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5310"/>
        <w:spacing w:before="79" w:line="221" w:lineRule="auto"/>
        <w:rPr>
          <w:rFonts w:ascii="SimHei" w:hAnsi="SimHei" w:eastAsia="SimHei" w:cs="SimHei"/>
          <w:sz w:val="28"/>
          <w:szCs w:val="28"/>
        </w:rPr>
      </w:pPr>
      <w:r>
        <w:drawing>
          <wp:anchor distT="0" distB="0" distL="0" distR="0" simplePos="0" relativeHeight="251658240" behindDoc="1" locked="0" layoutInCell="1" allowOverlap="1">
            <wp:simplePos x="0" y="0"/>
            <wp:positionH relativeFrom="column">
              <wp:posOffset>0</wp:posOffset>
            </wp:positionH>
            <wp:positionV relativeFrom="paragraph">
              <wp:posOffset>-254147</wp:posOffset>
            </wp:positionV>
            <wp:extent cx="5607050" cy="848360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607050" cy="8483600"/>
                    </a:xfrm>
                    <a:prstGeom prst="rect">
                      <a:avLst/>
                    </a:prstGeom>
                  </pic:spPr>
                </pic:pic>
              </a:graphicData>
            </a:graphic>
          </wp:anchor>
        </w:drawing>
      </w:r>
      <w:r>
        <w:rPr>
          <w:rFonts w:ascii="SimHei" w:hAnsi="SimHei" w:eastAsia="SimHei" w:cs="SimHei"/>
          <w:sz w:val="28"/>
          <w:szCs w:val="28"/>
          <w:color w:val="005885"/>
          <w:spacing w:val="3"/>
        </w:rPr>
        <w:t>大数据科学与应用丛书</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387"/>
        <w:spacing w:before="406" w:line="221" w:lineRule="auto"/>
        <w:rPr>
          <w:rFonts w:ascii="SimHei" w:hAnsi="SimHei" w:eastAsia="SimHei" w:cs="SimHei"/>
          <w:sz w:val="125"/>
          <w:szCs w:val="125"/>
        </w:rPr>
      </w:pPr>
      <w:r>
        <w:rPr>
          <w:rFonts w:ascii="SimHei" w:hAnsi="SimHei" w:eastAsia="SimHei" w:cs="SimHei"/>
          <w:sz w:val="125"/>
          <w:szCs w:val="125"/>
          <w:b/>
          <w:bCs/>
          <w:color w:val="0074CE"/>
          <w:spacing w:val="-1"/>
        </w:rPr>
        <w:t>云端</w:t>
      </w:r>
      <w:r>
        <w:rPr>
          <w:rFonts w:ascii="SimHei" w:hAnsi="SimHei" w:eastAsia="SimHei" w:cs="SimHei"/>
          <w:sz w:val="125"/>
          <w:szCs w:val="125"/>
          <w:b/>
          <w:bCs/>
          <w:color w:val="FFFFFF"/>
          <w:spacing w:val="-1"/>
        </w:rPr>
        <w:t>数据治理</w:t>
      </w:r>
    </w:p>
    <w:p>
      <w:pPr>
        <w:pStyle w:val="BodyText"/>
        <w:spacing w:line="299" w:lineRule="auto"/>
        <w:rPr/>
      </w:pPr>
      <w:r/>
    </w:p>
    <w:p>
      <w:pPr>
        <w:pStyle w:val="BodyText"/>
        <w:spacing w:line="300" w:lineRule="auto"/>
        <w:rPr/>
      </w:pPr>
      <w:r/>
    </w:p>
    <w:p>
      <w:pPr>
        <w:pStyle w:val="BodyText"/>
        <w:spacing w:line="300" w:lineRule="auto"/>
        <w:rPr/>
      </w:pPr>
      <w:r/>
    </w:p>
    <w:p>
      <w:pPr>
        <w:ind w:left="2363"/>
        <w:spacing w:before="91" w:line="221" w:lineRule="auto"/>
        <w:rPr>
          <w:rFonts w:ascii="SimHei" w:hAnsi="SimHei" w:eastAsia="SimHei" w:cs="SimHei"/>
          <w:sz w:val="28"/>
          <w:szCs w:val="28"/>
        </w:rPr>
      </w:pPr>
      <w:r>
        <w:rPr>
          <w:rFonts w:ascii="SimHei" w:hAnsi="SimHei" w:eastAsia="SimHei" w:cs="SimHei"/>
          <w:sz w:val="28"/>
          <w:szCs w:val="28"/>
          <w:b/>
          <w:bCs/>
          <w:color w:val="FFFFFF"/>
          <w:spacing w:val="23"/>
        </w:rPr>
        <w:t>刘小茵李尧程广明</w:t>
      </w:r>
      <w:r>
        <w:rPr>
          <w:rFonts w:ascii="SimHei" w:hAnsi="SimHei" w:eastAsia="SimHei" w:cs="SimHei"/>
          <w:sz w:val="28"/>
          <w:szCs w:val="28"/>
          <w:color w:val="FFFFFF"/>
          <w:spacing w:val="94"/>
        </w:rPr>
        <w:t xml:space="preserve"> </w:t>
      </w:r>
      <w:r>
        <w:rPr>
          <w:rFonts w:ascii="SimHei" w:hAnsi="SimHei" w:eastAsia="SimHei" w:cs="SimHei"/>
          <w:sz w:val="28"/>
          <w:szCs w:val="28"/>
          <w:b/>
          <w:bCs/>
          <w:color w:val="FFFFFF"/>
          <w:spacing w:val="23"/>
        </w:rPr>
        <w:t>等编著</w:t>
      </w:r>
    </w:p>
    <w:p>
      <w:pPr>
        <w:spacing w:before="43"/>
        <w:rPr/>
      </w:pPr>
      <w:r/>
    </w:p>
    <w:p>
      <w:pPr>
        <w:spacing w:before="43"/>
        <w:rPr/>
      </w:pPr>
      <w:r/>
    </w:p>
    <w:p>
      <w:pPr>
        <w:spacing w:before="43"/>
        <w:rPr/>
      </w:pPr>
      <w:r/>
    </w:p>
    <w:p>
      <w:pPr>
        <w:spacing w:before="42"/>
        <w:rPr/>
      </w:pPr>
      <w:r/>
    </w:p>
    <w:p>
      <w:pPr>
        <w:sectPr>
          <w:headerReference w:type="default" r:id="rId1"/>
          <w:pgSz w:w="8830" w:h="13360"/>
          <w:pgMar w:top="400" w:right="0" w:bottom="0" w:left="0" w:header="0" w:footer="0" w:gutter="0"/>
          <w:cols w:equalWidth="0" w:num="1">
            <w:col w:w="8830" w:space="0"/>
          </w:cols>
        </w:sectPr>
        <w:rPr/>
      </w:pPr>
    </w:p>
    <w:p>
      <w:pPr>
        <w:ind w:right="17"/>
        <w:spacing w:before="212" w:line="184" w:lineRule="auto"/>
        <w:jc w:val="right"/>
        <w:rPr>
          <w:rFonts w:ascii="SimSun" w:hAnsi="SimSun" w:eastAsia="SimSun" w:cs="SimSun"/>
          <w:sz w:val="38"/>
          <w:szCs w:val="38"/>
        </w:rPr>
      </w:pPr>
      <w:r>
        <w:rPr>
          <w:rFonts w:ascii="SimSun" w:hAnsi="SimSun" w:eastAsia="SimSun" w:cs="SimSun"/>
          <w:sz w:val="38"/>
          <w:szCs w:val="38"/>
          <w:b/>
          <w:bCs/>
          <w:color w:val="FFFFFF"/>
          <w:spacing w:val="-25"/>
        </w:rPr>
        <w:t>中工信版架团</w:t>
      </w:r>
    </w:p>
    <w:p>
      <w:pPr>
        <w:pStyle w:val="BodyText"/>
        <w:spacing w:line="14" w:lineRule="auto"/>
        <w:rPr>
          <w:sz w:val="2"/>
        </w:rPr>
      </w:pPr>
      <w:r>
        <w:rPr>
          <w:sz w:val="2"/>
          <w:szCs w:val="2"/>
        </w:rPr>
        <w:br w:type="column"/>
      </w:r>
    </w:p>
    <w:p>
      <w:pPr>
        <w:spacing w:before="90"/>
        <w:rPr>
          <w:rFonts w:ascii="SimSun" w:hAnsi="SimSun" w:eastAsia="SimSun" w:cs="SimSun"/>
          <w:sz w:val="23"/>
          <w:szCs w:val="23"/>
        </w:rPr>
      </w:pPr>
      <w:r>
        <w:drawing>
          <wp:anchor distT="0" distB="0" distL="0" distR="0" simplePos="0" relativeHeight="251659264" behindDoc="0" locked="0" layoutInCell="1" allowOverlap="1">
            <wp:simplePos x="0" y="0"/>
            <wp:positionH relativeFrom="column">
              <wp:posOffset>266671</wp:posOffset>
            </wp:positionH>
            <wp:positionV relativeFrom="paragraph">
              <wp:posOffset>235358</wp:posOffset>
            </wp:positionV>
            <wp:extent cx="1035061" cy="126999"/>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035061" cy="126999"/>
                    </a:xfrm>
                    <a:prstGeom prst="rect">
                      <a:avLst/>
                    </a:prstGeom>
                  </pic:spPr>
                </pic:pic>
              </a:graphicData>
            </a:graphic>
          </wp:anchor>
        </w:drawing>
      </w:r>
      <w:r>
        <w:rPr>
          <w:rFonts w:ascii="SimSun" w:hAnsi="SimSun" w:eastAsia="SimSun" w:cs="SimSun"/>
          <w:sz w:val="23"/>
          <w:szCs w:val="23"/>
          <w:color w:val="FFFFFF"/>
          <w:position w:val="-20"/>
        </w:rPr>
        <w:drawing>
          <wp:inline distT="0" distB="0" distL="0" distR="0">
            <wp:extent cx="292071" cy="292090"/>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292071" cy="292090"/>
                    </a:xfrm>
                    <a:prstGeom prst="rect">
                      <a:avLst/>
                    </a:prstGeom>
                  </pic:spPr>
                </pic:pic>
              </a:graphicData>
            </a:graphic>
          </wp:inline>
        </w:drawing>
      </w:r>
      <w:r>
        <w:rPr>
          <w:rFonts w:ascii="SimSun" w:hAnsi="SimSun" w:eastAsia="SimSun" w:cs="SimSun"/>
          <w:sz w:val="23"/>
          <w:szCs w:val="23"/>
          <w:color w:val="FFFFFF"/>
          <w:spacing w:val="-12"/>
        </w:rPr>
        <w:t>電子工紫出版社.</w:t>
      </w:r>
    </w:p>
    <w:p>
      <w:pPr>
        <w:sectPr>
          <w:type w:val="continuous"/>
          <w:pgSz w:w="8830" w:h="13360"/>
          <w:pgMar w:top="400" w:right="0" w:bottom="0" w:left="0" w:header="0" w:footer="0" w:gutter="0"/>
          <w:cols w:equalWidth="0" w:num="2">
            <w:col w:w="4491" w:space="100"/>
            <w:col w:w="4240" w:space="0"/>
          </w:cols>
        </w:sectPr>
        <w:rPr>
          <w:rFonts w:ascii="SimSun" w:hAnsi="SimSun" w:eastAsia="SimSun" w:cs="SimSun"/>
          <w:sz w:val="23"/>
          <w:szCs w:val="23"/>
        </w:rPr>
      </w:pPr>
    </w:p>
    <w:p>
      <w:pPr>
        <w:pStyle w:val="BodyText"/>
        <w:spacing w:line="341" w:lineRule="auto"/>
        <w:rPr/>
      </w:pPr>
      <w:r/>
    </w:p>
    <w:p>
      <w:pPr>
        <w:pStyle w:val="BodyText"/>
        <w:spacing w:line="341" w:lineRule="auto"/>
        <w:rPr/>
      </w:pPr>
      <w:r/>
    </w:p>
    <w:p>
      <w:pPr>
        <w:spacing w:before="78" w:line="221" w:lineRule="auto"/>
        <w:rPr>
          <w:rFonts w:ascii="SimHei" w:hAnsi="SimHei" w:eastAsia="SimHei" w:cs="SimHei"/>
          <w:sz w:val="24"/>
          <w:szCs w:val="24"/>
        </w:rPr>
      </w:pPr>
      <w:r>
        <w:rPr>
          <w:rFonts w:ascii="SimHei" w:hAnsi="SimHei" w:eastAsia="SimHei" w:cs="SimHei"/>
          <w:sz w:val="24"/>
          <w:szCs w:val="24"/>
          <w:b/>
          <w:bCs/>
          <w:spacing w:val="-4"/>
        </w:rPr>
        <w:t>大数据科学与应用丛书</w:t>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477"/>
        <w:spacing w:before="257" w:line="221" w:lineRule="auto"/>
        <w:rPr>
          <w:rFonts w:ascii="SimHei" w:hAnsi="SimHei" w:eastAsia="SimHei" w:cs="SimHei"/>
          <w:sz w:val="79"/>
          <w:szCs w:val="79"/>
        </w:rPr>
      </w:pPr>
      <w:r>
        <w:rPr>
          <w:rFonts w:ascii="SimHei" w:hAnsi="SimHei" w:eastAsia="SimHei" w:cs="SimHei"/>
          <w:sz w:val="79"/>
          <w:szCs w:val="79"/>
          <w:b/>
          <w:bCs/>
          <w:spacing w:val="-9"/>
        </w:rPr>
        <w:t>云端数据治理</w:t>
      </w:r>
    </w:p>
    <w:p>
      <w:pPr>
        <w:pStyle w:val="BodyText"/>
        <w:spacing w:line="350" w:lineRule="auto"/>
        <w:rPr/>
      </w:pPr>
      <w:r/>
    </w:p>
    <w:p>
      <w:pPr>
        <w:pStyle w:val="BodyText"/>
        <w:spacing w:line="351" w:lineRule="auto"/>
        <w:rPr/>
      </w:pPr>
      <w:r/>
    </w:p>
    <w:p>
      <w:pPr>
        <w:ind w:left="1126"/>
        <w:spacing w:before="94" w:line="186" w:lineRule="auto"/>
        <w:rPr>
          <w:rFonts w:ascii="SimHei" w:hAnsi="SimHei" w:eastAsia="SimHei" w:cs="SimHei"/>
          <w:sz w:val="29"/>
          <w:szCs w:val="29"/>
        </w:rPr>
      </w:pPr>
      <w:r>
        <w:rPr>
          <w:rFonts w:ascii="SimHei" w:hAnsi="SimHei" w:eastAsia="SimHei" w:cs="SimHei"/>
          <w:sz w:val="29"/>
          <w:szCs w:val="29"/>
          <w:spacing w:val="-6"/>
        </w:rPr>
        <w:t>刘小茵</w:t>
      </w:r>
      <w:r>
        <w:rPr>
          <w:rFonts w:ascii="SimHei" w:hAnsi="SimHei" w:eastAsia="SimHei" w:cs="SimHei"/>
          <w:sz w:val="29"/>
          <w:szCs w:val="29"/>
          <w:spacing w:val="131"/>
        </w:rPr>
        <w:t xml:space="preserve"> </w:t>
      </w:r>
      <w:r>
        <w:rPr>
          <w:rFonts w:ascii="SimHei" w:hAnsi="SimHei" w:eastAsia="SimHei" w:cs="SimHei"/>
          <w:sz w:val="29"/>
          <w:szCs w:val="29"/>
          <w:spacing w:val="-6"/>
        </w:rPr>
        <w:t>李</w:t>
      </w:r>
      <w:r>
        <w:rPr>
          <w:rFonts w:ascii="SimHei" w:hAnsi="SimHei" w:eastAsia="SimHei" w:cs="SimHei"/>
          <w:sz w:val="29"/>
          <w:szCs w:val="29"/>
          <w:spacing w:val="138"/>
        </w:rPr>
        <w:t xml:space="preserve"> </w:t>
      </w:r>
      <w:r>
        <w:rPr>
          <w:rFonts w:ascii="SimHei" w:hAnsi="SimHei" w:eastAsia="SimHei" w:cs="SimHei"/>
          <w:sz w:val="29"/>
          <w:szCs w:val="29"/>
          <w:spacing w:val="-6"/>
        </w:rPr>
        <w:t>尧</w:t>
      </w:r>
      <w:r>
        <w:rPr>
          <w:rFonts w:ascii="SimHei" w:hAnsi="SimHei" w:eastAsia="SimHei" w:cs="SimHei"/>
          <w:sz w:val="29"/>
          <w:szCs w:val="29"/>
          <w:spacing w:val="136"/>
        </w:rPr>
        <w:t xml:space="preserve"> </w:t>
      </w:r>
      <w:r>
        <w:rPr>
          <w:rFonts w:ascii="SimHei" w:hAnsi="SimHei" w:eastAsia="SimHei" w:cs="SimHei"/>
          <w:sz w:val="29"/>
          <w:szCs w:val="29"/>
          <w:spacing w:val="-6"/>
        </w:rPr>
        <w:t>程广明</w:t>
      </w:r>
      <w:r>
        <w:rPr>
          <w:rFonts w:ascii="SimHei" w:hAnsi="SimHei" w:eastAsia="SimHei" w:cs="SimHei"/>
          <w:sz w:val="29"/>
          <w:szCs w:val="29"/>
          <w:spacing w:val="107"/>
        </w:rPr>
        <w:t xml:space="preserve"> </w:t>
      </w:r>
      <w:r>
        <w:rPr>
          <w:rFonts w:ascii="SimHei" w:hAnsi="SimHei" w:eastAsia="SimHei" w:cs="SimHei"/>
          <w:sz w:val="29"/>
          <w:szCs w:val="29"/>
          <w:spacing w:val="-6"/>
        </w:rPr>
        <w:t>高智伟</w:t>
      </w:r>
    </w:p>
    <w:p>
      <w:pPr>
        <w:ind w:left="1136" w:right="859" w:firstLine="4400"/>
        <w:spacing w:line="202" w:lineRule="auto"/>
        <w:rPr>
          <w:rFonts w:ascii="SimHei" w:hAnsi="SimHei" w:eastAsia="SimHei" w:cs="SimHei"/>
          <w:sz w:val="29"/>
          <w:szCs w:val="29"/>
        </w:rPr>
      </w:pPr>
      <w:r>
        <w:rPr>
          <w:rFonts w:ascii="SimHei" w:hAnsi="SimHei" w:eastAsia="SimHei" w:cs="SimHei"/>
          <w:sz w:val="29"/>
          <w:szCs w:val="29"/>
          <w:spacing w:val="-10"/>
        </w:rPr>
        <w:t>编</w:t>
      </w:r>
      <w:r>
        <w:rPr>
          <w:rFonts w:ascii="SimHei" w:hAnsi="SimHei" w:eastAsia="SimHei" w:cs="SimHei"/>
          <w:sz w:val="29"/>
          <w:szCs w:val="29"/>
          <w:spacing w:val="123"/>
        </w:rPr>
        <w:t xml:space="preserve"> </w:t>
      </w:r>
      <w:r>
        <w:rPr>
          <w:rFonts w:ascii="SimHei" w:hAnsi="SimHei" w:eastAsia="SimHei" w:cs="SimHei"/>
          <w:sz w:val="29"/>
          <w:szCs w:val="29"/>
          <w:spacing w:val="-10"/>
        </w:rPr>
        <w:t>著</w:t>
      </w:r>
      <w:r>
        <w:rPr>
          <w:rFonts w:ascii="SimHei" w:hAnsi="SimHei" w:eastAsia="SimHei" w:cs="SimHei"/>
          <w:sz w:val="29"/>
          <w:szCs w:val="29"/>
        </w:rPr>
        <w:t xml:space="preserve"> </w:t>
      </w:r>
      <w:r>
        <w:rPr>
          <w:rFonts w:ascii="SimHei" w:hAnsi="SimHei" w:eastAsia="SimHei" w:cs="SimHei"/>
          <w:sz w:val="29"/>
          <w:szCs w:val="29"/>
          <w:spacing w:val="-5"/>
        </w:rPr>
        <w:t>谢灵群</w:t>
      </w:r>
      <w:r>
        <w:rPr>
          <w:rFonts w:ascii="SimHei" w:hAnsi="SimHei" w:eastAsia="SimHei" w:cs="SimHei"/>
          <w:sz w:val="29"/>
          <w:szCs w:val="29"/>
          <w:spacing w:val="103"/>
        </w:rPr>
        <w:t xml:space="preserve"> </w:t>
      </w:r>
      <w:r>
        <w:rPr>
          <w:rFonts w:ascii="SimHei" w:hAnsi="SimHei" w:eastAsia="SimHei" w:cs="SimHei"/>
          <w:sz w:val="29"/>
          <w:szCs w:val="29"/>
          <w:spacing w:val="-5"/>
        </w:rPr>
        <w:t>钟世敏</w:t>
      </w:r>
      <w:r>
        <w:rPr>
          <w:rFonts w:ascii="SimHei" w:hAnsi="SimHei" w:eastAsia="SimHei" w:cs="SimHei"/>
          <w:sz w:val="29"/>
          <w:szCs w:val="29"/>
          <w:spacing w:val="125"/>
        </w:rPr>
        <w:t xml:space="preserve"> </w:t>
      </w:r>
      <w:r>
        <w:rPr>
          <w:rFonts w:ascii="SimHei" w:hAnsi="SimHei" w:eastAsia="SimHei" w:cs="SimHei"/>
          <w:sz w:val="29"/>
          <w:szCs w:val="29"/>
          <w:spacing w:val="-5"/>
        </w:rPr>
        <w:t>张寒坤</w:t>
      </w:r>
      <w:r>
        <w:rPr>
          <w:rFonts w:ascii="SimHei" w:hAnsi="SimHei" w:eastAsia="SimHei" w:cs="SimHei"/>
          <w:sz w:val="29"/>
          <w:szCs w:val="29"/>
          <w:spacing w:val="136"/>
        </w:rPr>
        <w:t xml:space="preserve"> </w:t>
      </w:r>
      <w:r>
        <w:rPr>
          <w:rFonts w:ascii="SimHei" w:hAnsi="SimHei" w:eastAsia="SimHei" w:cs="SimHei"/>
          <w:sz w:val="29"/>
          <w:szCs w:val="29"/>
          <w:spacing w:val="-5"/>
        </w:rPr>
        <w:t>朱楠楠</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380"/>
        <w:spacing w:before="95" w:line="219" w:lineRule="auto"/>
        <w:rPr>
          <w:rFonts w:ascii="SimSun" w:hAnsi="SimSun" w:eastAsia="SimSun" w:cs="SimSun"/>
          <w:sz w:val="29"/>
          <w:szCs w:val="29"/>
        </w:rPr>
      </w:pPr>
      <w:r>
        <w:rPr>
          <w:rFonts w:ascii="SimSun" w:hAnsi="SimSun" w:eastAsia="SimSun" w:cs="SimSun"/>
          <w:sz w:val="29"/>
          <w:szCs w:val="29"/>
          <w:b/>
          <w:bCs/>
          <w:spacing w:val="-20"/>
        </w:rPr>
        <w:t>電</w:t>
      </w:r>
      <w:r>
        <w:rPr>
          <w:rFonts w:ascii="SimSun" w:hAnsi="SimSun" w:eastAsia="SimSun" w:cs="SimSun"/>
          <w:sz w:val="29"/>
          <w:szCs w:val="29"/>
          <w:spacing w:val="21"/>
        </w:rPr>
        <w:t xml:space="preserve"> </w:t>
      </w:r>
      <w:r>
        <w:rPr>
          <w:rFonts w:ascii="SimSun" w:hAnsi="SimSun" w:eastAsia="SimSun" w:cs="SimSun"/>
          <w:sz w:val="29"/>
          <w:szCs w:val="29"/>
          <w:b/>
          <w:bCs/>
          <w:spacing w:val="-20"/>
        </w:rPr>
        <w:t>子</w:t>
      </w:r>
      <w:r>
        <w:rPr>
          <w:rFonts w:ascii="SimSun" w:hAnsi="SimSun" w:eastAsia="SimSun" w:cs="SimSun"/>
          <w:sz w:val="29"/>
          <w:szCs w:val="29"/>
          <w:spacing w:val="21"/>
        </w:rPr>
        <w:t xml:space="preserve"> </w:t>
      </w:r>
      <w:r>
        <w:rPr>
          <w:rFonts w:ascii="SimSun" w:hAnsi="SimSun" w:eastAsia="SimSun" w:cs="SimSun"/>
          <w:sz w:val="29"/>
          <w:szCs w:val="29"/>
          <w:b/>
          <w:bCs/>
          <w:spacing w:val="-20"/>
        </w:rPr>
        <w:t>工</w:t>
      </w:r>
      <w:r>
        <w:rPr>
          <w:rFonts w:ascii="SimSun" w:hAnsi="SimSun" w:eastAsia="SimSun" w:cs="SimSun"/>
          <w:sz w:val="29"/>
          <w:szCs w:val="29"/>
          <w:spacing w:val="21"/>
        </w:rPr>
        <w:t xml:space="preserve"> </w:t>
      </w:r>
      <w:r>
        <w:rPr>
          <w:rFonts w:ascii="SimSun" w:hAnsi="SimSun" w:eastAsia="SimSun" w:cs="SimSun"/>
          <w:sz w:val="29"/>
          <w:szCs w:val="29"/>
          <w:b/>
          <w:bCs/>
          <w:spacing w:val="-20"/>
        </w:rPr>
        <w:t>業</w:t>
      </w:r>
      <w:r>
        <w:rPr>
          <w:rFonts w:ascii="SimSun" w:hAnsi="SimSun" w:eastAsia="SimSun" w:cs="SimSun"/>
          <w:sz w:val="29"/>
          <w:szCs w:val="29"/>
          <w:spacing w:val="43"/>
        </w:rPr>
        <w:t xml:space="preserve"> </w:t>
      </w:r>
      <w:r>
        <w:rPr>
          <w:rFonts w:ascii="SimSun" w:hAnsi="SimSun" w:eastAsia="SimSun" w:cs="SimSun"/>
          <w:sz w:val="29"/>
          <w:szCs w:val="29"/>
          <w:b/>
          <w:bCs/>
          <w:spacing w:val="-20"/>
        </w:rPr>
        <w:t>出</w:t>
      </w:r>
      <w:r>
        <w:rPr>
          <w:rFonts w:ascii="SimSun" w:hAnsi="SimSun" w:eastAsia="SimSun" w:cs="SimSun"/>
          <w:sz w:val="29"/>
          <w:szCs w:val="29"/>
          <w:spacing w:val="19"/>
        </w:rPr>
        <w:t xml:space="preserve"> </w:t>
      </w:r>
      <w:r>
        <w:rPr>
          <w:rFonts w:ascii="SimSun" w:hAnsi="SimSun" w:eastAsia="SimSun" w:cs="SimSun"/>
          <w:sz w:val="29"/>
          <w:szCs w:val="29"/>
          <w:b/>
          <w:bCs/>
          <w:spacing w:val="-20"/>
        </w:rPr>
        <w:t>版</w:t>
      </w:r>
      <w:r>
        <w:rPr>
          <w:rFonts w:ascii="SimSun" w:hAnsi="SimSun" w:eastAsia="SimSun" w:cs="SimSun"/>
          <w:sz w:val="29"/>
          <w:szCs w:val="29"/>
          <w:spacing w:val="101"/>
        </w:rPr>
        <w:t xml:space="preserve"> </w:t>
      </w:r>
      <w:r>
        <w:rPr>
          <w:rFonts w:ascii="SimSun" w:hAnsi="SimSun" w:eastAsia="SimSun" w:cs="SimSun"/>
          <w:sz w:val="29"/>
          <w:szCs w:val="29"/>
          <w:b/>
          <w:bCs/>
          <w:spacing w:val="-20"/>
        </w:rPr>
        <w:t>社</w:t>
      </w:r>
    </w:p>
    <w:p>
      <w:pPr>
        <w:ind w:left="1406"/>
        <w:spacing w:before="187"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b/>
          <w:bCs/>
          <w:spacing w:val="-4"/>
        </w:rPr>
        <w:t>Publishing House of</w:t>
      </w:r>
      <w:r>
        <w:rPr>
          <w:rFonts w:ascii="Times New Roman" w:hAnsi="Times New Roman" w:eastAsia="Times New Roman" w:cs="Times New Roman"/>
          <w:sz w:val="29"/>
          <w:szCs w:val="29"/>
          <w:b/>
          <w:bCs/>
          <w:spacing w:val="-17"/>
        </w:rPr>
        <w:t xml:space="preserve"> </w:t>
      </w:r>
      <w:r>
        <w:rPr>
          <w:rFonts w:ascii="Times New Roman" w:hAnsi="Times New Roman" w:eastAsia="Times New Roman" w:cs="Times New Roman"/>
          <w:sz w:val="29"/>
          <w:szCs w:val="29"/>
          <w:b/>
          <w:bCs/>
          <w:spacing w:val="-4"/>
        </w:rPr>
        <w:t>Electronics Indust</w:t>
      </w:r>
      <w:r>
        <w:rPr>
          <w:rFonts w:ascii="Times New Roman" w:hAnsi="Times New Roman" w:eastAsia="Times New Roman" w:cs="Times New Roman"/>
          <w:sz w:val="29"/>
          <w:szCs w:val="29"/>
          <w:b/>
          <w:bCs/>
          <w:spacing w:val="-5"/>
        </w:rPr>
        <w:t>ry</w:t>
      </w:r>
    </w:p>
    <w:p>
      <w:pPr>
        <w:ind w:left="2916"/>
        <w:spacing w:before="211" w:line="219" w:lineRule="auto"/>
        <w:rPr>
          <w:rFonts w:ascii="Times New Roman" w:hAnsi="Times New Roman" w:eastAsia="Times New Roman" w:cs="Times New Roman"/>
          <w:sz w:val="29"/>
          <w:szCs w:val="29"/>
        </w:rPr>
      </w:pPr>
      <w:r>
        <w:rPr>
          <w:rFonts w:ascii="SimSun" w:hAnsi="SimSun" w:eastAsia="SimSun" w:cs="SimSun"/>
          <w:sz w:val="29"/>
          <w:szCs w:val="29"/>
          <w:spacing w:val="-7"/>
        </w:rPr>
        <w:t>北京·</w:t>
      </w:r>
      <w:r>
        <w:rPr>
          <w:rFonts w:ascii="Times New Roman" w:hAnsi="Times New Roman" w:eastAsia="Times New Roman" w:cs="Times New Roman"/>
          <w:sz w:val="29"/>
          <w:szCs w:val="29"/>
          <w:spacing w:val="-7"/>
        </w:rPr>
        <w:t>BEIJING</w:t>
      </w:r>
    </w:p>
    <w:p>
      <w:pPr>
        <w:spacing w:line="219" w:lineRule="auto"/>
        <w:sectPr>
          <w:headerReference w:type="default" r:id="rId5"/>
          <w:pgSz w:w="8870" w:h="13400"/>
          <w:pgMar w:top="400" w:right="1330" w:bottom="0" w:left="313" w:header="0" w:footer="0" w:gutter="0"/>
        </w:sectPr>
        <w:rPr>
          <w:rFonts w:ascii="Times New Roman" w:hAnsi="Times New Roman" w:eastAsia="Times New Roman" w:cs="Times New Roman"/>
          <w:sz w:val="29"/>
          <w:szCs w:val="29"/>
        </w:rPr>
      </w:pPr>
    </w:p>
    <w:p>
      <w:pPr>
        <w:pStyle w:val="BodyText"/>
        <w:spacing w:line="272" w:lineRule="auto"/>
        <w:rPr/>
      </w:pPr>
      <w:r/>
    </w:p>
    <w:p>
      <w:pPr>
        <w:pStyle w:val="BodyText"/>
        <w:spacing w:line="272" w:lineRule="auto"/>
        <w:rPr/>
      </w:pPr>
      <w:r/>
    </w:p>
    <w:p>
      <w:pPr>
        <w:pStyle w:val="BodyText"/>
        <w:spacing w:line="273" w:lineRule="auto"/>
        <w:rPr/>
      </w:pPr>
      <w:r/>
    </w:p>
    <w:p>
      <w:pPr>
        <w:ind w:left="3342"/>
        <w:spacing w:before="61" w:line="222" w:lineRule="auto"/>
        <w:rPr>
          <w:rFonts w:ascii="SimHei" w:hAnsi="SimHei" w:eastAsia="SimHei" w:cs="SimHei"/>
          <w:sz w:val="19"/>
          <w:szCs w:val="19"/>
        </w:rPr>
      </w:pPr>
      <w:r>
        <w:rPr>
          <w:rFonts w:ascii="SimHei" w:hAnsi="SimHei" w:eastAsia="SimHei" w:cs="SimHei"/>
          <w:sz w:val="19"/>
          <w:szCs w:val="19"/>
          <w:b/>
          <w:bCs/>
          <w:spacing w:val="-10"/>
        </w:rPr>
        <w:t>内</w:t>
      </w:r>
      <w:r>
        <w:rPr>
          <w:rFonts w:ascii="SimHei" w:hAnsi="SimHei" w:eastAsia="SimHei" w:cs="SimHei"/>
          <w:sz w:val="19"/>
          <w:szCs w:val="19"/>
          <w:spacing w:val="-11"/>
        </w:rPr>
        <w:t xml:space="preserve"> </w:t>
      </w:r>
      <w:r>
        <w:rPr>
          <w:rFonts w:ascii="SimHei" w:hAnsi="SimHei" w:eastAsia="SimHei" w:cs="SimHei"/>
          <w:sz w:val="19"/>
          <w:szCs w:val="19"/>
          <w:b/>
          <w:bCs/>
          <w:spacing w:val="-10"/>
        </w:rPr>
        <w:t>容</w:t>
      </w:r>
      <w:r>
        <w:rPr>
          <w:rFonts w:ascii="SimHei" w:hAnsi="SimHei" w:eastAsia="SimHei" w:cs="SimHei"/>
          <w:sz w:val="19"/>
          <w:szCs w:val="19"/>
          <w:spacing w:val="-10"/>
        </w:rPr>
        <w:t xml:space="preserve"> </w:t>
      </w:r>
      <w:r>
        <w:rPr>
          <w:rFonts w:ascii="SimHei" w:hAnsi="SimHei" w:eastAsia="SimHei" w:cs="SimHei"/>
          <w:sz w:val="19"/>
          <w:szCs w:val="19"/>
          <w:b/>
          <w:bCs/>
          <w:spacing w:val="-10"/>
        </w:rPr>
        <w:t>简</w:t>
      </w:r>
      <w:r>
        <w:rPr>
          <w:rFonts w:ascii="SimHei" w:hAnsi="SimHei" w:eastAsia="SimHei" w:cs="SimHei"/>
          <w:sz w:val="19"/>
          <w:szCs w:val="19"/>
          <w:spacing w:val="-10"/>
        </w:rPr>
        <w:t xml:space="preserve"> </w:t>
      </w:r>
      <w:r>
        <w:rPr>
          <w:rFonts w:ascii="SimHei" w:hAnsi="SimHei" w:eastAsia="SimHei" w:cs="SimHei"/>
          <w:sz w:val="19"/>
          <w:szCs w:val="19"/>
          <w:b/>
          <w:bCs/>
          <w:spacing w:val="-10"/>
        </w:rPr>
        <w:t>介</w:t>
      </w:r>
    </w:p>
    <w:p>
      <w:pPr>
        <w:ind w:right="67" w:firstLine="360"/>
        <w:spacing w:before="184" w:line="266" w:lineRule="auto"/>
        <w:jc w:val="both"/>
        <w:rPr>
          <w:rFonts w:ascii="SimSun" w:hAnsi="SimSun" w:eastAsia="SimSun" w:cs="SimSun"/>
          <w:sz w:val="19"/>
          <w:szCs w:val="19"/>
        </w:rPr>
      </w:pPr>
      <w:r>
        <w:rPr>
          <w:rFonts w:ascii="SimSun" w:hAnsi="SimSun" w:eastAsia="SimSun" w:cs="SimSun"/>
          <w:sz w:val="19"/>
          <w:szCs w:val="19"/>
          <w:spacing w:val="-8"/>
        </w:rPr>
        <w:t>本书的编写团队结合最新的科研成果以及多年来在成熟度评估方面的实战经验，在</w:t>
      </w:r>
      <w:r>
        <w:rPr>
          <w:rFonts w:ascii="SimSun" w:hAnsi="SimSun" w:eastAsia="SimSun" w:cs="SimSun"/>
          <w:sz w:val="19"/>
          <w:szCs w:val="19"/>
          <w:spacing w:val="-9"/>
        </w:rPr>
        <w:t>借鉴国际</w:t>
      </w:r>
      <w:r>
        <w:rPr>
          <w:rFonts w:ascii="SimSun" w:hAnsi="SimSun" w:eastAsia="SimSun" w:cs="SimSun"/>
          <w:sz w:val="19"/>
          <w:szCs w:val="19"/>
        </w:rPr>
        <w:t xml:space="preserve"> </w:t>
      </w:r>
      <w:r>
        <w:rPr>
          <w:rFonts w:ascii="SimSun" w:hAnsi="SimSun" w:eastAsia="SimSun" w:cs="SimSun"/>
          <w:sz w:val="19"/>
          <w:szCs w:val="19"/>
          <w:spacing w:val="-8"/>
        </w:rPr>
        <w:t>先进数据治理理论和方法的基础上，针对云端数据特点，开发了云端数据治理模型，构</w:t>
      </w:r>
      <w:r>
        <w:rPr>
          <w:rFonts w:ascii="SimSun" w:hAnsi="SimSun" w:eastAsia="SimSun" w:cs="SimSun"/>
          <w:sz w:val="19"/>
          <w:szCs w:val="19"/>
          <w:spacing w:val="-9"/>
        </w:rPr>
        <w:t>成了本书</w:t>
      </w:r>
      <w:r>
        <w:rPr>
          <w:rFonts w:ascii="SimSun" w:hAnsi="SimSun" w:eastAsia="SimSun" w:cs="SimSun"/>
          <w:sz w:val="19"/>
          <w:szCs w:val="19"/>
        </w:rPr>
        <w:t xml:space="preserve"> </w:t>
      </w:r>
      <w:r>
        <w:rPr>
          <w:rFonts w:ascii="SimSun" w:hAnsi="SimSun" w:eastAsia="SimSun" w:cs="SimSun"/>
          <w:sz w:val="19"/>
          <w:szCs w:val="19"/>
          <w:spacing w:val="-8"/>
        </w:rPr>
        <w:t>的主要内容。本书旨在帮助读者和有数据治理需求的组织了解云计算环境下的数据</w:t>
      </w:r>
      <w:r>
        <w:rPr>
          <w:rFonts w:ascii="SimSun" w:hAnsi="SimSun" w:eastAsia="SimSun" w:cs="SimSun"/>
          <w:sz w:val="19"/>
          <w:szCs w:val="19"/>
          <w:spacing w:val="-9"/>
        </w:rPr>
        <w:t>治理方法，为</w:t>
      </w:r>
      <w:r>
        <w:rPr>
          <w:rFonts w:ascii="SimSun" w:hAnsi="SimSun" w:eastAsia="SimSun" w:cs="SimSun"/>
          <w:sz w:val="19"/>
          <w:szCs w:val="19"/>
        </w:rPr>
        <w:t xml:space="preserve"> </w:t>
      </w:r>
      <w:r>
        <w:rPr>
          <w:rFonts w:ascii="SimSun" w:hAnsi="SimSun" w:eastAsia="SimSun" w:cs="SimSun"/>
          <w:sz w:val="19"/>
          <w:szCs w:val="19"/>
          <w:spacing w:val="-10"/>
        </w:rPr>
        <w:t>云端数据治理体系建立和云端数据治理实施提供指导。</w:t>
      </w:r>
    </w:p>
    <w:p>
      <w:pPr>
        <w:pStyle w:val="BodyText"/>
        <w:spacing w:line="460" w:lineRule="auto"/>
        <w:rPr/>
      </w:pPr>
      <w:r/>
    </w:p>
    <w:p>
      <w:pPr>
        <w:spacing w:before="62" w:line="310" w:lineRule="exact"/>
        <w:rPr>
          <w:rFonts w:ascii="SimSun" w:hAnsi="SimSun" w:eastAsia="SimSun" w:cs="SimSun"/>
          <w:sz w:val="19"/>
          <w:szCs w:val="19"/>
        </w:rPr>
      </w:pPr>
      <w:r>
        <w:rPr>
          <w:rFonts w:ascii="SimSun" w:hAnsi="SimSun" w:eastAsia="SimSun" w:cs="SimSun"/>
          <w:sz w:val="19"/>
          <w:szCs w:val="19"/>
          <w:spacing w:val="-14"/>
          <w:position w:val="9"/>
        </w:rPr>
        <w:t>未经许可，不得以任何方式复制或抄袭本书之部分或全部内容。</w:t>
      </w:r>
    </w:p>
    <w:p>
      <w:pPr>
        <w:spacing w:line="218" w:lineRule="auto"/>
        <w:rPr>
          <w:rFonts w:ascii="SimSun" w:hAnsi="SimSun" w:eastAsia="SimSun" w:cs="SimSun"/>
          <w:sz w:val="19"/>
          <w:szCs w:val="19"/>
        </w:rPr>
      </w:pPr>
      <w:r>
        <w:rPr>
          <w:rFonts w:ascii="SimSun" w:hAnsi="SimSun" w:eastAsia="SimSun" w:cs="SimSun"/>
          <w:sz w:val="19"/>
          <w:szCs w:val="19"/>
          <w:spacing w:val="-17"/>
        </w:rPr>
        <w:t>版权所有，侵权必究。</w:t>
      </w:r>
    </w:p>
    <w:p>
      <w:pPr>
        <w:pStyle w:val="BodyText"/>
        <w:spacing w:line="426" w:lineRule="auto"/>
        <w:rPr/>
      </w:pPr>
      <w:r/>
    </w:p>
    <w:p>
      <w:pPr>
        <w:ind w:left="2"/>
        <w:spacing w:before="63" w:line="221" w:lineRule="auto"/>
        <w:rPr>
          <w:rFonts w:ascii="SimHei" w:hAnsi="SimHei" w:eastAsia="SimHei" w:cs="SimHei"/>
          <w:sz w:val="19"/>
          <w:szCs w:val="19"/>
        </w:rPr>
      </w:pPr>
      <w:r>
        <w:rPr>
          <w:rFonts w:ascii="SimHei" w:hAnsi="SimHei" w:eastAsia="SimHei" w:cs="SimHei"/>
          <w:sz w:val="19"/>
          <w:szCs w:val="19"/>
          <w:b/>
          <w:bCs/>
          <w:spacing w:val="-7"/>
        </w:rPr>
        <w:t>图书在版编目</w:t>
      </w:r>
      <w:r>
        <w:rPr>
          <w:rFonts w:ascii="SimSun" w:hAnsi="SimSun" w:eastAsia="SimSun" w:cs="SimSun"/>
          <w:sz w:val="19"/>
          <w:szCs w:val="19"/>
          <w:b/>
          <w:bCs/>
          <w:spacing w:val="-7"/>
        </w:rPr>
        <w:t>(CIP)</w:t>
      </w:r>
      <w:r>
        <w:rPr>
          <w:rFonts w:ascii="SimSun" w:hAnsi="SimSun" w:eastAsia="SimSun" w:cs="SimSun"/>
          <w:sz w:val="19"/>
          <w:szCs w:val="19"/>
          <w:spacing w:val="69"/>
          <w:w w:val="101"/>
        </w:rPr>
        <w:t xml:space="preserve"> </w:t>
      </w:r>
      <w:r>
        <w:rPr>
          <w:rFonts w:ascii="SimHei" w:hAnsi="SimHei" w:eastAsia="SimHei" w:cs="SimHei"/>
          <w:sz w:val="19"/>
          <w:szCs w:val="19"/>
          <w:b/>
          <w:bCs/>
          <w:spacing w:val="-7"/>
        </w:rPr>
        <w:t>数据</w:t>
      </w:r>
    </w:p>
    <w:sdt>
      <w:sdtPr>
        <w:rPr>
          <w:rFonts w:ascii="SimSun" w:hAnsi="SimSun" w:eastAsia="SimSun" w:cs="SimSun"/>
          <w:sz w:val="19"/>
          <w:szCs w:val="19"/>
        </w:rPr>
        <w:docPartObj>
          <w:docPartGallery w:val="Table of Contents"/>
          <w:docPartUnique/>
        </w:docPartObj>
      </w:sdtPr>
      <w:sdtEndPr>
        <w:rPr>
          <w:rFonts w:ascii="SimSun" w:hAnsi="SimSun" w:eastAsia="SimSun" w:cs="SimSun"/>
          <w:sz w:val="19"/>
          <w:szCs w:val="19"/>
        </w:rPr>
      </w:sdtEndPr>
      <w:sdtContent>
        <w:p>
          <w:pPr>
            <w:spacing w:before="167" w:line="219" w:lineRule="auto"/>
            <w:rPr>
              <w:rFonts w:ascii="SimSun" w:hAnsi="SimSun" w:eastAsia="SimSun" w:cs="SimSun"/>
              <w:sz w:val="19"/>
              <w:szCs w:val="19"/>
            </w:rPr>
          </w:pPr>
          <w:r>
            <w:rPr>
              <w:rFonts w:ascii="SimSun" w:hAnsi="SimSun" w:eastAsia="SimSun" w:cs="SimSun"/>
              <w:sz w:val="19"/>
              <w:szCs w:val="19"/>
              <w:spacing w:val="-9"/>
            </w:rPr>
            <w:t>云端数据治理/刘小茵等编著.一北京：电子工业出版社，2017.6</w:t>
          </w:r>
        </w:p>
        <w:p>
          <w:pPr>
            <w:spacing w:before="43" w:line="219" w:lineRule="auto"/>
            <w:rPr>
              <w:rFonts w:ascii="SimSun" w:hAnsi="SimSun" w:eastAsia="SimSun" w:cs="SimSun"/>
              <w:sz w:val="19"/>
              <w:szCs w:val="19"/>
            </w:rPr>
          </w:pPr>
          <w:r>
            <w:rPr>
              <w:rFonts w:ascii="SimSun" w:hAnsi="SimSun" w:eastAsia="SimSun" w:cs="SimSun"/>
              <w:sz w:val="19"/>
              <w:szCs w:val="19"/>
              <w:spacing w:val="-8"/>
            </w:rPr>
            <w:t>(大数据科学与应用丛书)</w:t>
          </w:r>
        </w:p>
        <w:p>
          <w:pPr>
            <w:spacing w:before="94" w:line="182" w:lineRule="auto"/>
            <w:rPr>
              <w:rFonts w:ascii="SimSun" w:hAnsi="SimSun" w:eastAsia="SimSun" w:cs="SimSun"/>
              <w:sz w:val="19"/>
              <w:szCs w:val="19"/>
            </w:rPr>
          </w:pPr>
          <w:r>
            <w:rPr>
              <w:rFonts w:ascii="SimSun" w:hAnsi="SimSun" w:eastAsia="SimSun" w:cs="SimSun"/>
              <w:sz w:val="19"/>
              <w:szCs w:val="19"/>
              <w:spacing w:val="-10"/>
            </w:rPr>
            <w:t>ISBN 978-7-121-30374-</w:t>
          </w:r>
          <w:hyperlink w:history="true" w:anchor="bookmark1">
            <w:r>
              <w:rPr>
                <w:rFonts w:ascii="SimSun" w:hAnsi="SimSun" w:eastAsia="SimSun" w:cs="SimSun"/>
                <w:sz w:val="19"/>
                <w:szCs w:val="19"/>
                <w:spacing w:val="-10"/>
              </w:rPr>
              <w:t>6</w:t>
            </w:r>
          </w:hyperlink>
        </w:p>
      </w:sdtContent>
    </w:sdt>
    <w:p>
      <w:pPr>
        <w:spacing w:before="142" w:line="44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position w:val="19"/>
        </w:rPr>
        <w:t>I.</w:t>
      </w:r>
      <w:r>
        <w:rPr>
          <w:rFonts w:ascii="SimSun" w:hAnsi="SimSun" w:eastAsia="SimSun" w:cs="SimSun"/>
          <w:sz w:val="19"/>
          <w:szCs w:val="19"/>
          <w:spacing w:val="6"/>
          <w:position w:val="19"/>
        </w:rPr>
        <w:t>①</w:t>
      </w:r>
      <w:r>
        <w:rPr>
          <w:rFonts w:ascii="SimSun" w:hAnsi="SimSun" w:eastAsia="SimSun" w:cs="SimSun"/>
          <w:sz w:val="19"/>
          <w:szCs w:val="19"/>
          <w:spacing w:val="62"/>
          <w:position w:val="19"/>
        </w:rPr>
        <w:t xml:space="preserve"> </w:t>
      </w:r>
      <w:r>
        <w:rPr>
          <w:rFonts w:ascii="SimSun" w:hAnsi="SimSun" w:eastAsia="SimSun" w:cs="SimSun"/>
          <w:sz w:val="19"/>
          <w:szCs w:val="19"/>
          <w:spacing w:val="6"/>
          <w:position w:val="19"/>
        </w:rPr>
        <w:t>云…</w:t>
      </w:r>
      <w:r>
        <w:rPr>
          <w:rFonts w:ascii="SimSun" w:hAnsi="SimSun" w:eastAsia="SimSun" w:cs="SimSun"/>
          <w:sz w:val="19"/>
          <w:szCs w:val="19"/>
          <w:spacing w:val="88"/>
          <w:position w:val="19"/>
        </w:rPr>
        <w:t xml:space="preserve"> </w:t>
      </w:r>
      <w:r>
        <w:rPr>
          <w:rFonts w:ascii="SimSun" w:hAnsi="SimSun" w:eastAsia="SimSun" w:cs="SimSun"/>
          <w:sz w:val="19"/>
          <w:szCs w:val="19"/>
          <w:spacing w:val="6"/>
          <w:position w:val="19"/>
        </w:rPr>
        <w:t>Ⅱ.①刘…Ⅲ.①数据处理 </w:t>
      </w:r>
      <w:r>
        <w:rPr>
          <w:rFonts w:ascii="Times New Roman" w:hAnsi="Times New Roman" w:eastAsia="Times New Roman" w:cs="Times New Roman"/>
          <w:sz w:val="19"/>
          <w:szCs w:val="19"/>
          <w:position w:val="19"/>
        </w:rPr>
        <w:t>IV</w:t>
      </w:r>
      <w:r>
        <w:rPr>
          <w:rFonts w:ascii="Times New Roman" w:hAnsi="Times New Roman" w:eastAsia="Times New Roman" w:cs="Times New Roman"/>
          <w:sz w:val="19"/>
          <w:szCs w:val="19"/>
          <w:spacing w:val="6"/>
          <w:position w:val="19"/>
        </w:rPr>
        <w:t>.</w:t>
      </w:r>
      <w:r>
        <w:rPr>
          <w:rFonts w:ascii="SimSun" w:hAnsi="SimSun" w:eastAsia="SimSun" w:cs="SimSun"/>
          <w:sz w:val="19"/>
          <w:szCs w:val="19"/>
          <w:spacing w:val="6"/>
          <w:position w:val="19"/>
        </w:rPr>
        <w:t>①</w:t>
      </w:r>
      <w:r>
        <w:rPr>
          <w:rFonts w:ascii="Times New Roman" w:hAnsi="Times New Roman" w:eastAsia="Times New Roman" w:cs="Times New Roman"/>
          <w:sz w:val="19"/>
          <w:szCs w:val="19"/>
          <w:position w:val="19"/>
        </w:rPr>
        <w:t>TP</w:t>
      </w:r>
      <w:r>
        <w:rPr>
          <w:rFonts w:ascii="Times New Roman" w:hAnsi="Times New Roman" w:eastAsia="Times New Roman" w:cs="Times New Roman"/>
          <w:sz w:val="19"/>
          <w:szCs w:val="19"/>
          <w:spacing w:val="6"/>
          <w:position w:val="19"/>
        </w:rPr>
        <w:t>274</w:t>
      </w:r>
    </w:p>
    <w:p>
      <w:pPr>
        <w:spacing w:line="218" w:lineRule="auto"/>
        <w:rPr>
          <w:rFonts w:ascii="SimSun" w:hAnsi="SimSun" w:eastAsia="SimSun" w:cs="SimSun"/>
          <w:sz w:val="19"/>
          <w:szCs w:val="19"/>
        </w:rPr>
      </w:pPr>
      <w:r>
        <w:rPr>
          <w:rFonts w:ascii="SimSun" w:hAnsi="SimSun" w:eastAsia="SimSun" w:cs="SimSun"/>
          <w:sz w:val="19"/>
          <w:szCs w:val="19"/>
          <w:spacing w:val="3"/>
        </w:rPr>
        <w:t>中国版本图书馆</w:t>
      </w:r>
      <w:r>
        <w:rPr>
          <w:rFonts w:ascii="SimSun" w:hAnsi="SimSun" w:eastAsia="SimSun" w:cs="SimSun"/>
          <w:sz w:val="19"/>
          <w:szCs w:val="19"/>
          <w:spacing w:val="-42"/>
        </w:rPr>
        <w:t xml:space="preserve"> </w:t>
      </w:r>
      <w:r>
        <w:rPr>
          <w:rFonts w:ascii="SimSun" w:hAnsi="SimSun" w:eastAsia="SimSun" w:cs="SimSun"/>
          <w:sz w:val="19"/>
          <w:szCs w:val="19"/>
        </w:rPr>
        <w:t>CIP</w:t>
      </w:r>
      <w:r>
        <w:rPr>
          <w:rFonts w:ascii="SimSun" w:hAnsi="SimSun" w:eastAsia="SimSun" w:cs="SimSun"/>
          <w:sz w:val="19"/>
          <w:szCs w:val="19"/>
          <w:spacing w:val="-55"/>
        </w:rPr>
        <w:t xml:space="preserve"> </w:t>
      </w:r>
      <w:r>
        <w:rPr>
          <w:rFonts w:ascii="SimSun" w:hAnsi="SimSun" w:eastAsia="SimSun" w:cs="SimSun"/>
          <w:sz w:val="19"/>
          <w:szCs w:val="19"/>
          <w:spacing w:val="3"/>
        </w:rPr>
        <w:t>数据核字(2016)第2763</w:t>
      </w:r>
      <w:r>
        <w:rPr>
          <w:rFonts w:ascii="SimSun" w:hAnsi="SimSun" w:eastAsia="SimSun" w:cs="SimSun"/>
          <w:sz w:val="19"/>
          <w:szCs w:val="19"/>
          <w:spacing w:val="2"/>
        </w:rPr>
        <w:t>48号</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spacing w:before="62" w:line="270" w:lineRule="exact"/>
        <w:rPr>
          <w:rFonts w:ascii="SimSun" w:hAnsi="SimSun" w:eastAsia="SimSun" w:cs="SimSun"/>
          <w:sz w:val="19"/>
          <w:szCs w:val="19"/>
        </w:rPr>
      </w:pPr>
      <w:r>
        <w:rPr>
          <w:rFonts w:ascii="SimSun" w:hAnsi="SimSun" w:eastAsia="SimSun" w:cs="SimSun"/>
          <w:sz w:val="19"/>
          <w:szCs w:val="19"/>
          <w:spacing w:val="-11"/>
          <w:position w:val="5"/>
        </w:rPr>
        <w:t>策划编辑：牛平月</w:t>
      </w:r>
    </w:p>
    <w:p>
      <w:pPr>
        <w:spacing w:before="1" w:line="219" w:lineRule="auto"/>
        <w:rPr>
          <w:rFonts w:ascii="SimSun" w:hAnsi="SimSun" w:eastAsia="SimSun" w:cs="SimSun"/>
          <w:sz w:val="19"/>
          <w:szCs w:val="19"/>
        </w:rPr>
      </w:pPr>
      <w:r>
        <w:rPr>
          <w:rFonts w:ascii="SimSun" w:hAnsi="SimSun" w:eastAsia="SimSun" w:cs="SimSun"/>
          <w:sz w:val="19"/>
          <w:szCs w:val="19"/>
          <w:spacing w:val="-7"/>
        </w:rPr>
        <w:t>责任编辑：王敬栋</w:t>
      </w:r>
    </w:p>
    <w:p>
      <w:pPr>
        <w:spacing w:before="54" w:line="219" w:lineRule="auto"/>
        <w:rPr>
          <w:rFonts w:ascii="SimSun" w:hAnsi="SimSun" w:eastAsia="SimSun" w:cs="SimSun"/>
          <w:sz w:val="19"/>
          <w:szCs w:val="19"/>
        </w:rPr>
      </w:pPr>
      <w:r>
        <w:rPr>
          <w:rFonts w:ascii="SimSun" w:hAnsi="SimSun" w:eastAsia="SimSun" w:cs="SimSun"/>
          <w:sz w:val="19"/>
          <w:szCs w:val="19"/>
          <w:spacing w:val="-8"/>
        </w:rPr>
        <w:t>文字编辑：牛平月</w:t>
      </w:r>
    </w:p>
    <w:p>
      <w:pPr>
        <w:spacing w:before="55" w:line="290" w:lineRule="exact"/>
        <w:rPr>
          <w:rFonts w:ascii="SimSun" w:hAnsi="SimSun" w:eastAsia="SimSun" w:cs="SimSun"/>
          <w:sz w:val="19"/>
          <w:szCs w:val="19"/>
        </w:rPr>
      </w:pPr>
      <w:r>
        <w:rPr>
          <w:rFonts w:ascii="SimSun" w:hAnsi="SimSun" w:eastAsia="SimSun" w:cs="SimSun"/>
          <w:sz w:val="19"/>
          <w:szCs w:val="19"/>
          <w:spacing w:val="-10"/>
          <w:position w:val="7"/>
        </w:rPr>
        <w:t>印</w:t>
      </w:r>
      <w:r>
        <w:rPr>
          <w:rFonts w:ascii="SimSun" w:hAnsi="SimSun" w:eastAsia="SimSun" w:cs="SimSun"/>
          <w:sz w:val="19"/>
          <w:szCs w:val="19"/>
          <w:spacing w:val="26"/>
          <w:position w:val="7"/>
        </w:rPr>
        <w:t xml:space="preserve">   </w:t>
      </w:r>
      <w:r>
        <w:rPr>
          <w:rFonts w:ascii="SimSun" w:hAnsi="SimSun" w:eastAsia="SimSun" w:cs="SimSun"/>
          <w:sz w:val="19"/>
          <w:szCs w:val="19"/>
          <w:spacing w:val="-10"/>
          <w:position w:val="7"/>
        </w:rPr>
        <w:t>刷： 北京季蜂印刷有限公司</w:t>
      </w:r>
    </w:p>
    <w:p>
      <w:pPr>
        <w:spacing w:line="219" w:lineRule="auto"/>
        <w:rPr>
          <w:rFonts w:ascii="SimSun" w:hAnsi="SimSun" w:eastAsia="SimSun" w:cs="SimSun"/>
          <w:sz w:val="19"/>
          <w:szCs w:val="19"/>
        </w:rPr>
      </w:pPr>
      <w:r>
        <w:rPr>
          <w:rFonts w:ascii="SimSun" w:hAnsi="SimSun" w:eastAsia="SimSun" w:cs="SimSun"/>
          <w:sz w:val="19"/>
          <w:szCs w:val="19"/>
          <w:spacing w:val="-7"/>
        </w:rPr>
        <w:t>装</w:t>
      </w:r>
      <w:r>
        <w:rPr>
          <w:rFonts w:ascii="SimSun" w:hAnsi="SimSun" w:eastAsia="SimSun" w:cs="SimSun"/>
          <w:sz w:val="19"/>
          <w:szCs w:val="19"/>
          <w:spacing w:val="15"/>
        </w:rPr>
        <w:t xml:space="preserve">   </w:t>
      </w:r>
      <w:r>
        <w:rPr>
          <w:rFonts w:ascii="SimSun" w:hAnsi="SimSun" w:eastAsia="SimSun" w:cs="SimSun"/>
          <w:sz w:val="19"/>
          <w:szCs w:val="19"/>
          <w:spacing w:val="-7"/>
        </w:rPr>
        <w:t>订：北京季蜂印刷有限公司</w:t>
      </w:r>
    </w:p>
    <w:p>
      <w:pPr>
        <w:spacing w:before="54" w:line="219" w:lineRule="auto"/>
        <w:rPr>
          <w:rFonts w:ascii="SimSun" w:hAnsi="SimSun" w:eastAsia="SimSun" w:cs="SimSun"/>
          <w:sz w:val="19"/>
          <w:szCs w:val="19"/>
        </w:rPr>
      </w:pPr>
      <w:r>
        <w:rPr>
          <w:rFonts w:ascii="SimSun" w:hAnsi="SimSun" w:eastAsia="SimSun" w:cs="SimSun"/>
          <w:sz w:val="19"/>
          <w:szCs w:val="19"/>
          <w:spacing w:val="-9"/>
        </w:rPr>
        <w:t>出版发行：电子工业出版社</w:t>
      </w:r>
    </w:p>
    <w:p>
      <w:pPr>
        <w:ind w:left="940"/>
        <w:spacing w:before="45" w:line="219" w:lineRule="auto"/>
        <w:rPr>
          <w:rFonts w:ascii="SimSun" w:hAnsi="SimSun" w:eastAsia="SimSun" w:cs="SimSun"/>
          <w:sz w:val="19"/>
          <w:szCs w:val="19"/>
        </w:rPr>
      </w:pPr>
      <w:r>
        <w:rPr>
          <w:rFonts w:ascii="SimSun" w:hAnsi="SimSun" w:eastAsia="SimSun" w:cs="SimSun"/>
          <w:sz w:val="19"/>
          <w:szCs w:val="19"/>
          <w:spacing w:val="1"/>
        </w:rPr>
        <w:t>北京市海淀区万寿路173信箱  邮编100036</w:t>
      </w:r>
    </w:p>
    <w:p>
      <w:pPr>
        <w:spacing w:before="64" w:line="219" w:lineRule="auto"/>
        <w:rPr>
          <w:rFonts w:ascii="SimSun" w:hAnsi="SimSun" w:eastAsia="SimSun" w:cs="SimSun"/>
          <w:sz w:val="19"/>
          <w:szCs w:val="19"/>
        </w:rPr>
      </w:pPr>
      <w:r>
        <w:rPr>
          <w:rFonts w:ascii="SimSun" w:hAnsi="SimSun" w:eastAsia="SimSun" w:cs="SimSun"/>
          <w:sz w:val="19"/>
          <w:szCs w:val="19"/>
          <w:spacing w:val="-8"/>
        </w:rPr>
        <w:t>开</w:t>
      </w:r>
      <w:r>
        <w:rPr>
          <w:rFonts w:ascii="SimSun" w:hAnsi="SimSun" w:eastAsia="SimSun" w:cs="SimSun"/>
          <w:sz w:val="19"/>
          <w:szCs w:val="19"/>
          <w:spacing w:val="21"/>
        </w:rPr>
        <w:t xml:space="preserve">   </w:t>
      </w:r>
      <w:r>
        <w:rPr>
          <w:rFonts w:ascii="SimSun" w:hAnsi="SimSun" w:eastAsia="SimSun" w:cs="SimSun"/>
          <w:sz w:val="19"/>
          <w:szCs w:val="19"/>
          <w:spacing w:val="-8"/>
        </w:rPr>
        <w:t>本： 720×1000  1/16  印张：2</w:t>
      </w:r>
      <w:r>
        <w:rPr>
          <w:rFonts w:ascii="SimSun" w:hAnsi="SimSun" w:eastAsia="SimSun" w:cs="SimSun"/>
          <w:sz w:val="19"/>
          <w:szCs w:val="19"/>
          <w:spacing w:val="-9"/>
        </w:rPr>
        <w:t>1.75</w:t>
      </w:r>
      <w:r>
        <w:rPr>
          <w:rFonts w:ascii="SimSun" w:hAnsi="SimSun" w:eastAsia="SimSun" w:cs="SimSun"/>
          <w:sz w:val="19"/>
          <w:szCs w:val="19"/>
          <w:spacing w:val="54"/>
        </w:rPr>
        <w:t xml:space="preserve"> </w:t>
      </w:r>
      <w:r>
        <w:rPr>
          <w:rFonts w:ascii="SimSun" w:hAnsi="SimSun" w:eastAsia="SimSun" w:cs="SimSun"/>
          <w:sz w:val="19"/>
          <w:szCs w:val="19"/>
          <w:spacing w:val="-9"/>
        </w:rPr>
        <w:t>字数：520千字</w:t>
      </w:r>
    </w:p>
    <w:p>
      <w:pPr>
        <w:spacing w:before="55" w:line="219" w:lineRule="auto"/>
        <w:rPr>
          <w:rFonts w:ascii="SimSun" w:hAnsi="SimSun" w:eastAsia="SimSun" w:cs="SimSun"/>
          <w:sz w:val="19"/>
          <w:szCs w:val="19"/>
        </w:rPr>
      </w:pPr>
      <w:r>
        <w:rPr>
          <w:rFonts w:ascii="SimSun" w:hAnsi="SimSun" w:eastAsia="SimSun" w:cs="SimSun"/>
          <w:sz w:val="19"/>
          <w:szCs w:val="19"/>
          <w:spacing w:val="6"/>
        </w:rPr>
        <w:t>版</w:t>
      </w:r>
      <w:r>
        <w:rPr>
          <w:rFonts w:ascii="SimSun" w:hAnsi="SimSun" w:eastAsia="SimSun" w:cs="SimSun"/>
          <w:sz w:val="19"/>
          <w:szCs w:val="19"/>
          <w:spacing w:val="21"/>
        </w:rPr>
        <w:t xml:space="preserve">   </w:t>
      </w:r>
      <w:r>
        <w:rPr>
          <w:rFonts w:ascii="SimSun" w:hAnsi="SimSun" w:eastAsia="SimSun" w:cs="SimSun"/>
          <w:sz w:val="19"/>
          <w:szCs w:val="19"/>
          <w:spacing w:val="6"/>
        </w:rPr>
        <w:t>次： 2017年6月第1版</w:t>
      </w:r>
    </w:p>
    <w:p>
      <w:pPr>
        <w:spacing w:before="55" w:line="270" w:lineRule="exact"/>
        <w:rPr>
          <w:rFonts w:ascii="SimSun" w:hAnsi="SimSun" w:eastAsia="SimSun" w:cs="SimSun"/>
          <w:sz w:val="19"/>
          <w:szCs w:val="19"/>
        </w:rPr>
      </w:pPr>
      <w:r>
        <w:rPr>
          <w:rFonts w:ascii="SimSun" w:hAnsi="SimSun" w:eastAsia="SimSun" w:cs="SimSun"/>
          <w:sz w:val="19"/>
          <w:szCs w:val="19"/>
          <w:spacing w:val="2"/>
          <w:position w:val="5"/>
        </w:rPr>
        <w:t>印</w:t>
      </w:r>
      <w:r>
        <w:rPr>
          <w:rFonts w:ascii="SimSun" w:hAnsi="SimSun" w:eastAsia="SimSun" w:cs="SimSun"/>
          <w:sz w:val="19"/>
          <w:szCs w:val="19"/>
          <w:spacing w:val="27"/>
          <w:position w:val="5"/>
        </w:rPr>
        <w:t xml:space="preserve">   </w:t>
      </w:r>
      <w:r>
        <w:rPr>
          <w:rFonts w:ascii="SimSun" w:hAnsi="SimSun" w:eastAsia="SimSun" w:cs="SimSun"/>
          <w:sz w:val="19"/>
          <w:szCs w:val="19"/>
          <w:spacing w:val="2"/>
          <w:position w:val="5"/>
        </w:rPr>
        <w:t>次： 2017年6月第1次印刷</w:t>
      </w:r>
    </w:p>
    <w:p>
      <w:pPr>
        <w:spacing w:before="1" w:line="225" w:lineRule="auto"/>
        <w:rPr>
          <w:rFonts w:ascii="SimSun" w:hAnsi="SimSun" w:eastAsia="SimSun" w:cs="SimSun"/>
          <w:sz w:val="19"/>
          <w:szCs w:val="19"/>
        </w:rPr>
      </w:pPr>
      <w:r>
        <w:rPr>
          <w:rFonts w:ascii="SimSun" w:hAnsi="SimSun" w:eastAsia="SimSun" w:cs="SimSun"/>
          <w:sz w:val="19"/>
          <w:szCs w:val="19"/>
          <w:spacing w:val="-10"/>
        </w:rPr>
        <w:t>定    价：</w:t>
      </w:r>
      <w:r>
        <w:rPr>
          <w:rFonts w:ascii="SimSun" w:hAnsi="SimSun" w:eastAsia="SimSun" w:cs="SimSun"/>
          <w:sz w:val="19"/>
          <w:szCs w:val="19"/>
          <w:spacing w:val="15"/>
        </w:rPr>
        <w:t xml:space="preserve"> </w:t>
      </w:r>
      <w:r>
        <w:rPr>
          <w:rFonts w:ascii="SimSun" w:hAnsi="SimSun" w:eastAsia="SimSun" w:cs="SimSun"/>
          <w:sz w:val="19"/>
          <w:szCs w:val="19"/>
          <w:spacing w:val="-10"/>
        </w:rPr>
        <w:t>68.00元</w:t>
      </w:r>
    </w:p>
    <w:p>
      <w:pPr>
        <w:ind w:firstLine="440"/>
        <w:spacing w:before="266" w:line="253" w:lineRule="auto"/>
        <w:rPr>
          <w:rFonts w:ascii="SimSun" w:hAnsi="SimSun" w:eastAsia="SimSun" w:cs="SimSun"/>
          <w:sz w:val="19"/>
          <w:szCs w:val="19"/>
        </w:rPr>
      </w:pPr>
      <w:r>
        <w:rPr>
          <w:rFonts w:ascii="SimSun" w:hAnsi="SimSun" w:eastAsia="SimSun" w:cs="SimSun"/>
          <w:sz w:val="19"/>
          <w:szCs w:val="19"/>
          <w:spacing w:val="-8"/>
        </w:rPr>
        <w:t>凡所购买电子工业出版社图书有缺损问题，请向购买书店调换。</w:t>
      </w:r>
      <w:r>
        <w:rPr>
          <w:rFonts w:ascii="SimSun" w:hAnsi="SimSun" w:eastAsia="SimSun" w:cs="SimSun"/>
          <w:sz w:val="19"/>
          <w:szCs w:val="19"/>
          <w:spacing w:val="-9"/>
        </w:rPr>
        <w:t>若书店售缺，请与本社发行</w:t>
      </w:r>
      <w:r>
        <w:rPr>
          <w:rFonts w:ascii="SimSun" w:hAnsi="SimSun" w:eastAsia="SimSun" w:cs="SimSun"/>
          <w:sz w:val="19"/>
          <w:szCs w:val="19"/>
        </w:rPr>
        <w:t xml:space="preserve"> </w:t>
      </w:r>
      <w:r>
        <w:rPr>
          <w:rFonts w:ascii="SimSun" w:hAnsi="SimSun" w:eastAsia="SimSun" w:cs="SimSun"/>
          <w:sz w:val="19"/>
          <w:szCs w:val="19"/>
          <w:spacing w:val="-8"/>
        </w:rPr>
        <w:t>部联系，联系及邮购电话：  (010)88254888,88258888。</w:t>
      </w:r>
    </w:p>
    <w:p>
      <w:pPr>
        <w:ind w:left="440" w:right="514"/>
        <w:spacing w:before="48" w:line="257" w:lineRule="auto"/>
        <w:rPr>
          <w:rFonts w:ascii="SimSun" w:hAnsi="SimSun" w:eastAsia="SimSun" w:cs="SimSun"/>
          <w:sz w:val="19"/>
          <w:szCs w:val="19"/>
        </w:rPr>
      </w:pPr>
      <w:r>
        <w:rPr>
          <w:rFonts w:ascii="SimSun" w:hAnsi="SimSun" w:eastAsia="SimSun" w:cs="SimSun"/>
          <w:sz w:val="19"/>
          <w:szCs w:val="19"/>
          <w:spacing w:val="-5"/>
        </w:rPr>
        <w:t>质量投诉请发邮件至</w:t>
      </w:r>
      <w:r>
        <w:rPr>
          <w:rFonts w:ascii="Times New Roman" w:hAnsi="Times New Roman" w:eastAsia="Times New Roman" w:cs="Times New Roman"/>
          <w:sz w:val="19"/>
          <w:szCs w:val="19"/>
          <w:spacing w:val="-5"/>
        </w:rPr>
        <w:t>zlts@phei.com.cn,</w:t>
      </w:r>
      <w:r>
        <w:rPr>
          <w:rFonts w:ascii="Times New Roman" w:hAnsi="Times New Roman" w:eastAsia="Times New Roman" w:cs="Times New Roman"/>
          <w:sz w:val="19"/>
          <w:szCs w:val="19"/>
          <w:spacing w:val="43"/>
        </w:rPr>
        <w:t xml:space="preserve"> </w:t>
      </w:r>
      <w:r>
        <w:rPr>
          <w:rFonts w:ascii="SimSun" w:hAnsi="SimSun" w:eastAsia="SimSun" w:cs="SimSun"/>
          <w:sz w:val="19"/>
          <w:szCs w:val="19"/>
          <w:spacing w:val="-5"/>
        </w:rPr>
        <w:t>盗版侵权举报请发邮件至</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5"/>
        </w:rPr>
        <w:t>dbqq@phei.c</w:t>
      </w:r>
      <w:r>
        <w:rPr>
          <w:rFonts w:ascii="Times New Roman" w:hAnsi="Times New Roman" w:eastAsia="Times New Roman" w:cs="Times New Roman"/>
          <w:sz w:val="19"/>
          <w:szCs w:val="19"/>
          <w:spacing w:val="-6"/>
        </w:rPr>
        <w:t>om.cn</w:t>
      </w:r>
      <w:r>
        <w:rPr>
          <w:rFonts w:ascii="SimSun" w:hAnsi="SimSun" w:eastAsia="SimSun" w:cs="SimSun"/>
          <w:sz w:val="19"/>
          <w:szCs w:val="19"/>
          <w:spacing w:val="-6"/>
        </w:rPr>
        <w:t>。</w:t>
      </w:r>
      <w:r>
        <w:rPr>
          <w:rFonts w:ascii="SimSun" w:hAnsi="SimSun" w:eastAsia="SimSun" w:cs="SimSun"/>
          <w:sz w:val="19"/>
          <w:szCs w:val="19"/>
        </w:rPr>
        <w:t xml:space="preserve"> </w:t>
      </w:r>
      <w:r>
        <w:rPr>
          <w:rFonts w:ascii="SimSun" w:hAnsi="SimSun" w:eastAsia="SimSun" w:cs="SimSun"/>
          <w:sz w:val="19"/>
          <w:szCs w:val="19"/>
          <w:spacing w:val="-6"/>
        </w:rPr>
        <w:t>本书咨询联系方式：</w:t>
      </w:r>
      <w:r>
        <w:rPr>
          <w:rFonts w:ascii="SimSun" w:hAnsi="SimSun" w:eastAsia="SimSun" w:cs="SimSun"/>
          <w:sz w:val="19"/>
          <w:szCs w:val="19"/>
          <w:spacing w:val="86"/>
        </w:rPr>
        <w:t xml:space="preserve"> </w:t>
      </w:r>
      <w:r>
        <w:rPr>
          <w:rFonts w:ascii="SimSun" w:hAnsi="SimSun" w:eastAsia="SimSun" w:cs="SimSun"/>
          <w:sz w:val="19"/>
          <w:szCs w:val="19"/>
          <w:spacing w:val="-6"/>
        </w:rPr>
        <w:t>(010)88254454,</w:t>
      </w:r>
      <w:r>
        <w:rPr>
          <w:rFonts w:ascii="SimSun" w:hAnsi="SimSun" w:eastAsia="SimSun" w:cs="SimSun"/>
          <w:sz w:val="19"/>
          <w:szCs w:val="19"/>
          <w:spacing w:val="66"/>
        </w:rPr>
        <w:t xml:space="preserve"> </w:t>
      </w:r>
      <w:r>
        <w:rPr>
          <w:rFonts w:ascii="Times New Roman" w:hAnsi="Times New Roman" w:eastAsia="Times New Roman" w:cs="Times New Roman"/>
          <w:sz w:val="19"/>
          <w:szCs w:val="19"/>
          <w:spacing w:val="-6"/>
        </w:rPr>
        <w:t>niupy@phei.com.cn</w:t>
      </w:r>
      <w:r>
        <w:rPr>
          <w:rFonts w:ascii="SimSun" w:hAnsi="SimSun" w:eastAsia="SimSun" w:cs="SimSun"/>
          <w:sz w:val="19"/>
          <w:szCs w:val="19"/>
          <w:spacing w:val="-6"/>
        </w:rPr>
        <w:t>。</w:t>
      </w:r>
    </w:p>
    <w:p>
      <w:pPr>
        <w:spacing w:line="257" w:lineRule="auto"/>
        <w:sectPr>
          <w:pgSz w:w="8870" w:h="13400"/>
          <w:pgMar w:top="400" w:right="470" w:bottom="0" w:left="689" w:header="0" w:footer="0" w:gutter="0"/>
        </w:sectPr>
        <w:rPr>
          <w:rFonts w:ascii="SimSun" w:hAnsi="SimSun" w:eastAsia="SimSun" w:cs="SimSun"/>
          <w:sz w:val="19"/>
          <w:szCs w:val="19"/>
        </w:rPr>
      </w:pPr>
    </w:p>
    <w:p>
      <w:pPr>
        <w:pStyle w:val="BodyText"/>
        <w:spacing w:line="261" w:lineRule="auto"/>
        <w:rPr/>
      </w:pPr>
      <w:r/>
    </w:p>
    <w:p>
      <w:pPr>
        <w:pStyle w:val="BodyText"/>
        <w:spacing w:line="262" w:lineRule="auto"/>
        <w:rPr/>
      </w:pPr>
      <w:r/>
    </w:p>
    <w:p>
      <w:pPr>
        <w:pStyle w:val="BodyText"/>
        <w:spacing w:line="262" w:lineRule="auto"/>
        <w:rPr/>
      </w:pPr>
      <w:r/>
    </w:p>
    <w:p>
      <w:pPr>
        <w:ind w:firstLine="5889"/>
        <w:spacing w:line="1280" w:lineRule="exact"/>
        <w:rPr/>
      </w:pPr>
      <w:r>
        <w:rPr>
          <w:position w:val="-25"/>
        </w:rPr>
        <w:drawing>
          <wp:inline distT="0" distB="0" distL="0" distR="0">
            <wp:extent cx="1162087" cy="812779"/>
            <wp:effectExtent l="0" t="0" r="0" b="0"/>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1162087" cy="812779"/>
                    </a:xfrm>
                    <a:prstGeom prst="rect">
                      <a:avLst/>
                    </a:prstGeom>
                  </pic:spPr>
                </pic:pic>
              </a:graphicData>
            </a:graphic>
          </wp:inline>
        </w:drawing>
      </w:r>
    </w:p>
    <w:p>
      <w:pPr>
        <w:pStyle w:val="BodyText"/>
        <w:spacing w:line="475" w:lineRule="auto"/>
        <w:rPr/>
      </w:pPr>
      <w:r/>
    </w:p>
    <w:p>
      <w:pPr>
        <w:ind w:right="90" w:firstLine="419"/>
        <w:spacing w:before="68" w:line="255" w:lineRule="auto"/>
        <w:rPr>
          <w:rFonts w:ascii="SimSun" w:hAnsi="SimSun" w:eastAsia="SimSun" w:cs="SimSun"/>
          <w:sz w:val="21"/>
          <w:szCs w:val="21"/>
        </w:rPr>
      </w:pPr>
      <w:r>
        <w:rPr>
          <w:rFonts w:ascii="SimSun" w:hAnsi="SimSun" w:eastAsia="SimSun" w:cs="SimSun"/>
          <w:sz w:val="21"/>
          <w:szCs w:val="21"/>
          <w:spacing w:val="2"/>
        </w:rPr>
        <w:t>信息技术与经济社会的交汇融合引发了数据的爆发式增长，数据蕴含着重要的</w:t>
      </w:r>
      <w:r>
        <w:rPr>
          <w:rFonts w:ascii="SimSun" w:hAnsi="SimSun" w:eastAsia="SimSun" w:cs="SimSun"/>
          <w:sz w:val="21"/>
          <w:szCs w:val="21"/>
          <w:spacing w:val="7"/>
        </w:rPr>
        <w:t xml:space="preserve"> </w:t>
      </w:r>
      <w:r>
        <w:rPr>
          <w:rFonts w:ascii="SimSun" w:hAnsi="SimSun" w:eastAsia="SimSun" w:cs="SimSun"/>
          <w:sz w:val="21"/>
          <w:szCs w:val="21"/>
          <w:spacing w:val="2"/>
        </w:rPr>
        <w:t>价值，已成为国家基础性战略资源。数据正日益对全球生产、流通、</w:t>
      </w:r>
      <w:r>
        <w:rPr>
          <w:rFonts w:ascii="SimSun" w:hAnsi="SimSun" w:eastAsia="SimSun" w:cs="SimSun"/>
          <w:sz w:val="21"/>
          <w:szCs w:val="21"/>
          <w:spacing w:val="1"/>
        </w:rPr>
        <w:t>分配、消费活</w:t>
      </w:r>
      <w:r>
        <w:rPr>
          <w:rFonts w:ascii="SimSun" w:hAnsi="SimSun" w:eastAsia="SimSun" w:cs="SimSun"/>
          <w:sz w:val="21"/>
          <w:szCs w:val="21"/>
        </w:rPr>
        <w:t xml:space="preserve"> </w:t>
      </w:r>
      <w:r>
        <w:rPr>
          <w:rFonts w:ascii="SimSun" w:hAnsi="SimSun" w:eastAsia="SimSun" w:cs="SimSun"/>
          <w:sz w:val="21"/>
          <w:szCs w:val="21"/>
        </w:rPr>
        <w:t>动以及经济运行机制、社会生活方式和国家治理能力</w:t>
      </w:r>
      <w:r>
        <w:rPr>
          <w:rFonts w:ascii="SimSun" w:hAnsi="SimSun" w:eastAsia="SimSun" w:cs="SimSun"/>
          <w:sz w:val="21"/>
          <w:szCs w:val="21"/>
          <w:spacing w:val="-1"/>
        </w:rPr>
        <w:t>产生重要影响。</w:t>
      </w:r>
    </w:p>
    <w:p>
      <w:pPr>
        <w:ind w:right="87" w:firstLine="419"/>
        <w:spacing w:before="61" w:line="265" w:lineRule="auto"/>
        <w:rPr>
          <w:rFonts w:ascii="SimSun" w:hAnsi="SimSun" w:eastAsia="SimSun" w:cs="SimSun"/>
          <w:sz w:val="21"/>
          <w:szCs w:val="21"/>
        </w:rPr>
      </w:pPr>
      <w:r>
        <w:rPr>
          <w:rFonts w:ascii="SimSun" w:hAnsi="SimSun" w:eastAsia="SimSun" w:cs="SimSun"/>
          <w:sz w:val="21"/>
          <w:szCs w:val="21"/>
          <w:spacing w:val="2"/>
        </w:rPr>
        <w:t>数据治理对于确保数据的准确、适度分享和保护是至关重要的，也是发挥数据</w:t>
      </w:r>
      <w:r>
        <w:rPr>
          <w:rFonts w:ascii="SimSun" w:hAnsi="SimSun" w:eastAsia="SimSun" w:cs="SimSun"/>
          <w:sz w:val="21"/>
          <w:szCs w:val="21"/>
          <w:spacing w:val="3"/>
        </w:rPr>
        <w:t xml:space="preserve"> </w:t>
      </w:r>
      <w:r>
        <w:rPr>
          <w:rFonts w:ascii="SimSun" w:hAnsi="SimSun" w:eastAsia="SimSun" w:cs="SimSun"/>
          <w:sz w:val="21"/>
          <w:szCs w:val="21"/>
          <w:spacing w:val="2"/>
        </w:rPr>
        <w:t>在各种决策中支持作用的必由途径。近年来，数据治理理论得到广泛关注，</w:t>
      </w:r>
      <w:r>
        <w:rPr>
          <w:rFonts w:ascii="SimSun" w:hAnsi="SimSun" w:eastAsia="SimSun" w:cs="SimSun"/>
          <w:sz w:val="21"/>
          <w:szCs w:val="21"/>
          <w:spacing w:val="1"/>
        </w:rPr>
        <w:t>在一些</w:t>
      </w:r>
      <w:r>
        <w:rPr>
          <w:rFonts w:ascii="SimSun" w:hAnsi="SimSun" w:eastAsia="SimSun" w:cs="SimSun"/>
          <w:sz w:val="21"/>
          <w:szCs w:val="21"/>
        </w:rPr>
        <w:t xml:space="preserve"> </w:t>
      </w:r>
      <w:r>
        <w:rPr>
          <w:rFonts w:ascii="SimSun" w:hAnsi="SimSun" w:eastAsia="SimSun" w:cs="SimSun"/>
          <w:sz w:val="21"/>
          <w:szCs w:val="21"/>
          <w:spacing w:val="2"/>
        </w:rPr>
        <w:t>行业也得到了广泛应用。然而随着云计算、大数据等技术的发展与应用，数据本身 </w:t>
      </w:r>
      <w:r>
        <w:rPr>
          <w:rFonts w:ascii="SimSun" w:hAnsi="SimSun" w:eastAsia="SimSun" w:cs="SimSun"/>
          <w:sz w:val="21"/>
          <w:szCs w:val="21"/>
          <w:spacing w:val="2"/>
        </w:rPr>
        <w:t>的特点也发生了诸多变化，如数据来源的多</w:t>
      </w:r>
      <w:r>
        <w:rPr>
          <w:rFonts w:ascii="SimSun" w:hAnsi="SimSun" w:eastAsia="SimSun" w:cs="SimSun"/>
          <w:sz w:val="21"/>
          <w:szCs w:val="21"/>
          <w:spacing w:val="1"/>
        </w:rPr>
        <w:t>样性、数据的远程存储与传输、数据的</w:t>
      </w:r>
      <w:r>
        <w:rPr>
          <w:rFonts w:ascii="SimSun" w:hAnsi="SimSun" w:eastAsia="SimSun" w:cs="SimSun"/>
          <w:sz w:val="21"/>
          <w:szCs w:val="21"/>
        </w:rPr>
        <w:t xml:space="preserve"> </w:t>
      </w:r>
      <w:r>
        <w:rPr>
          <w:rFonts w:ascii="SimSun" w:hAnsi="SimSun" w:eastAsia="SimSun" w:cs="SimSun"/>
          <w:sz w:val="21"/>
          <w:szCs w:val="21"/>
          <w:spacing w:val="2"/>
        </w:rPr>
        <w:t>合规要求更具复杂性、数据面临的安全威胁更多等，这些变化让传统数据治理难以</w:t>
      </w:r>
      <w:r>
        <w:rPr>
          <w:rFonts w:ascii="SimSun" w:hAnsi="SimSun" w:eastAsia="SimSun" w:cs="SimSun"/>
          <w:sz w:val="21"/>
          <w:szCs w:val="21"/>
          <w:spacing w:val="6"/>
        </w:rPr>
        <w:t xml:space="preserve"> </w:t>
      </w:r>
      <w:r>
        <w:rPr>
          <w:rFonts w:ascii="SimSun" w:hAnsi="SimSun" w:eastAsia="SimSun" w:cs="SimSun"/>
          <w:sz w:val="21"/>
          <w:szCs w:val="21"/>
          <w:spacing w:val="1"/>
        </w:rPr>
        <w:t>全面深入地应对。因此针对云计算环境下数据的特点和治理需求，研究开发一套针</w:t>
      </w:r>
      <w:r>
        <w:rPr>
          <w:rFonts w:ascii="SimSun" w:hAnsi="SimSun" w:eastAsia="SimSun" w:cs="SimSun"/>
          <w:sz w:val="21"/>
          <w:szCs w:val="21"/>
          <w:spacing w:val="12"/>
        </w:rPr>
        <w:t xml:space="preserve"> </w:t>
      </w:r>
      <w:r>
        <w:rPr>
          <w:rFonts w:ascii="SimSun" w:hAnsi="SimSun" w:eastAsia="SimSun" w:cs="SimSun"/>
          <w:sz w:val="21"/>
          <w:szCs w:val="21"/>
          <w:spacing w:val="-1"/>
        </w:rPr>
        <w:t>对云端数据治理的理论体系和实践指导是很有必要的。</w:t>
      </w:r>
    </w:p>
    <w:p>
      <w:pPr>
        <w:ind w:right="77" w:firstLine="419"/>
        <w:spacing w:before="68" w:line="269" w:lineRule="auto"/>
        <w:rPr>
          <w:rFonts w:ascii="SimSun" w:hAnsi="SimSun" w:eastAsia="SimSun" w:cs="SimSun"/>
          <w:sz w:val="21"/>
          <w:szCs w:val="21"/>
        </w:rPr>
      </w:pPr>
      <w:r>
        <w:rPr>
          <w:rFonts w:ascii="SimSun" w:hAnsi="SimSun" w:eastAsia="SimSun" w:cs="SimSun"/>
          <w:sz w:val="21"/>
          <w:szCs w:val="21"/>
          <w:spacing w:val="2"/>
        </w:rPr>
        <w:t>编写团队结合最新的科研成果以及所在机构多年来在成熟度评估方面的实战经</w:t>
      </w:r>
      <w:r>
        <w:rPr>
          <w:rFonts w:ascii="SimSun" w:hAnsi="SimSun" w:eastAsia="SimSun" w:cs="SimSun"/>
          <w:sz w:val="21"/>
          <w:szCs w:val="21"/>
        </w:rPr>
        <w:t xml:space="preserve"> </w:t>
      </w:r>
      <w:r>
        <w:rPr>
          <w:rFonts w:ascii="SimSun" w:hAnsi="SimSun" w:eastAsia="SimSun" w:cs="SimSun"/>
          <w:sz w:val="21"/>
          <w:szCs w:val="21"/>
          <w:spacing w:val="2"/>
        </w:rPr>
        <w:t>验，在借鉴国际上先进数据治理理论和方法的基础之上，针对云端数据特点，开发</w:t>
      </w:r>
      <w:r>
        <w:rPr>
          <w:rFonts w:ascii="SimSun" w:hAnsi="SimSun" w:eastAsia="SimSun" w:cs="SimSun"/>
          <w:sz w:val="21"/>
          <w:szCs w:val="21"/>
          <w:spacing w:val="16"/>
        </w:rPr>
        <w:t xml:space="preserve"> </w:t>
      </w:r>
      <w:r>
        <w:rPr>
          <w:rFonts w:ascii="SimSun" w:hAnsi="SimSun" w:eastAsia="SimSun" w:cs="SimSun"/>
          <w:sz w:val="21"/>
          <w:szCs w:val="21"/>
          <w:spacing w:val="1"/>
        </w:rPr>
        <w:t>了云端数据治理模型，构成了本书的主要内容，旨在帮助读者和有数据治理需求的</w:t>
      </w:r>
      <w:r>
        <w:rPr>
          <w:rFonts w:ascii="SimSun" w:hAnsi="SimSun" w:eastAsia="SimSun" w:cs="SimSun"/>
          <w:sz w:val="21"/>
          <w:szCs w:val="21"/>
        </w:rPr>
        <w:t xml:space="preserve"> </w:t>
      </w:r>
      <w:r>
        <w:rPr>
          <w:rFonts w:ascii="SimSun" w:hAnsi="SimSun" w:eastAsia="SimSun" w:cs="SimSun"/>
          <w:sz w:val="21"/>
          <w:szCs w:val="21"/>
          <w:spacing w:val="2"/>
        </w:rPr>
        <w:t>组织了解云计算环境下的数据治理方法，为建立云端数据治理体系</w:t>
      </w:r>
      <w:r>
        <w:rPr>
          <w:rFonts w:ascii="SimSun" w:hAnsi="SimSun" w:eastAsia="SimSun" w:cs="SimSun"/>
          <w:sz w:val="21"/>
          <w:szCs w:val="21"/>
          <w:spacing w:val="1"/>
        </w:rPr>
        <w:t>和云端数据治理</w:t>
      </w:r>
      <w:r>
        <w:rPr>
          <w:rFonts w:ascii="SimSun" w:hAnsi="SimSun" w:eastAsia="SimSun" w:cs="SimSun"/>
          <w:sz w:val="21"/>
          <w:szCs w:val="21"/>
        </w:rPr>
        <w:t xml:space="preserve"> </w:t>
      </w:r>
      <w:r>
        <w:rPr>
          <w:rFonts w:ascii="SimSun" w:hAnsi="SimSun" w:eastAsia="SimSun" w:cs="SimSun"/>
          <w:sz w:val="21"/>
          <w:szCs w:val="21"/>
          <w:spacing w:val="-6"/>
        </w:rPr>
        <w:t>实施提供指导。</w:t>
      </w:r>
    </w:p>
    <w:p>
      <w:pPr>
        <w:ind w:firstLine="419"/>
        <w:spacing w:before="51" w:line="264" w:lineRule="auto"/>
        <w:rPr>
          <w:rFonts w:ascii="SimSun" w:hAnsi="SimSun" w:eastAsia="SimSun" w:cs="SimSun"/>
          <w:sz w:val="21"/>
          <w:szCs w:val="21"/>
        </w:rPr>
      </w:pPr>
      <w:r>
        <w:rPr>
          <w:rFonts w:ascii="SimSun" w:hAnsi="SimSun" w:eastAsia="SimSun" w:cs="SimSun"/>
          <w:sz w:val="21"/>
          <w:szCs w:val="21"/>
          <w:spacing w:val="11"/>
        </w:rPr>
        <w:t>本书共11章，分为3篇：第1篇云端数据治理成熟度概述；第2篇云端数据治 </w:t>
      </w:r>
      <w:r>
        <w:rPr>
          <w:rFonts w:ascii="SimSun" w:hAnsi="SimSun" w:eastAsia="SimSun" w:cs="SimSun"/>
          <w:sz w:val="21"/>
          <w:szCs w:val="21"/>
          <w:spacing w:val="7"/>
        </w:rPr>
        <w:t>理成熟度模型解读；第3篇云端数据治理体系与实施。围绕“概念—内容—实施”</w:t>
      </w:r>
      <w:r>
        <w:rPr>
          <w:rFonts w:ascii="SimSun" w:hAnsi="SimSun" w:eastAsia="SimSun" w:cs="SimSun"/>
          <w:sz w:val="21"/>
          <w:szCs w:val="21"/>
          <w:spacing w:val="18"/>
        </w:rPr>
        <w:t xml:space="preserve"> </w:t>
      </w:r>
      <w:r>
        <w:rPr>
          <w:rFonts w:ascii="SimSun" w:hAnsi="SimSun" w:eastAsia="SimSun" w:cs="SimSun"/>
          <w:sz w:val="21"/>
          <w:szCs w:val="21"/>
          <w:spacing w:val="2"/>
        </w:rPr>
        <w:t>循序渐进的总体思路，本书有望帮助读者了解数据治理的概念，建立对云端数据治  </w:t>
      </w:r>
      <w:r>
        <w:rPr>
          <w:rFonts w:ascii="SimSun" w:hAnsi="SimSun" w:eastAsia="SimSun" w:cs="SimSun"/>
          <w:sz w:val="21"/>
          <w:szCs w:val="21"/>
          <w:spacing w:val="1"/>
        </w:rPr>
        <w:t>理的初步认识；帮助读者深入学习云端数据治理模型及其内涵，掌握开展云端数据</w:t>
      </w:r>
      <w:r>
        <w:rPr>
          <w:rFonts w:ascii="SimSun" w:hAnsi="SimSun" w:eastAsia="SimSun" w:cs="SimSun"/>
          <w:sz w:val="21"/>
          <w:szCs w:val="21"/>
          <w:spacing w:val="7"/>
        </w:rPr>
        <w:t xml:space="preserve">  </w:t>
      </w:r>
      <w:r>
        <w:rPr>
          <w:rFonts w:ascii="SimSun" w:hAnsi="SimSun" w:eastAsia="SimSun" w:cs="SimSun"/>
          <w:sz w:val="21"/>
          <w:szCs w:val="21"/>
          <w:spacing w:val="1"/>
        </w:rPr>
        <w:t>治理活动所需的理论知识；指导读者构建云端数据治理体系，开展具体的云端数据</w:t>
      </w:r>
      <w:r>
        <w:rPr>
          <w:rFonts w:ascii="SimSun" w:hAnsi="SimSun" w:eastAsia="SimSun" w:cs="SimSun"/>
          <w:sz w:val="21"/>
          <w:szCs w:val="21"/>
          <w:spacing w:val="7"/>
        </w:rPr>
        <w:t xml:space="preserve">  </w:t>
      </w:r>
      <w:r>
        <w:rPr>
          <w:rFonts w:ascii="SimSun" w:hAnsi="SimSun" w:eastAsia="SimSun" w:cs="SimSun"/>
          <w:sz w:val="21"/>
          <w:szCs w:val="21"/>
          <w:spacing w:val="-7"/>
        </w:rPr>
        <w:t>治理活动。</w:t>
      </w:r>
    </w:p>
    <w:p>
      <w:pPr>
        <w:ind w:right="96" w:firstLine="422"/>
        <w:spacing w:before="84" w:line="256" w:lineRule="auto"/>
        <w:rPr>
          <w:rFonts w:ascii="SimSun" w:hAnsi="SimSun" w:eastAsia="SimSun" w:cs="SimSun"/>
          <w:sz w:val="21"/>
          <w:szCs w:val="21"/>
        </w:rPr>
      </w:pPr>
      <w:r>
        <w:rPr>
          <w:rFonts w:ascii="SimHei" w:hAnsi="SimHei" w:eastAsia="SimHei" w:cs="SimHei"/>
          <w:sz w:val="21"/>
          <w:szCs w:val="21"/>
          <w:b/>
          <w:bCs/>
          <w:spacing w:val="9"/>
        </w:rPr>
        <w:t>第</w:t>
      </w:r>
      <w:r>
        <w:rPr>
          <w:rFonts w:ascii="SimHei" w:hAnsi="SimHei" w:eastAsia="SimHei" w:cs="SimHei"/>
          <w:sz w:val="21"/>
          <w:szCs w:val="21"/>
          <w:spacing w:val="-17"/>
        </w:rPr>
        <w:t xml:space="preserve"> </w:t>
      </w:r>
      <w:r>
        <w:rPr>
          <w:rFonts w:ascii="SimHei" w:hAnsi="SimHei" w:eastAsia="SimHei" w:cs="SimHei"/>
          <w:sz w:val="21"/>
          <w:szCs w:val="21"/>
          <w:b/>
          <w:bCs/>
          <w:spacing w:val="9"/>
        </w:rPr>
        <w:t>1</w:t>
      </w:r>
      <w:r>
        <w:rPr>
          <w:rFonts w:ascii="SimHei" w:hAnsi="SimHei" w:eastAsia="SimHei" w:cs="SimHei"/>
          <w:sz w:val="21"/>
          <w:szCs w:val="21"/>
          <w:spacing w:val="-38"/>
        </w:rPr>
        <w:t xml:space="preserve"> </w:t>
      </w:r>
      <w:r>
        <w:rPr>
          <w:rFonts w:ascii="SimHei" w:hAnsi="SimHei" w:eastAsia="SimHei" w:cs="SimHei"/>
          <w:sz w:val="21"/>
          <w:szCs w:val="21"/>
          <w:b/>
          <w:bCs/>
          <w:spacing w:val="9"/>
        </w:rPr>
        <w:t>篇</w:t>
      </w:r>
      <w:r>
        <w:rPr>
          <w:rFonts w:ascii="SimHei" w:hAnsi="SimHei" w:eastAsia="SimHei" w:cs="SimHei"/>
          <w:sz w:val="21"/>
          <w:szCs w:val="21"/>
          <w:spacing w:val="9"/>
        </w:rPr>
        <w:t xml:space="preserve">  </w:t>
      </w:r>
      <w:r>
        <w:rPr>
          <w:rFonts w:ascii="SimSun" w:hAnsi="SimSun" w:eastAsia="SimSun" w:cs="SimSun"/>
          <w:sz w:val="21"/>
          <w:szCs w:val="21"/>
          <w:spacing w:val="9"/>
        </w:rPr>
        <w:t>云端数据治理成熟度概述(第1～3章),通过对比云计算环境和传统</w:t>
      </w:r>
      <w:r>
        <w:rPr>
          <w:rFonts w:ascii="SimSun" w:hAnsi="SimSun" w:eastAsia="SimSun" w:cs="SimSun"/>
          <w:sz w:val="21"/>
          <w:szCs w:val="21"/>
        </w:rPr>
        <w:t xml:space="preserve"> </w:t>
      </w:r>
      <w:r>
        <w:rPr>
          <w:rFonts w:ascii="Times New Roman" w:hAnsi="Times New Roman" w:eastAsia="Times New Roman" w:cs="Times New Roman"/>
          <w:sz w:val="21"/>
          <w:szCs w:val="21"/>
        </w:rPr>
        <w:t>IT</w:t>
      </w:r>
      <w:r>
        <w:rPr>
          <w:rFonts w:ascii="SimSun" w:hAnsi="SimSun" w:eastAsia="SimSun" w:cs="SimSun"/>
          <w:sz w:val="21"/>
          <w:szCs w:val="21"/>
          <w:spacing w:val="2"/>
        </w:rPr>
        <w:t>环境下数据的特点，结合数据治理发展趋势，有针对性地提出了云端数据治理成</w:t>
      </w:r>
      <w:r>
        <w:rPr>
          <w:rFonts w:ascii="SimSun" w:hAnsi="SimSun" w:eastAsia="SimSun" w:cs="SimSun"/>
          <w:sz w:val="21"/>
          <w:szCs w:val="21"/>
          <w:spacing w:val="10"/>
        </w:rPr>
        <w:t xml:space="preserve"> </w:t>
      </w:r>
      <w:r>
        <w:rPr>
          <w:rFonts w:ascii="SimSun" w:hAnsi="SimSun" w:eastAsia="SimSun" w:cs="SimSun"/>
          <w:sz w:val="21"/>
          <w:szCs w:val="21"/>
          <w:spacing w:val="-2"/>
        </w:rPr>
        <w:t>熟度模型，帮助读者建立云端数据治理的初步认识。</w:t>
      </w:r>
    </w:p>
    <w:p>
      <w:pPr>
        <w:ind w:right="43" w:firstLine="422"/>
        <w:spacing w:before="77" w:line="247" w:lineRule="auto"/>
        <w:rPr>
          <w:rFonts w:ascii="SimSun" w:hAnsi="SimSun" w:eastAsia="SimSun" w:cs="SimSun"/>
          <w:sz w:val="21"/>
          <w:szCs w:val="21"/>
        </w:rPr>
      </w:pPr>
      <w:r>
        <w:rPr>
          <w:rFonts w:ascii="SimSun" w:hAnsi="SimSun" w:eastAsia="SimSun" w:cs="SimSun"/>
          <w:sz w:val="21"/>
          <w:szCs w:val="21"/>
          <w:b/>
          <w:bCs/>
          <w:spacing w:val="1"/>
        </w:rPr>
        <w:t>第1章</w:t>
      </w:r>
      <w:r>
        <w:rPr>
          <w:rFonts w:ascii="SimSun" w:hAnsi="SimSun" w:eastAsia="SimSun" w:cs="SimSun"/>
          <w:sz w:val="21"/>
          <w:szCs w:val="21"/>
          <w:spacing w:val="92"/>
        </w:rPr>
        <w:t xml:space="preserve"> </w:t>
      </w:r>
      <w:r>
        <w:rPr>
          <w:rFonts w:ascii="SimSun" w:hAnsi="SimSun" w:eastAsia="SimSun" w:cs="SimSun"/>
          <w:sz w:val="21"/>
          <w:szCs w:val="21"/>
          <w:spacing w:val="1"/>
        </w:rPr>
        <w:t>数据治理概述，介绍了数据治理的相关</w:t>
      </w:r>
      <w:r>
        <w:rPr>
          <w:rFonts w:ascii="SimSun" w:hAnsi="SimSun" w:eastAsia="SimSun" w:cs="SimSun"/>
          <w:sz w:val="21"/>
          <w:szCs w:val="21"/>
        </w:rPr>
        <w:t>概念，讨论了数据治理的定义， </w:t>
      </w:r>
      <w:r>
        <w:rPr>
          <w:rFonts w:ascii="SimSun" w:hAnsi="SimSun" w:eastAsia="SimSun" w:cs="SimSun"/>
          <w:sz w:val="21"/>
          <w:szCs w:val="21"/>
          <w:spacing w:val="-2"/>
        </w:rPr>
        <w:t>并简要回顾了数据治理理论的研究历程以及数据治理面临的挑战。</w:t>
      </w:r>
    </w:p>
    <w:p>
      <w:pPr>
        <w:ind w:right="93" w:firstLine="422"/>
        <w:spacing w:before="60" w:line="259" w:lineRule="auto"/>
        <w:rPr>
          <w:rFonts w:ascii="SimSun" w:hAnsi="SimSun" w:eastAsia="SimSun" w:cs="SimSun"/>
          <w:sz w:val="21"/>
          <w:szCs w:val="21"/>
        </w:rPr>
      </w:pPr>
      <w:r>
        <w:rPr>
          <w:rFonts w:ascii="SimSun" w:hAnsi="SimSun" w:eastAsia="SimSun" w:cs="SimSun"/>
          <w:sz w:val="21"/>
          <w:szCs w:val="21"/>
          <w:b/>
          <w:bCs/>
        </w:rPr>
        <w:t>第</w:t>
      </w:r>
      <w:r>
        <w:rPr>
          <w:rFonts w:ascii="SimSun" w:hAnsi="SimSun" w:eastAsia="SimSun" w:cs="SimSun"/>
          <w:sz w:val="21"/>
          <w:szCs w:val="21"/>
          <w:spacing w:val="-17"/>
        </w:rPr>
        <w:t xml:space="preserve"> </w:t>
      </w:r>
      <w:r>
        <w:rPr>
          <w:rFonts w:ascii="SimSun" w:hAnsi="SimSun" w:eastAsia="SimSun" w:cs="SimSun"/>
          <w:sz w:val="21"/>
          <w:szCs w:val="21"/>
          <w:b/>
          <w:bCs/>
        </w:rPr>
        <w:t>2</w:t>
      </w:r>
      <w:r>
        <w:rPr>
          <w:rFonts w:ascii="SimSun" w:hAnsi="SimSun" w:eastAsia="SimSun" w:cs="SimSun"/>
          <w:sz w:val="21"/>
          <w:szCs w:val="21"/>
          <w:spacing w:val="-28"/>
        </w:rPr>
        <w:t xml:space="preserve"> </w:t>
      </w:r>
      <w:r>
        <w:rPr>
          <w:rFonts w:ascii="SimSun" w:hAnsi="SimSun" w:eastAsia="SimSun" w:cs="SimSun"/>
          <w:sz w:val="21"/>
          <w:szCs w:val="21"/>
          <w:b/>
          <w:bCs/>
        </w:rPr>
        <w:t>章</w:t>
      </w:r>
      <w:r>
        <w:rPr>
          <w:rFonts w:ascii="SimSun" w:hAnsi="SimSun" w:eastAsia="SimSun" w:cs="SimSun"/>
          <w:sz w:val="21"/>
          <w:szCs w:val="21"/>
          <w:spacing w:val="103"/>
        </w:rPr>
        <w:t xml:space="preserve"> </w:t>
      </w:r>
      <w:r>
        <w:rPr>
          <w:rFonts w:ascii="SimSun" w:hAnsi="SimSun" w:eastAsia="SimSun" w:cs="SimSun"/>
          <w:sz w:val="21"/>
          <w:szCs w:val="21"/>
        </w:rPr>
        <w:t>大数据与云端数据治理，介绍了云计算和大数据的特点以及他们对数 </w:t>
      </w:r>
      <w:r>
        <w:rPr>
          <w:rFonts w:ascii="SimSun" w:hAnsi="SimSun" w:eastAsia="SimSun" w:cs="SimSun"/>
          <w:sz w:val="21"/>
          <w:szCs w:val="21"/>
          <w:spacing w:val="2"/>
        </w:rPr>
        <w:t>据本身带来的影响，针对云计算环境下数据的特点，提出了云端数据治</w:t>
      </w:r>
      <w:r>
        <w:rPr>
          <w:rFonts w:ascii="SimSun" w:hAnsi="SimSun" w:eastAsia="SimSun" w:cs="SimSun"/>
          <w:sz w:val="21"/>
          <w:szCs w:val="21"/>
          <w:spacing w:val="1"/>
        </w:rPr>
        <w:t>理的定义并</w:t>
      </w:r>
      <w:r>
        <w:rPr>
          <w:rFonts w:ascii="SimSun" w:hAnsi="SimSun" w:eastAsia="SimSun" w:cs="SimSun"/>
          <w:sz w:val="21"/>
          <w:szCs w:val="21"/>
        </w:rPr>
        <w:t xml:space="preserve"> </w:t>
      </w:r>
      <w:r>
        <w:rPr>
          <w:rFonts w:ascii="SimSun" w:hAnsi="SimSun" w:eastAsia="SimSun" w:cs="SimSun"/>
          <w:sz w:val="21"/>
          <w:szCs w:val="21"/>
          <w:spacing w:val="2"/>
        </w:rPr>
        <w:t>解释了其内涵，对比分析了云端数据治理与数据治理的关系，论述了开展云端数据</w:t>
      </w:r>
      <w:r>
        <w:rPr>
          <w:rFonts w:ascii="SimSun" w:hAnsi="SimSun" w:eastAsia="SimSun" w:cs="SimSun"/>
          <w:sz w:val="21"/>
          <w:szCs w:val="21"/>
        </w:rPr>
        <w:t xml:space="preserve"> </w:t>
      </w:r>
      <w:r>
        <w:rPr>
          <w:rFonts w:ascii="SimSun" w:hAnsi="SimSun" w:eastAsia="SimSun" w:cs="SimSun"/>
          <w:sz w:val="21"/>
          <w:szCs w:val="21"/>
          <w:spacing w:val="-5"/>
        </w:rPr>
        <w:t>治理的作用和价值。</w:t>
      </w:r>
    </w:p>
    <w:p>
      <w:pPr>
        <w:spacing w:line="259" w:lineRule="auto"/>
        <w:sectPr>
          <w:pgSz w:w="8870" w:h="13400"/>
          <w:pgMar w:top="400" w:right="793" w:bottom="0" w:left="350" w:header="0" w:footer="0" w:gutter="0"/>
        </w:sectPr>
        <w:rPr>
          <w:rFonts w:ascii="SimSun" w:hAnsi="SimSun" w:eastAsia="SimSun" w:cs="SimSun"/>
          <w:sz w:val="21"/>
          <w:szCs w:val="21"/>
        </w:rPr>
      </w:pPr>
    </w:p>
    <w:p>
      <w:pPr>
        <w:ind w:left="222"/>
        <w:spacing w:before="255" w:line="219" w:lineRule="auto"/>
        <w:rPr>
          <w:rFonts w:ascii="SimSun" w:hAnsi="SimSun" w:eastAsia="SimSun" w:cs="SimSun"/>
          <w:sz w:val="21"/>
          <w:szCs w:val="21"/>
        </w:rPr>
      </w:pPr>
      <w:r>
        <w:pict>
          <v:rect id="_x0000_s2" style="position:absolute;margin-left:29.0005pt;margin-top:28.5018pt;mso-position-vertical-relative:page;mso-position-horizontal-relative:page;width:0.55pt;height:18.5pt;z-index:251663360;" o:allowincell="f" fillcolor="#000000" filled="true" stroked="false"/>
        </w:pict>
      </w:r>
      <w:r>
        <w:rPr>
          <w:rFonts w:ascii="SimSun" w:hAnsi="SimSun" w:eastAsia="SimSun" w:cs="SimSun"/>
          <w:sz w:val="21"/>
          <w:szCs w:val="21"/>
          <w:b/>
          <w:bCs/>
          <w:spacing w:val="-6"/>
        </w:rPr>
        <w:t>■云端数据治理</w:t>
      </w:r>
    </w:p>
    <w:p>
      <w:pPr>
        <w:pStyle w:val="BodyText"/>
        <w:spacing w:line="259" w:lineRule="auto"/>
        <w:rPr/>
      </w:pPr>
      <w:r/>
    </w:p>
    <w:p>
      <w:pPr>
        <w:ind w:left="219" w:right="66" w:firstLine="463"/>
        <w:spacing w:before="69" w:line="262" w:lineRule="auto"/>
        <w:rPr>
          <w:rFonts w:ascii="SimSun" w:hAnsi="SimSun" w:eastAsia="SimSun" w:cs="SimSun"/>
          <w:sz w:val="21"/>
          <w:szCs w:val="21"/>
        </w:rPr>
      </w:pPr>
      <w:r>
        <w:rPr>
          <w:rFonts w:ascii="SimSun" w:hAnsi="SimSun" w:eastAsia="SimSun" w:cs="SimSun"/>
          <w:sz w:val="21"/>
          <w:szCs w:val="21"/>
          <w:b/>
          <w:bCs/>
          <w:spacing w:val="-1"/>
        </w:rPr>
        <w:t>第</w:t>
      </w:r>
      <w:r>
        <w:rPr>
          <w:rFonts w:ascii="SimSun" w:hAnsi="SimSun" w:eastAsia="SimSun" w:cs="SimSun"/>
          <w:sz w:val="21"/>
          <w:szCs w:val="21"/>
          <w:spacing w:val="-31"/>
        </w:rPr>
        <w:t xml:space="preserve"> </w:t>
      </w:r>
      <w:r>
        <w:rPr>
          <w:rFonts w:ascii="SimSun" w:hAnsi="SimSun" w:eastAsia="SimSun" w:cs="SimSun"/>
          <w:sz w:val="21"/>
          <w:szCs w:val="21"/>
          <w:b/>
          <w:bCs/>
          <w:spacing w:val="-1"/>
        </w:rPr>
        <w:t>3</w:t>
      </w:r>
      <w:r>
        <w:rPr>
          <w:rFonts w:ascii="SimSun" w:hAnsi="SimSun" w:eastAsia="SimSun" w:cs="SimSun"/>
          <w:sz w:val="21"/>
          <w:szCs w:val="21"/>
          <w:spacing w:val="-28"/>
        </w:rPr>
        <w:t xml:space="preserve"> </w:t>
      </w:r>
      <w:r>
        <w:rPr>
          <w:rFonts w:ascii="SimSun" w:hAnsi="SimSun" w:eastAsia="SimSun" w:cs="SimSun"/>
          <w:sz w:val="21"/>
          <w:szCs w:val="21"/>
          <w:b/>
          <w:bCs/>
          <w:spacing w:val="-1"/>
        </w:rPr>
        <w:t>章</w:t>
      </w:r>
      <w:r>
        <w:rPr>
          <w:rFonts w:ascii="SimSun" w:hAnsi="SimSun" w:eastAsia="SimSun" w:cs="SimSun"/>
          <w:sz w:val="21"/>
          <w:szCs w:val="21"/>
          <w:spacing w:val="-1"/>
        </w:rPr>
        <w:t xml:space="preserve">  云端数据治理模型与治理成熟度评估模型，从治理内</w:t>
      </w:r>
      <w:r>
        <w:rPr>
          <w:rFonts w:ascii="SimSun" w:hAnsi="SimSun" w:eastAsia="SimSun" w:cs="SimSun"/>
          <w:sz w:val="21"/>
          <w:szCs w:val="21"/>
          <w:spacing w:val="-2"/>
        </w:rPr>
        <w:t>容、治理原则、</w:t>
      </w:r>
      <w:r>
        <w:rPr>
          <w:rFonts w:ascii="SimSun" w:hAnsi="SimSun" w:eastAsia="SimSun" w:cs="SimSun"/>
          <w:sz w:val="21"/>
          <w:szCs w:val="21"/>
        </w:rPr>
        <w:t xml:space="preserve"> </w:t>
      </w:r>
      <w:r>
        <w:rPr>
          <w:rFonts w:ascii="SimSun" w:hAnsi="SimSun" w:eastAsia="SimSun" w:cs="SimSun"/>
          <w:sz w:val="21"/>
          <w:szCs w:val="21"/>
          <w:spacing w:val="4"/>
        </w:rPr>
        <w:t>治理实施3方面解读了云端数据治理模型，帮助读者建立对云端数据治理的总体认</w:t>
      </w:r>
      <w:r>
        <w:rPr>
          <w:rFonts w:ascii="SimSun" w:hAnsi="SimSun" w:eastAsia="SimSun" w:cs="SimSun"/>
          <w:sz w:val="21"/>
          <w:szCs w:val="21"/>
          <w:spacing w:val="10"/>
        </w:rPr>
        <w:t xml:space="preserve"> </w:t>
      </w:r>
      <w:r>
        <w:rPr>
          <w:rFonts w:ascii="SimSun" w:hAnsi="SimSun" w:eastAsia="SimSun" w:cs="SimSun"/>
          <w:sz w:val="21"/>
          <w:szCs w:val="21"/>
          <w:spacing w:val="2"/>
        </w:rPr>
        <w:t>识；定义了云端数据治理能力成熟度等级并描述</w:t>
      </w:r>
      <w:r>
        <w:rPr>
          <w:rFonts w:ascii="SimSun" w:hAnsi="SimSun" w:eastAsia="SimSun" w:cs="SimSun"/>
          <w:sz w:val="21"/>
          <w:szCs w:val="21"/>
          <w:spacing w:val="1"/>
        </w:rPr>
        <w:t>了相应等级的特征，将云端数据治</w:t>
      </w:r>
      <w:r>
        <w:rPr>
          <w:rFonts w:ascii="SimSun" w:hAnsi="SimSun" w:eastAsia="SimSun" w:cs="SimSun"/>
          <w:sz w:val="21"/>
          <w:szCs w:val="21"/>
        </w:rPr>
        <w:t xml:space="preserve"> </w:t>
      </w:r>
      <w:r>
        <w:rPr>
          <w:rFonts w:ascii="SimSun" w:hAnsi="SimSun" w:eastAsia="SimSun" w:cs="SimSun"/>
          <w:sz w:val="21"/>
          <w:szCs w:val="21"/>
          <w:spacing w:val="4"/>
        </w:rPr>
        <w:t>理能力成熟度分为5个等级，用于衡量组织的云端数据治理水平；介绍了云端数据</w:t>
      </w:r>
      <w:r>
        <w:rPr>
          <w:rFonts w:ascii="SimSun" w:hAnsi="SimSun" w:eastAsia="SimSun" w:cs="SimSun"/>
          <w:sz w:val="21"/>
          <w:szCs w:val="21"/>
          <w:spacing w:val="12"/>
        </w:rPr>
        <w:t xml:space="preserve"> </w:t>
      </w:r>
      <w:r>
        <w:rPr>
          <w:rFonts w:ascii="SimSun" w:hAnsi="SimSun" w:eastAsia="SimSun" w:cs="SimSun"/>
          <w:sz w:val="21"/>
          <w:szCs w:val="21"/>
          <w:spacing w:val="-3"/>
        </w:rPr>
        <w:t>治理成熟度评估模型与评估方法。</w:t>
      </w:r>
    </w:p>
    <w:p>
      <w:pPr>
        <w:ind w:left="219" w:right="23" w:firstLine="463"/>
        <w:spacing w:before="49" w:line="266" w:lineRule="auto"/>
        <w:rPr>
          <w:rFonts w:ascii="SimSun" w:hAnsi="SimSun" w:eastAsia="SimSun" w:cs="SimSun"/>
          <w:sz w:val="21"/>
          <w:szCs w:val="21"/>
        </w:rPr>
      </w:pPr>
      <w:r>
        <w:rPr>
          <w:rFonts w:ascii="SimHei" w:hAnsi="SimHei" w:eastAsia="SimHei" w:cs="SimHei"/>
          <w:sz w:val="21"/>
          <w:szCs w:val="21"/>
          <w:b/>
          <w:bCs/>
          <w:spacing w:val="11"/>
        </w:rPr>
        <w:t>第</w:t>
      </w:r>
      <w:r>
        <w:rPr>
          <w:rFonts w:ascii="SimHei" w:hAnsi="SimHei" w:eastAsia="SimHei" w:cs="SimHei"/>
          <w:sz w:val="21"/>
          <w:szCs w:val="21"/>
          <w:spacing w:val="-2"/>
        </w:rPr>
        <w:t xml:space="preserve"> </w:t>
      </w:r>
      <w:r>
        <w:rPr>
          <w:rFonts w:ascii="SimHei" w:hAnsi="SimHei" w:eastAsia="SimHei" w:cs="SimHei"/>
          <w:sz w:val="21"/>
          <w:szCs w:val="21"/>
          <w:b/>
          <w:bCs/>
          <w:spacing w:val="11"/>
        </w:rPr>
        <w:t>2</w:t>
      </w:r>
      <w:r>
        <w:rPr>
          <w:rFonts w:ascii="SimHei" w:hAnsi="SimHei" w:eastAsia="SimHei" w:cs="SimHei"/>
          <w:sz w:val="21"/>
          <w:szCs w:val="21"/>
          <w:spacing w:val="-18"/>
        </w:rPr>
        <w:t xml:space="preserve"> </w:t>
      </w:r>
      <w:r>
        <w:rPr>
          <w:rFonts w:ascii="SimHei" w:hAnsi="SimHei" w:eastAsia="SimHei" w:cs="SimHei"/>
          <w:sz w:val="21"/>
          <w:szCs w:val="21"/>
          <w:b/>
          <w:bCs/>
          <w:spacing w:val="11"/>
        </w:rPr>
        <w:t>篇</w:t>
      </w:r>
      <w:r>
        <w:rPr>
          <w:rFonts w:ascii="SimHei" w:hAnsi="SimHei" w:eastAsia="SimHei" w:cs="SimHei"/>
          <w:sz w:val="21"/>
          <w:szCs w:val="21"/>
          <w:spacing w:val="11"/>
        </w:rPr>
        <w:t xml:space="preserve"> </w:t>
      </w:r>
      <w:r>
        <w:rPr>
          <w:rFonts w:ascii="SimSun" w:hAnsi="SimSun" w:eastAsia="SimSun" w:cs="SimSun"/>
          <w:sz w:val="21"/>
          <w:szCs w:val="21"/>
          <w:spacing w:val="11"/>
        </w:rPr>
        <w:t>云端数据治理成熟度模型解读(第4～9章),从云端数据战略、云端</w:t>
      </w:r>
      <w:r>
        <w:rPr>
          <w:rFonts w:ascii="SimSun" w:hAnsi="SimSun" w:eastAsia="SimSun" w:cs="SimSun"/>
          <w:sz w:val="21"/>
          <w:szCs w:val="21"/>
        </w:rPr>
        <w:t xml:space="preserve"> </w:t>
      </w:r>
      <w:r>
        <w:rPr>
          <w:rFonts w:ascii="SimSun" w:hAnsi="SimSun" w:eastAsia="SimSun" w:cs="SimSun"/>
          <w:sz w:val="21"/>
          <w:szCs w:val="21"/>
          <w:spacing w:val="4"/>
        </w:rPr>
        <w:t>数据管理、云端数据质量、云端数据操作、云端数据架构、安全与隐私6个职能域</w:t>
      </w:r>
      <w:r>
        <w:rPr>
          <w:rFonts w:ascii="SimSun" w:hAnsi="SimSun" w:eastAsia="SimSun" w:cs="SimSun"/>
          <w:sz w:val="21"/>
          <w:szCs w:val="21"/>
          <w:spacing w:val="8"/>
        </w:rPr>
        <w:t xml:space="preserve"> </w:t>
      </w:r>
      <w:r>
        <w:rPr>
          <w:rFonts w:ascii="SimSun" w:hAnsi="SimSun" w:eastAsia="SimSun" w:cs="SimSun"/>
          <w:sz w:val="21"/>
          <w:szCs w:val="21"/>
          <w:spacing w:val="2"/>
        </w:rPr>
        <w:t>分别介绍云端数据治理模型的具体内容，帮助</w:t>
      </w:r>
      <w:r>
        <w:rPr>
          <w:rFonts w:ascii="SimSun" w:hAnsi="SimSun" w:eastAsia="SimSun" w:cs="SimSun"/>
          <w:sz w:val="21"/>
          <w:szCs w:val="21"/>
          <w:spacing w:val="1"/>
        </w:rPr>
        <w:t>读者掌握云端数据实施的基本知识和</w:t>
      </w:r>
      <w:r>
        <w:rPr>
          <w:rFonts w:ascii="SimSun" w:hAnsi="SimSun" w:eastAsia="SimSun" w:cs="SimSun"/>
          <w:sz w:val="21"/>
          <w:szCs w:val="21"/>
        </w:rPr>
        <w:t xml:space="preserve"> </w:t>
      </w:r>
      <w:r>
        <w:rPr>
          <w:rFonts w:ascii="SimSun" w:hAnsi="SimSun" w:eastAsia="SimSun" w:cs="SimSun"/>
          <w:sz w:val="21"/>
          <w:szCs w:val="21"/>
          <w:spacing w:val="-4"/>
        </w:rPr>
        <w:t>开展成熟度评估的依据。</w:t>
      </w:r>
    </w:p>
    <w:p>
      <w:pPr>
        <w:ind w:left="219" w:right="18" w:firstLine="463"/>
        <w:spacing w:before="69" w:line="262" w:lineRule="auto"/>
        <w:rPr>
          <w:rFonts w:ascii="SimSun" w:hAnsi="SimSun" w:eastAsia="SimSun" w:cs="SimSun"/>
          <w:sz w:val="21"/>
          <w:szCs w:val="21"/>
        </w:rPr>
      </w:pPr>
      <w:r>
        <w:rPr>
          <w:rFonts w:ascii="SimSun" w:hAnsi="SimSun" w:eastAsia="SimSun" w:cs="SimSun"/>
          <w:sz w:val="21"/>
          <w:szCs w:val="21"/>
          <w:b/>
          <w:bCs/>
        </w:rPr>
        <w:t>第</w:t>
      </w:r>
      <w:r>
        <w:rPr>
          <w:rFonts w:ascii="SimSun" w:hAnsi="SimSun" w:eastAsia="SimSun" w:cs="SimSun"/>
          <w:sz w:val="21"/>
          <w:szCs w:val="21"/>
          <w:spacing w:val="-22"/>
        </w:rPr>
        <w:t xml:space="preserve"> </w:t>
      </w:r>
      <w:r>
        <w:rPr>
          <w:rFonts w:ascii="SimSun" w:hAnsi="SimSun" w:eastAsia="SimSun" w:cs="SimSun"/>
          <w:sz w:val="21"/>
          <w:szCs w:val="21"/>
          <w:b/>
          <w:bCs/>
        </w:rPr>
        <w:t>4</w:t>
      </w:r>
      <w:r>
        <w:rPr>
          <w:rFonts w:ascii="SimSun" w:hAnsi="SimSun" w:eastAsia="SimSun" w:cs="SimSun"/>
          <w:sz w:val="21"/>
          <w:szCs w:val="21"/>
          <w:spacing w:val="-28"/>
        </w:rPr>
        <w:t xml:space="preserve"> </w:t>
      </w:r>
      <w:r>
        <w:rPr>
          <w:rFonts w:ascii="SimSun" w:hAnsi="SimSun" w:eastAsia="SimSun" w:cs="SimSun"/>
          <w:sz w:val="21"/>
          <w:szCs w:val="21"/>
          <w:b/>
          <w:bCs/>
        </w:rPr>
        <w:t>章</w:t>
      </w:r>
      <w:r>
        <w:rPr>
          <w:rFonts w:ascii="SimSun" w:hAnsi="SimSun" w:eastAsia="SimSun" w:cs="SimSun"/>
          <w:sz w:val="21"/>
          <w:szCs w:val="21"/>
        </w:rPr>
        <w:t xml:space="preserve">  云端数据治理战略，从战略、组织与角色、业务案例、资源保障和沟 </w:t>
      </w:r>
      <w:r>
        <w:rPr>
          <w:rFonts w:ascii="SimSun" w:hAnsi="SimSun" w:eastAsia="SimSun" w:cs="SimSun"/>
          <w:sz w:val="21"/>
          <w:szCs w:val="21"/>
          <w:spacing w:val="6"/>
        </w:rPr>
        <w:t>通5个过程域提出了开展云端数据治理战略管理的要</w:t>
      </w:r>
      <w:r>
        <w:rPr>
          <w:rFonts w:ascii="SimSun" w:hAnsi="SimSun" w:eastAsia="SimSun" w:cs="SimSun"/>
          <w:sz w:val="21"/>
          <w:szCs w:val="21"/>
          <w:spacing w:val="5"/>
        </w:rPr>
        <w:t>求，帮助组织制订一个能够全</w:t>
      </w:r>
      <w:r>
        <w:rPr>
          <w:rFonts w:ascii="SimSun" w:hAnsi="SimSun" w:eastAsia="SimSun" w:cs="SimSun"/>
          <w:sz w:val="21"/>
          <w:szCs w:val="21"/>
        </w:rPr>
        <w:t xml:space="preserve"> </w:t>
      </w:r>
      <w:r>
        <w:rPr>
          <w:rFonts w:ascii="SimSun" w:hAnsi="SimSun" w:eastAsia="SimSun" w:cs="SimSun"/>
          <w:sz w:val="21"/>
          <w:szCs w:val="21"/>
          <w:spacing w:val="-3"/>
        </w:rPr>
        <w:t>局指导云端数据治理活动开展的顶层规划。</w:t>
      </w:r>
    </w:p>
    <w:p>
      <w:pPr>
        <w:ind w:left="219" w:right="26" w:firstLine="463"/>
        <w:spacing w:before="36" w:line="252" w:lineRule="auto"/>
        <w:rPr>
          <w:rFonts w:ascii="SimSun" w:hAnsi="SimSun" w:eastAsia="SimSun" w:cs="SimSun"/>
          <w:sz w:val="21"/>
          <w:szCs w:val="21"/>
        </w:rPr>
      </w:pPr>
      <w:r>
        <w:rPr>
          <w:rFonts w:ascii="SimHei" w:hAnsi="SimHei" w:eastAsia="SimHei" w:cs="SimHei"/>
          <w:sz w:val="21"/>
          <w:szCs w:val="21"/>
          <w:b/>
          <w:bCs/>
          <w:spacing w:val="4"/>
        </w:rPr>
        <w:t>第</w:t>
      </w:r>
      <w:r>
        <w:rPr>
          <w:rFonts w:ascii="SimHei" w:hAnsi="SimHei" w:eastAsia="SimHei" w:cs="SimHei"/>
          <w:sz w:val="21"/>
          <w:szCs w:val="21"/>
          <w:spacing w:val="-44"/>
        </w:rPr>
        <w:t xml:space="preserve"> </w:t>
      </w:r>
      <w:r>
        <w:rPr>
          <w:rFonts w:ascii="SimHei" w:hAnsi="SimHei" w:eastAsia="SimHei" w:cs="SimHei"/>
          <w:sz w:val="21"/>
          <w:szCs w:val="21"/>
          <w:b/>
          <w:bCs/>
          <w:spacing w:val="4"/>
        </w:rPr>
        <w:t>5</w:t>
      </w:r>
      <w:r>
        <w:rPr>
          <w:rFonts w:ascii="SimHei" w:hAnsi="SimHei" w:eastAsia="SimHei" w:cs="SimHei"/>
          <w:sz w:val="21"/>
          <w:szCs w:val="21"/>
          <w:spacing w:val="-38"/>
        </w:rPr>
        <w:t xml:space="preserve"> </w:t>
      </w:r>
      <w:r>
        <w:rPr>
          <w:rFonts w:ascii="SimHei" w:hAnsi="SimHei" w:eastAsia="SimHei" w:cs="SimHei"/>
          <w:sz w:val="21"/>
          <w:szCs w:val="21"/>
          <w:b/>
          <w:bCs/>
          <w:spacing w:val="4"/>
        </w:rPr>
        <w:t>章</w:t>
      </w:r>
      <w:r>
        <w:rPr>
          <w:rFonts w:ascii="SimHei" w:hAnsi="SimHei" w:eastAsia="SimHei" w:cs="SimHei"/>
          <w:sz w:val="21"/>
          <w:szCs w:val="21"/>
          <w:spacing w:val="4"/>
        </w:rPr>
        <w:t xml:space="preserve">  </w:t>
      </w:r>
      <w:r>
        <w:rPr>
          <w:rFonts w:ascii="SimSun" w:hAnsi="SimSun" w:eastAsia="SimSun" w:cs="SimSun"/>
          <w:sz w:val="21"/>
          <w:szCs w:val="21"/>
          <w:spacing w:val="4"/>
        </w:rPr>
        <w:t>云端数据管理，从业务词汇表、元数据管理和</w:t>
      </w:r>
      <w:r>
        <w:rPr>
          <w:rFonts w:ascii="SimSun" w:hAnsi="SimSun" w:eastAsia="SimSun" w:cs="SimSun"/>
          <w:sz w:val="21"/>
          <w:szCs w:val="21"/>
          <w:spacing w:val="3"/>
        </w:rPr>
        <w:t>主数据管理3个过程域</w:t>
      </w:r>
      <w:r>
        <w:rPr>
          <w:rFonts w:ascii="SimSun" w:hAnsi="SimSun" w:eastAsia="SimSun" w:cs="SimSun"/>
          <w:sz w:val="21"/>
          <w:szCs w:val="21"/>
        </w:rPr>
        <w:t xml:space="preserve"> </w:t>
      </w:r>
      <w:r>
        <w:rPr>
          <w:rFonts w:ascii="SimSun" w:hAnsi="SimSun" w:eastAsia="SimSun" w:cs="SimSun"/>
          <w:sz w:val="21"/>
          <w:szCs w:val="21"/>
        </w:rPr>
        <w:t>提出了对云端数据进行管理的要求，为云端数据管理应该达到的水</w:t>
      </w:r>
      <w:r>
        <w:rPr>
          <w:rFonts w:ascii="SimSun" w:hAnsi="SimSun" w:eastAsia="SimSun" w:cs="SimSun"/>
          <w:sz w:val="21"/>
          <w:szCs w:val="21"/>
          <w:spacing w:val="-1"/>
        </w:rPr>
        <w:t>平指明了方向。</w:t>
      </w:r>
    </w:p>
    <w:p>
      <w:pPr>
        <w:ind w:left="219" w:right="25" w:firstLine="463"/>
        <w:spacing w:before="46" w:line="262" w:lineRule="auto"/>
        <w:rPr>
          <w:rFonts w:ascii="SimSun" w:hAnsi="SimSun" w:eastAsia="SimSun" w:cs="SimSun"/>
          <w:sz w:val="21"/>
          <w:szCs w:val="21"/>
        </w:rPr>
      </w:pPr>
      <w:r>
        <w:rPr>
          <w:rFonts w:ascii="SimSun" w:hAnsi="SimSun" w:eastAsia="SimSun" w:cs="SimSun"/>
          <w:sz w:val="21"/>
          <w:szCs w:val="21"/>
          <w:b/>
          <w:bCs/>
        </w:rPr>
        <w:t>第</w:t>
      </w:r>
      <w:r>
        <w:rPr>
          <w:rFonts w:ascii="SimSun" w:hAnsi="SimSun" w:eastAsia="SimSun" w:cs="SimSun"/>
          <w:sz w:val="21"/>
          <w:szCs w:val="21"/>
          <w:spacing w:val="-29"/>
        </w:rPr>
        <w:t xml:space="preserve"> </w:t>
      </w:r>
      <w:r>
        <w:rPr>
          <w:rFonts w:ascii="SimSun" w:hAnsi="SimSun" w:eastAsia="SimSun" w:cs="SimSun"/>
          <w:sz w:val="21"/>
          <w:szCs w:val="21"/>
          <w:b/>
          <w:bCs/>
        </w:rPr>
        <w:t>6</w:t>
      </w:r>
      <w:r>
        <w:rPr>
          <w:rFonts w:ascii="SimSun" w:hAnsi="SimSun" w:eastAsia="SimSun" w:cs="SimSun"/>
          <w:sz w:val="21"/>
          <w:szCs w:val="21"/>
          <w:spacing w:val="-28"/>
        </w:rPr>
        <w:t xml:space="preserve"> </w:t>
      </w:r>
      <w:r>
        <w:rPr>
          <w:rFonts w:ascii="SimSun" w:hAnsi="SimSun" w:eastAsia="SimSun" w:cs="SimSun"/>
          <w:sz w:val="21"/>
          <w:szCs w:val="21"/>
          <w:b/>
          <w:bCs/>
        </w:rPr>
        <w:t>章</w:t>
      </w:r>
      <w:r>
        <w:rPr>
          <w:rFonts w:ascii="SimSun" w:hAnsi="SimSun" w:eastAsia="SimSun" w:cs="SimSun"/>
          <w:sz w:val="21"/>
          <w:szCs w:val="21"/>
        </w:rPr>
        <w:t xml:space="preserve">  云端数据质量，从数据质量战略、数据概要分析、数据质量评估和数 </w:t>
      </w:r>
      <w:r>
        <w:rPr>
          <w:rFonts w:ascii="SimSun" w:hAnsi="SimSun" w:eastAsia="SimSun" w:cs="SimSun"/>
          <w:sz w:val="21"/>
          <w:szCs w:val="21"/>
          <w:spacing w:val="4"/>
        </w:rPr>
        <w:t>据清洗4个过程域提出了对云端数据质量进行管理的要求，能够指导组织如何提高</w:t>
      </w:r>
      <w:r>
        <w:rPr>
          <w:rFonts w:ascii="SimSun" w:hAnsi="SimSun" w:eastAsia="SimSun" w:cs="SimSun"/>
          <w:sz w:val="21"/>
          <w:szCs w:val="21"/>
          <w:spacing w:val="9"/>
        </w:rPr>
        <w:t xml:space="preserve"> </w:t>
      </w:r>
      <w:r>
        <w:rPr>
          <w:rFonts w:ascii="SimSun" w:hAnsi="SimSun" w:eastAsia="SimSun" w:cs="SimSun"/>
          <w:sz w:val="21"/>
          <w:szCs w:val="21"/>
          <w:spacing w:val="-7"/>
        </w:rPr>
        <w:t>数据质量。</w:t>
      </w:r>
    </w:p>
    <w:p>
      <w:pPr>
        <w:ind w:left="219" w:right="10" w:firstLine="463"/>
        <w:spacing w:before="56" w:line="262" w:lineRule="auto"/>
        <w:rPr>
          <w:rFonts w:ascii="SimSun" w:hAnsi="SimSun" w:eastAsia="SimSun" w:cs="SimSun"/>
          <w:sz w:val="21"/>
          <w:szCs w:val="21"/>
        </w:rPr>
      </w:pPr>
      <w:r>
        <w:rPr>
          <w:rFonts w:ascii="SimHei" w:hAnsi="SimHei" w:eastAsia="SimHei" w:cs="SimHei"/>
          <w:sz w:val="21"/>
          <w:szCs w:val="21"/>
          <w:b/>
          <w:bCs/>
          <w:spacing w:val="1"/>
        </w:rPr>
        <w:t>第</w:t>
      </w:r>
      <w:r>
        <w:rPr>
          <w:rFonts w:ascii="SimHei" w:hAnsi="SimHei" w:eastAsia="SimHei" w:cs="SimHei"/>
          <w:sz w:val="21"/>
          <w:szCs w:val="21"/>
          <w:spacing w:val="-38"/>
        </w:rPr>
        <w:t xml:space="preserve"> </w:t>
      </w:r>
      <w:r>
        <w:rPr>
          <w:rFonts w:ascii="SimHei" w:hAnsi="SimHei" w:eastAsia="SimHei" w:cs="SimHei"/>
          <w:sz w:val="21"/>
          <w:szCs w:val="21"/>
          <w:b/>
          <w:bCs/>
          <w:spacing w:val="1"/>
        </w:rPr>
        <w:t>7</w:t>
      </w:r>
      <w:r>
        <w:rPr>
          <w:rFonts w:ascii="SimHei" w:hAnsi="SimHei" w:eastAsia="SimHei" w:cs="SimHei"/>
          <w:sz w:val="21"/>
          <w:szCs w:val="21"/>
          <w:spacing w:val="-39"/>
        </w:rPr>
        <w:t xml:space="preserve"> </w:t>
      </w:r>
      <w:r>
        <w:rPr>
          <w:rFonts w:ascii="SimHei" w:hAnsi="SimHei" w:eastAsia="SimHei" w:cs="SimHei"/>
          <w:sz w:val="21"/>
          <w:szCs w:val="21"/>
          <w:b/>
          <w:bCs/>
          <w:spacing w:val="1"/>
        </w:rPr>
        <w:t>章</w:t>
      </w:r>
      <w:r>
        <w:rPr>
          <w:rFonts w:ascii="SimHei" w:hAnsi="SimHei" w:eastAsia="SimHei" w:cs="SimHei"/>
          <w:sz w:val="21"/>
          <w:szCs w:val="21"/>
          <w:spacing w:val="1"/>
        </w:rPr>
        <w:t xml:space="preserve">  </w:t>
      </w:r>
      <w:r>
        <w:rPr>
          <w:rFonts w:ascii="SimSun" w:hAnsi="SimSun" w:eastAsia="SimSun" w:cs="SimSun"/>
          <w:sz w:val="21"/>
          <w:szCs w:val="21"/>
          <w:spacing w:val="1"/>
        </w:rPr>
        <w:t>云端数据操作，从数据提供者管理、数据集成与互操作和数据生命周</w:t>
      </w:r>
      <w:r>
        <w:rPr>
          <w:rFonts w:ascii="SimSun" w:hAnsi="SimSun" w:eastAsia="SimSun" w:cs="SimSun"/>
          <w:sz w:val="21"/>
          <w:szCs w:val="21"/>
        </w:rPr>
        <w:t xml:space="preserve"> </w:t>
      </w:r>
      <w:r>
        <w:rPr>
          <w:rFonts w:ascii="SimSun" w:hAnsi="SimSun" w:eastAsia="SimSun" w:cs="SimSun"/>
          <w:sz w:val="21"/>
          <w:szCs w:val="21"/>
          <w:spacing w:val="4"/>
        </w:rPr>
        <w:t>期管理3个过程域提出了对云端数据操作进行管理的要求，帮助组织建立一个完整</w:t>
      </w:r>
      <w:r>
        <w:rPr>
          <w:rFonts w:ascii="SimSun" w:hAnsi="SimSun" w:eastAsia="SimSun" w:cs="SimSun"/>
          <w:sz w:val="21"/>
          <w:szCs w:val="21"/>
          <w:spacing w:val="10"/>
        </w:rPr>
        <w:t xml:space="preserve"> </w:t>
      </w:r>
      <w:r>
        <w:rPr>
          <w:rFonts w:ascii="SimSun" w:hAnsi="SimSun" w:eastAsia="SimSun" w:cs="SimSun"/>
          <w:sz w:val="21"/>
          <w:szCs w:val="21"/>
          <w:spacing w:val="-1"/>
        </w:rPr>
        <w:t>的数据生命周期管理体系，提高数据全流程的管理水平。</w:t>
      </w:r>
    </w:p>
    <w:p>
      <w:pPr>
        <w:ind w:left="219" w:right="23" w:firstLine="463"/>
        <w:spacing w:before="67" w:line="243" w:lineRule="auto"/>
        <w:rPr>
          <w:rFonts w:ascii="SimSun" w:hAnsi="SimSun" w:eastAsia="SimSun" w:cs="SimSun"/>
          <w:sz w:val="21"/>
          <w:szCs w:val="21"/>
        </w:rPr>
      </w:pPr>
      <w:r>
        <w:rPr>
          <w:rFonts w:ascii="SimSun" w:hAnsi="SimSun" w:eastAsia="SimSun" w:cs="SimSun"/>
          <w:sz w:val="21"/>
          <w:szCs w:val="21"/>
          <w:b/>
          <w:bCs/>
        </w:rPr>
        <w:t>第</w:t>
      </w:r>
      <w:r>
        <w:rPr>
          <w:rFonts w:ascii="SimSun" w:hAnsi="SimSun" w:eastAsia="SimSun" w:cs="SimSun"/>
          <w:sz w:val="21"/>
          <w:szCs w:val="21"/>
          <w:spacing w:val="-27"/>
        </w:rPr>
        <w:t xml:space="preserve"> </w:t>
      </w:r>
      <w:r>
        <w:rPr>
          <w:rFonts w:ascii="SimSun" w:hAnsi="SimSun" w:eastAsia="SimSun" w:cs="SimSun"/>
          <w:sz w:val="21"/>
          <w:szCs w:val="21"/>
          <w:b/>
          <w:bCs/>
        </w:rPr>
        <w:t>8</w:t>
      </w:r>
      <w:r>
        <w:rPr>
          <w:rFonts w:ascii="SimSun" w:hAnsi="SimSun" w:eastAsia="SimSun" w:cs="SimSun"/>
          <w:sz w:val="21"/>
          <w:szCs w:val="21"/>
          <w:spacing w:val="-28"/>
        </w:rPr>
        <w:t xml:space="preserve"> </w:t>
      </w:r>
      <w:r>
        <w:rPr>
          <w:rFonts w:ascii="SimSun" w:hAnsi="SimSun" w:eastAsia="SimSun" w:cs="SimSun"/>
          <w:sz w:val="21"/>
          <w:szCs w:val="21"/>
          <w:b/>
          <w:bCs/>
        </w:rPr>
        <w:t>章</w:t>
      </w:r>
      <w:r>
        <w:rPr>
          <w:rFonts w:ascii="SimSun" w:hAnsi="SimSun" w:eastAsia="SimSun" w:cs="SimSun"/>
          <w:sz w:val="21"/>
          <w:szCs w:val="21"/>
        </w:rPr>
        <w:t xml:space="preserve">  云端数据架构，从架构方法、架构标准、数据管理平台和历史数据管 </w:t>
      </w:r>
      <w:r>
        <w:rPr>
          <w:rFonts w:ascii="SimSun" w:hAnsi="SimSun" w:eastAsia="SimSun" w:cs="SimSun"/>
          <w:sz w:val="21"/>
          <w:szCs w:val="21"/>
          <w:spacing w:val="4"/>
        </w:rPr>
        <w:t>理4个过程域对云端数据架构建设提出了要求。</w:t>
      </w:r>
    </w:p>
    <w:p>
      <w:pPr>
        <w:ind w:left="219" w:right="27" w:firstLine="463"/>
        <w:spacing w:before="56" w:line="256" w:lineRule="auto"/>
        <w:rPr>
          <w:rFonts w:ascii="SimSun" w:hAnsi="SimSun" w:eastAsia="SimSun" w:cs="SimSun"/>
          <w:sz w:val="21"/>
          <w:szCs w:val="21"/>
        </w:rPr>
      </w:pPr>
      <w:r>
        <w:rPr>
          <w:rFonts w:ascii="SimSun" w:hAnsi="SimSun" w:eastAsia="SimSun" w:cs="SimSun"/>
          <w:sz w:val="21"/>
          <w:szCs w:val="21"/>
          <w:b/>
          <w:bCs/>
          <w:spacing w:val="4"/>
        </w:rPr>
        <w:t>第</w:t>
      </w:r>
      <w:r>
        <w:rPr>
          <w:rFonts w:ascii="SimSun" w:hAnsi="SimSun" w:eastAsia="SimSun" w:cs="SimSun"/>
          <w:sz w:val="21"/>
          <w:szCs w:val="21"/>
          <w:spacing w:val="-34"/>
        </w:rPr>
        <w:t xml:space="preserve"> </w:t>
      </w:r>
      <w:r>
        <w:rPr>
          <w:rFonts w:ascii="SimSun" w:hAnsi="SimSun" w:eastAsia="SimSun" w:cs="SimSun"/>
          <w:sz w:val="21"/>
          <w:szCs w:val="21"/>
          <w:b/>
          <w:bCs/>
          <w:spacing w:val="4"/>
        </w:rPr>
        <w:t>9</w:t>
      </w:r>
      <w:r>
        <w:rPr>
          <w:rFonts w:ascii="SimSun" w:hAnsi="SimSun" w:eastAsia="SimSun" w:cs="SimSun"/>
          <w:sz w:val="21"/>
          <w:szCs w:val="21"/>
          <w:spacing w:val="-28"/>
        </w:rPr>
        <w:t xml:space="preserve"> </w:t>
      </w:r>
      <w:r>
        <w:rPr>
          <w:rFonts w:ascii="SimSun" w:hAnsi="SimSun" w:eastAsia="SimSun" w:cs="SimSun"/>
          <w:sz w:val="21"/>
          <w:szCs w:val="21"/>
          <w:b/>
          <w:bCs/>
          <w:spacing w:val="4"/>
        </w:rPr>
        <w:t>章</w:t>
      </w:r>
      <w:r>
        <w:rPr>
          <w:rFonts w:ascii="SimSun" w:hAnsi="SimSun" w:eastAsia="SimSun" w:cs="SimSun"/>
          <w:sz w:val="21"/>
          <w:szCs w:val="21"/>
          <w:spacing w:val="92"/>
        </w:rPr>
        <w:t xml:space="preserve"> </w:t>
      </w:r>
      <w:r>
        <w:rPr>
          <w:rFonts w:ascii="SimSun" w:hAnsi="SimSun" w:eastAsia="SimSun" w:cs="SimSun"/>
          <w:sz w:val="21"/>
          <w:szCs w:val="21"/>
          <w:spacing w:val="4"/>
        </w:rPr>
        <w:t>安全与隐私，从风险管理、数据安全、隐私</w:t>
      </w:r>
      <w:r>
        <w:rPr>
          <w:rFonts w:ascii="SimSun" w:hAnsi="SimSun" w:eastAsia="SimSun" w:cs="SimSun"/>
          <w:sz w:val="21"/>
          <w:szCs w:val="21"/>
          <w:spacing w:val="3"/>
        </w:rPr>
        <w:t>保护和合规管理4个过程</w:t>
      </w:r>
      <w:r>
        <w:rPr>
          <w:rFonts w:ascii="SimSun" w:hAnsi="SimSun" w:eastAsia="SimSun" w:cs="SimSun"/>
          <w:sz w:val="21"/>
          <w:szCs w:val="21"/>
        </w:rPr>
        <w:t xml:space="preserve"> </w:t>
      </w:r>
      <w:r>
        <w:rPr>
          <w:rFonts w:ascii="SimSun" w:hAnsi="SimSun" w:eastAsia="SimSun" w:cs="SimSun"/>
          <w:sz w:val="21"/>
          <w:szCs w:val="21"/>
          <w:spacing w:val="1"/>
        </w:rPr>
        <w:t>域对数据安全与隐私保护提出了要求，帮助组织提高数据安全保护能力，降低数据</w:t>
      </w:r>
      <w:r>
        <w:rPr>
          <w:rFonts w:ascii="SimSun" w:hAnsi="SimSun" w:eastAsia="SimSun" w:cs="SimSun"/>
          <w:sz w:val="21"/>
          <w:szCs w:val="21"/>
          <w:spacing w:val="15"/>
        </w:rPr>
        <w:t xml:space="preserve"> </w:t>
      </w:r>
      <w:r>
        <w:rPr>
          <w:rFonts w:ascii="SimSun" w:hAnsi="SimSun" w:eastAsia="SimSun" w:cs="SimSun"/>
          <w:sz w:val="21"/>
          <w:szCs w:val="21"/>
          <w:spacing w:val="-1"/>
        </w:rPr>
        <w:t>安全风险，指导组织如何在符合法律法规等要求的前提下开展数据治理。</w:t>
      </w:r>
    </w:p>
    <w:p>
      <w:pPr>
        <w:ind w:left="219" w:right="20" w:firstLine="463"/>
        <w:spacing w:before="47" w:line="261" w:lineRule="auto"/>
        <w:rPr>
          <w:rFonts w:ascii="SimSun" w:hAnsi="SimSun" w:eastAsia="SimSun" w:cs="SimSun"/>
          <w:sz w:val="21"/>
          <w:szCs w:val="21"/>
        </w:rPr>
      </w:pPr>
      <w:r>
        <w:rPr>
          <w:rFonts w:ascii="SimHei" w:hAnsi="SimHei" w:eastAsia="SimHei" w:cs="SimHei"/>
          <w:sz w:val="21"/>
          <w:szCs w:val="21"/>
          <w:b/>
          <w:bCs/>
          <w:spacing w:val="9"/>
        </w:rPr>
        <w:t>第</w:t>
      </w:r>
      <w:r>
        <w:rPr>
          <w:rFonts w:ascii="SimHei" w:hAnsi="SimHei" w:eastAsia="SimHei" w:cs="SimHei"/>
          <w:sz w:val="21"/>
          <w:szCs w:val="21"/>
          <w:spacing w:val="-17"/>
        </w:rPr>
        <w:t xml:space="preserve"> </w:t>
      </w:r>
      <w:r>
        <w:rPr>
          <w:rFonts w:ascii="SimHei" w:hAnsi="SimHei" w:eastAsia="SimHei" w:cs="SimHei"/>
          <w:sz w:val="21"/>
          <w:szCs w:val="21"/>
          <w:b/>
          <w:bCs/>
          <w:spacing w:val="9"/>
        </w:rPr>
        <w:t>3</w:t>
      </w:r>
      <w:r>
        <w:rPr>
          <w:rFonts w:ascii="SimHei" w:hAnsi="SimHei" w:eastAsia="SimHei" w:cs="SimHei"/>
          <w:sz w:val="21"/>
          <w:szCs w:val="21"/>
          <w:spacing w:val="-29"/>
        </w:rPr>
        <w:t xml:space="preserve"> </w:t>
      </w:r>
      <w:r>
        <w:rPr>
          <w:rFonts w:ascii="SimHei" w:hAnsi="SimHei" w:eastAsia="SimHei" w:cs="SimHei"/>
          <w:sz w:val="21"/>
          <w:szCs w:val="21"/>
          <w:b/>
          <w:bCs/>
          <w:spacing w:val="9"/>
        </w:rPr>
        <w:t>篇</w:t>
      </w:r>
      <w:r>
        <w:rPr>
          <w:rFonts w:ascii="SimHei" w:hAnsi="SimHei" w:eastAsia="SimHei" w:cs="SimHei"/>
          <w:sz w:val="21"/>
          <w:szCs w:val="21"/>
          <w:spacing w:val="99"/>
        </w:rPr>
        <w:t xml:space="preserve"> </w:t>
      </w:r>
      <w:r>
        <w:rPr>
          <w:rFonts w:ascii="SimSun" w:hAnsi="SimSun" w:eastAsia="SimSun" w:cs="SimSun"/>
          <w:sz w:val="21"/>
          <w:szCs w:val="21"/>
          <w:spacing w:val="9"/>
        </w:rPr>
        <w:t>云端数据治理体系与实施(第10～11章),围绕云端数据治理体系构</w:t>
      </w:r>
      <w:r>
        <w:rPr>
          <w:rFonts w:ascii="SimSun" w:hAnsi="SimSun" w:eastAsia="SimSun" w:cs="SimSun"/>
          <w:sz w:val="21"/>
          <w:szCs w:val="21"/>
        </w:rPr>
        <w:t xml:space="preserve"> </w:t>
      </w:r>
      <w:r>
        <w:rPr>
          <w:rFonts w:ascii="SimSun" w:hAnsi="SimSun" w:eastAsia="SimSun" w:cs="SimSun"/>
          <w:sz w:val="21"/>
          <w:szCs w:val="21"/>
          <w:spacing w:val="-1"/>
        </w:rPr>
        <w:t>建和云端数据治理实施论述，指导组织如何具体开展云端数据治理活动。</w:t>
      </w:r>
    </w:p>
    <w:p>
      <w:pPr>
        <w:ind w:left="219" w:right="20" w:firstLine="463"/>
        <w:spacing w:before="56" w:line="256" w:lineRule="auto"/>
        <w:rPr>
          <w:rFonts w:ascii="SimSun" w:hAnsi="SimSun" w:eastAsia="SimSun" w:cs="SimSun"/>
          <w:sz w:val="21"/>
          <w:szCs w:val="21"/>
        </w:rPr>
      </w:pPr>
      <w:r>
        <w:rPr>
          <w:rFonts w:ascii="SimSun" w:hAnsi="SimSun" w:eastAsia="SimSun" w:cs="SimSun"/>
          <w:sz w:val="21"/>
          <w:szCs w:val="21"/>
          <w:b/>
          <w:bCs/>
          <w:spacing w:val="2"/>
        </w:rPr>
        <w:t>第10章</w:t>
      </w:r>
      <w:r>
        <w:rPr>
          <w:rFonts w:ascii="SimSun" w:hAnsi="SimSun" w:eastAsia="SimSun" w:cs="SimSun"/>
          <w:sz w:val="21"/>
          <w:szCs w:val="21"/>
          <w:spacing w:val="102"/>
        </w:rPr>
        <w:t xml:space="preserve"> </w:t>
      </w:r>
      <w:r>
        <w:rPr>
          <w:rFonts w:ascii="SimSun" w:hAnsi="SimSun" w:eastAsia="SimSun" w:cs="SimSun"/>
          <w:sz w:val="21"/>
          <w:szCs w:val="21"/>
          <w:spacing w:val="2"/>
        </w:rPr>
        <w:t>云端数据治理体系，介绍了体系的必</w:t>
      </w:r>
      <w:r>
        <w:rPr>
          <w:rFonts w:ascii="SimSun" w:hAnsi="SimSun" w:eastAsia="SimSun" w:cs="SimSun"/>
          <w:sz w:val="21"/>
          <w:szCs w:val="21"/>
          <w:spacing w:val="1"/>
        </w:rPr>
        <w:t>要性和体系的基本框架，并从宏</w:t>
      </w:r>
      <w:r>
        <w:rPr>
          <w:rFonts w:ascii="SimSun" w:hAnsi="SimSun" w:eastAsia="SimSun" w:cs="SimSun"/>
          <w:sz w:val="21"/>
          <w:szCs w:val="21"/>
        </w:rPr>
        <w:t xml:space="preserve"> </w:t>
      </w:r>
      <w:r>
        <w:rPr>
          <w:rFonts w:ascii="SimSun" w:hAnsi="SimSun" w:eastAsia="SimSun" w:cs="SimSun"/>
          <w:sz w:val="21"/>
          <w:szCs w:val="21"/>
          <w:spacing w:val="-2"/>
        </w:rPr>
        <w:t>观上介绍了云端数据治理体系的实施过程。</w:t>
      </w:r>
    </w:p>
    <w:p>
      <w:pPr>
        <w:ind w:left="219" w:right="26" w:firstLine="463"/>
        <w:spacing w:before="57" w:line="243" w:lineRule="auto"/>
        <w:rPr>
          <w:rFonts w:ascii="SimSun" w:hAnsi="SimSun" w:eastAsia="SimSun" w:cs="SimSun"/>
          <w:sz w:val="21"/>
          <w:szCs w:val="21"/>
        </w:rPr>
      </w:pPr>
      <w:r>
        <w:rPr>
          <w:rFonts w:ascii="SimSun" w:hAnsi="SimSun" w:eastAsia="SimSun" w:cs="SimSun"/>
          <w:sz w:val="21"/>
          <w:szCs w:val="21"/>
          <w:b/>
          <w:bCs/>
          <w:spacing w:val="4"/>
        </w:rPr>
        <w:t>第11</w:t>
      </w:r>
      <w:r>
        <w:rPr>
          <w:rFonts w:ascii="SimSun" w:hAnsi="SimSun" w:eastAsia="SimSun" w:cs="SimSun"/>
          <w:sz w:val="21"/>
          <w:szCs w:val="21"/>
          <w:spacing w:val="4"/>
        </w:rPr>
        <w:t xml:space="preserve"> </w:t>
      </w:r>
      <w:r>
        <w:rPr>
          <w:rFonts w:ascii="SimSun" w:hAnsi="SimSun" w:eastAsia="SimSun" w:cs="SimSun"/>
          <w:sz w:val="21"/>
          <w:szCs w:val="21"/>
          <w:b/>
          <w:bCs/>
          <w:spacing w:val="4"/>
        </w:rPr>
        <w:t>章</w:t>
      </w:r>
      <w:r>
        <w:rPr>
          <w:rFonts w:ascii="SimSun" w:hAnsi="SimSun" w:eastAsia="SimSun" w:cs="SimSun"/>
          <w:sz w:val="21"/>
          <w:szCs w:val="21"/>
          <w:spacing w:val="4"/>
        </w:rPr>
        <w:t xml:space="preserve">  云端数据治理体系实施，系统全面地介绍了云端数据治理的实施过</w:t>
      </w:r>
      <w:r>
        <w:rPr>
          <w:rFonts w:ascii="SimSun" w:hAnsi="SimSun" w:eastAsia="SimSun" w:cs="SimSun"/>
          <w:sz w:val="21"/>
          <w:szCs w:val="21"/>
          <w:spacing w:val="6"/>
        </w:rPr>
        <w:t xml:space="preserve"> </w:t>
      </w:r>
      <w:r>
        <w:rPr>
          <w:rFonts w:ascii="SimSun" w:hAnsi="SimSun" w:eastAsia="SimSun" w:cs="SimSun"/>
          <w:sz w:val="21"/>
          <w:szCs w:val="21"/>
          <w:spacing w:val="-1"/>
        </w:rPr>
        <w:t>程，能为读者提供一个清晰的云端数据治理实施指南。</w:t>
      </w:r>
    </w:p>
    <w:p>
      <w:pPr>
        <w:ind w:left="219" w:firstLine="459"/>
        <w:spacing w:before="61" w:line="267" w:lineRule="auto"/>
        <w:rPr>
          <w:rFonts w:ascii="SimSun" w:hAnsi="SimSun" w:eastAsia="SimSun" w:cs="SimSun"/>
          <w:sz w:val="21"/>
          <w:szCs w:val="21"/>
        </w:rPr>
      </w:pPr>
      <w:r>
        <w:rPr>
          <w:rFonts w:ascii="SimSun" w:hAnsi="SimSun" w:eastAsia="SimSun" w:cs="SimSun"/>
          <w:sz w:val="21"/>
          <w:szCs w:val="21"/>
          <w:spacing w:val="5"/>
        </w:rPr>
        <w:t>本书各章执笔分别是：第1章由刘小茵、程广明、朱楠楠编写，</w:t>
      </w:r>
      <w:r>
        <w:rPr>
          <w:rFonts w:ascii="SimSun" w:hAnsi="SimSun" w:eastAsia="SimSun" w:cs="SimSun"/>
          <w:sz w:val="21"/>
          <w:szCs w:val="21"/>
          <w:spacing w:val="4"/>
        </w:rPr>
        <w:t>第2、3章由刘</w:t>
      </w:r>
      <w:r>
        <w:rPr>
          <w:rFonts w:ascii="SimSun" w:hAnsi="SimSun" w:eastAsia="SimSun" w:cs="SimSun"/>
          <w:sz w:val="21"/>
          <w:szCs w:val="21"/>
        </w:rPr>
        <w:t xml:space="preserve"> </w:t>
      </w:r>
      <w:r>
        <w:rPr>
          <w:rFonts w:ascii="SimSun" w:hAnsi="SimSun" w:eastAsia="SimSun" w:cs="SimSun"/>
          <w:sz w:val="21"/>
          <w:szCs w:val="21"/>
          <w:spacing w:val="9"/>
        </w:rPr>
        <w:t>小茵、程广明编写，第4章由程广明编写，第5章由李尧编写，第6章由高智伟、</w:t>
      </w:r>
      <w:r>
        <w:rPr>
          <w:rFonts w:ascii="SimSun" w:hAnsi="SimSun" w:eastAsia="SimSun" w:cs="SimSun"/>
          <w:sz w:val="21"/>
          <w:szCs w:val="21"/>
          <w:spacing w:val="7"/>
        </w:rPr>
        <w:t xml:space="preserve">  </w:t>
      </w:r>
      <w:r>
        <w:rPr>
          <w:rFonts w:ascii="SimSun" w:hAnsi="SimSun" w:eastAsia="SimSun" w:cs="SimSun"/>
          <w:sz w:val="21"/>
          <w:szCs w:val="21"/>
          <w:spacing w:val="6"/>
        </w:rPr>
        <w:t>李尧编写，第7章由张寒坤、李尧编写，第8、9章由钟世敏、程广明编写，第10、</w:t>
      </w:r>
      <w:r>
        <w:rPr>
          <w:rFonts w:ascii="SimSun" w:hAnsi="SimSun" w:eastAsia="SimSun" w:cs="SimSun"/>
          <w:sz w:val="21"/>
          <w:szCs w:val="21"/>
        </w:rPr>
        <w:t xml:space="preserve"> </w:t>
      </w:r>
      <w:r>
        <w:rPr>
          <w:rFonts w:ascii="SimSun" w:hAnsi="SimSun" w:eastAsia="SimSun" w:cs="SimSun"/>
          <w:sz w:val="21"/>
          <w:szCs w:val="21"/>
          <w:spacing w:val="1"/>
        </w:rPr>
        <w:t>11章由刘小茵、谢灵群、程广明编写。刘小茵、程广明负责全书的组织、策划、汇 </w:t>
      </w:r>
      <w:r>
        <w:rPr>
          <w:rFonts w:ascii="SimSun" w:hAnsi="SimSun" w:eastAsia="SimSun" w:cs="SimSun"/>
          <w:sz w:val="21"/>
          <w:szCs w:val="21"/>
          <w:spacing w:val="-2"/>
        </w:rPr>
        <w:t>总和校审工作，其他执笔人分别负责了相关章节的审阅工作。</w:t>
      </w:r>
    </w:p>
    <w:p>
      <w:pPr>
        <w:spacing w:line="267" w:lineRule="auto"/>
        <w:sectPr>
          <w:footerReference w:type="default" r:id="rId7"/>
          <w:pgSz w:w="8870" w:h="13400"/>
          <w:pgMar w:top="400" w:right="505" w:bottom="484" w:left="459" w:header="0" w:footer="297" w:gutter="0"/>
        </w:sectPr>
        <w:rPr>
          <w:rFonts w:ascii="SimSun" w:hAnsi="SimSun" w:eastAsia="SimSun" w:cs="SimSun"/>
          <w:sz w:val="21"/>
          <w:szCs w:val="21"/>
        </w:rPr>
      </w:pPr>
    </w:p>
    <w:p>
      <w:pPr>
        <w:ind w:left="6602"/>
        <w:spacing w:before="186" w:line="221" w:lineRule="auto"/>
        <w:rPr>
          <w:rFonts w:ascii="SimSun" w:hAnsi="SimSun" w:eastAsia="SimSun" w:cs="SimSun"/>
          <w:sz w:val="21"/>
          <w:szCs w:val="21"/>
        </w:rPr>
      </w:pPr>
      <w:bookmarkStart w:name="bookmark1" w:id="1"/>
      <w:bookmarkEnd w:id="1"/>
      <w:r>
        <w:rPr>
          <w:rFonts w:ascii="SimSun" w:hAnsi="SimSun" w:eastAsia="SimSun" w:cs="SimSun"/>
          <w:sz w:val="21"/>
          <w:szCs w:val="21"/>
          <w:b/>
          <w:bCs/>
          <w:spacing w:val="-28"/>
        </w:rPr>
        <w:t>■前</w:t>
      </w:r>
      <w:r>
        <w:rPr>
          <w:rFonts w:ascii="SimSun" w:hAnsi="SimSun" w:eastAsia="SimSun" w:cs="SimSun"/>
          <w:sz w:val="21"/>
          <w:szCs w:val="21"/>
          <w:spacing w:val="17"/>
        </w:rPr>
        <w:t xml:space="preserve">   </w:t>
      </w:r>
      <w:r>
        <w:rPr>
          <w:rFonts w:ascii="SimSun" w:hAnsi="SimSun" w:eastAsia="SimSun" w:cs="SimSun"/>
          <w:sz w:val="21"/>
          <w:szCs w:val="21"/>
          <w:b/>
          <w:bCs/>
          <w:spacing w:val="-28"/>
        </w:rPr>
        <w:t>言■</w:t>
      </w:r>
    </w:p>
    <w:p>
      <w:pPr>
        <w:pStyle w:val="BodyText"/>
        <w:spacing w:line="251" w:lineRule="auto"/>
        <w:rPr/>
      </w:pPr>
      <w:r/>
    </w:p>
    <w:p>
      <w:pPr>
        <w:ind w:right="376" w:firstLine="439"/>
        <w:spacing w:before="68" w:line="266" w:lineRule="auto"/>
        <w:jc w:val="both"/>
        <w:rPr>
          <w:rFonts w:ascii="SimSun" w:hAnsi="SimSun" w:eastAsia="SimSun" w:cs="SimSun"/>
          <w:sz w:val="21"/>
          <w:szCs w:val="21"/>
        </w:rPr>
      </w:pPr>
      <w:r>
        <w:rPr>
          <w:rFonts w:ascii="SimSun" w:hAnsi="SimSun" w:eastAsia="SimSun" w:cs="SimSun"/>
          <w:sz w:val="21"/>
          <w:szCs w:val="21"/>
          <w:spacing w:val="1"/>
        </w:rPr>
        <w:t>本书得到了国家科技支撑计划项目、广东省科技计划项目和广州市科技计</w:t>
      </w:r>
      <w:r>
        <w:rPr>
          <w:rFonts w:ascii="SimSun" w:hAnsi="SimSun" w:eastAsia="SimSun" w:cs="SimSun"/>
          <w:sz w:val="21"/>
          <w:szCs w:val="21"/>
        </w:rPr>
        <w:t>划项 </w:t>
      </w:r>
      <w:r>
        <w:rPr>
          <w:rFonts w:ascii="SimSun" w:hAnsi="SimSun" w:eastAsia="SimSun" w:cs="SimSun"/>
          <w:sz w:val="21"/>
          <w:szCs w:val="21"/>
          <w:spacing w:val="1"/>
        </w:rPr>
        <w:t>目产学研协同创新重大专项资金等的支持，在此表示感谢。</w:t>
      </w:r>
      <w:r>
        <w:rPr>
          <w:rFonts w:ascii="SimSun" w:hAnsi="SimSun" w:eastAsia="SimSun" w:cs="SimSun"/>
          <w:sz w:val="21"/>
          <w:szCs w:val="21"/>
        </w:rPr>
        <w:t>本书在撰写过程中，得 </w:t>
      </w:r>
      <w:r>
        <w:rPr>
          <w:rFonts w:ascii="SimSun" w:hAnsi="SimSun" w:eastAsia="SimSun" w:cs="SimSun"/>
          <w:sz w:val="21"/>
          <w:szCs w:val="21"/>
          <w:spacing w:val="1"/>
        </w:rPr>
        <w:t>到了来自学术界和产业界众多专家的帮助，感谢他们给出了很多非常有价值的意见</w:t>
      </w:r>
      <w:r>
        <w:rPr>
          <w:rFonts w:ascii="SimSun" w:hAnsi="SimSun" w:eastAsia="SimSun" w:cs="SimSun"/>
          <w:sz w:val="21"/>
          <w:szCs w:val="21"/>
          <w:spacing w:val="13"/>
        </w:rPr>
        <w:t xml:space="preserve"> </w:t>
      </w:r>
      <w:r>
        <w:rPr>
          <w:rFonts w:ascii="SimSun" w:hAnsi="SimSun" w:eastAsia="SimSun" w:cs="SimSun"/>
          <w:sz w:val="21"/>
          <w:szCs w:val="21"/>
          <w:spacing w:val="-8"/>
        </w:rPr>
        <w:t>和建议。</w:t>
      </w:r>
    </w:p>
    <w:p>
      <w:pPr>
        <w:ind w:right="324" w:firstLine="449"/>
        <w:spacing w:before="50" w:line="259" w:lineRule="auto"/>
        <w:jc w:val="both"/>
        <w:rPr>
          <w:rFonts w:ascii="SimSun" w:hAnsi="SimSun" w:eastAsia="SimSun" w:cs="SimSun"/>
          <w:sz w:val="21"/>
          <w:szCs w:val="21"/>
        </w:rPr>
      </w:pPr>
      <w:r>
        <w:rPr>
          <w:rFonts w:ascii="SimSun" w:hAnsi="SimSun" w:eastAsia="SimSun" w:cs="SimSun"/>
          <w:sz w:val="21"/>
          <w:szCs w:val="21"/>
          <w:spacing w:val="1"/>
        </w:rPr>
        <w:t>本书的宗旨是为读者提供最新的云端数据治理的参考，但由于云端数据治理研</w:t>
      </w:r>
      <w:r>
        <w:rPr>
          <w:rFonts w:ascii="SimSun" w:hAnsi="SimSun" w:eastAsia="SimSun" w:cs="SimSun"/>
          <w:sz w:val="21"/>
          <w:szCs w:val="21"/>
          <w:spacing w:val="4"/>
        </w:rPr>
        <w:t xml:space="preserve"> </w:t>
      </w:r>
      <w:r>
        <w:rPr>
          <w:rFonts w:ascii="SimSun" w:hAnsi="SimSun" w:eastAsia="SimSun" w:cs="SimSun"/>
          <w:sz w:val="21"/>
          <w:szCs w:val="21"/>
          <w:spacing w:val="1"/>
        </w:rPr>
        <w:t>究刚刚起步，本书提出的云端数据治理模型难免会有一些偏颇和不当之处。由于编</w:t>
      </w:r>
      <w:r>
        <w:rPr>
          <w:rFonts w:ascii="SimSun" w:hAnsi="SimSun" w:eastAsia="SimSun" w:cs="SimSun"/>
          <w:sz w:val="21"/>
          <w:szCs w:val="21"/>
          <w:spacing w:val="18"/>
        </w:rPr>
        <w:t xml:space="preserve"> </w:t>
      </w:r>
      <w:r>
        <w:rPr>
          <w:rFonts w:ascii="SimSun" w:hAnsi="SimSun" w:eastAsia="SimSun" w:cs="SimSun"/>
          <w:sz w:val="21"/>
          <w:szCs w:val="21"/>
          <w:spacing w:val="-3"/>
        </w:rPr>
        <w:t>写时间仓促，加上编写水平有限，书中难免会有错误和不足之处，请读者不吝赐教，</w:t>
      </w:r>
      <w:r>
        <w:rPr>
          <w:rFonts w:ascii="SimSun" w:hAnsi="SimSun" w:eastAsia="SimSun" w:cs="SimSun"/>
          <w:sz w:val="21"/>
          <w:szCs w:val="21"/>
          <w:spacing w:val="4"/>
        </w:rPr>
        <w:t xml:space="preserve"> </w:t>
      </w:r>
      <w:r>
        <w:rPr>
          <w:rFonts w:ascii="SimSun" w:hAnsi="SimSun" w:eastAsia="SimSun" w:cs="SimSun"/>
          <w:sz w:val="21"/>
          <w:szCs w:val="21"/>
          <w:spacing w:val="-3"/>
        </w:rPr>
        <w:t>提出意见和建议，以便我们不断进步。</w:t>
      </w:r>
    </w:p>
    <w:p>
      <w:pPr>
        <w:pStyle w:val="BodyText"/>
        <w:spacing w:line="330" w:lineRule="auto"/>
        <w:rPr/>
      </w:pPr>
      <w:r/>
    </w:p>
    <w:p>
      <w:pPr>
        <w:ind w:left="6809"/>
        <w:spacing w:before="68" w:line="227" w:lineRule="auto"/>
        <w:rPr>
          <w:rFonts w:ascii="KaiTi" w:hAnsi="KaiTi" w:eastAsia="KaiTi" w:cs="KaiTi"/>
          <w:sz w:val="21"/>
          <w:szCs w:val="21"/>
        </w:rPr>
      </w:pPr>
      <w:r>
        <w:rPr>
          <w:rFonts w:ascii="KaiTi" w:hAnsi="KaiTi" w:eastAsia="KaiTi" w:cs="KaiTi"/>
          <w:sz w:val="21"/>
          <w:szCs w:val="21"/>
          <w:spacing w:val="4"/>
        </w:rPr>
        <w:t>编著者</w:t>
      </w:r>
    </w:p>
    <w:p>
      <w:pPr>
        <w:spacing w:line="227" w:lineRule="auto"/>
        <w:sectPr>
          <w:footerReference w:type="default" r:id="rId8"/>
          <w:pgSz w:w="8870" w:h="13400"/>
          <w:pgMar w:top="400" w:right="560" w:bottom="594" w:left="320" w:header="0" w:footer="407" w:gutter="0"/>
        </w:sectPr>
        <w:rPr>
          <w:rFonts w:ascii="KaiTi" w:hAnsi="KaiTi" w:eastAsia="KaiTi" w:cs="KaiTi"/>
          <w:sz w:val="21"/>
          <w:szCs w:val="21"/>
        </w:rPr>
      </w:pPr>
    </w:p>
    <w:p>
      <w:pPr>
        <w:pStyle w:val="BodyText"/>
        <w:spacing w:line="258" w:lineRule="auto"/>
        <w:rPr/>
      </w:pPr>
      <w:r/>
    </w:p>
    <w:p>
      <w:pPr>
        <w:pStyle w:val="BodyText"/>
        <w:spacing w:line="258" w:lineRule="auto"/>
        <w:rPr/>
      </w:pPr>
      <w:r/>
    </w:p>
    <w:p>
      <w:pPr>
        <w:pStyle w:val="BodyText"/>
        <w:spacing w:line="259" w:lineRule="auto"/>
        <w:rPr/>
      </w:pPr>
      <w:r/>
    </w:p>
    <w:p>
      <w:pPr>
        <w:ind w:firstLine="5857"/>
        <w:spacing w:line="1280" w:lineRule="exact"/>
        <w:rPr/>
      </w:pPr>
      <w:r>
        <w:rPr>
          <w:position w:val="-25"/>
        </w:rPr>
        <w:drawing>
          <wp:inline distT="0" distB="0" distL="0" distR="0">
            <wp:extent cx="1149301" cy="812779"/>
            <wp:effectExtent l="0" t="0" r="0" b="0"/>
            <wp:docPr id="10" name="IM 10"/>
            <wp:cNvGraphicFramePr/>
            <a:graphic>
              <a:graphicData uri="http://schemas.openxmlformats.org/drawingml/2006/picture">
                <pic:pic>
                  <pic:nvPicPr>
                    <pic:cNvPr id="10" name="IM 10"/>
                    <pic:cNvPicPr/>
                  </pic:nvPicPr>
                  <pic:blipFill>
                    <a:blip r:embed="rId10"/>
                    <a:stretch>
                      <a:fillRect/>
                    </a:stretch>
                  </pic:blipFill>
                  <pic:spPr>
                    <a:xfrm rot="0">
                      <a:off x="0" y="0"/>
                      <a:ext cx="1149301" cy="812779"/>
                    </a:xfrm>
                    <a:prstGeom prst="rect">
                      <a:avLst/>
                    </a:prstGeom>
                  </pic:spPr>
                </pic:pic>
              </a:graphicData>
            </a:graphic>
          </wp:inline>
        </w:drawing>
      </w:r>
    </w:p>
    <w:p>
      <w:pPr>
        <w:pStyle w:val="BodyText"/>
        <w:spacing w:line="310" w:lineRule="auto"/>
        <w:rPr/>
      </w:pPr>
      <w:r/>
    </w:p>
    <w:p>
      <w:pPr>
        <w:pStyle w:val="BodyText"/>
        <w:spacing w:line="311" w:lineRule="auto"/>
        <w:rPr/>
      </w:pPr>
      <w:r/>
    </w:p>
    <w:p>
      <w:pPr>
        <w:ind w:left="2149"/>
        <w:spacing w:before="69" w:line="221" w:lineRule="auto"/>
        <w:rPr>
          <w:rFonts w:ascii="SimHei" w:hAnsi="SimHei" w:eastAsia="SimHei" w:cs="SimHei"/>
          <w:sz w:val="21"/>
          <w:szCs w:val="21"/>
        </w:rPr>
      </w:pPr>
      <w:r>
        <w:rPr>
          <w:rFonts w:ascii="SimHei" w:hAnsi="SimHei" w:eastAsia="SimHei" w:cs="SimHei"/>
          <w:sz w:val="21"/>
          <w:szCs w:val="21"/>
          <w:b/>
          <w:bCs/>
          <w:spacing w:val="19"/>
        </w:rPr>
        <w:t>第1篇</w:t>
      </w:r>
      <w:r>
        <w:rPr>
          <w:rFonts w:ascii="SimHei" w:hAnsi="SimHei" w:eastAsia="SimHei" w:cs="SimHei"/>
          <w:sz w:val="21"/>
          <w:szCs w:val="21"/>
          <w:spacing w:val="73"/>
        </w:rPr>
        <w:t xml:space="preserve"> </w:t>
      </w:r>
      <w:r>
        <w:rPr>
          <w:rFonts w:ascii="SimHei" w:hAnsi="SimHei" w:eastAsia="SimHei" w:cs="SimHei"/>
          <w:sz w:val="21"/>
          <w:szCs w:val="21"/>
          <w:b/>
          <w:bCs/>
          <w:spacing w:val="19"/>
        </w:rPr>
        <w:t>云端数据治理成熟度概述</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before="209" w:line="212" w:lineRule="auto"/>
            <w:tabs>
              <w:tab w:val="right" w:leader="dot" w:pos="7402"/>
            </w:tabs>
            <w:rPr>
              <w:rFonts w:ascii="Times New Roman" w:hAnsi="Times New Roman" w:eastAsia="Times New Roman" w:cs="Times New Roman"/>
              <w:sz w:val="21"/>
              <w:szCs w:val="21"/>
            </w:rPr>
          </w:pPr>
          <w:r>
            <w:rPr>
              <w:rFonts w:ascii="SimSun" w:hAnsi="SimSun" w:eastAsia="SimSun" w:cs="SimSun"/>
              <w:sz w:val="21"/>
              <w:szCs w:val="21"/>
              <w:b/>
              <w:bCs/>
              <w:spacing w:val="9"/>
            </w:rPr>
            <w:t>第</w:t>
          </w:r>
          <w:r>
            <w:rPr>
              <w:rFonts w:ascii="SimSun" w:hAnsi="SimSun" w:eastAsia="SimSun" w:cs="SimSun"/>
              <w:sz w:val="21"/>
              <w:szCs w:val="21"/>
              <w:spacing w:val="-13"/>
            </w:rPr>
            <w:t xml:space="preserve"> </w:t>
          </w:r>
          <w:r>
            <w:rPr>
              <w:rFonts w:ascii="SimSun" w:hAnsi="SimSun" w:eastAsia="SimSun" w:cs="SimSun"/>
              <w:sz w:val="21"/>
              <w:szCs w:val="21"/>
              <w:b/>
              <w:bCs/>
              <w:spacing w:val="9"/>
            </w:rPr>
            <w:t>1</w:t>
          </w:r>
          <w:r>
            <w:rPr>
              <w:rFonts w:ascii="SimSun" w:hAnsi="SimSun" w:eastAsia="SimSun" w:cs="SimSun"/>
              <w:sz w:val="21"/>
              <w:szCs w:val="21"/>
              <w:spacing w:val="-28"/>
            </w:rPr>
            <w:t xml:space="preserve"> </w:t>
          </w:r>
          <w:r>
            <w:rPr>
              <w:rFonts w:ascii="SimSun" w:hAnsi="SimSun" w:eastAsia="SimSun" w:cs="SimSun"/>
              <w:sz w:val="21"/>
              <w:szCs w:val="21"/>
              <w:b/>
              <w:bCs/>
              <w:spacing w:val="9"/>
            </w:rPr>
            <w:t>章</w:t>
          </w:r>
          <w:r>
            <w:rPr>
              <w:rFonts w:ascii="SimSun" w:hAnsi="SimSun" w:eastAsia="SimSun" w:cs="SimSun"/>
              <w:sz w:val="21"/>
              <w:szCs w:val="21"/>
              <w:spacing w:val="31"/>
            </w:rPr>
            <w:t xml:space="preserve"> </w:t>
          </w:r>
          <w:r>
            <w:rPr>
              <w:rFonts w:ascii="SimSun" w:hAnsi="SimSun" w:eastAsia="SimSun" w:cs="SimSun"/>
              <w:sz w:val="21"/>
              <w:szCs w:val="21"/>
              <w:b/>
              <w:bCs/>
              <w:spacing w:val="9"/>
            </w:rPr>
            <w:t>数据治理概述</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2">
            <w:r>
              <w:rPr>
                <w:rFonts w:ascii="Times New Roman" w:hAnsi="Times New Roman" w:eastAsia="Times New Roman" w:cs="Times New Roman"/>
                <w:sz w:val="21"/>
                <w:szCs w:val="21"/>
                <w:spacing w:val="-1"/>
              </w:rPr>
              <w:t>2)</w:t>
            </w:r>
          </w:hyperlink>
        </w:p>
        <w:p>
          <w:pPr>
            <w:ind w:left="427"/>
            <w:spacing w:before="218"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rPr>
            <w:t>1.1</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数据治理相关概念</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82"/>
            </w:rPr>
            <w:t xml:space="preserve"> </w:t>
          </w:r>
          <w:r>
            <w:rPr>
              <w:rFonts w:ascii="Times New Roman" w:hAnsi="Times New Roman" w:eastAsia="Times New Roman" w:cs="Times New Roman"/>
              <w:sz w:val="21"/>
              <w:szCs w:val="21"/>
              <w:spacing w:val="-3"/>
            </w:rPr>
            <w:t>(</w:t>
          </w:r>
          <w:hyperlink w:history="true" w:anchor="bookmark3">
            <w:r>
              <w:rPr>
                <w:rFonts w:ascii="Times New Roman" w:hAnsi="Times New Roman" w:eastAsia="Times New Roman" w:cs="Times New Roman"/>
                <w:sz w:val="21"/>
                <w:szCs w:val="21"/>
                <w:spacing w:val="-3"/>
              </w:rPr>
              <w:t>2)</w:t>
            </w:r>
          </w:hyperlink>
        </w:p>
        <w:p>
          <w:pPr>
            <w:ind w:left="836"/>
            <w:spacing w:before="68"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    </w:t>
          </w:r>
          <w:r>
            <w:rPr>
              <w:rFonts w:ascii="SimSun" w:hAnsi="SimSun" w:eastAsia="SimSun" w:cs="SimSun"/>
              <w:sz w:val="21"/>
              <w:szCs w:val="21"/>
              <w:spacing w:val="1"/>
            </w:rPr>
            <w:t>数据、信息、知识</w:t>
          </w:r>
          <w:r>
            <w:rPr>
              <w:rFonts w:ascii="SimSun" w:hAnsi="SimSun" w:eastAsia="SimSun" w:cs="SimSun"/>
              <w:sz w:val="21"/>
              <w:szCs w:val="21"/>
              <w:spacing w:val="-73"/>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hyperlink w:history="true" w:anchor="bookmark4">
            <w:r>
              <w:rPr>
                <w:rFonts w:ascii="Times New Roman" w:hAnsi="Times New Roman" w:eastAsia="Times New Roman" w:cs="Times New Roman"/>
                <w:sz w:val="21"/>
                <w:szCs w:val="21"/>
                <w:spacing w:val="-5"/>
              </w:rPr>
              <w:t>2)</w:t>
            </w:r>
          </w:hyperlink>
        </w:p>
        <w:p>
          <w:pPr>
            <w:ind w:left="836"/>
            <w:spacing w:before="9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数据治理的定义</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3"/>
            </w:rPr>
            <w:t>(</w:t>
          </w:r>
          <w:hyperlink w:history="true" w:anchor="bookmark5">
            <w:r>
              <w:rPr>
                <w:rFonts w:ascii="Times New Roman" w:hAnsi="Times New Roman" w:eastAsia="Times New Roman" w:cs="Times New Roman"/>
                <w:sz w:val="21"/>
                <w:szCs w:val="21"/>
                <w:spacing w:val="-3"/>
              </w:rPr>
              <w:t>4)</w:t>
            </w:r>
          </w:hyperlink>
        </w:p>
        <w:p>
          <w:pPr>
            <w:ind w:left="427"/>
            <w:spacing w:before="4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   </w:t>
          </w:r>
          <w:r>
            <w:rPr>
              <w:rFonts w:ascii="SimSun" w:hAnsi="SimSun" w:eastAsia="SimSun" w:cs="SimSun"/>
              <w:sz w:val="21"/>
              <w:szCs w:val="21"/>
              <w:spacing w:val="1"/>
            </w:rPr>
            <w:t>数据治理理论研究历程</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hyperlink w:history="true" w:anchor="bookmark1">
            <w:r>
              <w:rPr>
                <w:rFonts w:ascii="Times New Roman" w:hAnsi="Times New Roman" w:eastAsia="Times New Roman" w:cs="Times New Roman"/>
                <w:sz w:val="21"/>
                <w:szCs w:val="21"/>
                <w:spacing w:val="-5"/>
              </w:rPr>
              <w:t>6)</w:t>
            </w:r>
          </w:hyperlink>
        </w:p>
        <w:p>
          <w:pPr>
            <w:ind w:left="836"/>
            <w:spacing w:before="6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数据治理理论的研究进展</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3"/>
            </w:rPr>
            <w:t>(</w:t>
          </w:r>
          <w:hyperlink w:history="true" w:anchor="bookmark6">
            <w:r>
              <w:rPr>
                <w:rFonts w:ascii="Times New Roman" w:hAnsi="Times New Roman" w:eastAsia="Times New Roman" w:cs="Times New Roman"/>
                <w:sz w:val="21"/>
                <w:szCs w:val="21"/>
                <w:spacing w:val="-3"/>
              </w:rPr>
              <w:t>6)</w:t>
            </w:r>
          </w:hyperlink>
        </w:p>
        <w:p>
          <w:pPr>
            <w:ind w:left="836"/>
            <w:spacing w:before="7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大数据治理理论的研究进展</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hyperlink w:history="true" w:anchor="bookmark7">
            <w:r>
              <w:rPr>
                <w:rFonts w:ascii="Times New Roman" w:hAnsi="Times New Roman" w:eastAsia="Times New Roman" w:cs="Times New Roman"/>
                <w:sz w:val="21"/>
                <w:szCs w:val="21"/>
                <w:spacing w:val="-7"/>
              </w:rPr>
              <w:t>16)</w:t>
            </w:r>
          </w:hyperlink>
        </w:p>
        <w:p>
          <w:pPr>
            <w:ind w:left="427"/>
            <w:spacing w:before="48" w:line="212" w:lineRule="auto"/>
            <w:tabs>
              <w:tab w:val="right" w:leader="dot" w:pos="738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数据引发的典型事件及原因归类</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hyperlink w:history="true" w:anchor="bookmark8">
            <w:r>
              <w:rPr>
                <w:rFonts w:ascii="Times New Roman" w:hAnsi="Times New Roman" w:eastAsia="Times New Roman" w:cs="Times New Roman"/>
                <w:sz w:val="21"/>
                <w:szCs w:val="21"/>
                <w:spacing w:val="-7"/>
              </w:rPr>
              <w:t>19)</w:t>
            </w:r>
          </w:hyperlink>
        </w:p>
        <w:p>
          <w:pPr>
            <w:ind w:left="836"/>
            <w:spacing w:before="79" w:line="212" w:lineRule="auto"/>
            <w:tabs>
              <w:tab w:val="right" w:leader="dot" w:pos="74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1.3.1    </w:t>
          </w:r>
          <w:r>
            <w:rPr>
              <w:rFonts w:ascii="SimSun" w:hAnsi="SimSun" w:eastAsia="SimSun" w:cs="SimSun"/>
              <w:sz w:val="21"/>
              <w:szCs w:val="21"/>
            </w:rPr>
            <w:t>数据引发的典型事件</w:t>
          </w:r>
          <w:r>
            <w:rPr>
              <w:rFonts w:ascii="SimSun" w:hAnsi="SimSun" w:eastAsia="SimSun" w:cs="SimSun"/>
              <w:sz w:val="21"/>
              <w:szCs w:val="21"/>
              <w:spacing w:val="-76"/>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hyperlink w:history="true" w:anchor="bookmark9">
            <w:r>
              <w:rPr>
                <w:rFonts w:ascii="Times New Roman" w:hAnsi="Times New Roman" w:eastAsia="Times New Roman" w:cs="Times New Roman"/>
                <w:sz w:val="21"/>
                <w:szCs w:val="21"/>
                <w:spacing w:val="-7"/>
              </w:rPr>
              <w:t>19)</w:t>
            </w:r>
          </w:hyperlink>
        </w:p>
        <w:p>
          <w:pPr>
            <w:ind w:left="836"/>
            <w:spacing w:before="6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1.3.2    </w:t>
          </w:r>
          <w:r>
            <w:rPr>
              <w:rFonts w:ascii="SimSun" w:hAnsi="SimSun" w:eastAsia="SimSun" w:cs="SimSun"/>
              <w:sz w:val="21"/>
              <w:szCs w:val="21"/>
              <w:spacing w:val="1"/>
            </w:rPr>
            <w:t>数据事件原因归类</w:t>
          </w:r>
          <w:r>
            <w:rPr>
              <w:rFonts w:ascii="SimSun" w:hAnsi="SimSun" w:eastAsia="SimSun" w:cs="SimSun"/>
              <w:sz w:val="21"/>
              <w:szCs w:val="21"/>
              <w:spacing w:val="-73"/>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0">
            <w:r>
              <w:rPr>
                <w:rFonts w:ascii="Times New Roman" w:hAnsi="Times New Roman" w:eastAsia="Times New Roman" w:cs="Times New Roman"/>
                <w:sz w:val="21"/>
                <w:szCs w:val="21"/>
                <w:spacing w:val="-3"/>
              </w:rPr>
              <w:t>21)</w:t>
            </w:r>
          </w:hyperlink>
        </w:p>
        <w:p>
          <w:pPr>
            <w:ind w:left="427"/>
            <w:spacing w:before="8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   </w:t>
          </w:r>
          <w:r>
            <w:rPr>
              <w:rFonts w:ascii="SimSun" w:hAnsi="SimSun" w:eastAsia="SimSun" w:cs="SimSun"/>
              <w:sz w:val="21"/>
              <w:szCs w:val="21"/>
              <w:spacing w:val="1"/>
            </w:rPr>
            <w:t>数据治理意义和面临的挑战</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1">
            <w:r>
              <w:rPr>
                <w:rFonts w:ascii="Times New Roman" w:hAnsi="Times New Roman" w:eastAsia="Times New Roman" w:cs="Times New Roman"/>
                <w:sz w:val="21"/>
                <w:szCs w:val="21"/>
                <w:spacing w:val="-3"/>
              </w:rPr>
              <w:t>22)</w:t>
            </w:r>
          </w:hyperlink>
        </w:p>
        <w:p>
          <w:pPr>
            <w:ind w:left="836"/>
            <w:spacing w:before="69" w:line="212" w:lineRule="auto"/>
            <w:tabs>
              <w:tab w:val="right" w:leader="dot" w:pos="73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1.4.1    </w:t>
          </w:r>
          <w:r>
            <w:rPr>
              <w:rFonts w:ascii="SimSun" w:hAnsi="SimSun" w:eastAsia="SimSun" w:cs="SimSun"/>
              <w:sz w:val="21"/>
              <w:szCs w:val="21"/>
              <w:spacing w:val="2"/>
            </w:rPr>
            <w:t>数据治理对组织的意义</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12">
            <w:r>
              <w:rPr>
                <w:rFonts w:ascii="Times New Roman" w:hAnsi="Times New Roman" w:eastAsia="Times New Roman" w:cs="Times New Roman"/>
                <w:sz w:val="21"/>
                <w:szCs w:val="21"/>
                <w:spacing w:val="-3"/>
              </w:rPr>
              <w:t>22)</w:t>
            </w:r>
          </w:hyperlink>
        </w:p>
        <w:p>
          <w:pPr>
            <w:ind w:left="836"/>
            <w:spacing w:before="6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1.4.2</w:t>
          </w:r>
          <w:r>
            <w:rPr>
              <w:rFonts w:ascii="Times New Roman" w:hAnsi="Times New Roman" w:eastAsia="Times New Roman" w:cs="Times New Roman"/>
              <w:sz w:val="21"/>
              <w:szCs w:val="21"/>
              <w:spacing w:val="7"/>
            </w:rPr>
            <w:t xml:space="preserve">    </w:t>
          </w:r>
          <w:r>
            <w:rPr>
              <w:rFonts w:ascii="SimSun" w:hAnsi="SimSun" w:eastAsia="SimSun" w:cs="SimSun"/>
              <w:sz w:val="21"/>
              <w:szCs w:val="21"/>
            </w:rPr>
            <w:t>数据治理面临的挑战</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3">
            <w:r>
              <w:rPr>
                <w:rFonts w:ascii="Times New Roman" w:hAnsi="Times New Roman" w:eastAsia="Times New Roman" w:cs="Times New Roman"/>
                <w:sz w:val="21"/>
                <w:szCs w:val="21"/>
                <w:spacing w:val="-3"/>
              </w:rPr>
              <w:t>24)</w:t>
            </w:r>
          </w:hyperlink>
        </w:p>
        <w:p>
          <w:pPr>
            <w:spacing w:before="229" w:line="212" w:lineRule="auto"/>
            <w:tabs>
              <w:tab w:val="right" w:leader="dot" w:pos="7397"/>
            </w:tabs>
            <w:rPr>
              <w:rFonts w:ascii="Times New Roman" w:hAnsi="Times New Roman" w:eastAsia="Times New Roman" w:cs="Times New Roman"/>
              <w:sz w:val="21"/>
              <w:szCs w:val="21"/>
            </w:rPr>
          </w:pPr>
          <w:r>
            <w:rPr>
              <w:rFonts w:ascii="SimSun" w:hAnsi="SimSun" w:eastAsia="SimSun" w:cs="SimSun"/>
              <w:sz w:val="21"/>
              <w:szCs w:val="21"/>
              <w:b/>
              <w:bCs/>
              <w:spacing w:val="12"/>
            </w:rPr>
            <w:t>第</w:t>
          </w:r>
          <w:r>
            <w:rPr>
              <w:rFonts w:ascii="SimSun" w:hAnsi="SimSun" w:eastAsia="SimSun" w:cs="SimSun"/>
              <w:sz w:val="21"/>
              <w:szCs w:val="21"/>
              <w:spacing w:val="-24"/>
            </w:rPr>
            <w:t xml:space="preserve"> </w:t>
          </w:r>
          <w:r>
            <w:rPr>
              <w:rFonts w:ascii="SimSun" w:hAnsi="SimSun" w:eastAsia="SimSun" w:cs="SimSun"/>
              <w:sz w:val="21"/>
              <w:szCs w:val="21"/>
              <w:b/>
              <w:bCs/>
              <w:spacing w:val="12"/>
            </w:rPr>
            <w:t>2</w:t>
          </w:r>
          <w:r>
            <w:rPr>
              <w:rFonts w:ascii="SimSun" w:hAnsi="SimSun" w:eastAsia="SimSun" w:cs="SimSun"/>
              <w:sz w:val="21"/>
              <w:szCs w:val="21"/>
              <w:spacing w:val="-23"/>
            </w:rPr>
            <w:t xml:space="preserve"> </w:t>
          </w:r>
          <w:r>
            <w:rPr>
              <w:rFonts w:ascii="SimSun" w:hAnsi="SimSun" w:eastAsia="SimSun" w:cs="SimSun"/>
              <w:sz w:val="21"/>
              <w:szCs w:val="21"/>
              <w:b/>
              <w:bCs/>
              <w:spacing w:val="12"/>
            </w:rPr>
            <w:t>章</w:t>
          </w:r>
          <w:r>
            <w:rPr>
              <w:rFonts w:ascii="SimSun" w:hAnsi="SimSun" w:eastAsia="SimSun" w:cs="SimSun"/>
              <w:sz w:val="21"/>
              <w:szCs w:val="21"/>
              <w:spacing w:val="12"/>
            </w:rPr>
            <w:t xml:space="preserve"> </w:t>
          </w:r>
          <w:r>
            <w:rPr>
              <w:rFonts w:ascii="SimSun" w:hAnsi="SimSun" w:eastAsia="SimSun" w:cs="SimSun"/>
              <w:sz w:val="21"/>
              <w:szCs w:val="21"/>
              <w:b/>
              <w:bCs/>
              <w:spacing w:val="12"/>
            </w:rPr>
            <w:t>大数据与云端数据治理</w:t>
          </w:r>
          <w:r>
            <w:rPr>
              <w:rFonts w:ascii="SimSun" w:hAnsi="SimSun" w:eastAsia="SimSun" w:cs="SimSun"/>
              <w:sz w:val="21"/>
              <w:szCs w:val="21"/>
              <w:spacing w:val="-79"/>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14">
            <w:r>
              <w:rPr>
                <w:rFonts w:ascii="Times New Roman" w:hAnsi="Times New Roman" w:eastAsia="Times New Roman" w:cs="Times New Roman"/>
                <w:sz w:val="21"/>
                <w:szCs w:val="21"/>
                <w:spacing w:val="-1"/>
              </w:rPr>
              <w:t>25)</w:t>
            </w:r>
          </w:hyperlink>
        </w:p>
        <w:p>
          <w:pPr>
            <w:ind w:left="427"/>
            <w:spacing w:before="218" w:line="212" w:lineRule="auto"/>
            <w:tabs>
              <w:tab w:val="right" w:leader="dot" w:pos="74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   </w:t>
          </w:r>
          <w:r>
            <w:rPr>
              <w:rFonts w:ascii="SimSun" w:hAnsi="SimSun" w:eastAsia="SimSun" w:cs="SimSun"/>
              <w:sz w:val="21"/>
              <w:szCs w:val="21"/>
              <w:spacing w:val="2"/>
            </w:rPr>
            <w:t>云计算与大数据环境下的数据特点</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5">
            <w:r>
              <w:rPr>
                <w:rFonts w:ascii="Times New Roman" w:hAnsi="Times New Roman" w:eastAsia="Times New Roman" w:cs="Times New Roman"/>
                <w:sz w:val="21"/>
                <w:szCs w:val="21"/>
                <w:spacing w:val="-3"/>
              </w:rPr>
              <w:t>25)</w:t>
            </w:r>
          </w:hyperlink>
        </w:p>
        <w:p>
          <w:pPr>
            <w:ind w:left="836"/>
            <w:spacing w:before="89" w:line="212" w:lineRule="auto"/>
            <w:tabs>
              <w:tab w:val="right" w:leader="dot" w:pos="73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2.1.1    </w:t>
          </w:r>
          <w:r>
            <w:rPr>
              <w:rFonts w:ascii="SimSun" w:hAnsi="SimSun" w:eastAsia="SimSun" w:cs="SimSun"/>
              <w:sz w:val="21"/>
              <w:szCs w:val="21"/>
              <w:spacing w:val="2"/>
            </w:rPr>
            <w:t>云计算的特点</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6">
            <w:r>
              <w:rPr>
                <w:rFonts w:ascii="Times New Roman" w:hAnsi="Times New Roman" w:eastAsia="Times New Roman" w:cs="Times New Roman"/>
                <w:sz w:val="21"/>
                <w:szCs w:val="21"/>
                <w:spacing w:val="-3"/>
              </w:rPr>
              <w:t>25)</w:t>
            </w:r>
          </w:hyperlink>
        </w:p>
        <w:p>
          <w:pPr>
            <w:ind w:left="836"/>
            <w:spacing w:before="4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2.1.2    </w:t>
          </w:r>
          <w:r>
            <w:rPr>
              <w:rFonts w:ascii="SimSun" w:hAnsi="SimSun" w:eastAsia="SimSun" w:cs="SimSun"/>
              <w:sz w:val="21"/>
              <w:szCs w:val="21"/>
              <w:spacing w:val="3"/>
            </w:rPr>
            <w:t>大数据的特点</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17">
            <w:r>
              <w:rPr>
                <w:rFonts w:ascii="Times New Roman" w:hAnsi="Times New Roman" w:eastAsia="Times New Roman" w:cs="Times New Roman"/>
                <w:sz w:val="21"/>
                <w:szCs w:val="21"/>
                <w:spacing w:val="-3"/>
              </w:rPr>
              <w:t>28)</w:t>
            </w:r>
          </w:hyperlink>
        </w:p>
        <w:p>
          <w:pPr>
            <w:ind w:left="836"/>
            <w:spacing w:before="99" w:line="212" w:lineRule="auto"/>
            <w:tabs>
              <w:tab w:val="right" w:leader="dot" w:pos="74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2.1.3    </w:t>
          </w:r>
          <w:r>
            <w:rPr>
              <w:rFonts w:ascii="SimSun" w:hAnsi="SimSun" w:eastAsia="SimSun" w:cs="SimSun"/>
              <w:sz w:val="21"/>
              <w:szCs w:val="21"/>
              <w:spacing w:val="2"/>
            </w:rPr>
            <w:t>云计算环境下数据的特点</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18">
            <w:r>
              <w:rPr>
                <w:rFonts w:ascii="Times New Roman" w:hAnsi="Times New Roman" w:eastAsia="Times New Roman" w:cs="Times New Roman"/>
                <w:sz w:val="21"/>
                <w:szCs w:val="21"/>
                <w:spacing w:val="-3"/>
              </w:rPr>
              <w:t>32)</w:t>
            </w:r>
          </w:hyperlink>
        </w:p>
        <w:p>
          <w:pPr>
            <w:ind w:left="427"/>
            <w:spacing w:before="6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云端数据治理介绍</w:t>
          </w:r>
          <w:r>
            <w:rPr>
              <w:rFonts w:ascii="SimSun" w:hAnsi="SimSun" w:eastAsia="SimSun" w:cs="SimSun"/>
              <w:sz w:val="21"/>
              <w:szCs w:val="21"/>
              <w:spacing w:val="-90"/>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19">
            <w:r>
              <w:rPr>
                <w:rFonts w:ascii="Times New Roman" w:hAnsi="Times New Roman" w:eastAsia="Times New Roman" w:cs="Times New Roman"/>
                <w:sz w:val="21"/>
                <w:szCs w:val="21"/>
                <w:spacing w:val="-3"/>
              </w:rPr>
              <w:t>36)</w:t>
            </w:r>
          </w:hyperlink>
        </w:p>
        <w:p>
          <w:pPr>
            <w:ind w:left="836"/>
            <w:spacing w:before="5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2.2.1    </w:t>
          </w:r>
          <w:r>
            <w:rPr>
              <w:rFonts w:ascii="SimSun" w:hAnsi="SimSun" w:eastAsia="SimSun" w:cs="SimSun"/>
              <w:sz w:val="21"/>
              <w:szCs w:val="21"/>
              <w:spacing w:val="2"/>
            </w:rPr>
            <w:t>云端数据治理的定义</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20">
            <w:r>
              <w:rPr>
                <w:rFonts w:ascii="Times New Roman" w:hAnsi="Times New Roman" w:eastAsia="Times New Roman" w:cs="Times New Roman"/>
                <w:sz w:val="21"/>
                <w:szCs w:val="21"/>
                <w:spacing w:val="-3"/>
              </w:rPr>
              <w:t>36)</w:t>
            </w:r>
          </w:hyperlink>
        </w:p>
        <w:p>
          <w:pPr>
            <w:ind w:left="836"/>
            <w:spacing w:before="68" w:line="212" w:lineRule="auto"/>
            <w:tabs>
              <w:tab w:val="right" w:leader="dot" w:pos="73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2.2.2    </w:t>
          </w:r>
          <w:r>
            <w:rPr>
              <w:rFonts w:ascii="SimSun" w:hAnsi="SimSun" w:eastAsia="SimSun" w:cs="SimSun"/>
              <w:sz w:val="21"/>
              <w:szCs w:val="21"/>
              <w:spacing w:val="1"/>
            </w:rPr>
            <w:t>云端数据治理与数据治理的关系</w:t>
          </w:r>
          <w:r>
            <w:rPr>
              <w:rFonts w:ascii="SimSun" w:hAnsi="SimSun" w:eastAsia="SimSun" w:cs="SimSun"/>
              <w:sz w:val="21"/>
              <w:szCs w:val="21"/>
              <w:spacing w:val="-79"/>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21">
            <w:r>
              <w:rPr>
                <w:rFonts w:ascii="Times New Roman" w:hAnsi="Times New Roman" w:eastAsia="Times New Roman" w:cs="Times New Roman"/>
                <w:sz w:val="21"/>
                <w:szCs w:val="21"/>
                <w:spacing w:val="-3"/>
              </w:rPr>
              <w:t>39)</w:t>
            </w:r>
          </w:hyperlink>
        </w:p>
        <w:p>
          <w:pPr>
            <w:ind w:left="427"/>
            <w:spacing w:before="89" w:line="212" w:lineRule="auto"/>
            <w:tabs>
              <w:tab w:val="right" w:leader="dot" w:pos="74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2.3   </w:t>
          </w:r>
          <w:r>
            <w:rPr>
              <w:rFonts w:ascii="SimSun" w:hAnsi="SimSun" w:eastAsia="SimSun" w:cs="SimSun"/>
              <w:sz w:val="21"/>
              <w:szCs w:val="21"/>
              <w:spacing w:val="2"/>
            </w:rPr>
            <w:t>云端数据治理的作用和价值</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22">
            <w:r>
              <w:rPr>
                <w:rFonts w:ascii="Times New Roman" w:hAnsi="Times New Roman" w:eastAsia="Times New Roman" w:cs="Times New Roman"/>
                <w:sz w:val="21"/>
                <w:szCs w:val="21"/>
                <w:spacing w:val="-3"/>
              </w:rPr>
              <w:t>41)</w:t>
            </w:r>
          </w:hyperlink>
        </w:p>
        <w:p>
          <w:pPr>
            <w:spacing w:before="209" w:line="212" w:lineRule="auto"/>
            <w:tabs>
              <w:tab w:val="right" w:leader="dot" w:pos="7397"/>
            </w:tabs>
            <w:rPr>
              <w:rFonts w:ascii="Times New Roman" w:hAnsi="Times New Roman" w:eastAsia="Times New Roman" w:cs="Times New Roman"/>
              <w:sz w:val="21"/>
              <w:szCs w:val="21"/>
            </w:rPr>
          </w:pPr>
          <w:r>
            <w:rPr>
              <w:rFonts w:ascii="SimSun" w:hAnsi="SimSun" w:eastAsia="SimSun" w:cs="SimSun"/>
              <w:sz w:val="21"/>
              <w:szCs w:val="21"/>
              <w:b/>
              <w:bCs/>
              <w:spacing w:val="11"/>
            </w:rPr>
            <w:t>第</w:t>
          </w:r>
          <w:r>
            <w:rPr>
              <w:rFonts w:ascii="SimSun" w:hAnsi="SimSun" w:eastAsia="SimSun" w:cs="SimSun"/>
              <w:sz w:val="21"/>
              <w:szCs w:val="21"/>
              <w:spacing w:val="-19"/>
            </w:rPr>
            <w:t xml:space="preserve"> </w:t>
          </w:r>
          <w:r>
            <w:rPr>
              <w:rFonts w:ascii="SimSun" w:hAnsi="SimSun" w:eastAsia="SimSun" w:cs="SimSun"/>
              <w:sz w:val="21"/>
              <w:szCs w:val="21"/>
              <w:b/>
              <w:bCs/>
              <w:spacing w:val="11"/>
            </w:rPr>
            <w:t>3</w:t>
          </w:r>
          <w:r>
            <w:rPr>
              <w:rFonts w:ascii="SimSun" w:hAnsi="SimSun" w:eastAsia="SimSun" w:cs="SimSun"/>
              <w:sz w:val="21"/>
              <w:szCs w:val="21"/>
              <w:spacing w:val="-23"/>
            </w:rPr>
            <w:t xml:space="preserve"> </w:t>
          </w:r>
          <w:r>
            <w:rPr>
              <w:rFonts w:ascii="SimSun" w:hAnsi="SimSun" w:eastAsia="SimSun" w:cs="SimSun"/>
              <w:sz w:val="21"/>
              <w:szCs w:val="21"/>
              <w:b/>
              <w:bCs/>
              <w:spacing w:val="11"/>
            </w:rPr>
            <w:t>章</w:t>
          </w:r>
          <w:r>
            <w:rPr>
              <w:rFonts w:ascii="SimSun" w:hAnsi="SimSun" w:eastAsia="SimSun" w:cs="SimSun"/>
              <w:sz w:val="21"/>
              <w:szCs w:val="21"/>
              <w:spacing w:val="11"/>
            </w:rPr>
            <w:t xml:space="preserve"> </w:t>
          </w:r>
          <w:r>
            <w:rPr>
              <w:rFonts w:ascii="SimSun" w:hAnsi="SimSun" w:eastAsia="SimSun" w:cs="SimSun"/>
              <w:sz w:val="21"/>
              <w:szCs w:val="21"/>
              <w:b/>
              <w:bCs/>
              <w:spacing w:val="11"/>
            </w:rPr>
            <w:t>云端数据治理模型与治理成熟度评估模型</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23">
            <w:r>
              <w:rPr>
                <w:rFonts w:ascii="Times New Roman" w:hAnsi="Times New Roman" w:eastAsia="Times New Roman" w:cs="Times New Roman"/>
                <w:sz w:val="21"/>
                <w:szCs w:val="21"/>
                <w:spacing w:val="-3"/>
              </w:rPr>
              <w:t>43)</w:t>
            </w:r>
          </w:hyperlink>
        </w:p>
        <w:p>
          <w:pPr>
            <w:ind w:left="427"/>
            <w:spacing w:before="219" w:line="212" w:lineRule="auto"/>
            <w:tabs>
              <w:tab w:val="right" w:leader="dot" w:pos="74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3.1</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云端数据治理模型概述</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24">
            <w:r>
              <w:rPr>
                <w:rFonts w:ascii="Times New Roman" w:hAnsi="Times New Roman" w:eastAsia="Times New Roman" w:cs="Times New Roman"/>
                <w:sz w:val="21"/>
                <w:szCs w:val="21"/>
                <w:spacing w:val="-3"/>
              </w:rPr>
              <w:t>43)</w:t>
            </w:r>
          </w:hyperlink>
        </w:p>
        <w:p>
          <w:pPr>
            <w:ind w:left="836"/>
            <w:spacing w:before="99" w:line="212" w:lineRule="auto"/>
            <w:tabs>
              <w:tab w:val="right" w:leader="dot" w:pos="74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3.1.1    </w:t>
          </w:r>
          <w:r>
            <w:rPr>
              <w:rFonts w:ascii="SimSun" w:hAnsi="SimSun" w:eastAsia="SimSun" w:cs="SimSun"/>
              <w:sz w:val="21"/>
              <w:szCs w:val="21"/>
              <w:spacing w:val="1"/>
            </w:rPr>
            <w:t>云端数据治理模型</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hyperlink w:history="true" w:anchor="bookmark25">
            <w:r>
              <w:rPr>
                <w:rFonts w:ascii="Times New Roman" w:hAnsi="Times New Roman" w:eastAsia="Times New Roman" w:cs="Times New Roman"/>
                <w:sz w:val="21"/>
                <w:szCs w:val="21"/>
                <w:spacing w:val="-3"/>
              </w:rPr>
              <w:t>43)</w:t>
            </w:r>
          </w:hyperlink>
        </w:p>
      </w:sdtContent>
    </w:sdt>
    <w:p>
      <w:pPr>
        <w:spacing w:line="212" w:lineRule="auto"/>
        <w:sectPr>
          <w:footerReference w:type="default" r:id="rId9"/>
          <w:pgSz w:w="8870" w:h="13400"/>
          <w:pgMar w:top="400" w:right="328" w:bottom="645" w:left="572" w:header="0" w:footer="354" w:gutter="0"/>
        </w:sectPr>
        <w:rPr>
          <w:rFonts w:ascii="Times New Roman" w:hAnsi="Times New Roman" w:eastAsia="Times New Roman" w:cs="Times New Roman"/>
          <w:sz w:val="21"/>
          <w:szCs w:val="21"/>
        </w:rPr>
      </w:pPr>
    </w:p>
    <w:p>
      <w:pPr>
        <w:ind w:left="242"/>
        <w:spacing w:before="215" w:line="219" w:lineRule="auto"/>
        <w:rPr>
          <w:rFonts w:ascii="SimSun" w:hAnsi="SimSun" w:eastAsia="SimSun" w:cs="SimSun"/>
          <w:sz w:val="21"/>
          <w:szCs w:val="21"/>
        </w:rPr>
      </w:pPr>
      <w:r>
        <w:rPr>
          <w:rFonts w:ascii="SimSun" w:hAnsi="SimSun" w:eastAsia="SimSun" w:cs="SimSun"/>
          <w:sz w:val="21"/>
          <w:szCs w:val="21"/>
          <w:b/>
          <w:bCs/>
          <w:spacing w:val="-25"/>
        </w:rPr>
        <w:t>■云端数据治理■</w:t>
      </w:r>
    </w:p>
    <w:p>
      <w:pPr>
        <w:pStyle w:val="BodyText"/>
        <w:spacing w:line="260"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109"/>
            <w:spacing w:before="68" w:line="212" w:lineRule="auto"/>
            <w:tabs>
              <w:tab w:val="right" w:leader="dot" w:pos="76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3.1.2</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成熟度等级定义与特征</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3"/>
            </w:rPr>
            <w:t>(</w:t>
          </w:r>
          <w:hyperlink w:history="true" w:anchor="bookmark26">
            <w:r>
              <w:rPr>
                <w:rFonts w:ascii="Times New Roman" w:hAnsi="Times New Roman" w:eastAsia="Times New Roman" w:cs="Times New Roman"/>
                <w:sz w:val="21"/>
                <w:szCs w:val="21"/>
                <w:spacing w:val="-3"/>
              </w:rPr>
              <w:t>47)</w:t>
            </w:r>
          </w:hyperlink>
        </w:p>
        <w:p>
          <w:pPr>
            <w:ind w:left="689"/>
            <w:spacing w:before="48" w:line="212" w:lineRule="auto"/>
            <w:tabs>
              <w:tab w:val="right" w:leader="dot" w:pos="7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云端数据治理成熟度评估模型</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w:t>
          </w:r>
          <w:hyperlink w:history="true" w:anchor="bookmark27">
            <w:r>
              <w:rPr>
                <w:rFonts w:ascii="Times New Roman" w:hAnsi="Times New Roman" w:eastAsia="Times New Roman" w:cs="Times New Roman"/>
                <w:sz w:val="21"/>
                <w:szCs w:val="21"/>
                <w:spacing w:val="-3"/>
              </w:rPr>
              <w:t>49)</w:t>
            </w:r>
          </w:hyperlink>
        </w:p>
        <w:p>
          <w:pPr>
            <w:ind w:left="1109"/>
            <w:spacing w:before="78" w:line="212" w:lineRule="auto"/>
            <w:tabs>
              <w:tab w:val="right" w:leader="dot" w:pos="76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3.2.1    </w:t>
          </w:r>
          <w:r>
            <w:rPr>
              <w:rFonts w:ascii="SimSun" w:hAnsi="SimSun" w:eastAsia="SimSun" w:cs="SimSun"/>
              <w:sz w:val="21"/>
              <w:szCs w:val="21"/>
              <w:spacing w:val="3"/>
            </w:rPr>
            <w:t>成熟度等级判别标准</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28">
            <w:r>
              <w:rPr>
                <w:rFonts w:ascii="Times New Roman" w:hAnsi="Times New Roman" w:eastAsia="Times New Roman" w:cs="Times New Roman"/>
                <w:sz w:val="21"/>
                <w:szCs w:val="21"/>
                <w:spacing w:val="-3"/>
              </w:rPr>
              <w:t>49)</w:t>
            </w:r>
          </w:hyperlink>
        </w:p>
        <w:p>
          <w:pPr>
            <w:ind w:left="1109"/>
            <w:spacing w:before="89" w:line="212" w:lineRule="auto"/>
            <w:tabs>
              <w:tab w:val="right" w:leader="dot" w:pos="76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3.2.2</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成熟度评估方法</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w:t>
          </w:r>
          <w:hyperlink w:history="true" w:anchor="bookmark29">
            <w:r>
              <w:rPr>
                <w:rFonts w:ascii="Times New Roman" w:hAnsi="Times New Roman" w:eastAsia="Times New Roman" w:cs="Times New Roman"/>
                <w:sz w:val="21"/>
                <w:szCs w:val="21"/>
                <w:spacing w:val="-3"/>
              </w:rPr>
              <w:t>50)</w:t>
            </w:r>
          </w:hyperlink>
        </w:p>
        <w:p>
          <w:pPr>
            <w:ind w:left="2243"/>
            <w:spacing w:before="228" w:line="221" w:lineRule="auto"/>
            <w:rPr>
              <w:rFonts w:ascii="SimHei" w:hAnsi="SimHei" w:eastAsia="SimHei" w:cs="SimHei"/>
              <w:sz w:val="21"/>
              <w:szCs w:val="21"/>
            </w:rPr>
          </w:pPr>
          <w:r>
            <w:rPr>
              <w:rFonts w:ascii="SimHei" w:hAnsi="SimHei" w:eastAsia="SimHei" w:cs="SimHei"/>
              <w:sz w:val="21"/>
              <w:szCs w:val="21"/>
              <w:b/>
              <w:bCs/>
              <w:spacing w:val="9"/>
            </w:rPr>
            <w:t>第2</w:t>
          </w:r>
          <w:r>
            <w:rPr>
              <w:rFonts w:ascii="SimHei" w:hAnsi="SimHei" w:eastAsia="SimHei" w:cs="SimHei"/>
              <w:sz w:val="21"/>
              <w:szCs w:val="21"/>
              <w:spacing w:val="51"/>
            </w:rPr>
            <w:t xml:space="preserve"> </w:t>
          </w:r>
          <w:r>
            <w:rPr>
              <w:rFonts w:ascii="SimHei" w:hAnsi="SimHei" w:eastAsia="SimHei" w:cs="SimHei"/>
              <w:sz w:val="21"/>
              <w:szCs w:val="21"/>
              <w:b/>
              <w:bCs/>
              <w:spacing w:val="9"/>
            </w:rPr>
            <w:t>篇</w:t>
          </w:r>
          <w:r>
            <w:rPr>
              <w:rFonts w:ascii="SimHei" w:hAnsi="SimHei" w:eastAsia="SimHei" w:cs="SimHei"/>
              <w:sz w:val="21"/>
              <w:szCs w:val="21"/>
              <w:spacing w:val="48"/>
            </w:rPr>
            <w:t xml:space="preserve"> </w:t>
          </w:r>
          <w:r>
            <w:rPr>
              <w:rFonts w:ascii="SimHei" w:hAnsi="SimHei" w:eastAsia="SimHei" w:cs="SimHei"/>
              <w:sz w:val="21"/>
              <w:szCs w:val="21"/>
              <w:b/>
              <w:bCs/>
              <w:spacing w:val="9"/>
            </w:rPr>
            <w:t>云端数据治理成熟度模型解读</w:t>
          </w:r>
        </w:p>
        <w:p>
          <w:pPr>
            <w:ind w:left="302"/>
            <w:spacing w:before="200" w:line="212" w:lineRule="auto"/>
            <w:tabs>
              <w:tab w:val="right" w:leader="dot" w:pos="7650"/>
            </w:tabs>
            <w:rPr>
              <w:rFonts w:ascii="Times New Roman" w:hAnsi="Times New Roman" w:eastAsia="Times New Roman" w:cs="Times New Roman"/>
              <w:sz w:val="21"/>
              <w:szCs w:val="21"/>
            </w:rPr>
          </w:pPr>
          <w:r>
            <w:rPr>
              <w:rFonts w:ascii="SimSun" w:hAnsi="SimSun" w:eastAsia="SimSun" w:cs="SimSun"/>
              <w:sz w:val="21"/>
              <w:szCs w:val="21"/>
              <w:b/>
              <w:bCs/>
              <w:spacing w:val="12"/>
            </w:rPr>
            <w:t>第</w:t>
          </w:r>
          <w:r>
            <w:rPr>
              <w:rFonts w:ascii="SimSun" w:hAnsi="SimSun" w:eastAsia="SimSun" w:cs="SimSun"/>
              <w:sz w:val="21"/>
              <w:szCs w:val="21"/>
              <w:spacing w:val="-30"/>
            </w:rPr>
            <w:t xml:space="preserve"> </w:t>
          </w:r>
          <w:r>
            <w:rPr>
              <w:rFonts w:ascii="SimSun" w:hAnsi="SimSun" w:eastAsia="SimSun" w:cs="SimSun"/>
              <w:sz w:val="21"/>
              <w:szCs w:val="21"/>
              <w:b/>
              <w:bCs/>
              <w:spacing w:val="12"/>
            </w:rPr>
            <w:t>4</w:t>
          </w:r>
          <w:r>
            <w:rPr>
              <w:rFonts w:ascii="SimSun" w:hAnsi="SimSun" w:eastAsia="SimSun" w:cs="SimSun"/>
              <w:sz w:val="21"/>
              <w:szCs w:val="21"/>
              <w:spacing w:val="-23"/>
            </w:rPr>
            <w:t xml:space="preserve"> </w:t>
          </w:r>
          <w:r>
            <w:rPr>
              <w:rFonts w:ascii="SimSun" w:hAnsi="SimSun" w:eastAsia="SimSun" w:cs="SimSun"/>
              <w:sz w:val="21"/>
              <w:szCs w:val="21"/>
              <w:b/>
              <w:bCs/>
              <w:spacing w:val="12"/>
            </w:rPr>
            <w:t>章</w:t>
          </w:r>
          <w:r>
            <w:rPr>
              <w:rFonts w:ascii="SimSun" w:hAnsi="SimSun" w:eastAsia="SimSun" w:cs="SimSun"/>
              <w:sz w:val="21"/>
              <w:szCs w:val="21"/>
              <w:spacing w:val="37"/>
            </w:rPr>
            <w:t xml:space="preserve"> </w:t>
          </w:r>
          <w:r>
            <w:rPr>
              <w:rFonts w:ascii="SimSun" w:hAnsi="SimSun" w:eastAsia="SimSun" w:cs="SimSun"/>
              <w:sz w:val="21"/>
              <w:szCs w:val="21"/>
              <w:b/>
              <w:bCs/>
              <w:spacing w:val="12"/>
            </w:rPr>
            <w:t>云端数据战略</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30">
            <w:r>
              <w:rPr>
                <w:rFonts w:ascii="Times New Roman" w:hAnsi="Times New Roman" w:eastAsia="Times New Roman" w:cs="Times New Roman"/>
                <w:sz w:val="21"/>
                <w:szCs w:val="21"/>
                <w:spacing w:val="-1"/>
              </w:rPr>
              <w:t>54)</w:t>
            </w:r>
          </w:hyperlink>
        </w:p>
        <w:p>
          <w:pPr>
            <w:ind w:left="689"/>
            <w:spacing w:before="20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概述</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3"/>
            </w:rPr>
            <w:t>(</w:t>
          </w:r>
          <w:hyperlink w:history="true" w:anchor="bookmark31">
            <w:r>
              <w:rPr>
                <w:rFonts w:ascii="Times New Roman" w:hAnsi="Times New Roman" w:eastAsia="Times New Roman" w:cs="Times New Roman"/>
                <w:sz w:val="21"/>
                <w:szCs w:val="21"/>
                <w:spacing w:val="-3"/>
              </w:rPr>
              <w:t>54)</w:t>
            </w:r>
          </w:hyperlink>
        </w:p>
        <w:p>
          <w:pPr>
            <w:ind w:left="1109"/>
            <w:spacing w:before="98" w:line="212" w:lineRule="auto"/>
            <w:tabs>
              <w:tab w:val="right" w:leader="dot" w:pos="76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目的和意义</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w:t>
          </w:r>
          <w:hyperlink w:history="true" w:anchor="bookmark32">
            <w:r>
              <w:rPr>
                <w:rFonts w:ascii="Times New Roman" w:hAnsi="Times New Roman" w:eastAsia="Times New Roman" w:cs="Times New Roman"/>
                <w:sz w:val="21"/>
                <w:szCs w:val="21"/>
                <w:spacing w:val="-3"/>
              </w:rPr>
              <w:t>54)</w:t>
            </w:r>
          </w:hyperlink>
        </w:p>
        <w:p>
          <w:pPr>
            <w:ind w:left="1109"/>
            <w:spacing w:before="79" w:line="212" w:lineRule="auto"/>
            <w:tabs>
              <w:tab w:val="right" w:leader="dot" w:pos="765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内容与关联性</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3"/>
            </w:rPr>
            <w:t>(</w:t>
          </w:r>
          <w:hyperlink w:history="true" w:anchor="bookmark33">
            <w:r>
              <w:rPr>
                <w:rFonts w:ascii="Times New Roman" w:hAnsi="Times New Roman" w:eastAsia="Times New Roman" w:cs="Times New Roman"/>
                <w:sz w:val="21"/>
                <w:szCs w:val="21"/>
                <w:spacing w:val="-3"/>
              </w:rPr>
              <w:t>55)</w:t>
            </w:r>
          </w:hyperlink>
        </w:p>
        <w:p>
          <w:pPr>
            <w:ind w:left="689"/>
            <w:spacing w:before="5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4.2</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活动及要求</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3"/>
            </w:rPr>
            <w:t>(</w:t>
          </w:r>
          <w:hyperlink w:history="true" w:anchor="bookmark34">
            <w:r>
              <w:rPr>
                <w:rFonts w:ascii="Times New Roman" w:hAnsi="Times New Roman" w:eastAsia="Times New Roman" w:cs="Times New Roman"/>
                <w:sz w:val="21"/>
                <w:szCs w:val="21"/>
                <w:spacing w:val="-3"/>
              </w:rPr>
              <w:t>55)</w:t>
            </w:r>
          </w:hyperlink>
        </w:p>
        <w:p>
          <w:pPr>
            <w:ind w:left="1109"/>
            <w:spacing w:before="6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4.2.1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战略</w:t>
          </w:r>
          <w:r>
            <w:rPr>
              <w:rFonts w:ascii="SimSun" w:hAnsi="SimSun" w:eastAsia="SimSun" w:cs="SimSun"/>
              <w:sz w:val="21"/>
              <w:szCs w:val="21"/>
              <w:spacing w:val="23"/>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w:t>
          </w:r>
          <w:hyperlink w:history="true" w:anchor="bookmark35">
            <w:r>
              <w:rPr>
                <w:rFonts w:ascii="Times New Roman" w:hAnsi="Times New Roman" w:eastAsia="Times New Roman" w:cs="Times New Roman"/>
                <w:sz w:val="21"/>
                <w:szCs w:val="21"/>
                <w:spacing w:val="-4"/>
              </w:rPr>
              <w:t>55)</w:t>
            </w:r>
          </w:hyperlink>
        </w:p>
        <w:p>
          <w:pPr>
            <w:ind w:left="1109"/>
            <w:spacing w:before="79" w:line="212" w:lineRule="auto"/>
            <w:tabs>
              <w:tab w:val="right" w:leader="dot" w:pos="76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4.2.2    </w:t>
          </w:r>
          <w:r>
            <w:rPr>
              <w:rFonts w:ascii="SimSun" w:hAnsi="SimSun" w:eastAsia="SimSun" w:cs="SimSun"/>
              <w:sz w:val="21"/>
              <w:szCs w:val="21"/>
              <w:spacing w:val="2"/>
            </w:rPr>
            <w:t>组织与角色</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w:t>
          </w:r>
          <w:hyperlink w:history="true" w:anchor="bookmark36">
            <w:r>
              <w:rPr>
                <w:rFonts w:ascii="Times New Roman" w:hAnsi="Times New Roman" w:eastAsia="Times New Roman" w:cs="Times New Roman"/>
                <w:sz w:val="21"/>
                <w:szCs w:val="21"/>
                <w:spacing w:val="-3"/>
              </w:rPr>
              <w:t>64)</w:t>
            </w:r>
          </w:hyperlink>
        </w:p>
        <w:p>
          <w:pPr>
            <w:ind w:left="1109"/>
            <w:spacing w:before="7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4.2.3    </w:t>
          </w:r>
          <w:r>
            <w:rPr>
              <w:rFonts w:ascii="SimSun" w:hAnsi="SimSun" w:eastAsia="SimSun" w:cs="SimSun"/>
              <w:sz w:val="21"/>
              <w:szCs w:val="21"/>
              <w:spacing w:val="-1"/>
            </w:rPr>
            <w:t>业务案例</w:t>
          </w:r>
          <w:r>
            <w:rPr>
              <w:rFonts w:ascii="SimSun" w:hAnsi="SimSun" w:eastAsia="SimSun" w:cs="SimSun"/>
              <w:sz w:val="21"/>
              <w:szCs w:val="21"/>
              <w:spacing w:val="4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37">
            <w:r>
              <w:rPr>
                <w:rFonts w:ascii="Times New Roman" w:hAnsi="Times New Roman" w:eastAsia="Times New Roman" w:cs="Times New Roman"/>
                <w:sz w:val="21"/>
                <w:szCs w:val="21"/>
                <w:spacing w:val="-1"/>
              </w:rPr>
              <w:t>73)</w:t>
            </w:r>
          </w:hyperlink>
        </w:p>
        <w:p>
          <w:pPr>
            <w:ind w:left="1109"/>
            <w:spacing w:before="69" w:line="212" w:lineRule="auto"/>
            <w:tabs>
              <w:tab w:val="right" w:leader="dot" w:pos="7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4.2.4</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资源保障</w:t>
          </w:r>
          <w:r>
            <w:rPr>
              <w:rFonts w:ascii="SimSun" w:hAnsi="SimSun" w:eastAsia="SimSun" w:cs="SimSun"/>
              <w:sz w:val="21"/>
              <w:szCs w:val="21"/>
              <w:spacing w:val="13"/>
            </w:rPr>
            <w:t xml:space="preserve"> </w:t>
          </w:r>
          <w:r>
            <w:rPr>
              <w:rFonts w:ascii="SimSun" w:hAnsi="SimSun" w:eastAsia="SimSun" w:cs="SimSun"/>
              <w:sz w:val="21"/>
              <w:szCs w:val="21"/>
            </w:rPr>
            <w:tab/>
          </w:r>
          <w:r>
            <w:rPr>
              <w:rFonts w:ascii="SimSun" w:hAnsi="SimSun" w:eastAsia="SimSun" w:cs="SimSun"/>
              <w:sz w:val="21"/>
              <w:szCs w:val="21"/>
              <w:spacing w:val="-69"/>
            </w:rPr>
            <w:t xml:space="preserve"> </w:t>
          </w:r>
          <w:r>
            <w:rPr>
              <w:rFonts w:ascii="Times New Roman" w:hAnsi="Times New Roman" w:eastAsia="Times New Roman" w:cs="Times New Roman"/>
              <w:sz w:val="21"/>
              <w:szCs w:val="21"/>
              <w:spacing w:val="-3"/>
            </w:rPr>
            <w:t>(</w:t>
          </w:r>
          <w:hyperlink w:history="true" w:anchor="bookmark38">
            <w:r>
              <w:rPr>
                <w:rFonts w:ascii="Times New Roman" w:hAnsi="Times New Roman" w:eastAsia="Times New Roman" w:cs="Times New Roman"/>
                <w:sz w:val="21"/>
                <w:szCs w:val="21"/>
                <w:spacing w:val="-3"/>
              </w:rPr>
              <w:t>81)</w:t>
            </w:r>
          </w:hyperlink>
        </w:p>
        <w:p>
          <w:pPr>
            <w:ind w:left="1109"/>
            <w:spacing w:before="78"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4.2.5</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沟通</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3"/>
            </w:rPr>
            <w:t>(</w:t>
          </w:r>
          <w:hyperlink w:history="true" w:anchor="bookmark39">
            <w:r>
              <w:rPr>
                <w:rFonts w:ascii="Times New Roman" w:hAnsi="Times New Roman" w:eastAsia="Times New Roman" w:cs="Times New Roman"/>
                <w:sz w:val="21"/>
                <w:szCs w:val="21"/>
                <w:spacing w:val="-3"/>
              </w:rPr>
              <w:t>87)</w:t>
            </w:r>
          </w:hyperlink>
        </w:p>
        <w:p>
          <w:pPr>
            <w:ind w:left="302"/>
            <w:spacing w:before="219" w:line="212" w:lineRule="auto"/>
            <w:tabs>
              <w:tab w:val="right" w:leader="dot" w:pos="7650"/>
            </w:tabs>
            <w:rPr>
              <w:rFonts w:ascii="Times New Roman" w:hAnsi="Times New Roman" w:eastAsia="Times New Roman" w:cs="Times New Roman"/>
              <w:sz w:val="21"/>
              <w:szCs w:val="21"/>
            </w:rPr>
          </w:pPr>
          <w:r>
            <w:rPr>
              <w:rFonts w:ascii="SimSun" w:hAnsi="SimSun" w:eastAsia="SimSun" w:cs="SimSun"/>
              <w:sz w:val="21"/>
              <w:szCs w:val="21"/>
              <w:b/>
              <w:bCs/>
              <w:spacing w:val="11"/>
            </w:rPr>
            <w:t>第</w:t>
          </w:r>
          <w:r>
            <w:rPr>
              <w:rFonts w:ascii="SimSun" w:hAnsi="SimSun" w:eastAsia="SimSun" w:cs="SimSun"/>
              <w:sz w:val="21"/>
              <w:szCs w:val="21"/>
              <w:spacing w:val="-22"/>
            </w:rPr>
            <w:t xml:space="preserve"> </w:t>
          </w:r>
          <w:r>
            <w:rPr>
              <w:rFonts w:ascii="SimSun" w:hAnsi="SimSun" w:eastAsia="SimSun" w:cs="SimSun"/>
              <w:sz w:val="21"/>
              <w:szCs w:val="21"/>
              <w:b/>
              <w:bCs/>
              <w:spacing w:val="11"/>
            </w:rPr>
            <w:t>5</w:t>
          </w:r>
          <w:r>
            <w:rPr>
              <w:rFonts w:ascii="SimSun" w:hAnsi="SimSun" w:eastAsia="SimSun" w:cs="SimSun"/>
              <w:sz w:val="21"/>
              <w:szCs w:val="21"/>
              <w:spacing w:val="-23"/>
            </w:rPr>
            <w:t xml:space="preserve"> </w:t>
          </w:r>
          <w:r>
            <w:rPr>
              <w:rFonts w:ascii="SimSun" w:hAnsi="SimSun" w:eastAsia="SimSun" w:cs="SimSun"/>
              <w:sz w:val="21"/>
              <w:szCs w:val="21"/>
              <w:b/>
              <w:bCs/>
              <w:spacing w:val="11"/>
            </w:rPr>
            <w:t>章</w:t>
          </w:r>
          <w:r>
            <w:rPr>
              <w:rFonts w:ascii="SimSun" w:hAnsi="SimSun" w:eastAsia="SimSun" w:cs="SimSun"/>
              <w:sz w:val="21"/>
              <w:szCs w:val="21"/>
              <w:spacing w:val="36"/>
            </w:rPr>
            <w:t xml:space="preserve"> </w:t>
          </w:r>
          <w:r>
            <w:rPr>
              <w:rFonts w:ascii="SimSun" w:hAnsi="SimSun" w:eastAsia="SimSun" w:cs="SimSun"/>
              <w:sz w:val="21"/>
              <w:szCs w:val="21"/>
              <w:b/>
              <w:bCs/>
              <w:spacing w:val="11"/>
            </w:rPr>
            <w:t>云端数据管理</w:t>
          </w:r>
          <w:r>
            <w:rPr>
              <w:rFonts w:ascii="SimSun" w:hAnsi="SimSun" w:eastAsia="SimSun" w:cs="SimSun"/>
              <w:sz w:val="21"/>
              <w:szCs w:val="21"/>
              <w:spacing w:val="-79"/>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40">
            <w:r>
              <w:rPr>
                <w:rFonts w:ascii="Times New Roman" w:hAnsi="Times New Roman" w:eastAsia="Times New Roman" w:cs="Times New Roman"/>
                <w:sz w:val="21"/>
                <w:szCs w:val="21"/>
                <w:spacing w:val="-1"/>
              </w:rPr>
              <w:t>94)</w:t>
            </w:r>
          </w:hyperlink>
        </w:p>
        <w:p>
          <w:pPr>
            <w:ind w:left="689"/>
            <w:spacing w:before="219" w:line="212" w:lineRule="auto"/>
            <w:tabs>
              <w:tab w:val="right" w:leader="dot" w:pos="76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概述</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79"/>
            </w:rPr>
            <w:t xml:space="preserve"> </w:t>
          </w:r>
          <w:r>
            <w:rPr>
              <w:rFonts w:ascii="Times New Roman" w:hAnsi="Times New Roman" w:eastAsia="Times New Roman" w:cs="Times New Roman"/>
              <w:sz w:val="21"/>
              <w:szCs w:val="21"/>
              <w:spacing w:val="-3"/>
            </w:rPr>
            <w:t>(</w:t>
          </w:r>
          <w:hyperlink w:history="true" w:anchor="bookmark41">
            <w:r>
              <w:rPr>
                <w:rFonts w:ascii="Times New Roman" w:hAnsi="Times New Roman" w:eastAsia="Times New Roman" w:cs="Times New Roman"/>
                <w:sz w:val="21"/>
                <w:szCs w:val="21"/>
                <w:spacing w:val="-3"/>
              </w:rPr>
              <w:t>94)</w:t>
            </w:r>
          </w:hyperlink>
        </w:p>
        <w:p>
          <w:pPr>
            <w:ind w:left="1109"/>
            <w:spacing w:before="6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5.1.1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目的和意义</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w:t>
          </w:r>
          <w:hyperlink w:history="true" w:anchor="bookmark42">
            <w:r>
              <w:rPr>
                <w:rFonts w:ascii="Times New Roman" w:hAnsi="Times New Roman" w:eastAsia="Times New Roman" w:cs="Times New Roman"/>
                <w:sz w:val="21"/>
                <w:szCs w:val="21"/>
                <w:spacing w:val="-3"/>
              </w:rPr>
              <w:t>94)</w:t>
            </w:r>
          </w:hyperlink>
        </w:p>
        <w:p>
          <w:pPr>
            <w:ind w:left="1109"/>
            <w:spacing w:before="7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5.1.2</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内容与关联性</w:t>
          </w:r>
          <w:r>
            <w:rPr>
              <w:rFonts w:ascii="SimSun" w:hAnsi="SimSun" w:eastAsia="SimSun" w:cs="SimSun"/>
              <w:sz w:val="21"/>
              <w:szCs w:val="21"/>
              <w:spacing w:val="39"/>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w:t>
          </w:r>
          <w:hyperlink w:history="true" w:anchor="bookmark43">
            <w:r>
              <w:rPr>
                <w:rFonts w:ascii="Times New Roman" w:hAnsi="Times New Roman" w:eastAsia="Times New Roman" w:cs="Times New Roman"/>
                <w:sz w:val="21"/>
                <w:szCs w:val="21"/>
                <w:spacing w:val="-4"/>
              </w:rPr>
              <w:t>95)</w:t>
            </w:r>
          </w:hyperlink>
        </w:p>
        <w:p>
          <w:pPr>
            <w:ind w:left="689"/>
            <w:spacing w:before="69" w:line="212" w:lineRule="auto"/>
            <w:tabs>
              <w:tab w:val="right" w:leader="dot" w:pos="7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活动及要求</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w:t>
          </w:r>
          <w:hyperlink w:history="true" w:anchor="bookmark44">
            <w:r>
              <w:rPr>
                <w:rFonts w:ascii="Times New Roman" w:hAnsi="Times New Roman" w:eastAsia="Times New Roman" w:cs="Times New Roman"/>
                <w:sz w:val="21"/>
                <w:szCs w:val="21"/>
                <w:spacing w:val="-3"/>
              </w:rPr>
              <w:t>95)</w:t>
            </w:r>
          </w:hyperlink>
        </w:p>
        <w:p>
          <w:pPr>
            <w:ind w:left="1109"/>
            <w:spacing w:before="69" w:line="212" w:lineRule="auto"/>
            <w:tabs>
              <w:tab w:val="right" w:leader="dot" w:pos="76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5.2.1    </w:t>
          </w:r>
          <w:r>
            <w:rPr>
              <w:rFonts w:ascii="SimSun" w:hAnsi="SimSun" w:eastAsia="SimSun" w:cs="SimSun"/>
              <w:sz w:val="21"/>
              <w:szCs w:val="21"/>
              <w:spacing w:val="2"/>
            </w:rPr>
            <w:t>业务词汇表</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w:t>
          </w:r>
          <w:hyperlink w:history="true" w:anchor="bookmark45">
            <w:r>
              <w:rPr>
                <w:rFonts w:ascii="Times New Roman" w:hAnsi="Times New Roman" w:eastAsia="Times New Roman" w:cs="Times New Roman"/>
                <w:sz w:val="21"/>
                <w:szCs w:val="21"/>
                <w:spacing w:val="-3"/>
              </w:rPr>
              <w:t>95)</w:t>
            </w:r>
          </w:hyperlink>
        </w:p>
        <w:p>
          <w:pPr>
            <w:ind w:left="1109"/>
            <w:spacing w:before="78" w:line="212" w:lineRule="auto"/>
            <w:tabs>
              <w:tab w:val="right" w:leader="dot" w:pos="762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5.2.2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元数据管理</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46">
            <w:r>
              <w:rPr>
                <w:rFonts w:ascii="Times New Roman" w:hAnsi="Times New Roman" w:eastAsia="Times New Roman" w:cs="Times New Roman"/>
                <w:sz w:val="21"/>
                <w:szCs w:val="21"/>
                <w:spacing w:val="-5"/>
              </w:rPr>
              <w:t>105)</w:t>
            </w:r>
          </w:hyperlink>
        </w:p>
        <w:p>
          <w:pPr>
            <w:ind w:left="1109"/>
            <w:spacing w:before="69" w:line="212" w:lineRule="auto"/>
            <w:tabs>
              <w:tab w:val="right" w:leader="dot" w:pos="768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5.2.3    </w:t>
          </w:r>
          <w:r>
            <w:rPr>
              <w:rFonts w:ascii="SimSun" w:hAnsi="SimSun" w:eastAsia="SimSun" w:cs="SimSun"/>
              <w:sz w:val="21"/>
              <w:szCs w:val="21"/>
              <w:spacing w:val="2"/>
            </w:rPr>
            <w:t>主数据管理</w:t>
          </w:r>
          <w:r>
            <w:rPr>
              <w:rFonts w:ascii="SimSun" w:hAnsi="SimSun" w:eastAsia="SimSun" w:cs="SimSun"/>
              <w:sz w:val="21"/>
              <w:szCs w:val="21"/>
              <w:spacing w:val="-74"/>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8"/>
            </w:rPr>
            <w:t xml:space="preserve"> </w:t>
          </w:r>
          <w:hyperlink w:history="true" w:anchor="bookmark47">
            <w:r>
              <w:rPr>
                <w:rFonts w:ascii="Times New Roman" w:hAnsi="Times New Roman" w:eastAsia="Times New Roman" w:cs="Times New Roman"/>
                <w:sz w:val="21"/>
                <w:szCs w:val="21"/>
                <w:spacing w:val="-5"/>
              </w:rPr>
              <w:t>119)</w:t>
            </w:r>
          </w:hyperlink>
        </w:p>
        <w:p>
          <w:pPr>
            <w:ind w:left="302"/>
            <w:spacing w:before="239" w:line="212" w:lineRule="auto"/>
            <w:tabs>
              <w:tab w:val="right" w:leader="dot" w:pos="7655"/>
            </w:tabs>
            <w:rPr>
              <w:rFonts w:ascii="Times New Roman" w:hAnsi="Times New Roman" w:eastAsia="Times New Roman" w:cs="Times New Roman"/>
              <w:sz w:val="21"/>
              <w:szCs w:val="21"/>
            </w:rPr>
          </w:pPr>
          <w:r>
            <w:rPr>
              <w:rFonts w:ascii="SimSun" w:hAnsi="SimSun" w:eastAsia="SimSun" w:cs="SimSun"/>
              <w:sz w:val="21"/>
              <w:szCs w:val="21"/>
              <w:b/>
              <w:bCs/>
              <w:spacing w:val="11"/>
            </w:rPr>
            <w:t>第</w:t>
          </w:r>
          <w:r>
            <w:rPr>
              <w:rFonts w:ascii="SimSun" w:hAnsi="SimSun" w:eastAsia="SimSun" w:cs="SimSun"/>
              <w:sz w:val="21"/>
              <w:szCs w:val="21"/>
              <w:spacing w:val="-16"/>
            </w:rPr>
            <w:t xml:space="preserve"> </w:t>
          </w:r>
          <w:r>
            <w:rPr>
              <w:rFonts w:ascii="SimSun" w:hAnsi="SimSun" w:eastAsia="SimSun" w:cs="SimSun"/>
              <w:sz w:val="21"/>
              <w:szCs w:val="21"/>
              <w:b/>
              <w:bCs/>
              <w:spacing w:val="11"/>
            </w:rPr>
            <w:t>6</w:t>
          </w:r>
          <w:r>
            <w:rPr>
              <w:rFonts w:ascii="SimSun" w:hAnsi="SimSun" w:eastAsia="SimSun" w:cs="SimSun"/>
              <w:sz w:val="21"/>
              <w:szCs w:val="21"/>
              <w:spacing w:val="-19"/>
            </w:rPr>
            <w:t xml:space="preserve"> </w:t>
          </w:r>
          <w:r>
            <w:rPr>
              <w:rFonts w:ascii="SimSun" w:hAnsi="SimSun" w:eastAsia="SimSun" w:cs="SimSun"/>
              <w:sz w:val="21"/>
              <w:szCs w:val="21"/>
              <w:b/>
              <w:bCs/>
              <w:spacing w:val="11"/>
            </w:rPr>
            <w:t>章</w:t>
          </w:r>
          <w:r>
            <w:rPr>
              <w:rFonts w:ascii="SimSun" w:hAnsi="SimSun" w:eastAsia="SimSun" w:cs="SimSun"/>
              <w:sz w:val="21"/>
              <w:szCs w:val="21"/>
              <w:spacing w:val="37"/>
            </w:rPr>
            <w:t xml:space="preserve"> </w:t>
          </w:r>
          <w:r>
            <w:rPr>
              <w:rFonts w:ascii="SimSun" w:hAnsi="SimSun" w:eastAsia="SimSun" w:cs="SimSun"/>
              <w:sz w:val="21"/>
              <w:szCs w:val="21"/>
              <w:b/>
              <w:bCs/>
              <w:spacing w:val="11"/>
            </w:rPr>
            <w:t>云端数据质量</w:t>
          </w:r>
          <w:r>
            <w:rPr>
              <w:rFonts w:ascii="SimSun" w:hAnsi="SimSun" w:eastAsia="SimSun" w:cs="SimSun"/>
              <w:sz w:val="21"/>
              <w:szCs w:val="21"/>
              <w:spacing w:val="-80"/>
            </w:rPr>
            <w:t xml:space="preserve"> </w:t>
          </w:r>
          <w:r>
            <w:rPr>
              <w:rFonts w:ascii="SimSun" w:hAnsi="SimSun" w:eastAsia="SimSun" w:cs="SimSun"/>
              <w:sz w:val="21"/>
              <w:szCs w:val="21"/>
            </w:rPr>
            <w:tab/>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48">
            <w:r>
              <w:rPr>
                <w:rFonts w:ascii="Times New Roman" w:hAnsi="Times New Roman" w:eastAsia="Times New Roman" w:cs="Times New Roman"/>
                <w:sz w:val="21"/>
                <w:szCs w:val="21"/>
                <w:spacing w:val="-6"/>
              </w:rPr>
              <w:t>132)</w:t>
            </w:r>
          </w:hyperlink>
        </w:p>
        <w:p>
          <w:pPr>
            <w:ind w:left="689"/>
            <w:spacing w:before="239" w:line="212" w:lineRule="auto"/>
            <w:tabs>
              <w:tab w:val="right" w:leader="dot" w:pos="76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6.1   </w:t>
          </w:r>
          <w:r>
            <w:rPr>
              <w:rFonts w:ascii="SimSun" w:hAnsi="SimSun" w:eastAsia="SimSun" w:cs="SimSun"/>
              <w:sz w:val="21"/>
              <w:szCs w:val="21"/>
              <w:spacing w:val="3"/>
            </w:rPr>
            <w:t>概述</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hyperlink w:history="true" w:anchor="bookmark49">
            <w:r>
              <w:rPr>
                <w:rFonts w:ascii="Times New Roman" w:hAnsi="Times New Roman" w:eastAsia="Times New Roman" w:cs="Times New Roman"/>
                <w:sz w:val="21"/>
                <w:szCs w:val="21"/>
                <w:spacing w:val="-7"/>
              </w:rPr>
              <w:t>132)</w:t>
            </w:r>
          </w:hyperlink>
        </w:p>
        <w:p>
          <w:pPr>
            <w:ind w:left="1109"/>
            <w:spacing w:before="4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rPr>
            <w:t>6.1.1</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目的和意义</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50">
            <w:r>
              <w:rPr>
                <w:rFonts w:ascii="Times New Roman" w:hAnsi="Times New Roman" w:eastAsia="Times New Roman" w:cs="Times New Roman"/>
                <w:sz w:val="21"/>
                <w:szCs w:val="21"/>
                <w:spacing w:val="-5"/>
              </w:rPr>
              <w:t>132)</w:t>
            </w:r>
          </w:hyperlink>
        </w:p>
        <w:p>
          <w:pPr>
            <w:ind w:left="1109"/>
            <w:spacing w:before="6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6.1.2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内容与关联性</w:t>
          </w:r>
          <w:r>
            <w:rPr>
              <w:rFonts w:ascii="SimSun" w:hAnsi="SimSun" w:eastAsia="SimSun" w:cs="SimSun"/>
              <w:sz w:val="21"/>
              <w:szCs w:val="21"/>
              <w:spacing w:val="41"/>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51">
            <w:r>
              <w:rPr>
                <w:rFonts w:ascii="Times New Roman" w:hAnsi="Times New Roman" w:eastAsia="Times New Roman" w:cs="Times New Roman"/>
                <w:sz w:val="21"/>
                <w:szCs w:val="21"/>
                <w:spacing w:val="-6"/>
              </w:rPr>
              <w:t>133)</w:t>
            </w:r>
          </w:hyperlink>
        </w:p>
        <w:p>
          <w:pPr>
            <w:ind w:left="689"/>
            <w:spacing w:before="68"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活动域及要求</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52">
            <w:r>
              <w:rPr>
                <w:rFonts w:ascii="Times New Roman" w:hAnsi="Times New Roman" w:eastAsia="Times New Roman" w:cs="Times New Roman"/>
                <w:sz w:val="21"/>
                <w:szCs w:val="21"/>
                <w:spacing w:val="-5"/>
              </w:rPr>
              <w:t>134)</w:t>
            </w:r>
          </w:hyperlink>
        </w:p>
        <w:p>
          <w:pPr>
            <w:ind w:left="1109"/>
            <w:spacing w:before="6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6.2.1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数据质量战略</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53">
            <w:r>
              <w:rPr>
                <w:rFonts w:ascii="Times New Roman" w:hAnsi="Times New Roman" w:eastAsia="Times New Roman" w:cs="Times New Roman"/>
                <w:sz w:val="21"/>
                <w:szCs w:val="21"/>
                <w:spacing w:val="-5"/>
              </w:rPr>
              <w:t>134)</w:t>
            </w:r>
          </w:hyperlink>
        </w:p>
        <w:p>
          <w:pPr>
            <w:ind w:left="1109"/>
            <w:spacing w:before="89" w:line="212" w:lineRule="auto"/>
            <w:tabs>
              <w:tab w:val="right" w:leader="dot" w:pos="76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6.2.2    </w:t>
          </w:r>
          <w:r>
            <w:rPr>
              <w:rFonts w:ascii="SimSun" w:hAnsi="SimSun" w:eastAsia="SimSun" w:cs="SimSun"/>
              <w:sz w:val="21"/>
              <w:szCs w:val="21"/>
              <w:spacing w:val="2"/>
            </w:rPr>
            <w:t>数据概要分析</w:t>
          </w:r>
          <w:r>
            <w:rPr>
              <w:rFonts w:ascii="SimSun" w:hAnsi="SimSun" w:eastAsia="SimSun" w:cs="SimSun"/>
              <w:sz w:val="21"/>
              <w:szCs w:val="21"/>
              <w:spacing w:val="-77"/>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54">
            <w:r>
              <w:rPr>
                <w:rFonts w:ascii="Times New Roman" w:hAnsi="Times New Roman" w:eastAsia="Times New Roman" w:cs="Times New Roman"/>
                <w:sz w:val="21"/>
                <w:szCs w:val="21"/>
                <w:spacing w:val="-5"/>
              </w:rPr>
              <w:t>145)</w:t>
            </w:r>
          </w:hyperlink>
        </w:p>
        <w:p>
          <w:pPr>
            <w:ind w:left="1109"/>
            <w:spacing w:before="5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6.2.3    </w:t>
          </w:r>
          <w:r>
            <w:rPr>
              <w:rFonts w:ascii="SimSun" w:hAnsi="SimSun" w:eastAsia="SimSun" w:cs="SimSun"/>
              <w:sz w:val="21"/>
              <w:szCs w:val="21"/>
              <w:spacing w:val="3"/>
            </w:rPr>
            <w:t>数据质量评估</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55">
            <w:r>
              <w:rPr>
                <w:rFonts w:ascii="Times New Roman" w:hAnsi="Times New Roman" w:eastAsia="Times New Roman" w:cs="Times New Roman"/>
                <w:sz w:val="21"/>
                <w:szCs w:val="21"/>
                <w:spacing w:val="-6"/>
              </w:rPr>
              <w:t>155)</w:t>
            </w:r>
          </w:hyperlink>
        </w:p>
        <w:p>
          <w:pPr>
            <w:ind w:left="1109"/>
            <w:spacing w:before="9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6.2.4</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数据清洗</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56">
            <w:r>
              <w:rPr>
                <w:rFonts w:ascii="Times New Roman" w:hAnsi="Times New Roman" w:eastAsia="Times New Roman" w:cs="Times New Roman"/>
                <w:sz w:val="21"/>
                <w:szCs w:val="21"/>
                <w:spacing w:val="-5"/>
              </w:rPr>
              <w:t>166)</w:t>
            </w:r>
          </w:hyperlink>
        </w:p>
      </w:sdtContent>
    </w:sdt>
    <w:p>
      <w:pPr>
        <w:spacing w:line="212" w:lineRule="auto"/>
        <w:sectPr>
          <w:footerReference w:type="default" r:id="rId11"/>
          <w:pgSz w:w="8870" w:h="13400"/>
          <w:pgMar w:top="400" w:right="788" w:bottom="580" w:left="390" w:header="0" w:footer="308" w:gutter="0"/>
        </w:sectPr>
        <w:rPr>
          <w:rFonts w:ascii="Times New Roman" w:hAnsi="Times New Roman" w:eastAsia="Times New Roman" w:cs="Times New Roman"/>
          <w:sz w:val="21"/>
          <w:szCs w:val="21"/>
        </w:rPr>
      </w:pPr>
    </w:p>
    <w:p>
      <w:pPr>
        <w:ind w:left="6620"/>
        <w:spacing w:before="190" w:line="221" w:lineRule="auto"/>
        <w:rPr>
          <w:rFonts w:ascii="SimSun" w:hAnsi="SimSun" w:eastAsia="SimSun" w:cs="SimSun"/>
          <w:sz w:val="26"/>
          <w:szCs w:val="26"/>
        </w:rPr>
      </w:pPr>
      <w:r>
        <w:rPr>
          <w:rFonts w:ascii="SimSun" w:hAnsi="SimSun" w:eastAsia="SimSun" w:cs="SimSun"/>
          <w:sz w:val="26"/>
          <w:szCs w:val="26"/>
          <w:b/>
          <w:bCs/>
          <w:spacing w:val="7"/>
        </w:rPr>
        <w:t>■目录■</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before="283" w:line="212" w:lineRule="auto"/>
            <w:tabs>
              <w:tab w:val="right" w:leader="dot" w:pos="7402"/>
            </w:tabs>
            <w:rPr>
              <w:rFonts w:ascii="Times New Roman" w:hAnsi="Times New Roman" w:eastAsia="Times New Roman" w:cs="Times New Roman"/>
              <w:sz w:val="21"/>
              <w:szCs w:val="21"/>
            </w:rPr>
          </w:pPr>
          <w:r>
            <w:rPr>
              <w:rFonts w:ascii="SimSun" w:hAnsi="SimSun" w:eastAsia="SimSun" w:cs="SimSun"/>
              <w:sz w:val="21"/>
              <w:szCs w:val="21"/>
              <w:b/>
              <w:bCs/>
              <w:spacing w:val="12"/>
            </w:rPr>
            <w:t>第</w:t>
          </w:r>
          <w:r>
            <w:rPr>
              <w:rFonts w:ascii="SimSun" w:hAnsi="SimSun" w:eastAsia="SimSun" w:cs="SimSun"/>
              <w:sz w:val="21"/>
              <w:szCs w:val="21"/>
              <w:spacing w:val="-31"/>
            </w:rPr>
            <w:t xml:space="preserve"> </w:t>
          </w:r>
          <w:r>
            <w:rPr>
              <w:rFonts w:ascii="SimSun" w:hAnsi="SimSun" w:eastAsia="SimSun" w:cs="SimSun"/>
              <w:sz w:val="21"/>
              <w:szCs w:val="21"/>
              <w:b/>
              <w:bCs/>
              <w:spacing w:val="12"/>
            </w:rPr>
            <w:t>7</w:t>
          </w:r>
          <w:r>
            <w:rPr>
              <w:rFonts w:ascii="SimSun" w:hAnsi="SimSun" w:eastAsia="SimSun" w:cs="SimSun"/>
              <w:sz w:val="21"/>
              <w:szCs w:val="21"/>
              <w:spacing w:val="-28"/>
            </w:rPr>
            <w:t xml:space="preserve"> </w:t>
          </w:r>
          <w:r>
            <w:rPr>
              <w:rFonts w:ascii="SimSun" w:hAnsi="SimSun" w:eastAsia="SimSun" w:cs="SimSun"/>
              <w:sz w:val="21"/>
              <w:szCs w:val="21"/>
              <w:b/>
              <w:bCs/>
              <w:spacing w:val="12"/>
            </w:rPr>
            <w:t>章</w:t>
          </w:r>
          <w:r>
            <w:rPr>
              <w:rFonts w:ascii="SimSun" w:hAnsi="SimSun" w:eastAsia="SimSun" w:cs="SimSun"/>
              <w:sz w:val="21"/>
              <w:szCs w:val="21"/>
              <w:spacing w:val="38"/>
            </w:rPr>
            <w:t xml:space="preserve"> </w:t>
          </w:r>
          <w:r>
            <w:rPr>
              <w:rFonts w:ascii="SimSun" w:hAnsi="SimSun" w:eastAsia="SimSun" w:cs="SimSun"/>
              <w:sz w:val="21"/>
              <w:szCs w:val="21"/>
              <w:b/>
              <w:bCs/>
              <w:spacing w:val="12"/>
            </w:rPr>
            <w:t>云端数据操作</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57">
            <w:r>
              <w:rPr>
                <w:rFonts w:ascii="Times New Roman" w:hAnsi="Times New Roman" w:eastAsia="Times New Roman" w:cs="Times New Roman"/>
                <w:sz w:val="21"/>
                <w:szCs w:val="21"/>
                <w:spacing w:val="-6"/>
              </w:rPr>
              <w:t>176)</w:t>
            </w:r>
          </w:hyperlink>
        </w:p>
        <w:p>
          <w:pPr>
            <w:ind w:left="406"/>
            <w:spacing w:before="218"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7.1</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4"/>
            </w:rPr>
            <w:t>概述</w:t>
          </w:r>
          <w:r>
            <w:rPr>
              <w:rFonts w:ascii="SimSun" w:hAnsi="SimSun" w:eastAsia="SimSun" w:cs="SimSun"/>
              <w:sz w:val="21"/>
              <w:szCs w:val="21"/>
              <w:spacing w:val="-67"/>
            </w:rPr>
            <w:t xml:space="preserve"> </w:t>
          </w:r>
          <w:r>
            <w:rPr>
              <w:rFonts w:ascii="SimSun" w:hAnsi="SimSun" w:eastAsia="SimSun" w:cs="SimSun"/>
              <w:sz w:val="21"/>
              <w:szCs w:val="21"/>
            </w:rPr>
            <w:tab/>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hyperlink w:history="true" w:anchor="bookmark58">
            <w:r>
              <w:rPr>
                <w:rFonts w:ascii="Times New Roman" w:hAnsi="Times New Roman" w:eastAsia="Times New Roman" w:cs="Times New Roman"/>
                <w:sz w:val="21"/>
                <w:szCs w:val="21"/>
                <w:spacing w:val="-7"/>
              </w:rPr>
              <w:t>176)</w:t>
            </w:r>
          </w:hyperlink>
        </w:p>
        <w:p>
          <w:pPr>
            <w:ind w:left="807"/>
            <w:spacing w:before="88"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rPr>
            <w:t>7.1.1</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目的和意义</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8"/>
            </w:rPr>
            <w:t xml:space="preserve"> </w:t>
          </w:r>
          <w:hyperlink w:history="true" w:anchor="bookmark59">
            <w:r>
              <w:rPr>
                <w:rFonts w:ascii="Times New Roman" w:hAnsi="Times New Roman" w:eastAsia="Times New Roman" w:cs="Times New Roman"/>
                <w:sz w:val="21"/>
                <w:szCs w:val="21"/>
                <w:spacing w:val="-5"/>
              </w:rPr>
              <w:t>176)</w:t>
            </w:r>
          </w:hyperlink>
        </w:p>
        <w:p>
          <w:pPr>
            <w:ind w:left="807"/>
            <w:spacing w:before="5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7.1.2</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内容与关联性</w:t>
          </w:r>
          <w:r>
            <w:rPr>
              <w:rFonts w:ascii="SimSun" w:hAnsi="SimSun" w:eastAsia="SimSun" w:cs="SimSun"/>
              <w:sz w:val="21"/>
              <w:szCs w:val="21"/>
              <w:spacing w:val="20"/>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60">
            <w:r>
              <w:rPr>
                <w:rFonts w:ascii="Times New Roman" w:hAnsi="Times New Roman" w:eastAsia="Times New Roman" w:cs="Times New Roman"/>
                <w:sz w:val="21"/>
                <w:szCs w:val="21"/>
                <w:spacing w:val="-5"/>
              </w:rPr>
              <w:t>177)</w:t>
            </w:r>
          </w:hyperlink>
        </w:p>
        <w:p>
          <w:pPr>
            <w:ind w:left="406"/>
            <w:spacing w:before="7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   </w:t>
          </w:r>
          <w:r>
            <w:rPr>
              <w:rFonts w:ascii="SimSun" w:hAnsi="SimSun" w:eastAsia="SimSun" w:cs="SimSun"/>
              <w:sz w:val="21"/>
              <w:szCs w:val="21"/>
              <w:spacing w:val="2"/>
            </w:rPr>
            <w:t>活动及要求</w:t>
          </w:r>
          <w:r>
            <w:rPr>
              <w:rFonts w:ascii="SimSun" w:hAnsi="SimSun" w:eastAsia="SimSun" w:cs="SimSun"/>
              <w:sz w:val="21"/>
              <w:szCs w:val="21"/>
              <w:spacing w:val="-78"/>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8"/>
            </w:rPr>
            <w:t xml:space="preserve"> </w:t>
          </w:r>
          <w:hyperlink w:history="true" w:anchor="bookmark61">
            <w:r>
              <w:rPr>
                <w:rFonts w:ascii="Times New Roman" w:hAnsi="Times New Roman" w:eastAsia="Times New Roman" w:cs="Times New Roman"/>
                <w:sz w:val="21"/>
                <w:szCs w:val="21"/>
                <w:spacing w:val="-5"/>
              </w:rPr>
              <w:t>177)</w:t>
            </w:r>
          </w:hyperlink>
        </w:p>
        <w:p>
          <w:pPr>
            <w:ind w:left="807"/>
            <w:spacing w:before="5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7.2.1    </w:t>
          </w:r>
          <w:r>
            <w:rPr>
              <w:rFonts w:ascii="SimSun" w:hAnsi="SimSun" w:eastAsia="SimSun" w:cs="SimSun"/>
              <w:sz w:val="21"/>
              <w:szCs w:val="21"/>
              <w:spacing w:val="1"/>
            </w:rPr>
            <w:t>数据提供者管理</w:t>
          </w:r>
          <w:r>
            <w:rPr>
              <w:rFonts w:ascii="SimSun" w:hAnsi="SimSun" w:eastAsia="SimSun" w:cs="SimSun"/>
              <w:sz w:val="21"/>
              <w:szCs w:val="21"/>
              <w:spacing w:val="-73"/>
            </w:rPr>
            <w:t xml:space="preserve"> </w:t>
          </w:r>
          <w:r>
            <w:rPr>
              <w:rFonts w:ascii="SimSun" w:hAnsi="SimSun" w:eastAsia="SimSun" w:cs="SimSun"/>
              <w:sz w:val="21"/>
              <w:szCs w:val="21"/>
            </w:rPr>
            <w:tab/>
          </w:r>
          <w:r>
            <w:rPr>
              <w:rFonts w:ascii="SimSun" w:hAnsi="SimSun" w:eastAsia="SimSun" w:cs="SimSun"/>
              <w:sz w:val="21"/>
              <w:szCs w:val="21"/>
              <w:spacing w:val="-8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62">
            <w:r>
              <w:rPr>
                <w:rFonts w:ascii="Times New Roman" w:hAnsi="Times New Roman" w:eastAsia="Times New Roman" w:cs="Times New Roman"/>
                <w:sz w:val="21"/>
                <w:szCs w:val="21"/>
                <w:spacing w:val="-6"/>
              </w:rPr>
              <w:t>177)</w:t>
            </w:r>
          </w:hyperlink>
        </w:p>
        <w:p>
          <w:pPr>
            <w:ind w:left="807"/>
            <w:spacing w:before="78"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7.2.2    </w:t>
          </w:r>
          <w:r>
            <w:rPr>
              <w:rFonts w:ascii="SimSun" w:hAnsi="SimSun" w:eastAsia="SimSun" w:cs="SimSun"/>
              <w:sz w:val="21"/>
              <w:szCs w:val="21"/>
              <w:spacing w:val="-1"/>
            </w:rPr>
            <w:t>数据集成与互操作</w:t>
          </w:r>
          <w:r>
            <w:rPr>
              <w:rFonts w:ascii="SimSun" w:hAnsi="SimSun" w:eastAsia="SimSun" w:cs="SimSun"/>
              <w:sz w:val="21"/>
              <w:szCs w:val="21"/>
              <w:spacing w:val="50"/>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6"/>
            </w:rPr>
            <w:t xml:space="preserve"> </w:t>
          </w:r>
          <w:hyperlink w:history="true" w:anchor="bookmark63">
            <w:r>
              <w:rPr>
                <w:rFonts w:ascii="Times New Roman" w:hAnsi="Times New Roman" w:eastAsia="Times New Roman" w:cs="Times New Roman"/>
                <w:sz w:val="21"/>
                <w:szCs w:val="21"/>
                <w:spacing w:val="-5"/>
              </w:rPr>
              <w:t>188)</w:t>
            </w:r>
          </w:hyperlink>
        </w:p>
        <w:p>
          <w:pPr>
            <w:ind w:left="807"/>
            <w:spacing w:before="7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数据生命周期管理</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8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rPr>
            <w:t xml:space="preserve"> </w:t>
          </w:r>
          <w:hyperlink w:history="true" w:anchor="bookmark64">
            <w:r>
              <w:rPr>
                <w:rFonts w:ascii="Times New Roman" w:hAnsi="Times New Roman" w:eastAsia="Times New Roman" w:cs="Times New Roman"/>
                <w:sz w:val="21"/>
                <w:szCs w:val="21"/>
                <w:spacing w:val="-6"/>
              </w:rPr>
              <w:t>198)</w:t>
            </w:r>
          </w:hyperlink>
        </w:p>
        <w:p>
          <w:pPr>
            <w:spacing w:before="229" w:line="212" w:lineRule="auto"/>
            <w:tabs>
              <w:tab w:val="right" w:leader="dot" w:pos="7402"/>
            </w:tabs>
            <w:rPr>
              <w:rFonts w:ascii="Times New Roman" w:hAnsi="Times New Roman" w:eastAsia="Times New Roman" w:cs="Times New Roman"/>
              <w:sz w:val="21"/>
              <w:szCs w:val="21"/>
            </w:rPr>
          </w:pPr>
          <w:r>
            <w:rPr>
              <w:rFonts w:ascii="SimSun" w:hAnsi="SimSun" w:eastAsia="SimSun" w:cs="SimSun"/>
              <w:sz w:val="21"/>
              <w:szCs w:val="21"/>
              <w:b/>
              <w:bCs/>
              <w:spacing w:val="11"/>
            </w:rPr>
            <w:t>第</w:t>
          </w:r>
          <w:r>
            <w:rPr>
              <w:rFonts w:ascii="SimSun" w:hAnsi="SimSun" w:eastAsia="SimSun" w:cs="SimSun"/>
              <w:sz w:val="21"/>
              <w:szCs w:val="21"/>
              <w:spacing w:val="-30"/>
            </w:rPr>
            <w:t xml:space="preserve"> </w:t>
          </w:r>
          <w:r>
            <w:rPr>
              <w:rFonts w:ascii="SimSun" w:hAnsi="SimSun" w:eastAsia="SimSun" w:cs="SimSun"/>
              <w:sz w:val="21"/>
              <w:szCs w:val="21"/>
              <w:b/>
              <w:bCs/>
              <w:spacing w:val="11"/>
            </w:rPr>
            <w:t>8</w:t>
          </w:r>
          <w:r>
            <w:rPr>
              <w:rFonts w:ascii="SimSun" w:hAnsi="SimSun" w:eastAsia="SimSun" w:cs="SimSun"/>
              <w:sz w:val="21"/>
              <w:szCs w:val="21"/>
              <w:spacing w:val="-28"/>
            </w:rPr>
            <w:t xml:space="preserve"> </w:t>
          </w:r>
          <w:r>
            <w:rPr>
              <w:rFonts w:ascii="SimSun" w:hAnsi="SimSun" w:eastAsia="SimSun" w:cs="SimSun"/>
              <w:sz w:val="21"/>
              <w:szCs w:val="21"/>
              <w:b/>
              <w:bCs/>
              <w:spacing w:val="11"/>
            </w:rPr>
            <w:t>章</w:t>
          </w:r>
          <w:r>
            <w:rPr>
              <w:rFonts w:ascii="SimSun" w:hAnsi="SimSun" w:eastAsia="SimSun" w:cs="SimSun"/>
              <w:sz w:val="21"/>
              <w:szCs w:val="21"/>
              <w:spacing w:val="35"/>
            </w:rPr>
            <w:t xml:space="preserve"> </w:t>
          </w:r>
          <w:r>
            <w:rPr>
              <w:rFonts w:ascii="SimSun" w:hAnsi="SimSun" w:eastAsia="SimSun" w:cs="SimSun"/>
              <w:sz w:val="21"/>
              <w:szCs w:val="21"/>
              <w:b/>
              <w:bCs/>
              <w:spacing w:val="11"/>
            </w:rPr>
            <w:t>云端数据架构</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65">
            <w:r>
              <w:rPr>
                <w:rFonts w:ascii="Times New Roman" w:hAnsi="Times New Roman" w:eastAsia="Times New Roman" w:cs="Times New Roman"/>
                <w:sz w:val="21"/>
                <w:szCs w:val="21"/>
                <w:spacing w:val="-1"/>
              </w:rPr>
              <w:t>210)</w:t>
            </w:r>
          </w:hyperlink>
        </w:p>
        <w:p>
          <w:pPr>
            <w:ind w:left="406"/>
            <w:spacing w:before="21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8.1   </w:t>
          </w:r>
          <w:r>
            <w:rPr>
              <w:rFonts w:ascii="SimSun" w:hAnsi="SimSun" w:eastAsia="SimSun" w:cs="SimSun"/>
              <w:sz w:val="21"/>
              <w:szCs w:val="21"/>
              <w:spacing w:val="4"/>
            </w:rPr>
            <w:t>概述</w:t>
          </w:r>
          <w:r>
            <w:rPr>
              <w:rFonts w:ascii="SimSun" w:hAnsi="SimSun" w:eastAsia="SimSun" w:cs="SimSun"/>
              <w:sz w:val="21"/>
              <w:szCs w:val="21"/>
              <w:spacing w:val="-78"/>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w:t>
          </w:r>
          <w:hyperlink w:history="true" w:anchor="bookmark66">
            <w:r>
              <w:rPr>
                <w:rFonts w:ascii="Times New Roman" w:hAnsi="Times New Roman" w:eastAsia="Times New Roman" w:cs="Times New Roman"/>
                <w:sz w:val="21"/>
                <w:szCs w:val="21"/>
                <w:spacing w:val="-3"/>
              </w:rPr>
              <w:t>210)</w:t>
            </w:r>
          </w:hyperlink>
        </w:p>
        <w:p>
          <w:pPr>
            <w:ind w:left="807"/>
            <w:spacing w:before="7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8.1.1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目的和意义</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81"/>
            </w:rPr>
            <w:t xml:space="preserve"> </w:t>
          </w:r>
          <w:r>
            <w:rPr>
              <w:rFonts w:ascii="Times New Roman" w:hAnsi="Times New Roman" w:eastAsia="Times New Roman" w:cs="Times New Roman"/>
              <w:sz w:val="21"/>
              <w:szCs w:val="21"/>
              <w:spacing w:val="-2"/>
            </w:rPr>
            <w:t>(</w:t>
          </w:r>
          <w:hyperlink w:history="true" w:anchor="bookmark67">
            <w:r>
              <w:rPr>
                <w:rFonts w:ascii="Times New Roman" w:hAnsi="Times New Roman" w:eastAsia="Times New Roman" w:cs="Times New Roman"/>
                <w:sz w:val="21"/>
                <w:szCs w:val="21"/>
                <w:spacing w:val="-2"/>
              </w:rPr>
              <w:t>210)</w:t>
            </w:r>
          </w:hyperlink>
        </w:p>
        <w:p>
          <w:pPr>
            <w:ind w:left="807"/>
            <w:spacing w:before="6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8.1.2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内容与关联性</w:t>
          </w:r>
          <w:r>
            <w:rPr>
              <w:rFonts w:ascii="SimSun" w:hAnsi="SimSun" w:eastAsia="SimSun" w:cs="SimSun"/>
              <w:sz w:val="21"/>
              <w:szCs w:val="21"/>
              <w:spacing w:val="41"/>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2"/>
            </w:rPr>
            <w:t>(</w:t>
          </w:r>
          <w:hyperlink w:history="true" w:anchor="bookmark68">
            <w:r>
              <w:rPr>
                <w:rFonts w:ascii="Times New Roman" w:hAnsi="Times New Roman" w:eastAsia="Times New Roman" w:cs="Times New Roman"/>
                <w:sz w:val="21"/>
                <w:szCs w:val="21"/>
                <w:spacing w:val="-2"/>
              </w:rPr>
              <w:t>211)</w:t>
            </w:r>
          </w:hyperlink>
        </w:p>
        <w:p>
          <w:pPr>
            <w:ind w:left="406"/>
            <w:spacing w:before="58"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2"/>
            </w:rPr>
            <w:t>活动及要求</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69">
            <w:r>
              <w:rPr>
                <w:rFonts w:ascii="Times New Roman" w:hAnsi="Times New Roman" w:eastAsia="Times New Roman" w:cs="Times New Roman"/>
                <w:sz w:val="21"/>
                <w:szCs w:val="21"/>
                <w:spacing w:val="-1"/>
              </w:rPr>
              <w:t>211)</w:t>
            </w:r>
          </w:hyperlink>
        </w:p>
        <w:p>
          <w:pPr>
            <w:ind w:left="807"/>
            <w:spacing w:before="6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8.2.1    </w:t>
          </w:r>
          <w:r>
            <w:rPr>
              <w:rFonts w:ascii="SimSun" w:hAnsi="SimSun" w:eastAsia="SimSun" w:cs="SimSun"/>
              <w:sz w:val="21"/>
              <w:szCs w:val="21"/>
              <w:spacing w:val="2"/>
            </w:rPr>
            <w:t>架构方法</w:t>
          </w:r>
          <w:r>
            <w:rPr>
              <w:rFonts w:ascii="SimSun" w:hAnsi="SimSun" w:eastAsia="SimSun" w:cs="SimSun"/>
              <w:sz w:val="21"/>
              <w:szCs w:val="21"/>
              <w:spacing w:val="-73"/>
            </w:rPr>
            <w:t xml:space="preserve"> </w:t>
          </w:r>
          <w:r>
            <w:rPr>
              <w:rFonts w:ascii="SimSun" w:hAnsi="SimSun" w:eastAsia="SimSun" w:cs="SimSun"/>
              <w:sz w:val="21"/>
              <w:szCs w:val="21"/>
            </w:rPr>
            <w:tab/>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2"/>
            </w:rPr>
            <w:t>(</w:t>
          </w:r>
          <w:hyperlink w:history="true" w:anchor="bookmark70">
            <w:r>
              <w:rPr>
                <w:rFonts w:ascii="Times New Roman" w:hAnsi="Times New Roman" w:eastAsia="Times New Roman" w:cs="Times New Roman"/>
                <w:sz w:val="21"/>
                <w:szCs w:val="21"/>
                <w:spacing w:val="-2"/>
              </w:rPr>
              <w:t>211)</w:t>
            </w:r>
          </w:hyperlink>
        </w:p>
        <w:p>
          <w:pPr>
            <w:ind w:left="807"/>
            <w:spacing w:before="7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8.2.2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架构标准</w:t>
          </w:r>
          <w:r>
            <w:rPr>
              <w:rFonts w:ascii="SimSun" w:hAnsi="SimSun" w:eastAsia="SimSun" w:cs="SimSun"/>
              <w:sz w:val="21"/>
              <w:szCs w:val="21"/>
              <w:spacing w:val="25"/>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1">
            <w:r>
              <w:rPr>
                <w:rFonts w:ascii="Times New Roman" w:hAnsi="Times New Roman" w:eastAsia="Times New Roman" w:cs="Times New Roman"/>
                <w:sz w:val="21"/>
                <w:szCs w:val="21"/>
                <w:spacing w:val="-1"/>
              </w:rPr>
              <w:t>222)</w:t>
            </w:r>
          </w:hyperlink>
        </w:p>
        <w:p>
          <w:pPr>
            <w:ind w:left="807"/>
            <w:spacing w:before="7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8.2.3</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数据管理平台</w:t>
          </w:r>
          <w:r>
            <w:rPr>
              <w:rFonts w:ascii="SimSun" w:hAnsi="SimSun" w:eastAsia="SimSun" w:cs="SimSun"/>
              <w:sz w:val="21"/>
              <w:szCs w:val="21"/>
              <w:spacing w:val="-95"/>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
            </w:rPr>
            <w:t>(</w:t>
          </w:r>
          <w:hyperlink w:history="true" w:anchor="bookmark72">
            <w:r>
              <w:rPr>
                <w:rFonts w:ascii="Times New Roman" w:hAnsi="Times New Roman" w:eastAsia="Times New Roman" w:cs="Times New Roman"/>
                <w:sz w:val="21"/>
                <w:szCs w:val="21"/>
                <w:spacing w:val="-2"/>
              </w:rPr>
              <w:t>234)</w:t>
            </w:r>
          </w:hyperlink>
        </w:p>
        <w:p>
          <w:pPr>
            <w:ind w:left="807"/>
            <w:spacing w:before="6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8.2.4    </w:t>
          </w:r>
          <w:r>
            <w:rPr>
              <w:rFonts w:ascii="SimSun" w:hAnsi="SimSun" w:eastAsia="SimSun" w:cs="SimSun"/>
              <w:sz w:val="21"/>
              <w:szCs w:val="21"/>
              <w:spacing w:val="6"/>
            </w:rPr>
            <w:t>历史数据管理</w:t>
          </w:r>
          <w:r>
            <w:rPr>
              <w:rFonts w:ascii="SimSun" w:hAnsi="SimSun" w:eastAsia="SimSun" w:cs="SimSun"/>
              <w:sz w:val="21"/>
              <w:szCs w:val="21"/>
              <w:spacing w:val="-7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3">
            <w:r>
              <w:rPr>
                <w:rFonts w:ascii="Times New Roman" w:hAnsi="Times New Roman" w:eastAsia="Times New Roman" w:cs="Times New Roman"/>
                <w:sz w:val="21"/>
                <w:szCs w:val="21"/>
                <w:spacing w:val="-1"/>
              </w:rPr>
              <w:t>243)</w:t>
            </w:r>
          </w:hyperlink>
        </w:p>
        <w:p>
          <w:pPr>
            <w:spacing w:before="239" w:line="212" w:lineRule="auto"/>
            <w:tabs>
              <w:tab w:val="right" w:leader="dot" w:pos="7392"/>
            </w:tabs>
            <w:rPr>
              <w:rFonts w:ascii="Times New Roman" w:hAnsi="Times New Roman" w:eastAsia="Times New Roman" w:cs="Times New Roman"/>
              <w:sz w:val="21"/>
              <w:szCs w:val="21"/>
            </w:rPr>
          </w:pPr>
          <w:r>
            <w:rPr>
              <w:rFonts w:ascii="SimSun" w:hAnsi="SimSun" w:eastAsia="SimSun" w:cs="SimSun"/>
              <w:sz w:val="21"/>
              <w:szCs w:val="21"/>
              <w:b/>
              <w:bCs/>
              <w:spacing w:val="8"/>
            </w:rPr>
            <w:t>第</w:t>
          </w:r>
          <w:r>
            <w:rPr>
              <w:rFonts w:ascii="SimSun" w:hAnsi="SimSun" w:eastAsia="SimSun" w:cs="SimSun"/>
              <w:sz w:val="21"/>
              <w:szCs w:val="21"/>
              <w:spacing w:val="-10"/>
            </w:rPr>
            <w:t xml:space="preserve"> </w:t>
          </w:r>
          <w:r>
            <w:rPr>
              <w:rFonts w:ascii="SimSun" w:hAnsi="SimSun" w:eastAsia="SimSun" w:cs="SimSun"/>
              <w:sz w:val="21"/>
              <w:szCs w:val="21"/>
              <w:b/>
              <w:bCs/>
              <w:spacing w:val="8"/>
            </w:rPr>
            <w:t>9</w:t>
          </w:r>
          <w:r>
            <w:rPr>
              <w:rFonts w:ascii="SimSun" w:hAnsi="SimSun" w:eastAsia="SimSun" w:cs="SimSun"/>
              <w:sz w:val="21"/>
              <w:szCs w:val="21"/>
              <w:spacing w:val="8"/>
            </w:rPr>
            <w:t xml:space="preserve"> </w:t>
          </w:r>
          <w:r>
            <w:rPr>
              <w:rFonts w:ascii="SimSun" w:hAnsi="SimSun" w:eastAsia="SimSun" w:cs="SimSun"/>
              <w:sz w:val="21"/>
              <w:szCs w:val="21"/>
              <w:b/>
              <w:bCs/>
              <w:spacing w:val="8"/>
            </w:rPr>
            <w:t>章</w:t>
          </w:r>
          <w:r>
            <w:rPr>
              <w:rFonts w:ascii="SimSun" w:hAnsi="SimSun" w:eastAsia="SimSun" w:cs="SimSun"/>
              <w:sz w:val="21"/>
              <w:szCs w:val="21"/>
              <w:spacing w:val="45"/>
            </w:rPr>
            <w:t xml:space="preserve"> </w:t>
          </w:r>
          <w:r>
            <w:rPr>
              <w:rFonts w:ascii="SimSun" w:hAnsi="SimSun" w:eastAsia="SimSun" w:cs="SimSun"/>
              <w:sz w:val="21"/>
              <w:szCs w:val="21"/>
              <w:b/>
              <w:bCs/>
              <w:spacing w:val="8"/>
            </w:rPr>
            <w:t>安全与隐私</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2"/>
            </w:rPr>
            <w:t>(</w:t>
          </w:r>
          <w:hyperlink w:history="true" w:anchor="bookmark74">
            <w:r>
              <w:rPr>
                <w:rFonts w:ascii="Times New Roman" w:hAnsi="Times New Roman" w:eastAsia="Times New Roman" w:cs="Times New Roman"/>
                <w:sz w:val="21"/>
                <w:szCs w:val="21"/>
                <w:spacing w:val="-2"/>
              </w:rPr>
              <w:t>251)</w:t>
            </w:r>
          </w:hyperlink>
        </w:p>
        <w:p>
          <w:pPr>
            <w:ind w:left="406"/>
            <w:spacing w:before="218"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9.1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概述</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5">
            <w:r>
              <w:rPr>
                <w:rFonts w:ascii="Times New Roman" w:hAnsi="Times New Roman" w:eastAsia="Times New Roman" w:cs="Times New Roman"/>
                <w:sz w:val="21"/>
                <w:szCs w:val="21"/>
                <w:spacing w:val="-1"/>
              </w:rPr>
              <w:t>251)</w:t>
            </w:r>
          </w:hyperlink>
        </w:p>
        <w:p>
          <w:pPr>
            <w:ind w:left="807"/>
            <w:spacing w:before="5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9.1.1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目的和意义</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
            </w:rPr>
            <w:t>(</w:t>
          </w:r>
          <w:hyperlink w:history="true" w:anchor="bookmark76">
            <w:r>
              <w:rPr>
                <w:rFonts w:ascii="Times New Roman" w:hAnsi="Times New Roman" w:eastAsia="Times New Roman" w:cs="Times New Roman"/>
                <w:sz w:val="21"/>
                <w:szCs w:val="21"/>
                <w:spacing w:val="-2"/>
              </w:rPr>
              <w:t>251)</w:t>
            </w:r>
          </w:hyperlink>
        </w:p>
        <w:p>
          <w:pPr>
            <w:ind w:left="807"/>
            <w:spacing w:before="8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9.1.2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内容与关联性</w:t>
          </w:r>
          <w:r>
            <w:rPr>
              <w:rFonts w:ascii="SimSun" w:hAnsi="SimSun" w:eastAsia="SimSun" w:cs="SimSun"/>
              <w:sz w:val="21"/>
              <w:szCs w:val="21"/>
              <w:spacing w:val="21"/>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7">
            <w:r>
              <w:rPr>
                <w:rFonts w:ascii="Times New Roman" w:hAnsi="Times New Roman" w:eastAsia="Times New Roman" w:cs="Times New Roman"/>
                <w:sz w:val="21"/>
                <w:szCs w:val="21"/>
                <w:spacing w:val="-1"/>
              </w:rPr>
              <w:t>251)</w:t>
            </w:r>
          </w:hyperlink>
        </w:p>
        <w:p>
          <w:pPr>
            <w:ind w:left="406"/>
            <w:spacing w:before="6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活动及要求</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8">
            <w:r>
              <w:rPr>
                <w:rFonts w:ascii="Times New Roman" w:hAnsi="Times New Roman" w:eastAsia="Times New Roman" w:cs="Times New Roman"/>
                <w:sz w:val="21"/>
                <w:szCs w:val="21"/>
                <w:spacing w:val="-1"/>
              </w:rPr>
              <w:t>253)</w:t>
            </w:r>
          </w:hyperlink>
        </w:p>
        <w:p>
          <w:pPr>
            <w:ind w:left="807"/>
            <w:spacing w:before="59" w:line="212" w:lineRule="auto"/>
            <w:tabs>
              <w:tab w:val="right" w:leader="dot" w:pos="73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9.2.1    </w:t>
          </w:r>
          <w:r>
            <w:rPr>
              <w:rFonts w:ascii="SimSun" w:hAnsi="SimSun" w:eastAsia="SimSun" w:cs="SimSun"/>
              <w:sz w:val="21"/>
              <w:szCs w:val="21"/>
              <w:spacing w:val="2"/>
            </w:rPr>
            <w:t>风险管理</w:t>
          </w:r>
          <w:r>
            <w:rPr>
              <w:rFonts w:ascii="SimSun" w:hAnsi="SimSun" w:eastAsia="SimSun" w:cs="SimSun"/>
              <w:sz w:val="21"/>
              <w:szCs w:val="21"/>
              <w:spacing w:val="-7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79">
            <w:r>
              <w:rPr>
                <w:rFonts w:ascii="Times New Roman" w:hAnsi="Times New Roman" w:eastAsia="Times New Roman" w:cs="Times New Roman"/>
                <w:sz w:val="21"/>
                <w:szCs w:val="21"/>
                <w:spacing w:val="-1"/>
              </w:rPr>
              <w:t>253)</w:t>
            </w:r>
          </w:hyperlink>
        </w:p>
        <w:p>
          <w:pPr>
            <w:ind w:left="807"/>
            <w:spacing w:before="69" w:line="212" w:lineRule="auto"/>
            <w:tabs>
              <w:tab w:val="right" w:leader="dot" w:pos="73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9.2.2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数据安全</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2"/>
            </w:rPr>
            <w:t>(</w:t>
          </w:r>
          <w:hyperlink w:history="true" w:anchor="bookmark80">
            <w:r>
              <w:rPr>
                <w:rFonts w:ascii="Times New Roman" w:hAnsi="Times New Roman" w:eastAsia="Times New Roman" w:cs="Times New Roman"/>
                <w:sz w:val="21"/>
                <w:szCs w:val="21"/>
                <w:spacing w:val="-2"/>
              </w:rPr>
              <w:t>263)</w:t>
            </w:r>
          </w:hyperlink>
        </w:p>
        <w:p>
          <w:pPr>
            <w:ind w:left="807"/>
            <w:spacing w:before="89" w:line="212" w:lineRule="auto"/>
            <w:tabs>
              <w:tab w:val="right" w:leader="dot" w:pos="73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9.2.3</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隐私保护</w:t>
          </w:r>
          <w:r>
            <w:rPr>
              <w:rFonts w:ascii="SimSun" w:hAnsi="SimSun" w:eastAsia="SimSun" w:cs="SimSun"/>
              <w:sz w:val="21"/>
              <w:szCs w:val="21"/>
              <w:spacing w:val="39"/>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81">
            <w:r>
              <w:rPr>
                <w:rFonts w:ascii="Times New Roman" w:hAnsi="Times New Roman" w:eastAsia="Times New Roman" w:cs="Times New Roman"/>
                <w:sz w:val="21"/>
                <w:szCs w:val="21"/>
                <w:spacing w:val="-1"/>
              </w:rPr>
              <w:t>273)</w:t>
            </w:r>
          </w:hyperlink>
        </w:p>
        <w:p>
          <w:pPr>
            <w:ind w:left="807"/>
            <w:spacing w:before="68" w:line="212" w:lineRule="auto"/>
            <w:tabs>
              <w:tab w:val="right" w:leader="dot" w:pos="73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9.2.4    </w:t>
          </w:r>
          <w:r>
            <w:rPr>
              <w:rFonts w:ascii="SimSun" w:hAnsi="SimSun" w:eastAsia="SimSun" w:cs="SimSun"/>
              <w:sz w:val="21"/>
              <w:szCs w:val="21"/>
              <w:spacing w:val="2"/>
            </w:rPr>
            <w:t>合规管理</w:t>
          </w:r>
          <w:r>
            <w:rPr>
              <w:rFonts w:ascii="SimSun" w:hAnsi="SimSun" w:eastAsia="SimSun" w:cs="SimSun"/>
              <w:sz w:val="21"/>
              <w:szCs w:val="21"/>
              <w:spacing w:val="-7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82">
            <w:r>
              <w:rPr>
                <w:rFonts w:ascii="Times New Roman" w:hAnsi="Times New Roman" w:eastAsia="Times New Roman" w:cs="Times New Roman"/>
                <w:sz w:val="21"/>
                <w:szCs w:val="21"/>
                <w:spacing w:val="-1"/>
              </w:rPr>
              <w:t>280)</w:t>
            </w:r>
          </w:hyperlink>
        </w:p>
        <w:p>
          <w:pPr>
            <w:ind w:left="2200"/>
            <w:spacing w:before="248" w:line="221" w:lineRule="auto"/>
            <w:rPr>
              <w:rFonts w:ascii="SimHei" w:hAnsi="SimHei" w:eastAsia="SimHei" w:cs="SimHei"/>
              <w:sz w:val="21"/>
              <w:szCs w:val="21"/>
            </w:rPr>
          </w:pPr>
          <w:r>
            <w:rPr>
              <w:rFonts w:ascii="SimHei" w:hAnsi="SimHei" w:eastAsia="SimHei" w:cs="SimHei"/>
              <w:sz w:val="21"/>
              <w:szCs w:val="21"/>
              <w:b/>
              <w:bCs/>
              <w:spacing w:val="18"/>
            </w:rPr>
            <w:t>第3篇</w:t>
          </w:r>
          <w:r>
            <w:rPr>
              <w:rFonts w:ascii="SimHei" w:hAnsi="SimHei" w:eastAsia="SimHei" w:cs="SimHei"/>
              <w:sz w:val="21"/>
              <w:szCs w:val="21"/>
              <w:spacing w:val="69"/>
            </w:rPr>
            <w:t xml:space="preserve"> </w:t>
          </w:r>
          <w:r>
            <w:rPr>
              <w:rFonts w:ascii="SimHei" w:hAnsi="SimHei" w:eastAsia="SimHei" w:cs="SimHei"/>
              <w:sz w:val="21"/>
              <w:szCs w:val="21"/>
              <w:b/>
              <w:bCs/>
              <w:spacing w:val="18"/>
            </w:rPr>
            <w:t>云端数据治理体系与实施</w:t>
          </w:r>
        </w:p>
        <w:p>
          <w:pPr>
            <w:spacing w:before="200" w:line="212" w:lineRule="auto"/>
            <w:tabs>
              <w:tab w:val="right" w:leader="dot" w:pos="7402"/>
            </w:tabs>
            <w:rPr>
              <w:rFonts w:ascii="Times New Roman" w:hAnsi="Times New Roman" w:eastAsia="Times New Roman" w:cs="Times New Roman"/>
              <w:sz w:val="21"/>
              <w:szCs w:val="21"/>
            </w:rPr>
          </w:pPr>
          <w:r>
            <w:rPr>
              <w:rFonts w:ascii="SimSun" w:hAnsi="SimSun" w:eastAsia="SimSun" w:cs="SimSun"/>
              <w:sz w:val="21"/>
              <w:szCs w:val="21"/>
              <w:b/>
              <w:bCs/>
              <w:spacing w:val="24"/>
            </w:rPr>
            <w:t>第10章</w:t>
          </w:r>
          <w:r>
            <w:rPr>
              <w:rFonts w:ascii="SimSun" w:hAnsi="SimSun" w:eastAsia="SimSun" w:cs="SimSun"/>
              <w:sz w:val="21"/>
              <w:szCs w:val="21"/>
              <w:spacing w:val="24"/>
            </w:rPr>
            <w:t xml:space="preserve"> </w:t>
          </w:r>
          <w:r>
            <w:rPr>
              <w:rFonts w:ascii="SimSun" w:hAnsi="SimSun" w:eastAsia="SimSun" w:cs="SimSun"/>
              <w:sz w:val="21"/>
              <w:szCs w:val="21"/>
              <w:b/>
              <w:bCs/>
              <w:spacing w:val="24"/>
            </w:rPr>
            <w:t>云端数据治理体系</w:t>
          </w:r>
          <w:r>
            <w:rPr>
              <w:rFonts w:ascii="SimSun" w:hAnsi="SimSun" w:eastAsia="SimSun" w:cs="SimSun"/>
              <w:sz w:val="21"/>
              <w:szCs w:val="21"/>
              <w:spacing w:val="-92"/>
            </w:rPr>
            <w:t xml:space="preserve"> </w:t>
          </w:r>
          <w:r>
            <w:rPr>
              <w:rFonts w:ascii="SimSun" w:hAnsi="SimSun" w:eastAsia="SimSun" w:cs="SimSun"/>
              <w:sz w:val="21"/>
              <w:szCs w:val="21"/>
            </w:rPr>
            <w:tab/>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2"/>
            </w:rPr>
            <w:t>(</w:t>
          </w:r>
          <w:hyperlink w:history="true" w:anchor="bookmark83">
            <w:r>
              <w:rPr>
                <w:rFonts w:ascii="Times New Roman" w:hAnsi="Times New Roman" w:eastAsia="Times New Roman" w:cs="Times New Roman"/>
                <w:sz w:val="21"/>
                <w:szCs w:val="21"/>
                <w:spacing w:val="-2"/>
              </w:rPr>
              <w:t>288)</w:t>
            </w:r>
          </w:hyperlink>
        </w:p>
        <w:p>
          <w:pPr>
            <w:ind w:left="406"/>
            <w:spacing w:before="23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10.1</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云端数据治理体系的必要性</w:t>
          </w:r>
          <w:r>
            <w:rPr>
              <w:rFonts w:ascii="SimSun" w:hAnsi="SimSun" w:eastAsia="SimSun" w:cs="SimSun"/>
              <w:sz w:val="21"/>
              <w:szCs w:val="21"/>
              <w:spacing w:val="29"/>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
            </w:rPr>
            <w:t>(</w:t>
          </w:r>
          <w:hyperlink w:history="true" w:anchor="bookmark84">
            <w:r>
              <w:rPr>
                <w:rFonts w:ascii="Times New Roman" w:hAnsi="Times New Roman" w:eastAsia="Times New Roman" w:cs="Times New Roman"/>
                <w:sz w:val="21"/>
                <w:szCs w:val="21"/>
                <w:spacing w:val="-2"/>
              </w:rPr>
              <w:t>288)</w:t>
            </w:r>
          </w:hyperlink>
        </w:p>
        <w:p>
          <w:pPr>
            <w:ind w:left="406"/>
            <w:spacing w:before="59"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10.2   </w:t>
          </w:r>
          <w:r>
            <w:rPr>
              <w:rFonts w:ascii="SimSun" w:hAnsi="SimSun" w:eastAsia="SimSun" w:cs="SimSun"/>
              <w:sz w:val="21"/>
              <w:szCs w:val="21"/>
              <w:spacing w:val="1"/>
            </w:rPr>
            <w:t>云端数据治理体系基本框架</w:t>
          </w:r>
          <w:r>
            <w:rPr>
              <w:rFonts w:ascii="SimSun" w:hAnsi="SimSun" w:eastAsia="SimSun" w:cs="SimSun"/>
              <w:sz w:val="21"/>
              <w:szCs w:val="21"/>
              <w:spacing w:val="40"/>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85">
            <w:r>
              <w:rPr>
                <w:rFonts w:ascii="Times New Roman" w:hAnsi="Times New Roman" w:eastAsia="Times New Roman" w:cs="Times New Roman"/>
                <w:sz w:val="21"/>
                <w:szCs w:val="21"/>
                <w:spacing w:val="-1"/>
              </w:rPr>
              <w:t>289)</w:t>
            </w:r>
          </w:hyperlink>
        </w:p>
        <w:p>
          <w:pPr>
            <w:ind w:left="406"/>
            <w:spacing w:before="78" w:line="212" w:lineRule="auto"/>
            <w:tabs>
              <w:tab w:val="right" w:leader="dot" w:pos="740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10.3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云端数据治理体系过程模型</w:t>
          </w:r>
          <w:r>
            <w:rPr>
              <w:rFonts w:ascii="SimSun" w:hAnsi="SimSun" w:eastAsia="SimSun" w:cs="SimSun"/>
              <w:sz w:val="21"/>
              <w:szCs w:val="21"/>
              <w:spacing w:val="41"/>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2"/>
            </w:rPr>
            <w:t>(</w:t>
          </w:r>
          <w:hyperlink w:history="true" w:anchor="bookmark86">
            <w:r>
              <w:rPr>
                <w:rFonts w:ascii="Times New Roman" w:hAnsi="Times New Roman" w:eastAsia="Times New Roman" w:cs="Times New Roman"/>
                <w:sz w:val="21"/>
                <w:szCs w:val="21"/>
                <w:spacing w:val="-2"/>
              </w:rPr>
              <w:t>290)</w:t>
            </w:r>
          </w:hyperlink>
        </w:p>
      </w:sdtContent>
    </w:sdt>
    <w:p>
      <w:pPr>
        <w:spacing w:line="212" w:lineRule="auto"/>
        <w:sectPr>
          <w:footerReference w:type="default" r:id="rId12"/>
          <w:pgSz w:w="8870" w:h="13400"/>
          <w:pgMar w:top="400" w:right="317" w:bottom="581" w:left="572" w:header="0" w:footer="288" w:gutter="0"/>
        </w:sectPr>
        <w:rPr>
          <w:rFonts w:ascii="Times New Roman" w:hAnsi="Times New Roman" w:eastAsia="Times New Roman" w:cs="Times New Roman"/>
          <w:sz w:val="21"/>
          <w:szCs w:val="21"/>
        </w:rPr>
      </w:pPr>
    </w:p>
    <w:p>
      <w:pPr>
        <w:ind w:left="212"/>
        <w:spacing w:before="285" w:line="219" w:lineRule="auto"/>
        <w:rPr>
          <w:rFonts w:ascii="SimSun" w:hAnsi="SimSun" w:eastAsia="SimSun" w:cs="SimSun"/>
          <w:sz w:val="21"/>
          <w:szCs w:val="21"/>
        </w:rPr>
      </w:pPr>
      <w:r>
        <w:rPr>
          <w:rFonts w:ascii="SimSun" w:hAnsi="SimSun" w:eastAsia="SimSun" w:cs="SimSun"/>
          <w:sz w:val="21"/>
          <w:szCs w:val="21"/>
          <w:b/>
          <w:bCs/>
          <w:spacing w:val="-28"/>
        </w:rPr>
        <w:t>■云端数据治理■</w:t>
      </w:r>
    </w:p>
    <w:p>
      <w:pPr>
        <w:pStyle w:val="BodyText"/>
        <w:spacing w:line="260"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213"/>
            <w:spacing w:before="68" w:line="212" w:lineRule="auto"/>
            <w:tabs>
              <w:tab w:val="right" w:leader="dot" w:pos="7655"/>
            </w:tabs>
            <w:rPr>
              <w:rFonts w:ascii="Times New Roman" w:hAnsi="Times New Roman" w:eastAsia="Times New Roman" w:cs="Times New Roman"/>
              <w:sz w:val="21"/>
              <w:szCs w:val="21"/>
            </w:rPr>
          </w:pPr>
          <w:r>
            <w:rPr>
              <w:rFonts w:ascii="SimSun" w:hAnsi="SimSun" w:eastAsia="SimSun" w:cs="SimSun"/>
              <w:sz w:val="21"/>
              <w:szCs w:val="21"/>
              <w:b/>
              <w:bCs/>
              <w:spacing w:val="23"/>
            </w:rPr>
            <w:t>第11章</w:t>
          </w:r>
          <w:r>
            <w:rPr>
              <w:rFonts w:ascii="SimSun" w:hAnsi="SimSun" w:eastAsia="SimSun" w:cs="SimSun"/>
              <w:sz w:val="21"/>
              <w:szCs w:val="21"/>
              <w:spacing w:val="23"/>
            </w:rPr>
            <w:t xml:space="preserve"> </w:t>
          </w:r>
          <w:r>
            <w:rPr>
              <w:rFonts w:ascii="SimSun" w:hAnsi="SimSun" w:eastAsia="SimSun" w:cs="SimSun"/>
              <w:sz w:val="21"/>
              <w:szCs w:val="21"/>
              <w:b/>
              <w:bCs/>
              <w:spacing w:val="23"/>
            </w:rPr>
            <w:t>云端数据治理体系实施</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w:t>
          </w:r>
          <w:hyperlink w:history="true" w:anchor="bookmark87">
            <w:r>
              <w:rPr>
                <w:rFonts w:ascii="Times New Roman" w:hAnsi="Times New Roman" w:eastAsia="Times New Roman" w:cs="Times New Roman"/>
                <w:sz w:val="21"/>
                <w:szCs w:val="21"/>
                <w:spacing w:val="-1"/>
              </w:rPr>
              <w:t>292)</w:t>
            </w:r>
          </w:hyperlink>
        </w:p>
        <w:p>
          <w:pPr>
            <w:ind w:left="679"/>
            <w:spacing w:before="198"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11.1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统筹和规划</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81"/>
            </w:rPr>
            <w:t xml:space="preserve"> </w:t>
          </w:r>
          <w:r>
            <w:rPr>
              <w:rFonts w:ascii="Times New Roman" w:hAnsi="Times New Roman" w:eastAsia="Times New Roman" w:cs="Times New Roman"/>
              <w:sz w:val="21"/>
              <w:szCs w:val="21"/>
              <w:spacing w:val="-2"/>
            </w:rPr>
            <w:t>(</w:t>
          </w:r>
          <w:hyperlink w:history="true" w:anchor="bookmark88">
            <w:r>
              <w:rPr>
                <w:rFonts w:ascii="Times New Roman" w:hAnsi="Times New Roman" w:eastAsia="Times New Roman" w:cs="Times New Roman"/>
                <w:sz w:val="21"/>
                <w:szCs w:val="21"/>
                <w:spacing w:val="-2"/>
              </w:rPr>
              <w:t>292)</w:t>
            </w:r>
          </w:hyperlink>
        </w:p>
        <w:p>
          <w:pPr>
            <w:ind w:left="1099"/>
            <w:spacing w:before="68"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11.1.1</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制订战略与目标</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w:t>
          </w:r>
          <w:hyperlink w:history="true" w:anchor="bookmark89">
            <w:r>
              <w:rPr>
                <w:rFonts w:ascii="Times New Roman" w:hAnsi="Times New Roman" w:eastAsia="Times New Roman" w:cs="Times New Roman"/>
                <w:sz w:val="21"/>
                <w:szCs w:val="21"/>
                <w:spacing w:val="-2"/>
              </w:rPr>
              <w:t>292)</w:t>
            </w:r>
          </w:hyperlink>
        </w:p>
        <w:p>
          <w:pPr>
            <w:ind w:left="1099"/>
            <w:spacing w:before="5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11.1.2    </w:t>
          </w:r>
          <w:r>
            <w:rPr>
              <w:rFonts w:ascii="SimSun" w:hAnsi="SimSun" w:eastAsia="SimSun" w:cs="SimSun"/>
              <w:sz w:val="21"/>
              <w:szCs w:val="21"/>
              <w:spacing w:val="2"/>
            </w:rPr>
            <w:t>确定体系范围</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w:t>
          </w:r>
          <w:hyperlink w:history="true" w:anchor="bookmark90">
            <w:r>
              <w:rPr>
                <w:rFonts w:ascii="Times New Roman" w:hAnsi="Times New Roman" w:eastAsia="Times New Roman" w:cs="Times New Roman"/>
                <w:sz w:val="21"/>
                <w:szCs w:val="21"/>
                <w:spacing w:val="-2"/>
              </w:rPr>
              <w:t>295)</w:t>
            </w:r>
          </w:hyperlink>
        </w:p>
        <w:p>
          <w:pPr>
            <w:ind w:left="1099"/>
            <w:spacing w:before="7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11.1.3    </w:t>
          </w:r>
          <w:r>
            <w:rPr>
              <w:rFonts w:ascii="SimSun" w:hAnsi="SimSun" w:eastAsia="SimSun" w:cs="SimSun"/>
              <w:sz w:val="21"/>
              <w:szCs w:val="21"/>
              <w:spacing w:val="1"/>
            </w:rPr>
            <w:t>建立组织与角色</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w:t>
          </w:r>
          <w:hyperlink w:history="true" w:anchor="bookmark91">
            <w:r>
              <w:rPr>
                <w:rFonts w:ascii="Times New Roman" w:hAnsi="Times New Roman" w:eastAsia="Times New Roman" w:cs="Times New Roman"/>
                <w:sz w:val="21"/>
                <w:szCs w:val="21"/>
                <w:spacing w:val="-2"/>
              </w:rPr>
              <w:t>296)</w:t>
            </w:r>
          </w:hyperlink>
        </w:p>
        <w:p>
          <w:pPr>
            <w:ind w:left="1099"/>
            <w:spacing w:before="6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11.1.4    </w:t>
          </w:r>
          <w:r>
            <w:rPr>
              <w:rFonts w:ascii="SimSun" w:hAnsi="SimSun" w:eastAsia="SimSun" w:cs="SimSun"/>
              <w:sz w:val="21"/>
              <w:szCs w:val="21"/>
              <w:spacing w:val="1"/>
            </w:rPr>
            <w:t>制订体系建设和运行计划</w:t>
          </w:r>
          <w:r>
            <w:rPr>
              <w:rFonts w:ascii="SimSun" w:hAnsi="SimSun" w:eastAsia="SimSun" w:cs="SimSun"/>
              <w:sz w:val="21"/>
              <w:szCs w:val="21"/>
              <w:spacing w:val="-72"/>
            </w:rPr>
            <w:t xml:space="preserve"> </w:t>
          </w:r>
          <w:r>
            <w:rPr>
              <w:rFonts w:ascii="SimSun" w:hAnsi="SimSun" w:eastAsia="SimSun" w:cs="SimSun"/>
              <w:sz w:val="21"/>
              <w:szCs w:val="21"/>
            </w:rPr>
            <w:tab/>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2"/>
            </w:rPr>
            <w:t>(</w:t>
          </w:r>
          <w:hyperlink w:history="true" w:anchor="bookmark92">
            <w:r>
              <w:rPr>
                <w:rFonts w:ascii="Times New Roman" w:hAnsi="Times New Roman" w:eastAsia="Times New Roman" w:cs="Times New Roman"/>
                <w:sz w:val="21"/>
                <w:szCs w:val="21"/>
                <w:spacing w:val="-2"/>
              </w:rPr>
              <w:t>299)</w:t>
            </w:r>
          </w:hyperlink>
        </w:p>
        <w:p>
          <w:pPr>
            <w:ind w:left="1099"/>
            <w:spacing w:before="8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11.1.5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形成体系文件</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2"/>
            </w:rPr>
            <w:t>(</w:t>
          </w:r>
          <w:hyperlink w:history="true" w:anchor="bookmark93">
            <w:r>
              <w:rPr>
                <w:rFonts w:ascii="Times New Roman" w:hAnsi="Times New Roman" w:eastAsia="Times New Roman" w:cs="Times New Roman"/>
                <w:sz w:val="21"/>
                <w:szCs w:val="21"/>
                <w:spacing w:val="-2"/>
              </w:rPr>
              <w:t>300)</w:t>
            </w:r>
          </w:hyperlink>
        </w:p>
        <w:p>
          <w:pPr>
            <w:ind w:left="679"/>
            <w:spacing w:before="7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构建和运行</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2"/>
            </w:rPr>
            <w:t>(</w:t>
          </w:r>
          <w:hyperlink w:history="true" w:anchor="bookmark94">
            <w:r>
              <w:rPr>
                <w:rFonts w:ascii="Times New Roman" w:hAnsi="Times New Roman" w:eastAsia="Times New Roman" w:cs="Times New Roman"/>
                <w:sz w:val="21"/>
                <w:szCs w:val="21"/>
                <w:spacing w:val="-2"/>
              </w:rPr>
              <w:t>303)</w:t>
            </w:r>
          </w:hyperlink>
        </w:p>
        <w:p>
          <w:pPr>
            <w:ind w:left="1099"/>
            <w:spacing w:before="5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11.2.1</w:t>
          </w:r>
          <w:r>
            <w:rPr>
              <w:rFonts w:ascii="Times New Roman" w:hAnsi="Times New Roman" w:eastAsia="Times New Roman" w:cs="Times New Roman"/>
              <w:sz w:val="21"/>
              <w:szCs w:val="21"/>
              <w:spacing w:val="6"/>
            </w:rPr>
            <w:t xml:space="preserve">    </w:t>
          </w:r>
          <w:r>
            <w:rPr>
              <w:rFonts w:ascii="SimSun" w:hAnsi="SimSun" w:eastAsia="SimSun" w:cs="SimSun"/>
              <w:sz w:val="21"/>
              <w:szCs w:val="21"/>
            </w:rPr>
            <w:t>体系宣贯</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w:t>
          </w:r>
          <w:hyperlink w:history="true" w:anchor="bookmark95">
            <w:r>
              <w:rPr>
                <w:rFonts w:ascii="Times New Roman" w:hAnsi="Times New Roman" w:eastAsia="Times New Roman" w:cs="Times New Roman"/>
                <w:sz w:val="21"/>
                <w:szCs w:val="21"/>
                <w:spacing w:val="-2"/>
              </w:rPr>
              <w:t>303)</w:t>
            </w:r>
          </w:hyperlink>
        </w:p>
        <w:p>
          <w:pPr>
            <w:ind w:left="1099"/>
            <w:spacing w:before="78" w:line="212" w:lineRule="auto"/>
            <w:tabs>
              <w:tab w:val="right" w:leader="dot" w:pos="765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11.2.2</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实施策划</w:t>
          </w:r>
          <w:r>
            <w:rPr>
              <w:rFonts w:ascii="SimSun" w:hAnsi="SimSun" w:eastAsia="SimSun" w:cs="SimSun"/>
              <w:sz w:val="21"/>
              <w:szCs w:val="21"/>
              <w:spacing w:val="-90"/>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2"/>
            </w:rPr>
            <w:t>(</w:t>
          </w:r>
          <w:hyperlink w:history="true" w:anchor="bookmark96">
            <w:r>
              <w:rPr>
                <w:rFonts w:ascii="Times New Roman" w:hAnsi="Times New Roman" w:eastAsia="Times New Roman" w:cs="Times New Roman"/>
                <w:sz w:val="21"/>
                <w:szCs w:val="21"/>
                <w:spacing w:val="-2"/>
              </w:rPr>
              <w:t>303)</w:t>
            </w:r>
          </w:hyperlink>
        </w:p>
        <w:p>
          <w:pPr>
            <w:ind w:left="1099"/>
            <w:spacing w:before="59" w:line="212" w:lineRule="auto"/>
            <w:tabs>
              <w:tab w:val="right" w:leader="dot" w:pos="762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11.2.3    </w:t>
          </w:r>
          <w:r>
            <w:rPr>
              <w:rFonts w:ascii="SimSun" w:hAnsi="SimSun" w:eastAsia="SimSun" w:cs="SimSun"/>
              <w:sz w:val="21"/>
              <w:szCs w:val="21"/>
              <w:spacing w:val="1"/>
            </w:rPr>
            <w:t>项目启动</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w:t>
          </w:r>
          <w:hyperlink w:history="true" w:anchor="bookmark97">
            <w:r>
              <w:rPr>
                <w:rFonts w:ascii="Times New Roman" w:hAnsi="Times New Roman" w:eastAsia="Times New Roman" w:cs="Times New Roman"/>
                <w:sz w:val="21"/>
                <w:szCs w:val="21"/>
                <w:spacing w:val="-2"/>
              </w:rPr>
              <w:t>304)</w:t>
            </w:r>
          </w:hyperlink>
        </w:p>
        <w:p>
          <w:pPr>
            <w:ind w:left="1099"/>
            <w:spacing w:before="9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11.2.4</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项目实施</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2"/>
            </w:rPr>
            <w:t>(</w:t>
          </w:r>
          <w:hyperlink w:history="true" w:anchor="bookmark98">
            <w:r>
              <w:rPr>
                <w:rFonts w:ascii="Times New Roman" w:hAnsi="Times New Roman" w:eastAsia="Times New Roman" w:cs="Times New Roman"/>
                <w:sz w:val="21"/>
                <w:szCs w:val="21"/>
                <w:spacing w:val="-2"/>
              </w:rPr>
              <w:t>307)</w:t>
            </w:r>
          </w:hyperlink>
        </w:p>
        <w:p>
          <w:pPr>
            <w:ind w:left="1099"/>
            <w:spacing w:before="4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11.2.5</w:t>
          </w:r>
          <w:r>
            <w:rPr>
              <w:rFonts w:ascii="Times New Roman" w:hAnsi="Times New Roman" w:eastAsia="Times New Roman" w:cs="Times New Roman"/>
              <w:sz w:val="21"/>
              <w:szCs w:val="21"/>
              <w:spacing w:val="5"/>
            </w:rPr>
            <w:t xml:space="preserve">    </w:t>
          </w:r>
          <w:r>
            <w:rPr>
              <w:rFonts w:ascii="SimSun" w:hAnsi="SimSun" w:eastAsia="SimSun" w:cs="SimSun"/>
              <w:sz w:val="21"/>
              <w:szCs w:val="21"/>
            </w:rPr>
            <w:t>项目过程管理</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w:t>
          </w:r>
          <w:hyperlink w:history="true" w:anchor="bookmark99">
            <w:r>
              <w:rPr>
                <w:rFonts w:ascii="Times New Roman" w:hAnsi="Times New Roman" w:eastAsia="Times New Roman" w:cs="Times New Roman"/>
                <w:sz w:val="21"/>
                <w:szCs w:val="21"/>
                <w:spacing w:val="-2"/>
              </w:rPr>
              <w:t>323)</w:t>
            </w:r>
          </w:hyperlink>
        </w:p>
        <w:p>
          <w:pPr>
            <w:ind w:left="679"/>
            <w:spacing w:before="5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监督和评估</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w:t>
          </w:r>
          <w:hyperlink w:history="true" w:anchor="bookmark100">
            <w:r>
              <w:rPr>
                <w:rFonts w:ascii="Times New Roman" w:hAnsi="Times New Roman" w:eastAsia="Times New Roman" w:cs="Times New Roman"/>
                <w:sz w:val="21"/>
                <w:szCs w:val="21"/>
                <w:spacing w:val="-2"/>
              </w:rPr>
              <w:t>326)</w:t>
            </w:r>
          </w:hyperlink>
        </w:p>
        <w:p>
          <w:pPr>
            <w:ind w:left="1099"/>
            <w:spacing w:before="69" w:line="212" w:lineRule="auto"/>
            <w:tabs>
              <w:tab w:val="right" w:leader="dot" w:pos="762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11.3.1    </w:t>
          </w:r>
          <w:r>
            <w:rPr>
              <w:rFonts w:ascii="SimSun" w:hAnsi="SimSun" w:eastAsia="SimSun" w:cs="SimSun"/>
              <w:sz w:val="21"/>
              <w:szCs w:val="21"/>
              <w:spacing w:val="1"/>
            </w:rPr>
            <w:t>绩效评估</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2"/>
            </w:rPr>
            <w:t>(</w:t>
          </w:r>
          <w:hyperlink w:history="true" w:anchor="bookmark101">
            <w:r>
              <w:rPr>
                <w:rFonts w:ascii="Times New Roman" w:hAnsi="Times New Roman" w:eastAsia="Times New Roman" w:cs="Times New Roman"/>
                <w:sz w:val="21"/>
                <w:szCs w:val="21"/>
                <w:spacing w:val="-2"/>
              </w:rPr>
              <w:t>326)</w:t>
            </w:r>
          </w:hyperlink>
        </w:p>
        <w:p>
          <w:pPr>
            <w:ind w:left="1099"/>
            <w:spacing w:before="98"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内部审计</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w:t>
          </w:r>
          <w:hyperlink w:history="true" w:anchor="bookmark102">
            <w:r>
              <w:rPr>
                <w:rFonts w:ascii="Times New Roman" w:hAnsi="Times New Roman" w:eastAsia="Times New Roman" w:cs="Times New Roman"/>
                <w:sz w:val="21"/>
                <w:szCs w:val="21"/>
                <w:spacing w:val="-2"/>
              </w:rPr>
              <w:t>327)</w:t>
            </w:r>
          </w:hyperlink>
        </w:p>
        <w:p>
          <w:pPr>
            <w:ind w:left="1099"/>
            <w:spacing w:before="69" w:line="212" w:lineRule="auto"/>
            <w:tabs>
              <w:tab w:val="right" w:leader="dot" w:pos="761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11.3.3    </w:t>
          </w:r>
          <w:r>
            <w:rPr>
              <w:rFonts w:ascii="SimSun" w:hAnsi="SimSun" w:eastAsia="SimSun" w:cs="SimSun"/>
              <w:sz w:val="21"/>
              <w:szCs w:val="21"/>
              <w:spacing w:val="1"/>
            </w:rPr>
            <w:t>安全审计</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w:t>
          </w:r>
          <w:hyperlink w:history="true" w:anchor="bookmark103">
            <w:r>
              <w:rPr>
                <w:rFonts w:ascii="Times New Roman" w:hAnsi="Times New Roman" w:eastAsia="Times New Roman" w:cs="Times New Roman"/>
                <w:sz w:val="21"/>
                <w:szCs w:val="21"/>
                <w:spacing w:val="-2"/>
              </w:rPr>
              <w:t>329)</w:t>
            </w:r>
          </w:hyperlink>
        </w:p>
        <w:p>
          <w:pPr>
            <w:ind w:left="679"/>
            <w:spacing w:before="89" w:line="212" w:lineRule="auto"/>
            <w:tabs>
              <w:tab w:val="right" w:leader="dot" w:pos="764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11.4   </w:t>
          </w:r>
          <w:r>
            <w:rPr>
              <w:rFonts w:ascii="SimSun" w:hAnsi="SimSun" w:eastAsia="SimSun" w:cs="SimSun"/>
              <w:sz w:val="21"/>
              <w:szCs w:val="21"/>
            </w:rPr>
            <w:t>改进和优化</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2"/>
            </w:rPr>
            <w:t>(</w:t>
          </w:r>
          <w:hyperlink w:history="true" w:anchor="bookmark104">
            <w:r>
              <w:rPr>
                <w:rFonts w:ascii="Times New Roman" w:hAnsi="Times New Roman" w:eastAsia="Times New Roman" w:cs="Times New Roman"/>
                <w:sz w:val="21"/>
                <w:szCs w:val="21"/>
                <w:spacing w:val="-2"/>
              </w:rPr>
              <w:t>330)</w:t>
            </w:r>
          </w:hyperlink>
        </w:p>
        <w:p>
          <w:pPr>
            <w:ind w:left="1099"/>
            <w:spacing w:before="59" w:line="212" w:lineRule="auto"/>
            <w:tabs>
              <w:tab w:val="right" w:leader="dot" w:pos="76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11.4.1</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制订改进计划</w:t>
          </w:r>
          <w:r>
            <w:rPr>
              <w:rFonts w:ascii="SimSun" w:hAnsi="SimSun" w:eastAsia="SimSun" w:cs="SimSun"/>
              <w:sz w:val="21"/>
              <w:szCs w:val="21"/>
              <w:spacing w:val="-91"/>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2"/>
            </w:rPr>
            <w:t>(</w:t>
          </w:r>
          <w:hyperlink w:history="true" w:anchor="bookmark105">
            <w:r>
              <w:rPr>
                <w:rFonts w:ascii="Times New Roman" w:hAnsi="Times New Roman" w:eastAsia="Times New Roman" w:cs="Times New Roman"/>
                <w:sz w:val="21"/>
                <w:szCs w:val="21"/>
                <w:spacing w:val="-2"/>
              </w:rPr>
              <w:t>330)</w:t>
            </w:r>
          </w:hyperlink>
        </w:p>
        <w:p>
          <w:pPr>
            <w:ind w:left="1099"/>
            <w:spacing w:before="79" w:line="212" w:lineRule="auto"/>
            <w:tabs>
              <w:tab w:val="right" w:leader="dot" w:pos="7635"/>
            </w:tabs>
            <w:rPr>
              <w:rFonts w:ascii="Times New Roman" w:hAnsi="Times New Roman" w:eastAsia="Times New Roman" w:cs="Times New Roman"/>
              <w:sz w:val="21"/>
              <w:szCs w:val="21"/>
            </w:rPr>
          </w:pPr>
          <w:r>
            <w:rPr>
              <w:rFonts w:ascii="Times New Roman" w:hAnsi="Times New Roman" w:eastAsia="Times New Roman" w:cs="Times New Roman"/>
              <w:sz w:val="21"/>
              <w:szCs w:val="21"/>
            </w:rPr>
            <w:t>11.4.2</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实施改进措施</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97"/>
            </w:rPr>
            <w:t xml:space="preserve"> </w:t>
          </w:r>
          <w:r>
            <w:rPr>
              <w:rFonts w:ascii="Times New Roman" w:hAnsi="Times New Roman" w:eastAsia="Times New Roman" w:cs="Times New Roman"/>
              <w:sz w:val="21"/>
              <w:szCs w:val="21"/>
              <w:spacing w:val="-2"/>
            </w:rPr>
            <w:t>(</w:t>
          </w:r>
          <w:hyperlink w:history="true" w:anchor="bookmark106">
            <w:r>
              <w:rPr>
                <w:rFonts w:ascii="Times New Roman" w:hAnsi="Times New Roman" w:eastAsia="Times New Roman" w:cs="Times New Roman"/>
                <w:sz w:val="21"/>
                <w:szCs w:val="21"/>
                <w:spacing w:val="-2"/>
              </w:rPr>
              <w:t>333)</w:t>
            </w:r>
          </w:hyperlink>
        </w:p>
        <w:p>
          <w:pPr>
            <w:ind w:left="299"/>
            <w:spacing w:before="209" w:line="212" w:lineRule="auto"/>
            <w:tabs>
              <w:tab w:val="right" w:leader="dot" w:pos="7615"/>
            </w:tabs>
            <w:rPr>
              <w:rFonts w:ascii="Times New Roman" w:hAnsi="Times New Roman" w:eastAsia="Times New Roman" w:cs="Times New Roman"/>
              <w:sz w:val="21"/>
              <w:szCs w:val="21"/>
            </w:rPr>
          </w:pPr>
          <w:r>
            <w:rPr>
              <w:rFonts w:ascii="SimSun" w:hAnsi="SimSun" w:eastAsia="SimSun" w:cs="SimSun"/>
              <w:sz w:val="21"/>
              <w:szCs w:val="21"/>
              <w:spacing w:val="12"/>
            </w:rPr>
            <w:t>参考文献</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98"/>
            </w:rPr>
            <w:t xml:space="preserve"> </w:t>
          </w:r>
          <w:r>
            <w:rPr>
              <w:rFonts w:ascii="Times New Roman" w:hAnsi="Times New Roman" w:eastAsia="Times New Roman" w:cs="Times New Roman"/>
              <w:sz w:val="21"/>
              <w:szCs w:val="21"/>
              <w:spacing w:val="-2"/>
            </w:rPr>
            <w:t>(</w:t>
          </w:r>
          <w:hyperlink w:history="true" w:anchor="bookmark107">
            <w:r>
              <w:rPr>
                <w:rFonts w:ascii="Times New Roman" w:hAnsi="Times New Roman" w:eastAsia="Times New Roman" w:cs="Times New Roman"/>
                <w:sz w:val="21"/>
                <w:szCs w:val="21"/>
                <w:spacing w:val="-2"/>
              </w:rPr>
              <w:t>334)</w:t>
            </w:r>
          </w:hyperlink>
        </w:p>
      </w:sdtContent>
    </w:sdt>
    <w:p>
      <w:pPr>
        <w:spacing w:line="212" w:lineRule="auto"/>
        <w:sectPr>
          <w:footerReference w:type="default" r:id="rId13"/>
          <w:pgSz w:w="8870" w:h="13400"/>
          <w:pgMar w:top="400" w:right="873" w:bottom="508" w:left="339" w:header="0" w:footer="232" w:gutter="0"/>
        </w:sectPr>
        <w:rPr>
          <w:rFonts w:ascii="Times New Roman" w:hAnsi="Times New Roman" w:eastAsia="Times New Roman" w:cs="Times New Roman"/>
          <w:sz w:val="21"/>
          <w:szCs w:val="21"/>
        </w:rPr>
      </w:pPr>
    </w:p>
    <w:p>
      <w:pPr>
        <w:pStyle w:val="BodyText"/>
        <w:rPr/>
      </w:pPr>
      <w:r>
        <w:drawing>
          <wp:anchor distT="0" distB="0" distL="0" distR="0" simplePos="0" relativeHeight="251670528" behindDoc="0" locked="0" layoutInCell="0" allowOverlap="1">
            <wp:simplePos x="0" y="0"/>
            <wp:positionH relativeFrom="page">
              <wp:posOffset>1123955</wp:posOffset>
            </wp:positionH>
            <wp:positionV relativeFrom="page">
              <wp:posOffset>3581411</wp:posOffset>
            </wp:positionV>
            <wp:extent cx="3225816" cy="6350"/>
            <wp:effectExtent l="0" t="0" r="0" b="0"/>
            <wp:wrapNone/>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3225816" cy="6350"/>
                    </a:xfrm>
                    <a:prstGeom prst="rect">
                      <a:avLst/>
                    </a:prstGeom>
                  </pic:spPr>
                </pic:pic>
              </a:graphicData>
            </a:graphic>
          </wp:anchor>
        </w:drawing>
      </w:r>
      <w:r>
        <w:drawing>
          <wp:anchor distT="0" distB="0" distL="0" distR="0" simplePos="0" relativeHeight="251669504" behindDoc="0" locked="0" layoutInCell="0" allowOverlap="1">
            <wp:simplePos x="0" y="0"/>
            <wp:positionH relativeFrom="page">
              <wp:posOffset>1123955</wp:posOffset>
            </wp:positionH>
            <wp:positionV relativeFrom="page">
              <wp:posOffset>4083043</wp:posOffset>
            </wp:positionV>
            <wp:extent cx="3232124" cy="6381"/>
            <wp:effectExtent l="0" t="0" r="0" b="0"/>
            <wp:wrapNone/>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3232124" cy="6381"/>
                    </a:xfrm>
                    <a:prstGeom prst="rect">
                      <a:avLst/>
                    </a:prstGeom>
                  </pic:spPr>
                </pic:pic>
              </a:graphicData>
            </a:graphic>
          </wp:anchor>
        </w:drawing>
      </w: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firstLine="5559"/>
        <w:spacing w:line="650" w:lineRule="exact"/>
        <w:rPr/>
      </w:pPr>
      <w:r>
        <w:rPr>
          <w:position w:val="-13"/>
        </w:rPr>
        <w:pict>
          <v:group id="_x0000_s4" style="mso-position-vertical-relative:line;mso-position-horizontal-relative:char;width:67pt;height:32.55pt;" filled="false" stroked="false" coordsize="1340,650" coordorigin="0,0">
            <v:shape id="_x0000_s6" style="position:absolute;left:0;top:0;width:1340;height:650;" filled="false" stroked="false" type="#_x0000_t75">
              <v:imagedata o:title="" r:id="rId17"/>
            </v:shape>
            <v:shape id="_x0000_s8" style="position:absolute;left:-20;top:-20;width:1380;height:690;" filled="false" stroked="false" type="#_x0000_t202">
              <v:fill on="false"/>
              <v:stroke on="false"/>
              <v:path/>
              <v:imagedata o:title=""/>
              <o:lock v:ext="edit" aspectratio="false"/>
              <v:textbox inset="0mm,0mm,0mm,0mm">
                <w:txbxContent>
                  <w:p>
                    <w:pPr>
                      <w:ind w:left="56"/>
                      <w:spacing w:before="122" w:line="219" w:lineRule="auto"/>
                      <w:rPr>
                        <w:rFonts w:ascii="SimSun" w:hAnsi="SimSun" w:eastAsia="SimSun" w:cs="SimSun"/>
                        <w:sz w:val="45"/>
                        <w:szCs w:val="45"/>
                      </w:rPr>
                    </w:pPr>
                    <w:r>
                      <w:rPr>
                        <w:rFonts w:ascii="SimSun" w:hAnsi="SimSun" w:eastAsia="SimSun" w:cs="SimSun"/>
                        <w:sz w:val="45"/>
                        <w:szCs w:val="45"/>
                        <w:b/>
                        <w:bCs/>
                        <w:color w:val="FFFFFF"/>
                        <w:spacing w:val="47"/>
                      </w:rPr>
                      <w:t>第1篇</w:t>
                    </w:r>
                  </w:p>
                </w:txbxContent>
              </v:textbox>
            </v:shape>
          </v:group>
        </w:pic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314"/>
        <w:spacing w:before="107" w:line="221" w:lineRule="auto"/>
        <w:rPr>
          <w:rFonts w:ascii="SimHei" w:hAnsi="SimHei" w:eastAsia="SimHei" w:cs="SimHei"/>
          <w:sz w:val="33"/>
          <w:szCs w:val="33"/>
        </w:rPr>
      </w:pPr>
      <w:r>
        <w:rPr>
          <w:rFonts w:ascii="SimHei" w:hAnsi="SimHei" w:eastAsia="SimHei" w:cs="SimHei"/>
          <w:sz w:val="33"/>
          <w:szCs w:val="33"/>
          <w:b/>
          <w:bCs/>
          <w:spacing w:val="-15"/>
        </w:rPr>
        <w:t>云端数据治理成熟度概述</w:t>
      </w:r>
    </w:p>
    <w:p>
      <w:pPr>
        <w:spacing w:line="221" w:lineRule="auto"/>
        <w:sectPr>
          <w:footerReference w:type="default" r:id="rId14"/>
          <w:pgSz w:w="8870" w:h="13400"/>
          <w:pgMar w:top="400" w:right="639" w:bottom="400" w:left="1330" w:header="0" w:footer="0" w:gutter="0"/>
        </w:sectPr>
        <w:rPr>
          <w:rFonts w:ascii="SimHei" w:hAnsi="SimHei" w:eastAsia="SimHei" w:cs="SimHei"/>
          <w:sz w:val="33"/>
          <w:szCs w:val="33"/>
        </w:rPr>
      </w:pP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ind w:left="2095"/>
        <w:spacing w:before="133" w:line="221" w:lineRule="auto"/>
        <w:rPr>
          <w:rFonts w:ascii="SimHei" w:hAnsi="SimHei" w:eastAsia="SimHei" w:cs="SimHei"/>
          <w:sz w:val="41"/>
          <w:szCs w:val="41"/>
        </w:rPr>
      </w:pPr>
      <w:r>
        <w:rPr>
          <w:rFonts w:ascii="SimHei" w:hAnsi="SimHei" w:eastAsia="SimHei" w:cs="SimHei"/>
          <w:sz w:val="41"/>
          <w:szCs w:val="41"/>
          <w:b/>
          <w:bCs/>
          <w:spacing w:val="-14"/>
        </w:rPr>
        <w:t>第</w:t>
      </w:r>
      <w:r>
        <w:rPr>
          <w:rFonts w:ascii="SimHei" w:hAnsi="SimHei" w:eastAsia="SimHei" w:cs="SimHei"/>
          <w:sz w:val="41"/>
          <w:szCs w:val="41"/>
          <w:spacing w:val="-65"/>
        </w:rPr>
        <w:t xml:space="preserve"> </w:t>
      </w:r>
      <w:r>
        <w:rPr>
          <w:rFonts w:ascii="SimHei" w:hAnsi="SimHei" w:eastAsia="SimHei" w:cs="SimHei"/>
          <w:sz w:val="41"/>
          <w:szCs w:val="41"/>
          <w:b/>
          <w:bCs/>
          <w:spacing w:val="-14"/>
        </w:rPr>
        <w:t>1</w:t>
      </w:r>
      <w:r>
        <w:rPr>
          <w:rFonts w:ascii="SimHei" w:hAnsi="SimHei" w:eastAsia="SimHei" w:cs="SimHei"/>
          <w:sz w:val="41"/>
          <w:szCs w:val="41"/>
          <w:spacing w:val="-85"/>
        </w:rPr>
        <w:t xml:space="preserve"> </w:t>
      </w:r>
      <w:r>
        <w:rPr>
          <w:rFonts w:ascii="SimHei" w:hAnsi="SimHei" w:eastAsia="SimHei" w:cs="SimHei"/>
          <w:sz w:val="41"/>
          <w:szCs w:val="41"/>
          <w:b/>
          <w:bCs/>
          <w:spacing w:val="-14"/>
        </w:rPr>
        <w:t>章</w:t>
      </w:r>
      <w:r>
        <w:rPr>
          <w:rFonts w:ascii="SimHei" w:hAnsi="SimHei" w:eastAsia="SimHei" w:cs="SimHei"/>
          <w:sz w:val="41"/>
          <w:szCs w:val="41"/>
          <w:spacing w:val="191"/>
        </w:rPr>
        <w:t xml:space="preserve"> </w:t>
      </w:r>
      <w:r>
        <w:rPr>
          <w:rFonts w:ascii="SimHei" w:hAnsi="SimHei" w:eastAsia="SimHei" w:cs="SimHei"/>
          <w:sz w:val="41"/>
          <w:szCs w:val="41"/>
          <w:b/>
          <w:bCs/>
          <w:spacing w:val="-14"/>
        </w:rPr>
        <w:t>数据治理概述</w:t>
      </w:r>
    </w:p>
    <w:p>
      <w:pPr>
        <w:pStyle w:val="BodyText"/>
        <w:spacing w:line="292" w:lineRule="auto"/>
        <w:rPr/>
      </w:pPr>
      <w:r/>
    </w:p>
    <w:p>
      <w:pPr>
        <w:pStyle w:val="BodyText"/>
        <w:spacing w:line="292" w:lineRule="auto"/>
        <w:rPr/>
      </w:pPr>
      <w:r/>
    </w:p>
    <w:p>
      <w:pPr>
        <w:ind w:left="300" w:right="43" w:firstLine="429"/>
        <w:spacing w:before="72" w:line="253" w:lineRule="auto"/>
        <w:jc w:val="both"/>
        <w:rPr>
          <w:rFonts w:ascii="SimSun" w:hAnsi="SimSun" w:eastAsia="SimSun" w:cs="SimSun"/>
          <w:sz w:val="22"/>
          <w:szCs w:val="22"/>
        </w:rPr>
      </w:pPr>
      <w:r>
        <w:rPr>
          <w:rFonts w:ascii="SimSun" w:hAnsi="SimSun" w:eastAsia="SimSun" w:cs="SimSun"/>
          <w:sz w:val="22"/>
          <w:szCs w:val="22"/>
          <w:spacing w:val="-3"/>
        </w:rPr>
        <w:t>从 IT (信息技术)时代到 DT</w:t>
      </w:r>
      <w:r>
        <w:rPr>
          <w:rFonts w:ascii="SimSun" w:hAnsi="SimSun" w:eastAsia="SimSun" w:cs="SimSun"/>
          <w:sz w:val="22"/>
          <w:szCs w:val="22"/>
          <w:spacing w:val="54"/>
        </w:rPr>
        <w:t xml:space="preserve"> </w:t>
      </w:r>
      <w:r>
        <w:rPr>
          <w:rFonts w:ascii="SimSun" w:hAnsi="SimSun" w:eastAsia="SimSun" w:cs="SimSun"/>
          <w:sz w:val="22"/>
          <w:szCs w:val="22"/>
          <w:spacing w:val="-3"/>
        </w:rPr>
        <w:t>(数据技术)时代，</w:t>
      </w:r>
      <w:r>
        <w:rPr>
          <w:rFonts w:ascii="SimSun" w:hAnsi="SimSun" w:eastAsia="SimSun" w:cs="SimSun"/>
          <w:sz w:val="22"/>
          <w:szCs w:val="22"/>
          <w:spacing w:val="-4"/>
        </w:rPr>
        <w:t>都离不开一个关键词——数</w:t>
      </w:r>
      <w:r>
        <w:rPr>
          <w:rFonts w:ascii="SimSun" w:hAnsi="SimSun" w:eastAsia="SimSun" w:cs="SimSun"/>
          <w:sz w:val="22"/>
          <w:szCs w:val="22"/>
        </w:rPr>
        <w:t xml:space="preserve"> </w:t>
      </w:r>
      <w:r>
        <w:rPr>
          <w:rFonts w:ascii="SimSun" w:hAnsi="SimSun" w:eastAsia="SimSun" w:cs="SimSun"/>
          <w:sz w:val="22"/>
          <w:szCs w:val="22"/>
          <w:spacing w:val="-8"/>
        </w:rPr>
        <w:t>据。数据已成为21世纪最重要的战略资源之一</w:t>
      </w:r>
      <w:r>
        <w:rPr>
          <w:rFonts w:ascii="SimSun" w:hAnsi="SimSun" w:eastAsia="SimSun" w:cs="SimSun"/>
          <w:sz w:val="22"/>
          <w:szCs w:val="22"/>
          <w:spacing w:val="-9"/>
        </w:rPr>
        <w:t>。数据成为可以变现交易的资产，但</w:t>
      </w:r>
      <w:r>
        <w:rPr>
          <w:rFonts w:ascii="SimSun" w:hAnsi="SimSun" w:eastAsia="SimSun" w:cs="SimSun"/>
          <w:sz w:val="22"/>
          <w:szCs w:val="22"/>
        </w:rPr>
        <w:t xml:space="preserve"> </w:t>
      </w:r>
      <w:r>
        <w:rPr>
          <w:rFonts w:ascii="SimSun" w:hAnsi="SimSun" w:eastAsia="SimSun" w:cs="SimSun"/>
          <w:sz w:val="22"/>
          <w:szCs w:val="22"/>
          <w:spacing w:val="-9"/>
        </w:rPr>
        <w:t>又不同于传统的财务资产，数据的可拷贝、可重用以及数据的收集、存储、使用都</w:t>
      </w:r>
      <w:r>
        <w:rPr>
          <w:rFonts w:ascii="SimSun" w:hAnsi="SimSun" w:eastAsia="SimSun" w:cs="SimSun"/>
          <w:sz w:val="22"/>
          <w:szCs w:val="22"/>
          <w:spacing w:val="2"/>
        </w:rPr>
        <w:t xml:space="preserve"> </w:t>
      </w:r>
      <w:r>
        <w:rPr>
          <w:rFonts w:ascii="SimSun" w:hAnsi="SimSun" w:eastAsia="SimSun" w:cs="SimSun"/>
          <w:sz w:val="22"/>
          <w:szCs w:val="22"/>
          <w:spacing w:val="-8"/>
        </w:rPr>
        <w:t>有其特殊性，数据还涉及个人隐私、运行的安全。数据治理是以数</w:t>
      </w:r>
      <w:r>
        <w:rPr>
          <w:rFonts w:ascii="SimSun" w:hAnsi="SimSun" w:eastAsia="SimSun" w:cs="SimSun"/>
          <w:sz w:val="22"/>
          <w:szCs w:val="22"/>
          <w:spacing w:val="-9"/>
        </w:rPr>
        <w:t>据为研究对象的</w:t>
      </w:r>
      <w:r>
        <w:rPr>
          <w:rFonts w:ascii="SimSun" w:hAnsi="SimSun" w:eastAsia="SimSun" w:cs="SimSun"/>
          <w:sz w:val="22"/>
          <w:szCs w:val="22"/>
        </w:rPr>
        <w:t xml:space="preserve"> </w:t>
      </w:r>
      <w:r>
        <w:rPr>
          <w:rFonts w:ascii="SimSun" w:hAnsi="SimSun" w:eastAsia="SimSun" w:cs="SimSun"/>
          <w:sz w:val="22"/>
          <w:szCs w:val="22"/>
          <w:spacing w:val="-8"/>
        </w:rPr>
        <w:t>一门学科，它涉及对组织内的人员、流程、技术和策略的</w:t>
      </w:r>
      <w:r>
        <w:rPr>
          <w:rFonts w:ascii="SimSun" w:hAnsi="SimSun" w:eastAsia="SimSun" w:cs="SimSun"/>
          <w:sz w:val="22"/>
          <w:szCs w:val="22"/>
          <w:spacing w:val="-9"/>
        </w:rPr>
        <w:t>分配，让组织能够从数据</w:t>
      </w:r>
      <w:r>
        <w:rPr>
          <w:rFonts w:ascii="SimSun" w:hAnsi="SimSun" w:eastAsia="SimSun" w:cs="SimSun"/>
          <w:sz w:val="22"/>
          <w:szCs w:val="22"/>
        </w:rPr>
        <w:t xml:space="preserve"> </w:t>
      </w:r>
      <w:r>
        <w:rPr>
          <w:rFonts w:ascii="SimSun" w:hAnsi="SimSun" w:eastAsia="SimSun" w:cs="SimSun"/>
          <w:sz w:val="22"/>
          <w:szCs w:val="22"/>
          <w:spacing w:val="-12"/>
        </w:rPr>
        <w:t>中获取更优的价值。</w:t>
      </w:r>
    </w:p>
    <w:p>
      <w:pPr>
        <w:ind w:left="300" w:right="49" w:firstLine="429"/>
        <w:spacing w:before="70" w:line="247" w:lineRule="auto"/>
        <w:jc w:val="both"/>
        <w:rPr>
          <w:rFonts w:ascii="SimSun" w:hAnsi="SimSun" w:eastAsia="SimSun" w:cs="SimSun"/>
          <w:sz w:val="22"/>
          <w:szCs w:val="22"/>
        </w:rPr>
      </w:pPr>
      <w:r>
        <w:rPr>
          <w:rFonts w:ascii="SimSun" w:hAnsi="SimSun" w:eastAsia="SimSun" w:cs="SimSun"/>
          <w:sz w:val="22"/>
          <w:szCs w:val="22"/>
          <w:spacing w:val="-9"/>
        </w:rPr>
        <w:t>本章首先介绍数据治理相关的概念，以及这些概念之间的关系；其次，介绍数</w:t>
      </w:r>
      <w:r>
        <w:rPr>
          <w:rFonts w:ascii="SimSun" w:hAnsi="SimSun" w:eastAsia="SimSun" w:cs="SimSun"/>
          <w:sz w:val="22"/>
          <w:szCs w:val="22"/>
          <w:spacing w:val="14"/>
        </w:rPr>
        <w:t xml:space="preserve"> </w:t>
      </w:r>
      <w:r>
        <w:rPr>
          <w:rFonts w:ascii="SimSun" w:hAnsi="SimSun" w:eastAsia="SimSun" w:cs="SimSun"/>
          <w:sz w:val="22"/>
          <w:szCs w:val="22"/>
          <w:spacing w:val="-8"/>
        </w:rPr>
        <w:t>据治理理论的研究历程；再次，分析了因数据引发的</w:t>
      </w:r>
      <w:r>
        <w:rPr>
          <w:rFonts w:ascii="SimSun" w:hAnsi="SimSun" w:eastAsia="SimSun" w:cs="SimSun"/>
          <w:sz w:val="22"/>
          <w:szCs w:val="22"/>
          <w:spacing w:val="-9"/>
        </w:rPr>
        <w:t>典型事件以及数据面临的主要</w:t>
      </w:r>
      <w:r>
        <w:rPr>
          <w:rFonts w:ascii="SimSun" w:hAnsi="SimSun" w:eastAsia="SimSun" w:cs="SimSun"/>
          <w:sz w:val="22"/>
          <w:szCs w:val="22"/>
        </w:rPr>
        <w:t xml:space="preserve"> </w:t>
      </w:r>
      <w:r>
        <w:rPr>
          <w:rFonts w:ascii="SimSun" w:hAnsi="SimSun" w:eastAsia="SimSun" w:cs="SimSun"/>
          <w:sz w:val="22"/>
          <w:szCs w:val="22"/>
          <w:spacing w:val="-12"/>
        </w:rPr>
        <w:t>问题；最后，阐述数据治理的意义和面临的挑战。</w:t>
      </w:r>
    </w:p>
    <w:p>
      <w:pPr>
        <w:pStyle w:val="BodyText"/>
        <w:spacing w:line="451" w:lineRule="auto"/>
        <w:rPr/>
      </w:pPr>
      <w:r/>
    </w:p>
    <w:p>
      <w:pPr>
        <w:ind w:left="304"/>
        <w:spacing w:before="101" w:line="221" w:lineRule="auto"/>
        <w:outlineLvl w:val="0"/>
        <w:rPr>
          <w:rFonts w:ascii="SimHei" w:hAnsi="SimHei" w:eastAsia="SimHei" w:cs="SimHei"/>
          <w:sz w:val="31"/>
          <w:szCs w:val="31"/>
        </w:rPr>
      </w:pPr>
      <w:r>
        <w:rPr>
          <w:rFonts w:ascii="SimHei" w:hAnsi="SimHei" w:eastAsia="SimHei" w:cs="SimHei"/>
          <w:sz w:val="31"/>
          <w:szCs w:val="31"/>
          <w:b/>
          <w:bCs/>
          <w:spacing w:val="4"/>
        </w:rPr>
        <w:t>1.1</w:t>
      </w:r>
      <w:r>
        <w:rPr>
          <w:rFonts w:ascii="SimHei" w:hAnsi="SimHei" w:eastAsia="SimHei" w:cs="SimHei"/>
          <w:sz w:val="31"/>
          <w:szCs w:val="31"/>
          <w:spacing w:val="4"/>
        </w:rPr>
        <w:t xml:space="preserve">  </w:t>
      </w:r>
      <w:r>
        <w:rPr>
          <w:rFonts w:ascii="SimHei" w:hAnsi="SimHei" w:eastAsia="SimHei" w:cs="SimHei"/>
          <w:sz w:val="31"/>
          <w:szCs w:val="31"/>
          <w:b/>
          <w:bCs/>
          <w:spacing w:val="4"/>
        </w:rPr>
        <w:t>数据治理相关概念</w:t>
      </w:r>
    </w:p>
    <w:p>
      <w:pPr>
        <w:ind w:left="304"/>
        <w:spacing w:before="324" w:line="225" w:lineRule="auto"/>
        <w:outlineLvl w:val="0"/>
        <w:rPr>
          <w:rFonts w:ascii="YouYuan" w:hAnsi="YouYuan" w:eastAsia="YouYuan" w:cs="YouYuan"/>
          <w:sz w:val="31"/>
          <w:szCs w:val="31"/>
        </w:rPr>
      </w:pPr>
      <w:r>
        <w:rPr>
          <w:rFonts w:ascii="YouYuan" w:hAnsi="YouYuan" w:eastAsia="YouYuan" w:cs="YouYuan"/>
          <w:sz w:val="31"/>
          <w:szCs w:val="31"/>
          <w:b/>
          <w:bCs/>
          <w:spacing w:val="-25"/>
        </w:rPr>
        <w:t>1.1.1</w:t>
      </w:r>
      <w:r>
        <w:rPr>
          <w:rFonts w:ascii="YouYuan" w:hAnsi="YouYuan" w:eastAsia="YouYuan" w:cs="YouYuan"/>
          <w:sz w:val="31"/>
          <w:szCs w:val="31"/>
          <w:spacing w:val="123"/>
        </w:rPr>
        <w:t xml:space="preserve"> </w:t>
      </w:r>
      <w:r>
        <w:rPr>
          <w:rFonts w:ascii="YouYuan" w:hAnsi="YouYuan" w:eastAsia="YouYuan" w:cs="YouYuan"/>
          <w:sz w:val="31"/>
          <w:szCs w:val="31"/>
          <w:b/>
          <w:bCs/>
          <w:spacing w:val="-25"/>
        </w:rPr>
        <w:t>数据、信息、知识</w:t>
      </w:r>
    </w:p>
    <w:p>
      <w:pPr>
        <w:ind w:left="300" w:right="49" w:firstLine="429"/>
        <w:spacing w:before="287" w:line="253" w:lineRule="auto"/>
        <w:jc w:val="both"/>
        <w:rPr>
          <w:rFonts w:ascii="SimSun" w:hAnsi="SimSun" w:eastAsia="SimSun" w:cs="SimSun"/>
          <w:sz w:val="22"/>
          <w:szCs w:val="22"/>
        </w:rPr>
      </w:pPr>
      <w:r>
        <w:rPr>
          <w:rFonts w:ascii="SimSun" w:hAnsi="SimSun" w:eastAsia="SimSun" w:cs="SimSun"/>
          <w:sz w:val="22"/>
          <w:szCs w:val="22"/>
          <w:spacing w:val="-6"/>
        </w:rPr>
        <w:t>数据</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6"/>
        </w:rPr>
        <w:t>(Data)</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6"/>
        </w:rPr>
        <w:t>是客观事实经过获取、存储和表达后得到的结果，用于表示客观</w:t>
      </w:r>
      <w:r>
        <w:rPr>
          <w:rFonts w:ascii="SimSun" w:hAnsi="SimSun" w:eastAsia="SimSun" w:cs="SimSun"/>
          <w:sz w:val="22"/>
          <w:szCs w:val="22"/>
        </w:rPr>
        <w:t xml:space="preserve"> </w:t>
      </w:r>
      <w:r>
        <w:rPr>
          <w:rFonts w:ascii="SimSun" w:hAnsi="SimSun" w:eastAsia="SimSun" w:cs="SimSun"/>
          <w:sz w:val="22"/>
          <w:szCs w:val="22"/>
          <w:spacing w:val="-8"/>
        </w:rPr>
        <w:t>事物未经加工的原始素材。通常以符号、文本、数</w:t>
      </w:r>
      <w:r>
        <w:rPr>
          <w:rFonts w:ascii="SimSun" w:hAnsi="SimSun" w:eastAsia="SimSun" w:cs="SimSun"/>
          <w:sz w:val="22"/>
          <w:szCs w:val="22"/>
          <w:spacing w:val="-9"/>
        </w:rPr>
        <w:t>字、图形、图像、声音和视频等</w:t>
      </w:r>
      <w:r>
        <w:rPr>
          <w:rFonts w:ascii="SimSun" w:hAnsi="SimSun" w:eastAsia="SimSun" w:cs="SimSun"/>
          <w:sz w:val="22"/>
          <w:szCs w:val="22"/>
        </w:rPr>
        <w:t xml:space="preserve"> </w:t>
      </w:r>
      <w:r>
        <w:rPr>
          <w:rFonts w:ascii="SimSun" w:hAnsi="SimSun" w:eastAsia="SimSun" w:cs="SimSun"/>
          <w:sz w:val="22"/>
          <w:szCs w:val="22"/>
          <w:spacing w:val="-26"/>
        </w:rPr>
        <w:t>表现形式存在[1]。</w:t>
      </w:r>
    </w:p>
    <w:p>
      <w:pPr>
        <w:ind w:left="300" w:firstLine="429"/>
        <w:spacing w:before="25" w:line="261" w:lineRule="auto"/>
        <w:jc w:val="both"/>
        <w:rPr>
          <w:rFonts w:ascii="SimSun" w:hAnsi="SimSun" w:eastAsia="SimSun" w:cs="SimSun"/>
          <w:sz w:val="22"/>
          <w:szCs w:val="22"/>
        </w:rPr>
      </w:pPr>
      <w:r>
        <w:rPr>
          <w:rFonts w:ascii="SimSun" w:hAnsi="SimSun" w:eastAsia="SimSun" w:cs="SimSun"/>
          <w:sz w:val="22"/>
          <w:szCs w:val="22"/>
          <w:spacing w:val="-4"/>
        </w:rPr>
        <w:t>信息</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4"/>
        </w:rPr>
        <w:t>(Information)</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不是具体的事物，也不是某种物质，而是客观事</w:t>
      </w:r>
      <w:r>
        <w:rPr>
          <w:rFonts w:ascii="SimSun" w:hAnsi="SimSun" w:eastAsia="SimSun" w:cs="SimSun"/>
          <w:sz w:val="22"/>
          <w:szCs w:val="22"/>
          <w:spacing w:val="-5"/>
        </w:rPr>
        <w:t>物的一种</w:t>
      </w:r>
      <w:r>
        <w:rPr>
          <w:rFonts w:ascii="SimSun" w:hAnsi="SimSun" w:eastAsia="SimSun" w:cs="SimSun"/>
          <w:sz w:val="22"/>
          <w:szCs w:val="22"/>
        </w:rPr>
        <w:t xml:space="preserve"> </w:t>
      </w:r>
      <w:r>
        <w:rPr>
          <w:rFonts w:ascii="SimSun" w:hAnsi="SimSun" w:eastAsia="SimSun" w:cs="SimSun"/>
          <w:sz w:val="22"/>
          <w:szCs w:val="22"/>
          <w:spacing w:val="-9"/>
        </w:rPr>
        <w:t>属性。它是包含上下文语境的数据</w:t>
      </w:r>
      <w:r>
        <w:rPr>
          <w:rFonts w:ascii="SimSun" w:hAnsi="SimSun" w:eastAsia="SimSun" w:cs="SimSun"/>
          <w:sz w:val="22"/>
          <w:szCs w:val="22"/>
          <w:spacing w:val="-33"/>
        </w:rPr>
        <w:t xml:space="preserve"> </w:t>
      </w:r>
      <w:r>
        <w:rPr>
          <w:rFonts w:ascii="SimSun" w:hAnsi="SimSun" w:eastAsia="SimSun" w:cs="SimSun"/>
          <w:sz w:val="22"/>
          <w:szCs w:val="22"/>
          <w:spacing w:val="-9"/>
        </w:rPr>
        <w:t>(Data with</w:t>
      </w:r>
      <w:r>
        <w:rPr>
          <w:rFonts w:ascii="SimSun" w:hAnsi="SimSun" w:eastAsia="SimSun" w:cs="SimSun"/>
          <w:sz w:val="22"/>
          <w:szCs w:val="22"/>
          <w:spacing w:val="-10"/>
        </w:rPr>
        <w:t xml:space="preserve"> Context),</w:t>
      </w:r>
      <w:r>
        <w:rPr>
          <w:rFonts w:ascii="SimSun" w:hAnsi="SimSun" w:eastAsia="SimSun" w:cs="SimSun"/>
          <w:sz w:val="22"/>
          <w:szCs w:val="22"/>
          <w:spacing w:val="-53"/>
        </w:rPr>
        <w:t xml:space="preserve"> </w:t>
      </w:r>
      <w:r>
        <w:rPr>
          <w:rFonts w:ascii="SimSun" w:hAnsi="SimSun" w:eastAsia="SimSun" w:cs="SimSun"/>
          <w:sz w:val="22"/>
          <w:szCs w:val="22"/>
          <w:spacing w:val="-10"/>
        </w:rPr>
        <w:t>必须依附于某个客观事物</w:t>
      </w:r>
      <w:r>
        <w:rPr>
          <w:rFonts w:ascii="SimSun" w:hAnsi="SimSun" w:eastAsia="SimSun" w:cs="SimSun"/>
          <w:sz w:val="22"/>
          <w:szCs w:val="22"/>
        </w:rPr>
        <w:t xml:space="preserve"> </w:t>
      </w:r>
      <w:r>
        <w:rPr>
          <w:rFonts w:ascii="SimSun" w:hAnsi="SimSun" w:eastAsia="SimSun" w:cs="SimSun"/>
          <w:sz w:val="22"/>
          <w:szCs w:val="22"/>
          <w:spacing w:val="-7"/>
        </w:rPr>
        <w:t>(媒介)而存在。同一个信息可以借助不同的信息媒介表现出来，如：文字、手势、</w:t>
      </w:r>
      <w:r>
        <w:rPr>
          <w:rFonts w:ascii="SimSun" w:hAnsi="SimSun" w:eastAsia="SimSun" w:cs="SimSun"/>
          <w:sz w:val="22"/>
          <w:szCs w:val="22"/>
          <w:spacing w:val="8"/>
        </w:rPr>
        <w:t xml:space="preserve"> </w:t>
      </w:r>
      <w:r>
        <w:rPr>
          <w:rFonts w:ascii="SimSun" w:hAnsi="SimSun" w:eastAsia="SimSun" w:cs="SimSun"/>
          <w:sz w:val="22"/>
          <w:szCs w:val="22"/>
          <w:spacing w:val="-11"/>
        </w:rPr>
        <w:t>表情、图形、图像、声音、影视和动画等。</w:t>
      </w:r>
    </w:p>
    <w:p>
      <w:pPr>
        <w:ind w:left="300" w:right="21" w:firstLine="429"/>
        <w:spacing w:before="42" w:line="248" w:lineRule="auto"/>
        <w:jc w:val="both"/>
        <w:rPr>
          <w:rFonts w:ascii="SimSun" w:hAnsi="SimSun" w:eastAsia="SimSun" w:cs="SimSun"/>
          <w:sz w:val="22"/>
          <w:szCs w:val="22"/>
        </w:rPr>
      </w:pPr>
      <w:r>
        <w:rPr>
          <w:rFonts w:ascii="SimSun" w:hAnsi="SimSun" w:eastAsia="SimSun" w:cs="SimSun"/>
          <w:sz w:val="22"/>
          <w:szCs w:val="22"/>
          <w:spacing w:val="-6"/>
        </w:rPr>
        <w:t>知识</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6"/>
        </w:rPr>
        <w:t>(Acknowledge)  </w:t>
      </w:r>
      <w:r>
        <w:rPr>
          <w:rFonts w:ascii="SimSun" w:hAnsi="SimSun" w:eastAsia="SimSun" w:cs="SimSun"/>
          <w:sz w:val="22"/>
          <w:szCs w:val="22"/>
          <w:spacing w:val="-6"/>
        </w:rPr>
        <w:t>是对情境的理解、意识、认</w:t>
      </w:r>
      <w:r>
        <w:rPr>
          <w:rFonts w:ascii="SimSun" w:hAnsi="SimSun" w:eastAsia="SimSun" w:cs="SimSun"/>
          <w:sz w:val="22"/>
          <w:szCs w:val="22"/>
          <w:spacing w:val="-7"/>
        </w:rPr>
        <w:t>识和识别，以及对复杂性的把</w:t>
      </w:r>
      <w:r>
        <w:rPr>
          <w:rFonts w:ascii="SimSun" w:hAnsi="SimSun" w:eastAsia="SimSun" w:cs="SimSun"/>
          <w:sz w:val="22"/>
          <w:szCs w:val="22"/>
        </w:rPr>
        <w:t xml:space="preserve"> </w:t>
      </w:r>
      <w:r>
        <w:rPr>
          <w:rFonts w:ascii="SimSun" w:hAnsi="SimSun" w:eastAsia="SimSun" w:cs="SimSun"/>
          <w:sz w:val="22"/>
          <w:szCs w:val="22"/>
          <w:spacing w:val="-8"/>
        </w:rPr>
        <w:t>握。知识只有在经过广泛深入的实践检验，被人类消化吸收，并成为</w:t>
      </w:r>
      <w:r>
        <w:rPr>
          <w:rFonts w:ascii="SimSun" w:hAnsi="SimSun" w:eastAsia="SimSun" w:cs="SimSun"/>
          <w:sz w:val="22"/>
          <w:szCs w:val="22"/>
          <w:spacing w:val="-9"/>
        </w:rPr>
        <w:t>个人的信念和</w:t>
      </w:r>
      <w:r>
        <w:rPr>
          <w:rFonts w:ascii="SimSun" w:hAnsi="SimSun" w:eastAsia="SimSun" w:cs="SimSun"/>
          <w:sz w:val="22"/>
          <w:szCs w:val="22"/>
        </w:rPr>
        <w:t xml:space="preserve"> </w:t>
      </w:r>
      <w:r>
        <w:rPr>
          <w:rFonts w:ascii="SimSun" w:hAnsi="SimSun" w:eastAsia="SimSun" w:cs="SimSun"/>
          <w:sz w:val="22"/>
          <w:szCs w:val="22"/>
          <w:spacing w:val="-18"/>
        </w:rPr>
        <w:t>判断取向之后才能成为知识[2]。</w:t>
      </w:r>
    </w:p>
    <w:p>
      <w:pPr>
        <w:ind w:left="730"/>
        <w:spacing w:before="41" w:line="219" w:lineRule="auto"/>
        <w:rPr>
          <w:rFonts w:ascii="SimSun" w:hAnsi="SimSun" w:eastAsia="SimSun" w:cs="SimSun"/>
          <w:sz w:val="22"/>
          <w:szCs w:val="22"/>
        </w:rPr>
      </w:pPr>
      <w:r>
        <w:rPr>
          <w:rFonts w:ascii="SimSun" w:hAnsi="SimSun" w:eastAsia="SimSun" w:cs="SimSun"/>
          <w:sz w:val="22"/>
          <w:szCs w:val="22"/>
          <w:spacing w:val="-8"/>
        </w:rPr>
        <w:t>表1-1为数据、信息、知识之间的关系实例。</w:t>
      </w:r>
    </w:p>
    <w:p>
      <w:pPr>
        <w:spacing w:line="219" w:lineRule="auto"/>
        <w:sectPr>
          <w:footerReference w:type="default" r:id="rId18"/>
          <w:pgSz w:w="8870" w:h="13400"/>
          <w:pgMar w:top="400" w:right="569" w:bottom="524" w:left="329" w:header="0" w:footer="306" w:gutter="0"/>
        </w:sectPr>
        <w:rPr>
          <w:rFonts w:ascii="SimSun" w:hAnsi="SimSun" w:eastAsia="SimSun" w:cs="SimSun"/>
          <w:sz w:val="22"/>
          <w:szCs w:val="22"/>
        </w:rPr>
      </w:pPr>
    </w:p>
    <w:p>
      <w:pPr>
        <w:ind w:left="5478"/>
        <w:spacing w:before="164" w:line="610" w:lineRule="exact"/>
        <w:rPr>
          <w:rFonts w:ascii="SimSun" w:hAnsi="SimSun" w:eastAsia="SimSun" w:cs="SimSun"/>
          <w:sz w:val="21"/>
          <w:szCs w:val="21"/>
        </w:rPr>
      </w:pPr>
      <w:r>
        <w:rPr>
          <w:rFonts w:ascii="SimSun" w:hAnsi="SimSun" w:eastAsia="SimSun" w:cs="SimSun"/>
          <w:sz w:val="21"/>
          <w:szCs w:val="21"/>
          <w:b/>
          <w:bCs/>
          <w:spacing w:val="16"/>
          <w:position w:val="31"/>
        </w:rPr>
        <w:t>第1章</w:t>
      </w:r>
      <w:r>
        <w:rPr>
          <w:rFonts w:ascii="SimSun" w:hAnsi="SimSun" w:eastAsia="SimSun" w:cs="SimSun"/>
          <w:sz w:val="21"/>
          <w:szCs w:val="21"/>
          <w:spacing w:val="1"/>
          <w:position w:val="31"/>
        </w:rPr>
        <w:t xml:space="preserve">  </w:t>
      </w:r>
      <w:r>
        <w:rPr>
          <w:rFonts w:ascii="SimSun" w:hAnsi="SimSun" w:eastAsia="SimSun" w:cs="SimSun"/>
          <w:sz w:val="21"/>
          <w:szCs w:val="21"/>
          <w:b/>
          <w:bCs/>
          <w:spacing w:val="16"/>
          <w:position w:val="31"/>
        </w:rPr>
        <w:t>数据治理概述</w:t>
      </w:r>
    </w:p>
    <w:p>
      <w:pPr>
        <w:ind w:left="2107"/>
        <w:spacing w:line="221" w:lineRule="auto"/>
        <w:rPr>
          <w:rFonts w:ascii="SimHei" w:hAnsi="SimHei" w:eastAsia="SimHei" w:cs="SimHei"/>
          <w:sz w:val="21"/>
          <w:szCs w:val="21"/>
        </w:rPr>
      </w:pPr>
      <w:r>
        <w:rPr>
          <w:rFonts w:ascii="SimHei" w:hAnsi="SimHei" w:eastAsia="SimHei" w:cs="SimHei"/>
          <w:sz w:val="21"/>
          <w:szCs w:val="21"/>
          <w:b/>
          <w:bCs/>
          <w:spacing w:val="-26"/>
        </w:rPr>
        <w:t>表1-1</w:t>
      </w:r>
      <w:r>
        <w:rPr>
          <w:rFonts w:ascii="SimHei" w:hAnsi="SimHei" w:eastAsia="SimHei" w:cs="SimHei"/>
          <w:sz w:val="21"/>
          <w:szCs w:val="21"/>
          <w:spacing w:val="76"/>
        </w:rPr>
        <w:t xml:space="preserve"> </w:t>
      </w:r>
      <w:r>
        <w:rPr>
          <w:rFonts w:ascii="SimHei" w:hAnsi="SimHei" w:eastAsia="SimHei" w:cs="SimHei"/>
          <w:sz w:val="21"/>
          <w:szCs w:val="21"/>
          <w:b/>
          <w:bCs/>
          <w:spacing w:val="-26"/>
        </w:rPr>
        <w:t>数据、信息、知识之间的关系实例</w:t>
      </w:r>
    </w:p>
    <w:p>
      <w:pPr>
        <w:spacing w:line="98" w:lineRule="exact"/>
        <w:rPr/>
      </w:pPr>
      <w:r/>
    </w:p>
    <w:tbl>
      <w:tblPr>
        <w:tblStyle w:val="TableNormal"/>
        <w:tblW w:w="759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4"/>
        <w:gridCol w:w="1498"/>
        <w:gridCol w:w="5547"/>
      </w:tblGrid>
      <w:tr>
        <w:trPr>
          <w:trHeight w:val="1122" w:hRule="atLeast"/>
        </w:trPr>
        <w:tc>
          <w:tcPr>
            <w:tcW w:w="7599" w:type="dxa"/>
            <w:vAlign w:val="top"/>
            <w:gridSpan w:val="3"/>
          </w:tcPr>
          <w:p>
            <w:pPr>
              <w:pStyle w:val="TableText"/>
              <w:ind w:left="245"/>
              <w:spacing w:before="91" w:line="220" w:lineRule="auto"/>
              <w:rPr/>
            </w:pPr>
            <w:r>
              <w:rPr>
                <w:spacing w:val="1"/>
              </w:rPr>
              <w:t>姓名：李吴天</w:t>
            </w:r>
            <w:r>
              <w:rPr>
                <w:spacing w:val="23"/>
              </w:rPr>
              <w:t xml:space="preserve">   </w:t>
            </w:r>
            <w:r>
              <w:rPr>
                <w:spacing w:val="1"/>
              </w:rPr>
              <w:t>性别：男</w:t>
            </w:r>
          </w:p>
          <w:p>
            <w:pPr>
              <w:pStyle w:val="TableText"/>
              <w:ind w:left="245"/>
              <w:spacing w:before="101" w:line="219" w:lineRule="auto"/>
              <w:rPr/>
            </w:pPr>
            <w:r>
              <w:rPr>
                <w:spacing w:val="1"/>
              </w:rPr>
              <w:t>年龄：11岁</w:t>
            </w:r>
            <w:r>
              <w:rPr>
                <w:spacing w:val="11"/>
              </w:rPr>
              <w:t xml:space="preserve">     </w:t>
            </w:r>
            <w:r>
              <w:rPr>
                <w:spacing w:val="1"/>
              </w:rPr>
              <w:t>年级：六年级</w:t>
            </w:r>
          </w:p>
          <w:p>
            <w:pPr>
              <w:pStyle w:val="TableText"/>
              <w:ind w:left="245"/>
              <w:spacing w:before="112" w:line="219" w:lineRule="auto"/>
              <w:rPr/>
            </w:pPr>
            <w:r>
              <w:rPr>
                <w:spacing w:val="-1"/>
              </w:rPr>
              <w:t>数学考试成绩：40分</w:t>
            </w:r>
          </w:p>
          <w:p>
            <w:pPr>
              <w:pStyle w:val="TableText"/>
              <w:ind w:left="245"/>
              <w:spacing w:before="82" w:line="219" w:lineRule="auto"/>
              <w:rPr/>
            </w:pPr>
            <w:r>
              <w:rPr/>
              <w:t>自述：在2016年9月末考试中李吴天数学成绩40分，满分</w:t>
            </w:r>
            <w:r>
              <w:rPr>
                <w:spacing w:val="-1"/>
              </w:rPr>
              <w:t>为100分。</w:t>
            </w:r>
          </w:p>
        </w:tc>
      </w:tr>
      <w:tr>
        <w:trPr>
          <w:trHeight w:val="309" w:hRule="atLeast"/>
        </w:trPr>
        <w:tc>
          <w:tcPr>
            <w:tcW w:w="554" w:type="dxa"/>
            <w:vAlign w:val="top"/>
          </w:tcPr>
          <w:p>
            <w:pPr>
              <w:pStyle w:val="TableText"/>
              <w:ind w:left="115"/>
              <w:spacing w:before="79" w:line="219" w:lineRule="auto"/>
              <w:rPr/>
            </w:pPr>
            <w:r>
              <w:rPr>
                <w:spacing w:val="-2"/>
              </w:rPr>
              <w:t>数据</w:t>
            </w:r>
          </w:p>
        </w:tc>
        <w:tc>
          <w:tcPr>
            <w:tcW w:w="1498" w:type="dxa"/>
            <w:vAlign w:val="top"/>
          </w:tcPr>
          <w:p>
            <w:pPr>
              <w:pStyle w:val="TableText"/>
              <w:ind w:left="101"/>
              <w:spacing w:before="117" w:line="183" w:lineRule="auto"/>
              <w:rPr/>
            </w:pPr>
            <w:r>
              <w:rPr>
                <w:spacing w:val="-2"/>
              </w:rPr>
              <w:t>40</w:t>
            </w:r>
          </w:p>
        </w:tc>
        <w:tc>
          <w:tcPr>
            <w:tcW w:w="5547" w:type="dxa"/>
            <w:vAlign w:val="top"/>
          </w:tcPr>
          <w:p>
            <w:pPr>
              <w:pStyle w:val="TableText"/>
              <w:ind w:left="263"/>
              <w:spacing w:before="79" w:line="219" w:lineRule="auto"/>
              <w:rPr/>
            </w:pPr>
            <w:r>
              <w:rPr/>
              <w:t>单拿数据40来说，在没有上下文语境的情况下，它没</w:t>
            </w:r>
            <w:r>
              <w:rPr>
                <w:spacing w:val="-1"/>
              </w:rPr>
              <w:t>有任何意义。</w:t>
            </w:r>
          </w:p>
        </w:tc>
      </w:tr>
      <w:tr>
        <w:trPr>
          <w:trHeight w:val="568" w:hRule="atLeast"/>
        </w:trPr>
        <w:tc>
          <w:tcPr>
            <w:tcW w:w="554" w:type="dxa"/>
            <w:vAlign w:val="top"/>
          </w:tcPr>
          <w:p>
            <w:pPr>
              <w:pStyle w:val="TableText"/>
              <w:ind w:left="115"/>
              <w:spacing w:before="210" w:line="219" w:lineRule="auto"/>
              <w:rPr/>
            </w:pPr>
            <w:r>
              <w:rPr>
                <w:spacing w:val="-2"/>
              </w:rPr>
              <w:t>信息</w:t>
            </w:r>
          </w:p>
        </w:tc>
        <w:tc>
          <w:tcPr>
            <w:tcW w:w="1498" w:type="dxa"/>
            <w:vAlign w:val="top"/>
          </w:tcPr>
          <w:p>
            <w:pPr>
              <w:pStyle w:val="TableText"/>
              <w:ind w:left="101" w:right="191" w:firstLine="149"/>
              <w:spacing w:before="89" w:line="283" w:lineRule="auto"/>
              <w:rPr/>
            </w:pPr>
            <w:r>
              <w:rPr>
                <w:spacing w:val="-1"/>
              </w:rPr>
              <w:t>数学考试成绩：</w:t>
            </w:r>
            <w:r>
              <w:rPr>
                <w:spacing w:val="1"/>
              </w:rPr>
              <w:t xml:space="preserve"> </w:t>
            </w:r>
            <w:r>
              <w:rPr>
                <w:spacing w:val="-1"/>
              </w:rPr>
              <w:t>40分</w:t>
            </w:r>
          </w:p>
        </w:tc>
        <w:tc>
          <w:tcPr>
            <w:tcW w:w="5547" w:type="dxa"/>
            <w:vAlign w:val="top"/>
          </w:tcPr>
          <w:p>
            <w:pPr>
              <w:pStyle w:val="TableText"/>
              <w:ind w:left="103" w:right="230" w:firstLine="109"/>
              <w:spacing w:before="79" w:line="270" w:lineRule="auto"/>
              <w:rPr/>
            </w:pPr>
            <w:r>
              <w:rPr/>
              <w:t>这时40就有其代表的意义，代表六年级小朋友在一次月末考</w:t>
            </w:r>
            <w:r>
              <w:rPr>
                <w:spacing w:val="-1"/>
              </w:rPr>
              <w:t>试中，数学成绩为</w:t>
            </w:r>
            <w:r>
              <w:rPr/>
              <w:t xml:space="preserve"> </w:t>
            </w:r>
            <w:r>
              <w:rPr/>
              <w:t>40分。在这样的背景下，40成为信息中的一个关</w:t>
            </w:r>
            <w:r>
              <w:rPr>
                <w:spacing w:val="-1"/>
              </w:rPr>
              <w:t>键指标。</w:t>
            </w:r>
          </w:p>
        </w:tc>
      </w:tr>
      <w:tr>
        <w:trPr>
          <w:trHeight w:val="1970" w:hRule="atLeast"/>
        </w:trPr>
        <w:tc>
          <w:tcPr>
            <w:tcW w:w="554" w:type="dxa"/>
            <w:vAlign w:val="top"/>
          </w:tcPr>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TableText"/>
              <w:ind w:left="115"/>
              <w:spacing w:before="48" w:line="221" w:lineRule="auto"/>
              <w:rPr/>
            </w:pPr>
            <w:r>
              <w:rPr>
                <w:spacing w:val="-3"/>
              </w:rPr>
              <w:t>知识</w:t>
            </w:r>
          </w:p>
        </w:tc>
        <w:tc>
          <w:tcPr>
            <w:tcW w:w="1498" w:type="dxa"/>
            <w:vAlign w:val="top"/>
          </w:tcPr>
          <w:p>
            <w:pPr>
              <w:spacing w:line="290" w:lineRule="auto"/>
              <w:rPr>
                <w:rFonts w:ascii="Arial"/>
                <w:sz w:val="21"/>
              </w:rPr>
            </w:pPr>
            <w:r/>
          </w:p>
          <w:p>
            <w:pPr>
              <w:spacing w:line="290" w:lineRule="auto"/>
              <w:rPr>
                <w:rFonts w:ascii="Arial"/>
                <w:sz w:val="21"/>
              </w:rPr>
            </w:pPr>
            <w:r/>
          </w:p>
          <w:p>
            <w:pPr>
              <w:pStyle w:val="TableText"/>
              <w:ind w:left="101" w:right="151" w:firstLine="149"/>
              <w:spacing w:before="48" w:line="315" w:lineRule="auto"/>
              <w:jc w:val="both"/>
              <w:rPr/>
            </w:pPr>
            <w:r>
              <w:rPr>
                <w:spacing w:val="-1"/>
              </w:rPr>
              <w:t>孩子是不是厌学</w:t>
            </w:r>
            <w:r>
              <w:rPr/>
              <w:t xml:space="preserve"> </w:t>
            </w:r>
            <w:r>
              <w:rPr>
                <w:spacing w:val="4"/>
              </w:rPr>
              <w:t>了，家长该如何解</w:t>
            </w:r>
            <w:r>
              <w:rPr>
                <w:spacing w:val="2"/>
              </w:rPr>
              <w:t xml:space="preserve"> </w:t>
            </w:r>
            <w:r>
              <w:rPr>
                <w:spacing w:val="-3"/>
              </w:rPr>
              <w:t>决问题</w:t>
            </w:r>
          </w:p>
        </w:tc>
        <w:tc>
          <w:tcPr>
            <w:tcW w:w="5547" w:type="dxa"/>
            <w:vAlign w:val="top"/>
          </w:tcPr>
          <w:p>
            <w:pPr>
              <w:pStyle w:val="TableText"/>
              <w:ind w:left="123" w:right="268" w:firstLine="129"/>
              <w:spacing w:before="82" w:line="263" w:lineRule="auto"/>
              <w:rPr/>
            </w:pPr>
            <w:r>
              <w:rPr/>
              <w:t>总分100分，考试成绩40分为不及格，可认为孩子这</w:t>
            </w:r>
            <w:r>
              <w:rPr>
                <w:spacing w:val="-1"/>
              </w:rPr>
              <w:t>次没有考好。家长可以从</w:t>
            </w:r>
            <w:r>
              <w:rPr/>
              <w:t xml:space="preserve"> </w:t>
            </w:r>
            <w:r>
              <w:rPr/>
              <w:t>以下3个方面判断：(1)孩子最近的表现是不是厌学，情绪低落，如果是近期厌</w:t>
            </w:r>
          </w:p>
          <w:p>
            <w:pPr>
              <w:pStyle w:val="TableText"/>
              <w:ind w:left="103" w:right="149" w:firstLine="69"/>
              <w:spacing w:before="133" w:line="316" w:lineRule="auto"/>
              <w:rPr/>
            </w:pPr>
            <w:r>
              <w:rPr/>
              <w:t>学或心情不好引起的成绩下滑，要及时调整；(2)是不是考试当天身体不舒服以</w:t>
            </w:r>
            <w:r>
              <w:rPr>
                <w:spacing w:val="17"/>
              </w:rPr>
              <w:t xml:space="preserve"> </w:t>
            </w:r>
            <w:r>
              <w:rPr>
                <w:spacing w:val="1"/>
              </w:rPr>
              <w:t>至于影响考试成绩，如果是这种情况就没必要太担心，毕竟</w:t>
            </w:r>
            <w:r>
              <w:rPr/>
              <w:t>只是一次考试；(3)  </w:t>
            </w:r>
            <w:r>
              <w:rPr>
                <w:spacing w:val="1"/>
              </w:rPr>
              <w:t>孩子以往学习成绩都是在40分左右，如果是这种情况，需要家长和学校都</w:t>
            </w:r>
            <w:r>
              <w:rPr/>
              <w:t>给予高 </w:t>
            </w:r>
            <w:r>
              <w:rPr/>
              <w:t>度重视，及时帮孩子补习，找准学习方法，培养学习兴趣。</w:t>
            </w:r>
          </w:p>
          <w:p>
            <w:pPr>
              <w:pStyle w:val="TableText"/>
              <w:ind w:left="253"/>
              <w:spacing w:before="82" w:line="219" w:lineRule="auto"/>
              <w:rPr/>
            </w:pPr>
            <w:r>
              <w:rPr/>
              <w:t>根据多方面观察和分析，找出孩子数学成绩差的主要原因，并</w:t>
            </w:r>
            <w:r>
              <w:rPr>
                <w:spacing w:val="-1"/>
              </w:rPr>
              <w:t>及时解决问题。</w:t>
            </w:r>
          </w:p>
        </w:tc>
      </w:tr>
    </w:tbl>
    <w:p>
      <w:pPr>
        <w:ind w:left="5" w:right="241" w:firstLine="430"/>
        <w:spacing w:before="212" w:line="265" w:lineRule="auto"/>
        <w:rPr>
          <w:rFonts w:ascii="SimSun" w:hAnsi="SimSun" w:eastAsia="SimSun" w:cs="SimSun"/>
          <w:sz w:val="21"/>
          <w:szCs w:val="21"/>
        </w:rPr>
      </w:pPr>
      <w:r>
        <w:rPr>
          <w:rFonts w:ascii="SimSun" w:hAnsi="SimSun" w:eastAsia="SimSun" w:cs="SimSun"/>
          <w:sz w:val="21"/>
          <w:szCs w:val="21"/>
          <w:spacing w:val="2"/>
        </w:rPr>
        <w:t>通过以上分析可以看出，数据、信息与知识之间既有联系，又有区别。数据是 </w:t>
      </w:r>
      <w:r>
        <w:rPr>
          <w:rFonts w:ascii="SimSun" w:hAnsi="SimSun" w:eastAsia="SimSun" w:cs="SimSun"/>
          <w:sz w:val="21"/>
          <w:szCs w:val="21"/>
          <w:spacing w:val="2"/>
        </w:rPr>
        <w:t>记录下来可以被鉴别的符号。它是最原始的素材，未被加工解释，没有回答特定的</w:t>
      </w:r>
      <w:r>
        <w:rPr>
          <w:rFonts w:ascii="SimSun" w:hAnsi="SimSun" w:eastAsia="SimSun" w:cs="SimSun"/>
          <w:sz w:val="21"/>
          <w:szCs w:val="21"/>
          <w:spacing w:val="13"/>
        </w:rPr>
        <w:t xml:space="preserve"> </w:t>
      </w:r>
      <w:r>
        <w:rPr>
          <w:rFonts w:ascii="SimSun" w:hAnsi="SimSun" w:eastAsia="SimSun" w:cs="SimSun"/>
          <w:sz w:val="21"/>
          <w:szCs w:val="21"/>
          <w:spacing w:val="-2"/>
        </w:rPr>
        <w:t>问题，没有任何意义；信息是已经被处理、具有逻辑关系的数据，是对</w:t>
      </w:r>
      <w:r>
        <w:rPr>
          <w:rFonts w:ascii="SimSun" w:hAnsi="SimSun" w:eastAsia="SimSun" w:cs="SimSun"/>
          <w:sz w:val="21"/>
          <w:szCs w:val="21"/>
          <w:spacing w:val="-3"/>
        </w:rPr>
        <w:t>数据的解释，</w:t>
      </w:r>
      <w:r>
        <w:rPr>
          <w:rFonts w:ascii="SimSun" w:hAnsi="SimSun" w:eastAsia="SimSun" w:cs="SimSun"/>
          <w:sz w:val="21"/>
          <w:szCs w:val="21"/>
        </w:rPr>
        <w:t xml:space="preserve"> </w:t>
      </w:r>
      <w:r>
        <w:rPr>
          <w:rFonts w:ascii="SimSun" w:hAnsi="SimSun" w:eastAsia="SimSun" w:cs="SimSun"/>
          <w:sz w:val="21"/>
          <w:szCs w:val="21"/>
          <w:spacing w:val="1"/>
        </w:rPr>
        <w:t>这种信息对其接收者具有意义。知识是在对信息进行了筛选、综合、分析等过程之 </w:t>
      </w:r>
      <w:r>
        <w:rPr>
          <w:rFonts w:ascii="SimSun" w:hAnsi="SimSun" w:eastAsia="SimSun" w:cs="SimSun"/>
          <w:sz w:val="21"/>
          <w:szCs w:val="21"/>
          <w:spacing w:val="1"/>
        </w:rPr>
        <w:t>后产生的，它不是信息的简单累加，往往还需要加入</w:t>
      </w:r>
      <w:r>
        <w:rPr>
          <w:rFonts w:ascii="SimSun" w:hAnsi="SimSun" w:eastAsia="SimSun" w:cs="SimSun"/>
          <w:sz w:val="21"/>
          <w:szCs w:val="21"/>
        </w:rPr>
        <w:t>基于以往的经验所作的判断。  </w:t>
      </w:r>
      <w:r>
        <w:rPr>
          <w:rFonts w:ascii="SimSun" w:hAnsi="SimSun" w:eastAsia="SimSun" w:cs="SimSun"/>
          <w:sz w:val="21"/>
          <w:szCs w:val="21"/>
          <w:spacing w:val="2"/>
        </w:rPr>
        <w:t>因此，知识可以解决较为复杂的问题，可以回答“如何”的问题，能够积极地指导</w:t>
      </w:r>
      <w:r>
        <w:rPr>
          <w:rFonts w:ascii="SimSun" w:hAnsi="SimSun" w:eastAsia="SimSun" w:cs="SimSun"/>
          <w:sz w:val="21"/>
          <w:szCs w:val="21"/>
          <w:spacing w:val="10"/>
        </w:rPr>
        <w:t xml:space="preserve"> </w:t>
      </w:r>
      <w:r>
        <w:rPr>
          <w:rFonts w:ascii="SimSun" w:hAnsi="SimSun" w:eastAsia="SimSun" w:cs="SimSun"/>
          <w:sz w:val="21"/>
          <w:szCs w:val="21"/>
          <w:spacing w:val="-2"/>
        </w:rPr>
        <w:t>任务的执行和管理，进行决策和解决问题。</w:t>
      </w:r>
    </w:p>
    <w:p>
      <w:pPr>
        <w:ind w:left="5" w:right="237" w:firstLine="430"/>
        <w:spacing w:before="72" w:line="254" w:lineRule="auto"/>
        <w:rPr>
          <w:rFonts w:ascii="SimSun" w:hAnsi="SimSun" w:eastAsia="SimSun" w:cs="SimSun"/>
          <w:sz w:val="21"/>
          <w:szCs w:val="21"/>
        </w:rPr>
      </w:pPr>
      <w:r>
        <w:rPr>
          <w:rFonts w:ascii="SimSun" w:hAnsi="SimSun" w:eastAsia="SimSun" w:cs="SimSun"/>
          <w:sz w:val="21"/>
          <w:szCs w:val="21"/>
          <w:spacing w:val="-2"/>
        </w:rPr>
        <w:t>数据是信息的表现形式和载体，数据和信息</w:t>
      </w:r>
      <w:r>
        <w:rPr>
          <w:rFonts w:ascii="SimSun" w:hAnsi="SimSun" w:eastAsia="SimSun" w:cs="SimSun"/>
          <w:sz w:val="21"/>
          <w:szCs w:val="21"/>
          <w:spacing w:val="-3"/>
        </w:rPr>
        <w:t>是不可分离的，数据是信息的表达，</w:t>
      </w:r>
      <w:r>
        <w:rPr>
          <w:rFonts w:ascii="SimSun" w:hAnsi="SimSun" w:eastAsia="SimSun" w:cs="SimSun"/>
          <w:sz w:val="21"/>
          <w:szCs w:val="21"/>
        </w:rPr>
        <w:t xml:space="preserve"> </w:t>
      </w:r>
      <w:r>
        <w:rPr>
          <w:rFonts w:ascii="SimSun" w:hAnsi="SimSun" w:eastAsia="SimSun" w:cs="SimSun"/>
          <w:sz w:val="21"/>
          <w:szCs w:val="21"/>
          <w:spacing w:val="1"/>
        </w:rPr>
        <w:t>信息是数据的内涵。如果没有数据和信息，知识就难以发挥作用。数据和信息的获 </w:t>
      </w:r>
      <w:r>
        <w:rPr>
          <w:rFonts w:ascii="SimSun" w:hAnsi="SimSun" w:eastAsia="SimSun" w:cs="SimSun"/>
          <w:sz w:val="21"/>
          <w:szCs w:val="21"/>
          <w:spacing w:val="-1"/>
        </w:rPr>
        <w:t>取则相对简单，而只有知识能够帮助解决问题。</w:t>
      </w:r>
    </w:p>
    <w:p>
      <w:pPr>
        <w:ind w:left="5" w:right="266" w:firstLine="430"/>
        <w:spacing w:before="40" w:line="264" w:lineRule="auto"/>
        <w:rPr>
          <w:rFonts w:ascii="SimSun" w:hAnsi="SimSun" w:eastAsia="SimSun" w:cs="SimSun"/>
          <w:sz w:val="21"/>
          <w:szCs w:val="21"/>
        </w:rPr>
      </w:pPr>
      <w:r>
        <w:rPr>
          <w:rFonts w:ascii="SimSun" w:hAnsi="SimSun" w:eastAsia="SimSun" w:cs="SimSun"/>
          <w:sz w:val="21"/>
          <w:szCs w:val="21"/>
          <w:spacing w:val="5"/>
        </w:rPr>
        <w:t>数据信息知识智慧模型</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DIKW</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5"/>
        </w:rPr>
        <w:t>将数据、信息、知识纳入到一种</w:t>
      </w:r>
      <w:r>
        <w:rPr>
          <w:rFonts w:ascii="SimSun" w:hAnsi="SimSun" w:eastAsia="SimSun" w:cs="SimSun"/>
          <w:sz w:val="21"/>
          <w:szCs w:val="21"/>
          <w:spacing w:val="4"/>
        </w:rPr>
        <w:t>金字塔形的</w:t>
      </w:r>
      <w:r>
        <w:rPr>
          <w:rFonts w:ascii="SimSun" w:hAnsi="SimSun" w:eastAsia="SimSun" w:cs="SimSun"/>
          <w:sz w:val="21"/>
          <w:szCs w:val="21"/>
          <w:spacing w:val="1"/>
        </w:rPr>
        <w:t xml:space="preserve"> </w:t>
      </w:r>
      <w:r>
        <w:rPr>
          <w:rFonts w:ascii="SimSun" w:hAnsi="SimSun" w:eastAsia="SimSun" w:cs="SimSun"/>
          <w:sz w:val="21"/>
          <w:szCs w:val="21"/>
          <w:spacing w:val="2"/>
        </w:rPr>
        <w:t>层次体系，每一层比下一层都赋予了一些新的特质。原始观察及</w:t>
      </w:r>
      <w:r>
        <w:rPr>
          <w:rFonts w:ascii="SimSun" w:hAnsi="SimSun" w:eastAsia="SimSun" w:cs="SimSun"/>
          <w:sz w:val="21"/>
          <w:szCs w:val="21"/>
          <w:spacing w:val="1"/>
        </w:rPr>
        <w:t>量度获得了数据，</w:t>
      </w:r>
      <w:r>
        <w:rPr>
          <w:rFonts w:ascii="SimSun" w:hAnsi="SimSun" w:eastAsia="SimSun" w:cs="SimSun"/>
          <w:sz w:val="21"/>
          <w:szCs w:val="21"/>
        </w:rPr>
        <w:t xml:space="preserve"> </w:t>
      </w:r>
      <w:r>
        <w:rPr>
          <w:rFonts w:ascii="SimSun" w:hAnsi="SimSun" w:eastAsia="SimSun" w:cs="SimSun"/>
          <w:sz w:val="21"/>
          <w:szCs w:val="21"/>
          <w:spacing w:val="-1"/>
        </w:rPr>
        <w:t>分析数据间的关系获得了信息。在行动上应用信息产生了知识3]。图</w:t>
      </w:r>
      <w:r>
        <w:rPr>
          <w:rFonts w:ascii="SimSun" w:hAnsi="SimSun" w:eastAsia="SimSun" w:cs="SimSun"/>
          <w:sz w:val="21"/>
          <w:szCs w:val="21"/>
          <w:spacing w:val="-2"/>
        </w:rPr>
        <w:t>1-1所示的是数</w:t>
      </w:r>
      <w:r>
        <w:rPr>
          <w:rFonts w:ascii="SimSun" w:hAnsi="SimSun" w:eastAsia="SimSun" w:cs="SimSun"/>
          <w:sz w:val="21"/>
          <w:szCs w:val="21"/>
        </w:rPr>
        <w:t xml:space="preserve"> </w:t>
      </w:r>
      <w:r>
        <w:rPr>
          <w:rFonts w:ascii="SimSun" w:hAnsi="SimSun" w:eastAsia="SimSun" w:cs="SimSun"/>
          <w:sz w:val="21"/>
          <w:szCs w:val="21"/>
          <w:spacing w:val="-3"/>
        </w:rPr>
        <w:t>据、信息和知识之间的关系。</w:t>
      </w:r>
    </w:p>
    <w:p>
      <w:pPr>
        <w:spacing w:line="264" w:lineRule="auto"/>
        <w:sectPr>
          <w:footerReference w:type="default" r:id="rId19"/>
          <w:pgSz w:w="8870" w:h="13400"/>
          <w:pgMar w:top="400" w:right="337" w:bottom="577" w:left="594" w:header="0" w:footer="369" w:gutter="0"/>
        </w:sectPr>
        <w:rPr>
          <w:rFonts w:ascii="SimSun" w:hAnsi="SimSun" w:eastAsia="SimSun" w:cs="SimSun"/>
          <w:sz w:val="21"/>
          <w:szCs w:val="21"/>
        </w:rPr>
      </w:pPr>
    </w:p>
    <w:p>
      <w:pPr>
        <w:ind w:left="102"/>
        <w:spacing w:before="225" w:line="219" w:lineRule="auto"/>
        <w:rPr>
          <w:rFonts w:ascii="SimSun" w:hAnsi="SimSun" w:eastAsia="SimSun" w:cs="SimSun"/>
          <w:sz w:val="21"/>
          <w:szCs w:val="21"/>
        </w:rPr>
      </w:pPr>
      <w:r>
        <w:drawing>
          <wp:anchor distT="0" distB="0" distL="0" distR="0" simplePos="0" relativeHeight="251675648" behindDoc="0" locked="0" layoutInCell="0" allowOverlap="1">
            <wp:simplePos x="0" y="0"/>
            <wp:positionH relativeFrom="page">
              <wp:posOffset>266696</wp:posOffset>
            </wp:positionH>
            <wp:positionV relativeFrom="page">
              <wp:posOffset>342912</wp:posOffset>
            </wp:positionV>
            <wp:extent cx="6365" cy="222255"/>
            <wp:effectExtent l="0" t="0" r="0" b="0"/>
            <wp:wrapNone/>
            <wp:docPr id="16" name="IM 16"/>
            <wp:cNvGraphicFramePr/>
            <a:graphic>
              <a:graphicData uri="http://schemas.openxmlformats.org/drawingml/2006/picture">
                <pic:pic>
                  <pic:nvPicPr>
                    <pic:cNvPr id="16" name="IM 16"/>
                    <pic:cNvPicPr/>
                  </pic:nvPicPr>
                  <pic:blipFill>
                    <a:blip r:embed="rId20"/>
                    <a:stretch>
                      <a:fillRect/>
                    </a:stretch>
                  </pic:blipFill>
                  <pic:spPr>
                    <a:xfrm rot="0">
                      <a:off x="0" y="0"/>
                      <a:ext cx="6365" cy="222255"/>
                    </a:xfrm>
                    <a:prstGeom prst="rect">
                      <a:avLst/>
                    </a:prstGeom>
                  </pic:spPr>
                </pic:pic>
              </a:graphicData>
            </a:graphic>
          </wp:anchor>
        </w:drawing>
      </w:r>
      <w:r>
        <w:rPr>
          <w:rFonts w:ascii="SimSun" w:hAnsi="SimSun" w:eastAsia="SimSun" w:cs="SimSun"/>
          <w:sz w:val="21"/>
          <w:szCs w:val="21"/>
          <w:b/>
          <w:bCs/>
          <w:spacing w:val="-6"/>
        </w:rPr>
        <w:t>■云端数据治理</w:t>
      </w:r>
    </w:p>
    <w:p>
      <w:pPr>
        <w:pStyle w:val="BodyText"/>
        <w:spacing w:line="342" w:lineRule="auto"/>
        <w:rPr/>
      </w:pPr>
      <w:r/>
    </w:p>
    <w:p>
      <w:pPr>
        <w:ind w:firstLine="1710"/>
        <w:spacing w:line="3341" w:lineRule="exact"/>
        <w:rPr/>
      </w:pPr>
      <w:r>
        <w:rPr>
          <w:position w:val="-66"/>
        </w:rPr>
        <w:drawing>
          <wp:inline distT="0" distB="0" distL="0" distR="0">
            <wp:extent cx="3098748" cy="2120953"/>
            <wp:effectExtent l="0" t="0" r="0" b="0"/>
            <wp:docPr id="18" name="IM 18"/>
            <wp:cNvGraphicFramePr/>
            <a:graphic>
              <a:graphicData uri="http://schemas.openxmlformats.org/drawingml/2006/picture">
                <pic:pic>
                  <pic:nvPicPr>
                    <pic:cNvPr id="18" name="IM 18"/>
                    <pic:cNvPicPr/>
                  </pic:nvPicPr>
                  <pic:blipFill>
                    <a:blip r:embed="rId21"/>
                    <a:stretch>
                      <a:fillRect/>
                    </a:stretch>
                  </pic:blipFill>
                  <pic:spPr>
                    <a:xfrm rot="0">
                      <a:off x="0" y="0"/>
                      <a:ext cx="3098748" cy="2120953"/>
                    </a:xfrm>
                    <a:prstGeom prst="rect">
                      <a:avLst/>
                    </a:prstGeom>
                  </pic:spPr>
                </pic:pic>
              </a:graphicData>
            </a:graphic>
          </wp:inline>
        </w:drawing>
      </w:r>
    </w:p>
    <w:p>
      <w:pPr>
        <w:ind w:left="2489"/>
        <w:spacing w:before="108" w:line="222" w:lineRule="auto"/>
        <w:rPr>
          <w:rFonts w:ascii="SimHei" w:hAnsi="SimHei" w:eastAsia="SimHei" w:cs="SimHei"/>
          <w:sz w:val="21"/>
          <w:szCs w:val="21"/>
        </w:rPr>
      </w:pPr>
      <w:r>
        <w:rPr>
          <w:rFonts w:ascii="SimHei" w:hAnsi="SimHei" w:eastAsia="SimHei" w:cs="SimHei"/>
          <w:sz w:val="21"/>
          <w:szCs w:val="21"/>
          <w:spacing w:val="-24"/>
        </w:rPr>
        <w:t>图1-1</w:t>
      </w:r>
      <w:r>
        <w:rPr>
          <w:rFonts w:ascii="SimHei" w:hAnsi="SimHei" w:eastAsia="SimHei" w:cs="SimHei"/>
          <w:sz w:val="21"/>
          <w:szCs w:val="21"/>
          <w:spacing w:val="74"/>
        </w:rPr>
        <w:t xml:space="preserve"> </w:t>
      </w:r>
      <w:r>
        <w:rPr>
          <w:rFonts w:ascii="SimHei" w:hAnsi="SimHei" w:eastAsia="SimHei" w:cs="SimHei"/>
          <w:sz w:val="21"/>
          <w:szCs w:val="21"/>
          <w:spacing w:val="-24"/>
        </w:rPr>
        <w:t>数据、信息和知识之间的关系</w:t>
      </w:r>
    </w:p>
    <w:p>
      <w:pPr>
        <w:ind w:left="104"/>
        <w:spacing w:before="283" w:line="221" w:lineRule="auto"/>
        <w:outlineLvl w:val="0"/>
        <w:rPr>
          <w:rFonts w:ascii="YouYuan" w:hAnsi="YouYuan" w:eastAsia="YouYuan" w:cs="YouYuan"/>
          <w:sz w:val="29"/>
          <w:szCs w:val="29"/>
        </w:rPr>
      </w:pPr>
      <w:r>
        <w:rPr>
          <w:rFonts w:ascii="YouYuan" w:hAnsi="YouYuan" w:eastAsia="YouYuan" w:cs="YouYuan"/>
          <w:sz w:val="29"/>
          <w:szCs w:val="29"/>
          <w:b/>
          <w:bCs/>
          <w:spacing w:val="-12"/>
        </w:rPr>
        <w:t>1.1.2</w:t>
      </w:r>
      <w:r>
        <w:rPr>
          <w:rFonts w:ascii="YouYuan" w:hAnsi="YouYuan" w:eastAsia="YouYuan" w:cs="YouYuan"/>
          <w:sz w:val="29"/>
          <w:szCs w:val="29"/>
          <w:spacing w:val="133"/>
        </w:rPr>
        <w:t xml:space="preserve"> </w:t>
      </w:r>
      <w:r>
        <w:rPr>
          <w:rFonts w:ascii="YouYuan" w:hAnsi="YouYuan" w:eastAsia="YouYuan" w:cs="YouYuan"/>
          <w:sz w:val="29"/>
          <w:szCs w:val="29"/>
          <w:b/>
          <w:bCs/>
          <w:spacing w:val="-12"/>
        </w:rPr>
        <w:t>数据治理的定义</w:t>
      </w:r>
    </w:p>
    <w:p>
      <w:pPr>
        <w:pStyle w:val="BodyText"/>
        <w:spacing w:line="265" w:lineRule="auto"/>
        <w:rPr/>
      </w:pPr>
      <w:r/>
    </w:p>
    <w:p>
      <w:pPr>
        <w:ind w:left="99" w:right="26" w:firstLine="480"/>
        <w:spacing w:before="68" w:line="269" w:lineRule="auto"/>
        <w:jc w:val="both"/>
        <w:rPr>
          <w:rFonts w:ascii="SimSun" w:hAnsi="SimSun" w:eastAsia="SimSun" w:cs="SimSun"/>
          <w:sz w:val="21"/>
          <w:szCs w:val="21"/>
        </w:rPr>
      </w:pPr>
      <w:r>
        <w:rPr>
          <w:rFonts w:ascii="SimSun" w:hAnsi="SimSun" w:eastAsia="SimSun" w:cs="SimSun"/>
          <w:sz w:val="21"/>
          <w:szCs w:val="21"/>
          <w:spacing w:val="-5"/>
        </w:rPr>
        <w:t>随着以移动互联网、物联网、社交网络为代表的新型信息发布方式的不断涌现，</w:t>
      </w:r>
      <w:r>
        <w:rPr>
          <w:rFonts w:ascii="SimSun" w:hAnsi="SimSun" w:eastAsia="SimSun" w:cs="SimSun"/>
          <w:sz w:val="21"/>
          <w:szCs w:val="21"/>
        </w:rPr>
        <w:t xml:space="preserve"> </w:t>
      </w:r>
      <w:r>
        <w:rPr>
          <w:rFonts w:ascii="SimSun" w:hAnsi="SimSun" w:eastAsia="SimSun" w:cs="SimSun"/>
          <w:sz w:val="21"/>
          <w:szCs w:val="21"/>
          <w:spacing w:val="-4"/>
        </w:rPr>
        <w:t>数据规模不断增长，非结构化的数据所占比重将越</w:t>
      </w:r>
      <w:r>
        <w:rPr>
          <w:rFonts w:ascii="SimSun" w:hAnsi="SimSun" w:eastAsia="SimSun" w:cs="SimSun"/>
          <w:sz w:val="21"/>
          <w:szCs w:val="21"/>
          <w:spacing w:val="-5"/>
        </w:rPr>
        <w:t>来越高，有价值的数据密度会越来</w:t>
      </w:r>
      <w:r>
        <w:rPr>
          <w:rFonts w:ascii="SimSun" w:hAnsi="SimSun" w:eastAsia="SimSun" w:cs="SimSun"/>
          <w:sz w:val="21"/>
          <w:szCs w:val="21"/>
        </w:rPr>
        <w:t xml:space="preserve"> </w:t>
      </w:r>
      <w:r>
        <w:rPr>
          <w:rFonts w:ascii="SimSun" w:hAnsi="SimSun" w:eastAsia="SimSun" w:cs="SimSun"/>
          <w:sz w:val="21"/>
          <w:szCs w:val="21"/>
          <w:spacing w:val="-4"/>
        </w:rPr>
        <w:t>越低。应用信息系统建设发展到一定阶段，数据资源将成为</w:t>
      </w:r>
      <w:r>
        <w:rPr>
          <w:rFonts w:ascii="SimSun" w:hAnsi="SimSun" w:eastAsia="SimSun" w:cs="SimSun"/>
          <w:sz w:val="21"/>
          <w:szCs w:val="21"/>
          <w:spacing w:val="-5"/>
        </w:rPr>
        <w:t>战略资产，而有效的数据</w:t>
      </w:r>
      <w:r>
        <w:rPr>
          <w:rFonts w:ascii="SimSun" w:hAnsi="SimSun" w:eastAsia="SimSun" w:cs="SimSun"/>
          <w:sz w:val="21"/>
          <w:szCs w:val="21"/>
        </w:rPr>
        <w:t xml:space="preserve"> </w:t>
      </w:r>
      <w:r>
        <w:rPr>
          <w:rFonts w:ascii="SimSun" w:hAnsi="SimSun" w:eastAsia="SimSun" w:cs="SimSun"/>
          <w:sz w:val="21"/>
          <w:szCs w:val="21"/>
          <w:spacing w:val="-4"/>
        </w:rPr>
        <w:t>治理才是数据资产形成的必要条件。由于侧重点和切入视角</w:t>
      </w:r>
      <w:r>
        <w:rPr>
          <w:rFonts w:ascii="SimSun" w:hAnsi="SimSun" w:eastAsia="SimSun" w:cs="SimSun"/>
          <w:sz w:val="21"/>
          <w:szCs w:val="21"/>
          <w:spacing w:val="-5"/>
        </w:rPr>
        <w:t>的不同，目前业界对数据</w:t>
      </w:r>
      <w:r>
        <w:rPr>
          <w:rFonts w:ascii="SimSun" w:hAnsi="SimSun" w:eastAsia="SimSun" w:cs="SimSun"/>
          <w:sz w:val="21"/>
          <w:szCs w:val="21"/>
        </w:rPr>
        <w:t xml:space="preserve"> </w:t>
      </w:r>
      <w:r>
        <w:rPr>
          <w:rFonts w:ascii="SimSun" w:hAnsi="SimSun" w:eastAsia="SimSun" w:cs="SimSun"/>
          <w:sz w:val="21"/>
          <w:szCs w:val="21"/>
          <w:spacing w:val="-1"/>
        </w:rPr>
        <w:t>治理的定义尚未形成统一的标准。下面主要介绍6</w:t>
      </w:r>
      <w:r>
        <w:rPr>
          <w:rFonts w:ascii="SimSun" w:hAnsi="SimSun" w:eastAsia="SimSun" w:cs="SimSun"/>
          <w:sz w:val="21"/>
          <w:szCs w:val="21"/>
          <w:spacing w:val="-2"/>
        </w:rPr>
        <w:t>个典型数据治理的定义。</w:t>
      </w:r>
    </w:p>
    <w:p>
      <w:pPr>
        <w:ind w:left="583"/>
        <w:spacing w:before="192" w:line="221" w:lineRule="auto"/>
        <w:outlineLvl w:val="1"/>
        <w:rPr>
          <w:rFonts w:ascii="YouYuan" w:hAnsi="YouYuan" w:eastAsia="YouYuan" w:cs="YouYuan"/>
          <w:sz w:val="21"/>
          <w:szCs w:val="21"/>
        </w:rPr>
      </w:pPr>
      <w:r>
        <w:rPr>
          <w:rFonts w:ascii="SimSun" w:hAnsi="SimSun" w:eastAsia="SimSun" w:cs="SimSun"/>
          <w:sz w:val="21"/>
          <w:szCs w:val="21"/>
          <w:b/>
          <w:bCs/>
          <w:spacing w:val="2"/>
        </w:rPr>
        <w:t>1.</w:t>
      </w:r>
      <w:r>
        <w:rPr>
          <w:rFonts w:ascii="SimSun" w:hAnsi="SimSun" w:eastAsia="SimSun" w:cs="SimSun"/>
          <w:sz w:val="21"/>
          <w:szCs w:val="21"/>
          <w:b/>
          <w:bCs/>
        </w:rPr>
        <w:t>ITSS</w:t>
      </w:r>
      <w:r>
        <w:rPr>
          <w:rFonts w:ascii="SimSun" w:hAnsi="SimSun" w:eastAsia="SimSun" w:cs="SimSun"/>
          <w:sz w:val="21"/>
          <w:szCs w:val="21"/>
          <w:spacing w:val="2"/>
        </w:rPr>
        <w:t xml:space="preserve">   </w:t>
      </w:r>
      <w:r>
        <w:rPr>
          <w:rFonts w:ascii="YouYuan" w:hAnsi="YouYuan" w:eastAsia="YouYuan" w:cs="YouYuan"/>
          <w:sz w:val="21"/>
          <w:szCs w:val="21"/>
          <w:b/>
          <w:bCs/>
          <w:spacing w:val="2"/>
        </w:rPr>
        <w:t>给出的数据治理的定义</w:t>
      </w:r>
    </w:p>
    <w:p>
      <w:pPr>
        <w:ind w:left="99" w:right="3" w:firstLine="480"/>
        <w:spacing w:before="236" w:line="255" w:lineRule="auto"/>
        <w:rPr>
          <w:rFonts w:ascii="SimSun" w:hAnsi="SimSun" w:eastAsia="SimSun" w:cs="SimSun"/>
          <w:sz w:val="21"/>
          <w:szCs w:val="21"/>
        </w:rPr>
      </w:pPr>
      <w:r>
        <w:rPr>
          <w:rFonts w:ascii="Times New Roman" w:hAnsi="Times New Roman" w:eastAsia="Times New Roman" w:cs="Times New Roman"/>
          <w:sz w:val="21"/>
          <w:szCs w:val="21"/>
          <w:spacing w:val="-1"/>
        </w:rPr>
        <w:t>ITSS</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(中国电子工业标准化技术协会信息技术服务分会)指出，数据是资产，通</w:t>
      </w:r>
      <w:r>
        <w:rPr>
          <w:rFonts w:ascii="SimSun" w:hAnsi="SimSun" w:eastAsia="SimSun" w:cs="SimSun"/>
          <w:sz w:val="21"/>
          <w:szCs w:val="21"/>
        </w:rPr>
        <w:t xml:space="preserve"> </w:t>
      </w:r>
      <w:r>
        <w:rPr>
          <w:rFonts w:ascii="SimSun" w:hAnsi="SimSun" w:eastAsia="SimSun" w:cs="SimSun"/>
          <w:sz w:val="21"/>
          <w:szCs w:val="21"/>
          <w:spacing w:val="-4"/>
        </w:rPr>
        <w:t>过服务产生价值，数据治理是在数据产生价值的过程中治理团队对</w:t>
      </w:r>
      <w:r>
        <w:rPr>
          <w:rFonts w:ascii="SimSun" w:hAnsi="SimSun" w:eastAsia="SimSun" w:cs="SimSun"/>
          <w:sz w:val="21"/>
          <w:szCs w:val="21"/>
          <w:spacing w:val="-5"/>
        </w:rPr>
        <w:t>其的评价、指导、</w:t>
      </w:r>
      <w:r>
        <w:rPr>
          <w:rFonts w:ascii="SimSun" w:hAnsi="SimSun" w:eastAsia="SimSun" w:cs="SimSun"/>
          <w:sz w:val="21"/>
          <w:szCs w:val="21"/>
        </w:rPr>
        <w:t xml:space="preserve"> </w:t>
      </w:r>
      <w:r>
        <w:rPr>
          <w:rFonts w:ascii="SimSun" w:hAnsi="SimSun" w:eastAsia="SimSun" w:cs="SimSun"/>
          <w:sz w:val="21"/>
          <w:szCs w:val="21"/>
        </w:rPr>
        <w:t>控制，是数据治理的最基本概念。</w:t>
      </w:r>
      <w:r>
        <w:rPr>
          <w:rFonts w:ascii="Times New Roman" w:hAnsi="Times New Roman" w:eastAsia="Times New Roman" w:cs="Times New Roman"/>
          <w:sz w:val="21"/>
          <w:szCs w:val="21"/>
        </w:rPr>
        <w:t>ITSS </w:t>
      </w:r>
      <w:r>
        <w:rPr>
          <w:rFonts w:ascii="SimSun" w:hAnsi="SimSun" w:eastAsia="SimSun" w:cs="SimSun"/>
          <w:sz w:val="21"/>
          <w:szCs w:val="21"/>
        </w:rPr>
        <w:t>认为数据治理应包含以下3个方面内容4。</w:t>
      </w:r>
    </w:p>
    <w:p>
      <w:pPr>
        <w:ind w:left="99" w:right="3" w:firstLine="480"/>
        <w:spacing w:before="61" w:line="255" w:lineRule="auto"/>
        <w:rPr>
          <w:rFonts w:ascii="SimSun" w:hAnsi="SimSun" w:eastAsia="SimSun" w:cs="SimSun"/>
          <w:sz w:val="21"/>
          <w:szCs w:val="21"/>
        </w:rPr>
      </w:pPr>
      <w:r>
        <w:rPr>
          <w:rFonts w:ascii="SimSun" w:hAnsi="SimSun" w:eastAsia="SimSun" w:cs="SimSun"/>
          <w:sz w:val="21"/>
          <w:szCs w:val="21"/>
          <w:spacing w:val="5"/>
        </w:rPr>
        <w:t>(1)确保信息利益相关者的需要评估，以达成</w:t>
      </w:r>
      <w:r>
        <w:rPr>
          <w:rFonts w:ascii="SimSun" w:hAnsi="SimSun" w:eastAsia="SimSun" w:cs="SimSun"/>
          <w:sz w:val="21"/>
          <w:szCs w:val="21"/>
          <w:spacing w:val="4"/>
        </w:rPr>
        <w:t>一致的企业目标，这些企业目标</w:t>
      </w:r>
      <w:r>
        <w:rPr>
          <w:rFonts w:ascii="SimSun" w:hAnsi="SimSun" w:eastAsia="SimSun" w:cs="SimSun"/>
          <w:sz w:val="21"/>
          <w:szCs w:val="21"/>
        </w:rPr>
        <w:t xml:space="preserve"> </w:t>
      </w:r>
      <w:r>
        <w:rPr>
          <w:rFonts w:ascii="SimSun" w:hAnsi="SimSun" w:eastAsia="SimSun" w:cs="SimSun"/>
          <w:sz w:val="21"/>
          <w:szCs w:val="21"/>
          <w:spacing w:val="-3"/>
        </w:rPr>
        <w:t>需要通过对信息资源的获取和管理实现；</w:t>
      </w:r>
    </w:p>
    <w:p>
      <w:pPr>
        <w:ind w:left="580"/>
        <w:spacing w:before="50" w:line="219" w:lineRule="auto"/>
        <w:rPr>
          <w:rFonts w:ascii="SimSun" w:hAnsi="SimSun" w:eastAsia="SimSun" w:cs="SimSun"/>
          <w:sz w:val="21"/>
          <w:szCs w:val="21"/>
        </w:rPr>
      </w:pPr>
      <w:r>
        <w:rPr>
          <w:rFonts w:ascii="SimSun" w:hAnsi="SimSun" w:eastAsia="SimSun" w:cs="SimSun"/>
          <w:sz w:val="21"/>
          <w:szCs w:val="21"/>
          <w:spacing w:val="2"/>
        </w:rPr>
        <w:t>(2)确保有效助力业务的决策机制和方向；</w:t>
      </w:r>
    </w:p>
    <w:p>
      <w:pPr>
        <w:ind w:left="580"/>
        <w:spacing w:before="63" w:line="220" w:lineRule="auto"/>
        <w:rPr>
          <w:rFonts w:ascii="SimSun" w:hAnsi="SimSun" w:eastAsia="SimSun" w:cs="SimSun"/>
          <w:sz w:val="21"/>
          <w:szCs w:val="21"/>
        </w:rPr>
      </w:pPr>
      <w:r>
        <w:rPr>
          <w:rFonts w:ascii="SimSun" w:hAnsi="SimSun" w:eastAsia="SimSun" w:cs="SimSun"/>
          <w:sz w:val="21"/>
          <w:szCs w:val="21"/>
          <w:spacing w:val="3"/>
        </w:rPr>
        <w:t>(3)确保绩效和合规进行监督。</w:t>
      </w:r>
    </w:p>
    <w:p>
      <w:pPr>
        <w:ind w:left="99" w:firstLine="480"/>
        <w:spacing w:before="48" w:line="265" w:lineRule="auto"/>
        <w:rPr>
          <w:rFonts w:ascii="SimSun" w:hAnsi="SimSun" w:eastAsia="SimSun" w:cs="SimSun"/>
          <w:sz w:val="21"/>
          <w:szCs w:val="21"/>
        </w:rPr>
      </w:pPr>
      <w:r>
        <w:rPr>
          <w:rFonts w:ascii="Times New Roman" w:hAnsi="Times New Roman" w:eastAsia="Times New Roman" w:cs="Times New Roman"/>
          <w:sz w:val="21"/>
          <w:szCs w:val="21"/>
        </w:rPr>
        <w:t>ITSS </w:t>
      </w:r>
      <w:r>
        <w:rPr>
          <w:rFonts w:ascii="SimSun" w:hAnsi="SimSun" w:eastAsia="SimSun" w:cs="SimSun"/>
          <w:sz w:val="21"/>
          <w:szCs w:val="21"/>
        </w:rPr>
        <w:t>认为数据治理是一种体系，是一个关注于信息系统执行层面的体</w:t>
      </w:r>
      <w:r>
        <w:rPr>
          <w:rFonts w:ascii="SimSun" w:hAnsi="SimSun" w:eastAsia="SimSun" w:cs="SimSun"/>
          <w:sz w:val="21"/>
          <w:szCs w:val="21"/>
          <w:spacing w:val="-1"/>
        </w:rPr>
        <w:t>系。这一</w:t>
      </w:r>
      <w:r>
        <w:rPr>
          <w:rFonts w:ascii="SimSun" w:hAnsi="SimSun" w:eastAsia="SimSun" w:cs="SimSun"/>
          <w:sz w:val="21"/>
          <w:szCs w:val="21"/>
        </w:rPr>
        <w:t xml:space="preserve"> </w:t>
      </w:r>
      <w:r>
        <w:rPr>
          <w:rFonts w:ascii="SimSun" w:hAnsi="SimSun" w:eastAsia="SimSun" w:cs="SimSun"/>
          <w:sz w:val="21"/>
          <w:szCs w:val="21"/>
        </w:rPr>
        <w:t>体系的目的是整合IT</w:t>
      </w:r>
      <w:r>
        <w:rPr>
          <w:rFonts w:ascii="SimSun" w:hAnsi="SimSun" w:eastAsia="SimSun" w:cs="SimSun"/>
          <w:sz w:val="21"/>
          <w:szCs w:val="21"/>
          <w:spacing w:val="-45"/>
        </w:rPr>
        <w:t xml:space="preserve"> </w:t>
      </w:r>
      <w:r>
        <w:rPr>
          <w:rFonts w:ascii="SimSun" w:hAnsi="SimSun" w:eastAsia="SimSun" w:cs="SimSun"/>
          <w:sz w:val="21"/>
          <w:szCs w:val="21"/>
        </w:rPr>
        <w:t>部门与业务部门的知识和意见，通过一个类似于监督委员</w:t>
      </w:r>
      <w:r>
        <w:rPr>
          <w:rFonts w:ascii="SimSun" w:hAnsi="SimSun" w:eastAsia="SimSun" w:cs="SimSun"/>
          <w:sz w:val="21"/>
          <w:szCs w:val="21"/>
          <w:spacing w:val="-1"/>
        </w:rPr>
        <w:t>会或</w:t>
      </w:r>
      <w:r>
        <w:rPr>
          <w:rFonts w:ascii="SimSun" w:hAnsi="SimSun" w:eastAsia="SimSun" w:cs="SimSun"/>
          <w:sz w:val="21"/>
          <w:szCs w:val="21"/>
        </w:rPr>
        <w:t xml:space="preserve"> </w:t>
      </w:r>
      <w:r>
        <w:rPr>
          <w:rFonts w:ascii="SimSun" w:hAnsi="SimSun" w:eastAsia="SimSun" w:cs="SimSun"/>
          <w:sz w:val="21"/>
          <w:szCs w:val="21"/>
          <w:spacing w:val="2"/>
        </w:rPr>
        <w:t>项目小组的虚拟组织对企业的信息化建设进行全方位的监管，这一组织</w:t>
      </w:r>
      <w:r>
        <w:rPr>
          <w:rFonts w:ascii="SimSun" w:hAnsi="SimSun" w:eastAsia="SimSun" w:cs="SimSun"/>
          <w:sz w:val="21"/>
          <w:szCs w:val="21"/>
          <w:spacing w:val="1"/>
        </w:rPr>
        <w:t>的基础是企</w:t>
      </w:r>
      <w:r>
        <w:rPr>
          <w:rFonts w:ascii="SimSun" w:hAnsi="SimSun" w:eastAsia="SimSun" w:cs="SimSun"/>
          <w:sz w:val="21"/>
          <w:szCs w:val="21"/>
        </w:rPr>
        <w:t xml:space="preserve"> </w:t>
      </w:r>
      <w:r>
        <w:rPr>
          <w:rFonts w:ascii="SimSun" w:hAnsi="SimSun" w:eastAsia="SimSun" w:cs="SimSun"/>
          <w:sz w:val="21"/>
          <w:szCs w:val="21"/>
          <w:spacing w:val="-1"/>
        </w:rPr>
        <w:t>业高层的授权和业务部门与</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部门的建设性合作。从范围来讲，数据治理涵盖了从 </w:t>
      </w:r>
      <w:r>
        <w:rPr>
          <w:rFonts w:ascii="SimSun" w:hAnsi="SimSun" w:eastAsia="SimSun" w:cs="SimSun"/>
          <w:sz w:val="21"/>
          <w:szCs w:val="21"/>
          <w:spacing w:val="1"/>
        </w:rPr>
        <w:t>前端事务处理系统、后端业务数据库到终端的数据分析，从源头到终端</w:t>
      </w:r>
      <w:r>
        <w:rPr>
          <w:rFonts w:ascii="SimSun" w:hAnsi="SimSun" w:eastAsia="SimSun" w:cs="SimSun"/>
          <w:sz w:val="21"/>
          <w:szCs w:val="21"/>
        </w:rPr>
        <w:t>再回到源头  </w:t>
      </w:r>
      <w:r>
        <w:rPr>
          <w:rFonts w:ascii="SimSun" w:hAnsi="SimSun" w:eastAsia="SimSun" w:cs="SimSun"/>
          <w:sz w:val="21"/>
          <w:szCs w:val="21"/>
          <w:spacing w:val="1"/>
        </w:rPr>
        <w:t>形成一个闭环负反馈系统(控制理论中趋稳的系统)。从目的来讲，数据治理就</w:t>
      </w:r>
      <w:r>
        <w:rPr>
          <w:rFonts w:ascii="SimSun" w:hAnsi="SimSun" w:eastAsia="SimSun" w:cs="SimSun"/>
          <w:sz w:val="21"/>
          <w:szCs w:val="21"/>
        </w:rPr>
        <w:t>是要 </w:t>
      </w:r>
      <w:r>
        <w:rPr>
          <w:rFonts w:ascii="SimSun" w:hAnsi="SimSun" w:eastAsia="SimSun" w:cs="SimSun"/>
          <w:sz w:val="21"/>
          <w:szCs w:val="21"/>
          <w:spacing w:val="4"/>
        </w:rPr>
        <w:t>对数据的获取、处理、使用进行监管(监管就是我们在执行层面对信息系统的负反</w:t>
      </w:r>
    </w:p>
    <w:p>
      <w:pPr>
        <w:spacing w:line="265" w:lineRule="auto"/>
        <w:sectPr>
          <w:footerReference w:type="default" r:id="rId14"/>
          <w:pgSz w:w="8870" w:h="13400"/>
          <w:pgMar w:top="400" w:right="668" w:bottom="400" w:left="419" w:header="0" w:footer="0" w:gutter="0"/>
        </w:sectPr>
        <w:rPr>
          <w:rFonts w:ascii="SimSun" w:hAnsi="SimSun" w:eastAsia="SimSun" w:cs="SimSun"/>
          <w:sz w:val="21"/>
          <w:szCs w:val="21"/>
        </w:rPr>
      </w:pPr>
    </w:p>
    <w:p>
      <w:pPr>
        <w:ind w:left="5502"/>
        <w:spacing w:before="194" w:line="219" w:lineRule="auto"/>
        <w:rPr>
          <w:rFonts w:ascii="SimSun" w:hAnsi="SimSun" w:eastAsia="SimSun" w:cs="SimSun"/>
          <w:sz w:val="21"/>
          <w:szCs w:val="21"/>
        </w:rPr>
      </w:pPr>
      <w:r>
        <w:rPr>
          <w:rFonts w:ascii="SimSun" w:hAnsi="SimSun" w:eastAsia="SimSun" w:cs="SimSun"/>
          <w:sz w:val="21"/>
          <w:szCs w:val="21"/>
          <w:b/>
          <w:bCs/>
          <w:spacing w:val="16"/>
        </w:rPr>
        <w:t>第1章</w:t>
      </w:r>
      <w:r>
        <w:rPr>
          <w:rFonts w:ascii="SimSun" w:hAnsi="SimSun" w:eastAsia="SimSun" w:cs="SimSun"/>
          <w:sz w:val="21"/>
          <w:szCs w:val="21"/>
          <w:spacing w:val="6"/>
        </w:rPr>
        <w:t xml:space="preserve">  </w:t>
      </w:r>
      <w:r>
        <w:rPr>
          <w:rFonts w:ascii="SimSun" w:hAnsi="SimSun" w:eastAsia="SimSun" w:cs="SimSun"/>
          <w:sz w:val="21"/>
          <w:szCs w:val="21"/>
          <w:b/>
          <w:bCs/>
          <w:spacing w:val="16"/>
        </w:rPr>
        <w:t>数据治理概述</w:t>
      </w:r>
    </w:p>
    <w:p>
      <w:pPr>
        <w:pStyle w:val="BodyText"/>
        <w:spacing w:line="242" w:lineRule="auto"/>
        <w:rPr/>
      </w:pPr>
      <w:r/>
    </w:p>
    <w:p>
      <w:pPr>
        <w:ind w:right="257"/>
        <w:spacing w:before="69" w:line="255" w:lineRule="auto"/>
        <w:rPr>
          <w:rFonts w:ascii="SimSun" w:hAnsi="SimSun" w:eastAsia="SimSun" w:cs="SimSun"/>
          <w:sz w:val="21"/>
          <w:szCs w:val="21"/>
        </w:rPr>
      </w:pPr>
      <w:r>
        <w:rPr>
          <w:rFonts w:ascii="SimSun" w:hAnsi="SimSun" w:eastAsia="SimSun" w:cs="SimSun"/>
          <w:sz w:val="21"/>
          <w:szCs w:val="21"/>
          <w:spacing w:val="-2"/>
        </w:rPr>
        <w:t>馈),而监管的职能主要通过五个方面的执行力来保证——发现、监督、控制、沟通、</w:t>
      </w:r>
      <w:r>
        <w:rPr>
          <w:rFonts w:ascii="SimSun" w:hAnsi="SimSun" w:eastAsia="SimSun" w:cs="SimSun"/>
          <w:sz w:val="21"/>
          <w:szCs w:val="21"/>
          <w:spacing w:val="9"/>
        </w:rPr>
        <w:t xml:space="preserve"> </w:t>
      </w:r>
      <w:r>
        <w:rPr>
          <w:rFonts w:ascii="SimSun" w:hAnsi="SimSun" w:eastAsia="SimSun" w:cs="SimSun"/>
          <w:sz w:val="21"/>
          <w:szCs w:val="21"/>
          <w:spacing w:val="-9"/>
        </w:rPr>
        <w:t>整合。</w:t>
      </w:r>
    </w:p>
    <w:p>
      <w:pPr>
        <w:ind w:left="442"/>
        <w:spacing w:before="212" w:line="221" w:lineRule="auto"/>
        <w:outlineLvl w:val="1"/>
        <w:rPr>
          <w:rFonts w:ascii="YouYuan" w:hAnsi="YouYuan" w:eastAsia="YouYuan" w:cs="YouYuan"/>
          <w:sz w:val="21"/>
          <w:szCs w:val="21"/>
        </w:rPr>
      </w:pPr>
      <w:r>
        <w:rPr>
          <w:rFonts w:ascii="SimSun" w:hAnsi="SimSun" w:eastAsia="SimSun" w:cs="SimSun"/>
          <w:sz w:val="21"/>
          <w:szCs w:val="21"/>
          <w:b/>
          <w:bCs/>
          <w:spacing w:val="3"/>
        </w:rPr>
        <w:t>2.</w:t>
      </w:r>
      <w:r>
        <w:rPr>
          <w:rFonts w:ascii="SimSun" w:hAnsi="SimSun" w:eastAsia="SimSun" w:cs="SimSun"/>
          <w:sz w:val="21"/>
          <w:szCs w:val="21"/>
          <w:b/>
          <w:bCs/>
        </w:rPr>
        <w:t>DAMA</w:t>
      </w:r>
      <w:r>
        <w:rPr>
          <w:rFonts w:ascii="SimSun" w:hAnsi="SimSun" w:eastAsia="SimSun" w:cs="SimSun"/>
          <w:sz w:val="21"/>
          <w:szCs w:val="21"/>
          <w:spacing w:val="3"/>
        </w:rPr>
        <w:t xml:space="preserve">    </w:t>
      </w:r>
      <w:r>
        <w:rPr>
          <w:rFonts w:ascii="YouYuan" w:hAnsi="YouYuan" w:eastAsia="YouYuan" w:cs="YouYuan"/>
          <w:sz w:val="21"/>
          <w:szCs w:val="21"/>
          <w:b/>
          <w:bCs/>
          <w:spacing w:val="3"/>
        </w:rPr>
        <w:t>给出的数据治理的定义</w:t>
      </w:r>
    </w:p>
    <w:p>
      <w:pPr>
        <w:ind w:right="292" w:firstLine="439"/>
        <w:spacing w:before="220" w:line="270" w:lineRule="auto"/>
        <w:jc w:val="both"/>
        <w:rPr>
          <w:rFonts w:ascii="SimSun" w:hAnsi="SimSun" w:eastAsia="SimSun" w:cs="SimSun"/>
          <w:sz w:val="21"/>
          <w:szCs w:val="21"/>
        </w:rPr>
      </w:pPr>
      <w:r>
        <w:rPr>
          <w:rFonts w:ascii="Times New Roman" w:hAnsi="Times New Roman" w:eastAsia="Times New Roman" w:cs="Times New Roman"/>
          <w:sz w:val="21"/>
          <w:szCs w:val="21"/>
        </w:rPr>
        <w:t>DAMA</w:t>
      </w:r>
      <w:r>
        <w:rPr>
          <w:rFonts w:ascii="SimSun" w:hAnsi="SimSun" w:eastAsia="SimSun" w:cs="SimSun"/>
          <w:sz w:val="21"/>
          <w:szCs w:val="21"/>
          <w:spacing w:val="5"/>
        </w:rPr>
        <w:t>(国际数据管理协会)在其出版的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DMBOK</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Guide</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Data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Body</w:t>
      </w:r>
      <w:r>
        <w:rPr>
          <w:rFonts w:ascii="Times New Roman" w:hAnsi="Times New Roman" w:eastAsia="Times New Roman" w:cs="Times New Roman"/>
          <w:sz w:val="21"/>
          <w:szCs w:val="21"/>
          <w:spacing w:val="49"/>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Knowledge</w:t>
      </w:r>
      <w:r>
        <w:rPr>
          <w:rFonts w:ascii="Times New Roman" w:hAnsi="Times New Roman" w:eastAsia="Times New Roman" w:cs="Times New Roman"/>
          <w:sz w:val="21"/>
          <w:szCs w:val="21"/>
          <w:spacing w:val="1"/>
        </w:rPr>
        <w:t>)[S1 </w:t>
      </w:r>
      <w:r>
        <w:rPr>
          <w:rFonts w:ascii="SimSun" w:hAnsi="SimSun" w:eastAsia="SimSun" w:cs="SimSun"/>
          <w:sz w:val="21"/>
          <w:szCs w:val="21"/>
          <w:spacing w:val="1"/>
        </w:rPr>
        <w:t>中认为数据管理</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是</w:t>
      </w:r>
      <w:r>
        <w:rPr>
          <w:rFonts w:ascii="SimSun" w:hAnsi="SimSun" w:eastAsia="SimSun" w:cs="SimSun"/>
          <w:sz w:val="21"/>
          <w:szCs w:val="21"/>
        </w:rPr>
        <w:t xml:space="preserve"> </w:t>
      </w:r>
      <w:r>
        <w:rPr>
          <w:rFonts w:ascii="SimSun" w:hAnsi="SimSun" w:eastAsia="SimSun" w:cs="SimSun"/>
          <w:sz w:val="21"/>
          <w:szCs w:val="21"/>
          <w:spacing w:val="1"/>
        </w:rPr>
        <w:t>规划、控制和提供数据及信息资产的一组业务职能，包括开发、执行和监督有关数</w:t>
      </w:r>
      <w:r>
        <w:rPr>
          <w:rFonts w:ascii="SimSun" w:hAnsi="SimSun" w:eastAsia="SimSun" w:cs="SimSun"/>
          <w:sz w:val="21"/>
          <w:szCs w:val="21"/>
          <w:spacing w:val="12"/>
        </w:rPr>
        <w:t xml:space="preserve"> </w:t>
      </w:r>
      <w:r>
        <w:rPr>
          <w:rFonts w:ascii="SimSun" w:hAnsi="SimSun" w:eastAsia="SimSun" w:cs="SimSun"/>
          <w:sz w:val="21"/>
          <w:szCs w:val="21"/>
          <w:spacing w:val="1"/>
        </w:rPr>
        <w:t>据的计划、政策、项目、流程、方法和程序，从而控制、保护、交付和提高数据资</w:t>
      </w:r>
      <w:r>
        <w:rPr>
          <w:rFonts w:ascii="SimSun" w:hAnsi="SimSun" w:eastAsia="SimSun" w:cs="SimSun"/>
          <w:sz w:val="21"/>
          <w:szCs w:val="21"/>
          <w:spacing w:val="18"/>
        </w:rPr>
        <w:t xml:space="preserve"> </w:t>
      </w:r>
      <w:r>
        <w:rPr>
          <w:rFonts w:ascii="SimSun" w:hAnsi="SimSun" w:eastAsia="SimSun" w:cs="SimSun"/>
          <w:sz w:val="21"/>
          <w:szCs w:val="21"/>
          <w:spacing w:val="1"/>
        </w:rPr>
        <w:t>产的价值。该定义突出了数据管理的职能、过程和规范三个关键词。在职能上认为</w:t>
      </w:r>
      <w:r>
        <w:rPr>
          <w:rFonts w:ascii="SimSun" w:hAnsi="SimSun" w:eastAsia="SimSun" w:cs="SimSun"/>
          <w:sz w:val="21"/>
          <w:szCs w:val="21"/>
          <w:spacing w:val="13"/>
        </w:rPr>
        <w:t xml:space="preserve"> </w:t>
      </w:r>
      <w:r>
        <w:rPr>
          <w:rFonts w:ascii="SimSun" w:hAnsi="SimSun" w:eastAsia="SimSun" w:cs="SimSun"/>
          <w:sz w:val="21"/>
          <w:szCs w:val="21"/>
          <w:spacing w:val="1"/>
        </w:rPr>
        <w:t>数据管理是业务数据管理专员和技术数据管理专员共同承担的责任，业务数据管理</w:t>
      </w:r>
      <w:r>
        <w:rPr>
          <w:rFonts w:ascii="SimSun" w:hAnsi="SimSun" w:eastAsia="SimSun" w:cs="SimSun"/>
          <w:sz w:val="21"/>
          <w:szCs w:val="21"/>
          <w:spacing w:val="10"/>
        </w:rPr>
        <w:t xml:space="preserve"> </w:t>
      </w:r>
      <w:r>
        <w:rPr>
          <w:rFonts w:ascii="SimSun" w:hAnsi="SimSun" w:eastAsia="SimSun" w:cs="SimSun"/>
          <w:sz w:val="21"/>
          <w:szCs w:val="21"/>
          <w:spacing w:val="1"/>
        </w:rPr>
        <w:t>专员是企业数据资产的托管人，技术数据管理专员是这些资产的专业管理人和监护</w:t>
      </w:r>
      <w:r>
        <w:rPr>
          <w:rFonts w:ascii="SimSun" w:hAnsi="SimSun" w:eastAsia="SimSun" w:cs="SimSun"/>
          <w:sz w:val="21"/>
          <w:szCs w:val="21"/>
          <w:spacing w:val="18"/>
        </w:rPr>
        <w:t xml:space="preserve"> </w:t>
      </w:r>
      <w:r>
        <w:rPr>
          <w:rFonts w:ascii="SimSun" w:hAnsi="SimSun" w:eastAsia="SimSun" w:cs="SimSun"/>
          <w:sz w:val="21"/>
          <w:szCs w:val="21"/>
        </w:rPr>
        <w:t>人。对数据管理职能治理可以协调</w:t>
      </w:r>
      <w:r>
        <w:rPr>
          <w:rFonts w:ascii="Times New Roman" w:hAnsi="Times New Roman" w:eastAsia="Times New Roman" w:cs="Times New Roman"/>
          <w:sz w:val="21"/>
          <w:szCs w:val="21"/>
        </w:rPr>
        <w:t>IT </w:t>
      </w:r>
      <w:r>
        <w:rPr>
          <w:rFonts w:ascii="SimSun" w:hAnsi="SimSun" w:eastAsia="SimSun" w:cs="SimSun"/>
          <w:sz w:val="21"/>
          <w:szCs w:val="21"/>
        </w:rPr>
        <w:t>和企业之</w:t>
      </w:r>
      <w:r>
        <w:rPr>
          <w:rFonts w:ascii="SimSun" w:hAnsi="SimSun" w:eastAsia="SimSun" w:cs="SimSun"/>
          <w:sz w:val="21"/>
          <w:szCs w:val="21"/>
          <w:spacing w:val="-1"/>
        </w:rPr>
        <w:t>间的协同合作。在过程上，数据管理 </w:t>
      </w:r>
      <w:r>
        <w:rPr>
          <w:rFonts w:ascii="SimSun" w:hAnsi="SimSun" w:eastAsia="SimSun" w:cs="SimSun"/>
          <w:sz w:val="21"/>
          <w:szCs w:val="21"/>
          <w:spacing w:val="1"/>
        </w:rPr>
        <w:t>是数据资产管理的权威性和控制性活动，是在数据管理和使用层面上进行规划、监</w:t>
      </w:r>
      <w:r>
        <w:rPr>
          <w:rFonts w:ascii="SimSun" w:hAnsi="SimSun" w:eastAsia="SimSun" w:cs="SimSun"/>
          <w:sz w:val="21"/>
          <w:szCs w:val="21"/>
          <w:spacing w:val="12"/>
        </w:rPr>
        <w:t xml:space="preserve"> </w:t>
      </w:r>
      <w:r>
        <w:rPr>
          <w:rFonts w:ascii="SimSun" w:hAnsi="SimSun" w:eastAsia="SimSun" w:cs="SimSun"/>
          <w:sz w:val="21"/>
          <w:szCs w:val="21"/>
          <w:spacing w:val="2"/>
        </w:rPr>
        <w:t>管和控制。在规范上，数据管理必须遵守相关的规则和规范，才能确</w:t>
      </w:r>
      <w:r>
        <w:rPr>
          <w:rFonts w:ascii="SimSun" w:hAnsi="SimSun" w:eastAsia="SimSun" w:cs="SimSun"/>
          <w:sz w:val="21"/>
          <w:szCs w:val="21"/>
          <w:spacing w:val="1"/>
        </w:rPr>
        <w:t>保数据管理过</w:t>
      </w:r>
      <w:r>
        <w:rPr>
          <w:rFonts w:ascii="SimSun" w:hAnsi="SimSun" w:eastAsia="SimSun" w:cs="SimSun"/>
          <w:sz w:val="21"/>
          <w:szCs w:val="21"/>
        </w:rPr>
        <w:t xml:space="preserve"> </w:t>
      </w:r>
      <w:r>
        <w:rPr>
          <w:rFonts w:ascii="SimSun" w:hAnsi="SimSun" w:eastAsia="SimSun" w:cs="SimSun"/>
          <w:sz w:val="21"/>
          <w:szCs w:val="21"/>
          <w:spacing w:val="-8"/>
        </w:rPr>
        <w:t>程能够顺利进行。</w:t>
      </w:r>
    </w:p>
    <w:p>
      <w:pPr>
        <w:ind w:left="442"/>
        <w:spacing w:before="189" w:line="221" w:lineRule="auto"/>
        <w:outlineLvl w:val="1"/>
        <w:rPr>
          <w:rFonts w:ascii="YouYuan" w:hAnsi="YouYuan" w:eastAsia="YouYuan" w:cs="YouYuan"/>
          <w:sz w:val="21"/>
          <w:szCs w:val="21"/>
        </w:rPr>
      </w:pPr>
      <w:r>
        <w:rPr>
          <w:rFonts w:ascii="SimSun" w:hAnsi="SimSun" w:eastAsia="SimSun" w:cs="SimSun"/>
          <w:sz w:val="21"/>
          <w:szCs w:val="21"/>
          <w:b/>
          <w:bCs/>
          <w:spacing w:val="1"/>
        </w:rPr>
        <w:t>3.</w:t>
      </w:r>
      <w:r>
        <w:rPr>
          <w:rFonts w:ascii="SimSun" w:hAnsi="SimSun" w:eastAsia="SimSun" w:cs="SimSun"/>
          <w:sz w:val="21"/>
          <w:szCs w:val="21"/>
          <w:b/>
          <w:bCs/>
        </w:rPr>
        <w:t>ISACA</w:t>
      </w:r>
      <w:r>
        <w:rPr>
          <w:rFonts w:ascii="SimSun" w:hAnsi="SimSun" w:eastAsia="SimSun" w:cs="SimSun"/>
          <w:sz w:val="21"/>
          <w:szCs w:val="21"/>
          <w:spacing w:val="22"/>
        </w:rPr>
        <w:t xml:space="preserve">   </w:t>
      </w:r>
      <w:r>
        <w:rPr>
          <w:rFonts w:ascii="YouYuan" w:hAnsi="YouYuan" w:eastAsia="YouYuan" w:cs="YouYuan"/>
          <w:sz w:val="21"/>
          <w:szCs w:val="21"/>
          <w:b/>
          <w:bCs/>
          <w:spacing w:val="1"/>
        </w:rPr>
        <w:t>给出的数据治理的定义</w:t>
      </w:r>
    </w:p>
    <w:p>
      <w:pPr>
        <w:ind w:right="272" w:firstLine="439"/>
        <w:spacing w:before="212" w:line="268" w:lineRule="auto"/>
        <w:jc w:val="both"/>
        <w:rPr>
          <w:rFonts w:ascii="SimSun" w:hAnsi="SimSun" w:eastAsia="SimSun" w:cs="SimSun"/>
          <w:sz w:val="21"/>
          <w:szCs w:val="21"/>
        </w:rPr>
      </w:pPr>
      <w:r>
        <w:rPr>
          <w:rFonts w:ascii="Times New Roman" w:hAnsi="Times New Roman" w:eastAsia="Times New Roman" w:cs="Times New Roman"/>
          <w:sz w:val="21"/>
          <w:szCs w:val="21"/>
        </w:rPr>
        <w:t>ISACA</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(国际信息系统审计协会)在其出版物 </w:t>
      </w:r>
      <w:r>
        <w:rPr>
          <w:rFonts w:ascii="Times New Roman" w:hAnsi="Times New Roman" w:eastAsia="Times New Roman" w:cs="Times New Roman"/>
          <w:sz w:val="21"/>
          <w:szCs w:val="21"/>
        </w:rPr>
        <w:t>COBIT</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Control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Objectives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for </w:t>
      </w:r>
      <w:r>
        <w:rPr>
          <w:rFonts w:ascii="Times New Roman" w:hAnsi="Times New Roman" w:eastAsia="Times New Roman" w:cs="Times New Roman"/>
          <w:sz w:val="21"/>
          <w:szCs w:val="21"/>
          <w:spacing w:val="-1"/>
        </w:rPr>
        <w:t>Information and related Technology)101 </w:t>
      </w:r>
      <w:r>
        <w:rPr>
          <w:rFonts w:ascii="SimSun" w:hAnsi="SimSun" w:eastAsia="SimSun" w:cs="SimSun"/>
          <w:sz w:val="21"/>
          <w:szCs w:val="21"/>
          <w:spacing w:val="-1"/>
        </w:rPr>
        <w:t>中认为数据治理是一个由关系和过程所构成的</w:t>
      </w:r>
      <w:r>
        <w:rPr>
          <w:rFonts w:ascii="SimSun" w:hAnsi="SimSun" w:eastAsia="SimSun" w:cs="SimSun"/>
          <w:sz w:val="21"/>
          <w:szCs w:val="21"/>
          <w:spacing w:val="18"/>
        </w:rPr>
        <w:t xml:space="preserve"> </w:t>
      </w:r>
      <w:r>
        <w:rPr>
          <w:rFonts w:ascii="SimSun" w:hAnsi="SimSun" w:eastAsia="SimSun" w:cs="SimSun"/>
          <w:sz w:val="21"/>
          <w:szCs w:val="21"/>
          <w:spacing w:val="1"/>
        </w:rPr>
        <w:t>体制，用于指导和控制企业，通过平衡信息技术与过程的风险、增加价值来确保实 </w:t>
      </w:r>
      <w:r>
        <w:rPr>
          <w:rFonts w:ascii="SimSun" w:hAnsi="SimSun" w:eastAsia="SimSun" w:cs="SimSun"/>
          <w:sz w:val="21"/>
          <w:szCs w:val="21"/>
          <w:spacing w:val="2"/>
        </w:rPr>
        <w:t>现企业的目标。数据治理通过评估利益相关者的需求、条件和选择以达成平衡一致</w:t>
      </w:r>
      <w:r>
        <w:rPr>
          <w:rFonts w:ascii="SimSun" w:hAnsi="SimSun" w:eastAsia="SimSun" w:cs="SimSun"/>
          <w:sz w:val="21"/>
          <w:szCs w:val="21"/>
          <w:spacing w:val="15"/>
        </w:rPr>
        <w:t xml:space="preserve"> </w:t>
      </w:r>
      <w:r>
        <w:rPr>
          <w:rFonts w:ascii="SimSun" w:hAnsi="SimSun" w:eastAsia="SimSun" w:cs="SimSun"/>
          <w:sz w:val="21"/>
          <w:szCs w:val="21"/>
          <w:spacing w:val="1"/>
        </w:rPr>
        <w:t>的企业目标，通过优先排序和决策机制来设定方向，再根据方向和目标来监测绩效 </w:t>
      </w:r>
      <w:r>
        <w:rPr>
          <w:rFonts w:ascii="SimSun" w:hAnsi="SimSun" w:eastAsia="SimSun" w:cs="SimSun"/>
          <w:sz w:val="21"/>
          <w:szCs w:val="21"/>
          <w:spacing w:val="-8"/>
        </w:rPr>
        <w:t>和合规性问题。</w:t>
      </w:r>
    </w:p>
    <w:p>
      <w:pPr>
        <w:ind w:right="350" w:firstLine="439"/>
        <w:spacing w:before="88" w:line="259" w:lineRule="auto"/>
        <w:jc w:val="both"/>
        <w:rPr>
          <w:rFonts w:ascii="SimSun" w:hAnsi="SimSun" w:eastAsia="SimSun" w:cs="SimSun"/>
          <w:sz w:val="21"/>
          <w:szCs w:val="21"/>
        </w:rPr>
      </w:pPr>
      <w:r>
        <w:rPr>
          <w:rFonts w:ascii="Times New Roman" w:hAnsi="Times New Roman" w:eastAsia="Times New Roman" w:cs="Times New Roman"/>
          <w:sz w:val="21"/>
          <w:szCs w:val="21"/>
          <w:spacing w:val="-1"/>
        </w:rPr>
        <w:t>COBIT </w:t>
      </w:r>
      <w:r>
        <w:rPr>
          <w:rFonts w:ascii="SimSun" w:hAnsi="SimSun" w:eastAsia="SimSun" w:cs="SimSun"/>
          <w:sz w:val="21"/>
          <w:szCs w:val="21"/>
          <w:spacing w:val="-1"/>
        </w:rPr>
        <w:t>认为数据治理的关键在于授权和控制并举，应该做出什么决策、谁来做</w:t>
      </w:r>
      <w:r>
        <w:rPr>
          <w:rFonts w:ascii="SimSun" w:hAnsi="SimSun" w:eastAsia="SimSun" w:cs="SimSun"/>
          <w:sz w:val="21"/>
          <w:szCs w:val="21"/>
          <w:spacing w:val="15"/>
        </w:rPr>
        <w:t xml:space="preserve"> </w:t>
      </w:r>
      <w:r>
        <w:rPr>
          <w:rFonts w:ascii="SimSun" w:hAnsi="SimSun" w:eastAsia="SimSun" w:cs="SimSun"/>
          <w:sz w:val="21"/>
          <w:szCs w:val="21"/>
        </w:rPr>
        <w:t>决策、如何做出决策和监督，促成</w:t>
      </w:r>
      <w:r>
        <w:rPr>
          <w:rFonts w:ascii="Times New Roman" w:hAnsi="Times New Roman" w:eastAsia="Times New Roman" w:cs="Times New Roman"/>
          <w:sz w:val="21"/>
          <w:szCs w:val="21"/>
        </w:rPr>
        <w:t>IT </w:t>
      </w:r>
      <w:r>
        <w:rPr>
          <w:rFonts w:ascii="SimSun" w:hAnsi="SimSun" w:eastAsia="SimSun" w:cs="SimSun"/>
          <w:sz w:val="21"/>
          <w:szCs w:val="21"/>
        </w:rPr>
        <w:t>创造有利于战略的价值</w:t>
      </w:r>
      <w:r>
        <w:rPr>
          <w:rFonts w:ascii="SimSun" w:hAnsi="SimSun" w:eastAsia="SimSun" w:cs="SimSun"/>
          <w:sz w:val="21"/>
          <w:szCs w:val="21"/>
          <w:spacing w:val="-1"/>
        </w:rPr>
        <w:t>。例如，企业要不要上</w:t>
      </w:r>
      <w:r>
        <w:rPr>
          <w:rFonts w:ascii="SimSun" w:hAnsi="SimSun" w:eastAsia="SimSun" w:cs="SimSun"/>
          <w:sz w:val="21"/>
          <w:szCs w:val="21"/>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一事是要按流程体系办事，经过评估分析其战略价值，按照企业</w:t>
      </w:r>
      <w:r>
        <w:rPr>
          <w:rFonts w:ascii="SimSun" w:hAnsi="SimSun" w:eastAsia="SimSun" w:cs="SimSun"/>
          <w:sz w:val="21"/>
          <w:szCs w:val="21"/>
        </w:rPr>
        <w:t>实际状况来决 </w:t>
      </w:r>
      <w:r>
        <w:rPr>
          <w:rFonts w:ascii="SimSun" w:hAnsi="SimSun" w:eastAsia="SimSun" w:cs="SimSun"/>
          <w:sz w:val="21"/>
          <w:szCs w:val="21"/>
          <w:spacing w:val="-4"/>
        </w:rPr>
        <w:t>定的，而不是由领导一人决定的。</w:t>
      </w:r>
    </w:p>
    <w:p>
      <w:pPr>
        <w:ind w:left="442"/>
        <w:spacing w:before="221" w:line="221" w:lineRule="auto"/>
        <w:outlineLvl w:val="1"/>
        <w:rPr>
          <w:rFonts w:ascii="YouYuan" w:hAnsi="YouYuan" w:eastAsia="YouYuan" w:cs="YouYuan"/>
          <w:sz w:val="21"/>
          <w:szCs w:val="21"/>
        </w:rPr>
      </w:pPr>
      <w:r>
        <w:rPr>
          <w:rFonts w:ascii="SimSun" w:hAnsi="SimSun" w:eastAsia="SimSun" w:cs="SimSun"/>
          <w:sz w:val="21"/>
          <w:szCs w:val="21"/>
          <w:b/>
          <w:bCs/>
          <w:spacing w:val="6"/>
        </w:rPr>
        <w:t>4.</w:t>
      </w:r>
      <w:r>
        <w:rPr>
          <w:rFonts w:ascii="SimSun" w:hAnsi="SimSun" w:eastAsia="SimSun" w:cs="SimSun"/>
          <w:sz w:val="21"/>
          <w:szCs w:val="21"/>
          <w:b/>
          <w:bCs/>
        </w:rPr>
        <w:t>DGl</w:t>
      </w:r>
      <w:r>
        <w:rPr>
          <w:rFonts w:ascii="SimSun" w:hAnsi="SimSun" w:eastAsia="SimSun" w:cs="SimSun"/>
          <w:sz w:val="21"/>
          <w:szCs w:val="21"/>
          <w:spacing w:val="6"/>
        </w:rPr>
        <w:t xml:space="preserve">  </w:t>
      </w:r>
      <w:r>
        <w:rPr>
          <w:rFonts w:ascii="YouYuan" w:hAnsi="YouYuan" w:eastAsia="YouYuan" w:cs="YouYuan"/>
          <w:sz w:val="21"/>
          <w:szCs w:val="21"/>
          <w:b/>
          <w:bCs/>
          <w:spacing w:val="6"/>
        </w:rPr>
        <w:t>给出的数据治理的定义</w:t>
      </w:r>
    </w:p>
    <w:p>
      <w:pPr>
        <w:ind w:right="311" w:firstLine="439"/>
        <w:spacing w:before="216" w:line="255" w:lineRule="auto"/>
        <w:jc w:val="both"/>
        <w:rPr>
          <w:rFonts w:ascii="SimSun" w:hAnsi="SimSun" w:eastAsia="SimSun" w:cs="SimSun"/>
          <w:sz w:val="21"/>
          <w:szCs w:val="21"/>
        </w:rPr>
      </w:pPr>
      <w:r>
        <w:rPr>
          <w:rFonts w:ascii="Times New Roman" w:hAnsi="Times New Roman" w:eastAsia="Times New Roman" w:cs="Times New Roman"/>
          <w:sz w:val="21"/>
          <w:szCs w:val="21"/>
        </w:rPr>
        <w:t>DGI</w:t>
      </w:r>
      <w:r>
        <w:rPr>
          <w:rFonts w:ascii="SimSun" w:hAnsi="SimSun" w:eastAsia="SimSun" w:cs="SimSun"/>
          <w:sz w:val="21"/>
          <w:szCs w:val="21"/>
          <w:spacing w:val="7"/>
        </w:rPr>
        <w:t>(数据治理研究所)1认为数据治理是针对数据信息相</w:t>
      </w:r>
      <w:r>
        <w:rPr>
          <w:rFonts w:ascii="SimSun" w:hAnsi="SimSun" w:eastAsia="SimSun" w:cs="SimSun"/>
          <w:sz w:val="21"/>
          <w:szCs w:val="21"/>
          <w:spacing w:val="6"/>
        </w:rPr>
        <w:t>关过程的决策权和职</w:t>
      </w:r>
      <w:r>
        <w:rPr>
          <w:rFonts w:ascii="SimSun" w:hAnsi="SimSun" w:eastAsia="SimSun" w:cs="SimSun"/>
          <w:sz w:val="21"/>
          <w:szCs w:val="21"/>
        </w:rPr>
        <w:t xml:space="preserve"> </w:t>
      </w:r>
      <w:r>
        <w:rPr>
          <w:rFonts w:ascii="SimSun" w:hAnsi="SimSun" w:eastAsia="SimSun" w:cs="SimSun"/>
          <w:sz w:val="21"/>
          <w:szCs w:val="21"/>
          <w:spacing w:val="1"/>
        </w:rPr>
        <w:t>责体系，这些过程遵循“在什么时间和什么情况下、用什么方式、由谁、对哪些数</w:t>
      </w:r>
      <w:r>
        <w:rPr>
          <w:rFonts w:ascii="SimSun" w:hAnsi="SimSun" w:eastAsia="SimSun" w:cs="SimSun"/>
          <w:sz w:val="21"/>
          <w:szCs w:val="21"/>
          <w:spacing w:val="11"/>
        </w:rPr>
        <w:t xml:space="preserve"> </w:t>
      </w:r>
      <w:r>
        <w:rPr>
          <w:rFonts w:ascii="SimSun" w:hAnsi="SimSun" w:eastAsia="SimSun" w:cs="SimSun"/>
          <w:sz w:val="21"/>
          <w:szCs w:val="21"/>
          <w:spacing w:val="-3"/>
        </w:rPr>
        <w:t>据、采取哪些行动”的方法来执行。</w:t>
      </w:r>
    </w:p>
    <w:p>
      <w:pPr>
        <w:ind w:left="442"/>
        <w:spacing w:before="222" w:line="221" w:lineRule="auto"/>
        <w:outlineLvl w:val="1"/>
        <w:rPr>
          <w:rFonts w:ascii="YouYuan" w:hAnsi="YouYuan" w:eastAsia="YouYuan" w:cs="YouYuan"/>
          <w:sz w:val="21"/>
          <w:szCs w:val="21"/>
        </w:rPr>
      </w:pPr>
      <w:r>
        <w:rPr>
          <w:rFonts w:ascii="SimSun" w:hAnsi="SimSun" w:eastAsia="SimSun" w:cs="SimSun"/>
          <w:sz w:val="21"/>
          <w:szCs w:val="21"/>
          <w:b/>
          <w:bCs/>
          <w:spacing w:val="-1"/>
        </w:rPr>
        <w:t>5.IBM</w:t>
      </w:r>
      <w:r>
        <w:rPr>
          <w:rFonts w:ascii="SimSun" w:hAnsi="SimSun" w:eastAsia="SimSun" w:cs="SimSun"/>
          <w:sz w:val="21"/>
          <w:szCs w:val="21"/>
          <w:spacing w:val="41"/>
        </w:rPr>
        <w:t xml:space="preserve">  </w:t>
      </w:r>
      <w:r>
        <w:rPr>
          <w:rFonts w:ascii="YouYuan" w:hAnsi="YouYuan" w:eastAsia="YouYuan" w:cs="YouYuan"/>
          <w:sz w:val="21"/>
          <w:szCs w:val="21"/>
          <w:b/>
          <w:bCs/>
          <w:spacing w:val="-1"/>
        </w:rPr>
        <w:t>给出的数据治理的定义</w:t>
      </w:r>
    </w:p>
    <w:p>
      <w:pPr>
        <w:ind w:right="313" w:firstLine="439"/>
        <w:spacing w:before="229" w:line="259" w:lineRule="auto"/>
        <w:rPr>
          <w:rFonts w:ascii="SimSun" w:hAnsi="SimSun" w:eastAsia="SimSun" w:cs="SimSun"/>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认为数据治理是一门将数据视为一项企业资产的学科。它涉及到以企业资</w:t>
      </w:r>
      <w:r>
        <w:rPr>
          <w:rFonts w:ascii="SimSun" w:hAnsi="SimSun" w:eastAsia="SimSun" w:cs="SimSun"/>
          <w:sz w:val="21"/>
          <w:szCs w:val="21"/>
        </w:rPr>
        <w:t xml:space="preserve"> </w:t>
      </w:r>
      <w:r>
        <w:rPr>
          <w:rFonts w:ascii="SimSun" w:hAnsi="SimSun" w:eastAsia="SimSun" w:cs="SimSun"/>
          <w:sz w:val="21"/>
          <w:szCs w:val="21"/>
          <w:spacing w:val="2"/>
        </w:rPr>
        <w:t>产的形式对数据进行优化、保护和利用的决策权利。它涉及到对组织内的人员、流</w:t>
      </w:r>
    </w:p>
    <w:p>
      <w:pPr>
        <w:spacing w:line="259" w:lineRule="auto"/>
        <w:sectPr>
          <w:footerReference w:type="default" r:id="rId22"/>
          <w:pgSz w:w="8870" w:h="13400"/>
          <w:pgMar w:top="400" w:right="317" w:bottom="545" w:left="590" w:header="0" w:footer="338" w:gutter="0"/>
        </w:sectPr>
        <w:rPr>
          <w:rFonts w:ascii="SimSun" w:hAnsi="SimSun" w:eastAsia="SimSun" w:cs="SimSun"/>
          <w:sz w:val="21"/>
          <w:szCs w:val="21"/>
        </w:rPr>
      </w:pPr>
    </w:p>
    <w:p>
      <w:pPr>
        <w:ind w:left="243"/>
        <w:spacing w:before="246" w:line="219" w:lineRule="auto"/>
        <w:rPr>
          <w:rFonts w:ascii="SimSun" w:hAnsi="SimSun" w:eastAsia="SimSun" w:cs="SimSun"/>
          <w:sz w:val="22"/>
          <w:szCs w:val="22"/>
        </w:rPr>
      </w:pPr>
      <w:r>
        <w:pict>
          <v:rect id="_x0000_s10" style="position:absolute;margin-left:22.9999pt;margin-top:28.9976pt;mso-position-vertical-relative:page;mso-position-horizontal-relative:page;width:0.55pt;height:18.05pt;z-index:251679744;" o:allowincell="f" fillcolor="#000000" filled="true" stroked="false"/>
        </w:pict>
      </w:r>
      <w:bookmarkStart w:name="bookmark7" w:id="2"/>
      <w:bookmarkEnd w:id="2"/>
      <w:r>
        <w:rPr>
          <w:rFonts w:ascii="SimSun" w:hAnsi="SimSun" w:eastAsia="SimSun" w:cs="SimSun"/>
          <w:sz w:val="22"/>
          <w:szCs w:val="22"/>
          <w:b/>
          <w:bCs/>
          <w:spacing w:val="-16"/>
        </w:rPr>
        <w:t>■云端数据治理</w:t>
      </w:r>
    </w:p>
    <w:p>
      <w:pPr>
        <w:pStyle w:val="BodyText"/>
        <w:spacing w:line="246" w:lineRule="auto"/>
        <w:rPr/>
      </w:pPr>
      <w:r/>
    </w:p>
    <w:p>
      <w:pPr>
        <w:ind w:left="240" w:right="31"/>
        <w:spacing w:before="72" w:line="259" w:lineRule="auto"/>
        <w:jc w:val="both"/>
        <w:rPr>
          <w:rFonts w:ascii="SimSun" w:hAnsi="SimSun" w:eastAsia="SimSun" w:cs="SimSun"/>
          <w:sz w:val="22"/>
          <w:szCs w:val="22"/>
        </w:rPr>
      </w:pPr>
      <w:r>
        <w:rPr>
          <w:rFonts w:ascii="SimSun" w:hAnsi="SimSun" w:eastAsia="SimSun" w:cs="SimSun"/>
          <w:sz w:val="22"/>
          <w:szCs w:val="22"/>
          <w:spacing w:val="-4"/>
        </w:rPr>
        <w:t>程、技术和策略的编排，以从企业数据获取最优的价值8。从一开始，数据治理就</w:t>
      </w:r>
      <w:r>
        <w:rPr>
          <w:rFonts w:ascii="SimSun" w:hAnsi="SimSun" w:eastAsia="SimSun" w:cs="SimSun"/>
          <w:sz w:val="22"/>
          <w:szCs w:val="22"/>
          <w:spacing w:val="3"/>
        </w:rPr>
        <w:t xml:space="preserve"> </w:t>
      </w:r>
      <w:r>
        <w:rPr>
          <w:rFonts w:ascii="SimSun" w:hAnsi="SimSun" w:eastAsia="SimSun" w:cs="SimSun"/>
          <w:sz w:val="22"/>
          <w:szCs w:val="22"/>
          <w:spacing w:val="-1"/>
        </w:rPr>
        <w:t>在协调不同的、孤立的且常常冲突的策略(可能</w:t>
      </w:r>
      <w:r>
        <w:rPr>
          <w:rFonts w:ascii="SimSun" w:hAnsi="SimSun" w:eastAsia="SimSun" w:cs="SimSun"/>
          <w:sz w:val="22"/>
          <w:szCs w:val="22"/>
          <w:spacing w:val="-2"/>
        </w:rPr>
        <w:t>导致数据异常)的过程中扮演着重</w:t>
      </w:r>
      <w:r>
        <w:rPr>
          <w:rFonts w:ascii="SimSun" w:hAnsi="SimSun" w:eastAsia="SimSun" w:cs="SimSun"/>
          <w:sz w:val="22"/>
          <w:szCs w:val="22"/>
        </w:rPr>
        <w:t xml:space="preserve"> </w:t>
      </w:r>
      <w:r>
        <w:rPr>
          <w:rFonts w:ascii="SimSun" w:hAnsi="SimSun" w:eastAsia="SimSun" w:cs="SimSun"/>
          <w:sz w:val="22"/>
          <w:szCs w:val="22"/>
          <w:spacing w:val="-7"/>
        </w:rPr>
        <w:t>要角色。类似于客户关系管理</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7"/>
        </w:rPr>
        <w:t>(CRM)</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诞生之初，组织开始任命全职或兼职数据治</w:t>
      </w:r>
      <w:r>
        <w:rPr>
          <w:rFonts w:ascii="SimSun" w:hAnsi="SimSun" w:eastAsia="SimSun" w:cs="SimSun"/>
          <w:sz w:val="22"/>
          <w:szCs w:val="22"/>
        </w:rPr>
        <w:t xml:space="preserve"> </w:t>
      </w:r>
      <w:r>
        <w:rPr>
          <w:rFonts w:ascii="SimSun" w:hAnsi="SimSun" w:eastAsia="SimSun" w:cs="SimSun"/>
          <w:sz w:val="22"/>
          <w:szCs w:val="22"/>
          <w:spacing w:val="-9"/>
        </w:rPr>
        <w:t>理负责人。与任何新兴学科一样，数据治理有许多定义，但市场已经开始围绕将数</w:t>
      </w:r>
      <w:r>
        <w:rPr>
          <w:rFonts w:ascii="SimSun" w:hAnsi="SimSun" w:eastAsia="SimSun" w:cs="SimSun"/>
          <w:sz w:val="22"/>
          <w:szCs w:val="22"/>
          <w:spacing w:val="12"/>
        </w:rPr>
        <w:t xml:space="preserve"> </w:t>
      </w:r>
      <w:r>
        <w:rPr>
          <w:rFonts w:ascii="SimSun" w:hAnsi="SimSun" w:eastAsia="SimSun" w:cs="SimSun"/>
          <w:sz w:val="22"/>
          <w:szCs w:val="22"/>
          <w:spacing w:val="-12"/>
        </w:rPr>
        <w:t>据视为资产的定义进行具体化行动。</w:t>
      </w:r>
    </w:p>
    <w:p>
      <w:pPr>
        <w:ind w:left="703"/>
        <w:spacing w:before="188" w:line="221" w:lineRule="auto"/>
        <w:outlineLvl w:val="1"/>
        <w:rPr>
          <w:rFonts w:ascii="YouYuan" w:hAnsi="YouYuan" w:eastAsia="YouYuan" w:cs="YouYuan"/>
          <w:sz w:val="22"/>
          <w:szCs w:val="22"/>
        </w:rPr>
      </w:pPr>
      <w:r>
        <w:rPr>
          <w:rFonts w:ascii="SimSun" w:hAnsi="SimSun" w:eastAsia="SimSun" w:cs="SimSun"/>
          <w:sz w:val="22"/>
          <w:szCs w:val="22"/>
          <w:b/>
          <w:bCs/>
          <w:spacing w:val="-4"/>
        </w:rPr>
        <w:t>6.Oracle</w:t>
      </w:r>
      <w:r>
        <w:rPr>
          <w:rFonts w:ascii="SimSun" w:hAnsi="SimSun" w:eastAsia="SimSun" w:cs="SimSun"/>
          <w:sz w:val="22"/>
          <w:szCs w:val="22"/>
          <w:spacing w:val="-4"/>
        </w:rPr>
        <w:t xml:space="preserve">  </w:t>
      </w:r>
      <w:r>
        <w:rPr>
          <w:rFonts w:ascii="YouYuan" w:hAnsi="YouYuan" w:eastAsia="YouYuan" w:cs="YouYuan"/>
          <w:sz w:val="22"/>
          <w:szCs w:val="22"/>
          <w:b/>
          <w:bCs/>
          <w:spacing w:val="-4"/>
        </w:rPr>
        <w:t>给出的数据治理的定义</w:t>
      </w:r>
    </w:p>
    <w:p>
      <w:pPr>
        <w:ind w:left="240" w:right="61" w:firstLine="459"/>
        <w:spacing w:before="214" w:line="253" w:lineRule="auto"/>
        <w:jc w:val="both"/>
        <w:rPr>
          <w:rFonts w:ascii="SimSun" w:hAnsi="SimSun" w:eastAsia="SimSun" w:cs="SimSun"/>
          <w:sz w:val="22"/>
          <w:szCs w:val="22"/>
        </w:rPr>
      </w:pPr>
      <w:r>
        <w:rPr>
          <w:rFonts w:ascii="Times New Roman" w:hAnsi="Times New Roman" w:eastAsia="Times New Roman" w:cs="Times New Roman"/>
          <w:sz w:val="22"/>
          <w:szCs w:val="22"/>
          <w:spacing w:val="-9"/>
        </w:rPr>
        <w:t>Oracle</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9"/>
        </w:rPr>
        <w:t>认为数据治理是制订决策权和问责的框架，以规范企业在估值、创建、</w:t>
      </w:r>
      <w:r>
        <w:rPr>
          <w:rFonts w:ascii="SimSun" w:hAnsi="SimSun" w:eastAsia="SimSun" w:cs="SimSun"/>
          <w:sz w:val="22"/>
          <w:szCs w:val="22"/>
        </w:rPr>
        <w:t xml:space="preserve"> </w:t>
      </w:r>
      <w:r>
        <w:rPr>
          <w:rFonts w:ascii="SimSun" w:hAnsi="SimSun" w:eastAsia="SimSun" w:cs="SimSun"/>
          <w:sz w:val="22"/>
          <w:szCs w:val="22"/>
          <w:spacing w:val="-8"/>
        </w:rPr>
        <w:t>存储、使用、归档及删除数据和信息的行为。它包</w:t>
      </w:r>
      <w:r>
        <w:rPr>
          <w:rFonts w:ascii="SimSun" w:hAnsi="SimSun" w:eastAsia="SimSun" w:cs="SimSun"/>
          <w:sz w:val="22"/>
          <w:szCs w:val="22"/>
          <w:spacing w:val="-9"/>
        </w:rPr>
        <w:t>括流程、角色、标准和指标，以</w:t>
      </w:r>
      <w:r>
        <w:rPr>
          <w:rFonts w:ascii="SimSun" w:hAnsi="SimSun" w:eastAsia="SimSun" w:cs="SimSun"/>
          <w:sz w:val="22"/>
          <w:szCs w:val="22"/>
        </w:rPr>
        <w:t xml:space="preserve"> </w:t>
      </w:r>
      <w:r>
        <w:rPr>
          <w:rFonts w:ascii="SimSun" w:hAnsi="SimSun" w:eastAsia="SimSun" w:cs="SimSun"/>
          <w:sz w:val="22"/>
          <w:szCs w:val="22"/>
          <w:spacing w:val="-15"/>
        </w:rPr>
        <w:t>确保组织能有效和高效地利用数据和信息以实现其目标[9]。</w:t>
      </w:r>
    </w:p>
    <w:p>
      <w:pPr>
        <w:pStyle w:val="BodyText"/>
        <w:spacing w:line="406" w:lineRule="auto"/>
        <w:rPr/>
      </w:pPr>
      <w:r/>
    </w:p>
    <w:p>
      <w:pPr>
        <w:ind w:left="244"/>
        <w:spacing w:before="108" w:line="222" w:lineRule="auto"/>
        <w:outlineLvl w:val="0"/>
        <w:rPr>
          <w:rFonts w:ascii="SimHei" w:hAnsi="SimHei" w:eastAsia="SimHei" w:cs="SimHei"/>
          <w:sz w:val="33"/>
          <w:szCs w:val="33"/>
        </w:rPr>
      </w:pPr>
      <w:r>
        <w:rPr>
          <w:rFonts w:ascii="SimHei" w:hAnsi="SimHei" w:eastAsia="SimHei" w:cs="SimHei"/>
          <w:sz w:val="33"/>
          <w:szCs w:val="33"/>
          <w:b/>
          <w:bCs/>
          <w:spacing w:val="-9"/>
        </w:rPr>
        <w:t>1.2</w:t>
      </w:r>
      <w:r>
        <w:rPr>
          <w:rFonts w:ascii="SimHei" w:hAnsi="SimHei" w:eastAsia="SimHei" w:cs="SimHei"/>
          <w:sz w:val="33"/>
          <w:szCs w:val="33"/>
          <w:spacing w:val="-9"/>
        </w:rPr>
        <w:t xml:space="preserve">  </w:t>
      </w:r>
      <w:r>
        <w:rPr>
          <w:rFonts w:ascii="SimHei" w:hAnsi="SimHei" w:eastAsia="SimHei" w:cs="SimHei"/>
          <w:sz w:val="33"/>
          <w:szCs w:val="33"/>
          <w:b/>
          <w:bCs/>
          <w:spacing w:val="-9"/>
        </w:rPr>
        <w:t>数据治理理论研究历程</w:t>
      </w:r>
    </w:p>
    <w:p>
      <w:pPr>
        <w:ind w:left="244"/>
        <w:spacing w:before="329" w:line="219" w:lineRule="auto"/>
        <w:outlineLvl w:val="0"/>
        <w:rPr>
          <w:rFonts w:ascii="YouYuan" w:hAnsi="YouYuan" w:eastAsia="YouYuan" w:cs="YouYuan"/>
          <w:sz w:val="29"/>
          <w:szCs w:val="29"/>
        </w:rPr>
      </w:pPr>
      <w:r>
        <w:rPr>
          <w:rFonts w:ascii="YouYuan" w:hAnsi="YouYuan" w:eastAsia="YouYuan" w:cs="YouYuan"/>
          <w:sz w:val="29"/>
          <w:szCs w:val="29"/>
          <w:b/>
          <w:bCs/>
          <w:spacing w:val="-10"/>
        </w:rPr>
        <w:t>1.2.1</w:t>
      </w:r>
      <w:r>
        <w:rPr>
          <w:rFonts w:ascii="YouYuan" w:hAnsi="YouYuan" w:eastAsia="YouYuan" w:cs="YouYuan"/>
          <w:sz w:val="29"/>
          <w:szCs w:val="29"/>
          <w:spacing w:val="134"/>
        </w:rPr>
        <w:t xml:space="preserve"> </w:t>
      </w:r>
      <w:r>
        <w:rPr>
          <w:rFonts w:ascii="YouYuan" w:hAnsi="YouYuan" w:eastAsia="YouYuan" w:cs="YouYuan"/>
          <w:sz w:val="29"/>
          <w:szCs w:val="29"/>
          <w:b/>
          <w:bCs/>
          <w:spacing w:val="-10"/>
        </w:rPr>
        <w:t>数据治理理论的研究进展</w:t>
      </w:r>
    </w:p>
    <w:p>
      <w:pPr>
        <w:pStyle w:val="BodyText"/>
        <w:spacing w:line="268" w:lineRule="auto"/>
        <w:rPr/>
      </w:pPr>
      <w:r/>
    </w:p>
    <w:p>
      <w:pPr>
        <w:ind w:left="240" w:right="32" w:firstLine="459"/>
        <w:spacing w:before="71" w:line="244" w:lineRule="auto"/>
        <w:rPr>
          <w:rFonts w:ascii="SimSun" w:hAnsi="SimSun" w:eastAsia="SimSun" w:cs="SimSun"/>
          <w:sz w:val="22"/>
          <w:szCs w:val="22"/>
        </w:rPr>
      </w:pPr>
      <w:r>
        <w:rPr>
          <w:rFonts w:ascii="SimSun" w:hAnsi="SimSun" w:eastAsia="SimSun" w:cs="SimSun"/>
          <w:sz w:val="22"/>
          <w:szCs w:val="22"/>
          <w:spacing w:val="-7"/>
        </w:rPr>
        <w:t>在数据治理理论研究领域，以</w:t>
      </w:r>
      <w:r>
        <w:rPr>
          <w:rFonts w:ascii="Times New Roman" w:hAnsi="Times New Roman" w:eastAsia="Times New Roman" w:cs="Times New Roman"/>
          <w:sz w:val="22"/>
          <w:szCs w:val="22"/>
          <w:spacing w:val="-7"/>
        </w:rPr>
        <w:t>ISACA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DAMA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DGI</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IB</w:t>
      </w:r>
      <w:r>
        <w:rPr>
          <w:rFonts w:ascii="Times New Roman" w:hAnsi="Times New Roman" w:eastAsia="Times New Roman" w:cs="Times New Roman"/>
          <w:sz w:val="22"/>
          <w:szCs w:val="22"/>
          <w:spacing w:val="-8"/>
        </w:rPr>
        <w:t>M</w:t>
      </w:r>
      <w:r>
        <w:rPr>
          <w:rFonts w:ascii="SimSun" w:hAnsi="SimSun" w:eastAsia="SimSun" w:cs="SimSun"/>
          <w:sz w:val="22"/>
          <w:szCs w:val="22"/>
          <w:spacing w:val="-8"/>
        </w:rPr>
        <w:t>等组织为代表，提</w:t>
      </w:r>
      <w:r>
        <w:rPr>
          <w:rFonts w:ascii="SimSun" w:hAnsi="SimSun" w:eastAsia="SimSun" w:cs="SimSun"/>
          <w:sz w:val="22"/>
          <w:szCs w:val="22"/>
        </w:rPr>
        <w:t xml:space="preserve"> </w:t>
      </w:r>
      <w:r>
        <w:rPr>
          <w:rFonts w:ascii="SimSun" w:hAnsi="SimSun" w:eastAsia="SimSun" w:cs="SimSun"/>
          <w:sz w:val="22"/>
          <w:szCs w:val="22"/>
          <w:spacing w:val="-11"/>
        </w:rPr>
        <w:t>出了自成体系的数据治理框架或与数据治理相关的治理理论模型。</w:t>
      </w:r>
    </w:p>
    <w:p>
      <w:pPr>
        <w:pStyle w:val="BodyText"/>
        <w:ind w:left="700"/>
        <w:spacing w:before="188" w:line="221" w:lineRule="auto"/>
        <w:outlineLvl w:val="1"/>
        <w:rPr>
          <w:sz w:val="22"/>
          <w:szCs w:val="22"/>
        </w:rPr>
      </w:pPr>
      <w:r>
        <w:rPr>
          <w:sz w:val="22"/>
          <w:szCs w:val="22"/>
          <w:b/>
          <w:bCs/>
          <w:spacing w:val="6"/>
        </w:rPr>
        <w:t>1.</w:t>
      </w:r>
      <w:r>
        <w:rPr>
          <w:sz w:val="22"/>
          <w:szCs w:val="22"/>
          <w:b/>
          <w:bCs/>
        </w:rPr>
        <w:t>ISACA</w:t>
      </w:r>
      <w:r>
        <w:rPr>
          <w:sz w:val="22"/>
          <w:szCs w:val="22"/>
          <w:b/>
          <w:bCs/>
          <w:spacing w:val="17"/>
          <w:w w:val="101"/>
        </w:rPr>
        <w:t xml:space="preserve">   </w:t>
      </w:r>
      <w:r>
        <w:rPr>
          <w:rFonts w:ascii="YouYuan" w:hAnsi="YouYuan" w:eastAsia="YouYuan" w:cs="YouYuan"/>
          <w:sz w:val="22"/>
          <w:szCs w:val="22"/>
          <w:b/>
          <w:bCs/>
          <w:spacing w:val="6"/>
        </w:rPr>
        <w:t>提出的</w:t>
      </w:r>
      <w:r>
        <w:rPr>
          <w:sz w:val="22"/>
          <w:szCs w:val="22"/>
          <w:b/>
          <w:bCs/>
        </w:rPr>
        <w:t>COBIT</w:t>
      </w:r>
      <w:r>
        <w:rPr>
          <w:sz w:val="22"/>
          <w:szCs w:val="22"/>
          <w:b/>
          <w:bCs/>
          <w:spacing w:val="19"/>
        </w:rPr>
        <w:t xml:space="preserve">  </w:t>
      </w:r>
      <w:r>
        <w:rPr>
          <w:sz w:val="22"/>
          <w:szCs w:val="22"/>
          <w:b/>
          <w:bCs/>
          <w:spacing w:val="6"/>
        </w:rPr>
        <w:t>5</w:t>
      </w:r>
    </w:p>
    <w:p>
      <w:pPr>
        <w:ind w:left="240" w:right="21" w:firstLine="459"/>
        <w:spacing w:before="223" w:line="257" w:lineRule="auto"/>
        <w:rPr>
          <w:rFonts w:ascii="SimSun" w:hAnsi="SimSun" w:eastAsia="SimSun" w:cs="SimSun"/>
          <w:sz w:val="22"/>
          <w:szCs w:val="22"/>
        </w:rPr>
      </w:pPr>
      <w:r>
        <w:rPr>
          <w:rFonts w:ascii="Times New Roman" w:hAnsi="Times New Roman" w:eastAsia="Times New Roman" w:cs="Times New Roman"/>
          <w:sz w:val="22"/>
          <w:szCs w:val="22"/>
          <w:spacing w:val="-9"/>
        </w:rPr>
        <w:t>COBIT</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9"/>
        </w:rPr>
        <w:t>是 </w:t>
      </w:r>
      <w:r>
        <w:rPr>
          <w:rFonts w:ascii="Times New Roman" w:hAnsi="Times New Roman" w:eastAsia="Times New Roman" w:cs="Times New Roman"/>
          <w:sz w:val="22"/>
          <w:szCs w:val="22"/>
          <w:spacing w:val="-9"/>
        </w:rPr>
        <w:t>ISACA</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9"/>
        </w:rPr>
        <w:t>制订的面向过程的信息系统审计和评价的标准，以支持企业</w:t>
      </w:r>
      <w:r>
        <w:rPr>
          <w:rFonts w:ascii="SimSun" w:hAnsi="SimSun" w:eastAsia="SimSun" w:cs="SimSun"/>
          <w:sz w:val="22"/>
          <w:szCs w:val="22"/>
        </w:rPr>
        <w:t xml:space="preserve"> </w:t>
      </w:r>
      <w:r>
        <w:rPr>
          <w:rFonts w:ascii="SimSun" w:hAnsi="SimSun" w:eastAsia="SimSun" w:cs="SimSun"/>
          <w:sz w:val="22"/>
          <w:szCs w:val="22"/>
          <w:spacing w:val="-8"/>
        </w:rPr>
        <w:t>实现其企业</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8"/>
        </w:rPr>
        <w:t>治理和管理的目标。</w:t>
      </w:r>
      <w:r>
        <w:rPr>
          <w:rFonts w:ascii="Times New Roman" w:hAnsi="Times New Roman" w:eastAsia="Times New Roman" w:cs="Times New Roman"/>
          <w:sz w:val="22"/>
          <w:szCs w:val="22"/>
          <w:spacing w:val="-8"/>
        </w:rPr>
        <w:t>COBIT5 </w:t>
      </w:r>
      <w:r>
        <w:rPr>
          <w:rFonts w:ascii="SimSun" w:hAnsi="SimSun" w:eastAsia="SimSun" w:cs="SimSun"/>
          <w:sz w:val="22"/>
          <w:szCs w:val="22"/>
          <w:spacing w:val="-8"/>
        </w:rPr>
        <w:t>是以五项关键原则为基础进行企业</w:t>
      </w:r>
      <w:r>
        <w:rPr>
          <w:rFonts w:ascii="Times New Roman" w:hAnsi="Times New Roman" w:eastAsia="Times New Roman" w:cs="Times New Roman"/>
          <w:sz w:val="22"/>
          <w:szCs w:val="22"/>
          <w:spacing w:val="-8"/>
        </w:rPr>
        <w:t>IT</w:t>
      </w:r>
      <w:r>
        <w:rPr>
          <w:rFonts w:ascii="SimSun" w:hAnsi="SimSun" w:eastAsia="SimSun" w:cs="SimSun"/>
          <w:sz w:val="22"/>
          <w:szCs w:val="22"/>
          <w:spacing w:val="-8"/>
        </w:rPr>
        <w:t>治 </w:t>
      </w:r>
      <w:r>
        <w:rPr>
          <w:rFonts w:ascii="SimSun" w:hAnsi="SimSun" w:eastAsia="SimSun" w:cs="SimSun"/>
          <w:sz w:val="22"/>
          <w:szCs w:val="22"/>
          <w:spacing w:val="-5"/>
        </w:rPr>
        <w:t>理和管理，如图1-2所示。这五项原则结合在一起能够使</w:t>
      </w:r>
      <w:r>
        <w:rPr>
          <w:rFonts w:ascii="SimSun" w:hAnsi="SimSun" w:eastAsia="SimSun" w:cs="SimSun"/>
          <w:sz w:val="22"/>
          <w:szCs w:val="22"/>
          <w:spacing w:val="-6"/>
        </w:rPr>
        <w:t>企业构建一种能优化信息</w:t>
      </w:r>
      <w:r>
        <w:rPr>
          <w:rFonts w:ascii="SimSun" w:hAnsi="SimSun" w:eastAsia="SimSun" w:cs="SimSun"/>
          <w:sz w:val="22"/>
          <w:szCs w:val="22"/>
        </w:rPr>
        <w:t xml:space="preserve"> </w:t>
      </w:r>
      <w:r>
        <w:rPr>
          <w:rFonts w:ascii="SimSun" w:hAnsi="SimSun" w:eastAsia="SimSun" w:cs="SimSun"/>
          <w:sz w:val="22"/>
          <w:szCs w:val="22"/>
          <w:spacing w:val="-12"/>
        </w:rPr>
        <w:t>和技术投资的、用于利益相关者收益的、有效</w:t>
      </w:r>
      <w:r>
        <w:rPr>
          <w:rFonts w:ascii="SimSun" w:hAnsi="SimSun" w:eastAsia="SimSun" w:cs="SimSun"/>
          <w:sz w:val="22"/>
          <w:szCs w:val="22"/>
          <w:spacing w:val="-13"/>
        </w:rPr>
        <w:t>的治理和管理框架。其中有一条原则，</w:t>
      </w:r>
      <w:r>
        <w:rPr>
          <w:rFonts w:ascii="SimSun" w:hAnsi="SimSun" w:eastAsia="SimSun" w:cs="SimSun"/>
          <w:sz w:val="22"/>
          <w:szCs w:val="22"/>
        </w:rPr>
        <w:t xml:space="preserve"> </w:t>
      </w:r>
      <w:r>
        <w:rPr>
          <w:rFonts w:ascii="Times New Roman" w:hAnsi="Times New Roman" w:eastAsia="Times New Roman" w:cs="Times New Roman"/>
          <w:sz w:val="22"/>
          <w:szCs w:val="22"/>
          <w:spacing w:val="-8"/>
        </w:rPr>
        <w:t>COBIT5</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8"/>
        </w:rPr>
        <w:t>将治理和管理明确区分开来。这两种科目包含不同类型的活动，需要不同</w:t>
      </w:r>
      <w:r>
        <w:rPr>
          <w:rFonts w:ascii="SimSun" w:hAnsi="SimSun" w:eastAsia="SimSun" w:cs="SimSun"/>
          <w:sz w:val="22"/>
          <w:szCs w:val="22"/>
        </w:rPr>
        <w:t xml:space="preserve"> </w:t>
      </w:r>
      <w:r>
        <w:rPr>
          <w:rFonts w:ascii="SimSun" w:hAnsi="SimSun" w:eastAsia="SimSun" w:cs="SimSun"/>
          <w:sz w:val="22"/>
          <w:szCs w:val="22"/>
          <w:spacing w:val="-9"/>
        </w:rPr>
        <w:t>的组织结构，并服务于不同的用途。从</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9"/>
        </w:rPr>
        <w:t>COBIT5 </w:t>
      </w:r>
      <w:r>
        <w:rPr>
          <w:rFonts w:ascii="SimSun" w:hAnsi="SimSun" w:eastAsia="SimSun" w:cs="SimSun"/>
          <w:sz w:val="22"/>
          <w:szCs w:val="22"/>
          <w:spacing w:val="-9"/>
        </w:rPr>
        <w:t>的角度来看，治理和管理之间的关 </w:t>
      </w:r>
      <w:r>
        <w:rPr>
          <w:rFonts w:ascii="SimSun" w:hAnsi="SimSun" w:eastAsia="SimSun" w:cs="SimSun"/>
          <w:sz w:val="22"/>
          <w:szCs w:val="22"/>
          <w:spacing w:val="-8"/>
        </w:rPr>
        <w:t>键区别在于：治理确保利益相关者的需要、条件和选项得到评估，以决定平衡</w:t>
      </w:r>
      <w:r>
        <w:rPr>
          <w:rFonts w:ascii="SimSun" w:hAnsi="SimSun" w:eastAsia="SimSun" w:cs="SimSun"/>
          <w:sz w:val="22"/>
          <w:szCs w:val="22"/>
          <w:spacing w:val="-9"/>
        </w:rPr>
        <w:t>、协</w:t>
      </w:r>
      <w:r>
        <w:rPr>
          <w:rFonts w:ascii="SimSun" w:hAnsi="SimSun" w:eastAsia="SimSun" w:cs="SimSun"/>
          <w:sz w:val="22"/>
          <w:szCs w:val="22"/>
        </w:rPr>
        <w:t xml:space="preserve"> </w:t>
      </w:r>
      <w:r>
        <w:rPr>
          <w:rFonts w:ascii="SimSun" w:hAnsi="SimSun" w:eastAsia="SimSun" w:cs="SimSun"/>
          <w:sz w:val="22"/>
          <w:szCs w:val="22"/>
          <w:spacing w:val="-9"/>
        </w:rPr>
        <w:t>商一致、需要实现的企业目标；通过优先等级和决策来设定导向；并监控商定的导</w:t>
      </w:r>
      <w:r>
        <w:rPr>
          <w:rFonts w:ascii="SimSun" w:hAnsi="SimSun" w:eastAsia="SimSun" w:cs="SimSun"/>
          <w:sz w:val="22"/>
          <w:szCs w:val="22"/>
          <w:spacing w:val="16"/>
        </w:rPr>
        <w:t xml:space="preserve"> </w:t>
      </w:r>
      <w:r>
        <w:rPr>
          <w:rFonts w:ascii="SimSun" w:hAnsi="SimSun" w:eastAsia="SimSun" w:cs="SimSun"/>
          <w:sz w:val="22"/>
          <w:szCs w:val="22"/>
          <w:spacing w:val="-14"/>
        </w:rPr>
        <w:t>向和目标的绩效以及合规性。在大多数企业中，整体治理是董事长领</w:t>
      </w:r>
      <w:r>
        <w:rPr>
          <w:rFonts w:ascii="SimSun" w:hAnsi="SimSun" w:eastAsia="SimSun" w:cs="SimSun"/>
          <w:sz w:val="22"/>
          <w:szCs w:val="22"/>
          <w:spacing w:val="-15"/>
        </w:rPr>
        <w:t>导下的董事会的</w:t>
      </w:r>
      <w:r>
        <w:rPr>
          <w:rFonts w:ascii="SimSun" w:hAnsi="SimSun" w:eastAsia="SimSun" w:cs="SimSun"/>
          <w:sz w:val="22"/>
          <w:szCs w:val="22"/>
        </w:rPr>
        <w:t xml:space="preserve"> </w:t>
      </w:r>
      <w:r>
        <w:rPr>
          <w:rFonts w:ascii="SimSun" w:hAnsi="SimSun" w:eastAsia="SimSun" w:cs="SimSun"/>
          <w:sz w:val="22"/>
          <w:szCs w:val="22"/>
          <w:spacing w:val="-14"/>
        </w:rPr>
        <w:t>责任。具体的治理责任可能授予适当级别的</w:t>
      </w:r>
      <w:r>
        <w:rPr>
          <w:rFonts w:ascii="SimSun" w:hAnsi="SimSun" w:eastAsia="SimSun" w:cs="SimSun"/>
          <w:sz w:val="22"/>
          <w:szCs w:val="22"/>
          <w:spacing w:val="-15"/>
        </w:rPr>
        <w:t>特别组织结构，尤其是在较大型综合性企 </w:t>
      </w:r>
      <w:r>
        <w:rPr>
          <w:rFonts w:ascii="SimSun" w:hAnsi="SimSun" w:eastAsia="SimSun" w:cs="SimSun"/>
          <w:sz w:val="22"/>
          <w:szCs w:val="22"/>
          <w:spacing w:val="-14"/>
        </w:rPr>
        <w:t>业中更是如此。管理层计划、构建、运行和监控与治理机构设立导向一致</w:t>
      </w:r>
      <w:r>
        <w:rPr>
          <w:rFonts w:ascii="SimSun" w:hAnsi="SimSun" w:eastAsia="SimSun" w:cs="SimSun"/>
          <w:sz w:val="22"/>
          <w:szCs w:val="22"/>
          <w:spacing w:val="-15"/>
        </w:rPr>
        <w:t>的活动，以</w:t>
      </w:r>
      <w:r>
        <w:rPr>
          <w:rFonts w:ascii="SimSun" w:hAnsi="SimSun" w:eastAsia="SimSun" w:cs="SimSun"/>
          <w:sz w:val="22"/>
          <w:szCs w:val="22"/>
        </w:rPr>
        <w:t xml:space="preserve"> </w:t>
      </w:r>
      <w:r>
        <w:rPr>
          <w:rFonts w:ascii="SimSun" w:hAnsi="SimSun" w:eastAsia="SimSun" w:cs="SimSun"/>
          <w:sz w:val="22"/>
          <w:szCs w:val="22"/>
          <w:spacing w:val="-13"/>
        </w:rPr>
        <w:t>实现企业目标。大多数企业中，管理是首席执行官</w:t>
      </w:r>
      <w:r>
        <w:rPr>
          <w:rFonts w:ascii="SimSun" w:hAnsi="SimSun" w:eastAsia="SimSun" w:cs="SimSun"/>
          <w:sz w:val="22"/>
          <w:szCs w:val="22"/>
          <w:spacing w:val="-14"/>
        </w:rPr>
        <w:t>领导下的行政管理层的责任。</w:t>
      </w:r>
    </w:p>
    <w:p>
      <w:pPr>
        <w:ind w:left="240" w:firstLine="459"/>
        <w:spacing w:before="58" w:line="257" w:lineRule="auto"/>
        <w:rPr>
          <w:rFonts w:ascii="SimSun" w:hAnsi="SimSun" w:eastAsia="SimSun" w:cs="SimSun"/>
          <w:sz w:val="22"/>
          <w:szCs w:val="22"/>
        </w:rPr>
      </w:pPr>
      <w:r>
        <w:rPr>
          <w:rFonts w:ascii="Times New Roman" w:hAnsi="Times New Roman" w:eastAsia="Times New Roman" w:cs="Times New Roman"/>
          <w:sz w:val="22"/>
          <w:szCs w:val="22"/>
          <w:spacing w:val="-8"/>
        </w:rPr>
        <w:t>COBIT5</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8"/>
        </w:rPr>
        <w:t>以持续改进的生命周期为基础提供了实用和广泛的实施指南。</w:t>
      </w:r>
      <w:r>
        <w:rPr>
          <w:rFonts w:ascii="Times New Roman" w:hAnsi="Times New Roman" w:eastAsia="Times New Roman" w:cs="Times New Roman"/>
          <w:sz w:val="22"/>
          <w:szCs w:val="22"/>
          <w:spacing w:val="-8"/>
        </w:rPr>
        <w:t>COBIT5</w:t>
      </w:r>
      <w:r>
        <w:rPr>
          <w:rFonts w:ascii="Times New Roman" w:hAnsi="Times New Roman" w:eastAsia="Times New Roman" w:cs="Times New Roman"/>
          <w:sz w:val="22"/>
          <w:szCs w:val="22"/>
        </w:rPr>
        <w:t xml:space="preserve"> </w:t>
      </w:r>
      <w:r>
        <w:rPr>
          <w:rFonts w:ascii="SimSun" w:hAnsi="SimSun" w:eastAsia="SimSun" w:cs="SimSun"/>
          <w:sz w:val="22"/>
          <w:szCs w:val="22"/>
          <w:spacing w:val="-8"/>
        </w:rPr>
        <w:t>实施生命周期被划分为七个阶段，形成持续改进的生命周期循环，如图1-3所示。</w:t>
      </w:r>
    </w:p>
    <w:p>
      <w:pPr>
        <w:spacing w:line="257" w:lineRule="auto"/>
        <w:sectPr>
          <w:footerReference w:type="default" r:id="rId23"/>
          <w:pgSz w:w="8870" w:h="13400"/>
          <w:pgMar w:top="400" w:right="598" w:bottom="434" w:left="329" w:header="0" w:footer="216" w:gutter="0"/>
        </w:sectPr>
        <w:rPr>
          <w:rFonts w:ascii="SimSun" w:hAnsi="SimSun" w:eastAsia="SimSun" w:cs="SimSun"/>
          <w:sz w:val="22"/>
          <w:szCs w:val="22"/>
        </w:rPr>
      </w:pPr>
    </w:p>
    <w:p>
      <w:pPr>
        <w:ind w:left="5552"/>
        <w:spacing w:before="264" w:line="219" w:lineRule="auto"/>
        <w:rPr>
          <w:rFonts w:ascii="SimSun" w:hAnsi="SimSun" w:eastAsia="SimSun" w:cs="SimSun"/>
          <w:sz w:val="20"/>
          <w:szCs w:val="20"/>
        </w:rPr>
      </w:pPr>
      <w:r>
        <mc:AlternateContent xmlns:mc="http://schemas.openxmlformats.org/markup-compatibility/2006">
          <mc:Choice Requires="wps">
            <w:drawing>
              <wp:anchor distT="0" distB="0" distL="0" distR="0" simplePos="0" relativeHeight="251685888" behindDoc="0" locked="0" layoutInCell="0" allowOverlap="1">
                <wp:simplePos x="0" y="0"/>
                <wp:positionH relativeFrom="page">
                  <wp:posOffset>3986352</wp:posOffset>
                </wp:positionH>
                <wp:positionV relativeFrom="page">
                  <wp:posOffset>4556561</wp:posOffset>
                </wp:positionV>
                <wp:extent cx="1087119" cy="165735"/>
                <wp:effectExtent l="0" t="0" r="0" b="0"/>
                <wp:wrapNone/>
                <wp:docPr id="20" name="TextBox 20"/>
                <wp:cNvGraphicFramePr/>
                <a:graphic>
                  <a:graphicData uri="http://schemas.microsoft.com/office/word/2010/wordprocessingShape">
                    <wps:wsp>
                      <wps:cNvSpPr txBox="1"/>
                      <wps:spPr>
                        <a:xfrm rot="5400000">
                          <a:off x="3986352" y="4556561"/>
                          <a:ext cx="1087119"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2.我们现在在什么位置?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 style="position:absolute;margin-left:313.886pt;margin-top:358.784pt;mso-position-vertical-relative:page;mso-position-horizontal-relative:page;width:85.6pt;height:13.05pt;z-index:251685888;rotation:9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
                        </w:rPr>
                        <w:t>2.我们现在在什么位置?</w:t>
                      </w:r>
                    </w:p>
                  </w:txbxContent>
                </v:textbox>
              </v:shape>
            </w:pict>
          </mc:Fallback>
        </mc:AlternateContent>
      </w:r>
      <w:r>
        <mc:AlternateContent xmlns:mc="http://schemas.openxmlformats.org/markup-compatibility/2006">
          <mc:Choice Requires="wps">
            <w:drawing>
              <wp:anchor distT="0" distB="0" distL="0" distR="0" simplePos="0" relativeHeight="251703296" behindDoc="0" locked="0" layoutInCell="0" allowOverlap="1">
                <wp:simplePos x="0" y="0"/>
                <wp:positionH relativeFrom="page">
                  <wp:posOffset>1248190</wp:posOffset>
                </wp:positionH>
                <wp:positionV relativeFrom="page">
                  <wp:posOffset>4746607</wp:posOffset>
                </wp:positionV>
                <wp:extent cx="32384" cy="140335"/>
                <wp:effectExtent l="0" t="0" r="0" b="0"/>
                <wp:wrapNone/>
                <wp:docPr id="22" name="TextBox 22"/>
                <wp:cNvGraphicFramePr/>
                <a:graphic>
                  <a:graphicData uri="http://schemas.microsoft.com/office/word/2010/wordprocessingShape">
                    <wps:wsp>
                      <wps:cNvSpPr txBox="1"/>
                      <wps:spPr>
                        <a:xfrm rot="16200000">
                          <a:off x="1248190" y="4746607"/>
                          <a:ext cx="32384" cy="1403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5" w:line="220" w:lineRule="auto"/>
                              <w:jc w:val="right"/>
                              <w:rPr>
                                <w:rFonts w:ascii="SimSun" w:hAnsi="SimSun" w:eastAsia="SimSun" w:cs="SimSun"/>
                                <w:sz w:val="13"/>
                                <w:szCs w:val="13"/>
                              </w:rPr>
                            </w:pPr>
                            <w:r>
                              <w:rPr>
                                <w:rFonts w:ascii="SimSun" w:hAnsi="SimSun" w:eastAsia="SimSun" w:cs="SimSun"/>
                                <w:sz w:val="13"/>
                                <w:szCs w:val="13"/>
                                <w:spacing w:val="-1"/>
                                <w:w w:val="1"/>
                              </w:rPr>
                              <w:t>6.我们达到目标了吗?</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98.2827pt;margin-top:373.749pt;mso-position-vertical-relative:page;mso-position-horizontal-relative:page;width:2.55pt;height:11.05pt;z-index:251703296;rotation:270;" o:allowincell="f" filled="false" stroked="false" type="#_x0000_t202">
                <v:fill on="false"/>
                <v:stroke on="false"/>
                <v:path/>
                <v:imagedata o:title=""/>
                <o:lock v:ext="edit" aspectratio="false"/>
                <v:textbox inset="0mm,0mm,0mm,0mm">
                  <w:txbxContent>
                    <w:p>
                      <w:pPr>
                        <w:spacing w:before="45" w:line="220" w:lineRule="auto"/>
                        <w:jc w:val="right"/>
                        <w:rPr>
                          <w:rFonts w:ascii="SimSun" w:hAnsi="SimSun" w:eastAsia="SimSun" w:cs="SimSun"/>
                          <w:sz w:val="13"/>
                          <w:szCs w:val="13"/>
                        </w:rPr>
                      </w:pPr>
                      <w:r>
                        <w:rPr>
                          <w:rFonts w:ascii="SimSun" w:hAnsi="SimSun" w:eastAsia="SimSun" w:cs="SimSun"/>
                          <w:sz w:val="13"/>
                          <w:szCs w:val="13"/>
                          <w:spacing w:val="-1"/>
                          <w:w w:val="1"/>
                        </w:rPr>
                        <w:t>6.我们达到目标了吗?</w:t>
                      </w:r>
                    </w:p>
                  </w:txbxContent>
                </v:textbox>
              </v:shape>
            </w:pict>
          </mc:Fallback>
        </mc:AlternateContent>
      </w:r>
      <w:r>
        <w:pict>
          <v:shape id="_x0000_s16" style="position:absolute;margin-left:116.511pt;margin-top:337.813pt;mso-position-vertical-relative:page;mso-position-horizontal-relative:page;width:12.3pt;height:33.7pt;z-index:251705344;" o:allowincell="f"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6"/>
                      <w:szCs w:val="16"/>
                    </w:rPr>
                  </w:pPr>
                  <w:r>
                    <w:rPr>
                      <w:rFonts w:ascii="FZYaoTi" w:hAnsi="FZYaoTi" w:eastAsia="FZYaoTi" w:cs="FZYaoTi"/>
                      <w:sz w:val="16"/>
                      <w:szCs w:val="16"/>
                      <w:spacing w:val="1"/>
                    </w:rPr>
                    <w:t>实</w:t>
                  </w:r>
                  <w:r>
                    <w:rPr>
                      <w:rFonts w:ascii="FZYaoTi" w:hAnsi="FZYaoTi" w:eastAsia="FZYaoTi" w:cs="FZYaoTi"/>
                      <w:sz w:val="16"/>
                      <w:szCs w:val="16"/>
                      <w:spacing w:val="34"/>
                      <w:w w:val="101"/>
                    </w:rPr>
                    <w:t xml:space="preserve"> </w:t>
                  </w:r>
                  <w:r>
                    <w:rPr>
                      <w:rFonts w:ascii="FZYaoTi" w:hAnsi="FZYaoTi" w:eastAsia="FZYaoTi" w:cs="FZYaoTi"/>
                      <w:sz w:val="16"/>
                      <w:szCs w:val="16"/>
                      <w:spacing w:val="1"/>
                    </w:rPr>
                    <w:t>现</w:t>
                  </w:r>
                  <w:r>
                    <w:rPr>
                      <w:rFonts w:ascii="FZYaoTi" w:hAnsi="FZYaoTi" w:eastAsia="FZYaoTi" w:cs="FZYaoTi"/>
                      <w:sz w:val="16"/>
                      <w:szCs w:val="16"/>
                      <w:spacing w:val="35"/>
                      <w:w w:val="102"/>
                    </w:rPr>
                    <w:t xml:space="preserve"> </w:t>
                  </w:r>
                  <w:r>
                    <w:rPr>
                      <w:rFonts w:ascii="FZYaoTi" w:hAnsi="FZYaoTi" w:eastAsia="FZYaoTi" w:cs="FZYaoTi"/>
                      <w:sz w:val="16"/>
                      <w:szCs w:val="16"/>
                      <w:spacing w:val="1"/>
                    </w:rPr>
                    <w:t>收</w:t>
                  </w:r>
                </w:p>
              </w:txbxContent>
            </v:textbox>
          </v:shape>
        </w:pict>
      </w:r>
      <w:r>
        <w:drawing>
          <wp:anchor distT="0" distB="0" distL="0" distR="0" simplePos="0" relativeHeight="251682816" behindDoc="1" locked="0" layoutInCell="0" allowOverlap="1">
            <wp:simplePos x="0" y="0"/>
            <wp:positionH relativeFrom="page">
              <wp:posOffset>3302012</wp:posOffset>
            </wp:positionH>
            <wp:positionV relativeFrom="page">
              <wp:posOffset>4102072</wp:posOffset>
            </wp:positionV>
            <wp:extent cx="387362" cy="196850"/>
            <wp:effectExtent l="0" t="0" r="0" b="0"/>
            <wp:wrapNone/>
            <wp:docPr id="24" name="IM 24"/>
            <wp:cNvGraphicFramePr/>
            <a:graphic>
              <a:graphicData uri="http://schemas.openxmlformats.org/drawingml/2006/picture">
                <pic:pic>
                  <pic:nvPicPr>
                    <pic:cNvPr id="24" name="IM 24"/>
                    <pic:cNvPicPr/>
                  </pic:nvPicPr>
                  <pic:blipFill>
                    <a:blip r:embed="rId25"/>
                    <a:stretch>
                      <a:fillRect/>
                    </a:stretch>
                  </pic:blipFill>
                  <pic:spPr>
                    <a:xfrm rot="0">
                      <a:off x="0" y="0"/>
                      <a:ext cx="387362" cy="196850"/>
                    </a:xfrm>
                    <a:prstGeom prst="rect">
                      <a:avLst/>
                    </a:prstGeom>
                  </pic:spPr>
                </pic:pic>
              </a:graphicData>
            </a:graphic>
          </wp:anchor>
        </w:drawing>
      </w:r>
      <w:r>
        <w:drawing>
          <wp:anchor distT="0" distB="0" distL="0" distR="0" simplePos="0" relativeHeight="251683840" behindDoc="0" locked="0" layoutInCell="0" allowOverlap="1">
            <wp:simplePos x="0" y="0"/>
            <wp:positionH relativeFrom="page">
              <wp:posOffset>3682974</wp:posOffset>
            </wp:positionH>
            <wp:positionV relativeFrom="page">
              <wp:posOffset>3454385</wp:posOffset>
            </wp:positionV>
            <wp:extent cx="663597" cy="568364"/>
            <wp:effectExtent l="0" t="0" r="0" b="0"/>
            <wp:wrapNone/>
            <wp:docPr id="26" name="IM 26"/>
            <wp:cNvGraphicFramePr/>
            <a:graphic>
              <a:graphicData uri="http://schemas.openxmlformats.org/drawingml/2006/picture">
                <pic:pic>
                  <pic:nvPicPr>
                    <pic:cNvPr id="26" name="IM 26"/>
                    <pic:cNvPicPr/>
                  </pic:nvPicPr>
                  <pic:blipFill>
                    <a:blip r:embed="rId26"/>
                    <a:stretch>
                      <a:fillRect/>
                    </a:stretch>
                  </pic:blipFill>
                  <pic:spPr>
                    <a:xfrm rot="0">
                      <a:off x="0" y="0"/>
                      <a:ext cx="663597" cy="568364"/>
                    </a:xfrm>
                    <a:prstGeom prst="rect">
                      <a:avLst/>
                    </a:prstGeom>
                  </pic:spPr>
                </pic:pic>
              </a:graphicData>
            </a:graphic>
          </wp:anchor>
        </w:drawing>
      </w:r>
      <w:r>
        <w:drawing>
          <wp:anchor distT="0" distB="0" distL="0" distR="0" simplePos="0" relativeHeight="251687936" behindDoc="0" locked="0" layoutInCell="0" allowOverlap="1">
            <wp:simplePos x="0" y="0"/>
            <wp:positionH relativeFrom="page">
              <wp:posOffset>2247880</wp:posOffset>
            </wp:positionH>
            <wp:positionV relativeFrom="page">
              <wp:posOffset>5041864</wp:posOffset>
            </wp:positionV>
            <wp:extent cx="279406" cy="247647"/>
            <wp:effectExtent l="0" t="0" r="0" b="0"/>
            <wp:wrapNone/>
            <wp:docPr id="28" name="IM 28"/>
            <wp:cNvGraphicFramePr/>
            <a:graphic>
              <a:graphicData uri="http://schemas.openxmlformats.org/drawingml/2006/picture">
                <pic:pic>
                  <pic:nvPicPr>
                    <pic:cNvPr id="28" name="IM 28"/>
                    <pic:cNvPicPr/>
                  </pic:nvPicPr>
                  <pic:blipFill>
                    <a:blip r:embed="rId27"/>
                    <a:stretch>
                      <a:fillRect/>
                    </a:stretch>
                  </pic:blipFill>
                  <pic:spPr>
                    <a:xfrm rot="0">
                      <a:off x="0" y="0"/>
                      <a:ext cx="279406" cy="247647"/>
                    </a:xfrm>
                    <a:prstGeom prst="rect">
                      <a:avLst/>
                    </a:prstGeom>
                  </pic:spPr>
                </pic:pic>
              </a:graphicData>
            </a:graphic>
          </wp:anchor>
        </w:drawing>
      </w:r>
      <w:r>
        <w:drawing>
          <wp:anchor distT="0" distB="0" distL="0" distR="0" simplePos="0" relativeHeight="251702272" behindDoc="0" locked="0" layoutInCell="0" allowOverlap="1">
            <wp:simplePos x="0" y="0"/>
            <wp:positionH relativeFrom="page">
              <wp:posOffset>2051056</wp:posOffset>
            </wp:positionH>
            <wp:positionV relativeFrom="page">
              <wp:posOffset>5340309</wp:posOffset>
            </wp:positionV>
            <wp:extent cx="25374" cy="57221"/>
            <wp:effectExtent l="0" t="0" r="0" b="0"/>
            <wp:wrapNone/>
            <wp:docPr id="30" name="IM 30"/>
            <wp:cNvGraphicFramePr/>
            <a:graphic>
              <a:graphicData uri="http://schemas.openxmlformats.org/drawingml/2006/picture">
                <pic:pic>
                  <pic:nvPicPr>
                    <pic:cNvPr id="30" name="IM 30"/>
                    <pic:cNvPicPr/>
                  </pic:nvPicPr>
                  <pic:blipFill>
                    <a:blip r:embed="rId28"/>
                    <a:stretch>
                      <a:fillRect/>
                    </a:stretch>
                  </pic:blipFill>
                  <pic:spPr>
                    <a:xfrm rot="0">
                      <a:off x="0" y="0"/>
                      <a:ext cx="25374" cy="57221"/>
                    </a:xfrm>
                    <a:prstGeom prst="rect">
                      <a:avLst/>
                    </a:prstGeom>
                  </pic:spPr>
                </pic:pic>
              </a:graphicData>
            </a:graphic>
          </wp:anchor>
        </w:drawing>
      </w:r>
      <w:r>
        <w:drawing>
          <wp:anchor distT="0" distB="0" distL="0" distR="0" simplePos="0" relativeHeight="251699200" behindDoc="0" locked="0" layoutInCell="0" allowOverlap="1">
            <wp:simplePos x="0" y="0"/>
            <wp:positionH relativeFrom="page">
              <wp:posOffset>3422656</wp:posOffset>
            </wp:positionH>
            <wp:positionV relativeFrom="page">
              <wp:posOffset>5346734</wp:posOffset>
            </wp:positionV>
            <wp:extent cx="82524" cy="57136"/>
            <wp:effectExtent l="0" t="0" r="0" b="0"/>
            <wp:wrapNone/>
            <wp:docPr id="32" name="IM 32"/>
            <wp:cNvGraphicFramePr/>
            <a:graphic>
              <a:graphicData uri="http://schemas.openxmlformats.org/drawingml/2006/picture">
                <pic:pic>
                  <pic:nvPicPr>
                    <pic:cNvPr id="32" name="IM 32"/>
                    <pic:cNvPicPr/>
                  </pic:nvPicPr>
                  <pic:blipFill>
                    <a:blip r:embed="rId29"/>
                    <a:stretch>
                      <a:fillRect/>
                    </a:stretch>
                  </pic:blipFill>
                  <pic:spPr>
                    <a:xfrm rot="0">
                      <a:off x="0" y="0"/>
                      <a:ext cx="82524" cy="57136"/>
                    </a:xfrm>
                    <a:prstGeom prst="rect">
                      <a:avLst/>
                    </a:prstGeom>
                  </pic:spPr>
                </pic:pic>
              </a:graphicData>
            </a:graphic>
          </wp:anchor>
        </w:drawing>
      </w:r>
      <w:r>
        <w:drawing>
          <wp:anchor distT="0" distB="0" distL="0" distR="0" simplePos="0" relativeHeight="251697152" behindDoc="0" locked="0" layoutInCell="0" allowOverlap="1">
            <wp:simplePos x="0" y="0"/>
            <wp:positionH relativeFrom="page">
              <wp:posOffset>1974875</wp:posOffset>
            </wp:positionH>
            <wp:positionV relativeFrom="page">
              <wp:posOffset>5340309</wp:posOffset>
            </wp:positionV>
            <wp:extent cx="44405" cy="114357"/>
            <wp:effectExtent l="0" t="0" r="0" b="0"/>
            <wp:wrapNone/>
            <wp:docPr id="34" name="IM 34"/>
            <wp:cNvGraphicFramePr/>
            <a:graphic>
              <a:graphicData uri="http://schemas.openxmlformats.org/drawingml/2006/picture">
                <pic:pic>
                  <pic:nvPicPr>
                    <pic:cNvPr id="34" name="IM 34"/>
                    <pic:cNvPicPr/>
                  </pic:nvPicPr>
                  <pic:blipFill>
                    <a:blip r:embed="rId30"/>
                    <a:stretch>
                      <a:fillRect/>
                    </a:stretch>
                  </pic:blipFill>
                  <pic:spPr>
                    <a:xfrm rot="0">
                      <a:off x="0" y="0"/>
                      <a:ext cx="44405" cy="114357"/>
                    </a:xfrm>
                    <a:prstGeom prst="rect">
                      <a:avLst/>
                    </a:prstGeom>
                  </pic:spPr>
                </pic:pic>
              </a:graphicData>
            </a:graphic>
          </wp:anchor>
        </w:drawing>
      </w:r>
      <w:r>
        <w:drawing>
          <wp:anchor distT="0" distB="0" distL="0" distR="0" simplePos="0" relativeHeight="251695104" behindDoc="0" locked="0" layoutInCell="0" allowOverlap="1">
            <wp:simplePos x="0" y="0"/>
            <wp:positionH relativeFrom="page">
              <wp:posOffset>2032025</wp:posOffset>
            </wp:positionH>
            <wp:positionV relativeFrom="page">
              <wp:posOffset>5251478</wp:posOffset>
            </wp:positionV>
            <wp:extent cx="120643" cy="82492"/>
            <wp:effectExtent l="0" t="0" r="0" b="0"/>
            <wp:wrapNone/>
            <wp:docPr id="36" name="IM 36"/>
            <wp:cNvGraphicFramePr/>
            <a:graphic>
              <a:graphicData uri="http://schemas.openxmlformats.org/drawingml/2006/picture">
                <pic:pic>
                  <pic:nvPicPr>
                    <pic:cNvPr id="36" name="IM 36"/>
                    <pic:cNvPicPr/>
                  </pic:nvPicPr>
                  <pic:blipFill>
                    <a:blip r:embed="rId31"/>
                    <a:stretch>
                      <a:fillRect/>
                    </a:stretch>
                  </pic:blipFill>
                  <pic:spPr>
                    <a:xfrm rot="0">
                      <a:off x="0" y="0"/>
                      <a:ext cx="120643" cy="82492"/>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3136906</wp:posOffset>
            </wp:positionH>
            <wp:positionV relativeFrom="page">
              <wp:posOffset>5238714</wp:posOffset>
            </wp:positionV>
            <wp:extent cx="165106" cy="111188"/>
            <wp:effectExtent l="0" t="0" r="0" b="0"/>
            <wp:wrapNone/>
            <wp:docPr id="38" name="IM 38"/>
            <wp:cNvGraphicFramePr/>
            <a:graphic>
              <a:graphicData uri="http://schemas.openxmlformats.org/drawingml/2006/picture">
                <pic:pic>
                  <pic:nvPicPr>
                    <pic:cNvPr id="38" name="IM 38"/>
                    <pic:cNvPicPr/>
                  </pic:nvPicPr>
                  <pic:blipFill>
                    <a:blip r:embed="rId32"/>
                    <a:stretch>
                      <a:fillRect/>
                    </a:stretch>
                  </pic:blipFill>
                  <pic:spPr>
                    <a:xfrm rot="0">
                      <a:off x="0" y="0"/>
                      <a:ext cx="165106" cy="111188"/>
                    </a:xfrm>
                    <a:prstGeom prst="rect">
                      <a:avLst/>
                    </a:prstGeom>
                  </pic:spPr>
                </pic:pic>
              </a:graphicData>
            </a:graphic>
          </wp:anchor>
        </w:drawing>
      </w:r>
      <w:r>
        <w:drawing>
          <wp:anchor distT="0" distB="0" distL="0" distR="0" simplePos="0" relativeHeight="251700224" behindDoc="0" locked="0" layoutInCell="0" allowOverlap="1">
            <wp:simplePos x="0" y="0"/>
            <wp:positionH relativeFrom="page">
              <wp:posOffset>3435343</wp:posOffset>
            </wp:positionH>
            <wp:positionV relativeFrom="page">
              <wp:posOffset>5511803</wp:posOffset>
            </wp:positionV>
            <wp:extent cx="88925" cy="50797"/>
            <wp:effectExtent l="0" t="0" r="0" b="0"/>
            <wp:wrapNone/>
            <wp:docPr id="40" name="IM 40"/>
            <wp:cNvGraphicFramePr/>
            <a:graphic>
              <a:graphicData uri="http://schemas.openxmlformats.org/drawingml/2006/picture">
                <pic:pic>
                  <pic:nvPicPr>
                    <pic:cNvPr id="40" name="IM 40"/>
                    <pic:cNvPicPr/>
                  </pic:nvPicPr>
                  <pic:blipFill>
                    <a:blip r:embed="rId33"/>
                    <a:stretch>
                      <a:fillRect/>
                    </a:stretch>
                  </pic:blipFill>
                  <pic:spPr>
                    <a:xfrm rot="0">
                      <a:off x="0" y="0"/>
                      <a:ext cx="88925" cy="50797"/>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4337056</wp:posOffset>
            </wp:positionH>
            <wp:positionV relativeFrom="page">
              <wp:posOffset>5505464</wp:posOffset>
            </wp:positionV>
            <wp:extent cx="279406" cy="228544"/>
            <wp:effectExtent l="0" t="0" r="0" b="0"/>
            <wp:wrapNone/>
            <wp:docPr id="42" name="IM 42"/>
            <wp:cNvGraphicFramePr/>
            <a:graphic>
              <a:graphicData uri="http://schemas.openxmlformats.org/drawingml/2006/picture">
                <pic:pic>
                  <pic:nvPicPr>
                    <pic:cNvPr id="42" name="IM 42"/>
                    <pic:cNvPicPr/>
                  </pic:nvPicPr>
                  <pic:blipFill>
                    <a:blip r:embed="rId34"/>
                    <a:stretch>
                      <a:fillRect/>
                    </a:stretch>
                  </pic:blipFill>
                  <pic:spPr>
                    <a:xfrm rot="0">
                      <a:off x="0" y="0"/>
                      <a:ext cx="279406" cy="228544"/>
                    </a:xfrm>
                    <a:prstGeom prst="rect">
                      <a:avLst/>
                    </a:prstGeom>
                  </pic:spPr>
                </pic:pic>
              </a:graphicData>
            </a:graphic>
          </wp:anchor>
        </w:drawing>
      </w:r>
      <w:r>
        <w:drawing>
          <wp:anchor distT="0" distB="0" distL="0" distR="0" simplePos="0" relativeHeight="251694080" behindDoc="0" locked="0" layoutInCell="0" allowOverlap="1">
            <wp:simplePos x="0" y="0"/>
            <wp:positionH relativeFrom="page">
              <wp:posOffset>1746275</wp:posOffset>
            </wp:positionH>
            <wp:positionV relativeFrom="page">
              <wp:posOffset>5575278</wp:posOffset>
            </wp:positionV>
            <wp:extent cx="126987" cy="88916"/>
            <wp:effectExtent l="0" t="0" r="0" b="0"/>
            <wp:wrapNone/>
            <wp:docPr id="44" name="IM 44"/>
            <wp:cNvGraphicFramePr/>
            <a:graphic>
              <a:graphicData uri="http://schemas.openxmlformats.org/drawingml/2006/picture">
                <pic:pic>
                  <pic:nvPicPr>
                    <pic:cNvPr id="44" name="IM 44"/>
                    <pic:cNvPicPr/>
                  </pic:nvPicPr>
                  <pic:blipFill>
                    <a:blip r:embed="rId35"/>
                    <a:stretch>
                      <a:fillRect/>
                    </a:stretch>
                  </pic:blipFill>
                  <pic:spPr>
                    <a:xfrm rot="0">
                      <a:off x="0" y="0"/>
                      <a:ext cx="126987" cy="88916"/>
                    </a:xfrm>
                    <a:prstGeom prst="rect">
                      <a:avLst/>
                    </a:prstGeom>
                  </pic:spPr>
                </pic:pic>
              </a:graphicData>
            </a:graphic>
          </wp:anchor>
        </w:drawing>
      </w:r>
      <w:r>
        <w:drawing>
          <wp:anchor distT="0" distB="0" distL="0" distR="0" simplePos="0" relativeHeight="251701248" behindDoc="0" locked="0" layoutInCell="0" allowOverlap="1">
            <wp:simplePos x="0" y="0"/>
            <wp:positionH relativeFrom="page">
              <wp:posOffset>1797024</wp:posOffset>
            </wp:positionH>
            <wp:positionV relativeFrom="page">
              <wp:posOffset>5664195</wp:posOffset>
            </wp:positionV>
            <wp:extent cx="82581" cy="25441"/>
            <wp:effectExtent l="0" t="0" r="0" b="0"/>
            <wp:wrapNone/>
            <wp:docPr id="46" name="IM 46"/>
            <wp:cNvGraphicFramePr/>
            <a:graphic>
              <a:graphicData uri="http://schemas.openxmlformats.org/drawingml/2006/picture">
                <pic:pic>
                  <pic:nvPicPr>
                    <pic:cNvPr id="46" name="IM 46"/>
                    <pic:cNvPicPr/>
                  </pic:nvPicPr>
                  <pic:blipFill>
                    <a:blip r:embed="rId36"/>
                    <a:stretch>
                      <a:fillRect/>
                    </a:stretch>
                  </pic:blipFill>
                  <pic:spPr>
                    <a:xfrm rot="0">
                      <a:off x="0" y="0"/>
                      <a:ext cx="82581" cy="25441"/>
                    </a:xfrm>
                    <a:prstGeom prst="rect">
                      <a:avLst/>
                    </a:prstGeom>
                  </pic:spPr>
                </pic:pic>
              </a:graphicData>
            </a:graphic>
          </wp:anchor>
        </w:drawing>
      </w:r>
      <w:r>
        <w:drawing>
          <wp:anchor distT="0" distB="0" distL="0" distR="0" simplePos="0" relativeHeight="251693056" behindDoc="0" locked="0" layoutInCell="0" allowOverlap="1">
            <wp:simplePos x="0" y="0"/>
            <wp:positionH relativeFrom="page">
              <wp:posOffset>1844659</wp:posOffset>
            </wp:positionH>
            <wp:positionV relativeFrom="page">
              <wp:posOffset>5692806</wp:posOffset>
            </wp:positionV>
            <wp:extent cx="114300" cy="107933"/>
            <wp:effectExtent l="0" t="0" r="0" b="0"/>
            <wp:wrapNone/>
            <wp:docPr id="48" name="IM 48"/>
            <wp:cNvGraphicFramePr/>
            <a:graphic>
              <a:graphicData uri="http://schemas.openxmlformats.org/drawingml/2006/picture">
                <pic:pic>
                  <pic:nvPicPr>
                    <pic:cNvPr id="48" name="IM 48"/>
                    <pic:cNvPicPr/>
                  </pic:nvPicPr>
                  <pic:blipFill>
                    <a:blip r:embed="rId37"/>
                    <a:stretch>
                      <a:fillRect/>
                    </a:stretch>
                  </pic:blipFill>
                  <pic:spPr>
                    <a:xfrm rot="0">
                      <a:off x="0" y="0"/>
                      <a:ext cx="114300" cy="107933"/>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3692547</wp:posOffset>
            </wp:positionH>
            <wp:positionV relativeFrom="page">
              <wp:posOffset>5626075</wp:posOffset>
            </wp:positionV>
            <wp:extent cx="257146" cy="269919"/>
            <wp:effectExtent l="0" t="0" r="0" b="0"/>
            <wp:wrapNone/>
            <wp:docPr id="50" name="IM 50"/>
            <wp:cNvGraphicFramePr/>
            <a:graphic>
              <a:graphicData uri="http://schemas.openxmlformats.org/drawingml/2006/picture">
                <pic:pic>
                  <pic:nvPicPr>
                    <pic:cNvPr id="50" name="IM 50"/>
                    <pic:cNvPicPr/>
                  </pic:nvPicPr>
                  <pic:blipFill>
                    <a:blip r:embed="rId38"/>
                    <a:stretch>
                      <a:fillRect/>
                    </a:stretch>
                  </pic:blipFill>
                  <pic:spPr>
                    <a:xfrm rot="0">
                      <a:off x="0" y="0"/>
                      <a:ext cx="257146" cy="269919"/>
                    </a:xfrm>
                    <a:prstGeom prst="rect">
                      <a:avLst/>
                    </a:prstGeom>
                  </pic:spPr>
                </pic:pic>
              </a:graphicData>
            </a:graphic>
          </wp:anchor>
        </w:drawing>
      </w:r>
      <w:r>
        <w:drawing>
          <wp:anchor distT="0" distB="0" distL="0" distR="0" simplePos="0" relativeHeight="251696128" behindDoc="0" locked="0" layoutInCell="0" allowOverlap="1">
            <wp:simplePos x="0" y="0"/>
            <wp:positionH relativeFrom="page">
              <wp:posOffset>3651256</wp:posOffset>
            </wp:positionH>
            <wp:positionV relativeFrom="page">
              <wp:posOffset>5683255</wp:posOffset>
            </wp:positionV>
            <wp:extent cx="95269" cy="79365"/>
            <wp:effectExtent l="0" t="0" r="0" b="0"/>
            <wp:wrapNone/>
            <wp:docPr id="52" name="IM 52"/>
            <wp:cNvGraphicFramePr/>
            <a:graphic>
              <a:graphicData uri="http://schemas.openxmlformats.org/drawingml/2006/picture">
                <pic:pic>
                  <pic:nvPicPr>
                    <pic:cNvPr id="52" name="IM 52"/>
                    <pic:cNvPicPr/>
                  </pic:nvPicPr>
                  <pic:blipFill>
                    <a:blip r:embed="rId39"/>
                    <a:stretch>
                      <a:fillRect/>
                    </a:stretch>
                  </pic:blipFill>
                  <pic:spPr>
                    <a:xfrm rot="0">
                      <a:off x="0" y="0"/>
                      <a:ext cx="95269" cy="79365"/>
                    </a:xfrm>
                    <a:prstGeom prst="rect">
                      <a:avLst/>
                    </a:prstGeom>
                  </pic:spPr>
                </pic:pic>
              </a:graphicData>
            </a:graphic>
          </wp:anchor>
        </w:drawing>
      </w:r>
      <w:r>
        <w:rPr>
          <w:rFonts w:ascii="SimSun" w:hAnsi="SimSun" w:eastAsia="SimSun" w:cs="SimSun"/>
          <w:sz w:val="20"/>
          <w:szCs w:val="20"/>
          <w:b/>
          <w:bCs/>
          <w:spacing w:val="7"/>
        </w:rPr>
        <w:t>第</w:t>
      </w:r>
      <w:r>
        <w:rPr>
          <w:rFonts w:ascii="SimSun" w:hAnsi="SimSun" w:eastAsia="SimSun" w:cs="SimSun"/>
          <w:sz w:val="20"/>
          <w:szCs w:val="20"/>
          <w:spacing w:val="7"/>
        </w:rPr>
        <w:t xml:space="preserve"> </w:t>
      </w:r>
      <w:r>
        <w:rPr>
          <w:rFonts w:ascii="SimSun" w:hAnsi="SimSun" w:eastAsia="SimSun" w:cs="SimSun"/>
          <w:sz w:val="20"/>
          <w:szCs w:val="20"/>
          <w:b/>
          <w:bCs/>
          <w:spacing w:val="7"/>
        </w:rPr>
        <w:t>1</w:t>
      </w:r>
      <w:r>
        <w:rPr>
          <w:rFonts w:ascii="SimSun" w:hAnsi="SimSun" w:eastAsia="SimSun" w:cs="SimSun"/>
          <w:sz w:val="20"/>
          <w:szCs w:val="20"/>
          <w:spacing w:val="-9"/>
        </w:rPr>
        <w:t xml:space="preserve"> </w:t>
      </w:r>
      <w:r>
        <w:rPr>
          <w:rFonts w:ascii="SimSun" w:hAnsi="SimSun" w:eastAsia="SimSun" w:cs="SimSun"/>
          <w:sz w:val="20"/>
          <w:szCs w:val="20"/>
          <w:b/>
          <w:bCs/>
          <w:spacing w:val="7"/>
        </w:rPr>
        <w:t>章</w:t>
      </w:r>
      <w:r>
        <w:rPr>
          <w:rFonts w:ascii="SimSun" w:hAnsi="SimSun" w:eastAsia="SimSun" w:cs="SimSun"/>
          <w:sz w:val="20"/>
          <w:szCs w:val="20"/>
          <w:spacing w:val="5"/>
        </w:rPr>
        <w:t xml:space="preserve">  </w:t>
      </w:r>
      <w:r>
        <w:rPr>
          <w:rFonts w:ascii="SimSun" w:hAnsi="SimSun" w:eastAsia="SimSun" w:cs="SimSun"/>
          <w:sz w:val="20"/>
          <w:szCs w:val="20"/>
          <w:b/>
          <w:bCs/>
          <w:spacing w:val="7"/>
        </w:rPr>
        <w:t>数据治理概述</w:t>
      </w:r>
    </w:p>
    <w:p>
      <w:pPr>
        <w:pStyle w:val="BodyText"/>
        <w:spacing w:line="336" w:lineRule="auto"/>
        <w:rPr/>
      </w:pPr>
      <w:r/>
    </w:p>
    <w:p>
      <w:pPr>
        <w:pStyle w:val="BodyText"/>
        <w:ind w:firstLine="1679"/>
        <w:spacing w:line="3030" w:lineRule="exact"/>
        <w:rPr/>
      </w:pPr>
      <w:r>
        <w:rPr>
          <w:position w:val="-60"/>
        </w:rPr>
        <w:pict>
          <v:group id="_x0000_s18" style="mso-position-vertical-relative:line;mso-position-horizontal-relative:char;width:219.55pt;height:151.5pt;" filled="false" stroked="false" coordsize="4391,3030" coordorigin="0,0">
            <v:shape id="_x0000_s20" style="position:absolute;left:0;top:0;width:4391;height:3030;" filled="false" stroked="false" type="#_x0000_t75">
              <v:imagedata o:title="" r:id="rId40"/>
            </v:shape>
            <v:shape id="_x0000_s22" style="position:absolute;left:210;top:236;width:3516;height:2580;" filled="false" stroked="false" type="#_x0000_t202">
              <v:fill on="false"/>
              <v:stroke on="false"/>
              <v:path/>
              <v:imagedata o:title=""/>
              <o:lock v:ext="edit" aspectratio="false"/>
              <v:textbox inset="0mm,0mm,0mm,0mm">
                <w:txbxContent>
                  <w:p>
                    <w:pPr>
                      <w:ind w:left="1519"/>
                      <w:spacing w:before="19" w:line="229" w:lineRule="auto"/>
                      <w:rPr>
                        <w:rFonts w:ascii="SimSun" w:hAnsi="SimSun" w:eastAsia="SimSun" w:cs="SimSun"/>
                        <w:sz w:val="17"/>
                        <w:szCs w:val="17"/>
                      </w:rPr>
                    </w:pPr>
                    <w:r>
                      <w:rPr>
                        <w:rFonts w:ascii="SimSun" w:hAnsi="SimSun" w:eastAsia="SimSun" w:cs="SimSun"/>
                        <w:sz w:val="17"/>
                        <w:szCs w:val="17"/>
                        <w:spacing w:val="-11"/>
                      </w:rPr>
                      <w:t>满足利益相</w:t>
                    </w:r>
                  </w:p>
                  <w:p>
                    <w:pPr>
                      <w:ind w:left="1689"/>
                      <w:spacing w:line="220" w:lineRule="auto"/>
                      <w:rPr>
                        <w:rFonts w:ascii="SimSun" w:hAnsi="SimSun" w:eastAsia="SimSun" w:cs="SimSun"/>
                        <w:sz w:val="17"/>
                        <w:szCs w:val="17"/>
                      </w:rPr>
                    </w:pPr>
                    <w:r>
                      <w:rPr>
                        <w:rFonts w:ascii="SimSun" w:hAnsi="SimSun" w:eastAsia="SimSun" w:cs="SimSun"/>
                        <w:sz w:val="17"/>
                        <w:szCs w:val="17"/>
                        <w:spacing w:val="-14"/>
                      </w:rPr>
                      <w:t>关者需求</w:t>
                    </w:r>
                  </w:p>
                  <w:p>
                    <w:pPr>
                      <w:spacing w:line="389" w:lineRule="auto"/>
                      <w:rPr>
                        <w:rFonts w:ascii="Arial"/>
                        <w:sz w:val="21"/>
                      </w:rPr>
                    </w:pPr>
                    <w:r/>
                  </w:p>
                  <w:p>
                    <w:pPr>
                      <w:ind w:left="20"/>
                      <w:spacing w:before="55" w:line="195" w:lineRule="auto"/>
                      <w:rPr>
                        <w:rFonts w:ascii="SimSun" w:hAnsi="SimSun" w:eastAsia="SimSun" w:cs="SimSun"/>
                        <w:sz w:val="17"/>
                        <w:szCs w:val="17"/>
                      </w:rPr>
                    </w:pPr>
                    <w:r>
                      <w:rPr>
                        <w:rFonts w:ascii="SimSun" w:hAnsi="SimSun" w:eastAsia="SimSun" w:cs="SimSun"/>
                        <w:sz w:val="17"/>
                        <w:szCs w:val="17"/>
                        <w:spacing w:val="-14"/>
                      </w:rPr>
                      <w:t>区分治理和</w:t>
                    </w:r>
                  </w:p>
                  <w:p>
                    <w:pPr>
                      <w:ind w:left="280"/>
                      <w:spacing w:line="219" w:lineRule="auto"/>
                      <w:rPr>
                        <w:rFonts w:ascii="SimSun" w:hAnsi="SimSun" w:eastAsia="SimSun" w:cs="SimSun"/>
                        <w:sz w:val="17"/>
                        <w:szCs w:val="17"/>
                      </w:rPr>
                    </w:pPr>
                    <w:r>
                      <w:rPr>
                        <w:rFonts w:ascii="SimSun" w:hAnsi="SimSun" w:eastAsia="SimSun" w:cs="SimSun"/>
                        <w:sz w:val="17"/>
                        <w:szCs w:val="17"/>
                        <w:spacing w:val="-3"/>
                      </w:rPr>
                      <w:t>管理</w:t>
                    </w:r>
                  </w:p>
                  <w:p>
                    <w:pPr>
                      <w:ind w:left="1519"/>
                      <w:spacing w:before="108" w:line="220" w:lineRule="auto"/>
                      <w:rPr>
                        <w:rFonts w:ascii="SimSun" w:hAnsi="SimSun" w:eastAsia="SimSun" w:cs="SimSun"/>
                        <w:sz w:val="17"/>
                        <w:szCs w:val="17"/>
                      </w:rPr>
                    </w:pPr>
                    <w:r>
                      <w:rPr>
                        <w:rFonts w:ascii="Times New Roman" w:hAnsi="Times New Roman" w:eastAsia="Times New Roman" w:cs="Times New Roman"/>
                        <w:sz w:val="17"/>
                        <w:szCs w:val="17"/>
                        <w:spacing w:val="-9"/>
                      </w:rPr>
                      <w:t>COBITS</w:t>
                    </w:r>
                    <w:r>
                      <w:rPr>
                        <w:rFonts w:ascii="SimSun" w:hAnsi="SimSun" w:eastAsia="SimSun" w:cs="SimSun"/>
                        <w:sz w:val="17"/>
                        <w:szCs w:val="17"/>
                        <w:spacing w:val="-9"/>
                      </w:rPr>
                      <w:t>原则</w:t>
                    </w:r>
                  </w:p>
                  <w:p>
                    <w:pPr>
                      <w:spacing w:line="278" w:lineRule="auto"/>
                      <w:rPr>
                        <w:rFonts w:ascii="Arial"/>
                        <w:sz w:val="21"/>
                      </w:rPr>
                    </w:pPr>
                    <w:r/>
                  </w:p>
                  <w:p>
                    <w:pPr>
                      <w:spacing w:line="278" w:lineRule="auto"/>
                      <w:rPr>
                        <w:rFonts w:ascii="Arial"/>
                        <w:sz w:val="21"/>
                      </w:rPr>
                    </w:pPr>
                    <w:r/>
                  </w:p>
                  <w:p>
                    <w:pPr>
                      <w:ind w:left="2908" w:right="20" w:hanging="179"/>
                      <w:spacing w:before="56" w:line="219" w:lineRule="auto"/>
                      <w:rPr>
                        <w:rFonts w:ascii="SimSun" w:hAnsi="SimSun" w:eastAsia="SimSun" w:cs="SimSun"/>
                        <w:sz w:val="17"/>
                        <w:szCs w:val="17"/>
                      </w:rPr>
                    </w:pPr>
                    <w:r>
                      <w:rPr>
                        <w:rFonts w:ascii="SimSun" w:hAnsi="SimSun" w:eastAsia="SimSun" w:cs="SimSun"/>
                        <w:sz w:val="17"/>
                        <w:szCs w:val="17"/>
                        <w:spacing w:val="-14"/>
                        <w:w w:val="98"/>
                      </w:rPr>
                      <w:t>采用单一集</w:t>
                    </w:r>
                    <w:r>
                      <w:rPr>
                        <w:rFonts w:ascii="SimSun" w:hAnsi="SimSun" w:eastAsia="SimSun" w:cs="SimSun"/>
                        <w:sz w:val="17"/>
                        <w:szCs w:val="17"/>
                        <w:spacing w:val="1"/>
                      </w:rPr>
                      <w:t xml:space="preserve"> </w:t>
                    </w:r>
                    <w:r>
                      <w:rPr>
                        <w:rFonts w:ascii="SimSun" w:hAnsi="SimSun" w:eastAsia="SimSun" w:cs="SimSun"/>
                        <w:sz w:val="17"/>
                        <w:szCs w:val="17"/>
                        <w:spacing w:val="-10"/>
                      </w:rPr>
                      <w:t>成框架</w:t>
                    </w:r>
                  </w:p>
                </w:txbxContent>
              </v:textbox>
            </v:shape>
            <v:shape id="_x0000_s24" style="position:absolute;left:3250;top:1116;width:808;height:410;" filled="false" stroked="false" type="#_x0000_t202">
              <v:fill on="false"/>
              <v:stroke on="false"/>
              <v:path/>
              <v:imagedata o:title=""/>
              <o:lock v:ext="edit" aspectratio="false"/>
              <v:textbox inset="0mm,0mm,0mm,0mm">
                <w:txbxContent>
                  <w:p>
                    <w:pPr>
                      <w:ind w:left="278" w:right="20" w:hanging="259"/>
                      <w:spacing w:before="19" w:line="223" w:lineRule="auto"/>
                      <w:rPr>
                        <w:rFonts w:ascii="SimSun" w:hAnsi="SimSun" w:eastAsia="SimSun" w:cs="SimSun"/>
                        <w:sz w:val="17"/>
                        <w:szCs w:val="17"/>
                      </w:rPr>
                    </w:pPr>
                    <w:r>
                      <w:rPr>
                        <w:rFonts w:ascii="SimSun" w:hAnsi="SimSun" w:eastAsia="SimSun" w:cs="SimSun"/>
                        <w:sz w:val="17"/>
                        <w:szCs w:val="17"/>
                        <w:spacing w:val="-16"/>
                        <w:w w:val="99"/>
                      </w:rPr>
                      <w:t>端到端覆盖</w:t>
                    </w:r>
                    <w:r>
                      <w:rPr>
                        <w:rFonts w:ascii="SimSun" w:hAnsi="SimSun" w:eastAsia="SimSun" w:cs="SimSun"/>
                        <w:sz w:val="17"/>
                        <w:szCs w:val="17"/>
                        <w:spacing w:val="4"/>
                      </w:rPr>
                      <w:t xml:space="preserve"> </w:t>
                    </w:r>
                    <w:r>
                      <w:rPr>
                        <w:rFonts w:ascii="SimSun" w:hAnsi="SimSun" w:eastAsia="SimSun" w:cs="SimSun"/>
                        <w:sz w:val="17"/>
                        <w:szCs w:val="17"/>
                        <w:spacing w:val="-3"/>
                      </w:rPr>
                      <w:t>企业</w:t>
                    </w:r>
                  </w:p>
                </w:txbxContent>
              </v:textbox>
            </v:shape>
            <v:shape id="_x0000_s26" style="position:absolute;left:770;top:2377;width:816;height:400;" filled="false" stroked="false" type="#_x0000_t202">
              <v:fill on="false"/>
              <v:stroke on="false"/>
              <v:path/>
              <v:imagedata o:title=""/>
              <o:lock v:ext="edit" aspectratio="false"/>
              <v:textbox inset="0mm,0mm,0mm,0mm">
                <w:txbxContent>
                  <w:p>
                    <w:pPr>
                      <w:ind w:left="20"/>
                      <w:spacing w:before="20" w:line="207" w:lineRule="auto"/>
                      <w:rPr>
                        <w:rFonts w:ascii="SimSun" w:hAnsi="SimSun" w:eastAsia="SimSun" w:cs="SimSun"/>
                        <w:sz w:val="17"/>
                        <w:szCs w:val="17"/>
                      </w:rPr>
                    </w:pPr>
                    <w:r>
                      <w:rPr>
                        <w:rFonts w:ascii="SimSun" w:hAnsi="SimSun" w:eastAsia="SimSun" w:cs="SimSun"/>
                        <w:sz w:val="17"/>
                        <w:szCs w:val="17"/>
                        <w:spacing w:val="-13"/>
                      </w:rPr>
                      <w:t>启用一种综</w:t>
                    </w:r>
                  </w:p>
                  <w:p>
                    <w:pPr>
                      <w:ind w:left="110"/>
                      <w:spacing w:line="220" w:lineRule="auto"/>
                      <w:rPr>
                        <w:rFonts w:ascii="SimSun" w:hAnsi="SimSun" w:eastAsia="SimSun" w:cs="SimSun"/>
                        <w:sz w:val="17"/>
                        <w:szCs w:val="17"/>
                      </w:rPr>
                    </w:pPr>
                    <w:r>
                      <w:rPr>
                        <w:rFonts w:ascii="SimSun" w:hAnsi="SimSun" w:eastAsia="SimSun" w:cs="SimSun"/>
                        <w:sz w:val="17"/>
                        <w:szCs w:val="17"/>
                        <w:spacing w:val="-13"/>
                      </w:rPr>
                      <w:t>合的方法</w:t>
                    </w:r>
                  </w:p>
                </w:txbxContent>
              </v:textbox>
            </v:shape>
          </v:group>
        </w:pict>
      </w:r>
    </w:p>
    <w:p>
      <w:pPr>
        <w:ind w:left="2430"/>
        <w:spacing w:before="176" w:line="222" w:lineRule="auto"/>
        <w:rPr>
          <w:rFonts w:ascii="SimHei" w:hAnsi="SimHei" w:eastAsia="SimHei" w:cs="SimHei"/>
          <w:sz w:val="20"/>
          <w:szCs w:val="20"/>
        </w:rPr>
      </w:pPr>
      <w:r>
        <w:rPr>
          <w:rFonts w:ascii="SimHei" w:hAnsi="SimHei" w:eastAsia="SimHei" w:cs="SimHei"/>
          <w:sz w:val="20"/>
          <w:szCs w:val="20"/>
          <w:spacing w:val="-7"/>
        </w:rPr>
        <w:t>图1-2</w:t>
      </w:r>
      <w:r>
        <w:rPr>
          <w:rFonts w:ascii="SimHei" w:hAnsi="SimHei" w:eastAsia="SimHei" w:cs="SimHei"/>
          <w:sz w:val="20"/>
          <w:szCs w:val="20"/>
          <w:spacing w:val="27"/>
        </w:rPr>
        <w:t xml:space="preserve"> </w:t>
      </w:r>
      <w:r>
        <w:rPr>
          <w:rFonts w:ascii="SimSun" w:hAnsi="SimSun" w:eastAsia="SimSun" w:cs="SimSun"/>
          <w:sz w:val="20"/>
          <w:szCs w:val="20"/>
          <w:spacing w:val="-7"/>
        </w:rPr>
        <w:t>COBIT5</w:t>
      </w:r>
      <w:r>
        <w:rPr>
          <w:rFonts w:ascii="SimSun" w:hAnsi="SimSun" w:eastAsia="SimSun" w:cs="SimSun"/>
          <w:sz w:val="20"/>
          <w:szCs w:val="20"/>
          <w:spacing w:val="27"/>
        </w:rPr>
        <w:t xml:space="preserve"> </w:t>
      </w:r>
      <w:r>
        <w:rPr>
          <w:rFonts w:ascii="SimHei" w:hAnsi="SimHei" w:eastAsia="SimHei" w:cs="SimHei"/>
          <w:sz w:val="20"/>
          <w:szCs w:val="20"/>
          <w:spacing w:val="-7"/>
        </w:rPr>
        <w:t>数据治理基本原则</w:t>
      </w:r>
    </w:p>
    <w:p>
      <w:pPr>
        <w:pStyle w:val="BodyText"/>
        <w:spacing w:line="421" w:lineRule="auto"/>
        <w:rPr/>
      </w:pPr>
      <w:r/>
    </w:p>
    <w:p>
      <w:pPr>
        <w:ind w:left="2169"/>
        <w:spacing w:before="56" w:line="227" w:lineRule="auto"/>
        <w:rPr>
          <w:rFonts w:ascii="KaiTi" w:hAnsi="KaiTi" w:eastAsia="KaiTi" w:cs="KaiTi"/>
          <w:sz w:val="17"/>
          <w:szCs w:val="17"/>
        </w:rPr>
      </w:pPr>
      <w:r>
        <w:drawing>
          <wp:anchor distT="0" distB="0" distL="0" distR="0" simplePos="0" relativeHeight="251681792" behindDoc="1" locked="0" layoutInCell="1" allowOverlap="1">
            <wp:simplePos x="0" y="0"/>
            <wp:positionH relativeFrom="column">
              <wp:posOffset>412737</wp:posOffset>
            </wp:positionH>
            <wp:positionV relativeFrom="paragraph">
              <wp:posOffset>-216363</wp:posOffset>
            </wp:positionV>
            <wp:extent cx="4032217" cy="3638471"/>
            <wp:effectExtent l="0" t="0" r="0" b="0"/>
            <wp:wrapNone/>
            <wp:docPr id="54" name="IM 54"/>
            <wp:cNvGraphicFramePr/>
            <a:graphic>
              <a:graphicData uri="http://schemas.openxmlformats.org/drawingml/2006/picture">
                <pic:pic>
                  <pic:nvPicPr>
                    <pic:cNvPr id="54" name="IM 54"/>
                    <pic:cNvPicPr/>
                  </pic:nvPicPr>
                  <pic:blipFill>
                    <a:blip r:embed="rId41"/>
                    <a:stretch>
                      <a:fillRect/>
                    </a:stretch>
                  </pic:blipFill>
                  <pic:spPr>
                    <a:xfrm rot="0">
                      <a:off x="0" y="0"/>
                      <a:ext cx="4032217" cy="3638471"/>
                    </a:xfrm>
                    <a:prstGeom prst="rect">
                      <a:avLst/>
                    </a:prstGeom>
                  </pic:spPr>
                </pic:pic>
              </a:graphicData>
            </a:graphic>
          </wp:anchor>
        </w:drawing>
      </w:r>
      <w:r>
        <w:rPr>
          <w:rFonts w:ascii="KaiTi" w:hAnsi="KaiTi" w:eastAsia="KaiTi" w:cs="KaiTi"/>
          <w:sz w:val="17"/>
          <w:szCs w:val="17"/>
          <w:i/>
          <w:iCs/>
          <w:spacing w:val="-12"/>
          <w:w w:val="97"/>
        </w:rPr>
        <w:t>7.</w:t>
      </w:r>
      <w:r>
        <w:rPr>
          <w:rFonts w:ascii="KaiTi" w:hAnsi="KaiTi" w:eastAsia="KaiTi" w:cs="KaiTi"/>
          <w:sz w:val="17"/>
          <w:szCs w:val="17"/>
          <w:spacing w:val="-45"/>
        </w:rPr>
        <w:t xml:space="preserve"> </w:t>
      </w:r>
      <w:r>
        <w:rPr>
          <w:rFonts w:ascii="KaiTi" w:hAnsi="KaiTi" w:eastAsia="KaiTi" w:cs="KaiTi"/>
          <w:sz w:val="17"/>
          <w:szCs w:val="17"/>
          <w:i/>
          <w:iCs/>
          <w:spacing w:val="-12"/>
          <w:w w:val="97"/>
        </w:rPr>
        <w:t>我们如何保持这种势头?</w:t>
      </w:r>
    </w:p>
    <w:p>
      <w:pPr>
        <w:pStyle w:val="BodyText"/>
        <w:spacing w:line="293" w:lineRule="auto"/>
        <w:rPr/>
      </w:pPr>
      <w:r/>
    </w:p>
    <w:p>
      <w:pPr>
        <w:ind w:left="2878"/>
        <w:spacing w:before="43" w:line="218" w:lineRule="auto"/>
        <w:rPr>
          <w:rFonts w:ascii="SimSun" w:hAnsi="SimSun" w:eastAsia="SimSun" w:cs="SimSun"/>
          <w:sz w:val="13"/>
          <w:szCs w:val="13"/>
        </w:rPr>
      </w:pPr>
      <w:r>
        <w:rPr>
          <w:rFonts w:ascii="SimSun" w:hAnsi="SimSun" w:eastAsia="SimSun" w:cs="SimSun"/>
          <w:sz w:val="13"/>
          <w:szCs w:val="13"/>
          <w:i/>
          <w:iCs/>
          <w:spacing w:val="7"/>
        </w:rPr>
        <w:t>评估有效性</w:t>
      </w:r>
    </w:p>
    <w:p>
      <w:pPr>
        <w:spacing w:before="120"/>
        <w:rPr/>
      </w:pPr>
      <w:r/>
    </w:p>
    <w:p>
      <w:pPr>
        <w:sectPr>
          <w:footerReference w:type="default" r:id="rId24"/>
          <w:pgSz w:w="9000" w:h="13490"/>
          <w:pgMar w:top="400" w:right="442" w:bottom="558" w:left="680" w:header="0" w:footer="361" w:gutter="0"/>
          <w:cols w:equalWidth="0" w:num="1">
            <w:col w:w="7878" w:space="0"/>
          </w:cols>
        </w:sectPr>
        <w:rPr/>
      </w:pPr>
    </w:p>
    <w:p>
      <w:pPr>
        <w:rPr/>
      </w:pPr>
      <w:r/>
    </w:p>
    <w:p>
      <w:pPr>
        <w:pStyle w:val="BodyText"/>
        <w:spacing w:line="14" w:lineRule="auto"/>
        <w:rPr>
          <w:sz w:val="2"/>
        </w:rPr>
      </w:pPr>
      <w:r>
        <w:rPr>
          <w:sz w:val="2"/>
          <w:szCs w:val="2"/>
        </w:rPr>
        <w:br w:type="column"/>
      </w:r>
    </w:p>
    <w:p>
      <w:pPr>
        <w:pStyle w:val="BodyText"/>
        <w:spacing w:line="268" w:lineRule="auto"/>
        <w:rPr/>
      </w:pPr>
      <w:r/>
    </w:p>
    <w:p>
      <w:pPr>
        <w:pStyle w:val="BodyText"/>
        <w:spacing w:line="268" w:lineRule="auto"/>
        <w:rPr/>
      </w:pPr>
      <w:r/>
    </w:p>
    <w:p>
      <w:pPr>
        <w:pStyle w:val="BodyText"/>
        <w:spacing w:line="269" w:lineRule="auto"/>
        <w:rPr/>
      </w:pPr>
      <w:r/>
    </w:p>
    <w:p>
      <w:pPr>
        <w:ind w:left="160" w:right="94" w:firstLine="69"/>
        <w:spacing w:before="56" w:line="224" w:lineRule="auto"/>
        <w:rPr>
          <w:rFonts w:ascii="SimSun" w:hAnsi="SimSun" w:eastAsia="SimSun" w:cs="SimSun"/>
          <w:sz w:val="17"/>
          <w:szCs w:val="17"/>
        </w:rPr>
      </w:pPr>
      <w:r>
        <w:rPr>
          <w:rFonts w:ascii="SimSun" w:hAnsi="SimSun" w:eastAsia="SimSun" w:cs="SimSun"/>
          <w:sz w:val="17"/>
          <w:szCs w:val="17"/>
          <w:spacing w:val="-11"/>
          <w:w w:val="96"/>
        </w:rPr>
        <w:t>嵌入</w:t>
      </w:r>
      <w:r>
        <w:rPr>
          <w:rFonts w:ascii="SimSun" w:hAnsi="SimSun" w:eastAsia="SimSun" w:cs="SimSun"/>
          <w:sz w:val="17"/>
          <w:szCs w:val="17"/>
        </w:rPr>
        <w:t xml:space="preserve">  </w:t>
      </w:r>
      <w:r>
        <w:rPr>
          <w:rFonts w:ascii="SimSun" w:hAnsi="SimSun" w:eastAsia="SimSun" w:cs="SimSun"/>
          <w:sz w:val="17"/>
          <w:szCs w:val="17"/>
          <w:spacing w:val="-12"/>
          <w:w w:val="98"/>
        </w:rPr>
        <w:t>新方法</w:t>
      </w:r>
    </w:p>
    <w:p>
      <w:pPr>
        <w:pStyle w:val="BodyText"/>
        <w:spacing w:line="14" w:lineRule="auto"/>
        <w:rPr>
          <w:sz w:val="2"/>
        </w:rPr>
      </w:pPr>
      <w:r>
        <w:rPr>
          <w:sz w:val="2"/>
          <w:szCs w:val="2"/>
        </w:rPr>
        <w:br w:type="column"/>
      </w:r>
    </w:p>
    <w:p>
      <w:pPr>
        <w:ind w:left="469"/>
        <w:spacing w:before="56" w:line="219" w:lineRule="auto"/>
        <w:rPr>
          <w:rFonts w:ascii="SimSun" w:hAnsi="SimSun" w:eastAsia="SimSun" w:cs="SimSun"/>
          <w:sz w:val="17"/>
          <w:szCs w:val="17"/>
        </w:rPr>
      </w:pPr>
      <w:r>
        <w:rPr>
          <w:rFonts w:ascii="SimSun" w:hAnsi="SimSun" w:eastAsia="SimSun" w:cs="SimSun"/>
          <w:sz w:val="17"/>
          <w:szCs w:val="17"/>
          <w:spacing w:val="-2"/>
        </w:rPr>
        <w:t>保持</w:t>
      </w:r>
    </w:p>
    <w:p>
      <w:pPr>
        <w:ind w:left="579"/>
        <w:spacing w:before="190" w:line="201" w:lineRule="auto"/>
        <w:rPr>
          <w:rFonts w:ascii="SimSun" w:hAnsi="SimSun" w:eastAsia="SimSun" w:cs="SimSun"/>
          <w:sz w:val="20"/>
          <w:szCs w:val="20"/>
        </w:rPr>
      </w:pPr>
      <w:r>
        <w:rPr>
          <w:rFonts w:ascii="SimSun" w:hAnsi="SimSun" w:eastAsia="SimSun" w:cs="SimSun"/>
          <w:sz w:val="20"/>
          <w:szCs w:val="20"/>
          <w:spacing w:val="-4"/>
        </w:rPr>
        <w:t>控</w:t>
      </w:r>
      <w:r>
        <w:rPr>
          <w:rFonts w:ascii="SimSun" w:hAnsi="SimSun" w:eastAsia="SimSun" w:cs="SimSun"/>
          <w:sz w:val="20"/>
          <w:szCs w:val="20"/>
          <w:spacing w:val="-9"/>
        </w:rPr>
        <w:t xml:space="preserve"> </w:t>
      </w:r>
      <w:r>
        <w:rPr>
          <w:rFonts w:ascii="SimSun" w:hAnsi="SimSun" w:eastAsia="SimSun" w:cs="SimSun"/>
          <w:sz w:val="20"/>
          <w:szCs w:val="20"/>
          <w:spacing w:val="-4"/>
        </w:rPr>
        <w:t>和</w:t>
      </w:r>
    </w:p>
    <w:p>
      <w:pPr>
        <w:ind w:left="679"/>
        <w:spacing w:before="1" w:line="217" w:lineRule="auto"/>
        <w:rPr>
          <w:rFonts w:ascii="SimSun" w:hAnsi="SimSun" w:eastAsia="SimSun" w:cs="SimSun"/>
          <w:sz w:val="20"/>
          <w:szCs w:val="20"/>
        </w:rPr>
      </w:pPr>
      <w:r>
        <w:rPr>
          <w:rFonts w:ascii="SimSun" w:hAnsi="SimSun" w:eastAsia="SimSun" w:cs="SimSun"/>
          <w:sz w:val="20"/>
          <w:szCs w:val="20"/>
          <w:color w:val="FFFFFF"/>
          <w:spacing w:val="-13"/>
        </w:rPr>
        <w:t>评估</w:t>
      </w:r>
    </w:p>
    <w:p>
      <w:pPr>
        <w:spacing w:before="115" w:line="229" w:lineRule="auto"/>
        <w:rPr>
          <w:rFonts w:ascii="SimSun" w:hAnsi="SimSun" w:eastAsia="SimSun" w:cs="SimSun"/>
          <w:sz w:val="17"/>
          <w:szCs w:val="17"/>
        </w:rPr>
      </w:pPr>
      <w:r>
        <w:rPr>
          <w:rFonts w:ascii="SimSun" w:hAnsi="SimSun" w:eastAsia="SimSun" w:cs="SimSun"/>
          <w:sz w:val="17"/>
          <w:szCs w:val="17"/>
          <w:spacing w:val="-8"/>
        </w:rPr>
        <w:t>启用新</w:t>
      </w:r>
    </w:p>
    <w:p>
      <w:pPr>
        <w:ind w:left="80"/>
        <w:spacing w:line="220" w:lineRule="auto"/>
        <w:rPr>
          <w:rFonts w:ascii="SimSun" w:hAnsi="SimSun" w:eastAsia="SimSun" w:cs="SimSun"/>
          <w:sz w:val="17"/>
          <w:szCs w:val="17"/>
        </w:rPr>
      </w:pPr>
      <w:r>
        <w:rPr>
          <w:rFonts w:ascii="SimSun" w:hAnsi="SimSun" w:eastAsia="SimSun" w:cs="SimSun"/>
          <w:sz w:val="17"/>
          <w:szCs w:val="17"/>
          <w:spacing w:val="-9"/>
        </w:rPr>
        <w:t>方法</w:t>
      </w:r>
    </w:p>
    <w:p>
      <w:pPr>
        <w:pStyle w:val="BodyText"/>
        <w:spacing w:line="14" w:lineRule="auto"/>
        <w:rPr>
          <w:sz w:val="2"/>
        </w:rPr>
      </w:pPr>
      <w:r>
        <w:rPr>
          <w:sz w:val="2"/>
          <w:szCs w:val="2"/>
        </w:rPr>
        <w:br w:type="column"/>
      </w:r>
    </w:p>
    <w:p>
      <w:pPr>
        <w:ind w:left="440"/>
        <w:spacing w:line="329" w:lineRule="exact"/>
        <w:rPr>
          <w:rFonts w:ascii="SimSun" w:hAnsi="SimSun" w:eastAsia="SimSun" w:cs="SimSun"/>
          <w:sz w:val="47"/>
          <w:szCs w:val="47"/>
        </w:rPr>
      </w:pPr>
      <w:r>
        <w:rPr>
          <w:rFonts w:ascii="SimSun" w:hAnsi="SimSun" w:eastAsia="SimSun" w:cs="SimSun"/>
          <w:sz w:val="47"/>
          <w:szCs w:val="47"/>
          <w:position w:val="-7"/>
        </w:rPr>
        <w:drawing>
          <wp:inline distT="0" distB="0" distL="0" distR="0">
            <wp:extent cx="165106" cy="208737"/>
            <wp:effectExtent l="0" t="0" r="0" b="0"/>
            <wp:docPr id="56" name="IM 56"/>
            <wp:cNvGraphicFramePr/>
            <a:graphic>
              <a:graphicData uri="http://schemas.openxmlformats.org/drawingml/2006/picture">
                <pic:pic>
                  <pic:nvPicPr>
                    <pic:cNvPr id="56" name="IM 56"/>
                    <pic:cNvPicPr/>
                  </pic:nvPicPr>
                  <pic:blipFill>
                    <a:blip r:embed="rId42"/>
                    <a:stretch>
                      <a:fillRect/>
                    </a:stretch>
                  </pic:blipFill>
                  <pic:spPr>
                    <a:xfrm rot="0">
                      <a:off x="0" y="0"/>
                      <a:ext cx="165106" cy="208737"/>
                    </a:xfrm>
                    <a:prstGeom prst="rect">
                      <a:avLst/>
                    </a:prstGeom>
                  </pic:spPr>
                </pic:pic>
              </a:graphicData>
            </a:graphic>
          </wp:inline>
        </w:drawing>
      </w:r>
      <w:r>
        <w:rPr>
          <w:rFonts w:ascii="SimSun" w:hAnsi="SimSun" w:eastAsia="SimSun" w:cs="SimSun"/>
          <w:sz w:val="47"/>
          <w:szCs w:val="47"/>
          <w:position w:val="12"/>
        </w:rPr>
        <w:t>、</w:t>
      </w:r>
    </w:p>
    <w:p>
      <w:pPr>
        <w:ind w:left="600"/>
        <w:spacing w:before="210" w:line="62" w:lineRule="exact"/>
        <w:rPr/>
      </w:pPr>
      <w:r>
        <w:rPr>
          <w:position w:val="-1"/>
        </w:rPr>
        <w:drawing>
          <wp:inline distT="0" distB="0" distL="0" distR="0">
            <wp:extent cx="120643" cy="39704"/>
            <wp:effectExtent l="0" t="0" r="0" b="0"/>
            <wp:docPr id="58" name="IM 58"/>
            <wp:cNvGraphicFramePr/>
            <a:graphic>
              <a:graphicData uri="http://schemas.openxmlformats.org/drawingml/2006/picture">
                <pic:pic>
                  <pic:nvPicPr>
                    <pic:cNvPr id="58" name="IM 58"/>
                    <pic:cNvPicPr/>
                  </pic:nvPicPr>
                  <pic:blipFill>
                    <a:blip r:embed="rId43"/>
                    <a:stretch>
                      <a:fillRect/>
                    </a:stretch>
                  </pic:blipFill>
                  <pic:spPr>
                    <a:xfrm rot="0">
                      <a:off x="0" y="0"/>
                      <a:ext cx="120643" cy="39704"/>
                    </a:xfrm>
                    <a:prstGeom prst="rect">
                      <a:avLst/>
                    </a:prstGeom>
                  </pic:spPr>
                </pic:pic>
              </a:graphicData>
            </a:graphic>
          </wp:inline>
        </w:drawing>
      </w:r>
    </w:p>
    <w:p>
      <w:pPr>
        <w:spacing w:line="288" w:lineRule="exact"/>
        <w:rPr/>
      </w:pPr>
      <w:r>
        <w:rPr>
          <w:position w:val="-6"/>
        </w:rPr>
        <w:drawing>
          <wp:inline distT="0" distB="0" distL="0" distR="0">
            <wp:extent cx="266719" cy="182587"/>
            <wp:effectExtent l="0" t="0" r="0" b="0"/>
            <wp:docPr id="60" name="IM 60"/>
            <wp:cNvGraphicFramePr/>
            <a:graphic>
              <a:graphicData uri="http://schemas.openxmlformats.org/drawingml/2006/picture">
                <pic:pic>
                  <pic:nvPicPr>
                    <pic:cNvPr id="60" name="IM 60"/>
                    <pic:cNvPicPr/>
                  </pic:nvPicPr>
                  <pic:blipFill>
                    <a:blip r:embed="rId44"/>
                    <a:stretch>
                      <a:fillRect/>
                    </a:stretch>
                  </pic:blipFill>
                  <pic:spPr>
                    <a:xfrm rot="0">
                      <a:off x="0" y="0"/>
                      <a:ext cx="266719" cy="182587"/>
                    </a:xfrm>
                    <a:prstGeom prst="rect">
                      <a:avLst/>
                    </a:prstGeom>
                  </pic:spPr>
                </pic:pic>
              </a:graphicData>
            </a:graphic>
          </wp:inline>
        </w:drawing>
      </w:r>
    </w:p>
    <w:p>
      <w:pPr>
        <w:ind w:firstLine="260"/>
        <w:spacing w:line="174" w:lineRule="exact"/>
        <w:rPr/>
      </w:pPr>
      <w:r>
        <w:rPr>
          <w:position w:val="-3"/>
        </w:rPr>
        <w:drawing>
          <wp:inline distT="0" distB="0" distL="0" distR="0">
            <wp:extent cx="177793" cy="110515"/>
            <wp:effectExtent l="0" t="0" r="0" b="0"/>
            <wp:docPr id="62" name="IM 62"/>
            <wp:cNvGraphicFramePr/>
            <a:graphic>
              <a:graphicData uri="http://schemas.openxmlformats.org/drawingml/2006/picture">
                <pic:pic>
                  <pic:nvPicPr>
                    <pic:cNvPr id="62" name="IM 62"/>
                    <pic:cNvPicPr/>
                  </pic:nvPicPr>
                  <pic:blipFill>
                    <a:blip r:embed="rId45"/>
                    <a:stretch>
                      <a:fillRect/>
                    </a:stretch>
                  </pic:blipFill>
                  <pic:spPr>
                    <a:xfrm rot="0">
                      <a:off x="0" y="0"/>
                      <a:ext cx="177793" cy="110515"/>
                    </a:xfrm>
                    <a:prstGeom prst="rect">
                      <a:avLst/>
                    </a:prstGeom>
                  </pic:spPr>
                </pic:pic>
              </a:graphicData>
            </a:graphic>
          </wp:inline>
        </w:drawing>
      </w:r>
    </w:p>
    <w:tbl>
      <w:tblPr>
        <w:tblStyle w:val="TableNormal"/>
        <w:tblW w:w="863" w:type="dxa"/>
        <w:tblInd w:w="4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1"/>
        <w:gridCol w:w="432"/>
      </w:tblGrid>
      <w:tr>
        <w:trPr>
          <w:trHeight w:val="553" w:hRule="atLeast"/>
        </w:trPr>
        <w:tc>
          <w:tcPr>
            <w:tcW w:w="431" w:type="dxa"/>
            <w:vAlign w:val="top"/>
          </w:tcPr>
          <w:p>
            <w:pPr>
              <w:pStyle w:val="TableText"/>
              <w:ind w:left="19"/>
              <w:spacing w:before="101" w:line="218" w:lineRule="auto"/>
              <w:rPr>
                <w:sz w:val="17"/>
                <w:szCs w:val="17"/>
              </w:rPr>
            </w:pPr>
            <w:r>
              <w:rPr>
                <w:sz w:val="17"/>
                <w:szCs w:val="17"/>
                <w:spacing w:val="-9"/>
              </w:rPr>
              <w:t>评估</w:t>
            </w:r>
          </w:p>
          <w:p>
            <w:pPr>
              <w:pStyle w:val="TableText"/>
              <w:spacing w:line="219" w:lineRule="auto"/>
              <w:rPr>
                <w:sz w:val="17"/>
                <w:szCs w:val="17"/>
              </w:rPr>
            </w:pPr>
            <w:r>
              <w:rPr>
                <w:sz w:val="17"/>
                <w:szCs w:val="17"/>
                <w:spacing w:val="-2"/>
              </w:rPr>
              <w:t>现状</w:t>
            </w:r>
          </w:p>
        </w:tc>
        <w:tc>
          <w:tcPr>
            <w:tcW w:w="432" w:type="dxa"/>
            <w:vAlign w:val="top"/>
          </w:tcPr>
          <w:p>
            <w:pPr>
              <w:pStyle w:val="TableText"/>
              <w:ind w:left="99"/>
              <w:spacing w:before="1" w:line="196" w:lineRule="auto"/>
              <w:jc w:val="both"/>
              <w:rPr>
                <w:sz w:val="17"/>
                <w:szCs w:val="17"/>
              </w:rPr>
            </w:pPr>
            <w:r>
              <w:rPr>
                <w:sz w:val="17"/>
                <w:szCs w:val="17"/>
                <w:spacing w:val="-5"/>
              </w:rPr>
              <w:t>建立</w:t>
            </w:r>
            <w:r>
              <w:rPr>
                <w:sz w:val="17"/>
                <w:szCs w:val="17"/>
              </w:rPr>
              <w:t xml:space="preserve"> </w:t>
            </w:r>
            <w:r>
              <w:rPr>
                <w:sz w:val="17"/>
                <w:szCs w:val="17"/>
                <w:spacing w:val="-4"/>
              </w:rPr>
              <w:t>执行</w:t>
            </w:r>
            <w:r>
              <w:rPr>
                <w:sz w:val="17"/>
                <w:szCs w:val="17"/>
              </w:rPr>
              <w:t xml:space="preserve"> </w:t>
            </w:r>
            <w:r>
              <w:rPr>
                <w:sz w:val="17"/>
                <w:szCs w:val="17"/>
                <w:spacing w:val="-6"/>
              </w:rPr>
              <w:t>小组</w:t>
            </w:r>
          </w:p>
        </w:tc>
      </w:tr>
    </w:tbl>
    <w:p>
      <w:pPr>
        <w:pStyle w:val="BodyText"/>
        <w:spacing w:line="14" w:lineRule="auto"/>
        <w:rPr>
          <w:sz w:val="2"/>
        </w:rPr>
      </w:pPr>
      <w:r/>
    </w:p>
    <w:p>
      <w:pPr>
        <w:pStyle w:val="BodyText"/>
        <w:spacing w:line="14" w:lineRule="auto"/>
        <w:rPr>
          <w:sz w:val="2"/>
        </w:rPr>
      </w:pPr>
      <w:r>
        <w:rPr>
          <w:sz w:val="2"/>
          <w:szCs w:val="2"/>
        </w:rPr>
        <w:br w:type="column"/>
      </w:r>
    </w:p>
    <w:p>
      <w:pPr>
        <w:pStyle w:val="BodyText"/>
        <w:spacing w:line="245" w:lineRule="auto"/>
        <w:rPr/>
      </w:pPr>
      <w:r/>
    </w:p>
    <w:p>
      <w:pPr>
        <w:pStyle w:val="BodyText"/>
        <w:spacing w:line="245" w:lineRule="auto"/>
        <w:rPr/>
      </w:pPr>
      <w:r/>
    </w:p>
    <w:p>
      <w:pPr>
        <w:pStyle w:val="BodyText"/>
        <w:spacing w:line="246"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3"/>
        </w:rPr>
        <w:t>定义</w:t>
      </w:r>
    </w:p>
    <w:p>
      <w:pPr>
        <w:spacing w:before="1" w:line="214" w:lineRule="auto"/>
        <w:rPr>
          <w:rFonts w:ascii="SimSun" w:hAnsi="SimSun" w:eastAsia="SimSun" w:cs="SimSun"/>
          <w:sz w:val="17"/>
          <w:szCs w:val="17"/>
        </w:rPr>
      </w:pPr>
      <w:r>
        <w:rPr>
          <w:rFonts w:ascii="SimSun" w:hAnsi="SimSun" w:eastAsia="SimSun" w:cs="SimSun"/>
          <w:sz w:val="17"/>
          <w:szCs w:val="17"/>
          <w:spacing w:val="-7"/>
        </w:rPr>
        <w:t>问题</w:t>
      </w:r>
    </w:p>
    <w:p>
      <w:pPr>
        <w:spacing w:line="218" w:lineRule="auto"/>
        <w:rPr>
          <w:rFonts w:ascii="SimSun" w:hAnsi="SimSun" w:eastAsia="SimSun" w:cs="SimSun"/>
          <w:sz w:val="17"/>
          <w:szCs w:val="17"/>
        </w:rPr>
      </w:pPr>
      <w:r>
        <w:rPr>
          <w:rFonts w:ascii="SimSun" w:hAnsi="SimSun" w:eastAsia="SimSun" w:cs="SimSun"/>
          <w:sz w:val="17"/>
          <w:szCs w:val="17"/>
          <w:spacing w:val="-2"/>
        </w:rPr>
        <w:t>和机</w:t>
      </w:r>
    </w:p>
    <w:p>
      <w:pPr>
        <w:ind w:left="99"/>
        <w:spacing w:before="19" w:line="219" w:lineRule="auto"/>
        <w:rPr>
          <w:rFonts w:ascii="SimSun" w:hAnsi="SimSun" w:eastAsia="SimSun" w:cs="SimSun"/>
          <w:sz w:val="17"/>
          <w:szCs w:val="17"/>
        </w:rPr>
      </w:pPr>
      <w:r>
        <w:rPr>
          <w:rFonts w:ascii="SimSun" w:hAnsi="SimSun" w:eastAsia="SimSun" w:cs="SimSun"/>
          <w:sz w:val="17"/>
          <w:szCs w:val="17"/>
        </w:rPr>
        <w:t>会</w:t>
      </w:r>
    </w:p>
    <w:p>
      <w:pPr>
        <w:spacing w:line="219" w:lineRule="auto"/>
        <w:sectPr>
          <w:type w:val="continuous"/>
          <w:pgSz w:w="9000" w:h="13490"/>
          <w:pgMar w:top="400" w:right="442" w:bottom="558" w:left="680" w:header="0" w:footer="361" w:gutter="0"/>
          <w:cols w:equalWidth="0" w:num="5">
            <w:col w:w="1910" w:space="100"/>
            <w:col w:w="720" w:space="0"/>
            <w:col w:w="1180" w:space="100"/>
            <w:col w:w="1440" w:space="100"/>
            <w:col w:w="2328" w:space="0"/>
          </w:cols>
        </w:sectPr>
        <w:rPr>
          <w:rFonts w:ascii="SimSun" w:hAnsi="SimSun" w:eastAsia="SimSun" w:cs="SimSun"/>
          <w:sz w:val="17"/>
          <w:szCs w:val="17"/>
        </w:rPr>
      </w:pPr>
    </w:p>
    <w:p>
      <w:pPr>
        <w:ind w:left="4320"/>
        <w:spacing w:before="51" w:line="229" w:lineRule="auto"/>
        <w:rPr>
          <w:rFonts w:ascii="KaiTi" w:hAnsi="KaiTi" w:eastAsia="KaiTi" w:cs="KaiTi"/>
          <w:sz w:val="20"/>
          <w:szCs w:val="20"/>
        </w:rPr>
      </w:pPr>
      <w:r>
        <w:drawing>
          <wp:anchor distT="0" distB="0" distL="0" distR="0" simplePos="0" relativeHeight="251704320" behindDoc="0" locked="0" layoutInCell="1" allowOverlap="1">
            <wp:simplePos x="0" y="0"/>
            <wp:positionH relativeFrom="column">
              <wp:posOffset>2673305</wp:posOffset>
            </wp:positionH>
            <wp:positionV relativeFrom="paragraph">
              <wp:posOffset>146689</wp:posOffset>
            </wp:positionV>
            <wp:extent cx="279406" cy="107933"/>
            <wp:effectExtent l="0" t="0" r="0" b="0"/>
            <wp:wrapNone/>
            <wp:docPr id="64" name="IM 64"/>
            <wp:cNvGraphicFramePr/>
            <a:graphic>
              <a:graphicData uri="http://schemas.openxmlformats.org/drawingml/2006/picture">
                <pic:pic>
                  <pic:nvPicPr>
                    <pic:cNvPr id="64" name="IM 64"/>
                    <pic:cNvPicPr/>
                  </pic:nvPicPr>
                  <pic:blipFill>
                    <a:blip r:embed="rId46"/>
                    <a:stretch>
                      <a:fillRect/>
                    </a:stretch>
                  </pic:blipFill>
                  <pic:spPr>
                    <a:xfrm rot="0">
                      <a:off x="0" y="0"/>
                      <a:ext cx="279406" cy="107933"/>
                    </a:xfrm>
                    <a:prstGeom prst="rect">
                      <a:avLst/>
                    </a:prstGeom>
                  </pic:spPr>
                </pic:pic>
              </a:graphicData>
            </a:graphic>
          </wp:anchor>
        </w:drawing>
      </w:r>
      <w:r>
        <w:rPr>
          <w:rFonts w:ascii="KaiTi" w:hAnsi="KaiTi" w:eastAsia="KaiTi" w:cs="KaiTi"/>
          <w:sz w:val="20"/>
          <w:szCs w:val="20"/>
          <w:color w:val="FFFFFF"/>
          <w:spacing w:val="-3"/>
        </w:rPr>
        <w:t>上府</w:t>
      </w:r>
    </w:p>
    <w:p>
      <w:pPr>
        <w:ind w:left="3619"/>
        <w:spacing w:before="120" w:line="200" w:lineRule="auto"/>
        <w:rPr>
          <w:rFonts w:ascii="SimSun" w:hAnsi="SimSun" w:eastAsia="SimSun" w:cs="SimSun"/>
          <w:sz w:val="17"/>
          <w:szCs w:val="17"/>
        </w:rPr>
      </w:pPr>
      <w:r>
        <w:pict>
          <v:shape id="_x0000_s28" style="position:absolute;margin-left:126.998pt;margin-top:16.1483pt;mso-position-vertical-relative:text;mso-position-horizontal-relative:text;width:18.05pt;height:14.55pt;z-index:251689984;" filled="false" stroked="false" type="#_x0000_t202">
            <v:fill on="false"/>
            <v:stroke on="false"/>
            <v:path/>
            <v:imagedata o:title=""/>
            <o:lock v:ext="edit" aspectratio="false"/>
            <v:textbox inset="0mm,0mm,0mm,0mm">
              <w:txbxContent>
                <w:p>
                  <w:pPr>
                    <w:ind w:left="20"/>
                    <w:spacing w:before="20" w:line="231" w:lineRule="auto"/>
                    <w:rPr>
                      <w:sz w:val="20"/>
                      <w:szCs w:val="20"/>
                    </w:rPr>
                  </w:pPr>
                  <w:r>
                    <w:rPr>
                      <w:rFonts w:ascii="SimSun" w:hAnsi="SimSun" w:eastAsia="SimSun" w:cs="SimSun"/>
                      <w:sz w:val="20"/>
                      <w:szCs w:val="20"/>
                      <w:color w:val="FFFFFF"/>
                      <w:spacing w:val="-23"/>
                      <w:w w:val="70"/>
                    </w:rPr>
                    <w:t>乡</w:t>
                  </w:r>
                  <w:r>
                    <w:rPr>
                      <w:rFonts w:ascii="SimSun" w:hAnsi="SimSun" w:eastAsia="SimSun" w:cs="SimSun"/>
                      <w:sz w:val="20"/>
                      <w:szCs w:val="20"/>
                      <w:color w:val="FFFFFF"/>
                      <w:spacing w:val="-78"/>
                    </w:rPr>
                    <w:t xml:space="preserve"> </w:t>
                  </w:r>
                  <w:r>
                    <w:rPr>
                      <w:sz w:val="20"/>
                      <w:szCs w:val="20"/>
                      <w:position w:val="3"/>
                    </w:rPr>
                    <w:drawing>
                      <wp:inline distT="0" distB="0" distL="0" distR="0">
                        <wp:extent cx="114300" cy="95169"/>
                        <wp:effectExtent l="0" t="0" r="0" b="0"/>
                        <wp:docPr id="66" name="IM 66"/>
                        <wp:cNvGraphicFramePr/>
                        <a:graphic>
                          <a:graphicData uri="http://schemas.openxmlformats.org/drawingml/2006/picture">
                            <pic:pic>
                              <pic:nvPicPr>
                                <pic:cNvPr id="66" name="IM 66"/>
                                <pic:cNvPicPr/>
                              </pic:nvPicPr>
                              <pic:blipFill>
                                <a:blip r:embed="rId47"/>
                                <a:stretch>
                                  <a:fillRect/>
                                </a:stretch>
                              </pic:blipFill>
                              <pic:spPr>
                                <a:xfrm rot="0">
                                  <a:off x="0" y="0"/>
                                  <a:ext cx="114300" cy="95169"/>
                                </a:xfrm>
                                <a:prstGeom prst="rect">
                                  <a:avLst/>
                                </a:prstGeom>
                              </pic:spPr>
                            </pic:pic>
                          </a:graphicData>
                        </a:graphic>
                      </wp:inline>
                    </w:drawing>
                  </w:r>
                </w:p>
              </w:txbxContent>
            </v:textbox>
          </v:shape>
        </w:pict>
      </w:r>
      <w:r>
        <w:pict>
          <v:shape id="_x0000_s30" style="position:absolute;margin-left:229pt;margin-top:17.9859pt;mso-position-vertical-relative:text;mso-position-horizontal-relative:text;width:20.5pt;height:9.7pt;z-index:251691008;" filled="false" stroked="false" type="#_x0000_t202">
            <v:fill on="false"/>
            <v:stroke on="false"/>
            <v:path/>
            <v:imagedata o:title=""/>
            <o:lock v:ext="edit" aspectratio="false"/>
            <v:textbox inset="0mm,0mm,0mm,0mm">
              <w:txbxContent>
                <w:p>
                  <w:pPr>
                    <w:ind w:left="20"/>
                    <w:spacing w:before="19" w:line="218" w:lineRule="auto"/>
                    <w:rPr>
                      <w:rFonts w:ascii="SimHei" w:hAnsi="SimHei" w:eastAsia="SimHei" w:cs="SimHei"/>
                      <w:sz w:val="6"/>
                      <w:szCs w:val="6"/>
                    </w:rPr>
                  </w:pPr>
                  <w:r>
                    <w:rPr>
                      <w:rFonts w:ascii="SimSun" w:hAnsi="SimSun" w:eastAsia="SimSun" w:cs="SimSun"/>
                      <w:sz w:val="13"/>
                      <w:szCs w:val="13"/>
                      <w:color w:val="FFFFFF"/>
                      <w:spacing w:val="-5"/>
                    </w:rPr>
                    <w:t>在</w:t>
                  </w:r>
                  <w:r>
                    <w:rPr>
                      <w:rFonts w:ascii="SimSun" w:hAnsi="SimSun" w:eastAsia="SimSun" w:cs="SimSun"/>
                      <w:sz w:val="13"/>
                      <w:szCs w:val="13"/>
                      <w:color w:val="FFFFFF"/>
                      <w:spacing w:val="50"/>
                    </w:rPr>
                    <w:t xml:space="preserve"> </w:t>
                  </w:r>
                  <w:r>
                    <w:rPr>
                      <w:rFonts w:ascii="SimHei" w:hAnsi="SimHei" w:eastAsia="SimHei" w:cs="SimHei"/>
                      <w:sz w:val="6"/>
                      <w:szCs w:val="6"/>
                      <w:spacing w:val="-5"/>
                      <w:position w:val="-2"/>
                    </w:rPr>
                    <w:t>下</w:t>
                  </w:r>
                  <w:r>
                    <w:rPr>
                      <w:rFonts w:ascii="SimHei" w:hAnsi="SimHei" w:eastAsia="SimHei" w:cs="SimHei"/>
                      <w:sz w:val="6"/>
                      <w:szCs w:val="6"/>
                      <w:position w:val="-2"/>
                    </w:rPr>
                    <w:t xml:space="preserve">   </w:t>
                  </w:r>
                </w:p>
              </w:txbxContent>
            </v:textbox>
          </v:shape>
        </w:pict>
      </w:r>
      <w:r>
        <w:rPr>
          <w:rFonts w:ascii="SimSun" w:hAnsi="SimSun" w:eastAsia="SimSun" w:cs="SimSun"/>
          <w:sz w:val="17"/>
          <w:szCs w:val="17"/>
          <w:spacing w:val="-9"/>
        </w:rPr>
        <w:t>实施</w:t>
      </w:r>
    </w:p>
    <w:p>
      <w:pPr>
        <w:ind w:left="3619"/>
        <w:spacing w:before="1" w:line="179" w:lineRule="auto"/>
        <w:rPr>
          <w:rFonts w:ascii="SimSun" w:hAnsi="SimSun" w:eastAsia="SimSun" w:cs="SimSun"/>
          <w:sz w:val="17"/>
          <w:szCs w:val="17"/>
        </w:rPr>
      </w:pPr>
      <w:r>
        <w:rPr>
          <w:rFonts w:ascii="SimSun" w:hAnsi="SimSun" w:eastAsia="SimSun" w:cs="SimSun"/>
          <w:sz w:val="17"/>
          <w:szCs w:val="17"/>
          <w:spacing w:val="-9"/>
        </w:rPr>
        <w:t>改进</w:t>
      </w:r>
    </w:p>
    <w:p>
      <w:pPr>
        <w:ind w:left="1929"/>
        <w:spacing w:line="176" w:lineRule="auto"/>
        <w:rPr>
          <w:rFonts w:ascii="SimSun" w:hAnsi="SimSun" w:eastAsia="SimSun" w:cs="SimSun"/>
          <w:sz w:val="17"/>
          <w:szCs w:val="17"/>
        </w:rPr>
      </w:pPr>
      <w:r>
        <w:pict>
          <v:shape id="_x0000_s32" style="position:absolute;margin-left:59.9975pt;margin-top:-0.923264pt;mso-position-vertical-relative:text;mso-position-horizontal-relative:text;width:6.65pt;height:10.4pt;z-index:251698176;" filled="false" stroked="false" type="#_x0000_t202">
            <v:fill on="false"/>
            <v:stroke on="false"/>
            <v:path/>
            <v:imagedata o:title=""/>
            <o:lock v:ext="edit" aspectratio="false"/>
            <v:textbox inset="0mm,0mm,0mm,0mm">
              <w:txbxContent>
                <w:p>
                  <w:pPr>
                    <w:spacing w:before="20" w:line="238" w:lineRule="auto"/>
                    <w:jc w:val="right"/>
                    <w:rPr>
                      <w:rFonts w:ascii="SimSun" w:hAnsi="SimSun" w:eastAsia="SimSun" w:cs="SimSun"/>
                      <w:sz w:val="13"/>
                      <w:szCs w:val="13"/>
                    </w:rPr>
                  </w:pPr>
                  <w:r>
                    <w:rPr>
                      <w:rFonts w:ascii="SimSun" w:hAnsi="SimSun" w:eastAsia="SimSun" w:cs="SimSun"/>
                      <w:sz w:val="13"/>
                      <w:szCs w:val="13"/>
                      <w:color w:val="FFFFFF"/>
                      <w:spacing w:val="-38"/>
                    </w:rPr>
                    <w:t>√</w:t>
                  </w:r>
                </w:p>
              </w:txbxContent>
            </v:textbox>
          </v:shape>
        </w:pict>
      </w:r>
      <w:r>
        <w:rPr>
          <w:rFonts w:ascii="SimSun" w:hAnsi="SimSun" w:eastAsia="SimSun" w:cs="SimSun"/>
          <w:sz w:val="17"/>
          <w:szCs w:val="17"/>
          <w:color w:val="FFFFFF"/>
        </w:rPr>
        <w:t>学</w:t>
      </w:r>
    </w:p>
    <w:p>
      <w:pPr>
        <w:ind w:left="3409"/>
        <w:spacing w:before="66" w:line="240" w:lineRule="exact"/>
        <w:rPr>
          <w:rFonts w:ascii="SimSun" w:hAnsi="SimSun" w:eastAsia="SimSun" w:cs="SimSun"/>
          <w:sz w:val="17"/>
          <w:szCs w:val="17"/>
        </w:rPr>
      </w:pPr>
      <w:r>
        <w:pict>
          <v:shape id="_x0000_s34" style="position:absolute;margin-left:65.4965pt;margin-top:-1.99011pt;mso-position-vertical-relative:text;mso-position-horizontal-relative:text;width:37.65pt;height:62.8pt;z-index:251684864;" filled="false" stroked="false" type="#_x0000_t202">
            <v:fill on="false"/>
            <v:stroke on="false"/>
            <v:path/>
            <v:imagedata o:title=""/>
            <o:lock v:ext="edit" aspectratio="false"/>
            <v:textbox inset="0mm,0mm,0mm,0mm">
              <w:txbxContent>
                <w:p>
                  <w:pPr>
                    <w:spacing w:before="21" w:line="185" w:lineRule="auto"/>
                    <w:jc w:val="right"/>
                    <w:rPr>
                      <w:rFonts w:ascii="Times New Roman" w:hAnsi="Times New Roman" w:eastAsia="Times New Roman" w:cs="Times New Roman"/>
                      <w:sz w:val="137"/>
                      <w:szCs w:val="137"/>
                    </w:rPr>
                  </w:pPr>
                  <w:r>
                    <w:rPr>
                      <w:rFonts w:ascii="Times New Roman" w:hAnsi="Times New Roman" w:eastAsia="Times New Roman" w:cs="Times New Roman"/>
                      <w:sz w:val="137"/>
                      <w:szCs w:val="137"/>
                      <w:spacing w:val="-17"/>
                      <w:w w:val="73"/>
                    </w:rPr>
                    <w:t>V</w:t>
                  </w:r>
                </w:p>
              </w:txbxContent>
            </v:textbox>
          </v:shape>
        </w:pict>
      </w:r>
      <w:r>
        <w:rPr>
          <w:rFonts w:ascii="SimSun" w:hAnsi="SimSun" w:eastAsia="SimSun" w:cs="SimSun"/>
          <w:sz w:val="17"/>
          <w:szCs w:val="17"/>
          <w:spacing w:val="-14"/>
          <w:position w:val="5"/>
        </w:rPr>
        <w:t>识别角色</w:t>
      </w:r>
    </w:p>
    <w:p>
      <w:pPr>
        <w:ind w:left="3409"/>
        <w:spacing w:line="220" w:lineRule="auto"/>
        <w:rPr>
          <w:rFonts w:ascii="SimSun" w:hAnsi="SimSun" w:eastAsia="SimSun" w:cs="SimSun"/>
          <w:sz w:val="13"/>
          <w:szCs w:val="13"/>
        </w:rPr>
      </w:pPr>
      <w:r>
        <w:rPr>
          <w:rFonts w:ascii="SimSun" w:hAnsi="SimSun" w:eastAsia="SimSun" w:cs="SimSun"/>
          <w:sz w:val="13"/>
          <w:szCs w:val="13"/>
          <w:spacing w:val="24"/>
        </w:rPr>
        <w:t>扮演者</w:t>
      </w:r>
    </w:p>
    <w:p>
      <w:pPr>
        <w:pStyle w:val="BodyText"/>
        <w:spacing w:line="267" w:lineRule="auto"/>
        <w:rPr/>
      </w:pPr>
      <w:r/>
    </w:p>
    <w:p>
      <w:pPr>
        <w:ind w:left="3399"/>
        <w:spacing w:before="69" w:line="222" w:lineRule="auto"/>
        <w:rPr>
          <w:rFonts w:ascii="SimSun" w:hAnsi="SimSun" w:eastAsia="SimSun" w:cs="SimSun"/>
          <w:sz w:val="21"/>
          <w:szCs w:val="21"/>
        </w:rPr>
      </w:pPr>
      <w:r>
        <w:rPr>
          <w:rFonts w:ascii="SimSun" w:hAnsi="SimSun" w:eastAsia="SimSun" w:cs="SimSun"/>
          <w:sz w:val="17"/>
          <w:szCs w:val="17"/>
          <w:spacing w:val="-2"/>
          <w:position w:val="1"/>
        </w:rPr>
        <w:t>规划方案</w:t>
      </w:r>
      <w:r>
        <w:rPr>
          <w:rFonts w:ascii="SimSun" w:hAnsi="SimSun" w:eastAsia="SimSun" w:cs="SimSun"/>
          <w:sz w:val="17"/>
          <w:szCs w:val="17"/>
          <w:spacing w:val="1"/>
          <w:position w:val="1"/>
        </w:rPr>
        <w:t xml:space="preserve">                </w:t>
      </w:r>
      <w:r>
        <w:rPr>
          <w:rFonts w:ascii="SimSun" w:hAnsi="SimSun" w:eastAsia="SimSun" w:cs="SimSun"/>
          <w:sz w:val="21"/>
          <w:szCs w:val="21"/>
          <w:color w:val="FFFFFF"/>
          <w:spacing w:val="-2"/>
          <w:position w:val="-5"/>
        </w:rPr>
        <w:t>。</w:t>
      </w:r>
    </w:p>
    <w:p>
      <w:pPr>
        <w:pStyle w:val="BodyText"/>
        <w:spacing w:line="329" w:lineRule="auto"/>
        <w:rPr/>
      </w:pPr>
      <w:r/>
    </w:p>
    <w:p>
      <w:pPr>
        <w:ind w:left="3179"/>
        <w:spacing w:before="55" w:line="219" w:lineRule="auto"/>
        <w:rPr>
          <w:rFonts w:ascii="SimSun" w:hAnsi="SimSun" w:eastAsia="SimSun" w:cs="SimSun"/>
          <w:sz w:val="17"/>
          <w:szCs w:val="17"/>
        </w:rPr>
      </w:pPr>
      <w:r>
        <w:rPr>
          <w:rFonts w:ascii="SimSun" w:hAnsi="SimSun" w:eastAsia="SimSun" w:cs="SimSun"/>
          <w:sz w:val="17"/>
          <w:szCs w:val="17"/>
          <w:spacing w:val="-11"/>
        </w:rPr>
        <w:t>4.</w:t>
      </w:r>
      <w:r>
        <w:rPr>
          <w:rFonts w:ascii="SimSun" w:hAnsi="SimSun" w:eastAsia="SimSun" w:cs="SimSun"/>
          <w:sz w:val="17"/>
          <w:szCs w:val="17"/>
          <w:spacing w:val="-28"/>
        </w:rPr>
        <w:t xml:space="preserve"> </w:t>
      </w:r>
      <w:r>
        <w:rPr>
          <w:rFonts w:ascii="SimSun" w:hAnsi="SimSun" w:eastAsia="SimSun" w:cs="SimSun"/>
          <w:sz w:val="17"/>
          <w:szCs w:val="17"/>
          <w:spacing w:val="-11"/>
        </w:rPr>
        <w:t>需要做什么?</w:t>
      </w:r>
    </w:p>
    <w:p>
      <w:pPr>
        <w:ind w:left="2169"/>
        <w:spacing w:before="199" w:line="222" w:lineRule="auto"/>
        <w:rPr>
          <w:rFonts w:ascii="SimHei" w:hAnsi="SimHei" w:eastAsia="SimHei" w:cs="SimHei"/>
          <w:sz w:val="20"/>
          <w:szCs w:val="20"/>
        </w:rPr>
      </w:pPr>
      <w:r>
        <w:rPr>
          <w:rFonts w:ascii="SimHei" w:hAnsi="SimHei" w:eastAsia="SimHei" w:cs="SimHei"/>
          <w:sz w:val="20"/>
          <w:szCs w:val="20"/>
          <w:spacing w:val="-12"/>
        </w:rPr>
        <w:t>图1-3</w:t>
      </w:r>
      <w:r>
        <w:rPr>
          <w:rFonts w:ascii="SimHei" w:hAnsi="SimHei" w:eastAsia="SimHei" w:cs="SimHei"/>
          <w:sz w:val="20"/>
          <w:szCs w:val="20"/>
          <w:spacing w:val="60"/>
        </w:rPr>
        <w:t xml:space="preserve"> </w:t>
      </w:r>
      <w:r>
        <w:rPr>
          <w:rFonts w:ascii="SimSun" w:hAnsi="SimSun" w:eastAsia="SimSun" w:cs="SimSun"/>
          <w:sz w:val="20"/>
          <w:szCs w:val="20"/>
          <w:spacing w:val="-12"/>
        </w:rPr>
        <w:t>COBIT</w:t>
      </w:r>
      <w:r>
        <w:rPr>
          <w:rFonts w:ascii="SimSun" w:hAnsi="SimSun" w:eastAsia="SimSun" w:cs="SimSun"/>
          <w:sz w:val="20"/>
          <w:szCs w:val="20"/>
          <w:spacing w:val="46"/>
        </w:rPr>
        <w:t xml:space="preserve"> </w:t>
      </w:r>
      <w:r>
        <w:rPr>
          <w:rFonts w:ascii="SimHei" w:hAnsi="SimHei" w:eastAsia="SimHei" w:cs="SimHei"/>
          <w:sz w:val="20"/>
          <w:szCs w:val="20"/>
          <w:spacing w:val="-12"/>
        </w:rPr>
        <w:t>实施生命周期的七个阶段</w:t>
      </w:r>
    </w:p>
    <w:p>
      <w:pPr>
        <w:ind w:left="439"/>
        <w:spacing w:before="191" w:line="219" w:lineRule="auto"/>
        <w:rPr>
          <w:rFonts w:ascii="SimSun" w:hAnsi="SimSun" w:eastAsia="SimSun" w:cs="SimSun"/>
          <w:sz w:val="20"/>
          <w:szCs w:val="20"/>
        </w:rPr>
      </w:pPr>
      <w:r>
        <w:rPr>
          <w:rFonts w:ascii="SimSun" w:hAnsi="SimSun" w:eastAsia="SimSun" w:cs="SimSun"/>
          <w:sz w:val="20"/>
          <w:szCs w:val="20"/>
          <w:spacing w:val="13"/>
        </w:rPr>
        <w:t>生命周期的三个互为联系的组成部分分别是：(1)生命周期不</w:t>
      </w:r>
      <w:r>
        <w:rPr>
          <w:rFonts w:ascii="SimSun" w:hAnsi="SimSun" w:eastAsia="SimSun" w:cs="SimSun"/>
          <w:sz w:val="20"/>
          <w:szCs w:val="20"/>
          <w:spacing w:val="12"/>
        </w:rPr>
        <w:t>是一次性项目，</w:t>
      </w:r>
    </w:p>
    <w:p>
      <w:pPr>
        <w:ind w:left="8" w:right="255" w:hanging="9"/>
        <w:spacing w:before="112" w:line="217" w:lineRule="auto"/>
        <w:rPr>
          <w:rFonts w:ascii="SimSun" w:hAnsi="SimSun" w:eastAsia="SimSun" w:cs="SimSun"/>
          <w:sz w:val="20"/>
          <w:szCs w:val="20"/>
        </w:rPr>
      </w:pPr>
      <w:r>
        <w:rPr>
          <w:rFonts w:ascii="SimSun" w:hAnsi="SimSun" w:eastAsia="SimSun" w:cs="SimSun"/>
          <w:sz w:val="20"/>
          <w:szCs w:val="20"/>
          <w:spacing w:val="19"/>
        </w:rPr>
        <w:t>而是持续改进的过程(内环);(2)通过启动变更来解决行为和文化方面的问题</w:t>
      </w:r>
      <w:r>
        <w:rPr>
          <w:rFonts w:ascii="SimSun" w:hAnsi="SimSun" w:eastAsia="SimSun" w:cs="SimSun"/>
          <w:sz w:val="20"/>
          <w:szCs w:val="20"/>
          <w:spacing w:val="18"/>
        </w:rPr>
        <w:t>(中</w:t>
      </w:r>
      <w:r>
        <w:rPr>
          <w:rFonts w:ascii="SimSun" w:hAnsi="SimSun" w:eastAsia="SimSun" w:cs="SimSun"/>
          <w:sz w:val="20"/>
          <w:szCs w:val="20"/>
        </w:rPr>
        <w:t xml:space="preserve"> </w:t>
      </w:r>
      <w:r>
        <w:rPr>
          <w:rFonts w:ascii="SimSun" w:hAnsi="SimSun" w:eastAsia="SimSun" w:cs="SimSun"/>
          <w:sz w:val="20"/>
          <w:szCs w:val="20"/>
          <w:spacing w:val="24"/>
        </w:rPr>
        <w:t>环);(3)项目集管理(外环)。</w:t>
      </w:r>
    </w:p>
    <w:p>
      <w:pPr>
        <w:spacing w:line="217" w:lineRule="auto"/>
        <w:sectPr>
          <w:type w:val="continuous"/>
          <w:pgSz w:w="9000" w:h="13490"/>
          <w:pgMar w:top="400" w:right="442" w:bottom="558" w:left="680" w:header="0" w:footer="361" w:gutter="0"/>
          <w:cols w:equalWidth="0" w:num="1">
            <w:col w:w="7878" w:space="0"/>
          </w:cols>
        </w:sectPr>
        <w:rPr>
          <w:rFonts w:ascii="SimSun" w:hAnsi="SimSun" w:eastAsia="SimSun" w:cs="SimSun"/>
          <w:sz w:val="20"/>
          <w:szCs w:val="20"/>
        </w:rPr>
      </w:pPr>
    </w:p>
    <w:p>
      <w:pPr>
        <w:ind w:left="120"/>
        <w:spacing w:before="190"/>
        <w:rPr>
          <w:rFonts w:ascii="SimSun" w:hAnsi="SimSun" w:eastAsia="SimSun" w:cs="SimSun"/>
          <w:sz w:val="22"/>
          <w:szCs w:val="22"/>
        </w:rPr>
      </w:pPr>
      <w:r>
        <w:rPr>
          <w:rFonts w:ascii="SimSun" w:hAnsi="SimSun" w:eastAsia="SimSun" w:cs="SimSun"/>
          <w:sz w:val="22"/>
          <w:szCs w:val="22"/>
          <w:position w:val="-11"/>
        </w:rPr>
        <w:drawing>
          <wp:inline distT="0" distB="0" distL="0" distR="0">
            <wp:extent cx="6365" cy="228637"/>
            <wp:effectExtent l="0" t="0" r="0" b="0"/>
            <wp:docPr id="68" name="IM 68"/>
            <wp:cNvGraphicFramePr/>
            <a:graphic>
              <a:graphicData uri="http://schemas.openxmlformats.org/drawingml/2006/picture">
                <pic:pic>
                  <pic:nvPicPr>
                    <pic:cNvPr id="68" name="IM 68"/>
                    <pic:cNvPicPr/>
                  </pic:nvPicPr>
                  <pic:blipFill>
                    <a:blip r:embed="rId49"/>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6"/>
        </w:rPr>
        <w:t xml:space="preserve"> </w:t>
      </w:r>
      <w:r>
        <w:rPr>
          <w:rFonts w:ascii="SimSun" w:hAnsi="SimSun" w:eastAsia="SimSun" w:cs="SimSun"/>
          <w:sz w:val="22"/>
          <w:szCs w:val="22"/>
          <w:b/>
          <w:bCs/>
          <w:spacing w:val="-16"/>
        </w:rPr>
        <w:t>■云端数据治理</w:t>
      </w:r>
    </w:p>
    <w:p>
      <w:pPr>
        <w:pStyle w:val="BodyText"/>
        <w:spacing w:line="362" w:lineRule="auto"/>
        <w:rPr/>
      </w:pPr>
      <w:r/>
    </w:p>
    <w:p>
      <w:pPr>
        <w:ind w:left="703"/>
        <w:spacing w:before="71" w:line="219" w:lineRule="auto"/>
        <w:outlineLvl w:val="1"/>
        <w:rPr>
          <w:rFonts w:ascii="SimSun" w:hAnsi="SimSun" w:eastAsia="SimSun" w:cs="SimSun"/>
          <w:sz w:val="22"/>
          <w:szCs w:val="22"/>
        </w:rPr>
      </w:pPr>
      <w:r>
        <w:rPr>
          <w:rFonts w:ascii="SimSun" w:hAnsi="SimSun" w:eastAsia="SimSun" w:cs="SimSun"/>
          <w:sz w:val="22"/>
          <w:szCs w:val="22"/>
          <w:b/>
          <w:bCs/>
          <w:spacing w:val="-4"/>
        </w:rPr>
        <w:t>2.DAMA</w:t>
      </w:r>
      <w:r>
        <w:rPr>
          <w:rFonts w:ascii="SimSun" w:hAnsi="SimSun" w:eastAsia="SimSun" w:cs="SimSun"/>
          <w:sz w:val="22"/>
          <w:szCs w:val="22"/>
          <w:spacing w:val="29"/>
        </w:rPr>
        <w:t xml:space="preserve">   </w:t>
      </w:r>
      <w:r>
        <w:rPr>
          <w:rFonts w:ascii="SimSun" w:hAnsi="SimSun" w:eastAsia="SimSun" w:cs="SimSun"/>
          <w:sz w:val="22"/>
          <w:szCs w:val="22"/>
          <w:b/>
          <w:bCs/>
          <w:spacing w:val="-4"/>
        </w:rPr>
        <w:t>提出的数据管理知识体系</w:t>
      </w:r>
    </w:p>
    <w:p>
      <w:pPr>
        <w:ind w:left="280" w:firstLine="400"/>
        <w:spacing w:before="201" w:line="262" w:lineRule="auto"/>
        <w:rPr>
          <w:rFonts w:ascii="SimSun" w:hAnsi="SimSun" w:eastAsia="SimSun" w:cs="SimSun"/>
          <w:sz w:val="17"/>
          <w:szCs w:val="17"/>
        </w:rPr>
      </w:pPr>
      <w:r>
        <w:rPr>
          <w:rFonts w:ascii="Times New Roman" w:hAnsi="Times New Roman" w:eastAsia="Times New Roman" w:cs="Times New Roman"/>
          <w:sz w:val="22"/>
          <w:szCs w:val="22"/>
          <w:spacing w:val="-7"/>
        </w:rPr>
        <w:t>DAMA</w:t>
      </w:r>
      <w:r>
        <w:rPr>
          <w:rFonts w:ascii="SimSun" w:hAnsi="SimSun" w:eastAsia="SimSun" w:cs="SimSun"/>
          <w:sz w:val="22"/>
          <w:szCs w:val="22"/>
          <w:spacing w:val="-7"/>
        </w:rPr>
        <w:t>总结了数据治理的十大功能(见图1</w:t>
      </w:r>
      <w:r>
        <w:rPr>
          <w:rFonts w:ascii="SimSun" w:hAnsi="SimSun" w:eastAsia="SimSun" w:cs="SimSun"/>
          <w:sz w:val="22"/>
          <w:szCs w:val="22"/>
          <w:spacing w:val="-8"/>
        </w:rPr>
        <w:t>-4)和七大环境要素(见图1-5)[113]。</w:t>
      </w:r>
      <w:r>
        <w:rPr>
          <w:rFonts w:ascii="SimSun" w:hAnsi="SimSun" w:eastAsia="SimSun" w:cs="SimSun"/>
          <w:sz w:val="22"/>
          <w:szCs w:val="22"/>
        </w:rPr>
        <w:t xml:space="preserve"> </w:t>
      </w:r>
      <w:r>
        <w:rPr>
          <w:rFonts w:ascii="SimSun" w:hAnsi="SimSun" w:eastAsia="SimSun" w:cs="SimSun"/>
          <w:sz w:val="22"/>
          <w:szCs w:val="22"/>
          <w:spacing w:val="-8"/>
        </w:rPr>
        <w:t>数据治理的职能是在数据管理和使用层面之上进行规划、监督和控</w:t>
      </w:r>
      <w:r>
        <w:rPr>
          <w:rFonts w:ascii="SimSun" w:hAnsi="SimSun" w:eastAsia="SimSun" w:cs="SimSun"/>
          <w:sz w:val="22"/>
          <w:szCs w:val="22"/>
          <w:spacing w:val="-9"/>
        </w:rPr>
        <w:t>制。数据治理的</w:t>
      </w:r>
      <w:r>
        <w:rPr>
          <w:rFonts w:ascii="SimSun" w:hAnsi="SimSun" w:eastAsia="SimSun" w:cs="SimSun"/>
          <w:sz w:val="22"/>
          <w:szCs w:val="22"/>
        </w:rPr>
        <w:t xml:space="preserve"> </w:t>
      </w:r>
      <w:r>
        <w:rPr>
          <w:rFonts w:ascii="SimSun" w:hAnsi="SimSun" w:eastAsia="SimSun" w:cs="SimSun"/>
          <w:sz w:val="22"/>
          <w:szCs w:val="22"/>
          <w:spacing w:val="-9"/>
        </w:rPr>
        <w:t>十大管理功能包括数据架构管理、数据建模与</w:t>
      </w:r>
      <w:r>
        <w:rPr>
          <w:rFonts w:ascii="SimSun" w:hAnsi="SimSun" w:eastAsia="SimSun" w:cs="SimSun"/>
          <w:sz w:val="22"/>
          <w:szCs w:val="22"/>
          <w:spacing w:val="-10"/>
        </w:rPr>
        <w:t>设计、数据存储与设计、数据安全管</w:t>
      </w:r>
      <w:r>
        <w:rPr>
          <w:rFonts w:ascii="SimSun" w:hAnsi="SimSun" w:eastAsia="SimSun" w:cs="SimSun"/>
          <w:sz w:val="22"/>
          <w:szCs w:val="22"/>
        </w:rPr>
        <w:t xml:space="preserve">  </w:t>
      </w:r>
      <w:r>
        <w:rPr>
          <w:rFonts w:ascii="SimSun" w:hAnsi="SimSun" w:eastAsia="SimSun" w:cs="SimSun"/>
          <w:sz w:val="22"/>
          <w:szCs w:val="22"/>
          <w:spacing w:val="-9"/>
        </w:rPr>
        <w:t>理、参考数据和主数据管理、数据仓库与商业智能管理、数据集成与互操作管理、 </w:t>
      </w:r>
      <w:r>
        <w:rPr>
          <w:rFonts w:ascii="SimSun" w:hAnsi="SimSun" w:eastAsia="SimSun" w:cs="SimSun"/>
          <w:sz w:val="17"/>
          <w:szCs w:val="17"/>
          <w:spacing w:val="-10"/>
        </w:rPr>
        <w:t>文</w:t>
      </w:r>
      <w:r>
        <w:rPr>
          <w:rFonts w:ascii="SimSun" w:hAnsi="SimSun" w:eastAsia="SimSun" w:cs="SimSun"/>
          <w:sz w:val="17"/>
          <w:szCs w:val="17"/>
          <w:spacing w:val="-36"/>
        </w:rPr>
        <w:t xml:space="preserve"> </w:t>
      </w:r>
      <w:r>
        <w:rPr>
          <w:rFonts w:ascii="SimSun" w:hAnsi="SimSun" w:eastAsia="SimSun" w:cs="SimSun"/>
          <w:sz w:val="17"/>
          <w:szCs w:val="17"/>
          <w:spacing w:val="-10"/>
        </w:rPr>
        <w:t>档</w:t>
      </w:r>
      <w:r>
        <w:rPr>
          <w:rFonts w:ascii="SimSun" w:hAnsi="SimSun" w:eastAsia="SimSun" w:cs="SimSun"/>
          <w:sz w:val="17"/>
          <w:szCs w:val="17"/>
          <w:spacing w:val="-38"/>
        </w:rPr>
        <w:t xml:space="preserve"> </w:t>
      </w:r>
      <w:r>
        <w:rPr>
          <w:rFonts w:ascii="SimSun" w:hAnsi="SimSun" w:eastAsia="SimSun" w:cs="SimSun"/>
          <w:sz w:val="17"/>
          <w:szCs w:val="17"/>
          <w:spacing w:val="-10"/>
        </w:rPr>
        <w:t>和</w:t>
      </w:r>
      <w:r>
        <w:rPr>
          <w:rFonts w:ascii="SimSun" w:hAnsi="SimSun" w:eastAsia="SimSun" w:cs="SimSun"/>
          <w:sz w:val="17"/>
          <w:szCs w:val="17"/>
          <w:spacing w:val="-19"/>
        </w:rPr>
        <w:t xml:space="preserve"> </w:t>
      </w:r>
      <w:r>
        <w:rPr>
          <w:rFonts w:ascii="SimSun" w:hAnsi="SimSun" w:eastAsia="SimSun" w:cs="SimSun"/>
          <w:sz w:val="17"/>
          <w:szCs w:val="17"/>
          <w:spacing w:val="-10"/>
        </w:rPr>
        <w:t>内</w:t>
      </w:r>
      <w:r>
        <w:rPr>
          <w:rFonts w:ascii="SimSun" w:hAnsi="SimSun" w:eastAsia="SimSun" w:cs="SimSun"/>
          <w:sz w:val="17"/>
          <w:szCs w:val="17"/>
          <w:spacing w:val="-37"/>
        </w:rPr>
        <w:t xml:space="preserve"> </w:t>
      </w:r>
      <w:r>
        <w:rPr>
          <w:rFonts w:ascii="SimSun" w:hAnsi="SimSun" w:eastAsia="SimSun" w:cs="SimSun"/>
          <w:sz w:val="17"/>
          <w:szCs w:val="17"/>
          <w:spacing w:val="-10"/>
        </w:rPr>
        <w:t>容</w:t>
      </w:r>
      <w:r>
        <w:rPr>
          <w:rFonts w:ascii="SimSun" w:hAnsi="SimSun" w:eastAsia="SimSun" w:cs="SimSun"/>
          <w:sz w:val="17"/>
          <w:szCs w:val="17"/>
          <w:spacing w:val="-35"/>
        </w:rPr>
        <w:t xml:space="preserve"> </w:t>
      </w:r>
      <w:r>
        <w:rPr>
          <w:rFonts w:ascii="SimSun" w:hAnsi="SimSun" w:eastAsia="SimSun" w:cs="SimSun"/>
          <w:sz w:val="17"/>
          <w:szCs w:val="17"/>
          <w:spacing w:val="-10"/>
        </w:rPr>
        <w:t>管</w:t>
      </w:r>
      <w:r>
        <w:rPr>
          <w:rFonts w:ascii="SimSun" w:hAnsi="SimSun" w:eastAsia="SimSun" w:cs="SimSun"/>
          <w:sz w:val="17"/>
          <w:szCs w:val="17"/>
          <w:spacing w:val="-38"/>
        </w:rPr>
        <w:t xml:space="preserve"> </w:t>
      </w:r>
      <w:r>
        <w:rPr>
          <w:rFonts w:ascii="SimSun" w:hAnsi="SimSun" w:eastAsia="SimSun" w:cs="SimSun"/>
          <w:sz w:val="17"/>
          <w:szCs w:val="17"/>
          <w:spacing w:val="-10"/>
        </w:rPr>
        <w:t>理</w:t>
      </w:r>
      <w:r>
        <w:rPr>
          <w:rFonts w:ascii="SimSun" w:hAnsi="SimSun" w:eastAsia="SimSun" w:cs="SimSun"/>
          <w:sz w:val="17"/>
          <w:szCs w:val="17"/>
          <w:spacing w:val="-27"/>
        </w:rPr>
        <w:t xml:space="preserve"> </w:t>
      </w:r>
      <w:r>
        <w:rPr>
          <w:rFonts w:ascii="SimSun" w:hAnsi="SimSun" w:eastAsia="SimSun" w:cs="SimSun"/>
          <w:sz w:val="17"/>
          <w:szCs w:val="17"/>
          <w:spacing w:val="-10"/>
        </w:rPr>
        <w:t>、</w:t>
      </w:r>
      <w:r>
        <w:rPr>
          <w:rFonts w:ascii="SimSun" w:hAnsi="SimSun" w:eastAsia="SimSun" w:cs="SimSun"/>
          <w:sz w:val="17"/>
          <w:szCs w:val="17"/>
          <w:spacing w:val="-38"/>
        </w:rPr>
        <w:t xml:space="preserve"> </w:t>
      </w:r>
      <w:r>
        <w:rPr>
          <w:rFonts w:ascii="SimSun" w:hAnsi="SimSun" w:eastAsia="SimSun" w:cs="SimSun"/>
          <w:sz w:val="17"/>
          <w:szCs w:val="17"/>
          <w:spacing w:val="-10"/>
        </w:rPr>
        <w:t>元</w:t>
      </w:r>
      <w:r>
        <w:rPr>
          <w:rFonts w:ascii="SimSun" w:hAnsi="SimSun" w:eastAsia="SimSun" w:cs="SimSun"/>
          <w:sz w:val="17"/>
          <w:szCs w:val="17"/>
          <w:spacing w:val="-38"/>
        </w:rPr>
        <w:t xml:space="preserve"> </w:t>
      </w:r>
      <w:r>
        <w:rPr>
          <w:rFonts w:ascii="SimSun" w:hAnsi="SimSun" w:eastAsia="SimSun" w:cs="SimSun"/>
          <w:sz w:val="17"/>
          <w:szCs w:val="17"/>
          <w:spacing w:val="-10"/>
        </w:rPr>
        <w:t>数</w:t>
      </w:r>
      <w:r>
        <w:rPr>
          <w:rFonts w:ascii="SimSun" w:hAnsi="SimSun" w:eastAsia="SimSun" w:cs="SimSun"/>
          <w:sz w:val="17"/>
          <w:szCs w:val="17"/>
          <w:spacing w:val="-40"/>
        </w:rPr>
        <w:t xml:space="preserve"> </w:t>
      </w:r>
      <w:r>
        <w:rPr>
          <w:rFonts w:ascii="SimSun" w:hAnsi="SimSun" w:eastAsia="SimSun" w:cs="SimSun"/>
          <w:sz w:val="17"/>
          <w:szCs w:val="17"/>
          <w:spacing w:val="-10"/>
        </w:rPr>
        <w:t>据</w:t>
      </w:r>
      <w:r>
        <w:rPr>
          <w:rFonts w:ascii="SimSun" w:hAnsi="SimSun" w:eastAsia="SimSun" w:cs="SimSun"/>
          <w:sz w:val="17"/>
          <w:szCs w:val="17"/>
          <w:spacing w:val="-35"/>
        </w:rPr>
        <w:t xml:space="preserve"> </w:t>
      </w:r>
      <w:r>
        <w:rPr>
          <w:rFonts w:ascii="SimSun" w:hAnsi="SimSun" w:eastAsia="SimSun" w:cs="SimSun"/>
          <w:sz w:val="17"/>
          <w:szCs w:val="17"/>
          <w:spacing w:val="-10"/>
        </w:rPr>
        <w:t>管</w:t>
      </w:r>
      <w:r>
        <w:rPr>
          <w:rFonts w:ascii="SimSun" w:hAnsi="SimSun" w:eastAsia="SimSun" w:cs="SimSun"/>
          <w:sz w:val="17"/>
          <w:szCs w:val="17"/>
          <w:spacing w:val="-37"/>
        </w:rPr>
        <w:t xml:space="preserve"> </w:t>
      </w:r>
      <w:r>
        <w:rPr>
          <w:rFonts w:ascii="SimSun" w:hAnsi="SimSun" w:eastAsia="SimSun" w:cs="SimSun"/>
          <w:sz w:val="17"/>
          <w:szCs w:val="17"/>
          <w:spacing w:val="-10"/>
        </w:rPr>
        <w:t>理</w:t>
      </w:r>
      <w:r>
        <w:rPr>
          <w:rFonts w:ascii="SimSun" w:hAnsi="SimSun" w:eastAsia="SimSun" w:cs="SimSun"/>
          <w:sz w:val="17"/>
          <w:szCs w:val="17"/>
          <w:spacing w:val="-40"/>
        </w:rPr>
        <w:t xml:space="preserve"> </w:t>
      </w:r>
      <w:r>
        <w:rPr>
          <w:rFonts w:ascii="SimSun" w:hAnsi="SimSun" w:eastAsia="SimSun" w:cs="SimSun"/>
          <w:sz w:val="17"/>
          <w:szCs w:val="17"/>
          <w:spacing w:val="-10"/>
        </w:rPr>
        <w:t>及</w:t>
      </w:r>
      <w:r>
        <w:rPr>
          <w:rFonts w:ascii="SimSun" w:hAnsi="SimSun" w:eastAsia="SimSun" w:cs="SimSun"/>
          <w:sz w:val="17"/>
          <w:szCs w:val="17"/>
          <w:spacing w:val="-38"/>
        </w:rPr>
        <w:t xml:space="preserve"> </w:t>
      </w:r>
      <w:r>
        <w:rPr>
          <w:rFonts w:ascii="SimSun" w:hAnsi="SimSun" w:eastAsia="SimSun" w:cs="SimSun"/>
          <w:sz w:val="17"/>
          <w:szCs w:val="17"/>
          <w:spacing w:val="-10"/>
        </w:rPr>
        <w:t>数</w:t>
      </w:r>
      <w:r>
        <w:rPr>
          <w:rFonts w:ascii="SimSun" w:hAnsi="SimSun" w:eastAsia="SimSun" w:cs="SimSun"/>
          <w:sz w:val="17"/>
          <w:szCs w:val="17"/>
          <w:spacing w:val="-40"/>
        </w:rPr>
        <w:t xml:space="preserve"> </w:t>
      </w:r>
      <w:r>
        <w:rPr>
          <w:rFonts w:ascii="SimSun" w:hAnsi="SimSun" w:eastAsia="SimSun" w:cs="SimSun"/>
          <w:sz w:val="17"/>
          <w:szCs w:val="17"/>
          <w:spacing w:val="-10"/>
        </w:rPr>
        <w:t>据</w:t>
      </w:r>
      <w:r>
        <w:rPr>
          <w:rFonts w:ascii="SimSun" w:hAnsi="SimSun" w:eastAsia="SimSun" w:cs="SimSun"/>
          <w:sz w:val="17"/>
          <w:szCs w:val="17"/>
          <w:spacing w:val="-38"/>
        </w:rPr>
        <w:t xml:space="preserve"> </w:t>
      </w:r>
      <w:r>
        <w:rPr>
          <w:rFonts w:ascii="SimSun" w:hAnsi="SimSun" w:eastAsia="SimSun" w:cs="SimSun"/>
          <w:sz w:val="17"/>
          <w:szCs w:val="17"/>
          <w:spacing w:val="-10"/>
        </w:rPr>
        <w:t>质</w:t>
      </w:r>
      <w:r>
        <w:rPr>
          <w:rFonts w:ascii="SimSun" w:hAnsi="SimSun" w:eastAsia="SimSun" w:cs="SimSun"/>
          <w:sz w:val="17"/>
          <w:szCs w:val="17"/>
          <w:spacing w:val="-39"/>
        </w:rPr>
        <w:t xml:space="preserve"> </w:t>
      </w:r>
      <w:r>
        <w:rPr>
          <w:rFonts w:ascii="SimSun" w:hAnsi="SimSun" w:eastAsia="SimSun" w:cs="SimSun"/>
          <w:sz w:val="17"/>
          <w:szCs w:val="17"/>
          <w:spacing w:val="-10"/>
        </w:rPr>
        <w:t>量</w:t>
      </w:r>
      <w:r>
        <w:rPr>
          <w:rFonts w:ascii="SimSun" w:hAnsi="SimSun" w:eastAsia="SimSun" w:cs="SimSun"/>
          <w:sz w:val="17"/>
          <w:szCs w:val="17"/>
          <w:spacing w:val="-36"/>
        </w:rPr>
        <w:t xml:space="preserve"> </w:t>
      </w:r>
      <w:r>
        <w:rPr>
          <w:rFonts w:ascii="SimSun" w:hAnsi="SimSun" w:eastAsia="SimSun" w:cs="SimSun"/>
          <w:sz w:val="17"/>
          <w:szCs w:val="17"/>
          <w:spacing w:val="-10"/>
        </w:rPr>
        <w:t>管</w:t>
      </w:r>
      <w:r>
        <w:rPr>
          <w:rFonts w:ascii="SimSun" w:hAnsi="SimSun" w:eastAsia="SimSun" w:cs="SimSun"/>
          <w:sz w:val="17"/>
          <w:szCs w:val="17"/>
          <w:spacing w:val="-37"/>
        </w:rPr>
        <w:t xml:space="preserve"> </w:t>
      </w:r>
      <w:r>
        <w:rPr>
          <w:rFonts w:ascii="SimSun" w:hAnsi="SimSun" w:eastAsia="SimSun" w:cs="SimSun"/>
          <w:sz w:val="17"/>
          <w:szCs w:val="17"/>
          <w:spacing w:val="-10"/>
        </w:rPr>
        <w:t>理</w:t>
      </w:r>
      <w:r>
        <w:rPr>
          <w:rFonts w:ascii="SimSun" w:hAnsi="SimSun" w:eastAsia="SimSun" w:cs="SimSun"/>
          <w:sz w:val="17"/>
          <w:szCs w:val="17"/>
          <w:spacing w:val="-22"/>
        </w:rPr>
        <w:t xml:space="preserve"> </w:t>
      </w:r>
      <w:r>
        <w:rPr>
          <w:rFonts w:ascii="SimSun" w:hAnsi="SimSun" w:eastAsia="SimSun" w:cs="SimSun"/>
          <w:sz w:val="17"/>
          <w:szCs w:val="17"/>
          <w:spacing w:val="-10"/>
        </w:rPr>
        <w:t>。</w:t>
      </w:r>
      <w:r>
        <w:rPr>
          <w:rFonts w:ascii="SimSun" w:hAnsi="SimSun" w:eastAsia="SimSun" w:cs="SimSun"/>
          <w:sz w:val="17"/>
          <w:szCs w:val="17"/>
          <w:spacing w:val="-39"/>
        </w:rPr>
        <w:t xml:space="preserve"> </w:t>
      </w:r>
      <w:r>
        <w:rPr>
          <w:rFonts w:ascii="SimSun" w:hAnsi="SimSun" w:eastAsia="SimSun" w:cs="SimSun"/>
          <w:sz w:val="17"/>
          <w:szCs w:val="17"/>
          <w:spacing w:val="-10"/>
        </w:rPr>
        <w:t>其</w:t>
      </w:r>
      <w:r>
        <w:rPr>
          <w:rFonts w:ascii="SimSun" w:hAnsi="SimSun" w:eastAsia="SimSun" w:cs="SimSun"/>
          <w:sz w:val="17"/>
          <w:szCs w:val="17"/>
          <w:spacing w:val="-40"/>
        </w:rPr>
        <w:t xml:space="preserve"> </w:t>
      </w:r>
      <w:r>
        <w:rPr>
          <w:rFonts w:ascii="SimSun" w:hAnsi="SimSun" w:eastAsia="SimSun" w:cs="SimSun"/>
          <w:sz w:val="17"/>
          <w:szCs w:val="17"/>
          <w:spacing w:val="-10"/>
        </w:rPr>
        <w:t>对</w:t>
      </w:r>
      <w:r>
        <w:rPr>
          <w:rFonts w:ascii="SimSun" w:hAnsi="SimSun" w:eastAsia="SimSun" w:cs="SimSun"/>
          <w:sz w:val="17"/>
          <w:szCs w:val="17"/>
          <w:spacing w:val="-39"/>
        </w:rPr>
        <w:t xml:space="preserve"> </w:t>
      </w:r>
      <w:r>
        <w:rPr>
          <w:rFonts w:ascii="SimSun" w:hAnsi="SimSun" w:eastAsia="SimSun" w:cs="SimSun"/>
          <w:sz w:val="17"/>
          <w:szCs w:val="17"/>
          <w:spacing w:val="-10"/>
        </w:rPr>
        <w:t>应</w:t>
      </w:r>
      <w:r>
        <w:rPr>
          <w:rFonts w:ascii="SimSun" w:hAnsi="SimSun" w:eastAsia="SimSun" w:cs="SimSun"/>
          <w:sz w:val="17"/>
          <w:szCs w:val="17"/>
          <w:spacing w:val="-25"/>
        </w:rPr>
        <w:t xml:space="preserve"> </w:t>
      </w:r>
      <w:r>
        <w:rPr>
          <w:rFonts w:ascii="SimSun" w:hAnsi="SimSun" w:eastAsia="SimSun" w:cs="SimSun"/>
          <w:sz w:val="17"/>
          <w:szCs w:val="17"/>
          <w:spacing w:val="-10"/>
        </w:rPr>
        <w:t>的</w:t>
      </w:r>
      <w:r>
        <w:rPr>
          <w:rFonts w:ascii="SimSun" w:hAnsi="SimSun" w:eastAsia="SimSun" w:cs="SimSun"/>
          <w:sz w:val="17"/>
          <w:szCs w:val="17"/>
          <w:spacing w:val="-37"/>
        </w:rPr>
        <w:t xml:space="preserve"> </w:t>
      </w:r>
      <w:r>
        <w:rPr>
          <w:rFonts w:ascii="SimSun" w:hAnsi="SimSun" w:eastAsia="SimSun" w:cs="SimSun"/>
          <w:sz w:val="17"/>
          <w:szCs w:val="17"/>
          <w:spacing w:val="-10"/>
        </w:rPr>
        <w:t>功</w:t>
      </w:r>
      <w:r>
        <w:rPr>
          <w:rFonts w:ascii="SimSun" w:hAnsi="SimSun" w:eastAsia="SimSun" w:cs="SimSun"/>
          <w:sz w:val="17"/>
          <w:szCs w:val="17"/>
          <w:spacing w:val="-32"/>
        </w:rPr>
        <w:t xml:space="preserve"> </w:t>
      </w:r>
      <w:r>
        <w:rPr>
          <w:rFonts w:ascii="SimSun" w:hAnsi="SimSun" w:eastAsia="SimSun" w:cs="SimSun"/>
          <w:sz w:val="17"/>
          <w:szCs w:val="17"/>
          <w:spacing w:val="-10"/>
        </w:rPr>
        <w:t>能</w:t>
      </w:r>
      <w:r>
        <w:rPr>
          <w:rFonts w:ascii="SimSun" w:hAnsi="SimSun" w:eastAsia="SimSun" w:cs="SimSun"/>
          <w:sz w:val="17"/>
          <w:szCs w:val="17"/>
          <w:spacing w:val="-37"/>
        </w:rPr>
        <w:t xml:space="preserve"> </w:t>
      </w:r>
      <w:r>
        <w:rPr>
          <w:rFonts w:ascii="SimSun" w:hAnsi="SimSun" w:eastAsia="SimSun" w:cs="SimSun"/>
          <w:sz w:val="17"/>
          <w:szCs w:val="17"/>
          <w:spacing w:val="-10"/>
        </w:rPr>
        <w:t>见</w:t>
      </w:r>
      <w:r>
        <w:rPr>
          <w:rFonts w:ascii="SimSun" w:hAnsi="SimSun" w:eastAsia="SimSun" w:cs="SimSun"/>
          <w:sz w:val="17"/>
          <w:szCs w:val="17"/>
          <w:spacing w:val="-40"/>
        </w:rPr>
        <w:t xml:space="preserve"> </w:t>
      </w:r>
      <w:r>
        <w:rPr>
          <w:rFonts w:ascii="SimSun" w:hAnsi="SimSun" w:eastAsia="SimSun" w:cs="SimSun"/>
          <w:sz w:val="17"/>
          <w:szCs w:val="17"/>
          <w:spacing w:val="-10"/>
        </w:rPr>
        <w:t>表</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41"/>
        </w:rPr>
        <w:t xml:space="preserve"> </w:t>
      </w:r>
      <w:r>
        <w:rPr>
          <w:rFonts w:ascii="SimSun" w:hAnsi="SimSun" w:eastAsia="SimSun" w:cs="SimSun"/>
          <w:sz w:val="17"/>
          <w:szCs w:val="17"/>
          <w:spacing w:val="-10"/>
        </w:rPr>
        <w:t>-</w:t>
      </w:r>
      <w:r>
        <w:rPr>
          <w:rFonts w:ascii="SimSun" w:hAnsi="SimSun" w:eastAsia="SimSun" w:cs="SimSun"/>
          <w:sz w:val="17"/>
          <w:szCs w:val="17"/>
          <w:spacing w:val="-37"/>
        </w:rPr>
        <w:t xml:space="preserve"> </w:t>
      </w:r>
      <w:r>
        <w:rPr>
          <w:rFonts w:ascii="SimSun" w:hAnsi="SimSun" w:eastAsia="SimSun" w:cs="SimSun"/>
          <w:sz w:val="17"/>
          <w:szCs w:val="17"/>
          <w:spacing w:val="-10"/>
        </w:rPr>
        <w:t>2</w:t>
      </w:r>
      <w:r>
        <w:rPr>
          <w:rFonts w:ascii="SimSun" w:hAnsi="SimSun" w:eastAsia="SimSun" w:cs="SimSun"/>
          <w:sz w:val="17"/>
          <w:szCs w:val="17"/>
          <w:spacing w:val="-46"/>
        </w:rPr>
        <w:t xml:space="preserve"> </w:t>
      </w:r>
      <w:r>
        <w:rPr>
          <w:rFonts w:ascii="SimSun" w:hAnsi="SimSun" w:eastAsia="SimSun" w:cs="SimSun"/>
          <w:sz w:val="17"/>
          <w:szCs w:val="17"/>
          <w:spacing w:val="-10"/>
        </w:rPr>
        <w:t>。</w:t>
      </w:r>
    </w:p>
    <w:p>
      <w:pPr>
        <w:ind w:firstLine="2200"/>
        <w:spacing w:before="51" w:line="3780" w:lineRule="exact"/>
        <w:rPr/>
      </w:pPr>
      <w:r>
        <w:rPr>
          <w:position w:val="-75"/>
        </w:rPr>
        <w:pict>
          <v:group id="_x0000_s36" style="mso-position-vertical-relative:line;mso-position-horizontal-relative:char;width:192.55pt;height:189pt;" filled="false" stroked="false" coordsize="3851,3780" coordorigin="0,0">
            <v:shape id="_x0000_s38" style="position:absolute;left:0;top:0;width:3851;height:3780;" filled="false" stroked="false" type="#_x0000_t75">
              <v:imagedata o:title="" r:id="rId50"/>
            </v:shape>
            <v:shape id="_x0000_s40" style="position:absolute;left:1540;top:563;width:2073;height:2953;" filled="false" stroked="false" type="#_x0000_t202">
              <v:fill on="false"/>
              <v:stroke on="false"/>
              <v:path/>
              <v:imagedata o:title=""/>
              <o:lock v:ext="edit" aspectratio="false"/>
              <v:textbox inset="0mm,0mm,0mm,0mm">
                <w:txbxContent>
                  <w:p>
                    <w:pPr>
                      <w:ind w:left="909"/>
                      <w:spacing w:before="20" w:line="403" w:lineRule="exact"/>
                      <w:rPr>
                        <w:rFonts w:ascii="STXingkai" w:hAnsi="STXingkai" w:eastAsia="STXingkai" w:cs="STXingkai"/>
                        <w:sz w:val="51"/>
                        <w:szCs w:val="51"/>
                      </w:rPr>
                    </w:pPr>
                    <w:r>
                      <w:rPr>
                        <w:rFonts w:ascii="STXingkai" w:hAnsi="STXingkai" w:eastAsia="STXingkai" w:cs="STXingkai"/>
                        <w:sz w:val="51"/>
                        <w:szCs w:val="51"/>
                        <w:position w:val="-5"/>
                      </w:rPr>
                      <w:t>数</w:t>
                    </w:r>
                  </w:p>
                  <w:p>
                    <w:pPr>
                      <w:ind w:left="908"/>
                      <w:spacing w:line="215" w:lineRule="auto"/>
                      <w:rPr>
                        <w:rFonts w:ascii="SimSun" w:hAnsi="SimSun" w:eastAsia="SimSun" w:cs="SimSun"/>
                        <w:sz w:val="12"/>
                        <w:szCs w:val="12"/>
                      </w:rPr>
                    </w:pPr>
                    <w:r>
                      <w:rPr>
                        <w:rFonts w:ascii="SimSun" w:hAnsi="SimSun" w:eastAsia="SimSun" w:cs="SimSun"/>
                        <w:sz w:val="12"/>
                        <w:szCs w:val="12"/>
                        <w:i/>
                        <w:iCs/>
                        <w:color w:val="FFFFFF"/>
                        <w:spacing w:val="17"/>
                      </w:rPr>
                      <w:t>代≠</w:t>
                    </w:r>
                  </w:p>
                  <w:p>
                    <w:pPr>
                      <w:ind w:left="1348" w:right="20" w:hanging="69"/>
                      <w:spacing w:before="238" w:line="224" w:lineRule="auto"/>
                      <w:rPr>
                        <w:rFonts w:ascii="SimSun" w:hAnsi="SimSun" w:eastAsia="SimSun" w:cs="SimSun"/>
                        <w:sz w:val="17"/>
                        <w:szCs w:val="17"/>
                      </w:rPr>
                    </w:pPr>
                    <w:r>
                      <w:rPr>
                        <w:rFonts w:ascii="SimSun" w:hAnsi="SimSun" w:eastAsia="SimSun" w:cs="SimSun"/>
                        <w:sz w:val="17"/>
                        <w:szCs w:val="17"/>
                        <w:spacing w:val="-13"/>
                        <w:w w:val="98"/>
                      </w:rPr>
                      <w:t>数据存储与</w:t>
                    </w:r>
                    <w:r>
                      <w:rPr>
                        <w:rFonts w:ascii="SimSun" w:hAnsi="SimSun" w:eastAsia="SimSun" w:cs="SimSun"/>
                        <w:sz w:val="17"/>
                        <w:szCs w:val="17"/>
                        <w:spacing w:val="3"/>
                      </w:rPr>
                      <w:t xml:space="preserve"> </w:t>
                    </w:r>
                    <w:r>
                      <w:rPr>
                        <w:rFonts w:ascii="SimSun" w:hAnsi="SimSun" w:eastAsia="SimSun" w:cs="SimSun"/>
                        <w:sz w:val="17"/>
                        <w:szCs w:val="17"/>
                        <w:spacing w:val="-11"/>
                      </w:rPr>
                      <w:t>设计管理</w:t>
                    </w:r>
                  </w:p>
                  <w:p>
                    <w:pPr>
                      <w:ind w:left="20"/>
                      <w:spacing w:before="8" w:line="219" w:lineRule="auto"/>
                      <w:rPr>
                        <w:rFonts w:ascii="SimSun" w:hAnsi="SimSun" w:eastAsia="SimSun" w:cs="SimSun"/>
                        <w:sz w:val="17"/>
                        <w:szCs w:val="17"/>
                      </w:rPr>
                    </w:pPr>
                    <w:r>
                      <w:rPr>
                        <w:rFonts w:ascii="SimSun" w:hAnsi="SimSun" w:eastAsia="SimSun" w:cs="SimSun"/>
                        <w:sz w:val="17"/>
                        <w:szCs w:val="17"/>
                        <w:spacing w:val="-11"/>
                      </w:rPr>
                      <w:t>数据治理</w:t>
                    </w:r>
                  </w:p>
                  <w:p>
                    <w:pPr>
                      <w:ind w:left="1520"/>
                      <w:spacing w:before="238" w:line="219" w:lineRule="auto"/>
                      <w:rPr>
                        <w:rFonts w:ascii="SimSun" w:hAnsi="SimSun" w:eastAsia="SimSun" w:cs="SimSun"/>
                        <w:sz w:val="17"/>
                        <w:szCs w:val="17"/>
                      </w:rPr>
                    </w:pPr>
                    <w:r>
                      <w:rPr>
                        <w:rFonts w:ascii="SimSun" w:hAnsi="SimSun" w:eastAsia="SimSun" w:cs="SimSun"/>
                        <w:sz w:val="17"/>
                        <w:szCs w:val="17"/>
                        <w:spacing w:val="-3"/>
                      </w:rPr>
                      <w:t>管理</w:t>
                    </w:r>
                  </w:p>
                  <w:p>
                    <w:pPr>
                      <w:ind w:firstLine="919"/>
                      <w:spacing w:before="1" w:line="338" w:lineRule="exact"/>
                      <w:rPr/>
                    </w:pPr>
                    <w:r>
                      <w:rPr>
                        <w:position w:val="-6"/>
                      </w:rPr>
                      <w:drawing>
                        <wp:inline distT="0" distB="0" distL="0" distR="0">
                          <wp:extent cx="304828" cy="214308"/>
                          <wp:effectExtent l="0" t="0" r="0" b="0"/>
                          <wp:docPr id="70" name="IM 70"/>
                          <wp:cNvGraphicFramePr/>
                          <a:graphic>
                            <a:graphicData uri="http://schemas.openxmlformats.org/drawingml/2006/picture">
                              <pic:pic>
                                <pic:nvPicPr>
                                  <pic:cNvPr id="70" name="IM 70"/>
                                  <pic:cNvPicPr/>
                                </pic:nvPicPr>
                                <pic:blipFill>
                                  <a:blip r:embed="rId51"/>
                                  <a:stretch>
                                    <a:fillRect/>
                                  </a:stretch>
                                </pic:blipFill>
                                <pic:spPr>
                                  <a:xfrm rot="0">
                                    <a:off x="0" y="0"/>
                                    <a:ext cx="304828" cy="214308"/>
                                  </a:xfrm>
                                  <a:prstGeom prst="rect">
                                    <a:avLst/>
                                  </a:prstGeom>
                                </pic:spPr>
                              </pic:pic>
                            </a:graphicData>
                          </a:graphic>
                        </wp:inline>
                      </w:drawing>
                    </w:r>
                  </w:p>
                  <w:p>
                    <w:pPr>
                      <w:ind w:left="909"/>
                      <w:spacing w:line="149"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3"/>
                      </w:rPr>
                      <w:t>x</w:t>
                    </w:r>
                  </w:p>
                  <w:p>
                    <w:pPr>
                      <w:ind w:left="20"/>
                      <w:spacing w:before="1" w:line="217" w:lineRule="auto"/>
                      <w:rPr>
                        <w:rFonts w:ascii="SimSun" w:hAnsi="SimSun" w:eastAsia="SimSun" w:cs="SimSun"/>
                        <w:sz w:val="17"/>
                        <w:szCs w:val="17"/>
                      </w:rPr>
                    </w:pPr>
                    <w:r>
                      <w:rPr>
                        <w:rFonts w:ascii="SimSun" w:hAnsi="SimSun" w:eastAsia="SimSun" w:cs="SimSun"/>
                        <w:sz w:val="17"/>
                        <w:szCs w:val="17"/>
                        <w:spacing w:val="-12"/>
                        <w:w w:val="98"/>
                      </w:rPr>
                      <w:t>数据仓库</w:t>
                    </w:r>
                  </w:p>
                  <w:p>
                    <w:pPr>
                      <w:ind w:left="20"/>
                      <w:spacing w:line="220" w:lineRule="auto"/>
                      <w:rPr>
                        <w:rFonts w:ascii="SimSun" w:hAnsi="SimSun" w:eastAsia="SimSun" w:cs="SimSun"/>
                        <w:sz w:val="17"/>
                        <w:szCs w:val="17"/>
                      </w:rPr>
                    </w:pPr>
                    <w:r>
                      <w:rPr>
                        <w:rFonts w:ascii="SimSun" w:hAnsi="SimSun" w:eastAsia="SimSun" w:cs="SimSun"/>
                        <w:sz w:val="17"/>
                        <w:szCs w:val="17"/>
                        <w:spacing w:val="-15"/>
                      </w:rPr>
                      <w:t>与商业智</w:t>
                    </w:r>
                  </w:p>
                  <w:p>
                    <w:pPr>
                      <w:ind w:left="20"/>
                      <w:spacing w:before="7" w:line="219" w:lineRule="auto"/>
                      <w:rPr>
                        <w:rFonts w:ascii="SimSun" w:hAnsi="SimSun" w:eastAsia="SimSun" w:cs="SimSun"/>
                        <w:sz w:val="17"/>
                        <w:szCs w:val="17"/>
                      </w:rPr>
                    </w:pPr>
                    <w:r>
                      <w:rPr>
                        <w:rFonts w:ascii="SimSun" w:hAnsi="SimSun" w:eastAsia="SimSun" w:cs="SimSun"/>
                        <w:sz w:val="17"/>
                        <w:szCs w:val="17"/>
                        <w:spacing w:val="-3"/>
                      </w:rPr>
                      <w:t>能管理</w:t>
                    </w:r>
                  </w:p>
                </w:txbxContent>
              </v:textbox>
            </v:shape>
            <v:shape id="_x0000_s42" style="position:absolute;left:890;top:489;width:460;height:630;" filled="false" stroked="false" type="#_x0000_t75">
              <v:imagedata o:title="" r:id="rId52"/>
            </v:shape>
            <v:shape id="_x0000_s44" style="position:absolute;left:319;top:1316;width:519;height:430;" filled="false" stroked="false" type="#_x0000_t202">
              <v:fill on="false"/>
              <v:stroke on="false"/>
              <v:path/>
              <v:imagedata o:title=""/>
              <o:lock v:ext="edit" aspectratio="false"/>
              <v:textbox inset="0mm,0mm,0mm,0mm">
                <w:txbxContent>
                  <w:p>
                    <w:pPr>
                      <w:ind w:left="20" w:right="20"/>
                      <w:spacing w:before="20" w:line="229" w:lineRule="auto"/>
                      <w:rPr>
                        <w:rFonts w:ascii="SimSun" w:hAnsi="SimSun" w:eastAsia="SimSun" w:cs="SimSun"/>
                        <w:sz w:val="17"/>
                        <w:szCs w:val="17"/>
                      </w:rPr>
                    </w:pPr>
                    <w:r>
                      <w:rPr>
                        <w:rFonts w:ascii="SimSun" w:hAnsi="SimSun" w:eastAsia="SimSun" w:cs="SimSun"/>
                        <w:sz w:val="17"/>
                        <w:szCs w:val="17"/>
                        <w:spacing w:val="-11"/>
                      </w:rPr>
                      <w:t>数据质</w:t>
                    </w:r>
                    <w:r>
                      <w:rPr>
                        <w:rFonts w:ascii="SimSun" w:hAnsi="SimSun" w:eastAsia="SimSun" w:cs="SimSun"/>
                        <w:sz w:val="17"/>
                        <w:szCs w:val="17"/>
                      </w:rPr>
                      <w:t xml:space="preserve"> </w:t>
                    </w:r>
                    <w:r>
                      <w:rPr>
                        <w:rFonts w:ascii="SimSun" w:hAnsi="SimSun" w:eastAsia="SimSun" w:cs="SimSun"/>
                        <w:sz w:val="17"/>
                        <w:szCs w:val="17"/>
                        <w:spacing w:val="-14"/>
                        <w:w w:val="99"/>
                      </w:rPr>
                      <w:t>量管理</w:t>
                    </w:r>
                  </w:p>
                </w:txbxContent>
              </v:textbox>
            </v:shape>
            <v:shape id="_x0000_s46" style="position:absolute;left:1540;top:426;width:509;height:410;"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7"/>
                        <w:szCs w:val="17"/>
                      </w:rPr>
                    </w:pPr>
                    <w:r>
                      <w:rPr>
                        <w:rFonts w:ascii="SimSun" w:hAnsi="SimSun" w:eastAsia="SimSun" w:cs="SimSun"/>
                        <w:sz w:val="17"/>
                        <w:szCs w:val="17"/>
                        <w:spacing w:val="-13"/>
                        <w:w w:val="99"/>
                      </w:rPr>
                      <w:t>数据架</w:t>
                    </w:r>
                    <w:r>
                      <w:rPr>
                        <w:rFonts w:ascii="SimSun" w:hAnsi="SimSun" w:eastAsia="SimSun" w:cs="SimSun"/>
                        <w:sz w:val="17"/>
                        <w:szCs w:val="17"/>
                        <w:spacing w:val="1"/>
                      </w:rPr>
                      <w:t xml:space="preserve"> </w:t>
                    </w:r>
                    <w:r>
                      <w:rPr>
                        <w:rFonts w:ascii="SimSun" w:hAnsi="SimSun" w:eastAsia="SimSun" w:cs="SimSun"/>
                        <w:sz w:val="17"/>
                        <w:szCs w:val="17"/>
                        <w:spacing w:val="-15"/>
                      </w:rPr>
                      <w:t>构管理</w:t>
                    </w:r>
                  </w:p>
                </w:txbxContent>
              </v:textbox>
            </v:shape>
            <v:shape id="_x0000_s48" style="position:absolute;left:439;top:1996;width:500;height:410;" filled="false" stroked="false" type="#_x0000_t202">
              <v:fill on="false"/>
              <v:stroke on="false"/>
              <v:path/>
              <v:imagedata o:title=""/>
              <o:lock v:ext="edit" aspectratio="false"/>
              <v:textbox inset="0mm,0mm,0mm,0mm">
                <w:txbxContent>
                  <w:p>
                    <w:pPr>
                      <w:ind w:left="100" w:right="20" w:hanging="80"/>
                      <w:spacing w:before="20" w:line="218" w:lineRule="auto"/>
                      <w:rPr>
                        <w:rFonts w:ascii="SimSun" w:hAnsi="SimSun" w:eastAsia="SimSun" w:cs="SimSun"/>
                        <w:sz w:val="17"/>
                        <w:szCs w:val="17"/>
                      </w:rPr>
                    </w:pPr>
                    <w:r>
                      <w:rPr>
                        <w:rFonts w:ascii="SimSun" w:hAnsi="SimSun" w:eastAsia="SimSun" w:cs="SimSun"/>
                        <w:sz w:val="17"/>
                        <w:szCs w:val="17"/>
                        <w:spacing w:val="-12"/>
                        <w:w w:val="97"/>
                      </w:rPr>
                      <w:t>元数据</w:t>
                    </w:r>
                    <w:r>
                      <w:rPr>
                        <w:rFonts w:ascii="SimSun" w:hAnsi="SimSun" w:eastAsia="SimSun" w:cs="SimSun"/>
                        <w:sz w:val="17"/>
                        <w:szCs w:val="17"/>
                      </w:rPr>
                      <w:t xml:space="preserve"> </w:t>
                    </w:r>
                    <w:r>
                      <w:rPr>
                        <w:rFonts w:ascii="SimSun" w:hAnsi="SimSun" w:eastAsia="SimSun" w:cs="SimSun"/>
                        <w:sz w:val="17"/>
                        <w:szCs w:val="17"/>
                        <w:spacing w:val="-3"/>
                      </w:rPr>
                      <w:t>管理</w:t>
                    </w:r>
                  </w:p>
                </w:txbxContent>
              </v:textbox>
            </v:shape>
            <v:shape id="_x0000_s50" style="position:absolute;left:2470;top:2919;width:500;height:220;" filled="false" stroked="false" type="#_x0000_t75">
              <v:imagedata o:title="" r:id="rId53"/>
            </v:shape>
            <v:shape id="_x0000_s52" style="position:absolute;left:2889;top:1996;width:648;height:21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7"/>
                        <w:szCs w:val="17"/>
                      </w:rPr>
                    </w:pPr>
                    <w:r>
                      <w:rPr>
                        <w:rFonts w:ascii="SimSun" w:hAnsi="SimSun" w:eastAsia="SimSun" w:cs="SimSun"/>
                        <w:sz w:val="17"/>
                        <w:szCs w:val="17"/>
                        <w:spacing w:val="-16"/>
                      </w:rPr>
                      <w:t>数</w:t>
                    </w:r>
                    <w:r>
                      <w:rPr>
                        <w:rFonts w:ascii="SimSun" w:hAnsi="SimSun" w:eastAsia="SimSun" w:cs="SimSun"/>
                        <w:sz w:val="17"/>
                        <w:szCs w:val="17"/>
                        <w:spacing w:val="-15"/>
                      </w:rPr>
                      <w:t>据安</w:t>
                    </w:r>
                    <w:r>
                      <w:rPr>
                        <w:rFonts w:ascii="SimSun" w:hAnsi="SimSun" w:eastAsia="SimSun" w:cs="SimSun"/>
                        <w:sz w:val="17"/>
                        <w:szCs w:val="17"/>
                        <w:spacing w:val="-10"/>
                      </w:rPr>
                      <w:t>全</w:t>
                    </w:r>
                  </w:p>
                </w:txbxContent>
              </v:textbox>
            </v:shape>
            <v:shape id="_x0000_s54" style="position:absolute;left:870;top:2939;width:510;height:200;" filled="false" stroked="false" type="#_x0000_t75">
              <v:imagedata o:title="" r:id="rId54"/>
            </v:shape>
            <v:shape id="_x0000_s56" style="position:absolute;left:850;top:2619;width:344;height:36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32"/>
                        <w:szCs w:val="32"/>
                      </w:rPr>
                    </w:pPr>
                    <w:r>
                      <w:rPr>
                        <w:rFonts w:ascii="SimSun" w:hAnsi="SimSun" w:eastAsia="SimSun" w:cs="SimSun"/>
                        <w:sz w:val="32"/>
                        <w:szCs w:val="32"/>
                        <w:color w:val="FFFFFF"/>
                      </w:rPr>
                      <w:t>或</w:t>
                    </w:r>
                  </w:p>
                </w:txbxContent>
              </v:textbox>
            </v:shape>
            <v:shape id="_x0000_s58" style="position:absolute;left:669;top:734;width:242;height:216;" filled="false" stroked="false" type="#_x0000_t202">
              <v:fill on="false"/>
              <v:stroke on="false"/>
              <v:path/>
              <v:imagedata o:title=""/>
              <o:lock v:ext="edit" aspectratio="false"/>
              <v:textbox inset="0mm,0mm,0mm,0mm">
                <w:txbxContent>
                  <w:p>
                    <w:pPr>
                      <w:ind w:right="1"/>
                      <w:spacing w:before="20" w:line="198" w:lineRule="auto"/>
                      <w:jc w:val="right"/>
                      <w:rPr>
                        <w:rFonts w:ascii="STXingkai" w:hAnsi="STXingkai" w:eastAsia="STXingkai" w:cs="STXingkai"/>
                        <w:sz w:val="22"/>
                        <w:szCs w:val="22"/>
                      </w:rPr>
                    </w:pPr>
                    <w:r>
                      <w:rPr>
                        <w:rFonts w:ascii="STXingkai" w:hAnsi="STXingkai" w:eastAsia="STXingkai" w:cs="STXingkai"/>
                        <w:sz w:val="22"/>
                        <w:szCs w:val="22"/>
                      </w:rPr>
                      <w:t>称</w:t>
                    </w:r>
                  </w:p>
                </w:txbxContent>
              </v:textbox>
            </v:shape>
          </v:group>
        </w:pict>
      </w:r>
    </w:p>
    <w:p>
      <w:pPr>
        <w:ind w:left="2542"/>
        <w:spacing w:before="113" w:line="222" w:lineRule="auto"/>
        <w:rPr>
          <w:rFonts w:ascii="SimHei" w:hAnsi="SimHei" w:eastAsia="SimHei" w:cs="SimHei"/>
          <w:sz w:val="17"/>
          <w:szCs w:val="17"/>
        </w:rPr>
      </w:pPr>
      <w:r>
        <w:rPr>
          <w:rFonts w:ascii="SimHei" w:hAnsi="SimHei" w:eastAsia="SimHei" w:cs="SimHei"/>
          <w:sz w:val="17"/>
          <w:szCs w:val="17"/>
          <w:b/>
          <w:bCs/>
          <w:spacing w:val="9"/>
        </w:rPr>
        <w:t>图1-4</w:t>
      </w:r>
      <w:r>
        <w:rPr>
          <w:rFonts w:ascii="SimHei" w:hAnsi="SimHei" w:eastAsia="SimHei" w:cs="SimHei"/>
          <w:sz w:val="17"/>
          <w:szCs w:val="17"/>
          <w:spacing w:val="13"/>
        </w:rPr>
        <w:t xml:space="preserve">  </w:t>
      </w:r>
      <w:r>
        <w:rPr>
          <w:rFonts w:ascii="SimSun" w:hAnsi="SimSun" w:eastAsia="SimSun" w:cs="SimSun"/>
          <w:sz w:val="17"/>
          <w:szCs w:val="17"/>
          <w:b/>
          <w:bCs/>
        </w:rPr>
        <w:t>DAMA</w:t>
      </w:r>
      <w:r>
        <w:rPr>
          <w:rFonts w:ascii="SimSun" w:hAnsi="SimSun" w:eastAsia="SimSun" w:cs="SimSun"/>
          <w:sz w:val="17"/>
          <w:szCs w:val="17"/>
          <w:spacing w:val="9"/>
        </w:rPr>
        <w:t xml:space="preserve">   </w:t>
      </w:r>
      <w:r>
        <w:rPr>
          <w:rFonts w:ascii="SimHei" w:hAnsi="SimHei" w:eastAsia="SimHei" w:cs="SimHei"/>
          <w:sz w:val="17"/>
          <w:szCs w:val="17"/>
          <w:b/>
          <w:bCs/>
          <w:spacing w:val="9"/>
        </w:rPr>
        <w:t>数据治理十大功能框架</w:t>
      </w:r>
    </w:p>
    <w:p>
      <w:pPr>
        <w:spacing w:line="76" w:lineRule="exact"/>
        <w:rPr/>
      </w:pPr>
      <w:r/>
    </w:p>
    <w:p>
      <w:pPr>
        <w:spacing w:line="76" w:lineRule="exact"/>
        <w:sectPr>
          <w:footerReference w:type="default" r:id="rId48"/>
          <w:pgSz w:w="8870" w:h="13400"/>
          <w:pgMar w:top="400" w:right="659" w:bottom="474" w:left="249" w:header="0" w:footer="256" w:gutter="0"/>
          <w:cols w:equalWidth="0" w:num="1">
            <w:col w:w="7961" w:space="0"/>
          </w:cols>
        </w:sectPr>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2540"/>
        <w:spacing w:before="55" w:line="217" w:lineRule="auto"/>
        <w:rPr>
          <w:rFonts w:ascii="SimSun" w:hAnsi="SimSun" w:eastAsia="SimSun" w:cs="SimSun"/>
          <w:sz w:val="17"/>
          <w:szCs w:val="17"/>
        </w:rPr>
      </w:pPr>
      <w:r>
        <w:drawing>
          <wp:anchor distT="0" distB="0" distL="0" distR="0" simplePos="0" relativeHeight="251706368" behindDoc="1" locked="0" layoutInCell="1" allowOverlap="1">
            <wp:simplePos x="0" y="0"/>
            <wp:positionH relativeFrom="column">
              <wp:posOffset>914428</wp:posOffset>
            </wp:positionH>
            <wp:positionV relativeFrom="paragraph">
              <wp:posOffset>-686611</wp:posOffset>
            </wp:positionV>
            <wp:extent cx="3441708" cy="2990828"/>
            <wp:effectExtent l="0" t="0" r="0" b="0"/>
            <wp:wrapNone/>
            <wp:docPr id="72" name="IM 72"/>
            <wp:cNvGraphicFramePr/>
            <a:graphic>
              <a:graphicData uri="http://schemas.openxmlformats.org/drawingml/2006/picture">
                <pic:pic>
                  <pic:nvPicPr>
                    <pic:cNvPr id="72" name="IM 72"/>
                    <pic:cNvPicPr/>
                  </pic:nvPicPr>
                  <pic:blipFill>
                    <a:blip r:embed="rId55"/>
                    <a:stretch>
                      <a:fillRect/>
                    </a:stretch>
                  </pic:blipFill>
                  <pic:spPr>
                    <a:xfrm rot="0">
                      <a:off x="0" y="0"/>
                      <a:ext cx="3441708" cy="2990828"/>
                    </a:xfrm>
                    <a:prstGeom prst="rect">
                      <a:avLst/>
                    </a:prstGeom>
                  </pic:spPr>
                </pic:pic>
              </a:graphicData>
            </a:graphic>
          </wp:anchor>
        </w:drawing>
      </w:r>
      <w:r>
        <w:rPr>
          <w:rFonts w:ascii="SimSun" w:hAnsi="SimSun" w:eastAsia="SimSun" w:cs="SimSun"/>
          <w:sz w:val="17"/>
          <w:szCs w:val="17"/>
          <w:spacing w:val="-2"/>
        </w:rPr>
        <w:t>技术</w:t>
      </w:r>
    </w:p>
    <w:p>
      <w:pPr>
        <w:ind w:left="2380" w:right="163"/>
        <w:spacing w:before="3" w:line="201" w:lineRule="auto"/>
        <w:rPr>
          <w:rFonts w:ascii="SimSun" w:hAnsi="SimSun" w:eastAsia="SimSun" w:cs="SimSun"/>
          <w:sz w:val="17"/>
          <w:szCs w:val="17"/>
        </w:rPr>
      </w:pPr>
      <w:r>
        <w:rPr>
          <w:rFonts w:ascii="SimSun" w:hAnsi="SimSun" w:eastAsia="SimSun" w:cs="SimSun"/>
          <w:sz w:val="17"/>
          <w:szCs w:val="17"/>
          <w:spacing w:val="-35"/>
        </w:rPr>
        <w:t>·工具分类</w:t>
      </w:r>
      <w:r>
        <w:rPr>
          <w:rFonts w:ascii="SimSun" w:hAnsi="SimSun" w:eastAsia="SimSun" w:cs="SimSun"/>
          <w:sz w:val="17"/>
          <w:szCs w:val="17"/>
        </w:rPr>
        <w:t xml:space="preserve">   </w:t>
      </w:r>
      <w:r>
        <w:rPr>
          <w:rFonts w:ascii="SimSun" w:hAnsi="SimSun" w:eastAsia="SimSun" w:cs="SimSun"/>
          <w:sz w:val="17"/>
          <w:szCs w:val="17"/>
          <w:spacing w:val="-33"/>
        </w:rPr>
        <w:t>·标准和协议</w:t>
      </w:r>
      <w:r>
        <w:rPr>
          <w:rFonts w:ascii="SimSun" w:hAnsi="SimSun" w:eastAsia="SimSun" w:cs="SimSun"/>
          <w:sz w:val="17"/>
          <w:szCs w:val="17"/>
          <w:spacing w:val="3"/>
        </w:rPr>
        <w:t xml:space="preserve"> </w:t>
      </w:r>
      <w:r>
        <w:rPr>
          <w:rFonts w:ascii="SimSun" w:hAnsi="SimSun" w:eastAsia="SimSun" w:cs="SimSun"/>
          <w:sz w:val="17"/>
          <w:szCs w:val="17"/>
          <w:spacing w:val="-35"/>
        </w:rPr>
        <w:t>·选择条件</w:t>
      </w:r>
      <w:r>
        <w:rPr>
          <w:rFonts w:ascii="SimSun" w:hAnsi="SimSun" w:eastAsia="SimSun" w:cs="SimSun"/>
          <w:sz w:val="17"/>
          <w:szCs w:val="17"/>
        </w:rPr>
        <w:t xml:space="preserve">   </w:t>
      </w:r>
      <w:r>
        <w:rPr>
          <w:rFonts w:ascii="SimSun" w:hAnsi="SimSun" w:eastAsia="SimSun" w:cs="SimSun"/>
          <w:sz w:val="17"/>
          <w:szCs w:val="17"/>
          <w:spacing w:val="-30"/>
        </w:rPr>
        <w:t>·学习曲线</w:t>
      </w:r>
    </w:p>
    <w:p>
      <w:pPr>
        <w:pStyle w:val="BodyText"/>
        <w:spacing w:line="304" w:lineRule="auto"/>
        <w:rPr/>
      </w:pPr>
      <w:r/>
    </w:p>
    <w:p>
      <w:pPr>
        <w:pStyle w:val="BodyText"/>
        <w:spacing w:line="304" w:lineRule="auto"/>
        <w:rPr/>
      </w:pPr>
      <w:r/>
    </w:p>
    <w:p>
      <w:pPr>
        <w:ind w:left="2380"/>
        <w:spacing w:before="56" w:line="220" w:lineRule="auto"/>
        <w:rPr>
          <w:rFonts w:ascii="SimSun" w:hAnsi="SimSun" w:eastAsia="SimSun" w:cs="SimSun"/>
          <w:sz w:val="17"/>
          <w:szCs w:val="17"/>
        </w:rPr>
      </w:pPr>
      <w:r>
        <w:rPr>
          <w:rFonts w:ascii="SimSun" w:hAnsi="SimSun" w:eastAsia="SimSun" w:cs="SimSun"/>
          <w:sz w:val="17"/>
          <w:szCs w:val="17"/>
          <w:spacing w:val="-14"/>
        </w:rPr>
        <w:t>实践与方法</w:t>
      </w:r>
    </w:p>
    <w:p>
      <w:pPr>
        <w:ind w:left="2380" w:right="11"/>
        <w:spacing w:before="16" w:line="191" w:lineRule="auto"/>
        <w:rPr>
          <w:rFonts w:ascii="SimSun" w:hAnsi="SimSun" w:eastAsia="SimSun" w:cs="SimSun"/>
          <w:sz w:val="17"/>
          <w:szCs w:val="17"/>
        </w:rPr>
      </w:pPr>
      <w:r>
        <w:rPr>
          <w:rFonts w:ascii="SimSun" w:hAnsi="SimSun" w:eastAsia="SimSun" w:cs="SimSun"/>
          <w:sz w:val="17"/>
          <w:szCs w:val="17"/>
          <w:spacing w:val="-33"/>
        </w:rPr>
        <w:t>·识别</w:t>
      </w:r>
      <w:r>
        <w:rPr>
          <w:rFonts w:ascii="SimSun" w:hAnsi="SimSun" w:eastAsia="SimSun" w:cs="SimSun"/>
          <w:sz w:val="17"/>
          <w:szCs w:val="17"/>
          <w:spacing w:val="-32"/>
        </w:rPr>
        <w:t>最佳实</w:t>
      </w:r>
      <w:r>
        <w:rPr>
          <w:rFonts w:ascii="SimSun" w:hAnsi="SimSun" w:eastAsia="SimSun" w:cs="SimSun"/>
          <w:sz w:val="17"/>
          <w:szCs w:val="17"/>
          <w:spacing w:val="-22"/>
        </w:rPr>
        <w:t>践</w:t>
      </w:r>
      <w:r>
        <w:rPr>
          <w:rFonts w:ascii="SimSun" w:hAnsi="SimSun" w:eastAsia="SimSun" w:cs="SimSun"/>
          <w:sz w:val="17"/>
          <w:szCs w:val="17"/>
          <w:spacing w:val="4"/>
        </w:rPr>
        <w:t xml:space="preserve"> </w:t>
      </w:r>
      <w:r>
        <w:rPr>
          <w:rFonts w:ascii="SimSun" w:hAnsi="SimSun" w:eastAsia="SimSun" w:cs="SimSun"/>
          <w:sz w:val="17"/>
          <w:szCs w:val="17"/>
          <w:spacing w:val="-35"/>
        </w:rPr>
        <w:t>·通用方式</w:t>
      </w:r>
    </w:p>
    <w:p>
      <w:pPr>
        <w:ind w:left="2380"/>
        <w:spacing w:before="1" w:line="220" w:lineRule="auto"/>
        <w:rPr>
          <w:rFonts w:ascii="SimSun" w:hAnsi="SimSun" w:eastAsia="SimSun" w:cs="SimSun"/>
          <w:sz w:val="17"/>
          <w:szCs w:val="17"/>
        </w:rPr>
      </w:pPr>
      <w:r>
        <w:rPr>
          <w:rFonts w:ascii="SimSun" w:hAnsi="SimSun" w:eastAsia="SimSun" w:cs="SimSun"/>
          <w:sz w:val="17"/>
          <w:szCs w:val="17"/>
          <w:spacing w:val="-31"/>
        </w:rPr>
        <w:t>·可选方式</w:t>
      </w:r>
    </w:p>
    <w:p>
      <w:pPr>
        <w:pStyle w:val="BodyText"/>
        <w:spacing w:line="14" w:lineRule="auto"/>
        <w:rPr>
          <w:sz w:val="2"/>
        </w:rPr>
      </w:pPr>
      <w:r>
        <w:rPr>
          <w:sz w:val="2"/>
          <w:szCs w:val="2"/>
        </w:rPr>
        <w:br w:type="column"/>
      </w:r>
    </w:p>
    <w:p>
      <w:pPr>
        <w:ind w:left="270"/>
        <w:spacing w:before="32" w:line="227" w:lineRule="exact"/>
        <w:rPr>
          <w:rFonts w:ascii="SimSun" w:hAnsi="SimSun" w:eastAsia="SimSun" w:cs="SimSun"/>
          <w:sz w:val="17"/>
          <w:szCs w:val="17"/>
        </w:rPr>
      </w:pPr>
      <w:r>
        <w:rPr>
          <w:rFonts w:ascii="SimSun" w:hAnsi="SimSun" w:eastAsia="SimSun" w:cs="SimSun"/>
          <w:sz w:val="17"/>
          <w:szCs w:val="17"/>
          <w:spacing w:val="-12"/>
          <w:position w:val="4"/>
        </w:rPr>
        <w:t>组织与文化</w:t>
      </w:r>
    </w:p>
    <w:p>
      <w:pPr>
        <w:spacing w:before="1" w:line="182" w:lineRule="auto"/>
        <w:rPr>
          <w:rFonts w:ascii="SimSun" w:hAnsi="SimSun" w:eastAsia="SimSun" w:cs="SimSun"/>
          <w:sz w:val="17"/>
          <w:szCs w:val="17"/>
        </w:rPr>
      </w:pPr>
      <w:r>
        <w:rPr>
          <w:rFonts w:ascii="SimSun" w:hAnsi="SimSun" w:eastAsia="SimSun" w:cs="SimSun"/>
          <w:sz w:val="17"/>
          <w:szCs w:val="17"/>
          <w:spacing w:val="-26"/>
        </w:rPr>
        <w:t>·成功的关键因素</w:t>
      </w:r>
    </w:p>
    <w:p>
      <w:pPr>
        <w:spacing w:line="182" w:lineRule="auto"/>
        <w:rPr>
          <w:rFonts w:ascii="SimSun" w:hAnsi="SimSun" w:eastAsia="SimSun" w:cs="SimSun"/>
          <w:sz w:val="16"/>
          <w:szCs w:val="16"/>
        </w:rPr>
      </w:pPr>
      <w:r>
        <w:rPr>
          <w:rFonts w:ascii="SimSun" w:hAnsi="SimSun" w:eastAsia="SimSun" w:cs="SimSun"/>
          <w:sz w:val="16"/>
          <w:szCs w:val="16"/>
          <w:spacing w:val="-22"/>
        </w:rPr>
        <w:t>·汇报结构</w:t>
      </w:r>
    </w:p>
    <w:p>
      <w:pPr>
        <w:spacing w:before="1" w:line="178" w:lineRule="auto"/>
        <w:rPr>
          <w:rFonts w:ascii="SimSun" w:hAnsi="SimSun" w:eastAsia="SimSun" w:cs="SimSun"/>
          <w:sz w:val="16"/>
          <w:szCs w:val="16"/>
        </w:rPr>
      </w:pPr>
      <w:r>
        <w:rPr>
          <w:rFonts w:ascii="SimSun" w:hAnsi="SimSun" w:eastAsia="SimSun" w:cs="SimSun"/>
          <w:sz w:val="16"/>
          <w:szCs w:val="16"/>
          <w:spacing w:val="-23"/>
        </w:rPr>
        <w:t>·管理矩阵</w:t>
      </w:r>
    </w:p>
    <w:p>
      <w:pPr>
        <w:spacing w:line="183" w:lineRule="auto"/>
        <w:rPr>
          <w:rFonts w:ascii="SimSun" w:hAnsi="SimSun" w:eastAsia="SimSun" w:cs="SimSun"/>
          <w:sz w:val="17"/>
          <w:szCs w:val="17"/>
        </w:rPr>
      </w:pPr>
      <w:r>
        <w:rPr>
          <w:rFonts w:ascii="SimSun" w:hAnsi="SimSun" w:eastAsia="SimSun" w:cs="SimSun"/>
          <w:sz w:val="17"/>
          <w:szCs w:val="17"/>
          <w:spacing w:val="-26"/>
        </w:rPr>
        <w:t>·价值、信仰、期望</w:t>
      </w:r>
    </w:p>
    <w:p>
      <w:pPr>
        <w:spacing w:line="165" w:lineRule="auto"/>
        <w:rPr>
          <w:rFonts w:ascii="SimSun" w:hAnsi="SimSun" w:eastAsia="SimSun" w:cs="SimSun"/>
          <w:sz w:val="17"/>
          <w:szCs w:val="17"/>
        </w:rPr>
      </w:pPr>
      <w:r>
        <w:rPr>
          <w:rFonts w:ascii="SimSun" w:hAnsi="SimSun" w:eastAsia="SimSun" w:cs="SimSun"/>
          <w:sz w:val="17"/>
          <w:szCs w:val="17"/>
          <w:spacing w:val="-26"/>
        </w:rPr>
        <w:t>·态度、风格、偏好</w:t>
      </w:r>
    </w:p>
    <w:p>
      <w:pPr>
        <w:spacing w:line="559" w:lineRule="exact"/>
        <w:rPr>
          <w:rFonts w:ascii="SimSun" w:hAnsi="SimSun" w:eastAsia="SimSun" w:cs="SimSun"/>
          <w:sz w:val="17"/>
          <w:szCs w:val="17"/>
        </w:rPr>
      </w:pPr>
      <w:r>
        <w:pict>
          <v:shape id="_x0000_s60" style="position:absolute;margin-left:62.6235pt;margin-top:18.4599pt;mso-position-vertical-relative:text;mso-position-horizontal-relative:text;width:29.55pt;height:11.6pt;z-index:251708416;" filled="false" stroked="false" type="#_x0000_t202">
            <v:fill on="false"/>
            <v:stroke on="false"/>
            <v:path/>
            <v:imagedata o:title=""/>
            <o:lock v:ext="edit" aspectratio="false"/>
            <v:textbox inset="0mm,0mm,0mm,0mm">
              <w:txbxContent>
                <w:p>
                  <w:pPr>
                    <w:spacing w:before="19" w:line="208" w:lineRule="auto"/>
                    <w:jc w:val="right"/>
                    <w:rPr>
                      <w:rFonts w:ascii="SimSun" w:hAnsi="SimSun" w:eastAsia="SimSun" w:cs="SimSun"/>
                      <w:sz w:val="17"/>
                      <w:szCs w:val="17"/>
                    </w:rPr>
                  </w:pPr>
                  <w:r>
                    <w:rPr>
                      <w:rFonts w:ascii="SimSun" w:hAnsi="SimSun" w:eastAsia="SimSun" w:cs="SimSun"/>
                      <w:sz w:val="17"/>
                      <w:szCs w:val="17"/>
                      <w:spacing w:val="-14"/>
                      <w:w w:val="89"/>
                    </w:rPr>
                    <w:t>依赖关系</w:t>
                  </w:r>
                </w:p>
              </w:txbxContent>
            </v:textbox>
          </v:shape>
        </w:pict>
      </w:r>
      <w:r>
        <w:rPr>
          <w:rFonts w:ascii="SimSun" w:hAnsi="SimSun" w:eastAsia="SimSun" w:cs="SimSun"/>
          <w:sz w:val="17"/>
          <w:szCs w:val="17"/>
          <w:spacing w:val="-18"/>
          <w:w w:val="94"/>
          <w:position w:val="27"/>
        </w:rPr>
        <w:t>、仪式、标志、传</w:t>
      </w:r>
      <w:r>
        <w:rPr>
          <w:rFonts w:ascii="SimSun" w:hAnsi="SimSun" w:eastAsia="SimSun" w:cs="SimSun"/>
          <w:sz w:val="17"/>
          <w:szCs w:val="17"/>
          <w:spacing w:val="-64"/>
          <w:position w:val="27"/>
        </w:rPr>
        <w:t xml:space="preserve"> </w:t>
      </w:r>
      <w:r>
        <w:ruby>
          <w:rubyPr>
            <w:rubyAlign w:val="left"/>
            <w:hpsRaise w:val="6"/>
            <w:hps w:val="17"/>
            <w:hpsBaseText w:val="17"/>
          </w:rubyPr>
          <w:rt>
            <w:r>
              <w:rPr>
                <w:rFonts w:ascii="SimSun" w:hAnsi="SimSun" w:eastAsia="SimSun" w:cs="SimSun"/>
                <w:sz w:val="17"/>
                <w:szCs w:val="17"/>
                <w:em w:val="dot"/>
                <w:w w:val="77"/>
                <w:position w:val="20"/>
              </w:rPr>
              <w:t>统</w:t>
            </w:r>
          </w:rt>
          <w:rubyBase>
            <w:r>
              <w:rPr>
                <w:rFonts w:ascii="SimSun" w:hAnsi="SimSun" w:eastAsia="SimSun" w:cs="SimSun"/>
                <w:sz w:val="17"/>
                <w:szCs w:val="17"/>
                <w:em w:val="dot"/>
                <w:w w:val="83"/>
                <w:position w:val="-8"/>
              </w:rPr>
              <w:t>·</w:t>
            </w:r>
          </w:rubyBase>
        </w:ruby>
      </w:r>
      <w:r>
        <w:rPr>
          <w:rFonts w:ascii="SimSun" w:hAnsi="SimSun" w:eastAsia="SimSun" w:cs="SimSun"/>
          <w:sz w:val="17"/>
          <w:szCs w:val="17"/>
          <w:spacing w:val="-18"/>
          <w:w w:val="94"/>
          <w:position w:val="12"/>
        </w:rPr>
        <w:t>阶段、任务</w:t>
      </w:r>
      <w:r>
        <w:rPr>
          <w:sz w:val="17"/>
          <w:szCs w:val="17"/>
          <w:position w:val="12"/>
        </w:rPr>
        <w:drawing>
          <wp:inline distT="0" distB="0" distL="0" distR="0">
            <wp:extent cx="102273" cy="217224"/>
            <wp:effectExtent l="0" t="0" r="0" b="0"/>
            <wp:docPr id="74" name="IM 74"/>
            <wp:cNvGraphicFramePr/>
            <a:graphic>
              <a:graphicData uri="http://schemas.openxmlformats.org/drawingml/2006/picture">
                <pic:pic>
                  <pic:nvPicPr>
                    <pic:cNvPr id="74" name="IM 74"/>
                    <pic:cNvPicPr/>
                  </pic:nvPicPr>
                  <pic:blipFill>
                    <a:blip r:embed="rId56"/>
                    <a:stretch>
                      <a:fillRect/>
                    </a:stretch>
                  </pic:blipFill>
                  <pic:spPr>
                    <a:xfrm rot="0">
                      <a:off x="0" y="0"/>
                      <a:ext cx="102273" cy="217224"/>
                    </a:xfrm>
                    <a:prstGeom prst="rect">
                      <a:avLst/>
                    </a:prstGeom>
                  </pic:spPr>
                </pic:pic>
              </a:graphicData>
            </a:graphic>
          </wp:inline>
        </w:drawing>
      </w:r>
      <w:r>
        <w:ruby>
          <w:rubyPr>
            <w:rubyAlign w:val="left"/>
            <w:hpsRaise w:val="10"/>
            <w:hps w:val="17"/>
            <w:hpsBaseText w:val="17"/>
          </w:rubyPr>
          <w:rt>
            <w:r>
              <w:rPr>
                <w:rFonts w:ascii="SimSun" w:hAnsi="SimSun" w:eastAsia="SimSun" w:cs="SimSun"/>
                <w:sz w:val="17"/>
                <w:szCs w:val="17"/>
                <w:position w:val="20"/>
              </w:rPr>
              <w:t>动</w:t>
            </w:r>
          </w:rt>
          <w:rubyBase>
            <w:r>
              <w:rPr>
                <w:rFonts w:ascii="SimSun" w:hAnsi="SimSun" w:eastAsia="SimSun" w:cs="SimSun"/>
                <w:sz w:val="17"/>
                <w:szCs w:val="17"/>
                <w:w w:val="72"/>
                <w:position w:val="12"/>
              </w:rPr>
              <w:t>步</w:t>
            </w:r>
          </w:rubyBase>
        </w:ruby>
      </w:r>
      <w:r>
        <w:rPr>
          <w:rFonts w:ascii="SimSun" w:hAnsi="SimSun" w:eastAsia="SimSun" w:cs="SimSun"/>
          <w:sz w:val="17"/>
          <w:szCs w:val="17"/>
          <w:spacing w:val="-18"/>
          <w:w w:val="94"/>
          <w:position w:val="12"/>
        </w:rPr>
        <w:t>骤</w:t>
      </w:r>
    </w:p>
    <w:p>
      <w:pPr>
        <w:ind w:left="1179"/>
        <w:spacing w:before="21" w:line="174" w:lineRule="auto"/>
        <w:rPr>
          <w:rFonts w:ascii="SimSun" w:hAnsi="SimSun" w:eastAsia="SimSun" w:cs="SimSun"/>
          <w:sz w:val="17"/>
          <w:szCs w:val="17"/>
        </w:rPr>
      </w:pPr>
      <w:r>
        <w:rPr>
          <w:rFonts w:ascii="SimSun" w:hAnsi="SimSun" w:eastAsia="SimSun" w:cs="SimSun"/>
          <w:sz w:val="17"/>
          <w:szCs w:val="17"/>
          <w:spacing w:val="-31"/>
        </w:rPr>
        <w:t>·顺序和流程</w:t>
      </w:r>
    </w:p>
    <w:p>
      <w:pPr>
        <w:ind w:left="290"/>
        <w:spacing w:before="1" w:line="183" w:lineRule="auto"/>
        <w:rPr>
          <w:rFonts w:ascii="SimSun" w:hAnsi="SimSun" w:eastAsia="SimSun" w:cs="SimSun"/>
          <w:sz w:val="17"/>
          <w:szCs w:val="17"/>
        </w:rPr>
      </w:pPr>
      <w:r>
        <w:rPr>
          <w:rFonts w:ascii="SimSun" w:hAnsi="SimSun" w:eastAsia="SimSun" w:cs="SimSun"/>
          <w:sz w:val="17"/>
          <w:szCs w:val="17"/>
          <w:spacing w:val="-27"/>
          <w:position w:val="1"/>
        </w:rPr>
        <w:t>目标与原则</w:t>
      </w:r>
      <w:r>
        <w:rPr>
          <w:rFonts w:ascii="SimSun" w:hAnsi="SimSun" w:eastAsia="SimSun" w:cs="SimSun"/>
          <w:sz w:val="17"/>
          <w:szCs w:val="17"/>
          <w:spacing w:val="43"/>
          <w:position w:val="1"/>
        </w:rPr>
        <w:t xml:space="preserve"> </w:t>
      </w:r>
      <w:r>
        <w:rPr>
          <w:rFonts w:ascii="SimSun" w:hAnsi="SimSun" w:eastAsia="SimSun" w:cs="SimSun"/>
          <w:sz w:val="17"/>
          <w:szCs w:val="17"/>
          <w:spacing w:val="-27"/>
          <w:position w:val="-1"/>
        </w:rPr>
        <w:t>·用例场景</w:t>
      </w:r>
    </w:p>
    <w:p>
      <w:pPr>
        <w:ind w:left="290"/>
        <w:spacing w:line="240" w:lineRule="exact"/>
        <w:rPr>
          <w:rFonts w:ascii="SimSun" w:hAnsi="SimSun" w:eastAsia="SimSun" w:cs="SimSun"/>
          <w:sz w:val="17"/>
          <w:szCs w:val="17"/>
        </w:rPr>
      </w:pPr>
      <w:r>
        <w:pict>
          <v:shape id="_x0000_s62" style="position:absolute;margin-left:13.5025pt;margin-top:8.0388pt;mso-position-vertical-relative:text;mso-position-horizontal-relative:text;width:35.85pt;height:12.15pt;z-index:251707392;"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42"/>
                    </w:rPr>
                    <w:t>·商业</w:t>
                  </w:r>
                  <w:r>
                    <w:rPr>
                      <w:rFonts w:ascii="SimSun" w:hAnsi="SimSun" w:eastAsia="SimSun" w:cs="SimSun"/>
                      <w:sz w:val="17"/>
                      <w:szCs w:val="17"/>
                      <w:spacing w:val="-41"/>
                    </w:rPr>
                    <w:t>利</w:t>
                  </w:r>
                  <w:r>
                    <w:rPr>
                      <w:rFonts w:ascii="SimSun" w:hAnsi="SimSun" w:eastAsia="SimSun" w:cs="SimSun"/>
                      <w:sz w:val="17"/>
                      <w:szCs w:val="17"/>
                      <w:spacing w:val="-8"/>
                    </w:rPr>
                    <w:t>益</w:t>
                  </w:r>
                </w:p>
              </w:txbxContent>
            </v:textbox>
          </v:shape>
        </w:pict>
      </w:r>
      <w:r>
        <w:rPr>
          <w:rFonts w:ascii="SimSun" w:hAnsi="SimSun" w:eastAsia="SimSun" w:cs="SimSun"/>
          <w:sz w:val="17"/>
          <w:szCs w:val="17"/>
          <w:spacing w:val="-27"/>
          <w:position w:val="1"/>
        </w:rPr>
        <w:t>·愿景和使命 \触发事件</w:t>
      </w:r>
    </w:p>
    <w:p>
      <w:pPr>
        <w:spacing w:line="121" w:lineRule="exact"/>
        <w:rPr/>
      </w:pPr>
      <w:r/>
    </w:p>
    <w:tbl>
      <w:tblPr>
        <w:tblStyle w:val="TableNormal"/>
        <w:tblW w:w="2528"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65"/>
        <w:gridCol w:w="1163"/>
      </w:tblGrid>
      <w:tr>
        <w:trPr>
          <w:trHeight w:val="2007" w:hRule="atLeast"/>
        </w:trPr>
        <w:tc>
          <w:tcPr>
            <w:tcW w:w="1365" w:type="dxa"/>
            <w:vAlign w:val="top"/>
          </w:tcPr>
          <w:p>
            <w:pPr>
              <w:pStyle w:val="TableText"/>
              <w:ind w:left="290"/>
              <w:spacing w:line="195" w:lineRule="auto"/>
              <w:rPr>
                <w:sz w:val="17"/>
                <w:szCs w:val="17"/>
              </w:rPr>
            </w:pPr>
            <w:r>
              <w:rPr>
                <w:sz w:val="17"/>
                <w:szCs w:val="17"/>
                <w:spacing w:val="-34"/>
              </w:rPr>
              <w:t>·战略目标</w:t>
            </w:r>
          </w:p>
          <w:p>
            <w:pPr>
              <w:pStyle w:val="TableText"/>
              <w:ind w:left="290"/>
              <w:spacing w:line="195" w:lineRule="auto"/>
              <w:rPr>
                <w:sz w:val="17"/>
                <w:szCs w:val="17"/>
              </w:rPr>
            </w:pPr>
            <w:r>
              <w:rPr>
                <w:sz w:val="17"/>
                <w:szCs w:val="17"/>
                <w:spacing w:val="-31"/>
              </w:rPr>
              <w:t>·具体目标</w:t>
            </w:r>
          </w:p>
          <w:p>
            <w:pPr>
              <w:pStyle w:val="TableText"/>
              <w:ind w:left="290"/>
              <w:spacing w:line="220" w:lineRule="auto"/>
              <w:rPr>
                <w:sz w:val="17"/>
                <w:szCs w:val="17"/>
              </w:rPr>
            </w:pPr>
            <w:r>
              <w:rPr>
                <w:sz w:val="17"/>
                <w:szCs w:val="17"/>
                <w:spacing w:val="-29"/>
              </w:rPr>
              <w:t>·指导原则</w:t>
            </w:r>
          </w:p>
          <w:p>
            <w:pPr>
              <w:spacing w:line="458" w:lineRule="auto"/>
              <w:rPr>
                <w:rFonts w:ascii="Arial"/>
                <w:sz w:val="21"/>
              </w:rPr>
            </w:pPr>
            <w:r/>
          </w:p>
          <w:p>
            <w:pPr>
              <w:pStyle w:val="TableText"/>
              <w:ind w:left="290"/>
              <w:spacing w:before="55" w:line="228" w:lineRule="auto"/>
              <w:rPr>
                <w:sz w:val="17"/>
                <w:szCs w:val="17"/>
              </w:rPr>
            </w:pPr>
            <w:r>
              <w:rPr>
                <w:sz w:val="17"/>
                <w:szCs w:val="17"/>
                <w:spacing w:val="-15"/>
              </w:rPr>
              <w:t>角色与职责</w:t>
            </w:r>
          </w:p>
          <w:p>
            <w:pPr>
              <w:pStyle w:val="TableText"/>
              <w:spacing w:line="206" w:lineRule="auto"/>
              <w:rPr>
                <w:sz w:val="17"/>
                <w:szCs w:val="17"/>
              </w:rPr>
            </w:pPr>
            <w:r>
              <w:rPr>
                <w:sz w:val="17"/>
                <w:szCs w:val="17"/>
                <w:spacing w:val="-31"/>
              </w:rPr>
              <w:t>·个人角色</w:t>
            </w:r>
          </w:p>
          <w:p>
            <w:pPr>
              <w:pStyle w:val="TableText"/>
              <w:spacing w:line="184" w:lineRule="auto"/>
              <w:rPr>
                <w:sz w:val="17"/>
                <w:szCs w:val="17"/>
              </w:rPr>
            </w:pPr>
            <w:r>
              <w:rPr>
                <w:sz w:val="17"/>
                <w:szCs w:val="17"/>
                <w:spacing w:val="-31"/>
              </w:rPr>
              <w:t>·组织角色</w:t>
            </w:r>
          </w:p>
          <w:p>
            <w:pPr>
              <w:pStyle w:val="TableText"/>
              <w:spacing w:before="1" w:line="199" w:lineRule="auto"/>
              <w:rPr>
                <w:sz w:val="17"/>
                <w:szCs w:val="17"/>
              </w:rPr>
            </w:pPr>
            <w:r>
              <w:rPr>
                <w:sz w:val="17"/>
                <w:szCs w:val="17"/>
                <w:spacing w:val="-26"/>
              </w:rPr>
              <w:t>·业务和IT角色</w:t>
            </w:r>
          </w:p>
          <w:p>
            <w:pPr>
              <w:pStyle w:val="TableText"/>
              <w:spacing w:line="178" w:lineRule="auto"/>
              <w:rPr>
                <w:sz w:val="17"/>
                <w:szCs w:val="17"/>
              </w:rPr>
            </w:pPr>
            <w:r>
              <w:rPr>
                <w:sz w:val="17"/>
                <w:szCs w:val="17"/>
                <w:spacing w:val="-29"/>
              </w:rPr>
              <w:t>·资格和技能</w:t>
            </w:r>
          </w:p>
        </w:tc>
        <w:tc>
          <w:tcPr>
            <w:tcW w:w="1163" w:type="dxa"/>
            <w:vAlign w:val="top"/>
          </w:tcPr>
          <w:p>
            <w:pPr>
              <w:pStyle w:val="TableText"/>
              <w:ind w:left="314"/>
              <w:spacing w:before="288" w:line="192" w:lineRule="auto"/>
              <w:rPr>
                <w:sz w:val="17"/>
                <w:szCs w:val="17"/>
              </w:rPr>
            </w:pPr>
            <w:r>
              <w:rPr>
                <w:sz w:val="17"/>
                <w:szCs w:val="17"/>
                <w:spacing w:val="-13"/>
                <w:w w:val="95"/>
              </w:rPr>
              <w:t>主要交付物</w:t>
            </w:r>
            <w:r>
              <w:rPr>
                <w:sz w:val="17"/>
                <w:szCs w:val="17"/>
                <w:spacing w:val="1"/>
              </w:rPr>
              <w:t xml:space="preserve">  </w:t>
            </w:r>
            <w:r>
              <w:rPr>
                <w:sz w:val="17"/>
                <w:szCs w:val="17"/>
                <w:spacing w:val="-31"/>
              </w:rPr>
              <w:t>·输入</w:t>
            </w:r>
            <w:r>
              <w:rPr>
                <w:sz w:val="17"/>
                <w:szCs w:val="17"/>
                <w:spacing w:val="-30"/>
              </w:rPr>
              <w:t>和输</w:t>
            </w:r>
            <w:r>
              <w:rPr>
                <w:sz w:val="17"/>
                <w:szCs w:val="17"/>
                <w:spacing w:val="-21"/>
              </w:rPr>
              <w:t>出</w:t>
            </w:r>
            <w:r>
              <w:rPr>
                <w:sz w:val="17"/>
                <w:szCs w:val="17"/>
                <w:spacing w:val="1"/>
              </w:rPr>
              <w:t xml:space="preserve"> </w:t>
            </w:r>
            <w:r>
              <w:rPr>
                <w:sz w:val="17"/>
                <w:szCs w:val="17"/>
                <w:spacing w:val="-33"/>
              </w:rPr>
              <w:t>·信息</w:t>
            </w:r>
          </w:p>
          <w:p>
            <w:pPr>
              <w:pStyle w:val="TableText"/>
              <w:ind w:left="314"/>
              <w:spacing w:line="195" w:lineRule="auto"/>
              <w:rPr>
                <w:sz w:val="17"/>
                <w:szCs w:val="17"/>
              </w:rPr>
            </w:pPr>
            <w:r>
              <w:rPr>
                <w:sz w:val="17"/>
                <w:szCs w:val="17"/>
                <w:color w:val="FFFFFF"/>
                <w:spacing w:val="-33"/>
              </w:rPr>
              <w:t>·文档</w:t>
            </w:r>
          </w:p>
          <w:p>
            <w:pPr>
              <w:pStyle w:val="TableText"/>
              <w:ind w:left="314" w:right="181"/>
              <w:spacing w:before="1" w:line="218" w:lineRule="auto"/>
              <w:rPr>
                <w:sz w:val="17"/>
                <w:szCs w:val="17"/>
              </w:rPr>
            </w:pPr>
            <w:r>
              <w:rPr>
                <w:sz w:val="17"/>
                <w:szCs w:val="17"/>
                <w:spacing w:val="-28"/>
              </w:rPr>
              <w:t>·数据库</w:t>
            </w:r>
            <w:r>
              <w:rPr>
                <w:sz w:val="17"/>
                <w:szCs w:val="17"/>
              </w:rPr>
              <w:t xml:space="preserve">  </w:t>
            </w:r>
            <w:r>
              <w:rPr>
                <w:sz w:val="17"/>
                <w:szCs w:val="17"/>
                <w:spacing w:val="-37"/>
              </w:rPr>
              <w:t>·其他资源</w:t>
            </w:r>
          </w:p>
        </w:tc>
      </w:tr>
    </w:tbl>
    <w:p>
      <w:pPr>
        <w:pStyle w:val="BodyText"/>
        <w:spacing w:line="14" w:lineRule="auto"/>
        <w:rPr>
          <w:sz w:val="2"/>
        </w:rPr>
      </w:pPr>
      <w:r/>
    </w:p>
    <w:p>
      <w:pPr>
        <w:spacing w:line="14" w:lineRule="auto"/>
        <w:sectPr>
          <w:type w:val="continuous"/>
          <w:pgSz w:w="8870" w:h="13400"/>
          <w:pgMar w:top="400" w:right="659" w:bottom="474" w:left="249" w:header="0" w:footer="256" w:gutter="0"/>
          <w:cols w:equalWidth="0" w:num="2">
            <w:col w:w="3371" w:space="100"/>
            <w:col w:w="4491" w:space="0"/>
          </w:cols>
        </w:sectPr>
        <w:rPr>
          <w:sz w:val="2"/>
          <w:szCs w:val="2"/>
        </w:rPr>
      </w:pPr>
    </w:p>
    <w:p>
      <w:pPr>
        <w:pStyle w:val="BodyText"/>
        <w:spacing w:line="273" w:lineRule="auto"/>
        <w:rPr/>
      </w:pPr>
      <w:r/>
    </w:p>
    <w:p>
      <w:pPr>
        <w:ind w:left="3280"/>
        <w:spacing w:before="55" w:line="187" w:lineRule="auto"/>
        <w:rPr>
          <w:rFonts w:ascii="SimHei" w:hAnsi="SimHei" w:eastAsia="SimHei" w:cs="SimHei"/>
          <w:sz w:val="17"/>
          <w:szCs w:val="17"/>
        </w:rPr>
      </w:pPr>
      <w:r>
        <w:rPr>
          <w:rFonts w:ascii="SimHei" w:hAnsi="SimHei" w:eastAsia="SimHei" w:cs="SimHei"/>
          <w:sz w:val="17"/>
          <w:szCs w:val="17"/>
          <w:spacing w:val="14"/>
        </w:rPr>
        <w:t>图1-5</w:t>
      </w:r>
      <w:r>
        <w:rPr>
          <w:rFonts w:ascii="SimHei" w:hAnsi="SimHei" w:eastAsia="SimHei" w:cs="SimHei"/>
          <w:sz w:val="17"/>
          <w:szCs w:val="17"/>
          <w:spacing w:val="80"/>
          <w:w w:val="101"/>
        </w:rPr>
        <w:t xml:space="preserve"> </w:t>
      </w:r>
      <w:r>
        <w:rPr>
          <w:rFonts w:ascii="SimHei" w:hAnsi="SimHei" w:eastAsia="SimHei" w:cs="SimHei"/>
          <w:sz w:val="17"/>
          <w:szCs w:val="17"/>
          <w:spacing w:val="14"/>
        </w:rPr>
        <w:t>七大环境要素</w:t>
      </w:r>
    </w:p>
    <w:p>
      <w:pPr>
        <w:spacing w:line="187" w:lineRule="auto"/>
        <w:sectPr>
          <w:type w:val="continuous"/>
          <w:pgSz w:w="8870" w:h="13400"/>
          <w:pgMar w:top="400" w:right="659" w:bottom="474" w:left="249" w:header="0" w:footer="256" w:gutter="0"/>
          <w:cols w:equalWidth="0" w:num="1">
            <w:col w:w="7961" w:space="0"/>
          </w:cols>
        </w:sectPr>
        <w:rPr>
          <w:rFonts w:ascii="SimHei" w:hAnsi="SimHei" w:eastAsia="SimHei" w:cs="SimHei"/>
          <w:sz w:val="17"/>
          <w:szCs w:val="17"/>
        </w:rPr>
      </w:pPr>
    </w:p>
    <w:p>
      <w:pPr>
        <w:ind w:left="5493"/>
        <w:spacing w:before="144" w:line="610" w:lineRule="exact"/>
        <w:rPr>
          <w:rFonts w:ascii="SimSun" w:hAnsi="SimSun" w:eastAsia="SimSun" w:cs="SimSun"/>
          <w:sz w:val="21"/>
          <w:szCs w:val="21"/>
        </w:rPr>
      </w:pPr>
      <w:bookmarkStart w:name="bookmark8" w:id="3"/>
      <w:bookmarkEnd w:id="3"/>
      <w:bookmarkStart w:name="bookmark9" w:id="4"/>
      <w:bookmarkEnd w:id="4"/>
      <w:r>
        <w:rPr>
          <w:rFonts w:ascii="SimSun" w:hAnsi="SimSun" w:eastAsia="SimSun" w:cs="SimSun"/>
          <w:sz w:val="21"/>
          <w:szCs w:val="21"/>
          <w:b/>
          <w:bCs/>
          <w:spacing w:val="24"/>
          <w:position w:val="31"/>
        </w:rPr>
        <w:t>第1章-数据治理概述</w:t>
      </w:r>
    </w:p>
    <w:p>
      <w:pPr>
        <w:ind w:left="2192"/>
        <w:spacing w:line="221" w:lineRule="auto"/>
        <w:rPr>
          <w:rFonts w:ascii="SimHei" w:hAnsi="SimHei" w:eastAsia="SimHei" w:cs="SimHei"/>
          <w:sz w:val="21"/>
          <w:szCs w:val="21"/>
        </w:rPr>
      </w:pPr>
      <w:r>
        <w:rPr>
          <w:rFonts w:ascii="SimHei" w:hAnsi="SimHei" w:eastAsia="SimHei" w:cs="SimHei"/>
          <w:sz w:val="21"/>
          <w:szCs w:val="21"/>
          <w:b/>
          <w:bCs/>
          <w:spacing w:val="-15"/>
          <w:w w:val="94"/>
        </w:rPr>
        <w:t>表1-2</w:t>
      </w:r>
      <w:r>
        <w:rPr>
          <w:rFonts w:ascii="SimHei" w:hAnsi="SimHei" w:eastAsia="SimHei" w:cs="SimHei"/>
          <w:sz w:val="21"/>
          <w:szCs w:val="21"/>
          <w:spacing w:val="79"/>
        </w:rPr>
        <w:t xml:space="preserve"> </w:t>
      </w:r>
      <w:r>
        <w:rPr>
          <w:rFonts w:ascii="Times New Roman" w:hAnsi="Times New Roman" w:eastAsia="Times New Roman" w:cs="Times New Roman"/>
          <w:sz w:val="21"/>
          <w:szCs w:val="21"/>
          <w:b/>
          <w:bCs/>
          <w:spacing w:val="-15"/>
          <w:w w:val="94"/>
        </w:rPr>
        <w:t>DAMA</w:t>
      </w:r>
      <w:r>
        <w:rPr>
          <w:rFonts w:ascii="Times New Roman" w:hAnsi="Times New Roman" w:eastAsia="Times New Roman" w:cs="Times New Roman"/>
          <w:sz w:val="21"/>
          <w:szCs w:val="21"/>
          <w:b/>
          <w:bCs/>
          <w:spacing w:val="-22"/>
        </w:rPr>
        <w:t xml:space="preserve"> </w:t>
      </w:r>
      <w:r>
        <w:rPr>
          <w:rFonts w:ascii="SimHei" w:hAnsi="SimHei" w:eastAsia="SimHei" w:cs="SimHei"/>
          <w:sz w:val="21"/>
          <w:szCs w:val="21"/>
          <w:b/>
          <w:bCs/>
          <w:spacing w:val="-15"/>
          <w:w w:val="94"/>
        </w:rPr>
        <w:t>数据治理十大功能的职能</w:t>
      </w:r>
    </w:p>
    <w:p>
      <w:pPr>
        <w:spacing w:line="98" w:lineRule="exact"/>
        <w:rPr/>
      </w:pPr>
      <w:r/>
    </w:p>
    <w:tbl>
      <w:tblPr>
        <w:tblStyle w:val="TableNormal"/>
        <w:tblW w:w="758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01"/>
        <w:gridCol w:w="5188"/>
      </w:tblGrid>
      <w:tr>
        <w:trPr>
          <w:trHeight w:val="324" w:hRule="atLeast"/>
        </w:trPr>
        <w:tc>
          <w:tcPr>
            <w:tcW w:w="2401" w:type="dxa"/>
            <w:vAlign w:val="top"/>
          </w:tcPr>
          <w:p>
            <w:pPr>
              <w:pStyle w:val="TableText"/>
              <w:ind w:left="744"/>
              <w:spacing w:before="91" w:line="219" w:lineRule="auto"/>
              <w:rPr/>
            </w:pPr>
            <w:r>
              <w:rPr>
                <w:spacing w:val="-1"/>
              </w:rPr>
              <w:t>数据治理功能</w:t>
            </w:r>
          </w:p>
        </w:tc>
        <w:tc>
          <w:tcPr>
            <w:tcW w:w="5188" w:type="dxa"/>
            <w:vAlign w:val="top"/>
          </w:tcPr>
          <w:p>
            <w:pPr>
              <w:pStyle w:val="TableText"/>
              <w:ind w:left="2293"/>
              <w:spacing w:before="92" w:line="221" w:lineRule="auto"/>
              <w:rPr/>
            </w:pPr>
            <w:r>
              <w:rPr>
                <w:spacing w:val="-4"/>
              </w:rPr>
              <w:t>职</w:t>
            </w:r>
            <w:r>
              <w:rPr>
                <w:spacing w:val="4"/>
              </w:rPr>
              <w:t xml:space="preserve">   </w:t>
            </w:r>
            <w:r>
              <w:rPr>
                <w:spacing w:val="-4"/>
              </w:rPr>
              <w:t>能</w:t>
            </w:r>
          </w:p>
        </w:tc>
      </w:tr>
      <w:tr>
        <w:trPr>
          <w:trHeight w:val="319" w:hRule="atLeast"/>
        </w:trPr>
        <w:tc>
          <w:tcPr>
            <w:tcW w:w="2401" w:type="dxa"/>
            <w:vAlign w:val="top"/>
          </w:tcPr>
          <w:p>
            <w:pPr>
              <w:pStyle w:val="TableText"/>
              <w:ind w:left="744"/>
              <w:spacing w:before="87" w:line="219" w:lineRule="auto"/>
              <w:rPr/>
            </w:pPr>
            <w:r>
              <w:rPr>
                <w:spacing w:val="-1"/>
              </w:rPr>
              <w:t>数据架构管理</w:t>
            </w:r>
          </w:p>
        </w:tc>
        <w:tc>
          <w:tcPr>
            <w:tcW w:w="5188" w:type="dxa"/>
            <w:vAlign w:val="top"/>
          </w:tcPr>
          <w:p>
            <w:pPr>
              <w:pStyle w:val="TableText"/>
              <w:ind w:left="123"/>
              <w:spacing w:before="87" w:line="219" w:lineRule="auto"/>
              <w:rPr/>
            </w:pPr>
            <w:r>
              <w:rPr>
                <w:spacing w:val="-1"/>
              </w:rPr>
              <w:t>定义企业的数据需求，并设计蓝图以便满足这一需求</w:t>
            </w:r>
          </w:p>
        </w:tc>
      </w:tr>
      <w:tr>
        <w:trPr>
          <w:trHeight w:val="309" w:hRule="atLeast"/>
        </w:trPr>
        <w:tc>
          <w:tcPr>
            <w:tcW w:w="2401" w:type="dxa"/>
            <w:vAlign w:val="top"/>
          </w:tcPr>
          <w:p>
            <w:pPr>
              <w:pStyle w:val="TableText"/>
              <w:ind w:left="664"/>
              <w:spacing w:before="78" w:line="219" w:lineRule="auto"/>
              <w:rPr/>
            </w:pPr>
            <w:r>
              <w:rPr>
                <w:spacing w:val="-1"/>
              </w:rPr>
              <w:t>数据建模与设计</w:t>
            </w:r>
          </w:p>
        </w:tc>
        <w:tc>
          <w:tcPr>
            <w:tcW w:w="5188" w:type="dxa"/>
            <w:vAlign w:val="top"/>
          </w:tcPr>
          <w:p>
            <w:pPr>
              <w:pStyle w:val="TableText"/>
              <w:ind w:left="123"/>
              <w:spacing w:before="78" w:line="219" w:lineRule="auto"/>
              <w:rPr/>
            </w:pPr>
            <w:r>
              <w:rPr>
                <w:spacing w:val="-1"/>
              </w:rPr>
              <w:t>数据的分析、设计、实施、测试、部署、维护等工作</w:t>
            </w:r>
          </w:p>
        </w:tc>
      </w:tr>
      <w:tr>
        <w:trPr>
          <w:trHeight w:val="299" w:hRule="atLeast"/>
        </w:trPr>
        <w:tc>
          <w:tcPr>
            <w:tcW w:w="2401" w:type="dxa"/>
            <w:vAlign w:val="top"/>
          </w:tcPr>
          <w:p>
            <w:pPr>
              <w:pStyle w:val="TableText"/>
              <w:ind w:left="514"/>
              <w:spacing w:before="79" w:line="219" w:lineRule="auto"/>
              <w:rPr/>
            </w:pPr>
            <w:r>
              <w:rPr>
                <w:spacing w:val="-1"/>
              </w:rPr>
              <w:t>数据存储与设计管理</w:t>
            </w:r>
          </w:p>
        </w:tc>
        <w:tc>
          <w:tcPr>
            <w:tcW w:w="5188" w:type="dxa"/>
            <w:vAlign w:val="top"/>
          </w:tcPr>
          <w:p>
            <w:pPr>
              <w:pStyle w:val="TableText"/>
              <w:ind w:left="123"/>
              <w:spacing w:before="78" w:line="219" w:lineRule="auto"/>
              <w:rPr/>
            </w:pPr>
            <w:r>
              <w:rPr>
                <w:spacing w:val="-1"/>
              </w:rPr>
              <w:t>提供从数据获取到清除的技术支持</w:t>
            </w:r>
          </w:p>
        </w:tc>
      </w:tr>
      <w:tr>
        <w:trPr>
          <w:trHeight w:val="309" w:hRule="atLeast"/>
        </w:trPr>
        <w:tc>
          <w:tcPr>
            <w:tcW w:w="2401" w:type="dxa"/>
            <w:vAlign w:val="top"/>
          </w:tcPr>
          <w:p>
            <w:pPr>
              <w:pStyle w:val="TableText"/>
              <w:ind w:left="744"/>
              <w:spacing w:before="80" w:line="219" w:lineRule="auto"/>
              <w:rPr/>
            </w:pPr>
            <w:r>
              <w:rPr>
                <w:spacing w:val="-1"/>
              </w:rPr>
              <w:t>数据安全管理</w:t>
            </w:r>
          </w:p>
        </w:tc>
        <w:tc>
          <w:tcPr>
            <w:tcW w:w="5188" w:type="dxa"/>
            <w:vAlign w:val="top"/>
          </w:tcPr>
          <w:p>
            <w:pPr>
              <w:pStyle w:val="TableText"/>
              <w:ind w:left="123"/>
              <w:spacing w:before="80" w:line="219" w:lineRule="auto"/>
              <w:rPr/>
            </w:pPr>
            <w:r>
              <w:rPr>
                <w:spacing w:val="-1"/>
              </w:rPr>
              <w:t>确保隐私、保密性和适当的访问权限等</w:t>
            </w:r>
          </w:p>
        </w:tc>
      </w:tr>
      <w:tr>
        <w:trPr>
          <w:trHeight w:val="309" w:hRule="atLeast"/>
        </w:trPr>
        <w:tc>
          <w:tcPr>
            <w:tcW w:w="2401" w:type="dxa"/>
            <w:vAlign w:val="top"/>
          </w:tcPr>
          <w:p>
            <w:pPr>
              <w:pStyle w:val="TableText"/>
              <w:ind w:left="744"/>
              <w:spacing w:before="81" w:line="219" w:lineRule="auto"/>
              <w:rPr/>
            </w:pPr>
            <w:r>
              <w:rPr>
                <w:spacing w:val="-1"/>
              </w:rPr>
              <w:t>数据质量管理</w:t>
            </w:r>
          </w:p>
        </w:tc>
        <w:tc>
          <w:tcPr>
            <w:tcW w:w="5188" w:type="dxa"/>
            <w:vAlign w:val="top"/>
          </w:tcPr>
          <w:p>
            <w:pPr>
              <w:pStyle w:val="TableText"/>
              <w:ind w:left="123"/>
              <w:spacing w:before="81" w:line="219" w:lineRule="auto"/>
              <w:rPr/>
            </w:pPr>
            <w:r>
              <w:rPr>
                <w:spacing w:val="-1"/>
              </w:rPr>
              <w:t>定义、监控和提高数据质量</w:t>
            </w:r>
          </w:p>
        </w:tc>
      </w:tr>
      <w:tr>
        <w:trPr>
          <w:trHeight w:val="309" w:hRule="atLeast"/>
        </w:trPr>
        <w:tc>
          <w:tcPr>
            <w:tcW w:w="2401" w:type="dxa"/>
            <w:vAlign w:val="top"/>
          </w:tcPr>
          <w:p>
            <w:pPr>
              <w:pStyle w:val="TableText"/>
              <w:ind w:left="444"/>
              <w:spacing w:before="82" w:line="219" w:lineRule="auto"/>
              <w:rPr/>
            </w:pPr>
            <w:r>
              <w:rPr>
                <w:spacing w:val="-1"/>
              </w:rPr>
              <w:t>参考数据和主数据管理</w:t>
            </w:r>
          </w:p>
        </w:tc>
        <w:tc>
          <w:tcPr>
            <w:tcW w:w="5188" w:type="dxa"/>
            <w:vAlign w:val="top"/>
          </w:tcPr>
          <w:p>
            <w:pPr>
              <w:pStyle w:val="TableText"/>
              <w:ind w:left="123"/>
              <w:spacing w:before="81" w:line="219" w:lineRule="auto"/>
              <w:rPr/>
            </w:pPr>
            <w:r>
              <w:rPr>
                <w:spacing w:val="-1"/>
              </w:rPr>
              <w:t>管理数据的黄金版本和副本</w:t>
            </w:r>
          </w:p>
        </w:tc>
      </w:tr>
      <w:tr>
        <w:trPr>
          <w:trHeight w:val="319" w:hRule="atLeast"/>
        </w:trPr>
        <w:tc>
          <w:tcPr>
            <w:tcW w:w="2401" w:type="dxa"/>
            <w:vAlign w:val="top"/>
          </w:tcPr>
          <w:p>
            <w:pPr>
              <w:pStyle w:val="TableText"/>
              <w:ind w:left="364"/>
              <w:spacing w:before="93" w:line="219" w:lineRule="auto"/>
              <w:rPr/>
            </w:pPr>
            <w:r>
              <w:rPr>
                <w:spacing w:val="-1"/>
              </w:rPr>
              <w:t>数据仓库与商务智能管理</w:t>
            </w:r>
          </w:p>
        </w:tc>
        <w:tc>
          <w:tcPr>
            <w:tcW w:w="5188" w:type="dxa"/>
            <w:vAlign w:val="top"/>
          </w:tcPr>
          <w:p>
            <w:pPr>
              <w:pStyle w:val="TableText"/>
              <w:ind w:left="123"/>
              <w:spacing w:before="91" w:line="218" w:lineRule="auto"/>
              <w:rPr/>
            </w:pPr>
            <w:r>
              <w:rPr>
                <w:spacing w:val="-2"/>
              </w:rPr>
              <w:t>实现报告和分析</w:t>
            </w:r>
          </w:p>
        </w:tc>
      </w:tr>
      <w:tr>
        <w:trPr>
          <w:trHeight w:val="329" w:hRule="atLeast"/>
        </w:trPr>
        <w:tc>
          <w:tcPr>
            <w:tcW w:w="2401" w:type="dxa"/>
            <w:vAlign w:val="top"/>
          </w:tcPr>
          <w:p>
            <w:pPr>
              <w:pStyle w:val="TableText"/>
              <w:ind w:left="664"/>
              <w:spacing w:before="94" w:line="219" w:lineRule="auto"/>
              <w:rPr/>
            </w:pPr>
            <w:r>
              <w:rPr>
                <w:spacing w:val="-1"/>
              </w:rPr>
              <w:t>文档和内容管理</w:t>
            </w:r>
          </w:p>
        </w:tc>
        <w:tc>
          <w:tcPr>
            <w:tcW w:w="5188" w:type="dxa"/>
            <w:vAlign w:val="top"/>
          </w:tcPr>
          <w:p>
            <w:pPr>
              <w:pStyle w:val="TableText"/>
              <w:ind w:left="123"/>
              <w:spacing w:before="94" w:line="219" w:lineRule="auto"/>
              <w:rPr/>
            </w:pPr>
            <w:r>
              <w:rPr>
                <w:spacing w:val="-1"/>
              </w:rPr>
              <w:t>管理数据库以外的数据</w:t>
            </w:r>
          </w:p>
        </w:tc>
      </w:tr>
      <w:tr>
        <w:trPr>
          <w:trHeight w:val="309" w:hRule="atLeast"/>
        </w:trPr>
        <w:tc>
          <w:tcPr>
            <w:tcW w:w="2401" w:type="dxa"/>
            <w:vAlign w:val="top"/>
          </w:tcPr>
          <w:p>
            <w:pPr>
              <w:pStyle w:val="TableText"/>
              <w:ind w:left="814"/>
              <w:spacing w:before="85" w:line="219" w:lineRule="auto"/>
              <w:rPr/>
            </w:pPr>
            <w:r>
              <w:rPr>
                <w:spacing w:val="-2"/>
              </w:rPr>
              <w:t>元数据管理</w:t>
            </w:r>
          </w:p>
        </w:tc>
        <w:tc>
          <w:tcPr>
            <w:tcW w:w="5188" w:type="dxa"/>
            <w:vAlign w:val="top"/>
          </w:tcPr>
          <w:p>
            <w:pPr>
              <w:pStyle w:val="TableText"/>
              <w:ind w:left="123"/>
              <w:spacing w:before="84" w:line="219" w:lineRule="auto"/>
              <w:rPr/>
            </w:pPr>
            <w:r>
              <w:rPr>
                <w:spacing w:val="-1"/>
              </w:rPr>
              <w:t>元数据的整合、控制以及提供元数据</w:t>
            </w:r>
          </w:p>
        </w:tc>
      </w:tr>
      <w:tr>
        <w:trPr>
          <w:trHeight w:val="324" w:hRule="atLeast"/>
        </w:trPr>
        <w:tc>
          <w:tcPr>
            <w:tcW w:w="2401" w:type="dxa"/>
            <w:vAlign w:val="top"/>
          </w:tcPr>
          <w:p>
            <w:pPr>
              <w:pStyle w:val="TableText"/>
              <w:ind w:left="444"/>
              <w:spacing w:before="96" w:line="219" w:lineRule="auto"/>
              <w:rPr/>
            </w:pPr>
            <w:r>
              <w:rPr>
                <w:spacing w:val="-1"/>
              </w:rPr>
              <w:t>数据集成与互操作管理</w:t>
            </w:r>
          </w:p>
        </w:tc>
        <w:tc>
          <w:tcPr>
            <w:tcW w:w="5188" w:type="dxa"/>
            <w:vAlign w:val="top"/>
          </w:tcPr>
          <w:p>
            <w:pPr>
              <w:pStyle w:val="TableText"/>
              <w:ind w:left="123"/>
              <w:spacing w:before="95" w:line="219" w:lineRule="auto"/>
              <w:rPr/>
            </w:pPr>
            <w:r>
              <w:rPr/>
              <w:t>采集、提取、变换、移动、交付、复制、联合、虚</w:t>
            </w:r>
            <w:r>
              <w:rPr>
                <w:spacing w:val="-1"/>
              </w:rPr>
              <w:t>拟化和运营支持</w:t>
            </w:r>
          </w:p>
        </w:tc>
      </w:tr>
    </w:tbl>
    <w:p>
      <w:pPr>
        <w:ind w:right="193" w:firstLine="409"/>
        <w:spacing w:before="182" w:line="255" w:lineRule="auto"/>
        <w:rPr>
          <w:rFonts w:ascii="SimSun" w:hAnsi="SimSun" w:eastAsia="SimSun" w:cs="SimSun"/>
          <w:sz w:val="21"/>
          <w:szCs w:val="21"/>
        </w:rPr>
      </w:pPr>
      <w:r>
        <w:rPr>
          <w:rFonts w:ascii="SimSun" w:hAnsi="SimSun" w:eastAsia="SimSun" w:cs="SimSun"/>
          <w:sz w:val="21"/>
          <w:szCs w:val="21"/>
          <w:spacing w:val="-1"/>
        </w:rPr>
        <w:t>七大环境要素包括目标与原则、活动、主要交付物、角色与职责、实践</w:t>
      </w:r>
      <w:r>
        <w:rPr>
          <w:rFonts w:ascii="SimSun" w:hAnsi="SimSun" w:eastAsia="SimSun" w:cs="SimSun"/>
          <w:sz w:val="21"/>
          <w:szCs w:val="21"/>
          <w:spacing w:val="-2"/>
        </w:rPr>
        <w:t>与方法、</w:t>
      </w:r>
      <w:r>
        <w:rPr>
          <w:rFonts w:ascii="SimSun" w:hAnsi="SimSun" w:eastAsia="SimSun" w:cs="SimSun"/>
          <w:sz w:val="21"/>
          <w:szCs w:val="21"/>
        </w:rPr>
        <w:t xml:space="preserve"> </w:t>
      </w:r>
      <w:r>
        <w:rPr>
          <w:rFonts w:ascii="SimSun" w:hAnsi="SimSun" w:eastAsia="SimSun" w:cs="SimSun"/>
          <w:sz w:val="21"/>
          <w:szCs w:val="21"/>
          <w:spacing w:val="-2"/>
        </w:rPr>
        <w:t>技术、组织与文化。每一环境要素包含如下内容。</w:t>
      </w:r>
    </w:p>
    <w:p>
      <w:pPr>
        <w:ind w:left="668" w:right="306" w:hanging="259"/>
        <w:spacing w:before="40" w:line="247" w:lineRule="auto"/>
        <w:rPr>
          <w:rFonts w:ascii="SimSun" w:hAnsi="SimSun" w:eastAsia="SimSun" w:cs="SimSun"/>
          <w:sz w:val="21"/>
          <w:szCs w:val="21"/>
        </w:rPr>
      </w:pPr>
      <w:r>
        <w:rPr>
          <w:rFonts w:ascii="SimSun" w:hAnsi="SimSun" w:eastAsia="SimSun" w:cs="SimSun"/>
          <w:sz w:val="21"/>
          <w:szCs w:val="21"/>
          <w:spacing w:val="15"/>
        </w:rPr>
        <w:t>●目标和原则：每个职能的方向性业务目标以及指导每个职能绩效的</w:t>
      </w:r>
      <w:r>
        <w:rPr>
          <w:rFonts w:ascii="SimSun" w:hAnsi="SimSun" w:eastAsia="SimSun" w:cs="SimSun"/>
          <w:sz w:val="21"/>
          <w:szCs w:val="21"/>
          <w:spacing w:val="14"/>
        </w:rPr>
        <w:t>基本</w:t>
      </w:r>
      <w:r>
        <w:rPr>
          <w:rFonts w:ascii="SimSun" w:hAnsi="SimSun" w:eastAsia="SimSun" w:cs="SimSun"/>
          <w:sz w:val="21"/>
          <w:szCs w:val="21"/>
        </w:rPr>
        <w:t xml:space="preserve"> </w:t>
      </w:r>
      <w:r>
        <w:rPr>
          <w:rFonts w:ascii="SimSun" w:hAnsi="SimSun" w:eastAsia="SimSun" w:cs="SimSun"/>
          <w:sz w:val="21"/>
          <w:szCs w:val="21"/>
          <w:spacing w:val="-2"/>
        </w:rPr>
        <w:t>原则。</w:t>
      </w:r>
    </w:p>
    <w:p>
      <w:pPr>
        <w:ind w:left="668" w:right="305" w:hanging="259"/>
        <w:spacing w:before="68" w:line="255" w:lineRule="auto"/>
        <w:rPr>
          <w:rFonts w:ascii="SimSun" w:hAnsi="SimSun" w:eastAsia="SimSun" w:cs="SimSun"/>
          <w:sz w:val="21"/>
          <w:szCs w:val="21"/>
        </w:rPr>
      </w:pPr>
      <w:r>
        <w:rPr>
          <w:rFonts w:ascii="SimSun" w:hAnsi="SimSun" w:eastAsia="SimSun" w:cs="SimSun"/>
          <w:sz w:val="21"/>
          <w:szCs w:val="21"/>
          <w:spacing w:val="2"/>
        </w:rPr>
        <w:t>●活动：每个职能都是由低一级的活动组成，有些活动被</w:t>
      </w:r>
      <w:r>
        <w:rPr>
          <w:rFonts w:ascii="SimSun" w:hAnsi="SimSun" w:eastAsia="SimSun" w:cs="SimSun"/>
          <w:sz w:val="21"/>
          <w:szCs w:val="21"/>
          <w:spacing w:val="1"/>
        </w:rPr>
        <w:t>分为子活动。活动能</w:t>
      </w:r>
      <w:r>
        <w:rPr>
          <w:rFonts w:ascii="SimSun" w:hAnsi="SimSun" w:eastAsia="SimSun" w:cs="SimSun"/>
          <w:sz w:val="21"/>
          <w:szCs w:val="21"/>
        </w:rPr>
        <w:t xml:space="preserve"> </w:t>
      </w:r>
      <w:r>
        <w:rPr>
          <w:rFonts w:ascii="SimSun" w:hAnsi="SimSun" w:eastAsia="SimSun" w:cs="SimSun"/>
          <w:sz w:val="21"/>
          <w:szCs w:val="21"/>
          <w:spacing w:val="-3"/>
        </w:rPr>
        <w:t>被进一步分解成任务或步骤。</w:t>
      </w:r>
    </w:p>
    <w:p>
      <w:pPr>
        <w:ind w:left="409"/>
        <w:spacing w:before="51" w:line="219" w:lineRule="auto"/>
        <w:rPr>
          <w:rFonts w:ascii="SimSun" w:hAnsi="SimSun" w:eastAsia="SimSun" w:cs="SimSun"/>
          <w:sz w:val="21"/>
          <w:szCs w:val="21"/>
        </w:rPr>
      </w:pPr>
      <w:r>
        <w:rPr>
          <w:rFonts w:ascii="SimSun" w:hAnsi="SimSun" w:eastAsia="SimSun" w:cs="SimSun"/>
          <w:sz w:val="21"/>
          <w:szCs w:val="21"/>
          <w:spacing w:val="2"/>
        </w:rPr>
        <w:t>●主要交付物：信息、物理数据库及各职能在管理过程中</w:t>
      </w:r>
      <w:r>
        <w:rPr>
          <w:rFonts w:ascii="SimSun" w:hAnsi="SimSun" w:eastAsia="SimSun" w:cs="SimSun"/>
          <w:sz w:val="21"/>
          <w:szCs w:val="21"/>
          <w:spacing w:val="1"/>
        </w:rPr>
        <w:t>最终输出的文档。有</w:t>
      </w:r>
    </w:p>
    <w:p>
      <w:pPr>
        <w:ind w:left="669"/>
        <w:spacing w:before="91" w:line="219" w:lineRule="auto"/>
        <w:rPr>
          <w:rFonts w:ascii="SimSun" w:hAnsi="SimSun" w:eastAsia="SimSun" w:cs="SimSun"/>
          <w:sz w:val="21"/>
          <w:szCs w:val="21"/>
        </w:rPr>
      </w:pPr>
      <w:r>
        <w:rPr>
          <w:rFonts w:ascii="SimSun" w:hAnsi="SimSun" w:eastAsia="SimSun" w:cs="SimSun"/>
          <w:sz w:val="21"/>
          <w:szCs w:val="21"/>
          <w:spacing w:val="-1"/>
        </w:rPr>
        <w:t>些交付物是必需的，有些是建议性的，还有些则是视情况而定可选的。</w:t>
      </w:r>
    </w:p>
    <w:p>
      <w:pPr>
        <w:ind w:left="668" w:right="287" w:hanging="259"/>
        <w:spacing w:before="29" w:line="255" w:lineRule="auto"/>
        <w:rPr>
          <w:rFonts w:ascii="SimSun" w:hAnsi="SimSun" w:eastAsia="SimSun" w:cs="SimSun"/>
          <w:sz w:val="21"/>
          <w:szCs w:val="21"/>
        </w:rPr>
      </w:pPr>
      <w:r>
        <w:rPr>
          <w:rFonts w:ascii="SimSun" w:hAnsi="SimSun" w:eastAsia="SimSun" w:cs="SimSun"/>
          <w:sz w:val="21"/>
          <w:szCs w:val="21"/>
          <w:spacing w:val="2"/>
        </w:rPr>
        <w:t>●角色和责任：在执行一个职能和对功能进行监督过程中所涉及的业务角</w:t>
      </w:r>
      <w:r>
        <w:rPr>
          <w:rFonts w:ascii="SimSun" w:hAnsi="SimSun" w:eastAsia="SimSun" w:cs="SimSun"/>
          <w:sz w:val="21"/>
          <w:szCs w:val="21"/>
          <w:spacing w:val="1"/>
        </w:rPr>
        <w:t>色和</w:t>
      </w:r>
      <w:r>
        <w:rPr>
          <w:rFonts w:ascii="SimSun" w:hAnsi="SimSun" w:eastAsia="SimSun" w:cs="SimSun"/>
          <w:sz w:val="21"/>
          <w:szCs w:val="21"/>
        </w:rPr>
        <w:t xml:space="preserve"> </w:t>
      </w:r>
      <w:r>
        <w:rPr>
          <w:rFonts w:ascii="Times New Roman" w:hAnsi="Times New Roman" w:eastAsia="Times New Roman" w:cs="Times New Roman"/>
          <w:sz w:val="21"/>
          <w:szCs w:val="21"/>
        </w:rPr>
        <w:t>IT </w:t>
      </w:r>
      <w:r>
        <w:rPr>
          <w:rFonts w:ascii="SimSun" w:hAnsi="SimSun" w:eastAsia="SimSun" w:cs="SimSun"/>
          <w:sz w:val="21"/>
          <w:szCs w:val="21"/>
        </w:rPr>
        <w:t>角色，以及在该职能中每个角色所涉及的</w:t>
      </w:r>
      <w:r>
        <w:rPr>
          <w:rFonts w:ascii="SimSun" w:hAnsi="SimSun" w:eastAsia="SimSun" w:cs="SimSun"/>
          <w:sz w:val="21"/>
          <w:szCs w:val="21"/>
          <w:spacing w:val="-1"/>
        </w:rPr>
        <w:t>具体责任。很多角色可能会参与</w:t>
      </w:r>
      <w:r>
        <w:rPr>
          <w:rFonts w:ascii="SimSun" w:hAnsi="SimSun" w:eastAsia="SimSun" w:cs="SimSun"/>
          <w:sz w:val="21"/>
          <w:szCs w:val="21"/>
        </w:rPr>
        <w:t xml:space="preserve"> </w:t>
      </w:r>
      <w:r>
        <w:rPr>
          <w:rFonts w:ascii="SimSun" w:hAnsi="SimSun" w:eastAsia="SimSun" w:cs="SimSun"/>
          <w:sz w:val="21"/>
          <w:szCs w:val="21"/>
          <w:spacing w:val="-8"/>
        </w:rPr>
        <w:t>多个职能。</w:t>
      </w:r>
    </w:p>
    <w:p>
      <w:pPr>
        <w:ind w:left="668" w:right="210" w:hanging="259"/>
        <w:spacing w:before="71" w:line="254" w:lineRule="auto"/>
        <w:rPr>
          <w:rFonts w:ascii="SimSun" w:hAnsi="SimSun" w:eastAsia="SimSun" w:cs="SimSun"/>
          <w:sz w:val="21"/>
          <w:szCs w:val="21"/>
        </w:rPr>
      </w:pPr>
      <w:r>
        <w:rPr>
          <w:rFonts w:ascii="SimSun" w:hAnsi="SimSun" w:eastAsia="SimSun" w:cs="SimSun"/>
          <w:sz w:val="21"/>
          <w:szCs w:val="21"/>
          <w:spacing w:val="2"/>
        </w:rPr>
        <w:t>●实践与方法：用于执行这些过程和生成交付结果的</w:t>
      </w:r>
      <w:r>
        <w:rPr>
          <w:rFonts w:ascii="SimSun" w:hAnsi="SimSun" w:eastAsia="SimSun" w:cs="SimSun"/>
          <w:sz w:val="21"/>
          <w:szCs w:val="21"/>
          <w:spacing w:val="1"/>
        </w:rPr>
        <w:t>常见及流行的方法和具体</w:t>
      </w:r>
      <w:r>
        <w:rPr>
          <w:rFonts w:ascii="SimSun" w:hAnsi="SimSun" w:eastAsia="SimSun" w:cs="SimSun"/>
          <w:sz w:val="21"/>
          <w:szCs w:val="21"/>
        </w:rPr>
        <w:t xml:space="preserve">  </w:t>
      </w:r>
      <w:r>
        <w:rPr>
          <w:rFonts w:ascii="SimSun" w:hAnsi="SimSun" w:eastAsia="SimSun" w:cs="SimSun"/>
          <w:sz w:val="21"/>
          <w:szCs w:val="21"/>
          <w:spacing w:val="-3"/>
        </w:rPr>
        <w:t>技术，也可能包括常见的约定、推荐的最佳实践方法和简要介绍的候</w:t>
      </w:r>
      <w:r>
        <w:rPr>
          <w:rFonts w:ascii="SimSun" w:hAnsi="SimSun" w:eastAsia="SimSun" w:cs="SimSun"/>
          <w:sz w:val="21"/>
          <w:szCs w:val="21"/>
          <w:spacing w:val="-4"/>
        </w:rPr>
        <w:t>选方法。</w:t>
      </w:r>
    </w:p>
    <w:p>
      <w:pPr>
        <w:ind w:left="668" w:right="304" w:hanging="259"/>
        <w:spacing w:before="52" w:line="259" w:lineRule="auto"/>
        <w:rPr>
          <w:rFonts w:ascii="SimSun" w:hAnsi="SimSun" w:eastAsia="SimSun" w:cs="SimSun"/>
          <w:sz w:val="21"/>
          <w:szCs w:val="21"/>
        </w:rPr>
      </w:pPr>
      <w:r>
        <w:rPr>
          <w:rFonts w:ascii="SimSun" w:hAnsi="SimSun" w:eastAsia="SimSun" w:cs="SimSun"/>
          <w:sz w:val="21"/>
          <w:szCs w:val="21"/>
          <w:spacing w:val="8"/>
        </w:rPr>
        <w:t>●技术：各种支撑技术(主要是软件工具)、标准和协议、产品选择标准</w:t>
      </w:r>
      <w:r>
        <w:rPr>
          <w:rFonts w:ascii="SimSun" w:hAnsi="SimSun" w:eastAsia="SimSun" w:cs="SimSun"/>
          <w:sz w:val="21"/>
          <w:szCs w:val="21"/>
          <w:spacing w:val="7"/>
        </w:rPr>
        <w:t>和常</w:t>
      </w:r>
      <w:r>
        <w:rPr>
          <w:rFonts w:ascii="SimSun" w:hAnsi="SimSun" w:eastAsia="SimSun" w:cs="SimSun"/>
          <w:sz w:val="21"/>
          <w:szCs w:val="21"/>
        </w:rPr>
        <w:t xml:space="preserve"> </w:t>
      </w:r>
      <w:r>
        <w:rPr>
          <w:rFonts w:ascii="SimSun" w:hAnsi="SimSun" w:eastAsia="SimSun" w:cs="SimSun"/>
          <w:sz w:val="21"/>
          <w:szCs w:val="21"/>
          <w:spacing w:val="-6"/>
        </w:rPr>
        <w:t>见学习曲线。</w:t>
      </w:r>
    </w:p>
    <w:p>
      <w:pPr>
        <w:ind w:left="409"/>
        <w:spacing w:before="59" w:line="218" w:lineRule="auto"/>
        <w:rPr>
          <w:rFonts w:ascii="SimSun" w:hAnsi="SimSun" w:eastAsia="SimSun" w:cs="SimSun"/>
          <w:sz w:val="21"/>
          <w:szCs w:val="21"/>
        </w:rPr>
      </w:pPr>
      <w:r>
        <w:rPr>
          <w:rFonts w:ascii="SimSun" w:hAnsi="SimSun" w:eastAsia="SimSun" w:cs="SimSun"/>
          <w:sz w:val="21"/>
          <w:szCs w:val="21"/>
          <w:spacing w:val="1"/>
        </w:rPr>
        <w:t>●组织与文化：主要包括管理度量标准、成功和商业价值的度量标准等因素。</w:t>
      </w:r>
    </w:p>
    <w:p>
      <w:pPr>
        <w:ind w:left="412"/>
        <w:spacing w:before="194" w:line="221" w:lineRule="auto"/>
        <w:outlineLvl w:val="1"/>
        <w:rPr>
          <w:rFonts w:ascii="YouYuan" w:hAnsi="YouYuan" w:eastAsia="YouYuan" w:cs="YouYuan"/>
          <w:sz w:val="21"/>
          <w:szCs w:val="21"/>
        </w:rPr>
      </w:pPr>
      <w:r>
        <w:rPr>
          <w:rFonts w:ascii="SimSun" w:hAnsi="SimSun" w:eastAsia="SimSun" w:cs="SimSun"/>
          <w:sz w:val="21"/>
          <w:szCs w:val="21"/>
          <w:b/>
          <w:bCs/>
          <w:spacing w:val="6"/>
        </w:rPr>
        <w:t>3.</w:t>
      </w:r>
      <w:r>
        <w:rPr>
          <w:rFonts w:ascii="SimSun" w:hAnsi="SimSun" w:eastAsia="SimSun" w:cs="SimSun"/>
          <w:sz w:val="21"/>
          <w:szCs w:val="21"/>
          <w:b/>
          <w:bCs/>
        </w:rPr>
        <w:t>DGl</w:t>
      </w:r>
      <w:r>
        <w:rPr>
          <w:rFonts w:ascii="SimSun" w:hAnsi="SimSun" w:eastAsia="SimSun" w:cs="SimSun"/>
          <w:sz w:val="21"/>
          <w:szCs w:val="21"/>
          <w:spacing w:val="6"/>
        </w:rPr>
        <w:t xml:space="preserve">  </w:t>
      </w:r>
      <w:r>
        <w:rPr>
          <w:rFonts w:ascii="YouYuan" w:hAnsi="YouYuan" w:eastAsia="YouYuan" w:cs="YouYuan"/>
          <w:sz w:val="21"/>
          <w:szCs w:val="21"/>
          <w:b/>
          <w:bCs/>
          <w:spacing w:val="6"/>
        </w:rPr>
        <w:t>提出的数据治理框架</w:t>
      </w:r>
    </w:p>
    <w:p>
      <w:pPr>
        <w:ind w:right="210" w:firstLine="409"/>
        <w:spacing w:before="238" w:line="253" w:lineRule="auto"/>
        <w:jc w:val="both"/>
        <w:rPr>
          <w:rFonts w:ascii="SimSun" w:hAnsi="SimSun" w:eastAsia="SimSun" w:cs="SimSun"/>
          <w:sz w:val="21"/>
          <w:szCs w:val="21"/>
        </w:rPr>
      </w:pPr>
      <w:r>
        <w:rPr>
          <w:rFonts w:ascii="Times New Roman" w:hAnsi="Times New Roman" w:eastAsia="Times New Roman" w:cs="Times New Roman"/>
          <w:sz w:val="21"/>
          <w:szCs w:val="21"/>
        </w:rPr>
        <w:t>DGI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
        </w:rPr>
        <w:t>认为数据治理应建立独立的数据治理理论体系。</w:t>
      </w:r>
      <w:r>
        <w:rPr>
          <w:rFonts w:ascii="Times New Roman" w:hAnsi="Times New Roman" w:eastAsia="Times New Roman" w:cs="Times New Roman"/>
          <w:sz w:val="21"/>
          <w:szCs w:val="21"/>
        </w:rPr>
        <w:t>DGI</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从组织、规则、过程</w:t>
      </w:r>
      <w:r>
        <w:rPr>
          <w:rFonts w:ascii="SimSun" w:hAnsi="SimSun" w:eastAsia="SimSun" w:cs="SimSun"/>
          <w:sz w:val="21"/>
          <w:szCs w:val="21"/>
        </w:rPr>
        <w:t xml:space="preserve">  </w:t>
      </w:r>
      <w:r>
        <w:rPr>
          <w:rFonts w:ascii="SimSun" w:hAnsi="SimSun" w:eastAsia="SimSun" w:cs="SimSun"/>
          <w:sz w:val="21"/>
          <w:szCs w:val="21"/>
          <w:spacing w:val="1"/>
        </w:rPr>
        <w:t>三个层面总结了数据治理的十大关键要素，创新性地提出了数据治理框架。组件按</w:t>
      </w:r>
      <w:r>
        <w:rPr>
          <w:rFonts w:ascii="SimSun" w:hAnsi="SimSun" w:eastAsia="SimSun" w:cs="SimSun"/>
          <w:sz w:val="21"/>
          <w:szCs w:val="21"/>
          <w:spacing w:val="7"/>
        </w:rPr>
        <w:t xml:space="preserve">  </w:t>
      </w:r>
      <w:r>
        <w:rPr>
          <w:rFonts w:ascii="SimSun" w:hAnsi="SimSun" w:eastAsia="SimSun" w:cs="SimSun"/>
          <w:sz w:val="21"/>
          <w:szCs w:val="21"/>
          <w:spacing w:val="1"/>
        </w:rPr>
        <w:t>照职能划分为三组：人员与组织结构、规则与协同工作规范、过程?,如图1-6所示。</w:t>
      </w:r>
    </w:p>
    <w:p>
      <w:pPr>
        <w:spacing w:line="253" w:lineRule="auto"/>
        <w:sectPr>
          <w:footerReference w:type="default" r:id="rId57"/>
          <w:pgSz w:w="8870" w:h="13400"/>
          <w:pgMar w:top="400" w:right="334" w:bottom="577" w:left="620" w:header="0" w:footer="369" w:gutter="0"/>
        </w:sectPr>
        <w:rPr>
          <w:rFonts w:ascii="SimSun" w:hAnsi="SimSun" w:eastAsia="SimSun" w:cs="SimSun"/>
          <w:sz w:val="21"/>
          <w:szCs w:val="21"/>
        </w:rPr>
      </w:pPr>
    </w:p>
    <w:p>
      <w:pPr>
        <w:ind w:left="173"/>
        <w:spacing w:before="205" w:line="219" w:lineRule="auto"/>
        <w:rPr>
          <w:rFonts w:ascii="SimSun" w:hAnsi="SimSun" w:eastAsia="SimSun" w:cs="SimSun"/>
          <w:sz w:val="22"/>
          <w:szCs w:val="22"/>
        </w:rPr>
      </w:pPr>
      <w:r>
        <w:drawing>
          <wp:anchor distT="0" distB="0" distL="0" distR="0" simplePos="0" relativeHeight="251752448" behindDoc="0" locked="0" layoutInCell="0" allowOverlap="1">
            <wp:simplePos x="0" y="0"/>
            <wp:positionH relativeFrom="page">
              <wp:posOffset>266696</wp:posOffset>
            </wp:positionH>
            <wp:positionV relativeFrom="page">
              <wp:posOffset>336531</wp:posOffset>
            </wp:positionV>
            <wp:extent cx="6365" cy="222255"/>
            <wp:effectExtent l="0" t="0" r="0" b="0"/>
            <wp:wrapNone/>
            <wp:docPr id="76" name="IM 76"/>
            <wp:cNvGraphicFramePr/>
            <a:graphic>
              <a:graphicData uri="http://schemas.openxmlformats.org/drawingml/2006/picture">
                <pic:pic>
                  <pic:nvPicPr>
                    <pic:cNvPr id="76" name="IM 76"/>
                    <pic:cNvPicPr/>
                  </pic:nvPicPr>
                  <pic:blipFill>
                    <a:blip r:embed="rId58"/>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5"/>
        </w:rPr>
        <w:t>■云端数据治理</w:t>
      </w:r>
    </w:p>
    <w:p>
      <w:pPr>
        <w:pStyle w:val="BodyText"/>
        <w:ind w:firstLine="620"/>
        <w:spacing w:before="213" w:line="5030" w:lineRule="exact"/>
        <w:rPr/>
      </w:pPr>
      <w:r>
        <w:rPr>
          <w:position w:val="-100"/>
        </w:rPr>
        <w:pict>
          <v:group id="_x0000_s64" style="mso-position-vertical-relative:line;mso-position-horizontal-relative:char;width:345pt;height:251.5pt;" filled="false" stroked="false" coordsize="6900,5030" coordorigin="0,0">
            <v:shape id="_x0000_s66" style="position:absolute;left:679;top:0;width:6220;height:5030;" filled="false" stroked="false" type="#_x0000_t75">
              <v:imagedata o:title="" r:id="rId59"/>
            </v:shape>
            <v:shape id="_x0000_s68" style="position:absolute;left:229;top:386;width:6385;height:4501;" filled="false" stroked="false" type="#_x0000_t202">
              <v:fill on="false"/>
              <v:stroke on="false"/>
              <v:path/>
              <v:imagedata o:title=""/>
              <o:lock v:ext="edit" aspectratio="false"/>
              <v:textbox inset="0mm,0mm,0mm,0mm">
                <w:txbxContent>
                  <w:p>
                    <w:pPr>
                      <w:ind w:left="4110"/>
                      <w:spacing w:before="19" w:line="182" w:lineRule="auto"/>
                      <w:rPr>
                        <w:rFonts w:ascii="SimSun" w:hAnsi="SimSun" w:eastAsia="SimSun" w:cs="SimSun"/>
                        <w:sz w:val="12"/>
                        <w:szCs w:val="12"/>
                      </w:rPr>
                    </w:pPr>
                    <w:r>
                      <w:rPr>
                        <w:rFonts w:ascii="SimSun" w:hAnsi="SimSun" w:eastAsia="SimSun" w:cs="SimSun"/>
                        <w:sz w:val="12"/>
                        <w:szCs w:val="12"/>
                      </w:rPr>
                      <w:t>7</w:t>
                    </w:r>
                  </w:p>
                  <w:p>
                    <w:pPr>
                      <w:ind w:left="3640"/>
                      <w:spacing w:before="72" w:line="196" w:lineRule="auto"/>
                      <w:rPr>
                        <w:rFonts w:ascii="SimSun" w:hAnsi="SimSun" w:eastAsia="SimSun" w:cs="SimSun"/>
                        <w:sz w:val="18"/>
                        <w:szCs w:val="18"/>
                      </w:rPr>
                    </w:pPr>
                    <w:r>
                      <w:rPr>
                        <w:rFonts w:ascii="SimSun" w:hAnsi="SimSun" w:eastAsia="SimSun" w:cs="SimSun"/>
                        <w:sz w:val="18"/>
                        <w:szCs w:val="18"/>
                        <w:spacing w:val="-11"/>
                      </w:rPr>
                      <w:t>数据</w:t>
                    </w:r>
                  </w:p>
                  <w:p>
                    <w:pPr>
                      <w:ind w:left="3640"/>
                      <w:spacing w:line="220" w:lineRule="auto"/>
                      <w:rPr>
                        <w:rFonts w:ascii="SimSun" w:hAnsi="SimSun" w:eastAsia="SimSun" w:cs="SimSun"/>
                        <w:sz w:val="18"/>
                        <w:szCs w:val="18"/>
                      </w:rPr>
                    </w:pPr>
                    <w:r>
                      <w:rPr>
                        <w:rFonts w:ascii="SimSun" w:hAnsi="SimSun" w:eastAsia="SimSun" w:cs="SimSun"/>
                        <w:sz w:val="18"/>
                        <w:szCs w:val="18"/>
                        <w:spacing w:val="-14"/>
                        <w:w w:val="95"/>
                      </w:rPr>
                      <w:t>利益相关人</w:t>
                    </w:r>
                  </w:p>
                  <w:p>
                    <w:pPr>
                      <w:spacing w:line="355" w:lineRule="auto"/>
                      <w:rPr>
                        <w:rFonts w:ascii="Arial"/>
                        <w:sz w:val="21"/>
                      </w:rPr>
                    </w:pPr>
                    <w:r/>
                  </w:p>
                  <w:p>
                    <w:pPr>
                      <w:spacing w:line="355" w:lineRule="auto"/>
                      <w:rPr>
                        <w:rFonts w:ascii="Arial"/>
                        <w:sz w:val="21"/>
                      </w:rPr>
                    </w:pPr>
                    <w:r/>
                  </w:p>
                  <w:p>
                    <w:pPr>
                      <w:ind w:left="4020"/>
                      <w:spacing w:before="39" w:line="71" w:lineRule="exact"/>
                      <w:rPr>
                        <w:rFonts w:ascii="SimSun" w:hAnsi="SimSun" w:eastAsia="SimSun" w:cs="SimSun"/>
                        <w:sz w:val="12"/>
                        <w:szCs w:val="12"/>
                      </w:rPr>
                    </w:pPr>
                    <w:r>
                      <w:rPr>
                        <w:rFonts w:ascii="SimSun" w:hAnsi="SimSun" w:eastAsia="SimSun" w:cs="SimSun"/>
                        <w:sz w:val="12"/>
                        <w:szCs w:val="12"/>
                        <w:color w:val="FFFFFF"/>
                        <w:position w:val="-2"/>
                      </w:rPr>
                      <w:t>2</w:t>
                    </w:r>
                  </w:p>
                  <w:p>
                    <w:pPr>
                      <w:ind w:right="15"/>
                      <w:spacing w:line="165" w:lineRule="auto"/>
                      <w:jc w:val="right"/>
                      <w:rPr>
                        <w:rFonts w:ascii="SimSun" w:hAnsi="SimSun" w:eastAsia="SimSun" w:cs="SimSun"/>
                        <w:sz w:val="12"/>
                        <w:szCs w:val="12"/>
                      </w:rPr>
                    </w:pPr>
                    <w:r>
                      <w:rPr>
                        <w:rFonts w:ascii="SimSun" w:hAnsi="SimSun" w:eastAsia="SimSun" w:cs="SimSun"/>
                        <w:sz w:val="12"/>
                        <w:szCs w:val="12"/>
                        <w:color w:val="FFFFFF"/>
                      </w:rPr>
                      <w:t>4</w:t>
                    </w:r>
                  </w:p>
                  <w:p>
                    <w:pPr>
                      <w:ind w:left="3380"/>
                      <w:spacing w:before="102" w:line="193" w:lineRule="auto"/>
                      <w:rPr>
                        <w:rFonts w:ascii="SimSun" w:hAnsi="SimSun" w:eastAsia="SimSun" w:cs="SimSun"/>
                        <w:sz w:val="18"/>
                        <w:szCs w:val="18"/>
                      </w:rPr>
                    </w:pPr>
                    <w:r>
                      <w:rPr>
                        <w:rFonts w:ascii="SimSun" w:hAnsi="SimSun" w:eastAsia="SimSun" w:cs="SimSun"/>
                        <w:sz w:val="18"/>
                        <w:szCs w:val="18"/>
                        <w:spacing w:val="-15"/>
                      </w:rPr>
                      <w:t>关注域(目标、</w:t>
                    </w:r>
                  </w:p>
                  <w:p>
                    <w:pPr>
                      <w:ind w:left="3380"/>
                      <w:spacing w:before="1" w:line="187" w:lineRule="auto"/>
                      <w:rPr>
                        <w:rFonts w:ascii="SimSun" w:hAnsi="SimSun" w:eastAsia="SimSun" w:cs="SimSun"/>
                        <w:sz w:val="18"/>
                        <w:szCs w:val="18"/>
                      </w:rPr>
                    </w:pPr>
                    <w:r>
                      <w:rPr>
                        <w:rFonts w:ascii="SimSun" w:hAnsi="SimSun" w:eastAsia="SimSun" w:cs="SimSun"/>
                        <w:sz w:val="18"/>
                        <w:szCs w:val="18"/>
                        <w:spacing w:val="-15"/>
                        <w:w w:val="92"/>
                      </w:rPr>
                      <w:t>指标/绩效度量、</w:t>
                    </w:r>
                  </w:p>
                  <w:p>
                    <w:pPr>
                      <w:ind w:left="3380"/>
                      <w:spacing w:line="166" w:lineRule="auto"/>
                      <w:rPr>
                        <w:rFonts w:ascii="SimSun" w:hAnsi="SimSun" w:eastAsia="SimSun" w:cs="SimSun"/>
                        <w:sz w:val="18"/>
                        <w:szCs w:val="18"/>
                      </w:rPr>
                    </w:pPr>
                    <w:r>
                      <w:rPr>
                        <w:rFonts w:ascii="SimSun" w:hAnsi="SimSun" w:eastAsia="SimSun" w:cs="SimSun"/>
                        <w:sz w:val="18"/>
                        <w:szCs w:val="18"/>
                        <w:spacing w:val="-14"/>
                        <w:w w:val="98"/>
                      </w:rPr>
                      <w:t>财务策略)</w:t>
                    </w:r>
                  </w:p>
                  <w:p>
                    <w:pPr>
                      <w:ind w:right="15"/>
                      <w:spacing w:before="1" w:line="174" w:lineRule="auto"/>
                      <w:jc w:val="right"/>
                      <w:rPr>
                        <w:rFonts w:ascii="SimSun" w:hAnsi="SimSun" w:eastAsia="SimSun" w:cs="SimSun"/>
                        <w:sz w:val="12"/>
                        <w:szCs w:val="12"/>
                      </w:rPr>
                    </w:pPr>
                    <w:r>
                      <w:rPr>
                        <w:rFonts w:ascii="SimSun" w:hAnsi="SimSun" w:eastAsia="SimSun" w:cs="SimSun"/>
                        <w:sz w:val="12"/>
                        <w:szCs w:val="12"/>
                        <w:color w:val="FFFFFF"/>
                      </w:rPr>
                      <w:t>6</w:t>
                    </w:r>
                  </w:p>
                  <w:p>
                    <w:pPr>
                      <w:spacing w:line="461" w:lineRule="auto"/>
                      <w:rPr>
                        <w:rFonts w:ascii="Arial"/>
                        <w:sz w:val="21"/>
                      </w:rPr>
                    </w:pPr>
                    <w:r/>
                  </w:p>
                  <w:p>
                    <w:pPr>
                      <w:ind w:left="2750"/>
                      <w:spacing w:before="98" w:line="222" w:lineRule="auto"/>
                      <w:rPr>
                        <w:rFonts w:ascii="SimSun" w:hAnsi="SimSun" w:eastAsia="SimSun" w:cs="SimSun"/>
                        <w:sz w:val="30"/>
                        <w:szCs w:val="30"/>
                      </w:rPr>
                    </w:pPr>
                    <w:r>
                      <w:rPr>
                        <w:rFonts w:ascii="SimSun" w:hAnsi="SimSun" w:eastAsia="SimSun" w:cs="SimSun"/>
                        <w:sz w:val="18"/>
                        <w:szCs w:val="18"/>
                        <w:spacing w:val="-20"/>
                        <w:w w:val="98"/>
                        <w:position w:val="3"/>
                      </w:rPr>
                      <w:t>数据规则与定义</w:t>
                    </w:r>
                    <w:r>
                      <w:rPr>
                        <w:rFonts w:ascii="SimSun" w:hAnsi="SimSun" w:eastAsia="SimSun" w:cs="SimSun"/>
                        <w:sz w:val="18"/>
                        <w:szCs w:val="18"/>
                        <w:spacing w:val="17"/>
                        <w:position w:val="3"/>
                      </w:rPr>
                      <w:t xml:space="preserve">   </w:t>
                    </w:r>
                    <w:r>
                      <w:rPr>
                        <w:rFonts w:ascii="SimSun" w:hAnsi="SimSun" w:eastAsia="SimSun" w:cs="SimSun"/>
                        <w:sz w:val="30"/>
                        <w:szCs w:val="30"/>
                        <w:color w:val="FFFFFF"/>
                        <w:spacing w:val="-20"/>
                        <w:w w:val="98"/>
                        <w:position w:val="-4"/>
                      </w:rPr>
                      <w:t>3)</w:t>
                    </w:r>
                  </w:p>
                  <w:p>
                    <w:pPr>
                      <w:ind w:left="20"/>
                      <w:spacing w:before="250" w:line="183" w:lineRule="auto"/>
                      <w:rPr>
                        <w:rFonts w:ascii="SimSun" w:hAnsi="SimSun" w:eastAsia="SimSun" w:cs="SimSun"/>
                        <w:sz w:val="18"/>
                        <w:szCs w:val="18"/>
                      </w:rPr>
                    </w:pPr>
                    <w:r>
                      <w:rPr>
                        <w:rFonts w:ascii="SimSun" w:hAnsi="SimSun" w:eastAsia="SimSun" w:cs="SimSun"/>
                        <w:sz w:val="18"/>
                        <w:szCs w:val="18"/>
                        <w:spacing w:val="-12"/>
                      </w:rPr>
                      <w:t>过程</w:t>
                    </w:r>
                  </w:p>
                  <w:p>
                    <w:pPr>
                      <w:ind w:left="5840"/>
                      <w:spacing w:line="182" w:lineRule="auto"/>
                      <w:rPr>
                        <w:rFonts w:ascii="SimSun" w:hAnsi="SimSun" w:eastAsia="SimSun" w:cs="SimSun"/>
                        <w:sz w:val="12"/>
                        <w:szCs w:val="12"/>
                      </w:rPr>
                    </w:pPr>
                    <w:r>
                      <w:rPr>
                        <w:rFonts w:ascii="SimSun" w:hAnsi="SimSun" w:eastAsia="SimSun" w:cs="SimSun"/>
                        <w:sz w:val="12"/>
                        <w:szCs w:val="12"/>
                        <w:spacing w:val="-4"/>
                      </w:rPr>
                      <w:t>10</w:t>
                    </w:r>
                  </w:p>
                  <w:p>
                    <w:pPr>
                      <w:spacing w:line="471" w:lineRule="auto"/>
                      <w:rPr>
                        <w:rFonts w:ascii="Arial"/>
                        <w:sz w:val="21"/>
                      </w:rPr>
                    </w:pPr>
                    <w:r/>
                  </w:p>
                  <w:p>
                    <w:pPr>
                      <w:ind w:left="2860"/>
                      <w:spacing w:before="59" w:line="219" w:lineRule="auto"/>
                      <w:rPr>
                        <w:rFonts w:ascii="SimSun" w:hAnsi="SimSun" w:eastAsia="SimSun" w:cs="SimSun"/>
                        <w:sz w:val="18"/>
                        <w:szCs w:val="18"/>
                      </w:rPr>
                    </w:pPr>
                    <w:r>
                      <w:rPr>
                        <w:rFonts w:ascii="SimSun" w:hAnsi="SimSun" w:eastAsia="SimSun" w:cs="SimSun"/>
                        <w:sz w:val="18"/>
                        <w:szCs w:val="18"/>
                        <w:spacing w:val="-14"/>
                        <w:w w:val="94"/>
                      </w:rPr>
                      <w:t>数据相关的业务与</w:t>
                    </w:r>
                    <w:r>
                      <w:rPr>
                        <w:rFonts w:ascii="Times New Roman" w:hAnsi="Times New Roman" w:eastAsia="Times New Roman" w:cs="Times New Roman"/>
                        <w:sz w:val="18"/>
                        <w:szCs w:val="18"/>
                        <w:spacing w:val="-14"/>
                        <w:w w:val="94"/>
                      </w:rPr>
                      <w:t>IT</w:t>
                    </w:r>
                    <w:r>
                      <w:rPr>
                        <w:rFonts w:ascii="SimSun" w:hAnsi="SimSun" w:eastAsia="SimSun" w:cs="SimSun"/>
                        <w:sz w:val="18"/>
                        <w:szCs w:val="18"/>
                        <w:spacing w:val="-14"/>
                        <w:w w:val="94"/>
                      </w:rPr>
                      <w:t>过程</w:t>
                    </w:r>
                  </w:p>
                </w:txbxContent>
              </v:textbox>
            </v:shape>
            <v:shape id="_x0000_s70" style="position:absolute;left:5729;top:1727;width:659;height:9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4"/>
                        <w:w w:val="99"/>
                      </w:rPr>
                      <w:t>决策权</w:t>
                    </w:r>
                  </w:p>
                  <w:p>
                    <w:pPr>
                      <w:spacing w:before="156" w:line="220" w:lineRule="auto"/>
                      <w:jc w:val="right"/>
                      <w:rPr>
                        <w:rFonts w:ascii="SimSun" w:hAnsi="SimSun" w:eastAsia="SimSun" w:cs="SimSun"/>
                        <w:sz w:val="18"/>
                        <w:szCs w:val="18"/>
                      </w:rPr>
                    </w:pPr>
                    <w:r>
                      <w:rPr>
                        <w:rFonts w:ascii="SimSun" w:hAnsi="SimSun" w:eastAsia="SimSun" w:cs="SimSun"/>
                        <w:sz w:val="18"/>
                        <w:szCs w:val="18"/>
                        <w:spacing w:val="-20"/>
                        <w:w w:val="95"/>
                      </w:rPr>
                      <w:t>职</w:t>
                    </w:r>
                    <w:r>
                      <w:rPr>
                        <w:rFonts w:ascii="SimSun" w:hAnsi="SimSun" w:eastAsia="SimSun" w:cs="SimSun"/>
                        <w:sz w:val="18"/>
                        <w:szCs w:val="18"/>
                        <w:spacing w:val="-19"/>
                        <w:w w:val="95"/>
                      </w:rPr>
                      <w:t>责分</w:t>
                    </w:r>
                    <w:r>
                      <w:rPr>
                        <w:rFonts w:ascii="SimSun" w:hAnsi="SimSun" w:eastAsia="SimSun" w:cs="SimSun"/>
                        <w:sz w:val="18"/>
                        <w:szCs w:val="18"/>
                        <w:spacing w:val="-10"/>
                        <w:w w:val="95"/>
                      </w:rPr>
                      <w:t>工</w:t>
                    </w:r>
                  </w:p>
                  <w:p>
                    <w:pPr>
                      <w:ind w:left="20"/>
                      <w:spacing w:before="165" w:line="220" w:lineRule="auto"/>
                      <w:rPr>
                        <w:rFonts w:ascii="SimSun" w:hAnsi="SimSun" w:eastAsia="SimSun" w:cs="SimSun"/>
                        <w:sz w:val="18"/>
                        <w:szCs w:val="18"/>
                      </w:rPr>
                    </w:pPr>
                    <w:r>
                      <w:rPr>
                        <w:rFonts w:ascii="SimSun" w:hAnsi="SimSun" w:eastAsia="SimSun" w:cs="SimSun"/>
                        <w:sz w:val="18"/>
                        <w:szCs w:val="18"/>
                        <w:spacing w:val="-12"/>
                      </w:rPr>
                      <w:t>控制</w:t>
                    </w:r>
                  </w:p>
                </w:txbxContent>
              </v:textbox>
            </v:shape>
            <v:shape id="_x0000_s72" style="position:absolute;left:4820;top:385;width:635;height:590;" filled="false" stroked="false" type="#_x0000_t202">
              <v:fill on="false"/>
              <v:stroke on="false"/>
              <v:path/>
              <v:imagedata o:title=""/>
              <o:lock v:ext="edit" aspectratio="false"/>
              <v:textbox inset="0mm,0mm,0mm,0mm">
                <w:txbxContent>
                  <w:p>
                    <w:pPr>
                      <w:ind w:left="380"/>
                      <w:spacing w:before="20" w:line="183" w:lineRule="auto"/>
                      <w:rPr>
                        <w:rFonts w:ascii="SimSun" w:hAnsi="SimSun" w:eastAsia="SimSun" w:cs="SimSun"/>
                        <w:sz w:val="12"/>
                        <w:szCs w:val="12"/>
                      </w:rPr>
                    </w:pPr>
                    <w:r>
                      <w:rPr>
                        <w:rFonts w:ascii="SimSun" w:hAnsi="SimSun" w:eastAsia="SimSun" w:cs="SimSun"/>
                        <w:sz w:val="12"/>
                        <w:szCs w:val="12"/>
                        <w:color w:val="FFFFFF"/>
                      </w:rPr>
                      <w:t>8</w:t>
                    </w:r>
                  </w:p>
                  <w:p>
                    <w:pPr>
                      <w:spacing w:before="72" w:line="184" w:lineRule="auto"/>
                      <w:jc w:val="right"/>
                      <w:rPr>
                        <w:rFonts w:ascii="SimSun" w:hAnsi="SimSun" w:eastAsia="SimSun" w:cs="SimSun"/>
                        <w:sz w:val="18"/>
                        <w:szCs w:val="18"/>
                      </w:rPr>
                    </w:pPr>
                    <w:r>
                      <w:rPr>
                        <w:rFonts w:ascii="SimSun" w:hAnsi="SimSun" w:eastAsia="SimSun" w:cs="SimSun"/>
                        <w:sz w:val="18"/>
                        <w:szCs w:val="18"/>
                        <w:spacing w:val="-15"/>
                        <w:w w:val="89"/>
                      </w:rPr>
                      <w:t>数据管</w:t>
                    </w:r>
                    <w:r>
                      <w:rPr>
                        <w:rFonts w:ascii="SimSun" w:hAnsi="SimSun" w:eastAsia="SimSun" w:cs="SimSun"/>
                        <w:sz w:val="18"/>
                        <w:szCs w:val="18"/>
                        <w:spacing w:val="-7"/>
                        <w:w w:val="89"/>
                      </w:rPr>
                      <w:t>理</w:t>
                    </w:r>
                  </w:p>
                  <w:p>
                    <w:pPr>
                      <w:ind w:left="119"/>
                      <w:spacing w:line="218" w:lineRule="auto"/>
                      <w:rPr>
                        <w:rFonts w:ascii="SimSun" w:hAnsi="SimSun" w:eastAsia="SimSun" w:cs="SimSun"/>
                        <w:sz w:val="18"/>
                        <w:szCs w:val="18"/>
                      </w:rPr>
                    </w:pPr>
                    <w:r>
                      <w:rPr>
                        <w:rFonts w:ascii="SimSun" w:hAnsi="SimSun" w:eastAsia="SimSun" w:cs="SimSun"/>
                        <w:sz w:val="18"/>
                        <w:szCs w:val="18"/>
                        <w:spacing w:val="-17"/>
                      </w:rPr>
                      <w:t>委员会</w:t>
                    </w:r>
                  </w:p>
                </w:txbxContent>
              </v:textbox>
            </v:shape>
            <v:shape id="_x0000_s74" style="position:absolute;left:-20;top:438;width:799;height:420;" filled="false" stroked="false" type="#_x0000_t202">
              <v:fill on="false"/>
              <v:stroke on="false"/>
              <v:path/>
              <v:imagedata o:title=""/>
              <o:lock v:ext="edit" aspectratio="false"/>
              <v:textbox inset="0mm,0mm,0mm,0mm">
                <w:txbxContent>
                  <w:p>
                    <w:pPr>
                      <w:spacing w:before="20" w:line="204" w:lineRule="auto"/>
                      <w:jc w:val="right"/>
                      <w:rPr>
                        <w:rFonts w:ascii="SimSun" w:hAnsi="SimSun" w:eastAsia="SimSun" w:cs="SimSun"/>
                        <w:sz w:val="18"/>
                        <w:szCs w:val="18"/>
                      </w:rPr>
                    </w:pPr>
                    <w:r>
                      <w:rPr>
                        <w:rFonts w:ascii="SimSun" w:hAnsi="SimSun" w:eastAsia="SimSun" w:cs="SimSun"/>
                        <w:sz w:val="18"/>
                        <w:szCs w:val="18"/>
                        <w:spacing w:val="-19"/>
                        <w:w w:val="93"/>
                      </w:rPr>
                      <w:t>人员与</w:t>
                    </w:r>
                    <w:r>
                      <w:rPr>
                        <w:rFonts w:ascii="SimSun" w:hAnsi="SimSun" w:eastAsia="SimSun" w:cs="SimSun"/>
                        <w:sz w:val="18"/>
                        <w:szCs w:val="18"/>
                        <w:spacing w:val="-18"/>
                        <w:w w:val="93"/>
                      </w:rPr>
                      <w:t>组</w:t>
                    </w:r>
                    <w:r>
                      <w:rPr>
                        <w:rFonts w:ascii="SimSun" w:hAnsi="SimSun" w:eastAsia="SimSun" w:cs="SimSun"/>
                        <w:sz w:val="18"/>
                        <w:szCs w:val="18"/>
                        <w:spacing w:val="-10"/>
                        <w:w w:val="93"/>
                      </w:rPr>
                      <w:t>织</w:t>
                    </w:r>
                  </w:p>
                  <w:p>
                    <w:pPr>
                      <w:ind w:left="230"/>
                      <w:spacing w:line="220" w:lineRule="auto"/>
                      <w:rPr>
                        <w:rFonts w:ascii="SimSun" w:hAnsi="SimSun" w:eastAsia="SimSun" w:cs="SimSun"/>
                        <w:sz w:val="18"/>
                        <w:szCs w:val="18"/>
                      </w:rPr>
                    </w:pPr>
                    <w:r>
                      <w:rPr>
                        <w:rFonts w:ascii="SimSun" w:hAnsi="SimSun" w:eastAsia="SimSun" w:cs="SimSun"/>
                        <w:sz w:val="18"/>
                        <w:szCs w:val="18"/>
                        <w:spacing w:val="-3"/>
                      </w:rPr>
                      <w:t>结构</w:t>
                    </w:r>
                  </w:p>
                </w:txbxContent>
              </v:textbox>
            </v:shape>
            <v:shape id="_x0000_s76" style="position:absolute;left:-20;top:1907;width:804;height:400;" filled="false" stroked="false" type="#_x0000_t202">
              <v:fill on="false"/>
              <v:stroke on="false"/>
              <v:path/>
              <v:imagedata o:title=""/>
              <o:lock v:ext="edit" aspectratio="false"/>
              <v:textbox inset="0mm,0mm,0mm,0mm">
                <w:txbxContent>
                  <w:p>
                    <w:pPr>
                      <w:spacing w:before="19" w:line="185" w:lineRule="auto"/>
                      <w:jc w:val="right"/>
                      <w:rPr>
                        <w:rFonts w:ascii="SimSun" w:hAnsi="SimSun" w:eastAsia="SimSun" w:cs="SimSun"/>
                        <w:sz w:val="18"/>
                        <w:szCs w:val="18"/>
                      </w:rPr>
                    </w:pPr>
                    <w:r>
                      <w:rPr>
                        <w:rFonts w:ascii="SimSun" w:hAnsi="SimSun" w:eastAsia="SimSun" w:cs="SimSun"/>
                        <w:sz w:val="18"/>
                        <w:szCs w:val="18"/>
                        <w:spacing w:val="-21"/>
                        <w:w w:val="95"/>
                      </w:rPr>
                      <w:t>规则与</w:t>
                    </w:r>
                    <w:r>
                      <w:rPr>
                        <w:rFonts w:ascii="SimSun" w:hAnsi="SimSun" w:eastAsia="SimSun" w:cs="SimSun"/>
                        <w:sz w:val="18"/>
                        <w:szCs w:val="18"/>
                        <w:spacing w:val="-20"/>
                        <w:w w:val="95"/>
                      </w:rPr>
                      <w:t>协</w:t>
                    </w:r>
                    <w:r>
                      <w:rPr>
                        <w:rFonts w:ascii="SimSun" w:hAnsi="SimSun" w:eastAsia="SimSun" w:cs="SimSun"/>
                        <w:sz w:val="18"/>
                        <w:szCs w:val="18"/>
                        <w:spacing w:val="-17"/>
                        <w:w w:val="95"/>
                      </w:rPr>
                      <w:t>同</w:t>
                    </w:r>
                  </w:p>
                  <w:p>
                    <w:pPr>
                      <w:ind w:left="110"/>
                      <w:spacing w:line="220" w:lineRule="auto"/>
                      <w:rPr>
                        <w:rFonts w:ascii="SimSun" w:hAnsi="SimSun" w:eastAsia="SimSun" w:cs="SimSun"/>
                        <w:sz w:val="18"/>
                        <w:szCs w:val="18"/>
                      </w:rPr>
                    </w:pPr>
                    <w:r>
                      <w:rPr>
                        <w:rFonts w:ascii="SimSun" w:hAnsi="SimSun" w:eastAsia="SimSun" w:cs="SimSun"/>
                        <w:sz w:val="18"/>
                        <w:szCs w:val="18"/>
                        <w:spacing w:val="-16"/>
                        <w:w w:val="97"/>
                      </w:rPr>
                      <w:t>工作规范</w:t>
                    </w:r>
                  </w:p>
                </w:txbxContent>
              </v:textbox>
            </v:shape>
            <v:shape id="_x0000_s78" style="position:absolute;left:5820;top:577;width:519;height:402;" filled="false" stroked="false" type="#_x0000_t202">
              <v:fill on="false"/>
              <v:stroke on="false"/>
              <v:path/>
              <v:imagedata o:title=""/>
              <o:lock v:ext="edit" aspectratio="false"/>
              <v:textbox inset="0mm,0mm,0mm,0mm">
                <w:txbxContent>
                  <w:p>
                    <w:pPr>
                      <w:spacing w:before="20" w:line="186" w:lineRule="auto"/>
                      <w:jc w:val="right"/>
                      <w:rPr>
                        <w:rFonts w:ascii="SimSun" w:hAnsi="SimSun" w:eastAsia="SimSun" w:cs="SimSun"/>
                        <w:sz w:val="18"/>
                        <w:szCs w:val="18"/>
                      </w:rPr>
                    </w:pPr>
                    <w:r>
                      <w:rPr>
                        <w:rFonts w:ascii="SimSun" w:hAnsi="SimSun" w:eastAsia="SimSun" w:cs="SimSun"/>
                        <w:sz w:val="18"/>
                        <w:szCs w:val="18"/>
                        <w:color w:val="FFFFFF"/>
                        <w:spacing w:val="-18"/>
                        <w:w w:val="97"/>
                      </w:rPr>
                      <w:t>数</w:t>
                    </w:r>
                    <w:r>
                      <w:rPr>
                        <w:rFonts w:ascii="SimSun" w:hAnsi="SimSun" w:eastAsia="SimSun" w:cs="SimSun"/>
                        <w:sz w:val="18"/>
                        <w:szCs w:val="18"/>
                        <w:color w:val="FFFFFF"/>
                        <w:spacing w:val="-17"/>
                        <w:w w:val="97"/>
                      </w:rPr>
                      <w:t>据</w:t>
                    </w:r>
                    <w:r>
                      <w:rPr>
                        <w:rFonts w:ascii="SimSun" w:hAnsi="SimSun" w:eastAsia="SimSun" w:cs="SimSun"/>
                        <w:sz w:val="18"/>
                        <w:szCs w:val="18"/>
                        <w:color w:val="FFFFFF"/>
                        <w:spacing w:val="-10"/>
                        <w:w w:val="97"/>
                      </w:rPr>
                      <w:t>管</w:t>
                    </w:r>
                  </w:p>
                  <w:p>
                    <w:pPr>
                      <w:ind w:left="100"/>
                      <w:spacing w:line="220" w:lineRule="auto"/>
                      <w:rPr>
                        <w:rFonts w:ascii="SimSun" w:hAnsi="SimSun" w:eastAsia="SimSun" w:cs="SimSun"/>
                        <w:sz w:val="18"/>
                        <w:szCs w:val="18"/>
                      </w:rPr>
                    </w:pPr>
                    <w:r>
                      <w:rPr>
                        <w:rFonts w:ascii="SimSun" w:hAnsi="SimSun" w:eastAsia="SimSun" w:cs="SimSun"/>
                        <w:sz w:val="18"/>
                        <w:szCs w:val="18"/>
                        <w:spacing w:val="-3"/>
                      </w:rPr>
                      <w:t>理者</w:t>
                    </w:r>
                  </w:p>
                </w:txbxContent>
              </v:textbox>
            </v:shape>
            <v:shape id="_x0000_s80" style="position:absolute;left:4820;top:3947;width:92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5"/>
                        <w:w w:val="89"/>
                      </w:rPr>
                      <w:t>数</w:t>
                    </w:r>
                    <w:r>
                      <w:rPr>
                        <w:rFonts w:ascii="SimSun" w:hAnsi="SimSun" w:eastAsia="SimSun" w:cs="SimSun"/>
                        <w:sz w:val="18"/>
                        <w:szCs w:val="18"/>
                        <w:spacing w:val="-14"/>
                        <w:w w:val="89"/>
                      </w:rPr>
                      <w:t>据治理过</w:t>
                    </w:r>
                    <w:r>
                      <w:rPr>
                        <w:rFonts w:ascii="SimSun" w:hAnsi="SimSun" w:eastAsia="SimSun" w:cs="SimSun"/>
                        <w:sz w:val="18"/>
                        <w:szCs w:val="18"/>
                        <w:spacing w:val="-7"/>
                        <w:w w:val="89"/>
                      </w:rPr>
                      <w:t>程</w:t>
                    </w:r>
                  </w:p>
                </w:txbxContent>
              </v:textbox>
            </v:shape>
            <v:shape id="_x0000_s82" style="position:absolute;left:2159;top:1597;width:66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8"/>
                        <w:w w:val="95"/>
                      </w:rPr>
                      <w:t>数据</w:t>
                    </w:r>
                    <w:r>
                      <w:rPr>
                        <w:rFonts w:ascii="SimSun" w:hAnsi="SimSun" w:eastAsia="SimSun" w:cs="SimSun"/>
                        <w:sz w:val="18"/>
                        <w:szCs w:val="18"/>
                        <w:spacing w:val="-17"/>
                        <w:w w:val="95"/>
                      </w:rPr>
                      <w:t>治</w:t>
                    </w:r>
                    <w:r>
                      <w:rPr>
                        <w:rFonts w:ascii="SimSun" w:hAnsi="SimSun" w:eastAsia="SimSun" w:cs="SimSun"/>
                        <w:sz w:val="18"/>
                        <w:szCs w:val="18"/>
                        <w:spacing w:val="-7"/>
                        <w:w w:val="95"/>
                      </w:rPr>
                      <w:t>理</w:t>
                    </w:r>
                  </w:p>
                </w:txbxContent>
              </v:textbox>
            </v:shape>
            <v:shape id="_x0000_s84" style="position:absolute;left:2330;top:2367;width:392;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使命</w:t>
                    </w:r>
                  </w:p>
                </w:txbxContent>
              </v:textbox>
            </v:shape>
            <v:shape id="_x0000_s86" style="position:absolute;left:6259;top:365;width:95;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rPr>
                      <w:t>9</w:t>
                    </w:r>
                  </w:p>
                </w:txbxContent>
              </v:textbox>
            </v:shape>
            <v:shape id="_x0000_s88" style="position:absolute;left:6520;top:2166;width:93;height:123;"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2"/>
                        <w:szCs w:val="12"/>
                      </w:rPr>
                    </w:pPr>
                    <w:r>
                      <w:rPr>
                        <w:rFonts w:ascii="SimSun" w:hAnsi="SimSun" w:eastAsia="SimSun" w:cs="SimSun"/>
                        <w:sz w:val="12"/>
                        <w:szCs w:val="12"/>
                      </w:rPr>
                      <w:t>5</w:t>
                    </w:r>
                  </w:p>
                </w:txbxContent>
              </v:textbox>
            </v:shape>
            <v:shape id="_x0000_s90" style="position:absolute;left:2100;top:2265;width:86;height:123;" filled="false" stroked="false" type="#_x0000_t202">
              <v:fill on="false"/>
              <v:stroke on="false"/>
              <v:path/>
              <v:imagedata o:title=""/>
              <o:lock v:ext="edit" aspectratio="false"/>
              <v:textbox inset="0mm,0mm,0mm,0mm">
                <w:txbxContent>
                  <w:p>
                    <w:pPr>
                      <w:ind w:left="20"/>
                      <w:spacing w:before="19" w:line="157" w:lineRule="auto"/>
                      <w:rPr>
                        <w:rFonts w:ascii="SimSun" w:hAnsi="SimSun" w:eastAsia="SimSun" w:cs="SimSun"/>
                        <w:sz w:val="12"/>
                        <w:szCs w:val="12"/>
                      </w:rPr>
                    </w:pPr>
                    <w:r>
                      <w:rPr>
                        <w:rFonts w:ascii="SimSun" w:hAnsi="SimSun" w:eastAsia="SimSun" w:cs="SimSun"/>
                        <w:sz w:val="12"/>
                        <w:szCs w:val="12"/>
                      </w:rPr>
                      <w:t>1</w:t>
                    </w:r>
                  </w:p>
                </w:txbxContent>
              </v:textbox>
            </v:shape>
          </v:group>
        </w:pict>
      </w:r>
    </w:p>
    <w:p>
      <w:pPr>
        <w:ind w:left="3012"/>
        <w:spacing w:before="173" w:line="222" w:lineRule="auto"/>
        <w:rPr>
          <w:rFonts w:ascii="SimHei" w:hAnsi="SimHei" w:eastAsia="SimHei" w:cs="SimHei"/>
          <w:sz w:val="18"/>
          <w:szCs w:val="18"/>
        </w:rPr>
      </w:pPr>
      <w:r>
        <w:rPr>
          <w:rFonts w:ascii="SimHei" w:hAnsi="SimHei" w:eastAsia="SimHei" w:cs="SimHei"/>
          <w:sz w:val="18"/>
          <w:szCs w:val="18"/>
          <w:b/>
          <w:bCs/>
          <w:spacing w:val="-2"/>
        </w:rPr>
        <w:t>图1-6</w:t>
      </w:r>
      <w:r>
        <w:rPr>
          <w:rFonts w:ascii="SimHei" w:hAnsi="SimHei" w:eastAsia="SimHei" w:cs="SimHei"/>
          <w:sz w:val="18"/>
          <w:szCs w:val="18"/>
          <w:spacing w:val="94"/>
        </w:rPr>
        <w:t xml:space="preserve"> </w:t>
      </w:r>
      <w:r>
        <w:rPr>
          <w:rFonts w:ascii="Times New Roman" w:hAnsi="Times New Roman" w:eastAsia="Times New Roman" w:cs="Times New Roman"/>
          <w:sz w:val="18"/>
          <w:szCs w:val="18"/>
          <w:b/>
          <w:bCs/>
          <w:spacing w:val="-2"/>
        </w:rPr>
        <w:t>DGl</w:t>
      </w:r>
      <w:r>
        <w:rPr>
          <w:rFonts w:ascii="Times New Roman" w:hAnsi="Times New Roman" w:eastAsia="Times New Roman" w:cs="Times New Roman"/>
          <w:sz w:val="18"/>
          <w:szCs w:val="18"/>
          <w:b/>
          <w:bCs/>
          <w:spacing w:val="40"/>
          <w:w w:val="101"/>
        </w:rPr>
        <w:t xml:space="preserve"> </w:t>
      </w:r>
      <w:r>
        <w:rPr>
          <w:rFonts w:ascii="SimHei" w:hAnsi="SimHei" w:eastAsia="SimHei" w:cs="SimHei"/>
          <w:sz w:val="18"/>
          <w:szCs w:val="18"/>
          <w:b/>
          <w:bCs/>
          <w:spacing w:val="-2"/>
        </w:rPr>
        <w:t>数据治理框架</w:t>
      </w:r>
    </w:p>
    <w:p>
      <w:pPr>
        <w:ind w:left="170" w:right="44" w:firstLine="449"/>
        <w:spacing w:before="217" w:line="248" w:lineRule="auto"/>
        <w:rPr>
          <w:rFonts w:ascii="SimSun" w:hAnsi="SimSun" w:eastAsia="SimSun" w:cs="SimSun"/>
          <w:sz w:val="22"/>
          <w:szCs w:val="22"/>
        </w:rPr>
      </w:pPr>
      <w:r>
        <w:rPr>
          <w:rFonts w:ascii="SimSun" w:hAnsi="SimSun" w:eastAsia="SimSun" w:cs="SimSun"/>
          <w:sz w:val="22"/>
          <w:szCs w:val="22"/>
          <w:spacing w:val="-9"/>
        </w:rPr>
        <w:t>人员与组织结构即制订和执行数据治理规则和规范的组织结构，包含数据利益</w:t>
      </w:r>
      <w:r>
        <w:rPr>
          <w:rFonts w:ascii="SimSun" w:hAnsi="SimSun" w:eastAsia="SimSun" w:cs="SimSun"/>
          <w:sz w:val="22"/>
          <w:szCs w:val="22"/>
          <w:spacing w:val="4"/>
        </w:rPr>
        <w:t xml:space="preserve"> </w:t>
      </w:r>
      <w:r>
        <w:rPr>
          <w:rFonts w:ascii="SimSun" w:hAnsi="SimSun" w:eastAsia="SimSun" w:cs="SimSun"/>
          <w:sz w:val="22"/>
          <w:szCs w:val="22"/>
          <w:spacing w:val="-10"/>
        </w:rPr>
        <w:t>相关人、数据治理委员会和数据管理人。</w:t>
      </w:r>
    </w:p>
    <w:p>
      <w:pPr>
        <w:ind w:left="170" w:right="36" w:firstLine="449"/>
        <w:spacing w:before="97" w:line="247" w:lineRule="auto"/>
        <w:rPr>
          <w:rFonts w:ascii="SimSun" w:hAnsi="SimSun" w:eastAsia="SimSun" w:cs="SimSun"/>
          <w:sz w:val="22"/>
          <w:szCs w:val="22"/>
        </w:rPr>
      </w:pPr>
      <w:r>
        <w:rPr>
          <w:rFonts w:ascii="SimSun" w:hAnsi="SimSun" w:eastAsia="SimSun" w:cs="SimSun"/>
          <w:sz w:val="18"/>
          <w:szCs w:val="18"/>
          <w:spacing w:val="34"/>
        </w:rPr>
        <w:t>规则与协同工作规范即建立、协调和规范数据治理工作的规则(</w:t>
      </w:r>
      <w:r>
        <w:rPr>
          <w:rFonts w:ascii="SimSun" w:hAnsi="SimSun" w:eastAsia="SimSun" w:cs="SimSun"/>
          <w:sz w:val="18"/>
          <w:szCs w:val="18"/>
          <w:spacing w:val="33"/>
        </w:rPr>
        <w:t>包含政策、需</w:t>
      </w:r>
      <w:r>
        <w:rPr>
          <w:rFonts w:ascii="SimSun" w:hAnsi="SimSun" w:eastAsia="SimSun" w:cs="SimSun"/>
          <w:sz w:val="18"/>
          <w:szCs w:val="18"/>
        </w:rPr>
        <w:t xml:space="preserve"> </w:t>
      </w:r>
      <w:r>
        <w:rPr>
          <w:rFonts w:ascii="SimSun" w:hAnsi="SimSun" w:eastAsia="SimSun" w:cs="SimSun"/>
          <w:sz w:val="22"/>
          <w:szCs w:val="22"/>
          <w:spacing w:val="-8"/>
        </w:rPr>
        <w:t>求、标准、责任、控制和数据定义等),以及指导不同部门共同制订和执行规则的协</w:t>
      </w:r>
      <w:r>
        <w:rPr>
          <w:rFonts w:ascii="SimSun" w:hAnsi="SimSun" w:eastAsia="SimSun" w:cs="SimSun"/>
          <w:sz w:val="22"/>
          <w:szCs w:val="22"/>
          <w:spacing w:val="6"/>
        </w:rPr>
        <w:t xml:space="preserve"> </w:t>
      </w:r>
      <w:r>
        <w:rPr>
          <w:rFonts w:ascii="SimSun" w:hAnsi="SimSun" w:eastAsia="SimSun" w:cs="SimSun"/>
          <w:sz w:val="22"/>
          <w:szCs w:val="22"/>
          <w:spacing w:val="-5"/>
        </w:rPr>
        <w:t>同工作规范。包含使命、关注域(目标、指标/绩效度量、财务策略)、数据规则和</w:t>
      </w:r>
      <w:r>
        <w:rPr>
          <w:rFonts w:ascii="SimSun" w:hAnsi="SimSun" w:eastAsia="SimSun" w:cs="SimSun"/>
          <w:sz w:val="22"/>
          <w:szCs w:val="22"/>
          <w:spacing w:val="11"/>
        </w:rPr>
        <w:t xml:space="preserve"> </w:t>
      </w:r>
      <w:r>
        <w:rPr>
          <w:rFonts w:ascii="SimSun" w:hAnsi="SimSun" w:eastAsia="SimSun" w:cs="SimSun"/>
          <w:sz w:val="22"/>
          <w:szCs w:val="22"/>
          <w:spacing w:val="-11"/>
        </w:rPr>
        <w:t>定义、决策权、职责分工、控制六个组件。</w:t>
      </w:r>
    </w:p>
    <w:p>
      <w:pPr>
        <w:ind w:left="170" w:right="44" w:firstLine="449"/>
        <w:spacing w:before="59" w:line="248" w:lineRule="auto"/>
        <w:rPr>
          <w:rFonts w:ascii="SimSun" w:hAnsi="SimSun" w:eastAsia="SimSun" w:cs="SimSun"/>
          <w:sz w:val="22"/>
          <w:szCs w:val="22"/>
        </w:rPr>
      </w:pPr>
      <w:r>
        <w:rPr>
          <w:rFonts w:ascii="SimSun" w:hAnsi="SimSun" w:eastAsia="SimSun" w:cs="SimSun"/>
          <w:sz w:val="22"/>
          <w:szCs w:val="22"/>
          <w:spacing w:val="-9"/>
        </w:rPr>
        <w:t>过程即数据治理应遵循的工作步骤和流程，它应该是正式的、书面的、可重复</w:t>
      </w:r>
      <w:r>
        <w:rPr>
          <w:rFonts w:ascii="SimSun" w:hAnsi="SimSun" w:eastAsia="SimSun" w:cs="SimSun"/>
          <w:sz w:val="22"/>
          <w:szCs w:val="22"/>
          <w:spacing w:val="4"/>
        </w:rPr>
        <w:t xml:space="preserve"> </w:t>
      </w:r>
      <w:r>
        <w:rPr>
          <w:rFonts w:ascii="SimSun" w:hAnsi="SimSun" w:eastAsia="SimSun" w:cs="SimSun"/>
          <w:sz w:val="22"/>
          <w:szCs w:val="22"/>
          <w:spacing w:val="-11"/>
        </w:rPr>
        <w:t>的和可循环的。主要包括主动、被动和正在进行的数据治理过程。</w:t>
      </w:r>
    </w:p>
    <w:p>
      <w:pPr>
        <w:ind w:left="170" w:firstLine="449"/>
        <w:spacing w:before="87" w:line="250" w:lineRule="auto"/>
        <w:rPr>
          <w:rFonts w:ascii="SimSun" w:hAnsi="SimSun" w:eastAsia="SimSun" w:cs="SimSun"/>
          <w:sz w:val="22"/>
          <w:szCs w:val="22"/>
        </w:rPr>
      </w:pPr>
      <w:r>
        <w:rPr>
          <w:rFonts w:ascii="Times New Roman" w:hAnsi="Times New Roman" w:eastAsia="Times New Roman" w:cs="Times New Roman"/>
          <w:sz w:val="18"/>
          <w:szCs w:val="18"/>
        </w:rPr>
        <w:t>DGI</w:t>
      </w:r>
      <w:r>
        <w:rPr>
          <w:rFonts w:ascii="Times New Roman" w:hAnsi="Times New Roman" w:eastAsia="Times New Roman" w:cs="Times New Roman"/>
          <w:sz w:val="18"/>
          <w:szCs w:val="18"/>
          <w:spacing w:val="29"/>
        </w:rPr>
        <w:t xml:space="preserve">   </w:t>
      </w:r>
      <w:r>
        <w:rPr>
          <w:rFonts w:ascii="SimSun" w:hAnsi="SimSun" w:eastAsia="SimSun" w:cs="SimSun"/>
          <w:sz w:val="18"/>
          <w:szCs w:val="18"/>
          <w:spacing w:val="29"/>
        </w:rPr>
        <w:t>数据治理路线图指出数据治理实施生命周期应包含七个阶</w:t>
      </w:r>
      <w:r>
        <w:rPr>
          <w:rFonts w:ascii="SimSun" w:hAnsi="SimSun" w:eastAsia="SimSun" w:cs="SimSun"/>
          <w:sz w:val="18"/>
          <w:szCs w:val="18"/>
          <w:spacing w:val="28"/>
        </w:rPr>
        <w:t>段：建立价值目</w:t>
      </w:r>
      <w:r>
        <w:rPr>
          <w:rFonts w:ascii="SimSun" w:hAnsi="SimSun" w:eastAsia="SimSun" w:cs="SimSun"/>
          <w:sz w:val="18"/>
          <w:szCs w:val="18"/>
        </w:rPr>
        <w:t xml:space="preserve"> </w:t>
      </w:r>
      <w:r>
        <w:rPr>
          <w:rFonts w:ascii="SimSun" w:hAnsi="SimSun" w:eastAsia="SimSun" w:cs="SimSun"/>
          <w:sz w:val="22"/>
          <w:szCs w:val="22"/>
          <w:spacing w:val="-8"/>
        </w:rPr>
        <w:t>标、制订路线图、规划并提供资金、设计方案、部署方案、治理数据及</w:t>
      </w:r>
      <w:r>
        <w:rPr>
          <w:rFonts w:ascii="SimSun" w:hAnsi="SimSun" w:eastAsia="SimSun" w:cs="SimSun"/>
          <w:sz w:val="22"/>
          <w:szCs w:val="22"/>
          <w:spacing w:val="-9"/>
        </w:rPr>
        <w:t>监督、测量</w:t>
      </w:r>
      <w:r>
        <w:rPr>
          <w:rFonts w:ascii="SimSun" w:hAnsi="SimSun" w:eastAsia="SimSun" w:cs="SimSun"/>
          <w:sz w:val="22"/>
          <w:szCs w:val="22"/>
        </w:rPr>
        <w:t xml:space="preserve"> </w:t>
      </w:r>
      <w:r>
        <w:rPr>
          <w:rFonts w:ascii="SimSun" w:hAnsi="SimSun" w:eastAsia="SimSun" w:cs="SimSun"/>
          <w:sz w:val="22"/>
          <w:szCs w:val="22"/>
          <w:spacing w:val="-8"/>
        </w:rPr>
        <w:t>和报告。</w:t>
      </w:r>
    </w:p>
    <w:p>
      <w:pPr>
        <w:ind w:left="623"/>
        <w:spacing w:before="192" w:line="221" w:lineRule="auto"/>
        <w:outlineLvl w:val="1"/>
        <w:rPr>
          <w:rFonts w:ascii="YouYuan" w:hAnsi="YouYuan" w:eastAsia="YouYuan" w:cs="YouYuan"/>
          <w:sz w:val="22"/>
          <w:szCs w:val="22"/>
        </w:rPr>
      </w:pPr>
      <w:r>
        <w:rPr>
          <w:rFonts w:ascii="SimSun" w:hAnsi="SimSun" w:eastAsia="SimSun" w:cs="SimSun"/>
          <w:sz w:val="22"/>
          <w:szCs w:val="22"/>
          <w:b/>
          <w:bCs/>
          <w:spacing w:val="-3"/>
        </w:rPr>
        <w:t>4.IBM</w:t>
      </w:r>
      <w:r>
        <w:rPr>
          <w:rFonts w:ascii="SimSun" w:hAnsi="SimSun" w:eastAsia="SimSun" w:cs="SimSun"/>
          <w:sz w:val="22"/>
          <w:szCs w:val="22"/>
          <w:spacing w:val="97"/>
        </w:rPr>
        <w:t xml:space="preserve"> </w:t>
      </w:r>
      <w:r>
        <w:rPr>
          <w:rFonts w:ascii="YouYuan" w:hAnsi="YouYuan" w:eastAsia="YouYuan" w:cs="YouYuan"/>
          <w:sz w:val="22"/>
          <w:szCs w:val="22"/>
          <w:b/>
          <w:bCs/>
          <w:spacing w:val="-3"/>
        </w:rPr>
        <w:t>提出的数据治理成熟度模型</w:t>
      </w:r>
    </w:p>
    <w:p>
      <w:pPr>
        <w:ind w:left="170" w:right="26" w:firstLine="449"/>
        <w:spacing w:before="272" w:line="299" w:lineRule="auto"/>
        <w:jc w:val="both"/>
        <w:rPr>
          <w:rFonts w:ascii="SimSun" w:hAnsi="SimSun" w:eastAsia="SimSun" w:cs="SimSun"/>
          <w:sz w:val="18"/>
          <w:szCs w:val="18"/>
        </w:rPr>
      </w:pPr>
      <w:r>
        <w:rPr>
          <w:rFonts w:ascii="Times New Roman" w:hAnsi="Times New Roman" w:eastAsia="Times New Roman" w:cs="Times New Roman"/>
          <w:sz w:val="18"/>
          <w:szCs w:val="18"/>
        </w:rPr>
        <w:t>IBM</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5"/>
        </w:rPr>
        <w:t>在构建数据治理统</w:t>
      </w:r>
      <w:r>
        <w:rPr>
          <w:rFonts w:ascii="SimSun" w:hAnsi="SimSun" w:eastAsia="SimSun" w:cs="SimSun"/>
          <w:sz w:val="18"/>
          <w:szCs w:val="18"/>
          <w:spacing w:val="-50"/>
        </w:rPr>
        <w:t xml:space="preserve"> </w:t>
      </w:r>
      <w:r>
        <w:rPr>
          <w:rFonts w:ascii="SimSun" w:hAnsi="SimSun" w:eastAsia="SimSun" w:cs="SimSun"/>
          <w:sz w:val="18"/>
          <w:szCs w:val="18"/>
          <w:spacing w:val="25"/>
        </w:rPr>
        <w:t>一</w:t>
      </w:r>
      <w:r>
        <w:rPr>
          <w:rFonts w:ascii="SimSun" w:hAnsi="SimSun" w:eastAsia="SimSun" w:cs="SimSun"/>
          <w:sz w:val="18"/>
          <w:szCs w:val="18"/>
          <w:spacing w:val="-54"/>
        </w:rPr>
        <w:t xml:space="preserve"> </w:t>
      </w:r>
      <w:r>
        <w:rPr>
          <w:rFonts w:ascii="SimSun" w:hAnsi="SimSun" w:eastAsia="SimSun" w:cs="SimSun"/>
          <w:sz w:val="18"/>
          <w:szCs w:val="18"/>
          <w:spacing w:val="25"/>
        </w:rPr>
        <w:t>框架方面，提出了数据治理的要素模型(见图1-</w:t>
      </w:r>
      <w:r>
        <w:rPr>
          <w:rFonts w:ascii="SimSun" w:hAnsi="SimSun" w:eastAsia="SimSun" w:cs="SimSun"/>
          <w:sz w:val="18"/>
          <w:szCs w:val="18"/>
          <w:spacing w:val="-49"/>
        </w:rPr>
        <w:t xml:space="preserve"> </w:t>
      </w:r>
      <w:r>
        <w:rPr>
          <w:rFonts w:ascii="SimSun" w:hAnsi="SimSun" w:eastAsia="SimSun" w:cs="SimSun"/>
          <w:sz w:val="18"/>
          <w:szCs w:val="18"/>
          <w:spacing w:val="25"/>
        </w:rPr>
        <w:t>7),并</w:t>
      </w:r>
      <w:r>
        <w:rPr>
          <w:rFonts w:ascii="SimSun" w:hAnsi="SimSun" w:eastAsia="SimSun" w:cs="SimSun"/>
          <w:sz w:val="18"/>
          <w:szCs w:val="18"/>
        </w:rPr>
        <w:t xml:space="preserve"> </w:t>
      </w:r>
      <w:r>
        <w:rPr>
          <w:rFonts w:ascii="SimSun" w:hAnsi="SimSun" w:eastAsia="SimSun" w:cs="SimSun"/>
          <w:sz w:val="18"/>
          <w:szCs w:val="18"/>
          <w:spacing w:val="25"/>
        </w:rPr>
        <w:t>认为业务目标或成果是数据治理的最关键命题。整个数据治理统</w:t>
      </w:r>
      <w:r>
        <w:rPr>
          <w:rFonts w:ascii="SimSun" w:hAnsi="SimSun" w:eastAsia="SimSun" w:cs="SimSun"/>
          <w:sz w:val="18"/>
          <w:szCs w:val="18"/>
          <w:spacing w:val="-49"/>
        </w:rPr>
        <w:t xml:space="preserve"> </w:t>
      </w:r>
      <w:r>
        <w:rPr>
          <w:rFonts w:ascii="SimSun" w:hAnsi="SimSun" w:eastAsia="SimSun" w:cs="SimSun"/>
          <w:sz w:val="18"/>
          <w:szCs w:val="18"/>
          <w:spacing w:val="25"/>
        </w:rPr>
        <w:t>一流程需要以持续循</w:t>
      </w:r>
      <w:r>
        <w:rPr>
          <w:rFonts w:ascii="SimSun" w:hAnsi="SimSun" w:eastAsia="SimSun" w:cs="SimSun"/>
          <w:sz w:val="18"/>
          <w:szCs w:val="18"/>
        </w:rPr>
        <w:t xml:space="preserve"> </w:t>
      </w:r>
      <w:r>
        <w:rPr>
          <w:rFonts w:ascii="SimSun" w:hAnsi="SimSun" w:eastAsia="SimSun" w:cs="SimSun"/>
          <w:sz w:val="18"/>
          <w:szCs w:val="18"/>
          <w:spacing w:val="26"/>
        </w:rPr>
        <w:t>环的形式操作。该流程需要度量结果并循环回到高层支持者，以获得数据治理计划的</w:t>
      </w:r>
      <w:r>
        <w:rPr>
          <w:rFonts w:ascii="SimSun" w:hAnsi="SimSun" w:eastAsia="SimSun" w:cs="SimSun"/>
          <w:sz w:val="18"/>
          <w:szCs w:val="18"/>
          <w:spacing w:val="11"/>
        </w:rPr>
        <w:t xml:space="preserve"> </w:t>
      </w:r>
      <w:r>
        <w:rPr>
          <w:rFonts w:ascii="SimSun" w:hAnsi="SimSun" w:eastAsia="SimSun" w:cs="SimSun"/>
          <w:sz w:val="18"/>
          <w:szCs w:val="18"/>
          <w:spacing w:val="27"/>
        </w:rPr>
        <w:t>持续支持。在要素模型中组织结构和认知度、政策和数据</w:t>
      </w:r>
      <w:r>
        <w:rPr>
          <w:rFonts w:ascii="SimSun" w:hAnsi="SimSun" w:eastAsia="SimSun" w:cs="SimSun"/>
          <w:sz w:val="18"/>
          <w:szCs w:val="18"/>
          <w:spacing w:val="26"/>
        </w:rPr>
        <w:t>相关责任者三个促成因素会</w:t>
      </w:r>
      <w:r>
        <w:rPr>
          <w:rFonts w:ascii="SimSun" w:hAnsi="SimSun" w:eastAsia="SimSun" w:cs="SimSun"/>
          <w:sz w:val="18"/>
          <w:szCs w:val="18"/>
        </w:rPr>
        <w:t xml:space="preserve"> </w:t>
      </w:r>
      <w:r>
        <w:rPr>
          <w:rFonts w:ascii="SimSun" w:hAnsi="SimSun" w:eastAsia="SimSun" w:cs="SimSun"/>
          <w:sz w:val="18"/>
          <w:szCs w:val="18"/>
          <w:spacing w:val="23"/>
        </w:rPr>
        <w:t>影响业务目标的实现。除此之外，应当重点关注数据治理的核心要素和支撑要素。</w:t>
      </w:r>
    </w:p>
    <w:p>
      <w:pPr>
        <w:pStyle w:val="BodyText"/>
        <w:spacing w:line="277" w:lineRule="auto"/>
        <w:rPr/>
      </w:pPr>
      <w:r/>
    </w:p>
    <w:p>
      <w:pPr>
        <w:pStyle w:val="BodyText"/>
        <w:spacing w:line="277" w:lineRule="auto"/>
        <w:rPr/>
      </w:pPr>
      <w:r/>
    </w:p>
    <w:p>
      <w:pPr>
        <w:spacing w:before="19" w:line="212" w:lineRule="auto"/>
        <w:rPr>
          <w:rFonts w:ascii="SimSun" w:hAnsi="SimSun" w:eastAsia="SimSun" w:cs="SimSun"/>
          <w:sz w:val="6"/>
          <w:szCs w:val="6"/>
        </w:rPr>
      </w:pPr>
      <w:r>
        <w:rPr>
          <w:rFonts w:ascii="SimSun" w:hAnsi="SimSun" w:eastAsia="SimSun" w:cs="SimSun"/>
          <w:sz w:val="6"/>
          <w:szCs w:val="6"/>
          <w:spacing w:val="-1"/>
        </w:rPr>
        <w:t>40</w:t>
      </w:r>
    </w:p>
    <w:p>
      <w:pPr>
        <w:ind w:left="29"/>
        <w:spacing w:line="184"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1"/>
        </w:rPr>
        <w:t>[U</w:t>
      </w:r>
    </w:p>
    <w:p>
      <w:pPr>
        <w:spacing w:line="184" w:lineRule="auto"/>
        <w:sectPr>
          <w:footerReference w:type="default" r:id="rId14"/>
          <w:pgSz w:w="8870" w:h="13400"/>
          <w:pgMar w:top="400" w:right="685" w:bottom="400" w:left="339" w:header="0" w:footer="0" w:gutter="0"/>
        </w:sectPr>
        <w:rPr>
          <w:rFonts w:ascii="Times New Roman" w:hAnsi="Times New Roman" w:eastAsia="Times New Roman" w:cs="Times New Roman"/>
          <w:sz w:val="6"/>
          <w:szCs w:val="6"/>
        </w:rPr>
      </w:pPr>
    </w:p>
    <w:p>
      <w:pPr>
        <w:ind w:left="5473"/>
        <w:spacing w:before="164" w:line="219" w:lineRule="auto"/>
        <w:rPr>
          <w:rFonts w:ascii="SimSun" w:hAnsi="SimSun" w:eastAsia="SimSun" w:cs="SimSun"/>
          <w:sz w:val="22"/>
          <w:szCs w:val="22"/>
        </w:rPr>
      </w:pPr>
      <w:bookmarkStart w:name="bookmark10" w:id="5"/>
      <w:bookmarkEnd w:id="5"/>
      <w:r>
        <w:rPr>
          <w:rFonts w:ascii="SimSun" w:hAnsi="SimSun" w:eastAsia="SimSun" w:cs="SimSun"/>
          <w:sz w:val="22"/>
          <w:szCs w:val="22"/>
          <w:b/>
          <w:bCs/>
          <w:spacing w:val="6"/>
        </w:rPr>
        <w:t>第1章</w:t>
      </w:r>
      <w:r>
        <w:rPr>
          <w:rFonts w:ascii="SimSun" w:hAnsi="SimSun" w:eastAsia="SimSun" w:cs="SimSun"/>
          <w:sz w:val="22"/>
          <w:szCs w:val="22"/>
          <w:spacing w:val="116"/>
        </w:rPr>
        <w:t xml:space="preserve"> </w:t>
      </w:r>
      <w:r>
        <w:rPr>
          <w:rFonts w:ascii="SimSun" w:hAnsi="SimSun" w:eastAsia="SimSun" w:cs="SimSun"/>
          <w:sz w:val="22"/>
          <w:szCs w:val="22"/>
          <w:b/>
          <w:bCs/>
          <w:spacing w:val="6"/>
        </w:rPr>
        <w:t>数据治理概述</w:t>
      </w:r>
    </w:p>
    <w:p>
      <w:pPr>
        <w:pStyle w:val="BodyText"/>
        <w:spacing w:line="322" w:lineRule="auto"/>
        <w:rPr/>
      </w:pPr>
      <w:r/>
    </w:p>
    <w:p>
      <w:pPr>
        <w:pStyle w:val="BodyText"/>
        <w:ind w:firstLine="1089"/>
        <w:spacing w:line="4010" w:lineRule="exact"/>
        <w:rPr/>
      </w:pPr>
      <w:r>
        <w:rPr>
          <w:position w:val="-80"/>
        </w:rPr>
        <w:pict>
          <v:group id="_x0000_s92" style="mso-position-vertical-relative:line;mso-position-horizontal-relative:char;width:271.55pt;height:200.5pt;" filled="false" stroked="false" coordsize="5430,4010" coordorigin="0,0">
            <v:shape id="_x0000_s94" style="position:absolute;left:0;top:0;width:5430;height:4010;" filled="false" stroked="false" type="#_x0000_t75">
              <v:imagedata o:title="" r:id="rId61"/>
            </v:shape>
            <v:shape id="_x0000_s96" style="position:absolute;left:620;top:177;width:4312;height:3620;" filled="false" stroked="false" type="#_x0000_t202">
              <v:fill on="false"/>
              <v:stroke on="false"/>
              <v:path/>
              <v:imagedata o:title=""/>
              <o:lock v:ext="edit" aspectratio="false"/>
              <v:textbox inset="0mm,0mm,0mm,0mm">
                <w:txbxContent>
                  <w:p>
                    <w:pPr>
                      <w:ind w:left="1989"/>
                      <w:spacing w:before="20" w:line="220" w:lineRule="auto"/>
                      <w:rPr>
                        <w:rFonts w:ascii="SimSun" w:hAnsi="SimSun" w:eastAsia="SimSun" w:cs="SimSun"/>
                        <w:sz w:val="17"/>
                        <w:szCs w:val="17"/>
                      </w:rPr>
                    </w:pPr>
                    <w:r>
                      <w:rPr>
                        <w:rFonts w:ascii="SimSun" w:hAnsi="SimSun" w:eastAsia="SimSun" w:cs="SimSun"/>
                        <w:sz w:val="17"/>
                        <w:szCs w:val="17"/>
                        <w:spacing w:val="-2"/>
                      </w:rPr>
                      <w:t>成果</w:t>
                    </w:r>
                  </w:p>
                  <w:p>
                    <w:pPr>
                      <w:ind w:left="370"/>
                      <w:spacing w:before="166" w:line="219" w:lineRule="auto"/>
                      <w:rPr>
                        <w:rFonts w:ascii="SimSun" w:hAnsi="SimSun" w:eastAsia="SimSun" w:cs="SimSun"/>
                        <w:sz w:val="17"/>
                        <w:szCs w:val="17"/>
                      </w:rPr>
                    </w:pPr>
                    <w:r>
                      <w:rPr>
                        <w:rFonts w:ascii="SimSun" w:hAnsi="SimSun" w:eastAsia="SimSun" w:cs="SimSun"/>
                        <w:sz w:val="17"/>
                        <w:szCs w:val="17"/>
                        <w:spacing w:val="-15"/>
                        <w:w w:val="99"/>
                      </w:rPr>
                      <w:t>数据风险与合规</w:t>
                    </w:r>
                  </w:p>
                  <w:p>
                    <w:pPr>
                      <w:spacing w:line="310" w:lineRule="auto"/>
                      <w:rPr>
                        <w:rFonts w:ascii="Arial"/>
                        <w:sz w:val="21"/>
                      </w:rPr>
                    </w:pPr>
                    <w:r/>
                  </w:p>
                  <w:p>
                    <w:pPr>
                      <w:ind w:left="1809"/>
                      <w:spacing w:before="55" w:line="219" w:lineRule="auto"/>
                      <w:rPr>
                        <w:rFonts w:ascii="SimSun" w:hAnsi="SimSun" w:eastAsia="SimSun" w:cs="SimSun"/>
                        <w:sz w:val="17"/>
                        <w:szCs w:val="17"/>
                      </w:rPr>
                    </w:pPr>
                    <w:r>
                      <w:rPr>
                        <w:rFonts w:ascii="SimSun" w:hAnsi="SimSun" w:eastAsia="SimSun" w:cs="SimSun"/>
                        <w:sz w:val="17"/>
                        <w:szCs w:val="17"/>
                        <w:spacing w:val="-8"/>
                      </w:rPr>
                      <w:t>促成因素</w:t>
                    </w:r>
                  </w:p>
                  <w:p>
                    <w:pPr>
                      <w:ind w:left="100"/>
                      <w:spacing w:before="230" w:line="230" w:lineRule="auto"/>
                      <w:rPr>
                        <w:rFonts w:ascii="SimSun" w:hAnsi="SimSun" w:eastAsia="SimSun" w:cs="SimSun"/>
                        <w:sz w:val="17"/>
                        <w:szCs w:val="17"/>
                      </w:rPr>
                    </w:pPr>
                    <w:r>
                      <w:rPr>
                        <w:rFonts w:ascii="SimSun" w:hAnsi="SimSun" w:eastAsia="SimSun" w:cs="SimSun"/>
                        <w:sz w:val="17"/>
                        <w:szCs w:val="17"/>
                        <w:spacing w:val="-7"/>
                      </w:rPr>
                      <w:t>组织架构与意识          照管        </w:t>
                    </w:r>
                    <w:r>
                      <w:rPr>
                        <w:rFonts w:ascii="SimSun" w:hAnsi="SimSun" w:eastAsia="SimSun" w:cs="SimSun"/>
                        <w:sz w:val="17"/>
                        <w:szCs w:val="17"/>
                        <w:spacing w:val="-8"/>
                      </w:rPr>
                      <w:t xml:space="preserve">       </w:t>
                    </w:r>
                    <w:r>
                      <w:rPr>
                        <w:rFonts w:ascii="SimSun" w:hAnsi="SimSun" w:eastAsia="SimSun" w:cs="SimSun"/>
                        <w:sz w:val="17"/>
                        <w:szCs w:val="17"/>
                        <w:spacing w:val="-8"/>
                        <w:position w:val="1"/>
                      </w:rPr>
                      <w:t>策略</w:t>
                    </w:r>
                  </w:p>
                  <w:p>
                    <w:pPr>
                      <w:spacing w:line="330" w:lineRule="auto"/>
                      <w:rPr>
                        <w:rFonts w:ascii="Arial"/>
                        <w:sz w:val="21"/>
                      </w:rPr>
                    </w:pPr>
                    <w:r/>
                  </w:p>
                  <w:p>
                    <w:pPr>
                      <w:ind w:left="1989"/>
                      <w:spacing w:before="56" w:line="220" w:lineRule="auto"/>
                      <w:rPr>
                        <w:rFonts w:ascii="SimSun" w:hAnsi="SimSun" w:eastAsia="SimSun" w:cs="SimSun"/>
                        <w:sz w:val="17"/>
                        <w:szCs w:val="17"/>
                      </w:rPr>
                    </w:pPr>
                    <w:r>
                      <w:rPr>
                        <w:rFonts w:ascii="SimSun" w:hAnsi="SimSun" w:eastAsia="SimSun" w:cs="SimSun"/>
                        <w:sz w:val="17"/>
                        <w:szCs w:val="17"/>
                        <w:spacing w:val="-12"/>
                      </w:rPr>
                      <w:t>核心域</w:t>
                    </w:r>
                  </w:p>
                  <w:p>
                    <w:pPr>
                      <w:ind w:left="20"/>
                      <w:spacing w:before="226" w:line="230" w:lineRule="auto"/>
                      <w:rPr>
                        <w:rFonts w:ascii="SimSun" w:hAnsi="SimSun" w:eastAsia="SimSun" w:cs="SimSun"/>
                        <w:sz w:val="17"/>
                        <w:szCs w:val="17"/>
                      </w:rPr>
                    </w:pPr>
                    <w:r>
                      <w:rPr>
                        <w:rFonts w:ascii="SimSun" w:hAnsi="SimSun" w:eastAsia="SimSun" w:cs="SimSun"/>
                        <w:sz w:val="17"/>
                        <w:szCs w:val="17"/>
                        <w:spacing w:val="-14"/>
                        <w:w w:val="98"/>
                      </w:rPr>
                      <w:t>数据质量管理</w:t>
                    </w:r>
                    <w:r>
                      <w:rPr>
                        <w:rFonts w:ascii="SimSun" w:hAnsi="SimSun" w:eastAsia="SimSun" w:cs="SimSun"/>
                        <w:sz w:val="17"/>
                        <w:szCs w:val="17"/>
                        <w:spacing w:val="4"/>
                      </w:rPr>
                      <w:t xml:space="preserve">     </w:t>
                    </w:r>
                    <w:r>
                      <w:rPr>
                        <w:rFonts w:ascii="SimSun" w:hAnsi="SimSun" w:eastAsia="SimSun" w:cs="SimSun"/>
                        <w:sz w:val="17"/>
                        <w:szCs w:val="17"/>
                        <w:spacing w:val="-14"/>
                        <w:w w:val="98"/>
                      </w:rPr>
                      <w:t>数据生命周期管理</w:t>
                    </w:r>
                    <w:r>
                      <w:rPr>
                        <w:rFonts w:ascii="SimSun" w:hAnsi="SimSun" w:eastAsia="SimSun" w:cs="SimSun"/>
                        <w:sz w:val="17"/>
                        <w:szCs w:val="17"/>
                        <w:spacing w:val="2"/>
                      </w:rPr>
                      <w:t xml:space="preserve">      </w:t>
                    </w:r>
                    <w:r>
                      <w:rPr>
                        <w:rFonts w:ascii="SimSun" w:hAnsi="SimSun" w:eastAsia="SimSun" w:cs="SimSun"/>
                        <w:sz w:val="17"/>
                        <w:szCs w:val="17"/>
                        <w:spacing w:val="-14"/>
                        <w:w w:val="98"/>
                      </w:rPr>
                      <w:t>信息安全与隐私</w:t>
                    </w:r>
                  </w:p>
                  <w:p>
                    <w:pPr>
                      <w:spacing w:line="291" w:lineRule="auto"/>
                      <w:rPr>
                        <w:rFonts w:ascii="Arial"/>
                        <w:sz w:val="21"/>
                      </w:rPr>
                    </w:pPr>
                    <w:r/>
                  </w:p>
                  <w:p>
                    <w:pPr>
                      <w:ind w:left="1989"/>
                      <w:spacing w:before="55" w:line="219" w:lineRule="auto"/>
                      <w:rPr>
                        <w:rFonts w:ascii="SimSun" w:hAnsi="SimSun" w:eastAsia="SimSun" w:cs="SimSun"/>
                        <w:sz w:val="17"/>
                        <w:szCs w:val="17"/>
                      </w:rPr>
                    </w:pPr>
                    <w:r>
                      <w:rPr>
                        <w:rFonts w:ascii="SimSun" w:hAnsi="SimSun" w:eastAsia="SimSun" w:cs="SimSun"/>
                        <w:sz w:val="17"/>
                        <w:szCs w:val="17"/>
                        <w:spacing w:val="-12"/>
                      </w:rPr>
                      <w:t>支撑域</w:t>
                    </w:r>
                  </w:p>
                  <w:p>
                    <w:pPr>
                      <w:ind w:right="6"/>
                      <w:spacing w:before="227" w:line="230" w:lineRule="auto"/>
                      <w:jc w:val="right"/>
                      <w:rPr>
                        <w:rFonts w:ascii="SimSun" w:hAnsi="SimSun" w:eastAsia="SimSun" w:cs="SimSun"/>
                        <w:sz w:val="17"/>
                        <w:szCs w:val="17"/>
                      </w:rPr>
                    </w:pPr>
                    <w:r>
                      <w:rPr>
                        <w:rFonts w:ascii="SimSun" w:hAnsi="SimSun" w:eastAsia="SimSun" w:cs="SimSun"/>
                        <w:sz w:val="17"/>
                        <w:szCs w:val="17"/>
                        <w:spacing w:val="-13"/>
                      </w:rPr>
                      <w:t>数据架构          分类与元数据</w:t>
                    </w:r>
                    <w:r>
                      <w:rPr>
                        <w:rFonts w:ascii="SimSun" w:hAnsi="SimSun" w:eastAsia="SimSun" w:cs="SimSun"/>
                        <w:sz w:val="17"/>
                        <w:szCs w:val="17"/>
                        <w:spacing w:val="11"/>
                      </w:rPr>
                      <w:t xml:space="preserve">      </w:t>
                    </w:r>
                    <w:r>
                      <w:rPr>
                        <w:rFonts w:ascii="SimSun" w:hAnsi="SimSun" w:eastAsia="SimSun" w:cs="SimSun"/>
                        <w:sz w:val="17"/>
                        <w:szCs w:val="17"/>
                        <w:spacing w:val="-13"/>
                      </w:rPr>
                      <w:t>审计、日志与报告</w:t>
                    </w:r>
                  </w:p>
                </w:txbxContent>
              </v:textbox>
            </v:shape>
            <v:shape id="_x0000_s98" style="position:absolute;left:3460;top:535;width:656;height:2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13"/>
                      </w:rPr>
                      <w:t>价</w:t>
                    </w:r>
                    <w:r>
                      <w:rPr>
                        <w:rFonts w:ascii="SimSun" w:hAnsi="SimSun" w:eastAsia="SimSun" w:cs="SimSun"/>
                        <w:sz w:val="17"/>
                        <w:szCs w:val="17"/>
                        <w:spacing w:val="-12"/>
                      </w:rPr>
                      <w:t>值创</w:t>
                    </w:r>
                    <w:r>
                      <w:rPr>
                        <w:rFonts w:ascii="SimSun" w:hAnsi="SimSun" w:eastAsia="SimSun" w:cs="SimSun"/>
                        <w:sz w:val="17"/>
                        <w:szCs w:val="17"/>
                        <w:spacing w:val="-11"/>
                      </w:rPr>
                      <w:t>造</w:t>
                    </w:r>
                  </w:p>
                </w:txbxContent>
              </v:textbox>
            </v:shape>
          </v:group>
        </w:pict>
      </w:r>
    </w:p>
    <w:p>
      <w:pPr>
        <w:ind w:left="2589"/>
        <w:spacing w:before="165" w:line="222" w:lineRule="auto"/>
        <w:rPr>
          <w:rFonts w:ascii="SimHei" w:hAnsi="SimHei" w:eastAsia="SimHei" w:cs="SimHei"/>
          <w:sz w:val="17"/>
          <w:szCs w:val="17"/>
        </w:rPr>
      </w:pPr>
      <w:r>
        <w:rPr>
          <w:rFonts w:ascii="SimHei" w:hAnsi="SimHei" w:eastAsia="SimHei" w:cs="SimHei"/>
          <w:sz w:val="17"/>
          <w:szCs w:val="17"/>
          <w:spacing w:val="10"/>
        </w:rPr>
        <w:t>图1-7</w:t>
      </w:r>
      <w:r>
        <w:rPr>
          <w:rFonts w:ascii="SimHei" w:hAnsi="SimHei" w:eastAsia="SimHei" w:cs="SimHei"/>
          <w:sz w:val="17"/>
          <w:szCs w:val="17"/>
          <w:spacing w:val="4"/>
        </w:rPr>
        <w:t xml:space="preserve">  </w:t>
      </w:r>
      <w:r>
        <w:rPr>
          <w:rFonts w:ascii="Times New Roman" w:hAnsi="Times New Roman" w:eastAsia="Times New Roman" w:cs="Times New Roman"/>
          <w:sz w:val="17"/>
          <w:szCs w:val="17"/>
        </w:rPr>
        <w:t>IBM</w:t>
      </w:r>
      <w:r>
        <w:rPr>
          <w:rFonts w:ascii="Times New Roman" w:hAnsi="Times New Roman" w:eastAsia="Times New Roman" w:cs="Times New Roman"/>
          <w:sz w:val="17"/>
          <w:szCs w:val="17"/>
          <w:spacing w:val="10"/>
        </w:rPr>
        <w:t xml:space="preserve"> </w:t>
      </w:r>
      <w:r>
        <w:rPr>
          <w:rFonts w:ascii="SimHei" w:hAnsi="SimHei" w:eastAsia="SimHei" w:cs="SimHei"/>
          <w:sz w:val="17"/>
          <w:szCs w:val="17"/>
          <w:spacing w:val="10"/>
        </w:rPr>
        <w:t>数据治理要素模型</w:t>
      </w:r>
    </w:p>
    <w:p>
      <w:pPr>
        <w:ind w:right="193" w:firstLine="430"/>
        <w:spacing w:before="218" w:line="246" w:lineRule="auto"/>
        <w:jc w:val="both"/>
        <w:rPr>
          <w:rFonts w:ascii="SimSun" w:hAnsi="SimSun" w:eastAsia="SimSun" w:cs="SimSun"/>
          <w:sz w:val="22"/>
          <w:szCs w:val="22"/>
        </w:rPr>
      </w:pPr>
      <w:r>
        <w:rPr>
          <w:rFonts w:ascii="SimSun" w:hAnsi="SimSun" w:eastAsia="SimSun" w:cs="SimSun"/>
          <w:sz w:val="22"/>
          <w:szCs w:val="22"/>
          <w:spacing w:val="-9"/>
        </w:rPr>
        <w:t>每个组织应该执行一些步骤来治理自己的数据。</w:t>
      </w:r>
      <w:r>
        <w:rPr>
          <w:rFonts w:ascii="Times New Roman" w:hAnsi="Times New Roman" w:eastAsia="Times New Roman" w:cs="Times New Roman"/>
          <w:sz w:val="22"/>
          <w:szCs w:val="22"/>
          <w:spacing w:val="-9"/>
        </w:rPr>
        <w:t>IBM </w:t>
      </w:r>
      <w:r>
        <w:rPr>
          <w:rFonts w:ascii="SimSun" w:hAnsi="SimSun" w:eastAsia="SimSun" w:cs="SimSun"/>
          <w:sz w:val="22"/>
          <w:szCs w:val="22"/>
          <w:spacing w:val="-9"/>
        </w:rPr>
        <w:t>数据治理统一流程列出了</w:t>
      </w:r>
      <w:r>
        <w:rPr>
          <w:rFonts w:ascii="SimSun" w:hAnsi="SimSun" w:eastAsia="SimSun" w:cs="SimSun"/>
          <w:sz w:val="22"/>
          <w:szCs w:val="22"/>
        </w:rPr>
        <w:t xml:space="preserve"> </w:t>
      </w:r>
      <w:r>
        <w:rPr>
          <w:rFonts w:ascii="SimSun" w:hAnsi="SimSun" w:eastAsia="SimSun" w:cs="SimSun"/>
          <w:sz w:val="22"/>
          <w:szCs w:val="22"/>
          <w:spacing w:val="3"/>
        </w:rPr>
        <w:t>14个主要步骤(10个必需步骤和4个可选专题),以及支持有效的数据治理计划的</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5"/>
        </w:rPr>
        <w:t>IBM </w:t>
      </w:r>
      <w:r>
        <w:rPr>
          <w:rFonts w:ascii="SimSun" w:hAnsi="SimSun" w:eastAsia="SimSun" w:cs="SimSun"/>
          <w:sz w:val="22"/>
          <w:szCs w:val="22"/>
          <w:spacing w:val="-5"/>
        </w:rPr>
        <w:t>软件工具和最佳实践[8如图1-8所示。</w:t>
      </w:r>
    </w:p>
    <w:p>
      <w:pPr>
        <w:pStyle w:val="BodyText"/>
        <w:ind w:firstLine="519"/>
        <w:spacing w:before="72" w:line="3900" w:lineRule="exact"/>
        <w:rPr/>
      </w:pPr>
      <w:r>
        <w:rPr>
          <w:position w:val="-77"/>
        </w:rPr>
        <w:pict>
          <v:group id="_x0000_s100" style="mso-position-vertical-relative:line;mso-position-horizontal-relative:char;width:329.05pt;height:195pt;" filled="false" stroked="false" coordsize="6580,3900" coordorigin="0,0">
            <v:shape id="_x0000_s102" style="position:absolute;left:0;top:0;width:6580;height:3900;" filled="false" stroked="false" type="#_x0000_t75">
              <v:imagedata o:title="" r:id="rId62"/>
            </v:shape>
            <v:shape id="_x0000_s104" style="position:absolute;left:260;top:136;width:5885;height:3700;" filled="false" stroked="false" type="#_x0000_t202">
              <v:fill on="false"/>
              <v:stroke on="false"/>
              <v:path/>
              <v:imagedata o:title=""/>
              <o:lock v:ext="edit" aspectratio="false"/>
              <v:textbox inset="0mm,0mm,0mm,0mm">
                <w:txbxContent>
                  <w:p>
                    <w:pPr>
                      <w:ind w:left="20"/>
                      <w:spacing w:before="19" w:line="198" w:lineRule="auto"/>
                      <w:rPr>
                        <w:rFonts w:ascii="SimSun" w:hAnsi="SimSun" w:eastAsia="SimSun" w:cs="SimSun"/>
                        <w:sz w:val="17"/>
                        <w:szCs w:val="17"/>
                      </w:rPr>
                    </w:pPr>
                    <w:r>
                      <w:rPr>
                        <w:rFonts w:ascii="SimSun" w:hAnsi="SimSun" w:eastAsia="SimSun" w:cs="SimSun"/>
                        <w:sz w:val="17"/>
                        <w:szCs w:val="17"/>
                        <w:spacing w:val="-9"/>
                      </w:rPr>
                      <w:t>1.</w:t>
                    </w:r>
                    <w:r>
                      <w:rPr>
                        <w:rFonts w:ascii="SimSun" w:hAnsi="SimSun" w:eastAsia="SimSun" w:cs="SimSun"/>
                        <w:sz w:val="17"/>
                        <w:szCs w:val="17"/>
                        <w:spacing w:val="-24"/>
                      </w:rPr>
                      <w:t xml:space="preserve"> </w:t>
                    </w:r>
                    <w:r>
                      <w:rPr>
                        <w:rFonts w:ascii="SimSun" w:hAnsi="SimSun" w:eastAsia="SimSun" w:cs="SimSun"/>
                        <w:sz w:val="17"/>
                        <w:szCs w:val="17"/>
                        <w:spacing w:val="-9"/>
                      </w:rPr>
                      <w:t>定义业务</w:t>
                    </w:r>
                  </w:p>
                  <w:p>
                    <w:pPr>
                      <w:ind w:left="300"/>
                      <w:spacing w:line="221" w:lineRule="auto"/>
                      <w:rPr>
                        <w:rFonts w:ascii="SimSun" w:hAnsi="SimSun" w:eastAsia="SimSun" w:cs="SimSun"/>
                        <w:sz w:val="17"/>
                        <w:szCs w:val="17"/>
                      </w:rPr>
                    </w:pPr>
                    <w:r>
                      <w:rPr>
                        <w:rFonts w:ascii="SimSun" w:hAnsi="SimSun" w:eastAsia="SimSun" w:cs="SimSun"/>
                        <w:sz w:val="17"/>
                        <w:szCs w:val="17"/>
                        <w:spacing w:val="-7"/>
                      </w:rPr>
                      <w:t>问题</w:t>
                    </w:r>
                  </w:p>
                  <w:p>
                    <w:pPr>
                      <w:spacing w:line="466" w:lineRule="auto"/>
                      <w:rPr>
                        <w:rFonts w:ascii="Arial"/>
                        <w:sz w:val="21"/>
                      </w:rPr>
                    </w:pPr>
                    <w:r/>
                  </w:p>
                  <w:p>
                    <w:pPr>
                      <w:ind w:left="20"/>
                      <w:spacing w:before="56" w:line="185" w:lineRule="auto"/>
                      <w:rPr>
                        <w:rFonts w:ascii="SimSun" w:hAnsi="SimSun" w:eastAsia="SimSun" w:cs="SimSun"/>
                        <w:sz w:val="17"/>
                        <w:szCs w:val="17"/>
                      </w:rPr>
                    </w:pPr>
                    <w:r>
                      <w:rPr>
                        <w:rFonts w:ascii="SimSun" w:hAnsi="SimSun" w:eastAsia="SimSun" w:cs="SimSun"/>
                        <w:sz w:val="17"/>
                        <w:szCs w:val="17"/>
                        <w:spacing w:val="-9"/>
                      </w:rPr>
                      <w:t>5.</w:t>
                    </w:r>
                    <w:r>
                      <w:rPr>
                        <w:rFonts w:ascii="SimSun" w:hAnsi="SimSun" w:eastAsia="SimSun" w:cs="SimSun"/>
                        <w:sz w:val="17"/>
                        <w:szCs w:val="17"/>
                        <w:spacing w:val="-21"/>
                      </w:rPr>
                      <w:t xml:space="preserve"> </w:t>
                    </w:r>
                    <w:r>
                      <w:rPr>
                        <w:rFonts w:ascii="SimSun" w:hAnsi="SimSun" w:eastAsia="SimSun" w:cs="SimSun"/>
                        <w:sz w:val="17"/>
                        <w:szCs w:val="17"/>
                        <w:spacing w:val="-9"/>
                      </w:rPr>
                      <w:t>建立组织</w:t>
                    </w:r>
                  </w:p>
                  <w:p>
                    <w:pPr>
                      <w:ind w:left="300"/>
                      <w:spacing w:line="220" w:lineRule="auto"/>
                      <w:rPr>
                        <w:rFonts w:ascii="SimSun" w:hAnsi="SimSun" w:eastAsia="SimSun" w:cs="SimSun"/>
                        <w:sz w:val="17"/>
                        <w:szCs w:val="17"/>
                      </w:rPr>
                    </w:pPr>
                    <w:r>
                      <w:rPr>
                        <w:rFonts w:ascii="SimSun" w:hAnsi="SimSun" w:eastAsia="SimSun" w:cs="SimSun"/>
                        <w:sz w:val="17"/>
                        <w:szCs w:val="17"/>
                        <w:spacing w:val="-2"/>
                      </w:rPr>
                      <w:t>蓝图</w:t>
                    </w:r>
                  </w:p>
                  <w:p>
                    <w:pPr>
                      <w:spacing w:line="338"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4"/>
                      </w:rPr>
                      <w:t>主数据</w:t>
                    </w:r>
                  </w:p>
                  <w:p>
                    <w:pPr>
                      <w:ind w:left="549"/>
                      <w:spacing w:before="245" w:line="219" w:lineRule="auto"/>
                      <w:rPr>
                        <w:rFonts w:ascii="SimSun" w:hAnsi="SimSun" w:eastAsia="SimSun" w:cs="SimSun"/>
                        <w:sz w:val="8"/>
                        <w:szCs w:val="8"/>
                      </w:rPr>
                    </w:pPr>
                    <w:r>
                      <w:rPr>
                        <w:rFonts w:ascii="SimSun" w:hAnsi="SimSun" w:eastAsia="SimSun" w:cs="SimSun"/>
                        <w:sz w:val="8"/>
                        <w:szCs w:val="8"/>
                        <w:spacing w:val="-1"/>
                      </w:rPr>
                      <w:t>命娄</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5389" w:right="20" w:hanging="139"/>
                      <w:spacing w:before="56" w:line="202" w:lineRule="auto"/>
                      <w:rPr>
                        <w:rFonts w:ascii="SimSun" w:hAnsi="SimSun" w:eastAsia="SimSun" w:cs="SimSun"/>
                        <w:sz w:val="17"/>
                        <w:szCs w:val="17"/>
                      </w:rPr>
                    </w:pPr>
                    <w:r>
                      <w:rPr>
                        <w:rFonts w:ascii="SimSun" w:hAnsi="SimSun" w:eastAsia="SimSun" w:cs="SimSun"/>
                        <w:sz w:val="17"/>
                        <w:szCs w:val="17"/>
                        <w:spacing w:val="-6"/>
                      </w:rPr>
                      <w:t>14.</w:t>
                    </w:r>
                    <w:r>
                      <w:rPr>
                        <w:rFonts w:ascii="SimSun" w:hAnsi="SimSun" w:eastAsia="SimSun" w:cs="SimSun"/>
                        <w:sz w:val="17"/>
                        <w:szCs w:val="17"/>
                        <w:spacing w:val="-38"/>
                      </w:rPr>
                      <w:t xml:space="preserve"> </w:t>
                    </w:r>
                    <w:r>
                      <w:rPr>
                        <w:rFonts w:ascii="SimSun" w:hAnsi="SimSun" w:eastAsia="SimSun" w:cs="SimSun"/>
                        <w:sz w:val="17"/>
                        <w:szCs w:val="17"/>
                        <w:spacing w:val="-6"/>
                      </w:rPr>
                      <w:t>度量</w:t>
                    </w:r>
                    <w:r>
                      <w:rPr>
                        <w:rFonts w:ascii="SimSun" w:hAnsi="SimSun" w:eastAsia="SimSun" w:cs="SimSun"/>
                        <w:sz w:val="17"/>
                        <w:szCs w:val="17"/>
                      </w:rPr>
                      <w:t xml:space="preserve"> </w:t>
                    </w:r>
                    <w:r>
                      <w:rPr>
                        <w:rFonts w:ascii="SimSun" w:hAnsi="SimSun" w:eastAsia="SimSun" w:cs="SimSun"/>
                        <w:sz w:val="17"/>
                        <w:szCs w:val="17"/>
                        <w:spacing w:val="-3"/>
                      </w:rPr>
                      <w:t>结果</w:t>
                    </w:r>
                  </w:p>
                  <w:p>
                    <w:pPr>
                      <w:ind w:left="2089"/>
                      <w:spacing w:before="67" w:line="219" w:lineRule="auto"/>
                      <w:rPr>
                        <w:rFonts w:ascii="SimSun" w:hAnsi="SimSun" w:eastAsia="SimSun" w:cs="SimSun"/>
                        <w:sz w:val="17"/>
                        <w:szCs w:val="17"/>
                      </w:rPr>
                    </w:pPr>
                    <w:r>
                      <w:rPr>
                        <w:rFonts w:ascii="SimSun" w:hAnsi="SimSun" w:eastAsia="SimSun" w:cs="SimSun"/>
                        <w:sz w:val="17"/>
                        <w:szCs w:val="17"/>
                        <w:spacing w:val="-7"/>
                      </w:rPr>
                      <w:t>必要步骤                 可选步骤</w:t>
                    </w:r>
                  </w:p>
                </w:txbxContent>
              </v:textbox>
            </v:shape>
            <v:shape id="_x0000_s106" style="position:absolute;left:5309;top:2296;width:1003;height:380;" filled="false" stroked="false" type="#_x0000_t202">
              <v:fill on="false"/>
              <v:stroke on="false"/>
              <v:path/>
              <v:imagedata o:title=""/>
              <o:lock v:ext="edit" aspectratio="false"/>
              <v:textbox inset="0mm,0mm,0mm,0mm">
                <w:txbxContent>
                  <w:p>
                    <w:pPr>
                      <w:ind w:left="100" w:right="20" w:hanging="80"/>
                      <w:spacing w:before="19" w:line="203" w:lineRule="auto"/>
                      <w:rPr>
                        <w:rFonts w:ascii="SimSun" w:hAnsi="SimSun" w:eastAsia="SimSun" w:cs="SimSun"/>
                        <w:sz w:val="17"/>
                        <w:szCs w:val="17"/>
                      </w:rPr>
                    </w:pPr>
                    <w:r>
                      <w:rPr>
                        <w:rFonts w:ascii="SimSun" w:hAnsi="SimSun" w:eastAsia="SimSun" w:cs="SimSun"/>
                        <w:sz w:val="17"/>
                        <w:szCs w:val="17"/>
                        <w:spacing w:val="-8"/>
                      </w:rPr>
                      <w:t>113.</w:t>
                    </w:r>
                    <w:r>
                      <w:rPr>
                        <w:rFonts w:ascii="SimSun" w:hAnsi="SimSun" w:eastAsia="SimSun" w:cs="SimSun"/>
                        <w:sz w:val="17"/>
                        <w:szCs w:val="17"/>
                        <w:spacing w:val="-26"/>
                      </w:rPr>
                      <w:t xml:space="preserve"> </w:t>
                    </w:r>
                    <w:r>
                      <w:rPr>
                        <w:rFonts w:ascii="SimSun" w:hAnsi="SimSun" w:eastAsia="SimSun" w:cs="SimSun"/>
                        <w:sz w:val="17"/>
                        <w:szCs w:val="17"/>
                        <w:spacing w:val="-8"/>
                      </w:rPr>
                      <w:t>治理信</w:t>
                    </w:r>
                    <w:r>
                      <w:rPr>
                        <w:rFonts w:ascii="SimSun" w:hAnsi="SimSun" w:eastAsia="SimSun" w:cs="SimSun"/>
                        <w:sz w:val="17"/>
                        <w:szCs w:val="17"/>
                        <w:spacing w:val="-16"/>
                      </w:rPr>
                      <w:t xml:space="preserve"> </w:t>
                    </w:r>
                    <w:r>
                      <w:rPr>
                        <w:rFonts w:ascii="Times New Roman" w:hAnsi="Times New Roman" w:eastAsia="Times New Roman" w:cs="Times New Roman"/>
                        <w:sz w:val="17"/>
                        <w:szCs w:val="17"/>
                        <w:spacing w:val="-8"/>
                      </w:rPr>
                      <w:t>i</w:t>
                    </w:r>
                    <w:r>
                      <w:rPr>
                        <w:rFonts w:ascii="Times New Roman" w:hAnsi="Times New Roman" w:eastAsia="Times New Roman" w:cs="Times New Roman"/>
                        <w:sz w:val="17"/>
                        <w:szCs w:val="17"/>
                      </w:rPr>
                      <w:t xml:space="preserve"> </w:t>
                    </w:r>
                    <w:r>
                      <w:rPr>
                        <w:rFonts w:ascii="SimSun" w:hAnsi="SimSun" w:eastAsia="SimSun" w:cs="SimSun"/>
                        <w:sz w:val="17"/>
                        <w:szCs w:val="17"/>
                        <w:spacing w:val="-9"/>
                      </w:rPr>
                      <w:t>息生命周期1</w:t>
                    </w:r>
                  </w:p>
                </w:txbxContent>
              </v:textbox>
            </v:shape>
            <v:shape id="_x0000_s108" style="position:absolute;left:3530;top:2288;width:905;height:399;" filled="false" stroked="false" type="#_x0000_t202">
              <v:fill on="false"/>
              <v:stroke on="false"/>
              <v:path/>
              <v:imagedata o:title=""/>
              <o:lock v:ext="edit" aspectratio="false"/>
              <v:textbox inset="0mm,0mm,0mm,0mm">
                <w:txbxContent>
                  <w:p>
                    <w:pPr>
                      <w:ind w:left="88" w:right="20" w:hanging="69"/>
                      <w:spacing w:before="19" w:line="213" w:lineRule="auto"/>
                      <w:rPr>
                        <w:rFonts w:ascii="SimSun" w:hAnsi="SimSun" w:eastAsia="SimSun" w:cs="SimSun"/>
                        <w:sz w:val="17"/>
                        <w:szCs w:val="17"/>
                      </w:rPr>
                    </w:pPr>
                    <w:r>
                      <w:rPr>
                        <w:rFonts w:ascii="SimSun" w:hAnsi="SimSun" w:eastAsia="SimSun" w:cs="SimSun"/>
                        <w:sz w:val="17"/>
                        <w:szCs w:val="17"/>
                        <w:spacing w:val="-5"/>
                      </w:rPr>
                      <w:t>12.</w:t>
                    </w:r>
                    <w:r>
                      <w:rPr>
                        <w:rFonts w:ascii="SimSun" w:hAnsi="SimSun" w:eastAsia="SimSun" w:cs="SimSun"/>
                        <w:sz w:val="17"/>
                        <w:szCs w:val="17"/>
                        <w:spacing w:val="-37"/>
                      </w:rPr>
                      <w:t xml:space="preserve"> </w:t>
                    </w:r>
                    <w:r>
                      <w:rPr>
                        <w:rFonts w:ascii="SimSun" w:hAnsi="SimSun" w:eastAsia="SimSun" w:cs="SimSun"/>
                        <w:sz w:val="17"/>
                        <w:szCs w:val="17"/>
                        <w:spacing w:val="-5"/>
                      </w:rPr>
                      <w:t>管理安|</w:t>
                    </w:r>
                    <w:r>
                      <w:rPr>
                        <w:rFonts w:ascii="SimSun" w:hAnsi="SimSun" w:eastAsia="SimSun" w:cs="SimSun"/>
                        <w:sz w:val="17"/>
                        <w:szCs w:val="17"/>
                      </w:rPr>
                      <w:t xml:space="preserve"> </w:t>
                    </w:r>
                    <w:r>
                      <w:rPr>
                        <w:rFonts w:ascii="SimSun" w:hAnsi="SimSun" w:eastAsia="SimSun" w:cs="SimSun"/>
                        <w:sz w:val="17"/>
                        <w:szCs w:val="17"/>
                        <w:spacing w:val="-10"/>
                      </w:rPr>
                      <w:t>全和隐私</w:t>
                    </w:r>
                  </w:p>
                </w:txbxContent>
              </v:textbox>
            </v:shape>
            <v:shape id="_x0000_s110" style="position:absolute;left:5560;top:1057;width:950;height:380;" filled="false" stroked="false" type="#_x0000_t202">
              <v:fill on="false"/>
              <v:stroke on="false"/>
              <v:path/>
              <v:imagedata o:title=""/>
              <o:lock v:ext="edit" aspectratio="false"/>
              <v:textbox inset="0mm,0mm,0mm,0mm">
                <w:txbxContent>
                  <w:p>
                    <w:pPr>
                      <w:ind w:left="290" w:right="20" w:hanging="270"/>
                      <w:spacing w:before="20" w:line="202" w:lineRule="auto"/>
                      <w:rPr>
                        <w:rFonts w:ascii="SimSun" w:hAnsi="SimSun" w:eastAsia="SimSun" w:cs="SimSun"/>
                        <w:sz w:val="17"/>
                        <w:szCs w:val="17"/>
                      </w:rPr>
                    </w:pPr>
                    <w:r>
                      <w:rPr>
                        <w:rFonts w:ascii="SimSun" w:hAnsi="SimSun" w:eastAsia="SimSun" w:cs="SimSun"/>
                        <w:sz w:val="17"/>
                        <w:szCs w:val="17"/>
                        <w:spacing w:val="-4"/>
                      </w:rPr>
                      <w:t>9. 定义度量</w:t>
                    </w:r>
                    <w:r>
                      <w:rPr>
                        <w:rFonts w:ascii="SimSun" w:hAnsi="SimSun" w:eastAsia="SimSun" w:cs="SimSun"/>
                        <w:sz w:val="17"/>
                        <w:szCs w:val="17"/>
                        <w:spacing w:val="1"/>
                      </w:rPr>
                      <w:t xml:space="preserve"> </w:t>
                    </w:r>
                    <w:r>
                      <w:rPr>
                        <w:rFonts w:ascii="SimSun" w:hAnsi="SimSun" w:eastAsia="SimSun" w:cs="SimSun"/>
                        <w:sz w:val="17"/>
                        <w:szCs w:val="17"/>
                        <w:spacing w:val="-3"/>
                      </w:rPr>
                      <w:t>指标</w:t>
                    </w:r>
                  </w:p>
                </w:txbxContent>
              </v:textbox>
            </v:shape>
            <v:shape id="_x0000_s112" style="position:absolute;left:4239;top:1036;width:886;height:400;" filled="false" stroked="false" type="#_x0000_t202">
              <v:fill on="false"/>
              <v:stroke on="false"/>
              <v:path/>
              <v:imagedata o:title=""/>
              <o:lock v:ext="edit" aspectratio="false"/>
              <v:textbox inset="0mm,0mm,0mm,0mm">
                <w:txbxContent>
                  <w:p>
                    <w:pPr>
                      <w:ind w:left="100" w:right="20" w:hanging="80"/>
                      <w:spacing w:before="19" w:line="213" w:lineRule="auto"/>
                      <w:rPr>
                        <w:rFonts w:ascii="SimSun" w:hAnsi="SimSun" w:eastAsia="SimSun" w:cs="SimSun"/>
                        <w:sz w:val="17"/>
                        <w:szCs w:val="17"/>
                      </w:rPr>
                    </w:pPr>
                    <w:r>
                      <w:rPr>
                        <w:rFonts w:ascii="SimSun" w:hAnsi="SimSun" w:eastAsia="SimSun" w:cs="SimSun"/>
                        <w:sz w:val="17"/>
                        <w:szCs w:val="17"/>
                        <w:spacing w:val="-11"/>
                      </w:rPr>
                      <w:t>8.</w:t>
                    </w:r>
                    <w:r>
                      <w:rPr>
                        <w:rFonts w:ascii="SimSun" w:hAnsi="SimSun" w:eastAsia="SimSun" w:cs="SimSun"/>
                        <w:sz w:val="17"/>
                        <w:szCs w:val="17"/>
                        <w:spacing w:val="-24"/>
                      </w:rPr>
                      <w:t xml:space="preserve"> </w:t>
                    </w:r>
                    <w:r>
                      <w:rPr>
                        <w:rFonts w:ascii="SimSun" w:hAnsi="SimSun" w:eastAsia="SimSun" w:cs="SimSun"/>
                        <w:sz w:val="17"/>
                        <w:szCs w:val="17"/>
                        <w:spacing w:val="-11"/>
                      </w:rPr>
                      <w:t>创建元数</w:t>
                    </w:r>
                    <w:r>
                      <w:rPr>
                        <w:rFonts w:ascii="SimSun" w:hAnsi="SimSun" w:eastAsia="SimSun" w:cs="SimSun"/>
                        <w:sz w:val="17"/>
                        <w:szCs w:val="17"/>
                      </w:rPr>
                      <w:t xml:space="preserve"> </w:t>
                    </w:r>
                    <w:r>
                      <w:rPr>
                        <w:rFonts w:ascii="SimSun" w:hAnsi="SimSun" w:eastAsia="SimSun" w:cs="SimSun"/>
                        <w:sz w:val="17"/>
                        <w:szCs w:val="17"/>
                        <w:spacing w:val="-10"/>
                      </w:rPr>
                      <w:t>据存储库</w:t>
                    </w:r>
                  </w:p>
                </w:txbxContent>
              </v:textbox>
            </v:shape>
            <v:shape id="_x0000_s114" style="position:absolute;left:1589;top:1046;width:910;height:390;"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17"/>
                        <w:szCs w:val="17"/>
                      </w:rPr>
                    </w:pPr>
                    <w:r>
                      <w:rPr>
                        <w:rFonts w:ascii="SimSun" w:hAnsi="SimSun" w:eastAsia="SimSun" w:cs="SimSun"/>
                        <w:sz w:val="17"/>
                        <w:szCs w:val="17"/>
                        <w:spacing w:val="-9"/>
                      </w:rPr>
                      <w:t>6.</w:t>
                    </w:r>
                    <w:r>
                      <w:rPr>
                        <w:rFonts w:ascii="SimSun" w:hAnsi="SimSun" w:eastAsia="SimSun" w:cs="SimSun"/>
                        <w:sz w:val="17"/>
                        <w:szCs w:val="17"/>
                        <w:spacing w:val="-13"/>
                      </w:rPr>
                      <w:t xml:space="preserve"> </w:t>
                    </w:r>
                    <w:r>
                      <w:rPr>
                        <w:rFonts w:ascii="SimSun" w:hAnsi="SimSun" w:eastAsia="SimSun" w:cs="SimSun"/>
                        <w:sz w:val="17"/>
                        <w:szCs w:val="17"/>
                        <w:spacing w:val="-9"/>
                      </w:rPr>
                      <w:t>创建数据</w:t>
                    </w:r>
                    <w:r>
                      <w:rPr>
                        <w:rFonts w:ascii="SimSun" w:hAnsi="SimSun" w:eastAsia="SimSun" w:cs="SimSun"/>
                        <w:sz w:val="17"/>
                        <w:szCs w:val="17"/>
                      </w:rPr>
                      <w:t xml:space="preserve"> </w:t>
                    </w:r>
                    <w:r>
                      <w:rPr>
                        <w:rFonts w:ascii="SimSun" w:hAnsi="SimSun" w:eastAsia="SimSun" w:cs="SimSun"/>
                        <w:sz w:val="17"/>
                        <w:szCs w:val="17"/>
                        <w:spacing w:val="-2"/>
                      </w:rPr>
                      <w:t>字典</w:t>
                    </w:r>
                  </w:p>
                </w:txbxContent>
              </v:textbox>
            </v:shape>
            <v:shape id="_x0000_s116" style="position:absolute;left:1589;top:136;width:880;height:390;" filled="false" stroked="false" type="#_x0000_t202">
              <v:fill on="false"/>
              <v:stroke on="false"/>
              <v:path/>
              <v:imagedata o:title=""/>
              <o:lock v:ext="edit" aspectratio="false"/>
              <v:textbox inset="0mm,0mm,0mm,0mm">
                <w:txbxContent>
                  <w:p>
                    <w:pPr>
                      <w:ind w:left="300" w:right="20" w:hanging="280"/>
                      <w:spacing w:before="20" w:line="207" w:lineRule="auto"/>
                      <w:rPr>
                        <w:rFonts w:ascii="SimSun" w:hAnsi="SimSun" w:eastAsia="SimSun" w:cs="SimSun"/>
                        <w:sz w:val="17"/>
                        <w:szCs w:val="17"/>
                      </w:rPr>
                    </w:pPr>
                    <w:r>
                      <w:rPr>
                        <w:rFonts w:ascii="SimSun" w:hAnsi="SimSun" w:eastAsia="SimSun" w:cs="SimSun"/>
                        <w:sz w:val="17"/>
                        <w:szCs w:val="17"/>
                        <w:spacing w:val="-10"/>
                      </w:rPr>
                      <w:t>2.</w:t>
                    </w:r>
                    <w:r>
                      <w:rPr>
                        <w:rFonts w:ascii="SimSun" w:hAnsi="SimSun" w:eastAsia="SimSun" w:cs="SimSun"/>
                        <w:sz w:val="17"/>
                        <w:szCs w:val="17"/>
                        <w:spacing w:val="-37"/>
                      </w:rPr>
                      <w:t xml:space="preserve"> </w:t>
                    </w:r>
                    <w:r>
                      <w:rPr>
                        <w:rFonts w:ascii="SimSun" w:hAnsi="SimSun" w:eastAsia="SimSun" w:cs="SimSun"/>
                        <w:sz w:val="17"/>
                        <w:szCs w:val="17"/>
                        <w:spacing w:val="-10"/>
                      </w:rPr>
                      <w:t>获取高层</w:t>
                    </w:r>
                    <w:r>
                      <w:rPr>
                        <w:rFonts w:ascii="SimSun" w:hAnsi="SimSun" w:eastAsia="SimSun" w:cs="SimSun"/>
                        <w:sz w:val="17"/>
                        <w:szCs w:val="17"/>
                      </w:rPr>
                      <w:t xml:space="preserve"> </w:t>
                    </w:r>
                    <w:r>
                      <w:rPr>
                        <w:rFonts w:ascii="SimSun" w:hAnsi="SimSun" w:eastAsia="SimSun" w:cs="SimSun"/>
                        <w:sz w:val="17"/>
                        <w:szCs w:val="17"/>
                        <w:spacing w:val="-12"/>
                      </w:rPr>
                      <w:t>支持</w:t>
                    </w:r>
                  </w:p>
                </w:txbxContent>
              </v:textbox>
            </v:shape>
            <v:shape id="_x0000_s118" style="position:absolute;left:4320;top:116;width:764;height:410;" filled="false" stroked="false" type="#_x0000_t202">
              <v:fill on="false"/>
              <v:stroke on="false"/>
              <v:path/>
              <v:imagedata o:title=""/>
              <o:lock v:ext="edit" aspectratio="false"/>
              <v:textbox inset="0mm,0mm,0mm,0mm">
                <w:txbxContent>
                  <w:p>
                    <w:pPr>
                      <w:ind w:left="220" w:right="20" w:hanging="200"/>
                      <w:spacing w:before="19" w:line="219" w:lineRule="auto"/>
                      <w:rPr>
                        <w:rFonts w:ascii="SimSun" w:hAnsi="SimSun" w:eastAsia="SimSun" w:cs="SimSun"/>
                        <w:sz w:val="17"/>
                        <w:szCs w:val="17"/>
                      </w:rPr>
                    </w:pPr>
                    <w:r>
                      <w:rPr>
                        <w:rFonts w:ascii="SimSun" w:hAnsi="SimSun" w:eastAsia="SimSun" w:cs="SimSun"/>
                        <w:sz w:val="17"/>
                        <w:szCs w:val="17"/>
                        <w:spacing w:val="-3"/>
                      </w:rPr>
                      <w:t>4.</w:t>
                    </w:r>
                    <w:r>
                      <w:rPr>
                        <w:rFonts w:ascii="SimSun" w:hAnsi="SimSun" w:eastAsia="SimSun" w:cs="SimSun"/>
                        <w:sz w:val="17"/>
                        <w:szCs w:val="17"/>
                        <w:spacing w:val="-28"/>
                      </w:rPr>
                      <w:t xml:space="preserve"> </w:t>
                    </w:r>
                    <w:r>
                      <w:rPr>
                        <w:rFonts w:ascii="SimSun" w:hAnsi="SimSun" w:eastAsia="SimSun" w:cs="SimSun"/>
                        <w:sz w:val="17"/>
                        <w:szCs w:val="17"/>
                        <w:spacing w:val="-3"/>
                      </w:rPr>
                      <w:t>创建路</w:t>
                    </w:r>
                    <w:r>
                      <w:rPr>
                        <w:rFonts w:ascii="SimSun" w:hAnsi="SimSun" w:eastAsia="SimSun" w:cs="SimSun"/>
                        <w:sz w:val="17"/>
                        <w:szCs w:val="17"/>
                      </w:rPr>
                      <w:t xml:space="preserve"> </w:t>
                    </w:r>
                    <w:r>
                      <w:rPr>
                        <w:rFonts w:ascii="SimSun" w:hAnsi="SimSun" w:eastAsia="SimSun" w:cs="SimSun"/>
                        <w:sz w:val="17"/>
                        <w:szCs w:val="17"/>
                        <w:spacing w:val="-3"/>
                      </w:rPr>
                      <w:t>线图</w:t>
                    </w:r>
                  </w:p>
                </w:txbxContent>
              </v:textbox>
            </v:shape>
            <v:shape id="_x0000_s120" style="position:absolute;left:2980;top:136;width:738;height:379;" filled="false" stroked="false" type="#_x0000_t202">
              <v:fill on="false"/>
              <v:stroke on="false"/>
              <v:path/>
              <v:imagedata o:title=""/>
              <o:lock v:ext="edit" aspectratio="false"/>
              <v:textbox inset="0mm,0mm,0mm,0mm">
                <w:txbxContent>
                  <w:p>
                    <w:pPr>
                      <w:ind w:left="20" w:right="20"/>
                      <w:spacing w:before="19" w:line="201" w:lineRule="auto"/>
                      <w:rPr>
                        <w:rFonts w:ascii="SimSun" w:hAnsi="SimSun" w:eastAsia="SimSun" w:cs="SimSun"/>
                        <w:sz w:val="17"/>
                        <w:szCs w:val="17"/>
                      </w:rPr>
                    </w:pPr>
                    <w:r>
                      <w:rPr>
                        <w:rFonts w:ascii="SimSun" w:hAnsi="SimSun" w:eastAsia="SimSun" w:cs="SimSun"/>
                        <w:sz w:val="17"/>
                        <w:szCs w:val="17"/>
                        <w:spacing w:val="-9"/>
                      </w:rPr>
                      <w:t>3.</w:t>
                    </w:r>
                    <w:r>
                      <w:rPr>
                        <w:rFonts w:ascii="SimSun" w:hAnsi="SimSun" w:eastAsia="SimSun" w:cs="SimSun"/>
                        <w:sz w:val="17"/>
                        <w:szCs w:val="17"/>
                        <w:spacing w:val="-24"/>
                      </w:rPr>
                      <w:t xml:space="preserve"> </w:t>
                    </w:r>
                    <w:r>
                      <w:rPr>
                        <w:rFonts w:ascii="SimSun" w:hAnsi="SimSun" w:eastAsia="SimSun" w:cs="SimSun"/>
                        <w:sz w:val="17"/>
                        <w:szCs w:val="17"/>
                        <w:spacing w:val="-9"/>
                      </w:rPr>
                      <w:t>执行成</w:t>
                    </w:r>
                    <w:r>
                      <w:rPr>
                        <w:rFonts w:ascii="SimSun" w:hAnsi="SimSun" w:eastAsia="SimSun" w:cs="SimSun"/>
                        <w:sz w:val="17"/>
                        <w:szCs w:val="17"/>
                      </w:rPr>
                      <w:t xml:space="preserve"> </w:t>
                    </w:r>
                    <w:r>
                      <w:rPr>
                        <w:rFonts w:ascii="SimSun" w:hAnsi="SimSun" w:eastAsia="SimSun" w:cs="SimSun"/>
                        <w:sz w:val="17"/>
                        <w:szCs w:val="17"/>
                        <w:spacing w:val="-8"/>
                      </w:rPr>
                      <w:t>熟度评估</w:t>
                    </w:r>
                  </w:p>
                </w:txbxContent>
              </v:textbox>
            </v:shape>
            <v:shape id="_x0000_s122" style="position:absolute;left:1920;top:2301;width:640;height:375;" filled="false" stroked="false" type="#_x0000_t202">
              <v:fill on="false"/>
              <v:stroke on="false"/>
              <v:path/>
              <v:imagedata o:title=""/>
              <o:lock v:ext="edit" aspectratio="false"/>
              <v:textbox inset="0mm,0mm,0mm,0mm">
                <w:txbxContent>
                  <w:p>
                    <w:pPr>
                      <w:ind w:left="148" w:right="20" w:hanging="129"/>
                      <w:spacing w:before="20" w:line="200" w:lineRule="auto"/>
                      <w:rPr>
                        <w:rFonts w:ascii="SimSun" w:hAnsi="SimSun" w:eastAsia="SimSun" w:cs="SimSun"/>
                        <w:sz w:val="17"/>
                        <w:szCs w:val="17"/>
                      </w:rPr>
                    </w:pPr>
                    <w:r>
                      <w:rPr>
                        <w:rFonts w:ascii="SimSun" w:hAnsi="SimSun" w:eastAsia="SimSun" w:cs="SimSun"/>
                        <w:sz w:val="17"/>
                        <w:szCs w:val="17"/>
                        <w:spacing w:val="-6"/>
                      </w:rPr>
                      <w:t>11.</w:t>
                    </w:r>
                    <w:r>
                      <w:rPr>
                        <w:rFonts w:ascii="SimSun" w:hAnsi="SimSun" w:eastAsia="SimSun" w:cs="SimSun"/>
                        <w:sz w:val="17"/>
                        <w:szCs w:val="17"/>
                        <w:spacing w:val="-51"/>
                      </w:rPr>
                      <w:t xml:space="preserve"> </w:t>
                    </w:r>
                    <w:r>
                      <w:rPr>
                        <w:rFonts w:ascii="SimSun" w:hAnsi="SimSun" w:eastAsia="SimSun" w:cs="SimSun"/>
                        <w:sz w:val="17"/>
                        <w:szCs w:val="17"/>
                        <w:spacing w:val="-6"/>
                      </w:rPr>
                      <w:t>治理</w:t>
                    </w:r>
                    <w:r>
                      <w:rPr>
                        <w:rFonts w:ascii="SimSun" w:hAnsi="SimSun" w:eastAsia="SimSun" w:cs="SimSun"/>
                        <w:sz w:val="17"/>
                        <w:szCs w:val="17"/>
                      </w:rPr>
                      <w:t xml:space="preserve"> </w:t>
                    </w:r>
                    <w:r>
                      <w:rPr>
                        <w:rFonts w:ascii="SimSun" w:hAnsi="SimSun" w:eastAsia="SimSun" w:cs="SimSun"/>
                        <w:sz w:val="17"/>
                        <w:szCs w:val="17"/>
                        <w:spacing w:val="-3"/>
                      </w:rPr>
                      <w:t>分析</w:t>
                    </w:r>
                  </w:p>
                </w:txbxContent>
              </v:textbox>
            </v:shape>
            <v:shape id="_x0000_s124" style="position:absolute;left:2920;top:1146;width:88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7.</w:t>
                    </w:r>
                    <w:r>
                      <w:rPr>
                        <w:rFonts w:ascii="SimSun" w:hAnsi="SimSun" w:eastAsia="SimSun" w:cs="SimSun"/>
                        <w:sz w:val="17"/>
                        <w:szCs w:val="17"/>
                        <w:spacing w:val="-30"/>
                      </w:rPr>
                      <w:t xml:space="preserve"> </w:t>
                    </w:r>
                    <w:r>
                      <w:rPr>
                        <w:rFonts w:ascii="SimSun" w:hAnsi="SimSun" w:eastAsia="SimSun" w:cs="SimSun"/>
                        <w:sz w:val="17"/>
                        <w:szCs w:val="17"/>
                        <w:spacing w:val="-9"/>
                      </w:rPr>
                      <w:t>理解数据</w:t>
                    </w:r>
                  </w:p>
                </w:txbxContent>
              </v:textbox>
            </v:shape>
          </v:group>
        </w:pict>
      </w:r>
    </w:p>
    <w:p>
      <w:pPr>
        <w:ind w:left="2592"/>
        <w:spacing w:before="183" w:line="221" w:lineRule="auto"/>
        <w:rPr>
          <w:rFonts w:ascii="SimHei" w:hAnsi="SimHei" w:eastAsia="SimHei" w:cs="SimHei"/>
          <w:sz w:val="17"/>
          <w:szCs w:val="17"/>
        </w:rPr>
      </w:pPr>
      <w:r>
        <w:rPr>
          <w:rFonts w:ascii="SimHei" w:hAnsi="SimHei" w:eastAsia="SimHei" w:cs="SimHei"/>
          <w:sz w:val="17"/>
          <w:szCs w:val="17"/>
          <w:b/>
          <w:bCs/>
          <w:spacing w:val="5"/>
        </w:rPr>
        <w:t>图1-8</w:t>
      </w:r>
      <w:r>
        <w:rPr>
          <w:rFonts w:ascii="SimHei" w:hAnsi="SimHei" w:eastAsia="SimHei" w:cs="SimHei"/>
          <w:sz w:val="17"/>
          <w:szCs w:val="17"/>
          <w:spacing w:val="1"/>
        </w:rPr>
        <w:t xml:space="preserve">  </w:t>
      </w:r>
      <w:r>
        <w:rPr>
          <w:rFonts w:ascii="Times New Roman" w:hAnsi="Times New Roman" w:eastAsia="Times New Roman" w:cs="Times New Roman"/>
          <w:sz w:val="17"/>
          <w:szCs w:val="17"/>
          <w:b/>
          <w:bCs/>
        </w:rPr>
        <w:t>IBM</w:t>
      </w:r>
      <w:r>
        <w:rPr>
          <w:rFonts w:ascii="Times New Roman" w:hAnsi="Times New Roman" w:eastAsia="Times New Roman" w:cs="Times New Roman"/>
          <w:sz w:val="17"/>
          <w:szCs w:val="17"/>
          <w:b/>
          <w:bCs/>
          <w:spacing w:val="29"/>
        </w:rPr>
        <w:t xml:space="preserve"> </w:t>
      </w:r>
      <w:r>
        <w:rPr>
          <w:rFonts w:ascii="SimHei" w:hAnsi="SimHei" w:eastAsia="SimHei" w:cs="SimHei"/>
          <w:sz w:val="17"/>
          <w:szCs w:val="17"/>
          <w:b/>
          <w:bCs/>
          <w:spacing w:val="5"/>
        </w:rPr>
        <w:t>数据治理统一流程</w:t>
      </w:r>
    </w:p>
    <w:p>
      <w:pPr>
        <w:ind w:right="133" w:firstLine="479"/>
        <w:spacing w:before="212" w:line="269" w:lineRule="auto"/>
        <w:jc w:val="both"/>
        <w:rPr>
          <w:rFonts w:ascii="SimSun" w:hAnsi="SimSun" w:eastAsia="SimSun" w:cs="SimSun"/>
          <w:sz w:val="17"/>
          <w:szCs w:val="17"/>
        </w:rPr>
      </w:pPr>
      <w:r>
        <w:rPr>
          <w:rFonts w:ascii="SimSun" w:hAnsi="SimSun" w:eastAsia="SimSun" w:cs="SimSun"/>
          <w:sz w:val="22"/>
          <w:szCs w:val="22"/>
          <w:spacing w:val="-5"/>
        </w:rPr>
        <w:t>图1-8中10个必要步骤是建立有效的企业治理计划所不可或缺的步骤。然后从</w:t>
      </w:r>
      <w:r>
        <w:rPr>
          <w:rFonts w:ascii="SimSun" w:hAnsi="SimSun" w:eastAsia="SimSun" w:cs="SimSun"/>
          <w:sz w:val="22"/>
          <w:szCs w:val="22"/>
          <w:spacing w:val="7"/>
        </w:rPr>
        <w:t xml:space="preserve"> </w:t>
      </w:r>
      <w:r>
        <w:rPr>
          <w:rFonts w:ascii="SimSun" w:hAnsi="SimSun" w:eastAsia="SimSun" w:cs="SimSun"/>
          <w:sz w:val="22"/>
          <w:szCs w:val="22"/>
          <w:spacing w:val="-2"/>
        </w:rPr>
        <w:t>4 个可选专题(主数据治理、治理分析、管理安全和隐私、治理信息生命周期)中</w:t>
      </w:r>
      <w:r>
        <w:rPr>
          <w:rFonts w:ascii="SimSun" w:hAnsi="SimSun" w:eastAsia="SimSun" w:cs="SimSun"/>
          <w:sz w:val="22"/>
          <w:szCs w:val="22"/>
          <w:spacing w:val="16"/>
        </w:rPr>
        <w:t xml:space="preserve"> </w:t>
      </w:r>
      <w:r>
        <w:rPr>
          <w:rFonts w:ascii="SimSun" w:hAnsi="SimSun" w:eastAsia="SimSun" w:cs="SimSun"/>
          <w:sz w:val="22"/>
          <w:szCs w:val="22"/>
          <w:spacing w:val="-8"/>
        </w:rPr>
        <w:t>选择一个或多个步骤。最后，需要定期度量数据治理统一流程，将结</w:t>
      </w:r>
      <w:r>
        <w:rPr>
          <w:rFonts w:ascii="SimSun" w:hAnsi="SimSun" w:eastAsia="SimSun" w:cs="SimSun"/>
          <w:sz w:val="22"/>
          <w:szCs w:val="22"/>
          <w:spacing w:val="-9"/>
        </w:rPr>
        <w:t>果传送给管理</w:t>
      </w:r>
      <w:r>
        <w:rPr>
          <w:rFonts w:ascii="SimSun" w:hAnsi="SimSun" w:eastAsia="SimSun" w:cs="SimSun"/>
          <w:sz w:val="22"/>
          <w:szCs w:val="22"/>
        </w:rPr>
        <w:t xml:space="preserve"> </w:t>
      </w:r>
      <w:r>
        <w:rPr>
          <w:rFonts w:ascii="SimSun" w:hAnsi="SimSun" w:eastAsia="SimSun" w:cs="SimSun"/>
          <w:sz w:val="17"/>
          <w:szCs w:val="17"/>
          <w:spacing w:val="-10"/>
        </w:rPr>
        <w:t>层</w:t>
      </w:r>
      <w:r>
        <w:rPr>
          <w:rFonts w:ascii="SimSun" w:hAnsi="SimSun" w:eastAsia="SimSun" w:cs="SimSun"/>
          <w:sz w:val="17"/>
          <w:szCs w:val="17"/>
          <w:spacing w:val="-35"/>
        </w:rPr>
        <w:t xml:space="preserve"> </w:t>
      </w:r>
      <w:r>
        <w:rPr>
          <w:rFonts w:ascii="SimSun" w:hAnsi="SimSun" w:eastAsia="SimSun" w:cs="SimSun"/>
          <w:sz w:val="17"/>
          <w:szCs w:val="17"/>
          <w:spacing w:val="-10"/>
        </w:rPr>
        <w:t>支</w:t>
      </w:r>
      <w:r>
        <w:rPr>
          <w:rFonts w:ascii="SimSun" w:hAnsi="SimSun" w:eastAsia="SimSun" w:cs="SimSun"/>
          <w:sz w:val="17"/>
          <w:szCs w:val="17"/>
          <w:spacing w:val="-37"/>
        </w:rPr>
        <w:t xml:space="preserve"> </w:t>
      </w:r>
      <w:r>
        <w:rPr>
          <w:rFonts w:ascii="SimSun" w:hAnsi="SimSun" w:eastAsia="SimSun" w:cs="SimSun"/>
          <w:sz w:val="17"/>
          <w:szCs w:val="17"/>
          <w:spacing w:val="-10"/>
        </w:rPr>
        <w:t>持</w:t>
      </w:r>
      <w:r>
        <w:rPr>
          <w:rFonts w:ascii="SimSun" w:hAnsi="SimSun" w:eastAsia="SimSun" w:cs="SimSun"/>
          <w:sz w:val="17"/>
          <w:szCs w:val="17"/>
          <w:spacing w:val="-37"/>
        </w:rPr>
        <w:t xml:space="preserve"> </w:t>
      </w:r>
      <w:r>
        <w:rPr>
          <w:rFonts w:ascii="SimSun" w:hAnsi="SimSun" w:eastAsia="SimSun" w:cs="SimSun"/>
          <w:sz w:val="17"/>
          <w:szCs w:val="17"/>
          <w:spacing w:val="-10"/>
        </w:rPr>
        <w:t>者</w:t>
      </w:r>
      <w:r>
        <w:rPr>
          <w:rFonts w:ascii="SimSun" w:hAnsi="SimSun" w:eastAsia="SimSun" w:cs="SimSun"/>
          <w:sz w:val="17"/>
          <w:szCs w:val="17"/>
          <w:spacing w:val="-22"/>
        </w:rPr>
        <w:t xml:space="preserve"> </w:t>
      </w:r>
      <w:r>
        <w:rPr>
          <w:rFonts w:ascii="SimSun" w:hAnsi="SimSun" w:eastAsia="SimSun" w:cs="SimSun"/>
          <w:sz w:val="17"/>
          <w:szCs w:val="17"/>
          <w:spacing w:val="-10"/>
        </w:rPr>
        <w:t>。</w:t>
      </w:r>
      <w:r>
        <w:rPr>
          <w:rFonts w:ascii="SimSun" w:hAnsi="SimSun" w:eastAsia="SimSun" w:cs="SimSun"/>
          <w:sz w:val="17"/>
          <w:szCs w:val="17"/>
          <w:spacing w:val="-38"/>
        </w:rPr>
        <w:t xml:space="preserve"> </w:t>
      </w:r>
      <w:r>
        <w:rPr>
          <w:rFonts w:ascii="SimSun" w:hAnsi="SimSun" w:eastAsia="SimSun" w:cs="SimSun"/>
          <w:sz w:val="17"/>
          <w:szCs w:val="17"/>
          <w:spacing w:val="-10"/>
        </w:rPr>
        <w:t>数</w:t>
      </w:r>
      <w:r>
        <w:rPr>
          <w:rFonts w:ascii="SimSun" w:hAnsi="SimSun" w:eastAsia="SimSun" w:cs="SimSun"/>
          <w:sz w:val="17"/>
          <w:szCs w:val="17"/>
          <w:spacing w:val="-39"/>
        </w:rPr>
        <w:t xml:space="preserve"> </w:t>
      </w:r>
      <w:r>
        <w:rPr>
          <w:rFonts w:ascii="SimSun" w:hAnsi="SimSun" w:eastAsia="SimSun" w:cs="SimSun"/>
          <w:sz w:val="17"/>
          <w:szCs w:val="17"/>
          <w:spacing w:val="-10"/>
        </w:rPr>
        <w:t>据</w:t>
      </w:r>
      <w:r>
        <w:rPr>
          <w:rFonts w:ascii="SimSun" w:hAnsi="SimSun" w:eastAsia="SimSun" w:cs="SimSun"/>
          <w:sz w:val="17"/>
          <w:szCs w:val="17"/>
          <w:spacing w:val="-35"/>
        </w:rPr>
        <w:t xml:space="preserve"> </w:t>
      </w:r>
      <w:r>
        <w:rPr>
          <w:rFonts w:ascii="SimSun" w:hAnsi="SimSun" w:eastAsia="SimSun" w:cs="SimSun"/>
          <w:sz w:val="17"/>
          <w:szCs w:val="17"/>
          <w:spacing w:val="-10"/>
        </w:rPr>
        <w:t>治</w:t>
      </w:r>
      <w:r>
        <w:rPr>
          <w:rFonts w:ascii="SimSun" w:hAnsi="SimSun" w:eastAsia="SimSun" w:cs="SimSun"/>
          <w:sz w:val="17"/>
          <w:szCs w:val="17"/>
          <w:spacing w:val="-37"/>
        </w:rPr>
        <w:t xml:space="preserve"> </w:t>
      </w:r>
      <w:r>
        <w:rPr>
          <w:rFonts w:ascii="SimSun" w:hAnsi="SimSun" w:eastAsia="SimSun" w:cs="SimSun"/>
          <w:sz w:val="17"/>
          <w:szCs w:val="17"/>
          <w:spacing w:val="-10"/>
        </w:rPr>
        <w:t>理</w:t>
      </w:r>
      <w:r>
        <w:rPr>
          <w:rFonts w:ascii="SimSun" w:hAnsi="SimSun" w:eastAsia="SimSun" w:cs="SimSun"/>
          <w:sz w:val="17"/>
          <w:szCs w:val="17"/>
          <w:spacing w:val="-34"/>
        </w:rPr>
        <w:t xml:space="preserve"> </w:t>
      </w:r>
      <w:r>
        <w:rPr>
          <w:rFonts w:ascii="SimSun" w:hAnsi="SimSun" w:eastAsia="SimSun" w:cs="SimSun"/>
          <w:sz w:val="17"/>
          <w:szCs w:val="17"/>
          <w:spacing w:val="-10"/>
        </w:rPr>
        <w:t>统</w:t>
      </w:r>
      <w:r>
        <w:rPr>
          <w:rFonts w:ascii="SimSun" w:hAnsi="SimSun" w:eastAsia="SimSun" w:cs="SimSun"/>
          <w:sz w:val="17"/>
          <w:szCs w:val="17"/>
          <w:spacing w:val="-36"/>
        </w:rPr>
        <w:t xml:space="preserve"> </w:t>
      </w:r>
      <w:r>
        <w:rPr>
          <w:rFonts w:ascii="SimSun" w:hAnsi="SimSun" w:eastAsia="SimSun" w:cs="SimSun"/>
          <w:sz w:val="17"/>
          <w:szCs w:val="17"/>
          <w:spacing w:val="-10"/>
        </w:rPr>
        <w:t>一</w:t>
      </w:r>
      <w:r>
        <w:rPr>
          <w:rFonts w:ascii="SimSun" w:hAnsi="SimSun" w:eastAsia="SimSun" w:cs="SimSun"/>
          <w:sz w:val="17"/>
          <w:szCs w:val="17"/>
          <w:spacing w:val="-38"/>
        </w:rPr>
        <w:t xml:space="preserve"> </w:t>
      </w:r>
      <w:r>
        <w:rPr>
          <w:rFonts w:ascii="SimSun" w:hAnsi="SimSun" w:eastAsia="SimSun" w:cs="SimSun"/>
          <w:sz w:val="17"/>
          <w:szCs w:val="17"/>
          <w:spacing w:val="-10"/>
        </w:rPr>
        <w:t>流</w:t>
      </w:r>
      <w:r>
        <w:rPr>
          <w:rFonts w:ascii="SimSun" w:hAnsi="SimSun" w:eastAsia="SimSun" w:cs="SimSun"/>
          <w:sz w:val="17"/>
          <w:szCs w:val="17"/>
          <w:spacing w:val="-40"/>
        </w:rPr>
        <w:t xml:space="preserve"> </w:t>
      </w:r>
      <w:r>
        <w:rPr>
          <w:rFonts w:ascii="SimSun" w:hAnsi="SimSun" w:eastAsia="SimSun" w:cs="SimSun"/>
          <w:sz w:val="17"/>
          <w:szCs w:val="17"/>
          <w:spacing w:val="-10"/>
        </w:rPr>
        <w:t>程</w:t>
      </w:r>
      <w:r>
        <w:rPr>
          <w:rFonts w:ascii="SimSun" w:hAnsi="SimSun" w:eastAsia="SimSun" w:cs="SimSun"/>
          <w:sz w:val="17"/>
          <w:szCs w:val="17"/>
          <w:spacing w:val="-39"/>
        </w:rPr>
        <w:t xml:space="preserve"> </w:t>
      </w:r>
      <w:r>
        <w:rPr>
          <w:rFonts w:ascii="SimSun" w:hAnsi="SimSun" w:eastAsia="SimSun" w:cs="SimSun"/>
          <w:sz w:val="17"/>
          <w:szCs w:val="17"/>
          <w:spacing w:val="-10"/>
        </w:rPr>
        <w:t>及</w:t>
      </w:r>
      <w:r>
        <w:rPr>
          <w:rFonts w:ascii="SimSun" w:hAnsi="SimSun" w:eastAsia="SimSun" w:cs="SimSun"/>
          <w:sz w:val="17"/>
          <w:szCs w:val="17"/>
          <w:spacing w:val="-38"/>
        </w:rPr>
        <w:t xml:space="preserve"> </w:t>
      </w:r>
      <w:r>
        <w:rPr>
          <w:rFonts w:ascii="SimSun" w:hAnsi="SimSun" w:eastAsia="SimSun" w:cs="SimSun"/>
          <w:sz w:val="17"/>
          <w:szCs w:val="17"/>
          <w:spacing w:val="-10"/>
        </w:rPr>
        <w:t>主</w:t>
      </w:r>
      <w:r>
        <w:rPr>
          <w:rFonts w:ascii="SimSun" w:hAnsi="SimSun" w:eastAsia="SimSun" w:cs="SimSun"/>
          <w:sz w:val="17"/>
          <w:szCs w:val="17"/>
          <w:spacing w:val="-38"/>
        </w:rPr>
        <w:t xml:space="preserve"> </w:t>
      </w:r>
      <w:r>
        <w:rPr>
          <w:rFonts w:ascii="SimSun" w:hAnsi="SimSun" w:eastAsia="SimSun" w:cs="SimSun"/>
          <w:sz w:val="17"/>
          <w:szCs w:val="17"/>
          <w:spacing w:val="-10"/>
        </w:rPr>
        <w:t>要 内</w:t>
      </w:r>
      <w:r>
        <w:rPr>
          <w:rFonts w:ascii="SimSun" w:hAnsi="SimSun" w:eastAsia="SimSun" w:cs="SimSun"/>
          <w:sz w:val="17"/>
          <w:szCs w:val="17"/>
          <w:spacing w:val="-36"/>
        </w:rPr>
        <w:t xml:space="preserve"> </w:t>
      </w:r>
      <w:r>
        <w:rPr>
          <w:rFonts w:ascii="SimSun" w:hAnsi="SimSun" w:eastAsia="SimSun" w:cs="SimSun"/>
          <w:sz w:val="17"/>
          <w:szCs w:val="17"/>
          <w:spacing w:val="-10"/>
        </w:rPr>
        <w:t>容</w:t>
      </w:r>
      <w:r>
        <w:rPr>
          <w:rFonts w:ascii="SimSun" w:hAnsi="SimSun" w:eastAsia="SimSun" w:cs="SimSun"/>
          <w:sz w:val="17"/>
          <w:szCs w:val="17"/>
          <w:spacing w:val="-36"/>
        </w:rPr>
        <w:t xml:space="preserve"> </w:t>
      </w:r>
      <w:r>
        <w:rPr>
          <w:rFonts w:ascii="SimSun" w:hAnsi="SimSun" w:eastAsia="SimSun" w:cs="SimSun"/>
          <w:sz w:val="17"/>
          <w:szCs w:val="17"/>
          <w:spacing w:val="-10"/>
        </w:rPr>
        <w:t>见</w:t>
      </w:r>
      <w:r>
        <w:rPr>
          <w:rFonts w:ascii="SimSun" w:hAnsi="SimSun" w:eastAsia="SimSun" w:cs="SimSun"/>
          <w:sz w:val="17"/>
          <w:szCs w:val="17"/>
          <w:spacing w:val="-40"/>
        </w:rPr>
        <w:t xml:space="preserve"> </w:t>
      </w:r>
      <w:r>
        <w:rPr>
          <w:rFonts w:ascii="SimSun" w:hAnsi="SimSun" w:eastAsia="SimSun" w:cs="SimSun"/>
          <w:sz w:val="17"/>
          <w:szCs w:val="17"/>
          <w:spacing w:val="-10"/>
        </w:rPr>
        <w:t>表</w:t>
      </w:r>
      <w:r>
        <w:rPr>
          <w:rFonts w:ascii="SimSun" w:hAnsi="SimSun" w:eastAsia="SimSun" w:cs="SimSun"/>
          <w:sz w:val="17"/>
          <w:szCs w:val="17"/>
          <w:spacing w:val="-26"/>
        </w:rPr>
        <w:t xml:space="preserve"> </w:t>
      </w:r>
      <w:r>
        <w:rPr>
          <w:rFonts w:ascii="SimSun" w:hAnsi="SimSun" w:eastAsia="SimSun" w:cs="SimSun"/>
          <w:sz w:val="17"/>
          <w:szCs w:val="17"/>
          <w:spacing w:val="-10"/>
        </w:rPr>
        <w:t>1</w:t>
      </w:r>
      <w:r>
        <w:rPr>
          <w:rFonts w:ascii="SimSun" w:hAnsi="SimSun" w:eastAsia="SimSun" w:cs="SimSun"/>
          <w:sz w:val="17"/>
          <w:szCs w:val="17"/>
          <w:spacing w:val="-40"/>
        </w:rPr>
        <w:t xml:space="preserve"> </w:t>
      </w:r>
      <w:r>
        <w:rPr>
          <w:rFonts w:ascii="SimSun" w:hAnsi="SimSun" w:eastAsia="SimSun" w:cs="SimSun"/>
          <w:sz w:val="17"/>
          <w:szCs w:val="17"/>
          <w:spacing w:val="-10"/>
        </w:rPr>
        <w:t>-</w:t>
      </w:r>
      <w:r>
        <w:rPr>
          <w:rFonts w:ascii="SimSun" w:hAnsi="SimSun" w:eastAsia="SimSun" w:cs="SimSun"/>
          <w:sz w:val="17"/>
          <w:szCs w:val="17"/>
          <w:spacing w:val="-35"/>
        </w:rPr>
        <w:t xml:space="preserve"> </w:t>
      </w:r>
      <w:r>
        <w:rPr>
          <w:rFonts w:ascii="SimSun" w:hAnsi="SimSun" w:eastAsia="SimSun" w:cs="SimSun"/>
          <w:sz w:val="17"/>
          <w:szCs w:val="17"/>
          <w:spacing w:val="-10"/>
        </w:rPr>
        <w:t>3</w:t>
      </w:r>
      <w:r>
        <w:rPr>
          <w:rFonts w:ascii="SimSun" w:hAnsi="SimSun" w:eastAsia="SimSun" w:cs="SimSun"/>
          <w:sz w:val="17"/>
          <w:szCs w:val="17"/>
          <w:spacing w:val="-46"/>
        </w:rPr>
        <w:t xml:space="preserve"> </w:t>
      </w:r>
      <w:r>
        <w:rPr>
          <w:rFonts w:ascii="SimSun" w:hAnsi="SimSun" w:eastAsia="SimSun" w:cs="SimSun"/>
          <w:sz w:val="17"/>
          <w:szCs w:val="17"/>
          <w:spacing w:val="-10"/>
        </w:rPr>
        <w:t>。</w:t>
      </w:r>
    </w:p>
    <w:p>
      <w:pPr>
        <w:spacing w:line="269" w:lineRule="auto"/>
        <w:sectPr>
          <w:footerReference w:type="default" r:id="rId60"/>
          <w:pgSz w:w="8870" w:h="13400"/>
          <w:pgMar w:top="400" w:right="398" w:bottom="586" w:left="660" w:header="0" w:footer="419" w:gutter="0"/>
        </w:sectPr>
        <w:rPr>
          <w:rFonts w:ascii="SimSun" w:hAnsi="SimSun" w:eastAsia="SimSun" w:cs="SimSun"/>
          <w:sz w:val="17"/>
          <w:szCs w:val="17"/>
        </w:rPr>
      </w:pPr>
    </w:p>
    <w:p>
      <w:pPr>
        <w:ind w:left="100"/>
        <w:spacing w:before="149"/>
        <w:rPr>
          <w:rFonts w:ascii="SimSun" w:hAnsi="SimSun" w:eastAsia="SimSun" w:cs="SimSun"/>
          <w:sz w:val="21"/>
          <w:szCs w:val="21"/>
        </w:rPr>
      </w:pPr>
      <w:bookmarkStart w:name="bookmark11" w:id="6"/>
      <w:bookmarkEnd w:id="6"/>
      <w:bookmarkStart w:name="bookmark12" w:id="7"/>
      <w:bookmarkEnd w:id="7"/>
      <w:r>
        <w:rPr>
          <w:rFonts w:ascii="SimSun" w:hAnsi="SimSun" w:eastAsia="SimSun" w:cs="SimSun"/>
          <w:sz w:val="21"/>
          <w:szCs w:val="21"/>
          <w:position w:val="-8"/>
        </w:rPr>
        <w:drawing>
          <wp:inline distT="0" distB="0" distL="0" distR="0">
            <wp:extent cx="6308" cy="222255"/>
            <wp:effectExtent l="0" t="0" r="0" b="0"/>
            <wp:docPr id="78" name="IM 78"/>
            <wp:cNvGraphicFramePr/>
            <a:graphic>
              <a:graphicData uri="http://schemas.openxmlformats.org/drawingml/2006/picture">
                <pic:pic>
                  <pic:nvPicPr>
                    <pic:cNvPr id="78" name="IM 78"/>
                    <pic:cNvPicPr/>
                  </pic:nvPicPr>
                  <pic:blipFill>
                    <a:blip r:embed="rId64"/>
                    <a:stretch>
                      <a:fillRect/>
                    </a:stretch>
                  </pic:blipFill>
                  <pic:spPr>
                    <a:xfrm rot="0">
                      <a:off x="0" y="0"/>
                      <a:ext cx="6308" cy="222255"/>
                    </a:xfrm>
                    <a:prstGeom prst="rect">
                      <a:avLst/>
                    </a:prstGeom>
                  </pic:spPr>
                </pic:pic>
              </a:graphicData>
            </a:graphic>
          </wp:inline>
        </w:drawing>
      </w:r>
      <w:r>
        <w:rPr>
          <w:rFonts w:ascii="SimSun" w:hAnsi="SimSun" w:eastAsia="SimSun" w:cs="SimSun"/>
          <w:sz w:val="21"/>
          <w:szCs w:val="21"/>
          <w:spacing w:val="-12"/>
        </w:rPr>
        <w:t xml:space="preserve"> </w:t>
      </w:r>
      <w:r>
        <w:rPr>
          <w:rFonts w:ascii="SimSun" w:hAnsi="SimSun" w:eastAsia="SimSun" w:cs="SimSun"/>
          <w:sz w:val="21"/>
          <w:szCs w:val="21"/>
          <w:b/>
          <w:bCs/>
          <w:spacing w:val="-6"/>
        </w:rPr>
        <w:t>■云端数据治理</w:t>
      </w:r>
    </w:p>
    <w:p>
      <w:pPr>
        <w:pStyle w:val="BodyText"/>
        <w:spacing w:line="293" w:lineRule="auto"/>
        <w:rPr/>
      </w:pPr>
      <w:r/>
    </w:p>
    <w:p>
      <w:pPr>
        <w:ind w:left="2562"/>
        <w:spacing w:before="68" w:line="221" w:lineRule="auto"/>
        <w:rPr>
          <w:rFonts w:ascii="SimHei" w:hAnsi="SimHei" w:eastAsia="SimHei" w:cs="SimHei"/>
          <w:sz w:val="21"/>
          <w:szCs w:val="21"/>
        </w:rPr>
      </w:pPr>
      <w:r>
        <w:rPr>
          <w:rFonts w:ascii="SimHei" w:hAnsi="SimHei" w:eastAsia="SimHei" w:cs="SimHei"/>
          <w:sz w:val="21"/>
          <w:szCs w:val="21"/>
          <w:b/>
          <w:bCs/>
          <w:spacing w:val="-18"/>
          <w:w w:val="96"/>
        </w:rPr>
        <w:t>表1-3</w:t>
      </w:r>
      <w:r>
        <w:rPr>
          <w:rFonts w:ascii="SimHei" w:hAnsi="SimHei" w:eastAsia="SimHei" w:cs="SimHei"/>
          <w:sz w:val="21"/>
          <w:szCs w:val="21"/>
          <w:spacing w:val="68"/>
        </w:rPr>
        <w:t xml:space="preserve"> </w:t>
      </w:r>
      <w:r>
        <w:rPr>
          <w:rFonts w:ascii="SimHei" w:hAnsi="SimHei" w:eastAsia="SimHei" w:cs="SimHei"/>
          <w:sz w:val="21"/>
          <w:szCs w:val="21"/>
          <w:b/>
          <w:bCs/>
          <w:spacing w:val="-18"/>
          <w:w w:val="96"/>
        </w:rPr>
        <w:t>数据治理统一流程及主要内容</w:t>
      </w:r>
    </w:p>
    <w:p>
      <w:pPr>
        <w:spacing w:line="89" w:lineRule="exact"/>
        <w:rPr/>
      </w:pPr>
      <w:r/>
    </w:p>
    <w:tbl>
      <w:tblPr>
        <w:tblStyle w:val="TableNormal"/>
        <w:tblW w:w="758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4"/>
        <w:gridCol w:w="1348"/>
        <w:gridCol w:w="5598"/>
      </w:tblGrid>
      <w:tr>
        <w:trPr>
          <w:trHeight w:val="305" w:hRule="atLeast"/>
        </w:trPr>
        <w:tc>
          <w:tcPr>
            <w:tcW w:w="634" w:type="dxa"/>
            <w:vAlign w:val="top"/>
          </w:tcPr>
          <w:p>
            <w:pPr>
              <w:pStyle w:val="TableText"/>
              <w:ind w:left="155"/>
              <w:spacing w:before="81" w:line="219" w:lineRule="auto"/>
              <w:rPr/>
            </w:pPr>
            <w:r>
              <w:rPr>
                <w:spacing w:val="-2"/>
              </w:rPr>
              <w:t>步骤</w:t>
            </w:r>
          </w:p>
        </w:tc>
        <w:tc>
          <w:tcPr>
            <w:tcW w:w="1348" w:type="dxa"/>
            <w:vAlign w:val="top"/>
          </w:tcPr>
          <w:p>
            <w:pPr>
              <w:pStyle w:val="TableText"/>
              <w:ind w:left="401"/>
              <w:spacing w:before="81" w:line="220" w:lineRule="auto"/>
              <w:rPr/>
            </w:pPr>
            <w:r>
              <w:rPr>
                <w:spacing w:val="-5"/>
              </w:rPr>
              <w:t>活</w:t>
            </w:r>
            <w:r>
              <w:rPr>
                <w:spacing w:val="2"/>
              </w:rPr>
              <w:t xml:space="preserve">   </w:t>
            </w:r>
            <w:r>
              <w:rPr>
                <w:spacing w:val="-5"/>
              </w:rPr>
              <w:t>动</w:t>
            </w:r>
          </w:p>
        </w:tc>
        <w:tc>
          <w:tcPr>
            <w:tcW w:w="5598" w:type="dxa"/>
            <w:vAlign w:val="top"/>
          </w:tcPr>
          <w:p>
            <w:pPr>
              <w:pStyle w:val="TableText"/>
              <w:ind w:left="2383"/>
              <w:spacing w:before="81" w:line="219" w:lineRule="auto"/>
              <w:rPr/>
            </w:pPr>
            <w:r>
              <w:rPr>
                <w:spacing w:val="-10"/>
              </w:rPr>
              <w:t>主</w:t>
            </w:r>
            <w:r>
              <w:rPr>
                <w:spacing w:val="17"/>
              </w:rPr>
              <w:t xml:space="preserve"> </w:t>
            </w:r>
            <w:r>
              <w:rPr>
                <w:spacing w:val="-10"/>
              </w:rPr>
              <w:t>要</w:t>
            </w:r>
            <w:r>
              <w:rPr>
                <w:spacing w:val="34"/>
                <w:w w:val="101"/>
              </w:rPr>
              <w:t xml:space="preserve"> </w:t>
            </w:r>
            <w:r>
              <w:rPr>
                <w:spacing w:val="-10"/>
              </w:rPr>
              <w:t>内</w:t>
            </w:r>
            <w:r>
              <w:rPr>
                <w:spacing w:val="17"/>
              </w:rPr>
              <w:t xml:space="preserve"> </w:t>
            </w:r>
            <w:r>
              <w:rPr>
                <w:spacing w:val="-10"/>
              </w:rPr>
              <w:t>容</w:t>
            </w:r>
          </w:p>
        </w:tc>
      </w:tr>
      <w:tr>
        <w:trPr>
          <w:trHeight w:val="310" w:hRule="atLeast"/>
        </w:trPr>
        <w:tc>
          <w:tcPr>
            <w:tcW w:w="634" w:type="dxa"/>
            <w:vAlign w:val="top"/>
          </w:tcPr>
          <w:p>
            <w:pPr>
              <w:pStyle w:val="TableText"/>
              <w:ind w:left="265"/>
              <w:spacing w:before="114" w:line="184" w:lineRule="auto"/>
              <w:rPr/>
            </w:pPr>
            <w:r>
              <w:rPr/>
              <w:t>1</w:t>
            </w:r>
          </w:p>
        </w:tc>
        <w:tc>
          <w:tcPr>
            <w:tcW w:w="1348" w:type="dxa"/>
            <w:vAlign w:val="top"/>
          </w:tcPr>
          <w:p>
            <w:pPr>
              <w:pStyle w:val="TableText"/>
              <w:ind w:left="211"/>
              <w:spacing w:before="76" w:line="219" w:lineRule="auto"/>
              <w:rPr/>
            </w:pPr>
            <w:r>
              <w:rPr>
                <w:spacing w:val="-2"/>
              </w:rPr>
              <w:t>定义业务问题</w:t>
            </w:r>
          </w:p>
        </w:tc>
        <w:tc>
          <w:tcPr>
            <w:tcW w:w="5598" w:type="dxa"/>
            <w:vAlign w:val="top"/>
          </w:tcPr>
          <w:p>
            <w:pPr>
              <w:pStyle w:val="TableText"/>
              <w:ind w:left="263"/>
              <w:spacing w:before="76" w:line="219" w:lineRule="auto"/>
              <w:rPr/>
            </w:pPr>
            <w:r>
              <w:rPr/>
              <w:t>围绕一个特定的业务问题定义数据治理计划的初始范围</w:t>
            </w:r>
          </w:p>
        </w:tc>
      </w:tr>
      <w:tr>
        <w:trPr>
          <w:trHeight w:val="570" w:hRule="atLeast"/>
        </w:trPr>
        <w:tc>
          <w:tcPr>
            <w:tcW w:w="634" w:type="dxa"/>
            <w:vAlign w:val="top"/>
          </w:tcPr>
          <w:p>
            <w:pPr>
              <w:pStyle w:val="TableText"/>
              <w:ind w:left="265"/>
              <w:spacing w:before="244" w:line="183" w:lineRule="auto"/>
              <w:rPr/>
            </w:pPr>
            <w:r>
              <w:rPr/>
              <w:t>2</w:t>
            </w:r>
          </w:p>
        </w:tc>
        <w:tc>
          <w:tcPr>
            <w:tcW w:w="1348" w:type="dxa"/>
            <w:vAlign w:val="top"/>
          </w:tcPr>
          <w:p>
            <w:pPr>
              <w:pStyle w:val="TableText"/>
              <w:ind w:left="211"/>
              <w:spacing w:before="206" w:line="219" w:lineRule="auto"/>
              <w:rPr/>
            </w:pPr>
            <w:r>
              <w:rPr>
                <w:spacing w:val="-2"/>
              </w:rPr>
              <w:t>获取高层支持</w:t>
            </w:r>
          </w:p>
        </w:tc>
        <w:tc>
          <w:tcPr>
            <w:tcW w:w="5598" w:type="dxa"/>
            <w:vAlign w:val="top"/>
          </w:tcPr>
          <w:p>
            <w:pPr>
              <w:pStyle w:val="TableText"/>
              <w:ind w:left="122" w:right="150" w:firstLine="140"/>
              <w:spacing w:before="95" w:line="282" w:lineRule="auto"/>
              <w:rPr/>
            </w:pPr>
            <w:r>
              <w:rPr>
                <w:spacing w:val="2"/>
              </w:rPr>
              <w:t>(1)创建虚拟数据治理工作组；(2)获取</w:t>
            </w:r>
            <w:r>
              <w:rPr/>
              <w:t>IT</w:t>
            </w:r>
            <w:r>
              <w:rPr>
                <w:spacing w:val="2"/>
              </w:rPr>
              <w:t>和业务部门内高级管理人员的支持；</w:t>
            </w:r>
            <w:r>
              <w:rPr>
                <w:spacing w:val="1"/>
              </w:rPr>
              <w:t xml:space="preserve"> </w:t>
            </w:r>
            <w:r>
              <w:rPr/>
              <w:t>(3)识别数据治理的负责人</w:t>
            </w:r>
          </w:p>
        </w:tc>
      </w:tr>
      <w:tr>
        <w:trPr>
          <w:trHeight w:val="839" w:hRule="atLeast"/>
        </w:trPr>
        <w:tc>
          <w:tcPr>
            <w:tcW w:w="634" w:type="dxa"/>
            <w:vAlign w:val="top"/>
          </w:tcPr>
          <w:p>
            <w:pPr>
              <w:spacing w:line="334" w:lineRule="auto"/>
              <w:rPr>
                <w:rFonts w:ascii="Arial"/>
                <w:sz w:val="21"/>
              </w:rPr>
            </w:pPr>
            <w:r/>
          </w:p>
          <w:p>
            <w:pPr>
              <w:pStyle w:val="TableText"/>
              <w:ind w:left="265"/>
              <w:spacing w:before="48" w:line="183" w:lineRule="auto"/>
              <w:rPr/>
            </w:pPr>
            <w:r>
              <w:rPr/>
              <w:t>3</w:t>
            </w:r>
          </w:p>
        </w:tc>
        <w:tc>
          <w:tcPr>
            <w:tcW w:w="1348" w:type="dxa"/>
            <w:vAlign w:val="top"/>
          </w:tcPr>
          <w:p>
            <w:pPr>
              <w:spacing w:line="294" w:lineRule="auto"/>
              <w:rPr>
                <w:rFonts w:ascii="Arial"/>
                <w:sz w:val="21"/>
              </w:rPr>
            </w:pPr>
            <w:r/>
          </w:p>
          <w:p>
            <w:pPr>
              <w:pStyle w:val="TableText"/>
              <w:ind w:left="141"/>
              <w:spacing w:before="49" w:line="218" w:lineRule="auto"/>
              <w:rPr/>
            </w:pPr>
            <w:r>
              <w:rPr>
                <w:spacing w:val="-1"/>
              </w:rPr>
              <w:t>执行成熟度评估</w:t>
            </w:r>
          </w:p>
        </w:tc>
        <w:tc>
          <w:tcPr>
            <w:tcW w:w="5598" w:type="dxa"/>
            <w:vAlign w:val="top"/>
          </w:tcPr>
          <w:p>
            <w:pPr>
              <w:pStyle w:val="TableText"/>
              <w:ind w:left="263"/>
              <w:spacing w:before="74" w:line="218" w:lineRule="auto"/>
              <w:rPr/>
            </w:pPr>
            <w:r>
              <w:rPr>
                <w:spacing w:val="2"/>
              </w:rPr>
              <w:t>(1)定义评估的组织范围；(2)定义想要的数据治理未来状态的时间范围；</w:t>
            </w:r>
          </w:p>
          <w:p>
            <w:pPr>
              <w:pStyle w:val="TableText"/>
              <w:ind w:left="122" w:right="140"/>
              <w:spacing w:before="103" w:line="281" w:lineRule="auto"/>
              <w:rPr/>
            </w:pPr>
            <w:r>
              <w:rPr>
                <w:spacing w:val="2"/>
              </w:rPr>
              <w:t>(3)定义要评估的数据治理类别；(4)确定业务和</w:t>
            </w:r>
            <w:r>
              <w:rPr/>
              <w:t>IT</w:t>
            </w:r>
            <w:r>
              <w:rPr>
                <w:spacing w:val="2"/>
              </w:rPr>
              <w:t>部门中正确的研讨会参与者；</w:t>
            </w:r>
            <w:r>
              <w:rPr/>
              <w:t xml:space="preserve"> </w:t>
            </w:r>
            <w:r>
              <w:rPr/>
              <w:t>(5)执行数据治理成熟度评估研讨会；(6)与高层管理人员沟通评估结果</w:t>
            </w:r>
          </w:p>
        </w:tc>
      </w:tr>
      <w:tr>
        <w:trPr>
          <w:trHeight w:val="569" w:hRule="atLeast"/>
        </w:trPr>
        <w:tc>
          <w:tcPr>
            <w:tcW w:w="634" w:type="dxa"/>
            <w:vAlign w:val="top"/>
          </w:tcPr>
          <w:p>
            <w:pPr>
              <w:pStyle w:val="TableText"/>
              <w:ind w:left="265"/>
              <w:spacing w:before="245" w:line="183" w:lineRule="auto"/>
              <w:rPr/>
            </w:pPr>
            <w:r>
              <w:rPr/>
              <w:t>4</w:t>
            </w:r>
          </w:p>
        </w:tc>
        <w:tc>
          <w:tcPr>
            <w:tcW w:w="1348" w:type="dxa"/>
            <w:vAlign w:val="top"/>
          </w:tcPr>
          <w:p>
            <w:pPr>
              <w:pStyle w:val="TableText"/>
              <w:ind w:left="291"/>
              <w:spacing w:before="207" w:line="219" w:lineRule="auto"/>
              <w:rPr/>
            </w:pPr>
            <w:r>
              <w:rPr>
                <w:spacing w:val="-1"/>
              </w:rPr>
              <w:t>创建路线图</w:t>
            </w:r>
          </w:p>
        </w:tc>
        <w:tc>
          <w:tcPr>
            <w:tcW w:w="5598" w:type="dxa"/>
            <w:vAlign w:val="top"/>
          </w:tcPr>
          <w:p>
            <w:pPr>
              <w:pStyle w:val="TableText"/>
              <w:ind w:left="122" w:right="217" w:firstLine="140"/>
              <w:spacing w:before="85" w:line="283" w:lineRule="auto"/>
              <w:rPr/>
            </w:pPr>
            <w:r>
              <w:rPr/>
              <w:t>(1)总结数据治理成熟度评估的结果；(2)列出填补评估中强调的差距所需的关</w:t>
            </w:r>
            <w:r>
              <w:rPr>
                <w:spacing w:val="6"/>
              </w:rPr>
              <w:t xml:space="preserve"> </w:t>
            </w:r>
            <w:r>
              <w:rPr/>
              <w:t>键人员、流程和技术计划：(3)基于关键计划的优</w:t>
            </w:r>
            <w:r>
              <w:rPr>
                <w:spacing w:val="-1"/>
              </w:rPr>
              <w:t>先级创建路线图</w:t>
            </w:r>
          </w:p>
        </w:tc>
      </w:tr>
      <w:tr>
        <w:trPr>
          <w:trHeight w:val="839" w:hRule="atLeast"/>
        </w:trPr>
        <w:tc>
          <w:tcPr>
            <w:tcW w:w="634" w:type="dxa"/>
            <w:vAlign w:val="top"/>
          </w:tcPr>
          <w:p>
            <w:pPr>
              <w:spacing w:line="336" w:lineRule="auto"/>
              <w:rPr>
                <w:rFonts w:ascii="Arial"/>
                <w:sz w:val="21"/>
              </w:rPr>
            </w:pPr>
            <w:r/>
          </w:p>
          <w:p>
            <w:pPr>
              <w:pStyle w:val="TableText"/>
              <w:ind w:left="265"/>
              <w:spacing w:before="49" w:line="182" w:lineRule="auto"/>
              <w:rPr/>
            </w:pPr>
            <w:r>
              <w:rPr/>
              <w:t>5</w:t>
            </w:r>
          </w:p>
        </w:tc>
        <w:tc>
          <w:tcPr>
            <w:tcW w:w="1348" w:type="dxa"/>
            <w:vAlign w:val="top"/>
          </w:tcPr>
          <w:p>
            <w:pPr>
              <w:spacing w:line="298" w:lineRule="auto"/>
              <w:rPr>
                <w:rFonts w:ascii="Arial"/>
                <w:sz w:val="21"/>
              </w:rPr>
            </w:pPr>
            <w:r/>
          </w:p>
          <w:p>
            <w:pPr>
              <w:pStyle w:val="TableText"/>
              <w:ind w:left="211"/>
              <w:spacing w:before="49" w:line="221" w:lineRule="auto"/>
              <w:rPr/>
            </w:pPr>
            <w:r>
              <w:rPr>
                <w:spacing w:val="2"/>
              </w:rPr>
              <w:t>建立组织蓝图</w:t>
            </w:r>
          </w:p>
        </w:tc>
        <w:tc>
          <w:tcPr>
            <w:tcW w:w="5598" w:type="dxa"/>
            <w:vAlign w:val="top"/>
          </w:tcPr>
          <w:p>
            <w:pPr>
              <w:pStyle w:val="TableText"/>
              <w:ind w:left="122" w:right="284" w:firstLine="140"/>
              <w:spacing w:before="86" w:line="303" w:lineRule="auto"/>
              <w:jc w:val="both"/>
              <w:rPr/>
            </w:pPr>
            <w:r>
              <w:rPr/>
              <w:t>(1)定义数据治理章程；(2)定义数据治理的组织结构；(3)建立数据治理委员</w:t>
            </w:r>
            <w:r>
              <w:rPr>
                <w:spacing w:val="14"/>
              </w:rPr>
              <w:t xml:space="preserve"> </w:t>
            </w:r>
            <w:r>
              <w:rPr/>
              <w:t>会：(4)建立数据治理工作组；(5)确定数据监管人；(6)举行数据治理委员会和</w:t>
            </w:r>
            <w:r>
              <w:rPr>
                <w:spacing w:val="3"/>
              </w:rPr>
              <w:t xml:space="preserve"> </w:t>
            </w:r>
            <w:r>
              <w:rPr>
                <w:spacing w:val="-1"/>
              </w:rPr>
              <w:t>工作组定期会议</w:t>
            </w:r>
          </w:p>
        </w:tc>
      </w:tr>
      <w:tr>
        <w:trPr>
          <w:trHeight w:val="1119" w:hRule="atLeast"/>
        </w:trPr>
        <w:tc>
          <w:tcPr>
            <w:tcW w:w="634" w:type="dxa"/>
            <w:vAlign w:val="top"/>
          </w:tcPr>
          <w:p>
            <w:pPr>
              <w:spacing w:line="476" w:lineRule="auto"/>
              <w:rPr>
                <w:rFonts w:ascii="Arial"/>
                <w:sz w:val="21"/>
              </w:rPr>
            </w:pPr>
            <w:r/>
          </w:p>
          <w:p>
            <w:pPr>
              <w:pStyle w:val="TableText"/>
              <w:ind w:left="265"/>
              <w:spacing w:before="48" w:line="183" w:lineRule="auto"/>
              <w:rPr/>
            </w:pPr>
            <w:r>
              <w:rPr/>
              <w:t>6</w:t>
            </w:r>
          </w:p>
        </w:tc>
        <w:tc>
          <w:tcPr>
            <w:tcW w:w="1348" w:type="dxa"/>
            <w:vAlign w:val="top"/>
          </w:tcPr>
          <w:p>
            <w:pPr>
              <w:spacing w:line="437" w:lineRule="auto"/>
              <w:rPr>
                <w:rFonts w:ascii="Arial"/>
                <w:sz w:val="21"/>
              </w:rPr>
            </w:pPr>
            <w:r/>
          </w:p>
          <w:p>
            <w:pPr>
              <w:pStyle w:val="TableText"/>
              <w:ind w:left="211"/>
              <w:spacing w:before="49" w:line="219" w:lineRule="auto"/>
              <w:rPr/>
            </w:pPr>
            <w:r>
              <w:rPr>
                <w:spacing w:val="-1"/>
              </w:rPr>
              <w:t>创建数据字典</w:t>
            </w:r>
          </w:p>
        </w:tc>
        <w:tc>
          <w:tcPr>
            <w:tcW w:w="5598" w:type="dxa"/>
            <w:vAlign w:val="top"/>
          </w:tcPr>
          <w:p>
            <w:pPr>
              <w:pStyle w:val="TableText"/>
              <w:ind w:left="122" w:right="298" w:firstLine="140"/>
              <w:spacing w:before="78" w:line="282" w:lineRule="auto"/>
              <w:rPr/>
            </w:pPr>
            <w:r>
              <w:rPr/>
              <w:t>(1)选择一个数据领域；(2)安排数据照管人来维护关键业务词汇；(3)识别关 </w:t>
            </w:r>
            <w:r>
              <w:rPr/>
              <w:t>键数据元素(4)从现有的词汇术语表创建数据字典；(5)填充数据</w:t>
            </w:r>
            <w:r>
              <w:rPr>
                <w:spacing w:val="-1"/>
              </w:rPr>
              <w:t>字典；(6)链</w:t>
            </w:r>
          </w:p>
          <w:p>
            <w:pPr>
              <w:pStyle w:val="TableText"/>
              <w:ind w:left="113" w:right="230"/>
              <w:spacing w:before="100" w:line="283" w:lineRule="auto"/>
              <w:rPr/>
            </w:pPr>
            <w:r>
              <w:rPr/>
              <w:t>接业务词汇与技术工件；(7)支持数据治理审计、报告和日志需求；</w:t>
            </w:r>
            <w:r>
              <w:rPr>
                <w:spacing w:val="-1"/>
              </w:rPr>
              <w:t>(8)整合数据</w:t>
            </w:r>
            <w:r>
              <w:rPr/>
              <w:t xml:space="preserve"> </w:t>
            </w:r>
            <w:r>
              <w:rPr>
                <w:spacing w:val="-1"/>
              </w:rPr>
              <w:t>字典与应用程序环境</w:t>
            </w:r>
          </w:p>
        </w:tc>
      </w:tr>
      <w:tr>
        <w:trPr>
          <w:trHeight w:val="1409" w:hRule="atLeast"/>
        </w:trPr>
        <w:tc>
          <w:tcPr>
            <w:tcW w:w="634" w:type="dxa"/>
            <w:vAlign w:val="top"/>
          </w:tcPr>
          <w:p>
            <w:pPr>
              <w:spacing w:line="308" w:lineRule="auto"/>
              <w:rPr>
                <w:rFonts w:ascii="Arial"/>
                <w:sz w:val="21"/>
              </w:rPr>
            </w:pPr>
            <w:r/>
          </w:p>
          <w:p>
            <w:pPr>
              <w:spacing w:line="309" w:lineRule="auto"/>
              <w:rPr>
                <w:rFonts w:ascii="Arial"/>
                <w:sz w:val="21"/>
              </w:rPr>
            </w:pPr>
            <w:r/>
          </w:p>
          <w:p>
            <w:pPr>
              <w:pStyle w:val="TableText"/>
              <w:ind w:left="265"/>
              <w:spacing w:before="48" w:line="182" w:lineRule="auto"/>
              <w:rPr/>
            </w:pPr>
            <w:r>
              <w:rPr/>
              <w:t>7</w:t>
            </w:r>
          </w:p>
        </w:tc>
        <w:tc>
          <w:tcPr>
            <w:tcW w:w="1348" w:type="dxa"/>
            <w:vAlign w:val="top"/>
          </w:tcPr>
          <w:p>
            <w:pPr>
              <w:spacing w:line="288" w:lineRule="auto"/>
              <w:rPr>
                <w:rFonts w:ascii="Arial"/>
                <w:sz w:val="21"/>
              </w:rPr>
            </w:pPr>
            <w:r/>
          </w:p>
          <w:p>
            <w:pPr>
              <w:spacing w:line="289" w:lineRule="auto"/>
              <w:rPr>
                <w:rFonts w:ascii="Arial"/>
                <w:sz w:val="21"/>
              </w:rPr>
            </w:pPr>
            <w:r/>
          </w:p>
          <w:p>
            <w:pPr>
              <w:pStyle w:val="TableText"/>
              <w:ind w:left="361"/>
              <w:spacing w:before="49" w:line="219" w:lineRule="auto"/>
              <w:rPr/>
            </w:pPr>
            <w:r>
              <w:rPr>
                <w:spacing w:val="-2"/>
              </w:rPr>
              <w:t>理解数据</w:t>
            </w:r>
          </w:p>
        </w:tc>
        <w:tc>
          <w:tcPr>
            <w:tcW w:w="5598" w:type="dxa"/>
            <w:vAlign w:val="top"/>
          </w:tcPr>
          <w:p>
            <w:pPr>
              <w:pStyle w:val="TableText"/>
              <w:ind w:left="253"/>
              <w:spacing w:before="90" w:line="219" w:lineRule="auto"/>
              <w:rPr/>
            </w:pPr>
            <w:r>
              <w:rPr/>
              <w:t>(1)理解范围内的每个数据源(a.执行列和表级别分析；b.通过逆向工程主一</w:t>
            </w:r>
          </w:p>
          <w:p>
            <w:pPr>
              <w:pStyle w:val="TableText"/>
              <w:ind w:left="133" w:right="213"/>
              <w:spacing w:before="101" w:line="288" w:lineRule="auto"/>
              <w:rPr/>
            </w:pPr>
            <w:r>
              <w:rPr/>
              <w:t>外键关系查询遗留模式；c.识别每个来源中的关键数据元素</w:t>
            </w:r>
            <w:r>
              <w:rPr>
                <w:spacing w:val="-1"/>
              </w:rPr>
              <w:t>的位置；d.识别每个</w:t>
            </w:r>
            <w:r>
              <w:rPr/>
              <w:t xml:space="preserve"> </w:t>
            </w:r>
            <w:r>
              <w:rPr/>
              <w:t>来源中的敏感数据的位置);(2)理解来源之间的关系(a.理解</w:t>
            </w:r>
            <w:r>
              <w:rPr>
                <w:spacing w:val="-1"/>
              </w:rPr>
              <w:t>关键数据元素在各</w:t>
            </w:r>
          </w:p>
          <w:p>
            <w:pPr>
              <w:pStyle w:val="TableText"/>
              <w:ind w:left="122" w:right="70"/>
              <w:spacing w:before="91" w:line="282" w:lineRule="auto"/>
              <w:rPr/>
            </w:pPr>
            <w:r>
              <w:rPr/>
              <w:t>个数据源之间的数据重叠情况；b.发现来源之间的数据连接和复杂转</w:t>
            </w:r>
            <w:r>
              <w:rPr>
                <w:spacing w:val="-1"/>
              </w:rPr>
              <w:t>换逻辑；c.发</w:t>
            </w:r>
            <w:r>
              <w:rPr/>
              <w:t xml:space="preserve"> </w:t>
            </w:r>
            <w:r>
              <w:rPr>
                <w:spacing w:val="2"/>
              </w:rPr>
              <w:t>现数据不一致性和异常)</w:t>
            </w:r>
          </w:p>
        </w:tc>
      </w:tr>
      <w:tr>
        <w:trPr>
          <w:trHeight w:val="549" w:hRule="atLeast"/>
        </w:trPr>
        <w:tc>
          <w:tcPr>
            <w:tcW w:w="634" w:type="dxa"/>
            <w:vAlign w:val="top"/>
          </w:tcPr>
          <w:p>
            <w:pPr>
              <w:pStyle w:val="TableText"/>
              <w:ind w:left="265"/>
              <w:spacing w:before="239" w:line="183" w:lineRule="auto"/>
              <w:rPr/>
            </w:pPr>
            <w:r>
              <w:rPr/>
              <w:t>8</w:t>
            </w:r>
          </w:p>
        </w:tc>
        <w:tc>
          <w:tcPr>
            <w:tcW w:w="1348" w:type="dxa"/>
            <w:vAlign w:val="top"/>
          </w:tcPr>
          <w:p>
            <w:pPr>
              <w:pStyle w:val="TableText"/>
              <w:ind w:left="291"/>
              <w:spacing w:before="70" w:line="281" w:lineRule="exact"/>
              <w:rPr/>
            </w:pPr>
            <w:r>
              <w:rPr>
                <w:spacing w:val="-1"/>
                <w:position w:val="10"/>
              </w:rPr>
              <w:t>创建元数据</w:t>
            </w:r>
          </w:p>
          <w:p>
            <w:pPr>
              <w:pStyle w:val="TableText"/>
              <w:ind w:left="441"/>
              <w:spacing w:line="219" w:lineRule="auto"/>
              <w:rPr/>
            </w:pPr>
            <w:r>
              <w:rPr>
                <w:spacing w:val="-2"/>
              </w:rPr>
              <w:t>存储库</w:t>
            </w:r>
          </w:p>
        </w:tc>
        <w:tc>
          <w:tcPr>
            <w:tcW w:w="5598" w:type="dxa"/>
            <w:vAlign w:val="top"/>
          </w:tcPr>
          <w:p>
            <w:pPr>
              <w:pStyle w:val="TableText"/>
              <w:ind w:left="133" w:right="218" w:firstLine="130"/>
              <w:spacing w:before="80" w:line="282" w:lineRule="auto"/>
              <w:rPr/>
            </w:pPr>
            <w:r>
              <w:rPr/>
              <w:t>(1)合并来自数据字典的业务元数据和来自发现流程的技术元数据；(2)确保合</w:t>
            </w:r>
            <w:r>
              <w:rPr>
                <w:spacing w:val="5"/>
              </w:rPr>
              <w:t xml:space="preserve"> </w:t>
            </w:r>
            <w:r>
              <w:rPr/>
              <w:t>适的数据血统；(3)执行影响分析；(4)</w:t>
            </w:r>
            <w:r>
              <w:rPr>
                <w:spacing w:val="-1"/>
              </w:rPr>
              <w:t>管理操作元数据</w:t>
            </w:r>
          </w:p>
        </w:tc>
      </w:tr>
      <w:tr>
        <w:trPr>
          <w:trHeight w:val="559" w:hRule="atLeast"/>
        </w:trPr>
        <w:tc>
          <w:tcPr>
            <w:tcW w:w="634" w:type="dxa"/>
            <w:vAlign w:val="top"/>
          </w:tcPr>
          <w:p>
            <w:pPr>
              <w:pStyle w:val="TableText"/>
              <w:ind w:left="265"/>
              <w:spacing w:before="250" w:line="183" w:lineRule="auto"/>
              <w:rPr/>
            </w:pPr>
            <w:r>
              <w:rPr/>
              <w:t>9</w:t>
            </w:r>
          </w:p>
        </w:tc>
        <w:tc>
          <w:tcPr>
            <w:tcW w:w="1348" w:type="dxa"/>
            <w:vAlign w:val="top"/>
          </w:tcPr>
          <w:p>
            <w:pPr>
              <w:pStyle w:val="TableText"/>
              <w:ind w:left="211"/>
              <w:spacing w:before="212" w:line="220" w:lineRule="auto"/>
              <w:rPr/>
            </w:pPr>
            <w:r>
              <w:rPr>
                <w:spacing w:val="-2"/>
              </w:rPr>
              <w:t>定义度量指标</w:t>
            </w:r>
          </w:p>
        </w:tc>
        <w:tc>
          <w:tcPr>
            <w:tcW w:w="5598" w:type="dxa"/>
            <w:vAlign w:val="top"/>
          </w:tcPr>
          <w:p>
            <w:pPr>
              <w:pStyle w:val="TableText"/>
              <w:ind w:left="122" w:right="474" w:firstLine="160"/>
              <w:spacing w:before="81" w:line="281" w:lineRule="auto"/>
              <w:rPr/>
            </w:pPr>
            <w:r>
              <w:rPr>
                <w:spacing w:val="1"/>
              </w:rPr>
              <w:t>(1)理解业务的整体关键绩效指标(</w:t>
            </w:r>
            <w:r>
              <w:rPr/>
              <w:t>KPI</w:t>
            </w:r>
            <w:r>
              <w:rPr>
                <w:spacing w:val="1"/>
              </w:rPr>
              <w:t>);(2)定义数据治理的</w:t>
            </w:r>
            <w:r>
              <w:rPr/>
              <w:t>业务驱动KPI: </w:t>
            </w:r>
            <w:r>
              <w:rPr/>
              <w:t>(3)定义数据治理的技术KPI;(4)建立数据治理成熟度评估的仪表板</w:t>
            </w:r>
          </w:p>
        </w:tc>
      </w:tr>
      <w:tr>
        <w:trPr>
          <w:trHeight w:val="3382" w:hRule="atLeast"/>
        </w:trPr>
        <w:tc>
          <w:tcPr>
            <w:tcW w:w="634" w:type="dxa"/>
            <w:vAlign w:val="top"/>
          </w:tcPr>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pStyle w:val="TableText"/>
              <w:ind w:left="235"/>
              <w:spacing w:before="49" w:line="184" w:lineRule="auto"/>
              <w:rPr/>
            </w:pPr>
            <w:r>
              <w:rPr>
                <w:spacing w:val="-5"/>
              </w:rPr>
              <w:t>10</w:t>
            </w:r>
          </w:p>
        </w:tc>
        <w:tc>
          <w:tcPr>
            <w:tcW w:w="1348" w:type="dxa"/>
            <w:vAlign w:val="top"/>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291"/>
              <w:spacing w:before="49" w:line="219" w:lineRule="auto"/>
              <w:rPr/>
            </w:pPr>
            <w:r>
              <w:rPr>
                <w:spacing w:val="-2"/>
              </w:rPr>
              <w:t>主数据治理</w:t>
            </w:r>
          </w:p>
        </w:tc>
        <w:tc>
          <w:tcPr>
            <w:tcW w:w="5598" w:type="dxa"/>
            <w:vAlign w:val="top"/>
          </w:tcPr>
          <w:p>
            <w:pPr>
              <w:pStyle w:val="TableText"/>
              <w:ind w:left="113" w:right="289" w:firstLine="160"/>
              <w:spacing w:before="91" w:line="307" w:lineRule="auto"/>
              <w:jc w:val="both"/>
              <w:rPr/>
            </w:pPr>
            <w:r>
              <w:rPr>
                <w:spacing w:val="2"/>
              </w:rPr>
              <w:t>(1)任命数据照管人(a.任命首席数据照管人；b.确定数据照管计划的配置；</w:t>
            </w:r>
            <w:r>
              <w:rPr/>
              <w:t xml:space="preserve"> </w:t>
            </w:r>
            <w:r>
              <w:rPr/>
              <w:t>c.确定每个数据领域的高层支持者；d.招聘每个数据领域</w:t>
            </w:r>
            <w:r>
              <w:rPr>
                <w:spacing w:val="-1"/>
              </w:rPr>
              <w:t>的数据照管人；e.授</w:t>
            </w:r>
            <w:r>
              <w:rPr/>
              <w:t xml:space="preserve">  </w:t>
            </w:r>
            <w:r>
              <w:rPr>
                <w:spacing w:val="2"/>
              </w:rPr>
              <w:t>权数据治理委员会监督数据照管计划。);</w:t>
            </w:r>
          </w:p>
          <w:p>
            <w:pPr>
              <w:pStyle w:val="TableText"/>
              <w:ind w:left="122" w:right="367" w:firstLine="140"/>
              <w:spacing w:before="101" w:line="283" w:lineRule="auto"/>
              <w:rPr/>
            </w:pPr>
            <w:r>
              <w:rPr/>
              <w:t>(2)管理数据质量(a.建立数据质量策略，包括高价值数据属性的识别；b.设</w:t>
            </w:r>
            <w:r>
              <w:rPr>
                <w:spacing w:val="6"/>
              </w:rPr>
              <w:t xml:space="preserve"> </w:t>
            </w:r>
            <w:r>
              <w:rPr>
                <w:spacing w:val="1"/>
              </w:rPr>
              <w:t>置数据质量基准；c.创建业务案例；d.清理数据；e.持续监控数</w:t>
            </w:r>
            <w:r>
              <w:rPr/>
              <w:t>据质量。);</w:t>
            </w:r>
          </w:p>
          <w:p>
            <w:pPr>
              <w:pStyle w:val="TableText"/>
              <w:ind w:left="273"/>
              <w:spacing w:before="102" w:line="219" w:lineRule="auto"/>
              <w:rPr/>
            </w:pPr>
            <w:r>
              <w:rPr/>
              <w:t>(3)实现主数据管理(a。识别业务问题；b.定义主数据主题区域；c。识别使</w:t>
            </w:r>
          </w:p>
          <w:p>
            <w:pPr>
              <w:pStyle w:val="TableText"/>
              <w:ind w:left="113"/>
              <w:spacing w:before="71" w:line="219" w:lineRule="auto"/>
              <w:rPr/>
            </w:pPr>
            <w:r>
              <w:rPr>
                <w:spacing w:val="2"/>
              </w:rPr>
              <w:t>用数据的系统和业务流程；d.识别当前的数据源；e.定义记录系统的数据属性；</w:t>
            </w:r>
          </w:p>
          <w:p>
            <w:pPr>
              <w:pStyle w:val="TableText"/>
              <w:ind w:left="133"/>
              <w:spacing w:before="126" w:line="214" w:lineRule="auto"/>
              <w:rPr/>
            </w:pPr>
            <w:r>
              <w:rPr/>
              <w:t>f.为每个记录系统任命数据照管人；g.建立主数据治理策略；h.为手动干预和</w:t>
            </w:r>
          </w:p>
          <w:p>
            <w:pPr>
              <w:pStyle w:val="TableText"/>
              <w:ind w:left="133"/>
              <w:spacing w:before="98" w:line="214" w:lineRule="auto"/>
              <w:rPr/>
            </w:pPr>
            <w:r>
              <w:rPr/>
              <w:t>监控实现数据照管控制台；i.管理潜在的重叠任务；j.匹配来</w:t>
            </w:r>
            <w:r>
              <w:rPr>
                <w:spacing w:val="-1"/>
              </w:rPr>
              <w:t>自相同来源或多个</w:t>
            </w:r>
          </w:p>
          <w:p>
            <w:pPr>
              <w:pStyle w:val="TableText"/>
              <w:ind w:left="133"/>
              <w:spacing w:before="120" w:line="219" w:lineRule="auto"/>
              <w:rPr/>
            </w:pPr>
            <w:r>
              <w:rPr/>
              <w:t>来源的可疑重复内容，创建一个新主记录；k.链接来自多个来源的</w:t>
            </w:r>
            <w:r>
              <w:rPr>
                <w:spacing w:val="-1"/>
              </w:rPr>
              <w:t>相关记录；1.检</w:t>
            </w:r>
          </w:p>
          <w:p>
            <w:pPr>
              <w:pStyle w:val="TableText"/>
              <w:ind w:left="122" w:right="522"/>
              <w:spacing w:before="97" w:line="291" w:lineRule="auto"/>
              <w:rPr/>
            </w:pPr>
            <w:r>
              <w:rPr/>
              <w:t>查唯一标识符是否重复；m.管理关系；n.管理层次结构；o</w:t>
            </w:r>
            <w:r>
              <w:rPr>
                <w:spacing w:val="-1"/>
              </w:rPr>
              <w:t>.管理分组；p.构</w:t>
            </w:r>
            <w:r>
              <w:rPr/>
              <w:t xml:space="preserve"> </w:t>
            </w:r>
            <w:r>
              <w:rPr>
                <w:spacing w:val="2"/>
              </w:rPr>
              <w:t>建主数据管理解决方案。)</w:t>
            </w:r>
          </w:p>
        </w:tc>
      </w:tr>
    </w:tbl>
    <w:p>
      <w:pPr>
        <w:pStyle w:val="BodyText"/>
        <w:rPr/>
      </w:pPr>
      <w:r/>
    </w:p>
    <w:p>
      <w:pPr>
        <w:sectPr>
          <w:footerReference w:type="default" r:id="rId63"/>
          <w:pgSz w:w="8870" w:h="13400"/>
          <w:pgMar w:top="400" w:right="725" w:bottom="508" w:left="259" w:header="0" w:footer="299" w:gutter="0"/>
        </w:sectPr>
        <w:rPr/>
      </w:pPr>
    </w:p>
    <w:p>
      <w:pPr>
        <w:ind w:left="5503"/>
        <w:spacing w:before="194" w:line="219" w:lineRule="auto"/>
        <w:rPr>
          <w:rFonts w:ascii="SimSun" w:hAnsi="SimSun" w:eastAsia="SimSun" w:cs="SimSun"/>
          <w:sz w:val="22"/>
          <w:szCs w:val="22"/>
        </w:rPr>
      </w:pPr>
      <w:r>
        <w:rPr>
          <w:rFonts w:ascii="SimSun" w:hAnsi="SimSun" w:eastAsia="SimSun" w:cs="SimSun"/>
          <w:sz w:val="22"/>
          <w:szCs w:val="22"/>
          <w:b/>
          <w:bCs/>
          <w:spacing w:val="-12"/>
        </w:rPr>
        <w:t>第1章</w:t>
      </w:r>
      <w:r>
        <w:rPr>
          <w:rFonts w:ascii="SimSun" w:hAnsi="SimSun" w:eastAsia="SimSun" w:cs="SimSun"/>
          <w:sz w:val="22"/>
          <w:szCs w:val="22"/>
          <w:spacing w:val="-12"/>
        </w:rPr>
        <w:t xml:space="preserve">  </w:t>
      </w:r>
      <w:r>
        <w:rPr>
          <w:rFonts w:ascii="SimSun" w:hAnsi="SimSun" w:eastAsia="SimSun" w:cs="SimSun"/>
          <w:sz w:val="22"/>
          <w:szCs w:val="22"/>
          <w:b/>
          <w:bCs/>
          <w:spacing w:val="-12"/>
        </w:rPr>
        <w:t>数据治理概述■</w:t>
      </w:r>
    </w:p>
    <w:p>
      <w:pPr>
        <w:pStyle w:val="BodyText"/>
        <w:spacing w:line="317" w:lineRule="auto"/>
        <w:rPr/>
      </w:pPr>
      <w:r/>
    </w:p>
    <w:p>
      <w:pPr>
        <w:ind w:left="6859"/>
        <w:spacing w:before="52" w:line="220" w:lineRule="auto"/>
        <w:rPr>
          <w:rFonts w:ascii="SimSun" w:hAnsi="SimSun" w:eastAsia="SimSun" w:cs="SimSun"/>
          <w:sz w:val="16"/>
          <w:szCs w:val="16"/>
        </w:rPr>
      </w:pPr>
      <w:r>
        <w:rPr>
          <w:rFonts w:ascii="SimSun" w:hAnsi="SimSun" w:eastAsia="SimSun" w:cs="SimSun"/>
          <w:sz w:val="16"/>
          <w:szCs w:val="16"/>
          <w:spacing w:val="-3"/>
        </w:rPr>
        <w:t>续表</w:t>
      </w:r>
    </w:p>
    <w:p>
      <w:pPr>
        <w:spacing w:line="17"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44"/>
        <w:gridCol w:w="1338"/>
        <w:gridCol w:w="5617"/>
      </w:tblGrid>
      <w:tr>
        <w:trPr>
          <w:trHeight w:val="324" w:hRule="atLeast"/>
        </w:trPr>
        <w:tc>
          <w:tcPr>
            <w:tcW w:w="644" w:type="dxa"/>
            <w:vAlign w:val="top"/>
          </w:tcPr>
          <w:p>
            <w:pPr>
              <w:pStyle w:val="TableText"/>
              <w:ind w:left="164"/>
              <w:spacing w:before="91" w:line="219" w:lineRule="auto"/>
              <w:rPr/>
            </w:pPr>
            <w:r>
              <w:rPr>
                <w:spacing w:val="-2"/>
              </w:rPr>
              <w:t>步骤</w:t>
            </w:r>
          </w:p>
        </w:tc>
        <w:tc>
          <w:tcPr>
            <w:tcW w:w="1338" w:type="dxa"/>
            <w:vAlign w:val="top"/>
          </w:tcPr>
          <w:p>
            <w:pPr>
              <w:pStyle w:val="TableText"/>
              <w:ind w:left="391"/>
              <w:spacing w:before="91" w:line="220" w:lineRule="auto"/>
              <w:rPr/>
            </w:pPr>
            <w:r>
              <w:rPr>
                <w:spacing w:val="-5"/>
              </w:rPr>
              <w:t>活</w:t>
            </w:r>
            <w:r>
              <w:rPr>
                <w:spacing w:val="10"/>
              </w:rPr>
              <w:t xml:space="preserve">   </w:t>
            </w:r>
            <w:r>
              <w:rPr>
                <w:spacing w:val="-5"/>
              </w:rPr>
              <w:t>动</w:t>
            </w:r>
          </w:p>
        </w:tc>
        <w:tc>
          <w:tcPr>
            <w:tcW w:w="5617" w:type="dxa"/>
            <w:vAlign w:val="top"/>
          </w:tcPr>
          <w:p>
            <w:pPr>
              <w:pStyle w:val="TableText"/>
              <w:ind w:left="2382"/>
              <w:spacing w:before="91" w:line="219" w:lineRule="auto"/>
              <w:rPr/>
            </w:pPr>
            <w:r>
              <w:rPr>
                <w:spacing w:val="-10"/>
              </w:rPr>
              <w:t>主</w:t>
            </w:r>
            <w:r>
              <w:rPr>
                <w:spacing w:val="17"/>
              </w:rPr>
              <w:t xml:space="preserve"> </w:t>
            </w:r>
            <w:r>
              <w:rPr>
                <w:spacing w:val="-10"/>
              </w:rPr>
              <w:t>要</w:t>
            </w:r>
            <w:r>
              <w:rPr>
                <w:spacing w:val="34"/>
                <w:w w:val="101"/>
              </w:rPr>
              <w:t xml:space="preserve"> </w:t>
            </w:r>
            <w:r>
              <w:rPr>
                <w:spacing w:val="-10"/>
              </w:rPr>
              <w:t>内</w:t>
            </w:r>
            <w:r>
              <w:rPr>
                <w:spacing w:val="17"/>
              </w:rPr>
              <w:t xml:space="preserve"> </w:t>
            </w:r>
            <w:r>
              <w:rPr>
                <w:spacing w:val="-10"/>
              </w:rPr>
              <w:t>容</w:t>
            </w:r>
          </w:p>
        </w:tc>
      </w:tr>
      <w:tr>
        <w:trPr>
          <w:trHeight w:val="558" w:hRule="atLeast"/>
        </w:trPr>
        <w:tc>
          <w:tcPr>
            <w:tcW w:w="644" w:type="dxa"/>
            <w:vAlign w:val="top"/>
          </w:tcPr>
          <w:p>
            <w:pPr>
              <w:pStyle w:val="TableText"/>
              <w:ind w:left="235"/>
              <w:spacing w:before="245" w:line="184" w:lineRule="auto"/>
              <w:rPr/>
            </w:pPr>
            <w:r>
              <w:rPr>
                <w:spacing w:val="-5"/>
              </w:rPr>
              <w:t>11</w:t>
            </w:r>
          </w:p>
        </w:tc>
        <w:tc>
          <w:tcPr>
            <w:tcW w:w="1338" w:type="dxa"/>
            <w:vAlign w:val="top"/>
          </w:tcPr>
          <w:p>
            <w:pPr>
              <w:pStyle w:val="TableText"/>
              <w:ind w:left="361"/>
              <w:spacing w:before="207" w:line="220" w:lineRule="auto"/>
              <w:rPr/>
            </w:pPr>
            <w:r>
              <w:rPr>
                <w:spacing w:val="-2"/>
              </w:rPr>
              <w:t>治理分析</w:t>
            </w:r>
          </w:p>
        </w:tc>
        <w:tc>
          <w:tcPr>
            <w:tcW w:w="5617" w:type="dxa"/>
            <w:vAlign w:val="top"/>
          </w:tcPr>
          <w:p>
            <w:pPr>
              <w:pStyle w:val="TableText"/>
              <w:ind w:left="102" w:right="765" w:firstLine="160"/>
              <w:spacing w:before="76" w:line="289" w:lineRule="auto"/>
              <w:rPr/>
            </w:pPr>
            <w:r>
              <w:rPr/>
              <w:t>(1)定义BICC的目标；(2)准备BICC的业务案例；(3)确定BICC的组织结</w:t>
            </w:r>
            <w:r>
              <w:rPr>
                <w:spacing w:val="2"/>
              </w:rPr>
              <w:t xml:space="preserve"> </w:t>
            </w:r>
            <w:r>
              <w:rPr>
                <w:spacing w:val="-1"/>
              </w:rPr>
              <w:t>构；(4)协商BICC的关键功能</w:t>
            </w:r>
          </w:p>
        </w:tc>
      </w:tr>
      <w:tr>
        <w:trPr>
          <w:trHeight w:val="1396" w:hRule="atLeast"/>
        </w:trPr>
        <w:tc>
          <w:tcPr>
            <w:tcW w:w="644" w:type="dxa"/>
            <w:vAlign w:val="top"/>
          </w:tcPr>
          <w:p>
            <w:pPr>
              <w:spacing w:line="307" w:lineRule="auto"/>
              <w:rPr>
                <w:rFonts w:ascii="Arial"/>
                <w:sz w:val="21"/>
              </w:rPr>
            </w:pPr>
            <w:r/>
          </w:p>
          <w:p>
            <w:pPr>
              <w:spacing w:line="307" w:lineRule="auto"/>
              <w:rPr>
                <w:rFonts w:ascii="Arial"/>
                <w:sz w:val="21"/>
              </w:rPr>
            </w:pPr>
            <w:r/>
          </w:p>
          <w:p>
            <w:pPr>
              <w:pStyle w:val="TableText"/>
              <w:ind w:left="235"/>
              <w:spacing w:before="49" w:line="184" w:lineRule="auto"/>
              <w:rPr/>
            </w:pPr>
            <w:r>
              <w:rPr>
                <w:spacing w:val="-5"/>
              </w:rPr>
              <w:t>12</w:t>
            </w:r>
          </w:p>
        </w:tc>
        <w:tc>
          <w:tcPr>
            <w:tcW w:w="1338" w:type="dxa"/>
            <w:vAlign w:val="top"/>
          </w:tcPr>
          <w:p>
            <w:pPr>
              <w:spacing w:line="288" w:lineRule="auto"/>
              <w:rPr>
                <w:rFonts w:ascii="Arial"/>
                <w:sz w:val="21"/>
              </w:rPr>
            </w:pPr>
            <w:r/>
          </w:p>
          <w:p>
            <w:pPr>
              <w:spacing w:line="289" w:lineRule="auto"/>
              <w:rPr>
                <w:rFonts w:ascii="Arial"/>
                <w:sz w:val="21"/>
              </w:rPr>
            </w:pPr>
            <w:r/>
          </w:p>
          <w:p>
            <w:pPr>
              <w:pStyle w:val="TableText"/>
              <w:ind w:left="131"/>
              <w:spacing w:before="48" w:line="219" w:lineRule="auto"/>
              <w:rPr/>
            </w:pPr>
            <w:r>
              <w:rPr>
                <w:spacing w:val="-2"/>
              </w:rPr>
              <w:t>管理安全和隐私</w:t>
            </w:r>
          </w:p>
        </w:tc>
        <w:tc>
          <w:tcPr>
            <w:tcW w:w="5617" w:type="dxa"/>
            <w:vAlign w:val="top"/>
          </w:tcPr>
          <w:p>
            <w:pPr>
              <w:pStyle w:val="TableText"/>
              <w:ind w:left="283"/>
              <w:spacing w:before="79" w:line="219" w:lineRule="auto"/>
              <w:rPr/>
            </w:pPr>
            <w:r>
              <w:rPr/>
              <w:t>(1)与关键利益相关者协调一致；(2)收集企业安全架构蓝图；(3)加强数据库</w:t>
            </w:r>
          </w:p>
          <w:p>
            <w:pPr>
              <w:pStyle w:val="TableText"/>
              <w:ind w:left="133" w:right="68" w:firstLine="120"/>
              <w:spacing w:before="101" w:line="282" w:lineRule="auto"/>
              <w:rPr/>
            </w:pPr>
            <w:r>
              <w:rPr/>
              <w:t>变更控制；(4)自动化合规性工作流程：(</w:t>
            </w:r>
            <w:r>
              <w:rPr>
                <w:spacing w:val="-1"/>
              </w:rPr>
              <w:t>5)定义敏感数据；(6)发现敏感数据：  </w:t>
            </w:r>
            <w:r>
              <w:rPr>
                <w:spacing w:val="2"/>
              </w:rPr>
              <w:t>(7)分类和标记敏感数据；(8)加密敏感数据；(9)保护非生产环境中的敏感数据；</w:t>
            </w:r>
          </w:p>
          <w:p>
            <w:pPr>
              <w:pStyle w:val="TableText"/>
              <w:ind w:left="112" w:right="237" w:firstLine="140"/>
              <w:spacing w:before="91" w:line="288" w:lineRule="auto"/>
              <w:rPr/>
            </w:pPr>
            <w:r>
              <w:rPr/>
              <w:t>(10)监控应用程序中的欺诈；(11)预防计算机攻击；(12)编校非结构化文档中</w:t>
            </w:r>
            <w:r>
              <w:rPr>
                <w:spacing w:val="15"/>
              </w:rPr>
              <w:t xml:space="preserve"> </w:t>
            </w:r>
            <w:r>
              <w:rPr>
                <w:spacing w:val="2"/>
              </w:rPr>
              <w:t>的敏感信息</w:t>
            </w:r>
          </w:p>
        </w:tc>
      </w:tr>
      <w:tr>
        <w:trPr>
          <w:trHeight w:val="858" w:hRule="atLeast"/>
        </w:trPr>
        <w:tc>
          <w:tcPr>
            <w:tcW w:w="644" w:type="dxa"/>
            <w:vAlign w:val="top"/>
          </w:tcPr>
          <w:p>
            <w:pPr>
              <w:spacing w:line="350" w:lineRule="auto"/>
              <w:rPr>
                <w:rFonts w:ascii="Arial"/>
                <w:sz w:val="21"/>
              </w:rPr>
            </w:pPr>
            <w:r/>
          </w:p>
          <w:p>
            <w:pPr>
              <w:pStyle w:val="TableText"/>
              <w:ind w:left="235"/>
              <w:spacing w:before="48" w:line="184" w:lineRule="auto"/>
              <w:rPr/>
            </w:pPr>
            <w:r>
              <w:rPr>
                <w:spacing w:val="-5"/>
              </w:rPr>
              <w:t>13</w:t>
            </w:r>
          </w:p>
        </w:tc>
        <w:tc>
          <w:tcPr>
            <w:tcW w:w="1338" w:type="dxa"/>
            <w:vAlign w:val="top"/>
          </w:tcPr>
          <w:p>
            <w:pPr>
              <w:pStyle w:val="TableText"/>
              <w:ind w:left="510" w:right="226" w:hanging="300"/>
              <w:spacing w:before="222" w:line="283" w:lineRule="auto"/>
              <w:rPr/>
            </w:pPr>
            <w:r>
              <w:rPr>
                <w:spacing w:val="-2"/>
              </w:rPr>
              <w:t>治理信息生命</w:t>
            </w:r>
            <w:r>
              <w:rPr>
                <w:spacing w:val="1"/>
              </w:rPr>
              <w:t xml:space="preserve"> </w:t>
            </w:r>
            <w:r>
              <w:rPr>
                <w:spacing w:val="-2"/>
              </w:rPr>
              <w:t>周期</w:t>
            </w:r>
          </w:p>
        </w:tc>
        <w:tc>
          <w:tcPr>
            <w:tcW w:w="5617" w:type="dxa"/>
            <w:vAlign w:val="top"/>
          </w:tcPr>
          <w:p>
            <w:pPr>
              <w:pStyle w:val="TableText"/>
              <w:ind w:left="173" w:right="190" w:firstLine="149"/>
              <w:spacing w:before="63" w:line="369" w:lineRule="auto"/>
              <w:rPr/>
            </w:pPr>
            <w:r>
              <w:rPr/>
              <w:t>(1)建立信息架构；(2)发现业务对象；(3)分类数据和定义服务水平；(4)归</w:t>
            </w:r>
            <w:r>
              <w:rPr>
                <w:spacing w:val="3"/>
              </w:rPr>
              <w:t xml:space="preserve">   </w:t>
            </w:r>
            <w:r>
              <w:rPr/>
              <w:t>档数据和非结构化内容；(5)建立管理测试数据的策略；(6)定</w:t>
            </w:r>
            <w:r>
              <w:rPr>
                <w:spacing w:val="-1"/>
              </w:rPr>
              <w:t>义电子文档法律查</w:t>
            </w:r>
          </w:p>
          <w:p>
            <w:pPr>
              <w:pStyle w:val="TableText"/>
              <w:ind w:left="122"/>
              <w:spacing w:line="219" w:lineRule="auto"/>
              <w:rPr/>
            </w:pPr>
            <w:r>
              <w:rPr>
                <w:spacing w:val="-1"/>
              </w:rPr>
              <w:t>询策略；(7)分析内容</w:t>
            </w:r>
          </w:p>
        </w:tc>
      </w:tr>
      <w:tr>
        <w:trPr>
          <w:trHeight w:val="833" w:hRule="atLeast"/>
        </w:trPr>
        <w:tc>
          <w:tcPr>
            <w:tcW w:w="644" w:type="dxa"/>
            <w:vAlign w:val="top"/>
          </w:tcPr>
          <w:p>
            <w:pPr>
              <w:spacing w:line="332" w:lineRule="auto"/>
              <w:rPr>
                <w:rFonts w:ascii="Arial"/>
                <w:sz w:val="21"/>
              </w:rPr>
            </w:pPr>
            <w:r/>
          </w:p>
          <w:p>
            <w:pPr>
              <w:pStyle w:val="TableText"/>
              <w:ind w:left="235"/>
              <w:spacing w:before="48" w:line="184" w:lineRule="auto"/>
              <w:rPr/>
            </w:pPr>
            <w:r>
              <w:rPr>
                <w:spacing w:val="-5"/>
              </w:rPr>
              <w:t>14</w:t>
            </w:r>
          </w:p>
        </w:tc>
        <w:tc>
          <w:tcPr>
            <w:tcW w:w="1338" w:type="dxa"/>
            <w:vAlign w:val="top"/>
          </w:tcPr>
          <w:p>
            <w:pPr>
              <w:spacing w:line="295" w:lineRule="auto"/>
              <w:rPr>
                <w:rFonts w:ascii="Arial"/>
                <w:sz w:val="21"/>
              </w:rPr>
            </w:pPr>
            <w:r/>
          </w:p>
          <w:p>
            <w:pPr>
              <w:pStyle w:val="TableText"/>
              <w:ind w:left="361"/>
              <w:spacing w:before="48" w:line="220" w:lineRule="auto"/>
              <w:rPr/>
            </w:pPr>
            <w:r>
              <w:rPr>
                <w:spacing w:val="-1"/>
              </w:rPr>
              <w:t>度量结果</w:t>
            </w:r>
          </w:p>
        </w:tc>
        <w:tc>
          <w:tcPr>
            <w:tcW w:w="5617" w:type="dxa"/>
            <w:vAlign w:val="top"/>
          </w:tcPr>
          <w:p>
            <w:pPr>
              <w:pStyle w:val="TableText"/>
              <w:ind w:left="102" w:right="111" w:firstLine="110"/>
              <w:spacing w:before="84" w:line="303" w:lineRule="auto"/>
              <w:rPr/>
            </w:pPr>
            <w:r>
              <w:rPr>
                <w:spacing w:val="-1"/>
              </w:rPr>
              <w:t>依据预先定义的KPI集度量结果，确保计划继续催生业务价值。这些结果需要定  </w:t>
            </w:r>
            <w:r>
              <w:rPr/>
              <w:t>期传达给数据治理委员会和高层管理人员。进度度量指标将确</w:t>
            </w:r>
            <w:r>
              <w:rPr>
                <w:spacing w:val="-1"/>
              </w:rPr>
              <w:t>保对数据治理计划的</w:t>
            </w:r>
            <w:r>
              <w:rPr/>
              <w:t xml:space="preserve"> </w:t>
            </w:r>
            <w:r>
              <w:rPr/>
              <w:t>持续支持和资金支助</w:t>
            </w:r>
          </w:p>
        </w:tc>
      </w:tr>
    </w:tbl>
    <w:p>
      <w:pPr>
        <w:ind w:left="443"/>
        <w:spacing w:before="192" w:line="217" w:lineRule="auto"/>
        <w:outlineLvl w:val="1"/>
        <w:rPr>
          <w:rFonts w:ascii="Times New Roman" w:hAnsi="Times New Roman" w:eastAsia="Times New Roman" w:cs="Times New Roman"/>
          <w:sz w:val="22"/>
          <w:szCs w:val="22"/>
        </w:rPr>
      </w:pPr>
      <w:r>
        <w:rPr>
          <w:rFonts w:ascii="YouYuan" w:hAnsi="YouYuan" w:eastAsia="YouYuan" w:cs="YouYuan"/>
          <w:sz w:val="22"/>
          <w:szCs w:val="22"/>
          <w:b/>
          <w:bCs/>
          <w:spacing w:val="-3"/>
        </w:rPr>
        <w:t>5.</w:t>
      </w:r>
      <w:r>
        <w:rPr>
          <w:rFonts w:ascii="YouYuan" w:hAnsi="YouYuan" w:eastAsia="YouYuan" w:cs="YouYuan"/>
          <w:sz w:val="22"/>
          <w:szCs w:val="22"/>
          <w:spacing w:val="-3"/>
        </w:rPr>
        <w:t xml:space="preserve"> </w:t>
      </w:r>
      <w:r>
        <w:rPr>
          <w:rFonts w:ascii="YouYuan" w:hAnsi="YouYuan" w:eastAsia="YouYuan" w:cs="YouYuan"/>
          <w:sz w:val="22"/>
          <w:szCs w:val="22"/>
          <w:b/>
          <w:bCs/>
          <w:spacing w:val="-3"/>
        </w:rPr>
        <w:t>数据治理成熟度模型</w:t>
      </w:r>
      <w:r>
        <w:rPr>
          <w:rFonts w:ascii="YouYuan" w:hAnsi="YouYuan" w:eastAsia="YouYuan" w:cs="YouYuan"/>
          <w:sz w:val="22"/>
          <w:szCs w:val="22"/>
          <w:spacing w:val="-3"/>
        </w:rPr>
        <w:t xml:space="preserve"> </w:t>
      </w:r>
      <w:r>
        <w:rPr>
          <w:rFonts w:ascii="Times New Roman" w:hAnsi="Times New Roman" w:eastAsia="Times New Roman" w:cs="Times New Roman"/>
          <w:sz w:val="22"/>
          <w:szCs w:val="22"/>
          <w:b/>
          <w:bCs/>
          <w:spacing w:val="-3"/>
        </w:rPr>
        <w:t>(DMM)</w:t>
      </w:r>
    </w:p>
    <w:p>
      <w:pPr>
        <w:ind w:right="256" w:firstLine="439"/>
        <w:spacing w:before="198" w:line="261" w:lineRule="auto"/>
        <w:jc w:val="both"/>
        <w:rPr>
          <w:rFonts w:ascii="SimSun" w:hAnsi="SimSun" w:eastAsia="SimSun" w:cs="SimSun"/>
          <w:sz w:val="22"/>
          <w:szCs w:val="22"/>
        </w:rPr>
      </w:pPr>
      <w:r>
        <w:rPr>
          <w:rFonts w:ascii="SimSun" w:hAnsi="SimSun" w:eastAsia="SimSun" w:cs="SimSun"/>
          <w:sz w:val="22"/>
          <w:szCs w:val="22"/>
          <w:spacing w:val="-1"/>
        </w:rPr>
        <w:t>由</w:t>
      </w:r>
      <w:r>
        <w:rPr>
          <w:rFonts w:ascii="SimSun" w:hAnsi="SimSun" w:eastAsia="SimSun" w:cs="SimSun"/>
          <w:sz w:val="22"/>
          <w:szCs w:val="22"/>
          <w:spacing w:val="-9"/>
        </w:rPr>
        <w:t xml:space="preserve"> </w:t>
      </w:r>
      <w:r>
        <w:rPr>
          <w:rFonts w:ascii="Times New Roman" w:hAnsi="Times New Roman" w:eastAsia="Times New Roman" w:cs="Times New Roman"/>
          <w:sz w:val="22"/>
          <w:szCs w:val="22"/>
          <w:spacing w:val="-1"/>
        </w:rPr>
        <w:t>CMMI</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
        </w:rPr>
        <w:t>研究所推出的数据管理成熟度</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1"/>
        </w:rPr>
        <w:t>(DMM)TM</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
        </w:rPr>
        <w:t>模型9,该模型的总体目</w:t>
      </w:r>
      <w:r>
        <w:rPr>
          <w:rFonts w:ascii="SimSun" w:hAnsi="SimSun" w:eastAsia="SimSun" w:cs="SimSun"/>
          <w:sz w:val="22"/>
          <w:szCs w:val="22"/>
        </w:rPr>
        <w:t xml:space="preserve"> </w:t>
      </w:r>
      <w:r>
        <w:rPr>
          <w:rFonts w:ascii="SimSun" w:hAnsi="SimSun" w:eastAsia="SimSun" w:cs="SimSun"/>
          <w:sz w:val="22"/>
          <w:szCs w:val="22"/>
          <w:spacing w:val="-8"/>
        </w:rPr>
        <w:t>标是帮助组织提高其关键数据资产管理的熟练程</w:t>
      </w:r>
      <w:r>
        <w:rPr>
          <w:rFonts w:ascii="SimSun" w:hAnsi="SimSun" w:eastAsia="SimSun" w:cs="SimSun"/>
          <w:sz w:val="22"/>
          <w:szCs w:val="22"/>
          <w:spacing w:val="-9"/>
        </w:rPr>
        <w:t>度，并提供适合持续改进、合规性</w:t>
      </w:r>
      <w:r>
        <w:rPr>
          <w:rFonts w:ascii="SimSun" w:hAnsi="SimSun" w:eastAsia="SimSun" w:cs="SimSun"/>
          <w:sz w:val="22"/>
          <w:szCs w:val="22"/>
        </w:rPr>
        <w:t xml:space="preserve"> </w:t>
      </w:r>
      <w:r>
        <w:rPr>
          <w:rFonts w:ascii="SimSun" w:hAnsi="SimSun" w:eastAsia="SimSun" w:cs="SimSun"/>
          <w:sz w:val="22"/>
          <w:szCs w:val="22"/>
          <w:spacing w:val="-7"/>
        </w:rPr>
        <w:t>和审计的基准。该模型包含了确立、建立、维持和优化整个</w:t>
      </w:r>
      <w:r>
        <w:rPr>
          <w:rFonts w:ascii="SimSun" w:hAnsi="SimSun" w:eastAsia="SimSun" w:cs="SimSun"/>
          <w:sz w:val="22"/>
          <w:szCs w:val="22"/>
          <w:spacing w:val="-8"/>
        </w:rPr>
        <w:t>数据生命周期的有效数</w:t>
      </w:r>
      <w:r>
        <w:rPr>
          <w:rFonts w:ascii="SimSun" w:hAnsi="SimSun" w:eastAsia="SimSun" w:cs="SimSun"/>
          <w:sz w:val="22"/>
          <w:szCs w:val="22"/>
        </w:rPr>
        <w:t xml:space="preserve"> </w:t>
      </w:r>
      <w:r>
        <w:rPr>
          <w:rFonts w:ascii="SimSun" w:hAnsi="SimSun" w:eastAsia="SimSun" w:cs="SimSun"/>
          <w:sz w:val="22"/>
          <w:szCs w:val="22"/>
          <w:spacing w:val="-10"/>
        </w:rPr>
        <w:t>据管理的最佳实践，该周期包括从数据的产生到交付、维护和归档。</w:t>
      </w:r>
    </w:p>
    <w:p>
      <w:pPr>
        <w:ind w:right="253" w:firstLine="439"/>
        <w:spacing w:before="58" w:line="252" w:lineRule="auto"/>
        <w:jc w:val="both"/>
        <w:rPr>
          <w:rFonts w:ascii="SimSun" w:hAnsi="SimSun" w:eastAsia="SimSun" w:cs="SimSun"/>
          <w:sz w:val="22"/>
          <w:szCs w:val="22"/>
        </w:rPr>
      </w:pPr>
      <w:r>
        <w:rPr>
          <w:rFonts w:ascii="Times New Roman" w:hAnsi="Times New Roman" w:eastAsia="Times New Roman" w:cs="Times New Roman"/>
          <w:sz w:val="22"/>
          <w:szCs w:val="22"/>
        </w:rPr>
        <w:t>DMM</w:t>
      </w:r>
      <w:r>
        <w:rPr>
          <w:rFonts w:ascii="SimSun" w:hAnsi="SimSun" w:eastAsia="SimSun" w:cs="SimSun"/>
          <w:sz w:val="22"/>
          <w:szCs w:val="22"/>
        </w:rPr>
        <w:t>模型由20个数据管理过程域和5个以</w:t>
      </w:r>
      <w:r>
        <w:rPr>
          <w:rFonts w:ascii="Times New Roman" w:hAnsi="Times New Roman" w:eastAsia="Times New Roman" w:cs="Times New Roman"/>
          <w:sz w:val="22"/>
          <w:szCs w:val="22"/>
        </w:rPr>
        <w:t>CMMI</w:t>
      </w:r>
      <w:r>
        <w:rPr>
          <w:rFonts w:ascii="SimSun" w:hAnsi="SimSun" w:eastAsia="SimSun" w:cs="SimSun"/>
          <w:sz w:val="22"/>
          <w:szCs w:val="22"/>
        </w:rPr>
        <w:t>过程域为基础的支持过程域</w:t>
      </w:r>
      <w:r>
        <w:rPr>
          <w:rFonts w:ascii="SimSun" w:hAnsi="SimSun" w:eastAsia="SimSun" w:cs="SimSun"/>
          <w:sz w:val="22"/>
          <w:szCs w:val="22"/>
          <w:spacing w:val="6"/>
        </w:rPr>
        <w:t xml:space="preserve"> </w:t>
      </w:r>
      <w:r>
        <w:rPr>
          <w:rFonts w:ascii="SimSun" w:hAnsi="SimSun" w:eastAsia="SimSun" w:cs="SimSun"/>
          <w:sz w:val="22"/>
          <w:szCs w:val="22"/>
          <w:spacing w:val="-8"/>
        </w:rPr>
        <w:t>构成。该模型分为五个大类，如图1-9所示，每个类别都包含了若干过程域。图1-9</w:t>
      </w:r>
      <w:r>
        <w:rPr>
          <w:rFonts w:ascii="SimSun" w:hAnsi="SimSun" w:eastAsia="SimSun" w:cs="SimSun"/>
          <w:sz w:val="22"/>
          <w:szCs w:val="22"/>
          <w:spacing w:val="12"/>
        </w:rPr>
        <w:t xml:space="preserve"> </w:t>
      </w:r>
      <w:r>
        <w:rPr>
          <w:rFonts w:ascii="SimSun" w:hAnsi="SimSun" w:eastAsia="SimSun" w:cs="SimSun"/>
          <w:sz w:val="22"/>
          <w:szCs w:val="22"/>
          <w:spacing w:val="-4"/>
        </w:rPr>
        <w:t>显示了这五个类别(数据管理战略、数据治理、数据质量、数据操作</w:t>
      </w:r>
      <w:r>
        <w:rPr>
          <w:rFonts w:ascii="SimSun" w:hAnsi="SimSun" w:eastAsia="SimSun" w:cs="SimSun"/>
          <w:sz w:val="22"/>
          <w:szCs w:val="22"/>
          <w:spacing w:val="-5"/>
        </w:rPr>
        <w:t>和数据平台及</w:t>
      </w:r>
      <w:r>
        <w:rPr>
          <w:rFonts w:ascii="SimSun" w:hAnsi="SimSun" w:eastAsia="SimSun" w:cs="SimSun"/>
          <w:sz w:val="22"/>
          <w:szCs w:val="22"/>
        </w:rPr>
        <w:t xml:space="preserve"> </w:t>
      </w:r>
      <w:r>
        <w:rPr>
          <w:rFonts w:ascii="SimSun" w:hAnsi="SimSun" w:eastAsia="SimSun" w:cs="SimSun"/>
          <w:sz w:val="22"/>
          <w:szCs w:val="22"/>
          <w:spacing w:val="-5"/>
        </w:rPr>
        <w:t>架构)是如何共同作用，形成一个有效的数据管理方案的。</w:t>
      </w:r>
      <w:r>
        <w:rPr>
          <w:rFonts w:ascii="Times New Roman" w:hAnsi="Times New Roman" w:eastAsia="Times New Roman" w:cs="Times New Roman"/>
          <w:sz w:val="22"/>
          <w:szCs w:val="22"/>
          <w:spacing w:val="-5"/>
        </w:rPr>
        <w:t>DMM  </w:t>
      </w:r>
      <w:r>
        <w:rPr>
          <w:rFonts w:ascii="SimSun" w:hAnsi="SimSun" w:eastAsia="SimSun" w:cs="SimSun"/>
          <w:sz w:val="22"/>
          <w:szCs w:val="22"/>
          <w:spacing w:val="-5"/>
        </w:rPr>
        <w:t>也包括</w:t>
      </w:r>
      <w:r>
        <w:rPr>
          <w:rFonts w:ascii="SimSun" w:hAnsi="SimSun" w:eastAsia="SimSun" w:cs="SimSun"/>
          <w:sz w:val="22"/>
          <w:szCs w:val="22"/>
          <w:spacing w:val="-6"/>
        </w:rPr>
        <w:t>支持过程</w:t>
      </w:r>
      <w:r>
        <w:rPr>
          <w:rFonts w:ascii="SimSun" w:hAnsi="SimSun" w:eastAsia="SimSun" w:cs="SimSun"/>
          <w:sz w:val="22"/>
          <w:szCs w:val="22"/>
        </w:rPr>
        <w:t xml:space="preserve"> </w:t>
      </w:r>
      <w:r>
        <w:rPr>
          <w:rFonts w:ascii="SimSun" w:hAnsi="SimSun" w:eastAsia="SimSun" w:cs="SimSun"/>
          <w:sz w:val="22"/>
          <w:szCs w:val="22"/>
          <w:spacing w:val="-9"/>
        </w:rPr>
        <w:t>域，这些支持过程域包含了为执行过程域提供支持的最佳实践方</w:t>
      </w:r>
      <w:r>
        <w:rPr>
          <w:rFonts w:ascii="SimSun" w:hAnsi="SimSun" w:eastAsia="SimSun" w:cs="SimSun"/>
          <w:sz w:val="22"/>
          <w:szCs w:val="22"/>
          <w:spacing w:val="-10"/>
        </w:rPr>
        <w:t>案。</w:t>
      </w:r>
    </w:p>
    <w:p>
      <w:pPr>
        <w:ind w:right="289" w:firstLine="439"/>
        <w:spacing w:before="59" w:line="247" w:lineRule="auto"/>
        <w:jc w:val="both"/>
        <w:rPr>
          <w:rFonts w:ascii="SimSun" w:hAnsi="SimSun" w:eastAsia="SimSun" w:cs="SimSun"/>
          <w:sz w:val="22"/>
          <w:szCs w:val="22"/>
        </w:rPr>
      </w:pPr>
      <w:r>
        <w:rPr>
          <w:rFonts w:ascii="SimSun" w:hAnsi="SimSun" w:eastAsia="SimSun" w:cs="SimSun"/>
          <w:sz w:val="22"/>
          <w:szCs w:val="22"/>
          <w:spacing w:val="-9"/>
        </w:rPr>
        <w:t>数据管理战略的目的是定义数据管理方案的愿景、目标和目的，确保所有的利</w:t>
      </w:r>
      <w:r>
        <w:rPr>
          <w:rFonts w:ascii="SimSun" w:hAnsi="SimSun" w:eastAsia="SimSun" w:cs="SimSun"/>
          <w:sz w:val="22"/>
          <w:szCs w:val="22"/>
          <w:spacing w:val="10"/>
        </w:rPr>
        <w:t xml:space="preserve"> </w:t>
      </w:r>
      <w:r>
        <w:rPr>
          <w:rFonts w:ascii="SimSun" w:hAnsi="SimSun" w:eastAsia="SimSun" w:cs="SimSun"/>
          <w:sz w:val="22"/>
          <w:szCs w:val="22"/>
          <w:spacing w:val="-8"/>
        </w:rPr>
        <w:t>益相关者就优先事项与计划的执行和管理达成一致。数据</w:t>
      </w:r>
      <w:r>
        <w:rPr>
          <w:rFonts w:ascii="SimSun" w:hAnsi="SimSun" w:eastAsia="SimSun" w:cs="SimSun"/>
          <w:sz w:val="22"/>
          <w:szCs w:val="22"/>
          <w:spacing w:val="-9"/>
        </w:rPr>
        <w:t>管理战略包含沟通、数据</w:t>
      </w:r>
      <w:r>
        <w:rPr>
          <w:rFonts w:ascii="SimSun" w:hAnsi="SimSun" w:eastAsia="SimSun" w:cs="SimSun"/>
          <w:sz w:val="22"/>
          <w:szCs w:val="22"/>
        </w:rPr>
        <w:t xml:space="preserve"> </w:t>
      </w:r>
      <w:r>
        <w:rPr>
          <w:rFonts w:ascii="SimSun" w:hAnsi="SimSun" w:eastAsia="SimSun" w:cs="SimSun"/>
          <w:sz w:val="22"/>
          <w:szCs w:val="22"/>
          <w:spacing w:val="-12"/>
        </w:rPr>
        <w:t>管理功能、业务案例和方案资金过程域。</w:t>
      </w:r>
    </w:p>
    <w:p>
      <w:pPr>
        <w:ind w:right="255" w:firstLine="439"/>
        <w:spacing w:before="68" w:line="241" w:lineRule="auto"/>
        <w:jc w:val="both"/>
        <w:rPr>
          <w:rFonts w:ascii="SimSun" w:hAnsi="SimSun" w:eastAsia="SimSun" w:cs="SimSun"/>
          <w:sz w:val="22"/>
          <w:szCs w:val="22"/>
        </w:rPr>
      </w:pPr>
      <w:r>
        <w:rPr>
          <w:rFonts w:ascii="SimSun" w:hAnsi="SimSun" w:eastAsia="SimSun" w:cs="SimSun"/>
          <w:sz w:val="22"/>
          <w:szCs w:val="22"/>
          <w:spacing w:val="-8"/>
        </w:rPr>
        <w:t>数据治理的目的是对所有权、管理工作和操作结构进行开发，从而确保公司数</w:t>
      </w:r>
      <w:r>
        <w:rPr>
          <w:rFonts w:ascii="SimSun" w:hAnsi="SimSun" w:eastAsia="SimSun" w:cs="SimSun"/>
          <w:sz w:val="22"/>
          <w:szCs w:val="22"/>
          <w:spacing w:val="10"/>
        </w:rPr>
        <w:t xml:space="preserve"> </w:t>
      </w:r>
      <w:r>
        <w:rPr>
          <w:rFonts w:ascii="SimSun" w:hAnsi="SimSun" w:eastAsia="SimSun" w:cs="SimSun"/>
          <w:sz w:val="22"/>
          <w:szCs w:val="22"/>
          <w:spacing w:val="-7"/>
        </w:rPr>
        <w:t>据作为关键资产受到管理并以有效持续的方式实施。数据治</w:t>
      </w:r>
      <w:r>
        <w:rPr>
          <w:rFonts w:ascii="SimSun" w:hAnsi="SimSun" w:eastAsia="SimSun" w:cs="SimSun"/>
          <w:sz w:val="22"/>
          <w:szCs w:val="22"/>
          <w:spacing w:val="-8"/>
        </w:rPr>
        <w:t>理包含数据管理、业务</w:t>
      </w:r>
      <w:r>
        <w:rPr>
          <w:rFonts w:ascii="SimSun" w:hAnsi="SimSun" w:eastAsia="SimSun" w:cs="SimSun"/>
          <w:sz w:val="22"/>
          <w:szCs w:val="22"/>
        </w:rPr>
        <w:t xml:space="preserve"> </w:t>
      </w:r>
      <w:r>
        <w:rPr>
          <w:rFonts w:ascii="SimSun" w:hAnsi="SimSun" w:eastAsia="SimSun" w:cs="SimSun"/>
          <w:sz w:val="22"/>
          <w:szCs w:val="22"/>
          <w:spacing w:val="-7"/>
        </w:rPr>
        <w:t>术语表和元数据管理3个过程域。</w:t>
      </w:r>
    </w:p>
    <w:p>
      <w:pPr>
        <w:ind w:right="256" w:firstLine="439"/>
        <w:spacing w:before="69" w:line="250" w:lineRule="auto"/>
        <w:jc w:val="both"/>
        <w:rPr>
          <w:rFonts w:ascii="SimSun" w:hAnsi="SimSun" w:eastAsia="SimSun" w:cs="SimSun"/>
          <w:sz w:val="22"/>
          <w:szCs w:val="22"/>
        </w:rPr>
      </w:pPr>
      <w:r>
        <w:rPr>
          <w:rFonts w:ascii="SimSun" w:hAnsi="SimSun" w:eastAsia="SimSun" w:cs="SimSun"/>
          <w:sz w:val="22"/>
          <w:szCs w:val="22"/>
          <w:spacing w:val="-8"/>
        </w:rPr>
        <w:t>数据质量的最佳实践是关于如何定义以及实施一个协作的方法，从而检测、评</w:t>
      </w:r>
      <w:r>
        <w:rPr>
          <w:rFonts w:ascii="SimSun" w:hAnsi="SimSun" w:eastAsia="SimSun" w:cs="SimSun"/>
          <w:sz w:val="22"/>
          <w:szCs w:val="22"/>
          <w:spacing w:val="9"/>
        </w:rPr>
        <w:t xml:space="preserve"> </w:t>
      </w:r>
      <w:r>
        <w:rPr>
          <w:rFonts w:ascii="SimSun" w:hAnsi="SimSun" w:eastAsia="SimSun" w:cs="SimSun"/>
          <w:sz w:val="22"/>
          <w:szCs w:val="22"/>
          <w:spacing w:val="-7"/>
        </w:rPr>
        <w:t>估以及清理数据缺陷，确保数据能够实现其在业务运营、决</w:t>
      </w:r>
      <w:r>
        <w:rPr>
          <w:rFonts w:ascii="SimSun" w:hAnsi="SimSun" w:eastAsia="SimSun" w:cs="SimSun"/>
          <w:sz w:val="22"/>
          <w:szCs w:val="22"/>
          <w:spacing w:val="-8"/>
        </w:rPr>
        <w:t>策制订以及策划上的预</w:t>
      </w:r>
      <w:r>
        <w:rPr>
          <w:rFonts w:ascii="SimSun" w:hAnsi="SimSun" w:eastAsia="SimSun" w:cs="SimSun"/>
          <w:sz w:val="22"/>
          <w:szCs w:val="22"/>
        </w:rPr>
        <w:t xml:space="preserve"> </w:t>
      </w:r>
      <w:r>
        <w:rPr>
          <w:rFonts w:ascii="SimSun" w:hAnsi="SimSun" w:eastAsia="SimSun" w:cs="SimSun"/>
          <w:sz w:val="22"/>
          <w:szCs w:val="22"/>
          <w:spacing w:val="-5"/>
        </w:rPr>
        <w:t>期用途。数据质量包含数据质量战略、数据概要分</w:t>
      </w:r>
      <w:r>
        <w:rPr>
          <w:rFonts w:ascii="SimSun" w:hAnsi="SimSun" w:eastAsia="SimSun" w:cs="SimSun"/>
          <w:sz w:val="22"/>
          <w:szCs w:val="22"/>
          <w:spacing w:val="-6"/>
        </w:rPr>
        <w:t>析、数据质量评审和数据清洗4</w:t>
      </w:r>
      <w:r>
        <w:rPr>
          <w:rFonts w:ascii="SimSun" w:hAnsi="SimSun" w:eastAsia="SimSun" w:cs="SimSun"/>
          <w:sz w:val="22"/>
          <w:szCs w:val="22"/>
        </w:rPr>
        <w:t xml:space="preserve"> </w:t>
      </w:r>
      <w:r>
        <w:rPr>
          <w:rFonts w:ascii="SimSun" w:hAnsi="SimSun" w:eastAsia="SimSun" w:cs="SimSun"/>
          <w:sz w:val="22"/>
          <w:szCs w:val="22"/>
          <w:spacing w:val="-12"/>
        </w:rPr>
        <w:t>个过程域。</w:t>
      </w:r>
    </w:p>
    <w:p>
      <w:pPr>
        <w:spacing w:line="250" w:lineRule="auto"/>
        <w:sectPr>
          <w:footerReference w:type="default" r:id="rId65"/>
          <w:pgSz w:w="8870" w:h="13400"/>
          <w:pgMar w:top="400" w:right="364" w:bottom="535" w:left="590" w:header="0" w:footer="316" w:gutter="0"/>
        </w:sectPr>
        <w:rPr>
          <w:rFonts w:ascii="SimSun" w:hAnsi="SimSun" w:eastAsia="SimSun" w:cs="SimSun"/>
          <w:sz w:val="22"/>
          <w:szCs w:val="22"/>
        </w:rPr>
      </w:pPr>
    </w:p>
    <w:p>
      <w:pPr>
        <w:ind w:left="233"/>
        <w:spacing w:before="276" w:line="219" w:lineRule="auto"/>
        <w:rPr>
          <w:rFonts w:ascii="SimSun" w:hAnsi="SimSun" w:eastAsia="SimSun" w:cs="SimSun"/>
          <w:sz w:val="22"/>
          <w:szCs w:val="22"/>
        </w:rPr>
      </w:pPr>
      <w:r>
        <w:drawing>
          <wp:anchor distT="0" distB="0" distL="0" distR="0" simplePos="0" relativeHeight="251842560" behindDoc="0" locked="0" layoutInCell="0" allowOverlap="1">
            <wp:simplePos x="0" y="0"/>
            <wp:positionH relativeFrom="page">
              <wp:posOffset>260332</wp:posOffset>
            </wp:positionH>
            <wp:positionV relativeFrom="page">
              <wp:posOffset>381031</wp:posOffset>
            </wp:positionV>
            <wp:extent cx="6365" cy="228551"/>
            <wp:effectExtent l="0" t="0" r="0" b="0"/>
            <wp:wrapNone/>
            <wp:docPr id="80" name="IM 80"/>
            <wp:cNvGraphicFramePr/>
            <a:graphic>
              <a:graphicData uri="http://schemas.openxmlformats.org/drawingml/2006/picture">
                <pic:pic>
                  <pic:nvPicPr>
                    <pic:cNvPr id="80" name="IM 80"/>
                    <pic:cNvPicPr/>
                  </pic:nvPicPr>
                  <pic:blipFill>
                    <a:blip r:embed="rId67"/>
                    <a:stretch>
                      <a:fillRect/>
                    </a:stretch>
                  </pic:blipFill>
                  <pic:spPr>
                    <a:xfrm rot="0">
                      <a:off x="0" y="0"/>
                      <a:ext cx="6365" cy="228551"/>
                    </a:xfrm>
                    <a:prstGeom prst="rect">
                      <a:avLst/>
                    </a:prstGeom>
                  </pic:spPr>
                </pic:pic>
              </a:graphicData>
            </a:graphic>
          </wp:anchor>
        </w:drawing>
      </w:r>
      <w:bookmarkStart w:name="bookmark13" w:id="8"/>
      <w:bookmarkEnd w:id="8"/>
      <w:r>
        <w:rPr>
          <w:rFonts w:ascii="SimSun" w:hAnsi="SimSun" w:eastAsia="SimSun" w:cs="SimSun"/>
          <w:sz w:val="22"/>
          <w:szCs w:val="22"/>
          <w:b/>
          <w:bCs/>
          <w:spacing w:val="-15"/>
        </w:rPr>
        <w:t>■云端数据治理</w:t>
      </w:r>
    </w:p>
    <w:p>
      <w:pPr>
        <w:pStyle w:val="BodyText"/>
        <w:ind w:firstLine="1590"/>
        <w:spacing w:before="173" w:line="3819" w:lineRule="exact"/>
        <w:rPr/>
      </w:pPr>
      <w:r>
        <w:rPr>
          <w:position w:val="-76"/>
        </w:rPr>
        <w:pict>
          <v:group id="_x0000_s126" style="mso-position-vertical-relative:line;mso-position-horizontal-relative:char;width:253.55pt;height:191pt;" filled="false" stroked="false" coordsize="5071,3820" coordorigin="0,0">
            <v:shape id="_x0000_s128" style="position:absolute;left:0;top:0;width:5071;height:3820;" filled="false" stroked="false" type="#_x0000_t75">
              <v:imagedata o:title="" r:id="rId68"/>
            </v:shape>
            <v:shape id="_x0000_s130" style="position:absolute;left:279;top:166;width:3771;height:3430;" filled="false" stroked="false" type="#_x0000_t202">
              <v:fill on="false"/>
              <v:stroke on="false"/>
              <v:path/>
              <v:imagedata o:title=""/>
              <o:lock v:ext="edit" aspectratio="false"/>
              <v:textbox inset="0mm,0mm,0mm,0mm">
                <w:txbxContent>
                  <w:p>
                    <w:pPr>
                      <w:ind w:left="1739"/>
                      <w:spacing w:before="20" w:line="219" w:lineRule="auto"/>
                      <w:rPr>
                        <w:rFonts w:ascii="SimSun" w:hAnsi="SimSun" w:eastAsia="SimSun" w:cs="SimSun"/>
                        <w:sz w:val="16"/>
                        <w:szCs w:val="16"/>
                      </w:rPr>
                    </w:pPr>
                    <w:r>
                      <w:rPr>
                        <w:rFonts w:ascii="SimSun" w:hAnsi="SimSun" w:eastAsia="SimSun" w:cs="SimSun"/>
                        <w:sz w:val="16"/>
                        <w:szCs w:val="16"/>
                        <w:spacing w:val="-7"/>
                      </w:rPr>
                      <w:t>数据管理战略</w:t>
                    </w:r>
                  </w:p>
                  <w:p>
                    <w:pPr>
                      <w:ind w:left="3139" w:right="22"/>
                      <w:spacing w:before="141" w:line="225" w:lineRule="auto"/>
                      <w:rPr>
                        <w:rFonts w:ascii="SimSun" w:hAnsi="SimSun" w:eastAsia="SimSun" w:cs="SimSun"/>
                        <w:sz w:val="16"/>
                        <w:szCs w:val="16"/>
                      </w:rPr>
                    </w:pPr>
                    <w:r>
                      <w:rPr>
                        <w:rFonts w:ascii="SimSun" w:hAnsi="SimSun" w:eastAsia="SimSun" w:cs="SimSun"/>
                        <w:sz w:val="16"/>
                        <w:szCs w:val="16"/>
                        <w:spacing w:val="-9"/>
                      </w:rPr>
                      <w:t>质量需求</w:t>
                    </w:r>
                    <w:r>
                      <w:rPr>
                        <w:rFonts w:ascii="SimSun" w:hAnsi="SimSun" w:eastAsia="SimSun" w:cs="SimSun"/>
                        <w:sz w:val="16"/>
                        <w:szCs w:val="16"/>
                        <w:spacing w:val="2"/>
                      </w:rPr>
                      <w:t xml:space="preserve"> </w:t>
                    </w:r>
                    <w:r>
                      <w:rPr>
                        <w:rFonts w:ascii="SimSun" w:hAnsi="SimSun" w:eastAsia="SimSun" w:cs="SimSun"/>
                        <w:sz w:val="16"/>
                        <w:szCs w:val="16"/>
                        <w:spacing w:val="-9"/>
                      </w:rPr>
                      <w:t>质量战略</w:t>
                    </w:r>
                  </w:p>
                  <w:p>
                    <w:pPr>
                      <w:spacing w:line="26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8"/>
                      </w:rPr>
                      <w:t>数据治理</w:t>
                    </w:r>
                    <w:r>
                      <w:rPr>
                        <w:rFonts w:ascii="SimSun" w:hAnsi="SimSun" w:eastAsia="SimSun" w:cs="SimSun"/>
                        <w:sz w:val="16"/>
                        <w:szCs w:val="16"/>
                        <w:spacing w:val="4"/>
                      </w:rPr>
                      <w:t xml:space="preserve">              </w:t>
                    </w:r>
                    <w:r>
                      <w:rPr>
                        <w:rFonts w:ascii="SimSun" w:hAnsi="SimSun" w:eastAsia="SimSun" w:cs="SimSun"/>
                        <w:sz w:val="16"/>
                        <w:szCs w:val="16"/>
                        <w:spacing w:val="-8"/>
                      </w:rPr>
                      <w:t>元数据监督一</w:t>
                    </w:r>
                  </w:p>
                  <w:p>
                    <w:pPr>
                      <w:ind w:left="1209"/>
                      <w:spacing w:before="29" w:line="220" w:lineRule="auto"/>
                      <w:rPr>
                        <w:rFonts w:ascii="SimSun" w:hAnsi="SimSun" w:eastAsia="SimSun" w:cs="SimSun"/>
                        <w:sz w:val="16"/>
                        <w:szCs w:val="16"/>
                      </w:rPr>
                    </w:pPr>
                    <w:r>
                      <w:rPr>
                        <w:rFonts w:ascii="SimSun" w:hAnsi="SimSun" w:eastAsia="SimSun" w:cs="SimSun"/>
                        <w:sz w:val="16"/>
                        <w:szCs w:val="16"/>
                        <w:spacing w:val="-8"/>
                      </w:rPr>
                      <w:t>业务π联盟    利益相关者联盟</w:t>
                    </w:r>
                  </w:p>
                  <w:p>
                    <w:pPr>
                      <w:spacing w:line="257" w:lineRule="auto"/>
                      <w:rPr>
                        <w:rFonts w:ascii="Arial"/>
                        <w:sz w:val="21"/>
                      </w:rPr>
                    </w:pPr>
                    <w:r/>
                  </w:p>
                  <w:p>
                    <w:pPr>
                      <w:ind w:left="180"/>
                      <w:spacing w:before="52" w:line="232" w:lineRule="auto"/>
                      <w:rPr>
                        <w:rFonts w:ascii="SimSun" w:hAnsi="SimSun" w:eastAsia="SimSun" w:cs="SimSun"/>
                        <w:sz w:val="16"/>
                        <w:szCs w:val="16"/>
                      </w:rPr>
                    </w:pPr>
                    <w:r>
                      <w:rPr>
                        <w:rFonts w:ascii="SimSun" w:hAnsi="SimSun" w:eastAsia="SimSun" w:cs="SimSun"/>
                        <w:sz w:val="16"/>
                        <w:szCs w:val="16"/>
                        <w:spacing w:val="-2"/>
                        <w:position w:val="-1"/>
                      </w:rPr>
                      <w:t>基础设施监督         </w:t>
                    </w:r>
                    <w:r>
                      <w:rPr>
                        <w:rFonts w:ascii="SimSun" w:hAnsi="SimSun" w:eastAsia="SimSun" w:cs="SimSun"/>
                        <w:sz w:val="16"/>
                        <w:szCs w:val="16"/>
                        <w:spacing w:val="-2"/>
                        <w:position w:val="1"/>
                      </w:rPr>
                      <w:t>方向&amp;合规</w:t>
                    </w:r>
                  </w:p>
                  <w:p>
                    <w:pPr>
                      <w:ind w:left="1549"/>
                      <w:spacing w:before="8" w:line="207" w:lineRule="auto"/>
                      <w:rPr>
                        <w:rFonts w:ascii="SimSun" w:hAnsi="SimSun" w:eastAsia="SimSun" w:cs="SimSun"/>
                        <w:sz w:val="16"/>
                        <w:szCs w:val="16"/>
                      </w:rPr>
                    </w:pPr>
                    <w:r>
                      <w:rPr>
                        <w:rFonts w:ascii="SimSun" w:hAnsi="SimSun" w:eastAsia="SimSun" w:cs="SimSun"/>
                        <w:sz w:val="16"/>
                        <w:szCs w:val="16"/>
                        <w:spacing w:val="-9"/>
                      </w:rPr>
                      <w:t>质量需求</w:t>
                    </w:r>
                  </w:p>
                  <w:p>
                    <w:pPr>
                      <w:ind w:left="1379"/>
                      <w:spacing w:line="219" w:lineRule="auto"/>
                      <w:rPr>
                        <w:rFonts w:ascii="SimSun" w:hAnsi="SimSun" w:eastAsia="SimSun" w:cs="SimSun"/>
                        <w:sz w:val="16"/>
                        <w:szCs w:val="16"/>
                      </w:rPr>
                    </w:pPr>
                    <w:r>
                      <w:rPr>
                        <w:rFonts w:ascii="SimSun" w:hAnsi="SimSun" w:eastAsia="SimSun" w:cs="SimSun"/>
                        <w:sz w:val="16"/>
                        <w:szCs w:val="16"/>
                        <w:spacing w:val="-6"/>
                      </w:rPr>
                      <w:t>质量解决计划</w:t>
                    </w:r>
                  </w:p>
                  <w:p>
                    <w:pPr>
                      <w:ind w:right="12"/>
                      <w:spacing w:before="200" w:line="240" w:lineRule="exact"/>
                      <w:jc w:val="right"/>
                      <w:rPr>
                        <w:rFonts w:ascii="SimSun" w:hAnsi="SimSun" w:eastAsia="SimSun" w:cs="SimSun"/>
                        <w:sz w:val="16"/>
                        <w:szCs w:val="16"/>
                      </w:rPr>
                    </w:pPr>
                    <w:r>
                      <w:rPr>
                        <w:rFonts w:ascii="SimSun" w:hAnsi="SimSun" w:eastAsia="SimSun" w:cs="SimSun"/>
                        <w:sz w:val="16"/>
                        <w:szCs w:val="16"/>
                        <w:spacing w:val="-11"/>
                      </w:rPr>
                      <w:t>数据平台及架构一一数据基础设施一     </w:t>
                    </w:r>
                    <w:r>
                      <w:rPr>
                        <w:rFonts w:ascii="SimSun" w:hAnsi="SimSun" w:eastAsia="SimSun" w:cs="SimSun"/>
                        <w:sz w:val="16"/>
                        <w:szCs w:val="16"/>
                        <w:spacing w:val="-11"/>
                        <w:position w:val="2"/>
                      </w:rPr>
                      <w:t>数据操作</w:t>
                    </w:r>
                  </w:p>
                  <w:p>
                    <w:pPr>
                      <w:spacing w:line="375" w:lineRule="auto"/>
                      <w:rPr>
                        <w:rFonts w:ascii="Arial"/>
                        <w:sz w:val="21"/>
                      </w:rPr>
                    </w:pPr>
                    <w:r/>
                  </w:p>
                  <w:p>
                    <w:pPr>
                      <w:ind w:left="1929"/>
                      <w:spacing w:before="53" w:line="219" w:lineRule="auto"/>
                      <w:rPr>
                        <w:rFonts w:ascii="SimSun" w:hAnsi="SimSun" w:eastAsia="SimSun" w:cs="SimSun"/>
                        <w:sz w:val="16"/>
                        <w:szCs w:val="16"/>
                      </w:rPr>
                    </w:pPr>
                    <w:r>
                      <w:rPr>
                        <w:rFonts w:ascii="SimSun" w:hAnsi="SimSun" w:eastAsia="SimSun" w:cs="SimSun"/>
                        <w:sz w:val="16"/>
                        <w:szCs w:val="16"/>
                        <w:spacing w:val="-6"/>
                      </w:rPr>
                      <w:t>支持过程域</w:t>
                    </w:r>
                  </w:p>
                </w:txbxContent>
              </v:textbox>
            </v:shape>
            <v:shape id="_x0000_s132" style="position:absolute;left:4249;top:1716;width:674;height:760;" filled="false" stroked="false" type="#_x0000_t202">
              <v:fill on="false"/>
              <v:stroke on="false"/>
              <v:path/>
              <v:imagedata o:title=""/>
              <o:lock v:ext="edit" aspectratio="false"/>
              <v:textbox inset="0mm,0mm,0mm,0mm">
                <w:txbxContent>
                  <w:p>
                    <w:pPr>
                      <w:ind w:left="20" w:right="20"/>
                      <w:spacing w:before="19" w:line="217" w:lineRule="auto"/>
                      <w:jc w:val="both"/>
                      <w:rPr>
                        <w:rFonts w:ascii="SimSun" w:hAnsi="SimSun" w:eastAsia="SimSun" w:cs="SimSun"/>
                        <w:sz w:val="16"/>
                        <w:szCs w:val="16"/>
                      </w:rPr>
                    </w:pPr>
                    <w:r>
                      <w:rPr>
                        <w:rFonts w:ascii="SimSun" w:hAnsi="SimSun" w:eastAsia="SimSun" w:cs="SimSun"/>
                        <w:sz w:val="16"/>
                        <w:szCs w:val="16"/>
                        <w:spacing w:val="-9"/>
                      </w:rPr>
                      <w:t>业务流程</w:t>
                    </w:r>
                    <w:r>
                      <w:rPr>
                        <w:rFonts w:ascii="SimSun" w:hAnsi="SimSun" w:eastAsia="SimSun" w:cs="SimSun"/>
                        <w:sz w:val="16"/>
                        <w:szCs w:val="16"/>
                      </w:rPr>
                      <w:t xml:space="preserve"> </w:t>
                    </w:r>
                    <w:r>
                      <w:rPr>
                        <w:rFonts w:ascii="SimSun" w:hAnsi="SimSun" w:eastAsia="SimSun" w:cs="SimSun"/>
                        <w:sz w:val="16"/>
                        <w:szCs w:val="16"/>
                        <w:spacing w:val="-9"/>
                      </w:rPr>
                      <w:t>数据需求</w:t>
                    </w:r>
                    <w:r>
                      <w:rPr>
                        <w:rFonts w:ascii="SimSun" w:hAnsi="SimSun" w:eastAsia="SimSun" w:cs="SimSun"/>
                        <w:sz w:val="16"/>
                        <w:szCs w:val="16"/>
                        <w:spacing w:val="2"/>
                      </w:rPr>
                      <w:t xml:space="preserve"> </w:t>
                    </w:r>
                    <w:r>
                      <w:rPr>
                        <w:rFonts w:ascii="SimSun" w:hAnsi="SimSun" w:eastAsia="SimSun" w:cs="SimSun"/>
                        <w:sz w:val="16"/>
                        <w:szCs w:val="16"/>
                        <w:spacing w:val="-2"/>
                      </w:rPr>
                      <w:t>质量规则</w:t>
                    </w:r>
                    <w:r>
                      <w:rPr>
                        <w:rFonts w:ascii="SimSun" w:hAnsi="SimSun" w:eastAsia="SimSun" w:cs="SimSun"/>
                        <w:sz w:val="16"/>
                        <w:szCs w:val="16"/>
                      </w:rPr>
                      <w:t xml:space="preserve"> </w:t>
                    </w:r>
                    <w:r>
                      <w:rPr>
                        <w:rFonts w:ascii="SimSun" w:hAnsi="SimSun" w:eastAsia="SimSun" w:cs="SimSun"/>
                        <w:sz w:val="16"/>
                        <w:szCs w:val="16"/>
                        <w:spacing w:val="-2"/>
                      </w:rPr>
                      <w:t>质量准则</w:t>
                    </w:r>
                  </w:p>
                </w:txbxContent>
              </v:textbox>
            </v:shape>
            <v:shape id="_x0000_s134" style="position:absolute;left:699;top:586;width:115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实施监管：协作</w:t>
                    </w:r>
                  </w:p>
                </w:txbxContent>
              </v:textbox>
            </v:shape>
            <v:shape id="_x0000_s136" style="position:absolute;left:4079;top:1206;width:67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数据质量</w:t>
                    </w:r>
                  </w:p>
                </w:txbxContent>
              </v:textbox>
            </v:shape>
          </v:group>
        </w:pict>
      </w:r>
    </w:p>
    <w:p>
      <w:pPr>
        <w:ind w:left="3272"/>
        <w:spacing w:before="36" w:line="222" w:lineRule="auto"/>
        <w:rPr>
          <w:rFonts w:ascii="SimHei" w:hAnsi="SimHei" w:eastAsia="SimHei" w:cs="SimHei"/>
          <w:sz w:val="22"/>
          <w:szCs w:val="22"/>
        </w:rPr>
      </w:pPr>
      <w:r>
        <w:rPr>
          <w:rFonts w:ascii="SimHei" w:hAnsi="SimHei" w:eastAsia="SimHei" w:cs="SimHei"/>
          <w:sz w:val="22"/>
          <w:szCs w:val="22"/>
          <w:b/>
          <w:bCs/>
          <w:spacing w:val="-20"/>
        </w:rPr>
        <w:t>图1-9</w:t>
      </w:r>
      <w:r>
        <w:rPr>
          <w:rFonts w:ascii="SimHei" w:hAnsi="SimHei" w:eastAsia="SimHei" w:cs="SimHei"/>
          <w:sz w:val="22"/>
          <w:szCs w:val="22"/>
          <w:spacing w:val="66"/>
        </w:rPr>
        <w:t xml:space="preserve"> </w:t>
      </w:r>
      <w:r>
        <w:rPr>
          <w:rFonts w:ascii="SimSun" w:hAnsi="SimSun" w:eastAsia="SimSun" w:cs="SimSun"/>
          <w:sz w:val="22"/>
          <w:szCs w:val="22"/>
          <w:b/>
          <w:bCs/>
          <w:spacing w:val="-20"/>
        </w:rPr>
        <w:t>DMM</w:t>
      </w:r>
      <w:r>
        <w:rPr>
          <w:rFonts w:ascii="SimSun" w:hAnsi="SimSun" w:eastAsia="SimSun" w:cs="SimSun"/>
          <w:sz w:val="22"/>
          <w:szCs w:val="22"/>
          <w:spacing w:val="84"/>
        </w:rPr>
        <w:t xml:space="preserve"> </w:t>
      </w:r>
      <w:r>
        <w:rPr>
          <w:rFonts w:ascii="SimHei" w:hAnsi="SimHei" w:eastAsia="SimHei" w:cs="SimHei"/>
          <w:sz w:val="22"/>
          <w:szCs w:val="22"/>
          <w:b/>
          <w:bCs/>
          <w:spacing w:val="-20"/>
        </w:rPr>
        <w:t>结构图</w:t>
      </w:r>
    </w:p>
    <w:p>
      <w:pPr>
        <w:ind w:left="229" w:right="34" w:firstLine="470"/>
        <w:spacing w:before="218" w:line="239" w:lineRule="auto"/>
        <w:rPr>
          <w:rFonts w:ascii="SimSun" w:hAnsi="SimSun" w:eastAsia="SimSun" w:cs="SimSun"/>
          <w:sz w:val="22"/>
          <w:szCs w:val="22"/>
        </w:rPr>
      </w:pPr>
      <w:r>
        <w:rPr>
          <w:rFonts w:ascii="SimSun" w:hAnsi="SimSun" w:eastAsia="SimSun" w:cs="SimSun"/>
          <w:sz w:val="22"/>
          <w:szCs w:val="22"/>
          <w:spacing w:val="-8"/>
        </w:rPr>
        <w:t>数据操作的目的是明确数据需求，管理数据生命周期与供应链，包含数据要求</w:t>
      </w:r>
      <w:r>
        <w:rPr>
          <w:rFonts w:ascii="SimSun" w:hAnsi="SimSun" w:eastAsia="SimSun" w:cs="SimSun"/>
          <w:sz w:val="22"/>
          <w:szCs w:val="22"/>
        </w:rPr>
        <w:t xml:space="preserve"> </w:t>
      </w:r>
      <w:r>
        <w:rPr>
          <w:rFonts w:ascii="SimSun" w:hAnsi="SimSun" w:eastAsia="SimSun" w:cs="SimSun"/>
          <w:sz w:val="22"/>
          <w:szCs w:val="22"/>
          <w:spacing w:val="-10"/>
        </w:rPr>
        <w:t>定义、数据生命周期管理和供方管理三个过程域。</w:t>
      </w:r>
    </w:p>
    <w:p>
      <w:pPr>
        <w:ind w:left="229" w:right="41" w:firstLine="470"/>
        <w:spacing w:before="61" w:line="250" w:lineRule="auto"/>
        <w:rPr>
          <w:rFonts w:ascii="SimSun" w:hAnsi="SimSun" w:eastAsia="SimSun" w:cs="SimSun"/>
          <w:sz w:val="22"/>
          <w:szCs w:val="22"/>
        </w:rPr>
      </w:pPr>
      <w:r>
        <w:rPr>
          <w:rFonts w:ascii="SimSun" w:hAnsi="SimSun" w:eastAsia="SimSun" w:cs="SimSun"/>
          <w:sz w:val="22"/>
          <w:szCs w:val="22"/>
          <w:spacing w:val="-8"/>
        </w:rPr>
        <w:t>数据平台及架构的目的是建立一种方法和标准，来确保已实施的</w:t>
      </w:r>
      <w:r>
        <w:rPr>
          <w:rFonts w:ascii="SimSun" w:hAnsi="SimSun" w:eastAsia="SimSun" w:cs="SimSun"/>
          <w:sz w:val="22"/>
          <w:szCs w:val="22"/>
          <w:spacing w:val="-9"/>
        </w:rPr>
        <w:t>数据管理平台</w:t>
      </w:r>
      <w:r>
        <w:rPr>
          <w:rFonts w:ascii="SimSun" w:hAnsi="SimSun" w:eastAsia="SimSun" w:cs="SimSun"/>
          <w:sz w:val="22"/>
          <w:szCs w:val="22"/>
        </w:rPr>
        <w:t xml:space="preserve"> </w:t>
      </w:r>
      <w:r>
        <w:rPr>
          <w:rFonts w:ascii="SimSun" w:hAnsi="SimSun" w:eastAsia="SimSun" w:cs="SimSun"/>
          <w:sz w:val="22"/>
          <w:szCs w:val="22"/>
          <w:spacing w:val="-8"/>
        </w:rPr>
        <w:t>能成功地集成、归档和保存公司的数据资产以支持</w:t>
      </w:r>
      <w:r>
        <w:rPr>
          <w:rFonts w:ascii="SimSun" w:hAnsi="SimSun" w:eastAsia="SimSun" w:cs="SimSun"/>
          <w:sz w:val="22"/>
          <w:szCs w:val="22"/>
          <w:spacing w:val="-9"/>
        </w:rPr>
        <w:t>业务目标的最佳实践方案。其包</w:t>
      </w:r>
      <w:r>
        <w:rPr>
          <w:rFonts w:ascii="SimSun" w:hAnsi="SimSun" w:eastAsia="SimSun" w:cs="SimSun"/>
          <w:sz w:val="22"/>
          <w:szCs w:val="22"/>
        </w:rPr>
        <w:t xml:space="preserve"> </w:t>
      </w:r>
      <w:r>
        <w:rPr>
          <w:rFonts w:ascii="SimSun" w:hAnsi="SimSun" w:eastAsia="SimSun" w:cs="SimSun"/>
          <w:sz w:val="22"/>
          <w:szCs w:val="22"/>
          <w:spacing w:val="-5"/>
        </w:rPr>
        <w:t>含架构方法、架构标准、数据管理平台、数据集成和</w:t>
      </w:r>
      <w:r>
        <w:rPr>
          <w:rFonts w:ascii="SimSun" w:hAnsi="SimSun" w:eastAsia="SimSun" w:cs="SimSun"/>
          <w:sz w:val="22"/>
          <w:szCs w:val="22"/>
          <w:spacing w:val="-6"/>
        </w:rPr>
        <w:t>历史数据、归档和保留5个过</w:t>
      </w:r>
      <w:r>
        <w:rPr>
          <w:rFonts w:ascii="SimSun" w:hAnsi="SimSun" w:eastAsia="SimSun" w:cs="SimSun"/>
          <w:sz w:val="22"/>
          <w:szCs w:val="22"/>
        </w:rPr>
        <w:t xml:space="preserve"> </w:t>
      </w:r>
      <w:r>
        <w:rPr>
          <w:rFonts w:ascii="SimSun" w:hAnsi="SimSun" w:eastAsia="SimSun" w:cs="SimSun"/>
          <w:sz w:val="22"/>
          <w:szCs w:val="22"/>
          <w:spacing w:val="-14"/>
        </w:rPr>
        <w:t>程域。</w:t>
      </w:r>
    </w:p>
    <w:p>
      <w:pPr>
        <w:ind w:left="703"/>
        <w:spacing w:before="192" w:line="216" w:lineRule="auto"/>
        <w:outlineLvl w:val="1"/>
        <w:rPr>
          <w:rFonts w:ascii="YouYuan" w:hAnsi="YouYuan" w:eastAsia="YouYuan" w:cs="YouYuan"/>
          <w:sz w:val="22"/>
          <w:szCs w:val="22"/>
        </w:rPr>
      </w:pPr>
      <w:r>
        <w:rPr>
          <w:rFonts w:ascii="SimSun" w:hAnsi="SimSun" w:eastAsia="SimSun" w:cs="SimSun"/>
          <w:sz w:val="22"/>
          <w:szCs w:val="22"/>
          <w:b/>
          <w:bCs/>
          <w:spacing w:val="-4"/>
        </w:rPr>
        <w:t>6.PWC</w:t>
      </w:r>
      <w:r>
        <w:rPr>
          <w:rFonts w:ascii="SimSun" w:hAnsi="SimSun" w:eastAsia="SimSun" w:cs="SimSun"/>
          <w:sz w:val="22"/>
          <w:szCs w:val="22"/>
          <w:spacing w:val="22"/>
        </w:rPr>
        <w:t xml:space="preserve">   </w:t>
      </w:r>
      <w:r>
        <w:rPr>
          <w:rFonts w:ascii="YouYuan" w:hAnsi="YouYuan" w:eastAsia="YouYuan" w:cs="YouYuan"/>
          <w:sz w:val="22"/>
          <w:szCs w:val="22"/>
          <w:b/>
          <w:bCs/>
          <w:spacing w:val="-4"/>
        </w:rPr>
        <w:t>数据治理能力框架</w:t>
      </w:r>
    </w:p>
    <w:p>
      <w:pPr>
        <w:ind w:left="229" w:right="35" w:firstLine="470"/>
        <w:spacing w:before="198" w:line="250" w:lineRule="auto"/>
        <w:jc w:val="both"/>
        <w:rPr>
          <w:rFonts w:ascii="SimSun" w:hAnsi="SimSun" w:eastAsia="SimSun" w:cs="SimSun"/>
          <w:sz w:val="22"/>
          <w:szCs w:val="22"/>
        </w:rPr>
      </w:pPr>
      <w:r>
        <w:rPr>
          <w:rFonts w:ascii="Times New Roman" w:hAnsi="Times New Roman" w:eastAsia="Times New Roman" w:cs="Times New Roman"/>
          <w:sz w:val="22"/>
          <w:szCs w:val="22"/>
          <w:spacing w:val="-10"/>
        </w:rPr>
        <w:t>PWC</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0"/>
        </w:rPr>
        <w:t>数据治理能力框架是由普华永道公司根据数据治理的时间经验制订的</w:t>
      </w:r>
      <w:r>
        <w:rPr>
          <w:rFonts w:ascii="SimSun" w:hAnsi="SimSun" w:eastAsia="SimSun" w:cs="SimSun"/>
          <w:sz w:val="22"/>
          <w:szCs w:val="22"/>
          <w:spacing w:val="-11"/>
        </w:rPr>
        <w:t>，共</w:t>
      </w:r>
      <w:r>
        <w:rPr>
          <w:rFonts w:ascii="SimSun" w:hAnsi="SimSun" w:eastAsia="SimSun" w:cs="SimSun"/>
          <w:sz w:val="22"/>
          <w:szCs w:val="22"/>
        </w:rPr>
        <w:t xml:space="preserve"> </w:t>
      </w:r>
      <w:r>
        <w:rPr>
          <w:rFonts w:ascii="SimSun" w:hAnsi="SimSun" w:eastAsia="SimSun" w:cs="SimSun"/>
          <w:sz w:val="22"/>
          <w:szCs w:val="22"/>
          <w:spacing w:val="-8"/>
        </w:rPr>
        <w:t>包含数据治理战略、数据治理组织架构、数据治理</w:t>
      </w:r>
      <w:r>
        <w:rPr>
          <w:rFonts w:ascii="SimSun" w:hAnsi="SimSun" w:eastAsia="SimSun" w:cs="SimSun"/>
          <w:sz w:val="22"/>
          <w:szCs w:val="22"/>
          <w:spacing w:val="-9"/>
        </w:rPr>
        <w:t>流程、数据治理策略、数据分析</w:t>
      </w:r>
      <w:r>
        <w:rPr>
          <w:rFonts w:ascii="SimSun" w:hAnsi="SimSun" w:eastAsia="SimSun" w:cs="SimSun"/>
          <w:sz w:val="22"/>
          <w:szCs w:val="22"/>
        </w:rPr>
        <w:t xml:space="preserve"> </w:t>
      </w:r>
      <w:r>
        <w:rPr>
          <w:rFonts w:ascii="SimSun" w:hAnsi="SimSun" w:eastAsia="SimSun" w:cs="SimSun"/>
          <w:sz w:val="22"/>
          <w:szCs w:val="22"/>
          <w:spacing w:val="-9"/>
        </w:rPr>
        <w:t>与监测、技术与架构六大方面的内容[10],如图1-10所示。</w:t>
      </w:r>
    </w:p>
    <w:p>
      <w:pPr>
        <w:ind w:left="700"/>
        <w:spacing w:before="218" w:line="224" w:lineRule="auto"/>
        <w:outlineLvl w:val="1"/>
        <w:rPr>
          <w:rFonts w:ascii="YouYuan" w:hAnsi="YouYuan" w:eastAsia="YouYuan" w:cs="YouYuan"/>
          <w:sz w:val="22"/>
          <w:szCs w:val="22"/>
        </w:rPr>
      </w:pPr>
      <w:r>
        <w:rPr>
          <w:rFonts w:ascii="Times New Roman" w:hAnsi="Times New Roman" w:eastAsia="Times New Roman" w:cs="Times New Roman"/>
          <w:sz w:val="22"/>
          <w:szCs w:val="22"/>
          <w:b/>
          <w:bCs/>
          <w:spacing w:val="-2"/>
        </w:rPr>
        <w:t>7.Gartner</w:t>
      </w:r>
      <w:r>
        <w:rPr>
          <w:rFonts w:ascii="Times New Roman" w:hAnsi="Times New Roman" w:eastAsia="Times New Roman" w:cs="Times New Roman"/>
          <w:sz w:val="22"/>
          <w:szCs w:val="22"/>
          <w:b/>
          <w:bCs/>
          <w:spacing w:val="10"/>
        </w:rPr>
        <w:t xml:space="preserve">     </w:t>
      </w:r>
      <w:r>
        <w:rPr>
          <w:rFonts w:ascii="YouYuan" w:hAnsi="YouYuan" w:eastAsia="YouYuan" w:cs="YouYuan"/>
          <w:sz w:val="22"/>
          <w:szCs w:val="22"/>
          <w:b/>
          <w:bCs/>
          <w:spacing w:val="-2"/>
        </w:rPr>
        <w:t>数据治理模型</w:t>
      </w:r>
    </w:p>
    <w:p>
      <w:pPr>
        <w:ind w:left="229" w:right="33" w:firstLine="470"/>
        <w:spacing w:before="204" w:line="253" w:lineRule="auto"/>
        <w:rPr>
          <w:rFonts w:ascii="SimSun" w:hAnsi="SimSun" w:eastAsia="SimSun" w:cs="SimSun"/>
          <w:sz w:val="22"/>
          <w:szCs w:val="22"/>
        </w:rPr>
      </w:pPr>
      <w:r>
        <w:rPr>
          <w:rFonts w:ascii="Times New Roman" w:hAnsi="Times New Roman" w:eastAsia="Times New Roman" w:cs="Times New Roman"/>
          <w:sz w:val="22"/>
          <w:szCs w:val="22"/>
          <w:spacing w:val="-3"/>
        </w:rPr>
        <w:t>Gartner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提出了一个数据管理参考架构</w:t>
      </w:r>
      <w:r>
        <w:rPr>
          <w:rFonts w:ascii="SimSun" w:hAnsi="SimSun" w:eastAsia="SimSun" w:cs="SimSun"/>
          <w:sz w:val="22"/>
          <w:szCs w:val="22"/>
          <w:spacing w:val="-4"/>
        </w:rPr>
        <w:t>[,描述了数据管理的所有构成要素及要</w:t>
      </w:r>
      <w:r>
        <w:rPr>
          <w:rFonts w:ascii="SimSun" w:hAnsi="SimSun" w:eastAsia="SimSun" w:cs="SimSun"/>
          <w:sz w:val="22"/>
          <w:szCs w:val="22"/>
        </w:rPr>
        <w:t xml:space="preserve"> </w:t>
      </w:r>
      <w:r>
        <w:rPr>
          <w:rFonts w:ascii="SimSun" w:hAnsi="SimSun" w:eastAsia="SimSun" w:cs="SimSun"/>
          <w:sz w:val="22"/>
          <w:szCs w:val="22"/>
          <w:spacing w:val="-8"/>
        </w:rPr>
        <w:t>素之间的层级关系，数据治理和信息管理仅是该架构的组成部分，如图1-11所示。</w:t>
      </w:r>
      <w:r>
        <w:rPr>
          <w:rFonts w:ascii="SimSun" w:hAnsi="SimSun" w:eastAsia="SimSun" w:cs="SimSun"/>
          <w:sz w:val="22"/>
          <w:szCs w:val="22"/>
          <w:spacing w:val="2"/>
        </w:rPr>
        <w:t xml:space="preserve"> </w:t>
      </w:r>
      <w:r>
        <w:rPr>
          <w:rFonts w:ascii="SimSun" w:hAnsi="SimSun" w:eastAsia="SimSun" w:cs="SimSun"/>
          <w:sz w:val="22"/>
          <w:szCs w:val="22"/>
          <w:spacing w:val="-9"/>
        </w:rPr>
        <w:t>同时，</w:t>
      </w:r>
      <w:r>
        <w:rPr>
          <w:rFonts w:ascii="Times New Roman" w:hAnsi="Times New Roman" w:eastAsia="Times New Roman" w:cs="Times New Roman"/>
          <w:sz w:val="22"/>
          <w:szCs w:val="22"/>
          <w:spacing w:val="-9"/>
        </w:rPr>
        <w:t>Gartner </w:t>
      </w:r>
      <w:r>
        <w:rPr>
          <w:rFonts w:ascii="SimSun" w:hAnsi="SimSun" w:eastAsia="SimSun" w:cs="SimSun"/>
          <w:sz w:val="22"/>
          <w:szCs w:val="22"/>
          <w:spacing w:val="-9"/>
        </w:rPr>
        <w:t>还建立了一个数据治理与信息管理的要素模型来描述支撑数据治理方</w:t>
      </w:r>
      <w:r>
        <w:rPr>
          <w:rFonts w:ascii="SimSun" w:hAnsi="SimSun" w:eastAsia="SimSun" w:cs="SimSun"/>
          <w:sz w:val="22"/>
          <w:szCs w:val="22"/>
        </w:rPr>
        <w:t xml:space="preserve"> </w:t>
      </w:r>
      <w:r>
        <w:rPr>
          <w:rFonts w:ascii="SimSun" w:hAnsi="SimSun" w:eastAsia="SimSun" w:cs="SimSun"/>
          <w:sz w:val="22"/>
          <w:szCs w:val="22"/>
          <w:spacing w:val="-8"/>
        </w:rPr>
        <w:t>案的基本要素，该模型包含四个部分：规范、计划</w:t>
      </w:r>
      <w:r>
        <w:rPr>
          <w:rFonts w:ascii="SimSun" w:hAnsi="SimSun" w:eastAsia="SimSun" w:cs="SimSun"/>
          <w:sz w:val="22"/>
          <w:szCs w:val="22"/>
          <w:spacing w:val="-9"/>
        </w:rPr>
        <w:t>、建设和运营，它适用于实施数</w:t>
      </w:r>
      <w:r>
        <w:rPr>
          <w:rFonts w:ascii="SimSun" w:hAnsi="SimSun" w:eastAsia="SimSun" w:cs="SimSun"/>
          <w:sz w:val="22"/>
          <w:szCs w:val="22"/>
        </w:rPr>
        <w:t xml:space="preserve"> </w:t>
      </w:r>
      <w:r>
        <w:rPr>
          <w:rFonts w:ascii="SimSun" w:hAnsi="SimSun" w:eastAsia="SimSun" w:cs="SimSun"/>
          <w:sz w:val="22"/>
          <w:szCs w:val="22"/>
          <w:spacing w:val="-6"/>
        </w:rPr>
        <w:t>据治理计划的任何组织，如图1-12所示。</w:t>
      </w:r>
    </w:p>
    <w:p>
      <w:pPr>
        <w:ind w:left="229" w:firstLine="470"/>
        <w:spacing w:before="78"/>
        <w:rPr>
          <w:rFonts w:ascii="SimSun" w:hAnsi="SimSun" w:eastAsia="SimSun" w:cs="SimSun"/>
          <w:sz w:val="22"/>
          <w:szCs w:val="22"/>
        </w:rPr>
      </w:pPr>
      <w:r>
        <w:rPr>
          <w:rFonts w:ascii="Times New Roman" w:hAnsi="Times New Roman" w:eastAsia="Times New Roman" w:cs="Times New Roman"/>
          <w:sz w:val="22"/>
          <w:szCs w:val="22"/>
          <w:spacing w:val="-8"/>
        </w:rPr>
        <w:t>Gartner</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8"/>
        </w:rPr>
        <w:t>认</w:t>
      </w:r>
      <w:r>
        <w:rPr>
          <w:rFonts w:ascii="SimSun" w:hAnsi="SimSun" w:eastAsia="SimSun" w:cs="SimSun"/>
          <w:sz w:val="22"/>
          <w:szCs w:val="22"/>
          <w:spacing w:val="-7"/>
        </w:rPr>
        <w:t>为数据治理是</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7"/>
        </w:rPr>
        <w:t>治理的一部分，同时也属于公司治理范畴。</w:t>
      </w:r>
      <w:r>
        <w:rPr>
          <w:rFonts w:ascii="Times New Roman" w:hAnsi="Times New Roman" w:eastAsia="Times New Roman" w:cs="Times New Roman"/>
          <w:sz w:val="22"/>
          <w:szCs w:val="22"/>
          <w:spacing w:val="-7"/>
        </w:rPr>
        <w:t>Gartne</w:t>
      </w:r>
      <w:r>
        <w:rPr>
          <w:rFonts w:ascii="Times New Roman" w:hAnsi="Times New Roman" w:eastAsia="Times New Roman" w:cs="Times New Roman"/>
          <w:sz w:val="22"/>
          <w:szCs w:val="22"/>
          <w:spacing w:val="1"/>
        </w:rPr>
        <w:t>r</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数据治理的四个实施阶段的主要内容如下。</w:t>
      </w:r>
    </w:p>
    <w:p>
      <w:pPr>
        <w:ind w:left="700"/>
        <w:spacing w:before="59" w:line="219" w:lineRule="auto"/>
        <w:rPr>
          <w:rFonts w:ascii="SimSun" w:hAnsi="SimSun" w:eastAsia="SimSun" w:cs="SimSun"/>
          <w:sz w:val="22"/>
          <w:szCs w:val="22"/>
        </w:rPr>
      </w:pPr>
      <w:r>
        <w:rPr>
          <w:rFonts w:ascii="SimSun" w:hAnsi="SimSun" w:eastAsia="SimSun" w:cs="SimSun"/>
          <w:sz w:val="22"/>
          <w:szCs w:val="22"/>
          <w:spacing w:val="-7"/>
        </w:rPr>
        <w:t>(1)规范主要内容包括策略管理、过程建模与设计、学习管理；</w:t>
      </w:r>
    </w:p>
    <w:p>
      <w:pPr>
        <w:ind w:left="700"/>
        <w:spacing w:before="39" w:line="219" w:lineRule="auto"/>
        <w:rPr>
          <w:rFonts w:ascii="SimSun" w:hAnsi="SimSun" w:eastAsia="SimSun" w:cs="SimSun"/>
          <w:sz w:val="22"/>
          <w:szCs w:val="22"/>
        </w:rPr>
      </w:pPr>
      <w:r>
        <w:rPr>
          <w:rFonts w:ascii="SimSun" w:hAnsi="SimSun" w:eastAsia="SimSun" w:cs="SimSun"/>
          <w:sz w:val="22"/>
          <w:szCs w:val="22"/>
          <w:spacing w:val="-7"/>
        </w:rPr>
        <w:t>(2)计划主要内容包括需求分析、影响分析和存储库与元数据管理；</w:t>
      </w:r>
    </w:p>
    <w:p>
      <w:pPr>
        <w:spacing w:line="219" w:lineRule="auto"/>
        <w:sectPr>
          <w:footerReference w:type="default" r:id="rId66"/>
          <w:pgSz w:w="8870" w:h="13400"/>
          <w:pgMar w:top="400" w:right="655" w:bottom="475" w:left="270" w:header="0" w:footer="256" w:gutter="0"/>
        </w:sectPr>
        <w:rPr>
          <w:rFonts w:ascii="SimSun" w:hAnsi="SimSun" w:eastAsia="SimSun" w:cs="SimSun"/>
          <w:sz w:val="22"/>
          <w:szCs w:val="22"/>
        </w:rPr>
      </w:pPr>
    </w:p>
    <w:p>
      <w:pPr>
        <w:ind w:left="5303"/>
        <w:spacing w:before="124" w:line="219" w:lineRule="auto"/>
        <w:rPr>
          <w:rFonts w:ascii="SimSun" w:hAnsi="SimSun" w:eastAsia="SimSun" w:cs="SimSun"/>
          <w:sz w:val="23"/>
          <w:szCs w:val="23"/>
        </w:rPr>
      </w:pPr>
      <w:bookmarkStart w:name="bookmark14" w:id="9"/>
      <w:bookmarkEnd w:id="9"/>
      <w:bookmarkStart w:name="bookmark15" w:id="10"/>
      <w:bookmarkEnd w:id="10"/>
      <w:bookmarkStart w:name="bookmark16" w:id="11"/>
      <w:bookmarkEnd w:id="11"/>
      <w:r>
        <w:rPr>
          <w:rFonts w:ascii="SimSun" w:hAnsi="SimSun" w:eastAsia="SimSun" w:cs="SimSun"/>
          <w:sz w:val="23"/>
          <w:szCs w:val="23"/>
          <w:b/>
          <w:bCs/>
          <w:spacing w:val="-5"/>
        </w:rPr>
        <w:t>第1章</w:t>
      </w:r>
      <w:r>
        <w:rPr>
          <w:rFonts w:ascii="SimSun" w:hAnsi="SimSun" w:eastAsia="SimSun" w:cs="SimSun"/>
          <w:sz w:val="23"/>
          <w:szCs w:val="23"/>
          <w:spacing w:val="112"/>
        </w:rPr>
        <w:t xml:space="preserve"> </w:t>
      </w:r>
      <w:r>
        <w:rPr>
          <w:rFonts w:ascii="SimSun" w:hAnsi="SimSun" w:eastAsia="SimSun" w:cs="SimSun"/>
          <w:sz w:val="23"/>
          <w:szCs w:val="23"/>
          <w:b/>
          <w:bCs/>
          <w:spacing w:val="-5"/>
        </w:rPr>
        <w:t>数据治理概述</w:t>
      </w:r>
    </w:p>
    <w:p>
      <w:pPr>
        <w:ind w:left="4009"/>
        <w:spacing w:before="239" w:line="349" w:lineRule="exact"/>
        <w:rPr>
          <w:rFonts w:ascii="SimSun" w:hAnsi="SimSun" w:eastAsia="SimSun" w:cs="SimSun"/>
          <w:sz w:val="17"/>
          <w:szCs w:val="17"/>
        </w:rPr>
      </w:pPr>
      <w:r>
        <w:drawing>
          <wp:anchor distT="0" distB="0" distL="0" distR="0" simplePos="0" relativeHeight="251865088" behindDoc="1" locked="0" layoutInCell="1" allowOverlap="1">
            <wp:simplePos x="0" y="0"/>
            <wp:positionH relativeFrom="column">
              <wp:posOffset>501625</wp:posOffset>
            </wp:positionH>
            <wp:positionV relativeFrom="paragraph">
              <wp:posOffset>109506</wp:posOffset>
            </wp:positionV>
            <wp:extent cx="3594122" cy="2527258"/>
            <wp:effectExtent l="0" t="0" r="0" b="0"/>
            <wp:wrapNone/>
            <wp:docPr id="82" name="IM 82"/>
            <wp:cNvGraphicFramePr/>
            <a:graphic>
              <a:graphicData uri="http://schemas.openxmlformats.org/drawingml/2006/picture">
                <pic:pic>
                  <pic:nvPicPr>
                    <pic:cNvPr id="82" name="IM 82"/>
                    <pic:cNvPicPr/>
                  </pic:nvPicPr>
                  <pic:blipFill>
                    <a:blip r:embed="rId70"/>
                    <a:stretch>
                      <a:fillRect/>
                    </a:stretch>
                  </pic:blipFill>
                  <pic:spPr>
                    <a:xfrm rot="0">
                      <a:off x="0" y="0"/>
                      <a:ext cx="3594122" cy="2527258"/>
                    </a:xfrm>
                    <a:prstGeom prst="rect">
                      <a:avLst/>
                    </a:prstGeom>
                  </pic:spPr>
                </pic:pic>
              </a:graphicData>
            </a:graphic>
          </wp:anchor>
        </w:drawing>
      </w:r>
      <w:r>
        <w:ruby>
          <w:rubyPr>
            <w:rubyAlign w:val="left"/>
            <w:hpsRaise w:val="12"/>
            <w:hps w:val="17"/>
            <w:hpsBaseText w:val="17"/>
          </w:rubyPr>
          <w:rt>
            <w:r>
              <w:rPr>
                <w:rFonts w:ascii="SimSun" w:hAnsi="SimSun" w:eastAsia="SimSun" w:cs="SimSun"/>
                <w:sz w:val="17"/>
                <w:szCs w:val="17"/>
                <w:w w:val="95"/>
                <w:position w:val="1"/>
              </w:rPr>
              <w:t>架</w:t>
            </w:r>
          </w:rt>
          <w:rubyBase>
            <w:r>
              <w:rPr>
                <w:rFonts w:ascii="SimSun" w:hAnsi="SimSun" w:eastAsia="SimSun" w:cs="SimSun"/>
                <w:sz w:val="17"/>
                <w:szCs w:val="17"/>
                <w:w w:val="81"/>
                <w:position w:val="-4"/>
              </w:rPr>
              <w:t>角</w:t>
            </w:r>
          </w:rubyBase>
        </w:ruby>
      </w:r>
      <w:r>
        <w:ruby>
          <w:rubyPr>
            <w:rubyAlign w:val="left"/>
            <w:hpsRaise w:val="12"/>
            <w:hps w:val="17"/>
            <w:hpsBaseText w:val="17"/>
          </w:rubyPr>
          <w:rt>
            <w:r>
              <w:rPr>
                <w:rFonts w:ascii="SimSun" w:hAnsi="SimSun" w:eastAsia="SimSun" w:cs="SimSun"/>
                <w:sz w:val="17"/>
                <w:szCs w:val="17"/>
                <w:position w:val="1"/>
              </w:rPr>
              <w:t>构</w:t>
            </w:r>
          </w:rt>
          <w:rubyBase>
            <w:r>
              <w:rPr>
                <w:rFonts w:ascii="SimSun" w:hAnsi="SimSun" w:eastAsia="SimSun" w:cs="SimSun"/>
                <w:sz w:val="17"/>
                <w:szCs w:val="17"/>
                <w:w w:val="76"/>
                <w:position w:val="-4"/>
              </w:rPr>
              <w:t>色/</w:t>
            </w:r>
          </w:rubyBase>
        </w:ruby>
      </w:r>
      <w:r>
        <w:rPr>
          <w:rFonts w:ascii="SimSun" w:hAnsi="SimSun" w:eastAsia="SimSun" w:cs="SimSun"/>
          <w:sz w:val="17"/>
          <w:szCs w:val="17"/>
          <w:spacing w:val="-12"/>
          <w:position w:val="-4"/>
        </w:rPr>
        <w:t>职责</w:t>
      </w:r>
    </w:p>
    <w:p>
      <w:pPr>
        <w:ind w:left="4009"/>
        <w:spacing w:before="21" w:line="221" w:lineRule="auto"/>
        <w:rPr>
          <w:rFonts w:ascii="SimSun" w:hAnsi="SimSun" w:eastAsia="SimSun" w:cs="SimSun"/>
          <w:sz w:val="17"/>
          <w:szCs w:val="17"/>
        </w:rPr>
      </w:pPr>
      <w:r>
        <w:rPr>
          <w:rFonts w:ascii="SimSun" w:hAnsi="SimSun" w:eastAsia="SimSun" w:cs="SimSun"/>
          <w:sz w:val="17"/>
          <w:szCs w:val="17"/>
          <w:spacing w:val="-2"/>
        </w:rPr>
        <w:t>技能</w:t>
      </w:r>
    </w:p>
    <w:p>
      <w:pPr>
        <w:ind w:left="3169"/>
        <w:spacing w:before="75" w:line="207" w:lineRule="auto"/>
        <w:rPr>
          <w:rFonts w:ascii="SimSun" w:hAnsi="SimSun" w:eastAsia="SimSun" w:cs="SimSun"/>
          <w:sz w:val="17"/>
          <w:szCs w:val="17"/>
        </w:rPr>
      </w:pPr>
      <w:r>
        <w:rPr>
          <w:rFonts w:ascii="SimSun" w:hAnsi="SimSun" w:eastAsia="SimSun" w:cs="SimSun"/>
          <w:sz w:val="17"/>
          <w:szCs w:val="17"/>
          <w:spacing w:val="-14"/>
        </w:rPr>
        <w:t>数据治理</w:t>
      </w:r>
    </w:p>
    <w:p>
      <w:pPr>
        <w:ind w:left="3150"/>
        <w:spacing w:line="220" w:lineRule="auto"/>
        <w:rPr>
          <w:rFonts w:ascii="SimSun" w:hAnsi="SimSun" w:eastAsia="SimSun" w:cs="SimSun"/>
          <w:sz w:val="17"/>
          <w:szCs w:val="17"/>
        </w:rPr>
      </w:pPr>
      <w:r>
        <w:rPr>
          <w:rFonts w:ascii="SimSun" w:hAnsi="SimSun" w:eastAsia="SimSun" w:cs="SimSun"/>
          <w:sz w:val="17"/>
          <w:szCs w:val="17"/>
          <w:spacing w:val="-10"/>
        </w:rPr>
        <w:t>组织架构</w:t>
      </w:r>
    </w:p>
    <w:p>
      <w:pPr>
        <w:spacing w:line="53" w:lineRule="exact"/>
        <w:rPr/>
      </w:pPr>
      <w:r/>
    </w:p>
    <w:p>
      <w:pPr>
        <w:spacing w:line="53" w:lineRule="exact"/>
        <w:sectPr>
          <w:footerReference w:type="default" r:id="rId69"/>
          <w:pgSz w:w="8870" w:h="13400"/>
          <w:pgMar w:top="400" w:right="439" w:bottom="559" w:left="780" w:header="0" w:footer="390" w:gutter="0"/>
          <w:cols w:equalWidth="0" w:num="1">
            <w:col w:w="7651" w:space="0"/>
          </w:cols>
        </w:sectPr>
        <w:rPr/>
      </w:pPr>
    </w:p>
    <w:p>
      <w:pPr>
        <w:ind w:left="850"/>
        <w:spacing w:before="273" w:line="185" w:lineRule="auto"/>
        <w:rPr>
          <w:rFonts w:ascii="SimSun" w:hAnsi="SimSun" w:eastAsia="SimSun" w:cs="SimSun"/>
          <w:sz w:val="17"/>
          <w:szCs w:val="17"/>
        </w:rPr>
      </w:pPr>
      <w:r>
        <w:rPr>
          <w:rFonts w:ascii="SimSun" w:hAnsi="SimSun" w:eastAsia="SimSun" w:cs="SimSun"/>
          <w:sz w:val="17"/>
          <w:szCs w:val="17"/>
          <w:spacing w:val="-19"/>
        </w:rPr>
        <w:t>愿景/范围</w:t>
      </w:r>
    </w:p>
    <w:p>
      <w:pPr>
        <w:ind w:left="850"/>
        <w:spacing w:before="1" w:line="184" w:lineRule="auto"/>
        <w:rPr>
          <w:rFonts w:ascii="SimSun" w:hAnsi="SimSun" w:eastAsia="SimSun" w:cs="SimSun"/>
          <w:sz w:val="17"/>
          <w:szCs w:val="17"/>
        </w:rPr>
      </w:pPr>
      <w:r>
        <w:rPr>
          <w:rFonts w:ascii="SimSun" w:hAnsi="SimSun" w:eastAsia="SimSun" w:cs="SimSun"/>
          <w:sz w:val="17"/>
          <w:szCs w:val="17"/>
          <w:spacing w:val="-15"/>
          <w:w w:val="98"/>
        </w:rPr>
        <w:t>方法/线路图</w:t>
      </w:r>
    </w:p>
    <w:p>
      <w:pPr>
        <w:pStyle w:val="BodyText"/>
        <w:spacing w:line="14" w:lineRule="auto"/>
        <w:rPr>
          <w:sz w:val="2"/>
        </w:rPr>
      </w:pPr>
      <w:r>
        <w:rPr>
          <w:sz w:val="2"/>
          <w:szCs w:val="2"/>
        </w:rPr>
        <w:br w:type="column"/>
      </w:r>
    </w:p>
    <w:p>
      <w:pPr>
        <w:spacing w:before="92" w:line="218" w:lineRule="auto"/>
        <w:rPr>
          <w:rFonts w:ascii="SimSun" w:hAnsi="SimSun" w:eastAsia="SimSun" w:cs="SimSun"/>
          <w:sz w:val="17"/>
          <w:szCs w:val="17"/>
        </w:rPr>
      </w:pPr>
      <w:r>
        <w:rPr>
          <w:rFonts w:ascii="SimSun" w:hAnsi="SimSun" w:eastAsia="SimSun" w:cs="SimSun"/>
          <w:sz w:val="17"/>
          <w:szCs w:val="17"/>
          <w:spacing w:val="-14"/>
          <w:w w:val="97"/>
        </w:rPr>
        <w:t>数据治理</w:t>
      </w:r>
    </w:p>
    <w:p>
      <w:pPr>
        <w:ind w:left="119"/>
        <w:spacing w:line="220" w:lineRule="auto"/>
        <w:rPr>
          <w:rFonts w:ascii="SimSun" w:hAnsi="SimSun" w:eastAsia="SimSun" w:cs="SimSun"/>
          <w:sz w:val="17"/>
          <w:szCs w:val="17"/>
        </w:rPr>
      </w:pPr>
      <w:r>
        <w:rPr>
          <w:rFonts w:ascii="SimSun" w:hAnsi="SimSun" w:eastAsia="SimSun" w:cs="SimSun"/>
          <w:sz w:val="17"/>
          <w:szCs w:val="17"/>
          <w:spacing w:val="-4"/>
        </w:rPr>
        <w:t>战略</w:t>
      </w:r>
    </w:p>
    <w:p>
      <w:pPr>
        <w:pStyle w:val="BodyText"/>
        <w:spacing w:line="14" w:lineRule="auto"/>
        <w:rPr>
          <w:sz w:val="2"/>
        </w:rPr>
      </w:pPr>
      <w:r>
        <w:rPr>
          <w:sz w:val="2"/>
          <w:szCs w:val="2"/>
        </w:rPr>
        <w:br w:type="column"/>
      </w:r>
    </w:p>
    <w:p>
      <w:pPr>
        <w:spacing w:before="33" w:line="196" w:lineRule="auto"/>
        <w:rPr>
          <w:rFonts w:ascii="SimSun" w:hAnsi="SimSun" w:eastAsia="SimSun" w:cs="SimSun"/>
          <w:sz w:val="17"/>
          <w:szCs w:val="17"/>
        </w:rPr>
      </w:pPr>
      <w:r>
        <w:rPr>
          <w:rFonts w:ascii="SimSun" w:hAnsi="SimSun" w:eastAsia="SimSun" w:cs="SimSun"/>
          <w:sz w:val="17"/>
          <w:szCs w:val="17"/>
          <w:spacing w:val="-13"/>
        </w:rPr>
        <w:t>数据治理</w:t>
      </w:r>
    </w:p>
    <w:p>
      <w:pPr>
        <w:ind w:left="129"/>
        <w:spacing w:line="220" w:lineRule="auto"/>
        <w:rPr>
          <w:rFonts w:ascii="SimSun" w:hAnsi="SimSun" w:eastAsia="SimSun" w:cs="SimSun"/>
          <w:sz w:val="17"/>
          <w:szCs w:val="17"/>
        </w:rPr>
      </w:pPr>
      <w:r>
        <w:rPr>
          <w:rFonts w:ascii="SimSun" w:hAnsi="SimSun" w:eastAsia="SimSun" w:cs="SimSun"/>
          <w:sz w:val="17"/>
          <w:szCs w:val="17"/>
          <w:spacing w:val="-2"/>
        </w:rPr>
        <w:t>流程</w:t>
      </w:r>
    </w:p>
    <w:p>
      <w:pPr>
        <w:pStyle w:val="BodyText"/>
        <w:spacing w:line="14" w:lineRule="auto"/>
        <w:rPr>
          <w:sz w:val="2"/>
        </w:rPr>
      </w:pPr>
      <w:r>
        <w:rPr>
          <w:sz w:val="2"/>
          <w:szCs w:val="2"/>
        </w:rPr>
        <w:br w:type="column"/>
      </w:r>
    </w:p>
    <w:p>
      <w:pPr>
        <w:spacing w:before="174" w:line="184" w:lineRule="auto"/>
        <w:rPr>
          <w:rFonts w:ascii="SimSun" w:hAnsi="SimSun" w:eastAsia="SimSun" w:cs="SimSun"/>
          <w:sz w:val="17"/>
          <w:szCs w:val="17"/>
        </w:rPr>
      </w:pPr>
      <w:r>
        <w:rPr>
          <w:rFonts w:ascii="SimSun" w:hAnsi="SimSun" w:eastAsia="SimSun" w:cs="SimSun"/>
          <w:sz w:val="17"/>
          <w:szCs w:val="17"/>
          <w:spacing w:val="-11"/>
        </w:rPr>
        <w:t>交流</w:t>
      </w:r>
    </w:p>
    <w:p>
      <w:pPr>
        <w:spacing w:line="218" w:lineRule="auto"/>
        <w:rPr>
          <w:rFonts w:ascii="SimSun" w:hAnsi="SimSun" w:eastAsia="SimSun" w:cs="SimSun"/>
          <w:sz w:val="17"/>
          <w:szCs w:val="17"/>
        </w:rPr>
      </w:pPr>
      <w:r>
        <w:rPr>
          <w:rFonts w:ascii="SimSun" w:hAnsi="SimSun" w:eastAsia="SimSun" w:cs="SimSun"/>
          <w:sz w:val="17"/>
          <w:szCs w:val="17"/>
          <w:spacing w:val="-13"/>
        </w:rPr>
        <w:t>变革管理</w:t>
      </w:r>
    </w:p>
    <w:p>
      <w:pPr>
        <w:spacing w:line="218" w:lineRule="auto"/>
        <w:sectPr>
          <w:type w:val="continuous"/>
          <w:pgSz w:w="8870" w:h="13400"/>
          <w:pgMar w:top="400" w:right="439" w:bottom="559" w:left="780" w:header="0" w:footer="390" w:gutter="0"/>
          <w:cols w:equalWidth="0" w:num="4">
            <w:col w:w="1901" w:space="100"/>
            <w:col w:w="2321" w:space="100"/>
            <w:col w:w="840" w:space="100"/>
            <w:col w:w="2291" w:space="0"/>
          </w:cols>
        </w:sectPr>
        <w:rPr>
          <w:rFonts w:ascii="SimSun" w:hAnsi="SimSun" w:eastAsia="SimSun" w:cs="SimSun"/>
          <w:sz w:val="17"/>
          <w:szCs w:val="17"/>
        </w:rPr>
      </w:pPr>
    </w:p>
    <w:p>
      <w:pPr>
        <w:spacing w:before="27"/>
        <w:rPr/>
      </w:pPr>
      <w:r/>
    </w:p>
    <w:p>
      <w:pPr>
        <w:spacing w:before="26"/>
        <w:rPr/>
      </w:pPr>
      <w:r/>
    </w:p>
    <w:p>
      <w:pPr>
        <w:sectPr>
          <w:type w:val="continuous"/>
          <w:pgSz w:w="8870" w:h="13400"/>
          <w:pgMar w:top="400" w:right="439" w:bottom="559" w:left="780" w:header="0" w:footer="390" w:gutter="0"/>
          <w:cols w:equalWidth="0" w:num="1">
            <w:col w:w="7651" w:space="0"/>
          </w:cols>
        </w:sectPr>
        <w:rPr/>
      </w:pPr>
    </w:p>
    <w:p>
      <w:pPr>
        <w:ind w:left="850" w:right="123"/>
        <w:spacing w:before="34" w:line="190" w:lineRule="auto"/>
        <w:rPr>
          <w:rFonts w:ascii="SimSun" w:hAnsi="SimSun" w:eastAsia="SimSun" w:cs="SimSun"/>
          <w:sz w:val="17"/>
          <w:szCs w:val="17"/>
        </w:rPr>
      </w:pPr>
      <w:r>
        <w:rPr>
          <w:rFonts w:ascii="SimSun" w:hAnsi="SimSun" w:eastAsia="SimSun" w:cs="SimSun"/>
          <w:sz w:val="17"/>
          <w:szCs w:val="17"/>
          <w:spacing w:val="-14"/>
          <w:w w:val="98"/>
        </w:rPr>
        <w:t>技术架构设计</w:t>
      </w:r>
      <w:r>
        <w:rPr>
          <w:rFonts w:ascii="SimSun" w:hAnsi="SimSun" w:eastAsia="SimSun" w:cs="SimSun"/>
          <w:sz w:val="17"/>
          <w:szCs w:val="17"/>
        </w:rPr>
        <w:t xml:space="preserve"> </w:t>
      </w:r>
      <w:r>
        <w:rPr>
          <w:rFonts w:ascii="SimSun" w:hAnsi="SimSun" w:eastAsia="SimSun" w:cs="SimSun"/>
          <w:sz w:val="17"/>
          <w:szCs w:val="17"/>
          <w:spacing w:val="-10"/>
        </w:rPr>
        <w:t>元数据</w:t>
      </w:r>
    </w:p>
    <w:p>
      <w:pPr>
        <w:ind w:left="850"/>
        <w:spacing w:line="219" w:lineRule="auto"/>
        <w:rPr>
          <w:rFonts w:ascii="SimSun" w:hAnsi="SimSun" w:eastAsia="SimSun" w:cs="SimSun"/>
          <w:sz w:val="17"/>
          <w:szCs w:val="17"/>
        </w:rPr>
      </w:pPr>
      <w:r>
        <w:rPr>
          <w:rFonts w:ascii="SimSun" w:hAnsi="SimSun" w:eastAsia="SimSun" w:cs="SimSun"/>
          <w:sz w:val="17"/>
          <w:szCs w:val="17"/>
          <w:spacing w:val="-14"/>
          <w:w w:val="97"/>
        </w:rPr>
        <w:t>数据安全</w:t>
      </w:r>
    </w:p>
    <w:p>
      <w:pPr>
        <w:pStyle w:val="BodyText"/>
        <w:spacing w:line="14" w:lineRule="auto"/>
        <w:rPr>
          <w:sz w:val="2"/>
        </w:rPr>
      </w:pPr>
      <w:r>
        <w:rPr>
          <w:sz w:val="2"/>
          <w:szCs w:val="2"/>
        </w:rPr>
        <w:br w:type="column"/>
      </w:r>
    </w:p>
    <w:p>
      <w:pPr>
        <w:spacing w:before="283" w:line="219" w:lineRule="auto"/>
        <w:rPr>
          <w:rFonts w:ascii="SimSun" w:hAnsi="SimSun" w:eastAsia="SimSun" w:cs="SimSun"/>
          <w:sz w:val="17"/>
          <w:szCs w:val="17"/>
        </w:rPr>
      </w:pPr>
      <w:r>
        <w:rPr>
          <w:rFonts w:ascii="SimSun" w:hAnsi="SimSun" w:eastAsia="SimSun" w:cs="SimSun"/>
          <w:sz w:val="17"/>
          <w:szCs w:val="17"/>
          <w:spacing w:val="-6"/>
        </w:rPr>
        <w:t>技术&amp;架构</w:t>
      </w:r>
    </w:p>
    <w:p>
      <w:pPr>
        <w:ind w:left="1409"/>
        <w:spacing w:before="248" w:line="184" w:lineRule="auto"/>
        <w:rPr>
          <w:rFonts w:ascii="SimSun" w:hAnsi="SimSun" w:eastAsia="SimSun" w:cs="SimSun"/>
          <w:sz w:val="17"/>
          <w:szCs w:val="17"/>
        </w:rPr>
      </w:pPr>
      <w:r>
        <w:rPr>
          <w:rFonts w:ascii="SimSun" w:hAnsi="SimSun" w:eastAsia="SimSun" w:cs="SimSun"/>
          <w:sz w:val="17"/>
          <w:szCs w:val="17"/>
          <w:spacing w:val="-14"/>
        </w:rPr>
        <w:t>数据分析</w:t>
      </w:r>
    </w:p>
    <w:p>
      <w:pPr>
        <w:pStyle w:val="BodyText"/>
        <w:spacing w:line="14" w:lineRule="auto"/>
        <w:rPr>
          <w:sz w:val="2"/>
        </w:rPr>
      </w:pPr>
      <w:r>
        <w:rPr>
          <w:sz w:val="2"/>
          <w:szCs w:val="2"/>
        </w:rPr>
        <w:br w:type="column"/>
      </w:r>
    </w:p>
    <w:p>
      <w:pPr>
        <w:ind w:left="160" w:right="134" w:hanging="160"/>
        <w:spacing w:before="123" w:line="197" w:lineRule="auto"/>
        <w:rPr>
          <w:rFonts w:ascii="SimSun" w:hAnsi="SimSun" w:eastAsia="SimSun" w:cs="SimSun"/>
          <w:sz w:val="17"/>
          <w:szCs w:val="17"/>
        </w:rPr>
      </w:pPr>
      <w:r>
        <w:rPr>
          <w:rFonts w:ascii="SimSun" w:hAnsi="SimSun" w:eastAsia="SimSun" w:cs="SimSun"/>
          <w:sz w:val="17"/>
          <w:szCs w:val="17"/>
          <w:spacing w:val="-14"/>
        </w:rPr>
        <w:t>数据治理</w:t>
      </w:r>
      <w:r>
        <w:rPr>
          <w:rFonts w:ascii="SimSun" w:hAnsi="SimSun" w:eastAsia="SimSun" w:cs="SimSun"/>
          <w:sz w:val="17"/>
          <w:szCs w:val="17"/>
        </w:rPr>
        <w:t xml:space="preserve"> </w:t>
      </w:r>
      <w:r>
        <w:rPr>
          <w:rFonts w:ascii="SimSun" w:hAnsi="SimSun" w:eastAsia="SimSun" w:cs="SimSun"/>
          <w:sz w:val="17"/>
          <w:szCs w:val="17"/>
          <w:spacing w:val="-2"/>
        </w:rPr>
        <w:t>策略</w:t>
      </w:r>
    </w:p>
    <w:p>
      <w:pPr>
        <w:pStyle w:val="BodyText"/>
        <w:spacing w:line="14" w:lineRule="auto"/>
        <w:rPr>
          <w:sz w:val="2"/>
        </w:rPr>
      </w:pPr>
      <w:r>
        <w:rPr>
          <w:sz w:val="2"/>
          <w:szCs w:val="2"/>
        </w:rPr>
        <w:br w:type="column"/>
      </w:r>
    </w:p>
    <w:p>
      <w:pPr>
        <w:pStyle w:val="BodyText"/>
        <w:spacing w:line="255" w:lineRule="auto"/>
        <w:rPr/>
      </w:pPr>
      <w:r/>
    </w:p>
    <w:p>
      <w:pPr>
        <w:spacing w:before="55" w:line="197" w:lineRule="auto"/>
        <w:rPr>
          <w:rFonts w:ascii="SimSun" w:hAnsi="SimSun" w:eastAsia="SimSun" w:cs="SimSun"/>
          <w:sz w:val="17"/>
          <w:szCs w:val="17"/>
        </w:rPr>
      </w:pPr>
      <w:r>
        <w:rPr>
          <w:rFonts w:ascii="SimSun" w:hAnsi="SimSun" w:eastAsia="SimSun" w:cs="SimSun"/>
          <w:sz w:val="17"/>
          <w:szCs w:val="17"/>
          <w:spacing w:val="-12"/>
          <w:w w:val="97"/>
        </w:rPr>
        <w:t>数据标准/评估</w:t>
      </w:r>
    </w:p>
    <w:p>
      <w:pPr>
        <w:spacing w:line="220" w:lineRule="auto"/>
        <w:rPr>
          <w:rFonts w:ascii="SimSun" w:hAnsi="SimSun" w:eastAsia="SimSun" w:cs="SimSun"/>
          <w:sz w:val="17"/>
          <w:szCs w:val="17"/>
        </w:rPr>
      </w:pPr>
      <w:r>
        <w:rPr>
          <w:rFonts w:ascii="SimSun" w:hAnsi="SimSun" w:eastAsia="SimSun" w:cs="SimSun"/>
          <w:sz w:val="17"/>
          <w:szCs w:val="17"/>
          <w:spacing w:val="-12"/>
          <w:w w:val="98"/>
        </w:rPr>
        <w:t>控制/规划</w:t>
      </w:r>
    </w:p>
    <w:p>
      <w:pPr>
        <w:spacing w:line="220" w:lineRule="auto"/>
        <w:sectPr>
          <w:type w:val="continuous"/>
          <w:pgSz w:w="8870" w:h="13400"/>
          <w:pgMar w:top="400" w:right="439" w:bottom="559" w:left="780" w:header="0" w:footer="390" w:gutter="0"/>
          <w:cols w:equalWidth="0" w:num="4">
            <w:col w:w="1890" w:space="100"/>
            <w:col w:w="2410" w:space="100"/>
            <w:col w:w="761" w:space="100"/>
            <w:col w:w="2291" w:space="0"/>
          </w:cols>
        </w:sectPr>
        <w:rPr>
          <w:rFonts w:ascii="SimSun" w:hAnsi="SimSun" w:eastAsia="SimSun" w:cs="SimSun"/>
          <w:sz w:val="17"/>
          <w:szCs w:val="17"/>
        </w:rPr>
      </w:pPr>
    </w:p>
    <w:p>
      <w:pPr>
        <w:ind w:left="2719" w:right="344"/>
        <w:spacing w:before="91" w:line="200" w:lineRule="auto"/>
        <w:rPr>
          <w:rFonts w:ascii="SimSun" w:hAnsi="SimSun" w:eastAsia="SimSun" w:cs="SimSun"/>
          <w:sz w:val="17"/>
          <w:szCs w:val="17"/>
        </w:rPr>
      </w:pPr>
      <w:r>
        <w:rPr>
          <w:rFonts w:ascii="SimSun" w:hAnsi="SimSun" w:eastAsia="SimSun" w:cs="SimSun"/>
          <w:sz w:val="17"/>
          <w:szCs w:val="17"/>
          <w:spacing w:val="-5"/>
        </w:rPr>
        <w:t>发现</w:t>
      </w:r>
      <w:r>
        <w:rPr>
          <w:rFonts w:ascii="SimSun" w:hAnsi="SimSun" w:eastAsia="SimSun" w:cs="SimSun"/>
          <w:sz w:val="17"/>
          <w:szCs w:val="17"/>
        </w:rPr>
        <w:t xml:space="preserve"> </w:t>
      </w:r>
      <w:r>
        <w:rPr>
          <w:rFonts w:ascii="SimSun" w:hAnsi="SimSun" w:eastAsia="SimSun" w:cs="SimSun"/>
          <w:sz w:val="17"/>
          <w:szCs w:val="17"/>
          <w:spacing w:val="-9"/>
        </w:rPr>
        <w:t>分析</w:t>
      </w:r>
    </w:p>
    <w:p>
      <w:pPr>
        <w:spacing w:line="471" w:lineRule="exact"/>
        <w:jc w:val="right"/>
        <w:rPr>
          <w:rFonts w:ascii="SimSun" w:hAnsi="SimSun" w:eastAsia="SimSun" w:cs="SimSun"/>
          <w:sz w:val="17"/>
          <w:szCs w:val="17"/>
        </w:rPr>
      </w:pPr>
      <w:r>
        <w:rPr>
          <w:rFonts w:ascii="SimSun" w:hAnsi="SimSun" w:eastAsia="SimSun" w:cs="SimSun"/>
          <w:sz w:val="17"/>
          <w:szCs w:val="17"/>
          <w:spacing w:val="-14"/>
          <w:w w:val="94"/>
          <w:position w:val="23"/>
        </w:rPr>
        <w:t>跟</w:t>
      </w:r>
      <w:r>
        <w:rPr>
          <w:rFonts w:ascii="SimSun" w:hAnsi="SimSun" w:eastAsia="SimSun" w:cs="SimSun"/>
          <w:sz w:val="17"/>
          <w:szCs w:val="17"/>
          <w:spacing w:val="-13"/>
          <w:w w:val="94"/>
          <w:position w:val="23"/>
        </w:rPr>
        <w:t>踪/报</w:t>
      </w:r>
      <w:r>
        <w:rPr>
          <w:rFonts w:ascii="SimSun" w:hAnsi="SimSun" w:eastAsia="SimSun" w:cs="SimSun"/>
          <w:sz w:val="17"/>
          <w:szCs w:val="17"/>
          <w:spacing w:val="-12"/>
          <w:w w:val="94"/>
          <w:position w:val="23"/>
        </w:rPr>
        <w:t>告</w:t>
      </w:r>
    </w:p>
    <w:p>
      <w:pPr>
        <w:spacing w:line="187" w:lineRule="auto"/>
        <w:jc w:val="right"/>
        <w:rPr>
          <w:rFonts w:ascii="Times New Roman" w:hAnsi="Times New Roman" w:eastAsia="Times New Roman" w:cs="Times New Roman"/>
          <w:sz w:val="17"/>
          <w:szCs w:val="17"/>
        </w:rPr>
      </w:pPr>
      <w:r>
        <w:rPr>
          <w:rFonts w:ascii="SimHei" w:hAnsi="SimHei" w:eastAsia="SimHei" w:cs="SimHei"/>
          <w:sz w:val="17"/>
          <w:szCs w:val="17"/>
          <w:spacing w:val="12"/>
        </w:rPr>
        <w:t>图1-10</w:t>
      </w:r>
      <w:r>
        <w:rPr>
          <w:rFonts w:ascii="SimHei" w:hAnsi="SimHei" w:eastAsia="SimHei" w:cs="SimHei"/>
          <w:sz w:val="17"/>
          <w:szCs w:val="17"/>
          <w:spacing w:val="2"/>
        </w:rPr>
        <w:t xml:space="preserve">  </w:t>
      </w:r>
      <w:r>
        <w:rPr>
          <w:rFonts w:ascii="Times New Roman" w:hAnsi="Times New Roman" w:eastAsia="Times New Roman" w:cs="Times New Roman"/>
          <w:sz w:val="17"/>
          <w:szCs w:val="17"/>
        </w:rPr>
        <w:t>PCW</w:t>
      </w:r>
    </w:p>
    <w:p>
      <w:pPr>
        <w:pStyle w:val="BodyText"/>
        <w:spacing w:line="14" w:lineRule="auto"/>
        <w:rPr>
          <w:sz w:val="2"/>
        </w:rPr>
      </w:pPr>
      <w:r>
        <w:rPr>
          <w:sz w:val="2"/>
          <w:szCs w:val="2"/>
        </w:rPr>
        <w:br w:type="column"/>
      </w:r>
    </w:p>
    <w:p>
      <w:pPr>
        <w:spacing w:before="20" w:line="221" w:lineRule="auto"/>
        <w:rPr>
          <w:rFonts w:ascii="SimSun" w:hAnsi="SimSun" w:eastAsia="SimSun" w:cs="SimSun"/>
          <w:sz w:val="17"/>
          <w:szCs w:val="17"/>
        </w:rPr>
      </w:pPr>
      <w:r>
        <w:rPr>
          <w:rFonts w:ascii="SimSun" w:hAnsi="SimSun" w:eastAsia="SimSun" w:cs="SimSun"/>
          <w:sz w:val="17"/>
          <w:szCs w:val="17"/>
          <w:spacing w:val="9"/>
        </w:rPr>
        <w:t>&amp;监测</w:t>
      </w:r>
    </w:p>
    <w:p>
      <w:pPr>
        <w:pStyle w:val="BodyText"/>
        <w:spacing w:line="322" w:lineRule="auto"/>
        <w:rPr/>
      </w:pPr>
      <w:r/>
    </w:p>
    <w:p>
      <w:pPr>
        <w:pStyle w:val="BodyText"/>
        <w:spacing w:line="323" w:lineRule="auto"/>
        <w:rPr/>
      </w:pPr>
      <w:r/>
    </w:p>
    <w:p>
      <w:pPr>
        <w:ind w:left="20"/>
        <w:spacing w:before="57" w:line="187" w:lineRule="auto"/>
        <w:rPr>
          <w:rFonts w:ascii="SimHei" w:hAnsi="SimHei" w:eastAsia="SimHei" w:cs="SimHei"/>
          <w:sz w:val="17"/>
          <w:szCs w:val="17"/>
        </w:rPr>
      </w:pPr>
      <w:r>
        <w:rPr>
          <w:rFonts w:ascii="SimHei" w:hAnsi="SimHei" w:eastAsia="SimHei" w:cs="SimHei"/>
          <w:sz w:val="17"/>
          <w:szCs w:val="17"/>
          <w:spacing w:val="10"/>
        </w:rPr>
        <w:t>数据治理能力框架</w:t>
      </w:r>
    </w:p>
    <w:p>
      <w:pPr>
        <w:spacing w:line="187" w:lineRule="auto"/>
        <w:sectPr>
          <w:type w:val="continuous"/>
          <w:pgSz w:w="8870" w:h="13400"/>
          <w:pgMar w:top="400" w:right="439" w:bottom="559" w:left="780" w:header="0" w:footer="390" w:gutter="0"/>
          <w:cols w:equalWidth="0" w:num="2">
            <w:col w:w="3396" w:space="84"/>
            <w:col w:w="4171" w:space="0"/>
          </w:cols>
        </w:sectPr>
        <w:rPr>
          <w:rFonts w:ascii="SimHei" w:hAnsi="SimHei" w:eastAsia="SimHei" w:cs="SimHei"/>
          <w:sz w:val="17"/>
          <w:szCs w:val="17"/>
        </w:rPr>
      </w:pPr>
    </w:p>
    <w:p>
      <w:pPr>
        <w:pStyle w:val="BodyText"/>
        <w:spacing w:before="121" w:line="3030" w:lineRule="exact"/>
        <w:rPr/>
      </w:pPr>
      <w:r>
        <w:rPr>
          <w:position w:val="-60"/>
        </w:rPr>
        <w:pict>
          <v:group id="_x0000_s138" style="mso-position-vertical-relative:line;mso-position-horizontal-relative:char;width:363.5pt;height:151.55pt;" filled="false" stroked="false" coordsize="7270,3031" coordorigin="0,0">
            <v:shape id="_x0000_s140" style="position:absolute;left:0;top:0;width:7270;height:3031;" filled="false" stroked="false" type="#_x0000_t75">
              <v:imagedata o:title="" r:id="rId71"/>
            </v:shape>
            <v:shape id="_x0000_s142" style="position:absolute;left:3229;top:126;width:2206;height:2791;" filled="false" stroked="false" type="#_x0000_t202">
              <v:fill on="false"/>
              <v:stroke on="false"/>
              <v:path/>
              <v:imagedata o:title=""/>
              <o:lock v:ext="edit" aspectratio="false"/>
              <v:textbox inset="0mm,0mm,0mm,0mm">
                <w:txbxContent>
                  <w:p>
                    <w:pPr>
                      <w:ind w:left="79"/>
                      <w:spacing w:before="20" w:line="219" w:lineRule="auto"/>
                      <w:rPr>
                        <w:rFonts w:ascii="SimSun" w:hAnsi="SimSun" w:eastAsia="SimSun" w:cs="SimSun"/>
                        <w:sz w:val="17"/>
                        <w:szCs w:val="17"/>
                      </w:rPr>
                    </w:pPr>
                    <w:r>
                      <w:rPr>
                        <w:rFonts w:ascii="SimSun" w:hAnsi="SimSun" w:eastAsia="SimSun" w:cs="SimSun"/>
                        <w:sz w:val="17"/>
                        <w:szCs w:val="17"/>
                        <w:spacing w:val="-13"/>
                      </w:rPr>
                      <w:t>数据管理</w:t>
                    </w:r>
                  </w:p>
                  <w:p>
                    <w:pPr>
                      <w:spacing w:line="410" w:lineRule="auto"/>
                      <w:rPr>
                        <w:rFonts w:ascii="Arial"/>
                        <w:sz w:val="21"/>
                      </w:rPr>
                    </w:pPr>
                    <w:r/>
                  </w:p>
                  <w:p>
                    <w:pPr>
                      <w:ind w:left="30"/>
                      <w:spacing w:before="55" w:line="197" w:lineRule="auto"/>
                      <w:rPr>
                        <w:rFonts w:ascii="SimSun" w:hAnsi="SimSun" w:eastAsia="SimSun" w:cs="SimSun"/>
                        <w:sz w:val="17"/>
                        <w:szCs w:val="17"/>
                      </w:rPr>
                    </w:pPr>
                    <w:r>
                      <w:rPr>
                        <w:rFonts w:ascii="SimSun" w:hAnsi="SimSun" w:eastAsia="SimSun" w:cs="SimSun"/>
                        <w:sz w:val="17"/>
                        <w:szCs w:val="17"/>
                        <w:spacing w:val="-13"/>
                        <w:w w:val="97"/>
                      </w:rPr>
                      <w:t>主数据管理</w:t>
                    </w:r>
                  </w:p>
                  <w:p>
                    <w:pPr>
                      <w:ind w:left="79"/>
                      <w:spacing w:line="220" w:lineRule="auto"/>
                      <w:rPr>
                        <w:rFonts w:ascii="SimSun" w:hAnsi="SimSun" w:eastAsia="SimSun" w:cs="SimSun"/>
                        <w:sz w:val="17"/>
                        <w:szCs w:val="17"/>
                      </w:rPr>
                    </w:pPr>
                    <w:r>
                      <w:rPr>
                        <w:rFonts w:ascii="SimSun" w:hAnsi="SimSun" w:eastAsia="SimSun" w:cs="SimSun"/>
                        <w:sz w:val="17"/>
                        <w:szCs w:val="17"/>
                        <w:spacing w:val="-12"/>
                      </w:rPr>
                      <w:t>基础设施</w:t>
                    </w:r>
                  </w:p>
                  <w:p>
                    <w:pPr>
                      <w:spacing w:line="427" w:lineRule="auto"/>
                      <w:rPr>
                        <w:rFonts w:ascii="Arial"/>
                        <w:sz w:val="21"/>
                      </w:rPr>
                    </w:pPr>
                    <w:r/>
                  </w:p>
                  <w:p>
                    <w:pPr>
                      <w:ind w:left="20"/>
                      <w:spacing w:before="56" w:line="185" w:lineRule="auto"/>
                      <w:rPr>
                        <w:rFonts w:ascii="SimSun" w:hAnsi="SimSun" w:eastAsia="SimSun" w:cs="SimSun"/>
                        <w:sz w:val="17"/>
                        <w:szCs w:val="17"/>
                      </w:rPr>
                    </w:pPr>
                    <w:r>
                      <w:rPr>
                        <w:rFonts w:ascii="SimSun" w:hAnsi="SimSun" w:eastAsia="SimSun" w:cs="SimSun"/>
                        <w:sz w:val="17"/>
                        <w:szCs w:val="17"/>
                        <w:spacing w:val="-14"/>
                      </w:rPr>
                      <w:t>数据安全与</w:t>
                    </w:r>
                  </w:p>
                  <w:p>
                    <w:pPr>
                      <w:ind w:left="79"/>
                      <w:spacing w:line="220" w:lineRule="auto"/>
                      <w:rPr>
                        <w:rFonts w:ascii="SimSun" w:hAnsi="SimSun" w:eastAsia="SimSun" w:cs="SimSun"/>
                        <w:sz w:val="17"/>
                        <w:szCs w:val="17"/>
                      </w:rPr>
                    </w:pPr>
                    <w:r>
                      <w:rPr>
                        <w:rFonts w:ascii="SimSun" w:hAnsi="SimSun" w:eastAsia="SimSun" w:cs="SimSun"/>
                        <w:sz w:val="17"/>
                        <w:szCs w:val="17"/>
                        <w:spacing w:val="-12"/>
                      </w:rPr>
                      <w:t>活动监控</w:t>
                    </w:r>
                  </w:p>
                  <w:p>
                    <w:pPr>
                      <w:spacing w:line="417" w:lineRule="auto"/>
                      <w:rPr>
                        <w:rFonts w:ascii="Arial"/>
                        <w:sz w:val="21"/>
                      </w:rPr>
                    </w:pPr>
                    <w:r/>
                  </w:p>
                  <w:p>
                    <w:pPr>
                      <w:ind w:left="1658" w:right="20" w:hanging="229"/>
                      <w:spacing w:before="56" w:line="214" w:lineRule="auto"/>
                      <w:rPr>
                        <w:rFonts w:ascii="SimSun" w:hAnsi="SimSun" w:eastAsia="SimSun" w:cs="SimSun"/>
                        <w:sz w:val="17"/>
                        <w:szCs w:val="17"/>
                      </w:rPr>
                    </w:pPr>
                    <w:r>
                      <w:rPr>
                        <w:rFonts w:ascii="SimSun" w:hAnsi="SimSun" w:eastAsia="SimSun" w:cs="SimSun"/>
                        <w:sz w:val="17"/>
                        <w:szCs w:val="17"/>
                        <w:spacing w:val="-13"/>
                        <w:w w:val="96"/>
                      </w:rPr>
                      <w:t>数据库管理</w:t>
                    </w:r>
                    <w:r>
                      <w:rPr>
                        <w:rFonts w:ascii="SimSun" w:hAnsi="SimSun" w:eastAsia="SimSun" w:cs="SimSun"/>
                        <w:sz w:val="17"/>
                        <w:szCs w:val="17"/>
                        <w:spacing w:val="3"/>
                      </w:rPr>
                      <w:t xml:space="preserve"> </w:t>
                    </w:r>
                    <w:r>
                      <w:rPr>
                        <w:rFonts w:ascii="SimSun" w:hAnsi="SimSun" w:eastAsia="SimSun" w:cs="SimSun"/>
                        <w:sz w:val="17"/>
                        <w:szCs w:val="17"/>
                        <w:spacing w:val="-14"/>
                        <w:w w:val="98"/>
                      </w:rPr>
                      <w:t>与监控</w:t>
                    </w:r>
                  </w:p>
                </w:txbxContent>
              </v:textbox>
            </v:shape>
            <v:shape id="_x0000_s144" style="position:absolute;left:159;top:1666;width:1101;height:380;" filled="false" stroked="false" type="#_x0000_t202">
              <v:fill on="false"/>
              <v:stroke on="false"/>
              <v:path/>
              <v:imagedata o:title=""/>
              <o:lock v:ext="edit" aspectratio="false"/>
              <v:textbox inset="0mm,0mm,0mm,0mm">
                <w:txbxContent>
                  <w:p>
                    <w:pPr>
                      <w:ind w:left="389" w:right="20" w:hanging="369"/>
                      <w:spacing w:before="20" w:line="202" w:lineRule="auto"/>
                      <w:rPr>
                        <w:rFonts w:ascii="SimSun" w:hAnsi="SimSun" w:eastAsia="SimSun" w:cs="SimSun"/>
                        <w:sz w:val="17"/>
                        <w:szCs w:val="17"/>
                      </w:rPr>
                    </w:pPr>
                    <w:r>
                      <w:rPr>
                        <w:rFonts w:ascii="SimSun" w:hAnsi="SimSun" w:eastAsia="SimSun" w:cs="SimSun"/>
                        <w:sz w:val="17"/>
                        <w:szCs w:val="17"/>
                        <w:spacing w:val="-16"/>
                        <w:w w:val="98"/>
                      </w:rPr>
                      <w:t>数据治理与信息</w:t>
                    </w:r>
                    <w:r>
                      <w:rPr>
                        <w:rFonts w:ascii="SimSun" w:hAnsi="SimSun" w:eastAsia="SimSun" w:cs="SimSun"/>
                        <w:sz w:val="17"/>
                        <w:szCs w:val="17"/>
                        <w:spacing w:val="6"/>
                      </w:rPr>
                      <w:t xml:space="preserve"> </w:t>
                    </w:r>
                    <w:r>
                      <w:rPr>
                        <w:rFonts w:ascii="SimSun" w:hAnsi="SimSun" w:eastAsia="SimSun" w:cs="SimSun"/>
                        <w:sz w:val="17"/>
                        <w:szCs w:val="17"/>
                        <w:spacing w:val="-3"/>
                      </w:rPr>
                      <w:t>管理</w:t>
                    </w:r>
                  </w:p>
                </w:txbxContent>
              </v:textbox>
            </v:shape>
            <v:shape id="_x0000_s146" style="position:absolute;left:1679;top:796;width:950;height:40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7"/>
                        <w:szCs w:val="17"/>
                      </w:rPr>
                    </w:pPr>
                    <w:r>
                      <w:rPr>
                        <w:rFonts w:ascii="SimSun" w:hAnsi="SimSun" w:eastAsia="SimSun" w:cs="SimSun"/>
                        <w:sz w:val="17"/>
                        <w:szCs w:val="17"/>
                        <w:spacing w:val="-15"/>
                        <w:w w:val="98"/>
                      </w:rPr>
                      <w:t>信息生命周期</w:t>
                    </w:r>
                    <w:r>
                      <w:rPr>
                        <w:rFonts w:ascii="SimSun" w:hAnsi="SimSun" w:eastAsia="SimSun" w:cs="SimSun"/>
                        <w:sz w:val="17"/>
                        <w:szCs w:val="17"/>
                      </w:rPr>
                      <w:t xml:space="preserve"> </w:t>
                    </w:r>
                    <w:r>
                      <w:rPr>
                        <w:rFonts w:ascii="SimSun" w:hAnsi="SimSun" w:eastAsia="SimSun" w:cs="SimSun"/>
                        <w:sz w:val="17"/>
                        <w:szCs w:val="17"/>
                        <w:spacing w:val="-13"/>
                        <w:w w:val="96"/>
                      </w:rPr>
                      <w:t>管理基础设施</w:t>
                    </w:r>
                  </w:p>
                </w:txbxContent>
              </v:textbox>
            </v:shape>
            <v:shape id="_x0000_s148" style="position:absolute;left:4619;top:796;width:959;height:392;" filled="false" stroked="false" type="#_x0000_t202">
              <v:fill on="false"/>
              <v:stroke on="false"/>
              <v:path/>
              <v:imagedata o:title=""/>
              <o:lock v:ext="edit" aspectratio="false"/>
              <v:textbox inset="0mm,0mm,0mm,0mm">
                <w:txbxContent>
                  <w:p>
                    <w:pPr>
                      <w:ind w:left="268" w:right="20" w:hanging="249"/>
                      <w:spacing w:before="19" w:line="209" w:lineRule="auto"/>
                      <w:rPr>
                        <w:rFonts w:ascii="SimSun" w:hAnsi="SimSun" w:eastAsia="SimSun" w:cs="SimSun"/>
                        <w:sz w:val="17"/>
                        <w:szCs w:val="17"/>
                      </w:rPr>
                    </w:pPr>
                    <w:r>
                      <w:rPr>
                        <w:rFonts w:ascii="SimSun" w:hAnsi="SimSun" w:eastAsia="SimSun" w:cs="SimSun"/>
                        <w:sz w:val="17"/>
                        <w:szCs w:val="17"/>
                        <w:spacing w:val="-16"/>
                        <w:w w:val="99"/>
                      </w:rPr>
                      <w:t>商务智能基础</w:t>
                    </w:r>
                    <w:r>
                      <w:rPr>
                        <w:rFonts w:ascii="SimSun" w:hAnsi="SimSun" w:eastAsia="SimSun" w:cs="SimSun"/>
                        <w:sz w:val="17"/>
                        <w:szCs w:val="17"/>
                        <w:spacing w:val="3"/>
                      </w:rPr>
                      <w:t xml:space="preserve"> </w:t>
                    </w:r>
                    <w:r>
                      <w:rPr>
                        <w:rFonts w:ascii="SimSun" w:hAnsi="SimSun" w:eastAsia="SimSun" w:cs="SimSun"/>
                        <w:sz w:val="17"/>
                        <w:szCs w:val="17"/>
                        <w:spacing w:val="-3"/>
                      </w:rPr>
                      <w:t>设施</w:t>
                    </w:r>
                  </w:p>
                </w:txbxContent>
              </v:textbox>
            </v:shape>
            <v:shape id="_x0000_s150" style="position:absolute;left:1679;top:1666;width:959;height:379;" filled="false" stroked="false" type="#_x0000_t202">
              <v:fill on="false"/>
              <v:stroke on="false"/>
              <v:path/>
              <v:imagedata o:title=""/>
              <o:lock v:ext="edit" aspectratio="false"/>
              <v:textbox inset="0mm,0mm,0mm,0mm">
                <w:txbxContent>
                  <w:p>
                    <w:pPr>
                      <w:ind w:left="20" w:right="20"/>
                      <w:spacing w:before="19" w:line="201" w:lineRule="auto"/>
                      <w:rPr>
                        <w:rFonts w:ascii="SimSun" w:hAnsi="SimSun" w:eastAsia="SimSun" w:cs="SimSun"/>
                        <w:sz w:val="17"/>
                        <w:szCs w:val="17"/>
                      </w:rPr>
                    </w:pPr>
                    <w:r>
                      <w:rPr>
                        <w:rFonts w:ascii="SimSun" w:hAnsi="SimSun" w:eastAsia="SimSun" w:cs="SimSun"/>
                        <w:sz w:val="17"/>
                        <w:szCs w:val="17"/>
                        <w:spacing w:val="-16"/>
                        <w:w w:val="98"/>
                      </w:rPr>
                      <w:t>业务分析、报</w:t>
                    </w:r>
                    <w:r>
                      <w:rPr>
                        <w:rFonts w:ascii="SimSun" w:hAnsi="SimSun" w:eastAsia="SimSun" w:cs="SimSun"/>
                        <w:sz w:val="17"/>
                        <w:szCs w:val="17"/>
                        <w:spacing w:val="2"/>
                      </w:rPr>
                      <w:t xml:space="preserve"> </w:t>
                    </w:r>
                    <w:r>
                      <w:rPr>
                        <w:rFonts w:ascii="SimSun" w:hAnsi="SimSun" w:eastAsia="SimSun" w:cs="SimSun"/>
                        <w:sz w:val="17"/>
                        <w:szCs w:val="17"/>
                        <w:spacing w:val="-17"/>
                      </w:rPr>
                      <w:t>告与数据访问</w:t>
                    </w:r>
                  </w:p>
                </w:txbxContent>
              </v:textbox>
            </v:shape>
            <v:shape id="_x0000_s152" style="position:absolute;left:4639;top:1666;width:803;height:38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17"/>
                        <w:szCs w:val="17"/>
                      </w:rPr>
                    </w:pPr>
                    <w:r>
                      <w:rPr>
                        <w:rFonts w:ascii="SimSun" w:hAnsi="SimSun" w:eastAsia="SimSun" w:cs="SimSun"/>
                        <w:sz w:val="17"/>
                        <w:szCs w:val="17"/>
                        <w:spacing w:val="-14"/>
                        <w:w w:val="97"/>
                      </w:rPr>
                      <w:t>数据集成与</w:t>
                    </w:r>
                    <w:r>
                      <w:rPr>
                        <w:rFonts w:ascii="SimSun" w:hAnsi="SimSun" w:eastAsia="SimSun" w:cs="SimSun"/>
                        <w:sz w:val="17"/>
                        <w:szCs w:val="17"/>
                        <w:spacing w:val="7"/>
                      </w:rPr>
                      <w:t xml:space="preserve"> </w:t>
                    </w:r>
                    <w:r>
                      <w:rPr>
                        <w:rFonts w:ascii="SimSun" w:hAnsi="SimSun" w:eastAsia="SimSun" w:cs="SimSun"/>
                        <w:sz w:val="17"/>
                        <w:szCs w:val="17"/>
                        <w:spacing w:val="-13"/>
                        <w:w w:val="96"/>
                      </w:rPr>
                      <w:t>主数据管理</w:t>
                    </w:r>
                  </w:p>
                </w:txbxContent>
              </v:textbox>
            </v:shape>
            <v:shape id="_x0000_s154" style="position:absolute;left:149;top:2596;width:1110;height:21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7"/>
                        <w:szCs w:val="17"/>
                      </w:rPr>
                    </w:pPr>
                    <w:r>
                      <w:rPr>
                        <w:rFonts w:ascii="SimSun" w:hAnsi="SimSun" w:eastAsia="SimSun" w:cs="SimSun"/>
                        <w:sz w:val="17"/>
                        <w:szCs w:val="17"/>
                        <w:spacing w:val="-14"/>
                        <w:w w:val="99"/>
                      </w:rPr>
                      <w:t>存储元数据模型</w:t>
                    </w:r>
                  </w:p>
                </w:txbxContent>
              </v:textbox>
            </v:shape>
            <v:shape id="_x0000_s156" style="position:absolute;left:6069;top:887;width:96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3"/>
                      </w:rPr>
                      <w:t>移动基础设施</w:t>
                    </w:r>
                  </w:p>
                </w:txbxContent>
              </v:textbox>
            </v:shape>
            <v:shape id="_x0000_s158" style="position:absolute;left:1759;top:2616;width:81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数据库架构</w:t>
                    </w:r>
                  </w:p>
                </w:txbxContent>
              </v:textbox>
            </v:shape>
            <v:shape id="_x0000_s160" style="position:absolute;left:370;top:886;width:66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信息资产</w:t>
                    </w:r>
                  </w:p>
                </w:txbxContent>
              </v:textbox>
            </v:shape>
            <v:shape id="_x0000_s162" style="position:absolute;left:3289;top:2616;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数据建模</w:t>
                    </w:r>
                  </w:p>
                </w:txbxContent>
              </v:textbox>
            </v:shape>
          </v:group>
        </w:pict>
      </w:r>
    </w:p>
    <w:p>
      <w:pPr>
        <w:ind w:left="2119"/>
        <w:spacing w:before="167" w:line="222" w:lineRule="auto"/>
        <w:rPr>
          <w:rFonts w:ascii="SimHei" w:hAnsi="SimHei" w:eastAsia="SimHei" w:cs="SimHei"/>
          <w:sz w:val="17"/>
          <w:szCs w:val="17"/>
        </w:rPr>
      </w:pPr>
      <w:r>
        <w:rPr>
          <w:rFonts w:ascii="SimHei" w:hAnsi="SimHei" w:eastAsia="SimHei" w:cs="SimHei"/>
          <w:sz w:val="17"/>
          <w:szCs w:val="17"/>
          <w:spacing w:val="6"/>
        </w:rPr>
        <w:t>图1-</w:t>
      </w:r>
      <w:r>
        <w:rPr>
          <w:rFonts w:ascii="SimHei" w:hAnsi="SimHei" w:eastAsia="SimHei" w:cs="SimHei"/>
          <w:sz w:val="17"/>
          <w:szCs w:val="17"/>
          <w:spacing w:val="-42"/>
        </w:rPr>
        <w:t xml:space="preserve"> </w:t>
      </w:r>
      <w:r>
        <w:rPr>
          <w:rFonts w:ascii="SimHei" w:hAnsi="SimHei" w:eastAsia="SimHei" w:cs="SimHei"/>
          <w:sz w:val="17"/>
          <w:szCs w:val="17"/>
          <w:spacing w:val="6"/>
        </w:rPr>
        <w:t>11</w:t>
      </w:r>
      <w:r>
        <w:rPr>
          <w:rFonts w:ascii="SimHei" w:hAnsi="SimHei" w:eastAsia="SimHei" w:cs="SimHei"/>
          <w:sz w:val="17"/>
          <w:szCs w:val="17"/>
          <w:spacing w:val="81"/>
        </w:rPr>
        <w:t xml:space="preserve"> </w:t>
      </w:r>
      <w:r>
        <w:rPr>
          <w:rFonts w:ascii="Times New Roman" w:hAnsi="Times New Roman" w:eastAsia="Times New Roman" w:cs="Times New Roman"/>
          <w:sz w:val="17"/>
          <w:szCs w:val="17"/>
        </w:rPr>
        <w:t>Gartner</w:t>
      </w:r>
      <w:r>
        <w:rPr>
          <w:rFonts w:ascii="Times New Roman" w:hAnsi="Times New Roman" w:eastAsia="Times New Roman" w:cs="Times New Roman"/>
          <w:sz w:val="17"/>
          <w:szCs w:val="17"/>
          <w:spacing w:val="6"/>
        </w:rPr>
        <w:t xml:space="preserve">     </w:t>
      </w:r>
      <w:r>
        <w:rPr>
          <w:rFonts w:ascii="SimHei" w:hAnsi="SimHei" w:eastAsia="SimHei" w:cs="SimHei"/>
          <w:sz w:val="17"/>
          <w:szCs w:val="17"/>
          <w:spacing w:val="6"/>
        </w:rPr>
        <w:t>数据管理参考架构</w:t>
      </w:r>
    </w:p>
    <w:p>
      <w:pPr>
        <w:pStyle w:val="BodyText"/>
        <w:ind w:firstLine="1559"/>
        <w:spacing w:before="98" w:line="3100" w:lineRule="exact"/>
        <w:rPr/>
      </w:pPr>
      <w:r>
        <w:rPr>
          <w:position w:val="-61"/>
        </w:rPr>
        <w:pict>
          <v:group id="_x0000_s164" style="mso-position-vertical-relative:line;mso-position-horizontal-relative:char;width:208.5pt;height:155pt;" filled="false" stroked="false" coordsize="4170,3100" coordorigin="0,0">
            <v:shape id="_x0000_s166" style="position:absolute;left:0;top:0;width:4170;height:3100;" filled="false" stroked="false" type="#_x0000_t75">
              <v:imagedata o:title="" r:id="rId72"/>
            </v:shape>
            <v:shape id="_x0000_s168" style="position:absolute;left:1830;top:196;width:855;height:2678;" filled="false" stroked="false" type="#_x0000_t202">
              <v:fill on="false"/>
              <v:stroke on="false"/>
              <v:path/>
              <v:imagedata o:title=""/>
              <o:lock v:ext="edit" aspectratio="false"/>
              <v:textbox inset="0mm,0mm,0mm,0mm">
                <w:txbxContent>
                  <w:p>
                    <w:pPr>
                      <w:ind w:left="89"/>
                      <w:spacing w:before="20" w:line="197" w:lineRule="auto"/>
                      <w:rPr>
                        <w:rFonts w:ascii="SimSun" w:hAnsi="SimSun" w:eastAsia="SimSun" w:cs="SimSun"/>
                        <w:sz w:val="17"/>
                        <w:szCs w:val="17"/>
                      </w:rPr>
                    </w:pPr>
                    <w:r>
                      <w:rPr>
                        <w:rFonts w:ascii="SimSun" w:hAnsi="SimSun" w:eastAsia="SimSun" w:cs="SimSun"/>
                        <w:sz w:val="17"/>
                        <w:szCs w:val="17"/>
                        <w:spacing w:val="-10"/>
                      </w:rPr>
                      <w:t>过程建模</w:t>
                    </w:r>
                  </w:p>
                  <w:p>
                    <w:pPr>
                      <w:ind w:left="180"/>
                      <w:spacing w:line="220" w:lineRule="auto"/>
                      <w:rPr>
                        <w:rFonts w:ascii="SimSun" w:hAnsi="SimSun" w:eastAsia="SimSun" w:cs="SimSun"/>
                        <w:sz w:val="17"/>
                        <w:szCs w:val="17"/>
                      </w:rPr>
                    </w:pPr>
                    <w:r>
                      <w:rPr>
                        <w:rFonts w:ascii="SimSun" w:hAnsi="SimSun" w:eastAsia="SimSun" w:cs="SimSun"/>
                        <w:sz w:val="17"/>
                        <w:szCs w:val="17"/>
                        <w:spacing w:val="-10"/>
                      </w:rPr>
                      <w:t>与设计</w:t>
                    </w:r>
                  </w:p>
                  <w:p>
                    <w:pPr>
                      <w:spacing w:line="438" w:lineRule="auto"/>
                      <w:rPr>
                        <w:rFonts w:ascii="Arial"/>
                        <w:sz w:val="21"/>
                      </w:rPr>
                    </w:pPr>
                    <w:r/>
                  </w:p>
                  <w:p>
                    <w:pPr>
                      <w:ind w:left="89"/>
                      <w:spacing w:before="55" w:line="220" w:lineRule="auto"/>
                      <w:rPr>
                        <w:rFonts w:ascii="SimSun" w:hAnsi="SimSun" w:eastAsia="SimSun" w:cs="SimSun"/>
                        <w:sz w:val="17"/>
                        <w:szCs w:val="17"/>
                      </w:rPr>
                    </w:pPr>
                    <w:r>
                      <w:rPr>
                        <w:rFonts w:ascii="SimSun" w:hAnsi="SimSun" w:eastAsia="SimSun" w:cs="SimSun"/>
                        <w:sz w:val="17"/>
                        <w:szCs w:val="17"/>
                        <w:spacing w:val="-16"/>
                        <w:w w:val="97"/>
                      </w:rPr>
                      <w:t>影响分析</w:t>
                    </w:r>
                  </w:p>
                  <w:p>
                    <w:pPr>
                      <w:spacing w:line="468" w:lineRule="auto"/>
                      <w:rPr>
                        <w:rFonts w:ascii="Arial"/>
                        <w:sz w:val="21"/>
                      </w:rPr>
                    </w:pPr>
                    <w:r/>
                  </w:p>
                  <w:p>
                    <w:pPr>
                      <w:ind w:left="89"/>
                      <w:spacing w:before="56" w:line="219" w:lineRule="auto"/>
                      <w:rPr>
                        <w:rFonts w:ascii="SimSun" w:hAnsi="SimSun" w:eastAsia="SimSun" w:cs="SimSun"/>
                        <w:sz w:val="17"/>
                        <w:szCs w:val="17"/>
                      </w:rPr>
                    </w:pPr>
                    <w:r>
                      <w:rPr>
                        <w:rFonts w:ascii="SimSun" w:hAnsi="SimSun" w:eastAsia="SimSun" w:cs="SimSun"/>
                        <w:sz w:val="17"/>
                        <w:szCs w:val="17"/>
                        <w:spacing w:val="-13"/>
                        <w:w w:val="96"/>
                      </w:rPr>
                      <w:t>数据架构</w:t>
                    </w:r>
                  </w:p>
                  <w:p>
                    <w:pPr>
                      <w:spacing w:line="429" w:lineRule="auto"/>
                      <w:rPr>
                        <w:rFonts w:ascii="Arial"/>
                        <w:sz w:val="21"/>
                      </w:rPr>
                    </w:pPr>
                    <w:r/>
                  </w:p>
                  <w:p>
                    <w:pPr>
                      <w:ind w:left="88" w:right="20" w:hanging="69"/>
                      <w:spacing w:before="55" w:line="201" w:lineRule="auto"/>
                      <w:rPr>
                        <w:rFonts w:ascii="SimSun" w:hAnsi="SimSun" w:eastAsia="SimSun" w:cs="SimSun"/>
                        <w:sz w:val="17"/>
                        <w:szCs w:val="17"/>
                      </w:rPr>
                    </w:pPr>
                    <w:r>
                      <w:rPr>
                        <w:rFonts w:ascii="SimSun" w:hAnsi="SimSun" w:eastAsia="SimSun" w:cs="SimSun"/>
                        <w:sz w:val="17"/>
                        <w:szCs w:val="17"/>
                        <w:spacing w:val="-8"/>
                      </w:rPr>
                      <w:t>数据访问审</w:t>
                    </w:r>
                    <w:r>
                      <w:rPr>
                        <w:rFonts w:ascii="SimSun" w:hAnsi="SimSun" w:eastAsia="SimSun" w:cs="SimSun"/>
                        <w:sz w:val="17"/>
                        <w:szCs w:val="17"/>
                        <w:spacing w:val="3"/>
                      </w:rPr>
                      <w:t xml:space="preserve"> </w:t>
                    </w:r>
                    <w:r>
                      <w:rPr>
                        <w:rFonts w:ascii="SimSun" w:hAnsi="SimSun" w:eastAsia="SimSun" w:cs="SimSun"/>
                        <w:sz w:val="17"/>
                        <w:szCs w:val="17"/>
                        <w:spacing w:val="-13"/>
                      </w:rPr>
                      <w:t>计与报告</w:t>
                    </w:r>
                  </w:p>
                </w:txbxContent>
              </v:textbox>
            </v:shape>
            <v:shape id="_x0000_s170" style="position:absolute;left:3060;top:986;width:904;height:1870;" filled="false" stroked="false" type="#_x0000_t202">
              <v:fill on="false"/>
              <v:stroke on="false"/>
              <v:path/>
              <v:imagedata o:title=""/>
              <o:lock v:ext="edit" aspectratio="false"/>
              <v:textbox inset="0mm,0mm,0mm,0mm">
                <w:txbxContent>
                  <w:p>
                    <w:pPr>
                      <w:ind w:left="39" w:right="39" w:hanging="19"/>
                      <w:spacing w:before="20" w:line="207" w:lineRule="auto"/>
                      <w:rPr>
                        <w:rFonts w:ascii="SimSun" w:hAnsi="SimSun" w:eastAsia="SimSun" w:cs="SimSun"/>
                        <w:sz w:val="17"/>
                        <w:szCs w:val="17"/>
                      </w:rPr>
                    </w:pPr>
                    <w:r>
                      <w:rPr>
                        <w:rFonts w:ascii="SimSun" w:hAnsi="SimSun" w:eastAsia="SimSun" w:cs="SimSun"/>
                        <w:sz w:val="17"/>
                        <w:szCs w:val="17"/>
                        <w:spacing w:val="-2"/>
                      </w:rPr>
                      <w:t>存储库与元</w:t>
                    </w:r>
                    <w:r>
                      <w:rPr>
                        <w:rFonts w:ascii="SimSun" w:hAnsi="SimSun" w:eastAsia="SimSun" w:cs="SimSun"/>
                        <w:sz w:val="17"/>
                        <w:szCs w:val="17"/>
                        <w:spacing w:val="3"/>
                      </w:rPr>
                      <w:t xml:space="preserve"> </w:t>
                    </w:r>
                    <w:r>
                      <w:rPr>
                        <w:rFonts w:ascii="SimSun" w:hAnsi="SimSun" w:eastAsia="SimSun" w:cs="SimSun"/>
                        <w:sz w:val="17"/>
                        <w:szCs w:val="17"/>
                        <w:spacing w:val="-14"/>
                      </w:rPr>
                      <w:t>数据管理</w:t>
                    </w:r>
                  </w:p>
                  <w:p>
                    <w:pPr>
                      <w:spacing w:line="290" w:lineRule="auto"/>
                      <w:rPr>
                        <w:rFonts w:ascii="Arial"/>
                        <w:sz w:val="21"/>
                      </w:rPr>
                    </w:pPr>
                    <w:r/>
                  </w:p>
                  <w:p>
                    <w:pPr>
                      <w:ind w:left="39"/>
                      <w:spacing w:before="55" w:line="209" w:lineRule="auto"/>
                      <w:rPr>
                        <w:rFonts w:ascii="SimSun" w:hAnsi="SimSun" w:eastAsia="SimSun" w:cs="SimSun"/>
                        <w:sz w:val="17"/>
                        <w:szCs w:val="17"/>
                      </w:rPr>
                    </w:pPr>
                    <w:r>
                      <w:rPr>
                        <w:rFonts w:ascii="SimSun" w:hAnsi="SimSun" w:eastAsia="SimSun" w:cs="SimSun"/>
                        <w:sz w:val="17"/>
                        <w:szCs w:val="17"/>
                        <w:spacing w:val="-13"/>
                        <w:w w:val="99"/>
                      </w:rPr>
                      <w:t>数据质量</w:t>
                    </w:r>
                  </w:p>
                  <w:p>
                    <w:pPr>
                      <w:ind w:left="269"/>
                      <w:spacing w:line="221" w:lineRule="auto"/>
                      <w:rPr>
                        <w:rFonts w:ascii="SimSun" w:hAnsi="SimSun" w:eastAsia="SimSun" w:cs="SimSun"/>
                        <w:sz w:val="17"/>
                        <w:szCs w:val="17"/>
                      </w:rPr>
                    </w:pPr>
                    <w:r>
                      <w:rPr>
                        <w:rFonts w:ascii="SimSun" w:hAnsi="SimSun" w:eastAsia="SimSun" w:cs="SimSun"/>
                        <w:sz w:val="17"/>
                        <w:szCs w:val="17"/>
                        <w:spacing w:val="-2"/>
                      </w:rPr>
                      <w:t>规范</w:t>
                    </w:r>
                  </w:p>
                  <w:p>
                    <w:pPr>
                      <w:ind w:left="209" w:right="20" w:hanging="170"/>
                      <w:spacing w:before="284" w:line="245" w:lineRule="auto"/>
                      <w:rPr>
                        <w:rFonts w:ascii="SimSun" w:hAnsi="SimSun" w:eastAsia="SimSun" w:cs="SimSun"/>
                        <w:sz w:val="17"/>
                        <w:szCs w:val="17"/>
                      </w:rPr>
                    </w:pPr>
                    <w:r>
                      <w:rPr>
                        <w:rFonts w:ascii="SimSun" w:hAnsi="SimSun" w:eastAsia="SimSun" w:cs="SimSun"/>
                        <w:sz w:val="17"/>
                        <w:szCs w:val="17"/>
                        <w:spacing w:val="-2"/>
                      </w:rPr>
                      <w:t>信息生命周</w:t>
                    </w:r>
                    <w:r>
                      <w:rPr>
                        <w:rFonts w:ascii="SimSun" w:hAnsi="SimSun" w:eastAsia="SimSun" w:cs="SimSun"/>
                        <w:sz w:val="17"/>
                        <w:szCs w:val="17"/>
                        <w:spacing w:val="2"/>
                      </w:rPr>
                      <w:t xml:space="preserve"> </w:t>
                    </w:r>
                    <w:r>
                      <w:rPr>
                        <w:rFonts w:ascii="SimSun" w:hAnsi="SimSun" w:eastAsia="SimSun" w:cs="SimSun"/>
                        <w:sz w:val="17"/>
                        <w:szCs w:val="17"/>
                        <w:spacing w:val="-10"/>
                      </w:rPr>
                      <w:t>期管理</w:t>
                    </w:r>
                  </w:p>
                </w:txbxContent>
              </v:textbox>
            </v:shape>
            <v:shape id="_x0000_s172" style="position:absolute;left:234;top:202;width:197;height:2651;" filled="false" stroked="false" type="#_x0000_t202">
              <v:fill on="false"/>
              <v:stroke on="false"/>
              <v:path/>
              <v:imagedata o:title=""/>
              <o:lock v:ext="edit" aspectratio="false"/>
              <v:textbox inset="0mm,0mm,0mm,0mm" style="layout-flow:vertical-ideographic;">
                <w:txbxContent>
                  <w:p>
                    <w:pPr>
                      <w:ind w:left="20"/>
                      <w:spacing w:before="20" w:line="223" w:lineRule="auto"/>
                      <w:rPr>
                        <w:rFonts w:ascii="SimSun" w:hAnsi="SimSun" w:eastAsia="SimSun" w:cs="SimSun"/>
                        <w:sz w:val="14"/>
                        <w:szCs w:val="14"/>
                      </w:rPr>
                    </w:pPr>
                    <w:r>
                      <w:rPr>
                        <w:rFonts w:ascii="SimSun" w:hAnsi="SimSun" w:eastAsia="SimSun" w:cs="SimSun"/>
                        <w:sz w:val="14"/>
                        <w:szCs w:val="14"/>
                        <w:spacing w:val="-1"/>
                      </w:rPr>
                      <w:t>规 范      计 划</w:t>
                    </w:r>
                    <w:r>
                      <w:rPr>
                        <w:rFonts w:ascii="SimSun" w:hAnsi="SimSun" w:eastAsia="SimSun" w:cs="SimSun"/>
                        <w:sz w:val="14"/>
                        <w:szCs w:val="14"/>
                        <w:spacing w:val="14"/>
                      </w:rPr>
                      <w:t xml:space="preserve">     </w:t>
                    </w:r>
                    <w:r>
                      <w:rPr>
                        <w:rFonts w:ascii="SimSun" w:hAnsi="SimSun" w:eastAsia="SimSun" w:cs="SimSun"/>
                        <w:sz w:val="14"/>
                        <w:szCs w:val="14"/>
                        <w:spacing w:val="-1"/>
                        <w:position w:val="1"/>
                      </w:rPr>
                      <w:t>建</w:t>
                    </w:r>
                    <w:r>
                      <w:rPr>
                        <w:rFonts w:ascii="SimSun" w:hAnsi="SimSun" w:eastAsia="SimSun" w:cs="SimSun"/>
                        <w:sz w:val="14"/>
                        <w:szCs w:val="14"/>
                        <w:spacing w:val="-17"/>
                        <w:position w:val="1"/>
                      </w:rPr>
                      <w:t xml:space="preserve"> </w:t>
                    </w:r>
                    <w:r>
                      <w:rPr>
                        <w:rFonts w:ascii="SimSun" w:hAnsi="SimSun" w:eastAsia="SimSun" w:cs="SimSun"/>
                        <w:sz w:val="14"/>
                        <w:szCs w:val="14"/>
                        <w:spacing w:val="-1"/>
                        <w:position w:val="1"/>
                      </w:rPr>
                      <w:t>设</w:t>
                    </w:r>
                    <w:r>
                      <w:rPr>
                        <w:rFonts w:ascii="SimSun" w:hAnsi="SimSun" w:eastAsia="SimSun" w:cs="SimSun"/>
                        <w:sz w:val="14"/>
                        <w:szCs w:val="14"/>
                        <w:spacing w:val="10"/>
                        <w:position w:val="1"/>
                      </w:rPr>
                      <w:t xml:space="preserve">     </w:t>
                    </w:r>
                    <w:r>
                      <w:rPr>
                        <w:rFonts w:ascii="SimSun" w:hAnsi="SimSun" w:eastAsia="SimSun" w:cs="SimSun"/>
                        <w:sz w:val="14"/>
                        <w:szCs w:val="14"/>
                        <w:spacing w:val="-1"/>
                      </w:rPr>
                      <w:t>运 营</w:t>
                    </w:r>
                  </w:p>
                </w:txbxContent>
              </v:textbox>
            </v:shape>
            <v:shape id="_x0000_s174" style="position:absolute;left:539;top:2485;width:846;height:390;" filled="false" stroked="false" type="#_x0000_t202">
              <v:fill on="false"/>
              <v:stroke on="false"/>
              <v:path/>
              <v:imagedata o:title=""/>
              <o:lock v:ext="edit" aspectratio="false"/>
              <v:textbox inset="0mm,0mm,0mm,0mm">
                <w:txbxContent>
                  <w:p>
                    <w:pPr>
                      <w:ind w:left="100" w:right="20" w:hanging="80"/>
                      <w:spacing w:before="20" w:line="233" w:lineRule="auto"/>
                      <w:rPr>
                        <w:rFonts w:ascii="SimSun" w:hAnsi="SimSun" w:eastAsia="SimSun" w:cs="SimSun"/>
                        <w:sz w:val="15"/>
                        <w:szCs w:val="15"/>
                      </w:rPr>
                    </w:pPr>
                    <w:r>
                      <w:rPr>
                        <w:rFonts w:ascii="SimSun" w:hAnsi="SimSun" w:eastAsia="SimSun" w:cs="SimSun"/>
                        <w:sz w:val="15"/>
                        <w:szCs w:val="15"/>
                        <w:spacing w:val="11"/>
                      </w:rPr>
                      <w:t>数据质量监</w:t>
                    </w:r>
                    <w:r>
                      <w:rPr>
                        <w:rFonts w:ascii="SimSun" w:hAnsi="SimSun" w:eastAsia="SimSun" w:cs="SimSun"/>
                        <w:sz w:val="15"/>
                        <w:szCs w:val="15"/>
                      </w:rPr>
                      <w:t xml:space="preserve"> </w:t>
                    </w:r>
                    <w:r>
                      <w:rPr>
                        <w:rFonts w:ascii="SimSun" w:hAnsi="SimSun" w:eastAsia="SimSun" w:cs="SimSun"/>
                        <w:sz w:val="15"/>
                        <w:szCs w:val="15"/>
                        <w:spacing w:val="4"/>
                      </w:rPr>
                      <w:t>控与实施</w:t>
                    </w:r>
                  </w:p>
                </w:txbxContent>
              </v:textbox>
            </v:shape>
            <v:shape id="_x0000_s176" style="position:absolute;left:3079;top:296;width:6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学习管理</w:t>
                    </w:r>
                  </w:p>
                </w:txbxContent>
              </v:textbox>
            </v:shape>
            <v:shape id="_x0000_s178" style="position:absolute;left:619;top:1067;width:65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2"/>
                      </w:rPr>
                      <w:t>需求分析</w:t>
                    </w:r>
                  </w:p>
                </w:txbxContent>
              </v:textbox>
            </v:shape>
            <v:shape id="_x0000_s180" style="position:absolute;left:619;top:1796;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模式设计</w:t>
                    </w:r>
                  </w:p>
                </w:txbxContent>
              </v:textbox>
            </v:shape>
            <v:shape id="_x0000_s182" style="position:absolute;left:619;top:286;width:65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4"/>
                      </w:rPr>
                      <w:t>策略管</w:t>
                    </w:r>
                    <w:r>
                      <w:rPr>
                        <w:rFonts w:ascii="SimSun" w:hAnsi="SimSun" w:eastAsia="SimSun" w:cs="SimSun"/>
                        <w:sz w:val="17"/>
                        <w:szCs w:val="17"/>
                        <w:spacing w:val="-10"/>
                      </w:rPr>
                      <w:t>理</w:t>
                    </w:r>
                  </w:p>
                </w:txbxContent>
              </v:textbox>
            </v:shape>
          </v:group>
        </w:pict>
      </w:r>
    </w:p>
    <w:p>
      <w:pPr>
        <w:ind w:left="1909"/>
        <w:spacing w:before="117" w:line="187" w:lineRule="auto"/>
        <w:rPr>
          <w:rFonts w:ascii="SimHei" w:hAnsi="SimHei" w:eastAsia="SimHei" w:cs="SimHei"/>
          <w:sz w:val="17"/>
          <w:szCs w:val="17"/>
        </w:rPr>
      </w:pPr>
      <w:r>
        <w:rPr>
          <w:rFonts w:ascii="SimHei" w:hAnsi="SimHei" w:eastAsia="SimHei" w:cs="SimHei"/>
          <w:sz w:val="17"/>
          <w:szCs w:val="17"/>
          <w:spacing w:val="7"/>
        </w:rPr>
        <w:t>图1-</w:t>
      </w:r>
      <w:r>
        <w:rPr>
          <w:rFonts w:ascii="SimHei" w:hAnsi="SimHei" w:eastAsia="SimHei" w:cs="SimHei"/>
          <w:sz w:val="17"/>
          <w:szCs w:val="17"/>
          <w:spacing w:val="-31"/>
        </w:rPr>
        <w:t xml:space="preserve"> </w:t>
      </w:r>
      <w:r>
        <w:rPr>
          <w:rFonts w:ascii="SimHei" w:hAnsi="SimHei" w:eastAsia="SimHei" w:cs="SimHei"/>
          <w:sz w:val="17"/>
          <w:szCs w:val="17"/>
          <w:spacing w:val="7"/>
        </w:rPr>
        <w:t>12</w:t>
      </w:r>
      <w:r>
        <w:rPr>
          <w:rFonts w:ascii="SimHei" w:hAnsi="SimHei" w:eastAsia="SimHei" w:cs="SimHei"/>
          <w:sz w:val="17"/>
          <w:szCs w:val="17"/>
          <w:spacing w:val="73"/>
        </w:rPr>
        <w:t xml:space="preserve"> </w:t>
      </w:r>
      <w:r>
        <w:rPr>
          <w:rFonts w:ascii="Times New Roman" w:hAnsi="Times New Roman" w:eastAsia="Times New Roman" w:cs="Times New Roman"/>
          <w:sz w:val="17"/>
          <w:szCs w:val="17"/>
        </w:rPr>
        <w:t>Gartner</w:t>
      </w:r>
      <w:r>
        <w:rPr>
          <w:rFonts w:ascii="Times New Roman" w:hAnsi="Times New Roman" w:eastAsia="Times New Roman" w:cs="Times New Roman"/>
          <w:sz w:val="17"/>
          <w:szCs w:val="17"/>
          <w:spacing w:val="7"/>
        </w:rPr>
        <w:t xml:space="preserve">     </w:t>
      </w:r>
      <w:r>
        <w:rPr>
          <w:rFonts w:ascii="SimHei" w:hAnsi="SimHei" w:eastAsia="SimHei" w:cs="SimHei"/>
          <w:sz w:val="17"/>
          <w:szCs w:val="17"/>
          <w:spacing w:val="7"/>
        </w:rPr>
        <w:t>数据治理和信息管理要素</w:t>
      </w:r>
    </w:p>
    <w:p>
      <w:pPr>
        <w:spacing w:line="187" w:lineRule="auto"/>
        <w:sectPr>
          <w:type w:val="continuous"/>
          <w:pgSz w:w="8870" w:h="13400"/>
          <w:pgMar w:top="400" w:right="439" w:bottom="559" w:left="780" w:header="0" w:footer="390" w:gutter="0"/>
          <w:cols w:equalWidth="0" w:num="1">
            <w:col w:w="7651" w:space="0"/>
          </w:cols>
        </w:sectPr>
        <w:rPr>
          <w:rFonts w:ascii="SimHei" w:hAnsi="SimHei" w:eastAsia="SimHei" w:cs="SimHei"/>
          <w:sz w:val="17"/>
          <w:szCs w:val="17"/>
        </w:rPr>
      </w:pPr>
    </w:p>
    <w:p>
      <w:pPr>
        <w:ind w:left="212"/>
        <w:spacing w:before="216" w:line="219" w:lineRule="auto"/>
        <w:rPr>
          <w:rFonts w:ascii="SimSun" w:hAnsi="SimSun" w:eastAsia="SimSun" w:cs="SimSun"/>
          <w:sz w:val="22"/>
          <w:szCs w:val="22"/>
        </w:rPr>
      </w:pPr>
      <w:r>
        <w:pict>
          <v:rect id="_x0000_s184" style="position:absolute;margin-left:20.9997pt;margin-top:27.001pt;mso-position-vertical-relative:page;mso-position-horizontal-relative:page;width:0.55pt;height:17.55pt;z-index:251888640;" o:allowincell="f" fillcolor="#000000" filled="true" stroked="false"/>
        </w:pict>
      </w:r>
      <w:r>
        <w:rPr>
          <w:rFonts w:ascii="SimSun" w:hAnsi="SimSun" w:eastAsia="SimSun" w:cs="SimSun"/>
          <w:sz w:val="22"/>
          <w:szCs w:val="22"/>
          <w:b/>
          <w:bCs/>
          <w:spacing w:val="-14"/>
        </w:rPr>
        <w:t>■云端数据治理</w:t>
      </w:r>
    </w:p>
    <w:p>
      <w:pPr>
        <w:pStyle w:val="BodyText"/>
        <w:spacing w:line="249" w:lineRule="auto"/>
        <w:rPr/>
      </w:pPr>
      <w:r/>
    </w:p>
    <w:p>
      <w:pPr>
        <w:ind w:left="689"/>
        <w:spacing w:before="71" w:line="219" w:lineRule="auto"/>
        <w:rPr>
          <w:rFonts w:ascii="SimSun" w:hAnsi="SimSun" w:eastAsia="SimSun" w:cs="SimSun"/>
          <w:sz w:val="22"/>
          <w:szCs w:val="22"/>
        </w:rPr>
      </w:pPr>
      <w:r>
        <w:rPr>
          <w:rFonts w:ascii="SimSun" w:hAnsi="SimSun" w:eastAsia="SimSun" w:cs="SimSun"/>
          <w:sz w:val="22"/>
          <w:szCs w:val="22"/>
          <w:spacing w:val="-6"/>
        </w:rPr>
        <w:t>(3)建设主要内容包括模式设计、数据架构和</w:t>
      </w:r>
      <w:r>
        <w:rPr>
          <w:rFonts w:ascii="SimSun" w:hAnsi="SimSun" w:eastAsia="SimSun" w:cs="SimSun"/>
          <w:sz w:val="22"/>
          <w:szCs w:val="22"/>
          <w:spacing w:val="-7"/>
        </w:rPr>
        <w:t>数据质量规范；</w:t>
      </w:r>
    </w:p>
    <w:p>
      <w:pPr>
        <w:ind w:left="249" w:right="44" w:firstLine="440"/>
        <w:spacing w:before="46" w:line="245" w:lineRule="auto"/>
        <w:rPr>
          <w:rFonts w:ascii="SimSun" w:hAnsi="SimSun" w:eastAsia="SimSun" w:cs="SimSun"/>
          <w:sz w:val="22"/>
          <w:szCs w:val="22"/>
        </w:rPr>
      </w:pPr>
      <w:r>
        <w:rPr>
          <w:rFonts w:ascii="SimSun" w:hAnsi="SimSun" w:eastAsia="SimSun" w:cs="SimSun"/>
          <w:sz w:val="22"/>
          <w:szCs w:val="22"/>
          <w:spacing w:val="-5"/>
        </w:rPr>
        <w:t>(4)运营主要内容包括数据质量监控与实施、数据访问审计与</w:t>
      </w:r>
      <w:r>
        <w:rPr>
          <w:rFonts w:ascii="SimSun" w:hAnsi="SimSun" w:eastAsia="SimSun" w:cs="SimSun"/>
          <w:sz w:val="22"/>
          <w:szCs w:val="22"/>
          <w:spacing w:val="-6"/>
        </w:rPr>
        <w:t>报告和信息生命</w:t>
      </w:r>
      <w:r>
        <w:rPr>
          <w:rFonts w:ascii="SimSun" w:hAnsi="SimSun" w:eastAsia="SimSun" w:cs="SimSun"/>
          <w:sz w:val="22"/>
          <w:szCs w:val="22"/>
        </w:rPr>
        <w:t xml:space="preserve"> </w:t>
      </w:r>
      <w:r>
        <w:rPr>
          <w:rFonts w:ascii="SimSun" w:hAnsi="SimSun" w:eastAsia="SimSun" w:cs="SimSun"/>
          <w:sz w:val="22"/>
          <w:szCs w:val="22"/>
          <w:spacing w:val="-12"/>
        </w:rPr>
        <w:t>周期管理。</w:t>
      </w:r>
    </w:p>
    <w:p>
      <w:pPr>
        <w:ind w:left="249" w:right="54" w:firstLine="440"/>
        <w:spacing w:before="38" w:line="247" w:lineRule="auto"/>
        <w:rPr>
          <w:rFonts w:ascii="SimSun" w:hAnsi="SimSun" w:eastAsia="SimSun" w:cs="SimSun"/>
          <w:sz w:val="22"/>
          <w:szCs w:val="22"/>
        </w:rPr>
      </w:pPr>
      <w:r>
        <w:rPr>
          <w:rFonts w:ascii="SimSun" w:hAnsi="SimSun" w:eastAsia="SimSun" w:cs="SimSun"/>
          <w:sz w:val="22"/>
          <w:szCs w:val="22"/>
          <w:spacing w:val="-9"/>
        </w:rPr>
        <w:t>以上列出了目前在业内具有较高知名度的数据治理能力框架，它们分别从不同</w:t>
      </w:r>
      <w:r>
        <w:rPr>
          <w:rFonts w:ascii="SimSun" w:hAnsi="SimSun" w:eastAsia="SimSun" w:cs="SimSun"/>
          <w:sz w:val="22"/>
          <w:szCs w:val="22"/>
          <w:spacing w:val="4"/>
        </w:rPr>
        <w:t xml:space="preserve"> </w:t>
      </w:r>
      <w:r>
        <w:rPr>
          <w:rFonts w:ascii="SimSun" w:hAnsi="SimSun" w:eastAsia="SimSun" w:cs="SimSun"/>
          <w:sz w:val="22"/>
          <w:szCs w:val="22"/>
          <w:spacing w:val="-8"/>
        </w:rPr>
        <w:t>的角度定义了数据治理能力维度，拥有各自的优点和不足，表1-4 </w:t>
      </w:r>
      <w:r>
        <w:rPr>
          <w:rFonts w:ascii="SimSun" w:hAnsi="SimSun" w:eastAsia="SimSun" w:cs="SimSun"/>
          <w:sz w:val="22"/>
          <w:szCs w:val="22"/>
          <w:spacing w:val="-9"/>
        </w:rPr>
        <w:t>简要对它们进行</w:t>
      </w:r>
      <w:r>
        <w:rPr>
          <w:rFonts w:ascii="SimSun" w:hAnsi="SimSun" w:eastAsia="SimSun" w:cs="SimSun"/>
          <w:sz w:val="22"/>
          <w:szCs w:val="22"/>
        </w:rPr>
        <w:t xml:space="preserve"> </w:t>
      </w:r>
      <w:r>
        <w:rPr>
          <w:rFonts w:ascii="SimSun" w:hAnsi="SimSun" w:eastAsia="SimSun" w:cs="SimSun"/>
          <w:sz w:val="22"/>
          <w:szCs w:val="22"/>
          <w:spacing w:val="-14"/>
        </w:rPr>
        <w:t>了对比分析。</w:t>
      </w:r>
    </w:p>
    <w:p>
      <w:pPr>
        <w:ind w:left="2862"/>
        <w:spacing w:before="131" w:line="222" w:lineRule="auto"/>
        <w:rPr>
          <w:rFonts w:ascii="SimHei" w:hAnsi="SimHei" w:eastAsia="SimHei" w:cs="SimHei"/>
          <w:sz w:val="18"/>
          <w:szCs w:val="18"/>
        </w:rPr>
      </w:pPr>
      <w:r>
        <w:rPr>
          <w:rFonts w:ascii="SimHei" w:hAnsi="SimHei" w:eastAsia="SimHei" w:cs="SimHei"/>
          <w:sz w:val="18"/>
          <w:szCs w:val="18"/>
          <w:b/>
          <w:bCs/>
        </w:rPr>
        <w:t>表1-4</w:t>
      </w:r>
      <w:r>
        <w:rPr>
          <w:rFonts w:ascii="SimHei" w:hAnsi="SimHei" w:eastAsia="SimHei" w:cs="SimHei"/>
          <w:sz w:val="18"/>
          <w:szCs w:val="18"/>
          <w:spacing w:val="4"/>
        </w:rPr>
        <w:t xml:space="preserve">  </w:t>
      </w:r>
      <w:r>
        <w:rPr>
          <w:rFonts w:ascii="SimHei" w:hAnsi="SimHei" w:eastAsia="SimHei" w:cs="SimHei"/>
          <w:sz w:val="18"/>
          <w:szCs w:val="18"/>
          <w:b/>
          <w:bCs/>
        </w:rPr>
        <w:t>数据治理能力框架对比</w:t>
      </w:r>
    </w:p>
    <w:p>
      <w:pPr>
        <w:spacing w:line="105" w:lineRule="exact"/>
        <w:rPr/>
      </w:pPr>
      <w:r/>
    </w:p>
    <w:tbl>
      <w:tblPr>
        <w:tblStyle w:val="TableNormal"/>
        <w:tblW w:w="758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2946"/>
        <w:gridCol w:w="3290"/>
      </w:tblGrid>
      <w:tr>
        <w:trPr>
          <w:trHeight w:val="324" w:hRule="atLeast"/>
        </w:trPr>
        <w:tc>
          <w:tcPr>
            <w:tcW w:w="1353" w:type="dxa"/>
            <w:vAlign w:val="top"/>
          </w:tcPr>
          <w:p>
            <w:pPr>
              <w:pStyle w:val="TableText"/>
              <w:ind w:left="214"/>
              <w:spacing w:before="91" w:line="219" w:lineRule="auto"/>
              <w:rPr/>
            </w:pPr>
            <w:r>
              <w:rPr>
                <w:spacing w:val="-1"/>
              </w:rPr>
              <w:t>数据治理模型</w:t>
            </w:r>
          </w:p>
        </w:tc>
        <w:tc>
          <w:tcPr>
            <w:tcW w:w="2946" w:type="dxa"/>
            <w:vAlign w:val="top"/>
          </w:tcPr>
          <w:p>
            <w:pPr>
              <w:pStyle w:val="TableText"/>
              <w:ind w:left="1182"/>
              <w:spacing w:before="91" w:line="219" w:lineRule="auto"/>
              <w:rPr/>
            </w:pPr>
            <w:r>
              <w:rPr>
                <w:spacing w:val="-3"/>
              </w:rPr>
              <w:t>优</w:t>
            </w:r>
            <w:r>
              <w:rPr>
                <w:spacing w:val="4"/>
              </w:rPr>
              <w:t xml:space="preserve">   </w:t>
            </w:r>
            <w:r>
              <w:rPr>
                <w:spacing w:val="-3"/>
              </w:rPr>
              <w:t>点</w:t>
            </w:r>
          </w:p>
        </w:tc>
        <w:tc>
          <w:tcPr>
            <w:tcW w:w="3290" w:type="dxa"/>
            <w:vAlign w:val="top"/>
          </w:tcPr>
          <w:p>
            <w:pPr>
              <w:pStyle w:val="TableText"/>
              <w:ind w:left="1355"/>
              <w:spacing w:before="93" w:line="222" w:lineRule="auto"/>
              <w:rPr/>
            </w:pPr>
            <w:r>
              <w:rPr>
                <w:spacing w:val="-5"/>
              </w:rPr>
              <w:t>不</w:t>
            </w:r>
            <w:r>
              <w:rPr>
                <w:spacing w:val="2"/>
              </w:rPr>
              <w:t xml:space="preserve">   </w:t>
            </w:r>
            <w:r>
              <w:rPr>
                <w:spacing w:val="-5"/>
              </w:rPr>
              <w:t>足</w:t>
            </w:r>
          </w:p>
        </w:tc>
      </w:tr>
      <w:tr>
        <w:trPr>
          <w:trHeight w:val="569" w:hRule="atLeast"/>
        </w:trPr>
        <w:tc>
          <w:tcPr>
            <w:tcW w:w="1353" w:type="dxa"/>
            <w:vAlign w:val="top"/>
          </w:tcPr>
          <w:p>
            <w:pPr>
              <w:pStyle w:val="TableText"/>
              <w:ind w:left="404"/>
              <w:spacing w:before="245" w:line="183" w:lineRule="auto"/>
              <w:rPr/>
            </w:pPr>
            <w:r>
              <w:rPr>
                <w:spacing w:val="-1"/>
              </w:rPr>
              <w:t>COBIT</w:t>
            </w:r>
            <w:r>
              <w:rPr>
                <w:spacing w:val="9"/>
              </w:rPr>
              <w:t xml:space="preserve"> </w:t>
            </w:r>
            <w:r>
              <w:rPr>
                <w:spacing w:val="-1"/>
              </w:rPr>
              <w:t>5</w:t>
            </w:r>
          </w:p>
        </w:tc>
        <w:tc>
          <w:tcPr>
            <w:tcW w:w="2946" w:type="dxa"/>
            <w:vAlign w:val="top"/>
          </w:tcPr>
          <w:p>
            <w:pPr>
              <w:pStyle w:val="TableText"/>
              <w:ind w:left="112" w:right="120" w:firstLine="159"/>
              <w:spacing w:before="85" w:line="283" w:lineRule="auto"/>
              <w:rPr/>
            </w:pPr>
            <w:r>
              <w:rPr>
                <w:spacing w:val="-1"/>
              </w:rPr>
              <w:t>作为面向过程的信息系统审计和评价的</w:t>
            </w:r>
            <w:r>
              <w:rPr>
                <w:spacing w:val="9"/>
              </w:rPr>
              <w:t xml:space="preserve"> </w:t>
            </w:r>
            <w:r>
              <w:rPr>
                <w:spacing w:val="-1"/>
              </w:rPr>
              <w:t>标准，给出了信息治理的较为完善的模型</w:t>
            </w:r>
          </w:p>
        </w:tc>
        <w:tc>
          <w:tcPr>
            <w:tcW w:w="3290" w:type="dxa"/>
            <w:vAlign w:val="top"/>
          </w:tcPr>
          <w:p>
            <w:pPr>
              <w:pStyle w:val="TableText"/>
              <w:ind w:left="105" w:right="176" w:firstLine="160"/>
              <w:spacing w:before="87" w:line="288" w:lineRule="auto"/>
              <w:rPr/>
            </w:pPr>
            <w:r>
              <w:rPr>
                <w:spacing w:val="-1"/>
              </w:rPr>
              <w:t>虽然能为数据治理提供帮助，但其并不是针</w:t>
            </w:r>
            <w:r>
              <w:rPr>
                <w:spacing w:val="5"/>
              </w:rPr>
              <w:t xml:space="preserve"> </w:t>
            </w:r>
            <w:r>
              <w:rPr>
                <w:spacing w:val="-1"/>
              </w:rPr>
              <w:t>对数据治理的指导准则</w:t>
            </w:r>
          </w:p>
        </w:tc>
      </w:tr>
      <w:tr>
        <w:trPr>
          <w:trHeight w:val="559" w:hRule="atLeast"/>
        </w:trPr>
        <w:tc>
          <w:tcPr>
            <w:tcW w:w="1353" w:type="dxa"/>
            <w:vAlign w:val="top"/>
          </w:tcPr>
          <w:p>
            <w:pPr>
              <w:pStyle w:val="TableText"/>
              <w:ind w:left="514"/>
              <w:spacing w:before="245" w:line="184" w:lineRule="auto"/>
              <w:rPr/>
            </w:pPr>
            <w:r>
              <w:rPr>
                <w:spacing w:val="-1"/>
              </w:rPr>
              <w:t>DAMA</w:t>
            </w:r>
          </w:p>
        </w:tc>
        <w:tc>
          <w:tcPr>
            <w:tcW w:w="2946" w:type="dxa"/>
            <w:vAlign w:val="top"/>
          </w:tcPr>
          <w:p>
            <w:pPr>
              <w:pStyle w:val="TableText"/>
              <w:ind w:left="112" w:right="131" w:firstLine="149"/>
              <w:spacing w:before="77" w:line="277" w:lineRule="auto"/>
              <w:rPr/>
            </w:pPr>
            <w:r>
              <w:rPr>
                <w:spacing w:val="-1"/>
              </w:rPr>
              <w:t>数据治理理论较为完善，也给出了数据</w:t>
            </w:r>
            <w:r>
              <w:rPr>
                <w:spacing w:val="8"/>
              </w:rPr>
              <w:t xml:space="preserve"> </w:t>
            </w:r>
            <w:r>
              <w:rPr>
                <w:spacing w:val="-1"/>
              </w:rPr>
              <w:t>治理实施的指导活动</w:t>
            </w:r>
          </w:p>
        </w:tc>
        <w:tc>
          <w:tcPr>
            <w:tcW w:w="3290" w:type="dxa"/>
            <w:vAlign w:val="top"/>
          </w:tcPr>
          <w:p>
            <w:pPr>
              <w:pStyle w:val="TableText"/>
              <w:ind w:left="116" w:right="161" w:firstLine="160"/>
              <w:spacing w:before="78" w:line="288" w:lineRule="auto"/>
              <w:rPr/>
            </w:pPr>
            <w:r>
              <w:rPr>
                <w:spacing w:val="-1"/>
              </w:rPr>
              <w:t>数据治理理论偏通用规则，部分内容在云计</w:t>
            </w:r>
            <w:r>
              <w:rPr>
                <w:spacing w:val="10"/>
              </w:rPr>
              <w:t xml:space="preserve"> </w:t>
            </w:r>
            <w:r>
              <w:rPr>
                <w:spacing w:val="1"/>
              </w:rPr>
              <w:t>算环境下对数据治理不适用</w:t>
            </w:r>
          </w:p>
        </w:tc>
      </w:tr>
      <w:tr>
        <w:trPr>
          <w:trHeight w:val="539" w:hRule="atLeast"/>
        </w:trPr>
        <w:tc>
          <w:tcPr>
            <w:tcW w:w="1353" w:type="dxa"/>
            <w:vAlign w:val="top"/>
          </w:tcPr>
          <w:p>
            <w:pPr>
              <w:pStyle w:val="TableText"/>
              <w:ind w:left="554"/>
              <w:spacing w:before="237" w:line="183" w:lineRule="auto"/>
              <w:rPr/>
            </w:pPr>
            <w:r>
              <w:rPr>
                <w:spacing w:val="-2"/>
              </w:rPr>
              <w:t>DGI</w:t>
            </w:r>
          </w:p>
        </w:tc>
        <w:tc>
          <w:tcPr>
            <w:tcW w:w="2946" w:type="dxa"/>
            <w:vAlign w:val="top"/>
          </w:tcPr>
          <w:p>
            <w:pPr>
              <w:pStyle w:val="TableText"/>
              <w:ind w:left="112" w:right="129" w:firstLine="139"/>
              <w:spacing w:before="79" w:line="275" w:lineRule="auto"/>
              <w:rPr/>
            </w:pPr>
            <w:r>
              <w:rPr>
                <w:spacing w:val="-1"/>
              </w:rPr>
              <w:t>给出了6个数据治理关注领域、10个数</w:t>
            </w:r>
            <w:r>
              <w:rPr>
                <w:spacing w:val="5"/>
              </w:rPr>
              <w:t xml:space="preserve">  </w:t>
            </w:r>
            <w:r>
              <w:rPr>
                <w:spacing w:val="-1"/>
              </w:rPr>
              <w:t>据治理要素，为数据治理实践提供了支持</w:t>
            </w:r>
          </w:p>
        </w:tc>
        <w:tc>
          <w:tcPr>
            <w:tcW w:w="3290" w:type="dxa"/>
            <w:vAlign w:val="top"/>
          </w:tcPr>
          <w:p>
            <w:pPr>
              <w:pStyle w:val="TableText"/>
              <w:ind w:left="105" w:right="171" w:firstLine="160"/>
              <w:spacing w:before="78" w:line="277" w:lineRule="auto"/>
              <w:rPr/>
            </w:pPr>
            <w:r>
              <w:rPr>
                <w:spacing w:val="-1"/>
              </w:rPr>
              <w:t>更多地关注数据治理的实施过程，数据治理</w:t>
            </w:r>
            <w:r>
              <w:rPr>
                <w:spacing w:val="10"/>
              </w:rPr>
              <w:t xml:space="preserve"> </w:t>
            </w:r>
            <w:r>
              <w:rPr>
                <w:spacing w:val="2"/>
              </w:rPr>
              <w:t>理论相对较少</w:t>
            </w:r>
          </w:p>
        </w:tc>
      </w:tr>
      <w:tr>
        <w:trPr>
          <w:trHeight w:val="1148" w:hRule="atLeast"/>
        </w:trPr>
        <w:tc>
          <w:tcPr>
            <w:tcW w:w="1353" w:type="dxa"/>
            <w:vAlign w:val="top"/>
          </w:tcPr>
          <w:p>
            <w:pPr>
              <w:spacing w:line="243" w:lineRule="auto"/>
              <w:rPr>
                <w:rFonts w:ascii="Arial"/>
                <w:sz w:val="21"/>
              </w:rPr>
            </w:pPr>
            <w:r/>
          </w:p>
          <w:p>
            <w:pPr>
              <w:spacing w:line="244" w:lineRule="auto"/>
              <w:rPr>
                <w:rFonts w:ascii="Arial"/>
                <w:sz w:val="21"/>
              </w:rPr>
            </w:pPr>
            <w:r/>
          </w:p>
          <w:p>
            <w:pPr>
              <w:pStyle w:val="TableText"/>
              <w:ind w:left="554"/>
              <w:spacing w:before="49" w:line="182" w:lineRule="auto"/>
              <w:rPr/>
            </w:pPr>
            <w:r>
              <w:rPr>
                <w:spacing w:val="-4"/>
              </w:rPr>
              <w:t>IBM</w:t>
            </w:r>
          </w:p>
        </w:tc>
        <w:tc>
          <w:tcPr>
            <w:tcW w:w="2946" w:type="dxa"/>
            <w:vAlign w:val="top"/>
          </w:tcPr>
          <w:p>
            <w:pPr>
              <w:pStyle w:val="TableText"/>
              <w:ind w:left="121" w:right="120" w:firstLine="140"/>
              <w:spacing w:before="79" w:line="357" w:lineRule="auto"/>
              <w:rPr/>
            </w:pPr>
            <w:r>
              <w:rPr/>
              <w:t>以4个维度11个度量项作为数据治理能  </w:t>
            </w:r>
            <w:r>
              <w:rPr>
                <w:spacing w:val="-1"/>
              </w:rPr>
              <w:t>力成熟度的衡量指标，并给出了数据治理</w:t>
            </w:r>
            <w:r>
              <w:rPr>
                <w:spacing w:val="8"/>
              </w:rPr>
              <w:t xml:space="preserve"> </w:t>
            </w:r>
            <w:r>
              <w:rPr>
                <w:spacing w:val="-1"/>
              </w:rPr>
              <w:t>流程的14个主要步骤，能够成为数据治理</w:t>
            </w:r>
          </w:p>
          <w:p>
            <w:pPr>
              <w:pStyle w:val="TableText"/>
              <w:ind w:left="102"/>
              <w:spacing w:line="219" w:lineRule="auto"/>
              <w:rPr/>
            </w:pPr>
            <w:r>
              <w:rPr>
                <w:spacing w:val="2"/>
              </w:rPr>
              <w:t>的主要参考之一</w:t>
            </w:r>
          </w:p>
        </w:tc>
        <w:tc>
          <w:tcPr>
            <w:tcW w:w="3290" w:type="dxa"/>
            <w:vAlign w:val="top"/>
          </w:tcPr>
          <w:p>
            <w:pPr>
              <w:pStyle w:val="TableText"/>
              <w:ind w:left="116" w:right="161" w:firstLine="160"/>
              <w:spacing w:before="230" w:line="311" w:lineRule="auto"/>
              <w:jc w:val="both"/>
              <w:rPr/>
            </w:pPr>
            <w:r>
              <w:rPr>
                <w:spacing w:val="-1"/>
              </w:rPr>
              <w:t>该模型主要偏重于数据治理的具体实施，理</w:t>
            </w:r>
            <w:r>
              <w:rPr>
                <w:spacing w:val="9"/>
              </w:rPr>
              <w:t xml:space="preserve"> </w:t>
            </w:r>
            <w:r>
              <w:rPr/>
              <w:t>论指导相对偏少，部分内容在云计算环境下对</w:t>
            </w:r>
            <w:r>
              <w:rPr>
                <w:spacing w:val="1"/>
              </w:rPr>
              <w:t xml:space="preserve"> </w:t>
            </w:r>
            <w:r>
              <w:rPr>
                <w:spacing w:val="2"/>
              </w:rPr>
              <w:t>数据治理不适用</w:t>
            </w:r>
          </w:p>
        </w:tc>
      </w:tr>
      <w:tr>
        <w:trPr>
          <w:trHeight w:val="1108" w:hRule="atLeast"/>
        </w:trPr>
        <w:tc>
          <w:tcPr>
            <w:tcW w:w="1353" w:type="dxa"/>
            <w:vAlign w:val="top"/>
          </w:tcPr>
          <w:p>
            <w:pPr>
              <w:spacing w:line="469" w:lineRule="auto"/>
              <w:rPr>
                <w:rFonts w:ascii="Arial"/>
                <w:sz w:val="21"/>
              </w:rPr>
            </w:pPr>
            <w:r/>
          </w:p>
          <w:p>
            <w:pPr>
              <w:pStyle w:val="TableText"/>
              <w:ind w:left="554"/>
              <w:spacing w:before="49" w:line="182" w:lineRule="auto"/>
              <w:rPr/>
            </w:pPr>
            <w:r>
              <w:rPr>
                <w:spacing w:val="-2"/>
              </w:rPr>
              <w:t>DMM</w:t>
            </w:r>
          </w:p>
        </w:tc>
        <w:tc>
          <w:tcPr>
            <w:tcW w:w="2946" w:type="dxa"/>
            <w:vAlign w:val="top"/>
          </w:tcPr>
          <w:p>
            <w:pPr>
              <w:pStyle w:val="TableText"/>
              <w:ind w:left="102" w:right="88" w:firstLine="160"/>
              <w:spacing w:before="80" w:line="313" w:lineRule="auto"/>
              <w:jc w:val="both"/>
              <w:rPr/>
            </w:pPr>
            <w:r>
              <w:rPr>
                <w:spacing w:val="-1"/>
              </w:rPr>
              <w:t>将能力成熟度评估模型引入了数据治理</w:t>
            </w:r>
            <w:r>
              <w:rPr>
                <w:spacing w:val="11"/>
              </w:rPr>
              <w:t xml:space="preserve"> </w:t>
            </w:r>
            <w:r>
              <w:rPr/>
              <w:t>领域，具有很大创新性，比较详细地列举</w:t>
            </w:r>
            <w:r>
              <w:rPr>
                <w:spacing w:val="13"/>
              </w:rPr>
              <w:t xml:space="preserve"> </w:t>
            </w:r>
            <w:r>
              <w:rPr>
                <w:spacing w:val="2"/>
              </w:rPr>
              <w:t>了每个等级需要达到的基本条件，便于组</w:t>
            </w:r>
            <w:r>
              <w:rPr>
                <w:spacing w:val="8"/>
              </w:rPr>
              <w:t xml:space="preserve"> </w:t>
            </w:r>
            <w:r>
              <w:rPr>
                <w:spacing w:val="-2"/>
              </w:rPr>
              <w:t>织评估</w:t>
            </w:r>
          </w:p>
        </w:tc>
        <w:tc>
          <w:tcPr>
            <w:tcW w:w="3290" w:type="dxa"/>
            <w:vAlign w:val="top"/>
          </w:tcPr>
          <w:p>
            <w:pPr>
              <w:pStyle w:val="TableText"/>
              <w:ind w:left="105" w:right="172" w:firstLine="160"/>
              <w:spacing w:before="221" w:line="299" w:lineRule="auto"/>
              <w:jc w:val="both"/>
              <w:rPr/>
            </w:pPr>
            <w:r>
              <w:rPr>
                <w:spacing w:val="-1"/>
              </w:rPr>
              <w:t>该模型重在给出评估依据，但没有关于数据</w:t>
            </w:r>
            <w:r>
              <w:rPr>
                <w:spacing w:val="9"/>
              </w:rPr>
              <w:t xml:space="preserve"> </w:t>
            </w:r>
            <w:r>
              <w:rPr>
                <w:spacing w:val="-1"/>
              </w:rPr>
              <w:t>治理如何实施的详细指导，部分内容在云计算</w:t>
            </w:r>
            <w:r>
              <w:rPr>
                <w:spacing w:val="9"/>
              </w:rPr>
              <w:t xml:space="preserve"> </w:t>
            </w:r>
            <w:r>
              <w:rPr>
                <w:spacing w:val="1"/>
              </w:rPr>
              <w:t>环境下对数据治理不适用</w:t>
            </w:r>
          </w:p>
        </w:tc>
      </w:tr>
      <w:tr>
        <w:trPr>
          <w:trHeight w:val="839" w:hRule="atLeast"/>
        </w:trPr>
        <w:tc>
          <w:tcPr>
            <w:tcW w:w="1353" w:type="dxa"/>
            <w:vAlign w:val="top"/>
          </w:tcPr>
          <w:p>
            <w:pPr>
              <w:spacing w:line="341" w:lineRule="auto"/>
              <w:rPr>
                <w:rFonts w:ascii="Arial"/>
                <w:sz w:val="21"/>
              </w:rPr>
            </w:pPr>
            <w:r/>
          </w:p>
          <w:p>
            <w:pPr>
              <w:pStyle w:val="TableText"/>
              <w:ind w:left="554"/>
              <w:spacing w:before="49" w:line="183" w:lineRule="auto"/>
              <w:rPr/>
            </w:pPr>
            <w:r>
              <w:rPr>
                <w:spacing w:val="-2"/>
              </w:rPr>
              <w:t>PWC</w:t>
            </w:r>
          </w:p>
        </w:tc>
        <w:tc>
          <w:tcPr>
            <w:tcW w:w="2946" w:type="dxa"/>
            <w:vAlign w:val="top"/>
          </w:tcPr>
          <w:p>
            <w:pPr>
              <w:pStyle w:val="TableText"/>
              <w:ind w:left="112" w:firstLine="146"/>
              <w:spacing w:before="83" w:line="303" w:lineRule="auto"/>
              <w:rPr/>
            </w:pPr>
            <w:r>
              <w:rPr>
                <w:spacing w:val="-2"/>
              </w:rPr>
              <w:t>包含了数据治理战略、组织架构、流程、</w:t>
            </w:r>
            <w:r>
              <w:rPr>
                <w:spacing w:val="12"/>
              </w:rPr>
              <w:t xml:space="preserve"> </w:t>
            </w:r>
            <w:r>
              <w:rPr>
                <w:spacing w:val="-4"/>
              </w:rPr>
              <w:t>策略、数据分析与监测等内容，具有清晰   </w:t>
            </w:r>
            <w:r>
              <w:rPr>
                <w:spacing w:val="-3"/>
              </w:rPr>
              <w:t>的管控逻辑</w:t>
            </w:r>
          </w:p>
        </w:tc>
        <w:tc>
          <w:tcPr>
            <w:tcW w:w="3290" w:type="dxa"/>
            <w:vAlign w:val="top"/>
          </w:tcPr>
          <w:p>
            <w:pPr>
              <w:pStyle w:val="TableText"/>
              <w:ind w:left="125" w:right="160" w:firstLine="150"/>
              <w:spacing w:before="223" w:line="282" w:lineRule="auto"/>
              <w:rPr/>
            </w:pPr>
            <w:r>
              <w:rPr>
                <w:spacing w:val="-1"/>
              </w:rPr>
              <w:t>过于注重组织、策略和流程的重要性，数据</w:t>
            </w:r>
            <w:r>
              <w:rPr>
                <w:spacing w:val="11"/>
              </w:rPr>
              <w:t xml:space="preserve"> </w:t>
            </w:r>
            <w:r>
              <w:rPr>
                <w:spacing w:val="-2"/>
              </w:rPr>
              <w:t>治理内容深度不足</w:t>
            </w:r>
          </w:p>
        </w:tc>
      </w:tr>
      <w:tr>
        <w:trPr>
          <w:trHeight w:val="864" w:hRule="atLeast"/>
        </w:trPr>
        <w:tc>
          <w:tcPr>
            <w:tcW w:w="1353" w:type="dxa"/>
            <w:vAlign w:val="top"/>
          </w:tcPr>
          <w:p>
            <w:pPr>
              <w:spacing w:line="352" w:lineRule="auto"/>
              <w:rPr>
                <w:rFonts w:ascii="Arial"/>
                <w:sz w:val="21"/>
              </w:rPr>
            </w:pPr>
            <w:r/>
          </w:p>
          <w:p>
            <w:pPr>
              <w:pStyle w:val="TableText"/>
              <w:ind w:left="404"/>
              <w:spacing w:before="49" w:line="183" w:lineRule="auto"/>
              <w:rPr/>
            </w:pPr>
            <w:r>
              <w:rPr>
                <w:spacing w:val="-1"/>
              </w:rPr>
              <w:t>Gartner</w:t>
            </w:r>
          </w:p>
        </w:tc>
        <w:tc>
          <w:tcPr>
            <w:tcW w:w="2946" w:type="dxa"/>
            <w:vAlign w:val="top"/>
          </w:tcPr>
          <w:p>
            <w:pPr>
              <w:pStyle w:val="TableText"/>
              <w:ind w:left="102" w:right="104" w:firstLine="160"/>
              <w:spacing w:before="84" w:line="307" w:lineRule="auto"/>
              <w:jc w:val="both"/>
              <w:rPr/>
            </w:pPr>
            <w:r>
              <w:rPr>
                <w:spacing w:val="1"/>
              </w:rPr>
              <w:t>从13个方面支持了数据管理，并给出了</w:t>
            </w:r>
            <w:r>
              <w:rPr/>
              <w:t xml:space="preserve"> </w:t>
            </w:r>
            <w:r>
              <w:rPr/>
              <w:t>数据治理实施的规范、计划、建设和运营</w:t>
            </w:r>
            <w:r>
              <w:rPr>
                <w:spacing w:val="1"/>
              </w:rPr>
              <w:t xml:space="preserve"> </w:t>
            </w:r>
            <w:r>
              <w:rPr>
                <w:spacing w:val="1"/>
              </w:rPr>
              <w:t>四个阶段</w:t>
            </w:r>
          </w:p>
        </w:tc>
        <w:tc>
          <w:tcPr>
            <w:tcW w:w="3290" w:type="dxa"/>
            <w:vAlign w:val="top"/>
          </w:tcPr>
          <w:p>
            <w:pPr>
              <w:pStyle w:val="TableText"/>
              <w:ind w:left="125" w:right="163" w:firstLine="150"/>
              <w:spacing w:before="234" w:line="289" w:lineRule="auto"/>
              <w:rPr/>
            </w:pPr>
            <w:r>
              <w:rPr>
                <w:spacing w:val="-1"/>
              </w:rPr>
              <w:t>强调数据治理过程的重要性，而对数据治理</w:t>
            </w:r>
            <w:r>
              <w:rPr>
                <w:spacing w:val="8"/>
              </w:rPr>
              <w:t xml:space="preserve"> </w:t>
            </w:r>
            <w:r>
              <w:rPr>
                <w:spacing w:val="-1"/>
              </w:rPr>
              <w:t>策略策划重视不足</w:t>
            </w:r>
          </w:p>
        </w:tc>
      </w:tr>
    </w:tbl>
    <w:p>
      <w:pPr>
        <w:ind w:left="254"/>
        <w:spacing w:before="308" w:line="219" w:lineRule="auto"/>
        <w:outlineLvl w:val="0"/>
        <w:rPr>
          <w:rFonts w:ascii="YouYuan" w:hAnsi="YouYuan" w:eastAsia="YouYuan" w:cs="YouYuan"/>
          <w:sz w:val="29"/>
          <w:szCs w:val="29"/>
        </w:rPr>
      </w:pPr>
      <w:r>
        <w:rPr>
          <w:rFonts w:ascii="YouYuan" w:hAnsi="YouYuan" w:eastAsia="YouYuan" w:cs="YouYuan"/>
          <w:sz w:val="29"/>
          <w:szCs w:val="29"/>
          <w:b/>
          <w:bCs/>
          <w:spacing w:val="-9"/>
        </w:rPr>
        <w:t>1.2.2</w:t>
      </w:r>
      <w:r>
        <w:rPr>
          <w:rFonts w:ascii="YouYuan" w:hAnsi="YouYuan" w:eastAsia="YouYuan" w:cs="YouYuan"/>
          <w:sz w:val="29"/>
          <w:szCs w:val="29"/>
          <w:spacing w:val="-9"/>
        </w:rPr>
        <w:t xml:space="preserve">  </w:t>
      </w:r>
      <w:r>
        <w:rPr>
          <w:rFonts w:ascii="YouYuan" w:hAnsi="YouYuan" w:eastAsia="YouYuan" w:cs="YouYuan"/>
          <w:sz w:val="29"/>
          <w:szCs w:val="29"/>
          <w:b/>
          <w:bCs/>
          <w:spacing w:val="-9"/>
        </w:rPr>
        <w:t>大数据治理理论的研究进展</w:t>
      </w:r>
    </w:p>
    <w:p>
      <w:pPr>
        <w:pStyle w:val="BodyText"/>
        <w:spacing w:line="251" w:lineRule="auto"/>
        <w:rPr/>
      </w:pPr>
      <w:r/>
    </w:p>
    <w:p>
      <w:pPr>
        <w:ind w:left="249" w:firstLine="440"/>
        <w:spacing w:before="71" w:line="253" w:lineRule="auto"/>
        <w:jc w:val="both"/>
        <w:rPr>
          <w:rFonts w:ascii="SimSun" w:hAnsi="SimSun" w:eastAsia="SimSun" w:cs="SimSun"/>
          <w:sz w:val="22"/>
          <w:szCs w:val="22"/>
        </w:rPr>
      </w:pPr>
      <w:r>
        <w:rPr>
          <w:rFonts w:ascii="SimSun" w:hAnsi="SimSun" w:eastAsia="SimSun" w:cs="SimSun"/>
          <w:sz w:val="22"/>
          <w:szCs w:val="22"/>
          <w:spacing w:val="-9"/>
        </w:rPr>
        <w:t>随着信息技术与人类生活方式的交互，数据产生的速度变得更快，数据体量变</w:t>
      </w:r>
      <w:r>
        <w:rPr>
          <w:rFonts w:ascii="SimSun" w:hAnsi="SimSun" w:eastAsia="SimSun" w:cs="SimSun"/>
          <w:sz w:val="22"/>
          <w:szCs w:val="22"/>
          <w:spacing w:val="14"/>
        </w:rPr>
        <w:t xml:space="preserve"> </w:t>
      </w:r>
      <w:r>
        <w:rPr>
          <w:rFonts w:ascii="SimSun" w:hAnsi="SimSun" w:eastAsia="SimSun" w:cs="SimSun"/>
          <w:sz w:val="22"/>
          <w:szCs w:val="22"/>
          <w:spacing w:val="-9"/>
        </w:rPr>
        <w:t>得更大，数据内容更加复杂，传统数据治理难以应对大数据治理需求，因此大数据</w:t>
      </w:r>
      <w:r>
        <w:rPr>
          <w:rFonts w:ascii="SimSun" w:hAnsi="SimSun" w:eastAsia="SimSun" w:cs="SimSun"/>
          <w:sz w:val="22"/>
          <w:szCs w:val="22"/>
          <w:spacing w:val="15"/>
        </w:rPr>
        <w:t xml:space="preserve"> </w:t>
      </w:r>
      <w:r>
        <w:rPr>
          <w:rFonts w:ascii="SimSun" w:hAnsi="SimSun" w:eastAsia="SimSun" w:cs="SimSun"/>
          <w:sz w:val="22"/>
          <w:szCs w:val="22"/>
          <w:spacing w:val="-8"/>
        </w:rPr>
        <w:t>治理一词应景提出。但由于这是一个崭新的领域，国内外研究成果不多。</w:t>
      </w:r>
      <w:r>
        <w:rPr>
          <w:rFonts w:ascii="SimSun" w:hAnsi="SimSun" w:eastAsia="SimSun" w:cs="SimSun"/>
          <w:sz w:val="22"/>
          <w:szCs w:val="22"/>
          <w:spacing w:val="-9"/>
        </w:rPr>
        <w:t>目前，关</w:t>
      </w:r>
      <w:r>
        <w:rPr>
          <w:rFonts w:ascii="SimSun" w:hAnsi="SimSun" w:eastAsia="SimSun" w:cs="SimSun"/>
          <w:sz w:val="22"/>
          <w:szCs w:val="22"/>
        </w:rPr>
        <w:t xml:space="preserve"> </w:t>
      </w:r>
      <w:r>
        <w:rPr>
          <w:rFonts w:ascii="SimSun" w:hAnsi="SimSun" w:eastAsia="SimSun" w:cs="SimSun"/>
          <w:sz w:val="22"/>
          <w:szCs w:val="22"/>
          <w:spacing w:val="-3"/>
        </w:rPr>
        <w:t>于“大数据治理”定义最早由</w:t>
      </w:r>
      <w:r>
        <w:rPr>
          <w:rFonts w:ascii="Times New Roman" w:hAnsi="Times New Roman" w:eastAsia="Times New Roman" w:cs="Times New Roman"/>
          <w:sz w:val="22"/>
          <w:szCs w:val="22"/>
          <w:spacing w:val="-3"/>
        </w:rPr>
        <w:t>Sunil</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3"/>
        </w:rPr>
        <w:t>Soares</w:t>
      </w:r>
      <w:r>
        <w:rPr>
          <w:rFonts w:ascii="SimSun" w:hAnsi="SimSun" w:eastAsia="SimSun" w:cs="SimSun"/>
          <w:sz w:val="22"/>
          <w:szCs w:val="22"/>
          <w:spacing w:val="-3"/>
        </w:rPr>
        <w:t>(桑尼尔·索</w:t>
      </w:r>
      <w:r>
        <w:rPr>
          <w:rFonts w:ascii="SimSun" w:hAnsi="SimSun" w:eastAsia="SimSun" w:cs="SimSun"/>
          <w:sz w:val="22"/>
          <w:szCs w:val="22"/>
          <w:spacing w:val="-4"/>
        </w:rPr>
        <w:t>雷斯)在其出版的专著《</w:t>
      </w:r>
      <w:r>
        <w:rPr>
          <w:rFonts w:ascii="Times New Roman" w:hAnsi="Times New Roman" w:eastAsia="Times New Roman" w:cs="Times New Roman"/>
          <w:sz w:val="22"/>
          <w:szCs w:val="22"/>
          <w:spacing w:val="-4"/>
        </w:rPr>
        <w:t>Big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Data</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spacing w:val="-4"/>
        </w:rPr>
        <w:t>Govemance:An</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4"/>
        </w:rPr>
        <w:t>Emerg</w:t>
      </w:r>
      <w:r>
        <w:rPr>
          <w:rFonts w:ascii="Times New Roman" w:hAnsi="Times New Roman" w:eastAsia="Times New Roman" w:cs="Times New Roman"/>
          <w:sz w:val="22"/>
          <w:szCs w:val="22"/>
          <w:spacing w:val="-5"/>
        </w:rPr>
        <w:t>ing</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5"/>
        </w:rPr>
        <w:t>Imperative</w:t>
      </w:r>
      <w:r>
        <w:rPr>
          <w:rFonts w:ascii="SimSun" w:hAnsi="SimSun" w:eastAsia="SimSun" w:cs="SimSun"/>
          <w:sz w:val="22"/>
          <w:szCs w:val="22"/>
          <w:spacing w:val="-5"/>
        </w:rPr>
        <w:t>》中提出：大数据是广义信息治理计划的</w:t>
      </w:r>
      <w:r>
        <w:rPr>
          <w:rFonts w:ascii="SimSun" w:hAnsi="SimSun" w:eastAsia="SimSun" w:cs="SimSun"/>
          <w:sz w:val="22"/>
          <w:szCs w:val="22"/>
        </w:rPr>
        <w:t xml:space="preserve"> </w:t>
      </w:r>
      <w:r>
        <w:rPr>
          <w:rFonts w:ascii="SimSun" w:hAnsi="SimSun" w:eastAsia="SimSun" w:cs="SimSun"/>
          <w:sz w:val="22"/>
          <w:szCs w:val="22"/>
          <w:spacing w:val="-13"/>
        </w:rPr>
        <w:t>部分，即需要制订与大数据有关的数据优化、隐私保护与数据变现的政策</w:t>
      </w:r>
      <w:r>
        <w:rPr>
          <w:rFonts w:ascii="SimSun" w:hAnsi="SimSun" w:eastAsia="SimSun" w:cs="SimSun"/>
          <w:sz w:val="22"/>
          <w:szCs w:val="22"/>
          <w:spacing w:val="-14"/>
        </w:rPr>
        <w:t>[12]。该定</w:t>
      </w:r>
    </w:p>
    <w:p>
      <w:pPr>
        <w:spacing w:line="253" w:lineRule="auto"/>
        <w:sectPr>
          <w:footerReference w:type="default" r:id="rId73"/>
          <w:pgSz w:w="8870" w:h="13400"/>
          <w:pgMar w:top="400" w:right="636" w:bottom="535" w:left="310" w:header="0" w:footer="316" w:gutter="0"/>
        </w:sectPr>
        <w:rPr>
          <w:rFonts w:ascii="SimSun" w:hAnsi="SimSun" w:eastAsia="SimSun" w:cs="SimSun"/>
          <w:sz w:val="22"/>
          <w:szCs w:val="22"/>
        </w:rPr>
      </w:pPr>
    </w:p>
    <w:p>
      <w:pPr>
        <w:ind w:left="5503"/>
        <w:spacing w:before="194" w:line="219" w:lineRule="auto"/>
        <w:rPr>
          <w:rFonts w:ascii="SimSun" w:hAnsi="SimSun" w:eastAsia="SimSun" w:cs="SimSun"/>
          <w:sz w:val="21"/>
          <w:szCs w:val="21"/>
        </w:rPr>
      </w:pPr>
      <w:r>
        <w:rPr>
          <w:rFonts w:ascii="SimSun" w:hAnsi="SimSun" w:eastAsia="SimSun" w:cs="SimSun"/>
          <w:sz w:val="21"/>
          <w:szCs w:val="21"/>
          <w:b/>
          <w:bCs/>
          <w:spacing w:val="15"/>
        </w:rPr>
        <w:t>第1章■数据治理概述</w:t>
      </w:r>
    </w:p>
    <w:p>
      <w:pPr>
        <w:ind w:right="211"/>
        <w:spacing w:before="306" w:line="258" w:lineRule="auto"/>
        <w:rPr>
          <w:rFonts w:ascii="SimSun" w:hAnsi="SimSun" w:eastAsia="SimSun" w:cs="SimSun"/>
          <w:sz w:val="21"/>
          <w:szCs w:val="21"/>
        </w:rPr>
      </w:pPr>
      <w:r>
        <w:rPr>
          <w:rFonts w:ascii="SimSun" w:hAnsi="SimSun" w:eastAsia="SimSun" w:cs="SimSun"/>
          <w:sz w:val="21"/>
          <w:szCs w:val="21"/>
          <w:spacing w:val="1"/>
        </w:rPr>
        <w:t>义将大数据作为广义信息治理计划的一部分，定目标是大数据变现，而过程则包括</w:t>
      </w:r>
      <w:r>
        <w:rPr>
          <w:rFonts w:ascii="SimSun" w:hAnsi="SimSun" w:eastAsia="SimSun" w:cs="SimSun"/>
          <w:sz w:val="21"/>
          <w:szCs w:val="21"/>
          <w:spacing w:val="5"/>
        </w:rPr>
        <w:t xml:space="preserve">  </w:t>
      </w:r>
      <w:r>
        <w:rPr>
          <w:rFonts w:ascii="SimSun" w:hAnsi="SimSun" w:eastAsia="SimSun" w:cs="SimSun"/>
          <w:sz w:val="21"/>
          <w:szCs w:val="21"/>
          <w:spacing w:val="-2"/>
        </w:rPr>
        <w:t>大数据优化和隐私保护。除此之外，我国也在大数据治理方面取得了一些研究成果。</w:t>
      </w:r>
    </w:p>
    <w:p>
      <w:pPr>
        <w:ind w:left="443"/>
        <w:spacing w:before="195" w:line="224" w:lineRule="auto"/>
        <w:outlineLvl w:val="1"/>
        <w:rPr>
          <w:rFonts w:ascii="YouYuan" w:hAnsi="YouYuan" w:eastAsia="YouYuan" w:cs="YouYuan"/>
          <w:sz w:val="21"/>
          <w:szCs w:val="21"/>
        </w:rPr>
      </w:pPr>
      <w:r>
        <w:rPr>
          <w:rFonts w:ascii="YouYuan" w:hAnsi="YouYuan" w:eastAsia="YouYuan" w:cs="YouYuan"/>
          <w:sz w:val="21"/>
          <w:szCs w:val="21"/>
          <w:b/>
          <w:bCs/>
          <w:spacing w:val="5"/>
        </w:rPr>
        <w:t>1.</w:t>
      </w:r>
      <w:r>
        <w:rPr>
          <w:rFonts w:ascii="YouYuan" w:hAnsi="YouYuan" w:eastAsia="YouYuan" w:cs="YouYuan"/>
          <w:sz w:val="21"/>
          <w:szCs w:val="21"/>
          <w:spacing w:val="5"/>
        </w:rPr>
        <w:t xml:space="preserve"> </w:t>
      </w:r>
      <w:r>
        <w:rPr>
          <w:rFonts w:ascii="YouYuan" w:hAnsi="YouYuan" w:eastAsia="YouYuan" w:cs="YouYuan"/>
          <w:sz w:val="21"/>
          <w:szCs w:val="21"/>
          <w:b/>
          <w:bCs/>
          <w:spacing w:val="5"/>
        </w:rPr>
        <w:t>索雷斯大数据治理框架</w:t>
      </w:r>
    </w:p>
    <w:p>
      <w:pPr>
        <w:ind w:right="287" w:firstLine="440"/>
        <w:spacing w:before="219" w:line="264" w:lineRule="auto"/>
        <w:jc w:val="both"/>
        <w:rPr>
          <w:rFonts w:ascii="SimSun" w:hAnsi="SimSun" w:eastAsia="SimSun" w:cs="SimSun"/>
          <w:sz w:val="21"/>
          <w:szCs w:val="21"/>
        </w:rPr>
      </w:pPr>
      <w:r>
        <w:rPr>
          <w:rFonts w:ascii="SimSun" w:hAnsi="SimSun" w:eastAsia="SimSun" w:cs="SimSun"/>
          <w:sz w:val="21"/>
          <w:szCs w:val="21"/>
          <w:spacing w:val="1"/>
        </w:rPr>
        <w:t>索雷斯大数据治理框架由大数据类型、信息治理准则、产业和功能场景三个维</w:t>
      </w:r>
      <w:r>
        <w:rPr>
          <w:rFonts w:ascii="SimSun" w:hAnsi="SimSun" w:eastAsia="SimSun" w:cs="SimSun"/>
          <w:sz w:val="21"/>
          <w:szCs w:val="21"/>
          <w:spacing w:val="13"/>
        </w:rPr>
        <w:t xml:space="preserve"> </w:t>
      </w:r>
      <w:r>
        <w:rPr>
          <w:rFonts w:ascii="SimSun" w:hAnsi="SimSun" w:eastAsia="SimSun" w:cs="SimSun"/>
          <w:sz w:val="21"/>
          <w:szCs w:val="21"/>
          <w:spacing w:val="-3"/>
        </w:rPr>
        <w:t>度组成。大数据类型分为五种： </w:t>
      </w:r>
      <w:r>
        <w:rPr>
          <w:rFonts w:ascii="Times New Roman" w:hAnsi="Times New Roman" w:eastAsia="Times New Roman" w:cs="Times New Roman"/>
          <w:sz w:val="21"/>
          <w:szCs w:val="21"/>
          <w:spacing w:val="-3"/>
        </w:rPr>
        <w:t>Web  </w:t>
      </w:r>
      <w:r>
        <w:rPr>
          <w:rFonts w:ascii="SimSun" w:hAnsi="SimSun" w:eastAsia="SimSun" w:cs="SimSun"/>
          <w:sz w:val="21"/>
          <w:szCs w:val="21"/>
          <w:spacing w:val="-3"/>
        </w:rPr>
        <w:t>和社交</w:t>
      </w:r>
      <w:r>
        <w:rPr>
          <w:rFonts w:ascii="SimSun" w:hAnsi="SimSun" w:eastAsia="SimSun" w:cs="SimSun"/>
          <w:sz w:val="21"/>
          <w:szCs w:val="21"/>
          <w:spacing w:val="-4"/>
        </w:rPr>
        <w:t>媒体数据、机器对机器的数据、大体量</w:t>
      </w:r>
      <w:r>
        <w:rPr>
          <w:rFonts w:ascii="SimSun" w:hAnsi="SimSun" w:eastAsia="SimSun" w:cs="SimSun"/>
          <w:sz w:val="21"/>
          <w:szCs w:val="21"/>
        </w:rPr>
        <w:t xml:space="preserve"> </w:t>
      </w:r>
      <w:r>
        <w:rPr>
          <w:rFonts w:ascii="SimSun" w:hAnsi="SimSun" w:eastAsia="SimSun" w:cs="SimSun"/>
          <w:sz w:val="21"/>
          <w:szCs w:val="21"/>
          <w:spacing w:val="1"/>
        </w:rPr>
        <w:t>交易数据、生物计量学数据和人工生成的数据。信息治理准则包括七则：组织、元</w:t>
      </w:r>
      <w:r>
        <w:rPr>
          <w:rFonts w:ascii="SimSun" w:hAnsi="SimSun" w:eastAsia="SimSun" w:cs="SimSun"/>
          <w:sz w:val="21"/>
          <w:szCs w:val="21"/>
          <w:spacing w:val="12"/>
        </w:rPr>
        <w:t xml:space="preserve"> </w:t>
      </w:r>
      <w:r>
        <w:rPr>
          <w:rFonts w:ascii="SimSun" w:hAnsi="SimSun" w:eastAsia="SimSun" w:cs="SimSun"/>
          <w:sz w:val="21"/>
          <w:szCs w:val="21"/>
          <w:spacing w:val="2"/>
        </w:rPr>
        <w:t>数据、隐私、数据质量、业务流程整合、主数</w:t>
      </w:r>
      <w:r>
        <w:rPr>
          <w:rFonts w:ascii="SimSun" w:hAnsi="SimSun" w:eastAsia="SimSun" w:cs="SimSun"/>
          <w:sz w:val="21"/>
          <w:szCs w:val="21"/>
          <w:spacing w:val="1"/>
        </w:rPr>
        <w:t>据整合和信息生命周期管理。产业和</w:t>
      </w:r>
      <w:r>
        <w:rPr>
          <w:rFonts w:ascii="SimSun" w:hAnsi="SimSun" w:eastAsia="SimSun" w:cs="SimSun"/>
          <w:sz w:val="21"/>
          <w:szCs w:val="21"/>
        </w:rPr>
        <w:t xml:space="preserve"> </w:t>
      </w:r>
      <w:r>
        <w:rPr>
          <w:rFonts w:ascii="SimSun" w:hAnsi="SimSun" w:eastAsia="SimSun" w:cs="SimSun"/>
          <w:sz w:val="21"/>
          <w:szCs w:val="21"/>
          <w:spacing w:val="1"/>
        </w:rPr>
        <w:t>功能场景分为七类：医疗保健业、公用事业、零售业、电信业、保险业、客户服务</w:t>
      </w:r>
      <w:r>
        <w:rPr>
          <w:rFonts w:ascii="SimSun" w:hAnsi="SimSun" w:eastAsia="SimSun" w:cs="SimSun"/>
          <w:sz w:val="21"/>
          <w:szCs w:val="21"/>
          <w:spacing w:val="13"/>
        </w:rPr>
        <w:t xml:space="preserve"> </w:t>
      </w:r>
      <w:r>
        <w:rPr>
          <w:rFonts w:ascii="SimSun" w:hAnsi="SimSun" w:eastAsia="SimSun" w:cs="SimSun"/>
          <w:sz w:val="21"/>
          <w:szCs w:val="21"/>
          <w:spacing w:val="2"/>
        </w:rPr>
        <w:t>和</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IT</w:t>
      </w:r>
      <w:r>
        <w:rPr>
          <w:rFonts w:ascii="SimSun" w:hAnsi="SimSun" w:eastAsia="SimSun" w:cs="SimSun"/>
          <w:sz w:val="21"/>
          <w:szCs w:val="21"/>
          <w:spacing w:val="2"/>
        </w:rPr>
        <w:t>。索雷斯大数据治理模型如图1-13所示。</w:t>
      </w:r>
    </w:p>
    <w:p>
      <w:pPr>
        <w:ind w:firstLine="240"/>
        <w:spacing w:before="72" w:line="4750" w:lineRule="exact"/>
        <w:rPr/>
      </w:pPr>
      <w:r>
        <w:rPr>
          <w:position w:val="-95"/>
        </w:rPr>
        <w:drawing>
          <wp:inline distT="0" distB="0" distL="0" distR="0">
            <wp:extent cx="4565663" cy="3016270"/>
            <wp:effectExtent l="0" t="0" r="0" b="0"/>
            <wp:docPr id="84" name="IM 84"/>
            <wp:cNvGraphicFramePr/>
            <a:graphic>
              <a:graphicData uri="http://schemas.openxmlformats.org/drawingml/2006/picture">
                <pic:pic>
                  <pic:nvPicPr>
                    <pic:cNvPr id="84" name="IM 84"/>
                    <pic:cNvPicPr/>
                  </pic:nvPicPr>
                  <pic:blipFill>
                    <a:blip r:embed="rId75"/>
                    <a:stretch>
                      <a:fillRect/>
                    </a:stretch>
                  </pic:blipFill>
                  <pic:spPr>
                    <a:xfrm rot="0">
                      <a:off x="0" y="0"/>
                      <a:ext cx="4565663" cy="3016270"/>
                    </a:xfrm>
                    <a:prstGeom prst="rect">
                      <a:avLst/>
                    </a:prstGeom>
                  </pic:spPr>
                </pic:pic>
              </a:graphicData>
            </a:graphic>
          </wp:inline>
        </w:drawing>
      </w:r>
    </w:p>
    <w:p>
      <w:pPr>
        <w:ind w:left="2582"/>
        <w:spacing w:before="134" w:line="222" w:lineRule="auto"/>
        <w:rPr>
          <w:rFonts w:ascii="SimHei" w:hAnsi="SimHei" w:eastAsia="SimHei" w:cs="SimHei"/>
          <w:sz w:val="21"/>
          <w:szCs w:val="21"/>
        </w:rPr>
      </w:pPr>
      <w:r>
        <w:rPr>
          <w:rFonts w:ascii="SimHei" w:hAnsi="SimHei" w:eastAsia="SimHei" w:cs="SimHei"/>
          <w:sz w:val="21"/>
          <w:szCs w:val="21"/>
          <w:b/>
          <w:bCs/>
          <w:spacing w:val="-19"/>
          <w:w w:val="97"/>
        </w:rPr>
        <w:t>图1-13</w:t>
      </w:r>
      <w:r>
        <w:rPr>
          <w:rFonts w:ascii="SimHei" w:hAnsi="SimHei" w:eastAsia="SimHei" w:cs="SimHei"/>
          <w:sz w:val="21"/>
          <w:szCs w:val="21"/>
          <w:spacing w:val="80"/>
        </w:rPr>
        <w:t xml:space="preserve"> </w:t>
      </w:r>
      <w:r>
        <w:rPr>
          <w:rFonts w:ascii="SimHei" w:hAnsi="SimHei" w:eastAsia="SimHei" w:cs="SimHei"/>
          <w:sz w:val="21"/>
          <w:szCs w:val="21"/>
          <w:b/>
          <w:bCs/>
          <w:spacing w:val="-19"/>
          <w:w w:val="97"/>
        </w:rPr>
        <w:t>索雷斯大数据治理模型</w:t>
      </w:r>
    </w:p>
    <w:p>
      <w:pPr>
        <w:ind w:right="228" w:firstLine="480"/>
        <w:spacing w:before="221" w:line="259" w:lineRule="auto"/>
        <w:jc w:val="both"/>
        <w:rPr>
          <w:rFonts w:ascii="SimSun" w:hAnsi="SimSun" w:eastAsia="SimSun" w:cs="SimSun"/>
          <w:sz w:val="21"/>
          <w:szCs w:val="21"/>
        </w:rPr>
      </w:pPr>
      <w:r>
        <w:rPr>
          <w:rFonts w:ascii="SimSun" w:hAnsi="SimSun" w:eastAsia="SimSun" w:cs="SimSun"/>
          <w:sz w:val="21"/>
          <w:szCs w:val="21"/>
          <w:spacing w:val="2"/>
        </w:rPr>
        <w:t>索雷斯认为信息治理的七个核心准则同样适用于大数据治理，因此在大数据治</w:t>
      </w:r>
      <w:r>
        <w:rPr>
          <w:rFonts w:ascii="SimSun" w:hAnsi="SimSun" w:eastAsia="SimSun" w:cs="SimSun"/>
          <w:sz w:val="21"/>
          <w:szCs w:val="21"/>
        </w:rPr>
        <w:t xml:space="preserve"> </w:t>
      </w:r>
      <w:r>
        <w:rPr>
          <w:rFonts w:ascii="SimSun" w:hAnsi="SimSun" w:eastAsia="SimSun" w:cs="SimSun"/>
          <w:sz w:val="21"/>
          <w:szCs w:val="21"/>
          <w:spacing w:val="1"/>
        </w:rPr>
        <w:t>理模型中通过组织、元数据、隐私、数据质量、业务流程整合、主数据管理、信息 </w:t>
      </w:r>
      <w:r>
        <w:rPr>
          <w:rFonts w:ascii="SimSun" w:hAnsi="SimSun" w:eastAsia="SimSun" w:cs="SimSun"/>
          <w:sz w:val="21"/>
          <w:szCs w:val="21"/>
          <w:spacing w:val="2"/>
        </w:rPr>
        <w:t>生命周期七个方面重点描述大数据治理要重点关注的</w:t>
      </w:r>
      <w:r>
        <w:rPr>
          <w:rFonts w:ascii="SimSun" w:hAnsi="SimSun" w:eastAsia="SimSun" w:cs="SimSun"/>
          <w:sz w:val="21"/>
          <w:szCs w:val="21"/>
          <w:spacing w:val="1"/>
        </w:rPr>
        <w:t>内容。表1-5 对大数据治理模</w:t>
      </w:r>
      <w:r>
        <w:rPr>
          <w:rFonts w:ascii="SimSun" w:hAnsi="SimSun" w:eastAsia="SimSun" w:cs="SimSun"/>
          <w:sz w:val="21"/>
          <w:szCs w:val="21"/>
        </w:rPr>
        <w:t xml:space="preserve"> </w:t>
      </w:r>
      <w:r>
        <w:rPr>
          <w:rFonts w:ascii="SimSun" w:hAnsi="SimSun" w:eastAsia="SimSun" w:cs="SimSun"/>
          <w:sz w:val="21"/>
          <w:szCs w:val="21"/>
          <w:spacing w:val="-3"/>
        </w:rPr>
        <w:t>型的七个治理准则进行了简要解释。</w:t>
      </w:r>
    </w:p>
    <w:p>
      <w:pPr>
        <w:ind w:left="2262"/>
        <w:spacing w:before="117" w:line="222" w:lineRule="auto"/>
        <w:rPr>
          <w:rFonts w:ascii="SimHei" w:hAnsi="SimHei" w:eastAsia="SimHei" w:cs="SimHei"/>
          <w:sz w:val="21"/>
          <w:szCs w:val="21"/>
        </w:rPr>
      </w:pPr>
      <w:r>
        <w:rPr>
          <w:rFonts w:ascii="SimHei" w:hAnsi="SimHei" w:eastAsia="SimHei" w:cs="SimHei"/>
          <w:sz w:val="21"/>
          <w:szCs w:val="21"/>
          <w:b/>
          <w:bCs/>
          <w:spacing w:val="-16"/>
          <w:w w:val="95"/>
        </w:rPr>
        <w:t>表1-5</w:t>
      </w:r>
      <w:r>
        <w:rPr>
          <w:rFonts w:ascii="SimHei" w:hAnsi="SimHei" w:eastAsia="SimHei" w:cs="SimHei"/>
          <w:sz w:val="21"/>
          <w:szCs w:val="21"/>
          <w:spacing w:val="71"/>
        </w:rPr>
        <w:t xml:space="preserve"> </w:t>
      </w:r>
      <w:r>
        <w:rPr>
          <w:rFonts w:ascii="SimHei" w:hAnsi="SimHei" w:eastAsia="SimHei" w:cs="SimHei"/>
          <w:sz w:val="21"/>
          <w:szCs w:val="21"/>
          <w:b/>
          <w:bCs/>
          <w:spacing w:val="-16"/>
          <w:w w:val="95"/>
        </w:rPr>
        <w:t>索雷斯大数据治理模型治理准则</w:t>
      </w:r>
    </w:p>
    <w:p>
      <w:pPr>
        <w:spacing w:line="88" w:lineRule="exact"/>
        <w:rPr/>
      </w:pPr>
      <w:r/>
    </w:p>
    <w:tbl>
      <w:tblPr>
        <w:tblStyle w:val="TableNormal"/>
        <w:tblW w:w="759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32"/>
        <w:gridCol w:w="5867"/>
      </w:tblGrid>
      <w:tr>
        <w:trPr>
          <w:trHeight w:val="312" w:hRule="atLeast"/>
        </w:trPr>
        <w:tc>
          <w:tcPr>
            <w:tcW w:w="1732" w:type="dxa"/>
            <w:vAlign w:val="top"/>
          </w:tcPr>
          <w:p>
            <w:pPr>
              <w:pStyle w:val="TableText"/>
              <w:ind w:left="435"/>
              <w:spacing w:before="82" w:line="220" w:lineRule="auto"/>
              <w:rPr>
                <w:sz w:val="16"/>
                <w:szCs w:val="16"/>
              </w:rPr>
            </w:pPr>
            <w:r>
              <w:rPr>
                <w:sz w:val="16"/>
                <w:szCs w:val="16"/>
                <w:spacing w:val="-5"/>
              </w:rPr>
              <w:t>治 理</w:t>
            </w:r>
            <w:r>
              <w:rPr>
                <w:sz w:val="16"/>
                <w:szCs w:val="16"/>
                <w:spacing w:val="3"/>
              </w:rPr>
              <w:t xml:space="preserve"> </w:t>
            </w:r>
            <w:r>
              <w:rPr>
                <w:sz w:val="16"/>
                <w:szCs w:val="16"/>
                <w:spacing w:val="-5"/>
              </w:rPr>
              <w:t>准</w:t>
            </w:r>
            <w:r>
              <w:rPr>
                <w:sz w:val="16"/>
                <w:szCs w:val="16"/>
                <w:spacing w:val="4"/>
              </w:rPr>
              <w:t xml:space="preserve"> </w:t>
            </w:r>
            <w:r>
              <w:rPr>
                <w:sz w:val="16"/>
                <w:szCs w:val="16"/>
                <w:spacing w:val="-5"/>
              </w:rPr>
              <w:t>则</w:t>
            </w:r>
          </w:p>
        </w:tc>
        <w:tc>
          <w:tcPr>
            <w:tcW w:w="5867" w:type="dxa"/>
            <w:vAlign w:val="top"/>
          </w:tcPr>
          <w:p>
            <w:pPr>
              <w:pStyle w:val="TableText"/>
              <w:ind w:left="2623"/>
              <w:spacing w:before="81" w:line="219" w:lineRule="auto"/>
              <w:rPr>
                <w:sz w:val="16"/>
                <w:szCs w:val="16"/>
              </w:rPr>
            </w:pPr>
            <w:r>
              <w:rPr>
                <w:sz w:val="16"/>
                <w:szCs w:val="16"/>
                <w:spacing w:val="-3"/>
              </w:rPr>
              <w:t>优</w:t>
            </w:r>
            <w:r>
              <w:rPr>
                <w:sz w:val="16"/>
                <w:szCs w:val="16"/>
                <w:spacing w:val="4"/>
              </w:rPr>
              <w:t xml:space="preserve">   </w:t>
            </w:r>
            <w:r>
              <w:rPr>
                <w:sz w:val="16"/>
                <w:szCs w:val="16"/>
                <w:spacing w:val="-3"/>
              </w:rPr>
              <w:t>点</w:t>
            </w:r>
          </w:p>
        </w:tc>
      </w:tr>
      <w:tr>
        <w:trPr>
          <w:trHeight w:val="317" w:hRule="atLeast"/>
        </w:trPr>
        <w:tc>
          <w:tcPr>
            <w:tcW w:w="1732" w:type="dxa"/>
            <w:vAlign w:val="top"/>
          </w:tcPr>
          <w:p>
            <w:pPr>
              <w:pStyle w:val="TableText"/>
              <w:ind w:left="695"/>
              <w:spacing w:before="82" w:line="224" w:lineRule="auto"/>
              <w:rPr>
                <w:sz w:val="16"/>
                <w:szCs w:val="16"/>
              </w:rPr>
            </w:pPr>
            <w:r>
              <w:rPr>
                <w:sz w:val="16"/>
                <w:szCs w:val="16"/>
                <w:spacing w:val="-3"/>
              </w:rPr>
              <w:t>组织</w:t>
            </w:r>
          </w:p>
        </w:tc>
        <w:tc>
          <w:tcPr>
            <w:tcW w:w="5867" w:type="dxa"/>
            <w:vAlign w:val="top"/>
          </w:tcPr>
          <w:p>
            <w:pPr>
              <w:pStyle w:val="TableText"/>
              <w:spacing w:before="78" w:line="219" w:lineRule="auto"/>
              <w:jc w:val="right"/>
              <w:rPr>
                <w:sz w:val="16"/>
                <w:szCs w:val="16"/>
              </w:rPr>
            </w:pPr>
            <w:r>
              <w:rPr>
                <w:sz w:val="16"/>
                <w:szCs w:val="16"/>
                <w:spacing w:val="-4"/>
              </w:rPr>
              <w:t>信息治理组织需要将大数据纳入其总体框架中，包括</w:t>
            </w:r>
            <w:r>
              <w:rPr>
                <w:sz w:val="16"/>
                <w:szCs w:val="16"/>
                <w:spacing w:val="-5"/>
              </w:rPr>
              <w:t>章程、组织架构、角色和责任</w:t>
            </w:r>
          </w:p>
        </w:tc>
      </w:tr>
      <w:tr>
        <w:trPr>
          <w:trHeight w:val="321" w:hRule="atLeast"/>
        </w:trPr>
        <w:tc>
          <w:tcPr>
            <w:tcW w:w="1732" w:type="dxa"/>
            <w:vAlign w:val="top"/>
          </w:tcPr>
          <w:p>
            <w:pPr>
              <w:pStyle w:val="TableText"/>
              <w:ind w:left="615"/>
              <w:spacing w:before="82" w:line="219" w:lineRule="auto"/>
              <w:rPr>
                <w:sz w:val="16"/>
                <w:szCs w:val="16"/>
              </w:rPr>
            </w:pPr>
            <w:r>
              <w:rPr>
                <w:sz w:val="16"/>
                <w:szCs w:val="16"/>
                <w:spacing w:val="-2"/>
              </w:rPr>
              <w:t>元数据</w:t>
            </w:r>
          </w:p>
        </w:tc>
        <w:tc>
          <w:tcPr>
            <w:tcW w:w="5867" w:type="dxa"/>
            <w:vAlign w:val="top"/>
          </w:tcPr>
          <w:p>
            <w:pPr>
              <w:pStyle w:val="TableText"/>
              <w:ind w:left="273"/>
              <w:spacing w:before="82" w:line="219" w:lineRule="auto"/>
              <w:rPr>
                <w:sz w:val="16"/>
                <w:szCs w:val="16"/>
              </w:rPr>
            </w:pPr>
            <w:r>
              <w:rPr>
                <w:sz w:val="16"/>
                <w:szCs w:val="16"/>
                <w:spacing w:val="-1"/>
              </w:rPr>
              <w:t>大数据治理计划需要将大户数与企业的元数据库进行整合</w:t>
            </w:r>
          </w:p>
        </w:tc>
      </w:tr>
    </w:tbl>
    <w:p>
      <w:pPr>
        <w:pStyle w:val="BodyText"/>
        <w:rPr/>
      </w:pPr>
      <w:r/>
    </w:p>
    <w:p>
      <w:pPr>
        <w:sectPr>
          <w:footerReference w:type="default" r:id="rId74"/>
          <w:pgSz w:w="8870" w:h="13400"/>
          <w:pgMar w:top="400" w:right="383" w:bottom="558" w:left="569" w:header="0" w:footer="349" w:gutter="0"/>
        </w:sectPr>
        <w:rPr/>
      </w:pPr>
    </w:p>
    <w:p>
      <w:pPr>
        <w:ind w:left="99"/>
        <w:spacing w:before="170"/>
        <w:rPr>
          <w:rFonts w:ascii="SimSun" w:hAnsi="SimSun" w:eastAsia="SimSun" w:cs="SimSun"/>
          <w:sz w:val="22"/>
          <w:szCs w:val="22"/>
        </w:rPr>
      </w:pPr>
      <w:bookmarkStart w:name="bookmark17" w:id="12"/>
      <w:bookmarkEnd w:id="12"/>
      <w:r>
        <w:rPr>
          <w:rFonts w:ascii="SimSun" w:hAnsi="SimSun" w:eastAsia="SimSun" w:cs="SimSun"/>
          <w:sz w:val="22"/>
          <w:szCs w:val="22"/>
          <w:position w:val="-8"/>
        </w:rPr>
        <w:drawing>
          <wp:inline distT="0" distB="0" distL="0" distR="0">
            <wp:extent cx="6365" cy="222255"/>
            <wp:effectExtent l="0" t="0" r="0" b="0"/>
            <wp:docPr id="86" name="IM 86"/>
            <wp:cNvGraphicFramePr/>
            <a:graphic>
              <a:graphicData uri="http://schemas.openxmlformats.org/drawingml/2006/picture">
                <pic:pic>
                  <pic:nvPicPr>
                    <pic:cNvPr id="86" name="IM 86"/>
                    <pic:cNvPicPr/>
                  </pic:nvPicPr>
                  <pic:blipFill>
                    <a:blip r:embed="rId77"/>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pStyle w:val="BodyText"/>
        <w:spacing w:line="307" w:lineRule="auto"/>
        <w:rPr/>
      </w:pPr>
      <w:r/>
    </w:p>
    <w:p>
      <w:pPr>
        <w:ind w:left="7112"/>
        <w:spacing w:before="56"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8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32"/>
        <w:gridCol w:w="5857"/>
      </w:tblGrid>
      <w:tr>
        <w:trPr>
          <w:trHeight w:val="313" w:hRule="atLeast"/>
        </w:trPr>
        <w:tc>
          <w:tcPr>
            <w:tcW w:w="1732" w:type="dxa"/>
            <w:vAlign w:val="top"/>
          </w:tcPr>
          <w:p>
            <w:pPr>
              <w:pStyle w:val="TableText"/>
              <w:ind w:left="434"/>
              <w:spacing w:before="81" w:line="220" w:lineRule="auto"/>
              <w:rPr/>
            </w:pPr>
            <w:r>
              <w:rPr>
                <w:spacing w:val="-7"/>
              </w:rPr>
              <w:t>治</w:t>
            </w:r>
            <w:r>
              <w:rPr>
                <w:spacing w:val="23"/>
              </w:rPr>
              <w:t xml:space="preserve"> </w:t>
            </w:r>
            <w:r>
              <w:rPr>
                <w:spacing w:val="-7"/>
              </w:rPr>
              <w:t>理</w:t>
            </w:r>
            <w:r>
              <w:rPr>
                <w:spacing w:val="19"/>
                <w:w w:val="101"/>
              </w:rPr>
              <w:t xml:space="preserve"> </w:t>
            </w:r>
            <w:r>
              <w:rPr>
                <w:spacing w:val="-7"/>
              </w:rPr>
              <w:t>准</w:t>
            </w:r>
            <w:r>
              <w:rPr>
                <w:spacing w:val="21"/>
              </w:rPr>
              <w:t xml:space="preserve"> </w:t>
            </w:r>
            <w:r>
              <w:rPr>
                <w:spacing w:val="-7"/>
              </w:rPr>
              <w:t>则</w:t>
            </w:r>
          </w:p>
        </w:tc>
        <w:tc>
          <w:tcPr>
            <w:tcW w:w="5857" w:type="dxa"/>
            <w:vAlign w:val="top"/>
          </w:tcPr>
          <w:p>
            <w:pPr>
              <w:pStyle w:val="TableText"/>
              <w:ind w:left="2622"/>
              <w:spacing w:before="81" w:line="219" w:lineRule="auto"/>
              <w:rPr/>
            </w:pPr>
            <w:r>
              <w:rPr>
                <w:spacing w:val="-3"/>
              </w:rPr>
              <w:t>优</w:t>
            </w:r>
            <w:r>
              <w:rPr>
                <w:spacing w:val="4"/>
              </w:rPr>
              <w:t xml:space="preserve">   </w:t>
            </w:r>
            <w:r>
              <w:rPr>
                <w:spacing w:val="-3"/>
              </w:rPr>
              <w:t>点</w:t>
            </w:r>
          </w:p>
        </w:tc>
      </w:tr>
      <w:tr>
        <w:trPr>
          <w:trHeight w:val="309" w:hRule="atLeast"/>
        </w:trPr>
        <w:tc>
          <w:tcPr>
            <w:tcW w:w="1732" w:type="dxa"/>
            <w:vAlign w:val="top"/>
          </w:tcPr>
          <w:p>
            <w:pPr>
              <w:pStyle w:val="TableText"/>
              <w:ind w:left="704"/>
              <w:spacing w:before="78" w:line="220" w:lineRule="auto"/>
              <w:rPr/>
            </w:pPr>
            <w:r>
              <w:rPr>
                <w:spacing w:val="4"/>
              </w:rPr>
              <w:t>隐私</w:t>
            </w:r>
          </w:p>
        </w:tc>
        <w:tc>
          <w:tcPr>
            <w:tcW w:w="5857" w:type="dxa"/>
            <w:vAlign w:val="top"/>
          </w:tcPr>
          <w:p>
            <w:pPr>
              <w:pStyle w:val="TableText"/>
              <w:ind w:left="112"/>
              <w:spacing w:before="78" w:line="219" w:lineRule="auto"/>
              <w:rPr/>
            </w:pPr>
            <w:r>
              <w:rPr/>
              <w:t>大数据治理组织需要识别敏感数据，并制订有关敏感数据</w:t>
            </w:r>
            <w:r>
              <w:rPr>
                <w:spacing w:val="-1"/>
              </w:rPr>
              <w:t>的可接受使用的政策</w:t>
            </w:r>
          </w:p>
        </w:tc>
      </w:tr>
      <w:tr>
        <w:trPr>
          <w:trHeight w:val="308" w:hRule="atLeast"/>
        </w:trPr>
        <w:tc>
          <w:tcPr>
            <w:tcW w:w="1732" w:type="dxa"/>
            <w:vAlign w:val="top"/>
          </w:tcPr>
          <w:p>
            <w:pPr>
              <w:pStyle w:val="TableText"/>
              <w:ind w:left="554"/>
              <w:spacing w:before="79" w:line="219" w:lineRule="auto"/>
              <w:rPr/>
            </w:pPr>
            <w:r>
              <w:rPr>
                <w:spacing w:val="-2"/>
              </w:rPr>
              <w:t>数据质量</w:t>
            </w:r>
          </w:p>
        </w:tc>
        <w:tc>
          <w:tcPr>
            <w:tcW w:w="5857" w:type="dxa"/>
            <w:vAlign w:val="top"/>
          </w:tcPr>
          <w:p>
            <w:pPr>
              <w:pStyle w:val="TableText"/>
              <w:ind w:left="112"/>
              <w:spacing w:before="79" w:line="219" w:lineRule="auto"/>
              <w:rPr/>
            </w:pPr>
            <w:r>
              <w:rPr>
                <w:spacing w:val="-1"/>
              </w:rPr>
              <w:t>包括测量、提升和论证质量及整合组织数据的方法</w:t>
            </w:r>
          </w:p>
        </w:tc>
      </w:tr>
      <w:tr>
        <w:trPr>
          <w:trHeight w:val="558" w:hRule="atLeast"/>
        </w:trPr>
        <w:tc>
          <w:tcPr>
            <w:tcW w:w="1732" w:type="dxa"/>
            <w:vAlign w:val="top"/>
          </w:tcPr>
          <w:p>
            <w:pPr>
              <w:pStyle w:val="TableText"/>
              <w:ind w:left="404"/>
              <w:spacing w:before="211" w:line="219" w:lineRule="auto"/>
              <w:rPr/>
            </w:pPr>
            <w:r>
              <w:rPr>
                <w:spacing w:val="-1"/>
              </w:rPr>
              <w:t>业务流程整合</w:t>
            </w:r>
          </w:p>
        </w:tc>
        <w:tc>
          <w:tcPr>
            <w:tcW w:w="5857" w:type="dxa"/>
            <w:vAlign w:val="top"/>
          </w:tcPr>
          <w:p>
            <w:pPr>
              <w:pStyle w:val="TableText"/>
              <w:ind w:left="112" w:right="171" w:firstLine="150"/>
              <w:spacing w:before="91" w:line="270" w:lineRule="auto"/>
              <w:rPr/>
            </w:pPr>
            <w:r>
              <w:rPr/>
              <w:t>大数据治理计划必须识别需要大数据的核心业务流程，因而必须识别支持大户数治</w:t>
            </w:r>
            <w:r>
              <w:rPr>
                <w:spacing w:val="11"/>
              </w:rPr>
              <w:t xml:space="preserve"> </w:t>
            </w:r>
            <w:r>
              <w:rPr>
                <w:spacing w:val="-2"/>
              </w:rPr>
              <w:t>理的关键政策</w:t>
            </w:r>
          </w:p>
        </w:tc>
      </w:tr>
      <w:tr>
        <w:trPr>
          <w:trHeight w:val="309" w:hRule="atLeast"/>
        </w:trPr>
        <w:tc>
          <w:tcPr>
            <w:tcW w:w="1732" w:type="dxa"/>
            <w:vAlign w:val="top"/>
          </w:tcPr>
          <w:p>
            <w:pPr>
              <w:pStyle w:val="TableText"/>
              <w:ind w:left="484"/>
              <w:spacing w:before="83" w:line="219" w:lineRule="auto"/>
              <w:rPr/>
            </w:pPr>
            <w:r>
              <w:rPr>
                <w:spacing w:val="-2"/>
              </w:rPr>
              <w:t>主数据管理</w:t>
            </w:r>
          </w:p>
        </w:tc>
        <w:tc>
          <w:tcPr>
            <w:tcW w:w="5857" w:type="dxa"/>
            <w:vAlign w:val="top"/>
          </w:tcPr>
          <w:p>
            <w:pPr>
              <w:pStyle w:val="TableText"/>
              <w:ind w:left="112"/>
              <w:spacing w:before="83" w:line="219" w:lineRule="auto"/>
              <w:rPr/>
            </w:pPr>
            <w:r>
              <w:rPr/>
              <w:t>大数据治理需要制订有关将大数据整合到主</w:t>
            </w:r>
            <w:r>
              <w:rPr>
                <w:spacing w:val="-1"/>
              </w:rPr>
              <w:t>数据管理环境的政策</w:t>
            </w:r>
          </w:p>
        </w:tc>
      </w:tr>
      <w:tr>
        <w:trPr>
          <w:trHeight w:val="572" w:hRule="atLeast"/>
        </w:trPr>
        <w:tc>
          <w:tcPr>
            <w:tcW w:w="1732" w:type="dxa"/>
            <w:vAlign w:val="top"/>
          </w:tcPr>
          <w:p>
            <w:pPr>
              <w:pStyle w:val="TableText"/>
              <w:ind w:left="254"/>
              <w:spacing w:before="214" w:line="219" w:lineRule="auto"/>
              <w:rPr/>
            </w:pPr>
            <w:r>
              <w:rPr>
                <w:spacing w:val="-1"/>
              </w:rPr>
              <w:t>信息生命周期管理</w:t>
            </w:r>
          </w:p>
        </w:tc>
        <w:tc>
          <w:tcPr>
            <w:tcW w:w="5857" w:type="dxa"/>
            <w:vAlign w:val="top"/>
          </w:tcPr>
          <w:p>
            <w:pPr>
              <w:pStyle w:val="TableText"/>
              <w:ind w:left="112" w:right="184" w:firstLine="160"/>
              <w:spacing w:before="83" w:line="282" w:lineRule="auto"/>
              <w:rPr/>
            </w:pPr>
            <w:r>
              <w:rPr/>
              <w:t>决定何种数据应该保留在运营和分析系统中、何种数据</w:t>
            </w:r>
            <w:r>
              <w:rPr>
                <w:spacing w:val="-1"/>
              </w:rPr>
              <w:t>要予以存档、何种数据应予</w:t>
            </w:r>
            <w:r>
              <w:rPr/>
              <w:t xml:space="preserve"> </w:t>
            </w:r>
            <w:r>
              <w:rPr>
                <w:spacing w:val="2"/>
              </w:rPr>
              <w:t>以删除</w:t>
            </w:r>
          </w:p>
        </w:tc>
      </w:tr>
    </w:tbl>
    <w:p>
      <w:pPr>
        <w:ind w:left="683"/>
        <w:spacing w:before="213" w:line="221" w:lineRule="auto"/>
        <w:outlineLvl w:val="1"/>
        <w:rPr>
          <w:rFonts w:ascii="YouYuan" w:hAnsi="YouYuan" w:eastAsia="YouYuan" w:cs="YouYuan"/>
          <w:sz w:val="22"/>
          <w:szCs w:val="22"/>
        </w:rPr>
      </w:pPr>
      <w:r>
        <w:rPr>
          <w:rFonts w:ascii="YouYuan" w:hAnsi="YouYuan" w:eastAsia="YouYuan" w:cs="YouYuan"/>
          <w:sz w:val="22"/>
          <w:szCs w:val="22"/>
          <w:b/>
          <w:bCs/>
          <w:spacing w:val="-2"/>
        </w:rPr>
        <w:t>2.</w:t>
      </w:r>
      <w:r>
        <w:rPr>
          <w:rFonts w:ascii="YouYuan" w:hAnsi="YouYuan" w:eastAsia="YouYuan" w:cs="YouYuan"/>
          <w:sz w:val="22"/>
          <w:szCs w:val="22"/>
          <w:spacing w:val="-2"/>
        </w:rPr>
        <w:t xml:space="preserve"> </w:t>
      </w:r>
      <w:r>
        <w:rPr>
          <w:rFonts w:ascii="YouYuan" w:hAnsi="YouYuan" w:eastAsia="YouYuan" w:cs="YouYuan"/>
          <w:sz w:val="22"/>
          <w:szCs w:val="22"/>
          <w:b/>
          <w:bCs/>
          <w:spacing w:val="-2"/>
        </w:rPr>
        <w:t>中国数据治理标准研究团队提出的大数据治理框架</w:t>
      </w:r>
    </w:p>
    <w:p>
      <w:pPr>
        <w:ind w:left="259" w:firstLine="430"/>
        <w:spacing w:before="216" w:line="277" w:lineRule="auto"/>
        <w:rPr>
          <w:rFonts w:ascii="SimSun" w:hAnsi="SimSun" w:eastAsia="SimSun" w:cs="SimSun"/>
          <w:sz w:val="18"/>
          <w:szCs w:val="18"/>
        </w:rPr>
      </w:pPr>
      <w:r>
        <w:rPr>
          <w:rFonts w:ascii="SimSun" w:hAnsi="SimSun" w:eastAsia="SimSun" w:cs="SimSun"/>
          <w:sz w:val="22"/>
          <w:szCs w:val="22"/>
          <w:spacing w:val="-8"/>
        </w:rPr>
        <w:t>随着我国不断推进大数据战略，数据治理理论和实践得到了快速发展，尤其是</w:t>
      </w:r>
      <w:r>
        <w:rPr>
          <w:rFonts w:ascii="SimSun" w:hAnsi="SimSun" w:eastAsia="SimSun" w:cs="SimSun"/>
          <w:sz w:val="22"/>
          <w:szCs w:val="22"/>
          <w:spacing w:val="1"/>
        </w:rPr>
        <w:t xml:space="preserve"> </w:t>
      </w:r>
      <w:r>
        <w:rPr>
          <w:rFonts w:ascii="SimSun" w:hAnsi="SimSun" w:eastAsia="SimSun" w:cs="SimSun"/>
          <w:sz w:val="18"/>
          <w:szCs w:val="18"/>
          <w:spacing w:val="24"/>
        </w:rPr>
        <w:t>数据治理标准研究团队提出了新的数据治理模</w:t>
      </w:r>
      <w:r>
        <w:rPr>
          <w:rFonts w:ascii="SimSun" w:hAnsi="SimSun" w:eastAsia="SimSun" w:cs="SimSun"/>
          <w:sz w:val="18"/>
          <w:szCs w:val="18"/>
          <w:spacing w:val="23"/>
        </w:rPr>
        <w:t>型，并向</w:t>
      </w:r>
      <w:r>
        <w:rPr>
          <w:rFonts w:ascii="SimSun" w:hAnsi="SimSun" w:eastAsia="SimSun" w:cs="SimSun"/>
          <w:sz w:val="18"/>
          <w:szCs w:val="18"/>
          <w:spacing w:val="-39"/>
        </w:rPr>
        <w:t xml:space="preserve"> </w:t>
      </w:r>
      <w:r>
        <w:rPr>
          <w:rFonts w:ascii="Times New Roman" w:hAnsi="Times New Roman" w:eastAsia="Times New Roman" w:cs="Times New Roman"/>
          <w:sz w:val="18"/>
          <w:szCs w:val="18"/>
        </w:rPr>
        <w:t>ISO</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31"/>
          <w:w w:val="101"/>
        </w:rPr>
        <w:t xml:space="preserve"> </w:t>
      </w:r>
      <w:r>
        <w:rPr>
          <w:rFonts w:ascii="SimSun" w:hAnsi="SimSun" w:eastAsia="SimSun" w:cs="SimSun"/>
          <w:sz w:val="18"/>
          <w:szCs w:val="18"/>
          <w:spacing w:val="23"/>
        </w:rPr>
        <w:t>治</w:t>
      </w:r>
      <w:r>
        <w:rPr>
          <w:rFonts w:ascii="SimSun" w:hAnsi="SimSun" w:eastAsia="SimSun" w:cs="SimSun"/>
          <w:sz w:val="18"/>
          <w:szCs w:val="18"/>
          <w:spacing w:val="-33"/>
        </w:rPr>
        <w:t xml:space="preserve"> </w:t>
      </w:r>
      <w:r>
        <w:rPr>
          <w:rFonts w:ascii="SimSun" w:hAnsi="SimSun" w:eastAsia="SimSun" w:cs="SimSun"/>
          <w:sz w:val="18"/>
          <w:szCs w:val="18"/>
          <w:spacing w:val="23"/>
        </w:rPr>
        <w:t>理</w:t>
      </w:r>
      <w:r>
        <w:rPr>
          <w:rFonts w:ascii="SimSun" w:hAnsi="SimSun" w:eastAsia="SimSun" w:cs="SimSun"/>
          <w:sz w:val="18"/>
          <w:szCs w:val="18"/>
          <w:spacing w:val="-34"/>
        </w:rPr>
        <w:t xml:space="preserve"> </w:t>
      </w:r>
      <w:r>
        <w:rPr>
          <w:rFonts w:ascii="SimSun" w:hAnsi="SimSun" w:eastAsia="SimSun" w:cs="SimSun"/>
          <w:sz w:val="18"/>
          <w:szCs w:val="18"/>
          <w:spacing w:val="23"/>
        </w:rPr>
        <w:t>和</w:t>
      </w:r>
      <w:r>
        <w:rPr>
          <w:rFonts w:ascii="SimSun" w:hAnsi="SimSun" w:eastAsia="SimSun" w:cs="SimSun"/>
          <w:sz w:val="18"/>
          <w:szCs w:val="18"/>
          <w:spacing w:val="-25"/>
        </w:rPr>
        <w:t xml:space="preserve">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40"/>
        </w:rPr>
        <w:t xml:space="preserve"> </w:t>
      </w:r>
      <w:r>
        <w:rPr>
          <w:rFonts w:ascii="SimSun" w:hAnsi="SimSun" w:eastAsia="SimSun" w:cs="SimSun"/>
          <w:sz w:val="18"/>
          <w:szCs w:val="18"/>
          <w:spacing w:val="23"/>
        </w:rPr>
        <w:t>服务管理</w:t>
      </w:r>
      <w:r>
        <w:rPr>
          <w:rFonts w:ascii="SimSun" w:hAnsi="SimSun" w:eastAsia="SimSun" w:cs="SimSun"/>
          <w:sz w:val="18"/>
          <w:szCs w:val="18"/>
        </w:rPr>
        <w:t xml:space="preserve"> </w:t>
      </w:r>
      <w:r>
        <w:rPr>
          <w:rFonts w:ascii="SimSun" w:hAnsi="SimSun" w:eastAsia="SimSun" w:cs="SimSun"/>
          <w:sz w:val="22"/>
          <w:szCs w:val="22"/>
          <w:spacing w:val="-14"/>
        </w:rPr>
        <w:t>分技术委员会提交了《数据治理白皮书》国际标准研究报告[13]。数据治理标准研究</w:t>
      </w:r>
      <w:r>
        <w:rPr>
          <w:rFonts w:ascii="SimSun" w:hAnsi="SimSun" w:eastAsia="SimSun" w:cs="SimSun"/>
          <w:sz w:val="22"/>
          <w:szCs w:val="22"/>
          <w:spacing w:val="16"/>
        </w:rPr>
        <w:t xml:space="preserve"> </w:t>
      </w:r>
      <w:r>
        <w:rPr>
          <w:rFonts w:ascii="SimSun" w:hAnsi="SimSun" w:eastAsia="SimSun" w:cs="SimSun"/>
          <w:sz w:val="22"/>
          <w:szCs w:val="22"/>
          <w:spacing w:val="-9"/>
        </w:rPr>
        <w:t>团队也将大数据治理的最新研究成果集中体现在了《大数据治理与</w:t>
      </w:r>
      <w:r>
        <w:rPr>
          <w:rFonts w:ascii="SimSun" w:hAnsi="SimSun" w:eastAsia="SimSun" w:cs="SimSun"/>
          <w:sz w:val="22"/>
          <w:szCs w:val="22"/>
          <w:spacing w:val="-10"/>
        </w:rPr>
        <w:t>服务》一书中，</w:t>
      </w:r>
      <w:r>
        <w:rPr>
          <w:rFonts w:ascii="SimSun" w:hAnsi="SimSun" w:eastAsia="SimSun" w:cs="SimSun"/>
          <w:sz w:val="22"/>
          <w:szCs w:val="22"/>
        </w:rPr>
        <w:t xml:space="preserve"> </w:t>
      </w:r>
      <w:r>
        <w:rPr>
          <w:rFonts w:ascii="SimSun" w:hAnsi="SimSun" w:eastAsia="SimSun" w:cs="SimSun"/>
          <w:sz w:val="18"/>
          <w:szCs w:val="18"/>
          <w:spacing w:val="29"/>
        </w:rPr>
        <w:t>该书提出了</w:t>
      </w:r>
      <w:r>
        <w:rPr>
          <w:rFonts w:ascii="SimSun" w:hAnsi="SimSun" w:eastAsia="SimSun" w:cs="SimSun"/>
          <w:sz w:val="18"/>
          <w:szCs w:val="18"/>
          <w:spacing w:val="-48"/>
        </w:rPr>
        <w:t xml:space="preserve"> </w:t>
      </w:r>
      <w:r>
        <w:rPr>
          <w:rFonts w:ascii="SimSun" w:hAnsi="SimSun" w:eastAsia="SimSun" w:cs="SimSun"/>
          <w:sz w:val="18"/>
          <w:szCs w:val="18"/>
          <w:spacing w:val="29"/>
        </w:rPr>
        <w:t>一</w:t>
      </w:r>
      <w:r>
        <w:rPr>
          <w:rFonts w:ascii="SimSun" w:hAnsi="SimSun" w:eastAsia="SimSun" w:cs="SimSun"/>
          <w:sz w:val="18"/>
          <w:szCs w:val="18"/>
          <w:spacing w:val="-51"/>
        </w:rPr>
        <w:t xml:space="preserve"> </w:t>
      </w:r>
      <w:r>
        <w:rPr>
          <w:rFonts w:ascii="SimSun" w:hAnsi="SimSun" w:eastAsia="SimSun" w:cs="SimSun"/>
          <w:sz w:val="18"/>
          <w:szCs w:val="18"/>
          <w:spacing w:val="29"/>
        </w:rPr>
        <w:t>个从全局视角描述的大数据治理框架，主要从原则、范围、实施与评</w:t>
      </w:r>
      <w:r>
        <w:rPr>
          <w:rFonts w:ascii="SimSun" w:hAnsi="SimSun" w:eastAsia="SimSun" w:cs="SimSun"/>
          <w:sz w:val="18"/>
          <w:szCs w:val="18"/>
        </w:rPr>
        <w:t xml:space="preserve"> </w:t>
      </w:r>
      <w:r>
        <w:rPr>
          <w:rFonts w:ascii="SimSun" w:hAnsi="SimSun" w:eastAsia="SimSun" w:cs="SimSun"/>
          <w:sz w:val="18"/>
          <w:szCs w:val="18"/>
          <w:spacing w:val="21"/>
        </w:rPr>
        <w:t>估三个维度展现大数据治理的内容14]。</w:t>
      </w:r>
    </w:p>
    <w:p>
      <w:pPr>
        <w:pStyle w:val="BodyText"/>
        <w:ind w:firstLine="1659"/>
        <w:spacing w:before="91" w:line="4370" w:lineRule="exact"/>
        <w:rPr/>
      </w:pPr>
      <w:r>
        <w:rPr>
          <w:position w:val="-87"/>
        </w:rPr>
        <w:pict>
          <v:group id="_x0000_s186" style="mso-position-vertical-relative:line;mso-position-horizontal-relative:char;width:244.05pt;height:218.55pt;" filled="false" stroked="false" coordsize="4881,4371" coordorigin="0,0">
            <v:shape id="_x0000_s188" style="position:absolute;left:0;top:0;width:4881;height:4371;" filled="false" stroked="false" type="#_x0000_t75">
              <v:imagedata o:title="" r:id="rId78"/>
            </v:shape>
            <v:shape id="_x0000_s190" style="position:absolute;left:750;top:187;width:2346;height:3910;"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18"/>
                        <w:szCs w:val="18"/>
                      </w:rPr>
                    </w:pPr>
                    <w:r>
                      <w:rPr>
                        <w:rFonts w:ascii="SimSun" w:hAnsi="SimSun" w:eastAsia="SimSun" w:cs="SimSun"/>
                        <w:sz w:val="18"/>
                        <w:szCs w:val="18"/>
                        <w:spacing w:val="-9"/>
                      </w:rPr>
                      <w:t>原则</w:t>
                    </w:r>
                  </w:p>
                  <w:p>
                    <w:pPr>
                      <w:ind w:left="850"/>
                      <w:spacing w:before="185" w:line="220" w:lineRule="auto"/>
                      <w:rPr>
                        <w:rFonts w:ascii="SimSun" w:hAnsi="SimSun" w:eastAsia="SimSun" w:cs="SimSun"/>
                        <w:sz w:val="18"/>
                        <w:szCs w:val="18"/>
                      </w:rPr>
                    </w:pPr>
                    <w:r>
                      <w:rPr>
                        <w:rFonts w:ascii="SimSun" w:hAnsi="SimSun" w:eastAsia="SimSun" w:cs="SimSun"/>
                        <w:sz w:val="18"/>
                        <w:szCs w:val="18"/>
                        <w:spacing w:val="-16"/>
                        <w:w w:val="97"/>
                      </w:rPr>
                      <w:t>战略一致</w:t>
                    </w:r>
                  </w:p>
                  <w:p>
                    <w:pPr>
                      <w:ind w:left="300"/>
                      <w:spacing w:before="295" w:line="220" w:lineRule="auto"/>
                      <w:rPr>
                        <w:rFonts w:ascii="SimSun" w:hAnsi="SimSun" w:eastAsia="SimSun" w:cs="SimSun"/>
                        <w:sz w:val="18"/>
                        <w:szCs w:val="18"/>
                      </w:rPr>
                    </w:pPr>
                    <w:r>
                      <w:rPr>
                        <w:rFonts w:ascii="SimSun" w:hAnsi="SimSun" w:eastAsia="SimSun" w:cs="SimSun"/>
                        <w:sz w:val="18"/>
                        <w:szCs w:val="18"/>
                        <w:spacing w:val="-17"/>
                        <w:w w:val="99"/>
                      </w:rPr>
                      <w:t>运营合规</w:t>
                    </w:r>
                  </w:p>
                  <w:p>
                    <w:pPr>
                      <w:ind w:left="780"/>
                      <w:spacing w:before="235" w:line="220" w:lineRule="auto"/>
                      <w:rPr>
                        <w:rFonts w:ascii="SimSun" w:hAnsi="SimSun" w:eastAsia="SimSun" w:cs="SimSun"/>
                        <w:sz w:val="18"/>
                        <w:szCs w:val="18"/>
                      </w:rPr>
                    </w:pPr>
                    <w:r>
                      <w:rPr>
                        <w:rFonts w:ascii="SimSun" w:hAnsi="SimSun" w:eastAsia="SimSun" w:cs="SimSun"/>
                        <w:sz w:val="18"/>
                        <w:szCs w:val="18"/>
                        <w:spacing w:val="-12"/>
                      </w:rPr>
                      <w:t>范围</w:t>
                    </w:r>
                  </w:p>
                  <w:p>
                    <w:pPr>
                      <w:ind w:left="20"/>
                      <w:spacing w:before="145" w:line="220" w:lineRule="auto"/>
                      <w:rPr>
                        <w:rFonts w:ascii="SimSun" w:hAnsi="SimSun" w:eastAsia="SimSun" w:cs="SimSun"/>
                        <w:sz w:val="18"/>
                        <w:szCs w:val="18"/>
                      </w:rPr>
                    </w:pPr>
                    <w:r>
                      <w:rPr>
                        <w:rFonts w:ascii="SimSun" w:hAnsi="SimSun" w:eastAsia="SimSun" w:cs="SimSun"/>
                        <w:sz w:val="18"/>
                        <w:szCs w:val="18"/>
                        <w:spacing w:val="-11"/>
                      </w:rPr>
                      <w:t>战略</w:t>
                    </w:r>
                  </w:p>
                  <w:p>
                    <w:pPr>
                      <w:spacing w:line="304" w:lineRule="auto"/>
                      <w:rPr>
                        <w:rFonts w:ascii="Arial"/>
                        <w:sz w:val="21"/>
                      </w:rPr>
                    </w:pPr>
                    <w:r/>
                  </w:p>
                  <w:p>
                    <w:pPr>
                      <w:ind w:left="370"/>
                      <w:spacing w:before="58" w:line="195" w:lineRule="auto"/>
                      <w:rPr>
                        <w:rFonts w:ascii="SimSun" w:hAnsi="SimSun" w:eastAsia="SimSun" w:cs="SimSun"/>
                        <w:sz w:val="18"/>
                        <w:szCs w:val="18"/>
                      </w:rPr>
                    </w:pPr>
                    <w:r>
                      <w:rPr>
                        <w:rFonts w:ascii="SimSun" w:hAnsi="SimSun" w:eastAsia="SimSun" w:cs="SimSun"/>
                        <w:sz w:val="18"/>
                        <w:szCs w:val="18"/>
                        <w:spacing w:val="-14"/>
                        <w:w w:val="93"/>
                      </w:rPr>
                      <w:t>大数据服务创新</w:t>
                    </w:r>
                  </w:p>
                  <w:p>
                    <w:pPr>
                      <w:ind w:left="2000" w:right="25"/>
                      <w:spacing w:before="1" w:line="174" w:lineRule="auto"/>
                      <w:rPr>
                        <w:rFonts w:ascii="SimSun" w:hAnsi="SimSun" w:eastAsia="SimSun" w:cs="SimSun"/>
                        <w:sz w:val="18"/>
                        <w:szCs w:val="18"/>
                      </w:rPr>
                    </w:pPr>
                    <w:r>
                      <w:rPr>
                        <w:rFonts w:ascii="SimSun" w:hAnsi="SimSun" w:eastAsia="SimSun" w:cs="SimSun"/>
                        <w:sz w:val="18"/>
                        <w:szCs w:val="18"/>
                        <w:spacing w:val="-15"/>
                        <w:w w:val="96"/>
                      </w:rPr>
                      <w:t>大数</w:t>
                    </w:r>
                    <w:r>
                      <w:rPr>
                        <w:rFonts w:ascii="SimSun" w:hAnsi="SimSun" w:eastAsia="SimSun" w:cs="SimSun"/>
                        <w:sz w:val="18"/>
                        <w:szCs w:val="18"/>
                      </w:rPr>
                      <w:t xml:space="preserve"> </w:t>
                    </w:r>
                    <w:r>
                      <w:rPr>
                        <w:rFonts w:ascii="SimSun" w:hAnsi="SimSun" w:eastAsia="SimSun" w:cs="SimSun"/>
                        <w:sz w:val="18"/>
                        <w:szCs w:val="18"/>
                        <w:spacing w:val="-16"/>
                        <w:w w:val="97"/>
                      </w:rPr>
                      <w:t>据安</w:t>
                    </w:r>
                  </w:p>
                  <w:p>
                    <w:pPr>
                      <w:ind w:left="370"/>
                      <w:spacing w:line="209" w:lineRule="auto"/>
                      <w:rPr>
                        <w:rFonts w:ascii="SimSun" w:hAnsi="SimSun" w:eastAsia="SimSun" w:cs="SimSun"/>
                        <w:sz w:val="18"/>
                        <w:szCs w:val="18"/>
                      </w:rPr>
                    </w:pPr>
                    <w:r>
                      <w:rPr>
                        <w:rFonts w:ascii="SimSun" w:hAnsi="SimSun" w:eastAsia="SimSun" w:cs="SimSun"/>
                        <w:sz w:val="18"/>
                        <w:szCs w:val="18"/>
                        <w:spacing w:val="-14"/>
                        <w:w w:val="94"/>
                      </w:rPr>
                      <w:t>大数据生命周期</w:t>
                    </w:r>
                  </w:p>
                  <w:p>
                    <w:pPr>
                      <w:ind w:left="490"/>
                      <w:spacing w:before="286" w:line="185" w:lineRule="auto"/>
                      <w:rPr>
                        <w:rFonts w:ascii="SimSun" w:hAnsi="SimSun" w:eastAsia="SimSun" w:cs="SimSun"/>
                        <w:sz w:val="18"/>
                        <w:szCs w:val="18"/>
                      </w:rPr>
                    </w:pPr>
                    <w:r>
                      <w:rPr>
                        <w:rFonts w:ascii="SimSun" w:hAnsi="SimSun" w:eastAsia="SimSun" w:cs="SimSun"/>
                        <w:sz w:val="18"/>
                        <w:szCs w:val="18"/>
                        <w:spacing w:val="-14"/>
                        <w:w w:val="94"/>
                      </w:rPr>
                      <w:t>大数据架构</w:t>
                    </w:r>
                  </w:p>
                  <w:p>
                    <w:pPr>
                      <w:ind w:left="200"/>
                      <w:spacing w:before="1" w:line="194" w:lineRule="auto"/>
                      <w:rPr>
                        <w:rFonts w:ascii="SimSun" w:hAnsi="SimSun" w:eastAsia="SimSun" w:cs="SimSun"/>
                        <w:sz w:val="18"/>
                        <w:szCs w:val="18"/>
                      </w:rPr>
                    </w:pPr>
                    <w:r>
                      <w:rPr>
                        <w:rFonts w:ascii="SimSun" w:hAnsi="SimSun" w:eastAsia="SimSun" w:cs="SimSun"/>
                        <w:sz w:val="18"/>
                        <w:szCs w:val="18"/>
                        <w:spacing w:val="-17"/>
                      </w:rPr>
                      <w:t>大数据存储 元数据</w:t>
                    </w:r>
                  </w:p>
                  <w:p>
                    <w:pPr>
                      <w:ind w:left="249"/>
                      <w:spacing w:line="219" w:lineRule="auto"/>
                      <w:rPr>
                        <w:rFonts w:ascii="SimSun" w:hAnsi="SimSun" w:eastAsia="SimSun" w:cs="SimSun"/>
                        <w:sz w:val="18"/>
                        <w:szCs w:val="18"/>
                      </w:rPr>
                    </w:pPr>
                    <w:r>
                      <w:rPr>
                        <w:rFonts w:ascii="SimSun" w:hAnsi="SimSun" w:eastAsia="SimSun" w:cs="SimSun"/>
                        <w:sz w:val="18"/>
                        <w:szCs w:val="18"/>
                        <w:spacing w:val="-14"/>
                      </w:rPr>
                      <w:t>主数据 数据仓库</w:t>
                    </w:r>
                  </w:p>
                </w:txbxContent>
              </v:textbox>
            </v:shape>
            <v:shape id="_x0000_s192" style="position:absolute;left:3670;top:1349;width:930;height:1040;" filled="false" stroked="false" type="#_x0000_t75">
              <v:imagedata o:title="" r:id="rId79"/>
            </v:shape>
            <v:shape id="_x0000_s194" style="position:absolute;left:3700;top:709;width:800;height:640;" filled="false" stroked="false" type="#_x0000_t75">
              <v:imagedata o:title="" r:id="rId80"/>
            </v:shape>
            <v:shape id="_x0000_s196" style="position:absolute;left:3710;top:2390;width:770;height:610;" filled="false" stroked="false" type="#_x0000_t75">
              <v:imagedata o:title="" r:id="rId81"/>
            </v:shape>
            <v:shape id="_x0000_s198" style="position:absolute;left:2720;top:3049;width:430;height:810;" filled="false" stroked="false" type="#_x0000_t75">
              <v:imagedata o:title="" r:id="rId82"/>
            </v:shape>
            <v:shape id="_x0000_s200" style="position:absolute;left:333;top:2782;width:202;height:96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5"/>
                      </w:rPr>
                      <w:t>大数据质量</w:t>
                    </w:r>
                  </w:p>
                </w:txbxContent>
              </v:textbox>
            </v:shape>
            <v:shape id="_x0000_s202" style="position:absolute;left:2450;top:1097;width:679;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6"/>
                        <w:w w:val="96"/>
                      </w:rPr>
                      <w:t>绩</w:t>
                    </w:r>
                    <w:r>
                      <w:rPr>
                        <w:rFonts w:ascii="SimSun" w:hAnsi="SimSun" w:eastAsia="SimSun" w:cs="SimSun"/>
                        <w:sz w:val="18"/>
                        <w:szCs w:val="18"/>
                        <w:spacing w:val="-15"/>
                        <w:w w:val="96"/>
                      </w:rPr>
                      <w:t>效提</w:t>
                    </w:r>
                    <w:r>
                      <w:rPr>
                        <w:rFonts w:ascii="SimSun" w:hAnsi="SimSun" w:eastAsia="SimSun" w:cs="SimSun"/>
                        <w:sz w:val="18"/>
                        <w:szCs w:val="18"/>
                        <w:spacing w:val="-10"/>
                        <w:w w:val="96"/>
                      </w:rPr>
                      <w:t>升</w:t>
                    </w:r>
                  </w:p>
                </w:txbxContent>
              </v:textbox>
            </v:shape>
            <v:shape id="_x0000_s204" style="position:absolute;left:3000;top:627;width:666;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5"/>
                        <w:w w:val="94"/>
                      </w:rPr>
                      <w:t>风险</w:t>
                    </w:r>
                    <w:r>
                      <w:rPr>
                        <w:rFonts w:ascii="SimSun" w:hAnsi="SimSun" w:eastAsia="SimSun" w:cs="SimSun"/>
                        <w:sz w:val="18"/>
                        <w:szCs w:val="18"/>
                        <w:spacing w:val="-14"/>
                        <w:w w:val="94"/>
                      </w:rPr>
                      <w:t>可</w:t>
                    </w:r>
                    <w:r>
                      <w:rPr>
                        <w:rFonts w:ascii="SimSun" w:hAnsi="SimSun" w:eastAsia="SimSun" w:cs="SimSun"/>
                        <w:sz w:val="18"/>
                        <w:szCs w:val="18"/>
                        <w:spacing w:val="-8"/>
                        <w:w w:val="94"/>
                      </w:rPr>
                      <w:t>控</w:t>
                    </w:r>
                  </w:p>
                </w:txbxContent>
              </v:textbox>
            </v:shape>
            <v:shape id="_x0000_s206" style="position:absolute;left:3930;top:2999;width:340;height:290;" filled="false" stroked="false" type="#_x0000_t75">
              <v:imagedata o:title="" r:id="rId83"/>
            </v:shape>
            <v:shape id="_x0000_s208" style="position:absolute;left:2260;top:1891;width:370;height:220;"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8"/>
                        <w:szCs w:val="18"/>
                      </w:rPr>
                    </w:pPr>
                    <w:r>
                      <w:rPr>
                        <w:rFonts w:ascii="SimSun" w:hAnsi="SimSun" w:eastAsia="SimSun" w:cs="SimSun"/>
                        <w:sz w:val="18"/>
                        <w:szCs w:val="18"/>
                        <w:spacing w:val="-8"/>
                      </w:rPr>
                      <w:t>组织</w:t>
                    </w:r>
                  </w:p>
                </w:txbxContent>
              </v:textbox>
            </v:shape>
          </v:group>
        </w:pict>
      </w:r>
    </w:p>
    <w:p>
      <w:pPr>
        <w:ind w:left="1762"/>
        <w:spacing w:before="153" w:line="222" w:lineRule="auto"/>
        <w:rPr>
          <w:rFonts w:ascii="SimHei" w:hAnsi="SimHei" w:eastAsia="SimHei" w:cs="SimHei"/>
          <w:sz w:val="18"/>
          <w:szCs w:val="18"/>
        </w:rPr>
      </w:pPr>
      <w:r>
        <w:rPr>
          <w:rFonts w:ascii="SimHei" w:hAnsi="SimHei" w:eastAsia="SimHei" w:cs="SimHei"/>
          <w:sz w:val="18"/>
          <w:szCs w:val="18"/>
          <w:b/>
          <w:bCs/>
        </w:rPr>
        <w:t>图1-14</w:t>
      </w:r>
      <w:r>
        <w:rPr>
          <w:rFonts w:ascii="SimHei" w:hAnsi="SimHei" w:eastAsia="SimHei" w:cs="SimHei"/>
          <w:sz w:val="18"/>
          <w:szCs w:val="18"/>
          <w:spacing w:val="5"/>
        </w:rPr>
        <w:t xml:space="preserve">  </w:t>
      </w:r>
      <w:r>
        <w:rPr>
          <w:rFonts w:ascii="SimHei" w:hAnsi="SimHei" w:eastAsia="SimHei" w:cs="SimHei"/>
          <w:sz w:val="18"/>
          <w:szCs w:val="18"/>
          <w:b/>
          <w:bCs/>
        </w:rPr>
        <w:t>中国数据治理标准研究团队提出的大数据治理框架</w:t>
      </w:r>
    </w:p>
    <w:p>
      <w:pPr>
        <w:ind w:left="259" w:right="4" w:firstLine="470"/>
        <w:spacing w:before="256" w:line="272" w:lineRule="auto"/>
        <w:jc w:val="both"/>
        <w:rPr>
          <w:rFonts w:ascii="SimSun" w:hAnsi="SimSun" w:eastAsia="SimSun" w:cs="SimSun"/>
          <w:sz w:val="18"/>
          <w:szCs w:val="18"/>
        </w:rPr>
      </w:pPr>
      <w:r>
        <w:rPr>
          <w:rFonts w:ascii="SimSun" w:hAnsi="SimSun" w:eastAsia="SimSun" w:cs="SimSun"/>
          <w:sz w:val="18"/>
          <w:szCs w:val="18"/>
          <w:spacing w:val="28"/>
        </w:rPr>
        <w:t>该模型给出了大数据治理的四个指导性原则，包括：战略</w:t>
      </w:r>
      <w:r>
        <w:rPr>
          <w:rFonts w:ascii="SimSun" w:hAnsi="SimSun" w:eastAsia="SimSun" w:cs="SimSun"/>
          <w:sz w:val="18"/>
          <w:szCs w:val="18"/>
          <w:spacing w:val="-36"/>
        </w:rPr>
        <w:t xml:space="preserve"> </w:t>
      </w:r>
      <w:r>
        <w:rPr>
          <w:rFonts w:ascii="SimSun" w:hAnsi="SimSun" w:eastAsia="SimSun" w:cs="SimSun"/>
          <w:sz w:val="18"/>
          <w:szCs w:val="18"/>
          <w:spacing w:val="28"/>
        </w:rPr>
        <w:t>一</w:t>
      </w:r>
      <w:r>
        <w:rPr>
          <w:rFonts w:ascii="SimSun" w:hAnsi="SimSun" w:eastAsia="SimSun" w:cs="SimSun"/>
          <w:sz w:val="18"/>
          <w:szCs w:val="18"/>
          <w:spacing w:val="-51"/>
        </w:rPr>
        <w:t xml:space="preserve"> </w:t>
      </w:r>
      <w:r>
        <w:rPr>
          <w:rFonts w:ascii="SimSun" w:hAnsi="SimSun" w:eastAsia="SimSun" w:cs="SimSun"/>
          <w:sz w:val="18"/>
          <w:szCs w:val="18"/>
          <w:spacing w:val="28"/>
        </w:rPr>
        <w:t>致、风险可控、运</w:t>
      </w:r>
      <w:r>
        <w:rPr>
          <w:rFonts w:ascii="SimSun" w:hAnsi="SimSun" w:eastAsia="SimSun" w:cs="SimSun"/>
          <w:sz w:val="18"/>
          <w:szCs w:val="18"/>
        </w:rPr>
        <w:t xml:space="preserve"> </w:t>
      </w:r>
      <w:r>
        <w:rPr>
          <w:rFonts w:ascii="SimSun" w:hAnsi="SimSun" w:eastAsia="SimSun" w:cs="SimSun"/>
          <w:sz w:val="22"/>
          <w:szCs w:val="22"/>
          <w:spacing w:val="-9"/>
        </w:rPr>
        <w:t>营合规和绩效提升。战略一致是指大数据战略应与组织的整体战略保持一致，风险</w:t>
      </w:r>
      <w:r>
        <w:rPr>
          <w:rFonts w:ascii="SimSun" w:hAnsi="SimSun" w:eastAsia="SimSun" w:cs="SimSun"/>
          <w:sz w:val="22"/>
          <w:szCs w:val="22"/>
          <w:spacing w:val="12"/>
        </w:rPr>
        <w:t xml:space="preserve"> </w:t>
      </w:r>
      <w:r>
        <w:rPr>
          <w:rFonts w:ascii="SimSun" w:hAnsi="SimSun" w:eastAsia="SimSun" w:cs="SimSun"/>
          <w:sz w:val="18"/>
          <w:szCs w:val="18"/>
          <w:spacing w:val="31"/>
        </w:rPr>
        <w:t>可控是指在大数据治理过程中注意数据的安全和隐私问题，运营合规是指大数据治</w:t>
      </w:r>
    </w:p>
    <w:p>
      <w:pPr>
        <w:spacing w:line="272" w:lineRule="auto"/>
        <w:sectPr>
          <w:footerReference w:type="default" r:id="rId76"/>
          <w:pgSz w:w="8870" w:h="13400"/>
          <w:pgMar w:top="400" w:right="649" w:bottom="466" w:left="320" w:header="0" w:footer="287" w:gutter="0"/>
        </w:sectPr>
        <w:rPr>
          <w:rFonts w:ascii="SimSun" w:hAnsi="SimSun" w:eastAsia="SimSun" w:cs="SimSun"/>
          <w:sz w:val="18"/>
          <w:szCs w:val="18"/>
        </w:rPr>
      </w:pPr>
    </w:p>
    <w:p>
      <w:pPr>
        <w:ind w:left="5503"/>
        <w:spacing w:before="194" w:line="219" w:lineRule="auto"/>
        <w:rPr>
          <w:rFonts w:ascii="SimSun" w:hAnsi="SimSun" w:eastAsia="SimSun" w:cs="SimSun"/>
          <w:sz w:val="22"/>
          <w:szCs w:val="22"/>
        </w:rPr>
      </w:pPr>
      <w:r>
        <w:rPr>
          <w:rFonts w:ascii="SimSun" w:hAnsi="SimSun" w:eastAsia="SimSun" w:cs="SimSun"/>
          <w:sz w:val="22"/>
          <w:szCs w:val="22"/>
          <w:b/>
          <w:bCs/>
          <w:spacing w:val="7"/>
        </w:rPr>
        <w:t>第1章</w:t>
      </w:r>
      <w:r>
        <w:rPr>
          <w:rFonts w:ascii="SimSun" w:hAnsi="SimSun" w:eastAsia="SimSun" w:cs="SimSun"/>
          <w:sz w:val="22"/>
          <w:szCs w:val="22"/>
          <w:spacing w:val="107"/>
        </w:rPr>
        <w:t xml:space="preserve"> </w:t>
      </w:r>
      <w:r>
        <w:rPr>
          <w:rFonts w:ascii="SimSun" w:hAnsi="SimSun" w:eastAsia="SimSun" w:cs="SimSun"/>
          <w:sz w:val="22"/>
          <w:szCs w:val="22"/>
          <w:b/>
          <w:bCs/>
          <w:spacing w:val="7"/>
        </w:rPr>
        <w:t>数据治理概述</w:t>
      </w:r>
    </w:p>
    <w:p>
      <w:pPr>
        <w:ind w:right="288"/>
        <w:spacing w:before="303" w:line="243" w:lineRule="auto"/>
        <w:rPr>
          <w:rFonts w:ascii="SimSun" w:hAnsi="SimSun" w:eastAsia="SimSun" w:cs="SimSun"/>
          <w:sz w:val="22"/>
          <w:szCs w:val="22"/>
        </w:rPr>
      </w:pPr>
      <w:r>
        <w:rPr>
          <w:rFonts w:ascii="SimSun" w:hAnsi="SimSun" w:eastAsia="SimSun" w:cs="SimSun"/>
          <w:sz w:val="22"/>
          <w:szCs w:val="22"/>
          <w:spacing w:val="-8"/>
        </w:rPr>
        <w:t>理活动应符合国内外法律法规和行业规范，最后绩效提升体现数据治理的主要目的</w:t>
      </w:r>
      <w:r>
        <w:rPr>
          <w:rFonts w:ascii="SimSun" w:hAnsi="SimSun" w:eastAsia="SimSun" w:cs="SimSun"/>
          <w:sz w:val="22"/>
          <w:szCs w:val="22"/>
          <w:spacing w:val="3"/>
        </w:rPr>
        <w:t xml:space="preserve"> </w:t>
      </w:r>
      <w:r>
        <w:rPr>
          <w:rFonts w:ascii="SimSun" w:hAnsi="SimSun" w:eastAsia="SimSun" w:cs="SimSun"/>
          <w:sz w:val="22"/>
          <w:szCs w:val="22"/>
          <w:spacing w:val="-11"/>
        </w:rPr>
        <w:t>是提供高质量的大数据服务。</w:t>
      </w:r>
    </w:p>
    <w:p>
      <w:pPr>
        <w:ind w:right="287" w:firstLine="430"/>
        <w:spacing w:before="59"/>
        <w:rPr>
          <w:rFonts w:ascii="SimSun" w:hAnsi="SimSun" w:eastAsia="SimSun" w:cs="SimSun"/>
          <w:sz w:val="22"/>
          <w:szCs w:val="22"/>
        </w:rPr>
      </w:pPr>
      <w:r>
        <w:rPr>
          <w:rFonts w:ascii="SimSun" w:hAnsi="SimSun" w:eastAsia="SimSun" w:cs="SimSun"/>
          <w:sz w:val="22"/>
          <w:szCs w:val="22"/>
          <w:spacing w:val="-8"/>
        </w:rPr>
        <w:t>大数据治理范围共包括七个关键域：战略、组织、大数据质量、大数据安</w:t>
      </w:r>
      <w:r>
        <w:rPr>
          <w:rFonts w:ascii="SimSun" w:hAnsi="SimSun" w:eastAsia="SimSun" w:cs="SimSun"/>
          <w:sz w:val="22"/>
          <w:szCs w:val="22"/>
          <w:spacing w:val="-9"/>
        </w:rPr>
        <w:t>全与</w:t>
      </w:r>
      <w:r>
        <w:rPr>
          <w:rFonts w:ascii="SimSun" w:hAnsi="SimSun" w:eastAsia="SimSun" w:cs="SimSun"/>
          <w:sz w:val="22"/>
          <w:szCs w:val="22"/>
        </w:rPr>
        <w:t xml:space="preserve"> </w:t>
      </w:r>
      <w:r>
        <w:rPr>
          <w:rFonts w:ascii="SimSun" w:hAnsi="SimSun" w:eastAsia="SimSun" w:cs="SimSun"/>
          <w:sz w:val="22"/>
          <w:szCs w:val="22"/>
          <w:spacing w:val="-10"/>
        </w:rPr>
        <w:t>隐私及合规、大数据服务创新、大数据生命周期、大数据架构。</w:t>
      </w:r>
    </w:p>
    <w:p>
      <w:pPr>
        <w:ind w:right="275" w:firstLine="430"/>
        <w:spacing w:before="47" w:line="243" w:lineRule="auto"/>
        <w:rPr>
          <w:rFonts w:ascii="SimSun" w:hAnsi="SimSun" w:eastAsia="SimSun" w:cs="SimSun"/>
          <w:sz w:val="22"/>
          <w:szCs w:val="22"/>
        </w:rPr>
      </w:pPr>
      <w:r>
        <w:rPr>
          <w:rFonts w:ascii="SimSun" w:hAnsi="SimSun" w:eastAsia="SimSun" w:cs="SimSun"/>
          <w:sz w:val="22"/>
          <w:szCs w:val="22"/>
          <w:spacing w:val="-1"/>
        </w:rPr>
        <w:t>大数据治理的实施与评估描述了大数据治理实施和评估过</w:t>
      </w:r>
      <w:r>
        <w:rPr>
          <w:rFonts w:ascii="SimSun" w:hAnsi="SimSun" w:eastAsia="SimSun" w:cs="SimSun"/>
          <w:sz w:val="22"/>
          <w:szCs w:val="22"/>
          <w:spacing w:val="-2"/>
        </w:rPr>
        <w:t>程中需要关注的内</w:t>
      </w:r>
      <w:r>
        <w:rPr>
          <w:rFonts w:ascii="SimSun" w:hAnsi="SimSun" w:eastAsia="SimSun" w:cs="SimSun"/>
          <w:sz w:val="22"/>
          <w:szCs w:val="22"/>
        </w:rPr>
        <w:t xml:space="preserve"> </w:t>
      </w:r>
      <w:r>
        <w:rPr>
          <w:rFonts w:ascii="SimSun" w:hAnsi="SimSun" w:eastAsia="SimSun" w:cs="SimSun"/>
          <w:sz w:val="22"/>
          <w:szCs w:val="22"/>
          <w:spacing w:val="-10"/>
        </w:rPr>
        <w:t>容，包括促成因素、实施生命周期、成熟度评估和审计四个方面。</w:t>
      </w:r>
    </w:p>
    <w:p>
      <w:pPr>
        <w:pStyle w:val="BodyText"/>
        <w:spacing w:line="399" w:lineRule="auto"/>
        <w:rPr/>
      </w:pPr>
      <w:r/>
    </w:p>
    <w:p>
      <w:pPr>
        <w:ind w:left="4"/>
        <w:spacing w:before="108" w:line="221" w:lineRule="auto"/>
        <w:outlineLvl w:val="0"/>
        <w:rPr>
          <w:rFonts w:ascii="SimHei" w:hAnsi="SimHei" w:eastAsia="SimHei" w:cs="SimHei"/>
          <w:sz w:val="33"/>
          <w:szCs w:val="33"/>
        </w:rPr>
      </w:pPr>
      <w:r>
        <w:rPr>
          <w:rFonts w:ascii="SimHei" w:hAnsi="SimHei" w:eastAsia="SimHei" w:cs="SimHei"/>
          <w:sz w:val="33"/>
          <w:szCs w:val="33"/>
          <w:b/>
          <w:bCs/>
          <w:spacing w:val="-11"/>
        </w:rPr>
        <w:t>1.3</w:t>
      </w:r>
      <w:r>
        <w:rPr>
          <w:rFonts w:ascii="SimHei" w:hAnsi="SimHei" w:eastAsia="SimHei" w:cs="SimHei"/>
          <w:sz w:val="33"/>
          <w:szCs w:val="33"/>
          <w:spacing w:val="162"/>
        </w:rPr>
        <w:t xml:space="preserve"> </w:t>
      </w:r>
      <w:r>
        <w:rPr>
          <w:rFonts w:ascii="SimHei" w:hAnsi="SimHei" w:eastAsia="SimHei" w:cs="SimHei"/>
          <w:sz w:val="33"/>
          <w:szCs w:val="33"/>
          <w:b/>
          <w:bCs/>
          <w:spacing w:val="-11"/>
        </w:rPr>
        <w:t>数据引发的典型事件及原因归类</w:t>
      </w:r>
    </w:p>
    <w:p>
      <w:pPr>
        <w:pStyle w:val="BodyText"/>
        <w:spacing w:line="257" w:lineRule="auto"/>
        <w:rPr/>
      </w:pPr>
      <w:r/>
    </w:p>
    <w:p>
      <w:pPr>
        <w:ind w:left="3"/>
        <w:spacing w:before="95" w:line="221" w:lineRule="auto"/>
        <w:outlineLvl w:val="0"/>
        <w:rPr>
          <w:rFonts w:ascii="YouYuan" w:hAnsi="YouYuan" w:eastAsia="YouYuan" w:cs="YouYuan"/>
          <w:sz w:val="29"/>
          <w:szCs w:val="29"/>
        </w:rPr>
      </w:pPr>
      <w:r>
        <w:rPr>
          <w:rFonts w:ascii="YouYuan" w:hAnsi="YouYuan" w:eastAsia="YouYuan" w:cs="YouYuan"/>
          <w:sz w:val="29"/>
          <w:szCs w:val="29"/>
          <w:b/>
          <w:bCs/>
          <w:spacing w:val="-11"/>
        </w:rPr>
        <w:t>1.3.1</w:t>
      </w:r>
      <w:r>
        <w:rPr>
          <w:rFonts w:ascii="YouYuan" w:hAnsi="YouYuan" w:eastAsia="YouYuan" w:cs="YouYuan"/>
          <w:sz w:val="29"/>
          <w:szCs w:val="29"/>
          <w:spacing w:val="-11"/>
        </w:rPr>
        <w:t xml:space="preserve">  </w:t>
      </w:r>
      <w:r>
        <w:rPr>
          <w:rFonts w:ascii="YouYuan" w:hAnsi="YouYuan" w:eastAsia="YouYuan" w:cs="YouYuan"/>
          <w:sz w:val="29"/>
          <w:szCs w:val="29"/>
          <w:b/>
          <w:bCs/>
          <w:spacing w:val="-11"/>
        </w:rPr>
        <w:t>数据引发的典型事件</w:t>
      </w:r>
    </w:p>
    <w:p>
      <w:pPr>
        <w:pStyle w:val="BodyText"/>
        <w:spacing w:line="249" w:lineRule="auto"/>
        <w:rPr/>
      </w:pPr>
      <w:r/>
    </w:p>
    <w:p>
      <w:pPr>
        <w:ind w:left="433"/>
        <w:spacing w:before="71" w:line="221" w:lineRule="auto"/>
        <w:outlineLvl w:val="1"/>
        <w:rPr>
          <w:rFonts w:ascii="SimHei" w:hAnsi="SimHei" w:eastAsia="SimHei" w:cs="SimHei"/>
          <w:sz w:val="22"/>
          <w:szCs w:val="22"/>
        </w:rPr>
      </w:pPr>
      <w:r>
        <w:rPr>
          <w:rFonts w:ascii="SimHei" w:hAnsi="SimHei" w:eastAsia="SimHei" w:cs="SimHei"/>
          <w:sz w:val="22"/>
          <w:szCs w:val="22"/>
          <w:b/>
          <w:bCs/>
          <w:spacing w:val="-3"/>
        </w:rPr>
        <w:t>1.</w:t>
      </w:r>
      <w:r>
        <w:rPr>
          <w:rFonts w:ascii="SimHei" w:hAnsi="SimHei" w:eastAsia="SimHei" w:cs="SimHei"/>
          <w:sz w:val="22"/>
          <w:szCs w:val="22"/>
          <w:spacing w:val="-47"/>
        </w:rPr>
        <w:t xml:space="preserve"> </w:t>
      </w:r>
      <w:r>
        <w:rPr>
          <w:rFonts w:ascii="SimHei" w:hAnsi="SimHei" w:eastAsia="SimHei" w:cs="SimHei"/>
          <w:sz w:val="22"/>
          <w:szCs w:val="22"/>
          <w:b/>
          <w:bCs/>
          <w:spacing w:val="-3"/>
        </w:rPr>
        <w:t>“5·28携程网瘫痪”事件</w:t>
      </w:r>
    </w:p>
    <w:p>
      <w:pPr>
        <w:ind w:right="284" w:firstLine="430"/>
        <w:spacing w:before="224" w:line="254" w:lineRule="auto"/>
        <w:rPr>
          <w:rFonts w:ascii="SimSun" w:hAnsi="SimSun" w:eastAsia="SimSun" w:cs="SimSun"/>
          <w:sz w:val="22"/>
          <w:szCs w:val="22"/>
        </w:rPr>
      </w:pPr>
      <w:r>
        <w:rPr>
          <w:rFonts w:ascii="SimSun" w:hAnsi="SimSun" w:eastAsia="SimSun" w:cs="SimSun"/>
          <w:sz w:val="22"/>
          <w:szCs w:val="22"/>
          <w:spacing w:val="1"/>
        </w:rPr>
        <w:t>2015年5月28日11时许，携程网官网出现大面积瘫痪，网页版和手机</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APP</w:t>
      </w:r>
      <w:r>
        <w:rPr>
          <w:rFonts w:ascii="SimSun" w:hAnsi="SimSun" w:eastAsia="SimSun" w:cs="SimSun"/>
          <w:sz w:val="22"/>
          <w:szCs w:val="22"/>
          <w:spacing w:val="1"/>
        </w:rPr>
        <w:t>均</w:t>
      </w:r>
      <w:r>
        <w:rPr>
          <w:rFonts w:ascii="SimSun" w:hAnsi="SimSun" w:eastAsia="SimSun" w:cs="SimSun"/>
          <w:sz w:val="22"/>
          <w:szCs w:val="22"/>
        </w:rPr>
        <w:t xml:space="preserve"> </w:t>
      </w:r>
      <w:r>
        <w:rPr>
          <w:rFonts w:ascii="SimSun" w:hAnsi="SimSun" w:eastAsia="SimSun" w:cs="SimSun"/>
          <w:sz w:val="22"/>
          <w:szCs w:val="22"/>
          <w:spacing w:val="-7"/>
        </w:rPr>
        <w:t>不能正常使用5</w:t>
      </w:r>
      <w:r>
        <w:rPr>
          <w:rFonts w:ascii="Times New Roman" w:hAnsi="Times New Roman" w:eastAsia="Times New Roman" w:cs="Times New Roman"/>
          <w:sz w:val="22"/>
          <w:szCs w:val="22"/>
          <w:spacing w:val="-7"/>
        </w:rPr>
        <w:t>I</w:t>
      </w:r>
      <w:r>
        <w:rPr>
          <w:rFonts w:ascii="SimSun" w:hAnsi="SimSun" w:eastAsia="SimSun" w:cs="SimSun"/>
          <w:sz w:val="22"/>
          <w:szCs w:val="22"/>
          <w:spacing w:val="-7"/>
        </w:rPr>
        <w:t>。据了解，点击进入携程网，页面显示“404报错”,虽然点击“返</w:t>
      </w:r>
      <w:r>
        <w:rPr>
          <w:rFonts w:ascii="SimSun" w:hAnsi="SimSun" w:eastAsia="SimSun" w:cs="SimSun"/>
          <w:sz w:val="22"/>
          <w:szCs w:val="22"/>
          <w:spacing w:val="16"/>
        </w:rPr>
        <w:t xml:space="preserve"> </w:t>
      </w:r>
      <w:r>
        <w:rPr>
          <w:rFonts w:ascii="SimSun" w:hAnsi="SimSun" w:eastAsia="SimSun" w:cs="SimSun"/>
          <w:sz w:val="22"/>
          <w:szCs w:val="22"/>
          <w:spacing w:val="-9"/>
        </w:rPr>
        <w:t>回首页”后依然可以进入携程网，但其功能和其他链接均无法使用。事件发生后，</w:t>
      </w:r>
      <w:r>
        <w:rPr>
          <w:rFonts w:ascii="SimSun" w:hAnsi="SimSun" w:eastAsia="SimSun" w:cs="SimSun"/>
          <w:sz w:val="22"/>
          <w:szCs w:val="22"/>
          <w:spacing w:val="2"/>
        </w:rPr>
        <w:t xml:space="preserve"> </w:t>
      </w:r>
      <w:r>
        <w:rPr>
          <w:rFonts w:ascii="SimSun" w:hAnsi="SimSun" w:eastAsia="SimSun" w:cs="SimSun"/>
          <w:sz w:val="22"/>
          <w:szCs w:val="22"/>
          <w:spacing w:val="-8"/>
        </w:rPr>
        <w:t>有传闻称，携程官方网站及</w:t>
      </w:r>
      <w:r>
        <w:rPr>
          <w:rFonts w:ascii="Times New Roman" w:hAnsi="Times New Roman" w:eastAsia="Times New Roman" w:cs="Times New Roman"/>
          <w:sz w:val="22"/>
          <w:szCs w:val="22"/>
          <w:spacing w:val="-8"/>
        </w:rPr>
        <w:t>APP </w:t>
      </w:r>
      <w:r>
        <w:rPr>
          <w:rFonts w:ascii="SimSun" w:hAnsi="SimSun" w:eastAsia="SimSun" w:cs="SimSun"/>
          <w:sz w:val="22"/>
          <w:szCs w:val="22"/>
          <w:spacing w:val="-8"/>
        </w:rPr>
        <w:t>遭数据库物理删除，数据全部</w:t>
      </w:r>
      <w:r>
        <w:rPr>
          <w:rFonts w:ascii="SimSun" w:hAnsi="SimSun" w:eastAsia="SimSun" w:cs="SimSun"/>
          <w:sz w:val="22"/>
          <w:szCs w:val="22"/>
          <w:spacing w:val="-9"/>
        </w:rPr>
        <w:t>丢失。虽然最后携程</w:t>
      </w:r>
      <w:r>
        <w:rPr>
          <w:rFonts w:ascii="SimSun" w:hAnsi="SimSun" w:eastAsia="SimSun" w:cs="SimSun"/>
          <w:sz w:val="22"/>
          <w:szCs w:val="22"/>
        </w:rPr>
        <w:t xml:space="preserve"> </w:t>
      </w:r>
      <w:r>
        <w:rPr>
          <w:rFonts w:ascii="SimSun" w:hAnsi="SimSun" w:eastAsia="SimSun" w:cs="SimSun"/>
          <w:sz w:val="22"/>
          <w:szCs w:val="22"/>
          <w:spacing w:val="-8"/>
        </w:rPr>
        <w:t>解释此次事件是由于员工错误操作，删除了生产服务器上的执行代码导致</w:t>
      </w:r>
      <w:r>
        <w:rPr>
          <w:rFonts w:ascii="SimSun" w:hAnsi="SimSun" w:eastAsia="SimSun" w:cs="SimSun"/>
          <w:sz w:val="22"/>
          <w:szCs w:val="22"/>
          <w:spacing w:val="-9"/>
        </w:rPr>
        <w:t>，并表示</w:t>
      </w:r>
      <w:r>
        <w:rPr>
          <w:rFonts w:ascii="SimSun" w:hAnsi="SimSun" w:eastAsia="SimSun" w:cs="SimSun"/>
          <w:sz w:val="22"/>
          <w:szCs w:val="22"/>
        </w:rPr>
        <w:t xml:space="preserve"> </w:t>
      </w:r>
      <w:r>
        <w:rPr>
          <w:rFonts w:ascii="SimSun" w:hAnsi="SimSun" w:eastAsia="SimSun" w:cs="SimSun"/>
          <w:sz w:val="22"/>
          <w:szCs w:val="22"/>
          <w:spacing w:val="-8"/>
        </w:rPr>
        <w:t>经过排查，携程数据没有丢失，预订数据也保存完整。但此事件还是给</w:t>
      </w:r>
      <w:r>
        <w:rPr>
          <w:rFonts w:ascii="SimSun" w:hAnsi="SimSun" w:eastAsia="SimSun" w:cs="SimSun"/>
          <w:sz w:val="22"/>
          <w:szCs w:val="22"/>
          <w:spacing w:val="-9"/>
        </w:rPr>
        <w:t>业界带来了</w:t>
      </w:r>
      <w:r>
        <w:rPr>
          <w:rFonts w:ascii="SimSun" w:hAnsi="SimSun" w:eastAsia="SimSun" w:cs="SimSun"/>
          <w:sz w:val="22"/>
          <w:szCs w:val="22"/>
        </w:rPr>
        <w:t xml:space="preserve"> </w:t>
      </w:r>
      <w:r>
        <w:rPr>
          <w:rFonts w:ascii="SimSun" w:hAnsi="SimSun" w:eastAsia="SimSun" w:cs="SimSun"/>
          <w:sz w:val="22"/>
          <w:szCs w:val="22"/>
          <w:spacing w:val="-10"/>
        </w:rPr>
        <w:t>很大的震撼，让人们再一次认识到数据容灾的重要性。</w:t>
      </w:r>
    </w:p>
    <w:p>
      <w:pPr>
        <w:ind w:right="295" w:firstLine="430"/>
        <w:spacing w:before="58" w:line="252" w:lineRule="auto"/>
        <w:rPr>
          <w:rFonts w:ascii="SimSun" w:hAnsi="SimSun" w:eastAsia="SimSun" w:cs="SimSun"/>
          <w:sz w:val="22"/>
          <w:szCs w:val="22"/>
        </w:rPr>
      </w:pPr>
      <w:r>
        <w:rPr>
          <w:rFonts w:ascii="SimSun" w:hAnsi="SimSun" w:eastAsia="SimSun" w:cs="SimSun"/>
          <w:sz w:val="22"/>
          <w:szCs w:val="22"/>
          <w:spacing w:val="-6"/>
        </w:rPr>
        <w:t>5·28携程网瘫痪事件是继网易“5·11</w:t>
      </w:r>
      <w:r>
        <w:rPr>
          <w:rFonts w:ascii="SimSun" w:hAnsi="SimSun" w:eastAsia="SimSun" w:cs="SimSun"/>
          <w:sz w:val="22"/>
          <w:szCs w:val="22"/>
          <w:spacing w:val="-54"/>
        </w:rPr>
        <w:t xml:space="preserve"> </w:t>
      </w:r>
      <w:r>
        <w:rPr>
          <w:rFonts w:ascii="SimSun" w:hAnsi="SimSun" w:eastAsia="SimSun" w:cs="SimSun"/>
          <w:sz w:val="22"/>
          <w:szCs w:val="22"/>
          <w:spacing w:val="-6"/>
        </w:rPr>
        <w:t>服务器瘫痪”和支付宝“5·27光纤被</w:t>
      </w:r>
      <w:r>
        <w:rPr>
          <w:rFonts w:ascii="SimSun" w:hAnsi="SimSun" w:eastAsia="SimSun" w:cs="SimSun"/>
          <w:sz w:val="22"/>
          <w:szCs w:val="22"/>
        </w:rPr>
        <w:t xml:space="preserve"> </w:t>
      </w:r>
      <w:r>
        <w:rPr>
          <w:rFonts w:ascii="SimSun" w:hAnsi="SimSun" w:eastAsia="SimSun" w:cs="SimSun"/>
          <w:sz w:val="22"/>
          <w:szCs w:val="22"/>
          <w:spacing w:val="-6"/>
        </w:rPr>
        <w:t>挖断”之后，2015年5月短短数天时间内连续发生的与数据相关的信息安全事件，</w:t>
      </w:r>
      <w:r>
        <w:rPr>
          <w:rFonts w:ascii="SimSun" w:hAnsi="SimSun" w:eastAsia="SimSun" w:cs="SimSun"/>
          <w:sz w:val="22"/>
          <w:szCs w:val="22"/>
          <w:spacing w:val="16"/>
        </w:rPr>
        <w:t xml:space="preserve"> </w:t>
      </w:r>
      <w:r>
        <w:rPr>
          <w:rFonts w:ascii="SimSun" w:hAnsi="SimSun" w:eastAsia="SimSun" w:cs="SimSun"/>
          <w:sz w:val="22"/>
          <w:szCs w:val="22"/>
          <w:spacing w:val="-6"/>
        </w:rPr>
        <w:t>充分暴露出了一些企业业务连续性保障能力不足，数据容灾能力不</w:t>
      </w:r>
      <w:r>
        <w:rPr>
          <w:rFonts w:ascii="SimSun" w:hAnsi="SimSun" w:eastAsia="SimSun" w:cs="SimSun"/>
          <w:sz w:val="22"/>
          <w:szCs w:val="22"/>
          <w:spacing w:val="-7"/>
        </w:rPr>
        <w:t>够0。</w:t>
      </w:r>
    </w:p>
    <w:p>
      <w:pPr>
        <w:ind w:left="433"/>
        <w:spacing w:before="177" w:line="222" w:lineRule="auto"/>
        <w:outlineLvl w:val="1"/>
        <w:rPr>
          <w:rFonts w:ascii="SimHei" w:hAnsi="SimHei" w:eastAsia="SimHei" w:cs="SimHei"/>
          <w:sz w:val="22"/>
          <w:szCs w:val="22"/>
        </w:rPr>
      </w:pPr>
      <w:r>
        <w:rPr>
          <w:rFonts w:ascii="SimHei" w:hAnsi="SimHei" w:eastAsia="SimHei" w:cs="SimHei"/>
          <w:sz w:val="22"/>
          <w:szCs w:val="22"/>
          <w:b/>
          <w:bCs/>
          <w:spacing w:val="-14"/>
        </w:rPr>
        <w:t>2.</w:t>
      </w:r>
      <w:r>
        <w:rPr>
          <w:rFonts w:ascii="SimHei" w:hAnsi="SimHei" w:eastAsia="SimHei" w:cs="SimHei"/>
          <w:sz w:val="22"/>
          <w:szCs w:val="22"/>
          <w:spacing w:val="23"/>
        </w:rPr>
        <w:t xml:space="preserve"> </w:t>
      </w:r>
      <w:r>
        <w:rPr>
          <w:rFonts w:ascii="SimHei" w:hAnsi="SimHei" w:eastAsia="SimHei" w:cs="SimHei"/>
          <w:sz w:val="22"/>
          <w:szCs w:val="22"/>
          <w:b/>
          <w:bCs/>
          <w:spacing w:val="-14"/>
        </w:rPr>
        <w:t>“徐玉玉”事件</w:t>
      </w:r>
    </w:p>
    <w:p>
      <w:pPr>
        <w:ind w:right="291" w:firstLine="430"/>
        <w:spacing w:before="214" w:line="255" w:lineRule="auto"/>
        <w:rPr>
          <w:rFonts w:ascii="SimSun" w:hAnsi="SimSun" w:eastAsia="SimSun" w:cs="SimSun"/>
          <w:sz w:val="22"/>
          <w:szCs w:val="22"/>
        </w:rPr>
      </w:pPr>
      <w:r>
        <w:rPr>
          <w:rFonts w:ascii="SimSun" w:hAnsi="SimSun" w:eastAsia="SimSun" w:cs="SimSun"/>
          <w:sz w:val="22"/>
          <w:szCs w:val="22"/>
        </w:rPr>
        <w:t>2016年8月21日，徐玉玉因被电信诈骗电话</w:t>
      </w:r>
      <w:r>
        <w:rPr>
          <w:rFonts w:ascii="SimSun" w:hAnsi="SimSun" w:eastAsia="SimSun" w:cs="SimSun"/>
          <w:sz w:val="22"/>
          <w:szCs w:val="22"/>
          <w:spacing w:val="-1"/>
        </w:rPr>
        <w:t>骗走上大学的9900</w:t>
      </w:r>
      <w:r>
        <w:rPr>
          <w:rFonts w:ascii="SimSun" w:hAnsi="SimSun" w:eastAsia="SimSun" w:cs="SimSun"/>
          <w:sz w:val="22"/>
          <w:szCs w:val="22"/>
          <w:spacing w:val="-42"/>
        </w:rPr>
        <w:t xml:space="preserve"> </w:t>
      </w:r>
      <w:r>
        <w:rPr>
          <w:rFonts w:ascii="SimSun" w:hAnsi="SimSun" w:eastAsia="SimSun" w:cs="SimSun"/>
          <w:sz w:val="22"/>
          <w:szCs w:val="22"/>
          <w:spacing w:val="-1"/>
        </w:rPr>
        <w:t>元费用，伤心</w:t>
      </w:r>
      <w:r>
        <w:rPr>
          <w:rFonts w:ascii="SimSun" w:hAnsi="SimSun" w:eastAsia="SimSun" w:cs="SimSun"/>
          <w:sz w:val="22"/>
          <w:szCs w:val="22"/>
        </w:rPr>
        <w:t xml:space="preserve"> </w:t>
      </w:r>
      <w:r>
        <w:rPr>
          <w:rFonts w:ascii="SimSun" w:hAnsi="SimSun" w:eastAsia="SimSun" w:cs="SimSun"/>
          <w:sz w:val="22"/>
          <w:szCs w:val="22"/>
          <w:spacing w:val="-5"/>
        </w:rPr>
        <w:t>欲绝，郁结于心，最终导致心脏骤停，不幸离世7]。该事件起因在于8月19日下午</w:t>
      </w:r>
      <w:r>
        <w:rPr>
          <w:rFonts w:ascii="SimSun" w:hAnsi="SimSun" w:eastAsia="SimSun" w:cs="SimSun"/>
          <w:sz w:val="22"/>
          <w:szCs w:val="22"/>
          <w:spacing w:val="10"/>
        </w:rPr>
        <w:t xml:space="preserve"> </w:t>
      </w:r>
      <w:r>
        <w:rPr>
          <w:rFonts w:ascii="SimSun" w:hAnsi="SimSun" w:eastAsia="SimSun" w:cs="SimSun"/>
          <w:sz w:val="22"/>
          <w:szCs w:val="22"/>
          <w:spacing w:val="-1"/>
        </w:rPr>
        <w:t>4点30分左右，徐玉玉接到了一通陌生电话，对方声称有一</w:t>
      </w:r>
      <w:r>
        <w:rPr>
          <w:rFonts w:ascii="SimSun" w:hAnsi="SimSun" w:eastAsia="SimSun" w:cs="SimSun"/>
          <w:sz w:val="22"/>
          <w:szCs w:val="22"/>
          <w:spacing w:val="-2"/>
        </w:rPr>
        <w:t>笔2600</w:t>
      </w:r>
      <w:r>
        <w:rPr>
          <w:rFonts w:ascii="SimSun" w:hAnsi="SimSun" w:eastAsia="SimSun" w:cs="SimSun"/>
          <w:sz w:val="22"/>
          <w:szCs w:val="22"/>
          <w:spacing w:val="-22"/>
        </w:rPr>
        <w:t xml:space="preserve"> </w:t>
      </w:r>
      <w:r>
        <w:rPr>
          <w:rFonts w:ascii="SimSun" w:hAnsi="SimSun" w:eastAsia="SimSun" w:cs="SimSun"/>
          <w:sz w:val="22"/>
          <w:szCs w:val="22"/>
          <w:spacing w:val="-2"/>
        </w:rPr>
        <w:t>元的助学金要</w:t>
      </w:r>
      <w:r>
        <w:rPr>
          <w:rFonts w:ascii="SimSun" w:hAnsi="SimSun" w:eastAsia="SimSun" w:cs="SimSun"/>
          <w:sz w:val="22"/>
          <w:szCs w:val="22"/>
        </w:rPr>
        <w:t xml:space="preserve"> </w:t>
      </w:r>
      <w:r>
        <w:rPr>
          <w:rFonts w:ascii="SimSun" w:hAnsi="SimSun" w:eastAsia="SimSun" w:cs="SimSun"/>
          <w:sz w:val="22"/>
          <w:szCs w:val="22"/>
          <w:spacing w:val="-9"/>
        </w:rPr>
        <w:t>发放给她。由于当天是贷款事项的最后一天，且因为之前曾接到过教育部门发放助</w:t>
      </w:r>
      <w:r>
        <w:rPr>
          <w:rFonts w:ascii="SimSun" w:hAnsi="SimSun" w:eastAsia="SimSun" w:cs="SimSun"/>
          <w:sz w:val="22"/>
          <w:szCs w:val="22"/>
          <w:spacing w:val="16"/>
        </w:rPr>
        <w:t xml:space="preserve"> </w:t>
      </w:r>
      <w:r>
        <w:rPr>
          <w:rFonts w:ascii="SimSun" w:hAnsi="SimSun" w:eastAsia="SimSun" w:cs="SimSun"/>
          <w:sz w:val="22"/>
          <w:szCs w:val="22"/>
          <w:spacing w:val="-8"/>
        </w:rPr>
        <w:t>学金的通知，徐玉玉信以为真，就按对方的要求赶到附近一家银行，通过</w:t>
      </w:r>
      <w:r>
        <w:rPr>
          <w:rFonts w:ascii="SimSun" w:hAnsi="SimSun" w:eastAsia="SimSun" w:cs="SimSun"/>
          <w:sz w:val="22"/>
          <w:szCs w:val="22"/>
          <w:spacing w:val="-9"/>
        </w:rPr>
        <w:t>自动取款</w:t>
      </w:r>
      <w:r>
        <w:rPr>
          <w:rFonts w:ascii="SimSun" w:hAnsi="SimSun" w:eastAsia="SimSun" w:cs="SimSun"/>
          <w:sz w:val="22"/>
          <w:szCs w:val="22"/>
        </w:rPr>
        <w:t xml:space="preserve"> </w:t>
      </w:r>
      <w:r>
        <w:rPr>
          <w:rFonts w:ascii="SimSun" w:hAnsi="SimSun" w:eastAsia="SimSun" w:cs="SimSun"/>
          <w:sz w:val="22"/>
          <w:szCs w:val="22"/>
          <w:spacing w:val="-9"/>
        </w:rPr>
        <w:t>机领款。她通过自动取款机操作后并未成功。对方得知她带着交学费的银行卡后，</w:t>
      </w:r>
      <w:r>
        <w:rPr>
          <w:rFonts w:ascii="SimSun" w:hAnsi="SimSun" w:eastAsia="SimSun" w:cs="SimSun"/>
          <w:sz w:val="22"/>
          <w:szCs w:val="22"/>
          <w:spacing w:val="3"/>
        </w:rPr>
        <w:t xml:space="preserve"> </w:t>
      </w:r>
      <w:r>
        <w:rPr>
          <w:rFonts w:ascii="SimSun" w:hAnsi="SimSun" w:eastAsia="SimSun" w:cs="SimSun"/>
          <w:sz w:val="22"/>
          <w:szCs w:val="22"/>
          <w:spacing w:val="-7"/>
        </w:rPr>
        <w:t>要她取出卡上的9900元，把钱汇入指定账号，对方再</w:t>
      </w:r>
      <w:r>
        <w:rPr>
          <w:rFonts w:ascii="SimSun" w:hAnsi="SimSun" w:eastAsia="SimSun" w:cs="SimSun"/>
          <w:sz w:val="22"/>
          <w:szCs w:val="22"/>
          <w:spacing w:val="-8"/>
        </w:rPr>
        <w:t>把她的9900元连同助学金2600</w:t>
      </w:r>
      <w:r>
        <w:rPr>
          <w:rFonts w:ascii="SimSun" w:hAnsi="SimSun" w:eastAsia="SimSun" w:cs="SimSun"/>
          <w:sz w:val="22"/>
          <w:szCs w:val="22"/>
        </w:rPr>
        <w:t xml:space="preserve"> </w:t>
      </w:r>
      <w:r>
        <w:rPr>
          <w:rFonts w:ascii="SimSun" w:hAnsi="SimSun" w:eastAsia="SimSun" w:cs="SimSun"/>
          <w:sz w:val="22"/>
          <w:szCs w:val="22"/>
          <w:spacing w:val="-9"/>
        </w:rPr>
        <w:t>元一起打过来。毫无戒备的徐玉玉按照对方的说法操作，结果所有学费被骗走。骗</w:t>
      </w:r>
      <w:r>
        <w:rPr>
          <w:rFonts w:ascii="SimSun" w:hAnsi="SimSun" w:eastAsia="SimSun" w:cs="SimSun"/>
          <w:sz w:val="22"/>
          <w:szCs w:val="22"/>
          <w:spacing w:val="17"/>
        </w:rPr>
        <w:t xml:space="preserve"> </w:t>
      </w:r>
      <w:r>
        <w:rPr>
          <w:rFonts w:ascii="SimSun" w:hAnsi="SimSun" w:eastAsia="SimSun" w:cs="SimSun"/>
          <w:sz w:val="22"/>
          <w:szCs w:val="22"/>
          <w:spacing w:val="-10"/>
        </w:rPr>
        <w:t>子能精准运用场景诈骗，其根本原因在于事先掌握了徐玉玉的一些数据。</w:t>
      </w:r>
    </w:p>
    <w:p>
      <w:pPr>
        <w:ind w:left="430"/>
        <w:spacing w:before="50" w:line="219" w:lineRule="auto"/>
        <w:rPr>
          <w:rFonts w:ascii="SimSun" w:hAnsi="SimSun" w:eastAsia="SimSun" w:cs="SimSun"/>
          <w:sz w:val="22"/>
          <w:szCs w:val="22"/>
        </w:rPr>
      </w:pPr>
      <w:r>
        <w:rPr>
          <w:rFonts w:ascii="SimSun" w:hAnsi="SimSun" w:eastAsia="SimSun" w:cs="SimSun"/>
          <w:sz w:val="22"/>
          <w:szCs w:val="22"/>
          <w:spacing w:val="-8"/>
        </w:rPr>
        <w:t>数据泄露越来越受到人们的重视，然而，数据泄露的现象却有增无减。金雅拓</w:t>
      </w:r>
    </w:p>
    <w:p>
      <w:pPr>
        <w:spacing w:line="219" w:lineRule="auto"/>
        <w:sectPr>
          <w:footerReference w:type="default" r:id="rId84"/>
          <w:pgSz w:w="8870" w:h="13400"/>
          <w:pgMar w:top="400" w:right="424" w:bottom="555" w:left="519" w:header="0" w:footer="336" w:gutter="0"/>
        </w:sectPr>
        <w:rPr>
          <w:rFonts w:ascii="SimSun" w:hAnsi="SimSun" w:eastAsia="SimSun" w:cs="SimSun"/>
          <w:sz w:val="22"/>
          <w:szCs w:val="22"/>
        </w:rPr>
      </w:pPr>
    </w:p>
    <w:p>
      <w:pPr>
        <w:ind w:left="252"/>
        <w:spacing w:before="245" w:line="219" w:lineRule="auto"/>
        <w:rPr>
          <w:rFonts w:ascii="SimSun" w:hAnsi="SimSun" w:eastAsia="SimSun" w:cs="SimSun"/>
          <w:sz w:val="21"/>
          <w:szCs w:val="21"/>
        </w:rPr>
      </w:pPr>
      <w:r>
        <w:pict>
          <v:rect id="_x0000_s210" style="position:absolute;margin-left:24.4989pt;margin-top:28.5018pt;mso-position-vertical-relative:page;mso-position-horizontal-relative:page;width:0.55pt;height:17.55pt;z-index:251978752;" o:allowincell="f" fillcolor="#000000" filled="true" stroked="false"/>
        </w:pict>
      </w:r>
      <w:r>
        <w:rPr>
          <w:rFonts w:ascii="SimSun" w:hAnsi="SimSun" w:eastAsia="SimSun" w:cs="SimSun"/>
          <w:sz w:val="21"/>
          <w:szCs w:val="21"/>
          <w:b/>
          <w:bCs/>
          <w:spacing w:val="-28"/>
        </w:rPr>
        <w:t>■云端数据治理■</w:t>
      </w:r>
    </w:p>
    <w:p>
      <w:pPr>
        <w:pStyle w:val="BodyText"/>
        <w:spacing w:line="271" w:lineRule="auto"/>
        <w:rPr/>
      </w:pPr>
      <w:r/>
    </w:p>
    <w:p>
      <w:pPr>
        <w:ind w:left="250" w:right="82"/>
        <w:spacing w:before="68" w:line="262" w:lineRule="auto"/>
        <w:jc w:val="both"/>
        <w:rPr>
          <w:rFonts w:ascii="SimSun" w:hAnsi="SimSun" w:eastAsia="SimSun" w:cs="SimSun"/>
          <w:sz w:val="21"/>
          <w:szCs w:val="21"/>
        </w:rPr>
      </w:pPr>
      <w:r>
        <w:rPr>
          <w:rFonts w:ascii="SimSun" w:hAnsi="SimSun" w:eastAsia="SimSun" w:cs="SimSun"/>
          <w:sz w:val="21"/>
          <w:szCs w:val="21"/>
          <w:spacing w:val="4"/>
        </w:rPr>
        <w:t>公布的《数据泄露水平指数调查报告》显示，与2015年下半年相比，20</w:t>
      </w:r>
      <w:r>
        <w:rPr>
          <w:rFonts w:ascii="SimSun" w:hAnsi="SimSun" w:eastAsia="SimSun" w:cs="SimSun"/>
          <w:sz w:val="21"/>
          <w:szCs w:val="21"/>
          <w:spacing w:val="3"/>
        </w:rPr>
        <w:t>16 年上半</w:t>
      </w:r>
      <w:r>
        <w:rPr>
          <w:rFonts w:ascii="SimSun" w:hAnsi="SimSun" w:eastAsia="SimSun" w:cs="SimSun"/>
          <w:sz w:val="21"/>
          <w:szCs w:val="21"/>
        </w:rPr>
        <w:t xml:space="preserve"> </w:t>
      </w:r>
      <w:r>
        <w:rPr>
          <w:rFonts w:ascii="SimSun" w:hAnsi="SimSun" w:eastAsia="SimSun" w:cs="SimSun"/>
          <w:sz w:val="21"/>
          <w:szCs w:val="21"/>
          <w:spacing w:val="4"/>
        </w:rPr>
        <w:t>年的数据泄露总数增长了15%。在全球范围内，2016年上半年已曝光的数据泄</w:t>
      </w:r>
      <w:r>
        <w:rPr>
          <w:rFonts w:ascii="SimSun" w:hAnsi="SimSun" w:eastAsia="SimSun" w:cs="SimSun"/>
          <w:sz w:val="21"/>
          <w:szCs w:val="21"/>
          <w:spacing w:val="3"/>
        </w:rPr>
        <w:t>露事</w:t>
      </w:r>
      <w:r>
        <w:rPr>
          <w:rFonts w:ascii="SimSun" w:hAnsi="SimSun" w:eastAsia="SimSun" w:cs="SimSun"/>
          <w:sz w:val="21"/>
          <w:szCs w:val="21"/>
        </w:rPr>
        <w:t xml:space="preserve"> </w:t>
      </w:r>
      <w:r>
        <w:rPr>
          <w:rFonts w:ascii="SimSun" w:hAnsi="SimSun" w:eastAsia="SimSun" w:cs="SimSun"/>
          <w:sz w:val="21"/>
          <w:szCs w:val="21"/>
          <w:spacing w:val="10"/>
        </w:rPr>
        <w:t>件高达974起，数据泄露记录总数超过了5.54</w:t>
      </w:r>
      <w:r>
        <w:rPr>
          <w:rFonts w:ascii="SimSun" w:hAnsi="SimSun" w:eastAsia="SimSun" w:cs="SimSun"/>
          <w:sz w:val="21"/>
          <w:szCs w:val="21"/>
          <w:spacing w:val="9"/>
        </w:rPr>
        <w:t>亿条，而2015年下半年数据泄露事</w:t>
      </w:r>
      <w:r>
        <w:rPr>
          <w:rFonts w:ascii="SimSun" w:hAnsi="SimSun" w:eastAsia="SimSun" w:cs="SimSun"/>
          <w:sz w:val="21"/>
          <w:szCs w:val="21"/>
        </w:rPr>
        <w:t xml:space="preserve"> </w:t>
      </w:r>
      <w:r>
        <w:rPr>
          <w:rFonts w:ascii="SimSun" w:hAnsi="SimSun" w:eastAsia="SimSun" w:cs="SimSun"/>
          <w:sz w:val="21"/>
          <w:szCs w:val="21"/>
          <w:spacing w:val="4"/>
        </w:rPr>
        <w:t>件和数据泄露记录总数分别为844起和4.24亿条。此外，2016年</w:t>
      </w:r>
      <w:r>
        <w:rPr>
          <w:rFonts w:ascii="SimSun" w:hAnsi="SimSun" w:eastAsia="SimSun" w:cs="SimSun"/>
          <w:sz w:val="21"/>
          <w:szCs w:val="21"/>
          <w:spacing w:val="3"/>
        </w:rPr>
        <w:t>上半年曝光的数据</w:t>
      </w:r>
      <w:r>
        <w:rPr>
          <w:rFonts w:ascii="SimSun" w:hAnsi="SimSun" w:eastAsia="SimSun" w:cs="SimSun"/>
          <w:sz w:val="21"/>
          <w:szCs w:val="21"/>
        </w:rPr>
        <w:t xml:space="preserve"> </w:t>
      </w:r>
      <w:r>
        <w:rPr>
          <w:rFonts w:ascii="SimSun" w:hAnsi="SimSun" w:eastAsia="SimSun" w:cs="SimSun"/>
          <w:sz w:val="21"/>
          <w:szCs w:val="21"/>
          <w:spacing w:val="-1"/>
        </w:rPr>
        <w:t>泄露事件中，有52%的数据泄露事件都未公布数据泄露记</w:t>
      </w:r>
      <w:r>
        <w:rPr>
          <w:rFonts w:ascii="SimSun" w:hAnsi="SimSun" w:eastAsia="SimSun" w:cs="SimSun"/>
          <w:sz w:val="21"/>
          <w:szCs w:val="21"/>
          <w:spacing w:val="-2"/>
        </w:rPr>
        <w:t>录数量[18]。</w:t>
      </w:r>
    </w:p>
    <w:p>
      <w:pPr>
        <w:ind w:left="722"/>
        <w:spacing w:before="208" w:line="213" w:lineRule="auto"/>
        <w:outlineLvl w:val="1"/>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6"/>
        </w:rPr>
        <w:t xml:space="preserve"> </w:t>
      </w:r>
      <w:r>
        <w:rPr>
          <w:rFonts w:ascii="SimHei" w:hAnsi="SimHei" w:eastAsia="SimHei" w:cs="SimHei"/>
          <w:sz w:val="21"/>
          <w:szCs w:val="21"/>
          <w:b/>
          <w:bCs/>
          <w:spacing w:val="6"/>
        </w:rPr>
        <w:t>数据标准不统一，增加公积金监管难度</w:t>
      </w:r>
    </w:p>
    <w:p>
      <w:pPr>
        <w:ind w:left="145" w:right="7" w:firstLine="469"/>
        <w:spacing w:before="241" w:line="268" w:lineRule="auto"/>
        <w:rPr>
          <w:rFonts w:ascii="SimSun" w:hAnsi="SimSun" w:eastAsia="SimSun" w:cs="SimSun"/>
          <w:sz w:val="21"/>
          <w:szCs w:val="21"/>
        </w:rPr>
      </w:pPr>
      <w:r>
        <w:rPr>
          <w:rFonts w:ascii="SimSun" w:hAnsi="SimSun" w:eastAsia="SimSun" w:cs="SimSun"/>
          <w:sz w:val="21"/>
          <w:szCs w:val="21"/>
        </w:rPr>
        <w:t>《住房公积金管理条例》是我国住房公积金管理法规的</w:t>
      </w:r>
      <w:r>
        <w:rPr>
          <w:rFonts w:ascii="SimSun" w:hAnsi="SimSun" w:eastAsia="SimSun" w:cs="SimSun"/>
          <w:sz w:val="21"/>
          <w:szCs w:val="21"/>
          <w:spacing w:val="-1"/>
        </w:rPr>
        <w:t>顶层文件，具有引领性，</w:t>
      </w:r>
      <w:r>
        <w:rPr>
          <w:rFonts w:ascii="SimSun" w:hAnsi="SimSun" w:eastAsia="SimSun" w:cs="SimSun"/>
          <w:sz w:val="21"/>
          <w:szCs w:val="21"/>
        </w:rPr>
        <w:t xml:space="preserve"> </w:t>
      </w:r>
      <w:r>
        <w:rPr>
          <w:rFonts w:ascii="SimSun" w:hAnsi="SimSun" w:eastAsia="SimSun" w:cs="SimSun"/>
          <w:sz w:val="21"/>
          <w:szCs w:val="21"/>
          <w:spacing w:val="4"/>
        </w:rPr>
        <w:t>但不进行具体操作指引。各个地方在对公积金进行管理时，业务标准不一样，业务</w:t>
      </w:r>
      <w:r>
        <w:rPr>
          <w:rFonts w:ascii="SimSun" w:hAnsi="SimSun" w:eastAsia="SimSun" w:cs="SimSun"/>
          <w:sz w:val="21"/>
          <w:szCs w:val="21"/>
          <w:spacing w:val="5"/>
        </w:rPr>
        <w:t xml:space="preserve">  </w:t>
      </w:r>
      <w:r>
        <w:rPr>
          <w:rFonts w:ascii="SimSun" w:hAnsi="SimSun" w:eastAsia="SimSun" w:cs="SimSun"/>
          <w:sz w:val="21"/>
          <w:szCs w:val="21"/>
          <w:spacing w:val="4"/>
        </w:rPr>
        <w:t>流程不一样，管理的力度不一样，尤其是分散的管理，对国家的监管也带来很大的</w:t>
      </w:r>
      <w:r>
        <w:rPr>
          <w:rFonts w:ascii="SimSun" w:hAnsi="SimSun" w:eastAsia="SimSun" w:cs="SimSun"/>
          <w:sz w:val="21"/>
          <w:szCs w:val="21"/>
          <w:spacing w:val="8"/>
        </w:rPr>
        <w:t xml:space="preserve">  </w:t>
      </w:r>
      <w:r>
        <w:rPr>
          <w:rFonts w:ascii="SimSun" w:hAnsi="SimSun" w:eastAsia="SimSun" w:cs="SimSun"/>
          <w:sz w:val="21"/>
          <w:szCs w:val="21"/>
          <w:spacing w:val="5"/>
        </w:rPr>
        <w:t>难度。据报道，目前全国设置的公积金管理机构有6</w:t>
      </w:r>
      <w:r>
        <w:rPr>
          <w:rFonts w:ascii="SimSun" w:hAnsi="SimSun" w:eastAsia="SimSun" w:cs="SimSun"/>
          <w:sz w:val="21"/>
          <w:szCs w:val="21"/>
          <w:spacing w:val="4"/>
        </w:rPr>
        <w:t>00</w:t>
      </w:r>
      <w:r>
        <w:rPr>
          <w:rFonts w:ascii="SimSun" w:hAnsi="SimSun" w:eastAsia="SimSun" w:cs="SimSun"/>
          <w:sz w:val="21"/>
          <w:szCs w:val="21"/>
          <w:spacing w:val="-16"/>
        </w:rPr>
        <w:t xml:space="preserve"> </w:t>
      </w:r>
      <w:r>
        <w:rPr>
          <w:rFonts w:ascii="SimSun" w:hAnsi="SimSun" w:eastAsia="SimSun" w:cs="SimSun"/>
          <w:sz w:val="21"/>
          <w:szCs w:val="21"/>
          <w:spacing w:val="4"/>
        </w:rPr>
        <w:t>多家，全国各地住房公积金</w:t>
      </w:r>
      <w:r>
        <w:rPr>
          <w:rFonts w:ascii="SimSun" w:hAnsi="SimSun" w:eastAsia="SimSun" w:cs="SimSun"/>
          <w:sz w:val="21"/>
          <w:szCs w:val="21"/>
        </w:rPr>
        <w:t xml:space="preserve">  </w:t>
      </w:r>
      <w:r>
        <w:rPr>
          <w:rFonts w:ascii="SimSun" w:hAnsi="SimSun" w:eastAsia="SimSun" w:cs="SimSun"/>
          <w:sz w:val="21"/>
          <w:szCs w:val="21"/>
          <w:spacing w:val="4"/>
        </w:rPr>
        <w:t>的信息化系统林林总总，有些是基于银行系统开发的，有些是中心委托软件公司开  </w:t>
      </w:r>
      <w:r>
        <w:rPr>
          <w:rFonts w:ascii="SimSun" w:hAnsi="SimSun" w:eastAsia="SimSun" w:cs="SimSun"/>
          <w:sz w:val="21"/>
          <w:szCs w:val="21"/>
          <w:spacing w:val="4"/>
        </w:rPr>
        <w:t>发的，数据结构及数据定义缺乏统一的标准和规范。这种发展状况严重制约了公积</w:t>
      </w:r>
      <w:r>
        <w:rPr>
          <w:rFonts w:ascii="SimSun" w:hAnsi="SimSun" w:eastAsia="SimSun" w:cs="SimSun"/>
          <w:sz w:val="21"/>
          <w:szCs w:val="21"/>
          <w:spacing w:val="6"/>
        </w:rPr>
        <w:t xml:space="preserve">  </w:t>
      </w:r>
      <w:r>
        <w:rPr>
          <w:rFonts w:ascii="SimSun" w:hAnsi="SimSun" w:eastAsia="SimSun" w:cs="SimSun"/>
          <w:sz w:val="21"/>
          <w:szCs w:val="21"/>
          <w:spacing w:val="4"/>
        </w:rPr>
        <w:t>金的信息化管理，也带来了一系列的管理隐患，出现很多数据口径的偏差，直接导</w:t>
      </w:r>
      <w:r>
        <w:rPr>
          <w:rFonts w:ascii="SimSun" w:hAnsi="SimSun" w:eastAsia="SimSun" w:cs="SimSun"/>
          <w:sz w:val="21"/>
          <w:szCs w:val="21"/>
          <w:spacing w:val="6"/>
        </w:rPr>
        <w:t xml:space="preserve">  </w:t>
      </w:r>
      <w:r>
        <w:rPr>
          <w:rFonts w:ascii="SimSun" w:hAnsi="SimSun" w:eastAsia="SimSun" w:cs="SimSun"/>
          <w:sz w:val="21"/>
          <w:szCs w:val="21"/>
          <w:spacing w:val="4"/>
        </w:rPr>
        <w:t>致统计口径偏差和统计数据失真。2014年，中华人民共和国住房和城乡建设部发布</w:t>
      </w:r>
      <w:r>
        <w:rPr>
          <w:rFonts w:ascii="SimSun" w:hAnsi="SimSun" w:eastAsia="SimSun" w:cs="SimSun"/>
          <w:sz w:val="21"/>
          <w:szCs w:val="21"/>
          <w:spacing w:val="1"/>
        </w:rPr>
        <w:t xml:space="preserve">  </w:t>
      </w:r>
      <w:r>
        <w:rPr>
          <w:rFonts w:ascii="SimSun" w:hAnsi="SimSun" w:eastAsia="SimSun" w:cs="SimSun"/>
          <w:sz w:val="21"/>
          <w:szCs w:val="21"/>
          <w:spacing w:val="4"/>
        </w:rPr>
        <w:t>《</w:t>
      </w:r>
      <w:r>
        <w:rPr>
          <w:rFonts w:ascii="SimSun" w:hAnsi="SimSun" w:eastAsia="SimSun" w:cs="SimSun"/>
          <w:sz w:val="21"/>
          <w:szCs w:val="21"/>
        </w:rPr>
        <w:t>JGJ</w:t>
      </w:r>
      <w:r>
        <w:rPr>
          <w:rFonts w:ascii="SimSun" w:hAnsi="SimSun" w:eastAsia="SimSun" w:cs="SimSun"/>
          <w:sz w:val="21"/>
          <w:szCs w:val="21"/>
          <w:spacing w:val="4"/>
        </w:rPr>
        <w:t>/T320-2014住房公积金基础数据标准》[19,并要求当年</w:t>
      </w:r>
      <w:r>
        <w:rPr>
          <w:rFonts w:ascii="SimSun" w:hAnsi="SimSun" w:eastAsia="SimSun" w:cs="SimSun"/>
          <w:sz w:val="21"/>
          <w:szCs w:val="21"/>
          <w:spacing w:val="3"/>
        </w:rPr>
        <w:t>10月1日起实施。据标 </w:t>
      </w:r>
      <w:r>
        <w:rPr>
          <w:rFonts w:ascii="SimSun" w:hAnsi="SimSun" w:eastAsia="SimSun" w:cs="SimSun"/>
          <w:sz w:val="21"/>
          <w:szCs w:val="21"/>
          <w:spacing w:val="-1"/>
        </w:rPr>
        <w:t>准规定，住房公积金基础数据由公共、归集和提取</w:t>
      </w:r>
      <w:r>
        <w:rPr>
          <w:rFonts w:ascii="SimSun" w:hAnsi="SimSun" w:eastAsia="SimSun" w:cs="SimSun"/>
          <w:sz w:val="21"/>
          <w:szCs w:val="21"/>
          <w:spacing w:val="-2"/>
        </w:rPr>
        <w:t>、个人住房贷款、建设项目贷款、</w:t>
      </w:r>
      <w:r>
        <w:rPr>
          <w:rFonts w:ascii="SimSun" w:hAnsi="SimSun" w:eastAsia="SimSun" w:cs="SimSun"/>
          <w:sz w:val="21"/>
          <w:szCs w:val="21"/>
        </w:rPr>
        <w:t xml:space="preserve">  </w:t>
      </w:r>
      <w:r>
        <w:rPr>
          <w:rFonts w:ascii="SimSun" w:hAnsi="SimSun" w:eastAsia="SimSun" w:cs="SimSun"/>
          <w:sz w:val="21"/>
          <w:szCs w:val="21"/>
          <w:spacing w:val="4"/>
        </w:rPr>
        <w:t>财务、结算六部分组成，包含29张数据表、394个数据项、241个代码。该标准适用 </w:t>
      </w:r>
      <w:r>
        <w:rPr>
          <w:rFonts w:ascii="SimSun" w:hAnsi="SimSun" w:eastAsia="SimSun" w:cs="SimSun"/>
          <w:sz w:val="21"/>
          <w:szCs w:val="21"/>
          <w:spacing w:val="-2"/>
        </w:rPr>
        <w:t>于住房公积金信息系统建设中基础数据的创建、检查、存储、传输、共享和集成。</w:t>
      </w:r>
    </w:p>
    <w:p>
      <w:pPr>
        <w:ind w:left="722"/>
        <w:spacing w:before="251" w:line="219" w:lineRule="auto"/>
        <w:outlineLvl w:val="1"/>
        <w:rPr>
          <w:rFonts w:ascii="YouYuan" w:hAnsi="YouYuan" w:eastAsia="YouYuan" w:cs="YouYuan"/>
          <w:sz w:val="21"/>
          <w:szCs w:val="21"/>
        </w:rPr>
      </w:pPr>
      <w:r>
        <w:rPr>
          <w:rFonts w:ascii="YouYuan" w:hAnsi="YouYuan" w:eastAsia="YouYuan" w:cs="YouYuan"/>
          <w:sz w:val="21"/>
          <w:szCs w:val="21"/>
          <w:b/>
          <w:bCs/>
          <w:spacing w:val="10"/>
        </w:rPr>
        <w:t>4.</w:t>
      </w:r>
      <w:r>
        <w:rPr>
          <w:rFonts w:ascii="YouYuan" w:hAnsi="YouYuan" w:eastAsia="YouYuan" w:cs="YouYuan"/>
          <w:sz w:val="21"/>
          <w:szCs w:val="21"/>
          <w:spacing w:val="10"/>
        </w:rPr>
        <w:t xml:space="preserve"> </w:t>
      </w:r>
      <w:r>
        <w:rPr>
          <w:rFonts w:ascii="YouYuan" w:hAnsi="YouYuan" w:eastAsia="YouYuan" w:cs="YouYuan"/>
          <w:sz w:val="21"/>
          <w:szCs w:val="21"/>
          <w:b/>
          <w:bCs/>
          <w:spacing w:val="10"/>
        </w:rPr>
        <w:t>谷歌流感预测连续三年“不靠谱”</w:t>
      </w:r>
    </w:p>
    <w:p>
      <w:pPr>
        <w:ind w:left="250" w:firstLine="469"/>
        <w:spacing w:before="193" w:line="270" w:lineRule="auto"/>
        <w:rPr>
          <w:rFonts w:ascii="SimSun" w:hAnsi="SimSun" w:eastAsia="SimSun" w:cs="SimSun"/>
          <w:sz w:val="21"/>
          <w:szCs w:val="21"/>
        </w:rPr>
      </w:pPr>
      <w:r>
        <w:rPr>
          <w:rFonts w:ascii="SimSun" w:hAnsi="SimSun" w:eastAsia="SimSun" w:cs="SimSun"/>
          <w:sz w:val="21"/>
          <w:szCs w:val="21"/>
        </w:rPr>
        <w:t>2008年，谷歌推出了一款名为“谷歌流感趋势”</w:t>
      </w:r>
      <w:r>
        <w:rPr>
          <w:rFonts w:ascii="Times New Roman" w:hAnsi="Times New Roman" w:eastAsia="Times New Roman" w:cs="Times New Roman"/>
          <w:sz w:val="21"/>
          <w:szCs w:val="21"/>
        </w:rPr>
        <w:t>(Google  Flu  Trends)  </w:t>
      </w:r>
      <w:r>
        <w:rPr>
          <w:rFonts w:ascii="SimSun" w:hAnsi="SimSun" w:eastAsia="SimSun" w:cs="SimSun"/>
          <w:sz w:val="21"/>
          <w:szCs w:val="21"/>
        </w:rPr>
        <w:t>的产品， </w:t>
      </w:r>
      <w:r>
        <w:rPr>
          <w:rFonts w:ascii="SimSun" w:hAnsi="SimSun" w:eastAsia="SimSun" w:cs="SimSun"/>
          <w:sz w:val="21"/>
          <w:szCs w:val="21"/>
          <w:spacing w:val="1"/>
        </w:rPr>
        <w:t>通过寻找与流感相关的词语，比如“咳嗽”和“发烧</w:t>
      </w:r>
      <w:r>
        <w:rPr>
          <w:rFonts w:ascii="SimSun" w:hAnsi="SimSun" w:eastAsia="SimSun" w:cs="SimSun"/>
          <w:sz w:val="21"/>
          <w:szCs w:val="21"/>
        </w:rPr>
        <w:t>”等，根据汇总的搜索数据，  </w:t>
      </w:r>
      <w:r>
        <w:rPr>
          <w:rFonts w:ascii="SimSun" w:hAnsi="SimSun" w:eastAsia="SimSun" w:cs="SimSun"/>
          <w:sz w:val="21"/>
          <w:szCs w:val="21"/>
          <w:spacing w:val="-2"/>
        </w:rPr>
        <w:t>近乎实时地对全球当前的流感疫情进行估测。2008年，</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Google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2"/>
        </w:rPr>
        <w:t>第一次开始预测流感 </w:t>
      </w:r>
      <w:r>
        <w:rPr>
          <w:rFonts w:ascii="SimSun" w:hAnsi="SimSun" w:eastAsia="SimSun" w:cs="SimSun"/>
          <w:sz w:val="21"/>
          <w:szCs w:val="21"/>
          <w:spacing w:val="-2"/>
        </w:rPr>
        <w:t>取得了很好的效果，比美国疾病预防控制中心提前两周预测到了流感的爆发。但是，</w:t>
      </w:r>
      <w:r>
        <w:rPr>
          <w:rFonts w:ascii="SimSun" w:hAnsi="SimSun" w:eastAsia="SimSun" w:cs="SimSun"/>
          <w:sz w:val="21"/>
          <w:szCs w:val="21"/>
          <w:spacing w:val="15"/>
        </w:rPr>
        <w:t xml:space="preserve"> </w:t>
      </w:r>
      <w:r>
        <w:rPr>
          <w:rFonts w:ascii="SimSun" w:hAnsi="SimSun" w:eastAsia="SimSun" w:cs="SimSun"/>
          <w:sz w:val="21"/>
          <w:szCs w:val="21"/>
          <w:spacing w:val="1"/>
        </w:rPr>
        <w:t>几年之后，该系统一直高估与流感相关的就医量，在这类数据最有用的流感季节高</w:t>
      </w:r>
      <w:r>
        <w:rPr>
          <w:rFonts w:ascii="SimSun" w:hAnsi="SimSun" w:eastAsia="SimSun" w:cs="SimSun"/>
          <w:sz w:val="21"/>
          <w:szCs w:val="21"/>
          <w:spacing w:val="6"/>
        </w:rPr>
        <w:t xml:space="preserve">  </w:t>
      </w:r>
      <w:r>
        <w:rPr>
          <w:rFonts w:ascii="SimSun" w:hAnsi="SimSun" w:eastAsia="SimSun" w:cs="SimSun"/>
          <w:sz w:val="21"/>
          <w:szCs w:val="21"/>
          <w:spacing w:val="5"/>
        </w:rPr>
        <w:t>峰期尤其预测不准确。自从2011年8月以来，</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5"/>
        </w:rPr>
        <w:t>流感趋势在108周的时间里有</w:t>
      </w:r>
      <w:r>
        <w:rPr>
          <w:rFonts w:ascii="SimSun" w:hAnsi="SimSun" w:eastAsia="SimSun" w:cs="SimSun"/>
          <w:sz w:val="21"/>
          <w:szCs w:val="21"/>
        </w:rPr>
        <w:t xml:space="preserve">  </w:t>
      </w:r>
      <w:r>
        <w:rPr>
          <w:rFonts w:ascii="SimSun" w:hAnsi="SimSun" w:eastAsia="SimSun" w:cs="SimSun"/>
          <w:sz w:val="21"/>
          <w:szCs w:val="21"/>
          <w:spacing w:val="3"/>
        </w:rPr>
        <w:t>100周出了错。在2011—2012流感季节，</w:t>
      </w:r>
      <w:r>
        <w:rPr>
          <w:rFonts w:ascii="SimSun" w:hAnsi="SimSun" w:eastAsia="SimSun" w:cs="SimSun"/>
          <w:sz w:val="21"/>
          <w:szCs w:val="21"/>
          <w:spacing w:val="2"/>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的预测比实际情况(由美国疾病预 </w:t>
      </w:r>
      <w:r>
        <w:rPr>
          <w:rFonts w:ascii="SimSun" w:hAnsi="SimSun" w:eastAsia="SimSun" w:cs="SimSun"/>
          <w:sz w:val="21"/>
          <w:szCs w:val="21"/>
          <w:spacing w:val="8"/>
        </w:rPr>
        <w:t>防控制中心根据全美就诊数据推算得出)高出了50%。在2012—2013 流感季节，</w:t>
      </w:r>
      <w:r>
        <w:rPr>
          <w:rFonts w:ascii="SimSun" w:hAnsi="SimSun" w:eastAsia="SimSun" w:cs="SimSun"/>
          <w:sz w:val="21"/>
          <w:szCs w:val="21"/>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rPr>
        <w:t>预测的就医量是美国疾病预防控制中心最终记录结果的两倍。2014年预测结 </w:t>
      </w:r>
      <w:r>
        <w:rPr>
          <w:rFonts w:ascii="SimSun" w:hAnsi="SimSun" w:eastAsia="SimSun" w:cs="SimSun"/>
          <w:sz w:val="21"/>
          <w:szCs w:val="21"/>
          <w:spacing w:val="1"/>
        </w:rPr>
        <w:t>果与美国疾病预防控制中心最后的记录结果也存在较大差异，于是2015年谷歌流感</w:t>
      </w:r>
      <w:r>
        <w:rPr>
          <w:rFonts w:ascii="SimSun" w:hAnsi="SimSun" w:eastAsia="SimSun" w:cs="SimSun"/>
          <w:sz w:val="21"/>
          <w:szCs w:val="21"/>
          <w:spacing w:val="5"/>
        </w:rPr>
        <w:t xml:space="preserve">  </w:t>
      </w:r>
      <w:r>
        <w:rPr>
          <w:rFonts w:ascii="SimSun" w:hAnsi="SimSun" w:eastAsia="SimSun" w:cs="SimSun"/>
          <w:sz w:val="21"/>
          <w:szCs w:val="21"/>
          <w:spacing w:val="-13"/>
        </w:rPr>
        <w:t>趋势不再对公众开放120]。</w:t>
      </w:r>
    </w:p>
    <w:p>
      <w:pPr>
        <w:ind w:left="722"/>
        <w:spacing w:before="234" w:line="224" w:lineRule="auto"/>
        <w:outlineLvl w:val="1"/>
        <w:rPr>
          <w:rFonts w:ascii="YouYuan" w:hAnsi="YouYuan" w:eastAsia="YouYuan" w:cs="YouYuan"/>
          <w:sz w:val="21"/>
          <w:szCs w:val="21"/>
        </w:rPr>
      </w:pPr>
      <w:r>
        <w:rPr>
          <w:rFonts w:ascii="YouYuan" w:hAnsi="YouYuan" w:eastAsia="YouYuan" w:cs="YouYuan"/>
          <w:sz w:val="21"/>
          <w:szCs w:val="21"/>
          <w:b/>
          <w:bCs/>
          <w:spacing w:val="5"/>
        </w:rPr>
        <w:t>5.</w:t>
      </w:r>
      <w:r>
        <w:rPr>
          <w:rFonts w:ascii="YouYuan" w:hAnsi="YouYuan" w:eastAsia="YouYuan" w:cs="YouYuan"/>
          <w:sz w:val="21"/>
          <w:szCs w:val="21"/>
          <w:spacing w:val="5"/>
        </w:rPr>
        <w:t xml:space="preserve"> </w:t>
      </w:r>
      <w:r>
        <w:rPr>
          <w:rFonts w:ascii="YouYuan" w:hAnsi="YouYuan" w:eastAsia="YouYuan" w:cs="YouYuan"/>
          <w:sz w:val="21"/>
          <w:szCs w:val="21"/>
          <w:b/>
          <w:bCs/>
          <w:spacing w:val="5"/>
        </w:rPr>
        <w:t>美国驻华使馆监测并发布我国</w:t>
      </w:r>
      <w:r>
        <w:rPr>
          <w:rFonts w:ascii="YouYuan" w:hAnsi="YouYuan" w:eastAsia="YouYuan" w:cs="YouYuan"/>
          <w:sz w:val="21"/>
          <w:szCs w:val="21"/>
          <w:spacing w:val="-20"/>
        </w:rPr>
        <w:t xml:space="preserve"> </w:t>
      </w:r>
      <w:r>
        <w:rPr>
          <w:rFonts w:ascii="Times New Roman" w:hAnsi="Times New Roman" w:eastAsia="Times New Roman" w:cs="Times New Roman"/>
          <w:sz w:val="21"/>
          <w:szCs w:val="21"/>
          <w:b/>
          <w:bCs/>
        </w:rPr>
        <w:t>PM</w:t>
      </w:r>
      <w:r>
        <w:rPr>
          <w:rFonts w:ascii="Times New Roman" w:hAnsi="Times New Roman" w:eastAsia="Times New Roman" w:cs="Times New Roman"/>
          <w:sz w:val="21"/>
          <w:szCs w:val="21"/>
          <w:b/>
          <w:bCs/>
          <w:spacing w:val="5"/>
        </w:rPr>
        <w:t>2.5  </w:t>
      </w:r>
      <w:r>
        <w:rPr>
          <w:rFonts w:ascii="YouYuan" w:hAnsi="YouYuan" w:eastAsia="YouYuan" w:cs="YouYuan"/>
          <w:sz w:val="21"/>
          <w:szCs w:val="21"/>
          <w:b/>
          <w:bCs/>
          <w:spacing w:val="5"/>
        </w:rPr>
        <w:t>数据</w:t>
      </w:r>
    </w:p>
    <w:p>
      <w:pPr>
        <w:ind w:left="250" w:right="35" w:firstLine="469"/>
        <w:spacing w:before="240" w:line="250" w:lineRule="auto"/>
        <w:rPr>
          <w:rFonts w:ascii="SimSun" w:hAnsi="SimSun" w:eastAsia="SimSun" w:cs="SimSun"/>
          <w:sz w:val="21"/>
          <w:szCs w:val="21"/>
        </w:rPr>
      </w:pPr>
      <w:r>
        <w:rPr>
          <w:rFonts w:ascii="SimSun" w:hAnsi="SimSun" w:eastAsia="SimSun" w:cs="SimSun"/>
          <w:sz w:val="21"/>
          <w:szCs w:val="21"/>
          <w:spacing w:val="11"/>
        </w:rPr>
        <w:t>2012年，美国驻华使馆监测并发布了北京</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PM</w:t>
      </w:r>
      <w:r>
        <w:rPr>
          <w:rFonts w:ascii="Times New Roman" w:hAnsi="Times New Roman" w:eastAsia="Times New Roman" w:cs="Times New Roman"/>
          <w:sz w:val="21"/>
          <w:szCs w:val="21"/>
          <w:spacing w:val="11"/>
        </w:rPr>
        <w:t>2.5</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0"/>
        </w:rPr>
        <w:t>数据。2012年6月5日环保</w:t>
      </w:r>
      <w:r>
        <w:rPr>
          <w:rFonts w:ascii="SimSun" w:hAnsi="SimSun" w:eastAsia="SimSun" w:cs="SimSun"/>
          <w:sz w:val="21"/>
          <w:szCs w:val="21"/>
        </w:rPr>
        <w:t xml:space="preserve"> </w:t>
      </w:r>
      <w:r>
        <w:rPr>
          <w:rFonts w:ascii="SimSun" w:hAnsi="SimSun" w:eastAsia="SimSun" w:cs="SimSun"/>
          <w:sz w:val="21"/>
          <w:szCs w:val="21"/>
          <w:spacing w:val="1"/>
        </w:rPr>
        <w:t>部在召开的新闻发布会上表示，外国驻华使领馆开展对我国</w:t>
      </w:r>
      <w:r>
        <w:rPr>
          <w:rFonts w:ascii="Times New Roman" w:hAnsi="Times New Roman" w:eastAsia="Times New Roman" w:cs="Times New Roman"/>
          <w:sz w:val="21"/>
          <w:szCs w:val="21"/>
        </w:rPr>
        <w:t>PM</w:t>
      </w:r>
      <w:r>
        <w:rPr>
          <w:rFonts w:ascii="Times New Roman" w:hAnsi="Times New Roman" w:eastAsia="Times New Roman" w:cs="Times New Roman"/>
          <w:sz w:val="21"/>
          <w:szCs w:val="21"/>
          <w:spacing w:val="1"/>
        </w:rPr>
        <w:t>2.5 </w:t>
      </w:r>
      <w:r>
        <w:rPr>
          <w:rFonts w:ascii="SimSun" w:hAnsi="SimSun" w:eastAsia="SimSun" w:cs="SimSun"/>
          <w:sz w:val="21"/>
          <w:szCs w:val="21"/>
          <w:spacing w:val="1"/>
        </w:rPr>
        <w:t>监测并且发布数</w:t>
      </w:r>
    </w:p>
    <w:p>
      <w:pPr>
        <w:spacing w:line="250" w:lineRule="auto"/>
        <w:sectPr>
          <w:footerReference w:type="default" r:id="rId85"/>
          <w:pgSz w:w="8870" w:h="13400"/>
          <w:pgMar w:top="400" w:right="567" w:bottom="497" w:left="339" w:header="0" w:footer="289" w:gutter="0"/>
        </w:sectPr>
        <w:rPr>
          <w:rFonts w:ascii="SimSun" w:hAnsi="SimSun" w:eastAsia="SimSun" w:cs="SimSun"/>
          <w:sz w:val="21"/>
          <w:szCs w:val="21"/>
        </w:rPr>
      </w:pPr>
    </w:p>
    <w:p>
      <w:pPr>
        <w:ind w:left="5502"/>
        <w:spacing w:before="194" w:line="219" w:lineRule="auto"/>
        <w:rPr>
          <w:rFonts w:ascii="SimSun" w:hAnsi="SimSun" w:eastAsia="SimSun" w:cs="SimSun"/>
          <w:sz w:val="21"/>
          <w:szCs w:val="21"/>
        </w:rPr>
      </w:pPr>
      <w:r>
        <w:rPr>
          <w:rFonts w:ascii="SimSun" w:hAnsi="SimSun" w:eastAsia="SimSun" w:cs="SimSun"/>
          <w:sz w:val="21"/>
          <w:szCs w:val="21"/>
          <w:b/>
          <w:bCs/>
          <w:spacing w:val="16"/>
        </w:rPr>
        <w:t>第1章</w:t>
      </w:r>
      <w:r>
        <w:rPr>
          <w:rFonts w:ascii="SimSun" w:hAnsi="SimSun" w:eastAsia="SimSun" w:cs="SimSun"/>
          <w:sz w:val="21"/>
          <w:szCs w:val="21"/>
          <w:spacing w:val="6"/>
        </w:rPr>
        <w:t xml:space="preserve">  </w:t>
      </w:r>
      <w:r>
        <w:rPr>
          <w:rFonts w:ascii="SimSun" w:hAnsi="SimSun" w:eastAsia="SimSun" w:cs="SimSun"/>
          <w:sz w:val="21"/>
          <w:szCs w:val="21"/>
          <w:b/>
          <w:bCs/>
          <w:spacing w:val="16"/>
        </w:rPr>
        <w:t>数据治理概述</w:t>
      </w:r>
    </w:p>
    <w:p>
      <w:pPr>
        <w:pStyle w:val="BodyText"/>
        <w:spacing w:line="256" w:lineRule="auto"/>
        <w:rPr/>
      </w:pPr>
      <w:r/>
    </w:p>
    <w:p>
      <w:pPr>
        <w:ind w:right="214"/>
        <w:spacing w:before="68" w:line="262" w:lineRule="auto"/>
        <w:jc w:val="both"/>
        <w:rPr>
          <w:rFonts w:ascii="SimSun" w:hAnsi="SimSun" w:eastAsia="SimSun" w:cs="SimSun"/>
          <w:sz w:val="21"/>
          <w:szCs w:val="21"/>
        </w:rPr>
      </w:pPr>
      <w:r>
        <w:rPr>
          <w:rFonts w:ascii="SimSun" w:hAnsi="SimSun" w:eastAsia="SimSun" w:cs="SimSun"/>
          <w:sz w:val="21"/>
          <w:szCs w:val="21"/>
          <w:spacing w:val="1"/>
        </w:rPr>
        <w:t>据，既不符合国际通行的要求、法规及国际公约，也不符合中国的要求。环保部副</w:t>
      </w:r>
      <w:r>
        <w:rPr>
          <w:rFonts w:ascii="SimSun" w:hAnsi="SimSun" w:eastAsia="SimSun" w:cs="SimSun"/>
          <w:sz w:val="21"/>
          <w:szCs w:val="21"/>
          <w:spacing w:val="10"/>
        </w:rPr>
        <w:t xml:space="preserve"> </w:t>
      </w:r>
      <w:r>
        <w:rPr>
          <w:rFonts w:ascii="SimSun" w:hAnsi="SimSun" w:eastAsia="SimSun" w:cs="SimSun"/>
          <w:sz w:val="21"/>
          <w:szCs w:val="21"/>
          <w:spacing w:val="-3"/>
        </w:rPr>
        <w:t>部长吴晓青说，中国空气质量监测及发布，涉及社会公共利益，属政府的公共权力，</w:t>
      </w:r>
      <w:r>
        <w:rPr>
          <w:rFonts w:ascii="SimSun" w:hAnsi="SimSun" w:eastAsia="SimSun" w:cs="SimSun"/>
          <w:sz w:val="21"/>
          <w:szCs w:val="21"/>
          <w:spacing w:val="14"/>
        </w:rPr>
        <w:t xml:space="preserve"> </w:t>
      </w:r>
      <w:r>
        <w:rPr>
          <w:rFonts w:ascii="SimSun" w:hAnsi="SimSun" w:eastAsia="SimSun" w:cs="SimSun"/>
          <w:sz w:val="21"/>
          <w:szCs w:val="21"/>
          <w:spacing w:val="1"/>
        </w:rPr>
        <w:t>个别国家驻华领事馆自行开展空气质量监测并由互联网发布空气</w:t>
      </w:r>
      <w:r>
        <w:rPr>
          <w:rFonts w:ascii="SimSun" w:hAnsi="SimSun" w:eastAsia="SimSun" w:cs="SimSun"/>
          <w:sz w:val="21"/>
          <w:szCs w:val="21"/>
        </w:rPr>
        <w:t>质量信息，既不符 </w:t>
      </w:r>
      <w:r>
        <w:rPr>
          <w:rFonts w:ascii="SimSun" w:hAnsi="SimSun" w:eastAsia="SimSun" w:cs="SimSun"/>
          <w:sz w:val="21"/>
          <w:szCs w:val="21"/>
          <w:spacing w:val="1"/>
        </w:rPr>
        <w:t>合维也纳外交关系公约、维也纳领事关系公约的精神，也违反了</w:t>
      </w:r>
      <w:r>
        <w:rPr>
          <w:rFonts w:ascii="SimSun" w:hAnsi="SimSun" w:eastAsia="SimSun" w:cs="SimSun"/>
          <w:sz w:val="21"/>
          <w:szCs w:val="21"/>
        </w:rPr>
        <w:t>中国环境保护的有 </w:t>
      </w:r>
      <w:r>
        <w:rPr>
          <w:rFonts w:ascii="SimSun" w:hAnsi="SimSun" w:eastAsia="SimSun" w:cs="SimSun"/>
          <w:sz w:val="21"/>
          <w:szCs w:val="21"/>
          <w:spacing w:val="-26"/>
        </w:rPr>
        <w:t>关法规[21]。</w:t>
      </w:r>
    </w:p>
    <w:p>
      <w:pPr>
        <w:ind w:left="4"/>
        <w:spacing w:before="309" w:line="224" w:lineRule="auto"/>
        <w:outlineLvl w:val="0"/>
        <w:rPr>
          <w:rFonts w:ascii="YouYuan" w:hAnsi="YouYuan" w:eastAsia="YouYuan" w:cs="YouYuan"/>
          <w:sz w:val="29"/>
          <w:szCs w:val="29"/>
        </w:rPr>
      </w:pPr>
      <w:r>
        <w:rPr>
          <w:rFonts w:ascii="YouYuan" w:hAnsi="YouYuan" w:eastAsia="YouYuan" w:cs="YouYuan"/>
          <w:sz w:val="29"/>
          <w:szCs w:val="29"/>
          <w:b/>
          <w:bCs/>
          <w:spacing w:val="-10"/>
        </w:rPr>
        <w:t>1.3.2</w:t>
      </w:r>
      <w:r>
        <w:rPr>
          <w:rFonts w:ascii="YouYuan" w:hAnsi="YouYuan" w:eastAsia="YouYuan" w:cs="YouYuan"/>
          <w:sz w:val="29"/>
          <w:szCs w:val="29"/>
          <w:spacing w:val="117"/>
        </w:rPr>
        <w:t xml:space="preserve"> </w:t>
      </w:r>
      <w:r>
        <w:rPr>
          <w:rFonts w:ascii="YouYuan" w:hAnsi="YouYuan" w:eastAsia="YouYuan" w:cs="YouYuan"/>
          <w:sz w:val="29"/>
          <w:szCs w:val="29"/>
          <w:b/>
          <w:bCs/>
          <w:spacing w:val="-10"/>
        </w:rPr>
        <w:t>数据事件原因归类</w:t>
      </w:r>
    </w:p>
    <w:p>
      <w:pPr>
        <w:ind w:left="432"/>
        <w:spacing w:before="303" w:line="225" w:lineRule="auto"/>
        <w:outlineLvl w:val="1"/>
        <w:rPr>
          <w:rFonts w:ascii="YouYuan" w:hAnsi="YouYuan" w:eastAsia="YouYuan" w:cs="YouYuan"/>
          <w:sz w:val="21"/>
          <w:szCs w:val="21"/>
        </w:rPr>
      </w:pPr>
      <w:r>
        <w:rPr>
          <w:rFonts w:ascii="YouYuan" w:hAnsi="YouYuan" w:eastAsia="YouYuan" w:cs="YouYuan"/>
          <w:sz w:val="21"/>
          <w:szCs w:val="21"/>
          <w:b/>
          <w:bCs/>
        </w:rPr>
        <w:t>1.</w:t>
      </w:r>
      <w:r>
        <w:rPr>
          <w:rFonts w:ascii="YouYuan" w:hAnsi="YouYuan" w:eastAsia="YouYuan" w:cs="YouYuan"/>
          <w:sz w:val="21"/>
          <w:szCs w:val="21"/>
          <w:spacing w:val="18"/>
        </w:rPr>
        <w:t xml:space="preserve"> </w:t>
      </w:r>
      <w:r>
        <w:rPr>
          <w:rFonts w:ascii="YouYuan" w:hAnsi="YouYuan" w:eastAsia="YouYuan" w:cs="YouYuan"/>
          <w:sz w:val="21"/>
          <w:szCs w:val="21"/>
          <w:b/>
          <w:bCs/>
        </w:rPr>
        <w:t>数据安全</w:t>
      </w:r>
    </w:p>
    <w:p>
      <w:pPr>
        <w:ind w:right="248" w:firstLine="429"/>
        <w:spacing w:before="226" w:line="262" w:lineRule="auto"/>
        <w:rPr>
          <w:rFonts w:ascii="SimSun" w:hAnsi="SimSun" w:eastAsia="SimSun" w:cs="SimSun"/>
          <w:sz w:val="21"/>
          <w:szCs w:val="21"/>
        </w:rPr>
      </w:pPr>
      <w:r>
        <w:rPr>
          <w:rFonts w:ascii="SimSun" w:hAnsi="SimSun" w:eastAsia="SimSun" w:cs="SimSun"/>
          <w:sz w:val="21"/>
          <w:szCs w:val="21"/>
          <w:spacing w:val="2"/>
        </w:rPr>
        <w:t>信息安全保护的主要目标之一是保护系统和应用程序的基础数据。在云计算环 </w:t>
      </w:r>
      <w:r>
        <w:rPr>
          <w:rFonts w:ascii="SimSun" w:hAnsi="SimSun" w:eastAsia="SimSun" w:cs="SimSun"/>
          <w:sz w:val="21"/>
          <w:szCs w:val="21"/>
          <w:spacing w:val="1"/>
        </w:rPr>
        <w:t>境下，传统的数据安全方法将遭到云模式架构的挑战。弹性、多租户、新的物理和</w:t>
      </w:r>
      <w:r>
        <w:rPr>
          <w:rFonts w:ascii="SimSun" w:hAnsi="SimSun" w:eastAsia="SimSun" w:cs="SimSun"/>
          <w:sz w:val="21"/>
          <w:szCs w:val="21"/>
          <w:spacing w:val="9"/>
        </w:rPr>
        <w:t xml:space="preserve"> </w:t>
      </w:r>
      <w:r>
        <w:rPr>
          <w:rFonts w:ascii="SimSun" w:hAnsi="SimSun" w:eastAsia="SimSun" w:cs="SimSun"/>
          <w:sz w:val="21"/>
          <w:szCs w:val="21"/>
          <w:spacing w:val="2"/>
        </w:rPr>
        <w:t>逻辑架构，以及抽象的控制需要新的数据安全策略。</w:t>
      </w:r>
      <w:r>
        <w:rPr>
          <w:rFonts w:ascii="SimSun" w:hAnsi="SimSun" w:eastAsia="SimSun" w:cs="SimSun"/>
          <w:sz w:val="21"/>
          <w:szCs w:val="21"/>
          <w:spacing w:val="1"/>
        </w:rPr>
        <w:t>由于云服务的远程特性，云端</w:t>
      </w:r>
      <w:r>
        <w:rPr>
          <w:rFonts w:ascii="SimSun" w:hAnsi="SimSun" w:eastAsia="SimSun" w:cs="SimSun"/>
          <w:sz w:val="21"/>
          <w:szCs w:val="21"/>
        </w:rPr>
        <w:t xml:space="preserve"> </w:t>
      </w:r>
      <w:r>
        <w:rPr>
          <w:rFonts w:ascii="SimSun" w:hAnsi="SimSun" w:eastAsia="SimSun" w:cs="SimSun"/>
          <w:sz w:val="21"/>
          <w:szCs w:val="21"/>
          <w:spacing w:val="1"/>
        </w:rPr>
        <w:t>数据往往会传输到外部甚至公众的环境中，这对用户掌控数据提出了很大挑战，但</w:t>
      </w:r>
      <w:r>
        <w:rPr>
          <w:rFonts w:ascii="SimSun" w:hAnsi="SimSun" w:eastAsia="SimSun" w:cs="SimSun"/>
          <w:sz w:val="21"/>
          <w:szCs w:val="21"/>
          <w:spacing w:val="2"/>
        </w:rPr>
        <w:t xml:space="preserve"> </w:t>
      </w:r>
      <w:r>
        <w:rPr>
          <w:rFonts w:ascii="SimSun" w:hAnsi="SimSun" w:eastAsia="SimSun" w:cs="SimSun"/>
          <w:sz w:val="21"/>
          <w:szCs w:val="21"/>
          <w:spacing w:val="-1"/>
        </w:rPr>
        <w:t>这种部署方式相对于传统的单点本地存储数据方式却有助于数据的容灾。</w:t>
      </w:r>
    </w:p>
    <w:p>
      <w:pPr>
        <w:ind w:right="175" w:firstLine="429"/>
        <w:spacing w:before="94" w:line="263" w:lineRule="auto"/>
        <w:rPr>
          <w:rFonts w:ascii="SimSun" w:hAnsi="SimSun" w:eastAsia="SimSun" w:cs="SimSun"/>
          <w:sz w:val="21"/>
          <w:szCs w:val="21"/>
        </w:rPr>
      </w:pPr>
      <w:r>
        <w:rPr>
          <w:rFonts w:ascii="SimSun" w:hAnsi="SimSun" w:eastAsia="SimSun" w:cs="SimSun"/>
          <w:sz w:val="21"/>
          <w:szCs w:val="21"/>
          <w:spacing w:val="-2"/>
        </w:rPr>
        <w:t>数据容灾是保障数据安全的一个重要手段，</w:t>
      </w:r>
      <w:r>
        <w:rPr>
          <w:rFonts w:ascii="SimSun" w:hAnsi="SimSun" w:eastAsia="SimSun" w:cs="SimSun"/>
          <w:sz w:val="21"/>
          <w:szCs w:val="21"/>
          <w:spacing w:val="-3"/>
        </w:rPr>
        <w:t>是指通过建立一个异地的数据系统，</w:t>
      </w:r>
      <w:r>
        <w:rPr>
          <w:rFonts w:ascii="SimSun" w:hAnsi="SimSun" w:eastAsia="SimSun" w:cs="SimSun"/>
          <w:sz w:val="21"/>
          <w:szCs w:val="21"/>
        </w:rPr>
        <w:t xml:space="preserve"> </w:t>
      </w:r>
      <w:r>
        <w:rPr>
          <w:rFonts w:ascii="SimSun" w:hAnsi="SimSun" w:eastAsia="SimSun" w:cs="SimSun"/>
          <w:sz w:val="21"/>
          <w:szCs w:val="21"/>
          <w:spacing w:val="-2"/>
        </w:rPr>
        <w:t>保护数据安全和提高数据的持续可用性。服务供应商应保证数据中心的运行连续性，</w:t>
      </w:r>
      <w:r>
        <w:rPr>
          <w:rFonts w:ascii="SimSun" w:hAnsi="SimSun" w:eastAsia="SimSun" w:cs="SimSun"/>
          <w:sz w:val="21"/>
          <w:szCs w:val="21"/>
          <w:spacing w:val="17"/>
        </w:rPr>
        <w:t xml:space="preserve"> </w:t>
      </w:r>
      <w:r>
        <w:rPr>
          <w:rFonts w:ascii="SimSun" w:hAnsi="SimSun" w:eastAsia="SimSun" w:cs="SimSun"/>
          <w:sz w:val="21"/>
          <w:szCs w:val="21"/>
          <w:spacing w:val="4"/>
        </w:rPr>
        <w:t>保障服务连续性(尤其是在出现一些严重问题时，如火灾、长时间停电以及网络故</w:t>
      </w:r>
      <w:r>
        <w:rPr>
          <w:rFonts w:ascii="SimSun" w:hAnsi="SimSun" w:eastAsia="SimSun" w:cs="SimSun"/>
          <w:sz w:val="21"/>
          <w:szCs w:val="21"/>
        </w:rPr>
        <w:t xml:space="preserve">  </w:t>
      </w:r>
      <w:r>
        <w:rPr>
          <w:rFonts w:ascii="SimSun" w:hAnsi="SimSun" w:eastAsia="SimSun" w:cs="SimSun"/>
          <w:sz w:val="21"/>
          <w:szCs w:val="21"/>
          <w:spacing w:val="-2"/>
        </w:rPr>
        <w:t>障等)。对于信息技术服务提供商，数据往往是服务的主要支撑之一。服务提</w:t>
      </w:r>
      <w:r>
        <w:rPr>
          <w:rFonts w:ascii="SimSun" w:hAnsi="SimSun" w:eastAsia="SimSun" w:cs="SimSun"/>
          <w:sz w:val="21"/>
          <w:szCs w:val="21"/>
          <w:spacing w:val="-3"/>
        </w:rPr>
        <w:t>供商需</w:t>
      </w:r>
      <w:r>
        <w:rPr>
          <w:rFonts w:ascii="SimSun" w:hAnsi="SimSun" w:eastAsia="SimSun" w:cs="SimSun"/>
          <w:sz w:val="21"/>
          <w:szCs w:val="21"/>
        </w:rPr>
        <w:t xml:space="preserve">  </w:t>
      </w:r>
      <w:r>
        <w:rPr>
          <w:rFonts w:ascii="SimSun" w:hAnsi="SimSun" w:eastAsia="SimSun" w:cs="SimSun"/>
          <w:sz w:val="21"/>
          <w:szCs w:val="21"/>
        </w:rPr>
        <w:t>要进行业务连续性管理，制订相应的业务连续性规划，并且能够得以落实和实施，</w:t>
      </w:r>
      <w:r>
        <w:rPr>
          <w:rFonts w:ascii="SimSun" w:hAnsi="SimSun" w:eastAsia="SimSun" w:cs="SimSun"/>
          <w:sz w:val="21"/>
          <w:szCs w:val="21"/>
          <w:spacing w:val="6"/>
        </w:rPr>
        <w:t xml:space="preserve">  </w:t>
      </w:r>
      <w:r>
        <w:rPr>
          <w:rFonts w:ascii="SimSun" w:hAnsi="SimSun" w:eastAsia="SimSun" w:cs="SimSun"/>
          <w:sz w:val="21"/>
          <w:szCs w:val="21"/>
          <w:spacing w:val="-2"/>
        </w:rPr>
        <w:t>使得当出现灾难时，可以快速恢复业务，继续为用户提供服务。</w:t>
      </w:r>
    </w:p>
    <w:p>
      <w:pPr>
        <w:ind w:left="432"/>
        <w:spacing w:before="218" w:line="225" w:lineRule="auto"/>
        <w:outlineLvl w:val="1"/>
        <w:rPr>
          <w:rFonts w:ascii="YouYuan" w:hAnsi="YouYuan" w:eastAsia="YouYuan" w:cs="YouYuan"/>
          <w:sz w:val="21"/>
          <w:szCs w:val="21"/>
        </w:rPr>
      </w:pPr>
      <w:r>
        <w:rPr>
          <w:rFonts w:ascii="YouYuan" w:hAnsi="YouYuan" w:eastAsia="YouYuan" w:cs="YouYuan"/>
          <w:sz w:val="21"/>
          <w:szCs w:val="21"/>
          <w:b/>
          <w:bCs/>
          <w:spacing w:val="5"/>
        </w:rPr>
        <w:t>2.</w:t>
      </w:r>
      <w:r>
        <w:rPr>
          <w:rFonts w:ascii="YouYuan" w:hAnsi="YouYuan" w:eastAsia="YouYuan" w:cs="YouYuan"/>
          <w:sz w:val="21"/>
          <w:szCs w:val="21"/>
          <w:spacing w:val="5"/>
        </w:rPr>
        <w:t xml:space="preserve"> </w:t>
      </w:r>
      <w:r>
        <w:rPr>
          <w:rFonts w:ascii="YouYuan" w:hAnsi="YouYuan" w:eastAsia="YouYuan" w:cs="YouYuan"/>
          <w:sz w:val="21"/>
          <w:szCs w:val="21"/>
          <w:b/>
          <w:bCs/>
          <w:spacing w:val="5"/>
        </w:rPr>
        <w:t>数据泄露</w:t>
      </w:r>
    </w:p>
    <w:p>
      <w:pPr>
        <w:ind w:right="271" w:firstLine="429"/>
        <w:spacing w:before="228" w:line="265" w:lineRule="auto"/>
        <w:jc w:val="both"/>
        <w:rPr>
          <w:rFonts w:ascii="SimSun" w:hAnsi="SimSun" w:eastAsia="SimSun" w:cs="SimSun"/>
          <w:sz w:val="21"/>
          <w:szCs w:val="21"/>
        </w:rPr>
      </w:pPr>
      <w:r>
        <w:rPr>
          <w:rFonts w:ascii="SimSun" w:hAnsi="SimSun" w:eastAsia="SimSun" w:cs="SimSun"/>
          <w:sz w:val="21"/>
          <w:szCs w:val="21"/>
          <w:spacing w:val="1"/>
        </w:rPr>
        <w:t>云服务具有无位置特异性的特点，这有利于云服务的广泛使用。然而</w:t>
      </w:r>
      <w:r>
        <w:rPr>
          <w:rFonts w:ascii="SimSun" w:hAnsi="SimSun" w:eastAsia="SimSun" w:cs="SimSun"/>
          <w:sz w:val="21"/>
          <w:szCs w:val="21"/>
        </w:rPr>
        <w:t>，无论是 </w:t>
      </w:r>
      <w:r>
        <w:rPr>
          <w:rFonts w:ascii="SimSun" w:hAnsi="SimSun" w:eastAsia="SimSun" w:cs="SimSun"/>
          <w:sz w:val="21"/>
          <w:szCs w:val="21"/>
          <w:spacing w:val="2"/>
        </w:rPr>
        <w:t>用户还是云供应商都不可能直接确认在特定云中</w:t>
      </w:r>
      <w:r>
        <w:rPr>
          <w:rFonts w:ascii="SimSun" w:hAnsi="SimSun" w:eastAsia="SimSun" w:cs="SimSun"/>
          <w:sz w:val="21"/>
          <w:szCs w:val="21"/>
          <w:spacing w:val="1"/>
        </w:rPr>
        <w:t>计算资源的详细位置，这就产生了</w:t>
      </w:r>
      <w:r>
        <w:rPr>
          <w:rFonts w:ascii="SimSun" w:hAnsi="SimSun" w:eastAsia="SimSun" w:cs="SimSun"/>
          <w:sz w:val="21"/>
          <w:szCs w:val="21"/>
        </w:rPr>
        <w:t xml:space="preserve"> </w:t>
      </w:r>
      <w:r>
        <w:rPr>
          <w:rFonts w:ascii="SimSun" w:hAnsi="SimSun" w:eastAsia="SimSun" w:cs="SimSun"/>
          <w:sz w:val="21"/>
          <w:szCs w:val="21"/>
          <w:spacing w:val="1"/>
        </w:rPr>
        <w:t>不安全的数据复用、数据跨境流动、用户数据安全和隐私保护等问题，从而对数据</w:t>
      </w:r>
      <w:r>
        <w:rPr>
          <w:rFonts w:ascii="SimSun" w:hAnsi="SimSun" w:eastAsia="SimSun" w:cs="SimSun"/>
          <w:sz w:val="21"/>
          <w:szCs w:val="21"/>
          <w:spacing w:val="5"/>
        </w:rPr>
        <w:t xml:space="preserve"> </w:t>
      </w:r>
      <w:r>
        <w:rPr>
          <w:rFonts w:ascii="SimSun" w:hAnsi="SimSun" w:eastAsia="SimSun" w:cs="SimSun"/>
          <w:sz w:val="21"/>
          <w:szCs w:val="21"/>
          <w:spacing w:val="1"/>
        </w:rPr>
        <w:t>存放位置、数据删除或持久性、数据备份与恢复和不同客户数据的混合等方面提出</w:t>
      </w:r>
      <w:r>
        <w:rPr>
          <w:rFonts w:ascii="SimSun" w:hAnsi="SimSun" w:eastAsia="SimSun" w:cs="SimSun"/>
          <w:sz w:val="21"/>
          <w:szCs w:val="21"/>
          <w:spacing w:val="18"/>
        </w:rPr>
        <w:t xml:space="preserve"> </w:t>
      </w:r>
      <w:r>
        <w:rPr>
          <w:rFonts w:ascii="SimSun" w:hAnsi="SimSun" w:eastAsia="SimSun" w:cs="SimSun"/>
          <w:sz w:val="21"/>
          <w:szCs w:val="21"/>
          <w:spacing w:val="1"/>
        </w:rPr>
        <w:t>了新的安全要求。大规模数据泄露的原因有很</w:t>
      </w:r>
      <w:r>
        <w:rPr>
          <w:rFonts w:ascii="SimSun" w:hAnsi="SimSun" w:eastAsia="SimSun" w:cs="SimSun"/>
          <w:sz w:val="21"/>
          <w:szCs w:val="21"/>
        </w:rPr>
        <w:t>多，其中比较重要的原因是数据保管 </w:t>
      </w:r>
      <w:r>
        <w:rPr>
          <w:rFonts w:ascii="SimSun" w:hAnsi="SimSun" w:eastAsia="SimSun" w:cs="SimSun"/>
          <w:sz w:val="21"/>
          <w:szCs w:val="21"/>
          <w:spacing w:val="1"/>
        </w:rPr>
        <w:t>者对数据资产的管理不足，例如数据传输过程中被窃听或主动丢失、存储数据的访</w:t>
      </w:r>
      <w:r>
        <w:rPr>
          <w:rFonts w:ascii="SimSun" w:hAnsi="SimSun" w:eastAsia="SimSun" w:cs="SimSun"/>
          <w:sz w:val="21"/>
          <w:szCs w:val="21"/>
          <w:spacing w:val="3"/>
        </w:rPr>
        <w:t xml:space="preserve"> </w:t>
      </w:r>
      <w:r>
        <w:rPr>
          <w:rFonts w:ascii="SimSun" w:hAnsi="SimSun" w:eastAsia="SimSun" w:cs="SimSun"/>
          <w:sz w:val="21"/>
          <w:szCs w:val="21"/>
          <w:spacing w:val="-2"/>
        </w:rPr>
        <w:t>问控制措施不足以及对历史数据管理不重视等。</w:t>
      </w:r>
    </w:p>
    <w:p>
      <w:pPr>
        <w:ind w:left="432"/>
        <w:spacing w:before="228" w:line="222"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23"/>
        </w:rPr>
        <w:t xml:space="preserve"> </w:t>
      </w:r>
      <w:r>
        <w:rPr>
          <w:rFonts w:ascii="SimHei" w:hAnsi="SimHei" w:eastAsia="SimHei" w:cs="SimHei"/>
          <w:sz w:val="21"/>
          <w:szCs w:val="21"/>
          <w:b/>
          <w:bCs/>
          <w:spacing w:val="4"/>
        </w:rPr>
        <w:t>数据标准</w:t>
      </w:r>
    </w:p>
    <w:p>
      <w:pPr>
        <w:ind w:right="194" w:firstLine="429"/>
        <w:spacing w:before="202" w:line="265" w:lineRule="auto"/>
        <w:jc w:val="both"/>
        <w:rPr>
          <w:rFonts w:ascii="SimSun" w:hAnsi="SimSun" w:eastAsia="SimSun" w:cs="SimSun"/>
          <w:sz w:val="21"/>
          <w:szCs w:val="21"/>
        </w:rPr>
      </w:pPr>
      <w:r>
        <w:rPr>
          <w:rFonts w:ascii="SimSun" w:hAnsi="SimSun" w:eastAsia="SimSun" w:cs="SimSun"/>
          <w:sz w:val="21"/>
          <w:szCs w:val="21"/>
          <w:spacing w:val="1"/>
        </w:rPr>
        <w:t>数据标准化主要体现在对数据信息的分类和编码。对数据信息的分类是</w:t>
      </w:r>
      <w:r>
        <w:rPr>
          <w:rFonts w:ascii="SimSun" w:hAnsi="SimSun" w:eastAsia="SimSun" w:cs="SimSun"/>
          <w:sz w:val="21"/>
          <w:szCs w:val="21"/>
        </w:rPr>
        <w:t>指根据  </w:t>
      </w:r>
      <w:r>
        <w:rPr>
          <w:rFonts w:ascii="SimSun" w:hAnsi="SimSun" w:eastAsia="SimSun" w:cs="SimSun"/>
          <w:sz w:val="21"/>
          <w:szCs w:val="21"/>
          <w:spacing w:val="-2"/>
        </w:rPr>
        <w:t>一定的分类指标形成相应的若干层次目录，构成一个有层次的逐级展开的分类</w:t>
      </w:r>
      <w:r>
        <w:rPr>
          <w:rFonts w:ascii="SimSun" w:hAnsi="SimSun" w:eastAsia="SimSun" w:cs="SimSun"/>
          <w:sz w:val="21"/>
          <w:szCs w:val="21"/>
          <w:spacing w:val="-3"/>
        </w:rPr>
        <w:t>体系。</w:t>
      </w:r>
      <w:r>
        <w:rPr>
          <w:rFonts w:ascii="SimSun" w:hAnsi="SimSun" w:eastAsia="SimSun" w:cs="SimSun"/>
          <w:sz w:val="21"/>
          <w:szCs w:val="21"/>
        </w:rPr>
        <w:t xml:space="preserve"> </w:t>
      </w:r>
      <w:r>
        <w:rPr>
          <w:rFonts w:ascii="SimSun" w:hAnsi="SimSun" w:eastAsia="SimSun" w:cs="SimSun"/>
          <w:sz w:val="21"/>
          <w:szCs w:val="21"/>
          <w:spacing w:val="1"/>
        </w:rPr>
        <w:t>数据的编码设计是在分类体系基础上进行的，数据编码要坚持系统性、唯一性、可  </w:t>
      </w:r>
      <w:r>
        <w:rPr>
          <w:rFonts w:ascii="SimSun" w:hAnsi="SimSun" w:eastAsia="SimSun" w:cs="SimSun"/>
          <w:sz w:val="21"/>
          <w:szCs w:val="21"/>
          <w:spacing w:val="-3"/>
        </w:rPr>
        <w:t>行性、简单性、</w:t>
      </w:r>
      <w:r>
        <w:rPr>
          <w:rFonts w:ascii="SimSun" w:hAnsi="SimSun" w:eastAsia="SimSun" w:cs="SimSun"/>
          <w:sz w:val="21"/>
          <w:szCs w:val="21"/>
          <w:spacing w:val="49"/>
        </w:rPr>
        <w:t xml:space="preserve"> </w:t>
      </w:r>
      <w:r>
        <w:rPr>
          <w:rFonts w:ascii="SimSun" w:hAnsi="SimSun" w:eastAsia="SimSun" w:cs="SimSun"/>
          <w:sz w:val="21"/>
          <w:szCs w:val="21"/>
          <w:spacing w:val="-3"/>
        </w:rPr>
        <w:t>一致性、稳定性、可操作性和标准化的原则，统一安排编码结构和</w:t>
      </w:r>
    </w:p>
    <w:p>
      <w:pPr>
        <w:spacing w:line="265" w:lineRule="auto"/>
        <w:sectPr>
          <w:footerReference w:type="default" r:id="rId86"/>
          <w:pgSz w:w="8870" w:h="13400"/>
          <w:pgMar w:top="400" w:right="540" w:bottom="578" w:left="440" w:header="0" w:footer="369" w:gutter="0"/>
        </w:sectPr>
        <w:rPr>
          <w:rFonts w:ascii="SimSun" w:hAnsi="SimSun" w:eastAsia="SimSun" w:cs="SimSun"/>
          <w:sz w:val="21"/>
          <w:szCs w:val="21"/>
        </w:rPr>
      </w:pPr>
    </w:p>
    <w:p>
      <w:pPr>
        <w:ind w:left="222"/>
        <w:spacing w:before="245" w:line="219" w:lineRule="auto"/>
        <w:rPr>
          <w:rFonts w:ascii="SimSun" w:hAnsi="SimSun" w:eastAsia="SimSun" w:cs="SimSun"/>
          <w:sz w:val="21"/>
          <w:szCs w:val="21"/>
        </w:rPr>
      </w:pPr>
      <w:r>
        <w:pict>
          <v:rect id="_x0000_s212" style="position:absolute;margin-left:30.4995pt;margin-top:27.9993pt;mso-position-vertical-relative:page;mso-position-horizontal-relative:page;width:0.55pt;height:17.55pt;z-index:252023808;" o:allowincell="f" fillcolor="#000000" filled="true" stroked="false"/>
        </w:pict>
      </w:r>
      <w:bookmarkStart w:name="bookmark18" w:id="13"/>
      <w:bookmarkEnd w:id="13"/>
      <w:r>
        <w:rPr>
          <w:rFonts w:ascii="SimSun" w:hAnsi="SimSun" w:eastAsia="SimSun" w:cs="SimSun"/>
          <w:sz w:val="21"/>
          <w:szCs w:val="21"/>
          <w:b/>
          <w:bCs/>
          <w:spacing w:val="-18"/>
        </w:rPr>
        <w:t>■云端数据治理。</w:t>
      </w:r>
    </w:p>
    <w:p>
      <w:pPr>
        <w:pStyle w:val="BodyText"/>
        <w:spacing w:line="274" w:lineRule="auto"/>
        <w:rPr/>
      </w:pPr>
      <w:r/>
    </w:p>
    <w:p>
      <w:pPr>
        <w:ind w:left="220" w:right="116"/>
        <w:spacing w:before="68" w:line="245" w:lineRule="auto"/>
        <w:rPr>
          <w:rFonts w:ascii="SimSun" w:hAnsi="SimSun" w:eastAsia="SimSun" w:cs="SimSun"/>
          <w:sz w:val="21"/>
          <w:szCs w:val="21"/>
        </w:rPr>
      </w:pPr>
      <w:r>
        <w:rPr>
          <w:rFonts w:ascii="SimSun" w:hAnsi="SimSun" w:eastAsia="SimSun" w:cs="SimSun"/>
          <w:sz w:val="21"/>
          <w:szCs w:val="21"/>
          <w:spacing w:val="1"/>
        </w:rPr>
        <w:t>码位。数据标准是数据共享和系统集成的重要前提，数据标准化可以节省费用、提 </w:t>
      </w:r>
      <w:r>
        <w:rPr>
          <w:rFonts w:ascii="SimSun" w:hAnsi="SimSun" w:eastAsia="SimSun" w:cs="SimSun"/>
          <w:sz w:val="21"/>
          <w:szCs w:val="21"/>
        </w:rPr>
        <w:t>高效率和方便应用，有利于系统推广应用，</w:t>
      </w:r>
      <w:r>
        <w:rPr>
          <w:rFonts w:ascii="SimSun" w:hAnsi="SimSun" w:eastAsia="SimSun" w:cs="SimSun"/>
          <w:sz w:val="21"/>
          <w:szCs w:val="21"/>
          <w:spacing w:val="-1"/>
        </w:rPr>
        <w:t>实现数据共享，减少数据采集费用。</w:t>
      </w:r>
    </w:p>
    <w:p>
      <w:pPr>
        <w:ind w:left="703"/>
        <w:spacing w:before="187" w:line="225" w:lineRule="auto"/>
        <w:outlineLvl w:val="1"/>
        <w:rPr>
          <w:rFonts w:ascii="YouYuan" w:hAnsi="YouYuan" w:eastAsia="YouYuan" w:cs="YouYuan"/>
          <w:sz w:val="21"/>
          <w:szCs w:val="21"/>
        </w:rPr>
      </w:pPr>
      <w:r>
        <w:rPr>
          <w:rFonts w:ascii="YouYuan" w:hAnsi="YouYuan" w:eastAsia="YouYuan" w:cs="YouYuan"/>
          <w:sz w:val="21"/>
          <w:szCs w:val="21"/>
          <w:b/>
          <w:bCs/>
          <w:spacing w:val="6"/>
        </w:rPr>
        <w:t>4.</w:t>
      </w:r>
      <w:r>
        <w:rPr>
          <w:rFonts w:ascii="YouYuan" w:hAnsi="YouYuan" w:eastAsia="YouYuan" w:cs="YouYuan"/>
          <w:sz w:val="21"/>
          <w:szCs w:val="21"/>
          <w:spacing w:val="6"/>
        </w:rPr>
        <w:t xml:space="preserve"> </w:t>
      </w:r>
      <w:r>
        <w:rPr>
          <w:rFonts w:ascii="YouYuan" w:hAnsi="YouYuan" w:eastAsia="YouYuan" w:cs="YouYuan"/>
          <w:sz w:val="21"/>
          <w:szCs w:val="21"/>
          <w:b/>
          <w:bCs/>
          <w:spacing w:val="6"/>
        </w:rPr>
        <w:t>数据质量</w:t>
      </w:r>
    </w:p>
    <w:p>
      <w:pPr>
        <w:ind w:left="220" w:right="1" w:firstLine="479"/>
        <w:spacing w:before="242" w:line="267" w:lineRule="auto"/>
        <w:jc w:val="both"/>
        <w:rPr>
          <w:rFonts w:ascii="SimSun" w:hAnsi="SimSun" w:eastAsia="SimSun" w:cs="SimSun"/>
          <w:sz w:val="21"/>
          <w:szCs w:val="21"/>
        </w:rPr>
      </w:pPr>
      <w:r>
        <w:rPr>
          <w:rFonts w:ascii="SimSun" w:hAnsi="SimSun" w:eastAsia="SimSun" w:cs="SimSun"/>
          <w:sz w:val="21"/>
          <w:szCs w:val="21"/>
          <w:spacing w:val="1"/>
        </w:rPr>
        <w:t>数据是组织最具价值的资产之一。数据质量是保证数据应用的基础</w:t>
      </w:r>
      <w:r>
        <w:rPr>
          <w:rFonts w:ascii="SimSun" w:hAnsi="SimSun" w:eastAsia="SimSun" w:cs="SimSun"/>
          <w:sz w:val="21"/>
          <w:szCs w:val="21"/>
        </w:rPr>
        <w:t>，其决定决 </w:t>
      </w:r>
      <w:r>
        <w:rPr>
          <w:rFonts w:ascii="SimSun" w:hAnsi="SimSun" w:eastAsia="SimSun" w:cs="SimSun"/>
          <w:sz w:val="21"/>
          <w:szCs w:val="21"/>
          <w:spacing w:val="1"/>
        </w:rPr>
        <w:t>策的风险。组织的数据质量与业务绩效之间存在着直接联系，高质量的数据可以使  </w:t>
      </w:r>
      <w:r>
        <w:rPr>
          <w:rFonts w:ascii="SimSun" w:hAnsi="SimSun" w:eastAsia="SimSun" w:cs="SimSun"/>
          <w:sz w:val="21"/>
          <w:szCs w:val="21"/>
          <w:spacing w:val="2"/>
        </w:rPr>
        <w:t>组织保持竞争力并在经济动荡时期立于不败之地。不合理的使用以</w:t>
      </w:r>
      <w:r>
        <w:rPr>
          <w:rFonts w:ascii="SimSun" w:hAnsi="SimSun" w:eastAsia="SimSun" w:cs="SimSun"/>
          <w:sz w:val="21"/>
          <w:szCs w:val="21"/>
          <w:spacing w:val="1"/>
        </w:rPr>
        <w:t>及使用不正确的</w:t>
      </w:r>
      <w:r>
        <w:rPr>
          <w:rFonts w:ascii="SimSun" w:hAnsi="SimSun" w:eastAsia="SimSun" w:cs="SimSun"/>
          <w:sz w:val="21"/>
          <w:szCs w:val="21"/>
        </w:rPr>
        <w:t xml:space="preserve">  </w:t>
      </w:r>
      <w:r>
        <w:rPr>
          <w:rFonts w:ascii="SimSun" w:hAnsi="SimSun" w:eastAsia="SimSun" w:cs="SimSun"/>
          <w:sz w:val="21"/>
          <w:szCs w:val="21"/>
          <w:spacing w:val="7"/>
        </w:rPr>
        <w:t>数据(即差的数据质量)可导致决策的失败，正可谓差之毫厘、谬以千里。数据质</w:t>
      </w:r>
      <w:r>
        <w:rPr>
          <w:rFonts w:ascii="SimSun" w:hAnsi="SimSun" w:eastAsia="SimSun" w:cs="SimSun"/>
          <w:sz w:val="21"/>
          <w:szCs w:val="21"/>
          <w:spacing w:val="5"/>
        </w:rPr>
        <w:t xml:space="preserve">  </w:t>
      </w:r>
      <w:r>
        <w:rPr>
          <w:rFonts w:ascii="SimSun" w:hAnsi="SimSun" w:eastAsia="SimSun" w:cs="SimSun"/>
          <w:sz w:val="21"/>
          <w:szCs w:val="21"/>
          <w:spacing w:val="1"/>
        </w:rPr>
        <w:t>量可以从数据本身的数据质量和数据的过程质量两方面理解。数据本身的质量包括</w:t>
      </w:r>
      <w:r>
        <w:rPr>
          <w:rFonts w:ascii="SimSun" w:hAnsi="SimSun" w:eastAsia="SimSun" w:cs="SimSun"/>
          <w:sz w:val="21"/>
          <w:szCs w:val="21"/>
        </w:rPr>
        <w:t xml:space="preserve">  </w:t>
      </w:r>
      <w:r>
        <w:rPr>
          <w:rFonts w:ascii="SimSun" w:hAnsi="SimSun" w:eastAsia="SimSun" w:cs="SimSun"/>
          <w:sz w:val="21"/>
          <w:szCs w:val="21"/>
          <w:spacing w:val="-2"/>
        </w:rPr>
        <w:t>数据的真实性、完备性和自洽性，是数据本身应具有的属性，称为数据的绝对质量，</w:t>
      </w:r>
      <w:r>
        <w:rPr>
          <w:rFonts w:ascii="SimSun" w:hAnsi="SimSun" w:eastAsia="SimSun" w:cs="SimSun"/>
          <w:sz w:val="21"/>
          <w:szCs w:val="21"/>
          <w:spacing w:val="16"/>
        </w:rPr>
        <w:t xml:space="preserve"> </w:t>
      </w:r>
      <w:r>
        <w:rPr>
          <w:rFonts w:ascii="SimSun" w:hAnsi="SimSun" w:eastAsia="SimSun" w:cs="SimSun"/>
          <w:sz w:val="21"/>
          <w:szCs w:val="21"/>
          <w:spacing w:val="1"/>
        </w:rPr>
        <w:t>是保证数据质量的基础。数据的过程质量是指在利用和存贮数据的过程中所产生的</w:t>
      </w:r>
      <w:r>
        <w:rPr>
          <w:rFonts w:ascii="SimSun" w:hAnsi="SimSun" w:eastAsia="SimSun" w:cs="SimSun"/>
          <w:sz w:val="21"/>
          <w:szCs w:val="21"/>
          <w:spacing w:val="4"/>
        </w:rPr>
        <w:t xml:space="preserve">  </w:t>
      </w:r>
      <w:r>
        <w:rPr>
          <w:rFonts w:ascii="SimSun" w:hAnsi="SimSun" w:eastAsia="SimSun" w:cs="SimSun"/>
          <w:sz w:val="21"/>
          <w:szCs w:val="21"/>
          <w:spacing w:val="1"/>
        </w:rPr>
        <w:t>数据质量，包括使用质量、存储质量和传输质量。数据质量管理是对数据全生命周</w:t>
      </w:r>
      <w:r>
        <w:rPr>
          <w:rFonts w:ascii="SimSun" w:hAnsi="SimSun" w:eastAsia="SimSun" w:cs="SimSun"/>
          <w:sz w:val="21"/>
          <w:szCs w:val="21"/>
          <w:spacing w:val="8"/>
        </w:rPr>
        <w:t xml:space="preserve">  </w:t>
      </w:r>
      <w:r>
        <w:rPr>
          <w:rFonts w:ascii="SimSun" w:hAnsi="SimSun" w:eastAsia="SimSun" w:cs="SimSun"/>
          <w:sz w:val="21"/>
          <w:szCs w:val="21"/>
          <w:spacing w:val="1"/>
        </w:rPr>
        <w:t>期过程中可能引发的各类数据质量问题进行识别、度量、监控、处置等一系列管理</w:t>
      </w:r>
      <w:r>
        <w:rPr>
          <w:rFonts w:ascii="SimSun" w:hAnsi="SimSun" w:eastAsia="SimSun" w:cs="SimSun"/>
          <w:sz w:val="21"/>
          <w:szCs w:val="21"/>
        </w:rPr>
        <w:t xml:space="preserve">  </w:t>
      </w:r>
      <w:r>
        <w:rPr>
          <w:rFonts w:ascii="SimSun" w:hAnsi="SimSun" w:eastAsia="SimSun" w:cs="SimSun"/>
          <w:sz w:val="21"/>
          <w:szCs w:val="21"/>
          <w:spacing w:val="-10"/>
        </w:rPr>
        <w:t>活动。</w:t>
      </w:r>
    </w:p>
    <w:p>
      <w:pPr>
        <w:ind w:left="703"/>
        <w:spacing w:before="214" w:line="225" w:lineRule="auto"/>
        <w:outlineLvl w:val="1"/>
        <w:rPr>
          <w:rFonts w:ascii="YouYuan" w:hAnsi="YouYuan" w:eastAsia="YouYuan" w:cs="YouYuan"/>
          <w:sz w:val="21"/>
          <w:szCs w:val="21"/>
        </w:rPr>
      </w:pPr>
      <w:r>
        <w:rPr>
          <w:rFonts w:ascii="YouYuan" w:hAnsi="YouYuan" w:eastAsia="YouYuan" w:cs="YouYuan"/>
          <w:sz w:val="21"/>
          <w:szCs w:val="21"/>
          <w:b/>
          <w:bCs/>
          <w:spacing w:val="4"/>
        </w:rPr>
        <w:t>5.</w:t>
      </w:r>
      <w:r>
        <w:rPr>
          <w:rFonts w:ascii="YouYuan" w:hAnsi="YouYuan" w:eastAsia="YouYuan" w:cs="YouYuan"/>
          <w:sz w:val="21"/>
          <w:szCs w:val="21"/>
          <w:spacing w:val="17"/>
        </w:rPr>
        <w:t xml:space="preserve"> </w:t>
      </w:r>
      <w:r>
        <w:rPr>
          <w:rFonts w:ascii="YouYuan" w:hAnsi="YouYuan" w:eastAsia="YouYuan" w:cs="YouYuan"/>
          <w:sz w:val="21"/>
          <w:szCs w:val="21"/>
          <w:b/>
          <w:bCs/>
          <w:spacing w:val="4"/>
        </w:rPr>
        <w:t>合规性管理</w:t>
      </w:r>
    </w:p>
    <w:p>
      <w:pPr>
        <w:ind w:left="220" w:firstLine="479"/>
        <w:spacing w:before="225" w:line="268" w:lineRule="auto"/>
        <w:rPr>
          <w:rFonts w:ascii="SimSun" w:hAnsi="SimSun" w:eastAsia="SimSun" w:cs="SimSun"/>
          <w:sz w:val="21"/>
          <w:szCs w:val="21"/>
        </w:rPr>
      </w:pPr>
      <w:r>
        <w:rPr>
          <w:rFonts w:ascii="SimSun" w:hAnsi="SimSun" w:eastAsia="SimSun" w:cs="SimSun"/>
          <w:sz w:val="21"/>
          <w:szCs w:val="21"/>
          <w:spacing w:val="-3"/>
        </w:rPr>
        <w:t>合规对于数据治理来说具有重要意义。在云计算环境下</w:t>
      </w:r>
      <w:r>
        <w:rPr>
          <w:rFonts w:ascii="SimSun" w:hAnsi="SimSun" w:eastAsia="SimSun" w:cs="SimSun"/>
          <w:sz w:val="21"/>
          <w:szCs w:val="21"/>
          <w:spacing w:val="-4"/>
        </w:rPr>
        <w:t>，物理数据存储在哪里，</w:t>
      </w:r>
      <w:r>
        <w:rPr>
          <w:rFonts w:ascii="SimSun" w:hAnsi="SimSun" w:eastAsia="SimSun" w:cs="SimSun"/>
          <w:sz w:val="21"/>
          <w:szCs w:val="21"/>
        </w:rPr>
        <w:t xml:space="preserve"> </w:t>
      </w:r>
      <w:r>
        <w:rPr>
          <w:rFonts w:ascii="SimSun" w:hAnsi="SimSun" w:eastAsia="SimSun" w:cs="SimSun"/>
          <w:sz w:val="21"/>
          <w:szCs w:val="21"/>
          <w:spacing w:val="-2"/>
        </w:rPr>
        <w:t>运行在哪里以及从哪里获得数据都是可变的，数据的流动也是跨区域甚至跨国</w:t>
      </w:r>
      <w:r>
        <w:rPr>
          <w:rFonts w:ascii="SimSun" w:hAnsi="SimSun" w:eastAsia="SimSun" w:cs="SimSun"/>
          <w:sz w:val="21"/>
          <w:szCs w:val="21"/>
          <w:spacing w:val="-3"/>
        </w:rPr>
        <w:t>界的。</w:t>
      </w:r>
      <w:r>
        <w:rPr>
          <w:rFonts w:ascii="SimSun" w:hAnsi="SimSun" w:eastAsia="SimSun" w:cs="SimSun"/>
          <w:sz w:val="21"/>
          <w:szCs w:val="21"/>
        </w:rPr>
        <w:t xml:space="preserve"> </w:t>
      </w:r>
      <w:r>
        <w:rPr>
          <w:rFonts w:ascii="SimSun" w:hAnsi="SimSun" w:eastAsia="SimSun" w:cs="SimSun"/>
          <w:sz w:val="21"/>
          <w:szCs w:val="21"/>
        </w:rPr>
        <w:t>当组织将其业务从传统数据中心迁移至云计算数据中心时，将面临新的安全挑战，</w:t>
      </w:r>
      <w:r>
        <w:rPr>
          <w:rFonts w:ascii="SimSun" w:hAnsi="SimSun" w:eastAsia="SimSun" w:cs="SimSun"/>
          <w:sz w:val="21"/>
          <w:szCs w:val="21"/>
          <w:spacing w:val="2"/>
        </w:rPr>
        <w:t xml:space="preserve">  </w:t>
      </w:r>
      <w:r>
        <w:rPr>
          <w:rFonts w:ascii="SimSun" w:hAnsi="SimSun" w:eastAsia="SimSun" w:cs="SimSun"/>
          <w:sz w:val="21"/>
          <w:szCs w:val="21"/>
          <w:spacing w:val="1"/>
        </w:rPr>
        <w:t>其中最重要的挑战即是需要遵从各种合规性要求。例如：根据财政部、证监会、审</w:t>
      </w:r>
      <w:r>
        <w:rPr>
          <w:rFonts w:ascii="SimSun" w:hAnsi="SimSun" w:eastAsia="SimSun" w:cs="SimSun"/>
          <w:sz w:val="21"/>
          <w:szCs w:val="21"/>
          <w:spacing w:val="5"/>
        </w:rPr>
        <w:t xml:space="preserve">  </w:t>
      </w:r>
      <w:r>
        <w:rPr>
          <w:rFonts w:ascii="SimSun" w:hAnsi="SimSun" w:eastAsia="SimSun" w:cs="SimSun"/>
          <w:sz w:val="21"/>
          <w:szCs w:val="21"/>
          <w:spacing w:val="-10"/>
        </w:rPr>
        <w:t>计署、银监会、保监会联合制订并发布的《企业内部控制基本规范》[22]的要求，“企</w:t>
      </w:r>
      <w:r>
        <w:rPr>
          <w:rFonts w:ascii="SimSun" w:hAnsi="SimSun" w:eastAsia="SimSun" w:cs="SimSun"/>
          <w:sz w:val="21"/>
          <w:szCs w:val="21"/>
          <w:spacing w:val="8"/>
        </w:rPr>
        <w:t xml:space="preserve">  </w:t>
      </w:r>
      <w:r>
        <w:rPr>
          <w:rFonts w:ascii="SimSun" w:hAnsi="SimSun" w:eastAsia="SimSun" w:cs="SimSun"/>
          <w:sz w:val="21"/>
          <w:szCs w:val="21"/>
          <w:spacing w:val="1"/>
        </w:rPr>
        <w:t>业应当在信息系统中设置操作日志功能，确保操作的可审计性。对异常的或者违背</w:t>
      </w:r>
      <w:r>
        <w:rPr>
          <w:rFonts w:ascii="SimSun" w:hAnsi="SimSun" w:eastAsia="SimSun" w:cs="SimSun"/>
          <w:sz w:val="21"/>
          <w:szCs w:val="21"/>
          <w:spacing w:val="3"/>
        </w:rPr>
        <w:t xml:space="preserve">  </w:t>
      </w:r>
      <w:r>
        <w:rPr>
          <w:rFonts w:ascii="SimSun" w:hAnsi="SimSun" w:eastAsia="SimSun" w:cs="SimSun"/>
          <w:sz w:val="21"/>
          <w:szCs w:val="21"/>
          <w:spacing w:val="-8"/>
        </w:rPr>
        <w:t>内部控制要求的交易和数据，应当设计由系统自动报告并设置跟踪处理机制。”另外，</w:t>
      </w:r>
      <w:r>
        <w:rPr>
          <w:rFonts w:ascii="SimSun" w:hAnsi="SimSun" w:eastAsia="SimSun" w:cs="SimSun"/>
          <w:sz w:val="21"/>
          <w:szCs w:val="21"/>
          <w:spacing w:val="17"/>
        </w:rPr>
        <w:t xml:space="preserve"> </w:t>
      </w:r>
      <w:r>
        <w:rPr>
          <w:rFonts w:ascii="SimSun" w:hAnsi="SimSun" w:eastAsia="SimSun" w:cs="SimSun"/>
          <w:sz w:val="21"/>
          <w:szCs w:val="21"/>
          <w:spacing w:val="2"/>
        </w:rPr>
        <w:t>针对数据安全和个人信息保护，许多国家已经</w:t>
      </w:r>
      <w:r>
        <w:rPr>
          <w:rFonts w:ascii="SimSun" w:hAnsi="SimSun" w:eastAsia="SimSun" w:cs="SimSun"/>
          <w:sz w:val="21"/>
          <w:szCs w:val="21"/>
          <w:spacing w:val="1"/>
        </w:rPr>
        <w:t>发布相关的法律法规要求，部分行业</w:t>
      </w:r>
      <w:r>
        <w:rPr>
          <w:rFonts w:ascii="SimSun" w:hAnsi="SimSun" w:eastAsia="SimSun" w:cs="SimSun"/>
          <w:sz w:val="21"/>
          <w:szCs w:val="21"/>
        </w:rPr>
        <w:t xml:space="preserve">  </w:t>
      </w:r>
      <w:r>
        <w:rPr>
          <w:rFonts w:ascii="SimSun" w:hAnsi="SimSun" w:eastAsia="SimSun" w:cs="SimSun"/>
          <w:sz w:val="21"/>
          <w:szCs w:val="21"/>
          <w:spacing w:val="1"/>
        </w:rPr>
        <w:t>也发布了针对性的数据安全管理要求，组织在处理涉及数据事务时，首先必须识别</w:t>
      </w:r>
      <w:r>
        <w:rPr>
          <w:rFonts w:ascii="SimSun" w:hAnsi="SimSun" w:eastAsia="SimSun" w:cs="SimSun"/>
          <w:sz w:val="21"/>
          <w:szCs w:val="21"/>
          <w:spacing w:val="5"/>
        </w:rPr>
        <w:t xml:space="preserve">  </w:t>
      </w:r>
      <w:r>
        <w:rPr>
          <w:rFonts w:ascii="SimSun" w:hAnsi="SimSun" w:eastAsia="SimSun" w:cs="SimSun"/>
          <w:sz w:val="21"/>
          <w:szCs w:val="21"/>
          <w:spacing w:val="1"/>
        </w:rPr>
        <w:t>出所有适用的法律法规要求，然后根据要求和组织实际，采取合理的措施以满足合</w:t>
      </w:r>
      <w:r>
        <w:rPr>
          <w:rFonts w:ascii="SimSun" w:hAnsi="SimSun" w:eastAsia="SimSun" w:cs="SimSun"/>
          <w:sz w:val="21"/>
          <w:szCs w:val="21"/>
        </w:rPr>
        <w:t xml:space="preserve">  </w:t>
      </w:r>
      <w:r>
        <w:rPr>
          <w:rFonts w:ascii="SimSun" w:hAnsi="SimSun" w:eastAsia="SimSun" w:cs="SimSun"/>
          <w:sz w:val="21"/>
          <w:szCs w:val="21"/>
          <w:spacing w:val="-7"/>
        </w:rPr>
        <w:t>规性管理。</w:t>
      </w:r>
    </w:p>
    <w:p>
      <w:pPr>
        <w:pStyle w:val="BodyText"/>
        <w:spacing w:line="461" w:lineRule="auto"/>
        <w:rPr/>
      </w:pPr>
      <w:r/>
    </w:p>
    <w:p>
      <w:pPr>
        <w:ind w:left="224"/>
        <w:spacing w:before="105" w:line="222" w:lineRule="auto"/>
        <w:outlineLvl w:val="0"/>
        <w:rPr>
          <w:rFonts w:ascii="SimHei" w:hAnsi="SimHei" w:eastAsia="SimHei" w:cs="SimHei"/>
          <w:sz w:val="32"/>
          <w:szCs w:val="32"/>
        </w:rPr>
      </w:pPr>
      <w:r>
        <w:rPr>
          <w:rFonts w:ascii="SimHei" w:hAnsi="SimHei" w:eastAsia="SimHei" w:cs="SimHei"/>
          <w:sz w:val="32"/>
          <w:szCs w:val="32"/>
          <w:b/>
          <w:bCs/>
          <w:spacing w:val="-2"/>
        </w:rPr>
        <w:t>1.4</w:t>
      </w:r>
      <w:r>
        <w:rPr>
          <w:rFonts w:ascii="SimHei" w:hAnsi="SimHei" w:eastAsia="SimHei" w:cs="SimHei"/>
          <w:sz w:val="32"/>
          <w:szCs w:val="32"/>
          <w:spacing w:val="-2"/>
        </w:rPr>
        <w:t xml:space="preserve">  </w:t>
      </w:r>
      <w:r>
        <w:rPr>
          <w:rFonts w:ascii="SimHei" w:hAnsi="SimHei" w:eastAsia="SimHei" w:cs="SimHei"/>
          <w:sz w:val="32"/>
          <w:szCs w:val="32"/>
          <w:b/>
          <w:bCs/>
          <w:spacing w:val="-2"/>
        </w:rPr>
        <w:t>数据治理意义和面临的挑战</w:t>
      </w:r>
    </w:p>
    <w:p>
      <w:pPr>
        <w:pStyle w:val="BodyText"/>
        <w:spacing w:line="271" w:lineRule="auto"/>
        <w:rPr/>
      </w:pPr>
      <w:r/>
    </w:p>
    <w:p>
      <w:pPr>
        <w:ind w:left="224"/>
        <w:spacing w:before="91" w:line="222" w:lineRule="auto"/>
        <w:outlineLvl w:val="1"/>
        <w:rPr>
          <w:rFonts w:ascii="SimHei" w:hAnsi="SimHei" w:eastAsia="SimHei" w:cs="SimHei"/>
          <w:sz w:val="28"/>
          <w:szCs w:val="28"/>
        </w:rPr>
      </w:pPr>
      <w:r>
        <w:rPr>
          <w:rFonts w:ascii="SimHei" w:hAnsi="SimHei" w:eastAsia="SimHei" w:cs="SimHei"/>
          <w:sz w:val="28"/>
          <w:szCs w:val="28"/>
          <w:b/>
          <w:bCs/>
          <w:spacing w:val="-3"/>
        </w:rPr>
        <w:t>1.4.1</w:t>
      </w:r>
      <w:r>
        <w:rPr>
          <w:rFonts w:ascii="SimHei" w:hAnsi="SimHei" w:eastAsia="SimHei" w:cs="SimHei"/>
          <w:sz w:val="28"/>
          <w:szCs w:val="28"/>
          <w:spacing w:val="-3"/>
        </w:rPr>
        <w:t xml:space="preserve">  </w:t>
      </w:r>
      <w:r>
        <w:rPr>
          <w:rFonts w:ascii="SimHei" w:hAnsi="SimHei" w:eastAsia="SimHei" w:cs="SimHei"/>
          <w:sz w:val="28"/>
          <w:szCs w:val="28"/>
          <w:b/>
          <w:bCs/>
          <w:spacing w:val="-3"/>
        </w:rPr>
        <w:t>数据治理对组织的意义</w:t>
      </w:r>
    </w:p>
    <w:p>
      <w:pPr>
        <w:ind w:left="220" w:right="3" w:firstLine="479"/>
        <w:spacing w:before="305" w:line="260" w:lineRule="auto"/>
        <w:jc w:val="both"/>
        <w:rPr>
          <w:rFonts w:ascii="SimSun" w:hAnsi="SimSun" w:eastAsia="SimSun" w:cs="SimSun"/>
          <w:sz w:val="21"/>
          <w:szCs w:val="21"/>
        </w:rPr>
      </w:pPr>
      <w:r>
        <w:rPr>
          <w:rFonts w:ascii="SimSun" w:hAnsi="SimSun" w:eastAsia="SimSun" w:cs="SimSun"/>
          <w:sz w:val="21"/>
          <w:szCs w:val="21"/>
          <w:spacing w:val="1"/>
        </w:rPr>
        <w:t>在信息化高度发展的大环境下，数据对组织的价值日益增大，数据已经成为与</w:t>
      </w:r>
      <w:r>
        <w:rPr>
          <w:rFonts w:ascii="SimSun" w:hAnsi="SimSun" w:eastAsia="SimSun" w:cs="SimSun"/>
          <w:sz w:val="21"/>
          <w:szCs w:val="21"/>
          <w:spacing w:val="12"/>
        </w:rPr>
        <w:t xml:space="preserve"> </w:t>
      </w:r>
      <w:r>
        <w:rPr>
          <w:rFonts w:ascii="SimSun" w:hAnsi="SimSun" w:eastAsia="SimSun" w:cs="SimSun"/>
          <w:sz w:val="21"/>
          <w:szCs w:val="21"/>
          <w:spacing w:val="1"/>
        </w:rPr>
        <w:t>资金和人力资本同等重要的资产。数据价值的利用不是简单就能得到的，需要组织</w:t>
      </w:r>
      <w:r>
        <w:rPr>
          <w:rFonts w:ascii="SimSun" w:hAnsi="SimSun" w:eastAsia="SimSun" w:cs="SimSun"/>
          <w:sz w:val="21"/>
          <w:szCs w:val="21"/>
          <w:spacing w:val="2"/>
        </w:rPr>
        <w:t xml:space="preserve">  </w:t>
      </w:r>
      <w:r>
        <w:rPr>
          <w:rFonts w:ascii="SimSun" w:hAnsi="SimSun" w:eastAsia="SimSun" w:cs="SimSun"/>
          <w:sz w:val="21"/>
          <w:szCs w:val="21"/>
          <w:spacing w:val="-2"/>
        </w:rPr>
        <w:t>去管理去挖掘，而如果管理不好，不仅可能无法得到数据价值，反而遭受数据之灾，</w:t>
      </w:r>
    </w:p>
    <w:p>
      <w:pPr>
        <w:spacing w:line="260" w:lineRule="auto"/>
        <w:sectPr>
          <w:footerReference w:type="default" r:id="rId87"/>
          <w:pgSz w:w="8870" w:h="13400"/>
          <w:pgMar w:top="400" w:right="454" w:bottom="527" w:left="479" w:header="0" w:footer="319" w:gutter="0"/>
        </w:sectPr>
        <w:rPr>
          <w:rFonts w:ascii="SimSun" w:hAnsi="SimSun" w:eastAsia="SimSun" w:cs="SimSun"/>
          <w:sz w:val="21"/>
          <w:szCs w:val="21"/>
        </w:rPr>
      </w:pPr>
    </w:p>
    <w:p>
      <w:pPr>
        <w:ind w:left="5483"/>
        <w:spacing w:before="234" w:line="219" w:lineRule="auto"/>
        <w:rPr>
          <w:rFonts w:ascii="SimSun" w:hAnsi="SimSun" w:eastAsia="SimSun" w:cs="SimSun"/>
          <w:sz w:val="21"/>
          <w:szCs w:val="21"/>
        </w:rPr>
      </w:pPr>
      <w:r>
        <w:rPr>
          <w:rFonts w:ascii="SimSun" w:hAnsi="SimSun" w:eastAsia="SimSun" w:cs="SimSun"/>
          <w:sz w:val="21"/>
          <w:szCs w:val="21"/>
          <w:b/>
          <w:bCs/>
          <w:spacing w:val="15"/>
        </w:rPr>
        <w:t>第1章■数据治理概述</w:t>
      </w:r>
    </w:p>
    <w:p>
      <w:pPr>
        <w:pStyle w:val="BodyText"/>
        <w:spacing w:line="265" w:lineRule="auto"/>
        <w:rPr/>
      </w:pPr>
      <w:r/>
    </w:p>
    <w:p>
      <w:pPr>
        <w:ind w:right="259"/>
        <w:spacing w:before="68"/>
        <w:rPr>
          <w:rFonts w:ascii="SimSun" w:hAnsi="SimSun" w:eastAsia="SimSun" w:cs="SimSun"/>
          <w:sz w:val="21"/>
          <w:szCs w:val="21"/>
        </w:rPr>
      </w:pPr>
      <w:r>
        <w:rPr>
          <w:rFonts w:ascii="SimSun" w:hAnsi="SimSun" w:eastAsia="SimSun" w:cs="SimSun"/>
          <w:sz w:val="21"/>
          <w:szCs w:val="21"/>
          <w:spacing w:val="1"/>
        </w:rPr>
        <w:t>例如数据泄露、决策误判等。数据治理定位于组织对数据资产的管控与利用，发挥</w:t>
      </w:r>
      <w:r>
        <w:rPr>
          <w:rFonts w:ascii="SimSun" w:hAnsi="SimSun" w:eastAsia="SimSun" w:cs="SimSun"/>
          <w:sz w:val="21"/>
          <w:szCs w:val="21"/>
          <w:spacing w:val="12"/>
        </w:rPr>
        <w:t xml:space="preserve"> </w:t>
      </w:r>
      <w:r>
        <w:rPr>
          <w:rFonts w:ascii="SimSun" w:hAnsi="SimSun" w:eastAsia="SimSun" w:cs="SimSun"/>
          <w:sz w:val="21"/>
          <w:szCs w:val="21"/>
          <w:spacing w:val="-5"/>
        </w:rPr>
        <w:t>数据及其背后蕴藏的价值。</w:t>
      </w:r>
    </w:p>
    <w:p>
      <w:pPr>
        <w:ind w:left="422"/>
        <w:spacing w:before="209" w:line="216" w:lineRule="auto"/>
        <w:outlineLvl w:val="2"/>
        <w:rPr>
          <w:rFonts w:ascii="YouYuan" w:hAnsi="YouYuan" w:eastAsia="YouYuan" w:cs="YouYuan"/>
          <w:sz w:val="21"/>
          <w:szCs w:val="21"/>
        </w:rPr>
      </w:pPr>
      <w:r>
        <w:rPr>
          <w:rFonts w:ascii="YouYuan" w:hAnsi="YouYuan" w:eastAsia="YouYuan" w:cs="YouYuan"/>
          <w:sz w:val="21"/>
          <w:szCs w:val="21"/>
          <w:b/>
          <w:bCs/>
          <w:spacing w:val="6"/>
        </w:rPr>
        <w:t>1.</w:t>
      </w:r>
      <w:r>
        <w:rPr>
          <w:rFonts w:ascii="YouYuan" w:hAnsi="YouYuan" w:eastAsia="YouYuan" w:cs="YouYuan"/>
          <w:sz w:val="21"/>
          <w:szCs w:val="21"/>
          <w:spacing w:val="6"/>
        </w:rPr>
        <w:t xml:space="preserve"> </w:t>
      </w:r>
      <w:r>
        <w:rPr>
          <w:rFonts w:ascii="YouYuan" w:hAnsi="YouYuan" w:eastAsia="YouYuan" w:cs="YouYuan"/>
          <w:sz w:val="21"/>
          <w:szCs w:val="21"/>
          <w:b/>
          <w:bCs/>
          <w:spacing w:val="6"/>
        </w:rPr>
        <w:t>数据治理提高组织数据管理能力</w:t>
      </w:r>
    </w:p>
    <w:p>
      <w:pPr>
        <w:ind w:right="155" w:firstLine="419"/>
        <w:spacing w:before="257" w:line="265" w:lineRule="auto"/>
        <w:jc w:val="both"/>
        <w:rPr>
          <w:rFonts w:ascii="SimSun" w:hAnsi="SimSun" w:eastAsia="SimSun" w:cs="SimSun"/>
          <w:sz w:val="21"/>
          <w:szCs w:val="21"/>
        </w:rPr>
      </w:pPr>
      <w:r>
        <w:rPr>
          <w:rFonts w:ascii="SimSun" w:hAnsi="SimSun" w:eastAsia="SimSun" w:cs="SimSun"/>
          <w:sz w:val="21"/>
          <w:szCs w:val="21"/>
          <w:spacing w:val="1"/>
        </w:rPr>
        <w:t>数据价值发挥的前提是管理好数据，数据规模的增加、数据格式的复杂化等都</w:t>
      </w:r>
      <w:r>
        <w:rPr>
          <w:rFonts w:ascii="SimSun" w:hAnsi="SimSun" w:eastAsia="SimSun" w:cs="SimSun"/>
          <w:sz w:val="21"/>
          <w:szCs w:val="21"/>
          <w:spacing w:val="6"/>
        </w:rPr>
        <w:t xml:space="preserve">  </w:t>
      </w:r>
      <w:r>
        <w:rPr>
          <w:rFonts w:ascii="SimSun" w:hAnsi="SimSun" w:eastAsia="SimSun" w:cs="SimSun"/>
          <w:sz w:val="21"/>
          <w:szCs w:val="21"/>
          <w:spacing w:val="1"/>
        </w:rPr>
        <w:t>给组织管理数据提出了挑战。数据治理就是在整个数据生命周期过程中制订由业务</w:t>
      </w:r>
      <w:r>
        <w:rPr>
          <w:rFonts w:ascii="SimSun" w:hAnsi="SimSun" w:eastAsia="SimSun" w:cs="SimSun"/>
          <w:sz w:val="21"/>
          <w:szCs w:val="21"/>
          <w:spacing w:val="6"/>
        </w:rPr>
        <w:t xml:space="preserve">  </w:t>
      </w:r>
      <w:r>
        <w:rPr>
          <w:rFonts w:ascii="SimSun" w:hAnsi="SimSun" w:eastAsia="SimSun" w:cs="SimSun"/>
          <w:sz w:val="21"/>
          <w:szCs w:val="21"/>
          <w:spacing w:val="1"/>
        </w:rPr>
        <w:t>推动的数据政策、数据所有权、数据监控、数据标准以及指导方针，指导组织开展</w:t>
      </w:r>
      <w:r>
        <w:rPr>
          <w:rFonts w:ascii="SimSun" w:hAnsi="SimSun" w:eastAsia="SimSun" w:cs="SimSun"/>
          <w:sz w:val="21"/>
          <w:szCs w:val="21"/>
          <w:spacing w:val="7"/>
        </w:rPr>
        <w:t xml:space="preserve">  </w:t>
      </w:r>
      <w:r>
        <w:rPr>
          <w:rFonts w:ascii="SimSun" w:hAnsi="SimSun" w:eastAsia="SimSun" w:cs="SimSun"/>
          <w:sz w:val="21"/>
          <w:szCs w:val="21"/>
          <w:spacing w:val="1"/>
        </w:rPr>
        <w:t>数据管理活动。例如数据治理要求组织建立专业的数据治理组织与角色，并在方针</w:t>
      </w:r>
      <w:r>
        <w:rPr>
          <w:rFonts w:ascii="SimSun" w:hAnsi="SimSun" w:eastAsia="SimSun" w:cs="SimSun"/>
          <w:sz w:val="21"/>
          <w:szCs w:val="21"/>
          <w:spacing w:val="5"/>
        </w:rPr>
        <w:t xml:space="preserve">  </w:t>
      </w:r>
      <w:r>
        <w:rPr>
          <w:rFonts w:ascii="SimSun" w:hAnsi="SimSun" w:eastAsia="SimSun" w:cs="SimSun"/>
          <w:sz w:val="21"/>
          <w:szCs w:val="21"/>
          <w:spacing w:val="-2"/>
        </w:rPr>
        <w:t>政策上明确数据治理的目标和方向，这让数据管理有操作的主体，目标也更加清晰；</w:t>
      </w:r>
      <w:r>
        <w:rPr>
          <w:rFonts w:ascii="SimSun" w:hAnsi="SimSun" w:eastAsia="SimSun" w:cs="SimSun"/>
          <w:sz w:val="21"/>
          <w:szCs w:val="21"/>
          <w:spacing w:val="16"/>
        </w:rPr>
        <w:t xml:space="preserve"> </w:t>
      </w:r>
      <w:r>
        <w:rPr>
          <w:rFonts w:ascii="SimSun" w:hAnsi="SimSun" w:eastAsia="SimSun" w:cs="SimSun"/>
          <w:sz w:val="21"/>
          <w:szCs w:val="21"/>
          <w:spacing w:val="-3"/>
        </w:rPr>
        <w:t>数据操作帮助组织弄明白数据管理需要什么技术、如何去操作、怎么去衡量结果等，</w:t>
      </w:r>
      <w:r>
        <w:rPr>
          <w:rFonts w:ascii="SimSun" w:hAnsi="SimSun" w:eastAsia="SimSun" w:cs="SimSun"/>
          <w:sz w:val="21"/>
          <w:szCs w:val="21"/>
          <w:spacing w:val="15"/>
        </w:rPr>
        <w:t xml:space="preserve"> </w:t>
      </w:r>
      <w:r>
        <w:rPr>
          <w:rFonts w:ascii="SimSun" w:hAnsi="SimSun" w:eastAsia="SimSun" w:cs="SimSun"/>
          <w:sz w:val="21"/>
          <w:szCs w:val="21"/>
          <w:spacing w:val="-5"/>
        </w:rPr>
        <w:t>真正实现对数据的有效管理。</w:t>
      </w:r>
    </w:p>
    <w:p>
      <w:pPr>
        <w:ind w:left="422"/>
        <w:spacing w:before="206" w:line="225" w:lineRule="auto"/>
        <w:outlineLvl w:val="2"/>
        <w:rPr>
          <w:rFonts w:ascii="YouYuan" w:hAnsi="YouYuan" w:eastAsia="YouYuan" w:cs="YouYuan"/>
          <w:sz w:val="21"/>
          <w:szCs w:val="21"/>
        </w:rPr>
      </w:pPr>
      <w:r>
        <w:rPr>
          <w:rFonts w:ascii="YouYuan" w:hAnsi="YouYuan" w:eastAsia="YouYuan" w:cs="YouYuan"/>
          <w:sz w:val="21"/>
          <w:szCs w:val="21"/>
          <w:b/>
          <w:bCs/>
          <w:spacing w:val="5"/>
        </w:rPr>
        <w:t>2.</w:t>
      </w:r>
      <w:r>
        <w:rPr>
          <w:rFonts w:ascii="YouYuan" w:hAnsi="YouYuan" w:eastAsia="YouYuan" w:cs="YouYuan"/>
          <w:sz w:val="21"/>
          <w:szCs w:val="21"/>
          <w:spacing w:val="5"/>
        </w:rPr>
        <w:t xml:space="preserve"> </w:t>
      </w:r>
      <w:r>
        <w:rPr>
          <w:rFonts w:ascii="YouYuan" w:hAnsi="YouYuan" w:eastAsia="YouYuan" w:cs="YouYuan"/>
          <w:sz w:val="21"/>
          <w:szCs w:val="21"/>
          <w:b/>
          <w:bCs/>
          <w:spacing w:val="5"/>
        </w:rPr>
        <w:t>数据治理降低组织数据管理风险</w:t>
      </w:r>
    </w:p>
    <w:p>
      <w:pPr>
        <w:ind w:right="164" w:firstLine="419"/>
        <w:spacing w:before="236" w:line="264" w:lineRule="auto"/>
        <w:jc w:val="both"/>
        <w:rPr>
          <w:rFonts w:ascii="SimSun" w:hAnsi="SimSun" w:eastAsia="SimSun" w:cs="SimSun"/>
          <w:sz w:val="21"/>
          <w:szCs w:val="21"/>
        </w:rPr>
      </w:pPr>
      <w:r>
        <w:rPr>
          <w:rFonts w:ascii="SimSun" w:hAnsi="SimSun" w:eastAsia="SimSun" w:cs="SimSun"/>
          <w:sz w:val="21"/>
          <w:szCs w:val="21"/>
          <w:spacing w:val="-2"/>
        </w:rPr>
        <w:t>组织为业务开展通常会在一些关键领域收集、分析和使用各种有关客户、产品、</w:t>
      </w:r>
      <w:r>
        <w:rPr>
          <w:rFonts w:ascii="SimSun" w:hAnsi="SimSun" w:eastAsia="SimSun" w:cs="SimSun"/>
          <w:sz w:val="21"/>
          <w:szCs w:val="21"/>
          <w:spacing w:val="3"/>
        </w:rPr>
        <w:t xml:space="preserve"> </w:t>
      </w:r>
      <w:r>
        <w:rPr>
          <w:rFonts w:ascii="SimSun" w:hAnsi="SimSun" w:eastAsia="SimSun" w:cs="SimSun"/>
          <w:sz w:val="21"/>
          <w:szCs w:val="21"/>
          <w:spacing w:val="2"/>
        </w:rPr>
        <w:t>业务环境变化等方面的信息，但是意外的数</w:t>
      </w:r>
      <w:r>
        <w:rPr>
          <w:rFonts w:ascii="SimSun" w:hAnsi="SimSun" w:eastAsia="SimSun" w:cs="SimSun"/>
          <w:sz w:val="21"/>
          <w:szCs w:val="21"/>
          <w:spacing w:val="1"/>
        </w:rPr>
        <w:t>据泄露无疑会对组织的业务产生较大的</w:t>
      </w:r>
      <w:r>
        <w:rPr>
          <w:rFonts w:ascii="SimSun" w:hAnsi="SimSun" w:eastAsia="SimSun" w:cs="SimSun"/>
          <w:sz w:val="21"/>
          <w:szCs w:val="21"/>
        </w:rPr>
        <w:t xml:space="preserve">  </w:t>
      </w:r>
      <w:r>
        <w:rPr>
          <w:rFonts w:ascii="SimSun" w:hAnsi="SimSun" w:eastAsia="SimSun" w:cs="SimSun"/>
          <w:sz w:val="21"/>
          <w:szCs w:val="21"/>
          <w:spacing w:val="1"/>
        </w:rPr>
        <w:t>负面影响。由于缺乏正确的数据治理策略以及正确使用数据的规则，组织的敏感数</w:t>
      </w:r>
      <w:r>
        <w:rPr>
          <w:rFonts w:ascii="SimSun" w:hAnsi="SimSun" w:eastAsia="SimSun" w:cs="SimSun"/>
          <w:sz w:val="21"/>
          <w:szCs w:val="21"/>
          <w:spacing w:val="5"/>
        </w:rPr>
        <w:t xml:space="preserve">  </w:t>
      </w:r>
      <w:r>
        <w:rPr>
          <w:rFonts w:ascii="SimSun" w:hAnsi="SimSun" w:eastAsia="SimSun" w:cs="SimSun"/>
          <w:sz w:val="21"/>
          <w:szCs w:val="21"/>
          <w:spacing w:val="1"/>
        </w:rPr>
        <w:t>据可能丢失。有效的数据治理可以为数据的访问管理、评估和管控风险、明确数据</w:t>
      </w:r>
      <w:r>
        <w:rPr>
          <w:rFonts w:ascii="SimSun" w:hAnsi="SimSun" w:eastAsia="SimSun" w:cs="SimSun"/>
          <w:sz w:val="21"/>
          <w:szCs w:val="21"/>
          <w:spacing w:val="7"/>
        </w:rPr>
        <w:t xml:space="preserve">  </w:t>
      </w:r>
      <w:r>
        <w:rPr>
          <w:rFonts w:ascii="SimSun" w:hAnsi="SimSun" w:eastAsia="SimSun" w:cs="SimSun"/>
          <w:sz w:val="21"/>
          <w:szCs w:val="21"/>
          <w:spacing w:val="1"/>
        </w:rPr>
        <w:t>利益相关人、建立决策权分配制度、明确岗位职责并提供全面支持，这必然会有助</w:t>
      </w:r>
      <w:r>
        <w:rPr>
          <w:rFonts w:ascii="SimSun" w:hAnsi="SimSun" w:eastAsia="SimSun" w:cs="SimSun"/>
          <w:sz w:val="21"/>
          <w:szCs w:val="21"/>
          <w:spacing w:val="8"/>
        </w:rPr>
        <w:t xml:space="preserve">  </w:t>
      </w:r>
      <w:r>
        <w:rPr>
          <w:rFonts w:ascii="SimSun" w:hAnsi="SimSun" w:eastAsia="SimSun" w:cs="SimSun"/>
          <w:sz w:val="21"/>
          <w:szCs w:val="21"/>
          <w:spacing w:val="-4"/>
        </w:rPr>
        <w:t>于组织保护敏感数据。</w:t>
      </w:r>
    </w:p>
    <w:p>
      <w:pPr>
        <w:ind w:right="151" w:firstLine="419"/>
        <w:spacing w:before="70" w:line="262" w:lineRule="auto"/>
        <w:jc w:val="both"/>
        <w:rPr>
          <w:rFonts w:ascii="SimSun" w:hAnsi="SimSun" w:eastAsia="SimSun" w:cs="SimSun"/>
          <w:sz w:val="21"/>
          <w:szCs w:val="21"/>
        </w:rPr>
      </w:pPr>
      <w:r>
        <w:rPr>
          <w:rFonts w:ascii="SimSun" w:hAnsi="SimSun" w:eastAsia="SimSun" w:cs="SimSun"/>
          <w:sz w:val="21"/>
          <w:szCs w:val="21"/>
          <w:spacing w:val="2"/>
        </w:rPr>
        <w:t>除了数据泄露的风险，组织还要面对合规监管和安全控制风险，这关系到数据 </w:t>
      </w:r>
      <w:r>
        <w:rPr>
          <w:rFonts w:ascii="SimSun" w:hAnsi="SimSun" w:eastAsia="SimSun" w:cs="SimSun"/>
          <w:sz w:val="21"/>
          <w:szCs w:val="21"/>
          <w:spacing w:val="-1"/>
        </w:rPr>
        <w:t>隐私、存取管理和许可、信息安全控制，以及规</w:t>
      </w:r>
      <w:r>
        <w:rPr>
          <w:rFonts w:ascii="SimSun" w:hAnsi="SimSun" w:eastAsia="SimSun" w:cs="SimSun"/>
          <w:sz w:val="21"/>
          <w:szCs w:val="21"/>
          <w:spacing w:val="-2"/>
        </w:rPr>
        <w:t>范、合同或内部要求的遵守和执行。</w:t>
      </w:r>
      <w:r>
        <w:rPr>
          <w:rFonts w:ascii="SimSun" w:hAnsi="SimSun" w:eastAsia="SimSun" w:cs="SimSun"/>
          <w:sz w:val="21"/>
          <w:szCs w:val="21"/>
        </w:rPr>
        <w:t xml:space="preserve"> </w:t>
      </w:r>
      <w:r>
        <w:rPr>
          <w:rFonts w:ascii="SimSun" w:hAnsi="SimSun" w:eastAsia="SimSun" w:cs="SimSun"/>
          <w:sz w:val="21"/>
          <w:szCs w:val="21"/>
          <w:spacing w:val="2"/>
        </w:rPr>
        <w:t>一方面，数据治理应在业务的法律框架内进行；另一方面，数据治理政策和规则</w:t>
      </w:r>
      <w:r>
        <w:rPr>
          <w:rFonts w:ascii="SimSun" w:hAnsi="SimSun" w:eastAsia="SimSun" w:cs="SimSun"/>
          <w:sz w:val="21"/>
          <w:szCs w:val="21"/>
          <w:spacing w:val="1"/>
        </w:rPr>
        <w:t>的 </w:t>
      </w:r>
      <w:r>
        <w:rPr>
          <w:rFonts w:ascii="SimSun" w:hAnsi="SimSun" w:eastAsia="SimSun" w:cs="SimSun"/>
          <w:sz w:val="21"/>
          <w:szCs w:val="21"/>
          <w:spacing w:val="2"/>
        </w:rPr>
        <w:t>制订应与政府和行业相关标准相一致。数据治理可以降低因不遵守法律和规</w:t>
      </w:r>
      <w:r>
        <w:rPr>
          <w:rFonts w:ascii="SimSun" w:hAnsi="SimSun" w:eastAsia="SimSun" w:cs="SimSun"/>
          <w:sz w:val="21"/>
          <w:szCs w:val="21"/>
          <w:spacing w:val="1"/>
        </w:rPr>
        <w:t>范所带</w:t>
      </w:r>
      <w:r>
        <w:rPr>
          <w:rFonts w:ascii="SimSun" w:hAnsi="SimSun" w:eastAsia="SimSun" w:cs="SimSun"/>
          <w:sz w:val="21"/>
          <w:szCs w:val="21"/>
        </w:rPr>
        <w:t xml:space="preserve">  </w:t>
      </w:r>
      <w:r>
        <w:rPr>
          <w:rFonts w:ascii="SimSun" w:hAnsi="SimSun" w:eastAsia="SimSun" w:cs="SimSun"/>
          <w:sz w:val="21"/>
          <w:szCs w:val="21"/>
          <w:spacing w:val="-7"/>
        </w:rPr>
        <w:t>来的风险。</w:t>
      </w:r>
    </w:p>
    <w:p>
      <w:pPr>
        <w:ind w:left="422"/>
        <w:spacing w:before="210" w:line="219" w:lineRule="auto"/>
        <w:outlineLvl w:val="2"/>
        <w:rPr>
          <w:rFonts w:ascii="YouYuan" w:hAnsi="YouYuan" w:eastAsia="YouYuan" w:cs="YouYuan"/>
          <w:sz w:val="21"/>
          <w:szCs w:val="21"/>
        </w:rPr>
      </w:pPr>
      <w:r>
        <w:rPr>
          <w:rFonts w:ascii="YouYuan" w:hAnsi="YouYuan" w:eastAsia="YouYuan" w:cs="YouYuan"/>
          <w:sz w:val="21"/>
          <w:szCs w:val="21"/>
          <w:b/>
          <w:bCs/>
          <w:spacing w:val="7"/>
        </w:rPr>
        <w:t>3.</w:t>
      </w:r>
      <w:r>
        <w:rPr>
          <w:rFonts w:ascii="YouYuan" w:hAnsi="YouYuan" w:eastAsia="YouYuan" w:cs="YouYuan"/>
          <w:sz w:val="21"/>
          <w:szCs w:val="21"/>
          <w:spacing w:val="7"/>
        </w:rPr>
        <w:t xml:space="preserve"> </w:t>
      </w:r>
      <w:r>
        <w:rPr>
          <w:rFonts w:ascii="YouYuan" w:hAnsi="YouYuan" w:eastAsia="YouYuan" w:cs="YouYuan"/>
          <w:sz w:val="21"/>
          <w:szCs w:val="21"/>
          <w:b/>
          <w:bCs/>
          <w:spacing w:val="7"/>
        </w:rPr>
        <w:t>数据治理提高数据质量，提升组织决策水平</w:t>
      </w:r>
    </w:p>
    <w:p>
      <w:pPr>
        <w:ind w:right="164" w:firstLine="419"/>
        <w:spacing w:before="234" w:line="267" w:lineRule="auto"/>
        <w:rPr>
          <w:rFonts w:ascii="SimSun" w:hAnsi="SimSun" w:eastAsia="SimSun" w:cs="SimSun"/>
          <w:sz w:val="21"/>
          <w:szCs w:val="21"/>
        </w:rPr>
      </w:pPr>
      <w:r>
        <w:rPr>
          <w:rFonts w:ascii="SimSun" w:hAnsi="SimSun" w:eastAsia="SimSun" w:cs="SimSun"/>
          <w:sz w:val="21"/>
          <w:szCs w:val="21"/>
          <w:spacing w:val="-5"/>
        </w:rPr>
        <w:t>在数据领域最流行的一个说法是“更好的数据意味着更好的决策”。单纯的数据</w:t>
      </w:r>
      <w:r>
        <w:rPr>
          <w:rFonts w:ascii="SimSun" w:hAnsi="SimSun" w:eastAsia="SimSun" w:cs="SimSun"/>
          <w:sz w:val="21"/>
          <w:szCs w:val="21"/>
          <w:spacing w:val="8"/>
        </w:rPr>
        <w:t xml:space="preserve">  </w:t>
      </w:r>
      <w:r>
        <w:rPr>
          <w:rFonts w:ascii="SimSun" w:hAnsi="SimSun" w:eastAsia="SimSun" w:cs="SimSun"/>
          <w:sz w:val="21"/>
          <w:szCs w:val="21"/>
          <w:spacing w:val="2"/>
        </w:rPr>
        <w:t>量的积累不会对组织产生任何益处，拥有数据不代</w:t>
      </w:r>
      <w:r>
        <w:rPr>
          <w:rFonts w:ascii="SimSun" w:hAnsi="SimSun" w:eastAsia="SimSun" w:cs="SimSun"/>
          <w:sz w:val="21"/>
          <w:szCs w:val="21"/>
          <w:spacing w:val="1"/>
        </w:rPr>
        <w:t>表能够用好数据。只有建立适当 </w:t>
      </w:r>
      <w:r>
        <w:rPr>
          <w:rFonts w:ascii="SimSun" w:hAnsi="SimSun" w:eastAsia="SimSun" w:cs="SimSun"/>
          <w:sz w:val="21"/>
          <w:szCs w:val="21"/>
          <w:spacing w:val="1"/>
        </w:rPr>
        <w:t>的分析模型，并运用相应的技术手段，对大量的数据进行有效的深加工，提高数据</w:t>
      </w:r>
      <w:r>
        <w:rPr>
          <w:rFonts w:ascii="SimSun" w:hAnsi="SimSun" w:eastAsia="SimSun" w:cs="SimSun"/>
          <w:sz w:val="21"/>
          <w:szCs w:val="21"/>
          <w:spacing w:val="7"/>
        </w:rPr>
        <w:t xml:space="preserve">  </w:t>
      </w:r>
      <w:r>
        <w:rPr>
          <w:rFonts w:ascii="SimSun" w:hAnsi="SimSun" w:eastAsia="SimSun" w:cs="SimSun"/>
          <w:sz w:val="21"/>
          <w:szCs w:val="21"/>
          <w:spacing w:val="-2"/>
        </w:rPr>
        <w:t>质量，才能发现隐含在大量数据中的信息并加以利用，进而指导组织做出相关决策。</w:t>
      </w:r>
      <w:r>
        <w:rPr>
          <w:rFonts w:ascii="SimSun" w:hAnsi="SimSun" w:eastAsia="SimSun" w:cs="SimSun"/>
          <w:sz w:val="21"/>
          <w:szCs w:val="21"/>
          <w:spacing w:val="7"/>
        </w:rPr>
        <w:t xml:space="preserve"> </w:t>
      </w:r>
      <w:r>
        <w:rPr>
          <w:rFonts w:ascii="SimSun" w:hAnsi="SimSun" w:eastAsia="SimSun" w:cs="SimSun"/>
          <w:sz w:val="21"/>
          <w:szCs w:val="21"/>
          <w:spacing w:val="1"/>
        </w:rPr>
        <w:t>数据质量管理是组织变革管理中一项关键的支撑流程，例如组织业务重点的变化、</w:t>
      </w:r>
      <w:r>
        <w:rPr>
          <w:rFonts w:ascii="SimSun" w:hAnsi="SimSun" w:eastAsia="SimSun" w:cs="SimSun"/>
          <w:sz w:val="21"/>
          <w:szCs w:val="21"/>
          <w:spacing w:val="8"/>
        </w:rPr>
        <w:t xml:space="preserve">  </w:t>
      </w:r>
      <w:r>
        <w:rPr>
          <w:rFonts w:ascii="SimSun" w:hAnsi="SimSun" w:eastAsia="SimSun" w:cs="SimSun"/>
          <w:sz w:val="21"/>
          <w:szCs w:val="21"/>
          <w:spacing w:val="-3"/>
        </w:rPr>
        <w:t>组织业务整合、资产重组与并购等都对</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支</w:t>
      </w:r>
      <w:r>
        <w:rPr>
          <w:rFonts w:ascii="SimSun" w:hAnsi="SimSun" w:eastAsia="SimSun" w:cs="SimSun"/>
          <w:sz w:val="21"/>
          <w:szCs w:val="21"/>
          <w:spacing w:val="-4"/>
        </w:rPr>
        <w:t>撑提出了更高的要求，包括整合数据源、</w:t>
      </w:r>
      <w:r>
        <w:rPr>
          <w:rFonts w:ascii="SimSun" w:hAnsi="SimSun" w:eastAsia="SimSun" w:cs="SimSun"/>
          <w:sz w:val="21"/>
          <w:szCs w:val="21"/>
        </w:rPr>
        <w:t xml:space="preserve"> </w:t>
      </w:r>
      <w:r>
        <w:rPr>
          <w:rFonts w:ascii="SimSun" w:hAnsi="SimSun" w:eastAsia="SimSun" w:cs="SimSun"/>
          <w:sz w:val="21"/>
          <w:szCs w:val="21"/>
          <w:spacing w:val="1"/>
        </w:rPr>
        <w:t>创建一致的数据副本、交互提供数据等。数据质量管理就是去伪存真，发现数据之</w:t>
      </w:r>
      <w:r>
        <w:rPr>
          <w:rFonts w:ascii="SimSun" w:hAnsi="SimSun" w:eastAsia="SimSun" w:cs="SimSun"/>
          <w:sz w:val="21"/>
          <w:szCs w:val="21"/>
          <w:spacing w:val="5"/>
        </w:rPr>
        <w:t xml:space="preserve">  </w:t>
      </w:r>
      <w:r>
        <w:rPr>
          <w:rFonts w:ascii="SimSun" w:hAnsi="SimSun" w:eastAsia="SimSun" w:cs="SimSun"/>
          <w:sz w:val="21"/>
          <w:szCs w:val="21"/>
          <w:spacing w:val="1"/>
        </w:rPr>
        <w:t>间关联的过程。数据治理要求建立规则和标准对数据进行整合、清洗等以满足组织</w:t>
      </w:r>
      <w:r>
        <w:rPr>
          <w:rFonts w:ascii="SimSun" w:hAnsi="SimSun" w:eastAsia="SimSun" w:cs="SimSun"/>
          <w:sz w:val="21"/>
          <w:szCs w:val="21"/>
          <w:spacing w:val="7"/>
        </w:rPr>
        <w:t xml:space="preserve">  </w:t>
      </w:r>
      <w:r>
        <w:rPr>
          <w:rFonts w:ascii="SimSun" w:hAnsi="SimSun" w:eastAsia="SimSun" w:cs="SimSun"/>
          <w:sz w:val="21"/>
          <w:szCs w:val="21"/>
          <w:spacing w:val="1"/>
        </w:rPr>
        <w:t>的业务需要，有效的数据治理可以产生高质量的数据，更高的数据可信度又会产生</w:t>
      </w:r>
      <w:r>
        <w:rPr>
          <w:rFonts w:ascii="SimSun" w:hAnsi="SimSun" w:eastAsia="SimSun" w:cs="SimSun"/>
          <w:sz w:val="21"/>
          <w:szCs w:val="21"/>
          <w:spacing w:val="6"/>
        </w:rPr>
        <w:t xml:space="preserve">  </w:t>
      </w:r>
      <w:r>
        <w:rPr>
          <w:rFonts w:ascii="SimSun" w:hAnsi="SimSun" w:eastAsia="SimSun" w:cs="SimSun"/>
          <w:sz w:val="21"/>
          <w:szCs w:val="21"/>
          <w:spacing w:val="-2"/>
        </w:rPr>
        <w:t>与业务目标保持一直、更有洞察力和更为高效的决策。</w:t>
      </w:r>
    </w:p>
    <w:p>
      <w:pPr>
        <w:spacing w:line="267" w:lineRule="auto"/>
        <w:sectPr>
          <w:footerReference w:type="default" r:id="rId88"/>
          <w:pgSz w:w="8870" w:h="13400"/>
          <w:pgMar w:top="400" w:right="590" w:bottom="507" w:left="409" w:header="0" w:footer="299" w:gutter="0"/>
        </w:sectPr>
        <w:rPr>
          <w:rFonts w:ascii="SimSun" w:hAnsi="SimSun" w:eastAsia="SimSun" w:cs="SimSun"/>
          <w:sz w:val="21"/>
          <w:szCs w:val="21"/>
        </w:rPr>
      </w:pPr>
    </w:p>
    <w:p>
      <w:pPr>
        <w:ind w:left="223"/>
        <w:spacing w:before="295" w:line="219" w:lineRule="auto"/>
        <w:rPr>
          <w:rFonts w:ascii="SimSun" w:hAnsi="SimSun" w:eastAsia="SimSun" w:cs="SimSun"/>
          <w:sz w:val="21"/>
          <w:szCs w:val="21"/>
        </w:rPr>
      </w:pPr>
      <w:r>
        <w:pict>
          <v:rect id="_x0000_s214" style="position:absolute;margin-left:29.0005pt;margin-top:30.4984pt;mso-position-vertical-relative:page;mso-position-horizontal-relative:page;width:0.55pt;height:17.55pt;z-index:252068864;" o:allowincell="f" fillcolor="#000000" filled="true" stroked="false"/>
        </w:pict>
      </w:r>
      <w:r>
        <w:rPr>
          <w:rFonts w:ascii="SimSun" w:hAnsi="SimSun" w:eastAsia="SimSun" w:cs="SimSun"/>
          <w:sz w:val="21"/>
          <w:szCs w:val="21"/>
          <w:b/>
          <w:bCs/>
          <w:spacing w:val="-6"/>
        </w:rPr>
        <w:t>■云端数据治理</w:t>
      </w:r>
    </w:p>
    <w:p>
      <w:pPr>
        <w:pStyle w:val="BodyText"/>
        <w:spacing w:line="472" w:lineRule="auto"/>
        <w:rPr/>
      </w:pPr>
      <w:r/>
    </w:p>
    <w:p>
      <w:pPr>
        <w:ind w:left="224"/>
        <w:spacing w:before="94" w:line="221" w:lineRule="auto"/>
        <w:outlineLvl w:val="0"/>
        <w:rPr>
          <w:rFonts w:ascii="YouYuan" w:hAnsi="YouYuan" w:eastAsia="YouYuan" w:cs="YouYuan"/>
          <w:sz w:val="29"/>
          <w:szCs w:val="29"/>
        </w:rPr>
      </w:pPr>
      <w:r>
        <w:rPr>
          <w:rFonts w:ascii="YouYuan" w:hAnsi="YouYuan" w:eastAsia="YouYuan" w:cs="YouYuan"/>
          <w:sz w:val="29"/>
          <w:szCs w:val="29"/>
          <w:b/>
          <w:bCs/>
          <w:spacing w:val="-9"/>
        </w:rPr>
        <w:t>1.4.2</w:t>
      </w:r>
      <w:r>
        <w:rPr>
          <w:rFonts w:ascii="YouYuan" w:hAnsi="YouYuan" w:eastAsia="YouYuan" w:cs="YouYuan"/>
          <w:sz w:val="29"/>
          <w:szCs w:val="29"/>
          <w:spacing w:val="16"/>
        </w:rPr>
        <w:t xml:space="preserve">  </w:t>
      </w:r>
      <w:r>
        <w:rPr>
          <w:rFonts w:ascii="YouYuan" w:hAnsi="YouYuan" w:eastAsia="YouYuan" w:cs="YouYuan"/>
          <w:sz w:val="29"/>
          <w:szCs w:val="29"/>
          <w:b/>
          <w:bCs/>
          <w:spacing w:val="-9"/>
        </w:rPr>
        <w:t>数据治理面临的挑战</w:t>
      </w:r>
    </w:p>
    <w:p>
      <w:pPr>
        <w:pStyle w:val="BodyText"/>
        <w:spacing w:line="257" w:lineRule="auto"/>
        <w:rPr/>
      </w:pPr>
      <w:r/>
    </w:p>
    <w:p>
      <w:pPr>
        <w:ind w:left="220" w:right="52" w:firstLine="489"/>
        <w:spacing w:before="68" w:line="254" w:lineRule="auto"/>
        <w:rPr>
          <w:rFonts w:ascii="SimSun" w:hAnsi="SimSun" w:eastAsia="SimSun" w:cs="SimSun"/>
          <w:sz w:val="21"/>
          <w:szCs w:val="21"/>
        </w:rPr>
      </w:pPr>
      <w:r>
        <w:rPr>
          <w:rFonts w:ascii="SimSun" w:hAnsi="SimSun" w:eastAsia="SimSun" w:cs="SimSun"/>
          <w:sz w:val="21"/>
          <w:szCs w:val="21"/>
          <w:spacing w:val="1"/>
        </w:rPr>
        <w:t>数据需要治理，组织开展数据治理需要什么样的治理理论、如何去治理、由谁</w:t>
      </w:r>
      <w:r>
        <w:rPr>
          <w:rFonts w:ascii="SimSun" w:hAnsi="SimSun" w:eastAsia="SimSun" w:cs="SimSun"/>
          <w:sz w:val="21"/>
          <w:szCs w:val="21"/>
          <w:spacing w:val="13"/>
        </w:rPr>
        <w:t xml:space="preserve"> </w:t>
      </w:r>
      <w:r>
        <w:rPr>
          <w:rFonts w:ascii="SimSun" w:hAnsi="SimSun" w:eastAsia="SimSun" w:cs="SimSun"/>
          <w:sz w:val="21"/>
          <w:szCs w:val="21"/>
          <w:spacing w:val="-2"/>
        </w:rPr>
        <w:t>来治理、治理到何种程度是组织需要考虑的问题。</w:t>
      </w:r>
    </w:p>
    <w:p>
      <w:pPr>
        <w:ind w:left="713"/>
        <w:spacing w:before="192" w:line="221" w:lineRule="auto"/>
        <w:outlineLvl w:val="1"/>
        <w:rPr>
          <w:rFonts w:ascii="YouYuan" w:hAnsi="YouYuan" w:eastAsia="YouYuan" w:cs="YouYuan"/>
          <w:sz w:val="21"/>
          <w:szCs w:val="21"/>
        </w:rPr>
      </w:pPr>
      <w:r>
        <w:rPr>
          <w:rFonts w:ascii="YouYuan" w:hAnsi="YouYuan" w:eastAsia="YouYuan" w:cs="YouYuan"/>
          <w:sz w:val="21"/>
          <w:szCs w:val="21"/>
          <w:b/>
          <w:bCs/>
          <w:spacing w:val="5"/>
        </w:rPr>
        <w:t>1.</w:t>
      </w:r>
      <w:r>
        <w:rPr>
          <w:rFonts w:ascii="YouYuan" w:hAnsi="YouYuan" w:eastAsia="YouYuan" w:cs="YouYuan"/>
          <w:sz w:val="21"/>
          <w:szCs w:val="21"/>
          <w:spacing w:val="5"/>
        </w:rPr>
        <w:t xml:space="preserve"> </w:t>
      </w:r>
      <w:r>
        <w:rPr>
          <w:rFonts w:ascii="YouYuan" w:hAnsi="YouYuan" w:eastAsia="YouYuan" w:cs="YouYuan"/>
          <w:sz w:val="21"/>
          <w:szCs w:val="21"/>
          <w:b/>
          <w:bCs/>
          <w:spacing w:val="5"/>
        </w:rPr>
        <w:t>数据治理所处的环境更复杂</w:t>
      </w:r>
    </w:p>
    <w:p>
      <w:pPr>
        <w:ind w:left="220" w:right="50" w:firstLine="489"/>
        <w:spacing w:before="234" w:line="267" w:lineRule="auto"/>
        <w:jc w:val="both"/>
        <w:rPr>
          <w:rFonts w:ascii="SimSun" w:hAnsi="SimSun" w:eastAsia="SimSun" w:cs="SimSun"/>
          <w:sz w:val="21"/>
          <w:szCs w:val="21"/>
        </w:rPr>
      </w:pPr>
      <w:r>
        <w:rPr>
          <w:rFonts w:ascii="SimSun" w:hAnsi="SimSun" w:eastAsia="SimSun" w:cs="SimSun"/>
          <w:sz w:val="21"/>
          <w:szCs w:val="21"/>
          <w:spacing w:val="1"/>
        </w:rPr>
        <w:t>组织的数据管理需要应对组织内部和外部的环境变化。内部环境来自于组织是</w:t>
      </w:r>
      <w:r>
        <w:rPr>
          <w:rFonts w:ascii="SimSun" w:hAnsi="SimSun" w:eastAsia="SimSun" w:cs="SimSun"/>
          <w:sz w:val="21"/>
          <w:szCs w:val="21"/>
          <w:spacing w:val="15"/>
        </w:rPr>
        <w:t xml:space="preserve"> </w:t>
      </w:r>
      <w:r>
        <w:rPr>
          <w:rFonts w:ascii="SimSun" w:hAnsi="SimSun" w:eastAsia="SimSun" w:cs="SimSun"/>
          <w:sz w:val="21"/>
          <w:szCs w:val="21"/>
          <w:spacing w:val="2"/>
        </w:rPr>
        <w:t>否对数据有足够的重视、管理者是否有意识地参与到</w:t>
      </w:r>
      <w:r>
        <w:rPr>
          <w:rFonts w:ascii="SimSun" w:hAnsi="SimSun" w:eastAsia="SimSun" w:cs="SimSun"/>
          <w:sz w:val="21"/>
          <w:szCs w:val="21"/>
          <w:spacing w:val="1"/>
        </w:rPr>
        <w:t>数据治理活动、组织的人员能</w:t>
      </w:r>
      <w:r>
        <w:rPr>
          <w:rFonts w:ascii="SimSun" w:hAnsi="SimSun" w:eastAsia="SimSun" w:cs="SimSun"/>
          <w:sz w:val="21"/>
          <w:szCs w:val="21"/>
        </w:rPr>
        <w:t xml:space="preserve"> </w:t>
      </w:r>
      <w:r>
        <w:rPr>
          <w:rFonts w:ascii="SimSun" w:hAnsi="SimSun" w:eastAsia="SimSun" w:cs="SimSun"/>
          <w:sz w:val="21"/>
          <w:szCs w:val="21"/>
          <w:spacing w:val="2"/>
        </w:rPr>
        <w:t>力是否能够满足数据治理的需要、数据治理过程是</w:t>
      </w:r>
      <w:r>
        <w:rPr>
          <w:rFonts w:ascii="SimSun" w:hAnsi="SimSun" w:eastAsia="SimSun" w:cs="SimSun"/>
          <w:sz w:val="21"/>
          <w:szCs w:val="21"/>
          <w:spacing w:val="1"/>
        </w:rPr>
        <w:t>否满足设定的计划等；外部环境</w:t>
      </w:r>
      <w:r>
        <w:rPr>
          <w:rFonts w:ascii="SimSun" w:hAnsi="SimSun" w:eastAsia="SimSun" w:cs="SimSun"/>
          <w:sz w:val="21"/>
          <w:szCs w:val="21"/>
        </w:rPr>
        <w:t xml:space="preserve"> </w:t>
      </w:r>
      <w:r>
        <w:rPr>
          <w:rFonts w:ascii="SimSun" w:hAnsi="SimSun" w:eastAsia="SimSun" w:cs="SimSun"/>
          <w:sz w:val="21"/>
          <w:szCs w:val="21"/>
          <w:spacing w:val="2"/>
        </w:rPr>
        <w:t>来自于监管部门的要求、合作方的要求、数据治理理</w:t>
      </w:r>
      <w:r>
        <w:rPr>
          <w:rFonts w:ascii="SimSun" w:hAnsi="SimSun" w:eastAsia="SimSun" w:cs="SimSun"/>
          <w:sz w:val="21"/>
          <w:szCs w:val="21"/>
          <w:spacing w:val="1"/>
        </w:rPr>
        <w:t>论的发展水平等。数据治理是</w:t>
      </w:r>
      <w:r>
        <w:rPr>
          <w:rFonts w:ascii="SimSun" w:hAnsi="SimSun" w:eastAsia="SimSun" w:cs="SimSun"/>
          <w:sz w:val="21"/>
          <w:szCs w:val="21"/>
        </w:rPr>
        <w:t xml:space="preserve"> </w:t>
      </w:r>
      <w:r>
        <w:rPr>
          <w:rFonts w:ascii="SimSun" w:hAnsi="SimSun" w:eastAsia="SimSun" w:cs="SimSun"/>
          <w:sz w:val="21"/>
          <w:szCs w:val="21"/>
          <w:spacing w:val="2"/>
        </w:rPr>
        <w:t>一项庞大的工程，不是个别领导、个别部分或者少</w:t>
      </w:r>
      <w:r>
        <w:rPr>
          <w:rFonts w:ascii="SimSun" w:hAnsi="SimSun" w:eastAsia="SimSun" w:cs="SimSun"/>
          <w:sz w:val="21"/>
          <w:szCs w:val="21"/>
          <w:spacing w:val="1"/>
        </w:rPr>
        <w:t>数人的活动，是需要各部门和各</w:t>
      </w:r>
      <w:r>
        <w:rPr>
          <w:rFonts w:ascii="SimSun" w:hAnsi="SimSun" w:eastAsia="SimSun" w:cs="SimSun"/>
          <w:sz w:val="21"/>
          <w:szCs w:val="21"/>
        </w:rPr>
        <w:t xml:space="preserve"> </w:t>
      </w:r>
      <w:r>
        <w:rPr>
          <w:rFonts w:ascii="SimSun" w:hAnsi="SimSun" w:eastAsia="SimSun" w:cs="SimSun"/>
          <w:sz w:val="21"/>
          <w:szCs w:val="21"/>
          <w:spacing w:val="2"/>
        </w:rPr>
        <w:t>层级之间的相互支持和协作。然而现状是很多组织缺</w:t>
      </w:r>
      <w:r>
        <w:rPr>
          <w:rFonts w:ascii="SimSun" w:hAnsi="SimSun" w:eastAsia="SimSun" w:cs="SimSun"/>
          <w:sz w:val="21"/>
          <w:szCs w:val="21"/>
          <w:spacing w:val="1"/>
        </w:rPr>
        <w:t>少数据治理的组织文化，并未</w:t>
      </w:r>
      <w:r>
        <w:rPr>
          <w:rFonts w:ascii="SimSun" w:hAnsi="SimSun" w:eastAsia="SimSun" w:cs="SimSun"/>
          <w:sz w:val="21"/>
          <w:szCs w:val="21"/>
        </w:rPr>
        <w:t xml:space="preserve"> </w:t>
      </w:r>
      <w:r>
        <w:rPr>
          <w:rFonts w:ascii="SimSun" w:hAnsi="SimSun" w:eastAsia="SimSun" w:cs="SimSun"/>
          <w:sz w:val="21"/>
          <w:szCs w:val="21"/>
          <w:spacing w:val="2"/>
        </w:rPr>
        <w:t>从根本上充分认识数据治理的难度和价值，自然没有完</w:t>
      </w:r>
      <w:r>
        <w:rPr>
          <w:rFonts w:ascii="SimSun" w:hAnsi="SimSun" w:eastAsia="SimSun" w:cs="SimSun"/>
          <w:sz w:val="21"/>
          <w:szCs w:val="21"/>
          <w:spacing w:val="1"/>
        </w:rPr>
        <w:t>善的组织和制度。随着组织</w:t>
      </w:r>
      <w:r>
        <w:rPr>
          <w:rFonts w:ascii="SimSun" w:hAnsi="SimSun" w:eastAsia="SimSun" w:cs="SimSun"/>
          <w:sz w:val="21"/>
          <w:szCs w:val="21"/>
        </w:rPr>
        <w:t xml:space="preserve"> </w:t>
      </w:r>
      <w:r>
        <w:rPr>
          <w:rFonts w:ascii="SimSun" w:hAnsi="SimSun" w:eastAsia="SimSun" w:cs="SimSun"/>
          <w:sz w:val="21"/>
          <w:szCs w:val="21"/>
          <w:spacing w:val="2"/>
        </w:rPr>
        <w:t>数据的增加，数据管理难度增大，数据面临的安全威胁更</w:t>
      </w:r>
      <w:r>
        <w:rPr>
          <w:rFonts w:ascii="SimSun" w:hAnsi="SimSun" w:eastAsia="SimSun" w:cs="SimSun"/>
          <w:sz w:val="21"/>
          <w:szCs w:val="21"/>
          <w:spacing w:val="1"/>
        </w:rPr>
        <w:t>多，在没有完善的组织去</w:t>
      </w:r>
      <w:r>
        <w:rPr>
          <w:rFonts w:ascii="SimSun" w:hAnsi="SimSun" w:eastAsia="SimSun" w:cs="SimSun"/>
          <w:sz w:val="21"/>
          <w:szCs w:val="21"/>
        </w:rPr>
        <w:t xml:space="preserve"> </w:t>
      </w:r>
      <w:r>
        <w:rPr>
          <w:rFonts w:ascii="SimSun" w:hAnsi="SimSun" w:eastAsia="SimSun" w:cs="SimSun"/>
          <w:sz w:val="21"/>
          <w:szCs w:val="21"/>
        </w:rPr>
        <w:t>应对的情况下，数据安全威胁终有可能变成数</w:t>
      </w:r>
      <w:r>
        <w:rPr>
          <w:rFonts w:ascii="SimSun" w:hAnsi="SimSun" w:eastAsia="SimSun" w:cs="SimSun"/>
          <w:sz w:val="21"/>
          <w:szCs w:val="21"/>
          <w:spacing w:val="-1"/>
        </w:rPr>
        <w:t>据安全事件。</w:t>
      </w:r>
    </w:p>
    <w:p>
      <w:pPr>
        <w:ind w:left="220" w:firstLine="489"/>
        <w:spacing w:before="80" w:line="265" w:lineRule="auto"/>
        <w:jc w:val="both"/>
        <w:rPr>
          <w:rFonts w:ascii="SimSun" w:hAnsi="SimSun" w:eastAsia="SimSun" w:cs="SimSun"/>
          <w:sz w:val="21"/>
          <w:szCs w:val="21"/>
        </w:rPr>
      </w:pPr>
      <w:r>
        <w:rPr>
          <w:rFonts w:ascii="SimSun" w:hAnsi="SimSun" w:eastAsia="SimSun" w:cs="SimSun"/>
          <w:sz w:val="21"/>
          <w:szCs w:val="21"/>
          <w:spacing w:val="1"/>
        </w:rPr>
        <w:t>当前全球网络与信息技术不断演进，以云计算、大数据、移动互联的新技术在</w:t>
      </w:r>
      <w:r>
        <w:rPr>
          <w:rFonts w:ascii="SimSun" w:hAnsi="SimSun" w:eastAsia="SimSun" w:cs="SimSun"/>
          <w:sz w:val="21"/>
          <w:szCs w:val="21"/>
          <w:spacing w:val="16"/>
        </w:rPr>
        <w:t xml:space="preserve"> </w:t>
      </w:r>
      <w:r>
        <w:rPr>
          <w:rFonts w:ascii="SimSun" w:hAnsi="SimSun" w:eastAsia="SimSun" w:cs="SimSun"/>
          <w:sz w:val="21"/>
          <w:szCs w:val="21"/>
          <w:spacing w:val="-1"/>
        </w:rPr>
        <w:t>推动产业发展的同时，也带来了更多新的挑战，数据治理所处的外部环境更加</w:t>
      </w:r>
      <w:r>
        <w:rPr>
          <w:rFonts w:ascii="SimSun" w:hAnsi="SimSun" w:eastAsia="SimSun" w:cs="SimSun"/>
          <w:sz w:val="21"/>
          <w:szCs w:val="21"/>
          <w:spacing w:val="-2"/>
        </w:rPr>
        <w:t>复杂。</w:t>
      </w:r>
      <w:r>
        <w:rPr>
          <w:rFonts w:ascii="SimSun" w:hAnsi="SimSun" w:eastAsia="SimSun" w:cs="SimSun"/>
          <w:sz w:val="21"/>
          <w:szCs w:val="21"/>
        </w:rPr>
        <w:t xml:space="preserve"> </w:t>
      </w:r>
      <w:r>
        <w:rPr>
          <w:rFonts w:ascii="SimSun" w:hAnsi="SimSun" w:eastAsia="SimSun" w:cs="SimSun"/>
          <w:sz w:val="21"/>
          <w:szCs w:val="21"/>
          <w:spacing w:val="2"/>
        </w:rPr>
        <w:t>移动化、互联网化变革使得信息的新增量大、开</w:t>
      </w:r>
      <w:r>
        <w:rPr>
          <w:rFonts w:ascii="SimSun" w:hAnsi="SimSun" w:eastAsia="SimSun" w:cs="SimSun"/>
          <w:sz w:val="21"/>
          <w:szCs w:val="21"/>
          <w:spacing w:val="1"/>
        </w:rPr>
        <w:t>放性高、流动性强，数据治理的对</w:t>
      </w:r>
      <w:r>
        <w:rPr>
          <w:rFonts w:ascii="SimSun" w:hAnsi="SimSun" w:eastAsia="SimSun" w:cs="SimSun"/>
          <w:sz w:val="21"/>
          <w:szCs w:val="21"/>
        </w:rPr>
        <w:t xml:space="preserve">  </w:t>
      </w:r>
      <w:r>
        <w:rPr>
          <w:rFonts w:ascii="SimSun" w:hAnsi="SimSun" w:eastAsia="SimSun" w:cs="SimSun"/>
          <w:sz w:val="21"/>
          <w:szCs w:val="21"/>
          <w:spacing w:val="2"/>
        </w:rPr>
        <w:t>象——数据自身特性发生了重大的变化。虽然数据治理理论取得了很多进</w:t>
      </w:r>
      <w:r>
        <w:rPr>
          <w:rFonts w:ascii="SimSun" w:hAnsi="SimSun" w:eastAsia="SimSun" w:cs="SimSun"/>
          <w:sz w:val="21"/>
          <w:szCs w:val="21"/>
          <w:spacing w:val="1"/>
        </w:rPr>
        <w:t>展，不同</w:t>
      </w:r>
      <w:r>
        <w:rPr>
          <w:rFonts w:ascii="SimSun" w:hAnsi="SimSun" w:eastAsia="SimSun" w:cs="SimSun"/>
          <w:sz w:val="21"/>
          <w:szCs w:val="21"/>
        </w:rPr>
        <w:t xml:space="preserve">  </w:t>
      </w:r>
      <w:r>
        <w:rPr>
          <w:rFonts w:ascii="SimSun" w:hAnsi="SimSun" w:eastAsia="SimSun" w:cs="SimSun"/>
          <w:sz w:val="21"/>
          <w:szCs w:val="21"/>
          <w:spacing w:val="2"/>
        </w:rPr>
        <w:t>研究组织从不同视角下推出了不同的数据治理理</w:t>
      </w:r>
      <w:r>
        <w:rPr>
          <w:rFonts w:ascii="SimSun" w:hAnsi="SimSun" w:eastAsia="SimSun" w:cs="SimSun"/>
          <w:sz w:val="21"/>
          <w:szCs w:val="21"/>
          <w:spacing w:val="1"/>
        </w:rPr>
        <w:t>论体系，然而信息技术的发展是迅</w:t>
      </w:r>
      <w:r>
        <w:rPr>
          <w:rFonts w:ascii="SimSun" w:hAnsi="SimSun" w:eastAsia="SimSun" w:cs="SimSun"/>
          <w:sz w:val="21"/>
          <w:szCs w:val="21"/>
        </w:rPr>
        <w:t xml:space="preserve">  </w:t>
      </w:r>
      <w:r>
        <w:rPr>
          <w:rFonts w:ascii="SimSun" w:hAnsi="SimSun" w:eastAsia="SimSun" w:cs="SimSun"/>
          <w:sz w:val="21"/>
          <w:szCs w:val="21"/>
          <w:spacing w:val="-3"/>
        </w:rPr>
        <w:t>速的，尤其是云计算和大数据技术的发展和应用，</w:t>
      </w:r>
      <w:r>
        <w:rPr>
          <w:rFonts w:ascii="SimSun" w:hAnsi="SimSun" w:eastAsia="SimSun" w:cs="SimSun"/>
          <w:sz w:val="21"/>
          <w:szCs w:val="21"/>
          <w:spacing w:val="61"/>
        </w:rPr>
        <w:t xml:space="preserve"> </w:t>
      </w:r>
      <w:r>
        <w:rPr>
          <w:rFonts w:ascii="SimSun" w:hAnsi="SimSun" w:eastAsia="SimSun" w:cs="SimSun"/>
          <w:sz w:val="21"/>
          <w:szCs w:val="21"/>
          <w:spacing w:val="-3"/>
        </w:rPr>
        <w:t>一些数据治理理论难以完全适应</w:t>
      </w:r>
      <w:r>
        <w:rPr>
          <w:rFonts w:ascii="SimSun" w:hAnsi="SimSun" w:eastAsia="SimSun" w:cs="SimSun"/>
          <w:sz w:val="21"/>
          <w:szCs w:val="21"/>
        </w:rPr>
        <w:t xml:space="preserve">  </w:t>
      </w:r>
      <w:r>
        <w:rPr>
          <w:rFonts w:ascii="SimSun" w:hAnsi="SimSun" w:eastAsia="SimSun" w:cs="SimSun"/>
          <w:sz w:val="21"/>
          <w:szCs w:val="21"/>
        </w:rPr>
        <w:t>新环境下数据治理的需求。因此，这给组织在选择数据治理理论时带来了困难。</w:t>
      </w:r>
    </w:p>
    <w:p>
      <w:pPr>
        <w:ind w:left="713"/>
        <w:spacing w:before="210" w:line="219" w:lineRule="auto"/>
        <w:outlineLvl w:val="1"/>
        <w:rPr>
          <w:rFonts w:ascii="YouYuan" w:hAnsi="YouYuan" w:eastAsia="YouYuan" w:cs="YouYuan"/>
          <w:sz w:val="21"/>
          <w:szCs w:val="21"/>
        </w:rPr>
      </w:pPr>
      <w:r>
        <w:rPr>
          <w:rFonts w:ascii="YouYuan" w:hAnsi="YouYuan" w:eastAsia="YouYuan" w:cs="YouYuan"/>
          <w:sz w:val="21"/>
          <w:szCs w:val="21"/>
          <w:b/>
          <w:bCs/>
          <w:spacing w:val="7"/>
        </w:rPr>
        <w:t>2.</w:t>
      </w:r>
      <w:r>
        <w:rPr>
          <w:rFonts w:ascii="YouYuan" w:hAnsi="YouYuan" w:eastAsia="YouYuan" w:cs="YouYuan"/>
          <w:sz w:val="21"/>
          <w:szCs w:val="21"/>
          <w:spacing w:val="7"/>
        </w:rPr>
        <w:t xml:space="preserve"> </w:t>
      </w:r>
      <w:r>
        <w:rPr>
          <w:rFonts w:ascii="YouYuan" w:hAnsi="YouYuan" w:eastAsia="YouYuan" w:cs="YouYuan"/>
          <w:sz w:val="21"/>
          <w:szCs w:val="21"/>
          <w:b/>
          <w:bCs/>
          <w:spacing w:val="7"/>
        </w:rPr>
        <w:t>数据治理持续性没有得到足够重视</w:t>
      </w:r>
    </w:p>
    <w:p>
      <w:pPr>
        <w:ind w:left="220" w:right="52" w:firstLine="489"/>
        <w:spacing w:before="242" w:line="259" w:lineRule="auto"/>
        <w:rPr>
          <w:rFonts w:ascii="SimSun" w:hAnsi="SimSun" w:eastAsia="SimSun" w:cs="SimSun"/>
          <w:sz w:val="21"/>
          <w:szCs w:val="21"/>
        </w:rPr>
      </w:pPr>
      <w:r>
        <w:rPr>
          <w:rFonts w:ascii="SimSun" w:hAnsi="SimSun" w:eastAsia="SimSun" w:cs="SimSun"/>
          <w:sz w:val="21"/>
          <w:szCs w:val="21"/>
          <w:spacing w:val="1"/>
        </w:rPr>
        <w:t>在传统数据治理时期，数据体量小，数据结构简单，最关键的是数据本地化存</w:t>
      </w:r>
      <w:r>
        <w:rPr>
          <w:rFonts w:ascii="SimSun" w:hAnsi="SimSun" w:eastAsia="SimSun" w:cs="SimSun"/>
          <w:sz w:val="21"/>
          <w:szCs w:val="21"/>
          <w:spacing w:val="13"/>
        </w:rPr>
        <w:t xml:space="preserve"> </w:t>
      </w:r>
      <w:r>
        <w:rPr>
          <w:rFonts w:ascii="SimSun" w:hAnsi="SimSun" w:eastAsia="SimSun" w:cs="SimSun"/>
          <w:sz w:val="21"/>
          <w:szCs w:val="21"/>
          <w:spacing w:val="1"/>
        </w:rPr>
        <w:t>储，数据是掌控在组织内部的，数据治理的对象可以看成一个处于静态的</w:t>
      </w:r>
      <w:r>
        <w:rPr>
          <w:rFonts w:ascii="SimSun" w:hAnsi="SimSun" w:eastAsia="SimSun" w:cs="SimSun"/>
          <w:sz w:val="21"/>
          <w:szCs w:val="21"/>
        </w:rPr>
        <w:t>数据体。 </w:t>
      </w:r>
      <w:r>
        <w:rPr>
          <w:rFonts w:ascii="SimSun" w:hAnsi="SimSun" w:eastAsia="SimSun" w:cs="SimSun"/>
          <w:sz w:val="21"/>
          <w:szCs w:val="21"/>
          <w:spacing w:val="2"/>
        </w:rPr>
        <w:t>那么数据治理就是分段化、不连续的活动，关注对某一时段数据的管理。因此，数</w:t>
      </w:r>
      <w:r>
        <w:rPr>
          <w:rFonts w:ascii="SimSun" w:hAnsi="SimSun" w:eastAsia="SimSun" w:cs="SimSun"/>
          <w:sz w:val="21"/>
          <w:szCs w:val="21"/>
          <w:spacing w:val="6"/>
        </w:rPr>
        <w:t xml:space="preserve"> </w:t>
      </w:r>
      <w:r>
        <w:rPr>
          <w:rFonts w:ascii="SimSun" w:hAnsi="SimSun" w:eastAsia="SimSun" w:cs="SimSun"/>
          <w:sz w:val="21"/>
          <w:szCs w:val="21"/>
        </w:rPr>
        <w:t>据治理强调的是一个项目，而不是一个持续改进的过程。</w:t>
      </w:r>
    </w:p>
    <w:p>
      <w:pPr>
        <w:ind w:left="220" w:right="49" w:firstLine="489"/>
        <w:spacing w:before="72" w:line="259" w:lineRule="auto"/>
        <w:rPr>
          <w:rFonts w:ascii="SimSun" w:hAnsi="SimSun" w:eastAsia="SimSun" w:cs="SimSun"/>
          <w:sz w:val="21"/>
          <w:szCs w:val="21"/>
        </w:rPr>
      </w:pPr>
      <w:r>
        <w:rPr>
          <w:rFonts w:ascii="SimSun" w:hAnsi="SimSun" w:eastAsia="SimSun" w:cs="SimSun"/>
          <w:sz w:val="21"/>
          <w:szCs w:val="21"/>
          <w:spacing w:val="-5"/>
        </w:rPr>
        <w:t>随着大数据时代的到来，云计算在数据的生命周期中所起的作用至关重要。数据</w:t>
      </w:r>
      <w:r>
        <w:rPr>
          <w:rFonts w:ascii="SimSun" w:hAnsi="SimSun" w:eastAsia="SimSun" w:cs="SimSun"/>
          <w:sz w:val="21"/>
          <w:szCs w:val="21"/>
          <w:spacing w:val="16"/>
        </w:rPr>
        <w:t xml:space="preserve"> </w:t>
      </w:r>
      <w:r>
        <w:rPr>
          <w:rFonts w:ascii="SimSun" w:hAnsi="SimSun" w:eastAsia="SimSun" w:cs="SimSun"/>
          <w:sz w:val="21"/>
          <w:szCs w:val="21"/>
          <w:spacing w:val="-4"/>
        </w:rPr>
        <w:t>不再是静态的，而是数据体量不断增加、数据源不断扩充、数据结构更加复杂、数据</w:t>
      </w:r>
      <w:r>
        <w:rPr>
          <w:rFonts w:ascii="SimSun" w:hAnsi="SimSun" w:eastAsia="SimSun" w:cs="SimSun"/>
          <w:sz w:val="21"/>
          <w:szCs w:val="21"/>
        </w:rPr>
        <w:t xml:space="preserve"> </w:t>
      </w:r>
      <w:r>
        <w:rPr>
          <w:rFonts w:ascii="SimSun" w:hAnsi="SimSun" w:eastAsia="SimSun" w:cs="SimSun"/>
          <w:sz w:val="21"/>
          <w:szCs w:val="21"/>
          <w:spacing w:val="-4"/>
        </w:rPr>
        <w:t>面对的威胁更多，数据治理也不再是一个单一项目。对待数据治理要像对组织的信息</w:t>
      </w:r>
      <w:r>
        <w:rPr>
          <w:rFonts w:ascii="SimSun" w:hAnsi="SimSun" w:eastAsia="SimSun" w:cs="SimSun"/>
          <w:sz w:val="21"/>
          <w:szCs w:val="21"/>
          <w:spacing w:val="2"/>
        </w:rPr>
        <w:t xml:space="preserve"> </w:t>
      </w:r>
      <w:r>
        <w:rPr>
          <w:rFonts w:ascii="SimSun" w:hAnsi="SimSun" w:eastAsia="SimSun" w:cs="SimSun"/>
          <w:sz w:val="21"/>
          <w:szCs w:val="21"/>
          <w:spacing w:val="-4"/>
        </w:rPr>
        <w:t>治理一样，不能一劳永逸，应该将其看成一个需要不断</w:t>
      </w:r>
      <w:r>
        <w:rPr>
          <w:rFonts w:ascii="SimSun" w:hAnsi="SimSun" w:eastAsia="SimSun" w:cs="SimSun"/>
          <w:sz w:val="21"/>
          <w:szCs w:val="21"/>
          <w:spacing w:val="-5"/>
        </w:rPr>
        <w:t>创新、持续改进的过程。</w:t>
      </w:r>
    </w:p>
    <w:p>
      <w:pPr>
        <w:spacing w:line="259" w:lineRule="auto"/>
        <w:sectPr>
          <w:footerReference w:type="default" r:id="rId89"/>
          <w:pgSz w:w="8870" w:h="13400"/>
          <w:pgMar w:top="400" w:right="468" w:bottom="467" w:left="449" w:header="0" w:footer="259" w:gutter="0"/>
        </w:sectPr>
        <w:rPr>
          <w:rFonts w:ascii="SimSun" w:hAnsi="SimSun" w:eastAsia="SimSun" w:cs="SimSun"/>
          <w:sz w:val="21"/>
          <w:szCs w:val="21"/>
        </w:rPr>
      </w:pP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975"/>
        <w:spacing w:before="133" w:line="221" w:lineRule="auto"/>
        <w:rPr>
          <w:rFonts w:ascii="SimHei" w:hAnsi="SimHei" w:eastAsia="SimHei" w:cs="SimHei"/>
          <w:sz w:val="41"/>
          <w:szCs w:val="41"/>
        </w:rPr>
      </w:pPr>
      <w:r>
        <w:rPr>
          <w:rFonts w:ascii="SimHei" w:hAnsi="SimHei" w:eastAsia="SimHei" w:cs="SimHei"/>
          <w:sz w:val="41"/>
          <w:szCs w:val="41"/>
          <w:b/>
          <w:bCs/>
          <w:spacing w:val="-13"/>
        </w:rPr>
        <w:t>第</w:t>
      </w:r>
      <w:r>
        <w:rPr>
          <w:rFonts w:ascii="SimHei" w:hAnsi="SimHei" w:eastAsia="SimHei" w:cs="SimHei"/>
          <w:sz w:val="41"/>
          <w:szCs w:val="41"/>
          <w:spacing w:val="-79"/>
        </w:rPr>
        <w:t xml:space="preserve"> </w:t>
      </w:r>
      <w:r>
        <w:rPr>
          <w:rFonts w:ascii="SimHei" w:hAnsi="SimHei" w:eastAsia="SimHei" w:cs="SimHei"/>
          <w:sz w:val="41"/>
          <w:szCs w:val="41"/>
          <w:b/>
          <w:bCs/>
          <w:spacing w:val="-13"/>
        </w:rPr>
        <w:t>2</w:t>
      </w:r>
      <w:r>
        <w:rPr>
          <w:rFonts w:ascii="SimHei" w:hAnsi="SimHei" w:eastAsia="SimHei" w:cs="SimHei"/>
          <w:sz w:val="41"/>
          <w:szCs w:val="41"/>
          <w:spacing w:val="-79"/>
        </w:rPr>
        <w:t xml:space="preserve"> </w:t>
      </w:r>
      <w:r>
        <w:rPr>
          <w:rFonts w:ascii="SimHei" w:hAnsi="SimHei" w:eastAsia="SimHei" w:cs="SimHei"/>
          <w:sz w:val="41"/>
          <w:szCs w:val="41"/>
          <w:b/>
          <w:bCs/>
          <w:spacing w:val="-13"/>
        </w:rPr>
        <w:t>章</w:t>
      </w:r>
      <w:r>
        <w:rPr>
          <w:rFonts w:ascii="SimHei" w:hAnsi="SimHei" w:eastAsia="SimHei" w:cs="SimHei"/>
          <w:sz w:val="41"/>
          <w:szCs w:val="41"/>
          <w:spacing w:val="180"/>
        </w:rPr>
        <w:t xml:space="preserve"> </w:t>
      </w:r>
      <w:r>
        <w:rPr>
          <w:rFonts w:ascii="SimHei" w:hAnsi="SimHei" w:eastAsia="SimHei" w:cs="SimHei"/>
          <w:sz w:val="41"/>
          <w:szCs w:val="41"/>
          <w:b/>
          <w:bCs/>
          <w:spacing w:val="-13"/>
        </w:rPr>
        <w:t>大数据与云端数据治理</w:t>
      </w:r>
    </w:p>
    <w:p>
      <w:pPr>
        <w:pStyle w:val="BodyText"/>
        <w:spacing w:line="264" w:lineRule="auto"/>
        <w:rPr/>
      </w:pPr>
      <w:r/>
    </w:p>
    <w:p>
      <w:pPr>
        <w:pStyle w:val="BodyText"/>
        <w:spacing w:line="264" w:lineRule="auto"/>
        <w:rPr/>
      </w:pPr>
      <w:r/>
    </w:p>
    <w:p>
      <w:pPr>
        <w:ind w:left="4"/>
        <w:spacing w:before="107" w:line="222" w:lineRule="auto"/>
        <w:outlineLvl w:val="0"/>
        <w:rPr>
          <w:rFonts w:ascii="SimHei" w:hAnsi="SimHei" w:eastAsia="SimHei" w:cs="SimHei"/>
          <w:sz w:val="33"/>
          <w:szCs w:val="33"/>
        </w:rPr>
      </w:pPr>
      <w:r>
        <w:rPr>
          <w:rFonts w:ascii="SimHei" w:hAnsi="SimHei" w:eastAsia="SimHei" w:cs="SimHei"/>
          <w:sz w:val="33"/>
          <w:szCs w:val="33"/>
          <w:b/>
          <w:bCs/>
          <w:spacing w:val="-10"/>
        </w:rPr>
        <w:t>2.1</w:t>
      </w:r>
      <w:r>
        <w:rPr>
          <w:rFonts w:ascii="SimHei" w:hAnsi="SimHei" w:eastAsia="SimHei" w:cs="SimHei"/>
          <w:sz w:val="33"/>
          <w:szCs w:val="33"/>
          <w:spacing w:val="150"/>
        </w:rPr>
        <w:t xml:space="preserve"> </w:t>
      </w:r>
      <w:r>
        <w:rPr>
          <w:rFonts w:ascii="SimHei" w:hAnsi="SimHei" w:eastAsia="SimHei" w:cs="SimHei"/>
          <w:sz w:val="33"/>
          <w:szCs w:val="33"/>
          <w:b/>
          <w:bCs/>
          <w:spacing w:val="-10"/>
        </w:rPr>
        <w:t>云计算与大数据环境下的数据特点</w:t>
      </w:r>
    </w:p>
    <w:p>
      <w:pPr>
        <w:pStyle w:val="BodyText"/>
        <w:spacing w:line="334" w:lineRule="auto"/>
        <w:rPr/>
      </w:pPr>
      <w:r/>
    </w:p>
    <w:p>
      <w:pPr>
        <w:ind w:right="237" w:firstLine="419"/>
        <w:spacing w:before="68" w:line="259" w:lineRule="auto"/>
        <w:jc w:val="both"/>
        <w:rPr>
          <w:rFonts w:ascii="SimSun" w:hAnsi="SimSun" w:eastAsia="SimSun" w:cs="SimSun"/>
          <w:sz w:val="21"/>
          <w:szCs w:val="21"/>
        </w:rPr>
      </w:pPr>
      <w:r>
        <w:rPr>
          <w:rFonts w:ascii="SimSun" w:hAnsi="SimSun" w:eastAsia="SimSun" w:cs="SimSun"/>
          <w:sz w:val="21"/>
          <w:szCs w:val="21"/>
          <w:spacing w:val="2"/>
        </w:rPr>
        <w:t>随着云计算、物联网、移动互联网等新技术的快速发展和应用</w:t>
      </w:r>
      <w:r>
        <w:rPr>
          <w:rFonts w:ascii="SimSun" w:hAnsi="SimSun" w:eastAsia="SimSun" w:cs="SimSun"/>
          <w:sz w:val="21"/>
          <w:szCs w:val="21"/>
          <w:spacing w:val="1"/>
        </w:rPr>
        <w:t>，尤其是大数据</w:t>
      </w:r>
      <w:r>
        <w:rPr>
          <w:rFonts w:ascii="SimSun" w:hAnsi="SimSun" w:eastAsia="SimSun" w:cs="SimSun"/>
          <w:sz w:val="21"/>
          <w:szCs w:val="21"/>
        </w:rPr>
        <w:t xml:space="preserve"> </w:t>
      </w:r>
      <w:r>
        <w:rPr>
          <w:rFonts w:ascii="SimSun" w:hAnsi="SimSun" w:eastAsia="SimSun" w:cs="SimSun"/>
          <w:sz w:val="21"/>
          <w:szCs w:val="21"/>
          <w:spacing w:val="1"/>
        </w:rPr>
        <w:t>概念的出现，数据在其自身的体量、种类等方面发生了重大变化，这也迫使数据治</w:t>
      </w:r>
      <w:r>
        <w:rPr>
          <w:rFonts w:ascii="SimSun" w:hAnsi="SimSun" w:eastAsia="SimSun" w:cs="SimSun"/>
          <w:sz w:val="21"/>
          <w:szCs w:val="21"/>
          <w:spacing w:val="10"/>
        </w:rPr>
        <w:t xml:space="preserve"> </w:t>
      </w:r>
      <w:r>
        <w:rPr>
          <w:rFonts w:ascii="SimSun" w:hAnsi="SimSun" w:eastAsia="SimSun" w:cs="SimSun"/>
          <w:sz w:val="21"/>
          <w:szCs w:val="21"/>
          <w:spacing w:val="1"/>
        </w:rPr>
        <w:t>理必须面对更多、更复杂的外部环境，必须不断丰富其内涵。鉴于此，有必要先弄</w:t>
      </w:r>
      <w:r>
        <w:rPr>
          <w:rFonts w:ascii="SimSun" w:hAnsi="SimSun" w:eastAsia="SimSun" w:cs="SimSun"/>
          <w:sz w:val="21"/>
          <w:szCs w:val="21"/>
          <w:spacing w:val="2"/>
        </w:rPr>
        <w:t xml:space="preserve"> </w:t>
      </w:r>
      <w:r>
        <w:rPr>
          <w:rFonts w:ascii="SimSun" w:hAnsi="SimSun" w:eastAsia="SimSun" w:cs="SimSun"/>
          <w:sz w:val="21"/>
          <w:szCs w:val="21"/>
          <w:spacing w:val="-1"/>
        </w:rPr>
        <w:t>清楚云计算、大数据的特点以及它们对数据本身</w:t>
      </w:r>
      <w:r>
        <w:rPr>
          <w:rFonts w:ascii="SimSun" w:hAnsi="SimSun" w:eastAsia="SimSun" w:cs="SimSun"/>
          <w:sz w:val="21"/>
          <w:szCs w:val="21"/>
          <w:spacing w:val="-2"/>
        </w:rPr>
        <w:t>和数据治理的影响。</w:t>
      </w:r>
    </w:p>
    <w:p>
      <w:pPr>
        <w:ind w:left="3"/>
        <w:spacing w:before="308" w:line="221" w:lineRule="auto"/>
        <w:outlineLvl w:val="0"/>
        <w:rPr>
          <w:rFonts w:ascii="YouYuan" w:hAnsi="YouYuan" w:eastAsia="YouYuan" w:cs="YouYuan"/>
          <w:sz w:val="29"/>
          <w:szCs w:val="29"/>
        </w:rPr>
      </w:pPr>
      <w:r>
        <w:rPr>
          <w:rFonts w:ascii="YouYuan" w:hAnsi="YouYuan" w:eastAsia="YouYuan" w:cs="YouYuan"/>
          <w:sz w:val="29"/>
          <w:szCs w:val="29"/>
          <w:b/>
          <w:bCs/>
          <w:spacing w:val="-11"/>
        </w:rPr>
        <w:t>2.1.1</w:t>
      </w:r>
      <w:r>
        <w:rPr>
          <w:rFonts w:ascii="YouYuan" w:hAnsi="YouYuan" w:eastAsia="YouYuan" w:cs="YouYuan"/>
          <w:sz w:val="29"/>
          <w:szCs w:val="29"/>
          <w:spacing w:val="139"/>
        </w:rPr>
        <w:t xml:space="preserve"> </w:t>
      </w:r>
      <w:r>
        <w:rPr>
          <w:rFonts w:ascii="YouYuan" w:hAnsi="YouYuan" w:eastAsia="YouYuan" w:cs="YouYuan"/>
          <w:sz w:val="29"/>
          <w:szCs w:val="29"/>
          <w:b/>
          <w:bCs/>
          <w:spacing w:val="-11"/>
        </w:rPr>
        <w:t>云计算的特点</w:t>
      </w:r>
    </w:p>
    <w:p>
      <w:pPr>
        <w:pStyle w:val="BodyText"/>
        <w:spacing w:line="277" w:lineRule="auto"/>
        <w:rPr/>
      </w:pPr>
      <w:r/>
    </w:p>
    <w:p>
      <w:pPr>
        <w:ind w:right="244" w:firstLine="419"/>
        <w:spacing w:before="69" w:line="265" w:lineRule="auto"/>
        <w:rPr>
          <w:rFonts w:ascii="SimSun" w:hAnsi="SimSun" w:eastAsia="SimSun" w:cs="SimSun"/>
          <w:sz w:val="21"/>
          <w:szCs w:val="21"/>
        </w:rPr>
      </w:pPr>
      <w:r>
        <w:rPr>
          <w:rFonts w:ascii="SimSun" w:hAnsi="SimSun" w:eastAsia="SimSun" w:cs="SimSun"/>
          <w:sz w:val="21"/>
          <w:szCs w:val="21"/>
        </w:rPr>
        <w:t>云计算是基于互联网的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资源交付模式，通常</w:t>
      </w:r>
      <w:r>
        <w:rPr>
          <w:rFonts w:ascii="SimSun" w:hAnsi="SimSun" w:eastAsia="SimSun" w:cs="SimSun"/>
          <w:sz w:val="21"/>
          <w:szCs w:val="21"/>
          <w:spacing w:val="-1"/>
        </w:rPr>
        <w:t>涉及通过互联网来提供动态易扩</w:t>
      </w:r>
      <w:r>
        <w:rPr>
          <w:rFonts w:ascii="SimSun" w:hAnsi="SimSun" w:eastAsia="SimSun" w:cs="SimSun"/>
          <w:sz w:val="21"/>
          <w:szCs w:val="21"/>
        </w:rPr>
        <w:t xml:space="preserve"> </w:t>
      </w:r>
      <w:r>
        <w:rPr>
          <w:rFonts w:ascii="SimSun" w:hAnsi="SimSun" w:eastAsia="SimSun" w:cs="SimSun"/>
          <w:sz w:val="21"/>
          <w:szCs w:val="21"/>
          <w:spacing w:val="1"/>
        </w:rPr>
        <w:t>展且虚拟化的资源。对云计算的定义有多种说法，到底什么是云计算，至少可以找</w:t>
      </w:r>
      <w:r>
        <w:rPr>
          <w:rFonts w:ascii="SimSun" w:hAnsi="SimSun" w:eastAsia="SimSun" w:cs="SimSun"/>
          <w:sz w:val="21"/>
          <w:szCs w:val="21"/>
          <w:spacing w:val="6"/>
        </w:rPr>
        <w:t xml:space="preserve"> </w:t>
      </w:r>
      <w:r>
        <w:rPr>
          <w:rFonts w:ascii="SimSun" w:hAnsi="SimSun" w:eastAsia="SimSun" w:cs="SimSun"/>
          <w:sz w:val="21"/>
          <w:szCs w:val="21"/>
          <w:spacing w:val="1"/>
        </w:rPr>
        <w:t>到上百种解释。现阶段广为接受的是美国国家标准与技术研究院</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(NIST)   </w:t>
      </w:r>
      <w:r>
        <w:rPr>
          <w:rFonts w:ascii="SimSun" w:hAnsi="SimSun" w:eastAsia="SimSun" w:cs="SimSun"/>
          <w:sz w:val="21"/>
          <w:szCs w:val="21"/>
        </w:rPr>
        <w:t>给出的定 </w:t>
      </w:r>
      <w:r>
        <w:rPr>
          <w:rFonts w:ascii="SimSun" w:hAnsi="SimSun" w:eastAsia="SimSun" w:cs="SimSun"/>
          <w:sz w:val="21"/>
          <w:szCs w:val="21"/>
          <w:spacing w:val="1"/>
        </w:rPr>
        <w:t>义，即：云计算是一种按使用量付费的模式，这种模式提供可用的、便捷的、按需</w:t>
      </w:r>
      <w:r>
        <w:rPr>
          <w:rFonts w:ascii="SimSun" w:hAnsi="SimSun" w:eastAsia="SimSun" w:cs="SimSun"/>
          <w:sz w:val="21"/>
          <w:szCs w:val="21"/>
          <w:spacing w:val="6"/>
        </w:rPr>
        <w:t xml:space="preserve"> </w:t>
      </w:r>
      <w:r>
        <w:rPr>
          <w:rFonts w:ascii="SimSun" w:hAnsi="SimSun" w:eastAsia="SimSun" w:cs="SimSun"/>
          <w:sz w:val="21"/>
          <w:szCs w:val="21"/>
          <w:spacing w:val="4"/>
        </w:rPr>
        <w:t>的网络访问，进入可配置的计算资源共享池(资源包括网络、服务器、存储、应用</w:t>
      </w:r>
      <w:r>
        <w:rPr>
          <w:rFonts w:ascii="SimSun" w:hAnsi="SimSun" w:eastAsia="SimSun" w:cs="SimSun"/>
          <w:sz w:val="21"/>
          <w:szCs w:val="21"/>
          <w:spacing w:val="15"/>
        </w:rPr>
        <w:t xml:space="preserve"> </w:t>
      </w:r>
      <w:r>
        <w:rPr>
          <w:rFonts w:ascii="SimSun" w:hAnsi="SimSun" w:eastAsia="SimSun" w:cs="SimSun"/>
          <w:sz w:val="21"/>
          <w:szCs w:val="21"/>
          <w:spacing w:val="1"/>
        </w:rPr>
        <w:t>软件、服务),这些资源能够被快速提供，只须投入很少的管理工作，或与服务供应</w:t>
      </w:r>
      <w:r>
        <w:rPr>
          <w:rFonts w:ascii="SimSun" w:hAnsi="SimSun" w:eastAsia="SimSun" w:cs="SimSun"/>
          <w:sz w:val="21"/>
          <w:szCs w:val="21"/>
        </w:rPr>
        <w:t xml:space="preserve"> </w:t>
      </w:r>
      <w:r>
        <w:rPr>
          <w:rFonts w:ascii="SimSun" w:hAnsi="SimSun" w:eastAsia="SimSun" w:cs="SimSun"/>
          <w:sz w:val="21"/>
          <w:szCs w:val="21"/>
          <w:spacing w:val="-8"/>
        </w:rPr>
        <w:t>商进行很少的交互。</w:t>
      </w:r>
    </w:p>
    <w:p>
      <w:pPr>
        <w:ind w:right="244" w:firstLine="419"/>
        <w:spacing w:before="84" w:line="267" w:lineRule="auto"/>
        <w:rPr>
          <w:rFonts w:ascii="SimSun" w:hAnsi="SimSun" w:eastAsia="SimSun" w:cs="SimSun"/>
          <w:sz w:val="21"/>
          <w:szCs w:val="21"/>
        </w:rPr>
      </w:pPr>
      <w:r>
        <w:rPr>
          <w:rFonts w:ascii="SimSun" w:hAnsi="SimSun" w:eastAsia="SimSun" w:cs="SimSun"/>
          <w:sz w:val="21"/>
          <w:szCs w:val="21"/>
        </w:rPr>
        <w:t>云计算作为</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第三次里程碑式的变革，它的出现使计算机提供计算</w:t>
      </w:r>
      <w:r>
        <w:rPr>
          <w:rFonts w:ascii="SimSun" w:hAnsi="SimSun" w:eastAsia="SimSun" w:cs="SimSun"/>
          <w:sz w:val="21"/>
          <w:szCs w:val="21"/>
          <w:spacing w:val="-1"/>
        </w:rPr>
        <w:t>能力的方式</w:t>
      </w:r>
      <w:r>
        <w:rPr>
          <w:rFonts w:ascii="SimSun" w:hAnsi="SimSun" w:eastAsia="SimSun" w:cs="SimSun"/>
          <w:sz w:val="21"/>
          <w:szCs w:val="21"/>
        </w:rPr>
        <w:t xml:space="preserve"> </w:t>
      </w:r>
      <w:r>
        <w:rPr>
          <w:rFonts w:ascii="SimSun" w:hAnsi="SimSun" w:eastAsia="SimSun" w:cs="SimSun"/>
          <w:sz w:val="21"/>
          <w:szCs w:val="21"/>
        </w:rPr>
        <w:t>发生了巨大的变化。云计算通过利用已有技术，尤其是虚拟化技术、分布式技术，</w:t>
      </w:r>
      <w:r>
        <w:rPr>
          <w:rFonts w:ascii="SimSun" w:hAnsi="SimSun" w:eastAsia="SimSun" w:cs="SimSun"/>
          <w:sz w:val="21"/>
          <w:szCs w:val="21"/>
          <w:spacing w:val="14"/>
        </w:rPr>
        <w:t xml:space="preserve"> </w:t>
      </w:r>
      <w:r>
        <w:rPr>
          <w:rFonts w:ascii="SimSun" w:hAnsi="SimSun" w:eastAsia="SimSun" w:cs="SimSun"/>
          <w:sz w:val="21"/>
          <w:szCs w:val="21"/>
        </w:rPr>
        <w:t>把所有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基础设施资源都集中化到一个数据中心，通过云系统建立一台</w:t>
      </w:r>
      <w:r>
        <w:rPr>
          <w:rFonts w:ascii="SimSun" w:hAnsi="SimSun" w:eastAsia="SimSun" w:cs="SimSun"/>
          <w:sz w:val="21"/>
          <w:szCs w:val="21"/>
          <w:spacing w:val="-1"/>
        </w:rPr>
        <w:t>超级大规模</w:t>
      </w:r>
      <w:r>
        <w:rPr>
          <w:rFonts w:ascii="SimSun" w:hAnsi="SimSun" w:eastAsia="SimSun" w:cs="SimSun"/>
          <w:sz w:val="21"/>
          <w:szCs w:val="21"/>
        </w:rPr>
        <w:t xml:space="preserve"> </w:t>
      </w:r>
      <w:r>
        <w:rPr>
          <w:rFonts w:ascii="SimSun" w:hAnsi="SimSun" w:eastAsia="SimSun" w:cs="SimSun"/>
          <w:sz w:val="21"/>
          <w:szCs w:val="21"/>
          <w:spacing w:val="1"/>
        </w:rPr>
        <w:t>的计算机，然后再通过虚拟化和分布式计算技术，把资源按照用户的需求动态地分 </w:t>
      </w:r>
      <w:r>
        <w:rPr>
          <w:rFonts w:ascii="SimSun" w:hAnsi="SimSun" w:eastAsia="SimSun" w:cs="SimSun"/>
          <w:sz w:val="21"/>
          <w:szCs w:val="21"/>
          <w:spacing w:val="1"/>
        </w:rPr>
        <w:t>配给每个用户。使得建成的超大规模“云计算机”像发电厂一样，多用户可以从这 </w:t>
      </w:r>
      <w:r>
        <w:rPr>
          <w:rFonts w:ascii="SimSun" w:hAnsi="SimSun" w:eastAsia="SimSun" w:cs="SimSun"/>
          <w:sz w:val="21"/>
          <w:szCs w:val="21"/>
          <w:spacing w:val="1"/>
        </w:rPr>
        <w:t>座“电厂”中随时获取所需要的计算资源。云计算采用按需计费的方式，就像生活 </w:t>
      </w:r>
      <w:r>
        <w:rPr>
          <w:rFonts w:ascii="SimSun" w:hAnsi="SimSun" w:eastAsia="SimSun" w:cs="SimSun"/>
          <w:sz w:val="21"/>
          <w:szCs w:val="21"/>
          <w:spacing w:val="-1"/>
        </w:rPr>
        <w:t>中用电一样，用户无须考虑如何“发电”,也不用</w:t>
      </w:r>
      <w:r>
        <w:rPr>
          <w:rFonts w:ascii="SimSun" w:hAnsi="SimSun" w:eastAsia="SimSun" w:cs="SimSun"/>
          <w:sz w:val="21"/>
          <w:szCs w:val="21"/>
          <w:spacing w:val="-2"/>
        </w:rPr>
        <w:t>担心“电力”调配、维护、更新问</w:t>
      </w:r>
      <w:r>
        <w:rPr>
          <w:rFonts w:ascii="SimSun" w:hAnsi="SimSun" w:eastAsia="SimSun" w:cs="SimSun"/>
          <w:sz w:val="21"/>
          <w:szCs w:val="21"/>
        </w:rPr>
        <w:t xml:space="preserve"> </w:t>
      </w:r>
      <w:r>
        <w:rPr>
          <w:rFonts w:ascii="SimSun" w:hAnsi="SimSun" w:eastAsia="SimSun" w:cs="SimSun"/>
          <w:sz w:val="21"/>
          <w:szCs w:val="21"/>
          <w:spacing w:val="1"/>
        </w:rPr>
        <w:t>题。这种集中管理的方式不但节省资源，提高资源利用率，而且可以大大提高运算</w:t>
      </w:r>
      <w:r>
        <w:rPr>
          <w:rFonts w:ascii="SimSun" w:hAnsi="SimSun" w:eastAsia="SimSun" w:cs="SimSun"/>
          <w:sz w:val="21"/>
          <w:szCs w:val="21"/>
          <w:spacing w:val="3"/>
        </w:rPr>
        <w:t xml:space="preserve"> </w:t>
      </w:r>
      <w:r>
        <w:rPr>
          <w:rFonts w:ascii="SimSun" w:hAnsi="SimSun" w:eastAsia="SimSun" w:cs="SimSun"/>
          <w:sz w:val="21"/>
          <w:szCs w:val="21"/>
          <w:spacing w:val="-4"/>
        </w:rPr>
        <w:t>能力，带来更好的用户体验。</w:t>
      </w:r>
    </w:p>
    <w:p>
      <w:pPr>
        <w:ind w:right="247" w:firstLine="419"/>
        <w:spacing w:before="37" w:line="265" w:lineRule="auto"/>
        <w:rPr>
          <w:rFonts w:ascii="SimSun" w:hAnsi="SimSun" w:eastAsia="SimSun" w:cs="SimSun"/>
          <w:sz w:val="21"/>
          <w:szCs w:val="21"/>
        </w:rPr>
      </w:pPr>
      <w:r>
        <w:rPr>
          <w:rFonts w:ascii="SimSun" w:hAnsi="SimSun" w:eastAsia="SimSun" w:cs="SimSun"/>
          <w:sz w:val="21"/>
          <w:szCs w:val="21"/>
        </w:rPr>
        <w:t>根据</w:t>
      </w:r>
      <w:r>
        <w:rPr>
          <w:rFonts w:ascii="Times New Roman" w:hAnsi="Times New Roman" w:eastAsia="Times New Roman" w:cs="Times New Roman"/>
          <w:sz w:val="21"/>
          <w:szCs w:val="21"/>
        </w:rPr>
        <w:t>ISO/IEC</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17788l23|</w:t>
      </w:r>
      <w:r>
        <w:rPr>
          <w:rFonts w:ascii="SimSun" w:hAnsi="SimSun" w:eastAsia="SimSun" w:cs="SimSun"/>
          <w:sz w:val="21"/>
          <w:szCs w:val="21"/>
        </w:rPr>
        <w:t>对云计算的描</w:t>
      </w:r>
      <w:r>
        <w:rPr>
          <w:rFonts w:ascii="SimSun" w:hAnsi="SimSun" w:eastAsia="SimSun" w:cs="SimSun"/>
          <w:sz w:val="21"/>
          <w:szCs w:val="21"/>
          <w:spacing w:val="-1"/>
        </w:rPr>
        <w:t>述，将云计算的特点进行了总结，如图2-1</w:t>
      </w:r>
      <w:r>
        <w:rPr>
          <w:rFonts w:ascii="SimSun" w:hAnsi="SimSun" w:eastAsia="SimSun" w:cs="SimSun"/>
          <w:sz w:val="21"/>
          <w:szCs w:val="21"/>
        </w:rPr>
        <w:t xml:space="preserve"> </w:t>
      </w:r>
      <w:r>
        <w:rPr>
          <w:rFonts w:ascii="SimSun" w:hAnsi="SimSun" w:eastAsia="SimSun" w:cs="SimSun"/>
          <w:sz w:val="21"/>
          <w:szCs w:val="21"/>
          <w:spacing w:val="-8"/>
        </w:rPr>
        <w:t>所示。通过这些特点来体现云计算的核心竞争力124]。</w:t>
      </w:r>
    </w:p>
    <w:p>
      <w:pPr>
        <w:spacing w:line="265" w:lineRule="auto"/>
        <w:sectPr>
          <w:footerReference w:type="default" r:id="rId90"/>
          <w:pgSz w:w="8870" w:h="13400"/>
          <w:pgMar w:top="400" w:right="570" w:bottom="547" w:left="440" w:header="0" w:footer="338" w:gutter="0"/>
        </w:sectPr>
        <w:rPr>
          <w:rFonts w:ascii="SimSun" w:hAnsi="SimSun" w:eastAsia="SimSun" w:cs="SimSun"/>
          <w:sz w:val="21"/>
          <w:szCs w:val="21"/>
        </w:rPr>
      </w:pPr>
    </w:p>
    <w:p>
      <w:pPr>
        <w:ind w:left="253"/>
        <w:spacing w:before="236" w:line="219" w:lineRule="auto"/>
        <w:rPr>
          <w:rFonts w:ascii="SimSun" w:hAnsi="SimSun" w:eastAsia="SimSun" w:cs="SimSun"/>
          <w:sz w:val="22"/>
          <w:szCs w:val="22"/>
        </w:rPr>
      </w:pPr>
      <w:r>
        <w:drawing>
          <wp:anchor distT="0" distB="0" distL="0" distR="0" simplePos="0" relativeHeight="252113920" behindDoc="0" locked="0" layoutInCell="0" allowOverlap="1">
            <wp:simplePos x="0" y="0"/>
            <wp:positionH relativeFrom="page">
              <wp:posOffset>349246</wp:posOffset>
            </wp:positionH>
            <wp:positionV relativeFrom="page">
              <wp:posOffset>361972</wp:posOffset>
            </wp:positionV>
            <wp:extent cx="6350" cy="228551"/>
            <wp:effectExtent l="0" t="0" r="0" b="0"/>
            <wp:wrapNone/>
            <wp:docPr id="88" name="IM 88"/>
            <wp:cNvGraphicFramePr/>
            <a:graphic>
              <a:graphicData uri="http://schemas.openxmlformats.org/drawingml/2006/picture">
                <pic:pic>
                  <pic:nvPicPr>
                    <pic:cNvPr id="88" name="IM 88"/>
                    <pic:cNvPicPr/>
                  </pic:nvPicPr>
                  <pic:blipFill>
                    <a:blip r:embed="rId92"/>
                    <a:stretch>
                      <a:fillRect/>
                    </a:stretch>
                  </pic:blipFill>
                  <pic:spPr>
                    <a:xfrm rot="0">
                      <a:off x="0" y="0"/>
                      <a:ext cx="6350" cy="228551"/>
                    </a:xfrm>
                    <a:prstGeom prst="rect">
                      <a:avLst/>
                    </a:prstGeom>
                  </pic:spPr>
                </pic:pic>
              </a:graphicData>
            </a:graphic>
          </wp:anchor>
        </w:drawing>
      </w:r>
      <w:bookmarkStart w:name="bookmark19" w:id="14"/>
      <w:bookmarkEnd w:id="14"/>
      <w:bookmarkStart w:name="bookmark20" w:id="15"/>
      <w:bookmarkEnd w:id="15"/>
      <w:r>
        <w:rPr>
          <w:rFonts w:ascii="SimSun" w:hAnsi="SimSun" w:eastAsia="SimSun" w:cs="SimSun"/>
          <w:sz w:val="22"/>
          <w:szCs w:val="22"/>
          <w:b/>
          <w:bCs/>
          <w:spacing w:val="-16"/>
        </w:rPr>
        <w:t>■云端数据治理</w:t>
      </w:r>
    </w:p>
    <w:p>
      <w:pPr>
        <w:pStyle w:val="BodyText"/>
        <w:ind w:firstLine="2390"/>
        <w:spacing w:before="213" w:line="2490" w:lineRule="exact"/>
        <w:rPr/>
      </w:pPr>
      <w:r>
        <w:rPr>
          <w:position w:val="-49"/>
        </w:rPr>
        <w:pict>
          <v:group id="_x0000_s216" style="mso-position-vertical-relative:line;mso-position-horizontal-relative:char;width:171.55pt;height:124.5pt;" filled="false" stroked="false" coordsize="3431,2490" coordorigin="0,0">
            <v:shape id="_x0000_s218" style="position:absolute;left:0;top:0;width:3431;height:2490;" filled="false" stroked="false" type="#_x0000_t75">
              <v:imagedata o:title="" r:id="rId93"/>
            </v:shape>
            <v:shape id="_x0000_s220" style="position:absolute;left:150;top:227;width:1973;height:2118;" filled="false" stroked="false" type="#_x0000_t202">
              <v:fill on="false"/>
              <v:stroke on="false"/>
              <v:path/>
              <v:imagedata o:title=""/>
              <o:lock v:ext="edit" aspectratio="false"/>
              <v:textbox inset="0mm,0mm,0mm,0mm">
                <w:txbxContent>
                  <w:p>
                    <w:pPr>
                      <w:ind w:left="259"/>
                      <w:spacing w:before="20" w:line="221" w:lineRule="auto"/>
                      <w:rPr>
                        <w:rFonts w:ascii="SimSun" w:hAnsi="SimSun" w:eastAsia="SimSun" w:cs="SimSun"/>
                        <w:sz w:val="15"/>
                        <w:szCs w:val="15"/>
                      </w:rPr>
                    </w:pPr>
                    <w:r>
                      <w:rPr>
                        <w:rFonts w:ascii="SimSun" w:hAnsi="SimSun" w:eastAsia="SimSun" w:cs="SimSun"/>
                        <w:sz w:val="15"/>
                        <w:szCs w:val="15"/>
                        <w:color w:val="FFFFFF"/>
                        <w:spacing w:val="-5"/>
                      </w:rPr>
                      <w:t>(泛在网络)</w:t>
                    </w:r>
                  </w:p>
                  <w:p>
                    <w:pPr>
                      <w:ind w:left="419"/>
                      <w:spacing w:before="39" w:line="221" w:lineRule="auto"/>
                      <w:rPr>
                        <w:rFonts w:ascii="SimSun" w:hAnsi="SimSun" w:eastAsia="SimSun" w:cs="SimSun"/>
                        <w:sz w:val="15"/>
                        <w:szCs w:val="15"/>
                      </w:rPr>
                    </w:pPr>
                    <w:r>
                      <w:rPr>
                        <w:rFonts w:ascii="SimSun" w:hAnsi="SimSun" w:eastAsia="SimSun" w:cs="SimSun"/>
                        <w:sz w:val="15"/>
                        <w:szCs w:val="15"/>
                        <w:spacing w:val="20"/>
                      </w:rPr>
                      <w:t>接入</w:t>
                    </w:r>
                  </w:p>
                  <w:p>
                    <w:pPr>
                      <w:spacing w:line="432" w:lineRule="auto"/>
                      <w:rPr>
                        <w:rFonts w:ascii="Arial"/>
                        <w:sz w:val="21"/>
                      </w:rPr>
                    </w:pPr>
                    <w:r/>
                  </w:p>
                  <w:p>
                    <w:pPr>
                      <w:spacing w:before="55" w:line="231" w:lineRule="auto"/>
                      <w:jc w:val="right"/>
                      <w:rPr>
                        <w:rFonts w:ascii="SimSun" w:hAnsi="SimSun" w:eastAsia="SimSun" w:cs="SimSun"/>
                        <w:sz w:val="17"/>
                        <w:szCs w:val="17"/>
                      </w:rPr>
                    </w:pPr>
                    <w:r>
                      <w:rPr>
                        <w:rFonts w:ascii="SimSun" w:hAnsi="SimSun" w:eastAsia="SimSun" w:cs="SimSun"/>
                        <w:sz w:val="17"/>
                        <w:szCs w:val="17"/>
                        <w:spacing w:val="-20"/>
                      </w:rPr>
                      <w:t>多租</w:t>
                    </w:r>
                    <w:r>
                      <w:rPr>
                        <w:rFonts w:ascii="SimSun" w:hAnsi="SimSun" w:eastAsia="SimSun" w:cs="SimSun"/>
                        <w:sz w:val="17"/>
                        <w:szCs w:val="17"/>
                        <w:spacing w:val="-19"/>
                      </w:rPr>
                      <w:t>户</w:t>
                    </w:r>
                    <w:r>
                      <w:rPr>
                        <w:rFonts w:ascii="SimSun" w:hAnsi="SimSun" w:eastAsia="SimSun" w:cs="SimSun"/>
                        <w:sz w:val="17"/>
                        <w:szCs w:val="17"/>
                        <w:spacing w:val="7"/>
                      </w:rPr>
                      <w:t xml:space="preserve">        </w:t>
                    </w:r>
                    <w:r>
                      <w:rPr>
                        <w:rFonts w:ascii="SimSun" w:hAnsi="SimSun" w:eastAsia="SimSun" w:cs="SimSun"/>
                        <w:sz w:val="17"/>
                        <w:szCs w:val="17"/>
                        <w:spacing w:val="-19"/>
                      </w:rPr>
                      <w:t>云计算特</w:t>
                    </w:r>
                    <w:r>
                      <w:rPr>
                        <w:rFonts w:ascii="SimSun" w:hAnsi="SimSun" w:eastAsia="SimSun" w:cs="SimSun"/>
                        <w:sz w:val="17"/>
                        <w:szCs w:val="17"/>
                        <w:spacing w:val="-17"/>
                      </w:rPr>
                      <w:t>点</w:t>
                    </w:r>
                  </w:p>
                  <w:p>
                    <w:pPr>
                      <w:spacing w:line="288" w:lineRule="auto"/>
                      <w:rPr>
                        <w:rFonts w:ascii="Arial"/>
                        <w:sz w:val="21"/>
                      </w:rPr>
                    </w:pPr>
                    <w:r/>
                  </w:p>
                  <w:p>
                    <w:pPr>
                      <w:spacing w:line="289" w:lineRule="auto"/>
                      <w:rPr>
                        <w:rFonts w:ascii="Arial"/>
                        <w:sz w:val="21"/>
                      </w:rPr>
                    </w:pPr>
                    <w:r/>
                  </w:p>
                  <w:p>
                    <w:pPr>
                      <w:ind w:left="279"/>
                      <w:spacing w:before="55" w:line="185" w:lineRule="auto"/>
                      <w:rPr>
                        <w:rFonts w:ascii="SimSun" w:hAnsi="SimSun" w:eastAsia="SimSun" w:cs="SimSun"/>
                        <w:sz w:val="17"/>
                        <w:szCs w:val="17"/>
                      </w:rPr>
                    </w:pPr>
                    <w:r>
                      <w:rPr>
                        <w:rFonts w:ascii="SimSun" w:hAnsi="SimSun" w:eastAsia="SimSun" w:cs="SimSun"/>
                        <w:sz w:val="17"/>
                        <w:szCs w:val="17"/>
                        <w:spacing w:val="-12"/>
                        <w:w w:val="98"/>
                      </w:rPr>
                      <w:t>快速弹性)</w:t>
                    </w:r>
                  </w:p>
                  <w:p>
                    <w:pPr>
                      <w:ind w:left="429"/>
                      <w:spacing w:line="218" w:lineRule="auto"/>
                      <w:rPr>
                        <w:rFonts w:ascii="SimSun" w:hAnsi="SimSun" w:eastAsia="SimSun" w:cs="SimSun"/>
                        <w:sz w:val="17"/>
                        <w:szCs w:val="17"/>
                      </w:rPr>
                    </w:pPr>
                    <w:r>
                      <w:rPr>
                        <w:rFonts w:ascii="SimSun" w:hAnsi="SimSun" w:eastAsia="SimSun" w:cs="SimSun"/>
                        <w:sz w:val="17"/>
                        <w:szCs w:val="17"/>
                        <w:spacing w:val="-2"/>
                      </w:rPr>
                      <w:t>伸缩</w:t>
                    </w:r>
                  </w:p>
                </w:txbxContent>
              </v:textbox>
            </v:shape>
            <v:shape id="_x0000_s222" style="position:absolute;left:2400;top:206;width:1025;height:2088;" filled="false" stroked="false" type="#_x0000_t202">
              <v:fill on="false"/>
              <v:stroke on="false"/>
              <v:path/>
              <v:imagedata o:title=""/>
              <o:lock v:ext="edit" aspectratio="false"/>
              <v:textbox inset="0mm,0mm,0mm,0mm">
                <w:txbxContent>
                  <w:p>
                    <w:pPr>
                      <w:ind w:left="110"/>
                      <w:spacing w:before="20" w:line="185" w:lineRule="auto"/>
                      <w:rPr>
                        <w:rFonts w:ascii="SimSun" w:hAnsi="SimSun" w:eastAsia="SimSun" w:cs="SimSun"/>
                        <w:sz w:val="17"/>
                        <w:szCs w:val="17"/>
                      </w:rPr>
                    </w:pPr>
                    <w:r>
                      <w:rPr>
                        <w:rFonts w:ascii="SimSun" w:hAnsi="SimSun" w:eastAsia="SimSun" w:cs="SimSun"/>
                        <w:sz w:val="17"/>
                        <w:szCs w:val="17"/>
                        <w:spacing w:val="-10"/>
                      </w:rPr>
                      <w:t>服务可</w:t>
                    </w:r>
                  </w:p>
                  <w:p>
                    <w:pPr>
                      <w:ind w:left="190"/>
                      <w:spacing w:line="220" w:lineRule="auto"/>
                      <w:rPr>
                        <w:rFonts w:ascii="SimSun" w:hAnsi="SimSun" w:eastAsia="SimSun" w:cs="SimSun"/>
                        <w:sz w:val="17"/>
                        <w:szCs w:val="17"/>
                      </w:rPr>
                    </w:pPr>
                    <w:r>
                      <w:rPr>
                        <w:rFonts w:ascii="SimSun" w:hAnsi="SimSun" w:eastAsia="SimSun" w:cs="SimSun"/>
                        <w:sz w:val="17"/>
                        <w:szCs w:val="17"/>
                        <w:spacing w:val="-2"/>
                      </w:rPr>
                      <w:t>度量</w:t>
                    </w:r>
                  </w:p>
                  <w:p>
                    <w:pPr>
                      <w:spacing w:line="388" w:lineRule="auto"/>
                      <w:rPr>
                        <w:rFonts w:ascii="Arial"/>
                        <w:sz w:val="21"/>
                      </w:rPr>
                    </w:pPr>
                    <w:r/>
                  </w:p>
                  <w:p>
                    <w:pPr>
                      <w:ind w:left="459" w:right="20" w:hanging="149"/>
                      <w:spacing w:before="56"/>
                      <w:rPr>
                        <w:rFonts w:ascii="SimSun" w:hAnsi="SimSun" w:eastAsia="SimSun" w:cs="SimSun"/>
                        <w:sz w:val="17"/>
                        <w:szCs w:val="17"/>
                      </w:rPr>
                    </w:pPr>
                    <w:r>
                      <w:rPr>
                        <w:rFonts w:ascii="SimSun" w:hAnsi="SimSun" w:eastAsia="SimSun" w:cs="SimSun"/>
                        <w:sz w:val="17"/>
                        <w:szCs w:val="17"/>
                        <w:spacing w:val="-15"/>
                      </w:rPr>
                      <w:t>按需自动)</w:t>
                    </w:r>
                    <w:r>
                      <w:rPr>
                        <w:rFonts w:ascii="SimSun" w:hAnsi="SimSun" w:eastAsia="SimSun" w:cs="SimSun"/>
                        <w:sz w:val="17"/>
                        <w:szCs w:val="17"/>
                        <w:spacing w:val="3"/>
                      </w:rPr>
                      <w:t xml:space="preserve"> </w:t>
                    </w:r>
                    <w:r>
                      <w:rPr>
                        <w:rFonts w:ascii="SimSun" w:hAnsi="SimSun" w:eastAsia="SimSun" w:cs="SimSun"/>
                        <w:sz w:val="17"/>
                        <w:szCs w:val="17"/>
                        <w:spacing w:val="-2"/>
                      </w:rPr>
                      <w:t>服务</w:t>
                    </w:r>
                  </w:p>
                  <w:p>
                    <w:pPr>
                      <w:spacing w:line="385" w:lineRule="auto"/>
                      <w:rPr>
                        <w:rFonts w:ascii="Arial"/>
                        <w:sz w:val="21"/>
                      </w:rPr>
                    </w:pPr>
                    <w:r/>
                  </w:p>
                  <w:p>
                    <w:pPr>
                      <w:ind w:left="20"/>
                      <w:spacing w:before="97" w:line="221" w:lineRule="auto"/>
                      <w:rPr>
                        <w:rFonts w:ascii="SimSun" w:hAnsi="SimSun" w:eastAsia="SimSun" w:cs="SimSun"/>
                        <w:sz w:val="30"/>
                        <w:szCs w:val="30"/>
                      </w:rPr>
                    </w:pPr>
                    <w:r>
                      <w:rPr>
                        <w:rFonts w:ascii="SimSun" w:hAnsi="SimSun" w:eastAsia="SimSun" w:cs="SimSun"/>
                        <w:sz w:val="30"/>
                        <w:szCs w:val="30"/>
                        <w:spacing w:val="-17"/>
                        <w:w w:val="61"/>
                      </w:rPr>
                      <w:t>(资源池化)</w:t>
                    </w:r>
                  </w:p>
                </w:txbxContent>
              </v:textbox>
            </v:shape>
          </v:group>
        </w:pict>
      </w:r>
    </w:p>
    <w:p>
      <w:pPr>
        <w:ind w:left="3242"/>
        <w:spacing w:before="213" w:line="222" w:lineRule="auto"/>
        <w:rPr>
          <w:rFonts w:ascii="SimHei" w:hAnsi="SimHei" w:eastAsia="SimHei" w:cs="SimHei"/>
          <w:sz w:val="17"/>
          <w:szCs w:val="17"/>
        </w:rPr>
      </w:pPr>
      <w:r>
        <w:rPr>
          <w:rFonts w:ascii="SimHei" w:hAnsi="SimHei" w:eastAsia="SimHei" w:cs="SimHei"/>
          <w:sz w:val="17"/>
          <w:szCs w:val="17"/>
          <w:b/>
          <w:bCs/>
          <w:spacing w:val="8"/>
        </w:rPr>
        <w:t>图2-1</w:t>
      </w:r>
      <w:r>
        <w:rPr>
          <w:rFonts w:ascii="SimHei" w:hAnsi="SimHei" w:eastAsia="SimHei" w:cs="SimHei"/>
          <w:sz w:val="17"/>
          <w:szCs w:val="17"/>
          <w:spacing w:val="5"/>
        </w:rPr>
        <w:t xml:space="preserve">  </w:t>
      </w:r>
      <w:r>
        <w:rPr>
          <w:rFonts w:ascii="SimHei" w:hAnsi="SimHei" w:eastAsia="SimHei" w:cs="SimHei"/>
          <w:sz w:val="17"/>
          <w:szCs w:val="17"/>
          <w:b/>
          <w:bCs/>
          <w:spacing w:val="8"/>
        </w:rPr>
        <w:t>云计算的特点</w:t>
      </w:r>
    </w:p>
    <w:p>
      <w:pPr>
        <w:ind w:left="723"/>
        <w:spacing w:before="192" w:line="222" w:lineRule="auto"/>
        <w:outlineLvl w:val="1"/>
        <w:rPr>
          <w:rFonts w:ascii="YouYuan" w:hAnsi="YouYuan" w:eastAsia="YouYuan" w:cs="YouYuan"/>
          <w:sz w:val="22"/>
          <w:szCs w:val="22"/>
        </w:rPr>
      </w:pPr>
      <w:r>
        <w:rPr>
          <w:rFonts w:ascii="YouYuan" w:hAnsi="YouYuan" w:eastAsia="YouYuan" w:cs="YouYuan"/>
          <w:sz w:val="22"/>
          <w:szCs w:val="22"/>
          <w:b/>
          <w:bCs/>
          <w:spacing w:val="-2"/>
        </w:rPr>
        <w:t>1.</w:t>
      </w:r>
      <w:r>
        <w:rPr>
          <w:rFonts w:ascii="YouYuan" w:hAnsi="YouYuan" w:eastAsia="YouYuan" w:cs="YouYuan"/>
          <w:sz w:val="22"/>
          <w:szCs w:val="22"/>
          <w:spacing w:val="-23"/>
        </w:rPr>
        <w:t xml:space="preserve"> </w:t>
      </w:r>
      <w:r>
        <w:rPr>
          <w:rFonts w:ascii="YouYuan" w:hAnsi="YouYuan" w:eastAsia="YouYuan" w:cs="YouYuan"/>
          <w:sz w:val="22"/>
          <w:szCs w:val="22"/>
          <w:b/>
          <w:bCs/>
          <w:spacing w:val="-2"/>
        </w:rPr>
        <w:t>泛在网络接入</w:t>
      </w:r>
    </w:p>
    <w:p>
      <w:pPr>
        <w:ind w:left="250" w:right="100" w:firstLine="470"/>
        <w:spacing w:before="228" w:line="255" w:lineRule="auto"/>
        <w:rPr>
          <w:rFonts w:ascii="SimSun" w:hAnsi="SimSun" w:eastAsia="SimSun" w:cs="SimSun"/>
          <w:sz w:val="22"/>
          <w:szCs w:val="22"/>
        </w:rPr>
      </w:pPr>
      <w:r>
        <w:rPr>
          <w:rFonts w:ascii="SimSun" w:hAnsi="SimSun" w:eastAsia="SimSun" w:cs="SimSun"/>
          <w:sz w:val="22"/>
          <w:szCs w:val="22"/>
          <w:spacing w:val="-9"/>
        </w:rPr>
        <w:t>让用户可以在任何地方通过任何设备来接入需要的信息服务是人</w:t>
      </w:r>
      <w:r>
        <w:rPr>
          <w:rFonts w:ascii="SimSun" w:hAnsi="SimSun" w:eastAsia="SimSun" w:cs="SimSun"/>
          <w:sz w:val="22"/>
          <w:szCs w:val="22"/>
          <w:spacing w:val="-10"/>
        </w:rPr>
        <w:t>们追求的一个</w:t>
      </w:r>
      <w:r>
        <w:rPr>
          <w:rFonts w:ascii="SimSun" w:hAnsi="SimSun" w:eastAsia="SimSun" w:cs="SimSun"/>
          <w:sz w:val="22"/>
          <w:szCs w:val="22"/>
        </w:rPr>
        <w:t xml:space="preserve"> </w:t>
      </w:r>
      <w:r>
        <w:rPr>
          <w:rFonts w:ascii="SimSun" w:hAnsi="SimSun" w:eastAsia="SimSun" w:cs="SimSun"/>
          <w:sz w:val="22"/>
          <w:szCs w:val="22"/>
          <w:spacing w:val="-8"/>
        </w:rPr>
        <w:t>理想，云计算的发展让我们离这个目标更近了一步。资源的集中供应必然要求用户</w:t>
      </w:r>
      <w:r>
        <w:rPr>
          <w:rFonts w:ascii="SimSun" w:hAnsi="SimSun" w:eastAsia="SimSun" w:cs="SimSun"/>
          <w:sz w:val="22"/>
          <w:szCs w:val="22"/>
          <w:spacing w:val="6"/>
        </w:rPr>
        <w:t xml:space="preserve"> </w:t>
      </w:r>
      <w:r>
        <w:rPr>
          <w:rFonts w:ascii="SimSun" w:hAnsi="SimSun" w:eastAsia="SimSun" w:cs="SimSun"/>
          <w:sz w:val="22"/>
          <w:szCs w:val="22"/>
          <w:spacing w:val="-9"/>
        </w:rPr>
        <w:t>通过网络来接入，云服务的供给就相当于电力和自来水集中供应之后通过电网和自</w:t>
      </w:r>
      <w:r>
        <w:rPr>
          <w:rFonts w:ascii="SimSun" w:hAnsi="SimSun" w:eastAsia="SimSun" w:cs="SimSun"/>
          <w:sz w:val="22"/>
          <w:szCs w:val="22"/>
          <w:spacing w:val="18"/>
        </w:rPr>
        <w:t xml:space="preserve"> </w:t>
      </w:r>
      <w:r>
        <w:rPr>
          <w:rFonts w:ascii="SimSun" w:hAnsi="SimSun" w:eastAsia="SimSun" w:cs="SimSun"/>
          <w:sz w:val="22"/>
          <w:szCs w:val="22"/>
          <w:spacing w:val="-9"/>
        </w:rPr>
        <w:t>来水管道网络来提供服务一样，用户无须购买服务器，无须安装</w:t>
      </w:r>
      <w:r>
        <w:rPr>
          <w:rFonts w:ascii="SimSun" w:hAnsi="SimSun" w:eastAsia="SimSun" w:cs="SimSun"/>
          <w:sz w:val="22"/>
          <w:szCs w:val="22"/>
          <w:spacing w:val="-10"/>
        </w:rPr>
        <w:t>和维护操作系统、</w:t>
      </w:r>
      <w:r>
        <w:rPr>
          <w:rFonts w:ascii="SimSun" w:hAnsi="SimSun" w:eastAsia="SimSun" w:cs="SimSun"/>
          <w:sz w:val="22"/>
          <w:szCs w:val="22"/>
        </w:rPr>
        <w:t xml:space="preserve"> </w:t>
      </w:r>
      <w:r>
        <w:rPr>
          <w:rFonts w:ascii="SimSun" w:hAnsi="SimSun" w:eastAsia="SimSun" w:cs="SimSun"/>
          <w:sz w:val="22"/>
          <w:szCs w:val="22"/>
          <w:spacing w:val="-8"/>
        </w:rPr>
        <w:t>数据库等复杂环境，轻松完成集群应用的部署操作</w:t>
      </w:r>
      <w:r>
        <w:rPr>
          <w:rFonts w:ascii="SimSun" w:hAnsi="SimSun" w:eastAsia="SimSun" w:cs="SimSun"/>
          <w:sz w:val="22"/>
          <w:szCs w:val="22"/>
          <w:spacing w:val="-9"/>
        </w:rPr>
        <w:t>。无须复杂的架构设计，即可应</w:t>
      </w:r>
      <w:r>
        <w:rPr>
          <w:rFonts w:ascii="SimSun" w:hAnsi="SimSun" w:eastAsia="SimSun" w:cs="SimSun"/>
          <w:sz w:val="22"/>
          <w:szCs w:val="22"/>
        </w:rPr>
        <w:t xml:space="preserve"> </w:t>
      </w:r>
      <w:r>
        <w:rPr>
          <w:rFonts w:ascii="SimSun" w:hAnsi="SimSun" w:eastAsia="SimSun" w:cs="SimSun"/>
          <w:sz w:val="22"/>
          <w:szCs w:val="22"/>
          <w:spacing w:val="-11"/>
        </w:rPr>
        <w:t>对千万级的日访问量。用户可以使用不同的设备，包括</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1"/>
        </w:rPr>
        <w:t>PC</w:t>
      </w:r>
      <w:r>
        <w:rPr>
          <w:rFonts w:ascii="SimSun" w:hAnsi="SimSun" w:eastAsia="SimSun" w:cs="SimSun"/>
          <w:sz w:val="22"/>
          <w:szCs w:val="22"/>
          <w:spacing w:val="-11"/>
        </w:rPr>
        <w:t>、手机、</w:t>
      </w:r>
      <w:r>
        <w:rPr>
          <w:rFonts w:ascii="SimSun" w:hAnsi="SimSun" w:eastAsia="SimSun" w:cs="SimSun"/>
          <w:sz w:val="22"/>
          <w:szCs w:val="22"/>
          <w:spacing w:val="-12"/>
        </w:rPr>
        <w:t>平板电脑等通过</w:t>
      </w:r>
      <w:r>
        <w:rPr>
          <w:rFonts w:ascii="SimSun" w:hAnsi="SimSun" w:eastAsia="SimSun" w:cs="SimSun"/>
          <w:sz w:val="22"/>
          <w:szCs w:val="22"/>
        </w:rPr>
        <w:t xml:space="preserve"> </w:t>
      </w:r>
      <w:r>
        <w:rPr>
          <w:rFonts w:ascii="SimSun" w:hAnsi="SimSun" w:eastAsia="SimSun" w:cs="SimSun"/>
          <w:sz w:val="22"/>
          <w:szCs w:val="22"/>
          <w:spacing w:val="-8"/>
        </w:rPr>
        <w:t>网络接入云服务，实现无缝切换办公地点。同时，用户所</w:t>
      </w:r>
      <w:r>
        <w:rPr>
          <w:rFonts w:ascii="SimSun" w:hAnsi="SimSun" w:eastAsia="SimSun" w:cs="SimSun"/>
          <w:sz w:val="22"/>
          <w:szCs w:val="22"/>
          <w:spacing w:val="-9"/>
        </w:rPr>
        <w:t>有的业务和应用都在数据</w:t>
      </w:r>
      <w:r>
        <w:rPr>
          <w:rFonts w:ascii="SimSun" w:hAnsi="SimSun" w:eastAsia="SimSun" w:cs="SimSun"/>
          <w:sz w:val="22"/>
          <w:szCs w:val="22"/>
        </w:rPr>
        <w:t xml:space="preserve"> </w:t>
      </w:r>
      <w:r>
        <w:rPr>
          <w:rFonts w:ascii="SimSun" w:hAnsi="SimSun" w:eastAsia="SimSun" w:cs="SimSun"/>
          <w:sz w:val="22"/>
          <w:szCs w:val="22"/>
          <w:spacing w:val="-8"/>
        </w:rPr>
        <w:t>中心处理，强大的机房充分保障了业务的连续性，使各类应用</w:t>
      </w:r>
      <w:r>
        <w:rPr>
          <w:rFonts w:ascii="SimSun" w:hAnsi="SimSun" w:eastAsia="SimSun" w:cs="SimSun"/>
          <w:sz w:val="22"/>
          <w:szCs w:val="22"/>
          <w:spacing w:val="-9"/>
        </w:rPr>
        <w:t>稳定进行，有效降低</w:t>
      </w:r>
      <w:r>
        <w:rPr>
          <w:rFonts w:ascii="SimSun" w:hAnsi="SimSun" w:eastAsia="SimSun" w:cs="SimSun"/>
          <w:sz w:val="22"/>
          <w:szCs w:val="22"/>
        </w:rPr>
        <w:t xml:space="preserve"> </w:t>
      </w:r>
      <w:r>
        <w:rPr>
          <w:rFonts w:ascii="SimSun" w:hAnsi="SimSun" w:eastAsia="SimSun" w:cs="SimSun"/>
          <w:sz w:val="22"/>
          <w:szCs w:val="22"/>
          <w:spacing w:val="-15"/>
        </w:rPr>
        <w:t>了办公环境的管理维护成本。</w:t>
      </w:r>
    </w:p>
    <w:p>
      <w:pPr>
        <w:ind w:left="723"/>
        <w:spacing w:before="215" w:line="221" w:lineRule="auto"/>
        <w:outlineLvl w:val="1"/>
        <w:rPr>
          <w:rFonts w:ascii="SimHei" w:hAnsi="SimHei" w:eastAsia="SimHei" w:cs="SimHei"/>
          <w:sz w:val="22"/>
          <w:szCs w:val="22"/>
        </w:rPr>
      </w:pPr>
      <w:r>
        <w:rPr>
          <w:rFonts w:ascii="SimHei" w:hAnsi="SimHei" w:eastAsia="SimHei" w:cs="SimHei"/>
          <w:sz w:val="22"/>
          <w:szCs w:val="22"/>
          <w:b/>
          <w:bCs/>
        </w:rPr>
        <w:t>2.</w:t>
      </w:r>
      <w:r>
        <w:rPr>
          <w:rFonts w:ascii="SimHei" w:hAnsi="SimHei" w:eastAsia="SimHei" w:cs="SimHei"/>
          <w:sz w:val="22"/>
          <w:szCs w:val="22"/>
        </w:rPr>
        <w:t xml:space="preserve"> </w:t>
      </w:r>
      <w:r>
        <w:rPr>
          <w:rFonts w:ascii="SimHei" w:hAnsi="SimHei" w:eastAsia="SimHei" w:cs="SimHei"/>
          <w:sz w:val="22"/>
          <w:szCs w:val="22"/>
          <w:b/>
          <w:bCs/>
        </w:rPr>
        <w:t>服务可度量</w:t>
      </w:r>
    </w:p>
    <w:p>
      <w:pPr>
        <w:ind w:left="250" w:firstLine="470"/>
        <w:spacing w:before="210" w:line="256" w:lineRule="auto"/>
        <w:jc w:val="both"/>
        <w:rPr>
          <w:rFonts w:ascii="SimSun" w:hAnsi="SimSun" w:eastAsia="SimSun" w:cs="SimSun"/>
          <w:sz w:val="22"/>
          <w:szCs w:val="22"/>
        </w:rPr>
      </w:pPr>
      <w:r>
        <w:rPr>
          <w:rFonts w:ascii="SimSun" w:hAnsi="SimSun" w:eastAsia="SimSun" w:cs="SimSun"/>
          <w:sz w:val="22"/>
          <w:szCs w:val="22"/>
          <w:spacing w:val="-18"/>
        </w:rPr>
        <w:t>管理学之父德鲁克曾经说过一句名言：“如果您不能测量它，您就不能管</w:t>
      </w:r>
      <w:r>
        <w:rPr>
          <w:rFonts w:ascii="SimSun" w:hAnsi="SimSun" w:eastAsia="SimSun" w:cs="SimSun"/>
          <w:sz w:val="22"/>
          <w:szCs w:val="22"/>
          <w:spacing w:val="-19"/>
        </w:rPr>
        <w:t>理它”。</w:t>
      </w:r>
      <w:r>
        <w:rPr>
          <w:rFonts w:ascii="SimSun" w:hAnsi="SimSun" w:eastAsia="SimSun" w:cs="SimSun"/>
          <w:sz w:val="22"/>
          <w:szCs w:val="22"/>
        </w:rPr>
        <w:t xml:space="preserve"> </w:t>
      </w:r>
      <w:r>
        <w:rPr>
          <w:rFonts w:ascii="SimSun" w:hAnsi="SimSun" w:eastAsia="SimSun" w:cs="SimSun"/>
          <w:sz w:val="22"/>
          <w:szCs w:val="22"/>
          <w:spacing w:val="-12"/>
        </w:rPr>
        <w:t>云计算作为服务提供的方式，需要对服务进行度</w:t>
      </w:r>
      <w:r>
        <w:rPr>
          <w:rFonts w:ascii="SimSun" w:hAnsi="SimSun" w:eastAsia="SimSun" w:cs="SimSun"/>
          <w:sz w:val="22"/>
          <w:szCs w:val="22"/>
          <w:spacing w:val="-13"/>
        </w:rPr>
        <w:t>量。</w:t>
      </w:r>
      <w:r>
        <w:rPr>
          <w:rFonts w:ascii="SimSun" w:hAnsi="SimSun" w:eastAsia="SimSun" w:cs="SimSun"/>
          <w:sz w:val="22"/>
          <w:szCs w:val="22"/>
          <w:spacing w:val="39"/>
        </w:rPr>
        <w:t xml:space="preserve"> </w:t>
      </w:r>
      <w:r>
        <w:rPr>
          <w:rFonts w:ascii="SimSun" w:hAnsi="SimSun" w:eastAsia="SimSun" w:cs="SimSun"/>
          <w:sz w:val="22"/>
          <w:szCs w:val="22"/>
          <w:spacing w:val="-13"/>
        </w:rPr>
        <w:t>一般服务提供方和用户之间需</w:t>
      </w:r>
      <w:r>
        <w:rPr>
          <w:rFonts w:ascii="SimSun" w:hAnsi="SimSun" w:eastAsia="SimSun" w:cs="SimSun"/>
          <w:sz w:val="22"/>
          <w:szCs w:val="22"/>
        </w:rPr>
        <w:t xml:space="preserve">  </w:t>
      </w:r>
      <w:r>
        <w:rPr>
          <w:rFonts w:ascii="SimSun" w:hAnsi="SimSun" w:eastAsia="SimSun" w:cs="SimSun"/>
          <w:sz w:val="22"/>
          <w:szCs w:val="22"/>
          <w:spacing w:val="-8"/>
        </w:rPr>
        <w:t>要有一个服务水平协议</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8"/>
        </w:rPr>
        <w:t>(SLA)</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。这对于私有云来说，可以根据服务情况进行内部费</w:t>
      </w:r>
      <w:r>
        <w:rPr>
          <w:rFonts w:ascii="SimSun" w:hAnsi="SimSun" w:eastAsia="SimSun" w:cs="SimSun"/>
          <w:sz w:val="22"/>
          <w:szCs w:val="22"/>
        </w:rPr>
        <w:t xml:space="preserve">  </w:t>
      </w:r>
      <w:r>
        <w:rPr>
          <w:rFonts w:ascii="SimSun" w:hAnsi="SimSun" w:eastAsia="SimSun" w:cs="SimSun"/>
          <w:sz w:val="22"/>
          <w:szCs w:val="22"/>
          <w:spacing w:val="-8"/>
        </w:rPr>
        <w:t>用核算；而对于公有云来说，服务可度量就是计费的前提，然后可以根据实际使用</w:t>
      </w:r>
      <w:r>
        <w:rPr>
          <w:rFonts w:ascii="SimSun" w:hAnsi="SimSun" w:eastAsia="SimSun" w:cs="SimSun"/>
          <w:sz w:val="22"/>
          <w:szCs w:val="22"/>
          <w:spacing w:val="1"/>
        </w:rPr>
        <w:t xml:space="preserve">  </w:t>
      </w:r>
      <w:r>
        <w:rPr>
          <w:rFonts w:ascii="SimSun" w:hAnsi="SimSun" w:eastAsia="SimSun" w:cs="SimSun"/>
          <w:sz w:val="22"/>
          <w:szCs w:val="22"/>
          <w:spacing w:val="-8"/>
        </w:rPr>
        <w:t>量来进行计费。云计算支持对用户的云服务使</w:t>
      </w:r>
      <w:r>
        <w:rPr>
          <w:rFonts w:ascii="SimSun" w:hAnsi="SimSun" w:eastAsia="SimSun" w:cs="SimSun"/>
          <w:sz w:val="22"/>
          <w:szCs w:val="22"/>
          <w:spacing w:val="-9"/>
        </w:rPr>
        <w:t>用情况进行监控、报告和计费，此特</w:t>
      </w:r>
      <w:r>
        <w:rPr>
          <w:rFonts w:ascii="SimSun" w:hAnsi="SimSun" w:eastAsia="SimSun" w:cs="SimSun"/>
          <w:sz w:val="22"/>
          <w:szCs w:val="22"/>
        </w:rPr>
        <w:t xml:space="preserve">  </w:t>
      </w:r>
      <w:r>
        <w:rPr>
          <w:rFonts w:ascii="SimSun" w:hAnsi="SimSun" w:eastAsia="SimSun" w:cs="SimSun"/>
          <w:sz w:val="22"/>
          <w:szCs w:val="22"/>
          <w:spacing w:val="-8"/>
        </w:rPr>
        <w:t>征能够使云服务的交付实现最优化。用户可以只对实际使用了的资源进行付费。云</w:t>
      </w:r>
      <w:r>
        <w:rPr>
          <w:rFonts w:ascii="SimSun" w:hAnsi="SimSun" w:eastAsia="SimSun" w:cs="SimSun"/>
          <w:sz w:val="22"/>
          <w:szCs w:val="22"/>
          <w:spacing w:val="4"/>
        </w:rPr>
        <w:t xml:space="preserve">  </w:t>
      </w:r>
      <w:r>
        <w:rPr>
          <w:rFonts w:ascii="SimSun" w:hAnsi="SimSun" w:eastAsia="SimSun" w:cs="SimSun"/>
          <w:sz w:val="22"/>
          <w:szCs w:val="22"/>
          <w:spacing w:val="-8"/>
        </w:rPr>
        <w:t>计算的服务可度量使得用户在很大程度上不再依赖</w:t>
      </w:r>
      <w:r>
        <w:rPr>
          <w:rFonts w:ascii="SimSun" w:hAnsi="SimSun" w:eastAsia="SimSun" w:cs="SimSun"/>
          <w:sz w:val="22"/>
          <w:szCs w:val="22"/>
          <w:spacing w:val="-9"/>
        </w:rPr>
        <w:t>通过自建计算能力满足需求的模</w:t>
      </w:r>
      <w:r>
        <w:rPr>
          <w:rFonts w:ascii="SimSun" w:hAnsi="SimSun" w:eastAsia="SimSun" w:cs="SimSun"/>
          <w:sz w:val="22"/>
          <w:szCs w:val="22"/>
        </w:rPr>
        <w:t xml:space="preserve">  </w:t>
      </w:r>
      <w:r>
        <w:rPr>
          <w:rFonts w:ascii="SimSun" w:hAnsi="SimSun" w:eastAsia="SimSun" w:cs="SimSun"/>
          <w:sz w:val="22"/>
          <w:szCs w:val="22"/>
          <w:spacing w:val="-8"/>
        </w:rPr>
        <w:t>式，转向按需购买云服务，这样就节约了用户自建</w:t>
      </w:r>
      <w:r>
        <w:rPr>
          <w:rFonts w:ascii="SimSun" w:hAnsi="SimSun" w:eastAsia="SimSun" w:cs="SimSun"/>
          <w:sz w:val="22"/>
          <w:szCs w:val="22"/>
          <w:spacing w:val="-9"/>
        </w:rPr>
        <w:t>成本并提高了资源使用率。而对</w:t>
      </w:r>
      <w:r>
        <w:rPr>
          <w:rFonts w:ascii="SimSun" w:hAnsi="SimSun" w:eastAsia="SimSun" w:cs="SimSun"/>
          <w:sz w:val="22"/>
          <w:szCs w:val="22"/>
        </w:rPr>
        <w:t xml:space="preserve">  </w:t>
      </w:r>
      <w:r>
        <w:rPr>
          <w:rFonts w:ascii="SimSun" w:hAnsi="SimSun" w:eastAsia="SimSun" w:cs="SimSun"/>
          <w:sz w:val="22"/>
          <w:szCs w:val="22"/>
          <w:spacing w:val="-8"/>
        </w:rPr>
        <w:t>于云服务提供商，通过服务度量项衡量云计算的服</w:t>
      </w:r>
      <w:r>
        <w:rPr>
          <w:rFonts w:ascii="SimSun" w:hAnsi="SimSun" w:eastAsia="SimSun" w:cs="SimSun"/>
          <w:sz w:val="22"/>
          <w:szCs w:val="22"/>
          <w:spacing w:val="-9"/>
        </w:rPr>
        <w:t>务能力，可以让云服务提供商事</w:t>
      </w:r>
      <w:r>
        <w:rPr>
          <w:rFonts w:ascii="SimSun" w:hAnsi="SimSun" w:eastAsia="SimSun" w:cs="SimSun"/>
          <w:sz w:val="22"/>
          <w:szCs w:val="22"/>
        </w:rPr>
        <w:t xml:space="preserve">  </w:t>
      </w:r>
      <w:r>
        <w:rPr>
          <w:rFonts w:ascii="SimSun" w:hAnsi="SimSun" w:eastAsia="SimSun" w:cs="SimSun"/>
          <w:sz w:val="22"/>
          <w:szCs w:val="22"/>
          <w:spacing w:val="-11"/>
        </w:rPr>
        <w:t>先权衡成本投入与预期收益的准确预测。</w:t>
      </w:r>
    </w:p>
    <w:p>
      <w:pPr>
        <w:ind w:left="723"/>
        <w:spacing w:before="233" w:line="224" w:lineRule="auto"/>
        <w:outlineLvl w:val="1"/>
        <w:rPr>
          <w:rFonts w:ascii="YouYuan" w:hAnsi="YouYuan" w:eastAsia="YouYuan" w:cs="YouYuan"/>
          <w:sz w:val="22"/>
          <w:szCs w:val="22"/>
        </w:rPr>
      </w:pPr>
      <w:r>
        <w:rPr>
          <w:rFonts w:ascii="YouYuan" w:hAnsi="YouYuan" w:eastAsia="YouYuan" w:cs="YouYuan"/>
          <w:sz w:val="22"/>
          <w:szCs w:val="22"/>
          <w:b/>
          <w:bCs/>
        </w:rPr>
        <w:t>3.</w:t>
      </w:r>
      <w:r>
        <w:rPr>
          <w:rFonts w:ascii="YouYuan" w:hAnsi="YouYuan" w:eastAsia="YouYuan" w:cs="YouYuan"/>
          <w:sz w:val="22"/>
          <w:szCs w:val="22"/>
        </w:rPr>
        <w:t xml:space="preserve"> </w:t>
      </w:r>
      <w:r>
        <w:rPr>
          <w:rFonts w:ascii="YouYuan" w:hAnsi="YouYuan" w:eastAsia="YouYuan" w:cs="YouYuan"/>
          <w:sz w:val="22"/>
          <w:szCs w:val="22"/>
          <w:b/>
          <w:bCs/>
        </w:rPr>
        <w:t>多租户</w:t>
      </w:r>
    </w:p>
    <w:p>
      <w:pPr>
        <w:ind w:left="250" w:right="71" w:firstLine="470"/>
        <w:spacing w:before="206" w:line="246" w:lineRule="auto"/>
        <w:rPr>
          <w:rFonts w:ascii="SimSun" w:hAnsi="SimSun" w:eastAsia="SimSun" w:cs="SimSun"/>
          <w:sz w:val="22"/>
          <w:szCs w:val="22"/>
        </w:rPr>
      </w:pPr>
      <w:r>
        <w:rPr>
          <w:rFonts w:ascii="SimSun" w:hAnsi="SimSun" w:eastAsia="SimSun" w:cs="SimSun"/>
          <w:sz w:val="22"/>
          <w:szCs w:val="22"/>
          <w:spacing w:val="-5"/>
        </w:rPr>
        <w:t>多租户技术</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5"/>
        </w:rPr>
        <w:t>(Multi-tenancy Technology) </w:t>
      </w:r>
      <w:r>
        <w:rPr>
          <w:rFonts w:ascii="SimSun" w:hAnsi="SimSun" w:eastAsia="SimSun" w:cs="SimSun"/>
          <w:sz w:val="22"/>
          <w:szCs w:val="22"/>
          <w:spacing w:val="-5"/>
        </w:rPr>
        <w:t>或称多重租赁技术，是一种软件架构技</w:t>
      </w:r>
      <w:r>
        <w:rPr>
          <w:rFonts w:ascii="SimSun" w:hAnsi="SimSun" w:eastAsia="SimSun" w:cs="SimSun"/>
          <w:sz w:val="22"/>
          <w:szCs w:val="22"/>
        </w:rPr>
        <w:t xml:space="preserve"> </w:t>
      </w:r>
      <w:r>
        <w:rPr>
          <w:rFonts w:ascii="SimSun" w:hAnsi="SimSun" w:eastAsia="SimSun" w:cs="SimSun"/>
          <w:sz w:val="22"/>
          <w:szCs w:val="22"/>
          <w:spacing w:val="-8"/>
        </w:rPr>
        <w:t>术，它是在探讨与实现如何在多用户的环境下共用相同的系统或程序组件</w:t>
      </w:r>
      <w:r>
        <w:rPr>
          <w:rFonts w:ascii="SimSun" w:hAnsi="SimSun" w:eastAsia="SimSun" w:cs="SimSun"/>
          <w:sz w:val="22"/>
          <w:szCs w:val="22"/>
          <w:spacing w:val="-9"/>
        </w:rPr>
        <w:t>，并且仍</w:t>
      </w:r>
    </w:p>
    <w:p>
      <w:pPr>
        <w:spacing w:line="246" w:lineRule="auto"/>
        <w:sectPr>
          <w:footerReference w:type="default" r:id="rId91"/>
          <w:pgSz w:w="8870" w:h="13400"/>
          <w:pgMar w:top="400" w:right="470" w:bottom="494" w:left="409" w:header="0" w:footer="276" w:gutter="0"/>
        </w:sectPr>
        <w:rPr>
          <w:rFonts w:ascii="SimSun" w:hAnsi="SimSun" w:eastAsia="SimSun" w:cs="SimSun"/>
          <w:sz w:val="22"/>
          <w:szCs w:val="22"/>
        </w:rPr>
      </w:pPr>
    </w:p>
    <w:p>
      <w:pPr>
        <w:ind w:left="4703"/>
        <w:spacing w:before="184" w:line="219" w:lineRule="auto"/>
        <w:rPr>
          <w:rFonts w:ascii="SimSun" w:hAnsi="SimSun" w:eastAsia="SimSun" w:cs="SimSun"/>
          <w:sz w:val="21"/>
          <w:szCs w:val="21"/>
        </w:rPr>
      </w:pPr>
      <w:r>
        <w:rPr>
          <w:rFonts w:ascii="SimSun" w:hAnsi="SimSun" w:eastAsia="SimSun" w:cs="SimSun"/>
          <w:sz w:val="21"/>
          <w:szCs w:val="21"/>
          <w:b/>
          <w:bCs/>
          <w:spacing w:val="6"/>
        </w:rPr>
        <w:t>第2章■大数据与云端数据治理</w:t>
      </w:r>
    </w:p>
    <w:p>
      <w:pPr>
        <w:pStyle w:val="BodyText"/>
        <w:spacing w:line="244" w:lineRule="auto"/>
        <w:rPr/>
      </w:pPr>
      <w:r/>
    </w:p>
    <w:p>
      <w:pPr>
        <w:ind w:right="260"/>
        <w:spacing w:before="68" w:line="262" w:lineRule="auto"/>
        <w:jc w:val="both"/>
        <w:rPr>
          <w:rFonts w:ascii="SimSun" w:hAnsi="SimSun" w:eastAsia="SimSun" w:cs="SimSun"/>
          <w:sz w:val="21"/>
          <w:szCs w:val="21"/>
        </w:rPr>
      </w:pPr>
      <w:r>
        <w:rPr>
          <w:rFonts w:ascii="SimSun" w:hAnsi="SimSun" w:eastAsia="SimSun" w:cs="SimSun"/>
          <w:sz w:val="21"/>
          <w:szCs w:val="21"/>
          <w:spacing w:val="2"/>
        </w:rPr>
        <w:t>可确保各用户间数据的隔离性。与传统的软件运行和维护模式相比，云计</w:t>
      </w:r>
      <w:r>
        <w:rPr>
          <w:rFonts w:ascii="SimSun" w:hAnsi="SimSun" w:eastAsia="SimSun" w:cs="SimSun"/>
          <w:sz w:val="21"/>
          <w:szCs w:val="21"/>
          <w:spacing w:val="1"/>
        </w:rPr>
        <w:t>算要求硬</w:t>
      </w:r>
      <w:r>
        <w:rPr>
          <w:rFonts w:ascii="SimSun" w:hAnsi="SimSun" w:eastAsia="SimSun" w:cs="SimSun"/>
          <w:sz w:val="21"/>
          <w:szCs w:val="21"/>
        </w:rPr>
        <w:t xml:space="preserve"> </w:t>
      </w:r>
      <w:r>
        <w:rPr>
          <w:rFonts w:ascii="SimSun" w:hAnsi="SimSun" w:eastAsia="SimSun" w:cs="SimSun"/>
          <w:sz w:val="21"/>
          <w:szCs w:val="21"/>
          <w:spacing w:val="1"/>
        </w:rPr>
        <w:t>件资源和软件资源能够更好地共享，具有良好的可伸缩性，任何一个用户都能够按</w:t>
      </w:r>
      <w:r>
        <w:rPr>
          <w:rFonts w:ascii="SimSun" w:hAnsi="SimSun" w:eastAsia="SimSun" w:cs="SimSun"/>
          <w:sz w:val="21"/>
          <w:szCs w:val="21"/>
          <w:spacing w:val="14"/>
        </w:rPr>
        <w:t xml:space="preserve"> </w:t>
      </w:r>
      <w:r>
        <w:rPr>
          <w:rFonts w:ascii="SimSun" w:hAnsi="SimSun" w:eastAsia="SimSun" w:cs="SimSun"/>
          <w:sz w:val="21"/>
          <w:szCs w:val="21"/>
          <w:spacing w:val="1"/>
        </w:rPr>
        <w:t>照自己的需求获取云计算资源而不影响其他用户的使用。多租户技术是一项云计算</w:t>
      </w:r>
      <w:r>
        <w:rPr>
          <w:rFonts w:ascii="SimSun" w:hAnsi="SimSun" w:eastAsia="SimSun" w:cs="SimSun"/>
          <w:sz w:val="21"/>
          <w:szCs w:val="21"/>
          <w:spacing w:val="12"/>
        </w:rPr>
        <w:t xml:space="preserve"> </w:t>
      </w:r>
      <w:r>
        <w:rPr>
          <w:rFonts w:ascii="SimSun" w:hAnsi="SimSun" w:eastAsia="SimSun" w:cs="SimSun"/>
          <w:sz w:val="21"/>
          <w:szCs w:val="21"/>
          <w:spacing w:val="1"/>
        </w:rPr>
        <w:t>平台技术，该技术使得大量的租户能够共享同一堆栈的软、硬件资源，每个租户能</w:t>
      </w:r>
      <w:r>
        <w:rPr>
          <w:rFonts w:ascii="SimSun" w:hAnsi="SimSun" w:eastAsia="SimSun" w:cs="SimSun"/>
          <w:sz w:val="21"/>
          <w:szCs w:val="21"/>
          <w:spacing w:val="13"/>
        </w:rPr>
        <w:t xml:space="preserve"> </w:t>
      </w:r>
      <w:r>
        <w:rPr>
          <w:rFonts w:ascii="SimSun" w:hAnsi="SimSun" w:eastAsia="SimSun" w:cs="SimSun"/>
          <w:sz w:val="21"/>
          <w:szCs w:val="21"/>
        </w:rPr>
        <w:t>够按需使用资源，能够对软件服务进行客户化配置，而且不影响其他</w:t>
      </w:r>
      <w:r>
        <w:rPr>
          <w:rFonts w:ascii="SimSun" w:hAnsi="SimSun" w:eastAsia="SimSun" w:cs="SimSun"/>
          <w:sz w:val="21"/>
          <w:szCs w:val="21"/>
          <w:spacing w:val="-1"/>
        </w:rPr>
        <w:t>租户的使用。</w:t>
      </w:r>
    </w:p>
    <w:p>
      <w:pPr>
        <w:ind w:left="422"/>
        <w:spacing w:before="210" w:line="221" w:lineRule="auto"/>
        <w:outlineLvl w:val="1"/>
        <w:rPr>
          <w:rFonts w:ascii="YouYuan" w:hAnsi="YouYuan" w:eastAsia="YouYuan" w:cs="YouYuan"/>
          <w:sz w:val="21"/>
          <w:szCs w:val="21"/>
        </w:rPr>
      </w:pPr>
      <w:r>
        <w:rPr>
          <w:rFonts w:ascii="YouYuan" w:hAnsi="YouYuan" w:eastAsia="YouYuan" w:cs="YouYuan"/>
          <w:sz w:val="21"/>
          <w:szCs w:val="21"/>
          <w:b/>
          <w:bCs/>
          <w:spacing w:val="6"/>
        </w:rPr>
        <w:t>4.</w:t>
      </w:r>
      <w:r>
        <w:rPr>
          <w:rFonts w:ascii="YouYuan" w:hAnsi="YouYuan" w:eastAsia="YouYuan" w:cs="YouYuan"/>
          <w:sz w:val="21"/>
          <w:szCs w:val="21"/>
          <w:spacing w:val="6"/>
        </w:rPr>
        <w:t xml:space="preserve"> </w:t>
      </w:r>
      <w:r>
        <w:rPr>
          <w:rFonts w:ascii="YouYuan" w:hAnsi="YouYuan" w:eastAsia="YouYuan" w:cs="YouYuan"/>
          <w:sz w:val="21"/>
          <w:szCs w:val="21"/>
          <w:b/>
          <w:bCs/>
          <w:spacing w:val="6"/>
        </w:rPr>
        <w:t>按需自助服务</w:t>
      </w:r>
    </w:p>
    <w:p>
      <w:pPr>
        <w:ind w:right="277" w:firstLine="419"/>
        <w:spacing w:before="237" w:line="266" w:lineRule="auto"/>
        <w:jc w:val="both"/>
        <w:rPr>
          <w:rFonts w:ascii="SimSun" w:hAnsi="SimSun" w:eastAsia="SimSun" w:cs="SimSun"/>
          <w:sz w:val="21"/>
          <w:szCs w:val="21"/>
        </w:rPr>
      </w:pPr>
      <w:r>
        <w:rPr>
          <w:rFonts w:ascii="SimSun" w:hAnsi="SimSun" w:eastAsia="SimSun" w:cs="SimSun"/>
          <w:sz w:val="21"/>
          <w:szCs w:val="21"/>
          <w:spacing w:val="1"/>
        </w:rPr>
        <w:t>用户能够按照自己的需求对云服务进行使用和操作，在使用和操作中，用户能</w:t>
      </w:r>
      <w:r>
        <w:rPr>
          <w:rFonts w:ascii="SimSun" w:hAnsi="SimSun" w:eastAsia="SimSun" w:cs="SimSun"/>
          <w:sz w:val="21"/>
          <w:szCs w:val="21"/>
          <w:spacing w:val="15"/>
        </w:rPr>
        <w:t xml:space="preserve"> </w:t>
      </w:r>
      <w:r>
        <w:rPr>
          <w:rFonts w:ascii="SimSun" w:hAnsi="SimSun" w:eastAsia="SimSun" w:cs="SimSun"/>
          <w:sz w:val="21"/>
          <w:szCs w:val="21"/>
          <w:spacing w:val="1"/>
        </w:rPr>
        <w:t>够自动完成或者仅需与云服务提供商进行少量交互。这项核心特征主要是指云服务</w:t>
      </w:r>
      <w:r>
        <w:rPr>
          <w:rFonts w:ascii="SimSun" w:hAnsi="SimSun" w:eastAsia="SimSun" w:cs="SimSun"/>
          <w:sz w:val="21"/>
          <w:szCs w:val="21"/>
          <w:spacing w:val="13"/>
        </w:rPr>
        <w:t xml:space="preserve"> </w:t>
      </w:r>
      <w:r>
        <w:rPr>
          <w:rFonts w:ascii="SimSun" w:hAnsi="SimSun" w:eastAsia="SimSun" w:cs="SimSun"/>
          <w:sz w:val="21"/>
          <w:szCs w:val="21"/>
          <w:spacing w:val="1"/>
        </w:rPr>
        <w:t>能够提供给用户他们所需要的能力，减少用户使用和操作的花费、时间和投入，不</w:t>
      </w:r>
      <w:r>
        <w:rPr>
          <w:rFonts w:ascii="SimSun" w:hAnsi="SimSun" w:eastAsia="SimSun" w:cs="SimSun"/>
          <w:sz w:val="21"/>
          <w:szCs w:val="21"/>
          <w:spacing w:val="14"/>
        </w:rPr>
        <w:t xml:space="preserve"> </w:t>
      </w:r>
      <w:r>
        <w:rPr>
          <w:rFonts w:ascii="SimSun" w:hAnsi="SimSun" w:eastAsia="SimSun" w:cs="SimSun"/>
          <w:sz w:val="21"/>
          <w:szCs w:val="21"/>
          <w:spacing w:val="-3"/>
        </w:rPr>
        <w:t>需要额外的或超量的人力方面的交互。</w:t>
      </w:r>
    </w:p>
    <w:p>
      <w:pPr>
        <w:ind w:right="204" w:firstLine="419"/>
        <w:spacing w:before="58" w:line="265" w:lineRule="auto"/>
        <w:jc w:val="both"/>
        <w:rPr>
          <w:rFonts w:ascii="SimSun" w:hAnsi="SimSun" w:eastAsia="SimSun" w:cs="SimSun"/>
          <w:sz w:val="21"/>
          <w:szCs w:val="21"/>
        </w:rPr>
      </w:pPr>
      <w:r>
        <w:rPr>
          <w:rFonts w:ascii="SimSun" w:hAnsi="SimSun" w:eastAsia="SimSun" w:cs="SimSun"/>
          <w:sz w:val="21"/>
          <w:szCs w:val="21"/>
          <w:spacing w:val="2"/>
        </w:rPr>
        <w:t>采用云计算自助服务可以将硬件和基础设施建设资金投入转变为按需支付服务</w:t>
      </w:r>
      <w:r>
        <w:rPr>
          <w:rFonts w:ascii="SimSun" w:hAnsi="SimSun" w:eastAsia="SimSun" w:cs="SimSun"/>
          <w:sz w:val="21"/>
          <w:szCs w:val="21"/>
        </w:rPr>
        <w:t xml:space="preserve"> </w:t>
      </w:r>
      <w:r>
        <w:rPr>
          <w:rFonts w:ascii="SimSun" w:hAnsi="SimSun" w:eastAsia="SimSun" w:cs="SimSun"/>
          <w:sz w:val="21"/>
          <w:szCs w:val="21"/>
          <w:spacing w:val="1"/>
        </w:rPr>
        <w:t>费用，客户无须承担建设和维护基础设施的费用，只对使用的资源付费，避免了客 </w:t>
      </w:r>
      <w:r>
        <w:rPr>
          <w:rFonts w:ascii="SimSun" w:hAnsi="SimSun" w:eastAsia="SimSun" w:cs="SimSun"/>
          <w:sz w:val="21"/>
          <w:szCs w:val="21"/>
          <w:spacing w:val="2"/>
        </w:rPr>
        <w:t>户自建数据中心的资金投入。云服务商使用多种技术提升资源利用效率，如云</w:t>
      </w:r>
      <w:r>
        <w:rPr>
          <w:rFonts w:ascii="SimSun" w:hAnsi="SimSun" w:eastAsia="SimSun" w:cs="SimSun"/>
          <w:sz w:val="21"/>
          <w:szCs w:val="21"/>
          <w:spacing w:val="1"/>
        </w:rPr>
        <w:t>基础</w:t>
      </w:r>
      <w:r>
        <w:rPr>
          <w:rFonts w:ascii="SimSun" w:hAnsi="SimSun" w:eastAsia="SimSun" w:cs="SimSun"/>
          <w:sz w:val="21"/>
          <w:szCs w:val="21"/>
        </w:rPr>
        <w:t xml:space="preserve"> </w:t>
      </w:r>
      <w:r>
        <w:rPr>
          <w:rFonts w:ascii="SimSun" w:hAnsi="SimSun" w:eastAsia="SimSun" w:cs="SimSun"/>
          <w:sz w:val="21"/>
          <w:szCs w:val="21"/>
          <w:spacing w:val="1"/>
        </w:rPr>
        <w:t>设施使用虚拟化、动态迁移和工作负载整合等技术，关闭空闲资源组件，使运</w:t>
      </w:r>
      <w:r>
        <w:rPr>
          <w:rFonts w:ascii="SimSun" w:hAnsi="SimSun" w:eastAsia="SimSun" w:cs="SimSun"/>
          <w:sz w:val="21"/>
          <w:szCs w:val="21"/>
        </w:rPr>
        <w:t>行资  </w:t>
      </w:r>
      <w:r>
        <w:rPr>
          <w:rFonts w:ascii="SimSun" w:hAnsi="SimSun" w:eastAsia="SimSun" w:cs="SimSun"/>
          <w:sz w:val="21"/>
          <w:szCs w:val="21"/>
          <w:spacing w:val="2"/>
        </w:rPr>
        <w:t>源利用效率提高并降低能耗；多租户共享机制、资源的集中共享可以满</w:t>
      </w:r>
      <w:r>
        <w:rPr>
          <w:rFonts w:ascii="SimSun" w:hAnsi="SimSun" w:eastAsia="SimSun" w:cs="SimSun"/>
          <w:sz w:val="21"/>
          <w:szCs w:val="21"/>
          <w:spacing w:val="1"/>
        </w:rPr>
        <w:t>足多个客户</w:t>
      </w:r>
      <w:r>
        <w:rPr>
          <w:rFonts w:ascii="SimSun" w:hAnsi="SimSun" w:eastAsia="SimSun" w:cs="SimSun"/>
          <w:sz w:val="21"/>
          <w:szCs w:val="21"/>
        </w:rPr>
        <w:t xml:space="preserve"> </w:t>
      </w:r>
      <w:r>
        <w:rPr>
          <w:rFonts w:ascii="SimSun" w:hAnsi="SimSun" w:eastAsia="SimSun" w:cs="SimSun"/>
          <w:sz w:val="21"/>
          <w:szCs w:val="21"/>
          <w:spacing w:val="-2"/>
        </w:rPr>
        <w:t>不同时间段对资源的峰值要求，避免按峰值需求设计容量</w:t>
      </w:r>
      <w:r>
        <w:rPr>
          <w:rFonts w:ascii="SimSun" w:hAnsi="SimSun" w:eastAsia="SimSun" w:cs="SimSun"/>
          <w:sz w:val="21"/>
          <w:szCs w:val="21"/>
          <w:spacing w:val="-3"/>
        </w:rPr>
        <w:t>和性能而造成的资源浪费。</w:t>
      </w:r>
      <w:r>
        <w:rPr>
          <w:rFonts w:ascii="SimSun" w:hAnsi="SimSun" w:eastAsia="SimSun" w:cs="SimSun"/>
          <w:sz w:val="21"/>
          <w:szCs w:val="21"/>
        </w:rPr>
        <w:t xml:space="preserve"> </w:t>
      </w:r>
      <w:r>
        <w:rPr>
          <w:rFonts w:ascii="SimSun" w:hAnsi="SimSun" w:eastAsia="SimSun" w:cs="SimSun"/>
          <w:sz w:val="21"/>
          <w:szCs w:val="21"/>
          <w:spacing w:val="1"/>
        </w:rPr>
        <w:t>资源利用效率的提高能有效降低云服务的运营成本，减少能耗，实现绿色</w:t>
      </w:r>
      <w:r>
        <w:rPr>
          <w:rFonts w:ascii="Times New Roman" w:hAnsi="Times New Roman" w:eastAsia="Times New Roman" w:cs="Times New Roman"/>
          <w:sz w:val="21"/>
          <w:szCs w:val="21"/>
        </w:rPr>
        <w:t>IT</w:t>
      </w:r>
      <w:r>
        <w:rPr>
          <w:rFonts w:ascii="SimSun" w:hAnsi="SimSun" w:eastAsia="SimSun" w:cs="SimSun"/>
          <w:sz w:val="21"/>
          <w:szCs w:val="21"/>
          <w:spacing w:val="1"/>
        </w:rPr>
        <w:t>。</w:t>
      </w:r>
    </w:p>
    <w:p>
      <w:pPr>
        <w:ind w:left="422"/>
        <w:spacing w:before="205" w:line="222" w:lineRule="auto"/>
        <w:outlineLvl w:val="1"/>
        <w:rPr>
          <w:rFonts w:ascii="YouYuan" w:hAnsi="YouYuan" w:eastAsia="YouYuan" w:cs="YouYuan"/>
          <w:sz w:val="21"/>
          <w:szCs w:val="21"/>
        </w:rPr>
      </w:pPr>
      <w:r>
        <w:rPr>
          <w:rFonts w:ascii="YouYuan" w:hAnsi="YouYuan" w:eastAsia="YouYuan" w:cs="YouYuan"/>
          <w:sz w:val="21"/>
          <w:szCs w:val="21"/>
          <w:b/>
          <w:bCs/>
          <w:spacing w:val="6"/>
        </w:rPr>
        <w:t>5.</w:t>
      </w:r>
      <w:r>
        <w:rPr>
          <w:rFonts w:ascii="YouYuan" w:hAnsi="YouYuan" w:eastAsia="YouYuan" w:cs="YouYuan"/>
          <w:sz w:val="21"/>
          <w:szCs w:val="21"/>
          <w:spacing w:val="6"/>
        </w:rPr>
        <w:t xml:space="preserve"> </w:t>
      </w:r>
      <w:r>
        <w:rPr>
          <w:rFonts w:ascii="YouYuan" w:hAnsi="YouYuan" w:eastAsia="YouYuan" w:cs="YouYuan"/>
          <w:sz w:val="21"/>
          <w:szCs w:val="21"/>
          <w:b/>
          <w:bCs/>
          <w:spacing w:val="6"/>
        </w:rPr>
        <w:t>快速弹性伸缩</w:t>
      </w:r>
    </w:p>
    <w:p>
      <w:pPr>
        <w:ind w:right="260" w:firstLine="419"/>
        <w:spacing w:before="244" w:line="262" w:lineRule="auto"/>
        <w:jc w:val="both"/>
        <w:rPr>
          <w:rFonts w:ascii="SimSun" w:hAnsi="SimSun" w:eastAsia="SimSun" w:cs="SimSun"/>
          <w:sz w:val="21"/>
          <w:szCs w:val="21"/>
        </w:rPr>
      </w:pPr>
      <w:r>
        <w:rPr>
          <w:rFonts w:ascii="SimSun" w:hAnsi="SimSun" w:eastAsia="SimSun" w:cs="SimSun"/>
          <w:sz w:val="21"/>
          <w:szCs w:val="21"/>
          <w:spacing w:val="2"/>
        </w:rPr>
        <w:t>弹性伸缩是指对一个系统适应负载变化进行调控的能力，即短时间内应对突发</w:t>
      </w:r>
      <w:r>
        <w:rPr>
          <w:rFonts w:ascii="SimSun" w:hAnsi="SimSun" w:eastAsia="SimSun" w:cs="SimSun"/>
          <w:sz w:val="21"/>
          <w:szCs w:val="21"/>
        </w:rPr>
        <w:t xml:space="preserve"> </w:t>
      </w:r>
      <w:r>
        <w:rPr>
          <w:rFonts w:ascii="SimSun" w:hAnsi="SimSun" w:eastAsia="SimSun" w:cs="SimSun"/>
          <w:sz w:val="21"/>
          <w:szCs w:val="21"/>
          <w:spacing w:val="4"/>
        </w:rPr>
        <w:t>性的高流量、高密度业务需求(例如，炎热夏季的午后，电力需求在用户打开空调</w:t>
      </w:r>
      <w:r>
        <w:rPr>
          <w:rFonts w:ascii="SimSun" w:hAnsi="SimSun" w:eastAsia="SimSun" w:cs="SimSun"/>
          <w:sz w:val="21"/>
          <w:szCs w:val="21"/>
          <w:spacing w:val="17"/>
        </w:rPr>
        <w:t xml:space="preserve"> </w:t>
      </w:r>
      <w:r>
        <w:rPr>
          <w:rFonts w:ascii="SimSun" w:hAnsi="SimSun" w:eastAsia="SimSun" w:cs="SimSun"/>
          <w:sz w:val="21"/>
          <w:szCs w:val="21"/>
          <w:spacing w:val="-2"/>
        </w:rPr>
        <w:t>后出现峰值)。企业内部物理基础设施资源往往无法满足短时间内迅速获取所需资源</w:t>
      </w:r>
      <w:r>
        <w:rPr>
          <w:rFonts w:ascii="SimSun" w:hAnsi="SimSun" w:eastAsia="SimSun" w:cs="SimSun"/>
          <w:sz w:val="21"/>
          <w:szCs w:val="21"/>
          <w:spacing w:val="16"/>
        </w:rPr>
        <w:t xml:space="preserve"> </w:t>
      </w:r>
      <w:r>
        <w:rPr>
          <w:rFonts w:ascii="SimSun" w:hAnsi="SimSun" w:eastAsia="SimSun" w:cs="SimSun"/>
          <w:sz w:val="21"/>
          <w:szCs w:val="21"/>
          <w:spacing w:val="1"/>
        </w:rPr>
        <w:t>的需求，以及高峰期过后资源闲置的问题。虚拟化技术的应用使得弹性伸缩控制技</w:t>
      </w:r>
      <w:r>
        <w:rPr>
          <w:rFonts w:ascii="SimSun" w:hAnsi="SimSun" w:eastAsia="SimSun" w:cs="SimSun"/>
          <w:sz w:val="21"/>
          <w:szCs w:val="21"/>
          <w:spacing w:val="11"/>
        </w:rPr>
        <w:t xml:space="preserve"> </w:t>
      </w:r>
      <w:r>
        <w:rPr>
          <w:rFonts w:ascii="SimSun" w:hAnsi="SimSun" w:eastAsia="SimSun" w:cs="SimSun"/>
          <w:sz w:val="21"/>
          <w:szCs w:val="21"/>
          <w:spacing w:val="-6"/>
        </w:rPr>
        <w:t>术的优势发挥得更加充分。</w:t>
      </w:r>
    </w:p>
    <w:p>
      <w:pPr>
        <w:ind w:right="204" w:firstLine="419"/>
        <w:spacing w:before="79" w:line="262" w:lineRule="auto"/>
        <w:jc w:val="both"/>
        <w:rPr>
          <w:rFonts w:ascii="SimSun" w:hAnsi="SimSun" w:eastAsia="SimSun" w:cs="SimSun"/>
          <w:sz w:val="21"/>
          <w:szCs w:val="21"/>
        </w:rPr>
      </w:pPr>
      <w:r>
        <w:rPr>
          <w:rFonts w:ascii="SimSun" w:hAnsi="SimSun" w:eastAsia="SimSun" w:cs="SimSun"/>
          <w:sz w:val="21"/>
          <w:szCs w:val="21"/>
          <w:spacing w:val="-2"/>
        </w:rPr>
        <w:t>弹性伸缩能够对物理和虚拟资源进行迅速和</w:t>
      </w:r>
      <w:r>
        <w:rPr>
          <w:rFonts w:ascii="SimSun" w:hAnsi="SimSun" w:eastAsia="SimSun" w:cs="SimSun"/>
          <w:sz w:val="21"/>
          <w:szCs w:val="21"/>
          <w:spacing w:val="-3"/>
        </w:rPr>
        <w:t>灵活的调整，能够迅速地增减资源。</w:t>
      </w:r>
      <w:r>
        <w:rPr>
          <w:rFonts w:ascii="SimSun" w:hAnsi="SimSun" w:eastAsia="SimSun" w:cs="SimSun"/>
          <w:sz w:val="21"/>
          <w:szCs w:val="21"/>
        </w:rPr>
        <w:t xml:space="preserve"> </w:t>
      </w:r>
      <w:r>
        <w:rPr>
          <w:rFonts w:ascii="SimSun" w:hAnsi="SimSun" w:eastAsia="SimSun" w:cs="SimSun"/>
          <w:sz w:val="21"/>
          <w:szCs w:val="21"/>
          <w:spacing w:val="1"/>
        </w:rPr>
        <w:t>对云服务用户来说，用户能够使用的物理和虚拟资源看起来是没有限制的，而且能 </w:t>
      </w:r>
      <w:r>
        <w:rPr>
          <w:rFonts w:ascii="SimSun" w:hAnsi="SimSun" w:eastAsia="SimSun" w:cs="SimSun"/>
          <w:sz w:val="21"/>
          <w:szCs w:val="21"/>
          <w:spacing w:val="2"/>
        </w:rPr>
        <w:t>够在满足服务协议的前提下，自动化地在任意时间购置</w:t>
      </w:r>
      <w:r>
        <w:rPr>
          <w:rFonts w:ascii="SimSun" w:hAnsi="SimSun" w:eastAsia="SimSun" w:cs="SimSun"/>
          <w:sz w:val="21"/>
          <w:szCs w:val="21"/>
          <w:spacing w:val="1"/>
        </w:rPr>
        <w:t>任意数量的资源，能避免因</w:t>
      </w:r>
      <w:r>
        <w:rPr>
          <w:rFonts w:ascii="SimSun" w:hAnsi="SimSun" w:eastAsia="SimSun" w:cs="SimSun"/>
          <w:sz w:val="21"/>
          <w:szCs w:val="21"/>
        </w:rPr>
        <w:t xml:space="preserve"> </w:t>
      </w:r>
      <w:r>
        <w:rPr>
          <w:rFonts w:ascii="SimSun" w:hAnsi="SimSun" w:eastAsia="SimSun" w:cs="SimSun"/>
          <w:sz w:val="21"/>
          <w:szCs w:val="21"/>
          <w:spacing w:val="-3"/>
        </w:rPr>
        <w:t>需求突增导致客户业务系统的异常或中断。这样就能提高资源利用率和用户满意度，</w:t>
      </w:r>
      <w:r>
        <w:rPr>
          <w:rFonts w:ascii="SimSun" w:hAnsi="SimSun" w:eastAsia="SimSun" w:cs="SimSun"/>
          <w:sz w:val="21"/>
          <w:szCs w:val="21"/>
          <w:spacing w:val="4"/>
        </w:rPr>
        <w:t xml:space="preserve"> </w:t>
      </w:r>
      <w:r>
        <w:rPr>
          <w:rFonts w:ascii="SimSun" w:hAnsi="SimSun" w:eastAsia="SimSun" w:cs="SimSun"/>
          <w:sz w:val="21"/>
          <w:szCs w:val="21"/>
          <w:spacing w:val="-1"/>
        </w:rPr>
        <w:t>较好地解决资源利用率和应用系统之间的矛盾。</w:t>
      </w:r>
    </w:p>
    <w:p>
      <w:pPr>
        <w:ind w:left="422"/>
        <w:spacing w:before="195" w:line="224" w:lineRule="auto"/>
        <w:outlineLvl w:val="1"/>
        <w:rPr>
          <w:rFonts w:ascii="YouYuan" w:hAnsi="YouYuan" w:eastAsia="YouYuan" w:cs="YouYuan"/>
          <w:sz w:val="21"/>
          <w:szCs w:val="21"/>
        </w:rPr>
      </w:pPr>
      <w:r>
        <w:rPr>
          <w:rFonts w:ascii="YouYuan" w:hAnsi="YouYuan" w:eastAsia="YouYuan" w:cs="YouYuan"/>
          <w:sz w:val="21"/>
          <w:szCs w:val="21"/>
          <w:b/>
          <w:bCs/>
          <w:spacing w:val="6"/>
        </w:rPr>
        <w:t>6.</w:t>
      </w:r>
      <w:r>
        <w:rPr>
          <w:rFonts w:ascii="YouYuan" w:hAnsi="YouYuan" w:eastAsia="YouYuan" w:cs="YouYuan"/>
          <w:sz w:val="21"/>
          <w:szCs w:val="21"/>
          <w:spacing w:val="6"/>
        </w:rPr>
        <w:t xml:space="preserve"> </w:t>
      </w:r>
      <w:r>
        <w:rPr>
          <w:rFonts w:ascii="YouYuan" w:hAnsi="YouYuan" w:eastAsia="YouYuan" w:cs="YouYuan"/>
          <w:sz w:val="21"/>
          <w:szCs w:val="21"/>
          <w:b/>
          <w:bCs/>
          <w:spacing w:val="6"/>
        </w:rPr>
        <w:t>资源池化</w:t>
      </w:r>
    </w:p>
    <w:p>
      <w:pPr>
        <w:ind w:right="204" w:firstLine="419"/>
        <w:spacing w:before="241" w:line="259" w:lineRule="auto"/>
        <w:rPr>
          <w:rFonts w:ascii="SimSun" w:hAnsi="SimSun" w:eastAsia="SimSun" w:cs="SimSun"/>
          <w:sz w:val="21"/>
          <w:szCs w:val="21"/>
        </w:rPr>
      </w:pPr>
      <w:r>
        <w:rPr>
          <w:rFonts w:ascii="SimSun" w:hAnsi="SimSun" w:eastAsia="SimSun" w:cs="SimSun"/>
          <w:sz w:val="21"/>
          <w:szCs w:val="21"/>
          <w:spacing w:val="-2"/>
        </w:rPr>
        <w:t>只有构建了合理的资源池，才能实现云计算</w:t>
      </w:r>
      <w:r>
        <w:rPr>
          <w:rFonts w:ascii="SimSun" w:hAnsi="SimSun" w:eastAsia="SimSun" w:cs="SimSun"/>
          <w:sz w:val="21"/>
          <w:szCs w:val="21"/>
          <w:spacing w:val="-3"/>
        </w:rPr>
        <w:t>的最终目的——按需动态分配资源。</w:t>
      </w:r>
      <w:r>
        <w:rPr>
          <w:rFonts w:ascii="SimSun" w:hAnsi="SimSun" w:eastAsia="SimSun" w:cs="SimSun"/>
          <w:sz w:val="21"/>
          <w:szCs w:val="21"/>
        </w:rPr>
        <w:t xml:space="preserve"> </w:t>
      </w:r>
      <w:r>
        <w:rPr>
          <w:rFonts w:ascii="SimSun" w:hAnsi="SimSun" w:eastAsia="SimSun" w:cs="SimSun"/>
          <w:sz w:val="21"/>
          <w:szCs w:val="21"/>
        </w:rPr>
        <w:t>构建合理的资源池，是实现从传统的“烟囱式</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迈向云计算基础架构的第一步。  </w:t>
      </w:r>
      <w:r>
        <w:rPr>
          <w:rFonts w:ascii="SimSun" w:hAnsi="SimSun" w:eastAsia="SimSun" w:cs="SimSun"/>
          <w:sz w:val="21"/>
          <w:szCs w:val="21"/>
          <w:spacing w:val="-1"/>
        </w:rPr>
        <w:t>在传统的“烟囱式”IT</w:t>
      </w:r>
      <w:r>
        <w:rPr>
          <w:rFonts w:ascii="SimSun" w:hAnsi="SimSun" w:eastAsia="SimSun" w:cs="SimSun"/>
          <w:sz w:val="21"/>
          <w:szCs w:val="21"/>
          <w:spacing w:val="-25"/>
        </w:rPr>
        <w:t xml:space="preserve"> </w:t>
      </w:r>
      <w:r>
        <w:rPr>
          <w:rFonts w:ascii="SimSun" w:hAnsi="SimSun" w:eastAsia="SimSun" w:cs="SimSun"/>
          <w:sz w:val="21"/>
          <w:szCs w:val="21"/>
          <w:spacing w:val="-1"/>
        </w:rPr>
        <w:t>基础架构中，应用和专门的资源捆绑在一起，为了应对</w:t>
      </w:r>
      <w:r>
        <w:rPr>
          <w:rFonts w:ascii="SimSun" w:hAnsi="SimSun" w:eastAsia="SimSun" w:cs="SimSun"/>
          <w:sz w:val="21"/>
          <w:szCs w:val="21"/>
          <w:spacing w:val="-2"/>
        </w:rPr>
        <w:t>少量 </w:t>
      </w:r>
      <w:r>
        <w:rPr>
          <w:rFonts w:ascii="SimSun" w:hAnsi="SimSun" w:eastAsia="SimSun" w:cs="SimSun"/>
          <w:sz w:val="21"/>
          <w:szCs w:val="21"/>
          <w:spacing w:val="2"/>
        </w:rPr>
        <w:t>的峰值负载，往往会过度配置计算资源，导</w:t>
      </w:r>
      <w:r>
        <w:rPr>
          <w:rFonts w:ascii="SimSun" w:hAnsi="SimSun" w:eastAsia="SimSun" w:cs="SimSun"/>
          <w:sz w:val="21"/>
          <w:szCs w:val="21"/>
          <w:spacing w:val="1"/>
        </w:rPr>
        <w:t>致资源利用率低下。据统计，在传统的</w:t>
      </w:r>
    </w:p>
    <w:p>
      <w:pPr>
        <w:spacing w:line="259" w:lineRule="auto"/>
        <w:sectPr>
          <w:footerReference w:type="default" r:id="rId94"/>
          <w:pgSz w:w="8870" w:h="13400"/>
          <w:pgMar w:top="400" w:right="570" w:bottom="577" w:left="409" w:header="0" w:footer="369" w:gutter="0"/>
        </w:sectPr>
        <w:rPr>
          <w:rFonts w:ascii="SimSun" w:hAnsi="SimSun" w:eastAsia="SimSun" w:cs="SimSun"/>
          <w:sz w:val="21"/>
          <w:szCs w:val="21"/>
        </w:rPr>
      </w:pPr>
    </w:p>
    <w:p>
      <w:pPr>
        <w:ind w:left="242"/>
        <w:spacing w:before="235" w:line="219" w:lineRule="auto"/>
        <w:rPr>
          <w:rFonts w:ascii="SimSun" w:hAnsi="SimSun" w:eastAsia="SimSun" w:cs="SimSun"/>
          <w:sz w:val="21"/>
          <w:szCs w:val="21"/>
        </w:rPr>
      </w:pPr>
      <w:r>
        <w:pict>
          <v:rect id="_x0000_s224" style="position:absolute;margin-left:27.0003pt;margin-top:28.5018pt;mso-position-vertical-relative:page;mso-position-horizontal-relative:page;width:0.55pt;height:18pt;z-index:252158976;" o:allowincell="f" fillcolor="#000000" filled="true" stroked="false"/>
        </w:pict>
      </w:r>
      <w:r>
        <w:rPr>
          <w:rFonts w:ascii="SimSun" w:hAnsi="SimSun" w:eastAsia="SimSun" w:cs="SimSun"/>
          <w:sz w:val="21"/>
          <w:szCs w:val="21"/>
          <w:b/>
          <w:bCs/>
          <w:spacing w:val="-28"/>
        </w:rPr>
        <w:t>■云端数据治理■</w:t>
      </w:r>
    </w:p>
    <w:p>
      <w:pPr>
        <w:pStyle w:val="BodyText"/>
        <w:spacing w:line="273" w:lineRule="auto"/>
        <w:rPr/>
      </w:pPr>
      <w:r/>
    </w:p>
    <w:p>
      <w:pPr>
        <w:ind w:left="279"/>
        <w:spacing w:before="69" w:line="219" w:lineRule="auto"/>
        <w:rPr>
          <w:rFonts w:ascii="SimSun" w:hAnsi="SimSun" w:eastAsia="SimSun" w:cs="SimSun"/>
          <w:sz w:val="21"/>
          <w:szCs w:val="21"/>
        </w:rPr>
      </w:pPr>
      <w:r>
        <w:rPr>
          <w:rFonts w:ascii="SimSun" w:hAnsi="SimSun" w:eastAsia="SimSun" w:cs="SimSun"/>
          <w:sz w:val="21"/>
          <w:szCs w:val="21"/>
          <w:spacing w:val="-3"/>
        </w:rPr>
        <w:t>数据中心里， </w:t>
      </w:r>
      <w:r>
        <w:rPr>
          <w:rFonts w:ascii="Times New Roman" w:hAnsi="Times New Roman" w:eastAsia="Times New Roman" w:cs="Times New Roman"/>
          <w:sz w:val="21"/>
          <w:szCs w:val="21"/>
          <w:spacing w:val="-3"/>
        </w:rPr>
        <w:t>IT  </w:t>
      </w:r>
      <w:r>
        <w:rPr>
          <w:rFonts w:ascii="SimSun" w:hAnsi="SimSun" w:eastAsia="SimSun" w:cs="SimSun"/>
          <w:sz w:val="21"/>
          <w:szCs w:val="21"/>
          <w:spacing w:val="-3"/>
        </w:rPr>
        <w:t>资源的平均利用率不</w:t>
      </w:r>
      <w:r>
        <w:rPr>
          <w:rFonts w:ascii="SimSun" w:hAnsi="SimSun" w:eastAsia="SimSun" w:cs="SimSun"/>
          <w:sz w:val="21"/>
          <w:szCs w:val="21"/>
          <w:spacing w:val="-4"/>
        </w:rPr>
        <w:t>到20%。</w:t>
      </w:r>
    </w:p>
    <w:p>
      <w:pPr>
        <w:ind w:left="279" w:right="93" w:firstLine="430"/>
        <w:spacing w:before="59" w:line="261" w:lineRule="auto"/>
        <w:rPr>
          <w:rFonts w:ascii="SimSun" w:hAnsi="SimSun" w:eastAsia="SimSun" w:cs="SimSun"/>
          <w:sz w:val="21"/>
          <w:szCs w:val="21"/>
        </w:rPr>
      </w:pPr>
      <w:r>
        <w:rPr>
          <w:rFonts w:ascii="SimSun" w:hAnsi="SimSun" w:eastAsia="SimSun" w:cs="SimSun"/>
          <w:sz w:val="21"/>
          <w:szCs w:val="21"/>
          <w:spacing w:val="1"/>
        </w:rPr>
        <w:t>构建资源池也就是通过虚拟化的方式将服务器、存储、网络等资源全面形成一</w:t>
      </w:r>
      <w:r>
        <w:rPr>
          <w:rFonts w:ascii="SimSun" w:hAnsi="SimSun" w:eastAsia="SimSun" w:cs="SimSun"/>
          <w:sz w:val="21"/>
          <w:szCs w:val="21"/>
          <w:spacing w:val="16"/>
        </w:rPr>
        <w:t xml:space="preserve"> </w:t>
      </w:r>
      <w:r>
        <w:rPr>
          <w:rFonts w:ascii="SimSun" w:hAnsi="SimSun" w:eastAsia="SimSun" w:cs="SimSun"/>
          <w:sz w:val="21"/>
          <w:szCs w:val="21"/>
          <w:spacing w:val="2"/>
        </w:rPr>
        <w:t>个巨大的资源池。云计算就是基于这样的资源池，</w:t>
      </w:r>
      <w:r>
        <w:rPr>
          <w:rFonts w:ascii="SimSun" w:hAnsi="SimSun" w:eastAsia="SimSun" w:cs="SimSun"/>
          <w:sz w:val="21"/>
          <w:szCs w:val="21"/>
          <w:spacing w:val="1"/>
        </w:rPr>
        <w:t>通过分布式的算法进行资源的分</w:t>
      </w:r>
      <w:r>
        <w:rPr>
          <w:rFonts w:ascii="SimSun" w:hAnsi="SimSun" w:eastAsia="SimSun" w:cs="SimSun"/>
          <w:sz w:val="21"/>
          <w:szCs w:val="21"/>
        </w:rPr>
        <w:t xml:space="preserve"> </w:t>
      </w:r>
      <w:r>
        <w:rPr>
          <w:rFonts w:ascii="SimSun" w:hAnsi="SimSun" w:eastAsia="SimSun" w:cs="SimSun"/>
          <w:sz w:val="21"/>
          <w:szCs w:val="21"/>
          <w:spacing w:val="-1"/>
        </w:rPr>
        <w:t>配，从而消除物理边界，提升资源利用率，统一资源池分配。</w:t>
      </w:r>
    </w:p>
    <w:p>
      <w:pPr>
        <w:ind w:left="709"/>
        <w:spacing w:before="50" w:line="219" w:lineRule="auto"/>
        <w:rPr>
          <w:rFonts w:ascii="SimSun" w:hAnsi="SimSun" w:eastAsia="SimSun" w:cs="SimSun"/>
          <w:sz w:val="21"/>
          <w:szCs w:val="21"/>
        </w:rPr>
      </w:pPr>
      <w:r>
        <w:rPr>
          <w:rFonts w:ascii="SimSun" w:hAnsi="SimSun" w:eastAsia="SimSun" w:cs="SimSun"/>
          <w:sz w:val="21"/>
          <w:szCs w:val="21"/>
          <w:spacing w:val="3"/>
        </w:rPr>
        <w:t>云计算资源池化的特点包含以下3个方面的内容。</w:t>
      </w:r>
    </w:p>
    <w:p>
      <w:pPr>
        <w:ind w:left="279" w:right="95" w:firstLine="430"/>
        <w:spacing w:before="49" w:line="261" w:lineRule="auto"/>
        <w:rPr>
          <w:rFonts w:ascii="SimSun" w:hAnsi="SimSun" w:eastAsia="SimSun" w:cs="SimSun"/>
          <w:sz w:val="21"/>
          <w:szCs w:val="21"/>
        </w:rPr>
      </w:pPr>
      <w:r>
        <w:rPr>
          <w:rFonts w:ascii="SimSun" w:hAnsi="SimSun" w:eastAsia="SimSun" w:cs="SimSun"/>
          <w:sz w:val="21"/>
          <w:szCs w:val="21"/>
          <w:spacing w:val="4"/>
        </w:rPr>
        <w:t>(1)平台对不同的设备和虚拟化资源进行整合管理，上层业务感知不到物理设</w:t>
      </w:r>
      <w:r>
        <w:rPr>
          <w:rFonts w:ascii="SimSun" w:hAnsi="SimSun" w:eastAsia="SimSun" w:cs="SimSun"/>
          <w:sz w:val="21"/>
          <w:szCs w:val="21"/>
          <w:spacing w:val="13"/>
        </w:rPr>
        <w:t xml:space="preserve"> </w:t>
      </w:r>
      <w:r>
        <w:rPr>
          <w:rFonts w:ascii="SimSun" w:hAnsi="SimSun" w:eastAsia="SimSun" w:cs="SimSun"/>
          <w:sz w:val="21"/>
          <w:szCs w:val="21"/>
          <w:spacing w:val="1"/>
        </w:rPr>
        <w:t>备的更换和升级以及虚拟化平台的切换，下层硬件设备的更换、升级亦对用户和业</w:t>
      </w:r>
      <w:r>
        <w:rPr>
          <w:rFonts w:ascii="SimSun" w:hAnsi="SimSun" w:eastAsia="SimSun" w:cs="SimSun"/>
          <w:sz w:val="21"/>
          <w:szCs w:val="21"/>
        </w:rPr>
        <w:t xml:space="preserve"> </w:t>
      </w:r>
      <w:r>
        <w:rPr>
          <w:rFonts w:ascii="SimSun" w:hAnsi="SimSun" w:eastAsia="SimSun" w:cs="SimSun"/>
          <w:sz w:val="21"/>
          <w:szCs w:val="21"/>
          <w:spacing w:val="-6"/>
        </w:rPr>
        <w:t>务零感知；</w:t>
      </w:r>
    </w:p>
    <w:p>
      <w:pPr>
        <w:ind w:left="279" w:right="91" w:firstLine="430"/>
        <w:spacing w:before="70" w:line="250" w:lineRule="auto"/>
        <w:rPr>
          <w:rFonts w:ascii="SimSun" w:hAnsi="SimSun" w:eastAsia="SimSun" w:cs="SimSun"/>
          <w:sz w:val="21"/>
          <w:szCs w:val="21"/>
        </w:rPr>
      </w:pPr>
      <w:r>
        <w:rPr>
          <w:rFonts w:ascii="SimSun" w:hAnsi="SimSun" w:eastAsia="SimSun" w:cs="SimSun"/>
          <w:sz w:val="21"/>
          <w:szCs w:val="21"/>
          <w:spacing w:val="4"/>
        </w:rPr>
        <w:t>(2)虚拟化和物理服务器统一管理平台资源，兼容业界主流的虚拟产品和操作</w:t>
      </w:r>
      <w:r>
        <w:rPr>
          <w:rFonts w:ascii="SimSun" w:hAnsi="SimSun" w:eastAsia="SimSun" w:cs="SimSun"/>
          <w:sz w:val="21"/>
          <w:szCs w:val="21"/>
          <w:spacing w:val="17"/>
        </w:rPr>
        <w:t xml:space="preserve"> </w:t>
      </w:r>
      <w:r>
        <w:rPr>
          <w:rFonts w:ascii="SimSun" w:hAnsi="SimSun" w:eastAsia="SimSun" w:cs="SimSun"/>
          <w:sz w:val="21"/>
          <w:szCs w:val="21"/>
          <w:spacing w:val="-2"/>
        </w:rPr>
        <w:t>系统，以及兼容客户现有的</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资源，提供基于资源池的统一编排调度；</w:t>
      </w:r>
    </w:p>
    <w:p>
      <w:pPr>
        <w:ind w:left="279" w:right="90" w:firstLine="430"/>
        <w:spacing w:before="72" w:line="237" w:lineRule="auto"/>
        <w:rPr>
          <w:rFonts w:ascii="SimSun" w:hAnsi="SimSun" w:eastAsia="SimSun" w:cs="SimSun"/>
          <w:sz w:val="21"/>
          <w:szCs w:val="21"/>
        </w:rPr>
      </w:pPr>
      <w:r>
        <w:rPr>
          <w:rFonts w:ascii="SimSun" w:hAnsi="SimSun" w:eastAsia="SimSun" w:cs="SimSun"/>
          <w:sz w:val="21"/>
          <w:szCs w:val="21"/>
          <w:spacing w:val="4"/>
        </w:rPr>
        <w:t>(3)多资源池管理可实现设备自动发现、资源的快速发放，有效缩短业务上线</w:t>
      </w:r>
      <w:r>
        <w:rPr>
          <w:rFonts w:ascii="SimSun" w:hAnsi="SimSun" w:eastAsia="SimSun" w:cs="SimSun"/>
          <w:sz w:val="21"/>
          <w:szCs w:val="21"/>
          <w:spacing w:val="18"/>
        </w:rPr>
        <w:t xml:space="preserve"> </w:t>
      </w:r>
      <w:r>
        <w:rPr>
          <w:rFonts w:ascii="SimSun" w:hAnsi="SimSun" w:eastAsia="SimSun" w:cs="SimSun"/>
          <w:sz w:val="21"/>
          <w:szCs w:val="21"/>
          <w:spacing w:val="-5"/>
        </w:rPr>
        <w:t>时间，提高维护效率。</w:t>
      </w:r>
    </w:p>
    <w:p>
      <w:pPr>
        <w:ind w:left="284"/>
        <w:spacing w:before="287" w:line="221" w:lineRule="auto"/>
        <w:outlineLvl w:val="0"/>
        <w:rPr>
          <w:rFonts w:ascii="YouYuan" w:hAnsi="YouYuan" w:eastAsia="YouYuan" w:cs="YouYuan"/>
          <w:sz w:val="29"/>
          <w:szCs w:val="29"/>
        </w:rPr>
      </w:pPr>
      <w:r>
        <w:rPr>
          <w:rFonts w:ascii="YouYuan" w:hAnsi="YouYuan" w:eastAsia="YouYuan" w:cs="YouYuan"/>
          <w:sz w:val="29"/>
          <w:szCs w:val="29"/>
          <w:b/>
          <w:bCs/>
          <w:spacing w:val="-5"/>
        </w:rPr>
        <w:t>2.1.2</w:t>
      </w:r>
      <w:r>
        <w:rPr>
          <w:rFonts w:ascii="YouYuan" w:hAnsi="YouYuan" w:eastAsia="YouYuan" w:cs="YouYuan"/>
          <w:sz w:val="29"/>
          <w:szCs w:val="29"/>
          <w:spacing w:val="114"/>
        </w:rPr>
        <w:t xml:space="preserve"> </w:t>
      </w:r>
      <w:r>
        <w:rPr>
          <w:rFonts w:ascii="YouYuan" w:hAnsi="YouYuan" w:eastAsia="YouYuan" w:cs="YouYuan"/>
          <w:sz w:val="29"/>
          <w:szCs w:val="29"/>
          <w:b/>
          <w:bCs/>
          <w:spacing w:val="-5"/>
        </w:rPr>
        <w:t>大数据的特点</w:t>
      </w:r>
    </w:p>
    <w:p>
      <w:pPr>
        <w:pStyle w:val="BodyText"/>
        <w:spacing w:line="266" w:lineRule="auto"/>
        <w:rPr/>
      </w:pPr>
      <w:r/>
    </w:p>
    <w:p>
      <w:pPr>
        <w:ind w:left="279" w:right="88" w:firstLine="430"/>
        <w:spacing w:before="68" w:line="264" w:lineRule="auto"/>
        <w:jc w:val="both"/>
        <w:rPr>
          <w:rFonts w:ascii="SimSun" w:hAnsi="SimSun" w:eastAsia="SimSun" w:cs="SimSun"/>
          <w:sz w:val="21"/>
          <w:szCs w:val="21"/>
        </w:rPr>
      </w:pPr>
      <w:r>
        <w:rPr>
          <w:rFonts w:ascii="SimSun" w:hAnsi="SimSun" w:eastAsia="SimSun" w:cs="SimSun"/>
          <w:sz w:val="21"/>
          <w:szCs w:val="21"/>
          <w:spacing w:val="1"/>
        </w:rPr>
        <w:t>世纪中叶以来，随着各种信息技术和设备深度融入人们的生活，以及各类工业</w:t>
      </w:r>
      <w:r>
        <w:rPr>
          <w:rFonts w:ascii="SimSun" w:hAnsi="SimSun" w:eastAsia="SimSun" w:cs="SimSun"/>
          <w:sz w:val="21"/>
          <w:szCs w:val="21"/>
          <w:spacing w:val="12"/>
        </w:rPr>
        <w:t xml:space="preserve"> </w:t>
      </w:r>
      <w:r>
        <w:rPr>
          <w:rFonts w:ascii="SimSun" w:hAnsi="SimSun" w:eastAsia="SimSun" w:cs="SimSun"/>
          <w:sz w:val="21"/>
          <w:szCs w:val="21"/>
          <w:spacing w:val="2"/>
        </w:rPr>
        <w:t>设备的复杂化和智能化发展，由此产生了数据规模的爆炸式增长。</w:t>
      </w:r>
      <w:r>
        <w:rPr>
          <w:rFonts w:ascii="SimSun" w:hAnsi="SimSun" w:eastAsia="SimSun" w:cs="SimSun"/>
          <w:sz w:val="21"/>
          <w:szCs w:val="21"/>
          <w:spacing w:val="1"/>
        </w:rPr>
        <w:t>数据体量的增加</w:t>
      </w:r>
      <w:r>
        <w:rPr>
          <w:rFonts w:ascii="SimSun" w:hAnsi="SimSun" w:eastAsia="SimSun" w:cs="SimSun"/>
          <w:sz w:val="21"/>
          <w:szCs w:val="21"/>
        </w:rPr>
        <w:t xml:space="preserve"> </w:t>
      </w:r>
      <w:r>
        <w:rPr>
          <w:rFonts w:ascii="SimSun" w:hAnsi="SimSun" w:eastAsia="SimSun" w:cs="SimSun"/>
          <w:sz w:val="21"/>
          <w:szCs w:val="21"/>
          <w:spacing w:val="2"/>
        </w:rPr>
        <w:t>一方面是由于数据产生的速度不断变快，另一方面</w:t>
      </w:r>
      <w:r>
        <w:rPr>
          <w:rFonts w:ascii="SimSun" w:hAnsi="SimSun" w:eastAsia="SimSun" w:cs="SimSun"/>
          <w:sz w:val="21"/>
          <w:szCs w:val="21"/>
          <w:spacing w:val="1"/>
        </w:rPr>
        <w:t>是数据的种类不断增加。面对大</w:t>
      </w:r>
      <w:r>
        <w:rPr>
          <w:rFonts w:ascii="SimSun" w:hAnsi="SimSun" w:eastAsia="SimSun" w:cs="SimSun"/>
          <w:sz w:val="21"/>
          <w:szCs w:val="21"/>
        </w:rPr>
        <w:t xml:space="preserve"> </w:t>
      </w:r>
      <w:r>
        <w:rPr>
          <w:rFonts w:ascii="SimSun" w:hAnsi="SimSun" w:eastAsia="SimSun" w:cs="SimSun"/>
          <w:sz w:val="21"/>
          <w:szCs w:val="21"/>
          <w:spacing w:val="2"/>
        </w:rPr>
        <w:t>体量、快速产生的数据，人们也在思考如何利</w:t>
      </w:r>
      <w:r>
        <w:rPr>
          <w:rFonts w:ascii="SimSun" w:hAnsi="SimSun" w:eastAsia="SimSun" w:cs="SimSun"/>
          <w:sz w:val="21"/>
          <w:szCs w:val="21"/>
          <w:spacing w:val="1"/>
        </w:rPr>
        <w:t>用这些数据的价值，不再仅仅将处理</w:t>
      </w:r>
      <w:r>
        <w:rPr>
          <w:rFonts w:ascii="SimSun" w:hAnsi="SimSun" w:eastAsia="SimSun" w:cs="SimSun"/>
          <w:sz w:val="21"/>
          <w:szCs w:val="21"/>
        </w:rPr>
        <w:t xml:space="preserve"> </w:t>
      </w:r>
      <w:r>
        <w:rPr>
          <w:rFonts w:ascii="SimSun" w:hAnsi="SimSun" w:eastAsia="SimSun" w:cs="SimSun"/>
          <w:sz w:val="21"/>
          <w:szCs w:val="21"/>
          <w:spacing w:val="2"/>
        </w:rPr>
        <w:t>数据作为数据管理的目的和终点，而是将揭示其进一步的</w:t>
      </w:r>
      <w:r>
        <w:rPr>
          <w:rFonts w:ascii="SimSun" w:hAnsi="SimSun" w:eastAsia="SimSun" w:cs="SimSun"/>
          <w:sz w:val="21"/>
          <w:szCs w:val="21"/>
          <w:spacing w:val="1"/>
        </w:rPr>
        <w:t>价值作为数据管理或数据</w:t>
      </w:r>
      <w:r>
        <w:rPr>
          <w:rFonts w:ascii="SimSun" w:hAnsi="SimSun" w:eastAsia="SimSun" w:cs="SimSun"/>
          <w:sz w:val="21"/>
          <w:szCs w:val="21"/>
        </w:rPr>
        <w:t xml:space="preserve"> </w:t>
      </w:r>
      <w:r>
        <w:rPr>
          <w:rFonts w:ascii="SimSun" w:hAnsi="SimSun" w:eastAsia="SimSun" w:cs="SimSun"/>
          <w:sz w:val="21"/>
          <w:szCs w:val="21"/>
          <w:spacing w:val="-2"/>
        </w:rPr>
        <w:t>治理的新目的。</w:t>
      </w:r>
    </w:p>
    <w:p>
      <w:pPr>
        <w:ind w:left="279" w:firstLine="430"/>
        <w:spacing w:before="106" w:line="269" w:lineRule="auto"/>
        <w:jc w:val="both"/>
        <w:rPr>
          <w:rFonts w:ascii="SimSun" w:hAnsi="SimSun" w:eastAsia="SimSun" w:cs="SimSun"/>
          <w:sz w:val="21"/>
          <w:szCs w:val="21"/>
        </w:rPr>
      </w:pPr>
      <w:r>
        <w:rPr>
          <w:rFonts w:ascii="SimSun" w:hAnsi="SimSun" w:eastAsia="SimSun" w:cs="SimSun"/>
          <w:sz w:val="21"/>
          <w:szCs w:val="21"/>
          <w:spacing w:val="1"/>
        </w:rPr>
        <w:t>大数据是数据发展到一定程度的体现，大数据具备数据的一些基本特点，然而</w:t>
      </w:r>
      <w:r>
        <w:rPr>
          <w:rFonts w:ascii="SimSun" w:hAnsi="SimSun" w:eastAsia="SimSun" w:cs="SimSun"/>
          <w:sz w:val="21"/>
          <w:szCs w:val="21"/>
          <w:spacing w:val="7"/>
        </w:rPr>
        <w:t xml:space="preserve">  </w:t>
      </w:r>
      <w:r>
        <w:rPr>
          <w:rFonts w:ascii="SimSun" w:hAnsi="SimSun" w:eastAsia="SimSun" w:cs="SimSun"/>
          <w:sz w:val="21"/>
          <w:szCs w:val="21"/>
          <w:spacing w:val="2"/>
        </w:rPr>
        <w:t>到目前为止仍然没有对大数据的定义形成统一的</w:t>
      </w:r>
      <w:r>
        <w:rPr>
          <w:rFonts w:ascii="SimSun" w:hAnsi="SimSun" w:eastAsia="SimSun" w:cs="SimSun"/>
          <w:sz w:val="21"/>
          <w:szCs w:val="21"/>
          <w:spacing w:val="1"/>
        </w:rPr>
        <w:t>意见。麦肯锡是研究大数据的先驱</w:t>
      </w:r>
      <w:r>
        <w:rPr>
          <w:rFonts w:ascii="SimSun" w:hAnsi="SimSun" w:eastAsia="SimSun" w:cs="SimSun"/>
          <w:sz w:val="21"/>
          <w:szCs w:val="21"/>
        </w:rPr>
        <w:t xml:space="preserve">  </w:t>
      </w:r>
      <w:r>
        <w:rPr>
          <w:rFonts w:ascii="SimSun" w:hAnsi="SimSun" w:eastAsia="SimSun" w:cs="SimSun"/>
          <w:sz w:val="21"/>
          <w:szCs w:val="21"/>
          <w:spacing w:val="4"/>
        </w:rPr>
        <w:t>之一，在其报告《</w:t>
      </w:r>
      <w:r>
        <w:rPr>
          <w:rFonts w:ascii="Times New Roman" w:hAnsi="Times New Roman" w:eastAsia="Times New Roman" w:cs="Times New Roman"/>
          <w:sz w:val="21"/>
          <w:szCs w:val="21"/>
        </w:rPr>
        <w:t>Big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next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frontier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innovation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competition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productivity</w:t>
      </w:r>
      <w:r>
        <w:rPr>
          <w:rFonts w:ascii="SimSun" w:hAnsi="SimSun" w:eastAsia="SimSun" w:cs="SimSun"/>
          <w:sz w:val="21"/>
          <w:szCs w:val="21"/>
          <w:spacing w:val="1"/>
        </w:rPr>
        <w:t>》</w:t>
      </w:r>
      <w:r>
        <w:rPr>
          <w:rFonts w:ascii="Times New Roman" w:hAnsi="Times New Roman" w:eastAsia="Times New Roman" w:cs="Times New Roman"/>
          <w:sz w:val="21"/>
          <w:szCs w:val="21"/>
          <w:spacing w:val="1"/>
        </w:rPr>
        <w:t>129</w:t>
      </w:r>
      <w:r>
        <w:rPr>
          <w:rFonts w:ascii="SimSun" w:hAnsi="SimSun" w:eastAsia="SimSun" w:cs="SimSun"/>
          <w:sz w:val="21"/>
          <w:szCs w:val="21"/>
          <w:spacing w:val="1"/>
        </w:rPr>
        <w:t>中给出的大数据定义是：大数据指</w:t>
      </w:r>
      <w:r>
        <w:rPr>
          <w:rFonts w:ascii="SimSun" w:hAnsi="SimSun" w:eastAsia="SimSun" w:cs="SimSun"/>
          <w:sz w:val="21"/>
          <w:szCs w:val="21"/>
        </w:rPr>
        <w:t>的是大小超出常规的数据库工具 </w:t>
      </w:r>
      <w:r>
        <w:rPr>
          <w:rFonts w:ascii="SimSun" w:hAnsi="SimSun" w:eastAsia="SimSun" w:cs="SimSun"/>
          <w:sz w:val="21"/>
          <w:szCs w:val="21"/>
          <w:spacing w:val="2"/>
        </w:rPr>
        <w:t>获取、存储、管理和分析能力的数据集。但它同时强调，并不</w:t>
      </w:r>
      <w:r>
        <w:rPr>
          <w:rFonts w:ascii="SimSun" w:hAnsi="SimSun" w:eastAsia="SimSun" w:cs="SimSun"/>
          <w:sz w:val="21"/>
          <w:szCs w:val="21"/>
          <w:spacing w:val="1"/>
        </w:rPr>
        <w:t>是说一定要超过特定</w:t>
      </w:r>
      <w:r>
        <w:rPr>
          <w:rFonts w:ascii="SimSun" w:hAnsi="SimSun" w:eastAsia="SimSun" w:cs="SimSun"/>
          <w:sz w:val="21"/>
          <w:szCs w:val="21"/>
        </w:rPr>
        <w:t xml:space="preserve">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值的数据集才能算是大数据。美国国家标准技术研究</w:t>
      </w:r>
      <w:r>
        <w:rPr>
          <w:rFonts w:ascii="SimSun" w:hAnsi="SimSun" w:eastAsia="SimSun" w:cs="SimSun"/>
          <w:sz w:val="21"/>
          <w:szCs w:val="21"/>
          <w:spacing w:val="1"/>
        </w:rPr>
        <w:t>所</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NIST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的大数据工作</w:t>
      </w:r>
      <w:r>
        <w:rPr>
          <w:rFonts w:ascii="SimSun" w:hAnsi="SimSun" w:eastAsia="SimSun" w:cs="SimSun"/>
          <w:sz w:val="21"/>
          <w:szCs w:val="21"/>
        </w:rPr>
        <w:t xml:space="preserve">  </w:t>
      </w:r>
      <w:r>
        <w:rPr>
          <w:rFonts w:ascii="SimSun" w:hAnsi="SimSun" w:eastAsia="SimSun" w:cs="SimSun"/>
          <w:sz w:val="21"/>
          <w:szCs w:val="21"/>
          <w:spacing w:val="-1"/>
        </w:rPr>
        <w:t>组在《</w:t>
      </w:r>
      <w:r>
        <w:rPr>
          <w:rFonts w:ascii="Times New Roman" w:hAnsi="Times New Roman" w:eastAsia="Times New Roman" w:cs="Times New Roman"/>
          <w:sz w:val="21"/>
          <w:szCs w:val="21"/>
          <w:spacing w:val="-1"/>
        </w:rPr>
        <w:t>NIST  Big  Data   Interoperability  Framework:Volume   1,Definitions</w:t>
      </w:r>
      <w:r>
        <w:rPr>
          <w:rFonts w:ascii="SimSun" w:hAnsi="SimSun" w:eastAsia="SimSun" w:cs="SimSun"/>
          <w:sz w:val="21"/>
          <w:szCs w:val="21"/>
          <w:spacing w:val="-1"/>
        </w:rPr>
        <w:t>》</w:t>
      </w:r>
      <w:r>
        <w:rPr>
          <w:rFonts w:ascii="Times New Roman" w:hAnsi="Times New Roman" w:eastAsia="Times New Roman" w:cs="Times New Roman"/>
          <w:sz w:val="21"/>
          <w:szCs w:val="21"/>
          <w:spacing w:val="-2"/>
        </w:rPr>
        <w:t>20</w:t>
      </w:r>
      <w:r>
        <w:rPr>
          <w:rFonts w:ascii="SimSun" w:hAnsi="SimSun" w:eastAsia="SimSun" w:cs="SimSun"/>
          <w:sz w:val="21"/>
          <w:szCs w:val="21"/>
          <w:spacing w:val="-2"/>
        </w:rPr>
        <w:t>中认为：</w:t>
      </w:r>
      <w:r>
        <w:rPr>
          <w:rFonts w:ascii="SimSun" w:hAnsi="SimSun" w:eastAsia="SimSun" w:cs="SimSun"/>
          <w:sz w:val="21"/>
          <w:szCs w:val="21"/>
        </w:rPr>
        <w:t xml:space="preserve"> </w:t>
      </w:r>
      <w:r>
        <w:rPr>
          <w:rFonts w:ascii="SimSun" w:hAnsi="SimSun" w:eastAsia="SimSun" w:cs="SimSun"/>
          <w:sz w:val="21"/>
          <w:szCs w:val="21"/>
          <w:spacing w:val="2"/>
        </w:rPr>
        <w:t>大数据是指那些传统数据架构无法有效地处理的新</w:t>
      </w:r>
      <w:r>
        <w:rPr>
          <w:rFonts w:ascii="SimSun" w:hAnsi="SimSun" w:eastAsia="SimSun" w:cs="SimSun"/>
          <w:sz w:val="21"/>
          <w:szCs w:val="21"/>
          <w:spacing w:val="1"/>
        </w:rPr>
        <w:t>数据集。因此，采用新的架构来</w:t>
      </w:r>
      <w:r>
        <w:rPr>
          <w:rFonts w:ascii="SimSun" w:hAnsi="SimSun" w:eastAsia="SimSun" w:cs="SimSun"/>
          <w:sz w:val="21"/>
          <w:szCs w:val="21"/>
        </w:rPr>
        <w:t xml:space="preserve">  </w:t>
      </w:r>
      <w:r>
        <w:rPr>
          <w:rFonts w:ascii="SimSun" w:hAnsi="SimSun" w:eastAsia="SimSun" w:cs="SimSun"/>
          <w:sz w:val="21"/>
          <w:szCs w:val="21"/>
          <w:spacing w:val="2"/>
        </w:rPr>
        <w:t>高效率完成数据处理，这些数据集特征包括：容</w:t>
      </w:r>
      <w:r>
        <w:rPr>
          <w:rFonts w:ascii="SimSun" w:hAnsi="SimSun" w:eastAsia="SimSun" w:cs="SimSun"/>
          <w:sz w:val="21"/>
          <w:szCs w:val="21"/>
          <w:spacing w:val="1"/>
        </w:rPr>
        <w:t>量、数据类型的多样性、多个领域</w:t>
      </w:r>
      <w:r>
        <w:rPr>
          <w:rFonts w:ascii="SimSun" w:hAnsi="SimSun" w:eastAsia="SimSun" w:cs="SimSun"/>
          <w:sz w:val="21"/>
          <w:szCs w:val="21"/>
        </w:rPr>
        <w:t xml:space="preserve">  </w:t>
      </w:r>
      <w:r>
        <w:rPr>
          <w:rFonts w:ascii="SimSun" w:hAnsi="SimSun" w:eastAsia="SimSun" w:cs="SimSun"/>
          <w:sz w:val="21"/>
          <w:szCs w:val="21"/>
          <w:spacing w:val="4"/>
        </w:rPr>
        <w:t>数据的差异性、数据的动态特征(速度或流动率，可变性</w:t>
      </w:r>
      <w:r>
        <w:rPr>
          <w:rFonts w:ascii="SimSun" w:hAnsi="SimSun" w:eastAsia="SimSun" w:cs="SimSun"/>
          <w:sz w:val="21"/>
          <w:szCs w:val="21"/>
          <w:spacing w:val="3"/>
        </w:rPr>
        <w:t>)。</w:t>
      </w: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在最早给出了</w:t>
      </w:r>
      <w:r>
        <w:rPr>
          <w:rFonts w:ascii="SimSun" w:hAnsi="SimSun" w:eastAsia="SimSun" w:cs="SimSun"/>
          <w:sz w:val="21"/>
          <w:szCs w:val="21"/>
        </w:rPr>
        <w:t xml:space="preserve">  </w:t>
      </w:r>
      <w:r>
        <w:rPr>
          <w:rFonts w:ascii="SimSun" w:hAnsi="SimSun" w:eastAsia="SimSun" w:cs="SimSun"/>
          <w:sz w:val="21"/>
          <w:szCs w:val="21"/>
          <w:spacing w:val="-4"/>
        </w:rPr>
        <w:t>这样的定义，“大数据”需要新处理模式才能具有更强的决策力、洞察</w:t>
      </w:r>
      <w:r>
        <w:rPr>
          <w:rFonts w:ascii="SimSun" w:hAnsi="SimSun" w:eastAsia="SimSun" w:cs="SimSun"/>
          <w:sz w:val="21"/>
          <w:szCs w:val="21"/>
          <w:spacing w:val="-5"/>
        </w:rPr>
        <w:t>发现力和流程</w:t>
      </w:r>
      <w:r>
        <w:rPr>
          <w:rFonts w:ascii="SimSun" w:hAnsi="SimSun" w:eastAsia="SimSun" w:cs="SimSun"/>
          <w:sz w:val="21"/>
          <w:szCs w:val="21"/>
        </w:rPr>
        <w:t xml:space="preserve">  </w:t>
      </w:r>
      <w:r>
        <w:rPr>
          <w:rFonts w:ascii="SimSun" w:hAnsi="SimSun" w:eastAsia="SimSun" w:cs="SimSun"/>
          <w:sz w:val="21"/>
          <w:szCs w:val="21"/>
          <w:spacing w:val="-1"/>
        </w:rPr>
        <w:t>优化能力的海量、高增长率和多样化的信息资产。2001年</w:t>
      </w:r>
      <w:r>
        <w:rPr>
          <w:rFonts w:ascii="Times New Roman" w:hAnsi="Times New Roman" w:eastAsia="Times New Roman" w:cs="Times New Roman"/>
          <w:sz w:val="21"/>
          <w:szCs w:val="21"/>
          <w:spacing w:val="-1"/>
        </w:rPr>
        <w:t>Gart</w:t>
      </w:r>
      <w:r>
        <w:rPr>
          <w:rFonts w:ascii="Times New Roman" w:hAnsi="Times New Roman" w:eastAsia="Times New Roman" w:cs="Times New Roman"/>
          <w:sz w:val="21"/>
          <w:szCs w:val="21"/>
          <w:spacing w:val="-2"/>
        </w:rPr>
        <w:t>ner</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2"/>
        </w:rPr>
        <w:t>分析师</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Doug Laney</w:t>
      </w:r>
      <w:r>
        <w:rPr>
          <w:rFonts w:ascii="Times New Roman" w:hAnsi="Times New Roman" w:eastAsia="Times New Roman" w:cs="Times New Roman"/>
          <w:sz w:val="21"/>
          <w:szCs w:val="21"/>
        </w:rPr>
        <w:t xml:space="preserve">  </w:t>
      </w:r>
      <w:r>
        <w:rPr>
          <w:rFonts w:ascii="SimSun" w:hAnsi="SimSun" w:eastAsia="SimSun" w:cs="SimSun"/>
          <w:sz w:val="21"/>
          <w:szCs w:val="21"/>
        </w:rPr>
        <w:t>提出了“3</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45"/>
        </w:rPr>
        <w:t xml:space="preserve"> </w:t>
      </w:r>
      <w:r>
        <w:rPr>
          <w:rFonts w:ascii="SimSun" w:hAnsi="SimSun" w:eastAsia="SimSun" w:cs="SimSun"/>
          <w:sz w:val="21"/>
          <w:szCs w:val="21"/>
        </w:rPr>
        <w:t>模型，包括数量</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SimSun" w:hAnsi="SimSun" w:eastAsia="SimSun" w:cs="SimSun"/>
          <w:sz w:val="21"/>
          <w:szCs w:val="21"/>
          <w:spacing w:val="-52"/>
        </w:rPr>
        <w:t xml:space="preserve"> </w:t>
      </w:r>
      <w:r>
        <w:rPr>
          <w:rFonts w:ascii="SimSun" w:hAnsi="SimSun" w:eastAsia="SimSun" w:cs="SimSun"/>
          <w:sz w:val="21"/>
          <w:szCs w:val="21"/>
        </w:rPr>
        <w:t>速度</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和种类</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(Variety)</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55"/>
        </w:rPr>
        <w:t xml:space="preserve"> </w:t>
      </w:r>
      <w:r>
        <w:rPr>
          <w:rFonts w:ascii="SimSun" w:hAnsi="SimSun" w:eastAsia="SimSun" w:cs="SimSun"/>
          <w:sz w:val="21"/>
          <w:szCs w:val="21"/>
          <w:spacing w:val="-1"/>
        </w:rPr>
        <w:t>在此</w:t>
      </w:r>
      <w:r>
        <w:rPr>
          <w:rFonts w:ascii="SimSun" w:hAnsi="SimSun" w:eastAsia="SimSun" w:cs="SimSun"/>
          <w:sz w:val="21"/>
          <w:szCs w:val="21"/>
        </w:rPr>
        <w:t xml:space="preserve">  </w:t>
      </w:r>
      <w:r>
        <w:rPr>
          <w:rFonts w:ascii="SimSun" w:hAnsi="SimSun" w:eastAsia="SimSun" w:cs="SimSun"/>
          <w:sz w:val="21"/>
          <w:szCs w:val="21"/>
          <w:spacing w:val="2"/>
        </w:rPr>
        <w:t>之后，业界很多人把“3</w:t>
      </w:r>
      <w:r>
        <w:rPr>
          <w:rFonts w:ascii="Times New Roman" w:hAnsi="Times New Roman" w:eastAsia="Times New Roman" w:cs="Times New Roman"/>
          <w:sz w:val="21"/>
          <w:szCs w:val="21"/>
          <w:spacing w:val="2"/>
        </w:rPr>
        <w:t>V”  </w:t>
      </w:r>
      <w:r>
        <w:rPr>
          <w:rFonts w:ascii="SimSun" w:hAnsi="SimSun" w:eastAsia="SimSun" w:cs="SimSun"/>
          <w:sz w:val="21"/>
          <w:szCs w:val="21"/>
          <w:spacing w:val="2"/>
        </w:rPr>
        <w:t>扩展到了“4</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“5V”</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甚至“</w:t>
      </w:r>
      <w:r>
        <w:rPr>
          <w:rFonts w:ascii="SimSun" w:hAnsi="SimSun" w:eastAsia="SimSun" w:cs="SimSun"/>
          <w:sz w:val="21"/>
          <w:szCs w:val="21"/>
          <w:spacing w:val="1"/>
        </w:rPr>
        <w:t>11</w:t>
      </w:r>
      <w:r>
        <w:rPr>
          <w:rFonts w:ascii="Times New Roman" w:hAnsi="Times New Roman" w:eastAsia="Times New Roman" w:cs="Times New Roman"/>
          <w:sz w:val="21"/>
          <w:szCs w:val="21"/>
          <w:spacing w:val="1"/>
        </w:rPr>
        <w:t>V”,   </w:t>
      </w:r>
      <w:r>
        <w:rPr>
          <w:rFonts w:ascii="SimSun" w:hAnsi="SimSun" w:eastAsia="SimSun" w:cs="SimSun"/>
          <w:sz w:val="21"/>
          <w:szCs w:val="21"/>
          <w:spacing w:val="1"/>
        </w:rPr>
        <w:t>其中还包括有效 </w:t>
      </w:r>
      <w:r>
        <w:rPr>
          <w:rFonts w:ascii="SimSun" w:hAnsi="SimSun" w:eastAsia="SimSun" w:cs="SimSun"/>
          <w:sz w:val="21"/>
          <w:szCs w:val="21"/>
          <w:spacing w:val="-4"/>
        </w:rPr>
        <w:t>性、真实性、价值和可见性等特点。维基百科给出的定义为：“大数据”是指一些使</w:t>
      </w:r>
    </w:p>
    <w:p>
      <w:pPr>
        <w:spacing w:line="269" w:lineRule="auto"/>
        <w:sectPr>
          <w:footerReference w:type="default" r:id="rId95"/>
          <w:pgSz w:w="8870" w:h="13400"/>
          <w:pgMar w:top="400" w:right="475" w:bottom="497" w:left="400" w:header="0" w:footer="289" w:gutter="0"/>
        </w:sectPr>
        <w:rPr>
          <w:rFonts w:ascii="SimSun" w:hAnsi="SimSun" w:eastAsia="SimSun" w:cs="SimSun"/>
          <w:sz w:val="21"/>
          <w:szCs w:val="21"/>
        </w:rPr>
      </w:pPr>
    </w:p>
    <w:p>
      <w:pPr>
        <w:ind w:left="4693"/>
        <w:spacing w:before="214" w:line="219" w:lineRule="auto"/>
        <w:rPr>
          <w:rFonts w:ascii="SimSun" w:hAnsi="SimSun" w:eastAsia="SimSun" w:cs="SimSun"/>
          <w:sz w:val="22"/>
          <w:szCs w:val="22"/>
        </w:rPr>
      </w:pPr>
      <w:bookmarkStart w:name="bookmark21" w:id="16"/>
      <w:bookmarkEnd w:id="16"/>
      <w:r>
        <w:rPr>
          <w:rFonts w:ascii="SimSun" w:hAnsi="SimSun" w:eastAsia="SimSun" w:cs="SimSun"/>
          <w:sz w:val="22"/>
          <w:szCs w:val="22"/>
          <w:b/>
          <w:bCs/>
          <w:spacing w:val="5"/>
        </w:rPr>
        <w:t>第2章-大数据与云端数据治理</w:t>
      </w:r>
    </w:p>
    <w:p>
      <w:pPr>
        <w:pStyle w:val="BodyText"/>
        <w:spacing w:line="301" w:lineRule="auto"/>
        <w:rPr/>
      </w:pPr>
      <w:r/>
    </w:p>
    <w:p>
      <w:pPr>
        <w:ind w:right="300"/>
        <w:spacing w:before="58" w:line="250" w:lineRule="auto"/>
        <w:rPr>
          <w:rFonts w:ascii="SimSun" w:hAnsi="SimSun" w:eastAsia="SimSun" w:cs="SimSun"/>
          <w:sz w:val="22"/>
          <w:szCs w:val="22"/>
        </w:rPr>
      </w:pPr>
      <w:r>
        <w:rPr>
          <w:rFonts w:ascii="SimSun" w:hAnsi="SimSun" w:eastAsia="SimSun" w:cs="SimSun"/>
          <w:sz w:val="18"/>
          <w:szCs w:val="18"/>
          <w:spacing w:val="31"/>
        </w:rPr>
        <w:t>用目前现有数据库管理工具或传统数据处理</w:t>
      </w:r>
      <w:r>
        <w:rPr>
          <w:rFonts w:ascii="SimSun" w:hAnsi="SimSun" w:eastAsia="SimSun" w:cs="SimSun"/>
          <w:sz w:val="18"/>
          <w:szCs w:val="18"/>
          <w:spacing w:val="30"/>
        </w:rPr>
        <w:t>应用很难处理的大型而复杂的数据集，</w:t>
      </w:r>
      <w:r>
        <w:rPr>
          <w:rFonts w:ascii="SimSun" w:hAnsi="SimSun" w:eastAsia="SimSun" w:cs="SimSun"/>
          <w:sz w:val="18"/>
          <w:szCs w:val="18"/>
        </w:rPr>
        <w:t xml:space="preserve"> </w:t>
      </w:r>
      <w:r>
        <w:rPr>
          <w:rFonts w:ascii="SimSun" w:hAnsi="SimSun" w:eastAsia="SimSun" w:cs="SimSun"/>
          <w:sz w:val="22"/>
          <w:szCs w:val="22"/>
          <w:spacing w:val="-10"/>
        </w:rPr>
        <w:t>其挑战包括采集、管理、存储、搜索、共享、分析和可视化。</w:t>
      </w:r>
    </w:p>
    <w:p>
      <w:pPr>
        <w:ind w:left="430" w:right="1160"/>
        <w:spacing w:before="69" w:line="226" w:lineRule="auto"/>
        <w:rPr>
          <w:rFonts w:ascii="SimSun" w:hAnsi="SimSun" w:eastAsia="SimSun" w:cs="SimSun"/>
          <w:sz w:val="22"/>
          <w:szCs w:val="22"/>
        </w:rPr>
      </w:pPr>
      <w:r>
        <w:rPr>
          <w:rFonts w:ascii="SimSun" w:hAnsi="SimSun" w:eastAsia="SimSun" w:cs="SimSun"/>
          <w:sz w:val="22"/>
          <w:szCs w:val="22"/>
          <w:spacing w:val="-9"/>
        </w:rPr>
        <w:t>除了上述主流的定义，还有人使用3</w:t>
      </w:r>
      <w:r>
        <w:rPr>
          <w:rFonts w:ascii="Times New Roman" w:hAnsi="Times New Roman" w:eastAsia="Times New Roman" w:cs="Times New Roman"/>
          <w:sz w:val="22"/>
          <w:szCs w:val="22"/>
          <w:spacing w:val="-9"/>
        </w:rPr>
        <w:t>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9"/>
        </w:rPr>
        <w:t>或者31描述大数据的特征[?]。</w:t>
      </w:r>
      <w:r>
        <w:rPr>
          <w:rFonts w:ascii="SimSun" w:hAnsi="SimSun" w:eastAsia="SimSun" w:cs="SimSun"/>
          <w:sz w:val="22"/>
          <w:szCs w:val="22"/>
        </w:rPr>
        <w:t xml:space="preserve"> </w:t>
      </w:r>
      <w:r>
        <w:rPr>
          <w:rFonts w:ascii="SimSun" w:hAnsi="SimSun" w:eastAsia="SimSun" w:cs="SimSun"/>
          <w:sz w:val="22"/>
          <w:szCs w:val="22"/>
          <w:spacing w:val="-1"/>
        </w:rPr>
        <w:t>3S指的是：大小</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1"/>
        </w:rPr>
        <w:t>(Size)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、速度 </w:t>
      </w:r>
      <w:r>
        <w:rPr>
          <w:rFonts w:ascii="Times New Roman" w:hAnsi="Times New Roman" w:eastAsia="Times New Roman" w:cs="Times New Roman"/>
          <w:sz w:val="22"/>
          <w:szCs w:val="22"/>
          <w:spacing w:val="-1"/>
        </w:rPr>
        <w:t>(Speed)</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1"/>
        </w:rPr>
        <w:t>和结构</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
        </w:rPr>
        <w:t>(Structure)</w:t>
      </w:r>
      <w:r>
        <w:rPr>
          <w:rFonts w:ascii="SimSun" w:hAnsi="SimSun" w:eastAsia="SimSun" w:cs="SimSun"/>
          <w:sz w:val="22"/>
          <w:szCs w:val="22"/>
          <w:spacing w:val="-1"/>
        </w:rPr>
        <w:t>。</w:t>
      </w:r>
    </w:p>
    <w:p>
      <w:pPr>
        <w:ind w:left="430"/>
        <w:spacing w:before="83" w:line="221" w:lineRule="auto"/>
        <w:rPr>
          <w:rFonts w:ascii="SimSun" w:hAnsi="SimSun" w:eastAsia="SimSun" w:cs="SimSun"/>
          <w:sz w:val="22"/>
          <w:szCs w:val="22"/>
        </w:rPr>
      </w:pPr>
      <w:r>
        <w:rPr>
          <w:rFonts w:ascii="SimSun" w:hAnsi="SimSun" w:eastAsia="SimSun" w:cs="SimSun"/>
          <w:sz w:val="22"/>
          <w:szCs w:val="22"/>
          <w:spacing w:val="-10"/>
        </w:rPr>
        <w:t>3I指的是：</w:t>
      </w:r>
    </w:p>
    <w:p>
      <w:pPr>
        <w:ind w:right="240" w:firstLine="430"/>
        <w:spacing w:before="2" w:line="291" w:lineRule="auto"/>
        <w:rPr>
          <w:rFonts w:ascii="SimSun" w:hAnsi="SimSun" w:eastAsia="SimSun" w:cs="SimSun"/>
          <w:sz w:val="18"/>
          <w:szCs w:val="18"/>
        </w:rPr>
      </w:pPr>
      <w:r>
        <w:rPr>
          <w:rFonts w:ascii="SimSun" w:hAnsi="SimSun" w:eastAsia="SimSun" w:cs="SimSun"/>
          <w:sz w:val="22"/>
          <w:szCs w:val="22"/>
          <w:spacing w:val="-4"/>
        </w:rPr>
        <w:t>(1)定义不明确的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(In-defined):</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多个主流的大数据定义都强调了数</w:t>
      </w:r>
      <w:r>
        <w:rPr>
          <w:rFonts w:ascii="SimSun" w:hAnsi="SimSun" w:eastAsia="SimSun" w:cs="SimSun"/>
          <w:sz w:val="22"/>
          <w:szCs w:val="22"/>
          <w:spacing w:val="-5"/>
        </w:rPr>
        <w:t>据规模需要</w:t>
      </w:r>
      <w:r>
        <w:rPr>
          <w:rFonts w:ascii="SimSun" w:hAnsi="SimSun" w:eastAsia="SimSun" w:cs="SimSun"/>
          <w:sz w:val="22"/>
          <w:szCs w:val="22"/>
        </w:rPr>
        <w:t xml:space="preserve"> </w:t>
      </w:r>
      <w:r>
        <w:rPr>
          <w:rFonts w:ascii="SimSun" w:hAnsi="SimSun" w:eastAsia="SimSun" w:cs="SimSun"/>
          <w:sz w:val="18"/>
          <w:szCs w:val="18"/>
          <w:spacing w:val="31"/>
        </w:rPr>
        <w:t>超过传统方法处理数据的规模。而随着技术的进步，数据分析的效率不断提高，符</w:t>
      </w:r>
      <w:r>
        <w:rPr>
          <w:rFonts w:ascii="SimSun" w:hAnsi="SimSun" w:eastAsia="SimSun" w:cs="SimSun"/>
          <w:sz w:val="18"/>
          <w:szCs w:val="18"/>
          <w:spacing w:val="9"/>
        </w:rPr>
        <w:t xml:space="preserve"> </w:t>
      </w:r>
      <w:r>
        <w:rPr>
          <w:rFonts w:ascii="SimSun" w:hAnsi="SimSun" w:eastAsia="SimSun" w:cs="SimSun"/>
          <w:sz w:val="18"/>
          <w:szCs w:val="18"/>
          <w:spacing w:val="27"/>
        </w:rPr>
        <w:t>合大数据定义的数据规模也会相应不断变大，因而</w:t>
      </w:r>
      <w:r>
        <w:rPr>
          <w:rFonts w:ascii="SimSun" w:hAnsi="SimSun" w:eastAsia="SimSun" w:cs="SimSun"/>
          <w:sz w:val="18"/>
          <w:szCs w:val="18"/>
          <w:spacing w:val="26"/>
        </w:rPr>
        <w:t>并没有</w:t>
      </w:r>
      <w:r>
        <w:rPr>
          <w:rFonts w:ascii="SimSun" w:hAnsi="SimSun" w:eastAsia="SimSun" w:cs="SimSun"/>
          <w:sz w:val="18"/>
          <w:szCs w:val="18"/>
          <w:spacing w:val="-49"/>
        </w:rPr>
        <w:t xml:space="preserve"> </w:t>
      </w:r>
      <w:r>
        <w:rPr>
          <w:rFonts w:ascii="SimSun" w:hAnsi="SimSun" w:eastAsia="SimSun" w:cs="SimSun"/>
          <w:sz w:val="18"/>
          <w:szCs w:val="18"/>
          <w:spacing w:val="26"/>
        </w:rPr>
        <w:t>一</w:t>
      </w:r>
      <w:r>
        <w:rPr>
          <w:rFonts w:ascii="SimSun" w:hAnsi="SimSun" w:eastAsia="SimSun" w:cs="SimSun"/>
          <w:sz w:val="18"/>
          <w:szCs w:val="18"/>
          <w:spacing w:val="-52"/>
        </w:rPr>
        <w:t xml:space="preserve"> </w:t>
      </w:r>
      <w:r>
        <w:rPr>
          <w:rFonts w:ascii="SimSun" w:hAnsi="SimSun" w:eastAsia="SimSun" w:cs="SimSun"/>
          <w:sz w:val="18"/>
          <w:szCs w:val="18"/>
          <w:spacing w:val="26"/>
        </w:rPr>
        <w:t>个明确的标准。</w:t>
      </w:r>
    </w:p>
    <w:p>
      <w:pPr>
        <w:ind w:right="170" w:firstLine="430"/>
        <w:spacing w:before="24" w:line="271" w:lineRule="auto"/>
        <w:rPr>
          <w:rFonts w:ascii="SimSun" w:hAnsi="SimSun" w:eastAsia="SimSun" w:cs="SimSun"/>
          <w:sz w:val="18"/>
          <w:szCs w:val="18"/>
        </w:rPr>
      </w:pPr>
      <w:r>
        <w:rPr>
          <w:rFonts w:ascii="SimSun" w:hAnsi="SimSun" w:eastAsia="SimSun" w:cs="SimSun"/>
          <w:sz w:val="22"/>
          <w:szCs w:val="22"/>
          <w:spacing w:val="-4"/>
        </w:rPr>
        <w:t>(2)令人生畏的</w:t>
      </w:r>
      <w:r>
        <w:rPr>
          <w:rFonts w:ascii="Times New Roman" w:hAnsi="Times New Roman" w:eastAsia="Times New Roman" w:cs="Times New Roman"/>
          <w:sz w:val="22"/>
          <w:szCs w:val="22"/>
          <w:spacing w:val="-4"/>
        </w:rPr>
        <w:t>(Intimidating):  </w:t>
      </w:r>
      <w:r>
        <w:rPr>
          <w:rFonts w:ascii="SimSun" w:hAnsi="SimSun" w:eastAsia="SimSun" w:cs="SimSun"/>
          <w:sz w:val="22"/>
          <w:szCs w:val="22"/>
          <w:spacing w:val="-4"/>
        </w:rPr>
        <w:t>从管理大数据到使用正确的工具获取它的价值，</w:t>
      </w:r>
      <w:r>
        <w:rPr>
          <w:rFonts w:ascii="SimSun" w:hAnsi="SimSun" w:eastAsia="SimSun" w:cs="SimSun"/>
          <w:sz w:val="22"/>
          <w:szCs w:val="22"/>
          <w:spacing w:val="7"/>
        </w:rPr>
        <w:t xml:space="preserve"> </w:t>
      </w:r>
      <w:r>
        <w:rPr>
          <w:rFonts w:ascii="SimSun" w:hAnsi="SimSun" w:eastAsia="SimSun" w:cs="SimSun"/>
          <w:sz w:val="18"/>
          <w:szCs w:val="18"/>
          <w:spacing w:val="24"/>
        </w:rPr>
        <w:t>利用大数据的过程中充满了各种挑战。</w:t>
      </w:r>
    </w:p>
    <w:p>
      <w:pPr>
        <w:ind w:right="238" w:firstLine="430"/>
        <w:spacing w:before="33" w:line="259" w:lineRule="auto"/>
        <w:rPr>
          <w:rFonts w:ascii="SimSun" w:hAnsi="SimSun" w:eastAsia="SimSun" w:cs="SimSun"/>
          <w:sz w:val="22"/>
          <w:szCs w:val="22"/>
        </w:rPr>
      </w:pPr>
      <w:r>
        <w:rPr>
          <w:rFonts w:ascii="SimSun" w:hAnsi="SimSun" w:eastAsia="SimSun" w:cs="SimSun"/>
          <w:sz w:val="22"/>
          <w:szCs w:val="22"/>
        </w:rPr>
        <w:t>(3)即时的</w:t>
      </w:r>
      <w:r>
        <w:rPr>
          <w:rFonts w:ascii="SimSun" w:hAnsi="SimSun" w:eastAsia="SimSun" w:cs="SimSun"/>
          <w:sz w:val="22"/>
          <w:szCs w:val="22"/>
          <w:spacing w:val="-27"/>
        </w:rPr>
        <w:t xml:space="preserve"> </w:t>
      </w:r>
      <w:r>
        <w:rPr>
          <w:rFonts w:ascii="Times New Roman" w:hAnsi="Times New Roman" w:eastAsia="Times New Roman" w:cs="Times New Roman"/>
          <w:sz w:val="22"/>
          <w:szCs w:val="22"/>
        </w:rPr>
        <w:t>(Immediate):   </w:t>
      </w:r>
      <w:r>
        <w:rPr>
          <w:rFonts w:ascii="SimSun" w:hAnsi="SimSun" w:eastAsia="SimSun" w:cs="SimSun"/>
          <w:sz w:val="22"/>
          <w:szCs w:val="22"/>
        </w:rPr>
        <w:t>数据的价</w:t>
      </w:r>
      <w:r>
        <w:rPr>
          <w:rFonts w:ascii="SimSun" w:hAnsi="SimSun" w:eastAsia="SimSun" w:cs="SimSun"/>
          <w:sz w:val="22"/>
          <w:szCs w:val="22"/>
          <w:spacing w:val="-1"/>
        </w:rPr>
        <w:t>值会随着时间快速衰减，因此为了保证大</w:t>
      </w:r>
      <w:r>
        <w:rPr>
          <w:rFonts w:ascii="SimSun" w:hAnsi="SimSun" w:eastAsia="SimSun" w:cs="SimSun"/>
          <w:sz w:val="22"/>
          <w:szCs w:val="22"/>
        </w:rPr>
        <w:t xml:space="preserve"> </w:t>
      </w:r>
      <w:r>
        <w:rPr>
          <w:rFonts w:ascii="SimSun" w:hAnsi="SimSun" w:eastAsia="SimSun" w:cs="SimSun"/>
          <w:sz w:val="22"/>
          <w:szCs w:val="22"/>
          <w:spacing w:val="-8"/>
        </w:rPr>
        <w:t>数据的可控性，需要缩短从数据搜集到获得数据洞察的时间，使得大数据成为真正</w:t>
      </w:r>
      <w:r>
        <w:rPr>
          <w:rFonts w:ascii="SimSun" w:hAnsi="SimSun" w:eastAsia="SimSun" w:cs="SimSun"/>
          <w:sz w:val="22"/>
          <w:szCs w:val="22"/>
          <w:spacing w:val="9"/>
        </w:rPr>
        <w:t xml:space="preserve"> </w:t>
      </w:r>
      <w:r>
        <w:rPr>
          <w:rFonts w:ascii="SimSun" w:hAnsi="SimSun" w:eastAsia="SimSun" w:cs="SimSun"/>
          <w:sz w:val="22"/>
          <w:szCs w:val="22"/>
          <w:spacing w:val="-9"/>
        </w:rPr>
        <w:t>的即时大数据，这意味着用户能尽快地分析数据，这对获得竞争</w:t>
      </w:r>
      <w:r>
        <w:rPr>
          <w:rFonts w:ascii="SimSun" w:hAnsi="SimSun" w:eastAsia="SimSun" w:cs="SimSun"/>
          <w:sz w:val="22"/>
          <w:szCs w:val="22"/>
          <w:spacing w:val="-10"/>
        </w:rPr>
        <w:t>优势至关重要。</w:t>
      </w:r>
    </w:p>
    <w:p>
      <w:pPr>
        <w:ind w:right="234" w:firstLine="430"/>
        <w:spacing w:before="88" w:line="267" w:lineRule="auto"/>
        <w:rPr>
          <w:rFonts w:ascii="SimSun" w:hAnsi="SimSun" w:eastAsia="SimSun" w:cs="SimSun"/>
          <w:sz w:val="22"/>
          <w:szCs w:val="22"/>
        </w:rPr>
      </w:pPr>
      <w:r>
        <w:rPr>
          <w:rFonts w:ascii="SimSun" w:hAnsi="SimSun" w:eastAsia="SimSun" w:cs="SimSun"/>
          <w:sz w:val="18"/>
          <w:szCs w:val="18"/>
          <w:spacing w:val="29"/>
        </w:rPr>
        <w:t>虽然学术界和产业界对大数据的定义没有形成统</w:t>
      </w:r>
      <w:r>
        <w:rPr>
          <w:rFonts w:ascii="SimSun" w:hAnsi="SimSun" w:eastAsia="SimSun" w:cs="SimSun"/>
          <w:sz w:val="18"/>
          <w:szCs w:val="18"/>
          <w:spacing w:val="-37"/>
        </w:rPr>
        <w:t xml:space="preserve"> </w:t>
      </w:r>
      <w:r>
        <w:rPr>
          <w:rFonts w:ascii="SimSun" w:hAnsi="SimSun" w:eastAsia="SimSun" w:cs="SimSun"/>
          <w:sz w:val="18"/>
          <w:szCs w:val="18"/>
          <w:spacing w:val="29"/>
        </w:rPr>
        <w:t>一</w:t>
      </w:r>
      <w:r>
        <w:rPr>
          <w:rFonts w:ascii="SimSun" w:hAnsi="SimSun" w:eastAsia="SimSun" w:cs="SimSun"/>
          <w:sz w:val="18"/>
          <w:szCs w:val="18"/>
          <w:spacing w:val="-35"/>
        </w:rPr>
        <w:t xml:space="preserve"> </w:t>
      </w:r>
      <w:r>
        <w:rPr>
          <w:rFonts w:ascii="SimSun" w:hAnsi="SimSun" w:eastAsia="SimSun" w:cs="SimSun"/>
          <w:sz w:val="18"/>
          <w:szCs w:val="18"/>
          <w:spacing w:val="29"/>
        </w:rPr>
        <w:t>的意见，但对大数据的特点</w:t>
      </w:r>
      <w:r>
        <w:rPr>
          <w:rFonts w:ascii="SimSun" w:hAnsi="SimSun" w:eastAsia="SimSun" w:cs="SimSun"/>
          <w:sz w:val="18"/>
          <w:szCs w:val="18"/>
        </w:rPr>
        <w:t xml:space="preserve"> </w:t>
      </w:r>
      <w:r>
        <w:rPr>
          <w:rFonts w:ascii="SimSun" w:hAnsi="SimSun" w:eastAsia="SimSun" w:cs="SimSun"/>
          <w:sz w:val="18"/>
          <w:szCs w:val="18"/>
          <w:spacing w:val="26"/>
        </w:rPr>
        <w:t>基本形成了</w:t>
      </w:r>
      <w:r>
        <w:rPr>
          <w:rFonts w:ascii="SimSun" w:hAnsi="SimSun" w:eastAsia="SimSun" w:cs="SimSun"/>
          <w:sz w:val="18"/>
          <w:szCs w:val="18"/>
          <w:spacing w:val="-51"/>
        </w:rPr>
        <w:t xml:space="preserve"> </w:t>
      </w:r>
      <w:r>
        <w:rPr>
          <w:rFonts w:ascii="SimSun" w:hAnsi="SimSun" w:eastAsia="SimSun" w:cs="SimSun"/>
          <w:sz w:val="18"/>
          <w:szCs w:val="18"/>
          <w:spacing w:val="26"/>
        </w:rPr>
        <w:t>一</w:t>
      </w:r>
      <w:r>
        <w:rPr>
          <w:rFonts w:ascii="SimSun" w:hAnsi="SimSun" w:eastAsia="SimSun" w:cs="SimSun"/>
          <w:sz w:val="18"/>
          <w:szCs w:val="18"/>
          <w:spacing w:val="-53"/>
        </w:rPr>
        <w:t xml:space="preserve"> </w:t>
      </w:r>
      <w:r>
        <w:rPr>
          <w:rFonts w:ascii="SimSun" w:hAnsi="SimSun" w:eastAsia="SimSun" w:cs="SimSun"/>
          <w:sz w:val="18"/>
          <w:szCs w:val="18"/>
          <w:spacing w:val="26"/>
        </w:rPr>
        <w:t>致的观点，尤其以“5</w:t>
      </w:r>
      <w:r>
        <w:rPr>
          <w:rFonts w:ascii="Times New Roman" w:hAnsi="Times New Roman" w:eastAsia="Times New Roman" w:cs="Times New Roman"/>
          <w:sz w:val="18"/>
          <w:szCs w:val="18"/>
          <w:spacing w:val="26"/>
        </w:rPr>
        <w:t>V”</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6"/>
        </w:rPr>
        <w:t>模型为代表，即大数据的特点包括：</w:t>
      </w:r>
      <w:r>
        <w:rPr>
          <w:rFonts w:ascii="SimSun" w:hAnsi="SimSun" w:eastAsia="SimSun" w:cs="SimSun"/>
          <w:sz w:val="18"/>
          <w:szCs w:val="18"/>
          <w:spacing w:val="25"/>
        </w:rPr>
        <w:t>数据体</w:t>
      </w:r>
      <w:r>
        <w:rPr>
          <w:rFonts w:ascii="SimSun" w:hAnsi="SimSun" w:eastAsia="SimSun" w:cs="SimSun"/>
          <w:sz w:val="18"/>
          <w:szCs w:val="18"/>
          <w:spacing w:val="1"/>
        </w:rPr>
        <w:t xml:space="preserve"> </w:t>
      </w:r>
      <w:r>
        <w:rPr>
          <w:rFonts w:ascii="SimSun" w:hAnsi="SimSun" w:eastAsia="SimSun" w:cs="SimSun"/>
          <w:sz w:val="22"/>
          <w:szCs w:val="22"/>
          <w:spacing w:val="-8"/>
        </w:rPr>
        <w:t>量大、种类多样性、处理速度快、价值密度低和真实有效性等，如图2-2所示。</w:t>
      </w:r>
    </w:p>
    <w:p>
      <w:pPr>
        <w:pStyle w:val="BodyText"/>
        <w:spacing w:line="399" w:lineRule="auto"/>
        <w:rPr/>
      </w:pPr>
      <w:r/>
    </w:p>
    <w:p>
      <w:pPr>
        <w:ind w:left="3620"/>
        <w:spacing w:before="58" w:line="196" w:lineRule="auto"/>
        <w:rPr>
          <w:rFonts w:ascii="SimSun" w:hAnsi="SimSun" w:eastAsia="SimSun" w:cs="SimSun"/>
          <w:sz w:val="18"/>
          <w:szCs w:val="18"/>
        </w:rPr>
      </w:pPr>
      <w:r>
        <w:drawing>
          <wp:anchor distT="0" distB="0" distL="0" distR="0" simplePos="0" relativeHeight="252181504" behindDoc="1" locked="0" layoutInCell="1" allowOverlap="1">
            <wp:simplePos x="0" y="0"/>
            <wp:positionH relativeFrom="column">
              <wp:posOffset>819183</wp:posOffset>
            </wp:positionH>
            <wp:positionV relativeFrom="paragraph">
              <wp:posOffset>-202329</wp:posOffset>
            </wp:positionV>
            <wp:extent cx="2724133" cy="2152606"/>
            <wp:effectExtent l="0" t="0" r="0" b="0"/>
            <wp:wrapNone/>
            <wp:docPr id="90" name="IM 90"/>
            <wp:cNvGraphicFramePr/>
            <a:graphic>
              <a:graphicData uri="http://schemas.openxmlformats.org/drawingml/2006/picture">
                <pic:pic>
                  <pic:nvPicPr>
                    <pic:cNvPr id="90" name="IM 90"/>
                    <pic:cNvPicPr/>
                  </pic:nvPicPr>
                  <pic:blipFill>
                    <a:blip r:embed="rId97"/>
                    <a:stretch>
                      <a:fillRect/>
                    </a:stretch>
                  </pic:blipFill>
                  <pic:spPr>
                    <a:xfrm rot="0">
                      <a:off x="0" y="0"/>
                      <a:ext cx="2724133" cy="2152606"/>
                    </a:xfrm>
                    <a:prstGeom prst="rect">
                      <a:avLst/>
                    </a:prstGeom>
                  </pic:spPr>
                </pic:pic>
              </a:graphicData>
            </a:graphic>
          </wp:anchor>
        </w:drawing>
      </w:r>
      <w:r>
        <w:rPr>
          <w:rFonts w:ascii="SimSun" w:hAnsi="SimSun" w:eastAsia="SimSun" w:cs="SimSun"/>
          <w:sz w:val="18"/>
          <w:szCs w:val="18"/>
          <w:spacing w:val="-13"/>
          <w:w w:val="96"/>
        </w:rPr>
        <w:t>数据体</w:t>
      </w:r>
    </w:p>
    <w:p>
      <w:pPr>
        <w:ind w:left="3620"/>
        <w:spacing w:line="220" w:lineRule="auto"/>
        <w:rPr>
          <w:rFonts w:ascii="SimSun" w:hAnsi="SimSun" w:eastAsia="SimSun" w:cs="SimSun"/>
          <w:sz w:val="18"/>
          <w:szCs w:val="18"/>
        </w:rPr>
      </w:pPr>
      <w:r>
        <w:rPr>
          <w:rFonts w:ascii="SimSun" w:hAnsi="SimSun" w:eastAsia="SimSun" w:cs="SimSun"/>
          <w:sz w:val="18"/>
          <w:szCs w:val="18"/>
          <w:spacing w:val="-11"/>
        </w:rPr>
        <w:t>量大</w:t>
      </w:r>
    </w:p>
    <w:p>
      <w:pPr>
        <w:ind w:left="2550"/>
        <w:spacing w:before="175" w:line="203" w:lineRule="auto"/>
        <w:rPr>
          <w:rFonts w:ascii="YouYuan" w:hAnsi="YouYuan" w:eastAsia="YouYuan" w:cs="YouYuan"/>
          <w:sz w:val="18"/>
          <w:szCs w:val="18"/>
        </w:rPr>
      </w:pPr>
      <w:r>
        <w:pict>
          <v:shape id="_x0000_s226" style="position:absolute;margin-left:233.501pt;margin-top:7.72951pt;mso-position-vertical-relative:text;mso-position-horizontal-relative:text;width:24.75pt;height:21.7pt;z-index:252183552;" filled="false" stroked="false" type="#_x0000_t202">
            <v:fill on="false"/>
            <v:stroke on="false"/>
            <v:path/>
            <v:imagedata o:title=""/>
            <o:lock v:ext="edit" aspectratio="false"/>
            <v:textbox inset="0mm,0mm,0mm,0mm">
              <w:txbxContent>
                <w:p>
                  <w:pPr>
                    <w:ind w:left="88" w:right="20" w:hanging="69"/>
                    <w:spacing w:before="20" w:line="202" w:lineRule="auto"/>
                    <w:rPr>
                      <w:rFonts w:ascii="SimSun" w:hAnsi="SimSun" w:eastAsia="SimSun" w:cs="SimSun"/>
                      <w:sz w:val="18"/>
                      <w:szCs w:val="18"/>
                    </w:rPr>
                  </w:pPr>
                  <w:r>
                    <w:rPr>
                      <w:rFonts w:ascii="SimSun" w:hAnsi="SimSun" w:eastAsia="SimSun" w:cs="SimSun"/>
                      <w:sz w:val="18"/>
                      <w:szCs w:val="18"/>
                      <w:spacing w:val="-17"/>
                      <w:w w:val="93"/>
                    </w:rPr>
                    <w:t>种类多</w:t>
                  </w:r>
                  <w:r>
                    <w:rPr>
                      <w:rFonts w:ascii="SimSun" w:hAnsi="SimSun" w:eastAsia="SimSun" w:cs="SimSun"/>
                      <w:sz w:val="18"/>
                      <w:szCs w:val="18"/>
                      <w:spacing w:val="2"/>
                    </w:rPr>
                    <w:t xml:space="preserve"> </w:t>
                  </w:r>
                  <w:r>
                    <w:rPr>
                      <w:rFonts w:ascii="SimSun" w:hAnsi="SimSun" w:eastAsia="SimSun" w:cs="SimSun"/>
                      <w:sz w:val="18"/>
                      <w:szCs w:val="18"/>
                      <w:spacing w:val="-11"/>
                    </w:rPr>
                    <w:t>样性</w:t>
                  </w:r>
                </w:p>
              </w:txbxContent>
            </v:textbox>
          </v:shape>
        </w:pict>
      </w:r>
      <w:r>
        <w:rPr>
          <w:rFonts w:ascii="YouYuan" w:hAnsi="YouYuan" w:eastAsia="YouYuan" w:cs="YouYuan"/>
          <w:sz w:val="18"/>
          <w:szCs w:val="18"/>
          <w:spacing w:val="-4"/>
          <w:w w:val="92"/>
        </w:rPr>
        <w:t>处理速</w:t>
      </w:r>
    </w:p>
    <w:p>
      <w:pPr>
        <w:ind w:left="2630"/>
        <w:spacing w:before="1" w:line="212" w:lineRule="auto"/>
        <w:rPr>
          <w:rFonts w:ascii="SimSun" w:hAnsi="SimSun" w:eastAsia="SimSun" w:cs="SimSun"/>
          <w:sz w:val="18"/>
          <w:szCs w:val="18"/>
        </w:rPr>
      </w:pPr>
      <w:r>
        <w:rPr>
          <w:rFonts w:ascii="SimSun" w:hAnsi="SimSun" w:eastAsia="SimSun" w:cs="SimSun"/>
          <w:sz w:val="18"/>
          <w:szCs w:val="18"/>
          <w:spacing w:val="-12"/>
        </w:rPr>
        <w:t>度快</w:t>
      </w:r>
    </w:p>
    <w:p>
      <w:pPr>
        <w:ind w:left="3620"/>
        <w:spacing w:before="174" w:line="195" w:lineRule="auto"/>
        <w:rPr>
          <w:rFonts w:ascii="SimSun" w:hAnsi="SimSun" w:eastAsia="SimSun" w:cs="SimSun"/>
          <w:sz w:val="18"/>
          <w:szCs w:val="18"/>
        </w:rPr>
      </w:pPr>
      <w:r>
        <w:rPr>
          <w:rFonts w:ascii="SimSun" w:hAnsi="SimSun" w:eastAsia="SimSun" w:cs="SimSun"/>
          <w:sz w:val="18"/>
          <w:szCs w:val="18"/>
          <w:spacing w:val="-14"/>
          <w:w w:val="97"/>
        </w:rPr>
        <w:t>大数据</w:t>
      </w:r>
    </w:p>
    <w:p>
      <w:pPr>
        <w:ind w:left="3620"/>
        <w:spacing w:before="1" w:line="188" w:lineRule="auto"/>
        <w:rPr>
          <w:rFonts w:ascii="SimSun" w:hAnsi="SimSun" w:eastAsia="SimSun" w:cs="SimSun"/>
          <w:sz w:val="18"/>
          <w:szCs w:val="18"/>
        </w:rPr>
      </w:pPr>
      <w:r>
        <w:rPr>
          <w:rFonts w:ascii="SimSun" w:hAnsi="SimSun" w:eastAsia="SimSun" w:cs="SimSun"/>
          <w:sz w:val="18"/>
          <w:szCs w:val="18"/>
          <w:spacing w:val="-2"/>
        </w:rPr>
        <w:t>特点</w:t>
      </w:r>
    </w:p>
    <w:p>
      <w:pPr>
        <w:ind w:left="2569"/>
        <w:spacing w:before="145" w:line="197" w:lineRule="auto"/>
        <w:rPr>
          <w:rFonts w:ascii="SimSun" w:hAnsi="SimSun" w:eastAsia="SimSun" w:cs="SimSun"/>
          <w:sz w:val="18"/>
          <w:szCs w:val="18"/>
        </w:rPr>
      </w:pPr>
      <w:r>
        <w:pict>
          <v:shape id="_x0000_s228" style="position:absolute;margin-left:233.501pt;margin-top:6.80197pt;mso-position-vertical-relative:text;mso-position-horizontal-relative:text;width:24.85pt;height:22.15pt;z-index:252182528;" filled="false" stroked="false" type="#_x0000_t202">
            <v:fill on="false"/>
            <v:stroke on="false"/>
            <v:path/>
            <v:imagedata o:title=""/>
            <o:lock v:ext="edit" aspectratio="false"/>
            <v:textbox inset="0mm,0mm,0mm,0mm">
              <w:txbxContent>
                <w:p>
                  <w:pPr>
                    <w:ind w:left="20" w:right="20"/>
                    <w:spacing w:before="20" w:line="206" w:lineRule="auto"/>
                    <w:rPr>
                      <w:rFonts w:ascii="SimSun" w:hAnsi="SimSun" w:eastAsia="SimSun" w:cs="SimSun"/>
                      <w:sz w:val="18"/>
                      <w:szCs w:val="18"/>
                    </w:rPr>
                  </w:pPr>
                  <w:r>
                    <w:rPr>
                      <w:rFonts w:ascii="SimSun" w:hAnsi="SimSun" w:eastAsia="SimSun" w:cs="SimSun"/>
                      <w:sz w:val="18"/>
                      <w:szCs w:val="18"/>
                      <w:spacing w:val="-12"/>
                      <w:w w:val="89"/>
                    </w:rPr>
                    <w:t>其他特</w:t>
                  </w:r>
                  <w:r>
                    <w:rPr>
                      <w:rFonts w:ascii="SimSun" w:hAnsi="SimSun" w:eastAsia="SimSun" w:cs="SimSun"/>
                      <w:sz w:val="18"/>
                      <w:szCs w:val="18"/>
                    </w:rPr>
                    <w:t xml:space="preserve"> </w:t>
                  </w:r>
                  <w:r>
                    <w:rPr>
                      <w:rFonts w:ascii="SimSun" w:hAnsi="SimSun" w:eastAsia="SimSun" w:cs="SimSun"/>
                      <w:sz w:val="18"/>
                      <w:szCs w:val="18"/>
                      <w:spacing w:val="-28"/>
                    </w:rPr>
                    <w:t>点……</w:t>
                  </w:r>
                </w:p>
              </w:txbxContent>
            </v:textbox>
          </v:shape>
        </w:pict>
      </w:r>
      <w:r>
        <w:rPr>
          <w:rFonts w:ascii="SimSun" w:hAnsi="SimSun" w:eastAsia="SimSun" w:cs="SimSun"/>
          <w:sz w:val="18"/>
          <w:szCs w:val="18"/>
          <w:spacing w:val="-15"/>
          <w:w w:val="99"/>
        </w:rPr>
        <w:t>价值密</w:t>
      </w:r>
    </w:p>
    <w:p>
      <w:pPr>
        <w:ind w:left="2620"/>
        <w:spacing w:line="220" w:lineRule="auto"/>
        <w:rPr>
          <w:rFonts w:ascii="SimSun" w:hAnsi="SimSun" w:eastAsia="SimSun" w:cs="SimSun"/>
          <w:sz w:val="18"/>
          <w:szCs w:val="18"/>
        </w:rPr>
      </w:pPr>
      <w:r>
        <w:rPr>
          <w:rFonts w:ascii="SimSun" w:hAnsi="SimSun" w:eastAsia="SimSun" w:cs="SimSun"/>
          <w:sz w:val="18"/>
          <w:szCs w:val="18"/>
          <w:spacing w:val="-8"/>
        </w:rPr>
        <w:t>度低</w:t>
      </w:r>
    </w:p>
    <w:p>
      <w:pPr>
        <w:ind w:left="3620"/>
        <w:spacing w:before="195" w:line="185" w:lineRule="auto"/>
        <w:rPr>
          <w:rFonts w:ascii="SimSun" w:hAnsi="SimSun" w:eastAsia="SimSun" w:cs="SimSun"/>
          <w:sz w:val="18"/>
          <w:szCs w:val="18"/>
        </w:rPr>
      </w:pPr>
      <w:r>
        <w:rPr>
          <w:rFonts w:ascii="SimSun" w:hAnsi="SimSun" w:eastAsia="SimSun" w:cs="SimSun"/>
          <w:sz w:val="18"/>
          <w:szCs w:val="18"/>
          <w:spacing w:val="-15"/>
          <w:w w:val="98"/>
        </w:rPr>
        <w:t>真实有</w:t>
      </w:r>
    </w:p>
    <w:p>
      <w:pPr>
        <w:ind w:left="3620"/>
        <w:spacing w:line="220" w:lineRule="auto"/>
        <w:rPr>
          <w:rFonts w:ascii="SimSun" w:hAnsi="SimSun" w:eastAsia="SimSun" w:cs="SimSun"/>
          <w:sz w:val="18"/>
          <w:szCs w:val="18"/>
        </w:rPr>
      </w:pPr>
      <w:r>
        <w:rPr>
          <w:rFonts w:ascii="SimSun" w:hAnsi="SimSun" w:eastAsia="SimSun" w:cs="SimSun"/>
          <w:sz w:val="18"/>
          <w:szCs w:val="18"/>
          <w:spacing w:val="-11"/>
        </w:rPr>
        <w:t>效性</w:t>
      </w:r>
    </w:p>
    <w:p>
      <w:pPr>
        <w:pStyle w:val="BodyText"/>
        <w:spacing w:line="462" w:lineRule="auto"/>
        <w:rPr/>
      </w:pPr>
      <w:r/>
    </w:p>
    <w:p>
      <w:pPr>
        <w:ind w:left="3100"/>
        <w:spacing w:before="59" w:line="222" w:lineRule="auto"/>
        <w:rPr>
          <w:rFonts w:ascii="SimHei" w:hAnsi="SimHei" w:eastAsia="SimHei" w:cs="SimHei"/>
          <w:sz w:val="18"/>
          <w:szCs w:val="18"/>
        </w:rPr>
      </w:pPr>
      <w:r>
        <w:rPr>
          <w:rFonts w:ascii="SimHei" w:hAnsi="SimHei" w:eastAsia="SimHei" w:cs="SimHei"/>
          <w:sz w:val="18"/>
          <w:szCs w:val="18"/>
          <w:spacing w:val="5"/>
        </w:rPr>
        <w:t>图2-2</w:t>
      </w:r>
      <w:r>
        <w:rPr>
          <w:rFonts w:ascii="SimHei" w:hAnsi="SimHei" w:eastAsia="SimHei" w:cs="SimHei"/>
          <w:sz w:val="18"/>
          <w:szCs w:val="18"/>
          <w:spacing w:val="83"/>
        </w:rPr>
        <w:t xml:space="preserve"> </w:t>
      </w:r>
      <w:r>
        <w:rPr>
          <w:rFonts w:ascii="SimHei" w:hAnsi="SimHei" w:eastAsia="SimHei" w:cs="SimHei"/>
          <w:sz w:val="18"/>
          <w:szCs w:val="18"/>
          <w:spacing w:val="5"/>
        </w:rPr>
        <w:t>大数据特点</w:t>
      </w:r>
    </w:p>
    <w:p>
      <w:pPr>
        <w:ind w:left="433"/>
        <w:spacing w:before="199" w:line="224" w:lineRule="auto"/>
        <w:outlineLvl w:val="1"/>
        <w:rPr>
          <w:rFonts w:ascii="YouYuan" w:hAnsi="YouYuan" w:eastAsia="YouYuan" w:cs="YouYuan"/>
          <w:sz w:val="22"/>
          <w:szCs w:val="22"/>
        </w:rPr>
      </w:pPr>
      <w:r>
        <w:rPr>
          <w:rFonts w:ascii="YouYuan" w:hAnsi="YouYuan" w:eastAsia="YouYuan" w:cs="YouYuan"/>
          <w:sz w:val="22"/>
          <w:szCs w:val="22"/>
          <w:b/>
          <w:bCs/>
          <w:spacing w:val="-7"/>
        </w:rPr>
        <w:t>1.</w:t>
      </w:r>
      <w:r>
        <w:rPr>
          <w:rFonts w:ascii="YouYuan" w:hAnsi="YouYuan" w:eastAsia="YouYuan" w:cs="YouYuan"/>
          <w:sz w:val="22"/>
          <w:szCs w:val="22"/>
          <w:spacing w:val="-7"/>
        </w:rPr>
        <w:t xml:space="preserve"> </w:t>
      </w:r>
      <w:r>
        <w:rPr>
          <w:rFonts w:ascii="YouYuan" w:hAnsi="YouYuan" w:eastAsia="YouYuan" w:cs="YouYuan"/>
          <w:sz w:val="22"/>
          <w:szCs w:val="22"/>
          <w:b/>
          <w:bCs/>
          <w:spacing w:val="-7"/>
        </w:rPr>
        <w:t>数据体量大</w:t>
      </w:r>
    </w:p>
    <w:p>
      <w:pPr>
        <w:ind w:right="178" w:firstLine="430"/>
        <w:spacing w:before="197" w:line="276" w:lineRule="auto"/>
        <w:jc w:val="both"/>
        <w:rPr>
          <w:rFonts w:ascii="SimSun" w:hAnsi="SimSun" w:eastAsia="SimSun" w:cs="SimSun"/>
          <w:sz w:val="18"/>
          <w:szCs w:val="18"/>
        </w:rPr>
      </w:pPr>
      <w:r>
        <w:rPr>
          <w:rFonts w:ascii="SimSun" w:hAnsi="SimSun" w:eastAsia="SimSun" w:cs="SimSun"/>
          <w:sz w:val="22"/>
          <w:szCs w:val="22"/>
          <w:spacing w:val="-3"/>
        </w:rPr>
        <w:t>据</w:t>
      </w:r>
      <w:r>
        <w:rPr>
          <w:rFonts w:ascii="Times New Roman" w:hAnsi="Times New Roman" w:eastAsia="Times New Roman" w:cs="Times New Roman"/>
          <w:sz w:val="22"/>
          <w:szCs w:val="22"/>
          <w:spacing w:val="-3"/>
        </w:rPr>
        <w:t>IDC</w:t>
      </w:r>
      <w:r>
        <w:rPr>
          <w:rFonts w:ascii="SimSun" w:hAnsi="SimSun" w:eastAsia="SimSun" w:cs="SimSun"/>
          <w:sz w:val="22"/>
          <w:szCs w:val="22"/>
          <w:spacing w:val="-3"/>
        </w:rPr>
        <w:t>(国际数据公司)研究结果表明，2008年</w:t>
      </w:r>
      <w:r>
        <w:rPr>
          <w:rFonts w:ascii="SimSun" w:hAnsi="SimSun" w:eastAsia="SimSun" w:cs="SimSun"/>
          <w:sz w:val="22"/>
          <w:szCs w:val="22"/>
          <w:spacing w:val="-4"/>
        </w:rPr>
        <w:t>全球产生的数据量为0.49ZB128,</w:t>
      </w:r>
      <w:r>
        <w:rPr>
          <w:rFonts w:ascii="SimSun" w:hAnsi="SimSun" w:eastAsia="SimSun" w:cs="SimSun"/>
          <w:sz w:val="22"/>
          <w:szCs w:val="22"/>
        </w:rPr>
        <w:t xml:space="preserve"> </w:t>
      </w:r>
      <w:r>
        <w:rPr>
          <w:rFonts w:ascii="SimSun" w:hAnsi="SimSun" w:eastAsia="SimSun" w:cs="SimSun"/>
          <w:sz w:val="22"/>
          <w:szCs w:val="22"/>
          <w:spacing w:val="-2"/>
        </w:rPr>
        <w:t>2009年的数据量为0.8ZB,2010</w:t>
      </w:r>
      <w:r>
        <w:rPr>
          <w:rFonts w:ascii="SimSun" w:hAnsi="SimSun" w:eastAsia="SimSun" w:cs="SimSun"/>
          <w:sz w:val="22"/>
          <w:szCs w:val="22"/>
          <w:spacing w:val="77"/>
        </w:rPr>
        <w:t xml:space="preserve"> </w:t>
      </w:r>
      <w:r>
        <w:rPr>
          <w:rFonts w:ascii="SimSun" w:hAnsi="SimSun" w:eastAsia="SimSun" w:cs="SimSun"/>
          <w:sz w:val="22"/>
          <w:szCs w:val="22"/>
          <w:spacing w:val="-2"/>
        </w:rPr>
        <w:t>年增长为1.2</w:t>
      </w:r>
      <w:r>
        <w:rPr>
          <w:rFonts w:ascii="Times New Roman" w:hAnsi="Times New Roman" w:eastAsia="Times New Roman" w:cs="Times New Roman"/>
          <w:sz w:val="22"/>
          <w:szCs w:val="22"/>
          <w:spacing w:val="-2"/>
        </w:rPr>
        <w:t>ZB,</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2"/>
        </w:rPr>
        <w:t>人类正式</w:t>
      </w:r>
      <w:r>
        <w:rPr>
          <w:rFonts w:ascii="SimSun" w:hAnsi="SimSun" w:eastAsia="SimSun" w:cs="SimSun"/>
          <w:sz w:val="22"/>
          <w:szCs w:val="22"/>
          <w:spacing w:val="-3"/>
        </w:rPr>
        <w:t>进入</w:t>
      </w:r>
      <w:r>
        <w:rPr>
          <w:rFonts w:ascii="Times New Roman" w:hAnsi="Times New Roman" w:eastAsia="Times New Roman" w:cs="Times New Roman"/>
          <w:sz w:val="22"/>
          <w:szCs w:val="22"/>
          <w:spacing w:val="-3"/>
        </w:rPr>
        <w:t>ZB </w:t>
      </w:r>
      <w:r>
        <w:rPr>
          <w:rFonts w:ascii="SimSun" w:hAnsi="SimSun" w:eastAsia="SimSun" w:cs="SimSun"/>
          <w:sz w:val="22"/>
          <w:szCs w:val="22"/>
          <w:spacing w:val="-3"/>
        </w:rPr>
        <w:t>时代。2011年</w:t>
      </w:r>
      <w:r>
        <w:rPr>
          <w:rFonts w:ascii="SimSun" w:hAnsi="SimSun" w:eastAsia="SimSun" w:cs="SimSun"/>
          <w:sz w:val="22"/>
          <w:szCs w:val="22"/>
        </w:rPr>
        <w:t xml:space="preserve">  </w:t>
      </w:r>
      <w:r>
        <w:rPr>
          <w:rFonts w:ascii="SimSun" w:hAnsi="SimSun" w:eastAsia="SimSun" w:cs="SimSun"/>
          <w:sz w:val="22"/>
          <w:szCs w:val="22"/>
          <w:spacing w:val="-5"/>
        </w:rPr>
        <w:t>的数量更是高达1.82</w:t>
      </w:r>
      <w:r>
        <w:rPr>
          <w:rFonts w:ascii="Times New Roman" w:hAnsi="Times New Roman" w:eastAsia="Times New Roman" w:cs="Times New Roman"/>
          <w:sz w:val="22"/>
          <w:szCs w:val="22"/>
          <w:spacing w:val="-5"/>
        </w:rPr>
        <w:t>ZB,</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相当于全球每人每年产生200</w:t>
      </w:r>
      <w:r>
        <w:rPr>
          <w:rFonts w:ascii="Times New Roman" w:hAnsi="Times New Roman" w:eastAsia="Times New Roman" w:cs="Times New Roman"/>
          <w:sz w:val="22"/>
          <w:szCs w:val="22"/>
          <w:spacing w:val="-5"/>
        </w:rPr>
        <w:t>GB</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5"/>
        </w:rPr>
        <w:t>以上的数据。而到2012 </w:t>
      </w:r>
      <w:r>
        <w:rPr>
          <w:rFonts w:ascii="SimSun" w:hAnsi="SimSun" w:eastAsia="SimSun" w:cs="SimSun"/>
          <w:sz w:val="18"/>
          <w:szCs w:val="18"/>
          <w:spacing w:val="30"/>
        </w:rPr>
        <w:t>年为止，人类生产的所有印刷材料的数据量是200</w:t>
      </w:r>
      <w:r>
        <w:rPr>
          <w:rFonts w:ascii="Times New Roman" w:hAnsi="Times New Roman" w:eastAsia="Times New Roman" w:cs="Times New Roman"/>
          <w:sz w:val="18"/>
          <w:szCs w:val="18"/>
        </w:rPr>
        <w:t>PB</w:t>
      </w:r>
      <w:r>
        <w:rPr>
          <w:rFonts w:ascii="Times New Roman" w:hAnsi="Times New Roman" w:eastAsia="Times New Roman" w:cs="Times New Roman"/>
          <w:sz w:val="18"/>
          <w:szCs w:val="18"/>
          <w:spacing w:val="30"/>
        </w:rPr>
        <w:t>,   </w:t>
      </w:r>
      <w:r>
        <w:rPr>
          <w:rFonts w:ascii="SimSun" w:hAnsi="SimSun" w:eastAsia="SimSun" w:cs="SimSun"/>
          <w:sz w:val="18"/>
          <w:szCs w:val="18"/>
          <w:spacing w:val="30"/>
        </w:rPr>
        <w:t>全人类历史上说过的所有话</w:t>
      </w:r>
      <w:r>
        <w:rPr>
          <w:rFonts w:ascii="SimSun" w:hAnsi="SimSun" w:eastAsia="SimSun" w:cs="SimSun"/>
          <w:sz w:val="18"/>
          <w:szCs w:val="18"/>
          <w:spacing w:val="2"/>
        </w:rPr>
        <w:t xml:space="preserve">  </w:t>
      </w:r>
      <w:r>
        <w:rPr>
          <w:rFonts w:ascii="SimSun" w:hAnsi="SimSun" w:eastAsia="SimSun" w:cs="SimSun"/>
          <w:sz w:val="18"/>
          <w:szCs w:val="18"/>
          <w:spacing w:val="31"/>
        </w:rPr>
        <w:t>的数据量大约是5</w:t>
      </w:r>
      <w:r>
        <w:rPr>
          <w:rFonts w:ascii="Times New Roman" w:hAnsi="Times New Roman" w:eastAsia="Times New Roman" w:cs="Times New Roman"/>
          <w:sz w:val="18"/>
          <w:szCs w:val="18"/>
        </w:rPr>
        <w:t>EB</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31"/>
        </w:rPr>
        <w:t>。</w:t>
      </w:r>
      <w:r>
        <w:rPr>
          <w:rFonts w:ascii="SimSun" w:hAnsi="SimSun" w:eastAsia="SimSun" w:cs="SimSun"/>
          <w:sz w:val="18"/>
          <w:szCs w:val="18"/>
          <w:spacing w:val="-36"/>
        </w:rPr>
        <w:t xml:space="preserve"> </w:t>
      </w:r>
      <w:r>
        <w:rPr>
          <w:rFonts w:ascii="SimSun" w:hAnsi="SimSun" w:eastAsia="SimSun" w:cs="SimSun"/>
          <w:sz w:val="18"/>
          <w:szCs w:val="18"/>
          <w:spacing w:val="31"/>
        </w:rPr>
        <w:t>更为惊人的是，2020年以前全球数据量仍将保持每年40%多</w:t>
      </w:r>
    </w:p>
    <w:p>
      <w:pPr>
        <w:spacing w:line="276" w:lineRule="auto"/>
        <w:sectPr>
          <w:footerReference w:type="default" r:id="rId96"/>
          <w:pgSz w:w="8870" w:h="13400"/>
          <w:pgMar w:top="400" w:right="619" w:bottom="496" w:left="369" w:header="0" w:footer="317" w:gutter="0"/>
        </w:sectPr>
        <w:rPr>
          <w:rFonts w:ascii="SimSun" w:hAnsi="SimSun" w:eastAsia="SimSun" w:cs="SimSun"/>
          <w:sz w:val="18"/>
          <w:szCs w:val="18"/>
        </w:rPr>
      </w:pPr>
    </w:p>
    <w:p>
      <w:pPr>
        <w:ind w:left="120"/>
        <w:spacing w:before="239"/>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2255"/>
            <wp:effectExtent l="0" t="0" r="0" b="0"/>
            <wp:docPr id="92" name="IM 92"/>
            <wp:cNvGraphicFramePr/>
            <a:graphic>
              <a:graphicData uri="http://schemas.openxmlformats.org/drawingml/2006/picture">
                <pic:pic>
                  <pic:nvPicPr>
                    <pic:cNvPr id="92" name="IM 92"/>
                    <pic:cNvPicPr/>
                  </pic:nvPicPr>
                  <pic:blipFill>
                    <a:blip r:embed="rId99"/>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5"/>
        </w:rPr>
        <w:t xml:space="preserve"> </w:t>
      </w:r>
      <w:r>
        <w:rPr>
          <w:rFonts w:ascii="SimSun" w:hAnsi="SimSun" w:eastAsia="SimSun" w:cs="SimSun"/>
          <w:sz w:val="22"/>
          <w:szCs w:val="22"/>
          <w:b/>
          <w:bCs/>
          <w:spacing w:val="-29"/>
          <w:w w:val="97"/>
        </w:rPr>
        <w:t>■云端数据治理■</w:t>
      </w:r>
    </w:p>
    <w:p>
      <w:pPr>
        <w:ind w:left="270" w:right="79"/>
        <w:spacing w:before="301" w:line="254" w:lineRule="auto"/>
        <w:rPr>
          <w:rFonts w:ascii="SimSun" w:hAnsi="SimSun" w:eastAsia="SimSun" w:cs="SimSun"/>
          <w:sz w:val="22"/>
          <w:szCs w:val="22"/>
        </w:rPr>
      </w:pPr>
      <w:r>
        <w:rPr>
          <w:rFonts w:ascii="SimSun" w:hAnsi="SimSun" w:eastAsia="SimSun" w:cs="SimSun"/>
          <w:sz w:val="22"/>
          <w:szCs w:val="22"/>
          <w:spacing w:val="-10"/>
        </w:rPr>
        <w:t>的高速增长，大约每两年就翻一倍，这与</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0"/>
        </w:rPr>
        <w:t>界人尽皆知的摩尔定律</w:t>
      </w:r>
      <w:r>
        <w:rPr>
          <w:rFonts w:ascii="SimSun" w:hAnsi="SimSun" w:eastAsia="SimSun" w:cs="SimSun"/>
          <w:sz w:val="22"/>
          <w:szCs w:val="22"/>
          <w:spacing w:val="-11"/>
        </w:rPr>
        <w:t>极为相似，姑且</w:t>
      </w:r>
      <w:r>
        <w:rPr>
          <w:rFonts w:ascii="SimSun" w:hAnsi="SimSun" w:eastAsia="SimSun" w:cs="SimSun"/>
          <w:sz w:val="22"/>
          <w:szCs w:val="22"/>
        </w:rPr>
        <w:t xml:space="preserve"> </w:t>
      </w:r>
      <w:r>
        <w:rPr>
          <w:rFonts w:ascii="SimSun" w:hAnsi="SimSun" w:eastAsia="SimSun" w:cs="SimSun"/>
          <w:sz w:val="22"/>
          <w:szCs w:val="22"/>
          <w:spacing w:val="-8"/>
        </w:rPr>
        <w:t>可以称之为“大数据爆炸定律”。据 </w:t>
      </w:r>
      <w:r>
        <w:rPr>
          <w:rFonts w:ascii="Times New Roman" w:hAnsi="Times New Roman" w:eastAsia="Times New Roman" w:cs="Times New Roman"/>
          <w:sz w:val="22"/>
          <w:szCs w:val="22"/>
          <w:spacing w:val="-8"/>
        </w:rPr>
        <w:t>IDC</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8"/>
        </w:rPr>
        <w:t>预测，2020</w:t>
      </w:r>
      <w:r>
        <w:rPr>
          <w:rFonts w:ascii="SimSun" w:hAnsi="SimSun" w:eastAsia="SimSun" w:cs="SimSun"/>
          <w:sz w:val="22"/>
          <w:szCs w:val="22"/>
          <w:spacing w:val="-40"/>
        </w:rPr>
        <w:t xml:space="preserve"> </w:t>
      </w:r>
      <w:r>
        <w:rPr>
          <w:rFonts w:ascii="SimSun" w:hAnsi="SimSun" w:eastAsia="SimSun" w:cs="SimSun"/>
          <w:sz w:val="22"/>
          <w:szCs w:val="22"/>
          <w:spacing w:val="-8"/>
        </w:rPr>
        <w:t>年全球产生的数据量将达到</w:t>
      </w:r>
      <w:r>
        <w:rPr>
          <w:rFonts w:ascii="SimSun" w:hAnsi="SimSun" w:eastAsia="SimSun" w:cs="SimSun"/>
          <w:sz w:val="22"/>
          <w:szCs w:val="22"/>
        </w:rPr>
        <w:t xml:space="preserve"> </w:t>
      </w:r>
      <w:r>
        <w:rPr>
          <w:rFonts w:ascii="SimSun" w:hAnsi="SimSun" w:eastAsia="SimSun" w:cs="SimSun"/>
          <w:sz w:val="22"/>
          <w:szCs w:val="22"/>
          <w:spacing w:val="5"/>
        </w:rPr>
        <w:t>40</w:t>
      </w:r>
      <w:r>
        <w:rPr>
          <w:rFonts w:ascii="SimSun" w:hAnsi="SimSun" w:eastAsia="SimSun" w:cs="SimSun"/>
          <w:sz w:val="22"/>
          <w:szCs w:val="22"/>
        </w:rPr>
        <w:t>EB</w:t>
      </w:r>
      <w:r>
        <w:rPr>
          <w:rFonts w:ascii="SimSun" w:hAnsi="SimSun" w:eastAsia="SimSun" w:cs="SimSun"/>
          <w:sz w:val="22"/>
          <w:szCs w:val="22"/>
          <w:spacing w:val="5"/>
        </w:rPr>
        <w:t>,</w:t>
      </w:r>
      <w:r>
        <w:rPr>
          <w:rFonts w:ascii="SimSun" w:hAnsi="SimSun" w:eastAsia="SimSun" w:cs="SimSun"/>
          <w:sz w:val="22"/>
          <w:szCs w:val="22"/>
          <w:spacing w:val="38"/>
        </w:rPr>
        <w:t xml:space="preserve"> </w:t>
      </w:r>
      <w:r>
        <w:rPr>
          <w:rFonts w:ascii="SimSun" w:hAnsi="SimSun" w:eastAsia="SimSun" w:cs="SimSun"/>
          <w:sz w:val="22"/>
          <w:szCs w:val="22"/>
          <w:spacing w:val="5"/>
        </w:rPr>
        <w:t>是2008年的70倍、2011年的29倍，如图2-3所示。因而，数据</w:t>
      </w:r>
      <w:r>
        <w:rPr>
          <w:rFonts w:ascii="SimSun" w:hAnsi="SimSun" w:eastAsia="SimSun" w:cs="SimSun"/>
          <w:sz w:val="22"/>
          <w:szCs w:val="22"/>
          <w:spacing w:val="4"/>
        </w:rPr>
        <w:t>拥有巨大</w:t>
      </w:r>
      <w:r>
        <w:rPr>
          <w:rFonts w:ascii="SimSun" w:hAnsi="SimSun" w:eastAsia="SimSun" w:cs="SimSun"/>
          <w:sz w:val="22"/>
          <w:szCs w:val="22"/>
        </w:rPr>
        <w:t xml:space="preserve"> </w:t>
      </w:r>
      <w:r>
        <w:rPr>
          <w:rFonts w:ascii="SimSun" w:hAnsi="SimSun" w:eastAsia="SimSun" w:cs="SimSun"/>
          <w:sz w:val="22"/>
          <w:szCs w:val="22"/>
          <w:spacing w:val="-9"/>
        </w:rPr>
        <w:t>的体量是人们对大数据最直接、最直观的理解和认识。另一方面，人类接触到的数</w:t>
      </w:r>
      <w:r>
        <w:rPr>
          <w:rFonts w:ascii="SimSun" w:hAnsi="SimSun" w:eastAsia="SimSun" w:cs="SimSun"/>
          <w:sz w:val="22"/>
          <w:szCs w:val="22"/>
          <w:spacing w:val="12"/>
        </w:rPr>
        <w:t xml:space="preserve"> </w:t>
      </w:r>
      <w:r>
        <w:rPr>
          <w:rFonts w:ascii="SimSun" w:hAnsi="SimSun" w:eastAsia="SimSun" w:cs="SimSun"/>
          <w:sz w:val="22"/>
          <w:szCs w:val="22"/>
          <w:spacing w:val="-9"/>
        </w:rPr>
        <w:t>据的种类也在不断地增加。最初人们对数据</w:t>
      </w:r>
      <w:r>
        <w:rPr>
          <w:rFonts w:ascii="SimSun" w:hAnsi="SimSun" w:eastAsia="SimSun" w:cs="SimSun"/>
          <w:sz w:val="22"/>
          <w:szCs w:val="22"/>
          <w:spacing w:val="-10"/>
        </w:rPr>
        <w:t>的理解局限于可以表示成数字的数据，</w:t>
      </w:r>
      <w:r>
        <w:rPr>
          <w:rFonts w:ascii="SimSun" w:hAnsi="SimSun" w:eastAsia="SimSun" w:cs="SimSun"/>
          <w:sz w:val="22"/>
          <w:szCs w:val="22"/>
        </w:rPr>
        <w:t xml:space="preserve"> </w:t>
      </w:r>
      <w:r>
        <w:rPr>
          <w:rFonts w:ascii="SimSun" w:hAnsi="SimSun" w:eastAsia="SimSun" w:cs="SimSun"/>
          <w:sz w:val="22"/>
          <w:szCs w:val="22"/>
          <w:spacing w:val="-9"/>
        </w:rPr>
        <w:t>以结构化数据为主。而新技术的应用和生活方式的转变，人类处理的数据不再局限</w:t>
      </w:r>
      <w:r>
        <w:rPr>
          <w:rFonts w:ascii="SimSun" w:hAnsi="SimSun" w:eastAsia="SimSun" w:cs="SimSun"/>
          <w:sz w:val="22"/>
          <w:szCs w:val="22"/>
          <w:spacing w:val="14"/>
        </w:rPr>
        <w:t xml:space="preserve"> </w:t>
      </w:r>
      <w:r>
        <w:rPr>
          <w:rFonts w:ascii="SimSun" w:hAnsi="SimSun" w:eastAsia="SimSun" w:cs="SimSun"/>
          <w:sz w:val="22"/>
          <w:szCs w:val="22"/>
          <w:spacing w:val="-11"/>
        </w:rPr>
        <w:t>于结构化数据，而是将图片、邮件、文档、音频、视频等非结构化数据纳入其中。</w:t>
      </w:r>
    </w:p>
    <w:p>
      <w:pPr>
        <w:ind w:firstLine="799"/>
        <w:spacing w:before="99" w:line="3420" w:lineRule="exact"/>
        <w:rPr/>
      </w:pPr>
      <w:r>
        <w:rPr>
          <w:position w:val="-68"/>
        </w:rPr>
        <w:drawing>
          <wp:inline distT="0" distB="0" distL="0" distR="0">
            <wp:extent cx="4114842" cy="2171666"/>
            <wp:effectExtent l="0" t="0" r="0" b="0"/>
            <wp:docPr id="94" name="IM 94"/>
            <wp:cNvGraphicFramePr/>
            <a:graphic>
              <a:graphicData uri="http://schemas.openxmlformats.org/drawingml/2006/picture">
                <pic:pic>
                  <pic:nvPicPr>
                    <pic:cNvPr id="94" name="IM 94"/>
                    <pic:cNvPicPr/>
                  </pic:nvPicPr>
                  <pic:blipFill>
                    <a:blip r:embed="rId100"/>
                    <a:stretch>
                      <a:fillRect/>
                    </a:stretch>
                  </pic:blipFill>
                  <pic:spPr>
                    <a:xfrm rot="0">
                      <a:off x="0" y="0"/>
                      <a:ext cx="4114842" cy="2171666"/>
                    </a:xfrm>
                    <a:prstGeom prst="rect">
                      <a:avLst/>
                    </a:prstGeom>
                  </pic:spPr>
                </pic:pic>
              </a:graphicData>
            </a:graphic>
          </wp:inline>
        </w:drawing>
      </w:r>
    </w:p>
    <w:p>
      <w:pPr>
        <w:ind w:left="2912"/>
        <w:spacing w:before="134" w:line="222" w:lineRule="auto"/>
        <w:rPr>
          <w:rFonts w:ascii="SimHei" w:hAnsi="SimHei" w:eastAsia="SimHei" w:cs="SimHei"/>
          <w:sz w:val="22"/>
          <w:szCs w:val="22"/>
        </w:rPr>
      </w:pPr>
      <w:r>
        <w:rPr>
          <w:rFonts w:ascii="SimHei" w:hAnsi="SimHei" w:eastAsia="SimHei" w:cs="SimHei"/>
          <w:sz w:val="22"/>
          <w:szCs w:val="22"/>
          <w:b/>
          <w:bCs/>
          <w:spacing w:val="-18"/>
          <w:w w:val="93"/>
        </w:rPr>
        <w:t>图2-3</w:t>
      </w:r>
      <w:r>
        <w:rPr>
          <w:rFonts w:ascii="SimHei" w:hAnsi="SimHei" w:eastAsia="SimHei" w:cs="SimHei"/>
          <w:sz w:val="22"/>
          <w:szCs w:val="22"/>
          <w:spacing w:val="39"/>
        </w:rPr>
        <w:t xml:space="preserve"> </w:t>
      </w:r>
      <w:r>
        <w:rPr>
          <w:rFonts w:ascii="SimHei" w:hAnsi="SimHei" w:eastAsia="SimHei" w:cs="SimHei"/>
          <w:sz w:val="22"/>
          <w:szCs w:val="22"/>
          <w:b/>
          <w:bCs/>
          <w:spacing w:val="-18"/>
          <w:w w:val="93"/>
        </w:rPr>
        <w:t>全球产生的数据量变化</w:t>
      </w:r>
    </w:p>
    <w:p>
      <w:pPr>
        <w:ind w:left="723"/>
        <w:spacing w:before="193" w:line="224" w:lineRule="auto"/>
        <w:outlineLvl w:val="1"/>
        <w:rPr>
          <w:rFonts w:ascii="YouYuan" w:hAnsi="YouYuan" w:eastAsia="YouYuan" w:cs="YouYuan"/>
          <w:sz w:val="22"/>
          <w:szCs w:val="22"/>
        </w:rPr>
      </w:pPr>
      <w:r>
        <w:rPr>
          <w:rFonts w:ascii="YouYuan" w:hAnsi="YouYuan" w:eastAsia="YouYuan" w:cs="YouYuan"/>
          <w:sz w:val="22"/>
          <w:szCs w:val="22"/>
          <w:b/>
          <w:bCs/>
          <w:spacing w:val="-4"/>
        </w:rPr>
        <w:t>2.</w:t>
      </w:r>
      <w:r>
        <w:rPr>
          <w:rFonts w:ascii="YouYuan" w:hAnsi="YouYuan" w:eastAsia="YouYuan" w:cs="YouYuan"/>
          <w:sz w:val="22"/>
          <w:szCs w:val="22"/>
          <w:spacing w:val="-4"/>
        </w:rPr>
        <w:t xml:space="preserve"> </w:t>
      </w:r>
      <w:r>
        <w:rPr>
          <w:rFonts w:ascii="YouYuan" w:hAnsi="YouYuan" w:eastAsia="YouYuan" w:cs="YouYuan"/>
          <w:sz w:val="22"/>
          <w:szCs w:val="22"/>
          <w:b/>
          <w:bCs/>
          <w:spacing w:val="-4"/>
        </w:rPr>
        <w:t>种类多样性</w:t>
      </w:r>
    </w:p>
    <w:p>
      <w:pPr>
        <w:ind w:left="270" w:right="44" w:firstLine="450"/>
        <w:spacing w:before="201" w:line="256" w:lineRule="auto"/>
        <w:rPr>
          <w:rFonts w:ascii="SimSun" w:hAnsi="SimSun" w:eastAsia="SimSun" w:cs="SimSun"/>
          <w:sz w:val="22"/>
          <w:szCs w:val="22"/>
        </w:rPr>
      </w:pPr>
      <w:r>
        <w:rPr>
          <w:rFonts w:ascii="SimSun" w:hAnsi="SimSun" w:eastAsia="SimSun" w:cs="SimSun"/>
          <w:sz w:val="22"/>
          <w:szCs w:val="22"/>
          <w:spacing w:val="-8"/>
        </w:rPr>
        <w:t>随着传感器、智能设备以及社交协作技术的飞速发展，</w:t>
      </w:r>
      <w:r>
        <w:rPr>
          <w:rFonts w:ascii="SimSun" w:hAnsi="SimSun" w:eastAsia="SimSun" w:cs="SimSun"/>
          <w:sz w:val="22"/>
          <w:szCs w:val="22"/>
          <w:spacing w:val="-9"/>
        </w:rPr>
        <w:t>组织中的数据也变得更</w:t>
      </w:r>
      <w:r>
        <w:rPr>
          <w:rFonts w:ascii="SimSun" w:hAnsi="SimSun" w:eastAsia="SimSun" w:cs="SimSun"/>
          <w:sz w:val="22"/>
          <w:szCs w:val="22"/>
        </w:rPr>
        <w:t xml:space="preserve"> </w:t>
      </w:r>
      <w:r>
        <w:rPr>
          <w:rFonts w:ascii="SimSun" w:hAnsi="SimSun" w:eastAsia="SimSun" w:cs="SimSun"/>
          <w:sz w:val="22"/>
          <w:szCs w:val="22"/>
          <w:spacing w:val="-11"/>
        </w:rPr>
        <w:t>加复杂，因为它不仅包含传统的结构化数据，还包</w:t>
      </w:r>
      <w:r>
        <w:rPr>
          <w:rFonts w:ascii="SimSun" w:hAnsi="SimSun" w:eastAsia="SimSun" w:cs="SimSun"/>
          <w:sz w:val="22"/>
          <w:szCs w:val="22"/>
          <w:spacing w:val="-12"/>
        </w:rPr>
        <w:t>含来自网页、互联网日志文件(包</w:t>
      </w:r>
      <w:r>
        <w:rPr>
          <w:rFonts w:ascii="SimSun" w:hAnsi="SimSun" w:eastAsia="SimSun" w:cs="SimSun"/>
          <w:sz w:val="22"/>
          <w:szCs w:val="22"/>
        </w:rPr>
        <w:t xml:space="preserve"> </w:t>
      </w:r>
      <w:r>
        <w:rPr>
          <w:rFonts w:ascii="SimSun" w:hAnsi="SimSun" w:eastAsia="SimSun" w:cs="SimSun"/>
          <w:sz w:val="22"/>
          <w:szCs w:val="22"/>
          <w:spacing w:val="-11"/>
        </w:rPr>
        <w:t>括点击流数据)、搜索索引、社交媒体论坛、电子邮件、文档、主动和被动系统的传</w:t>
      </w:r>
      <w:r>
        <w:rPr>
          <w:rFonts w:ascii="SimSun" w:hAnsi="SimSun" w:eastAsia="SimSun" w:cs="SimSun"/>
          <w:sz w:val="22"/>
          <w:szCs w:val="22"/>
          <w:spacing w:val="6"/>
        </w:rPr>
        <w:t xml:space="preserve"> </w:t>
      </w:r>
      <w:r>
        <w:rPr>
          <w:rFonts w:ascii="SimSun" w:hAnsi="SimSun" w:eastAsia="SimSun" w:cs="SimSun"/>
          <w:sz w:val="22"/>
          <w:szCs w:val="22"/>
          <w:spacing w:val="-11"/>
        </w:rPr>
        <w:t>感器数据等原始、半结构化和非结构化数据。</w:t>
      </w:r>
    </w:p>
    <w:p>
      <w:pPr>
        <w:ind w:left="270" w:right="54" w:firstLine="450"/>
        <w:spacing w:before="39" w:line="252" w:lineRule="auto"/>
        <w:rPr>
          <w:rFonts w:ascii="SimSun" w:hAnsi="SimSun" w:eastAsia="SimSun" w:cs="SimSun"/>
          <w:sz w:val="22"/>
          <w:szCs w:val="22"/>
        </w:rPr>
      </w:pPr>
      <w:r>
        <w:rPr>
          <w:rFonts w:ascii="SimSun" w:hAnsi="SimSun" w:eastAsia="SimSun" w:cs="SimSun"/>
          <w:sz w:val="22"/>
          <w:szCs w:val="22"/>
          <w:spacing w:val="-9"/>
        </w:rPr>
        <w:t>在大数据时代，数据格式变得越来越多样，涵盖了文本、音频、图片、视频、</w:t>
      </w:r>
      <w:r>
        <w:rPr>
          <w:rFonts w:ascii="SimSun" w:hAnsi="SimSun" w:eastAsia="SimSun" w:cs="SimSun"/>
          <w:sz w:val="22"/>
          <w:szCs w:val="22"/>
          <w:spacing w:val="14"/>
        </w:rPr>
        <w:t xml:space="preserve"> </w:t>
      </w:r>
      <w:r>
        <w:rPr>
          <w:rFonts w:ascii="SimSun" w:hAnsi="SimSun" w:eastAsia="SimSun" w:cs="SimSun"/>
          <w:sz w:val="22"/>
          <w:szCs w:val="22"/>
          <w:spacing w:val="-9"/>
        </w:rPr>
        <w:t>模拟信号等不同的类型；数据来源也越来越多样，不仅产生于组织内部运作的各个</w:t>
      </w:r>
      <w:r>
        <w:rPr>
          <w:rFonts w:ascii="SimSun" w:hAnsi="SimSun" w:eastAsia="SimSun" w:cs="SimSun"/>
          <w:sz w:val="22"/>
          <w:szCs w:val="22"/>
          <w:spacing w:val="12"/>
        </w:rPr>
        <w:t xml:space="preserve"> </w:t>
      </w:r>
      <w:r>
        <w:rPr>
          <w:rFonts w:ascii="SimSun" w:hAnsi="SimSun" w:eastAsia="SimSun" w:cs="SimSun"/>
          <w:sz w:val="22"/>
          <w:szCs w:val="22"/>
          <w:spacing w:val="-10"/>
        </w:rPr>
        <w:t>环节，也来自于组织外部，甚至各型各色的组织。</w:t>
      </w:r>
    </w:p>
    <w:p>
      <w:pPr>
        <w:ind w:left="270" w:right="24" w:firstLine="450"/>
        <w:spacing w:before="21" w:line="260" w:lineRule="auto"/>
        <w:rPr>
          <w:rFonts w:ascii="SimSun" w:hAnsi="SimSun" w:eastAsia="SimSun" w:cs="SimSun"/>
          <w:sz w:val="22"/>
          <w:szCs w:val="22"/>
        </w:rPr>
      </w:pPr>
      <w:r>
        <w:rPr>
          <w:rFonts w:ascii="SimSun" w:hAnsi="SimSun" w:eastAsia="SimSun" w:cs="SimSun"/>
          <w:sz w:val="22"/>
          <w:szCs w:val="22"/>
          <w:spacing w:val="-11"/>
        </w:rPr>
        <w:t>例如，在交通领域，北京市交通智能化分析平台数据来自路网摄像头/传感器、</w:t>
      </w:r>
      <w:r>
        <w:rPr>
          <w:rFonts w:ascii="SimSun" w:hAnsi="SimSun" w:eastAsia="SimSun" w:cs="SimSun"/>
          <w:sz w:val="22"/>
          <w:szCs w:val="22"/>
          <w:spacing w:val="13"/>
        </w:rPr>
        <w:t xml:space="preserve"> </w:t>
      </w:r>
      <w:r>
        <w:rPr>
          <w:rFonts w:ascii="SimSun" w:hAnsi="SimSun" w:eastAsia="SimSun" w:cs="SimSun"/>
          <w:sz w:val="22"/>
          <w:szCs w:val="22"/>
          <w:spacing w:val="-13"/>
        </w:rPr>
        <w:t>公交、轨道交通、出租车以及省际客运、旅游、化危运输、停车、租车等运输行业，</w:t>
      </w:r>
      <w:r>
        <w:rPr>
          <w:rFonts w:ascii="SimSun" w:hAnsi="SimSun" w:eastAsia="SimSun" w:cs="SimSun"/>
          <w:sz w:val="22"/>
          <w:szCs w:val="22"/>
          <w:spacing w:val="10"/>
        </w:rPr>
        <w:t xml:space="preserve"> </w:t>
      </w:r>
      <w:r>
        <w:rPr>
          <w:rFonts w:ascii="SimSun" w:hAnsi="SimSun" w:eastAsia="SimSun" w:cs="SimSun"/>
          <w:sz w:val="22"/>
          <w:szCs w:val="22"/>
          <w:spacing w:val="-2"/>
        </w:rPr>
        <w:t>还有问卷调查和地理信息系统数据。4万辆浮动车每天产生2000万条记录29,交通</w:t>
      </w:r>
      <w:r>
        <w:rPr>
          <w:rFonts w:ascii="SimSun" w:hAnsi="SimSun" w:eastAsia="SimSun" w:cs="SimSun"/>
          <w:sz w:val="22"/>
          <w:szCs w:val="22"/>
          <w:spacing w:val="5"/>
        </w:rPr>
        <w:t xml:space="preserve"> </w:t>
      </w:r>
      <w:r>
        <w:rPr>
          <w:rFonts w:ascii="SimSun" w:hAnsi="SimSun" w:eastAsia="SimSun" w:cs="SimSun"/>
          <w:sz w:val="22"/>
          <w:szCs w:val="22"/>
          <w:spacing w:val="-5"/>
        </w:rPr>
        <w:t>卡刷卡记录每天1900万条，手机定位数据每天1800万条，出租车运营数据每天100</w:t>
      </w:r>
      <w:r>
        <w:rPr>
          <w:rFonts w:ascii="SimSun" w:hAnsi="SimSun" w:eastAsia="SimSun" w:cs="SimSun"/>
          <w:sz w:val="22"/>
          <w:szCs w:val="22"/>
          <w:spacing w:val="4"/>
        </w:rPr>
        <w:t xml:space="preserve"> </w:t>
      </w:r>
      <w:r>
        <w:rPr>
          <w:rFonts w:ascii="SimSun" w:hAnsi="SimSun" w:eastAsia="SimSun" w:cs="SimSun"/>
          <w:sz w:val="22"/>
          <w:szCs w:val="22"/>
          <w:spacing w:val="-5"/>
        </w:rPr>
        <w:t>万条，电子停车收费系统数据每天50万条，定期调查覆盖8万户家庭等，这些数据</w:t>
      </w:r>
      <w:r>
        <w:rPr>
          <w:rFonts w:ascii="SimSun" w:hAnsi="SimSun" w:eastAsia="SimSun" w:cs="SimSun"/>
          <w:sz w:val="22"/>
          <w:szCs w:val="22"/>
          <w:spacing w:val="6"/>
        </w:rPr>
        <w:t xml:space="preserve"> </w:t>
      </w:r>
      <w:r>
        <w:rPr>
          <w:rFonts w:ascii="SimSun" w:hAnsi="SimSun" w:eastAsia="SimSun" w:cs="SimSun"/>
          <w:sz w:val="22"/>
          <w:szCs w:val="22"/>
          <w:spacing w:val="-11"/>
        </w:rPr>
        <w:t>在体量和速度上都达到了大数据的规模。</w:t>
      </w:r>
    </w:p>
    <w:p>
      <w:pPr>
        <w:spacing w:before="39" w:line="219" w:lineRule="auto"/>
        <w:jc w:val="right"/>
        <w:rPr>
          <w:rFonts w:ascii="SimSun" w:hAnsi="SimSun" w:eastAsia="SimSun" w:cs="SimSun"/>
          <w:sz w:val="22"/>
          <w:szCs w:val="22"/>
        </w:rPr>
      </w:pPr>
      <w:r>
        <w:rPr>
          <w:rFonts w:ascii="SimSun" w:hAnsi="SimSun" w:eastAsia="SimSun" w:cs="SimSun"/>
          <w:sz w:val="22"/>
          <w:szCs w:val="22"/>
          <w:spacing w:val="-9"/>
        </w:rPr>
        <w:t>人们日常工作中接触的文件、照片、视频，都包含大量的数据，蕴含大量的信</w:t>
      </w:r>
    </w:p>
    <w:p>
      <w:pPr>
        <w:spacing w:line="219" w:lineRule="auto"/>
        <w:sectPr>
          <w:footerReference w:type="default" r:id="rId98"/>
          <w:pgSz w:w="8870" w:h="13400"/>
          <w:pgMar w:top="400" w:right="455" w:bottom="434" w:left="449" w:header="0" w:footer="216" w:gutter="0"/>
        </w:sectPr>
        <w:rPr>
          <w:rFonts w:ascii="SimSun" w:hAnsi="SimSun" w:eastAsia="SimSun" w:cs="SimSun"/>
          <w:sz w:val="22"/>
          <w:szCs w:val="22"/>
        </w:rPr>
      </w:pPr>
    </w:p>
    <w:p>
      <w:pPr>
        <w:ind w:left="4767"/>
        <w:spacing w:before="194" w:line="219" w:lineRule="auto"/>
        <w:rPr>
          <w:rFonts w:ascii="SimSun" w:hAnsi="SimSun" w:eastAsia="SimSun" w:cs="SimSun"/>
          <w:sz w:val="21"/>
          <w:szCs w:val="21"/>
        </w:rPr>
      </w:pPr>
      <w:bookmarkStart w:name="bookmark22" w:id="17"/>
      <w:bookmarkEnd w:id="17"/>
      <w:r>
        <w:rPr>
          <w:rFonts w:ascii="SimSun" w:hAnsi="SimSun" w:eastAsia="SimSun" w:cs="SimSun"/>
          <w:sz w:val="21"/>
          <w:szCs w:val="21"/>
          <w:b/>
          <w:bCs/>
          <w:spacing w:val="16"/>
        </w:rPr>
        <w:t>第2章-大数据与云端数据治理</w:t>
      </w:r>
    </w:p>
    <w:p>
      <w:pPr>
        <w:pStyle w:val="BodyText"/>
        <w:spacing w:line="254" w:lineRule="auto"/>
        <w:rPr/>
      </w:pPr>
      <w:r/>
    </w:p>
    <w:p>
      <w:pPr>
        <w:ind w:left="104" w:right="248"/>
        <w:spacing w:before="68" w:line="266" w:lineRule="auto"/>
        <w:jc w:val="both"/>
        <w:rPr>
          <w:rFonts w:ascii="SimSun" w:hAnsi="SimSun" w:eastAsia="SimSun" w:cs="SimSun"/>
          <w:sz w:val="21"/>
          <w:szCs w:val="21"/>
        </w:rPr>
      </w:pPr>
      <w:r>
        <w:rPr>
          <w:rFonts w:ascii="SimSun" w:hAnsi="SimSun" w:eastAsia="SimSun" w:cs="SimSun"/>
          <w:sz w:val="21"/>
          <w:szCs w:val="21"/>
          <w:spacing w:val="2"/>
        </w:rPr>
        <w:t>息。这一类数据有一个共同的特点，大小、内容、</w:t>
      </w:r>
      <w:r>
        <w:rPr>
          <w:rFonts w:ascii="SimSun" w:hAnsi="SimSun" w:eastAsia="SimSun" w:cs="SimSun"/>
          <w:sz w:val="21"/>
          <w:szCs w:val="21"/>
          <w:spacing w:val="1"/>
        </w:rPr>
        <w:t>格式和用途可能完全不一样。以</w:t>
      </w:r>
      <w:r>
        <w:rPr>
          <w:rFonts w:ascii="SimSun" w:hAnsi="SimSun" w:eastAsia="SimSun" w:cs="SimSun"/>
          <w:sz w:val="21"/>
          <w:szCs w:val="21"/>
        </w:rPr>
        <w:t xml:space="preserve"> </w:t>
      </w:r>
      <w:r>
        <w:rPr>
          <w:rFonts w:ascii="SimSun" w:hAnsi="SimSun" w:eastAsia="SimSun" w:cs="SimSun"/>
          <w:sz w:val="21"/>
          <w:szCs w:val="21"/>
        </w:rPr>
        <w:t>最常见的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Word</w:t>
      </w:r>
      <w:r>
        <w:rPr>
          <w:rFonts w:ascii="SimSun" w:hAnsi="SimSun" w:eastAsia="SimSun" w:cs="SimSun"/>
          <w:sz w:val="21"/>
          <w:szCs w:val="21"/>
        </w:rPr>
        <w:t>文档为例，最简单的</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Word </w:t>
      </w:r>
      <w:r>
        <w:rPr>
          <w:rFonts w:ascii="SimSun" w:hAnsi="SimSun" w:eastAsia="SimSun" w:cs="SimSun"/>
          <w:sz w:val="21"/>
          <w:szCs w:val="21"/>
          <w:spacing w:val="-1"/>
        </w:rPr>
        <w:t>文档可能只有寥寥几行文字，但也可以混</w:t>
      </w:r>
      <w:r>
        <w:rPr>
          <w:rFonts w:ascii="SimSun" w:hAnsi="SimSun" w:eastAsia="SimSun" w:cs="SimSun"/>
          <w:sz w:val="21"/>
          <w:szCs w:val="21"/>
        </w:rPr>
        <w:t xml:space="preserve"> </w:t>
      </w:r>
      <w:r>
        <w:rPr>
          <w:rFonts w:ascii="SimSun" w:hAnsi="SimSun" w:eastAsia="SimSun" w:cs="SimSun"/>
          <w:sz w:val="21"/>
          <w:szCs w:val="21"/>
          <w:spacing w:val="1"/>
        </w:rPr>
        <w:t>合编辑图片、音乐等内容，成为一份多媒体的文件，来增强文章的感染力。这类数</w:t>
      </w:r>
      <w:r>
        <w:rPr>
          <w:rFonts w:ascii="SimSun" w:hAnsi="SimSun" w:eastAsia="SimSun" w:cs="SimSun"/>
          <w:sz w:val="21"/>
          <w:szCs w:val="21"/>
          <w:spacing w:val="12"/>
        </w:rPr>
        <w:t xml:space="preserve"> </w:t>
      </w:r>
      <w:r>
        <w:rPr>
          <w:rFonts w:ascii="SimSun" w:hAnsi="SimSun" w:eastAsia="SimSun" w:cs="SimSun"/>
          <w:sz w:val="21"/>
          <w:szCs w:val="21"/>
          <w:spacing w:val="-3"/>
        </w:rPr>
        <w:t>据通常称为非结构化数据。</w:t>
      </w:r>
    </w:p>
    <w:p>
      <w:pPr>
        <w:ind w:left="105" w:right="182" w:firstLine="419"/>
        <w:spacing w:before="78" w:line="253" w:lineRule="auto"/>
        <w:jc w:val="both"/>
        <w:rPr>
          <w:rFonts w:ascii="SimSun" w:hAnsi="SimSun" w:eastAsia="SimSun" w:cs="SimSun"/>
          <w:sz w:val="21"/>
          <w:szCs w:val="21"/>
        </w:rPr>
      </w:pPr>
      <w:r>
        <w:rPr>
          <w:rFonts w:ascii="SimSun" w:hAnsi="SimSun" w:eastAsia="SimSun" w:cs="SimSun"/>
          <w:sz w:val="21"/>
          <w:szCs w:val="21"/>
          <w:spacing w:val="1"/>
        </w:rPr>
        <w:t>但不幸的是，企业中和人们日常接触到的数据绝大部分都是非结构化的。有的 </w:t>
      </w:r>
      <w:r>
        <w:rPr>
          <w:rFonts w:ascii="SimSun" w:hAnsi="SimSun" w:eastAsia="SimSun" w:cs="SimSun"/>
          <w:sz w:val="21"/>
          <w:szCs w:val="21"/>
          <w:spacing w:val="11"/>
        </w:rPr>
        <w:t>咨询机构认为非结构化数据占企业总数据量的80%(也有机构认为占95%),总之，</w:t>
      </w:r>
      <w:r>
        <w:rPr>
          <w:rFonts w:ascii="SimSun" w:hAnsi="SimSun" w:eastAsia="SimSun" w:cs="SimSun"/>
          <w:sz w:val="21"/>
          <w:szCs w:val="21"/>
          <w:spacing w:val="9"/>
        </w:rPr>
        <w:t xml:space="preserve"> </w:t>
      </w:r>
      <w:r>
        <w:rPr>
          <w:rFonts w:ascii="SimSun" w:hAnsi="SimSun" w:eastAsia="SimSun" w:cs="SimSun"/>
          <w:sz w:val="21"/>
          <w:szCs w:val="21"/>
          <w:spacing w:val="2"/>
        </w:rPr>
        <w:t>没有一个权威、准确的统计。如何像处理结构化数据那样方便、快捷地处理非结构</w:t>
      </w:r>
      <w:r>
        <w:rPr>
          <w:rFonts w:ascii="SimSun" w:hAnsi="SimSun" w:eastAsia="SimSun" w:cs="SimSun"/>
          <w:sz w:val="21"/>
          <w:szCs w:val="21"/>
        </w:rPr>
        <w:t xml:space="preserve"> </w:t>
      </w:r>
      <w:r>
        <w:rPr>
          <w:rFonts w:ascii="SimSun" w:hAnsi="SimSun" w:eastAsia="SimSun" w:cs="SimSun"/>
          <w:sz w:val="21"/>
          <w:szCs w:val="21"/>
          <w:spacing w:val="-1"/>
        </w:rPr>
        <w:t>化数据，是信息产业一直以来的努力方向之一。</w:t>
      </w:r>
    </w:p>
    <w:p>
      <w:pPr>
        <w:ind w:left="527"/>
        <w:spacing w:before="213" w:line="222" w:lineRule="auto"/>
        <w:outlineLvl w:val="1"/>
        <w:rPr>
          <w:rFonts w:ascii="YouYuan" w:hAnsi="YouYuan" w:eastAsia="YouYuan" w:cs="YouYuan"/>
          <w:sz w:val="21"/>
          <w:szCs w:val="21"/>
        </w:rPr>
      </w:pPr>
      <w:r>
        <w:rPr>
          <w:rFonts w:ascii="YouYuan" w:hAnsi="YouYuan" w:eastAsia="YouYuan" w:cs="YouYuan"/>
          <w:sz w:val="21"/>
          <w:szCs w:val="21"/>
          <w:b/>
          <w:bCs/>
          <w:spacing w:val="4"/>
        </w:rPr>
        <w:t>3.</w:t>
      </w:r>
      <w:r>
        <w:rPr>
          <w:rFonts w:ascii="YouYuan" w:hAnsi="YouYuan" w:eastAsia="YouYuan" w:cs="YouYuan"/>
          <w:sz w:val="21"/>
          <w:szCs w:val="21"/>
          <w:spacing w:val="17"/>
        </w:rPr>
        <w:t xml:space="preserve"> </w:t>
      </w:r>
      <w:r>
        <w:rPr>
          <w:rFonts w:ascii="YouYuan" w:hAnsi="YouYuan" w:eastAsia="YouYuan" w:cs="YouYuan"/>
          <w:sz w:val="21"/>
          <w:szCs w:val="21"/>
          <w:b/>
          <w:bCs/>
          <w:spacing w:val="4"/>
        </w:rPr>
        <w:t>处理速度快</w:t>
      </w:r>
    </w:p>
    <w:p>
      <w:pPr>
        <w:ind w:right="182" w:firstLine="524"/>
        <w:spacing w:before="227" w:line="270" w:lineRule="auto"/>
        <w:rPr>
          <w:rFonts w:ascii="SimSun" w:hAnsi="SimSun" w:eastAsia="SimSun" w:cs="SimSun"/>
          <w:sz w:val="21"/>
          <w:szCs w:val="21"/>
        </w:rPr>
      </w:pPr>
      <w:r>
        <w:rPr>
          <w:rFonts w:ascii="SimSun" w:hAnsi="SimSun" w:eastAsia="SimSun" w:cs="SimSun"/>
          <w:sz w:val="21"/>
          <w:szCs w:val="21"/>
          <w:spacing w:val="1"/>
        </w:rPr>
        <w:t>在大数据时代，效率就成了大数据发挥应用价值的重要途径。面对体量庞大且 </w:t>
      </w:r>
      <w:r>
        <w:rPr>
          <w:rFonts w:ascii="SimSun" w:hAnsi="SimSun" w:eastAsia="SimSun" w:cs="SimSun"/>
          <w:sz w:val="21"/>
          <w:szCs w:val="21"/>
          <w:spacing w:val="4"/>
        </w:rPr>
        <w:t>结构十分复杂的数据，如何快速准确地处理、分析，提取有价值的信息，</w:t>
      </w:r>
      <w:r>
        <w:rPr>
          <w:rFonts w:ascii="SimSun" w:hAnsi="SimSun" w:eastAsia="SimSun" w:cs="SimSun"/>
          <w:sz w:val="21"/>
          <w:szCs w:val="21"/>
          <w:spacing w:val="3"/>
        </w:rPr>
        <w:t>是应用大 </w:t>
      </w:r>
      <w:r>
        <w:rPr>
          <w:rFonts w:ascii="SimSun" w:hAnsi="SimSun" w:eastAsia="SimSun" w:cs="SimSun"/>
          <w:sz w:val="21"/>
          <w:szCs w:val="21"/>
          <w:spacing w:val="4"/>
        </w:rPr>
        <w:t>数据的必然之路。而究竟多快才能算快，这是一个相对的概念。举个例子</w:t>
      </w:r>
      <w:r>
        <w:rPr>
          <w:rFonts w:ascii="SimSun" w:hAnsi="SimSun" w:eastAsia="SimSun" w:cs="SimSun"/>
          <w:sz w:val="21"/>
          <w:szCs w:val="21"/>
          <w:spacing w:val="3"/>
        </w:rPr>
        <w:t>，对于谷 </w:t>
      </w:r>
      <w:r>
        <w:rPr>
          <w:rFonts w:ascii="SimSun" w:hAnsi="SimSun" w:eastAsia="SimSun" w:cs="SimSun"/>
          <w:sz w:val="21"/>
          <w:szCs w:val="21"/>
          <w:spacing w:val="7"/>
        </w:rPr>
        <w:t>歌来说，必须要在1秒之内完成搜索任务，而搜索结果还必</w:t>
      </w:r>
      <w:r>
        <w:rPr>
          <w:rFonts w:ascii="SimSun" w:hAnsi="SimSun" w:eastAsia="SimSun" w:cs="SimSun"/>
          <w:sz w:val="21"/>
          <w:szCs w:val="21"/>
          <w:spacing w:val="6"/>
        </w:rPr>
        <w:t>须尽可能地满足搜索者 </w:t>
      </w:r>
      <w:r>
        <w:rPr>
          <w:rFonts w:ascii="SimSun" w:hAnsi="SimSun" w:eastAsia="SimSun" w:cs="SimSun"/>
          <w:sz w:val="21"/>
          <w:szCs w:val="21"/>
          <w:spacing w:val="1"/>
        </w:rPr>
        <w:t>的需求130]。谷歌等于为大数据搜索应用确立了一个标杆，因为超过1秒钟的数据</w:t>
      </w:r>
      <w:r>
        <w:rPr>
          <w:rFonts w:ascii="SimSun" w:hAnsi="SimSun" w:eastAsia="SimSun" w:cs="SimSun"/>
          <w:sz w:val="21"/>
          <w:szCs w:val="21"/>
        </w:rPr>
        <w:t>搜 </w:t>
      </w:r>
      <w:r>
        <w:rPr>
          <w:rFonts w:ascii="SimSun" w:hAnsi="SimSun" w:eastAsia="SimSun" w:cs="SimSun"/>
          <w:sz w:val="21"/>
          <w:szCs w:val="21"/>
          <w:spacing w:val="4"/>
        </w:rPr>
        <w:t>索应用，会给用户带来不良的使用体验。甚至在某些情况下，如果应用速</w:t>
      </w:r>
      <w:r>
        <w:rPr>
          <w:rFonts w:ascii="SimSun" w:hAnsi="SimSun" w:eastAsia="SimSun" w:cs="SimSun"/>
          <w:sz w:val="21"/>
          <w:szCs w:val="21"/>
          <w:spacing w:val="3"/>
        </w:rPr>
        <w:t>度达不到 </w:t>
      </w:r>
      <w:r>
        <w:rPr>
          <w:rFonts w:ascii="SimSun" w:hAnsi="SimSun" w:eastAsia="SimSun" w:cs="SimSun"/>
          <w:sz w:val="21"/>
          <w:szCs w:val="21"/>
        </w:rPr>
        <w:t>“秒”级，其获得的结果可能会与目标大相径庭。以信息化背景下的军事战争为例， </w:t>
      </w:r>
      <w:r>
        <w:rPr>
          <w:rFonts w:ascii="SimSun" w:hAnsi="SimSun" w:eastAsia="SimSun" w:cs="SimSun"/>
          <w:sz w:val="21"/>
          <w:szCs w:val="21"/>
          <w:spacing w:val="4"/>
        </w:rPr>
        <w:t>战场数据集成是大数据技术军事领域运用的关键，随着云计算、通信、媒</w:t>
      </w:r>
      <w:r>
        <w:rPr>
          <w:rFonts w:ascii="SimSun" w:hAnsi="SimSun" w:eastAsia="SimSun" w:cs="SimSun"/>
          <w:sz w:val="21"/>
          <w:szCs w:val="21"/>
          <w:spacing w:val="3"/>
        </w:rPr>
        <w:t>体和移动 </w:t>
      </w:r>
      <w:r>
        <w:rPr>
          <w:rFonts w:ascii="SimSun" w:hAnsi="SimSun" w:eastAsia="SimSun" w:cs="SimSun"/>
          <w:sz w:val="21"/>
          <w:szCs w:val="21"/>
          <w:spacing w:val="-1"/>
        </w:rPr>
        <w:t>计算的快速发展和深入应用，战场的数据量还将快速增长。在一场空中战斗中，</w:t>
      </w:r>
      <w:r>
        <w:rPr>
          <w:rFonts w:ascii="SimSun" w:hAnsi="SimSun" w:eastAsia="SimSun" w:cs="SimSun"/>
          <w:sz w:val="21"/>
          <w:szCs w:val="21"/>
          <w:spacing w:val="75"/>
        </w:rPr>
        <w:t xml:space="preserve"> </w:t>
      </w:r>
      <w:r>
        <w:rPr>
          <w:rFonts w:ascii="SimSun" w:hAnsi="SimSun" w:eastAsia="SimSun" w:cs="SimSun"/>
          <w:sz w:val="21"/>
          <w:szCs w:val="21"/>
          <w:spacing w:val="-1"/>
        </w:rPr>
        <w:t>一 </w:t>
      </w:r>
      <w:r>
        <w:rPr>
          <w:rFonts w:ascii="SimSun" w:hAnsi="SimSun" w:eastAsia="SimSun" w:cs="SimSun"/>
          <w:sz w:val="21"/>
          <w:szCs w:val="21"/>
        </w:rPr>
        <w:t>方如果能够从对方战术布置中及时破译信息，并及时通知到正在执行任务的飞行员，</w:t>
      </w:r>
      <w:r>
        <w:rPr>
          <w:rFonts w:ascii="SimSun" w:hAnsi="SimSun" w:eastAsia="SimSun" w:cs="SimSun"/>
          <w:sz w:val="21"/>
          <w:szCs w:val="21"/>
          <w:spacing w:val="18"/>
        </w:rPr>
        <w:t xml:space="preserve"> </w:t>
      </w:r>
      <w:r>
        <w:rPr>
          <w:rFonts w:ascii="SimSun" w:hAnsi="SimSun" w:eastAsia="SimSun" w:cs="SimSun"/>
          <w:sz w:val="21"/>
          <w:szCs w:val="21"/>
          <w:spacing w:val="4"/>
        </w:rPr>
        <w:t>可能会让他及时调整策略，从而出其不意地将对方歼灭。再举一个信用卡</w:t>
      </w:r>
      <w:r>
        <w:rPr>
          <w:rFonts w:ascii="SimSun" w:hAnsi="SimSun" w:eastAsia="SimSun" w:cs="SimSun"/>
          <w:sz w:val="21"/>
          <w:szCs w:val="21"/>
          <w:spacing w:val="3"/>
        </w:rPr>
        <w:t>消费提醒 </w:t>
      </w:r>
      <w:r>
        <w:rPr>
          <w:rFonts w:ascii="SimSun" w:hAnsi="SimSun" w:eastAsia="SimSun" w:cs="SimSun"/>
          <w:sz w:val="21"/>
          <w:szCs w:val="21"/>
          <w:spacing w:val="-1"/>
        </w:rPr>
        <w:t>的例子：当用户刷卡消费的同时，</w:t>
      </w:r>
      <w:r>
        <w:rPr>
          <w:rFonts w:ascii="SimSun" w:hAnsi="SimSun" w:eastAsia="SimSun" w:cs="SimSun"/>
          <w:sz w:val="21"/>
          <w:szCs w:val="21"/>
          <w:spacing w:val="75"/>
        </w:rPr>
        <w:t xml:space="preserve"> </w:t>
      </w:r>
      <w:r>
        <w:rPr>
          <w:rFonts w:ascii="SimSun" w:hAnsi="SimSun" w:eastAsia="SimSun" w:cs="SimSun"/>
          <w:sz w:val="21"/>
          <w:szCs w:val="21"/>
          <w:spacing w:val="-1"/>
        </w:rPr>
        <w:t>一般会收到银行的提示短信，会感到很安全，也 </w:t>
      </w:r>
      <w:r>
        <w:rPr>
          <w:rFonts w:ascii="SimSun" w:hAnsi="SimSun" w:eastAsia="SimSun" w:cs="SimSun"/>
          <w:sz w:val="21"/>
          <w:szCs w:val="21"/>
          <w:spacing w:val="3"/>
        </w:rPr>
        <w:t>不会认为被打扰，因为当时正在处理跟消费支付相关的事情。如果过了几个小时，</w:t>
      </w:r>
      <w:r>
        <w:rPr>
          <w:rFonts w:ascii="SimSun" w:hAnsi="SimSun" w:eastAsia="SimSun" w:cs="SimSun"/>
          <w:sz w:val="21"/>
          <w:szCs w:val="21"/>
        </w:rPr>
        <w:t xml:space="preserve">  </w:t>
      </w:r>
      <w:r>
        <w:rPr>
          <w:rFonts w:ascii="SimSun" w:hAnsi="SimSun" w:eastAsia="SimSun" w:cs="SimSun"/>
          <w:sz w:val="21"/>
          <w:szCs w:val="21"/>
          <w:spacing w:val="4"/>
        </w:rPr>
        <w:t>才收到相同内容的短信，情况就不同了，用户也许正在跟朋友聊天，也许</w:t>
      </w:r>
      <w:r>
        <w:rPr>
          <w:rFonts w:ascii="SimSun" w:hAnsi="SimSun" w:eastAsia="SimSun" w:cs="SimSun"/>
          <w:sz w:val="21"/>
          <w:szCs w:val="21"/>
          <w:spacing w:val="3"/>
        </w:rPr>
        <w:t>正在写一 </w:t>
      </w:r>
      <w:r>
        <w:rPr>
          <w:rFonts w:ascii="SimSun" w:hAnsi="SimSun" w:eastAsia="SimSun" w:cs="SimSun"/>
          <w:sz w:val="21"/>
          <w:szCs w:val="21"/>
          <w:spacing w:val="4"/>
        </w:rPr>
        <w:t>篇文章，这条短信就成了打扰用户的垃圾信息，客户体验的好坏就在这短</w:t>
      </w:r>
      <w:r>
        <w:rPr>
          <w:rFonts w:ascii="SimSun" w:hAnsi="SimSun" w:eastAsia="SimSun" w:cs="SimSun"/>
          <w:sz w:val="21"/>
          <w:szCs w:val="21"/>
          <w:spacing w:val="3"/>
        </w:rPr>
        <w:t>短的分秒 </w:t>
      </w:r>
      <w:r>
        <w:rPr>
          <w:rFonts w:ascii="SimSun" w:hAnsi="SimSun" w:eastAsia="SimSun" w:cs="SimSun"/>
          <w:sz w:val="21"/>
          <w:szCs w:val="21"/>
          <w:spacing w:val="21"/>
        </w:rPr>
        <w:t>之间。</w:t>
      </w:r>
    </w:p>
    <w:p>
      <w:pPr>
        <w:ind w:left="527"/>
        <w:spacing w:before="239" w:line="225" w:lineRule="auto"/>
        <w:outlineLvl w:val="1"/>
        <w:rPr>
          <w:rFonts w:ascii="YouYuan" w:hAnsi="YouYuan" w:eastAsia="YouYuan" w:cs="YouYuan"/>
          <w:sz w:val="21"/>
          <w:szCs w:val="21"/>
        </w:rPr>
      </w:pPr>
      <w:r>
        <w:rPr>
          <w:rFonts w:ascii="YouYuan" w:hAnsi="YouYuan" w:eastAsia="YouYuan" w:cs="YouYuan"/>
          <w:sz w:val="21"/>
          <w:szCs w:val="21"/>
          <w:b/>
          <w:bCs/>
          <w:spacing w:val="3"/>
        </w:rPr>
        <w:t>4.</w:t>
      </w:r>
      <w:r>
        <w:rPr>
          <w:rFonts w:ascii="YouYuan" w:hAnsi="YouYuan" w:eastAsia="YouYuan" w:cs="YouYuan"/>
          <w:sz w:val="21"/>
          <w:szCs w:val="21"/>
          <w:spacing w:val="3"/>
        </w:rPr>
        <w:t xml:space="preserve"> </w:t>
      </w:r>
      <w:r>
        <w:rPr>
          <w:rFonts w:ascii="YouYuan" w:hAnsi="YouYuan" w:eastAsia="YouYuan" w:cs="YouYuan"/>
          <w:sz w:val="21"/>
          <w:szCs w:val="21"/>
          <w:b/>
          <w:bCs/>
          <w:spacing w:val="3"/>
        </w:rPr>
        <w:t>价值密度低</w:t>
      </w:r>
    </w:p>
    <w:p>
      <w:pPr>
        <w:ind w:left="105" w:right="182" w:firstLine="419"/>
        <w:spacing w:before="247" w:line="255" w:lineRule="auto"/>
        <w:jc w:val="both"/>
        <w:rPr>
          <w:rFonts w:ascii="SimSun" w:hAnsi="SimSun" w:eastAsia="SimSun" w:cs="SimSun"/>
          <w:sz w:val="21"/>
          <w:szCs w:val="21"/>
        </w:rPr>
      </w:pPr>
      <w:r>
        <w:rPr>
          <w:rFonts w:ascii="SimSun" w:hAnsi="SimSun" w:eastAsia="SimSun" w:cs="SimSun"/>
          <w:sz w:val="21"/>
          <w:szCs w:val="21"/>
          <w:spacing w:val="-3"/>
        </w:rPr>
        <w:t>大数据最宝贵之处就在于它蕴藏着巨大的价值，但往往会被淹没在数据大海中，</w:t>
      </w:r>
      <w:r>
        <w:rPr>
          <w:rFonts w:ascii="SimSun" w:hAnsi="SimSun" w:eastAsia="SimSun" w:cs="SimSun"/>
          <w:sz w:val="21"/>
          <w:szCs w:val="21"/>
          <w:spacing w:val="18"/>
        </w:rPr>
        <w:t xml:space="preserve"> </w:t>
      </w:r>
      <w:r>
        <w:rPr>
          <w:rFonts w:ascii="SimSun" w:hAnsi="SimSun" w:eastAsia="SimSun" w:cs="SimSun"/>
          <w:sz w:val="21"/>
          <w:szCs w:val="21"/>
          <w:spacing w:val="1"/>
        </w:rPr>
        <w:t>就像钻石藏身于一堆废石之中，只有挖掘才能发现最耀眼的结果。价值密度低指的 </w:t>
      </w:r>
      <w:r>
        <w:rPr>
          <w:rFonts w:ascii="SimSun" w:hAnsi="SimSun" w:eastAsia="SimSun" w:cs="SimSun"/>
          <w:sz w:val="21"/>
          <w:szCs w:val="21"/>
          <w:spacing w:val="1"/>
        </w:rPr>
        <w:t>就是从海量价值密度低的数据中挖掘出具有高价值的数据的大数据特点。这一特性 </w:t>
      </w:r>
      <w:r>
        <w:rPr>
          <w:rFonts w:ascii="SimSun" w:hAnsi="SimSun" w:eastAsia="SimSun" w:cs="SimSun"/>
          <w:sz w:val="21"/>
          <w:szCs w:val="21"/>
          <w:spacing w:val="1"/>
        </w:rPr>
        <w:t>突出表现了大数据的本质是获取数据价值，更多时候体现在商业价值，即如何有效 </w:t>
      </w:r>
      <w:r>
        <w:rPr>
          <w:rFonts w:ascii="SimSun" w:hAnsi="SimSun" w:eastAsia="SimSun" w:cs="SimSun"/>
          <w:sz w:val="21"/>
          <w:szCs w:val="21"/>
          <w:spacing w:val="-3"/>
        </w:rPr>
        <w:t>利用好这些数据获取更大的收益。</w:t>
      </w:r>
    </w:p>
    <w:p>
      <w:pPr>
        <w:ind w:left="104" w:right="235" w:firstLine="419"/>
        <w:spacing w:before="92" w:line="260" w:lineRule="auto"/>
        <w:jc w:val="both"/>
        <w:rPr>
          <w:rFonts w:ascii="SimSun" w:hAnsi="SimSun" w:eastAsia="SimSun" w:cs="SimSun"/>
          <w:sz w:val="21"/>
          <w:szCs w:val="21"/>
        </w:rPr>
      </w:pPr>
      <w:r>
        <w:rPr>
          <w:rFonts w:ascii="SimSun" w:hAnsi="SimSun" w:eastAsia="SimSun" w:cs="SimSun"/>
          <w:sz w:val="21"/>
          <w:szCs w:val="21"/>
          <w:spacing w:val="1"/>
        </w:rPr>
        <w:t>举个视频监控的例子：在银行、地铁等一些敏感的部门或者地点，摄像头都是</w:t>
      </w:r>
      <w:r>
        <w:rPr>
          <w:rFonts w:ascii="SimSun" w:hAnsi="SimSun" w:eastAsia="SimSun" w:cs="SimSun"/>
          <w:sz w:val="21"/>
          <w:szCs w:val="21"/>
          <w:spacing w:val="15"/>
        </w:rPr>
        <w:t xml:space="preserve"> </w:t>
      </w:r>
      <w:r>
        <w:rPr>
          <w:rFonts w:ascii="SimSun" w:hAnsi="SimSun" w:eastAsia="SimSun" w:cs="SimSun"/>
          <w:sz w:val="21"/>
          <w:szCs w:val="21"/>
          <w:spacing w:val="-2"/>
        </w:rPr>
        <w:t>24小时运转的，这会产生大量视频数据。</w:t>
      </w:r>
      <w:r>
        <w:rPr>
          <w:rFonts w:ascii="SimSun" w:hAnsi="SimSun" w:eastAsia="SimSun" w:cs="SimSun"/>
          <w:sz w:val="21"/>
          <w:szCs w:val="21"/>
          <w:spacing w:val="44"/>
        </w:rPr>
        <w:t xml:space="preserve"> </w:t>
      </w:r>
      <w:r>
        <w:rPr>
          <w:rFonts w:ascii="SimSun" w:hAnsi="SimSun" w:eastAsia="SimSun" w:cs="SimSun"/>
          <w:sz w:val="21"/>
          <w:szCs w:val="21"/>
          <w:spacing w:val="-2"/>
        </w:rPr>
        <w:t>一般情况下，这些视频数</w:t>
      </w:r>
      <w:r>
        <w:rPr>
          <w:rFonts w:ascii="SimSun" w:hAnsi="SimSun" w:eastAsia="SimSun" w:cs="SimSun"/>
          <w:sz w:val="21"/>
          <w:szCs w:val="21"/>
          <w:spacing w:val="-3"/>
        </w:rPr>
        <w:t>据非常枯燥、乏</w:t>
      </w:r>
      <w:r>
        <w:rPr>
          <w:rFonts w:ascii="SimSun" w:hAnsi="SimSun" w:eastAsia="SimSun" w:cs="SimSun"/>
          <w:sz w:val="21"/>
          <w:szCs w:val="21"/>
        </w:rPr>
        <w:t xml:space="preserve"> </w:t>
      </w:r>
      <w:r>
        <w:rPr>
          <w:rFonts w:ascii="SimSun" w:hAnsi="SimSun" w:eastAsia="SimSun" w:cs="SimSun"/>
          <w:sz w:val="21"/>
          <w:szCs w:val="21"/>
          <w:spacing w:val="2"/>
        </w:rPr>
        <w:t>味，并不会引人注目。但是如果恰巧拍到有图谋不轨的人，那么这一帧图像对公安</w:t>
      </w:r>
    </w:p>
    <w:p>
      <w:pPr>
        <w:spacing w:line="260" w:lineRule="auto"/>
        <w:sectPr>
          <w:footerReference w:type="default" r:id="rId101"/>
          <w:pgSz w:w="8870" w:h="13400"/>
          <w:pgMar w:top="400" w:right="572" w:bottom="548" w:left="325" w:header="0" w:footer="338" w:gutter="0"/>
        </w:sectPr>
        <w:rPr>
          <w:rFonts w:ascii="SimSun" w:hAnsi="SimSun" w:eastAsia="SimSun" w:cs="SimSun"/>
          <w:sz w:val="21"/>
          <w:szCs w:val="21"/>
        </w:rPr>
      </w:pPr>
    </w:p>
    <w:p>
      <w:pPr>
        <w:ind w:left="202"/>
        <w:spacing w:before="276" w:line="219" w:lineRule="auto"/>
        <w:rPr>
          <w:rFonts w:ascii="SimSun" w:hAnsi="SimSun" w:eastAsia="SimSun" w:cs="SimSun"/>
          <w:sz w:val="22"/>
          <w:szCs w:val="22"/>
        </w:rPr>
      </w:pPr>
      <w:r>
        <w:pict>
          <v:rect id="_x0000_s230" style="position:absolute;margin-left:27.9982pt;margin-top:30.4984pt;mso-position-vertical-relative:page;mso-position-horizontal-relative:page;width:0.55pt;height:17.55pt;z-index:252250112;" o:allowincell="f" fillcolor="#000000" filled="true" stroked="false"/>
        </w:pict>
      </w:r>
      <w:r>
        <w:rPr>
          <w:rFonts w:ascii="SimSun" w:hAnsi="SimSun" w:eastAsia="SimSun" w:cs="SimSun"/>
          <w:sz w:val="22"/>
          <w:szCs w:val="22"/>
          <w:b/>
          <w:bCs/>
          <w:spacing w:val="-29"/>
          <w:w w:val="97"/>
        </w:rPr>
        <w:t>■云端数据治理■</w:t>
      </w:r>
    </w:p>
    <w:p>
      <w:pPr>
        <w:pStyle w:val="BodyText"/>
        <w:spacing w:line="265" w:lineRule="auto"/>
        <w:rPr/>
      </w:pPr>
      <w:r/>
    </w:p>
    <w:p>
      <w:pPr>
        <w:ind w:left="200" w:right="80"/>
        <w:spacing w:before="71" w:line="244" w:lineRule="auto"/>
        <w:rPr>
          <w:rFonts w:ascii="SimSun" w:hAnsi="SimSun" w:eastAsia="SimSun" w:cs="SimSun"/>
          <w:sz w:val="22"/>
          <w:szCs w:val="22"/>
        </w:rPr>
      </w:pPr>
      <w:r>
        <w:rPr>
          <w:rFonts w:ascii="SimSun" w:hAnsi="SimSun" w:eastAsia="SimSun" w:cs="SimSun"/>
          <w:sz w:val="22"/>
          <w:szCs w:val="22"/>
          <w:spacing w:val="-9"/>
        </w:rPr>
        <w:t>人员来讲，就是非常有价值的了。问题是我们无法在事前知道哪一帧会有用，只好</w:t>
      </w:r>
      <w:r>
        <w:rPr>
          <w:rFonts w:ascii="SimSun" w:hAnsi="SimSun" w:eastAsia="SimSun" w:cs="SimSun"/>
          <w:sz w:val="22"/>
          <w:szCs w:val="22"/>
          <w:spacing w:val="11"/>
        </w:rPr>
        <w:t xml:space="preserve"> </w:t>
      </w:r>
      <w:r>
        <w:rPr>
          <w:rFonts w:ascii="SimSun" w:hAnsi="SimSun" w:eastAsia="SimSun" w:cs="SimSun"/>
          <w:sz w:val="22"/>
          <w:szCs w:val="22"/>
          <w:spacing w:val="-9"/>
        </w:rPr>
        <w:t>把所有的视频数据都保存下来，甚至保存了一年的数据，只有那一秒对破案有用。</w:t>
      </w:r>
      <w:r>
        <w:rPr>
          <w:rFonts w:ascii="SimSun" w:hAnsi="SimSun" w:eastAsia="SimSun" w:cs="SimSun"/>
          <w:sz w:val="22"/>
          <w:szCs w:val="22"/>
          <w:spacing w:val="2"/>
        </w:rPr>
        <w:t xml:space="preserve"> </w:t>
      </w:r>
      <w:r>
        <w:rPr>
          <w:rFonts w:ascii="SimSun" w:hAnsi="SimSun" w:eastAsia="SimSun" w:cs="SimSun"/>
          <w:sz w:val="22"/>
          <w:szCs w:val="22"/>
          <w:spacing w:val="-9"/>
        </w:rPr>
        <w:t>但是在研究人类行为的社会学家眼中，这些视频可能就是难得的第一手资料，也许</w:t>
      </w:r>
      <w:r>
        <w:rPr>
          <w:rFonts w:ascii="SimSun" w:hAnsi="SimSun" w:eastAsia="SimSun" w:cs="SimSun"/>
          <w:sz w:val="22"/>
          <w:szCs w:val="22"/>
          <w:spacing w:val="11"/>
        </w:rPr>
        <w:t xml:space="preserve"> </w:t>
      </w:r>
      <w:r>
        <w:rPr>
          <w:rFonts w:ascii="SimSun" w:hAnsi="SimSun" w:eastAsia="SimSun" w:cs="SimSun"/>
          <w:sz w:val="22"/>
          <w:szCs w:val="22"/>
          <w:spacing w:val="-13"/>
        </w:rPr>
        <w:t>可以借此窥探人类的某些行为模式。</w:t>
      </w:r>
    </w:p>
    <w:p>
      <w:pPr>
        <w:ind w:left="200" w:firstLine="500"/>
        <w:spacing w:before="64" w:line="256" w:lineRule="auto"/>
        <w:jc w:val="both"/>
        <w:rPr>
          <w:rFonts w:ascii="SimSun" w:hAnsi="SimSun" w:eastAsia="SimSun" w:cs="SimSun"/>
          <w:sz w:val="22"/>
          <w:szCs w:val="22"/>
        </w:rPr>
      </w:pPr>
      <w:r>
        <w:rPr>
          <w:rFonts w:ascii="SimSun" w:hAnsi="SimSun" w:eastAsia="SimSun" w:cs="SimSun"/>
          <w:sz w:val="22"/>
          <w:szCs w:val="22"/>
          <w:spacing w:val="-9"/>
        </w:rPr>
        <w:t>大数据价值的另一体现方式在于关联分析，很多看似没有任何价值的数据通过</w:t>
      </w:r>
      <w:r>
        <w:rPr>
          <w:rFonts w:ascii="SimSun" w:hAnsi="SimSun" w:eastAsia="SimSun" w:cs="SimSun"/>
          <w:sz w:val="22"/>
          <w:szCs w:val="22"/>
          <w:spacing w:val="13"/>
        </w:rPr>
        <w:t xml:space="preserve"> </w:t>
      </w:r>
      <w:r>
        <w:rPr>
          <w:rFonts w:ascii="SimSun" w:hAnsi="SimSun" w:eastAsia="SimSun" w:cs="SimSun"/>
          <w:sz w:val="22"/>
          <w:szCs w:val="22"/>
          <w:spacing w:val="-8"/>
        </w:rPr>
        <w:t>分析它们之间关联，便能够发现其中的价值。Facebook、微博为代表的社交网络应 </w:t>
      </w:r>
      <w:r>
        <w:rPr>
          <w:rFonts w:ascii="SimSun" w:hAnsi="SimSun" w:eastAsia="SimSun" w:cs="SimSun"/>
          <w:sz w:val="22"/>
          <w:szCs w:val="22"/>
          <w:spacing w:val="-8"/>
        </w:rPr>
        <w:t>用，构建了普遍关联用户行为数据。本来大家在网络上浏览网页、购买商</w:t>
      </w:r>
      <w:r>
        <w:rPr>
          <w:rFonts w:ascii="SimSun" w:hAnsi="SimSun" w:eastAsia="SimSun" w:cs="SimSun"/>
          <w:sz w:val="22"/>
          <w:szCs w:val="22"/>
          <w:spacing w:val="-9"/>
        </w:rPr>
        <w:t>品，游戏</w:t>
      </w:r>
      <w:r>
        <w:rPr>
          <w:rFonts w:ascii="SimSun" w:hAnsi="SimSun" w:eastAsia="SimSun" w:cs="SimSun"/>
          <w:sz w:val="22"/>
          <w:szCs w:val="22"/>
        </w:rPr>
        <w:t xml:space="preserve"> </w:t>
      </w:r>
      <w:r>
        <w:rPr>
          <w:rFonts w:ascii="SimSun" w:hAnsi="SimSun" w:eastAsia="SimSun" w:cs="SimSun"/>
          <w:sz w:val="22"/>
          <w:szCs w:val="22"/>
          <w:spacing w:val="-9"/>
        </w:rPr>
        <w:t>休闲等，都是互不关联的。尤其是智能手机的普及，大家的网络行为更趋向于碎片 </w:t>
      </w:r>
      <w:r>
        <w:rPr>
          <w:rFonts w:ascii="SimSun" w:hAnsi="SimSun" w:eastAsia="SimSun" w:cs="SimSun"/>
          <w:sz w:val="22"/>
          <w:szCs w:val="22"/>
          <w:spacing w:val="-9"/>
        </w:rPr>
        <w:t>化。这些碎片化数据如果没有关联，是难以进行分析并加以利用的。但是社交网络 </w:t>
      </w:r>
      <w:r>
        <w:rPr>
          <w:rFonts w:ascii="SimSun" w:hAnsi="SimSun" w:eastAsia="SimSun" w:cs="SimSun"/>
          <w:sz w:val="22"/>
          <w:szCs w:val="22"/>
          <w:spacing w:val="-8"/>
        </w:rPr>
        <w:t>提供了统一的接口，让大家无论是玩游戏还是买商品，都能够轻松方便</w:t>
      </w:r>
      <w:r>
        <w:rPr>
          <w:rFonts w:ascii="SimSun" w:hAnsi="SimSun" w:eastAsia="SimSun" w:cs="SimSun"/>
          <w:sz w:val="22"/>
          <w:szCs w:val="22"/>
          <w:spacing w:val="-9"/>
        </w:rPr>
        <w:t>地分享到微</w:t>
      </w:r>
      <w:r>
        <w:rPr>
          <w:rFonts w:ascii="SimSun" w:hAnsi="SimSun" w:eastAsia="SimSun" w:cs="SimSun"/>
          <w:sz w:val="22"/>
          <w:szCs w:val="22"/>
        </w:rPr>
        <w:t xml:space="preserve"> </w:t>
      </w:r>
      <w:r>
        <w:rPr>
          <w:rFonts w:ascii="SimSun" w:hAnsi="SimSun" w:eastAsia="SimSun" w:cs="SimSun"/>
          <w:sz w:val="22"/>
          <w:szCs w:val="22"/>
          <w:spacing w:val="-8"/>
        </w:rPr>
        <w:t>博上。微博扮演了用户行为数据连接器的角色。用户在网络上</w:t>
      </w:r>
      <w:r>
        <w:rPr>
          <w:rFonts w:ascii="SimSun" w:hAnsi="SimSun" w:eastAsia="SimSun" w:cs="SimSun"/>
          <w:sz w:val="22"/>
          <w:szCs w:val="22"/>
          <w:spacing w:val="-9"/>
        </w:rPr>
        <w:t>的碎片化行为，经由</w:t>
      </w:r>
      <w:r>
        <w:rPr>
          <w:rFonts w:ascii="SimSun" w:hAnsi="SimSun" w:eastAsia="SimSun" w:cs="SimSun"/>
          <w:sz w:val="22"/>
          <w:szCs w:val="22"/>
        </w:rPr>
        <w:t xml:space="preserve"> </w:t>
      </w:r>
      <w:r>
        <w:rPr>
          <w:rFonts w:ascii="SimSun" w:hAnsi="SimSun" w:eastAsia="SimSun" w:cs="SimSun"/>
          <w:sz w:val="22"/>
          <w:szCs w:val="22"/>
          <w:spacing w:val="-9"/>
        </w:rPr>
        <w:t>社交网络，就能完整地勾勒出一幅生动的网络生活图景，可以真实地反映用户的偏 </w:t>
      </w:r>
      <w:r>
        <w:rPr>
          <w:rFonts w:ascii="SimSun" w:hAnsi="SimSun" w:eastAsia="SimSun" w:cs="SimSun"/>
          <w:sz w:val="22"/>
          <w:szCs w:val="22"/>
          <w:spacing w:val="-10"/>
        </w:rPr>
        <w:t>好、性格、态度等特征，这其中蕴育了大量的商业机会。</w:t>
      </w:r>
    </w:p>
    <w:p>
      <w:pPr>
        <w:ind w:left="200" w:right="8" w:firstLine="500"/>
        <w:spacing w:before="69" w:line="243" w:lineRule="auto"/>
        <w:rPr>
          <w:rFonts w:ascii="SimSun" w:hAnsi="SimSun" w:eastAsia="SimSun" w:cs="SimSun"/>
          <w:sz w:val="22"/>
          <w:szCs w:val="22"/>
        </w:rPr>
      </w:pPr>
      <w:r>
        <w:rPr>
          <w:rFonts w:ascii="SimSun" w:hAnsi="SimSun" w:eastAsia="SimSun" w:cs="SimSun"/>
          <w:sz w:val="22"/>
          <w:szCs w:val="22"/>
          <w:spacing w:val="-15"/>
        </w:rPr>
        <w:t>因此基于以上论述，可以得出以下结论：第一，数据是无价之宝；第二，价值虽</w:t>
      </w:r>
      <w:r>
        <w:rPr>
          <w:rFonts w:ascii="SimSun" w:hAnsi="SimSun" w:eastAsia="SimSun" w:cs="SimSun"/>
          <w:sz w:val="22"/>
          <w:szCs w:val="22"/>
          <w:spacing w:val="3"/>
        </w:rPr>
        <w:t xml:space="preserve"> </w:t>
      </w:r>
      <w:r>
        <w:rPr>
          <w:rFonts w:ascii="SimSun" w:hAnsi="SimSun" w:eastAsia="SimSun" w:cs="SimSun"/>
          <w:sz w:val="22"/>
          <w:szCs w:val="22"/>
          <w:spacing w:val="-13"/>
        </w:rPr>
        <w:t>有，但却如沙滩中的黄金；第三，数据融合的价值，</w:t>
      </w:r>
      <w:r>
        <w:rPr>
          <w:rFonts w:ascii="SimSun" w:hAnsi="SimSun" w:eastAsia="SimSun" w:cs="SimSun"/>
          <w:sz w:val="22"/>
          <w:szCs w:val="22"/>
          <w:spacing w:val="-14"/>
        </w:rPr>
        <w:t>要远大于种类单一的数据价值。</w:t>
      </w:r>
    </w:p>
    <w:p>
      <w:pPr>
        <w:ind w:left="703"/>
        <w:spacing w:before="217" w:line="221" w:lineRule="auto"/>
        <w:outlineLvl w:val="1"/>
        <w:rPr>
          <w:rFonts w:ascii="SimHei" w:hAnsi="SimHei" w:eastAsia="SimHei" w:cs="SimHei"/>
          <w:sz w:val="22"/>
          <w:szCs w:val="22"/>
        </w:rPr>
      </w:pPr>
      <w:r>
        <w:rPr>
          <w:rFonts w:ascii="SimHei" w:hAnsi="SimHei" w:eastAsia="SimHei" w:cs="SimHei"/>
          <w:sz w:val="22"/>
          <w:szCs w:val="22"/>
          <w:b/>
          <w:bCs/>
          <w:spacing w:val="-2"/>
        </w:rPr>
        <w:t>5.</w:t>
      </w:r>
      <w:r>
        <w:rPr>
          <w:rFonts w:ascii="SimHei" w:hAnsi="SimHei" w:eastAsia="SimHei" w:cs="SimHei"/>
          <w:sz w:val="22"/>
          <w:szCs w:val="22"/>
          <w:spacing w:val="-2"/>
        </w:rPr>
        <w:t xml:space="preserve"> </w:t>
      </w:r>
      <w:r>
        <w:rPr>
          <w:rFonts w:ascii="SimHei" w:hAnsi="SimHei" w:eastAsia="SimHei" w:cs="SimHei"/>
          <w:sz w:val="22"/>
          <w:szCs w:val="22"/>
          <w:b/>
          <w:bCs/>
          <w:spacing w:val="-2"/>
        </w:rPr>
        <w:t>真实有效性</w:t>
      </w:r>
    </w:p>
    <w:p>
      <w:pPr>
        <w:ind w:left="200" w:firstLine="500"/>
        <w:spacing w:before="199" w:line="247" w:lineRule="auto"/>
        <w:jc w:val="both"/>
        <w:rPr>
          <w:rFonts w:ascii="SimSun" w:hAnsi="SimSun" w:eastAsia="SimSun" w:cs="SimSun"/>
          <w:sz w:val="22"/>
          <w:szCs w:val="22"/>
        </w:rPr>
      </w:pPr>
      <w:r>
        <w:rPr>
          <w:rFonts w:ascii="SimSun" w:hAnsi="SimSun" w:eastAsia="SimSun" w:cs="SimSun"/>
          <w:sz w:val="22"/>
          <w:szCs w:val="22"/>
          <w:spacing w:val="-9"/>
        </w:rPr>
        <w:t>数据的重要性就在于对决策的支持。数据的规模并不能决定其能否为决策提供</w:t>
      </w:r>
      <w:r>
        <w:rPr>
          <w:rFonts w:ascii="SimSun" w:hAnsi="SimSun" w:eastAsia="SimSun" w:cs="SimSun"/>
          <w:sz w:val="22"/>
          <w:szCs w:val="22"/>
          <w:spacing w:val="12"/>
        </w:rPr>
        <w:t xml:space="preserve"> </w:t>
      </w:r>
      <w:r>
        <w:rPr>
          <w:rFonts w:ascii="SimSun" w:hAnsi="SimSun" w:eastAsia="SimSun" w:cs="SimSun"/>
          <w:sz w:val="22"/>
          <w:szCs w:val="22"/>
          <w:spacing w:val="-9"/>
        </w:rPr>
        <w:t>帮助，数据的真实性和质量才是获得真知和思路最重要的因素，是制订成功决策的 </w:t>
      </w:r>
      <w:r>
        <w:rPr>
          <w:rFonts w:ascii="SimSun" w:hAnsi="SimSun" w:eastAsia="SimSun" w:cs="SimSun"/>
          <w:sz w:val="22"/>
          <w:szCs w:val="22"/>
          <w:spacing w:val="-14"/>
        </w:rPr>
        <w:t>最坚实的基础。</w:t>
      </w:r>
    </w:p>
    <w:p>
      <w:pPr>
        <w:ind w:left="200" w:firstLine="500"/>
        <w:spacing w:before="81" w:line="254" w:lineRule="auto"/>
        <w:jc w:val="both"/>
        <w:rPr>
          <w:rFonts w:ascii="SimSun" w:hAnsi="SimSun" w:eastAsia="SimSun" w:cs="SimSun"/>
          <w:sz w:val="22"/>
          <w:szCs w:val="22"/>
        </w:rPr>
      </w:pPr>
      <w:r>
        <w:rPr>
          <w:rFonts w:ascii="SimSun" w:hAnsi="SimSun" w:eastAsia="SimSun" w:cs="SimSun"/>
          <w:sz w:val="22"/>
          <w:szCs w:val="22"/>
          <w:spacing w:val="-9"/>
        </w:rPr>
        <w:t>追求高数据质量是一项重要的大数据要求和挑战。即使最优秀的数据清理方法</w:t>
      </w:r>
      <w:r>
        <w:rPr>
          <w:rFonts w:ascii="SimSun" w:hAnsi="SimSun" w:eastAsia="SimSun" w:cs="SimSun"/>
          <w:sz w:val="22"/>
          <w:szCs w:val="22"/>
          <w:spacing w:val="12"/>
        </w:rPr>
        <w:t xml:space="preserve"> </w:t>
      </w:r>
      <w:r>
        <w:rPr>
          <w:rFonts w:ascii="SimSun" w:hAnsi="SimSun" w:eastAsia="SimSun" w:cs="SimSun"/>
          <w:sz w:val="22"/>
          <w:szCs w:val="22"/>
          <w:spacing w:val="-9"/>
        </w:rPr>
        <w:t>也无法消除某些数据固有的不可预测性，例如，人的感情和诚实性、天气形势、经 </w:t>
      </w:r>
      <w:r>
        <w:rPr>
          <w:rFonts w:ascii="SimSun" w:hAnsi="SimSun" w:eastAsia="SimSun" w:cs="SimSun"/>
          <w:sz w:val="22"/>
          <w:szCs w:val="22"/>
          <w:spacing w:val="-9"/>
        </w:rPr>
        <w:t>济因素以及未来。在处理这些类型的数据时，数据清理无法修正这种不确定性。然 </w:t>
      </w:r>
      <w:r>
        <w:rPr>
          <w:rFonts w:ascii="SimSun" w:hAnsi="SimSun" w:eastAsia="SimSun" w:cs="SimSun"/>
          <w:sz w:val="22"/>
          <w:szCs w:val="22"/>
          <w:spacing w:val="-9"/>
        </w:rPr>
        <w:t>而，尽管存在不确定性，数据仍然包含宝贵的信息。我们必须承认、接受大数据的 </w:t>
      </w:r>
      <w:r>
        <w:rPr>
          <w:rFonts w:ascii="SimSun" w:hAnsi="SimSun" w:eastAsia="SimSun" w:cs="SimSun"/>
          <w:sz w:val="22"/>
          <w:szCs w:val="22"/>
          <w:spacing w:val="-9"/>
        </w:rPr>
        <w:t>不确定性，并确定如何充分利用这一点。例如，采取数据融合，</w:t>
      </w:r>
      <w:r>
        <w:rPr>
          <w:rFonts w:ascii="SimSun" w:hAnsi="SimSun" w:eastAsia="SimSun" w:cs="SimSun"/>
          <w:sz w:val="22"/>
          <w:szCs w:val="22"/>
          <w:spacing w:val="-10"/>
        </w:rPr>
        <w:t>即通过结合多个可</w:t>
      </w:r>
      <w:r>
        <w:rPr>
          <w:rFonts w:ascii="SimSun" w:hAnsi="SimSun" w:eastAsia="SimSun" w:cs="SimSun"/>
          <w:sz w:val="22"/>
          <w:szCs w:val="22"/>
        </w:rPr>
        <w:t xml:space="preserve">  </w:t>
      </w:r>
      <w:r>
        <w:rPr>
          <w:rFonts w:ascii="SimSun" w:hAnsi="SimSun" w:eastAsia="SimSun" w:cs="SimSun"/>
          <w:sz w:val="22"/>
          <w:szCs w:val="22"/>
          <w:spacing w:val="-8"/>
        </w:rPr>
        <w:t>靠性较低的来源创建更准确、更有用的数据点，或者通过鲁棒优化技术</w:t>
      </w:r>
      <w:r>
        <w:rPr>
          <w:rFonts w:ascii="SimSun" w:hAnsi="SimSun" w:eastAsia="SimSun" w:cs="SimSun"/>
          <w:sz w:val="22"/>
          <w:szCs w:val="22"/>
          <w:spacing w:val="-9"/>
        </w:rPr>
        <w:t>和模糊逻辑</w:t>
      </w:r>
      <w:r>
        <w:rPr>
          <w:rFonts w:ascii="SimSun" w:hAnsi="SimSun" w:eastAsia="SimSun" w:cs="SimSun"/>
          <w:sz w:val="22"/>
          <w:szCs w:val="22"/>
        </w:rPr>
        <w:t xml:space="preserve"> </w:t>
      </w:r>
      <w:r>
        <w:rPr>
          <w:rFonts w:ascii="SimSun" w:hAnsi="SimSun" w:eastAsia="SimSun" w:cs="SimSun"/>
          <w:sz w:val="22"/>
          <w:szCs w:val="22"/>
          <w:spacing w:val="-14"/>
        </w:rPr>
        <w:t>方法等先进的数学方法。</w:t>
      </w:r>
    </w:p>
    <w:p>
      <w:pPr>
        <w:ind w:left="204"/>
        <w:spacing w:before="304" w:line="221" w:lineRule="auto"/>
        <w:outlineLvl w:val="0"/>
        <w:rPr>
          <w:rFonts w:ascii="YouYuan" w:hAnsi="YouYuan" w:eastAsia="YouYuan" w:cs="YouYuan"/>
          <w:sz w:val="29"/>
          <w:szCs w:val="29"/>
        </w:rPr>
      </w:pPr>
      <w:r>
        <w:rPr>
          <w:rFonts w:ascii="YouYuan" w:hAnsi="YouYuan" w:eastAsia="YouYuan" w:cs="YouYuan"/>
          <w:sz w:val="29"/>
          <w:szCs w:val="29"/>
          <w:b/>
          <w:bCs/>
          <w:spacing w:val="-9"/>
        </w:rPr>
        <w:t>2.1.3</w:t>
      </w:r>
      <w:r>
        <w:rPr>
          <w:rFonts w:ascii="YouYuan" w:hAnsi="YouYuan" w:eastAsia="YouYuan" w:cs="YouYuan"/>
          <w:sz w:val="29"/>
          <w:szCs w:val="29"/>
          <w:spacing w:val="35"/>
        </w:rPr>
        <w:t xml:space="preserve">  </w:t>
      </w:r>
      <w:r>
        <w:rPr>
          <w:rFonts w:ascii="YouYuan" w:hAnsi="YouYuan" w:eastAsia="YouYuan" w:cs="YouYuan"/>
          <w:sz w:val="29"/>
          <w:szCs w:val="29"/>
          <w:b/>
          <w:bCs/>
          <w:spacing w:val="-9"/>
        </w:rPr>
        <w:t>云计算环境下数据的特点</w:t>
      </w:r>
    </w:p>
    <w:p>
      <w:pPr>
        <w:pStyle w:val="BodyText"/>
        <w:spacing w:line="256" w:lineRule="auto"/>
        <w:rPr/>
      </w:pPr>
      <w:r/>
    </w:p>
    <w:p>
      <w:pPr>
        <w:ind w:left="200" w:firstLine="500"/>
        <w:spacing w:before="72" w:line="253" w:lineRule="auto"/>
        <w:jc w:val="both"/>
        <w:rPr>
          <w:rFonts w:ascii="SimSun" w:hAnsi="SimSun" w:eastAsia="SimSun" w:cs="SimSun"/>
          <w:sz w:val="22"/>
          <w:szCs w:val="22"/>
        </w:rPr>
      </w:pPr>
      <w:r>
        <w:rPr>
          <w:rFonts w:ascii="SimSun" w:hAnsi="SimSun" w:eastAsia="SimSun" w:cs="SimSun"/>
          <w:sz w:val="22"/>
          <w:szCs w:val="22"/>
          <w:spacing w:val="-9"/>
        </w:rPr>
        <w:t>云计算和大数据就像一枚硬币的正反面一样密不可分，无论在学术界还是产业</w:t>
      </w:r>
      <w:r>
        <w:rPr>
          <w:rFonts w:ascii="SimSun" w:hAnsi="SimSun" w:eastAsia="SimSun" w:cs="SimSun"/>
          <w:sz w:val="22"/>
          <w:szCs w:val="22"/>
          <w:spacing w:val="12"/>
        </w:rPr>
        <w:t xml:space="preserve"> </w:t>
      </w:r>
      <w:r>
        <w:rPr>
          <w:rFonts w:ascii="SimSun" w:hAnsi="SimSun" w:eastAsia="SimSun" w:cs="SimSun"/>
          <w:sz w:val="22"/>
          <w:szCs w:val="22"/>
          <w:spacing w:val="-9"/>
        </w:rPr>
        <w:t>界，在谈论其中一个话题时都无法抛开另一个话题，这种紧密的</w:t>
      </w:r>
      <w:r>
        <w:rPr>
          <w:rFonts w:ascii="SimSun" w:hAnsi="SimSun" w:eastAsia="SimSun" w:cs="SimSun"/>
          <w:sz w:val="22"/>
          <w:szCs w:val="22"/>
          <w:spacing w:val="-10"/>
        </w:rPr>
        <w:t>关系，使得云计算</w:t>
      </w:r>
      <w:r>
        <w:rPr>
          <w:rFonts w:ascii="SimSun" w:hAnsi="SimSun" w:eastAsia="SimSun" w:cs="SimSun"/>
          <w:sz w:val="22"/>
          <w:szCs w:val="22"/>
        </w:rPr>
        <w:t xml:space="preserve">  </w:t>
      </w:r>
      <w:r>
        <w:rPr>
          <w:rFonts w:ascii="SimSun" w:hAnsi="SimSun" w:eastAsia="SimSun" w:cs="SimSun"/>
          <w:sz w:val="22"/>
          <w:szCs w:val="22"/>
          <w:spacing w:val="-8"/>
        </w:rPr>
        <w:t>对数据产生了重要的影响。从前文分析可以看出，</w:t>
      </w:r>
      <w:r>
        <w:rPr>
          <w:rFonts w:ascii="SimSun" w:hAnsi="SimSun" w:eastAsia="SimSun" w:cs="SimSun"/>
          <w:sz w:val="22"/>
          <w:szCs w:val="22"/>
          <w:spacing w:val="-9"/>
        </w:rPr>
        <w:t>云计算和大数据的特点存在诸多</w:t>
      </w:r>
      <w:r>
        <w:rPr>
          <w:rFonts w:ascii="SimSun" w:hAnsi="SimSun" w:eastAsia="SimSun" w:cs="SimSun"/>
          <w:sz w:val="22"/>
          <w:szCs w:val="22"/>
        </w:rPr>
        <w:t xml:space="preserve"> </w:t>
      </w:r>
      <w:r>
        <w:rPr>
          <w:rFonts w:ascii="SimSun" w:hAnsi="SimSun" w:eastAsia="SimSun" w:cs="SimSun"/>
          <w:sz w:val="22"/>
          <w:szCs w:val="22"/>
          <w:spacing w:val="-9"/>
        </w:rPr>
        <w:t>的关联，例如云计算的泛在访问会给云服务提供商产生巨大的访问数据，例如访问 </w:t>
      </w:r>
      <w:r>
        <w:rPr>
          <w:rFonts w:ascii="SimSun" w:hAnsi="SimSun" w:eastAsia="SimSun" w:cs="SimSun"/>
          <w:sz w:val="22"/>
          <w:szCs w:val="22"/>
          <w:spacing w:val="-9"/>
        </w:rPr>
        <w:t>日志，绝大多数情况下，访问日志可能没有多少价值，而一旦在</w:t>
      </w:r>
      <w:r>
        <w:rPr>
          <w:rFonts w:ascii="SimSun" w:hAnsi="SimSun" w:eastAsia="SimSun" w:cs="SimSun"/>
          <w:sz w:val="22"/>
          <w:szCs w:val="22"/>
          <w:spacing w:val="-10"/>
        </w:rPr>
        <w:t>服务器发生故障或</w:t>
      </w:r>
      <w:r>
        <w:rPr>
          <w:rFonts w:ascii="SimSun" w:hAnsi="SimSun" w:eastAsia="SimSun" w:cs="SimSun"/>
          <w:sz w:val="22"/>
          <w:szCs w:val="22"/>
        </w:rPr>
        <w:t xml:space="preserve">  </w:t>
      </w:r>
      <w:r>
        <w:rPr>
          <w:rFonts w:ascii="SimSun" w:hAnsi="SimSun" w:eastAsia="SimSun" w:cs="SimSun"/>
          <w:sz w:val="22"/>
          <w:szCs w:val="22"/>
          <w:spacing w:val="-8"/>
        </w:rPr>
        <w:t>数据泄露时，某一段的访问日志就有可能发挥极大的作用</w:t>
      </w:r>
      <w:r>
        <w:rPr>
          <w:rFonts w:ascii="SimSun" w:hAnsi="SimSun" w:eastAsia="SimSun" w:cs="SimSun"/>
          <w:sz w:val="22"/>
          <w:szCs w:val="22"/>
          <w:spacing w:val="-9"/>
        </w:rPr>
        <w:t>。这就说明虽然访问日志</w:t>
      </w:r>
    </w:p>
    <w:p>
      <w:pPr>
        <w:spacing w:line="253" w:lineRule="auto"/>
        <w:sectPr>
          <w:footerReference w:type="default" r:id="rId102"/>
          <w:pgSz w:w="8870" w:h="13400"/>
          <w:pgMar w:top="400" w:right="531" w:bottom="454" w:left="449" w:header="0" w:footer="236" w:gutter="0"/>
        </w:sectPr>
        <w:rPr>
          <w:rFonts w:ascii="SimSun" w:hAnsi="SimSun" w:eastAsia="SimSun" w:cs="SimSun"/>
          <w:sz w:val="22"/>
          <w:szCs w:val="22"/>
        </w:rPr>
      </w:pPr>
    </w:p>
    <w:p>
      <w:pPr>
        <w:ind w:left="4712"/>
        <w:spacing w:before="234" w:line="219" w:lineRule="auto"/>
        <w:rPr>
          <w:rFonts w:ascii="SimSun" w:hAnsi="SimSun" w:eastAsia="SimSun" w:cs="SimSun"/>
          <w:sz w:val="21"/>
          <w:szCs w:val="21"/>
        </w:rPr>
      </w:pPr>
      <w:bookmarkStart w:name="bookmark23" w:id="18"/>
      <w:bookmarkEnd w:id="18"/>
      <w:bookmarkStart w:name="bookmark24" w:id="19"/>
      <w:bookmarkEnd w:id="19"/>
      <w:bookmarkStart w:name="bookmark25" w:id="20"/>
      <w:bookmarkEnd w:id="20"/>
      <w:r>
        <w:rPr>
          <w:rFonts w:ascii="SimSun" w:hAnsi="SimSun" w:eastAsia="SimSun" w:cs="SimSun"/>
          <w:sz w:val="21"/>
          <w:szCs w:val="21"/>
          <w:b/>
          <w:bCs/>
          <w:spacing w:val="6"/>
        </w:rPr>
        <w:t>第2章■大数据与云端数据治理</w:t>
      </w:r>
    </w:p>
    <w:p>
      <w:pPr>
        <w:pStyle w:val="BodyText"/>
        <w:spacing w:line="253" w:lineRule="auto"/>
        <w:rPr/>
      </w:pPr>
      <w:r/>
    </w:p>
    <w:p>
      <w:pPr>
        <w:ind w:right="255"/>
        <w:spacing w:before="69" w:line="266" w:lineRule="auto"/>
        <w:jc w:val="both"/>
        <w:rPr>
          <w:rFonts w:ascii="SimSun" w:hAnsi="SimSun" w:eastAsia="SimSun" w:cs="SimSun"/>
          <w:sz w:val="21"/>
          <w:szCs w:val="21"/>
        </w:rPr>
      </w:pPr>
      <w:r>
        <w:rPr>
          <w:rFonts w:ascii="SimSun" w:hAnsi="SimSun" w:eastAsia="SimSun" w:cs="SimSun"/>
          <w:sz w:val="21"/>
          <w:szCs w:val="21"/>
          <w:spacing w:val="1"/>
        </w:rPr>
        <w:t>包含巨大的价值，但价值的密度是非常低的。又例如，泛在访问会允许庞大的用户</w:t>
      </w:r>
      <w:r>
        <w:rPr>
          <w:rFonts w:ascii="SimSun" w:hAnsi="SimSun" w:eastAsia="SimSun" w:cs="SimSun"/>
          <w:sz w:val="21"/>
          <w:szCs w:val="21"/>
          <w:spacing w:val="11"/>
        </w:rPr>
        <w:t xml:space="preserve"> </w:t>
      </w:r>
      <w:r>
        <w:rPr>
          <w:rFonts w:ascii="SimSun" w:hAnsi="SimSun" w:eastAsia="SimSun" w:cs="SimSun"/>
          <w:sz w:val="21"/>
          <w:szCs w:val="21"/>
          <w:spacing w:val="1"/>
        </w:rPr>
        <w:t>在同一时间段内同时访问相同的数据，这就要求服务提供商具备较快的数据处理能</w:t>
      </w:r>
      <w:r>
        <w:rPr>
          <w:rFonts w:ascii="SimSun" w:hAnsi="SimSun" w:eastAsia="SimSun" w:cs="SimSun"/>
          <w:sz w:val="21"/>
          <w:szCs w:val="21"/>
          <w:spacing w:val="13"/>
        </w:rPr>
        <w:t xml:space="preserve"> </w:t>
      </w:r>
      <w:r>
        <w:rPr>
          <w:rFonts w:ascii="SimSun" w:hAnsi="SimSun" w:eastAsia="SimSun" w:cs="SimSun"/>
          <w:sz w:val="21"/>
          <w:szCs w:val="21"/>
          <w:spacing w:val="1"/>
        </w:rPr>
        <w:t>力，而一旦能力达不到，便会降低用户的访问体验甚至引起服务的中断。例如早期</w:t>
      </w:r>
      <w:r>
        <w:rPr>
          <w:rFonts w:ascii="SimSun" w:hAnsi="SimSun" w:eastAsia="SimSun" w:cs="SimSun"/>
          <w:sz w:val="21"/>
          <w:szCs w:val="21"/>
          <w:spacing w:val="16"/>
        </w:rPr>
        <w:t xml:space="preserve"> </w:t>
      </w:r>
      <w:r>
        <w:rPr>
          <w:rFonts w:ascii="SimSun" w:hAnsi="SimSun" w:eastAsia="SimSun" w:cs="SimSun"/>
          <w:sz w:val="21"/>
          <w:szCs w:val="21"/>
          <w:spacing w:val="4"/>
        </w:rPr>
        <w:t>的12306网络订票服务和某大型电商的双十一促销活动。再如，云计算的多租户和</w:t>
      </w:r>
      <w:r>
        <w:rPr>
          <w:rFonts w:ascii="SimSun" w:hAnsi="SimSun" w:eastAsia="SimSun" w:cs="SimSun"/>
          <w:sz w:val="21"/>
          <w:szCs w:val="21"/>
          <w:spacing w:val="9"/>
        </w:rPr>
        <w:t xml:space="preserve"> </w:t>
      </w:r>
      <w:r>
        <w:rPr>
          <w:rFonts w:ascii="SimSun" w:hAnsi="SimSun" w:eastAsia="SimSun" w:cs="SimSun"/>
          <w:sz w:val="21"/>
          <w:szCs w:val="21"/>
          <w:spacing w:val="1"/>
        </w:rPr>
        <w:t>按需自助服务特点，允许用户个性化需求的表达。出版社可能更喜欢文字素材，平</w:t>
      </w:r>
      <w:r>
        <w:rPr>
          <w:rFonts w:ascii="SimSun" w:hAnsi="SimSun" w:eastAsia="SimSun" w:cs="SimSun"/>
          <w:sz w:val="21"/>
          <w:szCs w:val="21"/>
          <w:spacing w:val="12"/>
        </w:rPr>
        <w:t xml:space="preserve"> </w:t>
      </w:r>
      <w:r>
        <w:rPr>
          <w:rFonts w:ascii="SimSun" w:hAnsi="SimSun" w:eastAsia="SimSun" w:cs="SimSun"/>
          <w:sz w:val="21"/>
          <w:szCs w:val="21"/>
          <w:spacing w:val="2"/>
        </w:rPr>
        <w:t>面广告商可能更喜欢图片格式的信息，而多媒体广告商</w:t>
      </w:r>
      <w:r>
        <w:rPr>
          <w:rFonts w:ascii="SimSun" w:hAnsi="SimSun" w:eastAsia="SimSun" w:cs="SimSun"/>
          <w:sz w:val="21"/>
          <w:szCs w:val="21"/>
          <w:spacing w:val="1"/>
        </w:rPr>
        <w:t>则可能更喜欢视频材料。因</w:t>
      </w:r>
      <w:r>
        <w:rPr>
          <w:rFonts w:ascii="SimSun" w:hAnsi="SimSun" w:eastAsia="SimSun" w:cs="SimSun"/>
          <w:sz w:val="21"/>
          <w:szCs w:val="21"/>
        </w:rPr>
        <w:t xml:space="preserve"> </w:t>
      </w:r>
      <w:r>
        <w:rPr>
          <w:rFonts w:ascii="SimSun" w:hAnsi="SimSun" w:eastAsia="SimSun" w:cs="SimSun"/>
          <w:sz w:val="21"/>
          <w:szCs w:val="21"/>
          <w:spacing w:val="1"/>
        </w:rPr>
        <w:t>此云计算平台处理的数据就会包括文字、图片、视频等多种格式，而随着数量的积</w:t>
      </w:r>
      <w:r>
        <w:rPr>
          <w:rFonts w:ascii="SimSun" w:hAnsi="SimSun" w:eastAsia="SimSun" w:cs="SimSun"/>
          <w:sz w:val="21"/>
          <w:szCs w:val="21"/>
          <w:spacing w:val="16"/>
        </w:rPr>
        <w:t xml:space="preserve"> </w:t>
      </w:r>
      <w:r>
        <w:rPr>
          <w:rFonts w:ascii="SimSun" w:hAnsi="SimSun" w:eastAsia="SimSun" w:cs="SimSun"/>
          <w:sz w:val="21"/>
          <w:szCs w:val="21"/>
          <w:spacing w:val="-3"/>
        </w:rPr>
        <w:t>累，就造成了大数据的种类多样性的特点。</w:t>
      </w:r>
    </w:p>
    <w:p>
      <w:pPr>
        <w:ind w:right="247" w:firstLine="449"/>
        <w:spacing w:before="89" w:line="261" w:lineRule="auto"/>
        <w:rPr>
          <w:rFonts w:ascii="SimSun" w:hAnsi="SimSun" w:eastAsia="SimSun" w:cs="SimSun"/>
          <w:sz w:val="21"/>
          <w:szCs w:val="21"/>
        </w:rPr>
      </w:pPr>
      <w:r>
        <w:rPr>
          <w:rFonts w:ascii="SimSun" w:hAnsi="SimSun" w:eastAsia="SimSun" w:cs="SimSun"/>
          <w:sz w:val="21"/>
          <w:szCs w:val="21"/>
          <w:spacing w:val="-5"/>
        </w:rPr>
        <w:t>云计算和大数据的关系又可以这样简要描述：没有云计算就没有大数据，没有大</w:t>
      </w:r>
      <w:r>
        <w:rPr>
          <w:rFonts w:ascii="SimSun" w:hAnsi="SimSun" w:eastAsia="SimSun" w:cs="SimSun"/>
          <w:sz w:val="21"/>
          <w:szCs w:val="21"/>
          <w:spacing w:val="3"/>
        </w:rPr>
        <w:t xml:space="preserve"> </w:t>
      </w:r>
      <w:r>
        <w:rPr>
          <w:rFonts w:ascii="SimSun" w:hAnsi="SimSun" w:eastAsia="SimSun" w:cs="SimSun"/>
          <w:sz w:val="21"/>
          <w:szCs w:val="21"/>
          <w:spacing w:val="-4"/>
        </w:rPr>
        <w:t>数据就无法体现云计算的价值。云计算的发展加</w:t>
      </w:r>
      <w:r>
        <w:rPr>
          <w:rFonts w:ascii="SimSun" w:hAnsi="SimSun" w:eastAsia="SimSun" w:cs="SimSun"/>
          <w:sz w:val="21"/>
          <w:szCs w:val="21"/>
          <w:spacing w:val="-5"/>
        </w:rPr>
        <w:t>快了大数据的形成，而大数据的处理</w:t>
      </w:r>
      <w:r>
        <w:rPr>
          <w:rFonts w:ascii="SimSun" w:hAnsi="SimSun" w:eastAsia="SimSun" w:cs="SimSun"/>
          <w:sz w:val="21"/>
          <w:szCs w:val="21"/>
        </w:rPr>
        <w:t xml:space="preserve"> </w:t>
      </w:r>
      <w:r>
        <w:rPr>
          <w:rFonts w:ascii="SimSun" w:hAnsi="SimSun" w:eastAsia="SimSun" w:cs="SimSun"/>
          <w:sz w:val="21"/>
          <w:szCs w:val="21"/>
          <w:spacing w:val="-3"/>
        </w:rPr>
        <w:t>需求推动着云计算的快速发展。在云计算环境下</w:t>
      </w:r>
      <w:r>
        <w:rPr>
          <w:rFonts w:ascii="SimSun" w:hAnsi="SimSun" w:eastAsia="SimSun" w:cs="SimSun"/>
          <w:sz w:val="21"/>
          <w:szCs w:val="21"/>
          <w:spacing w:val="-4"/>
        </w:rPr>
        <w:t>，数据体现了以下三个主要特点。</w:t>
      </w:r>
    </w:p>
    <w:p>
      <w:pPr>
        <w:ind w:left="449"/>
        <w:spacing w:before="70" w:line="219" w:lineRule="auto"/>
        <w:rPr>
          <w:rFonts w:ascii="SimSun" w:hAnsi="SimSun" w:eastAsia="SimSun" w:cs="SimSun"/>
          <w:sz w:val="21"/>
          <w:szCs w:val="21"/>
        </w:rPr>
      </w:pPr>
      <w:r>
        <w:rPr>
          <w:rFonts w:ascii="SimSun" w:hAnsi="SimSun" w:eastAsia="SimSun" w:cs="SimSun"/>
          <w:sz w:val="21"/>
          <w:szCs w:val="21"/>
          <w:spacing w:val="-2"/>
        </w:rPr>
        <w:t>第一，云计算环境下数据的体量变得更大、种类更复杂。</w:t>
      </w:r>
    </w:p>
    <w:p>
      <w:pPr>
        <w:ind w:right="245" w:firstLine="449"/>
        <w:spacing w:before="25" w:line="271" w:lineRule="auto"/>
        <w:rPr>
          <w:rFonts w:ascii="SimSun" w:hAnsi="SimSun" w:eastAsia="SimSun" w:cs="SimSun"/>
          <w:sz w:val="21"/>
          <w:szCs w:val="21"/>
        </w:rPr>
      </w:pP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0"/>
        </w:rPr>
        <w:t>报告显示，预计到2020年全球数据总量将超过40</w:t>
      </w:r>
      <w:r>
        <w:rPr>
          <w:rFonts w:ascii="Times New Roman" w:hAnsi="Times New Roman" w:eastAsia="Times New Roman" w:cs="Times New Roman"/>
          <w:sz w:val="21"/>
          <w:szCs w:val="21"/>
        </w:rPr>
        <w:t>ZB</w:t>
      </w:r>
      <w:r>
        <w:rPr>
          <w:rFonts w:ascii="SimSun" w:hAnsi="SimSun" w:eastAsia="SimSun" w:cs="SimSun"/>
          <w:sz w:val="21"/>
          <w:szCs w:val="21"/>
          <w:spacing w:val="10"/>
        </w:rPr>
        <w:t>(相当于4万亿</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这一数据量是2011年的22倍。2013年中国产生的数据总量超过0.8</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(相当于8</w:t>
      </w:r>
      <w:r>
        <w:rPr>
          <w:rFonts w:ascii="SimSun" w:hAnsi="SimSun" w:eastAsia="SimSun" w:cs="SimSun"/>
          <w:sz w:val="21"/>
          <w:szCs w:val="21"/>
          <w:spacing w:val="13"/>
        </w:rPr>
        <w:t xml:space="preserve"> </w:t>
      </w:r>
      <w:r>
        <w:rPr>
          <w:rFonts w:ascii="SimSun" w:hAnsi="SimSun" w:eastAsia="SimSun" w:cs="SimSun"/>
          <w:sz w:val="21"/>
          <w:szCs w:val="21"/>
          <w:spacing w:val="9"/>
        </w:rPr>
        <w:t>亿</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9"/>
        </w:rPr>
        <w:t>),2    </w:t>
      </w:r>
      <w:r>
        <w:rPr>
          <w:rFonts w:ascii="SimSun" w:hAnsi="SimSun" w:eastAsia="SimSun" w:cs="SimSun"/>
          <w:sz w:val="21"/>
          <w:szCs w:val="21"/>
          <w:spacing w:val="9"/>
        </w:rPr>
        <w:t>倍于2012年，相当于2009年全球的数据总量。预计到2020年，中国产</w:t>
      </w:r>
      <w:r>
        <w:rPr>
          <w:rFonts w:ascii="SimSun" w:hAnsi="SimSun" w:eastAsia="SimSun" w:cs="SimSun"/>
          <w:sz w:val="21"/>
          <w:szCs w:val="21"/>
        </w:rPr>
        <w:t xml:space="preserve"> </w:t>
      </w:r>
      <w:r>
        <w:rPr>
          <w:rFonts w:ascii="SimSun" w:hAnsi="SimSun" w:eastAsia="SimSun" w:cs="SimSun"/>
          <w:sz w:val="21"/>
          <w:szCs w:val="21"/>
          <w:spacing w:val="7"/>
        </w:rPr>
        <w:t>生的数据总量将是2013年的10倍，超过8.5</w:t>
      </w:r>
      <w:r>
        <w:rPr>
          <w:rFonts w:ascii="SimSun" w:hAnsi="SimSun" w:eastAsia="SimSun" w:cs="SimSun"/>
          <w:sz w:val="21"/>
          <w:szCs w:val="21"/>
        </w:rPr>
        <w:t>ZB</w:t>
      </w:r>
      <w:r>
        <w:rPr>
          <w:rFonts w:ascii="SimSun" w:hAnsi="SimSun" w:eastAsia="SimSun" w:cs="SimSun"/>
          <w:sz w:val="21"/>
          <w:szCs w:val="21"/>
          <w:spacing w:val="6"/>
        </w:rPr>
        <w:t>。 云计算产业的发展速度相对于数</w:t>
      </w:r>
      <w:r>
        <w:rPr>
          <w:rFonts w:ascii="SimSun" w:hAnsi="SimSun" w:eastAsia="SimSun" w:cs="SimSun"/>
          <w:sz w:val="21"/>
          <w:szCs w:val="21"/>
        </w:rPr>
        <w:t xml:space="preserve"> </w:t>
      </w:r>
      <w:r>
        <w:rPr>
          <w:rFonts w:ascii="SimSun" w:hAnsi="SimSun" w:eastAsia="SimSun" w:cs="SimSun"/>
          <w:sz w:val="21"/>
          <w:szCs w:val="21"/>
        </w:rPr>
        <w:t>据体量的爆发式增长则慢很多。根据</w:t>
      </w:r>
      <w:r>
        <w:rPr>
          <w:rFonts w:ascii="SimSun" w:hAnsi="SimSun" w:eastAsia="SimSun" w:cs="SimSun"/>
          <w:sz w:val="21"/>
          <w:szCs w:val="21"/>
          <w:spacing w:val="-53"/>
        </w:rPr>
        <w:t xml:space="preserve"> </w:t>
      </w:r>
      <w:r>
        <w:rPr>
          <w:rFonts w:ascii="SimSun" w:hAnsi="SimSun" w:eastAsia="SimSun" w:cs="SimSun"/>
          <w:sz w:val="21"/>
          <w:szCs w:val="21"/>
        </w:rPr>
        <w:t>Gartner报告显示，2011年全球云服务市场952 </w:t>
      </w:r>
      <w:r>
        <w:rPr>
          <w:rFonts w:ascii="SimSun" w:hAnsi="SimSun" w:eastAsia="SimSun" w:cs="SimSun"/>
          <w:sz w:val="21"/>
          <w:szCs w:val="21"/>
          <w:spacing w:val="12"/>
        </w:rPr>
        <w:t>亿美元，2015年全球云服务市场约为1804亿美元，年</w:t>
      </w:r>
      <w:r>
        <w:rPr>
          <w:rFonts w:ascii="SimSun" w:hAnsi="SimSun" w:eastAsia="SimSun" w:cs="SimSun"/>
          <w:sz w:val="21"/>
          <w:szCs w:val="21"/>
          <w:spacing w:val="11"/>
        </w:rPr>
        <w:t>增长率约为18%,而到2020</w:t>
      </w:r>
      <w:r>
        <w:rPr>
          <w:rFonts w:ascii="SimSun" w:hAnsi="SimSun" w:eastAsia="SimSun" w:cs="SimSun"/>
          <w:sz w:val="21"/>
          <w:szCs w:val="21"/>
        </w:rPr>
        <w:t xml:space="preserve"> </w:t>
      </w:r>
      <w:r>
        <w:rPr>
          <w:rFonts w:ascii="SimSun" w:hAnsi="SimSun" w:eastAsia="SimSun" w:cs="SimSun"/>
          <w:sz w:val="21"/>
          <w:szCs w:val="21"/>
          <w:spacing w:val="4"/>
        </w:rPr>
        <w:t>年前，都将维持约15%的增长速率。虽然两则数据没有非常直接的关联，但从云计 </w:t>
      </w:r>
      <w:r>
        <w:rPr>
          <w:rFonts w:ascii="SimSun" w:hAnsi="SimSun" w:eastAsia="SimSun" w:cs="SimSun"/>
          <w:sz w:val="21"/>
          <w:szCs w:val="21"/>
          <w:spacing w:val="2"/>
        </w:rPr>
        <w:t>算与大数据的融合关系上可以看出，数据的爆发式增长给云计算产业发展带来</w:t>
      </w:r>
      <w:r>
        <w:rPr>
          <w:rFonts w:ascii="SimSun" w:hAnsi="SimSun" w:eastAsia="SimSun" w:cs="SimSun"/>
          <w:sz w:val="21"/>
          <w:szCs w:val="21"/>
          <w:spacing w:val="1"/>
        </w:rPr>
        <w:t>了巨</w:t>
      </w:r>
      <w:r>
        <w:rPr>
          <w:rFonts w:ascii="SimSun" w:hAnsi="SimSun" w:eastAsia="SimSun" w:cs="SimSun"/>
          <w:sz w:val="21"/>
          <w:szCs w:val="21"/>
        </w:rPr>
        <w:t xml:space="preserve"> </w:t>
      </w:r>
      <w:r>
        <w:rPr>
          <w:rFonts w:ascii="SimSun" w:hAnsi="SimSun" w:eastAsia="SimSun" w:cs="SimSun"/>
          <w:sz w:val="21"/>
          <w:szCs w:val="21"/>
          <w:spacing w:val="-8"/>
        </w:rPr>
        <w:t>大的动力和潜在市场。</w:t>
      </w:r>
    </w:p>
    <w:p>
      <w:pPr>
        <w:ind w:right="226" w:firstLine="449"/>
        <w:spacing w:before="67" w:line="264" w:lineRule="auto"/>
        <w:rPr>
          <w:rFonts w:ascii="SimSun" w:hAnsi="SimSun" w:eastAsia="SimSun" w:cs="SimSun"/>
          <w:sz w:val="21"/>
          <w:szCs w:val="21"/>
        </w:rPr>
      </w:pPr>
      <w:r>
        <w:rPr>
          <w:rFonts w:ascii="SimSun" w:hAnsi="SimSun" w:eastAsia="SimSun" w:cs="SimSun"/>
          <w:sz w:val="21"/>
          <w:szCs w:val="21"/>
          <w:spacing w:val="2"/>
        </w:rPr>
        <w:t>数据的爆发式增长，主要在于数据产生者的转变。工业时</w:t>
      </w:r>
      <w:r>
        <w:rPr>
          <w:rFonts w:ascii="SimSun" w:hAnsi="SimSun" w:eastAsia="SimSun" w:cs="SimSun"/>
          <w:sz w:val="21"/>
          <w:szCs w:val="21"/>
          <w:spacing w:val="1"/>
        </w:rPr>
        <w:t>代以前，数据的主要</w:t>
      </w:r>
      <w:r>
        <w:rPr>
          <w:rFonts w:ascii="SimSun" w:hAnsi="SimSun" w:eastAsia="SimSun" w:cs="SimSun"/>
          <w:sz w:val="21"/>
          <w:szCs w:val="21"/>
        </w:rPr>
        <w:t xml:space="preserve"> </w:t>
      </w:r>
      <w:r>
        <w:rPr>
          <w:rFonts w:ascii="SimSun" w:hAnsi="SimSun" w:eastAsia="SimSun" w:cs="SimSun"/>
          <w:sz w:val="21"/>
          <w:szCs w:val="21"/>
        </w:rPr>
        <w:t>来源在于人类自身活动产生的数据。而随着工业社会的到来，机器的大规模应用， </w:t>
      </w:r>
      <w:r>
        <w:rPr>
          <w:rFonts w:ascii="SimSun" w:hAnsi="SimSun" w:eastAsia="SimSun" w:cs="SimSun"/>
          <w:sz w:val="21"/>
          <w:szCs w:val="21"/>
          <w:spacing w:val="2"/>
        </w:rPr>
        <w:t>产生了越来越庞大的数据，可以将数据的增长曲线理解为指数函数的初级阶</w:t>
      </w:r>
      <w:r>
        <w:rPr>
          <w:rFonts w:ascii="SimSun" w:hAnsi="SimSun" w:eastAsia="SimSun" w:cs="SimSun"/>
          <w:sz w:val="21"/>
          <w:szCs w:val="21"/>
          <w:spacing w:val="1"/>
        </w:rPr>
        <w:t>段。而</w:t>
      </w:r>
      <w:r>
        <w:rPr>
          <w:rFonts w:ascii="SimSun" w:hAnsi="SimSun" w:eastAsia="SimSun" w:cs="SimSun"/>
          <w:sz w:val="21"/>
          <w:szCs w:val="21"/>
        </w:rPr>
        <w:t xml:space="preserve"> </w:t>
      </w:r>
      <w:r>
        <w:rPr>
          <w:rFonts w:ascii="SimSun" w:hAnsi="SimSun" w:eastAsia="SimSun" w:cs="SimSun"/>
          <w:sz w:val="21"/>
          <w:szCs w:val="21"/>
          <w:spacing w:val="2"/>
        </w:rPr>
        <w:t>到了信息时代，数据的增长速度进一步变大，处在了不停翻倍的阶段，</w:t>
      </w:r>
      <w:r>
        <w:rPr>
          <w:rFonts w:ascii="SimSun" w:hAnsi="SimSun" w:eastAsia="SimSun" w:cs="SimSun"/>
          <w:sz w:val="21"/>
          <w:szCs w:val="21"/>
          <w:spacing w:val="1"/>
        </w:rPr>
        <w:t>即指数函数</w:t>
      </w:r>
      <w:r>
        <w:rPr>
          <w:rFonts w:ascii="SimSun" w:hAnsi="SimSun" w:eastAsia="SimSun" w:cs="SimSun"/>
          <w:sz w:val="21"/>
          <w:szCs w:val="21"/>
        </w:rPr>
        <w:t xml:space="preserve"> </w:t>
      </w:r>
      <w:r>
        <w:rPr>
          <w:rFonts w:ascii="SimSun" w:hAnsi="SimSun" w:eastAsia="SimSun" w:cs="SimSun"/>
          <w:sz w:val="21"/>
          <w:szCs w:val="21"/>
          <w:spacing w:val="1"/>
        </w:rPr>
        <w:t>的中级阶段。这种数据增速转变的主要原因在于数据的产生者由人类自身变成了机</w:t>
      </w:r>
      <w:r>
        <w:rPr>
          <w:rFonts w:ascii="SimSun" w:hAnsi="SimSun" w:eastAsia="SimSun" w:cs="SimSun"/>
          <w:sz w:val="21"/>
          <w:szCs w:val="21"/>
          <w:spacing w:val="11"/>
        </w:rPr>
        <w:t xml:space="preserve"> </w:t>
      </w:r>
      <w:r>
        <w:rPr>
          <w:rFonts w:ascii="SimSun" w:hAnsi="SimSun" w:eastAsia="SimSun" w:cs="SimSun"/>
          <w:sz w:val="21"/>
          <w:szCs w:val="21"/>
          <w:spacing w:val="-2"/>
        </w:rPr>
        <w:t>器，包括机器传感器以及与其他设备通信的智能设备。</w:t>
      </w:r>
    </w:p>
    <w:p>
      <w:pPr>
        <w:ind w:right="163" w:firstLine="449"/>
        <w:spacing w:before="80" w:line="265" w:lineRule="auto"/>
        <w:rPr>
          <w:rFonts w:ascii="SimSun" w:hAnsi="SimSun" w:eastAsia="SimSun" w:cs="SimSun"/>
          <w:sz w:val="21"/>
          <w:szCs w:val="21"/>
        </w:rPr>
      </w:pPr>
      <w:r>
        <w:rPr>
          <w:rFonts w:ascii="SimSun" w:hAnsi="SimSun" w:eastAsia="SimSun" w:cs="SimSun"/>
          <w:sz w:val="21"/>
          <w:szCs w:val="21"/>
          <w:spacing w:val="2"/>
        </w:rPr>
        <w:t>数据的爆发式增长，从另一方面看，主要归功于非结构化数据的增长。</w:t>
      </w:r>
      <w:r>
        <w:rPr>
          <w:rFonts w:ascii="SimSun" w:hAnsi="SimSun" w:eastAsia="SimSun" w:cs="SimSun"/>
          <w:sz w:val="21"/>
          <w:szCs w:val="21"/>
          <w:spacing w:val="1"/>
        </w:rPr>
        <w:t>广义的</w:t>
      </w:r>
      <w:r>
        <w:rPr>
          <w:rFonts w:ascii="SimSun" w:hAnsi="SimSun" w:eastAsia="SimSun" w:cs="SimSun"/>
          <w:sz w:val="21"/>
          <w:szCs w:val="21"/>
        </w:rPr>
        <w:t xml:space="preserve"> </w:t>
      </w:r>
      <w:r>
        <w:rPr>
          <w:rFonts w:ascii="SimSun" w:hAnsi="SimSun" w:eastAsia="SimSun" w:cs="SimSun"/>
          <w:sz w:val="21"/>
          <w:szCs w:val="21"/>
          <w:spacing w:val="2"/>
        </w:rPr>
        <w:t>非结构化数据也包括了半结构化和非结构化数据，主要是指那些无法用</w:t>
      </w:r>
      <w:r>
        <w:rPr>
          <w:rFonts w:ascii="SimSun" w:hAnsi="SimSun" w:eastAsia="SimSun" w:cs="SimSun"/>
          <w:sz w:val="21"/>
          <w:szCs w:val="21"/>
          <w:spacing w:val="1"/>
        </w:rPr>
        <w:t>固定结构来 </w:t>
      </w:r>
      <w:r>
        <w:rPr>
          <w:rFonts w:ascii="SimSun" w:hAnsi="SimSun" w:eastAsia="SimSun" w:cs="SimSun"/>
          <w:sz w:val="21"/>
          <w:szCs w:val="21"/>
          <w:spacing w:val="1"/>
        </w:rPr>
        <w:t>逻辑表达实现的数据。比如说现阶段用户散落在论坛、微博、微信或其他渠道发表</w:t>
      </w:r>
      <w:r>
        <w:rPr>
          <w:rFonts w:ascii="SimSun" w:hAnsi="SimSun" w:eastAsia="SimSun" w:cs="SimSun"/>
          <w:sz w:val="21"/>
          <w:szCs w:val="21"/>
          <w:spacing w:val="6"/>
        </w:rPr>
        <w:t xml:space="preserve">  </w:t>
      </w:r>
      <w:r>
        <w:rPr>
          <w:rFonts w:ascii="SimSun" w:hAnsi="SimSun" w:eastAsia="SimSun" w:cs="SimSun"/>
          <w:sz w:val="21"/>
          <w:szCs w:val="21"/>
          <w:spacing w:val="-2"/>
        </w:rPr>
        <w:t>的关于产品的各种评价或吐槽，可能是文字、图片、表情符号，甚至是语音和视频。</w:t>
      </w:r>
      <w:r>
        <w:rPr>
          <w:rFonts w:ascii="SimSun" w:hAnsi="SimSun" w:eastAsia="SimSun" w:cs="SimSun"/>
          <w:sz w:val="21"/>
          <w:szCs w:val="21"/>
          <w:spacing w:val="17"/>
        </w:rPr>
        <w:t xml:space="preserve"> </w:t>
      </w:r>
      <w:r>
        <w:rPr>
          <w:rFonts w:ascii="SimSun" w:hAnsi="SimSun" w:eastAsia="SimSun" w:cs="SimSun"/>
          <w:sz w:val="21"/>
          <w:szCs w:val="21"/>
          <w:spacing w:val="4"/>
        </w:rPr>
        <w:t>目前，非结构化数据普遍被认为占到总量的85</w:t>
      </w:r>
      <w:r>
        <w:rPr>
          <w:rFonts w:ascii="SimSun" w:hAnsi="SimSun" w:eastAsia="SimSun" w:cs="SimSun"/>
          <w:sz w:val="21"/>
          <w:szCs w:val="21"/>
          <w:spacing w:val="3"/>
        </w:rPr>
        <w:t>%以上，而且增速比结构化数据快得</w:t>
      </w:r>
      <w:r>
        <w:rPr>
          <w:rFonts w:ascii="SimSun" w:hAnsi="SimSun" w:eastAsia="SimSun" w:cs="SimSun"/>
          <w:sz w:val="21"/>
          <w:szCs w:val="21"/>
        </w:rPr>
        <w:t xml:space="preserve">  </w:t>
      </w:r>
      <w:r>
        <w:rPr>
          <w:rFonts w:ascii="SimSun" w:hAnsi="SimSun" w:eastAsia="SimSun" w:cs="SimSun"/>
          <w:sz w:val="21"/>
          <w:szCs w:val="21"/>
          <w:spacing w:val="-1"/>
        </w:rPr>
        <w:t>多。比如</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Twitter </w:t>
      </w:r>
      <w:r>
        <w:rPr>
          <w:rFonts w:ascii="SimSun" w:hAnsi="SimSun" w:eastAsia="SimSun" w:cs="SimSun"/>
          <w:sz w:val="21"/>
          <w:szCs w:val="21"/>
          <w:spacing w:val="-1"/>
        </w:rPr>
        <w:t>刚出来的时候，每天就可以产生一亿条的信息量，新浪微博的信息</w:t>
      </w:r>
      <w:r>
        <w:rPr>
          <w:rFonts w:ascii="SimSun" w:hAnsi="SimSun" w:eastAsia="SimSun" w:cs="SimSun"/>
          <w:sz w:val="21"/>
          <w:szCs w:val="21"/>
        </w:rPr>
        <w:t xml:space="preserve">  </w:t>
      </w:r>
      <w:r>
        <w:rPr>
          <w:rFonts w:ascii="SimSun" w:hAnsi="SimSun" w:eastAsia="SimSun" w:cs="SimSun"/>
          <w:sz w:val="21"/>
          <w:szCs w:val="21"/>
          <w:spacing w:val="-1"/>
        </w:rPr>
        <w:t>量更大，可以达到数十亿条信息，这种产生速度是结构化数据根本无法</w:t>
      </w:r>
      <w:r>
        <w:rPr>
          <w:rFonts w:ascii="SimSun" w:hAnsi="SimSun" w:eastAsia="SimSun" w:cs="SimSun"/>
          <w:sz w:val="21"/>
          <w:szCs w:val="21"/>
          <w:spacing w:val="-2"/>
        </w:rPr>
        <w:t>比拟的。</w:t>
      </w:r>
    </w:p>
    <w:p>
      <w:pPr>
        <w:spacing w:line="265" w:lineRule="auto"/>
        <w:sectPr>
          <w:footerReference w:type="default" r:id="rId103"/>
          <w:pgSz w:w="8870" w:h="13400"/>
          <w:pgMar w:top="400" w:right="562" w:bottom="487" w:left="430" w:header="0" w:footer="278" w:gutter="0"/>
        </w:sectPr>
        <w:rPr>
          <w:rFonts w:ascii="SimSun" w:hAnsi="SimSun" w:eastAsia="SimSun" w:cs="SimSun"/>
          <w:sz w:val="21"/>
          <w:szCs w:val="21"/>
        </w:rPr>
      </w:pPr>
    </w:p>
    <w:p>
      <w:pPr>
        <w:ind w:left="233"/>
        <w:spacing w:before="286" w:line="219" w:lineRule="auto"/>
        <w:rPr>
          <w:rFonts w:ascii="SimSun" w:hAnsi="SimSun" w:eastAsia="SimSun" w:cs="SimSun"/>
          <w:sz w:val="24"/>
          <w:szCs w:val="24"/>
        </w:rPr>
      </w:pPr>
      <w:r>
        <w:pict>
          <v:rect id="_x0000_s232" style="position:absolute;margin-left:26.4991pt;margin-top:32.5016pt;mso-position-vertical-relative:page;mso-position-horizontal-relative:page;width:0.55pt;height:18pt;z-index:252295168;" o:allowincell="f" fillcolor="#000000" filled="true" stroked="false"/>
        </w:pict>
      </w:r>
      <w:r>
        <w:rPr>
          <w:rFonts w:ascii="SimSun" w:hAnsi="SimSun" w:eastAsia="SimSun" w:cs="SimSun"/>
          <w:sz w:val="24"/>
          <w:szCs w:val="24"/>
          <w:b/>
          <w:bCs/>
          <w:spacing w:val="-31"/>
        </w:rPr>
        <w:t>■云端数据治理</w:t>
      </w:r>
    </w:p>
    <w:p>
      <w:pPr>
        <w:pStyle w:val="BodyText"/>
        <w:spacing w:line="266" w:lineRule="auto"/>
        <w:rPr/>
      </w:pPr>
      <w:r/>
    </w:p>
    <w:p>
      <w:pPr>
        <w:ind w:left="719"/>
        <w:spacing w:before="68" w:line="219" w:lineRule="auto"/>
        <w:rPr>
          <w:rFonts w:ascii="SimSun" w:hAnsi="SimSun" w:eastAsia="SimSun" w:cs="SimSun"/>
          <w:sz w:val="21"/>
          <w:szCs w:val="21"/>
        </w:rPr>
      </w:pPr>
      <w:r>
        <w:rPr>
          <w:rFonts w:ascii="SimSun" w:hAnsi="SimSun" w:eastAsia="SimSun" w:cs="SimSun"/>
          <w:sz w:val="21"/>
          <w:szCs w:val="21"/>
          <w:spacing w:val="-2"/>
        </w:rPr>
        <w:t>第二，云计算环境下数据远程存储和远程传输更常见。</w:t>
      </w:r>
    </w:p>
    <w:p>
      <w:pPr>
        <w:ind w:left="229" w:right="95" w:firstLine="489"/>
        <w:spacing w:before="64" w:line="265" w:lineRule="auto"/>
        <w:rPr>
          <w:rFonts w:ascii="SimSun" w:hAnsi="SimSun" w:eastAsia="SimSun" w:cs="SimSun"/>
          <w:sz w:val="21"/>
          <w:szCs w:val="21"/>
        </w:rPr>
      </w:pPr>
      <w:r>
        <w:rPr>
          <w:rFonts w:ascii="SimSun" w:hAnsi="SimSun" w:eastAsia="SimSun" w:cs="SimSun"/>
          <w:sz w:val="21"/>
          <w:szCs w:val="21"/>
          <w:spacing w:val="1"/>
        </w:rPr>
        <w:t>云和数据中心是两个时常被人们互换使用的词，这主要是因为他</w:t>
      </w:r>
      <w:r>
        <w:rPr>
          <w:rFonts w:ascii="SimSun" w:hAnsi="SimSun" w:eastAsia="SimSun" w:cs="SimSun"/>
          <w:sz w:val="21"/>
          <w:szCs w:val="21"/>
        </w:rPr>
        <w:t>们在对数据储 </w:t>
      </w:r>
      <w:r>
        <w:rPr>
          <w:rFonts w:ascii="SimSun" w:hAnsi="SimSun" w:eastAsia="SimSun" w:cs="SimSun"/>
          <w:sz w:val="21"/>
          <w:szCs w:val="21"/>
          <w:spacing w:val="2"/>
        </w:rPr>
        <w:t>存时所起到的作用类似。云和数据中心之间的主</w:t>
      </w:r>
      <w:r>
        <w:rPr>
          <w:rFonts w:ascii="SimSun" w:hAnsi="SimSun" w:eastAsia="SimSun" w:cs="SimSun"/>
          <w:sz w:val="21"/>
          <w:szCs w:val="21"/>
          <w:spacing w:val="1"/>
        </w:rPr>
        <w:t>要区别是，云是一个数据存储在互</w:t>
      </w:r>
      <w:r>
        <w:rPr>
          <w:rFonts w:ascii="SimSun" w:hAnsi="SimSun" w:eastAsia="SimSun" w:cs="SimSun"/>
          <w:sz w:val="21"/>
          <w:szCs w:val="21"/>
        </w:rPr>
        <w:t xml:space="preserve"> </w:t>
      </w:r>
      <w:r>
        <w:rPr>
          <w:rFonts w:ascii="SimSun" w:hAnsi="SimSun" w:eastAsia="SimSun" w:cs="SimSun"/>
          <w:sz w:val="21"/>
          <w:szCs w:val="21"/>
        </w:rPr>
        <w:t>联网公共区域的系统，而数据中心是在本地网络中的存储数据的物理设备的集合。 </w:t>
      </w:r>
      <w:r>
        <w:rPr>
          <w:rFonts w:ascii="SimSun" w:hAnsi="SimSun" w:eastAsia="SimSun" w:cs="SimSun"/>
          <w:sz w:val="21"/>
          <w:szCs w:val="21"/>
          <w:spacing w:val="2"/>
        </w:rPr>
        <w:t>虽然这两种类型的计算机系统存在一定的差异，但</w:t>
      </w:r>
      <w:r>
        <w:rPr>
          <w:rFonts w:ascii="SimSun" w:hAnsi="SimSun" w:eastAsia="SimSun" w:cs="SimSun"/>
          <w:sz w:val="21"/>
          <w:szCs w:val="21"/>
          <w:spacing w:val="1"/>
        </w:rPr>
        <w:t>都可以存储数据，尤其是云服务</w:t>
      </w:r>
      <w:r>
        <w:rPr>
          <w:rFonts w:ascii="SimSun" w:hAnsi="SimSun" w:eastAsia="SimSun" w:cs="SimSun"/>
          <w:sz w:val="21"/>
          <w:szCs w:val="21"/>
        </w:rPr>
        <w:t xml:space="preserve"> </w:t>
      </w:r>
      <w:r>
        <w:rPr>
          <w:rFonts w:ascii="SimSun" w:hAnsi="SimSun" w:eastAsia="SimSun" w:cs="SimSun"/>
          <w:sz w:val="21"/>
          <w:szCs w:val="21"/>
          <w:spacing w:val="2"/>
        </w:rPr>
        <w:t>提供商使用数据中心来支撑云服务和其他云计算资</w:t>
      </w:r>
      <w:r>
        <w:rPr>
          <w:rFonts w:ascii="SimSun" w:hAnsi="SimSun" w:eastAsia="SimSun" w:cs="SimSun"/>
          <w:sz w:val="21"/>
          <w:szCs w:val="21"/>
          <w:spacing w:val="1"/>
        </w:rPr>
        <w:t>源。过去十多年，数据中心无论</w:t>
      </w:r>
      <w:r>
        <w:rPr>
          <w:rFonts w:ascii="SimSun" w:hAnsi="SimSun" w:eastAsia="SimSun" w:cs="SimSun"/>
          <w:sz w:val="21"/>
          <w:szCs w:val="21"/>
        </w:rPr>
        <w:t xml:space="preserve"> </w:t>
      </w:r>
      <w:r>
        <w:rPr>
          <w:rFonts w:ascii="SimSun" w:hAnsi="SimSun" w:eastAsia="SimSun" w:cs="SimSun"/>
          <w:sz w:val="21"/>
          <w:szCs w:val="21"/>
          <w:spacing w:val="2"/>
        </w:rPr>
        <w:t>是在技术上还是部署上都极速发展，变化也快，但</w:t>
      </w:r>
      <w:r>
        <w:rPr>
          <w:rFonts w:ascii="SimSun" w:hAnsi="SimSun" w:eastAsia="SimSun" w:cs="SimSun"/>
          <w:sz w:val="21"/>
          <w:szCs w:val="21"/>
          <w:spacing w:val="1"/>
        </w:rPr>
        <w:t>粗略来说可以将其划分为三个阶</w:t>
      </w:r>
      <w:r>
        <w:rPr>
          <w:rFonts w:ascii="SimSun" w:hAnsi="SimSun" w:eastAsia="SimSun" w:cs="SimSun"/>
          <w:sz w:val="21"/>
          <w:szCs w:val="21"/>
        </w:rPr>
        <w:t xml:space="preserve"> </w:t>
      </w:r>
      <w:r>
        <w:rPr>
          <w:rFonts w:ascii="SimSun" w:hAnsi="SimSun" w:eastAsia="SimSun" w:cs="SimSun"/>
          <w:sz w:val="21"/>
          <w:szCs w:val="21"/>
          <w:spacing w:val="-30"/>
        </w:rPr>
        <w:t>段[31]。</w:t>
      </w:r>
    </w:p>
    <w:p>
      <w:pPr>
        <w:ind w:left="719"/>
        <w:spacing w:before="73" w:line="212" w:lineRule="auto"/>
        <w:rPr>
          <w:rFonts w:ascii="Times New Roman" w:hAnsi="Times New Roman" w:eastAsia="Times New Roman" w:cs="Times New Roman"/>
          <w:sz w:val="21"/>
          <w:szCs w:val="21"/>
        </w:rPr>
      </w:pPr>
      <w:r>
        <w:rPr>
          <w:rFonts w:ascii="SimSun" w:hAnsi="SimSun" w:eastAsia="SimSun" w:cs="SimSun"/>
          <w:sz w:val="21"/>
          <w:szCs w:val="21"/>
          <w:spacing w:val="-1"/>
        </w:rPr>
        <w:t>第一阶段是以数据中心大集中为主的</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DC</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1.0;</w:t>
      </w:r>
    </w:p>
    <w:p>
      <w:pPr>
        <w:ind w:left="229" w:right="87" w:firstLine="489"/>
        <w:spacing w:before="82" w:line="255" w:lineRule="auto"/>
        <w:rPr>
          <w:rFonts w:ascii="SimSun" w:hAnsi="SimSun" w:eastAsia="SimSun" w:cs="SimSun"/>
          <w:sz w:val="21"/>
          <w:szCs w:val="21"/>
        </w:rPr>
      </w:pPr>
      <w:r>
        <w:rPr>
          <w:rFonts w:ascii="SimSun" w:hAnsi="SimSun" w:eastAsia="SimSun" w:cs="SimSun"/>
          <w:sz w:val="21"/>
          <w:szCs w:val="21"/>
          <w:spacing w:val="1"/>
        </w:rPr>
        <w:t>第二阶段是利用资源虚拟化和服务动态管理为手段，以增加资源共享利用率和</w:t>
      </w:r>
      <w:r>
        <w:rPr>
          <w:rFonts w:ascii="SimSun" w:hAnsi="SimSun" w:eastAsia="SimSun" w:cs="SimSun"/>
          <w:sz w:val="21"/>
          <w:szCs w:val="21"/>
          <w:spacing w:val="2"/>
        </w:rPr>
        <w:t xml:space="preserve"> </w:t>
      </w:r>
      <w:r>
        <w:rPr>
          <w:rFonts w:ascii="SimSun" w:hAnsi="SimSun" w:eastAsia="SimSun" w:cs="SimSun"/>
          <w:sz w:val="21"/>
          <w:szCs w:val="21"/>
          <w:spacing w:val="1"/>
        </w:rPr>
        <w:t>资源部署灵活度的</w:t>
      </w:r>
      <w:r>
        <w:rPr>
          <w:rFonts w:ascii="Times New Roman" w:hAnsi="Times New Roman" w:eastAsia="Times New Roman" w:cs="Times New Roman"/>
          <w:sz w:val="21"/>
          <w:szCs w:val="21"/>
        </w:rPr>
        <w:t>DC</w:t>
      </w:r>
      <w:r>
        <w:rPr>
          <w:rFonts w:ascii="Times New Roman" w:hAnsi="Times New Roman" w:eastAsia="Times New Roman" w:cs="Times New Roman"/>
          <w:sz w:val="21"/>
          <w:szCs w:val="21"/>
          <w:spacing w:val="1"/>
        </w:rPr>
        <w:t xml:space="preserve">   2.0,</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上述两个阶段技术上最大的</w:t>
      </w:r>
      <w:r>
        <w:rPr>
          <w:rFonts w:ascii="SimSun" w:hAnsi="SimSun" w:eastAsia="SimSun" w:cs="SimSun"/>
          <w:sz w:val="21"/>
          <w:szCs w:val="21"/>
        </w:rPr>
        <w:t>分界点为云计算技术的日趋 </w:t>
      </w:r>
      <w:r>
        <w:rPr>
          <w:rFonts w:ascii="SimSun" w:hAnsi="SimSun" w:eastAsia="SimSun" w:cs="SimSun"/>
          <w:sz w:val="21"/>
          <w:szCs w:val="21"/>
          <w:spacing w:val="-6"/>
        </w:rPr>
        <w:t>成熟和大批量部署；</w:t>
      </w:r>
    </w:p>
    <w:p>
      <w:pPr>
        <w:ind w:left="229" w:right="62" w:firstLine="489"/>
        <w:spacing w:before="61" w:line="244" w:lineRule="auto"/>
        <w:rPr>
          <w:rFonts w:ascii="SimSun" w:hAnsi="SimSun" w:eastAsia="SimSun" w:cs="SimSun"/>
          <w:sz w:val="21"/>
          <w:szCs w:val="21"/>
        </w:rPr>
      </w:pPr>
      <w:r>
        <w:rPr>
          <w:rFonts w:ascii="SimSun" w:hAnsi="SimSun" w:eastAsia="SimSun" w:cs="SimSun"/>
          <w:sz w:val="21"/>
          <w:szCs w:val="21"/>
          <w:spacing w:val="1"/>
        </w:rPr>
        <w:t>第三阶段的</w:t>
      </w:r>
      <w:r>
        <w:rPr>
          <w:rFonts w:ascii="Times New Roman" w:hAnsi="Times New Roman" w:eastAsia="Times New Roman" w:cs="Times New Roman"/>
          <w:sz w:val="21"/>
          <w:szCs w:val="21"/>
        </w:rPr>
        <w:t>DC</w:t>
      </w:r>
      <w:r>
        <w:rPr>
          <w:rFonts w:ascii="Times New Roman" w:hAnsi="Times New Roman" w:eastAsia="Times New Roman" w:cs="Times New Roman"/>
          <w:sz w:val="21"/>
          <w:szCs w:val="21"/>
          <w:spacing w:val="1"/>
        </w:rPr>
        <w:t>3.0  </w:t>
      </w:r>
      <w:r>
        <w:rPr>
          <w:rFonts w:ascii="SimSun" w:hAnsi="SimSun" w:eastAsia="SimSun" w:cs="SimSun"/>
          <w:sz w:val="21"/>
          <w:szCs w:val="21"/>
          <w:spacing w:val="1"/>
        </w:rPr>
        <w:t>是为了适应目前大型网站数据处理急速增长的业务</w:t>
      </w:r>
      <w:r>
        <w:rPr>
          <w:rFonts w:ascii="SimSun" w:hAnsi="SimSun" w:eastAsia="SimSun" w:cs="SimSun"/>
          <w:sz w:val="21"/>
          <w:szCs w:val="21"/>
        </w:rPr>
        <w:t>需求而产 </w:t>
      </w:r>
      <w:r>
        <w:rPr>
          <w:rFonts w:ascii="SimSun" w:hAnsi="SimSun" w:eastAsia="SimSun" w:cs="SimSun"/>
          <w:sz w:val="21"/>
          <w:szCs w:val="21"/>
          <w:spacing w:val="-9"/>
        </w:rPr>
        <w:t>生的。</w:t>
      </w:r>
    </w:p>
    <w:p>
      <w:pPr>
        <w:ind w:left="229" w:right="65" w:firstLine="489"/>
        <w:spacing w:before="73" w:line="265" w:lineRule="auto"/>
        <w:rPr>
          <w:rFonts w:ascii="SimSun" w:hAnsi="SimSun" w:eastAsia="SimSun" w:cs="SimSun"/>
          <w:sz w:val="21"/>
          <w:szCs w:val="21"/>
        </w:rPr>
      </w:pPr>
      <w:r>
        <w:rPr>
          <w:rFonts w:ascii="SimSun" w:hAnsi="SimSun" w:eastAsia="SimSun" w:cs="SimSun"/>
          <w:sz w:val="21"/>
          <w:szCs w:val="21"/>
          <w:spacing w:val="4"/>
        </w:rPr>
        <w:t>据</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统计，截至2010年底，全球的数据中心总量为339万个[321,这个数</w:t>
      </w:r>
      <w:r>
        <w:rPr>
          <w:rFonts w:ascii="SimSun" w:hAnsi="SimSun" w:eastAsia="SimSun" w:cs="SimSun"/>
          <w:sz w:val="21"/>
          <w:szCs w:val="21"/>
        </w:rPr>
        <w:t xml:space="preserve"> </w:t>
      </w:r>
      <w:r>
        <w:rPr>
          <w:rFonts w:ascii="SimSun" w:hAnsi="SimSun" w:eastAsia="SimSun" w:cs="SimSun"/>
          <w:sz w:val="21"/>
          <w:szCs w:val="21"/>
        </w:rPr>
        <w:t>字包括了为第三方服务的</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rPr>
        <w:t>数据中心、行业和企业自建的数据中心，还包括大量 </w:t>
      </w:r>
      <w:r>
        <w:rPr>
          <w:rFonts w:ascii="SimSun" w:hAnsi="SimSun" w:eastAsia="SimSun" w:cs="SimSun"/>
          <w:sz w:val="21"/>
          <w:szCs w:val="21"/>
          <w:spacing w:val="6"/>
        </w:rPr>
        <w:t>企业自用的机房。其中美国和西欧的数量分别达到了96万和68</w:t>
      </w:r>
      <w:r>
        <w:rPr>
          <w:rFonts w:ascii="SimSun" w:hAnsi="SimSun" w:eastAsia="SimSun" w:cs="SimSun"/>
          <w:sz w:val="21"/>
          <w:szCs w:val="21"/>
          <w:spacing w:val="-28"/>
        </w:rPr>
        <w:t xml:space="preserve"> </w:t>
      </w:r>
      <w:r>
        <w:rPr>
          <w:rFonts w:ascii="SimSun" w:hAnsi="SimSun" w:eastAsia="SimSun" w:cs="SimSun"/>
          <w:sz w:val="21"/>
          <w:szCs w:val="21"/>
          <w:spacing w:val="6"/>
        </w:rPr>
        <w:t>万，占全</w:t>
      </w:r>
      <w:r>
        <w:rPr>
          <w:rFonts w:ascii="SimSun" w:hAnsi="SimSun" w:eastAsia="SimSun" w:cs="SimSun"/>
          <w:sz w:val="21"/>
          <w:szCs w:val="21"/>
          <w:spacing w:val="5"/>
        </w:rPr>
        <w:t>球总量接</w:t>
      </w:r>
      <w:r>
        <w:rPr>
          <w:rFonts w:ascii="SimSun" w:hAnsi="SimSun" w:eastAsia="SimSun" w:cs="SimSun"/>
          <w:sz w:val="21"/>
          <w:szCs w:val="21"/>
        </w:rPr>
        <w:t xml:space="preserve"> </w:t>
      </w:r>
      <w:r>
        <w:rPr>
          <w:rFonts w:ascii="SimSun" w:hAnsi="SimSun" w:eastAsia="SimSun" w:cs="SimSun"/>
          <w:sz w:val="21"/>
          <w:szCs w:val="21"/>
          <w:spacing w:val="6"/>
        </w:rPr>
        <w:t>近一半；中国约有45.6万个，占全球总量8%。2012年中国数据中心总数量已经达 </w:t>
      </w:r>
      <w:r>
        <w:rPr>
          <w:rFonts w:ascii="SimSun" w:hAnsi="SimSun" w:eastAsia="SimSun" w:cs="SimSun"/>
          <w:sz w:val="21"/>
          <w:szCs w:val="21"/>
          <w:spacing w:val="4"/>
        </w:rPr>
        <w:t>到51万个。据预计，到2017年，全球数据中心数量</w:t>
      </w:r>
      <w:r>
        <w:rPr>
          <w:rFonts w:ascii="SimSun" w:hAnsi="SimSun" w:eastAsia="SimSun" w:cs="SimSun"/>
          <w:sz w:val="21"/>
          <w:szCs w:val="21"/>
          <w:spacing w:val="3"/>
        </w:rPr>
        <w:t>将达到860万个。如此庞大的数 </w:t>
      </w:r>
      <w:r>
        <w:rPr>
          <w:rFonts w:ascii="SimSun" w:hAnsi="SimSun" w:eastAsia="SimSun" w:cs="SimSun"/>
          <w:sz w:val="21"/>
          <w:szCs w:val="21"/>
          <w:spacing w:val="-8"/>
        </w:rPr>
        <w:t>据中心规模，</w:t>
      </w:r>
      <w:r>
        <w:rPr>
          <w:rFonts w:ascii="SimSun" w:hAnsi="SimSun" w:eastAsia="SimSun" w:cs="SimSun"/>
          <w:sz w:val="21"/>
          <w:szCs w:val="21"/>
          <w:spacing w:val="58"/>
        </w:rPr>
        <w:t xml:space="preserve"> </w:t>
      </w:r>
      <w:r>
        <w:rPr>
          <w:rFonts w:ascii="SimSun" w:hAnsi="SimSun" w:eastAsia="SimSun" w:cs="SimSun"/>
          <w:sz w:val="21"/>
          <w:szCs w:val="21"/>
          <w:spacing w:val="-8"/>
        </w:rPr>
        <w:t>一方面反映出数据急剧增长后对存储空间的需求，另一方面也反映出数</w:t>
      </w:r>
      <w:r>
        <w:rPr>
          <w:rFonts w:ascii="SimSun" w:hAnsi="SimSun" w:eastAsia="SimSun" w:cs="SimSun"/>
          <w:sz w:val="21"/>
          <w:szCs w:val="21"/>
        </w:rPr>
        <w:t xml:space="preserve"> </w:t>
      </w:r>
      <w:r>
        <w:rPr>
          <w:rFonts w:ascii="SimSun" w:hAnsi="SimSun" w:eastAsia="SimSun" w:cs="SimSun"/>
          <w:sz w:val="21"/>
          <w:szCs w:val="21"/>
          <w:spacing w:val="-4"/>
        </w:rPr>
        <w:t>据的远程存储规模越来越大，毕竟不是每个组织都能够为自己建立一个数据中心。</w:t>
      </w:r>
    </w:p>
    <w:p>
      <w:pPr>
        <w:ind w:left="229" w:right="66" w:firstLine="489"/>
        <w:spacing w:before="79" w:line="266" w:lineRule="auto"/>
        <w:rPr>
          <w:rFonts w:ascii="SimHei" w:hAnsi="SimHei" w:eastAsia="SimHei" w:cs="SimHei"/>
          <w:sz w:val="21"/>
          <w:szCs w:val="21"/>
        </w:rPr>
      </w:pPr>
      <w:r>
        <w:rPr>
          <w:rFonts w:ascii="SimSun" w:hAnsi="SimSun" w:eastAsia="SimSun" w:cs="SimSun"/>
          <w:sz w:val="21"/>
          <w:szCs w:val="21"/>
          <w:spacing w:val="5"/>
        </w:rPr>
        <w:t>根据</w:t>
      </w: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的统计，2012年全球共有329</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个人数据，只有不到7%的个人数</w:t>
      </w:r>
      <w:r>
        <w:rPr>
          <w:rFonts w:ascii="SimSun" w:hAnsi="SimSun" w:eastAsia="SimSun" w:cs="SimSun"/>
          <w:sz w:val="21"/>
          <w:szCs w:val="21"/>
        </w:rPr>
        <w:t xml:space="preserve"> </w:t>
      </w:r>
      <w:r>
        <w:rPr>
          <w:rFonts w:ascii="SimSun" w:hAnsi="SimSun" w:eastAsia="SimSun" w:cs="SimSun"/>
          <w:sz w:val="21"/>
          <w:szCs w:val="21"/>
          <w:spacing w:val="2"/>
        </w:rPr>
        <w:t>据存储在云端33]。随着消费者使用智能手机和平板电脑产生的数据越来越多(例如</w:t>
      </w:r>
      <w:r>
        <w:rPr>
          <w:rFonts w:ascii="SimSun" w:hAnsi="SimSun" w:eastAsia="SimSun" w:cs="SimSun"/>
          <w:sz w:val="21"/>
          <w:szCs w:val="21"/>
          <w:spacing w:val="8"/>
        </w:rPr>
        <w:t xml:space="preserve"> </w:t>
      </w:r>
      <w:r>
        <w:rPr>
          <w:rFonts w:ascii="SimSun" w:hAnsi="SimSun" w:eastAsia="SimSun" w:cs="SimSun"/>
          <w:sz w:val="21"/>
          <w:szCs w:val="21"/>
          <w:spacing w:val="7"/>
        </w:rPr>
        <w:t>拍照和视频录制),消费者将开始选择本地存储(例如计算机硬盘和移动硬盘)之外</w:t>
      </w:r>
      <w:r>
        <w:rPr>
          <w:rFonts w:ascii="SimSun" w:hAnsi="SimSun" w:eastAsia="SimSun" w:cs="SimSun"/>
          <w:sz w:val="21"/>
          <w:szCs w:val="21"/>
          <w:spacing w:val="13"/>
        </w:rPr>
        <w:t xml:space="preserve"> </w:t>
      </w:r>
      <w:r>
        <w:rPr>
          <w:rFonts w:ascii="SimSun" w:hAnsi="SimSun" w:eastAsia="SimSun" w:cs="SimSun"/>
          <w:sz w:val="21"/>
          <w:szCs w:val="21"/>
          <w:spacing w:val="3"/>
        </w:rPr>
        <w:t>的存储方式。2016年全球个人数字将急剧膨胀到4.1</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2"/>
        </w:rPr>
        <w:t>,   </w:t>
      </w:r>
      <w:r>
        <w:rPr>
          <w:rFonts w:ascii="SimSun" w:hAnsi="SimSun" w:eastAsia="SimSun" w:cs="SimSun"/>
          <w:sz w:val="21"/>
          <w:szCs w:val="21"/>
          <w:spacing w:val="2"/>
        </w:rPr>
        <w:t>随着数据自动化同步到云</w:t>
      </w:r>
      <w:r>
        <w:rPr>
          <w:rFonts w:ascii="SimSun" w:hAnsi="SimSun" w:eastAsia="SimSun" w:cs="SimSun"/>
          <w:sz w:val="21"/>
          <w:szCs w:val="21"/>
        </w:rPr>
        <w:t xml:space="preserve"> </w:t>
      </w:r>
      <w:r>
        <w:rPr>
          <w:rFonts w:ascii="SimSun" w:hAnsi="SimSun" w:eastAsia="SimSun" w:cs="SimSun"/>
          <w:sz w:val="21"/>
          <w:szCs w:val="21"/>
          <w:spacing w:val="5"/>
        </w:rPr>
        <w:t>端的技术不断成熟，将有36%的个人数据将被转移到云端。另据 </w:t>
      </w:r>
      <w:r>
        <w:rPr>
          <w:rFonts w:ascii="Times New Roman" w:hAnsi="Times New Roman" w:eastAsia="Times New Roman" w:cs="Times New Roman"/>
          <w:sz w:val="21"/>
          <w:szCs w:val="21"/>
        </w:rPr>
        <w:t>Seagate</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5"/>
        </w:rPr>
        <w:t>预计，到</w:t>
      </w:r>
      <w:r>
        <w:rPr>
          <w:rFonts w:ascii="SimSun" w:hAnsi="SimSun" w:eastAsia="SimSun" w:cs="SimSun"/>
          <w:sz w:val="21"/>
          <w:szCs w:val="21"/>
        </w:rPr>
        <w:t xml:space="preserve"> </w:t>
      </w:r>
      <w:r>
        <w:rPr>
          <w:rFonts w:ascii="SimSun" w:hAnsi="SimSun" w:eastAsia="SimSun" w:cs="SimSun"/>
          <w:sz w:val="21"/>
          <w:szCs w:val="21"/>
          <w:spacing w:val="6"/>
        </w:rPr>
        <w:t>2020年，70%的数据将存储在云端，而在2014年，60%的数据存储在个人端的设备</w:t>
      </w:r>
      <w:r>
        <w:rPr>
          <w:rFonts w:ascii="SimSun" w:hAnsi="SimSun" w:eastAsia="SimSun" w:cs="SimSun"/>
          <w:sz w:val="21"/>
          <w:szCs w:val="21"/>
          <w:spacing w:val="16"/>
        </w:rPr>
        <w:t xml:space="preserve"> </w:t>
      </w:r>
      <w:r>
        <w:rPr>
          <w:rFonts w:ascii="SimHei" w:hAnsi="SimHei" w:eastAsia="SimHei" w:cs="SimHei"/>
          <w:sz w:val="21"/>
          <w:szCs w:val="21"/>
          <w:spacing w:val="-27"/>
          <w:w w:val="98"/>
        </w:rPr>
        <w:t>中[34]。</w:t>
      </w:r>
    </w:p>
    <w:p>
      <w:pPr>
        <w:ind w:left="229" w:firstLine="489"/>
        <w:spacing w:before="82" w:line="253" w:lineRule="auto"/>
        <w:rPr>
          <w:rFonts w:ascii="SimSun" w:hAnsi="SimSun" w:eastAsia="SimSun" w:cs="SimSun"/>
          <w:sz w:val="21"/>
          <w:szCs w:val="21"/>
        </w:rPr>
      </w:pPr>
      <w:r>
        <w:rPr>
          <w:rFonts w:ascii="SimSun" w:hAnsi="SimSun" w:eastAsia="SimSun" w:cs="SimSun"/>
          <w:sz w:val="21"/>
          <w:szCs w:val="21"/>
          <w:spacing w:val="-2"/>
        </w:rPr>
        <w:t>数据在云端的存储必然对数据远程传输提出</w:t>
      </w:r>
      <w:r>
        <w:rPr>
          <w:rFonts w:ascii="SimSun" w:hAnsi="SimSun" w:eastAsia="SimSun" w:cs="SimSun"/>
          <w:sz w:val="21"/>
          <w:szCs w:val="21"/>
          <w:spacing w:val="-3"/>
        </w:rPr>
        <w:t>更多的要求，例如数据传输的安全、</w:t>
      </w:r>
      <w:r>
        <w:rPr>
          <w:rFonts w:ascii="SimSun" w:hAnsi="SimSun" w:eastAsia="SimSun" w:cs="SimSun"/>
          <w:sz w:val="21"/>
          <w:szCs w:val="21"/>
        </w:rPr>
        <w:t xml:space="preserve"> </w:t>
      </w:r>
      <w:r>
        <w:rPr>
          <w:rFonts w:ascii="SimSun" w:hAnsi="SimSun" w:eastAsia="SimSun" w:cs="SimSun"/>
          <w:sz w:val="21"/>
          <w:szCs w:val="21"/>
          <w:spacing w:val="2"/>
        </w:rPr>
        <w:t>速率、完整性等。因此，在数据本地化存储空间不</w:t>
      </w:r>
      <w:r>
        <w:rPr>
          <w:rFonts w:ascii="SimSun" w:hAnsi="SimSun" w:eastAsia="SimSun" w:cs="SimSun"/>
          <w:sz w:val="21"/>
          <w:szCs w:val="21"/>
          <w:spacing w:val="1"/>
        </w:rPr>
        <w:t>足和成本高昂的背景下，数据存</w:t>
      </w:r>
      <w:r>
        <w:rPr>
          <w:rFonts w:ascii="SimSun" w:hAnsi="SimSun" w:eastAsia="SimSun" w:cs="SimSun"/>
          <w:sz w:val="21"/>
          <w:szCs w:val="21"/>
        </w:rPr>
        <w:t xml:space="preserve">  </w:t>
      </w:r>
      <w:r>
        <w:rPr>
          <w:rFonts w:ascii="SimSun" w:hAnsi="SimSun" w:eastAsia="SimSun" w:cs="SimSun"/>
          <w:sz w:val="21"/>
          <w:szCs w:val="21"/>
          <w:spacing w:val="2"/>
        </w:rPr>
        <w:t>储在云端或异地数据中心将越来越多，远程存储和远程传</w:t>
      </w:r>
      <w:r>
        <w:rPr>
          <w:rFonts w:ascii="SimSun" w:hAnsi="SimSun" w:eastAsia="SimSun" w:cs="SimSun"/>
          <w:sz w:val="21"/>
          <w:szCs w:val="21"/>
          <w:spacing w:val="1"/>
        </w:rPr>
        <w:t>输成为云计算环境下数据</w:t>
      </w:r>
      <w:r>
        <w:rPr>
          <w:rFonts w:ascii="SimSun" w:hAnsi="SimSun" w:eastAsia="SimSun" w:cs="SimSun"/>
          <w:sz w:val="21"/>
          <w:szCs w:val="21"/>
        </w:rPr>
        <w:t xml:space="preserve">  </w:t>
      </w:r>
      <w:r>
        <w:rPr>
          <w:rFonts w:ascii="SimSun" w:hAnsi="SimSun" w:eastAsia="SimSun" w:cs="SimSun"/>
          <w:sz w:val="21"/>
          <w:szCs w:val="21"/>
          <w:spacing w:val="-5"/>
        </w:rPr>
        <w:t>的特点之一。</w:t>
      </w:r>
    </w:p>
    <w:p>
      <w:pPr>
        <w:ind w:left="719"/>
        <w:spacing w:before="101" w:line="219" w:lineRule="auto"/>
        <w:rPr>
          <w:rFonts w:ascii="SimSun" w:hAnsi="SimSun" w:eastAsia="SimSun" w:cs="SimSun"/>
          <w:sz w:val="21"/>
          <w:szCs w:val="21"/>
        </w:rPr>
      </w:pPr>
      <w:r>
        <w:rPr>
          <w:rFonts w:ascii="SimSun" w:hAnsi="SimSun" w:eastAsia="SimSun" w:cs="SimSun"/>
          <w:sz w:val="21"/>
          <w:szCs w:val="21"/>
          <w:spacing w:val="-2"/>
        </w:rPr>
        <w:t>第三，云计算环境下数据的安全威胁更多、合规要求更复杂。</w:t>
      </w:r>
    </w:p>
    <w:p>
      <w:pPr>
        <w:ind w:left="229" w:right="74" w:firstLine="489"/>
        <w:spacing w:before="60" w:line="255" w:lineRule="auto"/>
        <w:rPr>
          <w:rFonts w:ascii="SimSun" w:hAnsi="SimSun" w:eastAsia="SimSun" w:cs="SimSun"/>
          <w:sz w:val="21"/>
          <w:szCs w:val="21"/>
        </w:rPr>
      </w:pPr>
      <w:r>
        <w:rPr>
          <w:rFonts w:ascii="SimSun" w:hAnsi="SimSun" w:eastAsia="SimSun" w:cs="SimSun"/>
          <w:sz w:val="21"/>
          <w:szCs w:val="21"/>
          <w:spacing w:val="4"/>
        </w:rPr>
        <w:t>在</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ISACA</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一项调查中，约45%的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专业受访者表示，云计算所涉及的风险已</w:t>
      </w:r>
      <w:r>
        <w:rPr>
          <w:rFonts w:ascii="SimSun" w:hAnsi="SimSun" w:eastAsia="SimSun" w:cs="SimSun"/>
          <w:sz w:val="21"/>
          <w:szCs w:val="21"/>
        </w:rPr>
        <w:t xml:space="preserve"> </w:t>
      </w:r>
      <w:r>
        <w:rPr>
          <w:rFonts w:ascii="SimSun" w:hAnsi="SimSun" w:eastAsia="SimSun" w:cs="SimSun"/>
          <w:sz w:val="21"/>
          <w:szCs w:val="21"/>
          <w:spacing w:val="1"/>
        </w:rPr>
        <w:t>高于任何利益的回报35]。美国</w:t>
      </w:r>
      <w:r>
        <w:rPr>
          <w:rFonts w:ascii="Times New Roman" w:hAnsi="Times New Roman" w:eastAsia="Times New Roman" w:cs="Times New Roman"/>
          <w:sz w:val="21"/>
          <w:szCs w:val="21"/>
        </w:rPr>
        <w:t>IDG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公司2013年对1300多位企业高管进行调研，66%</w:t>
      </w:r>
      <w:r>
        <w:rPr>
          <w:rFonts w:ascii="SimSun" w:hAnsi="SimSun" w:eastAsia="SimSun" w:cs="SimSun"/>
          <w:sz w:val="21"/>
          <w:szCs w:val="21"/>
        </w:rPr>
        <w:t xml:space="preserve"> </w:t>
      </w:r>
      <w:r>
        <w:rPr>
          <w:rFonts w:ascii="SimSun" w:hAnsi="SimSun" w:eastAsia="SimSun" w:cs="SimSun"/>
          <w:sz w:val="21"/>
          <w:szCs w:val="21"/>
          <w:spacing w:val="7"/>
        </w:rPr>
        <w:t>的企业高管认为安全问题(包括访问控制、数据保护等)是云计算中的关键因素。</w:t>
      </w:r>
    </w:p>
    <w:p>
      <w:pPr>
        <w:spacing w:line="255" w:lineRule="auto"/>
        <w:sectPr>
          <w:footerReference w:type="default" r:id="rId104"/>
          <w:pgSz w:w="8870" w:h="13400"/>
          <w:pgMar w:top="400" w:right="494" w:bottom="407" w:left="390" w:header="0" w:footer="198" w:gutter="0"/>
        </w:sectPr>
        <w:rPr>
          <w:rFonts w:ascii="SimSun" w:hAnsi="SimSun" w:eastAsia="SimSun" w:cs="SimSun"/>
          <w:sz w:val="21"/>
          <w:szCs w:val="21"/>
        </w:rPr>
      </w:pPr>
    </w:p>
    <w:p>
      <w:pPr>
        <w:ind w:left="4703"/>
        <w:spacing w:before="204" w:line="219" w:lineRule="auto"/>
        <w:rPr>
          <w:rFonts w:ascii="SimSun" w:hAnsi="SimSun" w:eastAsia="SimSun" w:cs="SimSun"/>
          <w:sz w:val="21"/>
          <w:szCs w:val="21"/>
        </w:rPr>
      </w:pPr>
      <w:r>
        <w:rPr>
          <w:rFonts w:ascii="SimSun" w:hAnsi="SimSun" w:eastAsia="SimSun" w:cs="SimSun"/>
          <w:sz w:val="21"/>
          <w:szCs w:val="21"/>
          <w:b/>
          <w:bCs/>
          <w:spacing w:val="8"/>
        </w:rPr>
        <w:t>第2章■大数据与云端数据治理</w:t>
      </w:r>
    </w:p>
    <w:p>
      <w:pPr>
        <w:pStyle w:val="BodyText"/>
        <w:spacing w:line="254" w:lineRule="auto"/>
        <w:rPr/>
      </w:pPr>
      <w:r/>
    </w:p>
    <w:p>
      <w:pPr>
        <w:ind w:right="296"/>
        <w:spacing w:before="68" w:line="269" w:lineRule="auto"/>
        <w:rPr>
          <w:rFonts w:ascii="SimSun" w:hAnsi="SimSun" w:eastAsia="SimSun" w:cs="SimSun"/>
          <w:sz w:val="21"/>
          <w:szCs w:val="21"/>
        </w:rPr>
      </w:pPr>
      <w:r>
        <w:rPr>
          <w:rFonts w:ascii="SimSun" w:hAnsi="SimSun" w:eastAsia="SimSun" w:cs="SimSun"/>
          <w:sz w:val="21"/>
          <w:szCs w:val="21"/>
          <w:spacing w:val="2"/>
        </w:rPr>
        <w:t>近年来，云服务上的数据安全事件频发。2013年，斯诺登“棱镜门”事件曝光了美</w:t>
      </w:r>
      <w:r>
        <w:rPr>
          <w:rFonts w:ascii="SimSun" w:hAnsi="SimSun" w:eastAsia="SimSun" w:cs="SimSun"/>
          <w:sz w:val="21"/>
          <w:szCs w:val="21"/>
          <w:spacing w:val="14"/>
        </w:rPr>
        <w:t xml:space="preserve"> </w:t>
      </w:r>
      <w:r>
        <w:rPr>
          <w:rFonts w:ascii="SimSun" w:hAnsi="SimSun" w:eastAsia="SimSun" w:cs="SimSun"/>
          <w:sz w:val="21"/>
          <w:szCs w:val="21"/>
          <w:spacing w:val="2"/>
        </w:rPr>
        <w:t>国国家安全局的秘密监听计划，事件表明美国政府通过技术手段一直在对</w:t>
      </w:r>
      <w:r>
        <w:rPr>
          <w:rFonts w:ascii="SimSun" w:hAnsi="SimSun" w:eastAsia="SimSun" w:cs="SimSun"/>
          <w:sz w:val="21"/>
          <w:szCs w:val="21"/>
          <w:spacing w:val="1"/>
        </w:rPr>
        <w:t>各大网络</w:t>
      </w:r>
      <w:r>
        <w:rPr>
          <w:rFonts w:ascii="SimSun" w:hAnsi="SimSun" w:eastAsia="SimSun" w:cs="SimSun"/>
          <w:sz w:val="21"/>
          <w:szCs w:val="21"/>
        </w:rPr>
        <w:t xml:space="preserve"> </w:t>
      </w:r>
      <w:r>
        <w:rPr>
          <w:rFonts w:ascii="SimSun" w:hAnsi="SimSun" w:eastAsia="SimSun" w:cs="SimSun"/>
          <w:sz w:val="21"/>
          <w:szCs w:val="21"/>
          <w:spacing w:val="5"/>
        </w:rPr>
        <w:t>服务商的服务器进行监听，并对获取的用户数据进行分析。2012年8月，苹果公司</w:t>
      </w:r>
      <w:r>
        <w:rPr>
          <w:rFonts w:ascii="SimSun" w:hAnsi="SimSun" w:eastAsia="SimSun" w:cs="SimSun"/>
          <w:sz w:val="21"/>
          <w:szCs w:val="21"/>
          <w:spacing w:val="2"/>
        </w:rPr>
        <w:t xml:space="preserve"> </w:t>
      </w:r>
      <w:r>
        <w:rPr>
          <w:rFonts w:ascii="SimSun" w:hAnsi="SimSun" w:eastAsia="SimSun" w:cs="SimSun"/>
          <w:sz w:val="21"/>
          <w:szCs w:val="21"/>
          <w:spacing w:val="-1"/>
        </w:rPr>
        <w:t>的</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iCloud</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云服务受到黑客攻击，黑客暴力破解用户密码后，删除了部分用户资料。</w:t>
      </w:r>
      <w:r>
        <w:rPr>
          <w:rFonts w:ascii="SimSun" w:hAnsi="SimSun" w:eastAsia="SimSun" w:cs="SimSun"/>
          <w:sz w:val="21"/>
          <w:szCs w:val="21"/>
        </w:rPr>
        <w:t xml:space="preserve"> </w:t>
      </w:r>
      <w:r>
        <w:rPr>
          <w:rFonts w:ascii="SimSun" w:hAnsi="SimSun" w:eastAsia="SimSun" w:cs="SimSun"/>
          <w:sz w:val="21"/>
          <w:szCs w:val="21"/>
          <w:spacing w:val="-1"/>
        </w:rPr>
        <w:t>而云平台并未备份用户数据，导致了用户数据的丢失。</w:t>
      </w:r>
    </w:p>
    <w:p>
      <w:pPr>
        <w:ind w:right="287" w:firstLine="450"/>
        <w:spacing w:before="39" w:line="265" w:lineRule="auto"/>
        <w:jc w:val="both"/>
        <w:rPr>
          <w:rFonts w:ascii="SimSun" w:hAnsi="SimSun" w:eastAsia="SimSun" w:cs="SimSun"/>
          <w:sz w:val="21"/>
          <w:szCs w:val="21"/>
        </w:rPr>
      </w:pPr>
      <w:r>
        <w:rPr>
          <w:rFonts w:ascii="SimSun" w:hAnsi="SimSun" w:eastAsia="SimSun" w:cs="SimSun"/>
          <w:sz w:val="21"/>
          <w:szCs w:val="21"/>
          <w:spacing w:val="2"/>
        </w:rPr>
        <w:t>云端数据安全是数据安全的一个重要研究对象，但云端数据的海量、远程、多</w:t>
      </w:r>
      <w:r>
        <w:rPr>
          <w:rFonts w:ascii="SimSun" w:hAnsi="SimSun" w:eastAsia="SimSun" w:cs="SimSun"/>
          <w:sz w:val="21"/>
          <w:szCs w:val="21"/>
        </w:rPr>
        <w:t xml:space="preserve"> </w:t>
      </w:r>
      <w:r>
        <w:rPr>
          <w:rFonts w:ascii="SimSun" w:hAnsi="SimSun" w:eastAsia="SimSun" w:cs="SimSun"/>
          <w:sz w:val="21"/>
          <w:szCs w:val="21"/>
          <w:spacing w:val="2"/>
        </w:rPr>
        <w:t>源、异构和动态性等特征导致其与传统封闭环境下数据安全有所区别，</w:t>
      </w:r>
      <w:r>
        <w:rPr>
          <w:rFonts w:ascii="SimSun" w:hAnsi="SimSun" w:eastAsia="SimSun" w:cs="SimSun"/>
          <w:sz w:val="21"/>
          <w:szCs w:val="21"/>
          <w:spacing w:val="1"/>
        </w:rPr>
        <w:t>必须分析研</w:t>
      </w:r>
      <w:r>
        <w:rPr>
          <w:rFonts w:ascii="SimSun" w:hAnsi="SimSun" w:eastAsia="SimSun" w:cs="SimSun"/>
          <w:sz w:val="21"/>
          <w:szCs w:val="21"/>
        </w:rPr>
        <w:t xml:space="preserve"> </w:t>
      </w:r>
      <w:r>
        <w:rPr>
          <w:rFonts w:ascii="SimSun" w:hAnsi="SimSun" w:eastAsia="SimSun" w:cs="SimSun"/>
          <w:sz w:val="21"/>
          <w:szCs w:val="21"/>
          <w:spacing w:val="2"/>
        </w:rPr>
        <w:t>究传统数据生命周期各阶段的安全防护技术和产品在开放环境下、云端数据应用场</w:t>
      </w:r>
      <w:r>
        <w:rPr>
          <w:rFonts w:ascii="SimSun" w:hAnsi="SimSun" w:eastAsia="SimSun" w:cs="SimSun"/>
          <w:sz w:val="21"/>
          <w:szCs w:val="21"/>
        </w:rPr>
        <w:t xml:space="preserve"> </w:t>
      </w:r>
      <w:r>
        <w:rPr>
          <w:rFonts w:ascii="SimSun" w:hAnsi="SimSun" w:eastAsia="SimSun" w:cs="SimSun"/>
          <w:sz w:val="21"/>
          <w:szCs w:val="21"/>
          <w:spacing w:val="2"/>
        </w:rPr>
        <w:t>景下的适用性问题。首先，云端数据与云计算关联十分紧密，云计算本身面临的安</w:t>
      </w:r>
      <w:r>
        <w:rPr>
          <w:rFonts w:ascii="SimSun" w:hAnsi="SimSun" w:eastAsia="SimSun" w:cs="SimSun"/>
          <w:sz w:val="21"/>
          <w:szCs w:val="21"/>
        </w:rPr>
        <w:t xml:space="preserve"> </w:t>
      </w:r>
      <w:r>
        <w:rPr>
          <w:rFonts w:ascii="SimSun" w:hAnsi="SimSun" w:eastAsia="SimSun" w:cs="SimSun"/>
          <w:sz w:val="21"/>
          <w:szCs w:val="21"/>
          <w:spacing w:val="2"/>
        </w:rPr>
        <w:t>全问题也会转移到其承载的数据上。云计算相关技</w:t>
      </w:r>
      <w:r>
        <w:rPr>
          <w:rFonts w:ascii="SimSun" w:hAnsi="SimSun" w:eastAsia="SimSun" w:cs="SimSun"/>
          <w:sz w:val="21"/>
          <w:szCs w:val="21"/>
          <w:spacing w:val="1"/>
        </w:rPr>
        <w:t>术仍在快速发展当中，云计算系</w:t>
      </w:r>
      <w:r>
        <w:rPr>
          <w:rFonts w:ascii="SimSun" w:hAnsi="SimSun" w:eastAsia="SimSun" w:cs="SimSun"/>
          <w:sz w:val="21"/>
          <w:szCs w:val="21"/>
        </w:rPr>
        <w:t xml:space="preserve"> </w:t>
      </w:r>
      <w:r>
        <w:rPr>
          <w:rFonts w:ascii="SimSun" w:hAnsi="SimSun" w:eastAsia="SimSun" w:cs="SimSun"/>
          <w:sz w:val="21"/>
          <w:szCs w:val="21"/>
          <w:spacing w:val="2"/>
        </w:rPr>
        <w:t>统的架构和特性还在发展变化过程中，其脆弱性和安全需求也随之而变化，这为其</w:t>
      </w:r>
      <w:r>
        <w:rPr>
          <w:rFonts w:ascii="SimSun" w:hAnsi="SimSun" w:eastAsia="SimSun" w:cs="SimSun"/>
          <w:sz w:val="21"/>
          <w:szCs w:val="21"/>
          <w:spacing w:val="15"/>
        </w:rPr>
        <w:t xml:space="preserve"> </w:t>
      </w:r>
      <w:r>
        <w:rPr>
          <w:rFonts w:ascii="SimSun" w:hAnsi="SimSun" w:eastAsia="SimSun" w:cs="SimSun"/>
          <w:sz w:val="21"/>
          <w:szCs w:val="21"/>
          <w:spacing w:val="-5"/>
        </w:rPr>
        <w:t>安全性的保障带来了困难。</w:t>
      </w:r>
    </w:p>
    <w:p>
      <w:pPr>
        <w:ind w:left="450"/>
        <w:spacing w:before="111" w:line="219" w:lineRule="auto"/>
        <w:rPr>
          <w:rFonts w:ascii="SimSun" w:hAnsi="SimSun" w:eastAsia="SimSun" w:cs="SimSun"/>
          <w:sz w:val="21"/>
          <w:szCs w:val="21"/>
        </w:rPr>
      </w:pPr>
      <w:r>
        <w:rPr>
          <w:rFonts w:ascii="SimSun" w:hAnsi="SimSun" w:eastAsia="SimSun" w:cs="SimSun"/>
          <w:sz w:val="21"/>
          <w:szCs w:val="21"/>
        </w:rPr>
        <w:t>云端数据自身特点带来的安全威胁，可以分为技术和</w:t>
      </w:r>
      <w:r>
        <w:rPr>
          <w:rFonts w:ascii="SimSun" w:hAnsi="SimSun" w:eastAsia="SimSun" w:cs="SimSun"/>
          <w:sz w:val="21"/>
          <w:szCs w:val="21"/>
          <w:spacing w:val="-1"/>
        </w:rPr>
        <w:t>管理两方面。</w:t>
      </w:r>
    </w:p>
    <w:p>
      <w:pPr>
        <w:ind w:right="222" w:firstLine="450"/>
        <w:spacing w:before="58" w:line="264" w:lineRule="auto"/>
        <w:rPr>
          <w:rFonts w:ascii="SimSun" w:hAnsi="SimSun" w:eastAsia="SimSun" w:cs="SimSun"/>
          <w:sz w:val="21"/>
          <w:szCs w:val="21"/>
        </w:rPr>
      </w:pPr>
      <w:r>
        <w:rPr>
          <w:rFonts w:ascii="SimSun" w:hAnsi="SimSun" w:eastAsia="SimSun" w:cs="SimSun"/>
          <w:sz w:val="21"/>
          <w:szCs w:val="21"/>
          <w:spacing w:val="-4"/>
        </w:rPr>
        <w:t>技术上，云端数据的远程存储对传输性能和安全性提出了更高的要求。其本身大</w:t>
      </w:r>
      <w:r>
        <w:rPr>
          <w:rFonts w:ascii="SimSun" w:hAnsi="SimSun" w:eastAsia="SimSun" w:cs="SimSun"/>
          <w:sz w:val="21"/>
          <w:szCs w:val="21"/>
          <w:spacing w:val="8"/>
        </w:rPr>
        <w:t xml:space="preserve"> </w:t>
      </w:r>
      <w:r>
        <w:rPr>
          <w:rFonts w:ascii="SimSun" w:hAnsi="SimSun" w:eastAsia="SimSun" w:cs="SimSun"/>
          <w:sz w:val="21"/>
          <w:szCs w:val="21"/>
          <w:spacing w:val="-3"/>
        </w:rPr>
        <w:t>体量数据的远程传输就是一个难点，而且目前对</w:t>
      </w:r>
      <w:r>
        <w:rPr>
          <w:rFonts w:ascii="SimSun" w:hAnsi="SimSun" w:eastAsia="SimSun" w:cs="SimSun"/>
          <w:sz w:val="21"/>
          <w:szCs w:val="21"/>
          <w:spacing w:val="-4"/>
        </w:rPr>
        <w:t>数据传输的及时性和数据处理的时效 </w:t>
      </w:r>
      <w:r>
        <w:rPr>
          <w:rFonts w:ascii="SimSun" w:hAnsi="SimSun" w:eastAsia="SimSun" w:cs="SimSun"/>
          <w:sz w:val="21"/>
          <w:szCs w:val="21"/>
          <w:spacing w:val="-4"/>
        </w:rPr>
        <w:t>性都有非常高的要求，所以如何既保证数据的高效传输又保证数据的安全是一个技术</w:t>
      </w:r>
      <w:r>
        <w:rPr>
          <w:rFonts w:ascii="SimSun" w:hAnsi="SimSun" w:eastAsia="SimSun" w:cs="SimSun"/>
          <w:sz w:val="21"/>
          <w:szCs w:val="21"/>
          <w:spacing w:val="3"/>
        </w:rPr>
        <w:t xml:space="preserve">  </w:t>
      </w:r>
      <w:r>
        <w:rPr>
          <w:rFonts w:ascii="SimSun" w:hAnsi="SimSun" w:eastAsia="SimSun" w:cs="SimSun"/>
          <w:sz w:val="21"/>
          <w:szCs w:val="21"/>
          <w:spacing w:val="-4"/>
        </w:rPr>
        <w:t>问题。数据可用性和完整性的破坏也是云端数据所必须面对的威胁。</w:t>
      </w:r>
      <w:r>
        <w:rPr>
          <w:rFonts w:ascii="SimSun" w:hAnsi="SimSun" w:eastAsia="SimSun" w:cs="SimSun"/>
          <w:sz w:val="21"/>
          <w:szCs w:val="21"/>
          <w:spacing w:val="-5"/>
        </w:rPr>
        <w:t>例如删除大量原</w:t>
      </w:r>
      <w:r>
        <w:rPr>
          <w:rFonts w:ascii="SimSun" w:hAnsi="SimSun" w:eastAsia="SimSun" w:cs="SimSun"/>
          <w:sz w:val="21"/>
          <w:szCs w:val="21"/>
        </w:rPr>
        <w:t xml:space="preserve">  </w:t>
      </w:r>
      <w:r>
        <w:rPr>
          <w:rFonts w:ascii="SimSun" w:hAnsi="SimSun" w:eastAsia="SimSun" w:cs="SimSun"/>
          <w:sz w:val="21"/>
          <w:szCs w:val="21"/>
          <w:spacing w:val="-7"/>
        </w:rPr>
        <w:t>始数据，可能导致永久性的损失；或是攻击者对部分数据进行加密，然后再进行勒索；</w:t>
      </w:r>
      <w:r>
        <w:rPr>
          <w:rFonts w:ascii="SimSun" w:hAnsi="SimSun" w:eastAsia="SimSun" w:cs="SimSun"/>
          <w:sz w:val="21"/>
          <w:szCs w:val="21"/>
          <w:spacing w:val="10"/>
        </w:rPr>
        <w:t xml:space="preserve"> </w:t>
      </w:r>
      <w:r>
        <w:rPr>
          <w:rFonts w:ascii="SimSun" w:hAnsi="SimSun" w:eastAsia="SimSun" w:cs="SimSun"/>
          <w:sz w:val="21"/>
          <w:szCs w:val="21"/>
          <w:spacing w:val="-4"/>
        </w:rPr>
        <w:t>对部分数据进行篡改或加入伪造数据，也可能对分析结果产生巨大影响。</w:t>
      </w:r>
    </w:p>
    <w:p>
      <w:pPr>
        <w:ind w:right="299" w:firstLine="450"/>
        <w:spacing w:before="72" w:line="263" w:lineRule="auto"/>
        <w:rPr>
          <w:rFonts w:ascii="SimSun" w:hAnsi="SimSun" w:eastAsia="SimSun" w:cs="SimSun"/>
          <w:sz w:val="21"/>
          <w:szCs w:val="21"/>
        </w:rPr>
      </w:pPr>
      <w:r>
        <w:rPr>
          <w:rFonts w:ascii="SimSun" w:hAnsi="SimSun" w:eastAsia="SimSun" w:cs="SimSun"/>
          <w:sz w:val="21"/>
          <w:szCs w:val="21"/>
          <w:spacing w:val="-4"/>
        </w:rPr>
        <w:t>在管理上，与本地数据相比，云端数据要面对的</w:t>
      </w:r>
      <w:r>
        <w:rPr>
          <w:rFonts w:ascii="SimSun" w:hAnsi="SimSun" w:eastAsia="SimSun" w:cs="SimSun"/>
          <w:sz w:val="21"/>
          <w:szCs w:val="21"/>
          <w:spacing w:val="-5"/>
        </w:rPr>
        <w:t>问题更多。首先，数据的归属权</w:t>
      </w:r>
      <w:r>
        <w:rPr>
          <w:rFonts w:ascii="SimSun" w:hAnsi="SimSun" w:eastAsia="SimSun" w:cs="SimSun"/>
          <w:sz w:val="21"/>
          <w:szCs w:val="21"/>
        </w:rPr>
        <w:t xml:space="preserve"> </w:t>
      </w:r>
      <w:r>
        <w:rPr>
          <w:rFonts w:ascii="SimSun" w:hAnsi="SimSun" w:eastAsia="SimSun" w:cs="SimSun"/>
          <w:sz w:val="21"/>
          <w:szCs w:val="21"/>
          <w:spacing w:val="-7"/>
        </w:rPr>
        <w:t>问题。 一方面来自于合规要求的差异性，在不同国家和地区会有不同的规定；另</w:t>
      </w:r>
      <w:r>
        <w:rPr>
          <w:rFonts w:ascii="SimSun" w:hAnsi="SimSun" w:eastAsia="SimSun" w:cs="SimSun"/>
          <w:sz w:val="21"/>
          <w:szCs w:val="21"/>
          <w:spacing w:val="-8"/>
        </w:rPr>
        <w:t>一方</w:t>
      </w:r>
      <w:r>
        <w:rPr>
          <w:rFonts w:ascii="SimSun" w:hAnsi="SimSun" w:eastAsia="SimSun" w:cs="SimSun"/>
          <w:sz w:val="21"/>
          <w:szCs w:val="21"/>
        </w:rPr>
        <w:t xml:space="preserve"> </w:t>
      </w:r>
      <w:r>
        <w:rPr>
          <w:rFonts w:ascii="SimSun" w:hAnsi="SimSun" w:eastAsia="SimSun" w:cs="SimSun"/>
          <w:sz w:val="21"/>
          <w:szCs w:val="21"/>
          <w:spacing w:val="-4"/>
        </w:rPr>
        <w:t>面则是云端数据的易获取，数据容易被修改</w:t>
      </w:r>
      <w:r>
        <w:rPr>
          <w:rFonts w:ascii="SimSun" w:hAnsi="SimSun" w:eastAsia="SimSun" w:cs="SimSun"/>
          <w:sz w:val="21"/>
          <w:szCs w:val="21"/>
          <w:spacing w:val="-5"/>
        </w:rPr>
        <w:t>并变成他人的数据。其次，数据的删除。</w:t>
      </w:r>
      <w:r>
        <w:rPr>
          <w:rFonts w:ascii="SimSun" w:hAnsi="SimSun" w:eastAsia="SimSun" w:cs="SimSun"/>
          <w:sz w:val="21"/>
          <w:szCs w:val="21"/>
        </w:rPr>
        <w:t xml:space="preserve"> </w:t>
      </w:r>
      <w:r>
        <w:rPr>
          <w:rFonts w:ascii="SimSun" w:hAnsi="SimSun" w:eastAsia="SimSun" w:cs="SimSun"/>
          <w:sz w:val="21"/>
          <w:szCs w:val="21"/>
          <w:spacing w:val="-4"/>
        </w:rPr>
        <w:t>由于远程存储或者数据分散存储在不同的数据中心上，当数据主体试图删除这些数据</w:t>
      </w:r>
      <w:r>
        <w:rPr>
          <w:rFonts w:ascii="SimSun" w:hAnsi="SimSun" w:eastAsia="SimSun" w:cs="SimSun"/>
          <w:sz w:val="21"/>
          <w:szCs w:val="21"/>
          <w:spacing w:val="9"/>
        </w:rPr>
        <w:t xml:space="preserve"> </w:t>
      </w:r>
      <w:r>
        <w:rPr>
          <w:rFonts w:ascii="SimSun" w:hAnsi="SimSun" w:eastAsia="SimSun" w:cs="SimSun"/>
          <w:sz w:val="21"/>
          <w:szCs w:val="21"/>
          <w:spacing w:val="-4"/>
        </w:rPr>
        <w:t>时，如何保证各数据中心的数据都能够真正被删除是个值得重视的问题。再次，数据</w:t>
      </w:r>
      <w:r>
        <w:rPr>
          <w:rFonts w:ascii="SimSun" w:hAnsi="SimSun" w:eastAsia="SimSun" w:cs="SimSun"/>
          <w:sz w:val="21"/>
          <w:szCs w:val="21"/>
          <w:spacing w:val="9"/>
        </w:rPr>
        <w:t xml:space="preserve"> </w:t>
      </w:r>
      <w:r>
        <w:rPr>
          <w:rFonts w:ascii="SimSun" w:hAnsi="SimSun" w:eastAsia="SimSun" w:cs="SimSun"/>
          <w:sz w:val="21"/>
          <w:szCs w:val="21"/>
          <w:spacing w:val="-4"/>
        </w:rPr>
        <w:t>收集前的告知形式和普遍存在的过度收集问题，也带来了隐私泄露的威胁。</w:t>
      </w:r>
    </w:p>
    <w:p>
      <w:pPr>
        <w:ind w:right="275" w:firstLine="450"/>
        <w:spacing w:before="79" w:line="268" w:lineRule="auto"/>
        <w:rPr>
          <w:rFonts w:ascii="SimSun" w:hAnsi="SimSun" w:eastAsia="SimSun" w:cs="SimSun"/>
          <w:sz w:val="21"/>
          <w:szCs w:val="21"/>
        </w:rPr>
      </w:pPr>
      <w:r>
        <w:rPr>
          <w:rFonts w:ascii="SimSun" w:hAnsi="SimSun" w:eastAsia="SimSun" w:cs="SimSun"/>
          <w:sz w:val="21"/>
          <w:szCs w:val="21"/>
          <w:spacing w:val="2"/>
        </w:rPr>
        <w:t>云计算和数据中心的搭配可以让数据的流通范围更广，很多跨国公司在全球范</w:t>
      </w:r>
      <w:r>
        <w:rPr>
          <w:rFonts w:ascii="SimSun" w:hAnsi="SimSun" w:eastAsia="SimSun" w:cs="SimSun"/>
          <w:sz w:val="21"/>
          <w:szCs w:val="21"/>
          <w:spacing w:val="13"/>
        </w:rPr>
        <w:t xml:space="preserve"> </w:t>
      </w:r>
      <w:r>
        <w:rPr>
          <w:rFonts w:ascii="SimSun" w:hAnsi="SimSun" w:eastAsia="SimSun" w:cs="SimSun"/>
          <w:sz w:val="21"/>
          <w:szCs w:val="21"/>
          <w:spacing w:val="-3"/>
        </w:rPr>
        <w:t>围内建立了数据中心。</w:t>
      </w:r>
      <w:r>
        <w:rPr>
          <w:rFonts w:ascii="SimSun" w:hAnsi="SimSun" w:eastAsia="SimSun" w:cs="SimSun"/>
          <w:sz w:val="21"/>
          <w:szCs w:val="21"/>
          <w:spacing w:val="51"/>
        </w:rPr>
        <w:t xml:space="preserve"> </w:t>
      </w:r>
      <w:r>
        <w:rPr>
          <w:rFonts w:ascii="SimSun" w:hAnsi="SimSun" w:eastAsia="SimSun" w:cs="SimSun"/>
          <w:sz w:val="21"/>
          <w:szCs w:val="21"/>
          <w:spacing w:val="-3"/>
        </w:rPr>
        <w:t>一般情况下用户并不会知道数据的存放地，敏感数据是否会</w:t>
      </w:r>
      <w:r>
        <w:rPr>
          <w:rFonts w:ascii="SimSun" w:hAnsi="SimSun" w:eastAsia="SimSun" w:cs="SimSun"/>
          <w:sz w:val="21"/>
          <w:szCs w:val="21"/>
        </w:rPr>
        <w:t xml:space="preserve"> </w:t>
      </w:r>
      <w:r>
        <w:rPr>
          <w:rFonts w:ascii="SimSun" w:hAnsi="SimSun" w:eastAsia="SimSun" w:cs="SimSun"/>
          <w:sz w:val="21"/>
          <w:szCs w:val="21"/>
          <w:spacing w:val="-4"/>
        </w:rPr>
        <w:t>被带出国也未可知。不过好在每个国家对数据的存储都会有法律要求，例如我国《地</w:t>
      </w:r>
      <w:r>
        <w:rPr>
          <w:rFonts w:ascii="SimSun" w:hAnsi="SimSun" w:eastAsia="SimSun" w:cs="SimSun"/>
          <w:sz w:val="21"/>
          <w:szCs w:val="21"/>
          <w:spacing w:val="5"/>
        </w:rPr>
        <w:t xml:space="preserve"> </w:t>
      </w:r>
      <w:r>
        <w:rPr>
          <w:rFonts w:ascii="SimSun" w:hAnsi="SimSun" w:eastAsia="SimSun" w:cs="SimSun"/>
          <w:sz w:val="21"/>
          <w:szCs w:val="21"/>
          <w:spacing w:val="-6"/>
        </w:rPr>
        <w:t>图管理条例》136],其中一章专门与互联网地图服务有关。《地图管理条例》称，互联</w:t>
      </w:r>
      <w:r>
        <w:rPr>
          <w:rFonts w:ascii="SimSun" w:hAnsi="SimSun" w:eastAsia="SimSun" w:cs="SimSun"/>
          <w:sz w:val="21"/>
          <w:szCs w:val="21"/>
          <w:spacing w:val="11"/>
        </w:rPr>
        <w:t xml:space="preserve"> </w:t>
      </w:r>
      <w:r>
        <w:rPr>
          <w:rFonts w:ascii="SimSun" w:hAnsi="SimSun" w:eastAsia="SimSun" w:cs="SimSun"/>
          <w:sz w:val="21"/>
          <w:szCs w:val="21"/>
          <w:spacing w:val="-4"/>
        </w:rPr>
        <w:t>网地图服务单位需要将存放地图数据的服务器设在中国境内，“互联网地图服务单位</w:t>
      </w:r>
      <w:r>
        <w:rPr>
          <w:rFonts w:ascii="SimSun" w:hAnsi="SimSun" w:eastAsia="SimSun" w:cs="SimSun"/>
          <w:sz w:val="21"/>
          <w:szCs w:val="21"/>
          <w:spacing w:val="5"/>
        </w:rPr>
        <w:t xml:space="preserve"> </w:t>
      </w:r>
      <w:r>
        <w:rPr>
          <w:rFonts w:ascii="SimSun" w:hAnsi="SimSun" w:eastAsia="SimSun" w:cs="SimSun"/>
          <w:sz w:val="21"/>
          <w:szCs w:val="21"/>
          <w:spacing w:val="1"/>
        </w:rPr>
        <w:t>用于提供服务的地图数据库及其他数据库不得存储、记录含有按照国家有关规定在</w:t>
      </w:r>
      <w:r>
        <w:rPr>
          <w:rFonts w:ascii="SimSun" w:hAnsi="SimSun" w:eastAsia="SimSun" w:cs="SimSun"/>
          <w:sz w:val="21"/>
          <w:szCs w:val="21"/>
          <w:spacing w:val="14"/>
        </w:rPr>
        <w:t xml:space="preserve"> </w:t>
      </w:r>
      <w:r>
        <w:rPr>
          <w:rFonts w:ascii="SimSun" w:hAnsi="SimSun" w:eastAsia="SimSun" w:cs="SimSun"/>
          <w:sz w:val="21"/>
          <w:szCs w:val="21"/>
          <w:spacing w:val="2"/>
        </w:rPr>
        <w:t>地图上不得表示的内容。互联网地图服务单位发现其网站传输的地图信</w:t>
      </w:r>
      <w:r>
        <w:rPr>
          <w:rFonts w:ascii="SimSun" w:hAnsi="SimSun" w:eastAsia="SimSun" w:cs="SimSun"/>
          <w:sz w:val="21"/>
          <w:szCs w:val="21"/>
          <w:spacing w:val="1"/>
        </w:rPr>
        <w:t>息含有不得</w:t>
      </w:r>
      <w:r>
        <w:rPr>
          <w:rFonts w:ascii="SimSun" w:hAnsi="SimSun" w:eastAsia="SimSun" w:cs="SimSun"/>
          <w:sz w:val="21"/>
          <w:szCs w:val="21"/>
        </w:rPr>
        <w:t xml:space="preserve"> </w:t>
      </w:r>
      <w:r>
        <w:rPr>
          <w:rFonts w:ascii="SimSun" w:hAnsi="SimSun" w:eastAsia="SimSun" w:cs="SimSun"/>
          <w:sz w:val="21"/>
          <w:szCs w:val="21"/>
          <w:spacing w:val="2"/>
        </w:rPr>
        <w:t>表示的内容的，应当立即停止传输，保存有关记录，并向县级以上人民</w:t>
      </w:r>
      <w:r>
        <w:rPr>
          <w:rFonts w:ascii="SimSun" w:hAnsi="SimSun" w:eastAsia="SimSun" w:cs="SimSun"/>
          <w:sz w:val="21"/>
          <w:szCs w:val="21"/>
          <w:spacing w:val="1"/>
        </w:rPr>
        <w:t>政府测绘地</w:t>
      </w:r>
      <w:r>
        <w:rPr>
          <w:rFonts w:ascii="SimSun" w:hAnsi="SimSun" w:eastAsia="SimSun" w:cs="SimSun"/>
          <w:sz w:val="21"/>
          <w:szCs w:val="21"/>
        </w:rPr>
        <w:t xml:space="preserve"> </w:t>
      </w:r>
      <w:r>
        <w:rPr>
          <w:rFonts w:ascii="SimSun" w:hAnsi="SimSun" w:eastAsia="SimSun" w:cs="SimSun"/>
          <w:sz w:val="21"/>
          <w:szCs w:val="21"/>
          <w:spacing w:val="2"/>
        </w:rPr>
        <w:t>理信息行政主管部门、出版行政主管部门、网络安全和信息化主管部门等有关部门</w:t>
      </w:r>
      <w:r>
        <w:rPr>
          <w:rFonts w:ascii="SimSun" w:hAnsi="SimSun" w:eastAsia="SimSun" w:cs="SimSun"/>
          <w:sz w:val="21"/>
          <w:szCs w:val="21"/>
          <w:spacing w:val="10"/>
        </w:rPr>
        <w:t xml:space="preserve"> </w:t>
      </w:r>
      <w:r>
        <w:rPr>
          <w:rFonts w:ascii="SimSun" w:hAnsi="SimSun" w:eastAsia="SimSun" w:cs="SimSun"/>
          <w:sz w:val="21"/>
          <w:szCs w:val="21"/>
          <w:spacing w:val="-4"/>
        </w:rPr>
        <w:t>报告。”以及“任何单位和个人不得通过互联网上传标注含有按照国家有关规定在地</w:t>
      </w:r>
      <w:r>
        <w:rPr>
          <w:rFonts w:ascii="SimSun" w:hAnsi="SimSun" w:eastAsia="SimSun" w:cs="SimSun"/>
          <w:sz w:val="21"/>
          <w:szCs w:val="21"/>
          <w:spacing w:val="5"/>
        </w:rPr>
        <w:t xml:space="preserve"> </w:t>
      </w:r>
      <w:r>
        <w:rPr>
          <w:rFonts w:ascii="SimSun" w:hAnsi="SimSun" w:eastAsia="SimSun" w:cs="SimSun"/>
          <w:sz w:val="21"/>
          <w:szCs w:val="21"/>
          <w:spacing w:val="-1"/>
        </w:rPr>
        <w:t>图上不得表示的内容”。在美国和欧盟之间存在着一个与数据跨境流动的“美国-欧</w:t>
      </w:r>
    </w:p>
    <w:p>
      <w:pPr>
        <w:spacing w:line="268" w:lineRule="auto"/>
        <w:sectPr>
          <w:footerReference w:type="default" r:id="rId105"/>
          <w:pgSz w:w="8870" w:h="13400"/>
          <w:pgMar w:top="400" w:right="512" w:bottom="517" w:left="409" w:header="0" w:footer="308" w:gutter="0"/>
        </w:sectPr>
        <w:rPr>
          <w:rFonts w:ascii="SimSun" w:hAnsi="SimSun" w:eastAsia="SimSun" w:cs="SimSun"/>
          <w:sz w:val="21"/>
          <w:szCs w:val="21"/>
        </w:rPr>
      </w:pPr>
    </w:p>
    <w:p>
      <w:pPr>
        <w:ind w:left="129"/>
        <w:spacing w:before="190"/>
        <w:rPr>
          <w:rFonts w:ascii="SimSun" w:hAnsi="SimSun" w:eastAsia="SimSun" w:cs="SimSun"/>
          <w:sz w:val="21"/>
          <w:szCs w:val="21"/>
        </w:rPr>
      </w:pPr>
      <w:r>
        <w:rPr>
          <w:rFonts w:ascii="SimSun" w:hAnsi="SimSun" w:eastAsia="SimSun" w:cs="SimSun"/>
          <w:sz w:val="21"/>
          <w:szCs w:val="21"/>
          <w:position w:val="-10"/>
        </w:rPr>
        <w:drawing>
          <wp:inline distT="0" distB="0" distL="0" distR="0">
            <wp:extent cx="6365" cy="234933"/>
            <wp:effectExtent l="0" t="0" r="0" b="0"/>
            <wp:docPr id="96" name="IM 96"/>
            <wp:cNvGraphicFramePr/>
            <a:graphic>
              <a:graphicData uri="http://schemas.openxmlformats.org/drawingml/2006/picture">
                <pic:pic>
                  <pic:nvPicPr>
                    <pic:cNvPr id="96" name="IM 96"/>
                    <pic:cNvPicPr/>
                  </pic:nvPicPr>
                  <pic:blipFill>
                    <a:blip r:embed="rId107"/>
                    <a:stretch>
                      <a:fillRect/>
                    </a:stretch>
                  </pic:blipFill>
                  <pic:spPr>
                    <a:xfrm rot="0">
                      <a:off x="0" y="0"/>
                      <a:ext cx="6365" cy="234933"/>
                    </a:xfrm>
                    <a:prstGeom prst="rect">
                      <a:avLst/>
                    </a:prstGeom>
                  </pic:spPr>
                </pic:pic>
              </a:graphicData>
            </a:graphic>
          </wp:inline>
        </w:drawing>
      </w:r>
      <w:r>
        <w:rPr>
          <w:rFonts w:ascii="SimSun" w:hAnsi="SimSun" w:eastAsia="SimSun" w:cs="SimSun"/>
          <w:sz w:val="21"/>
          <w:szCs w:val="21"/>
          <w:spacing w:val="-7"/>
        </w:rPr>
        <w:t xml:space="preserve"> </w:t>
      </w:r>
      <w:r>
        <w:rPr>
          <w:rFonts w:ascii="SimSun" w:hAnsi="SimSun" w:eastAsia="SimSun" w:cs="SimSun"/>
          <w:sz w:val="21"/>
          <w:szCs w:val="21"/>
          <w:b/>
          <w:bCs/>
          <w:spacing w:val="-27"/>
        </w:rPr>
        <w:t>■云端数据治理■</w:t>
      </w:r>
    </w:p>
    <w:p>
      <w:pPr>
        <w:ind w:left="280" w:right="93"/>
        <w:spacing w:before="295" w:line="266" w:lineRule="auto"/>
        <w:rPr>
          <w:rFonts w:ascii="SimSun" w:hAnsi="SimSun" w:eastAsia="SimSun" w:cs="SimSun"/>
          <w:sz w:val="21"/>
          <w:szCs w:val="21"/>
        </w:rPr>
      </w:pPr>
      <w:r>
        <w:rPr>
          <w:rFonts w:ascii="SimSun" w:hAnsi="SimSun" w:eastAsia="SimSun" w:cs="SimSun"/>
          <w:sz w:val="21"/>
          <w:szCs w:val="21"/>
          <w:spacing w:val="-4"/>
        </w:rPr>
        <w:t>盟安全港协议”。由于美国缺乏统一的数据保护法，未</w:t>
      </w:r>
      <w:r>
        <w:rPr>
          <w:rFonts w:ascii="SimSun" w:hAnsi="SimSun" w:eastAsia="SimSun" w:cs="SimSun"/>
          <w:sz w:val="21"/>
          <w:szCs w:val="21"/>
          <w:spacing w:val="-5"/>
        </w:rPr>
        <w:t>能达到欧盟指令的充分保护要</w:t>
      </w:r>
      <w:r>
        <w:rPr>
          <w:rFonts w:ascii="SimSun" w:hAnsi="SimSun" w:eastAsia="SimSun" w:cs="SimSun"/>
          <w:sz w:val="21"/>
          <w:szCs w:val="21"/>
        </w:rPr>
        <w:t xml:space="preserve"> </w:t>
      </w:r>
      <w:r>
        <w:rPr>
          <w:rFonts w:ascii="SimSun" w:hAnsi="SimSun" w:eastAsia="SimSun" w:cs="SimSun"/>
          <w:sz w:val="21"/>
          <w:szCs w:val="21"/>
          <w:spacing w:val="-4"/>
        </w:rPr>
        <w:t>求，这将妨碍个人数据在美欧之间跨境转移。为了解决这一问题，美国和欧盟</w:t>
      </w:r>
      <w:r>
        <w:rPr>
          <w:rFonts w:ascii="SimSun" w:hAnsi="SimSun" w:eastAsia="SimSun" w:cs="SimSun"/>
          <w:sz w:val="21"/>
          <w:szCs w:val="21"/>
          <w:spacing w:val="-5"/>
        </w:rPr>
        <w:t>于2000</w:t>
      </w:r>
      <w:r>
        <w:rPr>
          <w:rFonts w:ascii="SimSun" w:hAnsi="SimSun" w:eastAsia="SimSun" w:cs="SimSun"/>
          <w:sz w:val="21"/>
          <w:szCs w:val="21"/>
        </w:rPr>
        <w:t xml:space="preserve"> </w:t>
      </w:r>
      <w:r>
        <w:rPr>
          <w:rFonts w:ascii="SimSun" w:hAnsi="SimSun" w:eastAsia="SimSun" w:cs="SimSun"/>
          <w:sz w:val="21"/>
          <w:szCs w:val="21"/>
          <w:spacing w:val="1"/>
        </w:rPr>
        <w:t>年达成了一个折衷的安全港协议，安全港包含一系列</w:t>
      </w:r>
      <w:r>
        <w:rPr>
          <w:rFonts w:ascii="SimSun" w:hAnsi="SimSun" w:eastAsia="SimSun" w:cs="SimSun"/>
          <w:sz w:val="21"/>
          <w:szCs w:val="21"/>
        </w:rPr>
        <w:t>隐私原则，包括通知、选择、 </w:t>
      </w:r>
      <w:r>
        <w:rPr>
          <w:rFonts w:ascii="SimSun" w:hAnsi="SimSun" w:eastAsia="SimSun" w:cs="SimSun"/>
          <w:sz w:val="21"/>
          <w:szCs w:val="21"/>
          <w:spacing w:val="1"/>
        </w:rPr>
        <w:t>数据转移、数据获取、数据安全、数据完整以及执行等七大原则，用以保护个人数</w:t>
      </w:r>
      <w:r>
        <w:rPr>
          <w:rFonts w:ascii="SimSun" w:hAnsi="SimSun" w:eastAsia="SimSun" w:cs="SimSun"/>
          <w:sz w:val="21"/>
          <w:szCs w:val="21"/>
          <w:spacing w:val="11"/>
        </w:rPr>
        <w:t xml:space="preserve"> </w:t>
      </w:r>
      <w:r>
        <w:rPr>
          <w:rFonts w:ascii="SimSun" w:hAnsi="SimSun" w:eastAsia="SimSun" w:cs="SimSun"/>
          <w:sz w:val="21"/>
          <w:szCs w:val="21"/>
          <w:spacing w:val="1"/>
        </w:rPr>
        <w:t>据。2015年，欧盟单方面废止了欧美数据安全港协议，让欧美之间数据交换产生更</w:t>
      </w:r>
      <w:r>
        <w:rPr>
          <w:rFonts w:ascii="SimSun" w:hAnsi="SimSun" w:eastAsia="SimSun" w:cs="SimSun"/>
          <w:sz w:val="21"/>
          <w:szCs w:val="21"/>
          <w:spacing w:val="10"/>
        </w:rPr>
        <w:t xml:space="preserve"> </w:t>
      </w:r>
      <w:r>
        <w:rPr>
          <w:rFonts w:ascii="SimSun" w:hAnsi="SimSun" w:eastAsia="SimSun" w:cs="SimSun"/>
          <w:sz w:val="21"/>
          <w:szCs w:val="21"/>
          <w:spacing w:val="7"/>
        </w:rPr>
        <w:t>大的困难。2016年4月14日，欧洲议会通过了《一般</w:t>
      </w:r>
      <w:r>
        <w:rPr>
          <w:rFonts w:ascii="SimSun" w:hAnsi="SimSun" w:eastAsia="SimSun" w:cs="SimSun"/>
          <w:sz w:val="21"/>
          <w:szCs w:val="21"/>
          <w:spacing w:val="6"/>
        </w:rPr>
        <w:t>数据保护条例》,该条例将在</w:t>
      </w:r>
      <w:r>
        <w:rPr>
          <w:rFonts w:ascii="SimSun" w:hAnsi="SimSun" w:eastAsia="SimSun" w:cs="SimSun"/>
          <w:sz w:val="21"/>
          <w:szCs w:val="21"/>
        </w:rPr>
        <w:t xml:space="preserve"> </w:t>
      </w:r>
      <w:r>
        <w:rPr>
          <w:rFonts w:ascii="SimSun" w:hAnsi="SimSun" w:eastAsia="SimSun" w:cs="SimSun"/>
          <w:sz w:val="21"/>
          <w:szCs w:val="21"/>
          <w:spacing w:val="1"/>
        </w:rPr>
        <w:t>2018年生效，届时在欧洲从事数据业务的组织必须符合该条例要求。因此，云计算</w:t>
      </w:r>
      <w:r>
        <w:rPr>
          <w:rFonts w:ascii="SimSun" w:hAnsi="SimSun" w:eastAsia="SimSun" w:cs="SimSun"/>
          <w:sz w:val="21"/>
          <w:szCs w:val="21"/>
          <w:spacing w:val="10"/>
        </w:rPr>
        <w:t xml:space="preserve"> </w:t>
      </w:r>
      <w:r>
        <w:rPr>
          <w:rFonts w:ascii="SimSun" w:hAnsi="SimSun" w:eastAsia="SimSun" w:cs="SimSun"/>
          <w:sz w:val="21"/>
          <w:szCs w:val="21"/>
        </w:rPr>
        <w:t>环境下数据的存储和流动合规要比传统的数据面临更</w:t>
      </w:r>
      <w:r>
        <w:rPr>
          <w:rFonts w:ascii="SimSun" w:hAnsi="SimSun" w:eastAsia="SimSun" w:cs="SimSun"/>
          <w:sz w:val="21"/>
          <w:szCs w:val="21"/>
          <w:spacing w:val="-1"/>
        </w:rPr>
        <w:t>复杂的要求。</w:t>
      </w:r>
    </w:p>
    <w:p>
      <w:pPr>
        <w:pStyle w:val="BodyText"/>
        <w:spacing w:line="429" w:lineRule="auto"/>
        <w:rPr/>
      </w:pPr>
      <w:r/>
    </w:p>
    <w:p>
      <w:pPr>
        <w:ind w:left="284"/>
        <w:spacing w:before="107" w:line="221" w:lineRule="auto"/>
        <w:outlineLvl w:val="0"/>
        <w:rPr>
          <w:rFonts w:ascii="SimHei" w:hAnsi="SimHei" w:eastAsia="SimHei" w:cs="SimHei"/>
          <w:sz w:val="33"/>
          <w:szCs w:val="33"/>
        </w:rPr>
      </w:pPr>
      <w:r>
        <w:rPr>
          <w:rFonts w:ascii="SimHei" w:hAnsi="SimHei" w:eastAsia="SimHei" w:cs="SimHei"/>
          <w:sz w:val="33"/>
          <w:szCs w:val="33"/>
          <w:b/>
          <w:bCs/>
          <w:spacing w:val="-5"/>
        </w:rPr>
        <w:t>2.2</w:t>
      </w:r>
      <w:r>
        <w:rPr>
          <w:rFonts w:ascii="SimHei" w:hAnsi="SimHei" w:eastAsia="SimHei" w:cs="SimHei"/>
          <w:sz w:val="33"/>
          <w:szCs w:val="33"/>
          <w:spacing w:val="-5"/>
        </w:rPr>
        <w:t xml:space="preserve">  </w:t>
      </w:r>
      <w:r>
        <w:rPr>
          <w:rFonts w:ascii="SimHei" w:hAnsi="SimHei" w:eastAsia="SimHei" w:cs="SimHei"/>
          <w:sz w:val="33"/>
          <w:szCs w:val="33"/>
          <w:b/>
          <w:bCs/>
          <w:spacing w:val="-5"/>
        </w:rPr>
        <w:t>云端数据治理介绍</w:t>
      </w:r>
    </w:p>
    <w:p>
      <w:pPr>
        <w:pStyle w:val="BodyText"/>
        <w:spacing w:line="364" w:lineRule="auto"/>
        <w:rPr/>
      </w:pPr>
      <w:r/>
    </w:p>
    <w:p>
      <w:pPr>
        <w:ind w:left="280" w:right="66" w:firstLine="459"/>
        <w:spacing w:before="68" w:line="264" w:lineRule="auto"/>
        <w:rPr>
          <w:rFonts w:ascii="SimSun" w:hAnsi="SimSun" w:eastAsia="SimSun" w:cs="SimSun"/>
          <w:sz w:val="21"/>
          <w:szCs w:val="21"/>
        </w:rPr>
      </w:pPr>
      <w:r>
        <w:rPr>
          <w:rFonts w:ascii="SimSun" w:hAnsi="SimSun" w:eastAsia="SimSun" w:cs="SimSun"/>
          <w:sz w:val="21"/>
          <w:szCs w:val="21"/>
          <w:spacing w:val="1"/>
        </w:rPr>
        <w:t>云计算环境下数据特点发生了很多的变化，尤其是数据在云端的操作给数据治</w:t>
      </w:r>
      <w:r>
        <w:rPr>
          <w:rFonts w:ascii="SimSun" w:hAnsi="SimSun" w:eastAsia="SimSun" w:cs="SimSun"/>
          <w:sz w:val="21"/>
          <w:szCs w:val="21"/>
          <w:spacing w:val="3"/>
        </w:rPr>
        <w:t xml:space="preserve"> </w:t>
      </w:r>
      <w:r>
        <w:rPr>
          <w:rFonts w:ascii="SimSun" w:hAnsi="SimSun" w:eastAsia="SimSun" w:cs="SimSun"/>
          <w:sz w:val="21"/>
          <w:szCs w:val="21"/>
          <w:spacing w:val="1"/>
        </w:rPr>
        <w:t>理带来了很多新的内容，如云端数据来源的多样性、</w:t>
      </w:r>
      <w:r>
        <w:rPr>
          <w:rFonts w:ascii="SimSun" w:hAnsi="SimSun" w:eastAsia="SimSun" w:cs="SimSun"/>
          <w:sz w:val="21"/>
          <w:szCs w:val="21"/>
        </w:rPr>
        <w:t>云端数据的远程存储与传输、 </w:t>
      </w:r>
      <w:r>
        <w:rPr>
          <w:rFonts w:ascii="SimSun" w:hAnsi="SimSun" w:eastAsia="SimSun" w:cs="SimSun"/>
          <w:sz w:val="21"/>
          <w:szCs w:val="21"/>
          <w:spacing w:val="1"/>
        </w:rPr>
        <w:t>云端数据的合规要求更复杂性、云端数据面临的安全威胁更多等，都超越了传统数</w:t>
      </w:r>
      <w:r>
        <w:rPr>
          <w:rFonts w:ascii="SimSun" w:hAnsi="SimSun" w:eastAsia="SimSun" w:cs="SimSun"/>
          <w:sz w:val="21"/>
          <w:szCs w:val="21"/>
          <w:spacing w:val="12"/>
        </w:rPr>
        <w:t xml:space="preserve"> </w:t>
      </w:r>
      <w:r>
        <w:rPr>
          <w:rFonts w:ascii="SimSun" w:hAnsi="SimSun" w:eastAsia="SimSun" w:cs="SimSun"/>
          <w:sz w:val="21"/>
          <w:szCs w:val="21"/>
          <w:spacing w:val="1"/>
        </w:rPr>
        <w:t>据治理的范畴。即便个别现有数据治理理论能够兼顾云计算环境下数据的特点，但</w:t>
      </w:r>
      <w:r>
        <w:rPr>
          <w:rFonts w:ascii="SimSun" w:hAnsi="SimSun" w:eastAsia="SimSun" w:cs="SimSun"/>
          <w:sz w:val="21"/>
          <w:szCs w:val="21"/>
          <w:spacing w:val="12"/>
        </w:rPr>
        <w:t xml:space="preserve"> </w:t>
      </w:r>
      <w:r>
        <w:rPr>
          <w:rFonts w:ascii="SimSun" w:hAnsi="SimSun" w:eastAsia="SimSun" w:cs="SimSun"/>
          <w:sz w:val="21"/>
          <w:szCs w:val="21"/>
          <w:spacing w:val="1"/>
        </w:rPr>
        <w:t>也无法覆盖到云端数据治理的全部需求。因此开发针对云端数据的治理理论和实践</w:t>
      </w:r>
      <w:r>
        <w:rPr>
          <w:rFonts w:ascii="SimSun" w:hAnsi="SimSun" w:eastAsia="SimSun" w:cs="SimSun"/>
          <w:sz w:val="21"/>
          <w:szCs w:val="21"/>
          <w:spacing w:val="14"/>
        </w:rPr>
        <w:t xml:space="preserve"> </w:t>
      </w:r>
      <w:r>
        <w:rPr>
          <w:rFonts w:ascii="SimSun" w:hAnsi="SimSun" w:eastAsia="SimSun" w:cs="SimSun"/>
          <w:sz w:val="21"/>
          <w:szCs w:val="21"/>
          <w:spacing w:val="-1"/>
        </w:rPr>
        <w:t>方法是对云端数据进行管理并发挥其应用效果的必然选择。</w:t>
      </w:r>
    </w:p>
    <w:p>
      <w:pPr>
        <w:ind w:left="284"/>
        <w:spacing w:before="307" w:line="221" w:lineRule="auto"/>
        <w:outlineLvl w:val="0"/>
        <w:rPr>
          <w:rFonts w:ascii="YouYuan" w:hAnsi="YouYuan" w:eastAsia="YouYuan" w:cs="YouYuan"/>
          <w:sz w:val="29"/>
          <w:szCs w:val="29"/>
        </w:rPr>
      </w:pPr>
      <w:r>
        <w:rPr>
          <w:rFonts w:ascii="YouYuan" w:hAnsi="YouYuan" w:eastAsia="YouYuan" w:cs="YouYuan"/>
          <w:sz w:val="29"/>
          <w:szCs w:val="29"/>
          <w:b/>
          <w:bCs/>
          <w:spacing w:val="-9"/>
        </w:rPr>
        <w:t>2.2.1</w:t>
      </w:r>
      <w:r>
        <w:rPr>
          <w:rFonts w:ascii="YouYuan" w:hAnsi="YouYuan" w:eastAsia="YouYuan" w:cs="YouYuan"/>
          <w:sz w:val="29"/>
          <w:szCs w:val="29"/>
          <w:spacing w:val="125"/>
        </w:rPr>
        <w:t xml:space="preserve"> </w:t>
      </w:r>
      <w:r>
        <w:rPr>
          <w:rFonts w:ascii="YouYuan" w:hAnsi="YouYuan" w:eastAsia="YouYuan" w:cs="YouYuan"/>
          <w:sz w:val="29"/>
          <w:szCs w:val="29"/>
          <w:b/>
          <w:bCs/>
          <w:spacing w:val="-9"/>
        </w:rPr>
        <w:t>云端数据治理的定义</w:t>
      </w:r>
    </w:p>
    <w:p>
      <w:pPr>
        <w:pStyle w:val="BodyText"/>
        <w:spacing w:line="256" w:lineRule="auto"/>
        <w:rPr/>
      </w:pPr>
      <w:r/>
    </w:p>
    <w:p>
      <w:pPr>
        <w:ind w:left="280" w:firstLine="459"/>
        <w:spacing w:before="68" w:line="255" w:lineRule="auto"/>
        <w:jc w:val="both"/>
        <w:rPr>
          <w:rFonts w:ascii="SimSun" w:hAnsi="SimSun" w:eastAsia="SimSun" w:cs="SimSun"/>
          <w:sz w:val="21"/>
          <w:szCs w:val="21"/>
        </w:rPr>
      </w:pPr>
      <w:r>
        <w:rPr>
          <w:rFonts w:ascii="SimSun" w:hAnsi="SimSun" w:eastAsia="SimSun" w:cs="SimSun"/>
          <w:sz w:val="21"/>
          <w:szCs w:val="21"/>
          <w:spacing w:val="-3"/>
        </w:rPr>
        <w:t>云端数据治理是以云端数据为主要治理对象，制订与云端数据战略、数据管</w:t>
      </w:r>
      <w:r>
        <w:rPr>
          <w:rFonts w:ascii="SimSun" w:hAnsi="SimSun" w:eastAsia="SimSun" w:cs="SimSun"/>
          <w:sz w:val="21"/>
          <w:szCs w:val="21"/>
          <w:spacing w:val="-4"/>
        </w:rPr>
        <w:t>理、</w:t>
      </w:r>
      <w:r>
        <w:rPr>
          <w:rFonts w:ascii="SimSun" w:hAnsi="SimSun" w:eastAsia="SimSun" w:cs="SimSun"/>
          <w:sz w:val="21"/>
          <w:szCs w:val="21"/>
        </w:rPr>
        <w:t xml:space="preserve"> </w:t>
      </w:r>
      <w:r>
        <w:rPr>
          <w:rFonts w:ascii="SimSun" w:hAnsi="SimSun" w:eastAsia="SimSun" w:cs="SimSun"/>
          <w:sz w:val="21"/>
          <w:szCs w:val="21"/>
          <w:spacing w:val="2"/>
        </w:rPr>
        <w:t>数据优化、数据安全与隐私保护等相关策略，指导组织规划、构建、评估和优化数</w:t>
      </w:r>
      <w:r>
        <w:rPr>
          <w:rFonts w:ascii="SimSun" w:hAnsi="SimSun" w:eastAsia="SimSun" w:cs="SimSun"/>
          <w:sz w:val="21"/>
          <w:szCs w:val="21"/>
          <w:spacing w:val="15"/>
        </w:rPr>
        <w:t xml:space="preserve"> </w:t>
      </w:r>
      <w:r>
        <w:rPr>
          <w:rFonts w:ascii="SimSun" w:hAnsi="SimSun" w:eastAsia="SimSun" w:cs="SimSun"/>
          <w:sz w:val="21"/>
          <w:szCs w:val="21"/>
          <w:spacing w:val="-2"/>
        </w:rPr>
        <w:t>据治理体系的活动集合。</w:t>
      </w:r>
    </w:p>
    <w:p>
      <w:pPr>
        <w:ind w:left="740"/>
        <w:spacing w:before="71" w:line="320" w:lineRule="exact"/>
        <w:rPr>
          <w:rFonts w:ascii="SimSun" w:hAnsi="SimSun" w:eastAsia="SimSun" w:cs="SimSun"/>
          <w:sz w:val="21"/>
          <w:szCs w:val="21"/>
        </w:rPr>
      </w:pPr>
      <w:r>
        <w:rPr>
          <w:rFonts w:ascii="SimSun" w:hAnsi="SimSun" w:eastAsia="SimSun" w:cs="SimSun"/>
          <w:sz w:val="21"/>
          <w:szCs w:val="21"/>
          <w:spacing w:val="-2"/>
          <w:position w:val="8"/>
        </w:rPr>
        <w:t>我们将上述云端数据治理的定义分解为以下部分。</w:t>
      </w:r>
    </w:p>
    <w:p>
      <w:pPr>
        <w:ind w:left="740"/>
        <w:spacing w:line="219" w:lineRule="auto"/>
        <w:rPr>
          <w:rFonts w:ascii="SimSun" w:hAnsi="SimSun" w:eastAsia="SimSun" w:cs="SimSun"/>
          <w:sz w:val="21"/>
          <w:szCs w:val="21"/>
        </w:rPr>
      </w:pPr>
      <w:r>
        <w:rPr>
          <w:rFonts w:ascii="SimSun" w:hAnsi="SimSun" w:eastAsia="SimSun" w:cs="SimSun"/>
          <w:sz w:val="21"/>
          <w:szCs w:val="21"/>
          <w:spacing w:val="4"/>
        </w:rPr>
        <w:t>(1)云端数据治理是以云端数据为主要治理对象</w:t>
      </w:r>
    </w:p>
    <w:p>
      <w:pPr>
        <w:ind w:left="280" w:firstLine="459"/>
        <w:spacing w:before="71" w:line="267" w:lineRule="auto"/>
        <w:rPr>
          <w:rFonts w:ascii="SimSun" w:hAnsi="SimSun" w:eastAsia="SimSun" w:cs="SimSun"/>
          <w:sz w:val="21"/>
          <w:szCs w:val="21"/>
        </w:rPr>
      </w:pPr>
      <w:r>
        <w:rPr>
          <w:rFonts w:ascii="SimSun" w:hAnsi="SimSun" w:eastAsia="SimSun" w:cs="SimSun"/>
          <w:sz w:val="21"/>
          <w:szCs w:val="21"/>
        </w:rPr>
        <w:t>数据按存储地可以分为本地数据和云端数据。数据本地存储是互联网发展起来 </w:t>
      </w:r>
      <w:r>
        <w:rPr>
          <w:rFonts w:ascii="SimSun" w:hAnsi="SimSun" w:eastAsia="SimSun" w:cs="SimSun"/>
          <w:sz w:val="21"/>
          <w:szCs w:val="21"/>
          <w:spacing w:val="-2"/>
        </w:rPr>
        <w:t>之前数据存放的主要形式，此时的数据量是相对较小的，组织对其管理也相对容易。</w:t>
      </w:r>
      <w:r>
        <w:rPr>
          <w:rFonts w:ascii="SimSun" w:hAnsi="SimSun" w:eastAsia="SimSun" w:cs="SimSun"/>
          <w:sz w:val="21"/>
          <w:szCs w:val="21"/>
          <w:spacing w:val="7"/>
        </w:rPr>
        <w:t xml:space="preserve"> </w:t>
      </w:r>
      <w:r>
        <w:rPr>
          <w:rFonts w:ascii="SimSun" w:hAnsi="SimSun" w:eastAsia="SimSun" w:cs="SimSun"/>
          <w:sz w:val="21"/>
          <w:szCs w:val="21"/>
          <w:spacing w:val="1"/>
        </w:rPr>
        <w:t>随着互联网、云计算等技术的发展和广泛应用，越来越多的用户选择把数据存储在</w:t>
      </w:r>
      <w:r>
        <w:rPr>
          <w:rFonts w:ascii="SimSun" w:hAnsi="SimSun" w:eastAsia="SimSun" w:cs="SimSun"/>
          <w:sz w:val="21"/>
          <w:szCs w:val="21"/>
          <w:spacing w:val="7"/>
        </w:rPr>
        <w:t xml:space="preserve">  </w:t>
      </w:r>
      <w:r>
        <w:rPr>
          <w:rFonts w:ascii="SimSun" w:hAnsi="SimSun" w:eastAsia="SimSun" w:cs="SimSun"/>
          <w:sz w:val="21"/>
          <w:szCs w:val="21"/>
          <w:spacing w:val="1"/>
        </w:rPr>
        <w:t>云平台上，而放弃了原有的模式，也就是把数据存在企业内部本地的数据中</w:t>
      </w:r>
      <w:r>
        <w:rPr>
          <w:rFonts w:ascii="SimSun" w:hAnsi="SimSun" w:eastAsia="SimSun" w:cs="SimSun"/>
          <w:sz w:val="21"/>
          <w:szCs w:val="21"/>
        </w:rPr>
        <w:t>心机房  </w:t>
      </w:r>
      <w:r>
        <w:rPr>
          <w:rFonts w:ascii="SimSun" w:hAnsi="SimSun" w:eastAsia="SimSun" w:cs="SimSun"/>
          <w:sz w:val="21"/>
          <w:szCs w:val="21"/>
          <w:spacing w:val="1"/>
        </w:rPr>
        <w:t>里面。这一方面是成本因素，本地存储的前期成本远远高于云存储。随着组织数据</w:t>
      </w:r>
      <w:r>
        <w:rPr>
          <w:rFonts w:ascii="SimSun" w:hAnsi="SimSun" w:eastAsia="SimSun" w:cs="SimSun"/>
          <w:sz w:val="21"/>
          <w:szCs w:val="21"/>
          <w:spacing w:val="7"/>
        </w:rPr>
        <w:t xml:space="preserve">  </w:t>
      </w:r>
      <w:r>
        <w:rPr>
          <w:rFonts w:ascii="SimSun" w:hAnsi="SimSun" w:eastAsia="SimSun" w:cs="SimSun"/>
          <w:sz w:val="21"/>
          <w:szCs w:val="21"/>
          <w:spacing w:val="1"/>
        </w:rPr>
        <w:t>量不断增大，必须部署的基础设施和硬件就会越多，维</w:t>
      </w:r>
      <w:r>
        <w:rPr>
          <w:rFonts w:ascii="SimSun" w:hAnsi="SimSun" w:eastAsia="SimSun" w:cs="SimSun"/>
          <w:sz w:val="21"/>
          <w:szCs w:val="21"/>
        </w:rPr>
        <w:t>护和更新成本也越来越大。  </w:t>
      </w:r>
      <w:r>
        <w:rPr>
          <w:rFonts w:ascii="SimSun" w:hAnsi="SimSun" w:eastAsia="SimSun" w:cs="SimSun"/>
          <w:sz w:val="21"/>
          <w:szCs w:val="21"/>
          <w:spacing w:val="2"/>
        </w:rPr>
        <w:t>提前预算足够的存储空间，在组织还没有足够多</w:t>
      </w:r>
      <w:r>
        <w:rPr>
          <w:rFonts w:ascii="SimSun" w:hAnsi="SimSun" w:eastAsia="SimSun" w:cs="SimSun"/>
          <w:sz w:val="21"/>
          <w:szCs w:val="21"/>
          <w:spacing w:val="1"/>
        </w:rPr>
        <w:t>的数据完全占用之前，这些设备因 </w:t>
      </w:r>
      <w:r>
        <w:rPr>
          <w:rFonts w:ascii="SimSun" w:hAnsi="SimSun" w:eastAsia="SimSun" w:cs="SimSun"/>
          <w:sz w:val="21"/>
          <w:szCs w:val="21"/>
          <w:spacing w:val="1"/>
        </w:rPr>
        <w:t>为空闲会造成资源的浪费；而当数据占据了现有存储空间后，组织又不得不对数据</w:t>
      </w:r>
      <w:r>
        <w:rPr>
          <w:rFonts w:ascii="SimSun" w:hAnsi="SimSun" w:eastAsia="SimSun" w:cs="SimSun"/>
          <w:sz w:val="21"/>
          <w:szCs w:val="21"/>
          <w:spacing w:val="7"/>
        </w:rPr>
        <w:t xml:space="preserve">  </w:t>
      </w:r>
      <w:r>
        <w:rPr>
          <w:rFonts w:ascii="SimSun" w:hAnsi="SimSun" w:eastAsia="SimSun" w:cs="SimSun"/>
          <w:sz w:val="21"/>
          <w:szCs w:val="21"/>
          <w:spacing w:val="1"/>
        </w:rPr>
        <w:t>中心进行升级。另一方面，组织的业务覆盖的地理范围越来越大，尤其是跨国型组</w:t>
      </w:r>
      <w:r>
        <w:rPr>
          <w:rFonts w:ascii="SimSun" w:hAnsi="SimSun" w:eastAsia="SimSun" w:cs="SimSun"/>
          <w:sz w:val="21"/>
          <w:szCs w:val="21"/>
          <w:spacing w:val="5"/>
        </w:rPr>
        <w:t xml:space="preserve">  </w:t>
      </w:r>
      <w:r>
        <w:rPr>
          <w:rFonts w:ascii="SimSun" w:hAnsi="SimSun" w:eastAsia="SimSun" w:cs="SimSun"/>
          <w:sz w:val="21"/>
          <w:szCs w:val="21"/>
        </w:rPr>
        <w:t>织，本地化数据存储方式不利于跨区域业务中心对数据的实时调取要求。</w:t>
      </w:r>
    </w:p>
    <w:p>
      <w:pPr>
        <w:spacing w:line="267" w:lineRule="auto"/>
        <w:sectPr>
          <w:footerReference w:type="default" r:id="rId106"/>
          <w:pgSz w:w="8870" w:h="13400"/>
          <w:pgMar w:top="400" w:right="534" w:bottom="447" w:left="350" w:header="0" w:footer="239" w:gutter="0"/>
        </w:sectPr>
        <w:rPr>
          <w:rFonts w:ascii="SimSun" w:hAnsi="SimSun" w:eastAsia="SimSun" w:cs="SimSun"/>
          <w:sz w:val="21"/>
          <w:szCs w:val="21"/>
        </w:rPr>
      </w:pPr>
    </w:p>
    <w:p>
      <w:pPr>
        <w:ind w:left="4682"/>
        <w:spacing w:before="124" w:line="219" w:lineRule="auto"/>
        <w:rPr>
          <w:rFonts w:ascii="SimSun" w:hAnsi="SimSun" w:eastAsia="SimSun" w:cs="SimSun"/>
          <w:sz w:val="21"/>
          <w:szCs w:val="21"/>
        </w:rPr>
      </w:pPr>
      <w:bookmarkStart w:name="bookmark26" w:id="21"/>
      <w:bookmarkEnd w:id="21"/>
      <w:r>
        <w:rPr>
          <w:rFonts w:ascii="SimSun" w:hAnsi="SimSun" w:eastAsia="SimSun" w:cs="SimSun"/>
          <w:sz w:val="21"/>
          <w:szCs w:val="21"/>
          <w:b/>
          <w:bCs/>
          <w:spacing w:val="16"/>
        </w:rPr>
        <w:t>第2章=大数据与云端数据治理</w:t>
      </w:r>
    </w:p>
    <w:p>
      <w:pPr>
        <w:pStyle w:val="BodyText"/>
        <w:spacing w:line="252" w:lineRule="auto"/>
        <w:rPr/>
      </w:pPr>
      <w:r/>
    </w:p>
    <w:p>
      <w:pPr>
        <w:ind w:right="267" w:firstLine="430"/>
        <w:spacing w:before="69" w:line="264" w:lineRule="auto"/>
        <w:rPr>
          <w:rFonts w:ascii="SimSun" w:hAnsi="SimSun" w:eastAsia="SimSun" w:cs="SimSun"/>
          <w:sz w:val="21"/>
          <w:szCs w:val="21"/>
        </w:rPr>
      </w:pPr>
      <w:r>
        <w:rPr>
          <w:rFonts w:ascii="SimSun" w:hAnsi="SimSun" w:eastAsia="SimSun" w:cs="SimSun"/>
          <w:sz w:val="21"/>
          <w:szCs w:val="21"/>
          <w:spacing w:val="-3"/>
        </w:rPr>
        <w:t>云端数据的产生主要来源于两大部分，</w:t>
      </w:r>
      <w:r>
        <w:rPr>
          <w:rFonts w:ascii="SimSun" w:hAnsi="SimSun" w:eastAsia="SimSun" w:cs="SimSun"/>
          <w:sz w:val="21"/>
          <w:szCs w:val="21"/>
          <w:spacing w:val="68"/>
        </w:rPr>
        <w:t xml:space="preserve"> </w:t>
      </w:r>
      <w:r>
        <w:rPr>
          <w:rFonts w:ascii="SimSun" w:hAnsi="SimSun" w:eastAsia="SimSun" w:cs="SimSun"/>
          <w:sz w:val="21"/>
          <w:szCs w:val="21"/>
          <w:spacing w:val="-3"/>
        </w:rPr>
        <w:t>一是组织本地数据的云端迁移，二是云</w:t>
      </w:r>
      <w:r>
        <w:rPr>
          <w:rFonts w:ascii="SimSun" w:hAnsi="SimSun" w:eastAsia="SimSun" w:cs="SimSun"/>
          <w:sz w:val="21"/>
          <w:szCs w:val="21"/>
        </w:rPr>
        <w:t xml:space="preserve"> </w:t>
      </w:r>
      <w:r>
        <w:rPr>
          <w:rFonts w:ascii="SimSun" w:hAnsi="SimSun" w:eastAsia="SimSun" w:cs="SimSun"/>
          <w:sz w:val="21"/>
          <w:szCs w:val="21"/>
          <w:spacing w:val="2"/>
        </w:rPr>
        <w:t>端自身数据的聚合。从数据成分上来看，云端数据除了是传统格式化数据外，更多</w:t>
      </w:r>
      <w:r>
        <w:rPr>
          <w:rFonts w:ascii="SimSun" w:hAnsi="SimSun" w:eastAsia="SimSun" w:cs="SimSun"/>
          <w:sz w:val="21"/>
          <w:szCs w:val="21"/>
          <w:spacing w:val="16"/>
        </w:rPr>
        <w:t xml:space="preserve"> </w:t>
      </w:r>
      <w:r>
        <w:rPr>
          <w:rFonts w:ascii="SimSun" w:hAnsi="SimSun" w:eastAsia="SimSun" w:cs="SimSun"/>
          <w:sz w:val="21"/>
          <w:szCs w:val="21"/>
          <w:spacing w:val="2"/>
        </w:rPr>
        <w:t>的是半结构化和非结构化数据，因为非结构化数据的爆炸性增长是迫使组织将数据</w:t>
      </w:r>
      <w:r>
        <w:rPr>
          <w:rFonts w:ascii="SimSun" w:hAnsi="SimSun" w:eastAsia="SimSun" w:cs="SimSun"/>
          <w:sz w:val="21"/>
          <w:szCs w:val="21"/>
          <w:spacing w:val="9"/>
        </w:rPr>
        <w:t xml:space="preserve"> </w:t>
      </w:r>
      <w:r>
        <w:rPr>
          <w:rFonts w:ascii="SimSun" w:hAnsi="SimSun" w:eastAsia="SimSun" w:cs="SimSun"/>
          <w:sz w:val="21"/>
          <w:szCs w:val="21"/>
          <w:spacing w:val="2"/>
        </w:rPr>
        <w:t>迁移至云端的主要原因之一。同时，源于互联网、物联网、移动互联网等</w:t>
      </w:r>
      <w:r>
        <w:rPr>
          <w:rFonts w:ascii="SimSun" w:hAnsi="SimSun" w:eastAsia="SimSun" w:cs="SimSun"/>
          <w:sz w:val="21"/>
          <w:szCs w:val="21"/>
          <w:spacing w:val="1"/>
        </w:rPr>
        <w:t>技术的数</w:t>
      </w:r>
      <w:r>
        <w:rPr>
          <w:rFonts w:ascii="SimSun" w:hAnsi="SimSun" w:eastAsia="SimSun" w:cs="SimSun"/>
          <w:sz w:val="21"/>
          <w:szCs w:val="21"/>
        </w:rPr>
        <w:t xml:space="preserve"> </w:t>
      </w:r>
      <w:r>
        <w:rPr>
          <w:rFonts w:ascii="SimSun" w:hAnsi="SimSun" w:eastAsia="SimSun" w:cs="SimSun"/>
          <w:sz w:val="21"/>
          <w:szCs w:val="21"/>
          <w:spacing w:val="1"/>
        </w:rPr>
        <w:t>据中非结构化数据已经占据绝大部分，这些数据可以不经本地存储而直接在云端汇</w:t>
      </w:r>
      <w:r>
        <w:rPr>
          <w:rFonts w:ascii="SimSun" w:hAnsi="SimSun" w:eastAsia="SimSun" w:cs="SimSun"/>
          <w:sz w:val="21"/>
          <w:szCs w:val="21"/>
          <w:spacing w:val="13"/>
        </w:rPr>
        <w:t xml:space="preserve"> </w:t>
      </w:r>
      <w:r>
        <w:rPr>
          <w:rFonts w:ascii="SimSun" w:hAnsi="SimSun" w:eastAsia="SimSun" w:cs="SimSun"/>
          <w:sz w:val="21"/>
          <w:szCs w:val="21"/>
          <w:spacing w:val="-6"/>
        </w:rPr>
        <w:t>聚，成为组织可处理的数据。</w:t>
      </w:r>
    </w:p>
    <w:p>
      <w:pPr>
        <w:ind w:right="270" w:firstLine="430"/>
        <w:spacing w:before="69" w:line="255" w:lineRule="auto"/>
        <w:rPr>
          <w:rFonts w:ascii="SimSun" w:hAnsi="SimSun" w:eastAsia="SimSun" w:cs="SimSun"/>
          <w:sz w:val="21"/>
          <w:szCs w:val="21"/>
        </w:rPr>
      </w:pPr>
      <w:r>
        <w:rPr>
          <w:rFonts w:ascii="SimSun" w:hAnsi="SimSun" w:eastAsia="SimSun" w:cs="SimSun"/>
          <w:sz w:val="21"/>
          <w:szCs w:val="21"/>
          <w:spacing w:val="5"/>
        </w:rPr>
        <w:t>(2)云端数据治理要制订与云端数据战略、数据管理、数据优化、数据安全与 </w:t>
      </w:r>
      <w:r>
        <w:rPr>
          <w:rFonts w:ascii="SimSun" w:hAnsi="SimSun" w:eastAsia="SimSun" w:cs="SimSun"/>
          <w:sz w:val="21"/>
          <w:szCs w:val="21"/>
          <w:spacing w:val="-5"/>
        </w:rPr>
        <w:t>隐私保护等相关的策略。</w:t>
      </w:r>
    </w:p>
    <w:p>
      <w:pPr>
        <w:ind w:right="277" w:firstLine="430"/>
        <w:spacing w:before="59" w:line="261" w:lineRule="auto"/>
        <w:rPr>
          <w:rFonts w:ascii="SimSun" w:hAnsi="SimSun" w:eastAsia="SimSun" w:cs="SimSun"/>
          <w:sz w:val="21"/>
          <w:szCs w:val="21"/>
        </w:rPr>
      </w:pPr>
      <w:r>
        <w:rPr>
          <w:rFonts w:ascii="SimSun" w:hAnsi="SimSun" w:eastAsia="SimSun" w:cs="SimSun"/>
          <w:sz w:val="21"/>
          <w:szCs w:val="21"/>
          <w:spacing w:val="2"/>
        </w:rPr>
        <w:t>云端数据治理关乎策略的制订，这些策略成为开展数据治理的指导文件和措施</w:t>
      </w:r>
      <w:r>
        <w:rPr>
          <w:rFonts w:ascii="SimSun" w:hAnsi="SimSun" w:eastAsia="SimSun" w:cs="SimSun"/>
          <w:sz w:val="21"/>
          <w:szCs w:val="21"/>
        </w:rPr>
        <w:t xml:space="preserve"> </w:t>
      </w:r>
      <w:r>
        <w:rPr>
          <w:rFonts w:ascii="SimSun" w:hAnsi="SimSun" w:eastAsia="SimSun" w:cs="SimSun"/>
          <w:sz w:val="21"/>
          <w:szCs w:val="21"/>
          <w:spacing w:val="2"/>
        </w:rPr>
        <w:t>依据，包括数据治理战略、数据管理策略、数据优化策略、数据安全与隐私保护策</w:t>
      </w:r>
      <w:r>
        <w:rPr>
          <w:rFonts w:ascii="SimSun" w:hAnsi="SimSun" w:eastAsia="SimSun" w:cs="SimSun"/>
          <w:sz w:val="21"/>
          <w:szCs w:val="21"/>
          <w:spacing w:val="6"/>
        </w:rPr>
        <w:t xml:space="preserve"> </w:t>
      </w:r>
      <w:r>
        <w:rPr>
          <w:rFonts w:ascii="SimSun" w:hAnsi="SimSun" w:eastAsia="SimSun" w:cs="SimSun"/>
          <w:sz w:val="21"/>
          <w:szCs w:val="21"/>
          <w:spacing w:val="-11"/>
        </w:rPr>
        <w:t>略等。</w:t>
      </w:r>
    </w:p>
    <w:p>
      <w:pPr>
        <w:ind w:right="276" w:firstLine="430"/>
        <w:spacing w:before="59" w:line="262" w:lineRule="auto"/>
        <w:rPr>
          <w:rFonts w:ascii="SimSun" w:hAnsi="SimSun" w:eastAsia="SimSun" w:cs="SimSun"/>
          <w:sz w:val="21"/>
          <w:szCs w:val="21"/>
        </w:rPr>
      </w:pPr>
      <w:r>
        <w:rPr>
          <w:rFonts w:ascii="SimSun" w:hAnsi="SimSun" w:eastAsia="SimSun" w:cs="SimSun"/>
          <w:sz w:val="21"/>
          <w:szCs w:val="21"/>
          <w:spacing w:val="1"/>
        </w:rPr>
        <w:t>战略是一项活动的宏观性纲领，是一种从全局考虑谋</w:t>
      </w:r>
      <w:r>
        <w:rPr>
          <w:rFonts w:ascii="SimSun" w:hAnsi="SimSun" w:eastAsia="SimSun" w:cs="SimSun"/>
          <w:sz w:val="21"/>
          <w:szCs w:val="21"/>
        </w:rPr>
        <w:t>划实现全局目标的规划。 </w:t>
      </w:r>
      <w:r>
        <w:rPr>
          <w:rFonts w:ascii="SimSun" w:hAnsi="SimSun" w:eastAsia="SimSun" w:cs="SimSun"/>
          <w:sz w:val="21"/>
          <w:szCs w:val="21"/>
          <w:spacing w:val="2"/>
        </w:rPr>
        <w:t>对于一个组织，大的战略可以是一个从组织层面考虑的全局战略，也可以是针对某</w:t>
      </w:r>
      <w:r>
        <w:rPr>
          <w:rFonts w:ascii="SimSun" w:hAnsi="SimSun" w:eastAsia="SimSun" w:cs="SimSun"/>
          <w:sz w:val="21"/>
          <w:szCs w:val="21"/>
          <w:spacing w:val="7"/>
        </w:rPr>
        <w:t xml:space="preserve"> </w:t>
      </w:r>
      <w:r>
        <w:rPr>
          <w:rFonts w:ascii="SimSun" w:hAnsi="SimSun" w:eastAsia="SimSun" w:cs="SimSun"/>
          <w:sz w:val="21"/>
          <w:szCs w:val="21"/>
          <w:spacing w:val="2"/>
        </w:rPr>
        <w:t>项活动制订的战略，如数据治理战略、信息安</w:t>
      </w:r>
      <w:r>
        <w:rPr>
          <w:rFonts w:ascii="SimSun" w:hAnsi="SimSun" w:eastAsia="SimSun" w:cs="SimSun"/>
          <w:sz w:val="21"/>
          <w:szCs w:val="21"/>
          <w:spacing w:val="1"/>
        </w:rPr>
        <w:t>全战略等。数据治理战略是对数据治</w:t>
      </w:r>
      <w:r>
        <w:rPr>
          <w:rFonts w:ascii="SimSun" w:hAnsi="SimSun" w:eastAsia="SimSun" w:cs="SimSun"/>
          <w:sz w:val="21"/>
          <w:szCs w:val="21"/>
        </w:rPr>
        <w:t xml:space="preserve"> </w:t>
      </w:r>
      <w:r>
        <w:rPr>
          <w:rFonts w:ascii="SimSun" w:hAnsi="SimSun" w:eastAsia="SimSun" w:cs="SimSun"/>
          <w:sz w:val="21"/>
          <w:szCs w:val="21"/>
          <w:spacing w:val="1"/>
        </w:rPr>
        <w:t>理活动的顶层设计和远程规划，其目的是在数据治理活动得到数据治理相关者的理</w:t>
      </w:r>
      <w:r>
        <w:rPr>
          <w:rFonts w:ascii="SimSun" w:hAnsi="SimSun" w:eastAsia="SimSun" w:cs="SimSun"/>
          <w:sz w:val="21"/>
          <w:szCs w:val="21"/>
          <w:spacing w:val="10"/>
        </w:rPr>
        <w:t xml:space="preserve"> </w:t>
      </w:r>
      <w:r>
        <w:rPr>
          <w:rFonts w:ascii="SimSun" w:hAnsi="SimSun" w:eastAsia="SimSun" w:cs="SimSun"/>
          <w:sz w:val="21"/>
          <w:szCs w:val="21"/>
          <w:spacing w:val="-1"/>
        </w:rPr>
        <w:t>解和认同的前提下，对未来一段时间内数据治理活动进行规划。</w:t>
      </w:r>
    </w:p>
    <w:p>
      <w:pPr>
        <w:ind w:right="257" w:firstLine="430"/>
        <w:spacing w:before="49" w:line="269" w:lineRule="auto"/>
        <w:rPr>
          <w:rFonts w:ascii="SimSun" w:hAnsi="SimSun" w:eastAsia="SimSun" w:cs="SimSun"/>
          <w:sz w:val="21"/>
          <w:szCs w:val="21"/>
        </w:rPr>
      </w:pPr>
      <w:r>
        <w:rPr>
          <w:rFonts w:ascii="SimSun" w:hAnsi="SimSun" w:eastAsia="SimSun" w:cs="SimSun"/>
          <w:sz w:val="21"/>
          <w:szCs w:val="21"/>
          <w:spacing w:val="3"/>
        </w:rPr>
        <w:t>数据管理是对数据进行基础规范以支撑数据治</w:t>
      </w:r>
      <w:r>
        <w:rPr>
          <w:rFonts w:ascii="SimSun" w:hAnsi="SimSun" w:eastAsia="SimSun" w:cs="SimSun"/>
          <w:sz w:val="21"/>
          <w:szCs w:val="21"/>
          <w:spacing w:val="2"/>
        </w:rPr>
        <w:t>理整个活动的实施，涉及业务术</w:t>
      </w:r>
      <w:r>
        <w:rPr>
          <w:rFonts w:ascii="SimSun" w:hAnsi="SimSun" w:eastAsia="SimSun" w:cs="SimSun"/>
          <w:sz w:val="21"/>
          <w:szCs w:val="21"/>
        </w:rPr>
        <w:t xml:space="preserve"> </w:t>
      </w:r>
      <w:r>
        <w:rPr>
          <w:rFonts w:ascii="SimSun" w:hAnsi="SimSun" w:eastAsia="SimSun" w:cs="SimSun"/>
          <w:sz w:val="21"/>
          <w:szCs w:val="21"/>
          <w:spacing w:val="1"/>
        </w:rPr>
        <w:t>语、元数据管理和主数据管理等。业务术语是数据治理的基础，是为了获得组织对</w:t>
      </w:r>
      <w:r>
        <w:rPr>
          <w:rFonts w:ascii="SimSun" w:hAnsi="SimSun" w:eastAsia="SimSun" w:cs="SimSun"/>
          <w:sz w:val="21"/>
          <w:szCs w:val="21"/>
          <w:spacing w:val="12"/>
        </w:rPr>
        <w:t xml:space="preserve"> </w:t>
      </w:r>
      <w:r>
        <w:rPr>
          <w:rFonts w:ascii="SimSun" w:hAnsi="SimSun" w:eastAsia="SimSun" w:cs="SimSun"/>
          <w:sz w:val="21"/>
          <w:szCs w:val="21"/>
          <w:spacing w:val="-4"/>
        </w:rPr>
        <w:t>某项事情的统一认识，不然可能出现众说纷纭的现象从而造</w:t>
      </w:r>
      <w:r>
        <w:rPr>
          <w:rFonts w:ascii="SimSun" w:hAnsi="SimSun" w:eastAsia="SimSun" w:cs="SimSun"/>
          <w:sz w:val="21"/>
          <w:szCs w:val="21"/>
          <w:spacing w:val="-5"/>
        </w:rPr>
        <w:t>成重大错误。例如对数据</w:t>
      </w:r>
      <w:r>
        <w:rPr>
          <w:rFonts w:ascii="SimSun" w:hAnsi="SimSun" w:eastAsia="SimSun" w:cs="SimSun"/>
          <w:sz w:val="21"/>
          <w:szCs w:val="21"/>
        </w:rPr>
        <w:t xml:space="preserve"> </w:t>
      </w:r>
      <w:r>
        <w:rPr>
          <w:rFonts w:ascii="SimSun" w:hAnsi="SimSun" w:eastAsia="SimSun" w:cs="SimSun"/>
          <w:sz w:val="21"/>
          <w:szCs w:val="21"/>
          <w:spacing w:val="-4"/>
        </w:rPr>
        <w:t>治理成本进行估算时，究竟还是以“万元”为单位还是以“元”为单位，又或是当进</w:t>
      </w:r>
      <w:r>
        <w:rPr>
          <w:rFonts w:ascii="SimSun" w:hAnsi="SimSun" w:eastAsia="SimSun" w:cs="SimSun"/>
          <w:sz w:val="21"/>
          <w:szCs w:val="21"/>
          <w:spacing w:val="15"/>
        </w:rPr>
        <w:t xml:space="preserve"> </w:t>
      </w:r>
      <w:r>
        <w:rPr>
          <w:rFonts w:ascii="SimSun" w:hAnsi="SimSun" w:eastAsia="SimSun" w:cs="SimSun"/>
          <w:sz w:val="21"/>
          <w:szCs w:val="21"/>
          <w:spacing w:val="-5"/>
        </w:rPr>
        <w:t>行数据整理时，小数点后数值保留几位，是要“四舍五入”还是“取整去零”等。</w:t>
      </w:r>
    </w:p>
    <w:p>
      <w:pPr>
        <w:ind w:right="276" w:firstLine="430"/>
        <w:spacing w:before="71" w:line="262" w:lineRule="auto"/>
        <w:rPr>
          <w:rFonts w:ascii="SimSun" w:hAnsi="SimSun" w:eastAsia="SimSun" w:cs="SimSun"/>
          <w:sz w:val="21"/>
          <w:szCs w:val="21"/>
        </w:rPr>
      </w:pPr>
      <w:r>
        <w:rPr>
          <w:rFonts w:ascii="SimSun" w:hAnsi="SimSun" w:eastAsia="SimSun" w:cs="SimSun"/>
          <w:sz w:val="21"/>
          <w:szCs w:val="21"/>
          <w:spacing w:val="-3"/>
        </w:rPr>
        <w:t>云端数据必须优化，不是所有数据都可以直接使用的。</w:t>
      </w:r>
      <w:r>
        <w:rPr>
          <w:rFonts w:ascii="SimSun" w:hAnsi="SimSun" w:eastAsia="SimSun" w:cs="SimSun"/>
          <w:sz w:val="21"/>
          <w:szCs w:val="21"/>
          <w:spacing w:val="43"/>
        </w:rPr>
        <w:t xml:space="preserve"> </w:t>
      </w:r>
      <w:r>
        <w:rPr>
          <w:rFonts w:ascii="SimSun" w:hAnsi="SimSun" w:eastAsia="SimSun" w:cs="SimSun"/>
          <w:sz w:val="21"/>
          <w:szCs w:val="21"/>
          <w:spacing w:val="-3"/>
        </w:rPr>
        <w:t>一方面</w:t>
      </w:r>
      <w:r>
        <w:rPr>
          <w:rFonts w:ascii="SimSun" w:hAnsi="SimSun" w:eastAsia="SimSun" w:cs="SimSun"/>
          <w:sz w:val="21"/>
          <w:szCs w:val="21"/>
          <w:spacing w:val="-4"/>
        </w:rPr>
        <w:t>，云端数据拥有</w:t>
      </w:r>
      <w:r>
        <w:rPr>
          <w:rFonts w:ascii="SimSun" w:hAnsi="SimSun" w:eastAsia="SimSun" w:cs="SimSun"/>
          <w:sz w:val="21"/>
          <w:szCs w:val="21"/>
        </w:rPr>
        <w:t xml:space="preserve"> </w:t>
      </w:r>
      <w:r>
        <w:rPr>
          <w:rFonts w:ascii="SimSun" w:hAnsi="SimSun" w:eastAsia="SimSun" w:cs="SimSun"/>
          <w:sz w:val="21"/>
          <w:szCs w:val="21"/>
          <w:spacing w:val="1"/>
        </w:rPr>
        <w:t>大数据所具有的特点，数据体量大、结构复杂，造成数据价值密度低，所以必须对</w:t>
      </w:r>
      <w:r>
        <w:rPr>
          <w:rFonts w:ascii="SimSun" w:hAnsi="SimSun" w:eastAsia="SimSun" w:cs="SimSun"/>
          <w:sz w:val="21"/>
          <w:szCs w:val="21"/>
          <w:spacing w:val="11"/>
        </w:rPr>
        <w:t xml:space="preserve"> </w:t>
      </w:r>
      <w:r>
        <w:rPr>
          <w:rFonts w:ascii="SimSun" w:hAnsi="SimSun" w:eastAsia="SimSun" w:cs="SimSun"/>
          <w:sz w:val="21"/>
          <w:szCs w:val="21"/>
          <w:spacing w:val="1"/>
        </w:rPr>
        <w:t>云端数据进行优化。另一方面，为了最大程度上发挥数据的价值，也必须对数据进</w:t>
      </w:r>
      <w:r>
        <w:rPr>
          <w:rFonts w:ascii="SimSun" w:hAnsi="SimSun" w:eastAsia="SimSun" w:cs="SimSun"/>
          <w:sz w:val="21"/>
          <w:szCs w:val="21"/>
          <w:spacing w:val="11"/>
        </w:rPr>
        <w:t xml:space="preserve"> </w:t>
      </w:r>
      <w:r>
        <w:rPr>
          <w:rFonts w:ascii="SimSun" w:hAnsi="SimSun" w:eastAsia="SimSun" w:cs="SimSun"/>
          <w:sz w:val="21"/>
          <w:szCs w:val="21"/>
          <w:spacing w:val="2"/>
        </w:rPr>
        <w:t>行整理优化，通过数据聚合分析发挥单体数据所不能体现出来的价值。数据质量管</w:t>
      </w:r>
      <w:r>
        <w:rPr>
          <w:rFonts w:ascii="SimSun" w:hAnsi="SimSun" w:eastAsia="SimSun" w:cs="SimSun"/>
          <w:sz w:val="21"/>
          <w:szCs w:val="21"/>
          <w:spacing w:val="8"/>
        </w:rPr>
        <w:t xml:space="preserve"> </w:t>
      </w:r>
      <w:r>
        <w:rPr>
          <w:rFonts w:ascii="SimSun" w:hAnsi="SimSun" w:eastAsia="SimSun" w:cs="SimSun"/>
          <w:sz w:val="21"/>
          <w:szCs w:val="21"/>
          <w:spacing w:val="-1"/>
        </w:rPr>
        <w:t>理、数据操作、数据架构都是为了实现数据优化而进</w:t>
      </w:r>
      <w:r>
        <w:rPr>
          <w:rFonts w:ascii="SimSun" w:hAnsi="SimSun" w:eastAsia="SimSun" w:cs="SimSun"/>
          <w:sz w:val="21"/>
          <w:szCs w:val="21"/>
          <w:spacing w:val="-2"/>
        </w:rPr>
        <w:t>行的数据治理措施。</w:t>
      </w:r>
    </w:p>
    <w:p>
      <w:pPr>
        <w:ind w:right="276" w:firstLine="430"/>
        <w:spacing w:before="50" w:line="262" w:lineRule="auto"/>
        <w:rPr>
          <w:rFonts w:ascii="SimSun" w:hAnsi="SimSun" w:eastAsia="SimSun" w:cs="SimSun"/>
          <w:sz w:val="21"/>
          <w:szCs w:val="21"/>
        </w:rPr>
      </w:pPr>
      <w:r>
        <w:rPr>
          <w:rFonts w:ascii="SimSun" w:hAnsi="SimSun" w:eastAsia="SimSun" w:cs="SimSun"/>
          <w:sz w:val="21"/>
          <w:szCs w:val="21"/>
          <w:spacing w:val="2"/>
        </w:rPr>
        <w:t>数据安全与隐私保护必须重视。在大数据和云计算环境下，数据面临的安全威</w:t>
      </w:r>
      <w:r>
        <w:rPr>
          <w:rFonts w:ascii="SimSun" w:hAnsi="SimSun" w:eastAsia="SimSun" w:cs="SimSun"/>
          <w:sz w:val="21"/>
          <w:szCs w:val="21"/>
          <w:spacing w:val="1"/>
        </w:rPr>
        <w:t xml:space="preserve"> </w:t>
      </w:r>
      <w:r>
        <w:rPr>
          <w:rFonts w:ascii="SimSun" w:hAnsi="SimSun" w:eastAsia="SimSun" w:cs="SimSun"/>
          <w:sz w:val="21"/>
          <w:szCs w:val="21"/>
          <w:spacing w:val="2"/>
        </w:rPr>
        <w:t>胁更多，破坏力更强，因此云端数据治理的</w:t>
      </w:r>
      <w:r>
        <w:rPr>
          <w:rFonts w:ascii="SimSun" w:hAnsi="SimSun" w:eastAsia="SimSun" w:cs="SimSun"/>
          <w:sz w:val="21"/>
          <w:szCs w:val="21"/>
          <w:spacing w:val="1"/>
        </w:rPr>
        <w:t>一项重要内容就是数据的安全与隐私的</w:t>
      </w:r>
      <w:r>
        <w:rPr>
          <w:rFonts w:ascii="SimSun" w:hAnsi="SimSun" w:eastAsia="SimSun" w:cs="SimSun"/>
          <w:sz w:val="21"/>
          <w:szCs w:val="21"/>
        </w:rPr>
        <w:t xml:space="preserve"> </w:t>
      </w:r>
      <w:r>
        <w:rPr>
          <w:rFonts w:ascii="SimSun" w:hAnsi="SimSun" w:eastAsia="SimSun" w:cs="SimSun"/>
          <w:sz w:val="21"/>
          <w:szCs w:val="21"/>
          <w:spacing w:val="1"/>
        </w:rPr>
        <w:t>保护。例如在处理社交媒体、地理定位、生物计量学和其他形式的个人可识别信息</w:t>
      </w:r>
      <w:r>
        <w:rPr>
          <w:rFonts w:ascii="SimSun" w:hAnsi="SimSun" w:eastAsia="SimSun" w:cs="SimSun"/>
          <w:sz w:val="21"/>
          <w:szCs w:val="21"/>
          <w:spacing w:val="18"/>
        </w:rPr>
        <w:t xml:space="preserve"> </w:t>
      </w:r>
      <w:r>
        <w:rPr>
          <w:rFonts w:ascii="SimSun" w:hAnsi="SimSun" w:eastAsia="SimSun" w:cs="SimSun"/>
          <w:sz w:val="21"/>
          <w:szCs w:val="21"/>
          <w:spacing w:val="1"/>
        </w:rPr>
        <w:t>时，必须考虑其涉及的声誉和法律法规风险。另外，不同地域或国家对数据安全管</w:t>
      </w:r>
      <w:r>
        <w:rPr>
          <w:rFonts w:ascii="SimSun" w:hAnsi="SimSun" w:eastAsia="SimSun" w:cs="SimSun"/>
          <w:sz w:val="21"/>
          <w:szCs w:val="21"/>
          <w:spacing w:val="14"/>
        </w:rPr>
        <w:t xml:space="preserve"> </w:t>
      </w:r>
      <w:r>
        <w:rPr>
          <w:rFonts w:ascii="SimSun" w:hAnsi="SimSun" w:eastAsia="SimSun" w:cs="SimSun"/>
          <w:sz w:val="21"/>
          <w:szCs w:val="21"/>
          <w:spacing w:val="-1"/>
        </w:rPr>
        <w:t>理和隐私保护的规定是不一样的，所以保证合规是数</w:t>
      </w:r>
      <w:r>
        <w:rPr>
          <w:rFonts w:ascii="SimSun" w:hAnsi="SimSun" w:eastAsia="SimSun" w:cs="SimSun"/>
          <w:sz w:val="21"/>
          <w:szCs w:val="21"/>
          <w:spacing w:val="-2"/>
        </w:rPr>
        <w:t>据治理的重要前提。</w:t>
      </w:r>
    </w:p>
    <w:p>
      <w:pPr>
        <w:ind w:left="430"/>
        <w:spacing w:before="89" w:line="218" w:lineRule="auto"/>
        <w:rPr>
          <w:rFonts w:ascii="SimSun" w:hAnsi="SimSun" w:eastAsia="SimSun" w:cs="SimSun"/>
          <w:sz w:val="21"/>
          <w:szCs w:val="21"/>
        </w:rPr>
      </w:pPr>
      <w:r>
        <w:rPr>
          <w:rFonts w:ascii="SimSun" w:hAnsi="SimSun" w:eastAsia="SimSun" w:cs="SimSun"/>
          <w:sz w:val="21"/>
          <w:szCs w:val="21"/>
          <w:spacing w:val="4"/>
        </w:rPr>
        <w:t>(3)云端数据治理是规划、构建、评估和优化数据治理体系的活动集合</w:t>
      </w:r>
    </w:p>
    <w:p>
      <w:pPr>
        <w:ind w:right="212" w:firstLine="430"/>
        <w:spacing w:before="54" w:line="260" w:lineRule="auto"/>
        <w:rPr>
          <w:rFonts w:ascii="SimSun" w:hAnsi="SimSun" w:eastAsia="SimSun" w:cs="SimSun"/>
          <w:sz w:val="21"/>
          <w:szCs w:val="21"/>
        </w:rPr>
      </w:pPr>
      <w:r>
        <w:rPr>
          <w:rFonts w:ascii="SimSun" w:hAnsi="SimSun" w:eastAsia="SimSun" w:cs="SimSun"/>
          <w:sz w:val="21"/>
          <w:szCs w:val="21"/>
          <w:spacing w:val="1"/>
        </w:rPr>
        <w:t>云端数据治理是依据制订的各项策略对云端数据进行治理的活动集合，为此组  </w:t>
      </w:r>
      <w:r>
        <w:rPr>
          <w:rFonts w:ascii="SimSun" w:hAnsi="SimSun" w:eastAsia="SimSun" w:cs="SimSun"/>
          <w:sz w:val="21"/>
          <w:szCs w:val="21"/>
          <w:spacing w:val="-2"/>
        </w:rPr>
        <w:t>织需要建立一个完整的数据治理体系，覆盖统筹和规划、构建和运行、监督和评估、</w:t>
      </w:r>
      <w:r>
        <w:rPr>
          <w:rFonts w:ascii="SimSun" w:hAnsi="SimSun" w:eastAsia="SimSun" w:cs="SimSun"/>
          <w:sz w:val="21"/>
          <w:szCs w:val="21"/>
          <w:spacing w:val="7"/>
        </w:rPr>
        <w:t xml:space="preserve"> </w:t>
      </w:r>
      <w:r>
        <w:rPr>
          <w:rFonts w:ascii="SimSun" w:hAnsi="SimSun" w:eastAsia="SimSun" w:cs="SimSun"/>
          <w:sz w:val="21"/>
          <w:szCs w:val="21"/>
          <w:spacing w:val="-1"/>
        </w:rPr>
        <w:t>改进和优化四大阶段，促进云端数据治理的落地以实现既定目标。</w:t>
      </w:r>
    </w:p>
    <w:p>
      <w:pPr>
        <w:ind w:left="430"/>
        <w:spacing w:before="62" w:line="219" w:lineRule="auto"/>
        <w:rPr>
          <w:rFonts w:ascii="SimSun" w:hAnsi="SimSun" w:eastAsia="SimSun" w:cs="SimSun"/>
          <w:sz w:val="21"/>
          <w:szCs w:val="21"/>
        </w:rPr>
      </w:pPr>
      <w:r>
        <w:rPr>
          <w:rFonts w:ascii="SimSun" w:hAnsi="SimSun" w:eastAsia="SimSun" w:cs="SimSun"/>
          <w:sz w:val="21"/>
          <w:szCs w:val="21"/>
          <w:spacing w:val="1"/>
        </w:rPr>
        <w:t>统筹和规划阶段是云端数据治理活动的前期准备阶段，其目标是要统筹和规划</w:t>
      </w:r>
    </w:p>
    <w:p>
      <w:pPr>
        <w:spacing w:line="219" w:lineRule="auto"/>
        <w:sectPr>
          <w:footerReference w:type="default" r:id="rId108"/>
          <w:pgSz w:w="8870" w:h="13400"/>
          <w:pgMar w:top="400" w:right="492" w:bottom="617" w:left="459" w:header="0" w:footer="408" w:gutter="0"/>
        </w:sectPr>
        <w:rPr>
          <w:rFonts w:ascii="SimSun" w:hAnsi="SimSun" w:eastAsia="SimSun" w:cs="SimSun"/>
          <w:sz w:val="21"/>
          <w:szCs w:val="21"/>
        </w:rPr>
      </w:pPr>
    </w:p>
    <w:p>
      <w:pPr>
        <w:ind w:left="242"/>
        <w:spacing w:before="196" w:line="219" w:lineRule="auto"/>
        <w:rPr>
          <w:rFonts w:ascii="SimSun" w:hAnsi="SimSun" w:eastAsia="SimSun" w:cs="SimSun"/>
          <w:sz w:val="22"/>
          <w:szCs w:val="22"/>
        </w:rPr>
      </w:pPr>
      <w:r>
        <w:pict>
          <v:rect id="_x0000_s234" style="position:absolute;margin-left:25.998pt;margin-top:26.4985pt;mso-position-vertical-relative:page;mso-position-horizontal-relative:page;width:0.55pt;height:17.55pt;z-index:252385280;" o:allowincell="f" fillcolor="#000000" filled="true" stroked="false"/>
        </w:pict>
      </w:r>
      <w:r>
        <w:rPr>
          <w:rFonts w:ascii="SimSun" w:hAnsi="SimSun" w:eastAsia="SimSun" w:cs="SimSun"/>
          <w:sz w:val="22"/>
          <w:szCs w:val="22"/>
          <w:b/>
          <w:bCs/>
          <w:spacing w:val="-29"/>
          <w:w w:val="97"/>
        </w:rPr>
        <w:t>■云端数据治理■</w:t>
      </w:r>
    </w:p>
    <w:p>
      <w:pPr>
        <w:pStyle w:val="BodyText"/>
        <w:spacing w:line="257" w:lineRule="auto"/>
        <w:rPr/>
      </w:pPr>
      <w:r/>
    </w:p>
    <w:p>
      <w:pPr>
        <w:ind w:left="240" w:right="40"/>
        <w:spacing w:before="72"/>
        <w:rPr>
          <w:rFonts w:ascii="SimSun" w:hAnsi="SimSun" w:eastAsia="SimSun" w:cs="SimSun"/>
          <w:sz w:val="22"/>
          <w:szCs w:val="22"/>
        </w:rPr>
      </w:pPr>
      <w:r>
        <w:rPr>
          <w:rFonts w:ascii="SimSun" w:hAnsi="SimSun" w:eastAsia="SimSun" w:cs="SimSun"/>
          <w:sz w:val="22"/>
          <w:szCs w:val="22"/>
          <w:spacing w:val="-8"/>
        </w:rPr>
        <w:t>数据治理目标和任务，谋划必要的治理环境，做好数据治理实施的准备。统筹和规</w:t>
      </w:r>
      <w:r>
        <w:rPr>
          <w:rFonts w:ascii="SimSun" w:hAnsi="SimSun" w:eastAsia="SimSun" w:cs="SimSun"/>
          <w:sz w:val="22"/>
          <w:szCs w:val="22"/>
          <w:spacing w:val="16"/>
        </w:rPr>
        <w:t xml:space="preserve"> </w:t>
      </w:r>
      <w:r>
        <w:rPr>
          <w:rFonts w:ascii="SimSun" w:hAnsi="SimSun" w:eastAsia="SimSun" w:cs="SimSun"/>
          <w:sz w:val="22"/>
          <w:szCs w:val="22"/>
          <w:spacing w:val="-16"/>
        </w:rPr>
        <w:t>划阶段的主要内容包括：</w:t>
      </w:r>
    </w:p>
    <w:p>
      <w:pPr>
        <w:ind w:left="700"/>
        <w:spacing w:before="24" w:line="212" w:lineRule="auto"/>
        <w:rPr>
          <w:rFonts w:ascii="SimSun" w:hAnsi="SimSun" w:eastAsia="SimSun" w:cs="SimSun"/>
          <w:sz w:val="22"/>
          <w:szCs w:val="22"/>
        </w:rPr>
      </w:pPr>
      <w:r>
        <w:rPr>
          <w:rFonts w:ascii="Times New Roman" w:hAnsi="Times New Roman" w:eastAsia="Times New Roman" w:cs="Times New Roman"/>
          <w:sz w:val="22"/>
          <w:szCs w:val="22"/>
          <w:spacing w:val="-9"/>
        </w:rPr>
        <w:t>a)  </w:t>
      </w:r>
      <w:r>
        <w:rPr>
          <w:rFonts w:ascii="SimSun" w:hAnsi="SimSun" w:eastAsia="SimSun" w:cs="SimSun"/>
          <w:sz w:val="22"/>
          <w:szCs w:val="22"/>
          <w:spacing w:val="-9"/>
        </w:rPr>
        <w:t>识别云端数据治理需求和任务；</w:t>
      </w:r>
    </w:p>
    <w:p>
      <w:pPr>
        <w:ind w:left="700"/>
        <w:spacing w:before="57" w:line="212" w:lineRule="auto"/>
        <w:rPr>
          <w:rFonts w:ascii="SimSun" w:hAnsi="SimSun" w:eastAsia="SimSun" w:cs="SimSun"/>
          <w:sz w:val="22"/>
          <w:szCs w:val="22"/>
        </w:rPr>
      </w:pPr>
      <w:r>
        <w:rPr>
          <w:rFonts w:ascii="Times New Roman" w:hAnsi="Times New Roman" w:eastAsia="Times New Roman" w:cs="Times New Roman"/>
          <w:sz w:val="22"/>
          <w:szCs w:val="22"/>
          <w:spacing w:val="-8"/>
        </w:rPr>
        <w:t>b)  </w:t>
      </w:r>
      <w:r>
        <w:rPr>
          <w:rFonts w:ascii="SimSun" w:hAnsi="SimSun" w:eastAsia="SimSun" w:cs="SimSun"/>
          <w:sz w:val="22"/>
          <w:szCs w:val="22"/>
          <w:spacing w:val="-8"/>
        </w:rPr>
        <w:t>制订云端数据治理战略，规划数据治理实施的目标、方法和范围；</w:t>
      </w:r>
    </w:p>
    <w:p>
      <w:pPr>
        <w:ind w:left="240" w:right="41" w:firstLine="459"/>
        <w:spacing w:before="56" w:line="254" w:lineRule="auto"/>
        <w:rPr>
          <w:rFonts w:ascii="SimSun" w:hAnsi="SimSun" w:eastAsia="SimSun" w:cs="SimSun"/>
          <w:sz w:val="22"/>
          <w:szCs w:val="22"/>
        </w:rPr>
      </w:pPr>
      <w:r>
        <w:rPr>
          <w:rFonts w:ascii="Times New Roman" w:hAnsi="Times New Roman" w:eastAsia="Times New Roman" w:cs="Times New Roman"/>
          <w:sz w:val="22"/>
          <w:szCs w:val="22"/>
          <w:spacing w:val="-10"/>
        </w:rPr>
        <w:t>c)  </w:t>
      </w:r>
      <w:r>
        <w:rPr>
          <w:rFonts w:ascii="SimSun" w:hAnsi="SimSun" w:eastAsia="SimSun" w:cs="SimSun"/>
          <w:sz w:val="22"/>
          <w:szCs w:val="22"/>
          <w:spacing w:val="-10"/>
        </w:rPr>
        <w:t>明确云端数据治理的组织机构、治理主体、职责分工以及利益相关方的沟通</w:t>
      </w:r>
      <w:r>
        <w:rPr>
          <w:rFonts w:ascii="SimSun" w:hAnsi="SimSun" w:eastAsia="SimSun" w:cs="SimSun"/>
          <w:sz w:val="22"/>
          <w:szCs w:val="22"/>
          <w:spacing w:val="16"/>
        </w:rPr>
        <w:t xml:space="preserve"> </w:t>
      </w:r>
      <w:r>
        <w:rPr>
          <w:rFonts w:ascii="SimSun" w:hAnsi="SimSun" w:eastAsia="SimSun" w:cs="SimSun"/>
          <w:sz w:val="22"/>
          <w:szCs w:val="22"/>
          <w:spacing w:val="-18"/>
        </w:rPr>
        <w:t>机制；</w:t>
      </w:r>
    </w:p>
    <w:p>
      <w:pPr>
        <w:ind w:left="700"/>
        <w:spacing w:before="15" w:line="212" w:lineRule="auto"/>
        <w:rPr>
          <w:rFonts w:ascii="SimSun" w:hAnsi="SimSun" w:eastAsia="SimSun" w:cs="SimSun"/>
          <w:sz w:val="22"/>
          <w:szCs w:val="22"/>
        </w:rPr>
      </w:pPr>
      <w:r>
        <w:rPr>
          <w:rFonts w:ascii="Times New Roman" w:hAnsi="Times New Roman" w:eastAsia="Times New Roman" w:cs="Times New Roman"/>
          <w:sz w:val="22"/>
          <w:szCs w:val="22"/>
          <w:spacing w:val="-8"/>
        </w:rPr>
        <w:t>d)  </w:t>
      </w:r>
      <w:r>
        <w:rPr>
          <w:rFonts w:ascii="SimSun" w:hAnsi="SimSun" w:eastAsia="SimSun" w:cs="SimSun"/>
          <w:sz w:val="22"/>
          <w:szCs w:val="22"/>
          <w:spacing w:val="-8"/>
        </w:rPr>
        <w:t>统筹规划资源，制订业务案例，明确实施内容</w:t>
      </w:r>
      <w:r>
        <w:rPr>
          <w:rFonts w:ascii="SimSun" w:hAnsi="SimSun" w:eastAsia="SimSun" w:cs="SimSun"/>
          <w:sz w:val="22"/>
          <w:szCs w:val="22"/>
          <w:spacing w:val="-9"/>
        </w:rPr>
        <w:t>、程序和机制；</w:t>
      </w:r>
    </w:p>
    <w:p>
      <w:pPr>
        <w:ind w:left="240" w:right="33" w:firstLine="459"/>
        <w:spacing w:before="46" w:line="263" w:lineRule="auto"/>
        <w:rPr>
          <w:rFonts w:ascii="SimSun" w:hAnsi="SimSun" w:eastAsia="SimSun" w:cs="SimSun"/>
          <w:sz w:val="22"/>
          <w:szCs w:val="22"/>
        </w:rPr>
      </w:pPr>
      <w:r>
        <w:rPr>
          <w:rFonts w:ascii="Times New Roman" w:hAnsi="Times New Roman" w:eastAsia="Times New Roman" w:cs="Times New Roman"/>
          <w:sz w:val="22"/>
          <w:szCs w:val="22"/>
          <w:spacing w:val="-9"/>
        </w:rPr>
        <w:t>e)  </w:t>
      </w:r>
      <w:r>
        <w:rPr>
          <w:rFonts w:ascii="SimSun" w:hAnsi="SimSun" w:eastAsia="SimSun" w:cs="SimSun"/>
          <w:sz w:val="22"/>
          <w:szCs w:val="22"/>
          <w:spacing w:val="-9"/>
        </w:rPr>
        <w:t>根据组织战略、业务要求和利益相关方期望，</w:t>
      </w:r>
      <w:r>
        <w:rPr>
          <w:rFonts w:ascii="SimSun" w:hAnsi="SimSun" w:eastAsia="SimSun" w:cs="SimSun"/>
          <w:sz w:val="22"/>
          <w:szCs w:val="22"/>
          <w:spacing w:val="-10"/>
        </w:rPr>
        <w:t>建立与云端数据治理相适应的</w:t>
      </w:r>
      <w:r>
        <w:rPr>
          <w:rFonts w:ascii="SimSun" w:hAnsi="SimSun" w:eastAsia="SimSun" w:cs="SimSun"/>
          <w:sz w:val="22"/>
          <w:szCs w:val="22"/>
        </w:rPr>
        <w:t xml:space="preserve"> </w:t>
      </w:r>
      <w:r>
        <w:rPr>
          <w:rFonts w:ascii="SimSun" w:hAnsi="SimSun" w:eastAsia="SimSun" w:cs="SimSun"/>
          <w:sz w:val="22"/>
          <w:szCs w:val="22"/>
          <w:spacing w:val="-12"/>
        </w:rPr>
        <w:t>路线图和绩效考评体系；</w:t>
      </w:r>
    </w:p>
    <w:p>
      <w:pPr>
        <w:ind w:left="700"/>
        <w:spacing w:before="24" w:line="212" w:lineRule="auto"/>
        <w:rPr>
          <w:rFonts w:ascii="SimSun" w:hAnsi="SimSun" w:eastAsia="SimSun" w:cs="SimSun"/>
          <w:sz w:val="22"/>
          <w:szCs w:val="22"/>
        </w:rPr>
      </w:pPr>
      <w:r>
        <w:rPr>
          <w:rFonts w:ascii="Times New Roman" w:hAnsi="Times New Roman" w:eastAsia="Times New Roman" w:cs="Times New Roman"/>
          <w:sz w:val="22"/>
          <w:szCs w:val="22"/>
          <w:spacing w:val="-7"/>
        </w:rPr>
        <w:t>f)  </w:t>
      </w:r>
      <w:r>
        <w:rPr>
          <w:rFonts w:ascii="SimSun" w:hAnsi="SimSun" w:eastAsia="SimSun" w:cs="SimSun"/>
          <w:sz w:val="22"/>
          <w:szCs w:val="22"/>
          <w:spacing w:val="-7"/>
        </w:rPr>
        <w:t>规划数据治理的绩效评价和审核机制，明确审计</w:t>
      </w:r>
      <w:r>
        <w:rPr>
          <w:rFonts w:ascii="SimSun" w:hAnsi="SimSun" w:eastAsia="SimSun" w:cs="SimSun"/>
          <w:sz w:val="22"/>
          <w:szCs w:val="22"/>
          <w:spacing w:val="-8"/>
        </w:rPr>
        <w:t>监督的相关要求。</w:t>
      </w:r>
    </w:p>
    <w:p>
      <w:pPr>
        <w:ind w:left="240" w:right="39" w:firstLine="459"/>
        <w:spacing w:before="83" w:line="243" w:lineRule="auto"/>
        <w:rPr>
          <w:rFonts w:ascii="SimSun" w:hAnsi="SimSun" w:eastAsia="SimSun" w:cs="SimSun"/>
          <w:sz w:val="22"/>
          <w:szCs w:val="22"/>
        </w:rPr>
      </w:pPr>
      <w:r>
        <w:rPr>
          <w:rFonts w:ascii="SimSun" w:hAnsi="SimSun" w:eastAsia="SimSun" w:cs="SimSun"/>
          <w:sz w:val="22"/>
          <w:szCs w:val="22"/>
          <w:spacing w:val="-9"/>
        </w:rPr>
        <w:t>构建和运行阶段是云端数据治理策略的实施阶段，其目标是构建数据治理实施</w:t>
      </w:r>
      <w:r>
        <w:rPr>
          <w:rFonts w:ascii="SimSun" w:hAnsi="SimSun" w:eastAsia="SimSun" w:cs="SimSun"/>
          <w:sz w:val="22"/>
          <w:szCs w:val="22"/>
          <w:spacing w:val="14"/>
        </w:rPr>
        <w:t xml:space="preserve"> </w:t>
      </w:r>
      <w:r>
        <w:rPr>
          <w:rFonts w:ascii="SimSun" w:hAnsi="SimSun" w:eastAsia="SimSun" w:cs="SimSun"/>
          <w:sz w:val="22"/>
          <w:szCs w:val="22"/>
          <w:spacing w:val="-10"/>
        </w:rPr>
        <w:t>的管理机制，确保数据治理实施的有序运行。构建和运</w:t>
      </w:r>
      <w:r>
        <w:rPr>
          <w:rFonts w:ascii="SimSun" w:hAnsi="SimSun" w:eastAsia="SimSun" w:cs="SimSun"/>
          <w:sz w:val="22"/>
          <w:szCs w:val="22"/>
          <w:spacing w:val="-11"/>
        </w:rPr>
        <w:t>行阶段的主要内容包括：</w:t>
      </w:r>
    </w:p>
    <w:p>
      <w:pPr>
        <w:ind w:left="700"/>
        <w:spacing w:before="35" w:line="212" w:lineRule="auto"/>
        <w:rPr>
          <w:rFonts w:ascii="SimSun" w:hAnsi="SimSun" w:eastAsia="SimSun" w:cs="SimSun"/>
          <w:sz w:val="22"/>
          <w:szCs w:val="22"/>
        </w:rPr>
      </w:pPr>
      <w:r>
        <w:rPr>
          <w:rFonts w:ascii="Times New Roman" w:hAnsi="Times New Roman" w:eastAsia="Times New Roman" w:cs="Times New Roman"/>
          <w:sz w:val="22"/>
          <w:szCs w:val="22"/>
          <w:spacing w:val="-8"/>
        </w:rPr>
        <w:t>a)  </w:t>
      </w:r>
      <w:r>
        <w:rPr>
          <w:rFonts w:ascii="SimSun" w:hAnsi="SimSun" w:eastAsia="SimSun" w:cs="SimSun"/>
          <w:sz w:val="22"/>
          <w:szCs w:val="22"/>
          <w:spacing w:val="-8"/>
        </w:rPr>
        <w:t>建立云端数据治理实施相关的管理</w:t>
      </w:r>
      <w:r>
        <w:rPr>
          <w:rFonts w:ascii="SimSun" w:hAnsi="SimSun" w:eastAsia="SimSun" w:cs="SimSun"/>
          <w:sz w:val="22"/>
          <w:szCs w:val="22"/>
          <w:spacing w:val="-9"/>
        </w:rPr>
        <w:t>机制，确立实施要点；</w:t>
      </w:r>
    </w:p>
    <w:p>
      <w:pPr>
        <w:ind w:left="700"/>
        <w:spacing w:before="38" w:line="212" w:lineRule="auto"/>
        <w:rPr>
          <w:rFonts w:ascii="SimSun" w:hAnsi="SimSun" w:eastAsia="SimSun" w:cs="SimSun"/>
          <w:sz w:val="22"/>
          <w:szCs w:val="22"/>
        </w:rPr>
      </w:pPr>
      <w:r>
        <w:rPr>
          <w:rFonts w:ascii="Times New Roman" w:hAnsi="Times New Roman" w:eastAsia="Times New Roman" w:cs="Times New Roman"/>
          <w:sz w:val="22"/>
          <w:szCs w:val="22"/>
          <w:spacing w:val="-9"/>
        </w:rPr>
        <w:t>b)  </w:t>
      </w:r>
      <w:r>
        <w:rPr>
          <w:rFonts w:ascii="SimSun" w:hAnsi="SimSun" w:eastAsia="SimSun" w:cs="SimSun"/>
          <w:sz w:val="22"/>
          <w:szCs w:val="22"/>
          <w:spacing w:val="-9"/>
        </w:rPr>
        <w:t>制订满足整体规划的构建和运行计划，并按计划实施；</w:t>
      </w:r>
    </w:p>
    <w:p>
      <w:pPr>
        <w:ind w:left="700"/>
        <w:spacing w:before="67" w:line="212" w:lineRule="auto"/>
        <w:rPr>
          <w:rFonts w:ascii="SimSun" w:hAnsi="SimSun" w:eastAsia="SimSun" w:cs="SimSun"/>
          <w:sz w:val="22"/>
          <w:szCs w:val="22"/>
        </w:rPr>
      </w:pP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制订数据治理实施的工作标准与方法；</w:t>
      </w:r>
    </w:p>
    <w:p>
      <w:pPr>
        <w:ind w:left="700"/>
        <w:spacing w:before="57" w:line="212" w:lineRule="auto"/>
        <w:rPr>
          <w:rFonts w:ascii="SimSun" w:hAnsi="SimSun" w:eastAsia="SimSun" w:cs="SimSun"/>
          <w:sz w:val="22"/>
          <w:szCs w:val="22"/>
        </w:rPr>
      </w:pPr>
      <w:r>
        <w:rPr>
          <w:rFonts w:ascii="Times New Roman" w:hAnsi="Times New Roman" w:eastAsia="Times New Roman" w:cs="Times New Roman"/>
          <w:sz w:val="22"/>
          <w:szCs w:val="22"/>
          <w:spacing w:val="-8"/>
        </w:rPr>
        <w:t>d)  </w:t>
      </w:r>
      <w:r>
        <w:rPr>
          <w:rFonts w:ascii="SimSun" w:hAnsi="SimSun" w:eastAsia="SimSun" w:cs="SimSun"/>
          <w:sz w:val="22"/>
          <w:szCs w:val="22"/>
          <w:spacing w:val="-8"/>
        </w:rPr>
        <w:t>建立信息交流与共享途径；</w:t>
      </w:r>
    </w:p>
    <w:p>
      <w:pPr>
        <w:ind w:left="700"/>
        <w:spacing w:before="88" w:line="212" w:lineRule="auto"/>
        <w:rPr>
          <w:rFonts w:ascii="SimSun" w:hAnsi="SimSun" w:eastAsia="SimSun" w:cs="SimSun"/>
          <w:sz w:val="22"/>
          <w:szCs w:val="22"/>
        </w:rPr>
      </w:pPr>
      <w:r>
        <w:rPr>
          <w:rFonts w:ascii="Times New Roman" w:hAnsi="Times New Roman" w:eastAsia="Times New Roman" w:cs="Times New Roman"/>
          <w:sz w:val="22"/>
          <w:szCs w:val="22"/>
          <w:spacing w:val="-8"/>
        </w:rPr>
        <w:t>e)  </w:t>
      </w:r>
      <w:r>
        <w:rPr>
          <w:rFonts w:ascii="SimSun" w:hAnsi="SimSun" w:eastAsia="SimSun" w:cs="SimSun"/>
          <w:sz w:val="22"/>
          <w:szCs w:val="22"/>
          <w:spacing w:val="-8"/>
        </w:rPr>
        <w:t>对构建和运行过程进行管理，确保过程可追溯，结果可计量或可</w:t>
      </w:r>
      <w:r>
        <w:rPr>
          <w:rFonts w:ascii="SimSun" w:hAnsi="SimSun" w:eastAsia="SimSun" w:cs="SimSun"/>
          <w:sz w:val="22"/>
          <w:szCs w:val="22"/>
          <w:spacing w:val="-9"/>
        </w:rPr>
        <w:t>评估。</w:t>
      </w:r>
    </w:p>
    <w:p>
      <w:pPr>
        <w:ind w:left="240" w:right="12" w:firstLine="459"/>
        <w:spacing w:before="70" w:line="247" w:lineRule="auto"/>
        <w:rPr>
          <w:rFonts w:ascii="SimSun" w:hAnsi="SimSun" w:eastAsia="SimSun" w:cs="SimSun"/>
          <w:sz w:val="22"/>
          <w:szCs w:val="22"/>
        </w:rPr>
      </w:pPr>
      <w:r>
        <w:rPr>
          <w:rFonts w:ascii="SimSun" w:hAnsi="SimSun" w:eastAsia="SimSun" w:cs="SimSun"/>
          <w:sz w:val="22"/>
          <w:szCs w:val="22"/>
          <w:spacing w:val="-8"/>
        </w:rPr>
        <w:t>监督和评估是云端数据治理实施效果评估的阶段，其目标是监督云端数据治理</w:t>
      </w:r>
      <w:r>
        <w:rPr>
          <w:rFonts w:ascii="SimSun" w:hAnsi="SimSun" w:eastAsia="SimSun" w:cs="SimSun"/>
          <w:sz w:val="22"/>
          <w:szCs w:val="22"/>
          <w:spacing w:val="8"/>
        </w:rPr>
        <w:t xml:space="preserve"> </w:t>
      </w:r>
      <w:r>
        <w:rPr>
          <w:rFonts w:ascii="SimSun" w:hAnsi="SimSun" w:eastAsia="SimSun" w:cs="SimSun"/>
          <w:sz w:val="22"/>
          <w:szCs w:val="22"/>
          <w:spacing w:val="-9"/>
        </w:rPr>
        <w:t>的实施过程，评估云端数据治理实施的符合性和实施的质量。监督和评估阶段的主</w:t>
      </w:r>
      <w:r>
        <w:rPr>
          <w:rFonts w:ascii="SimSun" w:hAnsi="SimSun" w:eastAsia="SimSun" w:cs="SimSun"/>
          <w:sz w:val="22"/>
          <w:szCs w:val="22"/>
          <w:spacing w:val="14"/>
        </w:rPr>
        <w:t xml:space="preserve"> </w:t>
      </w:r>
      <w:r>
        <w:rPr>
          <w:rFonts w:ascii="SimSun" w:hAnsi="SimSun" w:eastAsia="SimSun" w:cs="SimSun"/>
          <w:sz w:val="22"/>
          <w:szCs w:val="22"/>
          <w:spacing w:val="-16"/>
        </w:rPr>
        <w:t>要内容包括：</w:t>
      </w:r>
    </w:p>
    <w:p>
      <w:pPr>
        <w:ind w:left="700"/>
        <w:spacing w:before="24" w:line="212" w:lineRule="auto"/>
        <w:rPr>
          <w:rFonts w:ascii="SimSun" w:hAnsi="SimSun" w:eastAsia="SimSun" w:cs="SimSun"/>
          <w:sz w:val="22"/>
          <w:szCs w:val="22"/>
        </w:rPr>
      </w:pPr>
      <w:r>
        <w:rPr>
          <w:rFonts w:ascii="Times New Roman" w:hAnsi="Times New Roman" w:eastAsia="Times New Roman" w:cs="Times New Roman"/>
          <w:sz w:val="22"/>
          <w:szCs w:val="22"/>
          <w:spacing w:val="-8"/>
        </w:rPr>
        <w:t>a)  </w:t>
      </w:r>
      <w:r>
        <w:rPr>
          <w:rFonts w:ascii="SimSun" w:hAnsi="SimSun" w:eastAsia="SimSun" w:cs="SimSun"/>
          <w:sz w:val="22"/>
          <w:szCs w:val="22"/>
          <w:spacing w:val="-8"/>
        </w:rPr>
        <w:t>依据绩效评价和审核机制，对治理实施过程进行监督；</w:t>
      </w:r>
    </w:p>
    <w:p>
      <w:pPr>
        <w:ind w:left="700"/>
        <w:spacing w:before="58" w:line="212" w:lineRule="auto"/>
        <w:rPr>
          <w:rFonts w:ascii="SimSun" w:hAnsi="SimSun" w:eastAsia="SimSun" w:cs="SimSun"/>
          <w:sz w:val="22"/>
          <w:szCs w:val="22"/>
        </w:rPr>
      </w:pPr>
      <w:r>
        <w:rPr>
          <w:rFonts w:ascii="Times New Roman" w:hAnsi="Times New Roman" w:eastAsia="Times New Roman" w:cs="Times New Roman"/>
          <w:sz w:val="22"/>
          <w:szCs w:val="22"/>
          <w:spacing w:val="-8"/>
        </w:rPr>
        <w:t>b)  </w:t>
      </w:r>
      <w:r>
        <w:rPr>
          <w:rFonts w:ascii="SimSun" w:hAnsi="SimSun" w:eastAsia="SimSun" w:cs="SimSun"/>
          <w:sz w:val="22"/>
          <w:szCs w:val="22"/>
          <w:spacing w:val="-8"/>
        </w:rPr>
        <w:t>依据云端数据治理目标，对治理实施结果达成</w:t>
      </w:r>
      <w:r>
        <w:rPr>
          <w:rFonts w:ascii="SimSun" w:hAnsi="SimSun" w:eastAsia="SimSun" w:cs="SimSun"/>
          <w:sz w:val="22"/>
          <w:szCs w:val="22"/>
          <w:spacing w:val="-9"/>
        </w:rPr>
        <w:t>程度进行评估；</w:t>
      </w:r>
    </w:p>
    <w:p>
      <w:pPr>
        <w:ind w:left="700"/>
        <w:spacing w:before="57" w:line="212" w:lineRule="auto"/>
        <w:rPr>
          <w:rFonts w:ascii="SimSun" w:hAnsi="SimSun" w:eastAsia="SimSun" w:cs="SimSun"/>
          <w:sz w:val="22"/>
          <w:szCs w:val="22"/>
        </w:rPr>
      </w:pPr>
      <w:r>
        <w:rPr>
          <w:rFonts w:ascii="Times New Roman" w:hAnsi="Times New Roman" w:eastAsia="Times New Roman" w:cs="Times New Roman"/>
          <w:sz w:val="22"/>
          <w:szCs w:val="22"/>
          <w:spacing w:val="-8"/>
        </w:rPr>
        <w:t>c)  </w:t>
      </w:r>
      <w:r>
        <w:rPr>
          <w:rFonts w:ascii="SimSun" w:hAnsi="SimSun" w:eastAsia="SimSun" w:cs="SimSun"/>
          <w:sz w:val="22"/>
          <w:szCs w:val="22"/>
          <w:spacing w:val="-8"/>
        </w:rPr>
        <w:t>评估治理组织与角色的能力；</w:t>
      </w:r>
    </w:p>
    <w:p>
      <w:pPr>
        <w:ind w:left="700"/>
        <w:spacing w:before="57" w:line="212" w:lineRule="auto"/>
        <w:rPr>
          <w:rFonts w:ascii="SimSun" w:hAnsi="SimSun" w:eastAsia="SimSun" w:cs="SimSun"/>
          <w:sz w:val="22"/>
          <w:szCs w:val="22"/>
        </w:rPr>
      </w:pPr>
      <w:r>
        <w:rPr>
          <w:rFonts w:ascii="Times New Roman" w:hAnsi="Times New Roman" w:eastAsia="Times New Roman" w:cs="Times New Roman"/>
          <w:sz w:val="22"/>
          <w:szCs w:val="22"/>
          <w:spacing w:val="-8"/>
        </w:rPr>
        <w:t>d)  </w:t>
      </w:r>
      <w:r>
        <w:rPr>
          <w:rFonts w:ascii="SimSun" w:hAnsi="SimSun" w:eastAsia="SimSun" w:cs="SimSun"/>
          <w:sz w:val="22"/>
          <w:szCs w:val="22"/>
          <w:spacing w:val="-8"/>
        </w:rPr>
        <w:t>监督和评估云端数据治理实施的适宜性和有效性；</w:t>
      </w:r>
    </w:p>
    <w:p>
      <w:pPr>
        <w:ind w:left="700"/>
        <w:spacing w:before="68" w:line="212" w:lineRule="auto"/>
        <w:rPr>
          <w:rFonts w:ascii="SimSun" w:hAnsi="SimSun" w:eastAsia="SimSun" w:cs="SimSun"/>
          <w:sz w:val="22"/>
          <w:szCs w:val="22"/>
        </w:rPr>
      </w:pPr>
      <w:r>
        <w:rPr>
          <w:rFonts w:ascii="Times New Roman" w:hAnsi="Times New Roman" w:eastAsia="Times New Roman" w:cs="Times New Roman"/>
          <w:sz w:val="22"/>
          <w:szCs w:val="22"/>
          <w:spacing w:val="-7"/>
        </w:rPr>
        <w:t>e)  </w:t>
      </w:r>
      <w:r>
        <w:rPr>
          <w:rFonts w:ascii="SimSun" w:hAnsi="SimSun" w:eastAsia="SimSun" w:cs="SimSun"/>
          <w:sz w:val="22"/>
          <w:szCs w:val="22"/>
          <w:spacing w:val="-7"/>
        </w:rPr>
        <w:t>监督和评估数据治理体系的实施和落地。</w:t>
      </w:r>
    </w:p>
    <w:p>
      <w:pPr>
        <w:ind w:left="240" w:right="41" w:firstLine="459"/>
        <w:spacing w:before="110" w:line="247" w:lineRule="auto"/>
        <w:rPr>
          <w:rFonts w:ascii="SimSun" w:hAnsi="SimSun" w:eastAsia="SimSun" w:cs="SimSun"/>
          <w:sz w:val="22"/>
          <w:szCs w:val="22"/>
        </w:rPr>
      </w:pPr>
      <w:r>
        <w:rPr>
          <w:rFonts w:ascii="SimSun" w:hAnsi="SimSun" w:eastAsia="SimSun" w:cs="SimSun"/>
          <w:sz w:val="22"/>
          <w:szCs w:val="22"/>
          <w:spacing w:val="-9"/>
        </w:rPr>
        <w:t>改进和优化阶段是云端数据治理的过程和结果提升阶段，其目标是促进组织持</w:t>
      </w:r>
      <w:r>
        <w:rPr>
          <w:rFonts w:ascii="SimSun" w:hAnsi="SimSun" w:eastAsia="SimSun" w:cs="SimSun"/>
          <w:sz w:val="22"/>
          <w:szCs w:val="22"/>
          <w:spacing w:val="13"/>
        </w:rPr>
        <w:t xml:space="preserve"> </w:t>
      </w:r>
      <w:r>
        <w:rPr>
          <w:rFonts w:ascii="SimSun" w:hAnsi="SimSun" w:eastAsia="SimSun" w:cs="SimSun"/>
          <w:sz w:val="22"/>
          <w:szCs w:val="22"/>
          <w:spacing w:val="-9"/>
        </w:rPr>
        <w:t>续改进云端数据治理实施的过程，提升治理实施的有效性。改进和优化阶段的主要</w:t>
      </w:r>
      <w:r>
        <w:rPr>
          <w:rFonts w:ascii="SimSun" w:hAnsi="SimSun" w:eastAsia="SimSun" w:cs="SimSun"/>
          <w:sz w:val="22"/>
          <w:szCs w:val="22"/>
          <w:spacing w:val="13"/>
        </w:rPr>
        <w:t xml:space="preserve"> </w:t>
      </w:r>
      <w:r>
        <w:rPr>
          <w:rFonts w:ascii="SimSun" w:hAnsi="SimSun" w:eastAsia="SimSun" w:cs="SimSun"/>
          <w:sz w:val="22"/>
          <w:szCs w:val="22"/>
          <w:spacing w:val="-14"/>
        </w:rPr>
        <w:t>内容包括：</w:t>
      </w:r>
    </w:p>
    <w:p>
      <w:pPr>
        <w:spacing w:before="14" w:line="212" w:lineRule="auto"/>
        <w:jc w:val="right"/>
        <w:rPr>
          <w:rFonts w:ascii="SimSun" w:hAnsi="SimSun" w:eastAsia="SimSun" w:cs="SimSun"/>
          <w:sz w:val="22"/>
          <w:szCs w:val="22"/>
        </w:rPr>
      </w:pPr>
      <w:r>
        <w:rPr>
          <w:rFonts w:ascii="Times New Roman" w:hAnsi="Times New Roman" w:eastAsia="Times New Roman" w:cs="Times New Roman"/>
          <w:sz w:val="22"/>
          <w:szCs w:val="22"/>
          <w:spacing w:val="-8"/>
        </w:rPr>
        <w:t>a)  </w:t>
      </w:r>
      <w:r>
        <w:rPr>
          <w:rFonts w:ascii="SimSun" w:hAnsi="SimSun" w:eastAsia="SimSun" w:cs="SimSun"/>
          <w:sz w:val="22"/>
          <w:szCs w:val="22"/>
          <w:spacing w:val="-8"/>
        </w:rPr>
        <w:t>建立云端数据治理实施的改进和优化机</w:t>
      </w:r>
      <w:r>
        <w:rPr>
          <w:rFonts w:ascii="SimSun" w:hAnsi="SimSun" w:eastAsia="SimSun" w:cs="SimSun"/>
          <w:sz w:val="22"/>
          <w:szCs w:val="22"/>
          <w:spacing w:val="-9"/>
        </w:rPr>
        <w:t>制，并对改进和优化过程进行监督；</w:t>
      </w:r>
    </w:p>
    <w:p>
      <w:pPr>
        <w:ind w:left="700"/>
        <w:spacing w:before="67" w:line="212" w:lineRule="auto"/>
        <w:rPr>
          <w:rFonts w:ascii="SimSun" w:hAnsi="SimSun" w:eastAsia="SimSun" w:cs="SimSun"/>
          <w:sz w:val="22"/>
          <w:szCs w:val="22"/>
        </w:rPr>
      </w:pPr>
      <w:r>
        <w:rPr>
          <w:rFonts w:ascii="Times New Roman" w:hAnsi="Times New Roman" w:eastAsia="Times New Roman" w:cs="Times New Roman"/>
          <w:sz w:val="22"/>
          <w:szCs w:val="22"/>
          <w:spacing w:val="-8"/>
        </w:rPr>
        <w:t>b)  </w:t>
      </w:r>
      <w:r>
        <w:rPr>
          <w:rFonts w:ascii="SimSun" w:hAnsi="SimSun" w:eastAsia="SimSun" w:cs="SimSun"/>
          <w:sz w:val="22"/>
          <w:szCs w:val="22"/>
          <w:spacing w:val="-8"/>
        </w:rPr>
        <w:t>依据统筹规划的目标和要求，对未达成的指标进行检查和分析；</w:t>
      </w:r>
    </w:p>
    <w:p>
      <w:pPr>
        <w:ind w:left="700"/>
        <w:spacing w:before="48" w:line="212" w:lineRule="auto"/>
        <w:rPr>
          <w:rFonts w:ascii="SimSun" w:hAnsi="SimSun" w:eastAsia="SimSun" w:cs="SimSun"/>
          <w:sz w:val="22"/>
          <w:szCs w:val="22"/>
        </w:rPr>
      </w:pPr>
      <w:r>
        <w:rPr>
          <w:rFonts w:ascii="Times New Roman" w:hAnsi="Times New Roman" w:eastAsia="Times New Roman" w:cs="Times New Roman"/>
          <w:sz w:val="22"/>
          <w:szCs w:val="22"/>
          <w:spacing w:val="-7"/>
        </w:rPr>
        <w:t>c)  </w:t>
      </w:r>
      <w:r>
        <w:rPr>
          <w:rFonts w:ascii="SimSun" w:hAnsi="SimSun" w:eastAsia="SimSun" w:cs="SimSun"/>
          <w:sz w:val="22"/>
          <w:szCs w:val="22"/>
          <w:spacing w:val="-7"/>
        </w:rPr>
        <w:t>确定改进措施，制订治理实施改进计划；</w:t>
      </w:r>
    </w:p>
    <w:p>
      <w:pPr>
        <w:ind w:left="700"/>
        <w:spacing w:before="67" w:line="212" w:lineRule="auto"/>
        <w:rPr>
          <w:rFonts w:ascii="SimSun" w:hAnsi="SimSun" w:eastAsia="SimSun" w:cs="SimSun"/>
          <w:sz w:val="22"/>
          <w:szCs w:val="22"/>
        </w:rPr>
      </w:pPr>
      <w:r>
        <w:rPr>
          <w:rFonts w:ascii="Times New Roman" w:hAnsi="Times New Roman" w:eastAsia="Times New Roman" w:cs="Times New Roman"/>
          <w:sz w:val="22"/>
          <w:szCs w:val="22"/>
          <w:spacing w:val="-7"/>
        </w:rPr>
        <w:t>d)  </w:t>
      </w:r>
      <w:r>
        <w:rPr>
          <w:rFonts w:ascii="SimSun" w:hAnsi="SimSun" w:eastAsia="SimSun" w:cs="SimSun"/>
          <w:sz w:val="22"/>
          <w:szCs w:val="22"/>
          <w:spacing w:val="-7"/>
        </w:rPr>
        <w:t>持续推进云端数据治理实施的改进</w:t>
      </w:r>
      <w:r>
        <w:rPr>
          <w:rFonts w:ascii="SimSun" w:hAnsi="SimSun" w:eastAsia="SimSun" w:cs="SimSun"/>
          <w:sz w:val="22"/>
          <w:szCs w:val="22"/>
          <w:spacing w:val="-8"/>
        </w:rPr>
        <w:t>和优化。</w:t>
      </w:r>
    </w:p>
    <w:p>
      <w:pPr>
        <w:ind w:left="240" w:right="40" w:firstLine="459"/>
        <w:spacing w:before="67" w:line="250" w:lineRule="auto"/>
        <w:rPr>
          <w:rFonts w:ascii="SimSun" w:hAnsi="SimSun" w:eastAsia="SimSun" w:cs="SimSun"/>
          <w:sz w:val="22"/>
          <w:szCs w:val="22"/>
        </w:rPr>
      </w:pPr>
      <w:r>
        <w:rPr>
          <w:rFonts w:ascii="SimSun" w:hAnsi="SimSun" w:eastAsia="SimSun" w:cs="SimSun"/>
          <w:sz w:val="22"/>
          <w:szCs w:val="22"/>
          <w:spacing w:val="-10"/>
        </w:rPr>
        <w:t>通过策划、实施、检查和调整</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0"/>
        </w:rPr>
        <w:t>(PDCA)</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0"/>
        </w:rPr>
        <w:t>的活动循环，持续改进云端数据治理体</w:t>
      </w:r>
      <w:r>
        <w:rPr>
          <w:rFonts w:ascii="SimSun" w:hAnsi="SimSun" w:eastAsia="SimSun" w:cs="SimSun"/>
          <w:sz w:val="22"/>
          <w:szCs w:val="22"/>
        </w:rPr>
        <w:t xml:space="preserve"> </w:t>
      </w:r>
      <w:r>
        <w:rPr>
          <w:rFonts w:ascii="SimSun" w:hAnsi="SimSun" w:eastAsia="SimSun" w:cs="SimSun"/>
          <w:sz w:val="22"/>
          <w:szCs w:val="22"/>
          <w:spacing w:val="-10"/>
        </w:rPr>
        <w:t>系，因此云端数据治理是一系列活动的集合。</w:t>
      </w:r>
    </w:p>
    <w:p>
      <w:pPr>
        <w:spacing w:line="250" w:lineRule="auto"/>
        <w:sectPr>
          <w:footerReference w:type="default" r:id="rId109"/>
          <w:pgSz w:w="8870" w:h="13400"/>
          <w:pgMar w:top="400" w:right="560" w:bottom="534" w:left="379" w:header="0" w:footer="316" w:gutter="0"/>
        </w:sectPr>
        <w:rPr>
          <w:rFonts w:ascii="SimSun" w:hAnsi="SimSun" w:eastAsia="SimSun" w:cs="SimSun"/>
          <w:sz w:val="22"/>
          <w:szCs w:val="22"/>
        </w:rPr>
      </w:pPr>
    </w:p>
    <w:p>
      <w:pPr>
        <w:ind w:left="4827"/>
        <w:spacing w:before="144" w:line="219" w:lineRule="auto"/>
        <w:rPr>
          <w:rFonts w:ascii="SimSun" w:hAnsi="SimSun" w:eastAsia="SimSun" w:cs="SimSun"/>
          <w:sz w:val="21"/>
          <w:szCs w:val="21"/>
        </w:rPr>
      </w:pPr>
      <w:r>
        <w:rPr>
          <w:rFonts w:ascii="SimSun" w:hAnsi="SimSun" w:eastAsia="SimSun" w:cs="SimSun"/>
          <w:sz w:val="21"/>
          <w:szCs w:val="21"/>
          <w:b/>
          <w:bCs/>
          <w:spacing w:val="6"/>
        </w:rPr>
        <w:t>第2章■大数据与云端数据治理</w:t>
      </w:r>
    </w:p>
    <w:p>
      <w:pPr>
        <w:pStyle w:val="BodyText"/>
        <w:spacing w:line="473" w:lineRule="auto"/>
        <w:rPr/>
      </w:pPr>
      <w:r/>
    </w:p>
    <w:p>
      <w:pPr>
        <w:ind w:left="109"/>
        <w:spacing w:before="95" w:line="221" w:lineRule="auto"/>
        <w:outlineLvl w:val="0"/>
        <w:rPr>
          <w:rFonts w:ascii="YouYuan" w:hAnsi="YouYuan" w:eastAsia="YouYuan" w:cs="YouYuan"/>
          <w:sz w:val="29"/>
          <w:szCs w:val="29"/>
        </w:rPr>
      </w:pPr>
      <w:bookmarkStart w:name="bookmark27" w:id="22"/>
      <w:bookmarkEnd w:id="22"/>
      <w:bookmarkStart w:name="bookmark28" w:id="23"/>
      <w:bookmarkEnd w:id="23"/>
      <w:r>
        <w:rPr>
          <w:rFonts w:ascii="YouYuan" w:hAnsi="YouYuan" w:eastAsia="YouYuan" w:cs="YouYuan"/>
          <w:sz w:val="29"/>
          <w:szCs w:val="29"/>
          <w:b/>
          <w:bCs/>
          <w:spacing w:val="-9"/>
        </w:rPr>
        <w:t>2.2.2</w:t>
      </w:r>
      <w:r>
        <w:rPr>
          <w:rFonts w:ascii="YouYuan" w:hAnsi="YouYuan" w:eastAsia="YouYuan" w:cs="YouYuan"/>
          <w:sz w:val="29"/>
          <w:szCs w:val="29"/>
          <w:spacing w:val="122"/>
        </w:rPr>
        <w:t xml:space="preserve"> </w:t>
      </w:r>
      <w:r>
        <w:rPr>
          <w:rFonts w:ascii="YouYuan" w:hAnsi="YouYuan" w:eastAsia="YouYuan" w:cs="YouYuan"/>
          <w:sz w:val="29"/>
          <w:szCs w:val="29"/>
          <w:b/>
          <w:bCs/>
          <w:spacing w:val="-9"/>
        </w:rPr>
        <w:t>云端数据冶理与数据冶理的关系</w:t>
      </w:r>
    </w:p>
    <w:p>
      <w:pPr>
        <w:pStyle w:val="BodyText"/>
        <w:spacing w:line="254" w:lineRule="auto"/>
        <w:rPr/>
      </w:pPr>
      <w:r/>
    </w:p>
    <w:p>
      <w:pPr>
        <w:ind w:right="252" w:firstLine="535"/>
        <w:spacing w:before="68" w:line="266" w:lineRule="auto"/>
        <w:rPr>
          <w:rFonts w:ascii="SimSun" w:hAnsi="SimSun" w:eastAsia="SimSun" w:cs="SimSun"/>
          <w:sz w:val="21"/>
          <w:szCs w:val="21"/>
        </w:rPr>
      </w:pP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3"/>
        </w:rPr>
        <w:t>将数据治理定义为对数据资产管理行使权力和控制的活动集合(规划、</w:t>
      </w:r>
      <w:r>
        <w:rPr>
          <w:rFonts w:ascii="SimSun" w:hAnsi="SimSun" w:eastAsia="SimSun" w:cs="SimSun"/>
          <w:sz w:val="21"/>
          <w:szCs w:val="21"/>
        </w:rPr>
        <w:t xml:space="preserve"> </w:t>
      </w:r>
      <w:r>
        <w:rPr>
          <w:rFonts w:ascii="SimSun" w:hAnsi="SimSun" w:eastAsia="SimSun" w:cs="SimSun"/>
          <w:sz w:val="21"/>
          <w:szCs w:val="21"/>
          <w:spacing w:val="2"/>
        </w:rPr>
        <w:t>监控和执行)。桑尼尔·索雷斯在《大数据治理》一书中将大数据定</w:t>
      </w:r>
      <w:r>
        <w:rPr>
          <w:rFonts w:ascii="SimSun" w:hAnsi="SimSun" w:eastAsia="SimSun" w:cs="SimSun"/>
          <w:sz w:val="21"/>
          <w:szCs w:val="21"/>
          <w:spacing w:val="1"/>
        </w:rPr>
        <w:t>义为广义信息治</w:t>
      </w:r>
      <w:r>
        <w:rPr>
          <w:rFonts w:ascii="SimSun" w:hAnsi="SimSun" w:eastAsia="SimSun" w:cs="SimSun"/>
          <w:sz w:val="21"/>
          <w:szCs w:val="21"/>
        </w:rPr>
        <w:t xml:space="preserve"> </w:t>
      </w:r>
      <w:r>
        <w:rPr>
          <w:rFonts w:ascii="SimSun" w:hAnsi="SimSun" w:eastAsia="SimSun" w:cs="SimSun"/>
          <w:sz w:val="21"/>
          <w:szCs w:val="21"/>
          <w:spacing w:val="3"/>
        </w:rPr>
        <w:t>理计划的一部分，即制订与大数据有关的数据优化、隐私保护与数据变现的政策。 </w:t>
      </w:r>
      <w:r>
        <w:rPr>
          <w:rFonts w:ascii="SimSun" w:hAnsi="SimSun" w:eastAsia="SimSun" w:cs="SimSun"/>
          <w:sz w:val="21"/>
          <w:szCs w:val="21"/>
        </w:rPr>
        <w:t>《大数据治理与服务》则将大数据治理定义为对组织的大数</w:t>
      </w:r>
      <w:r>
        <w:rPr>
          <w:rFonts w:ascii="SimSun" w:hAnsi="SimSun" w:eastAsia="SimSun" w:cs="SimSun"/>
          <w:sz w:val="21"/>
          <w:szCs w:val="21"/>
          <w:spacing w:val="-1"/>
        </w:rPr>
        <w:t>据管理和利用进行评估、</w:t>
      </w:r>
      <w:r>
        <w:rPr>
          <w:rFonts w:ascii="SimSun" w:hAnsi="SimSun" w:eastAsia="SimSun" w:cs="SimSun"/>
          <w:sz w:val="21"/>
          <w:szCs w:val="21"/>
        </w:rPr>
        <w:t xml:space="preserve"> </w:t>
      </w:r>
      <w:r>
        <w:rPr>
          <w:rFonts w:ascii="SimSun" w:hAnsi="SimSun" w:eastAsia="SimSun" w:cs="SimSun"/>
          <w:sz w:val="21"/>
          <w:szCs w:val="21"/>
          <w:spacing w:val="5"/>
        </w:rPr>
        <w:t>指导和监督体系的框架，通过制订战略方针、</w:t>
      </w:r>
      <w:r>
        <w:rPr>
          <w:rFonts w:ascii="SimSun" w:hAnsi="SimSun" w:eastAsia="SimSun" w:cs="SimSun"/>
          <w:sz w:val="21"/>
          <w:szCs w:val="21"/>
          <w:spacing w:val="4"/>
        </w:rPr>
        <w:t>建立组织架构、明确职责分工等，实</w:t>
      </w:r>
      <w:r>
        <w:rPr>
          <w:rFonts w:ascii="SimSun" w:hAnsi="SimSun" w:eastAsia="SimSun" w:cs="SimSun"/>
          <w:sz w:val="21"/>
          <w:szCs w:val="21"/>
        </w:rPr>
        <w:t xml:space="preserve"> </w:t>
      </w:r>
      <w:r>
        <w:rPr>
          <w:rFonts w:ascii="SimSun" w:hAnsi="SimSun" w:eastAsia="SimSun" w:cs="SimSun"/>
          <w:sz w:val="21"/>
          <w:szCs w:val="21"/>
          <w:spacing w:val="5"/>
        </w:rPr>
        <w:t>现大数据的风险可控、安全合规、绩效提升和价值</w:t>
      </w:r>
      <w:r>
        <w:rPr>
          <w:rFonts w:ascii="SimSun" w:hAnsi="SimSun" w:eastAsia="SimSun" w:cs="SimSun"/>
          <w:sz w:val="21"/>
          <w:szCs w:val="21"/>
          <w:spacing w:val="4"/>
        </w:rPr>
        <w:t>创造，并提供不断创新的大数据</w:t>
      </w:r>
      <w:r>
        <w:rPr>
          <w:rFonts w:ascii="SimSun" w:hAnsi="SimSun" w:eastAsia="SimSun" w:cs="SimSun"/>
          <w:sz w:val="21"/>
          <w:szCs w:val="21"/>
        </w:rPr>
        <w:t xml:space="preserve"> </w:t>
      </w:r>
      <w:r>
        <w:rPr>
          <w:rFonts w:ascii="SimSun" w:hAnsi="SimSun" w:eastAsia="SimSun" w:cs="SimSun"/>
          <w:sz w:val="21"/>
          <w:szCs w:val="21"/>
          <w:spacing w:val="5"/>
        </w:rPr>
        <w:t>服务。由此可见，我们定义的云端数据治理</w:t>
      </w:r>
      <w:r>
        <w:rPr>
          <w:rFonts w:ascii="SimSun" w:hAnsi="SimSun" w:eastAsia="SimSun" w:cs="SimSun"/>
          <w:sz w:val="21"/>
          <w:szCs w:val="21"/>
          <w:spacing w:val="4"/>
        </w:rPr>
        <w:t>与传统数据治理、大数据治理的定义都</w:t>
      </w:r>
      <w:r>
        <w:rPr>
          <w:rFonts w:ascii="SimSun" w:hAnsi="SimSun" w:eastAsia="SimSun" w:cs="SimSun"/>
          <w:sz w:val="21"/>
          <w:szCs w:val="21"/>
        </w:rPr>
        <w:t xml:space="preserve"> </w:t>
      </w:r>
      <w:r>
        <w:rPr>
          <w:rFonts w:ascii="SimSun" w:hAnsi="SimSun" w:eastAsia="SimSun" w:cs="SimSun"/>
          <w:sz w:val="21"/>
          <w:szCs w:val="21"/>
          <w:spacing w:val="2"/>
        </w:rPr>
        <w:t>存在紧密的关联，这绝非特意使然，而是它们之间在本质上存在诸多的关</w:t>
      </w:r>
      <w:r>
        <w:rPr>
          <w:rFonts w:ascii="SimSun" w:hAnsi="SimSun" w:eastAsia="SimSun" w:cs="SimSun"/>
          <w:sz w:val="21"/>
          <w:szCs w:val="21"/>
          <w:spacing w:val="1"/>
        </w:rPr>
        <w:t>联。</w:t>
      </w:r>
    </w:p>
    <w:p>
      <w:pPr>
        <w:ind w:left="535"/>
        <w:spacing w:before="102" w:line="219" w:lineRule="auto"/>
        <w:rPr>
          <w:rFonts w:ascii="SimSun" w:hAnsi="SimSun" w:eastAsia="SimSun" w:cs="SimSun"/>
          <w:sz w:val="21"/>
          <w:szCs w:val="21"/>
        </w:rPr>
      </w:pPr>
      <w:r>
        <w:rPr>
          <w:rFonts w:ascii="SimSun" w:hAnsi="SimSun" w:eastAsia="SimSun" w:cs="SimSun"/>
          <w:sz w:val="21"/>
          <w:szCs w:val="21"/>
          <w:spacing w:val="-2"/>
        </w:rPr>
        <w:t>云端数据治理与数据治理和大数据治理的相同点至少包括以下三点。</w:t>
      </w:r>
    </w:p>
    <w:p>
      <w:pPr>
        <w:ind w:left="824" w:right="288" w:hanging="289"/>
        <w:spacing w:before="70" w:line="246" w:lineRule="auto"/>
        <w:rPr>
          <w:rFonts w:ascii="SimSun" w:hAnsi="SimSun" w:eastAsia="SimSun" w:cs="SimSun"/>
          <w:sz w:val="21"/>
          <w:szCs w:val="21"/>
        </w:rPr>
      </w:pPr>
      <w:r>
        <w:rPr>
          <w:rFonts w:ascii="SimSun" w:hAnsi="SimSun" w:eastAsia="SimSun" w:cs="SimSun"/>
          <w:sz w:val="21"/>
          <w:szCs w:val="21"/>
          <w:spacing w:val="1"/>
        </w:rPr>
        <w:t>●首先，它们的治理的对象都是数据。无论是云端数据还是大数据，都可以看</w:t>
      </w:r>
      <w:r>
        <w:rPr>
          <w:rFonts w:ascii="SimSun" w:hAnsi="SimSun" w:eastAsia="SimSun" w:cs="SimSun"/>
          <w:sz w:val="21"/>
          <w:szCs w:val="21"/>
          <w:spacing w:val="13"/>
        </w:rPr>
        <w:t xml:space="preserve"> </w:t>
      </w:r>
      <w:r>
        <w:rPr>
          <w:rFonts w:ascii="SimSun" w:hAnsi="SimSun" w:eastAsia="SimSun" w:cs="SimSun"/>
          <w:sz w:val="21"/>
          <w:szCs w:val="21"/>
          <w:spacing w:val="-3"/>
        </w:rPr>
        <w:t>成数据发展到一定阶段的体现。</w:t>
      </w:r>
    </w:p>
    <w:p>
      <w:pPr>
        <w:ind w:left="824" w:right="265" w:hanging="289"/>
        <w:spacing w:before="36" w:line="252" w:lineRule="auto"/>
        <w:rPr>
          <w:rFonts w:ascii="SimSun" w:hAnsi="SimSun" w:eastAsia="SimSun" w:cs="SimSun"/>
          <w:sz w:val="21"/>
          <w:szCs w:val="21"/>
        </w:rPr>
      </w:pPr>
      <w:r>
        <w:rPr>
          <w:rFonts w:ascii="STXingkai" w:hAnsi="STXingkai" w:eastAsia="STXingkai" w:cs="STXingkai"/>
          <w:sz w:val="21"/>
          <w:szCs w:val="21"/>
          <w:spacing w:val="-1"/>
        </w:rPr>
        <w:t>●</w:t>
      </w:r>
      <w:r>
        <w:rPr>
          <w:rFonts w:ascii="STXingkai" w:hAnsi="STXingkai" w:eastAsia="STXingkai" w:cs="STXingkai"/>
          <w:sz w:val="21"/>
          <w:szCs w:val="21"/>
          <w:spacing w:val="45"/>
        </w:rPr>
        <w:t xml:space="preserve"> </w:t>
      </w:r>
      <w:r>
        <w:rPr>
          <w:rFonts w:ascii="SimSun" w:hAnsi="SimSun" w:eastAsia="SimSun" w:cs="SimSun"/>
          <w:sz w:val="21"/>
          <w:szCs w:val="21"/>
          <w:spacing w:val="-1"/>
        </w:rPr>
        <w:t>其次，它们都关乎数据管理的策略。对比三</w:t>
      </w:r>
      <w:r>
        <w:rPr>
          <w:rFonts w:ascii="SimSun" w:hAnsi="SimSun" w:eastAsia="SimSun" w:cs="SimSun"/>
          <w:sz w:val="21"/>
          <w:szCs w:val="21"/>
          <w:spacing w:val="-2"/>
        </w:rPr>
        <w:t>者主要内容可以发现，它们都包</w:t>
      </w:r>
      <w:r>
        <w:rPr>
          <w:rFonts w:ascii="SimSun" w:hAnsi="SimSun" w:eastAsia="SimSun" w:cs="SimSun"/>
          <w:sz w:val="21"/>
          <w:szCs w:val="21"/>
        </w:rPr>
        <w:t xml:space="preserve"> </w:t>
      </w:r>
      <w:r>
        <w:rPr>
          <w:rFonts w:ascii="SimSun" w:hAnsi="SimSun" w:eastAsia="SimSun" w:cs="SimSun"/>
          <w:sz w:val="21"/>
          <w:szCs w:val="21"/>
        </w:rPr>
        <w:t>括了治理的组织、数据质量、数据生命周期管理、数</w:t>
      </w:r>
      <w:r>
        <w:rPr>
          <w:rFonts w:ascii="SimSun" w:hAnsi="SimSun" w:eastAsia="SimSun" w:cs="SimSun"/>
          <w:sz w:val="21"/>
          <w:szCs w:val="21"/>
          <w:spacing w:val="-1"/>
        </w:rPr>
        <w:t>据操作、数据安全等方</w:t>
      </w:r>
      <w:r>
        <w:rPr>
          <w:rFonts w:ascii="SimSun" w:hAnsi="SimSun" w:eastAsia="SimSun" w:cs="SimSun"/>
          <w:sz w:val="21"/>
          <w:szCs w:val="21"/>
        </w:rPr>
        <w:t xml:space="preserve"> </w:t>
      </w:r>
      <w:r>
        <w:rPr>
          <w:rFonts w:ascii="SimSun" w:hAnsi="SimSun" w:eastAsia="SimSun" w:cs="SimSun"/>
          <w:sz w:val="21"/>
          <w:szCs w:val="21"/>
          <w:spacing w:val="-1"/>
        </w:rPr>
        <w:t>面内容，通过制订这些内容相关的策略以指导数据治理的实施。</w:t>
      </w:r>
    </w:p>
    <w:p>
      <w:pPr>
        <w:ind w:left="824" w:right="289" w:hanging="289"/>
        <w:spacing w:before="60" w:line="246" w:lineRule="auto"/>
        <w:rPr>
          <w:rFonts w:ascii="SimSun" w:hAnsi="SimSun" w:eastAsia="SimSun" w:cs="SimSun"/>
          <w:sz w:val="21"/>
          <w:szCs w:val="21"/>
        </w:rPr>
      </w:pPr>
      <w:r>
        <w:rPr>
          <w:rFonts w:ascii="SimSun" w:hAnsi="SimSun" w:eastAsia="SimSun" w:cs="SimSun"/>
          <w:sz w:val="21"/>
          <w:szCs w:val="21"/>
          <w:spacing w:val="1"/>
        </w:rPr>
        <w:t>●再次，它们具有相似的治理过程。大致的治理流程都可以概括为：数据治理</w:t>
      </w:r>
      <w:r>
        <w:rPr>
          <w:rFonts w:ascii="SimSun" w:hAnsi="SimSun" w:eastAsia="SimSun" w:cs="SimSun"/>
          <w:sz w:val="21"/>
          <w:szCs w:val="21"/>
          <w:spacing w:val="12"/>
        </w:rPr>
        <w:t xml:space="preserve"> </w:t>
      </w:r>
      <w:r>
        <w:rPr>
          <w:rFonts w:ascii="SimSun" w:hAnsi="SimSun" w:eastAsia="SimSun" w:cs="SimSun"/>
          <w:sz w:val="21"/>
          <w:szCs w:val="21"/>
          <w:spacing w:val="-3"/>
        </w:rPr>
        <w:t>策划、实施、检查、改进四大阶段。</w:t>
      </w:r>
    </w:p>
    <w:p>
      <w:pPr>
        <w:ind w:left="105" w:right="290" w:firstLine="430"/>
        <w:spacing w:before="60" w:line="261" w:lineRule="auto"/>
        <w:jc w:val="both"/>
        <w:rPr>
          <w:rFonts w:ascii="SimSun" w:hAnsi="SimSun" w:eastAsia="SimSun" w:cs="SimSun"/>
          <w:sz w:val="21"/>
          <w:szCs w:val="21"/>
        </w:rPr>
      </w:pPr>
      <w:r>
        <w:rPr>
          <w:rFonts w:ascii="SimSun" w:hAnsi="SimSun" w:eastAsia="SimSun" w:cs="SimSun"/>
          <w:sz w:val="21"/>
          <w:szCs w:val="21"/>
          <w:spacing w:val="1"/>
        </w:rPr>
        <w:t>所以，云端数据治理是数据治理理论在新环境下发展的产物，原有的数据治理</w:t>
      </w:r>
      <w:r>
        <w:rPr>
          <w:rFonts w:ascii="SimSun" w:hAnsi="SimSun" w:eastAsia="SimSun" w:cs="SimSun"/>
          <w:sz w:val="21"/>
          <w:szCs w:val="21"/>
          <w:spacing w:val="12"/>
        </w:rPr>
        <w:t xml:space="preserve"> </w:t>
      </w:r>
      <w:r>
        <w:rPr>
          <w:rFonts w:ascii="SimSun" w:hAnsi="SimSun" w:eastAsia="SimSun" w:cs="SimSun"/>
          <w:sz w:val="21"/>
          <w:szCs w:val="21"/>
          <w:spacing w:val="1"/>
        </w:rPr>
        <w:t>基本理论仍然是云端数据治理的基础。表2-1 概述了云端数据治理与数据治理和大</w:t>
      </w:r>
      <w:r>
        <w:rPr>
          <w:rFonts w:ascii="SimSun" w:hAnsi="SimSun" w:eastAsia="SimSun" w:cs="SimSun"/>
          <w:sz w:val="21"/>
          <w:szCs w:val="21"/>
          <w:spacing w:val="2"/>
        </w:rPr>
        <w:t xml:space="preserve"> </w:t>
      </w:r>
      <w:r>
        <w:rPr>
          <w:rFonts w:ascii="SimSun" w:hAnsi="SimSun" w:eastAsia="SimSun" w:cs="SimSun"/>
          <w:sz w:val="21"/>
          <w:szCs w:val="21"/>
          <w:spacing w:val="-6"/>
        </w:rPr>
        <w:t>数据治理在概念上的关系。</w:t>
      </w:r>
    </w:p>
    <w:p>
      <w:pPr>
        <w:ind w:left="1447"/>
        <w:spacing w:before="105" w:line="221" w:lineRule="auto"/>
        <w:rPr>
          <w:rFonts w:ascii="SimHei" w:hAnsi="SimHei" w:eastAsia="SimHei" w:cs="SimHei"/>
          <w:sz w:val="21"/>
          <w:szCs w:val="21"/>
        </w:rPr>
      </w:pPr>
      <w:r>
        <w:rPr>
          <w:rFonts w:ascii="SimHei" w:hAnsi="SimHei" w:eastAsia="SimHei" w:cs="SimHei"/>
          <w:sz w:val="21"/>
          <w:szCs w:val="21"/>
          <w:b/>
          <w:bCs/>
          <w:spacing w:val="-18"/>
          <w:w w:val="96"/>
        </w:rPr>
        <w:t>表2-1</w:t>
      </w:r>
      <w:r>
        <w:rPr>
          <w:rFonts w:ascii="SimHei" w:hAnsi="SimHei" w:eastAsia="SimHei" w:cs="SimHei"/>
          <w:sz w:val="21"/>
          <w:szCs w:val="21"/>
          <w:spacing w:val="45"/>
        </w:rPr>
        <w:t xml:space="preserve"> </w:t>
      </w:r>
      <w:r>
        <w:rPr>
          <w:rFonts w:ascii="SimHei" w:hAnsi="SimHei" w:eastAsia="SimHei" w:cs="SimHei"/>
          <w:sz w:val="21"/>
          <w:szCs w:val="21"/>
          <w:b/>
          <w:bCs/>
          <w:spacing w:val="-18"/>
          <w:w w:val="96"/>
        </w:rPr>
        <w:t>云端数据治理与数据治理和大数据治理在概念上的关系</w:t>
      </w:r>
    </w:p>
    <w:p>
      <w:pPr>
        <w:spacing w:line="70" w:lineRule="exact"/>
        <w:rPr/>
      </w:pPr>
      <w:r/>
    </w:p>
    <w:tbl>
      <w:tblPr>
        <w:tblStyle w:val="TableNormal"/>
        <w:tblW w:w="7599" w:type="dxa"/>
        <w:tblInd w:w="17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4"/>
        <w:gridCol w:w="1218"/>
        <w:gridCol w:w="5747"/>
      </w:tblGrid>
      <w:tr>
        <w:trPr>
          <w:trHeight w:val="333" w:hRule="atLeast"/>
        </w:trPr>
        <w:tc>
          <w:tcPr>
            <w:tcW w:w="634" w:type="dxa"/>
            <w:vAlign w:val="top"/>
          </w:tcPr>
          <w:p>
            <w:pPr>
              <w:pStyle w:val="TableText"/>
              <w:ind w:left="155"/>
              <w:spacing w:before="91" w:line="219" w:lineRule="auto"/>
              <w:rPr/>
            </w:pPr>
            <w:r>
              <w:rPr>
                <w:spacing w:val="3"/>
              </w:rPr>
              <w:t>内容</w:t>
            </w:r>
          </w:p>
        </w:tc>
        <w:tc>
          <w:tcPr>
            <w:tcW w:w="1218" w:type="dxa"/>
            <w:vAlign w:val="top"/>
          </w:tcPr>
          <w:p>
            <w:pPr>
              <w:pStyle w:val="TableText"/>
              <w:ind w:left="331"/>
              <w:spacing w:before="91" w:line="219" w:lineRule="auto"/>
              <w:rPr/>
            </w:pPr>
            <w:r>
              <w:rPr>
                <w:spacing w:val="-3"/>
              </w:rPr>
              <w:t>类</w:t>
            </w:r>
            <w:r>
              <w:rPr>
                <w:spacing w:val="10"/>
              </w:rPr>
              <w:t xml:space="preserve">   </w:t>
            </w:r>
            <w:r>
              <w:rPr>
                <w:spacing w:val="-3"/>
              </w:rPr>
              <w:t>别</w:t>
            </w:r>
          </w:p>
        </w:tc>
        <w:tc>
          <w:tcPr>
            <w:tcW w:w="5747" w:type="dxa"/>
            <w:vAlign w:val="top"/>
          </w:tcPr>
          <w:p>
            <w:pPr>
              <w:pStyle w:val="TableText"/>
              <w:ind w:left="2573"/>
              <w:spacing w:before="93" w:line="222" w:lineRule="auto"/>
              <w:rPr/>
            </w:pPr>
            <w:r>
              <w:rPr>
                <w:spacing w:val="-4"/>
              </w:rPr>
              <w:t>要</w:t>
            </w:r>
            <w:r>
              <w:rPr>
                <w:spacing w:val="4"/>
              </w:rPr>
              <w:t xml:space="preserve">   </w:t>
            </w:r>
            <w:r>
              <w:rPr>
                <w:spacing w:val="-4"/>
              </w:rPr>
              <w:t>点</w:t>
            </w:r>
          </w:p>
        </w:tc>
      </w:tr>
      <w:tr>
        <w:trPr>
          <w:trHeight w:val="1116" w:hRule="atLeast"/>
        </w:trPr>
        <w:tc>
          <w:tcPr>
            <w:tcW w:w="634" w:type="dxa"/>
            <w:vAlign w:val="top"/>
            <w:vMerge w:val="restart"/>
            <w:tcBorders>
              <w:bottom w:val="nil"/>
            </w:tcBorders>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pStyle w:val="TableText"/>
              <w:ind w:left="155"/>
              <w:spacing w:before="49" w:line="219" w:lineRule="auto"/>
              <w:rPr/>
            </w:pPr>
            <w:r>
              <w:rPr>
                <w:spacing w:val="-2"/>
              </w:rPr>
              <w:t>概念</w:t>
            </w:r>
          </w:p>
        </w:tc>
        <w:tc>
          <w:tcPr>
            <w:tcW w:w="1218" w:type="dxa"/>
            <w:vAlign w:val="top"/>
          </w:tcPr>
          <w:p>
            <w:pPr>
              <w:spacing w:line="436" w:lineRule="auto"/>
              <w:rPr>
                <w:rFonts w:ascii="Arial"/>
                <w:sz w:val="21"/>
              </w:rPr>
            </w:pPr>
            <w:r/>
          </w:p>
          <w:p>
            <w:pPr>
              <w:pStyle w:val="TableText"/>
              <w:ind w:left="150"/>
              <w:spacing w:before="49" w:line="219" w:lineRule="auto"/>
              <w:rPr/>
            </w:pPr>
            <w:r>
              <w:rPr>
                <w:spacing w:val="-2"/>
              </w:rPr>
              <w:t>云端数据治理</w:t>
            </w:r>
          </w:p>
        </w:tc>
        <w:tc>
          <w:tcPr>
            <w:tcW w:w="5747" w:type="dxa"/>
            <w:vAlign w:val="top"/>
          </w:tcPr>
          <w:p>
            <w:pPr>
              <w:pStyle w:val="TableText"/>
              <w:ind w:left="282"/>
              <w:spacing w:before="78" w:line="219" w:lineRule="auto"/>
              <w:rPr/>
            </w:pPr>
            <w:r>
              <w:rPr/>
              <w:t>(1)云端数据治理以云端数据为主要治理对象</w:t>
            </w:r>
          </w:p>
          <w:p>
            <w:pPr>
              <w:pStyle w:val="TableText"/>
              <w:ind w:left="282" w:right="292" w:hanging="19"/>
              <w:spacing w:before="91" w:line="277" w:lineRule="auto"/>
              <w:rPr/>
            </w:pPr>
            <w:r>
              <w:rPr/>
              <w:t>(2)制订与云端数据战略、数据管理、数据优化、数据安全与隐私保护等相关的</w:t>
            </w:r>
            <w:r>
              <w:rPr>
                <w:spacing w:val="5"/>
              </w:rPr>
              <w:t xml:space="preserve"> </w:t>
            </w:r>
            <w:r>
              <w:rPr>
                <w:spacing w:val="-2"/>
              </w:rPr>
              <w:t>策略</w:t>
            </w:r>
          </w:p>
          <w:p>
            <w:pPr>
              <w:pStyle w:val="TableText"/>
              <w:ind w:left="282"/>
              <w:spacing w:before="119" w:line="218" w:lineRule="auto"/>
              <w:rPr/>
            </w:pPr>
            <w:r>
              <w:rPr/>
              <w:t>(3)指导组织规划、构建、评估和优化数据治理体系</w:t>
            </w:r>
          </w:p>
        </w:tc>
      </w:tr>
      <w:tr>
        <w:trPr>
          <w:trHeight w:val="1121" w:hRule="atLeast"/>
        </w:trPr>
        <w:tc>
          <w:tcPr>
            <w:tcW w:w="634" w:type="dxa"/>
            <w:vAlign w:val="top"/>
            <w:vMerge w:val="continue"/>
            <w:tcBorders>
              <w:top w:val="nil"/>
            </w:tcBorders>
          </w:tcPr>
          <w:p>
            <w:pPr>
              <w:rPr>
                <w:rFonts w:ascii="Arial"/>
                <w:sz w:val="21"/>
              </w:rPr>
            </w:pPr>
            <w:r/>
          </w:p>
        </w:tc>
        <w:tc>
          <w:tcPr>
            <w:tcW w:w="1218" w:type="dxa"/>
            <w:vAlign w:val="top"/>
          </w:tcPr>
          <w:p>
            <w:pPr>
              <w:spacing w:line="440" w:lineRule="auto"/>
              <w:rPr>
                <w:rFonts w:ascii="Arial"/>
                <w:sz w:val="21"/>
              </w:rPr>
            </w:pPr>
            <w:r/>
          </w:p>
          <w:p>
            <w:pPr>
              <w:pStyle w:val="TableText"/>
              <w:ind w:left="221"/>
              <w:spacing w:before="49" w:line="219" w:lineRule="auto"/>
              <w:rPr/>
            </w:pPr>
            <w:r>
              <w:rPr>
                <w:spacing w:val="-2"/>
              </w:rPr>
              <w:t>大数据治理</w:t>
            </w:r>
          </w:p>
        </w:tc>
        <w:tc>
          <w:tcPr>
            <w:tcW w:w="5747" w:type="dxa"/>
            <w:vAlign w:val="top"/>
          </w:tcPr>
          <w:p>
            <w:pPr>
              <w:pStyle w:val="TableText"/>
              <w:ind w:left="282"/>
              <w:spacing w:before="92" w:line="219" w:lineRule="auto"/>
              <w:rPr/>
            </w:pPr>
            <w:r>
              <w:rPr/>
              <w:t>(1)大数据治理是广义数据/信息治理计划的一部分</w:t>
            </w:r>
          </w:p>
          <w:p>
            <w:pPr>
              <w:pStyle w:val="TableText"/>
              <w:ind w:left="282"/>
              <w:spacing w:before="101" w:line="280" w:lineRule="exact"/>
              <w:rPr/>
            </w:pPr>
            <w:r>
              <w:rPr>
                <w:position w:val="10"/>
              </w:rPr>
              <w:t>(2)大数据治理制订与大数据优化、隐私和货币化相关的政策</w:t>
            </w:r>
          </w:p>
          <w:p>
            <w:pPr>
              <w:pStyle w:val="TableText"/>
              <w:ind w:left="282"/>
              <w:spacing w:line="219" w:lineRule="auto"/>
              <w:rPr/>
            </w:pPr>
            <w:r>
              <w:rPr/>
              <w:t>(3)大数据治理需要协调多个职能部门的目标和利益</w:t>
            </w:r>
          </w:p>
          <w:p>
            <w:pPr>
              <w:pStyle w:val="TableText"/>
              <w:ind w:left="282"/>
              <w:spacing w:before="100" w:line="218" w:lineRule="auto"/>
              <w:rPr/>
            </w:pPr>
            <w:r>
              <w:rPr/>
              <w:t>(4)大数据治理是对组织的大数据管理和利用进行评估、指导和监督的体系框架</w:t>
            </w:r>
          </w:p>
        </w:tc>
      </w:tr>
    </w:tbl>
    <w:p>
      <w:pPr>
        <w:pStyle w:val="BodyText"/>
        <w:rPr/>
      </w:pPr>
      <w:r/>
    </w:p>
    <w:p>
      <w:pPr>
        <w:sectPr>
          <w:footerReference w:type="default" r:id="rId110"/>
          <w:pgSz w:w="8870" w:h="13400"/>
          <w:pgMar w:top="400" w:right="532" w:bottom="597" w:left="325" w:header="0" w:footer="388" w:gutter="0"/>
        </w:sectPr>
        <w:rPr/>
      </w:pPr>
    </w:p>
    <w:p>
      <w:pPr>
        <w:ind w:left="120"/>
        <w:spacing w:before="149"/>
        <w:rPr>
          <w:rFonts w:ascii="SimSun" w:hAnsi="SimSun" w:eastAsia="SimSun" w:cs="SimSun"/>
          <w:sz w:val="22"/>
          <w:szCs w:val="22"/>
        </w:rPr>
      </w:pPr>
      <w:bookmarkStart w:name="bookmark29" w:id="24"/>
      <w:bookmarkEnd w:id="24"/>
      <w:r>
        <w:rPr>
          <w:rFonts w:ascii="SimSun" w:hAnsi="SimSun" w:eastAsia="SimSun" w:cs="SimSun"/>
          <w:sz w:val="22"/>
          <w:szCs w:val="22"/>
          <w:position w:val="-8"/>
        </w:rPr>
        <w:drawing>
          <wp:inline distT="0" distB="0" distL="0" distR="0">
            <wp:extent cx="6308" cy="222255"/>
            <wp:effectExtent l="0" t="0" r="0" b="0"/>
            <wp:docPr id="98" name="IM 98"/>
            <wp:cNvGraphicFramePr/>
            <a:graphic>
              <a:graphicData uri="http://schemas.openxmlformats.org/drawingml/2006/picture">
                <pic:pic>
                  <pic:nvPicPr>
                    <pic:cNvPr id="98" name="IM 98"/>
                    <pic:cNvPicPr/>
                  </pic:nvPicPr>
                  <pic:blipFill>
                    <a:blip r:embed="rId112"/>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pStyle w:val="BodyText"/>
        <w:spacing w:line="310" w:lineRule="auto"/>
        <w:rPr/>
      </w:pPr>
      <w:r/>
    </w:p>
    <w:p>
      <w:pPr>
        <w:ind w:left="7129"/>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58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4"/>
        <w:gridCol w:w="1228"/>
        <w:gridCol w:w="5727"/>
      </w:tblGrid>
      <w:tr>
        <w:trPr>
          <w:trHeight w:val="314" w:hRule="atLeast"/>
        </w:trPr>
        <w:tc>
          <w:tcPr>
            <w:tcW w:w="634" w:type="dxa"/>
            <w:vAlign w:val="top"/>
          </w:tcPr>
          <w:p>
            <w:pPr>
              <w:pStyle w:val="TableText"/>
              <w:ind w:left="155"/>
              <w:spacing w:before="81" w:line="219" w:lineRule="auto"/>
              <w:rPr/>
            </w:pPr>
            <w:r>
              <w:rPr>
                <w:spacing w:val="3"/>
              </w:rPr>
              <w:t>内容</w:t>
            </w:r>
          </w:p>
        </w:tc>
        <w:tc>
          <w:tcPr>
            <w:tcW w:w="1228" w:type="dxa"/>
            <w:vAlign w:val="top"/>
          </w:tcPr>
          <w:p>
            <w:pPr>
              <w:pStyle w:val="TableText"/>
              <w:ind w:left="340"/>
              <w:spacing w:before="81" w:line="219" w:lineRule="auto"/>
              <w:rPr/>
            </w:pPr>
            <w:r>
              <w:rPr>
                <w:spacing w:val="-3"/>
              </w:rPr>
              <w:t>类</w:t>
            </w:r>
            <w:r>
              <w:rPr>
                <w:spacing w:val="2"/>
              </w:rPr>
              <w:t xml:space="preserve">   </w:t>
            </w:r>
            <w:r>
              <w:rPr>
                <w:spacing w:val="-3"/>
              </w:rPr>
              <w:t>别</w:t>
            </w:r>
          </w:p>
        </w:tc>
        <w:tc>
          <w:tcPr>
            <w:tcW w:w="5727" w:type="dxa"/>
            <w:vAlign w:val="top"/>
          </w:tcPr>
          <w:p>
            <w:pPr>
              <w:pStyle w:val="TableText"/>
              <w:ind w:left="2572"/>
              <w:spacing w:before="83" w:line="222" w:lineRule="auto"/>
              <w:rPr/>
            </w:pPr>
            <w:r>
              <w:rPr>
                <w:spacing w:val="-4"/>
              </w:rPr>
              <w:t>要</w:t>
            </w:r>
            <w:r>
              <w:rPr>
                <w:spacing w:val="4"/>
              </w:rPr>
              <w:t xml:space="preserve">   </w:t>
            </w:r>
            <w:r>
              <w:rPr>
                <w:spacing w:val="-4"/>
              </w:rPr>
              <w:t>点</w:t>
            </w:r>
          </w:p>
        </w:tc>
      </w:tr>
      <w:tr>
        <w:trPr>
          <w:trHeight w:val="2245" w:hRule="atLeast"/>
        </w:trPr>
        <w:tc>
          <w:tcPr>
            <w:tcW w:w="634" w:type="dxa"/>
            <w:vAlign w:val="top"/>
          </w:tcPr>
          <w:p>
            <w:pPr>
              <w:rPr>
                <w:rFonts w:ascii="Arial"/>
                <w:sz w:val="21"/>
              </w:rPr>
            </w:pPr>
            <w:r/>
          </w:p>
        </w:tc>
        <w:tc>
          <w:tcPr>
            <w:tcW w:w="1228" w:type="dxa"/>
            <w:vAlign w:val="top"/>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301"/>
              <w:spacing w:before="49" w:line="219" w:lineRule="auto"/>
              <w:rPr/>
            </w:pPr>
            <w:r>
              <w:rPr>
                <w:spacing w:val="-2"/>
              </w:rPr>
              <w:t>数据治理</w:t>
            </w:r>
          </w:p>
        </w:tc>
        <w:tc>
          <w:tcPr>
            <w:tcW w:w="5727" w:type="dxa"/>
            <w:vAlign w:val="top"/>
          </w:tcPr>
          <w:p>
            <w:pPr>
              <w:pStyle w:val="TableText"/>
              <w:ind w:left="122"/>
              <w:spacing w:before="77" w:line="219" w:lineRule="auto"/>
              <w:rPr/>
            </w:pPr>
            <w:r>
              <w:rPr>
                <w:spacing w:val="7"/>
              </w:rPr>
              <w:t>(1)数据治理是指“决定如何做决定”</w:t>
            </w:r>
          </w:p>
          <w:p>
            <w:pPr>
              <w:pStyle w:val="TableText"/>
              <w:ind w:left="122" w:right="28" w:hanging="10"/>
              <w:spacing w:before="100" w:line="282" w:lineRule="auto"/>
              <w:rPr/>
            </w:pPr>
            <w:r>
              <w:rPr/>
              <w:t>(2)数据治理是评估数据利益相关者的需求、条件和选择以达成一致的数据资源管理  </w:t>
            </w:r>
            <w:r>
              <w:rPr/>
              <w:t>的目标，通过优先级排序和决策机制来设定数据管理职能的发展方向，然后根据方向</w:t>
            </w:r>
          </w:p>
          <w:p>
            <w:pPr>
              <w:pStyle w:val="TableText"/>
              <w:ind w:left="122"/>
              <w:spacing w:before="93" w:line="219" w:lineRule="auto"/>
              <w:rPr/>
            </w:pPr>
            <w:r>
              <w:rPr>
                <w:spacing w:val="-1"/>
              </w:rPr>
              <w:t>和目标来监督数据资源的绩效与合规</w:t>
            </w:r>
          </w:p>
          <w:p>
            <w:pPr>
              <w:pStyle w:val="TableText"/>
              <w:ind w:left="122"/>
              <w:spacing w:before="110" w:line="218" w:lineRule="auto"/>
              <w:rPr/>
            </w:pPr>
            <w:r>
              <w:rPr/>
              <w:t>(3)数据治理的业务职能是评估、指导和监督</w:t>
            </w:r>
          </w:p>
          <w:p>
            <w:pPr>
              <w:pStyle w:val="TableText"/>
              <w:ind w:left="122"/>
              <w:spacing w:before="94" w:line="219" w:lineRule="auto"/>
              <w:rPr/>
            </w:pPr>
            <w:r>
              <w:rPr/>
              <w:t>(4)数据治理的核心是数据资产管理的决策权分配和职责分工</w:t>
            </w:r>
          </w:p>
          <w:p>
            <w:pPr>
              <w:pStyle w:val="TableText"/>
              <w:ind w:left="122"/>
              <w:spacing w:before="112" w:line="219" w:lineRule="auto"/>
              <w:rPr/>
            </w:pPr>
            <w:r>
              <w:rPr/>
              <w:t>(5)数据治理需要明确组织架构、控制、政策和过程，并制订相关规则和规范</w:t>
            </w:r>
          </w:p>
          <w:p>
            <w:pPr>
              <w:pStyle w:val="TableText"/>
              <w:ind w:left="122"/>
              <w:spacing w:before="112" w:line="219" w:lineRule="auto"/>
              <w:rPr/>
            </w:pPr>
            <w:r>
              <w:rPr/>
              <w:t>(6)数据治理应遵循标准的、成熟的、获得认可的过程，并且严格遵循相关规范</w:t>
            </w:r>
          </w:p>
        </w:tc>
      </w:tr>
      <w:tr>
        <w:trPr>
          <w:trHeight w:val="1108" w:hRule="atLeast"/>
        </w:trPr>
        <w:tc>
          <w:tcPr>
            <w:tcW w:w="634" w:type="dxa"/>
            <w:vAlign w:val="top"/>
            <w:vMerge w:val="restart"/>
            <w:tcBorders>
              <w:bottom w:val="nil"/>
            </w:tcBorders>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pStyle w:val="TableText"/>
              <w:ind w:left="155"/>
              <w:spacing w:before="49" w:line="220" w:lineRule="auto"/>
              <w:rPr/>
            </w:pPr>
            <w:r>
              <w:rPr>
                <w:spacing w:val="7"/>
              </w:rPr>
              <w:t>关系</w:t>
            </w:r>
          </w:p>
        </w:tc>
        <w:tc>
          <w:tcPr>
            <w:tcW w:w="1228" w:type="dxa"/>
            <w:vAlign w:val="top"/>
          </w:tcPr>
          <w:p>
            <w:pPr>
              <w:spacing w:line="311" w:lineRule="auto"/>
              <w:rPr>
                <w:rFonts w:ascii="Arial"/>
                <w:sz w:val="21"/>
              </w:rPr>
            </w:pPr>
            <w:r/>
          </w:p>
          <w:p>
            <w:pPr>
              <w:pStyle w:val="TableText"/>
              <w:ind w:left="230" w:right="176" w:hanging="80"/>
              <w:spacing w:before="49" w:line="282" w:lineRule="auto"/>
              <w:rPr/>
            </w:pPr>
            <w:r>
              <w:rPr>
                <w:spacing w:val="-2"/>
              </w:rPr>
              <w:t>云端数据治理</w:t>
            </w:r>
            <w:r>
              <w:rPr>
                <w:spacing w:val="1"/>
              </w:rPr>
              <w:t xml:space="preserve"> </w:t>
            </w:r>
            <w:r>
              <w:rPr>
                <w:spacing w:val="-2"/>
              </w:rPr>
              <w:t>与数据治理</w:t>
            </w:r>
          </w:p>
        </w:tc>
        <w:tc>
          <w:tcPr>
            <w:tcW w:w="5727" w:type="dxa"/>
            <w:vAlign w:val="top"/>
          </w:tcPr>
          <w:p>
            <w:pPr>
              <w:pStyle w:val="TableText"/>
              <w:ind w:left="122" w:right="108"/>
              <w:spacing w:before="72" w:line="288" w:lineRule="auto"/>
              <w:rPr/>
            </w:pPr>
            <w:r>
              <w:rPr/>
              <w:t>(1)云端数据治理本质也是数据治理，是数据治理在云计算环境下的一个新发展方向</w:t>
            </w:r>
            <w:r>
              <w:rPr>
                <w:spacing w:val="9"/>
              </w:rPr>
              <w:t xml:space="preserve"> </w:t>
            </w:r>
            <w:r>
              <w:rPr/>
              <w:t>(2)数据治理的方法论仍然适用于云端数据治理</w:t>
            </w:r>
          </w:p>
          <w:p>
            <w:pPr>
              <w:pStyle w:val="TableText"/>
              <w:ind w:left="122"/>
              <w:spacing w:before="92" w:line="219" w:lineRule="auto"/>
              <w:rPr/>
            </w:pPr>
            <w:r>
              <w:rPr/>
              <w:t>(3)数据安全和隐私保护在云端数据治理体系中变得更加重要</w:t>
            </w:r>
          </w:p>
          <w:p>
            <w:pPr>
              <w:pStyle w:val="TableText"/>
              <w:ind w:left="122"/>
              <w:spacing w:before="122" w:line="204" w:lineRule="auto"/>
              <w:rPr/>
            </w:pPr>
            <w:r>
              <w:rPr/>
              <w:t>(4)云端数据治理不仅要管理好数据，也强调云端数据的应用创新</w:t>
            </w:r>
          </w:p>
        </w:tc>
      </w:tr>
      <w:tr>
        <w:trPr>
          <w:trHeight w:val="1132" w:hRule="atLeast"/>
        </w:trPr>
        <w:tc>
          <w:tcPr>
            <w:tcW w:w="634" w:type="dxa"/>
            <w:vAlign w:val="top"/>
            <w:vMerge w:val="continue"/>
            <w:tcBorders>
              <w:top w:val="nil"/>
            </w:tcBorders>
          </w:tcPr>
          <w:p>
            <w:pPr>
              <w:rPr>
                <w:rFonts w:ascii="Arial"/>
                <w:sz w:val="21"/>
              </w:rPr>
            </w:pPr>
            <w:r/>
          </w:p>
        </w:tc>
        <w:tc>
          <w:tcPr>
            <w:tcW w:w="1228" w:type="dxa"/>
            <w:vAlign w:val="top"/>
          </w:tcPr>
          <w:p>
            <w:pPr>
              <w:spacing w:line="303" w:lineRule="auto"/>
              <w:rPr>
                <w:rFonts w:ascii="Arial"/>
                <w:sz w:val="21"/>
              </w:rPr>
            </w:pPr>
            <w:r/>
          </w:p>
          <w:p>
            <w:pPr>
              <w:pStyle w:val="TableText"/>
              <w:ind w:left="150" w:right="175"/>
              <w:spacing w:before="49" w:line="288" w:lineRule="auto"/>
              <w:rPr/>
            </w:pPr>
            <w:r>
              <w:rPr>
                <w:spacing w:val="-2"/>
              </w:rPr>
              <w:t>云端数据治理</w:t>
            </w:r>
            <w:r>
              <w:rPr>
                <w:spacing w:val="1"/>
              </w:rPr>
              <w:t xml:space="preserve"> </w:t>
            </w:r>
            <w:r>
              <w:rPr>
                <w:spacing w:val="-2"/>
              </w:rPr>
              <w:t>与大数据治理</w:t>
            </w:r>
          </w:p>
        </w:tc>
        <w:tc>
          <w:tcPr>
            <w:tcW w:w="5727" w:type="dxa"/>
            <w:vAlign w:val="top"/>
          </w:tcPr>
          <w:p>
            <w:pPr>
              <w:pStyle w:val="TableText"/>
              <w:ind w:left="122"/>
              <w:spacing w:before="84" w:line="219" w:lineRule="auto"/>
              <w:rPr/>
            </w:pPr>
            <w:r>
              <w:rPr/>
              <w:t>(1)云端数据治理和大数据治理都是数据治理发展的一个新方向或新阶段</w:t>
            </w:r>
          </w:p>
          <w:p>
            <w:pPr>
              <w:pStyle w:val="TableText"/>
              <w:ind w:left="112"/>
              <w:spacing w:before="91" w:line="219" w:lineRule="auto"/>
              <w:rPr/>
            </w:pPr>
            <w:r>
              <w:rPr/>
              <w:t>(2)云端数据治理的对象可能是传统的数据，也可能是大数据，因此大数据治理体系</w:t>
            </w:r>
          </w:p>
          <w:p>
            <w:pPr>
              <w:pStyle w:val="TableText"/>
              <w:ind w:left="122"/>
              <w:spacing w:before="113" w:line="219" w:lineRule="auto"/>
              <w:rPr/>
            </w:pPr>
            <w:r>
              <w:rPr/>
              <w:t>的方法论也适用于云端数据治理</w:t>
            </w:r>
          </w:p>
          <w:p>
            <w:pPr>
              <w:pStyle w:val="TableText"/>
              <w:ind w:left="122"/>
              <w:spacing w:before="82" w:line="219" w:lineRule="auto"/>
              <w:rPr/>
            </w:pPr>
            <w:r>
              <w:rPr/>
              <w:t>(3)数据安全和隐私保护在云端数据治理和大数据治理体系中都得到了重视</w:t>
            </w:r>
          </w:p>
        </w:tc>
      </w:tr>
    </w:tbl>
    <w:p>
      <w:pPr>
        <w:ind w:left="719"/>
        <w:spacing w:before="192" w:line="219" w:lineRule="auto"/>
        <w:rPr>
          <w:rFonts w:ascii="SimSun" w:hAnsi="SimSun" w:eastAsia="SimSun" w:cs="SimSun"/>
          <w:sz w:val="22"/>
          <w:szCs w:val="22"/>
        </w:rPr>
      </w:pPr>
      <w:r>
        <w:rPr>
          <w:rFonts w:ascii="SimSun" w:hAnsi="SimSun" w:eastAsia="SimSun" w:cs="SimSun"/>
          <w:sz w:val="22"/>
          <w:szCs w:val="22"/>
          <w:spacing w:val="-10"/>
        </w:rPr>
        <w:t>然而，云端数据治理与传统数据治理和大数据治理也存在诸多差异。</w:t>
      </w:r>
    </w:p>
    <w:p>
      <w:pPr>
        <w:ind w:left="219" w:firstLine="500"/>
        <w:spacing w:before="62" w:line="243" w:lineRule="auto"/>
        <w:rPr>
          <w:rFonts w:ascii="SimSun" w:hAnsi="SimSun" w:eastAsia="SimSun" w:cs="SimSun"/>
          <w:sz w:val="22"/>
          <w:szCs w:val="22"/>
        </w:rPr>
      </w:pPr>
      <w:r>
        <w:rPr>
          <w:rFonts w:ascii="SimSun" w:hAnsi="SimSun" w:eastAsia="SimSun" w:cs="SimSun"/>
          <w:sz w:val="22"/>
          <w:szCs w:val="22"/>
          <w:spacing w:val="-8"/>
        </w:rPr>
        <w:t>首先，治理对象的结构不一样，虽然云端数据本质上仍然属于数据</w:t>
      </w:r>
      <w:r>
        <w:rPr>
          <w:rFonts w:ascii="SimSun" w:hAnsi="SimSun" w:eastAsia="SimSun" w:cs="SimSun"/>
          <w:sz w:val="22"/>
          <w:szCs w:val="22"/>
          <w:spacing w:val="-9"/>
        </w:rPr>
        <w:t>，但正是由</w:t>
      </w:r>
      <w:r>
        <w:rPr>
          <w:rFonts w:ascii="SimSun" w:hAnsi="SimSun" w:eastAsia="SimSun" w:cs="SimSun"/>
          <w:sz w:val="22"/>
          <w:szCs w:val="22"/>
        </w:rPr>
        <w:t xml:space="preserve"> </w:t>
      </w:r>
      <w:r>
        <w:rPr>
          <w:rFonts w:ascii="SimSun" w:hAnsi="SimSun" w:eastAsia="SimSun" w:cs="SimSun"/>
          <w:sz w:val="22"/>
          <w:szCs w:val="22"/>
          <w:spacing w:val="-8"/>
        </w:rPr>
        <w:t>于数据内容发生极大的变化，使得传统数据治</w:t>
      </w:r>
      <w:r>
        <w:rPr>
          <w:rFonts w:ascii="SimSun" w:hAnsi="SimSun" w:eastAsia="SimSun" w:cs="SimSun"/>
          <w:sz w:val="22"/>
          <w:szCs w:val="22"/>
          <w:spacing w:val="-9"/>
        </w:rPr>
        <w:t>理难以适应云计算环境下的数据治理</w:t>
      </w:r>
      <w:r>
        <w:rPr>
          <w:rFonts w:ascii="SimSun" w:hAnsi="SimSun" w:eastAsia="SimSun" w:cs="SimSun"/>
          <w:sz w:val="22"/>
          <w:szCs w:val="22"/>
        </w:rPr>
        <w:t xml:space="preserve"> </w:t>
      </w:r>
      <w:r>
        <w:rPr>
          <w:rFonts w:ascii="SimSun" w:hAnsi="SimSun" w:eastAsia="SimSun" w:cs="SimSun"/>
          <w:sz w:val="22"/>
          <w:szCs w:val="22"/>
          <w:spacing w:val="-8"/>
        </w:rPr>
        <w:t>需求。云端数据无处不在，各种数据并存且相互关联，尤其</w:t>
      </w:r>
      <w:r>
        <w:rPr>
          <w:rFonts w:ascii="SimSun" w:hAnsi="SimSun" w:eastAsia="SimSun" w:cs="SimSun"/>
          <w:sz w:val="22"/>
          <w:szCs w:val="22"/>
          <w:spacing w:val="-9"/>
        </w:rPr>
        <w:t>是数据聚合分析给数据 </w:t>
      </w:r>
      <w:r>
        <w:rPr>
          <w:rFonts w:ascii="SimSun" w:hAnsi="SimSun" w:eastAsia="SimSun" w:cs="SimSun"/>
          <w:sz w:val="22"/>
          <w:szCs w:val="22"/>
          <w:spacing w:val="-10"/>
        </w:rPr>
        <w:t>相关者带来了更大的威胁，这些现象超出传统数据治理的范围。</w:t>
      </w:r>
    </w:p>
    <w:p>
      <w:pPr>
        <w:ind w:left="219" w:right="15" w:firstLine="500"/>
        <w:spacing w:before="80" w:line="252" w:lineRule="auto"/>
        <w:rPr>
          <w:rFonts w:ascii="SimSun" w:hAnsi="SimSun" w:eastAsia="SimSun" w:cs="SimSun"/>
          <w:sz w:val="22"/>
          <w:szCs w:val="22"/>
        </w:rPr>
      </w:pPr>
      <w:r>
        <w:rPr>
          <w:rFonts w:ascii="SimSun" w:hAnsi="SimSun" w:eastAsia="SimSun" w:cs="SimSun"/>
          <w:sz w:val="22"/>
          <w:szCs w:val="22"/>
          <w:spacing w:val="-9"/>
        </w:rPr>
        <w:t>其次，面临的环境不一样。传统数据治理所处阶段数据体量小，结构简单，数</w:t>
      </w:r>
      <w:r>
        <w:rPr>
          <w:rFonts w:ascii="SimSun" w:hAnsi="SimSun" w:eastAsia="SimSun" w:cs="SimSun"/>
          <w:sz w:val="22"/>
          <w:szCs w:val="22"/>
          <w:spacing w:val="14"/>
        </w:rPr>
        <w:t xml:space="preserve"> </w:t>
      </w:r>
      <w:r>
        <w:rPr>
          <w:rFonts w:ascii="SimSun" w:hAnsi="SimSun" w:eastAsia="SimSun" w:cs="SimSun"/>
          <w:sz w:val="22"/>
          <w:szCs w:val="22"/>
          <w:spacing w:val="-8"/>
        </w:rPr>
        <w:t>据治理的主要目的是管理好数据。云端数据治理是在云计算</w:t>
      </w:r>
      <w:r>
        <w:rPr>
          <w:rFonts w:ascii="SimSun" w:hAnsi="SimSun" w:eastAsia="SimSun" w:cs="SimSun"/>
          <w:sz w:val="22"/>
          <w:szCs w:val="22"/>
          <w:spacing w:val="-9"/>
        </w:rPr>
        <w:t>和大数据特殊环境下产</w:t>
      </w:r>
      <w:r>
        <w:rPr>
          <w:rFonts w:ascii="SimSun" w:hAnsi="SimSun" w:eastAsia="SimSun" w:cs="SimSun"/>
          <w:sz w:val="22"/>
          <w:szCs w:val="22"/>
        </w:rPr>
        <w:t xml:space="preserve"> </w:t>
      </w:r>
      <w:r>
        <w:rPr>
          <w:rFonts w:ascii="SimSun" w:hAnsi="SimSun" w:eastAsia="SimSun" w:cs="SimSun"/>
          <w:sz w:val="22"/>
          <w:szCs w:val="22"/>
          <w:spacing w:val="-9"/>
        </w:rPr>
        <w:t>生的新理论和新实践，云计算的发展给数据体量和安全等方面造成很大影响，大数 </w:t>
      </w:r>
      <w:r>
        <w:rPr>
          <w:rFonts w:ascii="SimSun" w:hAnsi="SimSun" w:eastAsia="SimSun" w:cs="SimSun"/>
          <w:sz w:val="22"/>
          <w:szCs w:val="22"/>
          <w:spacing w:val="-8"/>
        </w:rPr>
        <w:t>据的到来也使得传统数据治理理论难以完全适用，促使数据治理向大数据治理和云</w:t>
      </w:r>
      <w:r>
        <w:rPr>
          <w:rFonts w:ascii="SimSun" w:hAnsi="SimSun" w:eastAsia="SimSun" w:cs="SimSun"/>
          <w:sz w:val="22"/>
          <w:szCs w:val="22"/>
          <w:spacing w:val="9"/>
        </w:rPr>
        <w:t xml:space="preserve"> </w:t>
      </w:r>
      <w:r>
        <w:rPr>
          <w:rFonts w:ascii="SimSun" w:hAnsi="SimSun" w:eastAsia="SimSun" w:cs="SimSun"/>
          <w:sz w:val="22"/>
          <w:szCs w:val="22"/>
          <w:spacing w:val="-13"/>
        </w:rPr>
        <w:t>端数据治理等发展。</w:t>
      </w:r>
    </w:p>
    <w:p>
      <w:pPr>
        <w:ind w:left="219" w:right="17" w:firstLine="500"/>
        <w:spacing w:before="77" w:line="252" w:lineRule="auto"/>
        <w:rPr>
          <w:rFonts w:ascii="SimSun" w:hAnsi="SimSun" w:eastAsia="SimSun" w:cs="SimSun"/>
          <w:sz w:val="22"/>
          <w:szCs w:val="22"/>
        </w:rPr>
      </w:pPr>
      <w:r>
        <w:rPr>
          <w:rFonts w:ascii="SimSun" w:hAnsi="SimSun" w:eastAsia="SimSun" w:cs="SimSun"/>
          <w:sz w:val="22"/>
          <w:szCs w:val="22"/>
          <w:spacing w:val="-9"/>
        </w:rPr>
        <w:t>再次，治理的内容有很大差别。云端数据面临的环境不同，迫使云端数据治理</w:t>
      </w:r>
      <w:r>
        <w:rPr>
          <w:rFonts w:ascii="SimSun" w:hAnsi="SimSun" w:eastAsia="SimSun" w:cs="SimSun"/>
          <w:sz w:val="22"/>
          <w:szCs w:val="22"/>
          <w:spacing w:val="12"/>
        </w:rPr>
        <w:t xml:space="preserve"> </w:t>
      </w:r>
      <w:r>
        <w:rPr>
          <w:rFonts w:ascii="SimSun" w:hAnsi="SimSun" w:eastAsia="SimSun" w:cs="SimSun"/>
          <w:sz w:val="22"/>
          <w:szCs w:val="22"/>
          <w:spacing w:val="-9"/>
        </w:rPr>
        <w:t>要关注更广泛的内容，需要在传统数据治理的基础上，考虑云计算和大数据环境对 </w:t>
      </w:r>
      <w:r>
        <w:rPr>
          <w:rFonts w:ascii="SimSun" w:hAnsi="SimSun" w:eastAsia="SimSun" w:cs="SimSun"/>
          <w:sz w:val="22"/>
          <w:szCs w:val="22"/>
          <w:spacing w:val="-8"/>
        </w:rPr>
        <w:t>数据治理的影响。例如，云端数据的远程分布式存储和远程传输给数据安全带来了</w:t>
      </w:r>
      <w:r>
        <w:rPr>
          <w:rFonts w:ascii="SimSun" w:hAnsi="SimSun" w:eastAsia="SimSun" w:cs="SimSun"/>
          <w:sz w:val="22"/>
          <w:szCs w:val="22"/>
          <w:spacing w:val="5"/>
        </w:rPr>
        <w:t xml:space="preserve"> </w:t>
      </w:r>
      <w:r>
        <w:rPr>
          <w:rFonts w:ascii="SimSun" w:hAnsi="SimSun" w:eastAsia="SimSun" w:cs="SimSun"/>
          <w:sz w:val="22"/>
          <w:szCs w:val="22"/>
          <w:spacing w:val="-5"/>
        </w:rPr>
        <w:t>更多的挑战，传统数据治理可能还无法完全适应当前新环境下的治理需求。表</w:t>
      </w:r>
      <w:r>
        <w:rPr>
          <w:rFonts w:ascii="SimSun" w:hAnsi="SimSun" w:eastAsia="SimSun" w:cs="SimSun"/>
          <w:sz w:val="22"/>
          <w:szCs w:val="22"/>
          <w:spacing w:val="-6"/>
        </w:rPr>
        <w:t>2-2</w:t>
      </w:r>
      <w:r>
        <w:rPr>
          <w:rFonts w:ascii="SimSun" w:hAnsi="SimSun" w:eastAsia="SimSun" w:cs="SimSun"/>
          <w:sz w:val="22"/>
          <w:szCs w:val="22"/>
        </w:rPr>
        <w:t xml:space="preserve"> </w:t>
      </w:r>
      <w:r>
        <w:rPr>
          <w:rFonts w:ascii="SimSun" w:hAnsi="SimSun" w:eastAsia="SimSun" w:cs="SimSun"/>
          <w:sz w:val="22"/>
          <w:szCs w:val="22"/>
          <w:spacing w:val="-8"/>
        </w:rPr>
        <w:t>简要描述了云端数据与传统数据治理部分内容的对比。</w:t>
      </w:r>
    </w:p>
    <w:p>
      <w:pPr>
        <w:spacing w:line="252" w:lineRule="auto"/>
        <w:sectPr>
          <w:footerReference w:type="default" r:id="rId111"/>
          <w:pgSz w:w="8870" w:h="13400"/>
          <w:pgMar w:top="400" w:right="515" w:bottom="524" w:left="430" w:header="0" w:footer="306" w:gutter="0"/>
        </w:sectPr>
        <w:rPr>
          <w:rFonts w:ascii="SimSun" w:hAnsi="SimSun" w:eastAsia="SimSun" w:cs="SimSun"/>
          <w:sz w:val="22"/>
          <w:szCs w:val="22"/>
        </w:rPr>
      </w:pPr>
    </w:p>
    <w:p>
      <w:pPr>
        <w:ind w:left="4682"/>
        <w:spacing w:before="214" w:line="619" w:lineRule="exact"/>
        <w:rPr>
          <w:rFonts w:ascii="SimSun" w:hAnsi="SimSun" w:eastAsia="SimSun" w:cs="SimSun"/>
          <w:sz w:val="21"/>
          <w:szCs w:val="21"/>
        </w:rPr>
      </w:pPr>
      <w:r>
        <w:rPr>
          <w:rFonts w:ascii="SimSun" w:hAnsi="SimSun" w:eastAsia="SimSun" w:cs="SimSun"/>
          <w:sz w:val="21"/>
          <w:szCs w:val="21"/>
          <w:b/>
          <w:bCs/>
          <w:spacing w:val="6"/>
          <w:position w:val="32"/>
        </w:rPr>
        <w:t>第2章■大数据与云端数据治理</w:t>
      </w:r>
    </w:p>
    <w:p>
      <w:pPr>
        <w:ind w:left="1942"/>
        <w:spacing w:line="220" w:lineRule="auto"/>
        <w:rPr>
          <w:rFonts w:ascii="SimHei" w:hAnsi="SimHei" w:eastAsia="SimHei" w:cs="SimHei"/>
          <w:sz w:val="21"/>
          <w:szCs w:val="21"/>
        </w:rPr>
      </w:pPr>
      <w:r>
        <w:rPr>
          <w:rFonts w:ascii="SimHei" w:hAnsi="SimHei" w:eastAsia="SimHei" w:cs="SimHei"/>
          <w:sz w:val="21"/>
          <w:szCs w:val="21"/>
          <w:b/>
          <w:bCs/>
          <w:spacing w:val="-17"/>
          <w:w w:val="95"/>
        </w:rPr>
        <w:t>表2-2</w:t>
      </w:r>
      <w:r>
        <w:rPr>
          <w:rFonts w:ascii="SimHei" w:hAnsi="SimHei" w:eastAsia="SimHei" w:cs="SimHei"/>
          <w:sz w:val="21"/>
          <w:szCs w:val="21"/>
          <w:spacing w:val="74"/>
        </w:rPr>
        <w:t xml:space="preserve"> </w:t>
      </w:r>
      <w:r>
        <w:rPr>
          <w:rFonts w:ascii="SimHei" w:hAnsi="SimHei" w:eastAsia="SimHei" w:cs="SimHei"/>
          <w:sz w:val="21"/>
          <w:szCs w:val="21"/>
          <w:b/>
          <w:bCs/>
          <w:spacing w:val="-17"/>
          <w:w w:val="95"/>
        </w:rPr>
        <w:t>云端数据与传统数据治理内容的对比表</w:t>
      </w:r>
    </w:p>
    <w:p>
      <w:pPr>
        <w:spacing w:line="89" w:lineRule="exact"/>
        <w:rPr/>
      </w:pPr>
      <w:r/>
    </w:p>
    <w:tbl>
      <w:tblPr>
        <w:tblStyle w:val="TableNormal"/>
        <w:tblW w:w="758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3046"/>
        <w:gridCol w:w="3220"/>
      </w:tblGrid>
      <w:tr>
        <w:trPr>
          <w:trHeight w:val="324" w:hRule="atLeast"/>
        </w:trPr>
        <w:tc>
          <w:tcPr>
            <w:tcW w:w="1323" w:type="dxa"/>
            <w:vAlign w:val="top"/>
          </w:tcPr>
          <w:p>
            <w:pPr>
              <w:pStyle w:val="TableText"/>
              <w:ind w:left="205"/>
              <w:spacing w:before="91" w:line="219" w:lineRule="auto"/>
              <w:rPr/>
            </w:pPr>
            <w:r>
              <w:rPr>
                <w:spacing w:val="-1"/>
              </w:rPr>
              <w:t>数据治理内容</w:t>
            </w:r>
          </w:p>
        </w:tc>
        <w:tc>
          <w:tcPr>
            <w:tcW w:w="3046" w:type="dxa"/>
            <w:vAlign w:val="top"/>
          </w:tcPr>
          <w:p>
            <w:pPr>
              <w:pStyle w:val="TableText"/>
              <w:ind w:left="931"/>
              <w:spacing w:before="90" w:line="219" w:lineRule="auto"/>
              <w:rPr/>
            </w:pPr>
            <w:r>
              <w:rPr>
                <w:spacing w:val="-1"/>
              </w:rPr>
              <w:t>传统数据治理理解</w:t>
            </w:r>
          </w:p>
        </w:tc>
        <w:tc>
          <w:tcPr>
            <w:tcW w:w="3220" w:type="dxa"/>
            <w:vAlign w:val="top"/>
          </w:tcPr>
          <w:p>
            <w:pPr>
              <w:pStyle w:val="TableText"/>
              <w:ind w:left="945"/>
              <w:spacing w:before="91" w:line="219" w:lineRule="auto"/>
              <w:rPr/>
            </w:pPr>
            <w:r>
              <w:rPr>
                <w:spacing w:val="1"/>
              </w:rPr>
              <w:t>云端数据治理区别点</w:t>
            </w:r>
          </w:p>
        </w:tc>
      </w:tr>
      <w:tr>
        <w:trPr>
          <w:trHeight w:val="569" w:hRule="atLeast"/>
        </w:trPr>
        <w:tc>
          <w:tcPr>
            <w:tcW w:w="1323" w:type="dxa"/>
            <w:vAlign w:val="top"/>
          </w:tcPr>
          <w:p>
            <w:pPr>
              <w:pStyle w:val="TableText"/>
              <w:ind w:left="205"/>
              <w:spacing w:before="207" w:line="219" w:lineRule="auto"/>
              <w:rPr/>
            </w:pPr>
            <w:r>
              <w:rPr>
                <w:spacing w:val="-1"/>
              </w:rPr>
              <w:t>数据管理目标</w:t>
            </w:r>
          </w:p>
        </w:tc>
        <w:tc>
          <w:tcPr>
            <w:tcW w:w="3046" w:type="dxa"/>
            <w:vAlign w:val="top"/>
          </w:tcPr>
          <w:p>
            <w:pPr>
              <w:pStyle w:val="TableText"/>
              <w:ind w:left="271"/>
              <w:spacing w:before="207" w:line="219" w:lineRule="auto"/>
              <w:rPr/>
            </w:pPr>
            <w:r>
              <w:rPr>
                <w:spacing w:val="-1"/>
              </w:rPr>
              <w:t>主要目标是管理好数据，避免出现问题</w:t>
            </w:r>
          </w:p>
        </w:tc>
        <w:tc>
          <w:tcPr>
            <w:tcW w:w="3220" w:type="dxa"/>
            <w:vAlign w:val="top"/>
          </w:tcPr>
          <w:p>
            <w:pPr>
              <w:pStyle w:val="TableText"/>
              <w:ind w:left="115" w:right="227" w:firstLine="160"/>
              <w:spacing w:before="76" w:line="281" w:lineRule="auto"/>
              <w:rPr/>
            </w:pPr>
            <w:r>
              <w:rPr/>
              <w:t>既要管理好云端数据，也要利用好云端数</w:t>
            </w:r>
            <w:r>
              <w:rPr>
                <w:spacing w:val="5"/>
              </w:rPr>
              <w:t xml:space="preserve"> </w:t>
            </w:r>
            <w:r>
              <w:rPr>
                <w:spacing w:val="-1"/>
              </w:rPr>
              <w:t>据，发挥数据价值</w:t>
            </w:r>
          </w:p>
        </w:tc>
      </w:tr>
      <w:tr>
        <w:trPr>
          <w:trHeight w:val="300" w:hRule="atLeast"/>
        </w:trPr>
        <w:tc>
          <w:tcPr>
            <w:tcW w:w="1323" w:type="dxa"/>
            <w:vAlign w:val="top"/>
          </w:tcPr>
          <w:p>
            <w:pPr>
              <w:pStyle w:val="TableText"/>
              <w:ind w:left="205"/>
              <w:spacing w:before="78" w:line="219" w:lineRule="auto"/>
              <w:rPr/>
            </w:pPr>
            <w:r>
              <w:rPr>
                <w:spacing w:val="-1"/>
              </w:rPr>
              <w:t>数据管理策略</w:t>
            </w:r>
          </w:p>
        </w:tc>
        <w:tc>
          <w:tcPr>
            <w:tcW w:w="3046" w:type="dxa"/>
            <w:vAlign w:val="top"/>
          </w:tcPr>
          <w:p>
            <w:pPr>
              <w:pStyle w:val="TableText"/>
              <w:ind w:left="262"/>
              <w:spacing w:before="78" w:line="219" w:lineRule="auto"/>
              <w:rPr/>
            </w:pPr>
            <w:r>
              <w:rPr/>
              <w:t>定义数据管理方案的愿景、目标和目的</w:t>
            </w:r>
          </w:p>
        </w:tc>
        <w:tc>
          <w:tcPr>
            <w:tcW w:w="3220" w:type="dxa"/>
            <w:vAlign w:val="top"/>
          </w:tcPr>
          <w:p>
            <w:pPr>
              <w:pStyle w:val="TableText"/>
              <w:ind w:left="286"/>
              <w:spacing w:before="78" w:line="219" w:lineRule="auto"/>
              <w:rPr/>
            </w:pPr>
            <w:r>
              <w:rPr>
                <w:spacing w:val="-1"/>
              </w:rPr>
              <w:t>云端数据治理需求和范围发生很多变化</w:t>
            </w:r>
          </w:p>
        </w:tc>
      </w:tr>
      <w:tr>
        <w:trPr>
          <w:trHeight w:val="559" w:hRule="atLeast"/>
        </w:trPr>
        <w:tc>
          <w:tcPr>
            <w:tcW w:w="1323" w:type="dxa"/>
            <w:vAlign w:val="top"/>
          </w:tcPr>
          <w:p>
            <w:pPr>
              <w:pStyle w:val="TableText"/>
              <w:ind w:left="505"/>
              <w:spacing w:before="208" w:line="220" w:lineRule="auto"/>
              <w:rPr/>
            </w:pPr>
            <w:r>
              <w:rPr>
                <w:spacing w:val="-2"/>
              </w:rPr>
              <w:t>沟通</w:t>
            </w:r>
          </w:p>
        </w:tc>
        <w:tc>
          <w:tcPr>
            <w:tcW w:w="3046" w:type="dxa"/>
            <w:vAlign w:val="top"/>
          </w:tcPr>
          <w:p>
            <w:pPr>
              <w:pStyle w:val="TableText"/>
              <w:ind w:left="262"/>
              <w:spacing w:before="208" w:line="219" w:lineRule="auto"/>
              <w:rPr/>
            </w:pPr>
            <w:r>
              <w:rPr>
                <w:spacing w:val="-1"/>
              </w:rPr>
              <w:t>更多是关注组织范围内的沟通</w:t>
            </w:r>
          </w:p>
        </w:tc>
        <w:tc>
          <w:tcPr>
            <w:tcW w:w="3220" w:type="dxa"/>
            <w:vAlign w:val="top"/>
          </w:tcPr>
          <w:p>
            <w:pPr>
              <w:pStyle w:val="TableText"/>
              <w:ind w:left="105" w:right="71" w:firstLine="189"/>
              <w:spacing w:before="66" w:line="278" w:lineRule="auto"/>
              <w:rPr/>
            </w:pPr>
            <w:r>
              <w:rPr>
                <w:spacing w:val="-1"/>
              </w:rPr>
              <w:t>数据供应链的扩展，沟通范围扩大，内容更</w:t>
            </w:r>
            <w:r>
              <w:rPr>
                <w:spacing w:val="10"/>
              </w:rPr>
              <w:t xml:space="preserve"> </w:t>
            </w:r>
            <w:r>
              <w:rPr/>
              <w:t>广</w:t>
            </w:r>
          </w:p>
        </w:tc>
      </w:tr>
      <w:tr>
        <w:trPr>
          <w:trHeight w:val="559" w:hRule="atLeast"/>
        </w:trPr>
        <w:tc>
          <w:tcPr>
            <w:tcW w:w="1323" w:type="dxa"/>
            <w:vAlign w:val="top"/>
          </w:tcPr>
          <w:p>
            <w:pPr>
              <w:pStyle w:val="TableText"/>
              <w:ind w:left="355"/>
              <w:spacing w:before="209" w:line="220" w:lineRule="auto"/>
              <w:rPr/>
            </w:pPr>
            <w:r>
              <w:rPr>
                <w:spacing w:val="-2"/>
              </w:rPr>
              <w:t>方案资金</w:t>
            </w:r>
          </w:p>
        </w:tc>
        <w:tc>
          <w:tcPr>
            <w:tcW w:w="3046" w:type="dxa"/>
            <w:vAlign w:val="top"/>
          </w:tcPr>
          <w:p>
            <w:pPr>
              <w:pStyle w:val="TableText"/>
              <w:ind w:left="262"/>
              <w:spacing w:before="209" w:line="219" w:lineRule="auto"/>
              <w:rPr/>
            </w:pPr>
            <w:r>
              <w:rPr>
                <w:spacing w:val="-1"/>
              </w:rPr>
              <w:t>主要关注资金保障</w:t>
            </w:r>
          </w:p>
        </w:tc>
        <w:tc>
          <w:tcPr>
            <w:tcW w:w="3220" w:type="dxa"/>
            <w:vAlign w:val="top"/>
          </w:tcPr>
          <w:p>
            <w:pPr>
              <w:pStyle w:val="TableText"/>
              <w:ind w:left="265"/>
              <w:spacing w:before="69" w:line="219" w:lineRule="auto"/>
              <w:rPr/>
            </w:pPr>
            <w:r>
              <w:rPr/>
              <w:t>组织面临的环境更复杂，除了保障资金以</w:t>
            </w:r>
          </w:p>
          <w:p>
            <w:pPr>
              <w:pStyle w:val="TableText"/>
              <w:ind w:left="126"/>
              <w:spacing w:before="102" w:line="219" w:lineRule="auto"/>
              <w:rPr/>
            </w:pPr>
            <w:r>
              <w:rPr>
                <w:spacing w:val="-1"/>
              </w:rPr>
              <w:t>外，还要保障人员、技术、设施、场地等资源</w:t>
            </w:r>
          </w:p>
        </w:tc>
      </w:tr>
      <w:tr>
        <w:trPr>
          <w:trHeight w:val="309" w:hRule="atLeast"/>
        </w:trPr>
        <w:tc>
          <w:tcPr>
            <w:tcW w:w="1323" w:type="dxa"/>
            <w:vAlign w:val="top"/>
          </w:tcPr>
          <w:p>
            <w:pPr>
              <w:pStyle w:val="TableText"/>
              <w:ind w:left="355"/>
              <w:spacing w:before="80" w:line="219" w:lineRule="auto"/>
              <w:rPr/>
            </w:pPr>
            <w:r>
              <w:rPr>
                <w:spacing w:val="-2"/>
              </w:rPr>
              <w:t>数据存储</w:t>
            </w:r>
          </w:p>
        </w:tc>
        <w:tc>
          <w:tcPr>
            <w:tcW w:w="3046" w:type="dxa"/>
            <w:vAlign w:val="top"/>
          </w:tcPr>
          <w:p>
            <w:pPr>
              <w:pStyle w:val="TableText"/>
              <w:ind w:left="262"/>
              <w:spacing w:before="79" w:line="219" w:lineRule="auto"/>
              <w:rPr/>
            </w:pPr>
            <w:r>
              <w:rPr>
                <w:spacing w:val="-1"/>
              </w:rPr>
              <w:t>本地化储存为主</w:t>
            </w:r>
          </w:p>
        </w:tc>
        <w:tc>
          <w:tcPr>
            <w:tcW w:w="3220" w:type="dxa"/>
            <w:vAlign w:val="top"/>
          </w:tcPr>
          <w:p>
            <w:pPr>
              <w:pStyle w:val="TableText"/>
              <w:ind w:left="286"/>
              <w:spacing w:before="79" w:line="219" w:lineRule="auto"/>
              <w:rPr/>
            </w:pPr>
            <w:r>
              <w:rPr>
                <w:spacing w:val="-1"/>
              </w:rPr>
              <w:t>云端远程分布式存储为主</w:t>
            </w:r>
          </w:p>
        </w:tc>
      </w:tr>
      <w:tr>
        <w:trPr>
          <w:trHeight w:val="868" w:hRule="atLeast"/>
        </w:trPr>
        <w:tc>
          <w:tcPr>
            <w:tcW w:w="1323" w:type="dxa"/>
            <w:vAlign w:val="top"/>
          </w:tcPr>
          <w:p>
            <w:pPr>
              <w:spacing w:line="310" w:lineRule="auto"/>
              <w:rPr>
                <w:rFonts w:ascii="Arial"/>
                <w:sz w:val="21"/>
              </w:rPr>
            </w:pPr>
            <w:r/>
          </w:p>
          <w:p>
            <w:pPr>
              <w:pStyle w:val="TableText"/>
              <w:ind w:left="355"/>
              <w:spacing w:before="49" w:line="219" w:lineRule="auto"/>
              <w:rPr/>
            </w:pPr>
            <w:r>
              <w:rPr>
                <w:spacing w:val="-2"/>
              </w:rPr>
              <w:t>数据治理</w:t>
            </w:r>
          </w:p>
        </w:tc>
        <w:tc>
          <w:tcPr>
            <w:tcW w:w="3046" w:type="dxa"/>
            <w:vAlign w:val="top"/>
          </w:tcPr>
          <w:p>
            <w:pPr>
              <w:pStyle w:val="TableText"/>
              <w:ind w:left="121" w:right="71" w:firstLine="149"/>
              <w:spacing w:before="91" w:line="311" w:lineRule="auto"/>
              <w:jc w:val="both"/>
              <w:rPr/>
            </w:pPr>
            <w:r>
              <w:rPr>
                <w:spacing w:val="-1"/>
              </w:rPr>
              <w:t>原始数据是基础，将数据抽取过来，清洗</w:t>
            </w:r>
            <w:r>
              <w:rPr>
                <w:spacing w:val="7"/>
              </w:rPr>
              <w:t xml:space="preserve"> </w:t>
            </w:r>
            <w:r>
              <w:rPr>
                <w:spacing w:val="-1"/>
              </w:rPr>
              <w:t>完，整合到主题域和多维模型里，然后商业</w:t>
            </w:r>
            <w:r>
              <w:rPr>
                <w:spacing w:val="10"/>
              </w:rPr>
              <w:t xml:space="preserve"> </w:t>
            </w:r>
            <w:r>
              <w:rPr>
                <w:spacing w:val="-1"/>
              </w:rPr>
              <w:t>智能基于主题域和多维模型做各种分析</w:t>
            </w:r>
          </w:p>
        </w:tc>
        <w:tc>
          <w:tcPr>
            <w:tcW w:w="3220" w:type="dxa"/>
            <w:vAlign w:val="top"/>
          </w:tcPr>
          <w:p>
            <w:pPr>
              <w:pStyle w:val="TableText"/>
              <w:ind w:left="136" w:right="159" w:firstLine="139"/>
              <w:spacing w:before="230" w:line="294" w:lineRule="auto"/>
              <w:rPr/>
            </w:pPr>
            <w:r>
              <w:rPr>
                <w:spacing w:val="-1"/>
              </w:rPr>
              <w:t>数据控制权限的丧失(特别是在公有云环境</w:t>
            </w:r>
            <w:r>
              <w:rPr>
                <w:spacing w:val="10"/>
              </w:rPr>
              <w:t xml:space="preserve"> </w:t>
            </w:r>
            <w:r>
              <w:rPr>
                <w:spacing w:val="-1"/>
              </w:rPr>
              <w:t>下)导致数据的采集、清洗、删除等变得困难</w:t>
            </w:r>
          </w:p>
        </w:tc>
      </w:tr>
      <w:tr>
        <w:trPr>
          <w:trHeight w:val="539" w:hRule="atLeast"/>
        </w:trPr>
        <w:tc>
          <w:tcPr>
            <w:tcW w:w="1323" w:type="dxa"/>
            <w:vAlign w:val="top"/>
          </w:tcPr>
          <w:p>
            <w:pPr>
              <w:pStyle w:val="TableText"/>
              <w:ind w:left="275"/>
              <w:spacing w:before="203" w:line="220" w:lineRule="auto"/>
              <w:rPr/>
            </w:pPr>
            <w:r>
              <w:rPr>
                <w:spacing w:val="-1"/>
              </w:rPr>
              <w:t>平台和架构</w:t>
            </w:r>
          </w:p>
        </w:tc>
        <w:tc>
          <w:tcPr>
            <w:tcW w:w="3046" w:type="dxa"/>
            <w:vAlign w:val="top"/>
          </w:tcPr>
          <w:p>
            <w:pPr>
              <w:pStyle w:val="TableText"/>
              <w:ind w:left="112" w:right="231" w:firstLine="149"/>
              <w:spacing w:before="83" w:line="274" w:lineRule="auto"/>
              <w:rPr/>
            </w:pPr>
            <w:r>
              <w:rPr>
                <w:spacing w:val="-1"/>
              </w:rPr>
              <w:t>数据操作和管理的相关文档要求和形成</w:t>
            </w:r>
            <w:r>
              <w:rPr>
                <w:spacing w:val="8"/>
              </w:rPr>
              <w:t xml:space="preserve"> </w:t>
            </w:r>
            <w:r>
              <w:rPr>
                <w:spacing w:val="2"/>
              </w:rPr>
              <w:t>的记录</w:t>
            </w:r>
          </w:p>
        </w:tc>
        <w:tc>
          <w:tcPr>
            <w:tcW w:w="3220" w:type="dxa"/>
            <w:vAlign w:val="top"/>
          </w:tcPr>
          <w:p>
            <w:pPr>
              <w:pStyle w:val="TableText"/>
              <w:ind w:left="115" w:right="93" w:firstLine="160"/>
              <w:spacing w:before="83" w:line="274" w:lineRule="auto"/>
              <w:rPr/>
            </w:pPr>
            <w:r>
              <w:rPr>
                <w:spacing w:val="-1"/>
              </w:rPr>
              <w:t>云平台的管理权限受限，影响了记录的获取</w:t>
            </w:r>
            <w:r>
              <w:rPr>
                <w:spacing w:val="8"/>
              </w:rPr>
              <w:t xml:space="preserve"> </w:t>
            </w:r>
            <w:r>
              <w:rPr>
                <w:spacing w:val="-2"/>
              </w:rPr>
              <w:t>和分析</w:t>
            </w:r>
          </w:p>
        </w:tc>
      </w:tr>
      <w:tr>
        <w:trPr>
          <w:trHeight w:val="1408" w:hRule="atLeast"/>
        </w:trPr>
        <w:tc>
          <w:tcPr>
            <w:tcW w:w="1323" w:type="dxa"/>
            <w:vAlign w:val="top"/>
          </w:tcPr>
          <w:p>
            <w:pPr>
              <w:spacing w:line="290" w:lineRule="auto"/>
              <w:rPr>
                <w:rFonts w:ascii="Arial"/>
                <w:sz w:val="21"/>
              </w:rPr>
            </w:pPr>
            <w:r/>
          </w:p>
          <w:p>
            <w:pPr>
              <w:spacing w:line="291" w:lineRule="auto"/>
              <w:rPr>
                <w:rFonts w:ascii="Arial"/>
                <w:sz w:val="21"/>
              </w:rPr>
            </w:pPr>
            <w:r/>
          </w:p>
          <w:p>
            <w:pPr>
              <w:pStyle w:val="TableText"/>
              <w:ind w:left="355"/>
              <w:spacing w:before="49" w:line="219" w:lineRule="auto"/>
              <w:rPr/>
            </w:pPr>
            <w:r>
              <w:rPr>
                <w:spacing w:val="-2"/>
              </w:rPr>
              <w:t>数据质量</w:t>
            </w:r>
          </w:p>
        </w:tc>
        <w:tc>
          <w:tcPr>
            <w:tcW w:w="3046" w:type="dxa"/>
            <w:vAlign w:val="top"/>
          </w:tcPr>
          <w:p>
            <w:pPr>
              <w:pStyle w:val="TableText"/>
              <w:ind w:left="262"/>
              <w:spacing w:before="84" w:line="219" w:lineRule="auto"/>
              <w:rPr/>
            </w:pPr>
            <w:r>
              <w:rPr>
                <w:spacing w:val="-1"/>
              </w:rPr>
              <w:t>对支持业务需求的数据进行全面质量管</w:t>
            </w:r>
          </w:p>
          <w:p>
            <w:pPr>
              <w:pStyle w:val="TableText"/>
              <w:ind w:left="112" w:firstLine="9"/>
              <w:spacing w:before="100" w:line="316" w:lineRule="auto"/>
              <w:rPr/>
            </w:pPr>
            <w:r>
              <w:rPr>
                <w:spacing w:val="-4"/>
              </w:rPr>
              <w:t>理，通过数据质量相关管理办法、组织、流  </w:t>
            </w:r>
            <w:r>
              <w:rPr>
                <w:spacing w:val="-3"/>
              </w:rPr>
              <w:t>程、评价考核规则的制订，及时发现并解决  </w:t>
            </w:r>
            <w:r>
              <w:rPr>
                <w:spacing w:val="-4"/>
              </w:rPr>
              <w:t>数据质量问题，提升数据的完整性、及时性、</w:t>
            </w:r>
            <w:r>
              <w:rPr>
                <w:spacing w:val="2"/>
              </w:rPr>
              <w:t xml:space="preserve"> </w:t>
            </w:r>
            <w:r>
              <w:rPr>
                <w:spacing w:val="-4"/>
              </w:rPr>
              <w:t>准确性及一致性，提升数据价值</w:t>
            </w:r>
          </w:p>
        </w:tc>
        <w:tc>
          <w:tcPr>
            <w:tcW w:w="3220" w:type="dxa"/>
            <w:vAlign w:val="top"/>
          </w:tcPr>
          <w:p>
            <w:pPr>
              <w:spacing w:line="452" w:lineRule="auto"/>
              <w:rPr>
                <w:rFonts w:ascii="Arial"/>
                <w:sz w:val="21"/>
              </w:rPr>
            </w:pPr>
            <w:r/>
          </w:p>
          <w:p>
            <w:pPr>
              <w:pStyle w:val="TableText"/>
              <w:ind w:left="126" w:right="239" w:firstLine="149"/>
              <w:spacing w:before="49" w:line="288" w:lineRule="auto"/>
              <w:rPr/>
            </w:pPr>
            <w:r>
              <w:rPr>
                <w:spacing w:val="-1"/>
              </w:rPr>
              <w:t>海量、异构、不确定(随时变化)的数据带</w:t>
            </w:r>
            <w:r>
              <w:rPr>
                <w:spacing w:val="12"/>
              </w:rPr>
              <w:t xml:space="preserve"> </w:t>
            </w:r>
            <w:r>
              <w:rPr>
                <w:spacing w:val="-1"/>
              </w:rPr>
              <w:t>来的数据清洗困难</w:t>
            </w:r>
          </w:p>
        </w:tc>
      </w:tr>
      <w:tr>
        <w:trPr>
          <w:trHeight w:val="574" w:hRule="atLeast"/>
        </w:trPr>
        <w:tc>
          <w:tcPr>
            <w:tcW w:w="1323" w:type="dxa"/>
            <w:vAlign w:val="top"/>
          </w:tcPr>
          <w:p>
            <w:pPr>
              <w:pStyle w:val="TableText"/>
              <w:ind w:left="355"/>
              <w:spacing w:before="216" w:line="219" w:lineRule="auto"/>
              <w:rPr/>
            </w:pPr>
            <w:r>
              <w:rPr>
                <w:spacing w:val="-2"/>
              </w:rPr>
              <w:t>数据操作</w:t>
            </w:r>
          </w:p>
        </w:tc>
        <w:tc>
          <w:tcPr>
            <w:tcW w:w="3046" w:type="dxa"/>
            <w:vAlign w:val="top"/>
          </w:tcPr>
          <w:p>
            <w:pPr>
              <w:pStyle w:val="TableText"/>
              <w:ind w:left="281"/>
              <w:spacing w:before="215" w:line="219" w:lineRule="auto"/>
              <w:rPr/>
            </w:pPr>
            <w:r>
              <w:rPr>
                <w:spacing w:val="-1"/>
              </w:rPr>
              <w:t>本地化数据的全生命周期管理</w:t>
            </w:r>
          </w:p>
        </w:tc>
        <w:tc>
          <w:tcPr>
            <w:tcW w:w="3220" w:type="dxa"/>
            <w:vAlign w:val="top"/>
          </w:tcPr>
          <w:p>
            <w:pPr>
              <w:pStyle w:val="TableText"/>
              <w:ind w:left="126" w:right="73" w:firstLine="169"/>
              <w:spacing w:before="95" w:line="282" w:lineRule="auto"/>
              <w:rPr/>
            </w:pPr>
            <w:r>
              <w:rPr>
                <w:spacing w:val="-1"/>
              </w:rPr>
              <w:t>云端数据的生命周期管理，数据来源有效复</w:t>
            </w:r>
            <w:r>
              <w:rPr>
                <w:spacing w:val="8"/>
              </w:rPr>
              <w:t xml:space="preserve"> </w:t>
            </w:r>
            <w:r>
              <w:rPr>
                <w:spacing w:val="-1"/>
              </w:rPr>
              <w:t>杂，数据存储更分散，数据彻底删除难以保障</w:t>
            </w:r>
          </w:p>
        </w:tc>
      </w:tr>
    </w:tbl>
    <w:p>
      <w:pPr>
        <w:pStyle w:val="BodyText"/>
        <w:spacing w:line="411" w:lineRule="auto"/>
        <w:rPr/>
      </w:pPr>
      <w:r/>
    </w:p>
    <w:p>
      <w:pPr>
        <w:ind w:left="4"/>
        <w:spacing w:before="108" w:line="221" w:lineRule="auto"/>
        <w:outlineLvl w:val="0"/>
        <w:rPr>
          <w:rFonts w:ascii="SimHei" w:hAnsi="SimHei" w:eastAsia="SimHei" w:cs="SimHei"/>
          <w:sz w:val="33"/>
          <w:szCs w:val="33"/>
        </w:rPr>
      </w:pPr>
      <w:r>
        <w:rPr>
          <w:rFonts w:ascii="SimHei" w:hAnsi="SimHei" w:eastAsia="SimHei" w:cs="SimHei"/>
          <w:sz w:val="33"/>
          <w:szCs w:val="33"/>
          <w:b/>
          <w:bCs/>
          <w:spacing w:val="-9"/>
        </w:rPr>
        <w:t>2.3</w:t>
      </w:r>
      <w:r>
        <w:rPr>
          <w:rFonts w:ascii="SimHei" w:hAnsi="SimHei" w:eastAsia="SimHei" w:cs="SimHei"/>
          <w:sz w:val="33"/>
          <w:szCs w:val="33"/>
          <w:spacing w:val="154"/>
        </w:rPr>
        <w:t xml:space="preserve"> </w:t>
      </w:r>
      <w:r>
        <w:rPr>
          <w:rFonts w:ascii="SimHei" w:hAnsi="SimHei" w:eastAsia="SimHei" w:cs="SimHei"/>
          <w:sz w:val="33"/>
          <w:szCs w:val="33"/>
          <w:b/>
          <w:bCs/>
          <w:spacing w:val="-9"/>
        </w:rPr>
        <w:t>云端数据治理的作用和价值</w:t>
      </w:r>
    </w:p>
    <w:p>
      <w:pPr>
        <w:pStyle w:val="BodyText"/>
        <w:spacing w:line="336" w:lineRule="auto"/>
        <w:rPr/>
      </w:pPr>
      <w:r/>
    </w:p>
    <w:p>
      <w:pPr>
        <w:ind w:right="209" w:firstLine="459"/>
        <w:spacing w:before="68" w:line="266" w:lineRule="auto"/>
        <w:rPr>
          <w:rFonts w:ascii="SimSun" w:hAnsi="SimSun" w:eastAsia="SimSun" w:cs="SimSun"/>
          <w:sz w:val="21"/>
          <w:szCs w:val="21"/>
        </w:rPr>
      </w:pPr>
      <w:r>
        <w:rPr>
          <w:rFonts w:ascii="SimSun" w:hAnsi="SimSun" w:eastAsia="SimSun" w:cs="SimSun"/>
          <w:sz w:val="21"/>
          <w:szCs w:val="21"/>
          <w:spacing w:val="1"/>
        </w:rPr>
        <w:t>数据已成为组织的一项资产，不仅需要管理好，还要利用好，以实现从数据中</w:t>
      </w:r>
      <w:r>
        <w:rPr>
          <w:rFonts w:ascii="SimSun" w:hAnsi="SimSun" w:eastAsia="SimSun" w:cs="SimSun"/>
          <w:sz w:val="21"/>
          <w:szCs w:val="21"/>
          <w:spacing w:val="17"/>
        </w:rPr>
        <w:t xml:space="preserve"> </w:t>
      </w:r>
      <w:r>
        <w:rPr>
          <w:rFonts w:ascii="SimSun" w:hAnsi="SimSun" w:eastAsia="SimSun" w:cs="SimSun"/>
          <w:sz w:val="21"/>
          <w:szCs w:val="21"/>
          <w:spacing w:val="2"/>
        </w:rPr>
        <w:t>挖掘更大的价值。然而，目前大部分组织的数据治</w:t>
      </w:r>
      <w:r>
        <w:rPr>
          <w:rFonts w:ascii="SimSun" w:hAnsi="SimSun" w:eastAsia="SimSun" w:cs="SimSun"/>
          <w:sz w:val="21"/>
          <w:szCs w:val="21"/>
          <w:spacing w:val="1"/>
        </w:rPr>
        <w:t>理水平总体较低，普遍存在“重</w:t>
      </w:r>
      <w:r>
        <w:rPr>
          <w:rFonts w:ascii="SimSun" w:hAnsi="SimSun" w:eastAsia="SimSun" w:cs="SimSun"/>
          <w:sz w:val="21"/>
          <w:szCs w:val="21"/>
        </w:rPr>
        <w:t xml:space="preserve"> </w:t>
      </w:r>
      <w:r>
        <w:rPr>
          <w:rFonts w:ascii="SimSun" w:hAnsi="SimSun" w:eastAsia="SimSun" w:cs="SimSun"/>
          <w:sz w:val="21"/>
          <w:szCs w:val="21"/>
        </w:rPr>
        <w:t>采集轻管理、重利用轻安全”的现象，组织数据管理能力不足，数据质量不够高， </w:t>
      </w:r>
      <w:r>
        <w:rPr>
          <w:rFonts w:ascii="SimSun" w:hAnsi="SimSun" w:eastAsia="SimSun" w:cs="SimSun"/>
          <w:sz w:val="21"/>
          <w:szCs w:val="21"/>
          <w:spacing w:val="-2"/>
        </w:rPr>
        <w:t>难以支撑数据驱动的智能判断，且数据的安全存在诸多隐患。</w:t>
      </w:r>
    </w:p>
    <w:p>
      <w:pPr>
        <w:ind w:right="213" w:firstLine="430"/>
        <w:spacing w:before="58" w:line="264" w:lineRule="auto"/>
        <w:rPr>
          <w:rFonts w:ascii="SimSun" w:hAnsi="SimSun" w:eastAsia="SimSun" w:cs="SimSun"/>
          <w:sz w:val="21"/>
          <w:szCs w:val="21"/>
        </w:rPr>
      </w:pPr>
      <w:r>
        <w:rPr>
          <w:rFonts w:ascii="SimSun" w:hAnsi="SimSun" w:eastAsia="SimSun" w:cs="SimSun"/>
          <w:sz w:val="21"/>
          <w:szCs w:val="21"/>
          <w:spacing w:val="2"/>
        </w:rPr>
        <w:t>随着数据体量的爆发式增长，以及数据格式的复杂化，传统数据治理理论难以</w:t>
      </w:r>
      <w:r>
        <w:rPr>
          <w:rFonts w:ascii="SimSun" w:hAnsi="SimSun" w:eastAsia="SimSun" w:cs="SimSun"/>
          <w:sz w:val="21"/>
          <w:szCs w:val="21"/>
          <w:spacing w:val="9"/>
        </w:rPr>
        <w:t xml:space="preserve"> </w:t>
      </w:r>
      <w:r>
        <w:rPr>
          <w:rFonts w:ascii="SimSun" w:hAnsi="SimSun" w:eastAsia="SimSun" w:cs="SimSun"/>
          <w:sz w:val="21"/>
          <w:szCs w:val="21"/>
          <w:spacing w:val="2"/>
        </w:rPr>
        <w:t>满足大规模数据的治理需求。加上云计算、大数据等新技术的发展，给数据治理带</w:t>
      </w:r>
      <w:r>
        <w:rPr>
          <w:rFonts w:ascii="SimSun" w:hAnsi="SimSun" w:eastAsia="SimSun" w:cs="SimSun"/>
          <w:sz w:val="21"/>
          <w:szCs w:val="21"/>
          <w:spacing w:val="7"/>
        </w:rPr>
        <w:t xml:space="preserve"> </w:t>
      </w:r>
      <w:r>
        <w:rPr>
          <w:rFonts w:ascii="SimSun" w:hAnsi="SimSun" w:eastAsia="SimSun" w:cs="SimSun"/>
          <w:sz w:val="21"/>
          <w:szCs w:val="21"/>
          <w:spacing w:val="1"/>
        </w:rPr>
        <w:t>来了更大的挑战。云端数据治理针对云计算环境下数据治理的需求，通</w:t>
      </w:r>
      <w:r>
        <w:rPr>
          <w:rFonts w:ascii="SimSun" w:hAnsi="SimSun" w:eastAsia="SimSun" w:cs="SimSun"/>
          <w:sz w:val="21"/>
          <w:szCs w:val="21"/>
        </w:rPr>
        <w:t>过优化数据 </w:t>
      </w:r>
      <w:r>
        <w:rPr>
          <w:rFonts w:ascii="SimSun" w:hAnsi="SimSun" w:eastAsia="SimSun" w:cs="SimSun"/>
          <w:sz w:val="21"/>
          <w:szCs w:val="21"/>
          <w:spacing w:val="2"/>
        </w:rPr>
        <w:t>治理战略、建立更加完善的数据治理流程、强化数据治理保障，提升云端数据管理</w:t>
      </w:r>
      <w:r>
        <w:rPr>
          <w:rFonts w:ascii="SimSun" w:hAnsi="SimSun" w:eastAsia="SimSun" w:cs="SimSun"/>
          <w:sz w:val="21"/>
          <w:szCs w:val="21"/>
          <w:spacing w:val="4"/>
        </w:rPr>
        <w:t xml:space="preserve"> </w:t>
      </w:r>
      <w:r>
        <w:rPr>
          <w:rFonts w:ascii="SimSun" w:hAnsi="SimSun" w:eastAsia="SimSun" w:cs="SimSun"/>
          <w:sz w:val="21"/>
          <w:szCs w:val="21"/>
          <w:spacing w:val="2"/>
        </w:rPr>
        <w:t>水平。开展云端数据治理的重要作用和价值除了一</w:t>
      </w:r>
      <w:r>
        <w:rPr>
          <w:rFonts w:ascii="SimSun" w:hAnsi="SimSun" w:eastAsia="SimSun" w:cs="SimSun"/>
          <w:sz w:val="21"/>
          <w:szCs w:val="21"/>
          <w:spacing w:val="1"/>
        </w:rPr>
        <w:t>般数据治理能带来的好处外，还</w:t>
      </w:r>
      <w:r>
        <w:rPr>
          <w:rFonts w:ascii="SimSun" w:hAnsi="SimSun" w:eastAsia="SimSun" w:cs="SimSun"/>
          <w:sz w:val="21"/>
          <w:szCs w:val="21"/>
        </w:rPr>
        <w:t xml:space="preserve"> </w:t>
      </w:r>
      <w:r>
        <w:rPr>
          <w:rFonts w:ascii="SimSun" w:hAnsi="SimSun" w:eastAsia="SimSun" w:cs="SimSun"/>
          <w:sz w:val="21"/>
          <w:szCs w:val="21"/>
          <w:spacing w:val="-8"/>
        </w:rPr>
        <w:t>可以概括为以下三点。</w:t>
      </w:r>
    </w:p>
    <w:p>
      <w:pPr>
        <w:spacing w:line="264" w:lineRule="auto"/>
        <w:sectPr>
          <w:footerReference w:type="default" r:id="rId113"/>
          <w:pgSz w:w="8870" w:h="13400"/>
          <w:pgMar w:top="400" w:right="577" w:bottom="508" w:left="430" w:header="0" w:footer="299" w:gutter="0"/>
        </w:sectPr>
        <w:rPr>
          <w:rFonts w:ascii="SimSun" w:hAnsi="SimSun" w:eastAsia="SimSun" w:cs="SimSun"/>
          <w:sz w:val="21"/>
          <w:szCs w:val="21"/>
        </w:rPr>
      </w:pPr>
    </w:p>
    <w:p>
      <w:pPr>
        <w:ind w:left="209"/>
        <w:spacing w:before="285" w:line="219" w:lineRule="auto"/>
        <w:rPr>
          <w:rFonts w:ascii="SimSun" w:hAnsi="SimSun" w:eastAsia="SimSun" w:cs="SimSun"/>
          <w:sz w:val="22"/>
          <w:szCs w:val="22"/>
        </w:rPr>
      </w:pPr>
      <w:r>
        <w:pict>
          <v:rect id="_x0000_s236" style="position:absolute;margin-left:27.9982pt;margin-top:31.4967pt;mso-position-vertical-relative:page;mso-position-horizontal-relative:page;width:0.55pt;height:18.05pt;z-index:252475392;" o:allowincell="f" fillcolor="#000000" filled="true" stroked="false"/>
        </w:pict>
      </w:r>
      <w:r>
        <w:rPr>
          <w:rFonts w:ascii="SimSun" w:hAnsi="SimSun" w:eastAsia="SimSun" w:cs="SimSun"/>
          <w:sz w:val="22"/>
          <w:szCs w:val="22"/>
          <w:b/>
          <w:bCs/>
          <w:spacing w:val="-28"/>
          <w:w w:val="95"/>
        </w:rPr>
        <w:t>■云端数据治理■</w:t>
      </w:r>
    </w:p>
    <w:p>
      <w:pPr>
        <w:pStyle w:val="BodyText"/>
        <w:spacing w:line="249" w:lineRule="auto"/>
        <w:rPr/>
      </w:pPr>
      <w:r/>
    </w:p>
    <w:p>
      <w:pPr>
        <w:ind w:left="686"/>
        <w:spacing w:before="71" w:line="219" w:lineRule="auto"/>
        <w:rPr>
          <w:rFonts w:ascii="SimSun" w:hAnsi="SimSun" w:eastAsia="SimSun" w:cs="SimSun"/>
          <w:sz w:val="22"/>
          <w:szCs w:val="22"/>
        </w:rPr>
      </w:pPr>
      <w:r>
        <w:rPr>
          <w:rFonts w:ascii="SimSun" w:hAnsi="SimSun" w:eastAsia="SimSun" w:cs="SimSun"/>
          <w:sz w:val="22"/>
          <w:szCs w:val="22"/>
          <w:spacing w:val="-6"/>
        </w:rPr>
        <w:t>(1)治理对象更明确，帮助组织提升云计算环境下数据治理的能力</w:t>
      </w:r>
    </w:p>
    <w:p>
      <w:pPr>
        <w:ind w:left="206" w:right="50" w:firstLine="479"/>
        <w:spacing w:before="58" w:line="255" w:lineRule="auto"/>
        <w:rPr>
          <w:rFonts w:ascii="SimSun" w:hAnsi="SimSun" w:eastAsia="SimSun" w:cs="SimSun"/>
          <w:sz w:val="22"/>
          <w:szCs w:val="22"/>
        </w:rPr>
      </w:pPr>
      <w:r>
        <w:rPr>
          <w:rFonts w:ascii="SimSun" w:hAnsi="SimSun" w:eastAsia="SimSun" w:cs="SimSun"/>
          <w:sz w:val="22"/>
          <w:szCs w:val="22"/>
          <w:spacing w:val="-9"/>
        </w:rPr>
        <w:t>云计算快速发展和应用，促进数据体量的快速增加，无论是现有数据在云端存</w:t>
      </w:r>
      <w:r>
        <w:rPr>
          <w:rFonts w:ascii="SimSun" w:hAnsi="SimSun" w:eastAsia="SimSun" w:cs="SimSun"/>
          <w:sz w:val="22"/>
          <w:szCs w:val="22"/>
          <w:spacing w:val="4"/>
        </w:rPr>
        <w:t xml:space="preserve"> </w:t>
      </w:r>
      <w:r>
        <w:rPr>
          <w:rFonts w:ascii="SimSun" w:hAnsi="SimSun" w:eastAsia="SimSun" w:cs="SimSun"/>
          <w:sz w:val="22"/>
          <w:szCs w:val="22"/>
          <w:spacing w:val="-8"/>
        </w:rPr>
        <w:t>储还是从云端直接获取数据，组织对云端数据的关系正在从接触向依赖过</w:t>
      </w:r>
      <w:r>
        <w:rPr>
          <w:rFonts w:ascii="SimSun" w:hAnsi="SimSun" w:eastAsia="SimSun" w:cs="SimSun"/>
          <w:sz w:val="22"/>
          <w:szCs w:val="22"/>
          <w:spacing w:val="-9"/>
        </w:rPr>
        <w:t>渡，将会</w:t>
      </w:r>
      <w:r>
        <w:rPr>
          <w:rFonts w:ascii="SimSun" w:hAnsi="SimSun" w:eastAsia="SimSun" w:cs="SimSun"/>
          <w:sz w:val="22"/>
          <w:szCs w:val="22"/>
        </w:rPr>
        <w:t xml:space="preserve"> </w:t>
      </w:r>
      <w:r>
        <w:rPr>
          <w:rFonts w:ascii="SimSun" w:hAnsi="SimSun" w:eastAsia="SimSun" w:cs="SimSun"/>
          <w:sz w:val="22"/>
          <w:szCs w:val="22"/>
          <w:spacing w:val="-8"/>
        </w:rPr>
        <w:t>有越来越多的组织要处理云端数据，因此云</w:t>
      </w:r>
      <w:r>
        <w:rPr>
          <w:rFonts w:ascii="SimSun" w:hAnsi="SimSun" w:eastAsia="SimSun" w:cs="SimSun"/>
          <w:sz w:val="22"/>
          <w:szCs w:val="22"/>
          <w:spacing w:val="-9"/>
        </w:rPr>
        <w:t>端数据治理将成为众多组织无法回避的</w:t>
      </w:r>
      <w:r>
        <w:rPr>
          <w:rFonts w:ascii="SimSun" w:hAnsi="SimSun" w:eastAsia="SimSun" w:cs="SimSun"/>
          <w:sz w:val="22"/>
          <w:szCs w:val="22"/>
        </w:rPr>
        <w:t xml:space="preserve"> </w:t>
      </w:r>
      <w:r>
        <w:rPr>
          <w:rFonts w:ascii="SimSun" w:hAnsi="SimSun" w:eastAsia="SimSun" w:cs="SimSun"/>
          <w:sz w:val="22"/>
          <w:szCs w:val="22"/>
          <w:spacing w:val="-9"/>
        </w:rPr>
        <w:t>话题。云计算环境下数据的体量变得更大、种类更复杂，数据远程存储和远程传输</w:t>
      </w:r>
      <w:r>
        <w:rPr>
          <w:rFonts w:ascii="SimSun" w:hAnsi="SimSun" w:eastAsia="SimSun" w:cs="SimSun"/>
          <w:sz w:val="22"/>
          <w:szCs w:val="22"/>
          <w:spacing w:val="11"/>
        </w:rPr>
        <w:t xml:space="preserve"> </w:t>
      </w:r>
      <w:r>
        <w:rPr>
          <w:rFonts w:ascii="SimSun" w:hAnsi="SimSun" w:eastAsia="SimSun" w:cs="SimSun"/>
          <w:sz w:val="22"/>
          <w:szCs w:val="22"/>
          <w:spacing w:val="-9"/>
        </w:rPr>
        <w:t>更常见，数据安全威胁更多、合规要求更复杂，传统数据治理已经无法满足云端数</w:t>
      </w:r>
      <w:r>
        <w:rPr>
          <w:rFonts w:ascii="SimSun" w:hAnsi="SimSun" w:eastAsia="SimSun" w:cs="SimSun"/>
          <w:sz w:val="22"/>
          <w:szCs w:val="22"/>
          <w:spacing w:val="12"/>
        </w:rPr>
        <w:t xml:space="preserve"> </w:t>
      </w:r>
      <w:r>
        <w:rPr>
          <w:rFonts w:ascii="SimSun" w:hAnsi="SimSun" w:eastAsia="SimSun" w:cs="SimSun"/>
          <w:sz w:val="22"/>
          <w:szCs w:val="22"/>
          <w:spacing w:val="-9"/>
        </w:rPr>
        <w:t>据治理的需求。数据云端数据治理是以云端数据为主要治理对象，是在数据治理基</w:t>
      </w:r>
      <w:r>
        <w:rPr>
          <w:rFonts w:ascii="SimSun" w:hAnsi="SimSun" w:eastAsia="SimSun" w:cs="SimSun"/>
          <w:sz w:val="22"/>
          <w:szCs w:val="22"/>
          <w:spacing w:val="12"/>
        </w:rPr>
        <w:t xml:space="preserve"> </w:t>
      </w:r>
      <w:r>
        <w:rPr>
          <w:rFonts w:ascii="SimSun" w:hAnsi="SimSun" w:eastAsia="SimSun" w:cs="SimSun"/>
          <w:sz w:val="22"/>
          <w:szCs w:val="22"/>
          <w:spacing w:val="-9"/>
        </w:rPr>
        <w:t>本理论上建立起的新的数据治理理论，目标更加清晰，更具有针对性，帮助组织提</w:t>
      </w:r>
      <w:r>
        <w:rPr>
          <w:rFonts w:ascii="SimSun" w:hAnsi="SimSun" w:eastAsia="SimSun" w:cs="SimSun"/>
          <w:sz w:val="22"/>
          <w:szCs w:val="22"/>
          <w:spacing w:val="12"/>
        </w:rPr>
        <w:t xml:space="preserve"> </w:t>
      </w:r>
      <w:r>
        <w:rPr>
          <w:rFonts w:ascii="SimSun" w:hAnsi="SimSun" w:eastAsia="SimSun" w:cs="SimSun"/>
          <w:sz w:val="22"/>
          <w:szCs w:val="22"/>
          <w:spacing w:val="-11"/>
        </w:rPr>
        <w:t>升云计算环境下数据治理能力。</w:t>
      </w:r>
    </w:p>
    <w:p>
      <w:pPr>
        <w:ind w:left="686"/>
        <w:spacing w:before="69" w:line="219" w:lineRule="auto"/>
        <w:rPr>
          <w:rFonts w:ascii="SimSun" w:hAnsi="SimSun" w:eastAsia="SimSun" w:cs="SimSun"/>
          <w:sz w:val="22"/>
          <w:szCs w:val="22"/>
        </w:rPr>
      </w:pPr>
      <w:r>
        <w:rPr>
          <w:rFonts w:ascii="SimSun" w:hAnsi="SimSun" w:eastAsia="SimSun" w:cs="SimSun"/>
          <w:sz w:val="22"/>
          <w:szCs w:val="22"/>
          <w:spacing w:val="-5"/>
        </w:rPr>
        <w:t>(2)为组织云端数据治理建立清晰的决策规划和决策流程</w:t>
      </w:r>
    </w:p>
    <w:p>
      <w:pPr>
        <w:ind w:left="206" w:firstLine="479"/>
        <w:spacing w:before="59" w:line="252" w:lineRule="auto"/>
        <w:rPr>
          <w:rFonts w:ascii="SimSun" w:hAnsi="SimSun" w:eastAsia="SimSun" w:cs="SimSun"/>
          <w:sz w:val="22"/>
          <w:szCs w:val="22"/>
        </w:rPr>
      </w:pPr>
      <w:r>
        <w:rPr>
          <w:rFonts w:ascii="SimSun" w:hAnsi="SimSun" w:eastAsia="SimSun" w:cs="SimSun"/>
          <w:sz w:val="22"/>
          <w:szCs w:val="22"/>
          <w:spacing w:val="-8"/>
        </w:rPr>
        <w:t>数据治理是一项复杂的持续改进过程，而不是一个一蹴</w:t>
      </w:r>
      <w:r>
        <w:rPr>
          <w:rFonts w:ascii="SimSun" w:hAnsi="SimSun" w:eastAsia="SimSun" w:cs="SimSun"/>
          <w:sz w:val="22"/>
          <w:szCs w:val="22"/>
          <w:spacing w:val="-9"/>
        </w:rPr>
        <w:t>而就的工程，需要不断</w:t>
      </w:r>
      <w:r>
        <w:rPr>
          <w:rFonts w:ascii="SimSun" w:hAnsi="SimSun" w:eastAsia="SimSun" w:cs="SimSun"/>
          <w:sz w:val="22"/>
          <w:szCs w:val="22"/>
        </w:rPr>
        <w:t xml:space="preserve"> </w:t>
      </w:r>
      <w:r>
        <w:rPr>
          <w:rFonts w:ascii="SimSun" w:hAnsi="SimSun" w:eastAsia="SimSun" w:cs="SimSun"/>
          <w:sz w:val="22"/>
          <w:szCs w:val="22"/>
          <w:spacing w:val="-12"/>
        </w:rPr>
        <w:t>评估现状，不断改进。云端数据治理从治理战略、组织架构、数据质量、数据操作、</w:t>
      </w:r>
      <w:r>
        <w:rPr>
          <w:rFonts w:ascii="SimSun" w:hAnsi="SimSun" w:eastAsia="SimSun" w:cs="SimSun"/>
          <w:sz w:val="22"/>
          <w:szCs w:val="22"/>
          <w:spacing w:val="12"/>
        </w:rPr>
        <w:t xml:space="preserve"> </w:t>
      </w:r>
      <w:r>
        <w:rPr>
          <w:rFonts w:ascii="SimSun" w:hAnsi="SimSun" w:eastAsia="SimSun" w:cs="SimSun"/>
          <w:sz w:val="22"/>
          <w:szCs w:val="22"/>
          <w:spacing w:val="-9"/>
        </w:rPr>
        <w:t>管理平台等多个方面，通过策划、构建、评估和改进，建立一个完善的治理管理体</w:t>
      </w:r>
      <w:r>
        <w:rPr>
          <w:rFonts w:ascii="SimSun" w:hAnsi="SimSun" w:eastAsia="SimSun" w:cs="SimSun"/>
          <w:sz w:val="22"/>
          <w:szCs w:val="22"/>
          <w:spacing w:val="6"/>
        </w:rPr>
        <w:t xml:space="preserve">  </w:t>
      </w:r>
      <w:r>
        <w:rPr>
          <w:rFonts w:ascii="SimSun" w:hAnsi="SimSun" w:eastAsia="SimSun" w:cs="SimSun"/>
          <w:sz w:val="22"/>
          <w:szCs w:val="22"/>
          <w:spacing w:val="-9"/>
        </w:rPr>
        <w:t>系，为组织海量的云端数据治理工作提供清晰的路线规划，促进各部门人员共同参</w:t>
      </w:r>
      <w:r>
        <w:rPr>
          <w:rFonts w:ascii="SimSun" w:hAnsi="SimSun" w:eastAsia="SimSun" w:cs="SimSun"/>
          <w:sz w:val="22"/>
          <w:szCs w:val="22"/>
          <w:spacing w:val="6"/>
        </w:rPr>
        <w:t xml:space="preserve">  </w:t>
      </w:r>
      <w:r>
        <w:rPr>
          <w:rFonts w:ascii="SimSun" w:hAnsi="SimSun" w:eastAsia="SimSun" w:cs="SimSun"/>
          <w:sz w:val="22"/>
          <w:szCs w:val="22"/>
          <w:spacing w:val="-14"/>
        </w:rPr>
        <w:t>与决策。</w:t>
      </w:r>
    </w:p>
    <w:p>
      <w:pPr>
        <w:ind w:left="686"/>
        <w:spacing w:before="67" w:line="218" w:lineRule="auto"/>
        <w:rPr>
          <w:rFonts w:ascii="SimSun" w:hAnsi="SimSun" w:eastAsia="SimSun" w:cs="SimSun"/>
          <w:sz w:val="22"/>
          <w:szCs w:val="22"/>
        </w:rPr>
      </w:pPr>
      <w:r>
        <w:rPr>
          <w:rFonts w:ascii="SimSun" w:hAnsi="SimSun" w:eastAsia="SimSun" w:cs="SimSun"/>
          <w:sz w:val="22"/>
          <w:szCs w:val="22"/>
          <w:spacing w:val="-5"/>
        </w:rPr>
        <w:t>(3)以成熟度等级方式帮助组织准确评估云端数据治理现状</w:t>
      </w:r>
    </w:p>
    <w:p>
      <w:pPr>
        <w:ind w:left="206" w:right="49" w:firstLine="479"/>
        <w:spacing w:before="52" w:line="255" w:lineRule="auto"/>
        <w:rPr>
          <w:rFonts w:ascii="SimSun" w:hAnsi="SimSun" w:eastAsia="SimSun" w:cs="SimSun"/>
          <w:sz w:val="22"/>
          <w:szCs w:val="22"/>
        </w:rPr>
      </w:pPr>
      <w:r>
        <w:rPr>
          <w:rFonts w:ascii="SimSun" w:hAnsi="SimSun" w:eastAsia="SimSun" w:cs="SimSun"/>
          <w:sz w:val="22"/>
          <w:szCs w:val="22"/>
          <w:spacing w:val="-9"/>
        </w:rPr>
        <w:t>数据管理是对数据的规划、控制，发挥数据和信息的价值，数据治理通过制订</w:t>
      </w:r>
      <w:r>
        <w:rPr>
          <w:rFonts w:ascii="SimSun" w:hAnsi="SimSun" w:eastAsia="SimSun" w:cs="SimSun"/>
          <w:sz w:val="22"/>
          <w:szCs w:val="22"/>
          <w:spacing w:val="5"/>
        </w:rPr>
        <w:t xml:space="preserve"> </w:t>
      </w:r>
      <w:r>
        <w:rPr>
          <w:rFonts w:ascii="SimSun" w:hAnsi="SimSun" w:eastAsia="SimSun" w:cs="SimSun"/>
          <w:sz w:val="22"/>
          <w:szCs w:val="22"/>
          <w:spacing w:val="-9"/>
        </w:rPr>
        <w:t>正确的原则、政策、流程、操作规程等，保证数据管理的有效执行，解决企业对数</w:t>
      </w:r>
      <w:r>
        <w:rPr>
          <w:rFonts w:ascii="SimSun" w:hAnsi="SimSun" w:eastAsia="SimSun" w:cs="SimSun"/>
          <w:sz w:val="22"/>
          <w:szCs w:val="22"/>
          <w:spacing w:val="12"/>
        </w:rPr>
        <w:t xml:space="preserve"> </w:t>
      </w:r>
      <w:r>
        <w:rPr>
          <w:rFonts w:ascii="SimSun" w:hAnsi="SimSun" w:eastAsia="SimSun" w:cs="SimSun"/>
          <w:sz w:val="22"/>
          <w:szCs w:val="22"/>
          <w:spacing w:val="-8"/>
        </w:rPr>
        <w:t>据概念理解不一致、统计口径不协调、管理过程不规范等问题。数据治理</w:t>
      </w:r>
      <w:r>
        <w:rPr>
          <w:rFonts w:ascii="SimSun" w:hAnsi="SimSun" w:eastAsia="SimSun" w:cs="SimSun"/>
          <w:sz w:val="22"/>
          <w:szCs w:val="22"/>
          <w:spacing w:val="-9"/>
        </w:rPr>
        <w:t>是一个涉</w:t>
      </w:r>
      <w:r>
        <w:rPr>
          <w:rFonts w:ascii="SimSun" w:hAnsi="SimSun" w:eastAsia="SimSun" w:cs="SimSun"/>
          <w:sz w:val="22"/>
          <w:szCs w:val="22"/>
        </w:rPr>
        <w:t xml:space="preserve"> </w:t>
      </w:r>
      <w:r>
        <w:rPr>
          <w:rFonts w:ascii="SimSun" w:hAnsi="SimSun" w:eastAsia="SimSun" w:cs="SimSun"/>
          <w:sz w:val="22"/>
          <w:szCs w:val="22"/>
          <w:spacing w:val="-9"/>
        </w:rPr>
        <w:t>及管理与技术同步协调进行的活动，治理的组织架构也强调不同领域业务人员的深</w:t>
      </w:r>
      <w:r>
        <w:rPr>
          <w:rFonts w:ascii="SimSun" w:hAnsi="SimSun" w:eastAsia="SimSun" w:cs="SimSun"/>
          <w:sz w:val="22"/>
          <w:szCs w:val="22"/>
          <w:spacing w:val="14"/>
        </w:rPr>
        <w:t xml:space="preserve"> </w:t>
      </w:r>
      <w:r>
        <w:rPr>
          <w:rFonts w:ascii="SimSun" w:hAnsi="SimSun" w:eastAsia="SimSun" w:cs="SimSun"/>
          <w:sz w:val="22"/>
          <w:szCs w:val="22"/>
          <w:spacing w:val="-9"/>
        </w:rPr>
        <w:t>度参与和决策。通过数据治理的开展，帮助组织构建一个自下而上的立体化治理组</w:t>
      </w:r>
      <w:r>
        <w:rPr>
          <w:rFonts w:ascii="SimSun" w:hAnsi="SimSun" w:eastAsia="SimSun" w:cs="SimSun"/>
          <w:sz w:val="22"/>
          <w:szCs w:val="22"/>
          <w:spacing w:val="10"/>
        </w:rPr>
        <w:t xml:space="preserve"> </w:t>
      </w:r>
      <w:r>
        <w:rPr>
          <w:rFonts w:ascii="SimSun" w:hAnsi="SimSun" w:eastAsia="SimSun" w:cs="SimSun"/>
          <w:sz w:val="22"/>
          <w:szCs w:val="22"/>
          <w:spacing w:val="-8"/>
        </w:rPr>
        <w:t>织架构，涵盖部门基层员工到首席数据官，统一分</w:t>
      </w:r>
      <w:r>
        <w:rPr>
          <w:rFonts w:ascii="SimSun" w:hAnsi="SimSun" w:eastAsia="SimSun" w:cs="SimSun"/>
          <w:sz w:val="22"/>
          <w:szCs w:val="22"/>
          <w:spacing w:val="-9"/>
        </w:rPr>
        <w:t>配职责和权限。数据治理模型以</w:t>
      </w:r>
      <w:r>
        <w:rPr>
          <w:rFonts w:ascii="SimSun" w:hAnsi="SimSun" w:eastAsia="SimSun" w:cs="SimSun"/>
          <w:sz w:val="22"/>
          <w:szCs w:val="22"/>
        </w:rPr>
        <w:t xml:space="preserve"> </w:t>
      </w:r>
      <w:r>
        <w:rPr>
          <w:rFonts w:ascii="SimSun" w:hAnsi="SimSun" w:eastAsia="SimSun" w:cs="SimSun"/>
          <w:sz w:val="22"/>
          <w:szCs w:val="22"/>
          <w:spacing w:val="-8"/>
        </w:rPr>
        <w:t>成熟度等级形式展示，通过全面分析组织数据管理现状，进行差距分析</w:t>
      </w:r>
      <w:r>
        <w:rPr>
          <w:rFonts w:ascii="SimSun" w:hAnsi="SimSun" w:eastAsia="SimSun" w:cs="SimSun"/>
          <w:sz w:val="22"/>
          <w:szCs w:val="22"/>
          <w:spacing w:val="-9"/>
        </w:rPr>
        <w:t>，给出改进</w:t>
      </w:r>
      <w:r>
        <w:rPr>
          <w:rFonts w:ascii="SimSun" w:hAnsi="SimSun" w:eastAsia="SimSun" w:cs="SimSun"/>
          <w:sz w:val="22"/>
          <w:szCs w:val="22"/>
        </w:rPr>
        <w:t xml:space="preserve"> </w:t>
      </w:r>
      <w:r>
        <w:rPr>
          <w:rFonts w:ascii="SimSun" w:hAnsi="SimSun" w:eastAsia="SimSun" w:cs="SimSun"/>
          <w:sz w:val="22"/>
          <w:szCs w:val="22"/>
          <w:spacing w:val="-11"/>
        </w:rPr>
        <w:t>建议，解决组织因数据管理不善引起的难题。</w:t>
      </w:r>
    </w:p>
    <w:p>
      <w:pPr>
        <w:spacing w:line="255" w:lineRule="auto"/>
        <w:sectPr>
          <w:footerReference w:type="default" r:id="rId114"/>
          <w:pgSz w:w="8870" w:h="13400"/>
          <w:pgMar w:top="400" w:right="499" w:bottom="434" w:left="453" w:header="0" w:footer="216" w:gutter="0"/>
        </w:sectPr>
        <w:rPr>
          <w:rFonts w:ascii="SimSun" w:hAnsi="SimSun" w:eastAsia="SimSun" w:cs="SimSun"/>
          <w:sz w:val="22"/>
          <w:szCs w:val="22"/>
        </w:rPr>
      </w:pP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170"/>
        <w:spacing w:before="130" w:line="570" w:lineRule="exact"/>
        <w:rPr>
          <w:rFonts w:ascii="SimHei" w:hAnsi="SimHei" w:eastAsia="SimHei" w:cs="SimHei"/>
          <w:sz w:val="40"/>
          <w:szCs w:val="40"/>
        </w:rPr>
      </w:pPr>
      <w:r>
        <w:rPr>
          <w:rFonts w:ascii="SimHei" w:hAnsi="SimHei" w:eastAsia="SimHei" w:cs="SimHei"/>
          <w:sz w:val="40"/>
          <w:szCs w:val="40"/>
          <w:spacing w:val="-1"/>
          <w:position w:val="11"/>
        </w:rPr>
        <w:t>第</w:t>
      </w:r>
      <w:r>
        <w:rPr>
          <w:rFonts w:ascii="SimHei" w:hAnsi="SimHei" w:eastAsia="SimHei" w:cs="SimHei"/>
          <w:sz w:val="40"/>
          <w:szCs w:val="40"/>
          <w:spacing w:val="-49"/>
          <w:position w:val="11"/>
        </w:rPr>
        <w:t xml:space="preserve"> </w:t>
      </w:r>
      <w:r>
        <w:rPr>
          <w:rFonts w:ascii="SimHei" w:hAnsi="SimHei" w:eastAsia="SimHei" w:cs="SimHei"/>
          <w:sz w:val="40"/>
          <w:szCs w:val="40"/>
          <w:spacing w:val="-1"/>
          <w:position w:val="11"/>
        </w:rPr>
        <w:t>3</w:t>
      </w:r>
      <w:r>
        <w:rPr>
          <w:rFonts w:ascii="SimHei" w:hAnsi="SimHei" w:eastAsia="SimHei" w:cs="SimHei"/>
          <w:sz w:val="40"/>
          <w:szCs w:val="40"/>
          <w:spacing w:val="-57"/>
          <w:position w:val="11"/>
        </w:rPr>
        <w:t xml:space="preserve"> </w:t>
      </w:r>
      <w:r>
        <w:rPr>
          <w:rFonts w:ascii="SimHei" w:hAnsi="SimHei" w:eastAsia="SimHei" w:cs="SimHei"/>
          <w:sz w:val="40"/>
          <w:szCs w:val="40"/>
          <w:spacing w:val="-1"/>
          <w:position w:val="11"/>
        </w:rPr>
        <w:t>章</w:t>
      </w:r>
      <w:r>
        <w:rPr>
          <w:rFonts w:ascii="SimHei" w:hAnsi="SimHei" w:eastAsia="SimHei" w:cs="SimHei"/>
          <w:sz w:val="40"/>
          <w:szCs w:val="40"/>
          <w:spacing w:val="174"/>
          <w:position w:val="11"/>
        </w:rPr>
        <w:t xml:space="preserve"> </w:t>
      </w:r>
      <w:r>
        <w:rPr>
          <w:rFonts w:ascii="SimHei" w:hAnsi="SimHei" w:eastAsia="SimHei" w:cs="SimHei"/>
          <w:sz w:val="40"/>
          <w:szCs w:val="40"/>
          <w:spacing w:val="-1"/>
          <w:position w:val="11"/>
        </w:rPr>
        <w:t>云端数据治理模型与</w:t>
      </w:r>
    </w:p>
    <w:p>
      <w:pPr>
        <w:ind w:left="2000"/>
        <w:spacing w:before="1" w:line="220" w:lineRule="auto"/>
        <w:rPr>
          <w:rFonts w:ascii="SimHei" w:hAnsi="SimHei" w:eastAsia="SimHei" w:cs="SimHei"/>
          <w:sz w:val="40"/>
          <w:szCs w:val="40"/>
        </w:rPr>
      </w:pPr>
      <w:r>
        <w:rPr>
          <w:rFonts w:ascii="SimHei" w:hAnsi="SimHei" w:eastAsia="SimHei" w:cs="SimHei"/>
          <w:sz w:val="40"/>
          <w:szCs w:val="40"/>
          <w:spacing w:val="-3"/>
        </w:rPr>
        <w:t>治理成熟度评估模型</w:t>
      </w:r>
    </w:p>
    <w:p>
      <w:pPr>
        <w:pStyle w:val="BodyText"/>
        <w:spacing w:line="271" w:lineRule="auto"/>
        <w:rPr/>
      </w:pPr>
      <w:r/>
    </w:p>
    <w:p>
      <w:pPr>
        <w:pStyle w:val="BodyText"/>
        <w:spacing w:line="272" w:lineRule="auto"/>
        <w:rPr/>
      </w:pPr>
      <w:r/>
    </w:p>
    <w:p>
      <w:pPr>
        <w:ind w:left="4"/>
        <w:spacing w:before="107" w:line="221" w:lineRule="auto"/>
        <w:outlineLvl w:val="0"/>
        <w:rPr>
          <w:rFonts w:ascii="SimHei" w:hAnsi="SimHei" w:eastAsia="SimHei" w:cs="SimHei"/>
          <w:sz w:val="33"/>
          <w:szCs w:val="33"/>
        </w:rPr>
      </w:pPr>
      <w:r>
        <w:rPr>
          <w:rFonts w:ascii="SimHei" w:hAnsi="SimHei" w:eastAsia="SimHei" w:cs="SimHei"/>
          <w:sz w:val="33"/>
          <w:szCs w:val="33"/>
          <w:b/>
          <w:bCs/>
          <w:spacing w:val="-10"/>
        </w:rPr>
        <w:t>3.1</w:t>
      </w:r>
      <w:r>
        <w:rPr>
          <w:rFonts w:ascii="SimHei" w:hAnsi="SimHei" w:eastAsia="SimHei" w:cs="SimHei"/>
          <w:sz w:val="33"/>
          <w:szCs w:val="33"/>
          <w:spacing w:val="162"/>
        </w:rPr>
        <w:t xml:space="preserve"> </w:t>
      </w:r>
      <w:r>
        <w:rPr>
          <w:rFonts w:ascii="SimHei" w:hAnsi="SimHei" w:eastAsia="SimHei" w:cs="SimHei"/>
          <w:sz w:val="33"/>
          <w:szCs w:val="33"/>
          <w:b/>
          <w:bCs/>
          <w:spacing w:val="-10"/>
        </w:rPr>
        <w:t>云端数据治理模型概述</w:t>
      </w:r>
    </w:p>
    <w:p>
      <w:pPr>
        <w:pStyle w:val="BodyText"/>
        <w:spacing w:line="252" w:lineRule="auto"/>
        <w:rPr/>
      </w:pPr>
      <w:r/>
    </w:p>
    <w:p>
      <w:pPr>
        <w:ind w:left="3"/>
        <w:spacing w:before="94" w:line="224" w:lineRule="auto"/>
        <w:outlineLvl w:val="0"/>
        <w:rPr>
          <w:rFonts w:ascii="YouYuan" w:hAnsi="YouYuan" w:eastAsia="YouYuan" w:cs="YouYuan"/>
          <w:sz w:val="29"/>
          <w:szCs w:val="29"/>
        </w:rPr>
      </w:pPr>
      <w:r>
        <w:rPr>
          <w:rFonts w:ascii="YouYuan" w:hAnsi="YouYuan" w:eastAsia="YouYuan" w:cs="YouYuan"/>
          <w:sz w:val="29"/>
          <w:szCs w:val="29"/>
          <w:b/>
          <w:bCs/>
          <w:spacing w:val="-12"/>
        </w:rPr>
        <w:t>3.1.1</w:t>
      </w:r>
      <w:r>
        <w:rPr>
          <w:rFonts w:ascii="YouYuan" w:hAnsi="YouYuan" w:eastAsia="YouYuan" w:cs="YouYuan"/>
          <w:sz w:val="29"/>
          <w:szCs w:val="29"/>
          <w:spacing w:val="144"/>
        </w:rPr>
        <w:t xml:space="preserve"> </w:t>
      </w:r>
      <w:r>
        <w:rPr>
          <w:rFonts w:ascii="YouYuan" w:hAnsi="YouYuan" w:eastAsia="YouYuan" w:cs="YouYuan"/>
          <w:sz w:val="29"/>
          <w:szCs w:val="29"/>
          <w:b/>
          <w:bCs/>
          <w:spacing w:val="-12"/>
        </w:rPr>
        <w:t>云端数据冶理模型</w:t>
      </w:r>
    </w:p>
    <w:p>
      <w:pPr>
        <w:pStyle w:val="BodyText"/>
        <w:spacing w:line="258" w:lineRule="auto"/>
        <w:rPr/>
      </w:pPr>
      <w:r/>
    </w:p>
    <w:p>
      <w:pPr>
        <w:ind w:left="443"/>
        <w:spacing w:before="68" w:line="221" w:lineRule="auto"/>
        <w:outlineLvl w:val="1"/>
        <w:rPr>
          <w:rFonts w:ascii="YouYuan" w:hAnsi="YouYuan" w:eastAsia="YouYuan" w:cs="YouYuan"/>
          <w:sz w:val="21"/>
          <w:szCs w:val="21"/>
        </w:rPr>
      </w:pPr>
      <w:r>
        <w:rPr>
          <w:rFonts w:ascii="YouYuan" w:hAnsi="YouYuan" w:eastAsia="YouYuan" w:cs="YouYuan"/>
          <w:sz w:val="21"/>
          <w:szCs w:val="21"/>
          <w:b/>
          <w:bCs/>
          <w:spacing w:val="5"/>
        </w:rPr>
        <w:t>1.</w:t>
      </w:r>
      <w:r>
        <w:rPr>
          <w:rFonts w:ascii="YouYuan" w:hAnsi="YouYuan" w:eastAsia="YouYuan" w:cs="YouYuan"/>
          <w:sz w:val="21"/>
          <w:szCs w:val="21"/>
          <w:spacing w:val="5"/>
        </w:rPr>
        <w:t xml:space="preserve"> </w:t>
      </w:r>
      <w:r>
        <w:rPr>
          <w:rFonts w:ascii="YouYuan" w:hAnsi="YouYuan" w:eastAsia="YouYuan" w:cs="YouYuan"/>
          <w:sz w:val="21"/>
          <w:szCs w:val="21"/>
          <w:b/>
          <w:bCs/>
          <w:spacing w:val="5"/>
        </w:rPr>
        <w:t>云端数据治理模型的内容</w:t>
      </w:r>
    </w:p>
    <w:p>
      <w:pPr>
        <w:ind w:right="282" w:firstLine="440"/>
        <w:spacing w:before="216" w:line="255" w:lineRule="auto"/>
        <w:rPr>
          <w:rFonts w:ascii="SimSun" w:hAnsi="SimSun" w:eastAsia="SimSun" w:cs="SimSun"/>
          <w:sz w:val="21"/>
          <w:szCs w:val="21"/>
        </w:rPr>
      </w:pPr>
      <w:r>
        <w:rPr>
          <w:rFonts w:ascii="SimSun" w:hAnsi="SimSun" w:eastAsia="SimSun" w:cs="SimSun"/>
          <w:sz w:val="21"/>
          <w:szCs w:val="21"/>
          <w:spacing w:val="2"/>
        </w:rPr>
        <w:t>云端数据治理是数据治理理论的发展，是传统数据治理的</w:t>
      </w:r>
      <w:r>
        <w:rPr>
          <w:rFonts w:ascii="SimSun" w:hAnsi="SimSun" w:eastAsia="SimSun" w:cs="SimSun"/>
          <w:sz w:val="21"/>
          <w:szCs w:val="21"/>
          <w:spacing w:val="1"/>
        </w:rPr>
        <w:t>传承。基于原有的成</w:t>
      </w:r>
      <w:r>
        <w:rPr>
          <w:rFonts w:ascii="SimSun" w:hAnsi="SimSun" w:eastAsia="SimSun" w:cs="SimSun"/>
          <w:sz w:val="21"/>
          <w:szCs w:val="21"/>
        </w:rPr>
        <w:t xml:space="preserve"> </w:t>
      </w:r>
      <w:r>
        <w:rPr>
          <w:rFonts w:ascii="SimSun" w:hAnsi="SimSun" w:eastAsia="SimSun" w:cs="SimSun"/>
          <w:sz w:val="21"/>
          <w:szCs w:val="21"/>
          <w:spacing w:val="1"/>
        </w:rPr>
        <w:t>熟方法论，结合治理对象——云端数据的特点，通过加入新理论，创新治理理</w:t>
      </w:r>
      <w:r>
        <w:rPr>
          <w:rFonts w:ascii="SimSun" w:hAnsi="SimSun" w:eastAsia="SimSun" w:cs="SimSun"/>
          <w:sz w:val="21"/>
          <w:szCs w:val="21"/>
        </w:rPr>
        <w:t>念， </w:t>
      </w:r>
      <w:r>
        <w:rPr>
          <w:rFonts w:ascii="SimSun" w:hAnsi="SimSun" w:eastAsia="SimSun" w:cs="SimSun"/>
          <w:sz w:val="21"/>
          <w:szCs w:val="21"/>
        </w:rPr>
        <w:t>本章提出了云端数据治理模型。云端数据治理模型</w:t>
      </w:r>
      <w:r>
        <w:rPr>
          <w:rFonts w:ascii="SimSun" w:hAnsi="SimSun" w:eastAsia="SimSun" w:cs="SimSun"/>
          <w:sz w:val="21"/>
          <w:szCs w:val="21"/>
          <w:spacing w:val="-1"/>
        </w:rPr>
        <w:t>的由来如下。</w:t>
      </w:r>
    </w:p>
    <w:p>
      <w:pPr>
        <w:ind w:left="440"/>
        <w:spacing w:before="59" w:line="212" w:lineRule="auto"/>
        <w:rPr>
          <w:rFonts w:ascii="Times New Roman" w:hAnsi="Times New Roman" w:eastAsia="Times New Roman" w:cs="Times New Roman"/>
          <w:sz w:val="21"/>
          <w:szCs w:val="21"/>
        </w:rPr>
      </w:pPr>
      <w:r>
        <w:rPr>
          <w:rFonts w:ascii="SimSun" w:hAnsi="SimSun" w:eastAsia="SimSun" w:cs="SimSun"/>
          <w:sz w:val="21"/>
          <w:szCs w:val="21"/>
          <w:spacing w:val="9"/>
        </w:rPr>
        <w:t>(1)借鉴</w:t>
      </w:r>
      <w:r>
        <w:rPr>
          <w:rFonts w:ascii="Times New Roman" w:hAnsi="Times New Roman" w:eastAsia="Times New Roman" w:cs="Times New Roman"/>
          <w:sz w:val="21"/>
          <w:szCs w:val="21"/>
        </w:rPr>
        <w:t>CMMI</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9"/>
        </w:rPr>
        <w:t>数据管理成熟度</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9"/>
        </w:rPr>
        <w:t>)</w:t>
      </w:r>
    </w:p>
    <w:p>
      <w:pPr>
        <w:ind w:right="283" w:firstLine="440"/>
        <w:spacing w:before="61" w:line="267" w:lineRule="auto"/>
        <w:rPr>
          <w:rFonts w:ascii="SimSun" w:hAnsi="SimSun" w:eastAsia="SimSun" w:cs="SimSun"/>
          <w:sz w:val="21"/>
          <w:szCs w:val="21"/>
        </w:rPr>
      </w:pP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是一个用于管理组织数据资产和相应活动的过程改</w:t>
      </w:r>
      <w:r>
        <w:rPr>
          <w:rFonts w:ascii="SimSun" w:hAnsi="SimSun" w:eastAsia="SimSun" w:cs="SimSun"/>
          <w:sz w:val="21"/>
          <w:szCs w:val="21"/>
          <w:spacing w:val="1"/>
        </w:rPr>
        <w:t>进成熟度模型，该模</w:t>
      </w:r>
      <w:r>
        <w:rPr>
          <w:rFonts w:ascii="SimSun" w:hAnsi="SimSun" w:eastAsia="SimSun" w:cs="SimSun"/>
          <w:sz w:val="21"/>
          <w:szCs w:val="21"/>
        </w:rPr>
        <w:t xml:space="preserve"> </w:t>
      </w:r>
      <w:r>
        <w:rPr>
          <w:rFonts w:ascii="SimSun" w:hAnsi="SimSun" w:eastAsia="SimSun" w:cs="SimSun"/>
          <w:sz w:val="21"/>
          <w:szCs w:val="21"/>
        </w:rPr>
        <w:t>型包含了确立、建立、维持和优化整个数据生命周期的有效数据管理的最佳实践，</w:t>
      </w:r>
      <w:r>
        <w:rPr>
          <w:rFonts w:ascii="SimSun" w:hAnsi="SimSun" w:eastAsia="SimSun" w:cs="SimSun"/>
          <w:sz w:val="21"/>
          <w:szCs w:val="21"/>
          <w:spacing w:val="13"/>
        </w:rPr>
        <w:t xml:space="preserve"> </w:t>
      </w:r>
      <w:r>
        <w:rPr>
          <w:rFonts w:ascii="SimSun" w:hAnsi="SimSun" w:eastAsia="SimSun" w:cs="SimSun"/>
          <w:sz w:val="21"/>
          <w:szCs w:val="21"/>
          <w:spacing w:val="-2"/>
        </w:rPr>
        <w:t>覆盖了数据的产生到交付、维护和归档整个阶段。</w:t>
      </w:r>
    </w:p>
    <w:p>
      <w:pPr>
        <w:ind w:right="253" w:firstLine="440"/>
        <w:spacing w:before="59" w:line="255" w:lineRule="auto"/>
        <w:rPr>
          <w:rFonts w:ascii="SimSun" w:hAnsi="SimSun" w:eastAsia="SimSun" w:cs="SimSun"/>
          <w:sz w:val="21"/>
          <w:szCs w:val="21"/>
        </w:rPr>
      </w:pP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由五大职能域和一个支持过程组成。五大职能域分别</w:t>
      </w:r>
      <w:r>
        <w:rPr>
          <w:rFonts w:ascii="SimSun" w:hAnsi="SimSun" w:eastAsia="SimSun" w:cs="SimSun"/>
          <w:sz w:val="21"/>
          <w:szCs w:val="21"/>
          <w:spacing w:val="1"/>
        </w:rPr>
        <w:t>为战略、治理、数</w:t>
      </w:r>
      <w:r>
        <w:rPr>
          <w:rFonts w:ascii="SimSun" w:hAnsi="SimSun" w:eastAsia="SimSun" w:cs="SimSun"/>
          <w:sz w:val="21"/>
          <w:szCs w:val="21"/>
        </w:rPr>
        <w:t xml:space="preserve"> </w:t>
      </w:r>
      <w:r>
        <w:rPr>
          <w:rFonts w:ascii="SimSun" w:hAnsi="SimSun" w:eastAsia="SimSun" w:cs="SimSun"/>
          <w:sz w:val="21"/>
          <w:szCs w:val="21"/>
        </w:rPr>
        <w:t>据质量、操作、平台及架构，</w:t>
      </w:r>
      <w:r>
        <w:rPr>
          <w:rFonts w:ascii="SimSun" w:hAnsi="SimSun" w:eastAsia="SimSun" w:cs="SimSun"/>
          <w:sz w:val="21"/>
          <w:szCs w:val="21"/>
          <w:spacing w:val="63"/>
        </w:rPr>
        <w:t xml:space="preserve"> </w:t>
      </w:r>
      <w:r>
        <w:rPr>
          <w:rFonts w:ascii="SimSun" w:hAnsi="SimSun" w:eastAsia="SimSun" w:cs="SimSun"/>
          <w:sz w:val="21"/>
          <w:szCs w:val="21"/>
        </w:rPr>
        <w:t>一共包括20个数据管理过程域。支持过</w:t>
      </w:r>
      <w:r>
        <w:rPr>
          <w:rFonts w:ascii="SimSun" w:hAnsi="SimSun" w:eastAsia="SimSun" w:cs="SimSun"/>
          <w:sz w:val="21"/>
          <w:szCs w:val="21"/>
          <w:spacing w:val="-1"/>
        </w:rPr>
        <w:t>程包括5个过</w:t>
      </w:r>
      <w:r>
        <w:rPr>
          <w:rFonts w:ascii="SimSun" w:hAnsi="SimSun" w:eastAsia="SimSun" w:cs="SimSun"/>
          <w:sz w:val="21"/>
          <w:szCs w:val="21"/>
        </w:rPr>
        <w:t xml:space="preserve"> </w:t>
      </w:r>
      <w:r>
        <w:rPr>
          <w:rFonts w:ascii="SimSun" w:hAnsi="SimSun" w:eastAsia="SimSun" w:cs="SimSun"/>
          <w:sz w:val="21"/>
          <w:szCs w:val="21"/>
          <w:spacing w:val="-3"/>
        </w:rPr>
        <w:t>程域，用于保障五大过程域的实施。</w:t>
      </w:r>
    </w:p>
    <w:p>
      <w:pPr>
        <w:ind w:right="283" w:firstLine="440"/>
        <w:spacing w:before="60" w:line="254" w:lineRule="auto"/>
        <w:rPr>
          <w:rFonts w:ascii="SimSun" w:hAnsi="SimSun" w:eastAsia="SimSun" w:cs="SimSun"/>
          <w:sz w:val="21"/>
          <w:szCs w:val="21"/>
        </w:rPr>
      </w:pPr>
      <w:r>
        <w:rPr>
          <w:rFonts w:ascii="SimSun" w:hAnsi="SimSun" w:eastAsia="SimSun" w:cs="SimSun"/>
          <w:sz w:val="21"/>
          <w:szCs w:val="21"/>
          <w:spacing w:val="2"/>
        </w:rPr>
        <w:t>由上可见，</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覆盖了数据治理的主要内容，尤其是提</w:t>
      </w:r>
      <w:r>
        <w:rPr>
          <w:rFonts w:ascii="SimSun" w:hAnsi="SimSun" w:eastAsia="SimSun" w:cs="SimSun"/>
          <w:sz w:val="21"/>
          <w:szCs w:val="21"/>
          <w:spacing w:val="1"/>
        </w:rPr>
        <w:t>出了以成熟度模型来</w:t>
      </w:r>
      <w:r>
        <w:rPr>
          <w:rFonts w:ascii="SimSun" w:hAnsi="SimSun" w:eastAsia="SimSun" w:cs="SimSun"/>
          <w:sz w:val="21"/>
          <w:szCs w:val="21"/>
        </w:rPr>
        <w:t xml:space="preserve"> </w:t>
      </w:r>
      <w:r>
        <w:rPr>
          <w:rFonts w:ascii="SimSun" w:hAnsi="SimSun" w:eastAsia="SimSun" w:cs="SimSun"/>
          <w:sz w:val="21"/>
          <w:szCs w:val="21"/>
          <w:spacing w:val="2"/>
        </w:rPr>
        <w:t>评价数据治理效果的思想，为组织评价数据治理实</w:t>
      </w:r>
      <w:r>
        <w:rPr>
          <w:rFonts w:ascii="SimSun" w:hAnsi="SimSun" w:eastAsia="SimSun" w:cs="SimSun"/>
          <w:sz w:val="21"/>
          <w:szCs w:val="21"/>
          <w:spacing w:val="1"/>
        </w:rPr>
        <w:t>施效果，明白所处的治理水平提</w:t>
      </w:r>
      <w:r>
        <w:rPr>
          <w:rFonts w:ascii="SimSun" w:hAnsi="SimSun" w:eastAsia="SimSun" w:cs="SimSun"/>
          <w:sz w:val="21"/>
          <w:szCs w:val="21"/>
        </w:rPr>
        <w:t xml:space="preserve"> </w:t>
      </w:r>
      <w:r>
        <w:rPr>
          <w:rFonts w:ascii="SimSun" w:hAnsi="SimSun" w:eastAsia="SimSun" w:cs="SimSun"/>
          <w:sz w:val="21"/>
          <w:szCs w:val="21"/>
          <w:spacing w:val="-1"/>
        </w:rPr>
        <w:t>供了重要参考标准。基于此，云端数据治理也采用了成熟度评价模型。</w:t>
      </w:r>
    </w:p>
    <w:p>
      <w:pPr>
        <w:ind w:left="440"/>
        <w:spacing w:before="95" w:line="219" w:lineRule="auto"/>
        <w:rPr>
          <w:rFonts w:ascii="SimSun" w:hAnsi="SimSun" w:eastAsia="SimSun" w:cs="SimSun"/>
          <w:sz w:val="21"/>
          <w:szCs w:val="21"/>
        </w:rPr>
      </w:pPr>
      <w:r>
        <w:rPr>
          <w:rFonts w:ascii="SimSun" w:hAnsi="SimSun" w:eastAsia="SimSun" w:cs="SimSun"/>
          <w:sz w:val="21"/>
          <w:szCs w:val="21"/>
          <w:spacing w:val="6"/>
        </w:rPr>
        <w:t>(2)针对云端数据，扩展治理范围</w:t>
      </w:r>
    </w:p>
    <w:p>
      <w:pPr>
        <w:ind w:right="276" w:firstLine="440"/>
        <w:spacing w:before="49" w:line="255" w:lineRule="auto"/>
        <w:rPr>
          <w:rFonts w:ascii="SimSun" w:hAnsi="SimSun" w:eastAsia="SimSun" w:cs="SimSun"/>
          <w:sz w:val="21"/>
          <w:szCs w:val="21"/>
        </w:rPr>
      </w:pPr>
      <w:r>
        <w:rPr>
          <w:rFonts w:ascii="SimSun" w:hAnsi="SimSun" w:eastAsia="SimSun" w:cs="SimSun"/>
          <w:sz w:val="21"/>
          <w:szCs w:val="21"/>
          <w:spacing w:val="2"/>
        </w:rPr>
        <w:t>如前文所述，云计算环境下，数据本身及外界环境发生</w:t>
      </w:r>
      <w:r>
        <w:rPr>
          <w:rFonts w:ascii="SimSun" w:hAnsi="SimSun" w:eastAsia="SimSun" w:cs="SimSun"/>
          <w:sz w:val="21"/>
          <w:szCs w:val="21"/>
          <w:spacing w:val="1"/>
        </w:rPr>
        <w:t>了很多变化，如云计算</w:t>
      </w:r>
      <w:r>
        <w:rPr>
          <w:rFonts w:ascii="SimSun" w:hAnsi="SimSun" w:eastAsia="SimSun" w:cs="SimSun"/>
          <w:sz w:val="21"/>
          <w:szCs w:val="21"/>
        </w:rPr>
        <w:t xml:space="preserve"> </w:t>
      </w:r>
      <w:r>
        <w:rPr>
          <w:rFonts w:ascii="SimSun" w:hAnsi="SimSun" w:eastAsia="SimSun" w:cs="SimSun"/>
          <w:sz w:val="21"/>
          <w:szCs w:val="21"/>
          <w:spacing w:val="2"/>
        </w:rPr>
        <w:t>环境下数据的体量变得更大、种类更复杂，数据远程存储和远程传输更常见，面临</w:t>
      </w:r>
      <w:r>
        <w:rPr>
          <w:rFonts w:ascii="SimSun" w:hAnsi="SimSun" w:eastAsia="SimSun" w:cs="SimSun"/>
          <w:sz w:val="21"/>
          <w:szCs w:val="21"/>
          <w:spacing w:val="13"/>
        </w:rPr>
        <w:t xml:space="preserve"> </w:t>
      </w:r>
      <w:r>
        <w:rPr>
          <w:rFonts w:ascii="SimSun" w:hAnsi="SimSun" w:eastAsia="SimSun" w:cs="SimSun"/>
          <w:sz w:val="21"/>
          <w:szCs w:val="21"/>
        </w:rPr>
        <w:t>的安全威胁更多，合规要求更庞杂等，使得数据治理的边</w:t>
      </w:r>
      <w:r>
        <w:rPr>
          <w:rFonts w:ascii="SimSun" w:hAnsi="SimSun" w:eastAsia="SimSun" w:cs="SimSun"/>
          <w:sz w:val="21"/>
          <w:szCs w:val="21"/>
          <w:spacing w:val="-1"/>
        </w:rPr>
        <w:t>界和内涵进一步扩大。</w:t>
      </w:r>
    </w:p>
    <w:p>
      <w:pPr>
        <w:ind w:right="280" w:firstLine="440"/>
        <w:spacing w:before="70" w:line="262" w:lineRule="auto"/>
        <w:rPr>
          <w:rFonts w:ascii="SimSun" w:hAnsi="SimSun" w:eastAsia="SimSun" w:cs="SimSun"/>
          <w:sz w:val="21"/>
          <w:szCs w:val="21"/>
        </w:rPr>
      </w:pPr>
      <w:r>
        <w:rPr>
          <w:rFonts w:ascii="SimSun" w:hAnsi="SimSun" w:eastAsia="SimSun" w:cs="SimSun"/>
          <w:sz w:val="21"/>
          <w:szCs w:val="21"/>
          <w:spacing w:val="1"/>
        </w:rPr>
        <w:t>尽管</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对有效数据管理的要求和活动进行了定义，但只是针对之前的数据</w:t>
      </w:r>
      <w:r>
        <w:rPr>
          <w:rFonts w:ascii="SimSun" w:hAnsi="SimSun" w:eastAsia="SimSun" w:cs="SimSun"/>
          <w:sz w:val="21"/>
          <w:szCs w:val="21"/>
        </w:rPr>
        <w:t xml:space="preserve"> </w:t>
      </w:r>
      <w:r>
        <w:rPr>
          <w:rFonts w:ascii="SimSun" w:hAnsi="SimSun" w:eastAsia="SimSun" w:cs="SimSun"/>
          <w:sz w:val="21"/>
          <w:szCs w:val="21"/>
          <w:spacing w:val="2"/>
        </w:rPr>
        <w:t>环境。由于云计算和大数据等技术的快速发展，数据面临的环境和数据治理环境都</w:t>
      </w:r>
      <w:r>
        <w:rPr>
          <w:rFonts w:ascii="SimSun" w:hAnsi="SimSun" w:eastAsia="SimSun" w:cs="SimSun"/>
          <w:sz w:val="21"/>
          <w:szCs w:val="21"/>
          <w:spacing w:val="6"/>
        </w:rPr>
        <w:t xml:space="preserve"> </w:t>
      </w:r>
      <w:r>
        <w:rPr>
          <w:rFonts w:ascii="SimSun" w:hAnsi="SimSun" w:eastAsia="SimSun" w:cs="SimSun"/>
          <w:sz w:val="21"/>
          <w:szCs w:val="21"/>
        </w:rPr>
        <w:t>发生了诸多变化，原有的</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rPr>
        <w:t>无法完全适应现有环境下数据治理的需求，例如云 </w:t>
      </w:r>
      <w:r>
        <w:rPr>
          <w:rFonts w:ascii="SimSun" w:hAnsi="SimSun" w:eastAsia="SimSun" w:cs="SimSun"/>
          <w:sz w:val="21"/>
          <w:szCs w:val="21"/>
          <w:spacing w:val="2"/>
        </w:rPr>
        <w:t>端数据跨地域流通面临的合规要求更多，云计算自</w:t>
      </w:r>
      <w:r>
        <w:rPr>
          <w:rFonts w:ascii="SimSun" w:hAnsi="SimSun" w:eastAsia="SimSun" w:cs="SimSun"/>
          <w:sz w:val="21"/>
          <w:szCs w:val="21"/>
          <w:spacing w:val="1"/>
        </w:rPr>
        <w:t>身安全问题给云端数据带来了更</w:t>
      </w:r>
      <w:r>
        <w:rPr>
          <w:rFonts w:ascii="SimSun" w:hAnsi="SimSun" w:eastAsia="SimSun" w:cs="SimSun"/>
          <w:sz w:val="21"/>
          <w:szCs w:val="21"/>
        </w:rPr>
        <w:t xml:space="preserve"> </w:t>
      </w:r>
      <w:r>
        <w:rPr>
          <w:rFonts w:ascii="SimSun" w:hAnsi="SimSun" w:eastAsia="SimSun" w:cs="SimSun"/>
          <w:sz w:val="21"/>
          <w:szCs w:val="21"/>
        </w:rPr>
        <w:t>多的新风险，因此需要在</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DMM</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基础上增加新的内容。除了内容上无法完全适应云</w:t>
      </w:r>
    </w:p>
    <w:p>
      <w:pPr>
        <w:spacing w:line="262" w:lineRule="auto"/>
        <w:sectPr>
          <w:footerReference w:type="default" r:id="rId115"/>
          <w:pgSz w:w="8870" w:h="13400"/>
          <w:pgMar w:top="400" w:right="467" w:bottom="507" w:left="479" w:header="0" w:footer="299" w:gutter="0"/>
        </w:sectPr>
        <w:rPr>
          <w:rFonts w:ascii="SimSun" w:hAnsi="SimSun" w:eastAsia="SimSun" w:cs="SimSun"/>
          <w:sz w:val="21"/>
          <w:szCs w:val="21"/>
        </w:rPr>
      </w:pPr>
    </w:p>
    <w:p>
      <w:pPr>
        <w:ind w:left="252"/>
        <w:spacing w:before="295" w:line="219" w:lineRule="auto"/>
        <w:rPr>
          <w:rFonts w:ascii="SimSun" w:hAnsi="SimSun" w:eastAsia="SimSun" w:cs="SimSun"/>
          <w:sz w:val="20"/>
          <w:szCs w:val="20"/>
        </w:rPr>
      </w:pPr>
      <w:r>
        <w:pict>
          <v:rect id="_x0000_s238" style="position:absolute;margin-left:23.9978pt;margin-top:30.4984pt;mso-position-vertical-relative:page;mso-position-horizontal-relative:page;width:0.55pt;height:17.55pt;z-index:252522496;" o:allowincell="f" fillcolor="#000000" filled="true" stroked="false"/>
        </w:pict>
      </w:r>
      <w:r>
        <w:pict>
          <v:shape id="_x0000_s240" style="position:absolute;margin-left:117.54pt;margin-top:206.135pt;mso-position-vertical-relative:page;mso-position-horizontal-relative:page;width:10.5pt;height:18.6pt;z-index:252525568;"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战</w:t>
                  </w:r>
                  <w:r>
                    <w:rPr>
                      <w:rFonts w:ascii="SimSun" w:hAnsi="SimSun" w:eastAsia="SimSun" w:cs="SimSun"/>
                      <w:sz w:val="14"/>
                      <w:szCs w:val="14"/>
                      <w:spacing w:val="-19"/>
                    </w:rPr>
                    <w:t xml:space="preserve"> </w:t>
                  </w:r>
                  <w:r>
                    <w:rPr>
                      <w:rFonts w:ascii="SimSun" w:hAnsi="SimSun" w:eastAsia="SimSun" w:cs="SimSun"/>
                      <w:sz w:val="14"/>
                      <w:szCs w:val="14"/>
                    </w:rPr>
                    <w:t>略</w:t>
                  </w:r>
                </w:p>
              </w:txbxContent>
            </v:textbox>
          </v:shape>
        </w:pict>
      </w:r>
      <w:r>
        <w:pict>
          <v:shape id="_x0000_s242" style="position:absolute;margin-left:175.29pt;margin-top:206.135pt;mso-position-vertical-relative:page;mso-position-horizontal-relative:page;width:10.5pt;height:18.3pt;z-index:252526592;"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沟</w:t>
                  </w:r>
                  <w:r>
                    <w:rPr>
                      <w:rFonts w:ascii="SimSun" w:hAnsi="SimSun" w:eastAsia="SimSun" w:cs="SimSun"/>
                      <w:sz w:val="14"/>
                      <w:szCs w:val="14"/>
                      <w:spacing w:val="-25"/>
                    </w:rPr>
                    <w:t xml:space="preserve"> </w:t>
                  </w:r>
                  <w:r>
                    <w:rPr>
                      <w:rFonts w:ascii="SimSun" w:hAnsi="SimSun" w:eastAsia="SimSun" w:cs="SimSun"/>
                      <w:sz w:val="14"/>
                      <w:szCs w:val="14"/>
                    </w:rPr>
                    <w:t>通</w:t>
                  </w:r>
                </w:p>
              </w:txbxContent>
            </v:textbox>
          </v:shape>
        </w:pict>
      </w:r>
      <w:r>
        <w:pict>
          <v:shape id="_x0000_s244" style="position:absolute;margin-left:68.0683pt;margin-top:283.193pt;mso-position-vertical-relative:page;mso-position-horizontal-relative:page;width:10.45pt;height:34.85pt;z-index:25252454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4"/>
                    </w:rPr>
                    <w:t>风险管理</w:t>
                  </w:r>
                </w:p>
              </w:txbxContent>
            </v:textbox>
          </v:shape>
        </w:pict>
      </w:r>
      <w:r>
        <w:pict>
          <v:shape id="_x0000_s246" style="position:absolute;margin-left:367.067pt;margin-top:283.166pt;mso-position-vertical-relative:page;mso-position-horizontal-relative:page;width:10.45pt;height:35.05pt;z-index:25252352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5"/>
                    </w:rPr>
                    <w:t>数据清洗</w:t>
                  </w:r>
                </w:p>
              </w:txbxContent>
            </v:textbox>
          </v:shape>
        </w:pict>
      </w:r>
      <w:r>
        <w:pict>
          <v:shape id="_x0000_s248" style="position:absolute;margin-left:118.54pt;margin-top:372.162pt;mso-position-vertical-relative:page;mso-position-horizontal-relative:page;width:10.5pt;height:33.7pt;z-index:252521472;"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18"/>
                    </w:rPr>
                    <w:t>架构方法</w:t>
                  </w:r>
                </w:p>
              </w:txbxContent>
            </v:textbox>
          </v:shape>
        </w:pict>
      </w:r>
      <w:bookmarkStart w:name="bookmark30" w:id="25"/>
      <w:bookmarkEnd w:id="25"/>
      <w:bookmarkStart w:name="bookmark31" w:id="26"/>
      <w:bookmarkEnd w:id="26"/>
      <w:bookmarkStart w:name="bookmark32" w:id="27"/>
      <w:bookmarkEnd w:id="27"/>
      <w:r>
        <w:rPr>
          <w:rFonts w:ascii="SimSun" w:hAnsi="SimSun" w:eastAsia="SimSun" w:cs="SimSun"/>
          <w:sz w:val="20"/>
          <w:szCs w:val="20"/>
          <w:b/>
          <w:bCs/>
        </w:rPr>
        <w:t>■云端数据治理</w:t>
      </w:r>
    </w:p>
    <w:p>
      <w:pPr>
        <w:pStyle w:val="BodyText"/>
        <w:spacing w:line="288" w:lineRule="auto"/>
        <w:rPr/>
      </w:pPr>
      <w:r/>
    </w:p>
    <w:p>
      <w:pPr>
        <w:ind w:left="249"/>
        <w:spacing w:before="65" w:line="219" w:lineRule="auto"/>
        <w:rPr>
          <w:rFonts w:ascii="SimSun" w:hAnsi="SimSun" w:eastAsia="SimSun" w:cs="SimSun"/>
          <w:sz w:val="20"/>
          <w:szCs w:val="20"/>
        </w:rPr>
      </w:pPr>
      <w:r>
        <w:rPr>
          <w:rFonts w:ascii="SimSun" w:hAnsi="SimSun" w:eastAsia="SimSun" w:cs="SimSun"/>
          <w:sz w:val="20"/>
          <w:szCs w:val="20"/>
          <w:spacing w:val="3"/>
        </w:rPr>
        <w:t>端数据， </w:t>
      </w:r>
      <w:r>
        <w:rPr>
          <w:rFonts w:ascii="Times New Roman" w:hAnsi="Times New Roman" w:eastAsia="Times New Roman" w:cs="Times New Roman"/>
          <w:sz w:val="20"/>
          <w:szCs w:val="20"/>
        </w:rPr>
        <w:t>DMM</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也没有给出指导组织实施数据治理的方法。</w:t>
      </w:r>
    </w:p>
    <w:p>
      <w:pPr>
        <w:ind w:left="249" w:right="24" w:firstLine="470"/>
        <w:spacing w:before="64" w:line="269" w:lineRule="auto"/>
        <w:jc w:val="both"/>
        <w:rPr>
          <w:rFonts w:ascii="SimSun" w:hAnsi="SimSun" w:eastAsia="SimSun" w:cs="SimSun"/>
          <w:sz w:val="20"/>
          <w:szCs w:val="20"/>
        </w:rPr>
      </w:pPr>
      <w:r>
        <w:rPr>
          <w:rFonts w:ascii="SimSun" w:hAnsi="SimSun" w:eastAsia="SimSun" w:cs="SimSun"/>
          <w:sz w:val="20"/>
          <w:szCs w:val="20"/>
          <w:spacing w:val="11"/>
        </w:rPr>
        <w:t>云端数据治理模型是在充分吸收</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DMM</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11"/>
        </w:rPr>
        <w:t>等国际上最被认可的数据治理模型的基</w:t>
      </w:r>
      <w:r>
        <w:rPr>
          <w:rFonts w:ascii="SimSun" w:hAnsi="SimSun" w:eastAsia="SimSun" w:cs="SimSun"/>
          <w:sz w:val="20"/>
          <w:szCs w:val="20"/>
        </w:rPr>
        <w:t xml:space="preserve"> </w:t>
      </w:r>
      <w:r>
        <w:rPr>
          <w:rFonts w:ascii="SimSun" w:hAnsi="SimSun" w:eastAsia="SimSun" w:cs="SimSun"/>
          <w:sz w:val="20"/>
          <w:szCs w:val="20"/>
          <w:spacing w:val="8"/>
        </w:rPr>
        <w:t>础之上，结合专业的评估理论和经验开发而来的，旨在为组织提供理论和实践指导。</w:t>
      </w:r>
      <w:r>
        <w:rPr>
          <w:rFonts w:ascii="SimSun" w:hAnsi="SimSun" w:eastAsia="SimSun" w:cs="SimSun"/>
          <w:sz w:val="20"/>
          <w:szCs w:val="20"/>
          <w:spacing w:val="3"/>
        </w:rPr>
        <w:t xml:space="preserve"> </w:t>
      </w:r>
      <w:r>
        <w:rPr>
          <w:rFonts w:ascii="SimSun" w:hAnsi="SimSun" w:eastAsia="SimSun" w:cs="SimSun"/>
          <w:sz w:val="20"/>
          <w:szCs w:val="20"/>
          <w:spacing w:val="12"/>
        </w:rPr>
        <w:t>云端数据治理模型的结构非常清晰，组织不仅可以利用该模型来评价自己目前的能</w:t>
      </w:r>
      <w:r>
        <w:rPr>
          <w:rFonts w:ascii="SimSun" w:hAnsi="SimSun" w:eastAsia="SimSun" w:cs="SimSun"/>
          <w:sz w:val="20"/>
          <w:szCs w:val="20"/>
          <w:spacing w:val="17"/>
        </w:rPr>
        <w:t xml:space="preserve"> </w:t>
      </w:r>
      <w:r>
        <w:rPr>
          <w:rFonts w:ascii="SimSun" w:hAnsi="SimSun" w:eastAsia="SimSun" w:cs="SimSun"/>
          <w:sz w:val="20"/>
          <w:szCs w:val="20"/>
          <w:spacing w:val="9"/>
        </w:rPr>
        <w:t>力状态，还可以为数据治理执行建立一个清晰的路径图。</w:t>
      </w:r>
    </w:p>
    <w:p>
      <w:pPr>
        <w:ind w:left="249" w:right="70" w:firstLine="470"/>
        <w:spacing w:before="71" w:line="263" w:lineRule="auto"/>
        <w:jc w:val="both"/>
        <w:rPr>
          <w:rFonts w:ascii="SimSun" w:hAnsi="SimSun" w:eastAsia="SimSun" w:cs="SimSun"/>
          <w:sz w:val="20"/>
          <w:szCs w:val="20"/>
        </w:rPr>
      </w:pPr>
      <w:r>
        <w:rPr>
          <w:rFonts w:ascii="SimSun" w:hAnsi="SimSun" w:eastAsia="SimSun" w:cs="SimSun"/>
          <w:sz w:val="20"/>
          <w:szCs w:val="20"/>
          <w:spacing w:val="11"/>
        </w:rPr>
        <w:t>云端数据治理模型从全局视角描述了云端数据治理的主要内容和实施过程，如</w:t>
      </w:r>
      <w:r>
        <w:rPr>
          <w:rFonts w:ascii="SimSun" w:hAnsi="SimSun" w:eastAsia="SimSun" w:cs="SimSun"/>
          <w:sz w:val="20"/>
          <w:szCs w:val="20"/>
          <w:spacing w:val="9"/>
        </w:rPr>
        <w:t xml:space="preserve"> </w:t>
      </w:r>
      <w:r>
        <w:rPr>
          <w:rFonts w:ascii="SimSun" w:hAnsi="SimSun" w:eastAsia="SimSun" w:cs="SimSun"/>
          <w:sz w:val="20"/>
          <w:szCs w:val="20"/>
          <w:spacing w:val="12"/>
        </w:rPr>
        <w:t>图3-1所示。</w:t>
      </w:r>
    </w:p>
    <w:p>
      <w:pPr>
        <w:spacing w:before="17"/>
        <w:rPr/>
      </w:pPr>
      <w:r/>
    </w:p>
    <w:p>
      <w:pPr>
        <w:sectPr>
          <w:footerReference w:type="default" r:id="rId116"/>
          <w:pgSz w:w="8870" w:h="13400"/>
          <w:pgMar w:top="400" w:right="575" w:bottom="440" w:left="320" w:header="0" w:footer="241" w:gutter="0"/>
          <w:cols w:equalWidth="0" w:num="1">
            <w:col w:w="7975" w:space="0"/>
          </w:cols>
        </w:sectPr>
        <w:rPr/>
      </w:pPr>
    </w:p>
    <w:p>
      <w:pPr>
        <w:rPr/>
      </w:pPr>
      <w:r/>
    </w:p>
    <w:p>
      <w:pPr>
        <w:pStyle w:val="BodyText"/>
        <w:spacing w:line="14" w:lineRule="auto"/>
        <w:rPr>
          <w:sz w:val="2"/>
        </w:rPr>
      </w:pPr>
      <w:r>
        <w:rPr>
          <w:sz w:val="2"/>
          <w:szCs w:val="2"/>
        </w:rPr>
        <w:br w:type="column"/>
      </w:r>
    </w:p>
    <w:p>
      <w:pPr>
        <w:spacing w:line="217" w:lineRule="auto"/>
        <w:jc w:val="right"/>
        <w:rPr>
          <w:rFonts w:ascii="SimSun" w:hAnsi="SimSun" w:eastAsia="SimSun" w:cs="SimSun"/>
          <w:sz w:val="14"/>
          <w:szCs w:val="14"/>
        </w:rPr>
      </w:pPr>
      <w:r>
        <w:drawing>
          <wp:anchor distT="0" distB="0" distL="0" distR="0" simplePos="0" relativeHeight="252520448" behindDoc="1" locked="0" layoutInCell="1" allowOverlap="1">
            <wp:simplePos x="0" y="0"/>
            <wp:positionH relativeFrom="column">
              <wp:posOffset>-901699</wp:posOffset>
            </wp:positionH>
            <wp:positionV relativeFrom="paragraph">
              <wp:posOffset>-93122</wp:posOffset>
            </wp:positionV>
            <wp:extent cx="4140188" cy="3035330"/>
            <wp:effectExtent l="0" t="0" r="0" b="0"/>
            <wp:wrapNone/>
            <wp:docPr id="100" name="IM 100"/>
            <wp:cNvGraphicFramePr/>
            <a:graphic>
              <a:graphicData uri="http://schemas.openxmlformats.org/drawingml/2006/picture">
                <pic:pic>
                  <pic:nvPicPr>
                    <pic:cNvPr id="100" name="IM 100"/>
                    <pic:cNvPicPr/>
                  </pic:nvPicPr>
                  <pic:blipFill>
                    <a:blip r:embed="rId117"/>
                    <a:stretch>
                      <a:fillRect/>
                    </a:stretch>
                  </pic:blipFill>
                  <pic:spPr>
                    <a:xfrm rot="0">
                      <a:off x="0" y="0"/>
                      <a:ext cx="4140188" cy="3035330"/>
                    </a:xfrm>
                    <a:prstGeom prst="rect">
                      <a:avLst/>
                    </a:prstGeom>
                  </pic:spPr>
                </pic:pic>
              </a:graphicData>
            </a:graphic>
          </wp:anchor>
        </w:drawing>
      </w:r>
      <w:r>
        <w:rPr>
          <w:rFonts w:ascii="SimSun" w:hAnsi="SimSun" w:eastAsia="SimSun" w:cs="SimSun"/>
          <w:sz w:val="14"/>
          <w:szCs w:val="14"/>
          <w:spacing w:val="9"/>
        </w:rPr>
        <w:t>云端数据战略</w:t>
      </w:r>
    </w:p>
    <w:p>
      <w:pPr>
        <w:ind w:left="29"/>
        <w:spacing w:before="223" w:line="219" w:lineRule="auto"/>
        <w:rPr>
          <w:rFonts w:ascii="SimSun" w:hAnsi="SimSun" w:eastAsia="SimSun" w:cs="SimSun"/>
          <w:sz w:val="14"/>
          <w:szCs w:val="14"/>
        </w:rPr>
      </w:pPr>
      <w:r>
        <w:rPr>
          <w:rFonts w:ascii="SimSun" w:hAnsi="SimSun" w:eastAsia="SimSun" w:cs="SimSun"/>
          <w:sz w:val="14"/>
          <w:szCs w:val="14"/>
          <w:color w:val="FFFFFF"/>
          <w:spacing w:val="23"/>
        </w:rPr>
        <w:t>组织与角色</w:t>
      </w:r>
    </w:p>
    <w:p>
      <w:pPr>
        <w:ind w:left="129"/>
        <w:spacing w:before="65" w:line="290" w:lineRule="exact"/>
        <w:rPr>
          <w:rFonts w:ascii="SimSun" w:hAnsi="SimSun" w:eastAsia="SimSun" w:cs="SimSun"/>
          <w:sz w:val="14"/>
          <w:szCs w:val="14"/>
        </w:rPr>
      </w:pPr>
      <w:r>
        <w:rPr>
          <w:rFonts w:ascii="SimSun" w:hAnsi="SimSun" w:eastAsia="SimSun" w:cs="SimSun"/>
          <w:sz w:val="14"/>
          <w:szCs w:val="14"/>
          <w:spacing w:val="12"/>
          <w:position w:val="11"/>
        </w:rPr>
        <w:t>业务案例</w:t>
      </w:r>
    </w:p>
    <w:p>
      <w:pPr>
        <w:ind w:left="129"/>
        <w:spacing w:line="210" w:lineRule="auto"/>
        <w:rPr>
          <w:rFonts w:ascii="SimSun" w:hAnsi="SimSun" w:eastAsia="SimSun" w:cs="SimSun"/>
          <w:sz w:val="14"/>
          <w:szCs w:val="14"/>
        </w:rPr>
      </w:pPr>
      <w:r>
        <w:rPr>
          <w:rFonts w:ascii="SimSun" w:hAnsi="SimSun" w:eastAsia="SimSun" w:cs="SimSun"/>
          <w:sz w:val="14"/>
          <w:szCs w:val="14"/>
          <w:spacing w:val="4"/>
        </w:rPr>
        <w:t>资源保障</w:t>
      </w:r>
    </w:p>
    <w:p>
      <w:pPr>
        <w:pStyle w:val="BodyText"/>
        <w:spacing w:line="14" w:lineRule="auto"/>
        <w:rPr>
          <w:sz w:val="2"/>
        </w:rPr>
      </w:pPr>
      <w:r>
        <w:rPr>
          <w:sz w:val="2"/>
          <w:szCs w:val="2"/>
        </w:rPr>
        <w:br w:type="column"/>
      </w:r>
    </w:p>
    <w:p>
      <w:pPr>
        <w:pStyle w:val="BodyText"/>
        <w:spacing w:line="14" w:lineRule="auto"/>
        <w:rPr>
          <w:sz w:val="2"/>
        </w:rPr>
      </w:pPr>
      <w:r>
        <w:rPr>
          <w:sz w:val="2"/>
          <w:szCs w:val="2"/>
        </w:rPr>
        <w:br w:type="column"/>
      </w:r>
    </w:p>
    <w:p>
      <w:pPr>
        <w:spacing w:line="319" w:lineRule="exact"/>
        <w:rPr>
          <w:rFonts w:ascii="SimSun" w:hAnsi="SimSun" w:eastAsia="SimSun" w:cs="SimSun"/>
          <w:sz w:val="14"/>
          <w:szCs w:val="14"/>
        </w:rPr>
      </w:pPr>
      <w:r>
        <w:rPr>
          <w:rFonts w:ascii="SimSun" w:hAnsi="SimSun" w:eastAsia="SimSun" w:cs="SimSun"/>
          <w:sz w:val="14"/>
          <w:szCs w:val="14"/>
          <w:spacing w:val="12"/>
          <w:position w:val="14"/>
        </w:rPr>
        <w:t>云端数据管理</w:t>
      </w:r>
    </w:p>
    <w:p>
      <w:pPr>
        <w:ind w:left="110"/>
        <w:spacing w:before="1" w:line="219" w:lineRule="auto"/>
        <w:rPr>
          <w:rFonts w:ascii="SimSun" w:hAnsi="SimSun" w:eastAsia="SimSun" w:cs="SimSun"/>
          <w:sz w:val="14"/>
          <w:szCs w:val="14"/>
        </w:rPr>
      </w:pPr>
      <w:r>
        <w:rPr>
          <w:rFonts w:ascii="SimSun" w:hAnsi="SimSun" w:eastAsia="SimSun" w:cs="SimSun"/>
          <w:sz w:val="14"/>
          <w:szCs w:val="14"/>
          <w:spacing w:val="9"/>
        </w:rPr>
        <w:t>业务词汇表</w:t>
      </w:r>
    </w:p>
    <w:p>
      <w:pPr>
        <w:ind w:left="110"/>
        <w:spacing w:before="143" w:line="219" w:lineRule="auto"/>
        <w:rPr>
          <w:rFonts w:ascii="SimSun" w:hAnsi="SimSun" w:eastAsia="SimSun" w:cs="SimSun"/>
          <w:sz w:val="14"/>
          <w:szCs w:val="14"/>
        </w:rPr>
      </w:pPr>
      <w:r>
        <w:rPr>
          <w:rFonts w:ascii="SimSun" w:hAnsi="SimSun" w:eastAsia="SimSun" w:cs="SimSun"/>
          <w:sz w:val="14"/>
          <w:szCs w:val="14"/>
          <w:spacing w:val="8"/>
        </w:rPr>
        <w:t>元数据管理</w:t>
      </w:r>
    </w:p>
    <w:p>
      <w:pPr>
        <w:ind w:left="110"/>
        <w:spacing w:before="134" w:line="184" w:lineRule="auto"/>
        <w:rPr>
          <w:rFonts w:ascii="SimSun" w:hAnsi="SimSun" w:eastAsia="SimSun" w:cs="SimSun"/>
          <w:sz w:val="14"/>
          <w:szCs w:val="14"/>
        </w:rPr>
      </w:pPr>
      <w:r>
        <w:rPr>
          <w:rFonts w:ascii="SimSun" w:hAnsi="SimSun" w:eastAsia="SimSun" w:cs="SimSun"/>
          <w:sz w:val="14"/>
          <w:szCs w:val="14"/>
          <w:spacing w:val="8"/>
        </w:rPr>
        <w:t>主数据管理</w:t>
      </w:r>
    </w:p>
    <w:p>
      <w:pPr>
        <w:spacing w:line="184" w:lineRule="auto"/>
        <w:sectPr>
          <w:type w:val="continuous"/>
          <w:pgSz w:w="8870" w:h="13400"/>
          <w:pgMar w:top="400" w:right="575" w:bottom="440" w:left="320" w:header="0" w:footer="241" w:gutter="0"/>
          <w:cols w:equalWidth="0" w:num="4">
            <w:col w:w="2220" w:space="80"/>
            <w:col w:w="897" w:space="37"/>
            <w:col w:w="1746" w:space="100"/>
            <w:col w:w="2896" w:space="0"/>
          </w:cols>
        </w:sectPr>
        <w:rPr>
          <w:rFonts w:ascii="SimSun" w:hAnsi="SimSun" w:eastAsia="SimSun" w:cs="SimSun"/>
          <w:sz w:val="14"/>
          <w:szCs w:val="14"/>
        </w:rPr>
      </w:pPr>
    </w:p>
    <w:p>
      <w:pPr>
        <w:spacing w:before="24"/>
        <w:rPr/>
      </w:pPr>
      <w:r/>
    </w:p>
    <w:p>
      <w:pPr>
        <w:spacing w:before="23"/>
        <w:rPr/>
      </w:pPr>
      <w:r/>
    </w:p>
    <w:p>
      <w:pPr>
        <w:sectPr>
          <w:type w:val="continuous"/>
          <w:pgSz w:w="8870" w:h="13400"/>
          <w:pgMar w:top="400" w:right="575" w:bottom="440" w:left="320" w:header="0" w:footer="241" w:gutter="0"/>
          <w:cols w:equalWidth="0" w:num="1">
            <w:col w:w="7975" w:space="0"/>
          </w:cols>
        </w:sectPr>
        <w:rPr/>
      </w:pPr>
    </w:p>
    <w:p>
      <w:pPr>
        <w:ind w:left="1310"/>
        <w:spacing w:before="90" w:line="330" w:lineRule="exact"/>
        <w:rPr>
          <w:rFonts w:ascii="SimSun" w:hAnsi="SimSun" w:eastAsia="SimSun" w:cs="SimSun"/>
          <w:sz w:val="14"/>
          <w:szCs w:val="14"/>
        </w:rPr>
      </w:pPr>
      <w:r>
        <w:rPr>
          <w:rFonts w:ascii="SimSun" w:hAnsi="SimSun" w:eastAsia="SimSun" w:cs="SimSun"/>
          <w:sz w:val="14"/>
          <w:szCs w:val="14"/>
          <w:spacing w:val="13"/>
          <w:position w:val="14"/>
        </w:rPr>
        <w:t>安全与隐私</w:t>
      </w:r>
    </w:p>
    <w:p>
      <w:pPr>
        <w:ind w:left="1589"/>
        <w:spacing w:line="219" w:lineRule="auto"/>
        <w:rPr>
          <w:rFonts w:ascii="SimSun" w:hAnsi="SimSun" w:eastAsia="SimSun" w:cs="SimSun"/>
          <w:sz w:val="14"/>
          <w:szCs w:val="14"/>
        </w:rPr>
      </w:pPr>
      <w:r>
        <w:rPr>
          <w:rFonts w:ascii="SimSun" w:hAnsi="SimSun" w:eastAsia="SimSun" w:cs="SimSun"/>
          <w:sz w:val="14"/>
          <w:szCs w:val="14"/>
          <w:spacing w:val="11"/>
        </w:rPr>
        <w:t>数据安全</w:t>
      </w:r>
    </w:p>
    <w:p>
      <w:pPr>
        <w:ind w:left="1589"/>
        <w:spacing w:before="134" w:line="220" w:lineRule="auto"/>
        <w:rPr>
          <w:rFonts w:ascii="SimSun" w:hAnsi="SimSun" w:eastAsia="SimSun" w:cs="SimSun"/>
          <w:sz w:val="14"/>
          <w:szCs w:val="14"/>
        </w:rPr>
      </w:pPr>
      <w:r>
        <w:rPr>
          <w:rFonts w:ascii="SimSun" w:hAnsi="SimSun" w:eastAsia="SimSun" w:cs="SimSun"/>
          <w:sz w:val="14"/>
          <w:szCs w:val="14"/>
          <w:spacing w:val="12"/>
        </w:rPr>
        <w:t>隐私保护</w:t>
      </w:r>
    </w:p>
    <w:p>
      <w:pPr>
        <w:ind w:left="1589"/>
        <w:spacing w:before="143" w:line="219" w:lineRule="auto"/>
        <w:rPr>
          <w:rFonts w:ascii="SimSun" w:hAnsi="SimSun" w:eastAsia="SimSun" w:cs="SimSun"/>
          <w:sz w:val="14"/>
          <w:szCs w:val="14"/>
        </w:rPr>
      </w:pPr>
      <w:r>
        <w:rPr>
          <w:rFonts w:ascii="SimSun" w:hAnsi="SimSun" w:eastAsia="SimSun" w:cs="SimSun"/>
          <w:sz w:val="14"/>
          <w:szCs w:val="14"/>
          <w:spacing w:val="6"/>
        </w:rPr>
        <w:t>合规管理</w:t>
      </w:r>
    </w:p>
    <w:p>
      <w:pPr>
        <w:pStyle w:val="BodyText"/>
        <w:spacing w:line="14" w:lineRule="auto"/>
        <w:rPr>
          <w:sz w:val="2"/>
        </w:rPr>
      </w:pPr>
      <w:r>
        <w:rPr>
          <w:sz w:val="2"/>
          <w:szCs w:val="2"/>
        </w:rPr>
        <w:br w:type="column"/>
      </w:r>
    </w:p>
    <w:p>
      <w:pPr>
        <w:spacing w:line="559" w:lineRule="exact"/>
        <w:rPr>
          <w:rFonts w:ascii="SimSun" w:hAnsi="SimSun" w:eastAsia="SimSun" w:cs="SimSun"/>
          <w:sz w:val="14"/>
          <w:szCs w:val="14"/>
        </w:rPr>
      </w:pPr>
      <w:r>
        <w:rPr>
          <w:rFonts w:ascii="SimSun" w:hAnsi="SimSun" w:eastAsia="SimSun" w:cs="SimSun"/>
          <w:sz w:val="14"/>
          <w:szCs w:val="14"/>
          <w:spacing w:val="16"/>
          <w:position w:val="33"/>
        </w:rPr>
        <w:t>统筹和规划</w:t>
      </w:r>
      <w:r>
        <w:rPr>
          <w:rFonts w:ascii="SimSun" w:hAnsi="SimSun" w:eastAsia="SimSun" w:cs="SimSun"/>
          <w:sz w:val="14"/>
          <w:szCs w:val="14"/>
          <w:spacing w:val="8"/>
          <w:position w:val="33"/>
        </w:rPr>
        <w:t xml:space="preserve">       </w:t>
      </w:r>
      <w:r>
        <w:rPr>
          <w:rFonts w:ascii="SimSun" w:hAnsi="SimSun" w:eastAsia="SimSun" w:cs="SimSun"/>
          <w:sz w:val="14"/>
          <w:szCs w:val="14"/>
          <w:spacing w:val="16"/>
          <w:position w:val="27"/>
        </w:rPr>
        <w:t>构建和运行</w:t>
      </w:r>
    </w:p>
    <w:p>
      <w:pPr>
        <w:ind w:left="609"/>
        <w:spacing w:line="218" w:lineRule="auto"/>
        <w:rPr>
          <w:rFonts w:ascii="SimSun" w:hAnsi="SimSun" w:eastAsia="SimSun" w:cs="SimSun"/>
          <w:sz w:val="14"/>
          <w:szCs w:val="14"/>
        </w:rPr>
      </w:pPr>
      <w:r>
        <w:rPr>
          <w:rFonts w:ascii="SimSun" w:hAnsi="SimSun" w:eastAsia="SimSun" w:cs="SimSun"/>
          <w:sz w:val="14"/>
          <w:szCs w:val="14"/>
          <w:spacing w:val="12"/>
        </w:rPr>
        <w:t>云端数据治理</w:t>
      </w:r>
    </w:p>
    <w:p>
      <w:pPr>
        <w:pStyle w:val="BodyText"/>
        <w:spacing w:line="394" w:lineRule="auto"/>
        <w:rPr/>
      </w:pPr>
      <w:r/>
    </w:p>
    <w:p>
      <w:pPr>
        <w:spacing w:before="47" w:line="186" w:lineRule="auto"/>
        <w:rPr>
          <w:rFonts w:ascii="SimSun" w:hAnsi="SimSun" w:eastAsia="SimSun" w:cs="SimSun"/>
          <w:sz w:val="14"/>
          <w:szCs w:val="14"/>
        </w:rPr>
      </w:pPr>
      <w:r>
        <w:rPr>
          <w:rFonts w:ascii="SimSun" w:hAnsi="SimSun" w:eastAsia="SimSun" w:cs="SimSun"/>
          <w:sz w:val="14"/>
          <w:szCs w:val="14"/>
          <w:spacing w:val="16"/>
          <w:position w:val="-2"/>
        </w:rPr>
        <w:t>改进和优化</w:t>
      </w:r>
      <w:r>
        <w:rPr>
          <w:rFonts w:ascii="SimSun" w:hAnsi="SimSun" w:eastAsia="SimSun" w:cs="SimSun"/>
          <w:sz w:val="14"/>
          <w:szCs w:val="14"/>
          <w:spacing w:val="5"/>
          <w:position w:val="-2"/>
        </w:rPr>
        <w:t xml:space="preserve">       </w:t>
      </w:r>
      <w:r>
        <w:rPr>
          <w:rFonts w:ascii="SimSun" w:hAnsi="SimSun" w:eastAsia="SimSun" w:cs="SimSun"/>
          <w:sz w:val="14"/>
          <w:szCs w:val="14"/>
          <w:spacing w:val="16"/>
          <w:position w:val="2"/>
        </w:rPr>
        <w:t>监督和评估</w:t>
      </w:r>
    </w:p>
    <w:p>
      <w:pPr>
        <w:pStyle w:val="BodyText"/>
        <w:spacing w:line="14" w:lineRule="auto"/>
        <w:rPr>
          <w:sz w:val="2"/>
        </w:rPr>
      </w:pPr>
      <w:r>
        <w:rPr>
          <w:sz w:val="2"/>
          <w:szCs w:val="2"/>
        </w:rPr>
        <w:br w:type="column"/>
      </w:r>
    </w:p>
    <w:p>
      <w:pPr>
        <w:ind w:right="23"/>
        <w:spacing w:before="98" w:line="360" w:lineRule="exact"/>
        <w:jc w:val="right"/>
        <w:rPr>
          <w:rFonts w:ascii="SimSun" w:hAnsi="SimSun" w:eastAsia="SimSun" w:cs="SimSun"/>
          <w:sz w:val="14"/>
          <w:szCs w:val="14"/>
        </w:rPr>
      </w:pPr>
      <w:r>
        <w:rPr>
          <w:rFonts w:ascii="SimSun" w:hAnsi="SimSun" w:eastAsia="SimSun" w:cs="SimSun"/>
          <w:sz w:val="14"/>
          <w:szCs w:val="14"/>
          <w:spacing w:val="10"/>
          <w:position w:val="17"/>
        </w:rPr>
        <w:t>云端数据质量</w:t>
      </w:r>
    </w:p>
    <w:p>
      <w:pPr>
        <w:spacing w:before="1" w:line="219" w:lineRule="auto"/>
        <w:rPr>
          <w:rFonts w:ascii="SimSun" w:hAnsi="SimSun" w:eastAsia="SimSun" w:cs="SimSun"/>
          <w:sz w:val="14"/>
          <w:szCs w:val="14"/>
        </w:rPr>
      </w:pPr>
      <w:r>
        <w:rPr>
          <w:rFonts w:ascii="SimSun" w:hAnsi="SimSun" w:eastAsia="SimSun" w:cs="SimSun"/>
          <w:sz w:val="14"/>
          <w:szCs w:val="14"/>
          <w:spacing w:val="22"/>
        </w:rPr>
        <w:t>数据质量战略</w:t>
      </w:r>
    </w:p>
    <w:p>
      <w:pPr>
        <w:ind w:left="89"/>
        <w:spacing w:before="164" w:line="219" w:lineRule="auto"/>
        <w:rPr>
          <w:rFonts w:ascii="SimSun" w:hAnsi="SimSun" w:eastAsia="SimSun" w:cs="SimSun"/>
          <w:sz w:val="14"/>
          <w:szCs w:val="14"/>
        </w:rPr>
      </w:pPr>
      <w:r>
        <w:rPr>
          <w:rFonts w:ascii="SimSun" w:hAnsi="SimSun" w:eastAsia="SimSun" w:cs="SimSun"/>
          <w:sz w:val="14"/>
          <w:szCs w:val="14"/>
          <w:color w:val="FFFFFF"/>
          <w:spacing w:val="17"/>
        </w:rPr>
        <w:t>数据概要分析</w:t>
      </w:r>
    </w:p>
    <w:p>
      <w:pPr>
        <w:ind w:left="89"/>
        <w:spacing w:before="62" w:line="218" w:lineRule="auto"/>
        <w:rPr>
          <w:rFonts w:ascii="SimSun" w:hAnsi="SimSun" w:eastAsia="SimSun" w:cs="SimSun"/>
          <w:sz w:val="14"/>
          <w:szCs w:val="14"/>
        </w:rPr>
      </w:pPr>
      <w:r>
        <w:rPr>
          <w:rFonts w:ascii="SimSun" w:hAnsi="SimSun" w:eastAsia="SimSun" w:cs="SimSun"/>
          <w:sz w:val="14"/>
          <w:szCs w:val="14"/>
          <w:spacing w:val="14"/>
        </w:rPr>
        <w:t>数据质量评估</w:t>
      </w:r>
    </w:p>
    <w:p>
      <w:pPr>
        <w:pStyle w:val="BodyText"/>
        <w:spacing w:line="14" w:lineRule="auto"/>
        <w:rPr>
          <w:sz w:val="2"/>
        </w:rPr>
      </w:pPr>
      <w:r>
        <w:rPr>
          <w:sz w:val="2"/>
          <w:szCs w:val="2"/>
        </w:rPr>
        <w:br w:type="column"/>
      </w:r>
    </w:p>
    <w:p>
      <w:pPr>
        <w:spacing w:line="14" w:lineRule="auto"/>
        <w:sectPr>
          <w:type w:val="continuous"/>
          <w:pgSz w:w="8870" w:h="13400"/>
          <w:pgMar w:top="400" w:right="575" w:bottom="440" w:left="320" w:header="0" w:footer="241" w:gutter="0"/>
          <w:cols w:equalWidth="0" w:num="4">
            <w:col w:w="3000" w:space="100"/>
            <w:col w:w="2671" w:space="100"/>
            <w:col w:w="1099" w:space="100"/>
            <w:col w:w="906" w:space="0"/>
          </w:cols>
        </w:sectPr>
        <w:rPr>
          <w:sz w:val="2"/>
          <w:szCs w:val="2"/>
        </w:rPr>
      </w:pPr>
    </w:p>
    <w:p>
      <w:pPr>
        <w:spacing w:before="220"/>
        <w:rPr/>
      </w:pPr>
      <w:r/>
    </w:p>
    <w:p>
      <w:pPr>
        <w:sectPr>
          <w:type w:val="continuous"/>
          <w:pgSz w:w="8870" w:h="13400"/>
          <w:pgMar w:top="400" w:right="575" w:bottom="440" w:left="320" w:header="0" w:footer="241" w:gutter="0"/>
          <w:cols w:equalWidth="0" w:num="1">
            <w:col w:w="7975" w:space="0"/>
          </w:cols>
        </w:sectPr>
        <w:rPr/>
      </w:pPr>
    </w:p>
    <w:p>
      <w:pPr>
        <w:ind w:left="2289"/>
        <w:spacing w:before="39" w:line="184" w:lineRule="auto"/>
        <w:rPr>
          <w:rFonts w:ascii="SimSun" w:hAnsi="SimSun" w:eastAsia="SimSun" w:cs="SimSun"/>
          <w:sz w:val="14"/>
          <w:szCs w:val="14"/>
        </w:rPr>
      </w:pPr>
      <w:r>
        <w:rPr>
          <w:rFonts w:ascii="SimSun" w:hAnsi="SimSun" w:eastAsia="SimSun" w:cs="SimSun"/>
          <w:sz w:val="14"/>
          <w:szCs w:val="14"/>
          <w:spacing w:val="8"/>
        </w:rPr>
        <w:t>云端数据架构</w:t>
      </w:r>
    </w:p>
    <w:p>
      <w:pPr>
        <w:pStyle w:val="BodyText"/>
        <w:spacing w:line="14" w:lineRule="auto"/>
        <w:rPr>
          <w:sz w:val="2"/>
        </w:rPr>
      </w:pPr>
      <w:r>
        <w:rPr>
          <w:sz w:val="2"/>
          <w:szCs w:val="2"/>
        </w:rPr>
        <w:br w:type="column"/>
      </w:r>
    </w:p>
    <w:p>
      <w:pPr>
        <w:spacing w:before="27" w:line="198" w:lineRule="auto"/>
        <w:rPr>
          <w:rFonts w:ascii="SimSun" w:hAnsi="SimSun" w:eastAsia="SimSun" w:cs="SimSun"/>
          <w:sz w:val="14"/>
          <w:szCs w:val="14"/>
        </w:rPr>
      </w:pPr>
      <w:r>
        <w:rPr>
          <w:rFonts w:ascii="SimSun" w:hAnsi="SimSun" w:eastAsia="SimSun" w:cs="SimSun"/>
          <w:sz w:val="14"/>
          <w:szCs w:val="14"/>
          <w:spacing w:val="13"/>
        </w:rPr>
        <w:t>云端数据操作</w:t>
      </w:r>
    </w:p>
    <w:p>
      <w:pPr>
        <w:spacing w:line="198" w:lineRule="auto"/>
        <w:sectPr>
          <w:type w:val="continuous"/>
          <w:pgSz w:w="8870" w:h="13400"/>
          <w:pgMar w:top="400" w:right="575" w:bottom="440" w:left="320" w:header="0" w:footer="241" w:gutter="0"/>
          <w:cols w:equalWidth="0" w:num="2">
            <w:col w:w="5020" w:space="100"/>
            <w:col w:w="2856" w:space="0"/>
          </w:cols>
        </w:sectPr>
        <w:rPr>
          <w:rFonts w:ascii="SimSun" w:hAnsi="SimSun" w:eastAsia="SimSun" w:cs="SimSun"/>
          <w:sz w:val="14"/>
          <w:szCs w:val="14"/>
        </w:rPr>
      </w:pPr>
    </w:p>
    <w:p>
      <w:pPr>
        <w:spacing w:line="141" w:lineRule="exact"/>
        <w:rPr/>
      </w:pPr>
      <w:r/>
    </w:p>
    <w:p>
      <w:pPr>
        <w:spacing w:line="141" w:lineRule="exact"/>
        <w:sectPr>
          <w:type w:val="continuous"/>
          <w:pgSz w:w="8870" w:h="13400"/>
          <w:pgMar w:top="400" w:right="575" w:bottom="440" w:left="320" w:header="0" w:footer="241" w:gutter="0"/>
          <w:cols w:equalWidth="0" w:num="1">
            <w:col w:w="7975" w:space="0"/>
          </w:cols>
        </w:sectPr>
        <w:rPr/>
      </w:pPr>
    </w:p>
    <w:p>
      <w:pPr>
        <w:ind w:left="2619"/>
        <w:spacing w:before="49" w:line="220" w:lineRule="auto"/>
        <w:rPr>
          <w:rFonts w:ascii="SimSun" w:hAnsi="SimSun" w:eastAsia="SimSun" w:cs="SimSun"/>
          <w:sz w:val="14"/>
          <w:szCs w:val="14"/>
        </w:rPr>
      </w:pPr>
      <w:r>
        <w:rPr>
          <w:rFonts w:ascii="SimSun" w:hAnsi="SimSun" w:eastAsia="SimSun" w:cs="SimSun"/>
          <w:sz w:val="14"/>
          <w:szCs w:val="14"/>
          <w:spacing w:val="9"/>
        </w:rPr>
        <w:t>架构标准</w:t>
      </w:r>
    </w:p>
    <w:p>
      <w:pPr>
        <w:ind w:left="2429"/>
        <w:spacing w:before="113" w:line="290" w:lineRule="exact"/>
        <w:rPr>
          <w:rFonts w:ascii="SimSun" w:hAnsi="SimSun" w:eastAsia="SimSun" w:cs="SimSun"/>
          <w:sz w:val="14"/>
          <w:szCs w:val="14"/>
        </w:rPr>
      </w:pPr>
      <w:r>
        <w:rPr>
          <w:rFonts w:ascii="SimSun" w:hAnsi="SimSun" w:eastAsia="SimSun" w:cs="SimSun"/>
          <w:sz w:val="14"/>
          <w:szCs w:val="14"/>
          <w:spacing w:val="14"/>
          <w:position w:val="11"/>
        </w:rPr>
        <w:t>数据管理平台</w:t>
      </w:r>
    </w:p>
    <w:p>
      <w:pPr>
        <w:ind w:left="2429"/>
        <w:spacing w:line="184" w:lineRule="auto"/>
        <w:rPr>
          <w:rFonts w:ascii="SimSun" w:hAnsi="SimSun" w:eastAsia="SimSun" w:cs="SimSun"/>
          <w:sz w:val="14"/>
          <w:szCs w:val="14"/>
        </w:rPr>
      </w:pPr>
      <w:r>
        <w:rPr>
          <w:rFonts w:ascii="SimSun" w:hAnsi="SimSun" w:eastAsia="SimSun" w:cs="SimSun"/>
          <w:sz w:val="14"/>
          <w:szCs w:val="14"/>
          <w:spacing w:val="12"/>
        </w:rPr>
        <w:t>历史数据管理</w:t>
      </w:r>
    </w:p>
    <w:p>
      <w:pPr>
        <w:pStyle w:val="BodyText"/>
        <w:spacing w:line="14" w:lineRule="auto"/>
        <w:rPr>
          <w:sz w:val="2"/>
        </w:rPr>
      </w:pPr>
      <w:r>
        <w:rPr>
          <w:sz w:val="2"/>
          <w:szCs w:val="2"/>
        </w:rPr>
        <w:br w:type="column"/>
      </w:r>
    </w:p>
    <w:p>
      <w:pPr>
        <w:ind w:left="99"/>
        <w:spacing w:before="27" w:line="290" w:lineRule="exact"/>
        <w:rPr>
          <w:rFonts w:ascii="SimSun" w:hAnsi="SimSun" w:eastAsia="SimSun" w:cs="SimSun"/>
          <w:sz w:val="14"/>
          <w:szCs w:val="14"/>
        </w:rPr>
      </w:pPr>
      <w:r>
        <w:rPr>
          <w:rFonts w:ascii="SimSun" w:hAnsi="SimSun" w:eastAsia="SimSun" w:cs="SimSun"/>
          <w:sz w:val="14"/>
          <w:szCs w:val="14"/>
          <w:spacing w:val="12"/>
          <w:position w:val="11"/>
        </w:rPr>
        <w:t>数据提供者管理</w:t>
      </w:r>
    </w:p>
    <w:p>
      <w:pPr>
        <w:ind w:left="19"/>
        <w:spacing w:line="219" w:lineRule="auto"/>
        <w:rPr>
          <w:rFonts w:ascii="SimSun" w:hAnsi="SimSun" w:eastAsia="SimSun" w:cs="SimSun"/>
          <w:sz w:val="14"/>
          <w:szCs w:val="14"/>
        </w:rPr>
      </w:pPr>
      <w:r>
        <w:rPr>
          <w:rFonts w:ascii="SimSun" w:hAnsi="SimSun" w:eastAsia="SimSun" w:cs="SimSun"/>
          <w:sz w:val="14"/>
          <w:szCs w:val="14"/>
          <w:spacing w:val="12"/>
        </w:rPr>
        <w:t>数据集成与互操作</w:t>
      </w:r>
    </w:p>
    <w:p>
      <w:pPr>
        <w:spacing w:before="134" w:line="184" w:lineRule="auto"/>
        <w:rPr>
          <w:rFonts w:ascii="SimSun" w:hAnsi="SimSun" w:eastAsia="SimSun" w:cs="SimSun"/>
          <w:sz w:val="14"/>
          <w:szCs w:val="14"/>
        </w:rPr>
      </w:pPr>
      <w:r>
        <w:rPr>
          <w:rFonts w:ascii="SimSun" w:hAnsi="SimSun" w:eastAsia="SimSun" w:cs="SimSun"/>
          <w:sz w:val="14"/>
          <w:szCs w:val="14"/>
          <w:spacing w:val="14"/>
        </w:rPr>
        <w:t>数据生命周期管理</w:t>
      </w:r>
    </w:p>
    <w:p>
      <w:pPr>
        <w:spacing w:line="184" w:lineRule="auto"/>
        <w:sectPr>
          <w:type w:val="continuous"/>
          <w:pgSz w:w="8870" w:h="13400"/>
          <w:pgMar w:top="400" w:right="575" w:bottom="440" w:left="320" w:header="0" w:footer="241" w:gutter="0"/>
          <w:cols w:equalWidth="0" w:num="2">
            <w:col w:w="4840" w:space="100"/>
            <w:col w:w="3035" w:space="0"/>
          </w:cols>
        </w:sectPr>
        <w:rPr>
          <w:rFonts w:ascii="SimSun" w:hAnsi="SimSun" w:eastAsia="SimSun" w:cs="SimSun"/>
          <w:sz w:val="14"/>
          <w:szCs w:val="14"/>
        </w:rPr>
      </w:pPr>
    </w:p>
    <w:p>
      <w:pPr>
        <w:pStyle w:val="BodyText"/>
        <w:spacing w:line="339" w:lineRule="auto"/>
        <w:rPr/>
      </w:pPr>
      <w:r/>
    </w:p>
    <w:p>
      <w:pPr>
        <w:ind w:left="3101"/>
        <w:spacing w:before="46" w:line="221" w:lineRule="auto"/>
        <w:rPr>
          <w:rFonts w:ascii="SimHei" w:hAnsi="SimHei" w:eastAsia="SimHei" w:cs="SimHei"/>
          <w:sz w:val="14"/>
          <w:szCs w:val="14"/>
        </w:rPr>
      </w:pPr>
      <w:r>
        <w:rPr>
          <w:rFonts w:ascii="SimHei" w:hAnsi="SimHei" w:eastAsia="SimHei" w:cs="SimHei"/>
          <w:sz w:val="14"/>
          <w:szCs w:val="14"/>
          <w:b/>
          <w:bCs/>
          <w:spacing w:val="-9"/>
        </w:rPr>
        <w:t>图</w:t>
      </w:r>
      <w:r>
        <w:rPr>
          <w:rFonts w:ascii="SimHei" w:hAnsi="SimHei" w:eastAsia="SimHei" w:cs="SimHei"/>
          <w:sz w:val="14"/>
          <w:szCs w:val="14"/>
          <w:spacing w:val="-14"/>
        </w:rPr>
        <w:t xml:space="preserve"> </w:t>
      </w:r>
      <w:r>
        <w:rPr>
          <w:rFonts w:ascii="SimHei" w:hAnsi="SimHei" w:eastAsia="SimHei" w:cs="SimHei"/>
          <w:sz w:val="14"/>
          <w:szCs w:val="14"/>
          <w:b/>
          <w:bCs/>
          <w:spacing w:val="-9"/>
        </w:rPr>
        <w:t>3</w:t>
      </w:r>
      <w:r>
        <w:rPr>
          <w:rFonts w:ascii="SimHei" w:hAnsi="SimHei" w:eastAsia="SimHei" w:cs="SimHei"/>
          <w:sz w:val="14"/>
          <w:szCs w:val="14"/>
          <w:spacing w:val="-25"/>
        </w:rPr>
        <w:t xml:space="preserve"> </w:t>
      </w:r>
      <w:r>
        <w:rPr>
          <w:rFonts w:ascii="SimHei" w:hAnsi="SimHei" w:eastAsia="SimHei" w:cs="SimHei"/>
          <w:sz w:val="14"/>
          <w:szCs w:val="14"/>
          <w:b/>
          <w:bCs/>
          <w:spacing w:val="-9"/>
        </w:rPr>
        <w:t>-</w:t>
      </w:r>
      <w:r>
        <w:rPr>
          <w:rFonts w:ascii="SimHei" w:hAnsi="SimHei" w:eastAsia="SimHei" w:cs="SimHei"/>
          <w:sz w:val="14"/>
          <w:szCs w:val="14"/>
          <w:spacing w:val="-14"/>
        </w:rPr>
        <w:t xml:space="preserve"> </w:t>
      </w:r>
      <w:r>
        <w:rPr>
          <w:rFonts w:ascii="SimHei" w:hAnsi="SimHei" w:eastAsia="SimHei" w:cs="SimHei"/>
          <w:sz w:val="14"/>
          <w:szCs w:val="14"/>
          <w:b/>
          <w:bCs/>
          <w:spacing w:val="-9"/>
        </w:rPr>
        <w:t>1</w:t>
      </w:r>
      <w:r>
        <w:rPr>
          <w:rFonts w:ascii="SimHei" w:hAnsi="SimHei" w:eastAsia="SimHei" w:cs="SimHei"/>
          <w:sz w:val="14"/>
          <w:szCs w:val="14"/>
          <w:spacing w:val="17"/>
          <w:w w:val="101"/>
        </w:rPr>
        <w:t xml:space="preserve">  </w:t>
      </w:r>
      <w:r>
        <w:rPr>
          <w:rFonts w:ascii="SimHei" w:hAnsi="SimHei" w:eastAsia="SimHei" w:cs="SimHei"/>
          <w:sz w:val="14"/>
          <w:szCs w:val="14"/>
          <w:b/>
          <w:bCs/>
          <w:spacing w:val="-9"/>
        </w:rPr>
        <w:t>云</w:t>
      </w:r>
      <w:r>
        <w:rPr>
          <w:rFonts w:ascii="SimHei" w:hAnsi="SimHei" w:eastAsia="SimHei" w:cs="SimHei"/>
          <w:sz w:val="14"/>
          <w:szCs w:val="14"/>
          <w:spacing w:val="-15"/>
        </w:rPr>
        <w:t xml:space="preserve"> </w:t>
      </w:r>
      <w:r>
        <w:rPr>
          <w:rFonts w:ascii="SimHei" w:hAnsi="SimHei" w:eastAsia="SimHei" w:cs="SimHei"/>
          <w:sz w:val="14"/>
          <w:szCs w:val="14"/>
          <w:b/>
          <w:bCs/>
          <w:spacing w:val="-9"/>
        </w:rPr>
        <w:t>端</w:t>
      </w:r>
      <w:r>
        <w:rPr>
          <w:rFonts w:ascii="SimHei" w:hAnsi="SimHei" w:eastAsia="SimHei" w:cs="SimHei"/>
          <w:sz w:val="14"/>
          <w:szCs w:val="14"/>
          <w:spacing w:val="-13"/>
        </w:rPr>
        <w:t xml:space="preserve"> </w:t>
      </w:r>
      <w:r>
        <w:rPr>
          <w:rFonts w:ascii="SimHei" w:hAnsi="SimHei" w:eastAsia="SimHei" w:cs="SimHei"/>
          <w:sz w:val="14"/>
          <w:szCs w:val="14"/>
          <w:b/>
          <w:bCs/>
          <w:spacing w:val="-9"/>
        </w:rPr>
        <w:t>数</w:t>
      </w:r>
      <w:r>
        <w:rPr>
          <w:rFonts w:ascii="SimHei" w:hAnsi="SimHei" w:eastAsia="SimHei" w:cs="SimHei"/>
          <w:sz w:val="14"/>
          <w:szCs w:val="14"/>
          <w:spacing w:val="-14"/>
        </w:rPr>
        <w:t xml:space="preserve"> </w:t>
      </w:r>
      <w:r>
        <w:rPr>
          <w:rFonts w:ascii="SimHei" w:hAnsi="SimHei" w:eastAsia="SimHei" w:cs="SimHei"/>
          <w:sz w:val="14"/>
          <w:szCs w:val="14"/>
          <w:b/>
          <w:bCs/>
          <w:spacing w:val="-9"/>
        </w:rPr>
        <w:t>据</w:t>
      </w:r>
      <w:r>
        <w:rPr>
          <w:rFonts w:ascii="SimHei" w:hAnsi="SimHei" w:eastAsia="SimHei" w:cs="SimHei"/>
          <w:sz w:val="14"/>
          <w:szCs w:val="14"/>
          <w:spacing w:val="-9"/>
        </w:rPr>
        <w:t xml:space="preserve"> </w:t>
      </w:r>
      <w:r>
        <w:rPr>
          <w:rFonts w:ascii="SimHei" w:hAnsi="SimHei" w:eastAsia="SimHei" w:cs="SimHei"/>
          <w:sz w:val="14"/>
          <w:szCs w:val="14"/>
          <w:b/>
          <w:bCs/>
          <w:spacing w:val="-9"/>
        </w:rPr>
        <w:t>治</w:t>
      </w:r>
      <w:r>
        <w:rPr>
          <w:rFonts w:ascii="SimHei" w:hAnsi="SimHei" w:eastAsia="SimHei" w:cs="SimHei"/>
          <w:sz w:val="14"/>
          <w:szCs w:val="14"/>
          <w:spacing w:val="-15"/>
        </w:rPr>
        <w:t xml:space="preserve"> </w:t>
      </w:r>
      <w:r>
        <w:rPr>
          <w:rFonts w:ascii="SimHei" w:hAnsi="SimHei" w:eastAsia="SimHei" w:cs="SimHei"/>
          <w:sz w:val="14"/>
          <w:szCs w:val="14"/>
          <w:b/>
          <w:bCs/>
          <w:spacing w:val="-9"/>
        </w:rPr>
        <w:t>理</w:t>
      </w:r>
      <w:r>
        <w:rPr>
          <w:rFonts w:ascii="SimHei" w:hAnsi="SimHei" w:eastAsia="SimHei" w:cs="SimHei"/>
          <w:sz w:val="14"/>
          <w:szCs w:val="14"/>
          <w:spacing w:val="-15"/>
        </w:rPr>
        <w:t xml:space="preserve"> </w:t>
      </w:r>
      <w:r>
        <w:rPr>
          <w:rFonts w:ascii="SimHei" w:hAnsi="SimHei" w:eastAsia="SimHei" w:cs="SimHei"/>
          <w:sz w:val="14"/>
          <w:szCs w:val="14"/>
          <w:b/>
          <w:bCs/>
          <w:spacing w:val="-9"/>
        </w:rPr>
        <w:t>模</w:t>
      </w:r>
      <w:r>
        <w:rPr>
          <w:rFonts w:ascii="SimHei" w:hAnsi="SimHei" w:eastAsia="SimHei" w:cs="SimHei"/>
          <w:sz w:val="14"/>
          <w:szCs w:val="14"/>
          <w:spacing w:val="-12"/>
        </w:rPr>
        <w:t xml:space="preserve"> </w:t>
      </w:r>
      <w:r>
        <w:rPr>
          <w:rFonts w:ascii="SimHei" w:hAnsi="SimHei" w:eastAsia="SimHei" w:cs="SimHei"/>
          <w:sz w:val="14"/>
          <w:szCs w:val="14"/>
          <w:b/>
          <w:bCs/>
          <w:spacing w:val="-9"/>
        </w:rPr>
        <w:t>型</w:t>
      </w:r>
    </w:p>
    <w:p>
      <w:pPr>
        <w:ind w:left="249" w:right="65" w:firstLine="470"/>
        <w:spacing w:before="248" w:line="274" w:lineRule="auto"/>
        <w:jc w:val="both"/>
        <w:rPr>
          <w:rFonts w:ascii="SimSun" w:hAnsi="SimSun" w:eastAsia="SimSun" w:cs="SimSun"/>
          <w:sz w:val="20"/>
          <w:szCs w:val="20"/>
        </w:rPr>
      </w:pPr>
      <w:r>
        <w:rPr>
          <w:rFonts w:ascii="SimSun" w:hAnsi="SimSun" w:eastAsia="SimSun" w:cs="SimSun"/>
          <w:sz w:val="20"/>
          <w:szCs w:val="20"/>
          <w:spacing w:val="11"/>
        </w:rPr>
        <w:t>云端数据治理模型由云端数据战略、云端数据管理、云端数据质量、云端数据</w:t>
      </w:r>
      <w:r>
        <w:rPr>
          <w:rFonts w:ascii="SimSun" w:hAnsi="SimSun" w:eastAsia="SimSun" w:cs="SimSun"/>
          <w:sz w:val="20"/>
          <w:szCs w:val="20"/>
          <w:spacing w:val="6"/>
        </w:rPr>
        <w:t xml:space="preserve"> </w:t>
      </w:r>
      <w:r>
        <w:rPr>
          <w:rFonts w:ascii="SimSun" w:hAnsi="SimSun" w:eastAsia="SimSun" w:cs="SimSun"/>
          <w:sz w:val="20"/>
          <w:szCs w:val="20"/>
          <w:spacing w:val="11"/>
        </w:rPr>
        <w:t>操作、云端数据架构、安全与隐私六大职能域构成，云端数据治理模型过程域及定</w:t>
      </w:r>
      <w:r>
        <w:rPr>
          <w:rFonts w:ascii="SimSun" w:hAnsi="SimSun" w:eastAsia="SimSun" w:cs="SimSun"/>
          <w:sz w:val="20"/>
          <w:szCs w:val="20"/>
          <w:spacing w:val="16"/>
        </w:rPr>
        <w:t xml:space="preserve"> </w:t>
      </w:r>
      <w:r>
        <w:rPr>
          <w:rFonts w:ascii="SimSun" w:hAnsi="SimSun" w:eastAsia="SimSun" w:cs="SimSun"/>
          <w:sz w:val="20"/>
          <w:szCs w:val="20"/>
          <w:spacing w:val="9"/>
        </w:rPr>
        <w:t>义见表3-1。而云端数据治理体系则包括了统筹和规划、构建和运行、监督和评估、</w:t>
      </w:r>
      <w:r>
        <w:rPr>
          <w:rFonts w:ascii="SimSun" w:hAnsi="SimSun" w:eastAsia="SimSun" w:cs="SimSun"/>
          <w:sz w:val="20"/>
          <w:szCs w:val="20"/>
          <w:spacing w:val="16"/>
        </w:rPr>
        <w:t xml:space="preserve"> </w:t>
      </w:r>
      <w:r>
        <w:rPr>
          <w:rFonts w:ascii="SimSun" w:hAnsi="SimSun" w:eastAsia="SimSun" w:cs="SimSun"/>
          <w:sz w:val="20"/>
          <w:szCs w:val="20"/>
          <w:spacing w:val="8"/>
        </w:rPr>
        <w:t>改进和优化四个阶段，构成了一个完整的闭环体系。</w:t>
      </w:r>
    </w:p>
    <w:p>
      <w:pPr>
        <w:ind w:left="2551"/>
        <w:spacing w:before="187" w:line="221" w:lineRule="auto"/>
        <w:rPr>
          <w:rFonts w:ascii="SimHei" w:hAnsi="SimHei" w:eastAsia="SimHei" w:cs="SimHei"/>
          <w:sz w:val="14"/>
          <w:szCs w:val="14"/>
        </w:rPr>
      </w:pPr>
      <w:r>
        <w:rPr>
          <w:rFonts w:ascii="SimHei" w:hAnsi="SimHei" w:eastAsia="SimHei" w:cs="SimHei"/>
          <w:sz w:val="14"/>
          <w:szCs w:val="14"/>
          <w:b/>
          <w:bCs/>
          <w:spacing w:val="-8"/>
        </w:rPr>
        <w:t>表</w:t>
      </w:r>
      <w:r>
        <w:rPr>
          <w:rFonts w:ascii="SimHei" w:hAnsi="SimHei" w:eastAsia="SimHei" w:cs="SimHei"/>
          <w:sz w:val="14"/>
          <w:szCs w:val="14"/>
          <w:spacing w:val="-15"/>
        </w:rPr>
        <w:t xml:space="preserve"> </w:t>
      </w:r>
      <w:r>
        <w:rPr>
          <w:rFonts w:ascii="SimHei" w:hAnsi="SimHei" w:eastAsia="SimHei" w:cs="SimHei"/>
          <w:sz w:val="14"/>
          <w:szCs w:val="14"/>
          <w:b/>
          <w:bCs/>
          <w:spacing w:val="-8"/>
        </w:rPr>
        <w:t>3</w:t>
      </w:r>
      <w:r>
        <w:rPr>
          <w:rFonts w:ascii="SimHei" w:hAnsi="SimHei" w:eastAsia="SimHei" w:cs="SimHei"/>
          <w:sz w:val="14"/>
          <w:szCs w:val="14"/>
          <w:spacing w:val="-23"/>
        </w:rPr>
        <w:t xml:space="preserve"> </w:t>
      </w:r>
      <w:r>
        <w:rPr>
          <w:rFonts w:ascii="SimHei" w:hAnsi="SimHei" w:eastAsia="SimHei" w:cs="SimHei"/>
          <w:sz w:val="14"/>
          <w:szCs w:val="14"/>
          <w:b/>
          <w:bCs/>
          <w:spacing w:val="-8"/>
        </w:rPr>
        <w:t>-</w:t>
      </w:r>
      <w:r>
        <w:rPr>
          <w:rFonts w:ascii="SimHei" w:hAnsi="SimHei" w:eastAsia="SimHei" w:cs="SimHei"/>
          <w:sz w:val="14"/>
          <w:szCs w:val="14"/>
          <w:spacing w:val="-8"/>
        </w:rPr>
        <w:t xml:space="preserve"> </w:t>
      </w:r>
      <w:r>
        <w:rPr>
          <w:rFonts w:ascii="SimHei" w:hAnsi="SimHei" w:eastAsia="SimHei" w:cs="SimHei"/>
          <w:sz w:val="14"/>
          <w:szCs w:val="14"/>
          <w:b/>
          <w:bCs/>
          <w:spacing w:val="-8"/>
        </w:rPr>
        <w:t>1</w:t>
      </w:r>
      <w:r>
        <w:rPr>
          <w:rFonts w:ascii="SimHei" w:hAnsi="SimHei" w:eastAsia="SimHei" w:cs="SimHei"/>
          <w:sz w:val="14"/>
          <w:szCs w:val="14"/>
          <w:spacing w:val="18"/>
        </w:rPr>
        <w:t xml:space="preserve">  </w:t>
      </w:r>
      <w:r>
        <w:rPr>
          <w:rFonts w:ascii="SimHei" w:hAnsi="SimHei" w:eastAsia="SimHei" w:cs="SimHei"/>
          <w:sz w:val="14"/>
          <w:szCs w:val="14"/>
          <w:b/>
          <w:bCs/>
          <w:spacing w:val="-8"/>
        </w:rPr>
        <w:t>云</w:t>
      </w:r>
      <w:r>
        <w:rPr>
          <w:rFonts w:ascii="SimHei" w:hAnsi="SimHei" w:eastAsia="SimHei" w:cs="SimHei"/>
          <w:sz w:val="14"/>
          <w:szCs w:val="14"/>
          <w:spacing w:val="-20"/>
        </w:rPr>
        <w:t xml:space="preserve"> </w:t>
      </w:r>
      <w:r>
        <w:rPr>
          <w:rFonts w:ascii="SimHei" w:hAnsi="SimHei" w:eastAsia="SimHei" w:cs="SimHei"/>
          <w:sz w:val="14"/>
          <w:szCs w:val="14"/>
          <w:b/>
          <w:bCs/>
          <w:spacing w:val="-8"/>
        </w:rPr>
        <w:t>端</w:t>
      </w:r>
      <w:r>
        <w:rPr>
          <w:rFonts w:ascii="SimHei" w:hAnsi="SimHei" w:eastAsia="SimHei" w:cs="SimHei"/>
          <w:sz w:val="14"/>
          <w:szCs w:val="14"/>
          <w:spacing w:val="-19"/>
        </w:rPr>
        <w:t xml:space="preserve"> </w:t>
      </w:r>
      <w:r>
        <w:rPr>
          <w:rFonts w:ascii="SimHei" w:hAnsi="SimHei" w:eastAsia="SimHei" w:cs="SimHei"/>
          <w:sz w:val="14"/>
          <w:szCs w:val="14"/>
          <w:b/>
          <w:bCs/>
          <w:spacing w:val="-8"/>
        </w:rPr>
        <w:t>数</w:t>
      </w:r>
      <w:r>
        <w:rPr>
          <w:rFonts w:ascii="SimHei" w:hAnsi="SimHei" w:eastAsia="SimHei" w:cs="SimHei"/>
          <w:sz w:val="14"/>
          <w:szCs w:val="14"/>
          <w:spacing w:val="-19"/>
        </w:rPr>
        <w:t xml:space="preserve"> </w:t>
      </w:r>
      <w:r>
        <w:rPr>
          <w:rFonts w:ascii="SimHei" w:hAnsi="SimHei" w:eastAsia="SimHei" w:cs="SimHei"/>
          <w:sz w:val="14"/>
          <w:szCs w:val="14"/>
          <w:b/>
          <w:bCs/>
          <w:spacing w:val="-8"/>
        </w:rPr>
        <w:t>据</w:t>
      </w:r>
      <w:r>
        <w:rPr>
          <w:rFonts w:ascii="SimHei" w:hAnsi="SimHei" w:eastAsia="SimHei" w:cs="SimHei"/>
          <w:sz w:val="14"/>
          <w:szCs w:val="14"/>
          <w:spacing w:val="-18"/>
        </w:rPr>
        <w:t xml:space="preserve"> </w:t>
      </w:r>
      <w:r>
        <w:rPr>
          <w:rFonts w:ascii="SimHei" w:hAnsi="SimHei" w:eastAsia="SimHei" w:cs="SimHei"/>
          <w:sz w:val="14"/>
          <w:szCs w:val="14"/>
          <w:b/>
          <w:bCs/>
          <w:spacing w:val="-8"/>
        </w:rPr>
        <w:t>治</w:t>
      </w:r>
      <w:r>
        <w:rPr>
          <w:rFonts w:ascii="SimHei" w:hAnsi="SimHei" w:eastAsia="SimHei" w:cs="SimHei"/>
          <w:sz w:val="14"/>
          <w:szCs w:val="14"/>
          <w:spacing w:val="-20"/>
        </w:rPr>
        <w:t xml:space="preserve"> </w:t>
      </w:r>
      <w:r>
        <w:rPr>
          <w:rFonts w:ascii="SimHei" w:hAnsi="SimHei" w:eastAsia="SimHei" w:cs="SimHei"/>
          <w:sz w:val="14"/>
          <w:szCs w:val="14"/>
          <w:b/>
          <w:bCs/>
          <w:spacing w:val="-8"/>
        </w:rPr>
        <w:t>理</w:t>
      </w:r>
      <w:r>
        <w:rPr>
          <w:rFonts w:ascii="SimHei" w:hAnsi="SimHei" w:eastAsia="SimHei" w:cs="SimHei"/>
          <w:sz w:val="14"/>
          <w:szCs w:val="14"/>
          <w:spacing w:val="-21"/>
        </w:rPr>
        <w:t xml:space="preserve"> </w:t>
      </w:r>
      <w:r>
        <w:rPr>
          <w:rFonts w:ascii="SimHei" w:hAnsi="SimHei" w:eastAsia="SimHei" w:cs="SimHei"/>
          <w:sz w:val="14"/>
          <w:szCs w:val="14"/>
          <w:b/>
          <w:bCs/>
          <w:spacing w:val="-8"/>
        </w:rPr>
        <w:t>模</w:t>
      </w:r>
      <w:r>
        <w:rPr>
          <w:rFonts w:ascii="SimHei" w:hAnsi="SimHei" w:eastAsia="SimHei" w:cs="SimHei"/>
          <w:sz w:val="14"/>
          <w:szCs w:val="14"/>
          <w:spacing w:val="-17"/>
        </w:rPr>
        <w:t xml:space="preserve"> </w:t>
      </w:r>
      <w:r>
        <w:rPr>
          <w:rFonts w:ascii="SimHei" w:hAnsi="SimHei" w:eastAsia="SimHei" w:cs="SimHei"/>
          <w:sz w:val="14"/>
          <w:szCs w:val="14"/>
          <w:b/>
          <w:bCs/>
          <w:spacing w:val="-8"/>
        </w:rPr>
        <w:t>型</w:t>
      </w:r>
      <w:r>
        <w:rPr>
          <w:rFonts w:ascii="SimHei" w:hAnsi="SimHei" w:eastAsia="SimHei" w:cs="SimHei"/>
          <w:sz w:val="14"/>
          <w:szCs w:val="14"/>
          <w:spacing w:val="-20"/>
        </w:rPr>
        <w:t xml:space="preserve"> </w:t>
      </w:r>
      <w:r>
        <w:rPr>
          <w:rFonts w:ascii="SimHei" w:hAnsi="SimHei" w:eastAsia="SimHei" w:cs="SimHei"/>
          <w:sz w:val="14"/>
          <w:szCs w:val="14"/>
          <w:b/>
          <w:bCs/>
          <w:spacing w:val="-8"/>
        </w:rPr>
        <w:t>过</w:t>
      </w:r>
      <w:r>
        <w:rPr>
          <w:rFonts w:ascii="SimHei" w:hAnsi="SimHei" w:eastAsia="SimHei" w:cs="SimHei"/>
          <w:sz w:val="14"/>
          <w:szCs w:val="14"/>
          <w:spacing w:val="-20"/>
        </w:rPr>
        <w:t xml:space="preserve"> </w:t>
      </w:r>
      <w:r>
        <w:rPr>
          <w:rFonts w:ascii="SimHei" w:hAnsi="SimHei" w:eastAsia="SimHei" w:cs="SimHei"/>
          <w:sz w:val="14"/>
          <w:szCs w:val="14"/>
          <w:b/>
          <w:bCs/>
          <w:spacing w:val="-8"/>
        </w:rPr>
        <w:t>程</w:t>
      </w:r>
      <w:r>
        <w:rPr>
          <w:rFonts w:ascii="SimHei" w:hAnsi="SimHei" w:eastAsia="SimHei" w:cs="SimHei"/>
          <w:sz w:val="14"/>
          <w:szCs w:val="14"/>
          <w:spacing w:val="-20"/>
        </w:rPr>
        <w:t xml:space="preserve"> </w:t>
      </w:r>
      <w:r>
        <w:rPr>
          <w:rFonts w:ascii="SimHei" w:hAnsi="SimHei" w:eastAsia="SimHei" w:cs="SimHei"/>
          <w:sz w:val="14"/>
          <w:szCs w:val="14"/>
          <w:b/>
          <w:bCs/>
          <w:spacing w:val="-8"/>
        </w:rPr>
        <w:t>域</w:t>
      </w:r>
      <w:r>
        <w:rPr>
          <w:rFonts w:ascii="SimHei" w:hAnsi="SimHei" w:eastAsia="SimHei" w:cs="SimHei"/>
          <w:sz w:val="14"/>
          <w:szCs w:val="14"/>
          <w:spacing w:val="-19"/>
        </w:rPr>
        <w:t xml:space="preserve"> </w:t>
      </w:r>
      <w:r>
        <w:rPr>
          <w:rFonts w:ascii="SimHei" w:hAnsi="SimHei" w:eastAsia="SimHei" w:cs="SimHei"/>
          <w:sz w:val="14"/>
          <w:szCs w:val="14"/>
          <w:b/>
          <w:bCs/>
          <w:spacing w:val="-8"/>
        </w:rPr>
        <w:t>及</w:t>
      </w:r>
      <w:r>
        <w:rPr>
          <w:rFonts w:ascii="SimHei" w:hAnsi="SimHei" w:eastAsia="SimHei" w:cs="SimHei"/>
          <w:sz w:val="14"/>
          <w:szCs w:val="14"/>
          <w:spacing w:val="-22"/>
        </w:rPr>
        <w:t xml:space="preserve"> </w:t>
      </w:r>
      <w:r>
        <w:rPr>
          <w:rFonts w:ascii="SimHei" w:hAnsi="SimHei" w:eastAsia="SimHei" w:cs="SimHei"/>
          <w:sz w:val="14"/>
          <w:szCs w:val="14"/>
          <w:b/>
          <w:bCs/>
          <w:spacing w:val="-8"/>
        </w:rPr>
        <w:t>定</w:t>
      </w:r>
      <w:r>
        <w:rPr>
          <w:rFonts w:ascii="SimHei" w:hAnsi="SimHei" w:eastAsia="SimHei" w:cs="SimHei"/>
          <w:sz w:val="14"/>
          <w:szCs w:val="14"/>
          <w:spacing w:val="-17"/>
        </w:rPr>
        <w:t xml:space="preserve"> </w:t>
      </w:r>
      <w:r>
        <w:rPr>
          <w:rFonts w:ascii="SimHei" w:hAnsi="SimHei" w:eastAsia="SimHei" w:cs="SimHei"/>
          <w:sz w:val="14"/>
          <w:szCs w:val="14"/>
          <w:b/>
          <w:bCs/>
          <w:spacing w:val="-8"/>
        </w:rPr>
        <w:t>义</w:t>
      </w:r>
    </w:p>
    <w:p>
      <w:pPr>
        <w:spacing w:line="95" w:lineRule="exact"/>
        <w:rPr/>
      </w:pPr>
      <w:r/>
    </w:p>
    <w:tbl>
      <w:tblPr>
        <w:tblStyle w:val="TableNormal"/>
        <w:tblW w:w="7652" w:type="dxa"/>
        <w:tblInd w:w="31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84"/>
        <w:gridCol w:w="1488"/>
        <w:gridCol w:w="4980"/>
      </w:tblGrid>
      <w:tr>
        <w:trPr>
          <w:trHeight w:val="343" w:hRule="atLeast"/>
        </w:trPr>
        <w:tc>
          <w:tcPr>
            <w:tcW w:w="1184" w:type="dxa"/>
            <w:vAlign w:val="top"/>
            <w:tcBorders>
              <w:left w:val="single" w:color="000000" w:sz="2" w:space="0"/>
            </w:tcBorders>
          </w:tcPr>
          <w:p>
            <w:pPr>
              <w:pStyle w:val="TableText"/>
              <w:ind w:left="210"/>
              <w:spacing w:before="101" w:line="220" w:lineRule="auto"/>
              <w:rPr/>
            </w:pPr>
            <w:r>
              <w:rPr>
                <w:spacing w:val="-7"/>
              </w:rPr>
              <w:t>职</w:t>
            </w:r>
            <w:r>
              <w:rPr>
                <w:spacing w:val="17"/>
              </w:rPr>
              <w:t xml:space="preserve">  </w:t>
            </w:r>
            <w:r>
              <w:rPr>
                <w:spacing w:val="-7"/>
              </w:rPr>
              <w:t>能</w:t>
            </w:r>
            <w:r>
              <w:rPr>
                <w:spacing w:val="14"/>
              </w:rPr>
              <w:t xml:space="preserve">  </w:t>
            </w:r>
            <w:r>
              <w:rPr>
                <w:spacing w:val="-7"/>
              </w:rPr>
              <w:t>域</w:t>
            </w:r>
          </w:p>
        </w:tc>
        <w:tc>
          <w:tcPr>
            <w:tcW w:w="1488" w:type="dxa"/>
            <w:vAlign w:val="top"/>
          </w:tcPr>
          <w:p>
            <w:pPr>
              <w:pStyle w:val="TableText"/>
              <w:ind w:left="343"/>
              <w:spacing w:before="101" w:line="220" w:lineRule="auto"/>
              <w:rPr/>
            </w:pPr>
            <w:r>
              <w:rPr>
                <w:spacing w:val="-4"/>
              </w:rPr>
              <w:t>过</w:t>
            </w:r>
            <w:r>
              <w:rPr>
                <w:spacing w:val="11"/>
              </w:rPr>
              <w:t xml:space="preserve">   </w:t>
            </w:r>
            <w:r>
              <w:rPr>
                <w:spacing w:val="-4"/>
              </w:rPr>
              <w:t>程</w:t>
            </w:r>
            <w:r>
              <w:rPr>
                <w:spacing w:val="20"/>
                <w:w w:val="101"/>
              </w:rPr>
              <w:t xml:space="preserve"> </w:t>
            </w:r>
            <w:r>
              <w:rPr>
                <w:spacing w:val="-4"/>
              </w:rPr>
              <w:t>域</w:t>
            </w:r>
          </w:p>
        </w:tc>
        <w:tc>
          <w:tcPr>
            <w:tcW w:w="4980" w:type="dxa"/>
            <w:vAlign w:val="top"/>
          </w:tcPr>
          <w:p>
            <w:pPr>
              <w:pStyle w:val="TableText"/>
              <w:ind w:left="2135"/>
              <w:spacing w:before="101" w:line="220" w:lineRule="auto"/>
              <w:rPr/>
            </w:pPr>
            <w:r>
              <w:rPr>
                <w:spacing w:val="-2"/>
              </w:rPr>
              <w:t>定义&amp;功能</w:t>
            </w:r>
          </w:p>
        </w:tc>
      </w:tr>
      <w:tr>
        <w:trPr>
          <w:trHeight w:val="596" w:hRule="atLeast"/>
        </w:trPr>
        <w:tc>
          <w:tcPr>
            <w:tcW w:w="1184" w:type="dxa"/>
            <w:vAlign w:val="top"/>
            <w:vMerge w:val="restart"/>
            <w:tcBorders>
              <w:left w:val="single" w:color="000000" w:sz="2" w:space="0"/>
              <w:bottom w:val="nil"/>
            </w:tcBorders>
          </w:tcPr>
          <w:p>
            <w:pPr>
              <w:rPr>
                <w:rFonts w:ascii="Arial"/>
                <w:sz w:val="21"/>
              </w:rPr>
            </w:pPr>
            <w:r/>
          </w:p>
        </w:tc>
        <w:tc>
          <w:tcPr>
            <w:tcW w:w="1488" w:type="dxa"/>
            <w:vAlign w:val="top"/>
          </w:tcPr>
          <w:p>
            <w:pPr>
              <w:pStyle w:val="TableText"/>
              <w:ind w:left="583"/>
              <w:spacing w:before="228" w:line="220" w:lineRule="auto"/>
              <w:rPr/>
            </w:pPr>
            <w:r>
              <w:rPr>
                <w:spacing w:val="-4"/>
              </w:rPr>
              <w:t>战略</w:t>
            </w:r>
          </w:p>
        </w:tc>
        <w:tc>
          <w:tcPr>
            <w:tcW w:w="4980" w:type="dxa"/>
            <w:vAlign w:val="top"/>
          </w:tcPr>
          <w:p>
            <w:pPr>
              <w:pStyle w:val="TableText"/>
              <w:ind w:left="275"/>
              <w:spacing w:before="88" w:line="300" w:lineRule="exact"/>
              <w:rPr/>
            </w:pPr>
            <w:r>
              <w:rPr>
                <w:position w:val="11"/>
              </w:rPr>
              <w:t>定义组织云端数据治理的愿景、目标和目的，</w:t>
            </w:r>
            <w:r>
              <w:rPr>
                <w:spacing w:val="-1"/>
                <w:position w:val="11"/>
              </w:rPr>
              <w:t>说明组织为什么实施云端</w:t>
            </w:r>
          </w:p>
          <w:p>
            <w:pPr>
              <w:pStyle w:val="TableText"/>
              <w:ind w:left="275"/>
              <w:spacing w:line="219" w:lineRule="auto"/>
              <w:rPr/>
            </w:pPr>
            <w:r>
              <w:rPr/>
              <w:t>数据治理项目，该项目要达到什么样的目标，以及需要做什么</w:t>
            </w:r>
          </w:p>
        </w:tc>
      </w:tr>
      <w:tr>
        <w:trPr>
          <w:trHeight w:val="338" w:hRule="atLeast"/>
        </w:trPr>
        <w:tc>
          <w:tcPr>
            <w:tcW w:w="1184" w:type="dxa"/>
            <w:vAlign w:val="top"/>
            <w:vMerge w:val="continue"/>
            <w:tcBorders>
              <w:left w:val="single" w:color="000000" w:sz="2" w:space="0"/>
              <w:top w:val="nil"/>
              <w:bottom w:val="nil"/>
            </w:tcBorders>
          </w:tcPr>
          <w:p>
            <w:pPr>
              <w:rPr>
                <w:rFonts w:ascii="Arial"/>
                <w:sz w:val="21"/>
              </w:rPr>
            </w:pPr>
            <w:r/>
          </w:p>
        </w:tc>
        <w:tc>
          <w:tcPr>
            <w:tcW w:w="1488" w:type="dxa"/>
            <w:vAlign w:val="top"/>
          </w:tcPr>
          <w:p>
            <w:pPr>
              <w:pStyle w:val="TableText"/>
              <w:ind w:left="363"/>
              <w:spacing w:before="101" w:line="219" w:lineRule="auto"/>
              <w:rPr/>
            </w:pPr>
            <w:r>
              <w:rPr>
                <w:spacing w:val="-2"/>
              </w:rPr>
              <w:t>组织与角色</w:t>
            </w:r>
          </w:p>
        </w:tc>
        <w:tc>
          <w:tcPr>
            <w:tcW w:w="4980" w:type="dxa"/>
            <w:vAlign w:val="top"/>
          </w:tcPr>
          <w:p>
            <w:pPr>
              <w:pStyle w:val="TableText"/>
              <w:ind w:left="275"/>
              <w:spacing w:before="102" w:line="219" w:lineRule="auto"/>
              <w:rPr/>
            </w:pPr>
            <w:r>
              <w:rPr/>
              <w:t>明确云端数据治理组织架构与成员，分配相关职责</w:t>
            </w:r>
          </w:p>
        </w:tc>
      </w:tr>
      <w:tr>
        <w:trPr>
          <w:trHeight w:val="601" w:hRule="atLeast"/>
        </w:trPr>
        <w:tc>
          <w:tcPr>
            <w:tcW w:w="1184" w:type="dxa"/>
            <w:vAlign w:val="top"/>
            <w:vMerge w:val="continue"/>
            <w:tcBorders>
              <w:left w:val="single" w:color="000000" w:sz="2" w:space="0"/>
              <w:top w:val="nil"/>
            </w:tcBorders>
          </w:tcPr>
          <w:p>
            <w:pPr>
              <w:rPr>
                <w:rFonts w:ascii="Arial"/>
                <w:sz w:val="21"/>
              </w:rPr>
            </w:pPr>
            <w:r/>
          </w:p>
        </w:tc>
        <w:tc>
          <w:tcPr>
            <w:tcW w:w="1488" w:type="dxa"/>
            <w:vAlign w:val="top"/>
          </w:tcPr>
          <w:p>
            <w:pPr>
              <w:pStyle w:val="TableText"/>
              <w:ind w:left="433"/>
              <w:spacing w:before="234" w:line="219" w:lineRule="auto"/>
              <w:rPr/>
            </w:pPr>
            <w:r>
              <w:rPr>
                <w:spacing w:val="-1"/>
              </w:rPr>
              <w:t>业务案例</w:t>
            </w:r>
          </w:p>
        </w:tc>
        <w:tc>
          <w:tcPr>
            <w:tcW w:w="4980" w:type="dxa"/>
            <w:vAlign w:val="top"/>
          </w:tcPr>
          <w:p>
            <w:pPr>
              <w:pStyle w:val="TableText"/>
              <w:ind w:left="275" w:right="59" w:hanging="10"/>
              <w:spacing w:before="103" w:line="289" w:lineRule="auto"/>
              <w:rPr/>
            </w:pPr>
            <w:r>
              <w:rPr/>
              <w:t>对云端数据治理方案、倡议或具体项目进行资助的提案</w:t>
            </w:r>
            <w:r>
              <w:rPr>
                <w:spacing w:val="-1"/>
              </w:rPr>
              <w:t>，描述治理的范</w:t>
            </w:r>
            <w:r>
              <w:rPr/>
              <w:t xml:space="preserve"> </w:t>
            </w:r>
            <w:r>
              <w:rPr/>
              <w:t>围、活动和预期结果</w:t>
            </w:r>
          </w:p>
        </w:tc>
      </w:tr>
    </w:tbl>
    <w:p>
      <w:pPr>
        <w:pStyle w:val="BodyText"/>
        <w:spacing w:line="14" w:lineRule="auto"/>
        <w:rPr>
          <w:sz w:val="2"/>
        </w:rPr>
      </w:pPr>
      <w:r/>
    </w:p>
    <w:p>
      <w:pPr>
        <w:spacing w:line="14" w:lineRule="auto"/>
        <w:sectPr>
          <w:type w:val="continuous"/>
          <w:pgSz w:w="8870" w:h="13400"/>
          <w:pgMar w:top="400" w:right="575" w:bottom="440" w:left="320" w:header="0" w:footer="241" w:gutter="0"/>
          <w:cols w:equalWidth="0" w:num="1">
            <w:col w:w="7975" w:space="0"/>
          </w:cols>
        </w:sectPr>
        <w:rPr>
          <w:sz w:val="2"/>
          <w:szCs w:val="2"/>
        </w:rPr>
      </w:pPr>
    </w:p>
    <w:p>
      <w:pPr>
        <w:ind w:left="3068"/>
        <w:spacing w:before="193" w:line="612" w:lineRule="exact"/>
        <w:rPr>
          <w:rFonts w:ascii="SimSun" w:hAnsi="SimSun" w:eastAsia="SimSun" w:cs="SimSun"/>
          <w:sz w:val="21"/>
          <w:szCs w:val="21"/>
        </w:rPr>
      </w:pPr>
      <w:bookmarkStart w:name="bookmark34" w:id="28"/>
      <w:bookmarkEnd w:id="28"/>
      <w:bookmarkStart w:name="bookmark35" w:id="29"/>
      <w:bookmarkEnd w:id="29"/>
      <w:bookmarkStart w:name="bookmark33" w:id="30"/>
      <w:bookmarkEnd w:id="30"/>
      <w:r>
        <w:rPr>
          <w:rFonts w:ascii="SimSun" w:hAnsi="SimSun" w:eastAsia="SimSun" w:cs="SimSun"/>
          <w:sz w:val="21"/>
          <w:szCs w:val="21"/>
          <w:b/>
          <w:bCs/>
          <w:spacing w:val="1"/>
          <w:position w:val="31"/>
        </w:rPr>
        <w:t>第3章■云端数据治理模型与治理成熟度评估模型</w:t>
      </w:r>
    </w:p>
    <w:p>
      <w:pPr>
        <w:ind w:left="689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6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74"/>
        <w:gridCol w:w="1478"/>
        <w:gridCol w:w="4998"/>
      </w:tblGrid>
      <w:tr>
        <w:trPr>
          <w:trHeight w:val="355" w:hRule="atLeast"/>
        </w:trPr>
        <w:tc>
          <w:tcPr>
            <w:tcW w:w="1174" w:type="dxa"/>
            <w:vAlign w:val="top"/>
          </w:tcPr>
          <w:p>
            <w:pPr>
              <w:pStyle w:val="TableText"/>
              <w:ind w:left="235"/>
              <w:spacing w:before="101" w:line="220" w:lineRule="auto"/>
              <w:rPr/>
            </w:pPr>
            <w:r>
              <w:rPr>
                <w:spacing w:val="-7"/>
              </w:rPr>
              <w:t>职</w:t>
            </w:r>
            <w:r>
              <w:rPr>
                <w:spacing w:val="6"/>
              </w:rPr>
              <w:t xml:space="preserve">  </w:t>
            </w:r>
            <w:r>
              <w:rPr>
                <w:spacing w:val="-7"/>
              </w:rPr>
              <w:t>能</w:t>
            </w:r>
            <w:r>
              <w:rPr>
                <w:spacing w:val="7"/>
              </w:rPr>
              <w:t xml:space="preserve"> </w:t>
            </w:r>
            <w:r>
              <w:rPr>
                <w:spacing w:val="-7"/>
              </w:rPr>
              <w:t>域</w:t>
            </w:r>
          </w:p>
        </w:tc>
        <w:tc>
          <w:tcPr>
            <w:tcW w:w="1478" w:type="dxa"/>
            <w:vAlign w:val="top"/>
          </w:tcPr>
          <w:p>
            <w:pPr>
              <w:pStyle w:val="TableText"/>
              <w:ind w:left="341"/>
              <w:spacing w:before="101" w:line="220" w:lineRule="auto"/>
              <w:rPr/>
            </w:pPr>
            <w:r>
              <w:rPr>
                <w:spacing w:val="-4"/>
              </w:rPr>
              <w:t>过</w:t>
            </w:r>
            <w:r>
              <w:rPr>
                <w:spacing w:val="13"/>
              </w:rPr>
              <w:t xml:space="preserve">  </w:t>
            </w:r>
            <w:r>
              <w:rPr>
                <w:spacing w:val="-4"/>
              </w:rPr>
              <w:t>程</w:t>
            </w:r>
            <w:r>
              <w:rPr>
                <w:spacing w:val="13"/>
              </w:rPr>
              <w:t xml:space="preserve">  </w:t>
            </w:r>
            <w:r>
              <w:rPr>
                <w:spacing w:val="-4"/>
              </w:rPr>
              <w:t>域</w:t>
            </w:r>
          </w:p>
        </w:tc>
        <w:tc>
          <w:tcPr>
            <w:tcW w:w="4998" w:type="dxa"/>
            <w:vAlign w:val="top"/>
          </w:tcPr>
          <w:p>
            <w:pPr>
              <w:pStyle w:val="TableText"/>
              <w:ind w:left="2142"/>
              <w:spacing w:before="101" w:line="220" w:lineRule="auto"/>
              <w:rPr/>
            </w:pPr>
            <w:r>
              <w:rPr>
                <w:spacing w:val="-2"/>
              </w:rPr>
              <w:t>定义&amp;功能</w:t>
            </w:r>
          </w:p>
        </w:tc>
      </w:tr>
      <w:tr>
        <w:trPr>
          <w:trHeight w:val="349" w:hRule="atLeast"/>
        </w:trPr>
        <w:tc>
          <w:tcPr>
            <w:tcW w:w="1174" w:type="dxa"/>
            <w:vAlign w:val="top"/>
            <w:vMerge w:val="restart"/>
            <w:tcBorders>
              <w:bottom w:val="nil"/>
            </w:tcBorders>
          </w:tcPr>
          <w:p>
            <w:pPr>
              <w:pStyle w:val="TableText"/>
              <w:ind w:left="275"/>
              <w:spacing w:before="276" w:line="219" w:lineRule="auto"/>
              <w:rPr/>
            </w:pPr>
            <w:r>
              <w:rPr>
                <w:spacing w:val="-2"/>
              </w:rPr>
              <w:t>数据战略</w:t>
            </w:r>
          </w:p>
        </w:tc>
        <w:tc>
          <w:tcPr>
            <w:tcW w:w="1478" w:type="dxa"/>
            <w:vAlign w:val="top"/>
          </w:tcPr>
          <w:p>
            <w:pPr>
              <w:pStyle w:val="TableText"/>
              <w:ind w:left="431"/>
              <w:spacing w:before="96" w:line="219" w:lineRule="auto"/>
              <w:rPr/>
            </w:pPr>
            <w:r>
              <w:rPr>
                <w:spacing w:val="-3"/>
              </w:rPr>
              <w:t>资源保障</w:t>
            </w:r>
          </w:p>
        </w:tc>
        <w:tc>
          <w:tcPr>
            <w:tcW w:w="4998" w:type="dxa"/>
            <w:vAlign w:val="top"/>
          </w:tcPr>
          <w:p>
            <w:pPr>
              <w:pStyle w:val="TableText"/>
              <w:spacing w:before="95" w:line="219" w:lineRule="auto"/>
              <w:jc w:val="right"/>
              <w:rPr/>
            </w:pPr>
            <w:r>
              <w:rPr>
                <w:spacing w:val="-2"/>
              </w:rPr>
              <w:t>为云端数据治理活动提供所需的人力、财力</w:t>
            </w:r>
            <w:r>
              <w:rPr>
                <w:spacing w:val="-3"/>
              </w:rPr>
              <w:t>、物力等资源，规划支持方案</w:t>
            </w:r>
          </w:p>
        </w:tc>
      </w:tr>
      <w:tr>
        <w:trPr>
          <w:trHeight w:val="340"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581"/>
              <w:spacing w:before="97" w:line="220" w:lineRule="auto"/>
              <w:rPr/>
            </w:pPr>
            <w:r>
              <w:rPr>
                <w:spacing w:val="-2"/>
              </w:rPr>
              <w:t>沟通</w:t>
            </w:r>
          </w:p>
        </w:tc>
        <w:tc>
          <w:tcPr>
            <w:tcW w:w="4998" w:type="dxa"/>
            <w:vAlign w:val="top"/>
          </w:tcPr>
          <w:p>
            <w:pPr>
              <w:pStyle w:val="TableText"/>
              <w:ind w:left="273"/>
              <w:spacing w:before="96" w:line="219" w:lineRule="auto"/>
              <w:rPr/>
            </w:pPr>
            <w:r>
              <w:rPr/>
              <w:t>确保战略、标准、过程等云端数据治理沟通能够有效发</w:t>
            </w:r>
            <w:r>
              <w:rPr>
                <w:spacing w:val="-1"/>
              </w:rPr>
              <w:t>布、理解和反馈</w:t>
            </w:r>
          </w:p>
        </w:tc>
      </w:tr>
      <w:tr>
        <w:trPr>
          <w:trHeight w:val="330" w:hRule="atLeast"/>
        </w:trPr>
        <w:tc>
          <w:tcPr>
            <w:tcW w:w="1174" w:type="dxa"/>
            <w:vAlign w:val="top"/>
            <w:vMerge w:val="restart"/>
            <w:tcBorders>
              <w:bottom w:val="nil"/>
            </w:tcBorders>
          </w:tcPr>
          <w:p>
            <w:pPr>
              <w:spacing w:line="257" w:lineRule="auto"/>
              <w:rPr>
                <w:rFonts w:ascii="Arial"/>
                <w:sz w:val="21"/>
              </w:rPr>
            </w:pPr>
            <w:r/>
          </w:p>
          <w:p>
            <w:pPr>
              <w:spacing w:line="258" w:lineRule="auto"/>
              <w:rPr>
                <w:rFonts w:ascii="Arial"/>
                <w:sz w:val="21"/>
              </w:rPr>
            </w:pPr>
            <w:r/>
          </w:p>
          <w:p>
            <w:pPr>
              <w:pStyle w:val="TableText"/>
              <w:ind w:left="275"/>
              <w:spacing w:before="49" w:line="219" w:lineRule="auto"/>
              <w:rPr/>
            </w:pPr>
            <w:r>
              <w:rPr>
                <w:spacing w:val="-2"/>
              </w:rPr>
              <w:t>数据管理</w:t>
            </w:r>
          </w:p>
        </w:tc>
        <w:tc>
          <w:tcPr>
            <w:tcW w:w="1478" w:type="dxa"/>
            <w:vAlign w:val="top"/>
          </w:tcPr>
          <w:p>
            <w:pPr>
              <w:pStyle w:val="TableText"/>
              <w:ind w:left="351"/>
              <w:spacing w:before="87" w:line="219" w:lineRule="auto"/>
              <w:rPr/>
            </w:pPr>
            <w:r>
              <w:rPr>
                <w:spacing w:val="-1"/>
              </w:rPr>
              <w:t>业务词汇表</w:t>
            </w:r>
          </w:p>
        </w:tc>
        <w:tc>
          <w:tcPr>
            <w:tcW w:w="4998" w:type="dxa"/>
            <w:vAlign w:val="top"/>
          </w:tcPr>
          <w:p>
            <w:pPr>
              <w:pStyle w:val="TableText"/>
              <w:ind w:left="263"/>
              <w:spacing w:before="86" w:line="219" w:lineRule="auto"/>
              <w:rPr/>
            </w:pPr>
            <w:r>
              <w:rPr>
                <w:spacing w:val="-1"/>
              </w:rPr>
              <w:t>为云端数据治理相关的词汇和定义提供统一的解释</w:t>
            </w:r>
          </w:p>
        </w:tc>
      </w:tr>
      <w:tr>
        <w:trPr>
          <w:trHeight w:val="340"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351"/>
              <w:spacing w:before="97" w:line="219" w:lineRule="auto"/>
              <w:rPr/>
            </w:pPr>
            <w:r>
              <w:rPr>
                <w:spacing w:val="-2"/>
              </w:rPr>
              <w:t>元数据管理</w:t>
            </w:r>
          </w:p>
        </w:tc>
        <w:tc>
          <w:tcPr>
            <w:tcW w:w="4998" w:type="dxa"/>
            <w:vAlign w:val="top"/>
          </w:tcPr>
          <w:p>
            <w:pPr>
              <w:pStyle w:val="TableText"/>
              <w:ind w:left="263"/>
              <w:spacing w:before="97" w:line="219" w:lineRule="auto"/>
              <w:rPr/>
            </w:pPr>
            <w:r>
              <w:rPr/>
              <w:t>为获得高质量的、整合的元数据而进行的规</w:t>
            </w:r>
            <w:r>
              <w:rPr>
                <w:spacing w:val="-1"/>
              </w:rPr>
              <w:t>划、实施与控制活动</w:t>
            </w:r>
          </w:p>
        </w:tc>
      </w:tr>
      <w:tr>
        <w:trPr>
          <w:trHeight w:val="599"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351"/>
              <w:spacing w:before="227" w:line="219" w:lineRule="auto"/>
              <w:rPr/>
            </w:pPr>
            <w:r>
              <w:rPr>
                <w:spacing w:val="-2"/>
              </w:rPr>
              <w:t>主数据管理</w:t>
            </w:r>
          </w:p>
        </w:tc>
        <w:tc>
          <w:tcPr>
            <w:tcW w:w="4998" w:type="dxa"/>
            <w:vAlign w:val="top"/>
          </w:tcPr>
          <w:p>
            <w:pPr>
              <w:pStyle w:val="TableText"/>
              <w:ind w:left="263" w:right="82"/>
              <w:spacing w:before="97" w:line="288" w:lineRule="auto"/>
              <w:rPr/>
            </w:pPr>
            <w:r>
              <w:rPr/>
              <w:t>指一整套的用于生成和维护企业主数据的规范、技</w:t>
            </w:r>
            <w:r>
              <w:rPr>
                <w:spacing w:val="-1"/>
              </w:rPr>
              <w:t>术和方案，以保证主</w:t>
            </w:r>
            <w:r>
              <w:rPr/>
              <w:t xml:space="preserve"> </w:t>
            </w:r>
            <w:r>
              <w:rPr>
                <w:spacing w:val="-9"/>
              </w:rPr>
              <w:t>数据的完整性、</w:t>
            </w:r>
            <w:r>
              <w:rPr>
                <w:spacing w:val="42"/>
                <w:w w:val="101"/>
              </w:rPr>
              <w:t xml:space="preserve"> </w:t>
            </w:r>
            <w:r>
              <w:rPr>
                <w:spacing w:val="-9"/>
              </w:rPr>
              <w:t>一致性和准确性</w:t>
            </w:r>
          </w:p>
        </w:tc>
      </w:tr>
      <w:tr>
        <w:trPr>
          <w:trHeight w:val="330" w:hRule="atLeast"/>
        </w:trPr>
        <w:tc>
          <w:tcPr>
            <w:tcW w:w="1174" w:type="dxa"/>
            <w:vAlign w:val="top"/>
            <w:vMerge w:val="restart"/>
            <w:tcBorders>
              <w:bottom w:val="nil"/>
            </w:tcBorders>
          </w:tcPr>
          <w:p>
            <w:pPr>
              <w:spacing w:line="292" w:lineRule="auto"/>
              <w:rPr>
                <w:rFonts w:ascii="Arial"/>
                <w:sz w:val="21"/>
              </w:rPr>
            </w:pPr>
            <w:r/>
          </w:p>
          <w:p>
            <w:pPr>
              <w:spacing w:line="293" w:lineRule="auto"/>
              <w:rPr>
                <w:rFonts w:ascii="Arial"/>
                <w:sz w:val="21"/>
              </w:rPr>
            </w:pPr>
            <w:r/>
          </w:p>
          <w:p>
            <w:pPr>
              <w:pStyle w:val="TableText"/>
              <w:ind w:left="275"/>
              <w:spacing w:before="49" w:line="219" w:lineRule="auto"/>
              <w:rPr/>
            </w:pPr>
            <w:r>
              <w:rPr>
                <w:spacing w:val="-2"/>
              </w:rPr>
              <w:t>数据质量</w:t>
            </w:r>
          </w:p>
        </w:tc>
        <w:tc>
          <w:tcPr>
            <w:tcW w:w="1478" w:type="dxa"/>
            <w:vAlign w:val="top"/>
          </w:tcPr>
          <w:p>
            <w:pPr>
              <w:pStyle w:val="TableText"/>
              <w:ind w:left="281"/>
              <w:spacing w:before="88" w:line="219" w:lineRule="auto"/>
              <w:rPr/>
            </w:pPr>
            <w:r>
              <w:rPr>
                <w:spacing w:val="-1"/>
              </w:rPr>
              <w:t>数据质量战略</w:t>
            </w:r>
          </w:p>
        </w:tc>
        <w:tc>
          <w:tcPr>
            <w:tcW w:w="4998" w:type="dxa"/>
            <w:vAlign w:val="top"/>
          </w:tcPr>
          <w:p>
            <w:pPr>
              <w:pStyle w:val="TableText"/>
              <w:ind w:left="263"/>
              <w:spacing w:before="88" w:line="219" w:lineRule="auto"/>
              <w:rPr/>
            </w:pPr>
            <w:r>
              <w:rPr>
                <w:spacing w:val="-1"/>
              </w:rPr>
              <w:t>为实现所需求的质量数据而制订的支持策略</w:t>
            </w:r>
          </w:p>
        </w:tc>
      </w:tr>
      <w:tr>
        <w:trPr>
          <w:trHeight w:val="360"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281"/>
              <w:spacing w:before="108" w:line="219" w:lineRule="auto"/>
              <w:rPr/>
            </w:pPr>
            <w:r>
              <w:rPr>
                <w:spacing w:val="-1"/>
              </w:rPr>
              <w:t>数据概要分析</w:t>
            </w:r>
          </w:p>
        </w:tc>
        <w:tc>
          <w:tcPr>
            <w:tcW w:w="4998" w:type="dxa"/>
            <w:vAlign w:val="top"/>
          </w:tcPr>
          <w:p>
            <w:pPr>
              <w:pStyle w:val="TableText"/>
              <w:ind w:left="263"/>
              <w:spacing w:before="108" w:line="219" w:lineRule="auto"/>
              <w:rPr/>
            </w:pPr>
            <w:r>
              <w:rPr>
                <w:spacing w:val="-1"/>
              </w:rPr>
              <w:t>通过对数据自身统计值分析来反映出数据质量问题</w:t>
            </w:r>
          </w:p>
        </w:tc>
      </w:tr>
      <w:tr>
        <w:trPr>
          <w:trHeight w:val="350"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281"/>
              <w:spacing w:before="96" w:line="218" w:lineRule="auto"/>
              <w:rPr/>
            </w:pPr>
            <w:r>
              <w:rPr>
                <w:spacing w:val="-1"/>
              </w:rPr>
              <w:t>数据质量评估</w:t>
            </w:r>
          </w:p>
        </w:tc>
        <w:tc>
          <w:tcPr>
            <w:tcW w:w="4998" w:type="dxa"/>
            <w:vAlign w:val="top"/>
          </w:tcPr>
          <w:p>
            <w:pPr>
              <w:pStyle w:val="TableText"/>
              <w:ind w:left="273"/>
              <w:spacing w:before="96" w:line="218" w:lineRule="auto"/>
              <w:rPr/>
            </w:pPr>
            <w:r>
              <w:rPr/>
              <w:t>依据过程、技术和数据质量规则采取系统性的方法对</w:t>
            </w:r>
            <w:r>
              <w:rPr>
                <w:spacing w:val="-1"/>
              </w:rPr>
              <w:t>数据质量进行评估</w:t>
            </w:r>
          </w:p>
        </w:tc>
      </w:tr>
      <w:tr>
        <w:trPr>
          <w:trHeight w:val="349"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431"/>
              <w:spacing w:before="98" w:line="219" w:lineRule="auto"/>
              <w:rPr/>
            </w:pPr>
            <w:r>
              <w:rPr>
                <w:spacing w:val="-2"/>
              </w:rPr>
              <w:t>数据清洗</w:t>
            </w:r>
          </w:p>
        </w:tc>
        <w:tc>
          <w:tcPr>
            <w:tcW w:w="4998" w:type="dxa"/>
            <w:vAlign w:val="top"/>
          </w:tcPr>
          <w:p>
            <w:pPr>
              <w:pStyle w:val="TableText"/>
              <w:ind w:left="263"/>
              <w:spacing w:before="97" w:line="219" w:lineRule="auto"/>
              <w:rPr/>
            </w:pPr>
            <w:r>
              <w:rPr>
                <w:spacing w:val="-1"/>
              </w:rPr>
              <w:t>定义机制、规则和方法以用于数据的验证和纠错</w:t>
            </w:r>
          </w:p>
        </w:tc>
      </w:tr>
      <w:tr>
        <w:trPr>
          <w:trHeight w:val="579" w:hRule="atLeast"/>
        </w:trPr>
        <w:tc>
          <w:tcPr>
            <w:tcW w:w="1174" w:type="dxa"/>
            <w:vAlign w:val="top"/>
            <w:vMerge w:val="restart"/>
            <w:tcBorders>
              <w:bottom w:val="nil"/>
            </w:tcBorders>
          </w:tcPr>
          <w:p>
            <w:pPr>
              <w:spacing w:line="318" w:lineRule="auto"/>
              <w:rPr>
                <w:rFonts w:ascii="Arial"/>
                <w:sz w:val="21"/>
              </w:rPr>
            </w:pPr>
            <w:r/>
          </w:p>
          <w:p>
            <w:pPr>
              <w:spacing w:line="318" w:lineRule="auto"/>
              <w:rPr>
                <w:rFonts w:ascii="Arial"/>
                <w:sz w:val="21"/>
              </w:rPr>
            </w:pPr>
            <w:r/>
          </w:p>
          <w:p>
            <w:pPr>
              <w:pStyle w:val="TableText"/>
              <w:ind w:left="275"/>
              <w:spacing w:before="49" w:line="219" w:lineRule="auto"/>
              <w:rPr/>
            </w:pPr>
            <w:r>
              <w:rPr>
                <w:spacing w:val="-2"/>
              </w:rPr>
              <w:t>数据操作</w:t>
            </w:r>
          </w:p>
        </w:tc>
        <w:tc>
          <w:tcPr>
            <w:tcW w:w="1478" w:type="dxa"/>
            <w:vAlign w:val="top"/>
          </w:tcPr>
          <w:p>
            <w:pPr>
              <w:pStyle w:val="TableText"/>
              <w:ind w:left="201"/>
              <w:spacing w:before="218" w:line="219" w:lineRule="auto"/>
              <w:rPr/>
            </w:pPr>
            <w:r>
              <w:rPr>
                <w:spacing w:val="-1"/>
              </w:rPr>
              <w:t>数据提供者管理</w:t>
            </w:r>
          </w:p>
        </w:tc>
        <w:tc>
          <w:tcPr>
            <w:tcW w:w="4998" w:type="dxa"/>
            <w:vAlign w:val="top"/>
          </w:tcPr>
          <w:p>
            <w:pPr>
              <w:pStyle w:val="TableText"/>
              <w:ind w:left="263" w:right="84"/>
              <w:spacing w:before="89" w:line="275" w:lineRule="auto"/>
              <w:rPr/>
            </w:pPr>
            <w:r>
              <w:rPr/>
              <w:t>定义数据采购需求、获取数据、管理协议以及</w:t>
            </w:r>
            <w:r>
              <w:rPr>
                <w:spacing w:val="-1"/>
              </w:rPr>
              <w:t>与提供者沟通的实践，通</w:t>
            </w:r>
            <w:r>
              <w:rPr/>
              <w:t xml:space="preserve"> </w:t>
            </w:r>
            <w:r>
              <w:rPr>
                <w:spacing w:val="-1"/>
              </w:rPr>
              <w:t>过优化内部和外部数据源来提供数据质量以满足业务需求</w:t>
            </w:r>
          </w:p>
        </w:tc>
      </w:tr>
      <w:tr>
        <w:trPr>
          <w:trHeight w:val="579"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131"/>
              <w:spacing w:before="220" w:line="219" w:lineRule="auto"/>
              <w:rPr/>
            </w:pPr>
            <w:r>
              <w:rPr>
                <w:spacing w:val="-1"/>
              </w:rPr>
              <w:t>数据集成与互操作</w:t>
            </w:r>
          </w:p>
        </w:tc>
        <w:tc>
          <w:tcPr>
            <w:tcW w:w="4998" w:type="dxa"/>
            <w:vAlign w:val="top"/>
          </w:tcPr>
          <w:p>
            <w:pPr>
              <w:pStyle w:val="TableText"/>
              <w:ind w:left="263" w:right="80"/>
              <w:spacing w:before="88" w:line="282" w:lineRule="auto"/>
              <w:rPr/>
            </w:pPr>
            <w:r>
              <w:rPr/>
              <w:t>把不同来源、格式、特点性质的数据在逻辑上或物理上</w:t>
            </w:r>
            <w:r>
              <w:rPr>
                <w:spacing w:val="-1"/>
              </w:rPr>
              <w:t>有机地集中，从</w:t>
            </w:r>
            <w:r>
              <w:rPr/>
              <w:t xml:space="preserve"> </w:t>
            </w:r>
            <w:r>
              <w:rPr/>
              <w:t>而为组织提供全面的数据共享，并确保数据在云服</w:t>
            </w:r>
            <w:r>
              <w:rPr>
                <w:spacing w:val="-1"/>
              </w:rPr>
              <w:t>务器间的互操作性</w:t>
            </w:r>
          </w:p>
        </w:tc>
      </w:tr>
      <w:tr>
        <w:trPr>
          <w:trHeight w:val="340"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131"/>
              <w:spacing w:before="101" w:line="219" w:lineRule="auto"/>
              <w:rPr/>
            </w:pPr>
            <w:r>
              <w:rPr>
                <w:spacing w:val="-1"/>
              </w:rPr>
              <w:t>数据生命周期管理</w:t>
            </w:r>
          </w:p>
        </w:tc>
        <w:tc>
          <w:tcPr>
            <w:tcW w:w="4998" w:type="dxa"/>
            <w:vAlign w:val="top"/>
          </w:tcPr>
          <w:p>
            <w:pPr>
              <w:pStyle w:val="TableText"/>
              <w:ind w:left="263"/>
              <w:spacing w:before="99" w:line="218" w:lineRule="auto"/>
              <w:rPr/>
            </w:pPr>
            <w:r>
              <w:rPr>
                <w:spacing w:val="-1"/>
              </w:rPr>
              <w:t>依据不同数据在不同阶段的价值实施不同的管理策略</w:t>
            </w:r>
          </w:p>
        </w:tc>
      </w:tr>
      <w:tr>
        <w:trPr>
          <w:trHeight w:val="609" w:hRule="atLeast"/>
        </w:trPr>
        <w:tc>
          <w:tcPr>
            <w:tcW w:w="1174" w:type="dxa"/>
            <w:vAlign w:val="top"/>
            <w:vMerge w:val="restart"/>
            <w:tcBorders>
              <w:bottom w:val="nil"/>
            </w:tcBorders>
          </w:tcPr>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TableText"/>
              <w:ind w:left="275"/>
              <w:spacing w:before="49" w:line="219" w:lineRule="auto"/>
              <w:rPr/>
            </w:pPr>
            <w:r>
              <w:rPr>
                <w:spacing w:val="-2"/>
              </w:rPr>
              <w:t>数据架构</w:t>
            </w:r>
          </w:p>
        </w:tc>
        <w:tc>
          <w:tcPr>
            <w:tcW w:w="1478" w:type="dxa"/>
            <w:vAlign w:val="top"/>
          </w:tcPr>
          <w:p>
            <w:pPr>
              <w:pStyle w:val="TableText"/>
              <w:ind w:left="281"/>
              <w:spacing w:before="231" w:line="219" w:lineRule="auto"/>
              <w:rPr/>
            </w:pPr>
            <w:r>
              <w:rPr>
                <w:spacing w:val="-1"/>
              </w:rPr>
              <w:t>数据架构方法</w:t>
            </w:r>
          </w:p>
        </w:tc>
        <w:tc>
          <w:tcPr>
            <w:tcW w:w="4998" w:type="dxa"/>
            <w:vAlign w:val="top"/>
          </w:tcPr>
          <w:p>
            <w:pPr>
              <w:pStyle w:val="TableText"/>
              <w:ind w:left="263" w:right="63" w:firstLine="20"/>
              <w:spacing w:before="100" w:line="282" w:lineRule="auto"/>
              <w:rPr/>
            </w:pPr>
            <w:r>
              <w:rPr/>
              <w:t>设计实施最优的数据分层使得数据的获取、生成</w:t>
            </w:r>
            <w:r>
              <w:rPr>
                <w:spacing w:val="-1"/>
              </w:rPr>
              <w:t>、存储和传输满足业务</w:t>
            </w:r>
            <w:r>
              <w:rPr/>
              <w:t xml:space="preserve"> </w:t>
            </w:r>
            <w:r>
              <w:rPr>
                <w:spacing w:val="-2"/>
              </w:rPr>
              <w:t>和技术目标</w:t>
            </w:r>
          </w:p>
        </w:tc>
      </w:tr>
      <w:tr>
        <w:trPr>
          <w:trHeight w:val="589"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281"/>
              <w:spacing w:before="222" w:line="219" w:lineRule="auto"/>
              <w:rPr/>
            </w:pPr>
            <w:r>
              <w:rPr>
                <w:spacing w:val="-1"/>
              </w:rPr>
              <w:t>数据架构标准</w:t>
            </w:r>
          </w:p>
        </w:tc>
        <w:tc>
          <w:tcPr>
            <w:tcW w:w="4998" w:type="dxa"/>
            <w:vAlign w:val="top"/>
          </w:tcPr>
          <w:p>
            <w:pPr>
              <w:pStyle w:val="TableText"/>
              <w:ind w:left="262" w:right="94" w:hanging="9"/>
              <w:spacing w:before="102" w:line="275" w:lineRule="auto"/>
              <w:rPr/>
            </w:pPr>
            <w:r>
              <w:rPr/>
              <w:t>定义一套用于开发、批准和实施数据治理合规</w:t>
            </w:r>
            <w:r>
              <w:rPr>
                <w:spacing w:val="-1"/>
              </w:rPr>
              <w:t>的方法和实践，用于数据</w:t>
            </w:r>
            <w:r>
              <w:rPr/>
              <w:t xml:space="preserve"> </w:t>
            </w:r>
            <w:r>
              <w:rPr>
                <w:spacing w:val="-1"/>
              </w:rPr>
              <w:t>表示、数据访问和数据分布的标准</w:t>
            </w:r>
          </w:p>
        </w:tc>
      </w:tr>
      <w:tr>
        <w:trPr>
          <w:trHeight w:val="330"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281"/>
              <w:spacing w:before="93" w:line="219" w:lineRule="auto"/>
              <w:rPr/>
            </w:pPr>
            <w:r>
              <w:rPr>
                <w:spacing w:val="2"/>
              </w:rPr>
              <w:t>数据管理平台</w:t>
            </w:r>
          </w:p>
        </w:tc>
        <w:tc>
          <w:tcPr>
            <w:tcW w:w="4998" w:type="dxa"/>
            <w:vAlign w:val="top"/>
          </w:tcPr>
          <w:p>
            <w:pPr>
              <w:pStyle w:val="TableText"/>
              <w:ind w:left="263"/>
              <w:spacing w:before="93" w:line="219" w:lineRule="auto"/>
              <w:rPr/>
            </w:pPr>
            <w:r>
              <w:rPr>
                <w:spacing w:val="-1"/>
              </w:rPr>
              <w:t>确保实施并管理了一个有效的平台来满足业务需求</w:t>
            </w:r>
          </w:p>
        </w:tc>
      </w:tr>
      <w:tr>
        <w:trPr>
          <w:trHeight w:val="349"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281"/>
              <w:spacing w:before="103" w:line="219" w:lineRule="auto"/>
              <w:rPr/>
            </w:pPr>
            <w:r>
              <w:rPr>
                <w:spacing w:val="-2"/>
              </w:rPr>
              <w:t>历史数据管理</w:t>
            </w:r>
          </w:p>
        </w:tc>
        <w:tc>
          <w:tcPr>
            <w:tcW w:w="4998" w:type="dxa"/>
            <w:vAlign w:val="top"/>
          </w:tcPr>
          <w:p>
            <w:pPr>
              <w:pStyle w:val="TableText"/>
              <w:ind w:left="263"/>
              <w:spacing w:before="103" w:line="219" w:lineRule="auto"/>
              <w:rPr/>
            </w:pPr>
            <w:r>
              <w:rPr/>
              <w:t>对历史数据进行管理，以满足组织调用等需求，并确</w:t>
            </w:r>
            <w:r>
              <w:rPr>
                <w:spacing w:val="-1"/>
              </w:rPr>
              <w:t>保满足合规要求</w:t>
            </w:r>
          </w:p>
        </w:tc>
      </w:tr>
      <w:tr>
        <w:trPr>
          <w:trHeight w:val="330" w:hRule="atLeast"/>
        </w:trPr>
        <w:tc>
          <w:tcPr>
            <w:tcW w:w="1174" w:type="dxa"/>
            <w:vAlign w:val="top"/>
            <w:vMerge w:val="restart"/>
            <w:tcBorders>
              <w:bottom w:val="nil"/>
            </w:tcBorders>
          </w:tcPr>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pStyle w:val="TableText"/>
              <w:ind w:left="205"/>
              <w:spacing w:before="49" w:line="220" w:lineRule="auto"/>
              <w:rPr/>
            </w:pPr>
            <w:r>
              <w:rPr>
                <w:spacing w:val="-2"/>
              </w:rPr>
              <w:t>安全与隐私</w:t>
            </w:r>
          </w:p>
        </w:tc>
        <w:tc>
          <w:tcPr>
            <w:tcW w:w="1478" w:type="dxa"/>
            <w:vAlign w:val="top"/>
          </w:tcPr>
          <w:p>
            <w:pPr>
              <w:pStyle w:val="TableText"/>
              <w:ind w:left="431"/>
              <w:spacing w:before="94" w:line="219" w:lineRule="auto"/>
              <w:rPr/>
            </w:pPr>
            <w:r>
              <w:rPr>
                <w:spacing w:val="-2"/>
              </w:rPr>
              <w:t>风险管理</w:t>
            </w:r>
          </w:p>
        </w:tc>
        <w:tc>
          <w:tcPr>
            <w:tcW w:w="4998" w:type="dxa"/>
            <w:vAlign w:val="top"/>
          </w:tcPr>
          <w:p>
            <w:pPr>
              <w:pStyle w:val="TableText"/>
              <w:ind w:left="263"/>
              <w:spacing w:before="93" w:line="219" w:lineRule="auto"/>
              <w:rPr/>
            </w:pPr>
            <w:r>
              <w:rPr/>
              <w:t>识别和分析潜在的问题，以便采取适当的措施</w:t>
            </w:r>
            <w:r>
              <w:rPr>
                <w:spacing w:val="-1"/>
              </w:rPr>
              <w:t>确保目标可以实现</w:t>
            </w:r>
          </w:p>
        </w:tc>
      </w:tr>
      <w:tr>
        <w:trPr>
          <w:trHeight w:val="589"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431"/>
              <w:spacing w:before="224" w:line="219" w:lineRule="auto"/>
              <w:rPr/>
            </w:pPr>
            <w:r>
              <w:rPr>
                <w:spacing w:val="-2"/>
              </w:rPr>
              <w:t>数据安全</w:t>
            </w:r>
          </w:p>
        </w:tc>
        <w:tc>
          <w:tcPr>
            <w:tcW w:w="4998" w:type="dxa"/>
            <w:vAlign w:val="top"/>
          </w:tcPr>
          <w:p>
            <w:pPr>
              <w:pStyle w:val="TableText"/>
              <w:ind w:left="263" w:right="80"/>
              <w:spacing w:before="103" w:line="282" w:lineRule="auto"/>
              <w:rPr/>
            </w:pPr>
            <w:r>
              <w:rPr/>
              <w:t>通过技术或非技术方式保证数据的访问受到合理控制，</w:t>
            </w:r>
            <w:r>
              <w:rPr>
                <w:spacing w:val="-1"/>
              </w:rPr>
              <w:t>并保证数据不被</w:t>
            </w:r>
            <w:r>
              <w:rPr/>
              <w:t xml:space="preserve"> </w:t>
            </w:r>
            <w:r>
              <w:rPr>
                <w:spacing w:val="-1"/>
              </w:rPr>
              <w:t>人为或意外的损坏而造成泄露或更改</w:t>
            </w:r>
          </w:p>
        </w:tc>
      </w:tr>
      <w:tr>
        <w:trPr>
          <w:trHeight w:val="360" w:hRule="atLeast"/>
        </w:trPr>
        <w:tc>
          <w:tcPr>
            <w:tcW w:w="1174" w:type="dxa"/>
            <w:vAlign w:val="top"/>
            <w:vMerge w:val="continue"/>
            <w:tcBorders>
              <w:top w:val="nil"/>
              <w:bottom w:val="nil"/>
            </w:tcBorders>
          </w:tcPr>
          <w:p>
            <w:pPr>
              <w:rPr>
                <w:rFonts w:ascii="Arial"/>
                <w:sz w:val="21"/>
              </w:rPr>
            </w:pPr>
            <w:r/>
          </w:p>
        </w:tc>
        <w:tc>
          <w:tcPr>
            <w:tcW w:w="1478" w:type="dxa"/>
            <w:vAlign w:val="top"/>
          </w:tcPr>
          <w:p>
            <w:pPr>
              <w:pStyle w:val="TableText"/>
              <w:ind w:left="431"/>
              <w:spacing w:before="115" w:line="220" w:lineRule="auto"/>
              <w:rPr/>
            </w:pPr>
            <w:r>
              <w:rPr>
                <w:spacing w:val="2"/>
              </w:rPr>
              <w:t>隐私保护</w:t>
            </w:r>
          </w:p>
        </w:tc>
        <w:tc>
          <w:tcPr>
            <w:tcW w:w="4998" w:type="dxa"/>
            <w:vAlign w:val="top"/>
          </w:tcPr>
          <w:p>
            <w:pPr>
              <w:pStyle w:val="TableText"/>
              <w:ind w:left="263"/>
              <w:spacing w:before="115" w:line="219" w:lineRule="auto"/>
              <w:rPr/>
            </w:pPr>
            <w:r>
              <w:rPr/>
              <w:t>确保数据治理过程中的隐私保护以及以数据为手</w:t>
            </w:r>
            <w:r>
              <w:rPr>
                <w:spacing w:val="-1"/>
              </w:rPr>
              <w:t>段增强隐私保护</w:t>
            </w:r>
          </w:p>
        </w:tc>
      </w:tr>
      <w:tr>
        <w:trPr>
          <w:trHeight w:val="604" w:hRule="atLeast"/>
        </w:trPr>
        <w:tc>
          <w:tcPr>
            <w:tcW w:w="1174" w:type="dxa"/>
            <w:vAlign w:val="top"/>
            <w:vMerge w:val="continue"/>
            <w:tcBorders>
              <w:top w:val="nil"/>
            </w:tcBorders>
          </w:tcPr>
          <w:p>
            <w:pPr>
              <w:rPr>
                <w:rFonts w:ascii="Arial"/>
                <w:sz w:val="21"/>
              </w:rPr>
            </w:pPr>
            <w:r/>
          </w:p>
        </w:tc>
        <w:tc>
          <w:tcPr>
            <w:tcW w:w="1478" w:type="dxa"/>
            <w:vAlign w:val="top"/>
          </w:tcPr>
          <w:p>
            <w:pPr>
              <w:pStyle w:val="TableText"/>
              <w:ind w:left="431"/>
              <w:spacing w:before="235" w:line="219" w:lineRule="auto"/>
              <w:rPr/>
            </w:pPr>
            <w:r>
              <w:rPr>
                <w:spacing w:val="-2"/>
              </w:rPr>
              <w:t>合规管理</w:t>
            </w:r>
          </w:p>
        </w:tc>
        <w:tc>
          <w:tcPr>
            <w:tcW w:w="4998" w:type="dxa"/>
            <w:vAlign w:val="top"/>
          </w:tcPr>
          <w:p>
            <w:pPr>
              <w:pStyle w:val="TableText"/>
              <w:spacing w:before="95" w:line="299" w:lineRule="exact"/>
              <w:jc w:val="right"/>
              <w:rPr/>
            </w:pPr>
            <w:r>
              <w:rPr>
                <w:spacing w:val="-2"/>
                <w:position w:val="11"/>
              </w:rPr>
              <w:t>为确保云端数据治理活动与其所适用的国家</w:t>
            </w:r>
            <w:r>
              <w:rPr>
                <w:spacing w:val="-3"/>
                <w:position w:val="11"/>
              </w:rPr>
              <w:t>法律、监管规定、行业规则、</w:t>
            </w:r>
          </w:p>
          <w:p>
            <w:pPr>
              <w:pStyle w:val="TableText"/>
              <w:ind w:left="263"/>
              <w:spacing w:line="219" w:lineRule="auto"/>
              <w:rPr/>
            </w:pPr>
            <w:r>
              <w:rPr>
                <w:spacing w:val="-2"/>
              </w:rPr>
              <w:t>自律准则等观念相一致而进行的管理</w:t>
            </w:r>
          </w:p>
        </w:tc>
      </w:tr>
    </w:tbl>
    <w:p>
      <w:pPr>
        <w:pStyle w:val="BodyText"/>
        <w:spacing w:line="263" w:lineRule="auto"/>
        <w:rPr/>
      </w:pPr>
      <w:r/>
    </w:p>
    <w:p>
      <w:pPr>
        <w:ind w:left="438"/>
        <w:spacing w:before="69" w:line="221" w:lineRule="auto"/>
        <w:outlineLvl w:val="1"/>
        <w:rPr>
          <w:rFonts w:ascii="YouYuan" w:hAnsi="YouYuan" w:eastAsia="YouYuan" w:cs="YouYuan"/>
          <w:sz w:val="21"/>
          <w:szCs w:val="21"/>
        </w:rPr>
      </w:pPr>
      <w:r>
        <w:rPr>
          <w:rFonts w:ascii="YouYuan" w:hAnsi="YouYuan" w:eastAsia="YouYuan" w:cs="YouYuan"/>
          <w:sz w:val="21"/>
          <w:szCs w:val="21"/>
          <w:b/>
          <w:bCs/>
          <w:spacing w:val="5"/>
        </w:rPr>
        <w:t>2.</w:t>
      </w:r>
      <w:r>
        <w:rPr>
          <w:rFonts w:ascii="YouYuan" w:hAnsi="YouYuan" w:eastAsia="YouYuan" w:cs="YouYuan"/>
          <w:sz w:val="21"/>
          <w:szCs w:val="21"/>
          <w:spacing w:val="45"/>
        </w:rPr>
        <w:t xml:space="preserve"> </w:t>
      </w:r>
      <w:r>
        <w:rPr>
          <w:rFonts w:ascii="YouYuan" w:hAnsi="YouYuan" w:eastAsia="YouYuan" w:cs="YouYuan"/>
          <w:sz w:val="21"/>
          <w:szCs w:val="21"/>
          <w:b/>
          <w:bCs/>
          <w:spacing w:val="5"/>
        </w:rPr>
        <w:t>云端数据治理的原则</w:t>
      </w:r>
    </w:p>
    <w:p>
      <w:pPr>
        <w:ind w:left="55" w:right="347" w:firstLine="440"/>
        <w:spacing w:before="237" w:line="252" w:lineRule="auto"/>
        <w:jc w:val="both"/>
        <w:rPr>
          <w:rFonts w:ascii="SimSun" w:hAnsi="SimSun" w:eastAsia="SimSun" w:cs="SimSun"/>
          <w:sz w:val="21"/>
          <w:szCs w:val="21"/>
        </w:rPr>
      </w:pPr>
      <w:r>
        <w:rPr>
          <w:rFonts w:ascii="SimSun" w:hAnsi="SimSun" w:eastAsia="SimSun" w:cs="SimSun"/>
          <w:sz w:val="21"/>
          <w:szCs w:val="21"/>
          <w:spacing w:val="1"/>
        </w:rPr>
        <w:t>云端数据治理原则是指导云端数据治理活动的基本准则，治理活动要在符合治  </w:t>
      </w:r>
      <w:r>
        <w:rPr>
          <w:rFonts w:ascii="SimSun" w:hAnsi="SimSun" w:eastAsia="SimSun" w:cs="SimSun"/>
          <w:sz w:val="21"/>
          <w:szCs w:val="21"/>
          <w:spacing w:val="1"/>
        </w:rPr>
        <w:t>理原则的前提下进行。根据云端数据治理活动特点，结合国家标准《信息技术服务</w:t>
      </w:r>
      <w:r>
        <w:rPr>
          <w:rFonts w:ascii="SimSun" w:hAnsi="SimSun" w:eastAsia="SimSun" w:cs="SimSun"/>
          <w:sz w:val="21"/>
          <w:szCs w:val="21"/>
          <w:spacing w:val="6"/>
        </w:rPr>
        <w:t xml:space="preserve">  </w:t>
      </w:r>
      <w:r>
        <w:rPr>
          <w:rFonts w:ascii="SimSun" w:hAnsi="SimSun" w:eastAsia="SimSun" w:cs="SimSun"/>
          <w:sz w:val="21"/>
          <w:szCs w:val="21"/>
          <w:spacing w:val="4"/>
        </w:rPr>
        <w:t>治理 第1部分：通用要求》等指导规范，云端数据治理活动的原则包括</w:t>
      </w:r>
      <w:r>
        <w:rPr>
          <w:rFonts w:ascii="SimSun" w:hAnsi="SimSun" w:eastAsia="SimSun" w:cs="SimSun"/>
          <w:sz w:val="21"/>
          <w:szCs w:val="21"/>
          <w:spacing w:val="3"/>
        </w:rPr>
        <w:t>全局统筹、</w:t>
      </w:r>
    </w:p>
    <w:p>
      <w:pPr>
        <w:spacing w:line="252" w:lineRule="auto"/>
        <w:sectPr>
          <w:footerReference w:type="default" r:id="rId118"/>
          <w:pgSz w:w="8870" w:h="13400"/>
          <w:pgMar w:top="400" w:right="287" w:bottom="600" w:left="474" w:header="0" w:footer="328" w:gutter="0"/>
        </w:sectPr>
        <w:rPr>
          <w:rFonts w:ascii="SimSun" w:hAnsi="SimSun" w:eastAsia="SimSun" w:cs="SimSun"/>
          <w:sz w:val="21"/>
          <w:szCs w:val="21"/>
        </w:rPr>
      </w:pPr>
    </w:p>
    <w:p>
      <w:pPr>
        <w:ind w:left="252"/>
        <w:spacing w:before="235" w:line="219" w:lineRule="auto"/>
        <w:rPr>
          <w:rFonts w:ascii="SimSun" w:hAnsi="SimSun" w:eastAsia="SimSun" w:cs="SimSun"/>
          <w:sz w:val="21"/>
          <w:szCs w:val="21"/>
        </w:rPr>
      </w:pPr>
      <w:r>
        <w:pict>
          <v:rect id="_x0000_s250" style="position:absolute;margin-left:25.0001pt;margin-top:28.5018pt;mso-position-vertical-relative:page;mso-position-horizontal-relative:page;width:0.55pt;height:18pt;z-index:252566528;" o:allowincell="f" fillcolor="#000000" filled="true" stroked="false"/>
        </w:pict>
      </w:r>
      <w:r>
        <w:rPr>
          <w:rFonts w:ascii="SimSun" w:hAnsi="SimSun" w:eastAsia="SimSun" w:cs="SimSun"/>
          <w:sz w:val="21"/>
          <w:szCs w:val="21"/>
          <w:b/>
          <w:bCs/>
          <w:spacing w:val="-28"/>
        </w:rPr>
        <w:t>■云端数据治理■</w:t>
      </w:r>
    </w:p>
    <w:p>
      <w:pPr>
        <w:pStyle w:val="BodyText"/>
        <w:spacing w:line="274" w:lineRule="auto"/>
        <w:rPr/>
      </w:pPr>
      <w:r/>
    </w:p>
    <w:p>
      <w:pPr>
        <w:ind w:left="249"/>
        <w:spacing w:before="68" w:line="220" w:lineRule="auto"/>
        <w:rPr>
          <w:rFonts w:ascii="SimSun" w:hAnsi="SimSun" w:eastAsia="SimSun" w:cs="SimSun"/>
          <w:sz w:val="21"/>
          <w:szCs w:val="21"/>
        </w:rPr>
      </w:pPr>
      <w:r>
        <w:rPr>
          <w:rFonts w:ascii="SimSun" w:hAnsi="SimSun" w:eastAsia="SimSun" w:cs="SimSun"/>
          <w:sz w:val="21"/>
          <w:szCs w:val="21"/>
          <w:spacing w:val="-1"/>
        </w:rPr>
        <w:t>风险可控、运营合规、创新应用四大原则。</w:t>
      </w:r>
    </w:p>
    <w:p>
      <w:pPr>
        <w:ind w:left="719"/>
        <w:spacing w:before="59" w:line="219" w:lineRule="auto"/>
        <w:rPr>
          <w:rFonts w:ascii="SimSun" w:hAnsi="SimSun" w:eastAsia="SimSun" w:cs="SimSun"/>
          <w:sz w:val="21"/>
          <w:szCs w:val="21"/>
        </w:rPr>
      </w:pPr>
      <w:r>
        <w:rPr>
          <w:rFonts w:ascii="SimSun" w:hAnsi="SimSun" w:eastAsia="SimSun" w:cs="SimSun"/>
          <w:sz w:val="21"/>
          <w:szCs w:val="21"/>
          <w:spacing w:val="11"/>
        </w:rPr>
        <w:t>(1)全局统筹</w:t>
      </w:r>
    </w:p>
    <w:p>
      <w:pPr>
        <w:ind w:left="249" w:right="49" w:firstLine="470"/>
        <w:spacing w:before="59" w:line="264" w:lineRule="auto"/>
        <w:rPr>
          <w:rFonts w:ascii="SimSun" w:hAnsi="SimSun" w:eastAsia="SimSun" w:cs="SimSun"/>
          <w:sz w:val="21"/>
          <w:szCs w:val="21"/>
        </w:rPr>
      </w:pPr>
      <w:r>
        <w:rPr>
          <w:rFonts w:ascii="SimSun" w:hAnsi="SimSun" w:eastAsia="SimSun" w:cs="SimSun"/>
          <w:sz w:val="21"/>
          <w:szCs w:val="21"/>
          <w:spacing w:val="1"/>
        </w:rPr>
        <w:t>云端数据治理是一项涉及多个部门、多种角色的信息治理工程，与组织业务息</w:t>
      </w:r>
      <w:r>
        <w:rPr>
          <w:rFonts w:ascii="SimSun" w:hAnsi="SimSun" w:eastAsia="SimSun" w:cs="SimSun"/>
          <w:sz w:val="21"/>
          <w:szCs w:val="21"/>
          <w:spacing w:val="10"/>
        </w:rPr>
        <w:t xml:space="preserve"> </w:t>
      </w:r>
      <w:r>
        <w:rPr>
          <w:rFonts w:ascii="SimSun" w:hAnsi="SimSun" w:eastAsia="SimSun" w:cs="SimSun"/>
          <w:sz w:val="21"/>
          <w:szCs w:val="21"/>
          <w:spacing w:val="7"/>
        </w:rPr>
        <w:t>息相关，因此数据治理是组织治理的一个重要组成部分。因此，云端数据治理战</w:t>
      </w:r>
      <w:r>
        <w:rPr>
          <w:rFonts w:ascii="SimSun" w:hAnsi="SimSun" w:eastAsia="SimSun" w:cs="SimSun"/>
          <w:sz w:val="21"/>
          <w:szCs w:val="21"/>
          <w:spacing w:val="16"/>
        </w:rPr>
        <w:t xml:space="preserve"> </w:t>
      </w:r>
      <w:r>
        <w:rPr>
          <w:rFonts w:ascii="SimSun" w:hAnsi="SimSun" w:eastAsia="SimSun" w:cs="SimSun"/>
          <w:sz w:val="21"/>
          <w:szCs w:val="21"/>
          <w:spacing w:val="7"/>
        </w:rPr>
        <w:t>略应与组织的整体战略保持一致，云端数据治理目标的制订要充分考虑组织的业</w:t>
      </w:r>
      <w:r>
        <w:rPr>
          <w:rFonts w:ascii="SimSun" w:hAnsi="SimSun" w:eastAsia="SimSun" w:cs="SimSun"/>
          <w:sz w:val="21"/>
          <w:szCs w:val="21"/>
          <w:spacing w:val="11"/>
        </w:rPr>
        <w:t xml:space="preserve"> </w:t>
      </w:r>
      <w:r>
        <w:rPr>
          <w:rFonts w:ascii="SimSun" w:hAnsi="SimSun" w:eastAsia="SimSun" w:cs="SimSun"/>
          <w:sz w:val="21"/>
          <w:szCs w:val="21"/>
          <w:spacing w:val="7"/>
        </w:rPr>
        <w:t>务目标，云端数据治理活动路线图应与组织对数据要求紧密关联在一起。组织应</w:t>
      </w:r>
      <w:r>
        <w:rPr>
          <w:rFonts w:ascii="SimSun" w:hAnsi="SimSun" w:eastAsia="SimSun" w:cs="SimSun"/>
          <w:sz w:val="21"/>
          <w:szCs w:val="21"/>
          <w:spacing w:val="12"/>
        </w:rPr>
        <w:t xml:space="preserve"> </w:t>
      </w:r>
      <w:r>
        <w:rPr>
          <w:rFonts w:ascii="SimSun" w:hAnsi="SimSun" w:eastAsia="SimSun" w:cs="SimSun"/>
          <w:sz w:val="21"/>
          <w:szCs w:val="21"/>
          <w:spacing w:val="7"/>
        </w:rPr>
        <w:t>明确云端数据治理责任人、建立云端数据治理机构、明确职责与权利、保证利益</w:t>
      </w:r>
      <w:r>
        <w:rPr>
          <w:rFonts w:ascii="SimSun" w:hAnsi="SimSun" w:eastAsia="SimSun" w:cs="SimSun"/>
          <w:sz w:val="21"/>
          <w:szCs w:val="21"/>
          <w:spacing w:val="13"/>
        </w:rPr>
        <w:t xml:space="preserve"> </w:t>
      </w:r>
      <w:r>
        <w:rPr>
          <w:rFonts w:ascii="SimSun" w:hAnsi="SimSun" w:eastAsia="SimSun" w:cs="SimSun"/>
          <w:sz w:val="21"/>
          <w:szCs w:val="21"/>
          <w:spacing w:val="-1"/>
        </w:rPr>
        <w:t>相关方理解。</w:t>
      </w:r>
    </w:p>
    <w:p>
      <w:pPr>
        <w:ind w:left="719"/>
        <w:spacing w:before="90" w:line="220" w:lineRule="auto"/>
        <w:rPr>
          <w:rFonts w:ascii="SimSun" w:hAnsi="SimSun" w:eastAsia="SimSun" w:cs="SimSun"/>
          <w:sz w:val="21"/>
          <w:szCs w:val="21"/>
        </w:rPr>
      </w:pPr>
      <w:r>
        <w:rPr>
          <w:rFonts w:ascii="SimSun" w:hAnsi="SimSun" w:eastAsia="SimSun" w:cs="SimSun"/>
          <w:sz w:val="21"/>
          <w:szCs w:val="21"/>
          <w:spacing w:val="16"/>
        </w:rPr>
        <w:t>(2)风险可控</w:t>
      </w:r>
    </w:p>
    <w:p>
      <w:pPr>
        <w:ind w:left="249" w:right="34" w:firstLine="470"/>
        <w:spacing w:before="46" w:line="266" w:lineRule="auto"/>
        <w:rPr>
          <w:rFonts w:ascii="SimSun" w:hAnsi="SimSun" w:eastAsia="SimSun" w:cs="SimSun"/>
          <w:sz w:val="21"/>
          <w:szCs w:val="21"/>
        </w:rPr>
      </w:pPr>
      <w:r>
        <w:rPr>
          <w:rFonts w:ascii="SimSun" w:hAnsi="SimSun" w:eastAsia="SimSun" w:cs="SimSun"/>
          <w:sz w:val="21"/>
          <w:szCs w:val="21"/>
          <w:spacing w:val="2"/>
        </w:rPr>
        <w:t>数据既是组织的一项重要资产，因其重要性，也成为风险</w:t>
      </w:r>
      <w:r>
        <w:rPr>
          <w:rFonts w:ascii="SimSun" w:hAnsi="SimSun" w:eastAsia="SimSun" w:cs="SimSun"/>
          <w:sz w:val="21"/>
          <w:szCs w:val="21"/>
          <w:spacing w:val="1"/>
        </w:rPr>
        <w:t>的来源。好的数据有</w:t>
      </w:r>
      <w:r>
        <w:rPr>
          <w:rFonts w:ascii="SimSun" w:hAnsi="SimSun" w:eastAsia="SimSun" w:cs="SimSun"/>
          <w:sz w:val="21"/>
          <w:szCs w:val="21"/>
        </w:rPr>
        <w:t xml:space="preserve"> </w:t>
      </w:r>
      <w:r>
        <w:rPr>
          <w:rFonts w:ascii="SimSun" w:hAnsi="SimSun" w:eastAsia="SimSun" w:cs="SimSun"/>
          <w:sz w:val="21"/>
          <w:szCs w:val="21"/>
          <w:spacing w:val="1"/>
        </w:rPr>
        <w:t>助于组织做出更合适的决策，坏的数据则可能误导组织判断。云计算环境下，数据</w:t>
      </w:r>
      <w:r>
        <w:rPr>
          <w:rFonts w:ascii="SimSun" w:hAnsi="SimSun" w:eastAsia="SimSun" w:cs="SimSun"/>
          <w:sz w:val="21"/>
          <w:szCs w:val="21"/>
          <w:spacing w:val="15"/>
        </w:rPr>
        <w:t xml:space="preserve"> </w:t>
      </w:r>
      <w:r>
        <w:rPr>
          <w:rFonts w:ascii="SimSun" w:hAnsi="SimSun" w:eastAsia="SimSun" w:cs="SimSun"/>
          <w:sz w:val="21"/>
          <w:szCs w:val="21"/>
          <w:spacing w:val="1"/>
        </w:rPr>
        <w:t>面临更多的安全威胁，例如云端数据治理会涉及到远程数据的解密和传输等安全问</w:t>
      </w:r>
      <w:r>
        <w:rPr>
          <w:rFonts w:ascii="SimSun" w:hAnsi="SimSun" w:eastAsia="SimSun" w:cs="SimSun"/>
          <w:sz w:val="21"/>
          <w:szCs w:val="21"/>
          <w:spacing w:val="7"/>
        </w:rPr>
        <w:t xml:space="preserve"> </w:t>
      </w:r>
      <w:r>
        <w:rPr>
          <w:rFonts w:ascii="SimSun" w:hAnsi="SimSun" w:eastAsia="SimSun" w:cs="SimSun"/>
          <w:sz w:val="21"/>
          <w:szCs w:val="21"/>
          <w:spacing w:val="2"/>
        </w:rPr>
        <w:t>题，组织应确保数据治理的初衷是管理好数据、利用好</w:t>
      </w:r>
      <w:r>
        <w:rPr>
          <w:rFonts w:ascii="SimSun" w:hAnsi="SimSun" w:eastAsia="SimSun" w:cs="SimSun"/>
          <w:sz w:val="21"/>
          <w:szCs w:val="21"/>
          <w:spacing w:val="1"/>
        </w:rPr>
        <w:t>数据，不能让数据暴露于因</w:t>
      </w:r>
      <w:r>
        <w:rPr>
          <w:rFonts w:ascii="SimSun" w:hAnsi="SimSun" w:eastAsia="SimSun" w:cs="SimSun"/>
          <w:sz w:val="21"/>
          <w:szCs w:val="21"/>
        </w:rPr>
        <w:t xml:space="preserve"> </w:t>
      </w:r>
      <w:r>
        <w:rPr>
          <w:rFonts w:ascii="SimSun" w:hAnsi="SimSun" w:eastAsia="SimSun" w:cs="SimSun"/>
          <w:sz w:val="21"/>
          <w:szCs w:val="21"/>
          <w:spacing w:val="2"/>
        </w:rPr>
        <w:t>数据治理可能带来的安全风险之中。组织在开展</w:t>
      </w:r>
      <w:r>
        <w:rPr>
          <w:rFonts w:ascii="SimSun" w:hAnsi="SimSun" w:eastAsia="SimSun" w:cs="SimSun"/>
          <w:sz w:val="21"/>
          <w:szCs w:val="21"/>
          <w:spacing w:val="1"/>
        </w:rPr>
        <w:t>云端数据治理项目时，要在数据治</w:t>
      </w:r>
      <w:r>
        <w:rPr>
          <w:rFonts w:ascii="SimSun" w:hAnsi="SimSun" w:eastAsia="SimSun" w:cs="SimSun"/>
          <w:sz w:val="21"/>
          <w:szCs w:val="21"/>
        </w:rPr>
        <w:t xml:space="preserve"> </w:t>
      </w:r>
      <w:r>
        <w:rPr>
          <w:rFonts w:ascii="SimSun" w:hAnsi="SimSun" w:eastAsia="SimSun" w:cs="SimSun"/>
          <w:sz w:val="21"/>
          <w:szCs w:val="21"/>
          <w:spacing w:val="1"/>
        </w:rPr>
        <w:t>理前评估数据治理可能带来的安全风险，采取有效的措施降低或避免风险。在数据</w:t>
      </w:r>
      <w:r>
        <w:rPr>
          <w:rFonts w:ascii="SimSun" w:hAnsi="SimSun" w:eastAsia="SimSun" w:cs="SimSun"/>
          <w:sz w:val="21"/>
          <w:szCs w:val="21"/>
          <w:spacing w:val="15"/>
        </w:rPr>
        <w:t xml:space="preserve"> </w:t>
      </w:r>
      <w:r>
        <w:rPr>
          <w:rFonts w:ascii="SimSun" w:hAnsi="SimSun" w:eastAsia="SimSun" w:cs="SimSun"/>
          <w:sz w:val="21"/>
          <w:szCs w:val="21"/>
          <w:spacing w:val="1"/>
        </w:rPr>
        <w:t>治理过程中，要有计划地开展风险评估工作，重点关注安全和隐私问题，防止未授</w:t>
      </w:r>
      <w:r>
        <w:rPr>
          <w:rFonts w:ascii="SimSun" w:hAnsi="SimSun" w:eastAsia="SimSun" w:cs="SimSun"/>
          <w:sz w:val="21"/>
          <w:szCs w:val="21"/>
          <w:spacing w:val="12"/>
        </w:rPr>
        <w:t xml:space="preserve"> </w:t>
      </w:r>
      <w:r>
        <w:rPr>
          <w:rFonts w:ascii="SimSun" w:hAnsi="SimSun" w:eastAsia="SimSun" w:cs="SimSun"/>
          <w:sz w:val="21"/>
          <w:szCs w:val="21"/>
          <w:spacing w:val="-3"/>
        </w:rPr>
        <w:t>权或不恰当访问、获取和使用数据。</w:t>
      </w:r>
    </w:p>
    <w:p>
      <w:pPr>
        <w:ind w:left="719"/>
        <w:spacing w:before="93" w:line="220" w:lineRule="auto"/>
        <w:rPr>
          <w:rFonts w:ascii="SimSun" w:hAnsi="SimSun" w:eastAsia="SimSun" w:cs="SimSun"/>
          <w:sz w:val="21"/>
          <w:szCs w:val="21"/>
        </w:rPr>
      </w:pPr>
      <w:r>
        <w:rPr>
          <w:rFonts w:ascii="SimSun" w:hAnsi="SimSun" w:eastAsia="SimSun" w:cs="SimSun"/>
          <w:sz w:val="21"/>
          <w:szCs w:val="21"/>
          <w:spacing w:val="10"/>
        </w:rPr>
        <w:t>(3)运营合规</w:t>
      </w:r>
    </w:p>
    <w:p>
      <w:pPr>
        <w:ind w:left="249" w:firstLine="470"/>
        <w:spacing w:before="58" w:line="265" w:lineRule="auto"/>
        <w:rPr>
          <w:rFonts w:ascii="SimSun" w:hAnsi="SimSun" w:eastAsia="SimSun" w:cs="SimSun"/>
          <w:sz w:val="21"/>
          <w:szCs w:val="21"/>
        </w:rPr>
      </w:pPr>
      <w:r>
        <w:rPr>
          <w:rFonts w:ascii="SimSun" w:hAnsi="SimSun" w:eastAsia="SimSun" w:cs="SimSun"/>
          <w:sz w:val="21"/>
          <w:szCs w:val="21"/>
          <w:spacing w:val="2"/>
        </w:rPr>
        <w:t>数据会涉及敏感信息，不同国家和地方对敏感数据的</w:t>
      </w:r>
      <w:r>
        <w:rPr>
          <w:rFonts w:ascii="SimSun" w:hAnsi="SimSun" w:eastAsia="SimSun" w:cs="SimSun"/>
          <w:sz w:val="21"/>
          <w:szCs w:val="21"/>
          <w:spacing w:val="1"/>
        </w:rPr>
        <w:t>定义也不尽相同，因此对</w:t>
      </w:r>
      <w:r>
        <w:rPr>
          <w:rFonts w:ascii="SimSun" w:hAnsi="SimSun" w:eastAsia="SimSun" w:cs="SimSun"/>
          <w:sz w:val="21"/>
          <w:szCs w:val="21"/>
        </w:rPr>
        <w:t xml:space="preserve"> </w:t>
      </w:r>
      <w:r>
        <w:rPr>
          <w:rFonts w:ascii="SimSun" w:hAnsi="SimSun" w:eastAsia="SimSun" w:cs="SimSun"/>
          <w:sz w:val="21"/>
          <w:szCs w:val="21"/>
          <w:spacing w:val="1"/>
        </w:rPr>
        <w:t>数据的收集、处理、存储等数据生命周期活动有很多不相同的要求，尤其是云端数</w:t>
      </w:r>
      <w:r>
        <w:rPr>
          <w:rFonts w:ascii="SimSun" w:hAnsi="SimSun" w:eastAsia="SimSun" w:cs="SimSun"/>
          <w:sz w:val="21"/>
          <w:szCs w:val="21"/>
          <w:spacing w:val="5"/>
        </w:rPr>
        <w:t xml:space="preserve">  </w:t>
      </w:r>
      <w:r>
        <w:rPr>
          <w:rFonts w:ascii="SimSun" w:hAnsi="SimSun" w:eastAsia="SimSun" w:cs="SimSun"/>
          <w:sz w:val="21"/>
          <w:szCs w:val="21"/>
          <w:spacing w:val="1"/>
        </w:rPr>
        <w:t>据的远程和分布式存储，组织的同一份数据可能存储在不同的地方，而在组织要收</w:t>
      </w:r>
      <w:r>
        <w:rPr>
          <w:rFonts w:ascii="SimSun" w:hAnsi="SimSun" w:eastAsia="SimSun" w:cs="SimSun"/>
          <w:sz w:val="21"/>
          <w:szCs w:val="21"/>
          <w:spacing w:val="5"/>
        </w:rPr>
        <w:t xml:space="preserve">  </w:t>
      </w:r>
      <w:r>
        <w:rPr>
          <w:rFonts w:ascii="SimSun" w:hAnsi="SimSun" w:eastAsia="SimSun" w:cs="SimSun"/>
          <w:sz w:val="21"/>
          <w:szCs w:val="21"/>
          <w:spacing w:val="-2"/>
        </w:rPr>
        <w:t>集数据时，数据可能来源不同的地方、不同的行业等，数据采集规范存在很多差异。</w:t>
      </w:r>
      <w:r>
        <w:rPr>
          <w:rFonts w:ascii="SimSun" w:hAnsi="SimSun" w:eastAsia="SimSun" w:cs="SimSun"/>
          <w:sz w:val="21"/>
          <w:szCs w:val="21"/>
          <w:spacing w:val="7"/>
        </w:rPr>
        <w:t xml:space="preserve"> </w:t>
      </w:r>
      <w:r>
        <w:rPr>
          <w:rFonts w:ascii="SimSun" w:hAnsi="SimSun" w:eastAsia="SimSun" w:cs="SimSun"/>
          <w:sz w:val="21"/>
          <w:szCs w:val="21"/>
          <w:spacing w:val="1"/>
        </w:rPr>
        <w:t>因此，组织在进行云端数据治理时，要建立长效机制来及时不间断地收集和掌握云</w:t>
      </w:r>
      <w:r>
        <w:rPr>
          <w:rFonts w:ascii="SimSun" w:hAnsi="SimSun" w:eastAsia="SimSun" w:cs="SimSun"/>
          <w:sz w:val="21"/>
          <w:szCs w:val="21"/>
          <w:spacing w:val="7"/>
        </w:rPr>
        <w:t xml:space="preserve">  </w:t>
      </w:r>
      <w:r>
        <w:rPr>
          <w:rFonts w:ascii="SimSun" w:hAnsi="SimSun" w:eastAsia="SimSun" w:cs="SimSun"/>
          <w:sz w:val="21"/>
          <w:szCs w:val="21"/>
          <w:spacing w:val="1"/>
        </w:rPr>
        <w:t>端数据的监管要求，制订相应的沟通内容，将合规性传达给相关人员，让合规运营</w:t>
      </w:r>
      <w:r>
        <w:rPr>
          <w:rFonts w:ascii="SimSun" w:hAnsi="SimSun" w:eastAsia="SimSun" w:cs="SimSun"/>
          <w:sz w:val="21"/>
          <w:szCs w:val="21"/>
          <w:spacing w:val="8"/>
        </w:rPr>
        <w:t xml:space="preserve">  </w:t>
      </w:r>
      <w:r>
        <w:rPr>
          <w:rFonts w:ascii="SimSun" w:hAnsi="SimSun" w:eastAsia="SimSun" w:cs="SimSun"/>
          <w:sz w:val="21"/>
          <w:szCs w:val="21"/>
          <w:spacing w:val="-3"/>
        </w:rPr>
        <w:t>成为云端数据治理的一项重要前提。</w:t>
      </w:r>
    </w:p>
    <w:p>
      <w:pPr>
        <w:ind w:left="719"/>
        <w:spacing w:before="82" w:line="220" w:lineRule="auto"/>
        <w:rPr>
          <w:rFonts w:ascii="SimSun" w:hAnsi="SimSun" w:eastAsia="SimSun" w:cs="SimSun"/>
          <w:sz w:val="21"/>
          <w:szCs w:val="21"/>
        </w:rPr>
      </w:pPr>
      <w:r>
        <w:rPr>
          <w:rFonts w:ascii="SimSun" w:hAnsi="SimSun" w:eastAsia="SimSun" w:cs="SimSun"/>
          <w:sz w:val="21"/>
          <w:szCs w:val="21"/>
          <w:spacing w:val="12"/>
        </w:rPr>
        <w:t>(4)创新应用</w:t>
      </w:r>
    </w:p>
    <w:p>
      <w:pPr>
        <w:ind w:left="249" w:right="19" w:firstLine="470"/>
        <w:spacing w:before="56" w:line="264" w:lineRule="auto"/>
        <w:rPr>
          <w:rFonts w:ascii="SimSun" w:hAnsi="SimSun" w:eastAsia="SimSun" w:cs="SimSun"/>
          <w:sz w:val="21"/>
          <w:szCs w:val="21"/>
        </w:rPr>
      </w:pPr>
      <w:r>
        <w:rPr>
          <w:rFonts w:ascii="SimSun" w:hAnsi="SimSun" w:eastAsia="SimSun" w:cs="SimSun"/>
          <w:sz w:val="21"/>
          <w:szCs w:val="21"/>
          <w:spacing w:val="2"/>
        </w:rPr>
        <w:t>数据管理与数据治理的一项重要区别在于是否重视数据的</w:t>
      </w:r>
      <w:r>
        <w:rPr>
          <w:rFonts w:ascii="SimSun" w:hAnsi="SimSun" w:eastAsia="SimSun" w:cs="SimSun"/>
          <w:sz w:val="21"/>
          <w:szCs w:val="21"/>
          <w:spacing w:val="1"/>
        </w:rPr>
        <w:t>创新应用，开展云端</w:t>
      </w:r>
      <w:r>
        <w:rPr>
          <w:rFonts w:ascii="SimSun" w:hAnsi="SimSun" w:eastAsia="SimSun" w:cs="SimSun"/>
          <w:sz w:val="21"/>
          <w:szCs w:val="21"/>
        </w:rPr>
        <w:t xml:space="preserve"> </w:t>
      </w:r>
      <w:r>
        <w:rPr>
          <w:rFonts w:ascii="SimSun" w:hAnsi="SimSun" w:eastAsia="SimSun" w:cs="SimSun"/>
          <w:sz w:val="21"/>
          <w:szCs w:val="21"/>
          <w:spacing w:val="1"/>
        </w:rPr>
        <w:t>数据治理的一项重要目的是管理好数据、使用好数据，在管理好数据的基础上，发 </w:t>
      </w:r>
      <w:r>
        <w:rPr>
          <w:rFonts w:ascii="SimSun" w:hAnsi="SimSun" w:eastAsia="SimSun" w:cs="SimSun"/>
          <w:sz w:val="21"/>
          <w:szCs w:val="21"/>
          <w:spacing w:val="1"/>
        </w:rPr>
        <w:t>挥数据治理对组织分析和决策的重要作用，倡导数据驱动创新战略。创新应用的途 </w:t>
      </w:r>
      <w:r>
        <w:rPr>
          <w:rFonts w:ascii="SimSun" w:hAnsi="SimSun" w:eastAsia="SimSun" w:cs="SimSun"/>
          <w:sz w:val="21"/>
          <w:szCs w:val="21"/>
          <w:spacing w:val="1"/>
        </w:rPr>
        <w:t>径有很多，例如通过数据治理提升组织工作流程，提高组织预判能力，改善用户体 </w:t>
      </w:r>
      <w:r>
        <w:rPr>
          <w:rFonts w:ascii="SimSun" w:hAnsi="SimSun" w:eastAsia="SimSun" w:cs="SimSun"/>
          <w:sz w:val="21"/>
          <w:szCs w:val="21"/>
          <w:spacing w:val="-2"/>
        </w:rPr>
        <w:t>验，促进资源合理配置，创造新产品、新服务等。因此组</w:t>
      </w:r>
      <w:r>
        <w:rPr>
          <w:rFonts w:ascii="SimSun" w:hAnsi="SimSun" w:eastAsia="SimSun" w:cs="SimSun"/>
          <w:sz w:val="21"/>
          <w:szCs w:val="21"/>
          <w:spacing w:val="-3"/>
        </w:rPr>
        <w:t>织在开展云端数据治理时，</w:t>
      </w:r>
      <w:r>
        <w:rPr>
          <w:rFonts w:ascii="SimSun" w:hAnsi="SimSun" w:eastAsia="SimSun" w:cs="SimSun"/>
          <w:sz w:val="21"/>
          <w:szCs w:val="21"/>
        </w:rPr>
        <w:t xml:space="preserve"> </w:t>
      </w:r>
      <w:r>
        <w:rPr>
          <w:rFonts w:ascii="SimSun" w:hAnsi="SimSun" w:eastAsia="SimSun" w:cs="SimSun"/>
          <w:sz w:val="21"/>
          <w:szCs w:val="21"/>
        </w:rPr>
        <w:t>要将创新应用作为数据治理的目标之一。</w:t>
      </w:r>
    </w:p>
    <w:p>
      <w:pPr>
        <w:ind w:left="722"/>
        <w:spacing w:before="211" w:line="221" w:lineRule="auto"/>
        <w:outlineLvl w:val="1"/>
        <w:rPr>
          <w:rFonts w:ascii="YouYuan" w:hAnsi="YouYuan" w:eastAsia="YouYuan" w:cs="YouYuan"/>
          <w:sz w:val="21"/>
          <w:szCs w:val="21"/>
        </w:rPr>
      </w:pPr>
      <w:r>
        <w:rPr>
          <w:rFonts w:ascii="YouYuan" w:hAnsi="YouYuan" w:eastAsia="YouYuan" w:cs="YouYuan"/>
          <w:sz w:val="21"/>
          <w:szCs w:val="21"/>
          <w:b/>
          <w:bCs/>
          <w:spacing w:val="4"/>
        </w:rPr>
        <w:t>3.</w:t>
      </w:r>
      <w:r>
        <w:rPr>
          <w:rFonts w:ascii="YouYuan" w:hAnsi="YouYuan" w:eastAsia="YouYuan" w:cs="YouYuan"/>
          <w:sz w:val="21"/>
          <w:szCs w:val="21"/>
          <w:spacing w:val="4"/>
        </w:rPr>
        <w:t xml:space="preserve"> </w:t>
      </w:r>
      <w:r>
        <w:rPr>
          <w:rFonts w:ascii="YouYuan" w:hAnsi="YouYuan" w:eastAsia="YouYuan" w:cs="YouYuan"/>
          <w:sz w:val="21"/>
          <w:szCs w:val="21"/>
          <w:b/>
          <w:bCs/>
          <w:spacing w:val="4"/>
        </w:rPr>
        <w:t>云端数据治理的实施</w:t>
      </w:r>
    </w:p>
    <w:p>
      <w:pPr>
        <w:ind w:left="249" w:right="35" w:firstLine="470"/>
        <w:spacing w:before="237" w:line="245" w:lineRule="auto"/>
        <w:rPr>
          <w:rFonts w:ascii="SimSun" w:hAnsi="SimSun" w:eastAsia="SimSun" w:cs="SimSun"/>
          <w:sz w:val="21"/>
          <w:szCs w:val="21"/>
        </w:rPr>
      </w:pPr>
      <w:r>
        <w:rPr>
          <w:rFonts w:ascii="SimSun" w:hAnsi="SimSun" w:eastAsia="SimSun" w:cs="SimSun"/>
          <w:sz w:val="21"/>
          <w:szCs w:val="21"/>
          <w:spacing w:val="2"/>
        </w:rPr>
        <w:t>为保障云端数据治理的实施，组织需要建立一个完整的</w:t>
      </w:r>
      <w:r>
        <w:rPr>
          <w:rFonts w:ascii="SimSun" w:hAnsi="SimSun" w:eastAsia="SimSun" w:cs="SimSun"/>
          <w:sz w:val="21"/>
          <w:szCs w:val="21"/>
          <w:spacing w:val="1"/>
        </w:rPr>
        <w:t>数据治理体系，覆盖统</w:t>
      </w:r>
      <w:r>
        <w:rPr>
          <w:rFonts w:ascii="SimSun" w:hAnsi="SimSun" w:eastAsia="SimSun" w:cs="SimSun"/>
          <w:sz w:val="21"/>
          <w:szCs w:val="21"/>
        </w:rPr>
        <w:t xml:space="preserve"> </w:t>
      </w:r>
      <w:r>
        <w:rPr>
          <w:rFonts w:ascii="SimSun" w:hAnsi="SimSun" w:eastAsia="SimSun" w:cs="SimSun"/>
          <w:sz w:val="21"/>
          <w:szCs w:val="21"/>
          <w:spacing w:val="1"/>
        </w:rPr>
        <w:t>筹和规划、构建和运行、监督和评估、改进和优化四大阶段，云端数据治理实施流</w:t>
      </w:r>
    </w:p>
    <w:p>
      <w:pPr>
        <w:spacing w:line="245" w:lineRule="auto"/>
        <w:sectPr>
          <w:footerReference w:type="default" r:id="rId119"/>
          <w:pgSz w:w="8870" w:h="13400"/>
          <w:pgMar w:top="400" w:right="565" w:bottom="517" w:left="350" w:header="0" w:footer="308" w:gutter="0"/>
        </w:sectPr>
        <w:rPr>
          <w:rFonts w:ascii="SimSun" w:hAnsi="SimSun" w:eastAsia="SimSun" w:cs="SimSun"/>
          <w:sz w:val="21"/>
          <w:szCs w:val="21"/>
        </w:rPr>
      </w:pPr>
    </w:p>
    <w:p>
      <w:pPr>
        <w:ind w:left="3062"/>
        <w:spacing w:before="203" w:line="218" w:lineRule="auto"/>
        <w:rPr>
          <w:rFonts w:ascii="SimSun" w:hAnsi="SimSun" w:eastAsia="SimSun" w:cs="SimSun"/>
          <w:sz w:val="19"/>
          <w:szCs w:val="19"/>
        </w:rPr>
      </w:pPr>
      <w:r>
        <w:rPr>
          <w:rFonts w:ascii="SimSun" w:hAnsi="SimSun" w:eastAsia="SimSun" w:cs="SimSun"/>
          <w:sz w:val="19"/>
          <w:szCs w:val="19"/>
          <w:b/>
          <w:bCs/>
          <w:spacing w:val="21"/>
        </w:rPr>
        <w:t>第3章■云端数据治理模型与治理成熟度评估模型</w:t>
      </w:r>
    </w:p>
    <w:p>
      <w:pPr>
        <w:pStyle w:val="BodyText"/>
        <w:spacing w:line="296"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15"/>
        </w:rPr>
        <w:t>程如图3-2所示。</w:t>
      </w:r>
    </w:p>
    <w:p>
      <w:pPr>
        <w:pStyle w:val="BodyText"/>
        <w:ind w:firstLine="1540"/>
        <w:spacing w:before="85" w:line="2340" w:lineRule="exact"/>
        <w:rPr/>
      </w:pPr>
      <w:r>
        <w:rPr>
          <w:position w:val="-46"/>
        </w:rPr>
        <w:pict>
          <v:group id="_x0000_s252" style="mso-position-vertical-relative:line;mso-position-horizontal-relative:char;width:225.55pt;height:117.05pt;" filled="false" stroked="false" coordsize="4511,2341" coordorigin="0,0">
            <v:shape id="_x0000_s254" style="position:absolute;left:0;top:0;width:4511;height:2341;" filled="false" stroked="false" type="#_x0000_t75">
              <v:imagedata o:title="" r:id="rId121"/>
            </v:shape>
            <v:shape id="_x0000_s256" style="position:absolute;left:180;top:227;width:1463;height:1920;" filled="false" stroked="false" type="#_x0000_t202">
              <v:fill on="false"/>
              <v:stroke on="false"/>
              <v:path/>
              <v:imagedata o:title=""/>
              <o:lock v:ext="edit" aspectratio="false"/>
              <v:textbox inset="0mm,0mm,0mm,0mm">
                <w:txbxContent>
                  <w:p>
                    <w:pPr>
                      <w:ind w:left="1039" w:right="20" w:hanging="79"/>
                      <w:spacing w:before="20" w:line="199" w:lineRule="auto"/>
                      <w:rPr>
                        <w:rFonts w:ascii="SimSun" w:hAnsi="SimSun" w:eastAsia="SimSun" w:cs="SimSun"/>
                        <w:sz w:val="19"/>
                        <w:szCs w:val="19"/>
                      </w:rPr>
                    </w:pPr>
                    <w:r>
                      <w:rPr>
                        <w:rFonts w:ascii="SimSun" w:hAnsi="SimSun" w:eastAsia="SimSun" w:cs="SimSun"/>
                        <w:sz w:val="19"/>
                        <w:szCs w:val="19"/>
                        <w:spacing w:val="-17"/>
                        <w:w w:val="93"/>
                      </w:rPr>
                      <w:t>统筹和</w:t>
                    </w:r>
                    <w:r>
                      <w:rPr>
                        <w:rFonts w:ascii="SimSun" w:hAnsi="SimSun" w:eastAsia="SimSun" w:cs="SimSun"/>
                        <w:sz w:val="19"/>
                        <w:szCs w:val="19"/>
                        <w:spacing w:val="3"/>
                      </w:rPr>
                      <w:t xml:space="preserve"> </w:t>
                    </w:r>
                    <w:r>
                      <w:rPr>
                        <w:rFonts w:ascii="SimSun" w:hAnsi="SimSun" w:eastAsia="SimSun" w:cs="SimSun"/>
                        <w:sz w:val="19"/>
                        <w:szCs w:val="19"/>
                        <w:spacing w:val="-14"/>
                        <w:w w:val="98"/>
                      </w:rPr>
                      <w:t>规划</w:t>
                    </w:r>
                  </w:p>
                  <w:p>
                    <w:pPr>
                      <w:ind w:left="20"/>
                      <w:spacing w:before="300" w:line="219" w:lineRule="auto"/>
                      <w:rPr>
                        <w:rFonts w:ascii="SimSun" w:hAnsi="SimSun" w:eastAsia="SimSun" w:cs="SimSun"/>
                        <w:sz w:val="19"/>
                        <w:szCs w:val="19"/>
                      </w:rPr>
                    </w:pPr>
                    <w:r>
                      <w:rPr>
                        <w:rFonts w:ascii="SimSun" w:hAnsi="SimSun" w:eastAsia="SimSun" w:cs="SimSun"/>
                        <w:sz w:val="19"/>
                        <w:szCs w:val="19"/>
                        <w:spacing w:val="-12"/>
                        <w:w w:val="92"/>
                      </w:rPr>
                      <w:t>输入</w:t>
                    </w:r>
                  </w:p>
                  <w:p>
                    <w:pPr>
                      <w:spacing w:line="249" w:lineRule="auto"/>
                      <w:rPr>
                        <w:rFonts w:ascii="Arial"/>
                        <w:sz w:val="21"/>
                      </w:rPr>
                    </w:pPr>
                    <w:r/>
                  </w:p>
                  <w:p>
                    <w:pPr>
                      <w:spacing w:line="250" w:lineRule="auto"/>
                      <w:rPr>
                        <w:rFonts w:ascii="Arial"/>
                        <w:sz w:val="21"/>
                      </w:rPr>
                    </w:pPr>
                    <w:r/>
                  </w:p>
                  <w:p>
                    <w:pPr>
                      <w:ind w:left="1008" w:right="39" w:hanging="69"/>
                      <w:spacing w:before="62" w:line="202" w:lineRule="auto"/>
                      <w:rPr>
                        <w:rFonts w:ascii="SimSun" w:hAnsi="SimSun" w:eastAsia="SimSun" w:cs="SimSun"/>
                        <w:sz w:val="19"/>
                        <w:szCs w:val="19"/>
                      </w:rPr>
                    </w:pPr>
                    <w:r>
                      <w:rPr>
                        <w:rFonts w:ascii="SimSun" w:hAnsi="SimSun" w:eastAsia="SimSun" w:cs="SimSun"/>
                        <w:sz w:val="19"/>
                        <w:szCs w:val="19"/>
                        <w:spacing w:val="-13"/>
                        <w:w w:val="91"/>
                      </w:rPr>
                      <w:t>改进和</w:t>
                    </w:r>
                    <w:r>
                      <w:rPr>
                        <w:rFonts w:ascii="SimSun" w:hAnsi="SimSun" w:eastAsia="SimSun" w:cs="SimSun"/>
                        <w:sz w:val="19"/>
                        <w:szCs w:val="19"/>
                        <w:spacing w:val="2"/>
                      </w:rPr>
                      <w:t xml:space="preserve"> </w:t>
                    </w:r>
                    <w:r>
                      <w:rPr>
                        <w:rFonts w:ascii="SimSun" w:hAnsi="SimSun" w:eastAsia="SimSun" w:cs="SimSun"/>
                        <w:sz w:val="19"/>
                        <w:szCs w:val="19"/>
                        <w:spacing w:val="-11"/>
                      </w:rPr>
                      <w:t>优化</w:t>
                    </w:r>
                  </w:p>
                </w:txbxContent>
              </v:textbox>
            </v:shape>
            <v:shape id="_x0000_s258" style="position:absolute;left:2889;top:1739;width:482;height:417;" filled="false" stroked="false" type="#_x0000_t202">
              <v:fill on="false"/>
              <v:stroke on="false"/>
              <v:path/>
              <v:imagedata o:title=""/>
              <o:lock v:ext="edit" aspectratio="false"/>
              <v:textbox inset="0mm,0mm,0mm,0mm">
                <w:txbxContent>
                  <w:p>
                    <w:pPr>
                      <w:ind w:left="100" w:right="20" w:hanging="80"/>
                      <w:spacing w:before="19" w:line="200" w:lineRule="auto"/>
                      <w:rPr>
                        <w:rFonts w:ascii="SimSun" w:hAnsi="SimSun" w:eastAsia="SimSun" w:cs="SimSun"/>
                        <w:sz w:val="19"/>
                        <w:szCs w:val="19"/>
                      </w:rPr>
                    </w:pPr>
                    <w:r>
                      <w:rPr>
                        <w:rFonts w:ascii="SimSun" w:hAnsi="SimSun" w:eastAsia="SimSun" w:cs="SimSun"/>
                        <w:sz w:val="19"/>
                        <w:szCs w:val="19"/>
                        <w:spacing w:val="-15"/>
                        <w:w w:val="85"/>
                      </w:rPr>
                      <w:t>监督和</w:t>
                    </w:r>
                    <w:r>
                      <w:rPr>
                        <w:rFonts w:ascii="SimSun" w:hAnsi="SimSun" w:eastAsia="SimSun" w:cs="SimSun"/>
                        <w:sz w:val="19"/>
                        <w:szCs w:val="19"/>
                        <w:spacing w:val="1"/>
                      </w:rPr>
                      <w:t xml:space="preserve"> </w:t>
                    </w:r>
                    <w:r>
                      <w:rPr>
                        <w:rFonts w:ascii="SimSun" w:hAnsi="SimSun" w:eastAsia="SimSun" w:cs="SimSun"/>
                        <w:sz w:val="19"/>
                        <w:szCs w:val="19"/>
                        <w:spacing w:val="-13"/>
                        <w:w w:val="98"/>
                      </w:rPr>
                      <w:t>评估</w:t>
                    </w:r>
                  </w:p>
                </w:txbxContent>
              </v:textbox>
            </v:shape>
            <v:shape id="_x0000_s260" style="position:absolute;left:2870;top:238;width:502;height:400;" filled="false" stroked="false" type="#_x0000_t202">
              <v:fill on="false"/>
              <v:stroke on="false"/>
              <v:path/>
              <v:imagedata o:title=""/>
              <o:lock v:ext="edit" aspectratio="false"/>
              <v:textbox inset="0mm,0mm,0mm,0mm">
                <w:txbxContent>
                  <w:p>
                    <w:pPr>
                      <w:ind w:left="88" w:right="20" w:hanging="69"/>
                      <w:spacing w:before="19" w:line="193" w:lineRule="auto"/>
                      <w:rPr>
                        <w:rFonts w:ascii="SimSun" w:hAnsi="SimSun" w:eastAsia="SimSun" w:cs="SimSun"/>
                        <w:sz w:val="19"/>
                        <w:szCs w:val="19"/>
                      </w:rPr>
                    </w:pPr>
                    <w:r>
                      <w:rPr>
                        <w:rFonts w:ascii="SimSun" w:hAnsi="SimSun" w:eastAsia="SimSun" w:cs="SimSun"/>
                        <w:sz w:val="19"/>
                        <w:szCs w:val="19"/>
                        <w:spacing w:val="-15"/>
                        <w:w w:val="89"/>
                      </w:rPr>
                      <w:t>构建和</w:t>
                    </w:r>
                    <w:r>
                      <w:rPr>
                        <w:rFonts w:ascii="SimSun" w:hAnsi="SimSun" w:eastAsia="SimSun" w:cs="SimSun"/>
                        <w:sz w:val="19"/>
                        <w:szCs w:val="19"/>
                      </w:rPr>
                      <w:t xml:space="preserve"> </w:t>
                    </w:r>
                    <w:r>
                      <w:rPr>
                        <w:rFonts w:ascii="SimSun" w:hAnsi="SimSun" w:eastAsia="SimSun" w:cs="SimSun"/>
                        <w:sz w:val="19"/>
                        <w:szCs w:val="19"/>
                        <w:spacing w:val="-13"/>
                      </w:rPr>
                      <w:t>运行</w:t>
                    </w:r>
                  </w:p>
                </w:txbxContent>
              </v:textbox>
            </v:shape>
            <v:shape id="_x0000_s262" style="position:absolute;left:3920;top:927;width:37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6"/>
                      </w:rPr>
                      <w:t>输</w:t>
                    </w:r>
                    <w:r>
                      <w:rPr>
                        <w:rFonts w:ascii="SimSun" w:hAnsi="SimSun" w:eastAsia="SimSun" w:cs="SimSun"/>
                        <w:sz w:val="19"/>
                        <w:szCs w:val="19"/>
                        <w:spacing w:val="-24"/>
                      </w:rPr>
                      <w:t>出</w:t>
                    </w:r>
                  </w:p>
                </w:txbxContent>
              </v:textbox>
            </v:shape>
          </v:group>
        </w:pict>
      </w:r>
    </w:p>
    <w:p>
      <w:pPr>
        <w:ind w:left="2582"/>
        <w:spacing w:before="163" w:line="221" w:lineRule="auto"/>
        <w:rPr>
          <w:rFonts w:ascii="SimHei" w:hAnsi="SimHei" w:eastAsia="SimHei" w:cs="SimHei"/>
          <w:sz w:val="19"/>
          <w:szCs w:val="19"/>
        </w:rPr>
      </w:pPr>
      <w:r>
        <w:rPr>
          <w:rFonts w:ascii="SimHei" w:hAnsi="SimHei" w:eastAsia="SimHei" w:cs="SimHei"/>
          <w:sz w:val="19"/>
          <w:szCs w:val="19"/>
          <w:b/>
          <w:bCs/>
          <w:spacing w:val="-6"/>
        </w:rPr>
        <w:t>图3-2</w:t>
      </w:r>
      <w:r>
        <w:rPr>
          <w:rFonts w:ascii="SimHei" w:hAnsi="SimHei" w:eastAsia="SimHei" w:cs="SimHei"/>
          <w:sz w:val="19"/>
          <w:szCs w:val="19"/>
          <w:spacing w:val="63"/>
        </w:rPr>
        <w:t xml:space="preserve"> </w:t>
      </w:r>
      <w:r>
        <w:rPr>
          <w:rFonts w:ascii="SimHei" w:hAnsi="SimHei" w:eastAsia="SimHei" w:cs="SimHei"/>
          <w:sz w:val="19"/>
          <w:szCs w:val="19"/>
          <w:b/>
          <w:bCs/>
          <w:spacing w:val="-6"/>
        </w:rPr>
        <w:t>云端数据治理实施流程</w:t>
      </w:r>
    </w:p>
    <w:p>
      <w:pPr>
        <w:ind w:right="246" w:firstLine="440"/>
        <w:spacing w:before="265" w:line="274" w:lineRule="auto"/>
        <w:rPr>
          <w:rFonts w:ascii="SimSun" w:hAnsi="SimSun" w:eastAsia="SimSun" w:cs="SimSun"/>
          <w:sz w:val="19"/>
          <w:szCs w:val="19"/>
        </w:rPr>
      </w:pPr>
      <w:r>
        <w:rPr>
          <w:rFonts w:ascii="SimSun" w:hAnsi="SimSun" w:eastAsia="SimSun" w:cs="SimSun"/>
          <w:sz w:val="19"/>
          <w:szCs w:val="19"/>
          <w:spacing w:val="21"/>
        </w:rPr>
        <w:t>云端数据治理是一系列流程和活动的集合，不同类型和规模的组织开展数据治</w:t>
      </w:r>
      <w:r>
        <w:rPr>
          <w:rFonts w:ascii="SimSun" w:hAnsi="SimSun" w:eastAsia="SimSun" w:cs="SimSun"/>
          <w:sz w:val="19"/>
          <w:szCs w:val="19"/>
          <w:spacing w:val="10"/>
        </w:rPr>
        <w:t xml:space="preserve"> </w:t>
      </w:r>
      <w:r>
        <w:rPr>
          <w:rFonts w:ascii="SimSun" w:hAnsi="SimSun" w:eastAsia="SimSun" w:cs="SimSun"/>
          <w:sz w:val="19"/>
          <w:szCs w:val="19"/>
          <w:spacing w:val="22"/>
        </w:rPr>
        <w:t>理的流程可能存在一些差异，但总体流程应</w:t>
      </w:r>
      <w:r>
        <w:rPr>
          <w:rFonts w:ascii="SimSun" w:hAnsi="SimSun" w:eastAsia="SimSun" w:cs="SimSun"/>
          <w:sz w:val="19"/>
          <w:szCs w:val="19"/>
          <w:spacing w:val="21"/>
        </w:rPr>
        <w:t>该是相似的，以下简要描述了数据治理</w:t>
      </w:r>
      <w:r>
        <w:rPr>
          <w:rFonts w:ascii="SimSun" w:hAnsi="SimSun" w:eastAsia="SimSun" w:cs="SimSun"/>
          <w:sz w:val="19"/>
          <w:szCs w:val="19"/>
        </w:rPr>
        <w:t xml:space="preserve"> </w:t>
      </w:r>
      <w:r>
        <w:rPr>
          <w:rFonts w:ascii="SimSun" w:hAnsi="SimSun" w:eastAsia="SimSun" w:cs="SimSun"/>
          <w:sz w:val="19"/>
          <w:szCs w:val="19"/>
          <w:spacing w:val="18"/>
        </w:rPr>
        <w:t>实施的基本过程，组织可以参照该过程完善数据治理流程。</w:t>
      </w:r>
    </w:p>
    <w:p>
      <w:pPr>
        <w:ind w:right="249" w:firstLine="440"/>
        <w:spacing w:before="107" w:line="273" w:lineRule="auto"/>
        <w:rPr>
          <w:rFonts w:ascii="SimSun" w:hAnsi="SimSun" w:eastAsia="SimSun" w:cs="SimSun"/>
          <w:sz w:val="19"/>
          <w:szCs w:val="19"/>
        </w:rPr>
      </w:pPr>
      <w:r>
        <w:rPr>
          <w:rFonts w:ascii="SimSun" w:hAnsi="SimSun" w:eastAsia="SimSun" w:cs="SimSun"/>
          <w:sz w:val="19"/>
          <w:szCs w:val="19"/>
          <w:spacing w:val="21"/>
        </w:rPr>
        <w:t>首先，组织要做的是识别关键问题，确定数据治理目标，规划数据治理的总体</w:t>
      </w:r>
      <w:r>
        <w:rPr>
          <w:rFonts w:ascii="SimSun" w:hAnsi="SimSun" w:eastAsia="SimSun" w:cs="SimSun"/>
          <w:sz w:val="19"/>
          <w:szCs w:val="19"/>
          <w:spacing w:val="3"/>
        </w:rPr>
        <w:t xml:space="preserve"> </w:t>
      </w:r>
      <w:r>
        <w:rPr>
          <w:rFonts w:ascii="SimSun" w:hAnsi="SimSun" w:eastAsia="SimSun" w:cs="SimSun"/>
          <w:sz w:val="19"/>
          <w:szCs w:val="19"/>
          <w:spacing w:val="22"/>
        </w:rPr>
        <w:t>流程。在识别关键问题时，组织可以从对特定问题或领</w:t>
      </w:r>
      <w:r>
        <w:rPr>
          <w:rFonts w:ascii="SimSun" w:hAnsi="SimSun" w:eastAsia="SimSun" w:cs="SimSun"/>
          <w:sz w:val="19"/>
          <w:szCs w:val="19"/>
          <w:spacing w:val="21"/>
        </w:rPr>
        <w:t>域进行数据治理的紧迫程度</w:t>
      </w:r>
      <w:r>
        <w:rPr>
          <w:rFonts w:ascii="SimSun" w:hAnsi="SimSun" w:eastAsia="SimSun" w:cs="SimSun"/>
          <w:sz w:val="19"/>
          <w:szCs w:val="19"/>
        </w:rPr>
        <w:t xml:space="preserve"> </w:t>
      </w:r>
      <w:r>
        <w:rPr>
          <w:rFonts w:ascii="SimSun" w:hAnsi="SimSun" w:eastAsia="SimSun" w:cs="SimSun"/>
          <w:sz w:val="19"/>
          <w:szCs w:val="19"/>
          <w:spacing w:val="22"/>
        </w:rPr>
        <w:t>以及数据治理能够带来的价值来综合衡量，对要解决的问</w:t>
      </w:r>
      <w:r>
        <w:rPr>
          <w:rFonts w:ascii="SimSun" w:hAnsi="SimSun" w:eastAsia="SimSun" w:cs="SimSun"/>
          <w:sz w:val="19"/>
          <w:szCs w:val="19"/>
          <w:spacing w:val="21"/>
        </w:rPr>
        <w:t>题或治理领域排序，设定</w:t>
      </w:r>
      <w:r>
        <w:rPr>
          <w:rFonts w:ascii="SimSun" w:hAnsi="SimSun" w:eastAsia="SimSun" w:cs="SimSun"/>
          <w:sz w:val="19"/>
          <w:szCs w:val="19"/>
        </w:rPr>
        <w:t xml:space="preserve"> </w:t>
      </w:r>
      <w:r>
        <w:rPr>
          <w:rFonts w:ascii="SimSun" w:hAnsi="SimSun" w:eastAsia="SimSun" w:cs="SimSun"/>
          <w:sz w:val="19"/>
          <w:szCs w:val="19"/>
          <w:spacing w:val="10"/>
        </w:rPr>
        <w:t>优先级顺序。</w:t>
      </w:r>
    </w:p>
    <w:p>
      <w:pPr>
        <w:ind w:right="250" w:firstLine="440"/>
        <w:spacing w:before="93" w:line="288" w:lineRule="auto"/>
        <w:rPr>
          <w:rFonts w:ascii="SimSun" w:hAnsi="SimSun" w:eastAsia="SimSun" w:cs="SimSun"/>
          <w:sz w:val="19"/>
          <w:szCs w:val="19"/>
        </w:rPr>
      </w:pPr>
      <w:r>
        <w:rPr>
          <w:rFonts w:ascii="SimSun" w:hAnsi="SimSun" w:eastAsia="SimSun" w:cs="SimSun"/>
          <w:sz w:val="19"/>
          <w:szCs w:val="19"/>
          <w:spacing w:val="21"/>
        </w:rPr>
        <w:t>其次，围绕数据治理目标，制订数据治理实施的管理机制和配套资源。组织需</w:t>
      </w:r>
      <w:r>
        <w:rPr>
          <w:rFonts w:ascii="SimSun" w:hAnsi="SimSun" w:eastAsia="SimSun" w:cs="SimSun"/>
          <w:sz w:val="19"/>
          <w:szCs w:val="19"/>
          <w:spacing w:val="6"/>
        </w:rPr>
        <w:t xml:space="preserve"> </w:t>
      </w:r>
      <w:r>
        <w:rPr>
          <w:rFonts w:ascii="SimSun" w:hAnsi="SimSun" w:eastAsia="SimSun" w:cs="SimSun"/>
          <w:sz w:val="19"/>
          <w:szCs w:val="19"/>
          <w:spacing w:val="21"/>
        </w:rPr>
        <w:t>要组建有足够代表性和权限的数据治理组织架构，使之可以贯穿整个组织，以便各</w:t>
      </w:r>
      <w:r>
        <w:rPr>
          <w:rFonts w:ascii="SimSun" w:hAnsi="SimSun" w:eastAsia="SimSun" w:cs="SimSun"/>
          <w:sz w:val="19"/>
          <w:szCs w:val="19"/>
          <w:spacing w:val="2"/>
        </w:rPr>
        <w:t xml:space="preserve"> </w:t>
      </w:r>
      <w:r>
        <w:rPr>
          <w:rFonts w:ascii="SimSun" w:hAnsi="SimSun" w:eastAsia="SimSun" w:cs="SimSun"/>
          <w:sz w:val="19"/>
          <w:szCs w:val="19"/>
          <w:spacing w:val="22"/>
        </w:rPr>
        <w:t>业务、技术和管理部门对整个信息供应链进</w:t>
      </w:r>
      <w:r>
        <w:rPr>
          <w:rFonts w:ascii="SimSun" w:hAnsi="SimSun" w:eastAsia="SimSun" w:cs="SimSun"/>
          <w:sz w:val="19"/>
          <w:szCs w:val="19"/>
          <w:spacing w:val="21"/>
        </w:rPr>
        <w:t>行治理。建立沟通机制，确保数据治理</w:t>
      </w:r>
      <w:r>
        <w:rPr>
          <w:rFonts w:ascii="SimSun" w:hAnsi="SimSun" w:eastAsia="SimSun" w:cs="SimSun"/>
          <w:sz w:val="19"/>
          <w:szCs w:val="19"/>
        </w:rPr>
        <w:t xml:space="preserve"> </w:t>
      </w:r>
      <w:r>
        <w:rPr>
          <w:rFonts w:ascii="SimSun" w:hAnsi="SimSun" w:eastAsia="SimSun" w:cs="SimSun"/>
          <w:sz w:val="19"/>
          <w:szCs w:val="19"/>
          <w:spacing w:val="14"/>
        </w:rPr>
        <w:t>的沟通能够有效传达、理解和反馈。</w:t>
      </w:r>
    </w:p>
    <w:p>
      <w:pPr>
        <w:ind w:right="232" w:firstLine="440"/>
        <w:spacing w:before="85" w:line="274" w:lineRule="auto"/>
        <w:rPr>
          <w:rFonts w:ascii="SimSun" w:hAnsi="SimSun" w:eastAsia="SimSun" w:cs="SimSun"/>
          <w:sz w:val="19"/>
          <w:szCs w:val="19"/>
        </w:rPr>
      </w:pPr>
      <w:r>
        <w:rPr>
          <w:rFonts w:ascii="SimSun" w:hAnsi="SimSun" w:eastAsia="SimSun" w:cs="SimSun"/>
          <w:sz w:val="19"/>
          <w:szCs w:val="19"/>
          <w:spacing w:val="22"/>
        </w:rPr>
        <w:t>再次，开展云端数据治理的各项具体措施，例如定义数据</w:t>
      </w:r>
      <w:r>
        <w:rPr>
          <w:rFonts w:ascii="SimSun" w:hAnsi="SimSun" w:eastAsia="SimSun" w:cs="SimSun"/>
          <w:sz w:val="19"/>
          <w:szCs w:val="19"/>
          <w:spacing w:val="21"/>
        </w:rPr>
        <w:t>词汇表，制订数据架</w:t>
      </w:r>
      <w:r>
        <w:rPr>
          <w:rFonts w:ascii="SimSun" w:hAnsi="SimSun" w:eastAsia="SimSun" w:cs="SimSun"/>
          <w:sz w:val="19"/>
          <w:szCs w:val="19"/>
        </w:rPr>
        <w:t xml:space="preserve"> </w:t>
      </w:r>
      <w:r>
        <w:rPr>
          <w:rFonts w:ascii="SimSun" w:hAnsi="SimSun" w:eastAsia="SimSun" w:cs="SimSun"/>
          <w:sz w:val="19"/>
          <w:szCs w:val="19"/>
          <w:spacing w:val="22"/>
        </w:rPr>
        <w:t>构标准，对数据进行管理和操作，采取安全防护</w:t>
      </w:r>
      <w:r>
        <w:rPr>
          <w:rFonts w:ascii="SimSun" w:hAnsi="SimSun" w:eastAsia="SimSun" w:cs="SimSun"/>
          <w:sz w:val="19"/>
          <w:szCs w:val="19"/>
          <w:spacing w:val="21"/>
        </w:rPr>
        <w:t>措施保证数据安全，识别法律法规</w:t>
      </w:r>
      <w:r>
        <w:rPr>
          <w:rFonts w:ascii="SimSun" w:hAnsi="SimSun" w:eastAsia="SimSun" w:cs="SimSun"/>
          <w:sz w:val="19"/>
          <w:szCs w:val="19"/>
        </w:rPr>
        <w:t xml:space="preserve"> </w:t>
      </w:r>
      <w:r>
        <w:rPr>
          <w:rFonts w:ascii="SimSun" w:hAnsi="SimSun" w:eastAsia="SimSun" w:cs="SimSun"/>
          <w:sz w:val="19"/>
          <w:szCs w:val="19"/>
          <w:spacing w:val="16"/>
        </w:rPr>
        <w:t>和相关要求，保证数据治理的合规性。</w:t>
      </w:r>
    </w:p>
    <w:p>
      <w:pPr>
        <w:ind w:right="252" w:firstLine="440"/>
        <w:spacing w:before="104" w:line="281" w:lineRule="auto"/>
        <w:rPr>
          <w:rFonts w:ascii="SimSun" w:hAnsi="SimSun" w:eastAsia="SimSun" w:cs="SimSun"/>
          <w:sz w:val="19"/>
          <w:szCs w:val="19"/>
        </w:rPr>
      </w:pPr>
      <w:r>
        <w:rPr>
          <w:rFonts w:ascii="SimSun" w:hAnsi="SimSun" w:eastAsia="SimSun" w:cs="SimSun"/>
          <w:sz w:val="19"/>
          <w:szCs w:val="19"/>
          <w:spacing w:val="21"/>
        </w:rPr>
        <w:t>最后，组织要定义考核和评价指标体系，针对已开展的数据治理的效果进行评</w:t>
      </w:r>
      <w:r>
        <w:rPr>
          <w:rFonts w:ascii="SimSun" w:hAnsi="SimSun" w:eastAsia="SimSun" w:cs="SimSun"/>
          <w:sz w:val="19"/>
          <w:szCs w:val="19"/>
          <w:spacing w:val="2"/>
        </w:rPr>
        <w:t xml:space="preserve"> </w:t>
      </w:r>
      <w:r>
        <w:rPr>
          <w:rFonts w:ascii="SimSun" w:hAnsi="SimSun" w:eastAsia="SimSun" w:cs="SimSun"/>
          <w:sz w:val="19"/>
          <w:szCs w:val="19"/>
          <w:spacing w:val="21"/>
        </w:rPr>
        <w:t>估，确定数据治理结果与目标的符合程度，发现策略</w:t>
      </w:r>
      <w:r>
        <w:rPr>
          <w:rFonts w:ascii="SimSun" w:hAnsi="SimSun" w:eastAsia="SimSun" w:cs="SimSun"/>
          <w:sz w:val="19"/>
          <w:szCs w:val="19"/>
          <w:spacing w:val="20"/>
        </w:rPr>
        <w:t>漏洞和治理流程不完善之处。</w:t>
      </w:r>
      <w:r>
        <w:rPr>
          <w:rFonts w:ascii="SimSun" w:hAnsi="SimSun" w:eastAsia="SimSun" w:cs="SimSun"/>
          <w:sz w:val="19"/>
          <w:szCs w:val="19"/>
        </w:rPr>
        <w:t xml:space="preserve"> </w:t>
      </w:r>
      <w:r>
        <w:rPr>
          <w:rFonts w:ascii="SimSun" w:hAnsi="SimSun" w:eastAsia="SimSun" w:cs="SimSun"/>
          <w:sz w:val="19"/>
          <w:szCs w:val="19"/>
          <w:spacing w:val="22"/>
        </w:rPr>
        <w:t>评估的方式包括组织自评和独立第三方评估，组织</w:t>
      </w:r>
      <w:r>
        <w:rPr>
          <w:rFonts w:ascii="SimSun" w:hAnsi="SimSun" w:eastAsia="SimSun" w:cs="SimSun"/>
          <w:sz w:val="19"/>
          <w:szCs w:val="19"/>
          <w:spacing w:val="21"/>
        </w:rPr>
        <w:t>依据评估结果和改进建议，调整</w:t>
      </w:r>
      <w:r>
        <w:rPr>
          <w:rFonts w:ascii="SimSun" w:hAnsi="SimSun" w:eastAsia="SimSun" w:cs="SimSun"/>
          <w:sz w:val="19"/>
          <w:szCs w:val="19"/>
        </w:rPr>
        <w:t xml:space="preserve"> </w:t>
      </w:r>
      <w:r>
        <w:rPr>
          <w:rFonts w:ascii="SimSun" w:hAnsi="SimSun" w:eastAsia="SimSun" w:cs="SimSun"/>
          <w:sz w:val="19"/>
          <w:szCs w:val="19"/>
          <w:spacing w:val="13"/>
        </w:rPr>
        <w:t>数据治理策略。</w:t>
      </w:r>
    </w:p>
    <w:p>
      <w:pPr>
        <w:ind w:left="4"/>
        <w:spacing w:before="306" w:line="637" w:lineRule="exact"/>
        <w:rPr>
          <w:rFonts w:ascii="YouYuan" w:hAnsi="YouYuan" w:eastAsia="YouYuan" w:cs="YouYuan"/>
          <w:sz w:val="29"/>
          <w:szCs w:val="29"/>
        </w:rPr>
      </w:pPr>
      <w:r>
        <w:rPr>
          <w:rFonts w:ascii="YouYuan" w:hAnsi="YouYuan" w:eastAsia="YouYuan" w:cs="YouYuan"/>
          <w:sz w:val="29"/>
          <w:szCs w:val="29"/>
          <w:b/>
          <w:bCs/>
          <w:spacing w:val="-10"/>
          <w:position w:val="26"/>
        </w:rPr>
        <w:t>3.1.2</w:t>
      </w:r>
      <w:r>
        <w:rPr>
          <w:rFonts w:ascii="YouYuan" w:hAnsi="YouYuan" w:eastAsia="YouYuan" w:cs="YouYuan"/>
          <w:sz w:val="29"/>
          <w:szCs w:val="29"/>
          <w:spacing w:val="128"/>
          <w:position w:val="26"/>
        </w:rPr>
        <w:t xml:space="preserve"> </w:t>
      </w:r>
      <w:r>
        <w:rPr>
          <w:rFonts w:ascii="YouYuan" w:hAnsi="YouYuan" w:eastAsia="YouYuan" w:cs="YouYuan"/>
          <w:sz w:val="29"/>
          <w:szCs w:val="29"/>
          <w:b/>
          <w:bCs/>
          <w:spacing w:val="-10"/>
          <w:position w:val="26"/>
        </w:rPr>
        <w:t>成熟度等级定义与特征</w:t>
      </w:r>
    </w:p>
    <w:p>
      <w:pPr>
        <w:ind w:left="443"/>
        <w:spacing w:line="219" w:lineRule="auto"/>
        <w:rPr>
          <w:rFonts w:ascii="YouYuan" w:hAnsi="YouYuan" w:eastAsia="YouYuan" w:cs="YouYuan"/>
          <w:sz w:val="22"/>
          <w:szCs w:val="22"/>
        </w:rPr>
      </w:pPr>
      <w:r>
        <w:rPr>
          <w:rFonts w:ascii="YouYuan" w:hAnsi="YouYuan" w:eastAsia="YouYuan" w:cs="YouYuan"/>
          <w:sz w:val="22"/>
          <w:szCs w:val="22"/>
          <w:b/>
          <w:bCs/>
          <w:spacing w:val="-8"/>
        </w:rPr>
        <w:t>1.</w:t>
      </w:r>
      <w:r>
        <w:rPr>
          <w:rFonts w:ascii="YouYuan" w:hAnsi="YouYuan" w:eastAsia="YouYuan" w:cs="YouYuan"/>
          <w:sz w:val="22"/>
          <w:szCs w:val="22"/>
          <w:spacing w:val="-8"/>
        </w:rPr>
        <w:t xml:space="preserve"> </w:t>
      </w:r>
      <w:r>
        <w:rPr>
          <w:rFonts w:ascii="YouYuan" w:hAnsi="YouYuan" w:eastAsia="YouYuan" w:cs="YouYuan"/>
          <w:sz w:val="22"/>
          <w:szCs w:val="22"/>
          <w:b/>
          <w:bCs/>
          <w:spacing w:val="-8"/>
        </w:rPr>
        <w:t>初始级</w:t>
      </w:r>
    </w:p>
    <w:p>
      <w:pPr>
        <w:ind w:left="440"/>
        <w:spacing w:before="256" w:line="232" w:lineRule="auto"/>
        <w:rPr>
          <w:rFonts w:ascii="KaiTi" w:hAnsi="KaiTi" w:eastAsia="KaiTi" w:cs="KaiTi"/>
          <w:sz w:val="19"/>
          <w:szCs w:val="19"/>
        </w:rPr>
      </w:pPr>
      <w:r>
        <w:rPr>
          <w:rFonts w:ascii="KaiTi" w:hAnsi="KaiTi" w:eastAsia="KaiTi" w:cs="KaiTi"/>
          <w:sz w:val="19"/>
          <w:szCs w:val="19"/>
          <w:spacing w:val="-10"/>
        </w:rPr>
        <w:t>1</w:t>
      </w:r>
      <w:r>
        <w:rPr>
          <w:rFonts w:ascii="KaiTi" w:hAnsi="KaiTi" w:eastAsia="KaiTi" w:cs="KaiTi"/>
          <w:sz w:val="19"/>
          <w:szCs w:val="19"/>
          <w:spacing w:val="-42"/>
        </w:rPr>
        <w:t xml:space="preserve"> </w:t>
      </w:r>
      <w:r>
        <w:rPr>
          <w:rFonts w:ascii="KaiTi" w:hAnsi="KaiTi" w:eastAsia="KaiTi" w:cs="KaiTi"/>
          <w:sz w:val="19"/>
          <w:szCs w:val="19"/>
          <w:spacing w:val="-10"/>
        </w:rPr>
        <w:t>)</w:t>
      </w:r>
      <w:r>
        <w:rPr>
          <w:rFonts w:ascii="KaiTi" w:hAnsi="KaiTi" w:eastAsia="KaiTi" w:cs="KaiTi"/>
          <w:sz w:val="19"/>
          <w:szCs w:val="19"/>
          <w:spacing w:val="-30"/>
        </w:rPr>
        <w:t xml:space="preserve"> </w:t>
      </w:r>
      <w:r>
        <w:rPr>
          <w:rFonts w:ascii="KaiTi" w:hAnsi="KaiTi" w:eastAsia="KaiTi" w:cs="KaiTi"/>
          <w:sz w:val="19"/>
          <w:szCs w:val="19"/>
          <w:spacing w:val="-10"/>
        </w:rPr>
        <w:t>定</w:t>
      </w:r>
      <w:r>
        <w:rPr>
          <w:rFonts w:ascii="KaiTi" w:hAnsi="KaiTi" w:eastAsia="KaiTi" w:cs="KaiTi"/>
          <w:sz w:val="19"/>
          <w:szCs w:val="19"/>
          <w:spacing w:val="-31"/>
        </w:rPr>
        <w:t xml:space="preserve"> </w:t>
      </w:r>
      <w:r>
        <w:rPr>
          <w:rFonts w:ascii="KaiTi" w:hAnsi="KaiTi" w:eastAsia="KaiTi" w:cs="KaiTi"/>
          <w:sz w:val="19"/>
          <w:szCs w:val="19"/>
          <w:spacing w:val="-10"/>
        </w:rPr>
        <w:t>义</w:t>
      </w:r>
    </w:p>
    <w:p>
      <w:pPr>
        <w:ind w:right="251" w:firstLine="440"/>
        <w:spacing w:before="75" w:line="265" w:lineRule="auto"/>
        <w:rPr>
          <w:rFonts w:ascii="SimSun" w:hAnsi="SimSun" w:eastAsia="SimSun" w:cs="SimSun"/>
          <w:sz w:val="19"/>
          <w:szCs w:val="19"/>
        </w:rPr>
      </w:pPr>
      <w:r>
        <w:rPr>
          <w:rFonts w:ascii="SimSun" w:hAnsi="SimSun" w:eastAsia="SimSun" w:cs="SimSun"/>
          <w:sz w:val="19"/>
          <w:szCs w:val="19"/>
          <w:spacing w:val="21"/>
        </w:rPr>
        <w:t>云端数据治理措施未经严格的计划和跟踪，而是依赖于数据管理人员的经验及</w:t>
      </w:r>
      <w:r>
        <w:rPr>
          <w:rFonts w:ascii="SimSun" w:hAnsi="SimSun" w:eastAsia="SimSun" w:cs="SimSun"/>
          <w:sz w:val="19"/>
          <w:szCs w:val="19"/>
          <w:spacing w:val="5"/>
        </w:rPr>
        <w:t xml:space="preserve"> </w:t>
      </w:r>
      <w:r>
        <w:rPr>
          <w:rFonts w:ascii="SimSun" w:hAnsi="SimSun" w:eastAsia="SimSun" w:cs="SimSun"/>
          <w:sz w:val="19"/>
          <w:szCs w:val="19"/>
          <w:spacing w:val="22"/>
        </w:rPr>
        <w:t>个人意识进行，所开展的数据治理活动的一致</w:t>
      </w:r>
      <w:r>
        <w:rPr>
          <w:rFonts w:ascii="SimSun" w:hAnsi="SimSun" w:eastAsia="SimSun" w:cs="SimSun"/>
          <w:sz w:val="19"/>
          <w:szCs w:val="19"/>
          <w:spacing w:val="21"/>
        </w:rPr>
        <w:t>性、性能和质量存在不稳定性或不可</w:t>
      </w:r>
    </w:p>
    <w:p>
      <w:pPr>
        <w:spacing w:line="265" w:lineRule="auto"/>
        <w:sectPr>
          <w:footerReference w:type="default" r:id="rId120"/>
          <w:pgSz w:w="8870" w:h="13400"/>
          <w:pgMar w:top="400" w:right="587" w:bottom="554" w:left="409" w:header="0" w:footer="336" w:gutter="0"/>
        </w:sectPr>
        <w:rPr>
          <w:rFonts w:ascii="SimSun" w:hAnsi="SimSun" w:eastAsia="SimSun" w:cs="SimSun"/>
          <w:sz w:val="19"/>
          <w:szCs w:val="19"/>
        </w:rPr>
      </w:pPr>
    </w:p>
    <w:p>
      <w:pPr>
        <w:ind w:left="139"/>
        <w:spacing w:before="200"/>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551"/>
            <wp:effectExtent l="0" t="0" r="0" b="0"/>
            <wp:docPr id="102" name="IM 102"/>
            <wp:cNvGraphicFramePr/>
            <a:graphic>
              <a:graphicData uri="http://schemas.openxmlformats.org/drawingml/2006/picture">
                <pic:pic>
                  <pic:nvPicPr>
                    <pic:cNvPr id="102" name="IM 102"/>
                    <pic:cNvPicPr/>
                  </pic:nvPicPr>
                  <pic:blipFill>
                    <a:blip r:embed="rId123"/>
                    <a:stretch>
                      <a:fillRect/>
                    </a:stretch>
                  </pic:blipFill>
                  <pic:spPr>
                    <a:xfrm rot="0">
                      <a:off x="0" y="0"/>
                      <a:ext cx="6365" cy="228551"/>
                    </a:xfrm>
                    <a:prstGeom prst="rect">
                      <a:avLst/>
                    </a:prstGeom>
                  </pic:spPr>
                </pic:pic>
              </a:graphicData>
            </a:graphic>
          </wp:inline>
        </w:drawing>
      </w:r>
      <w:r>
        <w:rPr>
          <w:rFonts w:ascii="SimSun" w:hAnsi="SimSun" w:eastAsia="SimSun" w:cs="SimSun"/>
          <w:sz w:val="22"/>
          <w:szCs w:val="22"/>
          <w:spacing w:val="-23"/>
        </w:rPr>
        <w:t xml:space="preserve"> </w:t>
      </w:r>
      <w:r>
        <w:rPr>
          <w:rFonts w:ascii="SimSun" w:hAnsi="SimSun" w:eastAsia="SimSun" w:cs="SimSun"/>
          <w:sz w:val="22"/>
          <w:szCs w:val="22"/>
          <w:b/>
          <w:bCs/>
          <w:spacing w:val="17"/>
        </w:rPr>
        <w:t>云端数据治理</w:t>
      </w:r>
    </w:p>
    <w:p>
      <w:pPr>
        <w:ind w:left="289"/>
        <w:spacing w:before="288" w:line="311" w:lineRule="exact"/>
        <w:rPr>
          <w:rFonts w:ascii="SimSun" w:hAnsi="SimSun" w:eastAsia="SimSun" w:cs="SimSun"/>
          <w:sz w:val="22"/>
          <w:szCs w:val="22"/>
        </w:rPr>
      </w:pPr>
      <w:r>
        <w:rPr>
          <w:rFonts w:ascii="SimSun" w:hAnsi="SimSun" w:eastAsia="SimSun" w:cs="SimSun"/>
          <w:sz w:val="22"/>
          <w:szCs w:val="22"/>
          <w:spacing w:val="-12"/>
          <w:position w:val="6"/>
        </w:rPr>
        <w:t>重复性，开展数据治理的范围较小。</w:t>
      </w:r>
    </w:p>
    <w:p>
      <w:pPr>
        <w:ind w:left="679"/>
        <w:spacing w:before="1" w:line="227" w:lineRule="auto"/>
        <w:rPr>
          <w:rFonts w:ascii="KaiTi" w:hAnsi="KaiTi" w:eastAsia="KaiTi" w:cs="KaiTi"/>
          <w:sz w:val="22"/>
          <w:szCs w:val="22"/>
        </w:rPr>
      </w:pPr>
      <w:r>
        <w:rPr>
          <w:rFonts w:ascii="KaiTi" w:hAnsi="KaiTi" w:eastAsia="KaiTi" w:cs="KaiTi"/>
          <w:sz w:val="22"/>
          <w:szCs w:val="22"/>
          <w:spacing w:val="14"/>
        </w:rPr>
        <w:t>2)特征</w:t>
      </w:r>
    </w:p>
    <w:p>
      <w:pPr>
        <w:ind w:left="679"/>
        <w:spacing w:before="37" w:line="219" w:lineRule="auto"/>
        <w:rPr>
          <w:rFonts w:ascii="SimSun" w:hAnsi="SimSun" w:eastAsia="SimSun" w:cs="SimSun"/>
          <w:sz w:val="22"/>
          <w:szCs w:val="22"/>
        </w:rPr>
      </w:pPr>
      <w:r>
        <w:rPr>
          <w:rFonts w:ascii="SimSun" w:hAnsi="SimSun" w:eastAsia="SimSun" w:cs="SimSun"/>
          <w:sz w:val="22"/>
          <w:szCs w:val="22"/>
          <w:spacing w:val="-10"/>
        </w:rPr>
        <w:t>达到云端数据治理成熟度初始级应具备以下特征。</w:t>
      </w:r>
    </w:p>
    <w:p>
      <w:pPr>
        <w:ind w:left="679"/>
        <w:spacing w:before="44" w:line="212" w:lineRule="auto"/>
        <w:rPr>
          <w:rFonts w:ascii="SimSun" w:hAnsi="SimSun" w:eastAsia="SimSun" w:cs="SimSun"/>
          <w:sz w:val="22"/>
          <w:szCs w:val="22"/>
        </w:rPr>
      </w:pPr>
      <w:r>
        <w:rPr>
          <w:rFonts w:ascii="Times New Roman" w:hAnsi="Times New Roman" w:eastAsia="Times New Roman" w:cs="Times New Roman"/>
          <w:sz w:val="22"/>
          <w:szCs w:val="22"/>
          <w:spacing w:val="-8"/>
        </w:rPr>
        <w:t>a)  </w:t>
      </w:r>
      <w:r>
        <w:rPr>
          <w:rFonts w:ascii="SimSun" w:hAnsi="SimSun" w:eastAsia="SimSun" w:cs="SimSun"/>
          <w:sz w:val="22"/>
          <w:szCs w:val="22"/>
          <w:spacing w:val="-8"/>
        </w:rPr>
        <w:t>组织开展了临时性的云端数据治理项目，但涉及范</w:t>
      </w:r>
      <w:r>
        <w:rPr>
          <w:rFonts w:ascii="SimSun" w:hAnsi="SimSun" w:eastAsia="SimSun" w:cs="SimSun"/>
          <w:sz w:val="22"/>
          <w:szCs w:val="22"/>
          <w:spacing w:val="-9"/>
        </w:rPr>
        <w:t>围在部门级；</w:t>
      </w:r>
    </w:p>
    <w:p>
      <w:pPr>
        <w:ind w:left="679" w:right="459"/>
        <w:spacing w:before="37"/>
        <w:rPr>
          <w:rFonts w:ascii="SimSun" w:hAnsi="SimSun" w:eastAsia="SimSun" w:cs="SimSun"/>
          <w:sz w:val="22"/>
          <w:szCs w:val="22"/>
        </w:rPr>
      </w:pPr>
      <w:r>
        <w:rPr>
          <w:rFonts w:ascii="Times New Roman" w:hAnsi="Times New Roman" w:eastAsia="Times New Roman" w:cs="Times New Roman"/>
          <w:sz w:val="22"/>
          <w:szCs w:val="22"/>
          <w:spacing w:val="-9"/>
        </w:rPr>
        <w:t>b)  </w:t>
      </w:r>
      <w:r>
        <w:rPr>
          <w:rFonts w:ascii="SimSun" w:hAnsi="SimSun" w:eastAsia="SimSun" w:cs="SimSun"/>
          <w:sz w:val="22"/>
          <w:szCs w:val="22"/>
          <w:spacing w:val="-9"/>
        </w:rPr>
        <w:t>云端数据治理的主要目的是预防数据管理不善可能给组织带来的风险；</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8"/>
        </w:rPr>
        <w:t>c)  </w:t>
      </w:r>
      <w:r>
        <w:rPr>
          <w:rFonts w:ascii="SimSun" w:hAnsi="SimSun" w:eastAsia="SimSun" w:cs="SimSun"/>
          <w:sz w:val="22"/>
          <w:szCs w:val="22"/>
          <w:spacing w:val="-8"/>
        </w:rPr>
        <w:t>管理层对实施云端数据治理基本没有意识；</w:t>
      </w:r>
    </w:p>
    <w:p>
      <w:pPr>
        <w:ind w:left="679"/>
        <w:spacing w:before="48" w:line="212" w:lineRule="auto"/>
        <w:rPr>
          <w:rFonts w:ascii="SimSun" w:hAnsi="SimSun" w:eastAsia="SimSun" w:cs="SimSun"/>
          <w:sz w:val="22"/>
          <w:szCs w:val="22"/>
        </w:rPr>
      </w:pPr>
      <w:r>
        <w:rPr>
          <w:rFonts w:ascii="Times New Roman" w:hAnsi="Times New Roman" w:eastAsia="Times New Roman" w:cs="Times New Roman"/>
          <w:sz w:val="22"/>
          <w:szCs w:val="22"/>
          <w:spacing w:val="-8"/>
        </w:rPr>
        <w:t>d)  </w:t>
      </w:r>
      <w:r>
        <w:rPr>
          <w:rFonts w:ascii="SimSun" w:hAnsi="SimSun" w:eastAsia="SimSun" w:cs="SimSun"/>
          <w:sz w:val="22"/>
          <w:szCs w:val="22"/>
          <w:spacing w:val="-8"/>
        </w:rPr>
        <w:t>各部门间数据治理的流程有很大差异。</w:t>
      </w:r>
    </w:p>
    <w:p>
      <w:pPr>
        <w:ind w:left="683"/>
        <w:spacing w:before="240" w:line="228" w:lineRule="auto"/>
        <w:outlineLvl w:val="1"/>
        <w:rPr>
          <w:rFonts w:ascii="YouYuan" w:hAnsi="YouYuan" w:eastAsia="YouYuan" w:cs="YouYuan"/>
          <w:sz w:val="22"/>
          <w:szCs w:val="22"/>
        </w:rPr>
      </w:pPr>
      <w:r>
        <w:rPr>
          <w:rFonts w:ascii="YouYuan" w:hAnsi="YouYuan" w:eastAsia="YouYuan" w:cs="YouYuan"/>
          <w:sz w:val="22"/>
          <w:szCs w:val="22"/>
          <w:b/>
          <w:bCs/>
          <w:spacing w:val="-7"/>
        </w:rPr>
        <w:t>2.</w:t>
      </w:r>
      <w:r>
        <w:rPr>
          <w:rFonts w:ascii="YouYuan" w:hAnsi="YouYuan" w:eastAsia="YouYuan" w:cs="YouYuan"/>
          <w:sz w:val="22"/>
          <w:szCs w:val="22"/>
          <w:spacing w:val="14"/>
        </w:rPr>
        <w:t xml:space="preserve"> </w:t>
      </w:r>
      <w:r>
        <w:rPr>
          <w:rFonts w:ascii="YouYuan" w:hAnsi="YouYuan" w:eastAsia="YouYuan" w:cs="YouYuan"/>
          <w:sz w:val="22"/>
          <w:szCs w:val="22"/>
          <w:b/>
          <w:bCs/>
          <w:spacing w:val="-7"/>
        </w:rPr>
        <w:t>管理级</w:t>
      </w:r>
    </w:p>
    <w:p>
      <w:pPr>
        <w:ind w:left="679"/>
        <w:spacing w:before="217" w:line="232" w:lineRule="auto"/>
        <w:rPr>
          <w:rFonts w:ascii="KaiTi" w:hAnsi="KaiTi" w:eastAsia="KaiTi" w:cs="KaiTi"/>
          <w:sz w:val="22"/>
          <w:szCs w:val="22"/>
        </w:rPr>
      </w:pPr>
      <w:r>
        <w:rPr>
          <w:rFonts w:ascii="KaiTi" w:hAnsi="KaiTi" w:eastAsia="KaiTi" w:cs="KaiTi"/>
          <w:sz w:val="22"/>
          <w:szCs w:val="22"/>
          <w:spacing w:val="7"/>
        </w:rPr>
        <w:t>1)定义</w:t>
      </w:r>
    </w:p>
    <w:p>
      <w:pPr>
        <w:ind w:left="289" w:right="39" w:firstLine="390"/>
        <w:spacing w:before="26" w:line="250" w:lineRule="auto"/>
        <w:rPr>
          <w:rFonts w:ascii="SimSun" w:hAnsi="SimSun" w:eastAsia="SimSun" w:cs="SimSun"/>
          <w:sz w:val="22"/>
          <w:szCs w:val="22"/>
        </w:rPr>
      </w:pPr>
      <w:r>
        <w:rPr>
          <w:rFonts w:ascii="SimSun" w:hAnsi="SimSun" w:eastAsia="SimSun" w:cs="SimSun"/>
          <w:sz w:val="22"/>
          <w:szCs w:val="22"/>
          <w:spacing w:val="-8"/>
        </w:rPr>
        <w:t>云端数据治理措施得到了良好的规划和确定，初步建立了云端数据治理管理制</w:t>
      </w:r>
      <w:r>
        <w:rPr>
          <w:rFonts w:ascii="SimSun" w:hAnsi="SimSun" w:eastAsia="SimSun" w:cs="SimSun"/>
          <w:sz w:val="22"/>
          <w:szCs w:val="22"/>
          <w:spacing w:val="9"/>
        </w:rPr>
        <w:t xml:space="preserve"> </w:t>
      </w:r>
      <w:r>
        <w:rPr>
          <w:rFonts w:ascii="SimSun" w:hAnsi="SimSun" w:eastAsia="SimSun" w:cs="SimSun"/>
          <w:sz w:val="22"/>
          <w:szCs w:val="22"/>
          <w:spacing w:val="-8"/>
        </w:rPr>
        <w:t>度、治理流程制度、实施指南等制度性文件。注重于</w:t>
      </w:r>
      <w:r>
        <w:rPr>
          <w:rFonts w:ascii="SimSun" w:hAnsi="SimSun" w:eastAsia="SimSun" w:cs="SimSun"/>
          <w:sz w:val="22"/>
          <w:szCs w:val="22"/>
          <w:spacing w:val="-9"/>
        </w:rPr>
        <w:t>数据治理管理的制度化，这些</w:t>
      </w:r>
      <w:r>
        <w:rPr>
          <w:rFonts w:ascii="SimSun" w:hAnsi="SimSun" w:eastAsia="SimSun" w:cs="SimSun"/>
          <w:sz w:val="22"/>
          <w:szCs w:val="22"/>
        </w:rPr>
        <w:t xml:space="preserve"> </w:t>
      </w:r>
      <w:r>
        <w:rPr>
          <w:rFonts w:ascii="SimSun" w:hAnsi="SimSun" w:eastAsia="SimSun" w:cs="SimSun"/>
          <w:sz w:val="22"/>
          <w:szCs w:val="22"/>
          <w:spacing w:val="-9"/>
        </w:rPr>
        <w:t>规划和制度符合相关的标准和需求，使组织的数据治理工作有据可依。管理级与初</w:t>
      </w:r>
      <w:r>
        <w:rPr>
          <w:rFonts w:ascii="SimSun" w:hAnsi="SimSun" w:eastAsia="SimSun" w:cs="SimSun"/>
          <w:sz w:val="22"/>
          <w:szCs w:val="22"/>
          <w:spacing w:val="4"/>
        </w:rPr>
        <w:t xml:space="preserve"> </w:t>
      </w:r>
      <w:r>
        <w:rPr>
          <w:rFonts w:ascii="SimSun" w:hAnsi="SimSun" w:eastAsia="SimSun" w:cs="SimSun"/>
          <w:sz w:val="22"/>
          <w:szCs w:val="22"/>
          <w:spacing w:val="-10"/>
        </w:rPr>
        <w:t>始级之间的主要区别是前者云端数据治理措施被良好规划和确定。</w:t>
      </w:r>
    </w:p>
    <w:p>
      <w:pPr>
        <w:ind w:left="679"/>
        <w:spacing w:before="60" w:line="228" w:lineRule="auto"/>
        <w:rPr>
          <w:rFonts w:ascii="KaiTi" w:hAnsi="KaiTi" w:eastAsia="KaiTi" w:cs="KaiTi"/>
          <w:sz w:val="22"/>
          <w:szCs w:val="22"/>
        </w:rPr>
      </w:pPr>
      <w:r>
        <w:rPr>
          <w:rFonts w:ascii="KaiTi" w:hAnsi="KaiTi" w:eastAsia="KaiTi" w:cs="KaiTi"/>
          <w:sz w:val="22"/>
          <w:szCs w:val="22"/>
          <w:spacing w:val="14"/>
        </w:rPr>
        <w:t>2)特征</w:t>
      </w:r>
    </w:p>
    <w:p>
      <w:pPr>
        <w:ind w:left="679"/>
        <w:spacing w:before="48" w:line="219" w:lineRule="auto"/>
        <w:rPr>
          <w:rFonts w:ascii="SimSun" w:hAnsi="SimSun" w:eastAsia="SimSun" w:cs="SimSun"/>
          <w:sz w:val="22"/>
          <w:szCs w:val="22"/>
        </w:rPr>
      </w:pPr>
      <w:r>
        <w:rPr>
          <w:rFonts w:ascii="SimSun" w:hAnsi="SimSun" w:eastAsia="SimSun" w:cs="SimSun"/>
          <w:sz w:val="22"/>
          <w:szCs w:val="22"/>
          <w:spacing w:val="-10"/>
        </w:rPr>
        <w:t>达到云端数据治理成熟度管理级应具备以下特征。</w:t>
      </w:r>
    </w:p>
    <w:p>
      <w:pPr>
        <w:ind w:left="679"/>
        <w:spacing w:before="44" w:line="212" w:lineRule="auto"/>
        <w:rPr>
          <w:rFonts w:ascii="SimSun" w:hAnsi="SimSun" w:eastAsia="SimSun" w:cs="SimSun"/>
          <w:sz w:val="22"/>
          <w:szCs w:val="22"/>
        </w:rPr>
      </w:pPr>
      <w:r>
        <w:rPr>
          <w:rFonts w:ascii="Times New Roman" w:hAnsi="Times New Roman" w:eastAsia="Times New Roman" w:cs="Times New Roman"/>
          <w:sz w:val="22"/>
          <w:szCs w:val="22"/>
          <w:spacing w:val="-8"/>
        </w:rPr>
        <w:t>a)  </w:t>
      </w:r>
      <w:r>
        <w:rPr>
          <w:rFonts w:ascii="SimSun" w:hAnsi="SimSun" w:eastAsia="SimSun" w:cs="SimSun"/>
          <w:sz w:val="22"/>
          <w:szCs w:val="22"/>
          <w:spacing w:val="-8"/>
        </w:rPr>
        <w:t>组织开展了云端数据治理项目，涉及范</w:t>
      </w:r>
      <w:r>
        <w:rPr>
          <w:rFonts w:ascii="SimSun" w:hAnsi="SimSun" w:eastAsia="SimSun" w:cs="SimSun"/>
          <w:sz w:val="22"/>
          <w:szCs w:val="22"/>
          <w:spacing w:val="-9"/>
        </w:rPr>
        <w:t>围跨部门级；</w:t>
      </w:r>
    </w:p>
    <w:p>
      <w:pPr>
        <w:spacing w:before="47" w:line="212" w:lineRule="auto"/>
        <w:jc w:val="right"/>
        <w:rPr>
          <w:rFonts w:ascii="SimSun" w:hAnsi="SimSun" w:eastAsia="SimSun" w:cs="SimSun"/>
          <w:sz w:val="22"/>
          <w:szCs w:val="22"/>
        </w:rPr>
      </w:pPr>
      <w:r>
        <w:rPr>
          <w:rFonts w:ascii="Times New Roman" w:hAnsi="Times New Roman" w:eastAsia="Times New Roman" w:cs="Times New Roman"/>
          <w:sz w:val="22"/>
          <w:szCs w:val="22"/>
          <w:spacing w:val="-13"/>
        </w:rPr>
        <w:t>b)</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13"/>
        </w:rPr>
        <w:t>初步建立了云端数据治理管理制度、治理流程制度、实施指南等制度性文件；</w:t>
      </w:r>
    </w:p>
    <w:p>
      <w:pPr>
        <w:ind w:left="679" w:right="1520"/>
        <w:spacing w:before="67" w:line="232" w:lineRule="auto"/>
        <w:rPr>
          <w:rFonts w:ascii="SimSun" w:hAnsi="SimSun" w:eastAsia="SimSun" w:cs="SimSun"/>
          <w:sz w:val="22"/>
          <w:szCs w:val="22"/>
        </w:rPr>
      </w:pPr>
      <w:r>
        <w:rPr>
          <w:rFonts w:ascii="Times New Roman" w:hAnsi="Times New Roman" w:eastAsia="Times New Roman" w:cs="Times New Roman"/>
          <w:sz w:val="22"/>
          <w:szCs w:val="22"/>
          <w:spacing w:val="-9"/>
        </w:rPr>
        <w:t>c)  </w:t>
      </w:r>
      <w:r>
        <w:rPr>
          <w:rFonts w:ascii="SimSun" w:hAnsi="SimSun" w:eastAsia="SimSun" w:cs="SimSun"/>
          <w:sz w:val="22"/>
          <w:szCs w:val="22"/>
          <w:spacing w:val="-9"/>
        </w:rPr>
        <w:t>管理层对实施云端数据治理具备一定的意识，并予以支持；</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10"/>
        </w:rPr>
        <w:t>d)</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0"/>
        </w:rPr>
        <w:t>定义了有限的管理角色和管理职责；</w:t>
      </w:r>
    </w:p>
    <w:p>
      <w:pPr>
        <w:ind w:left="679"/>
        <w:spacing w:before="77" w:line="212" w:lineRule="auto"/>
        <w:rPr>
          <w:rFonts w:ascii="SimSun" w:hAnsi="SimSun" w:eastAsia="SimSun" w:cs="SimSun"/>
          <w:sz w:val="22"/>
          <w:szCs w:val="22"/>
        </w:rPr>
      </w:pPr>
      <w:r>
        <w:rPr>
          <w:rFonts w:ascii="Times New Roman" w:hAnsi="Times New Roman" w:eastAsia="Times New Roman" w:cs="Times New Roman"/>
          <w:sz w:val="22"/>
          <w:szCs w:val="22"/>
          <w:spacing w:val="-8"/>
        </w:rPr>
        <w:t>e)  </w:t>
      </w:r>
      <w:r>
        <w:rPr>
          <w:rFonts w:ascii="SimSun" w:hAnsi="SimSun" w:eastAsia="SimSun" w:cs="SimSun"/>
          <w:sz w:val="22"/>
          <w:szCs w:val="22"/>
          <w:spacing w:val="-8"/>
        </w:rPr>
        <w:t>制订了跨部门的统一数据治理流程，建立了广泛的协作机制。</w:t>
      </w:r>
    </w:p>
    <w:p>
      <w:pPr>
        <w:ind w:left="683"/>
        <w:spacing w:before="205" w:line="224" w:lineRule="auto"/>
        <w:outlineLvl w:val="1"/>
        <w:rPr>
          <w:rFonts w:ascii="YouYuan" w:hAnsi="YouYuan" w:eastAsia="YouYuan" w:cs="YouYuan"/>
          <w:sz w:val="22"/>
          <w:szCs w:val="22"/>
        </w:rPr>
      </w:pPr>
      <w:r>
        <w:rPr>
          <w:rFonts w:ascii="YouYuan" w:hAnsi="YouYuan" w:eastAsia="YouYuan" w:cs="YouYuan"/>
          <w:sz w:val="22"/>
          <w:szCs w:val="22"/>
          <w:b/>
          <w:bCs/>
          <w:spacing w:val="-5"/>
        </w:rPr>
        <w:t>3.</w:t>
      </w:r>
      <w:r>
        <w:rPr>
          <w:rFonts w:ascii="YouYuan" w:hAnsi="YouYuan" w:eastAsia="YouYuan" w:cs="YouYuan"/>
          <w:sz w:val="22"/>
          <w:szCs w:val="22"/>
          <w:spacing w:val="-5"/>
        </w:rPr>
        <w:t xml:space="preserve"> </w:t>
      </w:r>
      <w:r>
        <w:rPr>
          <w:rFonts w:ascii="YouYuan" w:hAnsi="YouYuan" w:eastAsia="YouYuan" w:cs="YouYuan"/>
          <w:sz w:val="22"/>
          <w:szCs w:val="22"/>
          <w:b/>
          <w:bCs/>
          <w:spacing w:val="-5"/>
        </w:rPr>
        <w:t>定义级</w:t>
      </w:r>
    </w:p>
    <w:p>
      <w:pPr>
        <w:ind w:left="679"/>
        <w:spacing w:before="227" w:line="232" w:lineRule="auto"/>
        <w:rPr>
          <w:rFonts w:ascii="KaiTi" w:hAnsi="KaiTi" w:eastAsia="KaiTi" w:cs="KaiTi"/>
          <w:sz w:val="22"/>
          <w:szCs w:val="22"/>
        </w:rPr>
      </w:pPr>
      <w:r>
        <w:rPr>
          <w:rFonts w:ascii="KaiTi" w:hAnsi="KaiTi" w:eastAsia="KaiTi" w:cs="KaiTi"/>
          <w:sz w:val="22"/>
          <w:szCs w:val="22"/>
          <w:spacing w:val="7"/>
        </w:rPr>
        <w:t>1)定义</w:t>
      </w:r>
    </w:p>
    <w:p>
      <w:pPr>
        <w:ind w:left="289" w:right="50" w:firstLine="390"/>
        <w:spacing w:before="24" w:line="254" w:lineRule="auto"/>
        <w:rPr>
          <w:rFonts w:ascii="SimSun" w:hAnsi="SimSun" w:eastAsia="SimSun" w:cs="SimSun"/>
          <w:sz w:val="22"/>
          <w:szCs w:val="22"/>
        </w:rPr>
      </w:pPr>
      <w:r>
        <w:rPr>
          <w:rFonts w:ascii="SimSun" w:hAnsi="SimSun" w:eastAsia="SimSun" w:cs="SimSun"/>
          <w:sz w:val="22"/>
          <w:szCs w:val="22"/>
          <w:spacing w:val="-8"/>
        </w:rPr>
        <w:t>组织建立了较完善的云端数据治理体系，形成了较为完善的人员、过程、技术</w:t>
      </w:r>
      <w:r>
        <w:rPr>
          <w:rFonts w:ascii="SimSun" w:hAnsi="SimSun" w:eastAsia="SimSun" w:cs="SimSun"/>
          <w:sz w:val="22"/>
          <w:szCs w:val="22"/>
          <w:spacing w:val="1"/>
        </w:rPr>
        <w:t xml:space="preserve"> </w:t>
      </w:r>
      <w:r>
        <w:rPr>
          <w:rFonts w:ascii="SimSun" w:hAnsi="SimSun" w:eastAsia="SimSun" w:cs="SimSun"/>
          <w:sz w:val="22"/>
          <w:szCs w:val="22"/>
          <w:spacing w:val="-9"/>
        </w:rPr>
        <w:t>和资源方面的管理制度，能够切实保障云端数据治理工作的实施。在数据治理体系</w:t>
      </w:r>
      <w:r>
        <w:rPr>
          <w:rFonts w:ascii="SimSun" w:hAnsi="SimSun" w:eastAsia="SimSun" w:cs="SimSun"/>
          <w:sz w:val="22"/>
          <w:szCs w:val="22"/>
          <w:spacing w:val="12"/>
        </w:rPr>
        <w:t xml:space="preserve"> </w:t>
      </w:r>
      <w:r>
        <w:rPr>
          <w:rFonts w:ascii="SimSun" w:hAnsi="SimSun" w:eastAsia="SimSun" w:cs="SimSun"/>
          <w:sz w:val="22"/>
          <w:szCs w:val="22"/>
          <w:spacing w:val="-9"/>
        </w:rPr>
        <w:t>中，制度文件充分定义，能够在组织级指导数据治理相关人员开展具体工作，数据</w:t>
      </w:r>
      <w:r>
        <w:rPr>
          <w:rFonts w:ascii="SimSun" w:hAnsi="SimSun" w:eastAsia="SimSun" w:cs="SimSun"/>
          <w:sz w:val="22"/>
          <w:szCs w:val="22"/>
          <w:spacing w:val="5"/>
        </w:rPr>
        <w:t xml:space="preserve"> </w:t>
      </w:r>
      <w:r>
        <w:rPr>
          <w:rFonts w:ascii="SimSun" w:hAnsi="SimSun" w:eastAsia="SimSun" w:cs="SimSun"/>
          <w:sz w:val="22"/>
          <w:szCs w:val="22"/>
          <w:spacing w:val="-9"/>
        </w:rPr>
        <w:t>治理流程是组织级统一的，治理活动是可重复执行的。定义级与管理级的主要区别</w:t>
      </w:r>
      <w:r>
        <w:rPr>
          <w:rFonts w:ascii="SimSun" w:hAnsi="SimSun" w:eastAsia="SimSun" w:cs="SimSun"/>
          <w:sz w:val="22"/>
          <w:szCs w:val="22"/>
          <w:spacing w:val="10"/>
        </w:rPr>
        <w:t xml:space="preserve"> </w:t>
      </w:r>
      <w:r>
        <w:rPr>
          <w:rFonts w:ascii="SimSun" w:hAnsi="SimSun" w:eastAsia="SimSun" w:cs="SimSun"/>
          <w:sz w:val="22"/>
          <w:szCs w:val="22"/>
          <w:spacing w:val="-9"/>
        </w:rPr>
        <w:t>在于对云端数据治理体系所规定和要求的工作切实进行，而且具有完整的实施记录</w:t>
      </w:r>
      <w:r>
        <w:rPr>
          <w:rFonts w:ascii="SimSun" w:hAnsi="SimSun" w:eastAsia="SimSun" w:cs="SimSun"/>
          <w:sz w:val="22"/>
          <w:szCs w:val="22"/>
          <w:spacing w:val="3"/>
        </w:rPr>
        <w:t xml:space="preserve"> </w:t>
      </w:r>
      <w:r>
        <w:rPr>
          <w:rFonts w:ascii="SimSun" w:hAnsi="SimSun" w:eastAsia="SimSun" w:cs="SimSun"/>
          <w:sz w:val="22"/>
          <w:szCs w:val="22"/>
          <w:spacing w:val="-16"/>
        </w:rPr>
        <w:t>可追踪。</w:t>
      </w:r>
    </w:p>
    <w:p>
      <w:pPr>
        <w:ind w:left="679"/>
        <w:spacing w:before="58" w:line="228" w:lineRule="auto"/>
        <w:rPr>
          <w:rFonts w:ascii="KaiTi" w:hAnsi="KaiTi" w:eastAsia="KaiTi" w:cs="KaiTi"/>
          <w:sz w:val="22"/>
          <w:szCs w:val="22"/>
        </w:rPr>
      </w:pPr>
      <w:r>
        <w:rPr>
          <w:rFonts w:ascii="KaiTi" w:hAnsi="KaiTi" w:eastAsia="KaiTi" w:cs="KaiTi"/>
          <w:sz w:val="22"/>
          <w:szCs w:val="22"/>
          <w:spacing w:val="14"/>
        </w:rPr>
        <w:t>2)特征</w:t>
      </w:r>
    </w:p>
    <w:p>
      <w:pPr>
        <w:ind w:left="679"/>
        <w:spacing w:before="58" w:line="219" w:lineRule="auto"/>
        <w:rPr>
          <w:rFonts w:ascii="SimSun" w:hAnsi="SimSun" w:eastAsia="SimSun" w:cs="SimSun"/>
          <w:sz w:val="22"/>
          <w:szCs w:val="22"/>
        </w:rPr>
      </w:pPr>
      <w:r>
        <w:rPr>
          <w:rFonts w:ascii="SimSun" w:hAnsi="SimSun" w:eastAsia="SimSun" w:cs="SimSun"/>
          <w:sz w:val="22"/>
          <w:szCs w:val="22"/>
          <w:spacing w:val="-9"/>
        </w:rPr>
        <w:t>达到云端数据治理成熟度定义级应具备以下特征。</w:t>
      </w:r>
    </w:p>
    <w:p>
      <w:pPr>
        <w:ind w:left="679"/>
        <w:spacing w:before="23" w:line="331" w:lineRule="exact"/>
        <w:rPr>
          <w:rFonts w:ascii="SimSun" w:hAnsi="SimSun" w:eastAsia="SimSun" w:cs="SimSun"/>
          <w:sz w:val="22"/>
          <w:szCs w:val="22"/>
        </w:rPr>
      </w:pPr>
      <w:r>
        <w:rPr>
          <w:rFonts w:ascii="Times New Roman" w:hAnsi="Times New Roman" w:eastAsia="Times New Roman" w:cs="Times New Roman"/>
          <w:sz w:val="22"/>
          <w:szCs w:val="22"/>
          <w:spacing w:val="-10"/>
          <w:position w:val="8"/>
        </w:rPr>
        <w:t>a)</w:t>
      </w:r>
      <w:r>
        <w:rPr>
          <w:rFonts w:ascii="Times New Roman" w:hAnsi="Times New Roman" w:eastAsia="Times New Roman" w:cs="Times New Roman"/>
          <w:sz w:val="22"/>
          <w:szCs w:val="22"/>
          <w:spacing w:val="24"/>
          <w:position w:val="8"/>
        </w:rPr>
        <w:t xml:space="preserve">  </w:t>
      </w:r>
      <w:r>
        <w:rPr>
          <w:rFonts w:ascii="SimSun" w:hAnsi="SimSun" w:eastAsia="SimSun" w:cs="SimSun"/>
          <w:sz w:val="22"/>
          <w:szCs w:val="22"/>
          <w:spacing w:val="-10"/>
          <w:position w:val="8"/>
        </w:rPr>
        <w:t>建立了较为完善的云端数据治理体系；</w:t>
      </w:r>
    </w:p>
    <w:p>
      <w:pPr>
        <w:ind w:left="679"/>
        <w:spacing w:line="212" w:lineRule="auto"/>
        <w:rPr>
          <w:rFonts w:ascii="SimSun" w:hAnsi="SimSun" w:eastAsia="SimSun" w:cs="SimSun"/>
          <w:sz w:val="22"/>
          <w:szCs w:val="22"/>
        </w:rPr>
      </w:pPr>
      <w:r>
        <w:rPr>
          <w:rFonts w:ascii="Times New Roman" w:hAnsi="Times New Roman" w:eastAsia="Times New Roman" w:cs="Times New Roman"/>
          <w:sz w:val="22"/>
          <w:szCs w:val="22"/>
          <w:spacing w:val="-9"/>
        </w:rPr>
        <w:t>b)  </w:t>
      </w:r>
      <w:r>
        <w:rPr>
          <w:rFonts w:ascii="SimSun" w:hAnsi="SimSun" w:eastAsia="SimSun" w:cs="SimSun"/>
          <w:sz w:val="22"/>
          <w:szCs w:val="22"/>
          <w:spacing w:val="-9"/>
        </w:rPr>
        <w:t>充分定义了角色和职责；</w:t>
      </w:r>
    </w:p>
    <w:p>
      <w:pPr>
        <w:ind w:left="679"/>
        <w:spacing w:before="47" w:line="310" w:lineRule="exact"/>
        <w:rPr>
          <w:rFonts w:ascii="SimSun" w:hAnsi="SimSun" w:eastAsia="SimSun" w:cs="SimSun"/>
          <w:sz w:val="22"/>
          <w:szCs w:val="22"/>
        </w:rPr>
      </w:pPr>
      <w:r>
        <w:rPr>
          <w:rFonts w:ascii="Times New Roman" w:hAnsi="Times New Roman" w:eastAsia="Times New Roman" w:cs="Times New Roman"/>
          <w:sz w:val="22"/>
          <w:szCs w:val="22"/>
          <w:spacing w:val="-9"/>
          <w:position w:val="6"/>
        </w:rPr>
        <w:t>c)  </w:t>
      </w:r>
      <w:r>
        <w:rPr>
          <w:rFonts w:ascii="SimSun" w:hAnsi="SimSun" w:eastAsia="SimSun" w:cs="SimSun"/>
          <w:sz w:val="22"/>
          <w:szCs w:val="22"/>
          <w:spacing w:val="-9"/>
          <w:position w:val="6"/>
        </w:rPr>
        <w:t>管理者能够积极推动数据治理工作；</w:t>
      </w:r>
    </w:p>
    <w:p>
      <w:pPr>
        <w:ind w:left="679"/>
        <w:spacing w:line="212" w:lineRule="auto"/>
        <w:rPr>
          <w:rFonts w:ascii="SimSun" w:hAnsi="SimSun" w:eastAsia="SimSun" w:cs="SimSun"/>
          <w:sz w:val="22"/>
          <w:szCs w:val="22"/>
        </w:rPr>
      </w:pPr>
      <w:r>
        <w:rPr>
          <w:rFonts w:ascii="Times New Roman" w:hAnsi="Times New Roman" w:eastAsia="Times New Roman" w:cs="Times New Roman"/>
          <w:sz w:val="22"/>
          <w:szCs w:val="22"/>
          <w:spacing w:val="-8"/>
        </w:rPr>
        <w:t>d)  </w:t>
      </w:r>
      <w:r>
        <w:rPr>
          <w:rFonts w:ascii="SimSun" w:hAnsi="SimSun" w:eastAsia="SimSun" w:cs="SimSun"/>
          <w:sz w:val="22"/>
          <w:szCs w:val="22"/>
          <w:spacing w:val="-8"/>
        </w:rPr>
        <w:t>数据治理过程被记录、可追踪。</w:t>
      </w:r>
    </w:p>
    <w:p>
      <w:pPr>
        <w:spacing w:line="212" w:lineRule="auto"/>
        <w:sectPr>
          <w:footerReference w:type="default" r:id="rId122"/>
          <w:pgSz w:w="8870" w:h="13400"/>
          <w:pgMar w:top="400" w:right="570" w:bottom="484" w:left="350" w:header="0" w:footer="266" w:gutter="0"/>
        </w:sectPr>
        <w:rPr>
          <w:rFonts w:ascii="SimSun" w:hAnsi="SimSun" w:eastAsia="SimSun" w:cs="SimSun"/>
          <w:sz w:val="22"/>
          <w:szCs w:val="22"/>
        </w:rPr>
      </w:pPr>
    </w:p>
    <w:p>
      <w:pPr>
        <w:ind w:left="3093"/>
        <w:spacing w:before="143" w:line="218" w:lineRule="auto"/>
        <w:rPr>
          <w:rFonts w:ascii="SimSun" w:hAnsi="SimSun" w:eastAsia="SimSun" w:cs="SimSun"/>
          <w:sz w:val="21"/>
          <w:szCs w:val="21"/>
        </w:rPr>
      </w:pPr>
      <w:r>
        <w:rPr>
          <w:rFonts w:ascii="SimSun" w:hAnsi="SimSun" w:eastAsia="SimSun" w:cs="SimSun"/>
          <w:sz w:val="21"/>
          <w:szCs w:val="21"/>
          <w:b/>
          <w:bCs/>
          <w:spacing w:val="1"/>
        </w:rPr>
        <w:t>第3章■云端数据治理模型与治理成熟度评估模型</w:t>
      </w:r>
    </w:p>
    <w:p>
      <w:pPr>
        <w:pStyle w:val="BodyText"/>
        <w:spacing w:line="399" w:lineRule="auto"/>
        <w:rPr/>
      </w:pPr>
      <w:r/>
    </w:p>
    <w:p>
      <w:pPr>
        <w:ind w:left="412"/>
        <w:spacing w:before="68" w:line="224" w:lineRule="auto"/>
        <w:outlineLvl w:val="1"/>
        <w:rPr>
          <w:rFonts w:ascii="YouYuan" w:hAnsi="YouYuan" w:eastAsia="YouYuan" w:cs="YouYuan"/>
          <w:sz w:val="21"/>
          <w:szCs w:val="21"/>
        </w:rPr>
      </w:pPr>
      <w:r>
        <w:rPr>
          <w:rFonts w:ascii="YouYuan" w:hAnsi="YouYuan" w:eastAsia="YouYuan" w:cs="YouYuan"/>
          <w:sz w:val="21"/>
          <w:szCs w:val="21"/>
          <w:b/>
          <w:bCs/>
          <w:spacing w:val="-5"/>
        </w:rPr>
        <w:t>4.</w:t>
      </w:r>
      <w:r>
        <w:rPr>
          <w:rFonts w:ascii="YouYuan" w:hAnsi="YouYuan" w:eastAsia="YouYuan" w:cs="YouYuan"/>
          <w:sz w:val="21"/>
          <w:szCs w:val="21"/>
          <w:spacing w:val="14"/>
        </w:rPr>
        <w:t xml:space="preserve"> </w:t>
      </w:r>
      <w:r>
        <w:rPr>
          <w:rFonts w:ascii="YouYuan" w:hAnsi="YouYuan" w:eastAsia="YouYuan" w:cs="YouYuan"/>
          <w:sz w:val="21"/>
          <w:szCs w:val="21"/>
          <w:b/>
          <w:bCs/>
          <w:spacing w:val="-5"/>
        </w:rPr>
        <w:t>量化级</w:t>
      </w:r>
    </w:p>
    <w:p>
      <w:pPr>
        <w:ind w:left="409"/>
        <w:spacing w:before="247" w:line="232" w:lineRule="auto"/>
        <w:rPr>
          <w:rFonts w:ascii="KaiTi" w:hAnsi="KaiTi" w:eastAsia="KaiTi" w:cs="KaiTi"/>
          <w:sz w:val="21"/>
          <w:szCs w:val="21"/>
        </w:rPr>
      </w:pPr>
      <w:r>
        <w:rPr>
          <w:rFonts w:ascii="KaiTi" w:hAnsi="KaiTi" w:eastAsia="KaiTi" w:cs="KaiTi"/>
          <w:sz w:val="21"/>
          <w:szCs w:val="21"/>
          <w:spacing w:val="12"/>
        </w:rPr>
        <w:t>1)定义</w:t>
      </w:r>
    </w:p>
    <w:p>
      <w:pPr>
        <w:ind w:right="291" w:firstLine="409"/>
        <w:spacing w:before="39" w:line="254" w:lineRule="auto"/>
        <w:rPr>
          <w:rFonts w:ascii="SimSun" w:hAnsi="SimSun" w:eastAsia="SimSun" w:cs="SimSun"/>
          <w:sz w:val="21"/>
          <w:szCs w:val="21"/>
        </w:rPr>
      </w:pPr>
      <w:r>
        <w:rPr>
          <w:rFonts w:ascii="SimSun" w:hAnsi="SimSun" w:eastAsia="SimSun" w:cs="SimSun"/>
          <w:sz w:val="21"/>
          <w:szCs w:val="21"/>
          <w:spacing w:val="2"/>
        </w:rPr>
        <w:t>组织为云端数据治理制订了可测量的评价指标，并收集、分析云端数据治理过</w:t>
      </w:r>
      <w:r>
        <w:rPr>
          <w:rFonts w:ascii="SimSun" w:hAnsi="SimSun" w:eastAsia="SimSun" w:cs="SimSun"/>
          <w:sz w:val="21"/>
          <w:szCs w:val="21"/>
        </w:rPr>
        <w:t xml:space="preserve"> </w:t>
      </w:r>
      <w:r>
        <w:rPr>
          <w:rFonts w:ascii="SimSun" w:hAnsi="SimSun" w:eastAsia="SimSun" w:cs="SimSun"/>
          <w:sz w:val="21"/>
          <w:szCs w:val="21"/>
          <w:spacing w:val="2"/>
        </w:rPr>
        <w:t>程的详细记录数据，以衡量数据治理效果。量化级与定义级的主要区别在于对云端</w:t>
      </w:r>
      <w:r>
        <w:rPr>
          <w:rFonts w:ascii="SimSun" w:hAnsi="SimSun" w:eastAsia="SimSun" w:cs="SimSun"/>
          <w:sz w:val="21"/>
          <w:szCs w:val="21"/>
          <w:spacing w:val="7"/>
        </w:rPr>
        <w:t xml:space="preserve"> </w:t>
      </w:r>
      <w:r>
        <w:rPr>
          <w:rFonts w:ascii="SimSun" w:hAnsi="SimSun" w:eastAsia="SimSun" w:cs="SimSun"/>
          <w:sz w:val="21"/>
          <w:szCs w:val="21"/>
          <w:spacing w:val="-2"/>
        </w:rPr>
        <w:t>数据治理活动的实施进行定性或定量的评估。</w:t>
      </w:r>
    </w:p>
    <w:p>
      <w:pPr>
        <w:ind w:left="409"/>
        <w:spacing w:before="75" w:line="228" w:lineRule="auto"/>
        <w:rPr>
          <w:rFonts w:ascii="KaiTi" w:hAnsi="KaiTi" w:eastAsia="KaiTi" w:cs="KaiTi"/>
          <w:sz w:val="21"/>
          <w:szCs w:val="21"/>
        </w:rPr>
      </w:pPr>
      <w:r>
        <w:rPr>
          <w:rFonts w:ascii="KaiTi" w:hAnsi="KaiTi" w:eastAsia="KaiTi" w:cs="KaiTi"/>
          <w:sz w:val="21"/>
          <w:szCs w:val="21"/>
          <w:spacing w:val="19"/>
        </w:rPr>
        <w:t>2)特征</w:t>
      </w:r>
    </w:p>
    <w:p>
      <w:pPr>
        <w:ind w:left="409"/>
        <w:spacing w:before="60" w:line="286" w:lineRule="exact"/>
        <w:rPr>
          <w:rFonts w:ascii="SimSun" w:hAnsi="SimSun" w:eastAsia="SimSun" w:cs="SimSun"/>
          <w:sz w:val="21"/>
          <w:szCs w:val="21"/>
        </w:rPr>
      </w:pPr>
      <w:r>
        <w:rPr>
          <w:rFonts w:ascii="SimSun" w:hAnsi="SimSun" w:eastAsia="SimSun" w:cs="SimSun"/>
          <w:sz w:val="21"/>
          <w:szCs w:val="21"/>
          <w:spacing w:val="-1"/>
          <w:position w:val="5"/>
        </w:rPr>
        <w:t>达到云端数据治理成熟度量化级应具备以下特征。</w:t>
      </w:r>
    </w:p>
    <w:p>
      <w:pPr>
        <w:ind w:left="409"/>
        <w:spacing w:line="212" w:lineRule="auto"/>
        <w:rPr>
          <w:rFonts w:ascii="SimSun" w:hAnsi="SimSun" w:eastAsia="SimSun" w:cs="SimSun"/>
          <w:sz w:val="21"/>
          <w:szCs w:val="21"/>
        </w:rPr>
      </w:pPr>
      <w:r>
        <w:rPr>
          <w:rFonts w:ascii="Times New Roman" w:hAnsi="Times New Roman" w:eastAsia="Times New Roman" w:cs="Times New Roman"/>
          <w:sz w:val="21"/>
          <w:szCs w:val="21"/>
        </w:rPr>
        <w:t>a)  </w:t>
      </w:r>
      <w:r>
        <w:rPr>
          <w:rFonts w:ascii="SimSun" w:hAnsi="SimSun" w:eastAsia="SimSun" w:cs="SimSun"/>
          <w:sz w:val="21"/>
          <w:szCs w:val="21"/>
        </w:rPr>
        <w:t>建立了可执行的云端数据治理评价指标体系；</w:t>
      </w:r>
    </w:p>
    <w:p>
      <w:pPr>
        <w:ind w:left="409"/>
        <w:spacing w:before="69" w:line="212" w:lineRule="auto"/>
        <w:rPr>
          <w:rFonts w:ascii="SimSun" w:hAnsi="SimSun" w:eastAsia="SimSun" w:cs="SimSun"/>
          <w:sz w:val="21"/>
          <w:szCs w:val="21"/>
        </w:rPr>
      </w:pP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云端数据治理策略和流程能够基于量化指标进行修正。</w:t>
      </w:r>
    </w:p>
    <w:p>
      <w:pPr>
        <w:ind w:left="412"/>
        <w:spacing w:before="258" w:line="221" w:lineRule="auto"/>
        <w:outlineLvl w:val="1"/>
        <w:rPr>
          <w:rFonts w:ascii="SimHei" w:hAnsi="SimHei" w:eastAsia="SimHei" w:cs="SimHei"/>
          <w:sz w:val="21"/>
          <w:szCs w:val="21"/>
        </w:rPr>
      </w:pPr>
      <w:r>
        <w:rPr>
          <w:rFonts w:ascii="SimHei" w:hAnsi="SimHei" w:eastAsia="SimHei" w:cs="SimHei"/>
          <w:sz w:val="21"/>
          <w:szCs w:val="21"/>
          <w:b/>
          <w:bCs/>
          <w:spacing w:val="6"/>
        </w:rPr>
        <w:t>5.</w:t>
      </w:r>
      <w:r>
        <w:rPr>
          <w:rFonts w:ascii="SimHei" w:hAnsi="SimHei" w:eastAsia="SimHei" w:cs="SimHei"/>
          <w:sz w:val="21"/>
          <w:szCs w:val="21"/>
          <w:spacing w:val="6"/>
        </w:rPr>
        <w:t xml:space="preserve"> </w:t>
      </w:r>
      <w:r>
        <w:rPr>
          <w:rFonts w:ascii="SimHei" w:hAnsi="SimHei" w:eastAsia="SimHei" w:cs="SimHei"/>
          <w:sz w:val="21"/>
          <w:szCs w:val="21"/>
          <w:b/>
          <w:bCs/>
          <w:spacing w:val="6"/>
        </w:rPr>
        <w:t>优化级</w:t>
      </w:r>
    </w:p>
    <w:p>
      <w:pPr>
        <w:ind w:left="409"/>
        <w:spacing w:before="219" w:line="232" w:lineRule="auto"/>
        <w:rPr>
          <w:rFonts w:ascii="KaiTi" w:hAnsi="KaiTi" w:eastAsia="KaiTi" w:cs="KaiTi"/>
          <w:sz w:val="21"/>
          <w:szCs w:val="21"/>
        </w:rPr>
      </w:pPr>
      <w:r>
        <w:rPr>
          <w:rFonts w:ascii="KaiTi" w:hAnsi="KaiTi" w:eastAsia="KaiTi" w:cs="KaiTi"/>
          <w:sz w:val="21"/>
          <w:szCs w:val="21"/>
          <w:spacing w:val="19"/>
        </w:rPr>
        <w:t>1)定义</w:t>
      </w:r>
    </w:p>
    <w:p>
      <w:pPr>
        <w:ind w:right="311" w:firstLine="409"/>
        <w:spacing w:before="29" w:line="262" w:lineRule="auto"/>
        <w:rPr>
          <w:rFonts w:ascii="SimSun" w:hAnsi="SimSun" w:eastAsia="SimSun" w:cs="SimSun"/>
          <w:sz w:val="21"/>
          <w:szCs w:val="21"/>
        </w:rPr>
      </w:pPr>
      <w:r>
        <w:rPr>
          <w:rFonts w:ascii="SimSun" w:hAnsi="SimSun" w:eastAsia="SimSun" w:cs="SimSun"/>
          <w:sz w:val="21"/>
          <w:szCs w:val="21"/>
          <w:spacing w:val="2"/>
        </w:rPr>
        <w:t>基于组织的业务目标建立了云端数据治理有效性和效率的量化执行目标。</w:t>
      </w:r>
      <w:r>
        <w:rPr>
          <w:rFonts w:ascii="SimSun" w:hAnsi="SimSun" w:eastAsia="SimSun" w:cs="SimSun"/>
          <w:sz w:val="21"/>
          <w:szCs w:val="21"/>
          <w:spacing w:val="1"/>
        </w:rPr>
        <w:t>过程</w:t>
      </w:r>
      <w:r>
        <w:rPr>
          <w:rFonts w:ascii="SimSun" w:hAnsi="SimSun" w:eastAsia="SimSun" w:cs="SimSun"/>
          <w:sz w:val="21"/>
          <w:szCs w:val="21"/>
        </w:rPr>
        <w:t xml:space="preserve"> </w:t>
      </w:r>
      <w:r>
        <w:rPr>
          <w:rFonts w:ascii="SimSun" w:hAnsi="SimSun" w:eastAsia="SimSun" w:cs="SimSun"/>
          <w:sz w:val="21"/>
          <w:szCs w:val="21"/>
          <w:spacing w:val="2"/>
        </w:rPr>
        <w:t>的执行以及试验性的新概念和新技术产生了量化反馈</w:t>
      </w:r>
      <w:r>
        <w:rPr>
          <w:rFonts w:ascii="SimSun" w:hAnsi="SimSun" w:eastAsia="SimSun" w:cs="SimSun"/>
          <w:sz w:val="21"/>
          <w:szCs w:val="21"/>
          <w:spacing w:val="1"/>
        </w:rPr>
        <w:t>，从而使基于这些目标的持续</w:t>
      </w:r>
      <w:r>
        <w:rPr>
          <w:rFonts w:ascii="SimSun" w:hAnsi="SimSun" w:eastAsia="SimSun" w:cs="SimSun"/>
          <w:sz w:val="21"/>
          <w:szCs w:val="21"/>
        </w:rPr>
        <w:t xml:space="preserve"> </w:t>
      </w:r>
      <w:r>
        <w:rPr>
          <w:rFonts w:ascii="SimSun" w:hAnsi="SimSun" w:eastAsia="SimSun" w:cs="SimSun"/>
          <w:sz w:val="21"/>
          <w:szCs w:val="21"/>
          <w:spacing w:val="2"/>
        </w:rPr>
        <w:t>性的过程改进得到了实现。组织对云端数据治理过</w:t>
      </w:r>
      <w:r>
        <w:rPr>
          <w:rFonts w:ascii="SimSun" w:hAnsi="SimSun" w:eastAsia="SimSun" w:cs="SimSun"/>
          <w:sz w:val="21"/>
          <w:szCs w:val="21"/>
          <w:spacing w:val="1"/>
        </w:rPr>
        <w:t>程进行总结，形成最佳实践。优</w:t>
      </w:r>
      <w:r>
        <w:rPr>
          <w:rFonts w:ascii="SimSun" w:hAnsi="SimSun" w:eastAsia="SimSun" w:cs="SimSun"/>
          <w:sz w:val="21"/>
          <w:szCs w:val="21"/>
        </w:rPr>
        <w:t xml:space="preserve"> </w:t>
      </w:r>
      <w:r>
        <w:rPr>
          <w:rFonts w:ascii="SimSun" w:hAnsi="SimSun" w:eastAsia="SimSun" w:cs="SimSun"/>
          <w:sz w:val="21"/>
          <w:szCs w:val="21"/>
          <w:spacing w:val="2"/>
        </w:rPr>
        <w:t>化级与量化级的主要区别在于基于测量的评估结果，对</w:t>
      </w:r>
      <w:r>
        <w:rPr>
          <w:rFonts w:ascii="SimSun" w:hAnsi="SimSun" w:eastAsia="SimSun" w:cs="SimSun"/>
          <w:sz w:val="21"/>
          <w:szCs w:val="21"/>
          <w:spacing w:val="1"/>
        </w:rPr>
        <w:t>已定义的策略和标准进行不</w:t>
      </w:r>
      <w:r>
        <w:rPr>
          <w:rFonts w:ascii="SimSun" w:hAnsi="SimSun" w:eastAsia="SimSun" w:cs="SimSun"/>
          <w:sz w:val="21"/>
          <w:szCs w:val="21"/>
        </w:rPr>
        <w:t xml:space="preserve"> </w:t>
      </w:r>
      <w:r>
        <w:rPr>
          <w:rFonts w:ascii="SimSun" w:hAnsi="SimSun" w:eastAsia="SimSun" w:cs="SimSun"/>
          <w:sz w:val="21"/>
          <w:szCs w:val="21"/>
          <w:spacing w:val="-6"/>
        </w:rPr>
        <w:t>断地改进和优化。</w:t>
      </w:r>
    </w:p>
    <w:p>
      <w:pPr>
        <w:ind w:left="409"/>
        <w:spacing w:before="72" w:line="228" w:lineRule="auto"/>
        <w:rPr>
          <w:rFonts w:ascii="KaiTi" w:hAnsi="KaiTi" w:eastAsia="KaiTi" w:cs="KaiTi"/>
          <w:sz w:val="21"/>
          <w:szCs w:val="21"/>
        </w:rPr>
      </w:pPr>
      <w:r>
        <w:rPr>
          <w:rFonts w:ascii="KaiTi" w:hAnsi="KaiTi" w:eastAsia="KaiTi" w:cs="KaiTi"/>
          <w:sz w:val="21"/>
          <w:szCs w:val="21"/>
          <w:spacing w:val="19"/>
        </w:rPr>
        <w:t>2)特征</w:t>
      </w:r>
    </w:p>
    <w:p>
      <w:pPr>
        <w:ind w:left="409"/>
        <w:spacing w:before="80" w:line="219" w:lineRule="auto"/>
        <w:rPr>
          <w:rFonts w:ascii="SimSun" w:hAnsi="SimSun" w:eastAsia="SimSun" w:cs="SimSun"/>
          <w:sz w:val="21"/>
          <w:szCs w:val="21"/>
        </w:rPr>
      </w:pPr>
      <w:r>
        <w:rPr>
          <w:rFonts w:ascii="SimSun" w:hAnsi="SimSun" w:eastAsia="SimSun" w:cs="SimSun"/>
          <w:sz w:val="21"/>
          <w:szCs w:val="21"/>
          <w:spacing w:val="-1"/>
        </w:rPr>
        <w:t>达到云端数据治理成熟度优化级应具备以下特征。</w:t>
      </w:r>
    </w:p>
    <w:p>
      <w:pPr>
        <w:ind w:left="409"/>
        <w:spacing w:before="27" w:line="212" w:lineRule="auto"/>
        <w:rPr>
          <w:rFonts w:ascii="SimSun" w:hAnsi="SimSun" w:eastAsia="SimSun" w:cs="SimSun"/>
          <w:sz w:val="21"/>
          <w:szCs w:val="21"/>
        </w:rPr>
      </w:pPr>
      <w:r>
        <w:rPr>
          <w:rFonts w:ascii="Times New Roman" w:hAnsi="Times New Roman" w:eastAsia="Times New Roman" w:cs="Times New Roman"/>
          <w:sz w:val="21"/>
          <w:szCs w:val="21"/>
        </w:rPr>
        <w:t>a)  </w:t>
      </w:r>
      <w:r>
        <w:rPr>
          <w:rFonts w:ascii="SimSun" w:hAnsi="SimSun" w:eastAsia="SimSun" w:cs="SimSun"/>
          <w:sz w:val="21"/>
          <w:szCs w:val="21"/>
        </w:rPr>
        <w:t>基于可执行的云端数据治理评价指标体系，对数据治理过程持续评估；</w:t>
      </w:r>
    </w:p>
    <w:p>
      <w:pPr>
        <w:ind w:left="409"/>
        <w:spacing w:before="79" w:line="300" w:lineRule="exact"/>
        <w:rPr>
          <w:rFonts w:ascii="SimSun" w:hAnsi="SimSun" w:eastAsia="SimSun" w:cs="SimSun"/>
          <w:sz w:val="21"/>
          <w:szCs w:val="21"/>
        </w:rPr>
      </w:pPr>
      <w:r>
        <w:rPr>
          <w:rFonts w:ascii="Times New Roman" w:hAnsi="Times New Roman" w:eastAsia="Times New Roman" w:cs="Times New Roman"/>
          <w:sz w:val="21"/>
          <w:szCs w:val="21"/>
          <w:position w:val="6"/>
        </w:rPr>
        <w:t>b)  </w:t>
      </w:r>
      <w:r>
        <w:rPr>
          <w:rFonts w:ascii="SimSun" w:hAnsi="SimSun" w:eastAsia="SimSun" w:cs="SimSun"/>
          <w:sz w:val="21"/>
          <w:szCs w:val="21"/>
          <w:position w:val="6"/>
        </w:rPr>
        <w:t>基于评估结果，对数据治理流程持</w:t>
      </w:r>
      <w:r>
        <w:rPr>
          <w:rFonts w:ascii="SimSun" w:hAnsi="SimSun" w:eastAsia="SimSun" w:cs="SimSun"/>
          <w:sz w:val="21"/>
          <w:szCs w:val="21"/>
          <w:spacing w:val="-1"/>
          <w:position w:val="6"/>
        </w:rPr>
        <w:t>续优化改进；</w:t>
      </w:r>
    </w:p>
    <w:p>
      <w:pPr>
        <w:ind w:left="409"/>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组织能够根据数据治理成果进行决策。</w:t>
      </w:r>
    </w:p>
    <w:p>
      <w:pPr>
        <w:pStyle w:val="BodyText"/>
        <w:spacing w:line="429" w:lineRule="auto"/>
        <w:rPr/>
      </w:pPr>
      <w:r/>
    </w:p>
    <w:p>
      <w:pPr>
        <w:ind w:left="4"/>
        <w:spacing w:before="108" w:line="221" w:lineRule="auto"/>
        <w:outlineLvl w:val="0"/>
        <w:rPr>
          <w:rFonts w:ascii="SimHei" w:hAnsi="SimHei" w:eastAsia="SimHei" w:cs="SimHei"/>
          <w:sz w:val="33"/>
          <w:szCs w:val="33"/>
        </w:rPr>
      </w:pPr>
      <w:r>
        <w:rPr>
          <w:rFonts w:ascii="SimHei" w:hAnsi="SimHei" w:eastAsia="SimHei" w:cs="SimHei"/>
          <w:sz w:val="33"/>
          <w:szCs w:val="33"/>
          <w:b/>
          <w:bCs/>
          <w:spacing w:val="-10"/>
        </w:rPr>
        <w:t>3.2</w:t>
      </w:r>
      <w:r>
        <w:rPr>
          <w:rFonts w:ascii="SimHei" w:hAnsi="SimHei" w:eastAsia="SimHei" w:cs="SimHei"/>
          <w:sz w:val="33"/>
          <w:szCs w:val="33"/>
          <w:spacing w:val="156"/>
        </w:rPr>
        <w:t xml:space="preserve"> </w:t>
      </w:r>
      <w:r>
        <w:rPr>
          <w:rFonts w:ascii="SimHei" w:hAnsi="SimHei" w:eastAsia="SimHei" w:cs="SimHei"/>
          <w:sz w:val="33"/>
          <w:szCs w:val="33"/>
          <w:b/>
          <w:bCs/>
          <w:spacing w:val="-10"/>
        </w:rPr>
        <w:t>云端数据治理成熟度评估模型</w:t>
      </w:r>
    </w:p>
    <w:p>
      <w:pPr>
        <w:pStyle w:val="BodyText"/>
        <w:spacing w:line="301" w:lineRule="auto"/>
        <w:rPr/>
      </w:pPr>
      <w:r/>
    </w:p>
    <w:p>
      <w:pPr>
        <w:ind w:left="4"/>
        <w:spacing w:before="91" w:line="221" w:lineRule="auto"/>
        <w:outlineLvl w:val="1"/>
        <w:rPr>
          <w:rFonts w:ascii="SimHei" w:hAnsi="SimHei" w:eastAsia="SimHei" w:cs="SimHei"/>
          <w:sz w:val="28"/>
          <w:szCs w:val="28"/>
        </w:rPr>
      </w:pPr>
      <w:r>
        <w:rPr>
          <w:rFonts w:ascii="SimHei" w:hAnsi="SimHei" w:eastAsia="SimHei" w:cs="SimHei"/>
          <w:sz w:val="28"/>
          <w:szCs w:val="28"/>
          <w:b/>
          <w:bCs/>
          <w:spacing w:val="-2"/>
        </w:rPr>
        <w:t>3.2.1</w:t>
      </w:r>
      <w:r>
        <w:rPr>
          <w:rFonts w:ascii="SimHei" w:hAnsi="SimHei" w:eastAsia="SimHei" w:cs="SimHei"/>
          <w:sz w:val="28"/>
          <w:szCs w:val="28"/>
          <w:spacing w:val="-2"/>
        </w:rPr>
        <w:t xml:space="preserve">  </w:t>
      </w:r>
      <w:r>
        <w:rPr>
          <w:rFonts w:ascii="SimHei" w:hAnsi="SimHei" w:eastAsia="SimHei" w:cs="SimHei"/>
          <w:sz w:val="28"/>
          <w:szCs w:val="28"/>
          <w:b/>
          <w:bCs/>
          <w:spacing w:val="-2"/>
        </w:rPr>
        <w:t>成熟度等级判别标准</w:t>
      </w:r>
    </w:p>
    <w:p>
      <w:pPr>
        <w:pStyle w:val="BodyText"/>
        <w:spacing w:line="256" w:lineRule="auto"/>
        <w:rPr/>
      </w:pPr>
      <w:r/>
    </w:p>
    <w:p>
      <w:pPr>
        <w:ind w:right="286" w:firstLine="409"/>
        <w:spacing w:before="69" w:line="253" w:lineRule="auto"/>
        <w:jc w:val="both"/>
        <w:rPr>
          <w:rFonts w:ascii="SimSun" w:hAnsi="SimSun" w:eastAsia="SimSun" w:cs="SimSun"/>
          <w:sz w:val="21"/>
          <w:szCs w:val="21"/>
        </w:rPr>
      </w:pPr>
      <w:r>
        <w:rPr>
          <w:rFonts w:ascii="SimSun" w:hAnsi="SimSun" w:eastAsia="SimSun" w:cs="SimSun"/>
          <w:sz w:val="21"/>
          <w:szCs w:val="21"/>
          <w:spacing w:val="2"/>
        </w:rPr>
        <w:t>评估将采取定性的方法进行判定。针对云端数据治理的某一过程域，分析各条</w:t>
      </w:r>
      <w:r>
        <w:rPr>
          <w:rFonts w:ascii="SimSun" w:hAnsi="SimSun" w:eastAsia="SimSun" w:cs="SimSun"/>
          <w:sz w:val="21"/>
          <w:szCs w:val="21"/>
        </w:rPr>
        <w:t xml:space="preserve"> </w:t>
      </w:r>
      <w:r>
        <w:rPr>
          <w:rFonts w:ascii="SimSun" w:hAnsi="SimSun" w:eastAsia="SimSun" w:cs="SimSun"/>
          <w:sz w:val="21"/>
          <w:szCs w:val="21"/>
          <w:spacing w:val="2"/>
        </w:rPr>
        <w:t>成熟度等级要求及与之关联的管理过程中的管理、测量和制度化，判定其表现出的</w:t>
      </w:r>
      <w:r>
        <w:rPr>
          <w:rFonts w:ascii="SimSun" w:hAnsi="SimSun" w:eastAsia="SimSun" w:cs="SimSun"/>
          <w:sz w:val="21"/>
          <w:szCs w:val="21"/>
          <w:spacing w:val="13"/>
        </w:rPr>
        <w:t xml:space="preserve"> </w:t>
      </w:r>
      <w:r>
        <w:rPr>
          <w:rFonts w:ascii="SimSun" w:hAnsi="SimSun" w:eastAsia="SimSun" w:cs="SimSun"/>
          <w:sz w:val="21"/>
          <w:szCs w:val="21"/>
          <w:spacing w:val="2"/>
        </w:rPr>
        <w:t>特征是否满足某一成熟度级别要求，如果满足，则可判定此项活动处于对应的成熟</w:t>
      </w:r>
      <w:r>
        <w:rPr>
          <w:rFonts w:ascii="SimSun" w:hAnsi="SimSun" w:eastAsia="SimSun" w:cs="SimSun"/>
          <w:sz w:val="21"/>
          <w:szCs w:val="21"/>
          <w:spacing w:val="9"/>
        </w:rPr>
        <w:t xml:space="preserve"> </w:t>
      </w:r>
      <w:r>
        <w:rPr>
          <w:rFonts w:ascii="SimSun" w:hAnsi="SimSun" w:eastAsia="SimSun" w:cs="SimSun"/>
          <w:sz w:val="21"/>
          <w:szCs w:val="21"/>
          <w:spacing w:val="-8"/>
        </w:rPr>
        <w:t>度等级。</w:t>
      </w:r>
    </w:p>
    <w:p>
      <w:pPr>
        <w:ind w:right="313" w:firstLine="409"/>
        <w:spacing w:before="70" w:line="255" w:lineRule="auto"/>
        <w:jc w:val="both"/>
        <w:rPr>
          <w:rFonts w:ascii="SimSun" w:hAnsi="SimSun" w:eastAsia="SimSun" w:cs="SimSun"/>
          <w:sz w:val="21"/>
          <w:szCs w:val="21"/>
        </w:rPr>
      </w:pPr>
      <w:r>
        <w:rPr>
          <w:rFonts w:ascii="SimSun" w:hAnsi="SimSun" w:eastAsia="SimSun" w:cs="SimSun"/>
          <w:sz w:val="21"/>
          <w:szCs w:val="21"/>
          <w:spacing w:val="2"/>
        </w:rPr>
        <w:t>依照此种办法，对于云端数据治理职能域中的每一个过程域，都给出一个对应</w:t>
      </w:r>
      <w:r>
        <w:rPr>
          <w:rFonts w:ascii="SimSun" w:hAnsi="SimSun" w:eastAsia="SimSun" w:cs="SimSun"/>
          <w:sz w:val="21"/>
          <w:szCs w:val="21"/>
        </w:rPr>
        <w:t xml:space="preserve"> </w:t>
      </w:r>
      <w:r>
        <w:rPr>
          <w:rFonts w:ascii="SimSun" w:hAnsi="SimSun" w:eastAsia="SimSun" w:cs="SimSun"/>
          <w:sz w:val="21"/>
          <w:szCs w:val="21"/>
          <w:spacing w:val="2"/>
        </w:rPr>
        <w:t>的成熟度级别。由于一个模块中，可能存在处于不</w:t>
      </w:r>
      <w:r>
        <w:rPr>
          <w:rFonts w:ascii="SimSun" w:hAnsi="SimSun" w:eastAsia="SimSun" w:cs="SimSun"/>
          <w:sz w:val="21"/>
          <w:szCs w:val="21"/>
          <w:spacing w:val="1"/>
        </w:rPr>
        <w:t>同能力级别的过程域，最终该模</w:t>
      </w:r>
      <w:r>
        <w:rPr>
          <w:rFonts w:ascii="SimSun" w:hAnsi="SimSun" w:eastAsia="SimSun" w:cs="SimSun"/>
          <w:sz w:val="21"/>
          <w:szCs w:val="21"/>
        </w:rPr>
        <w:t xml:space="preserve"> </w:t>
      </w:r>
      <w:r>
        <w:rPr>
          <w:rFonts w:ascii="SimSun" w:hAnsi="SimSun" w:eastAsia="SimSun" w:cs="SimSun"/>
          <w:sz w:val="21"/>
          <w:szCs w:val="21"/>
        </w:rPr>
        <w:t>块的整体成熟度级别，取该模块中各过程域能力级别的最低值。</w:t>
      </w:r>
    </w:p>
    <w:p>
      <w:pPr>
        <w:spacing w:line="255" w:lineRule="auto"/>
        <w:sectPr>
          <w:footerReference w:type="default" r:id="rId124"/>
          <w:pgSz w:w="8870" w:h="13400"/>
          <w:pgMar w:top="400" w:right="517" w:bottom="597" w:left="419" w:header="0" w:footer="388" w:gutter="0"/>
        </w:sectPr>
        <w:rPr>
          <w:rFonts w:ascii="SimSun" w:hAnsi="SimSun" w:eastAsia="SimSun" w:cs="SimSun"/>
          <w:sz w:val="21"/>
          <w:szCs w:val="21"/>
        </w:rPr>
      </w:pPr>
    </w:p>
    <w:p>
      <w:pPr>
        <w:ind w:left="242"/>
        <w:spacing w:before="215" w:line="219" w:lineRule="auto"/>
        <w:rPr>
          <w:rFonts w:ascii="SimSun" w:hAnsi="SimSun" w:eastAsia="SimSun" w:cs="SimSun"/>
          <w:sz w:val="21"/>
          <w:szCs w:val="21"/>
        </w:rPr>
      </w:pPr>
      <w:r>
        <w:pict>
          <v:rect id="_x0000_s264" style="position:absolute;margin-left:25.5012pt;margin-top:27.001pt;mso-position-vertical-relative:page;mso-position-horizontal-relative:page;width:0.5pt;height:17.55pt;z-index:252656640;" o:allowincell="f" fillcolor="#000000" filled="true" stroked="false"/>
        </w:pict>
      </w:r>
      <w:r>
        <w:rPr>
          <w:rFonts w:ascii="SimSun" w:hAnsi="SimSun" w:eastAsia="SimSun" w:cs="SimSun"/>
          <w:sz w:val="21"/>
          <w:szCs w:val="21"/>
          <w:b/>
          <w:bCs/>
          <w:spacing w:val="-25"/>
        </w:rPr>
        <w:t>■云端数据治理■</w:t>
      </w:r>
    </w:p>
    <w:p>
      <w:pPr>
        <w:pStyle w:val="BodyText"/>
        <w:spacing w:line="243" w:lineRule="auto"/>
        <w:rPr/>
      </w:pPr>
      <w:r/>
    </w:p>
    <w:p>
      <w:pPr>
        <w:pStyle w:val="BodyText"/>
        <w:spacing w:line="243" w:lineRule="auto"/>
        <w:rPr/>
      </w:pPr>
      <w:r/>
    </w:p>
    <w:p>
      <w:pPr>
        <w:ind w:left="244"/>
        <w:spacing w:before="95" w:line="224" w:lineRule="auto"/>
        <w:outlineLvl w:val="0"/>
        <w:rPr>
          <w:rFonts w:ascii="YouYuan" w:hAnsi="YouYuan" w:eastAsia="YouYuan" w:cs="YouYuan"/>
          <w:sz w:val="29"/>
          <w:szCs w:val="29"/>
        </w:rPr>
      </w:pPr>
      <w:r>
        <w:rPr>
          <w:rFonts w:ascii="YouYuan" w:hAnsi="YouYuan" w:eastAsia="YouYuan" w:cs="YouYuan"/>
          <w:sz w:val="29"/>
          <w:szCs w:val="29"/>
          <w:b/>
          <w:bCs/>
          <w:spacing w:val="-6"/>
        </w:rPr>
        <w:t>3.2.2</w:t>
      </w:r>
      <w:r>
        <w:rPr>
          <w:rFonts w:ascii="YouYuan" w:hAnsi="YouYuan" w:eastAsia="YouYuan" w:cs="YouYuan"/>
          <w:sz w:val="29"/>
          <w:szCs w:val="29"/>
          <w:spacing w:val="-6"/>
        </w:rPr>
        <w:t xml:space="preserve">  </w:t>
      </w:r>
      <w:r>
        <w:rPr>
          <w:rFonts w:ascii="YouYuan" w:hAnsi="YouYuan" w:eastAsia="YouYuan" w:cs="YouYuan"/>
          <w:sz w:val="29"/>
          <w:szCs w:val="29"/>
          <w:b/>
          <w:bCs/>
          <w:spacing w:val="-6"/>
        </w:rPr>
        <w:t>成熟度评估方法</w:t>
      </w:r>
    </w:p>
    <w:p>
      <w:pPr>
        <w:pStyle w:val="BodyText"/>
        <w:spacing w:line="257" w:lineRule="auto"/>
        <w:rPr/>
      </w:pPr>
      <w:r/>
    </w:p>
    <w:p>
      <w:pPr>
        <w:ind w:left="240" w:right="52" w:firstLine="489"/>
        <w:spacing w:before="68" w:line="249" w:lineRule="auto"/>
        <w:rPr>
          <w:rFonts w:ascii="SimSun" w:hAnsi="SimSun" w:eastAsia="SimSun" w:cs="SimSun"/>
          <w:sz w:val="21"/>
          <w:szCs w:val="21"/>
        </w:rPr>
      </w:pPr>
      <w:r>
        <w:rPr>
          <w:rFonts w:ascii="SimSun" w:hAnsi="SimSun" w:eastAsia="SimSun" w:cs="SimSun"/>
          <w:sz w:val="21"/>
          <w:szCs w:val="21"/>
          <w:spacing w:val="1"/>
        </w:rPr>
        <w:t>治理成熟度评估是对云端数据治理进行监督、评价和改进的重要途径，通过综</w:t>
      </w:r>
      <w:r>
        <w:rPr>
          <w:rFonts w:ascii="SimSun" w:hAnsi="SimSun" w:eastAsia="SimSun" w:cs="SimSun"/>
          <w:sz w:val="21"/>
          <w:szCs w:val="21"/>
          <w:spacing w:val="13"/>
        </w:rPr>
        <w:t xml:space="preserve"> </w:t>
      </w:r>
      <w:r>
        <w:rPr>
          <w:rFonts w:ascii="SimSun" w:hAnsi="SimSun" w:eastAsia="SimSun" w:cs="SimSun"/>
          <w:sz w:val="21"/>
          <w:szCs w:val="21"/>
          <w:spacing w:val="2"/>
        </w:rPr>
        <w:t>合检查和评价，发现数据治理过程的不规范项</w:t>
      </w:r>
      <w:r>
        <w:rPr>
          <w:rFonts w:ascii="SimSun" w:hAnsi="SimSun" w:eastAsia="SimSun" w:cs="SimSun"/>
          <w:sz w:val="21"/>
          <w:szCs w:val="21"/>
          <w:spacing w:val="1"/>
        </w:rPr>
        <w:t>，提出评价意见和改进建议，促进组</w:t>
      </w:r>
      <w:r>
        <w:rPr>
          <w:rFonts w:ascii="SimSun" w:hAnsi="SimSun" w:eastAsia="SimSun" w:cs="SimSun"/>
          <w:sz w:val="21"/>
          <w:szCs w:val="21"/>
        </w:rPr>
        <w:t xml:space="preserve"> </w:t>
      </w:r>
      <w:r>
        <w:rPr>
          <w:rFonts w:ascii="SimSun" w:hAnsi="SimSun" w:eastAsia="SimSun" w:cs="SimSun"/>
          <w:sz w:val="21"/>
          <w:szCs w:val="21"/>
          <w:spacing w:val="-3"/>
        </w:rPr>
        <w:t>织实现云端数据治理的目标。</w:t>
      </w:r>
    </w:p>
    <w:p>
      <w:pPr>
        <w:ind w:left="240" w:firstLine="489"/>
        <w:spacing w:before="70" w:line="270" w:lineRule="auto"/>
        <w:rPr>
          <w:rFonts w:ascii="SimSun" w:hAnsi="SimSun" w:eastAsia="SimSun" w:cs="SimSun"/>
          <w:sz w:val="21"/>
          <w:szCs w:val="21"/>
        </w:rPr>
      </w:pPr>
      <w:r>
        <w:rPr>
          <w:rFonts w:ascii="SimSun" w:hAnsi="SimSun" w:eastAsia="SimSun" w:cs="SimSun"/>
          <w:sz w:val="21"/>
          <w:szCs w:val="21"/>
          <w:spacing w:val="1"/>
        </w:rPr>
        <w:t>云端数据治理成熟度评估方式可以分为组织自评和第三方独立评估两种。组织</w:t>
      </w:r>
      <w:r>
        <w:rPr>
          <w:rFonts w:ascii="SimSun" w:hAnsi="SimSun" w:eastAsia="SimSun" w:cs="SimSun"/>
          <w:sz w:val="21"/>
          <w:szCs w:val="21"/>
          <w:spacing w:val="16"/>
        </w:rPr>
        <w:t xml:space="preserve"> </w:t>
      </w:r>
      <w:r>
        <w:rPr>
          <w:rFonts w:ascii="SimSun" w:hAnsi="SimSun" w:eastAsia="SimSun" w:cs="SimSun"/>
          <w:sz w:val="21"/>
          <w:szCs w:val="21"/>
          <w:spacing w:val="1"/>
        </w:rPr>
        <w:t>自评是组织建立的一种自我检查、自我完善的持续改进活动，以组织内部人员为评</w:t>
      </w:r>
      <w:r>
        <w:rPr>
          <w:rFonts w:ascii="SimSun" w:hAnsi="SimSun" w:eastAsia="SimSun" w:cs="SimSun"/>
          <w:sz w:val="21"/>
          <w:szCs w:val="21"/>
        </w:rPr>
        <w:t xml:space="preserve">  </w:t>
      </w:r>
      <w:r>
        <w:rPr>
          <w:rFonts w:ascii="SimSun" w:hAnsi="SimSun" w:eastAsia="SimSun" w:cs="SimSun"/>
          <w:sz w:val="21"/>
          <w:szCs w:val="21"/>
          <w:spacing w:val="-1"/>
        </w:rPr>
        <w:t>估主体，对数据治理活动进行评估，能够为数据治理体系的持续优化提供改进</w:t>
      </w:r>
      <w:r>
        <w:rPr>
          <w:rFonts w:ascii="SimSun" w:hAnsi="SimSun" w:eastAsia="SimSun" w:cs="SimSun"/>
          <w:sz w:val="21"/>
          <w:szCs w:val="21"/>
          <w:spacing w:val="-2"/>
        </w:rPr>
        <w:t>依据。</w:t>
      </w:r>
      <w:r>
        <w:rPr>
          <w:rFonts w:ascii="SimSun" w:hAnsi="SimSun" w:eastAsia="SimSun" w:cs="SimSun"/>
          <w:sz w:val="21"/>
          <w:szCs w:val="21"/>
        </w:rPr>
        <w:t xml:space="preserve"> </w:t>
      </w:r>
      <w:r>
        <w:rPr>
          <w:rFonts w:ascii="SimSun" w:hAnsi="SimSun" w:eastAsia="SimSun" w:cs="SimSun"/>
          <w:sz w:val="21"/>
          <w:szCs w:val="21"/>
          <w:spacing w:val="2"/>
        </w:rPr>
        <w:t>第三方评估是由独立于组织且不受其经济利益制</w:t>
      </w:r>
      <w:r>
        <w:rPr>
          <w:rFonts w:ascii="SimSun" w:hAnsi="SimSun" w:eastAsia="SimSun" w:cs="SimSun"/>
          <w:sz w:val="21"/>
          <w:szCs w:val="21"/>
          <w:spacing w:val="1"/>
        </w:rPr>
        <w:t>约或不存在行政隶属关系的第三方</w:t>
      </w:r>
      <w:r>
        <w:rPr>
          <w:rFonts w:ascii="SimSun" w:hAnsi="SimSun" w:eastAsia="SimSun" w:cs="SimSun"/>
          <w:sz w:val="21"/>
          <w:szCs w:val="21"/>
        </w:rPr>
        <w:t xml:space="preserve">  </w:t>
      </w:r>
      <w:r>
        <w:rPr>
          <w:rFonts w:ascii="SimSun" w:hAnsi="SimSun" w:eastAsia="SimSun" w:cs="SimSun"/>
          <w:sz w:val="21"/>
          <w:szCs w:val="21"/>
          <w:spacing w:val="2"/>
        </w:rPr>
        <w:t>机构遵循云端数据治理成熟度评估依据，按规定的程序和方法对组织的</w:t>
      </w:r>
      <w:r>
        <w:rPr>
          <w:rFonts w:ascii="SimSun" w:hAnsi="SimSun" w:eastAsia="SimSun" w:cs="SimSun"/>
          <w:sz w:val="21"/>
          <w:szCs w:val="21"/>
          <w:spacing w:val="1"/>
        </w:rPr>
        <w:t>云端数据治</w:t>
      </w:r>
      <w:r>
        <w:rPr>
          <w:rFonts w:ascii="SimSun" w:hAnsi="SimSun" w:eastAsia="SimSun" w:cs="SimSun"/>
          <w:sz w:val="21"/>
          <w:szCs w:val="21"/>
        </w:rPr>
        <w:t xml:space="preserve">  </w:t>
      </w:r>
      <w:r>
        <w:rPr>
          <w:rFonts w:ascii="SimSun" w:hAnsi="SimSun" w:eastAsia="SimSun" w:cs="SimSun"/>
          <w:sz w:val="21"/>
          <w:szCs w:val="21"/>
          <w:spacing w:val="2"/>
        </w:rPr>
        <w:t>理项目进行评估。第三方评估是中立性的评估模式</w:t>
      </w:r>
      <w:r>
        <w:rPr>
          <w:rFonts w:ascii="SimSun" w:hAnsi="SimSun" w:eastAsia="SimSun" w:cs="SimSun"/>
          <w:sz w:val="21"/>
          <w:szCs w:val="21"/>
          <w:spacing w:val="1"/>
        </w:rPr>
        <w:t>，且由于其专业性，评估结果更</w:t>
      </w:r>
      <w:r>
        <w:rPr>
          <w:rFonts w:ascii="SimSun" w:hAnsi="SimSun" w:eastAsia="SimSun" w:cs="SimSun"/>
          <w:sz w:val="21"/>
          <w:szCs w:val="21"/>
        </w:rPr>
        <w:t xml:space="preserve">  </w:t>
      </w:r>
      <w:r>
        <w:rPr>
          <w:rFonts w:ascii="SimSun" w:hAnsi="SimSun" w:eastAsia="SimSun" w:cs="SimSun"/>
          <w:sz w:val="21"/>
          <w:szCs w:val="21"/>
        </w:rPr>
        <w:t>加客观、真实，能够更好地发现数据治理的不足之处，帮助组织优</w:t>
      </w:r>
      <w:r>
        <w:rPr>
          <w:rFonts w:ascii="SimSun" w:hAnsi="SimSun" w:eastAsia="SimSun" w:cs="SimSun"/>
          <w:sz w:val="21"/>
          <w:szCs w:val="21"/>
          <w:spacing w:val="-1"/>
        </w:rPr>
        <w:t>化数据治理。</w:t>
      </w:r>
    </w:p>
    <w:p>
      <w:pPr>
        <w:ind w:left="730"/>
        <w:spacing w:before="49" w:line="219" w:lineRule="auto"/>
        <w:rPr>
          <w:rFonts w:ascii="SimSun" w:hAnsi="SimSun" w:eastAsia="SimSun" w:cs="SimSun"/>
          <w:sz w:val="21"/>
          <w:szCs w:val="21"/>
        </w:rPr>
      </w:pPr>
      <w:r>
        <w:rPr>
          <w:rFonts w:ascii="SimSun" w:hAnsi="SimSun" w:eastAsia="SimSun" w:cs="SimSun"/>
          <w:sz w:val="21"/>
          <w:szCs w:val="21"/>
          <w:spacing w:val="-3"/>
        </w:rPr>
        <w:t>组织自评可以采用下列流程进行。</w:t>
      </w:r>
    </w:p>
    <w:p>
      <w:pPr>
        <w:ind w:left="240" w:right="46" w:firstLine="489"/>
        <w:spacing w:before="61" w:line="245" w:lineRule="auto"/>
        <w:rPr>
          <w:rFonts w:ascii="SimSun" w:hAnsi="SimSun" w:eastAsia="SimSun" w:cs="SimSun"/>
          <w:sz w:val="21"/>
          <w:szCs w:val="21"/>
        </w:rPr>
      </w:pPr>
      <w:r>
        <w:rPr>
          <w:rFonts w:ascii="SimSun" w:hAnsi="SimSun" w:eastAsia="SimSun" w:cs="SimSun"/>
          <w:sz w:val="21"/>
          <w:szCs w:val="21"/>
          <w:spacing w:val="4"/>
        </w:rPr>
        <w:t>(1)定义评估范围。组织可以从某一个特定业务部门或某一个业务领域来启动</w:t>
      </w:r>
      <w:r>
        <w:rPr>
          <w:rFonts w:ascii="SimSun" w:hAnsi="SimSun" w:eastAsia="SimSun" w:cs="SimSun"/>
          <w:sz w:val="21"/>
          <w:szCs w:val="21"/>
          <w:spacing w:val="18"/>
        </w:rPr>
        <w:t xml:space="preserve"> </w:t>
      </w:r>
      <w:r>
        <w:rPr>
          <w:rFonts w:ascii="SimSun" w:hAnsi="SimSun" w:eastAsia="SimSun" w:cs="SimSun"/>
          <w:sz w:val="21"/>
          <w:szCs w:val="21"/>
          <w:spacing w:val="1"/>
        </w:rPr>
        <w:t>数据治理的成熟度评估，随着评估的深入，逐渐扩展到组织的整个数据治理活</w:t>
      </w:r>
      <w:r>
        <w:rPr>
          <w:rFonts w:ascii="SimSun" w:hAnsi="SimSun" w:eastAsia="SimSun" w:cs="SimSun"/>
          <w:sz w:val="21"/>
          <w:szCs w:val="21"/>
        </w:rPr>
        <w:t>动。</w:t>
      </w:r>
    </w:p>
    <w:p>
      <w:pPr>
        <w:ind w:left="240" w:right="36"/>
        <w:spacing w:before="62" w:line="246" w:lineRule="auto"/>
        <w:rPr>
          <w:rFonts w:ascii="SimSun" w:hAnsi="SimSun" w:eastAsia="SimSun" w:cs="SimSun"/>
          <w:sz w:val="21"/>
          <w:szCs w:val="21"/>
        </w:rPr>
      </w:pPr>
      <w:r>
        <w:rPr>
          <w:rFonts w:ascii="SimSun" w:hAnsi="SimSun" w:eastAsia="SimSun" w:cs="SimSun"/>
          <w:sz w:val="21"/>
          <w:szCs w:val="21"/>
          <w:spacing w:val="-2"/>
        </w:rPr>
        <w:t>根据定义的评估范围，确定开展评估所需要的时间，时间太短不能达到预期的</w:t>
      </w:r>
      <w:r>
        <w:rPr>
          <w:rFonts w:ascii="SimSun" w:hAnsi="SimSun" w:eastAsia="SimSun" w:cs="SimSun"/>
          <w:sz w:val="21"/>
          <w:szCs w:val="21"/>
          <w:spacing w:val="-3"/>
        </w:rPr>
        <w:t>目标，</w:t>
      </w:r>
      <w:r>
        <w:rPr>
          <w:rFonts w:ascii="SimSun" w:hAnsi="SimSun" w:eastAsia="SimSun" w:cs="SimSun"/>
          <w:sz w:val="21"/>
          <w:szCs w:val="21"/>
        </w:rPr>
        <w:t xml:space="preserve"> </w:t>
      </w:r>
      <w:r>
        <w:rPr>
          <w:rFonts w:ascii="SimSun" w:hAnsi="SimSun" w:eastAsia="SimSun" w:cs="SimSun"/>
          <w:sz w:val="21"/>
          <w:szCs w:val="21"/>
          <w:spacing w:val="-1"/>
        </w:rPr>
        <w:t>时间太长又会因为没有具体成果而失去目标。</w:t>
      </w:r>
    </w:p>
    <w:p>
      <w:pPr>
        <w:ind w:left="240" w:right="16" w:firstLine="489"/>
        <w:spacing w:before="88" w:line="262" w:lineRule="auto"/>
        <w:rPr>
          <w:rFonts w:ascii="SimSun" w:hAnsi="SimSun" w:eastAsia="SimSun" w:cs="SimSun"/>
          <w:sz w:val="21"/>
          <w:szCs w:val="21"/>
        </w:rPr>
      </w:pPr>
      <w:r>
        <w:rPr>
          <w:rFonts w:ascii="SimSun" w:hAnsi="SimSun" w:eastAsia="SimSun" w:cs="SimSun"/>
          <w:sz w:val="21"/>
          <w:szCs w:val="21"/>
          <w:spacing w:val="4"/>
        </w:rPr>
        <w:t>(2)建立评估工作组。评估工作组是实施评估的主体，为了保证评估的客观性</w:t>
      </w:r>
      <w:r>
        <w:rPr>
          <w:rFonts w:ascii="SimSun" w:hAnsi="SimSun" w:eastAsia="SimSun" w:cs="SimSun"/>
          <w:sz w:val="21"/>
          <w:szCs w:val="21"/>
          <w:spacing w:val="12"/>
        </w:rPr>
        <w:t xml:space="preserve"> </w:t>
      </w:r>
      <w:r>
        <w:rPr>
          <w:rFonts w:ascii="SimSun" w:hAnsi="SimSun" w:eastAsia="SimSun" w:cs="SimSun"/>
          <w:sz w:val="21"/>
          <w:szCs w:val="21"/>
          <w:spacing w:val="-3"/>
        </w:rPr>
        <w:t>和便于沟通，评估工作应当包括业务和</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部门的参与者。业务参与者应该包括技术、</w:t>
      </w:r>
      <w:r>
        <w:rPr>
          <w:rFonts w:ascii="SimSun" w:hAnsi="SimSun" w:eastAsia="SimSun" w:cs="SimSun"/>
          <w:sz w:val="21"/>
          <w:szCs w:val="21"/>
        </w:rPr>
        <w:t xml:space="preserve"> </w:t>
      </w:r>
      <w:r>
        <w:rPr>
          <w:rFonts w:ascii="SimSun" w:hAnsi="SimSun" w:eastAsia="SimSun" w:cs="SimSun"/>
          <w:sz w:val="21"/>
          <w:szCs w:val="21"/>
          <w:spacing w:val="-4"/>
        </w:rPr>
        <w:t>市场、财务等业务和职能部门， </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4"/>
        </w:rPr>
        <w:t>参与者应该包括数据管理团队、数据治理专家、</w:t>
      </w:r>
      <w:r>
        <w:rPr>
          <w:rFonts w:ascii="SimSun" w:hAnsi="SimSun" w:eastAsia="SimSun" w:cs="SimSun"/>
          <w:sz w:val="21"/>
          <w:szCs w:val="21"/>
        </w:rPr>
        <w:t xml:space="preserve">  </w:t>
      </w:r>
      <w:r>
        <w:rPr>
          <w:rFonts w:ascii="SimSun" w:hAnsi="SimSun" w:eastAsia="SimSun" w:cs="SimSun"/>
          <w:sz w:val="21"/>
          <w:szCs w:val="21"/>
          <w:spacing w:val="1"/>
        </w:rPr>
        <w:t>流程管理者、安全和隐私专家等。评估工作组的主要工作是建立策略、设计</w:t>
      </w:r>
      <w:r>
        <w:rPr>
          <w:rFonts w:ascii="SimSun" w:hAnsi="SimSun" w:eastAsia="SimSun" w:cs="SimSun"/>
          <w:sz w:val="21"/>
          <w:szCs w:val="21"/>
        </w:rPr>
        <w:t>流程、  </w:t>
      </w:r>
      <w:r>
        <w:rPr>
          <w:rFonts w:ascii="SimSun" w:hAnsi="SimSun" w:eastAsia="SimSun" w:cs="SimSun"/>
          <w:sz w:val="21"/>
          <w:szCs w:val="21"/>
          <w:spacing w:val="-1"/>
        </w:rPr>
        <w:t>执行分析、产生报告、结构分析和提供建议等。</w:t>
      </w:r>
    </w:p>
    <w:p>
      <w:pPr>
        <w:ind w:left="240" w:right="51" w:firstLine="489"/>
        <w:spacing w:before="52" w:line="261" w:lineRule="auto"/>
        <w:rPr>
          <w:rFonts w:ascii="SimSun" w:hAnsi="SimSun" w:eastAsia="SimSun" w:cs="SimSun"/>
          <w:sz w:val="21"/>
          <w:szCs w:val="21"/>
        </w:rPr>
      </w:pPr>
      <w:r>
        <w:rPr>
          <w:rFonts w:ascii="SimSun" w:hAnsi="SimSun" w:eastAsia="SimSun" w:cs="SimSun"/>
          <w:sz w:val="21"/>
          <w:szCs w:val="21"/>
          <w:spacing w:val="4"/>
        </w:rPr>
        <w:t>(3)定义评估指标。评估指标是评估活动的指向标，指引着评估需要关注的重</w:t>
      </w:r>
      <w:r>
        <w:rPr>
          <w:rFonts w:ascii="SimSun" w:hAnsi="SimSun" w:eastAsia="SimSun" w:cs="SimSun"/>
          <w:sz w:val="21"/>
          <w:szCs w:val="21"/>
          <w:spacing w:val="13"/>
        </w:rPr>
        <w:t xml:space="preserve"> </w:t>
      </w:r>
      <w:r>
        <w:rPr>
          <w:rFonts w:ascii="SimSun" w:hAnsi="SimSun" w:eastAsia="SimSun" w:cs="SimSun"/>
          <w:sz w:val="21"/>
          <w:szCs w:val="21"/>
          <w:spacing w:val="2"/>
        </w:rPr>
        <w:t>点和方向。在建立评估指标的过程中需要考虑组织的</w:t>
      </w:r>
      <w:r>
        <w:rPr>
          <w:rFonts w:ascii="SimSun" w:hAnsi="SimSun" w:eastAsia="SimSun" w:cs="SimSun"/>
          <w:sz w:val="21"/>
          <w:szCs w:val="21"/>
          <w:spacing w:val="1"/>
        </w:rPr>
        <w:t>人员、流程和数据治理策略等</w:t>
      </w:r>
      <w:r>
        <w:rPr>
          <w:rFonts w:ascii="SimSun" w:hAnsi="SimSun" w:eastAsia="SimSun" w:cs="SimSun"/>
          <w:sz w:val="21"/>
          <w:szCs w:val="21"/>
        </w:rPr>
        <w:t xml:space="preserve"> </w:t>
      </w:r>
      <w:r>
        <w:rPr>
          <w:rFonts w:ascii="SimSun" w:hAnsi="SimSun" w:eastAsia="SimSun" w:cs="SimSun"/>
          <w:sz w:val="21"/>
          <w:szCs w:val="21"/>
          <w:spacing w:val="-7"/>
        </w:rPr>
        <w:t>相关内容。</w:t>
      </w:r>
    </w:p>
    <w:p>
      <w:pPr>
        <w:ind w:left="240" w:right="51" w:firstLine="489"/>
        <w:spacing w:before="70" w:line="255" w:lineRule="auto"/>
        <w:rPr>
          <w:rFonts w:ascii="SimSun" w:hAnsi="SimSun" w:eastAsia="SimSun" w:cs="SimSun"/>
          <w:sz w:val="21"/>
          <w:szCs w:val="21"/>
        </w:rPr>
      </w:pPr>
      <w:r>
        <w:rPr>
          <w:rFonts w:ascii="SimSun" w:hAnsi="SimSun" w:eastAsia="SimSun" w:cs="SimSun"/>
          <w:sz w:val="21"/>
          <w:szCs w:val="21"/>
          <w:spacing w:val="4"/>
        </w:rPr>
        <w:t>(4)与利益相关者沟通评估结果并予以发布。在完成云端数据治理成熟度评估</w:t>
      </w:r>
      <w:r>
        <w:rPr>
          <w:rFonts w:ascii="SimSun" w:hAnsi="SimSun" w:eastAsia="SimSun" w:cs="SimSun"/>
          <w:sz w:val="21"/>
          <w:szCs w:val="21"/>
          <w:spacing w:val="13"/>
        </w:rPr>
        <w:t xml:space="preserve"> </w:t>
      </w:r>
      <w:r>
        <w:rPr>
          <w:rFonts w:ascii="SimSun" w:hAnsi="SimSun" w:eastAsia="SimSun" w:cs="SimSun"/>
          <w:sz w:val="21"/>
          <w:szCs w:val="21"/>
        </w:rPr>
        <w:t>后，需要将评估结果汇报给业务和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的利益相关者，这</w:t>
      </w:r>
      <w:r>
        <w:rPr>
          <w:rFonts w:ascii="SimSun" w:hAnsi="SimSun" w:eastAsia="SimSun" w:cs="SimSun"/>
          <w:sz w:val="21"/>
          <w:szCs w:val="21"/>
          <w:spacing w:val="-1"/>
        </w:rPr>
        <w:t>样可以在组织内关键问题建</w:t>
      </w:r>
      <w:r>
        <w:rPr>
          <w:rFonts w:ascii="SimSun" w:hAnsi="SimSun" w:eastAsia="SimSun" w:cs="SimSun"/>
          <w:sz w:val="21"/>
          <w:szCs w:val="21"/>
        </w:rPr>
        <w:t xml:space="preserve"> </w:t>
      </w:r>
      <w:r>
        <w:rPr>
          <w:rFonts w:ascii="SimSun" w:hAnsi="SimSun" w:eastAsia="SimSun" w:cs="SimSun"/>
          <w:sz w:val="21"/>
          <w:szCs w:val="21"/>
          <w:spacing w:val="-3"/>
        </w:rPr>
        <w:t>立公示，进而与管理者讨论后期计划。</w:t>
      </w:r>
    </w:p>
    <w:p>
      <w:pPr>
        <w:ind w:left="240" w:right="52" w:firstLine="489"/>
        <w:spacing w:before="59" w:line="246" w:lineRule="auto"/>
        <w:rPr>
          <w:rFonts w:ascii="SimSun" w:hAnsi="SimSun" w:eastAsia="SimSun" w:cs="SimSun"/>
          <w:sz w:val="21"/>
          <w:szCs w:val="21"/>
        </w:rPr>
      </w:pPr>
      <w:r>
        <w:rPr>
          <w:rFonts w:ascii="SimSun" w:hAnsi="SimSun" w:eastAsia="SimSun" w:cs="SimSun"/>
          <w:sz w:val="21"/>
          <w:szCs w:val="21"/>
          <w:spacing w:val="4"/>
        </w:rPr>
        <w:t>(5)总结成熟度评估成果。组织依据发布的评估结果，分析每个评估类别的状</w:t>
      </w:r>
      <w:r>
        <w:rPr>
          <w:rFonts w:ascii="SimSun" w:hAnsi="SimSun" w:eastAsia="SimSun" w:cs="SimSun"/>
          <w:sz w:val="21"/>
          <w:szCs w:val="21"/>
          <w:spacing w:val="13"/>
        </w:rPr>
        <w:t xml:space="preserve"> </w:t>
      </w:r>
      <w:r>
        <w:rPr>
          <w:rFonts w:ascii="SimSun" w:hAnsi="SimSun" w:eastAsia="SimSun" w:cs="SimSun"/>
          <w:sz w:val="21"/>
          <w:szCs w:val="21"/>
        </w:rPr>
        <w:t>态，发现问题，提出解决和改进的建议，为数据治理后续活动提供优化依据。</w:t>
      </w:r>
    </w:p>
    <w:p>
      <w:pPr>
        <w:ind w:left="240" w:right="52" w:firstLine="489"/>
        <w:spacing w:before="58" w:line="262" w:lineRule="auto"/>
        <w:rPr>
          <w:rFonts w:ascii="SimSun" w:hAnsi="SimSun" w:eastAsia="SimSun" w:cs="SimSun"/>
          <w:sz w:val="21"/>
          <w:szCs w:val="21"/>
        </w:rPr>
      </w:pPr>
      <w:r>
        <w:rPr>
          <w:rFonts w:ascii="SimSun" w:hAnsi="SimSun" w:eastAsia="SimSun" w:cs="SimSun"/>
          <w:sz w:val="21"/>
          <w:szCs w:val="21"/>
          <w:spacing w:val="8"/>
        </w:rPr>
        <w:t>第三方评估机构依据云端数据治理模型及治理成熟度要求，对</w:t>
      </w:r>
      <w:r>
        <w:rPr>
          <w:rFonts w:ascii="SimSun" w:hAnsi="SimSun" w:eastAsia="SimSun" w:cs="SimSun"/>
          <w:sz w:val="21"/>
          <w:szCs w:val="21"/>
          <w:spacing w:val="7"/>
        </w:rPr>
        <w:t>组织开展的数</w:t>
      </w:r>
      <w:r>
        <w:rPr>
          <w:rFonts w:ascii="SimSun" w:hAnsi="SimSun" w:eastAsia="SimSun" w:cs="SimSun"/>
          <w:sz w:val="21"/>
          <w:szCs w:val="21"/>
        </w:rPr>
        <w:t xml:space="preserve"> </w:t>
      </w:r>
      <w:r>
        <w:rPr>
          <w:rFonts w:ascii="SimSun" w:hAnsi="SimSun" w:eastAsia="SimSun" w:cs="SimSun"/>
          <w:sz w:val="21"/>
          <w:szCs w:val="21"/>
          <w:spacing w:val="8"/>
        </w:rPr>
        <w:t>据治理活动进行全面的评估。针对每一个过程域，</w:t>
      </w:r>
      <w:r>
        <w:rPr>
          <w:rFonts w:ascii="SimSun" w:hAnsi="SimSun" w:eastAsia="SimSun" w:cs="SimSun"/>
          <w:sz w:val="21"/>
          <w:szCs w:val="21"/>
          <w:spacing w:val="7"/>
        </w:rPr>
        <w:t>分析组织表现的特征是否符合</w:t>
      </w:r>
      <w:r>
        <w:rPr>
          <w:rFonts w:ascii="SimSun" w:hAnsi="SimSun" w:eastAsia="SimSun" w:cs="SimSun"/>
          <w:sz w:val="21"/>
          <w:szCs w:val="21"/>
        </w:rPr>
        <w:t xml:space="preserve"> </w:t>
      </w:r>
      <w:r>
        <w:rPr>
          <w:rFonts w:ascii="SimSun" w:hAnsi="SimSun" w:eastAsia="SimSun" w:cs="SimSun"/>
          <w:sz w:val="21"/>
          <w:szCs w:val="21"/>
          <w:spacing w:val="7"/>
        </w:rPr>
        <w:t>云端数据治理成熟度的等级要求，如果满足，则判断此过程域</w:t>
      </w:r>
      <w:r>
        <w:rPr>
          <w:rFonts w:ascii="SimSun" w:hAnsi="SimSun" w:eastAsia="SimSun" w:cs="SimSun"/>
          <w:sz w:val="21"/>
          <w:szCs w:val="21"/>
          <w:spacing w:val="6"/>
        </w:rPr>
        <w:t>措施达到此成熟度 </w:t>
      </w:r>
      <w:r>
        <w:rPr>
          <w:rFonts w:ascii="SimSun" w:hAnsi="SimSun" w:eastAsia="SimSun" w:cs="SimSun"/>
          <w:sz w:val="21"/>
          <w:szCs w:val="21"/>
          <w:spacing w:val="8"/>
        </w:rPr>
        <w:t>等级。如果评估人员发现组织呈现的证据无法证明其满足某一等级时，组织</w:t>
      </w:r>
      <w:r>
        <w:rPr>
          <w:rFonts w:ascii="SimSun" w:hAnsi="SimSun" w:eastAsia="SimSun" w:cs="SimSun"/>
          <w:sz w:val="21"/>
          <w:szCs w:val="21"/>
          <w:spacing w:val="7"/>
        </w:rPr>
        <w:t>应当</w:t>
      </w:r>
      <w:r>
        <w:rPr>
          <w:rFonts w:ascii="SimSun" w:hAnsi="SimSun" w:eastAsia="SimSun" w:cs="SimSun"/>
          <w:sz w:val="21"/>
          <w:szCs w:val="21"/>
        </w:rPr>
        <w:t xml:space="preserve"> </w:t>
      </w:r>
      <w:r>
        <w:rPr>
          <w:rFonts w:ascii="SimSun" w:hAnsi="SimSun" w:eastAsia="SimSun" w:cs="SimSun"/>
          <w:sz w:val="21"/>
          <w:szCs w:val="21"/>
          <w:spacing w:val="8"/>
        </w:rPr>
        <w:t>继续提供有力的证据证明其已经达到该等级水平，</w:t>
      </w:r>
      <w:r>
        <w:rPr>
          <w:rFonts w:ascii="SimSun" w:hAnsi="SimSun" w:eastAsia="SimSun" w:cs="SimSun"/>
          <w:sz w:val="21"/>
          <w:szCs w:val="21"/>
          <w:spacing w:val="7"/>
        </w:rPr>
        <w:t>否则评估人员可以判定其不符</w:t>
      </w:r>
    </w:p>
    <w:p>
      <w:pPr>
        <w:spacing w:line="262" w:lineRule="auto"/>
        <w:sectPr>
          <w:footerReference w:type="default" r:id="rId125"/>
          <w:pgSz w:w="8870" w:h="13400"/>
          <w:pgMar w:top="400" w:right="528" w:bottom="545" w:left="369" w:header="0" w:footer="297" w:gutter="0"/>
        </w:sectPr>
        <w:rPr>
          <w:rFonts w:ascii="SimSun" w:hAnsi="SimSun" w:eastAsia="SimSun" w:cs="SimSun"/>
          <w:sz w:val="21"/>
          <w:szCs w:val="21"/>
        </w:rPr>
      </w:pPr>
    </w:p>
    <w:p>
      <w:pPr>
        <w:ind w:left="3067"/>
        <w:spacing w:before="143" w:line="218" w:lineRule="auto"/>
        <w:rPr>
          <w:rFonts w:ascii="SimSun" w:hAnsi="SimSun" w:eastAsia="SimSun" w:cs="SimSun"/>
          <w:sz w:val="21"/>
          <w:szCs w:val="21"/>
        </w:rPr>
      </w:pPr>
      <w:r>
        <w:rPr>
          <w:rFonts w:ascii="SimSun" w:hAnsi="SimSun" w:eastAsia="SimSun" w:cs="SimSun"/>
          <w:sz w:val="21"/>
          <w:szCs w:val="21"/>
          <w:b/>
          <w:bCs/>
          <w:spacing w:val="7"/>
        </w:rPr>
        <w:t>第3章=云端数据治理模型与治理成熟度评估模型</w:t>
      </w:r>
    </w:p>
    <w:p>
      <w:pPr>
        <w:pStyle w:val="BodyText"/>
        <w:spacing w:line="267" w:lineRule="auto"/>
        <w:rPr/>
      </w:pPr>
      <w:r/>
    </w:p>
    <w:p>
      <w:pPr>
        <w:ind w:left="4"/>
        <w:spacing w:before="68" w:line="219" w:lineRule="auto"/>
        <w:rPr>
          <w:rFonts w:ascii="SimSun" w:hAnsi="SimSun" w:eastAsia="SimSun" w:cs="SimSun"/>
          <w:sz w:val="21"/>
          <w:szCs w:val="21"/>
        </w:rPr>
      </w:pPr>
      <w:r>
        <w:rPr>
          <w:rFonts w:ascii="SimSun" w:hAnsi="SimSun" w:eastAsia="SimSun" w:cs="SimSun"/>
          <w:sz w:val="21"/>
          <w:szCs w:val="21"/>
          <w:spacing w:val="-7"/>
        </w:rPr>
        <w:t>合此等级。</w:t>
      </w:r>
    </w:p>
    <w:p>
      <w:pPr>
        <w:ind w:left="4" w:right="272" w:firstLine="419"/>
        <w:spacing w:before="46" w:line="262" w:lineRule="auto"/>
        <w:jc w:val="both"/>
        <w:rPr>
          <w:rFonts w:ascii="SimSun" w:hAnsi="SimSun" w:eastAsia="SimSun" w:cs="SimSun"/>
          <w:sz w:val="21"/>
          <w:szCs w:val="21"/>
        </w:rPr>
      </w:pPr>
      <w:r>
        <w:rPr>
          <w:rFonts w:ascii="SimSun" w:hAnsi="SimSun" w:eastAsia="SimSun" w:cs="SimSun"/>
          <w:sz w:val="21"/>
          <w:szCs w:val="21"/>
          <w:spacing w:val="2"/>
        </w:rPr>
        <w:t>无论是组织自评还是第三方独立评估，都可以采用定性评估的方式，给每一个</w:t>
      </w:r>
      <w:r>
        <w:rPr>
          <w:rFonts w:ascii="SimSun" w:hAnsi="SimSun" w:eastAsia="SimSun" w:cs="SimSun"/>
          <w:sz w:val="21"/>
          <w:szCs w:val="21"/>
          <w:spacing w:val="10"/>
        </w:rPr>
        <w:t xml:space="preserve"> </w:t>
      </w:r>
      <w:r>
        <w:rPr>
          <w:rFonts w:ascii="SimSun" w:hAnsi="SimSun" w:eastAsia="SimSun" w:cs="SimSun"/>
          <w:sz w:val="21"/>
          <w:szCs w:val="21"/>
          <w:spacing w:val="2"/>
        </w:rPr>
        <w:t>过程域措施依据成熟度等级要求打分，最后综合所有</w:t>
      </w:r>
      <w:r>
        <w:rPr>
          <w:rFonts w:ascii="SimSun" w:hAnsi="SimSun" w:eastAsia="SimSun" w:cs="SimSun"/>
          <w:sz w:val="21"/>
          <w:szCs w:val="21"/>
          <w:spacing w:val="1"/>
        </w:rPr>
        <w:t>过程评分结果，给出组织云端</w:t>
      </w:r>
      <w:r>
        <w:rPr>
          <w:rFonts w:ascii="SimSun" w:hAnsi="SimSun" w:eastAsia="SimSun" w:cs="SimSun"/>
          <w:sz w:val="21"/>
          <w:szCs w:val="21"/>
        </w:rPr>
        <w:t xml:space="preserve"> </w:t>
      </w:r>
      <w:r>
        <w:rPr>
          <w:rFonts w:ascii="SimSun" w:hAnsi="SimSun" w:eastAsia="SimSun" w:cs="SimSun"/>
          <w:sz w:val="21"/>
          <w:szCs w:val="21"/>
        </w:rPr>
        <w:t>数据治理成熟度等级，这个综合成熟度等级采取“木桶定律</w:t>
      </w:r>
      <w:r>
        <w:rPr>
          <w:rFonts w:ascii="SimSun" w:hAnsi="SimSun" w:eastAsia="SimSun" w:cs="SimSun"/>
          <w:sz w:val="21"/>
          <w:szCs w:val="21"/>
          <w:spacing w:val="-1"/>
        </w:rPr>
        <w:t>”,即取各个过程域的最</w:t>
      </w:r>
      <w:r>
        <w:rPr>
          <w:rFonts w:ascii="SimSun" w:hAnsi="SimSun" w:eastAsia="SimSun" w:cs="SimSun"/>
          <w:sz w:val="21"/>
          <w:szCs w:val="21"/>
        </w:rPr>
        <w:t xml:space="preserve"> </w:t>
      </w:r>
      <w:r>
        <w:rPr>
          <w:rFonts w:ascii="SimSun" w:hAnsi="SimSun" w:eastAsia="SimSun" w:cs="SimSun"/>
          <w:sz w:val="21"/>
          <w:szCs w:val="21"/>
          <w:spacing w:val="2"/>
        </w:rPr>
        <w:t>低成熟度等级。表3-2为云端数据治理成熟度等级评分表、图3-3为云端数据治理成</w:t>
      </w:r>
      <w:r>
        <w:rPr>
          <w:rFonts w:ascii="SimSun" w:hAnsi="SimSun" w:eastAsia="SimSun" w:cs="SimSun"/>
          <w:sz w:val="21"/>
          <w:szCs w:val="21"/>
          <w:spacing w:val="1"/>
        </w:rPr>
        <w:t xml:space="preserve"> </w:t>
      </w:r>
      <w:r>
        <w:rPr>
          <w:rFonts w:ascii="SimSun" w:hAnsi="SimSun" w:eastAsia="SimSun" w:cs="SimSun"/>
          <w:sz w:val="21"/>
          <w:szCs w:val="21"/>
          <w:spacing w:val="2"/>
        </w:rPr>
        <w:t>熟度柱状图和图3-4 为云端数据治理成熟度雷达图，这是评估结果的三种不同呈现</w:t>
      </w:r>
    </w:p>
    <w:p>
      <w:pPr>
        <w:spacing w:before="65" w:line="212" w:lineRule="auto"/>
        <w:rPr>
          <w:rFonts w:ascii="SimSun" w:hAnsi="SimSun" w:eastAsia="SimSun" w:cs="SimSun"/>
          <w:sz w:val="22"/>
          <w:szCs w:val="22"/>
        </w:rPr>
      </w:pPr>
      <w:r>
        <w:rPr>
          <w:rFonts w:ascii="SimSun" w:hAnsi="SimSun" w:eastAsia="SimSun" w:cs="SimSun"/>
          <w:sz w:val="22"/>
          <w:szCs w:val="22"/>
          <w:i/>
          <w:iCs/>
          <w:spacing w:val="-15"/>
        </w:rPr>
        <w:t>方式。</w:t>
      </w:r>
    </w:p>
    <w:p>
      <w:pPr>
        <w:ind w:left="2246"/>
        <w:spacing w:before="111" w:line="221" w:lineRule="auto"/>
        <w:rPr>
          <w:rFonts w:ascii="SimHei" w:hAnsi="SimHei" w:eastAsia="SimHei" w:cs="SimHei"/>
          <w:sz w:val="21"/>
          <w:szCs w:val="21"/>
        </w:rPr>
      </w:pPr>
      <w:r>
        <w:rPr>
          <w:rFonts w:ascii="SimHei" w:hAnsi="SimHei" w:eastAsia="SimHei" w:cs="SimHei"/>
          <w:sz w:val="21"/>
          <w:szCs w:val="21"/>
          <w:b/>
          <w:bCs/>
          <w:spacing w:val="-14"/>
          <w:w w:val="94"/>
        </w:rPr>
        <w:t>表3-2</w:t>
      </w:r>
      <w:r>
        <w:rPr>
          <w:rFonts w:ascii="SimHei" w:hAnsi="SimHei" w:eastAsia="SimHei" w:cs="SimHei"/>
          <w:sz w:val="21"/>
          <w:szCs w:val="21"/>
          <w:spacing w:val="68"/>
        </w:rPr>
        <w:t xml:space="preserve"> </w:t>
      </w:r>
      <w:r>
        <w:rPr>
          <w:rFonts w:ascii="SimHei" w:hAnsi="SimHei" w:eastAsia="SimHei" w:cs="SimHei"/>
          <w:sz w:val="21"/>
          <w:szCs w:val="21"/>
          <w:b/>
          <w:bCs/>
          <w:spacing w:val="-14"/>
          <w:w w:val="94"/>
        </w:rPr>
        <w:t>云端数据治理成熟度等级评分表</w:t>
      </w:r>
    </w:p>
    <w:p>
      <w:pPr>
        <w:spacing w:line="90" w:lineRule="exact"/>
        <w:rPr/>
      </w:pPr>
      <w:r/>
    </w:p>
    <w:tbl>
      <w:tblPr>
        <w:tblStyle w:val="TableNormal"/>
        <w:tblW w:w="7630" w:type="dxa"/>
        <w:tblInd w:w="5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34"/>
        <w:gridCol w:w="1408"/>
        <w:gridCol w:w="1408"/>
        <w:gridCol w:w="2297"/>
        <w:gridCol w:w="1483"/>
      </w:tblGrid>
      <w:tr>
        <w:trPr>
          <w:trHeight w:val="355" w:hRule="atLeast"/>
        </w:trPr>
        <w:tc>
          <w:tcPr>
            <w:tcW w:w="1034" w:type="dxa"/>
            <w:vAlign w:val="top"/>
          </w:tcPr>
          <w:p>
            <w:pPr>
              <w:pStyle w:val="TableText"/>
              <w:ind w:left="245"/>
              <w:spacing w:before="102" w:line="221" w:lineRule="auto"/>
              <w:rPr/>
            </w:pPr>
            <w:r>
              <w:rPr>
                <w:spacing w:val="-3"/>
              </w:rPr>
              <w:t>序</w:t>
            </w:r>
            <w:r>
              <w:rPr>
                <w:spacing w:val="3"/>
              </w:rPr>
              <w:t xml:space="preserve">   </w:t>
            </w:r>
            <w:r>
              <w:rPr>
                <w:spacing w:val="-3"/>
              </w:rPr>
              <w:t>号</w:t>
            </w:r>
          </w:p>
        </w:tc>
        <w:tc>
          <w:tcPr>
            <w:tcW w:w="1408" w:type="dxa"/>
            <w:vAlign w:val="top"/>
          </w:tcPr>
          <w:p>
            <w:pPr>
              <w:pStyle w:val="TableText"/>
              <w:ind w:left="351"/>
              <w:spacing w:before="101" w:line="220" w:lineRule="auto"/>
              <w:rPr/>
            </w:pPr>
            <w:r>
              <w:rPr>
                <w:spacing w:val="-7"/>
              </w:rPr>
              <w:t>职</w:t>
            </w:r>
            <w:r>
              <w:rPr>
                <w:spacing w:val="6"/>
              </w:rPr>
              <w:t xml:space="preserve">  </w:t>
            </w:r>
            <w:r>
              <w:rPr>
                <w:spacing w:val="-7"/>
              </w:rPr>
              <w:t>能</w:t>
            </w:r>
            <w:r>
              <w:rPr>
                <w:spacing w:val="7"/>
              </w:rPr>
              <w:t xml:space="preserve"> </w:t>
            </w:r>
            <w:r>
              <w:rPr>
                <w:spacing w:val="-7"/>
              </w:rPr>
              <w:t>域</w:t>
            </w:r>
          </w:p>
        </w:tc>
        <w:tc>
          <w:tcPr>
            <w:tcW w:w="1408" w:type="dxa"/>
            <w:vAlign w:val="top"/>
          </w:tcPr>
          <w:p>
            <w:pPr>
              <w:pStyle w:val="TableText"/>
              <w:ind w:left="323"/>
              <w:spacing w:before="101" w:line="219" w:lineRule="auto"/>
              <w:rPr/>
            </w:pPr>
            <w:r>
              <w:rPr>
                <w:spacing w:val="-2"/>
              </w:rPr>
              <w:t>成熟度等级</w:t>
            </w:r>
          </w:p>
        </w:tc>
        <w:tc>
          <w:tcPr>
            <w:tcW w:w="2297" w:type="dxa"/>
            <w:vAlign w:val="top"/>
          </w:tcPr>
          <w:p>
            <w:pPr>
              <w:pStyle w:val="TableText"/>
              <w:ind w:left="755"/>
              <w:spacing w:before="101" w:line="220" w:lineRule="auto"/>
              <w:rPr/>
            </w:pPr>
            <w:r>
              <w:rPr>
                <w:spacing w:val="-4"/>
              </w:rPr>
              <w:t>过</w:t>
            </w:r>
            <w:r>
              <w:rPr>
                <w:spacing w:val="13"/>
              </w:rPr>
              <w:t xml:space="preserve">  </w:t>
            </w:r>
            <w:r>
              <w:rPr>
                <w:spacing w:val="-4"/>
              </w:rPr>
              <w:t>程</w:t>
            </w:r>
            <w:r>
              <w:rPr>
                <w:spacing w:val="13"/>
              </w:rPr>
              <w:t xml:space="preserve">  </w:t>
            </w:r>
            <w:r>
              <w:rPr>
                <w:spacing w:val="-4"/>
              </w:rPr>
              <w:t>域</w:t>
            </w:r>
          </w:p>
        </w:tc>
        <w:tc>
          <w:tcPr>
            <w:tcW w:w="1483" w:type="dxa"/>
            <w:vAlign w:val="top"/>
          </w:tcPr>
          <w:p>
            <w:pPr>
              <w:pStyle w:val="TableText"/>
              <w:ind w:left="358"/>
              <w:spacing w:before="101" w:line="219" w:lineRule="auto"/>
              <w:rPr/>
            </w:pPr>
            <w:r>
              <w:rPr>
                <w:spacing w:val="-2"/>
              </w:rPr>
              <w:t>成熟度等级</w:t>
            </w:r>
          </w:p>
        </w:tc>
      </w:tr>
      <w:tr>
        <w:trPr>
          <w:trHeight w:val="340" w:hRule="atLeast"/>
        </w:trPr>
        <w:tc>
          <w:tcPr>
            <w:tcW w:w="1034" w:type="dxa"/>
            <w:vAlign w:val="top"/>
          </w:tcPr>
          <w:p>
            <w:pPr>
              <w:pStyle w:val="TableText"/>
              <w:ind w:left="465"/>
              <w:spacing w:before="134" w:line="184" w:lineRule="auto"/>
              <w:rPr/>
            </w:pPr>
            <w:r>
              <w:rPr/>
              <w:t>1</w:t>
            </w:r>
          </w:p>
        </w:tc>
        <w:tc>
          <w:tcPr>
            <w:tcW w:w="1408" w:type="dxa"/>
            <w:vAlign w:val="top"/>
            <w:vMerge w:val="restart"/>
            <w:tcBorders>
              <w:bottom w:val="nil"/>
            </w:tcBorders>
          </w:tcPr>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391"/>
              <w:spacing w:before="49" w:line="219" w:lineRule="auto"/>
              <w:rPr/>
            </w:pPr>
            <w:r>
              <w:rPr>
                <w:spacing w:val="-2"/>
              </w:rPr>
              <w:t>数据战略</w:t>
            </w:r>
          </w:p>
        </w:tc>
        <w:tc>
          <w:tcPr>
            <w:tcW w:w="1408" w:type="dxa"/>
            <w:vAlign w:val="top"/>
            <w:vMerge w:val="restart"/>
            <w:tcBorders>
              <w:bottom w:val="nil"/>
            </w:tcBorders>
          </w:tcPr>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653"/>
              <w:spacing w:before="49" w:line="183" w:lineRule="auto"/>
              <w:rPr/>
            </w:pPr>
            <w:r>
              <w:rPr/>
              <w:t>3</w:t>
            </w:r>
          </w:p>
        </w:tc>
        <w:tc>
          <w:tcPr>
            <w:tcW w:w="2297" w:type="dxa"/>
            <w:vAlign w:val="top"/>
          </w:tcPr>
          <w:p>
            <w:pPr>
              <w:pStyle w:val="TableText"/>
              <w:ind w:left="995"/>
              <w:spacing w:before="96" w:line="220" w:lineRule="auto"/>
              <w:rPr/>
            </w:pPr>
            <w:r>
              <w:rPr>
                <w:spacing w:val="-4"/>
              </w:rPr>
              <w:t>战略</w:t>
            </w:r>
          </w:p>
        </w:tc>
        <w:tc>
          <w:tcPr>
            <w:tcW w:w="1483" w:type="dxa"/>
            <w:vAlign w:val="top"/>
          </w:tcPr>
          <w:p>
            <w:pPr>
              <w:pStyle w:val="TableText"/>
              <w:ind w:left="698"/>
              <w:spacing w:before="134" w:line="183" w:lineRule="auto"/>
              <w:rPr/>
            </w:pPr>
            <w:r>
              <w:rPr/>
              <w:t>4</w:t>
            </w:r>
          </w:p>
        </w:tc>
      </w:tr>
      <w:tr>
        <w:trPr>
          <w:trHeight w:val="359" w:hRule="atLeast"/>
        </w:trPr>
        <w:tc>
          <w:tcPr>
            <w:tcW w:w="1034" w:type="dxa"/>
            <w:vAlign w:val="top"/>
          </w:tcPr>
          <w:p>
            <w:pPr>
              <w:pStyle w:val="TableText"/>
              <w:ind w:left="465"/>
              <w:spacing w:before="144" w:line="183" w:lineRule="auto"/>
              <w:rPr/>
            </w:pPr>
            <w:r>
              <w:rPr/>
              <w:t>2</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765"/>
              <w:spacing w:before="105" w:line="219" w:lineRule="auto"/>
              <w:rPr/>
            </w:pPr>
            <w:r>
              <w:rPr>
                <w:spacing w:val="-2"/>
              </w:rPr>
              <w:t>组织与角色</w:t>
            </w:r>
          </w:p>
        </w:tc>
        <w:tc>
          <w:tcPr>
            <w:tcW w:w="1483" w:type="dxa"/>
            <w:vAlign w:val="top"/>
          </w:tcPr>
          <w:p>
            <w:pPr>
              <w:pStyle w:val="TableText"/>
              <w:ind w:left="698"/>
              <w:spacing w:before="144" w:line="183" w:lineRule="auto"/>
              <w:rPr/>
            </w:pPr>
            <w:r>
              <w:rPr/>
              <w:t>3</w:t>
            </w:r>
          </w:p>
        </w:tc>
      </w:tr>
      <w:tr>
        <w:trPr>
          <w:trHeight w:val="340" w:hRule="atLeast"/>
        </w:trPr>
        <w:tc>
          <w:tcPr>
            <w:tcW w:w="1034" w:type="dxa"/>
            <w:vAlign w:val="top"/>
          </w:tcPr>
          <w:p>
            <w:pPr>
              <w:pStyle w:val="TableText"/>
              <w:ind w:left="465"/>
              <w:spacing w:before="135" w:line="183" w:lineRule="auto"/>
              <w:rPr/>
            </w:pPr>
            <w:r>
              <w:rPr/>
              <w:t>3</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845"/>
              <w:spacing w:before="97" w:line="219" w:lineRule="auto"/>
              <w:rPr/>
            </w:pPr>
            <w:r>
              <w:rPr>
                <w:spacing w:val="-1"/>
              </w:rPr>
              <w:t>业务案例</w:t>
            </w:r>
          </w:p>
        </w:tc>
        <w:tc>
          <w:tcPr>
            <w:tcW w:w="1483" w:type="dxa"/>
            <w:vAlign w:val="top"/>
          </w:tcPr>
          <w:p>
            <w:pPr>
              <w:pStyle w:val="TableText"/>
              <w:ind w:left="698"/>
              <w:spacing w:before="135" w:line="183" w:lineRule="auto"/>
              <w:rPr/>
            </w:pPr>
            <w:r>
              <w:rPr/>
              <w:t>3</w:t>
            </w:r>
          </w:p>
        </w:tc>
      </w:tr>
      <w:tr>
        <w:trPr>
          <w:trHeight w:val="340" w:hRule="atLeast"/>
        </w:trPr>
        <w:tc>
          <w:tcPr>
            <w:tcW w:w="1034" w:type="dxa"/>
            <w:vAlign w:val="top"/>
          </w:tcPr>
          <w:p>
            <w:pPr>
              <w:pStyle w:val="TableText"/>
              <w:ind w:left="465"/>
              <w:spacing w:before="135" w:line="183" w:lineRule="auto"/>
              <w:rPr/>
            </w:pPr>
            <w:r>
              <w:rPr/>
              <w:t>4</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845"/>
              <w:spacing w:before="97" w:line="219" w:lineRule="auto"/>
              <w:rPr/>
            </w:pPr>
            <w:r>
              <w:rPr>
                <w:spacing w:val="-3"/>
              </w:rPr>
              <w:t>资源保障</w:t>
            </w:r>
          </w:p>
        </w:tc>
        <w:tc>
          <w:tcPr>
            <w:tcW w:w="1483" w:type="dxa"/>
            <w:vAlign w:val="top"/>
          </w:tcPr>
          <w:p>
            <w:pPr>
              <w:pStyle w:val="TableText"/>
              <w:ind w:left="698"/>
              <w:spacing w:before="135" w:line="183" w:lineRule="auto"/>
              <w:rPr/>
            </w:pPr>
            <w:r>
              <w:rPr/>
              <w:t>4</w:t>
            </w:r>
          </w:p>
        </w:tc>
      </w:tr>
      <w:tr>
        <w:trPr>
          <w:trHeight w:val="340" w:hRule="atLeast"/>
        </w:trPr>
        <w:tc>
          <w:tcPr>
            <w:tcW w:w="1034" w:type="dxa"/>
            <w:vAlign w:val="top"/>
          </w:tcPr>
          <w:p>
            <w:pPr>
              <w:pStyle w:val="TableText"/>
              <w:ind w:left="465"/>
              <w:spacing w:before="136" w:line="182" w:lineRule="auto"/>
              <w:rPr/>
            </w:pPr>
            <w:r>
              <w:rPr/>
              <w:t>5</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995"/>
              <w:spacing w:before="97" w:line="220" w:lineRule="auto"/>
              <w:rPr/>
            </w:pPr>
            <w:r>
              <w:rPr>
                <w:spacing w:val="-2"/>
              </w:rPr>
              <w:t>沟通</w:t>
            </w:r>
          </w:p>
        </w:tc>
        <w:tc>
          <w:tcPr>
            <w:tcW w:w="1483" w:type="dxa"/>
            <w:vAlign w:val="top"/>
          </w:tcPr>
          <w:p>
            <w:pPr>
              <w:pStyle w:val="TableText"/>
              <w:ind w:left="698"/>
              <w:spacing w:before="136" w:line="182" w:lineRule="auto"/>
              <w:rPr/>
            </w:pPr>
            <w:r>
              <w:rPr/>
              <w:t>5</w:t>
            </w:r>
          </w:p>
        </w:tc>
      </w:tr>
      <w:tr>
        <w:trPr>
          <w:trHeight w:val="329" w:hRule="atLeast"/>
        </w:trPr>
        <w:tc>
          <w:tcPr>
            <w:tcW w:w="1034" w:type="dxa"/>
            <w:vAlign w:val="top"/>
          </w:tcPr>
          <w:p>
            <w:pPr>
              <w:pStyle w:val="TableText"/>
              <w:ind w:left="465"/>
              <w:spacing w:before="125" w:line="183" w:lineRule="auto"/>
              <w:rPr/>
            </w:pPr>
            <w:r>
              <w:rPr/>
              <w:t>6</w:t>
            </w:r>
          </w:p>
        </w:tc>
        <w:tc>
          <w:tcPr>
            <w:tcW w:w="1408" w:type="dxa"/>
            <w:vAlign w:val="top"/>
            <w:vMerge w:val="restart"/>
            <w:tcBorders>
              <w:bottom w:val="nil"/>
            </w:tcBorders>
          </w:tcPr>
          <w:p>
            <w:pPr>
              <w:spacing w:line="386" w:lineRule="auto"/>
              <w:rPr>
                <w:rFonts w:ascii="Arial"/>
                <w:sz w:val="21"/>
              </w:rPr>
            </w:pPr>
            <w:r/>
          </w:p>
          <w:p>
            <w:pPr>
              <w:pStyle w:val="TableText"/>
              <w:ind w:left="391"/>
              <w:spacing w:before="48" w:line="219" w:lineRule="auto"/>
              <w:rPr/>
            </w:pPr>
            <w:r>
              <w:rPr>
                <w:spacing w:val="-2"/>
              </w:rPr>
              <w:t>数据管理</w:t>
            </w:r>
          </w:p>
        </w:tc>
        <w:tc>
          <w:tcPr>
            <w:tcW w:w="1408" w:type="dxa"/>
            <w:vAlign w:val="top"/>
            <w:vMerge w:val="restart"/>
            <w:tcBorders>
              <w:bottom w:val="nil"/>
            </w:tcBorders>
          </w:tcPr>
          <w:p>
            <w:pPr>
              <w:spacing w:line="424" w:lineRule="auto"/>
              <w:rPr>
                <w:rFonts w:ascii="Arial"/>
                <w:sz w:val="21"/>
              </w:rPr>
            </w:pPr>
            <w:r/>
          </w:p>
          <w:p>
            <w:pPr>
              <w:pStyle w:val="TableText"/>
              <w:ind w:left="653"/>
              <w:spacing w:before="49" w:line="183" w:lineRule="auto"/>
              <w:rPr/>
            </w:pPr>
            <w:r>
              <w:rPr/>
              <w:t>4</w:t>
            </w:r>
          </w:p>
        </w:tc>
        <w:tc>
          <w:tcPr>
            <w:tcW w:w="2297" w:type="dxa"/>
            <w:vAlign w:val="top"/>
          </w:tcPr>
          <w:p>
            <w:pPr>
              <w:pStyle w:val="TableText"/>
              <w:ind w:left="845"/>
              <w:spacing w:before="87" w:line="219" w:lineRule="auto"/>
              <w:rPr/>
            </w:pPr>
            <w:r>
              <w:rPr>
                <w:spacing w:val="-1"/>
              </w:rPr>
              <w:t>业务术语</w:t>
            </w:r>
          </w:p>
        </w:tc>
        <w:tc>
          <w:tcPr>
            <w:tcW w:w="1483" w:type="dxa"/>
            <w:vAlign w:val="top"/>
          </w:tcPr>
          <w:p>
            <w:pPr>
              <w:pStyle w:val="TableText"/>
              <w:ind w:left="698"/>
              <w:spacing w:before="125" w:line="183" w:lineRule="auto"/>
              <w:rPr/>
            </w:pPr>
            <w:r>
              <w:rPr/>
              <w:t>4</w:t>
            </w:r>
          </w:p>
        </w:tc>
      </w:tr>
      <w:tr>
        <w:trPr>
          <w:trHeight w:val="350" w:hRule="atLeast"/>
        </w:trPr>
        <w:tc>
          <w:tcPr>
            <w:tcW w:w="1034" w:type="dxa"/>
            <w:vAlign w:val="top"/>
          </w:tcPr>
          <w:p>
            <w:pPr>
              <w:pStyle w:val="TableText"/>
              <w:ind w:left="465"/>
              <w:spacing w:before="137" w:line="182" w:lineRule="auto"/>
              <w:rPr/>
            </w:pPr>
            <w:r>
              <w:rPr/>
              <w:t>7</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765"/>
              <w:spacing w:before="98" w:line="219" w:lineRule="auto"/>
              <w:rPr/>
            </w:pPr>
            <w:r>
              <w:rPr>
                <w:spacing w:val="-2"/>
              </w:rPr>
              <w:t>元数据管理</w:t>
            </w:r>
          </w:p>
        </w:tc>
        <w:tc>
          <w:tcPr>
            <w:tcW w:w="1483" w:type="dxa"/>
            <w:vAlign w:val="top"/>
          </w:tcPr>
          <w:p>
            <w:pPr>
              <w:pStyle w:val="TableText"/>
              <w:ind w:left="698"/>
              <w:spacing w:before="136" w:line="183" w:lineRule="auto"/>
              <w:rPr/>
            </w:pPr>
            <w:r>
              <w:rPr/>
              <w:t>4</w:t>
            </w:r>
          </w:p>
        </w:tc>
      </w:tr>
      <w:tr>
        <w:trPr>
          <w:trHeight w:val="329" w:hRule="atLeast"/>
        </w:trPr>
        <w:tc>
          <w:tcPr>
            <w:tcW w:w="1034" w:type="dxa"/>
            <w:vAlign w:val="top"/>
          </w:tcPr>
          <w:p>
            <w:pPr>
              <w:pStyle w:val="TableText"/>
              <w:ind w:left="465"/>
              <w:spacing w:before="126" w:line="183" w:lineRule="auto"/>
              <w:rPr/>
            </w:pPr>
            <w:r>
              <w:rPr/>
              <w:t>8</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765"/>
              <w:spacing w:before="88" w:line="219" w:lineRule="auto"/>
              <w:rPr/>
            </w:pPr>
            <w:r>
              <w:rPr>
                <w:spacing w:val="-2"/>
              </w:rPr>
              <w:t>主数据管理</w:t>
            </w:r>
          </w:p>
        </w:tc>
        <w:tc>
          <w:tcPr>
            <w:tcW w:w="1483" w:type="dxa"/>
            <w:vAlign w:val="top"/>
          </w:tcPr>
          <w:p>
            <w:pPr>
              <w:pStyle w:val="TableText"/>
              <w:ind w:left="698"/>
              <w:spacing w:before="126" w:line="183" w:lineRule="auto"/>
              <w:rPr/>
            </w:pPr>
            <w:r>
              <w:rPr/>
              <w:t>4</w:t>
            </w:r>
          </w:p>
        </w:tc>
      </w:tr>
      <w:tr>
        <w:trPr>
          <w:trHeight w:val="359" w:hRule="atLeast"/>
        </w:trPr>
        <w:tc>
          <w:tcPr>
            <w:tcW w:w="1034" w:type="dxa"/>
            <w:vAlign w:val="top"/>
          </w:tcPr>
          <w:p>
            <w:pPr>
              <w:pStyle w:val="TableText"/>
              <w:ind w:left="465"/>
              <w:spacing w:before="147" w:line="183" w:lineRule="auto"/>
              <w:rPr/>
            </w:pPr>
            <w:r>
              <w:rPr/>
              <w:t>9</w:t>
            </w:r>
          </w:p>
        </w:tc>
        <w:tc>
          <w:tcPr>
            <w:tcW w:w="1408" w:type="dxa"/>
            <w:vAlign w:val="top"/>
            <w:vMerge w:val="restart"/>
            <w:tcBorders>
              <w:bottom w:val="nil"/>
            </w:tcBorders>
          </w:tcPr>
          <w:p>
            <w:pPr>
              <w:spacing w:line="293" w:lineRule="auto"/>
              <w:rPr>
                <w:rFonts w:ascii="Arial"/>
                <w:sz w:val="21"/>
              </w:rPr>
            </w:pPr>
            <w:r/>
          </w:p>
          <w:p>
            <w:pPr>
              <w:spacing w:line="294" w:lineRule="auto"/>
              <w:rPr>
                <w:rFonts w:ascii="Arial"/>
                <w:sz w:val="21"/>
              </w:rPr>
            </w:pPr>
            <w:r/>
          </w:p>
          <w:p>
            <w:pPr>
              <w:pStyle w:val="TableText"/>
              <w:ind w:left="391"/>
              <w:spacing w:before="48" w:line="219" w:lineRule="auto"/>
              <w:rPr/>
            </w:pPr>
            <w:r>
              <w:rPr>
                <w:spacing w:val="-2"/>
              </w:rPr>
              <w:t>数据质量</w:t>
            </w:r>
          </w:p>
        </w:tc>
        <w:tc>
          <w:tcPr>
            <w:tcW w:w="1408" w:type="dxa"/>
            <w:vAlign w:val="top"/>
            <w:vMerge w:val="restart"/>
            <w:tcBorders>
              <w:bottom w:val="nil"/>
            </w:tcBorders>
          </w:tcPr>
          <w:p>
            <w:pPr>
              <w:spacing w:line="312" w:lineRule="auto"/>
              <w:rPr>
                <w:rFonts w:ascii="Arial"/>
                <w:sz w:val="21"/>
              </w:rPr>
            </w:pPr>
            <w:r/>
          </w:p>
          <w:p>
            <w:pPr>
              <w:spacing w:line="313" w:lineRule="auto"/>
              <w:rPr>
                <w:rFonts w:ascii="Arial"/>
                <w:sz w:val="21"/>
              </w:rPr>
            </w:pPr>
            <w:r/>
          </w:p>
          <w:p>
            <w:pPr>
              <w:pStyle w:val="TableText"/>
              <w:ind w:left="653"/>
              <w:spacing w:before="49" w:line="183" w:lineRule="auto"/>
              <w:rPr/>
            </w:pPr>
            <w:r>
              <w:rPr/>
              <w:t>3</w:t>
            </w:r>
          </w:p>
        </w:tc>
        <w:tc>
          <w:tcPr>
            <w:tcW w:w="2297" w:type="dxa"/>
            <w:vAlign w:val="top"/>
          </w:tcPr>
          <w:p>
            <w:pPr>
              <w:pStyle w:val="TableText"/>
              <w:ind w:left="695"/>
              <w:spacing w:before="109" w:line="219" w:lineRule="auto"/>
              <w:rPr/>
            </w:pPr>
            <w:r>
              <w:rPr>
                <w:spacing w:val="-1"/>
              </w:rPr>
              <w:t>数据质量战略</w:t>
            </w:r>
          </w:p>
        </w:tc>
        <w:tc>
          <w:tcPr>
            <w:tcW w:w="1483" w:type="dxa"/>
            <w:vAlign w:val="top"/>
          </w:tcPr>
          <w:p>
            <w:pPr>
              <w:pStyle w:val="TableText"/>
              <w:ind w:left="698"/>
              <w:spacing w:before="147" w:line="183" w:lineRule="auto"/>
              <w:rPr/>
            </w:pPr>
            <w:r>
              <w:rPr/>
              <w:t>3</w:t>
            </w:r>
          </w:p>
        </w:tc>
      </w:tr>
      <w:tr>
        <w:trPr>
          <w:trHeight w:val="350" w:hRule="atLeast"/>
        </w:trPr>
        <w:tc>
          <w:tcPr>
            <w:tcW w:w="1034" w:type="dxa"/>
            <w:vAlign w:val="top"/>
          </w:tcPr>
          <w:p>
            <w:pPr>
              <w:pStyle w:val="TableText"/>
              <w:ind w:left="435"/>
              <w:spacing w:before="138" w:line="184" w:lineRule="auto"/>
              <w:rPr/>
            </w:pPr>
            <w:r>
              <w:rPr>
                <w:spacing w:val="-5"/>
              </w:rPr>
              <w:t>10</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695"/>
              <w:spacing w:before="100" w:line="219" w:lineRule="auto"/>
              <w:rPr/>
            </w:pPr>
            <w:r>
              <w:rPr>
                <w:spacing w:val="-1"/>
              </w:rPr>
              <w:t>数据概要分析</w:t>
            </w:r>
          </w:p>
        </w:tc>
        <w:tc>
          <w:tcPr>
            <w:tcW w:w="1483" w:type="dxa"/>
            <w:vAlign w:val="top"/>
          </w:tcPr>
          <w:p>
            <w:pPr>
              <w:pStyle w:val="TableText"/>
              <w:ind w:left="698"/>
              <w:spacing w:before="138" w:line="183" w:lineRule="auto"/>
              <w:rPr/>
            </w:pPr>
            <w:r>
              <w:rPr/>
              <w:t>4</w:t>
            </w:r>
          </w:p>
        </w:tc>
      </w:tr>
      <w:tr>
        <w:trPr>
          <w:trHeight w:val="340" w:hRule="atLeast"/>
        </w:trPr>
        <w:tc>
          <w:tcPr>
            <w:tcW w:w="1034" w:type="dxa"/>
            <w:vAlign w:val="top"/>
          </w:tcPr>
          <w:p>
            <w:pPr>
              <w:pStyle w:val="TableText"/>
              <w:ind w:left="435"/>
              <w:spacing w:before="138" w:line="184" w:lineRule="auto"/>
              <w:rPr/>
            </w:pPr>
            <w:r>
              <w:rPr>
                <w:spacing w:val="-5"/>
              </w:rPr>
              <w:t>11</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695"/>
              <w:spacing w:before="98" w:line="218" w:lineRule="auto"/>
              <w:rPr/>
            </w:pPr>
            <w:r>
              <w:rPr>
                <w:spacing w:val="-1"/>
              </w:rPr>
              <w:t>数据质量评估</w:t>
            </w:r>
          </w:p>
        </w:tc>
        <w:tc>
          <w:tcPr>
            <w:tcW w:w="1483" w:type="dxa"/>
            <w:vAlign w:val="top"/>
          </w:tcPr>
          <w:p>
            <w:pPr>
              <w:pStyle w:val="TableText"/>
              <w:ind w:left="698"/>
              <w:spacing w:before="138" w:line="183" w:lineRule="auto"/>
              <w:rPr/>
            </w:pPr>
            <w:r>
              <w:rPr/>
              <w:t>3</w:t>
            </w:r>
          </w:p>
        </w:tc>
      </w:tr>
      <w:tr>
        <w:trPr>
          <w:trHeight w:val="340" w:hRule="atLeast"/>
        </w:trPr>
        <w:tc>
          <w:tcPr>
            <w:tcW w:w="1034" w:type="dxa"/>
            <w:vAlign w:val="top"/>
          </w:tcPr>
          <w:p>
            <w:pPr>
              <w:pStyle w:val="TableText"/>
              <w:ind w:left="435"/>
              <w:spacing w:before="138" w:line="184" w:lineRule="auto"/>
              <w:rPr/>
            </w:pPr>
            <w:r>
              <w:rPr>
                <w:spacing w:val="-5"/>
              </w:rPr>
              <w:t>12</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845"/>
              <w:spacing w:before="100" w:line="219" w:lineRule="auto"/>
              <w:rPr/>
            </w:pPr>
            <w:r>
              <w:rPr>
                <w:spacing w:val="-2"/>
              </w:rPr>
              <w:t>数据清洗</w:t>
            </w:r>
          </w:p>
        </w:tc>
        <w:tc>
          <w:tcPr>
            <w:tcW w:w="1483" w:type="dxa"/>
            <w:vAlign w:val="top"/>
          </w:tcPr>
          <w:p>
            <w:pPr>
              <w:pStyle w:val="TableText"/>
              <w:ind w:left="698"/>
              <w:spacing w:before="138" w:line="183" w:lineRule="auto"/>
              <w:rPr/>
            </w:pPr>
            <w:r>
              <w:rPr/>
              <w:t>4</w:t>
            </w:r>
          </w:p>
        </w:tc>
      </w:tr>
      <w:tr>
        <w:trPr>
          <w:trHeight w:val="329" w:hRule="atLeast"/>
        </w:trPr>
        <w:tc>
          <w:tcPr>
            <w:tcW w:w="1034" w:type="dxa"/>
            <w:vAlign w:val="top"/>
          </w:tcPr>
          <w:p>
            <w:pPr>
              <w:pStyle w:val="TableText"/>
              <w:ind w:left="435"/>
              <w:spacing w:before="128" w:line="184" w:lineRule="auto"/>
              <w:rPr/>
            </w:pPr>
            <w:r>
              <w:rPr>
                <w:spacing w:val="-5"/>
              </w:rPr>
              <w:t>13</w:t>
            </w:r>
          </w:p>
        </w:tc>
        <w:tc>
          <w:tcPr>
            <w:tcW w:w="1408" w:type="dxa"/>
            <w:vAlign w:val="top"/>
            <w:vMerge w:val="restart"/>
            <w:tcBorders>
              <w:bottom w:val="nil"/>
            </w:tcBorders>
          </w:tcPr>
          <w:p>
            <w:pPr>
              <w:spacing w:line="389" w:lineRule="auto"/>
              <w:rPr>
                <w:rFonts w:ascii="Arial"/>
                <w:sz w:val="21"/>
              </w:rPr>
            </w:pPr>
            <w:r/>
          </w:p>
          <w:p>
            <w:pPr>
              <w:pStyle w:val="TableText"/>
              <w:ind w:left="391"/>
              <w:spacing w:before="48" w:line="219" w:lineRule="auto"/>
              <w:rPr/>
            </w:pPr>
            <w:r>
              <w:rPr>
                <w:spacing w:val="-2"/>
              </w:rPr>
              <w:t>数据操作</w:t>
            </w:r>
          </w:p>
        </w:tc>
        <w:tc>
          <w:tcPr>
            <w:tcW w:w="1408" w:type="dxa"/>
            <w:vAlign w:val="top"/>
            <w:vMerge w:val="restart"/>
            <w:tcBorders>
              <w:bottom w:val="nil"/>
            </w:tcBorders>
          </w:tcPr>
          <w:p>
            <w:pPr>
              <w:spacing w:line="427" w:lineRule="auto"/>
              <w:rPr>
                <w:rFonts w:ascii="Arial"/>
                <w:sz w:val="21"/>
              </w:rPr>
            </w:pPr>
            <w:r/>
          </w:p>
          <w:p>
            <w:pPr>
              <w:pStyle w:val="TableText"/>
              <w:ind w:left="653"/>
              <w:spacing w:before="49" w:line="183" w:lineRule="auto"/>
              <w:rPr/>
            </w:pPr>
            <w:r>
              <w:rPr/>
              <w:t>2</w:t>
            </w:r>
          </w:p>
        </w:tc>
        <w:tc>
          <w:tcPr>
            <w:tcW w:w="2297" w:type="dxa"/>
            <w:vAlign w:val="top"/>
          </w:tcPr>
          <w:p>
            <w:pPr>
              <w:pStyle w:val="TableText"/>
              <w:ind w:left="615"/>
              <w:spacing w:before="89" w:line="219" w:lineRule="auto"/>
              <w:rPr/>
            </w:pPr>
            <w:r>
              <w:rPr>
                <w:spacing w:val="-1"/>
              </w:rPr>
              <w:t>数据提供者管理</w:t>
            </w:r>
          </w:p>
        </w:tc>
        <w:tc>
          <w:tcPr>
            <w:tcW w:w="1483" w:type="dxa"/>
            <w:vAlign w:val="top"/>
          </w:tcPr>
          <w:p>
            <w:pPr>
              <w:pStyle w:val="TableText"/>
              <w:ind w:left="698"/>
              <w:spacing w:before="128" w:line="183" w:lineRule="auto"/>
              <w:rPr/>
            </w:pPr>
            <w:r>
              <w:rPr/>
              <w:t>4</w:t>
            </w:r>
          </w:p>
        </w:tc>
      </w:tr>
      <w:tr>
        <w:trPr>
          <w:trHeight w:val="350" w:hRule="atLeast"/>
        </w:trPr>
        <w:tc>
          <w:tcPr>
            <w:tcW w:w="1034" w:type="dxa"/>
            <w:vAlign w:val="top"/>
          </w:tcPr>
          <w:p>
            <w:pPr>
              <w:pStyle w:val="TableText"/>
              <w:ind w:left="435"/>
              <w:spacing w:before="139" w:line="184" w:lineRule="auto"/>
              <w:rPr/>
            </w:pPr>
            <w:r>
              <w:rPr>
                <w:spacing w:val="-5"/>
              </w:rPr>
              <w:t>14</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545"/>
              <w:spacing w:before="101" w:line="219" w:lineRule="auto"/>
              <w:rPr/>
            </w:pPr>
            <w:r>
              <w:rPr>
                <w:spacing w:val="-1"/>
              </w:rPr>
              <w:t>数据集成与互操作</w:t>
            </w:r>
          </w:p>
        </w:tc>
        <w:tc>
          <w:tcPr>
            <w:tcW w:w="1483" w:type="dxa"/>
            <w:vAlign w:val="top"/>
          </w:tcPr>
          <w:p>
            <w:pPr>
              <w:pStyle w:val="TableText"/>
              <w:ind w:left="698"/>
              <w:spacing w:before="139" w:line="183" w:lineRule="auto"/>
              <w:rPr/>
            </w:pPr>
            <w:r>
              <w:rPr/>
              <w:t>2</w:t>
            </w:r>
          </w:p>
        </w:tc>
      </w:tr>
      <w:tr>
        <w:trPr>
          <w:trHeight w:val="329" w:hRule="atLeast"/>
        </w:trPr>
        <w:tc>
          <w:tcPr>
            <w:tcW w:w="1034" w:type="dxa"/>
            <w:vAlign w:val="top"/>
          </w:tcPr>
          <w:p>
            <w:pPr>
              <w:pStyle w:val="TableText"/>
              <w:ind w:left="435"/>
              <w:spacing w:before="129" w:line="184" w:lineRule="auto"/>
              <w:rPr/>
            </w:pPr>
            <w:r>
              <w:rPr>
                <w:spacing w:val="-5"/>
              </w:rPr>
              <w:t>15</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545"/>
              <w:spacing w:before="91" w:line="219" w:lineRule="auto"/>
              <w:rPr/>
            </w:pPr>
            <w:r>
              <w:rPr>
                <w:spacing w:val="-1"/>
              </w:rPr>
              <w:t>数据生命周期管理</w:t>
            </w:r>
          </w:p>
        </w:tc>
        <w:tc>
          <w:tcPr>
            <w:tcW w:w="1483" w:type="dxa"/>
            <w:vAlign w:val="top"/>
          </w:tcPr>
          <w:p>
            <w:pPr>
              <w:pStyle w:val="TableText"/>
              <w:ind w:left="698"/>
              <w:spacing w:before="129" w:line="183" w:lineRule="auto"/>
              <w:rPr/>
            </w:pPr>
            <w:r>
              <w:rPr/>
              <w:t>3</w:t>
            </w:r>
          </w:p>
        </w:tc>
      </w:tr>
      <w:tr>
        <w:trPr>
          <w:trHeight w:val="349" w:hRule="atLeast"/>
        </w:trPr>
        <w:tc>
          <w:tcPr>
            <w:tcW w:w="1034" w:type="dxa"/>
            <w:vAlign w:val="top"/>
          </w:tcPr>
          <w:p>
            <w:pPr>
              <w:pStyle w:val="TableText"/>
              <w:ind w:left="435"/>
              <w:spacing w:before="140" w:line="184" w:lineRule="auto"/>
              <w:rPr/>
            </w:pPr>
            <w:r>
              <w:rPr>
                <w:spacing w:val="-5"/>
              </w:rPr>
              <w:t>16</w:t>
            </w:r>
          </w:p>
        </w:tc>
        <w:tc>
          <w:tcPr>
            <w:tcW w:w="1408" w:type="dxa"/>
            <w:vAlign w:val="top"/>
            <w:vMerge w:val="restart"/>
            <w:tcBorders>
              <w:bottom w:val="nil"/>
            </w:tcBorders>
          </w:tcPr>
          <w:p>
            <w:pPr>
              <w:spacing w:line="290" w:lineRule="auto"/>
              <w:rPr>
                <w:rFonts w:ascii="Arial"/>
                <w:sz w:val="21"/>
              </w:rPr>
            </w:pPr>
            <w:r/>
          </w:p>
          <w:p>
            <w:pPr>
              <w:spacing w:line="290" w:lineRule="auto"/>
              <w:rPr>
                <w:rFonts w:ascii="Arial"/>
                <w:sz w:val="21"/>
              </w:rPr>
            </w:pPr>
            <w:r/>
          </w:p>
          <w:p>
            <w:pPr>
              <w:pStyle w:val="TableText"/>
              <w:ind w:left="391"/>
              <w:spacing w:before="48" w:line="219" w:lineRule="auto"/>
              <w:rPr/>
            </w:pPr>
            <w:r>
              <w:rPr>
                <w:spacing w:val="-2"/>
              </w:rPr>
              <w:t>数据架构</w:t>
            </w:r>
          </w:p>
        </w:tc>
        <w:tc>
          <w:tcPr>
            <w:tcW w:w="1408" w:type="dxa"/>
            <w:vAlign w:val="top"/>
            <w:vMerge w:val="restart"/>
            <w:tcBorders>
              <w:bottom w:val="nil"/>
            </w:tcBorders>
          </w:tcPr>
          <w:p>
            <w:pPr>
              <w:spacing w:line="309" w:lineRule="auto"/>
              <w:rPr>
                <w:rFonts w:ascii="Arial"/>
                <w:sz w:val="21"/>
              </w:rPr>
            </w:pPr>
            <w:r/>
          </w:p>
          <w:p>
            <w:pPr>
              <w:spacing w:line="309" w:lineRule="auto"/>
              <w:rPr>
                <w:rFonts w:ascii="Arial"/>
                <w:sz w:val="21"/>
              </w:rPr>
            </w:pPr>
            <w:r/>
          </w:p>
          <w:p>
            <w:pPr>
              <w:pStyle w:val="TableText"/>
              <w:ind w:left="653"/>
              <w:spacing w:before="49" w:line="183" w:lineRule="auto"/>
              <w:rPr/>
            </w:pPr>
            <w:r>
              <w:rPr/>
              <w:t>3</w:t>
            </w:r>
          </w:p>
        </w:tc>
        <w:tc>
          <w:tcPr>
            <w:tcW w:w="2297" w:type="dxa"/>
            <w:vAlign w:val="top"/>
          </w:tcPr>
          <w:p>
            <w:pPr>
              <w:pStyle w:val="TableText"/>
              <w:ind w:left="695"/>
              <w:spacing w:before="102" w:line="219" w:lineRule="auto"/>
              <w:rPr/>
            </w:pPr>
            <w:r>
              <w:rPr>
                <w:spacing w:val="-1"/>
              </w:rPr>
              <w:t>数据架构方法</w:t>
            </w:r>
          </w:p>
        </w:tc>
        <w:tc>
          <w:tcPr>
            <w:tcW w:w="1483" w:type="dxa"/>
            <w:vAlign w:val="top"/>
          </w:tcPr>
          <w:p>
            <w:pPr>
              <w:pStyle w:val="TableText"/>
              <w:ind w:left="698"/>
              <w:spacing w:before="140" w:line="183" w:lineRule="auto"/>
              <w:rPr/>
            </w:pPr>
            <w:r>
              <w:rPr/>
              <w:t>4</w:t>
            </w:r>
          </w:p>
        </w:tc>
      </w:tr>
      <w:tr>
        <w:trPr>
          <w:trHeight w:val="350" w:hRule="atLeast"/>
        </w:trPr>
        <w:tc>
          <w:tcPr>
            <w:tcW w:w="1034" w:type="dxa"/>
            <w:vAlign w:val="top"/>
          </w:tcPr>
          <w:p>
            <w:pPr>
              <w:pStyle w:val="TableText"/>
              <w:ind w:left="435"/>
              <w:spacing w:before="141" w:line="184" w:lineRule="auto"/>
              <w:rPr/>
            </w:pPr>
            <w:r>
              <w:rPr>
                <w:spacing w:val="-5"/>
              </w:rPr>
              <w:t>17</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695"/>
              <w:spacing w:before="103" w:line="219" w:lineRule="auto"/>
              <w:rPr/>
            </w:pPr>
            <w:r>
              <w:rPr>
                <w:spacing w:val="-1"/>
              </w:rPr>
              <w:t>数据架构标准</w:t>
            </w:r>
          </w:p>
        </w:tc>
        <w:tc>
          <w:tcPr>
            <w:tcW w:w="1483" w:type="dxa"/>
            <w:vAlign w:val="top"/>
          </w:tcPr>
          <w:p>
            <w:pPr>
              <w:pStyle w:val="TableText"/>
              <w:ind w:left="698"/>
              <w:spacing w:before="141" w:line="183" w:lineRule="auto"/>
              <w:rPr/>
            </w:pPr>
            <w:r>
              <w:rPr/>
              <w:t>3</w:t>
            </w:r>
          </w:p>
        </w:tc>
      </w:tr>
      <w:tr>
        <w:trPr>
          <w:trHeight w:val="340" w:hRule="atLeast"/>
        </w:trPr>
        <w:tc>
          <w:tcPr>
            <w:tcW w:w="1034" w:type="dxa"/>
            <w:vAlign w:val="top"/>
          </w:tcPr>
          <w:p>
            <w:pPr>
              <w:pStyle w:val="TableText"/>
              <w:ind w:left="435"/>
              <w:spacing w:before="141" w:line="184" w:lineRule="auto"/>
              <w:rPr/>
            </w:pPr>
            <w:r>
              <w:rPr>
                <w:spacing w:val="-5"/>
              </w:rPr>
              <w:t>18</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695"/>
              <w:spacing w:before="103" w:line="219" w:lineRule="auto"/>
              <w:rPr/>
            </w:pPr>
            <w:r>
              <w:rPr>
                <w:spacing w:val="-2"/>
              </w:rPr>
              <w:t>历史数据管理</w:t>
            </w:r>
          </w:p>
        </w:tc>
        <w:tc>
          <w:tcPr>
            <w:tcW w:w="1483" w:type="dxa"/>
            <w:vAlign w:val="top"/>
          </w:tcPr>
          <w:p>
            <w:pPr>
              <w:pStyle w:val="TableText"/>
              <w:ind w:left="698"/>
              <w:spacing w:before="141" w:line="183" w:lineRule="auto"/>
              <w:rPr/>
            </w:pPr>
            <w:r>
              <w:rPr/>
              <w:t>3</w:t>
            </w:r>
          </w:p>
        </w:tc>
      </w:tr>
      <w:tr>
        <w:trPr>
          <w:trHeight w:val="340" w:hRule="atLeast"/>
        </w:trPr>
        <w:tc>
          <w:tcPr>
            <w:tcW w:w="1034" w:type="dxa"/>
            <w:vAlign w:val="top"/>
          </w:tcPr>
          <w:p>
            <w:pPr>
              <w:pStyle w:val="TableText"/>
              <w:ind w:left="435"/>
              <w:spacing w:before="141" w:line="184" w:lineRule="auto"/>
              <w:rPr/>
            </w:pPr>
            <w:r>
              <w:rPr>
                <w:spacing w:val="-5"/>
              </w:rPr>
              <w:t>19</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695"/>
              <w:spacing w:before="103" w:line="219" w:lineRule="auto"/>
              <w:rPr/>
            </w:pPr>
            <w:r>
              <w:rPr>
                <w:spacing w:val="2"/>
              </w:rPr>
              <w:t>数据管理平台</w:t>
            </w:r>
          </w:p>
        </w:tc>
        <w:tc>
          <w:tcPr>
            <w:tcW w:w="1483" w:type="dxa"/>
            <w:vAlign w:val="top"/>
          </w:tcPr>
          <w:p>
            <w:pPr>
              <w:pStyle w:val="TableText"/>
              <w:ind w:left="698"/>
              <w:spacing w:before="141" w:line="183" w:lineRule="auto"/>
              <w:rPr/>
            </w:pPr>
            <w:r>
              <w:rPr/>
              <w:t>4</w:t>
            </w:r>
          </w:p>
        </w:tc>
      </w:tr>
      <w:tr>
        <w:trPr>
          <w:trHeight w:val="340" w:hRule="atLeast"/>
        </w:trPr>
        <w:tc>
          <w:tcPr>
            <w:tcW w:w="1034" w:type="dxa"/>
            <w:vAlign w:val="top"/>
          </w:tcPr>
          <w:p>
            <w:pPr>
              <w:pStyle w:val="TableText"/>
              <w:ind w:left="435"/>
              <w:spacing w:before="141" w:line="183" w:lineRule="auto"/>
              <w:rPr/>
            </w:pPr>
            <w:r>
              <w:rPr>
                <w:spacing w:val="-2"/>
              </w:rPr>
              <w:t>20</w:t>
            </w:r>
          </w:p>
        </w:tc>
        <w:tc>
          <w:tcPr>
            <w:tcW w:w="1408" w:type="dxa"/>
            <w:vAlign w:val="top"/>
            <w:vMerge w:val="restart"/>
            <w:tcBorders>
              <w:bottom w:val="nil"/>
            </w:tcBorders>
          </w:tcPr>
          <w:p>
            <w:pPr>
              <w:spacing w:line="290" w:lineRule="auto"/>
              <w:rPr>
                <w:rFonts w:ascii="Arial"/>
                <w:sz w:val="21"/>
              </w:rPr>
            </w:pPr>
            <w:r/>
          </w:p>
          <w:p>
            <w:pPr>
              <w:spacing w:line="291" w:lineRule="auto"/>
              <w:rPr>
                <w:rFonts w:ascii="Arial"/>
                <w:sz w:val="21"/>
              </w:rPr>
            </w:pPr>
            <w:r/>
          </w:p>
          <w:p>
            <w:pPr>
              <w:pStyle w:val="TableText"/>
              <w:ind w:left="321"/>
              <w:spacing w:before="49" w:line="220" w:lineRule="auto"/>
              <w:rPr/>
            </w:pPr>
            <w:r>
              <w:rPr>
                <w:spacing w:val="-2"/>
              </w:rPr>
              <w:t>安全与隐私</w:t>
            </w:r>
          </w:p>
        </w:tc>
        <w:tc>
          <w:tcPr>
            <w:tcW w:w="1408" w:type="dxa"/>
            <w:vAlign w:val="top"/>
            <w:vMerge w:val="restart"/>
            <w:tcBorders>
              <w:bottom w:val="nil"/>
            </w:tcBorders>
          </w:tcPr>
          <w:p>
            <w:pPr>
              <w:spacing w:line="309" w:lineRule="auto"/>
              <w:rPr>
                <w:rFonts w:ascii="Arial"/>
                <w:sz w:val="21"/>
              </w:rPr>
            </w:pPr>
            <w:r/>
          </w:p>
          <w:p>
            <w:pPr>
              <w:spacing w:line="310" w:lineRule="auto"/>
              <w:rPr>
                <w:rFonts w:ascii="Arial"/>
                <w:sz w:val="21"/>
              </w:rPr>
            </w:pPr>
            <w:r/>
          </w:p>
          <w:p>
            <w:pPr>
              <w:pStyle w:val="TableText"/>
              <w:ind w:left="653"/>
              <w:spacing w:before="49" w:line="183" w:lineRule="auto"/>
              <w:rPr/>
            </w:pPr>
            <w:r>
              <w:rPr/>
              <w:t>3</w:t>
            </w:r>
          </w:p>
        </w:tc>
        <w:tc>
          <w:tcPr>
            <w:tcW w:w="2297" w:type="dxa"/>
            <w:vAlign w:val="top"/>
          </w:tcPr>
          <w:p>
            <w:pPr>
              <w:pStyle w:val="TableText"/>
              <w:ind w:left="845"/>
              <w:spacing w:before="103" w:line="219" w:lineRule="auto"/>
              <w:rPr/>
            </w:pPr>
            <w:r>
              <w:rPr>
                <w:spacing w:val="-2"/>
              </w:rPr>
              <w:t>风险管理</w:t>
            </w:r>
          </w:p>
        </w:tc>
        <w:tc>
          <w:tcPr>
            <w:tcW w:w="1483" w:type="dxa"/>
            <w:vAlign w:val="top"/>
          </w:tcPr>
          <w:p>
            <w:pPr>
              <w:pStyle w:val="TableText"/>
              <w:ind w:left="698"/>
              <w:spacing w:before="141" w:line="183" w:lineRule="auto"/>
              <w:rPr/>
            </w:pPr>
            <w:r>
              <w:rPr/>
              <w:t>4</w:t>
            </w:r>
          </w:p>
        </w:tc>
      </w:tr>
      <w:tr>
        <w:trPr>
          <w:trHeight w:val="329" w:hRule="atLeast"/>
        </w:trPr>
        <w:tc>
          <w:tcPr>
            <w:tcW w:w="1034" w:type="dxa"/>
            <w:vAlign w:val="top"/>
          </w:tcPr>
          <w:p>
            <w:pPr>
              <w:pStyle w:val="TableText"/>
              <w:ind w:left="435"/>
              <w:spacing w:before="131" w:line="184" w:lineRule="auto"/>
              <w:rPr/>
            </w:pPr>
            <w:r>
              <w:rPr>
                <w:spacing w:val="-2"/>
              </w:rPr>
              <w:t>21</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845"/>
              <w:spacing w:before="93" w:line="219" w:lineRule="auto"/>
              <w:rPr/>
            </w:pPr>
            <w:r>
              <w:rPr>
                <w:spacing w:val="-2"/>
              </w:rPr>
              <w:t>数据安全</w:t>
            </w:r>
          </w:p>
        </w:tc>
        <w:tc>
          <w:tcPr>
            <w:tcW w:w="1483" w:type="dxa"/>
            <w:vAlign w:val="top"/>
          </w:tcPr>
          <w:p>
            <w:pPr>
              <w:pStyle w:val="TableText"/>
              <w:ind w:left="698"/>
              <w:spacing w:before="131" w:line="183" w:lineRule="auto"/>
              <w:rPr/>
            </w:pPr>
            <w:r>
              <w:rPr/>
              <w:t>4</w:t>
            </w:r>
          </w:p>
        </w:tc>
      </w:tr>
      <w:tr>
        <w:trPr>
          <w:trHeight w:val="359" w:hRule="atLeast"/>
        </w:trPr>
        <w:tc>
          <w:tcPr>
            <w:tcW w:w="1034" w:type="dxa"/>
            <w:vAlign w:val="top"/>
          </w:tcPr>
          <w:p>
            <w:pPr>
              <w:pStyle w:val="TableText"/>
              <w:ind w:left="435"/>
              <w:spacing w:before="152" w:line="183" w:lineRule="auto"/>
              <w:rPr/>
            </w:pPr>
            <w:r>
              <w:rPr>
                <w:spacing w:val="-2"/>
              </w:rPr>
              <w:t>22</w:t>
            </w:r>
          </w:p>
        </w:tc>
        <w:tc>
          <w:tcPr>
            <w:tcW w:w="1408" w:type="dxa"/>
            <w:vAlign w:val="top"/>
            <w:vMerge w:val="continue"/>
            <w:tcBorders>
              <w:top w:val="nil"/>
              <w:bottom w:val="nil"/>
            </w:tcBorders>
          </w:tcPr>
          <w:p>
            <w:pPr>
              <w:rPr>
                <w:rFonts w:ascii="Arial"/>
                <w:sz w:val="21"/>
              </w:rPr>
            </w:pPr>
            <w:r/>
          </w:p>
        </w:tc>
        <w:tc>
          <w:tcPr>
            <w:tcW w:w="1408" w:type="dxa"/>
            <w:vAlign w:val="top"/>
            <w:vMerge w:val="continue"/>
            <w:tcBorders>
              <w:top w:val="nil"/>
              <w:bottom w:val="nil"/>
            </w:tcBorders>
          </w:tcPr>
          <w:p>
            <w:pPr>
              <w:rPr>
                <w:rFonts w:ascii="Arial"/>
                <w:sz w:val="21"/>
              </w:rPr>
            </w:pPr>
            <w:r/>
          </w:p>
        </w:tc>
        <w:tc>
          <w:tcPr>
            <w:tcW w:w="2297" w:type="dxa"/>
            <w:vAlign w:val="top"/>
          </w:tcPr>
          <w:p>
            <w:pPr>
              <w:pStyle w:val="TableText"/>
              <w:ind w:left="845"/>
              <w:spacing w:before="114" w:line="220" w:lineRule="auto"/>
              <w:rPr/>
            </w:pPr>
            <w:r>
              <w:rPr>
                <w:spacing w:val="2"/>
              </w:rPr>
              <w:t>隐私保护</w:t>
            </w:r>
          </w:p>
        </w:tc>
        <w:tc>
          <w:tcPr>
            <w:tcW w:w="1483" w:type="dxa"/>
            <w:vAlign w:val="top"/>
          </w:tcPr>
          <w:p>
            <w:pPr>
              <w:pStyle w:val="TableText"/>
              <w:ind w:left="698"/>
              <w:spacing w:before="152" w:line="183" w:lineRule="auto"/>
              <w:rPr/>
            </w:pPr>
            <w:r>
              <w:rPr/>
              <w:t>3</w:t>
            </w:r>
          </w:p>
        </w:tc>
      </w:tr>
      <w:tr>
        <w:trPr>
          <w:trHeight w:val="344" w:hRule="atLeast"/>
        </w:trPr>
        <w:tc>
          <w:tcPr>
            <w:tcW w:w="1034" w:type="dxa"/>
            <w:vAlign w:val="top"/>
          </w:tcPr>
          <w:p>
            <w:pPr>
              <w:pStyle w:val="TableText"/>
              <w:ind w:left="435"/>
              <w:spacing w:before="143" w:line="183" w:lineRule="auto"/>
              <w:rPr/>
            </w:pPr>
            <w:r>
              <w:rPr>
                <w:spacing w:val="-2"/>
              </w:rPr>
              <w:t>23</w:t>
            </w:r>
          </w:p>
        </w:tc>
        <w:tc>
          <w:tcPr>
            <w:tcW w:w="1408" w:type="dxa"/>
            <w:vAlign w:val="top"/>
            <w:vMerge w:val="continue"/>
            <w:tcBorders>
              <w:top w:val="nil"/>
            </w:tcBorders>
          </w:tcPr>
          <w:p>
            <w:pPr>
              <w:rPr>
                <w:rFonts w:ascii="Arial"/>
                <w:sz w:val="21"/>
              </w:rPr>
            </w:pPr>
            <w:r/>
          </w:p>
        </w:tc>
        <w:tc>
          <w:tcPr>
            <w:tcW w:w="1408" w:type="dxa"/>
            <w:vAlign w:val="top"/>
            <w:vMerge w:val="continue"/>
            <w:tcBorders>
              <w:top w:val="nil"/>
            </w:tcBorders>
          </w:tcPr>
          <w:p>
            <w:pPr>
              <w:rPr>
                <w:rFonts w:ascii="Arial"/>
                <w:sz w:val="21"/>
              </w:rPr>
            </w:pPr>
            <w:r/>
          </w:p>
        </w:tc>
        <w:tc>
          <w:tcPr>
            <w:tcW w:w="2297" w:type="dxa"/>
            <w:vAlign w:val="top"/>
          </w:tcPr>
          <w:p>
            <w:pPr>
              <w:pStyle w:val="TableText"/>
              <w:ind w:left="845"/>
              <w:spacing w:before="105" w:line="219" w:lineRule="auto"/>
              <w:rPr/>
            </w:pPr>
            <w:r>
              <w:rPr>
                <w:spacing w:val="-2"/>
              </w:rPr>
              <w:t>合规管理</w:t>
            </w:r>
          </w:p>
        </w:tc>
        <w:tc>
          <w:tcPr>
            <w:tcW w:w="1483" w:type="dxa"/>
            <w:vAlign w:val="top"/>
          </w:tcPr>
          <w:p>
            <w:pPr>
              <w:pStyle w:val="TableText"/>
              <w:ind w:left="698"/>
              <w:spacing w:before="144" w:line="182" w:lineRule="auto"/>
              <w:rPr/>
            </w:pPr>
            <w:r>
              <w:rPr/>
              <w:t>5</w:t>
            </w:r>
          </w:p>
        </w:tc>
      </w:tr>
    </w:tbl>
    <w:p>
      <w:pPr>
        <w:pStyle w:val="BodyText"/>
        <w:rPr/>
      </w:pPr>
      <w:r/>
    </w:p>
    <w:p>
      <w:pPr>
        <w:sectPr>
          <w:footerReference w:type="default" r:id="rId126"/>
          <w:pgSz w:w="8870" w:h="13400"/>
          <w:pgMar w:top="400" w:right="582" w:bottom="608" w:left="355" w:header="0" w:footer="399" w:gutter="0"/>
        </w:sectPr>
        <w:rPr/>
      </w:pPr>
    </w:p>
    <w:p>
      <w:pPr>
        <w:ind w:left="262"/>
        <w:spacing w:before="226" w:line="219" w:lineRule="auto"/>
        <w:rPr>
          <w:rFonts w:ascii="SimSun" w:hAnsi="SimSun" w:eastAsia="SimSun" w:cs="SimSun"/>
          <w:sz w:val="22"/>
          <w:szCs w:val="22"/>
        </w:rPr>
      </w:pPr>
      <w:r>
        <w:drawing>
          <wp:anchor distT="0" distB="0" distL="0" distR="0" simplePos="0" relativeHeight="252701696" behindDoc="0" locked="0" layoutInCell="0" allowOverlap="1">
            <wp:simplePos x="0" y="0"/>
            <wp:positionH relativeFrom="page">
              <wp:posOffset>342903</wp:posOffset>
            </wp:positionH>
            <wp:positionV relativeFrom="page">
              <wp:posOffset>355591</wp:posOffset>
            </wp:positionV>
            <wp:extent cx="6365" cy="228637"/>
            <wp:effectExtent l="0" t="0" r="0" b="0"/>
            <wp:wrapNone/>
            <wp:docPr id="104" name="IM 104"/>
            <wp:cNvGraphicFramePr/>
            <a:graphic>
              <a:graphicData uri="http://schemas.openxmlformats.org/drawingml/2006/picture">
                <pic:pic>
                  <pic:nvPicPr>
                    <pic:cNvPr id="104" name="IM 104"/>
                    <pic:cNvPicPr/>
                  </pic:nvPicPr>
                  <pic:blipFill>
                    <a:blip r:embed="rId128"/>
                    <a:stretch>
                      <a:fillRect/>
                    </a:stretch>
                  </pic:blipFill>
                  <pic:spPr>
                    <a:xfrm rot="0">
                      <a:off x="0" y="0"/>
                      <a:ext cx="6365" cy="228637"/>
                    </a:xfrm>
                    <a:prstGeom prst="rect">
                      <a:avLst/>
                    </a:prstGeom>
                  </pic:spPr>
                </pic:pic>
              </a:graphicData>
            </a:graphic>
          </wp:anchor>
        </w:drawing>
      </w:r>
      <w:r>
        <w:rPr>
          <w:rFonts w:ascii="SimSun" w:hAnsi="SimSun" w:eastAsia="SimSun" w:cs="SimSun"/>
          <w:sz w:val="22"/>
          <w:szCs w:val="22"/>
          <w:b/>
          <w:bCs/>
          <w:spacing w:val="-16"/>
        </w:rPr>
        <w:t>■云端数据治理</w:t>
      </w:r>
    </w:p>
    <w:p>
      <w:pPr>
        <w:pStyle w:val="BodyText"/>
        <w:spacing w:line="364" w:lineRule="auto"/>
        <w:rPr/>
      </w:pPr>
      <w:r/>
    </w:p>
    <w:p>
      <w:pPr>
        <w:ind w:left="3269"/>
        <w:spacing w:before="52" w:line="189" w:lineRule="auto"/>
        <w:rPr>
          <w:rFonts w:ascii="SimSun" w:hAnsi="SimSun" w:eastAsia="SimSun" w:cs="SimSun"/>
          <w:sz w:val="16"/>
          <w:szCs w:val="16"/>
        </w:rPr>
      </w:pPr>
      <w:r>
        <w:rPr>
          <w:rFonts w:ascii="SimSun" w:hAnsi="SimSun" w:eastAsia="SimSun" w:cs="SimSun"/>
          <w:sz w:val="16"/>
          <w:szCs w:val="16"/>
          <w:spacing w:val="-8"/>
        </w:rPr>
        <w:t>云端数据治理能力成熟度级别</w:t>
      </w:r>
    </w:p>
    <w:p>
      <w:pPr>
        <w:ind w:firstLine="759"/>
        <w:spacing w:line="2710" w:lineRule="exact"/>
        <w:rPr/>
      </w:pPr>
      <w:r>
        <w:rPr>
          <w:position w:val="-54"/>
        </w:rPr>
        <w:drawing>
          <wp:inline distT="0" distB="0" distL="0" distR="0">
            <wp:extent cx="4222760" cy="1720859"/>
            <wp:effectExtent l="0" t="0" r="0" b="0"/>
            <wp:docPr id="106" name="IM 106"/>
            <wp:cNvGraphicFramePr/>
            <a:graphic>
              <a:graphicData uri="http://schemas.openxmlformats.org/drawingml/2006/picture">
                <pic:pic>
                  <pic:nvPicPr>
                    <pic:cNvPr id="106" name="IM 106"/>
                    <pic:cNvPicPr/>
                  </pic:nvPicPr>
                  <pic:blipFill>
                    <a:blip r:embed="rId129"/>
                    <a:stretch>
                      <a:fillRect/>
                    </a:stretch>
                  </pic:blipFill>
                  <pic:spPr>
                    <a:xfrm rot="0">
                      <a:off x="0" y="0"/>
                      <a:ext cx="4222760" cy="1720859"/>
                    </a:xfrm>
                    <a:prstGeom prst="rect">
                      <a:avLst/>
                    </a:prstGeom>
                  </pic:spPr>
                </pic:pic>
              </a:graphicData>
            </a:graphic>
          </wp:inline>
        </w:drawing>
      </w:r>
    </w:p>
    <w:p>
      <w:pPr>
        <w:ind w:left="2722"/>
        <w:spacing w:before="203" w:line="221" w:lineRule="auto"/>
        <w:rPr>
          <w:rFonts w:ascii="SimHei" w:hAnsi="SimHei" w:eastAsia="SimHei" w:cs="SimHei"/>
          <w:sz w:val="19"/>
          <w:szCs w:val="19"/>
        </w:rPr>
      </w:pPr>
      <w:r>
        <w:rPr>
          <w:rFonts w:ascii="SimHei" w:hAnsi="SimHei" w:eastAsia="SimHei" w:cs="SimHei"/>
          <w:sz w:val="19"/>
          <w:szCs w:val="19"/>
          <w:b/>
          <w:bCs/>
          <w:spacing w:val="-8"/>
        </w:rPr>
        <w:t>图3-3</w:t>
      </w:r>
      <w:r>
        <w:rPr>
          <w:rFonts w:ascii="SimHei" w:hAnsi="SimHei" w:eastAsia="SimHei" w:cs="SimHei"/>
          <w:sz w:val="19"/>
          <w:szCs w:val="19"/>
          <w:spacing w:val="75"/>
        </w:rPr>
        <w:t xml:space="preserve"> </w:t>
      </w:r>
      <w:r>
        <w:rPr>
          <w:rFonts w:ascii="SimHei" w:hAnsi="SimHei" w:eastAsia="SimHei" w:cs="SimHei"/>
          <w:sz w:val="19"/>
          <w:szCs w:val="19"/>
          <w:b/>
          <w:bCs/>
          <w:spacing w:val="-8"/>
        </w:rPr>
        <w:t>云端数据治理成熟度柱状图</w:t>
      </w:r>
    </w:p>
    <w:p>
      <w:pPr>
        <w:ind w:firstLine="1099"/>
        <w:spacing w:before="119" w:line="4430" w:lineRule="exact"/>
        <w:rPr/>
      </w:pPr>
      <w:r>
        <w:rPr>
          <w:position w:val="-88"/>
        </w:rPr>
        <w:drawing>
          <wp:inline distT="0" distB="0" distL="0" distR="0">
            <wp:extent cx="3790920" cy="2812990"/>
            <wp:effectExtent l="0" t="0" r="0" b="0"/>
            <wp:docPr id="108" name="IM 108"/>
            <wp:cNvGraphicFramePr/>
            <a:graphic>
              <a:graphicData uri="http://schemas.openxmlformats.org/drawingml/2006/picture">
                <pic:pic>
                  <pic:nvPicPr>
                    <pic:cNvPr id="108" name="IM 108"/>
                    <pic:cNvPicPr/>
                  </pic:nvPicPr>
                  <pic:blipFill>
                    <a:blip r:embed="rId130"/>
                    <a:stretch>
                      <a:fillRect/>
                    </a:stretch>
                  </pic:blipFill>
                  <pic:spPr>
                    <a:xfrm rot="0">
                      <a:off x="0" y="0"/>
                      <a:ext cx="3790920" cy="2812990"/>
                    </a:xfrm>
                    <a:prstGeom prst="rect">
                      <a:avLst/>
                    </a:prstGeom>
                  </pic:spPr>
                </pic:pic>
              </a:graphicData>
            </a:graphic>
          </wp:inline>
        </w:drawing>
      </w:r>
    </w:p>
    <w:p>
      <w:pPr>
        <w:ind w:left="2752"/>
        <w:spacing w:before="213" w:line="221" w:lineRule="auto"/>
        <w:rPr>
          <w:rFonts w:ascii="SimHei" w:hAnsi="SimHei" w:eastAsia="SimHei" w:cs="SimHei"/>
          <w:sz w:val="19"/>
          <w:szCs w:val="19"/>
        </w:rPr>
      </w:pPr>
      <w:r>
        <w:rPr>
          <w:rFonts w:ascii="SimHei" w:hAnsi="SimHei" w:eastAsia="SimHei" w:cs="SimHei"/>
          <w:sz w:val="19"/>
          <w:szCs w:val="19"/>
          <w:b/>
          <w:bCs/>
          <w:spacing w:val="-9"/>
        </w:rPr>
        <w:t>图3-4</w:t>
      </w:r>
      <w:r>
        <w:rPr>
          <w:rFonts w:ascii="SimHei" w:hAnsi="SimHei" w:eastAsia="SimHei" w:cs="SimHei"/>
          <w:sz w:val="19"/>
          <w:szCs w:val="19"/>
          <w:spacing w:val="90"/>
        </w:rPr>
        <w:t xml:space="preserve"> </w:t>
      </w:r>
      <w:r>
        <w:rPr>
          <w:rFonts w:ascii="SimHei" w:hAnsi="SimHei" w:eastAsia="SimHei" w:cs="SimHei"/>
          <w:sz w:val="19"/>
          <w:szCs w:val="19"/>
          <w:b/>
          <w:bCs/>
          <w:spacing w:val="-9"/>
        </w:rPr>
        <w:t>云端数据治理成熟度雷达图</w:t>
      </w:r>
    </w:p>
    <w:p>
      <w:pPr>
        <w:spacing w:line="221" w:lineRule="auto"/>
        <w:sectPr>
          <w:footerReference w:type="default" r:id="rId127"/>
          <w:pgSz w:w="8870" w:h="13400"/>
          <w:pgMar w:top="400" w:right="1059" w:bottom="524" w:left="400" w:header="0" w:footer="306" w:gutter="0"/>
        </w:sectPr>
        <w:rPr>
          <w:rFonts w:ascii="SimHei" w:hAnsi="SimHei" w:eastAsia="SimHei" w:cs="SimHei"/>
          <w:sz w:val="19"/>
          <w:szCs w:val="19"/>
        </w:rPr>
      </w:pPr>
    </w:p>
    <w:p>
      <w:pPr>
        <w:pStyle w:val="BodyText"/>
        <w:spacing w:line="260" w:lineRule="auto"/>
        <w:rPr/>
      </w:pPr>
      <w:r>
        <w:drawing>
          <wp:anchor distT="0" distB="0" distL="0" distR="0" simplePos="0" relativeHeight="252724224" behindDoc="0" locked="0" layoutInCell="0" allowOverlap="1">
            <wp:simplePos x="0" y="0"/>
            <wp:positionH relativeFrom="page">
              <wp:posOffset>1003308</wp:posOffset>
            </wp:positionH>
            <wp:positionV relativeFrom="page">
              <wp:posOffset>3562351</wp:posOffset>
            </wp:positionV>
            <wp:extent cx="3225816" cy="6350"/>
            <wp:effectExtent l="0" t="0" r="0" b="0"/>
            <wp:wrapNone/>
            <wp:docPr id="110" name="IM 110"/>
            <wp:cNvGraphicFramePr/>
            <a:graphic>
              <a:graphicData uri="http://schemas.openxmlformats.org/drawingml/2006/picture">
                <pic:pic>
                  <pic:nvPicPr>
                    <pic:cNvPr id="110" name="IM 110"/>
                    <pic:cNvPicPr/>
                  </pic:nvPicPr>
                  <pic:blipFill>
                    <a:blip r:embed="rId131"/>
                    <a:stretch>
                      <a:fillRect/>
                    </a:stretch>
                  </pic:blipFill>
                  <pic:spPr>
                    <a:xfrm rot="0">
                      <a:off x="0" y="0"/>
                      <a:ext cx="3225816" cy="6350"/>
                    </a:xfrm>
                    <a:prstGeom prst="rect">
                      <a:avLst/>
                    </a:prstGeom>
                  </pic:spPr>
                </pic:pic>
              </a:graphicData>
            </a:graphic>
          </wp:anchor>
        </w:drawing>
      </w:r>
      <w:r>
        <w:drawing>
          <wp:anchor distT="0" distB="0" distL="0" distR="0" simplePos="0" relativeHeight="252725248" behindDoc="0" locked="0" layoutInCell="0" allowOverlap="1">
            <wp:simplePos x="0" y="0"/>
            <wp:positionH relativeFrom="page">
              <wp:posOffset>1003308</wp:posOffset>
            </wp:positionH>
            <wp:positionV relativeFrom="page">
              <wp:posOffset>4070338</wp:posOffset>
            </wp:positionV>
            <wp:extent cx="3225816" cy="6350"/>
            <wp:effectExtent l="0" t="0" r="0" b="0"/>
            <wp:wrapNone/>
            <wp:docPr id="112" name="IM 112"/>
            <wp:cNvGraphicFramePr/>
            <a:graphic>
              <a:graphicData uri="http://schemas.openxmlformats.org/drawingml/2006/picture">
                <pic:pic>
                  <pic:nvPicPr>
                    <pic:cNvPr id="112" name="IM 112"/>
                    <pic:cNvPicPr/>
                  </pic:nvPicPr>
                  <pic:blipFill>
                    <a:blip r:embed="rId132"/>
                    <a:stretch>
                      <a:fillRect/>
                    </a:stretch>
                  </pic:blipFill>
                  <pic:spPr>
                    <a:xfrm rot="0">
                      <a:off x="0" y="0"/>
                      <a:ext cx="3225816" cy="6350"/>
                    </a:xfrm>
                    <a:prstGeom prst="rect">
                      <a:avLst/>
                    </a:prstGeom>
                  </pic:spPr>
                </pic:pic>
              </a:graphicData>
            </a:graphic>
          </wp:anchor>
        </w:drawing>
      </w: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firstLine="5329"/>
        <w:spacing w:line="710" w:lineRule="exact"/>
        <w:rPr/>
      </w:pPr>
      <w:r>
        <w:rPr>
          <w:position w:val="-14"/>
        </w:rPr>
        <w:drawing>
          <wp:inline distT="0" distB="0" distL="0" distR="0">
            <wp:extent cx="908006" cy="450892"/>
            <wp:effectExtent l="0" t="0" r="0" b="0"/>
            <wp:docPr id="114" name="IM 114"/>
            <wp:cNvGraphicFramePr/>
            <a:graphic>
              <a:graphicData uri="http://schemas.openxmlformats.org/drawingml/2006/picture">
                <pic:pic>
                  <pic:nvPicPr>
                    <pic:cNvPr id="114" name="IM 114"/>
                    <pic:cNvPicPr/>
                  </pic:nvPicPr>
                  <pic:blipFill>
                    <a:blip r:embed="rId133"/>
                    <a:stretch>
                      <a:fillRect/>
                    </a:stretch>
                  </pic:blipFill>
                  <pic:spPr>
                    <a:xfrm rot="0">
                      <a:off x="0" y="0"/>
                      <a:ext cx="908006" cy="450892"/>
                    </a:xfrm>
                    <a:prstGeom prst="rect">
                      <a:avLst/>
                    </a:prstGeom>
                  </pic:spPr>
                </pic:pic>
              </a:graphicData>
            </a:graphic>
          </wp:inline>
        </w:drawing>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814"/>
        <w:spacing w:before="108" w:line="221" w:lineRule="auto"/>
        <w:rPr>
          <w:rFonts w:ascii="SimHei" w:hAnsi="SimHei" w:eastAsia="SimHei" w:cs="SimHei"/>
          <w:sz w:val="33"/>
          <w:szCs w:val="33"/>
        </w:rPr>
      </w:pPr>
      <w:r>
        <w:rPr>
          <w:rFonts w:ascii="SimHei" w:hAnsi="SimHei" w:eastAsia="SimHei" w:cs="SimHei"/>
          <w:sz w:val="33"/>
          <w:szCs w:val="33"/>
          <w:b/>
          <w:bCs/>
          <w:spacing w:val="-14"/>
        </w:rPr>
        <w:t>云端数据治理成熟度模型解读</w:t>
      </w:r>
    </w:p>
    <w:p>
      <w:pPr>
        <w:spacing w:line="221" w:lineRule="auto"/>
        <w:sectPr>
          <w:footerReference w:type="default" r:id="rId14"/>
          <w:pgSz w:w="8870" w:h="13400"/>
          <w:pgMar w:top="400" w:right="780" w:bottom="400" w:left="1330" w:header="0" w:footer="0" w:gutter="0"/>
        </w:sectPr>
        <w:rPr>
          <w:rFonts w:ascii="SimHei" w:hAnsi="SimHei" w:eastAsia="SimHei" w:cs="SimHei"/>
          <w:sz w:val="33"/>
          <w:szCs w:val="33"/>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075"/>
        <w:spacing w:before="133" w:line="221" w:lineRule="auto"/>
        <w:rPr>
          <w:rFonts w:ascii="SimHei" w:hAnsi="SimHei" w:eastAsia="SimHei" w:cs="SimHei"/>
          <w:sz w:val="41"/>
          <w:szCs w:val="41"/>
        </w:rPr>
      </w:pPr>
      <w:bookmarkStart w:name="bookmark36" w:id="31"/>
      <w:bookmarkEnd w:id="31"/>
      <w:r>
        <w:rPr>
          <w:rFonts w:ascii="SimHei" w:hAnsi="SimHei" w:eastAsia="SimHei" w:cs="SimHei"/>
          <w:sz w:val="41"/>
          <w:szCs w:val="41"/>
          <w:b/>
          <w:bCs/>
          <w:spacing w:val="-12"/>
        </w:rPr>
        <w:t>第</w:t>
      </w:r>
      <w:r>
        <w:rPr>
          <w:rFonts w:ascii="SimHei" w:hAnsi="SimHei" w:eastAsia="SimHei" w:cs="SimHei"/>
          <w:sz w:val="41"/>
          <w:szCs w:val="41"/>
          <w:spacing w:val="-81"/>
        </w:rPr>
        <w:t xml:space="preserve"> </w:t>
      </w:r>
      <w:r>
        <w:rPr>
          <w:rFonts w:ascii="SimHei" w:hAnsi="SimHei" w:eastAsia="SimHei" w:cs="SimHei"/>
          <w:sz w:val="41"/>
          <w:szCs w:val="41"/>
          <w:b/>
          <w:bCs/>
          <w:spacing w:val="-12"/>
        </w:rPr>
        <w:t>4</w:t>
      </w:r>
      <w:r>
        <w:rPr>
          <w:rFonts w:ascii="SimHei" w:hAnsi="SimHei" w:eastAsia="SimHei" w:cs="SimHei"/>
          <w:sz w:val="41"/>
          <w:szCs w:val="41"/>
          <w:spacing w:val="-75"/>
        </w:rPr>
        <w:t xml:space="preserve"> </w:t>
      </w:r>
      <w:r>
        <w:rPr>
          <w:rFonts w:ascii="SimHei" w:hAnsi="SimHei" w:eastAsia="SimHei" w:cs="SimHei"/>
          <w:sz w:val="41"/>
          <w:szCs w:val="41"/>
          <w:b/>
          <w:bCs/>
          <w:spacing w:val="-12"/>
        </w:rPr>
        <w:t>章</w:t>
      </w:r>
      <w:r>
        <w:rPr>
          <w:rFonts w:ascii="SimHei" w:hAnsi="SimHei" w:eastAsia="SimHei" w:cs="SimHei"/>
          <w:sz w:val="41"/>
          <w:szCs w:val="41"/>
          <w:spacing w:val="191"/>
        </w:rPr>
        <w:t xml:space="preserve"> </w:t>
      </w:r>
      <w:r>
        <w:rPr>
          <w:rFonts w:ascii="SimHei" w:hAnsi="SimHei" w:eastAsia="SimHei" w:cs="SimHei"/>
          <w:sz w:val="41"/>
          <w:szCs w:val="41"/>
          <w:b/>
          <w:bCs/>
          <w:spacing w:val="-12"/>
        </w:rPr>
        <w:t>云端数据战略</w:t>
      </w:r>
    </w:p>
    <w:p>
      <w:pPr>
        <w:pStyle w:val="BodyText"/>
        <w:spacing w:line="478" w:lineRule="auto"/>
        <w:rPr/>
      </w:pPr>
      <w:r/>
    </w:p>
    <w:p>
      <w:pPr>
        <w:ind w:left="275"/>
        <w:spacing w:before="117" w:line="221" w:lineRule="auto"/>
        <w:outlineLvl w:val="0"/>
        <w:rPr>
          <w:rFonts w:ascii="SimHei" w:hAnsi="SimHei" w:eastAsia="SimHei" w:cs="SimHei"/>
          <w:sz w:val="36"/>
          <w:szCs w:val="36"/>
        </w:rPr>
      </w:pPr>
      <w:r>
        <w:rPr>
          <w:rFonts w:ascii="SimHei" w:hAnsi="SimHei" w:eastAsia="SimHei" w:cs="SimHei"/>
          <w:sz w:val="36"/>
          <w:szCs w:val="36"/>
          <w:b/>
          <w:bCs/>
          <w:spacing w:val="-10"/>
        </w:rPr>
        <w:t>4.1</w:t>
      </w:r>
      <w:r>
        <w:rPr>
          <w:rFonts w:ascii="SimHei" w:hAnsi="SimHei" w:eastAsia="SimHei" w:cs="SimHei"/>
          <w:sz w:val="36"/>
          <w:szCs w:val="36"/>
          <w:spacing w:val="105"/>
        </w:rPr>
        <w:t xml:space="preserve"> </w:t>
      </w:r>
      <w:r>
        <w:rPr>
          <w:rFonts w:ascii="SimHei" w:hAnsi="SimHei" w:eastAsia="SimHei" w:cs="SimHei"/>
          <w:sz w:val="36"/>
          <w:szCs w:val="36"/>
          <w:b/>
          <w:bCs/>
          <w:spacing w:val="-10"/>
        </w:rPr>
        <w:t>概述</w:t>
      </w:r>
    </w:p>
    <w:p>
      <w:pPr>
        <w:pStyle w:val="BodyText"/>
        <w:spacing w:line="251" w:lineRule="auto"/>
        <w:rPr/>
      </w:pPr>
      <w:r/>
    </w:p>
    <w:p>
      <w:pPr>
        <w:ind w:left="274"/>
        <w:spacing w:before="94" w:line="221" w:lineRule="auto"/>
        <w:outlineLvl w:val="1"/>
        <w:rPr>
          <w:rFonts w:ascii="YouYuan" w:hAnsi="YouYuan" w:eastAsia="YouYuan" w:cs="YouYuan"/>
          <w:sz w:val="29"/>
          <w:szCs w:val="29"/>
        </w:rPr>
      </w:pPr>
      <w:r>
        <w:rPr>
          <w:rFonts w:ascii="YouYuan" w:hAnsi="YouYuan" w:eastAsia="YouYuan" w:cs="YouYuan"/>
          <w:sz w:val="29"/>
          <w:szCs w:val="29"/>
          <w:b/>
          <w:bCs/>
          <w:spacing w:val="-8"/>
        </w:rPr>
        <w:t>4.1.1</w:t>
      </w:r>
      <w:r>
        <w:rPr>
          <w:rFonts w:ascii="YouYuan" w:hAnsi="YouYuan" w:eastAsia="YouYuan" w:cs="YouYuan"/>
          <w:sz w:val="29"/>
          <w:szCs w:val="29"/>
          <w:spacing w:val="-8"/>
        </w:rPr>
        <w:t xml:space="preserve">  </w:t>
      </w:r>
      <w:r>
        <w:rPr>
          <w:rFonts w:ascii="YouYuan" w:hAnsi="YouYuan" w:eastAsia="YouYuan" w:cs="YouYuan"/>
          <w:sz w:val="29"/>
          <w:szCs w:val="29"/>
          <w:b/>
          <w:bCs/>
          <w:spacing w:val="-8"/>
        </w:rPr>
        <w:t>目的和意义</w:t>
      </w:r>
    </w:p>
    <w:p>
      <w:pPr>
        <w:pStyle w:val="BodyText"/>
        <w:spacing w:line="254" w:lineRule="auto"/>
        <w:rPr/>
      </w:pPr>
      <w:r/>
    </w:p>
    <w:p>
      <w:pPr>
        <w:ind w:left="270" w:right="81" w:firstLine="459"/>
        <w:spacing w:before="72" w:line="255" w:lineRule="auto"/>
        <w:jc w:val="both"/>
        <w:rPr>
          <w:rFonts w:ascii="SimSun" w:hAnsi="SimSun" w:eastAsia="SimSun" w:cs="SimSun"/>
          <w:sz w:val="22"/>
          <w:szCs w:val="22"/>
        </w:rPr>
      </w:pPr>
      <w:r>
        <w:rPr>
          <w:rFonts w:ascii="SimSun" w:hAnsi="SimSun" w:eastAsia="SimSun" w:cs="SimSun"/>
          <w:sz w:val="22"/>
          <w:szCs w:val="22"/>
          <w:spacing w:val="-14"/>
        </w:rPr>
        <w:t>俗话说：“三年发展靠机遇，十年发展靠战略。”</w:t>
      </w:r>
      <w:r>
        <w:rPr>
          <w:rFonts w:ascii="SimSun" w:hAnsi="SimSun" w:eastAsia="SimSun" w:cs="SimSun"/>
          <w:sz w:val="22"/>
          <w:szCs w:val="22"/>
          <w:spacing w:val="-15"/>
        </w:rPr>
        <w:t>明晰的战略对于一个组织的发</w:t>
      </w:r>
      <w:r>
        <w:rPr>
          <w:rFonts w:ascii="SimSun" w:hAnsi="SimSun" w:eastAsia="SimSun" w:cs="SimSun"/>
          <w:sz w:val="22"/>
          <w:szCs w:val="22"/>
        </w:rPr>
        <w:t xml:space="preserve"> </w:t>
      </w:r>
      <w:r>
        <w:rPr>
          <w:rFonts w:ascii="SimSun" w:hAnsi="SimSun" w:eastAsia="SimSun" w:cs="SimSun"/>
          <w:sz w:val="22"/>
          <w:szCs w:val="22"/>
          <w:spacing w:val="-8"/>
        </w:rPr>
        <w:t>展至关重要，它是航标、是指南针，能够指引组织</w:t>
      </w:r>
      <w:r>
        <w:rPr>
          <w:rFonts w:ascii="SimSun" w:hAnsi="SimSun" w:eastAsia="SimSun" w:cs="SimSun"/>
          <w:sz w:val="22"/>
          <w:szCs w:val="22"/>
          <w:spacing w:val="-9"/>
        </w:rPr>
        <w:t>在正确的发展轨道上前进。战略</w:t>
      </w:r>
      <w:r>
        <w:rPr>
          <w:rFonts w:ascii="SimSun" w:hAnsi="SimSun" w:eastAsia="SimSun" w:cs="SimSun"/>
          <w:sz w:val="22"/>
          <w:szCs w:val="22"/>
        </w:rPr>
        <w:t xml:space="preserve"> </w:t>
      </w:r>
      <w:r>
        <w:rPr>
          <w:rFonts w:ascii="SimSun" w:hAnsi="SimSun" w:eastAsia="SimSun" w:cs="SimSun"/>
          <w:sz w:val="22"/>
          <w:szCs w:val="22"/>
          <w:spacing w:val="-8"/>
        </w:rPr>
        <w:t>就是一种从全局考虑并谋划实现全局目标的规划，</w:t>
      </w:r>
      <w:r>
        <w:rPr>
          <w:rFonts w:ascii="SimSun" w:hAnsi="SimSun" w:eastAsia="SimSun" w:cs="SimSun"/>
          <w:sz w:val="22"/>
          <w:szCs w:val="22"/>
          <w:spacing w:val="-9"/>
        </w:rPr>
        <w:t>是一切活动的指导性纲领。战略</w:t>
      </w:r>
      <w:r>
        <w:rPr>
          <w:rFonts w:ascii="SimSun" w:hAnsi="SimSun" w:eastAsia="SimSun" w:cs="SimSun"/>
          <w:sz w:val="22"/>
          <w:szCs w:val="22"/>
        </w:rPr>
        <w:t xml:space="preserve"> </w:t>
      </w:r>
      <w:r>
        <w:rPr>
          <w:rFonts w:ascii="SimSun" w:hAnsi="SimSun" w:eastAsia="SimSun" w:cs="SimSun"/>
          <w:sz w:val="22"/>
          <w:szCs w:val="22"/>
          <w:spacing w:val="-8"/>
        </w:rPr>
        <w:t>可以是一个从组织层面考虑的全局战略，也可以是针对某项活动制</w:t>
      </w:r>
      <w:r>
        <w:rPr>
          <w:rFonts w:ascii="SimSun" w:hAnsi="SimSun" w:eastAsia="SimSun" w:cs="SimSun"/>
          <w:sz w:val="22"/>
          <w:szCs w:val="22"/>
          <w:spacing w:val="-9"/>
        </w:rPr>
        <w:t>订的战略。大的</w:t>
      </w:r>
      <w:r>
        <w:rPr>
          <w:rFonts w:ascii="SimSun" w:hAnsi="SimSun" w:eastAsia="SimSun" w:cs="SimSun"/>
          <w:sz w:val="22"/>
          <w:szCs w:val="22"/>
        </w:rPr>
        <w:t xml:space="preserve"> </w:t>
      </w:r>
      <w:r>
        <w:rPr>
          <w:rFonts w:ascii="SimSun" w:hAnsi="SimSun" w:eastAsia="SimSun" w:cs="SimSun"/>
          <w:sz w:val="22"/>
          <w:szCs w:val="22"/>
          <w:spacing w:val="-8"/>
        </w:rPr>
        <w:t>战略包括组织的竞争战略、营销战略、发展战略、</w:t>
      </w:r>
      <w:r>
        <w:rPr>
          <w:rFonts w:ascii="SimSun" w:hAnsi="SimSun" w:eastAsia="SimSun" w:cs="SimSun"/>
          <w:sz w:val="22"/>
          <w:szCs w:val="22"/>
          <w:spacing w:val="-9"/>
        </w:rPr>
        <w:t>品牌战略、融资战略、技术开发</w:t>
      </w:r>
      <w:r>
        <w:rPr>
          <w:rFonts w:ascii="SimSun" w:hAnsi="SimSun" w:eastAsia="SimSun" w:cs="SimSun"/>
          <w:sz w:val="22"/>
          <w:szCs w:val="22"/>
        </w:rPr>
        <w:t xml:space="preserve"> </w:t>
      </w:r>
      <w:r>
        <w:rPr>
          <w:rFonts w:ascii="SimSun" w:hAnsi="SimSun" w:eastAsia="SimSun" w:cs="SimSun"/>
          <w:sz w:val="22"/>
          <w:szCs w:val="22"/>
          <w:spacing w:val="-8"/>
        </w:rPr>
        <w:t>战略、人才开发战略、资源开发战略等，而具体到某项活</w:t>
      </w:r>
      <w:r>
        <w:rPr>
          <w:rFonts w:ascii="SimSun" w:hAnsi="SimSun" w:eastAsia="SimSun" w:cs="SimSun"/>
          <w:sz w:val="22"/>
          <w:szCs w:val="22"/>
          <w:spacing w:val="-9"/>
        </w:rPr>
        <w:t>动，可以包括数据治理战</w:t>
      </w:r>
      <w:r>
        <w:rPr>
          <w:rFonts w:ascii="SimSun" w:hAnsi="SimSun" w:eastAsia="SimSun" w:cs="SimSun"/>
          <w:sz w:val="22"/>
          <w:szCs w:val="22"/>
        </w:rPr>
        <w:t xml:space="preserve"> </w:t>
      </w:r>
      <w:r>
        <w:rPr>
          <w:rFonts w:ascii="SimSun" w:hAnsi="SimSun" w:eastAsia="SimSun" w:cs="SimSun"/>
          <w:sz w:val="22"/>
          <w:szCs w:val="22"/>
          <w:spacing w:val="-12"/>
        </w:rPr>
        <w:t>略、信息安全战略等。</w:t>
      </w:r>
      <w:r>
        <w:rPr>
          <w:rFonts w:ascii="SimSun" w:hAnsi="SimSun" w:eastAsia="SimSun" w:cs="SimSun"/>
          <w:sz w:val="22"/>
          <w:szCs w:val="22"/>
          <w:spacing w:val="38"/>
        </w:rPr>
        <w:t xml:space="preserve"> </w:t>
      </w:r>
      <w:r>
        <w:rPr>
          <w:rFonts w:ascii="SimSun" w:hAnsi="SimSun" w:eastAsia="SimSun" w:cs="SimSun"/>
          <w:sz w:val="22"/>
          <w:szCs w:val="22"/>
          <w:spacing w:val="-12"/>
        </w:rPr>
        <w:t>一般来说，战略往往</w:t>
      </w:r>
      <w:r>
        <w:rPr>
          <w:rFonts w:ascii="SimSun" w:hAnsi="SimSun" w:eastAsia="SimSun" w:cs="SimSun"/>
          <w:sz w:val="22"/>
          <w:szCs w:val="22"/>
          <w:spacing w:val="-13"/>
        </w:rPr>
        <w:t>包括战略目的、战略方针和战略支持要</w:t>
      </w:r>
      <w:r>
        <w:rPr>
          <w:rFonts w:ascii="SimSun" w:hAnsi="SimSun" w:eastAsia="SimSun" w:cs="SimSun"/>
          <w:sz w:val="22"/>
          <w:szCs w:val="22"/>
        </w:rPr>
        <w:t xml:space="preserve"> </w:t>
      </w:r>
      <w:r>
        <w:rPr>
          <w:rFonts w:ascii="SimSun" w:hAnsi="SimSun" w:eastAsia="SimSun" w:cs="SimSun"/>
          <w:sz w:val="22"/>
          <w:szCs w:val="22"/>
          <w:spacing w:val="-10"/>
        </w:rPr>
        <w:t>素等。</w:t>
      </w:r>
    </w:p>
    <w:p>
      <w:pPr>
        <w:ind w:left="733"/>
        <w:spacing w:before="83" w:line="221" w:lineRule="auto"/>
        <w:rPr>
          <w:rFonts w:ascii="SimHei" w:hAnsi="SimHei" w:eastAsia="SimHei" w:cs="SimHei"/>
          <w:sz w:val="22"/>
          <w:szCs w:val="22"/>
        </w:rPr>
      </w:pPr>
      <w:r>
        <w:rPr>
          <w:rFonts w:ascii="SimHei" w:hAnsi="SimHei" w:eastAsia="SimHei" w:cs="SimHei"/>
          <w:sz w:val="22"/>
          <w:szCs w:val="22"/>
          <w:b/>
          <w:bCs/>
          <w:spacing w:val="-3"/>
        </w:rPr>
        <w:t>例子1:阿里巴巴转型数据服务</w:t>
      </w:r>
    </w:p>
    <w:p>
      <w:pPr>
        <w:ind w:left="270" w:right="100" w:firstLine="459"/>
        <w:spacing w:before="53" w:line="243" w:lineRule="auto"/>
        <w:jc w:val="both"/>
        <w:rPr>
          <w:rFonts w:ascii="SimSun" w:hAnsi="SimSun" w:eastAsia="SimSun" w:cs="SimSun"/>
          <w:sz w:val="22"/>
          <w:szCs w:val="22"/>
        </w:rPr>
      </w:pPr>
      <w:r>
        <w:rPr>
          <w:rFonts w:ascii="SimSun" w:hAnsi="SimSun" w:eastAsia="SimSun" w:cs="SimSun"/>
          <w:sz w:val="22"/>
          <w:szCs w:val="22"/>
          <w:spacing w:val="-9"/>
        </w:rPr>
        <w:t>一直以来，公众对阿里巴巴的印象一直是一个大型的电商平台，而作为掌门人</w:t>
      </w:r>
      <w:r>
        <w:rPr>
          <w:rFonts w:ascii="SimSun" w:hAnsi="SimSun" w:eastAsia="SimSun" w:cs="SimSun"/>
          <w:sz w:val="22"/>
          <w:szCs w:val="22"/>
          <w:spacing w:val="4"/>
        </w:rPr>
        <w:t xml:space="preserve"> </w:t>
      </w:r>
      <w:r>
        <w:rPr>
          <w:rFonts w:ascii="SimSun" w:hAnsi="SimSun" w:eastAsia="SimSun" w:cs="SimSun"/>
          <w:sz w:val="22"/>
          <w:szCs w:val="22"/>
          <w:spacing w:val="-8"/>
        </w:rPr>
        <w:t>的马云却称阿里巴巴未来是数据公司，而不是一个电商平台</w:t>
      </w:r>
      <w:r>
        <w:rPr>
          <w:rFonts w:ascii="SimSun" w:hAnsi="SimSun" w:eastAsia="SimSun" w:cs="SimSun"/>
          <w:sz w:val="22"/>
          <w:szCs w:val="22"/>
          <w:spacing w:val="-9"/>
        </w:rPr>
        <w:t>。马云为什么会如此定</w:t>
      </w:r>
      <w:r>
        <w:rPr>
          <w:rFonts w:ascii="SimSun" w:hAnsi="SimSun" w:eastAsia="SimSun" w:cs="SimSun"/>
          <w:sz w:val="22"/>
          <w:szCs w:val="22"/>
        </w:rPr>
        <w:t xml:space="preserve"> </w:t>
      </w:r>
      <w:r>
        <w:rPr>
          <w:rFonts w:ascii="SimSun" w:hAnsi="SimSun" w:eastAsia="SimSun" w:cs="SimSun"/>
          <w:sz w:val="22"/>
          <w:szCs w:val="22"/>
          <w:spacing w:val="-8"/>
        </w:rPr>
        <w:t>位阿里巴巴，是基于他对数据的重视。未来阿里巴</w:t>
      </w:r>
      <w:r>
        <w:rPr>
          <w:rFonts w:ascii="SimSun" w:hAnsi="SimSun" w:eastAsia="SimSun" w:cs="SimSun"/>
          <w:sz w:val="22"/>
          <w:szCs w:val="22"/>
          <w:spacing w:val="-9"/>
        </w:rPr>
        <w:t>巴集团的三大战略分别是：全球</w:t>
      </w:r>
      <w:r>
        <w:rPr>
          <w:rFonts w:ascii="SimSun" w:hAnsi="SimSun" w:eastAsia="SimSun" w:cs="SimSun"/>
          <w:sz w:val="22"/>
          <w:szCs w:val="22"/>
        </w:rPr>
        <w:t xml:space="preserve"> </w:t>
      </w:r>
      <w:r>
        <w:rPr>
          <w:rFonts w:ascii="SimSun" w:hAnsi="SimSun" w:eastAsia="SimSun" w:cs="SimSun"/>
          <w:sz w:val="22"/>
          <w:szCs w:val="22"/>
          <w:spacing w:val="-12"/>
        </w:rPr>
        <w:t>化、农村电商和大数据。</w:t>
      </w:r>
    </w:p>
    <w:p>
      <w:pPr>
        <w:ind w:left="733"/>
        <w:spacing w:before="75" w:line="221" w:lineRule="auto"/>
        <w:rPr>
          <w:rFonts w:ascii="SimHei" w:hAnsi="SimHei" w:eastAsia="SimHei" w:cs="SimHei"/>
          <w:sz w:val="22"/>
          <w:szCs w:val="22"/>
        </w:rPr>
      </w:pPr>
      <w:r>
        <w:rPr>
          <w:rFonts w:ascii="SimHei" w:hAnsi="SimHei" w:eastAsia="SimHei" w:cs="SimHei"/>
          <w:sz w:val="22"/>
          <w:szCs w:val="22"/>
          <w:b/>
          <w:bCs/>
          <w:spacing w:val="-6"/>
        </w:rPr>
        <w:t>例子2:美国一信用卡公司利用数据分析建立客户流失预警机制</w:t>
      </w:r>
    </w:p>
    <w:p>
      <w:pPr>
        <w:ind w:left="270" w:right="80" w:firstLine="459"/>
        <w:spacing w:before="53" w:line="257" w:lineRule="auto"/>
        <w:rPr>
          <w:rFonts w:ascii="SimSun" w:hAnsi="SimSun" w:eastAsia="SimSun" w:cs="SimSun"/>
          <w:sz w:val="22"/>
          <w:szCs w:val="22"/>
        </w:rPr>
      </w:pPr>
      <w:r>
        <w:rPr>
          <w:rFonts w:ascii="SimSun" w:hAnsi="SimSun" w:eastAsia="SimSun" w:cs="SimSun"/>
          <w:sz w:val="22"/>
          <w:szCs w:val="22"/>
          <w:spacing w:val="-8"/>
        </w:rPr>
        <w:t>美国的一家信用卡公司，在对客户流失问题进行分析的</w:t>
      </w:r>
      <w:r>
        <w:rPr>
          <w:rFonts w:ascii="SimSun" w:hAnsi="SimSun" w:eastAsia="SimSun" w:cs="SimSun"/>
          <w:sz w:val="22"/>
          <w:szCs w:val="22"/>
          <w:spacing w:val="-9"/>
        </w:rPr>
        <w:t>时候，发现借助一些变</w:t>
      </w:r>
      <w:r>
        <w:rPr>
          <w:rFonts w:ascii="SimSun" w:hAnsi="SimSun" w:eastAsia="SimSun" w:cs="SimSun"/>
          <w:sz w:val="22"/>
          <w:szCs w:val="22"/>
        </w:rPr>
        <w:t xml:space="preserve"> </w:t>
      </w:r>
      <w:r>
        <w:rPr>
          <w:rFonts w:ascii="SimSun" w:hAnsi="SimSun" w:eastAsia="SimSun" w:cs="SimSun"/>
          <w:sz w:val="22"/>
          <w:szCs w:val="22"/>
          <w:spacing w:val="-8"/>
        </w:rPr>
        <w:t>量指标对客户进行分类，不同项的指标分组下客户的流失</w:t>
      </w:r>
      <w:r>
        <w:rPr>
          <w:rFonts w:ascii="SimSun" w:hAnsi="SimSun" w:eastAsia="SimSun" w:cs="SimSun"/>
          <w:sz w:val="22"/>
          <w:szCs w:val="22"/>
          <w:spacing w:val="-9"/>
        </w:rPr>
        <w:t>倾向是不同的。比如同时</w:t>
      </w:r>
      <w:r>
        <w:rPr>
          <w:rFonts w:ascii="SimSun" w:hAnsi="SimSun" w:eastAsia="SimSun" w:cs="SimSun"/>
          <w:sz w:val="22"/>
          <w:szCs w:val="22"/>
        </w:rPr>
        <w:t xml:space="preserve"> </w:t>
      </w:r>
      <w:r>
        <w:rPr>
          <w:rFonts w:ascii="SimSun" w:hAnsi="SimSun" w:eastAsia="SimSun" w:cs="SimSun"/>
          <w:sz w:val="22"/>
          <w:szCs w:val="22"/>
          <w:spacing w:val="-1"/>
        </w:rPr>
        <w:t>满足</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1"/>
        </w:rPr>
        <w:t>A1</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B1</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X1</w:t>
      </w:r>
      <w:r>
        <w:rPr>
          <w:rFonts w:ascii="SimSun" w:hAnsi="SimSun" w:eastAsia="SimSun" w:cs="SimSun"/>
          <w:sz w:val="22"/>
          <w:szCs w:val="22"/>
          <w:spacing w:val="-1"/>
        </w:rPr>
        <w:t>条件的用户流失概率为66.7%,</w:t>
      </w:r>
      <w:r>
        <w:rPr>
          <w:rFonts w:ascii="SimSun" w:hAnsi="SimSun" w:eastAsia="SimSun" w:cs="SimSun"/>
          <w:sz w:val="22"/>
          <w:szCs w:val="22"/>
          <w:spacing w:val="-2"/>
        </w:rPr>
        <w:t>而满足</w:t>
      </w:r>
      <w:r>
        <w:rPr>
          <w:rFonts w:ascii="Times New Roman" w:hAnsi="Times New Roman" w:eastAsia="Times New Roman" w:cs="Times New Roman"/>
          <w:sz w:val="22"/>
          <w:szCs w:val="22"/>
          <w:spacing w:val="-2"/>
        </w:rPr>
        <w:t>A1</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B3</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2"/>
        </w:rPr>
        <w:t>的客户流失率仅</w:t>
      </w:r>
      <w:r>
        <w:rPr>
          <w:rFonts w:ascii="SimSun" w:hAnsi="SimSun" w:eastAsia="SimSun" w:cs="SimSun"/>
          <w:sz w:val="22"/>
          <w:szCs w:val="22"/>
        </w:rPr>
        <w:t xml:space="preserve"> </w:t>
      </w:r>
      <w:r>
        <w:rPr>
          <w:rFonts w:ascii="SimSun" w:hAnsi="SimSun" w:eastAsia="SimSun" w:cs="SimSun"/>
          <w:sz w:val="22"/>
          <w:szCs w:val="22"/>
          <w:spacing w:val="-5"/>
        </w:rPr>
        <w:t>为5%,从而建立起了客户流失预警的内部机制，对新客户开发的资源分配也起到了</w:t>
      </w:r>
      <w:r>
        <w:rPr>
          <w:rFonts w:ascii="SimSun" w:hAnsi="SimSun" w:eastAsia="SimSun" w:cs="SimSun"/>
          <w:sz w:val="22"/>
          <w:szCs w:val="22"/>
          <w:spacing w:val="12"/>
        </w:rPr>
        <w:t xml:space="preserve"> </w:t>
      </w:r>
      <w:r>
        <w:rPr>
          <w:rFonts w:ascii="SimSun" w:hAnsi="SimSun" w:eastAsia="SimSun" w:cs="SimSun"/>
          <w:sz w:val="22"/>
          <w:szCs w:val="22"/>
          <w:spacing w:val="-13"/>
        </w:rPr>
        <w:t>重要的指导作用。</w:t>
      </w:r>
    </w:p>
    <w:p>
      <w:pPr>
        <w:ind w:left="270" w:firstLine="459"/>
        <w:spacing w:before="47" w:line="241" w:lineRule="auto"/>
        <w:rPr>
          <w:rFonts w:ascii="SimSun" w:hAnsi="SimSun" w:eastAsia="SimSun" w:cs="SimSun"/>
          <w:sz w:val="22"/>
          <w:szCs w:val="22"/>
        </w:rPr>
      </w:pPr>
      <w:r>
        <w:rPr>
          <w:rFonts w:ascii="SimSun" w:hAnsi="SimSun" w:eastAsia="SimSun" w:cs="SimSun"/>
          <w:sz w:val="22"/>
          <w:szCs w:val="22"/>
          <w:spacing w:val="-12"/>
        </w:rPr>
        <w:t>在云计算和大数据时代，组织的数据面临着更加复杂的环境，数据来源、传输、</w:t>
      </w:r>
      <w:r>
        <w:rPr>
          <w:rFonts w:ascii="SimSun" w:hAnsi="SimSun" w:eastAsia="SimSun" w:cs="SimSun"/>
          <w:sz w:val="22"/>
          <w:szCs w:val="22"/>
        </w:rPr>
        <w:t xml:space="preserve"> </w:t>
      </w:r>
      <w:r>
        <w:rPr>
          <w:rFonts w:ascii="SimSun" w:hAnsi="SimSun" w:eastAsia="SimSun" w:cs="SimSun"/>
          <w:sz w:val="22"/>
          <w:szCs w:val="22"/>
          <w:spacing w:val="-8"/>
        </w:rPr>
        <w:t>存储、处理等环节面对的挑战更加严峻。并且随着数据</w:t>
      </w:r>
      <w:r>
        <w:rPr>
          <w:rFonts w:ascii="SimSun" w:hAnsi="SimSun" w:eastAsia="SimSun" w:cs="SimSun"/>
          <w:sz w:val="22"/>
          <w:szCs w:val="22"/>
          <w:spacing w:val="-9"/>
        </w:rPr>
        <w:t>对组织资产的贡献程度的不</w:t>
      </w:r>
      <w:r>
        <w:rPr>
          <w:rFonts w:ascii="SimSun" w:hAnsi="SimSun" w:eastAsia="SimSun" w:cs="SimSun"/>
          <w:sz w:val="22"/>
          <w:szCs w:val="22"/>
        </w:rPr>
        <w:t xml:space="preserve">  </w:t>
      </w:r>
      <w:r>
        <w:rPr>
          <w:rFonts w:ascii="SimSun" w:hAnsi="SimSun" w:eastAsia="SimSun" w:cs="SimSun"/>
          <w:sz w:val="22"/>
          <w:szCs w:val="22"/>
          <w:spacing w:val="-10"/>
        </w:rPr>
        <w:t>断提升，开展数据治理是组织管理数据的必然选择。</w:t>
      </w:r>
    </w:p>
    <w:p>
      <w:pPr>
        <w:ind w:left="270" w:right="80" w:firstLine="459"/>
        <w:spacing w:before="78"/>
        <w:rPr>
          <w:rFonts w:ascii="SimSun" w:hAnsi="SimSun" w:eastAsia="SimSun" w:cs="SimSun"/>
          <w:sz w:val="22"/>
          <w:szCs w:val="22"/>
        </w:rPr>
      </w:pPr>
      <w:r>
        <w:rPr>
          <w:rFonts w:ascii="SimSun" w:hAnsi="SimSun" w:eastAsia="SimSun" w:cs="SimSun"/>
          <w:sz w:val="22"/>
          <w:szCs w:val="22"/>
          <w:spacing w:val="-2"/>
        </w:rPr>
        <w:t>数据治理战略是组织对数据治理活动的顺利开展制订的具有全局指导性的规</w:t>
      </w:r>
      <w:r>
        <w:rPr>
          <w:rFonts w:ascii="SimSun" w:hAnsi="SimSun" w:eastAsia="SimSun" w:cs="SimSun"/>
          <w:sz w:val="22"/>
          <w:szCs w:val="22"/>
          <w:spacing w:val="4"/>
        </w:rPr>
        <w:t xml:space="preserve"> </w:t>
      </w:r>
      <w:r>
        <w:rPr>
          <w:rFonts w:ascii="SimSun" w:hAnsi="SimSun" w:eastAsia="SimSun" w:cs="SimSun"/>
          <w:sz w:val="22"/>
          <w:szCs w:val="22"/>
          <w:spacing w:val="-10"/>
        </w:rPr>
        <w:t>划，对数据治理目标的实现和过程管理具有重要的指导意义。</w:t>
      </w:r>
    </w:p>
    <w:p>
      <w:pPr>
        <w:ind w:left="730"/>
        <w:spacing w:before="59" w:line="219" w:lineRule="auto"/>
        <w:rPr>
          <w:rFonts w:ascii="SimSun" w:hAnsi="SimSun" w:eastAsia="SimSun" w:cs="SimSun"/>
          <w:sz w:val="22"/>
          <w:szCs w:val="22"/>
        </w:rPr>
      </w:pPr>
      <w:r>
        <w:rPr>
          <w:rFonts w:ascii="SimSun" w:hAnsi="SimSun" w:eastAsia="SimSun" w:cs="SimSun"/>
          <w:sz w:val="22"/>
          <w:szCs w:val="22"/>
          <w:spacing w:val="-6"/>
        </w:rPr>
        <w:t>(1)数据治理战略是组织对数据管理成功与否</w:t>
      </w:r>
      <w:r>
        <w:rPr>
          <w:rFonts w:ascii="SimSun" w:hAnsi="SimSun" w:eastAsia="SimSun" w:cs="SimSun"/>
          <w:sz w:val="22"/>
          <w:szCs w:val="22"/>
          <w:spacing w:val="-7"/>
        </w:rPr>
        <w:t>的关键性因素；</w:t>
      </w:r>
    </w:p>
    <w:p>
      <w:pPr>
        <w:spacing w:line="219" w:lineRule="auto"/>
        <w:sectPr>
          <w:footerReference w:type="default" r:id="rId134"/>
          <w:pgSz w:w="8870" w:h="13400"/>
          <w:pgMar w:top="400" w:right="459" w:bottom="474" w:left="400" w:header="0" w:footer="256" w:gutter="0"/>
        </w:sectPr>
        <w:rPr>
          <w:rFonts w:ascii="SimSun" w:hAnsi="SimSun" w:eastAsia="SimSun" w:cs="SimSun"/>
          <w:sz w:val="22"/>
          <w:szCs w:val="22"/>
        </w:rPr>
      </w:pPr>
    </w:p>
    <w:p>
      <w:pPr>
        <w:ind w:left="5482"/>
        <w:spacing w:before="144" w:line="219" w:lineRule="auto"/>
        <w:rPr>
          <w:rFonts w:ascii="SimSun" w:hAnsi="SimSun" w:eastAsia="SimSun" w:cs="SimSun"/>
          <w:sz w:val="22"/>
          <w:szCs w:val="22"/>
        </w:rPr>
      </w:pPr>
      <w:r>
        <w:rPr>
          <w:rFonts w:ascii="SimSun" w:hAnsi="SimSun" w:eastAsia="SimSun" w:cs="SimSun"/>
          <w:sz w:val="22"/>
          <w:szCs w:val="22"/>
          <w:b/>
          <w:bCs/>
          <w:spacing w:val="-13"/>
        </w:rPr>
        <w:t>第4章■云端数据战略■</w:t>
      </w:r>
    </w:p>
    <w:p>
      <w:pPr>
        <w:pStyle w:val="BodyText"/>
        <w:spacing w:line="250" w:lineRule="auto"/>
        <w:rPr/>
      </w:pPr>
      <w:r/>
    </w:p>
    <w:p>
      <w:pPr>
        <w:ind w:left="409" w:right="1396"/>
        <w:spacing w:before="71" w:line="244" w:lineRule="auto"/>
        <w:rPr>
          <w:rFonts w:ascii="SimSun" w:hAnsi="SimSun" w:eastAsia="SimSun" w:cs="SimSun"/>
          <w:sz w:val="22"/>
          <w:szCs w:val="22"/>
        </w:rPr>
      </w:pPr>
      <w:r>
        <w:rPr>
          <w:rFonts w:ascii="SimSun" w:hAnsi="SimSun" w:eastAsia="SimSun" w:cs="SimSun"/>
          <w:sz w:val="22"/>
          <w:szCs w:val="22"/>
          <w:spacing w:val="-5"/>
        </w:rPr>
        <w:t>(2)数据治理战略是保持数据管理融入组</w:t>
      </w:r>
      <w:r>
        <w:rPr>
          <w:rFonts w:ascii="SimSun" w:hAnsi="SimSun" w:eastAsia="SimSun" w:cs="SimSun"/>
          <w:sz w:val="22"/>
          <w:szCs w:val="22"/>
          <w:spacing w:val="-6"/>
        </w:rPr>
        <w:t>织其他战略的重要途径。</w:t>
      </w:r>
      <w:r>
        <w:rPr>
          <w:rFonts w:ascii="SimSun" w:hAnsi="SimSun" w:eastAsia="SimSun" w:cs="SimSun"/>
          <w:sz w:val="22"/>
          <w:szCs w:val="22"/>
        </w:rPr>
        <w:t xml:space="preserve"> </w:t>
      </w:r>
      <w:r>
        <w:rPr>
          <w:rFonts w:ascii="SimSun" w:hAnsi="SimSun" w:eastAsia="SimSun" w:cs="SimSun"/>
          <w:sz w:val="22"/>
          <w:szCs w:val="22"/>
          <w:spacing w:val="-12"/>
        </w:rPr>
        <w:t>云端数据治理战略主要内容包括：</w:t>
      </w:r>
    </w:p>
    <w:p>
      <w:pPr>
        <w:ind w:left="409"/>
        <w:spacing w:before="58" w:line="310" w:lineRule="exact"/>
        <w:rPr>
          <w:rFonts w:ascii="SimSun" w:hAnsi="SimSun" w:eastAsia="SimSun" w:cs="SimSun"/>
          <w:sz w:val="22"/>
          <w:szCs w:val="22"/>
        </w:rPr>
      </w:pPr>
      <w:r>
        <w:rPr>
          <w:rFonts w:ascii="SimSun" w:hAnsi="SimSun" w:eastAsia="SimSun" w:cs="SimSun"/>
          <w:sz w:val="22"/>
          <w:szCs w:val="22"/>
          <w:spacing w:val="-10"/>
          <w:position w:val="6"/>
        </w:rPr>
        <w:t>(1)为数据治理活动制订一个愿景， 一个长远目标；</w:t>
      </w:r>
    </w:p>
    <w:p>
      <w:pPr>
        <w:ind w:left="409"/>
        <w:spacing w:line="219" w:lineRule="auto"/>
        <w:rPr>
          <w:rFonts w:ascii="SimSun" w:hAnsi="SimSun" w:eastAsia="SimSun" w:cs="SimSun"/>
          <w:sz w:val="22"/>
          <w:szCs w:val="22"/>
        </w:rPr>
      </w:pPr>
      <w:r>
        <w:rPr>
          <w:rFonts w:ascii="SimSun" w:hAnsi="SimSun" w:eastAsia="SimSun" w:cs="SimSun"/>
          <w:sz w:val="22"/>
          <w:szCs w:val="22"/>
          <w:spacing w:val="-6"/>
        </w:rPr>
        <w:t>(2)制订数据治理方针；</w:t>
      </w:r>
    </w:p>
    <w:p>
      <w:pPr>
        <w:ind w:left="409"/>
        <w:spacing w:before="58" w:line="310" w:lineRule="exact"/>
        <w:rPr>
          <w:rFonts w:ascii="SimSun" w:hAnsi="SimSun" w:eastAsia="SimSun" w:cs="SimSun"/>
          <w:sz w:val="22"/>
          <w:szCs w:val="22"/>
        </w:rPr>
      </w:pPr>
      <w:r>
        <w:rPr>
          <w:rFonts w:ascii="SimSun" w:hAnsi="SimSun" w:eastAsia="SimSun" w:cs="SimSun"/>
          <w:sz w:val="22"/>
          <w:szCs w:val="22"/>
          <w:spacing w:val="-5"/>
          <w:position w:val="6"/>
        </w:rPr>
        <w:t>(3)制订数据治理指导原则；</w:t>
      </w:r>
    </w:p>
    <w:p>
      <w:pPr>
        <w:ind w:left="409"/>
        <w:spacing w:before="1" w:line="219" w:lineRule="auto"/>
        <w:rPr>
          <w:rFonts w:ascii="SimSun" w:hAnsi="SimSun" w:eastAsia="SimSun" w:cs="SimSun"/>
          <w:sz w:val="22"/>
          <w:szCs w:val="22"/>
        </w:rPr>
      </w:pPr>
      <w:r>
        <w:rPr>
          <w:rFonts w:ascii="SimSun" w:hAnsi="SimSun" w:eastAsia="SimSun" w:cs="SimSun"/>
          <w:sz w:val="22"/>
          <w:szCs w:val="22"/>
          <w:spacing w:val="-5"/>
        </w:rPr>
        <w:t>(4)制订数据治理业务案例；</w:t>
      </w:r>
    </w:p>
    <w:p>
      <w:pPr>
        <w:ind w:left="409"/>
        <w:spacing w:before="48" w:line="300" w:lineRule="exact"/>
        <w:rPr>
          <w:rFonts w:ascii="SimSun" w:hAnsi="SimSun" w:eastAsia="SimSun" w:cs="SimSun"/>
          <w:sz w:val="22"/>
          <w:szCs w:val="22"/>
        </w:rPr>
      </w:pPr>
      <w:r>
        <w:rPr>
          <w:rFonts w:ascii="SimSun" w:hAnsi="SimSun" w:eastAsia="SimSun" w:cs="SimSun"/>
          <w:sz w:val="22"/>
          <w:szCs w:val="22"/>
          <w:spacing w:val="-6"/>
          <w:position w:val="5"/>
        </w:rPr>
        <w:t>(5)制订组织架构并分配人员角色；</w:t>
      </w:r>
    </w:p>
    <w:p>
      <w:pPr>
        <w:ind w:left="409"/>
        <w:spacing w:before="1" w:line="219" w:lineRule="auto"/>
        <w:rPr>
          <w:rFonts w:ascii="SimSun" w:hAnsi="SimSun" w:eastAsia="SimSun" w:cs="SimSun"/>
          <w:sz w:val="22"/>
          <w:szCs w:val="22"/>
        </w:rPr>
      </w:pPr>
      <w:r>
        <w:rPr>
          <w:rFonts w:ascii="SimSun" w:hAnsi="SimSun" w:eastAsia="SimSun" w:cs="SimSun"/>
          <w:sz w:val="22"/>
          <w:szCs w:val="22"/>
          <w:spacing w:val="-5"/>
        </w:rPr>
        <w:t>(6)规划数据治理保障资源；</w:t>
      </w:r>
    </w:p>
    <w:p>
      <w:pPr>
        <w:ind w:left="409"/>
        <w:spacing w:before="49" w:line="219" w:lineRule="auto"/>
        <w:rPr>
          <w:rFonts w:ascii="SimSun" w:hAnsi="SimSun" w:eastAsia="SimSun" w:cs="SimSun"/>
          <w:sz w:val="22"/>
          <w:szCs w:val="22"/>
        </w:rPr>
      </w:pPr>
      <w:r>
        <w:rPr>
          <w:rFonts w:ascii="SimSun" w:hAnsi="SimSun" w:eastAsia="SimSun" w:cs="SimSun"/>
          <w:sz w:val="22"/>
          <w:szCs w:val="22"/>
          <w:spacing w:val="-6"/>
        </w:rPr>
        <w:t>(7)数据治理实施路线图等。</w:t>
      </w:r>
    </w:p>
    <w:p>
      <w:pPr>
        <w:ind w:left="3"/>
        <w:spacing w:before="298" w:line="224" w:lineRule="auto"/>
        <w:outlineLvl w:val="1"/>
        <w:rPr>
          <w:rFonts w:ascii="YouYuan" w:hAnsi="YouYuan" w:eastAsia="YouYuan" w:cs="YouYuan"/>
          <w:sz w:val="31"/>
          <w:szCs w:val="31"/>
        </w:rPr>
      </w:pPr>
      <w:r>
        <w:rPr>
          <w:rFonts w:ascii="YouYuan" w:hAnsi="YouYuan" w:eastAsia="YouYuan" w:cs="YouYuan"/>
          <w:sz w:val="31"/>
          <w:szCs w:val="31"/>
          <w:b/>
          <w:bCs/>
          <w:spacing w:val="-24"/>
        </w:rPr>
        <w:t>4.1.2</w:t>
      </w:r>
      <w:r>
        <w:rPr>
          <w:rFonts w:ascii="YouYuan" w:hAnsi="YouYuan" w:eastAsia="YouYuan" w:cs="YouYuan"/>
          <w:sz w:val="31"/>
          <w:szCs w:val="31"/>
          <w:spacing w:val="122"/>
        </w:rPr>
        <w:t xml:space="preserve"> </w:t>
      </w:r>
      <w:r>
        <w:rPr>
          <w:rFonts w:ascii="YouYuan" w:hAnsi="YouYuan" w:eastAsia="YouYuan" w:cs="YouYuan"/>
          <w:sz w:val="31"/>
          <w:szCs w:val="31"/>
          <w:b/>
          <w:bCs/>
          <w:spacing w:val="-24"/>
        </w:rPr>
        <w:t>内容与关联性</w:t>
      </w:r>
    </w:p>
    <w:p>
      <w:pPr>
        <w:pStyle w:val="BodyText"/>
        <w:spacing w:line="253" w:lineRule="auto"/>
        <w:rPr/>
      </w:pPr>
      <w:r/>
    </w:p>
    <w:p>
      <w:pPr>
        <w:ind w:right="266" w:firstLine="409"/>
        <w:spacing w:before="72" w:line="256" w:lineRule="auto"/>
        <w:jc w:val="both"/>
        <w:rPr>
          <w:rFonts w:ascii="SimSun" w:hAnsi="SimSun" w:eastAsia="SimSun" w:cs="SimSun"/>
          <w:sz w:val="22"/>
          <w:szCs w:val="22"/>
        </w:rPr>
      </w:pPr>
      <w:r>
        <w:rPr>
          <w:rFonts w:ascii="SimSun" w:hAnsi="SimSun" w:eastAsia="SimSun" w:cs="SimSun"/>
          <w:sz w:val="22"/>
          <w:szCs w:val="22"/>
          <w:spacing w:val="-8"/>
        </w:rPr>
        <w:t>云端数据治理战略职能域包括五大过程域：战略、组织与角色、业务案例、资</w:t>
      </w:r>
      <w:r>
        <w:rPr>
          <w:rFonts w:ascii="SimSun" w:hAnsi="SimSun" w:eastAsia="SimSun" w:cs="SimSun"/>
          <w:sz w:val="22"/>
          <w:szCs w:val="22"/>
          <w:spacing w:val="16"/>
        </w:rPr>
        <w:t xml:space="preserve"> </w:t>
      </w:r>
      <w:r>
        <w:rPr>
          <w:rFonts w:ascii="SimSun" w:hAnsi="SimSun" w:eastAsia="SimSun" w:cs="SimSun"/>
          <w:sz w:val="22"/>
          <w:szCs w:val="22"/>
          <w:spacing w:val="-8"/>
        </w:rPr>
        <w:t>源保障和沟通。战略过程域是对数据治理活动的顶层设计和远程规划，其目的</w:t>
      </w:r>
      <w:r>
        <w:rPr>
          <w:rFonts w:ascii="SimSun" w:hAnsi="SimSun" w:eastAsia="SimSun" w:cs="SimSun"/>
          <w:sz w:val="22"/>
          <w:szCs w:val="22"/>
          <w:spacing w:val="-9"/>
        </w:rPr>
        <w:t>是在</w:t>
      </w:r>
      <w:r>
        <w:rPr>
          <w:rFonts w:ascii="SimSun" w:hAnsi="SimSun" w:eastAsia="SimSun" w:cs="SimSun"/>
          <w:sz w:val="22"/>
          <w:szCs w:val="22"/>
        </w:rPr>
        <w:t xml:space="preserve"> </w:t>
      </w:r>
      <w:r>
        <w:rPr>
          <w:rFonts w:ascii="SimSun" w:hAnsi="SimSun" w:eastAsia="SimSun" w:cs="SimSun"/>
          <w:sz w:val="22"/>
          <w:szCs w:val="22"/>
          <w:spacing w:val="-8"/>
        </w:rPr>
        <w:t>数据治理活动得到数据治理相关者的理解和认同的前提下，对未来一段时间内数据</w:t>
      </w:r>
      <w:r>
        <w:rPr>
          <w:rFonts w:ascii="SimSun" w:hAnsi="SimSun" w:eastAsia="SimSun" w:cs="SimSun"/>
          <w:sz w:val="22"/>
          <w:szCs w:val="22"/>
        </w:rPr>
        <w:t xml:space="preserve"> </w:t>
      </w:r>
      <w:r>
        <w:rPr>
          <w:rFonts w:ascii="SimSun" w:hAnsi="SimSun" w:eastAsia="SimSun" w:cs="SimSun"/>
          <w:sz w:val="22"/>
          <w:szCs w:val="22"/>
          <w:spacing w:val="-8"/>
        </w:rPr>
        <w:t>治理活动进行规划。组织与角色过程域定义组织开展数据治理的管理团队和实施团</w:t>
      </w:r>
      <w:r>
        <w:rPr>
          <w:rFonts w:ascii="SimSun" w:hAnsi="SimSun" w:eastAsia="SimSun" w:cs="SimSun"/>
          <w:sz w:val="22"/>
          <w:szCs w:val="22"/>
          <w:spacing w:val="6"/>
        </w:rPr>
        <w:t xml:space="preserve"> </w:t>
      </w:r>
      <w:r>
        <w:rPr>
          <w:rFonts w:ascii="SimSun" w:hAnsi="SimSun" w:eastAsia="SimSun" w:cs="SimSun"/>
          <w:sz w:val="22"/>
          <w:szCs w:val="22"/>
          <w:spacing w:val="-9"/>
        </w:rPr>
        <w:t>队等，并分配职责与权限以支撑数据治理活动的开展。业务案例过程域为组织实施</w:t>
      </w:r>
      <w:r>
        <w:rPr>
          <w:rFonts w:ascii="SimSun" w:hAnsi="SimSun" w:eastAsia="SimSun" w:cs="SimSun"/>
          <w:sz w:val="22"/>
          <w:szCs w:val="22"/>
          <w:spacing w:val="12"/>
        </w:rPr>
        <w:t xml:space="preserve"> </w:t>
      </w:r>
      <w:r>
        <w:rPr>
          <w:rFonts w:ascii="SimSun" w:hAnsi="SimSun" w:eastAsia="SimSun" w:cs="SimSun"/>
          <w:sz w:val="22"/>
          <w:szCs w:val="22"/>
          <w:spacing w:val="-8"/>
        </w:rPr>
        <w:t>数据治理活动的子活动的优先级进行排序，并希望活动能在低成本条件下尽</w:t>
      </w:r>
      <w:r>
        <w:rPr>
          <w:rFonts w:ascii="SimSun" w:hAnsi="SimSun" w:eastAsia="SimSun" w:cs="SimSun"/>
          <w:sz w:val="22"/>
          <w:szCs w:val="22"/>
          <w:spacing w:val="-9"/>
        </w:rPr>
        <w:t>可能实</w:t>
      </w:r>
      <w:r>
        <w:rPr>
          <w:rFonts w:ascii="SimSun" w:hAnsi="SimSun" w:eastAsia="SimSun" w:cs="SimSun"/>
          <w:sz w:val="22"/>
          <w:szCs w:val="22"/>
        </w:rPr>
        <w:t xml:space="preserve"> </w:t>
      </w:r>
      <w:r>
        <w:rPr>
          <w:rFonts w:ascii="SimSun" w:hAnsi="SimSun" w:eastAsia="SimSun" w:cs="SimSun"/>
          <w:sz w:val="22"/>
          <w:szCs w:val="22"/>
          <w:spacing w:val="-8"/>
        </w:rPr>
        <w:t>现输出成果。资源保障过程域是对组织实施数据治理活动所需要的各类资源提供能</w:t>
      </w:r>
      <w:r>
        <w:rPr>
          <w:rFonts w:ascii="SimSun" w:hAnsi="SimSun" w:eastAsia="SimSun" w:cs="SimSun"/>
          <w:sz w:val="22"/>
          <w:szCs w:val="22"/>
          <w:spacing w:val="17"/>
        </w:rPr>
        <w:t xml:space="preserve"> </w:t>
      </w:r>
      <w:r>
        <w:rPr>
          <w:rFonts w:ascii="SimSun" w:hAnsi="SimSun" w:eastAsia="SimSun" w:cs="SimSun"/>
          <w:sz w:val="22"/>
          <w:szCs w:val="22"/>
          <w:spacing w:val="-8"/>
        </w:rPr>
        <w:t>力进行规划，包括人力和物力资源等。沟通过程域规划了数据治理活动中与数据治</w:t>
      </w:r>
      <w:r>
        <w:rPr>
          <w:rFonts w:ascii="SimSun" w:hAnsi="SimSun" w:eastAsia="SimSun" w:cs="SimSun"/>
          <w:sz w:val="22"/>
          <w:szCs w:val="22"/>
          <w:spacing w:val="5"/>
        </w:rPr>
        <w:t xml:space="preserve"> </w:t>
      </w:r>
      <w:r>
        <w:rPr>
          <w:rFonts w:ascii="SimSun" w:hAnsi="SimSun" w:eastAsia="SimSun" w:cs="SimSun"/>
          <w:sz w:val="22"/>
          <w:szCs w:val="22"/>
          <w:spacing w:val="-8"/>
        </w:rPr>
        <w:t>理相关的策略、规范、规章、通知等文件和活动，使其能够及时顺畅地传达到数据</w:t>
      </w:r>
      <w:r>
        <w:rPr>
          <w:rFonts w:ascii="SimSun" w:hAnsi="SimSun" w:eastAsia="SimSun" w:cs="SimSun"/>
          <w:sz w:val="22"/>
          <w:szCs w:val="22"/>
        </w:rPr>
        <w:t xml:space="preserve"> </w:t>
      </w:r>
      <w:r>
        <w:rPr>
          <w:rFonts w:ascii="SimSun" w:hAnsi="SimSun" w:eastAsia="SimSun" w:cs="SimSun"/>
          <w:sz w:val="22"/>
          <w:szCs w:val="22"/>
          <w:spacing w:val="-13"/>
        </w:rPr>
        <w:t>治理相关者。</w:t>
      </w:r>
    </w:p>
    <w:p>
      <w:pPr>
        <w:ind w:right="267" w:firstLine="409"/>
        <w:spacing w:before="78" w:line="243" w:lineRule="auto"/>
        <w:jc w:val="both"/>
        <w:rPr>
          <w:rFonts w:ascii="SimSun" w:hAnsi="SimSun" w:eastAsia="SimSun" w:cs="SimSun"/>
          <w:sz w:val="22"/>
          <w:szCs w:val="22"/>
        </w:rPr>
      </w:pPr>
      <w:r>
        <w:rPr>
          <w:rFonts w:ascii="SimSun" w:hAnsi="SimSun" w:eastAsia="SimSun" w:cs="SimSun"/>
          <w:sz w:val="22"/>
          <w:szCs w:val="22"/>
          <w:spacing w:val="-8"/>
        </w:rPr>
        <w:t>战略过程域是数据治理整个活动的规划，涉及到组织与角色、业务案例、资源</w:t>
      </w:r>
      <w:r>
        <w:rPr>
          <w:rFonts w:ascii="SimSun" w:hAnsi="SimSun" w:eastAsia="SimSun" w:cs="SimSun"/>
          <w:sz w:val="22"/>
          <w:szCs w:val="22"/>
          <w:spacing w:val="10"/>
        </w:rPr>
        <w:t xml:space="preserve"> </w:t>
      </w:r>
      <w:r>
        <w:rPr>
          <w:rFonts w:ascii="SimSun" w:hAnsi="SimSun" w:eastAsia="SimSun" w:cs="SimSun"/>
          <w:sz w:val="22"/>
          <w:szCs w:val="22"/>
          <w:spacing w:val="-9"/>
        </w:rPr>
        <w:t>保障、沟通过程域的顶层要求。组织与角色、业务案例和资源保障过程域是战略过</w:t>
      </w:r>
      <w:r>
        <w:rPr>
          <w:rFonts w:ascii="SimSun" w:hAnsi="SimSun" w:eastAsia="SimSun" w:cs="SimSun"/>
          <w:sz w:val="22"/>
          <w:szCs w:val="22"/>
          <w:spacing w:val="11"/>
        </w:rPr>
        <w:t xml:space="preserve"> </w:t>
      </w:r>
      <w:r>
        <w:rPr>
          <w:rFonts w:ascii="SimSun" w:hAnsi="SimSun" w:eastAsia="SimSun" w:cs="SimSun"/>
          <w:sz w:val="22"/>
          <w:szCs w:val="22"/>
          <w:spacing w:val="-8"/>
        </w:rPr>
        <w:t>程域实施的组织与人员保障、业务指导、资金和其他资源保障，沟通过程域是保障</w:t>
      </w:r>
      <w:r>
        <w:rPr>
          <w:rFonts w:ascii="SimSun" w:hAnsi="SimSun" w:eastAsia="SimSun" w:cs="SimSun"/>
          <w:sz w:val="22"/>
          <w:szCs w:val="22"/>
          <w:spacing w:val="16"/>
        </w:rPr>
        <w:t xml:space="preserve"> </w:t>
      </w:r>
      <w:r>
        <w:rPr>
          <w:rFonts w:ascii="SimSun" w:hAnsi="SimSun" w:eastAsia="SimSun" w:cs="SimSun"/>
          <w:sz w:val="22"/>
          <w:szCs w:val="22"/>
          <w:spacing w:val="-9"/>
        </w:rPr>
        <w:t>战略有效传达和被理解的基础。这五大过程域共同组成了云端数</w:t>
      </w:r>
      <w:r>
        <w:rPr>
          <w:rFonts w:ascii="SimSun" w:hAnsi="SimSun" w:eastAsia="SimSun" w:cs="SimSun"/>
          <w:sz w:val="22"/>
          <w:szCs w:val="22"/>
          <w:spacing w:val="-10"/>
        </w:rPr>
        <w:t>据战略职能域。</w:t>
      </w:r>
    </w:p>
    <w:p>
      <w:pPr>
        <w:pStyle w:val="BodyText"/>
        <w:spacing w:line="464" w:lineRule="auto"/>
        <w:rPr/>
      </w:pPr>
      <w:r/>
    </w:p>
    <w:p>
      <w:pPr>
        <w:ind w:left="4"/>
        <w:spacing w:before="101" w:line="222" w:lineRule="auto"/>
        <w:outlineLvl w:val="1"/>
        <w:rPr>
          <w:rFonts w:ascii="SimHei" w:hAnsi="SimHei" w:eastAsia="SimHei" w:cs="SimHei"/>
          <w:sz w:val="31"/>
          <w:szCs w:val="31"/>
        </w:rPr>
      </w:pPr>
      <w:r>
        <w:rPr>
          <w:rFonts w:ascii="SimHei" w:hAnsi="SimHei" w:eastAsia="SimHei" w:cs="SimHei"/>
          <w:sz w:val="31"/>
          <w:szCs w:val="31"/>
          <w:b/>
          <w:bCs/>
          <w:spacing w:val="6"/>
        </w:rPr>
        <w:t>4.2</w:t>
      </w:r>
      <w:r>
        <w:rPr>
          <w:rFonts w:ascii="SimHei" w:hAnsi="SimHei" w:eastAsia="SimHei" w:cs="SimHei"/>
          <w:sz w:val="31"/>
          <w:szCs w:val="31"/>
          <w:spacing w:val="44"/>
        </w:rPr>
        <w:t xml:space="preserve">  </w:t>
      </w:r>
      <w:r>
        <w:rPr>
          <w:rFonts w:ascii="SimHei" w:hAnsi="SimHei" w:eastAsia="SimHei" w:cs="SimHei"/>
          <w:sz w:val="31"/>
          <w:szCs w:val="31"/>
          <w:b/>
          <w:bCs/>
          <w:spacing w:val="6"/>
        </w:rPr>
        <w:t>活动及要求</w:t>
      </w:r>
    </w:p>
    <w:p>
      <w:pPr>
        <w:ind w:left="4"/>
        <w:spacing w:before="340" w:line="229" w:lineRule="auto"/>
        <w:outlineLvl w:val="1"/>
        <w:rPr>
          <w:rFonts w:ascii="YouYuan" w:hAnsi="YouYuan" w:eastAsia="YouYuan" w:cs="YouYuan"/>
          <w:sz w:val="31"/>
          <w:szCs w:val="31"/>
        </w:rPr>
      </w:pPr>
      <w:r>
        <w:rPr>
          <w:rFonts w:ascii="YouYuan" w:hAnsi="YouYuan" w:eastAsia="YouYuan" w:cs="YouYuan"/>
          <w:sz w:val="31"/>
          <w:szCs w:val="31"/>
          <w:b/>
          <w:bCs/>
          <w:spacing w:val="-16"/>
        </w:rPr>
        <w:t>4.2.1</w:t>
      </w:r>
      <w:r>
        <w:rPr>
          <w:rFonts w:ascii="YouYuan" w:hAnsi="YouYuan" w:eastAsia="YouYuan" w:cs="YouYuan"/>
          <w:sz w:val="31"/>
          <w:szCs w:val="31"/>
          <w:spacing w:val="126"/>
        </w:rPr>
        <w:t xml:space="preserve"> </w:t>
      </w:r>
      <w:r>
        <w:rPr>
          <w:rFonts w:ascii="YouYuan" w:hAnsi="YouYuan" w:eastAsia="YouYuan" w:cs="YouYuan"/>
          <w:sz w:val="31"/>
          <w:szCs w:val="31"/>
          <w:b/>
          <w:bCs/>
          <w:spacing w:val="-16"/>
        </w:rPr>
        <w:t>战略</w:t>
      </w:r>
    </w:p>
    <w:p>
      <w:pPr>
        <w:ind w:left="413"/>
        <w:spacing w:before="288" w:line="224" w:lineRule="auto"/>
        <w:outlineLvl w:val="2"/>
        <w:rPr>
          <w:rFonts w:ascii="YouYuan" w:hAnsi="YouYuan" w:eastAsia="YouYuan" w:cs="YouYuan"/>
          <w:sz w:val="22"/>
          <w:szCs w:val="22"/>
        </w:rPr>
      </w:pPr>
      <w:r>
        <w:rPr>
          <w:rFonts w:ascii="YouYuan" w:hAnsi="YouYuan" w:eastAsia="YouYuan" w:cs="YouYuan"/>
          <w:sz w:val="22"/>
          <w:szCs w:val="22"/>
          <w:b/>
          <w:bCs/>
          <w:spacing w:val="-2"/>
        </w:rPr>
        <w:t>1.</w:t>
      </w:r>
      <w:r>
        <w:rPr>
          <w:rFonts w:ascii="YouYuan" w:hAnsi="YouYuan" w:eastAsia="YouYuan" w:cs="YouYuan"/>
          <w:sz w:val="22"/>
          <w:szCs w:val="22"/>
          <w:spacing w:val="-16"/>
        </w:rPr>
        <w:t xml:space="preserve"> </w:t>
      </w:r>
      <w:r>
        <w:rPr>
          <w:rFonts w:ascii="YouYuan" w:hAnsi="YouYuan" w:eastAsia="YouYuan" w:cs="YouYuan"/>
          <w:sz w:val="22"/>
          <w:szCs w:val="22"/>
          <w:b/>
          <w:bCs/>
          <w:spacing w:val="-2"/>
        </w:rPr>
        <w:t>简介</w:t>
      </w:r>
    </w:p>
    <w:p>
      <w:pPr>
        <w:ind w:left="409"/>
        <w:spacing w:before="207" w:line="232" w:lineRule="auto"/>
        <w:rPr>
          <w:rFonts w:ascii="KaiTi" w:hAnsi="KaiTi" w:eastAsia="KaiTi" w:cs="KaiTi"/>
          <w:sz w:val="22"/>
          <w:szCs w:val="22"/>
        </w:rPr>
      </w:pPr>
      <w:r>
        <w:rPr>
          <w:rFonts w:ascii="KaiTi" w:hAnsi="KaiTi" w:eastAsia="KaiTi" w:cs="KaiTi"/>
          <w:sz w:val="22"/>
          <w:szCs w:val="22"/>
          <w:spacing w:val="13"/>
        </w:rPr>
        <w:t>1)目的</w:t>
      </w:r>
    </w:p>
    <w:p>
      <w:pPr>
        <w:ind w:left="409"/>
        <w:spacing w:before="37" w:line="219" w:lineRule="auto"/>
        <w:rPr>
          <w:rFonts w:ascii="SimSun" w:hAnsi="SimSun" w:eastAsia="SimSun" w:cs="SimSun"/>
          <w:sz w:val="22"/>
          <w:szCs w:val="22"/>
        </w:rPr>
      </w:pPr>
      <w:r>
        <w:rPr>
          <w:rFonts w:ascii="SimSun" w:hAnsi="SimSun" w:eastAsia="SimSun" w:cs="SimSun"/>
          <w:sz w:val="22"/>
          <w:szCs w:val="22"/>
          <w:spacing w:val="-8"/>
        </w:rPr>
        <w:t>为数据治理活动制订顶层规划，包括定义数据治理方案的愿景、长期目标与短</w:t>
      </w:r>
    </w:p>
    <w:p>
      <w:pPr>
        <w:spacing w:line="219" w:lineRule="auto"/>
        <w:sectPr>
          <w:footerReference w:type="default" r:id="rId135"/>
          <w:pgSz w:w="8870" w:h="13400"/>
          <w:pgMar w:top="400" w:right="632" w:bottom="572" w:left="320" w:header="0" w:footer="356" w:gutter="0"/>
        </w:sectPr>
        <w:rPr>
          <w:rFonts w:ascii="SimSun" w:hAnsi="SimSun" w:eastAsia="SimSun" w:cs="SimSun"/>
          <w:sz w:val="22"/>
          <w:szCs w:val="22"/>
        </w:rPr>
      </w:pPr>
    </w:p>
    <w:p>
      <w:pPr>
        <w:ind w:left="120"/>
        <w:spacing w:before="190"/>
        <w:rPr>
          <w:rFonts w:ascii="SimSun" w:hAnsi="SimSun" w:eastAsia="SimSun" w:cs="SimSun"/>
          <w:sz w:val="21"/>
          <w:szCs w:val="21"/>
        </w:rPr>
      </w:pPr>
      <w:r>
        <w:rPr>
          <w:rFonts w:ascii="SimSun" w:hAnsi="SimSun" w:eastAsia="SimSun" w:cs="SimSun"/>
          <w:sz w:val="21"/>
          <w:szCs w:val="21"/>
          <w:position w:val="-10"/>
        </w:rPr>
        <w:drawing>
          <wp:inline distT="0" distB="0" distL="0" distR="0">
            <wp:extent cx="6365" cy="228637"/>
            <wp:effectExtent l="0" t="0" r="0" b="0"/>
            <wp:docPr id="116" name="IM 116"/>
            <wp:cNvGraphicFramePr/>
            <a:graphic>
              <a:graphicData uri="http://schemas.openxmlformats.org/drawingml/2006/picture">
                <pic:pic>
                  <pic:nvPicPr>
                    <pic:cNvPr id="116" name="IM 116"/>
                    <pic:cNvPicPr/>
                  </pic:nvPicPr>
                  <pic:blipFill>
                    <a:blip r:embed="rId137"/>
                    <a:stretch>
                      <a:fillRect/>
                    </a:stretch>
                  </pic:blipFill>
                  <pic:spPr>
                    <a:xfrm rot="0">
                      <a:off x="0" y="0"/>
                      <a:ext cx="6365" cy="228637"/>
                    </a:xfrm>
                    <a:prstGeom prst="rect">
                      <a:avLst/>
                    </a:prstGeom>
                  </pic:spPr>
                </pic:pic>
              </a:graphicData>
            </a:graphic>
          </wp:inline>
        </w:drawing>
      </w:r>
      <w:r>
        <w:rPr>
          <w:rFonts w:ascii="SimSun" w:hAnsi="SimSun" w:eastAsia="SimSun" w:cs="SimSun"/>
          <w:sz w:val="21"/>
          <w:szCs w:val="21"/>
          <w:spacing w:val="-12"/>
        </w:rPr>
        <w:t xml:space="preserve"> </w:t>
      </w:r>
      <w:r>
        <w:rPr>
          <w:rFonts w:ascii="SimSun" w:hAnsi="SimSun" w:eastAsia="SimSun" w:cs="SimSun"/>
          <w:sz w:val="21"/>
          <w:szCs w:val="21"/>
          <w:b/>
          <w:bCs/>
          <w:spacing w:val="-6"/>
        </w:rPr>
        <w:t>■云端数据治理</w:t>
      </w:r>
    </w:p>
    <w:p>
      <w:pPr>
        <w:ind w:left="700" w:right="320" w:hanging="430"/>
        <w:spacing w:before="287" w:line="250" w:lineRule="auto"/>
        <w:rPr>
          <w:rFonts w:ascii="SimSun" w:hAnsi="SimSun" w:eastAsia="SimSun" w:cs="SimSun"/>
          <w:sz w:val="21"/>
          <w:szCs w:val="21"/>
        </w:rPr>
      </w:pPr>
      <w:r>
        <w:rPr>
          <w:rFonts w:ascii="SimSun" w:hAnsi="SimSun" w:eastAsia="SimSun" w:cs="SimSun"/>
          <w:sz w:val="21"/>
          <w:szCs w:val="21"/>
        </w:rPr>
        <w:t>期目标，确保所有的数据利益相关者就优先事项和计划的执行和</w:t>
      </w:r>
      <w:r>
        <w:rPr>
          <w:rFonts w:ascii="SimSun" w:hAnsi="SimSun" w:eastAsia="SimSun" w:cs="SimSun"/>
          <w:sz w:val="21"/>
          <w:szCs w:val="21"/>
          <w:spacing w:val="-1"/>
        </w:rPr>
        <w:t>管理达成一致。</w:t>
      </w:r>
      <w:r>
        <w:rPr>
          <w:rFonts w:ascii="SimSun" w:hAnsi="SimSun" w:eastAsia="SimSun" w:cs="SimSun"/>
          <w:sz w:val="21"/>
          <w:szCs w:val="21"/>
        </w:rPr>
        <w:t xml:space="preserve"> </w:t>
      </w:r>
      <w:r>
        <w:rPr>
          <w:rFonts w:ascii="SimSun" w:hAnsi="SimSun" w:eastAsia="SimSun" w:cs="SimSun"/>
          <w:sz w:val="21"/>
          <w:szCs w:val="21"/>
          <w:spacing w:val="24"/>
        </w:rPr>
        <w:t>2)介绍</w:t>
      </w:r>
    </w:p>
    <w:p>
      <w:pPr>
        <w:ind w:left="270" w:right="47" w:firstLine="430"/>
        <w:spacing w:before="82" w:line="237" w:lineRule="auto"/>
        <w:rPr>
          <w:rFonts w:ascii="SimSun" w:hAnsi="SimSun" w:eastAsia="SimSun" w:cs="SimSun"/>
          <w:sz w:val="21"/>
          <w:szCs w:val="21"/>
        </w:rPr>
      </w:pPr>
      <w:r>
        <w:rPr>
          <w:rFonts w:ascii="SimSun" w:hAnsi="SimSun" w:eastAsia="SimSun" w:cs="SimSun"/>
          <w:sz w:val="21"/>
          <w:szCs w:val="21"/>
          <w:spacing w:val="1"/>
        </w:rPr>
        <w:t>战略是组织开展数据治理决策的集合，这些决策共同构成一个高层次的行动方</w:t>
      </w:r>
      <w:r>
        <w:rPr>
          <w:rFonts w:ascii="SimSun" w:hAnsi="SimSun" w:eastAsia="SimSun" w:cs="SimSun"/>
          <w:sz w:val="21"/>
          <w:szCs w:val="21"/>
          <w:spacing w:val="12"/>
        </w:rPr>
        <w:t xml:space="preserve"> </w:t>
      </w:r>
      <w:r>
        <w:rPr>
          <w:rFonts w:ascii="SimSun" w:hAnsi="SimSun" w:eastAsia="SimSun" w:cs="SimSun"/>
          <w:sz w:val="21"/>
          <w:szCs w:val="21"/>
          <w:spacing w:val="-1"/>
        </w:rPr>
        <w:t>案，目的是指导组织实现数据治理的高层次目标。</w:t>
      </w:r>
    </w:p>
    <w:p>
      <w:pPr>
        <w:ind w:left="270" w:right="38" w:firstLine="430"/>
        <w:spacing w:before="72" w:line="261" w:lineRule="auto"/>
        <w:rPr>
          <w:rFonts w:ascii="SimSun" w:hAnsi="SimSun" w:eastAsia="SimSun" w:cs="SimSun"/>
          <w:sz w:val="21"/>
          <w:szCs w:val="21"/>
        </w:rPr>
      </w:pPr>
      <w:r>
        <w:rPr>
          <w:rFonts w:ascii="SimSun" w:hAnsi="SimSun" w:eastAsia="SimSun" w:cs="SimSun"/>
          <w:sz w:val="21"/>
          <w:szCs w:val="21"/>
          <w:spacing w:val="2"/>
        </w:rPr>
        <w:t>数据治理战略的制订一般由数据治理委员会提出</w:t>
      </w:r>
      <w:r>
        <w:rPr>
          <w:rFonts w:ascii="SimSun" w:hAnsi="SimSun" w:eastAsia="SimSun" w:cs="SimSun"/>
          <w:sz w:val="21"/>
          <w:szCs w:val="21"/>
          <w:spacing w:val="1"/>
        </w:rPr>
        <w:t>，并在数据治理高层管理者的</w:t>
      </w:r>
      <w:r>
        <w:rPr>
          <w:rFonts w:ascii="SimSun" w:hAnsi="SimSun" w:eastAsia="SimSun" w:cs="SimSun"/>
          <w:sz w:val="21"/>
          <w:szCs w:val="21"/>
        </w:rPr>
        <w:t xml:space="preserve"> </w:t>
      </w:r>
      <w:r>
        <w:rPr>
          <w:rFonts w:ascii="SimSun" w:hAnsi="SimSun" w:eastAsia="SimSun" w:cs="SimSun"/>
          <w:sz w:val="21"/>
          <w:szCs w:val="21"/>
          <w:spacing w:val="2"/>
        </w:rPr>
        <w:t>指导和授权下由数据治理委员会制订。为了获得数据利益</w:t>
      </w:r>
      <w:r>
        <w:rPr>
          <w:rFonts w:ascii="SimSun" w:hAnsi="SimSun" w:eastAsia="SimSun" w:cs="SimSun"/>
          <w:sz w:val="21"/>
          <w:szCs w:val="21"/>
          <w:spacing w:val="1"/>
        </w:rPr>
        <w:t>相关者支持和认可，数据</w:t>
      </w:r>
      <w:r>
        <w:rPr>
          <w:rFonts w:ascii="SimSun" w:hAnsi="SimSun" w:eastAsia="SimSun" w:cs="SimSun"/>
          <w:sz w:val="21"/>
          <w:szCs w:val="21"/>
        </w:rPr>
        <w:t xml:space="preserve"> </w:t>
      </w:r>
      <w:r>
        <w:rPr>
          <w:rFonts w:ascii="SimSun" w:hAnsi="SimSun" w:eastAsia="SimSun" w:cs="SimSun"/>
          <w:sz w:val="21"/>
          <w:szCs w:val="21"/>
          <w:spacing w:val="2"/>
        </w:rPr>
        <w:t>治理战略必须能够准确地反映数据提供者和数据消</w:t>
      </w:r>
      <w:r>
        <w:rPr>
          <w:rFonts w:ascii="SimSun" w:hAnsi="SimSun" w:eastAsia="SimSun" w:cs="SimSun"/>
          <w:sz w:val="21"/>
          <w:szCs w:val="21"/>
          <w:spacing w:val="1"/>
        </w:rPr>
        <w:t>费者的业务期望，将数据价值链</w:t>
      </w:r>
      <w:r>
        <w:rPr>
          <w:rFonts w:ascii="SimSun" w:hAnsi="SimSun" w:eastAsia="SimSun" w:cs="SimSun"/>
          <w:sz w:val="21"/>
          <w:szCs w:val="21"/>
        </w:rPr>
        <w:t xml:space="preserve"> </w:t>
      </w:r>
      <w:r>
        <w:rPr>
          <w:rFonts w:ascii="SimSun" w:hAnsi="SimSun" w:eastAsia="SimSun" w:cs="SimSun"/>
          <w:sz w:val="21"/>
          <w:szCs w:val="21"/>
          <w:spacing w:val="2"/>
        </w:rPr>
        <w:t>上的所有相关参与者的关切考虑在内，从而让利益相</w:t>
      </w:r>
      <w:r>
        <w:rPr>
          <w:rFonts w:ascii="SimSun" w:hAnsi="SimSun" w:eastAsia="SimSun" w:cs="SimSun"/>
          <w:sz w:val="21"/>
          <w:szCs w:val="21"/>
          <w:spacing w:val="1"/>
        </w:rPr>
        <w:t>关者相信，数据治理的方案是</w:t>
      </w:r>
      <w:r>
        <w:rPr>
          <w:rFonts w:ascii="SimSun" w:hAnsi="SimSun" w:eastAsia="SimSun" w:cs="SimSun"/>
          <w:sz w:val="21"/>
          <w:szCs w:val="21"/>
        </w:rPr>
        <w:t xml:space="preserve"> </w:t>
      </w:r>
      <w:r>
        <w:rPr>
          <w:rFonts w:ascii="SimSun" w:hAnsi="SimSun" w:eastAsia="SimSun" w:cs="SimSun"/>
          <w:sz w:val="21"/>
          <w:szCs w:val="21"/>
          <w:spacing w:val="-7"/>
        </w:rPr>
        <w:t>有价值的。</w:t>
      </w:r>
    </w:p>
    <w:p>
      <w:pPr>
        <w:ind w:left="700"/>
        <w:spacing w:before="82" w:line="219" w:lineRule="auto"/>
        <w:rPr>
          <w:rFonts w:ascii="SimSun" w:hAnsi="SimSun" w:eastAsia="SimSun" w:cs="SimSun"/>
          <w:sz w:val="21"/>
          <w:szCs w:val="21"/>
        </w:rPr>
      </w:pPr>
      <w:r>
        <w:rPr>
          <w:rFonts w:ascii="SimSun" w:hAnsi="SimSun" w:eastAsia="SimSun" w:cs="SimSun"/>
          <w:sz w:val="21"/>
          <w:szCs w:val="21"/>
          <w:spacing w:val="-1"/>
        </w:rPr>
        <w:t>通常来说，制订数据治理战略时应至少考虑以下方面。</w:t>
      </w:r>
    </w:p>
    <w:p>
      <w:pPr>
        <w:ind w:left="700"/>
        <w:spacing w:before="52" w:line="219" w:lineRule="auto"/>
        <w:rPr>
          <w:rFonts w:ascii="SimSun" w:hAnsi="SimSun" w:eastAsia="SimSun" w:cs="SimSun"/>
          <w:sz w:val="21"/>
          <w:szCs w:val="21"/>
        </w:rPr>
      </w:pPr>
      <w:r>
        <w:rPr>
          <w:rFonts w:ascii="SimSun" w:hAnsi="SimSun" w:eastAsia="SimSun" w:cs="SimSun"/>
          <w:sz w:val="21"/>
          <w:szCs w:val="21"/>
          <w:spacing w:val="3"/>
        </w:rPr>
        <w:t>(1)使命和愿景，包括核心运作原则，治理活动的目标和目的；</w:t>
      </w:r>
    </w:p>
    <w:p>
      <w:pPr>
        <w:ind w:left="270" w:right="48" w:firstLine="430"/>
        <w:spacing w:before="80" w:line="236" w:lineRule="auto"/>
        <w:rPr>
          <w:rFonts w:ascii="SimSun" w:hAnsi="SimSun" w:eastAsia="SimSun" w:cs="SimSun"/>
          <w:sz w:val="21"/>
          <w:szCs w:val="21"/>
        </w:rPr>
      </w:pPr>
      <w:r>
        <w:rPr>
          <w:rFonts w:ascii="SimSun" w:hAnsi="SimSun" w:eastAsia="SimSun" w:cs="SimSun"/>
          <w:sz w:val="21"/>
          <w:szCs w:val="21"/>
          <w:spacing w:val="4"/>
        </w:rPr>
        <w:t>(2)项目优先级，如依据项目对组织的重要程度来确定，衡量因素可能包括组</w:t>
      </w:r>
      <w:r>
        <w:rPr>
          <w:rFonts w:ascii="SimSun" w:hAnsi="SimSun" w:eastAsia="SimSun" w:cs="SimSun"/>
          <w:sz w:val="21"/>
          <w:szCs w:val="21"/>
          <w:spacing w:val="11"/>
        </w:rPr>
        <w:t xml:space="preserve"> </w:t>
      </w:r>
      <w:r>
        <w:rPr>
          <w:rFonts w:ascii="SimSun" w:hAnsi="SimSun" w:eastAsia="SimSun" w:cs="SimSun"/>
          <w:sz w:val="21"/>
          <w:szCs w:val="21"/>
          <w:spacing w:val="1"/>
        </w:rPr>
        <w:t>织对项目的依赖程度、组织商业价值的体现、与组织</w:t>
      </w:r>
      <w:r>
        <w:rPr>
          <w:rFonts w:ascii="SimSun" w:hAnsi="SimSun" w:eastAsia="SimSun" w:cs="SimSun"/>
          <w:sz w:val="21"/>
          <w:szCs w:val="21"/>
        </w:rPr>
        <w:t>战略提倡活动的一致性等；</w:t>
      </w:r>
    </w:p>
    <w:p>
      <w:pPr>
        <w:ind w:left="270" w:right="40" w:firstLine="430"/>
        <w:spacing w:before="79" w:line="239" w:lineRule="auto"/>
        <w:rPr>
          <w:rFonts w:ascii="SimSun" w:hAnsi="SimSun" w:eastAsia="SimSun" w:cs="SimSun"/>
          <w:sz w:val="21"/>
          <w:szCs w:val="21"/>
        </w:rPr>
      </w:pPr>
      <w:r>
        <w:rPr>
          <w:rFonts w:ascii="SimSun" w:hAnsi="SimSun" w:eastAsia="SimSun" w:cs="SimSun"/>
          <w:sz w:val="21"/>
          <w:szCs w:val="21"/>
          <w:spacing w:val="7"/>
        </w:rPr>
        <w:t>(3)活动范围，包括哪些重要的业务领域、数据治理的重点(如数据质量等),</w:t>
      </w:r>
      <w:r>
        <w:rPr>
          <w:rFonts w:ascii="SimSun" w:hAnsi="SimSun" w:eastAsia="SimSun" w:cs="SimSun"/>
          <w:sz w:val="21"/>
          <w:szCs w:val="21"/>
          <w:spacing w:val="11"/>
        </w:rPr>
        <w:t xml:space="preserve"> </w:t>
      </w:r>
      <w:r>
        <w:rPr>
          <w:rFonts w:ascii="SimSun" w:hAnsi="SimSun" w:eastAsia="SimSun" w:cs="SimSun"/>
          <w:sz w:val="21"/>
          <w:szCs w:val="21"/>
          <w:spacing w:val="6"/>
        </w:rPr>
        <w:t>还有关键数据集(如客户主数据);</w:t>
      </w:r>
    </w:p>
    <w:p>
      <w:pPr>
        <w:ind w:left="700"/>
        <w:spacing w:before="79" w:line="218" w:lineRule="auto"/>
        <w:rPr>
          <w:rFonts w:ascii="SimSun" w:hAnsi="SimSun" w:eastAsia="SimSun" w:cs="SimSun"/>
          <w:sz w:val="21"/>
          <w:szCs w:val="21"/>
        </w:rPr>
      </w:pPr>
      <w:r>
        <w:rPr>
          <w:rFonts w:ascii="SimSun" w:hAnsi="SimSun" w:eastAsia="SimSun" w:cs="SimSun"/>
          <w:sz w:val="21"/>
          <w:szCs w:val="21"/>
          <w:spacing w:val="3"/>
        </w:rPr>
        <w:t>(4)商业效益，依经济指标对活动价值进行</w:t>
      </w:r>
      <w:r>
        <w:rPr>
          <w:rFonts w:ascii="SimSun" w:hAnsi="SimSun" w:eastAsia="SimSun" w:cs="SimSun"/>
          <w:sz w:val="21"/>
          <w:szCs w:val="21"/>
          <w:spacing w:val="2"/>
        </w:rPr>
        <w:t>预评价；</w:t>
      </w:r>
    </w:p>
    <w:p>
      <w:pPr>
        <w:ind w:left="700"/>
        <w:spacing w:before="64" w:line="219" w:lineRule="auto"/>
        <w:rPr>
          <w:rFonts w:ascii="SimSun" w:hAnsi="SimSun" w:eastAsia="SimSun" w:cs="SimSun"/>
          <w:sz w:val="21"/>
          <w:szCs w:val="21"/>
        </w:rPr>
      </w:pPr>
      <w:r>
        <w:rPr>
          <w:rFonts w:ascii="SimSun" w:hAnsi="SimSun" w:eastAsia="SimSun" w:cs="SimSun"/>
          <w:sz w:val="21"/>
          <w:szCs w:val="21"/>
          <w:spacing w:val="3"/>
        </w:rPr>
        <w:t>(5)数据治理架构，架构设计方法与标准以及架构的</w:t>
      </w:r>
      <w:r>
        <w:rPr>
          <w:rFonts w:ascii="SimSun" w:hAnsi="SimSun" w:eastAsia="SimSun" w:cs="SimSun"/>
          <w:sz w:val="21"/>
          <w:szCs w:val="21"/>
          <w:spacing w:val="2"/>
        </w:rPr>
        <w:t>使用；</w:t>
      </w:r>
    </w:p>
    <w:p>
      <w:pPr>
        <w:ind w:left="700"/>
        <w:spacing w:before="79" w:line="219" w:lineRule="auto"/>
        <w:rPr>
          <w:rFonts w:ascii="SimSun" w:hAnsi="SimSun" w:eastAsia="SimSun" w:cs="SimSun"/>
          <w:sz w:val="21"/>
          <w:szCs w:val="21"/>
        </w:rPr>
      </w:pPr>
      <w:r>
        <w:rPr>
          <w:rFonts w:ascii="SimSun" w:hAnsi="SimSun" w:eastAsia="SimSun" w:cs="SimSun"/>
          <w:sz w:val="21"/>
          <w:szCs w:val="21"/>
          <w:spacing w:val="4"/>
        </w:rPr>
        <w:t>(6)组织、角色与责任，关键利益相关者名单；</w:t>
      </w:r>
    </w:p>
    <w:p>
      <w:pPr>
        <w:ind w:left="700"/>
        <w:spacing w:before="53" w:line="220" w:lineRule="auto"/>
        <w:rPr>
          <w:rFonts w:ascii="SimSun" w:hAnsi="SimSun" w:eastAsia="SimSun" w:cs="SimSun"/>
          <w:sz w:val="21"/>
          <w:szCs w:val="21"/>
        </w:rPr>
      </w:pPr>
      <w:r>
        <w:rPr>
          <w:rFonts w:ascii="SimSun" w:hAnsi="SimSun" w:eastAsia="SimSun" w:cs="SimSun"/>
          <w:sz w:val="21"/>
          <w:szCs w:val="21"/>
          <w:spacing w:val="4"/>
        </w:rPr>
        <w:t>(7)治理的需求和范围；</w:t>
      </w:r>
    </w:p>
    <w:p>
      <w:pPr>
        <w:ind w:left="700"/>
        <w:spacing w:before="71" w:line="221" w:lineRule="auto"/>
        <w:rPr>
          <w:rFonts w:ascii="SimSun" w:hAnsi="SimSun" w:eastAsia="SimSun" w:cs="SimSun"/>
          <w:sz w:val="21"/>
          <w:szCs w:val="21"/>
        </w:rPr>
      </w:pPr>
      <w:r>
        <w:rPr>
          <w:rFonts w:ascii="SimSun" w:hAnsi="SimSun" w:eastAsia="SimSun" w:cs="SimSun"/>
          <w:sz w:val="21"/>
          <w:szCs w:val="21"/>
          <w:spacing w:val="7"/>
        </w:rPr>
        <w:t>(8)合规要求；</w:t>
      </w:r>
    </w:p>
    <w:p>
      <w:pPr>
        <w:ind w:left="700"/>
        <w:spacing w:before="48" w:line="220" w:lineRule="auto"/>
        <w:rPr>
          <w:rFonts w:ascii="SimSun" w:hAnsi="SimSun" w:eastAsia="SimSun" w:cs="SimSun"/>
          <w:sz w:val="21"/>
          <w:szCs w:val="21"/>
        </w:rPr>
      </w:pPr>
      <w:r>
        <w:rPr>
          <w:rFonts w:ascii="SimSun" w:hAnsi="SimSun" w:eastAsia="SimSun" w:cs="SimSun"/>
          <w:sz w:val="21"/>
          <w:szCs w:val="21"/>
          <w:spacing w:val="3"/>
        </w:rPr>
        <w:t>(9)成功措施与度量项；</w:t>
      </w:r>
    </w:p>
    <w:p>
      <w:pPr>
        <w:ind w:left="700"/>
        <w:spacing w:before="59" w:line="220" w:lineRule="auto"/>
        <w:rPr>
          <w:rFonts w:ascii="SimSun" w:hAnsi="SimSun" w:eastAsia="SimSun" w:cs="SimSun"/>
          <w:sz w:val="21"/>
          <w:szCs w:val="21"/>
        </w:rPr>
      </w:pPr>
      <w:r>
        <w:rPr>
          <w:rFonts w:ascii="SimSun" w:hAnsi="SimSun" w:eastAsia="SimSun" w:cs="SimSun"/>
          <w:sz w:val="21"/>
          <w:szCs w:val="21"/>
          <w:spacing w:val="3"/>
        </w:rPr>
        <w:t>(10)衡量进度的基准工具；</w:t>
      </w:r>
    </w:p>
    <w:p>
      <w:pPr>
        <w:ind w:left="700"/>
        <w:spacing w:before="60" w:line="219" w:lineRule="auto"/>
        <w:rPr>
          <w:rFonts w:ascii="SimSun" w:hAnsi="SimSun" w:eastAsia="SimSun" w:cs="SimSun"/>
          <w:sz w:val="21"/>
          <w:szCs w:val="21"/>
        </w:rPr>
      </w:pPr>
      <w:r>
        <w:rPr>
          <w:rFonts w:ascii="SimSun" w:hAnsi="SimSun" w:eastAsia="SimSun" w:cs="SimSun"/>
          <w:sz w:val="21"/>
          <w:szCs w:val="21"/>
          <w:spacing w:val="3"/>
        </w:rPr>
        <w:t>(11)数据治理实施路线图；</w:t>
      </w:r>
    </w:p>
    <w:p>
      <w:pPr>
        <w:ind w:left="700"/>
        <w:spacing w:before="71" w:line="220" w:lineRule="auto"/>
        <w:rPr>
          <w:rFonts w:ascii="SimSun" w:hAnsi="SimSun" w:eastAsia="SimSun" w:cs="SimSun"/>
          <w:sz w:val="21"/>
          <w:szCs w:val="21"/>
        </w:rPr>
      </w:pPr>
      <w:r>
        <w:rPr>
          <w:rFonts w:ascii="SimSun" w:hAnsi="SimSun" w:eastAsia="SimSun" w:cs="SimSun"/>
          <w:sz w:val="21"/>
          <w:szCs w:val="21"/>
          <w:spacing w:val="7"/>
        </w:rPr>
        <w:t>(12)治理风险；</w:t>
      </w:r>
    </w:p>
    <w:p>
      <w:pPr>
        <w:ind w:left="700"/>
        <w:spacing w:before="59" w:line="219" w:lineRule="auto"/>
        <w:rPr>
          <w:rFonts w:ascii="SimSun" w:hAnsi="SimSun" w:eastAsia="SimSun" w:cs="SimSun"/>
          <w:sz w:val="21"/>
          <w:szCs w:val="21"/>
        </w:rPr>
      </w:pPr>
      <w:r>
        <w:rPr>
          <w:rFonts w:ascii="SimSun" w:hAnsi="SimSun" w:eastAsia="SimSun" w:cs="SimSun"/>
          <w:sz w:val="21"/>
          <w:szCs w:val="21"/>
          <w:spacing w:val="3"/>
        </w:rPr>
        <w:t>(13)数据安全与隐私保护。</w:t>
      </w:r>
    </w:p>
    <w:p>
      <w:pPr>
        <w:ind w:left="270" w:right="43" w:firstLine="430"/>
        <w:spacing w:before="93" w:line="261" w:lineRule="auto"/>
        <w:rPr>
          <w:rFonts w:ascii="SimSun" w:hAnsi="SimSun" w:eastAsia="SimSun" w:cs="SimSun"/>
          <w:sz w:val="21"/>
          <w:szCs w:val="21"/>
        </w:rPr>
      </w:pPr>
      <w:r>
        <w:rPr>
          <w:rFonts w:ascii="SimSun" w:hAnsi="SimSun" w:eastAsia="SimSun" w:cs="SimSun"/>
          <w:sz w:val="21"/>
          <w:szCs w:val="21"/>
          <w:spacing w:val="1"/>
        </w:rPr>
        <w:t>数据治理战略不应该是一个一成不变的方案，应该是随着组织的需求以及外部</w:t>
      </w:r>
      <w:r>
        <w:rPr>
          <w:rFonts w:ascii="SimSun" w:hAnsi="SimSun" w:eastAsia="SimSun" w:cs="SimSun"/>
          <w:sz w:val="21"/>
          <w:szCs w:val="21"/>
          <w:spacing w:val="16"/>
        </w:rPr>
        <w:t xml:space="preserve"> </w:t>
      </w:r>
      <w:r>
        <w:rPr>
          <w:rFonts w:ascii="SimSun" w:hAnsi="SimSun" w:eastAsia="SimSun" w:cs="SimSun"/>
          <w:sz w:val="21"/>
          <w:szCs w:val="21"/>
          <w:spacing w:val="2"/>
        </w:rPr>
        <w:t>环境的变化而变化的。在制订或调整数据治理战略</w:t>
      </w:r>
      <w:r>
        <w:rPr>
          <w:rFonts w:ascii="SimSun" w:hAnsi="SimSun" w:eastAsia="SimSun" w:cs="SimSun"/>
          <w:sz w:val="21"/>
          <w:szCs w:val="21"/>
          <w:spacing w:val="1"/>
        </w:rPr>
        <w:t>时，还应考虑数据治理执行方面</w:t>
      </w:r>
      <w:r>
        <w:rPr>
          <w:rFonts w:ascii="SimSun" w:hAnsi="SimSun" w:eastAsia="SimSun" w:cs="SimSun"/>
          <w:sz w:val="21"/>
          <w:szCs w:val="21"/>
        </w:rPr>
        <w:t xml:space="preserve"> </w:t>
      </w:r>
      <w:r>
        <w:rPr>
          <w:rFonts w:ascii="SimSun" w:hAnsi="SimSun" w:eastAsia="SimSun" w:cs="SimSun"/>
          <w:sz w:val="21"/>
          <w:szCs w:val="21"/>
          <w:spacing w:val="2"/>
        </w:rPr>
        <w:t>的重大注意事项，保证治理战略具有可实施性。如</w:t>
      </w:r>
      <w:r>
        <w:rPr>
          <w:rFonts w:ascii="SimSun" w:hAnsi="SimSun" w:eastAsia="SimSun" w:cs="SimSun"/>
          <w:sz w:val="21"/>
          <w:szCs w:val="21"/>
          <w:spacing w:val="1"/>
        </w:rPr>
        <w:t>在制订战略时，要明确支撑战略</w:t>
      </w:r>
      <w:r>
        <w:rPr>
          <w:rFonts w:ascii="SimSun" w:hAnsi="SimSun" w:eastAsia="SimSun" w:cs="SimSun"/>
          <w:sz w:val="21"/>
          <w:szCs w:val="21"/>
        </w:rPr>
        <w:t xml:space="preserve"> </w:t>
      </w:r>
      <w:r>
        <w:rPr>
          <w:rFonts w:ascii="SimSun" w:hAnsi="SimSun" w:eastAsia="SimSun" w:cs="SimSun"/>
          <w:sz w:val="21"/>
          <w:szCs w:val="21"/>
          <w:spacing w:val="2"/>
        </w:rPr>
        <w:t>实施的资源要求，以及用于评价计划有效性的准则</w:t>
      </w:r>
      <w:r>
        <w:rPr>
          <w:rFonts w:ascii="SimSun" w:hAnsi="SimSun" w:eastAsia="SimSun" w:cs="SimSun"/>
          <w:sz w:val="21"/>
          <w:szCs w:val="21"/>
          <w:spacing w:val="1"/>
        </w:rPr>
        <w:t>；在执行过程中，要对实施措施</w:t>
      </w:r>
      <w:r>
        <w:rPr>
          <w:rFonts w:ascii="SimSun" w:hAnsi="SimSun" w:eastAsia="SimSun" w:cs="SimSun"/>
          <w:sz w:val="21"/>
          <w:szCs w:val="21"/>
        </w:rPr>
        <w:t xml:space="preserve"> </w:t>
      </w:r>
      <w:r>
        <w:rPr>
          <w:rFonts w:ascii="SimSun" w:hAnsi="SimSun" w:eastAsia="SimSun" w:cs="SimSun"/>
          <w:sz w:val="21"/>
          <w:szCs w:val="21"/>
          <w:spacing w:val="-2"/>
        </w:rPr>
        <w:t>进行监督，从而依据计划目标评估数据治理活动的进度。</w:t>
      </w:r>
    </w:p>
    <w:p>
      <w:pPr>
        <w:ind w:left="700"/>
        <w:spacing w:before="46" w:line="229" w:lineRule="auto"/>
        <w:rPr>
          <w:rFonts w:ascii="KaiTi" w:hAnsi="KaiTi" w:eastAsia="KaiTi" w:cs="KaiTi"/>
          <w:sz w:val="21"/>
          <w:szCs w:val="21"/>
        </w:rPr>
      </w:pPr>
      <w:r>
        <w:rPr>
          <w:rFonts w:ascii="KaiTi" w:hAnsi="KaiTi" w:eastAsia="KaiTi" w:cs="KaiTi"/>
          <w:sz w:val="21"/>
          <w:szCs w:val="21"/>
          <w:spacing w:val="12"/>
        </w:rPr>
        <w:t>3)相关过程域</w:t>
      </w:r>
    </w:p>
    <w:p>
      <w:pPr>
        <w:ind w:left="270" w:right="42" w:firstLine="430"/>
        <w:spacing w:before="56" w:line="245" w:lineRule="auto"/>
        <w:rPr>
          <w:rFonts w:ascii="SimSun" w:hAnsi="SimSun" w:eastAsia="SimSun" w:cs="SimSun"/>
          <w:sz w:val="21"/>
          <w:szCs w:val="21"/>
        </w:rPr>
      </w:pPr>
      <w:r>
        <w:rPr>
          <w:rFonts w:ascii="SimSun" w:hAnsi="SimSun" w:eastAsia="SimSun" w:cs="SimSun"/>
          <w:sz w:val="21"/>
          <w:szCs w:val="21"/>
          <w:spacing w:val="1"/>
        </w:rPr>
        <w:t>组织与角色过程域提供了数据治理活动实施的主体——人员与角色，确保数据</w:t>
      </w:r>
      <w:r>
        <w:rPr>
          <w:rFonts w:ascii="SimSun" w:hAnsi="SimSun" w:eastAsia="SimSun" w:cs="SimSun"/>
          <w:sz w:val="21"/>
          <w:szCs w:val="21"/>
          <w:spacing w:val="17"/>
        </w:rPr>
        <w:t xml:space="preserve"> </w:t>
      </w:r>
      <w:r>
        <w:rPr>
          <w:rFonts w:ascii="SimSun" w:hAnsi="SimSun" w:eastAsia="SimSun" w:cs="SimSun"/>
          <w:sz w:val="21"/>
          <w:szCs w:val="21"/>
          <w:spacing w:val="-4"/>
        </w:rPr>
        <w:t>治理战略内容的实施、评估和改进；</w:t>
      </w:r>
    </w:p>
    <w:p>
      <w:pPr>
        <w:spacing w:before="72" w:line="219" w:lineRule="auto"/>
        <w:jc w:val="right"/>
        <w:rPr>
          <w:rFonts w:ascii="SimSun" w:hAnsi="SimSun" w:eastAsia="SimSun" w:cs="SimSun"/>
          <w:sz w:val="21"/>
          <w:szCs w:val="21"/>
        </w:rPr>
      </w:pPr>
      <w:r>
        <w:rPr>
          <w:rFonts w:ascii="SimSun" w:hAnsi="SimSun" w:eastAsia="SimSun" w:cs="SimSun"/>
          <w:sz w:val="21"/>
          <w:szCs w:val="21"/>
          <w:spacing w:val="-9"/>
        </w:rPr>
        <w:t>业务案例过程域提供了数据治理项目的优先级，有助于数据治理战略的有序推</w:t>
      </w:r>
      <w:r>
        <w:rPr>
          <w:rFonts w:ascii="SimSun" w:hAnsi="SimSun" w:eastAsia="SimSun" w:cs="SimSun"/>
          <w:sz w:val="21"/>
          <w:szCs w:val="21"/>
          <w:spacing w:val="-10"/>
        </w:rPr>
        <w:t>进；</w:t>
      </w:r>
    </w:p>
    <w:p>
      <w:pPr>
        <w:ind w:left="270" w:right="43" w:firstLine="430"/>
        <w:spacing w:before="62" w:line="246" w:lineRule="auto"/>
        <w:rPr>
          <w:rFonts w:ascii="SimSun" w:hAnsi="SimSun" w:eastAsia="SimSun" w:cs="SimSun"/>
          <w:sz w:val="21"/>
          <w:szCs w:val="21"/>
        </w:rPr>
      </w:pPr>
      <w:r>
        <w:rPr>
          <w:rFonts w:ascii="SimSun" w:hAnsi="SimSun" w:eastAsia="SimSun" w:cs="SimSun"/>
          <w:sz w:val="21"/>
          <w:szCs w:val="21"/>
          <w:spacing w:val="1"/>
        </w:rPr>
        <w:t>资源保障过程域提供了数据治理活动实施所需的资源，包括资金、场地、基础</w:t>
      </w:r>
      <w:r>
        <w:rPr>
          <w:rFonts w:ascii="SimSun" w:hAnsi="SimSun" w:eastAsia="SimSun" w:cs="SimSun"/>
          <w:sz w:val="21"/>
          <w:szCs w:val="21"/>
          <w:spacing w:val="16"/>
        </w:rPr>
        <w:t xml:space="preserve"> </w:t>
      </w:r>
      <w:r>
        <w:rPr>
          <w:rFonts w:ascii="SimSun" w:hAnsi="SimSun" w:eastAsia="SimSun" w:cs="SimSun"/>
          <w:sz w:val="21"/>
          <w:szCs w:val="21"/>
          <w:spacing w:val="-12"/>
        </w:rPr>
        <w:t>设施等；</w:t>
      </w:r>
    </w:p>
    <w:p>
      <w:pPr>
        <w:spacing w:line="246" w:lineRule="auto"/>
        <w:sectPr>
          <w:footerReference w:type="default" r:id="rId136"/>
          <w:pgSz w:w="8870" w:h="13400"/>
          <w:pgMar w:top="400" w:right="454" w:bottom="487" w:left="479" w:header="0" w:footer="278" w:gutter="0"/>
        </w:sectPr>
        <w:rPr>
          <w:rFonts w:ascii="SimSun" w:hAnsi="SimSun" w:eastAsia="SimSun" w:cs="SimSun"/>
          <w:sz w:val="21"/>
          <w:szCs w:val="21"/>
        </w:rPr>
      </w:pPr>
    </w:p>
    <w:p>
      <w:pPr>
        <w:ind w:left="5482"/>
        <w:spacing w:before="14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pStyle w:val="BodyText"/>
        <w:spacing w:line="244" w:lineRule="auto"/>
        <w:rPr/>
      </w:pPr>
      <w:r/>
    </w:p>
    <w:p>
      <w:pPr>
        <w:ind w:right="285" w:firstLine="419"/>
        <w:spacing w:before="68" w:line="248" w:lineRule="auto"/>
        <w:rPr>
          <w:rFonts w:ascii="SimSun" w:hAnsi="SimSun" w:eastAsia="SimSun" w:cs="SimSun"/>
          <w:sz w:val="21"/>
          <w:szCs w:val="21"/>
        </w:rPr>
      </w:pPr>
      <w:r>
        <w:rPr>
          <w:rFonts w:ascii="SimSun" w:hAnsi="SimSun" w:eastAsia="SimSun" w:cs="SimSun"/>
          <w:sz w:val="21"/>
          <w:szCs w:val="21"/>
          <w:spacing w:val="5"/>
        </w:rPr>
        <w:t>沟通过程域有助于数据治理活动通知的有效传</w:t>
      </w:r>
      <w:r>
        <w:rPr>
          <w:rFonts w:ascii="SimSun" w:hAnsi="SimSun" w:eastAsia="SimSun" w:cs="SimSun"/>
          <w:sz w:val="21"/>
          <w:szCs w:val="21"/>
          <w:spacing w:val="4"/>
        </w:rPr>
        <w:t>达(如策略、标准、过程及进度</w:t>
      </w:r>
      <w:r>
        <w:rPr>
          <w:rFonts w:ascii="SimSun" w:hAnsi="SimSun" w:eastAsia="SimSun" w:cs="SimSun"/>
          <w:sz w:val="21"/>
          <w:szCs w:val="21"/>
        </w:rPr>
        <w:t xml:space="preserve"> </w:t>
      </w:r>
      <w:r>
        <w:rPr>
          <w:rFonts w:ascii="SimSun" w:hAnsi="SimSun" w:eastAsia="SimSun" w:cs="SimSun"/>
          <w:sz w:val="21"/>
          <w:szCs w:val="21"/>
          <w:spacing w:val="2"/>
        </w:rPr>
        <w:t>的制订),从而使相关活动获得数据治理参与者的理解。</w:t>
      </w:r>
    </w:p>
    <w:p>
      <w:pPr>
        <w:pStyle w:val="BodyText"/>
        <w:ind w:left="390"/>
        <w:spacing w:before="224" w:line="223" w:lineRule="auto"/>
        <w:outlineLvl w:val="2"/>
        <w:rPr>
          <w:rFonts w:ascii="SimHei" w:hAnsi="SimHei" w:eastAsia="SimHei" w:cs="SimHei"/>
        </w:rPr>
      </w:pPr>
      <w:r>
        <w:rPr>
          <w:b/>
          <w:bCs/>
          <w:spacing w:val="-2"/>
        </w:rPr>
        <w:t>2.GOM</w:t>
      </w:r>
      <w:r>
        <w:rPr>
          <w:b/>
          <w:bCs/>
          <w:spacing w:val="7"/>
        </w:rPr>
        <w:t xml:space="preserve">    </w:t>
      </w:r>
      <w:r>
        <w:rPr>
          <w:rFonts w:ascii="SimHei" w:hAnsi="SimHei" w:eastAsia="SimHei" w:cs="SimHei"/>
          <w:b/>
          <w:bCs/>
          <w:spacing w:val="-2"/>
        </w:rPr>
        <w:t>表</w:t>
      </w:r>
    </w:p>
    <w:p>
      <w:pPr>
        <w:spacing w:line="155" w:lineRule="exact"/>
        <w:rPr/>
      </w:pPr>
      <w:r/>
    </w:p>
    <w:tbl>
      <w:tblPr>
        <w:tblStyle w:val="TableNormal"/>
        <w:tblW w:w="757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63"/>
        <w:gridCol w:w="1917"/>
        <w:gridCol w:w="2197"/>
        <w:gridCol w:w="2202"/>
      </w:tblGrid>
      <w:tr>
        <w:trPr>
          <w:trHeight w:val="315" w:hRule="atLeast"/>
        </w:trPr>
        <w:tc>
          <w:tcPr>
            <w:tcW w:w="1263" w:type="dxa"/>
            <w:vAlign w:val="top"/>
          </w:tcPr>
          <w:p>
            <w:pPr>
              <w:pStyle w:val="TableText"/>
              <w:ind w:left="334"/>
              <w:spacing w:before="81" w:line="220" w:lineRule="auto"/>
              <w:rPr/>
            </w:pPr>
            <w:r>
              <w:rPr>
                <w:spacing w:val="-12"/>
              </w:rPr>
              <w:t>目    标</w:t>
            </w:r>
          </w:p>
        </w:tc>
        <w:tc>
          <w:tcPr>
            <w:tcW w:w="1917" w:type="dxa"/>
            <w:vAlign w:val="top"/>
          </w:tcPr>
          <w:p>
            <w:pPr>
              <w:pStyle w:val="TableText"/>
              <w:ind w:left="651"/>
              <w:spacing w:before="83" w:line="221" w:lineRule="auto"/>
              <w:rPr/>
            </w:pPr>
            <w:r>
              <w:rPr>
                <w:spacing w:val="-12"/>
              </w:rPr>
              <w:t>问</w:t>
            </w:r>
            <w:r>
              <w:rPr>
                <w:spacing w:val="10"/>
              </w:rPr>
              <w:t xml:space="preserve">   </w:t>
            </w:r>
            <w:r>
              <w:rPr>
                <w:spacing w:val="-12"/>
              </w:rPr>
              <w:t>题</w:t>
            </w:r>
          </w:p>
        </w:tc>
        <w:tc>
          <w:tcPr>
            <w:tcW w:w="2197" w:type="dxa"/>
            <w:vAlign w:val="top"/>
          </w:tcPr>
          <w:p>
            <w:pPr>
              <w:pStyle w:val="TableText"/>
              <w:ind w:left="734"/>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202" w:type="dxa"/>
            <w:vAlign w:val="top"/>
          </w:tcPr>
          <w:p>
            <w:pPr>
              <w:pStyle w:val="TableText"/>
              <w:ind w:left="727"/>
              <w:spacing w:before="81" w:line="219" w:lineRule="auto"/>
              <w:rPr/>
            </w:pPr>
            <w:r>
              <w:rPr>
                <w:spacing w:val="3"/>
              </w:rPr>
              <w:t>度量项说明</w:t>
            </w:r>
          </w:p>
        </w:tc>
      </w:tr>
      <w:tr>
        <w:trPr>
          <w:trHeight w:val="1189" w:hRule="atLeast"/>
        </w:trPr>
        <w:tc>
          <w:tcPr>
            <w:tcW w:w="1263" w:type="dxa"/>
            <w:vAlign w:val="top"/>
            <w:vMerge w:val="restart"/>
            <w:tcBorders>
              <w:bottom w:val="nil"/>
            </w:tcBorders>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84" w:right="102" w:firstLine="149"/>
              <w:spacing w:before="49" w:line="271" w:lineRule="auto"/>
              <w:rPr/>
            </w:pPr>
            <w:r>
              <w:rPr>
                <w:spacing w:val="-1"/>
              </w:rPr>
              <w:t>G1:制订完整</w:t>
            </w:r>
            <w:r>
              <w:rPr/>
              <w:t xml:space="preserve">  </w:t>
            </w:r>
            <w:r>
              <w:rPr>
                <w:spacing w:val="2"/>
              </w:rPr>
              <w:t>的云端数据治理</w:t>
            </w:r>
            <w:r>
              <w:rPr/>
              <w:t xml:space="preserve"> </w:t>
            </w:r>
            <w:r>
              <w:rPr>
                <w:spacing w:val="-4"/>
              </w:rPr>
              <w:t>战略</w:t>
            </w:r>
          </w:p>
        </w:tc>
        <w:tc>
          <w:tcPr>
            <w:tcW w:w="1917" w:type="dxa"/>
            <w:vAlign w:val="top"/>
            <w:vMerge w:val="restart"/>
            <w:tcBorders>
              <w:bottom w:val="nil"/>
            </w:tcBorders>
          </w:tcPr>
          <w:p>
            <w:pPr>
              <w:spacing w:line="277" w:lineRule="auto"/>
              <w:rPr>
                <w:rFonts w:ascii="Arial"/>
                <w:sz w:val="21"/>
              </w:rPr>
            </w:pPr>
            <w:r/>
          </w:p>
          <w:p>
            <w:pPr>
              <w:spacing w:line="277" w:lineRule="auto"/>
              <w:rPr>
                <w:rFonts w:ascii="Arial"/>
                <w:sz w:val="21"/>
              </w:rPr>
            </w:pPr>
            <w:r/>
          </w:p>
          <w:p>
            <w:pPr>
              <w:pStyle w:val="TableText"/>
              <w:ind w:left="91" w:right="264" w:firstLine="130"/>
              <w:spacing w:before="48" w:line="251" w:lineRule="auto"/>
              <w:rPr/>
            </w:pPr>
            <w:r>
              <w:rPr>
                <w:spacing w:val="-1"/>
              </w:rPr>
              <w:t>Q1:数据治理战略是否</w:t>
            </w:r>
            <w:r>
              <w:rPr>
                <w:spacing w:val="5"/>
              </w:rPr>
              <w:t xml:space="preserve"> </w:t>
            </w:r>
            <w:r>
              <w:rPr>
                <w:spacing w:val="-2"/>
              </w:rPr>
              <w:t>完整</w:t>
            </w:r>
          </w:p>
        </w:tc>
        <w:tc>
          <w:tcPr>
            <w:tcW w:w="2197" w:type="dxa"/>
            <w:vAlign w:val="top"/>
          </w:tcPr>
          <w:p>
            <w:pPr>
              <w:spacing w:line="464" w:lineRule="auto"/>
              <w:rPr>
                <w:rFonts w:ascii="Arial"/>
                <w:sz w:val="21"/>
              </w:rPr>
            </w:pPr>
            <w:r/>
          </w:p>
          <w:p>
            <w:pPr>
              <w:pStyle w:val="TableText"/>
              <w:ind w:left="264"/>
              <w:spacing w:before="49" w:line="219" w:lineRule="auto"/>
              <w:rPr/>
            </w:pPr>
            <w:r>
              <w:rPr>
                <w:spacing w:val="-1"/>
              </w:rPr>
              <w:t>M1:数据治理战略完整性</w:t>
            </w:r>
          </w:p>
        </w:tc>
        <w:tc>
          <w:tcPr>
            <w:tcW w:w="2202" w:type="dxa"/>
            <w:vAlign w:val="top"/>
          </w:tcPr>
          <w:p>
            <w:pPr>
              <w:pStyle w:val="TableText"/>
              <w:ind w:left="127" w:firstLine="137"/>
              <w:spacing w:before="27" w:line="276" w:lineRule="auto"/>
              <w:rPr/>
            </w:pPr>
            <w:r>
              <w:rPr>
                <w:spacing w:val="4"/>
              </w:rPr>
              <w:t>数据治理战略覆盖了愿景、</w:t>
            </w:r>
            <w:r>
              <w:rPr/>
              <w:t xml:space="preserve">  </w:t>
            </w:r>
            <w:r>
              <w:rPr>
                <w:spacing w:val="-2"/>
              </w:rPr>
              <w:t>目的、范围、组织与角色、需  </w:t>
            </w:r>
            <w:r>
              <w:rPr>
                <w:spacing w:val="-3"/>
              </w:rPr>
              <w:t>求、合规、项目优先级等内容，</w:t>
            </w:r>
            <w:r>
              <w:rPr>
                <w:spacing w:val="5"/>
              </w:rPr>
              <w:t xml:space="preserve"> </w:t>
            </w:r>
            <w:r>
              <w:rPr>
                <w:spacing w:val="-2"/>
              </w:rPr>
              <w:t>包括了管理和技术上的策略</w:t>
            </w:r>
          </w:p>
          <w:p>
            <w:pPr>
              <w:pStyle w:val="TableText"/>
              <w:ind w:left="137"/>
              <w:spacing w:before="72" w:line="219" w:lineRule="auto"/>
              <w:rPr/>
            </w:pPr>
            <w:r>
              <w:rPr/>
              <w:t>以支持业务目标</w:t>
            </w:r>
          </w:p>
        </w:tc>
      </w:tr>
      <w:tr>
        <w:trPr>
          <w:trHeight w:val="480" w:hRule="atLeast"/>
        </w:trPr>
        <w:tc>
          <w:tcPr>
            <w:tcW w:w="1263" w:type="dxa"/>
            <w:vAlign w:val="top"/>
            <w:vMerge w:val="continue"/>
            <w:tcBorders>
              <w:top w:val="nil"/>
              <w:bottom w:val="nil"/>
            </w:tcBorders>
          </w:tcPr>
          <w:p>
            <w:pPr>
              <w:rPr>
                <w:rFonts w:ascii="Arial"/>
                <w:sz w:val="21"/>
              </w:rPr>
            </w:pPr>
            <w:r/>
          </w:p>
        </w:tc>
        <w:tc>
          <w:tcPr>
            <w:tcW w:w="1917" w:type="dxa"/>
            <w:vAlign w:val="top"/>
            <w:vMerge w:val="continue"/>
            <w:tcBorders>
              <w:top w:val="nil"/>
            </w:tcBorders>
          </w:tcPr>
          <w:p>
            <w:pPr>
              <w:rPr>
                <w:rFonts w:ascii="Arial"/>
                <w:sz w:val="21"/>
              </w:rPr>
            </w:pPr>
            <w:r/>
          </w:p>
        </w:tc>
        <w:tc>
          <w:tcPr>
            <w:tcW w:w="2197" w:type="dxa"/>
            <w:vAlign w:val="top"/>
          </w:tcPr>
          <w:p>
            <w:pPr>
              <w:pStyle w:val="TableText"/>
              <w:ind w:left="264"/>
              <w:spacing w:before="167" w:line="219" w:lineRule="auto"/>
              <w:rPr/>
            </w:pPr>
            <w:r>
              <w:rPr>
                <w:spacing w:val="-1"/>
              </w:rPr>
              <w:t>M2:文件化的数据治理战略</w:t>
            </w:r>
          </w:p>
        </w:tc>
        <w:tc>
          <w:tcPr>
            <w:tcW w:w="2202" w:type="dxa"/>
            <w:vAlign w:val="top"/>
          </w:tcPr>
          <w:p>
            <w:pPr>
              <w:pStyle w:val="TableText"/>
              <w:ind w:left="127" w:right="121" w:firstLine="149"/>
              <w:spacing w:before="36" w:line="264" w:lineRule="auto"/>
              <w:rPr/>
            </w:pPr>
            <w:r>
              <w:rPr>
                <w:spacing w:val="-1"/>
              </w:rPr>
              <w:t>数据治理战略文件化，也便</w:t>
            </w:r>
            <w:r>
              <w:rPr>
                <w:spacing w:val="3"/>
              </w:rPr>
              <w:t xml:space="preserve"> </w:t>
            </w:r>
            <w:r>
              <w:rPr>
                <w:spacing w:val="-1"/>
              </w:rPr>
              <w:t>于宣贯及指导数据治理实施</w:t>
            </w:r>
          </w:p>
        </w:tc>
      </w:tr>
      <w:tr>
        <w:trPr>
          <w:trHeight w:val="739" w:hRule="atLeast"/>
        </w:trPr>
        <w:tc>
          <w:tcPr>
            <w:tcW w:w="1263" w:type="dxa"/>
            <w:vAlign w:val="top"/>
            <w:vMerge w:val="continue"/>
            <w:tcBorders>
              <w:top w:val="nil"/>
              <w:bottom w:val="nil"/>
            </w:tcBorders>
          </w:tcPr>
          <w:p>
            <w:pPr>
              <w:rPr>
                <w:rFonts w:ascii="Arial"/>
                <w:sz w:val="21"/>
              </w:rPr>
            </w:pPr>
            <w:r/>
          </w:p>
        </w:tc>
        <w:tc>
          <w:tcPr>
            <w:tcW w:w="1917" w:type="dxa"/>
            <w:vAlign w:val="top"/>
          </w:tcPr>
          <w:p>
            <w:pPr>
              <w:pStyle w:val="TableText"/>
              <w:ind w:left="101" w:right="161" w:firstLine="139"/>
              <w:spacing w:before="45" w:line="277" w:lineRule="auto"/>
              <w:rPr/>
            </w:pPr>
            <w:r>
              <w:rPr>
                <w:spacing w:val="-1"/>
              </w:rPr>
              <w:t>Q2:数据治理战略是否</w:t>
            </w:r>
            <w:r>
              <w:rPr>
                <w:spacing w:val="2"/>
              </w:rPr>
              <w:t xml:space="preserve">  </w:t>
            </w:r>
            <w:r>
              <w:rPr>
                <w:spacing w:val="-1"/>
              </w:rPr>
              <w:t>得到数据利益相关者的认</w:t>
            </w:r>
            <w:r>
              <w:rPr>
                <w:spacing w:val="3"/>
              </w:rPr>
              <w:t xml:space="preserve"> </w:t>
            </w:r>
            <w:r>
              <w:rPr>
                <w:spacing w:val="2"/>
              </w:rPr>
              <w:t>可</w:t>
            </w:r>
          </w:p>
        </w:tc>
        <w:tc>
          <w:tcPr>
            <w:tcW w:w="2197" w:type="dxa"/>
            <w:vAlign w:val="top"/>
          </w:tcPr>
          <w:p>
            <w:pPr>
              <w:spacing w:line="247" w:lineRule="auto"/>
              <w:rPr>
                <w:rFonts w:ascii="Arial"/>
                <w:sz w:val="21"/>
              </w:rPr>
            </w:pPr>
            <w:r/>
          </w:p>
          <w:p>
            <w:pPr>
              <w:pStyle w:val="TableText"/>
              <w:ind w:left="264"/>
              <w:spacing w:before="49" w:line="220" w:lineRule="auto"/>
              <w:rPr/>
            </w:pPr>
            <w:r>
              <w:rPr>
                <w:spacing w:val="-1"/>
              </w:rPr>
              <w:t>M3:审批记录</w:t>
            </w:r>
          </w:p>
        </w:tc>
        <w:tc>
          <w:tcPr>
            <w:tcW w:w="2202" w:type="dxa"/>
            <w:vAlign w:val="top"/>
          </w:tcPr>
          <w:p>
            <w:pPr>
              <w:pStyle w:val="TableText"/>
              <w:ind w:left="117" w:right="123" w:firstLine="140"/>
              <w:spacing w:before="46" w:line="279" w:lineRule="auto"/>
              <w:jc w:val="both"/>
              <w:rPr/>
            </w:pPr>
            <w:r>
              <w:rPr>
                <w:spacing w:val="-1"/>
              </w:rPr>
              <w:t>制订的数据治理战略应当得</w:t>
            </w:r>
            <w:r>
              <w:rPr>
                <w:spacing w:val="4"/>
              </w:rPr>
              <w:t xml:space="preserve"> </w:t>
            </w:r>
            <w:r>
              <w:rPr/>
              <w:t>到数据利益相关者的认可，组 </w:t>
            </w:r>
            <w:r>
              <w:rPr>
                <w:spacing w:val="-1"/>
              </w:rPr>
              <w:t>织应当保留评审及审批记录</w:t>
            </w:r>
          </w:p>
        </w:tc>
      </w:tr>
      <w:tr>
        <w:trPr>
          <w:trHeight w:val="480" w:hRule="atLeast"/>
        </w:trPr>
        <w:tc>
          <w:tcPr>
            <w:tcW w:w="1263" w:type="dxa"/>
            <w:vAlign w:val="top"/>
            <w:vMerge w:val="continue"/>
            <w:tcBorders>
              <w:top w:val="nil"/>
              <w:bottom w:val="nil"/>
            </w:tcBorders>
          </w:tcPr>
          <w:p>
            <w:pPr>
              <w:rPr>
                <w:rFonts w:ascii="Arial"/>
                <w:sz w:val="21"/>
              </w:rPr>
            </w:pPr>
            <w:r/>
          </w:p>
        </w:tc>
        <w:tc>
          <w:tcPr>
            <w:tcW w:w="1917" w:type="dxa"/>
            <w:vAlign w:val="top"/>
          </w:tcPr>
          <w:p>
            <w:pPr>
              <w:pStyle w:val="TableText"/>
              <w:ind w:left="101" w:right="244" w:firstLine="139"/>
              <w:spacing w:before="28" w:line="270" w:lineRule="auto"/>
              <w:rPr/>
            </w:pPr>
            <w:r>
              <w:rPr>
                <w:spacing w:val="-1"/>
              </w:rPr>
              <w:t>Q3:数据治理战略与组</w:t>
            </w:r>
            <w:r>
              <w:rPr>
                <w:spacing w:val="5"/>
              </w:rPr>
              <w:t xml:space="preserve"> </w:t>
            </w:r>
            <w:r>
              <w:rPr>
                <w:spacing w:val="-1"/>
              </w:rPr>
              <w:t>织其他战略的一致性</w:t>
            </w:r>
          </w:p>
        </w:tc>
        <w:tc>
          <w:tcPr>
            <w:tcW w:w="2197" w:type="dxa"/>
            <w:vAlign w:val="top"/>
          </w:tcPr>
          <w:p>
            <w:pPr>
              <w:pStyle w:val="TableText"/>
              <w:ind w:left="264"/>
              <w:spacing w:before="168" w:line="220" w:lineRule="auto"/>
              <w:rPr/>
            </w:pPr>
            <w:r>
              <w:rPr>
                <w:spacing w:val="-1"/>
              </w:rPr>
              <w:t>M4:战略一致性</w:t>
            </w:r>
          </w:p>
        </w:tc>
        <w:tc>
          <w:tcPr>
            <w:tcW w:w="2202" w:type="dxa"/>
            <w:vAlign w:val="top"/>
          </w:tcPr>
          <w:p>
            <w:pPr>
              <w:pStyle w:val="TableText"/>
              <w:ind w:left="117" w:right="131" w:firstLine="149"/>
              <w:spacing w:before="38" w:line="263" w:lineRule="auto"/>
              <w:rPr/>
            </w:pPr>
            <w:r>
              <w:rPr>
                <w:spacing w:val="-1"/>
              </w:rPr>
              <w:t>数据治理的目标应与组织业</w:t>
            </w:r>
            <w:r>
              <w:rPr>
                <w:spacing w:val="3"/>
              </w:rPr>
              <w:t xml:space="preserve"> </w:t>
            </w:r>
            <w:r>
              <w:rPr>
                <w:spacing w:val="-2"/>
              </w:rPr>
              <w:t>务目标相符</w:t>
            </w:r>
          </w:p>
        </w:tc>
      </w:tr>
      <w:tr>
        <w:trPr>
          <w:trHeight w:val="1438" w:hRule="atLeast"/>
        </w:trPr>
        <w:tc>
          <w:tcPr>
            <w:tcW w:w="1263" w:type="dxa"/>
            <w:vAlign w:val="top"/>
            <w:vMerge w:val="continue"/>
            <w:tcBorders>
              <w:top w:val="nil"/>
            </w:tcBorders>
          </w:tcPr>
          <w:p>
            <w:pPr>
              <w:rPr>
                <w:rFonts w:ascii="Arial"/>
                <w:sz w:val="21"/>
              </w:rPr>
            </w:pPr>
            <w:r/>
          </w:p>
        </w:tc>
        <w:tc>
          <w:tcPr>
            <w:tcW w:w="1917" w:type="dxa"/>
            <w:vAlign w:val="top"/>
          </w:tcPr>
          <w:p>
            <w:pPr>
              <w:spacing w:line="347" w:lineRule="auto"/>
              <w:rPr>
                <w:rFonts w:ascii="Arial"/>
                <w:sz w:val="21"/>
              </w:rPr>
            </w:pPr>
            <w:r/>
          </w:p>
          <w:p>
            <w:pPr>
              <w:pStyle w:val="TableText"/>
              <w:ind w:left="91" w:right="143" w:firstLine="160"/>
              <w:spacing w:before="48" w:line="271" w:lineRule="auto"/>
              <w:rPr/>
            </w:pPr>
            <w:r>
              <w:rPr>
                <w:spacing w:val="-1"/>
              </w:rPr>
              <w:t>Q4:数据治理战略是否</w:t>
            </w:r>
            <w:r>
              <w:rPr>
                <w:spacing w:val="2"/>
              </w:rPr>
              <w:t xml:space="preserve">  </w:t>
            </w:r>
            <w:r>
              <w:rPr>
                <w:spacing w:val="1"/>
              </w:rPr>
              <w:t>能够指导数据治理活动的</w:t>
            </w:r>
            <w:r>
              <w:rPr>
                <w:spacing w:val="9"/>
              </w:rPr>
              <w:t xml:space="preserve"> </w:t>
            </w:r>
            <w:r>
              <w:rPr>
                <w:spacing w:val="-2"/>
              </w:rPr>
              <w:t>开展</w:t>
            </w:r>
          </w:p>
        </w:tc>
        <w:tc>
          <w:tcPr>
            <w:tcW w:w="2197" w:type="dxa"/>
            <w:vAlign w:val="top"/>
          </w:tcPr>
          <w:p>
            <w:pPr>
              <w:spacing w:line="297" w:lineRule="auto"/>
              <w:rPr>
                <w:rFonts w:ascii="Arial"/>
                <w:sz w:val="21"/>
              </w:rPr>
            </w:pPr>
            <w:r/>
          </w:p>
          <w:p>
            <w:pPr>
              <w:spacing w:line="298" w:lineRule="auto"/>
              <w:rPr>
                <w:rFonts w:ascii="Arial"/>
                <w:sz w:val="21"/>
              </w:rPr>
            </w:pPr>
            <w:r/>
          </w:p>
          <w:p>
            <w:pPr>
              <w:pStyle w:val="TableText"/>
              <w:ind w:left="264"/>
              <w:spacing w:before="49" w:line="219" w:lineRule="auto"/>
              <w:rPr/>
            </w:pPr>
            <w:r>
              <w:rPr>
                <w:spacing w:val="-1"/>
              </w:rPr>
              <w:t>M5:可操作性</w:t>
            </w:r>
          </w:p>
        </w:tc>
        <w:tc>
          <w:tcPr>
            <w:tcW w:w="2202" w:type="dxa"/>
            <w:vAlign w:val="top"/>
          </w:tcPr>
          <w:p>
            <w:pPr>
              <w:pStyle w:val="TableText"/>
              <w:ind w:left="127" w:firstLine="135"/>
              <w:spacing w:before="36" w:line="283" w:lineRule="auto"/>
              <w:rPr/>
            </w:pPr>
            <w:r>
              <w:rPr>
                <w:spacing w:val="-6"/>
              </w:rPr>
              <w:t>数据战略的制订不能仅从理   </w:t>
            </w:r>
            <w:r>
              <w:rPr>
                <w:spacing w:val="-6"/>
              </w:rPr>
              <w:t>论上的最优化出发，而应考虑   </w:t>
            </w:r>
            <w:r>
              <w:rPr>
                <w:spacing w:val="-3"/>
              </w:rPr>
              <w:t>到组织的实际情况，包括制度、</w:t>
            </w:r>
            <w:r>
              <w:rPr>
                <w:spacing w:val="5"/>
              </w:rPr>
              <w:t xml:space="preserve"> </w:t>
            </w:r>
            <w:r>
              <w:rPr>
                <w:spacing w:val="-6"/>
              </w:rPr>
              <w:t>人员能力、资金、设施等因素，</w:t>
            </w:r>
            <w:r>
              <w:rPr>
                <w:spacing w:val="10"/>
              </w:rPr>
              <w:t xml:space="preserve"> </w:t>
            </w:r>
            <w:r>
              <w:rPr>
                <w:spacing w:val="-6"/>
              </w:rPr>
              <w:t>保证战略的可操作性，能够实   </w:t>
            </w:r>
            <w:r>
              <w:rPr>
                <w:spacing w:val="-4"/>
              </w:rPr>
              <w:t>际指导数据治理活动的开展</w:t>
            </w:r>
          </w:p>
        </w:tc>
      </w:tr>
      <w:tr>
        <w:trPr>
          <w:trHeight w:val="729" w:hRule="atLeast"/>
        </w:trPr>
        <w:tc>
          <w:tcPr>
            <w:tcW w:w="1263"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TableText"/>
              <w:ind w:left="84" w:right="117" w:firstLine="160"/>
              <w:spacing w:before="48" w:line="266" w:lineRule="auto"/>
              <w:jc w:val="both"/>
              <w:rPr/>
            </w:pPr>
            <w:r>
              <w:rPr>
                <w:spacing w:val="-1"/>
              </w:rPr>
              <w:t>G2:云端数据</w:t>
            </w:r>
            <w:r>
              <w:rPr/>
              <w:t xml:space="preserve">  </w:t>
            </w:r>
            <w:r>
              <w:rPr/>
              <w:t>治理战略得到贯 </w:t>
            </w:r>
            <w:r>
              <w:rPr>
                <w:spacing w:val="-2"/>
              </w:rPr>
              <w:t>彻执行</w:t>
            </w:r>
          </w:p>
        </w:tc>
        <w:tc>
          <w:tcPr>
            <w:tcW w:w="1917"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81" w:right="234" w:firstLine="170"/>
              <w:spacing w:before="49" w:line="252" w:lineRule="auto"/>
              <w:rPr/>
            </w:pPr>
            <w:r>
              <w:rPr>
                <w:spacing w:val="-1"/>
              </w:rPr>
              <w:t>Q5:组织是否具备必要</w:t>
            </w:r>
            <w:r>
              <w:rPr>
                <w:spacing w:val="5"/>
              </w:rPr>
              <w:t xml:space="preserve"> </w:t>
            </w:r>
            <w:r>
              <w:rPr>
                <w:spacing w:val="6"/>
              </w:rPr>
              <w:t>的人员</w:t>
            </w:r>
          </w:p>
        </w:tc>
        <w:tc>
          <w:tcPr>
            <w:tcW w:w="2197" w:type="dxa"/>
            <w:vAlign w:val="top"/>
          </w:tcPr>
          <w:p>
            <w:pPr>
              <w:rPr>
                <w:rFonts w:ascii="Arial"/>
                <w:sz w:val="21"/>
              </w:rPr>
            </w:pPr>
            <w:r/>
          </w:p>
          <w:p>
            <w:pPr>
              <w:pStyle w:val="TableText"/>
              <w:ind w:left="264"/>
              <w:spacing w:before="48" w:line="219" w:lineRule="auto"/>
              <w:rPr/>
            </w:pPr>
            <w:r>
              <w:rPr>
                <w:spacing w:val="-1"/>
              </w:rPr>
              <w:t>M6:数据治理组织</w:t>
            </w:r>
          </w:p>
        </w:tc>
        <w:tc>
          <w:tcPr>
            <w:tcW w:w="2202" w:type="dxa"/>
            <w:vAlign w:val="top"/>
          </w:tcPr>
          <w:p>
            <w:pPr>
              <w:pStyle w:val="TableText"/>
              <w:ind w:left="117" w:right="111" w:firstLine="170"/>
              <w:spacing w:before="39" w:line="275" w:lineRule="auto"/>
              <w:jc w:val="both"/>
              <w:rPr/>
            </w:pPr>
            <w:r>
              <w:rPr>
                <w:spacing w:val="-1"/>
              </w:rPr>
              <w:t>数据治理组织是治理人员及</w:t>
            </w:r>
            <w:r>
              <w:rPr>
                <w:spacing w:val="3"/>
              </w:rPr>
              <w:t xml:space="preserve"> </w:t>
            </w:r>
            <w:r>
              <w:rPr>
                <w:spacing w:val="-1"/>
              </w:rPr>
              <w:t>其相互关系的集合，是数据治</w:t>
            </w:r>
            <w:r>
              <w:rPr>
                <w:spacing w:val="5"/>
              </w:rPr>
              <w:t xml:space="preserve"> </w:t>
            </w:r>
            <w:r>
              <w:rPr>
                <w:spacing w:val="-2"/>
              </w:rPr>
              <w:t>理实施的主体</w:t>
            </w:r>
          </w:p>
        </w:tc>
      </w:tr>
      <w:tr>
        <w:trPr>
          <w:trHeight w:val="480" w:hRule="atLeast"/>
        </w:trPr>
        <w:tc>
          <w:tcPr>
            <w:tcW w:w="1263" w:type="dxa"/>
            <w:vAlign w:val="top"/>
            <w:vMerge w:val="continue"/>
            <w:tcBorders>
              <w:top w:val="nil"/>
              <w:bottom w:val="nil"/>
            </w:tcBorders>
          </w:tcPr>
          <w:p>
            <w:pPr>
              <w:rPr>
                <w:rFonts w:ascii="Arial"/>
                <w:sz w:val="21"/>
              </w:rPr>
            </w:pPr>
            <w:r/>
          </w:p>
        </w:tc>
        <w:tc>
          <w:tcPr>
            <w:tcW w:w="1917" w:type="dxa"/>
            <w:vAlign w:val="top"/>
            <w:vMerge w:val="continue"/>
            <w:tcBorders>
              <w:top w:val="nil"/>
              <w:bottom w:val="nil"/>
            </w:tcBorders>
          </w:tcPr>
          <w:p>
            <w:pPr>
              <w:rPr>
                <w:rFonts w:ascii="Arial"/>
                <w:sz w:val="21"/>
              </w:rPr>
            </w:pPr>
            <w:r/>
          </w:p>
        </w:tc>
        <w:tc>
          <w:tcPr>
            <w:tcW w:w="2197" w:type="dxa"/>
            <w:vAlign w:val="top"/>
          </w:tcPr>
          <w:p>
            <w:pPr>
              <w:pStyle w:val="TableText"/>
              <w:ind w:left="264"/>
              <w:spacing w:before="172" w:line="221" w:lineRule="auto"/>
              <w:rPr/>
            </w:pPr>
            <w:r>
              <w:rPr>
                <w:spacing w:val="-9"/>
              </w:rPr>
              <w:t>M</w:t>
            </w:r>
            <w:r>
              <w:rPr>
                <w:spacing w:val="-17"/>
              </w:rPr>
              <w:t xml:space="preserve"> </w:t>
            </w:r>
            <w:r>
              <w:rPr>
                <w:spacing w:val="-9"/>
              </w:rPr>
              <w:t>7 :</w:t>
            </w:r>
            <w:r>
              <w:rPr>
                <w:spacing w:val="-24"/>
              </w:rPr>
              <w:t xml:space="preserve"> </w:t>
            </w:r>
            <w:r>
              <w:rPr>
                <w:spacing w:val="-9"/>
              </w:rPr>
              <w:t>人</w:t>
            </w:r>
            <w:r>
              <w:rPr>
                <w:spacing w:val="-19"/>
              </w:rPr>
              <w:t xml:space="preserve"> </w:t>
            </w:r>
            <w:r>
              <w:rPr>
                <w:spacing w:val="-9"/>
              </w:rPr>
              <w:t>员</w:t>
            </w:r>
          </w:p>
        </w:tc>
        <w:tc>
          <w:tcPr>
            <w:tcW w:w="2202" w:type="dxa"/>
            <w:vAlign w:val="top"/>
          </w:tcPr>
          <w:p>
            <w:pPr>
              <w:pStyle w:val="TableText"/>
              <w:ind w:left="157" w:right="119" w:firstLine="120"/>
              <w:spacing w:before="50" w:line="257" w:lineRule="auto"/>
              <w:rPr/>
            </w:pPr>
            <w:r>
              <w:rPr>
                <w:spacing w:val="-1"/>
              </w:rPr>
              <w:t>配备了数据治理人员并分配</w:t>
            </w:r>
            <w:r>
              <w:rPr>
                <w:spacing w:val="5"/>
              </w:rPr>
              <w:t xml:space="preserve"> </w:t>
            </w:r>
            <w:r>
              <w:rPr/>
              <w:t>了相适应的角色与职责</w:t>
            </w:r>
          </w:p>
        </w:tc>
      </w:tr>
      <w:tr>
        <w:trPr>
          <w:trHeight w:val="719" w:hRule="atLeast"/>
        </w:trPr>
        <w:tc>
          <w:tcPr>
            <w:tcW w:w="1263" w:type="dxa"/>
            <w:vAlign w:val="top"/>
            <w:vMerge w:val="continue"/>
            <w:tcBorders>
              <w:top w:val="nil"/>
              <w:bottom w:val="nil"/>
            </w:tcBorders>
          </w:tcPr>
          <w:p>
            <w:pPr>
              <w:rPr>
                <w:rFonts w:ascii="Arial"/>
                <w:sz w:val="21"/>
              </w:rPr>
            </w:pPr>
            <w:r/>
          </w:p>
        </w:tc>
        <w:tc>
          <w:tcPr>
            <w:tcW w:w="1917" w:type="dxa"/>
            <w:vAlign w:val="top"/>
            <w:vMerge w:val="continue"/>
            <w:tcBorders>
              <w:top w:val="nil"/>
            </w:tcBorders>
          </w:tcPr>
          <w:p>
            <w:pPr>
              <w:rPr>
                <w:rFonts w:ascii="Arial"/>
                <w:sz w:val="21"/>
              </w:rPr>
            </w:pPr>
            <w:r/>
          </w:p>
        </w:tc>
        <w:tc>
          <w:tcPr>
            <w:tcW w:w="2197" w:type="dxa"/>
            <w:vAlign w:val="top"/>
          </w:tcPr>
          <w:p>
            <w:pPr>
              <w:rPr>
                <w:rFonts w:ascii="Arial"/>
                <w:sz w:val="21"/>
              </w:rPr>
            </w:pPr>
            <w:r/>
          </w:p>
          <w:p>
            <w:pPr>
              <w:pStyle w:val="TableText"/>
              <w:ind w:left="264"/>
              <w:spacing w:before="49" w:line="219" w:lineRule="auto"/>
              <w:rPr/>
            </w:pPr>
            <w:r>
              <w:rPr>
                <w:spacing w:val="23"/>
              </w:rPr>
              <w:t>M8:人员能力</w:t>
            </w:r>
          </w:p>
        </w:tc>
        <w:tc>
          <w:tcPr>
            <w:tcW w:w="2202" w:type="dxa"/>
            <w:vAlign w:val="top"/>
          </w:tcPr>
          <w:p>
            <w:pPr>
              <w:pStyle w:val="TableText"/>
              <w:ind w:left="127" w:right="122" w:firstLine="130"/>
              <w:spacing w:before="41" w:line="274" w:lineRule="auto"/>
              <w:jc w:val="both"/>
              <w:rPr/>
            </w:pPr>
            <w:r>
              <w:rPr>
                <w:spacing w:val="-1"/>
              </w:rPr>
              <w:t>开展了人员培训和持续教育</w:t>
            </w:r>
            <w:r>
              <w:rPr>
                <w:spacing w:val="4"/>
              </w:rPr>
              <w:t xml:space="preserve"> </w:t>
            </w:r>
            <w:r>
              <w:rPr>
                <w:spacing w:val="-1"/>
              </w:rPr>
              <w:t>项目，让数据相关者理解、参</w:t>
            </w:r>
            <w:r>
              <w:rPr>
                <w:spacing w:val="3"/>
              </w:rPr>
              <w:t xml:space="preserve"> </w:t>
            </w:r>
            <w:r>
              <w:rPr>
                <w:spacing w:val="-1"/>
              </w:rPr>
              <w:t>与并遵从数据治理战略</w:t>
            </w:r>
          </w:p>
        </w:tc>
      </w:tr>
      <w:tr>
        <w:trPr>
          <w:trHeight w:val="719" w:hRule="atLeast"/>
        </w:trPr>
        <w:tc>
          <w:tcPr>
            <w:tcW w:w="1263" w:type="dxa"/>
            <w:vAlign w:val="top"/>
            <w:vMerge w:val="continue"/>
            <w:tcBorders>
              <w:top w:val="nil"/>
            </w:tcBorders>
          </w:tcPr>
          <w:p>
            <w:pPr>
              <w:rPr>
                <w:rFonts w:ascii="Arial"/>
                <w:sz w:val="21"/>
              </w:rPr>
            </w:pPr>
            <w:r/>
          </w:p>
        </w:tc>
        <w:tc>
          <w:tcPr>
            <w:tcW w:w="1917" w:type="dxa"/>
            <w:vAlign w:val="top"/>
          </w:tcPr>
          <w:p>
            <w:pPr>
              <w:pStyle w:val="TableText"/>
              <w:ind w:left="91" w:right="224" w:firstLine="170"/>
              <w:spacing w:before="163" w:line="258" w:lineRule="auto"/>
              <w:rPr/>
            </w:pPr>
            <w:r>
              <w:rPr>
                <w:spacing w:val="-1"/>
              </w:rPr>
              <w:t>Q6:组织是否具备必要</w:t>
            </w:r>
            <w:r>
              <w:rPr>
                <w:spacing w:val="5"/>
              </w:rPr>
              <w:t xml:space="preserve"> </w:t>
            </w:r>
            <w:r>
              <w:rPr>
                <w:spacing w:val="2"/>
              </w:rPr>
              <w:t>的资源</w:t>
            </w:r>
          </w:p>
        </w:tc>
        <w:tc>
          <w:tcPr>
            <w:tcW w:w="2197" w:type="dxa"/>
            <w:vAlign w:val="top"/>
          </w:tcPr>
          <w:p>
            <w:pPr>
              <w:spacing w:line="242" w:lineRule="auto"/>
              <w:rPr>
                <w:rFonts w:ascii="Arial"/>
                <w:sz w:val="21"/>
              </w:rPr>
            </w:pPr>
            <w:r/>
          </w:p>
          <w:p>
            <w:pPr>
              <w:pStyle w:val="TableText"/>
              <w:ind w:left="264"/>
              <w:spacing w:before="49" w:line="220" w:lineRule="auto"/>
              <w:rPr/>
            </w:pPr>
            <w:r>
              <w:rPr>
                <w:spacing w:val="-1"/>
              </w:rPr>
              <w:t>M9;资金、场地、设施</w:t>
            </w:r>
          </w:p>
        </w:tc>
        <w:tc>
          <w:tcPr>
            <w:tcW w:w="2202" w:type="dxa"/>
            <w:vAlign w:val="top"/>
          </w:tcPr>
          <w:p>
            <w:pPr>
              <w:pStyle w:val="TableText"/>
              <w:ind w:left="127" w:right="121" w:firstLine="149"/>
              <w:spacing w:before="41" w:line="274" w:lineRule="auto"/>
              <w:jc w:val="both"/>
              <w:rPr/>
            </w:pPr>
            <w:r>
              <w:rPr>
                <w:spacing w:val="-1"/>
              </w:rPr>
              <w:t>为数据治理活动的开展提供</w:t>
            </w:r>
            <w:r>
              <w:rPr>
                <w:spacing w:val="3"/>
              </w:rPr>
              <w:t xml:space="preserve"> </w:t>
            </w:r>
            <w:r>
              <w:rPr>
                <w:spacing w:val="-1"/>
              </w:rPr>
              <w:t>足够的资金、场地、设施等资</w:t>
            </w:r>
            <w:r>
              <w:rPr>
                <w:spacing w:val="3"/>
              </w:rPr>
              <w:t xml:space="preserve"> </w:t>
            </w:r>
            <w:r>
              <w:rPr/>
              <w:t>源</w:t>
            </w:r>
          </w:p>
        </w:tc>
      </w:tr>
      <w:tr>
        <w:trPr>
          <w:trHeight w:val="489" w:hRule="atLeast"/>
        </w:trPr>
        <w:tc>
          <w:tcPr>
            <w:tcW w:w="1263"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TableText"/>
              <w:ind w:left="84" w:right="127" w:firstLine="160"/>
              <w:spacing w:before="49" w:line="262" w:lineRule="auto"/>
              <w:jc w:val="both"/>
              <w:rPr/>
            </w:pPr>
            <w:r>
              <w:rPr>
                <w:spacing w:val="-1"/>
              </w:rPr>
              <w:t>G3:云端数据</w:t>
            </w:r>
            <w:r>
              <w:rPr/>
              <w:t xml:space="preserve">  </w:t>
            </w:r>
            <w:r>
              <w:rPr>
                <w:spacing w:val="-2"/>
              </w:rPr>
              <w:t>治理战略得到评</w:t>
            </w:r>
            <w:r>
              <w:rPr>
                <w:spacing w:val="3"/>
              </w:rPr>
              <w:t xml:space="preserve"> </w:t>
            </w:r>
            <w:r>
              <w:rPr>
                <w:spacing w:val="-1"/>
              </w:rPr>
              <w:t>审与改进</w:t>
            </w:r>
          </w:p>
        </w:tc>
        <w:tc>
          <w:tcPr>
            <w:tcW w:w="1917" w:type="dxa"/>
            <w:vAlign w:val="top"/>
          </w:tcPr>
          <w:p>
            <w:pPr>
              <w:pStyle w:val="TableText"/>
              <w:ind w:left="91" w:right="169" w:firstLine="160"/>
              <w:spacing w:before="43" w:line="268" w:lineRule="auto"/>
              <w:rPr/>
            </w:pPr>
            <w:r>
              <w:rPr>
                <w:spacing w:val="-1"/>
              </w:rPr>
              <w:t>Q7:是否制订了对战略</w:t>
            </w:r>
            <w:r>
              <w:rPr>
                <w:spacing w:val="2"/>
              </w:rPr>
              <w:t xml:space="preserve">  </w:t>
            </w:r>
            <w:r>
              <w:rPr>
                <w:spacing w:val="-1"/>
              </w:rPr>
              <w:t>进行测量评审的指标体系</w:t>
            </w:r>
          </w:p>
        </w:tc>
        <w:tc>
          <w:tcPr>
            <w:tcW w:w="2197" w:type="dxa"/>
            <w:vAlign w:val="top"/>
          </w:tcPr>
          <w:p>
            <w:pPr>
              <w:pStyle w:val="TableText"/>
              <w:ind w:left="264"/>
              <w:spacing w:before="173" w:line="220" w:lineRule="auto"/>
              <w:rPr/>
            </w:pPr>
            <w:r>
              <w:rPr>
                <w:spacing w:val="-1"/>
              </w:rPr>
              <w:t>M10:指标体系</w:t>
            </w:r>
          </w:p>
        </w:tc>
        <w:tc>
          <w:tcPr>
            <w:tcW w:w="2202" w:type="dxa"/>
            <w:vAlign w:val="top"/>
          </w:tcPr>
          <w:p>
            <w:pPr>
              <w:pStyle w:val="TableText"/>
              <w:ind w:left="117" w:right="105" w:firstLine="149"/>
              <w:spacing w:before="33" w:line="264" w:lineRule="auto"/>
              <w:rPr/>
            </w:pPr>
            <w:r>
              <w:rPr>
                <w:spacing w:val="1"/>
              </w:rPr>
              <w:t>定义了数据治理活动的输出</w:t>
            </w:r>
            <w:r>
              <w:rPr>
                <w:spacing w:val="5"/>
              </w:rPr>
              <w:t xml:space="preserve"> </w:t>
            </w:r>
            <w:r>
              <w:rPr>
                <w:spacing w:val="-2"/>
              </w:rPr>
              <w:t>衡量指标</w:t>
            </w:r>
          </w:p>
        </w:tc>
      </w:tr>
      <w:tr>
        <w:trPr>
          <w:trHeight w:val="709" w:hRule="atLeast"/>
        </w:trPr>
        <w:tc>
          <w:tcPr>
            <w:tcW w:w="1263" w:type="dxa"/>
            <w:vAlign w:val="top"/>
            <w:vMerge w:val="continue"/>
            <w:tcBorders>
              <w:top w:val="nil"/>
              <w:bottom w:val="nil"/>
            </w:tcBorders>
          </w:tcPr>
          <w:p>
            <w:pPr>
              <w:rPr>
                <w:rFonts w:ascii="Arial"/>
                <w:sz w:val="21"/>
              </w:rPr>
            </w:pPr>
            <w:r/>
          </w:p>
        </w:tc>
        <w:tc>
          <w:tcPr>
            <w:tcW w:w="1917" w:type="dxa"/>
            <w:vAlign w:val="top"/>
            <w:vMerge w:val="restart"/>
            <w:tcBorders>
              <w:bottom w:val="nil"/>
            </w:tcBorders>
          </w:tcPr>
          <w:p>
            <w:pPr>
              <w:spacing w:line="300" w:lineRule="auto"/>
              <w:rPr>
                <w:rFonts w:ascii="Arial"/>
                <w:sz w:val="21"/>
              </w:rPr>
            </w:pPr>
            <w:r/>
          </w:p>
          <w:p>
            <w:pPr>
              <w:spacing w:line="301" w:lineRule="auto"/>
              <w:rPr>
                <w:rFonts w:ascii="Arial"/>
                <w:sz w:val="21"/>
              </w:rPr>
            </w:pPr>
            <w:r/>
          </w:p>
          <w:p>
            <w:pPr>
              <w:pStyle w:val="TableText"/>
              <w:ind w:left="111" w:right="224" w:firstLine="149"/>
              <w:spacing w:before="49" w:line="251" w:lineRule="auto"/>
              <w:rPr/>
            </w:pPr>
            <w:r>
              <w:rPr>
                <w:spacing w:val="-1"/>
              </w:rPr>
              <w:t>Q8:是否实施了战略的</w:t>
            </w:r>
            <w:r>
              <w:rPr>
                <w:spacing w:val="5"/>
              </w:rPr>
              <w:t xml:space="preserve"> </w:t>
            </w:r>
            <w:r>
              <w:rPr>
                <w:spacing w:val="-1"/>
              </w:rPr>
              <w:t>评审与改进</w:t>
            </w:r>
          </w:p>
        </w:tc>
        <w:tc>
          <w:tcPr>
            <w:tcW w:w="2197" w:type="dxa"/>
            <w:vAlign w:val="top"/>
          </w:tcPr>
          <w:p>
            <w:pPr>
              <w:pStyle w:val="TableText"/>
              <w:ind w:left="264"/>
              <w:spacing w:before="284" w:line="221" w:lineRule="auto"/>
              <w:rPr/>
            </w:pPr>
            <w:r>
              <w:rPr>
                <w:spacing w:val="-1"/>
              </w:rPr>
              <w:t>M11:统计学方法</w:t>
            </w:r>
          </w:p>
        </w:tc>
        <w:tc>
          <w:tcPr>
            <w:tcW w:w="2202" w:type="dxa"/>
            <w:vAlign w:val="top"/>
          </w:tcPr>
          <w:p>
            <w:pPr>
              <w:pStyle w:val="TableText"/>
              <w:ind w:left="267"/>
              <w:spacing w:before="44" w:line="219" w:lineRule="auto"/>
              <w:rPr/>
            </w:pPr>
            <w:r>
              <w:rPr>
                <w:spacing w:val="-1"/>
              </w:rPr>
              <w:t>根据组织已定义的标准过</w:t>
            </w:r>
          </w:p>
          <w:p>
            <w:pPr>
              <w:pStyle w:val="TableText"/>
              <w:ind w:left="137" w:right="119" w:hanging="10"/>
              <w:spacing w:before="72" w:line="249" w:lineRule="auto"/>
              <w:rPr/>
            </w:pPr>
            <w:r>
              <w:rPr>
                <w:spacing w:val="-1"/>
              </w:rPr>
              <w:t>程，对组织的数据管理战略进</w:t>
            </w:r>
            <w:r>
              <w:rPr>
                <w:spacing w:val="6"/>
              </w:rPr>
              <w:t xml:space="preserve"> </w:t>
            </w:r>
            <w:r>
              <w:rPr>
                <w:spacing w:val="-1"/>
              </w:rPr>
              <w:t>行记录、维护、评审和沟通</w:t>
            </w:r>
          </w:p>
        </w:tc>
      </w:tr>
      <w:tr>
        <w:trPr>
          <w:trHeight w:val="479" w:hRule="atLeast"/>
        </w:trPr>
        <w:tc>
          <w:tcPr>
            <w:tcW w:w="1263" w:type="dxa"/>
            <w:vAlign w:val="top"/>
            <w:vMerge w:val="continue"/>
            <w:tcBorders>
              <w:top w:val="nil"/>
              <w:bottom w:val="nil"/>
            </w:tcBorders>
          </w:tcPr>
          <w:p>
            <w:pPr>
              <w:rPr>
                <w:rFonts w:ascii="Arial"/>
                <w:sz w:val="21"/>
              </w:rPr>
            </w:pPr>
            <w:r/>
          </w:p>
        </w:tc>
        <w:tc>
          <w:tcPr>
            <w:tcW w:w="1917" w:type="dxa"/>
            <w:vAlign w:val="top"/>
            <w:vMerge w:val="continue"/>
            <w:tcBorders>
              <w:top w:val="nil"/>
              <w:bottom w:val="nil"/>
            </w:tcBorders>
          </w:tcPr>
          <w:p>
            <w:pPr>
              <w:rPr>
                <w:rFonts w:ascii="Arial"/>
                <w:sz w:val="21"/>
              </w:rPr>
            </w:pPr>
            <w:r/>
          </w:p>
        </w:tc>
        <w:tc>
          <w:tcPr>
            <w:tcW w:w="2197" w:type="dxa"/>
            <w:vAlign w:val="top"/>
          </w:tcPr>
          <w:p>
            <w:pPr>
              <w:pStyle w:val="TableText"/>
              <w:ind w:left="264"/>
              <w:spacing w:before="175" w:line="219" w:lineRule="auto"/>
              <w:rPr/>
            </w:pPr>
            <w:r>
              <w:rPr>
                <w:spacing w:val="-1"/>
              </w:rPr>
              <w:t>M12:改进计划</w:t>
            </w:r>
          </w:p>
        </w:tc>
        <w:tc>
          <w:tcPr>
            <w:tcW w:w="2202" w:type="dxa"/>
            <w:vAlign w:val="top"/>
          </w:tcPr>
          <w:p>
            <w:pPr>
              <w:pStyle w:val="TableText"/>
              <w:ind w:left="127" w:right="129" w:firstLine="139"/>
              <w:spacing w:before="54" w:line="255" w:lineRule="auto"/>
              <w:rPr/>
            </w:pPr>
            <w:r>
              <w:rPr>
                <w:spacing w:val="-1"/>
              </w:rPr>
              <w:t>对数据治理战略执行的顺序</w:t>
            </w:r>
            <w:r>
              <w:rPr>
                <w:spacing w:val="5"/>
              </w:rPr>
              <w:t xml:space="preserve"> </w:t>
            </w:r>
            <w:r>
              <w:rPr>
                <w:spacing w:val="-1"/>
              </w:rPr>
              <w:t>进行监督并更新</w:t>
            </w:r>
          </w:p>
        </w:tc>
      </w:tr>
      <w:tr>
        <w:trPr>
          <w:trHeight w:val="484" w:hRule="atLeast"/>
        </w:trPr>
        <w:tc>
          <w:tcPr>
            <w:tcW w:w="1263" w:type="dxa"/>
            <w:vAlign w:val="top"/>
            <w:vMerge w:val="continue"/>
            <w:tcBorders>
              <w:top w:val="nil"/>
            </w:tcBorders>
          </w:tcPr>
          <w:p>
            <w:pPr>
              <w:rPr>
                <w:rFonts w:ascii="Arial"/>
                <w:sz w:val="21"/>
              </w:rPr>
            </w:pPr>
            <w:r/>
          </w:p>
        </w:tc>
        <w:tc>
          <w:tcPr>
            <w:tcW w:w="1917" w:type="dxa"/>
            <w:vAlign w:val="top"/>
            <w:vMerge w:val="continue"/>
            <w:tcBorders>
              <w:top w:val="nil"/>
            </w:tcBorders>
          </w:tcPr>
          <w:p>
            <w:pPr>
              <w:rPr>
                <w:rFonts w:ascii="Arial"/>
                <w:sz w:val="21"/>
              </w:rPr>
            </w:pPr>
            <w:r/>
          </w:p>
        </w:tc>
        <w:tc>
          <w:tcPr>
            <w:tcW w:w="2197" w:type="dxa"/>
            <w:vAlign w:val="top"/>
          </w:tcPr>
          <w:p>
            <w:pPr>
              <w:pStyle w:val="TableText"/>
              <w:ind w:left="264"/>
              <w:spacing w:before="176" w:line="219" w:lineRule="auto"/>
              <w:rPr/>
            </w:pPr>
            <w:r>
              <w:rPr>
                <w:spacing w:val="-1"/>
              </w:rPr>
              <w:t>M13:优先级执行情况</w:t>
            </w:r>
          </w:p>
        </w:tc>
        <w:tc>
          <w:tcPr>
            <w:tcW w:w="2202" w:type="dxa"/>
            <w:vAlign w:val="top"/>
          </w:tcPr>
          <w:p>
            <w:pPr>
              <w:pStyle w:val="TableText"/>
              <w:ind w:left="127" w:right="119" w:firstLine="149"/>
              <w:spacing w:before="36" w:line="263" w:lineRule="auto"/>
              <w:rPr/>
            </w:pPr>
            <w:r>
              <w:rPr>
                <w:spacing w:val="-1"/>
              </w:rPr>
              <w:t>对数据治理战略执行的顺序</w:t>
            </w:r>
            <w:r>
              <w:rPr>
                <w:spacing w:val="5"/>
              </w:rPr>
              <w:t xml:space="preserve"> </w:t>
            </w:r>
            <w:r>
              <w:rPr>
                <w:spacing w:val="-1"/>
              </w:rPr>
              <w:t>进行监督并更新</w:t>
            </w:r>
          </w:p>
        </w:tc>
      </w:tr>
    </w:tbl>
    <w:p>
      <w:pPr>
        <w:pStyle w:val="BodyText"/>
        <w:rPr/>
      </w:pPr>
      <w:r/>
    </w:p>
    <w:p>
      <w:pPr>
        <w:sectPr>
          <w:footerReference w:type="default" r:id="rId138"/>
          <w:pgSz w:w="8870" w:h="13400"/>
          <w:pgMar w:top="400" w:right="622" w:bottom="605" w:left="350" w:header="0" w:footer="399" w:gutter="0"/>
        </w:sectPr>
        <w:rPr/>
      </w:pPr>
    </w:p>
    <w:p>
      <w:pPr>
        <w:ind w:left="139"/>
        <w:spacing w:before="129"/>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637"/>
            <wp:effectExtent l="0" t="0" r="0" b="0"/>
            <wp:docPr id="118" name="IM 118"/>
            <wp:cNvGraphicFramePr/>
            <a:graphic>
              <a:graphicData uri="http://schemas.openxmlformats.org/drawingml/2006/picture">
                <pic:pic>
                  <pic:nvPicPr>
                    <pic:cNvPr id="118" name="IM 118"/>
                    <pic:cNvPicPr/>
                  </pic:nvPicPr>
                  <pic:blipFill>
                    <a:blip r:embed="rId140"/>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6"/>
        </w:rPr>
        <w:t xml:space="preserve"> </w:t>
      </w:r>
      <w:r>
        <w:rPr>
          <w:rFonts w:ascii="SimSun" w:hAnsi="SimSun" w:eastAsia="SimSun" w:cs="SimSun"/>
          <w:sz w:val="22"/>
          <w:szCs w:val="22"/>
          <w:b/>
          <w:bCs/>
          <w:spacing w:val="-16"/>
        </w:rPr>
        <w:t>■云端数据治理</w:t>
      </w:r>
    </w:p>
    <w:p>
      <w:pPr>
        <w:pStyle w:val="BodyText"/>
        <w:spacing w:line="370" w:lineRule="auto"/>
        <w:rPr/>
      </w:pPr>
      <w:r/>
    </w:p>
    <w:p>
      <w:pPr>
        <w:ind w:left="703"/>
        <w:spacing w:before="71" w:line="470" w:lineRule="exact"/>
        <w:rPr>
          <w:rFonts w:ascii="SimHei" w:hAnsi="SimHei" w:eastAsia="SimHei" w:cs="SimHei"/>
          <w:sz w:val="22"/>
          <w:szCs w:val="22"/>
        </w:rPr>
      </w:pPr>
      <w:r>
        <w:rPr>
          <w:rFonts w:ascii="SimHei" w:hAnsi="SimHei" w:eastAsia="SimHei" w:cs="SimHei"/>
          <w:sz w:val="22"/>
          <w:szCs w:val="22"/>
          <w:b/>
          <w:bCs/>
          <w:position w:val="19"/>
        </w:rPr>
        <w:t>3.</w:t>
      </w:r>
      <w:r>
        <w:rPr>
          <w:rFonts w:ascii="SimHei" w:hAnsi="SimHei" w:eastAsia="SimHei" w:cs="SimHei"/>
          <w:sz w:val="22"/>
          <w:szCs w:val="22"/>
          <w:spacing w:val="-20"/>
          <w:position w:val="19"/>
        </w:rPr>
        <w:t xml:space="preserve"> </w:t>
      </w:r>
      <w:r>
        <w:rPr>
          <w:rFonts w:ascii="SimHei" w:hAnsi="SimHei" w:eastAsia="SimHei" w:cs="SimHei"/>
          <w:sz w:val="22"/>
          <w:szCs w:val="22"/>
          <w:b/>
          <w:bCs/>
          <w:position w:val="19"/>
        </w:rPr>
        <w:t>成熟度等级介绍</w:t>
      </w:r>
    </w:p>
    <w:p>
      <w:pPr>
        <w:ind w:left="70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54"/>
        </w:rPr>
        <w:t xml:space="preserve"> </w:t>
      </w: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6"/>
        </w:rPr>
        <w:t>初始级</w:t>
      </w:r>
    </w:p>
    <w:p>
      <w:pPr>
        <w:spacing w:line="127" w:lineRule="exact"/>
        <w:rPr/>
      </w:pPr>
      <w:r/>
    </w:p>
    <w:tbl>
      <w:tblPr>
        <w:tblStyle w:val="TableNormal"/>
        <w:tblW w:w="759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25"/>
        <w:gridCol w:w="3740"/>
      </w:tblGrid>
      <w:tr>
        <w:trPr>
          <w:trHeight w:val="313" w:hRule="atLeast"/>
        </w:trPr>
        <w:tc>
          <w:tcPr>
            <w:tcW w:w="734" w:type="dxa"/>
            <w:vAlign w:val="top"/>
          </w:tcPr>
          <w:p>
            <w:pPr>
              <w:pStyle w:val="TableText"/>
              <w:ind w:left="204"/>
              <w:spacing w:before="81" w:line="221" w:lineRule="auto"/>
              <w:rPr/>
            </w:pPr>
            <w:r>
              <w:rPr>
                <w:spacing w:val="-2"/>
              </w:rPr>
              <w:t>序号</w:t>
            </w:r>
          </w:p>
        </w:tc>
        <w:tc>
          <w:tcPr>
            <w:tcW w:w="312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1117" w:hRule="atLeast"/>
        </w:trPr>
        <w:tc>
          <w:tcPr>
            <w:tcW w:w="734" w:type="dxa"/>
            <w:vAlign w:val="top"/>
          </w:tcPr>
          <w:p>
            <w:pPr>
              <w:spacing w:line="474" w:lineRule="auto"/>
              <w:rPr>
                <w:rFonts w:ascii="Arial"/>
                <w:sz w:val="21"/>
              </w:rPr>
            </w:pPr>
            <w:r/>
          </w:p>
          <w:p>
            <w:pPr>
              <w:pStyle w:val="TableText"/>
              <w:ind w:left="244"/>
              <w:spacing w:before="49" w:line="184" w:lineRule="auto"/>
              <w:rPr/>
            </w:pPr>
            <w:r>
              <w:rPr>
                <w:spacing w:val="-4"/>
              </w:rPr>
              <w:t>1.1</w:t>
            </w:r>
          </w:p>
        </w:tc>
        <w:tc>
          <w:tcPr>
            <w:tcW w:w="3125" w:type="dxa"/>
            <w:vAlign w:val="top"/>
          </w:tcPr>
          <w:p>
            <w:pPr>
              <w:spacing w:line="307" w:lineRule="auto"/>
              <w:rPr>
                <w:rFonts w:ascii="Arial"/>
                <w:sz w:val="21"/>
              </w:rPr>
            </w:pPr>
            <w:r/>
          </w:p>
          <w:p>
            <w:pPr>
              <w:pStyle w:val="TableText"/>
              <w:ind w:left="111" w:right="151" w:firstLine="159"/>
              <w:spacing w:before="48" w:line="282" w:lineRule="auto"/>
              <w:rPr/>
            </w:pPr>
            <w:r>
              <w:rPr>
                <w:spacing w:val="-1"/>
              </w:rPr>
              <w:t>数据治理的目标、优先级和范围能够反映</w:t>
            </w:r>
            <w:r>
              <w:rPr>
                <w:spacing w:val="9"/>
              </w:rPr>
              <w:t xml:space="preserve"> </w:t>
            </w:r>
            <w:r>
              <w:rPr>
                <w:spacing w:val="-1"/>
              </w:rPr>
              <w:t>利益相关者的业务目标</w:t>
            </w:r>
          </w:p>
        </w:tc>
        <w:tc>
          <w:tcPr>
            <w:tcW w:w="3740" w:type="dxa"/>
            <w:vAlign w:val="top"/>
          </w:tcPr>
          <w:p>
            <w:pPr>
              <w:pStyle w:val="TableText"/>
              <w:ind w:left="255"/>
              <w:spacing w:before="78" w:line="219" w:lineRule="auto"/>
              <w:rPr/>
            </w:pPr>
            <w:r>
              <w:rPr/>
              <w:t>●数据困境与需求分析</w:t>
            </w:r>
          </w:p>
          <w:p>
            <w:pPr>
              <w:pStyle w:val="TableText"/>
              <w:ind w:left="255"/>
              <w:spacing w:before="92" w:line="219" w:lineRule="auto"/>
              <w:rPr/>
            </w:pPr>
            <w:r>
              <w:rPr/>
              <w:t>●文件化的业务目标</w:t>
            </w:r>
          </w:p>
          <w:p>
            <w:pPr>
              <w:pStyle w:val="TableText"/>
              <w:ind w:left="255"/>
              <w:spacing w:before="112" w:line="219" w:lineRule="auto"/>
              <w:rPr/>
            </w:pPr>
            <w:r>
              <w:rPr/>
              <w:t>●数据治理目标、优先级和项目范围</w:t>
            </w:r>
          </w:p>
          <w:p>
            <w:pPr>
              <w:pStyle w:val="TableText"/>
              <w:ind w:left="255"/>
              <w:spacing w:before="100" w:line="218" w:lineRule="auto"/>
              <w:rPr/>
            </w:pPr>
            <w:r>
              <w:rPr/>
              <w:t>●数据治理结果报告与项目目标差距分析</w:t>
            </w:r>
          </w:p>
        </w:tc>
      </w:tr>
    </w:tbl>
    <w:p>
      <w:pPr>
        <w:ind w:left="59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0" w:right="60" w:firstLine="459"/>
        <w:spacing w:before="71" w:line="253" w:lineRule="auto"/>
        <w:rPr>
          <w:rFonts w:ascii="SimSun" w:hAnsi="SimSun" w:eastAsia="SimSun" w:cs="SimSun"/>
          <w:sz w:val="22"/>
          <w:szCs w:val="22"/>
        </w:rPr>
      </w:pPr>
      <w:r>
        <w:rPr>
          <w:rFonts w:ascii="SimSun" w:hAnsi="SimSun" w:eastAsia="SimSun" w:cs="SimSun"/>
          <w:sz w:val="22"/>
          <w:szCs w:val="22"/>
          <w:spacing w:val="-9"/>
        </w:rPr>
        <w:t>组织内部意识到了数据治理的必要性，并进行了初步的数据治理活</w:t>
      </w:r>
      <w:r>
        <w:rPr>
          <w:rFonts w:ascii="SimSun" w:hAnsi="SimSun" w:eastAsia="SimSun" w:cs="SimSun"/>
          <w:sz w:val="22"/>
          <w:szCs w:val="22"/>
          <w:spacing w:val="-10"/>
        </w:rPr>
        <w:t>动的实施，</w:t>
      </w:r>
      <w:r>
        <w:rPr>
          <w:rFonts w:ascii="SimSun" w:hAnsi="SimSun" w:eastAsia="SimSun" w:cs="SimSun"/>
          <w:sz w:val="22"/>
          <w:szCs w:val="22"/>
        </w:rPr>
        <w:t xml:space="preserve"> </w:t>
      </w:r>
      <w:r>
        <w:rPr>
          <w:rFonts w:ascii="SimSun" w:hAnsi="SimSun" w:eastAsia="SimSun" w:cs="SimSun"/>
          <w:sz w:val="22"/>
          <w:szCs w:val="22"/>
          <w:spacing w:val="-9"/>
        </w:rPr>
        <w:t>如制订了数据治理的基本目标、治理项目的优先级和治理的范围。具体来说，业务</w:t>
      </w:r>
      <w:r>
        <w:rPr>
          <w:rFonts w:ascii="SimSun" w:hAnsi="SimSun" w:eastAsia="SimSun" w:cs="SimSun"/>
          <w:sz w:val="22"/>
          <w:szCs w:val="22"/>
          <w:spacing w:val="12"/>
        </w:rPr>
        <w:t xml:space="preserve"> </w:t>
      </w:r>
      <w:r>
        <w:rPr>
          <w:rFonts w:ascii="SimSun" w:hAnsi="SimSun" w:eastAsia="SimSun" w:cs="SimSun"/>
          <w:sz w:val="22"/>
          <w:szCs w:val="22"/>
          <w:spacing w:val="-9"/>
        </w:rPr>
        <w:t>发起人、业务代表和项目组首先确定组织数据集的目标和项目优先级，可能包括如</w:t>
      </w:r>
      <w:r>
        <w:rPr>
          <w:rFonts w:ascii="SimSun" w:hAnsi="SimSun" w:eastAsia="SimSun" w:cs="SimSun"/>
          <w:sz w:val="22"/>
          <w:szCs w:val="22"/>
          <w:spacing w:val="18"/>
        </w:rPr>
        <w:t xml:space="preserve"> </w:t>
      </w:r>
      <w:r>
        <w:rPr>
          <w:rFonts w:ascii="SimSun" w:hAnsi="SimSun" w:eastAsia="SimSun" w:cs="SimSun"/>
          <w:sz w:val="22"/>
          <w:szCs w:val="22"/>
          <w:spacing w:val="-8"/>
        </w:rPr>
        <w:t>何确定数据范围和要求，如何与组织业务过程相关联，例如创建、读取、更新和删</w:t>
      </w:r>
      <w:r>
        <w:rPr>
          <w:rFonts w:ascii="SimSun" w:hAnsi="SimSun" w:eastAsia="SimSun" w:cs="SimSun"/>
          <w:sz w:val="22"/>
          <w:szCs w:val="22"/>
        </w:rPr>
        <w:t xml:space="preserve"> </w:t>
      </w:r>
      <w:r>
        <w:rPr>
          <w:rFonts w:ascii="SimSun" w:hAnsi="SimSun" w:eastAsia="SimSun" w:cs="SimSun"/>
          <w:sz w:val="22"/>
          <w:szCs w:val="22"/>
          <w:spacing w:val="-9"/>
        </w:rPr>
        <w:t>除数据过程，以及采用数据提供者和数据消费者管理的标准，开始进行数据质量检</w:t>
      </w:r>
      <w:r>
        <w:rPr>
          <w:rFonts w:ascii="SimSun" w:hAnsi="SimSun" w:eastAsia="SimSun" w:cs="SimSun"/>
          <w:sz w:val="22"/>
          <w:szCs w:val="22"/>
          <w:spacing w:val="12"/>
        </w:rPr>
        <w:t xml:space="preserve"> </w:t>
      </w:r>
      <w:r>
        <w:rPr>
          <w:rFonts w:ascii="SimSun" w:hAnsi="SimSun" w:eastAsia="SimSun" w:cs="SimSun"/>
          <w:sz w:val="22"/>
          <w:szCs w:val="22"/>
          <w:spacing w:val="-16"/>
        </w:rPr>
        <w:t>查等。</w:t>
      </w:r>
    </w:p>
    <w:p>
      <w:pPr>
        <w:ind w:left="700"/>
        <w:spacing w:before="44"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4"/>
        </w:rPr>
        <w:t xml:space="preserve"> </w:t>
      </w: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5"/>
        </w:rPr>
        <w:t>管理级</w:t>
      </w:r>
    </w:p>
    <w:p>
      <w:pPr>
        <w:spacing w:line="128" w:lineRule="exact"/>
        <w:rPr/>
      </w:pPr>
      <w:r/>
    </w:p>
    <w:tbl>
      <w:tblPr>
        <w:tblStyle w:val="TableNormal"/>
        <w:tblW w:w="760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40"/>
      </w:tblGrid>
      <w:tr>
        <w:trPr>
          <w:trHeight w:val="312" w:hRule="atLeast"/>
        </w:trPr>
        <w:tc>
          <w:tcPr>
            <w:tcW w:w="724" w:type="dxa"/>
            <w:vAlign w:val="top"/>
          </w:tcPr>
          <w:p>
            <w:pPr>
              <w:pStyle w:val="TableText"/>
              <w:ind w:left="205"/>
              <w:spacing w:before="81" w:line="221" w:lineRule="auto"/>
              <w:rPr/>
            </w:pPr>
            <w:r>
              <w:rPr>
                <w:spacing w:val="-2"/>
              </w:rPr>
              <w:t>序号</w:t>
            </w:r>
          </w:p>
        </w:tc>
        <w:tc>
          <w:tcPr>
            <w:tcW w:w="3136"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37" w:hRule="atLeast"/>
        </w:trPr>
        <w:tc>
          <w:tcPr>
            <w:tcW w:w="724" w:type="dxa"/>
            <w:vAlign w:val="top"/>
          </w:tcPr>
          <w:p>
            <w:pPr>
              <w:spacing w:line="336" w:lineRule="auto"/>
              <w:rPr>
                <w:rFonts w:ascii="Arial"/>
                <w:sz w:val="21"/>
              </w:rPr>
            </w:pPr>
            <w:r/>
          </w:p>
          <w:p>
            <w:pPr>
              <w:pStyle w:val="TableText"/>
              <w:ind w:left="235"/>
              <w:spacing w:before="48" w:line="184" w:lineRule="auto"/>
              <w:rPr/>
            </w:pPr>
            <w:r>
              <w:rPr>
                <w:spacing w:val="-2"/>
              </w:rPr>
              <w:t>2.1</w:t>
            </w:r>
          </w:p>
        </w:tc>
        <w:tc>
          <w:tcPr>
            <w:tcW w:w="3136" w:type="dxa"/>
            <w:vAlign w:val="top"/>
          </w:tcPr>
          <w:p>
            <w:pPr>
              <w:pStyle w:val="TableText"/>
              <w:ind w:left="111" w:right="171" w:firstLine="149"/>
              <w:spacing w:before="228" w:line="276" w:lineRule="auto"/>
              <w:rPr/>
            </w:pPr>
            <w:r>
              <w:rPr>
                <w:spacing w:val="-1"/>
              </w:rPr>
              <w:t>数据治理目标、优先级和范围得到定义并</w:t>
            </w:r>
            <w:r>
              <w:rPr>
                <w:spacing w:val="9"/>
              </w:rPr>
              <w:t xml:space="preserve"> </w:t>
            </w:r>
            <w:r>
              <w:rPr>
                <w:spacing w:val="-2"/>
              </w:rPr>
              <w:t>获得批准</w:t>
            </w:r>
          </w:p>
        </w:tc>
        <w:tc>
          <w:tcPr>
            <w:tcW w:w="3740" w:type="dxa"/>
            <w:vAlign w:val="top"/>
          </w:tcPr>
          <w:p>
            <w:pPr>
              <w:pStyle w:val="TableText"/>
              <w:ind w:left="265"/>
              <w:spacing w:before="79" w:line="219" w:lineRule="auto"/>
              <w:rPr/>
            </w:pPr>
            <w:r>
              <w:rPr/>
              <w:t>●文件化的业务目标</w:t>
            </w:r>
          </w:p>
          <w:p>
            <w:pPr>
              <w:pStyle w:val="TableText"/>
              <w:ind w:left="265"/>
              <w:spacing w:before="112" w:line="219" w:lineRule="auto"/>
              <w:rPr/>
            </w:pPr>
            <w:r>
              <w:rPr/>
              <w:t>●数据治理目标、优先级和项目范围</w:t>
            </w:r>
          </w:p>
          <w:p>
            <w:pPr>
              <w:pStyle w:val="TableText"/>
              <w:ind w:left="265"/>
              <w:spacing w:before="92" w:line="219" w:lineRule="auto"/>
              <w:rPr/>
            </w:pPr>
            <w:r>
              <w:rPr/>
              <w:t>●数据治理战略评审纪要</w:t>
            </w:r>
          </w:p>
        </w:tc>
      </w:tr>
    </w:tbl>
    <w:p>
      <w:pPr>
        <w:ind w:left="59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0" w:right="43" w:firstLine="459"/>
        <w:spacing w:before="50" w:line="256" w:lineRule="auto"/>
        <w:rPr>
          <w:rFonts w:ascii="SimSun" w:hAnsi="SimSun" w:eastAsia="SimSun" w:cs="SimSun"/>
          <w:sz w:val="22"/>
          <w:szCs w:val="22"/>
        </w:rPr>
      </w:pPr>
      <w:r>
        <w:rPr>
          <w:rFonts w:ascii="SimSun" w:hAnsi="SimSun" w:eastAsia="SimSun" w:cs="SimSun"/>
          <w:sz w:val="22"/>
          <w:szCs w:val="22"/>
          <w:spacing w:val="-9"/>
        </w:rPr>
        <w:t>组织定义了数据治理范围内与业务单元或跨业务部门相关的主题域，且这些主</w:t>
      </w:r>
      <w:r>
        <w:rPr>
          <w:rFonts w:ascii="SimSun" w:hAnsi="SimSun" w:eastAsia="SimSun" w:cs="SimSun"/>
          <w:sz w:val="22"/>
          <w:szCs w:val="22"/>
          <w:spacing w:val="16"/>
        </w:rPr>
        <w:t xml:space="preserve"> </w:t>
      </w:r>
      <w:r>
        <w:rPr>
          <w:rFonts w:ascii="SimSun" w:hAnsi="SimSun" w:eastAsia="SimSun" w:cs="SimSun"/>
          <w:sz w:val="22"/>
          <w:szCs w:val="22"/>
          <w:spacing w:val="-8"/>
        </w:rPr>
        <w:t>题域得到了所有利益相关者的批准。当多个业务单元有需求开展数据治理时，</w:t>
      </w:r>
      <w:r>
        <w:rPr>
          <w:rFonts w:ascii="SimSun" w:hAnsi="SimSun" w:eastAsia="SimSun" w:cs="SimSun"/>
          <w:sz w:val="22"/>
          <w:szCs w:val="22"/>
          <w:spacing w:val="-9"/>
        </w:rPr>
        <w:t>组织</w:t>
      </w:r>
      <w:r>
        <w:rPr>
          <w:rFonts w:ascii="SimSun" w:hAnsi="SimSun" w:eastAsia="SimSun" w:cs="SimSun"/>
          <w:sz w:val="22"/>
          <w:szCs w:val="22"/>
        </w:rPr>
        <w:t xml:space="preserve"> </w:t>
      </w:r>
      <w:r>
        <w:rPr>
          <w:rFonts w:ascii="SimSun" w:hAnsi="SimSun" w:eastAsia="SimSun" w:cs="SimSun"/>
          <w:sz w:val="22"/>
          <w:szCs w:val="22"/>
          <w:spacing w:val="-8"/>
        </w:rPr>
        <w:t>整体的数据治理活动应该开展，组织有必要对</w:t>
      </w:r>
      <w:r>
        <w:rPr>
          <w:rFonts w:ascii="SimSun" w:hAnsi="SimSun" w:eastAsia="SimSun" w:cs="SimSun"/>
          <w:sz w:val="22"/>
          <w:szCs w:val="22"/>
          <w:spacing w:val="-9"/>
        </w:rPr>
        <w:t>主题域的优先级进行排序。另外，与</w:t>
      </w:r>
      <w:r>
        <w:rPr>
          <w:rFonts w:ascii="SimSun" w:hAnsi="SimSun" w:eastAsia="SimSun" w:cs="SimSun"/>
          <w:sz w:val="22"/>
          <w:szCs w:val="22"/>
        </w:rPr>
        <w:t xml:space="preserve"> </w:t>
      </w:r>
      <w:r>
        <w:rPr>
          <w:rFonts w:ascii="SimSun" w:hAnsi="SimSun" w:eastAsia="SimSun" w:cs="SimSun"/>
          <w:sz w:val="22"/>
          <w:szCs w:val="22"/>
          <w:spacing w:val="-10"/>
        </w:rPr>
        <w:t>业务过程相关的外部数据及合规要求等应该在数据治理范围内。</w:t>
      </w:r>
    </w:p>
    <w:p>
      <w:pPr>
        <w:spacing w:line="115" w:lineRule="exact"/>
        <w:rPr/>
      </w:pPr>
      <w:r/>
    </w:p>
    <w:tbl>
      <w:tblPr>
        <w:tblStyle w:val="TableNormal"/>
        <w:tblW w:w="758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22"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30" w:type="dxa"/>
            <w:vAlign w:val="top"/>
          </w:tcPr>
          <w:p>
            <w:pPr>
              <w:pStyle w:val="TableText"/>
              <w:ind w:left="155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7" w:hRule="atLeast"/>
        </w:trPr>
        <w:tc>
          <w:tcPr>
            <w:tcW w:w="714" w:type="dxa"/>
            <w:vAlign w:val="top"/>
          </w:tcPr>
          <w:p>
            <w:pPr>
              <w:spacing w:line="326" w:lineRule="auto"/>
              <w:rPr>
                <w:rFonts w:ascii="Arial"/>
                <w:sz w:val="21"/>
              </w:rPr>
            </w:pPr>
            <w:r/>
          </w:p>
          <w:p>
            <w:pPr>
              <w:pStyle w:val="TableText"/>
              <w:ind w:left="224"/>
              <w:spacing w:before="52" w:line="183" w:lineRule="auto"/>
              <w:rPr>
                <w:sz w:val="16"/>
                <w:szCs w:val="16"/>
              </w:rPr>
            </w:pPr>
            <w:r>
              <w:rPr>
                <w:sz w:val="16"/>
                <w:szCs w:val="16"/>
                <w:spacing w:val="-2"/>
              </w:rPr>
              <w:t>2.2</w:t>
            </w:r>
          </w:p>
        </w:tc>
        <w:tc>
          <w:tcPr>
            <w:tcW w:w="3145" w:type="dxa"/>
            <w:vAlign w:val="top"/>
          </w:tcPr>
          <w:p>
            <w:pPr>
              <w:pStyle w:val="TableText"/>
              <w:ind w:left="91" w:right="1" w:firstLine="169"/>
              <w:spacing w:before="220" w:line="273" w:lineRule="auto"/>
              <w:rPr>
                <w:sz w:val="16"/>
                <w:szCs w:val="16"/>
              </w:rPr>
            </w:pPr>
            <w:r>
              <w:rPr>
                <w:sz w:val="16"/>
                <w:szCs w:val="16"/>
                <w:spacing w:val="-1"/>
              </w:rPr>
              <w:t>数据治理的目标和优先权与组织业务目标</w:t>
            </w:r>
            <w:r>
              <w:rPr>
                <w:sz w:val="16"/>
                <w:szCs w:val="16"/>
                <w:spacing w:val="9"/>
              </w:rPr>
              <w:t xml:space="preserve"> </w:t>
            </w:r>
            <w:r>
              <w:rPr>
                <w:sz w:val="16"/>
                <w:szCs w:val="16"/>
                <w:spacing w:val="-2"/>
              </w:rPr>
              <w:t>相匹配</w:t>
            </w:r>
          </w:p>
        </w:tc>
        <w:tc>
          <w:tcPr>
            <w:tcW w:w="3730" w:type="dxa"/>
            <w:vAlign w:val="top"/>
          </w:tcPr>
          <w:p>
            <w:pPr>
              <w:pStyle w:val="TableText"/>
              <w:ind w:left="265"/>
              <w:spacing w:before="69" w:line="219" w:lineRule="auto"/>
              <w:rPr>
                <w:sz w:val="16"/>
                <w:szCs w:val="16"/>
              </w:rPr>
            </w:pPr>
            <w:r>
              <w:rPr>
                <w:sz w:val="16"/>
                <w:szCs w:val="16"/>
              </w:rPr>
              <w:t>●文件化的业务目标</w:t>
            </w:r>
          </w:p>
          <w:p>
            <w:pPr>
              <w:pStyle w:val="TableText"/>
              <w:ind w:left="265"/>
              <w:spacing w:before="100" w:line="219" w:lineRule="auto"/>
              <w:rPr>
                <w:sz w:val="16"/>
                <w:szCs w:val="16"/>
              </w:rPr>
            </w:pPr>
            <w:r>
              <w:rPr>
                <w:sz w:val="16"/>
                <w:szCs w:val="16"/>
              </w:rPr>
              <w:t>●数据治理目标、优先级和项目范围</w:t>
            </w:r>
          </w:p>
          <w:p>
            <w:pPr>
              <w:pStyle w:val="TableText"/>
              <w:ind w:left="265"/>
              <w:spacing w:before="80" w:line="216" w:lineRule="auto"/>
              <w:rPr>
                <w:sz w:val="16"/>
                <w:szCs w:val="16"/>
              </w:rPr>
            </w:pPr>
            <w:r>
              <w:rPr>
                <w:sz w:val="16"/>
                <w:szCs w:val="16"/>
              </w:rPr>
              <w:t>●组织的业务目标</w:t>
            </w:r>
          </w:p>
        </w:tc>
      </w:tr>
    </w:tbl>
    <w:p>
      <w:pPr>
        <w:ind w:left="59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0" w:right="4" w:firstLine="459"/>
        <w:spacing w:before="49" w:line="252" w:lineRule="auto"/>
        <w:rPr>
          <w:rFonts w:ascii="SimSun" w:hAnsi="SimSun" w:eastAsia="SimSun" w:cs="SimSun"/>
          <w:sz w:val="22"/>
          <w:szCs w:val="22"/>
        </w:rPr>
      </w:pPr>
      <w:r>
        <w:rPr>
          <w:rFonts w:ascii="SimSun" w:hAnsi="SimSun" w:eastAsia="SimSun" w:cs="SimSun"/>
          <w:sz w:val="22"/>
          <w:szCs w:val="22"/>
          <w:spacing w:val="-9"/>
        </w:rPr>
        <w:t>数据治理的目标不是越大越好，也不是越具体越好。数据治理范围内的主题域</w:t>
      </w:r>
      <w:r>
        <w:rPr>
          <w:rFonts w:ascii="SimSun" w:hAnsi="SimSun" w:eastAsia="SimSun" w:cs="SimSun"/>
          <w:sz w:val="22"/>
          <w:szCs w:val="22"/>
          <w:spacing w:val="14"/>
        </w:rPr>
        <w:t xml:space="preserve"> </w:t>
      </w:r>
      <w:r>
        <w:rPr>
          <w:rFonts w:ascii="SimSun" w:hAnsi="SimSun" w:eastAsia="SimSun" w:cs="SimSun"/>
          <w:sz w:val="22"/>
          <w:szCs w:val="22"/>
          <w:spacing w:val="-12"/>
        </w:rPr>
        <w:t>应当映射业务单元的目标、功能和过程。要充分调研业务单元的利</w:t>
      </w:r>
      <w:r>
        <w:rPr>
          <w:rFonts w:ascii="SimSun" w:hAnsi="SimSun" w:eastAsia="SimSun" w:cs="SimSun"/>
          <w:sz w:val="22"/>
          <w:szCs w:val="22"/>
          <w:spacing w:val="-13"/>
        </w:rPr>
        <w:t>益相关者的诉求，</w:t>
      </w:r>
      <w:r>
        <w:rPr>
          <w:rFonts w:ascii="SimSun" w:hAnsi="SimSun" w:eastAsia="SimSun" w:cs="SimSun"/>
          <w:sz w:val="22"/>
          <w:szCs w:val="22"/>
        </w:rPr>
        <w:t xml:space="preserve"> </w:t>
      </w:r>
      <w:r>
        <w:rPr>
          <w:rFonts w:ascii="SimSun" w:hAnsi="SimSun" w:eastAsia="SimSun" w:cs="SimSun"/>
          <w:sz w:val="22"/>
          <w:szCs w:val="22"/>
          <w:spacing w:val="-10"/>
        </w:rPr>
        <w:t>并以此作为输入之一，对数据治理的优先权和目标进行评审和修改。</w:t>
      </w:r>
    </w:p>
    <w:p>
      <w:pPr>
        <w:spacing w:line="252" w:lineRule="auto"/>
        <w:sectPr>
          <w:footerReference w:type="default" r:id="rId139"/>
          <w:pgSz w:w="8870" w:h="13400"/>
          <w:pgMar w:top="400" w:right="465" w:bottom="534" w:left="470" w:header="0" w:footer="316" w:gutter="0"/>
        </w:sectPr>
        <w:rPr>
          <w:rFonts w:ascii="SimSun" w:hAnsi="SimSun" w:eastAsia="SimSun" w:cs="SimSun"/>
          <w:sz w:val="22"/>
          <w:szCs w:val="22"/>
        </w:rPr>
      </w:pPr>
    </w:p>
    <w:p>
      <w:pPr>
        <w:ind w:left="5493"/>
        <w:spacing w:before="15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spacing w:before="20"/>
        <w:rPr/>
      </w:pPr>
      <w:r/>
    </w:p>
    <w:tbl>
      <w:tblPr>
        <w:tblStyle w:val="TableNormal"/>
        <w:tblW w:w="758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2" w:hRule="atLeast"/>
        </w:trPr>
        <w:tc>
          <w:tcPr>
            <w:tcW w:w="704" w:type="dxa"/>
            <w:vAlign w:val="top"/>
          </w:tcPr>
          <w:p>
            <w:pPr>
              <w:pStyle w:val="TableText"/>
              <w:ind w:left="194"/>
              <w:spacing w:before="92" w:line="221" w:lineRule="auto"/>
              <w:rPr/>
            </w:pPr>
            <w:r>
              <w:rPr>
                <w:spacing w:val="-2"/>
              </w:rPr>
              <w:t>序号</w:t>
            </w:r>
          </w:p>
        </w:tc>
        <w:tc>
          <w:tcPr>
            <w:tcW w:w="3135" w:type="dxa"/>
            <w:vAlign w:val="top"/>
          </w:tcPr>
          <w:p>
            <w:pPr>
              <w:pStyle w:val="TableText"/>
              <w:ind w:left="114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91" w:line="220" w:lineRule="auto"/>
              <w:rPr/>
            </w:pPr>
            <w:r>
              <w:rPr>
                <w:spacing w:val="-5"/>
              </w:rPr>
              <w:t>实</w:t>
            </w:r>
            <w:r>
              <w:rPr>
                <w:spacing w:val="1"/>
              </w:rPr>
              <w:t xml:space="preserve">   </w:t>
            </w:r>
            <w:r>
              <w:rPr>
                <w:spacing w:val="-5"/>
              </w:rPr>
              <w:t>例</w:t>
            </w:r>
          </w:p>
        </w:tc>
      </w:tr>
      <w:tr>
        <w:trPr>
          <w:trHeight w:val="857" w:hRule="atLeast"/>
        </w:trPr>
        <w:tc>
          <w:tcPr>
            <w:tcW w:w="704" w:type="dxa"/>
            <w:vAlign w:val="top"/>
          </w:tcPr>
          <w:p>
            <w:pPr>
              <w:spacing w:line="347" w:lineRule="auto"/>
              <w:rPr>
                <w:rFonts w:ascii="Arial"/>
                <w:sz w:val="21"/>
              </w:rPr>
            </w:pPr>
            <w:r/>
          </w:p>
          <w:p>
            <w:pPr>
              <w:pStyle w:val="TableText"/>
              <w:ind w:left="224"/>
              <w:spacing w:before="48" w:line="183" w:lineRule="auto"/>
              <w:rPr/>
            </w:pPr>
            <w:r>
              <w:rPr>
                <w:spacing w:val="-2"/>
              </w:rPr>
              <w:t>2.3</w:t>
            </w:r>
          </w:p>
        </w:tc>
        <w:tc>
          <w:tcPr>
            <w:tcW w:w="3135" w:type="dxa"/>
            <w:vAlign w:val="top"/>
          </w:tcPr>
          <w:p>
            <w:pPr>
              <w:pStyle w:val="TableText"/>
              <w:ind w:left="130" w:right="152" w:firstLine="80"/>
              <w:spacing w:before="79" w:line="311" w:lineRule="auto"/>
              <w:jc w:val="both"/>
              <w:rPr/>
            </w:pPr>
            <w:r>
              <w:rPr>
                <w:spacing w:val="-1"/>
              </w:rPr>
              <w:t>应当建立并遵循对跨业务单元的项目优先</w:t>
            </w:r>
            <w:r>
              <w:rPr>
                <w:spacing w:val="5"/>
              </w:rPr>
              <w:t xml:space="preserve">  </w:t>
            </w:r>
            <w:r>
              <w:rPr>
                <w:spacing w:val="-1"/>
              </w:rPr>
              <w:t>级从数据的角度进行排序的规则，以及业务</w:t>
            </w:r>
            <w:r>
              <w:rPr>
                <w:spacing w:val="9"/>
              </w:rPr>
              <w:t xml:space="preserve"> </w:t>
            </w:r>
            <w:r>
              <w:rPr/>
              <w:t>目标的可溯源性</w:t>
            </w:r>
          </w:p>
        </w:tc>
        <w:tc>
          <w:tcPr>
            <w:tcW w:w="3750" w:type="dxa"/>
            <w:vAlign w:val="top"/>
          </w:tcPr>
          <w:p>
            <w:pPr>
              <w:spacing w:line="308" w:lineRule="auto"/>
              <w:rPr>
                <w:rFonts w:ascii="Arial"/>
                <w:sz w:val="21"/>
              </w:rPr>
            </w:pPr>
            <w:r/>
          </w:p>
          <w:p>
            <w:pPr>
              <w:pStyle w:val="TableText"/>
              <w:ind w:left="285"/>
              <w:spacing w:before="49" w:line="219" w:lineRule="auto"/>
              <w:rPr/>
            </w:pPr>
            <w:r>
              <w:rPr>
                <w:spacing w:val="1"/>
              </w:rPr>
              <w:t>●数据治理优先级排序规则</w:t>
            </w:r>
          </w:p>
        </w:tc>
      </w:tr>
    </w:tbl>
    <w:p>
      <w:pPr>
        <w:ind w:left="304"/>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81" w:firstLine="409"/>
        <w:spacing w:before="58" w:line="242" w:lineRule="auto"/>
        <w:rPr>
          <w:rFonts w:ascii="SimSun" w:hAnsi="SimSun" w:eastAsia="SimSun" w:cs="SimSun"/>
          <w:sz w:val="21"/>
          <w:szCs w:val="21"/>
        </w:rPr>
      </w:pPr>
      <w:r>
        <w:rPr>
          <w:rFonts w:ascii="SimSun" w:hAnsi="SimSun" w:eastAsia="SimSun" w:cs="SimSun"/>
          <w:sz w:val="21"/>
          <w:szCs w:val="21"/>
          <w:spacing w:val="2"/>
        </w:rPr>
        <w:t>基于业务单元的重要因素，如商业价值、紧迫性、工作量水平及过程对</w:t>
      </w:r>
      <w:r>
        <w:rPr>
          <w:rFonts w:ascii="SimSun" w:hAnsi="SimSun" w:eastAsia="SimSun" w:cs="SimSun"/>
          <w:sz w:val="21"/>
          <w:szCs w:val="21"/>
          <w:spacing w:val="1"/>
        </w:rPr>
        <w:t>数据的</w:t>
      </w:r>
      <w:r>
        <w:rPr>
          <w:rFonts w:ascii="SimSun" w:hAnsi="SimSun" w:eastAsia="SimSun" w:cs="SimSun"/>
          <w:sz w:val="21"/>
          <w:szCs w:val="21"/>
        </w:rPr>
        <w:t xml:space="preserve"> </w:t>
      </w:r>
      <w:r>
        <w:rPr>
          <w:rFonts w:ascii="SimSun" w:hAnsi="SimSun" w:eastAsia="SimSun" w:cs="SimSun"/>
          <w:sz w:val="21"/>
          <w:szCs w:val="21"/>
          <w:spacing w:val="-2"/>
        </w:rPr>
        <w:t>依赖程度，对项目优先级进行排序，并在数据治理活动中执行。</w:t>
      </w:r>
    </w:p>
    <w:p>
      <w:pPr>
        <w:spacing w:line="128" w:lineRule="exact"/>
        <w:rPr/>
      </w:pPr>
      <w:r/>
    </w:p>
    <w:tbl>
      <w:tblPr>
        <w:tblStyle w:val="TableNormal"/>
        <w:tblW w:w="758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4"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5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6"/>
              <w:spacing w:before="91" w:line="220" w:lineRule="auto"/>
              <w:rPr/>
            </w:pPr>
            <w:r>
              <w:rPr>
                <w:spacing w:val="-5"/>
              </w:rPr>
              <w:t>实</w:t>
            </w:r>
            <w:r>
              <w:rPr>
                <w:spacing w:val="1"/>
              </w:rPr>
              <w:t xml:space="preserve">   </w:t>
            </w:r>
            <w:r>
              <w:rPr>
                <w:spacing w:val="-5"/>
              </w:rPr>
              <w:t>例</w:t>
            </w:r>
          </w:p>
        </w:tc>
      </w:tr>
      <w:tr>
        <w:trPr>
          <w:trHeight w:val="1966" w:hRule="atLeast"/>
        </w:trPr>
        <w:tc>
          <w:tcPr>
            <w:tcW w:w="704" w:type="dxa"/>
            <w:vAlign w:val="top"/>
          </w:tcPr>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pStyle w:val="TableText"/>
              <w:ind w:left="224"/>
              <w:spacing w:before="49" w:line="183" w:lineRule="auto"/>
              <w:rPr/>
            </w:pPr>
            <w:r>
              <w:rPr>
                <w:spacing w:val="-2"/>
              </w:rPr>
              <w:t>2.4</w:t>
            </w:r>
          </w:p>
        </w:tc>
        <w:tc>
          <w:tcPr>
            <w:tcW w:w="3135" w:type="dxa"/>
            <w:vAlign w:val="top"/>
          </w:tcPr>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pStyle w:val="TableText"/>
              <w:ind w:left="271"/>
              <w:spacing w:before="49" w:line="218" w:lineRule="auto"/>
              <w:rPr/>
            </w:pPr>
            <w:r>
              <w:rPr>
                <w:spacing w:val="-1"/>
              </w:rPr>
              <w:t>利用度量指标来评估数据治理的成果</w:t>
            </w:r>
          </w:p>
        </w:tc>
        <w:tc>
          <w:tcPr>
            <w:tcW w:w="3750" w:type="dxa"/>
            <w:vAlign w:val="top"/>
          </w:tcPr>
          <w:p>
            <w:pPr>
              <w:pStyle w:val="TableText"/>
              <w:ind w:left="276"/>
              <w:spacing w:before="87" w:line="219" w:lineRule="auto"/>
              <w:rPr/>
            </w:pPr>
            <w:r>
              <w:rPr/>
              <w:t>●数据治理的目标和相应度量指标</w:t>
            </w:r>
          </w:p>
          <w:p>
            <w:pPr>
              <w:pStyle w:val="TableText"/>
              <w:ind w:left="276"/>
              <w:spacing w:before="92" w:line="219" w:lineRule="auto"/>
              <w:rPr/>
            </w:pPr>
            <w:r>
              <w:rPr/>
              <w:t>●数据治理范围的定义</w:t>
            </w:r>
          </w:p>
          <w:p>
            <w:pPr>
              <w:pStyle w:val="TableText"/>
              <w:ind w:left="276"/>
              <w:spacing w:before="101" w:line="219" w:lineRule="auto"/>
              <w:rPr/>
            </w:pPr>
            <w:r>
              <w:rPr/>
              <w:t>●映射到创建、更新和删除数据功能的主题域</w:t>
            </w:r>
          </w:p>
          <w:p>
            <w:pPr>
              <w:pStyle w:val="TableText"/>
              <w:ind w:left="276"/>
              <w:spacing w:before="122" w:line="219" w:lineRule="auto"/>
              <w:rPr/>
            </w:pPr>
            <w:r>
              <w:rPr/>
              <w:t>●数据治理优先权授权列表</w:t>
            </w:r>
          </w:p>
          <w:p>
            <w:pPr>
              <w:pStyle w:val="TableText"/>
              <w:ind w:left="276"/>
              <w:spacing w:before="101" w:line="219" w:lineRule="auto"/>
              <w:rPr/>
            </w:pPr>
            <w:r>
              <w:rPr/>
              <w:t>●映射到业务目标的数据治理优先权</w:t>
            </w:r>
          </w:p>
          <w:p>
            <w:pPr>
              <w:pStyle w:val="TableText"/>
              <w:ind w:left="276"/>
              <w:spacing w:before="92" w:line="219" w:lineRule="auto"/>
              <w:rPr/>
            </w:pPr>
            <w:r>
              <w:rPr/>
              <w:t>●项目优先级列表</w:t>
            </w:r>
          </w:p>
          <w:p>
            <w:pPr>
              <w:pStyle w:val="TableText"/>
              <w:ind w:left="276"/>
              <w:spacing w:before="102" w:line="219" w:lineRule="auto"/>
              <w:rPr/>
            </w:pPr>
            <w:r>
              <w:rPr>
                <w:spacing w:val="1"/>
              </w:rPr>
              <w:t>●能力实现的顺序规划</w:t>
            </w:r>
          </w:p>
        </w:tc>
      </w:tr>
    </w:tbl>
    <w:p>
      <w:pPr>
        <w:ind w:left="304"/>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right="290" w:firstLine="409"/>
        <w:spacing w:before="70" w:line="250" w:lineRule="auto"/>
        <w:rPr>
          <w:rFonts w:ascii="SimSun" w:hAnsi="SimSun" w:eastAsia="SimSun" w:cs="SimSun"/>
          <w:sz w:val="21"/>
          <w:szCs w:val="21"/>
        </w:rPr>
      </w:pPr>
      <w:r>
        <w:rPr>
          <w:rFonts w:ascii="SimSun" w:hAnsi="SimSun" w:eastAsia="SimSun" w:cs="SimSun"/>
          <w:sz w:val="21"/>
          <w:szCs w:val="21"/>
          <w:spacing w:val="2"/>
        </w:rPr>
        <w:t>组织应当制订一些针对数据治理活动输出的评价指</w:t>
      </w:r>
      <w:r>
        <w:rPr>
          <w:rFonts w:ascii="SimSun" w:hAnsi="SimSun" w:eastAsia="SimSun" w:cs="SimSun"/>
          <w:sz w:val="21"/>
          <w:szCs w:val="21"/>
          <w:spacing w:val="1"/>
        </w:rPr>
        <w:t>标，可以包括动态指标和静</w:t>
      </w:r>
      <w:r>
        <w:rPr>
          <w:rFonts w:ascii="SimSun" w:hAnsi="SimSun" w:eastAsia="SimSun" w:cs="SimSun"/>
          <w:sz w:val="21"/>
          <w:szCs w:val="21"/>
        </w:rPr>
        <w:t xml:space="preserve"> </w:t>
      </w:r>
      <w:r>
        <w:rPr>
          <w:rFonts w:ascii="SimSun" w:hAnsi="SimSun" w:eastAsia="SimSun" w:cs="SimSun"/>
          <w:sz w:val="21"/>
          <w:szCs w:val="21"/>
          <w:spacing w:val="-1"/>
        </w:rPr>
        <w:t>态指标，也可以包括经济指标、技术指标、社会指标等。</w:t>
      </w:r>
    </w:p>
    <w:p>
      <w:pPr>
        <w:ind w:left="409"/>
        <w:spacing w:before="47"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8"/>
        </w:rPr>
        <w:t xml:space="preserve">  </w:t>
      </w: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b/>
          <w:bCs/>
          <w:spacing w:val="43"/>
        </w:rPr>
        <w:t xml:space="preserve"> </w:t>
      </w:r>
      <w:r>
        <w:rPr>
          <w:rFonts w:ascii="SimHei" w:hAnsi="SimHei" w:eastAsia="SimHei" w:cs="SimHei"/>
          <w:sz w:val="21"/>
          <w:szCs w:val="21"/>
          <w:b/>
          <w:bCs/>
          <w:spacing w:val="-2"/>
        </w:rPr>
        <w:t>定义级</w:t>
      </w:r>
    </w:p>
    <w:p>
      <w:pPr>
        <w:spacing w:line="140" w:lineRule="exact"/>
        <w:rPr/>
      </w:pPr>
      <w:r/>
    </w:p>
    <w:tbl>
      <w:tblPr>
        <w:tblStyle w:val="TableNormal"/>
        <w:tblW w:w="758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7" w:hRule="atLeast"/>
        </w:trPr>
        <w:tc>
          <w:tcPr>
            <w:tcW w:w="704" w:type="dxa"/>
            <w:vAlign w:val="top"/>
          </w:tcPr>
          <w:p>
            <w:pPr>
              <w:spacing w:line="326" w:lineRule="auto"/>
              <w:rPr>
                <w:rFonts w:ascii="Arial"/>
                <w:sz w:val="21"/>
              </w:rPr>
            </w:pPr>
            <w:r/>
          </w:p>
          <w:p>
            <w:pPr>
              <w:pStyle w:val="TableText"/>
              <w:ind w:left="224"/>
              <w:spacing w:before="52" w:line="184" w:lineRule="auto"/>
              <w:rPr>
                <w:sz w:val="16"/>
                <w:szCs w:val="16"/>
              </w:rPr>
            </w:pPr>
            <w:r>
              <w:rPr>
                <w:sz w:val="16"/>
                <w:szCs w:val="16"/>
                <w:spacing w:val="-3"/>
              </w:rPr>
              <w:t>3.1</w:t>
            </w:r>
          </w:p>
        </w:tc>
        <w:tc>
          <w:tcPr>
            <w:tcW w:w="3135" w:type="dxa"/>
            <w:vAlign w:val="top"/>
          </w:tcPr>
          <w:p>
            <w:pPr>
              <w:pStyle w:val="TableText"/>
              <w:ind w:left="110" w:firstLine="140"/>
              <w:spacing w:before="229" w:line="259" w:lineRule="auto"/>
              <w:rPr>
                <w:sz w:val="16"/>
                <w:szCs w:val="16"/>
              </w:rPr>
            </w:pPr>
            <w:r>
              <w:rPr>
                <w:sz w:val="16"/>
                <w:szCs w:val="16"/>
                <w:spacing w:val="-1"/>
              </w:rPr>
              <w:t>在整个组织内建立了数据治理战略，并得</w:t>
            </w:r>
            <w:r>
              <w:rPr>
                <w:sz w:val="16"/>
                <w:szCs w:val="16"/>
                <w:spacing w:val="11"/>
              </w:rPr>
              <w:t xml:space="preserve"> </w:t>
            </w:r>
            <w:r>
              <w:rPr>
                <w:sz w:val="16"/>
                <w:szCs w:val="16"/>
                <w:spacing w:val="-2"/>
              </w:rPr>
              <w:t>到批准、传达和维持</w:t>
            </w:r>
          </w:p>
        </w:tc>
        <w:tc>
          <w:tcPr>
            <w:tcW w:w="3750" w:type="dxa"/>
            <w:vAlign w:val="top"/>
          </w:tcPr>
          <w:p>
            <w:pPr>
              <w:pStyle w:val="TableText"/>
              <w:ind w:left="275"/>
              <w:spacing w:before="79" w:line="219" w:lineRule="auto"/>
              <w:rPr>
                <w:sz w:val="16"/>
                <w:szCs w:val="16"/>
              </w:rPr>
            </w:pPr>
            <w:r>
              <w:rPr>
                <w:sz w:val="16"/>
                <w:szCs w:val="16"/>
              </w:rPr>
              <w:t>●数据治理战略</w:t>
            </w:r>
          </w:p>
          <w:p>
            <w:pPr>
              <w:pStyle w:val="TableText"/>
              <w:ind w:left="275"/>
              <w:spacing w:before="100" w:line="219" w:lineRule="auto"/>
              <w:rPr>
                <w:sz w:val="16"/>
                <w:szCs w:val="16"/>
              </w:rPr>
            </w:pPr>
            <w:r>
              <w:rPr>
                <w:sz w:val="16"/>
                <w:szCs w:val="16"/>
              </w:rPr>
              <w:t>●数据治理战略的批准记录</w:t>
            </w:r>
          </w:p>
          <w:p>
            <w:pPr>
              <w:pStyle w:val="TableText"/>
              <w:ind w:left="275"/>
              <w:spacing w:before="69" w:line="217" w:lineRule="auto"/>
              <w:rPr>
                <w:sz w:val="16"/>
                <w:szCs w:val="16"/>
              </w:rPr>
            </w:pPr>
            <w:r>
              <w:rPr>
                <w:sz w:val="16"/>
                <w:szCs w:val="16"/>
              </w:rPr>
              <w:t>●数据治理战略版本的更新记录</w:t>
            </w:r>
          </w:p>
        </w:tc>
      </w:tr>
    </w:tbl>
    <w:p>
      <w:pPr>
        <w:ind w:left="30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80" w:firstLine="409"/>
        <w:spacing w:before="70" w:line="262" w:lineRule="auto"/>
        <w:rPr>
          <w:rFonts w:ascii="SimSun" w:hAnsi="SimSun" w:eastAsia="SimSun" w:cs="SimSun"/>
          <w:sz w:val="21"/>
          <w:szCs w:val="21"/>
        </w:rPr>
      </w:pPr>
      <w:r>
        <w:rPr>
          <w:rFonts w:ascii="SimSun" w:hAnsi="SimSun" w:eastAsia="SimSun" w:cs="SimSun"/>
          <w:sz w:val="21"/>
          <w:szCs w:val="21"/>
          <w:spacing w:val="2"/>
        </w:rPr>
        <w:t>数据治理战略描述了组织数据治理的长期规划，可以是全</w:t>
      </w:r>
      <w:r>
        <w:rPr>
          <w:rFonts w:ascii="SimSun" w:hAnsi="SimSun" w:eastAsia="SimSun" w:cs="SimSun"/>
          <w:sz w:val="21"/>
          <w:szCs w:val="21"/>
          <w:spacing w:val="1"/>
        </w:rPr>
        <w:t>新制订的，也可以是</w:t>
      </w:r>
      <w:r>
        <w:rPr>
          <w:rFonts w:ascii="SimSun" w:hAnsi="SimSun" w:eastAsia="SimSun" w:cs="SimSun"/>
          <w:sz w:val="21"/>
          <w:szCs w:val="21"/>
        </w:rPr>
        <w:t xml:space="preserve"> </w:t>
      </w:r>
      <w:r>
        <w:rPr>
          <w:rFonts w:ascii="SimSun" w:hAnsi="SimSun" w:eastAsia="SimSun" w:cs="SimSun"/>
          <w:sz w:val="21"/>
          <w:szCs w:val="21"/>
        </w:rPr>
        <w:t>从原有管理方案更新完善的，包括数据治理的目标、范围、角色与职责、框架等。</w:t>
      </w:r>
      <w:r>
        <w:rPr>
          <w:rFonts w:ascii="SimSun" w:hAnsi="SimSun" w:eastAsia="SimSun" w:cs="SimSun"/>
          <w:sz w:val="21"/>
          <w:szCs w:val="21"/>
          <w:spacing w:val="13"/>
        </w:rPr>
        <w:t xml:space="preserve"> </w:t>
      </w:r>
      <w:r>
        <w:rPr>
          <w:rFonts w:ascii="SimSun" w:hAnsi="SimSun" w:eastAsia="SimSun" w:cs="SimSun"/>
          <w:sz w:val="21"/>
          <w:szCs w:val="21"/>
        </w:rPr>
        <w:t>数据治理战略对组织的关键目标和数据资产的业务优先权，以及数据资产的建立、</w:t>
      </w:r>
      <w:r>
        <w:rPr>
          <w:rFonts w:ascii="SimSun" w:hAnsi="SimSun" w:eastAsia="SimSun" w:cs="SimSun"/>
          <w:sz w:val="21"/>
          <w:szCs w:val="21"/>
          <w:spacing w:val="13"/>
        </w:rPr>
        <w:t xml:space="preserve"> </w:t>
      </w:r>
      <w:r>
        <w:rPr>
          <w:rFonts w:ascii="SimSun" w:hAnsi="SimSun" w:eastAsia="SimSun" w:cs="SimSun"/>
          <w:sz w:val="21"/>
          <w:szCs w:val="21"/>
          <w:spacing w:val="2"/>
        </w:rPr>
        <w:t>构建和完善进行了描述。制订战略的目的是增</w:t>
      </w:r>
      <w:r>
        <w:rPr>
          <w:rFonts w:ascii="SimSun" w:hAnsi="SimSun" w:eastAsia="SimSun" w:cs="SimSun"/>
          <w:sz w:val="21"/>
          <w:szCs w:val="21"/>
          <w:spacing w:val="1"/>
        </w:rPr>
        <w:t>强对数据作为公司关键资产的认知和</w:t>
      </w:r>
      <w:r>
        <w:rPr>
          <w:rFonts w:ascii="SimSun" w:hAnsi="SimSun" w:eastAsia="SimSun" w:cs="SimSun"/>
          <w:sz w:val="21"/>
          <w:szCs w:val="21"/>
        </w:rPr>
        <w:t xml:space="preserve"> </w:t>
      </w:r>
      <w:r>
        <w:rPr>
          <w:rFonts w:ascii="SimSun" w:hAnsi="SimSun" w:eastAsia="SimSun" w:cs="SimSun"/>
          <w:sz w:val="21"/>
          <w:szCs w:val="21"/>
          <w:spacing w:val="-2"/>
        </w:rPr>
        <w:t>意识，从所有利益相关者和决策者那里获得认可和承诺。</w:t>
      </w:r>
    </w:p>
    <w:p>
      <w:pPr>
        <w:ind w:left="409"/>
        <w:spacing w:before="81" w:line="219" w:lineRule="auto"/>
        <w:rPr>
          <w:rFonts w:ascii="SimSun" w:hAnsi="SimSun" w:eastAsia="SimSun" w:cs="SimSun"/>
          <w:sz w:val="21"/>
          <w:szCs w:val="21"/>
        </w:rPr>
      </w:pPr>
      <w:r>
        <w:rPr>
          <w:rFonts w:ascii="SimSun" w:hAnsi="SimSun" w:eastAsia="SimSun" w:cs="SimSun"/>
          <w:sz w:val="21"/>
          <w:szCs w:val="21"/>
          <w:spacing w:val="-3"/>
        </w:rPr>
        <w:t>数据治理战略通常至少包括以下内容。</w:t>
      </w:r>
    </w:p>
    <w:p>
      <w:pPr>
        <w:ind w:left="409"/>
        <w:spacing w:before="51" w:line="219" w:lineRule="auto"/>
        <w:rPr>
          <w:rFonts w:ascii="SimSun" w:hAnsi="SimSun" w:eastAsia="SimSun" w:cs="SimSun"/>
          <w:sz w:val="21"/>
          <w:szCs w:val="21"/>
        </w:rPr>
      </w:pPr>
      <w:r>
        <w:rPr>
          <w:rFonts w:ascii="SimSun" w:hAnsi="SimSun" w:eastAsia="SimSun" w:cs="SimSun"/>
          <w:sz w:val="21"/>
          <w:szCs w:val="21"/>
          <w:spacing w:val="1"/>
        </w:rPr>
        <w:t>●使命和愿景，包括核心运作原则，治理活动的目标</w:t>
      </w:r>
      <w:r>
        <w:rPr>
          <w:rFonts w:ascii="SimSun" w:hAnsi="SimSun" w:eastAsia="SimSun" w:cs="SimSun"/>
          <w:sz w:val="21"/>
          <w:szCs w:val="21"/>
        </w:rPr>
        <w:t>和目的；</w:t>
      </w:r>
    </w:p>
    <w:p>
      <w:pPr>
        <w:ind w:left="719" w:right="162" w:hanging="310"/>
        <w:spacing w:before="59" w:line="254" w:lineRule="auto"/>
        <w:rPr>
          <w:rFonts w:ascii="SimSun" w:hAnsi="SimSun" w:eastAsia="SimSun" w:cs="SimSun"/>
          <w:sz w:val="21"/>
          <w:szCs w:val="21"/>
        </w:rPr>
      </w:pPr>
      <w:r>
        <w:rPr>
          <w:rFonts w:ascii="SimSun" w:hAnsi="SimSun" w:eastAsia="SimSun" w:cs="SimSun"/>
          <w:sz w:val="21"/>
          <w:szCs w:val="21"/>
          <w:spacing w:val="2"/>
        </w:rPr>
        <w:t>●项目优先级，如依据项目对组织的重要程度来确定，衡量</w:t>
      </w:r>
      <w:r>
        <w:rPr>
          <w:rFonts w:ascii="SimSun" w:hAnsi="SimSun" w:eastAsia="SimSun" w:cs="SimSun"/>
          <w:sz w:val="21"/>
          <w:szCs w:val="21"/>
          <w:spacing w:val="1"/>
        </w:rPr>
        <w:t>因素可能包括组织</w:t>
      </w:r>
      <w:r>
        <w:rPr>
          <w:rFonts w:ascii="SimSun" w:hAnsi="SimSun" w:eastAsia="SimSun" w:cs="SimSun"/>
          <w:sz w:val="21"/>
          <w:szCs w:val="21"/>
        </w:rPr>
        <w:t xml:space="preserve">  </w:t>
      </w:r>
      <w:r>
        <w:rPr>
          <w:rFonts w:ascii="SimSun" w:hAnsi="SimSun" w:eastAsia="SimSun" w:cs="SimSun"/>
          <w:sz w:val="21"/>
          <w:szCs w:val="21"/>
          <w:spacing w:val="-4"/>
        </w:rPr>
        <w:t>对项目的依赖程度、组织商业价值的体现、与组织战略提倡活动的一致性等；</w:t>
      </w:r>
    </w:p>
    <w:p>
      <w:pPr>
        <w:ind w:left="739" w:right="286" w:hanging="330"/>
        <w:spacing w:before="60" w:line="243" w:lineRule="auto"/>
        <w:rPr>
          <w:rFonts w:ascii="SimSun" w:hAnsi="SimSun" w:eastAsia="SimSun" w:cs="SimSun"/>
          <w:sz w:val="21"/>
          <w:szCs w:val="21"/>
        </w:rPr>
      </w:pPr>
      <w:r>
        <w:rPr>
          <w:rFonts w:ascii="SimSun" w:hAnsi="SimSun" w:eastAsia="SimSun" w:cs="SimSun"/>
          <w:sz w:val="21"/>
          <w:szCs w:val="21"/>
          <w:spacing w:val="11"/>
        </w:rPr>
        <w:t>●活动范围，包括重要的业务领域、数据治理的重点(如数据质量等),还有</w:t>
      </w:r>
      <w:r>
        <w:rPr>
          <w:rFonts w:ascii="SimSun" w:hAnsi="SimSun" w:eastAsia="SimSun" w:cs="SimSun"/>
          <w:sz w:val="21"/>
          <w:szCs w:val="21"/>
        </w:rPr>
        <w:t xml:space="preserve"> </w:t>
      </w:r>
      <w:r>
        <w:rPr>
          <w:rFonts w:ascii="SimSun" w:hAnsi="SimSun" w:eastAsia="SimSun" w:cs="SimSun"/>
          <w:sz w:val="21"/>
          <w:szCs w:val="21"/>
          <w:spacing w:val="5"/>
        </w:rPr>
        <w:t>关键数据集(如客户主数据);</w:t>
      </w:r>
    </w:p>
    <w:p>
      <w:pPr>
        <w:spacing w:line="243" w:lineRule="auto"/>
        <w:sectPr>
          <w:footerReference w:type="default" r:id="rId141"/>
          <w:pgSz w:w="8870" w:h="13400"/>
          <w:pgMar w:top="400" w:right="662" w:bottom="597" w:left="310" w:header="0" w:footer="388" w:gutter="0"/>
        </w:sectPr>
        <w:rPr>
          <w:rFonts w:ascii="SimSun" w:hAnsi="SimSun" w:eastAsia="SimSun" w:cs="SimSun"/>
          <w:sz w:val="21"/>
          <w:szCs w:val="21"/>
        </w:rPr>
      </w:pPr>
    </w:p>
    <w:p>
      <w:pPr>
        <w:ind w:left="109"/>
        <w:spacing w:before="129"/>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637"/>
            <wp:effectExtent l="0" t="0" r="0" b="0"/>
            <wp:docPr id="120" name="IM 120"/>
            <wp:cNvGraphicFramePr/>
            <a:graphic>
              <a:graphicData uri="http://schemas.openxmlformats.org/drawingml/2006/picture">
                <pic:pic>
                  <pic:nvPicPr>
                    <pic:cNvPr id="120" name="IM 120"/>
                    <pic:cNvPicPr/>
                  </pic:nvPicPr>
                  <pic:blipFill>
                    <a:blip r:embed="rId143"/>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2"/>
        </w:rPr>
        <w:t xml:space="preserve"> </w:t>
      </w:r>
      <w:r>
        <w:rPr>
          <w:rFonts w:ascii="SimSun" w:hAnsi="SimSun" w:eastAsia="SimSun" w:cs="SimSun"/>
          <w:sz w:val="22"/>
          <w:szCs w:val="22"/>
          <w:b/>
          <w:bCs/>
          <w:spacing w:val="-19"/>
        </w:rPr>
        <w:t>■云端数据治理</w:t>
      </w:r>
    </w:p>
    <w:p>
      <w:pPr>
        <w:ind w:left="659"/>
        <w:spacing w:before="287" w:line="218" w:lineRule="auto"/>
        <w:rPr>
          <w:rFonts w:ascii="SimSun" w:hAnsi="SimSun" w:eastAsia="SimSun" w:cs="SimSun"/>
          <w:sz w:val="22"/>
          <w:szCs w:val="22"/>
        </w:rPr>
      </w:pPr>
      <w:r>
        <w:rPr>
          <w:rFonts w:ascii="SimSun" w:hAnsi="SimSun" w:eastAsia="SimSun" w:cs="SimSun"/>
          <w:sz w:val="22"/>
          <w:szCs w:val="22"/>
          <w:spacing w:val="-9"/>
        </w:rPr>
        <w:t>●商业效益，依经济指标对活动价值进行预评价；</w:t>
      </w:r>
    </w:p>
    <w:p>
      <w:pPr>
        <w:ind w:left="659"/>
        <w:spacing w:before="62" w:line="219" w:lineRule="auto"/>
        <w:rPr>
          <w:rFonts w:ascii="SimSun" w:hAnsi="SimSun" w:eastAsia="SimSun" w:cs="SimSun"/>
          <w:sz w:val="22"/>
          <w:szCs w:val="22"/>
        </w:rPr>
      </w:pPr>
      <w:r>
        <w:rPr>
          <w:rFonts w:ascii="SimSun" w:hAnsi="SimSun" w:eastAsia="SimSun" w:cs="SimSun"/>
          <w:sz w:val="22"/>
          <w:szCs w:val="22"/>
          <w:spacing w:val="-8"/>
        </w:rPr>
        <w:t>●数据治理架构，架构设计方法及标准，以及架构的使用；</w:t>
      </w:r>
    </w:p>
    <w:p>
      <w:pPr>
        <w:ind w:left="659"/>
        <w:spacing w:before="47" w:line="219" w:lineRule="auto"/>
        <w:rPr>
          <w:rFonts w:ascii="SimSun" w:hAnsi="SimSun" w:eastAsia="SimSun" w:cs="SimSun"/>
          <w:sz w:val="22"/>
          <w:szCs w:val="22"/>
        </w:rPr>
      </w:pPr>
      <w:r>
        <w:rPr>
          <w:rFonts w:ascii="SimSun" w:hAnsi="SimSun" w:eastAsia="SimSun" w:cs="SimSun"/>
          <w:sz w:val="22"/>
          <w:szCs w:val="22"/>
          <w:spacing w:val="-10"/>
        </w:rPr>
        <w:t>●组织、角色与责任，关键利益相关者名单；</w:t>
      </w:r>
    </w:p>
    <w:p>
      <w:pPr>
        <w:ind w:left="659"/>
        <w:spacing w:before="61" w:line="220" w:lineRule="auto"/>
        <w:rPr>
          <w:rFonts w:ascii="SimSun" w:hAnsi="SimSun" w:eastAsia="SimSun" w:cs="SimSun"/>
          <w:sz w:val="22"/>
          <w:szCs w:val="22"/>
        </w:rPr>
      </w:pPr>
      <w:r>
        <w:rPr>
          <w:rFonts w:ascii="SimSun" w:hAnsi="SimSun" w:eastAsia="SimSun" w:cs="SimSun"/>
          <w:sz w:val="22"/>
          <w:szCs w:val="22"/>
          <w:spacing w:val="-8"/>
        </w:rPr>
        <w:t>●治理的需求和范围；</w:t>
      </w:r>
    </w:p>
    <w:p>
      <w:pPr>
        <w:ind w:left="659"/>
        <w:spacing w:before="38" w:line="221" w:lineRule="auto"/>
        <w:rPr>
          <w:rFonts w:ascii="SimSun" w:hAnsi="SimSun" w:eastAsia="SimSun" w:cs="SimSun"/>
          <w:sz w:val="22"/>
          <w:szCs w:val="22"/>
        </w:rPr>
      </w:pPr>
      <w:r>
        <w:rPr>
          <w:rFonts w:ascii="SimSun" w:hAnsi="SimSun" w:eastAsia="SimSun" w:cs="SimSun"/>
          <w:sz w:val="22"/>
          <w:szCs w:val="22"/>
          <w:spacing w:val="-8"/>
        </w:rPr>
        <w:t>●合规要求；</w:t>
      </w:r>
    </w:p>
    <w:p>
      <w:pPr>
        <w:ind w:left="659"/>
        <w:spacing w:before="46" w:line="220" w:lineRule="auto"/>
        <w:rPr>
          <w:rFonts w:ascii="SimSun" w:hAnsi="SimSun" w:eastAsia="SimSun" w:cs="SimSun"/>
          <w:sz w:val="22"/>
          <w:szCs w:val="22"/>
        </w:rPr>
      </w:pPr>
      <w:r>
        <w:rPr>
          <w:rFonts w:ascii="SimSun" w:hAnsi="SimSun" w:eastAsia="SimSun" w:cs="SimSun"/>
          <w:sz w:val="22"/>
          <w:szCs w:val="22"/>
          <w:spacing w:val="-8"/>
        </w:rPr>
        <w:t>●成功措施与度量项；</w:t>
      </w:r>
    </w:p>
    <w:p>
      <w:pPr>
        <w:ind w:left="659"/>
        <w:spacing w:before="54" w:line="242" w:lineRule="auto"/>
        <w:rPr>
          <w:rFonts w:ascii="SimSun" w:hAnsi="SimSun" w:eastAsia="SimSun" w:cs="SimSun"/>
          <w:sz w:val="22"/>
          <w:szCs w:val="22"/>
        </w:rPr>
      </w:pPr>
      <w:r>
        <w:rPr>
          <w:rFonts w:ascii="STXingkai" w:hAnsi="STXingkai" w:eastAsia="STXingkai" w:cs="STXingkai"/>
          <w:sz w:val="22"/>
          <w:szCs w:val="22"/>
          <w:spacing w:val="-16"/>
        </w:rPr>
        <w:t>●</w:t>
      </w:r>
      <w:r>
        <w:rPr>
          <w:rFonts w:ascii="STXingkai" w:hAnsi="STXingkai" w:eastAsia="STXingkai" w:cs="STXingkai"/>
          <w:sz w:val="22"/>
          <w:szCs w:val="22"/>
          <w:spacing w:val="32"/>
          <w:w w:val="101"/>
        </w:rPr>
        <w:t xml:space="preserve"> </w:t>
      </w:r>
      <w:r>
        <w:rPr>
          <w:rFonts w:ascii="SimSun" w:hAnsi="SimSun" w:eastAsia="SimSun" w:cs="SimSun"/>
          <w:sz w:val="22"/>
          <w:szCs w:val="22"/>
          <w:spacing w:val="-16"/>
        </w:rPr>
        <w:t>衡量进度的基准工具；</w:t>
      </w:r>
    </w:p>
    <w:p>
      <w:pPr>
        <w:ind w:left="659"/>
        <w:spacing w:line="219" w:lineRule="auto"/>
        <w:rPr>
          <w:rFonts w:ascii="SimSun" w:hAnsi="SimSun" w:eastAsia="SimSun" w:cs="SimSun"/>
          <w:sz w:val="22"/>
          <w:szCs w:val="22"/>
        </w:rPr>
      </w:pPr>
      <w:r>
        <w:rPr>
          <w:rFonts w:ascii="SimSun" w:hAnsi="SimSun" w:eastAsia="SimSun" w:cs="SimSun"/>
          <w:sz w:val="22"/>
          <w:szCs w:val="22"/>
          <w:spacing w:val="-9"/>
        </w:rPr>
        <w:t>●数据治理实施路线图；</w:t>
      </w:r>
    </w:p>
    <w:p>
      <w:pPr>
        <w:ind w:left="659"/>
        <w:spacing w:before="50" w:line="220" w:lineRule="auto"/>
        <w:rPr>
          <w:rFonts w:ascii="SimSun" w:hAnsi="SimSun" w:eastAsia="SimSun" w:cs="SimSun"/>
          <w:sz w:val="22"/>
          <w:szCs w:val="22"/>
        </w:rPr>
      </w:pPr>
      <w:r>
        <w:rPr>
          <w:rFonts w:ascii="SimSun" w:hAnsi="SimSun" w:eastAsia="SimSun" w:cs="SimSun"/>
          <w:sz w:val="22"/>
          <w:szCs w:val="22"/>
          <w:spacing w:val="-8"/>
        </w:rPr>
        <w:t>●治理风险；</w:t>
      </w:r>
    </w:p>
    <w:p>
      <w:pPr>
        <w:ind w:left="659"/>
        <w:spacing w:before="57" w:line="219" w:lineRule="auto"/>
        <w:rPr>
          <w:rFonts w:ascii="SimSun" w:hAnsi="SimSun" w:eastAsia="SimSun" w:cs="SimSun"/>
          <w:sz w:val="22"/>
          <w:szCs w:val="22"/>
        </w:rPr>
      </w:pPr>
      <w:r>
        <w:rPr>
          <w:rFonts w:ascii="SimSun" w:hAnsi="SimSun" w:eastAsia="SimSun" w:cs="SimSun"/>
          <w:sz w:val="22"/>
          <w:szCs w:val="22"/>
          <w:spacing w:val="-9"/>
        </w:rPr>
        <w:t>●数据安全与隐私保护。</w:t>
      </w:r>
    </w:p>
    <w:p>
      <w:pPr>
        <w:spacing w:line="105" w:lineRule="exact"/>
        <w:rPr/>
      </w:pPr>
      <w:r/>
    </w:p>
    <w:tbl>
      <w:tblPr>
        <w:tblStyle w:val="TableNormal"/>
        <w:tblW w:w="759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30"/>
      </w:tblGrid>
      <w:tr>
        <w:trPr>
          <w:trHeight w:val="31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45" w:type="dxa"/>
            <w:vAlign w:val="top"/>
          </w:tcPr>
          <w:p>
            <w:pPr>
              <w:pStyle w:val="TableText"/>
              <w:ind w:left="1140"/>
              <w:spacing w:before="81" w:line="219" w:lineRule="auto"/>
              <w:rPr>
                <w:sz w:val="16"/>
                <w:szCs w:val="16"/>
              </w:rPr>
            </w:pPr>
            <w:r>
              <w:rPr>
                <w:sz w:val="16"/>
                <w:szCs w:val="16"/>
                <w:spacing w:val="-4"/>
              </w:rPr>
              <w:t>等 级 要 求</w:t>
            </w:r>
          </w:p>
        </w:tc>
        <w:tc>
          <w:tcPr>
            <w:tcW w:w="373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7" w:hRule="atLeast"/>
        </w:trPr>
        <w:tc>
          <w:tcPr>
            <w:tcW w:w="724" w:type="dxa"/>
            <w:vAlign w:val="top"/>
          </w:tcPr>
          <w:p>
            <w:pPr>
              <w:spacing w:line="326" w:lineRule="auto"/>
              <w:rPr>
                <w:rFonts w:ascii="Arial"/>
                <w:sz w:val="21"/>
              </w:rPr>
            </w:pPr>
            <w:r/>
          </w:p>
          <w:p>
            <w:pPr>
              <w:pStyle w:val="TableText"/>
              <w:ind w:left="235"/>
              <w:spacing w:before="52" w:line="183" w:lineRule="auto"/>
              <w:rPr>
                <w:sz w:val="16"/>
                <w:szCs w:val="16"/>
              </w:rPr>
            </w:pPr>
            <w:r>
              <w:rPr>
                <w:sz w:val="16"/>
                <w:szCs w:val="16"/>
                <w:spacing w:val="-3"/>
              </w:rPr>
              <w:t>3.2</w:t>
            </w:r>
          </w:p>
        </w:tc>
        <w:tc>
          <w:tcPr>
            <w:tcW w:w="3145" w:type="dxa"/>
            <w:vAlign w:val="top"/>
          </w:tcPr>
          <w:p>
            <w:pPr>
              <w:pStyle w:val="TableText"/>
              <w:ind w:left="41" w:firstLine="219"/>
              <w:spacing w:before="90" w:line="281" w:lineRule="auto"/>
              <w:jc w:val="both"/>
              <w:rPr>
                <w:sz w:val="16"/>
                <w:szCs w:val="16"/>
              </w:rPr>
            </w:pPr>
            <w:r>
              <w:rPr>
                <w:sz w:val="16"/>
                <w:szCs w:val="16"/>
                <w:spacing w:val="-1"/>
              </w:rPr>
              <w:t>根据业务需求和目标，对组织的数据治理</w:t>
            </w:r>
            <w:r>
              <w:rPr>
                <w:sz w:val="16"/>
                <w:szCs w:val="16"/>
                <w:spacing w:val="10"/>
              </w:rPr>
              <w:t xml:space="preserve"> </w:t>
            </w:r>
            <w:r>
              <w:rPr>
                <w:sz w:val="16"/>
                <w:szCs w:val="16"/>
              </w:rPr>
              <w:t>目标进行评价和优先级排序，使之符合业务</w:t>
            </w:r>
            <w:r>
              <w:rPr>
                <w:sz w:val="16"/>
                <w:szCs w:val="16"/>
                <w:spacing w:val="6"/>
              </w:rPr>
              <w:t xml:space="preserve"> </w:t>
            </w:r>
            <w:r>
              <w:rPr>
                <w:sz w:val="16"/>
                <w:szCs w:val="16"/>
                <w:spacing w:val="33"/>
              </w:rPr>
              <w:t>战略</w:t>
            </w:r>
          </w:p>
        </w:tc>
        <w:tc>
          <w:tcPr>
            <w:tcW w:w="3730" w:type="dxa"/>
            <w:vAlign w:val="top"/>
          </w:tcPr>
          <w:p>
            <w:pPr>
              <w:pStyle w:val="TableText"/>
              <w:ind w:left="255"/>
              <w:spacing w:before="88" w:line="218" w:lineRule="auto"/>
              <w:rPr>
                <w:sz w:val="16"/>
                <w:szCs w:val="16"/>
              </w:rPr>
            </w:pPr>
            <w:r>
              <w:rPr>
                <w:sz w:val="16"/>
                <w:szCs w:val="16"/>
                <w:spacing w:val="1"/>
              </w:rPr>
              <w:t>●数据治理需求调研报告</w:t>
            </w:r>
          </w:p>
          <w:p>
            <w:pPr>
              <w:pStyle w:val="TableText"/>
              <w:ind w:left="255"/>
              <w:spacing w:before="82" w:line="219" w:lineRule="auto"/>
              <w:rPr>
                <w:sz w:val="16"/>
                <w:szCs w:val="16"/>
              </w:rPr>
            </w:pPr>
            <w:r>
              <w:rPr>
                <w:sz w:val="16"/>
                <w:szCs w:val="16"/>
              </w:rPr>
              <w:t>●数据治理目标及优先级列表</w:t>
            </w:r>
          </w:p>
          <w:p>
            <w:pPr>
              <w:pStyle w:val="TableText"/>
              <w:ind w:left="255"/>
              <w:spacing w:before="90" w:line="216" w:lineRule="auto"/>
              <w:rPr>
                <w:sz w:val="16"/>
                <w:szCs w:val="16"/>
              </w:rPr>
            </w:pPr>
            <w:r>
              <w:rPr>
                <w:sz w:val="16"/>
                <w:szCs w:val="16"/>
              </w:rPr>
              <w:t>●数据治理项目优先级列表</w:t>
            </w:r>
          </w:p>
        </w:tc>
      </w:tr>
    </w:tbl>
    <w:p>
      <w:pPr>
        <w:ind w:left="54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09" w:right="56" w:firstLine="449"/>
        <w:spacing w:before="69" w:line="250" w:lineRule="auto"/>
        <w:rPr>
          <w:rFonts w:ascii="SimSun" w:hAnsi="SimSun" w:eastAsia="SimSun" w:cs="SimSun"/>
          <w:sz w:val="22"/>
          <w:szCs w:val="22"/>
        </w:rPr>
      </w:pPr>
      <w:r>
        <w:rPr>
          <w:rFonts w:ascii="SimSun" w:hAnsi="SimSun" w:eastAsia="SimSun" w:cs="SimSun"/>
          <w:sz w:val="22"/>
          <w:szCs w:val="22"/>
          <w:spacing w:val="-14"/>
        </w:rPr>
        <w:t>组织应当充分调研数据治理的需求，并关联到组织的业务发展方向和目标</w:t>
      </w:r>
      <w:r>
        <w:rPr>
          <w:rFonts w:ascii="SimSun" w:hAnsi="SimSun" w:eastAsia="SimSun" w:cs="SimSun"/>
          <w:sz w:val="22"/>
          <w:szCs w:val="22"/>
          <w:spacing w:val="-15"/>
        </w:rPr>
        <w:t>，衡量</w:t>
      </w:r>
      <w:r>
        <w:rPr>
          <w:rFonts w:ascii="SimSun" w:hAnsi="SimSun" w:eastAsia="SimSun" w:cs="SimSun"/>
          <w:sz w:val="22"/>
          <w:szCs w:val="22"/>
        </w:rPr>
        <w:t xml:space="preserve"> </w:t>
      </w:r>
      <w:r>
        <w:rPr>
          <w:rFonts w:ascii="SimSun" w:hAnsi="SimSun" w:eastAsia="SimSun" w:cs="SimSun"/>
          <w:sz w:val="22"/>
          <w:szCs w:val="22"/>
          <w:spacing w:val="-13"/>
        </w:rPr>
        <w:t>数据作为一种资产对组织业务发展的重要性。依据需求调研</w:t>
      </w:r>
      <w:r>
        <w:rPr>
          <w:rFonts w:ascii="SimSun" w:hAnsi="SimSun" w:eastAsia="SimSun" w:cs="SimSun"/>
          <w:sz w:val="22"/>
          <w:szCs w:val="22"/>
          <w:spacing w:val="-14"/>
        </w:rPr>
        <w:t>结果，制订数据治理的目</w:t>
      </w:r>
      <w:r>
        <w:rPr>
          <w:rFonts w:ascii="SimSun" w:hAnsi="SimSun" w:eastAsia="SimSun" w:cs="SimSun"/>
          <w:sz w:val="22"/>
          <w:szCs w:val="22"/>
        </w:rPr>
        <w:t xml:space="preserve"> </w:t>
      </w:r>
      <w:r>
        <w:rPr>
          <w:rFonts w:ascii="SimSun" w:hAnsi="SimSun" w:eastAsia="SimSun" w:cs="SimSun"/>
          <w:sz w:val="22"/>
          <w:szCs w:val="22"/>
          <w:spacing w:val="-18"/>
        </w:rPr>
        <w:t>标以及优先级排序。</w:t>
      </w:r>
      <w:r>
        <w:rPr>
          <w:rFonts w:ascii="SimSun" w:hAnsi="SimSun" w:eastAsia="SimSun" w:cs="SimSun"/>
          <w:sz w:val="22"/>
          <w:szCs w:val="22"/>
          <w:spacing w:val="35"/>
        </w:rPr>
        <w:t xml:space="preserve"> </w:t>
      </w:r>
      <w:r>
        <w:rPr>
          <w:rFonts w:ascii="SimSun" w:hAnsi="SimSun" w:eastAsia="SimSun" w:cs="SimSun"/>
          <w:sz w:val="22"/>
          <w:szCs w:val="22"/>
          <w:spacing w:val="-18"/>
        </w:rPr>
        <w:t>一个比较通用的方法是：组织在制订数据治理战略时，要</w:t>
      </w:r>
      <w:r>
        <w:rPr>
          <w:rFonts w:ascii="SimSun" w:hAnsi="SimSun" w:eastAsia="SimSun" w:cs="SimSun"/>
          <w:sz w:val="22"/>
          <w:szCs w:val="22"/>
          <w:spacing w:val="-19"/>
        </w:rPr>
        <w:t>参考组</w:t>
      </w:r>
      <w:r>
        <w:rPr>
          <w:rFonts w:ascii="SimSun" w:hAnsi="SimSun" w:eastAsia="SimSun" w:cs="SimSun"/>
          <w:sz w:val="22"/>
          <w:szCs w:val="22"/>
        </w:rPr>
        <w:t xml:space="preserve"> </w:t>
      </w:r>
      <w:r>
        <w:rPr>
          <w:rFonts w:ascii="SimSun" w:hAnsi="SimSun" w:eastAsia="SimSun" w:cs="SimSun"/>
          <w:sz w:val="22"/>
          <w:szCs w:val="22"/>
          <w:spacing w:val="-15"/>
        </w:rPr>
        <w:t>织的业务战略目标和目的以及行动方针，以此来推动数据治理战略和架构的升级。</w:t>
      </w:r>
    </w:p>
    <w:p>
      <w:pPr>
        <w:spacing w:line="114" w:lineRule="exact"/>
        <w:rPr/>
      </w:pPr>
      <w:r/>
    </w:p>
    <w:tbl>
      <w:tblPr>
        <w:tblStyle w:val="TableNormal"/>
        <w:tblW w:w="758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30"/>
      </w:tblGrid>
      <w:tr>
        <w:trPr>
          <w:trHeight w:val="32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55" w:type="dxa"/>
            <w:vAlign w:val="top"/>
          </w:tcPr>
          <w:p>
            <w:pPr>
              <w:pStyle w:val="TableText"/>
              <w:ind w:left="1160"/>
              <w:spacing w:before="81" w:line="219" w:lineRule="auto"/>
              <w:rPr>
                <w:sz w:val="16"/>
                <w:szCs w:val="16"/>
              </w:rPr>
            </w:pPr>
            <w:r>
              <w:rPr>
                <w:sz w:val="16"/>
                <w:szCs w:val="16"/>
                <w:spacing w:val="-4"/>
              </w:rPr>
              <w:t>等 级 要 求</w:t>
            </w:r>
          </w:p>
        </w:tc>
        <w:tc>
          <w:tcPr>
            <w:tcW w:w="373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49" w:hRule="atLeast"/>
        </w:trPr>
        <w:tc>
          <w:tcPr>
            <w:tcW w:w="704" w:type="dxa"/>
            <w:vAlign w:val="top"/>
          </w:tcPr>
          <w:p>
            <w:pPr>
              <w:pStyle w:val="TableText"/>
              <w:ind w:left="224"/>
              <w:spacing w:before="241" w:line="183" w:lineRule="auto"/>
              <w:rPr>
                <w:sz w:val="16"/>
                <w:szCs w:val="16"/>
              </w:rPr>
            </w:pPr>
            <w:r>
              <w:rPr>
                <w:sz w:val="16"/>
                <w:szCs w:val="16"/>
                <w:spacing w:val="-3"/>
              </w:rPr>
              <w:t>3.3</w:t>
            </w:r>
          </w:p>
        </w:tc>
        <w:tc>
          <w:tcPr>
            <w:tcW w:w="3155" w:type="dxa"/>
            <w:vAlign w:val="top"/>
          </w:tcPr>
          <w:p>
            <w:pPr>
              <w:pStyle w:val="TableText"/>
              <w:ind w:left="110" w:firstLine="159"/>
              <w:spacing w:before="79" w:line="265" w:lineRule="auto"/>
              <w:rPr>
                <w:sz w:val="16"/>
                <w:szCs w:val="16"/>
              </w:rPr>
            </w:pPr>
            <w:r>
              <w:rPr>
                <w:sz w:val="16"/>
                <w:szCs w:val="16"/>
                <w:spacing w:val="-1"/>
              </w:rPr>
              <w:t>业务和技术共同协作，开发组织的数据治</w:t>
            </w:r>
            <w:r>
              <w:rPr>
                <w:sz w:val="16"/>
                <w:szCs w:val="16"/>
                <w:spacing w:val="11"/>
              </w:rPr>
              <w:t xml:space="preserve"> </w:t>
            </w:r>
            <w:r>
              <w:rPr>
                <w:sz w:val="16"/>
                <w:szCs w:val="16"/>
                <w:spacing w:val="-2"/>
              </w:rPr>
              <w:t>理战略</w:t>
            </w:r>
          </w:p>
        </w:tc>
        <w:tc>
          <w:tcPr>
            <w:tcW w:w="3730" w:type="dxa"/>
            <w:vAlign w:val="top"/>
          </w:tcPr>
          <w:p>
            <w:pPr>
              <w:pStyle w:val="TableText"/>
              <w:ind w:left="265"/>
              <w:spacing w:before="200" w:line="219" w:lineRule="auto"/>
              <w:rPr>
                <w:sz w:val="16"/>
                <w:szCs w:val="16"/>
              </w:rPr>
            </w:pPr>
            <w:r>
              <w:rPr>
                <w:sz w:val="16"/>
                <w:szCs w:val="16"/>
              </w:rPr>
              <w:t>●数据治理战略</w:t>
            </w:r>
          </w:p>
        </w:tc>
      </w:tr>
    </w:tbl>
    <w:p>
      <w:pPr>
        <w:ind w:left="549"/>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09" w:right="56" w:firstLine="449"/>
        <w:spacing w:before="66" w:line="250" w:lineRule="auto"/>
        <w:rPr>
          <w:rFonts w:ascii="SimSun" w:hAnsi="SimSun" w:eastAsia="SimSun" w:cs="SimSun"/>
          <w:sz w:val="22"/>
          <w:szCs w:val="22"/>
        </w:rPr>
      </w:pPr>
      <w:r>
        <w:rPr>
          <w:rFonts w:ascii="SimSun" w:hAnsi="SimSun" w:eastAsia="SimSun" w:cs="SimSun"/>
          <w:sz w:val="22"/>
          <w:szCs w:val="22"/>
          <w:spacing w:val="-8"/>
        </w:rPr>
        <w:t>数据治理是一个通过技术和管理手段，实现以数据应用促进组织业务发展的过</w:t>
      </w:r>
      <w:r>
        <w:rPr>
          <w:rFonts w:ascii="SimSun" w:hAnsi="SimSun" w:eastAsia="SimSun" w:cs="SimSun"/>
          <w:sz w:val="22"/>
          <w:szCs w:val="22"/>
        </w:rPr>
        <w:t xml:space="preserve"> </w:t>
      </w:r>
      <w:r>
        <w:rPr>
          <w:rFonts w:ascii="SimSun" w:hAnsi="SimSun" w:eastAsia="SimSun" w:cs="SimSun"/>
          <w:sz w:val="22"/>
          <w:szCs w:val="22"/>
          <w:spacing w:val="-8"/>
        </w:rPr>
        <w:t>程。数据治理战略在目标上要与组织业务目标相一致，这是开展数据治理活动的出</w:t>
      </w:r>
      <w:r>
        <w:rPr>
          <w:rFonts w:ascii="SimSun" w:hAnsi="SimSun" w:eastAsia="SimSun" w:cs="SimSun"/>
          <w:sz w:val="22"/>
          <w:szCs w:val="22"/>
          <w:spacing w:val="2"/>
        </w:rPr>
        <w:t xml:space="preserve"> </w:t>
      </w:r>
      <w:r>
        <w:rPr>
          <w:rFonts w:ascii="SimSun" w:hAnsi="SimSun" w:eastAsia="SimSun" w:cs="SimSun"/>
          <w:sz w:val="22"/>
          <w:szCs w:val="22"/>
          <w:spacing w:val="-8"/>
        </w:rPr>
        <w:t>发点和落脚点。数据治理能否顺利实施、实施的效果如</w:t>
      </w:r>
      <w:r>
        <w:rPr>
          <w:rFonts w:ascii="SimSun" w:hAnsi="SimSun" w:eastAsia="SimSun" w:cs="SimSun"/>
          <w:sz w:val="22"/>
          <w:szCs w:val="22"/>
          <w:spacing w:val="-9"/>
        </w:rPr>
        <w:t>何，很大程度上取决于组织</w:t>
      </w:r>
      <w:r>
        <w:rPr>
          <w:rFonts w:ascii="SimSun" w:hAnsi="SimSun" w:eastAsia="SimSun" w:cs="SimSun"/>
          <w:sz w:val="22"/>
          <w:szCs w:val="22"/>
        </w:rPr>
        <w:t xml:space="preserve"> </w:t>
      </w:r>
      <w:r>
        <w:rPr>
          <w:rFonts w:ascii="SimSun" w:hAnsi="SimSun" w:eastAsia="SimSun" w:cs="SimSun"/>
          <w:sz w:val="22"/>
          <w:szCs w:val="22"/>
          <w:spacing w:val="-10"/>
        </w:rPr>
        <w:t>所采取的技术路线。因此，数据治理战略应充分考虑到业务和技术两个角度。</w:t>
      </w:r>
    </w:p>
    <w:p>
      <w:pPr>
        <w:spacing w:line="137" w:lineRule="exact"/>
        <w:rPr/>
      </w:pPr>
      <w:r/>
    </w:p>
    <w:tbl>
      <w:tblPr>
        <w:tblStyle w:val="TableNormal"/>
        <w:tblW w:w="7589"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12" w:hRule="atLeast"/>
        </w:trPr>
        <w:tc>
          <w:tcPr>
            <w:tcW w:w="704" w:type="dxa"/>
            <w:vAlign w:val="top"/>
          </w:tcPr>
          <w:p>
            <w:pPr>
              <w:pStyle w:val="TableText"/>
              <w:ind w:left="195"/>
              <w:spacing w:before="81"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28" w:hRule="atLeast"/>
        </w:trPr>
        <w:tc>
          <w:tcPr>
            <w:tcW w:w="704" w:type="dxa"/>
            <w:vAlign w:val="top"/>
          </w:tcPr>
          <w:p>
            <w:pPr>
              <w:spacing w:line="327" w:lineRule="auto"/>
              <w:rPr>
                <w:rFonts w:ascii="Arial"/>
                <w:sz w:val="21"/>
              </w:rPr>
            </w:pPr>
            <w:r/>
          </w:p>
          <w:p>
            <w:pPr>
              <w:pStyle w:val="TableText"/>
              <w:ind w:left="224"/>
              <w:spacing w:before="48" w:line="183" w:lineRule="auto"/>
              <w:rPr/>
            </w:pPr>
            <w:r>
              <w:rPr>
                <w:spacing w:val="-2"/>
              </w:rPr>
              <w:t>3.4</w:t>
            </w:r>
          </w:p>
        </w:tc>
        <w:tc>
          <w:tcPr>
            <w:tcW w:w="3145" w:type="dxa"/>
            <w:vAlign w:val="top"/>
          </w:tcPr>
          <w:p>
            <w:pPr>
              <w:pStyle w:val="TableText"/>
              <w:ind w:left="101" w:right="169" w:firstLine="170"/>
              <w:spacing w:before="208" w:line="277" w:lineRule="auto"/>
              <w:rPr/>
            </w:pPr>
            <w:r>
              <w:rPr>
                <w:spacing w:val="-1"/>
              </w:rPr>
              <w:t>对数据治理战略执行的顺序规划进行监督</w:t>
            </w:r>
            <w:r>
              <w:rPr>
                <w:spacing w:val="11"/>
              </w:rPr>
              <w:t xml:space="preserve"> </w:t>
            </w:r>
            <w:r>
              <w:rPr>
                <w:spacing w:val="-2"/>
              </w:rPr>
              <w:t>和更新</w:t>
            </w:r>
          </w:p>
        </w:tc>
        <w:tc>
          <w:tcPr>
            <w:tcW w:w="3740" w:type="dxa"/>
            <w:vAlign w:val="top"/>
          </w:tcPr>
          <w:p>
            <w:pPr>
              <w:pStyle w:val="TableText"/>
              <w:ind w:left="266"/>
              <w:spacing w:before="79" w:line="219" w:lineRule="auto"/>
              <w:rPr/>
            </w:pPr>
            <w:r>
              <w:rPr/>
              <w:t>●数据治理战略优先级排序</w:t>
            </w:r>
          </w:p>
          <w:p>
            <w:pPr>
              <w:pStyle w:val="TableText"/>
              <w:ind w:left="266"/>
              <w:spacing w:before="102" w:line="219" w:lineRule="auto"/>
              <w:rPr/>
            </w:pPr>
            <w:r>
              <w:rPr/>
              <w:t>●数据治理战略执行记录</w:t>
            </w:r>
          </w:p>
          <w:p>
            <w:pPr>
              <w:pStyle w:val="TableText"/>
              <w:ind w:left="266"/>
              <w:spacing w:before="102" w:line="219" w:lineRule="auto"/>
              <w:rPr/>
            </w:pPr>
            <w:r>
              <w:rPr/>
              <w:t>●数据治理战略的更新记录</w:t>
            </w:r>
          </w:p>
        </w:tc>
      </w:tr>
    </w:tbl>
    <w:p>
      <w:pPr>
        <w:ind w:left="549"/>
        <w:spacing w:before="20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09" w:right="95" w:firstLine="449"/>
        <w:spacing w:before="47" w:line="248" w:lineRule="auto"/>
        <w:rPr>
          <w:rFonts w:ascii="SimSun" w:hAnsi="SimSun" w:eastAsia="SimSun" w:cs="SimSun"/>
          <w:sz w:val="22"/>
          <w:szCs w:val="22"/>
        </w:rPr>
      </w:pPr>
      <w:r>
        <w:rPr>
          <w:rFonts w:ascii="SimSun" w:hAnsi="SimSun" w:eastAsia="SimSun" w:cs="SimSun"/>
          <w:sz w:val="22"/>
          <w:szCs w:val="22"/>
          <w:spacing w:val="-9"/>
        </w:rPr>
        <w:t>数据治理活动的持续监督是必不可少的，好</w:t>
      </w:r>
      <w:r>
        <w:rPr>
          <w:rFonts w:ascii="SimSun" w:hAnsi="SimSun" w:eastAsia="SimSun" w:cs="SimSun"/>
          <w:sz w:val="22"/>
          <w:szCs w:val="22"/>
          <w:spacing w:val="-10"/>
        </w:rPr>
        <w:t>的开始不代表一定会有好的收益，</w:t>
      </w:r>
      <w:r>
        <w:rPr>
          <w:rFonts w:ascii="SimSun" w:hAnsi="SimSun" w:eastAsia="SimSun" w:cs="SimSun"/>
          <w:sz w:val="22"/>
          <w:szCs w:val="22"/>
        </w:rPr>
        <w:t xml:space="preserve"> </w:t>
      </w:r>
      <w:r>
        <w:rPr>
          <w:rFonts w:ascii="SimSun" w:hAnsi="SimSun" w:eastAsia="SimSun" w:cs="SimSun"/>
          <w:sz w:val="22"/>
          <w:szCs w:val="22"/>
          <w:spacing w:val="-13"/>
        </w:rPr>
        <w:t>随着数据治理活动的开展，组织内部和外部环境会发生变化。</w:t>
      </w:r>
      <w:r>
        <w:rPr>
          <w:rFonts w:ascii="SimSun" w:hAnsi="SimSun" w:eastAsia="SimSun" w:cs="SimSun"/>
          <w:sz w:val="22"/>
          <w:szCs w:val="22"/>
          <w:spacing w:val="56"/>
        </w:rPr>
        <w:t xml:space="preserve"> </w:t>
      </w:r>
      <w:r>
        <w:rPr>
          <w:rFonts w:ascii="SimSun" w:hAnsi="SimSun" w:eastAsia="SimSun" w:cs="SimSun"/>
          <w:sz w:val="22"/>
          <w:szCs w:val="22"/>
          <w:spacing w:val="-13"/>
        </w:rPr>
        <w:t>一些变化可能会对数</w:t>
      </w:r>
    </w:p>
    <w:p>
      <w:pPr>
        <w:spacing w:line="248" w:lineRule="auto"/>
        <w:sectPr>
          <w:footerReference w:type="default" r:id="rId142"/>
          <w:pgSz w:w="8870" w:h="13400"/>
          <w:pgMar w:top="400" w:right="395" w:bottom="544" w:left="550" w:header="0" w:footer="326" w:gutter="0"/>
        </w:sectPr>
        <w:rPr>
          <w:rFonts w:ascii="SimSun" w:hAnsi="SimSun" w:eastAsia="SimSun" w:cs="SimSun"/>
          <w:sz w:val="22"/>
          <w:szCs w:val="22"/>
        </w:rPr>
      </w:pPr>
    </w:p>
    <w:p>
      <w:pPr>
        <w:ind w:left="5523"/>
        <w:spacing w:before="284" w:line="219" w:lineRule="auto"/>
        <w:rPr>
          <w:rFonts w:ascii="SimSun" w:hAnsi="SimSun" w:eastAsia="SimSun" w:cs="SimSun"/>
          <w:sz w:val="22"/>
          <w:szCs w:val="22"/>
        </w:rPr>
      </w:pPr>
      <w:r>
        <w:rPr>
          <w:rFonts w:ascii="SimSun" w:hAnsi="SimSun" w:eastAsia="SimSun" w:cs="SimSun"/>
          <w:sz w:val="22"/>
          <w:szCs w:val="22"/>
          <w:b/>
          <w:bCs/>
          <w:spacing w:val="17"/>
        </w:rPr>
        <w:t>第4章=云端数据战略</w:t>
      </w:r>
    </w:p>
    <w:p>
      <w:pPr>
        <w:pStyle w:val="BodyText"/>
        <w:spacing w:line="247" w:lineRule="auto"/>
        <w:rPr/>
      </w:pPr>
      <w:r/>
    </w:p>
    <w:p>
      <w:pPr>
        <w:ind w:right="279"/>
        <w:spacing w:before="71" w:line="252" w:lineRule="auto"/>
        <w:jc w:val="both"/>
        <w:rPr>
          <w:rFonts w:ascii="SimSun" w:hAnsi="SimSun" w:eastAsia="SimSun" w:cs="SimSun"/>
          <w:sz w:val="22"/>
          <w:szCs w:val="22"/>
        </w:rPr>
      </w:pPr>
      <w:r>
        <w:rPr>
          <w:rFonts w:ascii="SimSun" w:hAnsi="SimSun" w:eastAsia="SimSun" w:cs="SimSun"/>
          <w:sz w:val="22"/>
          <w:szCs w:val="22"/>
          <w:spacing w:val="-8"/>
        </w:rPr>
        <w:t>据治理活动产生重大影响，如国家新通过了某项数据相</w:t>
      </w:r>
      <w:r>
        <w:rPr>
          <w:rFonts w:ascii="SimSun" w:hAnsi="SimSun" w:eastAsia="SimSun" w:cs="SimSun"/>
          <w:sz w:val="22"/>
          <w:szCs w:val="22"/>
          <w:spacing w:val="-9"/>
        </w:rPr>
        <w:t>关的法律法规，会对数据管</w:t>
      </w:r>
      <w:r>
        <w:rPr>
          <w:rFonts w:ascii="SimSun" w:hAnsi="SimSun" w:eastAsia="SimSun" w:cs="SimSun"/>
          <w:sz w:val="22"/>
          <w:szCs w:val="22"/>
        </w:rPr>
        <w:t xml:space="preserve"> </w:t>
      </w:r>
      <w:r>
        <w:rPr>
          <w:rFonts w:ascii="SimSun" w:hAnsi="SimSun" w:eastAsia="SimSun" w:cs="SimSun"/>
          <w:sz w:val="22"/>
          <w:szCs w:val="22"/>
          <w:spacing w:val="-8"/>
        </w:rPr>
        <w:t>理过程中的多个环节提出法律要求，此时数据治理战略必须调整以满足合</w:t>
      </w:r>
      <w:r>
        <w:rPr>
          <w:rFonts w:ascii="SimSun" w:hAnsi="SimSun" w:eastAsia="SimSun" w:cs="SimSun"/>
          <w:sz w:val="22"/>
          <w:szCs w:val="22"/>
          <w:spacing w:val="-9"/>
        </w:rPr>
        <w:t>规要求。</w:t>
      </w:r>
      <w:r>
        <w:rPr>
          <w:rFonts w:ascii="SimSun" w:hAnsi="SimSun" w:eastAsia="SimSun" w:cs="SimSun"/>
          <w:sz w:val="22"/>
          <w:szCs w:val="22"/>
        </w:rPr>
        <w:t xml:space="preserve"> </w:t>
      </w:r>
      <w:r>
        <w:rPr>
          <w:rFonts w:ascii="SimSun" w:hAnsi="SimSun" w:eastAsia="SimSun" w:cs="SimSun"/>
          <w:sz w:val="22"/>
          <w:szCs w:val="22"/>
          <w:spacing w:val="-8"/>
        </w:rPr>
        <w:t>另一方面，组织架构、人员、资金和技术等方面的</w:t>
      </w:r>
      <w:r>
        <w:rPr>
          <w:rFonts w:ascii="SimSun" w:hAnsi="SimSun" w:eastAsia="SimSun" w:cs="SimSun"/>
          <w:sz w:val="22"/>
          <w:szCs w:val="22"/>
          <w:spacing w:val="-9"/>
        </w:rPr>
        <w:t>变化也会对数据治理活动产生影</w:t>
      </w:r>
      <w:r>
        <w:rPr>
          <w:rFonts w:ascii="SimSun" w:hAnsi="SimSun" w:eastAsia="SimSun" w:cs="SimSun"/>
          <w:sz w:val="22"/>
          <w:szCs w:val="22"/>
        </w:rPr>
        <w:t xml:space="preserve"> </w:t>
      </w:r>
      <w:r>
        <w:rPr>
          <w:rFonts w:ascii="SimSun" w:hAnsi="SimSun" w:eastAsia="SimSun" w:cs="SimSun"/>
          <w:sz w:val="22"/>
          <w:szCs w:val="22"/>
          <w:spacing w:val="-8"/>
        </w:rPr>
        <w:t>响，因此必须对数据治理战略的执行进行监督。</w:t>
      </w:r>
      <w:r>
        <w:rPr>
          <w:rFonts w:ascii="SimSun" w:hAnsi="SimSun" w:eastAsia="SimSun" w:cs="SimSun"/>
          <w:sz w:val="22"/>
          <w:szCs w:val="22"/>
          <w:spacing w:val="-9"/>
        </w:rPr>
        <w:t>监督的依据则是既定的数据治理活</w:t>
      </w:r>
      <w:r>
        <w:rPr>
          <w:rFonts w:ascii="SimSun" w:hAnsi="SimSun" w:eastAsia="SimSun" w:cs="SimSun"/>
          <w:sz w:val="22"/>
          <w:szCs w:val="22"/>
        </w:rPr>
        <w:t xml:space="preserve"> </w:t>
      </w:r>
      <w:r>
        <w:rPr>
          <w:rFonts w:ascii="SimSun" w:hAnsi="SimSun" w:eastAsia="SimSun" w:cs="SimSun"/>
          <w:sz w:val="22"/>
          <w:szCs w:val="22"/>
          <w:spacing w:val="-10"/>
        </w:rPr>
        <w:t>动执行顺序，评估其在规划时间节点上完成的成果。</w:t>
      </w:r>
    </w:p>
    <w:p>
      <w:pPr>
        <w:ind w:left="449"/>
        <w:spacing w:before="50" w:line="219" w:lineRule="auto"/>
        <w:rPr>
          <w:rFonts w:ascii="SimSun" w:hAnsi="SimSun" w:eastAsia="SimSun" w:cs="SimSun"/>
          <w:sz w:val="22"/>
          <w:szCs w:val="22"/>
        </w:rPr>
      </w:pPr>
      <w:r>
        <w:rPr>
          <w:rFonts w:ascii="SimSun" w:hAnsi="SimSun" w:eastAsia="SimSun" w:cs="SimSun"/>
          <w:sz w:val="22"/>
          <w:szCs w:val="22"/>
          <w:spacing w:val="-10"/>
        </w:rPr>
        <w:t>评审数据治理方案执行的顺序规划应考虑以下内容。</w:t>
      </w:r>
    </w:p>
    <w:p>
      <w:pPr>
        <w:ind w:left="449"/>
        <w:spacing w:before="40" w:line="219" w:lineRule="auto"/>
        <w:rPr>
          <w:rFonts w:ascii="SimSun" w:hAnsi="SimSun" w:eastAsia="SimSun" w:cs="SimSun"/>
          <w:sz w:val="22"/>
          <w:szCs w:val="22"/>
        </w:rPr>
      </w:pPr>
      <w:r>
        <w:rPr>
          <w:rFonts w:ascii="SimSun" w:hAnsi="SimSun" w:eastAsia="SimSun" w:cs="SimSun"/>
          <w:sz w:val="22"/>
          <w:szCs w:val="22"/>
          <w:spacing w:val="-11"/>
        </w:rPr>
        <w:t>●具有里程碑意义的进度；</w:t>
      </w:r>
    </w:p>
    <w:p>
      <w:pPr>
        <w:ind w:left="449"/>
        <w:spacing w:before="49" w:line="220" w:lineRule="auto"/>
        <w:rPr>
          <w:rFonts w:ascii="SimSun" w:hAnsi="SimSun" w:eastAsia="SimSun" w:cs="SimSun"/>
          <w:sz w:val="22"/>
          <w:szCs w:val="22"/>
        </w:rPr>
      </w:pPr>
      <w:r>
        <w:rPr>
          <w:rFonts w:ascii="SimSun" w:hAnsi="SimSun" w:eastAsia="SimSun" w:cs="SimSun"/>
          <w:sz w:val="22"/>
          <w:szCs w:val="22"/>
          <w:spacing w:val="-12"/>
        </w:rPr>
        <w:t>●风险识别；</w:t>
      </w:r>
    </w:p>
    <w:p>
      <w:pPr>
        <w:ind w:left="449"/>
        <w:spacing w:before="69" w:line="221" w:lineRule="auto"/>
        <w:rPr>
          <w:rFonts w:ascii="SimSun" w:hAnsi="SimSun" w:eastAsia="SimSun" w:cs="SimSun"/>
          <w:sz w:val="22"/>
          <w:szCs w:val="22"/>
        </w:rPr>
      </w:pPr>
      <w:r>
        <w:rPr>
          <w:rFonts w:ascii="SimSun" w:hAnsi="SimSun" w:eastAsia="SimSun" w:cs="SimSun"/>
          <w:sz w:val="22"/>
          <w:szCs w:val="22"/>
          <w:spacing w:val="-12"/>
        </w:rPr>
        <w:t>●资源利用；</w:t>
      </w:r>
    </w:p>
    <w:p>
      <w:pPr>
        <w:ind w:left="449"/>
        <w:spacing w:before="45" w:line="219" w:lineRule="auto"/>
        <w:rPr>
          <w:rFonts w:ascii="SimSun" w:hAnsi="SimSun" w:eastAsia="SimSun" w:cs="SimSun"/>
          <w:sz w:val="22"/>
          <w:szCs w:val="22"/>
        </w:rPr>
      </w:pPr>
      <w:r>
        <w:rPr>
          <w:rFonts w:ascii="SimSun" w:hAnsi="SimSun" w:eastAsia="SimSun" w:cs="SimSun"/>
          <w:sz w:val="22"/>
          <w:szCs w:val="22"/>
          <w:spacing w:val="-9"/>
        </w:rPr>
        <w:t>●与数据治理重点保持一致；</w:t>
      </w:r>
    </w:p>
    <w:p>
      <w:pPr>
        <w:ind w:left="449"/>
        <w:spacing w:before="59" w:line="219" w:lineRule="auto"/>
        <w:rPr>
          <w:rFonts w:ascii="SimSun" w:hAnsi="SimSun" w:eastAsia="SimSun" w:cs="SimSun"/>
          <w:sz w:val="22"/>
          <w:szCs w:val="22"/>
        </w:rPr>
      </w:pPr>
      <w:r>
        <w:rPr>
          <w:rFonts w:ascii="SimSun" w:hAnsi="SimSun" w:eastAsia="SimSun" w:cs="SimSun"/>
          <w:sz w:val="22"/>
          <w:szCs w:val="22"/>
          <w:spacing w:val="-8"/>
        </w:rPr>
        <w:t>●实现数据治理目标。</w:t>
      </w:r>
    </w:p>
    <w:p>
      <w:pPr>
        <w:spacing w:line="125"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1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1"/>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48" w:hRule="atLeast"/>
        </w:trPr>
        <w:tc>
          <w:tcPr>
            <w:tcW w:w="714" w:type="dxa"/>
            <w:vAlign w:val="top"/>
          </w:tcPr>
          <w:p>
            <w:pPr>
              <w:pStyle w:val="TableText"/>
              <w:ind w:left="224"/>
              <w:spacing w:before="241" w:line="183" w:lineRule="auto"/>
              <w:rPr>
                <w:sz w:val="16"/>
                <w:szCs w:val="16"/>
              </w:rPr>
            </w:pPr>
            <w:r>
              <w:rPr>
                <w:sz w:val="16"/>
                <w:szCs w:val="16"/>
                <w:spacing w:val="-3"/>
              </w:rPr>
              <w:t>3.5</w:t>
            </w:r>
          </w:p>
        </w:tc>
        <w:tc>
          <w:tcPr>
            <w:tcW w:w="3135" w:type="dxa"/>
            <w:vAlign w:val="top"/>
          </w:tcPr>
          <w:p>
            <w:pPr>
              <w:pStyle w:val="TableText"/>
              <w:ind w:left="101" w:firstLine="168"/>
              <w:spacing w:before="90" w:line="258" w:lineRule="auto"/>
              <w:rPr>
                <w:sz w:val="16"/>
                <w:szCs w:val="16"/>
              </w:rPr>
            </w:pPr>
            <w:r>
              <w:rPr>
                <w:sz w:val="16"/>
                <w:szCs w:val="16"/>
                <w:spacing w:val="-2"/>
              </w:rPr>
              <w:t>根据组织已定义的标准过程，对组织的数</w:t>
            </w:r>
            <w:r>
              <w:rPr>
                <w:sz w:val="16"/>
                <w:szCs w:val="16"/>
                <w:spacing w:val="10"/>
              </w:rPr>
              <w:t xml:space="preserve"> </w:t>
            </w:r>
            <w:r>
              <w:rPr>
                <w:sz w:val="16"/>
                <w:szCs w:val="16"/>
                <w:spacing w:val="-2"/>
              </w:rPr>
              <w:t>据管理战略进行记录、维护、评审和沟通</w:t>
            </w:r>
          </w:p>
        </w:tc>
        <w:tc>
          <w:tcPr>
            <w:tcW w:w="3750" w:type="dxa"/>
            <w:vAlign w:val="top"/>
          </w:tcPr>
          <w:p>
            <w:pPr>
              <w:pStyle w:val="TableText"/>
              <w:ind w:left="256"/>
              <w:spacing w:before="200" w:line="219" w:lineRule="auto"/>
              <w:rPr>
                <w:sz w:val="16"/>
                <w:szCs w:val="16"/>
              </w:rPr>
            </w:pPr>
            <w:r>
              <w:rPr>
                <w:sz w:val="16"/>
                <w:szCs w:val="16"/>
              </w:rPr>
              <w:t>●数据治理战略评审和更新记录</w:t>
            </w:r>
          </w:p>
        </w:tc>
      </w:tr>
    </w:tbl>
    <w:p>
      <w:pPr>
        <w:ind w:left="339"/>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85" w:firstLine="449"/>
        <w:spacing w:before="50" w:line="250" w:lineRule="auto"/>
        <w:rPr>
          <w:rFonts w:ascii="SimSun" w:hAnsi="SimSun" w:eastAsia="SimSun" w:cs="SimSun"/>
          <w:sz w:val="22"/>
          <w:szCs w:val="22"/>
        </w:rPr>
      </w:pPr>
      <w:r>
        <w:rPr>
          <w:rFonts w:ascii="SimSun" w:hAnsi="SimSun" w:eastAsia="SimSun" w:cs="SimSun"/>
          <w:sz w:val="22"/>
          <w:szCs w:val="22"/>
          <w:spacing w:val="-9"/>
        </w:rPr>
        <w:t>根据组织与角色划分，数据治理机构代表所有业务利益相关者，负责确</w:t>
      </w:r>
      <w:r>
        <w:rPr>
          <w:rFonts w:ascii="SimSun" w:hAnsi="SimSun" w:eastAsia="SimSun" w:cs="SimSun"/>
          <w:sz w:val="22"/>
          <w:szCs w:val="22"/>
          <w:spacing w:val="-10"/>
        </w:rPr>
        <w:t>保数据</w:t>
      </w:r>
      <w:r>
        <w:rPr>
          <w:rFonts w:ascii="SimSun" w:hAnsi="SimSun" w:eastAsia="SimSun" w:cs="SimSun"/>
          <w:sz w:val="22"/>
          <w:szCs w:val="22"/>
        </w:rPr>
        <w:t xml:space="preserve"> </w:t>
      </w:r>
      <w:r>
        <w:rPr>
          <w:rFonts w:ascii="SimSun" w:hAnsi="SimSun" w:eastAsia="SimSun" w:cs="SimSun"/>
          <w:sz w:val="22"/>
          <w:szCs w:val="22"/>
          <w:spacing w:val="-8"/>
        </w:rPr>
        <w:t>治理战略的有效沟通。当有业务需求或战略需要更</w:t>
      </w:r>
      <w:r>
        <w:rPr>
          <w:rFonts w:ascii="SimSun" w:hAnsi="SimSun" w:eastAsia="SimSun" w:cs="SimSun"/>
          <w:sz w:val="22"/>
          <w:szCs w:val="22"/>
          <w:spacing w:val="-9"/>
        </w:rPr>
        <w:t>改时，数据治理机构要负责对优</w:t>
      </w:r>
      <w:r>
        <w:rPr>
          <w:rFonts w:ascii="SimSun" w:hAnsi="SimSun" w:eastAsia="SimSun" w:cs="SimSun"/>
          <w:sz w:val="22"/>
          <w:szCs w:val="22"/>
        </w:rPr>
        <w:t xml:space="preserve"> </w:t>
      </w:r>
      <w:r>
        <w:rPr>
          <w:rFonts w:ascii="SimSun" w:hAnsi="SimSun" w:eastAsia="SimSun" w:cs="SimSun"/>
          <w:sz w:val="22"/>
          <w:szCs w:val="22"/>
          <w:spacing w:val="-8"/>
        </w:rPr>
        <w:t>先事项、目标和路径图进行评审，并对以上内容进行更新，但</w:t>
      </w:r>
      <w:r>
        <w:rPr>
          <w:rFonts w:ascii="SimSun" w:hAnsi="SimSun" w:eastAsia="SimSun" w:cs="SimSun"/>
          <w:sz w:val="22"/>
          <w:szCs w:val="22"/>
          <w:spacing w:val="-9"/>
        </w:rPr>
        <w:t>与此同时也要遵循已</w:t>
      </w:r>
      <w:r>
        <w:rPr>
          <w:rFonts w:ascii="SimSun" w:hAnsi="SimSun" w:eastAsia="SimSun" w:cs="SimSun"/>
          <w:sz w:val="22"/>
          <w:szCs w:val="22"/>
        </w:rPr>
        <w:t xml:space="preserve"> </w:t>
      </w:r>
      <w:r>
        <w:rPr>
          <w:rFonts w:ascii="SimSun" w:hAnsi="SimSun" w:eastAsia="SimSun" w:cs="SimSun"/>
          <w:sz w:val="22"/>
          <w:szCs w:val="22"/>
          <w:spacing w:val="-16"/>
        </w:rPr>
        <w:t>定义的批准过程。</w:t>
      </w:r>
    </w:p>
    <w:p>
      <w:pPr>
        <w:spacing w:line="143" w:lineRule="exact"/>
        <w:rPr/>
      </w:pPr>
      <w:r/>
    </w:p>
    <w:tbl>
      <w:tblPr>
        <w:tblStyle w:val="TableNormal"/>
        <w:tblW w:w="759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23"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5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3076" w:hRule="atLeast"/>
        </w:trPr>
        <w:tc>
          <w:tcPr>
            <w:tcW w:w="704"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24"/>
              <w:spacing w:before="48" w:line="183" w:lineRule="auto"/>
              <w:rPr/>
            </w:pPr>
            <w:r>
              <w:rPr>
                <w:spacing w:val="-2"/>
              </w:rPr>
              <w:t>3.6</w:t>
            </w:r>
          </w:p>
        </w:tc>
        <w:tc>
          <w:tcPr>
            <w:tcW w:w="3135" w:type="dxa"/>
            <w:vAlign w:val="top"/>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TableText"/>
              <w:ind w:left="101" w:right="160" w:firstLine="169"/>
              <w:spacing w:before="49" w:line="277" w:lineRule="auto"/>
              <w:rPr/>
            </w:pPr>
            <w:r>
              <w:rPr>
                <w:spacing w:val="-1"/>
              </w:rPr>
              <w:t>利用度量指标来评估和监督数据管理目标</w:t>
            </w:r>
            <w:r>
              <w:rPr>
                <w:spacing w:val="10"/>
              </w:rPr>
              <w:t xml:space="preserve"> </w:t>
            </w:r>
            <w:r>
              <w:rPr>
                <w:spacing w:val="1"/>
              </w:rPr>
              <w:t>的实现</w:t>
            </w:r>
          </w:p>
        </w:tc>
        <w:tc>
          <w:tcPr>
            <w:tcW w:w="3760" w:type="dxa"/>
            <w:vAlign w:val="top"/>
          </w:tcPr>
          <w:p>
            <w:pPr>
              <w:pStyle w:val="TableText"/>
              <w:ind w:left="255"/>
              <w:spacing w:before="78" w:line="219" w:lineRule="auto"/>
              <w:rPr/>
            </w:pPr>
            <w:r>
              <w:rPr/>
              <w:t>●数据治理战略</w:t>
            </w:r>
          </w:p>
          <w:p>
            <w:pPr>
              <w:pStyle w:val="TableText"/>
              <w:ind w:left="255"/>
              <w:spacing w:before="101" w:line="219" w:lineRule="auto"/>
              <w:rPr/>
            </w:pPr>
            <w:r>
              <w:rPr/>
              <w:t>●数据治理目标和优先权列表</w:t>
            </w:r>
          </w:p>
          <w:p>
            <w:pPr>
              <w:pStyle w:val="TableText"/>
              <w:ind w:left="255"/>
              <w:spacing w:before="102" w:line="219" w:lineRule="auto"/>
              <w:rPr/>
            </w:pPr>
            <w:r>
              <w:rPr/>
              <w:t>●数据治理策略</w:t>
            </w:r>
          </w:p>
          <w:p>
            <w:pPr>
              <w:pStyle w:val="TableText"/>
              <w:ind w:left="276"/>
              <w:spacing w:before="92" w:line="219" w:lineRule="auto"/>
              <w:rPr/>
            </w:pPr>
            <w:r>
              <w:rPr/>
              <w:t>●利益相关者参与和批准的文件</w:t>
            </w:r>
          </w:p>
          <w:p>
            <w:pPr>
              <w:pStyle w:val="TableText"/>
              <w:ind w:right="19"/>
              <w:spacing w:before="101" w:line="219" w:lineRule="auto"/>
              <w:jc w:val="right"/>
              <w:rPr/>
            </w:pPr>
            <w:r>
              <w:rPr>
                <w:spacing w:val="3"/>
              </w:rPr>
              <w:t>●描述数据治理范围的文档(如主题域、业务领域、</w:t>
            </w:r>
          </w:p>
          <w:p>
            <w:pPr>
              <w:pStyle w:val="TableText"/>
              <w:ind w:left="116"/>
              <w:spacing w:before="112" w:line="219" w:lineRule="auto"/>
              <w:rPr/>
            </w:pPr>
            <w:r>
              <w:rPr>
                <w:spacing w:val="2"/>
              </w:rPr>
              <w:t>关键数据元素、重要规则等)</w:t>
            </w:r>
          </w:p>
          <w:p>
            <w:pPr>
              <w:pStyle w:val="TableText"/>
              <w:ind w:left="266"/>
              <w:spacing w:before="102" w:line="219" w:lineRule="auto"/>
              <w:rPr/>
            </w:pPr>
            <w:r>
              <w:rPr>
                <w:spacing w:val="1"/>
              </w:rPr>
              <w:t>●数据治理战略顺序规划</w:t>
            </w:r>
          </w:p>
          <w:p>
            <w:pPr>
              <w:pStyle w:val="TableText"/>
              <w:ind w:left="266"/>
              <w:spacing w:before="112" w:line="219" w:lineRule="auto"/>
              <w:rPr/>
            </w:pPr>
            <w:r>
              <w:rPr/>
              <w:t>●数据治理方案度量指标</w:t>
            </w:r>
          </w:p>
          <w:p>
            <w:pPr>
              <w:pStyle w:val="TableText"/>
              <w:ind w:left="276"/>
              <w:spacing w:before="91" w:line="219" w:lineRule="auto"/>
              <w:rPr/>
            </w:pPr>
            <w:r>
              <w:rPr/>
              <w:t>●方案成本一效益分析结果</w:t>
            </w:r>
          </w:p>
          <w:p>
            <w:pPr>
              <w:pStyle w:val="TableText"/>
              <w:ind w:left="266"/>
              <w:spacing w:before="103" w:line="219" w:lineRule="auto"/>
              <w:rPr/>
            </w:pPr>
            <w:r>
              <w:rPr>
                <w:spacing w:val="1"/>
              </w:rPr>
              <w:t>●数据治理方案评审</w:t>
            </w:r>
          </w:p>
          <w:p>
            <w:pPr>
              <w:pStyle w:val="TableText"/>
              <w:ind w:left="266"/>
              <w:spacing w:before="112" w:line="219" w:lineRule="auto"/>
              <w:rPr/>
            </w:pPr>
            <w:r>
              <w:rPr/>
              <w:t>●数据治理战略进度播报表</w:t>
            </w:r>
          </w:p>
        </w:tc>
      </w:tr>
    </w:tbl>
    <w:p>
      <w:pPr>
        <w:ind w:left="339"/>
        <w:spacing w:before="175"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29" w:firstLine="449"/>
        <w:spacing w:before="67" w:line="241" w:lineRule="auto"/>
        <w:rPr>
          <w:rFonts w:ascii="SimSun" w:hAnsi="SimSun" w:eastAsia="SimSun" w:cs="SimSun"/>
          <w:sz w:val="22"/>
          <w:szCs w:val="22"/>
        </w:rPr>
      </w:pPr>
      <w:r>
        <w:rPr>
          <w:rFonts w:ascii="SimSun" w:hAnsi="SimSun" w:eastAsia="SimSun" w:cs="SimSun"/>
          <w:sz w:val="22"/>
          <w:szCs w:val="22"/>
          <w:spacing w:val="-7"/>
        </w:rPr>
        <w:t>组织应当制订一些度量指标来衡量数据治理目标</w:t>
      </w:r>
      <w:r>
        <w:rPr>
          <w:rFonts w:ascii="SimSun" w:hAnsi="SimSun" w:eastAsia="SimSun" w:cs="SimSun"/>
          <w:sz w:val="22"/>
          <w:szCs w:val="22"/>
          <w:spacing w:val="-8"/>
        </w:rPr>
        <w:t>的实现程度，例如数据治理关</w:t>
      </w:r>
      <w:r>
        <w:rPr>
          <w:rFonts w:ascii="SimSun" w:hAnsi="SimSun" w:eastAsia="SimSun" w:cs="SimSun"/>
          <w:sz w:val="22"/>
          <w:szCs w:val="22"/>
        </w:rPr>
        <w:t xml:space="preserve"> </w:t>
      </w:r>
      <w:r>
        <w:rPr>
          <w:rFonts w:ascii="SimSun" w:hAnsi="SimSun" w:eastAsia="SimSun" w:cs="SimSun"/>
          <w:sz w:val="22"/>
          <w:szCs w:val="22"/>
          <w:spacing w:val="-8"/>
        </w:rPr>
        <w:t>键阶段的指标完成情况，以及对成本和效益的评价。组织</w:t>
      </w:r>
      <w:r>
        <w:rPr>
          <w:rFonts w:ascii="SimSun" w:hAnsi="SimSun" w:eastAsia="SimSun" w:cs="SimSun"/>
          <w:sz w:val="22"/>
          <w:szCs w:val="22"/>
          <w:spacing w:val="-9"/>
        </w:rPr>
        <w:t>在制订度量指标时，应充</w:t>
      </w:r>
      <w:r>
        <w:rPr>
          <w:rFonts w:ascii="SimSun" w:hAnsi="SimSun" w:eastAsia="SimSun" w:cs="SimSun"/>
          <w:sz w:val="22"/>
          <w:szCs w:val="22"/>
        </w:rPr>
        <w:t xml:space="preserve"> </w:t>
      </w:r>
      <w:r>
        <w:rPr>
          <w:rFonts w:ascii="SimSun" w:hAnsi="SimSun" w:eastAsia="SimSun" w:cs="SimSun"/>
          <w:sz w:val="22"/>
          <w:szCs w:val="22"/>
          <w:spacing w:val="-8"/>
        </w:rPr>
        <w:t>分考虑指标的可操作性，能够让所有的利益相关者较方便地使用这</w:t>
      </w:r>
      <w:r>
        <w:rPr>
          <w:rFonts w:ascii="SimSun" w:hAnsi="SimSun" w:eastAsia="SimSun" w:cs="SimSun"/>
          <w:sz w:val="22"/>
          <w:szCs w:val="22"/>
          <w:spacing w:val="-9"/>
        </w:rPr>
        <w:t>些度量指标去评</w:t>
      </w:r>
    </w:p>
    <w:p>
      <w:pPr>
        <w:spacing w:line="241" w:lineRule="auto"/>
        <w:sectPr>
          <w:footerReference w:type="default" r:id="rId144"/>
          <w:pgSz w:w="8870" w:h="13400"/>
          <w:pgMar w:top="400" w:right="610" w:bottom="465" w:left="350" w:header="0" w:footer="246" w:gutter="0"/>
        </w:sectPr>
        <w:rPr>
          <w:rFonts w:ascii="SimSun" w:hAnsi="SimSun" w:eastAsia="SimSun" w:cs="SimSun"/>
          <w:sz w:val="22"/>
          <w:szCs w:val="22"/>
        </w:rPr>
      </w:pPr>
    </w:p>
    <w:p>
      <w:pPr>
        <w:ind w:left="120"/>
        <w:spacing w:before="239"/>
        <w:rPr>
          <w:rFonts w:ascii="SimSun" w:hAnsi="SimSun" w:eastAsia="SimSun" w:cs="SimSun"/>
          <w:sz w:val="21"/>
          <w:szCs w:val="21"/>
        </w:rPr>
      </w:pPr>
      <w:r>
        <w:rPr>
          <w:rFonts w:ascii="SimSun" w:hAnsi="SimSun" w:eastAsia="SimSun" w:cs="SimSun"/>
          <w:sz w:val="21"/>
          <w:szCs w:val="21"/>
          <w:position w:val="-8"/>
        </w:rPr>
        <w:drawing>
          <wp:inline distT="0" distB="0" distL="0" distR="0">
            <wp:extent cx="6365" cy="234933"/>
            <wp:effectExtent l="0" t="0" r="0" b="0"/>
            <wp:docPr id="122" name="IM 122"/>
            <wp:cNvGraphicFramePr/>
            <a:graphic>
              <a:graphicData uri="http://schemas.openxmlformats.org/drawingml/2006/picture">
                <pic:pic>
                  <pic:nvPicPr>
                    <pic:cNvPr id="122" name="IM 122"/>
                    <pic:cNvPicPr/>
                  </pic:nvPicPr>
                  <pic:blipFill>
                    <a:blip r:embed="rId146"/>
                    <a:stretch>
                      <a:fillRect/>
                    </a:stretch>
                  </pic:blipFill>
                  <pic:spPr>
                    <a:xfrm rot="0">
                      <a:off x="0" y="0"/>
                      <a:ext cx="6365" cy="234933"/>
                    </a:xfrm>
                    <a:prstGeom prst="rect">
                      <a:avLst/>
                    </a:prstGeom>
                  </pic:spPr>
                </pic:pic>
              </a:graphicData>
            </a:graphic>
          </wp:inline>
        </w:drawing>
      </w:r>
      <w:r>
        <w:rPr>
          <w:rFonts w:ascii="SimSun" w:hAnsi="SimSun" w:eastAsia="SimSun" w:cs="SimSun"/>
          <w:sz w:val="21"/>
          <w:szCs w:val="21"/>
          <w:spacing w:val="-23"/>
        </w:rPr>
        <w:t xml:space="preserve"> </w:t>
      </w:r>
      <w:r>
        <w:rPr>
          <w:rFonts w:ascii="SimSun" w:hAnsi="SimSun" w:eastAsia="SimSun" w:cs="SimSun"/>
          <w:sz w:val="21"/>
          <w:szCs w:val="21"/>
          <w:b/>
          <w:bCs/>
          <w:spacing w:val="-22"/>
        </w:rPr>
        <w:t>■云端数据治理。</w:t>
      </w:r>
    </w:p>
    <w:p>
      <w:pPr>
        <w:ind w:left="270"/>
        <w:spacing w:before="296" w:line="218" w:lineRule="auto"/>
        <w:rPr>
          <w:rFonts w:ascii="SimSun" w:hAnsi="SimSun" w:eastAsia="SimSun" w:cs="SimSun"/>
          <w:sz w:val="21"/>
          <w:szCs w:val="21"/>
        </w:rPr>
      </w:pPr>
      <w:r>
        <w:rPr>
          <w:rFonts w:ascii="SimSun" w:hAnsi="SimSun" w:eastAsia="SimSun" w:cs="SimSun"/>
          <w:sz w:val="21"/>
          <w:szCs w:val="21"/>
          <w:spacing w:val="-3"/>
        </w:rPr>
        <w:t>估数据治理目标的实现情况。</w:t>
      </w:r>
    </w:p>
    <w:p>
      <w:pPr>
        <w:ind w:left="683"/>
        <w:spacing w:before="58" w:line="221" w:lineRule="auto"/>
        <w:rPr>
          <w:rFonts w:ascii="SimHei" w:hAnsi="SimHei" w:eastAsia="SimHei" w:cs="SimHei"/>
          <w:sz w:val="21"/>
          <w:szCs w:val="21"/>
        </w:rPr>
      </w:pPr>
      <w:r>
        <w:rPr>
          <w:rFonts w:ascii="SimSun" w:hAnsi="SimSun" w:eastAsia="SimSun" w:cs="SimSun"/>
          <w:sz w:val="21"/>
          <w:szCs w:val="21"/>
          <w:b/>
          <w:bCs/>
          <w:spacing w:val="-6"/>
        </w:rPr>
        <w:t>Level</w:t>
      </w:r>
      <w:r>
        <w:rPr>
          <w:rFonts w:ascii="SimSun" w:hAnsi="SimSun" w:eastAsia="SimSun" w:cs="SimSun"/>
          <w:sz w:val="21"/>
          <w:szCs w:val="21"/>
          <w:spacing w:val="-6"/>
        </w:rPr>
        <w:t xml:space="preserve"> </w:t>
      </w:r>
      <w:r>
        <w:rPr>
          <w:rFonts w:ascii="SimSun" w:hAnsi="SimSun" w:eastAsia="SimSun" w:cs="SimSun"/>
          <w:sz w:val="21"/>
          <w:szCs w:val="21"/>
          <w:b/>
          <w:bCs/>
          <w:spacing w:val="-6"/>
        </w:rPr>
        <w:t>4:</w:t>
      </w:r>
      <w:r>
        <w:rPr>
          <w:rFonts w:ascii="SimSun" w:hAnsi="SimSun" w:eastAsia="SimSun" w:cs="SimSun"/>
          <w:sz w:val="21"/>
          <w:szCs w:val="21"/>
          <w:spacing w:val="-35"/>
        </w:rPr>
        <w:t xml:space="preserve"> </w:t>
      </w:r>
      <w:r>
        <w:rPr>
          <w:rFonts w:ascii="SimHei" w:hAnsi="SimHei" w:eastAsia="SimHei" w:cs="SimHei"/>
          <w:sz w:val="21"/>
          <w:szCs w:val="21"/>
          <w:b/>
          <w:bCs/>
          <w:spacing w:val="-6"/>
        </w:rPr>
        <w:t>量化级</w:t>
      </w:r>
    </w:p>
    <w:p>
      <w:pPr>
        <w:spacing w:line="130" w:lineRule="exact"/>
        <w:rPr/>
      </w:pPr>
      <w:r/>
    </w:p>
    <w:tbl>
      <w:tblPr>
        <w:tblStyle w:val="TableNormal"/>
        <w:tblW w:w="759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6"/>
        <w:gridCol w:w="3740"/>
      </w:tblGrid>
      <w:tr>
        <w:trPr>
          <w:trHeight w:val="322" w:hRule="atLeast"/>
        </w:trPr>
        <w:tc>
          <w:tcPr>
            <w:tcW w:w="714" w:type="dxa"/>
            <w:vAlign w:val="top"/>
          </w:tcPr>
          <w:p>
            <w:pPr>
              <w:pStyle w:val="TableText"/>
              <w:ind w:left="195"/>
              <w:spacing w:before="92" w:line="221" w:lineRule="auto"/>
              <w:rPr/>
            </w:pPr>
            <w:r>
              <w:rPr>
                <w:spacing w:val="-2"/>
              </w:rPr>
              <w:t>序号</w:t>
            </w:r>
          </w:p>
        </w:tc>
        <w:tc>
          <w:tcPr>
            <w:tcW w:w="3136"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94"/>
              <w:spacing w:before="91" w:line="220" w:lineRule="auto"/>
              <w:rPr/>
            </w:pPr>
            <w:r>
              <w:rPr>
                <w:spacing w:val="-5"/>
              </w:rPr>
              <w:t>实</w:t>
            </w:r>
            <w:r>
              <w:rPr>
                <w:spacing w:val="1"/>
              </w:rPr>
              <w:t xml:space="preserve">   </w:t>
            </w:r>
            <w:r>
              <w:rPr>
                <w:spacing w:val="-5"/>
              </w:rPr>
              <w:t>例</w:t>
            </w:r>
          </w:p>
        </w:tc>
      </w:tr>
      <w:tr>
        <w:trPr>
          <w:trHeight w:val="828" w:hRule="atLeast"/>
        </w:trPr>
        <w:tc>
          <w:tcPr>
            <w:tcW w:w="714" w:type="dxa"/>
            <w:vAlign w:val="top"/>
          </w:tcPr>
          <w:p>
            <w:pPr>
              <w:spacing w:line="326" w:lineRule="auto"/>
              <w:rPr>
                <w:rFonts w:ascii="Arial"/>
                <w:sz w:val="21"/>
              </w:rPr>
            </w:pPr>
            <w:r/>
          </w:p>
          <w:p>
            <w:pPr>
              <w:pStyle w:val="TableText"/>
              <w:ind w:left="235"/>
              <w:spacing w:before="49" w:line="184" w:lineRule="auto"/>
              <w:rPr/>
            </w:pPr>
            <w:r>
              <w:rPr>
                <w:spacing w:val="-2"/>
              </w:rPr>
              <w:t>4.1</w:t>
            </w:r>
          </w:p>
        </w:tc>
        <w:tc>
          <w:tcPr>
            <w:tcW w:w="3136" w:type="dxa"/>
            <w:vAlign w:val="top"/>
          </w:tcPr>
          <w:p>
            <w:pPr>
              <w:pStyle w:val="TableText"/>
              <w:ind w:left="121" w:right="110" w:firstLine="89"/>
              <w:spacing w:before="78" w:line="299" w:lineRule="auto"/>
              <w:jc w:val="both"/>
              <w:rPr/>
            </w:pPr>
            <w:r>
              <w:rPr>
                <w:spacing w:val="-2"/>
              </w:rPr>
              <w:t>利用统计学或其他量化手段来评价数据治  </w:t>
            </w:r>
            <w:r>
              <w:rPr>
                <w:spacing w:val="2"/>
              </w:rPr>
              <w:t>理战略目标在实现业务目标方面的有效性，</w:t>
            </w:r>
            <w:r>
              <w:rPr>
                <w:spacing w:val="5"/>
              </w:rPr>
              <w:t xml:space="preserve"> </w:t>
            </w:r>
            <w:r>
              <w:rPr>
                <w:spacing w:val="-1"/>
              </w:rPr>
              <w:t>并基于度量指标进行修改</w:t>
            </w:r>
          </w:p>
        </w:tc>
        <w:tc>
          <w:tcPr>
            <w:tcW w:w="3740" w:type="dxa"/>
            <w:vAlign w:val="top"/>
          </w:tcPr>
          <w:p>
            <w:pPr>
              <w:spacing w:line="288" w:lineRule="auto"/>
              <w:rPr>
                <w:rFonts w:ascii="Arial"/>
                <w:sz w:val="21"/>
              </w:rPr>
            </w:pPr>
            <w:r/>
          </w:p>
          <w:p>
            <w:pPr>
              <w:pStyle w:val="TableText"/>
              <w:ind w:left="285"/>
              <w:spacing w:before="49" w:line="219" w:lineRule="auto"/>
              <w:rPr/>
            </w:pPr>
            <w:r>
              <w:rPr/>
              <w:t>●数据治理战略评审和更新记录</w:t>
            </w:r>
          </w:p>
        </w:tc>
      </w:tr>
    </w:tbl>
    <w:p>
      <w:pPr>
        <w:ind w:left="57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70" w:right="45" w:firstLine="410"/>
        <w:spacing w:before="49" w:line="261" w:lineRule="auto"/>
        <w:rPr>
          <w:rFonts w:ascii="SimSun" w:hAnsi="SimSun" w:eastAsia="SimSun" w:cs="SimSun"/>
          <w:sz w:val="21"/>
          <w:szCs w:val="21"/>
        </w:rPr>
      </w:pPr>
      <w:r>
        <w:rPr>
          <w:rFonts w:ascii="SimSun" w:hAnsi="SimSun" w:eastAsia="SimSun" w:cs="SimSun"/>
          <w:sz w:val="21"/>
          <w:szCs w:val="21"/>
          <w:spacing w:val="2"/>
        </w:rPr>
        <w:t>对数据治理战略目标的实现度量不再仅仅依靠定性评价，而是增加了统计学或</w:t>
      </w:r>
      <w:r>
        <w:rPr>
          <w:rFonts w:ascii="SimSun" w:hAnsi="SimSun" w:eastAsia="SimSun" w:cs="SimSun"/>
          <w:sz w:val="21"/>
          <w:szCs w:val="21"/>
          <w:spacing w:val="10"/>
        </w:rPr>
        <w:t xml:space="preserve"> </w:t>
      </w:r>
      <w:r>
        <w:rPr>
          <w:rFonts w:ascii="SimSun" w:hAnsi="SimSun" w:eastAsia="SimSun" w:cs="SimSun"/>
          <w:sz w:val="21"/>
          <w:szCs w:val="21"/>
          <w:spacing w:val="2"/>
        </w:rPr>
        <w:t>其他专业度量手段来衡量，例如通过建模分析的方式</w:t>
      </w:r>
      <w:r>
        <w:rPr>
          <w:rFonts w:ascii="SimSun" w:hAnsi="SimSun" w:eastAsia="SimSun" w:cs="SimSun"/>
          <w:sz w:val="21"/>
          <w:szCs w:val="21"/>
          <w:spacing w:val="1"/>
        </w:rPr>
        <w:t>，全面透彻地分析数据治理目</w:t>
      </w:r>
      <w:r>
        <w:rPr>
          <w:rFonts w:ascii="SimSun" w:hAnsi="SimSun" w:eastAsia="SimSun" w:cs="SimSun"/>
          <w:sz w:val="21"/>
          <w:szCs w:val="21"/>
        </w:rPr>
        <w:t xml:space="preserve"> </w:t>
      </w:r>
      <w:r>
        <w:rPr>
          <w:rFonts w:ascii="SimSun" w:hAnsi="SimSun" w:eastAsia="SimSun" w:cs="SimSun"/>
          <w:sz w:val="21"/>
          <w:szCs w:val="21"/>
          <w:spacing w:val="-3"/>
        </w:rPr>
        <w:t>标的达成对组织业务的贡献。</w:t>
      </w:r>
    </w:p>
    <w:p>
      <w:pPr>
        <w:ind w:left="680"/>
        <w:spacing w:before="71" w:line="219" w:lineRule="auto"/>
        <w:rPr>
          <w:rFonts w:ascii="SimSun" w:hAnsi="SimSun" w:eastAsia="SimSun" w:cs="SimSun"/>
          <w:sz w:val="21"/>
          <w:szCs w:val="21"/>
        </w:rPr>
      </w:pPr>
      <w:r>
        <w:rPr>
          <w:rFonts w:ascii="SimSun" w:hAnsi="SimSun" w:eastAsia="SimSun" w:cs="SimSun"/>
          <w:sz w:val="21"/>
          <w:szCs w:val="21"/>
        </w:rPr>
        <w:t>对数据治理战略和目标进行修改，通常包括以下两</w:t>
      </w:r>
      <w:r>
        <w:rPr>
          <w:rFonts w:ascii="SimSun" w:hAnsi="SimSun" w:eastAsia="SimSun" w:cs="SimSun"/>
          <w:sz w:val="21"/>
          <w:szCs w:val="21"/>
          <w:spacing w:val="-1"/>
        </w:rPr>
        <w:t>个主要方面。</w:t>
      </w:r>
    </w:p>
    <w:p>
      <w:pPr>
        <w:ind w:left="680"/>
        <w:spacing w:before="51" w:line="219" w:lineRule="auto"/>
        <w:rPr>
          <w:rFonts w:ascii="SimSun" w:hAnsi="SimSun" w:eastAsia="SimSun" w:cs="SimSun"/>
          <w:sz w:val="21"/>
          <w:szCs w:val="21"/>
        </w:rPr>
      </w:pPr>
      <w:r>
        <w:rPr>
          <w:rFonts w:ascii="SimSun" w:hAnsi="SimSun" w:eastAsia="SimSun" w:cs="SimSun"/>
          <w:sz w:val="21"/>
          <w:szCs w:val="21"/>
          <w:spacing w:val="1"/>
        </w:rPr>
        <w:t>●为了更有利于业务目标的实现，完善数据治理的目标、优先权以及范围；</w:t>
      </w:r>
    </w:p>
    <w:p>
      <w:pPr>
        <w:ind w:left="680"/>
        <w:spacing w:before="59" w:line="218" w:lineRule="auto"/>
        <w:rPr>
          <w:rFonts w:ascii="SimSun" w:hAnsi="SimSun" w:eastAsia="SimSun" w:cs="SimSun"/>
          <w:sz w:val="21"/>
          <w:szCs w:val="21"/>
        </w:rPr>
      </w:pPr>
      <w:r>
        <w:rPr>
          <w:rFonts w:ascii="SimSun" w:hAnsi="SimSun" w:eastAsia="SimSun" w:cs="SimSun"/>
          <w:sz w:val="21"/>
          <w:szCs w:val="21"/>
          <w:spacing w:val="3"/>
        </w:rPr>
        <w:t>●调整统计学评估方法或数据收集方法。</w:t>
      </w:r>
    </w:p>
    <w:p>
      <w:pPr>
        <w:spacing w:line="130" w:lineRule="exact"/>
        <w:rPr/>
      </w:pPr>
      <w:r/>
    </w:p>
    <w:tbl>
      <w:tblPr>
        <w:tblStyle w:val="TableNormal"/>
        <w:tblW w:w="759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30"/>
      </w:tblGrid>
      <w:tr>
        <w:trPr>
          <w:trHeight w:val="312" w:hRule="atLeast"/>
        </w:trPr>
        <w:tc>
          <w:tcPr>
            <w:tcW w:w="714" w:type="dxa"/>
            <w:vAlign w:val="top"/>
          </w:tcPr>
          <w:p>
            <w:pPr>
              <w:pStyle w:val="TableText"/>
              <w:ind w:left="195"/>
              <w:spacing w:before="81" w:line="221" w:lineRule="auto"/>
              <w:rPr/>
            </w:pPr>
            <w:r>
              <w:rPr>
                <w:spacing w:val="-2"/>
              </w:rPr>
              <w:t>序号</w:t>
            </w:r>
          </w:p>
        </w:tc>
        <w:tc>
          <w:tcPr>
            <w:tcW w:w="314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4"/>
              <w:spacing w:before="81" w:line="220" w:lineRule="auto"/>
              <w:rPr/>
            </w:pPr>
            <w:r>
              <w:rPr>
                <w:spacing w:val="-5"/>
              </w:rPr>
              <w:t>实</w:t>
            </w:r>
            <w:r>
              <w:rPr>
                <w:spacing w:val="1"/>
              </w:rPr>
              <w:t xml:space="preserve">   </w:t>
            </w:r>
            <w:r>
              <w:rPr>
                <w:spacing w:val="-5"/>
              </w:rPr>
              <w:t>例</w:t>
            </w:r>
          </w:p>
        </w:tc>
      </w:tr>
      <w:tr>
        <w:trPr>
          <w:trHeight w:val="858" w:hRule="atLeast"/>
        </w:trPr>
        <w:tc>
          <w:tcPr>
            <w:tcW w:w="714" w:type="dxa"/>
            <w:vAlign w:val="top"/>
          </w:tcPr>
          <w:p>
            <w:pPr>
              <w:spacing w:line="346" w:lineRule="auto"/>
              <w:rPr>
                <w:rFonts w:ascii="Arial"/>
                <w:sz w:val="21"/>
              </w:rPr>
            </w:pPr>
            <w:r/>
          </w:p>
          <w:p>
            <w:pPr>
              <w:pStyle w:val="TableText"/>
              <w:ind w:left="235"/>
              <w:spacing w:before="49" w:line="183" w:lineRule="auto"/>
              <w:rPr/>
            </w:pPr>
            <w:r>
              <w:rPr>
                <w:spacing w:val="-2"/>
              </w:rPr>
              <w:t>4.2</w:t>
            </w:r>
          </w:p>
        </w:tc>
        <w:tc>
          <w:tcPr>
            <w:tcW w:w="3146" w:type="dxa"/>
            <w:vAlign w:val="top"/>
          </w:tcPr>
          <w:p>
            <w:pPr>
              <w:pStyle w:val="TableText"/>
              <w:ind w:left="91" w:right="152" w:firstLine="120"/>
              <w:spacing w:before="99" w:line="301" w:lineRule="auto"/>
              <w:rPr/>
            </w:pPr>
            <w:r>
              <w:rPr>
                <w:spacing w:val="-1"/>
              </w:rPr>
              <w:t>组织研究创新性的业务过程和新的法规要</w:t>
            </w:r>
            <w:r>
              <w:rPr>
                <w:spacing w:val="4"/>
              </w:rPr>
              <w:t xml:space="preserve">  </w:t>
            </w:r>
            <w:r>
              <w:rPr>
                <w:spacing w:val="2"/>
              </w:rPr>
              <w:t>求，确保数据治理方案与未来的业务需求相</w:t>
            </w:r>
            <w:r>
              <w:rPr>
                <w:spacing w:val="3"/>
              </w:rPr>
              <w:t xml:space="preserve"> </w:t>
            </w:r>
            <w:r>
              <w:rPr>
                <w:spacing w:val="-4"/>
              </w:rPr>
              <w:t>匹配</w:t>
            </w:r>
          </w:p>
        </w:tc>
        <w:tc>
          <w:tcPr>
            <w:tcW w:w="3730" w:type="dxa"/>
            <w:vAlign w:val="top"/>
          </w:tcPr>
          <w:p>
            <w:pPr>
              <w:pStyle w:val="TableText"/>
              <w:ind w:left="285"/>
              <w:spacing w:before="87" w:line="218" w:lineRule="auto"/>
              <w:rPr/>
            </w:pPr>
            <w:r>
              <w:rPr/>
              <w:t>●基于度量指标开展的数据治理管理方案评估报告</w:t>
            </w:r>
          </w:p>
          <w:p>
            <w:pPr>
              <w:pStyle w:val="TableText"/>
              <w:ind w:left="274"/>
              <w:spacing w:before="114" w:line="219" w:lineRule="auto"/>
              <w:rPr/>
            </w:pPr>
            <w:r>
              <w:rPr/>
              <w:t>●监督新兴行业或法规新要求的计划和文档</w:t>
            </w:r>
          </w:p>
          <w:p>
            <w:pPr>
              <w:pStyle w:val="TableText"/>
              <w:ind w:left="274"/>
              <w:spacing w:before="102" w:line="219" w:lineRule="auto"/>
              <w:rPr/>
            </w:pPr>
            <w:r>
              <w:rPr/>
              <w:t>●数据治理策略</w:t>
            </w:r>
          </w:p>
        </w:tc>
      </w:tr>
    </w:tbl>
    <w:p>
      <w:pPr>
        <w:ind w:left="57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70" w:right="64" w:firstLine="410"/>
        <w:spacing w:before="41" w:line="250" w:lineRule="auto"/>
        <w:rPr>
          <w:rFonts w:ascii="SimSun" w:hAnsi="SimSun" w:eastAsia="SimSun" w:cs="SimSun"/>
          <w:sz w:val="21"/>
          <w:szCs w:val="21"/>
        </w:rPr>
      </w:pPr>
      <w:r>
        <w:rPr>
          <w:rFonts w:ascii="SimSun" w:hAnsi="SimSun" w:eastAsia="SimSun" w:cs="SimSun"/>
          <w:sz w:val="21"/>
          <w:szCs w:val="21"/>
          <w:spacing w:val="2"/>
        </w:rPr>
        <w:t>总结数据治理经验，创新数据治理过程，识别和预判未来</w:t>
      </w:r>
      <w:r>
        <w:rPr>
          <w:rFonts w:ascii="SimSun" w:hAnsi="SimSun" w:eastAsia="SimSun" w:cs="SimSun"/>
          <w:sz w:val="21"/>
          <w:szCs w:val="21"/>
          <w:spacing w:val="1"/>
        </w:rPr>
        <w:t>法规新要求，做到未</w:t>
      </w:r>
      <w:r>
        <w:rPr>
          <w:rFonts w:ascii="SimSun" w:hAnsi="SimSun" w:eastAsia="SimSun" w:cs="SimSun"/>
          <w:sz w:val="21"/>
          <w:szCs w:val="21"/>
        </w:rPr>
        <w:t xml:space="preserve"> </w:t>
      </w:r>
      <w:r>
        <w:rPr>
          <w:rFonts w:ascii="SimSun" w:hAnsi="SimSun" w:eastAsia="SimSun" w:cs="SimSun"/>
          <w:sz w:val="21"/>
          <w:szCs w:val="21"/>
          <w:spacing w:val="-1"/>
        </w:rPr>
        <w:t>雨绸缪，尽早调整治理战略，确保数据治理方案与未来的业务需求相匹配。</w:t>
      </w:r>
    </w:p>
    <w:p>
      <w:pPr>
        <w:ind w:left="680"/>
        <w:spacing w:before="56"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5: </w:t>
      </w:r>
      <w:r>
        <w:rPr>
          <w:rFonts w:ascii="SimHei" w:hAnsi="SimHei" w:eastAsia="SimHei" w:cs="SimHei"/>
          <w:sz w:val="21"/>
          <w:szCs w:val="21"/>
          <w:b/>
          <w:bCs/>
          <w:spacing w:val="-2"/>
        </w:rPr>
        <w:t>优化级</w:t>
      </w:r>
    </w:p>
    <w:p>
      <w:pPr>
        <w:spacing w:line="130" w:lineRule="exact"/>
        <w:rPr/>
      </w:pPr>
      <w:r/>
    </w:p>
    <w:tbl>
      <w:tblPr>
        <w:tblStyle w:val="TableNormal"/>
        <w:tblW w:w="7590"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30"/>
      </w:tblGrid>
      <w:tr>
        <w:trPr>
          <w:trHeight w:val="312" w:hRule="atLeast"/>
        </w:trPr>
        <w:tc>
          <w:tcPr>
            <w:tcW w:w="714" w:type="dxa"/>
            <w:vAlign w:val="top"/>
          </w:tcPr>
          <w:p>
            <w:pPr>
              <w:pStyle w:val="TableText"/>
              <w:ind w:left="195"/>
              <w:spacing w:before="82" w:line="221" w:lineRule="auto"/>
              <w:rPr/>
            </w:pPr>
            <w:r>
              <w:rPr>
                <w:spacing w:val="-2"/>
              </w:rPr>
              <w:t>序号</w:t>
            </w:r>
          </w:p>
        </w:tc>
        <w:tc>
          <w:tcPr>
            <w:tcW w:w="314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858" w:hRule="atLeast"/>
        </w:trPr>
        <w:tc>
          <w:tcPr>
            <w:tcW w:w="714" w:type="dxa"/>
            <w:vAlign w:val="top"/>
          </w:tcPr>
          <w:p>
            <w:pPr>
              <w:spacing w:line="346" w:lineRule="auto"/>
              <w:rPr>
                <w:rFonts w:ascii="Arial"/>
                <w:sz w:val="21"/>
              </w:rPr>
            </w:pPr>
            <w:r/>
          </w:p>
          <w:p>
            <w:pPr>
              <w:pStyle w:val="TableText"/>
              <w:ind w:left="235"/>
              <w:spacing w:before="48" w:line="184" w:lineRule="auto"/>
              <w:rPr/>
            </w:pPr>
            <w:r>
              <w:rPr>
                <w:spacing w:val="-2"/>
              </w:rPr>
              <w:t>5.1</w:t>
            </w:r>
          </w:p>
        </w:tc>
        <w:tc>
          <w:tcPr>
            <w:tcW w:w="3146" w:type="dxa"/>
            <w:vAlign w:val="top"/>
          </w:tcPr>
          <w:p>
            <w:pPr>
              <w:pStyle w:val="TableText"/>
              <w:ind w:left="111" w:right="150" w:firstLine="99"/>
              <w:spacing w:before="87" w:line="307" w:lineRule="auto"/>
              <w:rPr/>
            </w:pPr>
            <w:r>
              <w:rPr>
                <w:spacing w:val="-1"/>
              </w:rPr>
              <w:t>组织搜集数据治理行业最佳实践方案，并</w:t>
            </w:r>
            <w:r>
              <w:rPr>
                <w:spacing w:val="4"/>
              </w:rPr>
              <w:t xml:space="preserve">  </w:t>
            </w:r>
            <w:r>
              <w:rPr>
                <w:spacing w:val="1"/>
              </w:rPr>
              <w:t>深入分析与组织的适用性，然后作为制订战</w:t>
            </w:r>
            <w:r>
              <w:rPr>
                <w:spacing w:val="4"/>
              </w:rPr>
              <w:t xml:space="preserve"> </w:t>
            </w:r>
            <w:r>
              <w:rPr/>
              <w:t>略和目标的重要依据</w:t>
            </w:r>
          </w:p>
        </w:tc>
        <w:tc>
          <w:tcPr>
            <w:tcW w:w="3730" w:type="dxa"/>
            <w:vAlign w:val="top"/>
          </w:tcPr>
          <w:p>
            <w:pPr>
              <w:pStyle w:val="TableText"/>
              <w:ind w:left="255"/>
              <w:spacing w:before="228" w:line="219" w:lineRule="auto"/>
              <w:rPr/>
            </w:pPr>
            <w:r>
              <w:rPr/>
              <w:t>●数据治理最佳实践集</w:t>
            </w:r>
          </w:p>
          <w:p>
            <w:pPr>
              <w:pStyle w:val="TableText"/>
              <w:ind w:left="255"/>
              <w:spacing w:before="113" w:line="219" w:lineRule="auto"/>
              <w:rPr/>
            </w:pPr>
            <w:r>
              <w:rPr/>
              <w:t>●数据治理战略</w:t>
            </w:r>
          </w:p>
        </w:tc>
      </w:tr>
    </w:tbl>
    <w:p>
      <w:pPr>
        <w:ind w:left="57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70" w:right="63" w:firstLine="410"/>
        <w:spacing w:before="39" w:line="266" w:lineRule="auto"/>
        <w:rPr>
          <w:rFonts w:ascii="SimSun" w:hAnsi="SimSun" w:eastAsia="SimSun" w:cs="SimSun"/>
          <w:sz w:val="21"/>
          <w:szCs w:val="21"/>
        </w:rPr>
      </w:pPr>
      <w:r>
        <w:rPr>
          <w:rFonts w:ascii="SimSun" w:hAnsi="SimSun" w:eastAsia="SimSun" w:cs="SimSun"/>
          <w:sz w:val="21"/>
          <w:szCs w:val="21"/>
          <w:spacing w:val="2"/>
        </w:rPr>
        <w:t>最佳实践方案是行业从多个维度总结出来的最优异的行动方</w:t>
      </w:r>
      <w:r>
        <w:rPr>
          <w:rFonts w:ascii="SimSun" w:hAnsi="SimSun" w:eastAsia="SimSun" w:cs="SimSun"/>
          <w:sz w:val="21"/>
          <w:szCs w:val="21"/>
          <w:spacing w:val="1"/>
        </w:rPr>
        <w:t>案，能够指导组织</w:t>
      </w:r>
      <w:r>
        <w:rPr>
          <w:rFonts w:ascii="SimSun" w:hAnsi="SimSun" w:eastAsia="SimSun" w:cs="SimSun"/>
          <w:sz w:val="21"/>
          <w:szCs w:val="21"/>
        </w:rPr>
        <w:t xml:space="preserve"> </w:t>
      </w:r>
      <w:r>
        <w:rPr>
          <w:rFonts w:ascii="SimSun" w:hAnsi="SimSun" w:eastAsia="SimSun" w:cs="SimSun"/>
          <w:sz w:val="21"/>
          <w:szCs w:val="21"/>
          <w:spacing w:val="1"/>
        </w:rPr>
        <w:t>以最佳的方式实现最大的目标。组织在进行数据治理时，应当主动收集行业最佳实</w:t>
      </w:r>
      <w:r>
        <w:rPr>
          <w:rFonts w:ascii="SimSun" w:hAnsi="SimSun" w:eastAsia="SimSun" w:cs="SimSun"/>
          <w:sz w:val="21"/>
          <w:szCs w:val="21"/>
          <w:spacing w:val="13"/>
        </w:rPr>
        <w:t xml:space="preserve"> </w:t>
      </w:r>
      <w:r>
        <w:rPr>
          <w:rFonts w:ascii="SimSun" w:hAnsi="SimSun" w:eastAsia="SimSun" w:cs="SimSun"/>
          <w:sz w:val="21"/>
          <w:szCs w:val="21"/>
          <w:spacing w:val="1"/>
        </w:rPr>
        <w:t>践方案，深入分析最佳实践方案的内涵，总结成功经验，并作为制订数据治理战略</w:t>
      </w:r>
      <w:r>
        <w:rPr>
          <w:rFonts w:ascii="SimSun" w:hAnsi="SimSun" w:eastAsia="SimSun" w:cs="SimSun"/>
          <w:sz w:val="21"/>
          <w:szCs w:val="21"/>
          <w:spacing w:val="12"/>
        </w:rPr>
        <w:t xml:space="preserve"> </w:t>
      </w:r>
      <w:r>
        <w:rPr>
          <w:rFonts w:ascii="SimSun" w:hAnsi="SimSun" w:eastAsia="SimSun" w:cs="SimSun"/>
          <w:sz w:val="21"/>
          <w:szCs w:val="21"/>
          <w:spacing w:val="-5"/>
        </w:rPr>
        <w:t>的主要输入。</w:t>
      </w:r>
    </w:p>
    <w:p>
      <w:pPr>
        <w:spacing w:line="117" w:lineRule="exact"/>
        <w:rPr/>
      </w:pPr>
      <w:r/>
    </w:p>
    <w:tbl>
      <w:tblPr>
        <w:tblStyle w:val="TableNormal"/>
        <w:tblW w:w="7579"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30"/>
      </w:tblGrid>
      <w:tr>
        <w:trPr>
          <w:trHeight w:val="321" w:hRule="atLeast"/>
        </w:trPr>
        <w:tc>
          <w:tcPr>
            <w:tcW w:w="714" w:type="dxa"/>
            <w:vAlign w:val="top"/>
          </w:tcPr>
          <w:p>
            <w:pPr>
              <w:pStyle w:val="TableText"/>
              <w:ind w:left="195"/>
              <w:spacing w:before="92" w:line="221" w:lineRule="auto"/>
              <w:rPr/>
            </w:pPr>
            <w:r>
              <w:rPr>
                <w:spacing w:val="-2"/>
              </w:rPr>
              <w:t>序号</w:t>
            </w:r>
          </w:p>
        </w:tc>
        <w:tc>
          <w:tcPr>
            <w:tcW w:w="3135" w:type="dxa"/>
            <w:vAlign w:val="top"/>
          </w:tcPr>
          <w:p>
            <w:pPr>
              <w:pStyle w:val="TableText"/>
              <w:ind w:left="116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55"/>
              <w:spacing w:before="91" w:line="220" w:lineRule="auto"/>
              <w:rPr/>
            </w:pPr>
            <w:r>
              <w:rPr>
                <w:spacing w:val="-5"/>
              </w:rPr>
              <w:t>实</w:t>
            </w:r>
            <w:r>
              <w:rPr>
                <w:spacing w:val="6"/>
              </w:rPr>
              <w:t xml:space="preserve">    </w:t>
            </w:r>
            <w:r>
              <w:rPr>
                <w:spacing w:val="-5"/>
              </w:rPr>
              <w:t>例</w:t>
            </w:r>
          </w:p>
        </w:tc>
      </w:tr>
      <w:tr>
        <w:trPr>
          <w:trHeight w:val="568" w:hRule="atLeast"/>
        </w:trPr>
        <w:tc>
          <w:tcPr>
            <w:tcW w:w="714" w:type="dxa"/>
            <w:vAlign w:val="top"/>
          </w:tcPr>
          <w:p>
            <w:pPr>
              <w:pStyle w:val="TableText"/>
              <w:ind w:left="235"/>
              <w:spacing w:before="248" w:line="183" w:lineRule="auto"/>
              <w:rPr/>
            </w:pPr>
            <w:r>
              <w:rPr>
                <w:spacing w:val="-2"/>
              </w:rPr>
              <w:t>5.2</w:t>
            </w:r>
          </w:p>
        </w:tc>
        <w:tc>
          <w:tcPr>
            <w:tcW w:w="3135" w:type="dxa"/>
            <w:vAlign w:val="top"/>
          </w:tcPr>
          <w:p>
            <w:pPr>
              <w:pStyle w:val="TableText"/>
              <w:ind w:left="101" w:right="173" w:firstLine="159"/>
              <w:spacing w:before="80" w:line="287" w:lineRule="auto"/>
              <w:rPr/>
            </w:pPr>
            <w:r>
              <w:rPr>
                <w:spacing w:val="-1"/>
              </w:rPr>
              <w:t>总结组织数据治理经验，为制订和执行数</w:t>
            </w:r>
            <w:r>
              <w:rPr>
                <w:spacing w:val="7"/>
              </w:rPr>
              <w:t xml:space="preserve"> </w:t>
            </w:r>
            <w:r>
              <w:rPr>
                <w:spacing w:val="-1"/>
              </w:rPr>
              <w:t>据治理战略的行业最佳实践方案做贡献</w:t>
            </w:r>
          </w:p>
        </w:tc>
        <w:tc>
          <w:tcPr>
            <w:tcW w:w="3730" w:type="dxa"/>
            <w:vAlign w:val="top"/>
          </w:tcPr>
          <w:p>
            <w:pPr>
              <w:pStyle w:val="TableText"/>
              <w:ind w:left="355"/>
              <w:spacing w:before="89" w:line="219" w:lineRule="auto"/>
              <w:rPr/>
            </w:pPr>
            <w:r>
              <w:rPr/>
              <w:t>●行业最佳实践方案的外部出版物和演示文档</w:t>
            </w:r>
          </w:p>
          <w:p>
            <w:pPr>
              <w:pStyle w:val="TableText"/>
              <w:ind w:left="275"/>
              <w:spacing w:before="101" w:line="218" w:lineRule="auto"/>
              <w:rPr/>
            </w:pPr>
            <w:r>
              <w:rPr/>
              <w:t>●最佳实践的对比分析报告</w:t>
            </w:r>
          </w:p>
        </w:tc>
      </w:tr>
    </w:tbl>
    <w:p>
      <w:pPr>
        <w:pStyle w:val="BodyText"/>
        <w:rPr/>
      </w:pPr>
      <w:r/>
    </w:p>
    <w:p>
      <w:pPr>
        <w:sectPr>
          <w:footerReference w:type="default" r:id="rId145"/>
          <w:pgSz w:w="8870" w:h="13400"/>
          <w:pgMar w:top="400" w:right="435" w:bottom="417" w:left="489" w:header="0" w:footer="209" w:gutter="0"/>
        </w:sectPr>
        <w:rPr/>
      </w:pPr>
    </w:p>
    <w:p>
      <w:pPr>
        <w:ind w:left="5472"/>
        <w:spacing w:before="174" w:line="219" w:lineRule="auto"/>
        <w:rPr>
          <w:rFonts w:ascii="SimSun" w:hAnsi="SimSun" w:eastAsia="SimSun" w:cs="SimSun"/>
          <w:sz w:val="21"/>
          <w:szCs w:val="21"/>
        </w:rPr>
      </w:pPr>
      <w:bookmarkStart w:name="bookmark37" w:id="32"/>
      <w:bookmarkEnd w:id="32"/>
      <w:r>
        <w:rPr>
          <w:rFonts w:ascii="SimSun" w:hAnsi="SimSun" w:eastAsia="SimSun" w:cs="SimSun"/>
          <w:sz w:val="21"/>
          <w:szCs w:val="21"/>
          <w:b/>
          <w:bCs/>
          <w:spacing w:val="14"/>
        </w:rPr>
        <w:t>第4章■云端数据战略</w:t>
      </w:r>
    </w:p>
    <w:p>
      <w:pPr>
        <w:pStyle w:val="BodyText"/>
        <w:spacing w:line="245" w:lineRule="auto"/>
        <w:rPr/>
      </w:pPr>
      <w:r/>
    </w:p>
    <w:p>
      <w:pPr>
        <w:ind w:left="28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79" w:firstLine="389"/>
        <w:spacing w:before="69" w:line="250" w:lineRule="auto"/>
        <w:rPr>
          <w:rFonts w:ascii="SimSun" w:hAnsi="SimSun" w:eastAsia="SimSun" w:cs="SimSun"/>
          <w:sz w:val="21"/>
          <w:szCs w:val="21"/>
        </w:rPr>
      </w:pPr>
      <w:r>
        <w:rPr>
          <w:rFonts w:ascii="SimSun" w:hAnsi="SimSun" w:eastAsia="SimSun" w:cs="SimSun"/>
          <w:sz w:val="21"/>
          <w:szCs w:val="21"/>
          <w:spacing w:val="1"/>
        </w:rPr>
        <w:t>组织在数据治理活动上取得重要成功时，也应该积极分享实践成功经验，为行</w:t>
      </w:r>
      <w:r>
        <w:rPr>
          <w:rFonts w:ascii="SimSun" w:hAnsi="SimSun" w:eastAsia="SimSun" w:cs="SimSun"/>
          <w:sz w:val="21"/>
          <w:szCs w:val="21"/>
          <w:spacing w:val="15"/>
        </w:rPr>
        <w:t xml:space="preserve"> </w:t>
      </w:r>
      <w:r>
        <w:rPr>
          <w:rFonts w:ascii="SimSun" w:hAnsi="SimSun" w:eastAsia="SimSun" w:cs="SimSun"/>
          <w:sz w:val="21"/>
          <w:szCs w:val="21"/>
          <w:spacing w:val="-8"/>
        </w:rPr>
        <w:t>业最佳实践做贡献。</w:t>
      </w:r>
    </w:p>
    <w:p>
      <w:pPr>
        <w:ind w:left="392"/>
        <w:spacing w:before="195" w:line="224" w:lineRule="auto"/>
        <w:outlineLvl w:val="2"/>
        <w:rPr>
          <w:rFonts w:ascii="YouYuan" w:hAnsi="YouYuan" w:eastAsia="YouYuan" w:cs="YouYuan"/>
          <w:sz w:val="21"/>
          <w:szCs w:val="21"/>
        </w:rPr>
      </w:pPr>
      <w:r>
        <w:rPr>
          <w:rFonts w:ascii="YouYuan" w:hAnsi="YouYuan" w:eastAsia="YouYuan" w:cs="YouYuan"/>
          <w:sz w:val="21"/>
          <w:szCs w:val="21"/>
          <w:b/>
          <w:bCs/>
          <w:spacing w:val="7"/>
        </w:rPr>
        <w:t>4.</w:t>
      </w:r>
      <w:r>
        <w:rPr>
          <w:rFonts w:ascii="YouYuan" w:hAnsi="YouYuan" w:eastAsia="YouYuan" w:cs="YouYuan"/>
          <w:sz w:val="21"/>
          <w:szCs w:val="21"/>
          <w:spacing w:val="7"/>
        </w:rPr>
        <w:t xml:space="preserve"> </w:t>
      </w:r>
      <w:r>
        <w:rPr>
          <w:rFonts w:ascii="YouYuan" w:hAnsi="YouYuan" w:eastAsia="YouYuan" w:cs="YouYuan"/>
          <w:sz w:val="21"/>
          <w:szCs w:val="21"/>
          <w:b/>
          <w:bCs/>
          <w:spacing w:val="7"/>
        </w:rPr>
        <w:t>实施案例</w:t>
      </w:r>
    </w:p>
    <w:p>
      <w:pPr>
        <w:ind w:left="389"/>
        <w:spacing w:before="232" w:line="219" w:lineRule="auto"/>
        <w:rPr>
          <w:rFonts w:ascii="SimSun" w:hAnsi="SimSun" w:eastAsia="SimSun" w:cs="SimSun"/>
          <w:sz w:val="21"/>
          <w:szCs w:val="21"/>
        </w:rPr>
      </w:pPr>
      <w:r>
        <w:rPr>
          <w:rFonts w:ascii="SimSun" w:hAnsi="SimSun" w:eastAsia="SimSun" w:cs="SimSun"/>
          <w:sz w:val="21"/>
          <w:szCs w:val="21"/>
          <w:spacing w:val="7"/>
        </w:rPr>
        <w:t>(1)文件名称列表</w:t>
      </w:r>
    </w:p>
    <w:p>
      <w:pPr>
        <w:ind w:left="284"/>
        <w:spacing w:before="50" w:line="311" w:lineRule="exact"/>
        <w:rPr>
          <w:rFonts w:ascii="SimSun" w:hAnsi="SimSun" w:eastAsia="SimSun" w:cs="SimSun"/>
          <w:sz w:val="21"/>
          <w:szCs w:val="21"/>
        </w:rPr>
      </w:pPr>
      <w:r>
        <w:rPr>
          <w:rFonts w:ascii="SimSun" w:hAnsi="SimSun" w:eastAsia="SimSun" w:cs="SimSun"/>
          <w:sz w:val="21"/>
          <w:szCs w:val="21"/>
          <w:spacing w:val="-2"/>
          <w:position w:val="7"/>
        </w:rPr>
        <w:t>《云端数据治理章程》</w:t>
      </w:r>
    </w:p>
    <w:p>
      <w:pPr>
        <w:ind w:left="389"/>
        <w:spacing w:line="220" w:lineRule="auto"/>
        <w:rPr>
          <w:rFonts w:ascii="SimSun" w:hAnsi="SimSun" w:eastAsia="SimSun" w:cs="SimSun"/>
          <w:sz w:val="21"/>
          <w:szCs w:val="21"/>
        </w:rPr>
      </w:pPr>
      <w:r>
        <w:rPr>
          <w:rFonts w:ascii="SimSun" w:hAnsi="SimSun" w:eastAsia="SimSun" w:cs="SimSun"/>
          <w:sz w:val="21"/>
          <w:szCs w:val="21"/>
          <w:spacing w:val="10"/>
        </w:rPr>
        <w:t>(2)实施案例</w:t>
      </w:r>
    </w:p>
    <w:p>
      <w:pPr>
        <w:ind w:left="389"/>
        <w:spacing w:before="78" w:line="219" w:lineRule="auto"/>
        <w:rPr>
          <w:rFonts w:ascii="SimSun" w:hAnsi="SimSun" w:eastAsia="SimSun" w:cs="SimSun"/>
          <w:sz w:val="21"/>
          <w:szCs w:val="21"/>
        </w:rPr>
      </w:pPr>
      <w:r>
        <w:rPr>
          <w:rFonts w:ascii="SimSun" w:hAnsi="SimSun" w:eastAsia="SimSun" w:cs="SimSun"/>
          <w:sz w:val="21"/>
          <w:szCs w:val="21"/>
          <w:spacing w:val="-2"/>
        </w:rPr>
        <w:t>下表展示了一个云端数据治理战略章程，仅供参考。</w:t>
      </w:r>
    </w:p>
    <w:p>
      <w:pPr>
        <w:spacing w:line="109" w:lineRule="exact"/>
        <w:rPr/>
      </w:pPr>
      <w:r/>
    </w:p>
    <w:tbl>
      <w:tblPr>
        <w:tblStyle w:val="TableNormal"/>
        <w:tblW w:w="7659" w:type="dxa"/>
        <w:tblInd w:w="19"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7960" w:hRule="atLeast"/>
        </w:trPr>
        <w:tc>
          <w:tcPr>
            <w:tcW w:w="7659" w:type="dxa"/>
            <w:vAlign w:val="top"/>
          </w:tcPr>
          <w:p>
            <w:pPr>
              <w:pStyle w:val="TableText"/>
              <w:ind w:left="3195"/>
              <w:spacing w:before="40" w:line="219" w:lineRule="auto"/>
              <w:rPr/>
            </w:pPr>
            <w:r>
              <w:rPr>
                <w:spacing w:val="-2"/>
              </w:rPr>
              <w:t>云端数据治理章程</w:t>
            </w:r>
          </w:p>
          <w:p>
            <w:pPr>
              <w:pStyle w:val="TableText"/>
              <w:ind w:left="245"/>
              <w:spacing w:before="63" w:line="219" w:lineRule="auto"/>
              <w:rPr/>
            </w:pPr>
            <w:r>
              <w:rPr>
                <w:spacing w:val="-2"/>
              </w:rPr>
              <w:t>1  数据治理的定义</w:t>
            </w:r>
          </w:p>
          <w:p>
            <w:pPr>
              <w:pStyle w:val="TableText"/>
              <w:ind w:left="245" w:right="48" w:firstLine="9"/>
              <w:spacing w:before="71" w:line="256" w:lineRule="auto"/>
              <w:rPr/>
            </w:pPr>
            <w:r>
              <w:rPr/>
              <w:t>数据治理是对组织内的人员、流程、技术和策略进行编排，以企业资产的形式利用、优化和最大化</w:t>
            </w:r>
            <w:r>
              <w:rPr>
                <w:spacing w:val="-1"/>
              </w:rPr>
              <w:t>数据的过程。</w:t>
            </w:r>
            <w:r>
              <w:rPr/>
              <w:t xml:space="preserve"> </w:t>
            </w:r>
            <w:r>
              <w:rPr/>
              <w:t>就像我们的董事会治理企业的过程中最大化股东价值一样，数据治理计划旨在最大化数据对</w:t>
            </w:r>
            <w:r>
              <w:rPr>
                <w:spacing w:val="-1"/>
              </w:rPr>
              <w:t>于关键IT部门和业</w:t>
            </w:r>
          </w:p>
          <w:p>
            <w:pPr>
              <w:pStyle w:val="TableText"/>
              <w:ind w:left="115"/>
              <w:spacing w:before="73" w:line="241" w:lineRule="exact"/>
              <w:rPr/>
            </w:pPr>
            <w:r>
              <w:rPr>
                <w:spacing w:val="-1"/>
                <w:position w:val="6"/>
              </w:rPr>
              <w:t>务部门利益相关者的价值。</w:t>
            </w:r>
          </w:p>
          <w:p>
            <w:pPr>
              <w:pStyle w:val="TableText"/>
              <w:ind w:left="245"/>
              <w:spacing w:line="219" w:lineRule="auto"/>
              <w:rPr/>
            </w:pPr>
            <w:r>
              <w:rPr>
                <w:spacing w:val="-11"/>
              </w:rPr>
              <w:t>2</w:t>
            </w:r>
            <w:r>
              <w:rPr>
                <w:spacing w:val="-21"/>
              </w:rPr>
              <w:t xml:space="preserve"> </w:t>
            </w:r>
            <w:r>
              <w:rPr>
                <w:spacing w:val="-11"/>
              </w:rPr>
              <w:t>业</w:t>
            </w:r>
            <w:r>
              <w:rPr>
                <w:spacing w:val="-18"/>
              </w:rPr>
              <w:t xml:space="preserve"> </w:t>
            </w:r>
            <w:r>
              <w:rPr>
                <w:spacing w:val="-11"/>
              </w:rPr>
              <w:t>务</w:t>
            </w:r>
            <w:r>
              <w:rPr>
                <w:spacing w:val="9"/>
              </w:rPr>
              <w:t xml:space="preserve"> </w:t>
            </w:r>
            <w:r>
              <w:rPr>
                <w:spacing w:val="-11"/>
              </w:rPr>
              <w:t>目</w:t>
            </w:r>
            <w:r>
              <w:rPr>
                <w:spacing w:val="-19"/>
              </w:rPr>
              <w:t xml:space="preserve"> </w:t>
            </w:r>
            <w:r>
              <w:rPr>
                <w:spacing w:val="-11"/>
              </w:rPr>
              <w:t>标</w:t>
            </w:r>
          </w:p>
          <w:p>
            <w:pPr>
              <w:pStyle w:val="TableText"/>
              <w:ind w:left="125" w:right="511" w:firstLine="120"/>
              <w:spacing w:before="52" w:line="257" w:lineRule="auto"/>
              <w:rPr/>
            </w:pPr>
            <w:r>
              <w:rPr/>
              <w:t>组织拥有一个稳定的SAP环境，但不是我们的所有数据都位于SAP中。数据治理的范围</w:t>
            </w:r>
            <w:r>
              <w:rPr>
                <w:spacing w:val="-1"/>
              </w:rPr>
              <w:t>应该不断扩大，只要</w:t>
            </w:r>
            <w:r>
              <w:rPr/>
              <w:t xml:space="preserve"> </w:t>
            </w:r>
            <w:r>
              <w:rPr/>
              <w:t>该计划能够成功实施。但是，在接下来的12个月内，数据治理计划将重点关注对以下业务</w:t>
            </w:r>
            <w:r>
              <w:rPr>
                <w:spacing w:val="-1"/>
              </w:rPr>
              <w:t>目标的支持。</w:t>
            </w:r>
          </w:p>
          <w:p>
            <w:pPr>
              <w:pStyle w:val="TableText"/>
              <w:ind w:left="245"/>
              <w:spacing w:before="52" w:line="220" w:lineRule="auto"/>
              <w:rPr/>
            </w:pPr>
            <w:r>
              <w:rPr>
                <w:spacing w:val="7"/>
              </w:rPr>
              <w:t>(1)客户中心性；</w:t>
            </w:r>
          </w:p>
          <w:p>
            <w:pPr>
              <w:pStyle w:val="TableText"/>
              <w:ind w:left="245"/>
              <w:spacing w:before="60" w:line="219" w:lineRule="auto"/>
              <w:rPr/>
            </w:pPr>
            <w:r>
              <w:rPr>
                <w:spacing w:val="7"/>
              </w:rPr>
              <w:t>(2)供应商管理；</w:t>
            </w:r>
          </w:p>
          <w:p>
            <w:pPr>
              <w:pStyle w:val="TableText"/>
              <w:ind w:left="245"/>
              <w:spacing w:before="62" w:line="219" w:lineRule="auto"/>
              <w:rPr/>
            </w:pPr>
            <w:r>
              <w:rPr>
                <w:spacing w:val="7"/>
              </w:rPr>
              <w:t>(3)供应链优化；</w:t>
            </w:r>
          </w:p>
          <w:p>
            <w:pPr>
              <w:pStyle w:val="TableText"/>
              <w:ind w:left="245"/>
              <w:spacing w:before="73" w:line="219" w:lineRule="auto"/>
              <w:rPr/>
            </w:pPr>
            <w:r>
              <w:rPr>
                <w:spacing w:val="6"/>
              </w:rPr>
              <w:t>(4)财务数据质量；</w:t>
            </w:r>
          </w:p>
          <w:p>
            <w:pPr>
              <w:pStyle w:val="TableText"/>
              <w:ind w:left="245"/>
              <w:spacing w:before="61" w:line="251" w:lineRule="exact"/>
              <w:rPr/>
            </w:pPr>
            <w:r>
              <w:rPr>
                <w:spacing w:val="-1"/>
                <w:position w:val="7"/>
              </w:rPr>
              <w:t>(5)电子文档和电子邮件生命周期的管理。</w:t>
            </w:r>
          </w:p>
          <w:p>
            <w:pPr>
              <w:pStyle w:val="TableText"/>
              <w:ind w:left="245"/>
              <w:spacing w:line="219" w:lineRule="auto"/>
              <w:rPr/>
            </w:pPr>
            <w:r>
              <w:rPr>
                <w:spacing w:val="-3"/>
              </w:rPr>
              <w:t>3</w:t>
            </w:r>
            <w:r>
              <w:rPr>
                <w:spacing w:val="5"/>
              </w:rPr>
              <w:t xml:space="preserve">  </w:t>
            </w:r>
            <w:r>
              <w:rPr>
                <w:spacing w:val="-3"/>
              </w:rPr>
              <w:t>高层支持者</w:t>
            </w:r>
          </w:p>
          <w:p>
            <w:pPr>
              <w:pStyle w:val="TableText"/>
              <w:ind w:left="245"/>
              <w:spacing w:before="72" w:line="233" w:lineRule="exact"/>
              <w:rPr/>
            </w:pPr>
            <w:r>
              <w:rPr>
                <w:position w:val="6"/>
              </w:rPr>
              <w:t>首席信息官将充当计划的总体高层支持者，与业务经理和关键职能区</w:t>
            </w:r>
            <w:r>
              <w:rPr>
                <w:spacing w:val="-1"/>
                <w:position w:val="6"/>
              </w:rPr>
              <w:t>域紧密合作。</w:t>
            </w:r>
          </w:p>
          <w:p>
            <w:pPr>
              <w:pStyle w:val="TableText"/>
              <w:ind w:left="245"/>
              <w:spacing w:before="1" w:line="223" w:lineRule="auto"/>
              <w:rPr/>
            </w:pPr>
            <w:r>
              <w:rPr>
                <w:spacing w:val="-5"/>
              </w:rPr>
              <w:t>4</w:t>
            </w:r>
            <w:r>
              <w:rPr>
                <w:spacing w:val="32"/>
                <w:w w:val="101"/>
              </w:rPr>
              <w:t xml:space="preserve"> </w:t>
            </w:r>
            <w:r>
              <w:rPr>
                <w:spacing w:val="-5"/>
              </w:rPr>
              <w:t>组</w:t>
            </w:r>
            <w:r>
              <w:rPr>
                <w:spacing w:val="32"/>
              </w:rPr>
              <w:t xml:space="preserve"> </w:t>
            </w:r>
            <w:r>
              <w:rPr>
                <w:spacing w:val="-5"/>
              </w:rPr>
              <w:t>织</w:t>
            </w:r>
          </w:p>
          <w:p>
            <w:pPr>
              <w:pStyle w:val="TableText"/>
              <w:ind w:left="245"/>
              <w:spacing w:before="54" w:line="219" w:lineRule="auto"/>
              <w:rPr/>
            </w:pPr>
            <w:r>
              <w:rPr>
                <w:spacing w:val="-1"/>
              </w:rPr>
              <w:t>数据治理计划的中心角色将是数据治理主管。</w:t>
            </w:r>
          </w:p>
          <w:p>
            <w:pPr>
              <w:pStyle w:val="TableText"/>
              <w:ind w:left="275"/>
              <w:spacing w:before="62" w:line="219" w:lineRule="auto"/>
              <w:rPr/>
            </w:pPr>
            <w:r>
              <w:rPr/>
              <w:t>数据治理委员会将对计划拥有最高监督职责。委员会将由首席信息官主持，将包含营销部门</w:t>
            </w:r>
            <w:r>
              <w:rPr>
                <w:spacing w:val="-1"/>
              </w:rPr>
              <w:t>高级副总裁、供应</w:t>
            </w:r>
          </w:p>
          <w:p>
            <w:pPr>
              <w:pStyle w:val="TableText"/>
              <w:ind w:left="125" w:right="39" w:firstLine="120"/>
              <w:spacing w:before="62" w:line="263" w:lineRule="auto"/>
              <w:rPr/>
            </w:pPr>
            <w:r>
              <w:rPr/>
              <w:t>链部门高级副总裁、首席财务官和总顾问。委员会将每月举行一次会议，至少在最初是这样。数据治理主管将负</w:t>
            </w:r>
            <w:r>
              <w:rPr>
                <w:spacing w:val="13"/>
              </w:rPr>
              <w:t xml:space="preserve"> </w:t>
            </w:r>
            <w:r>
              <w:rPr/>
              <w:t>责连同首席信息官和其他成员一起设置数据治理委</w:t>
            </w:r>
            <w:r>
              <w:rPr>
                <w:spacing w:val="-1"/>
              </w:rPr>
              <w:t>员会的议程。</w:t>
            </w:r>
          </w:p>
          <w:p>
            <w:pPr>
              <w:pStyle w:val="TableText"/>
              <w:ind w:left="245" w:firstLine="19"/>
              <w:spacing w:before="33" w:line="257" w:lineRule="auto"/>
              <w:rPr/>
            </w:pPr>
            <w:r>
              <w:rPr/>
              <w:t>数据治理工作组将由数据治理主管主持。工作组将包含来自营销、</w:t>
            </w:r>
            <w:r>
              <w:rPr>
                <w:spacing w:val="-1"/>
              </w:rPr>
              <w:t>供应链、财务、法律、数据架构和内容管理   </w:t>
            </w:r>
            <w:r>
              <w:rPr>
                <w:spacing w:val="-2"/>
              </w:rPr>
              <w:t>部门的成员。这些成员将对各自职能区域内的数据相关问题进行日常处理。数据治理工作组将每周举行一次会议，</w:t>
            </w:r>
          </w:p>
          <w:p>
            <w:pPr>
              <w:pStyle w:val="TableText"/>
              <w:ind w:left="125"/>
              <w:spacing w:before="83" w:line="250" w:lineRule="exact"/>
              <w:rPr/>
            </w:pPr>
            <w:r>
              <w:rPr>
                <w:spacing w:val="-1"/>
                <w:position w:val="7"/>
              </w:rPr>
              <w:t>至少在最初是这样。</w:t>
            </w:r>
          </w:p>
          <w:p>
            <w:pPr>
              <w:pStyle w:val="TableText"/>
              <w:ind w:left="245"/>
              <w:spacing w:line="220" w:lineRule="auto"/>
              <w:rPr/>
            </w:pPr>
            <w:r>
              <w:rPr>
                <w:spacing w:val="-6"/>
              </w:rPr>
              <w:t>5</w:t>
            </w:r>
            <w:r>
              <w:rPr>
                <w:spacing w:val="-24"/>
              </w:rPr>
              <w:t xml:space="preserve"> </w:t>
            </w:r>
            <w:r>
              <w:rPr>
                <w:spacing w:val="-6"/>
              </w:rPr>
              <w:t>度</w:t>
            </w:r>
            <w:r>
              <w:rPr>
                <w:spacing w:val="-24"/>
              </w:rPr>
              <w:t xml:space="preserve"> </w:t>
            </w:r>
            <w:r>
              <w:rPr>
                <w:spacing w:val="-6"/>
              </w:rPr>
              <w:t>量</w:t>
            </w:r>
            <w:r>
              <w:rPr>
                <w:spacing w:val="-23"/>
              </w:rPr>
              <w:t xml:space="preserve"> </w:t>
            </w:r>
            <w:r>
              <w:rPr>
                <w:spacing w:val="-6"/>
              </w:rPr>
              <w:t>指</w:t>
            </w:r>
            <w:r>
              <w:rPr>
                <w:spacing w:val="-23"/>
              </w:rPr>
              <w:t xml:space="preserve"> </w:t>
            </w:r>
            <w:r>
              <w:rPr>
                <w:spacing w:val="-6"/>
              </w:rPr>
              <w:t>标</w:t>
            </w:r>
          </w:p>
          <w:p>
            <w:pPr>
              <w:pStyle w:val="TableText"/>
              <w:ind w:left="104" w:right="181" w:firstLine="170"/>
              <w:spacing w:before="61" w:line="256" w:lineRule="auto"/>
              <w:rPr/>
            </w:pPr>
            <w:r>
              <w:rPr/>
              <w:t>数据治理工作组负责建立关键度量指标计分卡来监控数据治理计划的性能。数据治理主管</w:t>
            </w:r>
            <w:r>
              <w:rPr>
                <w:spacing w:val="-1"/>
              </w:rPr>
              <w:t>负责定期向数据治理</w:t>
            </w:r>
            <w:r>
              <w:rPr/>
              <w:t xml:space="preserve"> </w:t>
            </w:r>
            <w:r>
              <w:rPr>
                <w:spacing w:val="-1"/>
              </w:rPr>
              <w:t>委员会报告这些度量指标。</w:t>
            </w:r>
          </w:p>
          <w:p>
            <w:pPr>
              <w:pStyle w:val="TableText"/>
              <w:ind w:left="245"/>
              <w:spacing w:before="74" w:line="219" w:lineRule="auto"/>
              <w:rPr/>
            </w:pPr>
            <w:r>
              <w:rPr>
                <w:spacing w:val="2"/>
              </w:rPr>
              <w:t>6数据管理员</w:t>
            </w:r>
          </w:p>
          <w:p>
            <w:pPr>
              <w:pStyle w:val="TableText"/>
              <w:ind w:left="245"/>
              <w:spacing w:before="52" w:line="240" w:lineRule="exact"/>
              <w:rPr/>
            </w:pPr>
            <w:r>
              <w:rPr>
                <w:position w:val="6"/>
              </w:rPr>
              <w:t>数据管理员拥有对其领域内的数据的保管责任。关键数据领域的高层支持</w:t>
            </w:r>
            <w:r>
              <w:rPr>
                <w:spacing w:val="-1"/>
                <w:position w:val="6"/>
              </w:rPr>
              <w:t>者如下所示。</w:t>
            </w:r>
          </w:p>
          <w:p>
            <w:pPr>
              <w:pStyle w:val="TableText"/>
              <w:ind w:left="245"/>
              <w:spacing w:line="219" w:lineRule="auto"/>
              <w:rPr/>
            </w:pPr>
            <w:r>
              <w:rPr>
                <w:spacing w:val="-1"/>
              </w:rPr>
              <w:t>(1)客户数据：营销部门高级副总裁：</w:t>
            </w:r>
          </w:p>
          <w:p>
            <w:pPr>
              <w:pStyle w:val="TableText"/>
              <w:ind w:left="245"/>
              <w:spacing w:before="61" w:line="241" w:lineRule="exact"/>
              <w:rPr/>
            </w:pPr>
            <w:r>
              <w:rPr>
                <w:spacing w:val="3"/>
                <w:position w:val="6"/>
              </w:rPr>
              <w:t>(2)供应商和材料数据：供应链部门高级副总裁；</w:t>
            </w:r>
          </w:p>
          <w:p>
            <w:pPr>
              <w:pStyle w:val="TableText"/>
              <w:ind w:left="245"/>
              <w:spacing w:line="219" w:lineRule="auto"/>
              <w:rPr/>
            </w:pPr>
            <w:r>
              <w:rPr/>
              <w:t>(3)财务数据：首席财务官。</w:t>
            </w:r>
          </w:p>
          <w:p>
            <w:pPr>
              <w:pStyle w:val="TableText"/>
              <w:ind w:left="94" w:right="193" w:firstLine="170"/>
              <w:spacing w:before="42" w:line="262" w:lineRule="auto"/>
              <w:rPr/>
            </w:pPr>
            <w:r>
              <w:rPr/>
              <w:t>高层支持者将任命数据管理员来负责每天的数据质量。数据治理主管将负责监督，确</w:t>
            </w:r>
            <w:r>
              <w:rPr>
                <w:spacing w:val="-1"/>
              </w:rPr>
              <w:t>保数据管理计划在整个组</w:t>
            </w:r>
            <w:r>
              <w:rPr/>
              <w:t xml:space="preserve"> </w:t>
            </w:r>
            <w:r>
              <w:rPr/>
              <w:t>织内一致地实施。数据管理员将负责每月定义、收集和报告与他们各自的数据领域相关的关</w:t>
            </w:r>
            <w:r>
              <w:rPr>
                <w:spacing w:val="-1"/>
              </w:rPr>
              <w:t>键度量指标。</w:t>
            </w:r>
          </w:p>
        </w:tc>
      </w:tr>
    </w:tbl>
    <w:p>
      <w:pPr>
        <w:pStyle w:val="BodyText"/>
        <w:rPr/>
      </w:pPr>
      <w:r/>
    </w:p>
    <w:p>
      <w:pPr>
        <w:sectPr>
          <w:footerReference w:type="default" r:id="rId147"/>
          <w:pgSz w:w="8870" w:h="13400"/>
          <w:pgMar w:top="400" w:right="649" w:bottom="577" w:left="360" w:header="0" w:footer="369" w:gutter="0"/>
        </w:sectPr>
        <w:rPr/>
      </w:pPr>
    </w:p>
    <w:p>
      <w:pPr>
        <w:ind w:left="203"/>
        <w:spacing w:before="205" w:line="219" w:lineRule="auto"/>
        <w:rPr>
          <w:rFonts w:ascii="SimSun" w:hAnsi="SimSun" w:eastAsia="SimSun" w:cs="SimSun"/>
          <w:sz w:val="22"/>
          <w:szCs w:val="22"/>
        </w:rPr>
      </w:pPr>
      <w:r>
        <w:pict>
          <v:rect id="_x0000_s266" style="position:absolute;margin-left:29.5016pt;margin-top:27.001pt;mso-position-vertical-relative:page;mso-position-horizontal-relative:page;width:0.5pt;height:18pt;z-index:252972032;" o:allowincell="f" fillcolor="#000000" filled="true" stroked="false"/>
        </w:pict>
      </w:r>
      <w:r>
        <w:rPr>
          <w:rFonts w:ascii="SimSun" w:hAnsi="SimSun" w:eastAsia="SimSun" w:cs="SimSun"/>
          <w:sz w:val="22"/>
          <w:szCs w:val="22"/>
          <w:b/>
          <w:bCs/>
          <w:spacing w:val="17"/>
        </w:rPr>
        <w:t>云端数据治理</w:t>
      </w:r>
    </w:p>
    <w:p>
      <w:pPr>
        <w:pStyle w:val="BodyText"/>
        <w:spacing w:line="471" w:lineRule="auto"/>
        <w:rPr/>
      </w:pPr>
      <w:r/>
    </w:p>
    <w:p>
      <w:pPr>
        <w:ind w:left="204"/>
        <w:spacing w:before="95" w:line="228" w:lineRule="auto"/>
        <w:outlineLvl w:val="1"/>
        <w:rPr>
          <w:rFonts w:ascii="YouYuan" w:hAnsi="YouYuan" w:eastAsia="YouYuan" w:cs="YouYuan"/>
          <w:sz w:val="29"/>
          <w:szCs w:val="29"/>
        </w:rPr>
      </w:pPr>
      <w:r>
        <w:rPr>
          <w:rFonts w:ascii="YouYuan" w:hAnsi="YouYuan" w:eastAsia="YouYuan" w:cs="YouYuan"/>
          <w:sz w:val="29"/>
          <w:szCs w:val="29"/>
          <w:b/>
          <w:bCs/>
          <w:spacing w:val="-9"/>
        </w:rPr>
        <w:t>4.2.2</w:t>
      </w:r>
      <w:r>
        <w:rPr>
          <w:rFonts w:ascii="YouYuan" w:hAnsi="YouYuan" w:eastAsia="YouYuan" w:cs="YouYuan"/>
          <w:sz w:val="29"/>
          <w:szCs w:val="29"/>
          <w:spacing w:val="128"/>
        </w:rPr>
        <w:t xml:space="preserve"> </w:t>
      </w:r>
      <w:r>
        <w:rPr>
          <w:rFonts w:ascii="YouYuan" w:hAnsi="YouYuan" w:eastAsia="YouYuan" w:cs="YouYuan"/>
          <w:sz w:val="29"/>
          <w:szCs w:val="29"/>
          <w:b/>
          <w:bCs/>
          <w:spacing w:val="-9"/>
        </w:rPr>
        <w:t>组织与角色</w:t>
      </w:r>
    </w:p>
    <w:p>
      <w:pPr>
        <w:ind w:left="673"/>
        <w:spacing w:before="297" w:line="224" w:lineRule="auto"/>
        <w:outlineLvl w:val="2"/>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简介</w:t>
      </w:r>
    </w:p>
    <w:p>
      <w:pPr>
        <w:ind w:left="670"/>
        <w:spacing w:before="216" w:line="232" w:lineRule="auto"/>
        <w:rPr>
          <w:rFonts w:ascii="KaiTi" w:hAnsi="KaiTi" w:eastAsia="KaiTi" w:cs="KaiTi"/>
          <w:sz w:val="22"/>
          <w:szCs w:val="22"/>
        </w:rPr>
      </w:pPr>
      <w:r>
        <w:rPr>
          <w:rFonts w:ascii="KaiTi" w:hAnsi="KaiTi" w:eastAsia="KaiTi" w:cs="KaiTi"/>
          <w:sz w:val="22"/>
          <w:szCs w:val="22"/>
          <w:spacing w:val="13"/>
        </w:rPr>
        <w:t>1)目的</w:t>
      </w:r>
    </w:p>
    <w:p>
      <w:pPr>
        <w:ind w:left="200" w:right="49" w:firstLine="470"/>
        <w:spacing w:before="45" w:line="232" w:lineRule="auto"/>
        <w:rPr>
          <w:rFonts w:ascii="SimSun" w:hAnsi="SimSun" w:eastAsia="SimSun" w:cs="SimSun"/>
          <w:sz w:val="22"/>
          <w:szCs w:val="22"/>
        </w:rPr>
      </w:pPr>
      <w:r>
        <w:rPr>
          <w:rFonts w:ascii="SimSun" w:hAnsi="SimSun" w:eastAsia="SimSun" w:cs="SimSun"/>
          <w:sz w:val="22"/>
          <w:szCs w:val="22"/>
          <w:spacing w:val="-8"/>
        </w:rPr>
        <w:t>为数据治理活动的实施提供组织架构和人员保障，通过组织架构设计去督促员</w:t>
      </w:r>
      <w:r>
        <w:rPr>
          <w:rFonts w:ascii="SimSun" w:hAnsi="SimSun" w:eastAsia="SimSun" w:cs="SimSun"/>
          <w:sz w:val="22"/>
          <w:szCs w:val="22"/>
        </w:rPr>
        <w:t xml:space="preserve"> </w:t>
      </w:r>
      <w:r>
        <w:rPr>
          <w:rFonts w:ascii="SimSun" w:hAnsi="SimSun" w:eastAsia="SimSun" w:cs="SimSun"/>
          <w:sz w:val="22"/>
          <w:szCs w:val="22"/>
          <w:spacing w:val="-12"/>
        </w:rPr>
        <w:t>工完成组织的战略和目标。</w:t>
      </w:r>
    </w:p>
    <w:p>
      <w:pPr>
        <w:ind w:left="670"/>
        <w:spacing w:before="58" w:line="222" w:lineRule="auto"/>
        <w:rPr>
          <w:rFonts w:ascii="FangSong" w:hAnsi="FangSong" w:eastAsia="FangSong" w:cs="FangSong"/>
          <w:sz w:val="22"/>
          <w:szCs w:val="22"/>
        </w:rPr>
      </w:pPr>
      <w:r>
        <w:rPr>
          <w:rFonts w:ascii="FangSong" w:hAnsi="FangSong" w:eastAsia="FangSong" w:cs="FangSong"/>
          <w:sz w:val="22"/>
          <w:szCs w:val="22"/>
          <w:spacing w:val="17"/>
        </w:rPr>
        <w:t>2)介绍</w:t>
      </w:r>
    </w:p>
    <w:p>
      <w:pPr>
        <w:ind w:left="200" w:right="61" w:firstLine="470"/>
        <w:spacing w:before="45" w:line="247" w:lineRule="auto"/>
        <w:rPr>
          <w:rFonts w:ascii="SimSun" w:hAnsi="SimSun" w:eastAsia="SimSun" w:cs="SimSun"/>
          <w:sz w:val="22"/>
          <w:szCs w:val="22"/>
        </w:rPr>
      </w:pPr>
      <w:r>
        <w:rPr>
          <w:rFonts w:ascii="SimSun" w:hAnsi="SimSun" w:eastAsia="SimSun" w:cs="SimSun"/>
          <w:sz w:val="22"/>
          <w:szCs w:val="22"/>
          <w:spacing w:val="-8"/>
        </w:rPr>
        <w:t>云端数据治理组织是组织在云计算和大数据环境下</w:t>
      </w:r>
      <w:r>
        <w:rPr>
          <w:rFonts w:ascii="SimSun" w:hAnsi="SimSun" w:eastAsia="SimSun" w:cs="SimSun"/>
          <w:sz w:val="22"/>
          <w:szCs w:val="22"/>
          <w:spacing w:val="-9"/>
        </w:rPr>
        <w:t>，为实现大数据有效管理和</w:t>
      </w:r>
      <w:r>
        <w:rPr>
          <w:rFonts w:ascii="SimSun" w:hAnsi="SimSun" w:eastAsia="SimSun" w:cs="SimSun"/>
          <w:sz w:val="22"/>
          <w:szCs w:val="22"/>
        </w:rPr>
        <w:t xml:space="preserve"> </w:t>
      </w:r>
      <w:r>
        <w:rPr>
          <w:rFonts w:ascii="SimSun" w:hAnsi="SimSun" w:eastAsia="SimSun" w:cs="SimSun"/>
          <w:sz w:val="22"/>
          <w:szCs w:val="22"/>
          <w:spacing w:val="-9"/>
        </w:rPr>
        <w:t>提高服务能力的目标，按照一定的结构形式、活动规律结合起来的，期望完成数据</w:t>
      </w:r>
      <w:r>
        <w:rPr>
          <w:rFonts w:ascii="SimSun" w:hAnsi="SimSun" w:eastAsia="SimSun" w:cs="SimSun"/>
          <w:sz w:val="22"/>
          <w:szCs w:val="22"/>
          <w:spacing w:val="15"/>
        </w:rPr>
        <w:t xml:space="preserve"> </w:t>
      </w:r>
      <w:r>
        <w:rPr>
          <w:rFonts w:ascii="SimSun" w:hAnsi="SimSun" w:eastAsia="SimSun" w:cs="SimSun"/>
          <w:sz w:val="22"/>
          <w:szCs w:val="22"/>
          <w:spacing w:val="-13"/>
        </w:rPr>
        <w:t>治理活动的人员的集合。</w:t>
      </w:r>
    </w:p>
    <w:p>
      <w:pPr>
        <w:ind w:left="200" w:right="67" w:firstLine="470"/>
        <w:spacing w:before="61" w:line="254" w:lineRule="auto"/>
        <w:rPr>
          <w:rFonts w:ascii="SimSun" w:hAnsi="SimSun" w:eastAsia="SimSun" w:cs="SimSun"/>
          <w:sz w:val="22"/>
          <w:szCs w:val="22"/>
        </w:rPr>
      </w:pPr>
      <w:r>
        <w:rPr>
          <w:rFonts w:ascii="SimSun" w:hAnsi="SimSun" w:eastAsia="SimSun" w:cs="SimSun"/>
          <w:sz w:val="22"/>
          <w:szCs w:val="22"/>
          <w:spacing w:val="-9"/>
        </w:rPr>
        <w:t>在云计算和大数据环境下，数据治理战略通过授权、决策权和控制权影响组织</w:t>
      </w:r>
      <w:r>
        <w:rPr>
          <w:rFonts w:ascii="SimSun" w:hAnsi="SimSun" w:eastAsia="SimSun" w:cs="SimSun"/>
          <w:sz w:val="22"/>
          <w:szCs w:val="22"/>
          <w:spacing w:val="16"/>
        </w:rPr>
        <w:t xml:space="preserve"> </w:t>
      </w:r>
      <w:r>
        <w:rPr>
          <w:rFonts w:ascii="SimSun" w:hAnsi="SimSun" w:eastAsia="SimSun" w:cs="SimSun"/>
          <w:sz w:val="22"/>
          <w:szCs w:val="22"/>
          <w:spacing w:val="-9"/>
        </w:rPr>
        <w:t>架构，其中授权和决策权影响组织架构的形式，而控制权是通过组织架构设计来督</w:t>
      </w:r>
      <w:r>
        <w:rPr>
          <w:rFonts w:ascii="SimSun" w:hAnsi="SimSun" w:eastAsia="SimSun" w:cs="SimSun"/>
          <w:sz w:val="22"/>
          <w:szCs w:val="22"/>
          <w:spacing w:val="15"/>
        </w:rPr>
        <w:t xml:space="preserve"> </w:t>
      </w:r>
      <w:r>
        <w:rPr>
          <w:rFonts w:ascii="SimSun" w:hAnsi="SimSun" w:eastAsia="SimSun" w:cs="SimSun"/>
          <w:sz w:val="22"/>
          <w:szCs w:val="22"/>
          <w:spacing w:val="-9"/>
        </w:rPr>
        <w:t>促员工完成组织的战略和目标。组织一般由四大要素组成，即人、目标、结构和管</w:t>
      </w:r>
      <w:r>
        <w:rPr>
          <w:rFonts w:ascii="SimSun" w:hAnsi="SimSun" w:eastAsia="SimSun" w:cs="SimSun"/>
          <w:sz w:val="22"/>
          <w:szCs w:val="22"/>
          <w:spacing w:val="14"/>
        </w:rPr>
        <w:t xml:space="preserve"> </w:t>
      </w:r>
      <w:r>
        <w:rPr>
          <w:rFonts w:ascii="SimSun" w:hAnsi="SimSun" w:eastAsia="SimSun" w:cs="SimSun"/>
          <w:sz w:val="22"/>
          <w:szCs w:val="22"/>
          <w:spacing w:val="-9"/>
        </w:rPr>
        <w:t>理。在数据治理组织中，人可以包括数据治理委员会、大数据利益相关者和大数据</w:t>
      </w:r>
      <w:r>
        <w:rPr>
          <w:rFonts w:ascii="SimSun" w:hAnsi="SimSun" w:eastAsia="SimSun" w:cs="SimSun"/>
          <w:sz w:val="22"/>
          <w:szCs w:val="22"/>
          <w:spacing w:val="15"/>
        </w:rPr>
        <w:t xml:space="preserve"> </w:t>
      </w:r>
      <w:r>
        <w:rPr>
          <w:rFonts w:ascii="SimSun" w:hAnsi="SimSun" w:eastAsia="SimSun" w:cs="SimSun"/>
          <w:sz w:val="22"/>
          <w:szCs w:val="22"/>
          <w:spacing w:val="-9"/>
        </w:rPr>
        <w:t>专家等；目标就是数据治理战略中制订的想要实现的数据治理目标和愿景；结构则</w:t>
      </w:r>
      <w:r>
        <w:rPr>
          <w:rFonts w:ascii="SimSun" w:hAnsi="SimSun" w:eastAsia="SimSun" w:cs="SimSun"/>
          <w:sz w:val="22"/>
          <w:szCs w:val="22"/>
          <w:spacing w:val="2"/>
        </w:rPr>
        <w:t xml:space="preserve"> </w:t>
      </w:r>
      <w:r>
        <w:rPr>
          <w:rFonts w:ascii="SimSun" w:hAnsi="SimSun" w:eastAsia="SimSun" w:cs="SimSun"/>
          <w:sz w:val="22"/>
          <w:szCs w:val="22"/>
          <w:spacing w:val="-9"/>
        </w:rPr>
        <w:t>描述了组织内部的相互关联，具体到部门、岗位、职责和从属关系等；管理则是组</w:t>
      </w:r>
      <w:r>
        <w:rPr>
          <w:rFonts w:ascii="SimSun" w:hAnsi="SimSun" w:eastAsia="SimSun" w:cs="SimSun"/>
          <w:sz w:val="22"/>
          <w:szCs w:val="22"/>
          <w:spacing w:val="10"/>
        </w:rPr>
        <w:t xml:space="preserve"> </w:t>
      </w:r>
      <w:r>
        <w:rPr>
          <w:rFonts w:ascii="SimSun" w:hAnsi="SimSun" w:eastAsia="SimSun" w:cs="SimSun"/>
          <w:sz w:val="22"/>
          <w:szCs w:val="22"/>
          <w:spacing w:val="-12"/>
        </w:rPr>
        <w:t>织要持续运转的保障条件。</w:t>
      </w:r>
    </w:p>
    <w:p>
      <w:pPr>
        <w:ind w:left="200" w:right="67" w:firstLine="470"/>
        <w:spacing w:before="99" w:line="232" w:lineRule="auto"/>
        <w:rPr>
          <w:rFonts w:ascii="SimSun" w:hAnsi="SimSun" w:eastAsia="SimSun" w:cs="SimSun"/>
          <w:sz w:val="22"/>
          <w:szCs w:val="22"/>
        </w:rPr>
      </w:pPr>
      <w:r>
        <w:rPr>
          <w:rFonts w:ascii="SimSun" w:hAnsi="SimSun" w:eastAsia="SimSun" w:cs="SimSun"/>
          <w:sz w:val="22"/>
          <w:szCs w:val="22"/>
          <w:spacing w:val="-9"/>
        </w:rPr>
        <w:t>云端数据治理组织的设立应该随着组织规模、性质、业务目标等情况不同而不</w:t>
      </w:r>
      <w:r>
        <w:rPr>
          <w:rFonts w:ascii="SimSun" w:hAnsi="SimSun" w:eastAsia="SimSun" w:cs="SimSun"/>
          <w:sz w:val="22"/>
          <w:szCs w:val="22"/>
          <w:spacing w:val="16"/>
        </w:rPr>
        <w:t xml:space="preserve"> </w:t>
      </w:r>
      <w:r>
        <w:rPr>
          <w:rFonts w:ascii="SimSun" w:hAnsi="SimSun" w:eastAsia="SimSun" w:cs="SimSun"/>
          <w:sz w:val="22"/>
          <w:szCs w:val="22"/>
          <w:spacing w:val="-13"/>
        </w:rPr>
        <w:t>同，但一般包括以下治理活动。</w:t>
      </w:r>
    </w:p>
    <w:p>
      <w:pPr>
        <w:ind w:left="200" w:right="66" w:firstLine="470"/>
        <w:spacing w:before="43" w:line="237" w:lineRule="auto"/>
        <w:rPr>
          <w:rFonts w:ascii="SimSun" w:hAnsi="SimSun" w:eastAsia="SimSun" w:cs="SimSun"/>
          <w:sz w:val="22"/>
          <w:szCs w:val="22"/>
        </w:rPr>
      </w:pPr>
      <w:r>
        <w:rPr>
          <w:rFonts w:ascii="SimSun" w:hAnsi="SimSun" w:eastAsia="SimSun" w:cs="SimSun"/>
          <w:sz w:val="22"/>
          <w:szCs w:val="22"/>
          <w:spacing w:val="-3"/>
        </w:rPr>
        <w:t>(1)根据业务情况，绘制关键流程图并建立职责分配模型</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3"/>
        </w:rPr>
        <w:t>(RACI),    </w:t>
      </w:r>
      <w:r>
        <w:rPr>
          <w:rFonts w:ascii="SimSun" w:hAnsi="SimSun" w:eastAsia="SimSun" w:cs="SimSun"/>
          <w:sz w:val="22"/>
          <w:szCs w:val="22"/>
          <w:spacing w:val="-3"/>
        </w:rPr>
        <w:t>以识别云</w:t>
      </w:r>
      <w:r>
        <w:rPr>
          <w:rFonts w:ascii="SimSun" w:hAnsi="SimSun" w:eastAsia="SimSun" w:cs="SimSun"/>
          <w:sz w:val="22"/>
          <w:szCs w:val="22"/>
        </w:rPr>
        <w:t xml:space="preserve"> </w:t>
      </w:r>
      <w:r>
        <w:rPr>
          <w:rFonts w:ascii="SimSun" w:hAnsi="SimSun" w:eastAsia="SimSun" w:cs="SimSun"/>
          <w:sz w:val="22"/>
          <w:szCs w:val="22"/>
          <w:spacing w:val="-15"/>
        </w:rPr>
        <w:t>端数据治理中的利益相关者；</w:t>
      </w:r>
    </w:p>
    <w:p>
      <w:pPr>
        <w:ind w:left="670"/>
        <w:spacing w:before="58" w:line="219" w:lineRule="auto"/>
        <w:rPr>
          <w:rFonts w:ascii="SimSun" w:hAnsi="SimSun" w:eastAsia="SimSun" w:cs="SimSun"/>
          <w:sz w:val="22"/>
          <w:szCs w:val="22"/>
        </w:rPr>
      </w:pPr>
      <w:r>
        <w:rPr>
          <w:rFonts w:ascii="SimSun" w:hAnsi="SimSun" w:eastAsia="SimSun" w:cs="SimSun"/>
          <w:sz w:val="22"/>
          <w:szCs w:val="22"/>
          <w:spacing w:val="-5"/>
        </w:rPr>
        <w:t>(2)扩展传统数据治理或</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治理的章程，明确</w:t>
      </w:r>
      <w:r>
        <w:rPr>
          <w:rFonts w:ascii="SimSun" w:hAnsi="SimSun" w:eastAsia="SimSun" w:cs="SimSun"/>
          <w:sz w:val="22"/>
          <w:szCs w:val="22"/>
          <w:spacing w:val="-6"/>
        </w:rPr>
        <w:t>云端数据治理的重要性；</w:t>
      </w:r>
    </w:p>
    <w:p>
      <w:pPr>
        <w:ind w:left="200" w:right="70" w:firstLine="470"/>
        <w:spacing w:before="68" w:line="244" w:lineRule="auto"/>
        <w:rPr>
          <w:rFonts w:ascii="SimSun" w:hAnsi="SimSun" w:eastAsia="SimSun" w:cs="SimSun"/>
          <w:sz w:val="22"/>
          <w:szCs w:val="22"/>
        </w:rPr>
      </w:pPr>
      <w:r>
        <w:rPr>
          <w:rFonts w:ascii="SimSun" w:hAnsi="SimSun" w:eastAsia="SimSun" w:cs="SimSun"/>
          <w:sz w:val="22"/>
          <w:szCs w:val="22"/>
          <w:spacing w:val="-7"/>
        </w:rPr>
        <w:t>(3)扩展传统数据治理委员会或</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7"/>
        </w:rPr>
        <w:t>治理委员会的成员角色和职责，增加云端数</w:t>
      </w:r>
      <w:r>
        <w:rPr>
          <w:rFonts w:ascii="SimSun" w:hAnsi="SimSun" w:eastAsia="SimSun" w:cs="SimSun"/>
          <w:sz w:val="22"/>
          <w:szCs w:val="22"/>
        </w:rPr>
        <w:t xml:space="preserve"> </w:t>
      </w:r>
      <w:r>
        <w:rPr>
          <w:rFonts w:ascii="SimSun" w:hAnsi="SimSun" w:eastAsia="SimSun" w:cs="SimSun"/>
          <w:sz w:val="22"/>
          <w:szCs w:val="22"/>
          <w:spacing w:val="-10"/>
        </w:rPr>
        <w:t>据治理的职责和角色，如将云端数据利益相关者和大数据专家纳入进去。</w:t>
      </w:r>
    </w:p>
    <w:p>
      <w:pPr>
        <w:ind w:left="200" w:right="68" w:firstLine="470"/>
        <w:spacing w:before="39" w:line="252" w:lineRule="auto"/>
        <w:rPr>
          <w:rFonts w:ascii="SimSun" w:hAnsi="SimSun" w:eastAsia="SimSun" w:cs="SimSun"/>
          <w:sz w:val="22"/>
          <w:szCs w:val="22"/>
        </w:rPr>
      </w:pPr>
      <w:r>
        <w:rPr>
          <w:rFonts w:ascii="SimSun" w:hAnsi="SimSun" w:eastAsia="SimSun" w:cs="SimSun"/>
          <w:sz w:val="22"/>
          <w:szCs w:val="22"/>
          <w:spacing w:val="-9"/>
        </w:rPr>
        <w:t>职责分配模型可以用来明确组织业务过程中的各个角色及其相关责任，将所有</w:t>
      </w:r>
      <w:r>
        <w:rPr>
          <w:rFonts w:ascii="SimSun" w:hAnsi="SimSun" w:eastAsia="SimSun" w:cs="SimSun"/>
          <w:sz w:val="22"/>
          <w:szCs w:val="22"/>
          <w:spacing w:val="15"/>
        </w:rPr>
        <w:t xml:space="preserve"> </w:t>
      </w:r>
      <w:r>
        <w:rPr>
          <w:rFonts w:ascii="SimSun" w:hAnsi="SimSun" w:eastAsia="SimSun" w:cs="SimSun"/>
          <w:sz w:val="22"/>
          <w:szCs w:val="22"/>
          <w:spacing w:val="-9"/>
        </w:rPr>
        <w:t>参与者分成四大类，分别赋予相应的职责。结合云端数据治理项目，职责分配模型</w:t>
      </w:r>
      <w:r>
        <w:rPr>
          <w:rFonts w:ascii="SimSun" w:hAnsi="SimSun" w:eastAsia="SimSun" w:cs="SimSun"/>
          <w:sz w:val="22"/>
          <w:szCs w:val="22"/>
          <w:spacing w:val="16"/>
        </w:rPr>
        <w:t xml:space="preserve"> </w:t>
      </w:r>
      <w:r>
        <w:rPr>
          <w:rFonts w:ascii="SimSun" w:hAnsi="SimSun" w:eastAsia="SimSun" w:cs="SimSun"/>
          <w:sz w:val="22"/>
          <w:szCs w:val="22"/>
          <w:spacing w:val="-25"/>
        </w:rPr>
        <w:t>的角色可以表述如下[12]。</w:t>
      </w:r>
    </w:p>
    <w:p>
      <w:pPr>
        <w:ind w:left="990" w:right="68" w:hanging="320"/>
        <w:spacing w:before="33" w:line="242" w:lineRule="auto"/>
        <w:rPr>
          <w:rFonts w:ascii="SimSun" w:hAnsi="SimSun" w:eastAsia="SimSun" w:cs="SimSun"/>
          <w:sz w:val="22"/>
          <w:szCs w:val="22"/>
        </w:rPr>
      </w:pPr>
      <w:r>
        <w:rPr>
          <w:rFonts w:ascii="SimSun" w:hAnsi="SimSun" w:eastAsia="SimSun" w:cs="SimSun"/>
          <w:sz w:val="22"/>
          <w:szCs w:val="22"/>
          <w:spacing w:val="-4"/>
        </w:rPr>
        <w:t>●应负责方(Responsible,谁负责),指</w:t>
      </w:r>
      <w:r>
        <w:rPr>
          <w:rFonts w:ascii="SimSun" w:hAnsi="SimSun" w:eastAsia="SimSun" w:cs="SimSun"/>
          <w:sz w:val="22"/>
          <w:szCs w:val="22"/>
          <w:spacing w:val="-5"/>
        </w:rPr>
        <w:t>授权管理某属性的人。即负责执行任务</w:t>
      </w:r>
      <w:r>
        <w:rPr>
          <w:rFonts w:ascii="SimSun" w:hAnsi="SimSun" w:eastAsia="SimSun" w:cs="SimSun"/>
          <w:sz w:val="22"/>
          <w:szCs w:val="22"/>
        </w:rPr>
        <w:t xml:space="preserve"> </w:t>
      </w:r>
      <w:r>
        <w:rPr>
          <w:rFonts w:ascii="SimSun" w:hAnsi="SimSun" w:eastAsia="SimSun" w:cs="SimSun"/>
          <w:sz w:val="22"/>
          <w:szCs w:val="22"/>
          <w:spacing w:val="-10"/>
        </w:rPr>
        <w:t>的角色，具体负责操控项目、解决问题，例如数据管理员。</w:t>
      </w:r>
    </w:p>
    <w:p>
      <w:pPr>
        <w:ind w:left="990" w:hanging="320"/>
        <w:spacing w:before="27" w:line="253" w:lineRule="auto"/>
        <w:rPr>
          <w:rFonts w:ascii="SimSun" w:hAnsi="SimSun" w:eastAsia="SimSun" w:cs="SimSun"/>
          <w:sz w:val="22"/>
          <w:szCs w:val="22"/>
        </w:rPr>
      </w:pPr>
      <w:r>
        <w:rPr>
          <w:rFonts w:ascii="SimSun" w:hAnsi="SimSun" w:eastAsia="SimSun" w:cs="SimSun"/>
          <w:sz w:val="22"/>
          <w:szCs w:val="22"/>
        </w:rPr>
        <w:t>●最终负责方</w:t>
      </w:r>
      <w:r>
        <w:rPr>
          <w:rFonts w:ascii="SimSun" w:hAnsi="SimSun" w:eastAsia="SimSun" w:cs="SimSun"/>
          <w:sz w:val="22"/>
          <w:szCs w:val="22"/>
          <w:spacing w:val="-28"/>
        </w:rPr>
        <w:t xml:space="preserve"> </w:t>
      </w:r>
      <w:r>
        <w:rPr>
          <w:rFonts w:ascii="SimSun" w:hAnsi="SimSun" w:eastAsia="SimSun" w:cs="SimSun"/>
          <w:sz w:val="22"/>
          <w:szCs w:val="22"/>
        </w:rPr>
        <w:t>(Accountable,</w:t>
      </w:r>
      <w:r>
        <w:rPr>
          <w:rFonts w:ascii="SimSun" w:hAnsi="SimSun" w:eastAsia="SimSun" w:cs="SimSun"/>
          <w:sz w:val="22"/>
          <w:szCs w:val="22"/>
          <w:spacing w:val="-1"/>
        </w:rPr>
        <w:t>谁批准),指对数据属性承担最终责任的人。即</w:t>
      </w:r>
      <w:r>
        <w:rPr>
          <w:rFonts w:ascii="SimSun" w:hAnsi="SimSun" w:eastAsia="SimSun" w:cs="SimSun"/>
          <w:sz w:val="22"/>
          <w:szCs w:val="22"/>
        </w:rPr>
        <w:t xml:space="preserve"> </w:t>
      </w:r>
      <w:r>
        <w:rPr>
          <w:rFonts w:ascii="SimSun" w:hAnsi="SimSun" w:eastAsia="SimSun" w:cs="SimSun"/>
          <w:sz w:val="22"/>
          <w:szCs w:val="22"/>
          <w:spacing w:val="-10"/>
        </w:rPr>
        <w:t>对任务负全责的角色，只有经其同意或签署之后，项目才能得以进行，如数</w:t>
      </w:r>
      <w:r>
        <w:rPr>
          <w:rFonts w:ascii="SimSun" w:hAnsi="SimSun" w:eastAsia="SimSun" w:cs="SimSun"/>
          <w:sz w:val="22"/>
          <w:szCs w:val="22"/>
          <w:spacing w:val="8"/>
        </w:rPr>
        <w:t xml:space="preserve"> </w:t>
      </w:r>
      <w:r>
        <w:rPr>
          <w:rFonts w:ascii="SimSun" w:hAnsi="SimSun" w:eastAsia="SimSun" w:cs="SimSun"/>
          <w:sz w:val="22"/>
          <w:szCs w:val="22"/>
          <w:spacing w:val="-13"/>
        </w:rPr>
        <w:t>据治理首席执行官。</w:t>
      </w:r>
    </w:p>
    <w:p>
      <w:pPr>
        <w:ind w:left="990" w:right="79" w:hanging="320"/>
        <w:spacing w:before="55" w:line="241" w:lineRule="auto"/>
        <w:rPr>
          <w:rFonts w:ascii="SimSun" w:hAnsi="SimSun" w:eastAsia="SimSun" w:cs="SimSun"/>
          <w:sz w:val="22"/>
          <w:szCs w:val="22"/>
        </w:rPr>
      </w:pPr>
      <w:r>
        <w:rPr>
          <w:rFonts w:ascii="SimSun" w:hAnsi="SimSun" w:eastAsia="SimSun" w:cs="SimSun"/>
          <w:sz w:val="22"/>
          <w:szCs w:val="22"/>
          <w:spacing w:val="-3"/>
        </w:rPr>
        <w:t>●咨询方</w:t>
      </w:r>
      <w:r>
        <w:rPr>
          <w:rFonts w:ascii="SimSun" w:hAnsi="SimSun" w:eastAsia="SimSun" w:cs="SimSun"/>
          <w:sz w:val="22"/>
          <w:szCs w:val="22"/>
          <w:spacing w:val="-18"/>
        </w:rPr>
        <w:t xml:space="preserve"> </w:t>
      </w:r>
      <w:r>
        <w:rPr>
          <w:rFonts w:ascii="SimSun" w:hAnsi="SimSun" w:eastAsia="SimSun" w:cs="SimSun"/>
          <w:sz w:val="22"/>
          <w:szCs w:val="22"/>
          <w:spacing w:val="-3"/>
        </w:rPr>
        <w:t>(Consulted,</w:t>
      </w:r>
      <w:r>
        <w:rPr>
          <w:rFonts w:ascii="SimSun" w:hAnsi="SimSun" w:eastAsia="SimSun" w:cs="SimSun"/>
          <w:sz w:val="22"/>
          <w:szCs w:val="22"/>
          <w:spacing w:val="-57"/>
        </w:rPr>
        <w:t xml:space="preserve"> </w:t>
      </w:r>
      <w:r>
        <w:rPr>
          <w:rFonts w:ascii="SimSun" w:hAnsi="SimSun" w:eastAsia="SimSun" w:cs="SimSun"/>
          <w:sz w:val="22"/>
          <w:szCs w:val="22"/>
          <w:spacing w:val="-3"/>
        </w:rPr>
        <w:t>咨询谁),指通过双向沟通接收咨询的某人或某些人。</w:t>
      </w:r>
      <w:r>
        <w:rPr>
          <w:rFonts w:ascii="SimSun" w:hAnsi="SimSun" w:eastAsia="SimSun" w:cs="SimSun"/>
          <w:sz w:val="22"/>
          <w:szCs w:val="22"/>
        </w:rPr>
        <w:t xml:space="preserve"> </w:t>
      </w:r>
      <w:r>
        <w:rPr>
          <w:rFonts w:ascii="SimSun" w:hAnsi="SimSun" w:eastAsia="SimSun" w:cs="SimSun"/>
          <w:sz w:val="22"/>
          <w:szCs w:val="22"/>
          <w:spacing w:val="-10"/>
        </w:rPr>
        <w:t>即在任务实施前或实施过程中提供指定性意见</w:t>
      </w:r>
      <w:r>
        <w:rPr>
          <w:rFonts w:ascii="SimSun" w:hAnsi="SimSun" w:eastAsia="SimSun" w:cs="SimSun"/>
          <w:sz w:val="22"/>
          <w:szCs w:val="22"/>
          <w:spacing w:val="-11"/>
        </w:rPr>
        <w:t>的人员，如数学科学家。</w:t>
      </w:r>
    </w:p>
    <w:p>
      <w:pPr>
        <w:spacing w:line="241" w:lineRule="auto"/>
        <w:sectPr>
          <w:footerReference w:type="default" r:id="rId148"/>
          <w:pgSz w:w="8870" w:h="13400"/>
          <w:pgMar w:top="400" w:right="460" w:bottom="544" w:left="479" w:header="0" w:footer="326" w:gutter="0"/>
        </w:sectPr>
        <w:rPr>
          <w:rFonts w:ascii="SimSun" w:hAnsi="SimSun" w:eastAsia="SimSun" w:cs="SimSun"/>
          <w:sz w:val="22"/>
          <w:szCs w:val="22"/>
        </w:rPr>
      </w:pPr>
    </w:p>
    <w:p>
      <w:pPr>
        <w:ind w:left="5503"/>
        <w:spacing w:before="27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ind w:left="689" w:right="258" w:hanging="259"/>
        <w:spacing w:before="281" w:line="265" w:lineRule="auto"/>
        <w:rPr>
          <w:rFonts w:ascii="SimSun" w:hAnsi="SimSun" w:eastAsia="SimSun" w:cs="SimSun"/>
          <w:sz w:val="21"/>
          <w:szCs w:val="21"/>
        </w:rPr>
      </w:pPr>
      <w:r>
        <w:rPr>
          <w:rFonts w:ascii="SimSun" w:hAnsi="SimSun" w:eastAsia="SimSun" w:cs="SimSun"/>
          <w:sz w:val="21"/>
          <w:szCs w:val="21"/>
          <w:spacing w:val="5"/>
        </w:rPr>
        <w:t>●被告知方</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Informed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5"/>
        </w:rPr>
        <w:t>告知谁),指通过单项沟通被告知的某人或某些人。即</w:t>
      </w:r>
      <w:r>
        <w:rPr>
          <w:rFonts w:ascii="SimSun" w:hAnsi="SimSun" w:eastAsia="SimSun" w:cs="SimSun"/>
          <w:sz w:val="21"/>
          <w:szCs w:val="21"/>
          <w:spacing w:val="1"/>
        </w:rPr>
        <w:t xml:space="preserve"> </w:t>
      </w:r>
      <w:r>
        <w:rPr>
          <w:rFonts w:ascii="SimSun" w:hAnsi="SimSun" w:eastAsia="SimSun" w:cs="SimSun"/>
          <w:sz w:val="21"/>
          <w:szCs w:val="21"/>
          <w:spacing w:val="-2"/>
        </w:rPr>
        <w:t>被通知结果的人员，不必向其咨询或征求意见。</w:t>
      </w:r>
    </w:p>
    <w:p>
      <w:pPr>
        <w:ind w:right="269" w:firstLine="430"/>
        <w:spacing w:before="51" w:line="260" w:lineRule="auto"/>
        <w:rPr>
          <w:rFonts w:ascii="SimSun" w:hAnsi="SimSun" w:eastAsia="SimSun" w:cs="SimSun"/>
          <w:sz w:val="21"/>
          <w:szCs w:val="21"/>
        </w:rPr>
      </w:pPr>
      <w:r>
        <w:rPr>
          <w:rFonts w:ascii="SimSun" w:hAnsi="SimSun" w:eastAsia="SimSun" w:cs="SimSun"/>
          <w:sz w:val="21"/>
          <w:szCs w:val="21"/>
          <w:spacing w:val="2"/>
        </w:rPr>
        <w:t>数据治理是高层次的、规划性的数据管理活动，需要众多</w:t>
      </w:r>
      <w:r>
        <w:rPr>
          <w:rFonts w:ascii="SimSun" w:hAnsi="SimSun" w:eastAsia="SimSun" w:cs="SimSun"/>
          <w:sz w:val="21"/>
          <w:szCs w:val="21"/>
          <w:spacing w:val="1"/>
        </w:rPr>
        <w:t>角色的协调配合才能</w:t>
      </w:r>
      <w:r>
        <w:rPr>
          <w:rFonts w:ascii="SimSun" w:hAnsi="SimSun" w:eastAsia="SimSun" w:cs="SimSun"/>
          <w:sz w:val="21"/>
          <w:szCs w:val="21"/>
        </w:rPr>
        <w:t xml:space="preserve"> </w:t>
      </w:r>
      <w:r>
        <w:rPr>
          <w:rFonts w:ascii="SimSun" w:hAnsi="SimSun" w:eastAsia="SimSun" w:cs="SimSun"/>
          <w:sz w:val="21"/>
          <w:szCs w:val="21"/>
          <w:spacing w:val="2"/>
        </w:rPr>
        <w:t>得以完成，按照管理职责权限的大小，数据治理人员大致可以分为三个等</w:t>
      </w:r>
      <w:r>
        <w:rPr>
          <w:rFonts w:ascii="SimSun" w:hAnsi="SimSun" w:eastAsia="SimSun" w:cs="SimSun"/>
          <w:sz w:val="21"/>
          <w:szCs w:val="21"/>
          <w:spacing w:val="1"/>
        </w:rPr>
        <w:t>级，即数</w:t>
      </w:r>
      <w:r>
        <w:rPr>
          <w:rFonts w:ascii="SimSun" w:hAnsi="SimSun" w:eastAsia="SimSun" w:cs="SimSun"/>
          <w:sz w:val="21"/>
          <w:szCs w:val="21"/>
        </w:rPr>
        <w:t xml:space="preserve"> </w:t>
      </w:r>
      <w:r>
        <w:rPr>
          <w:rFonts w:ascii="SimSun" w:hAnsi="SimSun" w:eastAsia="SimSun" w:cs="SimSun"/>
          <w:sz w:val="21"/>
          <w:szCs w:val="21"/>
          <w:spacing w:val="-2"/>
        </w:rPr>
        <w:t>据治理委员会、数据治理工作组和基层数据治理专员。</w:t>
      </w:r>
    </w:p>
    <w:p>
      <w:pPr>
        <w:ind w:right="177" w:firstLine="430"/>
        <w:spacing w:before="61" w:line="262" w:lineRule="auto"/>
        <w:rPr>
          <w:rFonts w:ascii="SimSun" w:hAnsi="SimSun" w:eastAsia="SimSun" w:cs="SimSun"/>
          <w:sz w:val="21"/>
          <w:szCs w:val="21"/>
        </w:rPr>
      </w:pPr>
      <w:r>
        <w:rPr>
          <w:rFonts w:ascii="SimSun" w:hAnsi="SimSun" w:eastAsia="SimSun" w:cs="SimSun"/>
          <w:sz w:val="21"/>
          <w:szCs w:val="21"/>
          <w:spacing w:val="2"/>
        </w:rPr>
        <w:t>数据治理委员会通常是组织中的高级管理人员，也就是数据最终负责方</w:t>
      </w:r>
      <w:r>
        <w:rPr>
          <w:rFonts w:ascii="SimSun" w:hAnsi="SimSun" w:eastAsia="SimSun" w:cs="SimSun"/>
          <w:sz w:val="21"/>
          <w:szCs w:val="21"/>
          <w:spacing w:val="1"/>
        </w:rPr>
        <w:t>，将由 </w:t>
      </w:r>
      <w:r>
        <w:rPr>
          <w:rFonts w:ascii="SimSun" w:hAnsi="SimSun" w:eastAsia="SimSun" w:cs="SimSun"/>
          <w:sz w:val="21"/>
          <w:szCs w:val="21"/>
        </w:rPr>
        <w:t>首席信息安全官、首席信息官等组成。此外，数据治理委员会也将包含来自财务、</w:t>
      </w:r>
      <w:r>
        <w:rPr>
          <w:rFonts w:ascii="SimSun" w:hAnsi="SimSun" w:eastAsia="SimSun" w:cs="SimSun"/>
          <w:sz w:val="21"/>
          <w:szCs w:val="21"/>
          <w:spacing w:val="6"/>
        </w:rPr>
        <w:t xml:space="preserve">  </w:t>
      </w:r>
      <w:r>
        <w:rPr>
          <w:rFonts w:ascii="SimSun" w:hAnsi="SimSun" w:eastAsia="SimSun" w:cs="SimSun"/>
          <w:sz w:val="21"/>
          <w:szCs w:val="21"/>
          <w:spacing w:val="-5"/>
        </w:rPr>
        <w:t>法律、</w:t>
      </w:r>
      <w:r>
        <w:rPr>
          <w:rFonts w:ascii="Times New Roman" w:hAnsi="Times New Roman" w:eastAsia="Times New Roman" w:cs="Times New Roman"/>
          <w:sz w:val="21"/>
          <w:szCs w:val="21"/>
          <w:spacing w:val="-5"/>
        </w:rPr>
        <w:t>HR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5"/>
        </w:rPr>
        <w:t>团队的职能部门代表，以及来自各种将数据视为组</w:t>
      </w:r>
      <w:r>
        <w:rPr>
          <w:rFonts w:ascii="SimSun" w:hAnsi="SimSun" w:eastAsia="SimSun" w:cs="SimSun"/>
          <w:sz w:val="21"/>
          <w:szCs w:val="21"/>
          <w:spacing w:val="-6"/>
        </w:rPr>
        <w:t>织资产的业务线的代表。</w:t>
      </w:r>
      <w:r>
        <w:rPr>
          <w:rFonts w:ascii="SimSun" w:hAnsi="SimSun" w:eastAsia="SimSun" w:cs="SimSun"/>
          <w:sz w:val="21"/>
          <w:szCs w:val="21"/>
        </w:rPr>
        <w:t xml:space="preserve"> </w:t>
      </w:r>
      <w:r>
        <w:rPr>
          <w:rFonts w:ascii="SimSun" w:hAnsi="SimSun" w:eastAsia="SimSun" w:cs="SimSun"/>
          <w:sz w:val="21"/>
          <w:szCs w:val="21"/>
        </w:rPr>
        <w:t>数据治理委员会定义数据治理愿景和目标，在组织内跨业务和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rPr>
        <w:t>进行协调，设置数  </w:t>
      </w:r>
      <w:r>
        <w:rPr>
          <w:rFonts w:ascii="SimSun" w:hAnsi="SimSun" w:eastAsia="SimSun" w:cs="SimSun"/>
          <w:sz w:val="21"/>
          <w:szCs w:val="21"/>
          <w:spacing w:val="-1"/>
        </w:rPr>
        <w:t>据治理计划的总体方向，在发生策略分歧时进行协调。</w:t>
      </w:r>
    </w:p>
    <w:p>
      <w:pPr>
        <w:ind w:right="262" w:firstLine="430"/>
        <w:spacing w:before="58" w:line="266" w:lineRule="auto"/>
        <w:rPr>
          <w:rFonts w:ascii="SimSun" w:hAnsi="SimSun" w:eastAsia="SimSun" w:cs="SimSun"/>
          <w:sz w:val="21"/>
          <w:szCs w:val="21"/>
        </w:rPr>
      </w:pPr>
      <w:r>
        <w:rPr>
          <w:rFonts w:ascii="SimSun" w:hAnsi="SimSun" w:eastAsia="SimSun" w:cs="SimSun"/>
          <w:sz w:val="21"/>
          <w:szCs w:val="21"/>
          <w:spacing w:val="2"/>
        </w:rPr>
        <w:t>数据治理工作组负责数据治理活动中的沟通环节，向数据治理委员会汇报</w:t>
      </w:r>
      <w:r>
        <w:rPr>
          <w:rFonts w:ascii="SimSun" w:hAnsi="SimSun" w:eastAsia="SimSun" w:cs="SimSun"/>
          <w:sz w:val="21"/>
          <w:szCs w:val="21"/>
          <w:spacing w:val="1"/>
        </w:rPr>
        <w:t>并与</w:t>
      </w:r>
      <w:r>
        <w:rPr>
          <w:rFonts w:ascii="SimSun" w:hAnsi="SimSun" w:eastAsia="SimSun" w:cs="SimSun"/>
          <w:sz w:val="21"/>
          <w:szCs w:val="21"/>
        </w:rPr>
        <w:t xml:space="preserve"> </w:t>
      </w:r>
      <w:r>
        <w:rPr>
          <w:rFonts w:ascii="SimSun" w:hAnsi="SimSun" w:eastAsia="SimSun" w:cs="SimSun"/>
          <w:sz w:val="21"/>
          <w:szCs w:val="21"/>
          <w:spacing w:val="2"/>
        </w:rPr>
        <w:t>基层数据治理专员沟通，承担协调角色，对应职</w:t>
      </w:r>
      <w:r>
        <w:rPr>
          <w:rFonts w:ascii="SimSun" w:hAnsi="SimSun" w:eastAsia="SimSun" w:cs="SimSun"/>
          <w:sz w:val="21"/>
          <w:szCs w:val="21"/>
          <w:spacing w:val="1"/>
        </w:rPr>
        <w:t>责分配模型中的应负责方。数据治</w:t>
      </w:r>
      <w:r>
        <w:rPr>
          <w:rFonts w:ascii="SimSun" w:hAnsi="SimSun" w:eastAsia="SimSun" w:cs="SimSun"/>
          <w:sz w:val="21"/>
          <w:szCs w:val="21"/>
        </w:rPr>
        <w:t xml:space="preserve"> </w:t>
      </w:r>
      <w:r>
        <w:rPr>
          <w:rFonts w:ascii="SimSun" w:hAnsi="SimSun" w:eastAsia="SimSun" w:cs="SimSun"/>
          <w:sz w:val="21"/>
          <w:szCs w:val="21"/>
          <w:spacing w:val="2"/>
        </w:rPr>
        <w:t>理工作组由数据治理领导组成，这里的领导也可能在数据架构、信息安全或风险小</w:t>
      </w:r>
      <w:r>
        <w:rPr>
          <w:rFonts w:ascii="SimSun" w:hAnsi="SimSun" w:eastAsia="SimSun" w:cs="SimSun"/>
          <w:sz w:val="21"/>
          <w:szCs w:val="21"/>
          <w:spacing w:val="4"/>
        </w:rPr>
        <w:t xml:space="preserve"> </w:t>
      </w:r>
      <w:r>
        <w:rPr>
          <w:rFonts w:ascii="SimSun" w:hAnsi="SimSun" w:eastAsia="SimSun" w:cs="SimSun"/>
          <w:sz w:val="21"/>
          <w:szCs w:val="21"/>
          <w:spacing w:val="-7"/>
        </w:rPr>
        <w:t>组内拥有其他角色。</w:t>
      </w:r>
    </w:p>
    <w:p>
      <w:pPr>
        <w:ind w:right="271" w:firstLine="430"/>
        <w:spacing w:before="61" w:line="246" w:lineRule="auto"/>
        <w:rPr>
          <w:rFonts w:ascii="SimSun" w:hAnsi="SimSun" w:eastAsia="SimSun" w:cs="SimSun"/>
          <w:sz w:val="21"/>
          <w:szCs w:val="21"/>
        </w:rPr>
      </w:pPr>
      <w:r>
        <w:rPr>
          <w:rFonts w:ascii="SimSun" w:hAnsi="SimSun" w:eastAsia="SimSun" w:cs="SimSun"/>
          <w:sz w:val="21"/>
          <w:szCs w:val="21"/>
          <w:spacing w:val="2"/>
        </w:rPr>
        <w:t>基层数据治理专员负责数据治理某项具体工作的实施，</w:t>
      </w:r>
      <w:r>
        <w:rPr>
          <w:rFonts w:ascii="SimSun" w:hAnsi="SimSun" w:eastAsia="SimSun" w:cs="SimSun"/>
          <w:sz w:val="21"/>
          <w:szCs w:val="21"/>
          <w:spacing w:val="1"/>
        </w:rPr>
        <w:t>具有最低的管理和决策</w:t>
      </w:r>
      <w:r>
        <w:rPr>
          <w:rFonts w:ascii="SimSun" w:hAnsi="SimSun" w:eastAsia="SimSun" w:cs="SimSun"/>
          <w:sz w:val="21"/>
          <w:szCs w:val="21"/>
        </w:rPr>
        <w:t xml:space="preserve"> </w:t>
      </w:r>
      <w:r>
        <w:rPr>
          <w:rFonts w:ascii="SimSun" w:hAnsi="SimSun" w:eastAsia="SimSun" w:cs="SimSun"/>
          <w:sz w:val="21"/>
          <w:szCs w:val="21"/>
          <w:spacing w:val="-3"/>
        </w:rPr>
        <w:t>权限，向数据治理工作组汇报。</w:t>
      </w:r>
      <w:r>
        <w:rPr>
          <w:rFonts w:ascii="SimSun" w:hAnsi="SimSun" w:eastAsia="SimSun" w:cs="SimSun"/>
          <w:sz w:val="21"/>
          <w:szCs w:val="21"/>
          <w:spacing w:val="44"/>
        </w:rPr>
        <w:t xml:space="preserve"> </w:t>
      </w:r>
      <w:r>
        <w:rPr>
          <w:rFonts w:ascii="SimSun" w:hAnsi="SimSun" w:eastAsia="SimSun" w:cs="SimSun"/>
          <w:sz w:val="21"/>
          <w:szCs w:val="21"/>
          <w:spacing w:val="-3"/>
        </w:rPr>
        <w:t>一个相对完整的数据治理组织架</w:t>
      </w:r>
      <w:r>
        <w:rPr>
          <w:rFonts w:ascii="SimSun" w:hAnsi="SimSun" w:eastAsia="SimSun" w:cs="SimSun"/>
          <w:sz w:val="21"/>
          <w:szCs w:val="21"/>
          <w:spacing w:val="-4"/>
        </w:rPr>
        <w:t>构如图4-1</w:t>
      </w:r>
      <w:r>
        <w:rPr>
          <w:rFonts w:ascii="SimSun" w:hAnsi="SimSun" w:eastAsia="SimSun" w:cs="SimSun"/>
          <w:sz w:val="21"/>
          <w:szCs w:val="21"/>
          <w:spacing w:val="-26"/>
        </w:rPr>
        <w:t xml:space="preserve"> </w:t>
      </w:r>
      <w:r>
        <w:rPr>
          <w:rFonts w:ascii="SimSun" w:hAnsi="SimSun" w:eastAsia="SimSun" w:cs="SimSun"/>
          <w:sz w:val="21"/>
          <w:szCs w:val="21"/>
          <w:spacing w:val="-4"/>
        </w:rPr>
        <w:t>所示。</w:t>
      </w:r>
    </w:p>
    <w:p>
      <w:pPr>
        <w:pStyle w:val="BodyText"/>
        <w:ind w:firstLine="520"/>
        <w:spacing w:before="82" w:line="4730" w:lineRule="exact"/>
        <w:rPr/>
      </w:pPr>
      <w:r>
        <w:rPr>
          <w:position w:val="-94"/>
        </w:rPr>
        <w:pict>
          <v:group id="_x0000_s268" style="mso-position-vertical-relative:line;mso-position-horizontal-relative:char;width:334.5pt;height:236.55pt;" filled="false" stroked="false" coordsize="6690,4731" coordorigin="0,0">
            <v:shape id="_x0000_s270" style="position:absolute;left:0;top:0;width:6690;height:4731;" filled="false" stroked="false" type="#_x0000_t75">
              <v:imagedata o:title="" r:id="rId150"/>
            </v:shape>
            <v:shape id="_x0000_s272" style="position:absolute;left:79;top:896;width:4897;height:3550;" filled="false" stroked="false" type="#_x0000_t202">
              <v:fill on="false"/>
              <v:stroke on="false"/>
              <v:path/>
              <v:imagedata o:title=""/>
              <o:lock v:ext="edit" aspectratio="false"/>
              <v:textbox inset="0mm,0mm,0mm,0mm">
                <w:txbxContent>
                  <w:p>
                    <w:pPr>
                      <w:ind w:left="2880"/>
                      <w:spacing w:before="20" w:line="219" w:lineRule="auto"/>
                      <w:rPr>
                        <w:rFonts w:ascii="SimSun" w:hAnsi="SimSun" w:eastAsia="SimSun" w:cs="SimSun"/>
                        <w:sz w:val="16"/>
                        <w:szCs w:val="16"/>
                      </w:rPr>
                    </w:pPr>
                    <w:r>
                      <w:rPr>
                        <w:rFonts w:ascii="SimSun" w:hAnsi="SimSun" w:eastAsia="SimSun" w:cs="SimSun"/>
                        <w:sz w:val="16"/>
                        <w:szCs w:val="16"/>
                        <w:spacing w:val="-7"/>
                      </w:rPr>
                      <w:t>首席数据官</w:t>
                    </w:r>
                  </w:p>
                  <w:p>
                    <w:pPr>
                      <w:ind w:left="1699"/>
                      <w:spacing w:before="32" w:line="221" w:lineRule="auto"/>
                      <w:rPr>
                        <w:rFonts w:ascii="SimSun" w:hAnsi="SimSun" w:eastAsia="SimSun" w:cs="SimSun"/>
                        <w:sz w:val="16"/>
                        <w:szCs w:val="16"/>
                      </w:rPr>
                    </w:pPr>
                    <w:r>
                      <w:rPr>
                        <w:rFonts w:ascii="SimSun" w:hAnsi="SimSun" w:eastAsia="SimSun" w:cs="SimSun"/>
                        <w:sz w:val="16"/>
                        <w:szCs w:val="16"/>
                        <w:spacing w:val="-2"/>
                      </w:rPr>
                      <w:t>组织级</w:t>
                    </w:r>
                  </w:p>
                  <w:p>
                    <w:pPr>
                      <w:ind w:left="2729"/>
                      <w:spacing w:before="95" w:line="219" w:lineRule="auto"/>
                      <w:rPr>
                        <w:rFonts w:ascii="SimSun" w:hAnsi="SimSun" w:eastAsia="SimSun" w:cs="SimSun"/>
                        <w:sz w:val="16"/>
                        <w:szCs w:val="16"/>
                      </w:rPr>
                    </w:pPr>
                    <w:r>
                      <w:rPr>
                        <w:rFonts w:ascii="SimSun" w:hAnsi="SimSun" w:eastAsia="SimSun" w:cs="SimSun"/>
                        <w:sz w:val="16"/>
                        <w:szCs w:val="16"/>
                        <w:spacing w:val="-8"/>
                      </w:rPr>
                      <w:t>数据治理委员会</w:t>
                    </w:r>
                  </w:p>
                  <w:p>
                    <w:pPr>
                      <w:ind w:left="2220"/>
                      <w:spacing w:before="271" w:line="219" w:lineRule="auto"/>
                      <w:rPr>
                        <w:rFonts w:ascii="SimSun" w:hAnsi="SimSun" w:eastAsia="SimSun" w:cs="SimSun"/>
                        <w:sz w:val="16"/>
                        <w:szCs w:val="16"/>
                      </w:rPr>
                    </w:pPr>
                    <w:r>
                      <w:rPr>
                        <w:rFonts w:ascii="SimSun" w:hAnsi="SimSun" w:eastAsia="SimSun" w:cs="SimSun"/>
                        <w:sz w:val="16"/>
                        <w:szCs w:val="16"/>
                        <w:spacing w:val="-8"/>
                      </w:rPr>
                      <w:t>首席信息安全官    首席信息官</w:t>
                    </w:r>
                  </w:p>
                  <w:p>
                    <w:pPr>
                      <w:ind w:left="690"/>
                      <w:spacing w:before="279" w:line="231" w:lineRule="auto"/>
                      <w:rPr>
                        <w:rFonts w:ascii="SimSun" w:hAnsi="SimSun" w:eastAsia="SimSun" w:cs="SimSun"/>
                        <w:sz w:val="16"/>
                        <w:szCs w:val="16"/>
                      </w:rPr>
                    </w:pPr>
                    <w:r>
                      <w:rPr>
                        <w:rFonts w:ascii="SimSun" w:hAnsi="SimSun" w:eastAsia="SimSun" w:cs="SimSun"/>
                        <w:sz w:val="16"/>
                        <w:szCs w:val="16"/>
                        <w:spacing w:val="-6"/>
                        <w:position w:val="4"/>
                      </w:rPr>
                      <w:t>跨部门级                   </w:t>
                    </w:r>
                    <w:r>
                      <w:rPr>
                        <w:rFonts w:ascii="SimSun" w:hAnsi="SimSun" w:eastAsia="SimSun" w:cs="SimSun"/>
                        <w:sz w:val="16"/>
                        <w:szCs w:val="16"/>
                        <w:spacing w:val="-6"/>
                        <w:position w:val="-2"/>
                      </w:rPr>
                      <w:t>数据治理工作组</w:t>
                    </w:r>
                  </w:p>
                  <w:p>
                    <w:pPr>
                      <w:ind w:right="12"/>
                      <w:spacing w:before="249" w:line="230" w:lineRule="auto"/>
                      <w:jc w:val="right"/>
                      <w:rPr>
                        <w:rFonts w:ascii="SimSun" w:hAnsi="SimSun" w:eastAsia="SimSun" w:cs="SimSun"/>
                        <w:sz w:val="16"/>
                        <w:szCs w:val="16"/>
                      </w:rPr>
                    </w:pPr>
                    <w:r>
                      <w:rPr>
                        <w:rFonts w:ascii="SimSun" w:hAnsi="SimSun" w:eastAsia="SimSun" w:cs="SimSun"/>
                        <w:sz w:val="16"/>
                        <w:szCs w:val="16"/>
                        <w:spacing w:val="-8"/>
                      </w:rPr>
                      <w:t>部门数据治理委员会</w:t>
                    </w:r>
                    <w:r>
                      <w:rPr>
                        <w:rFonts w:ascii="SimSun" w:hAnsi="SimSun" w:eastAsia="SimSun" w:cs="SimSun"/>
                        <w:sz w:val="16"/>
                        <w:szCs w:val="16"/>
                        <w:spacing w:val="5"/>
                      </w:rPr>
                      <w:t xml:space="preserve">        </w:t>
                    </w:r>
                    <w:r>
                      <w:rPr>
                        <w:rFonts w:ascii="SimSun" w:hAnsi="SimSun" w:eastAsia="SimSun" w:cs="SimSun"/>
                        <w:sz w:val="16"/>
                        <w:szCs w:val="16"/>
                        <w:spacing w:val="-8"/>
                      </w:rPr>
                      <w:t>项目指导委员会</w:t>
                    </w:r>
                  </w:p>
                  <w:p>
                    <w:pPr>
                      <w:spacing w:line="35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部门级</w:t>
                    </w:r>
                  </w:p>
                  <w:p>
                    <w:pPr>
                      <w:ind w:left="1359"/>
                      <w:spacing w:before="160" w:line="219" w:lineRule="auto"/>
                      <w:rPr>
                        <w:rFonts w:ascii="SimSun" w:hAnsi="SimSun" w:eastAsia="SimSun" w:cs="SimSun"/>
                        <w:sz w:val="16"/>
                        <w:szCs w:val="16"/>
                      </w:rPr>
                    </w:pPr>
                    <w:r>
                      <w:rPr>
                        <w:rFonts w:ascii="SimSun" w:hAnsi="SimSun" w:eastAsia="SimSun" w:cs="SimSun"/>
                        <w:sz w:val="16"/>
                        <w:szCs w:val="16"/>
                        <w:spacing w:val="-6"/>
                      </w:rPr>
                      <w:t>数据主管</w:t>
                    </w:r>
                  </w:p>
                  <w:p>
                    <w:pPr>
                      <w:ind w:left="899"/>
                      <w:spacing w:before="251" w:line="219" w:lineRule="auto"/>
                      <w:rPr>
                        <w:rFonts w:ascii="SimSun" w:hAnsi="SimSun" w:eastAsia="SimSun" w:cs="SimSun"/>
                        <w:sz w:val="16"/>
                        <w:szCs w:val="16"/>
                      </w:rPr>
                    </w:pPr>
                    <w:r>
                      <w:rPr>
                        <w:rFonts w:ascii="SimSun" w:hAnsi="SimSun" w:eastAsia="SimSun" w:cs="SimSun"/>
                        <w:sz w:val="16"/>
                        <w:szCs w:val="16"/>
                        <w:spacing w:val="-6"/>
                      </w:rPr>
                      <w:t>数据分析师</w:t>
                    </w:r>
                  </w:p>
                </w:txbxContent>
              </v:textbox>
            </v:shape>
            <v:shape id="_x0000_s274" style="position:absolute;left:2719;top:3436;width:1261;height:10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基层数据治理专员</w:t>
                    </w:r>
                  </w:p>
                  <w:p>
                    <w:pPr>
                      <w:ind w:left="240"/>
                      <w:spacing w:before="180" w:line="219" w:lineRule="auto"/>
                      <w:rPr>
                        <w:rFonts w:ascii="SimSun" w:hAnsi="SimSun" w:eastAsia="SimSun" w:cs="SimSun"/>
                        <w:sz w:val="16"/>
                        <w:szCs w:val="16"/>
                      </w:rPr>
                    </w:pPr>
                    <w:r>
                      <w:rPr>
                        <w:rFonts w:ascii="SimSun" w:hAnsi="SimSun" w:eastAsia="SimSun" w:cs="SimSun"/>
                        <w:sz w:val="16"/>
                        <w:szCs w:val="16"/>
                        <w:spacing w:val="-7"/>
                      </w:rPr>
                      <w:t>数据架构师</w:t>
                    </w:r>
                  </w:p>
                  <w:p>
                    <w:pPr>
                      <w:ind w:left="89"/>
                      <w:spacing w:before="270" w:line="219" w:lineRule="auto"/>
                      <w:rPr>
                        <w:rFonts w:ascii="SimSun" w:hAnsi="SimSun" w:eastAsia="SimSun" w:cs="SimSun"/>
                        <w:sz w:val="16"/>
                        <w:szCs w:val="16"/>
                      </w:rPr>
                    </w:pPr>
                    <w:r>
                      <w:rPr>
                        <w:rFonts w:ascii="SimSun" w:hAnsi="SimSun" w:eastAsia="SimSun" w:cs="SimSun"/>
                        <w:sz w:val="16"/>
                        <w:szCs w:val="16"/>
                        <w:spacing w:val="-6"/>
                      </w:rPr>
                      <w:t>数据仓库管理员</w:t>
                    </w:r>
                  </w:p>
                </w:txbxContent>
              </v:textbox>
            </v:shape>
            <v:shape id="_x0000_s276" style="position:absolute;left:4599;top:4266;width:112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数据安全管理员</w:t>
                    </w:r>
                  </w:p>
                </w:txbxContent>
              </v:textbox>
            </v:shape>
            <v:shape id="_x0000_s278" style="position:absolute;left:4349;top:3806;width:83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数据收集员</w:t>
                    </w:r>
                  </w:p>
                </w:txbxContent>
              </v:textbox>
            </v:shape>
          </v:group>
        </w:pict>
      </w:r>
    </w:p>
    <w:p>
      <w:pPr>
        <w:ind w:left="2810"/>
        <w:spacing w:before="118" w:line="222" w:lineRule="auto"/>
        <w:rPr>
          <w:rFonts w:ascii="SimHei" w:hAnsi="SimHei" w:eastAsia="SimHei" w:cs="SimHei"/>
          <w:sz w:val="21"/>
          <w:szCs w:val="21"/>
        </w:rPr>
      </w:pPr>
      <w:r>
        <w:rPr>
          <w:rFonts w:ascii="SimHei" w:hAnsi="SimHei" w:eastAsia="SimHei" w:cs="SimHei"/>
          <w:sz w:val="21"/>
          <w:szCs w:val="21"/>
          <w:spacing w:val="-17"/>
          <w:w w:val="98"/>
        </w:rPr>
        <w:t>图4-1</w:t>
      </w:r>
      <w:r>
        <w:rPr>
          <w:rFonts w:ascii="SimHei" w:hAnsi="SimHei" w:eastAsia="SimHei" w:cs="SimHei"/>
          <w:sz w:val="21"/>
          <w:szCs w:val="21"/>
          <w:spacing w:val="65"/>
        </w:rPr>
        <w:t xml:space="preserve"> </w:t>
      </w:r>
      <w:r>
        <w:rPr>
          <w:rFonts w:ascii="SimHei" w:hAnsi="SimHei" w:eastAsia="SimHei" w:cs="SimHei"/>
          <w:sz w:val="21"/>
          <w:szCs w:val="21"/>
          <w:spacing w:val="-17"/>
          <w:w w:val="98"/>
        </w:rPr>
        <w:t>数据治理组织架构</w:t>
      </w:r>
    </w:p>
    <w:p>
      <w:pPr>
        <w:ind w:right="184" w:firstLine="430"/>
        <w:spacing w:before="237" w:line="255" w:lineRule="auto"/>
        <w:jc w:val="both"/>
        <w:rPr>
          <w:rFonts w:ascii="SimSun" w:hAnsi="SimSun" w:eastAsia="SimSun" w:cs="SimSun"/>
          <w:sz w:val="21"/>
          <w:szCs w:val="21"/>
        </w:rPr>
      </w:pPr>
      <w:r>
        <w:rPr>
          <w:rFonts w:ascii="SimSun" w:hAnsi="SimSun" w:eastAsia="SimSun" w:cs="SimSun"/>
          <w:sz w:val="21"/>
          <w:szCs w:val="21"/>
          <w:spacing w:val="-3"/>
        </w:rPr>
        <w:t>数据治理团队的构建可以从两个方面着手，</w:t>
      </w:r>
      <w:r>
        <w:rPr>
          <w:rFonts w:ascii="SimSun" w:hAnsi="SimSun" w:eastAsia="SimSun" w:cs="SimSun"/>
          <w:sz w:val="21"/>
          <w:szCs w:val="21"/>
          <w:spacing w:val="60"/>
        </w:rPr>
        <w:t xml:space="preserve"> </w:t>
      </w:r>
      <w:r>
        <w:rPr>
          <w:rFonts w:ascii="SimSun" w:hAnsi="SimSun" w:eastAsia="SimSun" w:cs="SimSun"/>
          <w:sz w:val="21"/>
          <w:szCs w:val="21"/>
          <w:spacing w:val="-3"/>
        </w:rPr>
        <w:t>一是确定既有角色能</w:t>
      </w:r>
      <w:r>
        <w:rPr>
          <w:rFonts w:ascii="SimSun" w:hAnsi="SimSun" w:eastAsia="SimSun" w:cs="SimSun"/>
          <w:sz w:val="21"/>
          <w:szCs w:val="21"/>
          <w:spacing w:val="-4"/>
        </w:rPr>
        <w:t>否承担云端数</w:t>
      </w:r>
      <w:r>
        <w:rPr>
          <w:rFonts w:ascii="SimSun" w:hAnsi="SimSun" w:eastAsia="SimSun" w:cs="SimSun"/>
          <w:sz w:val="21"/>
          <w:szCs w:val="21"/>
        </w:rPr>
        <w:t xml:space="preserve">  </w:t>
      </w:r>
      <w:r>
        <w:rPr>
          <w:rFonts w:ascii="SimSun" w:hAnsi="SimSun" w:eastAsia="SimSun" w:cs="SimSun"/>
          <w:sz w:val="21"/>
          <w:szCs w:val="21"/>
          <w:spacing w:val="-2"/>
        </w:rPr>
        <w:t>据治理的责任，二是直接任命新的数据角色。例如，需要时可以任命新的数据主管，</w:t>
      </w:r>
      <w:r>
        <w:rPr>
          <w:rFonts w:ascii="SimSun" w:hAnsi="SimSun" w:eastAsia="SimSun" w:cs="SimSun"/>
          <w:sz w:val="21"/>
          <w:szCs w:val="21"/>
          <w:spacing w:val="18"/>
        </w:rPr>
        <w:t xml:space="preserve"> </w:t>
      </w:r>
      <w:r>
        <w:rPr>
          <w:rFonts w:ascii="SimSun" w:hAnsi="SimSun" w:eastAsia="SimSun" w:cs="SimSun"/>
          <w:sz w:val="21"/>
          <w:szCs w:val="21"/>
          <w:spacing w:val="2"/>
        </w:rPr>
        <w:t>组织根据数据规模或分类，酌情任命一定数量的数据主管。另外，组织还</w:t>
      </w:r>
      <w:r>
        <w:rPr>
          <w:rFonts w:ascii="SimSun" w:hAnsi="SimSun" w:eastAsia="SimSun" w:cs="SimSun"/>
          <w:sz w:val="21"/>
          <w:szCs w:val="21"/>
          <w:spacing w:val="1"/>
        </w:rPr>
        <w:t>可以聘请</w:t>
      </w:r>
    </w:p>
    <w:p>
      <w:pPr>
        <w:spacing w:line="255" w:lineRule="auto"/>
        <w:sectPr>
          <w:footerReference w:type="default" r:id="rId149"/>
          <w:pgSz w:w="8870" w:h="13400"/>
          <w:pgMar w:top="400" w:right="629" w:bottom="477" w:left="339" w:header="0" w:footer="269" w:gutter="0"/>
        </w:sectPr>
        <w:rPr>
          <w:rFonts w:ascii="SimSun" w:hAnsi="SimSun" w:eastAsia="SimSun" w:cs="SimSun"/>
          <w:sz w:val="21"/>
          <w:szCs w:val="21"/>
        </w:rPr>
      </w:pPr>
    </w:p>
    <w:p>
      <w:pPr>
        <w:ind w:left="243"/>
        <w:spacing w:before="305" w:line="219" w:lineRule="auto"/>
        <w:rPr>
          <w:rFonts w:ascii="SimSun" w:hAnsi="SimSun" w:eastAsia="SimSun" w:cs="SimSun"/>
          <w:sz w:val="21"/>
          <w:szCs w:val="21"/>
        </w:rPr>
      </w:pPr>
      <w:r>
        <w:pict>
          <v:rect id="_x0000_s280" style="position:absolute;margin-left:25.5012pt;margin-top:31.0009pt;mso-position-vertical-relative:page;mso-position-horizontal-relative:page;width:0.5pt;height:18.5pt;z-index:253017088;" o:allowincell="f" fillcolor="#000000" filled="true" stroked="false"/>
        </w:pict>
      </w:r>
      <w:r>
        <w:rPr>
          <w:rFonts w:ascii="SimSun" w:hAnsi="SimSun" w:eastAsia="SimSun" w:cs="SimSun"/>
          <w:sz w:val="21"/>
          <w:szCs w:val="21"/>
          <w:b/>
          <w:bCs/>
          <w:spacing w:val="-6"/>
        </w:rPr>
        <w:t>■云端数据治理</w:t>
      </w:r>
    </w:p>
    <w:p>
      <w:pPr>
        <w:pStyle w:val="BodyText"/>
        <w:spacing w:line="263" w:lineRule="auto"/>
        <w:rPr/>
      </w:pPr>
      <w:r/>
    </w:p>
    <w:p>
      <w:pPr>
        <w:ind w:left="280"/>
        <w:spacing w:before="68" w:line="265" w:lineRule="auto"/>
        <w:jc w:val="both"/>
        <w:rPr>
          <w:rFonts w:ascii="SimSun" w:hAnsi="SimSun" w:eastAsia="SimSun" w:cs="SimSun"/>
          <w:sz w:val="21"/>
          <w:szCs w:val="21"/>
        </w:rPr>
      </w:pPr>
      <w:r>
        <w:rPr>
          <w:rFonts w:ascii="SimSun" w:hAnsi="SimSun" w:eastAsia="SimSun" w:cs="SimSun"/>
          <w:sz w:val="21"/>
          <w:szCs w:val="21"/>
          <w:spacing w:val="-2"/>
        </w:rPr>
        <w:t>知识和经验丰富的数据科学家，能够及时咨询</w:t>
      </w:r>
      <w:r>
        <w:rPr>
          <w:rFonts w:ascii="SimSun" w:hAnsi="SimSun" w:eastAsia="SimSun" w:cs="SimSun"/>
          <w:sz w:val="21"/>
          <w:szCs w:val="21"/>
          <w:spacing w:val="-3"/>
        </w:rPr>
        <w:t>相关问题。</w:t>
      </w:r>
      <w:r>
        <w:rPr>
          <w:rFonts w:ascii="SimSun" w:hAnsi="SimSun" w:eastAsia="SimSun" w:cs="SimSun"/>
          <w:sz w:val="21"/>
          <w:szCs w:val="21"/>
          <w:spacing w:val="44"/>
        </w:rPr>
        <w:t xml:space="preserve"> </w:t>
      </w:r>
      <w:r>
        <w:rPr>
          <w:rFonts w:ascii="SimSun" w:hAnsi="SimSun" w:eastAsia="SimSun" w:cs="SimSun"/>
          <w:sz w:val="21"/>
          <w:szCs w:val="21"/>
          <w:spacing w:val="-3"/>
        </w:rPr>
        <w:t>一些传统组织在进行信息 </w:t>
      </w:r>
      <w:r>
        <w:rPr>
          <w:rFonts w:ascii="SimSun" w:hAnsi="SimSun" w:eastAsia="SimSun" w:cs="SimSun"/>
          <w:sz w:val="21"/>
          <w:szCs w:val="21"/>
          <w:spacing w:val="1"/>
        </w:rPr>
        <w:t>治理时，已经具备了很多信息治理角色，例如在金融行业，许多组织已经任命了首</w:t>
      </w:r>
      <w:r>
        <w:rPr>
          <w:rFonts w:ascii="SimSun" w:hAnsi="SimSun" w:eastAsia="SimSun" w:cs="SimSun"/>
          <w:sz w:val="21"/>
          <w:szCs w:val="21"/>
          <w:spacing w:val="6"/>
        </w:rPr>
        <w:t xml:space="preserve">  </w:t>
      </w:r>
      <w:r>
        <w:rPr>
          <w:rFonts w:ascii="SimSun" w:hAnsi="SimSun" w:eastAsia="SimSun" w:cs="SimSun"/>
          <w:sz w:val="21"/>
          <w:szCs w:val="21"/>
          <w:spacing w:val="-2"/>
        </w:rPr>
        <w:t>席数据官，在进行数据治理时，只需要将数据治理相应角色的任务纳入其职责范围。</w:t>
      </w:r>
      <w:r>
        <w:rPr>
          <w:rFonts w:ascii="SimSun" w:hAnsi="SimSun" w:eastAsia="SimSun" w:cs="SimSun"/>
          <w:sz w:val="21"/>
          <w:szCs w:val="21"/>
          <w:spacing w:val="7"/>
        </w:rPr>
        <w:t xml:space="preserve"> </w:t>
      </w:r>
      <w:r>
        <w:rPr>
          <w:rFonts w:ascii="SimSun" w:hAnsi="SimSun" w:eastAsia="SimSun" w:cs="SimSun"/>
          <w:sz w:val="21"/>
          <w:szCs w:val="21"/>
          <w:spacing w:val="2"/>
        </w:rPr>
        <w:t>信息治理委员会由信息治理计划的高级管理人员</w:t>
      </w:r>
      <w:r>
        <w:rPr>
          <w:rFonts w:ascii="SimSun" w:hAnsi="SimSun" w:eastAsia="SimSun" w:cs="SimSun"/>
          <w:sz w:val="21"/>
          <w:szCs w:val="21"/>
          <w:spacing w:val="1"/>
        </w:rPr>
        <w:t>组成，负责制订信息治理计划的总</w:t>
      </w:r>
      <w:r>
        <w:rPr>
          <w:rFonts w:ascii="SimSun" w:hAnsi="SimSun" w:eastAsia="SimSun" w:cs="SimSun"/>
          <w:sz w:val="21"/>
          <w:szCs w:val="21"/>
        </w:rPr>
        <w:t xml:space="preserve">  </w:t>
      </w:r>
      <w:r>
        <w:rPr>
          <w:rFonts w:ascii="SimSun" w:hAnsi="SimSun" w:eastAsia="SimSun" w:cs="SimSun"/>
          <w:sz w:val="21"/>
          <w:szCs w:val="21"/>
          <w:spacing w:val="1"/>
        </w:rPr>
        <w:t>体方向。在组建数据治理委员会时可以借鉴信息治理委员会，将数据治理对应的职</w:t>
      </w:r>
      <w:r>
        <w:rPr>
          <w:rFonts w:ascii="SimSun" w:hAnsi="SimSun" w:eastAsia="SimSun" w:cs="SimSun"/>
          <w:sz w:val="21"/>
          <w:szCs w:val="21"/>
          <w:spacing w:val="7"/>
        </w:rPr>
        <w:t xml:space="preserve">  </w:t>
      </w:r>
      <w:r>
        <w:rPr>
          <w:rFonts w:ascii="SimSun" w:hAnsi="SimSun" w:eastAsia="SimSun" w:cs="SimSun"/>
          <w:sz w:val="21"/>
          <w:szCs w:val="21"/>
          <w:spacing w:val="1"/>
        </w:rPr>
        <w:t>责分配给信息治理委员会相对应的角色。如首席信息安全官应当承担起数据安全官</w:t>
      </w:r>
      <w:r>
        <w:rPr>
          <w:rFonts w:ascii="SimSun" w:hAnsi="SimSun" w:eastAsia="SimSun" w:cs="SimSun"/>
          <w:sz w:val="21"/>
          <w:szCs w:val="21"/>
          <w:spacing w:val="7"/>
        </w:rPr>
        <w:t xml:space="preserve">  </w:t>
      </w:r>
      <w:r>
        <w:rPr>
          <w:rFonts w:ascii="SimSun" w:hAnsi="SimSun" w:eastAsia="SimSun" w:cs="SimSun"/>
          <w:sz w:val="21"/>
          <w:szCs w:val="21"/>
          <w:spacing w:val="-1"/>
        </w:rPr>
        <w:t>的职责，首席信息官则应当将首席数据官的职责纳入麾下。</w:t>
      </w:r>
    </w:p>
    <w:p>
      <w:pPr>
        <w:ind w:left="710"/>
        <w:spacing w:before="93" w:line="229" w:lineRule="auto"/>
        <w:rPr>
          <w:rFonts w:ascii="KaiTi" w:hAnsi="KaiTi" w:eastAsia="KaiTi" w:cs="KaiTi"/>
          <w:sz w:val="21"/>
          <w:szCs w:val="21"/>
        </w:rPr>
      </w:pPr>
      <w:r>
        <w:rPr>
          <w:rFonts w:ascii="KaiTi" w:hAnsi="KaiTi" w:eastAsia="KaiTi" w:cs="KaiTi"/>
          <w:sz w:val="21"/>
          <w:szCs w:val="21"/>
          <w:spacing w:val="12"/>
        </w:rPr>
        <w:t>3)相关过程域</w:t>
      </w:r>
    </w:p>
    <w:p>
      <w:pPr>
        <w:ind w:left="990" w:right="68" w:hanging="280"/>
        <w:spacing w:before="55" w:line="237" w:lineRule="auto"/>
        <w:rPr>
          <w:rFonts w:ascii="SimSun" w:hAnsi="SimSun" w:eastAsia="SimSun" w:cs="SimSun"/>
          <w:sz w:val="21"/>
          <w:szCs w:val="21"/>
        </w:rPr>
      </w:pPr>
      <w:r>
        <w:rPr>
          <w:rFonts w:ascii="SimSun" w:hAnsi="SimSun" w:eastAsia="SimSun" w:cs="SimSun"/>
          <w:sz w:val="21"/>
          <w:szCs w:val="21"/>
          <w:spacing w:val="2"/>
        </w:rPr>
        <w:t>●战略过程域为数据治理活动制订顶层规划，提出了实现数据治理目标</w:t>
      </w:r>
      <w:r>
        <w:rPr>
          <w:rFonts w:ascii="SimSun" w:hAnsi="SimSun" w:eastAsia="SimSun" w:cs="SimSun"/>
          <w:sz w:val="21"/>
          <w:szCs w:val="21"/>
          <w:spacing w:val="1"/>
        </w:rPr>
        <w:t>所需的</w:t>
      </w:r>
      <w:r>
        <w:rPr>
          <w:rFonts w:ascii="SimSun" w:hAnsi="SimSun" w:eastAsia="SimSun" w:cs="SimSun"/>
          <w:sz w:val="21"/>
          <w:szCs w:val="21"/>
        </w:rPr>
        <w:t xml:space="preserve"> </w:t>
      </w:r>
      <w:r>
        <w:rPr>
          <w:rFonts w:ascii="SimSun" w:hAnsi="SimSun" w:eastAsia="SimSun" w:cs="SimSun"/>
          <w:sz w:val="21"/>
          <w:szCs w:val="21"/>
          <w:spacing w:val="-6"/>
        </w:rPr>
        <w:t>组织结构和人员角色；</w:t>
      </w:r>
    </w:p>
    <w:p>
      <w:pPr>
        <w:ind w:left="990" w:right="76" w:hanging="280"/>
        <w:spacing w:before="72" w:line="243" w:lineRule="auto"/>
        <w:rPr>
          <w:rFonts w:ascii="SimSun" w:hAnsi="SimSun" w:eastAsia="SimSun" w:cs="SimSun"/>
          <w:sz w:val="21"/>
          <w:szCs w:val="21"/>
        </w:rPr>
      </w:pPr>
      <w:r>
        <w:rPr>
          <w:rFonts w:ascii="SimSun" w:hAnsi="SimSun" w:eastAsia="SimSun" w:cs="SimSun"/>
          <w:sz w:val="21"/>
          <w:szCs w:val="21"/>
          <w:spacing w:val="5"/>
        </w:rPr>
        <w:t>●沟通过程域有助于数据治理活动通知的有效传达(如策略</w:t>
      </w:r>
      <w:r>
        <w:rPr>
          <w:rFonts w:ascii="SimSun" w:hAnsi="SimSun" w:eastAsia="SimSun" w:cs="SimSun"/>
          <w:sz w:val="21"/>
          <w:szCs w:val="21"/>
          <w:spacing w:val="4"/>
        </w:rPr>
        <w:t>、标准、过程、进</w:t>
      </w:r>
      <w:r>
        <w:rPr>
          <w:rFonts w:ascii="SimSun" w:hAnsi="SimSun" w:eastAsia="SimSun" w:cs="SimSun"/>
          <w:sz w:val="21"/>
          <w:szCs w:val="21"/>
        </w:rPr>
        <w:t xml:space="preserve"> </w:t>
      </w:r>
      <w:r>
        <w:rPr>
          <w:rFonts w:ascii="SimSun" w:hAnsi="SimSun" w:eastAsia="SimSun" w:cs="SimSun"/>
          <w:sz w:val="21"/>
          <w:szCs w:val="21"/>
          <w:spacing w:val="4"/>
        </w:rPr>
        <w:t>度的制订),从而使相关活动获得数据治理参与者的理解。</w:t>
      </w:r>
    </w:p>
    <w:p>
      <w:pPr>
        <w:pStyle w:val="BodyText"/>
        <w:ind w:left="710"/>
        <w:spacing w:before="204" w:line="223" w:lineRule="auto"/>
        <w:outlineLvl w:val="2"/>
        <w:rPr>
          <w:rFonts w:ascii="SimHei" w:hAnsi="SimHei" w:eastAsia="SimHei" w:cs="SimHei"/>
        </w:rPr>
      </w:pPr>
      <w:r>
        <w:rPr>
          <w:b/>
          <w:bCs/>
          <w:spacing w:val="-2"/>
        </w:rPr>
        <w:t>2.GOM</w:t>
      </w:r>
      <w:r>
        <w:rPr>
          <w:b/>
          <w:bCs/>
          <w:spacing w:val="7"/>
        </w:rPr>
        <w:t xml:space="preserve">    </w:t>
      </w:r>
      <w:r>
        <w:rPr>
          <w:rFonts w:ascii="SimHei" w:hAnsi="SimHei" w:eastAsia="SimHei" w:cs="SimHei"/>
          <w:b/>
          <w:bCs/>
          <w:spacing w:val="-2"/>
        </w:rPr>
        <w:t>表</w:t>
      </w:r>
    </w:p>
    <w:p>
      <w:pPr>
        <w:spacing w:line="166" w:lineRule="exact"/>
        <w:rPr/>
      </w:pPr>
      <w:r/>
    </w:p>
    <w:tbl>
      <w:tblPr>
        <w:tblStyle w:val="TableNormal"/>
        <w:tblW w:w="7580" w:type="dxa"/>
        <w:tblInd w:w="3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3"/>
        <w:gridCol w:w="1968"/>
        <w:gridCol w:w="2147"/>
        <w:gridCol w:w="2132"/>
      </w:tblGrid>
      <w:tr>
        <w:trPr>
          <w:trHeight w:val="314" w:hRule="atLeast"/>
        </w:trPr>
        <w:tc>
          <w:tcPr>
            <w:tcW w:w="1333" w:type="dxa"/>
            <w:vAlign w:val="top"/>
          </w:tcPr>
          <w:p>
            <w:pPr>
              <w:pStyle w:val="TableText"/>
              <w:ind w:left="365"/>
              <w:spacing w:before="81" w:line="220" w:lineRule="auto"/>
              <w:rPr/>
            </w:pPr>
            <w:r>
              <w:rPr>
                <w:spacing w:val="-18"/>
              </w:rPr>
              <w:t>目</w:t>
            </w:r>
            <w:r>
              <w:rPr>
                <w:spacing w:val="11"/>
              </w:rPr>
              <w:t xml:space="preserve">    </w:t>
            </w:r>
            <w:r>
              <w:rPr>
                <w:spacing w:val="-18"/>
              </w:rPr>
              <w:t>标</w:t>
            </w:r>
          </w:p>
        </w:tc>
        <w:tc>
          <w:tcPr>
            <w:tcW w:w="1968" w:type="dxa"/>
            <w:vAlign w:val="top"/>
          </w:tcPr>
          <w:p>
            <w:pPr>
              <w:pStyle w:val="TableText"/>
              <w:ind w:left="662"/>
              <w:spacing w:before="83" w:line="221" w:lineRule="auto"/>
              <w:rPr/>
            </w:pPr>
            <w:r>
              <w:rPr>
                <w:spacing w:val="-12"/>
              </w:rPr>
              <w:t>问</w:t>
            </w:r>
            <w:r>
              <w:rPr>
                <w:spacing w:val="10"/>
              </w:rPr>
              <w:t xml:space="preserve">   </w:t>
            </w:r>
            <w:r>
              <w:rPr>
                <w:spacing w:val="-12"/>
              </w:rPr>
              <w:t>题</w:t>
            </w:r>
          </w:p>
        </w:tc>
        <w:tc>
          <w:tcPr>
            <w:tcW w:w="2147" w:type="dxa"/>
            <w:vAlign w:val="top"/>
          </w:tcPr>
          <w:p>
            <w:pPr>
              <w:pStyle w:val="TableText"/>
              <w:ind w:left="694"/>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32" w:type="dxa"/>
            <w:vAlign w:val="top"/>
          </w:tcPr>
          <w:p>
            <w:pPr>
              <w:pStyle w:val="TableText"/>
              <w:ind w:left="697"/>
              <w:spacing w:before="81" w:line="219" w:lineRule="auto"/>
              <w:rPr/>
            </w:pPr>
            <w:r>
              <w:rPr>
                <w:spacing w:val="3"/>
              </w:rPr>
              <w:t>度量项说明</w:t>
            </w:r>
          </w:p>
        </w:tc>
      </w:tr>
      <w:tr>
        <w:trPr>
          <w:trHeight w:val="779" w:hRule="atLeast"/>
        </w:trPr>
        <w:tc>
          <w:tcPr>
            <w:tcW w:w="1333" w:type="dxa"/>
            <w:vAlign w:val="top"/>
            <w:vMerge w:val="restart"/>
            <w:tcBorders>
              <w:bottom w:val="nil"/>
            </w:tcBorders>
          </w:tcPr>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104" w:right="257" w:firstLine="140"/>
              <w:spacing w:before="49" w:line="264" w:lineRule="auto"/>
              <w:rPr/>
            </w:pPr>
            <w:r>
              <w:rPr>
                <w:spacing w:val="-1"/>
              </w:rPr>
              <w:t>G1:建立云端</w:t>
            </w:r>
            <w:r>
              <w:rPr>
                <w:spacing w:val="1"/>
              </w:rPr>
              <w:t xml:space="preserve"> </w:t>
            </w:r>
            <w:r>
              <w:rPr>
                <w:spacing w:val="-1"/>
              </w:rPr>
              <w:t>数据治理组织</w:t>
            </w:r>
          </w:p>
        </w:tc>
        <w:tc>
          <w:tcPr>
            <w:tcW w:w="1968" w:type="dxa"/>
            <w:vAlign w:val="top"/>
          </w:tcPr>
          <w:p>
            <w:pPr>
              <w:pStyle w:val="TableText"/>
              <w:ind w:left="111" w:right="204" w:firstLine="150"/>
              <w:spacing w:before="58" w:line="286" w:lineRule="auto"/>
              <w:jc w:val="both"/>
              <w:rPr/>
            </w:pPr>
            <w:r>
              <w:rPr>
                <w:spacing w:val="-1"/>
              </w:rPr>
              <w:t>Q1;组建的数据治理组</w:t>
            </w:r>
            <w:r>
              <w:rPr>
                <w:spacing w:val="2"/>
              </w:rPr>
              <w:t xml:space="preserve">  </w:t>
            </w:r>
            <w:r>
              <w:rPr>
                <w:spacing w:val="-1"/>
              </w:rPr>
              <w:t>织是否能够支撑数据治理</w:t>
            </w:r>
            <w:r>
              <w:rPr>
                <w:spacing w:val="1"/>
              </w:rPr>
              <w:t xml:space="preserve"> </w:t>
            </w:r>
            <w:r>
              <w:rPr>
                <w:spacing w:val="1"/>
              </w:rPr>
              <w:t>目标和愿景的实现</w:t>
            </w:r>
          </w:p>
        </w:tc>
        <w:tc>
          <w:tcPr>
            <w:tcW w:w="2147" w:type="dxa"/>
            <w:vAlign w:val="top"/>
          </w:tcPr>
          <w:p>
            <w:pPr>
              <w:spacing w:line="266" w:lineRule="auto"/>
              <w:rPr>
                <w:rFonts w:ascii="Arial"/>
                <w:sz w:val="21"/>
              </w:rPr>
            </w:pPr>
            <w:r/>
          </w:p>
          <w:p>
            <w:pPr>
              <w:pStyle w:val="TableText"/>
              <w:ind w:left="263"/>
              <w:spacing w:before="49" w:line="219" w:lineRule="auto"/>
              <w:rPr/>
            </w:pPr>
            <w:r>
              <w:rPr>
                <w:spacing w:val="-1"/>
              </w:rPr>
              <w:t>M1:数据治理组织完整性</w:t>
            </w:r>
          </w:p>
        </w:tc>
        <w:tc>
          <w:tcPr>
            <w:tcW w:w="2132" w:type="dxa"/>
            <w:vAlign w:val="top"/>
          </w:tcPr>
          <w:p>
            <w:pPr>
              <w:pStyle w:val="TableText"/>
              <w:ind w:left="257"/>
              <w:spacing w:before="47" w:line="219" w:lineRule="auto"/>
              <w:rPr/>
            </w:pPr>
            <w:r>
              <w:rPr>
                <w:spacing w:val="-1"/>
              </w:rPr>
              <w:t>成立了专业的数据治理组</w:t>
            </w:r>
          </w:p>
          <w:p>
            <w:pPr>
              <w:pStyle w:val="TableText"/>
              <w:ind w:left="106" w:right="44"/>
              <w:spacing w:before="100" w:line="264" w:lineRule="auto"/>
              <w:rPr/>
            </w:pPr>
            <w:r>
              <w:rPr>
                <w:spacing w:val="-1"/>
              </w:rPr>
              <w:t>织，包括数据治理委员会、数</w:t>
            </w:r>
            <w:r>
              <w:rPr>
                <w:spacing w:val="3"/>
              </w:rPr>
              <w:t xml:space="preserve"> </w:t>
            </w:r>
            <w:r>
              <w:rPr>
                <w:spacing w:val="1"/>
              </w:rPr>
              <w:t>据治理工作组和数据治理专员</w:t>
            </w:r>
          </w:p>
        </w:tc>
      </w:tr>
      <w:tr>
        <w:trPr>
          <w:trHeight w:val="739" w:hRule="atLeast"/>
        </w:trPr>
        <w:tc>
          <w:tcPr>
            <w:tcW w:w="1333" w:type="dxa"/>
            <w:vAlign w:val="top"/>
            <w:vMerge w:val="continue"/>
            <w:tcBorders>
              <w:top w:val="nil"/>
              <w:bottom w:val="nil"/>
            </w:tcBorders>
          </w:tcPr>
          <w:p>
            <w:pPr>
              <w:rPr>
                <w:rFonts w:ascii="Arial"/>
                <w:sz w:val="21"/>
              </w:rPr>
            </w:pPr>
            <w:r/>
          </w:p>
        </w:tc>
        <w:tc>
          <w:tcPr>
            <w:tcW w:w="1968" w:type="dxa"/>
            <w:vAlign w:val="top"/>
          </w:tcPr>
          <w:p>
            <w:pPr>
              <w:pStyle w:val="TableText"/>
              <w:ind w:left="102" w:right="203" w:firstLine="160"/>
              <w:spacing w:before="38" w:line="279" w:lineRule="auto"/>
              <w:jc w:val="both"/>
              <w:rPr/>
            </w:pPr>
            <w:r>
              <w:rPr>
                <w:spacing w:val="-1"/>
              </w:rPr>
              <w:t>Q2:数据治理组织与角</w:t>
            </w:r>
            <w:r>
              <w:rPr>
                <w:spacing w:val="2"/>
              </w:rPr>
              <w:t xml:space="preserve">  </w:t>
            </w:r>
            <w:r>
              <w:rPr/>
              <w:t>色是否符合数据治理战略</w:t>
            </w:r>
            <w:r>
              <w:rPr>
                <w:spacing w:val="1"/>
              </w:rPr>
              <w:t xml:space="preserve"> </w:t>
            </w:r>
            <w:r>
              <w:rPr>
                <w:spacing w:val="2"/>
              </w:rPr>
              <w:t>的要求</w:t>
            </w:r>
          </w:p>
        </w:tc>
        <w:tc>
          <w:tcPr>
            <w:tcW w:w="2147" w:type="dxa"/>
            <w:vAlign w:val="top"/>
          </w:tcPr>
          <w:p>
            <w:pPr>
              <w:pStyle w:val="TableText"/>
              <w:ind w:left="254" w:right="309"/>
              <w:spacing w:before="168" w:line="251" w:lineRule="auto"/>
              <w:rPr/>
            </w:pPr>
            <w:r>
              <w:rPr>
                <w:spacing w:val="-1"/>
              </w:rPr>
              <w:t>M2:数据治理组织与战略</w:t>
            </w:r>
            <w:r>
              <w:rPr>
                <w:spacing w:val="9"/>
              </w:rPr>
              <w:t xml:space="preserve"> </w:t>
            </w:r>
            <w:r>
              <w:rPr>
                <w:spacing w:val="-2"/>
              </w:rPr>
              <w:t>符合度</w:t>
            </w:r>
          </w:p>
        </w:tc>
        <w:tc>
          <w:tcPr>
            <w:tcW w:w="2132" w:type="dxa"/>
            <w:vAlign w:val="top"/>
          </w:tcPr>
          <w:p>
            <w:pPr>
              <w:pStyle w:val="TableText"/>
              <w:ind w:left="117" w:right="24" w:firstLine="160"/>
              <w:spacing w:before="157" w:line="270" w:lineRule="auto"/>
              <w:rPr/>
            </w:pPr>
            <w:r>
              <w:rPr>
                <w:spacing w:val="1"/>
              </w:rPr>
              <w:t>数据治理组织与角色明确了</w:t>
            </w:r>
            <w:r>
              <w:rPr>
                <w:spacing w:val="7"/>
              </w:rPr>
              <w:t xml:space="preserve"> </w:t>
            </w:r>
            <w:r>
              <w:rPr>
                <w:spacing w:val="-1"/>
              </w:rPr>
              <w:t>战略赋予自身的目标和义务</w:t>
            </w:r>
          </w:p>
        </w:tc>
      </w:tr>
      <w:tr>
        <w:trPr>
          <w:trHeight w:val="739" w:hRule="atLeast"/>
        </w:trPr>
        <w:tc>
          <w:tcPr>
            <w:tcW w:w="1333" w:type="dxa"/>
            <w:vAlign w:val="top"/>
            <w:vMerge w:val="continue"/>
            <w:tcBorders>
              <w:top w:val="nil"/>
              <w:bottom w:val="nil"/>
            </w:tcBorders>
          </w:tcPr>
          <w:p>
            <w:pPr>
              <w:rPr>
                <w:rFonts w:ascii="Arial"/>
                <w:sz w:val="21"/>
              </w:rPr>
            </w:pPr>
            <w:r/>
          </w:p>
        </w:tc>
        <w:tc>
          <w:tcPr>
            <w:tcW w:w="1968" w:type="dxa"/>
            <w:vAlign w:val="top"/>
          </w:tcPr>
          <w:p>
            <w:pPr>
              <w:pStyle w:val="TableText"/>
              <w:ind w:left="111" w:right="205" w:firstLine="150"/>
              <w:spacing w:before="177" w:line="258" w:lineRule="auto"/>
              <w:rPr/>
            </w:pPr>
            <w:r>
              <w:rPr>
                <w:spacing w:val="-1"/>
              </w:rPr>
              <w:t>Q3:组织与角色是否得</w:t>
            </w:r>
            <w:r>
              <w:rPr>
                <w:spacing w:val="2"/>
              </w:rPr>
              <w:t xml:space="preserve">  </w:t>
            </w:r>
            <w:r>
              <w:rPr>
                <w:spacing w:val="-1"/>
              </w:rPr>
              <w:t>到数据利益相关者的认可</w:t>
            </w:r>
          </w:p>
        </w:tc>
        <w:tc>
          <w:tcPr>
            <w:tcW w:w="2147" w:type="dxa"/>
            <w:vAlign w:val="top"/>
          </w:tcPr>
          <w:p>
            <w:pPr>
              <w:spacing w:line="249" w:lineRule="auto"/>
              <w:rPr>
                <w:rFonts w:ascii="Arial"/>
                <w:sz w:val="21"/>
              </w:rPr>
            </w:pPr>
            <w:r/>
          </w:p>
          <w:p>
            <w:pPr>
              <w:pStyle w:val="TableText"/>
              <w:ind w:left="254"/>
              <w:spacing w:before="49" w:line="220" w:lineRule="auto"/>
              <w:rPr/>
            </w:pPr>
            <w:r>
              <w:rPr>
                <w:spacing w:val="-1"/>
              </w:rPr>
              <w:t>M3:评审记录</w:t>
            </w:r>
          </w:p>
        </w:tc>
        <w:tc>
          <w:tcPr>
            <w:tcW w:w="2132" w:type="dxa"/>
            <w:vAlign w:val="top"/>
          </w:tcPr>
          <w:p>
            <w:pPr>
              <w:pStyle w:val="TableText"/>
              <w:ind w:left="106" w:right="71" w:firstLine="170"/>
              <w:spacing w:before="48" w:line="279" w:lineRule="auto"/>
              <w:rPr/>
            </w:pPr>
            <w:r>
              <w:rPr>
                <w:spacing w:val="-1"/>
              </w:rPr>
              <w:t>数据治理组织得到了数据</w:t>
            </w:r>
            <w:r>
              <w:rPr/>
              <w:t xml:space="preserve">   </w:t>
            </w:r>
            <w:r>
              <w:rPr>
                <w:spacing w:val="-1"/>
              </w:rPr>
              <w:t>利益相关者的理解和支持，具</w:t>
            </w:r>
            <w:r>
              <w:rPr>
                <w:spacing w:val="5"/>
              </w:rPr>
              <w:t xml:space="preserve"> </w:t>
            </w:r>
            <w:r>
              <w:rPr>
                <w:spacing w:val="-2"/>
              </w:rPr>
              <w:t>有评审记录</w:t>
            </w:r>
          </w:p>
        </w:tc>
      </w:tr>
      <w:tr>
        <w:trPr>
          <w:trHeight w:val="1018" w:hRule="atLeast"/>
        </w:trPr>
        <w:tc>
          <w:tcPr>
            <w:tcW w:w="1333" w:type="dxa"/>
            <w:vAlign w:val="top"/>
            <w:vMerge w:val="continue"/>
            <w:tcBorders>
              <w:top w:val="nil"/>
            </w:tcBorders>
          </w:tcPr>
          <w:p>
            <w:pPr>
              <w:rPr>
                <w:rFonts w:ascii="Arial"/>
                <w:sz w:val="21"/>
              </w:rPr>
            </w:pPr>
            <w:r/>
          </w:p>
        </w:tc>
        <w:tc>
          <w:tcPr>
            <w:tcW w:w="1968" w:type="dxa"/>
            <w:vAlign w:val="top"/>
          </w:tcPr>
          <w:p>
            <w:pPr>
              <w:pStyle w:val="TableText"/>
              <w:ind w:left="111" w:right="203" w:firstLine="150"/>
              <w:spacing w:before="179" w:line="283" w:lineRule="auto"/>
              <w:jc w:val="both"/>
              <w:rPr/>
            </w:pPr>
            <w:r>
              <w:rPr>
                <w:spacing w:val="-1"/>
              </w:rPr>
              <w:t>Q4:数据治理组织与角</w:t>
            </w:r>
            <w:r>
              <w:rPr>
                <w:spacing w:val="2"/>
              </w:rPr>
              <w:t xml:space="preserve">  </w:t>
            </w:r>
            <w:r>
              <w:rPr>
                <w:spacing w:val="-1"/>
              </w:rPr>
              <w:t>色能否指导数据治理活动</w:t>
            </w:r>
            <w:r>
              <w:rPr>
                <w:spacing w:val="2"/>
              </w:rPr>
              <w:t xml:space="preserve"> </w:t>
            </w:r>
            <w:r>
              <w:rPr>
                <w:spacing w:val="-1"/>
              </w:rPr>
              <w:t>开展所有工作</w:t>
            </w:r>
          </w:p>
        </w:tc>
        <w:tc>
          <w:tcPr>
            <w:tcW w:w="2147" w:type="dxa"/>
            <w:vAlign w:val="top"/>
          </w:tcPr>
          <w:p>
            <w:pPr>
              <w:spacing w:line="259" w:lineRule="auto"/>
              <w:rPr>
                <w:rFonts w:ascii="Arial"/>
                <w:sz w:val="21"/>
              </w:rPr>
            </w:pPr>
            <w:r/>
          </w:p>
          <w:p>
            <w:pPr>
              <w:pStyle w:val="TableText"/>
              <w:ind w:left="254" w:right="319" w:hanging="10"/>
              <w:spacing w:before="48" w:line="270" w:lineRule="auto"/>
              <w:rPr/>
            </w:pPr>
            <w:r>
              <w:rPr>
                <w:spacing w:val="-1"/>
              </w:rPr>
              <w:t>M4:组织完整性与角色能</w:t>
            </w:r>
            <w:r>
              <w:rPr>
                <w:spacing w:val="9"/>
              </w:rPr>
              <w:t xml:space="preserve"> </w:t>
            </w:r>
            <w:r>
              <w:rPr/>
              <w:t>力</w:t>
            </w:r>
          </w:p>
        </w:tc>
        <w:tc>
          <w:tcPr>
            <w:tcW w:w="2132" w:type="dxa"/>
            <w:vAlign w:val="top"/>
          </w:tcPr>
          <w:p>
            <w:pPr>
              <w:pStyle w:val="TableText"/>
              <w:ind w:left="277"/>
              <w:spacing w:before="50" w:line="219" w:lineRule="auto"/>
              <w:rPr/>
            </w:pPr>
            <w:r>
              <w:rPr>
                <w:spacing w:val="-1"/>
              </w:rPr>
              <w:t>数据治理组织覆盖了数据</w:t>
            </w:r>
          </w:p>
          <w:p>
            <w:pPr>
              <w:pStyle w:val="TableText"/>
              <w:ind w:left="117" w:right="64"/>
              <w:spacing w:before="81" w:line="269" w:lineRule="auto"/>
              <w:rPr/>
            </w:pPr>
            <w:r>
              <w:rPr>
                <w:spacing w:val="-1"/>
              </w:rPr>
              <w:t>治理所有活动环节，数据治理</w:t>
            </w:r>
            <w:r>
              <w:rPr>
                <w:spacing w:val="2"/>
              </w:rPr>
              <w:t xml:space="preserve"> </w:t>
            </w:r>
            <w:r>
              <w:rPr>
                <w:spacing w:val="-1"/>
              </w:rPr>
              <w:t>角色具备相符合的职责与权</w:t>
            </w:r>
          </w:p>
          <w:p>
            <w:pPr>
              <w:pStyle w:val="TableText"/>
              <w:ind w:left="106"/>
              <w:spacing w:before="82" w:line="219" w:lineRule="auto"/>
              <w:rPr/>
            </w:pPr>
            <w:r>
              <w:rPr>
                <w:spacing w:val="1"/>
              </w:rPr>
              <w:t>限，具备相应的能力</w:t>
            </w:r>
          </w:p>
        </w:tc>
      </w:tr>
      <w:tr>
        <w:trPr>
          <w:trHeight w:val="499" w:hRule="atLeast"/>
        </w:trPr>
        <w:tc>
          <w:tcPr>
            <w:tcW w:w="1333" w:type="dxa"/>
            <w:vAlign w:val="top"/>
            <w:vMerge w:val="restart"/>
            <w:tcBorders>
              <w:bottom w:val="nil"/>
            </w:tcBorders>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TableText"/>
              <w:ind w:left="95" w:right="177" w:firstLine="169"/>
              <w:spacing w:before="48" w:line="275" w:lineRule="auto"/>
              <w:jc w:val="both"/>
              <w:rPr/>
            </w:pPr>
            <w:r>
              <w:rPr>
                <w:spacing w:val="-1"/>
              </w:rPr>
              <w:t>G2:配备数据</w:t>
            </w:r>
            <w:r>
              <w:rPr/>
              <w:t xml:space="preserve">  </w:t>
            </w:r>
            <w:r>
              <w:rPr/>
              <w:t>治理角色，并分 </w:t>
            </w:r>
            <w:r>
              <w:rPr>
                <w:spacing w:val="-1"/>
              </w:rPr>
              <w:t>配相应的职责</w:t>
            </w:r>
          </w:p>
        </w:tc>
        <w:tc>
          <w:tcPr>
            <w:tcW w:w="1968" w:type="dxa"/>
            <w:vAlign w:val="top"/>
          </w:tcPr>
          <w:p>
            <w:pPr>
              <w:pStyle w:val="TableText"/>
              <w:ind w:left="81" w:right="275" w:firstLine="180"/>
              <w:spacing w:before="61" w:line="246" w:lineRule="auto"/>
              <w:rPr/>
            </w:pPr>
            <w:r>
              <w:rPr>
                <w:spacing w:val="-1"/>
              </w:rPr>
              <w:t>Q5:数据治理角色是否</w:t>
            </w:r>
            <w:r>
              <w:rPr>
                <w:spacing w:val="5"/>
              </w:rPr>
              <w:t xml:space="preserve"> </w:t>
            </w:r>
            <w:r>
              <w:rPr>
                <w:spacing w:val="-1"/>
              </w:rPr>
              <w:t>配备了合适的职责</w:t>
            </w:r>
          </w:p>
        </w:tc>
        <w:tc>
          <w:tcPr>
            <w:tcW w:w="2147" w:type="dxa"/>
            <w:vAlign w:val="top"/>
          </w:tcPr>
          <w:p>
            <w:pPr>
              <w:pStyle w:val="TableText"/>
              <w:ind w:left="254"/>
              <w:spacing w:before="182" w:line="219" w:lineRule="auto"/>
              <w:rPr/>
            </w:pPr>
            <w:r>
              <w:rPr>
                <w:spacing w:val="-1"/>
              </w:rPr>
              <w:t>M5:职责与权限</w:t>
            </w:r>
          </w:p>
        </w:tc>
        <w:tc>
          <w:tcPr>
            <w:tcW w:w="2132" w:type="dxa"/>
            <w:vAlign w:val="top"/>
          </w:tcPr>
          <w:p>
            <w:pPr>
              <w:pStyle w:val="TableText"/>
              <w:ind w:left="106" w:right="202" w:firstLine="170"/>
              <w:spacing w:before="51" w:line="264" w:lineRule="auto"/>
              <w:rPr/>
            </w:pPr>
            <w:r>
              <w:rPr>
                <w:spacing w:val="-1"/>
              </w:rPr>
              <w:t>数据治理角色得到了充分</w:t>
            </w:r>
            <w:r>
              <w:rPr>
                <w:spacing w:val="2"/>
              </w:rPr>
              <w:t xml:space="preserve"> </w:t>
            </w:r>
            <w:r>
              <w:rPr>
                <w:spacing w:val="-1"/>
              </w:rPr>
              <w:t>定义被分配了相应的职责</w:t>
            </w:r>
          </w:p>
        </w:tc>
      </w:tr>
      <w:tr>
        <w:trPr>
          <w:trHeight w:val="499" w:hRule="atLeast"/>
        </w:trPr>
        <w:tc>
          <w:tcPr>
            <w:tcW w:w="1333" w:type="dxa"/>
            <w:vAlign w:val="top"/>
            <w:vMerge w:val="continue"/>
            <w:tcBorders>
              <w:top w:val="nil"/>
              <w:bottom w:val="nil"/>
            </w:tcBorders>
          </w:tcPr>
          <w:p>
            <w:pPr>
              <w:rPr>
                <w:rFonts w:ascii="Arial"/>
                <w:sz w:val="21"/>
              </w:rPr>
            </w:pPr>
            <w:r/>
          </w:p>
        </w:tc>
        <w:tc>
          <w:tcPr>
            <w:tcW w:w="1968" w:type="dxa"/>
            <w:vAlign w:val="top"/>
          </w:tcPr>
          <w:p>
            <w:pPr>
              <w:pStyle w:val="TableText"/>
              <w:ind w:left="111" w:right="265" w:firstLine="160"/>
              <w:spacing w:before="53" w:line="268" w:lineRule="auto"/>
              <w:rPr/>
            </w:pPr>
            <w:r>
              <w:rPr>
                <w:spacing w:val="-1"/>
              </w:rPr>
              <w:t>Q6:数据治理组织内的</w:t>
            </w:r>
            <w:r>
              <w:rPr>
                <w:spacing w:val="5"/>
              </w:rPr>
              <w:t xml:space="preserve"> </w:t>
            </w:r>
            <w:r>
              <w:rPr>
                <w:spacing w:val="-1"/>
              </w:rPr>
              <w:t>角色是否具有代表性</w:t>
            </w:r>
          </w:p>
        </w:tc>
        <w:tc>
          <w:tcPr>
            <w:tcW w:w="2147" w:type="dxa"/>
            <w:vAlign w:val="top"/>
          </w:tcPr>
          <w:p>
            <w:pPr>
              <w:pStyle w:val="TableText"/>
              <w:ind w:left="254"/>
              <w:spacing w:before="183" w:line="219" w:lineRule="auto"/>
              <w:rPr/>
            </w:pPr>
            <w:r>
              <w:rPr>
                <w:spacing w:val="17"/>
                <w:w w:val="110"/>
              </w:rPr>
              <w:t>M6:代表性</w:t>
            </w:r>
          </w:p>
        </w:tc>
        <w:tc>
          <w:tcPr>
            <w:tcW w:w="2132" w:type="dxa"/>
            <w:vAlign w:val="top"/>
          </w:tcPr>
          <w:p>
            <w:pPr>
              <w:pStyle w:val="TableText"/>
              <w:ind w:left="117" w:right="52" w:firstLine="160"/>
              <w:spacing w:before="51" w:line="269" w:lineRule="auto"/>
              <w:rPr/>
            </w:pPr>
            <w:r>
              <w:rPr>
                <w:spacing w:val="-1"/>
              </w:rPr>
              <w:t>数据治理委员会和数据治理</w:t>
            </w:r>
            <w:r>
              <w:rPr>
                <w:spacing w:val="3"/>
              </w:rPr>
              <w:t xml:space="preserve"> </w:t>
            </w:r>
            <w:r>
              <w:rPr>
                <w:spacing w:val="-1"/>
              </w:rPr>
              <w:t>工作组成员具有广泛代表性</w:t>
            </w:r>
          </w:p>
        </w:tc>
      </w:tr>
      <w:tr>
        <w:trPr>
          <w:trHeight w:val="499" w:hRule="atLeast"/>
        </w:trPr>
        <w:tc>
          <w:tcPr>
            <w:tcW w:w="1333" w:type="dxa"/>
            <w:vAlign w:val="top"/>
            <w:vMerge w:val="continue"/>
            <w:tcBorders>
              <w:top w:val="nil"/>
              <w:bottom w:val="nil"/>
            </w:tcBorders>
          </w:tcPr>
          <w:p>
            <w:pPr>
              <w:rPr>
                <w:rFonts w:ascii="Arial"/>
                <w:sz w:val="21"/>
              </w:rPr>
            </w:pPr>
            <w:r/>
          </w:p>
        </w:tc>
        <w:tc>
          <w:tcPr>
            <w:tcW w:w="1968" w:type="dxa"/>
            <w:vAlign w:val="top"/>
            <w:vMerge w:val="restart"/>
            <w:tcBorders>
              <w:bottom w:val="nil"/>
            </w:tcBorders>
          </w:tcPr>
          <w:p>
            <w:pPr>
              <w:spacing w:line="315" w:lineRule="auto"/>
              <w:rPr>
                <w:rFonts w:ascii="Arial"/>
                <w:sz w:val="21"/>
              </w:rPr>
            </w:pPr>
            <w:r/>
          </w:p>
          <w:p>
            <w:pPr>
              <w:spacing w:line="315" w:lineRule="auto"/>
              <w:rPr>
                <w:rFonts w:ascii="Arial"/>
                <w:sz w:val="21"/>
              </w:rPr>
            </w:pPr>
            <w:r/>
          </w:p>
          <w:p>
            <w:pPr>
              <w:pStyle w:val="TableText"/>
              <w:ind w:left="92" w:right="275" w:firstLine="170"/>
              <w:spacing w:before="49" w:line="247" w:lineRule="auto"/>
              <w:rPr/>
            </w:pPr>
            <w:r>
              <w:rPr>
                <w:spacing w:val="-1"/>
              </w:rPr>
              <w:t>Q7:数据治理角色是否</w:t>
            </w:r>
            <w:r>
              <w:rPr>
                <w:spacing w:val="5"/>
              </w:rPr>
              <w:t xml:space="preserve"> </w:t>
            </w:r>
            <w:r>
              <w:rPr>
                <w:spacing w:val="-3"/>
              </w:rPr>
              <w:t>安全</w:t>
            </w:r>
          </w:p>
        </w:tc>
        <w:tc>
          <w:tcPr>
            <w:tcW w:w="2147" w:type="dxa"/>
            <w:vAlign w:val="top"/>
          </w:tcPr>
          <w:p>
            <w:pPr>
              <w:pStyle w:val="TableText"/>
              <w:ind w:left="254"/>
              <w:spacing w:before="184" w:line="219" w:lineRule="auto"/>
              <w:rPr/>
            </w:pPr>
            <w:r>
              <w:rPr>
                <w:spacing w:val="-1"/>
              </w:rPr>
              <w:t>M7:资格认证</w:t>
            </w:r>
          </w:p>
        </w:tc>
        <w:tc>
          <w:tcPr>
            <w:tcW w:w="2132" w:type="dxa"/>
            <w:vAlign w:val="top"/>
          </w:tcPr>
          <w:p>
            <w:pPr>
              <w:pStyle w:val="TableText"/>
              <w:ind w:left="106" w:right="212" w:firstLine="160"/>
              <w:spacing w:before="54" w:line="264" w:lineRule="auto"/>
              <w:rPr/>
            </w:pPr>
            <w:r>
              <w:rPr>
                <w:spacing w:val="-1"/>
              </w:rPr>
              <w:t>数据治理角色能力得到考</w:t>
            </w:r>
            <w:r>
              <w:rPr>
                <w:spacing w:val="2"/>
              </w:rPr>
              <w:t xml:space="preserve"> </w:t>
            </w:r>
            <w:r>
              <w:rPr>
                <w:spacing w:val="-2"/>
              </w:rPr>
              <w:t>核和确认</w:t>
            </w:r>
          </w:p>
        </w:tc>
      </w:tr>
      <w:tr>
        <w:trPr>
          <w:trHeight w:val="759" w:hRule="atLeast"/>
        </w:trPr>
        <w:tc>
          <w:tcPr>
            <w:tcW w:w="1333" w:type="dxa"/>
            <w:vAlign w:val="top"/>
            <w:vMerge w:val="continue"/>
            <w:tcBorders>
              <w:top w:val="nil"/>
              <w:bottom w:val="nil"/>
            </w:tcBorders>
          </w:tcPr>
          <w:p>
            <w:pPr>
              <w:rPr>
                <w:rFonts w:ascii="Arial"/>
                <w:sz w:val="21"/>
              </w:rPr>
            </w:pPr>
            <w:r/>
          </w:p>
        </w:tc>
        <w:tc>
          <w:tcPr>
            <w:tcW w:w="1968" w:type="dxa"/>
            <w:vAlign w:val="top"/>
            <w:vMerge w:val="continue"/>
            <w:tcBorders>
              <w:top w:val="nil"/>
              <w:bottom w:val="nil"/>
            </w:tcBorders>
          </w:tcPr>
          <w:p>
            <w:pPr>
              <w:rPr>
                <w:rFonts w:ascii="Arial"/>
                <w:sz w:val="21"/>
              </w:rPr>
            </w:pPr>
            <w:r/>
          </w:p>
        </w:tc>
        <w:tc>
          <w:tcPr>
            <w:tcW w:w="2147" w:type="dxa"/>
            <w:vAlign w:val="top"/>
          </w:tcPr>
          <w:p>
            <w:pPr>
              <w:spacing w:line="264" w:lineRule="auto"/>
              <w:rPr>
                <w:rFonts w:ascii="Arial"/>
                <w:sz w:val="21"/>
              </w:rPr>
            </w:pPr>
            <w:r/>
          </w:p>
          <w:p>
            <w:pPr>
              <w:pStyle w:val="TableText"/>
              <w:ind w:left="254"/>
              <w:spacing w:before="49" w:line="219" w:lineRule="auto"/>
              <w:rPr/>
            </w:pPr>
            <w:r>
              <w:rPr>
                <w:spacing w:val="-1"/>
              </w:rPr>
              <w:t>M8:能力提升计划</w:t>
            </w:r>
          </w:p>
        </w:tc>
        <w:tc>
          <w:tcPr>
            <w:tcW w:w="2132" w:type="dxa"/>
            <w:vAlign w:val="top"/>
          </w:tcPr>
          <w:p>
            <w:pPr>
              <w:pStyle w:val="TableText"/>
              <w:ind w:left="266"/>
              <w:spacing w:before="55" w:line="219" w:lineRule="auto"/>
              <w:rPr/>
            </w:pPr>
            <w:r>
              <w:rPr>
                <w:spacing w:val="-1"/>
              </w:rPr>
              <w:t>开展了人员培训和持续教</w:t>
            </w:r>
          </w:p>
          <w:p>
            <w:pPr>
              <w:pStyle w:val="TableText"/>
              <w:ind w:left="97" w:right="36" w:firstLine="19"/>
              <w:spacing w:before="70" w:line="258" w:lineRule="auto"/>
              <w:rPr/>
            </w:pPr>
            <w:r>
              <w:rPr>
                <w:spacing w:val="1"/>
              </w:rPr>
              <w:t>育项目，不断提升数据治理角</w:t>
            </w:r>
            <w:r>
              <w:rPr>
                <w:spacing w:val="4"/>
              </w:rPr>
              <w:t xml:space="preserve"> </w:t>
            </w:r>
            <w:r>
              <w:rPr>
                <w:spacing w:val="4"/>
              </w:rPr>
              <w:t>色能力</w:t>
            </w:r>
          </w:p>
        </w:tc>
      </w:tr>
      <w:tr>
        <w:trPr>
          <w:trHeight w:val="504" w:hRule="atLeast"/>
        </w:trPr>
        <w:tc>
          <w:tcPr>
            <w:tcW w:w="1333" w:type="dxa"/>
            <w:vAlign w:val="top"/>
            <w:vMerge w:val="continue"/>
            <w:tcBorders>
              <w:top w:val="nil"/>
            </w:tcBorders>
          </w:tcPr>
          <w:p>
            <w:pPr>
              <w:rPr>
                <w:rFonts w:ascii="Arial"/>
                <w:sz w:val="21"/>
              </w:rPr>
            </w:pPr>
            <w:r/>
          </w:p>
        </w:tc>
        <w:tc>
          <w:tcPr>
            <w:tcW w:w="1968" w:type="dxa"/>
            <w:vAlign w:val="top"/>
            <w:vMerge w:val="continue"/>
            <w:tcBorders>
              <w:top w:val="nil"/>
            </w:tcBorders>
          </w:tcPr>
          <w:p>
            <w:pPr>
              <w:rPr>
                <w:rFonts w:ascii="Arial"/>
                <w:sz w:val="21"/>
              </w:rPr>
            </w:pPr>
            <w:r/>
          </w:p>
        </w:tc>
        <w:tc>
          <w:tcPr>
            <w:tcW w:w="2147" w:type="dxa"/>
            <w:vAlign w:val="top"/>
          </w:tcPr>
          <w:p>
            <w:pPr>
              <w:pStyle w:val="TableText"/>
              <w:ind w:left="254"/>
              <w:spacing w:before="186" w:line="219" w:lineRule="auto"/>
              <w:rPr/>
            </w:pPr>
            <w:r>
              <w:rPr>
                <w:spacing w:val="-1"/>
              </w:rPr>
              <w:t>M9:持续监管计划</w:t>
            </w:r>
          </w:p>
        </w:tc>
        <w:tc>
          <w:tcPr>
            <w:tcW w:w="2132" w:type="dxa"/>
            <w:vAlign w:val="top"/>
          </w:tcPr>
          <w:p>
            <w:pPr>
              <w:pStyle w:val="TableText"/>
              <w:ind w:left="106" w:right="210" w:firstLine="160"/>
              <w:spacing w:before="55" w:line="264" w:lineRule="auto"/>
              <w:rPr/>
            </w:pPr>
            <w:r>
              <w:rPr>
                <w:spacing w:val="-1"/>
              </w:rPr>
              <w:t>对数据治理角色进行安全</w:t>
            </w:r>
            <w:r>
              <w:rPr>
                <w:spacing w:val="4"/>
              </w:rPr>
              <w:t xml:space="preserve"> </w:t>
            </w:r>
            <w:r>
              <w:rPr>
                <w:spacing w:val="-1"/>
              </w:rPr>
              <w:t>检查和持续管理</w:t>
            </w:r>
          </w:p>
        </w:tc>
      </w:tr>
    </w:tbl>
    <w:p>
      <w:pPr>
        <w:pStyle w:val="BodyText"/>
        <w:rPr/>
      </w:pPr>
      <w:r/>
    </w:p>
    <w:p>
      <w:pPr>
        <w:sectPr>
          <w:footerReference w:type="default" r:id="rId151"/>
          <w:pgSz w:w="8870" w:h="13400"/>
          <w:pgMar w:top="400" w:right="515" w:bottom="437" w:left="369" w:header="0" w:footer="228" w:gutter="0"/>
        </w:sectPr>
        <w:rPr/>
      </w:pPr>
    </w:p>
    <w:p>
      <w:pPr>
        <w:ind w:left="5503"/>
        <w:spacing w:before="224" w:line="219" w:lineRule="auto"/>
        <w:rPr>
          <w:rFonts w:ascii="SimSun" w:hAnsi="SimSun" w:eastAsia="SimSun" w:cs="SimSun"/>
          <w:sz w:val="22"/>
          <w:szCs w:val="22"/>
        </w:rPr>
      </w:pPr>
      <w:r>
        <w:rPr>
          <w:rFonts w:ascii="SimSun" w:hAnsi="SimSun" w:eastAsia="SimSun" w:cs="SimSun"/>
          <w:sz w:val="22"/>
          <w:szCs w:val="22"/>
          <w:b/>
          <w:bCs/>
          <w:spacing w:val="3"/>
        </w:rPr>
        <w:t>第4章■云端数据战略</w:t>
      </w:r>
    </w:p>
    <w:p>
      <w:pPr>
        <w:pStyle w:val="BodyText"/>
        <w:spacing w:line="392" w:lineRule="auto"/>
        <w:rPr/>
      </w:pPr>
      <w:r/>
    </w:p>
    <w:p>
      <w:pPr>
        <w:ind w:left="403"/>
        <w:spacing w:before="72" w:line="492" w:lineRule="exact"/>
        <w:rPr>
          <w:rFonts w:ascii="YouYuan" w:hAnsi="YouYuan" w:eastAsia="YouYuan" w:cs="YouYuan"/>
          <w:sz w:val="22"/>
          <w:szCs w:val="22"/>
        </w:rPr>
      </w:pPr>
      <w:r>
        <w:rPr>
          <w:rFonts w:ascii="YouYuan" w:hAnsi="YouYuan" w:eastAsia="YouYuan" w:cs="YouYuan"/>
          <w:sz w:val="22"/>
          <w:szCs w:val="22"/>
          <w:b/>
          <w:bCs/>
          <w:spacing w:val="-1"/>
          <w:position w:val="20"/>
        </w:rPr>
        <w:t>3.</w:t>
      </w:r>
      <w:r>
        <w:rPr>
          <w:rFonts w:ascii="YouYuan" w:hAnsi="YouYuan" w:eastAsia="YouYuan" w:cs="YouYuan"/>
          <w:sz w:val="22"/>
          <w:szCs w:val="22"/>
          <w:spacing w:val="-14"/>
          <w:position w:val="20"/>
        </w:rPr>
        <w:t xml:space="preserve"> </w:t>
      </w:r>
      <w:r>
        <w:rPr>
          <w:rFonts w:ascii="YouYuan" w:hAnsi="YouYuan" w:eastAsia="YouYuan" w:cs="YouYuan"/>
          <w:sz w:val="22"/>
          <w:szCs w:val="22"/>
          <w:b/>
          <w:bCs/>
          <w:spacing w:val="-1"/>
          <w:position w:val="20"/>
        </w:rPr>
        <w:t>成熟度等级介绍</w:t>
      </w:r>
    </w:p>
    <w:p>
      <w:pPr>
        <w:ind w:left="40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15"/>
        </w:rPr>
        <w:t xml:space="preserve">  </w:t>
      </w:r>
      <w:r>
        <w:rPr>
          <w:rFonts w:ascii="Times New Roman" w:hAnsi="Times New Roman" w:eastAsia="Times New Roman" w:cs="Times New Roman"/>
          <w:sz w:val="22"/>
          <w:szCs w:val="22"/>
          <w:b/>
          <w:bCs/>
          <w:spacing w:val="-5"/>
        </w:rPr>
        <w:t>1: </w:t>
      </w:r>
      <w:r>
        <w:rPr>
          <w:rFonts w:ascii="SimHei" w:hAnsi="SimHei" w:eastAsia="SimHei" w:cs="SimHei"/>
          <w:sz w:val="22"/>
          <w:szCs w:val="22"/>
          <w:b/>
          <w:bCs/>
          <w:spacing w:val="-5"/>
        </w:rPr>
        <w:t>初始级</w:t>
      </w:r>
    </w:p>
    <w:p>
      <w:pPr>
        <w:spacing w:line="127" w:lineRule="exact"/>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21" w:hRule="atLeast"/>
        </w:trPr>
        <w:tc>
          <w:tcPr>
            <w:tcW w:w="714" w:type="dxa"/>
            <w:vAlign w:val="top"/>
          </w:tcPr>
          <w:p>
            <w:pPr>
              <w:pStyle w:val="TableText"/>
              <w:ind w:left="194"/>
              <w:spacing w:before="92" w:line="221" w:lineRule="auto"/>
              <w:rPr/>
            </w:pPr>
            <w:r>
              <w:rPr>
                <w:spacing w:val="-2"/>
              </w:rPr>
              <w:t>序号</w:t>
            </w:r>
          </w:p>
        </w:tc>
        <w:tc>
          <w:tcPr>
            <w:tcW w:w="3135" w:type="dxa"/>
            <w:vAlign w:val="top"/>
          </w:tcPr>
          <w:p>
            <w:pPr>
              <w:pStyle w:val="TableText"/>
              <w:ind w:left="114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549" w:hRule="atLeast"/>
        </w:trPr>
        <w:tc>
          <w:tcPr>
            <w:tcW w:w="714" w:type="dxa"/>
            <w:vAlign w:val="top"/>
          </w:tcPr>
          <w:p>
            <w:pPr>
              <w:pStyle w:val="TableText"/>
              <w:ind w:left="234"/>
              <w:spacing w:before="238" w:line="184" w:lineRule="auto"/>
              <w:rPr/>
            </w:pPr>
            <w:r>
              <w:rPr>
                <w:spacing w:val="-4"/>
              </w:rPr>
              <w:t>1.1</w:t>
            </w:r>
          </w:p>
        </w:tc>
        <w:tc>
          <w:tcPr>
            <w:tcW w:w="3135" w:type="dxa"/>
            <w:vAlign w:val="top"/>
          </w:tcPr>
          <w:p>
            <w:pPr>
              <w:pStyle w:val="TableText"/>
              <w:ind w:left="131" w:right="153" w:firstLine="109"/>
              <w:spacing w:before="80" w:line="275" w:lineRule="auto"/>
              <w:rPr/>
            </w:pPr>
            <w:r>
              <w:rPr/>
              <w:t>数据治理由部分员工根据工作需要开展，</w:t>
            </w:r>
            <w:r>
              <w:rPr>
                <w:spacing w:val="4"/>
              </w:rPr>
              <w:t xml:space="preserve"> </w:t>
            </w:r>
            <w:r>
              <w:rPr>
                <w:spacing w:val="-1"/>
              </w:rPr>
              <w:t>管理层对实施云端数据治理具有基本的意识</w:t>
            </w:r>
          </w:p>
        </w:tc>
        <w:tc>
          <w:tcPr>
            <w:tcW w:w="3750" w:type="dxa"/>
            <w:vAlign w:val="top"/>
          </w:tcPr>
          <w:p>
            <w:pPr>
              <w:pStyle w:val="TableText"/>
              <w:ind w:left="275"/>
              <w:spacing w:before="199" w:line="219" w:lineRule="auto"/>
              <w:rPr/>
            </w:pPr>
            <w:r>
              <w:rPr/>
              <w:t>●组织角色分配</w:t>
            </w:r>
          </w:p>
        </w:tc>
      </w:tr>
    </w:tbl>
    <w:p>
      <w:pPr>
        <w:ind w:left="29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97" w:firstLine="400"/>
        <w:spacing w:before="49" w:line="252" w:lineRule="auto"/>
        <w:rPr>
          <w:rFonts w:ascii="SimSun" w:hAnsi="SimSun" w:eastAsia="SimSun" w:cs="SimSun"/>
          <w:sz w:val="22"/>
          <w:szCs w:val="22"/>
        </w:rPr>
      </w:pPr>
      <w:r>
        <w:rPr>
          <w:rFonts w:ascii="SimSun" w:hAnsi="SimSun" w:eastAsia="SimSun" w:cs="SimSun"/>
          <w:sz w:val="22"/>
          <w:szCs w:val="22"/>
          <w:spacing w:val="-8"/>
        </w:rPr>
        <w:t>出于工作需要，部分员工对数据开展了基本管理，但并</w:t>
      </w:r>
      <w:r>
        <w:rPr>
          <w:rFonts w:ascii="SimSun" w:hAnsi="SimSun" w:eastAsia="SimSun" w:cs="SimSun"/>
          <w:sz w:val="22"/>
          <w:szCs w:val="22"/>
          <w:spacing w:val="-9"/>
        </w:rPr>
        <w:t>不全面。组织没有针对</w:t>
      </w:r>
      <w:r>
        <w:rPr>
          <w:rFonts w:ascii="SimSun" w:hAnsi="SimSun" w:eastAsia="SimSun" w:cs="SimSun"/>
          <w:sz w:val="22"/>
          <w:szCs w:val="22"/>
        </w:rPr>
        <w:t xml:space="preserve"> </w:t>
      </w:r>
      <w:r>
        <w:rPr>
          <w:rFonts w:ascii="SimSun" w:hAnsi="SimSun" w:eastAsia="SimSun" w:cs="SimSun"/>
          <w:sz w:val="22"/>
          <w:szCs w:val="22"/>
          <w:spacing w:val="-8"/>
        </w:rPr>
        <w:t>数据治理建立专门的数据治理委员会，人员也不是固定或全职从事这项活动的，管</w:t>
      </w:r>
      <w:r>
        <w:rPr>
          <w:rFonts w:ascii="SimSun" w:hAnsi="SimSun" w:eastAsia="SimSun" w:cs="SimSun"/>
          <w:sz w:val="22"/>
          <w:szCs w:val="22"/>
          <w:spacing w:val="18"/>
        </w:rPr>
        <w:t xml:space="preserve"> </w:t>
      </w:r>
      <w:r>
        <w:rPr>
          <w:rFonts w:ascii="SimSun" w:hAnsi="SimSun" w:eastAsia="SimSun" w:cs="SimSun"/>
          <w:sz w:val="22"/>
          <w:szCs w:val="22"/>
          <w:spacing w:val="-11"/>
        </w:rPr>
        <w:t>理层对数据治理的重要性和必要性认识不足。</w:t>
      </w:r>
    </w:p>
    <w:p>
      <w:pPr>
        <w:ind w:left="400"/>
        <w:spacing w:before="63"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32"/>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3"/>
        </w:rPr>
        <w:t>管理级</w:t>
      </w:r>
    </w:p>
    <w:p>
      <w:pPr>
        <w:spacing w:line="118"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5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04" w:type="dxa"/>
            <w:vAlign w:val="top"/>
          </w:tcPr>
          <w:p>
            <w:pPr>
              <w:spacing w:line="326" w:lineRule="auto"/>
              <w:rPr>
                <w:rFonts w:ascii="Arial"/>
                <w:sz w:val="21"/>
              </w:rPr>
            </w:pPr>
            <w:r/>
          </w:p>
          <w:p>
            <w:pPr>
              <w:pStyle w:val="TableText"/>
              <w:ind w:left="224"/>
              <w:spacing w:before="52" w:line="184" w:lineRule="auto"/>
              <w:rPr>
                <w:sz w:val="16"/>
                <w:szCs w:val="16"/>
              </w:rPr>
            </w:pPr>
            <w:r>
              <w:rPr>
                <w:sz w:val="16"/>
                <w:szCs w:val="16"/>
                <w:spacing w:val="-2"/>
              </w:rPr>
              <w:t>2.1</w:t>
            </w:r>
          </w:p>
        </w:tc>
        <w:tc>
          <w:tcPr>
            <w:tcW w:w="3145" w:type="dxa"/>
            <w:vAlign w:val="top"/>
          </w:tcPr>
          <w:p>
            <w:pPr>
              <w:pStyle w:val="TableText"/>
              <w:ind w:left="111" w:right="2" w:firstLine="149"/>
              <w:spacing w:before="218" w:line="266" w:lineRule="auto"/>
              <w:rPr>
                <w:sz w:val="16"/>
                <w:szCs w:val="16"/>
              </w:rPr>
            </w:pPr>
            <w:r>
              <w:rPr>
                <w:sz w:val="16"/>
                <w:szCs w:val="16"/>
                <w:spacing w:val="-1"/>
              </w:rPr>
              <w:t>组织具备开展云端数据治理的基本人员条</w:t>
            </w:r>
            <w:r>
              <w:rPr>
                <w:sz w:val="16"/>
                <w:szCs w:val="16"/>
                <w:spacing w:val="8"/>
              </w:rPr>
              <w:t xml:space="preserve"> </w:t>
            </w:r>
            <w:r>
              <w:rPr>
                <w:sz w:val="16"/>
                <w:szCs w:val="16"/>
              </w:rPr>
              <w:t>件</w:t>
            </w:r>
          </w:p>
        </w:tc>
        <w:tc>
          <w:tcPr>
            <w:tcW w:w="3750" w:type="dxa"/>
            <w:vAlign w:val="top"/>
          </w:tcPr>
          <w:p>
            <w:pPr>
              <w:pStyle w:val="TableText"/>
              <w:ind w:left="276"/>
              <w:spacing w:before="79" w:line="219" w:lineRule="auto"/>
              <w:rPr>
                <w:sz w:val="16"/>
                <w:szCs w:val="16"/>
              </w:rPr>
            </w:pPr>
            <w:r>
              <w:rPr>
                <w:sz w:val="16"/>
                <w:szCs w:val="16"/>
              </w:rPr>
              <w:t>●人员配置管理办法</w:t>
            </w:r>
          </w:p>
          <w:p>
            <w:pPr>
              <w:pStyle w:val="TableText"/>
              <w:ind w:left="276"/>
              <w:spacing w:before="90" w:line="220" w:lineRule="auto"/>
              <w:rPr>
                <w:sz w:val="16"/>
                <w:szCs w:val="16"/>
              </w:rPr>
            </w:pPr>
            <w:r>
              <w:rPr>
                <w:sz w:val="16"/>
                <w:szCs w:val="16"/>
              </w:rPr>
              <w:t>●人员培训计划和培训记录</w:t>
            </w:r>
          </w:p>
          <w:p>
            <w:pPr>
              <w:pStyle w:val="TableText"/>
              <w:ind w:left="276"/>
              <w:spacing w:before="77" w:line="218" w:lineRule="auto"/>
              <w:rPr>
                <w:sz w:val="16"/>
                <w:szCs w:val="16"/>
              </w:rPr>
            </w:pPr>
            <w:r>
              <w:rPr>
                <w:sz w:val="16"/>
                <w:szCs w:val="16"/>
              </w:rPr>
              <w:t>●人员考核与能力评估记录</w:t>
            </w:r>
          </w:p>
        </w:tc>
      </w:tr>
    </w:tbl>
    <w:p>
      <w:pPr>
        <w:ind w:left="29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97" w:firstLine="400"/>
        <w:spacing w:before="51" w:line="253" w:lineRule="auto"/>
        <w:rPr>
          <w:rFonts w:ascii="SimSun" w:hAnsi="SimSun" w:eastAsia="SimSun" w:cs="SimSun"/>
          <w:sz w:val="22"/>
          <w:szCs w:val="22"/>
        </w:rPr>
      </w:pPr>
      <w:r>
        <w:rPr>
          <w:rFonts w:ascii="SimSun" w:hAnsi="SimSun" w:eastAsia="SimSun" w:cs="SimSun"/>
          <w:sz w:val="22"/>
          <w:szCs w:val="22"/>
          <w:spacing w:val="-8"/>
        </w:rPr>
        <w:t>组织具备一些从事与数据相关的人员，能够开展针</w:t>
      </w:r>
      <w:r>
        <w:rPr>
          <w:rFonts w:ascii="SimSun" w:hAnsi="SimSun" w:eastAsia="SimSun" w:cs="SimSun"/>
          <w:sz w:val="22"/>
          <w:szCs w:val="22"/>
          <w:spacing w:val="-9"/>
        </w:rPr>
        <w:t>对各自工作需要的数据管理</w:t>
      </w:r>
      <w:r>
        <w:rPr>
          <w:rFonts w:ascii="SimSun" w:hAnsi="SimSun" w:eastAsia="SimSun" w:cs="SimSun"/>
          <w:sz w:val="22"/>
          <w:szCs w:val="22"/>
        </w:rPr>
        <w:t xml:space="preserve"> </w:t>
      </w:r>
      <w:r>
        <w:rPr>
          <w:rFonts w:ascii="SimSun" w:hAnsi="SimSun" w:eastAsia="SimSun" w:cs="SimSun"/>
          <w:sz w:val="22"/>
          <w:szCs w:val="22"/>
          <w:spacing w:val="-8"/>
        </w:rPr>
        <w:t>并实施人员配置管理措施，但对跨部门或跨业务的数据管理缺乏必要的沟通和统一</w:t>
      </w:r>
      <w:r>
        <w:rPr>
          <w:rFonts w:ascii="SimSun" w:hAnsi="SimSun" w:eastAsia="SimSun" w:cs="SimSun"/>
          <w:sz w:val="22"/>
          <w:szCs w:val="22"/>
          <w:spacing w:val="18"/>
        </w:rPr>
        <w:t xml:space="preserve"> </w:t>
      </w:r>
      <w:r>
        <w:rPr>
          <w:rFonts w:ascii="SimSun" w:hAnsi="SimSun" w:eastAsia="SimSun" w:cs="SimSun"/>
          <w:sz w:val="22"/>
          <w:szCs w:val="22"/>
          <w:spacing w:val="-9"/>
        </w:rPr>
        <w:t>的认识。关键岗位有人员储备，并定义此类人员变更的应对方法。组织能够识别数</w:t>
      </w:r>
      <w:r>
        <w:rPr>
          <w:rFonts w:ascii="SimSun" w:hAnsi="SimSun" w:eastAsia="SimSun" w:cs="SimSun"/>
          <w:sz w:val="22"/>
          <w:szCs w:val="22"/>
          <w:spacing w:val="2"/>
        </w:rPr>
        <w:t xml:space="preserve"> </w:t>
      </w:r>
      <w:r>
        <w:rPr>
          <w:rFonts w:ascii="SimSun" w:hAnsi="SimSun" w:eastAsia="SimSun" w:cs="SimSun"/>
          <w:sz w:val="22"/>
          <w:szCs w:val="22"/>
          <w:spacing w:val="-8"/>
        </w:rPr>
        <w:t>据治理所需要的基础知识、专业知识和综合知识</w:t>
      </w:r>
      <w:r>
        <w:rPr>
          <w:rFonts w:ascii="SimSun" w:hAnsi="SimSun" w:eastAsia="SimSun" w:cs="SimSun"/>
          <w:sz w:val="22"/>
          <w:szCs w:val="22"/>
          <w:spacing w:val="-9"/>
        </w:rPr>
        <w:t>，并采取措施使数据治理主要人员</w:t>
      </w:r>
      <w:r>
        <w:rPr>
          <w:rFonts w:ascii="SimSun" w:hAnsi="SimSun" w:eastAsia="SimSun" w:cs="SimSun"/>
          <w:sz w:val="22"/>
          <w:szCs w:val="22"/>
        </w:rPr>
        <w:t xml:space="preserve"> </w:t>
      </w:r>
      <w:r>
        <w:rPr>
          <w:rFonts w:ascii="SimSun" w:hAnsi="SimSun" w:eastAsia="SimSun" w:cs="SimSun"/>
          <w:sz w:val="22"/>
          <w:szCs w:val="22"/>
          <w:spacing w:val="-8"/>
        </w:rPr>
        <w:t>能够具备这些知识，例如对相关人员开展能力提升培训和管理培训，并定期对人员</w:t>
      </w:r>
      <w:r>
        <w:rPr>
          <w:rFonts w:ascii="SimSun" w:hAnsi="SimSun" w:eastAsia="SimSun" w:cs="SimSun"/>
          <w:sz w:val="22"/>
          <w:szCs w:val="22"/>
          <w:spacing w:val="16"/>
        </w:rPr>
        <w:t xml:space="preserve"> </w:t>
      </w:r>
      <w:r>
        <w:rPr>
          <w:rFonts w:ascii="SimSun" w:hAnsi="SimSun" w:eastAsia="SimSun" w:cs="SimSun"/>
          <w:sz w:val="22"/>
          <w:szCs w:val="22"/>
          <w:spacing w:val="-15"/>
        </w:rPr>
        <w:t>进行绩效考核。</w:t>
      </w:r>
    </w:p>
    <w:p>
      <w:pPr>
        <w:spacing w:line="155"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0"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1"/>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19" w:hRule="atLeast"/>
        </w:trPr>
        <w:tc>
          <w:tcPr>
            <w:tcW w:w="704" w:type="dxa"/>
            <w:vAlign w:val="top"/>
          </w:tcPr>
          <w:p>
            <w:pPr>
              <w:pStyle w:val="TableText"/>
              <w:ind w:left="224"/>
              <w:spacing w:before="122" w:line="183" w:lineRule="auto"/>
              <w:rPr>
                <w:sz w:val="16"/>
                <w:szCs w:val="16"/>
              </w:rPr>
            </w:pPr>
            <w:r>
              <w:rPr>
                <w:sz w:val="16"/>
                <w:szCs w:val="16"/>
                <w:spacing w:val="-2"/>
              </w:rPr>
              <w:t>2.2</w:t>
            </w:r>
          </w:p>
        </w:tc>
        <w:tc>
          <w:tcPr>
            <w:tcW w:w="3145" w:type="dxa"/>
            <w:vAlign w:val="top"/>
          </w:tcPr>
          <w:p>
            <w:pPr>
              <w:pStyle w:val="TableText"/>
              <w:ind w:left="271"/>
              <w:spacing w:before="81" w:line="219" w:lineRule="auto"/>
              <w:rPr>
                <w:sz w:val="16"/>
                <w:szCs w:val="16"/>
              </w:rPr>
            </w:pPr>
            <w:r>
              <w:rPr>
                <w:sz w:val="16"/>
                <w:szCs w:val="16"/>
                <w:spacing w:val="-1"/>
              </w:rPr>
              <w:t>高层管理者意识到数据治理的存在</w:t>
            </w:r>
          </w:p>
        </w:tc>
        <w:tc>
          <w:tcPr>
            <w:tcW w:w="3750" w:type="dxa"/>
            <w:vAlign w:val="top"/>
          </w:tcPr>
          <w:p>
            <w:pPr>
              <w:pStyle w:val="TableText"/>
              <w:ind w:left="266"/>
              <w:spacing w:before="80" w:line="219" w:lineRule="auto"/>
              <w:rPr>
                <w:sz w:val="16"/>
                <w:szCs w:val="16"/>
              </w:rPr>
            </w:pPr>
            <w:r>
              <w:rPr>
                <w:sz w:val="16"/>
                <w:szCs w:val="16"/>
                <w:spacing w:val="1"/>
              </w:rPr>
              <w:t>●会议纪要</w:t>
            </w:r>
          </w:p>
        </w:tc>
      </w:tr>
    </w:tbl>
    <w:p>
      <w:pPr>
        <w:ind w:left="290"/>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right="268" w:firstLine="400"/>
        <w:spacing w:before="49" w:line="252" w:lineRule="auto"/>
        <w:rPr>
          <w:rFonts w:ascii="SimSun" w:hAnsi="SimSun" w:eastAsia="SimSun" w:cs="SimSun"/>
          <w:sz w:val="22"/>
          <w:szCs w:val="22"/>
        </w:rPr>
      </w:pPr>
      <w:r>
        <w:rPr>
          <w:rFonts w:ascii="SimSun" w:hAnsi="SimSun" w:eastAsia="SimSun" w:cs="SimSun"/>
          <w:sz w:val="22"/>
          <w:szCs w:val="22"/>
          <w:spacing w:val="-8"/>
        </w:rPr>
        <w:t>组织基于业务或其他原因，被动地实施了数据治理项目。</w:t>
      </w:r>
      <w:r>
        <w:rPr>
          <w:rFonts w:ascii="SimSun" w:hAnsi="SimSun" w:eastAsia="SimSun" w:cs="SimSun"/>
          <w:sz w:val="22"/>
          <w:szCs w:val="22"/>
          <w:spacing w:val="-9"/>
        </w:rPr>
        <w:t>高层管理者通过职务 </w:t>
      </w:r>
      <w:r>
        <w:rPr>
          <w:rFonts w:ascii="SimSun" w:hAnsi="SimSun" w:eastAsia="SimSun" w:cs="SimSun"/>
          <w:sz w:val="22"/>
          <w:szCs w:val="22"/>
          <w:spacing w:val="-7"/>
        </w:rPr>
        <w:t>上的管理职责意识到数据治理的存在，但对数据治理项目没有充分的认识，不会主</w:t>
      </w:r>
      <w:r>
        <w:rPr>
          <w:rFonts w:ascii="SimSun" w:hAnsi="SimSun" w:eastAsia="SimSun" w:cs="SimSun"/>
          <w:sz w:val="22"/>
          <w:szCs w:val="22"/>
          <w:spacing w:val="12"/>
        </w:rPr>
        <w:t xml:space="preserve"> </w:t>
      </w:r>
      <w:r>
        <w:rPr>
          <w:rFonts w:ascii="SimSun" w:hAnsi="SimSun" w:eastAsia="SimSun" w:cs="SimSun"/>
          <w:sz w:val="22"/>
          <w:szCs w:val="22"/>
          <w:spacing w:val="-12"/>
        </w:rPr>
        <w:t>动积极推进数据治理工作的开展。</w:t>
      </w:r>
    </w:p>
    <w:p>
      <w:pPr>
        <w:ind w:left="400"/>
        <w:spacing w:before="44" w:line="221" w:lineRule="auto"/>
        <w:rPr>
          <w:rFonts w:ascii="SimHei" w:hAnsi="SimHei" w:eastAsia="SimHei" w:cs="SimHei"/>
          <w:sz w:val="22"/>
          <w:szCs w:val="22"/>
        </w:rPr>
      </w:pPr>
      <w:r>
        <w:rPr>
          <w:rFonts w:ascii="Times New Roman" w:hAnsi="Times New Roman" w:eastAsia="Times New Roman" w:cs="Times New Roman"/>
          <w:sz w:val="22"/>
          <w:szCs w:val="22"/>
          <w:b/>
          <w:bCs/>
          <w:spacing w:val="-2"/>
        </w:rPr>
        <w:t>Level  3: </w:t>
      </w:r>
      <w:r>
        <w:rPr>
          <w:rFonts w:ascii="SimHei" w:hAnsi="SimHei" w:eastAsia="SimHei" w:cs="SimHei"/>
          <w:sz w:val="22"/>
          <w:szCs w:val="22"/>
          <w:b/>
          <w:bCs/>
          <w:spacing w:val="-2"/>
        </w:rPr>
        <w:t>定义级</w:t>
      </w:r>
    </w:p>
    <w:p>
      <w:pPr>
        <w:spacing w:line="108" w:lineRule="exact"/>
        <w:rPr/>
      </w:pPr>
      <w:r/>
    </w:p>
    <w:tbl>
      <w:tblPr>
        <w:tblStyle w:val="TableNormal"/>
        <w:tblW w:w="759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5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48" w:hRule="atLeast"/>
        </w:trPr>
        <w:tc>
          <w:tcPr>
            <w:tcW w:w="704" w:type="dxa"/>
            <w:vAlign w:val="top"/>
          </w:tcPr>
          <w:p>
            <w:pPr>
              <w:spacing w:line="335" w:lineRule="auto"/>
              <w:rPr>
                <w:rFonts w:ascii="Arial"/>
                <w:sz w:val="21"/>
              </w:rPr>
            </w:pPr>
            <w:r/>
          </w:p>
          <w:p>
            <w:pPr>
              <w:pStyle w:val="TableText"/>
              <w:ind w:left="224"/>
              <w:spacing w:before="52" w:line="184" w:lineRule="auto"/>
              <w:rPr>
                <w:sz w:val="16"/>
                <w:szCs w:val="16"/>
              </w:rPr>
            </w:pPr>
            <w:r>
              <w:rPr>
                <w:sz w:val="16"/>
                <w:szCs w:val="16"/>
                <w:spacing w:val="-3"/>
              </w:rPr>
              <w:t>3.1</w:t>
            </w:r>
          </w:p>
        </w:tc>
        <w:tc>
          <w:tcPr>
            <w:tcW w:w="3145" w:type="dxa"/>
            <w:vAlign w:val="top"/>
          </w:tcPr>
          <w:p>
            <w:pPr>
              <w:pStyle w:val="TableText"/>
              <w:ind w:left="110" w:firstLine="159"/>
              <w:spacing w:before="229" w:line="271" w:lineRule="auto"/>
              <w:rPr>
                <w:sz w:val="16"/>
                <w:szCs w:val="16"/>
              </w:rPr>
            </w:pPr>
            <w:r>
              <w:rPr>
                <w:sz w:val="16"/>
                <w:szCs w:val="16"/>
                <w:spacing w:val="-1"/>
              </w:rPr>
              <w:t>组建了数据治理负责团队，明确了数据治</w:t>
            </w:r>
            <w:r>
              <w:rPr>
                <w:sz w:val="16"/>
                <w:szCs w:val="16"/>
                <w:spacing w:val="1"/>
              </w:rPr>
              <w:t xml:space="preserve"> </w:t>
            </w:r>
            <w:r>
              <w:rPr>
                <w:sz w:val="16"/>
                <w:szCs w:val="16"/>
                <w:spacing w:val="-1"/>
              </w:rPr>
              <w:t>理相关岗位的职责以及任职资格要求</w:t>
            </w:r>
          </w:p>
        </w:tc>
        <w:tc>
          <w:tcPr>
            <w:tcW w:w="3750" w:type="dxa"/>
            <w:vAlign w:val="top"/>
          </w:tcPr>
          <w:p>
            <w:pPr>
              <w:pStyle w:val="TableText"/>
              <w:ind w:left="266"/>
              <w:spacing w:before="88" w:line="219" w:lineRule="auto"/>
              <w:rPr>
                <w:sz w:val="16"/>
                <w:szCs w:val="16"/>
              </w:rPr>
            </w:pPr>
            <w:r>
              <w:rPr>
                <w:sz w:val="16"/>
                <w:szCs w:val="16"/>
                <w:spacing w:val="1"/>
              </w:rPr>
              <w:t>●组织章程</w:t>
            </w:r>
          </w:p>
          <w:p>
            <w:pPr>
              <w:pStyle w:val="TableText"/>
              <w:ind w:left="266"/>
              <w:spacing w:before="91" w:line="219" w:lineRule="auto"/>
              <w:rPr>
                <w:sz w:val="16"/>
                <w:szCs w:val="16"/>
              </w:rPr>
            </w:pPr>
            <w:r>
              <w:rPr>
                <w:sz w:val="16"/>
                <w:szCs w:val="16"/>
                <w:spacing w:val="1"/>
              </w:rPr>
              <w:t>●数据治理组织架构</w:t>
            </w:r>
          </w:p>
          <w:p>
            <w:pPr>
              <w:pStyle w:val="TableText"/>
              <w:ind w:left="266"/>
              <w:spacing w:before="89" w:line="218" w:lineRule="auto"/>
              <w:rPr>
                <w:sz w:val="16"/>
                <w:szCs w:val="16"/>
              </w:rPr>
            </w:pPr>
            <w:r>
              <w:rPr>
                <w:sz w:val="16"/>
                <w:szCs w:val="16"/>
              </w:rPr>
              <w:t>●数据治理角色与职责分配</w:t>
            </w:r>
          </w:p>
        </w:tc>
      </w:tr>
    </w:tbl>
    <w:p>
      <w:pPr>
        <w:pStyle w:val="BodyText"/>
        <w:rPr/>
      </w:pPr>
      <w:r/>
    </w:p>
    <w:p>
      <w:pPr>
        <w:sectPr>
          <w:footerReference w:type="default" r:id="rId152"/>
          <w:pgSz w:w="8870" w:h="13400"/>
          <w:pgMar w:top="400" w:right="380" w:bottom="494" w:left="540" w:header="0" w:footer="276" w:gutter="0"/>
        </w:sectPr>
        <w:rPr/>
      </w:pPr>
    </w:p>
    <w:p>
      <w:pPr>
        <w:ind w:left="140"/>
        <w:spacing w:before="220"/>
        <w:rPr>
          <w:rFonts w:ascii="SimSun" w:hAnsi="SimSun" w:eastAsia="SimSun" w:cs="SimSun"/>
          <w:sz w:val="21"/>
          <w:szCs w:val="21"/>
        </w:rPr>
      </w:pPr>
      <w:r>
        <w:rPr>
          <w:rFonts w:ascii="SimSun" w:hAnsi="SimSun" w:eastAsia="SimSun" w:cs="SimSun"/>
          <w:sz w:val="21"/>
          <w:szCs w:val="21"/>
          <w:position w:val="-10"/>
        </w:rPr>
        <w:drawing>
          <wp:inline distT="0" distB="0" distL="0" distR="0">
            <wp:extent cx="6308" cy="234933"/>
            <wp:effectExtent l="0" t="0" r="0" b="0"/>
            <wp:docPr id="124" name="IM 124"/>
            <wp:cNvGraphicFramePr/>
            <a:graphic>
              <a:graphicData uri="http://schemas.openxmlformats.org/drawingml/2006/picture">
                <pic:pic>
                  <pic:nvPicPr>
                    <pic:cNvPr id="124" name="IM 124"/>
                    <pic:cNvPicPr/>
                  </pic:nvPicPr>
                  <pic:blipFill>
                    <a:blip r:embed="rId154"/>
                    <a:stretch>
                      <a:fillRect/>
                    </a:stretch>
                  </pic:blipFill>
                  <pic:spPr>
                    <a:xfrm rot="0">
                      <a:off x="0" y="0"/>
                      <a:ext cx="6308" cy="234933"/>
                    </a:xfrm>
                    <a:prstGeom prst="rect">
                      <a:avLst/>
                    </a:prstGeom>
                  </pic:spPr>
                </pic:pic>
              </a:graphicData>
            </a:graphic>
          </wp:inline>
        </w:drawing>
      </w:r>
      <w:r>
        <w:rPr>
          <w:rFonts w:ascii="SimSun" w:hAnsi="SimSun" w:eastAsia="SimSun" w:cs="SimSun"/>
          <w:sz w:val="21"/>
          <w:szCs w:val="21"/>
          <w:spacing w:val="-16"/>
        </w:rPr>
        <w:t xml:space="preserve"> </w:t>
      </w:r>
      <w:r>
        <w:rPr>
          <w:rFonts w:ascii="SimSun" w:hAnsi="SimSun" w:eastAsia="SimSun" w:cs="SimSun"/>
          <w:sz w:val="21"/>
          <w:szCs w:val="21"/>
          <w:b/>
          <w:bCs/>
          <w:spacing w:val="-27"/>
        </w:rPr>
        <w:t>■云端数据治理■</w:t>
      </w:r>
    </w:p>
    <w:p>
      <w:pPr>
        <w:ind w:left="595"/>
        <w:spacing w:before="298" w:line="219" w:lineRule="auto"/>
        <w:rPr>
          <w:rFonts w:ascii="SimSun" w:hAnsi="SimSun" w:eastAsia="SimSun" w:cs="SimSun"/>
          <w:sz w:val="21"/>
          <w:szCs w:val="21"/>
        </w:rPr>
      </w:pPr>
      <w:r>
        <w:rPr>
          <w:rFonts w:ascii="SimSun" w:hAnsi="SimSun" w:eastAsia="SimSun" w:cs="SimSun"/>
          <w:sz w:val="21"/>
          <w:szCs w:val="21"/>
        </w:rPr>
        <w:t>【成熟度等级说明】</w:t>
      </w:r>
    </w:p>
    <w:p>
      <w:pPr>
        <w:ind w:left="299" w:firstLine="400"/>
        <w:spacing w:before="49" w:line="262" w:lineRule="auto"/>
        <w:rPr>
          <w:rFonts w:ascii="SimSun" w:hAnsi="SimSun" w:eastAsia="SimSun" w:cs="SimSun"/>
          <w:sz w:val="21"/>
          <w:szCs w:val="21"/>
        </w:rPr>
      </w:pPr>
      <w:r>
        <w:rPr>
          <w:rFonts w:ascii="SimSun" w:hAnsi="SimSun" w:eastAsia="SimSun" w:cs="SimSun"/>
          <w:sz w:val="21"/>
          <w:szCs w:val="21"/>
          <w:spacing w:val="2"/>
        </w:rPr>
        <w:t>组织组建了包括数据治理委员会、数据治理工作组和基层数据</w:t>
      </w:r>
      <w:r>
        <w:rPr>
          <w:rFonts w:ascii="SimSun" w:hAnsi="SimSun" w:eastAsia="SimSun" w:cs="SimSun"/>
          <w:sz w:val="21"/>
          <w:szCs w:val="21"/>
          <w:spacing w:val="1"/>
        </w:rPr>
        <w:t>治理专员的三层</w:t>
      </w:r>
      <w:r>
        <w:rPr>
          <w:rFonts w:ascii="SimSun" w:hAnsi="SimSun" w:eastAsia="SimSun" w:cs="SimSun"/>
          <w:sz w:val="21"/>
          <w:szCs w:val="21"/>
        </w:rPr>
        <w:t xml:space="preserve"> </w:t>
      </w:r>
      <w:r>
        <w:rPr>
          <w:rFonts w:ascii="SimSun" w:hAnsi="SimSun" w:eastAsia="SimSun" w:cs="SimSun"/>
          <w:sz w:val="21"/>
          <w:szCs w:val="21"/>
          <w:spacing w:val="1"/>
        </w:rPr>
        <w:t>数据治理团队，这些角色可以由新任命的人员来充当，也可以来源于既有的相关岗</w:t>
      </w:r>
      <w:r>
        <w:rPr>
          <w:rFonts w:ascii="SimSun" w:hAnsi="SimSun" w:eastAsia="SimSun" w:cs="SimSun"/>
          <w:sz w:val="21"/>
          <w:szCs w:val="21"/>
          <w:spacing w:val="17"/>
        </w:rPr>
        <w:t xml:space="preserve"> </w:t>
      </w:r>
      <w:r>
        <w:rPr>
          <w:rFonts w:ascii="SimSun" w:hAnsi="SimSun" w:eastAsia="SimSun" w:cs="SimSun"/>
          <w:sz w:val="21"/>
          <w:szCs w:val="21"/>
          <w:spacing w:val="3"/>
        </w:rPr>
        <w:t>位人员(作为补充职责)。如首席数据官可</w:t>
      </w:r>
      <w:r>
        <w:rPr>
          <w:rFonts w:ascii="SimSun" w:hAnsi="SimSun" w:eastAsia="SimSun" w:cs="SimSun"/>
          <w:sz w:val="21"/>
          <w:szCs w:val="21"/>
          <w:spacing w:val="2"/>
        </w:rPr>
        <w:t>能是原有信息治理委员会的首席信息官，</w:t>
      </w:r>
      <w:r>
        <w:rPr>
          <w:rFonts w:ascii="SimSun" w:hAnsi="SimSun" w:eastAsia="SimSun" w:cs="SimSun"/>
          <w:sz w:val="21"/>
          <w:szCs w:val="21"/>
        </w:rPr>
        <w:t xml:space="preserve"> </w:t>
      </w:r>
      <w:r>
        <w:rPr>
          <w:rFonts w:ascii="SimSun" w:hAnsi="SimSun" w:eastAsia="SimSun" w:cs="SimSun"/>
          <w:sz w:val="21"/>
          <w:szCs w:val="21"/>
          <w:spacing w:val="2"/>
        </w:rPr>
        <w:t>不过其职责已经新增了数据治理的相关权限和义务。组建的三层数据治</w:t>
      </w:r>
      <w:r>
        <w:rPr>
          <w:rFonts w:ascii="SimSun" w:hAnsi="SimSun" w:eastAsia="SimSun" w:cs="SimSun"/>
          <w:sz w:val="21"/>
          <w:szCs w:val="21"/>
          <w:spacing w:val="1"/>
        </w:rPr>
        <w:t>理团队，每</w:t>
      </w:r>
      <w:r>
        <w:rPr>
          <w:rFonts w:ascii="SimSun" w:hAnsi="SimSun" w:eastAsia="SimSun" w:cs="SimSun"/>
          <w:sz w:val="21"/>
          <w:szCs w:val="21"/>
        </w:rPr>
        <w:t xml:space="preserve"> </w:t>
      </w:r>
      <w:r>
        <w:rPr>
          <w:rFonts w:ascii="SimSun" w:hAnsi="SimSun" w:eastAsia="SimSun" w:cs="SimSun"/>
          <w:sz w:val="21"/>
          <w:szCs w:val="21"/>
          <w:spacing w:val="-2"/>
        </w:rPr>
        <w:t>个岗位的职责都被明确界定，并给出了任职的要求。</w:t>
      </w:r>
    </w:p>
    <w:p>
      <w:pPr>
        <w:ind w:left="700"/>
        <w:spacing w:before="89" w:line="219" w:lineRule="auto"/>
        <w:rPr>
          <w:rFonts w:ascii="SimSun" w:hAnsi="SimSun" w:eastAsia="SimSun" w:cs="SimSun"/>
          <w:sz w:val="21"/>
          <w:szCs w:val="21"/>
        </w:rPr>
      </w:pPr>
      <w:r>
        <w:rPr>
          <w:rFonts w:ascii="SimSun" w:hAnsi="SimSun" w:eastAsia="SimSun" w:cs="SimSun"/>
          <w:sz w:val="21"/>
          <w:szCs w:val="21"/>
          <w:spacing w:val="-2"/>
        </w:rPr>
        <w:t>下表给出了一个组织数据治理角色与职责分配的简要范例。</w:t>
      </w:r>
    </w:p>
    <w:p>
      <w:pPr>
        <w:ind w:left="2802"/>
        <w:spacing w:before="107" w:line="221" w:lineRule="auto"/>
        <w:rPr>
          <w:rFonts w:ascii="SimHei" w:hAnsi="SimHei" w:eastAsia="SimHei" w:cs="SimHei"/>
          <w:sz w:val="21"/>
          <w:szCs w:val="21"/>
        </w:rPr>
      </w:pPr>
      <w:r>
        <w:rPr>
          <w:rFonts w:ascii="SimHei" w:hAnsi="SimHei" w:eastAsia="SimHei" w:cs="SimHei"/>
          <w:sz w:val="21"/>
          <w:szCs w:val="21"/>
          <w:b/>
          <w:bCs/>
          <w:spacing w:val="-18"/>
          <w:w w:val="96"/>
        </w:rPr>
        <w:t>表4-1</w:t>
      </w:r>
      <w:r>
        <w:rPr>
          <w:rFonts w:ascii="SimHei" w:hAnsi="SimHei" w:eastAsia="SimHei" w:cs="SimHei"/>
          <w:sz w:val="21"/>
          <w:szCs w:val="21"/>
          <w:spacing w:val="79"/>
        </w:rPr>
        <w:t xml:space="preserve"> </w:t>
      </w:r>
      <w:r>
        <w:rPr>
          <w:rFonts w:ascii="SimHei" w:hAnsi="SimHei" w:eastAsia="SimHei" w:cs="SimHei"/>
          <w:sz w:val="21"/>
          <w:szCs w:val="21"/>
          <w:b/>
          <w:bCs/>
          <w:spacing w:val="-18"/>
          <w:w w:val="96"/>
        </w:rPr>
        <w:t>数据治理角色与职责分配</w:t>
      </w:r>
    </w:p>
    <w:p>
      <w:pPr>
        <w:spacing w:line="80" w:lineRule="exact"/>
        <w:rPr/>
      </w:pPr>
      <w:r/>
    </w:p>
    <w:tbl>
      <w:tblPr>
        <w:tblStyle w:val="TableNormal"/>
        <w:tblW w:w="759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3"/>
        <w:gridCol w:w="1388"/>
        <w:gridCol w:w="4768"/>
      </w:tblGrid>
      <w:tr>
        <w:trPr>
          <w:trHeight w:val="325" w:hRule="atLeast"/>
        </w:trPr>
        <w:tc>
          <w:tcPr>
            <w:tcW w:w="1443" w:type="dxa"/>
            <w:vAlign w:val="top"/>
          </w:tcPr>
          <w:p>
            <w:pPr>
              <w:pStyle w:val="TableText"/>
              <w:ind w:left="295"/>
              <w:spacing w:before="91" w:line="220" w:lineRule="auto"/>
              <w:rPr/>
            </w:pPr>
            <w:r>
              <w:rPr>
                <w:spacing w:val="-6"/>
              </w:rPr>
              <w:t>组</w:t>
            </w:r>
            <w:r>
              <w:rPr>
                <w:spacing w:val="19"/>
              </w:rPr>
              <w:t xml:space="preserve"> </w:t>
            </w:r>
            <w:r>
              <w:rPr>
                <w:spacing w:val="-6"/>
              </w:rPr>
              <w:t>织</w:t>
            </w:r>
            <w:r>
              <w:rPr>
                <w:spacing w:val="18"/>
              </w:rPr>
              <w:t xml:space="preserve"> </w:t>
            </w:r>
            <w:r>
              <w:rPr>
                <w:spacing w:val="-6"/>
              </w:rPr>
              <w:t>架</w:t>
            </w:r>
            <w:r>
              <w:rPr>
                <w:spacing w:val="18"/>
              </w:rPr>
              <w:t xml:space="preserve"> </w:t>
            </w:r>
            <w:r>
              <w:rPr>
                <w:spacing w:val="-6"/>
              </w:rPr>
              <w:t>构</w:t>
            </w:r>
          </w:p>
        </w:tc>
        <w:tc>
          <w:tcPr>
            <w:tcW w:w="1388" w:type="dxa"/>
            <w:vAlign w:val="top"/>
          </w:tcPr>
          <w:p>
            <w:pPr>
              <w:pStyle w:val="TableText"/>
              <w:ind w:left="422"/>
              <w:spacing w:before="90" w:line="219" w:lineRule="auto"/>
              <w:rPr/>
            </w:pPr>
            <w:r>
              <w:rPr>
                <w:spacing w:val="-5"/>
              </w:rPr>
              <w:t>角</w:t>
            </w:r>
            <w:r>
              <w:rPr>
                <w:spacing w:val="2"/>
              </w:rPr>
              <w:t xml:space="preserve">   </w:t>
            </w:r>
            <w:r>
              <w:rPr>
                <w:spacing w:val="-5"/>
              </w:rPr>
              <w:t>色</w:t>
            </w:r>
          </w:p>
        </w:tc>
        <w:tc>
          <w:tcPr>
            <w:tcW w:w="4768" w:type="dxa"/>
            <w:vAlign w:val="top"/>
          </w:tcPr>
          <w:p>
            <w:pPr>
              <w:pStyle w:val="TableText"/>
              <w:ind w:left="1974"/>
              <w:spacing w:before="92" w:line="221" w:lineRule="auto"/>
              <w:rPr/>
            </w:pPr>
            <w:r>
              <w:rPr>
                <w:spacing w:val="-5"/>
              </w:rPr>
              <w:t>主</w:t>
            </w:r>
            <w:r>
              <w:rPr>
                <w:spacing w:val="17"/>
              </w:rPr>
              <w:t xml:space="preserve"> </w:t>
            </w:r>
            <w:r>
              <w:rPr>
                <w:spacing w:val="-5"/>
              </w:rPr>
              <w:t>要</w:t>
            </w:r>
            <w:r>
              <w:rPr>
                <w:spacing w:val="17"/>
              </w:rPr>
              <w:t xml:space="preserve"> </w:t>
            </w:r>
            <w:r>
              <w:rPr>
                <w:spacing w:val="-5"/>
              </w:rPr>
              <w:t>职</w:t>
            </w:r>
            <w:r>
              <w:rPr>
                <w:spacing w:val="21"/>
              </w:rPr>
              <w:t xml:space="preserve"> </w:t>
            </w:r>
            <w:r>
              <w:rPr>
                <w:spacing w:val="-5"/>
              </w:rPr>
              <w:t>责</w:t>
            </w:r>
          </w:p>
        </w:tc>
      </w:tr>
      <w:tr>
        <w:trPr>
          <w:trHeight w:val="1108" w:hRule="atLeast"/>
        </w:trPr>
        <w:tc>
          <w:tcPr>
            <w:tcW w:w="1443" w:type="dxa"/>
            <w:vAlign w:val="top"/>
            <w:vMerge w:val="restart"/>
            <w:tcBorders>
              <w:bottom w:val="nil"/>
            </w:tcBorders>
          </w:tcPr>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pStyle w:val="TableText"/>
              <w:ind w:left="184"/>
              <w:spacing w:before="49" w:line="219" w:lineRule="auto"/>
              <w:rPr/>
            </w:pPr>
            <w:r>
              <w:rPr>
                <w:spacing w:val="-1"/>
              </w:rPr>
              <w:t>数据治理委员会</w:t>
            </w:r>
          </w:p>
        </w:tc>
        <w:tc>
          <w:tcPr>
            <w:tcW w:w="1388" w:type="dxa"/>
            <w:vAlign w:val="top"/>
          </w:tcPr>
          <w:p>
            <w:pPr>
              <w:spacing w:line="424" w:lineRule="auto"/>
              <w:rPr>
                <w:rFonts w:ascii="Arial"/>
                <w:sz w:val="21"/>
              </w:rPr>
            </w:pPr>
            <w:r/>
          </w:p>
          <w:p>
            <w:pPr>
              <w:pStyle w:val="TableText"/>
              <w:ind w:left="312"/>
              <w:spacing w:before="49" w:line="219" w:lineRule="auto"/>
              <w:rPr/>
            </w:pPr>
            <w:r>
              <w:rPr>
                <w:spacing w:val="-2"/>
              </w:rPr>
              <w:t>首席信息官</w:t>
            </w:r>
          </w:p>
        </w:tc>
        <w:tc>
          <w:tcPr>
            <w:tcW w:w="4768" w:type="dxa"/>
            <w:vAlign w:val="top"/>
          </w:tcPr>
          <w:p>
            <w:pPr>
              <w:pStyle w:val="TableText"/>
              <w:ind w:left="264" w:right="202" w:firstLine="9"/>
              <w:spacing w:before="65" w:line="287" w:lineRule="auto"/>
              <w:rPr/>
            </w:pPr>
            <w:r>
              <w:rPr/>
              <w:t>(1)挖掘组织信息资源、制订组织信息化战略、合理布局组织信息</w:t>
            </w:r>
            <w:r>
              <w:rPr>
                <w:spacing w:val="5"/>
              </w:rPr>
              <w:t xml:space="preserve"> </w:t>
            </w:r>
            <w:r>
              <w:rPr>
                <w:spacing w:val="5"/>
              </w:rPr>
              <w:t>化、评估信息化对组织的价值；</w:t>
            </w:r>
          </w:p>
          <w:p>
            <w:pPr>
              <w:pStyle w:val="TableText"/>
              <w:ind w:left="264"/>
              <w:spacing w:before="103" w:line="279" w:lineRule="exact"/>
              <w:rPr/>
            </w:pPr>
            <w:r>
              <w:rPr>
                <w:spacing w:val="3"/>
                <w:position w:val="9"/>
              </w:rPr>
              <w:t>(2)统筹数据治理全面工作，协调数据治理实施；</w:t>
            </w:r>
          </w:p>
          <w:p>
            <w:pPr>
              <w:pStyle w:val="TableText"/>
              <w:ind w:left="264"/>
              <w:spacing w:line="217" w:lineRule="auto"/>
              <w:rPr/>
            </w:pPr>
            <w:r>
              <w:rPr/>
              <w:t>(3)评估数据治理输出，调整数据治理战略等。</w:t>
            </w:r>
          </w:p>
        </w:tc>
      </w:tr>
      <w:tr>
        <w:trPr>
          <w:trHeight w:val="1708" w:hRule="atLeast"/>
        </w:trPr>
        <w:tc>
          <w:tcPr>
            <w:tcW w:w="1443" w:type="dxa"/>
            <w:vAlign w:val="top"/>
            <w:vMerge w:val="continue"/>
            <w:tcBorders>
              <w:top w:val="nil"/>
              <w:bottom w:val="nil"/>
            </w:tcBorders>
          </w:tcPr>
          <w:p>
            <w:pPr>
              <w:rPr>
                <w:rFonts w:ascii="Arial"/>
                <w:sz w:val="21"/>
              </w:rPr>
            </w:pPr>
            <w:r/>
          </w:p>
        </w:tc>
        <w:tc>
          <w:tcPr>
            <w:tcW w:w="1388" w:type="dxa"/>
            <w:vAlign w:val="top"/>
          </w:tcPr>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61"/>
              <w:spacing w:before="48" w:line="219" w:lineRule="auto"/>
              <w:rPr/>
            </w:pPr>
            <w:r>
              <w:rPr>
                <w:spacing w:val="-2"/>
              </w:rPr>
              <w:t>首席信息安全官</w:t>
            </w:r>
          </w:p>
        </w:tc>
        <w:tc>
          <w:tcPr>
            <w:tcW w:w="4768" w:type="dxa"/>
            <w:vAlign w:val="top"/>
          </w:tcPr>
          <w:p>
            <w:pPr>
              <w:pStyle w:val="TableText"/>
              <w:ind w:left="264"/>
              <w:spacing w:before="88" w:line="220" w:lineRule="auto"/>
              <w:rPr/>
            </w:pPr>
            <w:r>
              <w:rPr>
                <w:spacing w:val="4"/>
              </w:rPr>
              <w:t>(1)指派和领导</w:t>
            </w:r>
            <w:r>
              <w:rPr/>
              <w:t>IT</w:t>
            </w:r>
            <w:r>
              <w:rPr>
                <w:spacing w:val="4"/>
              </w:rPr>
              <w:t>安全专家团队；</w:t>
            </w:r>
          </w:p>
          <w:p>
            <w:pPr>
              <w:pStyle w:val="TableText"/>
              <w:ind w:left="264"/>
              <w:spacing w:before="110" w:line="219" w:lineRule="auto"/>
              <w:rPr/>
            </w:pPr>
            <w:r>
              <w:rPr>
                <w:spacing w:val="2"/>
              </w:rPr>
              <w:t>(2)监督开发和维护组织信息安全政策、标准和程序；</w:t>
            </w:r>
          </w:p>
          <w:p>
            <w:pPr>
              <w:pStyle w:val="TableText"/>
              <w:ind w:left="264"/>
              <w:spacing w:before="102" w:line="219" w:lineRule="auto"/>
              <w:rPr/>
            </w:pPr>
            <w:r>
              <w:rPr>
                <w:spacing w:val="4"/>
              </w:rPr>
              <w:t>(3)建立一个</w:t>
            </w:r>
            <w:r>
              <w:rPr/>
              <w:t>IT</w:t>
            </w:r>
            <w:r>
              <w:rPr>
                <w:spacing w:val="4"/>
              </w:rPr>
              <w:t>安全风险管理体系；</w:t>
            </w:r>
          </w:p>
          <w:p>
            <w:pPr>
              <w:pStyle w:val="TableText"/>
              <w:ind w:left="264"/>
              <w:spacing w:before="122" w:line="220" w:lineRule="auto"/>
              <w:rPr/>
            </w:pPr>
            <w:r>
              <w:rPr>
                <w:spacing w:val="3"/>
              </w:rPr>
              <w:t>(4)开发安全策略、处理安全事故和协调调查</w:t>
            </w:r>
            <w:r>
              <w:rPr>
                <w:spacing w:val="2"/>
              </w:rPr>
              <w:t>活动；</w:t>
            </w:r>
          </w:p>
          <w:p>
            <w:pPr>
              <w:pStyle w:val="TableText"/>
              <w:ind w:left="104" w:right="207" w:firstLine="169"/>
              <w:spacing w:before="90" w:line="276" w:lineRule="auto"/>
              <w:rPr/>
            </w:pPr>
            <w:r>
              <w:rPr/>
              <w:t>(5)将数据作为组织的一项重要资产，制订并实施数据安全保护策 </w:t>
            </w:r>
            <w:r>
              <w:rPr>
                <w:spacing w:val="-2"/>
              </w:rPr>
              <w:t>略等。</w:t>
            </w:r>
          </w:p>
        </w:tc>
      </w:tr>
      <w:tr>
        <w:trPr>
          <w:trHeight w:val="309" w:hRule="atLeast"/>
        </w:trPr>
        <w:tc>
          <w:tcPr>
            <w:tcW w:w="1443" w:type="dxa"/>
            <w:vAlign w:val="top"/>
            <w:vMerge w:val="continue"/>
            <w:tcBorders>
              <w:top w:val="nil"/>
            </w:tcBorders>
          </w:tcPr>
          <w:p>
            <w:pPr>
              <w:rPr>
                <w:rFonts w:ascii="Arial"/>
                <w:sz w:val="21"/>
              </w:rPr>
            </w:pPr>
            <w:r/>
          </w:p>
        </w:tc>
        <w:tc>
          <w:tcPr>
            <w:tcW w:w="6156" w:type="dxa"/>
            <w:vAlign w:val="top"/>
            <w:gridSpan w:val="2"/>
          </w:tcPr>
          <w:p>
            <w:pPr>
              <w:pStyle w:val="TableText"/>
              <w:ind w:left="3022"/>
              <w:spacing w:before="125" w:line="111" w:lineRule="exact"/>
              <w:rPr>
                <w:sz w:val="8"/>
                <w:szCs w:val="8"/>
              </w:rPr>
            </w:pPr>
            <w:r>
              <w:rPr>
                <w:sz w:val="8"/>
                <w:szCs w:val="8"/>
              </w:rPr>
              <w:t>*</w:t>
            </w:r>
          </w:p>
        </w:tc>
      </w:tr>
      <w:tr>
        <w:trPr>
          <w:trHeight w:val="1098" w:hRule="atLeast"/>
        </w:trPr>
        <w:tc>
          <w:tcPr>
            <w:tcW w:w="1443" w:type="dxa"/>
            <w:vAlign w:val="top"/>
            <w:vMerge w:val="restart"/>
            <w:tcBorders>
              <w:bottom w:val="nil"/>
            </w:tcBorders>
          </w:tcPr>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TableText"/>
              <w:ind w:left="184"/>
              <w:spacing w:before="49" w:line="219" w:lineRule="auto"/>
              <w:rPr/>
            </w:pPr>
            <w:r>
              <w:rPr>
                <w:spacing w:val="-1"/>
              </w:rPr>
              <w:t>数据治理工作组</w:t>
            </w:r>
          </w:p>
        </w:tc>
        <w:tc>
          <w:tcPr>
            <w:tcW w:w="1388" w:type="dxa"/>
            <w:vAlign w:val="top"/>
          </w:tcPr>
          <w:p>
            <w:pPr>
              <w:spacing w:line="429" w:lineRule="auto"/>
              <w:rPr>
                <w:rFonts w:ascii="Arial"/>
                <w:sz w:val="21"/>
              </w:rPr>
            </w:pPr>
            <w:r/>
          </w:p>
          <w:p>
            <w:pPr>
              <w:pStyle w:val="TableText"/>
              <w:ind w:left="232"/>
              <w:spacing w:before="49" w:line="219" w:lineRule="auto"/>
              <w:rPr/>
            </w:pPr>
            <w:r>
              <w:rPr>
                <w:spacing w:val="-1"/>
              </w:rPr>
              <w:t>信息管理总监</w:t>
            </w:r>
          </w:p>
        </w:tc>
        <w:tc>
          <w:tcPr>
            <w:tcW w:w="4768" w:type="dxa"/>
            <w:vAlign w:val="top"/>
          </w:tcPr>
          <w:p>
            <w:pPr>
              <w:pStyle w:val="TableText"/>
              <w:ind w:left="264"/>
              <w:spacing w:before="71" w:line="219" w:lineRule="auto"/>
              <w:rPr/>
            </w:pPr>
            <w:r>
              <w:rPr>
                <w:spacing w:val="4"/>
              </w:rPr>
              <w:t>(1)参与制订组织信息管理战略；</w:t>
            </w:r>
          </w:p>
          <w:p>
            <w:pPr>
              <w:pStyle w:val="TableText"/>
              <w:ind w:left="264"/>
              <w:spacing w:before="101" w:line="270" w:lineRule="exact"/>
              <w:rPr/>
            </w:pPr>
            <w:r>
              <w:rPr>
                <w:spacing w:val="3"/>
                <w:position w:val="9"/>
              </w:rPr>
              <w:t>(2)主持实施</w:t>
            </w:r>
            <w:r>
              <w:rPr>
                <w:position w:val="9"/>
              </w:rPr>
              <w:t>IT</w:t>
            </w:r>
            <w:r>
              <w:rPr>
                <w:spacing w:val="3"/>
                <w:position w:val="9"/>
              </w:rPr>
              <w:t>基础设施建设和升级改造；</w:t>
            </w:r>
          </w:p>
          <w:p>
            <w:pPr>
              <w:pStyle w:val="TableText"/>
              <w:ind w:left="264"/>
              <w:spacing w:line="219" w:lineRule="auto"/>
              <w:rPr/>
            </w:pPr>
            <w:r>
              <w:rPr>
                <w:spacing w:val="4"/>
              </w:rPr>
              <w:t>(3)具体负责数据治理实施工作；</w:t>
            </w:r>
          </w:p>
          <w:p>
            <w:pPr>
              <w:pStyle w:val="TableText"/>
              <w:ind w:left="264"/>
              <w:spacing w:before="102" w:line="219" w:lineRule="auto"/>
              <w:rPr/>
            </w:pPr>
            <w:r>
              <w:rPr/>
              <w:t>(4)协调部门间数据治理沟通等。</w:t>
            </w:r>
          </w:p>
        </w:tc>
      </w:tr>
      <w:tr>
        <w:trPr>
          <w:trHeight w:val="869" w:hRule="atLeast"/>
        </w:trPr>
        <w:tc>
          <w:tcPr>
            <w:tcW w:w="1443" w:type="dxa"/>
            <w:vAlign w:val="top"/>
            <w:vMerge w:val="continue"/>
            <w:tcBorders>
              <w:top w:val="nil"/>
              <w:bottom w:val="nil"/>
            </w:tcBorders>
          </w:tcPr>
          <w:p>
            <w:pPr>
              <w:rPr>
                <w:rFonts w:ascii="Arial"/>
                <w:sz w:val="21"/>
              </w:rPr>
            </w:pPr>
            <w:r/>
          </w:p>
        </w:tc>
        <w:tc>
          <w:tcPr>
            <w:tcW w:w="1388" w:type="dxa"/>
            <w:vAlign w:val="top"/>
          </w:tcPr>
          <w:p>
            <w:pPr>
              <w:spacing w:line="314" w:lineRule="auto"/>
              <w:rPr>
                <w:rFonts w:ascii="Arial"/>
                <w:sz w:val="21"/>
              </w:rPr>
            </w:pPr>
            <w:r/>
          </w:p>
          <w:p>
            <w:pPr>
              <w:pStyle w:val="TableText"/>
              <w:ind w:left="382"/>
              <w:spacing w:before="49" w:line="221" w:lineRule="auto"/>
              <w:rPr/>
            </w:pPr>
            <w:r>
              <w:rPr>
                <w:spacing w:val="-2"/>
              </w:rPr>
              <w:t>合规总监</w:t>
            </w:r>
          </w:p>
        </w:tc>
        <w:tc>
          <w:tcPr>
            <w:tcW w:w="4768" w:type="dxa"/>
            <w:vAlign w:val="top"/>
          </w:tcPr>
          <w:p>
            <w:pPr>
              <w:pStyle w:val="TableText"/>
              <w:ind w:left="264"/>
              <w:spacing w:before="92" w:line="300" w:lineRule="exact"/>
              <w:rPr/>
            </w:pPr>
            <w:r>
              <w:rPr>
                <w:position w:val="11"/>
              </w:rPr>
              <w:t>(1)负责组织活动涉及的法规及规范的收集、宣贯，并负责组织运</w:t>
            </w:r>
          </w:p>
          <w:p>
            <w:pPr>
              <w:pStyle w:val="TableText"/>
              <w:ind w:left="264"/>
              <w:spacing w:line="219" w:lineRule="auto"/>
              <w:rPr/>
            </w:pPr>
            <w:r>
              <w:rPr>
                <w:spacing w:val="7"/>
              </w:rPr>
              <w:t>营合规性的监督检查；</w:t>
            </w:r>
          </w:p>
          <w:p>
            <w:pPr>
              <w:pStyle w:val="TableText"/>
              <w:ind w:left="264"/>
              <w:spacing w:before="102" w:line="219" w:lineRule="auto"/>
              <w:rPr/>
            </w:pPr>
            <w:r>
              <w:rPr/>
              <w:t>(2)数据安全与隐私保护相关法律、法规、标准等识别与贯彻</w:t>
            </w:r>
            <w:r>
              <w:rPr>
                <w:spacing w:val="-1"/>
              </w:rPr>
              <w:t>等。</w:t>
            </w:r>
          </w:p>
        </w:tc>
      </w:tr>
      <w:tr>
        <w:trPr>
          <w:trHeight w:val="839" w:hRule="atLeast"/>
        </w:trPr>
        <w:tc>
          <w:tcPr>
            <w:tcW w:w="1443" w:type="dxa"/>
            <w:vAlign w:val="top"/>
            <w:vMerge w:val="continue"/>
            <w:tcBorders>
              <w:top w:val="nil"/>
              <w:bottom w:val="nil"/>
            </w:tcBorders>
          </w:tcPr>
          <w:p>
            <w:pPr>
              <w:rPr>
                <w:rFonts w:ascii="Arial"/>
                <w:sz w:val="21"/>
              </w:rPr>
            </w:pPr>
            <w:r/>
          </w:p>
        </w:tc>
        <w:tc>
          <w:tcPr>
            <w:tcW w:w="1388" w:type="dxa"/>
            <w:vAlign w:val="top"/>
          </w:tcPr>
          <w:p>
            <w:pPr>
              <w:spacing w:line="303" w:lineRule="auto"/>
              <w:rPr>
                <w:rFonts w:ascii="Arial"/>
                <w:sz w:val="21"/>
              </w:rPr>
            </w:pPr>
            <w:r/>
          </w:p>
          <w:p>
            <w:pPr>
              <w:pStyle w:val="TableText"/>
              <w:ind w:left="232"/>
              <w:spacing w:before="49" w:line="219" w:lineRule="auto"/>
              <w:rPr/>
            </w:pPr>
            <w:r>
              <w:rPr>
                <w:spacing w:val="-1"/>
              </w:rPr>
              <w:t>信息安全总监</w:t>
            </w:r>
          </w:p>
        </w:tc>
        <w:tc>
          <w:tcPr>
            <w:tcW w:w="4768" w:type="dxa"/>
            <w:vAlign w:val="top"/>
          </w:tcPr>
          <w:p>
            <w:pPr>
              <w:pStyle w:val="TableText"/>
              <w:ind w:left="264"/>
              <w:spacing w:before="84" w:line="219" w:lineRule="auto"/>
              <w:rPr/>
            </w:pPr>
            <w:r>
              <w:rPr/>
              <w:t>(1)参与制订组织信息安全策略</w:t>
            </w:r>
          </w:p>
          <w:p>
            <w:pPr>
              <w:pStyle w:val="TableText"/>
              <w:ind w:left="264"/>
              <w:spacing w:before="111" w:line="270" w:lineRule="exact"/>
              <w:rPr/>
            </w:pPr>
            <w:r>
              <w:rPr>
                <w:spacing w:val="4"/>
                <w:position w:val="9"/>
              </w:rPr>
              <w:t>(2)具体负责组织信息安全监管；</w:t>
            </w:r>
          </w:p>
          <w:p>
            <w:pPr>
              <w:pStyle w:val="TableText"/>
              <w:ind w:left="264"/>
              <w:spacing w:line="219" w:lineRule="auto"/>
              <w:rPr/>
            </w:pPr>
            <w:r>
              <w:rPr/>
              <w:t>(3)具体负责组织数据安全保护等。</w:t>
            </w:r>
          </w:p>
        </w:tc>
      </w:tr>
      <w:tr>
        <w:trPr>
          <w:trHeight w:val="829" w:hRule="atLeast"/>
        </w:trPr>
        <w:tc>
          <w:tcPr>
            <w:tcW w:w="1443" w:type="dxa"/>
            <w:vAlign w:val="top"/>
            <w:vMerge w:val="continue"/>
            <w:tcBorders>
              <w:top w:val="nil"/>
              <w:bottom w:val="nil"/>
            </w:tcBorders>
          </w:tcPr>
          <w:p>
            <w:pPr>
              <w:rPr>
                <w:rFonts w:ascii="Arial"/>
                <w:sz w:val="21"/>
              </w:rPr>
            </w:pPr>
            <w:r/>
          </w:p>
        </w:tc>
        <w:tc>
          <w:tcPr>
            <w:tcW w:w="1388" w:type="dxa"/>
            <w:vAlign w:val="top"/>
          </w:tcPr>
          <w:p>
            <w:pPr>
              <w:spacing w:line="293" w:lineRule="auto"/>
              <w:rPr>
                <w:rFonts w:ascii="Arial"/>
                <w:sz w:val="21"/>
              </w:rPr>
            </w:pPr>
            <w:r/>
          </w:p>
          <w:p>
            <w:pPr>
              <w:pStyle w:val="TableText"/>
              <w:ind w:left="312"/>
              <w:spacing w:before="49" w:line="219" w:lineRule="auto"/>
              <w:rPr/>
            </w:pPr>
            <w:r>
              <w:rPr>
                <w:spacing w:val="-2"/>
              </w:rPr>
              <w:t>数据科学家</w:t>
            </w:r>
          </w:p>
        </w:tc>
        <w:tc>
          <w:tcPr>
            <w:tcW w:w="4768" w:type="dxa"/>
            <w:vAlign w:val="top"/>
          </w:tcPr>
          <w:p>
            <w:pPr>
              <w:pStyle w:val="TableText"/>
              <w:ind w:left="264"/>
              <w:spacing w:before="85" w:line="219" w:lineRule="auto"/>
              <w:rPr/>
            </w:pPr>
            <w:r>
              <w:rPr>
                <w:spacing w:val="5"/>
              </w:rPr>
              <w:t>(1)参与数据治理活动；</w:t>
            </w:r>
          </w:p>
          <w:p>
            <w:pPr>
              <w:pStyle w:val="TableText"/>
              <w:ind w:left="264"/>
              <w:spacing w:before="101" w:line="280" w:lineRule="exact"/>
              <w:rPr/>
            </w:pPr>
            <w:r>
              <w:rPr>
                <w:spacing w:val="3"/>
                <w:position w:val="10"/>
              </w:rPr>
              <w:t>(2)识别组织数据治理问题并提供解决思路；</w:t>
            </w:r>
          </w:p>
          <w:p>
            <w:pPr>
              <w:pStyle w:val="TableText"/>
              <w:ind w:left="264"/>
              <w:spacing w:line="214" w:lineRule="auto"/>
              <w:rPr/>
            </w:pPr>
            <w:r>
              <w:rPr/>
              <w:t>(3)为数据治理活动提供咨询建议和意见等。</w:t>
            </w:r>
          </w:p>
        </w:tc>
      </w:tr>
      <w:tr>
        <w:trPr>
          <w:trHeight w:val="320" w:hRule="atLeast"/>
        </w:trPr>
        <w:tc>
          <w:tcPr>
            <w:tcW w:w="1443" w:type="dxa"/>
            <w:vAlign w:val="top"/>
            <w:vMerge w:val="continue"/>
            <w:tcBorders>
              <w:top w:val="nil"/>
            </w:tcBorders>
          </w:tcPr>
          <w:p>
            <w:pPr>
              <w:rPr>
                <w:rFonts w:ascii="Arial"/>
                <w:sz w:val="21"/>
              </w:rPr>
            </w:pPr>
            <w:r/>
          </w:p>
        </w:tc>
        <w:tc>
          <w:tcPr>
            <w:tcW w:w="6156" w:type="dxa"/>
            <w:vAlign w:val="top"/>
            <w:gridSpan w:val="2"/>
          </w:tcPr>
          <w:p>
            <w:pPr>
              <w:rPr>
                <w:rFonts w:ascii="Arial"/>
                <w:sz w:val="21"/>
              </w:rPr>
            </w:pPr>
            <w:r/>
          </w:p>
        </w:tc>
      </w:tr>
      <w:tr>
        <w:trPr>
          <w:trHeight w:val="854" w:hRule="atLeast"/>
        </w:trPr>
        <w:tc>
          <w:tcPr>
            <w:tcW w:w="1443" w:type="dxa"/>
            <w:vAlign w:val="top"/>
          </w:tcPr>
          <w:p>
            <w:pPr>
              <w:spacing w:line="305" w:lineRule="auto"/>
              <w:rPr>
                <w:rFonts w:ascii="Arial"/>
                <w:sz w:val="21"/>
              </w:rPr>
            </w:pPr>
            <w:r/>
          </w:p>
          <w:p>
            <w:pPr>
              <w:pStyle w:val="TableText"/>
              <w:ind w:left="115"/>
              <w:spacing w:before="49" w:line="219" w:lineRule="auto"/>
              <w:rPr/>
            </w:pPr>
            <w:r>
              <w:rPr>
                <w:spacing w:val="2"/>
              </w:rPr>
              <w:t>基层数据治理专员</w:t>
            </w:r>
          </w:p>
        </w:tc>
        <w:tc>
          <w:tcPr>
            <w:tcW w:w="1388" w:type="dxa"/>
            <w:vAlign w:val="top"/>
          </w:tcPr>
          <w:p>
            <w:pPr>
              <w:spacing w:line="305" w:lineRule="auto"/>
              <w:rPr>
                <w:rFonts w:ascii="Arial"/>
                <w:sz w:val="21"/>
              </w:rPr>
            </w:pPr>
            <w:r/>
          </w:p>
          <w:p>
            <w:pPr>
              <w:pStyle w:val="TableText"/>
              <w:ind w:left="232"/>
              <w:spacing w:before="49" w:line="219" w:lineRule="auto"/>
              <w:rPr/>
            </w:pPr>
            <w:r>
              <w:rPr>
                <w:spacing w:val="-1"/>
              </w:rPr>
              <w:t>生产数据主管</w:t>
            </w:r>
          </w:p>
        </w:tc>
        <w:tc>
          <w:tcPr>
            <w:tcW w:w="4768" w:type="dxa"/>
            <w:vAlign w:val="top"/>
          </w:tcPr>
          <w:p>
            <w:pPr>
              <w:pStyle w:val="TableText"/>
              <w:ind w:left="264"/>
              <w:spacing w:before="95" w:line="290" w:lineRule="exact"/>
              <w:rPr/>
            </w:pPr>
            <w:r>
              <w:rPr>
                <w:spacing w:val="3"/>
                <w:position w:val="10"/>
              </w:rPr>
              <w:t>(1)负责组织生产和经营性数据的收集和管理；</w:t>
            </w:r>
          </w:p>
          <w:p>
            <w:pPr>
              <w:pStyle w:val="TableText"/>
              <w:ind w:left="264"/>
              <w:spacing w:line="219" w:lineRule="auto"/>
              <w:rPr/>
            </w:pPr>
            <w:r>
              <w:rPr>
                <w:spacing w:val="4"/>
              </w:rPr>
              <w:t>(2)制订数据质量的业务规则；</w:t>
            </w:r>
          </w:p>
          <w:p>
            <w:pPr>
              <w:pStyle w:val="TableText"/>
              <w:ind w:left="264"/>
              <w:spacing w:before="92" w:line="219" w:lineRule="auto"/>
              <w:rPr/>
            </w:pPr>
            <w:r>
              <w:rPr/>
              <w:t>(3)定义、捕获并保留业务元数据等。</w:t>
            </w:r>
          </w:p>
        </w:tc>
      </w:tr>
    </w:tbl>
    <w:p>
      <w:pPr>
        <w:pStyle w:val="BodyText"/>
        <w:rPr/>
      </w:pPr>
      <w:r/>
    </w:p>
    <w:p>
      <w:pPr>
        <w:sectPr>
          <w:footerReference w:type="default" r:id="rId153"/>
          <w:pgSz w:w="8870" w:h="13400"/>
          <w:pgMar w:top="400" w:right="655" w:bottom="427" w:left="259" w:header="0" w:footer="219" w:gutter="0"/>
        </w:sectPr>
        <w:rPr/>
      </w:pPr>
    </w:p>
    <w:p>
      <w:pPr>
        <w:ind w:left="5463"/>
        <w:spacing w:before="17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pStyle w:val="BodyText"/>
        <w:spacing w:line="316" w:lineRule="auto"/>
        <w:rPr/>
      </w:pPr>
      <w:r/>
    </w:p>
    <w:p>
      <w:pPr>
        <w:ind w:left="6829"/>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57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23"/>
        <w:gridCol w:w="1388"/>
        <w:gridCol w:w="4768"/>
      </w:tblGrid>
      <w:tr>
        <w:trPr>
          <w:trHeight w:val="324" w:hRule="atLeast"/>
        </w:trPr>
        <w:tc>
          <w:tcPr>
            <w:tcW w:w="1423" w:type="dxa"/>
            <w:vAlign w:val="top"/>
          </w:tcPr>
          <w:p>
            <w:pPr>
              <w:pStyle w:val="TableText"/>
              <w:ind w:left="284"/>
              <w:spacing w:before="91" w:line="220" w:lineRule="auto"/>
              <w:rPr/>
            </w:pPr>
            <w:r>
              <w:rPr>
                <w:spacing w:val="-6"/>
              </w:rPr>
              <w:t>组</w:t>
            </w:r>
            <w:r>
              <w:rPr>
                <w:spacing w:val="19"/>
              </w:rPr>
              <w:t xml:space="preserve"> </w:t>
            </w:r>
            <w:r>
              <w:rPr>
                <w:spacing w:val="-6"/>
              </w:rPr>
              <w:t>织</w:t>
            </w:r>
            <w:r>
              <w:rPr>
                <w:spacing w:val="18"/>
              </w:rPr>
              <w:t xml:space="preserve"> </w:t>
            </w:r>
            <w:r>
              <w:rPr>
                <w:spacing w:val="-6"/>
              </w:rPr>
              <w:t>架</w:t>
            </w:r>
            <w:r>
              <w:rPr>
                <w:spacing w:val="18"/>
              </w:rPr>
              <w:t xml:space="preserve"> </w:t>
            </w:r>
            <w:r>
              <w:rPr>
                <w:spacing w:val="-6"/>
              </w:rPr>
              <w:t>构</w:t>
            </w:r>
          </w:p>
        </w:tc>
        <w:tc>
          <w:tcPr>
            <w:tcW w:w="1388" w:type="dxa"/>
            <w:vAlign w:val="top"/>
          </w:tcPr>
          <w:p>
            <w:pPr>
              <w:pStyle w:val="TableText"/>
              <w:ind w:left="421"/>
              <w:spacing w:before="90" w:line="219" w:lineRule="auto"/>
              <w:rPr/>
            </w:pPr>
            <w:r>
              <w:rPr>
                <w:spacing w:val="-5"/>
              </w:rPr>
              <w:t>角</w:t>
            </w:r>
            <w:r>
              <w:rPr>
                <w:spacing w:val="2"/>
              </w:rPr>
              <w:t xml:space="preserve">   </w:t>
            </w:r>
            <w:r>
              <w:rPr>
                <w:spacing w:val="-5"/>
              </w:rPr>
              <w:t>色</w:t>
            </w:r>
          </w:p>
        </w:tc>
        <w:tc>
          <w:tcPr>
            <w:tcW w:w="4768" w:type="dxa"/>
            <w:vAlign w:val="top"/>
          </w:tcPr>
          <w:p>
            <w:pPr>
              <w:pStyle w:val="TableText"/>
              <w:ind w:left="1973"/>
              <w:spacing w:before="92" w:line="221" w:lineRule="auto"/>
              <w:rPr/>
            </w:pPr>
            <w:r>
              <w:rPr>
                <w:spacing w:val="-5"/>
              </w:rPr>
              <w:t>主</w:t>
            </w:r>
            <w:r>
              <w:rPr>
                <w:spacing w:val="17"/>
              </w:rPr>
              <w:t xml:space="preserve"> </w:t>
            </w:r>
            <w:r>
              <w:rPr>
                <w:spacing w:val="-5"/>
              </w:rPr>
              <w:t>要</w:t>
            </w:r>
            <w:r>
              <w:rPr>
                <w:spacing w:val="17"/>
              </w:rPr>
              <w:t xml:space="preserve"> </w:t>
            </w:r>
            <w:r>
              <w:rPr>
                <w:spacing w:val="-5"/>
              </w:rPr>
              <w:t>职</w:t>
            </w:r>
            <w:r>
              <w:rPr>
                <w:spacing w:val="21"/>
              </w:rPr>
              <w:t xml:space="preserve"> </w:t>
            </w:r>
            <w:r>
              <w:rPr>
                <w:spacing w:val="-5"/>
              </w:rPr>
              <w:t>责</w:t>
            </w:r>
          </w:p>
        </w:tc>
      </w:tr>
      <w:tr>
        <w:trPr>
          <w:trHeight w:val="846" w:hRule="atLeast"/>
        </w:trPr>
        <w:tc>
          <w:tcPr>
            <w:tcW w:w="1423" w:type="dxa"/>
            <w:vAlign w:val="top"/>
            <w:vMerge w:val="restart"/>
            <w:tcBorders>
              <w:bottom w:val="nil"/>
            </w:tcBorders>
          </w:tcPr>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pStyle w:val="TableText"/>
              <w:ind w:left="104"/>
              <w:spacing w:before="48" w:line="219" w:lineRule="auto"/>
              <w:rPr/>
            </w:pPr>
            <w:r>
              <w:rPr>
                <w:spacing w:val="2"/>
              </w:rPr>
              <w:t>基层数据治理专员</w:t>
            </w:r>
          </w:p>
        </w:tc>
        <w:tc>
          <w:tcPr>
            <w:tcW w:w="1388" w:type="dxa"/>
            <w:vAlign w:val="top"/>
          </w:tcPr>
          <w:p>
            <w:pPr>
              <w:spacing w:line="296" w:lineRule="auto"/>
              <w:rPr>
                <w:rFonts w:ascii="Arial"/>
                <w:sz w:val="21"/>
              </w:rPr>
            </w:pPr>
            <w:r/>
          </w:p>
          <w:p>
            <w:pPr>
              <w:pStyle w:val="TableText"/>
              <w:ind w:left="231"/>
              <w:spacing w:before="49" w:line="219" w:lineRule="auto"/>
              <w:rPr/>
            </w:pPr>
            <w:r>
              <w:rPr>
                <w:spacing w:val="-1"/>
              </w:rPr>
              <w:t>财务数据主管</w:t>
            </w:r>
          </w:p>
        </w:tc>
        <w:tc>
          <w:tcPr>
            <w:tcW w:w="4768" w:type="dxa"/>
            <w:vAlign w:val="top"/>
          </w:tcPr>
          <w:p>
            <w:pPr>
              <w:pStyle w:val="TableText"/>
              <w:ind w:left="283"/>
              <w:spacing w:before="87" w:line="219" w:lineRule="auto"/>
              <w:rPr/>
            </w:pPr>
            <w:r>
              <w:rPr>
                <w:spacing w:val="4"/>
              </w:rPr>
              <w:t>(1)管理组织日常财务信息；</w:t>
            </w:r>
          </w:p>
          <w:p>
            <w:pPr>
              <w:pStyle w:val="TableText"/>
              <w:ind w:left="283"/>
              <w:spacing w:before="102" w:line="219" w:lineRule="auto"/>
              <w:rPr/>
            </w:pPr>
            <w:r>
              <w:rPr>
                <w:spacing w:val="4"/>
              </w:rPr>
              <w:t>(2)将财务数据映射到业务数据；</w:t>
            </w:r>
          </w:p>
          <w:p>
            <w:pPr>
              <w:pStyle w:val="TableText"/>
              <w:ind w:left="283"/>
              <w:spacing w:before="100" w:line="218" w:lineRule="auto"/>
              <w:rPr/>
            </w:pPr>
            <w:r>
              <w:rPr/>
              <w:t>(3)制订数据治理等财务目标与评估指标等。</w:t>
            </w:r>
          </w:p>
        </w:tc>
      </w:tr>
      <w:tr>
        <w:trPr>
          <w:trHeight w:val="827" w:hRule="atLeast"/>
        </w:trPr>
        <w:tc>
          <w:tcPr>
            <w:tcW w:w="1423" w:type="dxa"/>
            <w:vAlign w:val="top"/>
            <w:vMerge w:val="continue"/>
            <w:tcBorders>
              <w:top w:val="nil"/>
              <w:bottom w:val="nil"/>
            </w:tcBorders>
          </w:tcPr>
          <w:p>
            <w:pPr>
              <w:rPr>
                <w:rFonts w:ascii="Arial"/>
                <w:sz w:val="21"/>
              </w:rPr>
            </w:pPr>
            <w:r/>
          </w:p>
        </w:tc>
        <w:tc>
          <w:tcPr>
            <w:tcW w:w="1388" w:type="dxa"/>
            <w:vAlign w:val="top"/>
          </w:tcPr>
          <w:p>
            <w:pPr>
              <w:spacing w:line="290" w:lineRule="auto"/>
              <w:rPr>
                <w:rFonts w:ascii="Arial"/>
                <w:sz w:val="21"/>
              </w:rPr>
            </w:pPr>
            <w:r/>
          </w:p>
          <w:p>
            <w:pPr>
              <w:pStyle w:val="TableText"/>
              <w:ind w:left="161"/>
              <w:spacing w:before="49" w:line="219" w:lineRule="auto"/>
              <w:rPr/>
            </w:pPr>
            <w:r>
              <w:rPr>
                <w:spacing w:val="2"/>
              </w:rPr>
              <w:t>数据安全管理员</w:t>
            </w:r>
          </w:p>
        </w:tc>
        <w:tc>
          <w:tcPr>
            <w:tcW w:w="4768" w:type="dxa"/>
            <w:vAlign w:val="top"/>
          </w:tcPr>
          <w:p>
            <w:pPr>
              <w:pStyle w:val="TableText"/>
              <w:ind w:left="283"/>
              <w:spacing w:before="80" w:line="219" w:lineRule="auto"/>
              <w:rPr/>
            </w:pPr>
            <w:r>
              <w:rPr>
                <w:spacing w:val="4"/>
              </w:rPr>
              <w:t>(1)制订数据安全管理规章；</w:t>
            </w:r>
          </w:p>
          <w:p>
            <w:pPr>
              <w:pStyle w:val="TableText"/>
              <w:ind w:left="283"/>
              <w:spacing w:before="93" w:line="219" w:lineRule="auto"/>
              <w:rPr/>
            </w:pPr>
            <w:r>
              <w:rPr>
                <w:spacing w:val="3"/>
              </w:rPr>
              <w:t>(2)识别组织敏感数据，并在元数据库中作标记；</w:t>
            </w:r>
          </w:p>
          <w:p>
            <w:pPr>
              <w:pStyle w:val="TableText"/>
              <w:ind w:left="283"/>
              <w:spacing w:before="92" w:line="219" w:lineRule="auto"/>
              <w:rPr/>
            </w:pPr>
            <w:r>
              <w:rPr/>
              <w:t>(3)制订历史数据归档、销毁策略，满足合规和业务需求等。</w:t>
            </w:r>
          </w:p>
        </w:tc>
      </w:tr>
      <w:tr>
        <w:trPr>
          <w:trHeight w:val="323" w:hRule="atLeast"/>
        </w:trPr>
        <w:tc>
          <w:tcPr>
            <w:tcW w:w="1423" w:type="dxa"/>
            <w:vAlign w:val="top"/>
            <w:vMerge w:val="continue"/>
            <w:tcBorders>
              <w:top w:val="nil"/>
            </w:tcBorders>
          </w:tcPr>
          <w:p>
            <w:pPr>
              <w:rPr>
                <w:rFonts w:ascii="Arial"/>
                <w:sz w:val="21"/>
              </w:rPr>
            </w:pPr>
            <w:r/>
          </w:p>
        </w:tc>
        <w:tc>
          <w:tcPr>
            <w:tcW w:w="6156" w:type="dxa"/>
            <w:vAlign w:val="top"/>
            <w:gridSpan w:val="2"/>
          </w:tcPr>
          <w:p>
            <w:pPr>
              <w:rPr>
                <w:rFonts w:ascii="Arial"/>
                <w:sz w:val="21"/>
              </w:rPr>
            </w:pPr>
            <w:r/>
          </w:p>
        </w:tc>
      </w:tr>
    </w:tbl>
    <w:p>
      <w:pPr>
        <w:spacing w:line="130" w:lineRule="exact"/>
        <w:rPr/>
      </w:pPr>
      <w:r/>
    </w:p>
    <w:tbl>
      <w:tblPr>
        <w:tblStyle w:val="TableNormal"/>
        <w:tblW w:w="757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40"/>
      </w:tblGrid>
      <w:tr>
        <w:trPr>
          <w:trHeight w:val="32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4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48" w:hRule="atLeast"/>
        </w:trPr>
        <w:tc>
          <w:tcPr>
            <w:tcW w:w="704" w:type="dxa"/>
            <w:vAlign w:val="top"/>
          </w:tcPr>
          <w:p>
            <w:pPr>
              <w:spacing w:line="336" w:lineRule="auto"/>
              <w:rPr>
                <w:rFonts w:ascii="Arial"/>
                <w:sz w:val="21"/>
              </w:rPr>
            </w:pPr>
            <w:r/>
          </w:p>
          <w:p>
            <w:pPr>
              <w:pStyle w:val="TableText"/>
              <w:ind w:left="224"/>
              <w:spacing w:before="52" w:line="183" w:lineRule="auto"/>
              <w:rPr>
                <w:sz w:val="16"/>
                <w:szCs w:val="16"/>
              </w:rPr>
            </w:pPr>
            <w:r>
              <w:rPr>
                <w:sz w:val="16"/>
                <w:szCs w:val="16"/>
                <w:spacing w:val="-3"/>
              </w:rPr>
              <w:t>3.2</w:t>
            </w:r>
          </w:p>
        </w:tc>
        <w:tc>
          <w:tcPr>
            <w:tcW w:w="3135" w:type="dxa"/>
            <w:vAlign w:val="top"/>
          </w:tcPr>
          <w:p>
            <w:pPr>
              <w:pStyle w:val="TableText"/>
              <w:ind w:left="40" w:firstLine="228"/>
              <w:spacing w:before="79" w:line="276" w:lineRule="auto"/>
              <w:rPr>
                <w:sz w:val="16"/>
                <w:szCs w:val="16"/>
              </w:rPr>
            </w:pPr>
            <w:r>
              <w:rPr>
                <w:sz w:val="16"/>
                <w:szCs w:val="16"/>
                <w:spacing w:val="-2"/>
              </w:rPr>
              <w:t>能够识别数据治理所需要的基础知识、专</w:t>
            </w:r>
            <w:r>
              <w:rPr>
                <w:sz w:val="16"/>
                <w:szCs w:val="16"/>
                <w:spacing w:val="10"/>
              </w:rPr>
              <w:t xml:space="preserve"> </w:t>
            </w:r>
            <w:r>
              <w:rPr>
                <w:sz w:val="16"/>
                <w:szCs w:val="16"/>
                <w:spacing w:val="-1"/>
              </w:rPr>
              <w:t>业知识和综合知识，并采取措施使数据治理</w:t>
            </w:r>
          </w:p>
          <w:p>
            <w:pPr>
              <w:pStyle w:val="TableText"/>
              <w:ind w:left="120"/>
              <w:spacing w:before="92" w:line="216" w:lineRule="auto"/>
              <w:rPr>
                <w:sz w:val="16"/>
                <w:szCs w:val="16"/>
              </w:rPr>
            </w:pPr>
            <w:r>
              <w:rPr>
                <w:sz w:val="16"/>
                <w:szCs w:val="16"/>
                <w:spacing w:val="-1"/>
              </w:rPr>
              <w:t>主要人员能够具备这些知识</w:t>
            </w:r>
          </w:p>
        </w:tc>
        <w:tc>
          <w:tcPr>
            <w:tcW w:w="3740" w:type="dxa"/>
            <w:vAlign w:val="top"/>
          </w:tcPr>
          <w:p>
            <w:pPr>
              <w:pStyle w:val="TableText"/>
              <w:ind w:left="275"/>
              <w:spacing w:before="209" w:line="219" w:lineRule="auto"/>
              <w:rPr>
                <w:sz w:val="16"/>
                <w:szCs w:val="16"/>
              </w:rPr>
            </w:pPr>
            <w:r>
              <w:rPr>
                <w:sz w:val="16"/>
                <w:szCs w:val="16"/>
                <w:spacing w:val="1"/>
              </w:rPr>
              <w:t>●培训课件</w:t>
            </w:r>
          </w:p>
          <w:p>
            <w:pPr>
              <w:pStyle w:val="TableText"/>
              <w:ind w:left="275"/>
              <w:spacing w:before="120" w:line="220" w:lineRule="auto"/>
              <w:rPr>
                <w:sz w:val="16"/>
                <w:szCs w:val="16"/>
              </w:rPr>
            </w:pPr>
            <w:r>
              <w:rPr>
                <w:sz w:val="16"/>
                <w:szCs w:val="16"/>
                <w:spacing w:val="1"/>
              </w:rPr>
              <w:t>●培训记录</w:t>
            </w:r>
          </w:p>
        </w:tc>
      </w:tr>
    </w:tbl>
    <w:p>
      <w:pPr>
        <w:ind w:left="304"/>
        <w:spacing w:before="203"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right="215" w:firstLine="409"/>
        <w:spacing w:before="48" w:line="262" w:lineRule="auto"/>
        <w:rPr>
          <w:rFonts w:ascii="SimSun" w:hAnsi="SimSun" w:eastAsia="SimSun" w:cs="SimSun"/>
          <w:sz w:val="21"/>
          <w:szCs w:val="21"/>
        </w:rPr>
      </w:pPr>
      <w:r>
        <w:rPr>
          <w:rFonts w:ascii="SimSun" w:hAnsi="SimSun" w:eastAsia="SimSun" w:cs="SimSun"/>
          <w:sz w:val="21"/>
          <w:szCs w:val="21"/>
          <w:spacing w:val="1"/>
        </w:rPr>
        <w:t>数据治理涉及管理和技术两大类知识，尤其在技术方面，需要相关人员熟悉软 </w:t>
      </w:r>
      <w:r>
        <w:rPr>
          <w:rFonts w:ascii="SimSun" w:hAnsi="SimSun" w:eastAsia="SimSun" w:cs="SimSun"/>
          <w:sz w:val="21"/>
          <w:szCs w:val="21"/>
          <w:spacing w:val="-2"/>
        </w:rPr>
        <w:t>件设计、数据库技术、统计学、信息学等学科知识。组织</w:t>
      </w:r>
      <w:r>
        <w:rPr>
          <w:rFonts w:ascii="SimSun" w:hAnsi="SimSun" w:eastAsia="SimSun" w:cs="SimSun"/>
          <w:sz w:val="21"/>
          <w:szCs w:val="21"/>
          <w:spacing w:val="-3"/>
        </w:rPr>
        <w:t>在任命角色和分配职责时，</w:t>
      </w:r>
      <w:r>
        <w:rPr>
          <w:rFonts w:ascii="SimSun" w:hAnsi="SimSun" w:eastAsia="SimSun" w:cs="SimSun"/>
          <w:sz w:val="21"/>
          <w:szCs w:val="21"/>
        </w:rPr>
        <w:t xml:space="preserve"> </w:t>
      </w:r>
      <w:r>
        <w:rPr>
          <w:rFonts w:ascii="SimSun" w:hAnsi="SimSun" w:eastAsia="SimSun" w:cs="SimSun"/>
          <w:sz w:val="21"/>
          <w:szCs w:val="21"/>
          <w:spacing w:val="2"/>
        </w:rPr>
        <w:t>一方面要识别每个岗位所需的基础知识、专业知识和综合知识；另一方面，组织要</w:t>
      </w:r>
      <w:r>
        <w:rPr>
          <w:rFonts w:ascii="SimSun" w:hAnsi="SimSun" w:eastAsia="SimSun" w:cs="SimSun"/>
          <w:sz w:val="21"/>
          <w:szCs w:val="21"/>
          <w:spacing w:val="7"/>
        </w:rPr>
        <w:t xml:space="preserve"> </w:t>
      </w:r>
      <w:r>
        <w:rPr>
          <w:rFonts w:ascii="SimSun" w:hAnsi="SimSun" w:eastAsia="SimSun" w:cs="SimSun"/>
          <w:sz w:val="21"/>
          <w:szCs w:val="21"/>
          <w:spacing w:val="1"/>
        </w:rPr>
        <w:t>对于拟任命的角色能力进行评估，并根据需要，采取措施使相关角色具备从事数据 </w:t>
      </w:r>
      <w:r>
        <w:rPr>
          <w:rFonts w:ascii="SimSun" w:hAnsi="SimSun" w:eastAsia="SimSun" w:cs="SimSun"/>
          <w:sz w:val="21"/>
          <w:szCs w:val="21"/>
          <w:spacing w:val="-1"/>
        </w:rPr>
        <w:t>治理所需的知识技能。可采取的措施主要包括开展培训、咨询、自学等途径。</w:t>
      </w:r>
    </w:p>
    <w:p>
      <w:pPr>
        <w:spacing w:line="128"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2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14" w:type="dxa"/>
            <w:vAlign w:val="top"/>
          </w:tcPr>
          <w:p>
            <w:pPr>
              <w:pStyle w:val="TableText"/>
              <w:ind w:left="224"/>
              <w:spacing w:before="251" w:line="183" w:lineRule="auto"/>
              <w:rPr>
                <w:sz w:val="16"/>
                <w:szCs w:val="16"/>
              </w:rPr>
            </w:pPr>
            <w:r>
              <w:rPr>
                <w:sz w:val="16"/>
                <w:szCs w:val="16"/>
                <w:spacing w:val="-3"/>
              </w:rPr>
              <w:t>3.3</w:t>
            </w:r>
          </w:p>
        </w:tc>
        <w:tc>
          <w:tcPr>
            <w:tcW w:w="3135" w:type="dxa"/>
            <w:vAlign w:val="top"/>
          </w:tcPr>
          <w:p>
            <w:pPr>
              <w:pStyle w:val="TableText"/>
              <w:ind w:left="120" w:firstLine="139"/>
              <w:spacing w:before="89" w:line="270" w:lineRule="auto"/>
              <w:rPr>
                <w:sz w:val="16"/>
                <w:szCs w:val="16"/>
              </w:rPr>
            </w:pPr>
            <w:r>
              <w:rPr>
                <w:sz w:val="16"/>
                <w:szCs w:val="16"/>
                <w:spacing w:val="-1"/>
              </w:rPr>
              <w:t>组建的数据治理团队与角色分配得到了数</w:t>
            </w:r>
            <w:r>
              <w:rPr>
                <w:sz w:val="16"/>
                <w:szCs w:val="16"/>
                <w:spacing w:val="1"/>
              </w:rPr>
              <w:t xml:space="preserve"> </w:t>
            </w:r>
            <w:r>
              <w:rPr>
                <w:sz w:val="16"/>
                <w:szCs w:val="16"/>
              </w:rPr>
              <w:t>据利益相关者的理解和认同</w:t>
            </w:r>
          </w:p>
        </w:tc>
        <w:tc>
          <w:tcPr>
            <w:tcW w:w="3750" w:type="dxa"/>
            <w:vAlign w:val="top"/>
          </w:tcPr>
          <w:p>
            <w:pPr>
              <w:pStyle w:val="TableText"/>
              <w:ind w:left="276"/>
              <w:spacing w:before="90" w:line="219" w:lineRule="auto"/>
              <w:rPr>
                <w:sz w:val="16"/>
                <w:szCs w:val="16"/>
              </w:rPr>
            </w:pPr>
            <w:r>
              <w:rPr>
                <w:sz w:val="16"/>
                <w:szCs w:val="16"/>
                <w:spacing w:val="1"/>
              </w:rPr>
              <w:t>●培训课件</w:t>
            </w:r>
          </w:p>
          <w:p>
            <w:pPr>
              <w:pStyle w:val="TableText"/>
              <w:ind w:left="276"/>
              <w:spacing w:before="80" w:line="220" w:lineRule="auto"/>
              <w:rPr>
                <w:sz w:val="16"/>
                <w:szCs w:val="16"/>
              </w:rPr>
            </w:pPr>
            <w:r>
              <w:rPr>
                <w:sz w:val="16"/>
                <w:szCs w:val="16"/>
                <w:spacing w:val="1"/>
              </w:rPr>
              <w:t>●培训记录</w:t>
            </w:r>
          </w:p>
        </w:tc>
      </w:tr>
    </w:tbl>
    <w:p>
      <w:pPr>
        <w:ind w:left="304"/>
        <w:spacing w:before="193" w:line="224" w:lineRule="auto"/>
        <w:rPr>
          <w:rFonts w:ascii="FangSong" w:hAnsi="FangSong" w:eastAsia="FangSong" w:cs="FangSong"/>
          <w:sz w:val="21"/>
          <w:szCs w:val="21"/>
        </w:rPr>
      </w:pPr>
      <w:r>
        <w:rPr>
          <w:rFonts w:ascii="SimSun" w:hAnsi="SimSun" w:eastAsia="SimSun" w:cs="SimSun"/>
          <w:sz w:val="21"/>
          <w:szCs w:val="21"/>
          <w:spacing w:val="-3"/>
        </w:rPr>
        <w:t>【成熟度等级说明</w:t>
      </w:r>
      <w:r>
        <w:rPr>
          <w:rFonts w:ascii="FangSong" w:hAnsi="FangSong" w:eastAsia="FangSong" w:cs="FangSong"/>
          <w:sz w:val="21"/>
          <w:szCs w:val="21"/>
          <w:spacing w:val="-3"/>
        </w:rPr>
        <w:t>】</w:t>
      </w:r>
    </w:p>
    <w:p>
      <w:pPr>
        <w:ind w:right="272" w:firstLine="409"/>
        <w:spacing w:before="34" w:line="261" w:lineRule="auto"/>
        <w:rPr>
          <w:rFonts w:ascii="SimSun" w:hAnsi="SimSun" w:eastAsia="SimSun" w:cs="SimSun"/>
          <w:sz w:val="21"/>
          <w:szCs w:val="21"/>
        </w:rPr>
      </w:pPr>
      <w:r>
        <w:rPr>
          <w:rFonts w:ascii="SimSun" w:hAnsi="SimSun" w:eastAsia="SimSun" w:cs="SimSun"/>
          <w:sz w:val="21"/>
          <w:szCs w:val="21"/>
          <w:spacing w:val="2"/>
        </w:rPr>
        <w:t>数据治理的主要目的是实现数据价值的提升，数据治理团队和角色直接决定了</w:t>
      </w:r>
      <w:r>
        <w:rPr>
          <w:rFonts w:ascii="SimSun" w:hAnsi="SimSun" w:eastAsia="SimSun" w:cs="SimSun"/>
          <w:sz w:val="21"/>
          <w:szCs w:val="21"/>
          <w:spacing w:val="8"/>
        </w:rPr>
        <w:t xml:space="preserve"> </w:t>
      </w:r>
      <w:r>
        <w:rPr>
          <w:rFonts w:ascii="SimSun" w:hAnsi="SimSun" w:eastAsia="SimSun" w:cs="SimSun"/>
          <w:sz w:val="21"/>
          <w:szCs w:val="21"/>
          <w:spacing w:val="1"/>
        </w:rPr>
        <w:t>数据治理的方向和重点，对数据治理目标能否实现起到了决定性的作用，因此数据</w:t>
      </w:r>
      <w:r>
        <w:rPr>
          <w:rFonts w:ascii="SimSun" w:hAnsi="SimSun" w:eastAsia="SimSun" w:cs="SimSun"/>
          <w:sz w:val="21"/>
          <w:szCs w:val="21"/>
          <w:spacing w:val="15"/>
        </w:rPr>
        <w:t xml:space="preserve"> </w:t>
      </w:r>
      <w:r>
        <w:rPr>
          <w:rFonts w:ascii="SimSun" w:hAnsi="SimSun" w:eastAsia="SimSun" w:cs="SimSun"/>
          <w:sz w:val="21"/>
          <w:szCs w:val="21"/>
          <w:spacing w:val="-2"/>
        </w:rPr>
        <w:t>治理团队必须征求数据利益相关者的理解和认同。</w:t>
      </w:r>
    </w:p>
    <w:p>
      <w:pPr>
        <w:spacing w:line="127" w:lineRule="exact"/>
        <w:rPr/>
      </w:pPr>
      <w:r/>
    </w:p>
    <w:tbl>
      <w:tblPr>
        <w:tblStyle w:val="TableNormal"/>
        <w:tblW w:w="759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21" w:hRule="atLeast"/>
        </w:trPr>
        <w:tc>
          <w:tcPr>
            <w:tcW w:w="704" w:type="dxa"/>
            <w:vAlign w:val="top"/>
          </w:tcPr>
          <w:p>
            <w:pPr>
              <w:pStyle w:val="TableText"/>
              <w:ind w:left="195"/>
              <w:spacing w:before="92" w:line="221" w:lineRule="auto"/>
              <w:rPr/>
            </w:pPr>
            <w:r>
              <w:rPr>
                <w:spacing w:val="-2"/>
              </w:rPr>
              <w:t>序号</w:t>
            </w:r>
          </w:p>
        </w:tc>
        <w:tc>
          <w:tcPr>
            <w:tcW w:w="3136" w:type="dxa"/>
            <w:vAlign w:val="top"/>
          </w:tcPr>
          <w:p>
            <w:pPr>
              <w:pStyle w:val="TableText"/>
              <w:ind w:left="115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568" w:hRule="atLeast"/>
        </w:trPr>
        <w:tc>
          <w:tcPr>
            <w:tcW w:w="704" w:type="dxa"/>
            <w:vAlign w:val="top"/>
          </w:tcPr>
          <w:p>
            <w:pPr>
              <w:pStyle w:val="TableText"/>
              <w:ind w:left="225"/>
              <w:spacing w:before="248" w:line="183" w:lineRule="auto"/>
              <w:rPr/>
            </w:pPr>
            <w:r>
              <w:rPr>
                <w:spacing w:val="-2"/>
              </w:rPr>
              <w:t>3.4</w:t>
            </w:r>
          </w:p>
        </w:tc>
        <w:tc>
          <w:tcPr>
            <w:tcW w:w="3136" w:type="dxa"/>
            <w:vAlign w:val="top"/>
          </w:tcPr>
          <w:p>
            <w:pPr>
              <w:pStyle w:val="TableText"/>
              <w:ind w:left="101" w:right="162" w:firstLine="170"/>
              <w:spacing w:before="89" w:line="276" w:lineRule="auto"/>
              <w:rPr/>
            </w:pPr>
            <w:r>
              <w:rPr>
                <w:spacing w:val="-1"/>
              </w:rPr>
              <w:t>数据治理委员会和数据治理工作组成员具</w:t>
            </w:r>
            <w:r>
              <w:rPr>
                <w:spacing w:val="9"/>
              </w:rPr>
              <w:t xml:space="preserve"> </w:t>
            </w:r>
            <w:r>
              <w:rPr>
                <w:spacing w:val="-1"/>
              </w:rPr>
              <w:t>有广泛代表性</w:t>
            </w:r>
          </w:p>
        </w:tc>
        <w:tc>
          <w:tcPr>
            <w:tcW w:w="3750" w:type="dxa"/>
            <w:vAlign w:val="top"/>
          </w:tcPr>
          <w:p>
            <w:pPr>
              <w:pStyle w:val="TableText"/>
              <w:ind w:left="265"/>
              <w:spacing w:before="89" w:line="219" w:lineRule="auto"/>
              <w:rPr/>
            </w:pPr>
            <w:r>
              <w:rPr/>
              <w:t>●数据治理委员会成员名单</w:t>
            </w:r>
          </w:p>
          <w:p>
            <w:pPr>
              <w:pStyle w:val="TableText"/>
              <w:ind w:left="265"/>
              <w:spacing w:before="103" w:line="219" w:lineRule="auto"/>
              <w:rPr/>
            </w:pPr>
            <w:r>
              <w:rPr/>
              <w:t>●数据治理工作组成员名单</w:t>
            </w:r>
          </w:p>
        </w:tc>
      </w:tr>
    </w:tbl>
    <w:p>
      <w:pPr>
        <w:ind w:left="304"/>
        <w:spacing w:before="193" w:line="224" w:lineRule="auto"/>
        <w:rPr>
          <w:rFonts w:ascii="FangSong" w:hAnsi="FangSong" w:eastAsia="FangSong" w:cs="FangSong"/>
          <w:sz w:val="21"/>
          <w:szCs w:val="21"/>
        </w:rPr>
      </w:pPr>
      <w:r>
        <w:rPr>
          <w:rFonts w:ascii="SimSun" w:hAnsi="SimSun" w:eastAsia="SimSun" w:cs="SimSun"/>
          <w:sz w:val="21"/>
          <w:szCs w:val="21"/>
          <w:spacing w:val="-3"/>
        </w:rPr>
        <w:t>【成熟度等级说明</w:t>
      </w:r>
      <w:r>
        <w:rPr>
          <w:rFonts w:ascii="FangSong" w:hAnsi="FangSong" w:eastAsia="FangSong" w:cs="FangSong"/>
          <w:sz w:val="21"/>
          <w:szCs w:val="21"/>
          <w:spacing w:val="-3"/>
        </w:rPr>
        <w:t>】</w:t>
      </w:r>
    </w:p>
    <w:p>
      <w:pPr>
        <w:ind w:right="287" w:firstLine="409"/>
        <w:spacing w:before="57" w:line="259" w:lineRule="auto"/>
        <w:rPr>
          <w:rFonts w:ascii="SimSun" w:hAnsi="SimSun" w:eastAsia="SimSun" w:cs="SimSun"/>
          <w:sz w:val="21"/>
          <w:szCs w:val="21"/>
        </w:rPr>
      </w:pPr>
      <w:r>
        <w:rPr>
          <w:rFonts w:ascii="SimSun" w:hAnsi="SimSun" w:eastAsia="SimSun" w:cs="SimSun"/>
          <w:sz w:val="21"/>
          <w:szCs w:val="21"/>
          <w:spacing w:val="2"/>
        </w:rPr>
        <w:t>数据治理委员会负责顶层设计和监督数据治理计划，</w:t>
      </w:r>
      <w:r>
        <w:rPr>
          <w:rFonts w:ascii="SimSun" w:hAnsi="SimSun" w:eastAsia="SimSun" w:cs="SimSun"/>
          <w:sz w:val="21"/>
          <w:szCs w:val="21"/>
          <w:spacing w:val="1"/>
        </w:rPr>
        <w:t>设置数据治理计划的总体</w:t>
      </w:r>
      <w:r>
        <w:rPr>
          <w:rFonts w:ascii="SimSun" w:hAnsi="SimSun" w:eastAsia="SimSun" w:cs="SimSun"/>
          <w:sz w:val="21"/>
          <w:szCs w:val="21"/>
        </w:rPr>
        <w:t xml:space="preserve"> </w:t>
      </w:r>
      <w:r>
        <w:rPr>
          <w:rFonts w:ascii="SimSun" w:hAnsi="SimSun" w:eastAsia="SimSun" w:cs="SimSun"/>
          <w:sz w:val="21"/>
          <w:szCs w:val="21"/>
          <w:spacing w:val="-3"/>
        </w:rPr>
        <w:t>方向，在发生策略分歧时进行协调，</w:t>
      </w:r>
      <w:r>
        <w:rPr>
          <w:rFonts w:ascii="SimSun" w:hAnsi="SimSun" w:eastAsia="SimSun" w:cs="SimSun"/>
          <w:sz w:val="21"/>
          <w:szCs w:val="21"/>
          <w:spacing w:val="60"/>
        </w:rPr>
        <w:t xml:space="preserve"> </w:t>
      </w:r>
      <w:r>
        <w:rPr>
          <w:rFonts w:ascii="SimSun" w:hAnsi="SimSun" w:eastAsia="SimSun" w:cs="SimSun"/>
          <w:sz w:val="21"/>
          <w:szCs w:val="21"/>
          <w:spacing w:val="-3"/>
        </w:rPr>
        <w:t>一般由高层组成。为了保障</w:t>
      </w:r>
      <w:r>
        <w:rPr>
          <w:rFonts w:ascii="SimSun" w:hAnsi="SimSun" w:eastAsia="SimSun" w:cs="SimSun"/>
          <w:sz w:val="21"/>
          <w:szCs w:val="21"/>
          <w:spacing w:val="-4"/>
        </w:rPr>
        <w:t>数据治理的顺利实</w:t>
      </w:r>
      <w:r>
        <w:rPr>
          <w:rFonts w:ascii="SimSun" w:hAnsi="SimSun" w:eastAsia="SimSun" w:cs="SimSun"/>
          <w:sz w:val="21"/>
          <w:szCs w:val="21"/>
        </w:rPr>
        <w:t xml:space="preserve"> </w:t>
      </w:r>
      <w:r>
        <w:rPr>
          <w:rFonts w:ascii="SimSun" w:hAnsi="SimSun" w:eastAsia="SimSun" w:cs="SimSun"/>
          <w:sz w:val="21"/>
          <w:szCs w:val="21"/>
          <w:spacing w:val="1"/>
        </w:rPr>
        <w:t>施，数据治理委员会应当包括管理、财务、运营、供应链等负责人。同样的，数据</w:t>
      </w:r>
      <w:r>
        <w:rPr>
          <w:rFonts w:ascii="SimSun" w:hAnsi="SimSun" w:eastAsia="SimSun" w:cs="SimSun"/>
          <w:sz w:val="21"/>
          <w:szCs w:val="21"/>
          <w:spacing w:val="15"/>
        </w:rPr>
        <w:t xml:space="preserve"> </w:t>
      </w:r>
      <w:r>
        <w:rPr>
          <w:rFonts w:ascii="SimSun" w:hAnsi="SimSun" w:eastAsia="SimSun" w:cs="SimSun"/>
          <w:sz w:val="21"/>
          <w:szCs w:val="21"/>
          <w:spacing w:val="-3"/>
        </w:rPr>
        <w:t>治理工作组成员也应具有广泛代表性。</w:t>
      </w:r>
    </w:p>
    <w:p>
      <w:pPr>
        <w:spacing w:line="259" w:lineRule="auto"/>
        <w:sectPr>
          <w:footerReference w:type="default" r:id="rId155"/>
          <w:pgSz w:w="8870" w:h="13400"/>
          <w:pgMar w:top="400" w:right="429" w:bottom="577" w:left="540" w:header="0" w:footer="369" w:gutter="0"/>
        </w:sectPr>
        <w:rPr>
          <w:rFonts w:ascii="SimSun" w:hAnsi="SimSun" w:eastAsia="SimSun" w:cs="SimSun"/>
          <w:sz w:val="21"/>
          <w:szCs w:val="21"/>
        </w:rPr>
      </w:pPr>
    </w:p>
    <w:p>
      <w:pPr>
        <w:ind w:left="120"/>
        <w:spacing w:before="159"/>
        <w:rPr>
          <w:rFonts w:ascii="SimSun" w:hAnsi="SimSun" w:eastAsia="SimSun" w:cs="SimSun"/>
          <w:sz w:val="22"/>
          <w:szCs w:val="22"/>
        </w:rPr>
      </w:pPr>
      <w:r>
        <w:rPr>
          <w:rFonts w:ascii="SimSun" w:hAnsi="SimSun" w:eastAsia="SimSun" w:cs="SimSun"/>
          <w:sz w:val="22"/>
          <w:szCs w:val="22"/>
          <w:position w:val="-10"/>
        </w:rPr>
        <w:drawing>
          <wp:inline distT="0" distB="0" distL="0" distR="0">
            <wp:extent cx="6308" cy="234933"/>
            <wp:effectExtent l="0" t="0" r="0" b="0"/>
            <wp:docPr id="126" name="IM 126"/>
            <wp:cNvGraphicFramePr/>
            <a:graphic>
              <a:graphicData uri="http://schemas.openxmlformats.org/drawingml/2006/picture">
                <pic:pic>
                  <pic:nvPicPr>
                    <pic:cNvPr id="126" name="IM 126"/>
                    <pic:cNvPicPr/>
                  </pic:nvPicPr>
                  <pic:blipFill>
                    <a:blip r:embed="rId157"/>
                    <a:stretch>
                      <a:fillRect/>
                    </a:stretch>
                  </pic:blipFill>
                  <pic:spPr>
                    <a:xfrm rot="0">
                      <a:off x="0" y="0"/>
                      <a:ext cx="6308" cy="234933"/>
                    </a:xfrm>
                    <a:prstGeom prst="rect">
                      <a:avLst/>
                    </a:prstGeom>
                  </pic:spPr>
                </pic:pic>
              </a:graphicData>
            </a:graphic>
          </wp:inline>
        </w:drawing>
      </w:r>
      <w:r>
        <w:rPr>
          <w:rFonts w:ascii="SimSun" w:hAnsi="SimSun" w:eastAsia="SimSun" w:cs="SimSun"/>
          <w:sz w:val="22"/>
          <w:szCs w:val="22"/>
          <w:spacing w:val="5"/>
        </w:rPr>
        <w:t xml:space="preserve"> </w:t>
      </w:r>
      <w:r>
        <w:rPr>
          <w:rFonts w:ascii="SimSun" w:hAnsi="SimSun" w:eastAsia="SimSun" w:cs="SimSun"/>
          <w:sz w:val="22"/>
          <w:szCs w:val="22"/>
          <w:b/>
          <w:bCs/>
          <w:spacing w:val="-29"/>
          <w:w w:val="96"/>
        </w:rPr>
        <w:t>■云端数据治理■</w:t>
      </w:r>
    </w:p>
    <w:p>
      <w:pPr>
        <w:ind w:left="682"/>
        <w:spacing w:before="293" w:line="221" w:lineRule="auto"/>
        <w:rPr>
          <w:rFonts w:ascii="SimHei" w:hAnsi="SimHei" w:eastAsia="SimHei" w:cs="SimHei"/>
          <w:sz w:val="22"/>
          <w:szCs w:val="22"/>
        </w:rPr>
      </w:pPr>
      <w:r>
        <w:rPr>
          <w:rFonts w:ascii="SimSun" w:hAnsi="SimSun" w:eastAsia="SimSun" w:cs="SimSun"/>
          <w:sz w:val="22"/>
          <w:szCs w:val="22"/>
          <w:b/>
          <w:bCs/>
          <w:spacing w:val="-7"/>
        </w:rPr>
        <w:t>Level</w:t>
      </w:r>
      <w:r>
        <w:rPr>
          <w:rFonts w:ascii="SimSun" w:hAnsi="SimSun" w:eastAsia="SimSun" w:cs="SimSun"/>
          <w:sz w:val="22"/>
          <w:szCs w:val="22"/>
          <w:spacing w:val="-7"/>
        </w:rPr>
        <w:t xml:space="preserve"> </w:t>
      </w:r>
      <w:r>
        <w:rPr>
          <w:rFonts w:ascii="SimSun" w:hAnsi="SimSun" w:eastAsia="SimSun" w:cs="SimSun"/>
          <w:sz w:val="22"/>
          <w:szCs w:val="22"/>
          <w:b/>
          <w:bCs/>
          <w:spacing w:val="-7"/>
        </w:rPr>
        <w:t>4:</w:t>
      </w:r>
      <w:r>
        <w:rPr>
          <w:rFonts w:ascii="SimHei" w:hAnsi="SimHei" w:eastAsia="SimHei" w:cs="SimHei"/>
          <w:sz w:val="22"/>
          <w:szCs w:val="22"/>
          <w:b/>
          <w:bCs/>
          <w:spacing w:val="-7"/>
        </w:rPr>
        <w:t>量化级</w:t>
      </w:r>
    </w:p>
    <w:p>
      <w:pPr>
        <w:spacing w:line="117"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2"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07" w:hRule="atLeast"/>
        </w:trPr>
        <w:tc>
          <w:tcPr>
            <w:tcW w:w="714" w:type="dxa"/>
            <w:vAlign w:val="top"/>
          </w:tcPr>
          <w:p>
            <w:pPr>
              <w:spacing w:line="465" w:lineRule="auto"/>
              <w:rPr>
                <w:rFonts w:ascii="Arial"/>
                <w:sz w:val="21"/>
              </w:rPr>
            </w:pPr>
            <w:r/>
          </w:p>
          <w:p>
            <w:pPr>
              <w:pStyle w:val="TableText"/>
              <w:ind w:left="224"/>
              <w:spacing w:before="52" w:line="184" w:lineRule="auto"/>
              <w:rPr>
                <w:sz w:val="16"/>
                <w:szCs w:val="16"/>
              </w:rPr>
            </w:pPr>
            <w:r>
              <w:rPr>
                <w:sz w:val="16"/>
                <w:szCs w:val="16"/>
                <w:spacing w:val="-2"/>
              </w:rPr>
              <w:t>4.1</w:t>
            </w:r>
          </w:p>
        </w:tc>
        <w:tc>
          <w:tcPr>
            <w:tcW w:w="3145" w:type="dxa"/>
            <w:vAlign w:val="top"/>
          </w:tcPr>
          <w:p>
            <w:pPr>
              <w:spacing w:line="304" w:lineRule="auto"/>
              <w:rPr>
                <w:rFonts w:ascii="Arial"/>
                <w:sz w:val="21"/>
              </w:rPr>
            </w:pPr>
            <w:r/>
          </w:p>
          <w:p>
            <w:pPr>
              <w:pStyle w:val="TableText"/>
              <w:ind w:left="120" w:firstLine="149"/>
              <w:spacing w:before="52" w:line="273" w:lineRule="auto"/>
              <w:rPr>
                <w:sz w:val="16"/>
                <w:szCs w:val="16"/>
              </w:rPr>
            </w:pPr>
            <w:r>
              <w:rPr>
                <w:sz w:val="16"/>
                <w:szCs w:val="16"/>
                <w:spacing w:val="-1"/>
              </w:rPr>
              <w:t>制订培训计划及管理制度，持续提升数据</w:t>
            </w:r>
            <w:r>
              <w:rPr>
                <w:sz w:val="16"/>
                <w:szCs w:val="16"/>
                <w:spacing w:val="1"/>
              </w:rPr>
              <w:t xml:space="preserve"> </w:t>
            </w:r>
            <w:r>
              <w:rPr>
                <w:sz w:val="16"/>
                <w:szCs w:val="16"/>
                <w:spacing w:val="-2"/>
              </w:rPr>
              <w:t>治理人员知识技能</w:t>
            </w:r>
          </w:p>
        </w:tc>
        <w:tc>
          <w:tcPr>
            <w:tcW w:w="3740" w:type="dxa"/>
            <w:vAlign w:val="top"/>
          </w:tcPr>
          <w:p>
            <w:pPr>
              <w:pStyle w:val="TableText"/>
              <w:ind w:left="265"/>
              <w:spacing w:before="90" w:line="220" w:lineRule="auto"/>
              <w:rPr>
                <w:sz w:val="16"/>
                <w:szCs w:val="16"/>
              </w:rPr>
            </w:pPr>
            <w:r>
              <w:rPr>
                <w:sz w:val="16"/>
                <w:szCs w:val="16"/>
                <w:spacing w:val="2"/>
              </w:rPr>
              <w:t>●培训计划</w:t>
            </w:r>
          </w:p>
          <w:p>
            <w:pPr>
              <w:pStyle w:val="TableText"/>
              <w:ind w:left="265"/>
              <w:spacing w:before="88" w:line="219" w:lineRule="auto"/>
              <w:rPr>
                <w:sz w:val="16"/>
                <w:szCs w:val="16"/>
              </w:rPr>
            </w:pPr>
            <w:r>
              <w:rPr>
                <w:sz w:val="16"/>
                <w:szCs w:val="16"/>
                <w:spacing w:val="1"/>
              </w:rPr>
              <w:t>●培训管理制度</w:t>
            </w:r>
          </w:p>
          <w:p>
            <w:pPr>
              <w:pStyle w:val="TableText"/>
              <w:ind w:left="265"/>
              <w:spacing w:before="80" w:line="219" w:lineRule="auto"/>
              <w:rPr>
                <w:sz w:val="16"/>
                <w:szCs w:val="16"/>
              </w:rPr>
            </w:pPr>
            <w:r>
              <w:rPr>
                <w:sz w:val="16"/>
                <w:szCs w:val="16"/>
              </w:rPr>
              <w:t>●培训记录文件</w:t>
            </w:r>
          </w:p>
          <w:p>
            <w:pPr>
              <w:pStyle w:val="TableText"/>
              <w:ind w:left="265"/>
              <w:spacing w:before="89" w:line="205" w:lineRule="auto"/>
              <w:rPr>
                <w:sz w:val="16"/>
                <w:szCs w:val="16"/>
              </w:rPr>
            </w:pPr>
            <w:r>
              <w:rPr>
                <w:sz w:val="16"/>
                <w:szCs w:val="16"/>
              </w:rPr>
              <w:t>●培训教材/课件</w:t>
            </w:r>
          </w:p>
        </w:tc>
      </w:tr>
    </w:tbl>
    <w:p>
      <w:pPr>
        <w:ind w:left="569"/>
        <w:spacing w:before="21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229" w:firstLine="449"/>
        <w:spacing w:before="30" w:line="251" w:lineRule="auto"/>
        <w:rPr>
          <w:rFonts w:ascii="SimSun" w:hAnsi="SimSun" w:eastAsia="SimSun" w:cs="SimSun"/>
          <w:sz w:val="22"/>
          <w:szCs w:val="22"/>
        </w:rPr>
      </w:pPr>
      <w:r>
        <w:rPr>
          <w:rFonts w:ascii="SimSun" w:hAnsi="SimSun" w:eastAsia="SimSun" w:cs="SimSun"/>
          <w:sz w:val="22"/>
          <w:szCs w:val="22"/>
          <w:spacing w:val="-8"/>
        </w:rPr>
        <w:t>组织应识别数据治理各岗位、各级别的培训要求，制订</w:t>
      </w:r>
      <w:r>
        <w:rPr>
          <w:rFonts w:ascii="SimSun" w:hAnsi="SimSun" w:eastAsia="SimSun" w:cs="SimSun"/>
          <w:sz w:val="22"/>
          <w:szCs w:val="22"/>
          <w:spacing w:val="-9"/>
        </w:rPr>
        <w:t>培训计划，培训内容包</w:t>
      </w:r>
      <w:r>
        <w:rPr>
          <w:rFonts w:ascii="SimSun" w:hAnsi="SimSun" w:eastAsia="SimSun" w:cs="SimSun"/>
          <w:sz w:val="22"/>
          <w:szCs w:val="22"/>
        </w:rPr>
        <w:t xml:space="preserve"> </w:t>
      </w:r>
      <w:r>
        <w:rPr>
          <w:rFonts w:ascii="SimSun" w:hAnsi="SimSun" w:eastAsia="SimSun" w:cs="SimSun"/>
          <w:sz w:val="22"/>
          <w:szCs w:val="22"/>
          <w:spacing w:val="-9"/>
        </w:rPr>
        <w:t>括管理、技术、操作及综合知识等。应制订培训管理制度、保存培训记录文件，如</w:t>
      </w:r>
      <w:r>
        <w:rPr>
          <w:rFonts w:ascii="SimSun" w:hAnsi="SimSun" w:eastAsia="SimSun" w:cs="SimSun"/>
          <w:sz w:val="22"/>
          <w:szCs w:val="22"/>
          <w:spacing w:val="9"/>
        </w:rPr>
        <w:t xml:space="preserve">  </w:t>
      </w:r>
      <w:r>
        <w:rPr>
          <w:rFonts w:ascii="SimSun" w:hAnsi="SimSun" w:eastAsia="SimSun" w:cs="SimSun"/>
          <w:sz w:val="22"/>
          <w:szCs w:val="22"/>
          <w:spacing w:val="-14"/>
        </w:rPr>
        <w:t>培训需求、培训计划、培训课程体系及教材/课件、培训实施记录</w:t>
      </w:r>
      <w:r>
        <w:rPr>
          <w:rFonts w:ascii="SimSun" w:hAnsi="SimSun" w:eastAsia="SimSun" w:cs="SimSun"/>
          <w:sz w:val="22"/>
          <w:szCs w:val="22"/>
          <w:spacing w:val="-15"/>
        </w:rPr>
        <w:t>、培训效果评价等。</w:t>
      </w:r>
    </w:p>
    <w:p>
      <w:pPr>
        <w:spacing w:line="128" w:lineRule="exact"/>
        <w:rPr/>
      </w:pPr>
      <w:r/>
    </w:p>
    <w:tbl>
      <w:tblPr>
        <w:tblStyle w:val="TableNormal"/>
        <w:tblW w:w="7602" w:type="dxa"/>
        <w:tblInd w:w="28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7"/>
        <w:gridCol w:w="3741"/>
      </w:tblGrid>
      <w:tr>
        <w:trPr>
          <w:trHeight w:val="311" w:hRule="atLeast"/>
        </w:trPr>
        <w:tc>
          <w:tcPr>
            <w:tcW w:w="714" w:type="dxa"/>
            <w:vAlign w:val="top"/>
            <w:tcBorders>
              <w:left w:val="single" w:color="000000" w:sz="2" w:space="0"/>
            </w:tcBorders>
          </w:tcPr>
          <w:p>
            <w:pPr>
              <w:pStyle w:val="TableText"/>
              <w:ind w:left="189"/>
              <w:spacing w:before="82" w:line="221" w:lineRule="auto"/>
              <w:rPr>
                <w:sz w:val="16"/>
                <w:szCs w:val="16"/>
              </w:rPr>
            </w:pPr>
            <w:r>
              <w:rPr>
                <w:sz w:val="16"/>
                <w:szCs w:val="16"/>
                <w:spacing w:val="-2"/>
              </w:rPr>
              <w:t>序号</w:t>
            </w:r>
          </w:p>
        </w:tc>
        <w:tc>
          <w:tcPr>
            <w:tcW w:w="3147" w:type="dxa"/>
            <w:vAlign w:val="top"/>
          </w:tcPr>
          <w:p>
            <w:pPr>
              <w:pStyle w:val="TableText"/>
              <w:ind w:left="1163"/>
              <w:spacing w:before="81" w:line="219" w:lineRule="auto"/>
              <w:rPr>
                <w:sz w:val="16"/>
                <w:szCs w:val="16"/>
              </w:rPr>
            </w:pPr>
            <w:r>
              <w:rPr>
                <w:sz w:val="16"/>
                <w:szCs w:val="16"/>
                <w:spacing w:val="-4"/>
              </w:rPr>
              <w:t>等 级 要 求</w:t>
            </w:r>
          </w:p>
        </w:tc>
        <w:tc>
          <w:tcPr>
            <w:tcW w:w="3741"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14" w:type="dxa"/>
            <w:vAlign w:val="top"/>
            <w:tcBorders>
              <w:left w:val="single" w:color="000000" w:sz="2" w:space="0"/>
            </w:tcBorders>
          </w:tcPr>
          <w:p>
            <w:pPr>
              <w:pStyle w:val="TableText"/>
              <w:ind w:left="229"/>
              <w:spacing w:before="241" w:line="183" w:lineRule="auto"/>
              <w:rPr>
                <w:sz w:val="16"/>
                <w:szCs w:val="16"/>
              </w:rPr>
            </w:pPr>
            <w:r>
              <w:rPr>
                <w:sz w:val="16"/>
                <w:szCs w:val="16"/>
                <w:spacing w:val="-2"/>
              </w:rPr>
              <w:t>4.2</w:t>
            </w:r>
          </w:p>
        </w:tc>
        <w:tc>
          <w:tcPr>
            <w:tcW w:w="3147" w:type="dxa"/>
            <w:vAlign w:val="top"/>
          </w:tcPr>
          <w:p>
            <w:pPr>
              <w:pStyle w:val="TableText"/>
              <w:ind w:left="123" w:right="1" w:firstLine="140"/>
              <w:spacing w:before="81" w:line="265" w:lineRule="auto"/>
              <w:rPr>
                <w:sz w:val="16"/>
                <w:szCs w:val="16"/>
              </w:rPr>
            </w:pPr>
            <w:r>
              <w:rPr>
                <w:sz w:val="16"/>
                <w:szCs w:val="16"/>
                <w:spacing w:val="-1"/>
              </w:rPr>
              <w:t>为数据治理组织制订绩效管理办法，建立</w:t>
            </w:r>
            <w:r>
              <w:rPr>
                <w:sz w:val="16"/>
                <w:szCs w:val="16"/>
                <w:spacing w:val="8"/>
              </w:rPr>
              <w:t xml:space="preserve"> </w:t>
            </w:r>
            <w:r>
              <w:rPr>
                <w:sz w:val="16"/>
                <w:szCs w:val="16"/>
                <w:spacing w:val="3"/>
              </w:rPr>
              <w:t>考核体系</w:t>
            </w:r>
          </w:p>
        </w:tc>
        <w:tc>
          <w:tcPr>
            <w:tcW w:w="3741" w:type="dxa"/>
            <w:vAlign w:val="top"/>
          </w:tcPr>
          <w:p>
            <w:pPr>
              <w:pStyle w:val="TableText"/>
              <w:ind w:left="266"/>
              <w:spacing w:before="70" w:line="219" w:lineRule="auto"/>
              <w:rPr>
                <w:sz w:val="16"/>
                <w:szCs w:val="16"/>
              </w:rPr>
            </w:pPr>
            <w:r>
              <w:rPr>
                <w:sz w:val="16"/>
                <w:szCs w:val="16"/>
              </w:rPr>
              <w:t>●绩效管理办法</w:t>
            </w:r>
          </w:p>
          <w:p>
            <w:pPr>
              <w:pStyle w:val="TableText"/>
              <w:ind w:left="266"/>
              <w:spacing w:before="90" w:line="219" w:lineRule="auto"/>
              <w:rPr>
                <w:sz w:val="16"/>
                <w:szCs w:val="16"/>
              </w:rPr>
            </w:pPr>
            <w:r>
              <w:rPr>
                <w:sz w:val="16"/>
                <w:szCs w:val="16"/>
                <w:spacing w:val="1"/>
              </w:rPr>
              <w:t>●管理手册</w:t>
            </w:r>
          </w:p>
        </w:tc>
      </w:tr>
    </w:tbl>
    <w:p>
      <w:pPr>
        <w:ind w:left="56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229" w:right="52" w:firstLine="449"/>
        <w:spacing w:before="40" w:line="252" w:lineRule="auto"/>
        <w:rPr>
          <w:rFonts w:ascii="SimSun" w:hAnsi="SimSun" w:eastAsia="SimSun" w:cs="SimSun"/>
          <w:sz w:val="22"/>
          <w:szCs w:val="22"/>
        </w:rPr>
      </w:pPr>
      <w:r>
        <w:rPr>
          <w:rFonts w:ascii="SimSun" w:hAnsi="SimSun" w:eastAsia="SimSun" w:cs="SimSun"/>
          <w:sz w:val="22"/>
          <w:szCs w:val="22"/>
          <w:spacing w:val="-8"/>
        </w:rPr>
        <w:t>制订绩效管理办法，建立考核体系，考核体系应与数据治理组织和业务目</w:t>
      </w:r>
      <w:r>
        <w:rPr>
          <w:rFonts w:ascii="SimSun" w:hAnsi="SimSun" w:eastAsia="SimSun" w:cs="SimSun"/>
          <w:sz w:val="22"/>
          <w:szCs w:val="22"/>
          <w:spacing w:val="-9"/>
        </w:rPr>
        <w:t>标相</w:t>
      </w:r>
      <w:r>
        <w:rPr>
          <w:rFonts w:ascii="SimSun" w:hAnsi="SimSun" w:eastAsia="SimSun" w:cs="SimSun"/>
          <w:sz w:val="22"/>
          <w:szCs w:val="22"/>
        </w:rPr>
        <w:t xml:space="preserve"> </w:t>
      </w:r>
      <w:r>
        <w:rPr>
          <w:rFonts w:ascii="SimSun" w:hAnsi="SimSun" w:eastAsia="SimSun" w:cs="SimSun"/>
          <w:sz w:val="22"/>
          <w:szCs w:val="22"/>
          <w:spacing w:val="-10"/>
        </w:rPr>
        <w:t>匹配；根据不同岗位制订具体的、差异化的考核指标。</w:t>
      </w:r>
    </w:p>
    <w:p>
      <w:pPr>
        <w:pStyle w:val="BodyText"/>
        <w:ind w:left="679"/>
        <w:spacing w:before="43" w:line="221" w:lineRule="auto"/>
        <w:rPr>
          <w:rFonts w:ascii="SimHei" w:hAnsi="SimHei" w:eastAsia="SimHei" w:cs="SimHei"/>
          <w:sz w:val="22"/>
          <w:szCs w:val="22"/>
        </w:rPr>
      </w:pPr>
      <w:r>
        <w:rPr>
          <w:sz w:val="22"/>
          <w:szCs w:val="22"/>
          <w:b/>
          <w:bCs/>
          <w:spacing w:val="-6"/>
        </w:rPr>
        <w:t>Level 5:</w:t>
      </w:r>
      <w:r>
        <w:rPr>
          <w:sz w:val="22"/>
          <w:szCs w:val="22"/>
          <w:b/>
          <w:bCs/>
          <w:spacing w:val="32"/>
        </w:rPr>
        <w:t xml:space="preserve"> </w:t>
      </w:r>
      <w:r>
        <w:rPr>
          <w:rFonts w:ascii="SimHei" w:hAnsi="SimHei" w:eastAsia="SimHei" w:cs="SimHei"/>
          <w:sz w:val="22"/>
          <w:szCs w:val="22"/>
          <w:b/>
          <w:bCs/>
          <w:spacing w:val="-6"/>
        </w:rPr>
        <w:t>优化级</w:t>
      </w:r>
    </w:p>
    <w:p>
      <w:pPr>
        <w:spacing w:line="128"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2"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14" w:type="dxa"/>
            <w:vAlign w:val="top"/>
          </w:tcPr>
          <w:p>
            <w:pPr>
              <w:spacing w:line="326" w:lineRule="auto"/>
              <w:rPr>
                <w:rFonts w:ascii="Arial"/>
                <w:sz w:val="21"/>
              </w:rPr>
            </w:pPr>
            <w:r/>
          </w:p>
          <w:p>
            <w:pPr>
              <w:pStyle w:val="TableText"/>
              <w:ind w:left="224"/>
              <w:spacing w:before="52" w:line="184" w:lineRule="auto"/>
              <w:rPr>
                <w:sz w:val="16"/>
                <w:szCs w:val="16"/>
              </w:rPr>
            </w:pPr>
            <w:r>
              <w:rPr>
                <w:sz w:val="16"/>
                <w:szCs w:val="16"/>
                <w:spacing w:val="-3"/>
              </w:rPr>
              <w:t>5.1</w:t>
            </w:r>
          </w:p>
        </w:tc>
        <w:tc>
          <w:tcPr>
            <w:tcW w:w="3145" w:type="dxa"/>
            <w:vAlign w:val="top"/>
          </w:tcPr>
          <w:p>
            <w:pPr>
              <w:spacing w:line="284" w:lineRule="auto"/>
              <w:rPr>
                <w:rFonts w:ascii="Arial"/>
                <w:sz w:val="21"/>
              </w:rPr>
            </w:pPr>
            <w:r/>
          </w:p>
          <w:p>
            <w:pPr>
              <w:pStyle w:val="TableText"/>
              <w:ind w:left="260"/>
              <w:spacing w:before="52" w:line="219" w:lineRule="auto"/>
              <w:rPr>
                <w:sz w:val="16"/>
                <w:szCs w:val="16"/>
              </w:rPr>
            </w:pPr>
            <w:r>
              <w:rPr>
                <w:sz w:val="16"/>
                <w:szCs w:val="16"/>
                <w:spacing w:val="-1"/>
              </w:rPr>
              <w:t>建立培训讲师库和培训教材库</w:t>
            </w:r>
          </w:p>
        </w:tc>
        <w:tc>
          <w:tcPr>
            <w:tcW w:w="3740" w:type="dxa"/>
            <w:vAlign w:val="top"/>
          </w:tcPr>
          <w:p>
            <w:pPr>
              <w:pStyle w:val="TableText"/>
              <w:ind w:left="255"/>
              <w:spacing w:before="88" w:line="219" w:lineRule="auto"/>
              <w:rPr>
                <w:sz w:val="16"/>
                <w:szCs w:val="16"/>
              </w:rPr>
            </w:pPr>
            <w:r>
              <w:rPr>
                <w:sz w:val="16"/>
                <w:szCs w:val="16"/>
                <w:spacing w:val="1"/>
              </w:rPr>
              <w:t>●培训讲师人才库</w:t>
            </w:r>
          </w:p>
          <w:p>
            <w:pPr>
              <w:pStyle w:val="TableText"/>
              <w:ind w:left="255"/>
              <w:spacing w:before="80" w:line="219" w:lineRule="auto"/>
              <w:rPr>
                <w:sz w:val="16"/>
                <w:szCs w:val="16"/>
              </w:rPr>
            </w:pPr>
            <w:r>
              <w:rPr>
                <w:sz w:val="16"/>
                <w:szCs w:val="16"/>
                <w:spacing w:val="1"/>
              </w:rPr>
              <w:t>●培训教材</w:t>
            </w:r>
          </w:p>
          <w:p>
            <w:pPr>
              <w:pStyle w:val="TableText"/>
              <w:ind w:left="255"/>
              <w:spacing w:before="81" w:line="217" w:lineRule="auto"/>
              <w:rPr>
                <w:sz w:val="16"/>
                <w:szCs w:val="16"/>
              </w:rPr>
            </w:pPr>
            <w:r>
              <w:rPr>
                <w:sz w:val="16"/>
                <w:szCs w:val="16"/>
                <w:spacing w:val="1"/>
              </w:rPr>
              <w:t>●培训记录</w:t>
            </w:r>
          </w:p>
        </w:tc>
      </w:tr>
    </w:tbl>
    <w:p>
      <w:pPr>
        <w:ind w:left="56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29" w:right="78" w:firstLine="449"/>
        <w:spacing w:before="49" w:line="252" w:lineRule="auto"/>
        <w:rPr>
          <w:rFonts w:ascii="SimSun" w:hAnsi="SimSun" w:eastAsia="SimSun" w:cs="SimSun"/>
          <w:sz w:val="22"/>
          <w:szCs w:val="22"/>
        </w:rPr>
      </w:pPr>
      <w:r>
        <w:rPr>
          <w:rFonts w:ascii="SimSun" w:hAnsi="SimSun" w:eastAsia="SimSun" w:cs="SimSun"/>
          <w:sz w:val="22"/>
          <w:szCs w:val="22"/>
          <w:spacing w:val="-9"/>
        </w:rPr>
        <w:t>为持续提升数据治理人员职业技能建立培训讲师库和培训教材库，培训教材覆</w:t>
      </w:r>
      <w:r>
        <w:rPr>
          <w:rFonts w:ascii="SimSun" w:hAnsi="SimSun" w:eastAsia="SimSun" w:cs="SimSun"/>
          <w:sz w:val="22"/>
          <w:szCs w:val="22"/>
          <w:spacing w:val="6"/>
        </w:rPr>
        <w:t xml:space="preserve"> </w:t>
      </w:r>
      <w:r>
        <w:rPr>
          <w:rFonts w:ascii="SimSun" w:hAnsi="SimSun" w:eastAsia="SimSun" w:cs="SimSun"/>
          <w:sz w:val="22"/>
          <w:szCs w:val="22"/>
          <w:spacing w:val="-9"/>
        </w:rPr>
        <w:t>盖了管理、工具、技术、过程等内容。并对培训效果进行了总结分析和改进，分析</w:t>
      </w:r>
      <w:r>
        <w:rPr>
          <w:rFonts w:ascii="SimSun" w:hAnsi="SimSun" w:eastAsia="SimSun" w:cs="SimSun"/>
          <w:sz w:val="22"/>
          <w:szCs w:val="22"/>
          <w:spacing w:val="12"/>
        </w:rPr>
        <w:t xml:space="preserve"> </w:t>
      </w:r>
      <w:r>
        <w:rPr>
          <w:rFonts w:ascii="SimSun" w:hAnsi="SimSun" w:eastAsia="SimSun" w:cs="SimSun"/>
          <w:sz w:val="22"/>
          <w:szCs w:val="22"/>
          <w:spacing w:val="-10"/>
        </w:rPr>
        <w:t>至少包括培训目标实现率、培训覆盖率、培训有效率等。</w:t>
      </w:r>
    </w:p>
    <w:p>
      <w:pPr>
        <w:ind w:left="683"/>
        <w:spacing w:before="204" w:line="222" w:lineRule="auto"/>
        <w:outlineLvl w:val="2"/>
        <w:rPr>
          <w:rFonts w:ascii="SimHei" w:hAnsi="SimHei" w:eastAsia="SimHei" w:cs="SimHei"/>
          <w:sz w:val="22"/>
          <w:szCs w:val="22"/>
        </w:rPr>
      </w:pPr>
      <w:r>
        <w:rPr>
          <w:rFonts w:ascii="SimHei" w:hAnsi="SimHei" w:eastAsia="SimHei" w:cs="SimHei"/>
          <w:sz w:val="22"/>
          <w:szCs w:val="22"/>
          <w:b/>
          <w:bCs/>
        </w:rPr>
        <w:t>4.</w:t>
      </w:r>
      <w:r>
        <w:rPr>
          <w:rFonts w:ascii="SimHei" w:hAnsi="SimHei" w:eastAsia="SimHei" w:cs="SimHei"/>
          <w:sz w:val="22"/>
          <w:szCs w:val="22"/>
        </w:rPr>
        <w:t xml:space="preserve"> </w:t>
      </w:r>
      <w:r>
        <w:rPr>
          <w:rFonts w:ascii="SimHei" w:hAnsi="SimHei" w:eastAsia="SimHei" w:cs="SimHei"/>
          <w:sz w:val="22"/>
          <w:szCs w:val="22"/>
          <w:b/>
          <w:bCs/>
        </w:rPr>
        <w:t>实施案例</w:t>
      </w:r>
    </w:p>
    <w:p>
      <w:pPr>
        <w:ind w:left="679"/>
        <w:spacing w:before="211" w:line="219" w:lineRule="auto"/>
        <w:rPr>
          <w:rFonts w:ascii="SimSun" w:hAnsi="SimSun" w:eastAsia="SimSun" w:cs="SimSun"/>
          <w:sz w:val="22"/>
          <w:szCs w:val="22"/>
        </w:rPr>
      </w:pPr>
      <w:r>
        <w:rPr>
          <w:rFonts w:ascii="SimSun" w:hAnsi="SimSun" w:eastAsia="SimSun" w:cs="SimSun"/>
          <w:sz w:val="22"/>
          <w:szCs w:val="22"/>
          <w:spacing w:val="3"/>
        </w:rPr>
        <w:t>(1)文件名称列表</w:t>
      </w:r>
    </w:p>
    <w:p>
      <w:pPr>
        <w:ind w:left="569"/>
        <w:spacing w:before="28" w:line="320" w:lineRule="exact"/>
        <w:rPr>
          <w:rFonts w:ascii="SimSun" w:hAnsi="SimSun" w:eastAsia="SimSun" w:cs="SimSun"/>
          <w:sz w:val="22"/>
          <w:szCs w:val="22"/>
        </w:rPr>
      </w:pPr>
      <w:r>
        <w:rPr>
          <w:rFonts w:ascii="SimSun" w:hAnsi="SimSun" w:eastAsia="SimSun" w:cs="SimSun"/>
          <w:sz w:val="22"/>
          <w:szCs w:val="22"/>
          <w:spacing w:val="-9"/>
          <w:position w:val="7"/>
        </w:rPr>
        <w:t>《基于角色分配的云端数据治理组织与角色职责》</w:t>
      </w:r>
    </w:p>
    <w:p>
      <w:pPr>
        <w:ind w:left="569"/>
        <w:spacing w:before="1" w:line="219" w:lineRule="auto"/>
        <w:rPr>
          <w:rFonts w:ascii="SimSun" w:hAnsi="SimSun" w:eastAsia="SimSun" w:cs="SimSun"/>
          <w:sz w:val="22"/>
          <w:szCs w:val="22"/>
        </w:rPr>
      </w:pPr>
      <w:r>
        <w:rPr>
          <w:rFonts w:ascii="YouYuan" w:hAnsi="YouYuan" w:eastAsia="YouYuan" w:cs="YouYuan"/>
          <w:sz w:val="22"/>
          <w:szCs w:val="22"/>
          <w:spacing w:val="-5"/>
        </w:rPr>
        <w:t>《X</w:t>
      </w:r>
      <w:r>
        <w:rPr>
          <w:rFonts w:ascii="Times New Roman" w:hAnsi="Times New Roman" w:eastAsia="Times New Roman" w:cs="Times New Roman"/>
          <w:sz w:val="22"/>
          <w:szCs w:val="22"/>
          <w:spacing w:val="-5"/>
        </w:rPr>
        <w:t>X</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5"/>
        </w:rPr>
        <w:t>公司人员管理办法》</w:t>
      </w:r>
    </w:p>
    <w:p>
      <w:pPr>
        <w:ind w:left="679"/>
        <w:spacing w:before="59" w:line="220" w:lineRule="auto"/>
        <w:rPr>
          <w:rFonts w:ascii="SimSun" w:hAnsi="SimSun" w:eastAsia="SimSun" w:cs="SimSun"/>
          <w:sz w:val="22"/>
          <w:szCs w:val="22"/>
        </w:rPr>
      </w:pPr>
      <w:r>
        <w:rPr>
          <w:rFonts w:ascii="SimSun" w:hAnsi="SimSun" w:eastAsia="SimSun" w:cs="SimSun"/>
          <w:sz w:val="22"/>
          <w:szCs w:val="22"/>
          <w:spacing w:val="4"/>
        </w:rPr>
        <w:t>(2)实施案例</w:t>
      </w:r>
    </w:p>
    <w:p>
      <w:pPr>
        <w:ind w:left="679"/>
        <w:spacing w:before="66" w:line="219" w:lineRule="auto"/>
        <w:rPr>
          <w:rFonts w:ascii="SimSun" w:hAnsi="SimSun" w:eastAsia="SimSun" w:cs="SimSun"/>
          <w:sz w:val="22"/>
          <w:szCs w:val="22"/>
        </w:rPr>
      </w:pPr>
      <w:r>
        <w:rPr>
          <w:rFonts w:ascii="SimSun" w:hAnsi="SimSun" w:eastAsia="SimSun" w:cs="SimSun"/>
          <w:sz w:val="22"/>
          <w:szCs w:val="22"/>
          <w:spacing w:val="-10"/>
        </w:rPr>
        <w:t>下表展示了基于角色分配的云端数据治理组织与角色职责。</w:t>
      </w:r>
    </w:p>
    <w:p>
      <w:pPr>
        <w:spacing w:line="219" w:lineRule="auto"/>
        <w:sectPr>
          <w:footerReference w:type="default" r:id="rId156"/>
          <w:pgSz w:w="8870" w:h="13400"/>
          <w:pgMar w:top="400" w:right="579" w:bottom="504" w:left="350" w:header="0" w:footer="286" w:gutter="0"/>
        </w:sectPr>
        <w:rPr>
          <w:rFonts w:ascii="SimSun" w:hAnsi="SimSun" w:eastAsia="SimSun" w:cs="SimSun"/>
          <w:sz w:val="22"/>
          <w:szCs w:val="22"/>
        </w:rPr>
      </w:pPr>
    </w:p>
    <w:p>
      <w:pPr>
        <w:ind w:left="5533"/>
        <w:spacing w:before="134" w:line="219" w:lineRule="auto"/>
        <w:rPr>
          <w:rFonts w:ascii="SimSun" w:hAnsi="SimSun" w:eastAsia="SimSun" w:cs="SimSun"/>
          <w:sz w:val="24"/>
          <w:szCs w:val="24"/>
        </w:rPr>
      </w:pPr>
      <w:r>
        <w:drawing>
          <wp:anchor distT="0" distB="0" distL="0" distR="0" simplePos="0" relativeHeight="253140992" behindDoc="0" locked="0" layoutInCell="0" allowOverlap="1">
            <wp:simplePos x="0" y="0"/>
            <wp:positionH relativeFrom="page">
              <wp:posOffset>5251449</wp:posOffset>
            </wp:positionH>
            <wp:positionV relativeFrom="page">
              <wp:posOffset>304792</wp:posOffset>
            </wp:positionV>
            <wp:extent cx="6350" cy="228637"/>
            <wp:effectExtent l="0" t="0" r="0" b="0"/>
            <wp:wrapNone/>
            <wp:docPr id="128" name="IM 128"/>
            <wp:cNvGraphicFramePr/>
            <a:graphic>
              <a:graphicData uri="http://schemas.openxmlformats.org/drawingml/2006/picture">
                <pic:pic>
                  <pic:nvPicPr>
                    <pic:cNvPr id="128" name="IM 128"/>
                    <pic:cNvPicPr/>
                  </pic:nvPicPr>
                  <pic:blipFill>
                    <a:blip r:embed="rId158"/>
                    <a:stretch>
                      <a:fillRect/>
                    </a:stretch>
                  </pic:blipFill>
                  <pic:spPr>
                    <a:xfrm rot="0">
                      <a:off x="0" y="0"/>
                      <a:ext cx="6350" cy="228637"/>
                    </a:xfrm>
                    <a:prstGeom prst="rect">
                      <a:avLst/>
                    </a:prstGeom>
                  </pic:spPr>
                </pic:pic>
              </a:graphicData>
            </a:graphic>
          </wp:anchor>
        </w:drawing>
      </w:r>
      <w:r>
        <w:drawing>
          <wp:anchor distT="0" distB="0" distL="0" distR="0" simplePos="0" relativeHeight="253129728" behindDoc="1" locked="0" layoutInCell="0" allowOverlap="1">
            <wp:simplePos x="0" y="0"/>
            <wp:positionH relativeFrom="page">
              <wp:posOffset>336538</wp:posOffset>
            </wp:positionH>
            <wp:positionV relativeFrom="page">
              <wp:posOffset>7619979</wp:posOffset>
            </wp:positionV>
            <wp:extent cx="4889529" cy="6381"/>
            <wp:effectExtent l="0" t="0" r="0" b="0"/>
            <wp:wrapNone/>
            <wp:docPr id="130" name="IM 130"/>
            <wp:cNvGraphicFramePr/>
            <a:graphic>
              <a:graphicData uri="http://schemas.openxmlformats.org/drawingml/2006/picture">
                <pic:pic>
                  <pic:nvPicPr>
                    <pic:cNvPr id="130" name="IM 130"/>
                    <pic:cNvPicPr/>
                  </pic:nvPicPr>
                  <pic:blipFill>
                    <a:blip r:embed="rId159"/>
                    <a:stretch>
                      <a:fillRect/>
                    </a:stretch>
                  </pic:blipFill>
                  <pic:spPr>
                    <a:xfrm rot="0">
                      <a:off x="0" y="0"/>
                      <a:ext cx="4889529" cy="6381"/>
                    </a:xfrm>
                    <a:prstGeom prst="rect">
                      <a:avLst/>
                    </a:prstGeom>
                  </pic:spPr>
                </pic:pic>
              </a:graphicData>
            </a:graphic>
          </wp:anchor>
        </w:drawing>
      </w:r>
      <w:bookmarkStart w:name="bookmark38" w:id="33"/>
      <w:bookmarkEnd w:id="33"/>
      <w:r>
        <w:rPr>
          <w:rFonts w:ascii="SimSun" w:hAnsi="SimSun" w:eastAsia="SimSun" w:cs="SimSun"/>
          <w:sz w:val="24"/>
          <w:szCs w:val="24"/>
          <w:b/>
          <w:bCs/>
          <w:spacing w:val="-13"/>
        </w:rPr>
        <w:t>第4章■云端数据战略</w:t>
      </w:r>
    </w:p>
    <w:p>
      <w:pPr>
        <w:pStyle w:val="BodyText"/>
        <w:spacing w:line="411" w:lineRule="auto"/>
        <w:rPr/>
      </w:pPr>
      <w:r/>
    </w:p>
    <w:p>
      <w:pPr>
        <w:ind w:left="2330"/>
        <w:spacing w:before="52" w:line="219" w:lineRule="auto"/>
        <w:rPr>
          <w:rFonts w:ascii="SimSun" w:hAnsi="SimSun" w:eastAsia="SimSun" w:cs="SimSun"/>
          <w:sz w:val="16"/>
          <w:szCs w:val="16"/>
        </w:rPr>
      </w:pPr>
      <w:r>
        <w:drawing>
          <wp:anchor distT="0" distB="0" distL="0" distR="0" simplePos="0" relativeHeight="253130752" behindDoc="1" locked="0" layoutInCell="1" allowOverlap="1">
            <wp:simplePos x="0" y="0"/>
            <wp:positionH relativeFrom="column">
              <wp:posOffset>0</wp:posOffset>
            </wp:positionH>
            <wp:positionV relativeFrom="paragraph">
              <wp:posOffset>-116493</wp:posOffset>
            </wp:positionV>
            <wp:extent cx="4895894" cy="6978656"/>
            <wp:effectExtent l="0" t="0" r="0" b="0"/>
            <wp:wrapNone/>
            <wp:docPr id="132" name="IM 132"/>
            <wp:cNvGraphicFramePr/>
            <a:graphic>
              <a:graphicData uri="http://schemas.openxmlformats.org/drawingml/2006/picture">
                <pic:pic>
                  <pic:nvPicPr>
                    <pic:cNvPr id="132" name="IM 132"/>
                    <pic:cNvPicPr/>
                  </pic:nvPicPr>
                  <pic:blipFill>
                    <a:blip r:embed="rId160"/>
                    <a:stretch>
                      <a:fillRect/>
                    </a:stretch>
                  </pic:blipFill>
                  <pic:spPr>
                    <a:xfrm rot="0">
                      <a:off x="0" y="0"/>
                      <a:ext cx="4895894" cy="6978656"/>
                    </a:xfrm>
                    <a:prstGeom prst="rect">
                      <a:avLst/>
                    </a:prstGeom>
                  </pic:spPr>
                </pic:pic>
              </a:graphicData>
            </a:graphic>
          </wp:anchor>
        </w:drawing>
      </w:r>
      <w:r>
        <w:rPr>
          <w:rFonts w:ascii="SimSun" w:hAnsi="SimSun" w:eastAsia="SimSun" w:cs="SimSun"/>
          <w:sz w:val="16"/>
          <w:szCs w:val="16"/>
          <w:spacing w:val="-10"/>
        </w:rPr>
        <w:t>基于角色分配的云端数据治理组织与角色职责</w:t>
      </w:r>
    </w:p>
    <w:p>
      <w:pPr>
        <w:ind w:left="310"/>
        <w:spacing w:before="101" w:line="219" w:lineRule="auto"/>
        <w:rPr>
          <w:rFonts w:ascii="SimSun" w:hAnsi="SimSun" w:eastAsia="SimSun" w:cs="SimSun"/>
          <w:sz w:val="16"/>
          <w:szCs w:val="16"/>
        </w:rPr>
      </w:pPr>
      <w:r>
        <w:drawing>
          <wp:anchor distT="0" distB="0" distL="0" distR="0" simplePos="0" relativeHeight="253131776" behindDoc="1" locked="0" layoutInCell="1" allowOverlap="1">
            <wp:simplePos x="0" y="0"/>
            <wp:positionH relativeFrom="column">
              <wp:posOffset>647731</wp:posOffset>
            </wp:positionH>
            <wp:positionV relativeFrom="paragraph">
              <wp:posOffset>149171</wp:posOffset>
            </wp:positionV>
            <wp:extent cx="3606795" cy="3225846"/>
            <wp:effectExtent l="0" t="0" r="0" b="0"/>
            <wp:wrapNone/>
            <wp:docPr id="134" name="IM 134"/>
            <wp:cNvGraphicFramePr/>
            <a:graphic>
              <a:graphicData uri="http://schemas.openxmlformats.org/drawingml/2006/picture">
                <pic:pic>
                  <pic:nvPicPr>
                    <pic:cNvPr id="134" name="IM 134"/>
                    <pic:cNvPicPr/>
                  </pic:nvPicPr>
                  <pic:blipFill>
                    <a:blip r:embed="rId161"/>
                    <a:stretch>
                      <a:fillRect/>
                    </a:stretch>
                  </pic:blipFill>
                  <pic:spPr>
                    <a:xfrm rot="0">
                      <a:off x="0" y="0"/>
                      <a:ext cx="3606795" cy="3225846"/>
                    </a:xfrm>
                    <a:prstGeom prst="rect">
                      <a:avLst/>
                    </a:prstGeom>
                  </pic:spPr>
                </pic:pic>
              </a:graphicData>
            </a:graphic>
          </wp:anchor>
        </w:drawing>
      </w:r>
      <w:r>
        <w:rPr>
          <w:rFonts w:ascii="SimSun" w:hAnsi="SimSun" w:eastAsia="SimSun" w:cs="SimSun"/>
          <w:sz w:val="16"/>
          <w:szCs w:val="16"/>
          <w:spacing w:val="-10"/>
        </w:rPr>
        <w:t>1</w:t>
      </w:r>
      <w:r>
        <w:rPr>
          <w:rFonts w:ascii="SimSun" w:hAnsi="SimSun" w:eastAsia="SimSun" w:cs="SimSun"/>
          <w:sz w:val="16"/>
          <w:szCs w:val="16"/>
          <w:spacing w:val="58"/>
        </w:rPr>
        <w:t xml:space="preserve"> </w:t>
      </w:r>
      <w:r>
        <w:rPr>
          <w:rFonts w:ascii="SimSun" w:hAnsi="SimSun" w:eastAsia="SimSun" w:cs="SimSun"/>
          <w:sz w:val="16"/>
          <w:szCs w:val="16"/>
          <w:spacing w:val="-10"/>
        </w:rPr>
        <w:t>云端数据治理组织架构</w:t>
      </w:r>
    </w:p>
    <w:p>
      <w:pPr>
        <w:pStyle w:val="BodyText"/>
        <w:spacing w:line="255" w:lineRule="auto"/>
        <w:rPr/>
      </w:pPr>
      <w:r/>
    </w:p>
    <w:p>
      <w:pPr>
        <w:ind w:left="3430"/>
        <w:spacing w:before="52" w:line="219" w:lineRule="auto"/>
        <w:rPr>
          <w:rFonts w:ascii="SimSun" w:hAnsi="SimSun" w:eastAsia="SimSun" w:cs="SimSun"/>
          <w:sz w:val="16"/>
          <w:szCs w:val="16"/>
        </w:rPr>
      </w:pPr>
      <w:r>
        <w:rPr>
          <w:rFonts w:ascii="SimSun" w:hAnsi="SimSun" w:eastAsia="SimSun" w:cs="SimSun"/>
          <w:sz w:val="16"/>
          <w:szCs w:val="16"/>
          <w:spacing w:val="-11"/>
        </w:rPr>
        <w:t>数据治理委员会</w:t>
      </w:r>
    </w:p>
    <w:p>
      <w:pPr>
        <w:ind w:left="3850"/>
        <w:spacing w:before="221" w:line="220" w:lineRule="auto"/>
        <w:rPr>
          <w:rFonts w:ascii="SimSun" w:hAnsi="SimSun" w:eastAsia="SimSun" w:cs="SimSun"/>
          <w:sz w:val="16"/>
          <w:szCs w:val="16"/>
        </w:rPr>
      </w:pPr>
      <w:r>
        <w:pict>
          <v:shape id="_x0000_s282" style="position:absolute;margin-left:92.5031pt;margin-top:9.55339pt;mso-position-vertical-relative:text;mso-position-horizontal-relative:text;width:69.5pt;height:32.95pt;z-index:253132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首席信息(数据)官</w:t>
                  </w:r>
                </w:p>
                <w:p>
                  <w:pPr>
                    <w:ind w:left="349"/>
                    <w:spacing w:before="239" w:line="219" w:lineRule="auto"/>
                    <w:rPr>
                      <w:rFonts w:ascii="SimSun" w:hAnsi="SimSun" w:eastAsia="SimSun" w:cs="SimSun"/>
                      <w:sz w:val="16"/>
                      <w:szCs w:val="16"/>
                    </w:rPr>
                  </w:pPr>
                  <w:r>
                    <w:rPr>
                      <w:rFonts w:ascii="SimSun" w:hAnsi="SimSun" w:eastAsia="SimSun" w:cs="SimSun"/>
                      <w:sz w:val="16"/>
                      <w:szCs w:val="16"/>
                      <w:spacing w:val="-5"/>
                    </w:rPr>
                    <w:t>供应链副总</w:t>
                  </w:r>
                </w:p>
              </w:txbxContent>
            </v:textbox>
          </v:shape>
        </w:pict>
      </w:r>
      <w:r>
        <w:rPr>
          <w:rFonts w:ascii="SimSun" w:hAnsi="SimSun" w:eastAsia="SimSun" w:cs="SimSun"/>
          <w:sz w:val="16"/>
          <w:szCs w:val="16"/>
          <w:spacing w:val="-10"/>
        </w:rPr>
        <w:t>首席财务官</w:t>
      </w:r>
      <w:r>
        <w:rPr>
          <w:rFonts w:ascii="SimSun" w:hAnsi="SimSun" w:eastAsia="SimSun" w:cs="SimSun"/>
          <w:sz w:val="16"/>
          <w:szCs w:val="16"/>
          <w:spacing w:val="5"/>
        </w:rPr>
        <w:t xml:space="preserve">       </w:t>
      </w:r>
      <w:r>
        <w:rPr>
          <w:rFonts w:ascii="SimSun" w:hAnsi="SimSun" w:eastAsia="SimSun" w:cs="SimSun"/>
          <w:sz w:val="16"/>
          <w:szCs w:val="16"/>
          <w:spacing w:val="-10"/>
        </w:rPr>
        <w:t>首席安全官</w:t>
      </w:r>
    </w:p>
    <w:p>
      <w:pPr>
        <w:ind w:left="4150"/>
        <w:spacing w:before="239" w:line="219" w:lineRule="auto"/>
        <w:rPr>
          <w:rFonts w:ascii="SimSun" w:hAnsi="SimSun" w:eastAsia="SimSun" w:cs="SimSun"/>
          <w:sz w:val="16"/>
          <w:szCs w:val="16"/>
        </w:rPr>
      </w:pPr>
      <w:r>
        <w:rPr>
          <w:rFonts w:ascii="SimSun" w:hAnsi="SimSun" w:eastAsia="SimSun" w:cs="SimSun"/>
          <w:sz w:val="16"/>
          <w:szCs w:val="16"/>
          <w:color w:val="FFFFFF"/>
          <w:spacing w:val="-6"/>
        </w:rPr>
        <w:t>相关业务副总</w:t>
      </w:r>
    </w:p>
    <w:p>
      <w:pPr>
        <w:pStyle w:val="BodyText"/>
        <w:spacing w:line="455" w:lineRule="auto"/>
        <w:rPr/>
      </w:pPr>
      <w:r/>
    </w:p>
    <w:p>
      <w:pPr>
        <w:ind w:left="3480"/>
        <w:spacing w:before="53" w:line="219" w:lineRule="auto"/>
        <w:rPr>
          <w:rFonts w:ascii="SimSun" w:hAnsi="SimSun" w:eastAsia="SimSun" w:cs="SimSun"/>
          <w:sz w:val="16"/>
          <w:szCs w:val="16"/>
        </w:rPr>
      </w:pPr>
      <w:r>
        <w:rPr>
          <w:rFonts w:ascii="SimSun" w:hAnsi="SimSun" w:eastAsia="SimSun" w:cs="SimSun"/>
          <w:sz w:val="16"/>
          <w:szCs w:val="16"/>
          <w:spacing w:val="-10"/>
        </w:rPr>
        <w:t>数据治理工作组</w:t>
      </w:r>
    </w:p>
    <w:p>
      <w:pPr>
        <w:ind w:left="4950"/>
        <w:spacing w:before="230" w:line="219" w:lineRule="auto"/>
        <w:rPr>
          <w:rFonts w:ascii="SimSun" w:hAnsi="SimSun" w:eastAsia="SimSun" w:cs="SimSun"/>
          <w:sz w:val="16"/>
          <w:szCs w:val="16"/>
        </w:rPr>
      </w:pPr>
      <w:r>
        <w:pict>
          <v:shape id="_x0000_s284" style="position:absolute;margin-left:92.5031pt;margin-top:10.5145pt;mso-position-vertical-relative:text;mso-position-horizontal-relative:text;width:47.35pt;height:35.45pt;z-index:2531348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信息管理总监</w:t>
                  </w:r>
                </w:p>
                <w:p>
                  <w:pPr>
                    <w:ind w:left="20"/>
                    <w:spacing w:before="289" w:line="219" w:lineRule="auto"/>
                    <w:rPr>
                      <w:rFonts w:ascii="SimSun" w:hAnsi="SimSun" w:eastAsia="SimSun" w:cs="SimSun"/>
                      <w:sz w:val="16"/>
                      <w:szCs w:val="16"/>
                    </w:rPr>
                  </w:pPr>
                  <w:r>
                    <w:rPr>
                      <w:rFonts w:ascii="SimSun" w:hAnsi="SimSun" w:eastAsia="SimSun" w:cs="SimSun"/>
                      <w:sz w:val="16"/>
                      <w:szCs w:val="16"/>
                      <w:spacing w:val="-8"/>
                    </w:rPr>
                    <w:t>供应链负责人</w:t>
                  </w:r>
                </w:p>
              </w:txbxContent>
            </v:textbox>
          </v:shape>
        </w:pict>
      </w:r>
      <w:r>
        <w:pict>
          <v:shape id="_x0000_s286" style="position:absolute;margin-left:170.501pt;margin-top:11.1063pt;mso-position-vertical-relative:text;mso-position-horizontal-relative:text;width:40.5pt;height:34.9pt;z-index:253136896;" filled="false" stroked="false" type="#_x0000_t202">
            <v:fill on="false"/>
            <v:stroke on="false"/>
            <v:path/>
            <v:imagedata o:title=""/>
            <o:lock v:ext="edit" aspectratio="false"/>
            <v:textbox inset="0mm,0mm,0mm,0mm">
              <w:txbxContent>
                <w:p>
                  <w:pPr>
                    <w:ind w:left="129"/>
                    <w:spacing w:before="20" w:line="221" w:lineRule="auto"/>
                    <w:rPr>
                      <w:rFonts w:ascii="SimSun" w:hAnsi="SimSun" w:eastAsia="SimSun" w:cs="SimSun"/>
                      <w:sz w:val="16"/>
                      <w:szCs w:val="16"/>
                    </w:rPr>
                  </w:pPr>
                  <w:r>
                    <w:rPr>
                      <w:rFonts w:ascii="SimSun" w:hAnsi="SimSun" w:eastAsia="SimSun" w:cs="SimSun"/>
                      <w:sz w:val="16"/>
                      <w:szCs w:val="16"/>
                      <w:spacing w:val="-9"/>
                    </w:rPr>
                    <w:t>合规总监</w:t>
                  </w:r>
                </w:p>
                <w:p>
                  <w:pPr>
                    <w:ind w:left="20"/>
                    <w:spacing w:before="275" w:line="219" w:lineRule="auto"/>
                    <w:rPr>
                      <w:rFonts w:ascii="SimSun" w:hAnsi="SimSun" w:eastAsia="SimSun" w:cs="SimSun"/>
                      <w:sz w:val="16"/>
                      <w:szCs w:val="16"/>
                    </w:rPr>
                  </w:pPr>
                  <w:r>
                    <w:rPr>
                      <w:rFonts w:ascii="SimSun" w:hAnsi="SimSun" w:eastAsia="SimSun" w:cs="SimSun"/>
                      <w:sz w:val="16"/>
                      <w:szCs w:val="16"/>
                      <w:spacing w:val="-5"/>
                    </w:rPr>
                    <w:t>数据科学家</w:t>
                  </w:r>
                </w:p>
              </w:txbxContent>
            </v:textbox>
          </v:shape>
        </w:pict>
      </w:r>
      <w:r>
        <w:rPr>
          <w:rFonts w:ascii="SimSun" w:hAnsi="SimSun" w:eastAsia="SimSun" w:cs="SimSun"/>
          <w:sz w:val="16"/>
          <w:szCs w:val="16"/>
          <w:spacing w:val="-5"/>
        </w:rPr>
        <w:t>信息安全总监</w:t>
      </w:r>
    </w:p>
    <w:p>
      <w:pPr>
        <w:ind w:left="4890"/>
        <w:spacing w:before="290" w:line="219" w:lineRule="auto"/>
        <w:rPr>
          <w:rFonts w:ascii="SimSun" w:hAnsi="SimSun" w:eastAsia="SimSun" w:cs="SimSun"/>
          <w:sz w:val="16"/>
          <w:szCs w:val="16"/>
        </w:rPr>
      </w:pPr>
      <w:r>
        <w:rPr>
          <w:rFonts w:ascii="SimSun" w:hAnsi="SimSun" w:eastAsia="SimSun" w:cs="SimSun"/>
          <w:sz w:val="16"/>
          <w:szCs w:val="16"/>
          <w:spacing w:val="-8"/>
        </w:rPr>
        <w:t>首席数据治理员</w:t>
      </w:r>
    </w:p>
    <w:p>
      <w:pPr>
        <w:pStyle w:val="BodyText"/>
        <w:spacing w:line="475" w:lineRule="auto"/>
        <w:rPr/>
      </w:pPr>
      <w:r/>
    </w:p>
    <w:p>
      <w:pPr>
        <w:ind w:left="3430"/>
        <w:spacing w:before="52" w:line="219" w:lineRule="auto"/>
        <w:rPr>
          <w:rFonts w:ascii="SimSun" w:hAnsi="SimSun" w:eastAsia="SimSun" w:cs="SimSun"/>
          <w:sz w:val="16"/>
          <w:szCs w:val="16"/>
        </w:rPr>
      </w:pPr>
      <w:r>
        <w:rPr>
          <w:rFonts w:ascii="SimSun" w:hAnsi="SimSun" w:eastAsia="SimSun" w:cs="SimSun"/>
          <w:sz w:val="16"/>
          <w:szCs w:val="16"/>
          <w:spacing w:val="-7"/>
        </w:rPr>
        <w:t>基层数据治理专员</w:t>
      </w:r>
    </w:p>
    <w:p>
      <w:pPr>
        <w:ind w:left="4890"/>
        <w:spacing w:before="211" w:line="219" w:lineRule="auto"/>
        <w:rPr>
          <w:rFonts w:ascii="SimSun" w:hAnsi="SimSun" w:eastAsia="SimSun" w:cs="SimSun"/>
          <w:sz w:val="16"/>
          <w:szCs w:val="16"/>
        </w:rPr>
      </w:pPr>
      <w:r>
        <w:pict>
          <v:shape id="_x0000_s288" style="position:absolute;margin-left:92.5031pt;margin-top:9.50953pt;mso-position-vertical-relative:text;mso-position-horizontal-relative:text;width:47.45pt;height:34.55pt;z-index:2531358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生产数据主管</w:t>
                  </w:r>
                </w:p>
                <w:p>
                  <w:pPr>
                    <w:ind w:left="109"/>
                    <w:spacing w:before="270" w:line="219" w:lineRule="auto"/>
                    <w:rPr>
                      <w:rFonts w:ascii="SimSun" w:hAnsi="SimSun" w:eastAsia="SimSun" w:cs="SimSun"/>
                      <w:sz w:val="16"/>
                      <w:szCs w:val="16"/>
                    </w:rPr>
                  </w:pPr>
                  <w:r>
                    <w:rPr>
                      <w:rFonts w:ascii="SimSun" w:hAnsi="SimSun" w:eastAsia="SimSun" w:cs="SimSun"/>
                      <w:sz w:val="16"/>
                      <w:szCs w:val="16"/>
                      <w:spacing w:val="-7"/>
                    </w:rPr>
                    <w:t>元数据专家</w:t>
                  </w:r>
                </w:p>
              </w:txbxContent>
            </v:textbox>
          </v:shape>
        </w:pict>
      </w:r>
      <w:r>
        <w:pict>
          <v:shape id="_x0000_s290" style="position:absolute;margin-left:165.002pt;margin-top:9.50953pt;mso-position-vertical-relative:text;mso-position-horizontal-relative:text;width:54.9pt;height:34.55pt;z-index:253133824;" filled="false" stroked="false" type="#_x0000_t202">
            <v:fill on="false"/>
            <v:stroke on="false"/>
            <v:path/>
            <v:imagedata o:title=""/>
            <o:lock v:ext="edit" aspectratio="false"/>
            <v:textbox inset="0mm,0mm,0mm,0mm">
              <w:txbxContent>
                <w:p>
                  <w:pPr>
                    <w:ind w:left="70"/>
                    <w:spacing w:before="20" w:line="219" w:lineRule="auto"/>
                    <w:rPr>
                      <w:rFonts w:ascii="SimSun" w:hAnsi="SimSun" w:eastAsia="SimSun" w:cs="SimSun"/>
                      <w:sz w:val="16"/>
                      <w:szCs w:val="16"/>
                    </w:rPr>
                  </w:pPr>
                  <w:r>
                    <w:rPr>
                      <w:rFonts w:ascii="SimSun" w:hAnsi="SimSun" w:eastAsia="SimSun" w:cs="SimSun"/>
                      <w:sz w:val="16"/>
                      <w:szCs w:val="16"/>
                      <w:spacing w:val="-5"/>
                    </w:rPr>
                    <w:t>财务数据主管</w:t>
                  </w:r>
                </w:p>
                <w:p>
                  <w:pPr>
                    <w:ind w:left="20"/>
                    <w:spacing w:before="270" w:line="219" w:lineRule="auto"/>
                    <w:rPr>
                      <w:rFonts w:ascii="SimSun" w:hAnsi="SimSun" w:eastAsia="SimSun" w:cs="SimSun"/>
                      <w:sz w:val="16"/>
                      <w:szCs w:val="16"/>
                    </w:rPr>
                  </w:pPr>
                  <w:r>
                    <w:rPr>
                      <w:rFonts w:ascii="SimSun" w:hAnsi="SimSun" w:eastAsia="SimSun" w:cs="SimSun"/>
                      <w:sz w:val="16"/>
                      <w:szCs w:val="16"/>
                      <w:spacing w:val="-8"/>
                    </w:rPr>
                    <w:t>数据质量分析师</w:t>
                  </w:r>
                </w:p>
              </w:txbxContent>
            </v:textbox>
          </v:shape>
        </w:pict>
      </w:r>
      <w:r>
        <w:rPr>
          <w:rFonts w:ascii="SimSun" w:hAnsi="SimSun" w:eastAsia="SimSun" w:cs="SimSun"/>
          <w:sz w:val="16"/>
          <w:szCs w:val="16"/>
          <w:spacing w:val="-4"/>
        </w:rPr>
        <w:t>顾客数据管理员</w:t>
      </w:r>
    </w:p>
    <w:p>
      <w:pPr>
        <w:ind w:left="4890"/>
        <w:spacing w:before="270" w:line="219" w:lineRule="auto"/>
        <w:rPr>
          <w:rFonts w:ascii="SimSun" w:hAnsi="SimSun" w:eastAsia="SimSun" w:cs="SimSun"/>
          <w:sz w:val="16"/>
          <w:szCs w:val="16"/>
        </w:rPr>
      </w:pPr>
      <w:r>
        <w:rPr>
          <w:rFonts w:ascii="SimSun" w:hAnsi="SimSun" w:eastAsia="SimSun" w:cs="SimSun"/>
          <w:sz w:val="16"/>
          <w:szCs w:val="16"/>
          <w:spacing w:val="-8"/>
        </w:rPr>
        <w:t>数据安全管理员</w:t>
      </w:r>
    </w:p>
    <w:p>
      <w:pPr>
        <w:pStyle w:val="BodyText"/>
        <w:spacing w:line="261" w:lineRule="auto"/>
        <w:rPr/>
      </w:pPr>
      <w:r/>
    </w:p>
    <w:p>
      <w:pPr>
        <w:pStyle w:val="BodyText"/>
        <w:spacing w:line="262" w:lineRule="auto"/>
        <w:rPr/>
      </w:pPr>
      <w:r/>
    </w:p>
    <w:p>
      <w:pPr>
        <w:ind w:left="290"/>
        <w:spacing w:before="53" w:line="219" w:lineRule="auto"/>
        <w:rPr>
          <w:rFonts w:ascii="SimSun" w:hAnsi="SimSun" w:eastAsia="SimSun" w:cs="SimSun"/>
          <w:sz w:val="16"/>
          <w:szCs w:val="16"/>
        </w:rPr>
      </w:pPr>
      <w:r>
        <w:rPr>
          <w:rFonts w:ascii="SimSun" w:hAnsi="SimSun" w:eastAsia="SimSun" w:cs="SimSun"/>
          <w:sz w:val="16"/>
          <w:szCs w:val="16"/>
          <w:spacing w:val="-6"/>
        </w:rPr>
        <w:t>2</w:t>
      </w:r>
      <w:r>
        <w:rPr>
          <w:rFonts w:ascii="SimSun" w:hAnsi="SimSun" w:eastAsia="SimSun" w:cs="SimSun"/>
          <w:sz w:val="16"/>
          <w:szCs w:val="16"/>
          <w:spacing w:val="71"/>
        </w:rPr>
        <w:t xml:space="preserve"> </w:t>
      </w:r>
      <w:r>
        <w:rPr>
          <w:rFonts w:ascii="SimSun" w:hAnsi="SimSun" w:eastAsia="SimSun" w:cs="SimSun"/>
          <w:sz w:val="16"/>
          <w:szCs w:val="16"/>
          <w:spacing w:val="-6"/>
        </w:rPr>
        <w:t>角色与职责</w:t>
      </w:r>
    </w:p>
    <w:p>
      <w:pPr>
        <w:ind w:left="4940"/>
        <w:spacing w:before="261" w:line="221" w:lineRule="auto"/>
        <w:rPr>
          <w:rFonts w:ascii="SimSun" w:hAnsi="SimSun" w:eastAsia="SimSun" w:cs="SimSun"/>
          <w:sz w:val="15"/>
          <w:szCs w:val="15"/>
        </w:rPr>
      </w:pPr>
      <w:r>
        <w:pict>
          <v:shape id="_x0000_s292" style="position:absolute;margin-left:108.5pt;margin-top:12.002pt;mso-position-vertical-relative:text;mso-position-horizontal-relative:text;width:24.1pt;height:10.9pt;z-index:25313996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5"/>
                    </w:rPr>
                    <w:t>角</w:t>
                  </w:r>
                  <w:r>
                    <w:rPr>
                      <w:rFonts w:ascii="SimSun" w:hAnsi="SimSun" w:eastAsia="SimSun" w:cs="SimSun"/>
                      <w:sz w:val="15"/>
                      <w:szCs w:val="15"/>
                      <w:spacing w:val="4"/>
                    </w:rPr>
                    <w:t xml:space="preserve">  </w:t>
                  </w:r>
                  <w:r>
                    <w:rPr>
                      <w:rFonts w:ascii="SimSun" w:hAnsi="SimSun" w:eastAsia="SimSun" w:cs="SimSun"/>
                      <w:sz w:val="15"/>
                      <w:szCs w:val="15"/>
                      <w:spacing w:val="-5"/>
                    </w:rPr>
                    <w:t>色</w:t>
                  </w:r>
                </w:p>
              </w:txbxContent>
            </v:textbox>
          </v:shape>
        </w:pict>
      </w:r>
      <w:r>
        <w:pict>
          <v:shape id="_x0000_s294" style="position:absolute;margin-left:26.0003pt;margin-top:12.0545pt;mso-position-vertical-relative:text;mso-position-horizontal-relative:text;width:44.5pt;height:10.95pt;z-index:25313894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6"/>
                    </w:rPr>
                    <w:t>组</w:t>
                  </w:r>
                  <w:r>
                    <w:rPr>
                      <w:rFonts w:ascii="SimSun" w:hAnsi="SimSun" w:eastAsia="SimSun" w:cs="SimSun"/>
                      <w:sz w:val="15"/>
                      <w:szCs w:val="15"/>
                      <w:spacing w:val="19"/>
                      <w:w w:val="101"/>
                    </w:rPr>
                    <w:t xml:space="preserve"> </w:t>
                  </w:r>
                  <w:r>
                    <w:rPr>
                      <w:rFonts w:ascii="SimSun" w:hAnsi="SimSun" w:eastAsia="SimSun" w:cs="SimSun"/>
                      <w:sz w:val="15"/>
                      <w:szCs w:val="15"/>
                      <w:spacing w:val="-6"/>
                    </w:rPr>
                    <w:t>织</w:t>
                  </w:r>
                  <w:r>
                    <w:rPr>
                      <w:rFonts w:ascii="SimSun" w:hAnsi="SimSun" w:eastAsia="SimSun" w:cs="SimSun"/>
                      <w:sz w:val="15"/>
                      <w:szCs w:val="15"/>
                      <w:spacing w:val="17"/>
                    </w:rPr>
                    <w:t xml:space="preserve"> </w:t>
                  </w:r>
                  <w:r>
                    <w:rPr>
                      <w:rFonts w:ascii="SimSun" w:hAnsi="SimSun" w:eastAsia="SimSun" w:cs="SimSun"/>
                      <w:sz w:val="15"/>
                      <w:szCs w:val="15"/>
                      <w:spacing w:val="-6"/>
                    </w:rPr>
                    <w:t>架</w:t>
                  </w:r>
                  <w:r>
                    <w:rPr>
                      <w:rFonts w:ascii="SimSun" w:hAnsi="SimSun" w:eastAsia="SimSun" w:cs="SimSun"/>
                      <w:sz w:val="15"/>
                      <w:szCs w:val="15"/>
                      <w:spacing w:val="18"/>
                      <w:w w:val="101"/>
                    </w:rPr>
                    <w:t xml:space="preserve"> </w:t>
                  </w:r>
                  <w:r>
                    <w:rPr>
                      <w:rFonts w:ascii="SimSun" w:hAnsi="SimSun" w:eastAsia="SimSun" w:cs="SimSun"/>
                      <w:sz w:val="15"/>
                      <w:szCs w:val="15"/>
                      <w:spacing w:val="-6"/>
                    </w:rPr>
                    <w:t>构</w:t>
                  </w:r>
                </w:p>
              </w:txbxContent>
            </v:textbox>
          </v:shape>
        </w:pict>
      </w:r>
      <w:r>
        <w:rPr>
          <w:rFonts w:ascii="SimSun" w:hAnsi="SimSun" w:eastAsia="SimSun" w:cs="SimSun"/>
          <w:sz w:val="15"/>
          <w:szCs w:val="15"/>
          <w:spacing w:val="-5"/>
        </w:rPr>
        <w:t>主</w:t>
      </w:r>
      <w:r>
        <w:rPr>
          <w:rFonts w:ascii="SimSun" w:hAnsi="SimSun" w:eastAsia="SimSun" w:cs="SimSun"/>
          <w:sz w:val="15"/>
          <w:szCs w:val="15"/>
          <w:spacing w:val="17"/>
        </w:rPr>
        <w:t xml:space="preserve"> </w:t>
      </w:r>
      <w:r>
        <w:rPr>
          <w:rFonts w:ascii="SimSun" w:hAnsi="SimSun" w:eastAsia="SimSun" w:cs="SimSun"/>
          <w:sz w:val="15"/>
          <w:szCs w:val="15"/>
          <w:spacing w:val="-5"/>
        </w:rPr>
        <w:t>要</w:t>
      </w:r>
      <w:r>
        <w:rPr>
          <w:rFonts w:ascii="SimSun" w:hAnsi="SimSun" w:eastAsia="SimSun" w:cs="SimSun"/>
          <w:sz w:val="15"/>
          <w:szCs w:val="15"/>
          <w:spacing w:val="17"/>
        </w:rPr>
        <w:t xml:space="preserve"> </w:t>
      </w:r>
      <w:r>
        <w:rPr>
          <w:rFonts w:ascii="SimSun" w:hAnsi="SimSun" w:eastAsia="SimSun" w:cs="SimSun"/>
          <w:sz w:val="15"/>
          <w:szCs w:val="15"/>
          <w:spacing w:val="-5"/>
        </w:rPr>
        <w:t>职</w:t>
      </w:r>
      <w:r>
        <w:rPr>
          <w:rFonts w:ascii="SimSun" w:hAnsi="SimSun" w:eastAsia="SimSun" w:cs="SimSun"/>
          <w:sz w:val="15"/>
          <w:szCs w:val="15"/>
          <w:spacing w:val="21"/>
        </w:rPr>
        <w:t xml:space="preserve"> </w:t>
      </w:r>
      <w:r>
        <w:rPr>
          <w:rFonts w:ascii="SimSun" w:hAnsi="SimSun" w:eastAsia="SimSun" w:cs="SimSun"/>
          <w:sz w:val="15"/>
          <w:szCs w:val="15"/>
          <w:spacing w:val="-5"/>
        </w:rPr>
        <w:t>责</w:t>
      </w:r>
    </w:p>
    <w:p>
      <w:pPr>
        <w:ind w:left="3430"/>
        <w:spacing w:before="149" w:line="219" w:lineRule="auto"/>
        <w:rPr>
          <w:rFonts w:ascii="SimSun" w:hAnsi="SimSun" w:eastAsia="SimSun" w:cs="SimSun"/>
          <w:sz w:val="15"/>
          <w:szCs w:val="15"/>
        </w:rPr>
      </w:pPr>
      <w:r>
        <w:rPr>
          <w:rFonts w:ascii="SimSun" w:hAnsi="SimSun" w:eastAsia="SimSun" w:cs="SimSun"/>
          <w:sz w:val="15"/>
          <w:szCs w:val="15"/>
        </w:rPr>
        <w:t>(1)挖掘组织信息资源、制订组织信息化战略、合理布局组</w:t>
      </w:r>
    </w:p>
    <w:p>
      <w:pPr>
        <w:ind w:left="3430"/>
        <w:spacing w:before="112" w:line="160" w:lineRule="auto"/>
        <w:rPr>
          <w:rFonts w:ascii="SimSun" w:hAnsi="SimSun" w:eastAsia="SimSun" w:cs="SimSun"/>
          <w:sz w:val="15"/>
          <w:szCs w:val="15"/>
        </w:rPr>
      </w:pPr>
      <w:r>
        <w:rPr>
          <w:rFonts w:ascii="SimSun" w:hAnsi="SimSun" w:eastAsia="SimSun" w:cs="SimSun"/>
          <w:sz w:val="15"/>
          <w:szCs w:val="15"/>
          <w:spacing w:val="-1"/>
        </w:rPr>
        <w:t>织信息化、评估信息化对组织的价值</w:t>
      </w:r>
    </w:p>
    <w:p>
      <w:pPr>
        <w:ind w:left="2040"/>
        <w:spacing w:before="1" w:line="172" w:lineRule="auto"/>
        <w:rPr>
          <w:rFonts w:ascii="SimSun" w:hAnsi="SimSun" w:eastAsia="SimSun" w:cs="SimSun"/>
          <w:sz w:val="15"/>
          <w:szCs w:val="15"/>
        </w:rPr>
      </w:pPr>
      <w:r>
        <w:rPr>
          <w:rFonts w:ascii="SimSun" w:hAnsi="SimSun" w:eastAsia="SimSun" w:cs="SimSun"/>
          <w:sz w:val="15"/>
          <w:szCs w:val="15"/>
          <w:spacing w:val="-2"/>
        </w:rPr>
        <w:t>首席信息官</w:t>
      </w:r>
    </w:p>
    <w:p>
      <w:pPr>
        <w:ind w:left="3430"/>
        <w:spacing w:line="219" w:lineRule="auto"/>
        <w:rPr>
          <w:rFonts w:ascii="SimSun" w:hAnsi="SimSun" w:eastAsia="SimSun" w:cs="SimSun"/>
          <w:sz w:val="15"/>
          <w:szCs w:val="15"/>
        </w:rPr>
      </w:pPr>
      <w:r>
        <w:rPr>
          <w:rFonts w:ascii="SimSun" w:hAnsi="SimSun" w:eastAsia="SimSun" w:cs="SimSun"/>
          <w:sz w:val="15"/>
          <w:szCs w:val="15"/>
        </w:rPr>
        <w:t>(2)统筹数据治理全面工作，协调数据治理实施</w:t>
      </w:r>
    </w:p>
    <w:p>
      <w:pPr>
        <w:ind w:left="3430"/>
        <w:spacing w:before="91" w:line="218" w:lineRule="auto"/>
        <w:rPr>
          <w:rFonts w:ascii="SimSun" w:hAnsi="SimSun" w:eastAsia="SimSun" w:cs="SimSun"/>
          <w:sz w:val="15"/>
          <w:szCs w:val="15"/>
        </w:rPr>
      </w:pPr>
      <w:r>
        <w:rPr>
          <w:rFonts w:ascii="SimSun" w:hAnsi="SimSun" w:eastAsia="SimSun" w:cs="SimSun"/>
          <w:sz w:val="15"/>
          <w:szCs w:val="15"/>
        </w:rPr>
        <w:t>(3)评估数据治理输出，调整数据治理战略等</w:t>
      </w:r>
    </w:p>
    <w:p>
      <w:pPr>
        <w:ind w:left="3430"/>
        <w:spacing w:before="125" w:line="220" w:lineRule="auto"/>
        <w:rPr>
          <w:rFonts w:ascii="SimSun" w:hAnsi="SimSun" w:eastAsia="SimSun" w:cs="SimSun"/>
          <w:sz w:val="15"/>
          <w:szCs w:val="15"/>
        </w:rPr>
      </w:pPr>
      <w:r>
        <w:rPr>
          <w:rFonts w:ascii="SimSun" w:hAnsi="SimSun" w:eastAsia="SimSun" w:cs="SimSun"/>
          <w:sz w:val="15"/>
          <w:szCs w:val="15"/>
        </w:rPr>
        <w:t>(1)指派和领导IT安全专家团队</w:t>
      </w:r>
    </w:p>
    <w:p>
      <w:pPr>
        <w:ind w:left="3430"/>
        <w:spacing w:before="101" w:line="219" w:lineRule="auto"/>
        <w:rPr>
          <w:rFonts w:ascii="SimSun" w:hAnsi="SimSun" w:eastAsia="SimSun" w:cs="SimSun"/>
          <w:sz w:val="15"/>
          <w:szCs w:val="15"/>
        </w:rPr>
      </w:pPr>
      <w:r>
        <w:rPr>
          <w:rFonts w:ascii="SimSun" w:hAnsi="SimSun" w:eastAsia="SimSun" w:cs="SimSun"/>
          <w:sz w:val="15"/>
          <w:szCs w:val="15"/>
        </w:rPr>
        <w:t>(2)监督开发和维护组织信息安全政策、标准和程序</w:t>
      </w:r>
    </w:p>
    <w:p>
      <w:pPr>
        <w:ind w:left="3430"/>
        <w:spacing w:before="91" w:line="179" w:lineRule="auto"/>
        <w:rPr>
          <w:rFonts w:ascii="SimSun" w:hAnsi="SimSun" w:eastAsia="SimSun" w:cs="SimSun"/>
          <w:sz w:val="15"/>
          <w:szCs w:val="15"/>
        </w:rPr>
      </w:pPr>
      <w:r>
        <w:rPr>
          <w:rFonts w:ascii="SimSun" w:hAnsi="SimSun" w:eastAsia="SimSun" w:cs="SimSun"/>
          <w:sz w:val="15"/>
          <w:szCs w:val="15"/>
        </w:rPr>
        <w:t>(3)建立一个IT安全风险管理体系</w:t>
      </w:r>
    </w:p>
    <w:p>
      <w:pPr>
        <w:ind w:left="2040"/>
        <w:spacing w:before="1" w:line="178" w:lineRule="auto"/>
        <w:rPr>
          <w:rFonts w:ascii="SimSun" w:hAnsi="SimSun" w:eastAsia="SimSun" w:cs="SimSun"/>
          <w:sz w:val="15"/>
          <w:szCs w:val="15"/>
        </w:rPr>
      </w:pPr>
      <w:r>
        <w:rPr>
          <w:rFonts w:ascii="SimSun" w:hAnsi="SimSun" w:eastAsia="SimSun" w:cs="SimSun"/>
          <w:sz w:val="15"/>
          <w:szCs w:val="15"/>
          <w:spacing w:val="-2"/>
        </w:rPr>
        <w:t>首席安全官</w:t>
      </w:r>
    </w:p>
    <w:p>
      <w:pPr>
        <w:ind w:left="3430"/>
        <w:spacing w:line="220" w:lineRule="auto"/>
        <w:rPr>
          <w:rFonts w:ascii="SimSun" w:hAnsi="SimSun" w:eastAsia="SimSun" w:cs="SimSun"/>
          <w:sz w:val="15"/>
          <w:szCs w:val="15"/>
        </w:rPr>
      </w:pPr>
      <w:r>
        <w:pict>
          <v:shape id="_x0000_s296" style="position:absolute;margin-left:20.5009pt;margin-top:-0.051941pt;mso-position-vertical-relative:text;mso-position-horizontal-relative:text;width:54.15pt;height:10.9pt;z-index:2531379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
                    </w:rPr>
                    <w:t>数据治理委员会</w:t>
                  </w:r>
                </w:p>
              </w:txbxContent>
            </v:textbox>
          </v:shape>
        </w:pict>
      </w:r>
      <w:r>
        <w:rPr>
          <w:rFonts w:ascii="SimSun" w:hAnsi="SimSun" w:eastAsia="SimSun" w:cs="SimSun"/>
          <w:sz w:val="15"/>
          <w:szCs w:val="15"/>
        </w:rPr>
        <w:t>(4)开发安全策略、处理安全事故和协调调查活动</w:t>
      </w:r>
    </w:p>
    <w:p>
      <w:pPr>
        <w:ind w:left="3430"/>
        <w:spacing w:before="111" w:line="219" w:lineRule="auto"/>
        <w:rPr>
          <w:rFonts w:ascii="SimSun" w:hAnsi="SimSun" w:eastAsia="SimSun" w:cs="SimSun"/>
          <w:sz w:val="15"/>
          <w:szCs w:val="15"/>
        </w:rPr>
      </w:pPr>
      <w:r>
        <w:rPr>
          <w:rFonts w:ascii="SimSun" w:hAnsi="SimSun" w:eastAsia="SimSun" w:cs="SimSun"/>
          <w:sz w:val="15"/>
          <w:szCs w:val="15"/>
        </w:rPr>
        <w:t>(5)将数据作为组织的一项重要资产，制订并实施数据安全</w:t>
      </w:r>
    </w:p>
    <w:p>
      <w:pPr>
        <w:ind w:left="3280"/>
        <w:spacing w:before="102" w:line="219" w:lineRule="auto"/>
        <w:rPr>
          <w:rFonts w:ascii="SimSun" w:hAnsi="SimSun" w:eastAsia="SimSun" w:cs="SimSun"/>
          <w:sz w:val="15"/>
          <w:szCs w:val="15"/>
        </w:rPr>
      </w:pPr>
      <w:r>
        <w:rPr>
          <w:rFonts w:ascii="SimSun" w:hAnsi="SimSun" w:eastAsia="SimSun" w:cs="SimSun"/>
          <w:sz w:val="15"/>
          <w:szCs w:val="15"/>
          <w:spacing w:val="-2"/>
        </w:rPr>
        <w:t>保护策略等</w:t>
      </w:r>
    </w:p>
    <w:p>
      <w:pPr>
        <w:ind w:left="3430"/>
        <w:spacing w:before="121" w:line="160" w:lineRule="auto"/>
        <w:rPr>
          <w:rFonts w:ascii="SimSun" w:hAnsi="SimSun" w:eastAsia="SimSun" w:cs="SimSun"/>
          <w:sz w:val="15"/>
          <w:szCs w:val="15"/>
        </w:rPr>
      </w:pPr>
      <w:r>
        <w:rPr>
          <w:rFonts w:ascii="SimSun" w:hAnsi="SimSun" w:eastAsia="SimSun" w:cs="SimSun"/>
          <w:sz w:val="15"/>
          <w:szCs w:val="15"/>
        </w:rPr>
        <w:t>(1)为数据治理活动提供资金支持计划</w:t>
      </w:r>
    </w:p>
    <w:p>
      <w:pPr>
        <w:ind w:left="2040"/>
        <w:spacing w:before="1" w:line="172" w:lineRule="auto"/>
        <w:rPr>
          <w:rFonts w:ascii="SimSun" w:hAnsi="SimSun" w:eastAsia="SimSun" w:cs="SimSun"/>
          <w:sz w:val="15"/>
          <w:szCs w:val="15"/>
        </w:rPr>
      </w:pPr>
      <w:r>
        <w:rPr>
          <w:rFonts w:ascii="SimSun" w:hAnsi="SimSun" w:eastAsia="SimSun" w:cs="SimSun"/>
          <w:sz w:val="15"/>
          <w:szCs w:val="15"/>
          <w:spacing w:val="-2"/>
        </w:rPr>
        <w:t>首席财务官</w:t>
      </w:r>
    </w:p>
    <w:p>
      <w:pPr>
        <w:ind w:left="3430"/>
        <w:spacing w:line="219" w:lineRule="auto"/>
        <w:rPr>
          <w:rFonts w:ascii="SimSun" w:hAnsi="SimSun" w:eastAsia="SimSun" w:cs="SimSun"/>
          <w:sz w:val="15"/>
          <w:szCs w:val="15"/>
        </w:rPr>
      </w:pPr>
      <w:r>
        <w:rPr>
          <w:rFonts w:ascii="SimSun" w:hAnsi="SimSun" w:eastAsia="SimSun" w:cs="SimSun"/>
          <w:sz w:val="15"/>
          <w:szCs w:val="15"/>
        </w:rPr>
        <w:t>(2)组织开展数据治理TCO分析</w:t>
      </w:r>
    </w:p>
    <w:p>
      <w:pPr>
        <w:ind w:left="3430"/>
        <w:spacing w:before="111" w:line="166" w:lineRule="auto"/>
        <w:rPr>
          <w:rFonts w:ascii="SimSun" w:hAnsi="SimSun" w:eastAsia="SimSun" w:cs="SimSun"/>
          <w:sz w:val="15"/>
          <w:szCs w:val="15"/>
        </w:rPr>
      </w:pPr>
      <w:r>
        <w:rPr>
          <w:rFonts w:ascii="SimSun" w:hAnsi="SimSun" w:eastAsia="SimSun" w:cs="SimSun"/>
          <w:sz w:val="15"/>
          <w:szCs w:val="15"/>
        </w:rPr>
        <w:t>(1)负责数据提供者管理</w:t>
      </w:r>
    </w:p>
    <w:p>
      <w:pPr>
        <w:ind w:left="2040"/>
        <w:spacing w:before="1" w:line="179" w:lineRule="auto"/>
        <w:rPr>
          <w:rFonts w:ascii="SimSun" w:hAnsi="SimSun" w:eastAsia="SimSun" w:cs="SimSun"/>
          <w:sz w:val="15"/>
          <w:szCs w:val="15"/>
        </w:rPr>
      </w:pPr>
      <w:r>
        <w:rPr>
          <w:rFonts w:ascii="SimSun" w:hAnsi="SimSun" w:eastAsia="SimSun" w:cs="SimSun"/>
          <w:sz w:val="15"/>
          <w:szCs w:val="15"/>
          <w:spacing w:val="-1"/>
        </w:rPr>
        <w:t>供应链副总</w:t>
      </w:r>
    </w:p>
    <w:p>
      <w:pPr>
        <w:ind w:left="3430"/>
        <w:spacing w:line="219" w:lineRule="auto"/>
        <w:rPr>
          <w:rFonts w:ascii="SimSun" w:hAnsi="SimSun" w:eastAsia="SimSun" w:cs="SimSun"/>
          <w:sz w:val="15"/>
          <w:szCs w:val="15"/>
        </w:rPr>
      </w:pPr>
      <w:r>
        <w:rPr>
          <w:rFonts w:ascii="SimSun" w:hAnsi="SimSun" w:eastAsia="SimSun" w:cs="SimSun"/>
          <w:sz w:val="15"/>
          <w:szCs w:val="15"/>
        </w:rPr>
        <w:t>(2)组织制订数据流通规则</w:t>
      </w:r>
    </w:p>
    <w:p>
      <w:pPr>
        <w:pStyle w:val="BodyText"/>
        <w:spacing w:line="297" w:lineRule="auto"/>
        <w:rPr/>
      </w:pPr>
      <w:r/>
    </w:p>
    <w:p>
      <w:pPr>
        <w:pStyle w:val="BodyText"/>
        <w:spacing w:line="297" w:lineRule="auto"/>
        <w:rPr/>
      </w:pPr>
      <w:r/>
    </w:p>
    <w:p>
      <w:pPr>
        <w:pStyle w:val="BodyText"/>
        <w:spacing w:line="297" w:lineRule="auto"/>
        <w:rPr/>
      </w:pPr>
      <w:r/>
    </w:p>
    <w:p>
      <w:pPr>
        <w:pStyle w:val="BodyText"/>
        <w:spacing w:line="298" w:lineRule="auto"/>
        <w:rPr/>
      </w:pPr>
      <w:r/>
    </w:p>
    <w:p>
      <w:pPr>
        <w:spacing w:before="69" w:line="194" w:lineRule="auto"/>
        <w:jc w:val="right"/>
        <w:rPr>
          <w:rFonts w:ascii="SimSun" w:hAnsi="SimSun" w:eastAsia="SimSun" w:cs="SimSun"/>
          <w:sz w:val="21"/>
          <w:szCs w:val="21"/>
        </w:rPr>
      </w:pPr>
      <w:r>
        <w:pict>
          <v:shape id="_x0000_s298" style="position:absolute;margin-left:388.504pt;margin-top:3.2074pt;mso-position-vertical-relative:text;mso-position-horizontal-relative:text;width:4.35pt;height:4.5pt;z-index:2531420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5"/>
                      <w:szCs w:val="5"/>
                    </w:rPr>
                  </w:pPr>
                  <w:r>
                    <w:rPr>
                      <w:rFonts w:ascii="SimSun" w:hAnsi="SimSun" w:eastAsia="SimSun" w:cs="SimSun"/>
                      <w:sz w:val="5"/>
                      <w:szCs w:val="5"/>
                      <w:spacing w:val="-1"/>
                    </w:rPr>
                    <w:t>74</w:t>
                  </w:r>
                </w:p>
              </w:txbxContent>
            </v:textbox>
          </v:shape>
        </w:pict>
      </w:r>
      <w:r>
        <w:pict>
          <v:shape id="_x0000_s300" style="position:absolute;margin-left:397.001pt;margin-top:6.9356pt;mso-position-vertical-relative:text;mso-position-horizontal-relative:text;width:2.7pt;height:4.95pt;z-index:253143040;" filled="false" stroked="false" type="#_x0000_t202">
            <v:fill on="false"/>
            <v:stroke on="false"/>
            <v:path/>
            <v:imagedata o:title=""/>
            <o:lock v:ext="edit" aspectratio="false"/>
            <v:textbox inset="0mm,0mm,0mm,0mm">
              <w:txbxContent>
                <w:p>
                  <w:pPr>
                    <w:ind w:left="20"/>
                    <w:spacing w:before="19" w:line="215" w:lineRule="auto"/>
                    <w:rPr>
                      <w:rFonts w:ascii="SimSun" w:hAnsi="SimSun" w:eastAsia="SimSun" w:cs="SimSun"/>
                      <w:sz w:val="5"/>
                      <w:szCs w:val="5"/>
                    </w:rPr>
                  </w:pPr>
                  <w:r>
                    <w:rPr>
                      <w:rFonts w:ascii="SimSun" w:hAnsi="SimSun" w:eastAsia="SimSun" w:cs="SimSun"/>
                      <w:sz w:val="5"/>
                      <w:szCs w:val="5"/>
                    </w:rPr>
                    <w:t>|</w:t>
                  </w:r>
                </w:p>
              </w:txbxContent>
            </v:textbox>
          </v:shape>
        </w:pict>
      </w:r>
      <w:r>
        <w:rPr>
          <w:rFonts w:ascii="SimSun" w:hAnsi="SimSun" w:eastAsia="SimSun" w:cs="SimSun"/>
          <w:sz w:val="21"/>
          <w:szCs w:val="21"/>
          <w:spacing w:val="-40"/>
        </w:rPr>
        <w:t>■</w:t>
      </w:r>
    </w:p>
    <w:p>
      <w:pPr>
        <w:spacing w:line="194" w:lineRule="auto"/>
        <w:sectPr>
          <w:footerReference w:type="default" r:id="rId14"/>
          <w:pgSz w:w="8870" w:h="13400"/>
          <w:pgMar w:top="400" w:right="0" w:bottom="400" w:left="479" w:header="0" w:footer="0" w:gutter="0"/>
        </w:sectPr>
        <w:rPr>
          <w:rFonts w:ascii="SimSun" w:hAnsi="SimSun" w:eastAsia="SimSun" w:cs="SimSun"/>
          <w:sz w:val="21"/>
          <w:szCs w:val="21"/>
        </w:rPr>
      </w:pPr>
    </w:p>
    <w:p>
      <w:pPr>
        <w:ind w:left="233"/>
        <w:spacing w:before="177" w:line="219" w:lineRule="auto"/>
        <w:rPr>
          <w:rFonts w:ascii="SimSun" w:hAnsi="SimSun" w:eastAsia="SimSun" w:cs="SimSun"/>
          <w:sz w:val="26"/>
          <w:szCs w:val="26"/>
        </w:rPr>
      </w:pPr>
      <w:r>
        <w:pict>
          <v:rect id="_x0000_s302" style="position:absolute;margin-left:20.9997pt;margin-top:27.001pt;mso-position-vertical-relative:page;mso-position-horizontal-relative:page;width:0.55pt;height:18pt;z-index:253157376;" o:allowincell="f" fillcolor="#000000" filled="true" stroked="false"/>
        </w:pict>
      </w:r>
      <w:r>
        <w:pict>
          <v:rect id="_x0000_s304" style="position:absolute;margin-left:411.502pt;margin-top:55.9986pt;mso-position-vertical-relative:page;mso-position-horizontal-relative:page;width:1pt;height:490.55pt;z-index:253156352;" o:allowincell="f" fillcolor="#000000" filled="true" stroked="false"/>
        </w:pict>
      </w:r>
      <w:r>
        <w:rPr>
          <w:rFonts w:ascii="SimSun" w:hAnsi="SimSun" w:eastAsia="SimSun" w:cs="SimSun"/>
          <w:sz w:val="26"/>
          <w:szCs w:val="26"/>
          <w:b/>
          <w:bCs/>
          <w:spacing w:val="-18"/>
        </w:rPr>
        <w:t>云端数据治理</w:t>
      </w:r>
    </w:p>
    <w:p>
      <w:pPr>
        <w:pStyle w:val="BodyText"/>
        <w:spacing w:line="439" w:lineRule="auto"/>
        <w:rPr/>
      </w:pPr>
      <w:r/>
    </w:p>
    <w:p>
      <w:pPr>
        <w:ind w:left="7080"/>
        <w:spacing w:before="49" w:line="220" w:lineRule="auto"/>
        <w:rPr>
          <w:rFonts w:ascii="SimSun" w:hAnsi="SimSun" w:eastAsia="SimSun" w:cs="SimSun"/>
          <w:sz w:val="15"/>
          <w:szCs w:val="15"/>
        </w:rPr>
      </w:pPr>
      <w:r>
        <w:drawing>
          <wp:anchor distT="0" distB="0" distL="0" distR="0" simplePos="0" relativeHeight="253155328" behindDoc="1" locked="0" layoutInCell="1" allowOverlap="1">
            <wp:simplePos x="0" y="0"/>
            <wp:positionH relativeFrom="column">
              <wp:posOffset>146049</wp:posOffset>
            </wp:positionH>
            <wp:positionV relativeFrom="paragraph">
              <wp:posOffset>-137909</wp:posOffset>
            </wp:positionV>
            <wp:extent cx="4902203" cy="6229353"/>
            <wp:effectExtent l="0" t="0" r="0" b="0"/>
            <wp:wrapNone/>
            <wp:docPr id="136" name="IM 136"/>
            <wp:cNvGraphicFramePr/>
            <a:graphic>
              <a:graphicData uri="http://schemas.openxmlformats.org/drawingml/2006/picture">
                <pic:pic>
                  <pic:nvPicPr>
                    <pic:cNvPr id="136" name="IM 136"/>
                    <pic:cNvPicPr/>
                  </pic:nvPicPr>
                  <pic:blipFill>
                    <a:blip r:embed="rId163"/>
                    <a:stretch>
                      <a:fillRect/>
                    </a:stretch>
                  </pic:blipFill>
                  <pic:spPr>
                    <a:xfrm rot="0">
                      <a:off x="0" y="0"/>
                      <a:ext cx="4902203" cy="6229353"/>
                    </a:xfrm>
                    <a:prstGeom prst="rect">
                      <a:avLst/>
                    </a:prstGeom>
                  </pic:spPr>
                </pic:pic>
              </a:graphicData>
            </a:graphic>
          </wp:anchor>
        </w:drawing>
      </w:r>
      <w:r>
        <w:rPr>
          <w:rFonts w:ascii="SimSun" w:hAnsi="SimSun" w:eastAsia="SimSun" w:cs="SimSun"/>
          <w:sz w:val="15"/>
          <w:szCs w:val="15"/>
          <w:spacing w:val="-2"/>
        </w:rPr>
        <w:t>续表</w:t>
      </w:r>
    </w:p>
    <w:p>
      <w:pPr>
        <w:ind w:left="759"/>
        <w:spacing w:before="99" w:line="221" w:lineRule="auto"/>
        <w:rPr>
          <w:rFonts w:ascii="SimSun" w:hAnsi="SimSun" w:eastAsia="SimSun" w:cs="SimSun"/>
          <w:sz w:val="15"/>
          <w:szCs w:val="15"/>
        </w:rPr>
      </w:pPr>
      <w:r>
        <w:rPr>
          <w:rFonts w:ascii="SimSun" w:hAnsi="SimSun" w:eastAsia="SimSun" w:cs="SimSun"/>
          <w:sz w:val="15"/>
          <w:szCs w:val="15"/>
          <w:spacing w:val="-6"/>
        </w:rPr>
        <w:t>组</w:t>
      </w:r>
      <w:r>
        <w:rPr>
          <w:rFonts w:ascii="SimSun" w:hAnsi="SimSun" w:eastAsia="SimSun" w:cs="SimSun"/>
          <w:sz w:val="15"/>
          <w:szCs w:val="15"/>
          <w:spacing w:val="28"/>
        </w:rPr>
        <w:t xml:space="preserve"> </w:t>
      </w:r>
      <w:r>
        <w:rPr>
          <w:rFonts w:ascii="SimSun" w:hAnsi="SimSun" w:eastAsia="SimSun" w:cs="SimSun"/>
          <w:sz w:val="15"/>
          <w:szCs w:val="15"/>
          <w:spacing w:val="-6"/>
        </w:rPr>
        <w:t>织</w:t>
      </w:r>
      <w:r>
        <w:rPr>
          <w:rFonts w:ascii="SimSun" w:hAnsi="SimSun" w:eastAsia="SimSun" w:cs="SimSun"/>
          <w:sz w:val="15"/>
          <w:szCs w:val="15"/>
          <w:spacing w:val="18"/>
        </w:rPr>
        <w:t xml:space="preserve"> </w:t>
      </w:r>
      <w:r>
        <w:rPr>
          <w:rFonts w:ascii="SimSun" w:hAnsi="SimSun" w:eastAsia="SimSun" w:cs="SimSun"/>
          <w:sz w:val="15"/>
          <w:szCs w:val="15"/>
          <w:spacing w:val="-6"/>
        </w:rPr>
        <w:t>架</w:t>
      </w:r>
      <w:r>
        <w:rPr>
          <w:rFonts w:ascii="SimSun" w:hAnsi="SimSun" w:eastAsia="SimSun" w:cs="SimSun"/>
          <w:sz w:val="15"/>
          <w:szCs w:val="15"/>
          <w:spacing w:val="18"/>
        </w:rPr>
        <w:t xml:space="preserve"> </w:t>
      </w:r>
      <w:r>
        <w:rPr>
          <w:rFonts w:ascii="SimSun" w:hAnsi="SimSun" w:eastAsia="SimSun" w:cs="SimSun"/>
          <w:sz w:val="15"/>
          <w:szCs w:val="15"/>
          <w:spacing w:val="-6"/>
        </w:rPr>
        <w:t>构</w:t>
      </w:r>
      <w:r>
        <w:rPr>
          <w:rFonts w:ascii="SimSun" w:hAnsi="SimSun" w:eastAsia="SimSun" w:cs="SimSun"/>
          <w:sz w:val="15"/>
          <w:szCs w:val="15"/>
          <w:spacing w:val="2"/>
        </w:rPr>
        <w:t xml:space="preserve">         </w:t>
      </w:r>
      <w:r>
        <w:rPr>
          <w:rFonts w:ascii="SimSun" w:hAnsi="SimSun" w:eastAsia="SimSun" w:cs="SimSun"/>
          <w:sz w:val="15"/>
          <w:szCs w:val="15"/>
          <w:spacing w:val="-6"/>
        </w:rPr>
        <w:t>角</w:t>
      </w:r>
      <w:r>
        <w:rPr>
          <w:rFonts w:ascii="SimSun" w:hAnsi="SimSun" w:eastAsia="SimSun" w:cs="SimSun"/>
          <w:sz w:val="15"/>
          <w:szCs w:val="15"/>
          <w:spacing w:val="5"/>
        </w:rPr>
        <w:t xml:space="preserve">   </w:t>
      </w:r>
      <w:r>
        <w:rPr>
          <w:rFonts w:ascii="SimSun" w:hAnsi="SimSun" w:eastAsia="SimSun" w:cs="SimSun"/>
          <w:sz w:val="15"/>
          <w:szCs w:val="15"/>
          <w:spacing w:val="-6"/>
        </w:rPr>
        <w:t>色</w:t>
      </w:r>
      <w:r>
        <w:rPr>
          <w:rFonts w:ascii="SimSun" w:hAnsi="SimSun" w:eastAsia="SimSun" w:cs="SimSun"/>
          <w:sz w:val="15"/>
          <w:szCs w:val="15"/>
          <w:spacing w:val="1"/>
        </w:rPr>
        <w:t xml:space="preserve">                      </w:t>
      </w:r>
      <w:r>
        <w:rPr>
          <w:rFonts w:ascii="SimSun" w:hAnsi="SimSun" w:eastAsia="SimSun" w:cs="SimSun"/>
          <w:sz w:val="15"/>
          <w:szCs w:val="15"/>
        </w:rPr>
        <w:t xml:space="preserve">        </w:t>
      </w:r>
      <w:r>
        <w:rPr>
          <w:rFonts w:ascii="SimSun" w:hAnsi="SimSun" w:eastAsia="SimSun" w:cs="SimSun"/>
          <w:sz w:val="15"/>
          <w:szCs w:val="15"/>
          <w:spacing w:val="-6"/>
        </w:rPr>
        <w:t>主 要</w:t>
      </w:r>
      <w:r>
        <w:rPr>
          <w:rFonts w:ascii="SimSun" w:hAnsi="SimSun" w:eastAsia="SimSun" w:cs="SimSun"/>
          <w:sz w:val="15"/>
          <w:szCs w:val="15"/>
          <w:spacing w:val="11"/>
        </w:rPr>
        <w:t xml:space="preserve"> </w:t>
      </w:r>
      <w:r>
        <w:rPr>
          <w:rFonts w:ascii="SimSun" w:hAnsi="SimSun" w:eastAsia="SimSun" w:cs="SimSun"/>
          <w:sz w:val="15"/>
          <w:szCs w:val="15"/>
          <w:spacing w:val="-6"/>
        </w:rPr>
        <w:t>职</w:t>
      </w:r>
      <w:r>
        <w:rPr>
          <w:rFonts w:ascii="SimSun" w:hAnsi="SimSun" w:eastAsia="SimSun" w:cs="SimSun"/>
          <w:sz w:val="15"/>
          <w:szCs w:val="15"/>
          <w:spacing w:val="16"/>
        </w:rPr>
        <w:t xml:space="preserve"> </w:t>
      </w:r>
      <w:r>
        <w:rPr>
          <w:rFonts w:ascii="SimSun" w:hAnsi="SimSun" w:eastAsia="SimSun" w:cs="SimSun"/>
          <w:sz w:val="15"/>
          <w:szCs w:val="15"/>
          <w:spacing w:val="-6"/>
        </w:rPr>
        <w:t>责</w:t>
      </w:r>
    </w:p>
    <w:p>
      <w:pPr>
        <w:ind w:left="3540"/>
        <w:spacing w:before="151" w:line="219" w:lineRule="auto"/>
        <w:rPr>
          <w:rFonts w:ascii="SimSun" w:hAnsi="SimSun" w:eastAsia="SimSun" w:cs="SimSun"/>
          <w:sz w:val="15"/>
          <w:szCs w:val="15"/>
        </w:rPr>
      </w:pPr>
      <w:r>
        <w:rPr>
          <w:rFonts w:ascii="SimSun" w:hAnsi="SimSun" w:eastAsia="SimSun" w:cs="SimSun"/>
          <w:sz w:val="15"/>
          <w:szCs w:val="15"/>
        </w:rPr>
        <w:t>(1)参与制订组织信息管理战略</w:t>
      </w:r>
    </w:p>
    <w:p>
      <w:pPr>
        <w:ind w:left="3540"/>
        <w:spacing w:before="101" w:line="160" w:lineRule="auto"/>
        <w:rPr>
          <w:rFonts w:ascii="SimSun" w:hAnsi="SimSun" w:eastAsia="SimSun" w:cs="SimSun"/>
          <w:sz w:val="15"/>
          <w:szCs w:val="15"/>
        </w:rPr>
      </w:pPr>
      <w:r>
        <w:rPr>
          <w:rFonts w:ascii="SimSun" w:hAnsi="SimSun" w:eastAsia="SimSun" w:cs="SimSun"/>
          <w:sz w:val="15"/>
          <w:szCs w:val="15"/>
        </w:rPr>
        <w:t>(2)主持实施IT基础设施建设和升级改造</w:t>
      </w:r>
    </w:p>
    <w:p>
      <w:pPr>
        <w:ind w:left="2130"/>
        <w:spacing w:line="172" w:lineRule="auto"/>
        <w:rPr>
          <w:rFonts w:ascii="SimSun" w:hAnsi="SimSun" w:eastAsia="SimSun" w:cs="SimSun"/>
          <w:sz w:val="15"/>
          <w:szCs w:val="15"/>
        </w:rPr>
      </w:pPr>
      <w:r>
        <w:rPr>
          <w:rFonts w:ascii="SimSun" w:hAnsi="SimSun" w:eastAsia="SimSun" w:cs="SimSun"/>
          <w:sz w:val="15"/>
          <w:szCs w:val="15"/>
          <w:spacing w:val="-1"/>
        </w:rPr>
        <w:t>信息管理总监</w:t>
      </w:r>
    </w:p>
    <w:p>
      <w:pPr>
        <w:ind w:left="3540"/>
        <w:spacing w:before="1" w:line="219" w:lineRule="auto"/>
        <w:rPr>
          <w:rFonts w:ascii="SimSun" w:hAnsi="SimSun" w:eastAsia="SimSun" w:cs="SimSun"/>
          <w:sz w:val="15"/>
          <w:szCs w:val="15"/>
        </w:rPr>
      </w:pPr>
      <w:r>
        <w:rPr>
          <w:rFonts w:ascii="SimSun" w:hAnsi="SimSun" w:eastAsia="SimSun" w:cs="SimSun"/>
          <w:sz w:val="15"/>
          <w:szCs w:val="15"/>
        </w:rPr>
        <w:t>(3)具体负责数据治理实施工作</w:t>
      </w:r>
    </w:p>
    <w:p>
      <w:pPr>
        <w:ind w:left="3540"/>
        <w:spacing w:before="102" w:line="219" w:lineRule="auto"/>
        <w:rPr>
          <w:rFonts w:ascii="SimSun" w:hAnsi="SimSun" w:eastAsia="SimSun" w:cs="SimSun"/>
          <w:sz w:val="15"/>
          <w:szCs w:val="15"/>
        </w:rPr>
      </w:pPr>
      <w:r>
        <w:rPr>
          <w:rFonts w:ascii="SimSun" w:hAnsi="SimSun" w:eastAsia="SimSun" w:cs="SimSun"/>
          <w:sz w:val="15"/>
          <w:szCs w:val="15"/>
        </w:rPr>
        <w:t>(4)协调部门间数据治理沟通等</w:t>
      </w:r>
    </w:p>
    <w:p>
      <w:pPr>
        <w:ind w:left="3529"/>
        <w:spacing w:before="102" w:line="219" w:lineRule="auto"/>
        <w:rPr>
          <w:rFonts w:ascii="SimSun" w:hAnsi="SimSun" w:eastAsia="SimSun" w:cs="SimSun"/>
          <w:sz w:val="15"/>
          <w:szCs w:val="15"/>
        </w:rPr>
      </w:pPr>
      <w:r>
        <w:rPr>
          <w:rFonts w:ascii="SimSun" w:hAnsi="SimSun" w:eastAsia="SimSun" w:cs="SimSun"/>
          <w:sz w:val="15"/>
          <w:szCs w:val="15"/>
        </w:rPr>
        <w:t>(1)负责组织活动涉及的法规及规范的收集、宣贯，并负责组</w:t>
      </w:r>
    </w:p>
    <w:p>
      <w:pPr>
        <w:ind w:left="3540"/>
        <w:spacing w:before="112" w:line="173" w:lineRule="auto"/>
        <w:rPr>
          <w:rFonts w:ascii="SimSun" w:hAnsi="SimSun" w:eastAsia="SimSun" w:cs="SimSun"/>
          <w:sz w:val="15"/>
          <w:szCs w:val="15"/>
        </w:rPr>
      </w:pPr>
      <w:r>
        <w:rPr>
          <w:rFonts w:ascii="SimSun" w:hAnsi="SimSun" w:eastAsia="SimSun" w:cs="SimSun"/>
          <w:sz w:val="15"/>
          <w:szCs w:val="15"/>
          <w:spacing w:val="-1"/>
        </w:rPr>
        <w:t>织运营合规性的监督检查</w:t>
      </w:r>
    </w:p>
    <w:p>
      <w:pPr>
        <w:ind w:left="2280"/>
        <w:spacing w:line="183" w:lineRule="auto"/>
        <w:rPr>
          <w:rFonts w:ascii="SimSun" w:hAnsi="SimSun" w:eastAsia="SimSun" w:cs="SimSun"/>
          <w:sz w:val="15"/>
          <w:szCs w:val="15"/>
        </w:rPr>
      </w:pPr>
      <w:r>
        <w:rPr>
          <w:rFonts w:ascii="SimSun" w:hAnsi="SimSun" w:eastAsia="SimSun" w:cs="SimSun"/>
          <w:sz w:val="15"/>
          <w:szCs w:val="15"/>
          <w:spacing w:val="-2"/>
        </w:rPr>
        <w:t>合规总监</w:t>
      </w:r>
    </w:p>
    <w:p>
      <w:pPr>
        <w:ind w:left="3520"/>
        <w:spacing w:before="1" w:line="219" w:lineRule="auto"/>
        <w:rPr>
          <w:rFonts w:ascii="SimSun" w:hAnsi="SimSun" w:eastAsia="SimSun" w:cs="SimSun"/>
          <w:sz w:val="15"/>
          <w:szCs w:val="15"/>
        </w:rPr>
      </w:pPr>
      <w:r>
        <w:rPr>
          <w:rFonts w:ascii="SimSun" w:hAnsi="SimSun" w:eastAsia="SimSun" w:cs="SimSun"/>
          <w:sz w:val="15"/>
          <w:szCs w:val="15"/>
        </w:rPr>
        <w:t>(2)数据安全与隐私保护相关法律、法规、标准等的识别与贯</w:t>
      </w:r>
    </w:p>
    <w:p>
      <w:pPr>
        <w:ind w:left="649"/>
        <w:spacing w:before="101" w:line="232" w:lineRule="auto"/>
        <w:rPr>
          <w:rFonts w:ascii="SimSun" w:hAnsi="SimSun" w:eastAsia="SimSun" w:cs="SimSun"/>
          <w:sz w:val="15"/>
          <w:szCs w:val="15"/>
        </w:rPr>
      </w:pPr>
      <w:r>
        <w:rPr>
          <w:rFonts w:ascii="SimSun" w:hAnsi="SimSun" w:eastAsia="SimSun" w:cs="SimSun"/>
          <w:sz w:val="15"/>
          <w:szCs w:val="15"/>
          <w:spacing w:val="-2"/>
        </w:rPr>
        <w:t>数据治理工作组</w:t>
      </w:r>
      <w:r>
        <w:rPr>
          <w:rFonts w:ascii="SimSun" w:hAnsi="SimSun" w:eastAsia="SimSun" w:cs="SimSun"/>
          <w:sz w:val="15"/>
          <w:szCs w:val="15"/>
          <w:spacing w:val="2"/>
        </w:rPr>
        <w:t xml:space="preserve">                        </w:t>
      </w:r>
      <w:r>
        <w:rPr>
          <w:rFonts w:ascii="SimSun" w:hAnsi="SimSun" w:eastAsia="SimSun" w:cs="SimSun"/>
          <w:sz w:val="15"/>
          <w:szCs w:val="15"/>
          <w:spacing w:val="-2"/>
        </w:rPr>
        <w:t>彻等</w:t>
      </w:r>
    </w:p>
    <w:p>
      <w:pPr>
        <w:ind w:left="3540"/>
        <w:spacing w:before="112" w:line="219" w:lineRule="auto"/>
        <w:rPr>
          <w:rFonts w:ascii="SimSun" w:hAnsi="SimSun" w:eastAsia="SimSun" w:cs="SimSun"/>
          <w:sz w:val="15"/>
          <w:szCs w:val="15"/>
        </w:rPr>
      </w:pPr>
      <w:r>
        <w:rPr>
          <w:rFonts w:ascii="SimSun" w:hAnsi="SimSun" w:eastAsia="SimSun" w:cs="SimSun"/>
          <w:sz w:val="15"/>
          <w:szCs w:val="15"/>
        </w:rPr>
        <w:t>(1)参与制订组织信息安全策略</w:t>
      </w:r>
    </w:p>
    <w:p>
      <w:pPr>
        <w:ind w:left="2130"/>
        <w:spacing w:before="72" w:line="232" w:lineRule="auto"/>
        <w:rPr>
          <w:rFonts w:ascii="SimSun" w:hAnsi="SimSun" w:eastAsia="SimSun" w:cs="SimSun"/>
          <w:sz w:val="15"/>
          <w:szCs w:val="15"/>
        </w:rPr>
      </w:pPr>
      <w:r>
        <w:rPr>
          <w:rFonts w:ascii="SimSun" w:hAnsi="SimSun" w:eastAsia="SimSun" w:cs="SimSun"/>
          <w:sz w:val="15"/>
          <w:szCs w:val="15"/>
          <w:spacing w:val="-1"/>
          <w:position w:val="1"/>
        </w:rPr>
        <w:t>信息安全总监</w:t>
      </w:r>
      <w:r>
        <w:rPr>
          <w:rFonts w:ascii="SimSun" w:hAnsi="SimSun" w:eastAsia="SimSun" w:cs="SimSun"/>
          <w:sz w:val="15"/>
          <w:szCs w:val="15"/>
          <w:spacing w:val="13"/>
          <w:position w:val="1"/>
        </w:rPr>
        <w:t xml:space="preserve">      </w:t>
      </w:r>
      <w:r>
        <w:rPr>
          <w:rFonts w:ascii="SimSun" w:hAnsi="SimSun" w:eastAsia="SimSun" w:cs="SimSun"/>
          <w:sz w:val="15"/>
          <w:szCs w:val="15"/>
          <w:spacing w:val="-1"/>
        </w:rPr>
        <w:t>(2)具体负责组织信息安全监管</w:t>
      </w:r>
    </w:p>
    <w:p>
      <w:pPr>
        <w:ind w:left="3540"/>
        <w:spacing w:before="102" w:line="219" w:lineRule="auto"/>
        <w:rPr>
          <w:rFonts w:ascii="SimSun" w:hAnsi="SimSun" w:eastAsia="SimSun" w:cs="SimSun"/>
          <w:sz w:val="15"/>
          <w:szCs w:val="15"/>
        </w:rPr>
      </w:pPr>
      <w:r>
        <w:rPr>
          <w:rFonts w:ascii="SimSun" w:hAnsi="SimSun" w:eastAsia="SimSun" w:cs="SimSun"/>
          <w:sz w:val="15"/>
          <w:szCs w:val="15"/>
        </w:rPr>
        <w:t>(3)具体负责组织数据安全保护等</w:t>
      </w:r>
    </w:p>
    <w:p>
      <w:pPr>
        <w:ind w:left="3540"/>
        <w:spacing w:before="102" w:line="219" w:lineRule="auto"/>
        <w:rPr>
          <w:rFonts w:ascii="SimSun" w:hAnsi="SimSun" w:eastAsia="SimSun" w:cs="SimSun"/>
          <w:sz w:val="15"/>
          <w:szCs w:val="15"/>
        </w:rPr>
      </w:pPr>
      <w:r>
        <w:rPr>
          <w:rFonts w:ascii="SimSun" w:hAnsi="SimSun" w:eastAsia="SimSun" w:cs="SimSun"/>
          <w:sz w:val="15"/>
          <w:szCs w:val="15"/>
        </w:rPr>
        <w:t>(1)参与数据治理活动</w:t>
      </w:r>
    </w:p>
    <w:p>
      <w:pPr>
        <w:ind w:left="2200"/>
        <w:spacing w:before="91" w:line="231" w:lineRule="auto"/>
        <w:rPr>
          <w:rFonts w:ascii="SimSun" w:hAnsi="SimSun" w:eastAsia="SimSun" w:cs="SimSun"/>
          <w:sz w:val="15"/>
          <w:szCs w:val="15"/>
        </w:rPr>
      </w:pPr>
      <w:r>
        <w:rPr>
          <w:rFonts w:ascii="SimSun" w:hAnsi="SimSun" w:eastAsia="SimSun" w:cs="SimSun"/>
          <w:sz w:val="15"/>
          <w:szCs w:val="15"/>
          <w:spacing w:val="-1"/>
          <w:position w:val="1"/>
        </w:rPr>
        <w:t>数据科学家</w:t>
      </w:r>
      <w:r>
        <w:rPr>
          <w:rFonts w:ascii="SimSun" w:hAnsi="SimSun" w:eastAsia="SimSun" w:cs="SimSun"/>
          <w:sz w:val="15"/>
          <w:szCs w:val="15"/>
          <w:spacing w:val="12"/>
          <w:position w:val="1"/>
        </w:rPr>
        <w:t xml:space="preserve">       </w:t>
      </w:r>
      <w:r>
        <w:rPr>
          <w:rFonts w:ascii="SimSun" w:hAnsi="SimSun" w:eastAsia="SimSun" w:cs="SimSun"/>
          <w:sz w:val="15"/>
          <w:szCs w:val="15"/>
          <w:spacing w:val="-1"/>
        </w:rPr>
        <w:t>(2)识别组织数据治理问题并提供解决思路</w:t>
      </w:r>
    </w:p>
    <w:p>
      <w:pPr>
        <w:ind w:left="3540"/>
        <w:spacing w:before="102" w:line="219" w:lineRule="auto"/>
        <w:rPr>
          <w:rFonts w:ascii="SimSun" w:hAnsi="SimSun" w:eastAsia="SimSun" w:cs="SimSun"/>
          <w:sz w:val="15"/>
          <w:szCs w:val="15"/>
        </w:rPr>
      </w:pPr>
      <w:r>
        <w:rPr>
          <w:rFonts w:ascii="SimSun" w:hAnsi="SimSun" w:eastAsia="SimSun" w:cs="SimSun"/>
          <w:sz w:val="15"/>
          <w:szCs w:val="15"/>
        </w:rPr>
        <w:t>(3)为数据治理活动提供咨询建议和意见等</w:t>
      </w:r>
    </w:p>
    <w:p>
      <w:pPr>
        <w:ind w:left="4789"/>
        <w:spacing w:before="165" w:line="95" w:lineRule="exact"/>
        <w:rPr>
          <w:rFonts w:ascii="SimSun" w:hAnsi="SimSun" w:eastAsia="SimSun" w:cs="SimSun"/>
          <w:sz w:val="6"/>
          <w:szCs w:val="6"/>
        </w:rPr>
      </w:pPr>
      <w:r>
        <w:rPr>
          <w:rFonts w:ascii="SimSun" w:hAnsi="SimSun" w:eastAsia="SimSun" w:cs="SimSun"/>
          <w:sz w:val="6"/>
          <w:szCs w:val="6"/>
          <w:position w:val="1"/>
        </w:rPr>
        <w:t>…</w:t>
      </w:r>
    </w:p>
    <w:p>
      <w:pPr>
        <w:ind w:left="3540"/>
        <w:spacing w:before="193" w:line="219" w:lineRule="auto"/>
        <w:rPr>
          <w:rFonts w:ascii="SimSun" w:hAnsi="SimSun" w:eastAsia="SimSun" w:cs="SimSun"/>
          <w:sz w:val="15"/>
          <w:szCs w:val="15"/>
        </w:rPr>
      </w:pPr>
      <w:r>
        <w:rPr>
          <w:rFonts w:ascii="SimSun" w:hAnsi="SimSun" w:eastAsia="SimSun" w:cs="SimSun"/>
          <w:sz w:val="15"/>
          <w:szCs w:val="15"/>
        </w:rPr>
        <w:t>(1)负责组织生产和经营性数据的收集和管理</w:t>
      </w:r>
    </w:p>
    <w:p>
      <w:pPr>
        <w:spacing w:line="82" w:lineRule="exact"/>
        <w:rPr/>
      </w:pPr>
      <w:r/>
    </w:p>
    <w:tbl>
      <w:tblPr>
        <w:tblStyle w:val="TableNormal"/>
        <w:tblW w:w="3736" w:type="dxa"/>
        <w:tblInd w:w="2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51"/>
        <w:gridCol w:w="2585"/>
      </w:tblGrid>
      <w:tr>
        <w:trPr>
          <w:trHeight w:val="789" w:hRule="atLeast"/>
        </w:trPr>
        <w:tc>
          <w:tcPr>
            <w:tcW w:w="1151" w:type="dxa"/>
            <w:vAlign w:val="top"/>
          </w:tcPr>
          <w:p>
            <w:pPr>
              <w:pStyle w:val="TableText"/>
              <w:spacing w:line="219" w:lineRule="auto"/>
              <w:rPr/>
            </w:pPr>
            <w:r>
              <w:rPr>
                <w:spacing w:val="-1"/>
                <w:position w:val="1"/>
              </w:rPr>
              <w:t>生产数据主管</w:t>
            </w:r>
          </w:p>
        </w:tc>
        <w:tc>
          <w:tcPr>
            <w:tcW w:w="2585" w:type="dxa"/>
            <w:vAlign w:val="top"/>
          </w:tcPr>
          <w:p>
            <w:pPr>
              <w:pStyle w:val="TableText"/>
              <w:ind w:left="258"/>
              <w:spacing w:before="20" w:line="219" w:lineRule="auto"/>
              <w:rPr/>
            </w:pPr>
            <w:r>
              <w:rPr/>
              <w:t>(2)制订数据质量的业务规则</w:t>
            </w:r>
          </w:p>
          <w:p>
            <w:pPr>
              <w:pStyle w:val="TableText"/>
              <w:spacing w:before="101" w:line="219" w:lineRule="auto"/>
              <w:jc w:val="right"/>
              <w:rPr/>
            </w:pPr>
            <w:r>
              <w:rPr/>
              <w:t>(3)定义、捕获并保留业务元数据等</w:t>
            </w:r>
          </w:p>
          <w:p>
            <w:pPr>
              <w:pStyle w:val="TableText"/>
              <w:ind w:left="258"/>
              <w:spacing w:before="112" w:line="219" w:lineRule="auto"/>
              <w:rPr/>
            </w:pPr>
            <w:r>
              <w:rPr/>
              <w:t>(1)管理组织日常财务信息</w:t>
            </w:r>
          </w:p>
        </w:tc>
      </w:tr>
      <w:tr>
        <w:trPr>
          <w:trHeight w:val="230" w:hRule="atLeast"/>
        </w:trPr>
        <w:tc>
          <w:tcPr>
            <w:tcW w:w="1151" w:type="dxa"/>
            <w:vAlign w:val="top"/>
          </w:tcPr>
          <w:p>
            <w:pPr>
              <w:pStyle w:val="TableText"/>
              <w:spacing w:before="50" w:line="208" w:lineRule="auto"/>
              <w:rPr/>
            </w:pPr>
            <w:r>
              <w:rPr>
                <w:spacing w:val="-1"/>
                <w:position w:val="2"/>
              </w:rPr>
              <w:t>财务数据主管</w:t>
            </w:r>
          </w:p>
        </w:tc>
        <w:tc>
          <w:tcPr>
            <w:tcW w:w="2585" w:type="dxa"/>
            <w:vAlign w:val="top"/>
          </w:tcPr>
          <w:p>
            <w:pPr>
              <w:pStyle w:val="TableText"/>
              <w:ind w:left="258"/>
              <w:spacing w:before="81" w:line="171" w:lineRule="auto"/>
              <w:rPr/>
            </w:pPr>
            <w:r>
              <w:rPr/>
              <w:t>(2)将财务数据映射到业务数据</w:t>
            </w:r>
          </w:p>
        </w:tc>
      </w:tr>
    </w:tbl>
    <w:p>
      <w:pPr>
        <w:ind w:left="3540"/>
        <w:spacing w:before="119" w:line="218" w:lineRule="auto"/>
        <w:rPr>
          <w:rFonts w:ascii="SimSun" w:hAnsi="SimSun" w:eastAsia="SimSun" w:cs="SimSun"/>
          <w:sz w:val="15"/>
          <w:szCs w:val="15"/>
        </w:rPr>
      </w:pPr>
      <w:r>
        <w:rPr>
          <w:rFonts w:ascii="SimSun" w:hAnsi="SimSun" w:eastAsia="SimSun" w:cs="SimSun"/>
          <w:sz w:val="15"/>
          <w:szCs w:val="15"/>
        </w:rPr>
        <w:t>(3)制订数据治理等财务目标与评估指标等</w:t>
      </w:r>
    </w:p>
    <w:p>
      <w:pPr>
        <w:ind w:left="3540"/>
        <w:spacing w:before="93" w:line="219" w:lineRule="auto"/>
        <w:rPr>
          <w:rFonts w:ascii="SimSun" w:hAnsi="SimSun" w:eastAsia="SimSun" w:cs="SimSun"/>
          <w:sz w:val="15"/>
          <w:szCs w:val="15"/>
        </w:rPr>
      </w:pPr>
      <w:r>
        <w:rPr>
          <w:rFonts w:ascii="SimSun" w:hAnsi="SimSun" w:eastAsia="SimSun" w:cs="SimSun"/>
          <w:sz w:val="15"/>
          <w:szCs w:val="15"/>
        </w:rPr>
        <w:t>(1)制订数据安全管理规章</w:t>
      </w:r>
    </w:p>
    <w:p>
      <w:pPr>
        <w:ind w:left="2050"/>
        <w:spacing w:before="103" w:line="232" w:lineRule="auto"/>
        <w:rPr>
          <w:rFonts w:ascii="SimSun" w:hAnsi="SimSun" w:eastAsia="SimSun" w:cs="SimSun"/>
          <w:sz w:val="15"/>
          <w:szCs w:val="15"/>
        </w:rPr>
      </w:pPr>
      <w:r>
        <w:rPr>
          <w:rFonts w:ascii="SimSun" w:hAnsi="SimSun" w:eastAsia="SimSun" w:cs="SimSun"/>
          <w:sz w:val="15"/>
          <w:szCs w:val="15"/>
          <w:spacing w:val="1"/>
        </w:rPr>
        <w:t>数据安全管理员</w:t>
      </w:r>
      <w:r>
        <w:rPr>
          <w:rFonts w:ascii="SimSun" w:hAnsi="SimSun" w:eastAsia="SimSun" w:cs="SimSun"/>
          <w:sz w:val="15"/>
          <w:szCs w:val="15"/>
          <w:spacing w:val="9"/>
        </w:rPr>
        <w:t xml:space="preserve">     </w:t>
      </w:r>
      <w:r>
        <w:rPr>
          <w:rFonts w:ascii="SimSun" w:hAnsi="SimSun" w:eastAsia="SimSun" w:cs="SimSun"/>
          <w:sz w:val="15"/>
          <w:szCs w:val="15"/>
          <w:spacing w:val="1"/>
        </w:rPr>
        <w:t>(2)识别组织敏感数据，并在</w:t>
      </w:r>
      <w:r>
        <w:rPr>
          <w:rFonts w:ascii="SimSun" w:hAnsi="SimSun" w:eastAsia="SimSun" w:cs="SimSun"/>
          <w:sz w:val="15"/>
          <w:szCs w:val="15"/>
        </w:rPr>
        <w:t>元数据库中标记</w:t>
      </w:r>
    </w:p>
    <w:p>
      <w:pPr>
        <w:ind w:left="580"/>
        <w:spacing w:before="1" w:line="160" w:lineRule="auto"/>
        <w:rPr>
          <w:rFonts w:ascii="SimSun" w:hAnsi="SimSun" w:eastAsia="SimSun" w:cs="SimSun"/>
          <w:sz w:val="15"/>
          <w:szCs w:val="15"/>
        </w:rPr>
      </w:pPr>
      <w:r>
        <w:rPr>
          <w:rFonts w:ascii="SimSun" w:hAnsi="SimSun" w:eastAsia="SimSun" w:cs="SimSun"/>
          <w:sz w:val="15"/>
          <w:szCs w:val="15"/>
          <w:spacing w:val="2"/>
        </w:rPr>
        <w:t>基层数据治理专员</w:t>
      </w:r>
    </w:p>
    <w:p>
      <w:pPr>
        <w:ind w:left="3540"/>
        <w:spacing w:before="1" w:line="194" w:lineRule="auto"/>
        <w:rPr>
          <w:rFonts w:ascii="SimSun" w:hAnsi="SimSun" w:eastAsia="SimSun" w:cs="SimSun"/>
          <w:sz w:val="15"/>
          <w:szCs w:val="15"/>
        </w:rPr>
      </w:pPr>
      <w:r>
        <w:rPr>
          <w:rFonts w:ascii="SimSun" w:hAnsi="SimSun" w:eastAsia="SimSun" w:cs="SimSun"/>
          <w:sz w:val="15"/>
          <w:szCs w:val="15"/>
        </w:rPr>
        <w:t>(3)制订历史数据归档、销毁策略，满足合规和业务需求等</w:t>
      </w:r>
    </w:p>
    <w:p>
      <w:pPr>
        <w:ind w:left="3540"/>
        <w:spacing w:before="132" w:line="219" w:lineRule="auto"/>
        <w:rPr>
          <w:rFonts w:ascii="SimSun" w:hAnsi="SimSun" w:eastAsia="SimSun" w:cs="SimSun"/>
          <w:sz w:val="15"/>
          <w:szCs w:val="15"/>
        </w:rPr>
      </w:pPr>
      <w:r>
        <w:rPr>
          <w:rFonts w:ascii="SimSun" w:hAnsi="SimSun" w:eastAsia="SimSun" w:cs="SimSun"/>
          <w:sz w:val="15"/>
          <w:szCs w:val="15"/>
        </w:rPr>
        <w:t>(1)识别顾客来源</w:t>
      </w:r>
    </w:p>
    <w:p>
      <w:pPr>
        <w:ind w:left="2050"/>
        <w:spacing w:before="72" w:line="232" w:lineRule="auto"/>
        <w:rPr>
          <w:rFonts w:ascii="SimSun" w:hAnsi="SimSun" w:eastAsia="SimSun" w:cs="SimSun"/>
          <w:sz w:val="15"/>
          <w:szCs w:val="15"/>
        </w:rPr>
      </w:pPr>
      <w:r>
        <w:rPr>
          <w:rFonts w:ascii="SimSun" w:hAnsi="SimSun" w:eastAsia="SimSun" w:cs="SimSun"/>
          <w:sz w:val="15"/>
          <w:szCs w:val="15"/>
          <w:spacing w:val="1"/>
          <w:position w:val="1"/>
        </w:rPr>
        <w:t>顾客数据管理员</w:t>
      </w:r>
      <w:r>
        <w:rPr>
          <w:rFonts w:ascii="SimSun" w:hAnsi="SimSun" w:eastAsia="SimSun" w:cs="SimSun"/>
          <w:sz w:val="15"/>
          <w:szCs w:val="15"/>
          <w:spacing w:val="10"/>
          <w:position w:val="1"/>
        </w:rPr>
        <w:t xml:space="preserve">     </w:t>
      </w:r>
      <w:r>
        <w:rPr>
          <w:rFonts w:ascii="SimSun" w:hAnsi="SimSun" w:eastAsia="SimSun" w:cs="SimSun"/>
          <w:sz w:val="15"/>
          <w:szCs w:val="15"/>
          <w:spacing w:val="1"/>
        </w:rPr>
        <w:t>(2)协助制订元数据库</w:t>
      </w:r>
    </w:p>
    <w:p>
      <w:pPr>
        <w:ind w:left="3540"/>
        <w:spacing w:before="112" w:line="219" w:lineRule="auto"/>
        <w:rPr>
          <w:rFonts w:ascii="SimSun" w:hAnsi="SimSun" w:eastAsia="SimSun" w:cs="SimSun"/>
          <w:sz w:val="15"/>
          <w:szCs w:val="15"/>
        </w:rPr>
      </w:pPr>
      <w:r>
        <w:rPr>
          <w:rFonts w:ascii="SimSun" w:hAnsi="SimSun" w:eastAsia="SimSun" w:cs="SimSun"/>
          <w:sz w:val="15"/>
          <w:szCs w:val="15"/>
        </w:rPr>
        <w:t>(3)管理顾客数据</w:t>
      </w:r>
    </w:p>
    <w:p>
      <w:pPr>
        <w:ind w:left="2200"/>
        <w:spacing w:before="102" w:line="219" w:lineRule="auto"/>
        <w:rPr>
          <w:rFonts w:ascii="SimSun" w:hAnsi="SimSun" w:eastAsia="SimSun" w:cs="SimSun"/>
          <w:sz w:val="15"/>
          <w:szCs w:val="15"/>
        </w:rPr>
      </w:pPr>
      <w:r>
        <w:rPr>
          <w:rFonts w:ascii="SimSun" w:hAnsi="SimSun" w:eastAsia="SimSun" w:cs="SimSun"/>
          <w:sz w:val="15"/>
          <w:szCs w:val="15"/>
        </w:rPr>
        <w:t>元数据专家</w:t>
      </w:r>
      <w:r>
        <w:rPr>
          <w:rFonts w:ascii="SimSun" w:hAnsi="SimSun" w:eastAsia="SimSun" w:cs="SimSun"/>
          <w:sz w:val="15"/>
          <w:szCs w:val="15"/>
          <w:spacing w:val="10"/>
        </w:rPr>
        <w:t xml:space="preserve">       </w:t>
      </w:r>
      <w:r>
        <w:rPr>
          <w:rFonts w:ascii="SimSun" w:hAnsi="SimSun" w:eastAsia="SimSun" w:cs="SimSun"/>
          <w:sz w:val="15"/>
          <w:szCs w:val="15"/>
        </w:rPr>
        <w:t>(1)负责元数据整合、控制和交付，包括元</w:t>
      </w:r>
      <w:r>
        <w:rPr>
          <w:rFonts w:ascii="SimSun" w:hAnsi="SimSun" w:eastAsia="SimSun" w:cs="SimSun"/>
          <w:sz w:val="15"/>
          <w:szCs w:val="15"/>
          <w:spacing w:val="-1"/>
        </w:rPr>
        <w:t>数据存储库的管理</w:t>
      </w:r>
    </w:p>
    <w:p>
      <w:pPr>
        <w:ind w:left="3540"/>
        <w:spacing w:before="152" w:line="160" w:lineRule="auto"/>
        <w:rPr>
          <w:rFonts w:ascii="SimSun" w:hAnsi="SimSun" w:eastAsia="SimSun" w:cs="SimSun"/>
          <w:sz w:val="15"/>
          <w:szCs w:val="15"/>
        </w:rPr>
      </w:pPr>
      <w:r>
        <w:rPr>
          <w:rFonts w:ascii="SimSun" w:hAnsi="SimSun" w:eastAsia="SimSun" w:cs="SimSun"/>
          <w:sz w:val="15"/>
          <w:szCs w:val="15"/>
        </w:rPr>
        <w:t>(1)负责确定数据的适用性</w:t>
      </w:r>
    </w:p>
    <w:p>
      <w:pPr>
        <w:ind w:left="2050"/>
        <w:spacing w:line="194" w:lineRule="auto"/>
        <w:rPr>
          <w:rFonts w:ascii="SimSun" w:hAnsi="SimSun" w:eastAsia="SimSun" w:cs="SimSun"/>
          <w:sz w:val="15"/>
          <w:szCs w:val="15"/>
        </w:rPr>
      </w:pPr>
      <w:r>
        <w:rPr>
          <w:rFonts w:ascii="SimSun" w:hAnsi="SimSun" w:eastAsia="SimSun" w:cs="SimSun"/>
          <w:sz w:val="15"/>
          <w:szCs w:val="15"/>
          <w:spacing w:val="-1"/>
        </w:rPr>
        <w:t>数据质量分析师</w:t>
      </w:r>
    </w:p>
    <w:p>
      <w:pPr>
        <w:ind w:left="3540"/>
        <w:spacing w:before="1" w:line="219" w:lineRule="auto"/>
        <w:rPr>
          <w:rFonts w:ascii="SimSun" w:hAnsi="SimSun" w:eastAsia="SimSun" w:cs="SimSun"/>
          <w:sz w:val="15"/>
          <w:szCs w:val="15"/>
        </w:rPr>
      </w:pPr>
      <w:r>
        <w:rPr>
          <w:rFonts w:ascii="SimSun" w:hAnsi="SimSun" w:eastAsia="SimSun" w:cs="SimSun"/>
          <w:sz w:val="15"/>
          <w:szCs w:val="15"/>
        </w:rPr>
        <w:t>(2)依据制订的规则开展数据清洗</w:t>
      </w:r>
    </w:p>
    <w:p>
      <w:pPr>
        <w:ind w:left="4759"/>
        <w:spacing w:before="135" w:line="93" w:lineRule="exact"/>
        <w:rPr>
          <w:rFonts w:ascii="SimSun" w:hAnsi="SimSun" w:eastAsia="SimSun" w:cs="SimSun"/>
          <w:sz w:val="6"/>
          <w:szCs w:val="6"/>
        </w:rPr>
      </w:pPr>
      <w:r>
        <w:rPr>
          <w:rFonts w:ascii="SimSun" w:hAnsi="SimSun" w:eastAsia="SimSun" w:cs="SimSun"/>
          <w:sz w:val="6"/>
          <w:szCs w:val="6"/>
          <w:spacing w:val="-4"/>
          <w:position w:val="1"/>
        </w:rPr>
        <w:t>…</w:t>
      </w:r>
      <w:r>
        <w:rPr>
          <w:rFonts w:ascii="SimSun" w:hAnsi="SimSun" w:eastAsia="SimSun" w:cs="SimSun"/>
          <w:sz w:val="6"/>
          <w:szCs w:val="6"/>
          <w:spacing w:val="-7"/>
          <w:position w:val="1"/>
        </w:rPr>
        <w:t xml:space="preserve"> </w:t>
      </w:r>
      <w:r>
        <w:rPr>
          <w:rFonts w:ascii="SimSun" w:hAnsi="SimSun" w:eastAsia="SimSun" w:cs="SimSun"/>
          <w:sz w:val="6"/>
          <w:szCs w:val="6"/>
          <w:spacing w:val="-4"/>
          <w:position w:val="1"/>
        </w:rPr>
        <w:t>·</w:t>
      </w:r>
    </w:p>
    <w:p>
      <w:pPr>
        <w:spacing w:line="93" w:lineRule="exact"/>
        <w:sectPr>
          <w:footerReference w:type="default" r:id="rId162"/>
          <w:pgSz w:w="8870" w:h="13400"/>
          <w:pgMar w:top="400" w:right="620" w:bottom="530" w:left="299" w:header="0" w:footer="331" w:gutter="0"/>
        </w:sectPr>
        <w:rPr>
          <w:rFonts w:ascii="SimSun" w:hAnsi="SimSun" w:eastAsia="SimSun" w:cs="SimSun"/>
          <w:sz w:val="6"/>
          <w:szCs w:val="6"/>
        </w:rPr>
      </w:pPr>
    </w:p>
    <w:p>
      <w:pPr>
        <w:ind w:left="5503"/>
        <w:spacing w:before="244" w:line="219" w:lineRule="auto"/>
        <w:rPr>
          <w:rFonts w:ascii="SimSun" w:hAnsi="SimSun" w:eastAsia="SimSun" w:cs="SimSun"/>
          <w:sz w:val="22"/>
          <w:szCs w:val="22"/>
        </w:rPr>
      </w:pPr>
      <w:r>
        <w:rPr>
          <w:rFonts w:ascii="SimSun" w:hAnsi="SimSun" w:eastAsia="SimSun" w:cs="SimSun"/>
          <w:sz w:val="22"/>
          <w:szCs w:val="22"/>
          <w:b/>
          <w:bCs/>
          <w:spacing w:val="-11"/>
        </w:rPr>
        <w:t>第4章■云端数据战略■</w:t>
      </w:r>
    </w:p>
    <w:p>
      <w:pPr>
        <w:pStyle w:val="BodyText"/>
        <w:spacing w:line="452" w:lineRule="auto"/>
        <w:rPr/>
      </w:pPr>
      <w:r/>
    </w:p>
    <w:p>
      <w:pPr>
        <w:ind w:left="4"/>
        <w:spacing w:before="98" w:line="224" w:lineRule="auto"/>
        <w:outlineLvl w:val="1"/>
        <w:rPr>
          <w:rFonts w:ascii="YouYuan" w:hAnsi="YouYuan" w:eastAsia="YouYuan" w:cs="YouYuan"/>
          <w:sz w:val="30"/>
          <w:szCs w:val="30"/>
        </w:rPr>
      </w:pPr>
      <w:r>
        <w:rPr>
          <w:rFonts w:ascii="YouYuan" w:hAnsi="YouYuan" w:eastAsia="YouYuan" w:cs="YouYuan"/>
          <w:sz w:val="30"/>
          <w:szCs w:val="30"/>
          <w:b/>
          <w:bCs/>
          <w:spacing w:val="-13"/>
        </w:rPr>
        <w:t>4.2.3</w:t>
      </w:r>
      <w:r>
        <w:rPr>
          <w:rFonts w:ascii="YouYuan" w:hAnsi="YouYuan" w:eastAsia="YouYuan" w:cs="YouYuan"/>
          <w:sz w:val="30"/>
          <w:szCs w:val="30"/>
          <w:spacing w:val="115"/>
        </w:rPr>
        <w:t xml:space="preserve"> </w:t>
      </w:r>
      <w:r>
        <w:rPr>
          <w:rFonts w:ascii="YouYuan" w:hAnsi="YouYuan" w:eastAsia="YouYuan" w:cs="YouYuan"/>
          <w:sz w:val="30"/>
          <w:szCs w:val="30"/>
          <w:b/>
          <w:bCs/>
          <w:spacing w:val="-13"/>
        </w:rPr>
        <w:t>业务案例</w:t>
      </w:r>
    </w:p>
    <w:p>
      <w:pPr>
        <w:pStyle w:val="BodyText"/>
        <w:spacing w:line="255" w:lineRule="auto"/>
        <w:rPr/>
      </w:pPr>
      <w:r/>
    </w:p>
    <w:p>
      <w:pPr>
        <w:ind w:left="443"/>
        <w:spacing w:before="72" w:line="224" w:lineRule="auto"/>
        <w:outlineLvl w:val="2"/>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440"/>
        <w:spacing w:before="216" w:line="232" w:lineRule="auto"/>
        <w:rPr>
          <w:rFonts w:ascii="KaiTi" w:hAnsi="KaiTi" w:eastAsia="KaiTi" w:cs="KaiTi"/>
          <w:sz w:val="22"/>
          <w:szCs w:val="22"/>
        </w:rPr>
      </w:pPr>
      <w:r>
        <w:rPr>
          <w:rFonts w:ascii="KaiTi" w:hAnsi="KaiTi" w:eastAsia="KaiTi" w:cs="KaiTi"/>
          <w:sz w:val="22"/>
          <w:szCs w:val="22"/>
          <w:spacing w:val="13"/>
        </w:rPr>
        <w:t>1)目的</w:t>
      </w:r>
    </w:p>
    <w:p>
      <w:pPr>
        <w:ind w:right="282" w:firstLine="440"/>
        <w:spacing w:before="7" w:line="252" w:lineRule="auto"/>
        <w:rPr>
          <w:rFonts w:ascii="SimSun" w:hAnsi="SimSun" w:eastAsia="SimSun" w:cs="SimSun"/>
          <w:sz w:val="22"/>
          <w:szCs w:val="22"/>
        </w:rPr>
      </w:pPr>
      <w:r>
        <w:rPr>
          <w:rFonts w:ascii="SimSun" w:hAnsi="SimSun" w:eastAsia="SimSun" w:cs="SimSun"/>
          <w:sz w:val="22"/>
          <w:szCs w:val="22"/>
          <w:spacing w:val="-8"/>
        </w:rPr>
        <w:t>为组织提供一个数据治理项目决策的工具，决策的依据多以数据治理项目未来</w:t>
      </w:r>
      <w:r>
        <w:rPr>
          <w:rFonts w:ascii="SimSun" w:hAnsi="SimSun" w:eastAsia="SimSun" w:cs="SimSun"/>
          <w:sz w:val="22"/>
          <w:szCs w:val="22"/>
        </w:rPr>
        <w:t xml:space="preserve"> </w:t>
      </w:r>
      <w:r>
        <w:rPr>
          <w:rFonts w:ascii="SimSun" w:hAnsi="SimSun" w:eastAsia="SimSun" w:cs="SimSun"/>
          <w:sz w:val="22"/>
          <w:szCs w:val="22"/>
          <w:spacing w:val="-7"/>
        </w:rPr>
        <w:t>的经济收益和对组织的整体收益为主，并确定</w:t>
      </w:r>
      <w:r>
        <w:rPr>
          <w:rFonts w:ascii="SimSun" w:hAnsi="SimSun" w:eastAsia="SimSun" w:cs="SimSun"/>
          <w:sz w:val="22"/>
          <w:szCs w:val="22"/>
          <w:spacing w:val="-8"/>
        </w:rPr>
        <w:t>治理项目的优先级，保证数据治理项</w:t>
      </w:r>
      <w:r>
        <w:rPr>
          <w:rFonts w:ascii="SimSun" w:hAnsi="SimSun" w:eastAsia="SimSun" w:cs="SimSun"/>
          <w:sz w:val="22"/>
          <w:szCs w:val="22"/>
        </w:rPr>
        <w:t xml:space="preserve"> </w:t>
      </w:r>
      <w:r>
        <w:rPr>
          <w:rFonts w:ascii="SimSun" w:hAnsi="SimSun" w:eastAsia="SimSun" w:cs="SimSun"/>
          <w:sz w:val="22"/>
          <w:szCs w:val="22"/>
          <w:spacing w:val="-20"/>
        </w:rPr>
        <w:t>目的持续性。</w:t>
      </w:r>
    </w:p>
    <w:p>
      <w:pPr>
        <w:ind w:left="440"/>
        <w:spacing w:before="38" w:line="219" w:lineRule="auto"/>
        <w:rPr>
          <w:rFonts w:ascii="SimSun" w:hAnsi="SimSun" w:eastAsia="SimSun" w:cs="SimSun"/>
          <w:sz w:val="22"/>
          <w:szCs w:val="22"/>
        </w:rPr>
      </w:pPr>
      <w:r>
        <w:rPr>
          <w:rFonts w:ascii="SimSun" w:hAnsi="SimSun" w:eastAsia="SimSun" w:cs="SimSun"/>
          <w:sz w:val="22"/>
          <w:szCs w:val="22"/>
          <w:spacing w:val="19"/>
        </w:rPr>
        <w:t>2)介绍</w:t>
      </w:r>
    </w:p>
    <w:p>
      <w:pPr>
        <w:ind w:right="259" w:firstLine="440"/>
        <w:spacing w:before="49" w:line="252" w:lineRule="auto"/>
        <w:rPr>
          <w:rFonts w:ascii="SimSun" w:hAnsi="SimSun" w:eastAsia="SimSun" w:cs="SimSun"/>
          <w:sz w:val="22"/>
          <w:szCs w:val="22"/>
        </w:rPr>
      </w:pPr>
      <w:r>
        <w:rPr>
          <w:rFonts w:ascii="SimSun" w:hAnsi="SimSun" w:eastAsia="SimSun" w:cs="SimSun"/>
          <w:sz w:val="22"/>
          <w:szCs w:val="22"/>
          <w:spacing w:val="-7"/>
        </w:rPr>
        <w:t>业务案例是对数据治理方案、倡议或具体项目进行资助的提案</w:t>
      </w:r>
      <w:r>
        <w:rPr>
          <w:rFonts w:ascii="SimSun" w:hAnsi="SimSun" w:eastAsia="SimSun" w:cs="SimSun"/>
          <w:sz w:val="22"/>
          <w:szCs w:val="22"/>
          <w:spacing w:val="-8"/>
        </w:rPr>
        <w:t>，描述了治理的</w:t>
      </w:r>
      <w:r>
        <w:rPr>
          <w:rFonts w:ascii="SimSun" w:hAnsi="SimSun" w:eastAsia="SimSun" w:cs="SimSun"/>
          <w:sz w:val="22"/>
          <w:szCs w:val="22"/>
        </w:rPr>
        <w:t xml:space="preserve"> </w:t>
      </w:r>
      <w:r>
        <w:rPr>
          <w:rFonts w:ascii="SimSun" w:hAnsi="SimSun" w:eastAsia="SimSun" w:cs="SimSun"/>
          <w:sz w:val="22"/>
          <w:szCs w:val="22"/>
          <w:spacing w:val="-8"/>
        </w:rPr>
        <w:t>范围、活动和预期结果，以及由“总体成本</w:t>
      </w:r>
      <w:r>
        <w:rPr>
          <w:rFonts w:ascii="Times New Roman" w:hAnsi="Times New Roman" w:eastAsia="Times New Roman" w:cs="Times New Roman"/>
          <w:sz w:val="22"/>
          <w:szCs w:val="22"/>
          <w:spacing w:val="-8"/>
        </w:rPr>
        <w:t>VS</w:t>
      </w:r>
      <w:r>
        <w:rPr>
          <w:rFonts w:ascii="Times New Roman" w:hAnsi="Times New Roman" w:eastAsia="Times New Roman" w:cs="Times New Roman"/>
          <w:sz w:val="22"/>
          <w:szCs w:val="22"/>
        </w:rPr>
        <w:t xml:space="preserve"> </w:t>
      </w:r>
      <w:r>
        <w:rPr>
          <w:rFonts w:ascii="SimSun" w:hAnsi="SimSun" w:eastAsia="SimSun" w:cs="SimSun"/>
          <w:sz w:val="22"/>
          <w:szCs w:val="22"/>
          <w:spacing w:val="-8"/>
        </w:rPr>
        <w:t>投资收益”分析构成的理论阐述。</w:t>
      </w:r>
    </w:p>
    <w:p>
      <w:pPr>
        <w:ind w:right="256" w:firstLine="440"/>
        <w:spacing w:before="48" w:line="247" w:lineRule="auto"/>
        <w:rPr>
          <w:rFonts w:ascii="SimSun" w:hAnsi="SimSun" w:eastAsia="SimSun" w:cs="SimSun"/>
          <w:sz w:val="22"/>
          <w:szCs w:val="22"/>
        </w:rPr>
      </w:pPr>
      <w:r>
        <w:rPr>
          <w:rFonts w:ascii="SimSun" w:hAnsi="SimSun" w:eastAsia="SimSun" w:cs="SimSun"/>
          <w:sz w:val="22"/>
          <w:szCs w:val="22"/>
          <w:spacing w:val="-9"/>
        </w:rPr>
        <w:t>业务案例是一种决策工具，用来确定某个项目将对组织盈利能力产生的影响。</w:t>
      </w:r>
      <w:r>
        <w:rPr>
          <w:rFonts w:ascii="SimSun" w:hAnsi="SimSun" w:eastAsia="SimSun" w:cs="SimSun"/>
          <w:sz w:val="22"/>
          <w:szCs w:val="22"/>
          <w:spacing w:val="4"/>
        </w:rPr>
        <w:t xml:space="preserve"> </w:t>
      </w:r>
      <w:r>
        <w:rPr>
          <w:rFonts w:ascii="SimSun" w:hAnsi="SimSun" w:eastAsia="SimSun" w:cs="SimSun"/>
          <w:sz w:val="22"/>
          <w:szCs w:val="22"/>
          <w:spacing w:val="-8"/>
        </w:rPr>
        <w:t>业务案例应该展示这个决定在一段时间内是如何改变取值现金流的，以及成本和收</w:t>
      </w:r>
      <w:r>
        <w:rPr>
          <w:rFonts w:ascii="SimSun" w:hAnsi="SimSun" w:eastAsia="SimSun" w:cs="SimSun"/>
          <w:sz w:val="22"/>
          <w:szCs w:val="22"/>
          <w:spacing w:val="15"/>
        </w:rPr>
        <w:t xml:space="preserve"> </w:t>
      </w:r>
      <w:r>
        <w:rPr>
          <w:rFonts w:ascii="SimSun" w:hAnsi="SimSun" w:eastAsia="SimSun" w:cs="SimSun"/>
          <w:sz w:val="22"/>
          <w:szCs w:val="22"/>
          <w:spacing w:val="-12"/>
        </w:rPr>
        <w:t>入的改变。具体关注点包括组织内部收益率、</w:t>
      </w:r>
      <w:r>
        <w:rPr>
          <w:rFonts w:ascii="SimSun" w:hAnsi="SimSun" w:eastAsia="SimSun" w:cs="SimSun"/>
          <w:sz w:val="22"/>
          <w:szCs w:val="22"/>
          <w:spacing w:val="-13"/>
        </w:rPr>
        <w:t>现金流、投资回收期和投资回报率等。</w:t>
      </w:r>
    </w:p>
    <w:p>
      <w:pPr>
        <w:ind w:right="283" w:firstLine="440"/>
        <w:spacing w:before="41" w:line="253" w:lineRule="auto"/>
        <w:rPr>
          <w:rFonts w:ascii="SimSun" w:hAnsi="SimSun" w:eastAsia="SimSun" w:cs="SimSun"/>
          <w:sz w:val="22"/>
          <w:szCs w:val="22"/>
        </w:rPr>
      </w:pPr>
      <w:r>
        <w:rPr>
          <w:rFonts w:ascii="SimSun" w:hAnsi="SimSun" w:eastAsia="SimSun" w:cs="SimSun"/>
          <w:sz w:val="22"/>
          <w:szCs w:val="22"/>
          <w:spacing w:val="-8"/>
        </w:rPr>
        <w:t>业务案例可以是整个数据治理方案，或需要持续资助的方案要素，或具体数据</w:t>
      </w:r>
      <w:r>
        <w:rPr>
          <w:rFonts w:ascii="SimSun" w:hAnsi="SimSun" w:eastAsia="SimSun" w:cs="SimSun"/>
          <w:sz w:val="22"/>
          <w:szCs w:val="22"/>
          <w:spacing w:val="3"/>
        </w:rPr>
        <w:t xml:space="preserve"> </w:t>
      </w:r>
      <w:r>
        <w:rPr>
          <w:rFonts w:ascii="SimSun" w:hAnsi="SimSun" w:eastAsia="SimSun" w:cs="SimSun"/>
          <w:sz w:val="22"/>
          <w:szCs w:val="22"/>
          <w:spacing w:val="-7"/>
        </w:rPr>
        <w:t>管理项目制订，包括战略上和战术上的内容</w:t>
      </w:r>
      <w:r>
        <w:rPr>
          <w:rFonts w:ascii="SimSun" w:hAnsi="SimSun" w:eastAsia="SimSun" w:cs="SimSun"/>
          <w:sz w:val="22"/>
          <w:szCs w:val="22"/>
          <w:spacing w:val="-8"/>
        </w:rPr>
        <w:t>。例如，对于数据治理总体方案，从战</w:t>
      </w:r>
      <w:r>
        <w:rPr>
          <w:rFonts w:ascii="SimSun" w:hAnsi="SimSun" w:eastAsia="SimSun" w:cs="SimSun"/>
          <w:sz w:val="22"/>
          <w:szCs w:val="22"/>
        </w:rPr>
        <w:t xml:space="preserve"> </w:t>
      </w:r>
      <w:r>
        <w:rPr>
          <w:rFonts w:ascii="SimSun" w:hAnsi="SimSun" w:eastAsia="SimSun" w:cs="SimSun"/>
          <w:sz w:val="22"/>
          <w:szCs w:val="22"/>
          <w:spacing w:val="-8"/>
        </w:rPr>
        <w:t>略层面上，业务案例需要关注如何减少跨功能数据的冗余。就这一点而论，业务案</w:t>
      </w:r>
      <w:r>
        <w:rPr>
          <w:rFonts w:ascii="SimSun" w:hAnsi="SimSun" w:eastAsia="SimSun" w:cs="SimSun"/>
          <w:sz w:val="22"/>
          <w:szCs w:val="22"/>
          <w:spacing w:val="17"/>
        </w:rPr>
        <w:t xml:space="preserve"> </w:t>
      </w:r>
      <w:r>
        <w:rPr>
          <w:rFonts w:ascii="SimSun" w:hAnsi="SimSun" w:eastAsia="SimSun" w:cs="SimSun"/>
          <w:sz w:val="22"/>
          <w:szCs w:val="22"/>
          <w:spacing w:val="-8"/>
        </w:rPr>
        <w:t>例需要解决一些组织上面临的挑战，包括组织为什么需要重点关注减少冗余、受冗</w:t>
      </w:r>
      <w:r>
        <w:rPr>
          <w:rFonts w:ascii="SimSun" w:hAnsi="SimSun" w:eastAsia="SimSun" w:cs="SimSun"/>
          <w:sz w:val="22"/>
          <w:szCs w:val="22"/>
          <w:spacing w:val="18"/>
        </w:rPr>
        <w:t xml:space="preserve"> </w:t>
      </w:r>
      <w:r>
        <w:rPr>
          <w:rFonts w:ascii="SimSun" w:hAnsi="SimSun" w:eastAsia="SimSun" w:cs="SimSun"/>
          <w:sz w:val="22"/>
          <w:szCs w:val="22"/>
          <w:spacing w:val="-9"/>
        </w:rPr>
        <w:t>余影响的业务功能，以及方案将要解决的现存主要问题等。在战术上，该业务案例</w:t>
      </w:r>
      <w:r>
        <w:rPr>
          <w:rFonts w:ascii="SimSun" w:hAnsi="SimSun" w:eastAsia="SimSun" w:cs="SimSun"/>
          <w:sz w:val="22"/>
          <w:szCs w:val="22"/>
          <w:spacing w:val="10"/>
        </w:rPr>
        <w:t xml:space="preserve"> </w:t>
      </w:r>
      <w:r>
        <w:rPr>
          <w:rFonts w:ascii="SimSun" w:hAnsi="SimSun" w:eastAsia="SimSun" w:cs="SimSun"/>
          <w:sz w:val="22"/>
          <w:szCs w:val="22"/>
          <w:spacing w:val="-13"/>
        </w:rPr>
        <w:t>需要定义如何满足战略目标，包括以下内容。</w:t>
      </w:r>
    </w:p>
    <w:p>
      <w:pPr>
        <w:ind w:left="440"/>
        <w:spacing w:before="86" w:line="235" w:lineRule="auto"/>
        <w:rPr>
          <w:rFonts w:ascii="SimSun" w:hAnsi="SimSun" w:eastAsia="SimSun" w:cs="SimSun"/>
          <w:sz w:val="22"/>
          <w:szCs w:val="22"/>
        </w:rPr>
      </w:pPr>
      <w:r>
        <w:rPr>
          <w:rFonts w:ascii="STXingkai" w:hAnsi="STXingkai" w:eastAsia="STXingkai" w:cs="STXingkai"/>
          <w:sz w:val="22"/>
          <w:szCs w:val="22"/>
          <w:spacing w:val="-18"/>
        </w:rPr>
        <w:t>●</w:t>
      </w:r>
      <w:r>
        <w:rPr>
          <w:rFonts w:ascii="STXingkai" w:hAnsi="STXingkai" w:eastAsia="STXingkai" w:cs="STXingkai"/>
          <w:sz w:val="22"/>
          <w:szCs w:val="22"/>
          <w:spacing w:val="44"/>
        </w:rPr>
        <w:t xml:space="preserve"> </w:t>
      </w:r>
      <w:r>
        <w:rPr>
          <w:rFonts w:ascii="SimSun" w:hAnsi="SimSun" w:eastAsia="SimSun" w:cs="SimSun"/>
          <w:sz w:val="22"/>
          <w:szCs w:val="22"/>
          <w:spacing w:val="-18"/>
        </w:rPr>
        <w:t>识别关键方案的交付物；</w:t>
      </w:r>
    </w:p>
    <w:p>
      <w:pPr>
        <w:ind w:left="440"/>
        <w:spacing w:line="220" w:lineRule="auto"/>
        <w:rPr>
          <w:rFonts w:ascii="SimSun" w:hAnsi="SimSun" w:eastAsia="SimSun" w:cs="SimSun"/>
          <w:sz w:val="22"/>
          <w:szCs w:val="22"/>
        </w:rPr>
      </w:pPr>
      <w:r>
        <w:rPr>
          <w:rFonts w:ascii="SimSun" w:hAnsi="SimSun" w:eastAsia="SimSun" w:cs="SimSun"/>
          <w:sz w:val="22"/>
          <w:szCs w:val="22"/>
          <w:spacing w:val="-11"/>
        </w:rPr>
        <w:t>●定义顺序规划中的相关项目；</w:t>
      </w:r>
    </w:p>
    <w:p>
      <w:pPr>
        <w:ind w:left="440"/>
        <w:spacing w:before="45" w:line="235" w:lineRule="auto"/>
        <w:rPr>
          <w:rFonts w:ascii="SimSun" w:hAnsi="SimSun" w:eastAsia="SimSun" w:cs="SimSun"/>
          <w:sz w:val="22"/>
          <w:szCs w:val="22"/>
        </w:rPr>
      </w:pPr>
      <w:r>
        <w:rPr>
          <w:rFonts w:ascii="STHupo" w:hAnsi="STHupo" w:eastAsia="STHupo" w:cs="STHupo"/>
          <w:sz w:val="22"/>
          <w:szCs w:val="22"/>
          <w:spacing w:val="-22"/>
        </w:rPr>
        <w:t>●</w:t>
      </w:r>
      <w:r>
        <w:rPr>
          <w:rFonts w:ascii="STHupo" w:hAnsi="STHupo" w:eastAsia="STHupo" w:cs="STHupo"/>
          <w:sz w:val="22"/>
          <w:szCs w:val="22"/>
          <w:spacing w:val="11"/>
        </w:rPr>
        <w:t xml:space="preserve">  </w:t>
      </w:r>
      <w:r>
        <w:rPr>
          <w:rFonts w:ascii="SimSun" w:hAnsi="SimSun" w:eastAsia="SimSun" w:cs="SimSun"/>
          <w:sz w:val="22"/>
          <w:szCs w:val="22"/>
          <w:spacing w:val="-22"/>
        </w:rPr>
        <w:t>定义衡量指标；</w:t>
      </w:r>
    </w:p>
    <w:p>
      <w:pPr>
        <w:ind w:left="440"/>
        <w:spacing w:before="7" w:line="234" w:lineRule="auto"/>
        <w:rPr>
          <w:rFonts w:ascii="SimSun" w:hAnsi="SimSun" w:eastAsia="SimSun" w:cs="SimSun"/>
          <w:sz w:val="22"/>
          <w:szCs w:val="22"/>
        </w:rPr>
      </w:pPr>
      <w:r>
        <w:rPr>
          <w:rFonts w:ascii="STXingkai" w:hAnsi="STXingkai" w:eastAsia="STXingkai" w:cs="STXingkai"/>
          <w:sz w:val="22"/>
          <w:szCs w:val="22"/>
          <w:spacing w:val="-19"/>
        </w:rPr>
        <w:t>●</w:t>
      </w:r>
      <w:r>
        <w:rPr>
          <w:rFonts w:ascii="STXingkai" w:hAnsi="STXingkai" w:eastAsia="STXingkai" w:cs="STXingkai"/>
          <w:sz w:val="22"/>
          <w:szCs w:val="22"/>
          <w:spacing w:val="48"/>
        </w:rPr>
        <w:t xml:space="preserve"> </w:t>
      </w:r>
      <w:r>
        <w:rPr>
          <w:rFonts w:ascii="SimSun" w:hAnsi="SimSun" w:eastAsia="SimSun" w:cs="SimSun"/>
          <w:sz w:val="22"/>
          <w:szCs w:val="22"/>
          <w:spacing w:val="-19"/>
        </w:rPr>
        <w:t>确定所需的人力资源；</w:t>
      </w:r>
    </w:p>
    <w:p>
      <w:pPr>
        <w:ind w:left="440"/>
        <w:spacing w:before="1" w:line="218" w:lineRule="auto"/>
        <w:rPr>
          <w:rFonts w:ascii="SimSun" w:hAnsi="SimSun" w:eastAsia="SimSun" w:cs="SimSun"/>
          <w:sz w:val="22"/>
          <w:szCs w:val="22"/>
        </w:rPr>
      </w:pPr>
      <w:r>
        <w:rPr>
          <w:rFonts w:ascii="SimSun" w:hAnsi="SimSun" w:eastAsia="SimSun" w:cs="SimSun"/>
          <w:sz w:val="22"/>
          <w:szCs w:val="22"/>
          <w:spacing w:val="-9"/>
        </w:rPr>
        <w:t>●为成本、收益和风险提供依据。</w:t>
      </w:r>
    </w:p>
    <w:p>
      <w:pPr>
        <w:ind w:right="287" w:firstLine="440"/>
        <w:spacing w:before="59" w:line="246" w:lineRule="auto"/>
        <w:jc w:val="both"/>
        <w:rPr>
          <w:rFonts w:ascii="SimSun" w:hAnsi="SimSun" w:eastAsia="SimSun" w:cs="SimSun"/>
          <w:sz w:val="22"/>
          <w:szCs w:val="22"/>
        </w:rPr>
      </w:pPr>
      <w:r>
        <w:rPr>
          <w:rFonts w:ascii="SimSun" w:hAnsi="SimSun" w:eastAsia="SimSun" w:cs="SimSun"/>
          <w:sz w:val="22"/>
          <w:szCs w:val="22"/>
          <w:spacing w:val="-9"/>
        </w:rPr>
        <w:t>业务案例需要识别数据治理活动的关键交付物，并为数据治理活动及交付物建</w:t>
      </w:r>
      <w:r>
        <w:rPr>
          <w:rFonts w:ascii="SimSun" w:hAnsi="SimSun" w:eastAsia="SimSun" w:cs="SimSun"/>
          <w:sz w:val="22"/>
          <w:szCs w:val="22"/>
          <w:spacing w:val="14"/>
        </w:rPr>
        <w:t xml:space="preserve"> </w:t>
      </w:r>
      <w:r>
        <w:rPr>
          <w:rFonts w:ascii="SimSun" w:hAnsi="SimSun" w:eastAsia="SimSun" w:cs="SimSun"/>
          <w:sz w:val="22"/>
          <w:szCs w:val="22"/>
          <w:spacing w:val="-8"/>
        </w:rPr>
        <w:t>立评估模型，即成本一效益原理。对数据治理总体方案，业务案例通常会对以下内</w:t>
      </w:r>
      <w:r>
        <w:rPr>
          <w:rFonts w:ascii="SimSun" w:hAnsi="SimSun" w:eastAsia="SimSun" w:cs="SimSun"/>
          <w:sz w:val="22"/>
          <w:szCs w:val="22"/>
          <w:spacing w:val="16"/>
        </w:rPr>
        <w:t xml:space="preserve"> </w:t>
      </w:r>
      <w:r>
        <w:rPr>
          <w:rFonts w:ascii="SimSun" w:hAnsi="SimSun" w:eastAsia="SimSun" w:cs="SimSun"/>
          <w:sz w:val="22"/>
          <w:szCs w:val="22"/>
          <w:spacing w:val="-14"/>
        </w:rPr>
        <w:t>容进行评估。</w:t>
      </w:r>
    </w:p>
    <w:p>
      <w:pPr>
        <w:ind w:left="440"/>
        <w:spacing w:before="71" w:line="219" w:lineRule="auto"/>
        <w:rPr>
          <w:rFonts w:ascii="SimSun" w:hAnsi="SimSun" w:eastAsia="SimSun" w:cs="SimSun"/>
          <w:sz w:val="22"/>
          <w:szCs w:val="22"/>
        </w:rPr>
      </w:pPr>
      <w:r>
        <w:rPr>
          <w:rFonts w:ascii="SimSun" w:hAnsi="SimSun" w:eastAsia="SimSun" w:cs="SimSun"/>
          <w:sz w:val="22"/>
          <w:szCs w:val="22"/>
          <w:spacing w:val="-3"/>
        </w:rPr>
        <w:t>●因数据资产管理欠佳而产生的风险(财务风险、</w:t>
      </w:r>
      <w:r>
        <w:rPr>
          <w:rFonts w:ascii="SimSun" w:hAnsi="SimSun" w:eastAsia="SimSun" w:cs="SimSun"/>
          <w:sz w:val="22"/>
          <w:szCs w:val="22"/>
          <w:spacing w:val="-4"/>
        </w:rPr>
        <w:t>操作风险和声誉风险等);</w:t>
      </w:r>
    </w:p>
    <w:p>
      <w:pPr>
        <w:ind w:left="440"/>
        <w:spacing w:before="49" w:line="219" w:lineRule="auto"/>
        <w:rPr>
          <w:rFonts w:ascii="SimSun" w:hAnsi="SimSun" w:eastAsia="SimSun" w:cs="SimSun"/>
          <w:sz w:val="22"/>
          <w:szCs w:val="22"/>
        </w:rPr>
      </w:pPr>
      <w:r>
        <w:rPr>
          <w:rFonts w:ascii="SimSun" w:hAnsi="SimSun" w:eastAsia="SimSun" w:cs="SimSun"/>
          <w:sz w:val="22"/>
          <w:szCs w:val="22"/>
          <w:spacing w:val="-4"/>
        </w:rPr>
        <w:t>●运作成本(例如数据整合、操作中断和合规要求等引起的无形成本);</w:t>
      </w:r>
    </w:p>
    <w:p>
      <w:pPr>
        <w:ind w:left="440"/>
        <w:spacing w:before="50" w:line="219" w:lineRule="auto"/>
        <w:rPr>
          <w:rFonts w:ascii="SimSun" w:hAnsi="SimSun" w:eastAsia="SimSun" w:cs="SimSun"/>
          <w:sz w:val="22"/>
          <w:szCs w:val="22"/>
        </w:rPr>
      </w:pPr>
      <w:r>
        <w:rPr>
          <w:rFonts w:ascii="SimSun" w:hAnsi="SimSun" w:eastAsia="SimSun" w:cs="SimSun"/>
          <w:sz w:val="22"/>
          <w:szCs w:val="22"/>
          <w:spacing w:val="-9"/>
        </w:rPr>
        <w:t>●期待通过数据治理投资获得的有形或无形收益；</w:t>
      </w:r>
    </w:p>
    <w:p>
      <w:pPr>
        <w:ind w:left="440"/>
        <w:spacing w:before="50" w:line="220" w:lineRule="auto"/>
        <w:rPr>
          <w:rFonts w:ascii="SimSun" w:hAnsi="SimSun" w:eastAsia="SimSun" w:cs="SimSun"/>
          <w:sz w:val="22"/>
          <w:szCs w:val="22"/>
        </w:rPr>
      </w:pPr>
      <w:r>
        <w:rPr>
          <w:rFonts w:ascii="SimSun" w:hAnsi="SimSun" w:eastAsia="SimSun" w:cs="SimSun"/>
          <w:sz w:val="22"/>
          <w:szCs w:val="22"/>
          <w:spacing w:val="-6"/>
        </w:rPr>
        <w:t>●与组织战略计划的一致性。</w:t>
      </w:r>
    </w:p>
    <w:p>
      <w:pPr>
        <w:ind w:right="266" w:firstLine="440"/>
        <w:spacing w:before="37" w:line="252" w:lineRule="auto"/>
        <w:jc w:val="both"/>
        <w:rPr>
          <w:rFonts w:ascii="SimSun" w:hAnsi="SimSun" w:eastAsia="SimSun" w:cs="SimSun"/>
          <w:sz w:val="22"/>
          <w:szCs w:val="22"/>
        </w:rPr>
      </w:pPr>
      <w:r>
        <w:rPr>
          <w:rFonts w:ascii="SimSun" w:hAnsi="SimSun" w:eastAsia="SimSun" w:cs="SimSun"/>
          <w:sz w:val="22"/>
          <w:szCs w:val="22"/>
          <w:spacing w:val="-7"/>
        </w:rPr>
        <w:t>数据治理活动是多个子活动的集合，业务案例</w:t>
      </w:r>
      <w:r>
        <w:rPr>
          <w:rFonts w:ascii="SimSun" w:hAnsi="SimSun" w:eastAsia="SimSun" w:cs="SimSun"/>
          <w:sz w:val="22"/>
          <w:szCs w:val="22"/>
          <w:spacing w:val="-8"/>
        </w:rPr>
        <w:t>则要为这些子活动的实施顺序提</w:t>
      </w:r>
      <w:r>
        <w:rPr>
          <w:rFonts w:ascii="SimSun" w:hAnsi="SimSun" w:eastAsia="SimSun" w:cs="SimSun"/>
          <w:sz w:val="22"/>
          <w:szCs w:val="22"/>
        </w:rPr>
        <w:t xml:space="preserve"> </w:t>
      </w:r>
      <w:r>
        <w:rPr>
          <w:rFonts w:ascii="SimSun" w:hAnsi="SimSun" w:eastAsia="SimSun" w:cs="SimSun"/>
          <w:sz w:val="22"/>
          <w:szCs w:val="22"/>
          <w:spacing w:val="-8"/>
        </w:rPr>
        <w:t>供规划和管理。大多数组织采用了标准业务案例模板，该模板能够用于符合顺序规</w:t>
      </w:r>
      <w:r>
        <w:rPr>
          <w:rFonts w:ascii="SimSun" w:hAnsi="SimSun" w:eastAsia="SimSun" w:cs="SimSun"/>
          <w:sz w:val="22"/>
          <w:szCs w:val="22"/>
          <w:spacing w:val="16"/>
        </w:rPr>
        <w:t xml:space="preserve"> </w:t>
      </w:r>
      <w:r>
        <w:rPr>
          <w:rFonts w:ascii="SimSun" w:hAnsi="SimSun" w:eastAsia="SimSun" w:cs="SimSun"/>
          <w:sz w:val="22"/>
          <w:szCs w:val="22"/>
          <w:spacing w:val="-7"/>
        </w:rPr>
        <w:t>划的数据治理业务案例。方案级别业务案例的关键输</w:t>
      </w:r>
      <w:r>
        <w:rPr>
          <w:rFonts w:ascii="SimSun" w:hAnsi="SimSun" w:eastAsia="SimSun" w:cs="SimSun"/>
          <w:sz w:val="22"/>
          <w:szCs w:val="22"/>
          <w:spacing w:val="-8"/>
        </w:rPr>
        <w:t>入是所有阶段中执行和支持数</w:t>
      </w:r>
    </w:p>
    <w:p>
      <w:pPr>
        <w:spacing w:line="252" w:lineRule="auto"/>
        <w:sectPr>
          <w:footerReference w:type="default" r:id="rId164"/>
          <w:pgSz w:w="8870" w:h="13400"/>
          <w:pgMar w:top="400" w:right="473" w:bottom="494" w:left="459" w:header="0" w:footer="276" w:gutter="0"/>
        </w:sectPr>
        <w:rPr>
          <w:rFonts w:ascii="SimSun" w:hAnsi="SimSun" w:eastAsia="SimSun" w:cs="SimSun"/>
          <w:sz w:val="22"/>
          <w:szCs w:val="22"/>
        </w:rPr>
      </w:pPr>
    </w:p>
    <w:p>
      <w:pPr>
        <w:ind w:left="222"/>
        <w:spacing w:before="296" w:line="219" w:lineRule="auto"/>
        <w:rPr>
          <w:rFonts w:ascii="SimSun" w:hAnsi="SimSun" w:eastAsia="SimSun" w:cs="SimSun"/>
          <w:sz w:val="22"/>
          <w:szCs w:val="22"/>
        </w:rPr>
      </w:pPr>
      <w:r>
        <w:pict>
          <v:rect id="_x0000_s306" style="position:absolute;margin-left:23.9978pt;margin-top:30.4984pt;mso-position-vertical-relative:page;mso-position-horizontal-relative:page;width:0.55pt;height:18.5pt;z-index:253201408;" o:allowincell="f" fillcolor="#000000" filled="true" stroked="false"/>
        </w:pict>
      </w:r>
      <w:r>
        <w:rPr>
          <w:rFonts w:ascii="SimSun" w:hAnsi="SimSun" w:eastAsia="SimSun" w:cs="SimSun"/>
          <w:sz w:val="22"/>
          <w:szCs w:val="22"/>
          <w:b/>
          <w:bCs/>
          <w:spacing w:val="-29"/>
          <w:w w:val="96"/>
        </w:rPr>
        <w:t>■云端数据治理■</w:t>
      </w:r>
    </w:p>
    <w:p>
      <w:pPr>
        <w:ind w:left="219" w:right="99"/>
        <w:spacing w:before="311"/>
        <w:rPr>
          <w:rFonts w:ascii="SimSun" w:hAnsi="SimSun" w:eastAsia="SimSun" w:cs="SimSun"/>
          <w:sz w:val="22"/>
          <w:szCs w:val="22"/>
        </w:rPr>
      </w:pPr>
      <w:r>
        <w:rPr>
          <w:rFonts w:ascii="SimSun" w:hAnsi="SimSun" w:eastAsia="SimSun" w:cs="SimSun"/>
          <w:sz w:val="22"/>
          <w:szCs w:val="22"/>
          <w:spacing w:val="-9"/>
        </w:rPr>
        <w:t>据治理战略所要求的总成本，总成本的确认和批准可以确保数据治理得到充足的资</w:t>
      </w:r>
      <w:r>
        <w:rPr>
          <w:rFonts w:ascii="SimSun" w:hAnsi="SimSun" w:eastAsia="SimSun" w:cs="SimSun"/>
          <w:sz w:val="22"/>
          <w:szCs w:val="22"/>
          <w:spacing w:val="18"/>
        </w:rPr>
        <w:t xml:space="preserve"> </w:t>
      </w:r>
      <w:r>
        <w:rPr>
          <w:rFonts w:ascii="SimSun" w:hAnsi="SimSun" w:eastAsia="SimSun" w:cs="SimSun"/>
          <w:sz w:val="22"/>
          <w:szCs w:val="22"/>
          <w:spacing w:val="-13"/>
        </w:rPr>
        <w:t>金来满足其近期和长期目标。</w:t>
      </w:r>
    </w:p>
    <w:p>
      <w:pPr>
        <w:ind w:left="219" w:right="53" w:firstLine="470"/>
        <w:spacing w:before="23" w:line="256" w:lineRule="auto"/>
        <w:rPr>
          <w:rFonts w:ascii="SimSun" w:hAnsi="SimSun" w:eastAsia="SimSun" w:cs="SimSun"/>
          <w:sz w:val="22"/>
          <w:szCs w:val="22"/>
        </w:rPr>
      </w:pPr>
      <w:r>
        <w:rPr>
          <w:rFonts w:ascii="SimSun" w:hAnsi="SimSun" w:eastAsia="SimSun" w:cs="SimSun"/>
          <w:sz w:val="22"/>
          <w:szCs w:val="22"/>
          <w:spacing w:val="-4"/>
        </w:rPr>
        <w:t>总体拥有成本</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4"/>
        </w:rPr>
        <w:t>(Total  Cost  of</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4"/>
        </w:rPr>
        <w:t>Ownership,TCO),  </w:t>
      </w:r>
      <w:r>
        <w:rPr>
          <w:rFonts w:ascii="SimSun" w:hAnsi="SimSun" w:eastAsia="SimSun" w:cs="SimSun"/>
          <w:sz w:val="22"/>
          <w:szCs w:val="22"/>
          <w:spacing w:val="-4"/>
        </w:rPr>
        <w:t>也指总体生命周期成本，是一</w:t>
      </w:r>
      <w:r>
        <w:rPr>
          <w:rFonts w:ascii="SimSun" w:hAnsi="SimSun" w:eastAsia="SimSun" w:cs="SimSun"/>
          <w:sz w:val="22"/>
          <w:szCs w:val="22"/>
        </w:rPr>
        <w:t xml:space="preserve"> </w:t>
      </w:r>
      <w:r>
        <w:rPr>
          <w:rFonts w:ascii="SimSun" w:hAnsi="SimSun" w:eastAsia="SimSun" w:cs="SimSun"/>
          <w:sz w:val="22"/>
          <w:szCs w:val="22"/>
          <w:spacing w:val="-8"/>
        </w:rPr>
        <w:t>项帮助组织来考核、管理和削减在一定时间范围内与组织获得某项资</w:t>
      </w:r>
      <w:r>
        <w:rPr>
          <w:rFonts w:ascii="SimSun" w:hAnsi="SimSun" w:eastAsia="SimSun" w:cs="SimSun"/>
          <w:sz w:val="22"/>
          <w:szCs w:val="22"/>
          <w:spacing w:val="-9"/>
        </w:rPr>
        <w:t>产相关联的所</w:t>
      </w:r>
      <w:r>
        <w:rPr>
          <w:rFonts w:ascii="SimSun" w:hAnsi="SimSun" w:eastAsia="SimSun" w:cs="SimSun"/>
          <w:sz w:val="22"/>
          <w:szCs w:val="22"/>
        </w:rPr>
        <w:t xml:space="preserve"> </w:t>
      </w:r>
      <w:r>
        <w:rPr>
          <w:rFonts w:ascii="SimSun" w:hAnsi="SimSun" w:eastAsia="SimSun" w:cs="SimSun"/>
          <w:sz w:val="22"/>
          <w:szCs w:val="22"/>
          <w:spacing w:val="-10"/>
        </w:rPr>
        <w:t>有成本的技术。尽管</w:t>
      </w:r>
      <w:r>
        <w:rPr>
          <w:rFonts w:ascii="Times New Roman" w:hAnsi="Times New Roman" w:eastAsia="Times New Roman" w:cs="Times New Roman"/>
          <w:sz w:val="22"/>
          <w:szCs w:val="22"/>
          <w:spacing w:val="-10"/>
        </w:rPr>
        <w:t>TCO </w:t>
      </w:r>
      <w:r>
        <w:rPr>
          <w:rFonts w:ascii="SimSun" w:hAnsi="SimSun" w:eastAsia="SimSun" w:cs="SimSun"/>
          <w:sz w:val="22"/>
          <w:szCs w:val="22"/>
          <w:spacing w:val="-10"/>
        </w:rPr>
        <w:t>分析方法经常用于重大开支和重大方案，这些方法并不常</w:t>
      </w:r>
      <w:r>
        <w:rPr>
          <w:rFonts w:ascii="SimSun" w:hAnsi="SimSun" w:eastAsia="SimSun" w:cs="SimSun"/>
          <w:sz w:val="22"/>
          <w:szCs w:val="22"/>
          <w:spacing w:val="15"/>
        </w:rPr>
        <w:t xml:space="preserve"> </w:t>
      </w:r>
      <w:r>
        <w:rPr>
          <w:rFonts w:ascii="SimSun" w:hAnsi="SimSun" w:eastAsia="SimSun" w:cs="SimSun"/>
          <w:sz w:val="22"/>
          <w:szCs w:val="22"/>
          <w:spacing w:val="-8"/>
        </w:rPr>
        <w:t>用于数据治理策划，因为由此产生的一些成本通</w:t>
      </w:r>
      <w:r>
        <w:rPr>
          <w:rFonts w:ascii="SimSun" w:hAnsi="SimSun" w:eastAsia="SimSun" w:cs="SimSun"/>
          <w:sz w:val="22"/>
          <w:szCs w:val="22"/>
          <w:spacing w:val="-9"/>
        </w:rPr>
        <w:t>常被分配到单个的项目，给评估总</w:t>
      </w:r>
      <w:r>
        <w:rPr>
          <w:rFonts w:ascii="SimSun" w:hAnsi="SimSun" w:eastAsia="SimSun" w:cs="SimSun"/>
          <w:sz w:val="22"/>
          <w:szCs w:val="22"/>
        </w:rPr>
        <w:t xml:space="preserve"> </w:t>
      </w:r>
      <w:r>
        <w:rPr>
          <w:rFonts w:ascii="SimSun" w:hAnsi="SimSun" w:eastAsia="SimSun" w:cs="SimSun"/>
          <w:sz w:val="22"/>
          <w:szCs w:val="22"/>
          <w:spacing w:val="-10"/>
        </w:rPr>
        <w:t>成本带来了挑战。</w:t>
      </w:r>
    </w:p>
    <w:p>
      <w:pPr>
        <w:ind w:left="219" w:right="44" w:firstLine="470"/>
        <w:spacing w:before="80" w:line="255" w:lineRule="auto"/>
        <w:rPr>
          <w:rFonts w:ascii="SimSun" w:hAnsi="SimSun" w:eastAsia="SimSun" w:cs="SimSun"/>
          <w:sz w:val="22"/>
          <w:szCs w:val="22"/>
        </w:rPr>
      </w:pPr>
      <w:r>
        <w:rPr>
          <w:rFonts w:ascii="Times New Roman" w:hAnsi="Times New Roman" w:eastAsia="Times New Roman" w:cs="Times New Roman"/>
          <w:sz w:val="22"/>
          <w:szCs w:val="22"/>
          <w:spacing w:val="-9"/>
        </w:rPr>
        <w:t>TCO </w:t>
      </w:r>
      <w:r>
        <w:rPr>
          <w:rFonts w:ascii="SimSun" w:hAnsi="SimSun" w:eastAsia="SimSun" w:cs="SimSun"/>
          <w:sz w:val="22"/>
          <w:szCs w:val="22"/>
          <w:spacing w:val="-9"/>
        </w:rPr>
        <w:t>没有普遍的计算公式，与行业性质有很大差别</w:t>
      </w:r>
      <w:r>
        <w:rPr>
          <w:rFonts w:ascii="SimSun" w:hAnsi="SimSun" w:eastAsia="SimSun" w:cs="SimSun"/>
          <w:sz w:val="22"/>
          <w:szCs w:val="22"/>
          <w:spacing w:val="-10"/>
        </w:rPr>
        <w:t>，但都要考虑独立成本之间</w:t>
      </w:r>
      <w:r>
        <w:rPr>
          <w:rFonts w:ascii="SimSun" w:hAnsi="SimSun" w:eastAsia="SimSun" w:cs="SimSun"/>
          <w:sz w:val="22"/>
          <w:szCs w:val="22"/>
        </w:rPr>
        <w:t xml:space="preserve"> </w:t>
      </w:r>
      <w:r>
        <w:rPr>
          <w:rFonts w:ascii="SimSun" w:hAnsi="SimSun" w:eastAsia="SimSun" w:cs="SimSun"/>
          <w:sz w:val="22"/>
          <w:szCs w:val="22"/>
          <w:spacing w:val="-13"/>
        </w:rPr>
        <w:t>的关联。对于数据治理项目的成本计算，可以从有形成本和无形成本两个方面入手，</w:t>
      </w:r>
      <w:r>
        <w:rPr>
          <w:rFonts w:ascii="SimSun" w:hAnsi="SimSun" w:eastAsia="SimSun" w:cs="SimSun"/>
          <w:sz w:val="22"/>
          <w:szCs w:val="22"/>
          <w:spacing w:val="10"/>
        </w:rPr>
        <w:t xml:space="preserve"> </w:t>
      </w:r>
      <w:r>
        <w:rPr>
          <w:rFonts w:ascii="SimSun" w:hAnsi="SimSun" w:eastAsia="SimSun" w:cs="SimSun"/>
          <w:sz w:val="22"/>
          <w:szCs w:val="22"/>
          <w:spacing w:val="-10"/>
        </w:rPr>
        <w:t>有形成本如数据搜寻、工具、人员资源、</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0"/>
        </w:rPr>
        <w:t>和手动矫正过程等支出；</w:t>
      </w:r>
      <w:r>
        <w:rPr>
          <w:rFonts w:ascii="SimSun" w:hAnsi="SimSun" w:eastAsia="SimSun" w:cs="SimSun"/>
          <w:sz w:val="22"/>
          <w:szCs w:val="22"/>
          <w:spacing w:val="-11"/>
        </w:rPr>
        <w:t>无形成本如支</w:t>
      </w:r>
      <w:r>
        <w:rPr>
          <w:rFonts w:ascii="SimSun" w:hAnsi="SimSun" w:eastAsia="SimSun" w:cs="SimSun"/>
          <w:sz w:val="22"/>
          <w:szCs w:val="22"/>
        </w:rPr>
        <w:t xml:space="preserve"> </w:t>
      </w:r>
      <w:r>
        <w:rPr>
          <w:rFonts w:ascii="SimSun" w:hAnsi="SimSun" w:eastAsia="SimSun" w:cs="SimSun"/>
          <w:sz w:val="22"/>
          <w:szCs w:val="22"/>
          <w:spacing w:val="-9"/>
        </w:rPr>
        <w:t>撑业务过程的数据价值或为组织带来竞争优势的数据价值。无形成本由于缺乏量化</w:t>
      </w:r>
      <w:r>
        <w:rPr>
          <w:rFonts w:ascii="SimSun" w:hAnsi="SimSun" w:eastAsia="SimSun" w:cs="SimSun"/>
          <w:sz w:val="22"/>
          <w:szCs w:val="22"/>
          <w:spacing w:val="12"/>
        </w:rPr>
        <w:t xml:space="preserve"> </w:t>
      </w:r>
      <w:r>
        <w:rPr>
          <w:rFonts w:ascii="SimSun" w:hAnsi="SimSun" w:eastAsia="SimSun" w:cs="SimSun"/>
          <w:sz w:val="22"/>
          <w:szCs w:val="22"/>
          <w:spacing w:val="-13"/>
        </w:rPr>
        <w:t>指标，使得其成本难以计算，因此给数据治理</w:t>
      </w:r>
      <w:r>
        <w:rPr>
          <w:rFonts w:ascii="Times New Roman" w:hAnsi="Times New Roman" w:eastAsia="Times New Roman" w:cs="Times New Roman"/>
          <w:sz w:val="22"/>
          <w:szCs w:val="22"/>
          <w:spacing w:val="-13"/>
        </w:rPr>
        <w:t>TCO </w:t>
      </w:r>
      <w:r>
        <w:rPr>
          <w:rFonts w:ascii="SimSun" w:hAnsi="SimSun" w:eastAsia="SimSun" w:cs="SimSun"/>
          <w:sz w:val="22"/>
          <w:szCs w:val="22"/>
          <w:spacing w:val="-13"/>
        </w:rPr>
        <w:t>计算</w:t>
      </w:r>
      <w:r>
        <w:rPr>
          <w:rFonts w:ascii="SimSun" w:hAnsi="SimSun" w:eastAsia="SimSun" w:cs="SimSun"/>
          <w:sz w:val="22"/>
          <w:szCs w:val="22"/>
          <w:spacing w:val="-14"/>
        </w:rPr>
        <w:t>带来了很多挑战。不过，</w:t>
      </w:r>
      <w:r>
        <w:rPr>
          <w:rFonts w:ascii="Times New Roman" w:hAnsi="Times New Roman" w:eastAsia="Times New Roman" w:cs="Times New Roman"/>
          <w:sz w:val="22"/>
          <w:szCs w:val="22"/>
          <w:spacing w:val="-14"/>
        </w:rPr>
        <w:t>TCO</w:t>
      </w:r>
      <w:r>
        <w:rPr>
          <w:rFonts w:ascii="Times New Roman" w:hAnsi="Times New Roman" w:eastAsia="Times New Roman" w:cs="Times New Roman"/>
          <w:sz w:val="22"/>
          <w:szCs w:val="22"/>
        </w:rPr>
        <w:t xml:space="preserve"> </w:t>
      </w:r>
      <w:r>
        <w:rPr>
          <w:rFonts w:ascii="SimSun" w:hAnsi="SimSun" w:eastAsia="SimSun" w:cs="SimSun"/>
          <w:sz w:val="22"/>
          <w:szCs w:val="22"/>
          <w:spacing w:val="-9"/>
        </w:rPr>
        <w:t>这种思想还是为高级管理层提供了一个用于评价方案目标的实现情况和评估目前资</w:t>
      </w:r>
      <w:r>
        <w:rPr>
          <w:rFonts w:ascii="SimSun" w:hAnsi="SimSun" w:eastAsia="SimSun" w:cs="SimSun"/>
          <w:sz w:val="22"/>
          <w:szCs w:val="22"/>
          <w:spacing w:val="18"/>
        </w:rPr>
        <w:t xml:space="preserve"> </w:t>
      </w:r>
      <w:r>
        <w:rPr>
          <w:rFonts w:ascii="SimSun" w:hAnsi="SimSun" w:eastAsia="SimSun" w:cs="SimSun"/>
          <w:sz w:val="22"/>
          <w:szCs w:val="22"/>
          <w:spacing w:val="-10"/>
        </w:rPr>
        <w:t>金是否充足的基线。此外，开发</w:t>
      </w:r>
      <w:r>
        <w:rPr>
          <w:rFonts w:ascii="Times New Roman" w:hAnsi="Times New Roman" w:eastAsia="Times New Roman" w:cs="Times New Roman"/>
          <w:sz w:val="22"/>
          <w:szCs w:val="22"/>
          <w:spacing w:val="-10"/>
        </w:rPr>
        <w:t>TCO </w:t>
      </w:r>
      <w:r>
        <w:rPr>
          <w:rFonts w:ascii="SimSun" w:hAnsi="SimSun" w:eastAsia="SimSun" w:cs="SimSun"/>
          <w:sz w:val="22"/>
          <w:szCs w:val="22"/>
          <w:spacing w:val="-10"/>
        </w:rPr>
        <w:t>时，更倾向于利用现有可用的行业标准来协助</w:t>
      </w:r>
      <w:r>
        <w:rPr>
          <w:rFonts w:ascii="SimSun" w:hAnsi="SimSun" w:eastAsia="SimSun" w:cs="SimSun"/>
          <w:sz w:val="22"/>
          <w:szCs w:val="22"/>
          <w:spacing w:val="17"/>
        </w:rPr>
        <w:t xml:space="preserve"> </w:t>
      </w:r>
      <w:r>
        <w:rPr>
          <w:rFonts w:ascii="SimSun" w:hAnsi="SimSun" w:eastAsia="SimSun" w:cs="SimSun"/>
          <w:sz w:val="22"/>
          <w:szCs w:val="22"/>
          <w:spacing w:val="-12"/>
        </w:rPr>
        <w:t>管理层参照同行组织进行基准测试。</w:t>
      </w:r>
    </w:p>
    <w:p>
      <w:pPr>
        <w:ind w:left="689"/>
        <w:spacing w:before="81" w:line="229" w:lineRule="auto"/>
        <w:rPr>
          <w:rFonts w:ascii="KaiTi" w:hAnsi="KaiTi" w:eastAsia="KaiTi" w:cs="KaiTi"/>
          <w:sz w:val="22"/>
          <w:szCs w:val="22"/>
        </w:rPr>
      </w:pPr>
      <w:r>
        <w:rPr>
          <w:rFonts w:ascii="KaiTi" w:hAnsi="KaiTi" w:eastAsia="KaiTi" w:cs="KaiTi"/>
          <w:sz w:val="22"/>
          <w:szCs w:val="22"/>
          <w:spacing w:val="5"/>
        </w:rPr>
        <w:t>3)相关过程域</w:t>
      </w:r>
    </w:p>
    <w:p>
      <w:pPr>
        <w:ind w:left="968" w:right="51" w:hanging="279"/>
        <w:spacing w:before="54" w:line="231" w:lineRule="auto"/>
        <w:rPr>
          <w:rFonts w:ascii="SimSun" w:hAnsi="SimSun" w:eastAsia="SimSun" w:cs="SimSun"/>
          <w:sz w:val="22"/>
          <w:szCs w:val="22"/>
        </w:rPr>
      </w:pPr>
      <w:r>
        <w:rPr>
          <w:rFonts w:ascii="SimSun" w:hAnsi="SimSun" w:eastAsia="SimSun" w:cs="SimSun"/>
          <w:sz w:val="22"/>
          <w:szCs w:val="22"/>
          <w:spacing w:val="-2"/>
        </w:rPr>
        <w:t>●战略过程域为数据治理活动制订顶层规划，规划了数据治理目标和资</w:t>
      </w:r>
      <w:r>
        <w:rPr>
          <w:rFonts w:ascii="SimSun" w:hAnsi="SimSun" w:eastAsia="SimSun" w:cs="SimSun"/>
          <w:sz w:val="22"/>
          <w:szCs w:val="22"/>
          <w:spacing w:val="-3"/>
        </w:rPr>
        <w:t>源需</w:t>
      </w:r>
      <w:r>
        <w:rPr>
          <w:rFonts w:ascii="SimSun" w:hAnsi="SimSun" w:eastAsia="SimSun" w:cs="SimSun"/>
          <w:sz w:val="22"/>
          <w:szCs w:val="22"/>
        </w:rPr>
        <w:t xml:space="preserve"> </w:t>
      </w:r>
      <w:r>
        <w:rPr>
          <w:rFonts w:ascii="SimSun" w:hAnsi="SimSun" w:eastAsia="SimSun" w:cs="SimSun"/>
          <w:sz w:val="22"/>
          <w:szCs w:val="22"/>
          <w:spacing w:val="-14"/>
        </w:rPr>
        <w:t>求，以及数据治理活动集；</w:t>
      </w:r>
    </w:p>
    <w:p>
      <w:pPr>
        <w:ind w:left="689"/>
        <w:spacing w:before="67" w:line="218" w:lineRule="auto"/>
        <w:rPr>
          <w:rFonts w:ascii="SimSun" w:hAnsi="SimSun" w:eastAsia="SimSun" w:cs="SimSun"/>
          <w:sz w:val="22"/>
          <w:szCs w:val="22"/>
        </w:rPr>
      </w:pPr>
      <w:r>
        <w:rPr>
          <w:rFonts w:ascii="SimSun" w:hAnsi="SimSun" w:eastAsia="SimSun" w:cs="SimSun"/>
          <w:sz w:val="22"/>
          <w:szCs w:val="22"/>
          <w:spacing w:val="-8"/>
        </w:rPr>
        <w:t>●业务案例过程域为数据治理活动的成本进行估算，保障资</w:t>
      </w:r>
      <w:r>
        <w:rPr>
          <w:rFonts w:ascii="SimSun" w:hAnsi="SimSun" w:eastAsia="SimSun" w:cs="SimSun"/>
          <w:sz w:val="22"/>
          <w:szCs w:val="22"/>
          <w:spacing w:val="-9"/>
        </w:rPr>
        <w:t>金支持；</w:t>
      </w:r>
    </w:p>
    <w:p>
      <w:pPr>
        <w:ind w:left="968" w:right="55" w:hanging="279"/>
        <w:spacing w:before="61" w:line="236" w:lineRule="auto"/>
        <w:rPr>
          <w:rFonts w:ascii="SimSun" w:hAnsi="SimSun" w:eastAsia="SimSun" w:cs="SimSun"/>
          <w:sz w:val="22"/>
          <w:szCs w:val="22"/>
        </w:rPr>
      </w:pPr>
      <w:r>
        <w:rPr>
          <w:rFonts w:ascii="SimSun" w:hAnsi="SimSun" w:eastAsia="SimSun" w:cs="SimSun"/>
          <w:sz w:val="22"/>
          <w:szCs w:val="22"/>
          <w:spacing w:val="-9"/>
        </w:rPr>
        <w:t>●资源保障过程域提供了数据治理活动实施所需的资源，包括资金、场地、基</w:t>
      </w:r>
      <w:r>
        <w:rPr>
          <w:rFonts w:ascii="SimSun" w:hAnsi="SimSun" w:eastAsia="SimSun" w:cs="SimSun"/>
          <w:sz w:val="22"/>
          <w:szCs w:val="22"/>
          <w:spacing w:val="14"/>
        </w:rPr>
        <w:t xml:space="preserve"> </w:t>
      </w:r>
      <w:r>
        <w:rPr>
          <w:rFonts w:ascii="SimSun" w:hAnsi="SimSun" w:eastAsia="SimSun" w:cs="SimSun"/>
          <w:sz w:val="22"/>
          <w:szCs w:val="22"/>
          <w:spacing w:val="-8"/>
        </w:rPr>
        <w:t>础设施等，与业务案例过程域的</w:t>
      </w:r>
      <w:r>
        <w:rPr>
          <w:rFonts w:ascii="Times New Roman" w:hAnsi="Times New Roman" w:eastAsia="Times New Roman" w:cs="Times New Roman"/>
          <w:sz w:val="22"/>
          <w:szCs w:val="22"/>
          <w:spacing w:val="-8"/>
        </w:rPr>
        <w:t>TCO </w:t>
      </w:r>
      <w:r>
        <w:rPr>
          <w:rFonts w:ascii="SimSun" w:hAnsi="SimSun" w:eastAsia="SimSun" w:cs="SimSun"/>
          <w:sz w:val="22"/>
          <w:szCs w:val="22"/>
          <w:spacing w:val="-8"/>
        </w:rPr>
        <w:t>直接关联；</w:t>
      </w:r>
    </w:p>
    <w:p>
      <w:pPr>
        <w:ind w:left="968" w:right="56" w:hanging="279"/>
        <w:spacing w:before="28" w:line="237" w:lineRule="auto"/>
        <w:rPr>
          <w:rFonts w:ascii="SimSun" w:hAnsi="SimSun" w:eastAsia="SimSun" w:cs="SimSun"/>
          <w:sz w:val="22"/>
          <w:szCs w:val="22"/>
        </w:rPr>
      </w:pPr>
      <w:r>
        <w:rPr>
          <w:rFonts w:ascii="SimSun" w:hAnsi="SimSun" w:eastAsia="SimSun" w:cs="SimSun"/>
          <w:sz w:val="22"/>
          <w:szCs w:val="22"/>
          <w:spacing w:val="-5"/>
        </w:rPr>
        <w:t>●沟通过程域有助于数据治理活动通知的有效传</w:t>
      </w:r>
      <w:r>
        <w:rPr>
          <w:rFonts w:ascii="SimSun" w:hAnsi="SimSun" w:eastAsia="SimSun" w:cs="SimSun"/>
          <w:sz w:val="22"/>
          <w:szCs w:val="22"/>
          <w:spacing w:val="-6"/>
        </w:rPr>
        <w:t>达(如策略、标准、过程、进</w:t>
      </w:r>
      <w:r>
        <w:rPr>
          <w:rFonts w:ascii="SimSun" w:hAnsi="SimSun" w:eastAsia="SimSun" w:cs="SimSun"/>
          <w:sz w:val="22"/>
          <w:szCs w:val="22"/>
        </w:rPr>
        <w:t xml:space="preserve"> </w:t>
      </w:r>
      <w:r>
        <w:rPr>
          <w:rFonts w:ascii="SimSun" w:hAnsi="SimSun" w:eastAsia="SimSun" w:cs="SimSun"/>
          <w:sz w:val="22"/>
          <w:szCs w:val="22"/>
          <w:spacing w:val="-6"/>
        </w:rPr>
        <w:t>度的制订),从而使相关活动获得数据治理参与者的理解。</w:t>
      </w:r>
    </w:p>
    <w:p>
      <w:pPr>
        <w:pStyle w:val="BodyText"/>
        <w:ind w:left="689"/>
        <w:spacing w:before="223" w:line="223" w:lineRule="auto"/>
        <w:outlineLvl w:val="2"/>
        <w:rPr>
          <w:rFonts w:ascii="SimHei" w:hAnsi="SimHei" w:eastAsia="SimHei" w:cs="SimHei"/>
          <w:sz w:val="22"/>
          <w:szCs w:val="22"/>
        </w:rPr>
      </w:pPr>
      <w:r>
        <w:rPr>
          <w:sz w:val="22"/>
          <w:szCs w:val="22"/>
          <w:b/>
          <w:bCs/>
          <w:spacing w:val="-2"/>
        </w:rPr>
        <w:t>2.GQM</w:t>
      </w:r>
      <w:r>
        <w:rPr>
          <w:sz w:val="22"/>
          <w:szCs w:val="22"/>
          <w:b/>
          <w:bCs/>
          <w:spacing w:val="16"/>
        </w:rPr>
        <w:t xml:space="preserve">   </w:t>
      </w:r>
      <w:r>
        <w:rPr>
          <w:rFonts w:ascii="SimHei" w:hAnsi="SimHei" w:eastAsia="SimHei" w:cs="SimHei"/>
          <w:sz w:val="22"/>
          <w:szCs w:val="22"/>
          <w:b/>
          <w:bCs/>
          <w:spacing w:val="-2"/>
        </w:rPr>
        <w:t>表</w:t>
      </w:r>
    </w:p>
    <w:p>
      <w:pPr>
        <w:spacing w:line="173" w:lineRule="exact"/>
        <w:rPr/>
      </w:pPr>
      <w:r/>
    </w:p>
    <w:tbl>
      <w:tblPr>
        <w:tblStyle w:val="TableNormal"/>
        <w:tblW w:w="758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967"/>
        <w:gridCol w:w="2157"/>
        <w:gridCol w:w="2142"/>
      </w:tblGrid>
      <w:tr>
        <w:trPr>
          <w:trHeight w:val="314" w:hRule="atLeast"/>
        </w:trPr>
        <w:tc>
          <w:tcPr>
            <w:tcW w:w="1323" w:type="dxa"/>
            <w:vAlign w:val="top"/>
          </w:tcPr>
          <w:p>
            <w:pPr>
              <w:pStyle w:val="TableText"/>
              <w:ind w:left="334"/>
              <w:spacing w:before="82" w:line="220" w:lineRule="auto"/>
              <w:rPr>
                <w:sz w:val="16"/>
                <w:szCs w:val="16"/>
              </w:rPr>
            </w:pPr>
            <w:r>
              <w:rPr>
                <w:sz w:val="16"/>
                <w:szCs w:val="16"/>
                <w:spacing w:val="-19"/>
              </w:rPr>
              <w:t>目</w:t>
            </w:r>
            <w:r>
              <w:rPr>
                <w:sz w:val="16"/>
                <w:szCs w:val="16"/>
                <w:spacing w:val="12"/>
              </w:rPr>
              <w:t xml:space="preserve">    </w:t>
            </w:r>
            <w:r>
              <w:rPr>
                <w:sz w:val="16"/>
                <w:szCs w:val="16"/>
                <w:spacing w:val="-19"/>
              </w:rPr>
              <w:t>标</w:t>
            </w:r>
          </w:p>
        </w:tc>
        <w:tc>
          <w:tcPr>
            <w:tcW w:w="1967" w:type="dxa"/>
            <w:vAlign w:val="top"/>
          </w:tcPr>
          <w:p>
            <w:pPr>
              <w:pStyle w:val="TableText"/>
              <w:ind w:left="681"/>
              <w:spacing w:before="83" w:line="221" w:lineRule="auto"/>
              <w:rPr>
                <w:sz w:val="16"/>
                <w:szCs w:val="16"/>
              </w:rPr>
            </w:pPr>
            <w:r>
              <w:rPr>
                <w:sz w:val="16"/>
                <w:szCs w:val="16"/>
                <w:spacing w:val="-13"/>
              </w:rPr>
              <w:t>问</w:t>
            </w:r>
            <w:r>
              <w:rPr>
                <w:sz w:val="16"/>
                <w:szCs w:val="16"/>
                <w:spacing w:val="13"/>
              </w:rPr>
              <w:t xml:space="preserve">   </w:t>
            </w:r>
            <w:r>
              <w:rPr>
                <w:sz w:val="16"/>
                <w:szCs w:val="16"/>
                <w:spacing w:val="-13"/>
              </w:rPr>
              <w:t>题</w:t>
            </w:r>
          </w:p>
        </w:tc>
        <w:tc>
          <w:tcPr>
            <w:tcW w:w="2157" w:type="dxa"/>
            <w:vAlign w:val="top"/>
          </w:tcPr>
          <w:p>
            <w:pPr>
              <w:pStyle w:val="TableText"/>
              <w:ind w:left="714"/>
              <w:spacing w:before="82" w:line="220" w:lineRule="auto"/>
              <w:rPr>
                <w:sz w:val="16"/>
                <w:szCs w:val="16"/>
              </w:rPr>
            </w:pPr>
            <w:r>
              <w:rPr>
                <w:sz w:val="16"/>
                <w:szCs w:val="16"/>
                <w:spacing w:val="-4"/>
              </w:rPr>
              <w:t>度</w:t>
            </w:r>
            <w:r>
              <w:rPr>
                <w:sz w:val="16"/>
                <w:szCs w:val="16"/>
                <w:spacing w:val="6"/>
              </w:rPr>
              <w:t xml:space="preserve"> </w:t>
            </w:r>
            <w:r>
              <w:rPr>
                <w:sz w:val="16"/>
                <w:szCs w:val="16"/>
                <w:spacing w:val="-4"/>
              </w:rPr>
              <w:t>量</w:t>
            </w:r>
            <w:r>
              <w:rPr>
                <w:sz w:val="16"/>
                <w:szCs w:val="16"/>
                <w:spacing w:val="8"/>
              </w:rPr>
              <w:t xml:space="preserve"> </w:t>
            </w:r>
            <w:r>
              <w:rPr>
                <w:sz w:val="16"/>
                <w:szCs w:val="16"/>
                <w:spacing w:val="-4"/>
              </w:rPr>
              <w:t>项</w:t>
            </w:r>
          </w:p>
        </w:tc>
        <w:tc>
          <w:tcPr>
            <w:tcW w:w="2142" w:type="dxa"/>
            <w:vAlign w:val="top"/>
          </w:tcPr>
          <w:p>
            <w:pPr>
              <w:pStyle w:val="TableText"/>
              <w:ind w:left="698"/>
              <w:spacing w:before="81" w:line="219" w:lineRule="auto"/>
              <w:rPr>
                <w:sz w:val="16"/>
                <w:szCs w:val="16"/>
              </w:rPr>
            </w:pPr>
            <w:r>
              <w:rPr>
                <w:sz w:val="16"/>
                <w:szCs w:val="16"/>
                <w:spacing w:val="3"/>
              </w:rPr>
              <w:t>度量项说明</w:t>
            </w:r>
          </w:p>
        </w:tc>
      </w:tr>
      <w:tr>
        <w:trPr>
          <w:trHeight w:val="837" w:hRule="atLeast"/>
        </w:trPr>
        <w:tc>
          <w:tcPr>
            <w:tcW w:w="1323" w:type="dxa"/>
            <w:vAlign w:val="top"/>
            <w:vMerge w:val="restart"/>
            <w:tcBorders>
              <w:bottom w:val="nil"/>
            </w:tcBorders>
          </w:tcPr>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94" w:right="85" w:firstLine="120"/>
              <w:spacing w:before="52" w:line="297" w:lineRule="auto"/>
              <w:rPr>
                <w:sz w:val="16"/>
                <w:szCs w:val="16"/>
              </w:rPr>
            </w:pPr>
            <w:r>
              <w:rPr>
                <w:sz w:val="16"/>
                <w:szCs w:val="16"/>
                <w:spacing w:val="-1"/>
              </w:rPr>
              <w:t>G1:利益相关  </w:t>
            </w:r>
            <w:r>
              <w:rPr>
                <w:sz w:val="16"/>
                <w:szCs w:val="16"/>
                <w:spacing w:val="1"/>
              </w:rPr>
              <w:t>者批准和采纳的</w:t>
            </w:r>
            <w:r>
              <w:rPr>
                <w:sz w:val="16"/>
                <w:szCs w:val="16"/>
                <w:spacing w:val="4"/>
              </w:rPr>
              <w:t xml:space="preserve"> </w:t>
            </w:r>
            <w:r>
              <w:rPr>
                <w:sz w:val="16"/>
                <w:szCs w:val="16"/>
                <w:spacing w:val="-1"/>
              </w:rPr>
              <w:t>跨业务范围的业</w:t>
            </w:r>
            <w:r>
              <w:rPr>
                <w:sz w:val="16"/>
                <w:szCs w:val="16"/>
              </w:rPr>
              <w:t xml:space="preserve"> </w:t>
            </w:r>
            <w:r>
              <w:rPr>
                <w:sz w:val="16"/>
                <w:szCs w:val="16"/>
                <w:spacing w:val="7"/>
              </w:rPr>
              <w:t>务案例</w:t>
            </w:r>
          </w:p>
        </w:tc>
        <w:tc>
          <w:tcPr>
            <w:tcW w:w="1967" w:type="dxa"/>
            <w:vAlign w:val="top"/>
          </w:tcPr>
          <w:p>
            <w:pPr>
              <w:pStyle w:val="TableText"/>
              <w:ind w:left="91" w:right="115" w:firstLine="160"/>
              <w:spacing w:before="88" w:line="284" w:lineRule="auto"/>
              <w:jc w:val="both"/>
              <w:rPr>
                <w:sz w:val="16"/>
                <w:szCs w:val="16"/>
              </w:rPr>
            </w:pPr>
            <w:r>
              <w:rPr>
                <w:sz w:val="16"/>
                <w:szCs w:val="16"/>
                <w:spacing w:val="-1"/>
              </w:rPr>
              <w:t>Q1:组织如何决定数据</w:t>
            </w:r>
            <w:r>
              <w:rPr>
                <w:sz w:val="16"/>
                <w:szCs w:val="16"/>
                <w:spacing w:val="2"/>
              </w:rPr>
              <w:t xml:space="preserve">  </w:t>
            </w:r>
            <w:r>
              <w:rPr>
                <w:sz w:val="16"/>
                <w:szCs w:val="16"/>
                <w:spacing w:val="-1"/>
              </w:rPr>
              <w:t>治理方案所要求的投资水</w:t>
            </w:r>
            <w:r>
              <w:rPr>
                <w:sz w:val="16"/>
                <w:szCs w:val="16"/>
              </w:rPr>
              <w:t xml:space="preserve"> </w:t>
            </w:r>
            <w:r>
              <w:rPr>
                <w:sz w:val="16"/>
                <w:szCs w:val="16"/>
                <w:spacing w:val="4"/>
              </w:rPr>
              <w:t>平</w:t>
            </w:r>
          </w:p>
        </w:tc>
        <w:tc>
          <w:tcPr>
            <w:tcW w:w="2157" w:type="dxa"/>
            <w:vAlign w:val="top"/>
          </w:tcPr>
          <w:p>
            <w:pPr>
              <w:spacing w:line="283" w:lineRule="auto"/>
              <w:rPr>
                <w:rFonts w:ascii="Arial"/>
                <w:sz w:val="21"/>
              </w:rPr>
            </w:pPr>
            <w:r/>
          </w:p>
          <w:p>
            <w:pPr>
              <w:pStyle w:val="TableText"/>
              <w:ind w:left="254"/>
              <w:spacing w:before="52" w:line="219" w:lineRule="auto"/>
              <w:rPr>
                <w:sz w:val="16"/>
                <w:szCs w:val="16"/>
              </w:rPr>
            </w:pPr>
            <w:r>
              <w:rPr>
                <w:sz w:val="16"/>
                <w:szCs w:val="16"/>
                <w:spacing w:val="-1"/>
              </w:rPr>
              <w:t>M1:数据治理方案水平</w:t>
            </w:r>
          </w:p>
        </w:tc>
        <w:tc>
          <w:tcPr>
            <w:tcW w:w="2142" w:type="dxa"/>
            <w:vAlign w:val="top"/>
          </w:tcPr>
          <w:p>
            <w:pPr>
              <w:pStyle w:val="TableText"/>
              <w:ind w:left="107" w:firstLine="169"/>
              <w:spacing w:before="78" w:line="288" w:lineRule="auto"/>
              <w:rPr>
                <w:sz w:val="16"/>
                <w:szCs w:val="16"/>
              </w:rPr>
            </w:pPr>
            <w:r>
              <w:rPr>
                <w:sz w:val="16"/>
                <w:szCs w:val="16"/>
                <w:spacing w:val="-2"/>
              </w:rPr>
              <w:t>为数据治理定义了业务案</w:t>
            </w:r>
            <w:r>
              <w:rPr>
                <w:sz w:val="16"/>
                <w:szCs w:val="16"/>
                <w:spacing w:val="2"/>
              </w:rPr>
              <w:t xml:space="preserve">  </w:t>
            </w:r>
            <w:r>
              <w:rPr>
                <w:sz w:val="16"/>
                <w:szCs w:val="16"/>
                <w:spacing w:val="-5"/>
              </w:rPr>
              <w:t>例，能够指导组织开展具体的</w:t>
            </w:r>
            <w:r>
              <w:rPr>
                <w:sz w:val="16"/>
                <w:szCs w:val="16"/>
                <w:spacing w:val="8"/>
              </w:rPr>
              <w:t xml:space="preserve"> </w:t>
            </w:r>
            <w:r>
              <w:rPr>
                <w:sz w:val="16"/>
                <w:szCs w:val="16"/>
                <w:spacing w:val="-2"/>
              </w:rPr>
              <w:t>数据治理活动</w:t>
            </w:r>
          </w:p>
        </w:tc>
      </w:tr>
      <w:tr>
        <w:trPr>
          <w:trHeight w:val="1117" w:hRule="atLeast"/>
        </w:trPr>
        <w:tc>
          <w:tcPr>
            <w:tcW w:w="1323" w:type="dxa"/>
            <w:vAlign w:val="top"/>
            <w:vMerge w:val="continue"/>
            <w:tcBorders>
              <w:top w:val="nil"/>
              <w:bottom w:val="nil"/>
            </w:tcBorders>
          </w:tcPr>
          <w:p>
            <w:pPr>
              <w:rPr>
                <w:rFonts w:ascii="Arial"/>
                <w:sz w:val="21"/>
              </w:rPr>
            </w:pPr>
            <w:r/>
          </w:p>
        </w:tc>
        <w:tc>
          <w:tcPr>
            <w:tcW w:w="1967" w:type="dxa"/>
            <w:vAlign w:val="top"/>
          </w:tcPr>
          <w:p>
            <w:pPr>
              <w:pStyle w:val="TableText"/>
              <w:ind w:left="91" w:right="100" w:firstLine="160"/>
              <w:spacing w:before="79" w:line="295" w:lineRule="auto"/>
              <w:rPr>
                <w:sz w:val="16"/>
                <w:szCs w:val="16"/>
              </w:rPr>
            </w:pPr>
            <w:r>
              <w:rPr>
                <w:sz w:val="16"/>
                <w:szCs w:val="16"/>
                <w:spacing w:val="-1"/>
              </w:rPr>
              <w:t>Q2:组织如何决定是要</w:t>
            </w:r>
            <w:r>
              <w:rPr>
                <w:sz w:val="16"/>
                <w:szCs w:val="16"/>
                <w:spacing w:val="2"/>
              </w:rPr>
              <w:t xml:space="preserve">  </w:t>
            </w:r>
            <w:r>
              <w:rPr>
                <w:sz w:val="16"/>
                <w:szCs w:val="16"/>
              </w:rPr>
              <w:t>开发一个总体的业务案例</w:t>
            </w:r>
            <w:r>
              <w:rPr>
                <w:sz w:val="16"/>
                <w:szCs w:val="16"/>
                <w:spacing w:val="2"/>
              </w:rPr>
              <w:t xml:space="preserve"> </w:t>
            </w:r>
            <w:r>
              <w:rPr>
                <w:sz w:val="16"/>
                <w:szCs w:val="16"/>
              </w:rPr>
              <w:t>还是多个相互联系的业务</w:t>
            </w:r>
            <w:r>
              <w:rPr>
                <w:sz w:val="16"/>
                <w:szCs w:val="16"/>
                <w:spacing w:val="3"/>
              </w:rPr>
              <w:t xml:space="preserve"> </w:t>
            </w:r>
            <w:r>
              <w:rPr>
                <w:sz w:val="16"/>
                <w:szCs w:val="16"/>
                <w:spacing w:val="6"/>
              </w:rPr>
              <w:t>案例</w:t>
            </w:r>
          </w:p>
        </w:tc>
        <w:tc>
          <w:tcPr>
            <w:tcW w:w="2157" w:type="dxa"/>
            <w:vAlign w:val="top"/>
          </w:tcPr>
          <w:p>
            <w:pPr>
              <w:spacing w:line="426" w:lineRule="auto"/>
              <w:rPr>
                <w:rFonts w:ascii="Arial"/>
                <w:sz w:val="21"/>
              </w:rPr>
            </w:pPr>
            <w:r/>
          </w:p>
          <w:p>
            <w:pPr>
              <w:pStyle w:val="TableText"/>
              <w:ind w:left="254"/>
              <w:spacing w:before="52" w:line="219" w:lineRule="auto"/>
              <w:rPr>
                <w:sz w:val="16"/>
                <w:szCs w:val="16"/>
              </w:rPr>
            </w:pPr>
            <w:r>
              <w:rPr>
                <w:sz w:val="16"/>
                <w:szCs w:val="16"/>
                <w:spacing w:val="-1"/>
              </w:rPr>
              <w:t>M2:业务案例范围</w:t>
            </w:r>
          </w:p>
        </w:tc>
        <w:tc>
          <w:tcPr>
            <w:tcW w:w="2142" w:type="dxa"/>
            <w:vAlign w:val="top"/>
          </w:tcPr>
          <w:p>
            <w:pPr>
              <w:spacing w:line="295" w:lineRule="auto"/>
              <w:rPr>
                <w:rFonts w:ascii="Arial"/>
                <w:sz w:val="21"/>
              </w:rPr>
            </w:pPr>
            <w:r/>
          </w:p>
          <w:p>
            <w:pPr>
              <w:pStyle w:val="TableText"/>
              <w:ind w:left="107" w:right="99" w:firstLine="170"/>
              <w:spacing w:before="52" w:line="271" w:lineRule="auto"/>
              <w:rPr>
                <w:sz w:val="16"/>
                <w:szCs w:val="16"/>
              </w:rPr>
            </w:pPr>
            <w:r>
              <w:rPr>
                <w:sz w:val="16"/>
                <w:szCs w:val="16"/>
                <w:spacing w:val="-1"/>
              </w:rPr>
              <w:t>业务案例重点分析了数据</w:t>
            </w:r>
            <w:r>
              <w:rPr>
                <w:sz w:val="16"/>
                <w:szCs w:val="16"/>
                <w:spacing w:val="4"/>
              </w:rPr>
              <w:t xml:space="preserve"> </w:t>
            </w:r>
            <w:r>
              <w:rPr>
                <w:sz w:val="16"/>
                <w:szCs w:val="16"/>
                <w:spacing w:val="-2"/>
              </w:rPr>
              <w:t>治理的收益和成本</w:t>
            </w:r>
          </w:p>
        </w:tc>
      </w:tr>
      <w:tr>
        <w:trPr>
          <w:trHeight w:val="568" w:hRule="atLeast"/>
        </w:trPr>
        <w:tc>
          <w:tcPr>
            <w:tcW w:w="1323" w:type="dxa"/>
            <w:vAlign w:val="top"/>
            <w:vMerge w:val="continue"/>
            <w:tcBorders>
              <w:top w:val="nil"/>
              <w:bottom w:val="nil"/>
            </w:tcBorders>
          </w:tcPr>
          <w:p>
            <w:pPr>
              <w:rPr>
                <w:rFonts w:ascii="Arial"/>
                <w:sz w:val="21"/>
              </w:rPr>
            </w:pPr>
            <w:r/>
          </w:p>
        </w:tc>
        <w:tc>
          <w:tcPr>
            <w:tcW w:w="1967" w:type="dxa"/>
            <w:vAlign w:val="top"/>
          </w:tcPr>
          <w:p>
            <w:pPr>
              <w:pStyle w:val="TableText"/>
              <w:ind w:left="261"/>
              <w:spacing w:before="212" w:line="218" w:lineRule="auto"/>
              <w:rPr>
                <w:sz w:val="16"/>
                <w:szCs w:val="16"/>
              </w:rPr>
            </w:pPr>
            <w:r>
              <w:rPr>
                <w:sz w:val="16"/>
                <w:szCs w:val="16"/>
                <w:spacing w:val="-1"/>
              </w:rPr>
              <w:t>Q3:如何评价业务案例</w:t>
            </w:r>
          </w:p>
        </w:tc>
        <w:tc>
          <w:tcPr>
            <w:tcW w:w="2157" w:type="dxa"/>
            <w:vAlign w:val="top"/>
          </w:tcPr>
          <w:p>
            <w:pPr>
              <w:pStyle w:val="TableText"/>
              <w:ind w:left="254"/>
              <w:spacing w:before="214" w:line="220" w:lineRule="auto"/>
              <w:rPr>
                <w:sz w:val="16"/>
                <w:szCs w:val="16"/>
              </w:rPr>
            </w:pPr>
            <w:r>
              <w:rPr>
                <w:sz w:val="16"/>
                <w:szCs w:val="16"/>
                <w:spacing w:val="-1"/>
              </w:rPr>
              <w:t>M3:评审记录</w:t>
            </w:r>
          </w:p>
        </w:tc>
        <w:tc>
          <w:tcPr>
            <w:tcW w:w="2142" w:type="dxa"/>
            <w:vAlign w:val="top"/>
          </w:tcPr>
          <w:p>
            <w:pPr>
              <w:pStyle w:val="TableText"/>
              <w:ind w:left="107" w:right="109" w:firstLine="160"/>
              <w:spacing w:before="83" w:line="274" w:lineRule="auto"/>
              <w:rPr>
                <w:sz w:val="16"/>
                <w:szCs w:val="16"/>
              </w:rPr>
            </w:pPr>
            <w:r>
              <w:rPr>
                <w:sz w:val="16"/>
                <w:szCs w:val="16"/>
                <w:spacing w:val="-1"/>
              </w:rPr>
              <w:t>业务案例得到了数据利益</w:t>
            </w:r>
            <w:r>
              <w:rPr>
                <w:sz w:val="16"/>
                <w:szCs w:val="16"/>
                <w:spacing w:val="4"/>
              </w:rPr>
              <w:t xml:space="preserve"> </w:t>
            </w:r>
            <w:r>
              <w:rPr>
                <w:sz w:val="16"/>
                <w:szCs w:val="16"/>
                <w:spacing w:val="-1"/>
              </w:rPr>
              <w:t>相关者的理解和支持</w:t>
            </w:r>
          </w:p>
        </w:tc>
      </w:tr>
      <w:tr>
        <w:trPr>
          <w:trHeight w:val="563" w:hRule="atLeast"/>
        </w:trPr>
        <w:tc>
          <w:tcPr>
            <w:tcW w:w="1323" w:type="dxa"/>
            <w:vAlign w:val="top"/>
            <w:vMerge w:val="continue"/>
            <w:tcBorders>
              <w:top w:val="nil"/>
            </w:tcBorders>
          </w:tcPr>
          <w:p>
            <w:pPr>
              <w:rPr>
                <w:rFonts w:ascii="Arial"/>
                <w:sz w:val="21"/>
              </w:rPr>
            </w:pPr>
            <w:r/>
          </w:p>
        </w:tc>
        <w:tc>
          <w:tcPr>
            <w:tcW w:w="1967" w:type="dxa"/>
            <w:vAlign w:val="top"/>
          </w:tcPr>
          <w:p>
            <w:pPr>
              <w:pStyle w:val="TableText"/>
              <w:ind w:left="111" w:right="175" w:firstLine="149"/>
              <w:spacing w:before="86" w:line="269" w:lineRule="auto"/>
              <w:rPr>
                <w:sz w:val="16"/>
                <w:szCs w:val="16"/>
              </w:rPr>
            </w:pPr>
            <w:r>
              <w:rPr>
                <w:sz w:val="16"/>
                <w:szCs w:val="16"/>
                <w:spacing w:val="-1"/>
              </w:rPr>
              <w:t>Q4:需要谁参与其中，</w:t>
            </w:r>
            <w:r>
              <w:rPr>
                <w:sz w:val="16"/>
                <w:szCs w:val="16"/>
                <w:spacing w:val="9"/>
              </w:rPr>
              <w:t xml:space="preserve"> </w:t>
            </w:r>
            <w:r>
              <w:rPr>
                <w:sz w:val="16"/>
                <w:szCs w:val="16"/>
                <w:spacing w:val="1"/>
              </w:rPr>
              <w:t>需要谁批准</w:t>
            </w:r>
          </w:p>
        </w:tc>
        <w:tc>
          <w:tcPr>
            <w:tcW w:w="2157" w:type="dxa"/>
            <w:vAlign w:val="top"/>
          </w:tcPr>
          <w:p>
            <w:pPr>
              <w:pStyle w:val="TableText"/>
              <w:ind w:left="254"/>
              <w:spacing w:before="206" w:line="221" w:lineRule="auto"/>
              <w:rPr>
                <w:sz w:val="16"/>
                <w:szCs w:val="16"/>
              </w:rPr>
            </w:pPr>
            <w:r>
              <w:rPr>
                <w:sz w:val="16"/>
                <w:szCs w:val="16"/>
                <w:spacing w:val="-1"/>
              </w:rPr>
              <w:t>M4:批准记录</w:t>
            </w:r>
          </w:p>
        </w:tc>
        <w:tc>
          <w:tcPr>
            <w:tcW w:w="2142" w:type="dxa"/>
            <w:vAlign w:val="top"/>
          </w:tcPr>
          <w:p>
            <w:pPr>
              <w:pStyle w:val="TableText"/>
              <w:ind w:left="107" w:right="109" w:firstLine="160"/>
              <w:spacing w:before="85" w:line="270" w:lineRule="auto"/>
              <w:rPr>
                <w:sz w:val="16"/>
                <w:szCs w:val="16"/>
              </w:rPr>
            </w:pPr>
            <w:r>
              <w:rPr>
                <w:sz w:val="16"/>
                <w:szCs w:val="16"/>
                <w:spacing w:val="-1"/>
              </w:rPr>
              <w:t>业务案例得到了数据治理</w:t>
            </w:r>
            <w:r>
              <w:rPr>
                <w:sz w:val="16"/>
                <w:szCs w:val="16"/>
                <w:spacing w:val="4"/>
              </w:rPr>
              <w:t xml:space="preserve"> </w:t>
            </w:r>
            <w:r>
              <w:rPr>
                <w:sz w:val="16"/>
                <w:szCs w:val="16"/>
                <w:spacing w:val="-2"/>
              </w:rPr>
              <w:t>高层的批准</w:t>
            </w:r>
          </w:p>
        </w:tc>
      </w:tr>
    </w:tbl>
    <w:p>
      <w:pPr>
        <w:pStyle w:val="BodyText"/>
        <w:rPr/>
      </w:pPr>
      <w:r/>
    </w:p>
    <w:p>
      <w:pPr>
        <w:sectPr>
          <w:footerReference w:type="default" r:id="rId165"/>
          <w:pgSz w:w="8870" w:h="13400"/>
          <w:pgMar w:top="400" w:right="575" w:bottom="454" w:left="360" w:header="0" w:footer="236" w:gutter="0"/>
        </w:sectPr>
        <w:rPr/>
      </w:pPr>
    </w:p>
    <w:p>
      <w:pPr>
        <w:ind w:left="5463"/>
        <w:spacing w:before="245" w:line="620" w:lineRule="exact"/>
        <w:rPr>
          <w:rFonts w:ascii="SimSun" w:hAnsi="SimSun" w:eastAsia="SimSun" w:cs="SimSun"/>
          <w:sz w:val="22"/>
          <w:szCs w:val="22"/>
        </w:rPr>
      </w:pPr>
      <w:r>
        <w:rPr>
          <w:rFonts w:ascii="SimSun" w:hAnsi="SimSun" w:eastAsia="SimSun" w:cs="SimSun"/>
          <w:sz w:val="22"/>
          <w:szCs w:val="22"/>
          <w:b/>
          <w:bCs/>
          <w:spacing w:val="5"/>
          <w:position w:val="31"/>
        </w:rPr>
        <w:t>第4章■云端数据战略</w:t>
      </w:r>
    </w:p>
    <w:p>
      <w:pPr>
        <w:ind w:left="6832"/>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8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13"/>
        <w:gridCol w:w="1967"/>
        <w:gridCol w:w="2157"/>
        <w:gridCol w:w="2152"/>
      </w:tblGrid>
      <w:tr>
        <w:trPr>
          <w:trHeight w:val="314" w:hRule="atLeast"/>
        </w:trPr>
        <w:tc>
          <w:tcPr>
            <w:tcW w:w="1313" w:type="dxa"/>
            <w:vAlign w:val="top"/>
          </w:tcPr>
          <w:p>
            <w:pPr>
              <w:pStyle w:val="TableText"/>
              <w:ind w:left="324"/>
              <w:spacing w:before="82" w:line="220" w:lineRule="auto"/>
              <w:rPr>
                <w:sz w:val="16"/>
                <w:szCs w:val="16"/>
              </w:rPr>
            </w:pPr>
            <w:r>
              <w:rPr>
                <w:sz w:val="16"/>
                <w:szCs w:val="16"/>
                <w:spacing w:val="-19"/>
              </w:rPr>
              <w:t>目</w:t>
            </w:r>
            <w:r>
              <w:rPr>
                <w:sz w:val="16"/>
                <w:szCs w:val="16"/>
                <w:spacing w:val="12"/>
              </w:rPr>
              <w:t xml:space="preserve">    </w:t>
            </w:r>
            <w:r>
              <w:rPr>
                <w:sz w:val="16"/>
                <w:szCs w:val="16"/>
                <w:spacing w:val="-19"/>
              </w:rPr>
              <w:t>标</w:t>
            </w:r>
          </w:p>
        </w:tc>
        <w:tc>
          <w:tcPr>
            <w:tcW w:w="1967" w:type="dxa"/>
            <w:vAlign w:val="top"/>
          </w:tcPr>
          <w:p>
            <w:pPr>
              <w:pStyle w:val="TableText"/>
              <w:ind w:left="661"/>
              <w:spacing w:before="83" w:line="221" w:lineRule="auto"/>
              <w:rPr>
                <w:sz w:val="16"/>
                <w:szCs w:val="16"/>
              </w:rPr>
            </w:pPr>
            <w:r>
              <w:rPr>
                <w:sz w:val="16"/>
                <w:szCs w:val="16"/>
                <w:spacing w:val="-13"/>
              </w:rPr>
              <w:t>问</w:t>
            </w:r>
            <w:r>
              <w:rPr>
                <w:sz w:val="16"/>
                <w:szCs w:val="16"/>
                <w:spacing w:val="13"/>
              </w:rPr>
              <w:t xml:space="preserve">   </w:t>
            </w:r>
            <w:r>
              <w:rPr>
                <w:sz w:val="16"/>
                <w:szCs w:val="16"/>
                <w:spacing w:val="-13"/>
              </w:rPr>
              <w:t>题</w:t>
            </w:r>
          </w:p>
        </w:tc>
        <w:tc>
          <w:tcPr>
            <w:tcW w:w="2157" w:type="dxa"/>
            <w:vAlign w:val="top"/>
          </w:tcPr>
          <w:p>
            <w:pPr>
              <w:pStyle w:val="TableText"/>
              <w:ind w:left="704"/>
              <w:spacing w:before="82" w:line="220" w:lineRule="auto"/>
              <w:rPr>
                <w:sz w:val="16"/>
                <w:szCs w:val="16"/>
              </w:rPr>
            </w:pPr>
            <w:r>
              <w:rPr>
                <w:sz w:val="16"/>
                <w:szCs w:val="16"/>
                <w:spacing w:val="-4"/>
              </w:rPr>
              <w:t>度</w:t>
            </w:r>
            <w:r>
              <w:rPr>
                <w:sz w:val="16"/>
                <w:szCs w:val="16"/>
                <w:spacing w:val="3"/>
              </w:rPr>
              <w:t xml:space="preserve">  </w:t>
            </w:r>
            <w:r>
              <w:rPr>
                <w:sz w:val="16"/>
                <w:szCs w:val="16"/>
                <w:spacing w:val="-4"/>
              </w:rPr>
              <w:t>量</w:t>
            </w:r>
            <w:r>
              <w:rPr>
                <w:sz w:val="16"/>
                <w:szCs w:val="16"/>
                <w:spacing w:val="8"/>
              </w:rPr>
              <w:t xml:space="preserve"> </w:t>
            </w:r>
            <w:r>
              <w:rPr>
                <w:sz w:val="16"/>
                <w:szCs w:val="16"/>
                <w:spacing w:val="-4"/>
              </w:rPr>
              <w:t>项</w:t>
            </w:r>
          </w:p>
        </w:tc>
        <w:tc>
          <w:tcPr>
            <w:tcW w:w="2152" w:type="dxa"/>
            <w:vAlign w:val="top"/>
          </w:tcPr>
          <w:p>
            <w:pPr>
              <w:pStyle w:val="TableText"/>
              <w:ind w:left="697"/>
              <w:spacing w:before="81" w:line="219" w:lineRule="auto"/>
              <w:rPr>
                <w:sz w:val="16"/>
                <w:szCs w:val="16"/>
              </w:rPr>
            </w:pPr>
            <w:r>
              <w:rPr>
                <w:sz w:val="16"/>
                <w:szCs w:val="16"/>
                <w:spacing w:val="3"/>
              </w:rPr>
              <w:t>度量项说明</w:t>
            </w:r>
          </w:p>
        </w:tc>
      </w:tr>
      <w:tr>
        <w:trPr>
          <w:trHeight w:val="567" w:hRule="atLeast"/>
        </w:trPr>
        <w:tc>
          <w:tcPr>
            <w:tcW w:w="1313" w:type="dxa"/>
            <w:vAlign w:val="top"/>
            <w:vMerge w:val="restart"/>
            <w:tcBorders>
              <w:bottom w:val="nil"/>
            </w:tcBorders>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85" w:right="105" w:firstLine="119"/>
              <w:spacing w:before="52" w:line="285" w:lineRule="auto"/>
              <w:rPr>
                <w:sz w:val="16"/>
                <w:szCs w:val="16"/>
              </w:rPr>
            </w:pPr>
            <w:r>
              <w:rPr>
                <w:sz w:val="16"/>
                <w:szCs w:val="16"/>
                <w:spacing w:val="-1"/>
              </w:rPr>
              <w:t>G2:业务案例</w:t>
            </w:r>
            <w:r>
              <w:rPr>
                <w:sz w:val="16"/>
                <w:szCs w:val="16"/>
              </w:rPr>
              <w:t xml:space="preserve">  </w:t>
            </w:r>
            <w:r>
              <w:rPr>
                <w:sz w:val="16"/>
                <w:szCs w:val="16"/>
                <w:spacing w:val="-2"/>
              </w:rPr>
              <w:t>符合数据治理战</w:t>
            </w:r>
            <w:r>
              <w:rPr>
                <w:sz w:val="16"/>
                <w:szCs w:val="16"/>
                <w:spacing w:val="5"/>
              </w:rPr>
              <w:t xml:space="preserve"> </w:t>
            </w:r>
            <w:r>
              <w:rPr>
                <w:sz w:val="16"/>
                <w:szCs w:val="16"/>
                <w:spacing w:val="2"/>
              </w:rPr>
              <w:t>略需要</w:t>
            </w:r>
          </w:p>
        </w:tc>
        <w:tc>
          <w:tcPr>
            <w:tcW w:w="1967" w:type="dxa"/>
            <w:vAlign w:val="top"/>
            <w:vMerge w:val="restart"/>
            <w:tcBorders>
              <w:bottom w:val="nil"/>
            </w:tcBorders>
          </w:tcPr>
          <w:p>
            <w:pPr>
              <w:pStyle w:val="TableText"/>
              <w:ind w:left="101" w:right="92" w:firstLine="160"/>
              <w:spacing w:before="246" w:line="285" w:lineRule="auto"/>
              <w:rPr>
                <w:sz w:val="16"/>
                <w:szCs w:val="16"/>
              </w:rPr>
            </w:pPr>
            <w:r>
              <w:rPr>
                <w:sz w:val="16"/>
                <w:szCs w:val="16"/>
                <w:spacing w:val="-1"/>
              </w:rPr>
              <w:t>Q5:业务案例是否反映</w:t>
            </w:r>
            <w:r>
              <w:rPr>
                <w:sz w:val="16"/>
                <w:szCs w:val="16"/>
                <w:spacing w:val="2"/>
              </w:rPr>
              <w:t xml:space="preserve">  </w:t>
            </w:r>
            <w:r>
              <w:rPr>
                <w:sz w:val="16"/>
                <w:szCs w:val="16"/>
              </w:rPr>
              <w:t>数据管理战略的目标和优</w:t>
            </w:r>
            <w:r>
              <w:rPr>
                <w:sz w:val="16"/>
                <w:szCs w:val="16"/>
                <w:spacing w:val="1"/>
              </w:rPr>
              <w:t xml:space="preserve"> </w:t>
            </w:r>
            <w:r>
              <w:rPr>
                <w:sz w:val="16"/>
                <w:szCs w:val="16"/>
                <w:spacing w:val="-3"/>
              </w:rPr>
              <w:t>先事项</w:t>
            </w:r>
          </w:p>
        </w:tc>
        <w:tc>
          <w:tcPr>
            <w:tcW w:w="2157" w:type="dxa"/>
            <w:vAlign w:val="top"/>
          </w:tcPr>
          <w:p>
            <w:pPr>
              <w:pStyle w:val="TableText"/>
              <w:ind w:left="244"/>
              <w:spacing w:before="207" w:line="219" w:lineRule="auto"/>
              <w:rPr>
                <w:sz w:val="16"/>
                <w:szCs w:val="16"/>
              </w:rPr>
            </w:pPr>
            <w:r>
              <w:rPr>
                <w:sz w:val="16"/>
                <w:szCs w:val="16"/>
                <w:spacing w:val="-1"/>
              </w:rPr>
              <w:t>M5:战略符合性</w:t>
            </w:r>
          </w:p>
        </w:tc>
        <w:tc>
          <w:tcPr>
            <w:tcW w:w="2152" w:type="dxa"/>
            <w:vAlign w:val="top"/>
          </w:tcPr>
          <w:p>
            <w:pPr>
              <w:pStyle w:val="TableText"/>
              <w:ind w:left="117" w:right="129" w:firstLine="139"/>
              <w:spacing w:before="76" w:line="277" w:lineRule="auto"/>
              <w:rPr>
                <w:sz w:val="16"/>
                <w:szCs w:val="16"/>
              </w:rPr>
            </w:pPr>
            <w:r>
              <w:rPr>
                <w:sz w:val="16"/>
                <w:szCs w:val="16"/>
                <w:spacing w:val="-1"/>
              </w:rPr>
              <w:t>业务案例目标与业务目标</w:t>
            </w:r>
            <w:r>
              <w:rPr>
                <w:sz w:val="16"/>
                <w:szCs w:val="16"/>
                <w:spacing w:val="4"/>
              </w:rPr>
              <w:t xml:space="preserve"> </w:t>
            </w:r>
            <w:r>
              <w:rPr>
                <w:sz w:val="16"/>
                <w:szCs w:val="16"/>
                <w:spacing w:val="-1"/>
              </w:rPr>
              <w:t>和数据治理目标相符</w:t>
            </w:r>
          </w:p>
        </w:tc>
      </w:tr>
      <w:tr>
        <w:trPr>
          <w:trHeight w:val="558" w:hRule="atLeast"/>
        </w:trPr>
        <w:tc>
          <w:tcPr>
            <w:tcW w:w="1313" w:type="dxa"/>
            <w:vAlign w:val="top"/>
            <w:vMerge w:val="continue"/>
            <w:tcBorders>
              <w:top w:val="nil"/>
              <w:bottom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2157" w:type="dxa"/>
            <w:vAlign w:val="top"/>
          </w:tcPr>
          <w:p>
            <w:pPr>
              <w:pStyle w:val="TableText"/>
              <w:ind w:left="244"/>
              <w:spacing w:before="199" w:line="219" w:lineRule="auto"/>
              <w:rPr>
                <w:sz w:val="16"/>
                <w:szCs w:val="16"/>
              </w:rPr>
            </w:pPr>
            <w:r>
              <w:rPr>
                <w:sz w:val="16"/>
                <w:szCs w:val="16"/>
                <w:spacing w:val="-1"/>
              </w:rPr>
              <w:t>M6:总体拥有成本</w:t>
            </w:r>
          </w:p>
        </w:tc>
        <w:tc>
          <w:tcPr>
            <w:tcW w:w="2152" w:type="dxa"/>
            <w:vAlign w:val="top"/>
          </w:tcPr>
          <w:p>
            <w:pPr>
              <w:pStyle w:val="TableText"/>
              <w:ind w:left="117" w:right="209" w:firstLine="139"/>
              <w:spacing w:before="69" w:line="276" w:lineRule="auto"/>
              <w:rPr>
                <w:sz w:val="16"/>
                <w:szCs w:val="16"/>
              </w:rPr>
            </w:pPr>
            <w:r>
              <w:rPr>
                <w:sz w:val="16"/>
                <w:szCs w:val="16"/>
                <w:spacing w:val="-1"/>
              </w:rPr>
              <w:t>对包含了数据治理TCO的</w:t>
            </w:r>
            <w:r>
              <w:rPr>
                <w:sz w:val="16"/>
                <w:szCs w:val="16"/>
                <w:spacing w:val="5"/>
              </w:rPr>
              <w:t xml:space="preserve"> </w:t>
            </w:r>
            <w:r>
              <w:rPr>
                <w:sz w:val="16"/>
                <w:szCs w:val="16"/>
                <w:spacing w:val="-1"/>
              </w:rPr>
              <w:t>成本要素进行管理和追踪</w:t>
            </w:r>
          </w:p>
        </w:tc>
      </w:tr>
      <w:tr>
        <w:trPr>
          <w:trHeight w:val="548" w:hRule="atLeast"/>
        </w:trPr>
        <w:tc>
          <w:tcPr>
            <w:tcW w:w="1313" w:type="dxa"/>
            <w:vAlign w:val="top"/>
            <w:vMerge w:val="continue"/>
            <w:tcBorders>
              <w:top w:val="nil"/>
              <w:bottom w:val="nil"/>
            </w:tcBorders>
          </w:tcPr>
          <w:p>
            <w:pPr>
              <w:rPr>
                <w:rFonts w:ascii="Arial"/>
                <w:sz w:val="21"/>
              </w:rPr>
            </w:pPr>
            <w:r/>
          </w:p>
        </w:tc>
        <w:tc>
          <w:tcPr>
            <w:tcW w:w="1967" w:type="dxa"/>
            <w:vAlign w:val="top"/>
          </w:tcPr>
          <w:p>
            <w:pPr>
              <w:pStyle w:val="TableText"/>
              <w:ind w:left="112" w:right="179" w:firstLine="149"/>
              <w:spacing w:before="82" w:line="263" w:lineRule="auto"/>
              <w:rPr>
                <w:sz w:val="16"/>
                <w:szCs w:val="16"/>
              </w:rPr>
            </w:pPr>
            <w:r>
              <w:rPr>
                <w:sz w:val="16"/>
                <w:szCs w:val="16"/>
                <w:spacing w:val="-1"/>
              </w:rPr>
              <w:t>Q6:业务案例是否反映</w:t>
            </w:r>
            <w:r>
              <w:rPr>
                <w:sz w:val="16"/>
                <w:szCs w:val="16"/>
                <w:spacing w:val="5"/>
              </w:rPr>
              <w:t xml:space="preserve"> </w:t>
            </w:r>
            <w:r>
              <w:rPr>
                <w:sz w:val="16"/>
                <w:szCs w:val="16"/>
                <w:spacing w:val="-1"/>
              </w:rPr>
              <w:t>数据治理顺序规划</w:t>
            </w:r>
          </w:p>
        </w:tc>
        <w:tc>
          <w:tcPr>
            <w:tcW w:w="2157" w:type="dxa"/>
            <w:vAlign w:val="top"/>
          </w:tcPr>
          <w:p>
            <w:pPr>
              <w:pStyle w:val="TableText"/>
              <w:ind w:left="244"/>
              <w:spacing w:before="202" w:line="219" w:lineRule="auto"/>
              <w:rPr>
                <w:sz w:val="16"/>
                <w:szCs w:val="16"/>
              </w:rPr>
            </w:pPr>
            <w:r>
              <w:rPr>
                <w:sz w:val="16"/>
                <w:szCs w:val="16"/>
                <w:spacing w:val="-1"/>
              </w:rPr>
              <w:t>M7:数据治理项目优先级</w:t>
            </w:r>
          </w:p>
        </w:tc>
        <w:tc>
          <w:tcPr>
            <w:tcW w:w="2152" w:type="dxa"/>
            <w:vAlign w:val="top"/>
          </w:tcPr>
          <w:p>
            <w:pPr>
              <w:pStyle w:val="TableText"/>
              <w:ind w:left="117" w:right="129" w:firstLine="139"/>
              <w:spacing w:before="71" w:line="269" w:lineRule="auto"/>
              <w:rPr>
                <w:sz w:val="16"/>
                <w:szCs w:val="16"/>
              </w:rPr>
            </w:pPr>
            <w:r>
              <w:rPr>
                <w:sz w:val="16"/>
                <w:szCs w:val="16"/>
                <w:spacing w:val="-1"/>
              </w:rPr>
              <w:t>业务案例定义了数据治理</w:t>
            </w:r>
            <w:r>
              <w:rPr>
                <w:sz w:val="16"/>
                <w:szCs w:val="16"/>
                <w:spacing w:val="4"/>
              </w:rPr>
              <w:t xml:space="preserve"> </w:t>
            </w:r>
            <w:r>
              <w:rPr>
                <w:sz w:val="16"/>
                <w:szCs w:val="16"/>
                <w:spacing w:val="-1"/>
              </w:rPr>
              <w:t>项目的顺序和优先权</w:t>
            </w:r>
          </w:p>
        </w:tc>
      </w:tr>
      <w:tr>
        <w:trPr>
          <w:trHeight w:val="572" w:hRule="atLeast"/>
        </w:trPr>
        <w:tc>
          <w:tcPr>
            <w:tcW w:w="1313" w:type="dxa"/>
            <w:vAlign w:val="top"/>
            <w:vMerge w:val="continue"/>
            <w:tcBorders>
              <w:top w:val="nil"/>
            </w:tcBorders>
          </w:tcPr>
          <w:p>
            <w:pPr>
              <w:rPr>
                <w:rFonts w:ascii="Arial"/>
                <w:sz w:val="21"/>
              </w:rPr>
            </w:pPr>
            <w:r/>
          </w:p>
        </w:tc>
        <w:tc>
          <w:tcPr>
            <w:tcW w:w="1967" w:type="dxa"/>
            <w:vAlign w:val="top"/>
          </w:tcPr>
          <w:p>
            <w:pPr>
              <w:pStyle w:val="TableText"/>
              <w:ind w:left="112" w:right="209" w:firstLine="120"/>
              <w:spacing w:before="64" w:line="287" w:lineRule="auto"/>
              <w:rPr>
                <w:sz w:val="16"/>
                <w:szCs w:val="16"/>
              </w:rPr>
            </w:pPr>
            <w:r>
              <w:rPr>
                <w:sz w:val="16"/>
                <w:szCs w:val="16"/>
                <w:spacing w:val="-1"/>
              </w:rPr>
              <w:t>Q7:业务案例制订是否</w:t>
            </w:r>
            <w:r>
              <w:rPr>
                <w:sz w:val="16"/>
                <w:szCs w:val="16"/>
                <w:spacing w:val="5"/>
              </w:rPr>
              <w:t xml:space="preserve"> </w:t>
            </w:r>
            <w:r>
              <w:rPr>
                <w:sz w:val="16"/>
                <w:szCs w:val="16"/>
                <w:spacing w:val="-1"/>
              </w:rPr>
              <w:t>考虑到资源保障的能力</w:t>
            </w:r>
          </w:p>
        </w:tc>
        <w:tc>
          <w:tcPr>
            <w:tcW w:w="2157" w:type="dxa"/>
            <w:vAlign w:val="top"/>
          </w:tcPr>
          <w:p>
            <w:pPr>
              <w:pStyle w:val="TableText"/>
              <w:ind w:left="244" w:right="203" w:firstLine="19"/>
              <w:spacing w:before="94" w:line="270" w:lineRule="auto"/>
              <w:rPr>
                <w:sz w:val="16"/>
                <w:szCs w:val="16"/>
              </w:rPr>
            </w:pPr>
            <w:r>
              <w:rPr>
                <w:sz w:val="16"/>
                <w:szCs w:val="16"/>
                <w:spacing w:val="-1"/>
              </w:rPr>
              <w:t>M8:业务案例与资源协调</w:t>
            </w:r>
            <w:r>
              <w:rPr>
                <w:sz w:val="16"/>
                <w:szCs w:val="16"/>
                <w:spacing w:val="9"/>
              </w:rPr>
              <w:t xml:space="preserve"> </w:t>
            </w:r>
            <w:r>
              <w:rPr>
                <w:sz w:val="16"/>
                <w:szCs w:val="16"/>
              </w:rPr>
              <w:t>性</w:t>
            </w:r>
          </w:p>
        </w:tc>
        <w:tc>
          <w:tcPr>
            <w:tcW w:w="2152" w:type="dxa"/>
            <w:vAlign w:val="top"/>
          </w:tcPr>
          <w:p>
            <w:pPr>
              <w:pStyle w:val="TableText"/>
              <w:ind w:left="117" w:right="99" w:firstLine="170"/>
              <w:spacing w:before="83" w:line="272" w:lineRule="auto"/>
              <w:rPr>
                <w:sz w:val="16"/>
                <w:szCs w:val="16"/>
              </w:rPr>
            </w:pPr>
            <w:r>
              <w:rPr>
                <w:sz w:val="16"/>
                <w:szCs w:val="16"/>
                <w:spacing w:val="-1"/>
              </w:rPr>
              <w:t>业务案例的制订考虑到资</w:t>
            </w:r>
            <w:r>
              <w:rPr>
                <w:sz w:val="16"/>
                <w:szCs w:val="16"/>
                <w:spacing w:val="4"/>
              </w:rPr>
              <w:t xml:space="preserve"> </w:t>
            </w:r>
            <w:r>
              <w:rPr>
                <w:sz w:val="16"/>
                <w:szCs w:val="16"/>
                <w:spacing w:val="-1"/>
              </w:rPr>
              <w:t>源保障的能力</w:t>
            </w:r>
          </w:p>
        </w:tc>
      </w:tr>
    </w:tbl>
    <w:p>
      <w:pPr>
        <w:ind w:left="413"/>
        <w:spacing w:before="217" w:line="482" w:lineRule="exact"/>
        <w:rPr>
          <w:rFonts w:ascii="YouYuan" w:hAnsi="YouYuan" w:eastAsia="YouYuan" w:cs="YouYuan"/>
          <w:sz w:val="22"/>
          <w:szCs w:val="22"/>
        </w:rPr>
      </w:pPr>
      <w:r>
        <w:rPr>
          <w:rFonts w:ascii="YouYuan" w:hAnsi="YouYuan" w:eastAsia="YouYuan" w:cs="YouYuan"/>
          <w:sz w:val="22"/>
          <w:szCs w:val="22"/>
          <w:b/>
          <w:bCs/>
          <w:spacing w:val="-5"/>
          <w:position w:val="19"/>
        </w:rPr>
        <w:t>3.</w:t>
      </w:r>
      <w:r>
        <w:rPr>
          <w:rFonts w:ascii="YouYuan" w:hAnsi="YouYuan" w:eastAsia="YouYuan" w:cs="YouYuan"/>
          <w:sz w:val="22"/>
          <w:szCs w:val="22"/>
          <w:spacing w:val="-20"/>
          <w:position w:val="19"/>
        </w:rPr>
        <w:t xml:space="preserve"> </w:t>
      </w:r>
      <w:r>
        <w:rPr>
          <w:rFonts w:ascii="YouYuan" w:hAnsi="YouYuan" w:eastAsia="YouYuan" w:cs="YouYuan"/>
          <w:sz w:val="22"/>
          <w:szCs w:val="22"/>
          <w:b/>
          <w:bCs/>
          <w:spacing w:val="-5"/>
          <w:position w:val="19"/>
        </w:rPr>
        <w:t>成熟度等级介绍</w:t>
      </w:r>
    </w:p>
    <w:p>
      <w:pPr>
        <w:ind w:left="41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20"/>
          <w:w w:val="101"/>
        </w:rPr>
        <w:t xml:space="preserve">  </w:t>
      </w:r>
      <w:r>
        <w:rPr>
          <w:rFonts w:ascii="Times New Roman" w:hAnsi="Times New Roman" w:eastAsia="Times New Roman" w:cs="Times New Roman"/>
          <w:sz w:val="22"/>
          <w:szCs w:val="22"/>
          <w:b/>
          <w:bCs/>
          <w:spacing w:val="-6"/>
        </w:rPr>
        <w:t>1: </w:t>
      </w:r>
      <w:r>
        <w:rPr>
          <w:rFonts w:ascii="SimHei" w:hAnsi="SimHei" w:eastAsia="SimHei" w:cs="SimHei"/>
          <w:sz w:val="22"/>
          <w:szCs w:val="22"/>
          <w:b/>
          <w:bCs/>
          <w:spacing w:val="-6"/>
        </w:rPr>
        <w:t>初始级</w:t>
      </w:r>
    </w:p>
    <w:p>
      <w:pPr>
        <w:spacing w:line="127" w:lineRule="exact"/>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41"/>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04" w:type="dxa"/>
            <w:vAlign w:val="top"/>
          </w:tcPr>
          <w:p>
            <w:pPr>
              <w:spacing w:line="326" w:lineRule="auto"/>
              <w:rPr>
                <w:rFonts w:ascii="Arial"/>
                <w:sz w:val="21"/>
              </w:rPr>
            </w:pPr>
            <w:r/>
          </w:p>
          <w:p>
            <w:pPr>
              <w:pStyle w:val="TableText"/>
              <w:ind w:left="224"/>
              <w:spacing w:before="52" w:line="184" w:lineRule="auto"/>
              <w:rPr>
                <w:sz w:val="16"/>
                <w:szCs w:val="16"/>
              </w:rPr>
            </w:pPr>
            <w:r>
              <w:rPr>
                <w:sz w:val="16"/>
                <w:szCs w:val="16"/>
                <w:spacing w:val="-5"/>
              </w:rPr>
              <w:t>1.1</w:t>
            </w:r>
          </w:p>
        </w:tc>
        <w:tc>
          <w:tcPr>
            <w:tcW w:w="3145" w:type="dxa"/>
            <w:vAlign w:val="top"/>
          </w:tcPr>
          <w:p>
            <w:pPr>
              <w:spacing w:line="284" w:lineRule="auto"/>
              <w:rPr>
                <w:rFonts w:ascii="Arial"/>
                <w:sz w:val="21"/>
              </w:rPr>
            </w:pPr>
            <w:r/>
          </w:p>
          <w:p>
            <w:pPr>
              <w:pStyle w:val="TableText"/>
              <w:ind w:left="200"/>
              <w:spacing w:before="52" w:line="219" w:lineRule="auto"/>
              <w:rPr>
                <w:sz w:val="16"/>
                <w:szCs w:val="16"/>
              </w:rPr>
            </w:pPr>
            <w:r>
              <w:rPr>
                <w:sz w:val="16"/>
                <w:szCs w:val="16"/>
              </w:rPr>
              <w:t>为数据治理开发了一个基本的业务案例</w:t>
            </w:r>
          </w:p>
        </w:tc>
        <w:tc>
          <w:tcPr>
            <w:tcW w:w="3750" w:type="dxa"/>
            <w:vAlign w:val="top"/>
          </w:tcPr>
          <w:p>
            <w:pPr>
              <w:pStyle w:val="TableText"/>
              <w:ind w:left="266"/>
              <w:spacing w:before="69" w:line="219" w:lineRule="auto"/>
              <w:rPr>
                <w:sz w:val="16"/>
                <w:szCs w:val="16"/>
              </w:rPr>
            </w:pPr>
            <w:r>
              <w:rPr>
                <w:sz w:val="16"/>
                <w:szCs w:val="16"/>
              </w:rPr>
              <w:t>●数据治理策略</w:t>
            </w:r>
          </w:p>
          <w:p>
            <w:pPr>
              <w:pStyle w:val="TableText"/>
              <w:ind w:left="266"/>
              <w:spacing w:before="100" w:line="219" w:lineRule="auto"/>
              <w:rPr>
                <w:sz w:val="16"/>
                <w:szCs w:val="16"/>
              </w:rPr>
            </w:pPr>
            <w:r>
              <w:rPr>
                <w:sz w:val="16"/>
                <w:szCs w:val="16"/>
                <w:spacing w:val="2"/>
              </w:rPr>
              <w:t>●业务案例</w:t>
            </w:r>
          </w:p>
          <w:p>
            <w:pPr>
              <w:pStyle w:val="TableText"/>
              <w:ind w:left="266"/>
              <w:spacing w:before="79" w:line="218" w:lineRule="auto"/>
              <w:rPr>
                <w:sz w:val="16"/>
                <w:szCs w:val="16"/>
              </w:rPr>
            </w:pPr>
            <w:r>
              <w:rPr>
                <w:sz w:val="16"/>
                <w:szCs w:val="16"/>
                <w:spacing w:val="1"/>
              </w:rPr>
              <w:t>●成本分析记录</w:t>
            </w:r>
          </w:p>
        </w:tc>
      </w:tr>
    </w:tbl>
    <w:p>
      <w:pPr>
        <w:ind w:left="300"/>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53" w:firstLine="410"/>
        <w:spacing w:before="69" w:line="252" w:lineRule="auto"/>
        <w:rPr>
          <w:rFonts w:ascii="SimSun" w:hAnsi="SimSun" w:eastAsia="SimSun" w:cs="SimSun"/>
          <w:sz w:val="22"/>
          <w:szCs w:val="22"/>
        </w:rPr>
      </w:pPr>
      <w:r>
        <w:rPr>
          <w:rFonts w:ascii="SimSun" w:hAnsi="SimSun" w:eastAsia="SimSun" w:cs="SimSun"/>
          <w:sz w:val="22"/>
          <w:szCs w:val="22"/>
          <w:spacing w:val="-8"/>
        </w:rPr>
        <w:t>数据治理活动在小范围内开展，部分成员因工作需要，对数</w:t>
      </w:r>
      <w:r>
        <w:rPr>
          <w:rFonts w:ascii="SimSun" w:hAnsi="SimSun" w:eastAsia="SimSun" w:cs="SimSun"/>
          <w:sz w:val="22"/>
          <w:szCs w:val="22"/>
          <w:spacing w:val="-9"/>
        </w:rPr>
        <w:t>据开展了基本的管</w:t>
      </w:r>
      <w:r>
        <w:rPr>
          <w:rFonts w:ascii="SimSun" w:hAnsi="SimSun" w:eastAsia="SimSun" w:cs="SimSun"/>
          <w:sz w:val="22"/>
          <w:szCs w:val="22"/>
        </w:rPr>
        <w:t xml:space="preserve"> </w:t>
      </w:r>
      <w:r>
        <w:rPr>
          <w:rFonts w:ascii="SimSun" w:hAnsi="SimSun" w:eastAsia="SimSun" w:cs="SimSun"/>
          <w:sz w:val="22"/>
          <w:szCs w:val="22"/>
          <w:spacing w:val="-9"/>
        </w:rPr>
        <w:t>理。为此分析了数据管理的成本，并对数据管理子活动的优先级进行了排序。由于</w:t>
      </w:r>
      <w:r>
        <w:rPr>
          <w:rFonts w:ascii="SimSun" w:hAnsi="SimSun" w:eastAsia="SimSun" w:cs="SimSun"/>
          <w:sz w:val="22"/>
          <w:szCs w:val="22"/>
          <w:spacing w:val="15"/>
        </w:rPr>
        <w:t xml:space="preserve"> </w:t>
      </w:r>
      <w:r>
        <w:rPr>
          <w:rFonts w:ascii="SimSun" w:hAnsi="SimSun" w:eastAsia="SimSun" w:cs="SimSun"/>
          <w:sz w:val="22"/>
          <w:szCs w:val="22"/>
          <w:spacing w:val="-10"/>
        </w:rPr>
        <w:t>业务案例只是针对部分活动规划的，并不能完全适用于整个组织的数据治理活动。</w:t>
      </w:r>
    </w:p>
    <w:p>
      <w:pPr>
        <w:spacing w:line="104" w:lineRule="exact"/>
        <w:rPr/>
      </w:pPr>
      <w:r/>
    </w:p>
    <w:tbl>
      <w:tblPr>
        <w:tblStyle w:val="TableNormal"/>
        <w:tblW w:w="759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6" w:type="dxa"/>
            <w:vAlign w:val="top"/>
          </w:tcPr>
          <w:p>
            <w:pPr>
              <w:pStyle w:val="TableText"/>
              <w:ind w:left="1151"/>
              <w:spacing w:before="81" w:line="219" w:lineRule="auto"/>
              <w:rPr>
                <w:sz w:val="16"/>
                <w:szCs w:val="16"/>
              </w:rPr>
            </w:pPr>
            <w:r>
              <w:rPr>
                <w:sz w:val="16"/>
                <w:szCs w:val="16"/>
                <w:spacing w:val="-4"/>
              </w:rPr>
              <w:t>等 级 要 求</w:t>
            </w:r>
          </w:p>
        </w:tc>
        <w:tc>
          <w:tcPr>
            <w:tcW w:w="375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04" w:type="dxa"/>
            <w:vAlign w:val="top"/>
          </w:tcPr>
          <w:p>
            <w:pPr>
              <w:pStyle w:val="TableText"/>
              <w:ind w:left="224"/>
              <w:spacing w:before="240" w:line="184" w:lineRule="auto"/>
              <w:rPr>
                <w:sz w:val="16"/>
                <w:szCs w:val="16"/>
              </w:rPr>
            </w:pPr>
            <w:r>
              <w:rPr>
                <w:sz w:val="16"/>
                <w:szCs w:val="16"/>
                <w:spacing w:val="-5"/>
              </w:rPr>
              <w:t>1.2</w:t>
            </w:r>
          </w:p>
        </w:tc>
        <w:tc>
          <w:tcPr>
            <w:tcW w:w="3136" w:type="dxa"/>
            <w:vAlign w:val="top"/>
          </w:tcPr>
          <w:p>
            <w:pPr>
              <w:pStyle w:val="TableText"/>
              <w:ind w:left="131" w:firstLine="139"/>
              <w:spacing w:before="79" w:line="266" w:lineRule="auto"/>
              <w:rPr>
                <w:sz w:val="16"/>
                <w:szCs w:val="16"/>
              </w:rPr>
            </w:pPr>
            <w:r>
              <w:rPr>
                <w:sz w:val="16"/>
                <w:szCs w:val="16"/>
                <w:spacing w:val="-2"/>
              </w:rPr>
              <w:t>记录了数据治理活动的收益和成本，并用</w:t>
            </w:r>
            <w:r>
              <w:rPr>
                <w:sz w:val="16"/>
                <w:szCs w:val="16"/>
                <w:spacing w:val="10"/>
              </w:rPr>
              <w:t xml:space="preserve"> </w:t>
            </w:r>
            <w:r>
              <w:rPr>
                <w:sz w:val="16"/>
                <w:szCs w:val="16"/>
                <w:spacing w:val="-2"/>
              </w:rPr>
              <w:t>于资金资助决策</w:t>
            </w:r>
          </w:p>
        </w:tc>
        <w:tc>
          <w:tcPr>
            <w:tcW w:w="3750" w:type="dxa"/>
            <w:vAlign w:val="top"/>
          </w:tcPr>
          <w:p>
            <w:pPr>
              <w:pStyle w:val="TableText"/>
              <w:ind w:left="265"/>
              <w:spacing w:before="79" w:line="219" w:lineRule="auto"/>
              <w:rPr>
                <w:sz w:val="16"/>
                <w:szCs w:val="16"/>
              </w:rPr>
            </w:pPr>
            <w:r>
              <w:rPr>
                <w:sz w:val="16"/>
                <w:szCs w:val="16"/>
                <w:spacing w:val="2"/>
              </w:rPr>
              <w:t>●项目文档(会议记录、讨论文档)</w:t>
            </w:r>
          </w:p>
          <w:p>
            <w:pPr>
              <w:pStyle w:val="TableText"/>
              <w:ind w:left="265"/>
              <w:spacing w:before="90" w:line="217" w:lineRule="auto"/>
              <w:rPr>
                <w:sz w:val="16"/>
                <w:szCs w:val="16"/>
              </w:rPr>
            </w:pPr>
            <w:r>
              <w:rPr>
                <w:sz w:val="16"/>
                <w:szCs w:val="16"/>
                <w:spacing w:val="1"/>
              </w:rPr>
              <w:t>●项目级业务案例</w:t>
            </w:r>
          </w:p>
        </w:tc>
      </w:tr>
    </w:tbl>
    <w:p>
      <w:pPr>
        <w:ind w:left="30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55" w:firstLine="410"/>
        <w:spacing w:before="57" w:line="244" w:lineRule="auto"/>
        <w:rPr>
          <w:rFonts w:ascii="SimSun" w:hAnsi="SimSun" w:eastAsia="SimSun" w:cs="SimSun"/>
          <w:sz w:val="22"/>
          <w:szCs w:val="22"/>
        </w:rPr>
      </w:pPr>
      <w:r>
        <w:rPr>
          <w:rFonts w:ascii="SimSun" w:hAnsi="SimSun" w:eastAsia="SimSun" w:cs="SimSun"/>
          <w:sz w:val="22"/>
          <w:szCs w:val="22"/>
          <w:spacing w:val="-8"/>
        </w:rPr>
        <w:t>对数据治理活动的成本和收益进行了考量，并以文件记录</w:t>
      </w:r>
      <w:r>
        <w:rPr>
          <w:rFonts w:ascii="SimSun" w:hAnsi="SimSun" w:eastAsia="SimSun" w:cs="SimSun"/>
          <w:sz w:val="22"/>
          <w:szCs w:val="22"/>
          <w:spacing w:val="-9"/>
        </w:rPr>
        <w:t>的形式保存下来，为</w:t>
      </w:r>
      <w:r>
        <w:rPr>
          <w:rFonts w:ascii="SimSun" w:hAnsi="SimSun" w:eastAsia="SimSun" w:cs="SimSun"/>
          <w:sz w:val="22"/>
          <w:szCs w:val="22"/>
        </w:rPr>
        <w:t xml:space="preserve"> </w:t>
      </w:r>
      <w:r>
        <w:rPr>
          <w:rFonts w:ascii="SimSun" w:hAnsi="SimSun" w:eastAsia="SimSun" w:cs="SimSun"/>
          <w:sz w:val="22"/>
          <w:szCs w:val="22"/>
          <w:spacing w:val="-11"/>
        </w:rPr>
        <w:t>数据治理活动所需的资源保障提供决策依据。</w:t>
      </w:r>
    </w:p>
    <w:p>
      <w:pPr>
        <w:ind w:left="410"/>
        <w:spacing w:before="55"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52"/>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29"/>
          <w:w w:val="101"/>
        </w:rPr>
        <w:t xml:space="preserve"> </w:t>
      </w:r>
      <w:r>
        <w:rPr>
          <w:rFonts w:ascii="SimHei" w:hAnsi="SimHei" w:eastAsia="SimHei" w:cs="SimHei"/>
          <w:sz w:val="22"/>
          <w:szCs w:val="22"/>
          <w:b/>
          <w:bCs/>
          <w:spacing w:val="-3"/>
        </w:rPr>
        <w:t>管理级</w:t>
      </w:r>
    </w:p>
    <w:p>
      <w:pPr>
        <w:spacing w:line="128"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25"/>
        <w:gridCol w:w="3760"/>
      </w:tblGrid>
      <w:tr>
        <w:trPr>
          <w:trHeight w:val="321" w:hRule="atLeast"/>
        </w:trPr>
        <w:tc>
          <w:tcPr>
            <w:tcW w:w="704" w:type="dxa"/>
            <w:vAlign w:val="top"/>
          </w:tcPr>
          <w:p>
            <w:pPr>
              <w:pStyle w:val="TableText"/>
              <w:ind w:left="195"/>
              <w:spacing w:before="92" w:line="221" w:lineRule="auto"/>
              <w:rPr/>
            </w:pPr>
            <w:r>
              <w:rPr>
                <w:spacing w:val="-2"/>
              </w:rPr>
              <w:t>序号</w:t>
            </w:r>
          </w:p>
        </w:tc>
        <w:tc>
          <w:tcPr>
            <w:tcW w:w="3125" w:type="dxa"/>
            <w:vAlign w:val="top"/>
          </w:tcPr>
          <w:p>
            <w:pPr>
              <w:pStyle w:val="TableText"/>
              <w:ind w:left="1271"/>
              <w:spacing w:before="91" w:line="219" w:lineRule="auto"/>
              <w:rPr/>
            </w:pPr>
            <w:r>
              <w:rPr>
                <w:spacing w:val="-2"/>
              </w:rPr>
              <w:t>等级要求</w:t>
            </w:r>
          </w:p>
        </w:tc>
        <w:tc>
          <w:tcPr>
            <w:tcW w:w="3760" w:type="dxa"/>
            <w:vAlign w:val="top"/>
          </w:tcPr>
          <w:p>
            <w:pPr>
              <w:pStyle w:val="TableText"/>
              <w:ind w:left="1725"/>
              <w:spacing w:before="91" w:line="220" w:lineRule="auto"/>
              <w:rPr/>
            </w:pPr>
            <w:r>
              <w:rPr>
                <w:spacing w:val="6"/>
              </w:rPr>
              <w:t>实例</w:t>
            </w:r>
          </w:p>
        </w:tc>
      </w:tr>
      <w:tr>
        <w:trPr>
          <w:trHeight w:val="549" w:hRule="atLeast"/>
        </w:trPr>
        <w:tc>
          <w:tcPr>
            <w:tcW w:w="704" w:type="dxa"/>
            <w:vAlign w:val="top"/>
          </w:tcPr>
          <w:p>
            <w:pPr>
              <w:pStyle w:val="TableText"/>
              <w:ind w:left="224"/>
              <w:spacing w:before="238" w:line="184" w:lineRule="auto"/>
              <w:rPr/>
            </w:pPr>
            <w:r>
              <w:rPr>
                <w:spacing w:val="-2"/>
              </w:rPr>
              <w:t>2.1</w:t>
            </w:r>
          </w:p>
        </w:tc>
        <w:tc>
          <w:tcPr>
            <w:tcW w:w="3125" w:type="dxa"/>
            <w:vAlign w:val="top"/>
          </w:tcPr>
          <w:p>
            <w:pPr>
              <w:pStyle w:val="TableText"/>
              <w:ind w:left="261"/>
              <w:spacing w:before="200" w:line="219" w:lineRule="auto"/>
              <w:rPr/>
            </w:pPr>
            <w:r>
              <w:rPr>
                <w:spacing w:val="-1"/>
              </w:rPr>
              <w:t>业务案例方法论得到定义和遵循</w:t>
            </w:r>
          </w:p>
        </w:tc>
        <w:tc>
          <w:tcPr>
            <w:tcW w:w="3760" w:type="dxa"/>
            <w:vAlign w:val="top"/>
          </w:tcPr>
          <w:p>
            <w:pPr>
              <w:pStyle w:val="TableText"/>
              <w:ind w:left="276"/>
              <w:spacing w:before="80" w:line="219" w:lineRule="auto"/>
              <w:rPr/>
            </w:pPr>
            <w:r>
              <w:rPr/>
              <w:t>●业务案例制订方法</w:t>
            </w:r>
          </w:p>
          <w:p>
            <w:pPr>
              <w:pStyle w:val="TableText"/>
              <w:ind w:left="276"/>
              <w:spacing w:before="92" w:line="219" w:lineRule="auto"/>
              <w:rPr/>
            </w:pPr>
            <w:r>
              <w:rPr>
                <w:spacing w:val="2"/>
              </w:rPr>
              <w:t>●业务案例</w:t>
            </w:r>
          </w:p>
        </w:tc>
      </w:tr>
    </w:tbl>
    <w:p>
      <w:pPr>
        <w:ind w:left="300"/>
        <w:spacing w:before="17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22" w:firstLine="410"/>
        <w:spacing w:before="47" w:line="248" w:lineRule="auto"/>
        <w:rPr>
          <w:rFonts w:ascii="SimSun" w:hAnsi="SimSun" w:eastAsia="SimSun" w:cs="SimSun"/>
          <w:sz w:val="22"/>
          <w:szCs w:val="22"/>
        </w:rPr>
      </w:pPr>
      <w:r>
        <w:rPr>
          <w:rFonts w:ascii="SimSun" w:hAnsi="SimSun" w:eastAsia="SimSun" w:cs="SimSun"/>
          <w:sz w:val="22"/>
          <w:szCs w:val="22"/>
          <w:spacing w:val="-7"/>
        </w:rPr>
        <w:t>大多数组织采用一些方法为业务单元里的一些关键项目</w:t>
      </w:r>
      <w:r>
        <w:rPr>
          <w:rFonts w:ascii="SimSun" w:hAnsi="SimSun" w:eastAsia="SimSun" w:cs="SimSun"/>
          <w:sz w:val="22"/>
          <w:szCs w:val="22"/>
          <w:spacing w:val="-8"/>
        </w:rPr>
        <w:t>或交叉项目制订了结构</w:t>
      </w:r>
      <w:r>
        <w:rPr>
          <w:rFonts w:ascii="SimSun" w:hAnsi="SimSun" w:eastAsia="SimSun" w:cs="SimSun"/>
          <w:sz w:val="22"/>
          <w:szCs w:val="22"/>
        </w:rPr>
        <w:t xml:space="preserve"> </w:t>
      </w:r>
      <w:r>
        <w:rPr>
          <w:rFonts w:ascii="SimSun" w:hAnsi="SimSun" w:eastAsia="SimSun" w:cs="SimSun"/>
          <w:sz w:val="22"/>
          <w:szCs w:val="22"/>
          <w:spacing w:val="-8"/>
        </w:rPr>
        <w:t>良好的业务案例，通过总结提炼这些方法，</w:t>
      </w:r>
      <w:r>
        <w:rPr>
          <w:rFonts w:ascii="SimSun" w:hAnsi="SimSun" w:eastAsia="SimSun" w:cs="SimSun"/>
          <w:sz w:val="22"/>
          <w:szCs w:val="22"/>
          <w:spacing w:val="-9"/>
        </w:rPr>
        <w:t>可以为其他业务单元制订业务案例提供</w:t>
      </w:r>
    </w:p>
    <w:p>
      <w:pPr>
        <w:spacing w:line="248" w:lineRule="auto"/>
        <w:sectPr>
          <w:footerReference w:type="default" r:id="rId166"/>
          <w:pgSz w:w="8870" w:h="13400"/>
          <w:pgMar w:top="400" w:right="473" w:bottom="492" w:left="529" w:header="0" w:footer="276" w:gutter="0"/>
        </w:sectPr>
        <w:rPr>
          <w:rFonts w:ascii="SimSun" w:hAnsi="SimSun" w:eastAsia="SimSun" w:cs="SimSun"/>
          <w:sz w:val="22"/>
          <w:szCs w:val="22"/>
        </w:rPr>
      </w:pPr>
    </w:p>
    <w:p>
      <w:pPr>
        <w:ind w:left="120"/>
        <w:spacing w:before="239"/>
        <w:rPr>
          <w:rFonts w:ascii="SimSun" w:hAnsi="SimSun" w:eastAsia="SimSun" w:cs="SimSun"/>
          <w:sz w:val="21"/>
          <w:szCs w:val="21"/>
        </w:rPr>
      </w:pPr>
      <w:r>
        <w:rPr>
          <w:rFonts w:ascii="SimSun" w:hAnsi="SimSun" w:eastAsia="SimSun" w:cs="SimSun"/>
          <w:sz w:val="21"/>
          <w:szCs w:val="21"/>
          <w:position w:val="-9"/>
        </w:rPr>
        <w:drawing>
          <wp:inline distT="0" distB="0" distL="0" distR="0">
            <wp:extent cx="6308" cy="228637"/>
            <wp:effectExtent l="0" t="0" r="0" b="0"/>
            <wp:docPr id="138" name="IM 138"/>
            <wp:cNvGraphicFramePr/>
            <a:graphic>
              <a:graphicData uri="http://schemas.openxmlformats.org/drawingml/2006/picture">
                <pic:pic>
                  <pic:nvPicPr>
                    <pic:cNvPr id="138" name="IM 138"/>
                    <pic:cNvPicPr/>
                  </pic:nvPicPr>
                  <pic:blipFill>
                    <a:blip r:embed="rId168"/>
                    <a:stretch>
                      <a:fillRect/>
                    </a:stretch>
                  </pic:blipFill>
                  <pic:spPr>
                    <a:xfrm rot="0">
                      <a:off x="0" y="0"/>
                      <a:ext cx="6308" cy="228637"/>
                    </a:xfrm>
                    <a:prstGeom prst="rect">
                      <a:avLst/>
                    </a:prstGeom>
                  </pic:spPr>
                </pic:pic>
              </a:graphicData>
            </a:graphic>
          </wp:inline>
        </w:drawing>
      </w:r>
      <w:r>
        <w:rPr>
          <w:rFonts w:ascii="SimSun" w:hAnsi="SimSun" w:eastAsia="SimSun" w:cs="SimSun"/>
          <w:sz w:val="21"/>
          <w:szCs w:val="21"/>
          <w:spacing w:val="-21"/>
        </w:rPr>
        <w:t xml:space="preserve"> </w:t>
      </w:r>
      <w:r>
        <w:rPr>
          <w:rFonts w:ascii="SimSun" w:hAnsi="SimSun" w:eastAsia="SimSun" w:cs="SimSun"/>
          <w:sz w:val="21"/>
          <w:szCs w:val="21"/>
          <w:b/>
          <w:bCs/>
          <w:spacing w:val="-11"/>
        </w:rPr>
        <w:t>■云端数据治理</w:t>
      </w:r>
    </w:p>
    <w:p>
      <w:pPr>
        <w:ind w:left="259"/>
        <w:spacing w:before="298" w:line="219" w:lineRule="auto"/>
        <w:rPr>
          <w:rFonts w:ascii="SimSun" w:hAnsi="SimSun" w:eastAsia="SimSun" w:cs="SimSun"/>
          <w:sz w:val="21"/>
          <w:szCs w:val="21"/>
        </w:rPr>
      </w:pPr>
      <w:r>
        <w:rPr>
          <w:rFonts w:ascii="SimSun" w:hAnsi="SimSun" w:eastAsia="SimSun" w:cs="SimSun"/>
          <w:sz w:val="21"/>
          <w:szCs w:val="21"/>
          <w:spacing w:val="-9"/>
        </w:rPr>
        <w:t>参考。</w:t>
      </w:r>
    </w:p>
    <w:p>
      <w:pPr>
        <w:spacing w:line="127"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14" w:type="dxa"/>
            <w:vAlign w:val="top"/>
          </w:tcPr>
          <w:p>
            <w:pPr>
              <w:pStyle w:val="TableText"/>
              <w:ind w:left="224"/>
              <w:spacing w:before="241" w:line="183" w:lineRule="auto"/>
              <w:rPr>
                <w:sz w:val="16"/>
                <w:szCs w:val="16"/>
              </w:rPr>
            </w:pPr>
            <w:r>
              <w:rPr>
                <w:sz w:val="16"/>
                <w:szCs w:val="16"/>
                <w:spacing w:val="-2"/>
              </w:rPr>
              <w:t>2.2</w:t>
            </w:r>
          </w:p>
        </w:tc>
        <w:tc>
          <w:tcPr>
            <w:tcW w:w="3145" w:type="dxa"/>
            <w:vAlign w:val="top"/>
          </w:tcPr>
          <w:p>
            <w:pPr>
              <w:pStyle w:val="TableText"/>
              <w:ind w:left="90" w:firstLine="170"/>
              <w:spacing w:before="81" w:line="270" w:lineRule="auto"/>
              <w:rPr>
                <w:sz w:val="16"/>
                <w:szCs w:val="16"/>
              </w:rPr>
            </w:pPr>
            <w:r>
              <w:rPr>
                <w:sz w:val="16"/>
                <w:szCs w:val="16"/>
                <w:spacing w:val="-1"/>
              </w:rPr>
              <w:t>业务案例为决策者审核数据治理的资助提</w:t>
            </w:r>
            <w:r>
              <w:rPr>
                <w:sz w:val="16"/>
                <w:szCs w:val="16"/>
                <w:spacing w:val="11"/>
              </w:rPr>
              <w:t xml:space="preserve"> </w:t>
            </w:r>
            <w:r>
              <w:rPr>
                <w:sz w:val="16"/>
                <w:szCs w:val="16"/>
                <w:spacing w:val="-2"/>
              </w:rPr>
              <w:t>供支持</w:t>
            </w:r>
          </w:p>
        </w:tc>
        <w:tc>
          <w:tcPr>
            <w:tcW w:w="3740" w:type="dxa"/>
            <w:vAlign w:val="top"/>
          </w:tcPr>
          <w:p>
            <w:pPr>
              <w:pStyle w:val="TableText"/>
              <w:ind w:left="265"/>
              <w:spacing w:before="200" w:line="219" w:lineRule="auto"/>
              <w:rPr>
                <w:sz w:val="16"/>
                <w:szCs w:val="16"/>
              </w:rPr>
            </w:pPr>
            <w:r>
              <w:rPr>
                <w:sz w:val="16"/>
                <w:szCs w:val="16"/>
                <w:spacing w:val="2"/>
              </w:rPr>
              <w:t>●业务案例</w:t>
            </w:r>
          </w:p>
        </w:tc>
      </w:tr>
    </w:tbl>
    <w:p>
      <w:pPr>
        <w:ind w:left="574"/>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left="259" w:right="44" w:firstLine="419"/>
        <w:spacing w:before="71" w:line="254" w:lineRule="auto"/>
        <w:rPr>
          <w:rFonts w:ascii="SimSun" w:hAnsi="SimSun" w:eastAsia="SimSun" w:cs="SimSun"/>
          <w:sz w:val="21"/>
          <w:szCs w:val="21"/>
        </w:rPr>
      </w:pPr>
      <w:r>
        <w:rPr>
          <w:rFonts w:ascii="SimSun" w:hAnsi="SimSun" w:eastAsia="SimSun" w:cs="SimSun"/>
          <w:sz w:val="21"/>
          <w:szCs w:val="21"/>
          <w:spacing w:val="-4"/>
        </w:rPr>
        <w:t>业务案例与资源保障一起给数据治理项目制订了支持优</w:t>
      </w:r>
      <w:r>
        <w:rPr>
          <w:rFonts w:ascii="SimSun" w:hAnsi="SimSun" w:eastAsia="SimSun" w:cs="SimSun"/>
          <w:sz w:val="21"/>
          <w:szCs w:val="21"/>
          <w:spacing w:val="-5"/>
        </w:rPr>
        <w:t>先级和所需的资源，这些</w:t>
      </w:r>
      <w:r>
        <w:rPr>
          <w:rFonts w:ascii="SimSun" w:hAnsi="SimSun" w:eastAsia="SimSun" w:cs="SimSun"/>
          <w:sz w:val="21"/>
          <w:szCs w:val="21"/>
        </w:rPr>
        <w:t xml:space="preserve"> </w:t>
      </w:r>
      <w:r>
        <w:rPr>
          <w:rFonts w:ascii="SimSun" w:hAnsi="SimSun" w:eastAsia="SimSun" w:cs="SimSun"/>
          <w:sz w:val="21"/>
          <w:szCs w:val="21"/>
          <w:spacing w:val="-6"/>
        </w:rPr>
        <w:t>信息将成为领导层对数据治理活动的理解和判断的依据，帮助他们做出科学的决策。</w:t>
      </w:r>
    </w:p>
    <w:p>
      <w:pPr>
        <w:spacing w:line="118"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2" w:hRule="atLeast"/>
        </w:trPr>
        <w:tc>
          <w:tcPr>
            <w:tcW w:w="714" w:type="dxa"/>
            <w:vAlign w:val="top"/>
          </w:tcPr>
          <w:p>
            <w:pPr>
              <w:pStyle w:val="TableText"/>
              <w:ind w:left="195"/>
              <w:spacing w:before="81" w:line="221" w:lineRule="auto"/>
              <w:rPr/>
            </w:pPr>
            <w:r>
              <w:rPr>
                <w:spacing w:val="-2"/>
              </w:rPr>
              <w:t>序号</w:t>
            </w:r>
          </w:p>
        </w:tc>
        <w:tc>
          <w:tcPr>
            <w:tcW w:w="3145" w:type="dxa"/>
            <w:vAlign w:val="top"/>
          </w:tcPr>
          <w:p>
            <w:pPr>
              <w:pStyle w:val="TableText"/>
              <w:ind w:left="1151"/>
              <w:spacing w:before="81" w:line="219" w:lineRule="auto"/>
              <w:rPr/>
            </w:pPr>
            <w:r>
              <w:rPr>
                <w:spacing w:val="-6"/>
              </w:rPr>
              <w:t>等</w:t>
            </w:r>
            <w:r>
              <w:rPr>
                <w:spacing w:val="25"/>
                <w:w w:val="101"/>
              </w:rPr>
              <w:t xml:space="preserve"> </w:t>
            </w:r>
            <w:r>
              <w:rPr>
                <w:spacing w:val="-6"/>
              </w:rPr>
              <w:t>级</w:t>
            </w:r>
            <w:r>
              <w:rPr>
                <w:spacing w:val="22"/>
                <w:w w:val="101"/>
              </w:rPr>
              <w:t xml:space="preserve"> </w:t>
            </w:r>
            <w:r>
              <w:rPr>
                <w:spacing w:val="-6"/>
              </w:rPr>
              <w:t>要</w:t>
            </w:r>
            <w:r>
              <w:rPr>
                <w:spacing w:val="23"/>
              </w:rPr>
              <w:t xml:space="preserve"> </w:t>
            </w:r>
            <w:r>
              <w:rPr>
                <w:spacing w:val="-6"/>
              </w:rPr>
              <w:t>求</w:t>
            </w:r>
          </w:p>
        </w:tc>
        <w:tc>
          <w:tcPr>
            <w:tcW w:w="3740" w:type="dxa"/>
            <w:vAlign w:val="top"/>
          </w:tcPr>
          <w:p>
            <w:pPr>
              <w:pStyle w:val="TableText"/>
              <w:ind w:left="1566"/>
              <w:spacing w:before="81" w:line="220" w:lineRule="auto"/>
              <w:rPr/>
            </w:pPr>
            <w:r>
              <w:rPr>
                <w:spacing w:val="-5"/>
              </w:rPr>
              <w:t>实</w:t>
            </w:r>
            <w:r>
              <w:rPr>
                <w:spacing w:val="6"/>
              </w:rPr>
              <w:t xml:space="preserve">    </w:t>
            </w:r>
            <w:r>
              <w:rPr>
                <w:spacing w:val="-5"/>
              </w:rPr>
              <w:t>例</w:t>
            </w:r>
          </w:p>
        </w:tc>
      </w:tr>
      <w:tr>
        <w:trPr>
          <w:trHeight w:val="837" w:hRule="atLeast"/>
        </w:trPr>
        <w:tc>
          <w:tcPr>
            <w:tcW w:w="714" w:type="dxa"/>
            <w:vAlign w:val="top"/>
          </w:tcPr>
          <w:p>
            <w:pPr>
              <w:spacing w:line="337" w:lineRule="auto"/>
              <w:rPr>
                <w:rFonts w:ascii="Arial"/>
                <w:sz w:val="21"/>
              </w:rPr>
            </w:pPr>
            <w:r/>
          </w:p>
          <w:p>
            <w:pPr>
              <w:pStyle w:val="TableText"/>
              <w:ind w:left="235"/>
              <w:spacing w:before="48" w:line="183" w:lineRule="auto"/>
              <w:rPr/>
            </w:pPr>
            <w:r>
              <w:rPr>
                <w:spacing w:val="-2"/>
              </w:rPr>
              <w:t>2.3</w:t>
            </w:r>
          </w:p>
        </w:tc>
        <w:tc>
          <w:tcPr>
            <w:tcW w:w="3145" w:type="dxa"/>
            <w:vAlign w:val="top"/>
          </w:tcPr>
          <w:p>
            <w:pPr>
              <w:pStyle w:val="TableText"/>
              <w:ind w:left="120" w:right="171" w:firstLine="150"/>
              <w:spacing w:before="218" w:line="282" w:lineRule="auto"/>
              <w:rPr/>
            </w:pPr>
            <w:r>
              <w:rPr>
                <w:spacing w:val="-1"/>
              </w:rPr>
              <w:t>为新倡议制订的数据治理业务案例应与业</w:t>
            </w:r>
            <w:r>
              <w:rPr>
                <w:spacing w:val="9"/>
              </w:rPr>
              <w:t xml:space="preserve"> </w:t>
            </w:r>
            <w:r>
              <w:rPr>
                <w:spacing w:val="-1"/>
              </w:rPr>
              <w:t>务目标和数据治理目标相符</w:t>
            </w:r>
          </w:p>
        </w:tc>
        <w:tc>
          <w:tcPr>
            <w:tcW w:w="3740" w:type="dxa"/>
            <w:vAlign w:val="top"/>
          </w:tcPr>
          <w:p>
            <w:pPr>
              <w:pStyle w:val="TableText"/>
              <w:ind w:left="275"/>
              <w:spacing w:before="89" w:line="219" w:lineRule="auto"/>
              <w:rPr/>
            </w:pPr>
            <w:r>
              <w:rPr/>
              <w:t>●业务案例标准方法论</w:t>
            </w:r>
          </w:p>
          <w:p>
            <w:pPr>
              <w:pStyle w:val="TableText"/>
              <w:ind w:left="275"/>
              <w:spacing w:before="102" w:line="219" w:lineRule="auto"/>
              <w:rPr/>
            </w:pPr>
            <w:r>
              <w:rPr/>
              <w:t>●数据治理业务案例倡议</w:t>
            </w:r>
          </w:p>
          <w:p>
            <w:pPr>
              <w:pStyle w:val="TableText"/>
              <w:ind w:left="275"/>
              <w:spacing w:before="101" w:line="219" w:lineRule="auto"/>
              <w:rPr/>
            </w:pPr>
            <w:r>
              <w:rPr/>
              <w:t>●业务案例批准或拒绝的文档或记录</w:t>
            </w:r>
          </w:p>
        </w:tc>
      </w:tr>
    </w:tbl>
    <w:p>
      <w:pPr>
        <w:ind w:left="57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59" w:right="42" w:firstLine="419"/>
        <w:spacing w:before="60" w:line="266" w:lineRule="auto"/>
        <w:rPr>
          <w:rFonts w:ascii="SimSun" w:hAnsi="SimSun" w:eastAsia="SimSun" w:cs="SimSun"/>
          <w:sz w:val="21"/>
          <w:szCs w:val="21"/>
        </w:rPr>
      </w:pPr>
      <w:r>
        <w:rPr>
          <w:rFonts w:ascii="SimSun" w:hAnsi="SimSun" w:eastAsia="SimSun" w:cs="SimSun"/>
          <w:sz w:val="21"/>
          <w:szCs w:val="21"/>
          <w:spacing w:val="2"/>
        </w:rPr>
        <w:t>随着数据治理项目的进行，需要对某些治理活动进行</w:t>
      </w:r>
      <w:r>
        <w:rPr>
          <w:rFonts w:ascii="SimSun" w:hAnsi="SimSun" w:eastAsia="SimSun" w:cs="SimSun"/>
          <w:sz w:val="21"/>
          <w:szCs w:val="21"/>
          <w:spacing w:val="1"/>
        </w:rPr>
        <w:t>调整，后者由于需要，开</w:t>
      </w:r>
      <w:r>
        <w:rPr>
          <w:rFonts w:ascii="SimSun" w:hAnsi="SimSun" w:eastAsia="SimSun" w:cs="SimSun"/>
          <w:sz w:val="21"/>
          <w:szCs w:val="21"/>
        </w:rPr>
        <w:t xml:space="preserve"> </w:t>
      </w:r>
      <w:r>
        <w:rPr>
          <w:rFonts w:ascii="SimSun" w:hAnsi="SimSun" w:eastAsia="SimSun" w:cs="SimSun"/>
          <w:sz w:val="21"/>
          <w:szCs w:val="21"/>
          <w:spacing w:val="2"/>
        </w:rPr>
        <w:t>发新的数据治理活动，在为这些新的数据治理活动制订业</w:t>
      </w:r>
      <w:r>
        <w:rPr>
          <w:rFonts w:ascii="SimSun" w:hAnsi="SimSun" w:eastAsia="SimSun" w:cs="SimSun"/>
          <w:sz w:val="21"/>
          <w:szCs w:val="21"/>
          <w:spacing w:val="1"/>
        </w:rPr>
        <w:t>务案例时，应当考虑数据</w:t>
      </w:r>
      <w:r>
        <w:rPr>
          <w:rFonts w:ascii="SimSun" w:hAnsi="SimSun" w:eastAsia="SimSun" w:cs="SimSun"/>
          <w:sz w:val="21"/>
          <w:szCs w:val="21"/>
        </w:rPr>
        <w:t xml:space="preserve"> </w:t>
      </w:r>
      <w:r>
        <w:rPr>
          <w:rFonts w:ascii="SimSun" w:hAnsi="SimSun" w:eastAsia="SimSun" w:cs="SimSun"/>
          <w:sz w:val="21"/>
          <w:szCs w:val="21"/>
          <w:spacing w:val="2"/>
        </w:rPr>
        <w:t>治理活动之间的协调性，尤其是新的数据治理活动要与业</w:t>
      </w:r>
      <w:r>
        <w:rPr>
          <w:rFonts w:ascii="SimSun" w:hAnsi="SimSun" w:eastAsia="SimSun" w:cs="SimSun"/>
          <w:sz w:val="21"/>
          <w:szCs w:val="21"/>
          <w:spacing w:val="1"/>
        </w:rPr>
        <w:t>务的总体目标和大的数据</w:t>
      </w:r>
      <w:r>
        <w:rPr>
          <w:rFonts w:ascii="SimSun" w:hAnsi="SimSun" w:eastAsia="SimSun" w:cs="SimSun"/>
          <w:sz w:val="21"/>
          <w:szCs w:val="21"/>
        </w:rPr>
        <w:t xml:space="preserve"> </w:t>
      </w:r>
      <w:r>
        <w:rPr>
          <w:rFonts w:ascii="SimSun" w:hAnsi="SimSun" w:eastAsia="SimSun" w:cs="SimSun"/>
          <w:sz w:val="21"/>
          <w:szCs w:val="21"/>
          <w:spacing w:val="2"/>
        </w:rPr>
        <w:t>治理项目的目标相符合。例如业务术语，新的数据</w:t>
      </w:r>
      <w:r>
        <w:rPr>
          <w:rFonts w:ascii="SimSun" w:hAnsi="SimSun" w:eastAsia="SimSun" w:cs="SimSun"/>
          <w:sz w:val="21"/>
          <w:szCs w:val="21"/>
          <w:spacing w:val="1"/>
        </w:rPr>
        <w:t>治理倡议可能会产生新的业务术</w:t>
      </w:r>
      <w:r>
        <w:rPr>
          <w:rFonts w:ascii="SimSun" w:hAnsi="SimSun" w:eastAsia="SimSun" w:cs="SimSun"/>
          <w:sz w:val="21"/>
          <w:szCs w:val="21"/>
        </w:rPr>
        <w:t xml:space="preserve"> </w:t>
      </w:r>
      <w:r>
        <w:rPr>
          <w:rFonts w:ascii="SimSun" w:hAnsi="SimSun" w:eastAsia="SimSun" w:cs="SimSun"/>
          <w:sz w:val="21"/>
          <w:szCs w:val="21"/>
          <w:spacing w:val="2"/>
        </w:rPr>
        <w:t>语，这就要求新的业务案例需要对新项目提供新的</w:t>
      </w:r>
      <w:r>
        <w:rPr>
          <w:rFonts w:ascii="SimSun" w:hAnsi="SimSun" w:eastAsia="SimSun" w:cs="SimSun"/>
          <w:sz w:val="21"/>
          <w:szCs w:val="21"/>
          <w:spacing w:val="1"/>
        </w:rPr>
        <w:t>或修改过的术语。再如，新的数</w:t>
      </w:r>
      <w:r>
        <w:rPr>
          <w:rFonts w:ascii="SimSun" w:hAnsi="SimSun" w:eastAsia="SimSun" w:cs="SimSun"/>
          <w:sz w:val="21"/>
          <w:szCs w:val="21"/>
        </w:rPr>
        <w:t xml:space="preserve"> </w:t>
      </w:r>
      <w:r>
        <w:rPr>
          <w:rFonts w:ascii="SimSun" w:hAnsi="SimSun" w:eastAsia="SimSun" w:cs="SimSun"/>
          <w:sz w:val="21"/>
          <w:szCs w:val="21"/>
          <w:spacing w:val="1"/>
        </w:rPr>
        <w:t>据治理项目需要新的资源，在数据治理整体的资源保障计划中，在有限的资</w:t>
      </w:r>
      <w:r>
        <w:rPr>
          <w:rFonts w:ascii="SimSun" w:hAnsi="SimSun" w:eastAsia="SimSun" w:cs="SimSun"/>
          <w:sz w:val="21"/>
          <w:szCs w:val="21"/>
        </w:rPr>
        <w:t>源中， </w:t>
      </w:r>
      <w:r>
        <w:rPr>
          <w:rFonts w:ascii="SimSun" w:hAnsi="SimSun" w:eastAsia="SimSun" w:cs="SimSun"/>
          <w:sz w:val="21"/>
          <w:szCs w:val="21"/>
          <w:spacing w:val="2"/>
        </w:rPr>
        <w:t>如何协调新项目与原项目所用资源的分配，要求新倡</w:t>
      </w:r>
      <w:r>
        <w:rPr>
          <w:rFonts w:ascii="SimSun" w:hAnsi="SimSun" w:eastAsia="SimSun" w:cs="SimSun"/>
          <w:sz w:val="21"/>
          <w:szCs w:val="21"/>
          <w:spacing w:val="1"/>
        </w:rPr>
        <w:t>议制订的业务案例要考虑原有</w:t>
      </w:r>
      <w:r>
        <w:rPr>
          <w:rFonts w:ascii="SimSun" w:hAnsi="SimSun" w:eastAsia="SimSun" w:cs="SimSun"/>
          <w:sz w:val="21"/>
          <w:szCs w:val="21"/>
        </w:rPr>
        <w:t xml:space="preserve"> </w:t>
      </w:r>
      <w:r>
        <w:rPr>
          <w:rFonts w:ascii="SimSun" w:hAnsi="SimSun" w:eastAsia="SimSun" w:cs="SimSun"/>
          <w:sz w:val="21"/>
          <w:szCs w:val="21"/>
          <w:spacing w:val="-4"/>
        </w:rPr>
        <w:t>数据治理活动的资源保障。</w:t>
      </w:r>
    </w:p>
    <w:p>
      <w:pPr>
        <w:ind w:left="679"/>
        <w:spacing w:before="95"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8"/>
        </w:rPr>
        <w:t xml:space="preserve">  </w:t>
      </w: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b/>
          <w:bCs/>
          <w:spacing w:val="33"/>
        </w:rPr>
        <w:t xml:space="preserve"> </w:t>
      </w:r>
      <w:r>
        <w:rPr>
          <w:rFonts w:ascii="SimHei" w:hAnsi="SimHei" w:eastAsia="SimHei" w:cs="SimHei"/>
          <w:sz w:val="21"/>
          <w:szCs w:val="21"/>
          <w:b/>
          <w:bCs/>
          <w:spacing w:val="-2"/>
        </w:rPr>
        <w:t>定义级</w:t>
      </w:r>
    </w:p>
    <w:p>
      <w:pPr>
        <w:spacing w:line="120" w:lineRule="exact"/>
        <w:rPr/>
      </w:pPr>
      <w:r/>
    </w:p>
    <w:tbl>
      <w:tblPr>
        <w:tblStyle w:val="TableNormal"/>
        <w:tblW w:w="758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40"/>
      </w:tblGrid>
      <w:tr>
        <w:trPr>
          <w:trHeight w:val="321" w:hRule="atLeast"/>
        </w:trPr>
        <w:tc>
          <w:tcPr>
            <w:tcW w:w="714" w:type="dxa"/>
            <w:vAlign w:val="top"/>
          </w:tcPr>
          <w:p>
            <w:pPr>
              <w:pStyle w:val="TableText"/>
              <w:ind w:left="194"/>
              <w:spacing w:before="92" w:line="221" w:lineRule="auto"/>
              <w:rPr/>
            </w:pPr>
            <w:r>
              <w:rPr>
                <w:spacing w:val="-2"/>
              </w:rPr>
              <w:t>序号</w:t>
            </w:r>
          </w:p>
        </w:tc>
        <w:tc>
          <w:tcPr>
            <w:tcW w:w="3135" w:type="dxa"/>
            <w:vAlign w:val="top"/>
          </w:tcPr>
          <w:p>
            <w:pPr>
              <w:pStyle w:val="TableText"/>
              <w:ind w:left="116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579" w:hRule="atLeast"/>
        </w:trPr>
        <w:tc>
          <w:tcPr>
            <w:tcW w:w="714" w:type="dxa"/>
            <w:vAlign w:val="top"/>
          </w:tcPr>
          <w:p>
            <w:pPr>
              <w:pStyle w:val="TableText"/>
              <w:ind w:left="234"/>
              <w:spacing w:before="258" w:line="184" w:lineRule="auto"/>
              <w:rPr/>
            </w:pPr>
            <w:r>
              <w:rPr>
                <w:spacing w:val="-2"/>
              </w:rPr>
              <w:t>3.1</w:t>
            </w:r>
          </w:p>
        </w:tc>
        <w:tc>
          <w:tcPr>
            <w:tcW w:w="3135" w:type="dxa"/>
            <w:vAlign w:val="top"/>
          </w:tcPr>
          <w:p>
            <w:pPr>
              <w:pStyle w:val="TableText"/>
              <w:ind w:left="280"/>
              <w:spacing w:before="220" w:line="219" w:lineRule="auto"/>
              <w:rPr/>
            </w:pPr>
            <w:r>
              <w:rPr>
                <w:spacing w:val="-1"/>
              </w:rPr>
              <w:t>根据组织的标准方法论开发数据治理案例</w:t>
            </w:r>
          </w:p>
        </w:tc>
        <w:tc>
          <w:tcPr>
            <w:tcW w:w="3740" w:type="dxa"/>
            <w:vAlign w:val="top"/>
          </w:tcPr>
          <w:p>
            <w:pPr>
              <w:pStyle w:val="TableText"/>
              <w:ind w:left="275"/>
              <w:spacing w:before="90" w:line="219" w:lineRule="auto"/>
              <w:rPr/>
            </w:pPr>
            <w:r>
              <w:rPr/>
              <w:t>●业务案例标准方法论</w:t>
            </w:r>
          </w:p>
          <w:p>
            <w:pPr>
              <w:pStyle w:val="TableText"/>
              <w:ind w:left="275"/>
              <w:spacing w:before="112" w:line="219" w:lineRule="auto"/>
              <w:rPr/>
            </w:pPr>
            <w:r>
              <w:rPr/>
              <w:t>●数据治理业务案例倡议</w:t>
            </w:r>
          </w:p>
        </w:tc>
      </w:tr>
    </w:tbl>
    <w:p>
      <w:pPr>
        <w:ind w:left="57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259" w:right="38" w:firstLine="419"/>
        <w:spacing w:before="61" w:line="250" w:lineRule="auto"/>
        <w:rPr>
          <w:rFonts w:ascii="SimSun" w:hAnsi="SimSun" w:eastAsia="SimSun" w:cs="SimSun"/>
          <w:sz w:val="21"/>
          <w:szCs w:val="21"/>
        </w:rPr>
      </w:pPr>
      <w:r>
        <w:rPr>
          <w:rFonts w:ascii="SimSun" w:hAnsi="SimSun" w:eastAsia="SimSun" w:cs="SimSun"/>
          <w:sz w:val="21"/>
          <w:szCs w:val="21"/>
          <w:spacing w:val="-4"/>
        </w:rPr>
        <w:t>组织从实践中总结或引进较为成熟的方法论，作为组织开发数据治理</w:t>
      </w:r>
      <w:r>
        <w:rPr>
          <w:rFonts w:ascii="SimSun" w:hAnsi="SimSun" w:eastAsia="SimSun" w:cs="SimSun"/>
          <w:sz w:val="21"/>
          <w:szCs w:val="21"/>
          <w:spacing w:val="-5"/>
        </w:rPr>
        <w:t>业务案例的</w:t>
      </w:r>
      <w:r>
        <w:rPr>
          <w:rFonts w:ascii="SimSun" w:hAnsi="SimSun" w:eastAsia="SimSun" w:cs="SimSun"/>
          <w:sz w:val="21"/>
          <w:szCs w:val="21"/>
        </w:rPr>
        <w:t xml:space="preserve"> </w:t>
      </w:r>
      <w:r>
        <w:rPr>
          <w:rFonts w:ascii="SimSun" w:hAnsi="SimSun" w:eastAsia="SimSun" w:cs="SimSun"/>
          <w:sz w:val="21"/>
          <w:szCs w:val="21"/>
          <w:spacing w:val="-5"/>
        </w:rPr>
        <w:t>指导方法，并在组织范围内得到确定，在后续数据治理案例制订时作为标准的方法。</w:t>
      </w:r>
    </w:p>
    <w:p>
      <w:pPr>
        <w:spacing w:line="117" w:lineRule="exact"/>
        <w:rPr/>
      </w:pPr>
      <w:r/>
    </w:p>
    <w:tbl>
      <w:tblPr>
        <w:tblStyle w:val="TableNormal"/>
        <w:tblW w:w="7590"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40"/>
      </w:tblGrid>
      <w:tr>
        <w:trPr>
          <w:trHeight w:val="310" w:hRule="atLeast"/>
        </w:trPr>
        <w:tc>
          <w:tcPr>
            <w:tcW w:w="704" w:type="dxa"/>
            <w:vAlign w:val="top"/>
          </w:tcPr>
          <w:p>
            <w:pPr>
              <w:pStyle w:val="TableText"/>
              <w:ind w:left="195"/>
              <w:spacing w:before="81" w:line="221" w:lineRule="auto"/>
              <w:rPr/>
            </w:pPr>
            <w:r>
              <w:rPr>
                <w:spacing w:val="-2"/>
              </w:rPr>
              <w:t>序号</w:t>
            </w:r>
          </w:p>
        </w:tc>
        <w:tc>
          <w:tcPr>
            <w:tcW w:w="3146" w:type="dxa"/>
            <w:vAlign w:val="top"/>
          </w:tcPr>
          <w:p>
            <w:pPr>
              <w:pStyle w:val="TableText"/>
              <w:ind w:left="117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85"/>
              <w:spacing w:before="81" w:line="220" w:lineRule="auto"/>
              <w:rPr/>
            </w:pPr>
            <w:r>
              <w:rPr>
                <w:spacing w:val="-5"/>
              </w:rPr>
              <w:t>实</w:t>
            </w:r>
            <w:r>
              <w:rPr>
                <w:spacing w:val="6"/>
              </w:rPr>
              <w:t xml:space="preserve">    </w:t>
            </w:r>
            <w:r>
              <w:rPr>
                <w:spacing w:val="-5"/>
              </w:rPr>
              <w:t>例</w:t>
            </w:r>
          </w:p>
        </w:tc>
      </w:tr>
      <w:tr>
        <w:trPr>
          <w:trHeight w:val="309" w:hRule="atLeast"/>
        </w:trPr>
        <w:tc>
          <w:tcPr>
            <w:tcW w:w="704" w:type="dxa"/>
            <w:vAlign w:val="top"/>
          </w:tcPr>
          <w:p>
            <w:pPr>
              <w:pStyle w:val="TableText"/>
              <w:ind w:left="224"/>
              <w:spacing w:before="119" w:line="183" w:lineRule="auto"/>
              <w:rPr/>
            </w:pPr>
            <w:r>
              <w:rPr>
                <w:spacing w:val="-2"/>
              </w:rPr>
              <w:t>3.2</w:t>
            </w:r>
          </w:p>
        </w:tc>
        <w:tc>
          <w:tcPr>
            <w:tcW w:w="3146" w:type="dxa"/>
            <w:vAlign w:val="top"/>
          </w:tcPr>
          <w:p>
            <w:pPr>
              <w:pStyle w:val="TableText"/>
              <w:ind w:left="271"/>
              <w:spacing w:before="81" w:line="219" w:lineRule="auto"/>
              <w:rPr/>
            </w:pPr>
            <w:r>
              <w:rPr>
                <w:spacing w:val="-1"/>
              </w:rPr>
              <w:t>数据治理业务案例得到批准并执行</w:t>
            </w:r>
          </w:p>
        </w:tc>
        <w:tc>
          <w:tcPr>
            <w:tcW w:w="3740" w:type="dxa"/>
            <w:vAlign w:val="top"/>
          </w:tcPr>
          <w:p>
            <w:pPr>
              <w:pStyle w:val="TableText"/>
              <w:ind w:left="275"/>
              <w:spacing w:before="81" w:line="219" w:lineRule="auto"/>
              <w:rPr/>
            </w:pPr>
            <w:r>
              <w:rPr/>
              <w:t>●业务案例批准或拒绝的文档或记录</w:t>
            </w:r>
          </w:p>
        </w:tc>
      </w:tr>
    </w:tbl>
    <w:p>
      <w:pPr>
        <w:ind w:left="57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59" w:right="35" w:firstLine="419"/>
        <w:spacing w:before="90" w:line="249" w:lineRule="auto"/>
        <w:rPr>
          <w:rFonts w:ascii="SimSun" w:hAnsi="SimSun" w:eastAsia="SimSun" w:cs="SimSun"/>
          <w:sz w:val="21"/>
          <w:szCs w:val="21"/>
        </w:rPr>
      </w:pPr>
      <w:r>
        <w:rPr>
          <w:rFonts w:ascii="SimSun" w:hAnsi="SimSun" w:eastAsia="SimSun" w:cs="SimSun"/>
          <w:sz w:val="21"/>
          <w:szCs w:val="21"/>
          <w:spacing w:val="2"/>
        </w:rPr>
        <w:t>数据治理业务案例为组织提供了一个数据治理项目决策的工具，决策的依据多</w:t>
      </w:r>
      <w:r>
        <w:rPr>
          <w:rFonts w:ascii="SimSun" w:hAnsi="SimSun" w:eastAsia="SimSun" w:cs="SimSun"/>
          <w:sz w:val="21"/>
          <w:szCs w:val="21"/>
        </w:rPr>
        <w:t xml:space="preserve"> </w:t>
      </w:r>
      <w:r>
        <w:rPr>
          <w:rFonts w:ascii="SimSun" w:hAnsi="SimSun" w:eastAsia="SimSun" w:cs="SimSun"/>
          <w:sz w:val="21"/>
          <w:szCs w:val="21"/>
          <w:spacing w:val="2"/>
        </w:rPr>
        <w:t>以数据治理项目未来的经济收益和对组织的整体收益为</w:t>
      </w:r>
      <w:r>
        <w:rPr>
          <w:rFonts w:ascii="SimSun" w:hAnsi="SimSun" w:eastAsia="SimSun" w:cs="SimSun"/>
          <w:sz w:val="21"/>
          <w:szCs w:val="21"/>
          <w:spacing w:val="1"/>
        </w:rPr>
        <w:t>主，并确定治理项目的优先</w:t>
      </w:r>
      <w:r>
        <w:rPr>
          <w:rFonts w:ascii="SimSun" w:hAnsi="SimSun" w:eastAsia="SimSun" w:cs="SimSun"/>
          <w:sz w:val="21"/>
          <w:szCs w:val="21"/>
        </w:rPr>
        <w:t xml:space="preserve"> </w:t>
      </w:r>
      <w:r>
        <w:rPr>
          <w:rFonts w:ascii="SimSun" w:hAnsi="SimSun" w:eastAsia="SimSun" w:cs="SimSun"/>
          <w:sz w:val="21"/>
          <w:szCs w:val="21"/>
          <w:spacing w:val="2"/>
        </w:rPr>
        <w:t>级，保证数据治理项目的持续性。因此为保障数据治理的顺利实施，</w:t>
      </w:r>
      <w:r>
        <w:rPr>
          <w:rFonts w:ascii="SimSun" w:hAnsi="SimSun" w:eastAsia="SimSun" w:cs="SimSun"/>
          <w:sz w:val="21"/>
          <w:szCs w:val="21"/>
          <w:spacing w:val="1"/>
        </w:rPr>
        <w:t>决策者应参与</w:t>
      </w:r>
    </w:p>
    <w:p>
      <w:pPr>
        <w:spacing w:line="249" w:lineRule="auto"/>
        <w:sectPr>
          <w:footerReference w:type="default" r:id="rId167"/>
          <w:pgSz w:w="8870" w:h="13400"/>
          <w:pgMar w:top="400" w:right="554" w:bottom="427" w:left="390" w:header="0" w:footer="219" w:gutter="0"/>
        </w:sectPr>
        <w:rPr>
          <w:rFonts w:ascii="SimSun" w:hAnsi="SimSun" w:eastAsia="SimSun" w:cs="SimSun"/>
          <w:sz w:val="21"/>
          <w:szCs w:val="21"/>
        </w:rPr>
      </w:pPr>
    </w:p>
    <w:p>
      <w:pPr>
        <w:ind w:left="5473"/>
        <w:spacing w:before="174" w:line="219" w:lineRule="auto"/>
        <w:rPr>
          <w:rFonts w:ascii="SimSun" w:hAnsi="SimSun" w:eastAsia="SimSun" w:cs="SimSun"/>
          <w:sz w:val="21"/>
          <w:szCs w:val="21"/>
        </w:rPr>
      </w:pPr>
      <w:bookmarkStart w:name="bookmark39" w:id="34"/>
      <w:bookmarkEnd w:id="34"/>
      <w:r>
        <w:rPr>
          <w:rFonts w:ascii="SimSun" w:hAnsi="SimSun" w:eastAsia="SimSun" w:cs="SimSun"/>
          <w:sz w:val="21"/>
          <w:szCs w:val="21"/>
          <w:b/>
          <w:bCs/>
          <w:spacing w:val="16"/>
        </w:rPr>
        <w:t>第4章■云端数据战略</w:t>
      </w:r>
    </w:p>
    <w:p>
      <w:pPr>
        <w:pStyle w:val="BodyText"/>
        <w:spacing w:line="245" w:lineRule="auto"/>
        <w:rPr/>
      </w:pPr>
      <w:r/>
    </w:p>
    <w:p>
      <w:pPr>
        <w:spacing w:before="68" w:line="219" w:lineRule="auto"/>
        <w:rPr>
          <w:rFonts w:ascii="SimSun" w:hAnsi="SimSun" w:eastAsia="SimSun" w:cs="SimSun"/>
          <w:sz w:val="21"/>
          <w:szCs w:val="21"/>
        </w:rPr>
      </w:pPr>
      <w:r>
        <w:rPr>
          <w:rFonts w:ascii="SimSun" w:hAnsi="SimSun" w:eastAsia="SimSun" w:cs="SimSun"/>
          <w:sz w:val="21"/>
          <w:szCs w:val="21"/>
        </w:rPr>
        <w:t>到业务案例的开发当中，并审核后批准该业</w:t>
      </w:r>
      <w:r>
        <w:rPr>
          <w:rFonts w:ascii="SimSun" w:hAnsi="SimSun" w:eastAsia="SimSun" w:cs="SimSun"/>
          <w:sz w:val="21"/>
          <w:szCs w:val="21"/>
          <w:spacing w:val="-1"/>
        </w:rPr>
        <w:t>务案例，以在组织内得到贯彻执行。</w:t>
      </w:r>
    </w:p>
    <w:p>
      <w:pPr>
        <w:spacing w:line="117" w:lineRule="exact"/>
        <w:rPr/>
      </w:pPr>
      <w:r/>
    </w:p>
    <w:tbl>
      <w:tblPr>
        <w:tblStyle w:val="TableNormal"/>
        <w:tblW w:w="759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40"/>
      </w:tblGrid>
      <w:tr>
        <w:trPr>
          <w:trHeight w:val="329" w:hRule="atLeast"/>
        </w:trPr>
        <w:tc>
          <w:tcPr>
            <w:tcW w:w="704" w:type="dxa"/>
            <w:vAlign w:val="top"/>
          </w:tcPr>
          <w:p>
            <w:pPr>
              <w:pStyle w:val="TableText"/>
              <w:ind w:left="184"/>
              <w:spacing w:before="92" w:line="221" w:lineRule="auto"/>
              <w:rPr>
                <w:sz w:val="16"/>
                <w:szCs w:val="16"/>
              </w:rPr>
            </w:pPr>
            <w:r>
              <w:rPr>
                <w:sz w:val="16"/>
                <w:szCs w:val="16"/>
                <w:spacing w:val="-2"/>
              </w:rPr>
              <w:t>序号</w:t>
            </w:r>
          </w:p>
        </w:tc>
        <w:tc>
          <w:tcPr>
            <w:tcW w:w="3146" w:type="dxa"/>
            <w:vAlign w:val="top"/>
          </w:tcPr>
          <w:p>
            <w:pPr>
              <w:pStyle w:val="TableText"/>
              <w:ind w:left="1141"/>
              <w:spacing w:before="91" w:line="219" w:lineRule="auto"/>
              <w:rPr>
                <w:sz w:val="16"/>
                <w:szCs w:val="16"/>
              </w:rPr>
            </w:pPr>
            <w:r>
              <w:rPr>
                <w:sz w:val="16"/>
                <w:szCs w:val="16"/>
                <w:spacing w:val="-4"/>
              </w:rPr>
              <w:t>等 级 要 求</w:t>
            </w:r>
          </w:p>
        </w:tc>
        <w:tc>
          <w:tcPr>
            <w:tcW w:w="3740" w:type="dxa"/>
            <w:vAlign w:val="top"/>
          </w:tcPr>
          <w:p>
            <w:pPr>
              <w:pStyle w:val="TableText"/>
              <w:ind w:left="1565"/>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20" w:hRule="atLeast"/>
        </w:trPr>
        <w:tc>
          <w:tcPr>
            <w:tcW w:w="704" w:type="dxa"/>
            <w:vAlign w:val="top"/>
          </w:tcPr>
          <w:p>
            <w:pPr>
              <w:pStyle w:val="TableText"/>
              <w:ind w:left="224"/>
              <w:spacing w:before="123" w:line="183" w:lineRule="auto"/>
              <w:rPr>
                <w:sz w:val="16"/>
                <w:szCs w:val="16"/>
              </w:rPr>
            </w:pPr>
            <w:r>
              <w:rPr>
                <w:sz w:val="16"/>
                <w:szCs w:val="16"/>
                <w:spacing w:val="-3"/>
              </w:rPr>
              <w:t>3.3</w:t>
            </w:r>
          </w:p>
        </w:tc>
        <w:tc>
          <w:tcPr>
            <w:tcW w:w="3146" w:type="dxa"/>
            <w:vAlign w:val="top"/>
          </w:tcPr>
          <w:p>
            <w:pPr>
              <w:pStyle w:val="TableText"/>
              <w:ind w:left="201"/>
              <w:spacing w:before="81" w:line="219" w:lineRule="auto"/>
              <w:rPr>
                <w:sz w:val="16"/>
                <w:szCs w:val="16"/>
              </w:rPr>
            </w:pPr>
            <w:r>
              <w:rPr>
                <w:sz w:val="16"/>
                <w:szCs w:val="16"/>
                <w:spacing w:val="-1"/>
              </w:rPr>
              <w:t>业务案例的制订考虑到资源保障的能力</w:t>
            </w:r>
          </w:p>
        </w:tc>
        <w:tc>
          <w:tcPr>
            <w:tcW w:w="3740" w:type="dxa"/>
            <w:vAlign w:val="top"/>
          </w:tcPr>
          <w:p>
            <w:pPr>
              <w:pStyle w:val="TableText"/>
              <w:ind w:left="255"/>
              <w:spacing w:before="82" w:line="219" w:lineRule="auto"/>
              <w:rPr>
                <w:sz w:val="16"/>
                <w:szCs w:val="16"/>
              </w:rPr>
            </w:pPr>
            <w:r>
              <w:rPr>
                <w:sz w:val="16"/>
                <w:szCs w:val="16"/>
                <w:spacing w:val="2"/>
              </w:rPr>
              <w:t>●业务案例</w:t>
            </w:r>
          </w:p>
        </w:tc>
      </w:tr>
    </w:tbl>
    <w:p>
      <w:pPr>
        <w:ind w:left="295"/>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48" w:firstLine="440"/>
        <w:spacing w:before="70" w:line="249" w:lineRule="auto"/>
        <w:rPr>
          <w:rFonts w:ascii="SimSun" w:hAnsi="SimSun" w:eastAsia="SimSun" w:cs="SimSun"/>
          <w:sz w:val="21"/>
          <w:szCs w:val="21"/>
        </w:rPr>
      </w:pPr>
      <w:r>
        <w:rPr>
          <w:rFonts w:ascii="SimSun" w:hAnsi="SimSun" w:eastAsia="SimSun" w:cs="SimSun"/>
          <w:sz w:val="21"/>
          <w:szCs w:val="21"/>
          <w:spacing w:val="2"/>
        </w:rPr>
        <w:t>资源保障是数据治理活动的基本要素，组织必须提供</w:t>
      </w:r>
      <w:r>
        <w:rPr>
          <w:rFonts w:ascii="SimSun" w:hAnsi="SimSun" w:eastAsia="SimSun" w:cs="SimSun"/>
          <w:sz w:val="21"/>
          <w:szCs w:val="21"/>
          <w:spacing w:val="1"/>
        </w:rPr>
        <w:t>一定的资源来支持数据治</w:t>
      </w:r>
      <w:r>
        <w:rPr>
          <w:rFonts w:ascii="SimSun" w:hAnsi="SimSun" w:eastAsia="SimSun" w:cs="SimSun"/>
          <w:sz w:val="21"/>
          <w:szCs w:val="21"/>
        </w:rPr>
        <w:t xml:space="preserve"> </w:t>
      </w:r>
      <w:r>
        <w:rPr>
          <w:rFonts w:ascii="SimSun" w:hAnsi="SimSun" w:eastAsia="SimSun" w:cs="SimSun"/>
          <w:sz w:val="21"/>
          <w:szCs w:val="21"/>
        </w:rPr>
        <w:t>理的实施。业务案例则需要考虑如何将这些资源分配到各个数据治理的子活动中，</w:t>
      </w:r>
      <w:r>
        <w:rPr>
          <w:rFonts w:ascii="SimSun" w:hAnsi="SimSun" w:eastAsia="SimSun" w:cs="SimSun"/>
          <w:sz w:val="21"/>
          <w:szCs w:val="21"/>
          <w:spacing w:val="14"/>
        </w:rPr>
        <w:t xml:space="preserve"> </w:t>
      </w:r>
      <w:r>
        <w:rPr>
          <w:rFonts w:ascii="SimSun" w:hAnsi="SimSun" w:eastAsia="SimSun" w:cs="SimSun"/>
          <w:sz w:val="21"/>
          <w:szCs w:val="21"/>
          <w:spacing w:val="-2"/>
        </w:rPr>
        <w:t>协调各子活动的资源占用，在有限的资源内，发挥最大效益。</w:t>
      </w:r>
    </w:p>
    <w:p>
      <w:pPr>
        <w:spacing w:line="137" w:lineRule="exact"/>
        <w:rPr/>
      </w:pPr>
      <w:r/>
    </w:p>
    <w:tbl>
      <w:tblPr>
        <w:tblStyle w:val="TableNormal"/>
        <w:tblW w:w="759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95"/>
              <w:spacing w:before="82" w:line="221" w:lineRule="auto"/>
              <w:rPr/>
            </w:pPr>
            <w:r>
              <w:rPr>
                <w:spacing w:val="-2"/>
              </w:rPr>
              <w:t>序号</w:t>
            </w:r>
          </w:p>
        </w:tc>
        <w:tc>
          <w:tcPr>
            <w:tcW w:w="3145"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58" w:hRule="atLeast"/>
        </w:trPr>
        <w:tc>
          <w:tcPr>
            <w:tcW w:w="704" w:type="dxa"/>
            <w:vAlign w:val="top"/>
          </w:tcPr>
          <w:p>
            <w:pPr>
              <w:spacing w:line="346" w:lineRule="auto"/>
              <w:rPr>
                <w:rFonts w:ascii="Arial"/>
                <w:sz w:val="21"/>
              </w:rPr>
            </w:pPr>
            <w:r/>
          </w:p>
          <w:p>
            <w:pPr>
              <w:pStyle w:val="TableText"/>
              <w:ind w:left="225"/>
              <w:spacing w:before="49" w:line="183" w:lineRule="auto"/>
              <w:rPr/>
            </w:pPr>
            <w:r>
              <w:rPr>
                <w:spacing w:val="-2"/>
              </w:rPr>
              <w:t>3.4</w:t>
            </w:r>
          </w:p>
        </w:tc>
        <w:tc>
          <w:tcPr>
            <w:tcW w:w="3145" w:type="dxa"/>
            <w:vAlign w:val="top"/>
          </w:tcPr>
          <w:p>
            <w:pPr>
              <w:pStyle w:val="TableText"/>
              <w:ind w:left="110" w:right="150" w:firstLine="100"/>
              <w:spacing w:before="87" w:line="307" w:lineRule="auto"/>
              <w:rPr/>
            </w:pPr>
            <w:r>
              <w:rPr>
                <w:spacing w:val="-1"/>
              </w:rPr>
              <w:t>业务案例反映了对数据治理方案的总体拥</w:t>
            </w:r>
            <w:r>
              <w:rPr>
                <w:spacing w:val="5"/>
              </w:rPr>
              <w:t xml:space="preserve">  </w:t>
            </w:r>
            <w:r>
              <w:rPr>
                <w:spacing w:val="1"/>
              </w:rPr>
              <w:t>有成本的分析，并根据组织的财务会计方法</w:t>
            </w:r>
            <w:r>
              <w:rPr>
                <w:spacing w:val="3"/>
              </w:rPr>
              <w:t xml:space="preserve"> </w:t>
            </w:r>
            <w:r>
              <w:rPr/>
              <w:t>向组织、方案和项目分配成本要素</w:t>
            </w:r>
          </w:p>
        </w:tc>
        <w:tc>
          <w:tcPr>
            <w:tcW w:w="3750" w:type="dxa"/>
            <w:vAlign w:val="top"/>
          </w:tcPr>
          <w:p>
            <w:pPr>
              <w:pStyle w:val="TableText"/>
              <w:ind w:left="245"/>
              <w:spacing w:before="229" w:line="219" w:lineRule="auto"/>
              <w:rPr/>
            </w:pPr>
            <w:r>
              <w:rPr>
                <w:spacing w:val="2"/>
              </w:rPr>
              <w:t>●业务案例</w:t>
            </w:r>
          </w:p>
          <w:p>
            <w:pPr>
              <w:pStyle w:val="TableText"/>
              <w:ind w:left="245"/>
              <w:spacing w:before="91" w:line="219" w:lineRule="auto"/>
              <w:rPr/>
            </w:pPr>
            <w:r>
              <w:rPr/>
              <w:t>●总体拥有成本分析文件与结果</w:t>
            </w:r>
          </w:p>
        </w:tc>
      </w:tr>
    </w:tbl>
    <w:p>
      <w:pPr>
        <w:ind w:left="30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56" w:firstLine="440"/>
        <w:spacing w:before="51" w:line="259" w:lineRule="auto"/>
        <w:rPr>
          <w:rFonts w:ascii="SimSun" w:hAnsi="SimSun" w:eastAsia="SimSun" w:cs="SimSun"/>
          <w:sz w:val="21"/>
          <w:szCs w:val="21"/>
        </w:rPr>
      </w:pPr>
      <w:r>
        <w:rPr>
          <w:rFonts w:ascii="SimSun" w:hAnsi="SimSun" w:eastAsia="SimSun" w:cs="SimSun"/>
          <w:sz w:val="21"/>
          <w:szCs w:val="21"/>
          <w:spacing w:val="1"/>
        </w:rPr>
        <w:t>总体拥有成本是一项帮助组织来考核、管理和削减在一定时间范围内与组织获</w:t>
      </w:r>
      <w:r>
        <w:rPr>
          <w:rFonts w:ascii="SimSun" w:hAnsi="SimSun" w:eastAsia="SimSun" w:cs="SimSun"/>
          <w:sz w:val="21"/>
          <w:szCs w:val="21"/>
          <w:spacing w:val="13"/>
        </w:rPr>
        <w:t xml:space="preserve"> </w:t>
      </w:r>
      <w:r>
        <w:rPr>
          <w:rFonts w:ascii="SimSun" w:hAnsi="SimSun" w:eastAsia="SimSun" w:cs="SimSun"/>
          <w:sz w:val="21"/>
          <w:szCs w:val="21"/>
          <w:spacing w:val="2"/>
        </w:rPr>
        <w:t>得某项资产相关联的所有成本的技术。业务案例与资源保障密不可分，制订</w:t>
      </w:r>
      <w:r>
        <w:rPr>
          <w:rFonts w:ascii="SimSun" w:hAnsi="SimSun" w:eastAsia="SimSun" w:cs="SimSun"/>
          <w:sz w:val="21"/>
          <w:szCs w:val="21"/>
          <w:spacing w:val="1"/>
        </w:rPr>
        <w:t>的业务</w:t>
      </w:r>
      <w:r>
        <w:rPr>
          <w:rFonts w:ascii="SimSun" w:hAnsi="SimSun" w:eastAsia="SimSun" w:cs="SimSun"/>
          <w:sz w:val="21"/>
          <w:szCs w:val="21"/>
        </w:rPr>
        <w:t xml:space="preserve"> </w:t>
      </w:r>
      <w:r>
        <w:rPr>
          <w:rFonts w:ascii="SimSun" w:hAnsi="SimSun" w:eastAsia="SimSun" w:cs="SimSun"/>
          <w:sz w:val="21"/>
          <w:szCs w:val="21"/>
          <w:spacing w:val="2"/>
        </w:rPr>
        <w:t>案例必须对数据治理的各种经济成本加以考量，考量的方法应当与组织的</w:t>
      </w:r>
      <w:r>
        <w:rPr>
          <w:rFonts w:ascii="SimSun" w:hAnsi="SimSun" w:eastAsia="SimSun" w:cs="SimSun"/>
          <w:sz w:val="21"/>
          <w:szCs w:val="21"/>
          <w:spacing w:val="1"/>
        </w:rPr>
        <w:t>财务会计</w:t>
      </w:r>
      <w:r>
        <w:rPr>
          <w:rFonts w:ascii="SimSun" w:hAnsi="SimSun" w:eastAsia="SimSun" w:cs="SimSun"/>
          <w:sz w:val="21"/>
          <w:szCs w:val="21"/>
        </w:rPr>
        <w:t xml:space="preserve"> </w:t>
      </w:r>
      <w:r>
        <w:rPr>
          <w:rFonts w:ascii="SimSun" w:hAnsi="SimSun" w:eastAsia="SimSun" w:cs="SimSun"/>
          <w:sz w:val="21"/>
          <w:szCs w:val="21"/>
          <w:spacing w:val="-3"/>
        </w:rPr>
        <w:t>方法保持大体一致。</w:t>
      </w:r>
    </w:p>
    <w:p>
      <w:pPr>
        <w:spacing w:line="137" w:lineRule="exact"/>
        <w:rPr/>
      </w:pPr>
      <w:r/>
    </w:p>
    <w:tbl>
      <w:tblPr>
        <w:tblStyle w:val="TableNormal"/>
        <w:tblW w:w="759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8" w:hRule="atLeast"/>
        </w:trPr>
        <w:tc>
          <w:tcPr>
            <w:tcW w:w="704" w:type="dxa"/>
            <w:vAlign w:val="top"/>
          </w:tcPr>
          <w:p>
            <w:pPr>
              <w:pStyle w:val="TableText"/>
              <w:ind w:left="225"/>
              <w:spacing w:before="251" w:line="183" w:lineRule="auto"/>
              <w:rPr>
                <w:sz w:val="16"/>
                <w:szCs w:val="16"/>
              </w:rPr>
            </w:pPr>
            <w:r>
              <w:rPr>
                <w:sz w:val="16"/>
                <w:szCs w:val="16"/>
                <w:spacing w:val="-3"/>
              </w:rPr>
              <w:t>3.5</w:t>
            </w:r>
          </w:p>
        </w:tc>
        <w:tc>
          <w:tcPr>
            <w:tcW w:w="3145" w:type="dxa"/>
            <w:vAlign w:val="top"/>
          </w:tcPr>
          <w:p>
            <w:pPr>
              <w:pStyle w:val="TableText"/>
              <w:ind w:left="110" w:firstLine="159"/>
              <w:spacing w:before="80" w:line="276" w:lineRule="auto"/>
              <w:rPr>
                <w:sz w:val="16"/>
                <w:szCs w:val="16"/>
              </w:rPr>
            </w:pPr>
            <w:r>
              <w:rPr>
                <w:sz w:val="16"/>
                <w:szCs w:val="16"/>
                <w:spacing w:val="-1"/>
              </w:rPr>
              <w:t>在整个数据治理生命周期，对包含了数据</w:t>
            </w:r>
            <w:r>
              <w:rPr>
                <w:sz w:val="16"/>
                <w:szCs w:val="16"/>
                <w:spacing w:val="1"/>
              </w:rPr>
              <w:t xml:space="preserve"> </w:t>
            </w:r>
            <w:r>
              <w:rPr>
                <w:sz w:val="16"/>
                <w:szCs w:val="16"/>
                <w:spacing w:val="-2"/>
              </w:rPr>
              <w:t>治理TCO的成本要素进行管理和追踪</w:t>
            </w:r>
          </w:p>
        </w:tc>
        <w:tc>
          <w:tcPr>
            <w:tcW w:w="3750" w:type="dxa"/>
            <w:vAlign w:val="top"/>
          </w:tcPr>
          <w:p>
            <w:pPr>
              <w:pStyle w:val="TableText"/>
              <w:ind w:left="265"/>
              <w:spacing w:before="80" w:line="219" w:lineRule="auto"/>
              <w:rPr>
                <w:sz w:val="16"/>
                <w:szCs w:val="16"/>
              </w:rPr>
            </w:pPr>
            <w:r>
              <w:rPr>
                <w:sz w:val="16"/>
                <w:szCs w:val="16"/>
                <w:spacing w:val="2"/>
              </w:rPr>
              <w:t>●业务案例</w:t>
            </w:r>
          </w:p>
          <w:p>
            <w:pPr>
              <w:pStyle w:val="TableText"/>
              <w:ind w:left="265"/>
              <w:spacing w:before="119" w:line="205" w:lineRule="auto"/>
              <w:rPr>
                <w:sz w:val="16"/>
                <w:szCs w:val="16"/>
              </w:rPr>
            </w:pPr>
            <w:r>
              <w:rPr>
                <w:sz w:val="16"/>
                <w:szCs w:val="16"/>
              </w:rPr>
              <w:t>●总体拥有成本分析文件与结果</w:t>
            </w:r>
          </w:p>
        </w:tc>
      </w:tr>
    </w:tbl>
    <w:p>
      <w:pPr>
        <w:ind w:left="33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20" w:firstLine="440"/>
        <w:spacing w:before="50" w:line="262" w:lineRule="auto"/>
        <w:rPr>
          <w:rFonts w:ascii="SimSun" w:hAnsi="SimSun" w:eastAsia="SimSun" w:cs="SimSun"/>
          <w:sz w:val="21"/>
          <w:szCs w:val="21"/>
        </w:rPr>
      </w:pPr>
      <w:r>
        <w:rPr>
          <w:rFonts w:ascii="SimSun" w:hAnsi="SimSun" w:eastAsia="SimSun" w:cs="SimSun"/>
          <w:sz w:val="21"/>
          <w:szCs w:val="21"/>
          <w:spacing w:val="2"/>
        </w:rPr>
        <w:t>数据治理生命周期包括数据治理项目规划、启动、实施和优化等多个环节，后</w:t>
      </w:r>
      <w:r>
        <w:rPr>
          <w:rFonts w:ascii="SimSun" w:hAnsi="SimSun" w:eastAsia="SimSun" w:cs="SimSun"/>
          <w:sz w:val="21"/>
          <w:szCs w:val="21"/>
          <w:spacing w:val="16"/>
        </w:rPr>
        <w:t xml:space="preserve"> </w:t>
      </w:r>
      <w:r>
        <w:rPr>
          <w:rFonts w:ascii="SimSun" w:hAnsi="SimSun" w:eastAsia="SimSun" w:cs="SimSun"/>
          <w:sz w:val="21"/>
          <w:szCs w:val="21"/>
          <w:spacing w:val="1"/>
        </w:rPr>
        <w:t>一环节是前一环节的顺承，后者受前者较大</w:t>
      </w:r>
      <w:r>
        <w:rPr>
          <w:rFonts w:ascii="SimSun" w:hAnsi="SimSun" w:eastAsia="SimSun" w:cs="SimSun"/>
          <w:sz w:val="21"/>
          <w:szCs w:val="21"/>
        </w:rPr>
        <w:t>影响，且每个环节的工作重点不一样， </w:t>
      </w:r>
      <w:r>
        <w:rPr>
          <w:rFonts w:ascii="SimSun" w:hAnsi="SimSun" w:eastAsia="SimSun" w:cs="SimSun"/>
          <w:sz w:val="21"/>
          <w:szCs w:val="21"/>
          <w:spacing w:val="2"/>
        </w:rPr>
        <w:t>对成本需求也不一样，因此在整个数据治理生命周期，要不断地对成本进行跟踪和</w:t>
      </w:r>
      <w:r>
        <w:rPr>
          <w:rFonts w:ascii="SimSun" w:hAnsi="SimSun" w:eastAsia="SimSun" w:cs="SimSun"/>
          <w:sz w:val="21"/>
          <w:szCs w:val="21"/>
          <w:spacing w:val="4"/>
        </w:rPr>
        <w:t xml:space="preserve"> </w:t>
      </w:r>
      <w:r>
        <w:rPr>
          <w:rFonts w:ascii="SimSun" w:hAnsi="SimSun" w:eastAsia="SimSun" w:cs="SimSun"/>
          <w:sz w:val="21"/>
          <w:szCs w:val="21"/>
          <w:spacing w:val="2"/>
        </w:rPr>
        <w:t>管理。收集成本的数据可能来自整个组织，收集的方法可以利用标准</w:t>
      </w:r>
      <w:r>
        <w:rPr>
          <w:rFonts w:ascii="SimSun" w:hAnsi="SimSun" w:eastAsia="SimSun" w:cs="SimSun"/>
          <w:sz w:val="21"/>
          <w:szCs w:val="21"/>
          <w:spacing w:val="1"/>
        </w:rPr>
        <w:t>的财务数据收</w:t>
      </w:r>
      <w:r>
        <w:rPr>
          <w:rFonts w:ascii="SimSun" w:hAnsi="SimSun" w:eastAsia="SimSun" w:cs="SimSun"/>
          <w:sz w:val="21"/>
          <w:szCs w:val="21"/>
        </w:rPr>
        <w:t xml:space="preserve"> </w:t>
      </w:r>
      <w:r>
        <w:rPr>
          <w:rFonts w:ascii="SimSun" w:hAnsi="SimSun" w:eastAsia="SimSun" w:cs="SimSun"/>
          <w:sz w:val="21"/>
          <w:szCs w:val="21"/>
          <w:spacing w:val="-8"/>
        </w:rPr>
        <w:t>集方法。</w:t>
      </w:r>
    </w:p>
    <w:p>
      <w:pPr>
        <w:spacing w:line="137" w:lineRule="exact"/>
        <w:rPr/>
      </w:pPr>
      <w:r/>
    </w:p>
    <w:tbl>
      <w:tblPr>
        <w:tblStyle w:val="TableNormal"/>
        <w:tblW w:w="759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23"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55"/>
              <w:spacing w:before="82" w:line="220" w:lineRule="auto"/>
              <w:rPr>
                <w:sz w:val="16"/>
                <w:szCs w:val="16"/>
              </w:rPr>
            </w:pPr>
            <w:r>
              <w:rPr>
                <w:sz w:val="16"/>
                <w:szCs w:val="16"/>
                <w:spacing w:val="-6"/>
              </w:rPr>
              <w:t>实</w:t>
            </w:r>
            <w:r>
              <w:rPr>
                <w:sz w:val="16"/>
                <w:szCs w:val="16"/>
                <w:spacing w:val="15"/>
              </w:rPr>
              <w:t xml:space="preserve">  </w:t>
            </w:r>
            <w:r>
              <w:rPr>
                <w:sz w:val="16"/>
                <w:szCs w:val="16"/>
                <w:spacing w:val="-6"/>
              </w:rPr>
              <w:t>例</w:t>
            </w:r>
          </w:p>
        </w:tc>
      </w:tr>
      <w:tr>
        <w:trPr>
          <w:trHeight w:val="1956" w:hRule="atLeast"/>
        </w:trPr>
        <w:tc>
          <w:tcPr>
            <w:tcW w:w="714" w:type="dxa"/>
            <w:vAlign w:val="top"/>
          </w:tcPr>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TableText"/>
              <w:ind w:left="224"/>
              <w:spacing w:before="52" w:line="183" w:lineRule="auto"/>
              <w:rPr>
                <w:sz w:val="16"/>
                <w:szCs w:val="16"/>
              </w:rPr>
            </w:pPr>
            <w:r>
              <w:rPr>
                <w:sz w:val="16"/>
                <w:szCs w:val="16"/>
                <w:spacing w:val="-3"/>
              </w:rPr>
              <w:t>3.6</w:t>
            </w:r>
          </w:p>
        </w:tc>
        <w:tc>
          <w:tcPr>
            <w:tcW w:w="3135" w:type="dxa"/>
            <w:vAlign w:val="top"/>
          </w:tcPr>
          <w:p>
            <w:pPr>
              <w:spacing w:line="356" w:lineRule="auto"/>
              <w:rPr>
                <w:rFonts w:ascii="Arial"/>
                <w:sz w:val="21"/>
              </w:rPr>
            </w:pPr>
            <w:r/>
          </w:p>
          <w:p>
            <w:pPr>
              <w:spacing w:line="356" w:lineRule="auto"/>
              <w:rPr>
                <w:rFonts w:ascii="Arial"/>
                <w:sz w:val="21"/>
              </w:rPr>
            </w:pPr>
            <w:r/>
          </w:p>
          <w:p>
            <w:pPr>
              <w:pStyle w:val="TableText"/>
              <w:ind w:left="80" w:firstLine="179"/>
              <w:spacing w:before="52" w:line="266" w:lineRule="auto"/>
              <w:rPr>
                <w:sz w:val="16"/>
                <w:szCs w:val="16"/>
              </w:rPr>
            </w:pPr>
            <w:r>
              <w:rPr>
                <w:sz w:val="16"/>
                <w:szCs w:val="16"/>
                <w:spacing w:val="-1"/>
              </w:rPr>
              <w:t>成本与收益衡量成为制订数据治理优先事</w:t>
            </w:r>
            <w:r>
              <w:rPr>
                <w:sz w:val="16"/>
                <w:szCs w:val="16"/>
                <w:spacing w:val="1"/>
              </w:rPr>
              <w:t xml:space="preserve"> </w:t>
            </w:r>
            <w:r>
              <w:rPr>
                <w:sz w:val="16"/>
                <w:szCs w:val="16"/>
                <w:spacing w:val="-2"/>
              </w:rPr>
              <w:t>项的指导</w:t>
            </w:r>
          </w:p>
        </w:tc>
        <w:tc>
          <w:tcPr>
            <w:tcW w:w="3750" w:type="dxa"/>
            <w:vAlign w:val="top"/>
          </w:tcPr>
          <w:p>
            <w:pPr>
              <w:pStyle w:val="TableText"/>
              <w:ind w:left="245"/>
              <w:spacing w:before="68" w:line="219" w:lineRule="auto"/>
              <w:rPr>
                <w:sz w:val="16"/>
                <w:szCs w:val="16"/>
              </w:rPr>
            </w:pPr>
            <w:r>
              <w:rPr>
                <w:sz w:val="16"/>
                <w:szCs w:val="16"/>
              </w:rPr>
              <w:t>●数据治理业务案例的批准文件</w:t>
            </w:r>
          </w:p>
          <w:p>
            <w:pPr>
              <w:pStyle w:val="TableText"/>
              <w:ind w:left="245"/>
              <w:spacing w:before="100" w:line="219" w:lineRule="auto"/>
              <w:rPr>
                <w:sz w:val="16"/>
                <w:szCs w:val="16"/>
              </w:rPr>
            </w:pPr>
            <w:r>
              <w:rPr>
                <w:sz w:val="16"/>
                <w:szCs w:val="16"/>
              </w:rPr>
              <w:t>●数据治理TCO和方法论的文档</w:t>
            </w:r>
          </w:p>
          <w:p>
            <w:pPr>
              <w:pStyle w:val="TableText"/>
              <w:ind w:left="245"/>
              <w:spacing w:before="79" w:line="219" w:lineRule="auto"/>
              <w:rPr>
                <w:sz w:val="16"/>
                <w:szCs w:val="16"/>
              </w:rPr>
            </w:pPr>
            <w:r>
              <w:rPr>
                <w:sz w:val="16"/>
                <w:szCs w:val="16"/>
              </w:rPr>
              <w:t>●数据治理的成本—收益分析结果</w:t>
            </w:r>
          </w:p>
          <w:p>
            <w:pPr>
              <w:pStyle w:val="TableText"/>
              <w:ind w:left="245"/>
              <w:spacing w:before="81" w:line="219" w:lineRule="auto"/>
              <w:rPr>
                <w:sz w:val="16"/>
                <w:szCs w:val="16"/>
              </w:rPr>
            </w:pPr>
            <w:r>
              <w:rPr>
                <w:sz w:val="16"/>
                <w:szCs w:val="16"/>
              </w:rPr>
              <w:t>●数据治理业务案例绩效度量项</w:t>
            </w:r>
          </w:p>
          <w:p>
            <w:pPr>
              <w:pStyle w:val="TableText"/>
              <w:ind w:left="245"/>
              <w:spacing w:before="99" w:line="219" w:lineRule="auto"/>
              <w:rPr>
                <w:sz w:val="16"/>
                <w:szCs w:val="16"/>
              </w:rPr>
            </w:pPr>
            <w:r>
              <w:rPr>
                <w:sz w:val="16"/>
                <w:szCs w:val="16"/>
              </w:rPr>
              <w:t>●数据治理TCO的追踪矩阵，包括关系和依赖</w:t>
            </w:r>
          </w:p>
          <w:p>
            <w:pPr>
              <w:pStyle w:val="TableText"/>
              <w:ind w:left="245"/>
              <w:spacing w:before="90" w:line="219" w:lineRule="auto"/>
              <w:rPr>
                <w:sz w:val="16"/>
                <w:szCs w:val="16"/>
              </w:rPr>
            </w:pPr>
            <w:r>
              <w:rPr>
                <w:sz w:val="16"/>
                <w:szCs w:val="16"/>
              </w:rPr>
              <w:t>●收集关于数据治理成本信息的标准过程</w:t>
            </w:r>
          </w:p>
          <w:p>
            <w:pPr>
              <w:pStyle w:val="TableText"/>
              <w:ind w:left="245"/>
              <w:spacing w:before="100" w:line="217" w:lineRule="auto"/>
              <w:rPr>
                <w:sz w:val="16"/>
                <w:szCs w:val="16"/>
              </w:rPr>
            </w:pPr>
            <w:r>
              <w:rPr>
                <w:sz w:val="16"/>
                <w:szCs w:val="16"/>
              </w:rPr>
              <w:t>●数据治理TCO计算的成本分配方法论</w:t>
            </w:r>
          </w:p>
        </w:tc>
      </w:tr>
    </w:tbl>
    <w:p>
      <w:pPr>
        <w:pStyle w:val="BodyText"/>
        <w:rPr/>
      </w:pPr>
      <w:r/>
    </w:p>
    <w:p>
      <w:pPr>
        <w:sectPr>
          <w:footerReference w:type="default" r:id="rId169"/>
          <w:pgSz w:w="8870" w:h="13400"/>
          <w:pgMar w:top="400" w:right="503" w:bottom="575" w:left="479" w:header="0" w:footer="369" w:gutter="0"/>
        </w:sectPr>
        <w:rPr/>
      </w:pPr>
    </w:p>
    <w:p>
      <w:pPr>
        <w:ind w:left="129"/>
        <w:spacing w:before="149"/>
        <w:rPr>
          <w:rFonts w:ascii="SimSun" w:hAnsi="SimSun" w:eastAsia="SimSun" w:cs="SimSun"/>
          <w:sz w:val="25"/>
          <w:szCs w:val="25"/>
        </w:rPr>
      </w:pPr>
      <w:r>
        <w:rPr>
          <w:rFonts w:ascii="SimSun" w:hAnsi="SimSun" w:eastAsia="SimSun" w:cs="SimSun"/>
          <w:sz w:val="25"/>
          <w:szCs w:val="25"/>
          <w:position w:val="-10"/>
        </w:rPr>
        <w:drawing>
          <wp:inline distT="0" distB="0" distL="0" distR="0">
            <wp:extent cx="6365" cy="235018"/>
            <wp:effectExtent l="0" t="0" r="0" b="0"/>
            <wp:docPr id="140" name="IM 140"/>
            <wp:cNvGraphicFramePr/>
            <a:graphic>
              <a:graphicData uri="http://schemas.openxmlformats.org/drawingml/2006/picture">
                <pic:pic>
                  <pic:nvPicPr>
                    <pic:cNvPr id="140" name="IM 140"/>
                    <pic:cNvPicPr/>
                  </pic:nvPicPr>
                  <pic:blipFill>
                    <a:blip r:embed="rId171"/>
                    <a:stretch>
                      <a:fillRect/>
                    </a:stretch>
                  </pic:blipFill>
                  <pic:spPr>
                    <a:xfrm rot="0">
                      <a:off x="0" y="0"/>
                      <a:ext cx="6365" cy="235018"/>
                    </a:xfrm>
                    <a:prstGeom prst="rect">
                      <a:avLst/>
                    </a:prstGeom>
                  </pic:spPr>
                </pic:pic>
              </a:graphicData>
            </a:graphic>
          </wp:inline>
        </w:drawing>
      </w:r>
      <w:r>
        <w:rPr>
          <w:rFonts w:ascii="SimSun" w:hAnsi="SimSun" w:eastAsia="SimSun" w:cs="SimSun"/>
          <w:sz w:val="25"/>
          <w:szCs w:val="25"/>
          <w:spacing w:val="-42"/>
        </w:rPr>
        <w:t xml:space="preserve"> </w:t>
      </w:r>
      <w:r>
        <w:rPr>
          <w:rFonts w:ascii="SimSun" w:hAnsi="SimSun" w:eastAsia="SimSun" w:cs="SimSun"/>
          <w:sz w:val="25"/>
          <w:szCs w:val="25"/>
          <w:b/>
          <w:bCs/>
          <w:spacing w:val="-11"/>
        </w:rPr>
        <w:t>云端数据治理</w:t>
      </w:r>
    </w:p>
    <w:p>
      <w:pPr>
        <w:ind w:left="584"/>
        <w:spacing w:before="288" w:line="219" w:lineRule="auto"/>
        <w:rPr>
          <w:rFonts w:ascii="SimSun" w:hAnsi="SimSun" w:eastAsia="SimSun" w:cs="SimSun"/>
          <w:sz w:val="21"/>
          <w:szCs w:val="21"/>
        </w:rPr>
      </w:pPr>
      <w:r>
        <w:rPr>
          <w:rFonts w:ascii="SimSun" w:hAnsi="SimSun" w:eastAsia="SimSun" w:cs="SimSun"/>
          <w:sz w:val="21"/>
          <w:szCs w:val="21"/>
        </w:rPr>
        <w:t>【成熟度等级说明】</w:t>
      </w:r>
    </w:p>
    <w:p>
      <w:pPr>
        <w:ind w:left="289" w:right="34" w:firstLine="400"/>
        <w:spacing w:before="78" w:line="253" w:lineRule="auto"/>
        <w:rPr>
          <w:rFonts w:ascii="SimSun" w:hAnsi="SimSun" w:eastAsia="SimSun" w:cs="SimSun"/>
          <w:sz w:val="21"/>
          <w:szCs w:val="21"/>
        </w:rPr>
      </w:pPr>
      <w:r>
        <w:rPr>
          <w:rFonts w:ascii="SimSun" w:hAnsi="SimSun" w:eastAsia="SimSun" w:cs="SimSun"/>
          <w:sz w:val="21"/>
          <w:szCs w:val="21"/>
          <w:spacing w:val="-3"/>
        </w:rPr>
        <w:t>定义成本与收益衡量指标，是对数据治理活动性价比的具体评价。例如，</w:t>
      </w:r>
      <w:r>
        <w:rPr>
          <w:rFonts w:ascii="SimSun" w:hAnsi="SimSun" w:eastAsia="SimSun" w:cs="SimSun"/>
          <w:sz w:val="21"/>
          <w:szCs w:val="21"/>
          <w:spacing w:val="65"/>
        </w:rPr>
        <w:t xml:space="preserve"> </w:t>
      </w:r>
      <w:r>
        <w:rPr>
          <w:rFonts w:ascii="SimSun" w:hAnsi="SimSun" w:eastAsia="SimSun" w:cs="SimSun"/>
          <w:sz w:val="21"/>
          <w:szCs w:val="21"/>
          <w:spacing w:val="-3"/>
        </w:rPr>
        <w:t>一个</w:t>
      </w:r>
      <w:r>
        <w:rPr>
          <w:rFonts w:ascii="SimSun" w:hAnsi="SimSun" w:eastAsia="SimSun" w:cs="SimSun"/>
          <w:sz w:val="21"/>
          <w:szCs w:val="21"/>
        </w:rPr>
        <w:t xml:space="preserve"> </w:t>
      </w:r>
      <w:r>
        <w:rPr>
          <w:rFonts w:ascii="SimSun" w:hAnsi="SimSun" w:eastAsia="SimSun" w:cs="SimSun"/>
          <w:sz w:val="21"/>
          <w:szCs w:val="21"/>
          <w:spacing w:val="1"/>
        </w:rPr>
        <w:t>组织可能会有一些员工专门负责为财务报告进行数据清洗，综合度量项和成本追踪</w:t>
      </w:r>
      <w:r>
        <w:rPr>
          <w:rFonts w:ascii="SimSun" w:hAnsi="SimSun" w:eastAsia="SimSun" w:cs="SimSun"/>
          <w:sz w:val="21"/>
          <w:szCs w:val="21"/>
          <w:spacing w:val="13"/>
        </w:rPr>
        <w:t xml:space="preserve"> </w:t>
      </w:r>
      <w:r>
        <w:rPr>
          <w:rFonts w:ascii="SimSun" w:hAnsi="SimSun" w:eastAsia="SimSun" w:cs="SimSun"/>
          <w:sz w:val="21"/>
          <w:szCs w:val="21"/>
          <w:spacing w:val="1"/>
        </w:rPr>
        <w:t>会清晰地显示重复清洗的工作量和成本，并与更改源系统的成本相比较，从而在源</w:t>
      </w:r>
      <w:r>
        <w:rPr>
          <w:rFonts w:ascii="SimSun" w:hAnsi="SimSun" w:eastAsia="SimSun" w:cs="SimSun"/>
          <w:sz w:val="21"/>
          <w:szCs w:val="21"/>
          <w:spacing w:val="12"/>
        </w:rPr>
        <w:t xml:space="preserve"> </w:t>
      </w:r>
      <w:r>
        <w:rPr>
          <w:rFonts w:ascii="SimSun" w:hAnsi="SimSun" w:eastAsia="SimSun" w:cs="SimSun"/>
          <w:sz w:val="21"/>
          <w:szCs w:val="21"/>
          <w:spacing w:val="-5"/>
        </w:rPr>
        <w:t>头上提高数据质量。</w:t>
      </w:r>
    </w:p>
    <w:p>
      <w:pPr>
        <w:ind w:left="689"/>
        <w:spacing w:before="76"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4:  </w:t>
      </w:r>
      <w:r>
        <w:rPr>
          <w:rFonts w:ascii="SimHei" w:hAnsi="SimHei" w:eastAsia="SimHei" w:cs="SimHei"/>
          <w:sz w:val="21"/>
          <w:szCs w:val="21"/>
          <w:b/>
          <w:bCs/>
          <w:spacing w:val="-2"/>
        </w:rPr>
        <w:t>量化级</w:t>
      </w:r>
    </w:p>
    <w:p>
      <w:pPr>
        <w:spacing w:line="120" w:lineRule="exact"/>
        <w:rPr/>
      </w:pPr>
      <w:r/>
    </w:p>
    <w:tbl>
      <w:tblPr>
        <w:tblStyle w:val="TableNormal"/>
        <w:tblW w:w="759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14" w:type="dxa"/>
            <w:vAlign w:val="top"/>
          </w:tcPr>
          <w:p>
            <w:pPr>
              <w:pStyle w:val="TableText"/>
              <w:ind w:left="224"/>
              <w:spacing w:before="251" w:line="184" w:lineRule="auto"/>
              <w:rPr>
                <w:sz w:val="16"/>
                <w:szCs w:val="16"/>
              </w:rPr>
            </w:pPr>
            <w:r>
              <w:rPr>
                <w:sz w:val="16"/>
                <w:szCs w:val="16"/>
                <w:spacing w:val="-2"/>
              </w:rPr>
              <w:t>4.1</w:t>
            </w:r>
          </w:p>
        </w:tc>
        <w:tc>
          <w:tcPr>
            <w:tcW w:w="3145" w:type="dxa"/>
            <w:vAlign w:val="top"/>
          </w:tcPr>
          <w:p>
            <w:pPr>
              <w:pStyle w:val="TableText"/>
              <w:ind w:left="100" w:right="159" w:firstLine="160"/>
              <w:spacing w:before="88" w:line="271" w:lineRule="auto"/>
              <w:rPr>
                <w:sz w:val="16"/>
                <w:szCs w:val="16"/>
              </w:rPr>
            </w:pPr>
            <w:r>
              <w:rPr>
                <w:sz w:val="16"/>
                <w:szCs w:val="16"/>
                <w:spacing w:val="-1"/>
              </w:rPr>
              <w:t>采用数据治理TCO,对数据治理倡议和基</w:t>
            </w:r>
            <w:r>
              <w:rPr>
                <w:sz w:val="16"/>
                <w:szCs w:val="16"/>
                <w:spacing w:val="12"/>
              </w:rPr>
              <w:t xml:space="preserve"> </w:t>
            </w:r>
            <w:r>
              <w:rPr>
                <w:sz w:val="16"/>
                <w:szCs w:val="16"/>
                <w:spacing w:val="-1"/>
              </w:rPr>
              <w:t>础设施变更进行度量、评价和资助</w:t>
            </w:r>
          </w:p>
        </w:tc>
        <w:tc>
          <w:tcPr>
            <w:tcW w:w="3740" w:type="dxa"/>
            <w:vAlign w:val="top"/>
          </w:tcPr>
          <w:p>
            <w:pPr>
              <w:pStyle w:val="TableText"/>
              <w:ind w:left="255"/>
              <w:spacing w:before="100" w:line="219" w:lineRule="auto"/>
              <w:rPr>
                <w:sz w:val="16"/>
                <w:szCs w:val="16"/>
              </w:rPr>
            </w:pPr>
            <w:r>
              <w:rPr>
                <w:sz w:val="16"/>
                <w:szCs w:val="16"/>
                <w:spacing w:val="2"/>
              </w:rPr>
              <w:t>●业务案例</w:t>
            </w:r>
          </w:p>
          <w:p>
            <w:pPr>
              <w:pStyle w:val="TableText"/>
              <w:ind w:left="255"/>
              <w:spacing w:before="79" w:line="217" w:lineRule="auto"/>
              <w:rPr>
                <w:sz w:val="16"/>
                <w:szCs w:val="16"/>
              </w:rPr>
            </w:pPr>
            <w:r>
              <w:rPr>
                <w:sz w:val="16"/>
                <w:szCs w:val="16"/>
              </w:rPr>
              <w:t>●总体拥有成本分析文件与结果</w:t>
            </w:r>
          </w:p>
        </w:tc>
      </w:tr>
    </w:tbl>
    <w:p>
      <w:pPr>
        <w:ind w:left="58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89" w:right="100" w:firstLine="400"/>
        <w:spacing w:before="49" w:line="245" w:lineRule="auto"/>
        <w:rPr>
          <w:rFonts w:ascii="SimSun" w:hAnsi="SimSun" w:eastAsia="SimSun" w:cs="SimSun"/>
          <w:sz w:val="21"/>
          <w:szCs w:val="21"/>
        </w:rPr>
      </w:pPr>
      <w:r>
        <w:rPr>
          <w:rFonts w:ascii="SimSun" w:hAnsi="SimSun" w:eastAsia="SimSun" w:cs="SimSun"/>
          <w:sz w:val="21"/>
          <w:szCs w:val="21"/>
        </w:rPr>
        <w:t>参考资源保障获得以下信息：确保有充足、持续的资金来支撑数据治理方案，</w:t>
      </w:r>
      <w:r>
        <w:rPr>
          <w:rFonts w:ascii="SimSun" w:hAnsi="SimSun" w:eastAsia="SimSun" w:cs="SimSun"/>
          <w:sz w:val="21"/>
          <w:szCs w:val="21"/>
          <w:spacing w:val="3"/>
        </w:rPr>
        <w:t xml:space="preserve"> </w:t>
      </w:r>
      <w:r>
        <w:rPr>
          <w:rFonts w:ascii="SimSun" w:hAnsi="SimSun" w:eastAsia="SimSun" w:cs="SimSun"/>
          <w:sz w:val="21"/>
          <w:szCs w:val="21"/>
          <w:spacing w:val="-1"/>
        </w:rPr>
        <w:t>需要进行追踪和报告用于成本比较与业务案例开发的成本分配模型。</w:t>
      </w:r>
    </w:p>
    <w:p>
      <w:pPr>
        <w:spacing w:line="130" w:lineRule="exact"/>
        <w:rPr/>
      </w:pPr>
      <w:r/>
    </w:p>
    <w:tbl>
      <w:tblPr>
        <w:tblStyle w:val="TableNormal"/>
        <w:tblW w:w="759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30"/>
      </w:tblGrid>
      <w:tr>
        <w:trPr>
          <w:trHeight w:val="322" w:hRule="atLeast"/>
        </w:trPr>
        <w:tc>
          <w:tcPr>
            <w:tcW w:w="714" w:type="dxa"/>
            <w:vAlign w:val="top"/>
          </w:tcPr>
          <w:p>
            <w:pPr>
              <w:pStyle w:val="TableText"/>
              <w:ind w:left="195"/>
              <w:spacing w:before="92" w:line="221" w:lineRule="auto"/>
              <w:rPr/>
            </w:pPr>
            <w:r>
              <w:rPr>
                <w:spacing w:val="-2"/>
              </w:rPr>
              <w:t>序号</w:t>
            </w:r>
          </w:p>
        </w:tc>
        <w:tc>
          <w:tcPr>
            <w:tcW w:w="3146"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1127" w:hRule="atLeast"/>
        </w:trPr>
        <w:tc>
          <w:tcPr>
            <w:tcW w:w="714" w:type="dxa"/>
            <w:vAlign w:val="top"/>
          </w:tcPr>
          <w:p>
            <w:pPr>
              <w:spacing w:line="476" w:lineRule="auto"/>
              <w:rPr>
                <w:rFonts w:ascii="Arial"/>
                <w:sz w:val="21"/>
              </w:rPr>
            </w:pPr>
            <w:r/>
          </w:p>
          <w:p>
            <w:pPr>
              <w:pStyle w:val="TableText"/>
              <w:ind w:left="235"/>
              <w:spacing w:before="48" w:line="183" w:lineRule="auto"/>
              <w:rPr/>
            </w:pPr>
            <w:r>
              <w:rPr>
                <w:spacing w:val="-2"/>
              </w:rPr>
              <w:t>4.2</w:t>
            </w:r>
          </w:p>
        </w:tc>
        <w:tc>
          <w:tcPr>
            <w:tcW w:w="3146" w:type="dxa"/>
            <w:vAlign w:val="top"/>
          </w:tcPr>
          <w:p>
            <w:pPr>
              <w:pStyle w:val="TableText"/>
              <w:ind w:left="101" w:right="195" w:firstLine="109"/>
              <w:spacing w:before="78" w:line="317" w:lineRule="auto"/>
              <w:jc w:val="both"/>
              <w:rPr/>
            </w:pPr>
            <w:r>
              <w:rPr>
                <w:spacing w:val="-1"/>
              </w:rPr>
              <w:t>利用统计学和其他量化手段来分析数据治</w:t>
            </w:r>
            <w:r>
              <w:rPr>
                <w:spacing w:val="10"/>
              </w:rPr>
              <w:t xml:space="preserve"> </w:t>
            </w:r>
            <w:r>
              <w:rPr>
                <w:spacing w:val="3"/>
              </w:rPr>
              <w:t>理成本度量项，从而评估数据治理</w:t>
            </w:r>
            <w:r>
              <w:rPr/>
              <w:t>TCO</w:t>
            </w:r>
            <w:r>
              <w:rPr>
                <w:spacing w:val="3"/>
              </w:rPr>
              <w:t>和收</w:t>
            </w:r>
            <w:r>
              <w:rPr>
                <w:spacing w:val="10"/>
              </w:rPr>
              <w:t xml:space="preserve"> </w:t>
            </w:r>
            <w:r>
              <w:rPr>
                <w:spacing w:val="3"/>
              </w:rPr>
              <w:t>集方法，并将</w:t>
            </w:r>
            <w:r>
              <w:rPr/>
              <w:t>TCO</w:t>
            </w:r>
            <w:r>
              <w:rPr>
                <w:spacing w:val="3"/>
              </w:rPr>
              <w:t>度量项纳入数据治理方案</w:t>
            </w:r>
            <w:r>
              <w:rPr>
                <w:spacing w:val="12"/>
              </w:rPr>
              <w:t xml:space="preserve"> </w:t>
            </w:r>
            <w:r>
              <w:rPr>
                <w:spacing w:val="3"/>
              </w:rPr>
              <w:t>绩效体系</w:t>
            </w:r>
          </w:p>
        </w:tc>
        <w:tc>
          <w:tcPr>
            <w:tcW w:w="3730" w:type="dxa"/>
            <w:vAlign w:val="top"/>
          </w:tcPr>
          <w:p>
            <w:pPr>
              <w:spacing w:line="317" w:lineRule="auto"/>
              <w:rPr>
                <w:rFonts w:ascii="Arial"/>
                <w:sz w:val="21"/>
              </w:rPr>
            </w:pPr>
            <w:r/>
          </w:p>
          <w:p>
            <w:pPr>
              <w:pStyle w:val="TableText"/>
              <w:ind w:left="265"/>
              <w:spacing w:before="49" w:line="219" w:lineRule="auto"/>
              <w:rPr/>
            </w:pPr>
            <w:r>
              <w:rPr/>
              <w:t>●数据治理成本度量项</w:t>
            </w:r>
          </w:p>
          <w:p>
            <w:pPr>
              <w:pStyle w:val="TableText"/>
              <w:ind w:left="265"/>
              <w:spacing w:before="102" w:line="219" w:lineRule="auto"/>
              <w:rPr/>
            </w:pPr>
            <w:r>
              <w:rPr/>
              <w:t>●总体拥有成本分析文件与结果</w:t>
            </w:r>
          </w:p>
        </w:tc>
      </w:tr>
    </w:tbl>
    <w:p>
      <w:pPr>
        <w:ind w:left="58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89" w:right="42" w:firstLine="400"/>
        <w:spacing w:before="38" w:line="252" w:lineRule="auto"/>
        <w:rPr>
          <w:rFonts w:ascii="SimSun" w:hAnsi="SimSun" w:eastAsia="SimSun" w:cs="SimSun"/>
          <w:sz w:val="21"/>
          <w:szCs w:val="21"/>
        </w:rPr>
      </w:pPr>
      <w:r>
        <w:rPr>
          <w:rFonts w:ascii="SimSun" w:hAnsi="SimSun" w:eastAsia="SimSun" w:cs="SimSun"/>
          <w:sz w:val="21"/>
          <w:szCs w:val="21"/>
        </w:rPr>
        <w:t>采用统计学方法，定量地评估数据治理成本</w:t>
      </w:r>
      <w:r>
        <w:rPr>
          <w:rFonts w:ascii="SimSun" w:hAnsi="SimSun" w:eastAsia="SimSun" w:cs="SimSun"/>
          <w:sz w:val="21"/>
          <w:szCs w:val="21"/>
          <w:spacing w:val="-1"/>
        </w:rPr>
        <w:t>与效益，并将</w:t>
      </w:r>
      <w:r>
        <w:rPr>
          <w:rFonts w:ascii="Times New Roman" w:hAnsi="Times New Roman" w:eastAsia="Times New Roman" w:cs="Times New Roman"/>
          <w:sz w:val="21"/>
          <w:szCs w:val="21"/>
          <w:spacing w:val="-1"/>
        </w:rPr>
        <w:t>TCO</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度量项纳入数据</w:t>
      </w:r>
      <w:r>
        <w:rPr>
          <w:rFonts w:ascii="SimSun" w:hAnsi="SimSun" w:eastAsia="SimSun" w:cs="SimSun"/>
          <w:sz w:val="21"/>
          <w:szCs w:val="21"/>
        </w:rPr>
        <w:t xml:space="preserve"> </w:t>
      </w:r>
      <w:r>
        <w:rPr>
          <w:rFonts w:ascii="SimSun" w:hAnsi="SimSun" w:eastAsia="SimSun" w:cs="SimSun"/>
          <w:sz w:val="21"/>
          <w:szCs w:val="21"/>
          <w:spacing w:val="-5"/>
        </w:rPr>
        <w:t>治理方案绩效体系。</w:t>
      </w:r>
    </w:p>
    <w:p>
      <w:pPr>
        <w:spacing w:line="116" w:lineRule="exact"/>
        <w:rPr/>
      </w:pPr>
      <w:r/>
    </w:p>
    <w:tbl>
      <w:tblPr>
        <w:tblStyle w:val="TableNormal"/>
        <w:tblW w:w="758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14"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2246" w:hRule="atLeast"/>
        </w:trPr>
        <w:tc>
          <w:tcPr>
            <w:tcW w:w="704" w:type="dxa"/>
            <w:vAlign w:val="top"/>
          </w:tcPr>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224"/>
              <w:spacing w:before="52" w:line="183" w:lineRule="auto"/>
              <w:rPr>
                <w:sz w:val="16"/>
                <w:szCs w:val="16"/>
              </w:rPr>
            </w:pPr>
            <w:r>
              <w:rPr>
                <w:sz w:val="16"/>
                <w:szCs w:val="16"/>
                <w:spacing w:val="-2"/>
              </w:rPr>
              <w:t>4.3</w:t>
            </w:r>
          </w:p>
        </w:tc>
        <w:tc>
          <w:tcPr>
            <w:tcW w:w="3145" w:type="dxa"/>
            <w:vAlign w:val="top"/>
          </w:tcPr>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110" w:right="69" w:firstLine="160"/>
              <w:spacing w:before="52" w:line="277" w:lineRule="auto"/>
              <w:rPr>
                <w:sz w:val="16"/>
                <w:szCs w:val="16"/>
              </w:rPr>
            </w:pPr>
            <w:r>
              <w:rPr>
                <w:sz w:val="16"/>
                <w:szCs w:val="16"/>
                <w:spacing w:val="-1"/>
              </w:rPr>
              <w:t>对组织数据治理TCO模型的准确性进行确</w:t>
            </w:r>
            <w:r>
              <w:rPr>
                <w:sz w:val="16"/>
                <w:szCs w:val="16"/>
                <w:spacing w:val="12"/>
              </w:rPr>
              <w:t xml:space="preserve"> </w:t>
            </w:r>
            <w:r>
              <w:rPr>
                <w:sz w:val="16"/>
                <w:szCs w:val="16"/>
                <w:spacing w:val="-1"/>
              </w:rPr>
              <w:t>认和检查，通过定期评审和分析完善模型</w:t>
            </w:r>
          </w:p>
        </w:tc>
        <w:tc>
          <w:tcPr>
            <w:tcW w:w="3740" w:type="dxa"/>
            <w:vAlign w:val="top"/>
          </w:tcPr>
          <w:p>
            <w:pPr>
              <w:pStyle w:val="TableText"/>
              <w:ind w:left="256"/>
              <w:spacing w:before="76" w:line="218" w:lineRule="auto"/>
              <w:rPr>
                <w:sz w:val="16"/>
                <w:szCs w:val="16"/>
              </w:rPr>
            </w:pPr>
            <w:r>
              <w:rPr>
                <w:sz w:val="16"/>
                <w:szCs w:val="16"/>
                <w:spacing w:val="-1"/>
              </w:rPr>
              <w:t>●</w:t>
            </w:r>
            <w:r>
              <w:rPr>
                <w:sz w:val="16"/>
                <w:szCs w:val="16"/>
                <w:spacing w:val="18"/>
              </w:rPr>
              <w:t xml:space="preserve"> </w:t>
            </w:r>
            <w:r>
              <w:rPr>
                <w:sz w:val="16"/>
                <w:szCs w:val="16"/>
                <w:spacing w:val="-1"/>
              </w:rPr>
              <w:t>TCO管理报告</w:t>
            </w:r>
          </w:p>
          <w:p>
            <w:pPr>
              <w:pStyle w:val="TableText"/>
              <w:ind w:left="256"/>
              <w:spacing w:before="91" w:line="219" w:lineRule="auto"/>
              <w:rPr>
                <w:sz w:val="16"/>
                <w:szCs w:val="16"/>
              </w:rPr>
            </w:pPr>
            <w:r>
              <w:rPr>
                <w:sz w:val="16"/>
                <w:szCs w:val="16"/>
              </w:rPr>
              <w:t>●基于成本度量项的方案变更建议</w:t>
            </w:r>
          </w:p>
          <w:p>
            <w:pPr>
              <w:pStyle w:val="TableText"/>
              <w:ind w:left="256"/>
              <w:spacing w:before="111" w:line="219" w:lineRule="auto"/>
              <w:rPr>
                <w:sz w:val="16"/>
                <w:szCs w:val="16"/>
              </w:rPr>
            </w:pPr>
            <w:r>
              <w:rPr>
                <w:sz w:val="16"/>
                <w:szCs w:val="16"/>
                <w:spacing w:val="1"/>
              </w:rPr>
              <w:t>●基础设施预算</w:t>
            </w:r>
          </w:p>
          <w:p>
            <w:pPr>
              <w:pStyle w:val="TableText"/>
              <w:ind w:left="256"/>
              <w:spacing w:before="90" w:line="219" w:lineRule="auto"/>
              <w:rPr>
                <w:sz w:val="16"/>
                <w:szCs w:val="16"/>
              </w:rPr>
            </w:pPr>
            <w:r>
              <w:rPr>
                <w:sz w:val="16"/>
                <w:szCs w:val="16"/>
                <w:spacing w:val="1"/>
              </w:rPr>
              <w:t>●数据治理</w:t>
            </w:r>
            <w:r>
              <w:rPr>
                <w:sz w:val="16"/>
                <w:szCs w:val="16"/>
              </w:rPr>
              <w:t>TCO</w:t>
            </w:r>
            <w:r>
              <w:rPr>
                <w:sz w:val="16"/>
                <w:szCs w:val="16"/>
                <w:spacing w:val="1"/>
              </w:rPr>
              <w:t>度量项</w:t>
            </w:r>
          </w:p>
          <w:p>
            <w:pPr>
              <w:pStyle w:val="TableText"/>
              <w:ind w:left="256"/>
              <w:spacing w:before="90" w:line="219" w:lineRule="auto"/>
              <w:rPr>
                <w:sz w:val="16"/>
                <w:szCs w:val="16"/>
              </w:rPr>
            </w:pPr>
            <w:r>
              <w:rPr>
                <w:sz w:val="16"/>
                <w:szCs w:val="16"/>
                <w:spacing w:val="1"/>
              </w:rPr>
              <w:t>●数据治理</w:t>
            </w:r>
            <w:r>
              <w:rPr>
                <w:sz w:val="16"/>
                <w:szCs w:val="16"/>
              </w:rPr>
              <w:t>TCO</w:t>
            </w:r>
            <w:r>
              <w:rPr>
                <w:sz w:val="16"/>
                <w:szCs w:val="16"/>
                <w:spacing w:val="1"/>
              </w:rPr>
              <w:t>方法论文档</w:t>
            </w:r>
          </w:p>
          <w:p>
            <w:pPr>
              <w:pStyle w:val="TableText"/>
              <w:ind w:right="6"/>
              <w:spacing w:before="90" w:line="219" w:lineRule="auto"/>
              <w:jc w:val="right"/>
              <w:rPr>
                <w:sz w:val="16"/>
                <w:szCs w:val="16"/>
              </w:rPr>
            </w:pPr>
            <w:r>
              <w:rPr>
                <w:sz w:val="16"/>
                <w:szCs w:val="16"/>
              </w:rPr>
              <w:t>●关于结构、方法和计算的数据治理TCO变更建议</w:t>
            </w:r>
          </w:p>
          <w:p>
            <w:pPr>
              <w:pStyle w:val="TableText"/>
              <w:ind w:left="256"/>
              <w:spacing w:before="80" w:line="220" w:lineRule="auto"/>
              <w:rPr>
                <w:sz w:val="16"/>
                <w:szCs w:val="16"/>
              </w:rPr>
            </w:pPr>
            <w:r>
              <w:rPr>
                <w:sz w:val="16"/>
                <w:szCs w:val="16"/>
                <w:spacing w:val="1"/>
              </w:rPr>
              <w:t>●方案绩效记分卡</w:t>
            </w:r>
          </w:p>
          <w:p>
            <w:pPr>
              <w:pStyle w:val="TableText"/>
              <w:ind w:left="256"/>
              <w:spacing w:before="99" w:line="205" w:lineRule="auto"/>
              <w:rPr>
                <w:sz w:val="16"/>
                <w:szCs w:val="16"/>
              </w:rPr>
            </w:pPr>
            <w:r>
              <w:rPr>
                <w:sz w:val="16"/>
                <w:szCs w:val="16"/>
                <w:spacing w:val="1"/>
              </w:rPr>
              <w:t>●审核结果</w:t>
            </w:r>
          </w:p>
        </w:tc>
      </w:tr>
    </w:tbl>
    <w:p>
      <w:pPr>
        <w:ind w:left="58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89" w:right="14" w:firstLine="400"/>
        <w:spacing w:before="49" w:line="261" w:lineRule="auto"/>
        <w:rPr>
          <w:rFonts w:ascii="SimSun" w:hAnsi="SimSun" w:eastAsia="SimSun" w:cs="SimSun"/>
          <w:sz w:val="21"/>
          <w:szCs w:val="21"/>
        </w:rPr>
      </w:pPr>
      <w:r>
        <w:rPr>
          <w:rFonts w:ascii="SimSun" w:hAnsi="SimSun" w:eastAsia="SimSun" w:cs="SimSun"/>
          <w:sz w:val="21"/>
          <w:szCs w:val="21"/>
          <w:spacing w:val="-1"/>
        </w:rPr>
        <w:t>组织针对数据治理</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TCO</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模型的准确性开展论证，确</w:t>
      </w:r>
      <w:r>
        <w:rPr>
          <w:rFonts w:ascii="SimSun" w:hAnsi="SimSun" w:eastAsia="SimSun" w:cs="SimSun"/>
          <w:sz w:val="21"/>
          <w:szCs w:val="21"/>
          <w:spacing w:val="-2"/>
        </w:rPr>
        <w:t>保模型的准确性，论证的范</w:t>
      </w:r>
      <w:r>
        <w:rPr>
          <w:rFonts w:ascii="SimSun" w:hAnsi="SimSun" w:eastAsia="SimSun" w:cs="SimSun"/>
          <w:sz w:val="21"/>
          <w:szCs w:val="21"/>
        </w:rPr>
        <w:t xml:space="preserve"> </w:t>
      </w:r>
      <w:r>
        <w:rPr>
          <w:rFonts w:ascii="SimSun" w:hAnsi="SimSun" w:eastAsia="SimSun" w:cs="SimSun"/>
          <w:sz w:val="21"/>
          <w:szCs w:val="21"/>
          <w:spacing w:val="2"/>
        </w:rPr>
        <w:t>围可以来自组织内部，也可以邀请业内专家指导。要采取定期评审方式，不</w:t>
      </w:r>
      <w:r>
        <w:rPr>
          <w:rFonts w:ascii="SimSun" w:hAnsi="SimSun" w:eastAsia="SimSun" w:cs="SimSun"/>
          <w:sz w:val="21"/>
          <w:szCs w:val="21"/>
          <w:spacing w:val="1"/>
        </w:rPr>
        <w:t>断完善</w:t>
      </w:r>
      <w:r>
        <w:rPr>
          <w:rFonts w:ascii="SimSun" w:hAnsi="SimSun" w:eastAsia="SimSun" w:cs="SimSun"/>
          <w:sz w:val="21"/>
          <w:szCs w:val="21"/>
        </w:rPr>
        <w:t xml:space="preserve"> </w:t>
      </w:r>
      <w:r>
        <w:rPr>
          <w:rFonts w:ascii="SimSun" w:hAnsi="SimSun" w:eastAsia="SimSun" w:cs="SimSun"/>
          <w:sz w:val="21"/>
          <w:szCs w:val="21"/>
          <w:spacing w:val="-1"/>
        </w:rPr>
        <w:t>数据治理</w:t>
      </w:r>
      <w:r>
        <w:rPr>
          <w:rFonts w:ascii="Times New Roman" w:hAnsi="Times New Roman" w:eastAsia="Times New Roman" w:cs="Times New Roman"/>
          <w:sz w:val="21"/>
          <w:szCs w:val="21"/>
          <w:spacing w:val="-1"/>
        </w:rPr>
        <w:t>TCO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模型。组织应记录评审过程和</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TCO</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模型的演变过程。</w:t>
      </w:r>
    </w:p>
    <w:p>
      <w:pPr>
        <w:spacing w:line="261" w:lineRule="auto"/>
        <w:sectPr>
          <w:footerReference w:type="default" r:id="rId170"/>
          <w:pgSz w:w="8870" w:h="13400"/>
          <w:pgMar w:top="400" w:right="575" w:bottom="527" w:left="360" w:header="0" w:footer="319" w:gutter="0"/>
        </w:sectPr>
        <w:rPr>
          <w:rFonts w:ascii="SimSun" w:hAnsi="SimSun" w:eastAsia="SimSun" w:cs="SimSun"/>
          <w:sz w:val="21"/>
          <w:szCs w:val="21"/>
        </w:rPr>
      </w:pPr>
    </w:p>
    <w:p>
      <w:pPr>
        <w:ind w:left="5493"/>
        <w:spacing w:before="214" w:line="219" w:lineRule="auto"/>
        <w:rPr>
          <w:rFonts w:ascii="SimSun" w:hAnsi="SimSun" w:eastAsia="SimSun" w:cs="SimSun"/>
          <w:sz w:val="22"/>
          <w:szCs w:val="22"/>
        </w:rPr>
      </w:pPr>
      <w:r>
        <w:rPr>
          <w:rFonts w:ascii="SimSun" w:hAnsi="SimSun" w:eastAsia="SimSun" w:cs="SimSun"/>
          <w:sz w:val="22"/>
          <w:szCs w:val="22"/>
          <w:b/>
          <w:bCs/>
          <w:spacing w:val="17"/>
        </w:rPr>
        <w:t>第4章*云端数据战略</w:t>
      </w:r>
    </w:p>
    <w:p>
      <w:pPr>
        <w:ind w:left="410"/>
        <w:spacing w:before="308"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12"/>
        </w:rPr>
        <w:t xml:space="preserve">  </w:t>
      </w: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b/>
          <w:bCs/>
          <w:spacing w:val="-19"/>
        </w:rPr>
        <w:t xml:space="preserve"> </w:t>
      </w:r>
      <w:r>
        <w:rPr>
          <w:rFonts w:ascii="SimHei" w:hAnsi="SimHei" w:eastAsia="SimHei" w:cs="SimHei"/>
          <w:sz w:val="22"/>
          <w:szCs w:val="22"/>
          <w:b/>
          <w:bCs/>
          <w:spacing w:val="-4"/>
        </w:rPr>
        <w:t>优化级</w:t>
      </w:r>
    </w:p>
    <w:p>
      <w:pPr>
        <w:spacing w:line="127" w:lineRule="exact"/>
        <w:rPr/>
      </w:pPr>
      <w:r/>
    </w:p>
    <w:tbl>
      <w:tblPr>
        <w:tblStyle w:val="TableNormal"/>
        <w:tblW w:w="758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2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04" w:type="dxa"/>
            <w:vAlign w:val="top"/>
          </w:tcPr>
          <w:p>
            <w:pPr>
              <w:pStyle w:val="TableText"/>
              <w:ind w:left="224"/>
              <w:spacing w:before="251" w:line="184" w:lineRule="auto"/>
              <w:rPr>
                <w:sz w:val="16"/>
                <w:szCs w:val="16"/>
              </w:rPr>
            </w:pPr>
            <w:r>
              <w:rPr>
                <w:sz w:val="16"/>
                <w:szCs w:val="16"/>
                <w:spacing w:val="-3"/>
              </w:rPr>
              <w:t>5.1</w:t>
            </w:r>
          </w:p>
        </w:tc>
        <w:tc>
          <w:tcPr>
            <w:tcW w:w="3145" w:type="dxa"/>
            <w:vAlign w:val="top"/>
          </w:tcPr>
          <w:p>
            <w:pPr>
              <w:pStyle w:val="TableText"/>
              <w:ind w:left="110" w:firstLine="159"/>
              <w:spacing w:before="90" w:line="270" w:lineRule="auto"/>
              <w:rPr>
                <w:sz w:val="16"/>
                <w:szCs w:val="16"/>
              </w:rPr>
            </w:pPr>
            <w:r>
              <w:rPr>
                <w:sz w:val="16"/>
                <w:szCs w:val="16"/>
                <w:spacing w:val="-1"/>
              </w:rPr>
              <w:t>统计学结果和利益相关者的反馈为数据治</w:t>
            </w:r>
            <w:r>
              <w:rPr>
                <w:sz w:val="16"/>
                <w:szCs w:val="16"/>
                <w:spacing w:val="1"/>
              </w:rPr>
              <w:t xml:space="preserve"> </w:t>
            </w:r>
            <w:r>
              <w:rPr>
                <w:sz w:val="16"/>
                <w:szCs w:val="16"/>
                <w:spacing w:val="-1"/>
              </w:rPr>
              <w:t>理TCO的持续改进提供指导</w:t>
            </w:r>
          </w:p>
        </w:tc>
        <w:tc>
          <w:tcPr>
            <w:tcW w:w="3740" w:type="dxa"/>
            <w:vAlign w:val="top"/>
          </w:tcPr>
          <w:p>
            <w:pPr>
              <w:pStyle w:val="TableText"/>
              <w:ind w:left="256"/>
              <w:spacing w:before="89" w:line="219" w:lineRule="auto"/>
              <w:rPr>
                <w:sz w:val="16"/>
                <w:szCs w:val="16"/>
              </w:rPr>
            </w:pPr>
            <w:r>
              <w:rPr>
                <w:sz w:val="16"/>
                <w:szCs w:val="16"/>
              </w:rPr>
              <w:t>●数据治理成本度量项</w:t>
            </w:r>
          </w:p>
          <w:p>
            <w:pPr>
              <w:pStyle w:val="TableText"/>
              <w:ind w:left="256"/>
              <w:spacing w:before="90" w:line="217" w:lineRule="auto"/>
              <w:rPr>
                <w:sz w:val="16"/>
                <w:szCs w:val="16"/>
              </w:rPr>
            </w:pPr>
            <w:r>
              <w:rPr>
                <w:sz w:val="16"/>
                <w:szCs w:val="16"/>
              </w:rPr>
              <w:t>●总体拥有成本分析文件与结果</w:t>
            </w:r>
          </w:p>
        </w:tc>
      </w:tr>
    </w:tbl>
    <w:p>
      <w:pPr>
        <w:ind w:left="30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327" w:firstLine="410"/>
        <w:spacing w:before="58" w:line="239" w:lineRule="auto"/>
        <w:rPr>
          <w:rFonts w:ascii="SimSun" w:hAnsi="SimSun" w:eastAsia="SimSun" w:cs="SimSun"/>
          <w:sz w:val="22"/>
          <w:szCs w:val="22"/>
        </w:rPr>
      </w:pPr>
      <w:r>
        <w:rPr>
          <w:rFonts w:ascii="SimSun" w:hAnsi="SimSun" w:eastAsia="SimSun" w:cs="SimSun"/>
          <w:sz w:val="22"/>
          <w:szCs w:val="22"/>
          <w:spacing w:val="-9"/>
        </w:rPr>
        <w:t>基于制订的成本度量项，对数据治理成本分析进行验证并修改，为</w:t>
      </w:r>
      <w:r>
        <w:rPr>
          <w:rFonts w:ascii="Times New Roman" w:hAnsi="Times New Roman" w:eastAsia="Times New Roman" w:cs="Times New Roman"/>
          <w:sz w:val="22"/>
          <w:szCs w:val="22"/>
          <w:spacing w:val="-9"/>
        </w:rPr>
        <w:t>TCO</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持续改</w:t>
      </w:r>
      <w:r>
        <w:rPr>
          <w:rFonts w:ascii="SimSun" w:hAnsi="SimSun" w:eastAsia="SimSun" w:cs="SimSun"/>
          <w:sz w:val="22"/>
          <w:szCs w:val="22"/>
        </w:rPr>
        <w:t xml:space="preserve"> </w:t>
      </w:r>
      <w:r>
        <w:rPr>
          <w:rFonts w:ascii="SimSun" w:hAnsi="SimSun" w:eastAsia="SimSun" w:cs="SimSun"/>
          <w:sz w:val="22"/>
          <w:szCs w:val="22"/>
          <w:spacing w:val="-13"/>
        </w:rPr>
        <w:t>进提供指导。</w:t>
      </w:r>
    </w:p>
    <w:p>
      <w:pPr>
        <w:spacing w:line="117" w:lineRule="exact"/>
        <w:rPr/>
      </w:pPr>
      <w:r/>
    </w:p>
    <w:tbl>
      <w:tblPr>
        <w:tblStyle w:val="TableNormal"/>
        <w:tblW w:w="759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11" w:hRule="atLeast"/>
        </w:trPr>
        <w:tc>
          <w:tcPr>
            <w:tcW w:w="704" w:type="dxa"/>
            <w:vAlign w:val="top"/>
          </w:tcPr>
          <w:p>
            <w:pPr>
              <w:pStyle w:val="TableText"/>
              <w:ind w:left="195"/>
              <w:spacing w:before="82" w:line="221" w:lineRule="auto"/>
              <w:rPr/>
            </w:pPr>
            <w:r>
              <w:rPr>
                <w:spacing w:val="-2"/>
              </w:rPr>
              <w:t>序号</w:t>
            </w:r>
          </w:p>
        </w:tc>
        <w:tc>
          <w:tcPr>
            <w:tcW w:w="3136"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569" w:hRule="atLeast"/>
        </w:trPr>
        <w:tc>
          <w:tcPr>
            <w:tcW w:w="704" w:type="dxa"/>
            <w:vAlign w:val="top"/>
          </w:tcPr>
          <w:p>
            <w:pPr>
              <w:pStyle w:val="TableText"/>
              <w:ind w:left="224"/>
              <w:spacing w:before="248" w:line="183" w:lineRule="auto"/>
              <w:rPr/>
            </w:pPr>
            <w:r>
              <w:rPr>
                <w:spacing w:val="-2"/>
              </w:rPr>
              <w:t>5.2</w:t>
            </w:r>
          </w:p>
        </w:tc>
        <w:tc>
          <w:tcPr>
            <w:tcW w:w="3136" w:type="dxa"/>
            <w:vAlign w:val="top"/>
          </w:tcPr>
          <w:p>
            <w:pPr>
              <w:pStyle w:val="TableText"/>
              <w:ind w:left="111" w:right="247" w:firstLine="149"/>
              <w:spacing w:before="90" w:line="275" w:lineRule="auto"/>
              <w:rPr/>
            </w:pPr>
            <w:r>
              <w:rPr>
                <w:spacing w:val="-1"/>
              </w:rPr>
              <w:t>组织分享TCO的最佳实践，通过出版物或</w:t>
            </w:r>
            <w:r>
              <w:rPr>
                <w:spacing w:val="10"/>
              </w:rPr>
              <w:t xml:space="preserve"> </w:t>
            </w:r>
            <w:r>
              <w:rPr>
                <w:spacing w:val="-1"/>
              </w:rPr>
              <w:t>举办会议为行业成熟度做贡献</w:t>
            </w:r>
          </w:p>
        </w:tc>
        <w:tc>
          <w:tcPr>
            <w:tcW w:w="3750" w:type="dxa"/>
            <w:vAlign w:val="top"/>
          </w:tcPr>
          <w:p>
            <w:pPr>
              <w:pStyle w:val="TableText"/>
              <w:ind w:left="265"/>
              <w:spacing w:before="79" w:line="219" w:lineRule="auto"/>
              <w:rPr/>
            </w:pPr>
            <w:r>
              <w:rPr/>
              <w:t>●数据治理成本分析最佳实践</w:t>
            </w:r>
          </w:p>
          <w:p>
            <w:pPr>
              <w:pStyle w:val="TableText"/>
              <w:ind w:left="265"/>
              <w:spacing w:before="101" w:line="219" w:lineRule="auto"/>
              <w:rPr/>
            </w:pPr>
            <w:r>
              <w:rPr/>
              <w:t>●出版的行业文章、白皮书、会议</w:t>
            </w:r>
          </w:p>
        </w:tc>
      </w:tr>
    </w:tbl>
    <w:p>
      <w:pPr>
        <w:ind w:left="300"/>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325" w:firstLine="410"/>
        <w:spacing w:before="49" w:line="239" w:lineRule="auto"/>
        <w:rPr>
          <w:rFonts w:ascii="SimSun" w:hAnsi="SimSun" w:eastAsia="SimSun" w:cs="SimSun"/>
          <w:sz w:val="22"/>
          <w:szCs w:val="22"/>
        </w:rPr>
      </w:pPr>
      <w:r>
        <w:rPr>
          <w:rFonts w:ascii="SimSun" w:hAnsi="SimSun" w:eastAsia="SimSun" w:cs="SimSun"/>
          <w:sz w:val="22"/>
          <w:szCs w:val="22"/>
          <w:spacing w:val="-8"/>
        </w:rPr>
        <w:t>组织在数据治理活动上取得重要成功时，也应该积极分享实践成功经验，为行</w:t>
      </w:r>
      <w:r>
        <w:rPr>
          <w:rFonts w:ascii="SimSun" w:hAnsi="SimSun" w:eastAsia="SimSun" w:cs="SimSun"/>
          <w:sz w:val="22"/>
          <w:szCs w:val="22"/>
          <w:spacing w:val="1"/>
        </w:rPr>
        <w:t xml:space="preserve"> </w:t>
      </w:r>
      <w:r>
        <w:rPr>
          <w:rFonts w:ascii="SimSun" w:hAnsi="SimSun" w:eastAsia="SimSun" w:cs="SimSun"/>
          <w:sz w:val="22"/>
          <w:szCs w:val="22"/>
          <w:spacing w:val="-9"/>
        </w:rPr>
        <w:t>业最佳实践做贡献，例如发表行业论文，发布白皮书、举办经验</w:t>
      </w:r>
      <w:r>
        <w:rPr>
          <w:rFonts w:ascii="SimSun" w:hAnsi="SimSun" w:eastAsia="SimSun" w:cs="SimSun"/>
          <w:sz w:val="22"/>
          <w:szCs w:val="22"/>
          <w:spacing w:val="-10"/>
        </w:rPr>
        <w:t>交流会议等。</w:t>
      </w:r>
    </w:p>
    <w:p>
      <w:pPr>
        <w:spacing w:line="116" w:lineRule="exact"/>
        <w:rPr/>
      </w:pPr>
      <w:r/>
    </w:p>
    <w:tbl>
      <w:tblPr>
        <w:tblStyle w:val="TableNormal"/>
        <w:tblW w:w="758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2" w:hRule="atLeast"/>
        </w:trPr>
        <w:tc>
          <w:tcPr>
            <w:tcW w:w="704" w:type="dxa"/>
            <w:vAlign w:val="top"/>
          </w:tcPr>
          <w:p>
            <w:pPr>
              <w:pStyle w:val="TableText"/>
              <w:ind w:left="195"/>
              <w:spacing w:before="81"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48"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5.3</w:t>
            </w:r>
          </w:p>
        </w:tc>
        <w:tc>
          <w:tcPr>
            <w:tcW w:w="3135" w:type="dxa"/>
            <w:vAlign w:val="top"/>
          </w:tcPr>
          <w:p>
            <w:pPr>
              <w:pStyle w:val="TableText"/>
              <w:ind w:left="111" w:right="159" w:firstLine="159"/>
              <w:spacing w:before="218" w:line="283" w:lineRule="auto"/>
              <w:rPr/>
            </w:pPr>
            <w:r>
              <w:rPr>
                <w:spacing w:val="-1"/>
              </w:rPr>
              <w:t>采用优化手段和预测模型来预测执行前拟</w:t>
            </w:r>
            <w:r>
              <w:rPr>
                <w:spacing w:val="11"/>
              </w:rPr>
              <w:t xml:space="preserve"> </w:t>
            </w:r>
            <w:r>
              <w:rPr>
                <w:spacing w:val="-1"/>
              </w:rPr>
              <w:t>变更的结果</w:t>
            </w:r>
          </w:p>
        </w:tc>
        <w:tc>
          <w:tcPr>
            <w:tcW w:w="3750" w:type="dxa"/>
            <w:vAlign w:val="top"/>
          </w:tcPr>
          <w:p>
            <w:pPr>
              <w:pStyle w:val="TableText"/>
              <w:ind w:left="266"/>
              <w:spacing w:before="89" w:line="219" w:lineRule="auto"/>
              <w:rPr/>
            </w:pPr>
            <w:r>
              <w:rPr/>
              <w:t>●对数据治理TCO模型的建议变更和更新</w:t>
            </w:r>
          </w:p>
          <w:p>
            <w:pPr>
              <w:pStyle w:val="TableText"/>
              <w:ind w:left="276"/>
              <w:spacing w:before="91" w:line="219" w:lineRule="auto"/>
              <w:rPr/>
            </w:pPr>
            <w:r>
              <w:rPr/>
              <w:t>●发表行业文章、发布白皮书、举办经验交流会议</w:t>
            </w:r>
          </w:p>
          <w:p>
            <w:pPr>
              <w:pStyle w:val="TableText"/>
              <w:ind w:left="266"/>
              <w:spacing w:before="113" w:line="219" w:lineRule="auto"/>
              <w:rPr/>
            </w:pPr>
            <w:r>
              <w:rPr/>
              <w:t>●预测分析工具和模型</w:t>
            </w:r>
          </w:p>
        </w:tc>
      </w:tr>
    </w:tbl>
    <w:p>
      <w:pPr>
        <w:ind w:left="300"/>
        <w:spacing w:before="194" w:line="219" w:lineRule="auto"/>
        <w:rPr>
          <w:rFonts w:ascii="SimSun" w:hAnsi="SimSun" w:eastAsia="SimSun" w:cs="SimSun"/>
          <w:sz w:val="22"/>
          <w:szCs w:val="22"/>
        </w:rPr>
      </w:pPr>
      <w:r>
        <w:rPr>
          <w:rFonts w:ascii="SimSun" w:hAnsi="SimSun" w:eastAsia="SimSun" w:cs="SimSun"/>
          <w:sz w:val="22"/>
          <w:szCs w:val="22"/>
          <w:spacing w:val="-6"/>
        </w:rPr>
        <w:t>【成熟度等级说明】</w:t>
      </w:r>
    </w:p>
    <w:p>
      <w:pPr>
        <w:ind w:right="291" w:firstLine="410"/>
        <w:spacing w:before="46" w:line="253" w:lineRule="auto"/>
        <w:rPr>
          <w:rFonts w:ascii="SimSun" w:hAnsi="SimSun" w:eastAsia="SimSun" w:cs="SimSun"/>
          <w:sz w:val="22"/>
          <w:szCs w:val="22"/>
        </w:rPr>
      </w:pPr>
      <w:r>
        <w:rPr>
          <w:rFonts w:ascii="SimSun" w:hAnsi="SimSun" w:eastAsia="SimSun" w:cs="SimSun"/>
          <w:sz w:val="22"/>
          <w:szCs w:val="22"/>
          <w:spacing w:val="-8"/>
        </w:rPr>
        <w:t>成本效益分析是持续的过程，随着数据治理收益的变化，成本效益分析结果也</w:t>
      </w:r>
      <w:r>
        <w:rPr>
          <w:rFonts w:ascii="SimSun" w:hAnsi="SimSun" w:eastAsia="SimSun" w:cs="SimSun"/>
          <w:sz w:val="22"/>
          <w:szCs w:val="22"/>
          <w:spacing w:val="3"/>
        </w:rPr>
        <w:t xml:space="preserve"> </w:t>
      </w:r>
      <w:r>
        <w:rPr>
          <w:rFonts w:ascii="SimSun" w:hAnsi="SimSun" w:eastAsia="SimSun" w:cs="SimSun"/>
          <w:sz w:val="22"/>
          <w:szCs w:val="22"/>
          <w:spacing w:val="-8"/>
        </w:rPr>
        <w:t>是变化的，进而会影响业务案例的变更，尤其是新的数据治理倡议的规划。组织采</w:t>
      </w:r>
      <w:r>
        <w:rPr>
          <w:rFonts w:ascii="SimSun" w:hAnsi="SimSun" w:eastAsia="SimSun" w:cs="SimSun"/>
          <w:sz w:val="22"/>
          <w:szCs w:val="22"/>
          <w:spacing w:val="16"/>
        </w:rPr>
        <w:t xml:space="preserve"> </w:t>
      </w:r>
      <w:r>
        <w:rPr>
          <w:rFonts w:ascii="SimSun" w:hAnsi="SimSun" w:eastAsia="SimSun" w:cs="SimSun"/>
          <w:sz w:val="22"/>
          <w:szCs w:val="22"/>
          <w:spacing w:val="-8"/>
        </w:rPr>
        <w:t>用预测模型，预判可能因为业务案例改变给数据治理</w:t>
      </w:r>
      <w:r>
        <w:rPr>
          <w:rFonts w:ascii="SimSun" w:hAnsi="SimSun" w:eastAsia="SimSun" w:cs="SimSun"/>
          <w:sz w:val="22"/>
          <w:szCs w:val="22"/>
          <w:spacing w:val="-9"/>
        </w:rPr>
        <w:t>带来的影响。预判模型可以是</w:t>
      </w:r>
      <w:r>
        <w:rPr>
          <w:rFonts w:ascii="SimSun" w:hAnsi="SimSun" w:eastAsia="SimSun" w:cs="SimSun"/>
          <w:sz w:val="22"/>
          <w:szCs w:val="22"/>
        </w:rPr>
        <w:t xml:space="preserve"> </w:t>
      </w:r>
      <w:r>
        <w:rPr>
          <w:rFonts w:ascii="SimSun" w:hAnsi="SimSun" w:eastAsia="SimSun" w:cs="SimSun"/>
          <w:sz w:val="22"/>
          <w:szCs w:val="22"/>
          <w:spacing w:val="-7"/>
        </w:rPr>
        <w:t>专业的方法论和工具，可以是行业内已有的最佳</w:t>
      </w:r>
      <w:r>
        <w:rPr>
          <w:rFonts w:ascii="SimSun" w:hAnsi="SimSun" w:eastAsia="SimSun" w:cs="SimSun"/>
          <w:sz w:val="22"/>
          <w:szCs w:val="22"/>
          <w:spacing w:val="-8"/>
        </w:rPr>
        <w:t>实践，也可能是借鉴类似活动得到</w:t>
      </w:r>
      <w:r>
        <w:rPr>
          <w:rFonts w:ascii="SimSun" w:hAnsi="SimSun" w:eastAsia="SimSun" w:cs="SimSun"/>
          <w:sz w:val="22"/>
          <w:szCs w:val="22"/>
        </w:rPr>
        <w:t xml:space="preserve"> </w:t>
      </w:r>
      <w:r>
        <w:rPr>
          <w:rFonts w:ascii="SimSun" w:hAnsi="SimSun" w:eastAsia="SimSun" w:cs="SimSun"/>
          <w:sz w:val="22"/>
          <w:szCs w:val="22"/>
          <w:spacing w:val="-16"/>
        </w:rPr>
        <w:t>的经验总结。</w:t>
      </w:r>
    </w:p>
    <w:p>
      <w:pPr>
        <w:ind w:left="413"/>
        <w:spacing w:before="198" w:line="224" w:lineRule="auto"/>
        <w:outlineLvl w:val="2"/>
        <w:rPr>
          <w:rFonts w:ascii="YouYuan" w:hAnsi="YouYuan" w:eastAsia="YouYuan" w:cs="YouYuan"/>
          <w:sz w:val="22"/>
          <w:szCs w:val="22"/>
        </w:rPr>
      </w:pPr>
      <w:r>
        <w:rPr>
          <w:rFonts w:ascii="YouYuan" w:hAnsi="YouYuan" w:eastAsia="YouYuan" w:cs="YouYuan"/>
          <w:sz w:val="22"/>
          <w:szCs w:val="22"/>
          <w:b/>
          <w:bCs/>
        </w:rPr>
        <w:t>4.</w:t>
      </w:r>
      <w:r>
        <w:rPr>
          <w:rFonts w:ascii="YouYuan" w:hAnsi="YouYuan" w:eastAsia="YouYuan" w:cs="YouYuan"/>
          <w:sz w:val="22"/>
          <w:szCs w:val="22"/>
          <w:spacing w:val="-13"/>
        </w:rPr>
        <w:t xml:space="preserve"> </w:t>
      </w:r>
      <w:r>
        <w:rPr>
          <w:rFonts w:ascii="YouYuan" w:hAnsi="YouYuan" w:eastAsia="YouYuan" w:cs="YouYuan"/>
          <w:sz w:val="22"/>
          <w:szCs w:val="22"/>
          <w:b/>
          <w:bCs/>
        </w:rPr>
        <w:t>实施案例</w:t>
      </w:r>
    </w:p>
    <w:p>
      <w:pPr>
        <w:ind w:left="410"/>
        <w:spacing w:before="231" w:line="219" w:lineRule="auto"/>
        <w:rPr>
          <w:rFonts w:ascii="SimSun" w:hAnsi="SimSun" w:eastAsia="SimSun" w:cs="SimSun"/>
          <w:sz w:val="22"/>
          <w:szCs w:val="22"/>
        </w:rPr>
      </w:pPr>
      <w:r>
        <w:rPr>
          <w:rFonts w:ascii="SimSun" w:hAnsi="SimSun" w:eastAsia="SimSun" w:cs="SimSun"/>
          <w:sz w:val="22"/>
          <w:szCs w:val="22"/>
          <w:spacing w:val="1"/>
        </w:rPr>
        <w:t>(1)文件名称列表</w:t>
      </w:r>
    </w:p>
    <w:p>
      <w:pPr>
        <w:ind w:left="300"/>
        <w:spacing w:before="58" w:line="301" w:lineRule="exact"/>
        <w:rPr>
          <w:rFonts w:ascii="SimSun" w:hAnsi="SimSun" w:eastAsia="SimSun" w:cs="SimSun"/>
          <w:sz w:val="22"/>
          <w:szCs w:val="22"/>
        </w:rPr>
      </w:pPr>
      <w:r>
        <w:rPr>
          <w:rFonts w:ascii="SimSun" w:hAnsi="SimSun" w:eastAsia="SimSun" w:cs="SimSun"/>
          <w:sz w:val="22"/>
          <w:szCs w:val="22"/>
          <w:spacing w:val="-11"/>
          <w:position w:val="5"/>
        </w:rPr>
        <w:t>《云端数据治理业务案例》</w:t>
      </w:r>
    </w:p>
    <w:p>
      <w:pPr>
        <w:ind w:left="410"/>
        <w:spacing w:line="220" w:lineRule="auto"/>
        <w:rPr>
          <w:rFonts w:ascii="SimSun" w:hAnsi="SimSun" w:eastAsia="SimSun" w:cs="SimSun"/>
          <w:sz w:val="22"/>
          <w:szCs w:val="22"/>
        </w:rPr>
      </w:pPr>
      <w:r>
        <w:rPr>
          <w:rFonts w:ascii="SimSun" w:hAnsi="SimSun" w:eastAsia="SimSun" w:cs="SimSun"/>
          <w:sz w:val="22"/>
          <w:szCs w:val="22"/>
          <w:spacing w:val="4"/>
        </w:rPr>
        <w:t>(2)实施案例</w:t>
      </w:r>
    </w:p>
    <w:p>
      <w:pPr>
        <w:ind w:left="410"/>
        <w:spacing w:before="46" w:line="219" w:lineRule="auto"/>
        <w:rPr>
          <w:rFonts w:ascii="SimSun" w:hAnsi="SimSun" w:eastAsia="SimSun" w:cs="SimSun"/>
          <w:sz w:val="22"/>
          <w:szCs w:val="22"/>
        </w:rPr>
      </w:pPr>
      <w:r>
        <w:rPr>
          <w:rFonts w:ascii="SimSun" w:hAnsi="SimSun" w:eastAsia="SimSun" w:cs="SimSun"/>
          <w:sz w:val="22"/>
          <w:szCs w:val="22"/>
          <w:spacing w:val="-14"/>
        </w:rPr>
        <w:t>下表展示了一个业务案例的模板。</w:t>
      </w:r>
    </w:p>
    <w:p>
      <w:pPr>
        <w:spacing w:line="116" w:lineRule="exact"/>
        <w:rPr/>
      </w:pPr>
      <w:r/>
    </w:p>
    <w:tbl>
      <w:tblPr>
        <w:tblStyle w:val="TableNormal"/>
        <w:tblW w:w="7650" w:type="dxa"/>
        <w:tblInd w:w="50"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1409" w:hRule="atLeast"/>
        </w:trPr>
        <w:tc>
          <w:tcPr>
            <w:tcW w:w="7650" w:type="dxa"/>
            <w:vAlign w:val="top"/>
          </w:tcPr>
          <w:p>
            <w:pPr>
              <w:pStyle w:val="TableText"/>
              <w:ind w:left="3364"/>
              <w:spacing w:before="140" w:line="219" w:lineRule="auto"/>
              <w:rPr/>
            </w:pPr>
            <w:r>
              <w:rPr>
                <w:spacing w:val="-1"/>
              </w:rPr>
              <w:t>业务案例模板</w:t>
            </w:r>
          </w:p>
          <w:p>
            <w:pPr>
              <w:spacing w:line="31" w:lineRule="exact"/>
              <w:rPr/>
            </w:pPr>
            <w:r/>
          </w:p>
          <w:tbl>
            <w:tblPr>
              <w:tblStyle w:val="TableNormal"/>
              <w:tblW w:w="7309" w:type="dxa"/>
              <w:tblInd w:w="1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71"/>
              <w:gridCol w:w="5038"/>
            </w:tblGrid>
            <w:tr>
              <w:trPr>
                <w:trHeight w:val="312" w:hRule="atLeast"/>
              </w:trPr>
              <w:tc>
                <w:tcPr>
                  <w:tcW w:w="2271" w:type="dxa"/>
                  <w:vAlign w:val="top"/>
                </w:tcPr>
                <w:p>
                  <w:pPr>
                    <w:pStyle w:val="TableText"/>
                    <w:ind w:left="124"/>
                    <w:spacing w:before="81" w:line="220" w:lineRule="auto"/>
                    <w:rPr/>
                  </w:pPr>
                  <w:r>
                    <w:rPr>
                      <w:spacing w:val="-3"/>
                    </w:rPr>
                    <w:t>一、项目名称</w:t>
                  </w:r>
                </w:p>
              </w:tc>
              <w:tc>
                <w:tcPr>
                  <w:tcW w:w="5038" w:type="dxa"/>
                  <w:vAlign w:val="top"/>
                </w:tcPr>
                <w:p>
                  <w:pPr>
                    <w:rPr>
                      <w:rFonts w:ascii="Arial"/>
                      <w:sz w:val="21"/>
                    </w:rPr>
                  </w:pPr>
                  <w:r/>
                </w:p>
              </w:tc>
            </w:tr>
            <w:tr>
              <w:trPr>
                <w:trHeight w:val="316" w:hRule="atLeast"/>
              </w:trPr>
              <w:tc>
                <w:tcPr>
                  <w:tcW w:w="2271" w:type="dxa"/>
                  <w:vAlign w:val="top"/>
                </w:tcPr>
                <w:p>
                  <w:pPr>
                    <w:pStyle w:val="TableText"/>
                    <w:ind w:left="124"/>
                    <w:spacing w:before="89" w:line="219" w:lineRule="auto"/>
                    <w:rPr/>
                  </w:pPr>
                  <w:r>
                    <w:rPr>
                      <w:spacing w:val="-2"/>
                    </w:rPr>
                    <w:t>二、项目概述</w:t>
                  </w:r>
                </w:p>
              </w:tc>
              <w:tc>
                <w:tcPr>
                  <w:tcW w:w="5038" w:type="dxa"/>
                  <w:vAlign w:val="top"/>
                </w:tcPr>
                <w:p>
                  <w:pPr>
                    <w:rPr>
                      <w:rFonts w:ascii="Arial"/>
                      <w:sz w:val="21"/>
                    </w:rPr>
                  </w:pPr>
                  <w:r/>
                </w:p>
              </w:tc>
            </w:tr>
            <w:tr>
              <w:trPr>
                <w:trHeight w:val="312" w:hRule="atLeast"/>
              </w:trPr>
              <w:tc>
                <w:tcPr>
                  <w:tcW w:w="2271" w:type="dxa"/>
                  <w:vAlign w:val="top"/>
                </w:tcPr>
                <w:p>
                  <w:pPr>
                    <w:pStyle w:val="TableText"/>
                    <w:ind w:left="124"/>
                    <w:spacing w:before="82" w:line="219" w:lineRule="auto"/>
                    <w:rPr/>
                  </w:pPr>
                  <w:r>
                    <w:rPr>
                      <w:spacing w:val="-1"/>
                    </w:rPr>
                    <w:t>三、业务机会</w:t>
                  </w:r>
                </w:p>
              </w:tc>
              <w:tc>
                <w:tcPr>
                  <w:tcW w:w="5038" w:type="dxa"/>
                  <w:vAlign w:val="top"/>
                </w:tcPr>
                <w:p>
                  <w:pPr>
                    <w:rPr>
                      <w:rFonts w:ascii="Arial"/>
                      <w:sz w:val="21"/>
                    </w:rPr>
                  </w:pPr>
                  <w:r/>
                </w:p>
              </w:tc>
            </w:tr>
          </w:tbl>
          <w:p>
            <w:pPr>
              <w:spacing w:line="69" w:lineRule="exact"/>
              <w:rPr>
                <w:rFonts w:ascii="Arial"/>
                <w:sz w:val="6"/>
              </w:rPr>
            </w:pPr>
            <w:r/>
          </w:p>
        </w:tc>
      </w:tr>
    </w:tbl>
    <w:p>
      <w:pPr>
        <w:pStyle w:val="BodyText"/>
        <w:rPr/>
      </w:pPr>
      <w:r/>
    </w:p>
    <w:p>
      <w:pPr>
        <w:sectPr>
          <w:footerReference w:type="default" r:id="rId172"/>
          <w:pgSz w:w="8870" w:h="13400"/>
          <w:pgMar w:top="400" w:right="403" w:bottom="544" w:left="519" w:header="0" w:footer="326" w:gutter="0"/>
        </w:sectPr>
        <w:rPr/>
      </w:pPr>
    </w:p>
    <w:p>
      <w:pPr>
        <w:ind w:left="212"/>
        <w:spacing w:before="296" w:line="219" w:lineRule="auto"/>
        <w:rPr>
          <w:rFonts w:ascii="SimSun" w:hAnsi="SimSun" w:eastAsia="SimSun" w:cs="SimSun"/>
          <w:sz w:val="23"/>
          <w:szCs w:val="23"/>
        </w:rPr>
      </w:pPr>
      <w:r>
        <w:pict>
          <v:rect id="_x0000_s308" style="position:absolute;margin-left:20.9997pt;margin-top:31.4967pt;mso-position-vertical-relative:page;mso-position-horizontal-relative:page;width:0.55pt;height:18.05pt;z-index:253344768;" o:allowincell="f" fillcolor="#000000" filled="true" stroked="false"/>
        </w:pict>
      </w:r>
      <w:r>
        <w:rPr>
          <w:rFonts w:ascii="SimSun" w:hAnsi="SimSun" w:eastAsia="SimSun" w:cs="SimSun"/>
          <w:sz w:val="23"/>
          <w:szCs w:val="23"/>
          <w:b/>
          <w:bCs/>
          <w:spacing w:val="-24"/>
        </w:rPr>
        <w:t>■云端数据治理</w:t>
      </w:r>
    </w:p>
    <w:p>
      <w:pPr>
        <w:pStyle w:val="BodyText"/>
        <w:spacing w:line="284" w:lineRule="auto"/>
        <w:rPr/>
      </w:pPr>
      <w:r/>
    </w:p>
    <w:p>
      <w:pPr>
        <w:ind w:left="7059"/>
        <w:spacing w:before="52" w:line="220" w:lineRule="auto"/>
        <w:rPr>
          <w:rFonts w:ascii="SimSun" w:hAnsi="SimSun" w:eastAsia="SimSun" w:cs="SimSun"/>
          <w:sz w:val="16"/>
          <w:szCs w:val="16"/>
        </w:rPr>
      </w:pPr>
      <w:r>
        <w:drawing>
          <wp:anchor distT="0" distB="0" distL="0" distR="0" simplePos="0" relativeHeight="253336576" behindDoc="1" locked="0" layoutInCell="1" allowOverlap="1">
            <wp:simplePos x="0" y="0"/>
            <wp:positionH relativeFrom="column">
              <wp:posOffset>139685</wp:posOffset>
            </wp:positionH>
            <wp:positionV relativeFrom="paragraph">
              <wp:posOffset>-41186</wp:posOffset>
            </wp:positionV>
            <wp:extent cx="4889472" cy="7207208"/>
            <wp:effectExtent l="0" t="0" r="0" b="0"/>
            <wp:wrapNone/>
            <wp:docPr id="142" name="IM 142"/>
            <wp:cNvGraphicFramePr/>
            <a:graphic>
              <a:graphicData uri="http://schemas.openxmlformats.org/drawingml/2006/picture">
                <pic:pic>
                  <pic:nvPicPr>
                    <pic:cNvPr id="142" name="IM 142"/>
                    <pic:cNvPicPr/>
                  </pic:nvPicPr>
                  <pic:blipFill>
                    <a:blip r:embed="rId174"/>
                    <a:stretch>
                      <a:fillRect/>
                    </a:stretch>
                  </pic:blipFill>
                  <pic:spPr>
                    <a:xfrm rot="0">
                      <a:off x="0" y="0"/>
                      <a:ext cx="4889472" cy="7207208"/>
                    </a:xfrm>
                    <a:prstGeom prst="rect">
                      <a:avLst/>
                    </a:prstGeom>
                  </pic:spPr>
                </pic:pic>
              </a:graphicData>
            </a:graphic>
          </wp:anchor>
        </w:drawing>
      </w:r>
      <w:r>
        <w:rPr>
          <w:rFonts w:ascii="SimSun" w:hAnsi="SimSun" w:eastAsia="SimSun" w:cs="SimSun"/>
          <w:sz w:val="16"/>
          <w:szCs w:val="16"/>
          <w:spacing w:val="-3"/>
        </w:rPr>
        <w:t>续表</w:t>
      </w:r>
    </w:p>
    <w:p>
      <w:pPr>
        <w:ind w:left="519"/>
        <w:spacing w:before="88" w:line="219" w:lineRule="auto"/>
        <w:rPr>
          <w:rFonts w:ascii="SimSun" w:hAnsi="SimSun" w:eastAsia="SimSun" w:cs="SimSun"/>
          <w:sz w:val="15"/>
          <w:szCs w:val="15"/>
        </w:rPr>
      </w:pPr>
      <w:r>
        <w:rPr>
          <w:rFonts w:ascii="SimSun" w:hAnsi="SimSun" w:eastAsia="SimSun" w:cs="SimSun"/>
          <w:sz w:val="15"/>
          <w:szCs w:val="15"/>
        </w:rPr>
        <w:t>四、业务结果潜在效应</w:t>
      </w:r>
    </w:p>
    <w:p>
      <w:pPr>
        <w:ind w:left="519"/>
        <w:spacing w:before="122" w:line="220" w:lineRule="auto"/>
        <w:rPr>
          <w:rFonts w:ascii="SimSun" w:hAnsi="SimSun" w:eastAsia="SimSun" w:cs="SimSun"/>
          <w:sz w:val="15"/>
          <w:szCs w:val="15"/>
        </w:rPr>
      </w:pPr>
      <w:r>
        <w:rPr>
          <w:rFonts w:ascii="SimSun" w:hAnsi="SimSun" w:eastAsia="SimSun" w:cs="SimSun"/>
          <w:sz w:val="15"/>
          <w:szCs w:val="15"/>
          <w:spacing w:val="-2"/>
        </w:rPr>
        <w:t>五、活动倡议</w:t>
      </w:r>
    </w:p>
    <w:p>
      <w:pPr>
        <w:ind w:left="519"/>
        <w:spacing w:before="109" w:line="219" w:lineRule="auto"/>
        <w:rPr>
          <w:rFonts w:ascii="SimSun" w:hAnsi="SimSun" w:eastAsia="SimSun" w:cs="SimSun"/>
          <w:sz w:val="15"/>
          <w:szCs w:val="15"/>
        </w:rPr>
      </w:pPr>
      <w:r>
        <w:rPr>
          <w:rFonts w:ascii="SimSun" w:hAnsi="SimSun" w:eastAsia="SimSun" w:cs="SimSun"/>
          <w:sz w:val="15"/>
          <w:szCs w:val="15"/>
          <w:spacing w:val="-1"/>
        </w:rPr>
        <w:t>六、假设条件</w:t>
      </w:r>
    </w:p>
    <w:p>
      <w:pPr>
        <w:ind w:left="540"/>
        <w:spacing w:before="113" w:line="220" w:lineRule="auto"/>
        <w:rPr>
          <w:rFonts w:ascii="SimSun" w:hAnsi="SimSun" w:eastAsia="SimSun" w:cs="SimSun"/>
          <w:sz w:val="15"/>
          <w:szCs w:val="15"/>
        </w:rPr>
      </w:pPr>
      <w:r>
        <w:rPr>
          <w:rFonts w:ascii="SimSun" w:hAnsi="SimSun" w:eastAsia="SimSun" w:cs="SimSun"/>
          <w:sz w:val="15"/>
          <w:szCs w:val="15"/>
          <w:spacing w:val="-1"/>
        </w:rPr>
        <w:t>七、倡议分析</w:t>
      </w:r>
    </w:p>
    <w:p>
      <w:pPr>
        <w:ind w:left="519"/>
        <w:spacing w:before="101" w:line="220" w:lineRule="auto"/>
        <w:rPr>
          <w:rFonts w:ascii="SimSun" w:hAnsi="SimSun" w:eastAsia="SimSun" w:cs="SimSun"/>
          <w:sz w:val="15"/>
          <w:szCs w:val="15"/>
        </w:rPr>
      </w:pPr>
      <w:r>
        <w:rPr>
          <w:rFonts w:ascii="SimSun" w:hAnsi="SimSun" w:eastAsia="SimSun" w:cs="SimSun"/>
          <w:sz w:val="15"/>
          <w:szCs w:val="15"/>
          <w:spacing w:val="14"/>
        </w:rPr>
        <w:t>倡议1.</w:t>
      </w:r>
    </w:p>
    <w:p>
      <w:pPr>
        <w:ind w:left="1989"/>
        <w:spacing w:before="121" w:line="219" w:lineRule="auto"/>
        <w:rPr>
          <w:rFonts w:ascii="SimSun" w:hAnsi="SimSun" w:eastAsia="SimSun" w:cs="SimSun"/>
          <w:sz w:val="15"/>
          <w:szCs w:val="15"/>
        </w:rPr>
      </w:pPr>
      <w:r>
        <w:rPr>
          <w:rFonts w:ascii="SimSun" w:hAnsi="SimSun" w:eastAsia="SimSun" w:cs="SimSun"/>
          <w:sz w:val="15"/>
          <w:szCs w:val="15"/>
          <w:spacing w:val="-1"/>
        </w:rPr>
        <w:t>优势分析                                         劣势分析</w:t>
      </w:r>
    </w:p>
    <w:p>
      <w:pPr>
        <w:pStyle w:val="BodyText"/>
        <w:spacing w:line="361" w:lineRule="auto"/>
        <w:rPr/>
      </w:pPr>
      <w:r/>
    </w:p>
    <w:p>
      <w:pPr>
        <w:ind w:left="540"/>
        <w:spacing w:before="50" w:line="220" w:lineRule="auto"/>
        <w:rPr>
          <w:rFonts w:ascii="SimSun" w:hAnsi="SimSun" w:eastAsia="SimSun" w:cs="SimSun"/>
          <w:sz w:val="15"/>
          <w:szCs w:val="15"/>
        </w:rPr>
      </w:pPr>
      <w:r>
        <w:rPr>
          <w:rFonts w:ascii="SimSun" w:hAnsi="SimSun" w:eastAsia="SimSun" w:cs="SimSun"/>
          <w:sz w:val="15"/>
          <w:szCs w:val="15"/>
          <w:spacing w:val="14"/>
        </w:rPr>
        <w:t>倡议2.</w:t>
      </w:r>
    </w:p>
    <w:p>
      <w:pPr>
        <w:ind w:left="1989"/>
        <w:spacing w:before="121" w:line="219" w:lineRule="auto"/>
        <w:rPr>
          <w:rFonts w:ascii="SimSun" w:hAnsi="SimSun" w:eastAsia="SimSun" w:cs="SimSun"/>
          <w:sz w:val="15"/>
          <w:szCs w:val="15"/>
        </w:rPr>
      </w:pPr>
      <w:r>
        <w:rPr>
          <w:rFonts w:ascii="SimSun" w:hAnsi="SimSun" w:eastAsia="SimSun" w:cs="SimSun"/>
          <w:sz w:val="15"/>
          <w:szCs w:val="15"/>
          <w:spacing w:val="-1"/>
        </w:rPr>
        <w:t>优势分析                                         劣势分析</w:t>
      </w:r>
    </w:p>
    <w:p>
      <w:pPr>
        <w:pStyle w:val="BodyText"/>
        <w:spacing w:line="361" w:lineRule="auto"/>
        <w:rPr/>
      </w:pPr>
      <w:r/>
    </w:p>
    <w:p>
      <w:pPr>
        <w:ind w:left="540"/>
        <w:spacing w:before="49" w:line="220" w:lineRule="auto"/>
        <w:rPr>
          <w:rFonts w:ascii="SimSun" w:hAnsi="SimSun" w:eastAsia="SimSun" w:cs="SimSun"/>
          <w:sz w:val="15"/>
          <w:szCs w:val="15"/>
        </w:rPr>
      </w:pPr>
      <w:r>
        <w:rPr>
          <w:rFonts w:ascii="SimSun" w:hAnsi="SimSun" w:eastAsia="SimSun" w:cs="SimSun"/>
          <w:sz w:val="15"/>
          <w:szCs w:val="15"/>
          <w:spacing w:val="14"/>
        </w:rPr>
        <w:t>倡议3.</w:t>
      </w:r>
    </w:p>
    <w:p>
      <w:pPr>
        <w:ind w:left="1989"/>
        <w:spacing w:before="111" w:line="219" w:lineRule="auto"/>
        <w:rPr>
          <w:rFonts w:ascii="SimSun" w:hAnsi="SimSun" w:eastAsia="SimSun" w:cs="SimSun"/>
          <w:sz w:val="15"/>
          <w:szCs w:val="15"/>
        </w:rPr>
      </w:pPr>
      <w:r>
        <w:rPr>
          <w:rFonts w:ascii="SimSun" w:hAnsi="SimSun" w:eastAsia="SimSun" w:cs="SimSun"/>
          <w:sz w:val="15"/>
          <w:szCs w:val="15"/>
          <w:spacing w:val="-1"/>
        </w:rPr>
        <w:t>优势分析                                         劣势分析</w:t>
      </w:r>
    </w:p>
    <w:p>
      <w:pPr>
        <w:pStyle w:val="BodyText"/>
        <w:spacing w:line="351" w:lineRule="auto"/>
        <w:rPr/>
      </w:pPr>
      <w:r/>
    </w:p>
    <w:p>
      <w:pPr>
        <w:ind w:left="540"/>
        <w:spacing w:before="49" w:line="220" w:lineRule="auto"/>
        <w:rPr>
          <w:rFonts w:ascii="SimSun" w:hAnsi="SimSun" w:eastAsia="SimSun" w:cs="SimSun"/>
          <w:sz w:val="15"/>
          <w:szCs w:val="15"/>
        </w:rPr>
      </w:pPr>
      <w:r>
        <w:rPr>
          <w:rFonts w:ascii="SimSun" w:hAnsi="SimSun" w:eastAsia="SimSun" w:cs="SimSun"/>
          <w:sz w:val="15"/>
          <w:szCs w:val="15"/>
          <w:spacing w:val="-1"/>
        </w:rPr>
        <w:t>八、风险分析与处理计划</w:t>
      </w:r>
    </w:p>
    <w:p>
      <w:pPr>
        <w:ind w:left="2139"/>
        <w:spacing w:before="121" w:line="220" w:lineRule="auto"/>
        <w:rPr>
          <w:rFonts w:ascii="SimSun" w:hAnsi="SimSun" w:eastAsia="SimSun" w:cs="SimSun"/>
          <w:sz w:val="15"/>
          <w:szCs w:val="15"/>
        </w:rPr>
      </w:pPr>
      <w:r>
        <w:pict>
          <v:shape id="_x0000_s310" style="position:absolute;margin-left:280.999pt;margin-top:5.09378pt;mso-position-vertical-relative:text;mso-position-horizontal-relative:text;width:31.6pt;height:11pt;z-index:25334067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处理计划</w:t>
                  </w:r>
                </w:p>
              </w:txbxContent>
            </v:textbox>
          </v:shape>
        </w:pict>
      </w:r>
      <w:r>
        <w:rPr>
          <w:rFonts w:ascii="SimSun" w:hAnsi="SimSun" w:eastAsia="SimSun" w:cs="SimSun"/>
          <w:sz w:val="15"/>
          <w:szCs w:val="15"/>
          <w:spacing w:val="-2"/>
        </w:rPr>
        <w:t>风险</w:t>
      </w:r>
    </w:p>
    <w:p>
      <w:pPr>
        <w:pStyle w:val="BodyText"/>
        <w:spacing w:line="334" w:lineRule="auto"/>
        <w:rPr/>
      </w:pPr>
      <w:r/>
    </w:p>
    <w:p>
      <w:pPr>
        <w:pStyle w:val="BodyText"/>
        <w:spacing w:line="334" w:lineRule="auto"/>
        <w:rPr/>
      </w:pPr>
      <w:r/>
    </w:p>
    <w:p>
      <w:pPr>
        <w:ind w:left="540"/>
        <w:spacing w:before="49" w:line="219" w:lineRule="auto"/>
        <w:rPr>
          <w:rFonts w:ascii="SimSun" w:hAnsi="SimSun" w:eastAsia="SimSun" w:cs="SimSun"/>
          <w:sz w:val="15"/>
          <w:szCs w:val="15"/>
        </w:rPr>
      </w:pPr>
      <w:r>
        <w:rPr>
          <w:rFonts w:ascii="SimSun" w:hAnsi="SimSun" w:eastAsia="SimSun" w:cs="SimSun"/>
          <w:sz w:val="15"/>
          <w:szCs w:val="15"/>
          <w:spacing w:val="1"/>
        </w:rPr>
        <w:t>九、业务实施计划</w:t>
      </w:r>
    </w:p>
    <w:p>
      <w:pPr>
        <w:ind w:left="580"/>
        <w:spacing w:before="113" w:line="221" w:lineRule="auto"/>
        <w:rPr>
          <w:rFonts w:ascii="SimSun" w:hAnsi="SimSun" w:eastAsia="SimSun" w:cs="SimSun"/>
          <w:sz w:val="15"/>
          <w:szCs w:val="15"/>
        </w:rPr>
      </w:pPr>
      <w:r>
        <w:rPr>
          <w:rFonts w:ascii="SimSun" w:hAnsi="SimSun" w:eastAsia="SimSun" w:cs="SimSun"/>
          <w:sz w:val="15"/>
          <w:szCs w:val="15"/>
          <w:spacing w:val="5"/>
        </w:rPr>
        <w:t>阶段一</w:t>
      </w:r>
    </w:p>
    <w:p>
      <w:pPr>
        <w:ind w:left="580"/>
        <w:spacing w:before="119" w:line="219" w:lineRule="auto"/>
        <w:rPr>
          <w:rFonts w:ascii="SimSun" w:hAnsi="SimSun" w:eastAsia="SimSun" w:cs="SimSun"/>
          <w:sz w:val="15"/>
          <w:szCs w:val="15"/>
        </w:rPr>
      </w:pPr>
      <w:r>
        <w:rPr>
          <w:rFonts w:ascii="SimSun" w:hAnsi="SimSun" w:eastAsia="SimSun" w:cs="SimSun"/>
          <w:sz w:val="15"/>
          <w:szCs w:val="15"/>
          <w:spacing w:val="-2"/>
        </w:rPr>
        <w:t>活动概述</w:t>
      </w:r>
    </w:p>
    <w:p>
      <w:pPr>
        <w:ind w:left="1449"/>
        <w:spacing w:before="112" w:line="219" w:lineRule="auto"/>
        <w:rPr>
          <w:rFonts w:ascii="SimSun" w:hAnsi="SimSun" w:eastAsia="SimSun" w:cs="SimSun"/>
          <w:sz w:val="15"/>
          <w:szCs w:val="15"/>
        </w:rPr>
      </w:pPr>
      <w:r>
        <w:pict>
          <v:shape id="_x0000_s312" style="position:absolute;margin-left:315.499pt;margin-top:4.60862pt;mso-position-vertical-relative:text;mso-position-horizontal-relative:text;width:23.95pt;height:10.95pt;z-index:25334374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责任人</w:t>
                  </w:r>
                </w:p>
              </w:txbxContent>
            </v:textbox>
          </v:shape>
        </w:pict>
      </w:r>
      <w:r>
        <w:pict>
          <v:shape id="_x0000_s314" style="position:absolute;margin-left:189.998pt;margin-top:4.63862pt;mso-position-vertical-relative:text;mso-position-horizontal-relative:text;width:32.75pt;height:10.95pt;z-index:25333964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截止时间</w:t>
                  </w:r>
                </w:p>
              </w:txbxContent>
            </v:textbox>
          </v:shape>
        </w:pict>
      </w:r>
      <w:r>
        <w:rPr>
          <w:rFonts w:ascii="SimSun" w:hAnsi="SimSun" w:eastAsia="SimSun" w:cs="SimSun"/>
          <w:sz w:val="15"/>
          <w:szCs w:val="15"/>
          <w:spacing w:val="-2"/>
        </w:rPr>
        <w:t>交付物</w:t>
      </w:r>
    </w:p>
    <w:p>
      <w:pPr>
        <w:pStyle w:val="BodyText"/>
        <w:spacing w:line="319" w:lineRule="auto"/>
        <w:rPr/>
      </w:pPr>
      <w:r/>
    </w:p>
    <w:p>
      <w:pPr>
        <w:pStyle w:val="BodyText"/>
        <w:spacing w:line="320" w:lineRule="auto"/>
        <w:rPr/>
      </w:pPr>
      <w:r/>
    </w:p>
    <w:p>
      <w:pPr>
        <w:ind w:left="580"/>
        <w:spacing w:before="50" w:line="220" w:lineRule="auto"/>
        <w:rPr>
          <w:rFonts w:ascii="SimSun" w:hAnsi="SimSun" w:eastAsia="SimSun" w:cs="SimSun"/>
          <w:sz w:val="15"/>
          <w:szCs w:val="15"/>
        </w:rPr>
      </w:pPr>
      <w:r>
        <w:rPr>
          <w:rFonts w:ascii="SimSun" w:hAnsi="SimSun" w:eastAsia="SimSun" w:cs="SimSun"/>
          <w:sz w:val="15"/>
          <w:szCs w:val="15"/>
          <w:spacing w:val="-3"/>
        </w:rPr>
        <w:t>资源需求</w:t>
      </w:r>
    </w:p>
    <w:p>
      <w:pPr>
        <w:ind w:left="580"/>
        <w:spacing w:before="150" w:line="219" w:lineRule="auto"/>
        <w:rPr>
          <w:rFonts w:ascii="SimSun" w:hAnsi="SimSun" w:eastAsia="SimSun" w:cs="SimSun"/>
          <w:sz w:val="15"/>
          <w:szCs w:val="15"/>
        </w:rPr>
      </w:pPr>
      <w:r>
        <w:rPr>
          <w:rFonts w:ascii="SimSun" w:hAnsi="SimSun" w:eastAsia="SimSun" w:cs="SimSun"/>
          <w:sz w:val="15"/>
          <w:szCs w:val="15"/>
          <w:spacing w:val="-1"/>
        </w:rPr>
        <w:t>成本效益分析</w:t>
      </w:r>
    </w:p>
    <w:p>
      <w:pPr>
        <w:ind w:left="580"/>
        <w:spacing w:before="94" w:line="221" w:lineRule="auto"/>
        <w:rPr>
          <w:rFonts w:ascii="SimSun" w:hAnsi="SimSun" w:eastAsia="SimSun" w:cs="SimSun"/>
          <w:sz w:val="15"/>
          <w:szCs w:val="15"/>
        </w:rPr>
      </w:pPr>
      <w:r>
        <w:rPr>
          <w:rFonts w:ascii="SimSun" w:hAnsi="SimSun" w:eastAsia="SimSun" w:cs="SimSun"/>
          <w:sz w:val="15"/>
          <w:szCs w:val="15"/>
          <w:spacing w:val="2"/>
        </w:rPr>
        <w:t>阶段二</w:t>
      </w:r>
    </w:p>
    <w:p>
      <w:pPr>
        <w:ind w:left="580"/>
        <w:spacing w:before="119" w:line="219" w:lineRule="auto"/>
        <w:rPr>
          <w:rFonts w:ascii="SimSun" w:hAnsi="SimSun" w:eastAsia="SimSun" w:cs="SimSun"/>
          <w:sz w:val="15"/>
          <w:szCs w:val="15"/>
        </w:rPr>
      </w:pPr>
      <w:r>
        <w:rPr>
          <w:rFonts w:ascii="SimSun" w:hAnsi="SimSun" w:eastAsia="SimSun" w:cs="SimSun"/>
          <w:sz w:val="15"/>
          <w:szCs w:val="15"/>
          <w:spacing w:val="-2"/>
        </w:rPr>
        <w:t>活动概述</w:t>
      </w:r>
    </w:p>
    <w:p>
      <w:pPr>
        <w:ind w:left="1449"/>
        <w:spacing w:before="112" w:line="219" w:lineRule="auto"/>
        <w:rPr>
          <w:rFonts w:ascii="SimSun" w:hAnsi="SimSun" w:eastAsia="SimSun" w:cs="SimSun"/>
          <w:sz w:val="15"/>
          <w:szCs w:val="15"/>
        </w:rPr>
      </w:pPr>
      <w:r>
        <w:pict>
          <v:shape id="_x0000_s316" style="position:absolute;margin-left:315.499pt;margin-top:4.60192pt;mso-position-vertical-relative:text;mso-position-horizontal-relative:text;width:23.95pt;height:10.95pt;z-index:25334169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责任人</w:t>
                  </w:r>
                </w:p>
              </w:txbxContent>
            </v:textbox>
          </v:shape>
        </w:pict>
      </w:r>
      <w:r>
        <w:pict>
          <v:shape id="_x0000_s318" style="position:absolute;margin-left:189.998pt;margin-top:4.63193pt;mso-position-vertical-relative:text;mso-position-horizontal-relative:text;width:32.75pt;height:10.95pt;z-index:2533376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截止时间</w:t>
                  </w:r>
                </w:p>
              </w:txbxContent>
            </v:textbox>
          </v:shape>
        </w:pict>
      </w:r>
      <w:r>
        <w:rPr>
          <w:rFonts w:ascii="SimSun" w:hAnsi="SimSun" w:eastAsia="SimSun" w:cs="SimSun"/>
          <w:sz w:val="15"/>
          <w:szCs w:val="15"/>
          <w:spacing w:val="-2"/>
        </w:rPr>
        <w:t>交付物</w:t>
      </w:r>
    </w:p>
    <w:p>
      <w:pPr>
        <w:pStyle w:val="BodyText"/>
        <w:spacing w:line="319" w:lineRule="auto"/>
        <w:rPr/>
      </w:pPr>
      <w:r/>
    </w:p>
    <w:p>
      <w:pPr>
        <w:pStyle w:val="BodyText"/>
        <w:spacing w:line="320" w:lineRule="auto"/>
        <w:rPr/>
      </w:pPr>
      <w:r/>
    </w:p>
    <w:p>
      <w:pPr>
        <w:ind w:left="580"/>
        <w:spacing w:before="50" w:line="220" w:lineRule="auto"/>
        <w:rPr>
          <w:rFonts w:ascii="SimSun" w:hAnsi="SimSun" w:eastAsia="SimSun" w:cs="SimSun"/>
          <w:sz w:val="15"/>
          <w:szCs w:val="15"/>
        </w:rPr>
      </w:pPr>
      <w:r>
        <w:rPr>
          <w:rFonts w:ascii="SimSun" w:hAnsi="SimSun" w:eastAsia="SimSun" w:cs="SimSun"/>
          <w:sz w:val="15"/>
          <w:szCs w:val="15"/>
          <w:spacing w:val="-3"/>
        </w:rPr>
        <w:t>资源需求</w:t>
      </w:r>
    </w:p>
    <w:p>
      <w:pPr>
        <w:ind w:left="580"/>
        <w:spacing w:before="110" w:line="219" w:lineRule="auto"/>
        <w:rPr>
          <w:rFonts w:ascii="SimSun" w:hAnsi="SimSun" w:eastAsia="SimSun" w:cs="SimSun"/>
          <w:sz w:val="15"/>
          <w:szCs w:val="15"/>
        </w:rPr>
      </w:pPr>
      <w:r>
        <w:rPr>
          <w:rFonts w:ascii="SimSun" w:hAnsi="SimSun" w:eastAsia="SimSun" w:cs="SimSun"/>
          <w:sz w:val="15"/>
          <w:szCs w:val="15"/>
          <w:spacing w:val="-1"/>
        </w:rPr>
        <w:t>成本效益分析</w:t>
      </w:r>
    </w:p>
    <w:p>
      <w:pPr>
        <w:ind w:left="580"/>
        <w:spacing w:before="123" w:line="221" w:lineRule="auto"/>
        <w:rPr>
          <w:rFonts w:ascii="SimSun" w:hAnsi="SimSun" w:eastAsia="SimSun" w:cs="SimSun"/>
          <w:sz w:val="15"/>
          <w:szCs w:val="15"/>
        </w:rPr>
      </w:pPr>
      <w:r>
        <w:rPr>
          <w:rFonts w:ascii="SimSun" w:hAnsi="SimSun" w:eastAsia="SimSun" w:cs="SimSun"/>
          <w:sz w:val="15"/>
          <w:szCs w:val="15"/>
          <w:spacing w:val="-3"/>
        </w:rPr>
        <w:t>阶段三</w:t>
      </w:r>
    </w:p>
    <w:p>
      <w:pPr>
        <w:ind w:left="580"/>
        <w:spacing w:before="120" w:line="219" w:lineRule="auto"/>
        <w:rPr>
          <w:rFonts w:ascii="SimSun" w:hAnsi="SimSun" w:eastAsia="SimSun" w:cs="SimSun"/>
          <w:sz w:val="15"/>
          <w:szCs w:val="15"/>
        </w:rPr>
      </w:pPr>
      <w:r>
        <w:rPr>
          <w:rFonts w:ascii="SimSun" w:hAnsi="SimSun" w:eastAsia="SimSun" w:cs="SimSun"/>
          <w:sz w:val="15"/>
          <w:szCs w:val="15"/>
          <w:spacing w:val="-2"/>
        </w:rPr>
        <w:t>活动概述</w:t>
      </w:r>
    </w:p>
    <w:p>
      <w:pPr>
        <w:ind w:left="1449"/>
        <w:spacing w:before="122" w:line="219" w:lineRule="auto"/>
        <w:rPr>
          <w:rFonts w:ascii="SimSun" w:hAnsi="SimSun" w:eastAsia="SimSun" w:cs="SimSun"/>
          <w:sz w:val="15"/>
          <w:szCs w:val="15"/>
        </w:rPr>
      </w:pPr>
      <w:r>
        <w:pict>
          <v:shape id="_x0000_s320" style="position:absolute;margin-left:315.499pt;margin-top:5.10442pt;mso-position-vertical-relative:text;mso-position-horizontal-relative:text;width:23.95pt;height:10.95pt;z-index:253342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责任人</w:t>
                  </w:r>
                </w:p>
              </w:txbxContent>
            </v:textbox>
          </v:shape>
        </w:pict>
      </w:r>
      <w:r>
        <w:pict>
          <v:shape id="_x0000_s322" style="position:absolute;margin-left:189.998pt;margin-top:5.13442pt;mso-position-vertical-relative:text;mso-position-horizontal-relative:text;width:32.75pt;height:10.95pt;z-index:25333862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截止时间</w:t>
                  </w:r>
                </w:p>
              </w:txbxContent>
            </v:textbox>
          </v:shape>
        </w:pict>
      </w:r>
      <w:r>
        <w:rPr>
          <w:rFonts w:ascii="SimSun" w:hAnsi="SimSun" w:eastAsia="SimSun" w:cs="SimSun"/>
          <w:sz w:val="15"/>
          <w:szCs w:val="15"/>
          <w:spacing w:val="-2"/>
        </w:rPr>
        <w:t>交付物</w:t>
      </w:r>
    </w:p>
    <w:p>
      <w:pPr>
        <w:spacing w:line="219" w:lineRule="auto"/>
        <w:sectPr>
          <w:footerReference w:type="default" r:id="rId173"/>
          <w:pgSz w:w="8870" w:h="13400"/>
          <w:pgMar w:top="400" w:right="630" w:bottom="451" w:left="320" w:header="0" w:footer="223" w:gutter="0"/>
        </w:sectPr>
        <w:rPr>
          <w:rFonts w:ascii="SimSun" w:hAnsi="SimSun" w:eastAsia="SimSun" w:cs="SimSun"/>
          <w:sz w:val="15"/>
          <w:szCs w:val="15"/>
        </w:rPr>
      </w:pPr>
    </w:p>
    <w:p>
      <w:pPr>
        <w:ind w:left="5523"/>
        <w:spacing w:before="134" w:line="219" w:lineRule="auto"/>
        <w:rPr>
          <w:rFonts w:ascii="SimSun" w:hAnsi="SimSun" w:eastAsia="SimSun" w:cs="SimSun"/>
          <w:sz w:val="22"/>
          <w:szCs w:val="22"/>
        </w:rPr>
      </w:pPr>
      <w:r>
        <w:rPr>
          <w:rFonts w:ascii="SimSun" w:hAnsi="SimSun" w:eastAsia="SimSun" w:cs="SimSun"/>
          <w:sz w:val="22"/>
          <w:szCs w:val="22"/>
          <w:b/>
          <w:bCs/>
          <w:spacing w:val="5"/>
        </w:rPr>
        <w:t>第4章■云端数据战略</w:t>
      </w:r>
    </w:p>
    <w:p>
      <w:pPr>
        <w:pStyle w:val="BodyText"/>
        <w:spacing w:line="292" w:lineRule="auto"/>
        <w:rPr/>
      </w:pPr>
      <w:r/>
    </w:p>
    <w:p>
      <w:pPr>
        <w:pStyle w:val="BodyText"/>
        <w:spacing w:line="293" w:lineRule="auto"/>
        <w:rPr/>
      </w:pPr>
      <w:r/>
    </w:p>
    <w:p>
      <w:pPr>
        <w:ind w:left="4"/>
        <w:spacing w:before="94" w:line="224" w:lineRule="auto"/>
        <w:outlineLvl w:val="1"/>
        <w:rPr>
          <w:rFonts w:ascii="YouYuan" w:hAnsi="YouYuan" w:eastAsia="YouYuan" w:cs="YouYuan"/>
          <w:sz w:val="29"/>
          <w:szCs w:val="29"/>
        </w:rPr>
      </w:pPr>
      <w:r>
        <w:rPr>
          <w:rFonts w:ascii="YouYuan" w:hAnsi="YouYuan" w:eastAsia="YouYuan" w:cs="YouYuan"/>
          <w:sz w:val="29"/>
          <w:szCs w:val="29"/>
          <w:b/>
          <w:bCs/>
          <w:spacing w:val="-8"/>
        </w:rPr>
        <w:t>4.2.4</w:t>
      </w:r>
      <w:r>
        <w:rPr>
          <w:rFonts w:ascii="YouYuan" w:hAnsi="YouYuan" w:eastAsia="YouYuan" w:cs="YouYuan"/>
          <w:sz w:val="29"/>
          <w:szCs w:val="29"/>
          <w:spacing w:val="123"/>
        </w:rPr>
        <w:t xml:space="preserve"> </w:t>
      </w:r>
      <w:r>
        <w:rPr>
          <w:rFonts w:ascii="YouYuan" w:hAnsi="YouYuan" w:eastAsia="YouYuan" w:cs="YouYuan"/>
          <w:sz w:val="29"/>
          <w:szCs w:val="29"/>
          <w:b/>
          <w:bCs/>
          <w:spacing w:val="-8"/>
        </w:rPr>
        <w:t>资源保障</w:t>
      </w:r>
    </w:p>
    <w:p>
      <w:pPr>
        <w:pStyle w:val="BodyText"/>
        <w:spacing w:line="247" w:lineRule="auto"/>
        <w:rPr/>
      </w:pPr>
      <w:r/>
    </w:p>
    <w:p>
      <w:pPr>
        <w:ind w:left="443"/>
        <w:spacing w:before="72" w:line="224" w:lineRule="auto"/>
        <w:outlineLvl w:val="2"/>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13"/>
        </w:rPr>
        <w:t xml:space="preserve"> </w:t>
      </w:r>
      <w:r>
        <w:rPr>
          <w:rFonts w:ascii="YouYuan" w:hAnsi="YouYuan" w:eastAsia="YouYuan" w:cs="YouYuan"/>
          <w:sz w:val="22"/>
          <w:szCs w:val="22"/>
          <w:b/>
          <w:bCs/>
          <w:spacing w:val="-5"/>
        </w:rPr>
        <w:t>简介</w:t>
      </w:r>
    </w:p>
    <w:p>
      <w:pPr>
        <w:ind w:left="439"/>
        <w:spacing w:before="216" w:line="232" w:lineRule="auto"/>
        <w:rPr>
          <w:rFonts w:ascii="KaiTi" w:hAnsi="KaiTi" w:eastAsia="KaiTi" w:cs="KaiTi"/>
          <w:sz w:val="22"/>
          <w:szCs w:val="22"/>
        </w:rPr>
      </w:pPr>
      <w:r>
        <w:rPr>
          <w:rFonts w:ascii="KaiTi" w:hAnsi="KaiTi" w:eastAsia="KaiTi" w:cs="KaiTi"/>
          <w:sz w:val="22"/>
          <w:szCs w:val="22"/>
          <w:spacing w:val="13"/>
        </w:rPr>
        <w:t>1)目的</w:t>
      </w:r>
    </w:p>
    <w:p>
      <w:pPr>
        <w:ind w:left="439"/>
        <w:spacing w:before="26" w:line="219" w:lineRule="auto"/>
        <w:rPr>
          <w:rFonts w:ascii="SimSun" w:hAnsi="SimSun" w:eastAsia="SimSun" w:cs="SimSun"/>
          <w:sz w:val="22"/>
          <w:szCs w:val="22"/>
        </w:rPr>
      </w:pPr>
      <w:r>
        <w:rPr>
          <w:rFonts w:ascii="SimSun" w:hAnsi="SimSun" w:eastAsia="SimSun" w:cs="SimSun"/>
          <w:sz w:val="22"/>
          <w:szCs w:val="22"/>
          <w:spacing w:val="-17"/>
        </w:rPr>
        <w:t>为数据治理活动提供所需的各类资源提供能力进行规划，包括人力和物力资源等。</w:t>
      </w:r>
    </w:p>
    <w:p>
      <w:pPr>
        <w:ind w:left="439"/>
        <w:spacing w:before="39" w:line="219" w:lineRule="auto"/>
        <w:rPr>
          <w:rFonts w:ascii="SimSun" w:hAnsi="SimSun" w:eastAsia="SimSun" w:cs="SimSun"/>
          <w:sz w:val="22"/>
          <w:szCs w:val="22"/>
        </w:rPr>
      </w:pPr>
      <w:r>
        <w:rPr>
          <w:rFonts w:ascii="SimSun" w:hAnsi="SimSun" w:eastAsia="SimSun" w:cs="SimSun"/>
          <w:sz w:val="22"/>
          <w:szCs w:val="22"/>
          <w:spacing w:val="17"/>
        </w:rPr>
        <w:t>2)介绍</w:t>
      </w:r>
    </w:p>
    <w:p>
      <w:pPr>
        <w:ind w:right="311" w:firstLine="439"/>
        <w:spacing w:before="68" w:line="247" w:lineRule="auto"/>
        <w:rPr>
          <w:rFonts w:ascii="SimSun" w:hAnsi="SimSun" w:eastAsia="SimSun" w:cs="SimSun"/>
          <w:sz w:val="22"/>
          <w:szCs w:val="22"/>
        </w:rPr>
      </w:pPr>
      <w:r>
        <w:rPr>
          <w:rFonts w:ascii="SimSun" w:hAnsi="SimSun" w:eastAsia="SimSun" w:cs="SimSun"/>
          <w:sz w:val="22"/>
          <w:szCs w:val="22"/>
          <w:spacing w:val="-8"/>
        </w:rPr>
        <w:t>资源是保障数据治理活动实施最基本的条件，包括人力</w:t>
      </w:r>
      <w:r>
        <w:rPr>
          <w:rFonts w:ascii="SimSun" w:hAnsi="SimSun" w:eastAsia="SimSun" w:cs="SimSun"/>
          <w:sz w:val="22"/>
          <w:szCs w:val="22"/>
          <w:spacing w:val="-9"/>
        </w:rPr>
        <w:t>和物力资源等。组织应</w:t>
      </w:r>
      <w:r>
        <w:rPr>
          <w:rFonts w:ascii="SimSun" w:hAnsi="SimSun" w:eastAsia="SimSun" w:cs="SimSun"/>
          <w:sz w:val="22"/>
          <w:szCs w:val="22"/>
        </w:rPr>
        <w:t xml:space="preserve"> </w:t>
      </w:r>
      <w:r>
        <w:rPr>
          <w:rFonts w:ascii="SimSun" w:hAnsi="SimSun" w:eastAsia="SimSun" w:cs="SimSun"/>
          <w:sz w:val="22"/>
          <w:szCs w:val="22"/>
          <w:spacing w:val="-8"/>
        </w:rPr>
        <w:t>当确保足够的人力资源投入到数据治理活动中，并让其他数据利益相关者参与到数</w:t>
      </w:r>
      <w:r>
        <w:rPr>
          <w:rFonts w:ascii="SimSun" w:hAnsi="SimSun" w:eastAsia="SimSun" w:cs="SimSun"/>
          <w:sz w:val="22"/>
          <w:szCs w:val="22"/>
          <w:spacing w:val="6"/>
        </w:rPr>
        <w:t xml:space="preserve"> </w:t>
      </w:r>
      <w:r>
        <w:rPr>
          <w:rFonts w:ascii="SimSun" w:hAnsi="SimSun" w:eastAsia="SimSun" w:cs="SimSun"/>
          <w:sz w:val="22"/>
          <w:szCs w:val="22"/>
          <w:spacing w:val="-12"/>
        </w:rPr>
        <w:t>据治理过程中。</w:t>
      </w:r>
    </w:p>
    <w:p>
      <w:pPr>
        <w:ind w:right="309" w:firstLine="439"/>
        <w:spacing w:before="49" w:line="246" w:lineRule="auto"/>
        <w:rPr>
          <w:rFonts w:ascii="SimSun" w:hAnsi="SimSun" w:eastAsia="SimSun" w:cs="SimSun"/>
          <w:sz w:val="22"/>
          <w:szCs w:val="22"/>
        </w:rPr>
      </w:pPr>
      <w:r>
        <w:rPr>
          <w:rFonts w:ascii="SimSun" w:hAnsi="SimSun" w:eastAsia="SimSun" w:cs="SimSun"/>
          <w:sz w:val="22"/>
          <w:szCs w:val="22"/>
          <w:spacing w:val="-8"/>
        </w:rPr>
        <w:t>人力资源保障。数据治理是高层次的、规划性的数据管</w:t>
      </w:r>
      <w:r>
        <w:rPr>
          <w:rFonts w:ascii="SimSun" w:hAnsi="SimSun" w:eastAsia="SimSun" w:cs="SimSun"/>
          <w:sz w:val="22"/>
          <w:szCs w:val="22"/>
          <w:spacing w:val="-9"/>
        </w:rPr>
        <w:t>理活动，需要众多角色</w:t>
      </w:r>
      <w:r>
        <w:rPr>
          <w:rFonts w:ascii="SimSun" w:hAnsi="SimSun" w:eastAsia="SimSun" w:cs="SimSun"/>
          <w:sz w:val="22"/>
          <w:szCs w:val="22"/>
        </w:rPr>
        <w:t xml:space="preserve"> </w:t>
      </w:r>
      <w:r>
        <w:rPr>
          <w:rFonts w:ascii="SimSun" w:hAnsi="SimSun" w:eastAsia="SimSun" w:cs="SimSun"/>
          <w:sz w:val="22"/>
          <w:szCs w:val="22"/>
          <w:spacing w:val="-8"/>
        </w:rPr>
        <w:t>的协调配合才能得以完成，按照管理职责权限的大小，数据治理人员大致可以分为</w:t>
      </w:r>
      <w:r>
        <w:rPr>
          <w:rFonts w:ascii="SimSun" w:hAnsi="SimSun" w:eastAsia="SimSun" w:cs="SimSun"/>
          <w:sz w:val="22"/>
          <w:szCs w:val="22"/>
          <w:spacing w:val="7"/>
        </w:rPr>
        <w:t xml:space="preserve"> </w:t>
      </w:r>
      <w:r>
        <w:rPr>
          <w:rFonts w:ascii="SimSun" w:hAnsi="SimSun" w:eastAsia="SimSun" w:cs="SimSun"/>
          <w:sz w:val="22"/>
          <w:szCs w:val="22"/>
          <w:spacing w:val="-10"/>
        </w:rPr>
        <w:t>三个等级，即数据治理委员会、数据治理工作组和基层数据治理专员。</w:t>
      </w:r>
    </w:p>
    <w:p>
      <w:pPr>
        <w:ind w:right="311" w:firstLine="439"/>
        <w:spacing w:before="78" w:line="236" w:lineRule="auto"/>
        <w:rPr>
          <w:rFonts w:ascii="SimSun" w:hAnsi="SimSun" w:eastAsia="SimSun" w:cs="SimSun"/>
          <w:sz w:val="22"/>
          <w:szCs w:val="22"/>
        </w:rPr>
      </w:pPr>
      <w:r>
        <w:rPr>
          <w:rFonts w:ascii="SimSun" w:hAnsi="SimSun" w:eastAsia="SimSun" w:cs="SimSun"/>
          <w:sz w:val="22"/>
          <w:szCs w:val="22"/>
          <w:spacing w:val="-8"/>
        </w:rPr>
        <w:t>对于数据治理人员，组织要提供管理、培训和绩效等办</w:t>
      </w:r>
      <w:r>
        <w:rPr>
          <w:rFonts w:ascii="SimSun" w:hAnsi="SimSun" w:eastAsia="SimSun" w:cs="SimSun"/>
          <w:sz w:val="22"/>
          <w:szCs w:val="22"/>
          <w:spacing w:val="-9"/>
        </w:rPr>
        <w:t>法，通过管理使其各司</w:t>
      </w:r>
      <w:r>
        <w:rPr>
          <w:rFonts w:ascii="SimSun" w:hAnsi="SimSun" w:eastAsia="SimSun" w:cs="SimSun"/>
          <w:sz w:val="22"/>
          <w:szCs w:val="22"/>
        </w:rPr>
        <w:t xml:space="preserve"> </w:t>
      </w:r>
      <w:r>
        <w:rPr>
          <w:rFonts w:ascii="SimSun" w:hAnsi="SimSun" w:eastAsia="SimSun" w:cs="SimSun"/>
          <w:sz w:val="22"/>
          <w:szCs w:val="22"/>
          <w:spacing w:val="-8"/>
        </w:rPr>
        <w:t>其职，推进数据治理活动的井然有序进行；通过培训活动，持续提升数据治理人员</w:t>
      </w:r>
      <w:r>
        <w:rPr>
          <w:rFonts w:ascii="SimSun" w:hAnsi="SimSun" w:eastAsia="SimSun" w:cs="SimSun"/>
          <w:sz w:val="22"/>
          <w:szCs w:val="22"/>
          <w:spacing w:val="6"/>
        </w:rPr>
        <w:t xml:space="preserve"> </w:t>
      </w:r>
      <w:r>
        <w:rPr>
          <w:rFonts w:ascii="SimSun" w:hAnsi="SimSun" w:eastAsia="SimSun" w:cs="SimSun"/>
          <w:sz w:val="22"/>
          <w:szCs w:val="22"/>
          <w:spacing w:val="-12"/>
        </w:rPr>
        <w:t>能力；通过绩效办法，提高人员积极性。</w:t>
      </w:r>
    </w:p>
    <w:p>
      <w:pPr>
        <w:ind w:right="312" w:firstLine="439"/>
        <w:spacing w:before="67" w:line="250" w:lineRule="auto"/>
        <w:rPr>
          <w:rFonts w:ascii="SimSun" w:hAnsi="SimSun" w:eastAsia="SimSun" w:cs="SimSun"/>
          <w:sz w:val="22"/>
          <w:szCs w:val="22"/>
        </w:rPr>
      </w:pPr>
      <w:r>
        <w:rPr>
          <w:rFonts w:ascii="SimSun" w:hAnsi="SimSun" w:eastAsia="SimSun" w:cs="SimSun"/>
          <w:sz w:val="22"/>
          <w:szCs w:val="22"/>
          <w:spacing w:val="-8"/>
        </w:rPr>
        <w:t>物力资源保障。物力资源包括资金、场地、设备等资</w:t>
      </w:r>
      <w:r>
        <w:rPr>
          <w:rFonts w:ascii="SimSun" w:hAnsi="SimSun" w:eastAsia="SimSun" w:cs="SimSun"/>
          <w:sz w:val="22"/>
          <w:szCs w:val="22"/>
          <w:spacing w:val="-9"/>
        </w:rPr>
        <w:t>源，其中资金是最为关键</w:t>
      </w:r>
      <w:r>
        <w:rPr>
          <w:rFonts w:ascii="SimSun" w:hAnsi="SimSun" w:eastAsia="SimSun" w:cs="SimSun"/>
          <w:sz w:val="22"/>
          <w:szCs w:val="22"/>
        </w:rPr>
        <w:t xml:space="preserve"> </w:t>
      </w:r>
      <w:r>
        <w:rPr>
          <w:rFonts w:ascii="SimSun" w:hAnsi="SimSun" w:eastAsia="SimSun" w:cs="SimSun"/>
          <w:sz w:val="22"/>
          <w:szCs w:val="22"/>
          <w:spacing w:val="-9"/>
        </w:rPr>
        <w:t>的一部分。组织制订资金支持方案来满足业务、</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9"/>
        </w:rPr>
        <w:t>、数据治理功能等要求，并将方</w:t>
      </w:r>
      <w:r>
        <w:rPr>
          <w:rFonts w:ascii="SimSun" w:hAnsi="SimSun" w:eastAsia="SimSun" w:cs="SimSun"/>
          <w:sz w:val="22"/>
          <w:szCs w:val="22"/>
        </w:rPr>
        <w:t xml:space="preserve"> </w:t>
      </w:r>
      <w:r>
        <w:rPr>
          <w:rFonts w:ascii="SimSun" w:hAnsi="SimSun" w:eastAsia="SimSun" w:cs="SimSun"/>
          <w:sz w:val="22"/>
          <w:szCs w:val="22"/>
          <w:spacing w:val="-12"/>
        </w:rPr>
        <w:t>案资金传达给数据治理，获得数据治理的认</w:t>
      </w:r>
      <w:r>
        <w:rPr>
          <w:rFonts w:ascii="SimSun" w:hAnsi="SimSun" w:eastAsia="SimSun" w:cs="SimSun"/>
          <w:sz w:val="22"/>
          <w:szCs w:val="22"/>
          <w:spacing w:val="-13"/>
        </w:rPr>
        <w:t>可，从而保证监督和责任。</w:t>
      </w:r>
      <w:r>
        <w:rPr>
          <w:rFonts w:ascii="SimSun" w:hAnsi="SimSun" w:eastAsia="SimSun" w:cs="SimSun"/>
          <w:sz w:val="22"/>
          <w:szCs w:val="22"/>
          <w:spacing w:val="38"/>
        </w:rPr>
        <w:t xml:space="preserve"> </w:t>
      </w:r>
      <w:r>
        <w:rPr>
          <w:rFonts w:ascii="SimSun" w:hAnsi="SimSun" w:eastAsia="SimSun" w:cs="SimSun"/>
          <w:sz w:val="22"/>
          <w:szCs w:val="22"/>
          <w:spacing w:val="-13"/>
        </w:rPr>
        <w:t>一个结构清</w:t>
      </w:r>
      <w:r>
        <w:rPr>
          <w:rFonts w:ascii="SimSun" w:hAnsi="SimSun" w:eastAsia="SimSun" w:cs="SimSun"/>
          <w:sz w:val="22"/>
          <w:szCs w:val="22"/>
        </w:rPr>
        <w:t xml:space="preserve"> </w:t>
      </w:r>
      <w:r>
        <w:rPr>
          <w:rFonts w:ascii="SimSun" w:hAnsi="SimSun" w:eastAsia="SimSun" w:cs="SimSun"/>
          <w:sz w:val="22"/>
          <w:szCs w:val="22"/>
          <w:spacing w:val="-10"/>
        </w:rPr>
        <w:t>晰的资助方案有助于促进协作者和利益相关者之间的一致性。</w:t>
      </w:r>
    </w:p>
    <w:p>
      <w:pPr>
        <w:ind w:right="311" w:firstLine="439"/>
        <w:spacing w:before="70" w:line="248" w:lineRule="auto"/>
        <w:rPr>
          <w:rFonts w:ascii="SimSun" w:hAnsi="SimSun" w:eastAsia="SimSun" w:cs="SimSun"/>
          <w:sz w:val="22"/>
          <w:szCs w:val="22"/>
        </w:rPr>
      </w:pPr>
      <w:r>
        <w:rPr>
          <w:rFonts w:ascii="SimSun" w:hAnsi="SimSun" w:eastAsia="SimSun" w:cs="SimSun"/>
          <w:sz w:val="22"/>
          <w:szCs w:val="22"/>
          <w:spacing w:val="-8"/>
        </w:rPr>
        <w:t>组织需要建立对数据治理长期投入的资金支持方案，并</w:t>
      </w:r>
      <w:r>
        <w:rPr>
          <w:rFonts w:ascii="SimSun" w:hAnsi="SimSun" w:eastAsia="SimSun" w:cs="SimSun"/>
          <w:sz w:val="22"/>
          <w:szCs w:val="22"/>
          <w:spacing w:val="-9"/>
        </w:rPr>
        <w:t>通过定量指标衡量资金</w:t>
      </w:r>
      <w:r>
        <w:rPr>
          <w:rFonts w:ascii="SimSun" w:hAnsi="SimSun" w:eastAsia="SimSun" w:cs="SimSun"/>
          <w:sz w:val="22"/>
          <w:szCs w:val="22"/>
        </w:rPr>
        <w:t xml:space="preserve"> </w:t>
      </w:r>
      <w:r>
        <w:rPr>
          <w:rFonts w:ascii="SimSun" w:hAnsi="SimSun" w:eastAsia="SimSun" w:cs="SimSun"/>
          <w:sz w:val="22"/>
          <w:szCs w:val="22"/>
          <w:spacing w:val="-11"/>
        </w:rPr>
        <w:t>的使用和绩效，确保资金的合理性、适度性、及时性和有效性等。</w:t>
      </w:r>
    </w:p>
    <w:p>
      <w:pPr>
        <w:ind w:right="312" w:firstLine="439"/>
        <w:spacing w:before="49" w:line="235" w:lineRule="auto"/>
        <w:rPr>
          <w:rFonts w:ascii="SimSun" w:hAnsi="SimSun" w:eastAsia="SimSun" w:cs="SimSun"/>
          <w:sz w:val="22"/>
          <w:szCs w:val="22"/>
        </w:rPr>
      </w:pPr>
      <w:r>
        <w:rPr>
          <w:rFonts w:ascii="SimSun" w:hAnsi="SimSun" w:eastAsia="SimSun" w:cs="SimSun"/>
          <w:sz w:val="22"/>
          <w:szCs w:val="22"/>
          <w:spacing w:val="-8"/>
        </w:rPr>
        <w:t>场地和设备等资源是资源保障的重要组成部分，在制</w:t>
      </w:r>
      <w:r>
        <w:rPr>
          <w:rFonts w:ascii="SimSun" w:hAnsi="SimSun" w:eastAsia="SimSun" w:cs="SimSun"/>
          <w:sz w:val="22"/>
          <w:szCs w:val="22"/>
          <w:spacing w:val="-9"/>
        </w:rPr>
        <w:t>订数据治理战略时，要考</w:t>
      </w:r>
      <w:r>
        <w:rPr>
          <w:rFonts w:ascii="SimSun" w:hAnsi="SimSun" w:eastAsia="SimSun" w:cs="SimSun"/>
          <w:sz w:val="22"/>
          <w:szCs w:val="22"/>
        </w:rPr>
        <w:t xml:space="preserve"> </w:t>
      </w:r>
      <w:r>
        <w:rPr>
          <w:rFonts w:ascii="SimSun" w:hAnsi="SimSun" w:eastAsia="SimSun" w:cs="SimSun"/>
          <w:sz w:val="22"/>
          <w:szCs w:val="22"/>
          <w:spacing w:val="-11"/>
        </w:rPr>
        <w:t>虑组织的物力资源保障能力，例如数据的存储工具及场地。</w:t>
      </w:r>
    </w:p>
    <w:p>
      <w:pPr>
        <w:ind w:left="439"/>
        <w:spacing w:before="43" w:line="229" w:lineRule="auto"/>
        <w:rPr>
          <w:rFonts w:ascii="KaiTi" w:hAnsi="KaiTi" w:eastAsia="KaiTi" w:cs="KaiTi"/>
          <w:sz w:val="22"/>
          <w:szCs w:val="22"/>
        </w:rPr>
      </w:pPr>
      <w:r>
        <w:rPr>
          <w:rFonts w:ascii="KaiTi" w:hAnsi="KaiTi" w:eastAsia="KaiTi" w:cs="KaiTi"/>
          <w:sz w:val="22"/>
          <w:szCs w:val="22"/>
          <w:spacing w:val="5"/>
        </w:rPr>
        <w:t>3)相关过程域</w:t>
      </w:r>
    </w:p>
    <w:p>
      <w:pPr>
        <w:ind w:left="729" w:right="309" w:hanging="290"/>
        <w:spacing w:before="45" w:line="245" w:lineRule="auto"/>
        <w:rPr>
          <w:rFonts w:ascii="SimSun" w:hAnsi="SimSun" w:eastAsia="SimSun" w:cs="SimSun"/>
          <w:sz w:val="22"/>
          <w:szCs w:val="22"/>
        </w:rPr>
      </w:pPr>
      <w:r>
        <w:rPr>
          <w:rFonts w:ascii="SimSun" w:hAnsi="SimSun" w:eastAsia="SimSun" w:cs="SimSun"/>
          <w:sz w:val="22"/>
          <w:szCs w:val="22"/>
          <w:spacing w:val="-8"/>
        </w:rPr>
        <w:t>●战略过程域为数据治理活动制订顶层规划，对数据治理</w:t>
      </w:r>
      <w:r>
        <w:rPr>
          <w:rFonts w:ascii="SimSun" w:hAnsi="SimSun" w:eastAsia="SimSun" w:cs="SimSun"/>
          <w:sz w:val="22"/>
          <w:szCs w:val="22"/>
          <w:spacing w:val="-9"/>
        </w:rPr>
        <w:t>活动所需的资源进行</w:t>
      </w:r>
      <w:r>
        <w:rPr>
          <w:rFonts w:ascii="SimSun" w:hAnsi="SimSun" w:eastAsia="SimSun" w:cs="SimSun"/>
          <w:sz w:val="22"/>
          <w:szCs w:val="22"/>
        </w:rPr>
        <w:t xml:space="preserve"> </w:t>
      </w:r>
      <w:r>
        <w:rPr>
          <w:rFonts w:ascii="SimSun" w:hAnsi="SimSun" w:eastAsia="SimSun" w:cs="SimSun"/>
          <w:sz w:val="22"/>
          <w:szCs w:val="22"/>
          <w:spacing w:val="-13"/>
        </w:rPr>
        <w:t>总体要求和规划；</w:t>
      </w:r>
    </w:p>
    <w:p>
      <w:pPr>
        <w:ind w:left="729" w:right="311" w:hanging="290"/>
        <w:spacing w:before="45" w:line="244" w:lineRule="auto"/>
        <w:rPr>
          <w:rFonts w:ascii="SimSun" w:hAnsi="SimSun" w:eastAsia="SimSun" w:cs="SimSun"/>
          <w:sz w:val="22"/>
          <w:szCs w:val="22"/>
        </w:rPr>
      </w:pPr>
      <w:r>
        <w:rPr>
          <w:rFonts w:ascii="SimSun" w:hAnsi="SimSun" w:eastAsia="SimSun" w:cs="SimSun"/>
          <w:sz w:val="22"/>
          <w:szCs w:val="22"/>
          <w:spacing w:val="-8"/>
        </w:rPr>
        <w:t>●组织与角色过程域为数据治理活动的实施提供组织架</w:t>
      </w:r>
      <w:r>
        <w:rPr>
          <w:rFonts w:ascii="SimSun" w:hAnsi="SimSun" w:eastAsia="SimSun" w:cs="SimSun"/>
          <w:sz w:val="22"/>
          <w:szCs w:val="22"/>
          <w:spacing w:val="-9"/>
        </w:rPr>
        <w:t>构和人员保障，是资源</w:t>
      </w:r>
      <w:r>
        <w:rPr>
          <w:rFonts w:ascii="SimSun" w:hAnsi="SimSun" w:eastAsia="SimSun" w:cs="SimSun"/>
          <w:sz w:val="22"/>
          <w:szCs w:val="22"/>
        </w:rPr>
        <w:t xml:space="preserve"> </w:t>
      </w:r>
      <w:r>
        <w:rPr>
          <w:rFonts w:ascii="SimSun" w:hAnsi="SimSun" w:eastAsia="SimSun" w:cs="SimSun"/>
          <w:sz w:val="22"/>
          <w:szCs w:val="22"/>
          <w:spacing w:val="-12"/>
        </w:rPr>
        <w:t>保障过程域的具体细化；</w:t>
      </w:r>
    </w:p>
    <w:p>
      <w:pPr>
        <w:ind w:left="729" w:right="308" w:hanging="290"/>
        <w:spacing w:before="70" w:line="231" w:lineRule="auto"/>
        <w:rPr>
          <w:rFonts w:ascii="SimSun" w:hAnsi="SimSun" w:eastAsia="SimSun" w:cs="SimSun"/>
          <w:sz w:val="22"/>
          <w:szCs w:val="22"/>
        </w:rPr>
      </w:pPr>
      <w:r>
        <w:rPr>
          <w:rFonts w:ascii="SimSun" w:hAnsi="SimSun" w:eastAsia="SimSun" w:cs="SimSun"/>
          <w:sz w:val="22"/>
          <w:szCs w:val="22"/>
          <w:spacing w:val="-8"/>
        </w:rPr>
        <w:t>●业务案例过程域是对数据治理方案、倡议或具体项目进行</w:t>
      </w:r>
      <w:r>
        <w:rPr>
          <w:rFonts w:ascii="SimSun" w:hAnsi="SimSun" w:eastAsia="SimSun" w:cs="SimSun"/>
          <w:sz w:val="22"/>
          <w:szCs w:val="22"/>
          <w:spacing w:val="-9"/>
        </w:rPr>
        <w:t>资助的提案，涉及</w:t>
      </w:r>
      <w:r>
        <w:rPr>
          <w:rFonts w:ascii="SimSun" w:hAnsi="SimSun" w:eastAsia="SimSun" w:cs="SimSun"/>
          <w:sz w:val="22"/>
          <w:szCs w:val="22"/>
        </w:rPr>
        <w:t xml:space="preserve"> </w:t>
      </w:r>
      <w:r>
        <w:rPr>
          <w:rFonts w:ascii="SimSun" w:hAnsi="SimSun" w:eastAsia="SimSun" w:cs="SimSun"/>
          <w:sz w:val="22"/>
          <w:szCs w:val="22"/>
          <w:spacing w:val="-10"/>
        </w:rPr>
        <w:t>资金的支持和使用跟踪。</w:t>
      </w:r>
    </w:p>
    <w:p>
      <w:pPr>
        <w:spacing w:line="231" w:lineRule="auto"/>
        <w:sectPr>
          <w:footerReference w:type="default" r:id="rId175"/>
          <w:pgSz w:w="8870" w:h="13400"/>
          <w:pgMar w:top="400" w:right="409" w:bottom="625" w:left="510" w:header="0" w:footer="406" w:gutter="0"/>
        </w:sectPr>
        <w:rPr>
          <w:rFonts w:ascii="SimSun" w:hAnsi="SimSun" w:eastAsia="SimSun" w:cs="SimSun"/>
          <w:sz w:val="22"/>
          <w:szCs w:val="22"/>
        </w:rPr>
      </w:pPr>
    </w:p>
    <w:p>
      <w:pPr>
        <w:ind w:left="139"/>
        <w:spacing w:before="140" w:line="806" w:lineRule="exact"/>
        <w:rPr>
          <w:rFonts w:ascii="SimSun" w:hAnsi="SimSun" w:eastAsia="SimSun" w:cs="SimSun"/>
          <w:sz w:val="25"/>
          <w:szCs w:val="25"/>
        </w:rPr>
      </w:pPr>
      <w:r>
        <w:rPr>
          <w:rFonts w:ascii="SimSun" w:hAnsi="SimSun" w:eastAsia="SimSun" w:cs="SimSun"/>
          <w:sz w:val="25"/>
          <w:szCs w:val="25"/>
          <w:position w:val="29"/>
        </w:rPr>
        <w:drawing>
          <wp:inline distT="0" distB="0" distL="0" distR="0">
            <wp:extent cx="6365" cy="228551"/>
            <wp:effectExtent l="0" t="0" r="0" b="0"/>
            <wp:docPr id="144" name="IM 144"/>
            <wp:cNvGraphicFramePr/>
            <a:graphic>
              <a:graphicData uri="http://schemas.openxmlformats.org/drawingml/2006/picture">
                <pic:pic>
                  <pic:nvPicPr>
                    <pic:cNvPr id="144" name="IM 144"/>
                    <pic:cNvPicPr/>
                  </pic:nvPicPr>
                  <pic:blipFill>
                    <a:blip r:embed="rId177"/>
                    <a:stretch>
                      <a:fillRect/>
                    </a:stretch>
                  </pic:blipFill>
                  <pic:spPr>
                    <a:xfrm rot="0">
                      <a:off x="0" y="0"/>
                      <a:ext cx="6365" cy="228551"/>
                    </a:xfrm>
                    <a:prstGeom prst="rect">
                      <a:avLst/>
                    </a:prstGeom>
                  </pic:spPr>
                </pic:pic>
              </a:graphicData>
            </a:graphic>
          </wp:inline>
        </w:drawing>
      </w:r>
      <w:r>
        <w:rPr>
          <w:rFonts w:ascii="SimSun" w:hAnsi="SimSun" w:eastAsia="SimSun" w:cs="SimSun"/>
          <w:sz w:val="25"/>
          <w:szCs w:val="25"/>
          <w:spacing w:val="-18"/>
          <w:position w:val="39"/>
        </w:rPr>
        <w:t xml:space="preserve"> </w:t>
      </w:r>
      <w:r>
        <w:rPr>
          <w:rFonts w:ascii="SimSun" w:hAnsi="SimSun" w:eastAsia="SimSun" w:cs="SimSun"/>
          <w:sz w:val="25"/>
          <w:szCs w:val="25"/>
          <w:b/>
          <w:bCs/>
          <w:spacing w:val="-13"/>
          <w:position w:val="39"/>
        </w:rPr>
        <w:t>云端数据治理</w:t>
      </w:r>
    </w:p>
    <w:p>
      <w:pPr>
        <w:pStyle w:val="BodyText"/>
        <w:ind w:left="689"/>
        <w:spacing w:line="223" w:lineRule="auto"/>
        <w:rPr>
          <w:rFonts w:ascii="SimHei" w:hAnsi="SimHei" w:eastAsia="SimHei" w:cs="SimHei"/>
        </w:rPr>
      </w:pPr>
      <w:r>
        <w:rPr>
          <w:b/>
          <w:bCs/>
          <w:spacing w:val="-2"/>
        </w:rPr>
        <w:t>2.GQM</w:t>
      </w:r>
      <w:r>
        <w:rPr>
          <w:b/>
          <w:bCs/>
          <w:spacing w:val="5"/>
        </w:rPr>
        <w:t xml:space="preserve">    </w:t>
      </w:r>
      <w:r>
        <w:rPr>
          <w:rFonts w:ascii="SimHei" w:hAnsi="SimHei" w:eastAsia="SimHei" w:cs="SimHei"/>
          <w:b/>
          <w:bCs/>
          <w:spacing w:val="-2"/>
        </w:rPr>
        <w:t>表</w:t>
      </w:r>
    </w:p>
    <w:p>
      <w:pPr>
        <w:spacing w:line="155" w:lineRule="exact"/>
        <w:rPr/>
      </w:pPr>
      <w:r/>
    </w:p>
    <w:tbl>
      <w:tblPr>
        <w:tblStyle w:val="TableNormal"/>
        <w:tblW w:w="7589" w:type="dxa"/>
        <w:tblInd w:w="3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967"/>
        <w:gridCol w:w="2157"/>
        <w:gridCol w:w="2142"/>
      </w:tblGrid>
      <w:tr>
        <w:trPr>
          <w:trHeight w:val="314" w:hRule="atLeast"/>
        </w:trPr>
        <w:tc>
          <w:tcPr>
            <w:tcW w:w="1323" w:type="dxa"/>
            <w:vAlign w:val="top"/>
          </w:tcPr>
          <w:p>
            <w:pPr>
              <w:pStyle w:val="TableText"/>
              <w:ind w:left="384"/>
              <w:spacing w:before="81" w:line="220" w:lineRule="auto"/>
              <w:rPr/>
            </w:pPr>
            <w:r>
              <w:rPr>
                <w:spacing w:val="-18"/>
              </w:rPr>
              <w:t>目</w:t>
            </w:r>
            <w:r>
              <w:rPr>
                <w:spacing w:val="17"/>
              </w:rPr>
              <w:t xml:space="preserve">   </w:t>
            </w:r>
            <w:r>
              <w:rPr>
                <w:spacing w:val="-18"/>
              </w:rPr>
              <w:t>标</w:t>
            </w:r>
          </w:p>
        </w:tc>
        <w:tc>
          <w:tcPr>
            <w:tcW w:w="1967" w:type="dxa"/>
            <w:vAlign w:val="top"/>
          </w:tcPr>
          <w:p>
            <w:pPr>
              <w:pStyle w:val="TableText"/>
              <w:ind w:left="671"/>
              <w:spacing w:before="83" w:line="221" w:lineRule="auto"/>
              <w:rPr/>
            </w:pPr>
            <w:r>
              <w:rPr>
                <w:spacing w:val="-12"/>
              </w:rPr>
              <w:t>问</w:t>
            </w:r>
            <w:r>
              <w:rPr>
                <w:spacing w:val="10"/>
              </w:rPr>
              <w:t xml:space="preserve">   </w:t>
            </w:r>
            <w:r>
              <w:rPr>
                <w:spacing w:val="-12"/>
              </w:rPr>
              <w:t>题</w:t>
            </w:r>
          </w:p>
        </w:tc>
        <w:tc>
          <w:tcPr>
            <w:tcW w:w="2157" w:type="dxa"/>
            <w:vAlign w:val="top"/>
          </w:tcPr>
          <w:p>
            <w:pPr>
              <w:pStyle w:val="TableText"/>
              <w:ind w:left="704"/>
              <w:spacing w:before="81" w:line="220" w:lineRule="auto"/>
              <w:rPr/>
            </w:pPr>
            <w:r>
              <w:rPr>
                <w:spacing w:val="-4"/>
              </w:rPr>
              <w:t>度</w:t>
            </w:r>
            <w:r>
              <w:rPr>
                <w:spacing w:val="20"/>
              </w:rPr>
              <w:t xml:space="preserve">   </w:t>
            </w:r>
            <w:r>
              <w:rPr>
                <w:spacing w:val="-4"/>
              </w:rPr>
              <w:t>量</w:t>
            </w:r>
            <w:r>
              <w:rPr>
                <w:spacing w:val="-22"/>
              </w:rPr>
              <w:t xml:space="preserve"> </w:t>
            </w:r>
            <w:r>
              <w:rPr>
                <w:spacing w:val="-4"/>
              </w:rPr>
              <w:t>项</w:t>
            </w:r>
          </w:p>
        </w:tc>
        <w:tc>
          <w:tcPr>
            <w:tcW w:w="2142" w:type="dxa"/>
            <w:vAlign w:val="top"/>
          </w:tcPr>
          <w:p>
            <w:pPr>
              <w:pStyle w:val="TableText"/>
              <w:ind w:left="697"/>
              <w:spacing w:before="81" w:line="219" w:lineRule="auto"/>
              <w:rPr/>
            </w:pPr>
            <w:r>
              <w:rPr>
                <w:spacing w:val="3"/>
              </w:rPr>
              <w:t>度量项说明</w:t>
            </w:r>
          </w:p>
        </w:tc>
      </w:tr>
      <w:tr>
        <w:trPr>
          <w:trHeight w:val="828" w:hRule="atLeast"/>
        </w:trPr>
        <w:tc>
          <w:tcPr>
            <w:tcW w:w="1323" w:type="dxa"/>
            <w:vAlign w:val="top"/>
            <w:vMerge w:val="restart"/>
            <w:tcBorders>
              <w:bottom w:val="nil"/>
            </w:tcBorders>
          </w:tcPr>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TableText"/>
              <w:ind w:left="84" w:right="145" w:firstLine="149"/>
              <w:spacing w:before="49" w:line="303" w:lineRule="auto"/>
              <w:rPr/>
            </w:pPr>
            <w:r>
              <w:rPr>
                <w:spacing w:val="-1"/>
              </w:rPr>
              <w:t>G1:建立一个</w:t>
            </w:r>
            <w:r>
              <w:rPr/>
              <w:t xml:space="preserve">  </w:t>
            </w:r>
            <w:r>
              <w:rPr>
                <w:spacing w:val="4"/>
              </w:rPr>
              <w:t>完善的资源保障</w:t>
            </w:r>
            <w:r>
              <w:rPr>
                <w:spacing w:val="3"/>
              </w:rPr>
              <w:t xml:space="preserve"> </w:t>
            </w:r>
            <w:r>
              <w:rPr>
                <w:spacing w:val="-2"/>
              </w:rPr>
              <w:t>策略</w:t>
            </w:r>
          </w:p>
        </w:tc>
        <w:tc>
          <w:tcPr>
            <w:tcW w:w="1967" w:type="dxa"/>
            <w:vAlign w:val="top"/>
          </w:tcPr>
          <w:p>
            <w:pPr>
              <w:pStyle w:val="TableText"/>
              <w:ind w:left="111" w:right="187" w:firstLine="130"/>
              <w:spacing w:before="86" w:line="300" w:lineRule="auto"/>
              <w:rPr/>
            </w:pPr>
            <w:r>
              <w:rPr>
                <w:spacing w:val="-1"/>
              </w:rPr>
              <w:t>Q1:是否有一套经批准</w:t>
            </w:r>
            <w:r>
              <w:rPr>
                <w:spacing w:val="2"/>
              </w:rPr>
              <w:t xml:space="preserve">  </w:t>
            </w:r>
            <w:r>
              <w:rPr/>
              <w:t>的数据治理投资准则和重</w:t>
            </w:r>
            <w:r>
              <w:rPr>
                <w:spacing w:val="6"/>
              </w:rPr>
              <w:t xml:space="preserve"> </w:t>
            </w:r>
            <w:r>
              <w:rPr/>
              <w:t>点</w:t>
            </w:r>
          </w:p>
        </w:tc>
        <w:tc>
          <w:tcPr>
            <w:tcW w:w="2157" w:type="dxa"/>
            <w:vAlign w:val="top"/>
          </w:tcPr>
          <w:p>
            <w:pPr>
              <w:spacing w:line="286" w:lineRule="auto"/>
              <w:rPr>
                <w:rFonts w:ascii="Arial"/>
                <w:sz w:val="21"/>
              </w:rPr>
            </w:pPr>
            <w:r/>
          </w:p>
          <w:p>
            <w:pPr>
              <w:pStyle w:val="TableText"/>
              <w:ind w:left="264"/>
              <w:spacing w:before="49" w:line="219" w:lineRule="auto"/>
              <w:rPr/>
            </w:pPr>
            <w:r>
              <w:rPr>
                <w:spacing w:val="-1"/>
              </w:rPr>
              <w:t>M1:资源保障策略完整性</w:t>
            </w:r>
          </w:p>
        </w:tc>
        <w:tc>
          <w:tcPr>
            <w:tcW w:w="2142" w:type="dxa"/>
            <w:vAlign w:val="top"/>
          </w:tcPr>
          <w:p>
            <w:pPr>
              <w:pStyle w:val="TableText"/>
              <w:ind w:left="107" w:right="221" w:firstLine="160"/>
              <w:spacing w:before="216" w:line="276" w:lineRule="auto"/>
              <w:rPr/>
            </w:pPr>
            <w:r>
              <w:rPr>
                <w:spacing w:val="-1"/>
              </w:rPr>
              <w:t>为数据治理制订了完善的</w:t>
            </w:r>
            <w:r>
              <w:rPr>
                <w:spacing w:val="2"/>
              </w:rPr>
              <w:t xml:space="preserve"> </w:t>
            </w:r>
            <w:r>
              <w:rPr>
                <w:spacing w:val="-2"/>
              </w:rPr>
              <w:t>资源保障策略</w:t>
            </w:r>
          </w:p>
        </w:tc>
      </w:tr>
      <w:tr>
        <w:trPr>
          <w:trHeight w:val="579" w:hRule="atLeast"/>
        </w:trPr>
        <w:tc>
          <w:tcPr>
            <w:tcW w:w="1323" w:type="dxa"/>
            <w:vAlign w:val="top"/>
            <w:vMerge w:val="continue"/>
            <w:tcBorders>
              <w:top w:val="nil"/>
              <w:bottom w:val="nil"/>
            </w:tcBorders>
          </w:tcPr>
          <w:p>
            <w:pPr>
              <w:rPr>
                <w:rFonts w:ascii="Arial"/>
                <w:sz w:val="21"/>
              </w:rPr>
            </w:pPr>
            <w:r/>
          </w:p>
        </w:tc>
        <w:tc>
          <w:tcPr>
            <w:tcW w:w="1967" w:type="dxa"/>
            <w:vAlign w:val="top"/>
          </w:tcPr>
          <w:p>
            <w:pPr>
              <w:pStyle w:val="TableText"/>
              <w:ind w:left="101" w:right="284" w:firstLine="149"/>
              <w:spacing w:before="89" w:line="288" w:lineRule="auto"/>
              <w:rPr/>
            </w:pPr>
            <w:r>
              <w:rPr>
                <w:spacing w:val="-1"/>
              </w:rPr>
              <w:t>Q2:是否能提供稳定充</w:t>
            </w:r>
            <w:r>
              <w:rPr>
                <w:spacing w:val="5"/>
              </w:rPr>
              <w:t xml:space="preserve"> </w:t>
            </w:r>
            <w:r>
              <w:rPr>
                <w:spacing w:val="-2"/>
              </w:rPr>
              <w:t>足的资金保障</w:t>
            </w:r>
          </w:p>
        </w:tc>
        <w:tc>
          <w:tcPr>
            <w:tcW w:w="2157" w:type="dxa"/>
            <w:vAlign w:val="top"/>
          </w:tcPr>
          <w:p>
            <w:pPr>
              <w:pStyle w:val="TableText"/>
              <w:ind w:left="244"/>
              <w:spacing w:before="218" w:line="219" w:lineRule="auto"/>
              <w:rPr/>
            </w:pPr>
            <w:r>
              <w:rPr>
                <w:spacing w:val="-1"/>
              </w:rPr>
              <w:t>M2:总体拥有成本</w:t>
            </w:r>
          </w:p>
        </w:tc>
        <w:tc>
          <w:tcPr>
            <w:tcW w:w="2142" w:type="dxa"/>
            <w:vAlign w:val="top"/>
          </w:tcPr>
          <w:p>
            <w:pPr>
              <w:pStyle w:val="TableText"/>
              <w:ind w:left="117" w:right="215" w:firstLine="140"/>
              <w:spacing w:before="89" w:line="287" w:lineRule="auto"/>
              <w:rPr/>
            </w:pPr>
            <w:r>
              <w:rPr/>
              <w:t>资金保障重点分析了数据</w:t>
            </w:r>
            <w:r>
              <w:rPr>
                <w:spacing w:val="7"/>
              </w:rPr>
              <w:t xml:space="preserve"> </w:t>
            </w:r>
            <w:r>
              <w:rPr>
                <w:spacing w:val="-2"/>
              </w:rPr>
              <w:t>治理的收益和成本</w:t>
            </w:r>
          </w:p>
        </w:tc>
      </w:tr>
      <w:tr>
        <w:trPr>
          <w:trHeight w:val="559" w:hRule="atLeast"/>
        </w:trPr>
        <w:tc>
          <w:tcPr>
            <w:tcW w:w="1323" w:type="dxa"/>
            <w:vAlign w:val="top"/>
            <w:vMerge w:val="continue"/>
            <w:tcBorders>
              <w:top w:val="nil"/>
              <w:bottom w:val="nil"/>
            </w:tcBorders>
          </w:tcPr>
          <w:p>
            <w:pPr>
              <w:rPr>
                <w:rFonts w:ascii="Arial"/>
                <w:sz w:val="21"/>
              </w:rPr>
            </w:pPr>
            <w:r/>
          </w:p>
        </w:tc>
        <w:tc>
          <w:tcPr>
            <w:tcW w:w="1967" w:type="dxa"/>
            <w:vAlign w:val="top"/>
            <w:vMerge w:val="restart"/>
            <w:tcBorders>
              <w:bottom w:val="nil"/>
            </w:tcBorders>
          </w:tcPr>
          <w:p>
            <w:pPr>
              <w:pStyle w:val="TableText"/>
              <w:ind w:left="251"/>
              <w:spacing w:before="230" w:line="219" w:lineRule="auto"/>
              <w:rPr/>
            </w:pPr>
            <w:r>
              <w:rPr>
                <w:spacing w:val="-1"/>
              </w:rPr>
              <w:t>Q3:资源保障策略是否</w:t>
            </w:r>
          </w:p>
          <w:p>
            <w:pPr>
              <w:pStyle w:val="TableText"/>
              <w:ind w:left="111" w:right="39"/>
              <w:spacing w:before="102" w:line="274" w:lineRule="auto"/>
              <w:rPr/>
            </w:pPr>
            <w:r>
              <w:rPr/>
              <w:t>由数据利益相关者制订、评</w:t>
            </w:r>
            <w:r>
              <w:rPr>
                <w:spacing w:val="4"/>
              </w:rPr>
              <w:t xml:space="preserve"> </w:t>
            </w:r>
            <w:r>
              <w:rPr>
                <w:spacing w:val="-2"/>
              </w:rPr>
              <w:t>价和批准</w:t>
            </w:r>
          </w:p>
        </w:tc>
        <w:tc>
          <w:tcPr>
            <w:tcW w:w="2157" w:type="dxa"/>
            <w:vAlign w:val="top"/>
          </w:tcPr>
          <w:p>
            <w:pPr>
              <w:pStyle w:val="TableText"/>
              <w:ind w:left="244"/>
              <w:spacing w:before="210" w:line="220" w:lineRule="auto"/>
              <w:rPr/>
            </w:pPr>
            <w:r>
              <w:rPr>
                <w:spacing w:val="-1"/>
              </w:rPr>
              <w:t>M3:审批记录</w:t>
            </w:r>
          </w:p>
        </w:tc>
        <w:tc>
          <w:tcPr>
            <w:tcW w:w="2142" w:type="dxa"/>
            <w:vAlign w:val="top"/>
          </w:tcPr>
          <w:p>
            <w:pPr>
              <w:pStyle w:val="TableText"/>
              <w:ind w:left="117" w:right="195" w:firstLine="160"/>
              <w:spacing w:before="90" w:line="282" w:lineRule="auto"/>
              <w:rPr/>
            </w:pPr>
            <w:r>
              <w:rPr/>
              <w:t>资源保障策略得到了数据</w:t>
            </w:r>
            <w:r>
              <w:rPr>
                <w:spacing w:val="7"/>
              </w:rPr>
              <w:t xml:space="preserve"> </w:t>
            </w:r>
            <w:r>
              <w:rPr>
                <w:spacing w:val="-2"/>
              </w:rPr>
              <w:t>治理高层的批准</w:t>
            </w:r>
          </w:p>
        </w:tc>
      </w:tr>
      <w:tr>
        <w:trPr>
          <w:trHeight w:val="559" w:hRule="atLeast"/>
        </w:trPr>
        <w:tc>
          <w:tcPr>
            <w:tcW w:w="1323" w:type="dxa"/>
            <w:vAlign w:val="top"/>
            <w:vMerge w:val="continue"/>
            <w:tcBorders>
              <w:top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2157" w:type="dxa"/>
            <w:vAlign w:val="top"/>
          </w:tcPr>
          <w:p>
            <w:pPr>
              <w:pStyle w:val="TableText"/>
              <w:ind w:left="244"/>
              <w:spacing w:before="211" w:line="220" w:lineRule="auto"/>
              <w:rPr/>
            </w:pPr>
            <w:r>
              <w:rPr>
                <w:spacing w:val="26"/>
              </w:rPr>
              <w:t>M4:评审记录</w:t>
            </w:r>
          </w:p>
        </w:tc>
        <w:tc>
          <w:tcPr>
            <w:tcW w:w="2142" w:type="dxa"/>
            <w:vAlign w:val="top"/>
          </w:tcPr>
          <w:p>
            <w:pPr>
              <w:pStyle w:val="TableText"/>
              <w:ind w:left="117" w:right="185" w:firstLine="170"/>
              <w:spacing w:before="90" w:line="282" w:lineRule="auto"/>
              <w:rPr/>
            </w:pPr>
            <w:r>
              <w:rPr/>
              <w:t>资源保障策略得到了数据</w:t>
            </w:r>
            <w:r>
              <w:rPr>
                <w:spacing w:val="7"/>
              </w:rPr>
              <w:t xml:space="preserve"> </w:t>
            </w:r>
            <w:r>
              <w:rPr>
                <w:spacing w:val="-1"/>
              </w:rPr>
              <w:t>利益相关者的理解和支持</w:t>
            </w:r>
          </w:p>
        </w:tc>
      </w:tr>
      <w:tr>
        <w:trPr>
          <w:trHeight w:val="828" w:hRule="atLeast"/>
        </w:trPr>
        <w:tc>
          <w:tcPr>
            <w:tcW w:w="1323" w:type="dxa"/>
            <w:vAlign w:val="top"/>
          </w:tcPr>
          <w:p>
            <w:pPr>
              <w:pStyle w:val="TableText"/>
              <w:ind w:left="124" w:right="87" w:firstLine="130"/>
              <w:spacing w:before="221" w:line="276" w:lineRule="auto"/>
              <w:rPr/>
            </w:pPr>
            <w:r>
              <w:rPr>
                <w:spacing w:val="-1"/>
              </w:rPr>
              <w:t>G2:资源保障促</w:t>
            </w:r>
            <w:r>
              <w:rPr>
                <w:spacing w:val="2"/>
              </w:rPr>
              <w:t xml:space="preserve"> </w:t>
            </w:r>
            <w:r>
              <w:rPr>
                <w:spacing w:val="-1"/>
              </w:rPr>
              <w:t>进数据治理实施</w:t>
            </w:r>
          </w:p>
        </w:tc>
        <w:tc>
          <w:tcPr>
            <w:tcW w:w="1967" w:type="dxa"/>
            <w:vAlign w:val="top"/>
          </w:tcPr>
          <w:p>
            <w:pPr>
              <w:pStyle w:val="TableText"/>
              <w:ind w:left="111" w:right="294" w:firstLine="130"/>
              <w:spacing w:before="221" w:line="276" w:lineRule="auto"/>
              <w:rPr/>
            </w:pPr>
            <w:r>
              <w:rPr>
                <w:spacing w:val="-1"/>
              </w:rPr>
              <w:t>Q4:资源保障策略是否</w:t>
            </w:r>
            <w:r>
              <w:rPr>
                <w:spacing w:val="5"/>
              </w:rPr>
              <w:t xml:space="preserve"> </w:t>
            </w:r>
            <w:r>
              <w:rPr>
                <w:spacing w:val="1"/>
              </w:rPr>
              <w:t>具备动态调整的能力</w:t>
            </w:r>
          </w:p>
        </w:tc>
        <w:tc>
          <w:tcPr>
            <w:tcW w:w="2157" w:type="dxa"/>
            <w:vAlign w:val="top"/>
          </w:tcPr>
          <w:p>
            <w:pPr>
              <w:spacing w:line="291" w:lineRule="auto"/>
              <w:rPr>
                <w:rFonts w:ascii="Arial"/>
                <w:sz w:val="21"/>
              </w:rPr>
            </w:pPr>
            <w:r/>
          </w:p>
          <w:p>
            <w:pPr>
              <w:pStyle w:val="TableText"/>
              <w:ind w:left="244"/>
              <w:spacing w:before="49" w:line="219" w:lineRule="auto"/>
              <w:rPr/>
            </w:pPr>
            <w:r>
              <w:rPr>
                <w:spacing w:val="-1"/>
              </w:rPr>
              <w:t>M5:策略调整能力</w:t>
            </w:r>
          </w:p>
        </w:tc>
        <w:tc>
          <w:tcPr>
            <w:tcW w:w="2142" w:type="dxa"/>
            <w:vAlign w:val="top"/>
          </w:tcPr>
          <w:p>
            <w:pPr>
              <w:pStyle w:val="TableText"/>
              <w:ind w:left="277"/>
              <w:spacing w:before="80" w:line="218" w:lineRule="auto"/>
              <w:rPr/>
            </w:pPr>
            <w:r>
              <w:rPr>
                <w:spacing w:val="-1"/>
              </w:rPr>
              <w:t>建立资源保障的效果评价</w:t>
            </w:r>
          </w:p>
          <w:p>
            <w:pPr>
              <w:pStyle w:val="TableText"/>
              <w:ind w:left="117" w:right="69"/>
              <w:spacing w:before="103" w:line="270" w:lineRule="auto"/>
              <w:rPr/>
            </w:pPr>
            <w:r>
              <w:rPr>
                <w:spacing w:val="-1"/>
              </w:rPr>
              <w:t>机制，动态地调整策略以促进</w:t>
            </w:r>
            <w:r>
              <w:rPr>
                <w:spacing w:val="6"/>
              </w:rPr>
              <w:t xml:space="preserve"> </w:t>
            </w:r>
            <w:r>
              <w:rPr>
                <w:spacing w:val="-1"/>
              </w:rPr>
              <w:t>数据治理活动的实施</w:t>
            </w:r>
          </w:p>
        </w:tc>
      </w:tr>
      <w:tr>
        <w:trPr>
          <w:trHeight w:val="579" w:hRule="atLeast"/>
        </w:trPr>
        <w:tc>
          <w:tcPr>
            <w:tcW w:w="1323" w:type="dxa"/>
            <w:vAlign w:val="top"/>
            <w:vMerge w:val="restart"/>
            <w:tcBorders>
              <w:bottom w:val="nil"/>
            </w:tcBorders>
          </w:tcPr>
          <w:p>
            <w:pPr>
              <w:pStyle w:val="TableText"/>
              <w:ind w:left="124" w:right="97" w:firstLine="120"/>
              <w:spacing w:before="224" w:line="363" w:lineRule="auto"/>
              <w:jc w:val="both"/>
              <w:rPr/>
            </w:pPr>
            <w:r>
              <w:rPr>
                <w:spacing w:val="-1"/>
              </w:rPr>
              <w:t>G3:资源保障反</w:t>
            </w:r>
            <w:r>
              <w:rPr>
                <w:spacing w:val="2"/>
              </w:rPr>
              <w:t xml:space="preserve"> </w:t>
            </w:r>
            <w:r>
              <w:rPr>
                <w:spacing w:val="1"/>
              </w:rPr>
              <w:t>映了业务目标和</w:t>
            </w:r>
          </w:p>
          <w:p>
            <w:pPr>
              <w:pStyle w:val="TableText"/>
              <w:ind w:left="124"/>
              <w:spacing w:line="219" w:lineRule="auto"/>
              <w:rPr/>
            </w:pPr>
            <w:r>
              <w:rPr>
                <w:spacing w:val="-1"/>
              </w:rPr>
              <w:t>组织级优先事项</w:t>
            </w:r>
          </w:p>
        </w:tc>
        <w:tc>
          <w:tcPr>
            <w:tcW w:w="1967" w:type="dxa"/>
            <w:vAlign w:val="top"/>
            <w:vMerge w:val="restart"/>
            <w:tcBorders>
              <w:bottom w:val="nil"/>
            </w:tcBorders>
          </w:tcPr>
          <w:p>
            <w:pPr>
              <w:pStyle w:val="TableText"/>
              <w:ind w:left="241"/>
              <w:spacing w:before="234" w:line="219" w:lineRule="auto"/>
              <w:rPr/>
            </w:pPr>
            <w:r>
              <w:rPr>
                <w:spacing w:val="-1"/>
              </w:rPr>
              <w:t>Q5:资源保障策略是否</w:t>
            </w:r>
          </w:p>
          <w:p>
            <w:pPr>
              <w:pStyle w:val="TableText"/>
              <w:ind w:left="111" w:right="61" w:hanging="10"/>
              <w:spacing w:before="111" w:line="288" w:lineRule="auto"/>
              <w:rPr/>
            </w:pPr>
            <w:r>
              <w:rPr>
                <w:spacing w:val="-1"/>
              </w:rPr>
              <w:t>反映了组织的业务模型、优</w:t>
            </w:r>
            <w:r>
              <w:rPr>
                <w:spacing w:val="4"/>
              </w:rPr>
              <w:t xml:space="preserve"> </w:t>
            </w:r>
            <w:r>
              <w:rPr>
                <w:spacing w:val="-1"/>
              </w:rPr>
              <w:t>先事项和财务决策过程</w:t>
            </w:r>
          </w:p>
        </w:tc>
        <w:tc>
          <w:tcPr>
            <w:tcW w:w="2157" w:type="dxa"/>
            <w:vAlign w:val="top"/>
            <w:vMerge w:val="restart"/>
            <w:tcBorders>
              <w:bottom w:val="nil"/>
            </w:tcBorders>
          </w:tcPr>
          <w:p>
            <w:pPr>
              <w:spacing w:line="453" w:lineRule="auto"/>
              <w:rPr>
                <w:rFonts w:ascii="Arial"/>
                <w:sz w:val="21"/>
              </w:rPr>
            </w:pPr>
            <w:r/>
          </w:p>
          <w:p>
            <w:pPr>
              <w:pStyle w:val="TableText"/>
              <w:ind w:left="244"/>
              <w:spacing w:before="48" w:line="220" w:lineRule="auto"/>
              <w:rPr/>
            </w:pPr>
            <w:r>
              <w:rPr>
                <w:spacing w:val="-1"/>
              </w:rPr>
              <w:t>M6:战略一致性</w:t>
            </w:r>
          </w:p>
        </w:tc>
        <w:tc>
          <w:tcPr>
            <w:tcW w:w="2142" w:type="dxa"/>
            <w:vAlign w:val="top"/>
          </w:tcPr>
          <w:p>
            <w:pPr>
              <w:pStyle w:val="TableText"/>
              <w:ind w:left="107" w:right="202" w:firstLine="160"/>
              <w:spacing w:before="83" w:line="289" w:lineRule="auto"/>
              <w:rPr/>
            </w:pPr>
            <w:r>
              <w:rPr>
                <w:spacing w:val="1"/>
              </w:rPr>
              <w:t>资源保障策略符合组织的</w:t>
            </w:r>
            <w:r>
              <w:rPr/>
              <w:t xml:space="preserve"> </w:t>
            </w:r>
            <w:r>
              <w:rPr>
                <w:spacing w:val="-1"/>
              </w:rPr>
              <w:t>投资战略和总体规划</w:t>
            </w:r>
          </w:p>
        </w:tc>
      </w:tr>
      <w:tr>
        <w:trPr>
          <w:trHeight w:val="564" w:hRule="atLeast"/>
        </w:trPr>
        <w:tc>
          <w:tcPr>
            <w:tcW w:w="1323" w:type="dxa"/>
            <w:vAlign w:val="top"/>
            <w:vMerge w:val="continue"/>
            <w:tcBorders>
              <w:top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2157" w:type="dxa"/>
            <w:vAlign w:val="top"/>
            <w:vMerge w:val="continue"/>
            <w:tcBorders>
              <w:top w:val="nil"/>
            </w:tcBorders>
          </w:tcPr>
          <w:p>
            <w:pPr>
              <w:rPr>
                <w:rFonts w:ascii="Arial"/>
                <w:sz w:val="21"/>
              </w:rPr>
            </w:pPr>
            <w:r/>
          </w:p>
        </w:tc>
        <w:tc>
          <w:tcPr>
            <w:tcW w:w="2142" w:type="dxa"/>
            <w:vAlign w:val="top"/>
          </w:tcPr>
          <w:p>
            <w:pPr>
              <w:pStyle w:val="TableText"/>
              <w:ind w:left="117" w:right="191" w:firstLine="160"/>
              <w:spacing w:before="95" w:line="282" w:lineRule="auto"/>
              <w:rPr/>
            </w:pPr>
            <w:r>
              <w:rPr>
                <w:spacing w:val="1"/>
              </w:rPr>
              <w:t>资源保障策略符合数据治</w:t>
            </w:r>
            <w:r>
              <w:rPr/>
              <w:t xml:space="preserve"> </w:t>
            </w:r>
            <w:r>
              <w:rPr>
                <w:spacing w:val="-1"/>
              </w:rPr>
              <w:t>理优先事项和目标</w:t>
            </w:r>
          </w:p>
        </w:tc>
      </w:tr>
    </w:tbl>
    <w:p>
      <w:pPr>
        <w:ind w:left="693"/>
        <w:spacing w:before="227" w:line="481" w:lineRule="exact"/>
        <w:rPr>
          <w:rFonts w:ascii="YouYuan" w:hAnsi="YouYuan" w:eastAsia="YouYuan" w:cs="YouYuan"/>
          <w:sz w:val="21"/>
          <w:szCs w:val="21"/>
        </w:rPr>
      </w:pPr>
      <w:r>
        <w:rPr>
          <w:rFonts w:ascii="YouYuan" w:hAnsi="YouYuan" w:eastAsia="YouYuan" w:cs="YouYuan"/>
          <w:sz w:val="21"/>
          <w:szCs w:val="21"/>
          <w:b/>
          <w:bCs/>
          <w:spacing w:val="8"/>
          <w:position w:val="20"/>
        </w:rPr>
        <w:t>3.</w:t>
      </w:r>
      <w:r>
        <w:rPr>
          <w:rFonts w:ascii="YouYuan" w:hAnsi="YouYuan" w:eastAsia="YouYuan" w:cs="YouYuan"/>
          <w:sz w:val="21"/>
          <w:szCs w:val="21"/>
          <w:spacing w:val="8"/>
          <w:position w:val="20"/>
        </w:rPr>
        <w:t xml:space="preserve"> </w:t>
      </w:r>
      <w:r>
        <w:rPr>
          <w:rFonts w:ascii="YouYuan" w:hAnsi="YouYuan" w:eastAsia="YouYuan" w:cs="YouYuan"/>
          <w:sz w:val="21"/>
          <w:szCs w:val="21"/>
          <w:b/>
          <w:bCs/>
          <w:spacing w:val="8"/>
          <w:position w:val="20"/>
        </w:rPr>
        <w:t>成熟度等级介绍</w:t>
      </w:r>
    </w:p>
    <w:p>
      <w:pPr>
        <w:ind w:left="689"/>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16"/>
        </w:rPr>
        <w:t xml:space="preserve">  </w:t>
      </w:r>
      <w:r>
        <w:rPr>
          <w:rFonts w:ascii="Times New Roman" w:hAnsi="Times New Roman" w:eastAsia="Times New Roman" w:cs="Times New Roman"/>
          <w:sz w:val="21"/>
          <w:szCs w:val="21"/>
          <w:b/>
          <w:bCs/>
          <w:spacing w:val="-3"/>
        </w:rPr>
        <w:t>1:  </w:t>
      </w:r>
      <w:r>
        <w:rPr>
          <w:rFonts w:ascii="SimHei" w:hAnsi="SimHei" w:eastAsia="SimHei" w:cs="SimHei"/>
          <w:sz w:val="21"/>
          <w:szCs w:val="21"/>
          <w:b/>
          <w:bCs/>
          <w:spacing w:val="-3"/>
        </w:rPr>
        <w:t>初始级</w:t>
      </w:r>
    </w:p>
    <w:p>
      <w:pPr>
        <w:spacing w:line="119" w:lineRule="exact"/>
        <w:rPr/>
      </w:pPr>
      <w:r/>
    </w:p>
    <w:tbl>
      <w:tblPr>
        <w:tblStyle w:val="TableNormal"/>
        <w:tblW w:w="759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02" w:hRule="atLeast"/>
        </w:trPr>
        <w:tc>
          <w:tcPr>
            <w:tcW w:w="714" w:type="dxa"/>
            <w:vAlign w:val="top"/>
          </w:tcPr>
          <w:p>
            <w:pPr>
              <w:pStyle w:val="TableText"/>
              <w:ind w:left="184"/>
              <w:spacing w:before="72" w:line="221" w:lineRule="auto"/>
              <w:rPr>
                <w:sz w:val="16"/>
                <w:szCs w:val="16"/>
              </w:rPr>
            </w:pPr>
            <w:r>
              <w:rPr>
                <w:sz w:val="16"/>
                <w:szCs w:val="16"/>
                <w:spacing w:val="-2"/>
              </w:rPr>
              <w:t>序号</w:t>
            </w:r>
          </w:p>
        </w:tc>
        <w:tc>
          <w:tcPr>
            <w:tcW w:w="3145" w:type="dxa"/>
            <w:vAlign w:val="top"/>
          </w:tcPr>
          <w:p>
            <w:pPr>
              <w:pStyle w:val="TableText"/>
              <w:ind w:left="1141"/>
              <w:spacing w:before="71" w:line="219" w:lineRule="auto"/>
              <w:rPr>
                <w:sz w:val="16"/>
                <w:szCs w:val="16"/>
              </w:rPr>
            </w:pPr>
            <w:r>
              <w:rPr>
                <w:sz w:val="16"/>
                <w:szCs w:val="16"/>
                <w:spacing w:val="-4"/>
              </w:rPr>
              <w:t>等 级 要 求</w:t>
            </w:r>
          </w:p>
        </w:tc>
        <w:tc>
          <w:tcPr>
            <w:tcW w:w="3740" w:type="dxa"/>
            <w:vAlign w:val="top"/>
          </w:tcPr>
          <w:p>
            <w:pPr>
              <w:pStyle w:val="TableText"/>
              <w:ind w:left="1576"/>
              <w:spacing w:before="7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8" w:hRule="atLeast"/>
        </w:trPr>
        <w:tc>
          <w:tcPr>
            <w:tcW w:w="714" w:type="dxa"/>
            <w:vAlign w:val="top"/>
          </w:tcPr>
          <w:p>
            <w:pPr>
              <w:pStyle w:val="TableText"/>
              <w:ind w:left="224"/>
              <w:spacing w:before="250" w:line="184" w:lineRule="auto"/>
              <w:rPr>
                <w:sz w:val="16"/>
                <w:szCs w:val="16"/>
              </w:rPr>
            </w:pPr>
            <w:r>
              <w:rPr>
                <w:sz w:val="16"/>
                <w:szCs w:val="16"/>
                <w:spacing w:val="-5"/>
              </w:rPr>
              <w:t>1.1</w:t>
            </w:r>
          </w:p>
        </w:tc>
        <w:tc>
          <w:tcPr>
            <w:tcW w:w="3145" w:type="dxa"/>
            <w:vAlign w:val="top"/>
          </w:tcPr>
          <w:p>
            <w:pPr>
              <w:pStyle w:val="TableText"/>
              <w:ind w:left="120" w:right="192" w:firstLine="80"/>
              <w:spacing w:before="88" w:line="272" w:lineRule="auto"/>
              <w:rPr>
                <w:sz w:val="16"/>
                <w:szCs w:val="16"/>
              </w:rPr>
            </w:pPr>
            <w:r>
              <w:rPr>
                <w:sz w:val="16"/>
                <w:szCs w:val="16"/>
                <w:spacing w:val="1"/>
              </w:rPr>
              <w:t>为组织数据治理活动提供了基本的人员</w:t>
            </w:r>
            <w:r>
              <w:rPr>
                <w:sz w:val="16"/>
                <w:szCs w:val="16"/>
                <w:spacing w:val="3"/>
              </w:rPr>
              <w:t xml:space="preserve"> </w:t>
            </w:r>
            <w:r>
              <w:rPr>
                <w:sz w:val="16"/>
                <w:szCs w:val="16"/>
              </w:rPr>
              <w:t>资金、场地等资源</w:t>
            </w:r>
          </w:p>
        </w:tc>
        <w:tc>
          <w:tcPr>
            <w:tcW w:w="3740" w:type="dxa"/>
            <w:vAlign w:val="top"/>
          </w:tcPr>
          <w:p>
            <w:pPr>
              <w:pStyle w:val="TableText"/>
              <w:ind w:left="256"/>
              <w:spacing w:before="89" w:line="219" w:lineRule="auto"/>
              <w:rPr>
                <w:sz w:val="16"/>
                <w:szCs w:val="16"/>
              </w:rPr>
            </w:pPr>
            <w:r>
              <w:rPr>
                <w:sz w:val="16"/>
                <w:szCs w:val="16"/>
                <w:spacing w:val="1"/>
              </w:rPr>
              <w:t>●资金支持计划</w:t>
            </w:r>
          </w:p>
          <w:p>
            <w:pPr>
              <w:pStyle w:val="TableText"/>
              <w:ind w:left="256"/>
              <w:spacing w:before="90" w:line="220" w:lineRule="auto"/>
              <w:rPr>
                <w:sz w:val="16"/>
                <w:szCs w:val="16"/>
              </w:rPr>
            </w:pPr>
            <w:r>
              <w:rPr>
                <w:sz w:val="16"/>
                <w:szCs w:val="16"/>
                <w:spacing w:val="1"/>
              </w:rPr>
              <w:t>●场地批准记录</w:t>
            </w:r>
          </w:p>
        </w:tc>
      </w:tr>
    </w:tbl>
    <w:p>
      <w:pPr>
        <w:ind w:left="584"/>
        <w:spacing w:before="194"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339" w:firstLine="350"/>
        <w:spacing w:before="60" w:line="255" w:lineRule="auto"/>
        <w:rPr>
          <w:rFonts w:ascii="SimSun" w:hAnsi="SimSun" w:eastAsia="SimSun" w:cs="SimSun"/>
          <w:sz w:val="21"/>
          <w:szCs w:val="21"/>
        </w:rPr>
      </w:pPr>
      <w:r>
        <w:rPr>
          <w:rFonts w:ascii="SimSun" w:hAnsi="SimSun" w:eastAsia="SimSun" w:cs="SimSun"/>
          <w:sz w:val="21"/>
          <w:szCs w:val="21"/>
          <w:spacing w:val="1"/>
        </w:rPr>
        <w:t>数据治理活动是小范围内的，组织没有建立完善的数据治理架构，因此为数据</w:t>
      </w:r>
      <w:r>
        <w:rPr>
          <w:rFonts w:ascii="SimSun" w:hAnsi="SimSun" w:eastAsia="SimSun" w:cs="SimSun"/>
          <w:sz w:val="21"/>
          <w:szCs w:val="21"/>
          <w:spacing w:val="8"/>
        </w:rPr>
        <w:t xml:space="preserve">  </w:t>
      </w:r>
      <w:r>
        <w:rPr>
          <w:rFonts w:ascii="SimSun" w:hAnsi="SimSun" w:eastAsia="SimSun" w:cs="SimSun"/>
          <w:sz w:val="21"/>
          <w:szCs w:val="21"/>
        </w:rPr>
        <w:t>治理活动提供的资金和场地等资源也是根据需要</w:t>
      </w:r>
      <w:r>
        <w:rPr>
          <w:rFonts w:ascii="SimSun" w:hAnsi="SimSun" w:eastAsia="SimSun" w:cs="SimSun"/>
          <w:sz w:val="21"/>
          <w:szCs w:val="21"/>
          <w:spacing w:val="-1"/>
        </w:rPr>
        <w:t>估算而来的，没有进行</w:t>
      </w:r>
      <w:r>
        <w:rPr>
          <w:rFonts w:ascii="Times New Roman" w:hAnsi="Times New Roman" w:eastAsia="Times New Roman" w:cs="Times New Roman"/>
          <w:sz w:val="21"/>
          <w:szCs w:val="21"/>
          <w:spacing w:val="-1"/>
        </w:rPr>
        <w:t>TCO</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分析，</w:t>
      </w:r>
      <w:r>
        <w:rPr>
          <w:rFonts w:ascii="SimSun" w:hAnsi="SimSun" w:eastAsia="SimSun" w:cs="SimSun"/>
          <w:sz w:val="21"/>
          <w:szCs w:val="21"/>
        </w:rPr>
        <w:t xml:space="preserve"> </w:t>
      </w:r>
      <w:r>
        <w:rPr>
          <w:rFonts w:ascii="SimSun" w:hAnsi="SimSun" w:eastAsia="SimSun" w:cs="SimSun"/>
          <w:sz w:val="21"/>
          <w:szCs w:val="21"/>
          <w:spacing w:val="-3"/>
        </w:rPr>
        <w:t>也没有持续改进资源保障策略的计划。</w:t>
      </w:r>
    </w:p>
    <w:p>
      <w:pPr>
        <w:ind w:left="689"/>
        <w:spacing w:before="86" w:line="221" w:lineRule="auto"/>
        <w:rPr>
          <w:rFonts w:ascii="SimHei" w:hAnsi="SimHei" w:eastAsia="SimHei" w:cs="SimHei"/>
          <w:sz w:val="21"/>
          <w:szCs w:val="21"/>
        </w:rPr>
      </w:pPr>
      <w:r>
        <w:rPr>
          <w:rFonts w:ascii="Times New Roman" w:hAnsi="Times New Roman" w:eastAsia="Times New Roman" w:cs="Times New Roman"/>
          <w:sz w:val="21"/>
          <w:szCs w:val="21"/>
          <w:b/>
          <w:bCs/>
          <w:spacing w:val="-6"/>
        </w:rPr>
        <w:t>Level</w:t>
      </w:r>
      <w:r>
        <w:rPr>
          <w:rFonts w:ascii="Times New Roman" w:hAnsi="Times New Roman" w:eastAsia="Times New Roman" w:cs="Times New Roman"/>
          <w:sz w:val="21"/>
          <w:szCs w:val="21"/>
          <w:b/>
          <w:bCs/>
          <w:spacing w:val="10"/>
        </w:rPr>
        <w:t xml:space="preserve">  </w:t>
      </w: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b/>
          <w:bCs/>
          <w:spacing w:val="10"/>
        </w:rPr>
        <w:t xml:space="preserve">  </w:t>
      </w:r>
      <w:r>
        <w:rPr>
          <w:rFonts w:ascii="SimHei" w:hAnsi="SimHei" w:eastAsia="SimHei" w:cs="SimHei"/>
          <w:sz w:val="21"/>
          <w:szCs w:val="21"/>
          <w:b/>
          <w:bCs/>
          <w:spacing w:val="-6"/>
        </w:rPr>
        <w:t>管理级</w:t>
      </w:r>
    </w:p>
    <w:p>
      <w:pPr>
        <w:spacing w:line="100" w:lineRule="exact"/>
        <w:rPr/>
      </w:pPr>
      <w:r/>
    </w:p>
    <w:tbl>
      <w:tblPr>
        <w:tblStyle w:val="TableNormal"/>
        <w:tblW w:w="7599"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1" w:hRule="atLeast"/>
        </w:trPr>
        <w:tc>
          <w:tcPr>
            <w:tcW w:w="714" w:type="dxa"/>
            <w:vAlign w:val="top"/>
          </w:tcPr>
          <w:p>
            <w:pPr>
              <w:pStyle w:val="TableText"/>
              <w:ind w:left="195"/>
              <w:spacing w:before="81"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568" w:hRule="atLeast"/>
        </w:trPr>
        <w:tc>
          <w:tcPr>
            <w:tcW w:w="714" w:type="dxa"/>
            <w:vAlign w:val="top"/>
          </w:tcPr>
          <w:p>
            <w:pPr>
              <w:pStyle w:val="TableText"/>
              <w:ind w:left="235"/>
              <w:spacing w:before="247" w:line="184" w:lineRule="auto"/>
              <w:rPr/>
            </w:pPr>
            <w:r>
              <w:rPr>
                <w:spacing w:val="-2"/>
              </w:rPr>
              <w:t>2.1</w:t>
            </w:r>
          </w:p>
        </w:tc>
        <w:tc>
          <w:tcPr>
            <w:tcW w:w="3145" w:type="dxa"/>
            <w:vAlign w:val="top"/>
          </w:tcPr>
          <w:p>
            <w:pPr>
              <w:pStyle w:val="TableText"/>
              <w:ind w:left="100" w:right="170" w:firstLine="170"/>
              <w:spacing w:before="79" w:line="283" w:lineRule="auto"/>
              <w:rPr/>
            </w:pPr>
            <w:r>
              <w:rPr>
                <w:spacing w:val="-1"/>
              </w:rPr>
              <w:t>利益相关者参加并支持数据治理资源保障</w:t>
            </w:r>
            <w:r>
              <w:rPr>
                <w:spacing w:val="10"/>
              </w:rPr>
              <w:t xml:space="preserve"> </w:t>
            </w:r>
            <w:r>
              <w:rPr>
                <w:spacing w:val="-2"/>
              </w:rPr>
              <w:t>策略</w:t>
            </w:r>
          </w:p>
        </w:tc>
        <w:tc>
          <w:tcPr>
            <w:tcW w:w="3740" w:type="dxa"/>
            <w:vAlign w:val="top"/>
          </w:tcPr>
          <w:p>
            <w:pPr>
              <w:pStyle w:val="TableText"/>
              <w:ind w:left="255"/>
              <w:spacing w:before="90" w:line="219" w:lineRule="auto"/>
              <w:rPr/>
            </w:pPr>
            <w:r>
              <w:rPr/>
              <w:t>●数据治理资源保障策略</w:t>
            </w:r>
          </w:p>
          <w:p>
            <w:pPr>
              <w:pStyle w:val="TableText"/>
              <w:ind w:left="255"/>
              <w:spacing w:before="101" w:line="219" w:lineRule="auto"/>
              <w:rPr/>
            </w:pPr>
            <w:r>
              <w:rPr/>
              <w:t>●数据治理资源保障策略资助批准文件和记录</w:t>
            </w:r>
          </w:p>
        </w:tc>
      </w:tr>
    </w:tbl>
    <w:p>
      <w:pPr>
        <w:ind w:left="584"/>
        <w:spacing w:before="214"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339" w:right="14" w:firstLine="350"/>
        <w:spacing w:before="50" w:line="254" w:lineRule="auto"/>
        <w:rPr>
          <w:rFonts w:ascii="SimSun" w:hAnsi="SimSun" w:eastAsia="SimSun" w:cs="SimSun"/>
          <w:sz w:val="21"/>
          <w:szCs w:val="21"/>
        </w:rPr>
      </w:pPr>
      <w:r>
        <w:rPr>
          <w:rFonts w:ascii="SimSun" w:hAnsi="SimSun" w:eastAsia="SimSun" w:cs="SimSun"/>
          <w:sz w:val="21"/>
          <w:szCs w:val="21"/>
          <w:spacing w:val="1"/>
        </w:rPr>
        <w:t>数据治理是一个被广泛参与的活动，数据利益相关者的关注和参与是保障数据 </w:t>
      </w:r>
      <w:r>
        <w:rPr>
          <w:rFonts w:ascii="SimSun" w:hAnsi="SimSun" w:eastAsia="SimSun" w:cs="SimSun"/>
          <w:sz w:val="21"/>
          <w:szCs w:val="21"/>
          <w:spacing w:val="2"/>
        </w:rPr>
        <w:t>治理实施的重要条件，为数据治理提供人力、物</w:t>
      </w:r>
      <w:r>
        <w:rPr>
          <w:rFonts w:ascii="SimSun" w:hAnsi="SimSun" w:eastAsia="SimSun" w:cs="SimSun"/>
          <w:sz w:val="21"/>
          <w:szCs w:val="21"/>
          <w:spacing w:val="1"/>
        </w:rPr>
        <w:t>力等条件的资源保障策略也必须得</w:t>
      </w:r>
    </w:p>
    <w:p>
      <w:pPr>
        <w:spacing w:line="254" w:lineRule="auto"/>
        <w:sectPr>
          <w:footerReference w:type="default" r:id="rId176"/>
          <w:pgSz w:w="8870" w:h="13400"/>
          <w:pgMar w:top="400" w:right="557" w:bottom="537" w:left="339" w:header="0" w:footer="328" w:gutter="0"/>
        </w:sectPr>
        <w:rPr>
          <w:rFonts w:ascii="SimSun" w:hAnsi="SimSun" w:eastAsia="SimSun" w:cs="SimSun"/>
          <w:sz w:val="21"/>
          <w:szCs w:val="21"/>
        </w:rPr>
      </w:pPr>
    </w:p>
    <w:p>
      <w:pPr>
        <w:ind w:left="5493"/>
        <w:spacing w:before="12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pStyle w:val="BodyText"/>
        <w:spacing w:line="26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到数据利益相关者的参与和支持。</w:t>
      </w:r>
    </w:p>
    <w:p>
      <w:pPr>
        <w:spacing w:line="117" w:lineRule="exact"/>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1"/>
              <w:spacing w:before="81" w:line="219" w:lineRule="auto"/>
              <w:rPr>
                <w:sz w:val="16"/>
                <w:szCs w:val="16"/>
              </w:rPr>
            </w:pPr>
            <w:r>
              <w:rPr>
                <w:sz w:val="16"/>
                <w:szCs w:val="16"/>
                <w:spacing w:val="-4"/>
              </w:rPr>
              <w:t>等 级 要 求</w:t>
            </w:r>
          </w:p>
        </w:tc>
        <w:tc>
          <w:tcPr>
            <w:tcW w:w="3750" w:type="dxa"/>
            <w:vAlign w:val="top"/>
          </w:tcPr>
          <w:p>
            <w:pPr>
              <w:pStyle w:val="TableText"/>
              <w:ind w:left="155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8" w:hRule="atLeast"/>
        </w:trPr>
        <w:tc>
          <w:tcPr>
            <w:tcW w:w="704" w:type="dxa"/>
            <w:vAlign w:val="top"/>
          </w:tcPr>
          <w:p>
            <w:pPr>
              <w:pStyle w:val="TableText"/>
              <w:ind w:left="224"/>
              <w:spacing w:before="251" w:line="183" w:lineRule="auto"/>
              <w:rPr>
                <w:sz w:val="16"/>
                <w:szCs w:val="16"/>
              </w:rPr>
            </w:pPr>
            <w:r>
              <w:rPr>
                <w:sz w:val="16"/>
                <w:szCs w:val="16"/>
                <w:spacing w:val="-2"/>
              </w:rPr>
              <w:t>2.2</w:t>
            </w:r>
          </w:p>
        </w:tc>
        <w:tc>
          <w:tcPr>
            <w:tcW w:w="3145" w:type="dxa"/>
            <w:vAlign w:val="top"/>
          </w:tcPr>
          <w:p>
            <w:pPr>
              <w:pStyle w:val="TableText"/>
              <w:ind w:left="111" w:firstLine="149"/>
              <w:spacing w:before="100" w:line="270" w:lineRule="auto"/>
              <w:rPr>
                <w:sz w:val="16"/>
                <w:szCs w:val="16"/>
              </w:rPr>
            </w:pPr>
            <w:r>
              <w:rPr>
                <w:sz w:val="16"/>
                <w:szCs w:val="16"/>
                <w:spacing w:val="-1"/>
              </w:rPr>
              <w:t>基于成本一效益分析对数据治理项目进行</w:t>
            </w:r>
            <w:r>
              <w:rPr>
                <w:sz w:val="16"/>
                <w:szCs w:val="16"/>
                <w:spacing w:val="10"/>
              </w:rPr>
              <w:t xml:space="preserve"> </w:t>
            </w:r>
            <w:r>
              <w:rPr>
                <w:sz w:val="16"/>
                <w:szCs w:val="16"/>
                <w:spacing w:val="4"/>
              </w:rPr>
              <w:t>资助</w:t>
            </w:r>
          </w:p>
        </w:tc>
        <w:tc>
          <w:tcPr>
            <w:tcW w:w="3750" w:type="dxa"/>
            <w:vAlign w:val="top"/>
          </w:tcPr>
          <w:p>
            <w:pPr>
              <w:pStyle w:val="TableText"/>
              <w:ind w:left="266"/>
              <w:spacing w:before="100" w:line="219" w:lineRule="auto"/>
              <w:rPr>
                <w:sz w:val="16"/>
                <w:szCs w:val="16"/>
              </w:rPr>
            </w:pPr>
            <w:r>
              <w:rPr>
                <w:sz w:val="16"/>
                <w:szCs w:val="16"/>
              </w:rPr>
              <w:t>●数据管理项目预算</w:t>
            </w:r>
          </w:p>
          <w:p>
            <w:pPr>
              <w:pStyle w:val="TableText"/>
              <w:ind w:left="266"/>
              <w:spacing w:before="89" w:line="217" w:lineRule="auto"/>
              <w:rPr>
                <w:sz w:val="16"/>
                <w:szCs w:val="16"/>
              </w:rPr>
            </w:pPr>
            <w:r>
              <w:rPr>
                <w:sz w:val="16"/>
                <w:szCs w:val="16"/>
              </w:rPr>
              <w:t>●包含成本—效益分析的资助申请</w:t>
            </w:r>
          </w:p>
        </w:tc>
      </w:tr>
    </w:tbl>
    <w:p>
      <w:pPr>
        <w:ind w:left="31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74" w:firstLine="419"/>
        <w:spacing w:before="70" w:line="237" w:lineRule="auto"/>
        <w:rPr>
          <w:rFonts w:ascii="SimSun" w:hAnsi="SimSun" w:eastAsia="SimSun" w:cs="SimSun"/>
          <w:sz w:val="21"/>
          <w:szCs w:val="21"/>
        </w:rPr>
      </w:pPr>
      <w:r>
        <w:rPr>
          <w:rFonts w:ascii="SimSun" w:hAnsi="SimSun" w:eastAsia="SimSun" w:cs="SimSun"/>
          <w:sz w:val="21"/>
          <w:szCs w:val="21"/>
          <w:spacing w:val="2"/>
        </w:rPr>
        <w:t>组织有计划有目的地科学分配资源，基于成本一效益模型，最大化发挥</w:t>
      </w:r>
      <w:r>
        <w:rPr>
          <w:rFonts w:ascii="SimSun" w:hAnsi="SimSun" w:eastAsia="SimSun" w:cs="SimSun"/>
          <w:sz w:val="21"/>
          <w:szCs w:val="21"/>
          <w:spacing w:val="1"/>
        </w:rPr>
        <w:t>资源的</w:t>
      </w:r>
      <w:r>
        <w:rPr>
          <w:rFonts w:ascii="SimSun" w:hAnsi="SimSun" w:eastAsia="SimSun" w:cs="SimSun"/>
          <w:sz w:val="21"/>
          <w:szCs w:val="21"/>
        </w:rPr>
        <w:t xml:space="preserve"> </w:t>
      </w:r>
      <w:r>
        <w:rPr>
          <w:rFonts w:ascii="SimSun" w:hAnsi="SimSun" w:eastAsia="SimSun" w:cs="SimSun"/>
          <w:sz w:val="21"/>
          <w:szCs w:val="21"/>
          <w:spacing w:val="-1"/>
        </w:rPr>
        <w:t>作用。资源分配的方式根据资源种类的不同而不同。</w:t>
      </w:r>
    </w:p>
    <w:p>
      <w:pPr>
        <w:ind w:left="419"/>
        <w:spacing w:before="81" w:line="219" w:lineRule="auto"/>
        <w:rPr>
          <w:rFonts w:ascii="SimSun" w:hAnsi="SimSun" w:eastAsia="SimSun" w:cs="SimSun"/>
          <w:sz w:val="21"/>
          <w:szCs w:val="21"/>
        </w:rPr>
      </w:pPr>
      <w:r>
        <w:rPr>
          <w:rFonts w:ascii="SimSun" w:hAnsi="SimSun" w:eastAsia="SimSun" w:cs="SimSun"/>
          <w:sz w:val="21"/>
          <w:szCs w:val="21"/>
          <w:spacing w:val="-1"/>
        </w:rPr>
        <w:t>第一，人力资源的分配。人力资源的分配一</w:t>
      </w:r>
      <w:r>
        <w:rPr>
          <w:rFonts w:ascii="SimSun" w:hAnsi="SimSun" w:eastAsia="SimSun" w:cs="SimSun"/>
          <w:sz w:val="21"/>
          <w:szCs w:val="21"/>
          <w:spacing w:val="-2"/>
        </w:rPr>
        <w:t>般有三个主要内容。</w:t>
      </w:r>
    </w:p>
    <w:p>
      <w:pPr>
        <w:ind w:left="419"/>
        <w:spacing w:before="50" w:line="219" w:lineRule="auto"/>
        <w:rPr>
          <w:rFonts w:ascii="SimSun" w:hAnsi="SimSun" w:eastAsia="SimSun" w:cs="SimSun"/>
          <w:sz w:val="21"/>
          <w:szCs w:val="21"/>
        </w:rPr>
      </w:pPr>
      <w:r>
        <w:rPr>
          <w:rFonts w:ascii="SimSun" w:hAnsi="SimSun" w:eastAsia="SimSun" w:cs="SimSun"/>
          <w:sz w:val="21"/>
          <w:szCs w:val="21"/>
          <w:spacing w:val="-4"/>
        </w:rPr>
        <w:t>(1)为数据治理岗位配备管理和技术人才，特别是对关键岗位</w:t>
      </w:r>
      <w:r>
        <w:rPr>
          <w:rFonts w:ascii="SimSun" w:hAnsi="SimSun" w:eastAsia="SimSun" w:cs="SimSun"/>
          <w:sz w:val="21"/>
          <w:szCs w:val="21"/>
          <w:spacing w:val="-5"/>
        </w:rPr>
        <w:t>的关键人物的选择。</w:t>
      </w:r>
    </w:p>
    <w:p>
      <w:pPr>
        <w:ind w:left="419"/>
        <w:spacing w:before="70" w:line="219" w:lineRule="auto"/>
        <w:rPr>
          <w:rFonts w:ascii="SimSun" w:hAnsi="SimSun" w:eastAsia="SimSun" w:cs="SimSun"/>
          <w:sz w:val="21"/>
          <w:szCs w:val="21"/>
        </w:rPr>
      </w:pPr>
      <w:r>
        <w:rPr>
          <w:rFonts w:ascii="SimSun" w:hAnsi="SimSun" w:eastAsia="SimSun" w:cs="SimSun"/>
          <w:sz w:val="21"/>
          <w:szCs w:val="21"/>
          <w:spacing w:val="-5"/>
        </w:rPr>
        <w:t>(2)为数据治理战略实施建立人才及技术的储备，不断为战略实施输送有效人才。</w:t>
      </w:r>
    </w:p>
    <w:p>
      <w:pPr>
        <w:ind w:left="419"/>
        <w:spacing w:before="73" w:line="219" w:lineRule="auto"/>
        <w:rPr>
          <w:rFonts w:ascii="SimSun" w:hAnsi="SimSun" w:eastAsia="SimSun" w:cs="SimSun"/>
          <w:sz w:val="21"/>
          <w:szCs w:val="21"/>
        </w:rPr>
      </w:pPr>
      <w:r>
        <w:rPr>
          <w:rFonts w:ascii="SimSun" w:hAnsi="SimSun" w:eastAsia="SimSun" w:cs="SimSun"/>
          <w:sz w:val="21"/>
          <w:szCs w:val="21"/>
          <w:spacing w:val="3"/>
        </w:rPr>
        <w:t>(3)在数据治理实施的过程中，注意数据</w:t>
      </w:r>
      <w:r>
        <w:rPr>
          <w:rFonts w:ascii="SimSun" w:hAnsi="SimSun" w:eastAsia="SimSun" w:cs="SimSun"/>
          <w:sz w:val="21"/>
          <w:szCs w:val="21"/>
          <w:spacing w:val="2"/>
        </w:rPr>
        <w:t>治理团队的综合力量的搭配和权衡。</w:t>
      </w:r>
    </w:p>
    <w:p>
      <w:pPr>
        <w:ind w:right="275" w:firstLine="419"/>
        <w:spacing w:before="60" w:line="255" w:lineRule="auto"/>
        <w:rPr>
          <w:rFonts w:ascii="SimSun" w:hAnsi="SimSun" w:eastAsia="SimSun" w:cs="SimSun"/>
          <w:sz w:val="21"/>
          <w:szCs w:val="21"/>
        </w:rPr>
      </w:pPr>
      <w:r>
        <w:rPr>
          <w:rFonts w:ascii="SimSun" w:hAnsi="SimSun" w:eastAsia="SimSun" w:cs="SimSun"/>
          <w:sz w:val="21"/>
          <w:szCs w:val="21"/>
          <w:spacing w:val="-3"/>
        </w:rPr>
        <w:t>第二，资金的分配。</w:t>
      </w:r>
      <w:r>
        <w:rPr>
          <w:rFonts w:ascii="SimSun" w:hAnsi="SimSun" w:eastAsia="SimSun" w:cs="SimSun"/>
          <w:sz w:val="21"/>
          <w:szCs w:val="21"/>
          <w:spacing w:val="55"/>
        </w:rPr>
        <w:t xml:space="preserve"> </w:t>
      </w:r>
      <w:r>
        <w:rPr>
          <w:rFonts w:ascii="SimSun" w:hAnsi="SimSun" w:eastAsia="SimSun" w:cs="SimSun"/>
          <w:sz w:val="21"/>
          <w:szCs w:val="21"/>
          <w:spacing w:val="-3"/>
        </w:rPr>
        <w:t>一般采用预算模型来为数据治理活动分配资金资源，而预</w:t>
      </w:r>
      <w:r>
        <w:rPr>
          <w:rFonts w:ascii="SimSun" w:hAnsi="SimSun" w:eastAsia="SimSun" w:cs="SimSun"/>
          <w:sz w:val="21"/>
          <w:szCs w:val="21"/>
        </w:rPr>
        <w:t xml:space="preserve"> </w:t>
      </w:r>
      <w:r>
        <w:rPr>
          <w:rFonts w:ascii="SimSun" w:hAnsi="SimSun" w:eastAsia="SimSun" w:cs="SimSun"/>
          <w:sz w:val="21"/>
          <w:szCs w:val="21"/>
          <w:spacing w:val="2"/>
        </w:rPr>
        <w:t>算是一种通过财务指标或数量指标来显示组织目标、战略的文件</w:t>
      </w:r>
      <w:r>
        <w:rPr>
          <w:rFonts w:ascii="SimSun" w:hAnsi="SimSun" w:eastAsia="SimSun" w:cs="SimSun"/>
          <w:sz w:val="21"/>
          <w:szCs w:val="21"/>
          <w:spacing w:val="1"/>
        </w:rPr>
        <w:t>。通常采用这四种</w:t>
      </w:r>
      <w:r>
        <w:rPr>
          <w:rFonts w:ascii="SimSun" w:hAnsi="SimSun" w:eastAsia="SimSun" w:cs="SimSun"/>
          <w:sz w:val="21"/>
          <w:szCs w:val="21"/>
        </w:rPr>
        <w:t xml:space="preserve"> </w:t>
      </w:r>
      <w:r>
        <w:rPr>
          <w:rFonts w:ascii="SimSun" w:hAnsi="SimSun" w:eastAsia="SimSun" w:cs="SimSun"/>
          <w:sz w:val="21"/>
          <w:szCs w:val="21"/>
          <w:spacing w:val="-7"/>
        </w:rPr>
        <w:t>预算方式。</w:t>
      </w:r>
    </w:p>
    <w:p>
      <w:pPr>
        <w:ind w:right="278" w:firstLine="419"/>
        <w:spacing w:before="61" w:line="245" w:lineRule="auto"/>
        <w:rPr>
          <w:rFonts w:ascii="SimSun" w:hAnsi="SimSun" w:eastAsia="SimSun" w:cs="SimSun"/>
          <w:sz w:val="21"/>
          <w:szCs w:val="21"/>
        </w:rPr>
      </w:pPr>
      <w:r>
        <w:rPr>
          <w:rFonts w:ascii="SimSun" w:hAnsi="SimSun" w:eastAsia="SimSun" w:cs="SimSun"/>
          <w:sz w:val="21"/>
          <w:szCs w:val="21"/>
          <w:spacing w:val="5"/>
        </w:rPr>
        <w:t>(1)零基预算。它不是根据上年度的预算编制，而是将一</w:t>
      </w:r>
      <w:r>
        <w:rPr>
          <w:rFonts w:ascii="SimSun" w:hAnsi="SimSun" w:eastAsia="SimSun" w:cs="SimSun"/>
          <w:sz w:val="21"/>
          <w:szCs w:val="21"/>
          <w:spacing w:val="4"/>
        </w:rPr>
        <w:t>切经营活动都从彻底</w:t>
      </w:r>
      <w:r>
        <w:rPr>
          <w:rFonts w:ascii="SimSun" w:hAnsi="SimSun" w:eastAsia="SimSun" w:cs="SimSun"/>
          <w:sz w:val="21"/>
          <w:szCs w:val="21"/>
        </w:rPr>
        <w:t xml:space="preserve"> </w:t>
      </w:r>
      <w:r>
        <w:rPr>
          <w:rFonts w:ascii="SimSun" w:hAnsi="SimSun" w:eastAsia="SimSun" w:cs="SimSun"/>
          <w:sz w:val="21"/>
          <w:szCs w:val="21"/>
          <w:spacing w:val="-2"/>
        </w:rPr>
        <w:t>的成本一效益分析开始，以防止预算无效。</w:t>
      </w:r>
    </w:p>
    <w:p>
      <w:pPr>
        <w:ind w:right="355" w:firstLine="419"/>
        <w:spacing w:before="52" w:line="250" w:lineRule="auto"/>
        <w:rPr>
          <w:rFonts w:ascii="SimSun" w:hAnsi="SimSun" w:eastAsia="SimSun" w:cs="SimSun"/>
          <w:sz w:val="21"/>
          <w:szCs w:val="21"/>
        </w:rPr>
      </w:pPr>
      <w:r>
        <w:rPr>
          <w:rFonts w:ascii="SimSun" w:hAnsi="SimSun" w:eastAsia="SimSun" w:cs="SimSun"/>
          <w:sz w:val="21"/>
          <w:szCs w:val="21"/>
          <w:spacing w:val="3"/>
        </w:rPr>
        <w:t>(2)规划预算。它是按规划项目而非职能</w:t>
      </w:r>
      <w:r>
        <w:rPr>
          <w:rFonts w:ascii="SimSun" w:hAnsi="SimSun" w:eastAsia="SimSun" w:cs="SimSun"/>
          <w:sz w:val="21"/>
          <w:szCs w:val="21"/>
          <w:spacing w:val="2"/>
        </w:rPr>
        <w:t>来分配资源。规划预算的期限较长，</w:t>
      </w:r>
      <w:r>
        <w:rPr>
          <w:rFonts w:ascii="SimSun" w:hAnsi="SimSun" w:eastAsia="SimSun" w:cs="SimSun"/>
          <w:sz w:val="21"/>
          <w:szCs w:val="21"/>
        </w:rPr>
        <w:t xml:space="preserve"> </w:t>
      </w:r>
      <w:r>
        <w:rPr>
          <w:rFonts w:ascii="SimSun" w:hAnsi="SimSun" w:eastAsia="SimSun" w:cs="SimSun"/>
          <w:sz w:val="21"/>
          <w:szCs w:val="21"/>
          <w:spacing w:val="-2"/>
        </w:rPr>
        <w:t>常与项目规划期同步，以便直接考察一项规划对资源的需求和成效。</w:t>
      </w:r>
    </w:p>
    <w:p>
      <w:pPr>
        <w:ind w:right="273" w:firstLine="419"/>
        <w:spacing w:before="60" w:line="255" w:lineRule="auto"/>
        <w:rPr>
          <w:rFonts w:ascii="SimSun" w:hAnsi="SimSun" w:eastAsia="SimSun" w:cs="SimSun"/>
          <w:sz w:val="21"/>
          <w:szCs w:val="21"/>
        </w:rPr>
      </w:pPr>
      <w:r>
        <w:rPr>
          <w:rFonts w:ascii="SimSun" w:hAnsi="SimSun" w:eastAsia="SimSun" w:cs="SimSun"/>
          <w:sz w:val="21"/>
          <w:szCs w:val="21"/>
          <w:spacing w:val="5"/>
        </w:rPr>
        <w:t>(3)灵活预算。它允许费用随产出指标而变动，有助于克服“预算游</w:t>
      </w:r>
      <w:r>
        <w:rPr>
          <w:rFonts w:ascii="SimSun" w:hAnsi="SimSun" w:eastAsia="SimSun" w:cs="SimSun"/>
          <w:sz w:val="21"/>
          <w:szCs w:val="21"/>
          <w:spacing w:val="4"/>
        </w:rPr>
        <w:t>戏”及增</w:t>
      </w:r>
      <w:r>
        <w:rPr>
          <w:rFonts w:ascii="SimSun" w:hAnsi="SimSun" w:eastAsia="SimSun" w:cs="SimSun"/>
          <w:sz w:val="21"/>
          <w:szCs w:val="21"/>
        </w:rPr>
        <w:t xml:space="preserve"> </w:t>
      </w:r>
      <w:r>
        <w:rPr>
          <w:rFonts w:ascii="SimSun" w:hAnsi="SimSun" w:eastAsia="SimSun" w:cs="SimSun"/>
          <w:sz w:val="21"/>
          <w:szCs w:val="21"/>
          <w:spacing w:val="-5"/>
        </w:rPr>
        <w:t>加预算的灵活性。</w:t>
      </w:r>
    </w:p>
    <w:p>
      <w:pPr>
        <w:ind w:right="274" w:firstLine="419"/>
        <w:spacing w:before="60" w:line="255" w:lineRule="auto"/>
        <w:rPr>
          <w:rFonts w:ascii="SimSun" w:hAnsi="SimSun" w:eastAsia="SimSun" w:cs="SimSun"/>
          <w:sz w:val="21"/>
          <w:szCs w:val="21"/>
        </w:rPr>
      </w:pPr>
      <w:r>
        <w:rPr>
          <w:rFonts w:ascii="SimSun" w:hAnsi="SimSun" w:eastAsia="SimSun" w:cs="SimSun"/>
          <w:sz w:val="21"/>
          <w:szCs w:val="21"/>
          <w:spacing w:val="5"/>
        </w:rPr>
        <w:t>(4)项目生命周期预算。在项目的不同生命周期中有</w:t>
      </w:r>
      <w:r>
        <w:rPr>
          <w:rFonts w:ascii="SimSun" w:hAnsi="SimSun" w:eastAsia="SimSun" w:cs="SimSun"/>
          <w:sz w:val="21"/>
          <w:szCs w:val="21"/>
          <w:spacing w:val="4"/>
        </w:rPr>
        <w:t>着对资金的不同需求，而</w:t>
      </w:r>
      <w:r>
        <w:rPr>
          <w:rFonts w:ascii="SimSun" w:hAnsi="SimSun" w:eastAsia="SimSun" w:cs="SimSun"/>
          <w:sz w:val="21"/>
          <w:szCs w:val="21"/>
        </w:rPr>
        <w:t xml:space="preserve"> </w:t>
      </w:r>
      <w:r>
        <w:rPr>
          <w:rFonts w:ascii="SimSun" w:hAnsi="SimSun" w:eastAsia="SimSun" w:cs="SimSun"/>
          <w:sz w:val="21"/>
          <w:szCs w:val="21"/>
          <w:spacing w:val="2"/>
        </w:rPr>
        <w:t>且各阶段的资金需求有不同的费用项目。这时项目生命周期预算就</w:t>
      </w:r>
      <w:r>
        <w:rPr>
          <w:rFonts w:ascii="SimSun" w:hAnsi="SimSun" w:eastAsia="SimSun" w:cs="SimSun"/>
          <w:sz w:val="21"/>
          <w:szCs w:val="21"/>
          <w:spacing w:val="1"/>
        </w:rPr>
        <w:t>根据不同阶段的</w:t>
      </w:r>
      <w:r>
        <w:rPr>
          <w:rFonts w:ascii="SimSun" w:hAnsi="SimSun" w:eastAsia="SimSun" w:cs="SimSun"/>
          <w:sz w:val="21"/>
          <w:szCs w:val="21"/>
        </w:rPr>
        <w:t xml:space="preserve"> </w:t>
      </w:r>
      <w:r>
        <w:rPr>
          <w:rFonts w:ascii="SimSun" w:hAnsi="SimSun" w:eastAsia="SimSun" w:cs="SimSun"/>
          <w:sz w:val="21"/>
          <w:szCs w:val="21"/>
          <w:spacing w:val="-1"/>
        </w:rPr>
        <w:t>特征来编制各项资金的支出计划及原则。</w:t>
      </w:r>
    </w:p>
    <w:p>
      <w:pPr>
        <w:ind w:left="419"/>
        <w:spacing w:before="60" w:line="219" w:lineRule="auto"/>
        <w:rPr>
          <w:rFonts w:ascii="SimSun" w:hAnsi="SimSun" w:eastAsia="SimSun" w:cs="SimSun"/>
          <w:sz w:val="21"/>
          <w:szCs w:val="21"/>
        </w:rPr>
      </w:pPr>
      <w:r>
        <w:rPr>
          <w:rFonts w:ascii="SimSun" w:hAnsi="SimSun" w:eastAsia="SimSun" w:cs="SimSun"/>
          <w:sz w:val="21"/>
          <w:szCs w:val="21"/>
          <w:spacing w:val="-2"/>
        </w:rPr>
        <w:t>在资金的分配中，应该遵循两项基本原则。</w:t>
      </w:r>
    </w:p>
    <w:p>
      <w:pPr>
        <w:ind w:right="272" w:firstLine="419"/>
        <w:spacing w:before="81" w:line="242" w:lineRule="auto"/>
        <w:rPr>
          <w:rFonts w:ascii="SimSun" w:hAnsi="SimSun" w:eastAsia="SimSun" w:cs="SimSun"/>
          <w:sz w:val="21"/>
          <w:szCs w:val="21"/>
        </w:rPr>
      </w:pPr>
      <w:r>
        <w:rPr>
          <w:rFonts w:ascii="SimSun" w:hAnsi="SimSun" w:eastAsia="SimSun" w:cs="SimSun"/>
          <w:sz w:val="21"/>
          <w:szCs w:val="21"/>
          <w:spacing w:val="5"/>
        </w:rPr>
        <w:t>(1)根据各子活动对整个数据治理战略的重要性来设置资金分配的优先</w:t>
      </w:r>
      <w:r>
        <w:rPr>
          <w:rFonts w:ascii="SimSun" w:hAnsi="SimSun" w:eastAsia="SimSun" w:cs="SimSun"/>
          <w:sz w:val="21"/>
          <w:szCs w:val="21"/>
          <w:spacing w:val="4"/>
        </w:rPr>
        <w:t>权，以</w:t>
      </w:r>
      <w:r>
        <w:rPr>
          <w:rFonts w:ascii="SimSun" w:hAnsi="SimSun" w:eastAsia="SimSun" w:cs="SimSun"/>
          <w:sz w:val="21"/>
          <w:szCs w:val="21"/>
        </w:rPr>
        <w:t xml:space="preserve"> </w:t>
      </w:r>
      <w:r>
        <w:rPr>
          <w:rFonts w:ascii="SimSun" w:hAnsi="SimSun" w:eastAsia="SimSun" w:cs="SimSun"/>
          <w:sz w:val="21"/>
          <w:szCs w:val="21"/>
          <w:spacing w:val="-5"/>
        </w:rPr>
        <w:t>实现资源的有偿高效利用。</w:t>
      </w:r>
    </w:p>
    <w:p>
      <w:pPr>
        <w:ind w:left="419"/>
        <w:spacing w:before="59" w:line="219" w:lineRule="auto"/>
        <w:rPr>
          <w:rFonts w:ascii="SimSun" w:hAnsi="SimSun" w:eastAsia="SimSun" w:cs="SimSun"/>
          <w:sz w:val="21"/>
          <w:szCs w:val="21"/>
        </w:rPr>
      </w:pPr>
      <w:r>
        <w:rPr>
          <w:rFonts w:ascii="SimSun" w:hAnsi="SimSun" w:eastAsia="SimSun" w:cs="SimSun"/>
          <w:sz w:val="21"/>
          <w:szCs w:val="21"/>
          <w:spacing w:val="-4"/>
        </w:rPr>
        <w:t>(2)兼顾数据治理整个项目的各个单元，发挥资金促进数据治</w:t>
      </w:r>
      <w:r>
        <w:rPr>
          <w:rFonts w:ascii="SimSun" w:hAnsi="SimSun" w:eastAsia="SimSun" w:cs="SimSun"/>
          <w:sz w:val="21"/>
          <w:szCs w:val="21"/>
          <w:spacing w:val="-5"/>
        </w:rPr>
        <w:t>理活动的协同功能。</w:t>
      </w:r>
    </w:p>
    <w:p>
      <w:pPr>
        <w:spacing w:line="128" w:lineRule="exact"/>
        <w:rPr/>
      </w:pPr>
      <w:r/>
    </w:p>
    <w:tbl>
      <w:tblPr>
        <w:tblStyle w:val="TableNormal"/>
        <w:tblW w:w="760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50"/>
      </w:tblGrid>
      <w:tr>
        <w:trPr>
          <w:trHeight w:val="323" w:hRule="atLeast"/>
        </w:trPr>
        <w:tc>
          <w:tcPr>
            <w:tcW w:w="704" w:type="dxa"/>
            <w:vAlign w:val="top"/>
          </w:tcPr>
          <w:p>
            <w:pPr>
              <w:pStyle w:val="TableText"/>
              <w:ind w:left="195"/>
              <w:spacing w:before="92" w:line="221" w:lineRule="auto"/>
              <w:rPr/>
            </w:pPr>
            <w:r>
              <w:rPr>
                <w:spacing w:val="-2"/>
              </w:rPr>
              <w:t>序号</w:t>
            </w:r>
          </w:p>
        </w:tc>
        <w:tc>
          <w:tcPr>
            <w:tcW w:w="3146" w:type="dxa"/>
            <w:vAlign w:val="top"/>
          </w:tcPr>
          <w:p>
            <w:pPr>
              <w:pStyle w:val="TableText"/>
              <w:ind w:left="116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1107" w:hRule="atLeast"/>
        </w:trPr>
        <w:tc>
          <w:tcPr>
            <w:tcW w:w="704" w:type="dxa"/>
            <w:vAlign w:val="top"/>
          </w:tcPr>
          <w:p>
            <w:pPr>
              <w:spacing w:line="465" w:lineRule="auto"/>
              <w:rPr>
                <w:rFonts w:ascii="Arial"/>
                <w:sz w:val="21"/>
              </w:rPr>
            </w:pPr>
            <w:r/>
          </w:p>
          <w:p>
            <w:pPr>
              <w:pStyle w:val="TableText"/>
              <w:ind w:left="224"/>
              <w:spacing w:before="49" w:line="183" w:lineRule="auto"/>
              <w:rPr/>
            </w:pPr>
            <w:r>
              <w:rPr>
                <w:spacing w:val="-2"/>
              </w:rPr>
              <w:t>2.3</w:t>
            </w:r>
          </w:p>
        </w:tc>
        <w:tc>
          <w:tcPr>
            <w:tcW w:w="3146" w:type="dxa"/>
            <w:vAlign w:val="top"/>
          </w:tcPr>
          <w:p>
            <w:pPr>
              <w:spacing w:line="316" w:lineRule="auto"/>
              <w:rPr>
                <w:rFonts w:ascii="Arial"/>
                <w:sz w:val="21"/>
              </w:rPr>
            </w:pPr>
            <w:r/>
          </w:p>
          <w:p>
            <w:pPr>
              <w:pStyle w:val="TableText"/>
              <w:ind w:left="121" w:right="160" w:firstLine="160"/>
              <w:spacing w:before="49" w:line="283" w:lineRule="auto"/>
              <w:rPr/>
            </w:pPr>
            <w:r>
              <w:rPr>
                <w:spacing w:val="-1"/>
              </w:rPr>
              <w:t>基于业务案例中论述的资助准则对数据治</w:t>
            </w:r>
            <w:r>
              <w:rPr>
                <w:spacing w:val="11"/>
              </w:rPr>
              <w:t xml:space="preserve"> </w:t>
            </w:r>
            <w:r>
              <w:rPr>
                <w:spacing w:val="-1"/>
              </w:rPr>
              <w:t>理倡议进行资助</w:t>
            </w:r>
          </w:p>
        </w:tc>
        <w:tc>
          <w:tcPr>
            <w:tcW w:w="3750" w:type="dxa"/>
            <w:vAlign w:val="top"/>
          </w:tcPr>
          <w:p>
            <w:pPr>
              <w:pStyle w:val="TableText"/>
              <w:ind w:left="255"/>
              <w:spacing w:before="78" w:line="219" w:lineRule="auto"/>
              <w:rPr/>
            </w:pPr>
            <w:r>
              <w:rPr>
                <w:spacing w:val="1"/>
              </w:rPr>
              <w:t>●数据治理业务案例</w:t>
            </w:r>
          </w:p>
          <w:p>
            <w:pPr>
              <w:pStyle w:val="TableText"/>
              <w:ind w:left="255"/>
              <w:spacing w:before="101" w:line="219" w:lineRule="auto"/>
              <w:rPr/>
            </w:pPr>
            <w:r>
              <w:rPr/>
              <w:t>●数据治理资源保障方案</w:t>
            </w:r>
          </w:p>
          <w:p>
            <w:pPr>
              <w:pStyle w:val="TableText"/>
              <w:ind w:left="255"/>
              <w:spacing w:before="92" w:line="219" w:lineRule="auto"/>
              <w:rPr/>
            </w:pPr>
            <w:r>
              <w:rPr>
                <w:spacing w:val="1"/>
              </w:rPr>
              <w:t>●数据治理资助准则</w:t>
            </w:r>
          </w:p>
          <w:p>
            <w:pPr>
              <w:pStyle w:val="TableText"/>
              <w:ind w:left="255"/>
              <w:spacing w:before="102" w:line="219" w:lineRule="auto"/>
              <w:rPr/>
            </w:pPr>
            <w:r>
              <w:rPr/>
              <w:t>●数据治理资助记录</w:t>
            </w:r>
          </w:p>
        </w:tc>
      </w:tr>
    </w:tbl>
    <w:p>
      <w:pPr>
        <w:ind w:left="31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419"/>
        <w:spacing w:before="71" w:line="219" w:lineRule="auto"/>
        <w:rPr>
          <w:rFonts w:ascii="SimSun" w:hAnsi="SimSun" w:eastAsia="SimSun" w:cs="SimSun"/>
          <w:sz w:val="21"/>
          <w:szCs w:val="21"/>
        </w:rPr>
      </w:pPr>
      <w:r>
        <w:rPr>
          <w:rFonts w:ascii="SimSun" w:hAnsi="SimSun" w:eastAsia="SimSun" w:cs="SimSun"/>
          <w:sz w:val="21"/>
          <w:szCs w:val="21"/>
          <w:spacing w:val="2"/>
        </w:rPr>
        <w:t>基于业务案例对资金支持策略进行评审，主要内容为资金对</w:t>
      </w:r>
      <w:r>
        <w:rPr>
          <w:rFonts w:ascii="SimSun" w:hAnsi="SimSun" w:eastAsia="SimSun" w:cs="SimSun"/>
          <w:sz w:val="21"/>
          <w:szCs w:val="21"/>
          <w:spacing w:val="1"/>
        </w:rPr>
        <w:t>数据治理战略的支</w:t>
      </w:r>
    </w:p>
    <w:p>
      <w:pPr>
        <w:spacing w:line="219" w:lineRule="auto"/>
        <w:sectPr>
          <w:footerReference w:type="default" r:id="rId178"/>
          <w:pgSz w:w="8870" w:h="13400"/>
          <w:pgMar w:top="400" w:right="519" w:bottom="617" w:left="449" w:header="0" w:footer="408" w:gutter="0"/>
        </w:sectPr>
        <w:rPr>
          <w:rFonts w:ascii="SimSun" w:hAnsi="SimSun" w:eastAsia="SimSun" w:cs="SimSun"/>
          <w:sz w:val="21"/>
          <w:szCs w:val="21"/>
        </w:rPr>
      </w:pPr>
    </w:p>
    <w:p>
      <w:pPr>
        <w:ind w:left="222"/>
        <w:spacing w:before="186" w:line="219" w:lineRule="auto"/>
        <w:rPr>
          <w:rFonts w:ascii="SimSun" w:hAnsi="SimSun" w:eastAsia="SimSun" w:cs="SimSun"/>
          <w:sz w:val="22"/>
          <w:szCs w:val="22"/>
        </w:rPr>
      </w:pPr>
      <w:r>
        <w:pict>
          <v:rect id="_x0000_s324" style="position:absolute;margin-left:27.5014pt;margin-top:26.0026pt;mso-position-vertical-relative:page;mso-position-horizontal-relative:page;width:0.5pt;height:18pt;z-index:253427712;" o:allowincell="f" fillcolor="#000000" filled="true" stroked="false"/>
        </w:pict>
      </w:r>
      <w:bookmarkStart w:name="bookmark40" w:id="35"/>
      <w:bookmarkEnd w:id="35"/>
      <w:bookmarkStart w:name="bookmark41" w:id="36"/>
      <w:bookmarkEnd w:id="36"/>
      <w:bookmarkStart w:name="bookmark42" w:id="37"/>
      <w:bookmarkEnd w:id="37"/>
      <w:r>
        <w:rPr>
          <w:rFonts w:ascii="SimSun" w:hAnsi="SimSun" w:eastAsia="SimSun" w:cs="SimSun"/>
          <w:sz w:val="22"/>
          <w:szCs w:val="22"/>
          <w:b/>
          <w:bCs/>
          <w:spacing w:val="-29"/>
          <w:w w:val="97"/>
        </w:rPr>
        <w:t>■云端数据治理■</w:t>
      </w:r>
    </w:p>
    <w:p>
      <w:pPr>
        <w:pStyle w:val="BodyText"/>
        <w:spacing w:line="247" w:lineRule="auto"/>
        <w:rPr/>
      </w:pPr>
      <w:r/>
    </w:p>
    <w:p>
      <w:pPr>
        <w:ind w:left="219" w:right="65"/>
        <w:spacing w:before="71" w:line="246" w:lineRule="auto"/>
        <w:jc w:val="both"/>
        <w:rPr>
          <w:rFonts w:ascii="SimSun" w:hAnsi="SimSun" w:eastAsia="SimSun" w:cs="SimSun"/>
          <w:sz w:val="22"/>
          <w:szCs w:val="22"/>
        </w:rPr>
      </w:pPr>
      <w:r>
        <w:rPr>
          <w:rFonts w:ascii="SimSun" w:hAnsi="SimSun" w:eastAsia="SimSun" w:cs="SimSun"/>
          <w:sz w:val="22"/>
          <w:szCs w:val="22"/>
          <w:spacing w:val="-8"/>
        </w:rPr>
        <w:t>持程度，同时也可以考虑其他因素。业务案例给出了数据治理活动的优先级，并以</w:t>
      </w:r>
      <w:r>
        <w:rPr>
          <w:rFonts w:ascii="SimSun" w:hAnsi="SimSun" w:eastAsia="SimSun" w:cs="SimSun"/>
          <w:sz w:val="22"/>
          <w:szCs w:val="22"/>
          <w:spacing w:val="6"/>
        </w:rPr>
        <w:t xml:space="preserve"> </w:t>
      </w:r>
      <w:r>
        <w:rPr>
          <w:rFonts w:ascii="SimSun" w:hAnsi="SimSun" w:eastAsia="SimSun" w:cs="SimSun"/>
          <w:sz w:val="22"/>
          <w:szCs w:val="22"/>
          <w:spacing w:val="-8"/>
        </w:rPr>
        <w:t>成本—效益模式计算所需资金的预算。在项目结束后，对资金收益进行追踪，并利</w:t>
      </w:r>
      <w:r>
        <w:rPr>
          <w:rFonts w:ascii="SimSun" w:hAnsi="SimSun" w:eastAsia="SimSun" w:cs="SimSun"/>
          <w:sz w:val="22"/>
          <w:szCs w:val="22"/>
          <w:spacing w:val="2"/>
        </w:rPr>
        <w:t xml:space="preserve"> </w:t>
      </w:r>
      <w:r>
        <w:rPr>
          <w:rFonts w:ascii="SimSun" w:hAnsi="SimSun" w:eastAsia="SimSun" w:cs="SimSun"/>
          <w:sz w:val="22"/>
          <w:szCs w:val="22"/>
          <w:spacing w:val="-12"/>
        </w:rPr>
        <w:t>用这些收益来完善收益估算。</w:t>
      </w:r>
    </w:p>
    <w:p>
      <w:pPr>
        <w:spacing w:line="128" w:lineRule="exact"/>
        <w:rPr/>
      </w:pPr>
      <w:r/>
    </w:p>
    <w:tbl>
      <w:tblPr>
        <w:tblStyle w:val="TableNormal"/>
        <w:tblW w:w="760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40"/>
      </w:tblGrid>
      <w:tr>
        <w:trPr>
          <w:trHeight w:val="311"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7"/>
              </w:rPr>
              <w:t xml:space="preserve">    </w:t>
            </w:r>
            <w:r>
              <w:rPr>
                <w:sz w:val="16"/>
                <w:szCs w:val="16"/>
                <w:spacing w:val="-6"/>
              </w:rPr>
              <w:t>例</w:t>
            </w:r>
          </w:p>
        </w:tc>
      </w:tr>
      <w:tr>
        <w:trPr>
          <w:trHeight w:val="558" w:hRule="atLeast"/>
        </w:trPr>
        <w:tc>
          <w:tcPr>
            <w:tcW w:w="724" w:type="dxa"/>
            <w:vAlign w:val="top"/>
          </w:tcPr>
          <w:p>
            <w:pPr>
              <w:pStyle w:val="TableText"/>
              <w:ind w:left="234"/>
              <w:spacing w:before="241" w:line="183" w:lineRule="auto"/>
              <w:rPr>
                <w:sz w:val="16"/>
                <w:szCs w:val="16"/>
              </w:rPr>
            </w:pPr>
            <w:r>
              <w:rPr>
                <w:sz w:val="16"/>
                <w:szCs w:val="16"/>
                <w:spacing w:val="-2"/>
              </w:rPr>
              <w:t>2.4</w:t>
            </w:r>
          </w:p>
        </w:tc>
        <w:tc>
          <w:tcPr>
            <w:tcW w:w="3145" w:type="dxa"/>
            <w:vAlign w:val="top"/>
          </w:tcPr>
          <w:p>
            <w:pPr>
              <w:pStyle w:val="TableText"/>
              <w:ind w:left="110" w:right="171" w:firstLine="139"/>
              <w:spacing w:before="80" w:line="270" w:lineRule="auto"/>
              <w:rPr>
                <w:sz w:val="16"/>
                <w:szCs w:val="16"/>
              </w:rPr>
            </w:pPr>
            <w:r>
              <w:rPr>
                <w:sz w:val="16"/>
                <w:szCs w:val="16"/>
                <w:spacing w:val="-1"/>
              </w:rPr>
              <w:t>数据治理成本估算扩展到组织的业务领</w:t>
            </w:r>
            <w:r>
              <w:rPr>
                <w:sz w:val="16"/>
                <w:szCs w:val="16"/>
                <w:spacing w:val="8"/>
              </w:rPr>
              <w:t xml:space="preserve"> </w:t>
            </w:r>
            <w:r>
              <w:rPr>
                <w:sz w:val="16"/>
                <w:szCs w:val="16"/>
                <w:spacing w:val="-1"/>
              </w:rPr>
              <w:t>域、日常操作和IT领域</w:t>
            </w:r>
          </w:p>
        </w:tc>
        <w:tc>
          <w:tcPr>
            <w:tcW w:w="3740" w:type="dxa"/>
            <w:vAlign w:val="top"/>
          </w:tcPr>
          <w:p>
            <w:pPr>
              <w:pStyle w:val="TableText"/>
              <w:ind w:left="265"/>
              <w:spacing w:before="70" w:line="219" w:lineRule="auto"/>
              <w:rPr>
                <w:sz w:val="16"/>
                <w:szCs w:val="16"/>
              </w:rPr>
            </w:pPr>
            <w:r>
              <w:rPr>
                <w:sz w:val="16"/>
                <w:szCs w:val="16"/>
                <w:spacing w:val="1"/>
              </w:rPr>
              <w:t>●数据治理预算</w:t>
            </w:r>
          </w:p>
          <w:p>
            <w:pPr>
              <w:pStyle w:val="TableText"/>
              <w:ind w:left="265"/>
              <w:spacing w:before="109" w:line="205" w:lineRule="auto"/>
              <w:rPr>
                <w:sz w:val="16"/>
                <w:szCs w:val="16"/>
              </w:rPr>
            </w:pPr>
            <w:r>
              <w:rPr>
                <w:sz w:val="16"/>
                <w:szCs w:val="16"/>
              </w:rPr>
              <w:t>●与资助相关的治理文件</w:t>
            </w:r>
          </w:p>
        </w:tc>
      </w:tr>
    </w:tbl>
    <w:p>
      <w:pPr>
        <w:ind w:left="559"/>
        <w:spacing w:before="194" w:line="219" w:lineRule="auto"/>
        <w:rPr>
          <w:rFonts w:ascii="SimSun" w:hAnsi="SimSun" w:eastAsia="SimSun" w:cs="SimSun"/>
          <w:sz w:val="22"/>
          <w:szCs w:val="22"/>
        </w:rPr>
      </w:pPr>
      <w:r>
        <w:rPr>
          <w:rFonts w:ascii="SimSun" w:hAnsi="SimSun" w:eastAsia="SimSun" w:cs="SimSun"/>
          <w:sz w:val="22"/>
          <w:szCs w:val="22"/>
          <w:spacing w:val="-3"/>
        </w:rPr>
        <w:t>【成熟度等级说明】</w:t>
      </w:r>
    </w:p>
    <w:p>
      <w:pPr>
        <w:ind w:left="219" w:right="25" w:firstLine="500"/>
        <w:spacing w:before="43" w:line="256" w:lineRule="auto"/>
        <w:rPr>
          <w:rFonts w:ascii="SimSun" w:hAnsi="SimSun" w:eastAsia="SimSun" w:cs="SimSun"/>
          <w:sz w:val="22"/>
          <w:szCs w:val="22"/>
        </w:rPr>
      </w:pPr>
      <w:r>
        <w:rPr>
          <w:rFonts w:ascii="SimSun" w:hAnsi="SimSun" w:eastAsia="SimSun" w:cs="SimSun"/>
          <w:sz w:val="22"/>
          <w:szCs w:val="22"/>
          <w:spacing w:val="-9"/>
        </w:rPr>
        <w:t>数据治理覆盖部门多，参与人员广泛，因此对其成本估算是一项复杂的工作，</w:t>
      </w:r>
      <w:r>
        <w:rPr>
          <w:rFonts w:ascii="SimSun" w:hAnsi="SimSun" w:eastAsia="SimSun" w:cs="SimSun"/>
          <w:sz w:val="22"/>
          <w:szCs w:val="22"/>
          <w:spacing w:val="5"/>
        </w:rPr>
        <w:t xml:space="preserve"> </w:t>
      </w:r>
      <w:r>
        <w:rPr>
          <w:rFonts w:ascii="SimSun" w:hAnsi="SimSun" w:eastAsia="SimSun" w:cs="SimSun"/>
          <w:sz w:val="22"/>
          <w:szCs w:val="22"/>
          <w:spacing w:val="-8"/>
        </w:rPr>
        <w:t>是跨部门、跨层级、跨环节的。例如，数据治理需要业务部门、财务部门、行</w:t>
      </w:r>
      <w:r>
        <w:rPr>
          <w:rFonts w:ascii="SimSun" w:hAnsi="SimSun" w:eastAsia="SimSun" w:cs="SimSun"/>
          <w:sz w:val="22"/>
          <w:szCs w:val="22"/>
          <w:spacing w:val="-9"/>
        </w:rPr>
        <w:t>政部</w:t>
      </w:r>
      <w:r>
        <w:rPr>
          <w:rFonts w:ascii="SimSun" w:hAnsi="SimSun" w:eastAsia="SimSun" w:cs="SimSun"/>
          <w:sz w:val="22"/>
          <w:szCs w:val="22"/>
        </w:rPr>
        <w:t xml:space="preserve"> </w:t>
      </w:r>
      <w:r>
        <w:rPr>
          <w:rFonts w:ascii="SimSun" w:hAnsi="SimSun" w:eastAsia="SimSun" w:cs="SimSun"/>
          <w:sz w:val="22"/>
          <w:szCs w:val="22"/>
          <w:spacing w:val="-8"/>
        </w:rPr>
        <w:t>门、人力资源部门、供应链部门等，需要将每个部门参与数据治理所需</w:t>
      </w:r>
      <w:r>
        <w:rPr>
          <w:rFonts w:ascii="SimSun" w:hAnsi="SimSun" w:eastAsia="SimSun" w:cs="SimSun"/>
          <w:sz w:val="22"/>
          <w:szCs w:val="22"/>
          <w:spacing w:val="-9"/>
        </w:rPr>
        <w:t>要的成本从</w:t>
      </w:r>
      <w:r>
        <w:rPr>
          <w:rFonts w:ascii="SimSun" w:hAnsi="SimSun" w:eastAsia="SimSun" w:cs="SimSun"/>
          <w:sz w:val="22"/>
          <w:szCs w:val="22"/>
        </w:rPr>
        <w:t xml:space="preserve"> </w:t>
      </w:r>
      <w:r>
        <w:rPr>
          <w:rFonts w:ascii="SimSun" w:hAnsi="SimSun" w:eastAsia="SimSun" w:cs="SimSun"/>
          <w:sz w:val="22"/>
          <w:szCs w:val="22"/>
          <w:spacing w:val="-8"/>
        </w:rPr>
        <w:t>部门整体成本中剥离出来。数据治理生命周期覆盖数据治理项目规划、启</w:t>
      </w:r>
      <w:r>
        <w:rPr>
          <w:rFonts w:ascii="SimSun" w:hAnsi="SimSun" w:eastAsia="SimSun" w:cs="SimSun"/>
          <w:sz w:val="22"/>
          <w:szCs w:val="22"/>
          <w:spacing w:val="-9"/>
        </w:rPr>
        <w:t>动、实施</w:t>
      </w:r>
      <w:r>
        <w:rPr>
          <w:rFonts w:ascii="SimSun" w:hAnsi="SimSun" w:eastAsia="SimSun" w:cs="SimSun"/>
          <w:sz w:val="22"/>
          <w:szCs w:val="22"/>
        </w:rPr>
        <w:t xml:space="preserve"> </w:t>
      </w:r>
      <w:r>
        <w:rPr>
          <w:rFonts w:ascii="SimSun" w:hAnsi="SimSun" w:eastAsia="SimSun" w:cs="SimSun"/>
          <w:sz w:val="22"/>
          <w:szCs w:val="22"/>
          <w:spacing w:val="-8"/>
        </w:rPr>
        <w:t>和优化等多个环节，各个环节对资金的需求不一样，支持方式也可能发生变化，因</w:t>
      </w:r>
      <w:r>
        <w:rPr>
          <w:rFonts w:ascii="SimSun" w:hAnsi="SimSun" w:eastAsia="SimSun" w:cs="SimSun"/>
          <w:sz w:val="22"/>
          <w:szCs w:val="22"/>
          <w:spacing w:val="8"/>
        </w:rPr>
        <w:t xml:space="preserve"> </w:t>
      </w:r>
      <w:r>
        <w:rPr>
          <w:rFonts w:ascii="SimSun" w:hAnsi="SimSun" w:eastAsia="SimSun" w:cs="SimSun"/>
          <w:sz w:val="22"/>
          <w:szCs w:val="22"/>
          <w:spacing w:val="-8"/>
        </w:rPr>
        <w:t>此对数据治理成本估算是一个跨周期的活动。数据治理成本的来源多种</w:t>
      </w:r>
      <w:r>
        <w:rPr>
          <w:rFonts w:ascii="SimSun" w:hAnsi="SimSun" w:eastAsia="SimSun" w:cs="SimSun"/>
          <w:sz w:val="22"/>
          <w:szCs w:val="22"/>
          <w:spacing w:val="-9"/>
        </w:rPr>
        <w:t>多样，包括</w:t>
      </w:r>
      <w:r>
        <w:rPr>
          <w:rFonts w:ascii="SimSun" w:hAnsi="SimSun" w:eastAsia="SimSun" w:cs="SimSun"/>
          <w:sz w:val="22"/>
          <w:szCs w:val="22"/>
        </w:rPr>
        <w:t xml:space="preserve"> </w:t>
      </w:r>
      <w:r>
        <w:rPr>
          <w:rFonts w:ascii="SimSun" w:hAnsi="SimSun" w:eastAsia="SimSun" w:cs="SimSun"/>
          <w:sz w:val="22"/>
          <w:szCs w:val="22"/>
          <w:spacing w:val="-9"/>
        </w:rPr>
        <w:t>数据采集成本、工具使用许可证的购买、</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9"/>
        </w:rPr>
        <w:t>系统的执行和维护以</w:t>
      </w:r>
      <w:r>
        <w:rPr>
          <w:rFonts w:ascii="SimSun" w:hAnsi="SimSun" w:eastAsia="SimSun" w:cs="SimSun"/>
          <w:sz w:val="22"/>
          <w:szCs w:val="22"/>
          <w:spacing w:val="-10"/>
        </w:rPr>
        <w:t>及管理所有活动的</w:t>
      </w:r>
      <w:r>
        <w:rPr>
          <w:rFonts w:ascii="SimSun" w:hAnsi="SimSun" w:eastAsia="SimSun" w:cs="SimSun"/>
          <w:sz w:val="22"/>
          <w:szCs w:val="22"/>
        </w:rPr>
        <w:t xml:space="preserve"> </w:t>
      </w:r>
      <w:r>
        <w:rPr>
          <w:rFonts w:ascii="SimSun" w:hAnsi="SimSun" w:eastAsia="SimSun" w:cs="SimSun"/>
          <w:sz w:val="22"/>
          <w:szCs w:val="22"/>
          <w:spacing w:val="-18"/>
        </w:rPr>
        <w:t>员工。</w:t>
      </w:r>
    </w:p>
    <w:p>
      <w:pPr>
        <w:spacing w:line="151" w:lineRule="exact"/>
        <w:rPr/>
      </w:pPr>
      <w:r/>
    </w:p>
    <w:tbl>
      <w:tblPr>
        <w:tblStyle w:val="TableNormal"/>
        <w:tblW w:w="760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40"/>
      </w:tblGrid>
      <w:tr>
        <w:trPr>
          <w:trHeight w:val="313" w:hRule="atLeast"/>
        </w:trPr>
        <w:tc>
          <w:tcPr>
            <w:tcW w:w="714" w:type="dxa"/>
            <w:vAlign w:val="top"/>
          </w:tcPr>
          <w:p>
            <w:pPr>
              <w:pStyle w:val="TableText"/>
              <w:ind w:left="195"/>
              <w:spacing w:before="81" w:line="221" w:lineRule="auto"/>
              <w:rPr/>
            </w:pPr>
            <w:r>
              <w:rPr>
                <w:spacing w:val="-2"/>
              </w:rPr>
              <w:t>序号</w:t>
            </w:r>
          </w:p>
        </w:tc>
        <w:tc>
          <w:tcPr>
            <w:tcW w:w="3146" w:type="dxa"/>
            <w:vAlign w:val="top"/>
          </w:tcPr>
          <w:p>
            <w:pPr>
              <w:pStyle w:val="TableText"/>
              <w:ind w:left="116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1666" w:hRule="atLeast"/>
        </w:trPr>
        <w:tc>
          <w:tcPr>
            <w:tcW w:w="714" w:type="dxa"/>
            <w:vAlign w:val="top"/>
          </w:tcPr>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235"/>
              <w:spacing w:before="49" w:line="183" w:lineRule="auto"/>
              <w:rPr/>
            </w:pPr>
            <w:r>
              <w:rPr>
                <w:spacing w:val="-2"/>
              </w:rPr>
              <w:t>2.5</w:t>
            </w:r>
          </w:p>
        </w:tc>
        <w:tc>
          <w:tcPr>
            <w:tcW w:w="3146" w:type="dxa"/>
            <w:vAlign w:val="top"/>
          </w:tcPr>
          <w:p>
            <w:pPr>
              <w:spacing w:line="292" w:lineRule="auto"/>
              <w:rPr>
                <w:rFonts w:ascii="Arial"/>
                <w:sz w:val="21"/>
              </w:rPr>
            </w:pPr>
            <w:r/>
          </w:p>
          <w:p>
            <w:pPr>
              <w:spacing w:line="293" w:lineRule="auto"/>
              <w:rPr>
                <w:rFonts w:ascii="Arial"/>
                <w:sz w:val="21"/>
              </w:rPr>
            </w:pPr>
            <w:r/>
          </w:p>
          <w:p>
            <w:pPr>
              <w:pStyle w:val="TableText"/>
              <w:ind w:left="111" w:right="171" w:firstLine="160"/>
              <w:spacing w:before="49" w:line="282" w:lineRule="auto"/>
              <w:rPr/>
            </w:pPr>
            <w:r>
              <w:rPr>
                <w:spacing w:val="-1"/>
              </w:rPr>
              <w:t>制订了资源支持过程，并以此过程开展对</w:t>
            </w:r>
            <w:r>
              <w:rPr>
                <w:spacing w:val="10"/>
              </w:rPr>
              <w:t xml:space="preserve"> </w:t>
            </w:r>
            <w:r>
              <w:rPr>
                <w:spacing w:val="-1"/>
              </w:rPr>
              <w:t>数据治理活动的支持</w:t>
            </w:r>
          </w:p>
        </w:tc>
        <w:tc>
          <w:tcPr>
            <w:tcW w:w="3740" w:type="dxa"/>
            <w:vAlign w:val="top"/>
          </w:tcPr>
          <w:p>
            <w:pPr>
              <w:pStyle w:val="TableText"/>
              <w:ind w:left="255"/>
              <w:spacing w:before="78" w:line="219" w:lineRule="auto"/>
              <w:rPr/>
            </w:pPr>
            <w:r>
              <w:rPr>
                <w:spacing w:val="1"/>
              </w:rPr>
              <w:t>●数据治理业务案例</w:t>
            </w:r>
          </w:p>
          <w:p>
            <w:pPr>
              <w:pStyle w:val="TableText"/>
              <w:ind w:left="255"/>
              <w:spacing w:before="102" w:line="219" w:lineRule="auto"/>
              <w:rPr/>
            </w:pPr>
            <w:r>
              <w:rPr/>
              <w:t>●数据治理资源保障方案</w:t>
            </w:r>
          </w:p>
          <w:p>
            <w:pPr>
              <w:pStyle w:val="TableText"/>
              <w:ind w:left="255"/>
              <w:spacing w:before="101" w:line="219" w:lineRule="auto"/>
              <w:rPr/>
            </w:pPr>
            <w:r>
              <w:rPr>
                <w:spacing w:val="1"/>
              </w:rPr>
              <w:t>●数据治理预算</w:t>
            </w:r>
          </w:p>
          <w:p>
            <w:pPr>
              <w:pStyle w:val="TableText"/>
              <w:ind w:left="454" w:right="126" w:hanging="179"/>
              <w:spacing w:before="101" w:line="281" w:lineRule="auto"/>
              <w:rPr/>
            </w:pPr>
            <w:r>
              <w:rPr>
                <w:spacing w:val="1"/>
              </w:rPr>
              <w:t>●关于数据治理成本对总体方案、业务单元和项目</w:t>
            </w:r>
            <w:r>
              <w:rPr>
                <w:spacing w:val="5"/>
              </w:rPr>
              <w:t xml:space="preserve"> </w:t>
            </w:r>
            <w:r>
              <w:rPr>
                <w:spacing w:val="1"/>
              </w:rPr>
              <w:t>映射的管理报告</w:t>
            </w:r>
          </w:p>
          <w:p>
            <w:pPr>
              <w:pStyle w:val="TableText"/>
              <w:ind w:left="255"/>
              <w:spacing w:before="84" w:line="219" w:lineRule="auto"/>
              <w:rPr/>
            </w:pPr>
            <w:r>
              <w:rPr/>
              <w:t>●与资助相关的治理文件</w:t>
            </w:r>
          </w:p>
        </w:tc>
      </w:tr>
    </w:tbl>
    <w:p>
      <w:pPr>
        <w:ind w:left="60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19" w:right="15" w:firstLine="500"/>
        <w:spacing w:before="56" w:line="247" w:lineRule="auto"/>
        <w:rPr>
          <w:rFonts w:ascii="SimSun" w:hAnsi="SimSun" w:eastAsia="SimSun" w:cs="SimSun"/>
          <w:sz w:val="22"/>
          <w:szCs w:val="22"/>
        </w:rPr>
      </w:pPr>
      <w:r>
        <w:rPr>
          <w:rFonts w:ascii="SimSun" w:hAnsi="SimSun" w:eastAsia="SimSun" w:cs="SimSun"/>
          <w:sz w:val="22"/>
          <w:szCs w:val="22"/>
          <w:spacing w:val="-9"/>
        </w:rPr>
        <w:t>资源的分配和安排过程需要制度化，并进行全过程跟踪管理，这样做一来可以</w:t>
      </w:r>
      <w:r>
        <w:rPr>
          <w:rFonts w:ascii="SimSun" w:hAnsi="SimSun" w:eastAsia="SimSun" w:cs="SimSun"/>
          <w:sz w:val="22"/>
          <w:szCs w:val="22"/>
          <w:spacing w:val="14"/>
        </w:rPr>
        <w:t xml:space="preserve"> </w:t>
      </w:r>
      <w:r>
        <w:rPr>
          <w:rFonts w:ascii="SimSun" w:hAnsi="SimSun" w:eastAsia="SimSun" w:cs="SimSun"/>
          <w:sz w:val="22"/>
          <w:szCs w:val="22"/>
          <w:spacing w:val="-8"/>
        </w:rPr>
        <w:t>保证资源支持的连续性、及时性和针对性，二来可以通过规范流程控制资源支持的</w:t>
      </w:r>
      <w:r>
        <w:rPr>
          <w:rFonts w:ascii="SimSun" w:hAnsi="SimSun" w:eastAsia="SimSun" w:cs="SimSun"/>
          <w:sz w:val="22"/>
          <w:szCs w:val="22"/>
          <w:spacing w:val="3"/>
        </w:rPr>
        <w:t xml:space="preserve"> </w:t>
      </w:r>
      <w:r>
        <w:rPr>
          <w:rFonts w:ascii="SimSun" w:hAnsi="SimSun" w:eastAsia="SimSun" w:cs="SimSun"/>
          <w:sz w:val="22"/>
          <w:szCs w:val="22"/>
          <w:spacing w:val="-12"/>
        </w:rPr>
        <w:t>差错率，提高资源使用效率和收益。</w:t>
      </w:r>
    </w:p>
    <w:p>
      <w:pPr>
        <w:ind w:left="719"/>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2"/>
        </w:rPr>
        <w:t>Level 3:  </w:t>
      </w:r>
      <w:r>
        <w:rPr>
          <w:rFonts w:ascii="SimHei" w:hAnsi="SimHei" w:eastAsia="SimHei" w:cs="SimHei"/>
          <w:sz w:val="22"/>
          <w:szCs w:val="22"/>
          <w:b/>
          <w:bCs/>
          <w:spacing w:val="-2"/>
        </w:rPr>
        <w:t>定义级</w:t>
      </w:r>
    </w:p>
    <w:p>
      <w:pPr>
        <w:spacing w:line="118" w:lineRule="exact"/>
        <w:rPr/>
      </w:pPr>
      <w:r/>
    </w:p>
    <w:tbl>
      <w:tblPr>
        <w:tblStyle w:val="TableNormal"/>
        <w:tblW w:w="7590"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6"/>
        <w:gridCol w:w="3730"/>
      </w:tblGrid>
      <w:tr>
        <w:trPr>
          <w:trHeight w:val="320"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56" w:type="dxa"/>
            <w:vAlign w:val="top"/>
          </w:tcPr>
          <w:p>
            <w:pPr>
              <w:pStyle w:val="TableText"/>
              <w:ind w:left="1151"/>
              <w:spacing w:before="81" w:line="219" w:lineRule="auto"/>
              <w:rPr>
                <w:sz w:val="16"/>
                <w:szCs w:val="16"/>
              </w:rPr>
            </w:pPr>
            <w:r>
              <w:rPr>
                <w:sz w:val="16"/>
                <w:szCs w:val="16"/>
                <w:spacing w:val="-4"/>
              </w:rPr>
              <w:t>等 级 要 求</w:t>
            </w:r>
          </w:p>
        </w:tc>
        <w:tc>
          <w:tcPr>
            <w:tcW w:w="373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00" w:hRule="atLeast"/>
        </w:trPr>
        <w:tc>
          <w:tcPr>
            <w:tcW w:w="704" w:type="dxa"/>
            <w:vAlign w:val="top"/>
          </w:tcPr>
          <w:p>
            <w:pPr>
              <w:pStyle w:val="TableText"/>
              <w:ind w:left="224"/>
              <w:spacing w:before="112" w:line="184" w:lineRule="auto"/>
              <w:rPr>
                <w:sz w:val="16"/>
                <w:szCs w:val="16"/>
              </w:rPr>
            </w:pPr>
            <w:r>
              <w:rPr>
                <w:sz w:val="16"/>
                <w:szCs w:val="16"/>
                <w:spacing w:val="-3"/>
              </w:rPr>
              <w:t>3.1</w:t>
            </w:r>
          </w:p>
        </w:tc>
        <w:tc>
          <w:tcPr>
            <w:tcW w:w="3156" w:type="dxa"/>
            <w:vAlign w:val="top"/>
          </w:tcPr>
          <w:p>
            <w:pPr>
              <w:pStyle w:val="TableText"/>
              <w:ind w:left="210"/>
              <w:spacing w:before="71" w:line="219" w:lineRule="auto"/>
              <w:rPr>
                <w:sz w:val="16"/>
                <w:szCs w:val="16"/>
              </w:rPr>
            </w:pPr>
            <w:r>
              <w:rPr>
                <w:sz w:val="16"/>
                <w:szCs w:val="16"/>
                <w:spacing w:val="-1"/>
              </w:rPr>
              <w:t>为数据治理制订了完善的资源保障策略</w:t>
            </w:r>
          </w:p>
        </w:tc>
        <w:tc>
          <w:tcPr>
            <w:tcW w:w="3730" w:type="dxa"/>
            <w:vAlign w:val="top"/>
          </w:tcPr>
          <w:p>
            <w:pPr>
              <w:pStyle w:val="TableText"/>
              <w:ind w:left="274"/>
              <w:spacing w:before="71" w:line="219" w:lineRule="auto"/>
              <w:rPr>
                <w:sz w:val="16"/>
                <w:szCs w:val="16"/>
              </w:rPr>
            </w:pPr>
            <w:r>
              <w:rPr>
                <w:sz w:val="16"/>
                <w:szCs w:val="16"/>
              </w:rPr>
              <w:t>●数据治理资源保障策略</w:t>
            </w:r>
          </w:p>
        </w:tc>
      </w:tr>
    </w:tbl>
    <w:p>
      <w:pPr>
        <w:ind w:left="60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19" w:right="19" w:firstLine="500"/>
        <w:spacing w:before="59" w:line="248" w:lineRule="auto"/>
        <w:rPr>
          <w:rFonts w:ascii="SimSun" w:hAnsi="SimSun" w:eastAsia="SimSun" w:cs="SimSun"/>
          <w:sz w:val="22"/>
          <w:szCs w:val="22"/>
        </w:rPr>
      </w:pPr>
      <w:r>
        <w:rPr>
          <w:rFonts w:ascii="SimSun" w:hAnsi="SimSun" w:eastAsia="SimSun" w:cs="SimSun"/>
          <w:sz w:val="22"/>
          <w:szCs w:val="22"/>
          <w:spacing w:val="-9"/>
        </w:rPr>
        <w:t>完整的资源保障策略应该至少包括资源支持标准、资源支持过程管理流程、资</w:t>
      </w:r>
      <w:r>
        <w:rPr>
          <w:rFonts w:ascii="SimSun" w:hAnsi="SimSun" w:eastAsia="SimSun" w:cs="SimSun"/>
          <w:sz w:val="22"/>
          <w:szCs w:val="22"/>
          <w:spacing w:val="10"/>
        </w:rPr>
        <w:t xml:space="preserve"> </w:t>
      </w:r>
      <w:r>
        <w:rPr>
          <w:rFonts w:ascii="SimSun" w:hAnsi="SimSun" w:eastAsia="SimSun" w:cs="SimSun"/>
          <w:sz w:val="22"/>
          <w:szCs w:val="22"/>
          <w:spacing w:val="-11"/>
        </w:rPr>
        <w:t>源投资收益测算方法、资源支持过程记录等内容。</w:t>
      </w:r>
    </w:p>
    <w:p>
      <w:pPr>
        <w:spacing w:line="248" w:lineRule="auto"/>
        <w:sectPr>
          <w:footerReference w:type="default" r:id="rId179"/>
          <w:pgSz w:w="8870" w:h="13400"/>
          <w:pgMar w:top="400" w:right="514" w:bottom="564" w:left="430" w:header="0" w:footer="346" w:gutter="0"/>
        </w:sectPr>
        <w:rPr>
          <w:rFonts w:ascii="SimSun" w:hAnsi="SimSun" w:eastAsia="SimSun" w:cs="SimSun"/>
          <w:sz w:val="22"/>
          <w:szCs w:val="22"/>
        </w:rPr>
      </w:pPr>
    </w:p>
    <w:p>
      <w:pPr>
        <w:ind w:left="5493"/>
        <w:spacing w:before="224" w:line="219" w:lineRule="auto"/>
        <w:rPr>
          <w:rFonts w:ascii="SimSun" w:hAnsi="SimSun" w:eastAsia="SimSun" w:cs="SimSun"/>
          <w:sz w:val="21"/>
          <w:szCs w:val="21"/>
        </w:rPr>
      </w:pPr>
      <w:bookmarkStart w:name="bookmark43" w:id="38"/>
      <w:bookmarkEnd w:id="38"/>
      <w:bookmarkStart w:name="bookmark44" w:id="39"/>
      <w:bookmarkEnd w:id="39"/>
      <w:bookmarkStart w:name="bookmark45" w:id="40"/>
      <w:bookmarkEnd w:id="40"/>
      <w:r>
        <w:rPr>
          <w:rFonts w:ascii="SimSun" w:hAnsi="SimSun" w:eastAsia="SimSun" w:cs="SimSun"/>
          <w:sz w:val="21"/>
          <w:szCs w:val="21"/>
          <w:b/>
          <w:bCs/>
          <w:spacing w:val="15"/>
        </w:rPr>
        <w:t>第4章■云端数据战略</w:t>
      </w:r>
    </w:p>
    <w:p>
      <w:pPr>
        <w:spacing w:before="140"/>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21"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6"/>
              <w:spacing w:before="91" w:line="220" w:lineRule="auto"/>
              <w:rPr/>
            </w:pPr>
            <w:r>
              <w:rPr>
                <w:spacing w:val="-5"/>
              </w:rPr>
              <w:t>实</w:t>
            </w:r>
            <w:r>
              <w:rPr>
                <w:spacing w:val="1"/>
              </w:rPr>
              <w:t xml:space="preserve">   </w:t>
            </w:r>
            <w:r>
              <w:rPr>
                <w:spacing w:val="-5"/>
              </w:rPr>
              <w:t>例</w:t>
            </w:r>
          </w:p>
        </w:tc>
      </w:tr>
      <w:tr>
        <w:trPr>
          <w:trHeight w:val="568" w:hRule="atLeast"/>
        </w:trPr>
        <w:tc>
          <w:tcPr>
            <w:tcW w:w="704" w:type="dxa"/>
            <w:vAlign w:val="top"/>
          </w:tcPr>
          <w:p>
            <w:pPr>
              <w:pStyle w:val="TableText"/>
              <w:ind w:left="224"/>
              <w:spacing w:before="248" w:line="183" w:lineRule="auto"/>
              <w:rPr/>
            </w:pPr>
            <w:r>
              <w:rPr>
                <w:spacing w:val="-2"/>
              </w:rPr>
              <w:t>3.2</w:t>
            </w:r>
          </w:p>
        </w:tc>
        <w:tc>
          <w:tcPr>
            <w:tcW w:w="3135" w:type="dxa"/>
            <w:vAlign w:val="top"/>
          </w:tcPr>
          <w:p>
            <w:pPr>
              <w:pStyle w:val="TableText"/>
              <w:ind w:left="101" w:right="153" w:firstLine="160"/>
              <w:spacing w:before="80" w:line="282" w:lineRule="auto"/>
              <w:rPr/>
            </w:pPr>
            <w:r>
              <w:rPr/>
              <w:t>资源保障策略被确定为组织数据治理活动</w:t>
            </w:r>
            <w:r>
              <w:rPr>
                <w:spacing w:val="9"/>
              </w:rPr>
              <w:t xml:space="preserve"> </w:t>
            </w:r>
            <w:r>
              <w:rPr>
                <w:spacing w:val="-1"/>
              </w:rPr>
              <w:t>投资的决策标准</w:t>
            </w:r>
          </w:p>
        </w:tc>
        <w:tc>
          <w:tcPr>
            <w:tcW w:w="3760" w:type="dxa"/>
            <w:vAlign w:val="top"/>
          </w:tcPr>
          <w:p>
            <w:pPr>
              <w:pStyle w:val="TableText"/>
              <w:ind w:left="266"/>
              <w:spacing w:before="80" w:line="219" w:lineRule="auto"/>
              <w:rPr/>
            </w:pPr>
            <w:r>
              <w:rPr/>
              <w:t>●数据治理资源保障策略</w:t>
            </w:r>
          </w:p>
          <w:p>
            <w:pPr>
              <w:pStyle w:val="TableText"/>
              <w:ind w:left="266"/>
              <w:spacing w:before="102" w:line="219" w:lineRule="auto"/>
              <w:rPr/>
            </w:pPr>
            <w:r>
              <w:rPr>
                <w:spacing w:val="1"/>
              </w:rPr>
              <w:t>●数据治理资助准则</w:t>
            </w:r>
          </w:p>
        </w:tc>
      </w:tr>
    </w:tbl>
    <w:p>
      <w:pPr>
        <w:ind w:left="295"/>
        <w:spacing w:before="193" w:line="224" w:lineRule="auto"/>
        <w:rPr>
          <w:rFonts w:ascii="FangSong" w:hAnsi="FangSong" w:eastAsia="FangSong" w:cs="FangSong"/>
          <w:sz w:val="21"/>
          <w:szCs w:val="21"/>
        </w:rPr>
      </w:pPr>
      <w:r>
        <w:rPr>
          <w:rFonts w:ascii="SimSun" w:hAnsi="SimSun" w:eastAsia="SimSun" w:cs="SimSun"/>
          <w:sz w:val="21"/>
          <w:szCs w:val="21"/>
          <w:spacing w:val="-2"/>
        </w:rPr>
        <w:t>【成熟度等级说明</w:t>
      </w:r>
      <w:r>
        <w:rPr>
          <w:rFonts w:ascii="FangSong" w:hAnsi="FangSong" w:eastAsia="FangSong" w:cs="FangSong"/>
          <w:sz w:val="21"/>
          <w:szCs w:val="21"/>
          <w:spacing w:val="-2"/>
        </w:rPr>
        <w:t>】</w:t>
      </w:r>
    </w:p>
    <w:p>
      <w:pPr>
        <w:ind w:right="250" w:firstLine="400"/>
        <w:spacing w:before="45" w:line="246" w:lineRule="auto"/>
        <w:rPr>
          <w:rFonts w:ascii="SimSun" w:hAnsi="SimSun" w:eastAsia="SimSun" w:cs="SimSun"/>
          <w:sz w:val="21"/>
          <w:szCs w:val="21"/>
        </w:rPr>
      </w:pPr>
      <w:r>
        <w:rPr>
          <w:rFonts w:ascii="SimSun" w:hAnsi="SimSun" w:eastAsia="SimSun" w:cs="SimSun"/>
          <w:sz w:val="21"/>
          <w:szCs w:val="21"/>
          <w:spacing w:val="3"/>
        </w:rPr>
        <w:t>用于映射成本和计算数据治理收益的标准方法在</w:t>
      </w:r>
      <w:r>
        <w:rPr>
          <w:rFonts w:ascii="SimSun" w:hAnsi="SimSun" w:eastAsia="SimSun" w:cs="SimSun"/>
          <w:sz w:val="21"/>
          <w:szCs w:val="21"/>
          <w:spacing w:val="2"/>
        </w:rPr>
        <w:t>组织内得到建立和遵循，成为</w:t>
      </w:r>
      <w:r>
        <w:rPr>
          <w:rFonts w:ascii="SimSun" w:hAnsi="SimSun" w:eastAsia="SimSun" w:cs="SimSun"/>
          <w:sz w:val="21"/>
          <w:szCs w:val="21"/>
        </w:rPr>
        <w:t xml:space="preserve"> </w:t>
      </w:r>
      <w:r>
        <w:rPr>
          <w:rFonts w:ascii="SimSun" w:hAnsi="SimSun" w:eastAsia="SimSun" w:cs="SimSun"/>
          <w:sz w:val="21"/>
          <w:szCs w:val="21"/>
          <w:spacing w:val="-2"/>
        </w:rPr>
        <w:t>其他数据治理新倡议资源支持的参考标准。</w:t>
      </w:r>
    </w:p>
    <w:p>
      <w:pPr>
        <w:spacing w:line="127" w:lineRule="exact"/>
        <w:rPr/>
      </w:pPr>
      <w:r/>
    </w:p>
    <w:tbl>
      <w:tblPr>
        <w:tblStyle w:val="TableNormal"/>
        <w:tblW w:w="759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11" w:hRule="atLeast"/>
        </w:trPr>
        <w:tc>
          <w:tcPr>
            <w:tcW w:w="704" w:type="dxa"/>
            <w:vAlign w:val="top"/>
          </w:tcPr>
          <w:p>
            <w:pPr>
              <w:pStyle w:val="TableText"/>
              <w:ind w:left="195"/>
              <w:spacing w:before="81"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81" w:line="220" w:lineRule="auto"/>
              <w:rPr/>
            </w:pPr>
            <w:r>
              <w:rPr>
                <w:spacing w:val="-5"/>
              </w:rPr>
              <w:t>实</w:t>
            </w:r>
            <w:r>
              <w:rPr>
                <w:spacing w:val="1"/>
              </w:rPr>
              <w:t xml:space="preserve">   </w:t>
            </w:r>
            <w:r>
              <w:rPr>
                <w:spacing w:val="-5"/>
              </w:rPr>
              <w:t>例</w:t>
            </w:r>
          </w:p>
        </w:tc>
      </w:tr>
      <w:tr>
        <w:trPr>
          <w:trHeight w:val="558" w:hRule="atLeast"/>
        </w:trPr>
        <w:tc>
          <w:tcPr>
            <w:tcW w:w="704" w:type="dxa"/>
            <w:vAlign w:val="top"/>
          </w:tcPr>
          <w:p>
            <w:pPr>
              <w:pStyle w:val="TableText"/>
              <w:ind w:left="224"/>
              <w:spacing w:before="248" w:line="183" w:lineRule="auto"/>
              <w:rPr/>
            </w:pPr>
            <w:r>
              <w:rPr>
                <w:spacing w:val="-2"/>
              </w:rPr>
              <w:t>3.3</w:t>
            </w:r>
          </w:p>
        </w:tc>
        <w:tc>
          <w:tcPr>
            <w:tcW w:w="3135" w:type="dxa"/>
            <w:vAlign w:val="top"/>
          </w:tcPr>
          <w:p>
            <w:pPr>
              <w:pStyle w:val="TableText"/>
              <w:ind w:left="90" w:right="135" w:firstLine="169"/>
              <w:spacing w:before="79" w:line="282" w:lineRule="auto"/>
              <w:rPr/>
            </w:pPr>
            <w:r>
              <w:rPr>
                <w:spacing w:val="1"/>
              </w:rPr>
              <w:t>资源保障策略支持的重点与数据治理的目</w:t>
            </w:r>
            <w:r>
              <w:rPr>
                <w:spacing w:val="9"/>
              </w:rPr>
              <w:t xml:space="preserve"> </w:t>
            </w:r>
            <w:r>
              <w:rPr>
                <w:spacing w:val="-1"/>
              </w:rPr>
              <w:t>标和重点相符</w:t>
            </w:r>
          </w:p>
        </w:tc>
        <w:tc>
          <w:tcPr>
            <w:tcW w:w="3760" w:type="dxa"/>
            <w:vAlign w:val="top"/>
          </w:tcPr>
          <w:p>
            <w:pPr>
              <w:pStyle w:val="TableText"/>
              <w:ind w:left="285"/>
              <w:spacing w:before="210" w:line="219" w:lineRule="auto"/>
              <w:rPr/>
            </w:pPr>
            <w:r>
              <w:rPr/>
              <w:t>●数据治理资源保障策略</w:t>
            </w:r>
          </w:p>
        </w:tc>
      </w:tr>
    </w:tbl>
    <w:p>
      <w:pPr>
        <w:ind w:left="295"/>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58" w:firstLine="400"/>
        <w:spacing w:before="69" w:line="255" w:lineRule="auto"/>
        <w:rPr>
          <w:rFonts w:ascii="SimSun" w:hAnsi="SimSun" w:eastAsia="SimSun" w:cs="SimSun"/>
          <w:sz w:val="21"/>
          <w:szCs w:val="21"/>
        </w:rPr>
      </w:pPr>
      <w:r>
        <w:rPr>
          <w:rFonts w:ascii="SimSun" w:hAnsi="SimSun" w:eastAsia="SimSun" w:cs="SimSun"/>
          <w:sz w:val="21"/>
          <w:szCs w:val="21"/>
          <w:spacing w:val="1"/>
        </w:rPr>
        <w:t>资源保障是数据治理活动的基本需求，在资源总数有限的情况下，应当参照数</w:t>
      </w:r>
      <w:r>
        <w:rPr>
          <w:rFonts w:ascii="SimSun" w:hAnsi="SimSun" w:eastAsia="SimSun" w:cs="SimSun"/>
          <w:sz w:val="21"/>
          <w:szCs w:val="21"/>
          <w:spacing w:val="13"/>
        </w:rPr>
        <w:t xml:space="preserve"> </w:t>
      </w:r>
      <w:r>
        <w:rPr>
          <w:rFonts w:ascii="SimSun" w:hAnsi="SimSun" w:eastAsia="SimSun" w:cs="SimSun"/>
          <w:sz w:val="21"/>
          <w:szCs w:val="21"/>
          <w:spacing w:val="2"/>
        </w:rPr>
        <w:t>据治理的目标和重点，合理地分配资源，提高资源支持的</w:t>
      </w:r>
      <w:r>
        <w:rPr>
          <w:rFonts w:ascii="SimSun" w:hAnsi="SimSun" w:eastAsia="SimSun" w:cs="SimSun"/>
          <w:sz w:val="21"/>
          <w:szCs w:val="21"/>
          <w:spacing w:val="1"/>
        </w:rPr>
        <w:t>针对性，提高资金投资回</w:t>
      </w:r>
      <w:r>
        <w:rPr>
          <w:rFonts w:ascii="SimSun" w:hAnsi="SimSun" w:eastAsia="SimSun" w:cs="SimSun"/>
          <w:sz w:val="21"/>
          <w:szCs w:val="21"/>
        </w:rPr>
        <w:t xml:space="preserve"> </w:t>
      </w:r>
      <w:r>
        <w:rPr>
          <w:rFonts w:ascii="SimSun" w:hAnsi="SimSun" w:eastAsia="SimSun" w:cs="SimSun"/>
          <w:sz w:val="21"/>
          <w:szCs w:val="21"/>
          <w:spacing w:val="-6"/>
        </w:rPr>
        <w:t>报率，也就是人们常说的“把钱花在刀刃上”。</w:t>
      </w:r>
    </w:p>
    <w:p>
      <w:pPr>
        <w:spacing w:line="127" w:lineRule="exact"/>
        <w:rPr/>
      </w:pPr>
      <w:r/>
    </w:p>
    <w:tbl>
      <w:tblPr>
        <w:tblStyle w:val="TableNormal"/>
        <w:tblW w:w="760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50"/>
      </w:tblGrid>
      <w:tr>
        <w:trPr>
          <w:trHeight w:val="313" w:hRule="atLeast"/>
        </w:trPr>
        <w:tc>
          <w:tcPr>
            <w:tcW w:w="704" w:type="dxa"/>
            <w:vAlign w:val="top"/>
          </w:tcPr>
          <w:p>
            <w:pPr>
              <w:pStyle w:val="TableText"/>
              <w:ind w:left="195"/>
              <w:spacing w:before="82" w:line="221" w:lineRule="auto"/>
              <w:rPr/>
            </w:pPr>
            <w:r>
              <w:rPr>
                <w:spacing w:val="-2"/>
              </w:rPr>
              <w:t>序号</w:t>
            </w:r>
          </w:p>
        </w:tc>
        <w:tc>
          <w:tcPr>
            <w:tcW w:w="3146"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1697" w:hRule="atLeast"/>
        </w:trPr>
        <w:tc>
          <w:tcPr>
            <w:tcW w:w="704"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TableText"/>
              <w:ind w:left="225"/>
              <w:spacing w:before="49" w:line="183" w:lineRule="auto"/>
              <w:rPr/>
            </w:pPr>
            <w:r>
              <w:rPr>
                <w:spacing w:val="-2"/>
              </w:rPr>
              <w:t>3.4</w:t>
            </w:r>
          </w:p>
        </w:tc>
        <w:tc>
          <w:tcPr>
            <w:tcW w:w="3146" w:type="dxa"/>
            <w:vAlign w:val="top"/>
          </w:tcPr>
          <w:p>
            <w:pPr>
              <w:spacing w:line="292" w:lineRule="auto"/>
              <w:rPr>
                <w:rFonts w:ascii="Arial"/>
                <w:sz w:val="21"/>
              </w:rPr>
            </w:pPr>
            <w:r/>
          </w:p>
          <w:p>
            <w:pPr>
              <w:spacing w:line="293" w:lineRule="auto"/>
              <w:rPr>
                <w:rFonts w:ascii="Arial"/>
                <w:sz w:val="21"/>
              </w:rPr>
            </w:pPr>
            <w:r/>
          </w:p>
          <w:p>
            <w:pPr>
              <w:pStyle w:val="TableText"/>
              <w:ind w:left="101" w:right="164" w:firstLine="180"/>
              <w:spacing w:before="49" w:line="276" w:lineRule="auto"/>
              <w:rPr/>
            </w:pPr>
            <w:r>
              <w:rPr>
                <w:spacing w:val="-1"/>
              </w:rPr>
              <w:t>定义度量指标来衡量资源支持的目标和预</w:t>
            </w:r>
            <w:r>
              <w:rPr>
                <w:spacing w:val="7"/>
              </w:rPr>
              <w:t xml:space="preserve"> </w:t>
            </w:r>
            <w:r>
              <w:rPr>
                <w:spacing w:val="-1"/>
              </w:rPr>
              <w:t>期收益的有效性</w:t>
            </w:r>
          </w:p>
        </w:tc>
        <w:tc>
          <w:tcPr>
            <w:tcW w:w="3750" w:type="dxa"/>
            <w:vAlign w:val="top"/>
          </w:tcPr>
          <w:p>
            <w:pPr>
              <w:pStyle w:val="TableText"/>
              <w:ind w:left="265"/>
              <w:spacing w:before="78" w:line="219" w:lineRule="auto"/>
              <w:rPr/>
            </w:pPr>
            <w:r>
              <w:rPr>
                <w:spacing w:val="1"/>
              </w:rPr>
              <w:t>●数据治理资助准则</w:t>
            </w:r>
          </w:p>
          <w:p>
            <w:pPr>
              <w:pStyle w:val="TableText"/>
              <w:ind w:left="265"/>
              <w:spacing w:before="101" w:line="219" w:lineRule="auto"/>
              <w:rPr/>
            </w:pPr>
            <w:r>
              <w:rPr/>
              <w:t>●预算策划过程</w:t>
            </w:r>
          </w:p>
          <w:p>
            <w:pPr>
              <w:pStyle w:val="TableText"/>
              <w:ind w:left="265"/>
              <w:spacing w:before="112" w:line="220" w:lineRule="auto"/>
              <w:rPr/>
            </w:pPr>
            <w:r>
              <w:rPr/>
              <w:t>●衡量投资和资助目标的度量项</w:t>
            </w:r>
          </w:p>
          <w:p>
            <w:pPr>
              <w:pStyle w:val="TableText"/>
              <w:ind w:left="265"/>
              <w:spacing w:before="90" w:line="219" w:lineRule="auto"/>
              <w:rPr/>
            </w:pPr>
            <w:r>
              <w:rPr/>
              <w:t>●文档化的数据治理资助模型</w:t>
            </w:r>
          </w:p>
          <w:p>
            <w:pPr>
              <w:pStyle w:val="TableText"/>
              <w:ind w:left="265"/>
              <w:spacing w:before="101" w:line="218" w:lineRule="auto"/>
              <w:rPr/>
            </w:pPr>
            <w:r>
              <w:rPr/>
              <w:t>●度量数据治理收益的报告</w:t>
            </w:r>
          </w:p>
          <w:p>
            <w:pPr>
              <w:pStyle w:val="TableText"/>
              <w:ind w:left="265"/>
              <w:spacing w:before="124" w:line="219" w:lineRule="auto"/>
              <w:rPr/>
            </w:pPr>
            <w:r>
              <w:rPr/>
              <w:t>●优先次序准则和对数据治理战略的映射</w:t>
            </w:r>
          </w:p>
        </w:tc>
      </w:tr>
    </w:tbl>
    <w:p>
      <w:pPr>
        <w:ind w:left="29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175" w:firstLine="400"/>
        <w:spacing w:before="48" w:line="259" w:lineRule="auto"/>
        <w:rPr>
          <w:rFonts w:ascii="SimSun" w:hAnsi="SimSun" w:eastAsia="SimSun" w:cs="SimSun"/>
          <w:sz w:val="21"/>
          <w:szCs w:val="21"/>
        </w:rPr>
      </w:pPr>
      <w:r>
        <w:rPr>
          <w:rFonts w:ascii="SimSun" w:hAnsi="SimSun" w:eastAsia="SimSun" w:cs="SimSun"/>
          <w:sz w:val="21"/>
          <w:szCs w:val="21"/>
          <w:spacing w:val="-3"/>
        </w:rPr>
        <w:t>资源投资有效性需要具体的衡量指标，尤其是资金的有效性，</w:t>
      </w:r>
      <w:r>
        <w:rPr>
          <w:rFonts w:ascii="SimSun" w:hAnsi="SimSun" w:eastAsia="SimSun" w:cs="SimSun"/>
          <w:sz w:val="21"/>
          <w:szCs w:val="21"/>
          <w:spacing w:val="63"/>
        </w:rPr>
        <w:t xml:space="preserve"> </w:t>
      </w:r>
      <w:r>
        <w:rPr>
          <w:rFonts w:ascii="SimSun" w:hAnsi="SimSun" w:eastAsia="SimSun" w:cs="SimSun"/>
          <w:sz w:val="21"/>
          <w:szCs w:val="21"/>
          <w:spacing w:val="-3"/>
        </w:rPr>
        <w:t>一般的投资衡量</w:t>
      </w:r>
      <w:r>
        <w:rPr>
          <w:rFonts w:ascii="SimSun" w:hAnsi="SimSun" w:eastAsia="SimSun" w:cs="SimSun"/>
          <w:sz w:val="21"/>
          <w:szCs w:val="21"/>
        </w:rPr>
        <w:t xml:space="preserve">  </w:t>
      </w:r>
      <w:r>
        <w:rPr>
          <w:rFonts w:ascii="SimSun" w:hAnsi="SimSun" w:eastAsia="SimSun" w:cs="SimSun"/>
          <w:sz w:val="21"/>
          <w:szCs w:val="21"/>
          <w:spacing w:val="-2"/>
        </w:rPr>
        <w:t>指标包括财务净现值、财务内部收益率、动态投资回收期、投资利润率等经济指标。</w:t>
      </w:r>
      <w:r>
        <w:rPr>
          <w:rFonts w:ascii="SimSun" w:hAnsi="SimSun" w:eastAsia="SimSun" w:cs="SimSun"/>
          <w:sz w:val="21"/>
          <w:szCs w:val="21"/>
          <w:spacing w:val="7"/>
        </w:rPr>
        <w:t xml:space="preserve"> </w:t>
      </w:r>
      <w:r>
        <w:rPr>
          <w:rFonts w:ascii="SimSun" w:hAnsi="SimSun" w:eastAsia="SimSun" w:cs="SimSun"/>
          <w:sz w:val="21"/>
          <w:szCs w:val="21"/>
          <w:spacing w:val="1"/>
        </w:rPr>
        <w:t>对于数据治理，还可以将技术指标纳入进去，例如得益于数据治理对某项设备的精</w:t>
      </w:r>
      <w:r>
        <w:rPr>
          <w:rFonts w:ascii="SimSun" w:hAnsi="SimSun" w:eastAsia="SimSun" w:cs="SimSun"/>
          <w:sz w:val="21"/>
          <w:szCs w:val="21"/>
          <w:spacing w:val="6"/>
        </w:rPr>
        <w:t xml:space="preserve">  </w:t>
      </w:r>
      <w:r>
        <w:rPr>
          <w:rFonts w:ascii="SimSun" w:hAnsi="SimSun" w:eastAsia="SimSun" w:cs="SimSun"/>
          <w:sz w:val="21"/>
          <w:szCs w:val="21"/>
          <w:spacing w:val="-2"/>
        </w:rPr>
        <w:t>度的提高，以及某项无形资产的评估价值提升等。</w:t>
      </w:r>
    </w:p>
    <w:p>
      <w:pPr>
        <w:ind w:left="403"/>
        <w:spacing w:before="79" w:line="221" w:lineRule="auto"/>
        <w:rPr>
          <w:rFonts w:ascii="SimHei" w:hAnsi="SimHei" w:eastAsia="SimHei" w:cs="SimHei"/>
          <w:sz w:val="21"/>
          <w:szCs w:val="21"/>
        </w:rPr>
      </w:pPr>
      <w:r>
        <w:rPr>
          <w:rFonts w:ascii="SimSun" w:hAnsi="SimSun" w:eastAsia="SimSun" w:cs="SimSun"/>
          <w:sz w:val="21"/>
          <w:szCs w:val="21"/>
          <w:b/>
          <w:bCs/>
          <w:spacing w:val="-3"/>
        </w:rPr>
        <w:t>Level</w:t>
      </w:r>
      <w:r>
        <w:rPr>
          <w:rFonts w:ascii="SimSun" w:hAnsi="SimSun" w:eastAsia="SimSun" w:cs="SimSun"/>
          <w:sz w:val="21"/>
          <w:szCs w:val="21"/>
          <w:spacing w:val="-3"/>
        </w:rPr>
        <w:t xml:space="preserve"> </w:t>
      </w:r>
      <w:r>
        <w:rPr>
          <w:rFonts w:ascii="SimSun" w:hAnsi="SimSun" w:eastAsia="SimSun" w:cs="SimSun"/>
          <w:sz w:val="21"/>
          <w:szCs w:val="21"/>
          <w:b/>
          <w:bCs/>
          <w:spacing w:val="-3"/>
        </w:rPr>
        <w:t>4:</w:t>
      </w:r>
      <w:r>
        <w:rPr>
          <w:rFonts w:ascii="SimHei" w:hAnsi="SimHei" w:eastAsia="SimHei" w:cs="SimHei"/>
          <w:sz w:val="21"/>
          <w:szCs w:val="21"/>
          <w:b/>
          <w:bCs/>
          <w:spacing w:val="-3"/>
        </w:rPr>
        <w:t>量化级</w:t>
      </w:r>
    </w:p>
    <w:p>
      <w:pPr>
        <w:spacing w:line="130" w:lineRule="exact"/>
        <w:rPr/>
      </w:pPr>
      <w:r/>
    </w:p>
    <w:tbl>
      <w:tblPr>
        <w:tblStyle w:val="TableNormal"/>
        <w:tblW w:w="759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32"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91" w:line="220" w:lineRule="auto"/>
              <w:rPr/>
            </w:pPr>
            <w:r>
              <w:rPr>
                <w:spacing w:val="-5"/>
              </w:rPr>
              <w:t>实</w:t>
            </w:r>
            <w:r>
              <w:rPr>
                <w:spacing w:val="6"/>
              </w:rPr>
              <w:t xml:space="preserve">    </w:t>
            </w:r>
            <w:r>
              <w:rPr>
                <w:spacing w:val="-5"/>
              </w:rPr>
              <w:t>例</w:t>
            </w:r>
          </w:p>
        </w:tc>
      </w:tr>
      <w:tr>
        <w:trPr>
          <w:trHeight w:val="828" w:hRule="atLeast"/>
        </w:trPr>
        <w:tc>
          <w:tcPr>
            <w:tcW w:w="704" w:type="dxa"/>
            <w:vAlign w:val="top"/>
          </w:tcPr>
          <w:p>
            <w:pPr>
              <w:spacing w:line="326" w:lineRule="auto"/>
              <w:rPr>
                <w:rFonts w:ascii="Arial"/>
                <w:sz w:val="21"/>
              </w:rPr>
            </w:pPr>
            <w:r/>
          </w:p>
          <w:p>
            <w:pPr>
              <w:pStyle w:val="TableText"/>
              <w:ind w:left="225"/>
              <w:spacing w:before="49" w:line="184" w:lineRule="auto"/>
              <w:rPr/>
            </w:pPr>
            <w:r>
              <w:rPr>
                <w:spacing w:val="-2"/>
              </w:rPr>
              <w:t>4.1</w:t>
            </w:r>
          </w:p>
        </w:tc>
        <w:tc>
          <w:tcPr>
            <w:tcW w:w="3135" w:type="dxa"/>
            <w:vAlign w:val="top"/>
          </w:tcPr>
          <w:p>
            <w:pPr>
              <w:pStyle w:val="TableText"/>
              <w:ind w:left="110" w:right="149" w:firstLine="100"/>
              <w:spacing w:before="79" w:line="295" w:lineRule="auto"/>
              <w:jc w:val="both"/>
              <w:rPr/>
            </w:pPr>
            <w:r>
              <w:rPr>
                <w:spacing w:val="-1"/>
              </w:rPr>
              <w:t>对度量项进行了定义和统计学分析，从而</w:t>
            </w:r>
            <w:r>
              <w:rPr>
                <w:spacing w:val="5"/>
              </w:rPr>
              <w:t xml:space="preserve">  </w:t>
            </w:r>
            <w:r>
              <w:rPr/>
              <w:t>评价资源保障策略在满足组织级目标方面的</w:t>
            </w:r>
            <w:r>
              <w:rPr>
                <w:spacing w:val="13"/>
              </w:rPr>
              <w:t xml:space="preserve"> </w:t>
            </w:r>
            <w:r>
              <w:rPr>
                <w:spacing w:val="-1"/>
              </w:rPr>
              <w:t>有效性和准确性</w:t>
            </w:r>
          </w:p>
        </w:tc>
        <w:tc>
          <w:tcPr>
            <w:tcW w:w="3760" w:type="dxa"/>
            <w:vAlign w:val="top"/>
          </w:tcPr>
          <w:p>
            <w:pPr>
              <w:pStyle w:val="TableText"/>
              <w:ind w:left="266"/>
              <w:spacing w:before="219" w:line="219" w:lineRule="auto"/>
              <w:rPr/>
            </w:pPr>
            <w:r>
              <w:rPr/>
              <w:t>●资源保障有效性的度量项</w:t>
            </w:r>
          </w:p>
          <w:p>
            <w:pPr>
              <w:pStyle w:val="TableText"/>
              <w:ind w:left="266"/>
              <w:spacing w:before="102" w:line="219" w:lineRule="auto"/>
              <w:rPr/>
            </w:pPr>
            <w:r>
              <w:rPr/>
              <w:t>●源保障有效性分析结果及记录</w:t>
            </w:r>
          </w:p>
        </w:tc>
      </w:tr>
    </w:tbl>
    <w:p>
      <w:pPr>
        <w:ind w:left="295"/>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253" w:firstLine="400"/>
        <w:spacing w:before="59" w:line="251" w:lineRule="auto"/>
        <w:rPr>
          <w:rFonts w:ascii="SimSun" w:hAnsi="SimSun" w:eastAsia="SimSun" w:cs="SimSun"/>
          <w:sz w:val="21"/>
          <w:szCs w:val="21"/>
        </w:rPr>
      </w:pPr>
      <w:r>
        <w:rPr>
          <w:rFonts w:ascii="SimSun" w:hAnsi="SimSun" w:eastAsia="SimSun" w:cs="SimSun"/>
          <w:sz w:val="21"/>
          <w:szCs w:val="21"/>
          <w:spacing w:val="2"/>
        </w:rPr>
        <w:t>不同行业可以制订不同类型的个性化度量指标，从而评价资源支持对数据治理</w:t>
      </w:r>
      <w:r>
        <w:rPr>
          <w:rFonts w:ascii="SimSun" w:hAnsi="SimSun" w:eastAsia="SimSun" w:cs="SimSun"/>
          <w:sz w:val="21"/>
          <w:szCs w:val="21"/>
          <w:spacing w:val="18"/>
        </w:rPr>
        <w:t xml:space="preserve"> </w:t>
      </w:r>
      <w:r>
        <w:rPr>
          <w:rFonts w:ascii="SimSun" w:hAnsi="SimSun" w:eastAsia="SimSun" w:cs="SimSun"/>
          <w:sz w:val="21"/>
          <w:szCs w:val="21"/>
          <w:spacing w:val="1"/>
        </w:rPr>
        <w:t>的有效性，以统计学的方法，在数据治理的不同阶段，动态地对资源支持的有效性</w:t>
      </w:r>
    </w:p>
    <w:p>
      <w:pPr>
        <w:spacing w:line="251" w:lineRule="auto"/>
        <w:sectPr>
          <w:footerReference w:type="default" r:id="rId180"/>
          <w:pgSz w:w="8870" w:h="13400"/>
          <w:pgMar w:top="400" w:right="539" w:bottom="527" w:left="449" w:header="0" w:footer="319" w:gutter="0"/>
        </w:sectPr>
        <w:rPr>
          <w:rFonts w:ascii="SimSun" w:hAnsi="SimSun" w:eastAsia="SimSun" w:cs="SimSun"/>
          <w:sz w:val="21"/>
          <w:szCs w:val="21"/>
        </w:rPr>
      </w:pPr>
    </w:p>
    <w:p>
      <w:pPr>
        <w:ind w:left="242"/>
        <w:spacing w:before="275" w:line="219" w:lineRule="auto"/>
        <w:rPr>
          <w:rFonts w:ascii="SimSun" w:hAnsi="SimSun" w:eastAsia="SimSun" w:cs="SimSun"/>
          <w:sz w:val="21"/>
          <w:szCs w:val="21"/>
        </w:rPr>
      </w:pPr>
      <w:r>
        <w:pict>
          <v:rect id="_x0000_s326" style="position:absolute;margin-left:25.5012pt;margin-top:29.5001pt;mso-position-vertical-relative:page;mso-position-horizontal-relative:page;width:0.5pt;height:18.5pt;z-index:253472768;" o:allowincell="f" fillcolor="#000000" filled="true" stroked="false"/>
        </w:pict>
      </w:r>
      <w:r>
        <w:rPr>
          <w:rFonts w:ascii="SimSun" w:hAnsi="SimSun" w:eastAsia="SimSun" w:cs="SimSun"/>
          <w:sz w:val="21"/>
          <w:szCs w:val="21"/>
          <w:b/>
          <w:bCs/>
          <w:spacing w:val="-28"/>
        </w:rPr>
        <w:t>■云端数据治理■</w:t>
      </w:r>
    </w:p>
    <w:p>
      <w:pPr>
        <w:pStyle w:val="BodyText"/>
        <w:spacing w:line="252" w:lineRule="auto"/>
        <w:rPr/>
      </w:pPr>
      <w:r/>
    </w:p>
    <w:p>
      <w:pPr>
        <w:ind w:left="240"/>
        <w:spacing w:before="68" w:line="218" w:lineRule="auto"/>
        <w:rPr>
          <w:rFonts w:ascii="SimSun" w:hAnsi="SimSun" w:eastAsia="SimSun" w:cs="SimSun"/>
          <w:sz w:val="21"/>
          <w:szCs w:val="21"/>
        </w:rPr>
      </w:pPr>
      <w:r>
        <w:rPr>
          <w:rFonts w:ascii="SimSun" w:hAnsi="SimSun" w:eastAsia="SimSun" w:cs="SimSun"/>
          <w:sz w:val="21"/>
          <w:szCs w:val="21"/>
          <w:spacing w:val="-2"/>
        </w:rPr>
        <w:t>进行评价，并跨环节比较分析有效性差异。</w:t>
      </w:r>
    </w:p>
    <w:p>
      <w:pPr>
        <w:ind w:left="663"/>
        <w:spacing w:before="68" w:line="221" w:lineRule="auto"/>
        <w:rPr>
          <w:rFonts w:ascii="SimHei" w:hAnsi="SimHei" w:eastAsia="SimHei" w:cs="SimHei"/>
          <w:sz w:val="21"/>
          <w:szCs w:val="21"/>
        </w:rPr>
      </w:pPr>
      <w:r>
        <w:rPr>
          <w:rFonts w:ascii="SimSun" w:hAnsi="SimSun" w:eastAsia="SimSun" w:cs="SimSun"/>
          <w:sz w:val="21"/>
          <w:szCs w:val="21"/>
          <w:b/>
          <w:bCs/>
          <w:spacing w:val="-2"/>
        </w:rPr>
        <w:t>Level</w:t>
      </w:r>
      <w:r>
        <w:rPr>
          <w:rFonts w:ascii="SimSun" w:hAnsi="SimSun" w:eastAsia="SimSun" w:cs="SimSun"/>
          <w:sz w:val="21"/>
          <w:szCs w:val="21"/>
          <w:spacing w:val="-2"/>
        </w:rPr>
        <w:t xml:space="preserve"> </w:t>
      </w:r>
      <w:r>
        <w:rPr>
          <w:rFonts w:ascii="SimSun" w:hAnsi="SimSun" w:eastAsia="SimSun" w:cs="SimSun"/>
          <w:sz w:val="21"/>
          <w:szCs w:val="21"/>
          <w:b/>
          <w:bCs/>
          <w:spacing w:val="-2"/>
        </w:rPr>
        <w:t>5:</w:t>
      </w:r>
      <w:r>
        <w:rPr>
          <w:rFonts w:ascii="SimHei" w:hAnsi="SimHei" w:eastAsia="SimHei" w:cs="SimHei"/>
          <w:sz w:val="21"/>
          <w:szCs w:val="21"/>
          <w:b/>
          <w:bCs/>
          <w:spacing w:val="-2"/>
        </w:rPr>
        <w:t>优化级</w:t>
      </w:r>
    </w:p>
    <w:p>
      <w:pPr>
        <w:spacing w:line="109" w:lineRule="exact"/>
        <w:rPr/>
      </w:pPr>
      <w:r/>
    </w:p>
    <w:tbl>
      <w:tblPr>
        <w:tblStyle w:val="TableNormal"/>
        <w:tblW w:w="759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31" w:hRule="atLeast"/>
        </w:trPr>
        <w:tc>
          <w:tcPr>
            <w:tcW w:w="714" w:type="dxa"/>
            <w:vAlign w:val="top"/>
          </w:tcPr>
          <w:p>
            <w:pPr>
              <w:pStyle w:val="TableText"/>
              <w:ind w:left="195"/>
              <w:spacing w:before="92" w:line="221" w:lineRule="auto"/>
              <w:rPr/>
            </w:pPr>
            <w:r>
              <w:rPr>
                <w:spacing w:val="-2"/>
              </w:rPr>
              <w:t>序号</w:t>
            </w:r>
          </w:p>
        </w:tc>
        <w:tc>
          <w:tcPr>
            <w:tcW w:w="3145" w:type="dxa"/>
            <w:vAlign w:val="top"/>
          </w:tcPr>
          <w:p>
            <w:pPr>
              <w:pStyle w:val="TableText"/>
              <w:ind w:left="117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6"/>
              <w:spacing w:before="91" w:line="220" w:lineRule="auto"/>
              <w:rPr/>
            </w:pPr>
            <w:r>
              <w:rPr>
                <w:spacing w:val="-5"/>
              </w:rPr>
              <w:t>实</w:t>
            </w:r>
            <w:r>
              <w:rPr>
                <w:spacing w:val="1"/>
              </w:rPr>
              <w:t xml:space="preserve">   </w:t>
            </w:r>
            <w:r>
              <w:rPr>
                <w:spacing w:val="-5"/>
              </w:rPr>
              <w:t>例</w:t>
            </w:r>
          </w:p>
        </w:tc>
      </w:tr>
      <w:tr>
        <w:trPr>
          <w:trHeight w:val="548" w:hRule="atLeast"/>
        </w:trPr>
        <w:tc>
          <w:tcPr>
            <w:tcW w:w="714" w:type="dxa"/>
            <w:vAlign w:val="top"/>
          </w:tcPr>
          <w:p>
            <w:pPr>
              <w:pStyle w:val="TableText"/>
              <w:ind w:left="235"/>
              <w:spacing w:before="238" w:line="184" w:lineRule="auto"/>
              <w:rPr/>
            </w:pPr>
            <w:r>
              <w:rPr>
                <w:spacing w:val="-2"/>
              </w:rPr>
              <w:t>5.1</w:t>
            </w:r>
          </w:p>
        </w:tc>
        <w:tc>
          <w:tcPr>
            <w:tcW w:w="3145" w:type="dxa"/>
            <w:vAlign w:val="top"/>
          </w:tcPr>
          <w:p>
            <w:pPr>
              <w:pStyle w:val="TableText"/>
              <w:ind w:left="111" w:right="182" w:firstLine="149"/>
              <w:spacing w:before="79" w:line="276" w:lineRule="auto"/>
              <w:rPr/>
            </w:pPr>
            <w:r>
              <w:rPr>
                <w:spacing w:val="-1"/>
              </w:rPr>
              <w:t>与同行分享从组织级数据治理资源保障获</w:t>
            </w:r>
            <w:r>
              <w:rPr>
                <w:spacing w:val="8"/>
              </w:rPr>
              <w:t xml:space="preserve"> </w:t>
            </w:r>
            <w:r>
              <w:rPr>
                <w:spacing w:val="2"/>
              </w:rPr>
              <w:t>得的经验教训</w:t>
            </w:r>
          </w:p>
        </w:tc>
        <w:tc>
          <w:tcPr>
            <w:tcW w:w="3740" w:type="dxa"/>
            <w:vAlign w:val="top"/>
          </w:tcPr>
          <w:p>
            <w:pPr>
              <w:pStyle w:val="TableText"/>
              <w:ind w:left="266"/>
              <w:spacing w:before="79" w:line="219" w:lineRule="auto"/>
              <w:rPr/>
            </w:pPr>
            <w:r>
              <w:rPr>
                <w:spacing w:val="1"/>
              </w:rPr>
              <w:t>●同行交流会议</w:t>
            </w:r>
          </w:p>
          <w:p>
            <w:pPr>
              <w:pStyle w:val="TableText"/>
              <w:ind w:left="266"/>
              <w:spacing w:before="82" w:line="219" w:lineRule="auto"/>
              <w:rPr/>
            </w:pPr>
            <w:r>
              <w:rPr/>
              <w:t>●关于数据治理资源保障的公开陈述或白皮书</w:t>
            </w:r>
          </w:p>
        </w:tc>
      </w:tr>
    </w:tbl>
    <w:p>
      <w:pPr>
        <w:ind w:left="555"/>
        <w:spacing w:before="204" w:line="219" w:lineRule="auto"/>
        <w:rPr>
          <w:rFonts w:ascii="SimSun" w:hAnsi="SimSun" w:eastAsia="SimSun" w:cs="SimSun"/>
          <w:sz w:val="21"/>
          <w:szCs w:val="21"/>
        </w:rPr>
      </w:pPr>
      <w:r>
        <w:rPr>
          <w:rFonts w:ascii="SimSun" w:hAnsi="SimSun" w:eastAsia="SimSun" w:cs="SimSun"/>
          <w:sz w:val="21"/>
          <w:szCs w:val="21"/>
          <w:spacing w:val="2"/>
        </w:rPr>
        <w:t>【成熟度等级说明】</w:t>
      </w:r>
    </w:p>
    <w:p>
      <w:pPr>
        <w:ind w:left="240" w:right="118" w:firstLine="419"/>
        <w:spacing w:before="68" w:line="264" w:lineRule="auto"/>
        <w:rPr>
          <w:rFonts w:ascii="SimSun" w:hAnsi="SimSun" w:eastAsia="SimSun" w:cs="SimSun"/>
          <w:sz w:val="21"/>
          <w:szCs w:val="21"/>
        </w:rPr>
      </w:pPr>
      <w:r>
        <w:rPr>
          <w:rFonts w:ascii="SimSun" w:hAnsi="SimSun" w:eastAsia="SimSun" w:cs="SimSun"/>
          <w:sz w:val="21"/>
          <w:szCs w:val="21"/>
          <w:spacing w:val="2"/>
        </w:rPr>
        <w:t>沟通交流是促进知识和经验共享的最佳途径，云计算环境就是一个开放包容的</w:t>
      </w:r>
      <w:r>
        <w:rPr>
          <w:rFonts w:ascii="SimSun" w:hAnsi="SimSun" w:eastAsia="SimSun" w:cs="SimSun"/>
          <w:sz w:val="21"/>
          <w:szCs w:val="21"/>
          <w:spacing w:val="7"/>
        </w:rPr>
        <w:t xml:space="preserve"> </w:t>
      </w:r>
      <w:r>
        <w:rPr>
          <w:rFonts w:ascii="SimSun" w:hAnsi="SimSun" w:eastAsia="SimSun" w:cs="SimSun"/>
          <w:sz w:val="21"/>
          <w:szCs w:val="21"/>
          <w:spacing w:val="2"/>
        </w:rPr>
        <w:t>大环境，云端数据治理不是一个只属于组织内部的活动，它涉及外部供应</w:t>
      </w:r>
      <w:r>
        <w:rPr>
          <w:rFonts w:ascii="SimSun" w:hAnsi="SimSun" w:eastAsia="SimSun" w:cs="SimSun"/>
          <w:sz w:val="21"/>
          <w:szCs w:val="21"/>
          <w:spacing w:val="1"/>
        </w:rPr>
        <w:t>链等整个</w:t>
      </w:r>
      <w:r>
        <w:rPr>
          <w:rFonts w:ascii="SimSun" w:hAnsi="SimSun" w:eastAsia="SimSun" w:cs="SimSun"/>
          <w:sz w:val="21"/>
          <w:szCs w:val="21"/>
        </w:rPr>
        <w:t xml:space="preserve"> </w:t>
      </w:r>
      <w:r>
        <w:rPr>
          <w:rFonts w:ascii="SimSun" w:hAnsi="SimSun" w:eastAsia="SimSun" w:cs="SimSun"/>
          <w:sz w:val="21"/>
          <w:szCs w:val="21"/>
          <w:spacing w:val="1"/>
        </w:rPr>
        <w:t>生态圈，尤其和云服务提供商和监管方存在紧密的关联。组织对外分享云端数据治</w:t>
      </w:r>
      <w:r>
        <w:rPr>
          <w:rFonts w:ascii="SimSun" w:hAnsi="SimSun" w:eastAsia="SimSun" w:cs="SimSun"/>
          <w:sz w:val="21"/>
          <w:szCs w:val="21"/>
          <w:spacing w:val="11"/>
        </w:rPr>
        <w:t xml:space="preserve"> </w:t>
      </w:r>
      <w:r>
        <w:rPr>
          <w:rFonts w:ascii="SimSun" w:hAnsi="SimSun" w:eastAsia="SimSun" w:cs="SimSun"/>
          <w:sz w:val="21"/>
          <w:szCs w:val="21"/>
          <w:spacing w:val="1"/>
        </w:rPr>
        <w:t>理经验是其数据治理战略和目标的对外宣告，在为其他组织提供参考的同时，也能</w:t>
      </w:r>
      <w:r>
        <w:rPr>
          <w:rFonts w:ascii="SimSun" w:hAnsi="SimSun" w:eastAsia="SimSun" w:cs="SimSun"/>
          <w:sz w:val="21"/>
          <w:szCs w:val="21"/>
          <w:spacing w:val="3"/>
        </w:rPr>
        <w:t xml:space="preserve"> </w:t>
      </w:r>
      <w:r>
        <w:rPr>
          <w:rFonts w:ascii="SimSun" w:hAnsi="SimSun" w:eastAsia="SimSun" w:cs="SimSun"/>
          <w:sz w:val="21"/>
          <w:szCs w:val="21"/>
          <w:spacing w:val="1"/>
        </w:rPr>
        <w:t>增强其在生态圈中的声誉，在能够获取外部反馈意见的同时，也能向客户展示其信</w:t>
      </w:r>
      <w:r>
        <w:rPr>
          <w:rFonts w:ascii="SimSun" w:hAnsi="SimSun" w:eastAsia="SimSun" w:cs="SimSun"/>
          <w:sz w:val="21"/>
          <w:szCs w:val="21"/>
          <w:spacing w:val="7"/>
        </w:rPr>
        <w:t xml:space="preserve"> </w:t>
      </w:r>
      <w:r>
        <w:rPr>
          <w:rFonts w:ascii="SimSun" w:hAnsi="SimSun" w:eastAsia="SimSun" w:cs="SimSun"/>
          <w:sz w:val="21"/>
          <w:szCs w:val="21"/>
          <w:spacing w:val="-7"/>
        </w:rPr>
        <w:t>息治理能力。</w:t>
      </w:r>
    </w:p>
    <w:p>
      <w:pPr>
        <w:spacing w:line="128"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2" w:hRule="atLeast"/>
        </w:trPr>
        <w:tc>
          <w:tcPr>
            <w:tcW w:w="714" w:type="dxa"/>
            <w:vAlign w:val="top"/>
          </w:tcPr>
          <w:p>
            <w:pPr>
              <w:pStyle w:val="TableText"/>
              <w:ind w:left="195"/>
              <w:spacing w:before="81" w:line="221" w:lineRule="auto"/>
              <w:rPr/>
            </w:pPr>
            <w:r>
              <w:rPr>
                <w:spacing w:val="-2"/>
              </w:rPr>
              <w:t>序号</w:t>
            </w:r>
          </w:p>
        </w:tc>
        <w:tc>
          <w:tcPr>
            <w:tcW w:w="3145" w:type="dxa"/>
            <w:vAlign w:val="top"/>
          </w:tcPr>
          <w:p>
            <w:pPr>
              <w:pStyle w:val="TableText"/>
              <w:ind w:left="114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96"/>
              <w:spacing w:before="81" w:line="220" w:lineRule="auto"/>
              <w:rPr/>
            </w:pPr>
            <w:r>
              <w:rPr>
                <w:spacing w:val="-5"/>
              </w:rPr>
              <w:t>实</w:t>
            </w:r>
            <w:r>
              <w:rPr>
                <w:spacing w:val="10"/>
              </w:rPr>
              <w:t xml:space="preserve">   </w:t>
            </w:r>
            <w:r>
              <w:rPr>
                <w:spacing w:val="-5"/>
              </w:rPr>
              <w:t>例</w:t>
            </w:r>
          </w:p>
        </w:tc>
      </w:tr>
      <w:tr>
        <w:trPr>
          <w:trHeight w:val="857" w:hRule="atLeast"/>
        </w:trPr>
        <w:tc>
          <w:tcPr>
            <w:tcW w:w="714" w:type="dxa"/>
            <w:vAlign w:val="top"/>
          </w:tcPr>
          <w:p>
            <w:pPr>
              <w:spacing w:line="346" w:lineRule="auto"/>
              <w:rPr>
                <w:rFonts w:ascii="Arial"/>
                <w:sz w:val="21"/>
              </w:rPr>
            </w:pPr>
            <w:r/>
          </w:p>
          <w:p>
            <w:pPr>
              <w:pStyle w:val="TableText"/>
              <w:ind w:left="235"/>
              <w:spacing w:before="49" w:line="183" w:lineRule="auto"/>
              <w:rPr/>
            </w:pPr>
            <w:r>
              <w:rPr>
                <w:spacing w:val="-2"/>
              </w:rPr>
              <w:t>5.2</w:t>
            </w:r>
          </w:p>
        </w:tc>
        <w:tc>
          <w:tcPr>
            <w:tcW w:w="3145" w:type="dxa"/>
            <w:vAlign w:val="top"/>
          </w:tcPr>
          <w:p>
            <w:pPr>
              <w:pStyle w:val="TableText"/>
              <w:ind w:left="290"/>
              <w:spacing w:before="88" w:line="219" w:lineRule="auto"/>
              <w:rPr/>
            </w:pPr>
            <w:r>
              <w:rPr>
                <w:spacing w:val="-1"/>
              </w:rPr>
              <w:t>采用优化手段和预测模型，在实施之前</w:t>
            </w:r>
          </w:p>
          <w:p>
            <w:pPr>
              <w:pStyle w:val="TableText"/>
              <w:ind w:left="110" w:right="151" w:firstLine="29"/>
              <w:spacing w:before="112" w:line="283" w:lineRule="auto"/>
              <w:rPr/>
            </w:pPr>
            <w:r>
              <w:rPr>
                <w:spacing w:val="-1"/>
              </w:rPr>
              <w:t>分析对资源保障方法所做的拟修改的预测结</w:t>
            </w:r>
            <w:r>
              <w:rPr>
                <w:spacing w:val="10"/>
              </w:rPr>
              <w:t xml:space="preserve"> </w:t>
            </w:r>
            <w:r>
              <w:rPr/>
              <w:t>果</w:t>
            </w:r>
          </w:p>
        </w:tc>
        <w:tc>
          <w:tcPr>
            <w:tcW w:w="3740" w:type="dxa"/>
            <w:vAlign w:val="top"/>
          </w:tcPr>
          <w:p>
            <w:pPr>
              <w:pStyle w:val="TableText"/>
              <w:ind w:left="366"/>
              <w:spacing w:before="218" w:line="219" w:lineRule="auto"/>
              <w:rPr/>
            </w:pPr>
            <w:r>
              <w:rPr/>
              <w:t>●关于数据治理资源保障的公开陈述或白皮书</w:t>
            </w:r>
          </w:p>
          <w:p>
            <w:pPr>
              <w:pStyle w:val="TableText"/>
              <w:ind w:left="275"/>
              <w:spacing w:before="123" w:line="219" w:lineRule="auto"/>
              <w:rPr/>
            </w:pPr>
            <w:r>
              <w:rPr/>
              <w:t>●基于预测分析对资源保障做出的核准更改</w:t>
            </w:r>
          </w:p>
        </w:tc>
      </w:tr>
    </w:tbl>
    <w:p>
      <w:pPr>
        <w:ind w:left="555"/>
        <w:spacing w:before="203"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240" w:right="148" w:firstLine="419"/>
        <w:spacing w:before="59" w:line="262" w:lineRule="auto"/>
        <w:rPr>
          <w:rFonts w:ascii="SimSun" w:hAnsi="SimSun" w:eastAsia="SimSun" w:cs="SimSun"/>
          <w:sz w:val="21"/>
          <w:szCs w:val="21"/>
        </w:rPr>
      </w:pPr>
      <w:r>
        <w:rPr>
          <w:rFonts w:ascii="SimSun" w:hAnsi="SimSun" w:eastAsia="SimSun" w:cs="SimSun"/>
          <w:sz w:val="21"/>
          <w:szCs w:val="21"/>
          <w:spacing w:val="1"/>
        </w:rPr>
        <w:t>资源保障是一个动态调整的过程，资源提供能力会随组织的变化而变化，例如</w:t>
      </w:r>
      <w:r>
        <w:rPr>
          <w:rFonts w:ascii="SimSun" w:hAnsi="SimSun" w:eastAsia="SimSun" w:cs="SimSun"/>
          <w:sz w:val="21"/>
          <w:szCs w:val="21"/>
          <w:spacing w:val="10"/>
        </w:rPr>
        <w:t xml:space="preserve"> </w:t>
      </w:r>
      <w:r>
        <w:rPr>
          <w:rFonts w:ascii="SimSun" w:hAnsi="SimSun" w:eastAsia="SimSun" w:cs="SimSun"/>
          <w:sz w:val="21"/>
          <w:szCs w:val="21"/>
          <w:spacing w:val="1"/>
        </w:rPr>
        <w:t>人员的流动、组织经济效益的变化、组织发展策略的调整等都可能影响组织资源的</w:t>
      </w:r>
      <w:r>
        <w:rPr>
          <w:rFonts w:ascii="SimSun" w:hAnsi="SimSun" w:eastAsia="SimSun" w:cs="SimSun"/>
          <w:sz w:val="21"/>
          <w:szCs w:val="21"/>
          <w:spacing w:val="9"/>
        </w:rPr>
        <w:t xml:space="preserve"> </w:t>
      </w:r>
      <w:r>
        <w:rPr>
          <w:rFonts w:ascii="SimSun" w:hAnsi="SimSun" w:eastAsia="SimSun" w:cs="SimSun"/>
          <w:sz w:val="21"/>
          <w:szCs w:val="21"/>
          <w:spacing w:val="1"/>
        </w:rPr>
        <w:t>保障能力。组织采用预测模型，预判可能因为资源保障方法改变给数据治理带来的</w:t>
      </w:r>
      <w:r>
        <w:rPr>
          <w:rFonts w:ascii="SimSun" w:hAnsi="SimSun" w:eastAsia="SimSun" w:cs="SimSun"/>
          <w:sz w:val="21"/>
          <w:szCs w:val="21"/>
          <w:spacing w:val="9"/>
        </w:rPr>
        <w:t xml:space="preserve"> </w:t>
      </w:r>
      <w:r>
        <w:rPr>
          <w:rFonts w:ascii="SimSun" w:hAnsi="SimSun" w:eastAsia="SimSun" w:cs="SimSun"/>
          <w:sz w:val="21"/>
          <w:szCs w:val="21"/>
          <w:spacing w:val="1"/>
        </w:rPr>
        <w:t>影响。预判模型可以是专业的方法论和工具，可以是</w:t>
      </w:r>
      <w:r>
        <w:rPr>
          <w:rFonts w:ascii="SimSun" w:hAnsi="SimSun" w:eastAsia="SimSun" w:cs="SimSun"/>
          <w:sz w:val="21"/>
          <w:szCs w:val="21"/>
        </w:rPr>
        <w:t>行业内已有的最佳实践方案， </w:t>
      </w:r>
      <w:r>
        <w:rPr>
          <w:rFonts w:ascii="SimSun" w:hAnsi="SimSun" w:eastAsia="SimSun" w:cs="SimSun"/>
          <w:sz w:val="21"/>
          <w:szCs w:val="21"/>
          <w:spacing w:val="-3"/>
        </w:rPr>
        <w:t>也可能是借鉴类似活动得到的经验总结。</w:t>
      </w:r>
    </w:p>
    <w:p>
      <w:pPr>
        <w:ind w:left="663"/>
        <w:spacing w:before="228" w:line="222" w:lineRule="auto"/>
        <w:outlineLvl w:val="2"/>
        <w:rPr>
          <w:rFonts w:ascii="SimHei" w:hAnsi="SimHei" w:eastAsia="SimHei" w:cs="SimHei"/>
          <w:sz w:val="21"/>
          <w:szCs w:val="21"/>
        </w:rPr>
      </w:pPr>
      <w:r>
        <w:rPr>
          <w:rFonts w:ascii="SimHei" w:hAnsi="SimHei" w:eastAsia="SimHei" w:cs="SimHei"/>
          <w:sz w:val="21"/>
          <w:szCs w:val="21"/>
          <w:b/>
          <w:bCs/>
          <w:spacing w:val="7"/>
        </w:rPr>
        <w:t>4.</w:t>
      </w:r>
      <w:r>
        <w:rPr>
          <w:rFonts w:ascii="SimHei" w:hAnsi="SimHei" w:eastAsia="SimHei" w:cs="SimHei"/>
          <w:sz w:val="21"/>
          <w:szCs w:val="21"/>
          <w:spacing w:val="7"/>
        </w:rPr>
        <w:t xml:space="preserve"> </w:t>
      </w:r>
      <w:r>
        <w:rPr>
          <w:rFonts w:ascii="SimHei" w:hAnsi="SimHei" w:eastAsia="SimHei" w:cs="SimHei"/>
          <w:sz w:val="21"/>
          <w:szCs w:val="21"/>
          <w:b/>
          <w:bCs/>
          <w:spacing w:val="7"/>
        </w:rPr>
        <w:t>实施案例</w:t>
      </w:r>
    </w:p>
    <w:p>
      <w:pPr>
        <w:ind w:left="660"/>
        <w:spacing w:before="222" w:line="219" w:lineRule="auto"/>
        <w:rPr>
          <w:rFonts w:ascii="SimSun" w:hAnsi="SimSun" w:eastAsia="SimSun" w:cs="SimSun"/>
          <w:sz w:val="21"/>
          <w:szCs w:val="21"/>
        </w:rPr>
      </w:pPr>
      <w:r>
        <w:rPr>
          <w:rFonts w:ascii="SimSun" w:hAnsi="SimSun" w:eastAsia="SimSun" w:cs="SimSun"/>
          <w:sz w:val="21"/>
          <w:szCs w:val="21"/>
          <w:spacing w:val="9"/>
        </w:rPr>
        <w:t>(1)文件名称列表</w:t>
      </w:r>
    </w:p>
    <w:p>
      <w:pPr>
        <w:ind w:left="555"/>
        <w:spacing w:before="60" w:line="310" w:lineRule="exact"/>
        <w:rPr>
          <w:rFonts w:ascii="SimSun" w:hAnsi="SimSun" w:eastAsia="SimSun" w:cs="SimSun"/>
          <w:sz w:val="21"/>
          <w:szCs w:val="21"/>
        </w:rPr>
      </w:pPr>
      <w:r>
        <w:rPr>
          <w:rFonts w:ascii="SimSun" w:hAnsi="SimSun" w:eastAsia="SimSun" w:cs="SimSun"/>
          <w:sz w:val="21"/>
          <w:szCs w:val="21"/>
          <w:spacing w:val="-2"/>
          <w:position w:val="7"/>
        </w:rPr>
        <w:t>《云端数据治理资金管理总体方案》</w:t>
      </w:r>
    </w:p>
    <w:p>
      <w:pPr>
        <w:ind w:left="555"/>
        <w:spacing w:before="1" w:line="219" w:lineRule="auto"/>
        <w:rPr>
          <w:rFonts w:ascii="SimSun" w:hAnsi="SimSun" w:eastAsia="SimSun" w:cs="SimSun"/>
          <w:sz w:val="21"/>
          <w:szCs w:val="21"/>
        </w:rPr>
      </w:pPr>
      <w:r>
        <w:rPr>
          <w:rFonts w:ascii="SimSun" w:hAnsi="SimSun" w:eastAsia="SimSun" w:cs="SimSun"/>
          <w:sz w:val="21"/>
          <w:szCs w:val="21"/>
          <w:spacing w:val="1"/>
        </w:rPr>
        <w:t>《云端数据治理资金支出管理办法》</w:t>
      </w:r>
    </w:p>
    <w:p>
      <w:pPr>
        <w:ind w:left="555"/>
        <w:spacing w:before="59" w:line="312" w:lineRule="exact"/>
        <w:rPr>
          <w:rFonts w:ascii="SimSun" w:hAnsi="SimSun" w:eastAsia="SimSun" w:cs="SimSun"/>
          <w:sz w:val="21"/>
          <w:szCs w:val="21"/>
        </w:rPr>
      </w:pPr>
      <w:r>
        <w:rPr>
          <w:rFonts w:ascii="SimSun" w:hAnsi="SimSun" w:eastAsia="SimSun" w:cs="SimSun"/>
          <w:sz w:val="21"/>
          <w:szCs w:val="21"/>
          <w:spacing w:val="-2"/>
          <w:position w:val="7"/>
        </w:rPr>
        <w:t>《设备采购管理办法》</w:t>
      </w:r>
    </w:p>
    <w:p>
      <w:pPr>
        <w:ind w:left="660"/>
        <w:spacing w:line="220" w:lineRule="auto"/>
        <w:rPr>
          <w:rFonts w:ascii="SimSun" w:hAnsi="SimSun" w:eastAsia="SimSun" w:cs="SimSun"/>
          <w:sz w:val="21"/>
          <w:szCs w:val="21"/>
        </w:rPr>
      </w:pPr>
      <w:r>
        <w:rPr>
          <w:rFonts w:ascii="SimSun" w:hAnsi="SimSun" w:eastAsia="SimSun" w:cs="SimSun"/>
          <w:sz w:val="21"/>
          <w:szCs w:val="21"/>
          <w:spacing w:val="10"/>
        </w:rPr>
        <w:t>(2)实施案例</w:t>
      </w:r>
    </w:p>
    <w:p>
      <w:pPr>
        <w:ind w:left="660"/>
        <w:spacing w:before="68" w:line="219" w:lineRule="auto"/>
        <w:rPr>
          <w:rFonts w:ascii="SimSun" w:hAnsi="SimSun" w:eastAsia="SimSun" w:cs="SimSun"/>
          <w:sz w:val="21"/>
          <w:szCs w:val="21"/>
        </w:rPr>
      </w:pPr>
      <w:r>
        <w:rPr>
          <w:rFonts w:ascii="SimSun" w:hAnsi="SimSun" w:eastAsia="SimSun" w:cs="SimSun"/>
          <w:sz w:val="21"/>
          <w:szCs w:val="21"/>
          <w:spacing w:val="-2"/>
        </w:rPr>
        <w:t>下表展示了一个简要的云端数据治理资金管理总体方案。</w:t>
      </w:r>
    </w:p>
    <w:p>
      <w:pPr>
        <w:spacing w:line="118" w:lineRule="exact"/>
        <w:rPr/>
      </w:pPr>
      <w:r/>
    </w:p>
    <w:tbl>
      <w:tblPr>
        <w:tblStyle w:val="TableNormal"/>
        <w:tblW w:w="7659" w:type="dxa"/>
        <w:tblInd w:w="330"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1059" w:hRule="atLeast"/>
        </w:trPr>
        <w:tc>
          <w:tcPr>
            <w:tcW w:w="7659" w:type="dxa"/>
            <w:vAlign w:val="top"/>
          </w:tcPr>
          <w:p>
            <w:pPr>
              <w:pStyle w:val="TableText"/>
              <w:ind w:left="2794"/>
              <w:spacing w:before="61" w:line="219" w:lineRule="auto"/>
              <w:rPr/>
            </w:pPr>
            <w:r>
              <w:rPr>
                <w:spacing w:val="-1"/>
              </w:rPr>
              <w:t>云端数据治理资金管理总体方案</w:t>
            </w:r>
          </w:p>
          <w:p>
            <w:pPr>
              <w:pStyle w:val="TableText"/>
              <w:ind w:left="244"/>
              <w:spacing w:before="84" w:line="222" w:lineRule="auto"/>
              <w:rPr/>
            </w:pPr>
            <w:r>
              <w:rPr>
                <w:spacing w:val="-11"/>
              </w:rPr>
              <w:t>1</w:t>
            </w:r>
            <w:r>
              <w:rPr>
                <w:spacing w:val="26"/>
              </w:rPr>
              <w:t xml:space="preserve">  </w:t>
            </w:r>
            <w:r>
              <w:rPr>
                <w:spacing w:val="-11"/>
              </w:rPr>
              <w:t>目的</w:t>
            </w:r>
          </w:p>
          <w:p>
            <w:pPr>
              <w:pStyle w:val="TableText"/>
              <w:ind w:left="244" w:right="200" w:firstLine="10"/>
              <w:spacing w:before="66" w:line="294" w:lineRule="auto"/>
              <w:rPr/>
            </w:pPr>
            <w:r>
              <w:rPr/>
              <w:t>制订云端数据治理项目实施的资金保障措施，以满足数据治理活动要求的流动资金，最大程</w:t>
            </w:r>
            <w:r>
              <w:rPr>
                <w:spacing w:val="-1"/>
              </w:rPr>
              <w:t>度发挥数据治理专</w:t>
            </w:r>
            <w:r>
              <w:rPr/>
              <w:t xml:space="preserve"> </w:t>
            </w:r>
            <w:r>
              <w:rPr/>
              <w:t>项资金的效益，为数据治理战略制订的任务完成提供资金保障，提高公司数据管</w:t>
            </w:r>
            <w:r>
              <w:rPr>
                <w:spacing w:val="-1"/>
              </w:rPr>
              <w:t>理和利用能力。</w:t>
            </w:r>
          </w:p>
        </w:tc>
      </w:tr>
    </w:tbl>
    <w:p>
      <w:pPr>
        <w:pStyle w:val="BodyText"/>
        <w:rPr/>
      </w:pPr>
      <w:r/>
    </w:p>
    <w:p>
      <w:pPr>
        <w:sectPr>
          <w:footerReference w:type="default" r:id="rId181"/>
          <w:pgSz w:w="8870" w:h="13400"/>
          <w:pgMar w:top="400" w:right="495" w:bottom="477" w:left="379" w:header="0" w:footer="269" w:gutter="0"/>
        </w:sectPr>
        <w:rPr/>
      </w:pPr>
    </w:p>
    <w:p>
      <w:pPr>
        <w:ind w:left="5503"/>
        <w:spacing w:before="154" w:line="219" w:lineRule="auto"/>
        <w:rPr>
          <w:rFonts w:ascii="SimSun" w:hAnsi="SimSun" w:eastAsia="SimSun" w:cs="SimSun"/>
          <w:sz w:val="22"/>
          <w:szCs w:val="22"/>
        </w:rPr>
      </w:pPr>
      <w:r>
        <w:rPr>
          <w:rFonts w:ascii="SimSun" w:hAnsi="SimSun" w:eastAsia="SimSun" w:cs="SimSun"/>
          <w:sz w:val="22"/>
          <w:szCs w:val="22"/>
          <w:b/>
          <w:bCs/>
          <w:spacing w:val="6"/>
        </w:rPr>
        <w:t>第4章■云端数据战略</w:t>
      </w:r>
    </w:p>
    <w:p>
      <w:pPr>
        <w:spacing w:before="18"/>
        <w:rPr/>
      </w:pPr>
      <w:r/>
    </w:p>
    <w:tbl>
      <w:tblPr>
        <w:tblStyle w:val="TableNormal"/>
        <w:tblW w:w="7650" w:type="dxa"/>
        <w:tblInd w:w="10"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3930" w:hRule="atLeast"/>
        </w:trPr>
        <w:tc>
          <w:tcPr>
            <w:tcW w:w="7650" w:type="dxa"/>
            <w:vAlign w:val="top"/>
          </w:tcPr>
          <w:p>
            <w:pPr>
              <w:pStyle w:val="TableText"/>
              <w:ind w:left="235"/>
              <w:spacing w:before="61" w:line="219" w:lineRule="auto"/>
              <w:rPr/>
            </w:pPr>
            <w:r>
              <w:rPr>
                <w:spacing w:val="-7"/>
              </w:rPr>
              <w:t>2</w:t>
            </w:r>
            <w:r>
              <w:rPr>
                <w:spacing w:val="-13"/>
              </w:rPr>
              <w:t xml:space="preserve"> </w:t>
            </w:r>
            <w:r>
              <w:rPr>
                <w:spacing w:val="-7"/>
              </w:rPr>
              <w:t>资</w:t>
            </w:r>
            <w:r>
              <w:rPr>
                <w:spacing w:val="-18"/>
              </w:rPr>
              <w:t xml:space="preserve"> </w:t>
            </w:r>
            <w:r>
              <w:rPr>
                <w:spacing w:val="-7"/>
              </w:rPr>
              <w:t>金</w:t>
            </w:r>
            <w:r>
              <w:rPr>
                <w:spacing w:val="-19"/>
              </w:rPr>
              <w:t xml:space="preserve"> </w:t>
            </w:r>
            <w:r>
              <w:rPr>
                <w:spacing w:val="-7"/>
              </w:rPr>
              <w:t>来</w:t>
            </w:r>
            <w:r>
              <w:rPr>
                <w:spacing w:val="-20"/>
              </w:rPr>
              <w:t xml:space="preserve"> </w:t>
            </w:r>
            <w:r>
              <w:rPr>
                <w:spacing w:val="-7"/>
              </w:rPr>
              <w:t>源</w:t>
            </w:r>
          </w:p>
          <w:p>
            <w:pPr>
              <w:pStyle w:val="TableText"/>
              <w:ind w:left="94" w:right="49" w:firstLine="150"/>
              <w:spacing w:before="61" w:line="282" w:lineRule="auto"/>
              <w:rPr/>
            </w:pPr>
            <w:r>
              <w:rPr/>
              <w:t>坚持必要资金需求必须到位、可调节资金部分优先保证等原则，拓宽多渠道资金筹措方案，强化</w:t>
            </w:r>
            <w:r>
              <w:rPr>
                <w:spacing w:val="-1"/>
              </w:rPr>
              <w:t>流动资金筹措。</w:t>
            </w:r>
            <w:r>
              <w:rPr/>
              <w:t xml:space="preserve"> </w:t>
            </w:r>
            <w:r>
              <w:rPr/>
              <w:t>随着数据治理活动的深入，公司原制订的资金方案必要时可以修改，确保满足数据治理活动对</w:t>
            </w:r>
            <w:r>
              <w:rPr>
                <w:spacing w:val="-1"/>
              </w:rPr>
              <w:t>资金的需求。</w:t>
            </w:r>
          </w:p>
          <w:p>
            <w:pPr>
              <w:pStyle w:val="TableText"/>
              <w:ind w:left="235"/>
              <w:spacing w:before="92" w:line="219" w:lineRule="auto"/>
              <w:rPr/>
            </w:pPr>
            <w:r>
              <w:rPr>
                <w:spacing w:val="-7"/>
              </w:rPr>
              <w:t>3</w:t>
            </w:r>
            <w:r>
              <w:rPr>
                <w:spacing w:val="-15"/>
              </w:rPr>
              <w:t xml:space="preserve"> </w:t>
            </w:r>
            <w:r>
              <w:rPr>
                <w:spacing w:val="-7"/>
              </w:rPr>
              <w:t>资</w:t>
            </w:r>
            <w:r>
              <w:rPr>
                <w:spacing w:val="-20"/>
              </w:rPr>
              <w:t xml:space="preserve"> </w:t>
            </w:r>
            <w:r>
              <w:rPr>
                <w:spacing w:val="-7"/>
              </w:rPr>
              <w:t>金</w:t>
            </w:r>
            <w:r>
              <w:rPr>
                <w:spacing w:val="-21"/>
              </w:rPr>
              <w:t xml:space="preserve"> </w:t>
            </w:r>
            <w:r>
              <w:rPr>
                <w:spacing w:val="-7"/>
              </w:rPr>
              <w:t>使</w:t>
            </w:r>
            <w:r>
              <w:rPr>
                <w:spacing w:val="-20"/>
              </w:rPr>
              <w:t xml:space="preserve"> </w:t>
            </w:r>
            <w:r>
              <w:rPr>
                <w:spacing w:val="-7"/>
              </w:rPr>
              <w:t>用</w:t>
            </w:r>
          </w:p>
          <w:p>
            <w:pPr>
              <w:pStyle w:val="TableText"/>
              <w:ind w:left="265"/>
              <w:spacing w:before="81" w:line="219" w:lineRule="auto"/>
              <w:rPr/>
            </w:pPr>
            <w:r>
              <w:rPr/>
              <w:t>贯彻执行节约成本，降低消耗措施。项目要采取有效措施，控制成本消耗、节约各项</w:t>
            </w:r>
            <w:r>
              <w:rPr>
                <w:spacing w:val="-1"/>
              </w:rPr>
              <w:t>费用。要正确编制业务案</w:t>
            </w:r>
          </w:p>
          <w:p>
            <w:pPr>
              <w:pStyle w:val="TableText"/>
              <w:ind w:left="235"/>
              <w:spacing w:before="91" w:line="218" w:lineRule="auto"/>
              <w:rPr/>
            </w:pPr>
            <w:r>
              <w:rPr/>
              <w:t>例与资金预算方案，严格按计划开展数据治理活动。要把成本指标和使用效率作为数据治理成果</w:t>
            </w:r>
            <w:r>
              <w:rPr>
                <w:spacing w:val="-1"/>
              </w:rPr>
              <w:t>评价的指标之一</w:t>
            </w:r>
          </w:p>
          <w:p>
            <w:pPr>
              <w:pStyle w:val="TableText"/>
              <w:ind w:left="235"/>
              <w:spacing w:before="74" w:line="219" w:lineRule="auto"/>
              <w:rPr/>
            </w:pPr>
            <w:r>
              <w:rPr>
                <w:spacing w:val="-7"/>
              </w:rPr>
              <w:t>4</w:t>
            </w:r>
            <w:r>
              <w:rPr>
                <w:spacing w:val="-19"/>
              </w:rPr>
              <w:t xml:space="preserve"> </w:t>
            </w:r>
            <w:r>
              <w:rPr>
                <w:spacing w:val="-7"/>
              </w:rPr>
              <w:t>资</w:t>
            </w:r>
            <w:r>
              <w:rPr>
                <w:spacing w:val="-24"/>
              </w:rPr>
              <w:t xml:space="preserve"> </w:t>
            </w:r>
            <w:r>
              <w:rPr>
                <w:spacing w:val="-7"/>
              </w:rPr>
              <w:t>金</w:t>
            </w:r>
            <w:r>
              <w:rPr>
                <w:spacing w:val="-22"/>
              </w:rPr>
              <w:t xml:space="preserve"> </w:t>
            </w:r>
            <w:r>
              <w:rPr>
                <w:spacing w:val="-7"/>
              </w:rPr>
              <w:t>管</w:t>
            </w:r>
            <w:r>
              <w:rPr>
                <w:spacing w:val="-24"/>
              </w:rPr>
              <w:t xml:space="preserve"> </w:t>
            </w:r>
            <w:r>
              <w:rPr>
                <w:spacing w:val="-7"/>
              </w:rPr>
              <w:t>理</w:t>
            </w:r>
          </w:p>
          <w:p>
            <w:pPr>
              <w:pStyle w:val="TableText"/>
              <w:ind w:left="115" w:right="29" w:firstLine="149"/>
              <w:spacing w:before="81" w:line="264" w:lineRule="auto"/>
              <w:rPr/>
            </w:pPr>
            <w:r>
              <w:rPr/>
              <w:t>数据治理在规划时，要正确分析、预判资金需求计划，做好成本效益分析，合理安排资金。对数据</w:t>
            </w:r>
            <w:r>
              <w:rPr>
                <w:spacing w:val="-1"/>
              </w:rPr>
              <w:t>治理子活动，</w:t>
            </w:r>
            <w:r>
              <w:rPr/>
              <w:t xml:space="preserve"> </w:t>
            </w:r>
            <w:r>
              <w:rPr/>
              <w:t>应区分轻、重、缓、急，统筹安排，坚决保证重点数据治理倡</w:t>
            </w:r>
            <w:r>
              <w:rPr>
                <w:spacing w:val="-1"/>
              </w:rPr>
              <w:t>议的资金保障。</w:t>
            </w:r>
          </w:p>
          <w:p>
            <w:pPr>
              <w:pStyle w:val="TableText"/>
              <w:ind w:left="115" w:right="29" w:firstLine="149"/>
              <w:spacing w:before="81" w:line="276" w:lineRule="auto"/>
              <w:rPr/>
            </w:pPr>
            <w:r>
              <w:rPr/>
              <w:t>为更好地管理数据治理资金使用效率，公司会安排专人主管资金使用，优化资金审批流程，记录资</w:t>
            </w:r>
            <w:r>
              <w:rPr>
                <w:spacing w:val="-1"/>
              </w:rPr>
              <w:t>金使用过程，</w:t>
            </w:r>
            <w:r>
              <w:rPr/>
              <w:t xml:space="preserve"> </w:t>
            </w:r>
            <w:r>
              <w:rPr>
                <w:spacing w:val="-1"/>
              </w:rPr>
              <w:t>并根据相关指标评判资金使用效率。</w:t>
            </w:r>
          </w:p>
          <w:p>
            <w:pPr>
              <w:pStyle w:val="TableText"/>
              <w:ind w:left="235"/>
              <w:spacing w:before="83" w:line="220" w:lineRule="auto"/>
              <w:rPr/>
            </w:pPr>
            <w:r>
              <w:rPr>
                <w:spacing w:val="-6"/>
              </w:rPr>
              <w:t>5</w:t>
            </w:r>
            <w:r>
              <w:rPr>
                <w:spacing w:val="32"/>
                <w:w w:val="101"/>
              </w:rPr>
              <w:t xml:space="preserve"> </w:t>
            </w:r>
            <w:r>
              <w:rPr>
                <w:spacing w:val="-6"/>
              </w:rPr>
              <w:t>其</w:t>
            </w:r>
            <w:r>
              <w:rPr>
                <w:spacing w:val="30"/>
                <w:w w:val="101"/>
              </w:rPr>
              <w:t xml:space="preserve"> </w:t>
            </w:r>
            <w:r>
              <w:rPr>
                <w:spacing w:val="-6"/>
              </w:rPr>
              <w:t>他</w:t>
            </w:r>
          </w:p>
          <w:p>
            <w:pPr>
              <w:pStyle w:val="TableText"/>
              <w:ind w:left="265"/>
              <w:spacing w:before="79" w:line="219" w:lineRule="auto"/>
              <w:rPr/>
            </w:pPr>
            <w:r>
              <w:rPr/>
              <w:t>数据治理过程中，对资金到位情况、项目的运作情况、进度、成本的控制等进行实时监控，</w:t>
            </w:r>
            <w:r>
              <w:rPr>
                <w:spacing w:val="-1"/>
              </w:rPr>
              <w:t>从而做出科学的计</w:t>
            </w:r>
          </w:p>
          <w:p>
            <w:pPr>
              <w:pStyle w:val="TableText"/>
              <w:ind w:left="115" w:right="60" w:firstLine="120"/>
              <w:spacing w:before="82" w:line="282" w:lineRule="auto"/>
              <w:rPr/>
            </w:pPr>
            <w:r>
              <w:rPr/>
              <w:t>划调整决策，以保证施工的高效、安全。财务部要以目标成本为基础，进一步整合规划与进度计</w:t>
            </w:r>
            <w:r>
              <w:rPr>
                <w:spacing w:val="-1"/>
              </w:rPr>
              <w:t>划，实时统计项</w:t>
            </w:r>
            <w:r>
              <w:rPr/>
              <w:t xml:space="preserve"> </w:t>
            </w:r>
            <w:r>
              <w:rPr/>
              <w:t>目实际发生成本并与目标成本进行对比分析，实现成本的动态控制，有效控制资</w:t>
            </w:r>
            <w:r>
              <w:rPr>
                <w:spacing w:val="-1"/>
              </w:rPr>
              <w:t>金使用风险。</w:t>
            </w:r>
          </w:p>
        </w:tc>
      </w:tr>
    </w:tbl>
    <w:p>
      <w:pPr>
        <w:ind w:left="4"/>
        <w:spacing w:before="290" w:line="228" w:lineRule="auto"/>
        <w:outlineLvl w:val="1"/>
        <w:rPr>
          <w:rFonts w:ascii="YouYuan" w:hAnsi="YouYuan" w:eastAsia="YouYuan" w:cs="YouYuan"/>
          <w:sz w:val="31"/>
          <w:szCs w:val="31"/>
        </w:rPr>
      </w:pPr>
      <w:r>
        <w:rPr>
          <w:rFonts w:ascii="YouYuan" w:hAnsi="YouYuan" w:eastAsia="YouYuan" w:cs="YouYuan"/>
          <w:sz w:val="31"/>
          <w:szCs w:val="31"/>
          <w:b/>
          <w:bCs/>
          <w:spacing w:val="-16"/>
        </w:rPr>
        <w:t>4.2.5</w:t>
      </w:r>
      <w:r>
        <w:rPr>
          <w:rFonts w:ascii="YouYuan" w:hAnsi="YouYuan" w:eastAsia="YouYuan" w:cs="YouYuan"/>
          <w:sz w:val="31"/>
          <w:szCs w:val="31"/>
          <w:spacing w:val="99"/>
        </w:rPr>
        <w:t xml:space="preserve"> </w:t>
      </w:r>
      <w:r>
        <w:rPr>
          <w:rFonts w:ascii="YouYuan" w:hAnsi="YouYuan" w:eastAsia="YouYuan" w:cs="YouYuan"/>
          <w:sz w:val="31"/>
          <w:szCs w:val="31"/>
          <w:b/>
          <w:bCs/>
          <w:spacing w:val="-16"/>
        </w:rPr>
        <w:t>沟通</w:t>
      </w:r>
    </w:p>
    <w:p>
      <w:pPr>
        <w:ind w:left="443"/>
        <w:spacing w:before="282" w:line="224" w:lineRule="auto"/>
        <w:outlineLvl w:val="2"/>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440"/>
        <w:spacing w:before="227" w:line="232" w:lineRule="auto"/>
        <w:rPr>
          <w:rFonts w:ascii="KaiTi" w:hAnsi="KaiTi" w:eastAsia="KaiTi" w:cs="KaiTi"/>
          <w:sz w:val="22"/>
          <w:szCs w:val="22"/>
        </w:rPr>
      </w:pPr>
      <w:r>
        <w:rPr>
          <w:rFonts w:ascii="KaiTi" w:hAnsi="KaiTi" w:eastAsia="KaiTi" w:cs="KaiTi"/>
          <w:sz w:val="22"/>
          <w:szCs w:val="22"/>
          <w:spacing w:val="15"/>
        </w:rPr>
        <w:t>1)目的</w:t>
      </w:r>
    </w:p>
    <w:p>
      <w:pPr>
        <w:ind w:right="271" w:firstLine="440"/>
        <w:spacing w:before="24"/>
        <w:rPr>
          <w:rFonts w:ascii="SimSun" w:hAnsi="SimSun" w:eastAsia="SimSun" w:cs="SimSun"/>
          <w:sz w:val="22"/>
          <w:szCs w:val="22"/>
        </w:rPr>
      </w:pPr>
      <w:r>
        <w:rPr>
          <w:rFonts w:ascii="SimSun" w:hAnsi="SimSun" w:eastAsia="SimSun" w:cs="SimSun"/>
          <w:sz w:val="22"/>
          <w:szCs w:val="22"/>
          <w:spacing w:val="-8"/>
        </w:rPr>
        <w:t>提供一个用于组织和数据治理项目的政策、标准、过程</w:t>
      </w:r>
      <w:r>
        <w:rPr>
          <w:rFonts w:ascii="SimSun" w:hAnsi="SimSun" w:eastAsia="SimSun" w:cs="SimSun"/>
          <w:sz w:val="22"/>
          <w:szCs w:val="22"/>
          <w:spacing w:val="-9"/>
        </w:rPr>
        <w:t>、进度通告以及其他数</w:t>
      </w:r>
      <w:r>
        <w:rPr>
          <w:rFonts w:ascii="SimSun" w:hAnsi="SimSun" w:eastAsia="SimSun" w:cs="SimSun"/>
          <w:sz w:val="22"/>
          <w:szCs w:val="22"/>
        </w:rPr>
        <w:t xml:space="preserve"> </w:t>
      </w:r>
      <w:r>
        <w:rPr>
          <w:rFonts w:ascii="SimSun" w:hAnsi="SimSun" w:eastAsia="SimSun" w:cs="SimSun"/>
          <w:sz w:val="22"/>
          <w:szCs w:val="22"/>
          <w:spacing w:val="-11"/>
        </w:rPr>
        <w:t>据治理事宜发布和反馈的渠道，以便数据利益相关者获知和理解。</w:t>
      </w:r>
    </w:p>
    <w:p>
      <w:pPr>
        <w:ind w:left="440"/>
        <w:spacing w:before="69" w:line="219" w:lineRule="auto"/>
        <w:rPr>
          <w:rFonts w:ascii="SimSun" w:hAnsi="SimSun" w:eastAsia="SimSun" w:cs="SimSun"/>
          <w:sz w:val="22"/>
          <w:szCs w:val="22"/>
        </w:rPr>
      </w:pPr>
      <w:r>
        <w:rPr>
          <w:rFonts w:ascii="SimSun" w:hAnsi="SimSun" w:eastAsia="SimSun" w:cs="SimSun"/>
          <w:sz w:val="22"/>
          <w:szCs w:val="22"/>
          <w:spacing w:val="14"/>
        </w:rPr>
        <w:t>2)介绍</w:t>
      </w:r>
    </w:p>
    <w:p>
      <w:pPr>
        <w:ind w:right="200" w:firstLine="440"/>
        <w:spacing w:before="60" w:line="243" w:lineRule="auto"/>
        <w:rPr>
          <w:rFonts w:ascii="SimSun" w:hAnsi="SimSun" w:eastAsia="SimSun" w:cs="SimSun"/>
          <w:sz w:val="22"/>
          <w:szCs w:val="22"/>
        </w:rPr>
      </w:pPr>
      <w:r>
        <w:rPr>
          <w:rFonts w:ascii="SimSun" w:hAnsi="SimSun" w:eastAsia="SimSun" w:cs="SimSun"/>
          <w:sz w:val="22"/>
          <w:szCs w:val="22"/>
          <w:spacing w:val="-14"/>
        </w:rPr>
        <w:t>数据治理是一个跨部门、跨层级的活动，参与成员多，事务复杂</w:t>
      </w:r>
      <w:r>
        <w:rPr>
          <w:rFonts w:ascii="SimSun" w:hAnsi="SimSun" w:eastAsia="SimSun" w:cs="SimSun"/>
          <w:sz w:val="22"/>
          <w:szCs w:val="22"/>
          <w:spacing w:val="-15"/>
        </w:rPr>
        <w:t>，因此必须做到</w:t>
      </w:r>
      <w:r>
        <w:rPr>
          <w:rFonts w:ascii="SimSun" w:hAnsi="SimSun" w:eastAsia="SimSun" w:cs="SimSun"/>
          <w:sz w:val="22"/>
          <w:szCs w:val="22"/>
        </w:rPr>
        <w:t xml:space="preserve"> </w:t>
      </w:r>
      <w:r>
        <w:rPr>
          <w:rFonts w:ascii="SimSun" w:hAnsi="SimSun" w:eastAsia="SimSun" w:cs="SimSun"/>
          <w:sz w:val="22"/>
          <w:szCs w:val="22"/>
          <w:spacing w:val="-15"/>
        </w:rPr>
        <w:t>各成员之间信息的畅通交流。沟通的内容包括与数据治理相关的政策、战略、角色与</w:t>
      </w:r>
      <w:r>
        <w:rPr>
          <w:rFonts w:ascii="SimSun" w:hAnsi="SimSun" w:eastAsia="SimSun" w:cs="SimSun"/>
          <w:sz w:val="22"/>
          <w:szCs w:val="22"/>
          <w:spacing w:val="5"/>
        </w:rPr>
        <w:t xml:space="preserve">  </w:t>
      </w:r>
      <w:r>
        <w:rPr>
          <w:rFonts w:ascii="SimSun" w:hAnsi="SimSun" w:eastAsia="SimSun" w:cs="SimSun"/>
          <w:sz w:val="22"/>
          <w:szCs w:val="22"/>
          <w:spacing w:val="-17"/>
        </w:rPr>
        <w:t>职责、计划、机制和变更等，沟通的范围涉及所有利益相关者。沟通的渠</w:t>
      </w:r>
      <w:r>
        <w:rPr>
          <w:rFonts w:ascii="SimSun" w:hAnsi="SimSun" w:eastAsia="SimSun" w:cs="SimSun"/>
          <w:sz w:val="22"/>
          <w:szCs w:val="22"/>
          <w:spacing w:val="-18"/>
        </w:rPr>
        <w:t>道包括会谈、</w:t>
      </w:r>
      <w:r>
        <w:rPr>
          <w:rFonts w:ascii="SimSun" w:hAnsi="SimSun" w:eastAsia="SimSun" w:cs="SimSun"/>
          <w:sz w:val="22"/>
          <w:szCs w:val="22"/>
        </w:rPr>
        <w:t xml:space="preserve"> </w:t>
      </w:r>
      <w:r>
        <w:rPr>
          <w:rFonts w:ascii="SimSun" w:hAnsi="SimSun" w:eastAsia="SimSun" w:cs="SimSun"/>
          <w:sz w:val="22"/>
          <w:szCs w:val="22"/>
          <w:spacing w:val="-14"/>
        </w:rPr>
        <w:t>电话、即时通讯工具、电子邮件、公告板、电子屏、报刊、杂志</w:t>
      </w:r>
      <w:r>
        <w:rPr>
          <w:rFonts w:ascii="SimSun" w:hAnsi="SimSun" w:eastAsia="SimSun" w:cs="SimSun"/>
          <w:sz w:val="22"/>
          <w:szCs w:val="22"/>
          <w:spacing w:val="-15"/>
        </w:rPr>
        <w:t>、媒体等。</w:t>
      </w:r>
    </w:p>
    <w:p>
      <w:pPr>
        <w:ind w:right="273" w:firstLine="440"/>
        <w:spacing w:before="79" w:line="247" w:lineRule="auto"/>
        <w:rPr>
          <w:rFonts w:ascii="SimSun" w:hAnsi="SimSun" w:eastAsia="SimSun" w:cs="SimSun"/>
          <w:sz w:val="22"/>
          <w:szCs w:val="22"/>
        </w:rPr>
      </w:pPr>
      <w:r>
        <w:rPr>
          <w:rFonts w:ascii="SimSun" w:hAnsi="SimSun" w:eastAsia="SimSun" w:cs="SimSun"/>
          <w:sz w:val="22"/>
          <w:szCs w:val="22"/>
          <w:spacing w:val="-8"/>
        </w:rPr>
        <w:t>公布指的是，在制订了一项新的方针后对其进行正</w:t>
      </w:r>
      <w:r>
        <w:rPr>
          <w:rFonts w:ascii="SimSun" w:hAnsi="SimSun" w:eastAsia="SimSun" w:cs="SimSun"/>
          <w:sz w:val="22"/>
          <w:szCs w:val="22"/>
          <w:spacing w:val="-9"/>
        </w:rPr>
        <w:t>式公告或宣布。对于许多组</w:t>
      </w:r>
      <w:r>
        <w:rPr>
          <w:rFonts w:ascii="SimSun" w:hAnsi="SimSun" w:eastAsia="SimSun" w:cs="SimSun"/>
          <w:sz w:val="22"/>
          <w:szCs w:val="22"/>
        </w:rPr>
        <w:t xml:space="preserve"> </w:t>
      </w:r>
      <w:r>
        <w:rPr>
          <w:rFonts w:ascii="SimSun" w:hAnsi="SimSun" w:eastAsia="SimSun" w:cs="SimSun"/>
          <w:sz w:val="22"/>
          <w:szCs w:val="22"/>
          <w:spacing w:val="-9"/>
        </w:rPr>
        <w:t>织而言，在方针生效之前，是有必要进行公布的。应通过已建立的方针管理机制论</w:t>
      </w:r>
      <w:r>
        <w:rPr>
          <w:rFonts w:ascii="SimSun" w:hAnsi="SimSun" w:eastAsia="SimSun" w:cs="SimSun"/>
          <w:sz w:val="22"/>
          <w:szCs w:val="22"/>
          <w:spacing w:val="12"/>
        </w:rPr>
        <w:t xml:space="preserve"> </w:t>
      </w:r>
      <w:r>
        <w:rPr>
          <w:rFonts w:ascii="SimSun" w:hAnsi="SimSun" w:eastAsia="SimSun" w:cs="SimSun"/>
          <w:sz w:val="22"/>
          <w:szCs w:val="22"/>
          <w:spacing w:val="-9"/>
        </w:rPr>
        <w:t>述对数据治理标准、政策和过程的公布，或将其纳入到组织的沟通战略当中。</w:t>
      </w:r>
    </w:p>
    <w:p>
      <w:pPr>
        <w:ind w:right="200" w:firstLine="440"/>
        <w:spacing w:before="58" w:line="250" w:lineRule="auto"/>
        <w:rPr>
          <w:rFonts w:ascii="SimSun" w:hAnsi="SimSun" w:eastAsia="SimSun" w:cs="SimSun"/>
          <w:sz w:val="22"/>
          <w:szCs w:val="22"/>
        </w:rPr>
      </w:pPr>
      <w:r>
        <w:rPr>
          <w:rFonts w:ascii="SimSun" w:hAnsi="SimSun" w:eastAsia="SimSun" w:cs="SimSun"/>
          <w:sz w:val="22"/>
          <w:szCs w:val="22"/>
          <w:spacing w:val="-11"/>
        </w:rPr>
        <w:t>对于一些利益相关者和组织，如果沟通渠道囊括了需要他们亲自参加的活动(如</w:t>
      </w:r>
      <w:r>
        <w:rPr>
          <w:rFonts w:ascii="SimSun" w:hAnsi="SimSun" w:eastAsia="SimSun" w:cs="SimSun"/>
          <w:sz w:val="22"/>
          <w:szCs w:val="22"/>
        </w:rPr>
        <w:t xml:space="preserve"> </w:t>
      </w:r>
      <w:r>
        <w:rPr>
          <w:rFonts w:ascii="SimSun" w:hAnsi="SimSun" w:eastAsia="SimSun" w:cs="SimSun"/>
          <w:sz w:val="22"/>
          <w:szCs w:val="22"/>
          <w:spacing w:val="-11"/>
        </w:rPr>
        <w:t>常规会议、制度化的工作坊、市政会议等),那么这些</w:t>
      </w:r>
      <w:r>
        <w:rPr>
          <w:rFonts w:ascii="SimSun" w:hAnsi="SimSun" w:eastAsia="SimSun" w:cs="SimSun"/>
          <w:sz w:val="22"/>
          <w:szCs w:val="22"/>
          <w:spacing w:val="-12"/>
        </w:rPr>
        <w:t>渠道就更加有效。沟通的机制、</w:t>
      </w:r>
      <w:r>
        <w:rPr>
          <w:rFonts w:ascii="SimSun" w:hAnsi="SimSun" w:eastAsia="SimSun" w:cs="SimSun"/>
          <w:sz w:val="22"/>
          <w:szCs w:val="22"/>
        </w:rPr>
        <w:t xml:space="preserve"> </w:t>
      </w:r>
      <w:r>
        <w:rPr>
          <w:rFonts w:ascii="SimSun" w:hAnsi="SimSun" w:eastAsia="SimSun" w:cs="SimSun"/>
          <w:sz w:val="22"/>
          <w:szCs w:val="22"/>
          <w:spacing w:val="-14"/>
        </w:rPr>
        <w:t>频率和时机也是数据治理沟通战略的重要部分。除此之外，如果沟通是来自高级管理 </w:t>
      </w:r>
      <w:r>
        <w:rPr>
          <w:rFonts w:ascii="SimSun" w:hAnsi="SimSun" w:eastAsia="SimSun" w:cs="SimSun"/>
          <w:sz w:val="22"/>
          <w:szCs w:val="22"/>
          <w:spacing w:val="-13"/>
        </w:rPr>
        <w:t>层，要求采取措施或给予回应的沟通可能更加</w:t>
      </w:r>
      <w:r>
        <w:rPr>
          <w:rFonts w:ascii="SimSun" w:hAnsi="SimSun" w:eastAsia="SimSun" w:cs="SimSun"/>
          <w:sz w:val="22"/>
          <w:szCs w:val="22"/>
          <w:spacing w:val="-14"/>
        </w:rPr>
        <w:t>有效，也就是应当采用反馈确认机制。</w:t>
      </w:r>
    </w:p>
    <w:p>
      <w:pPr>
        <w:ind w:right="271" w:firstLine="440"/>
        <w:spacing w:before="59" w:line="246" w:lineRule="auto"/>
        <w:rPr>
          <w:rFonts w:ascii="SimSun" w:hAnsi="SimSun" w:eastAsia="SimSun" w:cs="SimSun"/>
          <w:sz w:val="22"/>
          <w:szCs w:val="22"/>
        </w:rPr>
      </w:pPr>
      <w:r>
        <w:rPr>
          <w:rFonts w:ascii="SimSun" w:hAnsi="SimSun" w:eastAsia="SimSun" w:cs="SimSun"/>
          <w:sz w:val="22"/>
          <w:szCs w:val="22"/>
          <w:spacing w:val="-8"/>
        </w:rPr>
        <w:t>为了确保组织可以实现其目标，必须在预计采纳日期和</w:t>
      </w:r>
      <w:r>
        <w:rPr>
          <w:rFonts w:ascii="SimSun" w:hAnsi="SimSun" w:eastAsia="SimSun" w:cs="SimSun"/>
          <w:sz w:val="22"/>
          <w:szCs w:val="22"/>
          <w:spacing w:val="-9"/>
        </w:rPr>
        <w:t>合规检查开始之前，对</w:t>
      </w:r>
      <w:r>
        <w:rPr>
          <w:rFonts w:ascii="SimSun" w:hAnsi="SimSun" w:eastAsia="SimSun" w:cs="SimSun"/>
          <w:sz w:val="22"/>
          <w:szCs w:val="22"/>
        </w:rPr>
        <w:t xml:space="preserve"> </w:t>
      </w:r>
      <w:r>
        <w:rPr>
          <w:rFonts w:ascii="SimSun" w:hAnsi="SimSun" w:eastAsia="SimSun" w:cs="SimSun"/>
          <w:sz w:val="22"/>
          <w:szCs w:val="22"/>
          <w:spacing w:val="-9"/>
        </w:rPr>
        <w:t>政策、标准和过程进行公告。应建立一个反馈过程来支持利益相关者的问题、建议</w:t>
      </w:r>
      <w:r>
        <w:rPr>
          <w:rFonts w:ascii="SimSun" w:hAnsi="SimSun" w:eastAsia="SimSun" w:cs="SimSun"/>
          <w:sz w:val="22"/>
          <w:szCs w:val="22"/>
          <w:spacing w:val="12"/>
        </w:rPr>
        <w:t xml:space="preserve"> </w:t>
      </w:r>
      <w:r>
        <w:rPr>
          <w:rFonts w:ascii="SimSun" w:hAnsi="SimSun" w:eastAsia="SimSun" w:cs="SimSun"/>
          <w:sz w:val="22"/>
          <w:szCs w:val="22"/>
          <w:spacing w:val="-11"/>
        </w:rPr>
        <w:t>等，可以利用采纳度量项来评估对公布过程有效性的度量。</w:t>
      </w:r>
    </w:p>
    <w:p>
      <w:pPr>
        <w:ind w:left="440"/>
        <w:spacing w:before="53" w:line="219" w:lineRule="auto"/>
        <w:rPr>
          <w:rFonts w:ascii="SimSun" w:hAnsi="SimSun" w:eastAsia="SimSun" w:cs="SimSun"/>
          <w:sz w:val="22"/>
          <w:szCs w:val="22"/>
        </w:rPr>
      </w:pPr>
      <w:r>
        <w:rPr>
          <w:rFonts w:ascii="SimSun" w:hAnsi="SimSun" w:eastAsia="SimSun" w:cs="SimSun"/>
          <w:sz w:val="22"/>
          <w:szCs w:val="22"/>
          <w:spacing w:val="-8"/>
        </w:rPr>
        <w:t>已经发表的政策、标准和其他指南应当让组织成员随手获得，例如集中化的电</w:t>
      </w:r>
    </w:p>
    <w:p>
      <w:pPr>
        <w:spacing w:line="219" w:lineRule="auto"/>
        <w:sectPr>
          <w:footerReference w:type="default" r:id="rId182"/>
          <w:pgSz w:w="8870" w:h="13400"/>
          <w:pgMar w:top="400" w:right="549" w:bottom="594" w:left="409" w:header="0" w:footer="376" w:gutter="0"/>
        </w:sectPr>
        <w:rPr>
          <w:rFonts w:ascii="SimSun" w:hAnsi="SimSun" w:eastAsia="SimSun" w:cs="SimSun"/>
          <w:sz w:val="22"/>
          <w:szCs w:val="22"/>
        </w:rPr>
      </w:pPr>
    </w:p>
    <w:p>
      <w:pPr>
        <w:ind w:left="243"/>
        <w:spacing w:before="236" w:line="219" w:lineRule="auto"/>
        <w:rPr>
          <w:rFonts w:ascii="SimSun" w:hAnsi="SimSun" w:eastAsia="SimSun" w:cs="SimSun"/>
          <w:sz w:val="22"/>
          <w:szCs w:val="22"/>
        </w:rPr>
      </w:pPr>
      <w:r>
        <w:pict>
          <v:rect id="_x0000_s328" style="position:absolute;margin-left:29.5016pt;margin-top:28.5018pt;mso-position-vertical-relative:page;mso-position-horizontal-relative:page;width:0.5pt;height:18pt;z-index:253517824;" o:allowincell="f" fillcolor="#000000" filled="true" stroked="false"/>
        </w:pict>
      </w:r>
      <w:r>
        <w:rPr>
          <w:rFonts w:ascii="SimSun" w:hAnsi="SimSun" w:eastAsia="SimSun" w:cs="SimSun"/>
          <w:sz w:val="22"/>
          <w:szCs w:val="22"/>
          <w:b/>
          <w:bCs/>
          <w:spacing w:val="-14"/>
        </w:rPr>
        <w:t>■云端数据治理</w:t>
      </w:r>
    </w:p>
    <w:p>
      <w:pPr>
        <w:ind w:left="240" w:right="65"/>
        <w:spacing w:before="312" w:line="251" w:lineRule="auto"/>
        <w:jc w:val="both"/>
        <w:rPr>
          <w:rFonts w:ascii="SimSun" w:hAnsi="SimSun" w:eastAsia="SimSun" w:cs="SimSun"/>
          <w:sz w:val="22"/>
          <w:szCs w:val="22"/>
        </w:rPr>
      </w:pPr>
      <w:r>
        <w:rPr>
          <w:rFonts w:ascii="SimSun" w:hAnsi="SimSun" w:eastAsia="SimSun" w:cs="SimSun"/>
          <w:sz w:val="22"/>
          <w:szCs w:val="22"/>
          <w:spacing w:val="-8"/>
        </w:rPr>
        <w:t>子图书馆可以做到这一点。要对电子图书馆进行及时维护，从而确保可以随时更新</w:t>
      </w:r>
      <w:r>
        <w:rPr>
          <w:rFonts w:ascii="SimSun" w:hAnsi="SimSun" w:eastAsia="SimSun" w:cs="SimSun"/>
          <w:sz w:val="22"/>
          <w:szCs w:val="22"/>
          <w:spacing w:val="6"/>
        </w:rPr>
        <w:t xml:space="preserve"> </w:t>
      </w:r>
      <w:r>
        <w:rPr>
          <w:rFonts w:ascii="SimSun" w:hAnsi="SimSun" w:eastAsia="SimSun" w:cs="SimSun"/>
          <w:sz w:val="22"/>
          <w:szCs w:val="22"/>
          <w:spacing w:val="-13"/>
        </w:rPr>
        <w:t>资产，还要有向相关利益有效传达更新内容的方法。</w:t>
      </w:r>
      <w:r>
        <w:rPr>
          <w:rFonts w:ascii="SimSun" w:hAnsi="SimSun" w:eastAsia="SimSun" w:cs="SimSun"/>
          <w:sz w:val="22"/>
          <w:szCs w:val="22"/>
          <w:spacing w:val="52"/>
        </w:rPr>
        <w:t xml:space="preserve"> </w:t>
      </w:r>
      <w:r>
        <w:rPr>
          <w:rFonts w:ascii="SimSun" w:hAnsi="SimSun" w:eastAsia="SimSun" w:cs="SimSun"/>
          <w:sz w:val="22"/>
          <w:szCs w:val="22"/>
          <w:spacing w:val="-13"/>
        </w:rPr>
        <w:t>一般的沟通可以很简单，例如</w:t>
      </w:r>
      <w:r>
        <w:rPr>
          <w:rFonts w:ascii="SimSun" w:hAnsi="SimSun" w:eastAsia="SimSun" w:cs="SimSun"/>
          <w:sz w:val="22"/>
          <w:szCs w:val="22"/>
        </w:rPr>
        <w:t xml:space="preserve"> </w:t>
      </w:r>
      <w:r>
        <w:rPr>
          <w:rFonts w:ascii="SimSun" w:hAnsi="SimSun" w:eastAsia="SimSun" w:cs="SimSun"/>
          <w:sz w:val="22"/>
          <w:szCs w:val="22"/>
          <w:spacing w:val="-9"/>
        </w:rPr>
        <w:t>发布一个通告，或更全面一点的，进行一次培训。</w:t>
      </w:r>
    </w:p>
    <w:p>
      <w:pPr>
        <w:ind w:left="710"/>
        <w:spacing w:before="45" w:line="229" w:lineRule="auto"/>
        <w:rPr>
          <w:rFonts w:ascii="KaiTi" w:hAnsi="KaiTi" w:eastAsia="KaiTi" w:cs="KaiTi"/>
          <w:sz w:val="22"/>
          <w:szCs w:val="22"/>
        </w:rPr>
      </w:pPr>
      <w:r>
        <w:rPr>
          <w:rFonts w:ascii="KaiTi" w:hAnsi="KaiTi" w:eastAsia="KaiTi" w:cs="KaiTi"/>
          <w:sz w:val="22"/>
          <w:szCs w:val="22"/>
          <w:spacing w:val="5"/>
        </w:rPr>
        <w:t>3)相关过程域</w:t>
      </w:r>
    </w:p>
    <w:p>
      <w:pPr>
        <w:ind w:left="240" w:right="38" w:firstLine="470"/>
        <w:spacing w:before="32" w:line="241" w:lineRule="auto"/>
        <w:rPr>
          <w:rFonts w:ascii="SimSun" w:hAnsi="SimSun" w:eastAsia="SimSun" w:cs="SimSun"/>
          <w:sz w:val="22"/>
          <w:szCs w:val="22"/>
        </w:rPr>
      </w:pPr>
      <w:r>
        <w:rPr>
          <w:rFonts w:ascii="SimSun" w:hAnsi="SimSun" w:eastAsia="SimSun" w:cs="SimSun"/>
          <w:sz w:val="22"/>
          <w:szCs w:val="22"/>
          <w:spacing w:val="-8"/>
        </w:rPr>
        <w:t>所有过程域都会涉及需要发布的内容，因此云端</w:t>
      </w:r>
      <w:r>
        <w:rPr>
          <w:rFonts w:ascii="SimSun" w:hAnsi="SimSun" w:eastAsia="SimSun" w:cs="SimSun"/>
          <w:sz w:val="22"/>
          <w:szCs w:val="22"/>
          <w:spacing w:val="-9"/>
        </w:rPr>
        <w:t>数据治理所有的过程域均与沟</w:t>
      </w:r>
      <w:r>
        <w:rPr>
          <w:rFonts w:ascii="SimSun" w:hAnsi="SimSun" w:eastAsia="SimSun" w:cs="SimSun"/>
          <w:sz w:val="22"/>
          <w:szCs w:val="22"/>
        </w:rPr>
        <w:t xml:space="preserve"> </w:t>
      </w:r>
      <w:r>
        <w:rPr>
          <w:rFonts w:ascii="SimSun" w:hAnsi="SimSun" w:eastAsia="SimSun" w:cs="SimSun"/>
          <w:sz w:val="22"/>
          <w:szCs w:val="22"/>
          <w:spacing w:val="-14"/>
        </w:rPr>
        <w:t>通过程域相关。</w:t>
      </w:r>
    </w:p>
    <w:p>
      <w:pPr>
        <w:pStyle w:val="BodyText"/>
        <w:ind w:left="710"/>
        <w:spacing w:before="204" w:line="223" w:lineRule="auto"/>
        <w:outlineLvl w:val="2"/>
        <w:rPr>
          <w:rFonts w:ascii="SimHei" w:hAnsi="SimHei" w:eastAsia="SimHei" w:cs="SimHei"/>
          <w:sz w:val="22"/>
          <w:szCs w:val="22"/>
        </w:rPr>
      </w:pPr>
      <w:r>
        <w:rPr>
          <w:sz w:val="22"/>
          <w:szCs w:val="22"/>
          <w:b/>
          <w:bCs/>
          <w:spacing w:val="-2"/>
        </w:rPr>
        <w:t>2.GQM</w:t>
      </w:r>
      <w:r>
        <w:rPr>
          <w:sz w:val="22"/>
          <w:szCs w:val="22"/>
          <w:b/>
          <w:bCs/>
          <w:spacing w:val="6"/>
        </w:rPr>
        <w:t xml:space="preserve">   </w:t>
      </w:r>
      <w:r>
        <w:rPr>
          <w:rFonts w:ascii="SimHei" w:hAnsi="SimHei" w:eastAsia="SimHei" w:cs="SimHei"/>
          <w:sz w:val="22"/>
          <w:szCs w:val="22"/>
          <w:b/>
          <w:bCs/>
          <w:spacing w:val="-2"/>
        </w:rPr>
        <w:t>表</w:t>
      </w:r>
    </w:p>
    <w:p>
      <w:pPr>
        <w:spacing w:line="172" w:lineRule="exact"/>
        <w:rPr/>
      </w:pPr>
      <w:r/>
    </w:p>
    <w:tbl>
      <w:tblPr>
        <w:tblStyle w:val="TableNormal"/>
        <w:tblW w:w="7589" w:type="dxa"/>
        <w:tblInd w:w="3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967"/>
        <w:gridCol w:w="2157"/>
        <w:gridCol w:w="2142"/>
      </w:tblGrid>
      <w:tr>
        <w:trPr>
          <w:trHeight w:val="324" w:hRule="atLeast"/>
        </w:trPr>
        <w:tc>
          <w:tcPr>
            <w:tcW w:w="1323" w:type="dxa"/>
            <w:vAlign w:val="top"/>
          </w:tcPr>
          <w:p>
            <w:pPr>
              <w:pStyle w:val="TableText"/>
              <w:ind w:left="354"/>
              <w:spacing w:before="91" w:line="220" w:lineRule="auto"/>
              <w:rPr/>
            </w:pPr>
            <w:r>
              <w:rPr>
                <w:spacing w:val="-18"/>
              </w:rPr>
              <w:t>目</w:t>
            </w:r>
            <w:r>
              <w:rPr>
                <w:spacing w:val="11"/>
              </w:rPr>
              <w:t xml:space="preserve">    </w:t>
            </w:r>
            <w:r>
              <w:rPr>
                <w:spacing w:val="-18"/>
              </w:rPr>
              <w:t>标</w:t>
            </w:r>
          </w:p>
        </w:tc>
        <w:tc>
          <w:tcPr>
            <w:tcW w:w="1967" w:type="dxa"/>
            <w:vAlign w:val="top"/>
          </w:tcPr>
          <w:p>
            <w:pPr>
              <w:pStyle w:val="TableText"/>
              <w:ind w:left="691"/>
              <w:spacing w:before="93" w:line="221" w:lineRule="auto"/>
              <w:rPr/>
            </w:pPr>
            <w:r>
              <w:rPr>
                <w:spacing w:val="-12"/>
              </w:rPr>
              <w:t>问</w:t>
            </w:r>
            <w:r>
              <w:rPr>
                <w:spacing w:val="10"/>
              </w:rPr>
              <w:t xml:space="preserve">   </w:t>
            </w:r>
            <w:r>
              <w:rPr>
                <w:spacing w:val="-12"/>
              </w:rPr>
              <w:t>题</w:t>
            </w:r>
          </w:p>
        </w:tc>
        <w:tc>
          <w:tcPr>
            <w:tcW w:w="2157" w:type="dxa"/>
            <w:vAlign w:val="top"/>
          </w:tcPr>
          <w:p>
            <w:pPr>
              <w:pStyle w:val="TableText"/>
              <w:ind w:left="714"/>
              <w:spacing w:before="91" w:line="220" w:lineRule="auto"/>
              <w:rPr/>
            </w:pPr>
            <w:r>
              <w:rPr>
                <w:spacing w:val="-4"/>
              </w:rPr>
              <w:t>度</w:t>
            </w:r>
            <w:r>
              <w:rPr>
                <w:spacing w:val="2"/>
              </w:rPr>
              <w:t xml:space="preserve">  </w:t>
            </w:r>
            <w:r>
              <w:rPr>
                <w:spacing w:val="-4"/>
              </w:rPr>
              <w:t>量</w:t>
            </w:r>
            <w:r>
              <w:rPr>
                <w:spacing w:val="4"/>
              </w:rPr>
              <w:t xml:space="preserve">  </w:t>
            </w:r>
            <w:r>
              <w:rPr>
                <w:spacing w:val="-4"/>
              </w:rPr>
              <w:t>项</w:t>
            </w:r>
          </w:p>
        </w:tc>
        <w:tc>
          <w:tcPr>
            <w:tcW w:w="2142" w:type="dxa"/>
            <w:vAlign w:val="top"/>
          </w:tcPr>
          <w:p>
            <w:pPr>
              <w:pStyle w:val="TableText"/>
              <w:ind w:left="707"/>
              <w:spacing w:before="91" w:line="219" w:lineRule="auto"/>
              <w:rPr/>
            </w:pPr>
            <w:r>
              <w:rPr>
                <w:spacing w:val="3"/>
              </w:rPr>
              <w:t>度量项说明</w:t>
            </w:r>
          </w:p>
        </w:tc>
      </w:tr>
      <w:tr>
        <w:trPr>
          <w:trHeight w:val="768" w:hRule="atLeast"/>
        </w:trPr>
        <w:tc>
          <w:tcPr>
            <w:tcW w:w="1323" w:type="dxa"/>
            <w:vAlign w:val="top"/>
            <w:vMerge w:val="restart"/>
            <w:tcBorders>
              <w:bottom w:val="nil"/>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124" w:right="143" w:firstLine="109"/>
              <w:spacing w:before="48" w:line="263" w:lineRule="auto"/>
              <w:rPr/>
            </w:pPr>
            <w:r>
              <w:rPr>
                <w:spacing w:val="-1"/>
              </w:rPr>
              <w:t>G1:建立了数</w:t>
            </w:r>
            <w:r>
              <w:rPr/>
              <w:t xml:space="preserve">  </w:t>
            </w:r>
            <w:r>
              <w:rPr>
                <w:spacing w:val="-1"/>
              </w:rPr>
              <w:t>据治理沟通战略</w:t>
            </w:r>
          </w:p>
        </w:tc>
        <w:tc>
          <w:tcPr>
            <w:tcW w:w="1967" w:type="dxa"/>
            <w:vAlign w:val="top"/>
          </w:tcPr>
          <w:p>
            <w:pPr>
              <w:pStyle w:val="TableText"/>
              <w:ind w:left="111" w:right="284" w:firstLine="140"/>
              <w:spacing w:before="185" w:line="271" w:lineRule="auto"/>
              <w:rPr/>
            </w:pPr>
            <w:r>
              <w:rPr>
                <w:spacing w:val="-1"/>
              </w:rPr>
              <w:t>Q1:如何发布数据治理</w:t>
            </w:r>
            <w:r>
              <w:rPr>
                <w:spacing w:val="5"/>
              </w:rPr>
              <w:t xml:space="preserve"> </w:t>
            </w:r>
            <w:r>
              <w:rPr/>
              <w:t>的政策、标准和过程</w:t>
            </w:r>
          </w:p>
        </w:tc>
        <w:tc>
          <w:tcPr>
            <w:tcW w:w="2157" w:type="dxa"/>
            <w:vAlign w:val="top"/>
          </w:tcPr>
          <w:p>
            <w:pPr>
              <w:spacing w:line="257" w:lineRule="auto"/>
              <w:rPr>
                <w:rFonts w:ascii="Arial"/>
                <w:sz w:val="21"/>
              </w:rPr>
            </w:pPr>
            <w:r/>
          </w:p>
          <w:p>
            <w:pPr>
              <w:pStyle w:val="TableText"/>
              <w:ind w:left="264"/>
              <w:spacing w:before="48" w:line="220" w:lineRule="auto"/>
              <w:rPr/>
            </w:pPr>
            <w:r>
              <w:rPr>
                <w:spacing w:val="25"/>
              </w:rPr>
              <w:t>M1:沟通战略</w:t>
            </w:r>
          </w:p>
        </w:tc>
        <w:tc>
          <w:tcPr>
            <w:tcW w:w="2142" w:type="dxa"/>
            <w:vAlign w:val="top"/>
          </w:tcPr>
          <w:p>
            <w:pPr>
              <w:pStyle w:val="TableText"/>
              <w:ind w:left="267"/>
              <w:spacing w:before="57" w:line="219" w:lineRule="auto"/>
              <w:rPr/>
            </w:pPr>
            <w:r>
              <w:rPr>
                <w:spacing w:val="-1"/>
              </w:rPr>
              <w:t>建立了数据治理沟通战略</w:t>
            </w:r>
          </w:p>
          <w:p>
            <w:pPr>
              <w:pStyle w:val="TableText"/>
              <w:ind w:left="127"/>
              <w:spacing w:before="81" w:line="269" w:lineRule="auto"/>
              <w:rPr/>
            </w:pPr>
            <w:r>
              <w:rPr>
                <w:spacing w:val="-7"/>
              </w:rPr>
              <w:t>包括沟通方式、途径、要求等，</w:t>
            </w:r>
            <w:r>
              <w:rPr>
                <w:spacing w:val="1"/>
              </w:rPr>
              <w:t xml:space="preserve"> </w:t>
            </w:r>
            <w:r>
              <w:rPr>
                <w:spacing w:val="-5"/>
              </w:rPr>
              <w:t>支持数据治理策略的有效传达</w:t>
            </w:r>
          </w:p>
        </w:tc>
      </w:tr>
      <w:tr>
        <w:trPr>
          <w:trHeight w:val="768" w:hRule="atLeast"/>
        </w:trPr>
        <w:tc>
          <w:tcPr>
            <w:tcW w:w="1323" w:type="dxa"/>
            <w:vAlign w:val="top"/>
            <w:vMerge w:val="continue"/>
            <w:tcBorders>
              <w:top w:val="nil"/>
              <w:bottom w:val="nil"/>
            </w:tcBorders>
          </w:tcPr>
          <w:p>
            <w:pPr>
              <w:rPr>
                <w:rFonts w:ascii="Arial"/>
                <w:sz w:val="21"/>
              </w:rPr>
            </w:pPr>
            <w:r/>
          </w:p>
        </w:tc>
        <w:tc>
          <w:tcPr>
            <w:tcW w:w="1967" w:type="dxa"/>
            <w:vAlign w:val="top"/>
          </w:tcPr>
          <w:p>
            <w:pPr>
              <w:pStyle w:val="TableText"/>
              <w:ind w:left="111" w:right="203" w:firstLine="140"/>
              <w:spacing w:before="58" w:line="283" w:lineRule="auto"/>
              <w:rPr/>
            </w:pPr>
            <w:r>
              <w:rPr>
                <w:spacing w:val="-1"/>
              </w:rPr>
              <w:t>Q2:组织如何向利益相</w:t>
            </w:r>
            <w:r>
              <w:rPr>
                <w:spacing w:val="2"/>
              </w:rPr>
              <w:t xml:space="preserve">  </w:t>
            </w:r>
            <w:r>
              <w:rPr>
                <w:spacing w:val="-1"/>
              </w:rPr>
              <w:t>关者通知有关数据治理计</w:t>
            </w:r>
            <w:r>
              <w:rPr>
                <w:spacing w:val="1"/>
              </w:rPr>
              <w:t xml:space="preserve"> </w:t>
            </w:r>
            <w:r>
              <w:rPr/>
              <w:t>划和项目的消息</w:t>
            </w:r>
          </w:p>
        </w:tc>
        <w:tc>
          <w:tcPr>
            <w:tcW w:w="2157" w:type="dxa"/>
            <w:vAlign w:val="top"/>
          </w:tcPr>
          <w:p>
            <w:pPr>
              <w:spacing w:line="259" w:lineRule="auto"/>
              <w:rPr>
                <w:rFonts w:ascii="Arial"/>
                <w:sz w:val="21"/>
              </w:rPr>
            </w:pPr>
            <w:r/>
          </w:p>
          <w:p>
            <w:pPr>
              <w:pStyle w:val="TableText"/>
              <w:ind w:left="264"/>
              <w:spacing w:before="48" w:line="220" w:lineRule="auto"/>
              <w:rPr/>
            </w:pPr>
            <w:r>
              <w:rPr>
                <w:spacing w:val="-1"/>
              </w:rPr>
              <w:t>M2:沟通计划</w:t>
            </w:r>
          </w:p>
        </w:tc>
        <w:tc>
          <w:tcPr>
            <w:tcW w:w="2142" w:type="dxa"/>
            <w:vAlign w:val="top"/>
          </w:tcPr>
          <w:p>
            <w:pPr>
              <w:pStyle w:val="TableText"/>
              <w:ind w:left="247"/>
              <w:spacing w:before="59" w:line="219" w:lineRule="auto"/>
              <w:rPr/>
            </w:pPr>
            <w:r>
              <w:rPr>
                <w:spacing w:val="-1"/>
              </w:rPr>
              <w:t>数据治理沟通战略能够满</w:t>
            </w:r>
          </w:p>
          <w:p>
            <w:pPr>
              <w:pStyle w:val="TableText"/>
              <w:ind w:left="118" w:right="72"/>
              <w:spacing w:before="82" w:line="270" w:lineRule="auto"/>
              <w:rPr/>
            </w:pPr>
            <w:r>
              <w:rPr>
                <w:spacing w:val="-1"/>
              </w:rPr>
              <w:t>足数据治理方针要求，制订沟</w:t>
            </w:r>
            <w:r>
              <w:rPr>
                <w:spacing w:val="3"/>
              </w:rPr>
              <w:t xml:space="preserve"> </w:t>
            </w:r>
            <w:r>
              <w:rPr>
                <w:spacing w:val="-2"/>
              </w:rPr>
              <w:t>通计划</w:t>
            </w:r>
          </w:p>
        </w:tc>
      </w:tr>
      <w:tr>
        <w:trPr>
          <w:trHeight w:val="539" w:hRule="atLeast"/>
        </w:trPr>
        <w:tc>
          <w:tcPr>
            <w:tcW w:w="1323" w:type="dxa"/>
            <w:vAlign w:val="top"/>
            <w:vMerge w:val="continue"/>
            <w:tcBorders>
              <w:top w:val="nil"/>
            </w:tcBorders>
          </w:tcPr>
          <w:p>
            <w:pPr>
              <w:rPr>
                <w:rFonts w:ascii="Arial"/>
                <w:sz w:val="21"/>
              </w:rPr>
            </w:pPr>
            <w:r/>
          </w:p>
        </w:tc>
        <w:tc>
          <w:tcPr>
            <w:tcW w:w="1967" w:type="dxa"/>
            <w:vAlign w:val="top"/>
          </w:tcPr>
          <w:p>
            <w:pPr>
              <w:pStyle w:val="TableText"/>
              <w:ind w:left="111" w:right="274" w:firstLine="149"/>
              <w:spacing w:before="70" w:line="270" w:lineRule="auto"/>
              <w:rPr/>
            </w:pPr>
            <w:r>
              <w:rPr>
                <w:spacing w:val="-1"/>
              </w:rPr>
              <w:t>Q3:沟通战略是否得到</w:t>
            </w:r>
            <w:r>
              <w:rPr>
                <w:spacing w:val="5"/>
              </w:rPr>
              <w:t xml:space="preserve"> </w:t>
            </w:r>
            <w:r>
              <w:rPr>
                <w:spacing w:val="-1"/>
              </w:rPr>
              <w:t>数据利益相关者认可</w:t>
            </w:r>
          </w:p>
        </w:tc>
        <w:tc>
          <w:tcPr>
            <w:tcW w:w="2157" w:type="dxa"/>
            <w:vAlign w:val="top"/>
          </w:tcPr>
          <w:p>
            <w:pPr>
              <w:pStyle w:val="TableText"/>
              <w:ind w:left="264"/>
              <w:spacing w:before="201" w:line="220" w:lineRule="auto"/>
              <w:rPr/>
            </w:pPr>
            <w:r>
              <w:rPr>
                <w:spacing w:val="-1"/>
              </w:rPr>
              <w:t>M3:评审记录</w:t>
            </w:r>
          </w:p>
        </w:tc>
        <w:tc>
          <w:tcPr>
            <w:tcW w:w="2142" w:type="dxa"/>
            <w:vAlign w:val="top"/>
          </w:tcPr>
          <w:p>
            <w:pPr>
              <w:pStyle w:val="TableText"/>
              <w:ind w:left="107" w:right="219" w:firstLine="160"/>
              <w:spacing w:before="50" w:line="282" w:lineRule="auto"/>
              <w:rPr/>
            </w:pPr>
            <w:r>
              <w:rPr>
                <w:spacing w:val="-1"/>
              </w:rPr>
              <w:t>沟通战略得到了数据利益</w:t>
            </w:r>
            <w:r>
              <w:rPr>
                <w:spacing w:val="4"/>
              </w:rPr>
              <w:t xml:space="preserve"> </w:t>
            </w:r>
            <w:r>
              <w:rPr>
                <w:spacing w:val="-1"/>
              </w:rPr>
              <w:t>相关者的理解和支持</w:t>
            </w:r>
          </w:p>
        </w:tc>
      </w:tr>
      <w:tr>
        <w:trPr>
          <w:trHeight w:val="518" w:hRule="atLeast"/>
        </w:trPr>
        <w:tc>
          <w:tcPr>
            <w:tcW w:w="1323" w:type="dxa"/>
            <w:vAlign w:val="top"/>
            <w:vMerge w:val="restart"/>
            <w:tcBorders>
              <w:bottom w:val="nil"/>
            </w:tcBorders>
          </w:tcPr>
          <w:p>
            <w:pPr>
              <w:pStyle w:val="TableText"/>
              <w:ind w:left="234"/>
              <w:spacing w:before="222" w:line="219" w:lineRule="auto"/>
              <w:rPr/>
            </w:pPr>
            <w:r>
              <w:rPr>
                <w:spacing w:val="-1"/>
              </w:rPr>
              <w:t>G2:数据治理</w:t>
            </w:r>
          </w:p>
          <w:p>
            <w:pPr>
              <w:pStyle w:val="TableText"/>
              <w:ind w:left="94" w:right="118" w:firstLine="29"/>
              <w:spacing w:before="73" w:line="300" w:lineRule="auto"/>
              <w:rPr/>
            </w:pPr>
            <w:r>
              <w:rPr>
                <w:spacing w:val="2"/>
              </w:rPr>
              <w:t>沟通战略确保了</w:t>
            </w:r>
            <w:r>
              <w:rPr>
                <w:spacing w:val="4"/>
              </w:rPr>
              <w:t xml:space="preserve"> </w:t>
            </w:r>
            <w:r>
              <w:rPr>
                <w:spacing w:val="3"/>
              </w:rPr>
              <w:t>相关人员能够在</w:t>
            </w:r>
            <w:r>
              <w:rPr>
                <w:spacing w:val="2"/>
              </w:rPr>
              <w:t xml:space="preserve"> </w:t>
            </w:r>
            <w:r>
              <w:rPr>
                <w:spacing w:val="3"/>
              </w:rPr>
              <w:t>恰当的时间了解</w:t>
            </w:r>
            <w:r>
              <w:rPr/>
              <w:t xml:space="preserve"> </w:t>
            </w:r>
            <w:r>
              <w:rPr>
                <w:spacing w:val="3"/>
              </w:rPr>
              <w:t>关于方案的正确</w:t>
            </w:r>
            <w:r>
              <w:rPr/>
              <w:t xml:space="preserve"> </w:t>
            </w:r>
            <w:r>
              <w:rPr>
                <w:spacing w:val="-3"/>
              </w:rPr>
              <w:t>消息</w:t>
            </w:r>
          </w:p>
        </w:tc>
        <w:tc>
          <w:tcPr>
            <w:tcW w:w="1967" w:type="dxa"/>
            <w:vAlign w:val="top"/>
            <w:vMerge w:val="restart"/>
            <w:tcBorders>
              <w:bottom w:val="nil"/>
            </w:tcBorders>
          </w:tcPr>
          <w:p>
            <w:pPr>
              <w:pStyle w:val="TableText"/>
              <w:ind w:left="91" w:right="284" w:firstLine="160"/>
              <w:spacing w:before="222" w:line="258" w:lineRule="auto"/>
              <w:rPr/>
            </w:pPr>
            <w:r>
              <w:rPr>
                <w:spacing w:val="-1"/>
              </w:rPr>
              <w:t>Q4:沟通的有效性怎么</w:t>
            </w:r>
            <w:r>
              <w:rPr>
                <w:spacing w:val="5"/>
              </w:rPr>
              <w:t xml:space="preserve"> </w:t>
            </w:r>
            <w:r>
              <w:rPr>
                <w:spacing w:val="-2"/>
              </w:rPr>
              <w:t>评判</w:t>
            </w:r>
          </w:p>
        </w:tc>
        <w:tc>
          <w:tcPr>
            <w:tcW w:w="2157" w:type="dxa"/>
            <w:vAlign w:val="top"/>
          </w:tcPr>
          <w:p>
            <w:pPr>
              <w:pStyle w:val="TableText"/>
              <w:ind w:left="264"/>
              <w:spacing w:before="192" w:line="221" w:lineRule="auto"/>
              <w:rPr/>
            </w:pPr>
            <w:r>
              <w:rPr>
                <w:spacing w:val="18"/>
                <w:w w:val="109"/>
              </w:rPr>
              <w:t>M4:及时性</w:t>
            </w:r>
          </w:p>
        </w:tc>
        <w:tc>
          <w:tcPr>
            <w:tcW w:w="2142" w:type="dxa"/>
            <w:vAlign w:val="top"/>
          </w:tcPr>
          <w:p>
            <w:pPr>
              <w:pStyle w:val="TableText"/>
              <w:ind w:left="118" w:right="219" w:firstLine="149"/>
              <w:spacing w:before="61" w:line="275" w:lineRule="auto"/>
              <w:rPr/>
            </w:pPr>
            <w:r>
              <w:rPr>
                <w:spacing w:val="-1"/>
              </w:rPr>
              <w:t>衡量沟通内容传达的速度</w:t>
            </w:r>
            <w:r>
              <w:rPr>
                <w:spacing w:val="4"/>
              </w:rPr>
              <w:t xml:space="preserve"> </w:t>
            </w:r>
            <w:r>
              <w:rPr>
                <w:spacing w:val="2"/>
              </w:rPr>
              <w:t>和反应时间</w:t>
            </w:r>
          </w:p>
        </w:tc>
      </w:tr>
      <w:tr>
        <w:trPr>
          <w:trHeight w:val="309" w:hRule="atLeast"/>
        </w:trPr>
        <w:tc>
          <w:tcPr>
            <w:tcW w:w="1323" w:type="dxa"/>
            <w:vAlign w:val="top"/>
            <w:vMerge w:val="continue"/>
            <w:tcBorders>
              <w:top w:val="nil"/>
              <w:bottom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2157" w:type="dxa"/>
            <w:vAlign w:val="top"/>
          </w:tcPr>
          <w:p>
            <w:pPr>
              <w:pStyle w:val="TableText"/>
              <w:ind w:left="264"/>
              <w:spacing w:before="84" w:line="219" w:lineRule="auto"/>
              <w:rPr/>
            </w:pPr>
            <w:r>
              <w:rPr>
                <w:spacing w:val="-10"/>
              </w:rPr>
              <w:t>M</w:t>
            </w:r>
            <w:r>
              <w:rPr>
                <w:spacing w:val="-31"/>
              </w:rPr>
              <w:t xml:space="preserve"> </w:t>
            </w:r>
            <w:r>
              <w:rPr>
                <w:spacing w:val="-10"/>
              </w:rPr>
              <w:t>5</w:t>
            </w:r>
            <w:r>
              <w:rPr>
                <w:spacing w:val="-12"/>
              </w:rPr>
              <w:t xml:space="preserve"> </w:t>
            </w:r>
            <w:r>
              <w:rPr>
                <w:spacing w:val="-10"/>
              </w:rPr>
              <w:t>:</w:t>
            </w:r>
            <w:r>
              <w:rPr>
                <w:spacing w:val="-27"/>
              </w:rPr>
              <w:t xml:space="preserve"> </w:t>
            </w:r>
            <w:r>
              <w:rPr>
                <w:spacing w:val="-10"/>
              </w:rPr>
              <w:t>响</w:t>
            </w:r>
            <w:r>
              <w:rPr>
                <w:spacing w:val="-34"/>
              </w:rPr>
              <w:t xml:space="preserve"> </w:t>
            </w:r>
            <w:r>
              <w:rPr>
                <w:spacing w:val="-10"/>
              </w:rPr>
              <w:t>应</w:t>
            </w:r>
            <w:r>
              <w:rPr>
                <w:spacing w:val="-33"/>
              </w:rPr>
              <w:t xml:space="preserve"> </w:t>
            </w:r>
            <w:r>
              <w:rPr>
                <w:spacing w:val="-10"/>
              </w:rPr>
              <w:t>率</w:t>
            </w:r>
          </w:p>
        </w:tc>
        <w:tc>
          <w:tcPr>
            <w:tcW w:w="2142" w:type="dxa"/>
            <w:vAlign w:val="top"/>
          </w:tcPr>
          <w:p>
            <w:pPr>
              <w:pStyle w:val="TableText"/>
              <w:ind w:left="267"/>
              <w:spacing w:before="84" w:line="219" w:lineRule="auto"/>
              <w:rPr/>
            </w:pPr>
            <w:r>
              <w:rPr>
                <w:spacing w:val="-1"/>
              </w:rPr>
              <w:t>衡量内容被反馈的比例</w:t>
            </w:r>
          </w:p>
        </w:tc>
      </w:tr>
      <w:tr>
        <w:trPr>
          <w:trHeight w:val="529" w:hRule="atLeast"/>
        </w:trPr>
        <w:tc>
          <w:tcPr>
            <w:tcW w:w="1323" w:type="dxa"/>
            <w:vAlign w:val="top"/>
            <w:vMerge w:val="continue"/>
            <w:tcBorders>
              <w:top w:val="nil"/>
              <w:bottom w:val="nil"/>
            </w:tcBorders>
          </w:tcPr>
          <w:p>
            <w:pPr>
              <w:rPr>
                <w:rFonts w:ascii="Arial"/>
                <w:sz w:val="21"/>
              </w:rPr>
            </w:pPr>
            <w:r/>
          </w:p>
        </w:tc>
        <w:tc>
          <w:tcPr>
            <w:tcW w:w="1967" w:type="dxa"/>
            <w:vAlign w:val="top"/>
            <w:vMerge w:val="restart"/>
            <w:tcBorders>
              <w:bottom w:val="nil"/>
            </w:tcBorders>
          </w:tcPr>
          <w:p>
            <w:pPr>
              <w:pStyle w:val="TableText"/>
              <w:ind w:left="261"/>
              <w:spacing w:before="75" w:line="219" w:lineRule="auto"/>
              <w:rPr/>
            </w:pPr>
            <w:r>
              <w:rPr>
                <w:spacing w:val="6"/>
              </w:rPr>
              <w:t>Q5:如何在业务、</w:t>
            </w:r>
            <w:r>
              <w:rPr/>
              <w:t>IT</w:t>
            </w:r>
            <w:r>
              <w:rPr>
                <w:spacing w:val="6"/>
              </w:rPr>
              <w:t>、</w:t>
            </w:r>
          </w:p>
          <w:p>
            <w:pPr>
              <w:pStyle w:val="TableText"/>
              <w:ind w:left="111"/>
              <w:spacing w:before="71" w:line="219" w:lineRule="auto"/>
              <w:rPr/>
            </w:pPr>
            <w:r>
              <w:rPr>
                <w:spacing w:val="-1"/>
              </w:rPr>
              <w:t>数据治理和高管之中实现</w:t>
            </w:r>
          </w:p>
          <w:p>
            <w:pPr>
              <w:pStyle w:val="TableText"/>
              <w:ind w:left="121" w:right="52" w:hanging="10"/>
              <w:spacing w:before="82" w:line="263" w:lineRule="auto"/>
              <w:rPr/>
            </w:pPr>
            <w:r>
              <w:rPr>
                <w:spacing w:val="-1"/>
              </w:rPr>
              <w:t>数据治理优先事项、方式和</w:t>
            </w:r>
            <w:r>
              <w:rPr>
                <w:spacing w:val="3"/>
              </w:rPr>
              <w:t xml:space="preserve"> </w:t>
            </w:r>
            <w:r>
              <w:rPr>
                <w:spacing w:val="-1"/>
              </w:rPr>
              <w:t>工作输出的双向沟通</w:t>
            </w:r>
          </w:p>
        </w:tc>
        <w:tc>
          <w:tcPr>
            <w:tcW w:w="2157" w:type="dxa"/>
            <w:vAlign w:val="top"/>
          </w:tcPr>
          <w:p>
            <w:pPr>
              <w:pStyle w:val="TableText"/>
              <w:ind w:left="264"/>
              <w:spacing w:before="195" w:line="220" w:lineRule="auto"/>
              <w:rPr/>
            </w:pPr>
            <w:r>
              <w:rPr>
                <w:spacing w:val="-1"/>
              </w:rPr>
              <w:t>M6:沟通记录</w:t>
            </w:r>
          </w:p>
        </w:tc>
        <w:tc>
          <w:tcPr>
            <w:tcW w:w="2142" w:type="dxa"/>
            <w:vAlign w:val="top"/>
          </w:tcPr>
          <w:p>
            <w:pPr>
              <w:pStyle w:val="TableText"/>
              <w:ind w:left="118" w:right="33" w:firstLine="159"/>
              <w:spacing w:before="64" w:line="270" w:lineRule="auto"/>
              <w:rPr/>
            </w:pPr>
            <w:r>
              <w:rPr>
                <w:spacing w:val="1"/>
              </w:rPr>
              <w:t>记录沟通的时间、方式、内</w:t>
            </w:r>
            <w:r>
              <w:rPr>
                <w:spacing w:val="7"/>
              </w:rPr>
              <w:t xml:space="preserve"> </w:t>
            </w:r>
            <w:r>
              <w:rPr>
                <w:spacing w:val="-1"/>
              </w:rPr>
              <w:t>容等，做到沟通可追溯</w:t>
            </w:r>
          </w:p>
        </w:tc>
      </w:tr>
      <w:tr>
        <w:trPr>
          <w:trHeight w:val="504" w:hRule="atLeast"/>
        </w:trPr>
        <w:tc>
          <w:tcPr>
            <w:tcW w:w="1323" w:type="dxa"/>
            <w:vAlign w:val="top"/>
            <w:vMerge w:val="continue"/>
            <w:tcBorders>
              <w:top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2157" w:type="dxa"/>
            <w:vAlign w:val="top"/>
          </w:tcPr>
          <w:p>
            <w:pPr>
              <w:pStyle w:val="TableText"/>
              <w:ind w:left="264"/>
              <w:spacing w:before="186" w:line="219" w:lineRule="auto"/>
              <w:rPr/>
            </w:pPr>
            <w:r>
              <w:rPr>
                <w:spacing w:val="26"/>
              </w:rPr>
              <w:t>M7:改进措施</w:t>
            </w:r>
          </w:p>
        </w:tc>
        <w:tc>
          <w:tcPr>
            <w:tcW w:w="2142" w:type="dxa"/>
            <w:vAlign w:val="top"/>
          </w:tcPr>
          <w:p>
            <w:pPr>
              <w:pStyle w:val="TableText"/>
              <w:ind w:left="107" w:right="79" w:firstLine="149"/>
              <w:spacing w:before="56" w:line="269" w:lineRule="auto"/>
              <w:rPr/>
            </w:pPr>
            <w:r>
              <w:rPr>
                <w:spacing w:val="-1"/>
              </w:rPr>
              <w:t>对沟通战略进行评审，制订</w:t>
            </w:r>
            <w:r>
              <w:rPr>
                <w:spacing w:val="5"/>
              </w:rPr>
              <w:t xml:space="preserve"> </w:t>
            </w:r>
            <w:r>
              <w:rPr>
                <w:spacing w:val="-1"/>
              </w:rPr>
              <w:t>沟通战略改进计划</w:t>
            </w:r>
          </w:p>
        </w:tc>
      </w:tr>
    </w:tbl>
    <w:p>
      <w:pPr>
        <w:ind w:left="713"/>
        <w:spacing w:before="207" w:line="492" w:lineRule="exact"/>
        <w:rPr>
          <w:rFonts w:ascii="YouYuan" w:hAnsi="YouYuan" w:eastAsia="YouYuan" w:cs="YouYuan"/>
          <w:sz w:val="22"/>
          <w:szCs w:val="22"/>
        </w:rPr>
      </w:pPr>
      <w:r>
        <w:rPr>
          <w:rFonts w:ascii="YouYuan" w:hAnsi="YouYuan" w:eastAsia="YouYuan" w:cs="YouYuan"/>
          <w:sz w:val="22"/>
          <w:szCs w:val="22"/>
          <w:b/>
          <w:bCs/>
          <w:spacing w:val="-5"/>
          <w:position w:val="20"/>
        </w:rPr>
        <w:t>3.</w:t>
      </w:r>
      <w:r>
        <w:rPr>
          <w:rFonts w:ascii="YouYuan" w:hAnsi="YouYuan" w:eastAsia="YouYuan" w:cs="YouYuan"/>
          <w:sz w:val="22"/>
          <w:szCs w:val="22"/>
          <w:spacing w:val="-10"/>
          <w:position w:val="20"/>
        </w:rPr>
        <w:t xml:space="preserve"> </w:t>
      </w:r>
      <w:r>
        <w:rPr>
          <w:rFonts w:ascii="YouYuan" w:hAnsi="YouYuan" w:eastAsia="YouYuan" w:cs="YouYuan"/>
          <w:sz w:val="22"/>
          <w:szCs w:val="22"/>
          <w:b/>
          <w:bCs/>
          <w:spacing w:val="-5"/>
          <w:position w:val="20"/>
        </w:rPr>
        <w:t>成熟度等级介绍</w:t>
      </w:r>
    </w:p>
    <w:p>
      <w:pPr>
        <w:ind w:left="71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4"/>
        </w:rPr>
        <w:t>Level  1:</w:t>
      </w:r>
      <w:r>
        <w:rPr>
          <w:rFonts w:ascii="Times New Roman" w:hAnsi="Times New Roman" w:eastAsia="Times New Roman" w:cs="Times New Roman"/>
          <w:sz w:val="22"/>
          <w:szCs w:val="22"/>
          <w:b/>
          <w:bCs/>
          <w:spacing w:val="33"/>
        </w:rPr>
        <w:t xml:space="preserve"> </w:t>
      </w:r>
      <w:r>
        <w:rPr>
          <w:rFonts w:ascii="SimHei" w:hAnsi="SimHei" w:eastAsia="SimHei" w:cs="SimHei"/>
          <w:sz w:val="22"/>
          <w:szCs w:val="22"/>
          <w:b/>
          <w:bCs/>
          <w:spacing w:val="-4"/>
        </w:rPr>
        <w:t>初始级</w:t>
      </w:r>
    </w:p>
    <w:p>
      <w:pPr>
        <w:spacing w:line="128" w:lineRule="exact"/>
        <w:rPr/>
      </w:pPr>
      <w:r/>
    </w:p>
    <w:tbl>
      <w:tblPr>
        <w:tblStyle w:val="TableNormal"/>
        <w:tblW w:w="7590"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30"/>
      </w:tblGrid>
      <w:tr>
        <w:trPr>
          <w:trHeight w:val="310" w:hRule="atLeast"/>
        </w:trPr>
        <w:tc>
          <w:tcPr>
            <w:tcW w:w="724" w:type="dxa"/>
            <w:vAlign w:val="top"/>
          </w:tcPr>
          <w:p>
            <w:pPr>
              <w:pStyle w:val="TableText"/>
              <w:ind w:left="205"/>
              <w:spacing w:before="81" w:line="221" w:lineRule="auto"/>
              <w:rPr/>
            </w:pPr>
            <w:r>
              <w:rPr>
                <w:spacing w:val="-2"/>
              </w:rPr>
              <w:t>序号</w:t>
            </w:r>
          </w:p>
        </w:tc>
        <w:tc>
          <w:tcPr>
            <w:tcW w:w="3136"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5"/>
              <w:spacing w:before="81" w:line="220" w:lineRule="auto"/>
              <w:rPr/>
            </w:pPr>
            <w:r>
              <w:rPr>
                <w:spacing w:val="-5"/>
              </w:rPr>
              <w:t>实</w:t>
            </w:r>
            <w:r>
              <w:rPr>
                <w:spacing w:val="6"/>
              </w:rPr>
              <w:t xml:space="preserve">    </w:t>
            </w:r>
            <w:r>
              <w:rPr>
                <w:spacing w:val="-5"/>
              </w:rPr>
              <w:t>例</w:t>
            </w:r>
          </w:p>
        </w:tc>
      </w:tr>
      <w:tr>
        <w:trPr>
          <w:trHeight w:val="319" w:hRule="atLeast"/>
        </w:trPr>
        <w:tc>
          <w:tcPr>
            <w:tcW w:w="724" w:type="dxa"/>
            <w:vAlign w:val="top"/>
          </w:tcPr>
          <w:p>
            <w:pPr>
              <w:pStyle w:val="TableText"/>
              <w:ind w:left="235"/>
              <w:spacing w:before="129" w:line="184" w:lineRule="auto"/>
              <w:rPr/>
            </w:pPr>
            <w:r>
              <w:rPr>
                <w:spacing w:val="-4"/>
              </w:rPr>
              <w:t>1.1</w:t>
            </w:r>
          </w:p>
        </w:tc>
        <w:tc>
          <w:tcPr>
            <w:tcW w:w="3136" w:type="dxa"/>
            <w:vAlign w:val="top"/>
          </w:tcPr>
          <w:p>
            <w:pPr>
              <w:pStyle w:val="TableText"/>
              <w:ind w:left="261"/>
              <w:spacing w:before="91" w:line="219" w:lineRule="auto"/>
              <w:rPr/>
            </w:pPr>
            <w:r>
              <w:rPr/>
              <w:t>因数据治理项目开展临时的沟通</w:t>
            </w:r>
          </w:p>
        </w:tc>
        <w:tc>
          <w:tcPr>
            <w:tcW w:w="3730" w:type="dxa"/>
            <w:vAlign w:val="top"/>
          </w:tcPr>
          <w:p>
            <w:pPr>
              <w:pStyle w:val="TableText"/>
              <w:ind w:left="275"/>
              <w:spacing w:before="89" w:line="218" w:lineRule="auto"/>
              <w:rPr/>
            </w:pPr>
            <w:r>
              <w:rPr>
                <w:spacing w:val="1"/>
              </w:rPr>
              <w:t>●通告、邮件、会议记录或网页门户</w:t>
            </w:r>
          </w:p>
        </w:tc>
      </w:tr>
    </w:tbl>
    <w:p>
      <w:pPr>
        <w:ind w:left="60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50" w:right="25" w:firstLine="360"/>
        <w:spacing w:before="58" w:line="231" w:lineRule="auto"/>
        <w:rPr>
          <w:rFonts w:ascii="SimSun" w:hAnsi="SimSun" w:eastAsia="SimSun" w:cs="SimSun"/>
          <w:sz w:val="22"/>
          <w:szCs w:val="22"/>
        </w:rPr>
      </w:pPr>
      <w:r>
        <w:rPr>
          <w:rFonts w:ascii="SimSun" w:hAnsi="SimSun" w:eastAsia="SimSun" w:cs="SimSun"/>
          <w:sz w:val="22"/>
          <w:szCs w:val="22"/>
          <w:spacing w:val="-8"/>
        </w:rPr>
        <w:t>在不同的组织区域和不同的项目，沟通的级别和频率会有很大的差异。沟通策</w:t>
      </w:r>
      <w:r>
        <w:rPr>
          <w:rFonts w:ascii="SimSun" w:hAnsi="SimSun" w:eastAsia="SimSun" w:cs="SimSun"/>
          <w:sz w:val="22"/>
          <w:szCs w:val="22"/>
        </w:rPr>
        <w:t xml:space="preserve"> </w:t>
      </w:r>
      <w:r>
        <w:rPr>
          <w:rFonts w:ascii="SimSun" w:hAnsi="SimSun" w:eastAsia="SimSun" w:cs="SimSun"/>
          <w:sz w:val="22"/>
          <w:szCs w:val="22"/>
          <w:spacing w:val="-12"/>
        </w:rPr>
        <w:t>略不够健全，往往会是临时的。</w:t>
      </w:r>
    </w:p>
    <w:p>
      <w:pPr>
        <w:ind w:left="710"/>
        <w:spacing w:before="46"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7"/>
        </w:rPr>
        <w:t xml:space="preserve"> </w:t>
      </w: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spacing w:val="49"/>
          <w:w w:val="101"/>
        </w:rPr>
        <w:t xml:space="preserve"> </w:t>
      </w:r>
      <w:r>
        <w:rPr>
          <w:rFonts w:ascii="SimHei" w:hAnsi="SimHei" w:eastAsia="SimHei" w:cs="SimHei"/>
          <w:sz w:val="22"/>
          <w:szCs w:val="22"/>
          <w:b/>
          <w:bCs/>
          <w:spacing w:val="-5"/>
        </w:rPr>
        <w:t>管理级</w:t>
      </w:r>
    </w:p>
    <w:p>
      <w:pPr>
        <w:spacing w:line="117" w:lineRule="exact"/>
        <w:rPr/>
      </w:pPr>
      <w:r/>
    </w:p>
    <w:tbl>
      <w:tblPr>
        <w:tblStyle w:val="TableNormal"/>
        <w:tblW w:w="7580"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30"/>
      </w:tblGrid>
      <w:tr>
        <w:trPr>
          <w:trHeight w:val="333" w:hRule="atLeast"/>
        </w:trPr>
        <w:tc>
          <w:tcPr>
            <w:tcW w:w="704" w:type="dxa"/>
            <w:vAlign w:val="top"/>
          </w:tcPr>
          <w:p>
            <w:pPr>
              <w:pStyle w:val="TableText"/>
              <w:ind w:left="195"/>
              <w:spacing w:before="92" w:line="221" w:lineRule="auto"/>
              <w:rPr/>
            </w:pPr>
            <w:r>
              <w:rPr>
                <w:spacing w:val="-2"/>
              </w:rPr>
              <w:t>序号</w:t>
            </w:r>
          </w:p>
        </w:tc>
        <w:tc>
          <w:tcPr>
            <w:tcW w:w="3146" w:type="dxa"/>
            <w:vAlign w:val="top"/>
          </w:tcPr>
          <w:p>
            <w:pPr>
              <w:pStyle w:val="TableText"/>
              <w:ind w:left="116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4"/>
              <w:spacing w:before="91" w:line="220" w:lineRule="auto"/>
              <w:rPr/>
            </w:pPr>
            <w:r>
              <w:rPr>
                <w:spacing w:val="-5"/>
              </w:rPr>
              <w:t>实</w:t>
            </w:r>
            <w:r>
              <w:rPr>
                <w:spacing w:val="1"/>
              </w:rPr>
              <w:t xml:space="preserve">   </w:t>
            </w:r>
            <w:r>
              <w:rPr>
                <w:spacing w:val="-5"/>
              </w:rPr>
              <w:t>例</w:t>
            </w:r>
          </w:p>
        </w:tc>
      </w:tr>
      <w:tr>
        <w:trPr>
          <w:trHeight w:val="512" w:hRule="atLeast"/>
        </w:trPr>
        <w:tc>
          <w:tcPr>
            <w:tcW w:w="704" w:type="dxa"/>
            <w:vAlign w:val="top"/>
            <w:tcBorders>
              <w:bottom w:val="single" w:color="000000" w:sz="2" w:space="0"/>
            </w:tcBorders>
          </w:tcPr>
          <w:p>
            <w:pPr>
              <w:pStyle w:val="TableText"/>
              <w:ind w:left="224"/>
              <w:spacing w:before="216" w:line="184" w:lineRule="auto"/>
              <w:rPr/>
            </w:pPr>
            <w:r>
              <w:rPr>
                <w:spacing w:val="-2"/>
              </w:rPr>
              <w:t>2.1</w:t>
            </w:r>
          </w:p>
        </w:tc>
        <w:tc>
          <w:tcPr>
            <w:tcW w:w="3146" w:type="dxa"/>
            <w:vAlign w:val="top"/>
            <w:tcBorders>
              <w:bottom w:val="single" w:color="000000" w:sz="2" w:space="0"/>
            </w:tcBorders>
          </w:tcPr>
          <w:p>
            <w:pPr>
              <w:pStyle w:val="TableText"/>
              <w:ind w:left="120" w:right="182" w:firstLine="140"/>
              <w:spacing w:before="37" w:line="282" w:lineRule="auto"/>
              <w:rPr/>
            </w:pPr>
            <w:r>
              <w:rPr>
                <w:spacing w:val="-1"/>
              </w:rPr>
              <w:t>数据治理沟通计划得到了定义、记录和安</w:t>
            </w:r>
            <w:r>
              <w:rPr>
                <w:spacing w:val="9"/>
              </w:rPr>
              <w:t xml:space="preserve"> </w:t>
            </w:r>
            <w:r>
              <w:rPr>
                <w:spacing w:val="-1"/>
              </w:rPr>
              <w:t>排，并获得利益相关者的认可</w:t>
            </w:r>
          </w:p>
        </w:tc>
        <w:tc>
          <w:tcPr>
            <w:tcW w:w="3730" w:type="dxa"/>
            <w:vAlign w:val="top"/>
            <w:tcBorders>
              <w:bottom w:val="single" w:color="000000" w:sz="2" w:space="0"/>
            </w:tcBorders>
          </w:tcPr>
          <w:p>
            <w:pPr>
              <w:pStyle w:val="TableText"/>
              <w:ind w:left="274"/>
              <w:spacing w:before="48" w:line="219" w:lineRule="auto"/>
              <w:rPr/>
            </w:pPr>
            <w:r>
              <w:rPr>
                <w:spacing w:val="1"/>
              </w:rPr>
              <w:t>●数据治理沟通计划</w:t>
            </w:r>
          </w:p>
          <w:p>
            <w:pPr>
              <w:pStyle w:val="TableText"/>
              <w:ind w:left="274"/>
              <w:spacing w:before="82" w:line="219" w:lineRule="auto"/>
              <w:rPr/>
            </w:pPr>
            <w:r>
              <w:rPr/>
              <w:t>●数据治理沟通计划得到评审和授权的记录</w:t>
            </w:r>
          </w:p>
        </w:tc>
      </w:tr>
    </w:tbl>
    <w:p>
      <w:pPr>
        <w:pStyle w:val="BodyText"/>
        <w:rPr/>
      </w:pPr>
      <w:r/>
    </w:p>
    <w:p>
      <w:pPr>
        <w:sectPr>
          <w:footerReference w:type="default" r:id="rId183"/>
          <w:pgSz w:w="8870" w:h="13400"/>
          <w:pgMar w:top="400" w:right="474" w:bottom="514" w:left="449" w:header="0" w:footer="296" w:gutter="0"/>
        </w:sectPr>
        <w:rPr/>
      </w:pPr>
    </w:p>
    <w:p>
      <w:pPr>
        <w:ind w:left="5513"/>
        <w:spacing w:before="204" w:line="219" w:lineRule="auto"/>
        <w:rPr>
          <w:rFonts w:ascii="SimSun" w:hAnsi="SimSun" w:eastAsia="SimSun" w:cs="SimSun"/>
          <w:sz w:val="21"/>
          <w:szCs w:val="21"/>
        </w:rPr>
      </w:pPr>
      <w:r>
        <w:rPr>
          <w:rFonts w:ascii="SimSun" w:hAnsi="SimSun" w:eastAsia="SimSun" w:cs="SimSun"/>
          <w:sz w:val="21"/>
          <w:szCs w:val="21"/>
          <w:b/>
          <w:bCs/>
          <w:spacing w:val="-3"/>
        </w:rPr>
        <w:t>第4章■云端数据战略■</w:t>
      </w:r>
    </w:p>
    <w:p>
      <w:pPr>
        <w:pStyle w:val="BodyText"/>
        <w:spacing w:line="255" w:lineRule="auto"/>
        <w:rPr/>
      </w:pPr>
      <w:r/>
    </w:p>
    <w:p>
      <w:pPr>
        <w:ind w:left="31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06" w:firstLine="419"/>
        <w:spacing w:before="49" w:line="262" w:lineRule="auto"/>
        <w:rPr>
          <w:rFonts w:ascii="SimSun" w:hAnsi="SimSun" w:eastAsia="SimSun" w:cs="SimSun"/>
          <w:sz w:val="21"/>
          <w:szCs w:val="21"/>
        </w:rPr>
      </w:pPr>
      <w:r>
        <w:rPr>
          <w:rFonts w:ascii="SimSun" w:hAnsi="SimSun" w:eastAsia="SimSun" w:cs="SimSun"/>
          <w:sz w:val="21"/>
          <w:szCs w:val="21"/>
          <w:spacing w:val="1"/>
        </w:rPr>
        <w:t>组织对数据治理沟通进行了策划，并确定作为数据治理活动的正式沟通渠道。</w:t>
      </w:r>
      <w:r>
        <w:rPr>
          <w:rFonts w:ascii="SimSun" w:hAnsi="SimSun" w:eastAsia="SimSun" w:cs="SimSun"/>
          <w:sz w:val="21"/>
          <w:szCs w:val="21"/>
        </w:rPr>
        <w:t xml:space="preserve">  </w:t>
      </w:r>
      <w:r>
        <w:rPr>
          <w:rFonts w:ascii="SimSun" w:hAnsi="SimSun" w:eastAsia="SimSun" w:cs="SimSun"/>
          <w:sz w:val="21"/>
          <w:szCs w:val="21"/>
          <w:spacing w:val="-2"/>
        </w:rPr>
        <w:t>沟通战略的内容包括沟通的主题(如数据质量)、类型(如剖析过程、数据质量方针)、</w:t>
      </w:r>
      <w:r>
        <w:rPr>
          <w:rFonts w:ascii="SimSun" w:hAnsi="SimSun" w:eastAsia="SimSun" w:cs="SimSun"/>
          <w:sz w:val="21"/>
          <w:szCs w:val="21"/>
          <w:spacing w:val="11"/>
        </w:rPr>
        <w:t xml:space="preserve"> </w:t>
      </w:r>
      <w:r>
        <w:rPr>
          <w:rFonts w:ascii="SimSun" w:hAnsi="SimSun" w:eastAsia="SimSun" w:cs="SimSun"/>
          <w:sz w:val="21"/>
          <w:szCs w:val="21"/>
          <w:spacing w:val="10"/>
        </w:rPr>
        <w:t>受众(如数据管理员)、频率(如每季度、由事件决定)、渠道(公告板、邮件、书</w:t>
      </w:r>
      <w:r>
        <w:rPr>
          <w:rFonts w:ascii="SimSun" w:hAnsi="SimSun" w:eastAsia="SimSun" w:cs="SimSun"/>
          <w:sz w:val="21"/>
          <w:szCs w:val="21"/>
          <w:spacing w:val="17"/>
        </w:rPr>
        <w:t xml:space="preserve"> </w:t>
      </w:r>
      <w:r>
        <w:rPr>
          <w:rFonts w:ascii="SimSun" w:hAnsi="SimSun" w:eastAsia="SimSun" w:cs="SimSun"/>
          <w:sz w:val="21"/>
          <w:szCs w:val="21"/>
          <w:spacing w:val="4"/>
        </w:rPr>
        <w:t>面通知)、确认方式(需要反馈、不需要反馈)等。制订的沟通战略应该得到管理者 </w:t>
      </w:r>
      <w:r>
        <w:rPr>
          <w:rFonts w:ascii="SimSun" w:hAnsi="SimSun" w:eastAsia="SimSun" w:cs="SimSun"/>
          <w:sz w:val="21"/>
          <w:szCs w:val="21"/>
          <w:spacing w:val="-3"/>
        </w:rPr>
        <w:t>批准，且获得数据利益相关者的认可。</w:t>
      </w:r>
    </w:p>
    <w:p>
      <w:pPr>
        <w:spacing w:line="137" w:lineRule="exact"/>
        <w:rPr/>
      </w:pPr>
      <w:r/>
    </w:p>
    <w:tbl>
      <w:tblPr>
        <w:tblStyle w:val="TableNormal"/>
        <w:tblW w:w="758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3" w:hRule="atLeast"/>
        </w:trPr>
        <w:tc>
          <w:tcPr>
            <w:tcW w:w="704" w:type="dxa"/>
            <w:vAlign w:val="top"/>
          </w:tcPr>
          <w:p>
            <w:pPr>
              <w:pStyle w:val="TableText"/>
              <w:ind w:left="195"/>
              <w:spacing w:before="81"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81" w:line="220" w:lineRule="auto"/>
              <w:rPr/>
            </w:pPr>
            <w:r>
              <w:rPr>
                <w:spacing w:val="-5"/>
              </w:rPr>
              <w:t>实</w:t>
            </w:r>
            <w:r>
              <w:rPr>
                <w:spacing w:val="1"/>
              </w:rPr>
              <w:t xml:space="preserve">   </w:t>
            </w:r>
            <w:r>
              <w:rPr>
                <w:spacing w:val="-5"/>
              </w:rPr>
              <w:t>例</w:t>
            </w:r>
          </w:p>
        </w:tc>
      </w:tr>
      <w:tr>
        <w:trPr>
          <w:trHeight w:val="1037" w:hRule="atLeast"/>
        </w:trPr>
        <w:tc>
          <w:tcPr>
            <w:tcW w:w="704" w:type="dxa"/>
            <w:vAlign w:val="top"/>
          </w:tcPr>
          <w:p>
            <w:pPr>
              <w:spacing w:line="435" w:lineRule="auto"/>
              <w:rPr>
                <w:rFonts w:ascii="Arial"/>
                <w:sz w:val="21"/>
              </w:rPr>
            </w:pPr>
            <w:r/>
          </w:p>
          <w:p>
            <w:pPr>
              <w:pStyle w:val="TableText"/>
              <w:ind w:left="224"/>
              <w:spacing w:before="49" w:line="183" w:lineRule="auto"/>
              <w:rPr/>
            </w:pPr>
            <w:r>
              <w:rPr>
                <w:spacing w:val="-2"/>
              </w:rPr>
              <w:t>2.2</w:t>
            </w:r>
          </w:p>
        </w:tc>
        <w:tc>
          <w:tcPr>
            <w:tcW w:w="3135" w:type="dxa"/>
            <w:vAlign w:val="top"/>
          </w:tcPr>
          <w:p>
            <w:pPr>
              <w:spacing w:line="266" w:lineRule="auto"/>
              <w:rPr>
                <w:rFonts w:ascii="Arial"/>
                <w:sz w:val="21"/>
              </w:rPr>
            </w:pPr>
            <w:r/>
          </w:p>
          <w:p>
            <w:pPr>
              <w:pStyle w:val="TableText"/>
              <w:ind w:left="111" w:right="18" w:firstLine="149"/>
              <w:spacing w:before="49" w:line="264" w:lineRule="auto"/>
              <w:rPr/>
            </w:pPr>
            <w:r>
              <w:rPr>
                <w:spacing w:val="-1"/>
              </w:rPr>
              <w:t>对数据治理的标准、策略和过程进行沟通，</w:t>
            </w:r>
            <w:r>
              <w:rPr>
                <w:spacing w:val="13"/>
              </w:rPr>
              <w:t xml:space="preserve"> </w:t>
            </w:r>
            <w:r>
              <w:rPr>
                <w:spacing w:val="-1"/>
              </w:rPr>
              <w:t>并基于反馈进行调整</w:t>
            </w:r>
          </w:p>
        </w:tc>
        <w:tc>
          <w:tcPr>
            <w:tcW w:w="3750" w:type="dxa"/>
            <w:vAlign w:val="top"/>
          </w:tcPr>
          <w:p>
            <w:pPr>
              <w:pStyle w:val="TableText"/>
              <w:ind w:left="276"/>
              <w:spacing w:before="48" w:line="220" w:lineRule="auto"/>
              <w:rPr/>
            </w:pPr>
            <w:r>
              <w:rPr>
                <w:spacing w:val="1"/>
              </w:rPr>
              <w:t>●沟通方针</w:t>
            </w:r>
          </w:p>
          <w:p>
            <w:pPr>
              <w:pStyle w:val="TableText"/>
              <w:ind w:left="276"/>
              <w:spacing w:before="89" w:line="218" w:lineRule="auto"/>
              <w:rPr/>
            </w:pPr>
            <w:r>
              <w:rPr>
                <w:spacing w:val="1"/>
              </w:rPr>
              <w:t>●通告、邮件、会议记录或门户</w:t>
            </w:r>
          </w:p>
          <w:p>
            <w:pPr>
              <w:pStyle w:val="TableText"/>
              <w:ind w:left="276"/>
              <w:spacing w:before="84" w:line="220" w:lineRule="auto"/>
              <w:rPr/>
            </w:pPr>
            <w:r>
              <w:rPr>
                <w:spacing w:val="1"/>
              </w:rPr>
              <w:t>●沟通战略</w:t>
            </w:r>
          </w:p>
          <w:p>
            <w:pPr>
              <w:pStyle w:val="TableText"/>
              <w:ind w:left="276"/>
              <w:spacing w:before="71" w:line="220" w:lineRule="auto"/>
              <w:rPr/>
            </w:pPr>
            <w:r>
              <w:rPr>
                <w:spacing w:val="2"/>
              </w:rPr>
              <w:t>●沟通实例</w:t>
            </w:r>
          </w:p>
        </w:tc>
      </w:tr>
    </w:tbl>
    <w:p>
      <w:pPr>
        <w:ind w:left="314"/>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right="280" w:firstLine="419"/>
        <w:spacing w:before="59" w:line="259" w:lineRule="auto"/>
        <w:rPr>
          <w:rFonts w:ascii="SimSun" w:hAnsi="SimSun" w:eastAsia="SimSun" w:cs="SimSun"/>
          <w:sz w:val="21"/>
          <w:szCs w:val="21"/>
        </w:rPr>
      </w:pPr>
      <w:r>
        <w:rPr>
          <w:rFonts w:ascii="SimSun" w:hAnsi="SimSun" w:eastAsia="SimSun" w:cs="SimSun"/>
          <w:sz w:val="21"/>
          <w:szCs w:val="21"/>
          <w:spacing w:val="2"/>
        </w:rPr>
        <w:t>沟通的目的是保证策略、决议等得到有效传达、理解。数据治理的标准、策略</w:t>
      </w:r>
      <w:r>
        <w:rPr>
          <w:rFonts w:ascii="SimSun" w:hAnsi="SimSun" w:eastAsia="SimSun" w:cs="SimSun"/>
          <w:sz w:val="21"/>
          <w:szCs w:val="21"/>
        </w:rPr>
        <w:t xml:space="preserve"> </w:t>
      </w:r>
      <w:r>
        <w:rPr>
          <w:rFonts w:ascii="SimSun" w:hAnsi="SimSun" w:eastAsia="SimSun" w:cs="SimSun"/>
          <w:sz w:val="21"/>
          <w:szCs w:val="21"/>
          <w:spacing w:val="1"/>
        </w:rPr>
        <w:t>和过程是指导开展数据治理的纲领，为了保证数据治理相关者能够获取并理解数据</w:t>
      </w:r>
      <w:r>
        <w:rPr>
          <w:rFonts w:ascii="SimSun" w:hAnsi="SimSun" w:eastAsia="SimSun" w:cs="SimSun"/>
          <w:sz w:val="21"/>
          <w:szCs w:val="21"/>
          <w:spacing w:val="15"/>
        </w:rPr>
        <w:t xml:space="preserve"> </w:t>
      </w:r>
      <w:r>
        <w:rPr>
          <w:rFonts w:ascii="SimSun" w:hAnsi="SimSun" w:eastAsia="SimSun" w:cs="SimSun"/>
          <w:sz w:val="21"/>
          <w:szCs w:val="21"/>
          <w:spacing w:val="2"/>
        </w:rPr>
        <w:t>治理策略，应当进行必要的沟通，并基于反馈对治理策略进行调整。沟通的</w:t>
      </w:r>
      <w:r>
        <w:rPr>
          <w:rFonts w:ascii="SimSun" w:hAnsi="SimSun" w:eastAsia="SimSun" w:cs="SimSun"/>
          <w:sz w:val="21"/>
          <w:szCs w:val="21"/>
          <w:spacing w:val="1"/>
        </w:rPr>
        <w:t>渠道是</w:t>
      </w:r>
      <w:r>
        <w:rPr>
          <w:rFonts w:ascii="SimSun" w:hAnsi="SimSun" w:eastAsia="SimSun" w:cs="SimSun"/>
          <w:sz w:val="21"/>
          <w:szCs w:val="21"/>
        </w:rPr>
        <w:t xml:space="preserve"> </w:t>
      </w:r>
      <w:r>
        <w:rPr>
          <w:rFonts w:ascii="SimSun" w:hAnsi="SimSun" w:eastAsia="SimSun" w:cs="SimSun"/>
          <w:sz w:val="21"/>
          <w:szCs w:val="21"/>
          <w:spacing w:val="-3"/>
        </w:rPr>
        <w:t>多样的，可以是通告、邮件、会议记录或门户等。</w:t>
      </w:r>
    </w:p>
    <w:p>
      <w:pPr>
        <w:ind w:left="419"/>
        <w:spacing w:before="69"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8"/>
        </w:rPr>
        <w:t xml:space="preserve">  </w:t>
      </w: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b/>
          <w:bCs/>
          <w:spacing w:val="33"/>
        </w:rPr>
        <w:t xml:space="preserve"> </w:t>
      </w:r>
      <w:r>
        <w:rPr>
          <w:rFonts w:ascii="SimHei" w:hAnsi="SimHei" w:eastAsia="SimHei" w:cs="SimHei"/>
          <w:sz w:val="21"/>
          <w:szCs w:val="21"/>
          <w:b/>
          <w:bCs/>
          <w:spacing w:val="-2"/>
        </w:rPr>
        <w:t>定义级</w:t>
      </w:r>
    </w:p>
    <w:p>
      <w:pPr>
        <w:spacing w:line="110" w:lineRule="exact"/>
        <w:rPr/>
      </w:pPr>
      <w:r/>
    </w:p>
    <w:tbl>
      <w:tblPr>
        <w:tblStyle w:val="TableNormal"/>
        <w:tblW w:w="758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798" w:hRule="atLeast"/>
        </w:trPr>
        <w:tc>
          <w:tcPr>
            <w:tcW w:w="704" w:type="dxa"/>
            <w:vAlign w:val="top"/>
          </w:tcPr>
          <w:p>
            <w:pPr>
              <w:spacing w:line="306" w:lineRule="auto"/>
              <w:rPr>
                <w:rFonts w:ascii="Arial"/>
                <w:sz w:val="21"/>
              </w:rPr>
            </w:pPr>
            <w:r/>
          </w:p>
          <w:p>
            <w:pPr>
              <w:pStyle w:val="TableText"/>
              <w:ind w:left="224"/>
              <w:spacing w:before="52" w:line="184" w:lineRule="auto"/>
              <w:rPr>
                <w:sz w:val="16"/>
                <w:szCs w:val="16"/>
              </w:rPr>
            </w:pPr>
            <w:r>
              <w:rPr>
                <w:sz w:val="16"/>
                <w:szCs w:val="16"/>
                <w:spacing w:val="-3"/>
              </w:rPr>
              <w:t>3.1</w:t>
            </w:r>
          </w:p>
        </w:tc>
        <w:tc>
          <w:tcPr>
            <w:tcW w:w="3135" w:type="dxa"/>
            <w:vAlign w:val="top"/>
          </w:tcPr>
          <w:p>
            <w:pPr>
              <w:pStyle w:val="TableText"/>
              <w:ind w:left="40" w:firstLine="219"/>
              <w:spacing w:before="50" w:line="281" w:lineRule="auto"/>
              <w:jc w:val="both"/>
              <w:rPr>
                <w:sz w:val="16"/>
                <w:szCs w:val="16"/>
              </w:rPr>
            </w:pPr>
            <w:r>
              <w:rPr>
                <w:sz w:val="16"/>
                <w:szCs w:val="16"/>
                <w:spacing w:val="-1"/>
              </w:rPr>
              <w:t>沟通方针确定了对不同类型的数据治理沟</w:t>
            </w:r>
            <w:r>
              <w:rPr>
                <w:sz w:val="16"/>
                <w:szCs w:val="16"/>
                <w:spacing w:val="1"/>
              </w:rPr>
              <w:t xml:space="preserve"> </w:t>
            </w:r>
            <w:r>
              <w:rPr>
                <w:sz w:val="16"/>
                <w:szCs w:val="16"/>
                <w:spacing w:val="-1"/>
              </w:rPr>
              <w:t>通进行传播或公告的标准，定义了沟通渠道</w:t>
            </w:r>
            <w:r>
              <w:rPr>
                <w:sz w:val="16"/>
                <w:szCs w:val="16"/>
                <w:spacing w:val="2"/>
              </w:rPr>
              <w:t xml:space="preserve"> </w:t>
            </w:r>
            <w:r>
              <w:rPr>
                <w:sz w:val="16"/>
                <w:szCs w:val="16"/>
                <w:spacing w:val="25"/>
              </w:rPr>
              <w:t>策略</w:t>
            </w:r>
          </w:p>
        </w:tc>
        <w:tc>
          <w:tcPr>
            <w:tcW w:w="3750" w:type="dxa"/>
            <w:vAlign w:val="top"/>
          </w:tcPr>
          <w:p>
            <w:pPr>
              <w:pStyle w:val="TableText"/>
              <w:ind w:left="275"/>
              <w:spacing w:before="60" w:line="220" w:lineRule="auto"/>
              <w:rPr>
                <w:sz w:val="16"/>
                <w:szCs w:val="16"/>
              </w:rPr>
            </w:pPr>
            <w:r>
              <w:rPr>
                <w:sz w:val="16"/>
                <w:szCs w:val="16"/>
                <w:spacing w:val="1"/>
              </w:rPr>
              <w:t>●沟通方针</w:t>
            </w:r>
          </w:p>
          <w:p>
            <w:pPr>
              <w:pStyle w:val="TableText"/>
              <w:ind w:left="275"/>
              <w:spacing w:before="67" w:line="218" w:lineRule="auto"/>
              <w:rPr>
                <w:sz w:val="16"/>
                <w:szCs w:val="16"/>
              </w:rPr>
            </w:pPr>
            <w:r>
              <w:rPr>
                <w:sz w:val="16"/>
                <w:szCs w:val="16"/>
                <w:spacing w:val="1"/>
              </w:rPr>
              <w:t>●通告、邮件、会议记录或门户</w:t>
            </w:r>
          </w:p>
          <w:p>
            <w:pPr>
              <w:pStyle w:val="TableText"/>
              <w:ind w:left="275"/>
              <w:spacing w:before="82" w:line="219" w:lineRule="auto"/>
              <w:rPr>
                <w:sz w:val="16"/>
                <w:szCs w:val="16"/>
              </w:rPr>
            </w:pPr>
            <w:r>
              <w:rPr>
                <w:sz w:val="16"/>
                <w:szCs w:val="16"/>
              </w:rPr>
              <w:t>●沟通渠道策略</w:t>
            </w:r>
          </w:p>
        </w:tc>
      </w:tr>
    </w:tbl>
    <w:p>
      <w:pPr>
        <w:ind w:left="314"/>
        <w:spacing w:before="173" w:line="219" w:lineRule="auto"/>
        <w:rPr>
          <w:rFonts w:ascii="SimSun" w:hAnsi="SimSun" w:eastAsia="SimSun" w:cs="SimSun"/>
          <w:sz w:val="21"/>
          <w:szCs w:val="21"/>
        </w:rPr>
      </w:pPr>
      <w:r>
        <w:rPr>
          <w:rFonts w:ascii="SimSun" w:hAnsi="SimSun" w:eastAsia="SimSun" w:cs="SimSun"/>
          <w:sz w:val="21"/>
          <w:szCs w:val="21"/>
        </w:rPr>
        <w:t>【成熟度等级说明】</w:t>
      </w:r>
    </w:p>
    <w:p>
      <w:pPr>
        <w:ind w:right="274" w:firstLine="419"/>
        <w:spacing w:before="50" w:line="250" w:lineRule="auto"/>
        <w:rPr>
          <w:rFonts w:ascii="SimSun" w:hAnsi="SimSun" w:eastAsia="SimSun" w:cs="SimSun"/>
          <w:sz w:val="21"/>
          <w:szCs w:val="21"/>
        </w:rPr>
      </w:pPr>
      <w:r>
        <w:rPr>
          <w:rFonts w:ascii="SimSun" w:hAnsi="SimSun" w:eastAsia="SimSun" w:cs="SimSun"/>
          <w:sz w:val="21"/>
          <w:szCs w:val="21"/>
          <w:spacing w:val="2"/>
        </w:rPr>
        <w:t>有效的沟通渠道是组织中维系人与人之间良好工作关系的关键因素，是组织的</w:t>
      </w:r>
      <w:r>
        <w:rPr>
          <w:rFonts w:ascii="SimSun" w:hAnsi="SimSun" w:eastAsia="SimSun" w:cs="SimSun"/>
          <w:sz w:val="21"/>
          <w:szCs w:val="21"/>
          <w:spacing w:val="7"/>
        </w:rPr>
        <w:t xml:space="preserve"> </w:t>
      </w:r>
      <w:r>
        <w:rPr>
          <w:rFonts w:ascii="SimSun" w:hAnsi="SimSun" w:eastAsia="SimSun" w:cs="SimSun"/>
          <w:sz w:val="21"/>
          <w:szCs w:val="21"/>
          <w:spacing w:val="-4"/>
        </w:rPr>
        <w:t>血管，是一种信息或思想的双向传递过程，这就是所谓的“上传</w:t>
      </w:r>
      <w:r>
        <w:rPr>
          <w:rFonts w:ascii="SimSun" w:hAnsi="SimSun" w:eastAsia="SimSun" w:cs="SimSun"/>
          <w:sz w:val="21"/>
          <w:szCs w:val="21"/>
          <w:spacing w:val="-5"/>
        </w:rPr>
        <w:t>下达”。</w:t>
      </w:r>
    </w:p>
    <w:p>
      <w:pPr>
        <w:ind w:left="419"/>
        <w:spacing w:before="52" w:line="219" w:lineRule="auto"/>
        <w:rPr>
          <w:rFonts w:ascii="SimSun" w:hAnsi="SimSun" w:eastAsia="SimSun" w:cs="SimSun"/>
          <w:sz w:val="21"/>
          <w:szCs w:val="21"/>
        </w:rPr>
      </w:pPr>
      <w:r>
        <w:rPr>
          <w:rFonts w:ascii="SimSun" w:hAnsi="SimSun" w:eastAsia="SimSun" w:cs="SimSun"/>
          <w:sz w:val="21"/>
          <w:szCs w:val="21"/>
          <w:spacing w:val="-2"/>
        </w:rPr>
        <w:t>沟通具有五大要素：目的、对象、内容、方式和时间。</w:t>
      </w:r>
    </w:p>
    <w:p>
      <w:pPr>
        <w:ind w:right="206" w:firstLine="419"/>
        <w:spacing w:before="61" w:line="246" w:lineRule="auto"/>
        <w:rPr>
          <w:rFonts w:ascii="SimSun" w:hAnsi="SimSun" w:eastAsia="SimSun" w:cs="SimSun"/>
          <w:sz w:val="21"/>
          <w:szCs w:val="21"/>
        </w:rPr>
      </w:pPr>
      <w:r>
        <w:rPr>
          <w:rFonts w:ascii="SimSun" w:hAnsi="SimSun" w:eastAsia="SimSun" w:cs="SimSun"/>
          <w:sz w:val="21"/>
          <w:szCs w:val="21"/>
          <w:spacing w:val="2"/>
        </w:rPr>
        <w:t>沟通的目的是首要考虑的，不同的沟通目的会选择不</w:t>
      </w:r>
      <w:r>
        <w:rPr>
          <w:rFonts w:ascii="SimSun" w:hAnsi="SimSun" w:eastAsia="SimSun" w:cs="SimSun"/>
          <w:sz w:val="21"/>
          <w:szCs w:val="21"/>
          <w:spacing w:val="1"/>
        </w:rPr>
        <w:t>同的沟通方式发送不同的 </w:t>
      </w:r>
      <w:r>
        <w:rPr>
          <w:rFonts w:ascii="SimSun" w:hAnsi="SimSun" w:eastAsia="SimSun" w:cs="SimSun"/>
          <w:sz w:val="21"/>
          <w:szCs w:val="21"/>
          <w:spacing w:val="-6"/>
        </w:rPr>
        <w:t>沟通内容。</w:t>
      </w:r>
      <w:r>
        <w:rPr>
          <w:rFonts w:ascii="SimSun" w:hAnsi="SimSun" w:eastAsia="SimSun" w:cs="SimSun"/>
          <w:sz w:val="21"/>
          <w:szCs w:val="21"/>
          <w:spacing w:val="50"/>
        </w:rPr>
        <w:t xml:space="preserve"> </w:t>
      </w:r>
      <w:r>
        <w:rPr>
          <w:rFonts w:ascii="SimSun" w:hAnsi="SimSun" w:eastAsia="SimSun" w:cs="SimSun"/>
          <w:sz w:val="21"/>
          <w:szCs w:val="21"/>
          <w:spacing w:val="-6"/>
        </w:rPr>
        <w:t>一般包括为了获得某种反馈信息、说服他人、对策略施加影响、咨询等。</w:t>
      </w:r>
    </w:p>
    <w:p>
      <w:pPr>
        <w:ind w:right="282" w:firstLine="419"/>
        <w:spacing w:before="60" w:line="246" w:lineRule="auto"/>
        <w:rPr>
          <w:rFonts w:ascii="SimSun" w:hAnsi="SimSun" w:eastAsia="SimSun" w:cs="SimSun"/>
          <w:sz w:val="21"/>
          <w:szCs w:val="21"/>
        </w:rPr>
      </w:pPr>
      <w:r>
        <w:rPr>
          <w:rFonts w:ascii="SimSun" w:hAnsi="SimSun" w:eastAsia="SimSun" w:cs="SimSun"/>
          <w:sz w:val="21"/>
          <w:szCs w:val="21"/>
          <w:spacing w:val="2"/>
        </w:rPr>
        <w:t>沟通对象是需要获知信息的那一方，对于数据治理活动，沟通的对象可能是数</w:t>
      </w:r>
      <w:r>
        <w:rPr>
          <w:rFonts w:ascii="SimSun" w:hAnsi="SimSun" w:eastAsia="SimSun" w:cs="SimSun"/>
          <w:sz w:val="21"/>
          <w:szCs w:val="21"/>
        </w:rPr>
        <w:t xml:space="preserve"> </w:t>
      </w:r>
      <w:r>
        <w:rPr>
          <w:rFonts w:ascii="SimSun" w:hAnsi="SimSun" w:eastAsia="SimSun" w:cs="SimSun"/>
          <w:sz w:val="21"/>
          <w:szCs w:val="21"/>
          <w:spacing w:val="-2"/>
        </w:rPr>
        <w:t>据治理负责人、跨部门人员、甚至组织外部数据利益相关者。</w:t>
      </w:r>
    </w:p>
    <w:p>
      <w:pPr>
        <w:ind w:left="419"/>
        <w:spacing w:before="90" w:line="219" w:lineRule="auto"/>
        <w:rPr>
          <w:rFonts w:ascii="SimSun" w:hAnsi="SimSun" w:eastAsia="SimSun" w:cs="SimSun"/>
          <w:sz w:val="21"/>
          <w:szCs w:val="21"/>
        </w:rPr>
      </w:pPr>
      <w:r>
        <w:rPr>
          <w:rFonts w:ascii="SimSun" w:hAnsi="SimSun" w:eastAsia="SimSun" w:cs="SimSun"/>
          <w:sz w:val="21"/>
          <w:szCs w:val="21"/>
          <w:spacing w:val="-1"/>
        </w:rPr>
        <w:t>内容是沟通的关键，有时会因为信息的属性采用加密或不加密方式。</w:t>
      </w:r>
    </w:p>
    <w:p>
      <w:pPr>
        <w:ind w:right="301" w:firstLine="419"/>
        <w:spacing w:before="73" w:line="254" w:lineRule="auto"/>
        <w:rPr>
          <w:rFonts w:ascii="SimSun" w:hAnsi="SimSun" w:eastAsia="SimSun" w:cs="SimSun"/>
          <w:sz w:val="21"/>
          <w:szCs w:val="21"/>
        </w:rPr>
      </w:pPr>
      <w:r>
        <w:rPr>
          <w:rFonts w:ascii="SimSun" w:hAnsi="SimSun" w:eastAsia="SimSun" w:cs="SimSun"/>
          <w:sz w:val="21"/>
          <w:szCs w:val="21"/>
          <w:spacing w:val="1"/>
        </w:rPr>
        <w:t>沟通方式，即沟通渠道，是描述如何进行沟通，常用的沟通方式包括：面谈、</w:t>
      </w:r>
      <w:r>
        <w:rPr>
          <w:rFonts w:ascii="SimSun" w:hAnsi="SimSun" w:eastAsia="SimSun" w:cs="SimSun"/>
          <w:sz w:val="21"/>
          <w:szCs w:val="21"/>
        </w:rPr>
        <w:t xml:space="preserve"> </w:t>
      </w:r>
      <w:r>
        <w:rPr>
          <w:rFonts w:ascii="SimSun" w:hAnsi="SimSun" w:eastAsia="SimSun" w:cs="SimSun"/>
          <w:sz w:val="21"/>
          <w:szCs w:val="21"/>
          <w:spacing w:val="1"/>
        </w:rPr>
        <w:t>电话、命令、文件、会议、报刊、广播、宣传栏、意见箱、活动、即时通讯、网络</w:t>
      </w:r>
      <w:r>
        <w:rPr>
          <w:rFonts w:ascii="SimSun" w:hAnsi="SimSun" w:eastAsia="SimSun" w:cs="SimSun"/>
          <w:sz w:val="21"/>
          <w:szCs w:val="21"/>
          <w:spacing w:val="12"/>
        </w:rPr>
        <w:t xml:space="preserve"> </w:t>
      </w:r>
      <w:r>
        <w:rPr>
          <w:rFonts w:ascii="SimSun" w:hAnsi="SimSun" w:eastAsia="SimSun" w:cs="SimSun"/>
          <w:sz w:val="21"/>
          <w:szCs w:val="21"/>
          <w:spacing w:val="-2"/>
        </w:rPr>
        <w:t>等。不同的沟通方式会对沟通效果产生巨大影响。</w:t>
      </w:r>
    </w:p>
    <w:p>
      <w:pPr>
        <w:ind w:left="419"/>
        <w:spacing w:before="62" w:line="219" w:lineRule="auto"/>
        <w:rPr>
          <w:rFonts w:ascii="SimSun" w:hAnsi="SimSun" w:eastAsia="SimSun" w:cs="SimSun"/>
          <w:sz w:val="21"/>
          <w:szCs w:val="21"/>
        </w:rPr>
      </w:pPr>
      <w:r>
        <w:rPr>
          <w:rFonts w:ascii="SimSun" w:hAnsi="SimSun" w:eastAsia="SimSun" w:cs="SimSun"/>
          <w:sz w:val="21"/>
          <w:szCs w:val="21"/>
          <w:spacing w:val="-2"/>
        </w:rPr>
        <w:t>组织需要制订一套策略，支持数据治理沟通渠道的选择策略。</w:t>
      </w:r>
    </w:p>
    <w:p>
      <w:pPr>
        <w:spacing w:line="219" w:lineRule="auto"/>
        <w:sectPr>
          <w:footerReference w:type="default" r:id="rId184"/>
          <w:pgSz w:w="8870" w:h="13400"/>
          <w:pgMar w:top="400" w:right="588" w:bottom="547" w:left="369" w:header="0" w:footer="338" w:gutter="0"/>
        </w:sectPr>
        <w:rPr>
          <w:rFonts w:ascii="SimSun" w:hAnsi="SimSun" w:eastAsia="SimSun" w:cs="SimSun"/>
          <w:sz w:val="21"/>
          <w:szCs w:val="21"/>
        </w:rPr>
      </w:pPr>
    </w:p>
    <w:p>
      <w:pPr>
        <w:ind w:left="242"/>
        <w:spacing w:before="266" w:line="219" w:lineRule="auto"/>
        <w:rPr>
          <w:rFonts w:ascii="SimSun" w:hAnsi="SimSun" w:eastAsia="SimSun" w:cs="SimSun"/>
          <w:sz w:val="22"/>
          <w:szCs w:val="22"/>
        </w:rPr>
      </w:pPr>
      <w:r>
        <w:drawing>
          <wp:anchor distT="0" distB="0" distL="0" distR="0" simplePos="0" relativeHeight="253562880" behindDoc="0" locked="0" layoutInCell="0" allowOverlap="1">
            <wp:simplePos x="0" y="0"/>
            <wp:positionH relativeFrom="page">
              <wp:posOffset>361941</wp:posOffset>
            </wp:positionH>
            <wp:positionV relativeFrom="page">
              <wp:posOffset>368268</wp:posOffset>
            </wp:positionV>
            <wp:extent cx="6365" cy="235018"/>
            <wp:effectExtent l="0" t="0" r="0" b="0"/>
            <wp:wrapNone/>
            <wp:docPr id="146" name="IM 146"/>
            <wp:cNvGraphicFramePr/>
            <a:graphic>
              <a:graphicData uri="http://schemas.openxmlformats.org/drawingml/2006/picture">
                <pic:pic>
                  <pic:nvPicPr>
                    <pic:cNvPr id="146" name="IM 146"/>
                    <pic:cNvPicPr/>
                  </pic:nvPicPr>
                  <pic:blipFill>
                    <a:blip r:embed="rId186"/>
                    <a:stretch>
                      <a:fillRect/>
                    </a:stretch>
                  </pic:blipFill>
                  <pic:spPr>
                    <a:xfrm rot="0">
                      <a:off x="0" y="0"/>
                      <a:ext cx="6365" cy="235018"/>
                    </a:xfrm>
                    <a:prstGeom prst="rect">
                      <a:avLst/>
                    </a:prstGeom>
                  </pic:spPr>
                </pic:pic>
              </a:graphicData>
            </a:graphic>
          </wp:anchor>
        </w:drawing>
      </w:r>
      <w:r>
        <w:rPr>
          <w:rFonts w:ascii="SimSun" w:hAnsi="SimSun" w:eastAsia="SimSun" w:cs="SimSun"/>
          <w:sz w:val="22"/>
          <w:szCs w:val="22"/>
          <w:b/>
          <w:bCs/>
          <w:spacing w:val="-29"/>
          <w:w w:val="96"/>
        </w:rPr>
        <w:t>■云端数据治理■</w:t>
      </w:r>
    </w:p>
    <w:p>
      <w:pPr>
        <w:spacing w:before="26"/>
        <w:rPr/>
      </w:pPr>
      <w:r/>
    </w:p>
    <w:tbl>
      <w:tblPr>
        <w:tblStyle w:val="TableNormal"/>
        <w:tblW w:w="758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30"/>
      </w:tblGrid>
      <w:tr>
        <w:trPr>
          <w:trHeight w:val="321" w:hRule="atLeast"/>
        </w:trPr>
        <w:tc>
          <w:tcPr>
            <w:tcW w:w="704" w:type="dxa"/>
            <w:vAlign w:val="top"/>
          </w:tcPr>
          <w:p>
            <w:pPr>
              <w:pStyle w:val="TableText"/>
              <w:ind w:left="174"/>
              <w:spacing w:before="82" w:line="221" w:lineRule="auto"/>
              <w:rPr>
                <w:sz w:val="17"/>
                <w:szCs w:val="17"/>
              </w:rPr>
            </w:pPr>
            <w:r>
              <w:rPr>
                <w:sz w:val="17"/>
                <w:szCs w:val="17"/>
                <w:spacing w:val="-2"/>
              </w:rPr>
              <w:t>序号</w:t>
            </w:r>
          </w:p>
        </w:tc>
        <w:tc>
          <w:tcPr>
            <w:tcW w:w="3155" w:type="dxa"/>
            <w:vAlign w:val="top"/>
          </w:tcPr>
          <w:p>
            <w:pPr>
              <w:pStyle w:val="TableText"/>
              <w:ind w:left="1160"/>
              <w:spacing w:before="82" w:line="219" w:lineRule="auto"/>
              <w:rPr>
                <w:sz w:val="17"/>
                <w:szCs w:val="17"/>
              </w:rPr>
            </w:pPr>
            <w:r>
              <w:rPr>
                <w:sz w:val="17"/>
                <w:szCs w:val="17"/>
                <w:spacing w:val="-7"/>
              </w:rPr>
              <w:t>等</w:t>
            </w:r>
            <w:r>
              <w:rPr>
                <w:sz w:val="17"/>
                <w:szCs w:val="17"/>
                <w:spacing w:val="-15"/>
              </w:rPr>
              <w:t xml:space="preserve"> </w:t>
            </w:r>
            <w:r>
              <w:rPr>
                <w:sz w:val="17"/>
                <w:szCs w:val="17"/>
                <w:spacing w:val="-7"/>
              </w:rPr>
              <w:t>级</w:t>
            </w:r>
            <w:r>
              <w:rPr>
                <w:sz w:val="17"/>
                <w:szCs w:val="17"/>
                <w:spacing w:val="-19"/>
              </w:rPr>
              <w:t xml:space="preserve"> </w:t>
            </w:r>
            <w:r>
              <w:rPr>
                <w:sz w:val="17"/>
                <w:szCs w:val="17"/>
                <w:spacing w:val="-7"/>
              </w:rPr>
              <w:t>要</w:t>
            </w:r>
            <w:r>
              <w:rPr>
                <w:sz w:val="17"/>
                <w:szCs w:val="17"/>
                <w:spacing w:val="-19"/>
              </w:rPr>
              <w:t xml:space="preserve"> </w:t>
            </w:r>
            <w:r>
              <w:rPr>
                <w:sz w:val="17"/>
                <w:szCs w:val="17"/>
                <w:spacing w:val="-7"/>
              </w:rPr>
              <w:t>求</w:t>
            </w:r>
          </w:p>
        </w:tc>
        <w:tc>
          <w:tcPr>
            <w:tcW w:w="3730" w:type="dxa"/>
            <w:vAlign w:val="top"/>
          </w:tcPr>
          <w:p>
            <w:pPr>
              <w:pStyle w:val="TableText"/>
              <w:ind w:left="1566"/>
              <w:spacing w:before="82" w:line="220" w:lineRule="auto"/>
              <w:rPr>
                <w:sz w:val="17"/>
                <w:szCs w:val="17"/>
              </w:rPr>
            </w:pPr>
            <w:r>
              <w:rPr>
                <w:sz w:val="17"/>
                <w:szCs w:val="17"/>
                <w:spacing w:val="-6"/>
              </w:rPr>
              <w:t>实</w:t>
            </w:r>
            <w:r>
              <w:rPr>
                <w:sz w:val="17"/>
                <w:szCs w:val="17"/>
                <w:spacing w:val="2"/>
              </w:rPr>
              <w:t xml:space="preserve">   </w:t>
            </w:r>
            <w:r>
              <w:rPr>
                <w:sz w:val="17"/>
                <w:szCs w:val="17"/>
                <w:spacing w:val="-6"/>
              </w:rPr>
              <w:t>例</w:t>
            </w:r>
          </w:p>
        </w:tc>
      </w:tr>
      <w:tr>
        <w:trPr>
          <w:trHeight w:val="519" w:hRule="atLeast"/>
        </w:trPr>
        <w:tc>
          <w:tcPr>
            <w:tcW w:w="704" w:type="dxa"/>
            <w:vAlign w:val="top"/>
          </w:tcPr>
          <w:p>
            <w:pPr>
              <w:pStyle w:val="TableText"/>
              <w:ind w:left="214"/>
              <w:spacing w:before="224" w:line="183" w:lineRule="auto"/>
              <w:rPr>
                <w:sz w:val="17"/>
                <w:szCs w:val="17"/>
              </w:rPr>
            </w:pPr>
            <w:r>
              <w:rPr>
                <w:sz w:val="17"/>
                <w:szCs w:val="17"/>
                <w:spacing w:val="-3"/>
              </w:rPr>
              <w:t>3.2</w:t>
            </w:r>
          </w:p>
        </w:tc>
        <w:tc>
          <w:tcPr>
            <w:tcW w:w="3155" w:type="dxa"/>
            <w:vAlign w:val="top"/>
          </w:tcPr>
          <w:p>
            <w:pPr>
              <w:pStyle w:val="TableText"/>
              <w:ind w:left="101" w:firstLine="149"/>
              <w:spacing w:before="50" w:line="249" w:lineRule="auto"/>
              <w:rPr>
                <w:sz w:val="17"/>
                <w:szCs w:val="17"/>
              </w:rPr>
            </w:pPr>
            <w:r>
              <w:rPr>
                <w:sz w:val="17"/>
                <w:szCs w:val="17"/>
                <w:spacing w:val="-10"/>
              </w:rPr>
              <w:t>沟通战略受组织方针指导，反映了数据治</w:t>
            </w:r>
            <w:r>
              <w:rPr>
                <w:sz w:val="17"/>
                <w:szCs w:val="17"/>
                <w:spacing w:val="13"/>
              </w:rPr>
              <w:t xml:space="preserve"> </w:t>
            </w:r>
            <w:r>
              <w:rPr>
                <w:sz w:val="17"/>
                <w:szCs w:val="17"/>
                <w:spacing w:val="-3"/>
              </w:rPr>
              <w:t>理战略</w:t>
            </w:r>
          </w:p>
        </w:tc>
        <w:tc>
          <w:tcPr>
            <w:tcW w:w="3730" w:type="dxa"/>
            <w:vAlign w:val="top"/>
          </w:tcPr>
          <w:p>
            <w:pPr>
              <w:pStyle w:val="TableText"/>
              <w:ind w:left="256"/>
              <w:spacing w:before="51" w:line="220" w:lineRule="auto"/>
              <w:rPr>
                <w:sz w:val="17"/>
                <w:szCs w:val="17"/>
              </w:rPr>
            </w:pPr>
            <w:r>
              <w:rPr>
                <w:sz w:val="17"/>
                <w:szCs w:val="17"/>
                <w:spacing w:val="1"/>
              </w:rPr>
              <w:t>●沟通方针</w:t>
            </w:r>
          </w:p>
          <w:p>
            <w:pPr>
              <w:pStyle w:val="TableText"/>
              <w:ind w:left="256"/>
              <w:spacing w:before="56" w:line="215" w:lineRule="auto"/>
              <w:rPr>
                <w:sz w:val="17"/>
                <w:szCs w:val="17"/>
              </w:rPr>
            </w:pPr>
            <w:r>
              <w:rPr>
                <w:sz w:val="17"/>
                <w:szCs w:val="17"/>
                <w:spacing w:val="1"/>
              </w:rPr>
              <w:t>●沟通渠道策略</w:t>
            </w:r>
          </w:p>
        </w:tc>
      </w:tr>
    </w:tbl>
    <w:p>
      <w:pPr>
        <w:ind w:left="579"/>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39" w:right="52" w:firstLine="450"/>
        <w:spacing w:before="48" w:line="244" w:lineRule="auto"/>
        <w:rPr>
          <w:rFonts w:ascii="SimSun" w:hAnsi="SimSun" w:eastAsia="SimSun" w:cs="SimSun"/>
          <w:sz w:val="22"/>
          <w:szCs w:val="22"/>
        </w:rPr>
      </w:pPr>
      <w:r>
        <w:rPr>
          <w:rFonts w:ascii="SimSun" w:hAnsi="SimSun" w:eastAsia="SimSun" w:cs="SimSun"/>
          <w:sz w:val="22"/>
          <w:szCs w:val="22"/>
          <w:spacing w:val="-8"/>
        </w:rPr>
        <w:t>沟通战略不是独立于组织方针的一套体系，必须与组织的方针</w:t>
      </w:r>
      <w:r>
        <w:rPr>
          <w:rFonts w:ascii="SimSun" w:hAnsi="SimSun" w:eastAsia="SimSun" w:cs="SimSun"/>
          <w:sz w:val="22"/>
          <w:szCs w:val="22"/>
          <w:spacing w:val="-9"/>
        </w:rPr>
        <w:t>保持一致，同时</w:t>
      </w:r>
      <w:r>
        <w:rPr>
          <w:rFonts w:ascii="SimSun" w:hAnsi="SimSun" w:eastAsia="SimSun" w:cs="SimSun"/>
          <w:sz w:val="22"/>
          <w:szCs w:val="22"/>
        </w:rPr>
        <w:t xml:space="preserve"> </w:t>
      </w:r>
      <w:r>
        <w:rPr>
          <w:rFonts w:ascii="SimSun" w:hAnsi="SimSun" w:eastAsia="SimSun" w:cs="SimSun"/>
          <w:sz w:val="22"/>
          <w:szCs w:val="22"/>
          <w:spacing w:val="-10"/>
        </w:rPr>
        <w:t>沟通战略是服务于数据治理的，要有针对性。</w:t>
      </w:r>
    </w:p>
    <w:p>
      <w:pPr>
        <w:spacing w:line="114" w:lineRule="exact"/>
        <w:rPr/>
      </w:pPr>
      <w:r/>
    </w:p>
    <w:tbl>
      <w:tblPr>
        <w:tblStyle w:val="TableNormal"/>
        <w:tblW w:w="7590" w:type="dxa"/>
        <w:tblInd w:w="3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6"/>
        <w:gridCol w:w="3740"/>
      </w:tblGrid>
      <w:tr>
        <w:trPr>
          <w:trHeight w:val="322" w:hRule="atLeast"/>
        </w:trPr>
        <w:tc>
          <w:tcPr>
            <w:tcW w:w="714" w:type="dxa"/>
            <w:vAlign w:val="top"/>
          </w:tcPr>
          <w:p>
            <w:pPr>
              <w:pStyle w:val="TableText"/>
              <w:ind w:left="185"/>
              <w:spacing w:before="82" w:line="221" w:lineRule="auto"/>
              <w:rPr>
                <w:sz w:val="16"/>
                <w:szCs w:val="16"/>
              </w:rPr>
            </w:pPr>
            <w:r>
              <w:rPr>
                <w:sz w:val="16"/>
                <w:szCs w:val="16"/>
                <w:spacing w:val="-2"/>
              </w:rPr>
              <w:t>序号</w:t>
            </w:r>
          </w:p>
        </w:tc>
        <w:tc>
          <w:tcPr>
            <w:tcW w:w="3136" w:type="dxa"/>
            <w:vAlign w:val="top"/>
          </w:tcPr>
          <w:p>
            <w:pPr>
              <w:pStyle w:val="TableText"/>
              <w:ind w:left="1141"/>
              <w:spacing w:before="81" w:line="219" w:lineRule="auto"/>
              <w:rPr>
                <w:sz w:val="16"/>
                <w:szCs w:val="16"/>
              </w:rPr>
            </w:pPr>
            <w:r>
              <w:rPr>
                <w:sz w:val="16"/>
                <w:szCs w:val="16"/>
                <w:spacing w:val="-4"/>
              </w:rPr>
              <w:t>等 级 要 求</w:t>
            </w:r>
          </w:p>
        </w:tc>
        <w:tc>
          <w:tcPr>
            <w:tcW w:w="374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037" w:hRule="atLeast"/>
        </w:trPr>
        <w:tc>
          <w:tcPr>
            <w:tcW w:w="714" w:type="dxa"/>
            <w:vAlign w:val="top"/>
          </w:tcPr>
          <w:p>
            <w:pPr>
              <w:spacing w:line="426" w:lineRule="auto"/>
              <w:rPr>
                <w:rFonts w:ascii="Arial"/>
                <w:sz w:val="21"/>
              </w:rPr>
            </w:pPr>
            <w:r/>
          </w:p>
          <w:p>
            <w:pPr>
              <w:pStyle w:val="TableText"/>
              <w:ind w:left="224"/>
              <w:spacing w:before="52" w:line="183" w:lineRule="auto"/>
              <w:rPr>
                <w:sz w:val="16"/>
                <w:szCs w:val="16"/>
              </w:rPr>
            </w:pPr>
            <w:r>
              <w:rPr>
                <w:sz w:val="16"/>
                <w:szCs w:val="16"/>
                <w:spacing w:val="-3"/>
              </w:rPr>
              <w:t>3.3</w:t>
            </w:r>
          </w:p>
        </w:tc>
        <w:tc>
          <w:tcPr>
            <w:tcW w:w="3136" w:type="dxa"/>
            <w:vAlign w:val="top"/>
          </w:tcPr>
          <w:p>
            <w:pPr>
              <w:spacing w:line="254" w:lineRule="auto"/>
              <w:rPr>
                <w:rFonts w:ascii="Arial"/>
                <w:sz w:val="21"/>
              </w:rPr>
            </w:pPr>
            <w:r/>
          </w:p>
          <w:p>
            <w:pPr>
              <w:pStyle w:val="TableText"/>
              <w:ind w:left="121" w:right="85" w:firstLine="40"/>
              <w:spacing w:before="52" w:line="266" w:lineRule="auto"/>
              <w:rPr>
                <w:sz w:val="16"/>
                <w:szCs w:val="16"/>
              </w:rPr>
            </w:pPr>
            <w:r>
              <w:rPr>
                <w:sz w:val="16"/>
                <w:szCs w:val="16"/>
                <w:spacing w:val="-1"/>
              </w:rPr>
              <w:t>在组织内对标准、政策和过程进行公告，</w:t>
            </w:r>
            <w:r>
              <w:rPr>
                <w:sz w:val="16"/>
                <w:szCs w:val="16"/>
                <w:spacing w:val="16"/>
              </w:rPr>
              <w:t xml:space="preserve"> </w:t>
            </w:r>
            <w:r>
              <w:rPr>
                <w:sz w:val="16"/>
                <w:szCs w:val="16"/>
                <w:spacing w:val="-1"/>
              </w:rPr>
              <w:t>并基于反馈进行调整</w:t>
            </w:r>
          </w:p>
        </w:tc>
        <w:tc>
          <w:tcPr>
            <w:tcW w:w="3740" w:type="dxa"/>
            <w:vAlign w:val="top"/>
          </w:tcPr>
          <w:p>
            <w:pPr>
              <w:pStyle w:val="TableText"/>
              <w:ind w:left="255"/>
              <w:spacing w:before="60" w:line="220" w:lineRule="auto"/>
              <w:rPr>
                <w:sz w:val="16"/>
                <w:szCs w:val="16"/>
              </w:rPr>
            </w:pPr>
            <w:r>
              <w:rPr>
                <w:sz w:val="16"/>
                <w:szCs w:val="16"/>
                <w:spacing w:val="1"/>
              </w:rPr>
              <w:t>●沟通方针</w:t>
            </w:r>
          </w:p>
          <w:p>
            <w:pPr>
              <w:pStyle w:val="TableText"/>
              <w:ind w:left="255"/>
              <w:spacing w:before="59" w:line="220" w:lineRule="auto"/>
              <w:rPr>
                <w:sz w:val="16"/>
                <w:szCs w:val="16"/>
              </w:rPr>
            </w:pPr>
            <w:r>
              <w:rPr>
                <w:sz w:val="16"/>
                <w:szCs w:val="16"/>
                <w:spacing w:val="1"/>
              </w:rPr>
              <w:t>●沟通记录</w:t>
            </w:r>
          </w:p>
          <w:p>
            <w:pPr>
              <w:pStyle w:val="TableText"/>
              <w:ind w:left="255"/>
              <w:spacing w:before="79" w:line="220" w:lineRule="auto"/>
              <w:rPr>
                <w:sz w:val="16"/>
                <w:szCs w:val="16"/>
              </w:rPr>
            </w:pPr>
            <w:r>
              <w:rPr>
                <w:sz w:val="16"/>
                <w:szCs w:val="16"/>
                <w:spacing w:val="1"/>
              </w:rPr>
              <w:t>●沟通反馈</w:t>
            </w:r>
          </w:p>
          <w:p>
            <w:pPr>
              <w:pStyle w:val="TableText"/>
              <w:ind w:left="255"/>
              <w:spacing w:before="69" w:line="216" w:lineRule="auto"/>
              <w:rPr>
                <w:sz w:val="16"/>
                <w:szCs w:val="16"/>
              </w:rPr>
            </w:pPr>
            <w:r>
              <w:rPr>
                <w:sz w:val="16"/>
                <w:szCs w:val="16"/>
              </w:rPr>
              <w:t>●标准、政策和过程的调整</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39" w:right="52" w:firstLine="450"/>
        <w:spacing w:before="37" w:line="253" w:lineRule="auto"/>
        <w:rPr>
          <w:rFonts w:ascii="SimSun" w:hAnsi="SimSun" w:eastAsia="SimSun" w:cs="SimSun"/>
          <w:sz w:val="22"/>
          <w:szCs w:val="22"/>
        </w:rPr>
      </w:pPr>
      <w:r>
        <w:rPr>
          <w:rFonts w:ascii="SimSun" w:hAnsi="SimSun" w:eastAsia="SimSun" w:cs="SimSun"/>
          <w:sz w:val="22"/>
          <w:szCs w:val="22"/>
          <w:spacing w:val="-8"/>
        </w:rPr>
        <w:t>沟通的方式有多种，组织在针对某一内容开展沟通时，至少应</w:t>
      </w:r>
      <w:r>
        <w:rPr>
          <w:rFonts w:ascii="SimSun" w:hAnsi="SimSun" w:eastAsia="SimSun" w:cs="SimSun"/>
          <w:sz w:val="22"/>
          <w:szCs w:val="22"/>
          <w:spacing w:val="-9"/>
        </w:rPr>
        <w:t>当选择一种便于</w:t>
      </w:r>
      <w:r>
        <w:rPr>
          <w:rFonts w:ascii="SimSun" w:hAnsi="SimSun" w:eastAsia="SimSun" w:cs="SimSun"/>
          <w:sz w:val="22"/>
          <w:szCs w:val="22"/>
        </w:rPr>
        <w:t xml:space="preserve"> </w:t>
      </w:r>
      <w:r>
        <w:rPr>
          <w:rFonts w:ascii="SimSun" w:hAnsi="SimSun" w:eastAsia="SimSun" w:cs="SimSun"/>
          <w:sz w:val="22"/>
          <w:szCs w:val="22"/>
          <w:spacing w:val="-8"/>
        </w:rPr>
        <w:t>反馈的方式。反馈的次数可以是多回合的，组</w:t>
      </w:r>
      <w:r>
        <w:rPr>
          <w:rFonts w:ascii="SimSun" w:hAnsi="SimSun" w:eastAsia="SimSun" w:cs="SimSun"/>
          <w:sz w:val="22"/>
          <w:szCs w:val="22"/>
          <w:spacing w:val="-9"/>
        </w:rPr>
        <w:t>织要基于反馈的信息，对数据治理相</w:t>
      </w:r>
      <w:r>
        <w:rPr>
          <w:rFonts w:ascii="SimSun" w:hAnsi="SimSun" w:eastAsia="SimSun" w:cs="SimSun"/>
          <w:sz w:val="22"/>
          <w:szCs w:val="22"/>
        </w:rPr>
        <w:t xml:space="preserve"> </w:t>
      </w:r>
      <w:r>
        <w:rPr>
          <w:rFonts w:ascii="SimSun" w:hAnsi="SimSun" w:eastAsia="SimSun" w:cs="SimSun"/>
          <w:sz w:val="22"/>
          <w:szCs w:val="22"/>
          <w:spacing w:val="-13"/>
        </w:rPr>
        <w:t>关的标准、政策和过程进行调整。</w:t>
      </w:r>
    </w:p>
    <w:p>
      <w:pPr>
        <w:spacing w:line="133" w:lineRule="exact"/>
        <w:rPr/>
      </w:pPr>
      <w:r/>
    </w:p>
    <w:tbl>
      <w:tblPr>
        <w:tblStyle w:val="TableNormal"/>
        <w:tblW w:w="7600" w:type="dxa"/>
        <w:tblInd w:w="3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40"/>
      </w:tblGrid>
      <w:tr>
        <w:trPr>
          <w:trHeight w:val="321" w:hRule="atLeast"/>
        </w:trPr>
        <w:tc>
          <w:tcPr>
            <w:tcW w:w="714" w:type="dxa"/>
            <w:vAlign w:val="top"/>
          </w:tcPr>
          <w:p>
            <w:pPr>
              <w:pStyle w:val="TableText"/>
              <w:ind w:left="185"/>
              <w:spacing w:before="82" w:line="221" w:lineRule="auto"/>
              <w:rPr>
                <w:sz w:val="16"/>
                <w:szCs w:val="16"/>
              </w:rPr>
            </w:pPr>
            <w:r>
              <w:rPr>
                <w:sz w:val="16"/>
                <w:szCs w:val="16"/>
                <w:spacing w:val="-2"/>
              </w:rPr>
              <w:t>序号</w:t>
            </w:r>
          </w:p>
        </w:tc>
        <w:tc>
          <w:tcPr>
            <w:tcW w:w="3146" w:type="dxa"/>
            <w:vAlign w:val="top"/>
          </w:tcPr>
          <w:p>
            <w:pPr>
              <w:pStyle w:val="TableText"/>
              <w:ind w:left="1151"/>
              <w:spacing w:before="81" w:line="219" w:lineRule="auto"/>
              <w:rPr>
                <w:sz w:val="16"/>
                <w:szCs w:val="16"/>
              </w:rPr>
            </w:pPr>
            <w:r>
              <w:rPr>
                <w:sz w:val="16"/>
                <w:szCs w:val="16"/>
                <w:spacing w:val="-4"/>
              </w:rPr>
              <w:t>等 级 要 求</w:t>
            </w:r>
          </w:p>
        </w:tc>
        <w:tc>
          <w:tcPr>
            <w:tcW w:w="3740" w:type="dxa"/>
            <w:vAlign w:val="top"/>
          </w:tcPr>
          <w:p>
            <w:pPr>
              <w:pStyle w:val="TableText"/>
              <w:ind w:left="154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768" w:hRule="atLeast"/>
        </w:trPr>
        <w:tc>
          <w:tcPr>
            <w:tcW w:w="714" w:type="dxa"/>
            <w:vAlign w:val="top"/>
          </w:tcPr>
          <w:p>
            <w:pPr>
              <w:spacing w:line="298" w:lineRule="auto"/>
              <w:rPr>
                <w:rFonts w:ascii="Arial"/>
                <w:sz w:val="21"/>
              </w:rPr>
            </w:pPr>
            <w:r/>
          </w:p>
          <w:p>
            <w:pPr>
              <w:pStyle w:val="TableText"/>
              <w:ind w:left="224"/>
              <w:spacing w:before="52" w:line="183" w:lineRule="auto"/>
              <w:rPr>
                <w:sz w:val="16"/>
                <w:szCs w:val="16"/>
              </w:rPr>
            </w:pPr>
            <w:r>
              <w:rPr>
                <w:sz w:val="16"/>
                <w:szCs w:val="16"/>
                <w:spacing w:val="-3"/>
              </w:rPr>
              <w:t>3.4</w:t>
            </w:r>
          </w:p>
        </w:tc>
        <w:tc>
          <w:tcPr>
            <w:tcW w:w="3146" w:type="dxa"/>
            <w:vAlign w:val="top"/>
          </w:tcPr>
          <w:p>
            <w:pPr>
              <w:pStyle w:val="TableText"/>
              <w:ind w:left="111" w:right="1" w:firstLine="149"/>
              <w:spacing w:before="191" w:line="260" w:lineRule="auto"/>
              <w:rPr>
                <w:sz w:val="16"/>
                <w:szCs w:val="16"/>
              </w:rPr>
            </w:pPr>
            <w:r>
              <w:rPr>
                <w:sz w:val="16"/>
                <w:szCs w:val="16"/>
                <w:spacing w:val="-1"/>
              </w:rPr>
              <w:t>利益相关者根据已定义的标准所要求的过</w:t>
            </w:r>
            <w:r>
              <w:rPr>
                <w:sz w:val="16"/>
                <w:szCs w:val="16"/>
                <w:spacing w:val="10"/>
              </w:rPr>
              <w:t xml:space="preserve"> </w:t>
            </w:r>
            <w:r>
              <w:rPr>
                <w:sz w:val="16"/>
                <w:szCs w:val="16"/>
                <w:spacing w:val="-1"/>
              </w:rPr>
              <w:t>程以及其他过程对沟通进行评审</w:t>
            </w:r>
          </w:p>
        </w:tc>
        <w:tc>
          <w:tcPr>
            <w:tcW w:w="3740" w:type="dxa"/>
            <w:vAlign w:val="top"/>
          </w:tcPr>
          <w:p>
            <w:pPr>
              <w:pStyle w:val="TableText"/>
              <w:ind w:left="265"/>
              <w:spacing w:before="51" w:line="220" w:lineRule="auto"/>
              <w:rPr>
                <w:sz w:val="16"/>
                <w:szCs w:val="16"/>
              </w:rPr>
            </w:pPr>
            <w:r>
              <w:rPr>
                <w:sz w:val="16"/>
                <w:szCs w:val="16"/>
                <w:spacing w:val="1"/>
              </w:rPr>
              <w:t>●沟通方针</w:t>
            </w:r>
          </w:p>
          <w:p>
            <w:pPr>
              <w:pStyle w:val="TableText"/>
              <w:ind w:left="265"/>
              <w:spacing w:before="79" w:line="220" w:lineRule="auto"/>
              <w:rPr>
                <w:sz w:val="16"/>
                <w:szCs w:val="16"/>
              </w:rPr>
            </w:pPr>
            <w:r>
              <w:rPr>
                <w:sz w:val="16"/>
                <w:szCs w:val="16"/>
                <w:spacing w:val="1"/>
              </w:rPr>
              <w:t>●沟通评审记录</w:t>
            </w:r>
          </w:p>
          <w:p>
            <w:pPr>
              <w:pStyle w:val="TableText"/>
              <w:ind w:left="265"/>
              <w:spacing w:before="59" w:line="216" w:lineRule="auto"/>
              <w:rPr>
                <w:sz w:val="16"/>
                <w:szCs w:val="16"/>
              </w:rPr>
            </w:pPr>
            <w:r>
              <w:rPr>
                <w:sz w:val="16"/>
                <w:szCs w:val="16"/>
              </w:rPr>
              <w:t>●标准、政策和过程的调整</w:t>
            </w:r>
          </w:p>
        </w:tc>
      </w:tr>
    </w:tbl>
    <w:p>
      <w:pPr>
        <w:ind w:left="57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39" w:right="75" w:firstLine="450"/>
        <w:spacing w:before="37" w:line="247" w:lineRule="auto"/>
        <w:rPr>
          <w:rFonts w:ascii="SimSun" w:hAnsi="SimSun" w:eastAsia="SimSun" w:cs="SimSun"/>
          <w:sz w:val="22"/>
          <w:szCs w:val="22"/>
        </w:rPr>
      </w:pPr>
      <w:r>
        <w:rPr>
          <w:rFonts w:ascii="SimSun" w:hAnsi="SimSun" w:eastAsia="SimSun" w:cs="SimSun"/>
          <w:sz w:val="22"/>
          <w:szCs w:val="22"/>
          <w:spacing w:val="-9"/>
        </w:rPr>
        <w:t>为了保证数据利益相关者能够及时了解数据治理的过程，沟通是数据利益相关</w:t>
      </w:r>
      <w:r>
        <w:rPr>
          <w:rFonts w:ascii="SimSun" w:hAnsi="SimSun" w:eastAsia="SimSun" w:cs="SimSun"/>
          <w:sz w:val="22"/>
          <w:szCs w:val="22"/>
          <w:spacing w:val="4"/>
        </w:rPr>
        <w:t xml:space="preserve"> </w:t>
      </w:r>
      <w:r>
        <w:rPr>
          <w:rFonts w:ascii="SimSun" w:hAnsi="SimSun" w:eastAsia="SimSun" w:cs="SimSun"/>
          <w:sz w:val="22"/>
          <w:szCs w:val="22"/>
          <w:spacing w:val="-8"/>
        </w:rPr>
        <w:t>者获取相关信息的最佳渠道。数据利益相关者根据已定义的标准对沟通</w:t>
      </w:r>
      <w:r>
        <w:rPr>
          <w:rFonts w:ascii="SimSun" w:hAnsi="SimSun" w:eastAsia="SimSun" w:cs="SimSun"/>
          <w:sz w:val="22"/>
          <w:szCs w:val="22"/>
          <w:spacing w:val="-9"/>
        </w:rPr>
        <w:t>策略进行评</w:t>
      </w:r>
      <w:r>
        <w:rPr>
          <w:rFonts w:ascii="SimSun" w:hAnsi="SimSun" w:eastAsia="SimSun" w:cs="SimSun"/>
          <w:sz w:val="22"/>
          <w:szCs w:val="22"/>
        </w:rPr>
        <w:t xml:space="preserve"> </w:t>
      </w:r>
      <w:r>
        <w:rPr>
          <w:rFonts w:ascii="SimSun" w:hAnsi="SimSun" w:eastAsia="SimSun" w:cs="SimSun"/>
          <w:sz w:val="22"/>
          <w:szCs w:val="22"/>
          <w:spacing w:val="-13"/>
        </w:rPr>
        <w:t>审，提出对沟通策略改进的建议。</w:t>
      </w:r>
    </w:p>
    <w:p>
      <w:pPr>
        <w:spacing w:line="145" w:lineRule="exact"/>
        <w:rPr/>
      </w:pPr>
      <w:r/>
    </w:p>
    <w:tbl>
      <w:tblPr>
        <w:tblStyle w:val="TableNormal"/>
        <w:tblW w:w="7599"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2"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297" w:hRule="atLeast"/>
        </w:trPr>
        <w:tc>
          <w:tcPr>
            <w:tcW w:w="714" w:type="dxa"/>
            <w:vAlign w:val="top"/>
          </w:tcPr>
          <w:p>
            <w:pPr>
              <w:spacing w:line="277" w:lineRule="auto"/>
              <w:rPr>
                <w:rFonts w:ascii="Arial"/>
                <w:sz w:val="21"/>
              </w:rPr>
            </w:pPr>
            <w:r/>
          </w:p>
          <w:p>
            <w:pPr>
              <w:spacing w:line="278" w:lineRule="auto"/>
              <w:rPr>
                <w:rFonts w:ascii="Arial"/>
                <w:sz w:val="21"/>
              </w:rPr>
            </w:pPr>
            <w:r/>
          </w:p>
          <w:p>
            <w:pPr>
              <w:pStyle w:val="TableText"/>
              <w:ind w:left="224"/>
              <w:spacing w:before="52" w:line="183" w:lineRule="auto"/>
              <w:rPr>
                <w:sz w:val="16"/>
                <w:szCs w:val="16"/>
              </w:rPr>
            </w:pPr>
            <w:r>
              <w:rPr>
                <w:sz w:val="16"/>
                <w:szCs w:val="16"/>
                <w:spacing w:val="-3"/>
              </w:rPr>
              <w:t>3.5</w:t>
            </w:r>
          </w:p>
        </w:tc>
        <w:tc>
          <w:tcPr>
            <w:tcW w:w="3145" w:type="dxa"/>
            <w:vAlign w:val="top"/>
          </w:tcPr>
          <w:p>
            <w:pPr>
              <w:spacing w:line="395" w:lineRule="auto"/>
              <w:rPr>
                <w:rFonts w:ascii="Arial"/>
                <w:sz w:val="21"/>
              </w:rPr>
            </w:pPr>
            <w:r/>
          </w:p>
          <w:p>
            <w:pPr>
              <w:pStyle w:val="TableText"/>
              <w:ind w:left="110" w:firstLine="168"/>
              <w:spacing w:before="52" w:line="265" w:lineRule="auto"/>
              <w:rPr>
                <w:sz w:val="16"/>
                <w:szCs w:val="16"/>
              </w:rPr>
            </w:pPr>
            <w:r>
              <w:rPr>
                <w:sz w:val="16"/>
                <w:szCs w:val="16"/>
                <w:spacing w:val="-2"/>
              </w:rPr>
              <w:t>制订度量项，并利用这些度量项来衡量数</w:t>
            </w:r>
            <w:r>
              <w:rPr>
                <w:sz w:val="16"/>
                <w:szCs w:val="16"/>
                <w:spacing w:val="10"/>
              </w:rPr>
              <w:t xml:space="preserve"> </w:t>
            </w:r>
            <w:r>
              <w:rPr>
                <w:sz w:val="16"/>
                <w:szCs w:val="16"/>
                <w:spacing w:val="-2"/>
              </w:rPr>
              <w:t>据治理沟通的有效性</w:t>
            </w:r>
          </w:p>
        </w:tc>
        <w:tc>
          <w:tcPr>
            <w:tcW w:w="3740" w:type="dxa"/>
            <w:vAlign w:val="top"/>
          </w:tcPr>
          <w:p>
            <w:pPr>
              <w:pStyle w:val="TableText"/>
              <w:ind w:left="246"/>
              <w:spacing w:before="49" w:line="220" w:lineRule="auto"/>
              <w:rPr>
                <w:sz w:val="16"/>
                <w:szCs w:val="16"/>
              </w:rPr>
            </w:pPr>
            <w:r>
              <w:rPr>
                <w:sz w:val="16"/>
                <w:szCs w:val="16"/>
                <w:spacing w:val="1"/>
              </w:rPr>
              <w:t>●沟通方针</w:t>
            </w:r>
          </w:p>
          <w:p>
            <w:pPr>
              <w:pStyle w:val="TableText"/>
              <w:ind w:left="246"/>
              <w:spacing w:before="87" w:line="218" w:lineRule="auto"/>
              <w:rPr>
                <w:sz w:val="16"/>
                <w:szCs w:val="16"/>
              </w:rPr>
            </w:pPr>
            <w:r>
              <w:rPr>
                <w:sz w:val="16"/>
                <w:szCs w:val="16"/>
                <w:spacing w:val="1"/>
              </w:rPr>
              <w:t>●通告、邮件、会议记录或门户</w:t>
            </w:r>
          </w:p>
          <w:p>
            <w:pPr>
              <w:pStyle w:val="TableText"/>
              <w:ind w:left="246"/>
              <w:spacing w:before="52" w:line="220" w:lineRule="auto"/>
              <w:rPr>
                <w:sz w:val="16"/>
                <w:szCs w:val="16"/>
              </w:rPr>
            </w:pPr>
            <w:r>
              <w:rPr>
                <w:sz w:val="16"/>
                <w:szCs w:val="16"/>
                <w:spacing w:val="1"/>
              </w:rPr>
              <w:t>●沟通有效性度量项</w:t>
            </w:r>
          </w:p>
          <w:p>
            <w:pPr>
              <w:pStyle w:val="TableText"/>
              <w:ind w:left="246"/>
              <w:spacing w:before="79" w:line="220" w:lineRule="auto"/>
              <w:rPr>
                <w:sz w:val="16"/>
                <w:szCs w:val="16"/>
              </w:rPr>
            </w:pPr>
            <w:r>
              <w:rPr>
                <w:sz w:val="16"/>
                <w:szCs w:val="16"/>
                <w:spacing w:val="2"/>
              </w:rPr>
              <w:t>●沟通计划</w:t>
            </w:r>
          </w:p>
          <w:p>
            <w:pPr>
              <w:pStyle w:val="TableText"/>
              <w:ind w:left="246"/>
              <w:spacing w:before="80" w:line="204" w:lineRule="auto"/>
              <w:rPr>
                <w:sz w:val="16"/>
                <w:szCs w:val="16"/>
              </w:rPr>
            </w:pPr>
            <w:r>
              <w:rPr>
                <w:sz w:val="16"/>
                <w:szCs w:val="16"/>
              </w:rPr>
              <w:t>●关于沟通的同行反馈</w:t>
            </w:r>
          </w:p>
        </w:tc>
      </w:tr>
    </w:tbl>
    <w:p>
      <w:pPr>
        <w:ind w:left="579"/>
        <w:spacing w:before="17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39" w:right="56" w:firstLine="450"/>
        <w:spacing w:before="35" w:line="253" w:lineRule="auto"/>
        <w:rPr>
          <w:rFonts w:ascii="SimSun" w:hAnsi="SimSun" w:eastAsia="SimSun" w:cs="SimSun"/>
          <w:sz w:val="22"/>
          <w:szCs w:val="22"/>
        </w:rPr>
      </w:pPr>
      <w:r>
        <w:rPr>
          <w:rFonts w:ascii="SimSun" w:hAnsi="SimSun" w:eastAsia="SimSun" w:cs="SimSun"/>
          <w:sz w:val="22"/>
          <w:szCs w:val="22"/>
          <w:spacing w:val="-8"/>
        </w:rPr>
        <w:t>制订度量项来评估沟通的有效性是改善沟通的重要方</w:t>
      </w:r>
      <w:r>
        <w:rPr>
          <w:rFonts w:ascii="SimSun" w:hAnsi="SimSun" w:eastAsia="SimSun" w:cs="SimSun"/>
          <w:sz w:val="22"/>
          <w:szCs w:val="22"/>
          <w:spacing w:val="-9"/>
        </w:rPr>
        <w:t>式，可以根据不同的沟通</w:t>
      </w:r>
      <w:r>
        <w:rPr>
          <w:rFonts w:ascii="SimSun" w:hAnsi="SimSun" w:eastAsia="SimSun" w:cs="SimSun"/>
          <w:sz w:val="22"/>
          <w:szCs w:val="22"/>
        </w:rPr>
        <w:t xml:space="preserve"> </w:t>
      </w:r>
      <w:r>
        <w:rPr>
          <w:rFonts w:ascii="SimSun" w:hAnsi="SimSun" w:eastAsia="SimSun" w:cs="SimSun"/>
          <w:sz w:val="22"/>
          <w:szCs w:val="22"/>
          <w:spacing w:val="-8"/>
        </w:rPr>
        <w:t>方式制订相对应的度量项。例如，进行问卷调查时，回收份数、回收率、有效回收</w:t>
      </w:r>
      <w:r>
        <w:rPr>
          <w:rFonts w:ascii="SimSun" w:hAnsi="SimSun" w:eastAsia="SimSun" w:cs="SimSun"/>
          <w:sz w:val="22"/>
          <w:szCs w:val="22"/>
          <w:spacing w:val="15"/>
        </w:rPr>
        <w:t xml:space="preserve"> </w:t>
      </w:r>
      <w:r>
        <w:rPr>
          <w:rFonts w:ascii="SimSun" w:hAnsi="SimSun" w:eastAsia="SimSun" w:cs="SimSun"/>
          <w:sz w:val="22"/>
          <w:szCs w:val="22"/>
          <w:spacing w:val="-10"/>
        </w:rPr>
        <w:t>率、调研对象代表性等指标可以用来作为度量项。</w:t>
      </w:r>
    </w:p>
    <w:p>
      <w:pPr>
        <w:ind w:left="239" w:right="55" w:firstLine="450"/>
        <w:spacing w:before="70" w:line="235" w:lineRule="auto"/>
        <w:rPr>
          <w:rFonts w:ascii="SimSun" w:hAnsi="SimSun" w:eastAsia="SimSun" w:cs="SimSun"/>
          <w:sz w:val="22"/>
          <w:szCs w:val="22"/>
        </w:rPr>
      </w:pPr>
      <w:r>
        <w:rPr>
          <w:rFonts w:ascii="SimSun" w:hAnsi="SimSun" w:eastAsia="SimSun" w:cs="SimSun"/>
          <w:sz w:val="22"/>
          <w:szCs w:val="22"/>
          <w:spacing w:val="-8"/>
        </w:rPr>
        <w:t>沟通度量项取决于沟通战略中定义的目标、目的和渠道</w:t>
      </w:r>
      <w:r>
        <w:rPr>
          <w:rFonts w:ascii="SimSun" w:hAnsi="SimSun" w:eastAsia="SimSun" w:cs="SimSun"/>
          <w:sz w:val="22"/>
          <w:szCs w:val="22"/>
          <w:spacing w:val="-9"/>
        </w:rPr>
        <w:t>。这些度量项应衡量数</w:t>
      </w:r>
      <w:r>
        <w:rPr>
          <w:rFonts w:ascii="SimSun" w:hAnsi="SimSun" w:eastAsia="SimSun" w:cs="SimSun"/>
          <w:sz w:val="22"/>
          <w:szCs w:val="22"/>
        </w:rPr>
        <w:t xml:space="preserve"> </w:t>
      </w:r>
      <w:r>
        <w:rPr>
          <w:rFonts w:ascii="SimSun" w:hAnsi="SimSun" w:eastAsia="SimSun" w:cs="SimSun"/>
          <w:sz w:val="22"/>
          <w:szCs w:val="22"/>
          <w:spacing w:val="-9"/>
        </w:rPr>
        <w:t>据治理沟通的有效性和效率。沟通度量项的实例包括已确定的利益相关者的比例；</w:t>
      </w:r>
    </w:p>
    <w:p>
      <w:pPr>
        <w:spacing w:line="235" w:lineRule="auto"/>
        <w:sectPr>
          <w:footerReference w:type="default" r:id="rId185"/>
          <w:pgSz w:w="8870" w:h="13400"/>
          <w:pgMar w:top="400" w:right="484" w:bottom="474" w:left="440" w:header="0" w:footer="256" w:gutter="0"/>
        </w:sectPr>
        <w:rPr>
          <w:rFonts w:ascii="SimSun" w:hAnsi="SimSun" w:eastAsia="SimSun" w:cs="SimSun"/>
          <w:sz w:val="22"/>
          <w:szCs w:val="22"/>
        </w:rPr>
      </w:pPr>
    </w:p>
    <w:p>
      <w:pPr>
        <w:ind w:left="5482"/>
        <w:spacing w:before="264" w:line="219" w:lineRule="auto"/>
        <w:rPr>
          <w:rFonts w:ascii="SimSun" w:hAnsi="SimSun" w:eastAsia="SimSun" w:cs="SimSun"/>
          <w:sz w:val="21"/>
          <w:szCs w:val="21"/>
        </w:rPr>
      </w:pPr>
      <w:r>
        <w:rPr>
          <w:rFonts w:ascii="SimSun" w:hAnsi="SimSun" w:eastAsia="SimSun" w:cs="SimSun"/>
          <w:sz w:val="21"/>
          <w:szCs w:val="21"/>
          <w:b/>
          <w:bCs/>
          <w:spacing w:val="15"/>
        </w:rPr>
        <w:t>第4章■云端数据战略</w:t>
      </w:r>
    </w:p>
    <w:p>
      <w:pPr>
        <w:pStyle w:val="BodyText"/>
        <w:spacing w:line="245" w:lineRule="auto"/>
        <w:rPr/>
      </w:pPr>
      <w:r/>
    </w:p>
    <w:p>
      <w:pPr>
        <w:ind w:right="264"/>
        <w:spacing w:before="68" w:line="251" w:lineRule="auto"/>
        <w:rPr>
          <w:rFonts w:ascii="SimSun" w:hAnsi="SimSun" w:eastAsia="SimSun" w:cs="SimSun"/>
          <w:sz w:val="21"/>
          <w:szCs w:val="21"/>
        </w:rPr>
      </w:pPr>
      <w:r>
        <w:rPr>
          <w:rFonts w:ascii="SimSun" w:hAnsi="SimSun" w:eastAsia="SimSun" w:cs="SimSun"/>
          <w:sz w:val="21"/>
          <w:szCs w:val="21"/>
          <w:spacing w:val="2"/>
        </w:rPr>
        <w:t>传达给利益相关者的数据管理政策和程序的采用率；参与制订数据</w:t>
      </w:r>
      <w:r>
        <w:rPr>
          <w:rFonts w:ascii="SimSun" w:hAnsi="SimSun" w:eastAsia="SimSun" w:cs="SimSun"/>
          <w:sz w:val="21"/>
          <w:szCs w:val="21"/>
          <w:spacing w:val="1"/>
        </w:rPr>
        <w:t>治理沟通战略的</w:t>
      </w:r>
      <w:r>
        <w:rPr>
          <w:rFonts w:ascii="SimSun" w:hAnsi="SimSun" w:eastAsia="SimSun" w:cs="SimSun"/>
          <w:sz w:val="21"/>
          <w:szCs w:val="21"/>
        </w:rPr>
        <w:t xml:space="preserve"> </w:t>
      </w:r>
      <w:r>
        <w:rPr>
          <w:rFonts w:ascii="SimSun" w:hAnsi="SimSun" w:eastAsia="SimSun" w:cs="SimSun"/>
          <w:sz w:val="21"/>
          <w:szCs w:val="21"/>
          <w:spacing w:val="-4"/>
        </w:rPr>
        <w:t>利益相关者的比例。</w:t>
      </w:r>
    </w:p>
    <w:p>
      <w:pPr>
        <w:ind w:left="422"/>
        <w:spacing w:before="64" w:line="221" w:lineRule="auto"/>
        <w:rPr>
          <w:rFonts w:ascii="SimHei" w:hAnsi="SimHei" w:eastAsia="SimHei" w:cs="SimHei"/>
          <w:sz w:val="21"/>
          <w:szCs w:val="21"/>
        </w:rPr>
      </w:pPr>
      <w:r>
        <w:rPr>
          <w:rFonts w:ascii="SimSun" w:hAnsi="SimSun" w:eastAsia="SimSun" w:cs="SimSun"/>
          <w:sz w:val="21"/>
          <w:szCs w:val="21"/>
          <w:b/>
          <w:bCs/>
          <w:spacing w:val="-2"/>
        </w:rPr>
        <w:t>Level</w:t>
      </w:r>
      <w:r>
        <w:rPr>
          <w:rFonts w:ascii="SimSun" w:hAnsi="SimSun" w:eastAsia="SimSun" w:cs="SimSun"/>
          <w:sz w:val="21"/>
          <w:szCs w:val="21"/>
          <w:spacing w:val="-2"/>
        </w:rPr>
        <w:t xml:space="preserve"> </w:t>
      </w:r>
      <w:r>
        <w:rPr>
          <w:rFonts w:ascii="SimSun" w:hAnsi="SimSun" w:eastAsia="SimSun" w:cs="SimSun"/>
          <w:sz w:val="21"/>
          <w:szCs w:val="21"/>
          <w:b/>
          <w:bCs/>
          <w:spacing w:val="-2"/>
        </w:rPr>
        <w:t>4:</w:t>
      </w:r>
      <w:r>
        <w:rPr>
          <w:rFonts w:ascii="SimHei" w:hAnsi="SimHei" w:eastAsia="SimHei" w:cs="SimHei"/>
          <w:sz w:val="21"/>
          <w:szCs w:val="21"/>
          <w:b/>
          <w:bCs/>
          <w:spacing w:val="-2"/>
        </w:rPr>
        <w:t>量化级</w:t>
      </w:r>
    </w:p>
    <w:p>
      <w:pPr>
        <w:spacing w:line="129"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1"/>
              <w:spacing w:before="81" w:line="219" w:lineRule="auto"/>
              <w:rPr>
                <w:sz w:val="16"/>
                <w:szCs w:val="16"/>
              </w:rPr>
            </w:pPr>
            <w:r>
              <w:rPr>
                <w:sz w:val="16"/>
                <w:szCs w:val="16"/>
                <w:spacing w:val="-6"/>
              </w:rPr>
              <w:t>等</w:t>
            </w:r>
            <w:r>
              <w:rPr>
                <w:sz w:val="16"/>
                <w:szCs w:val="16"/>
                <w:spacing w:val="7"/>
              </w:rPr>
              <w:t xml:space="preserve"> </w:t>
            </w:r>
            <w:r>
              <w:rPr>
                <w:sz w:val="16"/>
                <w:szCs w:val="16"/>
                <w:spacing w:val="-6"/>
              </w:rPr>
              <w:t>级</w:t>
            </w:r>
            <w:r>
              <w:rPr>
                <w:sz w:val="16"/>
                <w:szCs w:val="16"/>
                <w:spacing w:val="5"/>
              </w:rPr>
              <w:t xml:space="preserve"> </w:t>
            </w:r>
            <w:r>
              <w:rPr>
                <w:sz w:val="16"/>
                <w:szCs w:val="16"/>
                <w:spacing w:val="-6"/>
              </w:rPr>
              <w:t>要</w:t>
            </w:r>
            <w:r>
              <w:rPr>
                <w:sz w:val="16"/>
                <w:szCs w:val="16"/>
                <w:spacing w:val="5"/>
              </w:rPr>
              <w:t xml:space="preserve"> </w:t>
            </w:r>
            <w:r>
              <w:rPr>
                <w:sz w:val="16"/>
                <w:szCs w:val="16"/>
                <w:spacing w:val="-6"/>
              </w:rPr>
              <w:t>求</w:t>
            </w:r>
          </w:p>
        </w:tc>
        <w:tc>
          <w:tcPr>
            <w:tcW w:w="3750" w:type="dxa"/>
            <w:vAlign w:val="top"/>
          </w:tcPr>
          <w:p>
            <w:pPr>
              <w:pStyle w:val="TableText"/>
              <w:ind w:left="158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07" w:hRule="atLeast"/>
        </w:trPr>
        <w:tc>
          <w:tcPr>
            <w:tcW w:w="704" w:type="dxa"/>
            <w:vAlign w:val="top"/>
          </w:tcPr>
          <w:p>
            <w:pPr>
              <w:spacing w:line="465" w:lineRule="auto"/>
              <w:rPr>
                <w:rFonts w:ascii="Arial"/>
                <w:sz w:val="21"/>
              </w:rPr>
            </w:pPr>
            <w:r/>
          </w:p>
          <w:p>
            <w:pPr>
              <w:pStyle w:val="TableText"/>
              <w:ind w:left="224"/>
              <w:spacing w:before="52" w:line="184" w:lineRule="auto"/>
              <w:rPr>
                <w:sz w:val="16"/>
                <w:szCs w:val="16"/>
              </w:rPr>
            </w:pPr>
            <w:r>
              <w:rPr>
                <w:sz w:val="16"/>
                <w:szCs w:val="16"/>
                <w:spacing w:val="-2"/>
              </w:rPr>
              <w:t>4.1</w:t>
            </w:r>
          </w:p>
        </w:tc>
        <w:tc>
          <w:tcPr>
            <w:tcW w:w="3145" w:type="dxa"/>
            <w:vAlign w:val="top"/>
          </w:tcPr>
          <w:p>
            <w:pPr>
              <w:spacing w:line="304" w:lineRule="auto"/>
              <w:rPr>
                <w:rFonts w:ascii="Arial"/>
                <w:sz w:val="21"/>
              </w:rPr>
            </w:pPr>
            <w:r/>
          </w:p>
          <w:p>
            <w:pPr>
              <w:pStyle w:val="TableText"/>
              <w:ind w:left="111" w:firstLine="159"/>
              <w:spacing w:before="52" w:line="266" w:lineRule="auto"/>
              <w:rPr>
                <w:sz w:val="16"/>
                <w:szCs w:val="16"/>
              </w:rPr>
            </w:pPr>
            <w:r>
              <w:rPr>
                <w:sz w:val="16"/>
                <w:szCs w:val="16"/>
                <w:spacing w:val="-1"/>
              </w:rPr>
              <w:t>依据沟通战略，对与外部利益相关者进行</w:t>
            </w:r>
            <w:r>
              <w:rPr>
                <w:sz w:val="16"/>
                <w:szCs w:val="16"/>
                <w:spacing w:val="1"/>
              </w:rPr>
              <w:t xml:space="preserve"> </w:t>
            </w:r>
            <w:r>
              <w:rPr>
                <w:sz w:val="16"/>
                <w:szCs w:val="16"/>
              </w:rPr>
              <w:t>的数据治理沟通进行策划和实施</w:t>
            </w:r>
          </w:p>
        </w:tc>
        <w:tc>
          <w:tcPr>
            <w:tcW w:w="3750" w:type="dxa"/>
            <w:vAlign w:val="top"/>
          </w:tcPr>
          <w:p>
            <w:pPr>
              <w:pStyle w:val="TableText"/>
              <w:ind w:left="256"/>
              <w:spacing w:before="80" w:line="220" w:lineRule="auto"/>
              <w:rPr>
                <w:sz w:val="16"/>
                <w:szCs w:val="16"/>
              </w:rPr>
            </w:pPr>
            <w:r>
              <w:rPr>
                <w:sz w:val="16"/>
                <w:szCs w:val="16"/>
                <w:spacing w:val="1"/>
              </w:rPr>
              <w:t>●沟通方针</w:t>
            </w:r>
          </w:p>
          <w:p>
            <w:pPr>
              <w:pStyle w:val="TableText"/>
              <w:ind w:left="256"/>
              <w:spacing w:before="87" w:line="218" w:lineRule="auto"/>
              <w:rPr>
                <w:sz w:val="16"/>
                <w:szCs w:val="16"/>
              </w:rPr>
            </w:pPr>
            <w:r>
              <w:rPr>
                <w:sz w:val="16"/>
                <w:szCs w:val="16"/>
                <w:spacing w:val="1"/>
              </w:rPr>
              <w:t>●通告、邮件、会议记录或门户</w:t>
            </w:r>
          </w:p>
          <w:p>
            <w:pPr>
              <w:pStyle w:val="TableText"/>
              <w:ind w:left="256"/>
              <w:spacing w:before="82" w:line="219" w:lineRule="auto"/>
              <w:rPr>
                <w:sz w:val="16"/>
                <w:szCs w:val="16"/>
              </w:rPr>
            </w:pPr>
            <w:r>
              <w:rPr>
                <w:sz w:val="16"/>
                <w:szCs w:val="16"/>
              </w:rPr>
              <w:t>●与外部的沟通记录</w:t>
            </w:r>
          </w:p>
          <w:p>
            <w:pPr>
              <w:pStyle w:val="TableText"/>
              <w:ind w:left="256"/>
              <w:spacing w:before="90" w:line="216" w:lineRule="auto"/>
              <w:rPr>
                <w:sz w:val="16"/>
                <w:szCs w:val="16"/>
              </w:rPr>
            </w:pPr>
            <w:r>
              <w:rPr>
                <w:sz w:val="16"/>
                <w:szCs w:val="16"/>
                <w:spacing w:val="1"/>
              </w:rPr>
              <w:t>●沟通成果</w:t>
            </w:r>
          </w:p>
        </w:tc>
      </w:tr>
    </w:tbl>
    <w:p>
      <w:pPr>
        <w:ind w:left="31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63" w:firstLine="419"/>
        <w:spacing w:before="52" w:line="262" w:lineRule="auto"/>
        <w:rPr>
          <w:rFonts w:ascii="SimSun" w:hAnsi="SimSun" w:eastAsia="SimSun" w:cs="SimSun"/>
          <w:sz w:val="21"/>
          <w:szCs w:val="21"/>
        </w:rPr>
      </w:pPr>
      <w:r>
        <w:rPr>
          <w:rFonts w:ascii="SimSun" w:hAnsi="SimSun" w:eastAsia="SimSun" w:cs="SimSun"/>
          <w:sz w:val="21"/>
          <w:szCs w:val="21"/>
          <w:spacing w:val="2"/>
        </w:rPr>
        <w:t>数据治理不是组织的完全封闭活动，尤其是云计算环</w:t>
      </w:r>
      <w:r>
        <w:rPr>
          <w:rFonts w:ascii="SimSun" w:hAnsi="SimSun" w:eastAsia="SimSun" w:cs="SimSun"/>
          <w:sz w:val="21"/>
          <w:szCs w:val="21"/>
          <w:spacing w:val="1"/>
        </w:rPr>
        <w:t>境下数据的远程分布式存</w:t>
      </w:r>
      <w:r>
        <w:rPr>
          <w:rFonts w:ascii="SimSun" w:hAnsi="SimSun" w:eastAsia="SimSun" w:cs="SimSun"/>
          <w:sz w:val="21"/>
          <w:szCs w:val="21"/>
        </w:rPr>
        <w:t xml:space="preserve"> </w:t>
      </w:r>
      <w:r>
        <w:rPr>
          <w:rFonts w:ascii="SimSun" w:hAnsi="SimSun" w:eastAsia="SimSun" w:cs="SimSun"/>
          <w:sz w:val="21"/>
          <w:szCs w:val="21"/>
          <w:spacing w:val="2"/>
        </w:rPr>
        <w:t>储，数据流通站更多，数据来源更广泛，数据安全保护要求更多，因</w:t>
      </w:r>
      <w:r>
        <w:rPr>
          <w:rFonts w:ascii="SimSun" w:hAnsi="SimSun" w:eastAsia="SimSun" w:cs="SimSun"/>
          <w:sz w:val="21"/>
          <w:szCs w:val="21"/>
          <w:spacing w:val="1"/>
        </w:rPr>
        <w:t>此数据治理必</w:t>
      </w:r>
      <w:r>
        <w:rPr>
          <w:rFonts w:ascii="SimSun" w:hAnsi="SimSun" w:eastAsia="SimSun" w:cs="SimSun"/>
          <w:sz w:val="21"/>
          <w:szCs w:val="21"/>
        </w:rPr>
        <w:t xml:space="preserve"> </w:t>
      </w:r>
      <w:r>
        <w:rPr>
          <w:rFonts w:ascii="SimSun" w:hAnsi="SimSun" w:eastAsia="SimSun" w:cs="SimSun"/>
          <w:sz w:val="21"/>
          <w:szCs w:val="21"/>
          <w:spacing w:val="1"/>
        </w:rPr>
        <w:t>须是一个与外部不断沟通的活动。与数据治理相关的外部机构一般包括监管</w:t>
      </w:r>
      <w:r>
        <w:rPr>
          <w:rFonts w:ascii="SimSun" w:hAnsi="SimSun" w:eastAsia="SimSun" w:cs="SimSun"/>
          <w:sz w:val="21"/>
          <w:szCs w:val="21"/>
        </w:rPr>
        <w:t>机构、 </w:t>
      </w:r>
      <w:r>
        <w:rPr>
          <w:rFonts w:ascii="SimSun" w:hAnsi="SimSun" w:eastAsia="SimSun" w:cs="SimSun"/>
          <w:sz w:val="21"/>
          <w:szCs w:val="21"/>
          <w:spacing w:val="-3"/>
        </w:rPr>
        <w:t>工业与贸易组织、标准化机构等，</w:t>
      </w:r>
      <w:r>
        <w:rPr>
          <w:rFonts w:ascii="SimSun" w:hAnsi="SimSun" w:eastAsia="SimSun" w:cs="SimSun"/>
          <w:sz w:val="21"/>
          <w:szCs w:val="21"/>
          <w:spacing w:val="60"/>
        </w:rPr>
        <w:t xml:space="preserve"> </w:t>
      </w:r>
      <w:r>
        <w:rPr>
          <w:rFonts w:ascii="SimSun" w:hAnsi="SimSun" w:eastAsia="SimSun" w:cs="SimSun"/>
          <w:sz w:val="21"/>
          <w:szCs w:val="21"/>
          <w:spacing w:val="-3"/>
        </w:rPr>
        <w:t>一个完备的沟通战略应该包括与外部机构的沟通</w:t>
      </w:r>
      <w:r>
        <w:rPr>
          <w:rFonts w:ascii="SimSun" w:hAnsi="SimSun" w:eastAsia="SimSun" w:cs="SimSun"/>
          <w:sz w:val="21"/>
          <w:szCs w:val="21"/>
        </w:rPr>
        <w:t xml:space="preserve"> </w:t>
      </w:r>
      <w:r>
        <w:rPr>
          <w:rFonts w:ascii="SimSun" w:hAnsi="SimSun" w:eastAsia="SimSun" w:cs="SimSun"/>
          <w:sz w:val="21"/>
          <w:szCs w:val="21"/>
          <w:spacing w:val="-4"/>
        </w:rPr>
        <w:t>策略。</w:t>
      </w:r>
    </w:p>
    <w:p>
      <w:pPr>
        <w:spacing w:line="145"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12" w:hRule="atLeast"/>
        </w:trPr>
        <w:tc>
          <w:tcPr>
            <w:tcW w:w="704" w:type="dxa"/>
            <w:vAlign w:val="top"/>
          </w:tcPr>
          <w:p>
            <w:pPr>
              <w:pStyle w:val="TableText"/>
              <w:ind w:left="195"/>
              <w:spacing w:before="82"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48"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4.2</w:t>
            </w:r>
          </w:p>
        </w:tc>
        <w:tc>
          <w:tcPr>
            <w:tcW w:w="3135" w:type="dxa"/>
            <w:vAlign w:val="top"/>
          </w:tcPr>
          <w:p>
            <w:pPr>
              <w:pStyle w:val="TableText"/>
              <w:ind w:left="101" w:right="169" w:firstLine="160"/>
              <w:spacing w:before="219" w:line="288" w:lineRule="auto"/>
              <w:rPr/>
            </w:pPr>
            <w:r>
              <w:rPr>
                <w:spacing w:val="-1"/>
              </w:rPr>
              <w:t>采用统计学手段或其他量化手段来完善数</w:t>
            </w:r>
            <w:r>
              <w:rPr>
                <w:spacing w:val="11"/>
              </w:rPr>
              <w:t xml:space="preserve"> </w:t>
            </w:r>
            <w:r>
              <w:rPr>
                <w:spacing w:val="-1"/>
              </w:rPr>
              <w:t>据治理沟通</w:t>
            </w:r>
          </w:p>
        </w:tc>
        <w:tc>
          <w:tcPr>
            <w:tcW w:w="3760" w:type="dxa"/>
            <w:vAlign w:val="top"/>
          </w:tcPr>
          <w:p>
            <w:pPr>
              <w:pStyle w:val="TableText"/>
              <w:ind w:left="116" w:right="82" w:firstLine="240"/>
              <w:spacing w:before="89" w:line="282" w:lineRule="auto"/>
              <w:rPr/>
            </w:pPr>
            <w:r>
              <w:rPr/>
              <w:t>●对与沟通有效性度量项相关的数据治理沟通计划</w:t>
            </w:r>
            <w:r>
              <w:rPr>
                <w:spacing w:val="10"/>
              </w:rPr>
              <w:t xml:space="preserve"> </w:t>
            </w:r>
            <w:r>
              <w:rPr>
                <w:spacing w:val="-1"/>
              </w:rPr>
              <w:t>进行的更改</w:t>
            </w:r>
          </w:p>
          <w:p>
            <w:pPr>
              <w:pStyle w:val="TableText"/>
              <w:ind w:left="206"/>
              <w:spacing w:before="100" w:line="218" w:lineRule="auto"/>
              <w:rPr/>
            </w:pPr>
            <w:r>
              <w:rPr>
                <w:spacing w:val="1"/>
              </w:rPr>
              <w:t>●监管类通信记录(即对问询的回应、报告和备忘录)</w:t>
            </w:r>
          </w:p>
        </w:tc>
      </w:tr>
    </w:tbl>
    <w:p>
      <w:pPr>
        <w:ind w:left="314"/>
        <w:spacing w:before="204" w:line="219" w:lineRule="auto"/>
        <w:rPr>
          <w:rFonts w:ascii="SimSun" w:hAnsi="SimSun" w:eastAsia="SimSun" w:cs="SimSun"/>
          <w:sz w:val="21"/>
          <w:szCs w:val="21"/>
        </w:rPr>
      </w:pPr>
      <w:r>
        <w:rPr>
          <w:rFonts w:ascii="SimSun" w:hAnsi="SimSun" w:eastAsia="SimSun" w:cs="SimSun"/>
          <w:sz w:val="21"/>
          <w:szCs w:val="21"/>
          <w:spacing w:val="2"/>
        </w:rPr>
        <w:t>【成熟度等级说明】</w:t>
      </w:r>
    </w:p>
    <w:p>
      <w:pPr>
        <w:ind w:right="160" w:firstLine="419"/>
        <w:spacing w:before="82" w:line="259" w:lineRule="auto"/>
        <w:rPr>
          <w:rFonts w:ascii="SimSun" w:hAnsi="SimSun" w:eastAsia="SimSun" w:cs="SimSun"/>
          <w:sz w:val="21"/>
          <w:szCs w:val="21"/>
        </w:rPr>
      </w:pPr>
      <w:r>
        <w:rPr>
          <w:rFonts w:ascii="SimSun" w:hAnsi="SimSun" w:eastAsia="SimSun" w:cs="SimSun"/>
          <w:sz w:val="21"/>
          <w:szCs w:val="21"/>
          <w:spacing w:val="2"/>
        </w:rPr>
        <w:t>统计方法是指有关收集、整理、分析和解释统计数据，并</w:t>
      </w:r>
      <w:r>
        <w:rPr>
          <w:rFonts w:ascii="SimSun" w:hAnsi="SimSun" w:eastAsia="SimSun" w:cs="SimSun"/>
          <w:sz w:val="21"/>
          <w:szCs w:val="21"/>
          <w:spacing w:val="1"/>
        </w:rPr>
        <w:t>对其所反映的问题做</w:t>
      </w:r>
      <w:r>
        <w:rPr>
          <w:rFonts w:ascii="SimSun" w:hAnsi="SimSun" w:eastAsia="SimSun" w:cs="SimSun"/>
          <w:sz w:val="21"/>
          <w:szCs w:val="21"/>
        </w:rPr>
        <w:t xml:space="preserve">  </w:t>
      </w:r>
      <w:r>
        <w:rPr>
          <w:rFonts w:ascii="SimSun" w:hAnsi="SimSun" w:eastAsia="SimSun" w:cs="SimSun"/>
          <w:sz w:val="21"/>
          <w:szCs w:val="21"/>
          <w:spacing w:val="1"/>
        </w:rPr>
        <w:t>出一定结论的方法。通过对用来度量沟通有效性的度量项进行分析，评价沟通策略</w:t>
      </w:r>
      <w:r>
        <w:rPr>
          <w:rFonts w:ascii="SimSun" w:hAnsi="SimSun" w:eastAsia="SimSun" w:cs="SimSun"/>
          <w:sz w:val="21"/>
          <w:szCs w:val="21"/>
        </w:rPr>
        <w:t xml:space="preserve">  </w:t>
      </w:r>
      <w:r>
        <w:rPr>
          <w:rFonts w:ascii="SimSun" w:hAnsi="SimSun" w:eastAsia="SimSun" w:cs="SimSun"/>
          <w:sz w:val="21"/>
          <w:szCs w:val="21"/>
          <w:spacing w:val="-1"/>
        </w:rPr>
        <w:t>和过程的有效性与效率。例如，进行问卷调查时，回收份数、回收率、有效</w:t>
      </w:r>
      <w:r>
        <w:rPr>
          <w:rFonts w:ascii="SimSun" w:hAnsi="SimSun" w:eastAsia="SimSun" w:cs="SimSun"/>
          <w:sz w:val="21"/>
          <w:szCs w:val="21"/>
          <w:spacing w:val="-2"/>
        </w:rPr>
        <w:t>回收率、</w:t>
      </w:r>
      <w:r>
        <w:rPr>
          <w:rFonts w:ascii="SimSun" w:hAnsi="SimSun" w:eastAsia="SimSun" w:cs="SimSun"/>
          <w:sz w:val="21"/>
          <w:szCs w:val="21"/>
        </w:rPr>
        <w:t xml:space="preserve"> </w:t>
      </w:r>
      <w:r>
        <w:rPr>
          <w:rFonts w:ascii="SimSun" w:hAnsi="SimSun" w:eastAsia="SimSun" w:cs="SimSun"/>
          <w:sz w:val="21"/>
          <w:szCs w:val="21"/>
          <w:spacing w:val="-2"/>
        </w:rPr>
        <w:t>调研对象代表性等指标可以用来作为度量项。</w:t>
      </w:r>
    </w:p>
    <w:p>
      <w:pPr>
        <w:ind w:left="422"/>
        <w:spacing w:before="46" w:line="221" w:lineRule="auto"/>
        <w:rPr>
          <w:rFonts w:ascii="SimHei" w:hAnsi="SimHei" w:eastAsia="SimHei" w:cs="SimHei"/>
          <w:sz w:val="21"/>
          <w:szCs w:val="21"/>
        </w:rPr>
      </w:pPr>
      <w:r>
        <w:rPr>
          <w:rFonts w:ascii="SimSun" w:hAnsi="SimSun" w:eastAsia="SimSun" w:cs="SimSun"/>
          <w:sz w:val="21"/>
          <w:szCs w:val="21"/>
          <w:b/>
          <w:bCs/>
          <w:spacing w:val="-9"/>
        </w:rPr>
        <w:t>Level</w:t>
      </w:r>
      <w:r>
        <w:rPr>
          <w:rFonts w:ascii="SimSun" w:hAnsi="SimSun" w:eastAsia="SimSun" w:cs="SimSun"/>
          <w:sz w:val="21"/>
          <w:szCs w:val="21"/>
          <w:spacing w:val="-9"/>
        </w:rPr>
        <w:t xml:space="preserve"> </w:t>
      </w:r>
      <w:r>
        <w:rPr>
          <w:rFonts w:ascii="SimSun" w:hAnsi="SimSun" w:eastAsia="SimSun" w:cs="SimSun"/>
          <w:sz w:val="21"/>
          <w:szCs w:val="21"/>
          <w:b/>
          <w:bCs/>
          <w:spacing w:val="-9"/>
        </w:rPr>
        <w:t>5:</w:t>
      </w:r>
      <w:r>
        <w:rPr>
          <w:rFonts w:ascii="SimSun" w:hAnsi="SimSun" w:eastAsia="SimSun" w:cs="SimSun"/>
          <w:sz w:val="21"/>
          <w:szCs w:val="21"/>
          <w:spacing w:val="-9"/>
        </w:rPr>
        <w:t xml:space="preserve"> </w:t>
      </w:r>
      <w:r>
        <w:rPr>
          <w:rFonts w:ascii="SimHei" w:hAnsi="SimHei" w:eastAsia="SimHei" w:cs="SimHei"/>
          <w:sz w:val="21"/>
          <w:szCs w:val="21"/>
          <w:b/>
          <w:bCs/>
          <w:spacing w:val="-9"/>
        </w:rPr>
        <w:t>优化级</w:t>
      </w:r>
    </w:p>
    <w:p>
      <w:pPr>
        <w:spacing w:line="129" w:lineRule="exact"/>
        <w:rPr/>
      </w:pPr>
      <w:r/>
    </w:p>
    <w:tbl>
      <w:tblPr>
        <w:tblStyle w:val="TableNormal"/>
        <w:tblW w:w="759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32" w:hRule="atLeast"/>
        </w:trPr>
        <w:tc>
          <w:tcPr>
            <w:tcW w:w="704" w:type="dxa"/>
            <w:vAlign w:val="top"/>
          </w:tcPr>
          <w:p>
            <w:pPr>
              <w:pStyle w:val="TableText"/>
              <w:ind w:left="195"/>
              <w:spacing w:before="92" w:line="221" w:lineRule="auto"/>
              <w:rPr/>
            </w:pPr>
            <w:r>
              <w:rPr>
                <w:spacing w:val="-2"/>
              </w:rPr>
              <w:t>序号</w:t>
            </w:r>
          </w:p>
        </w:tc>
        <w:tc>
          <w:tcPr>
            <w:tcW w:w="3136" w:type="dxa"/>
            <w:vAlign w:val="top"/>
          </w:tcPr>
          <w:p>
            <w:pPr>
              <w:pStyle w:val="TableText"/>
              <w:ind w:left="116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4"/>
              <w:spacing w:before="91" w:line="220" w:lineRule="auto"/>
              <w:rPr/>
            </w:pPr>
            <w:r>
              <w:rPr>
                <w:spacing w:val="-5"/>
              </w:rPr>
              <w:t>实</w:t>
            </w:r>
            <w:r>
              <w:rPr>
                <w:spacing w:val="1"/>
              </w:rPr>
              <w:t xml:space="preserve">   </w:t>
            </w:r>
            <w:r>
              <w:rPr>
                <w:spacing w:val="-5"/>
              </w:rPr>
              <w:t>例</w:t>
            </w:r>
          </w:p>
        </w:tc>
      </w:tr>
      <w:tr>
        <w:trPr>
          <w:trHeight w:val="837" w:hRule="atLeast"/>
        </w:trPr>
        <w:tc>
          <w:tcPr>
            <w:tcW w:w="704" w:type="dxa"/>
            <w:vAlign w:val="top"/>
          </w:tcPr>
          <w:p>
            <w:pPr>
              <w:spacing w:line="336" w:lineRule="auto"/>
              <w:rPr>
                <w:rFonts w:ascii="Arial"/>
                <w:sz w:val="21"/>
              </w:rPr>
            </w:pPr>
            <w:r/>
          </w:p>
          <w:p>
            <w:pPr>
              <w:pStyle w:val="TableText"/>
              <w:ind w:left="224"/>
              <w:spacing w:before="48" w:line="184" w:lineRule="auto"/>
              <w:rPr/>
            </w:pPr>
            <w:r>
              <w:rPr>
                <w:spacing w:val="-2"/>
              </w:rPr>
              <w:t>5.1</w:t>
            </w:r>
          </w:p>
        </w:tc>
        <w:tc>
          <w:tcPr>
            <w:tcW w:w="3136" w:type="dxa"/>
            <w:vAlign w:val="top"/>
          </w:tcPr>
          <w:p>
            <w:pPr>
              <w:pStyle w:val="TableText"/>
              <w:ind w:left="111" w:right="145" w:firstLine="149"/>
              <w:spacing w:before="218" w:line="282" w:lineRule="auto"/>
              <w:rPr/>
            </w:pPr>
            <w:r>
              <w:rPr>
                <w:spacing w:val="1"/>
              </w:rPr>
              <w:t>为促进行业发展，提高对外影响，进行了</w:t>
            </w:r>
            <w:r>
              <w:rPr/>
              <w:t xml:space="preserve"> </w:t>
            </w:r>
            <w:r>
              <w:rPr>
                <w:spacing w:val="-1"/>
              </w:rPr>
              <w:t>数据治理的外部沟通</w:t>
            </w:r>
          </w:p>
        </w:tc>
        <w:tc>
          <w:tcPr>
            <w:tcW w:w="3750" w:type="dxa"/>
            <w:vAlign w:val="top"/>
          </w:tcPr>
          <w:p>
            <w:pPr>
              <w:pStyle w:val="TableText"/>
              <w:ind w:left="265"/>
              <w:spacing w:before="79" w:line="219" w:lineRule="auto"/>
              <w:rPr/>
            </w:pPr>
            <w:r>
              <w:rPr>
                <w:spacing w:val="1"/>
              </w:rPr>
              <w:t>●外部沟通</w:t>
            </w:r>
          </w:p>
          <w:p>
            <w:pPr>
              <w:pStyle w:val="TableText"/>
              <w:ind w:left="265"/>
              <w:spacing w:before="90" w:line="219" w:lineRule="auto"/>
              <w:rPr/>
            </w:pPr>
            <w:r>
              <w:rPr/>
              <w:t>●受影响的公共政策和行业最佳实践</w:t>
            </w:r>
          </w:p>
          <w:p>
            <w:pPr>
              <w:pStyle w:val="TableText"/>
              <w:ind w:left="265"/>
              <w:spacing w:before="111" w:line="218" w:lineRule="auto"/>
              <w:rPr/>
            </w:pPr>
            <w:r>
              <w:rPr/>
              <w:t>●对外发布的白皮书、标准、论文、报告等</w:t>
            </w:r>
          </w:p>
        </w:tc>
      </w:tr>
    </w:tbl>
    <w:p>
      <w:pPr>
        <w:ind w:left="31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36" w:firstLine="419"/>
        <w:spacing w:before="59" w:line="251" w:lineRule="auto"/>
        <w:rPr>
          <w:rFonts w:ascii="SimSun" w:hAnsi="SimSun" w:eastAsia="SimSun" w:cs="SimSun"/>
          <w:sz w:val="21"/>
          <w:szCs w:val="21"/>
        </w:rPr>
      </w:pPr>
      <w:r>
        <w:rPr>
          <w:rFonts w:ascii="SimSun" w:hAnsi="SimSun" w:eastAsia="SimSun" w:cs="SimSun"/>
          <w:sz w:val="21"/>
          <w:szCs w:val="21"/>
          <w:spacing w:val="-3"/>
        </w:rPr>
        <w:t>组织具备高度的社会责任感，将数据治理成果惠及客</w:t>
      </w:r>
      <w:r>
        <w:rPr>
          <w:rFonts w:ascii="SimSun" w:hAnsi="SimSun" w:eastAsia="SimSun" w:cs="SimSun"/>
          <w:sz w:val="21"/>
          <w:szCs w:val="21"/>
          <w:spacing w:val="-4"/>
        </w:rPr>
        <w:t>户、监管机构、产业链等，</w:t>
      </w:r>
      <w:r>
        <w:rPr>
          <w:rFonts w:ascii="SimSun" w:hAnsi="SimSun" w:eastAsia="SimSun" w:cs="SimSun"/>
          <w:sz w:val="21"/>
          <w:szCs w:val="21"/>
        </w:rPr>
        <w:t xml:space="preserve"> </w:t>
      </w:r>
      <w:r>
        <w:rPr>
          <w:rFonts w:ascii="SimSun" w:hAnsi="SimSun" w:eastAsia="SimSun" w:cs="SimSun"/>
          <w:sz w:val="21"/>
          <w:szCs w:val="21"/>
          <w:spacing w:val="-2"/>
        </w:rPr>
        <w:t>公开或定向公开数据治理经验，帮助外部组织提高能力等。</w:t>
      </w:r>
    </w:p>
    <w:p>
      <w:pPr>
        <w:spacing w:line="251" w:lineRule="auto"/>
        <w:sectPr>
          <w:footerReference w:type="default" r:id="rId187"/>
          <w:pgSz w:w="8870" w:h="13400"/>
          <w:pgMar w:top="400" w:right="599" w:bottom="488" w:left="379" w:header="0" w:footer="278" w:gutter="0"/>
        </w:sectPr>
        <w:rPr>
          <w:rFonts w:ascii="SimSun" w:hAnsi="SimSun" w:eastAsia="SimSun" w:cs="SimSun"/>
          <w:sz w:val="21"/>
          <w:szCs w:val="21"/>
        </w:rPr>
      </w:pPr>
    </w:p>
    <w:p>
      <w:pPr>
        <w:ind w:left="140"/>
        <w:spacing w:before="250"/>
        <w:rPr>
          <w:rFonts w:ascii="SimSun" w:hAnsi="SimSun" w:eastAsia="SimSun" w:cs="SimSun"/>
          <w:sz w:val="22"/>
          <w:szCs w:val="22"/>
        </w:rPr>
      </w:pPr>
      <w:r>
        <w:rPr>
          <w:rFonts w:ascii="SimSun" w:hAnsi="SimSun" w:eastAsia="SimSun" w:cs="SimSun"/>
          <w:sz w:val="22"/>
          <w:szCs w:val="22"/>
          <w:position w:val="-9"/>
        </w:rPr>
        <w:drawing>
          <wp:inline distT="0" distB="0" distL="0" distR="0">
            <wp:extent cx="6308" cy="234933"/>
            <wp:effectExtent l="0" t="0" r="0" b="0"/>
            <wp:docPr id="148" name="IM 148"/>
            <wp:cNvGraphicFramePr/>
            <a:graphic>
              <a:graphicData uri="http://schemas.openxmlformats.org/drawingml/2006/picture">
                <pic:pic>
                  <pic:nvPicPr>
                    <pic:cNvPr id="148" name="IM 148"/>
                    <pic:cNvPicPr/>
                  </pic:nvPicPr>
                  <pic:blipFill>
                    <a:blip r:embed="rId189"/>
                    <a:stretch>
                      <a:fillRect/>
                    </a:stretch>
                  </pic:blipFill>
                  <pic:spPr>
                    <a:xfrm rot="0">
                      <a:off x="0" y="0"/>
                      <a:ext cx="6308" cy="234933"/>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pStyle w:val="BodyText"/>
        <w:spacing w:line="348" w:lineRule="auto"/>
        <w:rPr/>
      </w:pPr>
      <w:r/>
    </w:p>
    <w:p>
      <w:pPr>
        <w:ind w:left="703"/>
        <w:spacing w:before="71" w:line="224" w:lineRule="auto"/>
        <w:outlineLvl w:val="2"/>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9"/>
        </w:rPr>
        <w:t xml:space="preserve"> </w:t>
      </w:r>
      <w:r>
        <w:rPr>
          <w:rFonts w:ascii="YouYuan" w:hAnsi="YouYuan" w:eastAsia="YouYuan" w:cs="YouYuan"/>
          <w:sz w:val="22"/>
          <w:szCs w:val="22"/>
          <w:b/>
          <w:bCs/>
          <w:spacing w:val="1"/>
        </w:rPr>
        <w:t>实施案例</w:t>
      </w:r>
    </w:p>
    <w:p>
      <w:pPr>
        <w:ind w:left="700"/>
        <w:spacing w:before="220" w:line="219" w:lineRule="auto"/>
        <w:rPr>
          <w:rFonts w:ascii="SimSun" w:hAnsi="SimSun" w:eastAsia="SimSun" w:cs="SimSun"/>
          <w:sz w:val="22"/>
          <w:szCs w:val="22"/>
        </w:rPr>
      </w:pPr>
      <w:r>
        <w:rPr>
          <w:rFonts w:ascii="SimSun" w:hAnsi="SimSun" w:eastAsia="SimSun" w:cs="SimSun"/>
          <w:sz w:val="22"/>
          <w:szCs w:val="22"/>
        </w:rPr>
        <w:t>(1)文件名称列表</w:t>
      </w:r>
    </w:p>
    <w:p>
      <w:pPr>
        <w:ind w:left="590"/>
        <w:spacing w:before="48" w:line="310" w:lineRule="exact"/>
        <w:rPr>
          <w:rFonts w:ascii="SimSun" w:hAnsi="SimSun" w:eastAsia="SimSun" w:cs="SimSun"/>
          <w:sz w:val="22"/>
          <w:szCs w:val="22"/>
        </w:rPr>
      </w:pPr>
      <w:r>
        <w:rPr>
          <w:rFonts w:ascii="SimSun" w:hAnsi="SimSun" w:eastAsia="SimSun" w:cs="SimSun"/>
          <w:sz w:val="22"/>
          <w:szCs w:val="22"/>
          <w:spacing w:val="-10"/>
          <w:position w:val="6"/>
        </w:rPr>
        <w:t>《信息发布管理办法》</w:t>
      </w:r>
    </w:p>
    <w:p>
      <w:pPr>
        <w:ind w:left="590"/>
        <w:spacing w:line="219" w:lineRule="auto"/>
        <w:rPr>
          <w:rFonts w:ascii="SimSun" w:hAnsi="SimSun" w:eastAsia="SimSun" w:cs="SimSun"/>
          <w:sz w:val="22"/>
          <w:szCs w:val="22"/>
        </w:rPr>
      </w:pPr>
      <w:r>
        <w:rPr>
          <w:rFonts w:ascii="SimSun" w:hAnsi="SimSun" w:eastAsia="SimSun" w:cs="SimSun"/>
          <w:sz w:val="22"/>
          <w:szCs w:val="22"/>
          <w:spacing w:val="-9"/>
        </w:rPr>
        <w:t>《微信群管理办法》</w:t>
      </w:r>
    </w:p>
    <w:p>
      <w:pPr>
        <w:ind w:left="700"/>
        <w:spacing w:before="59" w:line="220" w:lineRule="auto"/>
        <w:rPr>
          <w:rFonts w:ascii="SimSun" w:hAnsi="SimSun" w:eastAsia="SimSun" w:cs="SimSun"/>
          <w:sz w:val="22"/>
          <w:szCs w:val="22"/>
        </w:rPr>
      </w:pPr>
      <w:r>
        <w:rPr>
          <w:rFonts w:ascii="SimSun" w:hAnsi="SimSun" w:eastAsia="SimSun" w:cs="SimSun"/>
          <w:sz w:val="22"/>
          <w:szCs w:val="22"/>
          <w:spacing w:val="8"/>
        </w:rPr>
        <w:t>(2)实施案例</w:t>
      </w:r>
    </w:p>
    <w:p>
      <w:pPr>
        <w:ind w:left="310" w:right="82" w:firstLine="390"/>
        <w:spacing w:before="46" w:line="244" w:lineRule="auto"/>
        <w:rPr>
          <w:rFonts w:ascii="SimSun" w:hAnsi="SimSun" w:eastAsia="SimSun" w:cs="SimSun"/>
          <w:sz w:val="22"/>
          <w:szCs w:val="22"/>
        </w:rPr>
      </w:pPr>
      <w:r>
        <w:rPr>
          <w:rFonts w:ascii="SimSun" w:hAnsi="SimSun" w:eastAsia="SimSun" w:cs="SimSun"/>
          <w:sz w:val="22"/>
          <w:szCs w:val="22"/>
          <w:spacing w:val="-9"/>
        </w:rPr>
        <w:t>下表展示了某组织对于发布公告的管理规定，以及某公司微信群管理办法，仅</w:t>
      </w:r>
      <w:r>
        <w:rPr>
          <w:rFonts w:ascii="SimSun" w:hAnsi="SimSun" w:eastAsia="SimSun" w:cs="SimSun"/>
          <w:sz w:val="22"/>
          <w:szCs w:val="22"/>
          <w:spacing w:val="7"/>
        </w:rPr>
        <w:t xml:space="preserve"> </w:t>
      </w:r>
      <w:r>
        <w:rPr>
          <w:rFonts w:ascii="SimSun" w:hAnsi="SimSun" w:eastAsia="SimSun" w:cs="SimSun"/>
          <w:sz w:val="22"/>
          <w:szCs w:val="22"/>
          <w:spacing w:val="-19"/>
        </w:rPr>
        <w:t>供参考。</w:t>
      </w:r>
    </w:p>
    <w:p>
      <w:pPr>
        <w:spacing w:line="126" w:lineRule="exact"/>
        <w:rPr/>
      </w:pPr>
      <w:r/>
    </w:p>
    <w:tbl>
      <w:tblPr>
        <w:tblStyle w:val="TableNormal"/>
        <w:tblW w:w="7650" w:type="dxa"/>
        <w:tblInd w:w="310"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7589" w:hRule="atLeast"/>
        </w:trPr>
        <w:tc>
          <w:tcPr>
            <w:tcW w:w="7650" w:type="dxa"/>
            <w:vAlign w:val="top"/>
          </w:tcPr>
          <w:p>
            <w:pPr>
              <w:pStyle w:val="TableText"/>
              <w:ind w:left="3015"/>
              <w:spacing w:before="89" w:line="218" w:lineRule="auto"/>
              <w:rPr/>
            </w:pPr>
            <w:r>
              <w:rPr>
                <w:spacing w:val="-1"/>
              </w:rPr>
              <w:t>关于发布公告的管理规定</w:t>
            </w:r>
          </w:p>
          <w:p>
            <w:pPr>
              <w:pStyle w:val="TableText"/>
              <w:ind w:left="245"/>
              <w:spacing w:before="104" w:line="219" w:lineRule="auto"/>
              <w:rPr/>
            </w:pPr>
            <w:r>
              <w:rPr>
                <w:spacing w:val="-1"/>
              </w:rPr>
              <w:t>各部门/各单位：</w:t>
            </w:r>
          </w:p>
          <w:p>
            <w:pPr>
              <w:pStyle w:val="TableText"/>
              <w:ind w:left="115" w:right="172" w:firstLine="160"/>
              <w:spacing w:before="101" w:line="281" w:lineRule="auto"/>
              <w:rPr/>
            </w:pPr>
            <w:r>
              <w:rPr/>
              <w:t>为了加强我司OA系统内电子公告栏的信息管理，规范电子公告栏信息发布行为，确保公告</w:t>
            </w:r>
            <w:r>
              <w:rPr>
                <w:spacing w:val="-1"/>
              </w:rPr>
              <w:t>发布的严肃性，现对</w:t>
            </w:r>
            <w:r>
              <w:rPr/>
              <w:t xml:space="preserve"> </w:t>
            </w:r>
            <w:r>
              <w:rPr/>
              <w:t>公司的公告发布规定如下，请各部门/单位遵照执</w:t>
            </w:r>
            <w:r>
              <w:rPr>
                <w:spacing w:val="-1"/>
              </w:rPr>
              <w:t>行。</w:t>
            </w:r>
          </w:p>
          <w:p>
            <w:pPr>
              <w:pStyle w:val="TableText"/>
              <w:ind w:left="245"/>
              <w:spacing w:before="92" w:line="218" w:lineRule="auto"/>
              <w:rPr/>
            </w:pPr>
            <w:r>
              <w:rPr>
                <w:spacing w:val="-1"/>
              </w:rPr>
              <w:t>1</w:t>
            </w:r>
            <w:r>
              <w:rPr>
                <w:spacing w:val="10"/>
              </w:rPr>
              <w:t xml:space="preserve">  </w:t>
            </w:r>
            <w:r>
              <w:rPr>
                <w:spacing w:val="-1"/>
              </w:rPr>
              <w:t>公告发布管理职能部门</w:t>
            </w:r>
          </w:p>
          <w:p>
            <w:pPr>
              <w:pStyle w:val="TableText"/>
              <w:ind w:left="245"/>
              <w:spacing w:before="114" w:line="219" w:lineRule="auto"/>
              <w:rPr/>
            </w:pPr>
            <w:r>
              <w:rPr>
                <w:spacing w:val="-1"/>
              </w:rPr>
              <w:t>行政及人力资源部</w:t>
            </w:r>
          </w:p>
          <w:p>
            <w:pPr>
              <w:pStyle w:val="TableText"/>
              <w:ind w:left="245"/>
              <w:spacing w:before="91" w:line="219" w:lineRule="auto"/>
              <w:rPr/>
            </w:pPr>
            <w:r>
              <w:rPr>
                <w:spacing w:val="-7"/>
              </w:rPr>
              <w:t>2</w:t>
            </w:r>
            <w:r>
              <w:rPr>
                <w:spacing w:val="-18"/>
              </w:rPr>
              <w:t xml:space="preserve"> </w:t>
            </w:r>
            <w:r>
              <w:rPr>
                <w:spacing w:val="-7"/>
              </w:rPr>
              <w:t>发</w:t>
            </w:r>
            <w:r>
              <w:rPr>
                <w:spacing w:val="-22"/>
              </w:rPr>
              <w:t xml:space="preserve"> </w:t>
            </w:r>
            <w:r>
              <w:rPr>
                <w:spacing w:val="-7"/>
              </w:rPr>
              <w:t>布</w:t>
            </w:r>
            <w:r>
              <w:rPr>
                <w:spacing w:val="-19"/>
              </w:rPr>
              <w:t xml:space="preserve"> </w:t>
            </w:r>
            <w:r>
              <w:rPr>
                <w:spacing w:val="-7"/>
              </w:rPr>
              <w:t>范</w:t>
            </w:r>
            <w:r>
              <w:rPr>
                <w:spacing w:val="-9"/>
              </w:rPr>
              <w:t xml:space="preserve"> </w:t>
            </w:r>
            <w:r>
              <w:rPr>
                <w:spacing w:val="-7"/>
              </w:rPr>
              <w:t>围</w:t>
            </w:r>
          </w:p>
          <w:p>
            <w:pPr>
              <w:pStyle w:val="TableText"/>
              <w:ind w:left="245"/>
              <w:spacing w:before="122" w:line="218" w:lineRule="auto"/>
              <w:rPr/>
            </w:pPr>
            <w:r>
              <w:rPr/>
              <w:t>规章制度、通知、决定、会议纪要、值班表、快讯等以公司或部门名</w:t>
            </w:r>
            <w:r>
              <w:rPr>
                <w:spacing w:val="-1"/>
              </w:rPr>
              <w:t>义发布的公告。</w:t>
            </w:r>
          </w:p>
          <w:p>
            <w:pPr>
              <w:pStyle w:val="TableText"/>
              <w:ind w:left="245"/>
              <w:spacing w:before="103" w:line="219" w:lineRule="auto"/>
              <w:rPr/>
            </w:pPr>
            <w:r>
              <w:rPr>
                <w:spacing w:val="-6"/>
              </w:rPr>
              <w:t>3</w:t>
            </w:r>
            <w:r>
              <w:rPr>
                <w:spacing w:val="-22"/>
              </w:rPr>
              <w:t xml:space="preserve"> </w:t>
            </w:r>
            <w:r>
              <w:rPr>
                <w:spacing w:val="-6"/>
              </w:rPr>
              <w:t>发</w:t>
            </w:r>
            <w:r>
              <w:rPr>
                <w:spacing w:val="-24"/>
              </w:rPr>
              <w:t xml:space="preserve"> </w:t>
            </w:r>
            <w:r>
              <w:rPr>
                <w:spacing w:val="-6"/>
              </w:rPr>
              <w:t>布</w:t>
            </w:r>
            <w:r>
              <w:rPr>
                <w:spacing w:val="-25"/>
              </w:rPr>
              <w:t xml:space="preserve"> </w:t>
            </w:r>
            <w:r>
              <w:rPr>
                <w:spacing w:val="-6"/>
              </w:rPr>
              <w:t>格</w:t>
            </w:r>
            <w:r>
              <w:rPr>
                <w:spacing w:val="-21"/>
              </w:rPr>
              <w:t xml:space="preserve"> </w:t>
            </w:r>
            <w:r>
              <w:rPr>
                <w:spacing w:val="-6"/>
              </w:rPr>
              <w:t>式</w:t>
            </w:r>
          </w:p>
          <w:p>
            <w:pPr>
              <w:pStyle w:val="TableText"/>
              <w:ind w:left="245"/>
              <w:spacing w:before="112" w:line="218" w:lineRule="auto"/>
              <w:rPr/>
            </w:pPr>
            <w:r>
              <w:rPr/>
              <w:t>所有需发布公告，由行政及人力资源部制订标准格式、统一编号。</w:t>
            </w:r>
          </w:p>
          <w:p>
            <w:pPr>
              <w:pStyle w:val="TableText"/>
              <w:ind w:left="245"/>
              <w:spacing w:before="92" w:line="218" w:lineRule="auto"/>
              <w:rPr/>
            </w:pPr>
            <w:r>
              <w:rPr>
                <w:spacing w:val="-1"/>
              </w:rPr>
              <w:t>4统一发布公告程序</w:t>
            </w:r>
          </w:p>
          <w:p>
            <w:pPr>
              <w:pStyle w:val="TableText"/>
              <w:ind w:left="245"/>
              <w:spacing w:before="103" w:line="218" w:lineRule="auto"/>
              <w:rPr/>
            </w:pPr>
            <w:r>
              <w:rPr/>
              <w:t>1)以部门名义发布公告程序</w:t>
            </w:r>
          </w:p>
          <w:p>
            <w:pPr>
              <w:pStyle w:val="TableText"/>
              <w:ind w:left="85" w:right="165" w:firstLine="179"/>
              <w:spacing w:before="102" w:line="272" w:lineRule="auto"/>
              <w:rPr/>
            </w:pPr>
            <w:r>
              <w:rPr/>
              <w:t>(1)以部门名义发布公告，由有关人员起草文稿后，填写《公告发布审批单》,由部门经理审核后，报分管领导</w:t>
            </w:r>
            <w:r>
              <w:rPr>
                <w:spacing w:val="8"/>
              </w:rPr>
              <w:t xml:space="preserve"> </w:t>
            </w:r>
            <w:r>
              <w:rPr>
                <w:spacing w:val="-2"/>
              </w:rPr>
              <w:t>审批。</w:t>
            </w:r>
          </w:p>
          <w:p>
            <w:pPr>
              <w:pStyle w:val="TableText"/>
              <w:ind w:left="115" w:right="244" w:firstLine="149"/>
              <w:spacing w:before="99" w:line="289" w:lineRule="auto"/>
              <w:rPr/>
            </w:pPr>
            <w:r>
              <w:rPr/>
              <w:t>(2)承办人员将《公告发布审批单》交行政及人力资源部存档，将电子文稿发送至行政及人力资源部局域网信</w:t>
            </w:r>
            <w:r>
              <w:rPr>
                <w:spacing w:val="4"/>
              </w:rPr>
              <w:t xml:space="preserve"> </w:t>
            </w:r>
            <w:r>
              <w:rPr>
                <w:spacing w:val="-1"/>
              </w:rPr>
              <w:t>箱，并对文件需发送的范围等要求加以说明。</w:t>
            </w:r>
          </w:p>
          <w:p>
            <w:pPr>
              <w:pStyle w:val="TableText"/>
              <w:ind w:left="245"/>
              <w:spacing w:before="101" w:line="218" w:lineRule="auto"/>
              <w:rPr/>
            </w:pPr>
            <w:r>
              <w:rPr/>
              <w:t>(3)行政及人力资源部根据公告内容统一行文格式并按承办人要求发</w:t>
            </w:r>
            <w:r>
              <w:rPr>
                <w:spacing w:val="-1"/>
              </w:rPr>
              <w:t>布。</w:t>
            </w:r>
          </w:p>
          <w:p>
            <w:pPr>
              <w:pStyle w:val="TableText"/>
              <w:ind w:left="245"/>
              <w:spacing w:before="112" w:line="218" w:lineRule="auto"/>
              <w:rPr/>
            </w:pPr>
            <w:r>
              <w:rPr>
                <w:spacing w:val="-1"/>
              </w:rPr>
              <w:t>2)以公司名义发布公告程序</w:t>
            </w:r>
          </w:p>
          <w:p>
            <w:pPr>
              <w:pStyle w:val="TableText"/>
              <w:ind w:left="245"/>
              <w:spacing w:before="92" w:line="302" w:lineRule="exact"/>
              <w:rPr/>
            </w:pPr>
            <w:r>
              <w:rPr>
                <w:position w:val="11"/>
              </w:rPr>
              <w:t>(1)以公司名义发布公告，正式发文的填写《发文稿纸》,经有关人员会签后，报总经理签发，由行政及人力资</w:t>
            </w:r>
          </w:p>
          <w:p>
            <w:pPr>
              <w:pStyle w:val="TableText"/>
              <w:ind w:left="104"/>
              <w:spacing w:before="1" w:line="218" w:lineRule="auto"/>
              <w:rPr/>
            </w:pPr>
            <w:r>
              <w:rPr/>
              <w:t>源部按行文格式统一发布。</w:t>
            </w:r>
          </w:p>
          <w:p>
            <w:pPr>
              <w:pStyle w:val="TableText"/>
              <w:ind w:left="245"/>
              <w:spacing w:before="91" w:line="216" w:lineRule="auto"/>
              <w:rPr/>
            </w:pPr>
            <w:r>
              <w:rPr/>
              <w:t>(2)没有填写《发文稿纸》的文件，如需发布公告，必须填写《公告发布审批单》,报</w:t>
            </w:r>
            <w:r>
              <w:rPr>
                <w:spacing w:val="-1"/>
              </w:rPr>
              <w:t>总经理批准。</w:t>
            </w:r>
          </w:p>
          <w:p>
            <w:pPr>
              <w:pStyle w:val="TableText"/>
              <w:ind w:left="104" w:right="268" w:firstLine="149"/>
              <w:spacing w:before="115" w:line="275" w:lineRule="auto"/>
              <w:rPr/>
            </w:pPr>
            <w:r>
              <w:rPr/>
              <w:t>5公告栏实行账户管理，信息管理中心负责公告栏的维护管理工作，对不遵守电子公告</w:t>
            </w:r>
            <w:r>
              <w:rPr>
                <w:spacing w:val="-1"/>
              </w:rPr>
              <w:t>栏管理规定的用户，可</w:t>
            </w:r>
            <w:r>
              <w:rPr/>
              <w:t xml:space="preserve"> </w:t>
            </w:r>
            <w:r>
              <w:rPr>
                <w:spacing w:val="-1"/>
              </w:rPr>
              <w:t>给予警告、封闭或删除其账户。</w:t>
            </w:r>
          </w:p>
          <w:p>
            <w:pPr>
              <w:pStyle w:val="TableText"/>
              <w:ind w:left="245"/>
              <w:spacing w:before="93" w:line="218" w:lineRule="auto"/>
              <w:rPr/>
            </w:pPr>
            <w:r>
              <w:rPr/>
              <w:t>6任何人不得在电子公告栏上随意制作、发布、复制。违者必</w:t>
            </w:r>
            <w:r>
              <w:rPr>
                <w:spacing w:val="-1"/>
              </w:rPr>
              <w:t>究。</w:t>
            </w:r>
          </w:p>
          <w:p>
            <w:pPr>
              <w:pStyle w:val="TableText"/>
              <w:ind w:left="6204" w:right="138" w:firstLine="90"/>
              <w:spacing w:before="114" w:line="276" w:lineRule="auto"/>
              <w:rPr/>
            </w:pPr>
            <w:r>
              <w:rPr>
                <w:spacing w:val="-2"/>
              </w:rPr>
              <w:t>行政及人力资源部</w:t>
            </w:r>
            <w:r>
              <w:rPr>
                <w:spacing w:val="6"/>
              </w:rPr>
              <w:t xml:space="preserve"> </w:t>
            </w:r>
            <w:r>
              <w:rPr>
                <w:spacing w:val="2"/>
              </w:rPr>
              <w:t>二0一五年四月一日</w:t>
            </w:r>
          </w:p>
        </w:tc>
      </w:tr>
    </w:tbl>
    <w:p>
      <w:pPr>
        <w:pStyle w:val="BodyText"/>
        <w:rPr/>
      </w:pPr>
      <w:r/>
    </w:p>
    <w:p>
      <w:pPr>
        <w:sectPr>
          <w:footerReference w:type="default" r:id="rId188"/>
          <w:pgSz w:w="8870" w:h="13400"/>
          <w:pgMar w:top="400" w:right="454" w:bottom="424" w:left="449" w:header="0" w:footer="206" w:gutter="0"/>
        </w:sectPr>
        <w:rPr/>
      </w:pPr>
    </w:p>
    <w:p>
      <w:pPr>
        <w:ind w:left="5488"/>
        <w:spacing w:before="194" w:line="219" w:lineRule="auto"/>
        <w:rPr>
          <w:rFonts w:ascii="SimSun" w:hAnsi="SimSun" w:eastAsia="SimSun" w:cs="SimSun"/>
          <w:sz w:val="24"/>
          <w:szCs w:val="24"/>
        </w:rPr>
      </w:pPr>
      <w:r>
        <w:rPr>
          <w:rFonts w:ascii="SimSun" w:hAnsi="SimSun" w:eastAsia="SimSun" w:cs="SimSun"/>
          <w:sz w:val="24"/>
          <w:szCs w:val="24"/>
          <w:b/>
          <w:bCs/>
          <w:spacing w:val="-13"/>
        </w:rPr>
        <w:t>第4章■云端数据战略</w:t>
      </w:r>
    </w:p>
    <w:p>
      <w:pPr>
        <w:spacing w:before="3"/>
        <w:rPr/>
      </w:pPr>
      <w:r/>
    </w:p>
    <w:tbl>
      <w:tblPr>
        <w:tblStyle w:val="TableNormal"/>
        <w:tblW w:w="765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7879" w:hRule="atLeast"/>
        </w:trPr>
        <w:tc>
          <w:tcPr>
            <w:tcW w:w="7650" w:type="dxa"/>
            <w:vAlign w:val="top"/>
          </w:tcPr>
          <w:p>
            <w:pPr>
              <w:pStyle w:val="TableText"/>
              <w:ind w:left="3294"/>
              <w:spacing w:before="91" w:line="219" w:lineRule="auto"/>
              <w:rPr/>
            </w:pPr>
            <w:r>
              <w:rPr>
                <w:spacing w:val="-1"/>
              </w:rPr>
              <w:t>微信群管理办法</w:t>
            </w:r>
          </w:p>
          <w:p>
            <w:pPr>
              <w:pStyle w:val="TableText"/>
              <w:ind w:left="254"/>
              <w:spacing w:before="102" w:line="220" w:lineRule="auto"/>
              <w:rPr/>
            </w:pPr>
            <w:r>
              <w:rPr>
                <w:spacing w:val="-9"/>
              </w:rPr>
              <w:t>1</w:t>
            </w:r>
            <w:r>
              <w:rPr>
                <w:spacing w:val="42"/>
              </w:rPr>
              <w:t xml:space="preserve"> </w:t>
            </w:r>
            <w:r>
              <w:rPr>
                <w:spacing w:val="-9"/>
              </w:rPr>
              <w:t>总</w:t>
            </w:r>
            <w:r>
              <w:rPr>
                <w:spacing w:val="41"/>
              </w:rPr>
              <w:t xml:space="preserve"> </w:t>
            </w:r>
            <w:r>
              <w:rPr>
                <w:spacing w:val="-9"/>
              </w:rPr>
              <w:t>则</w:t>
            </w:r>
          </w:p>
          <w:p>
            <w:pPr>
              <w:pStyle w:val="TableText"/>
              <w:ind w:left="75" w:right="192" w:firstLine="179"/>
              <w:spacing w:before="100" w:line="282" w:lineRule="auto"/>
              <w:rPr/>
            </w:pPr>
            <w:r>
              <w:rPr/>
              <w:t>为更好地利用互联网技术，方便公务交流和提高办公效率，进一步规范微信群的管理工作</w:t>
            </w:r>
            <w:r>
              <w:rPr>
                <w:spacing w:val="-1"/>
              </w:rPr>
              <w:t>，特制订如下管理办</w:t>
            </w:r>
            <w:r>
              <w:rPr/>
              <w:t xml:space="preserve"> </w:t>
            </w:r>
            <w:r>
              <w:rPr>
                <w:spacing w:val="-2"/>
              </w:rPr>
              <w:t>法。</w:t>
            </w:r>
          </w:p>
          <w:p>
            <w:pPr>
              <w:pStyle w:val="TableText"/>
              <w:ind w:left="254"/>
              <w:spacing w:before="102" w:line="219" w:lineRule="auto"/>
              <w:rPr/>
            </w:pPr>
            <w:r>
              <w:rPr>
                <w:spacing w:val="-6"/>
              </w:rPr>
              <w:t>2</w:t>
            </w:r>
            <w:r>
              <w:rPr>
                <w:spacing w:val="-31"/>
              </w:rPr>
              <w:t xml:space="preserve"> </w:t>
            </w:r>
            <w:r>
              <w:rPr>
                <w:spacing w:val="-6"/>
              </w:rPr>
              <w:t>微</w:t>
            </w:r>
            <w:r>
              <w:rPr>
                <w:spacing w:val="-31"/>
              </w:rPr>
              <w:t xml:space="preserve"> </w:t>
            </w:r>
            <w:r>
              <w:rPr>
                <w:spacing w:val="-6"/>
              </w:rPr>
              <w:t>信</w:t>
            </w:r>
            <w:r>
              <w:rPr>
                <w:spacing w:val="-32"/>
              </w:rPr>
              <w:t xml:space="preserve"> </w:t>
            </w:r>
            <w:r>
              <w:rPr>
                <w:spacing w:val="-6"/>
              </w:rPr>
              <w:t>群</w:t>
            </w:r>
            <w:r>
              <w:rPr>
                <w:spacing w:val="-29"/>
              </w:rPr>
              <w:t xml:space="preserve"> </w:t>
            </w:r>
            <w:r>
              <w:rPr>
                <w:spacing w:val="-6"/>
              </w:rPr>
              <w:t>设</w:t>
            </w:r>
            <w:r>
              <w:rPr>
                <w:spacing w:val="-33"/>
              </w:rPr>
              <w:t xml:space="preserve"> </w:t>
            </w:r>
            <w:r>
              <w:rPr>
                <w:spacing w:val="-6"/>
              </w:rPr>
              <w:t>置</w:t>
            </w:r>
          </w:p>
          <w:p>
            <w:pPr>
              <w:pStyle w:val="TableText"/>
              <w:ind w:left="254"/>
              <w:spacing w:before="122" w:line="219" w:lineRule="auto"/>
              <w:rPr/>
            </w:pPr>
            <w:r>
              <w:rPr>
                <w:spacing w:val="3"/>
              </w:rPr>
              <w:t>(1)微信群名：</w:t>
            </w:r>
            <w:r>
              <w:rPr/>
              <w:t>XXXX</w:t>
            </w:r>
            <w:r>
              <w:rPr>
                <w:spacing w:val="3"/>
              </w:rPr>
              <w:t>;</w:t>
            </w:r>
          </w:p>
          <w:p>
            <w:pPr>
              <w:pStyle w:val="TableText"/>
              <w:ind w:left="244"/>
              <w:spacing w:before="80" w:line="219" w:lineRule="auto"/>
              <w:rPr/>
            </w:pPr>
            <w:r>
              <w:rPr>
                <w:spacing w:val="1"/>
              </w:rPr>
              <w:t>(2)公司全体管理人员(中心领导、部门领导)必须加入本群，其</w:t>
            </w:r>
            <w:r>
              <w:rPr/>
              <w:t>他群员须为公司正式员工(不包含兼职人员);</w:t>
            </w:r>
          </w:p>
          <w:p>
            <w:pPr>
              <w:pStyle w:val="TableText"/>
              <w:ind w:left="115" w:right="91" w:firstLine="149"/>
              <w:spacing w:before="102" w:line="282" w:lineRule="auto"/>
              <w:rPr/>
            </w:pPr>
            <w:r>
              <w:rPr/>
              <w:t>(3)所有群员在进入本微信群后，须采用实名制，以“姓名部门”为群昵称。具体操作步骤：进入微信群后，点</w:t>
            </w:r>
            <w:r>
              <w:rPr>
                <w:spacing w:val="7"/>
              </w:rPr>
              <w:t xml:space="preserve"> </w:t>
            </w:r>
            <w:r>
              <w:rPr/>
              <w:t>击屏幕右上角的图标，在打开的菜单中选择“详细设置”对“我的群昵称”</w:t>
            </w:r>
            <w:r>
              <w:rPr>
                <w:spacing w:val="-1"/>
              </w:rPr>
              <w:t>进行修改即可。</w:t>
            </w:r>
          </w:p>
          <w:p>
            <w:pPr>
              <w:pStyle w:val="TableText"/>
              <w:ind w:left="254"/>
              <w:spacing w:before="102" w:line="219" w:lineRule="auto"/>
              <w:rPr/>
            </w:pPr>
            <w:r>
              <w:rPr>
                <w:spacing w:val="-2"/>
              </w:rPr>
              <w:t>3信息发布要求</w:t>
            </w:r>
          </w:p>
          <w:p>
            <w:pPr>
              <w:pStyle w:val="TableText"/>
              <w:ind w:left="254"/>
              <w:spacing w:before="92" w:line="219" w:lineRule="auto"/>
              <w:rPr/>
            </w:pPr>
            <w:r>
              <w:rPr>
                <w:spacing w:val="3"/>
              </w:rPr>
              <w:t>(1)发布内容应正面、积极、正能量；</w:t>
            </w:r>
          </w:p>
          <w:p>
            <w:pPr>
              <w:pStyle w:val="TableText"/>
              <w:ind w:left="94" w:right="234" w:firstLine="170"/>
              <w:spacing w:before="112" w:line="277" w:lineRule="auto"/>
              <w:rPr/>
            </w:pPr>
            <w:r>
              <w:rPr/>
              <w:t>(2)群内交流须遵守国家法律法规及相关网络信息管理规定，严禁出现不良政治倾向、宗教、色情、暴力等内</w:t>
            </w:r>
            <w:r>
              <w:rPr>
                <w:spacing w:val="14"/>
              </w:rPr>
              <w:t xml:space="preserve"> </w:t>
            </w:r>
            <w:r>
              <w:rPr>
                <w:spacing w:val="-4"/>
              </w:rPr>
              <w:t>容</w:t>
            </w:r>
            <w:r>
              <w:rPr>
                <w:spacing w:val="42"/>
              </w:rPr>
              <w:t xml:space="preserve"> </w:t>
            </w:r>
            <w:r>
              <w:rPr>
                <w:spacing w:val="-4"/>
              </w:rPr>
              <w:t>；</w:t>
            </w:r>
          </w:p>
          <w:p>
            <w:pPr>
              <w:pStyle w:val="TableText"/>
              <w:ind w:left="94" w:right="249" w:firstLine="170"/>
              <w:spacing w:before="130" w:line="284" w:lineRule="auto"/>
              <w:rPr/>
            </w:pPr>
            <w:r>
              <w:rPr/>
              <w:t>(3)严禁在群内诋毁公司、公司各部门及员工形象，禁止出现有违社会公德、不文明、侮辱性及涉及人身攻击 </w:t>
            </w:r>
            <w:r>
              <w:rPr>
                <w:spacing w:val="17"/>
              </w:rPr>
              <w:t>性语言</w:t>
            </w:r>
            <w:r>
              <w:rPr>
                <w:spacing w:val="-34"/>
              </w:rPr>
              <w:t xml:space="preserve"> </w:t>
            </w:r>
            <w:r>
              <w:rPr>
                <w:spacing w:val="17"/>
              </w:rPr>
              <w:t>；</w:t>
            </w:r>
          </w:p>
          <w:p>
            <w:pPr>
              <w:pStyle w:val="TableText"/>
              <w:ind w:left="254"/>
              <w:spacing w:before="98" w:line="219" w:lineRule="auto"/>
              <w:rPr/>
            </w:pPr>
            <w:r>
              <w:rPr>
                <w:spacing w:val="3"/>
              </w:rPr>
              <w:t>(4)严禁在群内发布有煽动性、过激性的语言；</w:t>
            </w:r>
          </w:p>
          <w:p>
            <w:pPr>
              <w:pStyle w:val="TableText"/>
              <w:ind w:left="254"/>
              <w:spacing w:before="102" w:line="219" w:lineRule="auto"/>
              <w:rPr/>
            </w:pPr>
            <w:r>
              <w:rPr>
                <w:spacing w:val="3"/>
              </w:rPr>
              <w:t>(5)严禁在群内发布或谈论涉密信息；</w:t>
            </w:r>
          </w:p>
          <w:p>
            <w:pPr>
              <w:pStyle w:val="TableText"/>
              <w:ind w:left="254"/>
              <w:spacing w:before="92" w:line="219" w:lineRule="auto"/>
              <w:rPr/>
            </w:pPr>
            <w:r>
              <w:rPr>
                <w:spacing w:val="3"/>
              </w:rPr>
              <w:t>(6)严禁在群内发布色情、赌博、病毒链接；</w:t>
            </w:r>
          </w:p>
          <w:p>
            <w:pPr>
              <w:pStyle w:val="TableText"/>
              <w:ind w:left="254"/>
              <w:spacing w:before="112" w:line="218" w:lineRule="auto"/>
              <w:rPr/>
            </w:pPr>
            <w:r>
              <w:rPr/>
              <w:t>(7)严禁在群内进行与工作或集体荣誉无关的拉选票、发布广告等商业活动</w:t>
            </w:r>
          </w:p>
          <w:p>
            <w:pPr>
              <w:pStyle w:val="TableText"/>
              <w:ind w:left="254"/>
              <w:spacing w:before="103" w:line="219" w:lineRule="auto"/>
              <w:rPr/>
            </w:pPr>
            <w:r>
              <w:rPr>
                <w:spacing w:val="3"/>
              </w:rPr>
              <w:t>(8)严禁在工作时间发布与工作无关的内容；</w:t>
            </w:r>
          </w:p>
          <w:p>
            <w:pPr>
              <w:pStyle w:val="TableText"/>
              <w:ind w:left="254"/>
              <w:spacing w:before="93" w:line="219" w:lineRule="auto"/>
              <w:rPr/>
            </w:pPr>
            <w:r>
              <w:rPr>
                <w:spacing w:val="-1"/>
              </w:rPr>
              <w:t>4微信群管理</w:t>
            </w:r>
          </w:p>
          <w:p>
            <w:pPr>
              <w:pStyle w:val="TableText"/>
              <w:ind w:left="254"/>
              <w:spacing w:before="112" w:line="219" w:lineRule="auto"/>
              <w:rPr/>
            </w:pPr>
            <w:r>
              <w:rPr>
                <w:spacing w:val="2"/>
              </w:rPr>
              <w:t>(1)微信群统一由行政部管理，执行微信群管理规定，</w:t>
            </w:r>
            <w:r>
              <w:rPr>
                <w:spacing w:val="1"/>
              </w:rPr>
              <w:t>负责群成员实名制、聊天监管、违规处理；</w:t>
            </w:r>
          </w:p>
          <w:p>
            <w:pPr>
              <w:pStyle w:val="TableText"/>
              <w:ind w:left="104" w:right="224" w:firstLine="170"/>
              <w:spacing w:before="112" w:line="289" w:lineRule="auto"/>
              <w:rPr/>
            </w:pPr>
            <w:r>
              <w:rPr/>
              <w:t>(2)负责审核群成员发布信息的真实性、可靠性和合规性，对非本群应发内容有权制止，并指导其发布相应内</w:t>
            </w:r>
            <w:r>
              <w:rPr>
                <w:spacing w:val="14"/>
              </w:rPr>
              <w:t xml:space="preserve"> </w:t>
            </w:r>
            <w:r>
              <w:rPr>
                <w:spacing w:val="-4"/>
              </w:rPr>
              <w:t>容</w:t>
            </w:r>
            <w:r>
              <w:rPr>
                <w:spacing w:val="42"/>
              </w:rPr>
              <w:t xml:space="preserve"> </w:t>
            </w:r>
            <w:r>
              <w:rPr>
                <w:spacing w:val="-4"/>
              </w:rPr>
              <w:t>；</w:t>
            </w:r>
          </w:p>
          <w:p>
            <w:pPr>
              <w:pStyle w:val="TableText"/>
              <w:ind w:left="254"/>
              <w:spacing w:before="91" w:line="219" w:lineRule="auto"/>
              <w:rPr/>
            </w:pPr>
            <w:r>
              <w:rPr/>
              <w:t>(3)定期检查群成员，对不应加入人员予以剔除。</w:t>
            </w:r>
          </w:p>
          <w:p>
            <w:pPr>
              <w:pStyle w:val="TableText"/>
              <w:ind w:left="254"/>
              <w:spacing w:before="101" w:line="219" w:lineRule="auto"/>
              <w:rPr/>
            </w:pPr>
            <w:r>
              <w:rPr/>
              <w:t>5本办法自发布之日起实施，最终解释仅归行政部所有。</w:t>
            </w:r>
          </w:p>
          <w:p>
            <w:pPr>
              <w:pStyle w:val="TableText"/>
              <w:ind w:left="6704"/>
              <w:spacing w:before="93" w:line="219" w:lineRule="auto"/>
              <w:rPr/>
            </w:pPr>
            <w:r>
              <w:rPr>
                <w:spacing w:val="-2"/>
              </w:rPr>
              <w:t>行政部</w:t>
            </w:r>
          </w:p>
          <w:p>
            <w:pPr>
              <w:pStyle w:val="TableText"/>
              <w:ind w:left="6185"/>
              <w:spacing w:before="102" w:line="219" w:lineRule="auto"/>
              <w:rPr/>
            </w:pPr>
            <w:r>
              <w:rPr>
                <w:spacing w:val="2"/>
              </w:rPr>
              <w:t>二○一六年六月六日</w:t>
            </w:r>
          </w:p>
        </w:tc>
      </w:tr>
    </w:tbl>
    <w:p>
      <w:pPr>
        <w:pStyle w:val="BodyText"/>
        <w:rPr/>
      </w:pPr>
      <w:r/>
    </w:p>
    <w:p>
      <w:pPr>
        <w:sectPr>
          <w:footerReference w:type="default" r:id="rId190"/>
          <w:pgSz w:w="8870" w:h="13400"/>
          <w:pgMar w:top="400" w:right="569" w:bottom="537" w:left="425" w:header="0" w:footer="328" w:gutter="0"/>
        </w:sectPr>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085"/>
        <w:spacing w:before="130" w:line="221" w:lineRule="auto"/>
        <w:rPr>
          <w:rFonts w:ascii="SimHei" w:hAnsi="SimHei" w:eastAsia="SimHei" w:cs="SimHei"/>
          <w:sz w:val="40"/>
          <w:szCs w:val="40"/>
        </w:rPr>
      </w:pPr>
      <w:r>
        <w:rPr>
          <w:rFonts w:ascii="SimHei" w:hAnsi="SimHei" w:eastAsia="SimHei" w:cs="SimHei"/>
          <w:sz w:val="40"/>
          <w:szCs w:val="40"/>
          <w:b/>
          <w:bCs/>
          <w:spacing w:val="-6"/>
        </w:rPr>
        <w:t>第</w:t>
      </w:r>
      <w:r>
        <w:rPr>
          <w:rFonts w:ascii="SimHei" w:hAnsi="SimHei" w:eastAsia="SimHei" w:cs="SimHei"/>
          <w:sz w:val="40"/>
          <w:szCs w:val="40"/>
          <w:spacing w:val="-74"/>
        </w:rPr>
        <w:t xml:space="preserve"> </w:t>
      </w:r>
      <w:r>
        <w:rPr>
          <w:rFonts w:ascii="SimHei" w:hAnsi="SimHei" w:eastAsia="SimHei" w:cs="SimHei"/>
          <w:sz w:val="40"/>
          <w:szCs w:val="40"/>
          <w:b/>
          <w:bCs/>
          <w:spacing w:val="-6"/>
        </w:rPr>
        <w:t>5</w:t>
      </w:r>
      <w:r>
        <w:rPr>
          <w:rFonts w:ascii="SimHei" w:hAnsi="SimHei" w:eastAsia="SimHei" w:cs="SimHei"/>
          <w:sz w:val="40"/>
          <w:szCs w:val="40"/>
          <w:spacing w:val="-63"/>
        </w:rPr>
        <w:t xml:space="preserve"> </w:t>
      </w:r>
      <w:r>
        <w:rPr>
          <w:rFonts w:ascii="SimHei" w:hAnsi="SimHei" w:eastAsia="SimHei" w:cs="SimHei"/>
          <w:sz w:val="40"/>
          <w:szCs w:val="40"/>
          <w:b/>
          <w:bCs/>
          <w:spacing w:val="-6"/>
        </w:rPr>
        <w:t>章</w:t>
      </w:r>
      <w:r>
        <w:rPr>
          <w:rFonts w:ascii="SimHei" w:hAnsi="SimHei" w:eastAsia="SimHei" w:cs="SimHei"/>
          <w:sz w:val="40"/>
          <w:szCs w:val="40"/>
          <w:spacing w:val="196"/>
        </w:rPr>
        <w:t xml:space="preserve"> </w:t>
      </w:r>
      <w:r>
        <w:rPr>
          <w:rFonts w:ascii="SimHei" w:hAnsi="SimHei" w:eastAsia="SimHei" w:cs="SimHei"/>
          <w:sz w:val="40"/>
          <w:szCs w:val="40"/>
          <w:b/>
          <w:bCs/>
          <w:spacing w:val="-6"/>
        </w:rPr>
        <w:t>云端数据管理</w:t>
      </w:r>
    </w:p>
    <w:p>
      <w:pPr>
        <w:pStyle w:val="BodyText"/>
        <w:spacing w:line="250" w:lineRule="auto"/>
        <w:rPr/>
      </w:pPr>
      <w:r/>
    </w:p>
    <w:p>
      <w:pPr>
        <w:pStyle w:val="BodyText"/>
        <w:spacing w:line="250" w:lineRule="auto"/>
        <w:rPr/>
      </w:pPr>
      <w:r/>
    </w:p>
    <w:p>
      <w:pPr>
        <w:ind w:left="275"/>
        <w:spacing w:before="117" w:line="221" w:lineRule="auto"/>
        <w:outlineLvl w:val="1"/>
        <w:rPr>
          <w:rFonts w:ascii="SimHei" w:hAnsi="SimHei" w:eastAsia="SimHei" w:cs="SimHei"/>
          <w:sz w:val="36"/>
          <w:szCs w:val="36"/>
        </w:rPr>
      </w:pPr>
      <w:r>
        <w:rPr>
          <w:rFonts w:ascii="SimHei" w:hAnsi="SimHei" w:eastAsia="SimHei" w:cs="SimHei"/>
          <w:sz w:val="36"/>
          <w:szCs w:val="36"/>
          <w:b/>
          <w:bCs/>
          <w:spacing w:val="-10"/>
        </w:rPr>
        <w:t>5.1</w:t>
      </w:r>
      <w:r>
        <w:rPr>
          <w:rFonts w:ascii="SimHei" w:hAnsi="SimHei" w:eastAsia="SimHei" w:cs="SimHei"/>
          <w:sz w:val="36"/>
          <w:szCs w:val="36"/>
          <w:spacing w:val="105"/>
        </w:rPr>
        <w:t xml:space="preserve"> </w:t>
      </w:r>
      <w:r>
        <w:rPr>
          <w:rFonts w:ascii="SimHei" w:hAnsi="SimHei" w:eastAsia="SimHei" w:cs="SimHei"/>
          <w:sz w:val="36"/>
          <w:szCs w:val="36"/>
          <w:b/>
          <w:bCs/>
          <w:spacing w:val="-10"/>
        </w:rPr>
        <w:t>概述</w:t>
      </w:r>
    </w:p>
    <w:p>
      <w:pPr>
        <w:pStyle w:val="BodyText"/>
        <w:spacing w:line="241" w:lineRule="auto"/>
        <w:rPr/>
      </w:pPr>
      <w:r/>
    </w:p>
    <w:p>
      <w:pPr>
        <w:ind w:left="274"/>
        <w:spacing w:before="94" w:line="221" w:lineRule="auto"/>
        <w:outlineLvl w:val="2"/>
        <w:rPr>
          <w:rFonts w:ascii="YouYuan" w:hAnsi="YouYuan" w:eastAsia="YouYuan" w:cs="YouYuan"/>
          <w:sz w:val="29"/>
          <w:szCs w:val="29"/>
        </w:rPr>
      </w:pPr>
      <w:r>
        <w:rPr>
          <w:rFonts w:ascii="YouYuan" w:hAnsi="YouYuan" w:eastAsia="YouYuan" w:cs="YouYuan"/>
          <w:sz w:val="29"/>
          <w:szCs w:val="29"/>
          <w:b/>
          <w:bCs/>
          <w:spacing w:val="-8"/>
        </w:rPr>
        <w:t>5.1.1</w:t>
      </w:r>
      <w:r>
        <w:rPr>
          <w:rFonts w:ascii="YouYuan" w:hAnsi="YouYuan" w:eastAsia="YouYuan" w:cs="YouYuan"/>
          <w:sz w:val="29"/>
          <w:szCs w:val="29"/>
          <w:spacing w:val="131"/>
        </w:rPr>
        <w:t xml:space="preserve"> </w:t>
      </w:r>
      <w:r>
        <w:rPr>
          <w:rFonts w:ascii="YouYuan" w:hAnsi="YouYuan" w:eastAsia="YouYuan" w:cs="YouYuan"/>
          <w:sz w:val="29"/>
          <w:szCs w:val="29"/>
          <w:b/>
          <w:bCs/>
          <w:spacing w:val="-8"/>
        </w:rPr>
        <w:t>目的和意义</w:t>
      </w:r>
    </w:p>
    <w:p>
      <w:pPr>
        <w:pStyle w:val="BodyText"/>
        <w:spacing w:line="273" w:lineRule="auto"/>
        <w:rPr/>
      </w:pPr>
      <w:r/>
    </w:p>
    <w:p>
      <w:pPr>
        <w:ind w:left="270" w:right="27" w:firstLine="459"/>
        <w:spacing w:before="68" w:line="260" w:lineRule="auto"/>
        <w:jc w:val="both"/>
        <w:rPr>
          <w:rFonts w:ascii="SimSun" w:hAnsi="SimSun" w:eastAsia="SimSun" w:cs="SimSun"/>
          <w:sz w:val="21"/>
          <w:szCs w:val="21"/>
        </w:rPr>
      </w:pPr>
      <w:r>
        <w:rPr>
          <w:rFonts w:ascii="SimSun" w:hAnsi="SimSun" w:eastAsia="SimSun" w:cs="SimSun"/>
          <w:sz w:val="21"/>
          <w:szCs w:val="21"/>
          <w:spacing w:val="1"/>
        </w:rPr>
        <w:t>数据和信息蕴含着巨大的商业价值，已有越来越多的组织将其视为具备战</w:t>
      </w:r>
      <w:r>
        <w:rPr>
          <w:rFonts w:ascii="SimSun" w:hAnsi="SimSun" w:eastAsia="SimSun" w:cs="SimSun"/>
          <w:sz w:val="21"/>
          <w:szCs w:val="21"/>
        </w:rPr>
        <w:t>略意 </w:t>
      </w:r>
      <w:r>
        <w:rPr>
          <w:rFonts w:ascii="SimSun" w:hAnsi="SimSun" w:eastAsia="SimSun" w:cs="SimSun"/>
          <w:sz w:val="21"/>
          <w:szCs w:val="21"/>
          <w:spacing w:val="1"/>
        </w:rPr>
        <w:t>义的组织资产。随着组织不断将业务和应用搬移到云端，云端数据的有效管理逐渐</w:t>
      </w:r>
      <w:r>
        <w:rPr>
          <w:rFonts w:ascii="SimSun" w:hAnsi="SimSun" w:eastAsia="SimSun" w:cs="SimSun"/>
          <w:sz w:val="21"/>
          <w:szCs w:val="21"/>
          <w:spacing w:val="11"/>
        </w:rPr>
        <w:t xml:space="preserve"> </w:t>
      </w:r>
      <w:r>
        <w:rPr>
          <w:rFonts w:ascii="SimSun" w:hAnsi="SimSun" w:eastAsia="SimSun" w:cs="SimSun"/>
          <w:sz w:val="21"/>
          <w:szCs w:val="21"/>
          <w:spacing w:val="1"/>
        </w:rPr>
        <w:t>成为组织能否充分利用数据、能否挖掘其商业价值的核心。云端数据管理是组织在</w:t>
      </w:r>
      <w:r>
        <w:rPr>
          <w:rFonts w:ascii="SimSun" w:hAnsi="SimSun" w:eastAsia="SimSun" w:cs="SimSun"/>
          <w:sz w:val="21"/>
          <w:szCs w:val="21"/>
          <w:spacing w:val="14"/>
        </w:rPr>
        <w:t xml:space="preserve"> </w:t>
      </w:r>
      <w:r>
        <w:rPr>
          <w:rFonts w:ascii="SimSun" w:hAnsi="SimSun" w:eastAsia="SimSun" w:cs="SimSun"/>
          <w:sz w:val="21"/>
          <w:szCs w:val="21"/>
          <w:spacing w:val="-2"/>
        </w:rPr>
        <w:t>云计算环境下开展数据治理的基础保障和有效手段。</w:t>
      </w:r>
    </w:p>
    <w:p>
      <w:pPr>
        <w:ind w:left="733"/>
        <w:spacing w:before="75" w:line="221" w:lineRule="auto"/>
        <w:rPr>
          <w:rFonts w:ascii="SimHei" w:hAnsi="SimHei" w:eastAsia="SimHei" w:cs="SimHei"/>
          <w:sz w:val="21"/>
          <w:szCs w:val="21"/>
        </w:rPr>
      </w:pPr>
      <w:r>
        <w:rPr>
          <w:rFonts w:ascii="SimHei" w:hAnsi="SimHei" w:eastAsia="SimHei" w:cs="SimHei"/>
          <w:sz w:val="21"/>
          <w:szCs w:val="21"/>
          <w:b/>
          <w:bCs/>
          <w:spacing w:val="6"/>
        </w:rPr>
        <w:t>例1:数值单位不统一造成</w:t>
      </w:r>
      <w:r>
        <w:rPr>
          <w:rFonts w:ascii="SimHei" w:hAnsi="SimHei" w:eastAsia="SimHei" w:cs="SimHei"/>
          <w:sz w:val="21"/>
          <w:szCs w:val="21"/>
          <w:spacing w:val="-28"/>
        </w:rPr>
        <w:t xml:space="preserve"> </w:t>
      </w:r>
      <w:r>
        <w:rPr>
          <w:rFonts w:ascii="SimSun" w:hAnsi="SimSun" w:eastAsia="SimSun" w:cs="SimSun"/>
          <w:sz w:val="21"/>
          <w:szCs w:val="21"/>
          <w:b/>
          <w:bCs/>
        </w:rPr>
        <w:t>NASA</w:t>
      </w:r>
      <w:r>
        <w:rPr>
          <w:rFonts w:ascii="SimSun" w:hAnsi="SimSun" w:eastAsia="SimSun" w:cs="SimSun"/>
          <w:sz w:val="21"/>
          <w:szCs w:val="21"/>
          <w:spacing w:val="67"/>
        </w:rPr>
        <w:t xml:space="preserve"> </w:t>
      </w:r>
      <w:r>
        <w:rPr>
          <w:rFonts w:ascii="SimHei" w:hAnsi="SimHei" w:eastAsia="SimHei" w:cs="SimHei"/>
          <w:sz w:val="21"/>
          <w:szCs w:val="21"/>
          <w:b/>
          <w:bCs/>
          <w:spacing w:val="6"/>
        </w:rPr>
        <w:t>火星气候探测器事故</w:t>
      </w:r>
    </w:p>
    <w:p>
      <w:pPr>
        <w:ind w:left="270" w:right="6" w:firstLine="459"/>
        <w:spacing w:before="61" w:line="264" w:lineRule="auto"/>
        <w:jc w:val="both"/>
        <w:rPr>
          <w:rFonts w:ascii="SimSun" w:hAnsi="SimSun" w:eastAsia="SimSun" w:cs="SimSun"/>
          <w:sz w:val="21"/>
          <w:szCs w:val="21"/>
        </w:rPr>
      </w:pPr>
      <w:r>
        <w:rPr>
          <w:rFonts w:ascii="SimSun" w:hAnsi="SimSun" w:eastAsia="SimSun" w:cs="SimSun"/>
          <w:sz w:val="21"/>
          <w:szCs w:val="21"/>
          <w:spacing w:val="1"/>
        </w:rPr>
        <w:t>1999年，价值1.25亿美元的火星气候轨道器在到达火星之后</w:t>
      </w:r>
      <w:r>
        <w:rPr>
          <w:rFonts w:ascii="SimSun" w:hAnsi="SimSun" w:eastAsia="SimSun" w:cs="SimSun"/>
          <w:sz w:val="21"/>
          <w:szCs w:val="21"/>
        </w:rPr>
        <w:t>，刚刚准备开始工 </w:t>
      </w:r>
      <w:r>
        <w:rPr>
          <w:rFonts w:ascii="SimSun" w:hAnsi="SimSun" w:eastAsia="SimSun" w:cs="SimSun"/>
          <w:sz w:val="21"/>
          <w:szCs w:val="21"/>
          <w:spacing w:val="1"/>
        </w:rPr>
        <w:t>作便失去了与地球的联系，后来被证实轨道器坠入火星大气层之中烧毁了。根据美</w:t>
      </w:r>
      <w:r>
        <w:rPr>
          <w:rFonts w:ascii="SimSun" w:hAnsi="SimSun" w:eastAsia="SimSun" w:cs="SimSun"/>
          <w:sz w:val="21"/>
          <w:szCs w:val="21"/>
          <w:spacing w:val="13"/>
        </w:rPr>
        <w:t xml:space="preserve"> </w:t>
      </w:r>
      <w:r>
        <w:rPr>
          <w:rFonts w:ascii="SimSun" w:hAnsi="SimSun" w:eastAsia="SimSun" w:cs="SimSun"/>
          <w:sz w:val="21"/>
          <w:szCs w:val="21"/>
          <w:spacing w:val="2"/>
        </w:rPr>
        <w:t>国</w:t>
      </w:r>
      <w:r>
        <w:rPr>
          <w:rFonts w:ascii="Times New Roman" w:hAnsi="Times New Roman" w:eastAsia="Times New Roman" w:cs="Times New Roman"/>
          <w:sz w:val="21"/>
          <w:szCs w:val="21"/>
        </w:rPr>
        <w:t>NASA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火星气候轨道器事故调查委员会发布的报告</w:t>
      </w:r>
      <w:r>
        <w:rPr>
          <w:rFonts w:ascii="SimSun" w:hAnsi="SimSun" w:eastAsia="SimSun" w:cs="SimSun"/>
          <w:sz w:val="21"/>
          <w:szCs w:val="21"/>
          <w:spacing w:val="1"/>
        </w:rPr>
        <w:t>显示：火星气候轨道器任务失</w:t>
      </w:r>
      <w:r>
        <w:rPr>
          <w:rFonts w:ascii="SimSun" w:hAnsi="SimSun" w:eastAsia="SimSun" w:cs="SimSun"/>
          <w:sz w:val="21"/>
          <w:szCs w:val="21"/>
        </w:rPr>
        <w:t xml:space="preserve"> </w:t>
      </w:r>
      <w:r>
        <w:rPr>
          <w:rFonts w:ascii="SimSun" w:hAnsi="SimSun" w:eastAsia="SimSun" w:cs="SimSun"/>
          <w:sz w:val="21"/>
          <w:szCs w:val="21"/>
          <w:spacing w:val="7"/>
        </w:rPr>
        <w:t>败的主要原因是因为火星气候探测者号上的飞行系统软件使用公制单位(牛顿)计</w:t>
      </w:r>
      <w:r>
        <w:rPr>
          <w:rFonts w:ascii="SimSun" w:hAnsi="SimSun" w:eastAsia="SimSun" w:cs="SimSun"/>
          <w:sz w:val="21"/>
          <w:szCs w:val="21"/>
          <w:spacing w:val="6"/>
        </w:rPr>
        <w:t xml:space="preserve"> </w:t>
      </w:r>
      <w:r>
        <w:rPr>
          <w:rFonts w:ascii="SimSun" w:hAnsi="SimSun" w:eastAsia="SimSun" w:cs="SimSun"/>
          <w:sz w:val="21"/>
          <w:szCs w:val="21"/>
        </w:rPr>
        <w:t>算推进器动力，而地面人员输入的方向校正量和推进器参数则</w:t>
      </w:r>
      <w:r>
        <w:rPr>
          <w:rFonts w:ascii="SimSun" w:hAnsi="SimSun" w:eastAsia="SimSun" w:cs="SimSun"/>
          <w:sz w:val="21"/>
          <w:szCs w:val="21"/>
          <w:spacing w:val="-1"/>
        </w:rPr>
        <w:t>使用英制单位(磅力),</w:t>
      </w:r>
      <w:r>
        <w:rPr>
          <w:rFonts w:ascii="SimSun" w:hAnsi="SimSun" w:eastAsia="SimSun" w:cs="SimSun"/>
          <w:sz w:val="21"/>
          <w:szCs w:val="21"/>
        </w:rPr>
        <w:t xml:space="preserve"> </w:t>
      </w:r>
      <w:r>
        <w:rPr>
          <w:rFonts w:ascii="SimSun" w:hAnsi="SimSun" w:eastAsia="SimSun" w:cs="SimSun"/>
          <w:sz w:val="21"/>
          <w:szCs w:val="21"/>
          <w:spacing w:val="-1"/>
        </w:rPr>
        <w:t>导致探测器进入大气层的高度有误，最终瓦解碎裂。</w:t>
      </w:r>
    </w:p>
    <w:p>
      <w:pPr>
        <w:ind w:left="733"/>
        <w:spacing w:before="56" w:line="222" w:lineRule="auto"/>
        <w:rPr>
          <w:rFonts w:ascii="SimHei" w:hAnsi="SimHei" w:eastAsia="SimHei" w:cs="SimHei"/>
          <w:sz w:val="21"/>
          <w:szCs w:val="21"/>
        </w:rPr>
      </w:pPr>
      <w:r>
        <w:rPr>
          <w:rFonts w:ascii="SimHei" w:hAnsi="SimHei" w:eastAsia="SimHei" w:cs="SimHei"/>
          <w:sz w:val="21"/>
          <w:szCs w:val="21"/>
          <w:b/>
          <w:bCs/>
          <w:spacing w:val="7"/>
        </w:rPr>
        <w:t>例2:数据管理有助于实现组织的全局视角</w:t>
      </w:r>
    </w:p>
    <w:p>
      <w:pPr>
        <w:ind w:left="270" w:right="16" w:firstLine="459"/>
        <w:spacing w:before="69" w:line="266" w:lineRule="auto"/>
        <w:rPr>
          <w:rFonts w:ascii="SimSun" w:hAnsi="SimSun" w:eastAsia="SimSun" w:cs="SimSun"/>
          <w:sz w:val="21"/>
          <w:szCs w:val="21"/>
        </w:rPr>
      </w:pPr>
      <w:r>
        <w:rPr>
          <w:rFonts w:ascii="SimSun" w:hAnsi="SimSun" w:eastAsia="SimSun" w:cs="SimSun"/>
          <w:sz w:val="21"/>
          <w:szCs w:val="21"/>
          <w:spacing w:val="-3"/>
        </w:rPr>
        <w:t>随着</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3"/>
        </w:rPr>
        <w:t>SaaS</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服务逐步普及，云端的客户数据是目前企业级客户普遍面临的一个问</w:t>
      </w:r>
      <w:r>
        <w:rPr>
          <w:rFonts w:ascii="SimSun" w:hAnsi="SimSun" w:eastAsia="SimSun" w:cs="SimSun"/>
          <w:sz w:val="21"/>
          <w:szCs w:val="21"/>
        </w:rPr>
        <w:t xml:space="preserve"> </w:t>
      </w:r>
      <w:r>
        <w:rPr>
          <w:rFonts w:ascii="SimSun" w:hAnsi="SimSun" w:eastAsia="SimSun" w:cs="SimSun"/>
          <w:sz w:val="21"/>
          <w:szCs w:val="21"/>
          <w:spacing w:val="-1"/>
        </w:rPr>
        <w:t>题。在大多数组织中，客户信息通常分散于</w:t>
      </w:r>
      <w:r>
        <w:rPr>
          <w:rFonts w:ascii="Times New Roman" w:hAnsi="Times New Roman" w:eastAsia="Times New Roman" w:cs="Times New Roman"/>
          <w:sz w:val="21"/>
          <w:szCs w:val="21"/>
          <w:spacing w:val="-1"/>
        </w:rPr>
        <w:t>CRM</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ERP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OA</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1"/>
        </w:rPr>
        <w:t>等各个业务系统中，</w:t>
      </w:r>
      <w:r>
        <w:rPr>
          <w:rFonts w:ascii="SimSun" w:hAnsi="SimSun" w:eastAsia="SimSun" w:cs="SimSun"/>
          <w:sz w:val="21"/>
          <w:szCs w:val="21"/>
        </w:rPr>
        <w:t xml:space="preserve"> </w:t>
      </w:r>
      <w:r>
        <w:rPr>
          <w:rFonts w:ascii="SimSun" w:hAnsi="SimSun" w:eastAsia="SimSun" w:cs="SimSun"/>
          <w:sz w:val="21"/>
          <w:szCs w:val="21"/>
          <w:spacing w:val="2"/>
        </w:rPr>
        <w:t>而每个业务系统中都只有客户信息的片断，</w:t>
      </w:r>
      <w:r>
        <w:rPr>
          <w:rFonts w:ascii="SimSun" w:hAnsi="SimSun" w:eastAsia="SimSun" w:cs="SimSun"/>
          <w:sz w:val="21"/>
          <w:szCs w:val="21"/>
          <w:spacing w:val="1"/>
        </w:rPr>
        <w:t>即不完整的客户信息，但缺乏企业级的</w:t>
      </w:r>
      <w:r>
        <w:rPr>
          <w:rFonts w:ascii="SimSun" w:hAnsi="SimSun" w:eastAsia="SimSun" w:cs="SimSun"/>
          <w:sz w:val="21"/>
          <w:szCs w:val="21"/>
        </w:rPr>
        <w:t xml:space="preserve"> </w:t>
      </w:r>
      <w:r>
        <w:rPr>
          <w:rFonts w:ascii="SimSun" w:hAnsi="SimSun" w:eastAsia="SimSun" w:cs="SimSun"/>
          <w:sz w:val="21"/>
          <w:szCs w:val="21"/>
          <w:spacing w:val="1"/>
        </w:rPr>
        <w:t>完整、统一的单一客户视图，结果造成组织不能完全了解客户，无法协调统一的市</w:t>
      </w:r>
      <w:r>
        <w:rPr>
          <w:rFonts w:ascii="SimSun" w:hAnsi="SimSun" w:eastAsia="SimSun" w:cs="SimSun"/>
          <w:sz w:val="21"/>
          <w:szCs w:val="21"/>
          <w:spacing w:val="15"/>
        </w:rPr>
        <w:t xml:space="preserve"> </w:t>
      </w:r>
      <w:r>
        <w:rPr>
          <w:rFonts w:ascii="SimSun" w:hAnsi="SimSun" w:eastAsia="SimSun" w:cs="SimSun"/>
          <w:sz w:val="21"/>
          <w:szCs w:val="21"/>
          <w:spacing w:val="1"/>
        </w:rPr>
        <w:t>场行为，导致客户满意度下降，市场份额减少。因此，开展云端数据管理，整合并</w:t>
      </w:r>
      <w:r>
        <w:rPr>
          <w:rFonts w:ascii="SimSun" w:hAnsi="SimSun" w:eastAsia="SimSun" w:cs="SimSun"/>
          <w:sz w:val="21"/>
          <w:szCs w:val="21"/>
          <w:spacing w:val="12"/>
        </w:rPr>
        <w:t xml:space="preserve"> </w:t>
      </w:r>
      <w:r>
        <w:rPr>
          <w:rFonts w:ascii="SimSun" w:hAnsi="SimSun" w:eastAsia="SimSun" w:cs="SimSun"/>
          <w:sz w:val="21"/>
          <w:szCs w:val="21"/>
          <w:spacing w:val="1"/>
        </w:rPr>
        <w:t>存储所有业务系统和渠道的客户及潜在客户信息，并为相关的应用系统提供联机交</w:t>
      </w:r>
      <w:r>
        <w:rPr>
          <w:rFonts w:ascii="SimSun" w:hAnsi="SimSun" w:eastAsia="SimSun" w:cs="SimSun"/>
          <w:sz w:val="21"/>
          <w:szCs w:val="21"/>
          <w:spacing w:val="12"/>
        </w:rPr>
        <w:t xml:space="preserve"> </w:t>
      </w:r>
      <w:r>
        <w:rPr>
          <w:rFonts w:ascii="SimSun" w:hAnsi="SimSun" w:eastAsia="SimSun" w:cs="SimSun"/>
          <w:sz w:val="21"/>
          <w:szCs w:val="21"/>
          <w:spacing w:val="1"/>
        </w:rPr>
        <w:t>易支持，提供客户信息的唯一访问入口点，为所有应用系统提供及时和全面的客户</w:t>
      </w:r>
      <w:r>
        <w:rPr>
          <w:rFonts w:ascii="SimSun" w:hAnsi="SimSun" w:eastAsia="SimSun" w:cs="SimSun"/>
          <w:sz w:val="21"/>
          <w:szCs w:val="21"/>
          <w:spacing w:val="11"/>
        </w:rPr>
        <w:t xml:space="preserve"> </w:t>
      </w:r>
      <w:r>
        <w:rPr>
          <w:rFonts w:ascii="SimSun" w:hAnsi="SimSun" w:eastAsia="SimSun" w:cs="SimSun"/>
          <w:sz w:val="21"/>
          <w:szCs w:val="21"/>
          <w:spacing w:val="-2"/>
        </w:rPr>
        <w:t>信息将会在很大程度上解决这一问题。</w:t>
      </w:r>
    </w:p>
    <w:p>
      <w:pPr>
        <w:ind w:left="270" w:firstLine="459"/>
        <w:spacing w:before="82" w:line="262" w:lineRule="auto"/>
        <w:rPr>
          <w:rFonts w:ascii="SimSun" w:hAnsi="SimSun" w:eastAsia="SimSun" w:cs="SimSun"/>
          <w:sz w:val="21"/>
          <w:szCs w:val="21"/>
        </w:rPr>
      </w:pPr>
      <w:r>
        <w:rPr>
          <w:rFonts w:ascii="SimSun" w:hAnsi="SimSun" w:eastAsia="SimSun" w:cs="SimSun"/>
          <w:sz w:val="21"/>
          <w:szCs w:val="21"/>
          <w:spacing w:val="2"/>
        </w:rPr>
        <w:t>对于组织开展云端数据治理来说，云端数据管理作为基础保</w:t>
      </w:r>
      <w:r>
        <w:rPr>
          <w:rFonts w:ascii="SimSun" w:hAnsi="SimSun" w:eastAsia="SimSun" w:cs="SimSun"/>
          <w:sz w:val="21"/>
          <w:szCs w:val="21"/>
          <w:spacing w:val="1"/>
        </w:rPr>
        <w:t>障，使得组织能够</w:t>
      </w:r>
      <w:r>
        <w:rPr>
          <w:rFonts w:ascii="SimSun" w:hAnsi="SimSun" w:eastAsia="SimSun" w:cs="SimSun"/>
          <w:sz w:val="21"/>
          <w:szCs w:val="21"/>
        </w:rPr>
        <w:t xml:space="preserve"> </w:t>
      </w:r>
      <w:r>
        <w:rPr>
          <w:rFonts w:ascii="SimSun" w:hAnsi="SimSun" w:eastAsia="SimSun" w:cs="SimSun"/>
          <w:sz w:val="21"/>
          <w:szCs w:val="21"/>
          <w:spacing w:val="1"/>
        </w:rPr>
        <w:t>集中化管理迁移至云端的各类数据以及直接从云端收集的与组织相关的数据，在分</w:t>
      </w:r>
      <w:r>
        <w:rPr>
          <w:rFonts w:ascii="SimSun" w:hAnsi="SimSun" w:eastAsia="SimSun" w:cs="SimSun"/>
          <w:sz w:val="21"/>
          <w:szCs w:val="21"/>
          <w:spacing w:val="12"/>
        </w:rPr>
        <w:t xml:space="preserve"> </w:t>
      </w:r>
      <w:r>
        <w:rPr>
          <w:rFonts w:ascii="SimSun" w:hAnsi="SimSun" w:eastAsia="SimSun" w:cs="SimSun"/>
          <w:sz w:val="21"/>
          <w:szCs w:val="21"/>
          <w:spacing w:val="1"/>
        </w:rPr>
        <w:t>散的系统间保证主数据的一致性，改进数据合规性、快速部署新应用、充分了解客</w:t>
      </w:r>
      <w:r>
        <w:rPr>
          <w:rFonts w:ascii="SimSun" w:hAnsi="SimSun" w:eastAsia="SimSun" w:cs="SimSun"/>
          <w:sz w:val="21"/>
          <w:szCs w:val="21"/>
          <w:spacing w:val="13"/>
        </w:rPr>
        <w:t xml:space="preserve"> </w:t>
      </w:r>
      <w:r>
        <w:rPr>
          <w:rFonts w:ascii="SimSun" w:hAnsi="SimSun" w:eastAsia="SimSun" w:cs="SimSun"/>
          <w:sz w:val="21"/>
          <w:szCs w:val="21"/>
        </w:rPr>
        <w:t>户、加速推出新产品的速度。从组织自身的</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建设角度来说，云端数据管理可以增</w:t>
      </w:r>
      <w:r>
        <w:rPr>
          <w:rFonts w:ascii="SimSun" w:hAnsi="SimSun" w:eastAsia="SimSun" w:cs="SimSun"/>
          <w:sz w:val="21"/>
          <w:szCs w:val="21"/>
        </w:rPr>
        <w:t xml:space="preserve"> </w:t>
      </w:r>
      <w:r>
        <w:rPr>
          <w:rFonts w:ascii="SimSun" w:hAnsi="SimSun" w:eastAsia="SimSun" w:cs="SimSun"/>
          <w:sz w:val="21"/>
          <w:szCs w:val="21"/>
          <w:spacing w:val="-1"/>
        </w:rPr>
        <w:t>强</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
        </w:rPr>
        <w:t>结构的灵活性，构建覆盖整个组织范围内的数据基础和相应规范，并且更灵活</w:t>
      </w:r>
    </w:p>
    <w:p>
      <w:pPr>
        <w:spacing w:line="262" w:lineRule="auto"/>
        <w:sectPr>
          <w:footerReference w:type="default" r:id="rId191"/>
          <w:pgSz w:w="8870" w:h="13400"/>
          <w:pgMar w:top="400" w:right="418" w:bottom="477" w:left="519" w:header="0" w:footer="269" w:gutter="0"/>
        </w:sectPr>
        <w:rPr>
          <w:rFonts w:ascii="SimSun" w:hAnsi="SimSun" w:eastAsia="SimSun" w:cs="SimSun"/>
          <w:sz w:val="21"/>
          <w:szCs w:val="21"/>
        </w:rPr>
      </w:pPr>
    </w:p>
    <w:p>
      <w:pPr>
        <w:ind w:left="5513"/>
        <w:spacing w:before="204" w:line="219" w:lineRule="auto"/>
        <w:rPr>
          <w:rFonts w:ascii="SimSun" w:hAnsi="SimSun" w:eastAsia="SimSun" w:cs="SimSun"/>
          <w:sz w:val="22"/>
          <w:szCs w:val="22"/>
        </w:rPr>
      </w:pPr>
      <w:r>
        <w:rPr>
          <w:rFonts w:ascii="SimSun" w:hAnsi="SimSun" w:eastAsia="SimSun" w:cs="SimSun"/>
          <w:sz w:val="22"/>
          <w:szCs w:val="22"/>
          <w:b/>
          <w:bCs/>
          <w:spacing w:val="4"/>
        </w:rPr>
        <w:t>第5章■云端数据管理</w:t>
      </w:r>
    </w:p>
    <w:p>
      <w:pPr>
        <w:spacing w:before="303" w:line="219" w:lineRule="auto"/>
        <w:rPr>
          <w:rFonts w:ascii="SimSun" w:hAnsi="SimSun" w:eastAsia="SimSun" w:cs="SimSun"/>
          <w:sz w:val="22"/>
          <w:szCs w:val="22"/>
        </w:rPr>
      </w:pPr>
      <w:r>
        <w:rPr>
          <w:rFonts w:ascii="SimSun" w:hAnsi="SimSun" w:eastAsia="SimSun" w:cs="SimSun"/>
          <w:sz w:val="22"/>
          <w:szCs w:val="22"/>
          <w:spacing w:val="-13"/>
        </w:rPr>
        <w:t>地适应组织业务需求的变化。</w:t>
      </w:r>
    </w:p>
    <w:p>
      <w:pPr>
        <w:ind w:left="4"/>
        <w:spacing w:before="308" w:line="224" w:lineRule="auto"/>
        <w:outlineLvl w:val="2"/>
        <w:rPr>
          <w:rFonts w:ascii="YouYuan" w:hAnsi="YouYuan" w:eastAsia="YouYuan" w:cs="YouYuan"/>
          <w:sz w:val="29"/>
          <w:szCs w:val="29"/>
        </w:rPr>
      </w:pPr>
      <w:bookmarkStart w:name="bookmark46" w:id="41"/>
      <w:bookmarkEnd w:id="41"/>
      <w:r>
        <w:rPr>
          <w:rFonts w:ascii="YouYuan" w:hAnsi="YouYuan" w:eastAsia="YouYuan" w:cs="YouYuan"/>
          <w:sz w:val="29"/>
          <w:szCs w:val="29"/>
          <w:b/>
          <w:bCs/>
          <w:spacing w:val="-7"/>
        </w:rPr>
        <w:t>5.1.2</w:t>
      </w:r>
      <w:r>
        <w:rPr>
          <w:rFonts w:ascii="YouYuan" w:hAnsi="YouYuan" w:eastAsia="YouYuan" w:cs="YouYuan"/>
          <w:sz w:val="29"/>
          <w:szCs w:val="29"/>
          <w:spacing w:val="117"/>
        </w:rPr>
        <w:t xml:space="preserve"> </w:t>
      </w:r>
      <w:r>
        <w:rPr>
          <w:rFonts w:ascii="YouYuan" w:hAnsi="YouYuan" w:eastAsia="YouYuan" w:cs="YouYuan"/>
          <w:sz w:val="29"/>
          <w:szCs w:val="29"/>
          <w:b/>
          <w:bCs/>
          <w:spacing w:val="-7"/>
        </w:rPr>
        <w:t>内容与关联性</w:t>
      </w:r>
    </w:p>
    <w:p>
      <w:pPr>
        <w:pStyle w:val="BodyText"/>
        <w:spacing w:line="254" w:lineRule="auto"/>
        <w:rPr/>
      </w:pPr>
      <w:r/>
    </w:p>
    <w:p>
      <w:pPr>
        <w:ind w:right="268" w:firstLine="440"/>
        <w:spacing w:before="72" w:line="241" w:lineRule="auto"/>
        <w:jc w:val="both"/>
        <w:rPr>
          <w:rFonts w:ascii="SimSun" w:hAnsi="SimSun" w:eastAsia="SimSun" w:cs="SimSun"/>
          <w:sz w:val="22"/>
          <w:szCs w:val="22"/>
        </w:rPr>
      </w:pPr>
      <w:r>
        <w:rPr>
          <w:rFonts w:ascii="SimSun" w:hAnsi="SimSun" w:eastAsia="SimSun" w:cs="SimSun"/>
          <w:sz w:val="22"/>
          <w:szCs w:val="22"/>
          <w:spacing w:val="-9"/>
        </w:rPr>
        <w:t>云端数据管理职能域中包含的过程域有：业务词汇表、元数据管理、主数据管</w:t>
      </w:r>
      <w:r>
        <w:rPr>
          <w:rFonts w:ascii="SimSun" w:hAnsi="SimSun" w:eastAsia="SimSun" w:cs="SimSun"/>
          <w:sz w:val="22"/>
          <w:szCs w:val="22"/>
          <w:spacing w:val="6"/>
        </w:rPr>
        <w:t xml:space="preserve"> </w:t>
      </w:r>
      <w:r>
        <w:rPr>
          <w:rFonts w:ascii="SimSun" w:hAnsi="SimSun" w:eastAsia="SimSun" w:cs="SimSun"/>
          <w:sz w:val="22"/>
          <w:szCs w:val="22"/>
          <w:spacing w:val="-8"/>
        </w:rPr>
        <w:t>理。通过这三个过程域，使组织能够对其管理</w:t>
      </w:r>
      <w:r>
        <w:rPr>
          <w:rFonts w:ascii="SimSun" w:hAnsi="SimSun" w:eastAsia="SimSun" w:cs="SimSun"/>
          <w:sz w:val="22"/>
          <w:szCs w:val="22"/>
          <w:spacing w:val="-9"/>
        </w:rPr>
        <w:t>的云端数据在内、外部形成统一的理</w:t>
      </w:r>
      <w:r>
        <w:rPr>
          <w:rFonts w:ascii="SimSun" w:hAnsi="SimSun" w:eastAsia="SimSun" w:cs="SimSun"/>
          <w:sz w:val="22"/>
          <w:szCs w:val="22"/>
        </w:rPr>
        <w:t xml:space="preserve"> </w:t>
      </w:r>
      <w:r>
        <w:rPr>
          <w:rFonts w:ascii="SimSun" w:hAnsi="SimSun" w:eastAsia="SimSun" w:cs="SimSun"/>
          <w:sz w:val="22"/>
          <w:szCs w:val="22"/>
          <w:spacing w:val="-12"/>
        </w:rPr>
        <w:t>解，从而支撑云端数据治理的有效开展。</w:t>
      </w:r>
    </w:p>
    <w:p>
      <w:pPr>
        <w:ind w:right="241" w:firstLine="440"/>
        <w:spacing w:before="80" w:line="252" w:lineRule="auto"/>
        <w:jc w:val="both"/>
        <w:rPr>
          <w:rFonts w:ascii="SimSun" w:hAnsi="SimSun" w:eastAsia="SimSun" w:cs="SimSun"/>
          <w:sz w:val="22"/>
          <w:szCs w:val="22"/>
        </w:rPr>
      </w:pPr>
      <w:r>
        <w:rPr>
          <w:rFonts w:ascii="SimSun" w:hAnsi="SimSun" w:eastAsia="SimSun" w:cs="SimSun"/>
          <w:sz w:val="22"/>
          <w:szCs w:val="22"/>
          <w:spacing w:val="-9"/>
        </w:rPr>
        <w:t>本职能域为以下方面提供了最佳实践：实施能够在共同职责的范围内持续运作</w:t>
      </w:r>
      <w:r>
        <w:rPr>
          <w:rFonts w:ascii="SimSun" w:hAnsi="SimSun" w:eastAsia="SimSun" w:cs="SimSun"/>
          <w:sz w:val="22"/>
          <w:szCs w:val="22"/>
          <w:spacing w:val="8"/>
        </w:rPr>
        <w:t xml:space="preserve"> </w:t>
      </w:r>
      <w:r>
        <w:rPr>
          <w:rFonts w:ascii="SimSun" w:hAnsi="SimSun" w:eastAsia="SimSun" w:cs="SimSun"/>
          <w:sz w:val="22"/>
          <w:szCs w:val="22"/>
          <w:spacing w:val="-8"/>
        </w:rPr>
        <w:t>的数据治理方案和结构；拓宽和管理组织对经核准</w:t>
      </w:r>
      <w:r>
        <w:rPr>
          <w:rFonts w:ascii="SimSun" w:hAnsi="SimSun" w:eastAsia="SimSun" w:cs="SimSun"/>
          <w:sz w:val="22"/>
          <w:szCs w:val="22"/>
          <w:spacing w:val="-9"/>
        </w:rPr>
        <w:t>的业务词汇的收集，这些词汇被</w:t>
      </w:r>
      <w:r>
        <w:rPr>
          <w:rFonts w:ascii="SimSun" w:hAnsi="SimSun" w:eastAsia="SimSun" w:cs="SimSun"/>
          <w:sz w:val="22"/>
          <w:szCs w:val="22"/>
        </w:rPr>
        <w:t xml:space="preserve"> </w:t>
      </w:r>
      <w:r>
        <w:rPr>
          <w:rFonts w:ascii="SimSun" w:hAnsi="SimSun" w:eastAsia="SimSun" w:cs="SimSun"/>
          <w:sz w:val="22"/>
          <w:szCs w:val="22"/>
          <w:spacing w:val="-8"/>
        </w:rPr>
        <w:t>用到目标数据架构、分类法和本体论当中；开</w:t>
      </w:r>
      <w:r>
        <w:rPr>
          <w:rFonts w:ascii="SimSun" w:hAnsi="SimSun" w:eastAsia="SimSun" w:cs="SimSun"/>
          <w:sz w:val="22"/>
          <w:szCs w:val="22"/>
          <w:spacing w:val="-9"/>
        </w:rPr>
        <w:t>发和执行元数据，从而完整地描述组</w:t>
      </w:r>
      <w:r>
        <w:rPr>
          <w:rFonts w:ascii="SimSun" w:hAnsi="SimSun" w:eastAsia="SimSun" w:cs="SimSun"/>
          <w:sz w:val="22"/>
          <w:szCs w:val="22"/>
        </w:rPr>
        <w:t xml:space="preserve"> </w:t>
      </w:r>
      <w:r>
        <w:rPr>
          <w:rFonts w:ascii="SimSun" w:hAnsi="SimSun" w:eastAsia="SimSun" w:cs="SimSun"/>
          <w:sz w:val="22"/>
          <w:szCs w:val="22"/>
          <w:spacing w:val="-8"/>
        </w:rPr>
        <w:t>织的数据资产。数据管理对促进协作决策和有效执行治理机构的建立、维持以及合</w:t>
      </w:r>
      <w:r>
        <w:rPr>
          <w:rFonts w:ascii="SimSun" w:hAnsi="SimSun" w:eastAsia="SimSun" w:cs="SimSun"/>
          <w:sz w:val="22"/>
          <w:szCs w:val="22"/>
          <w:spacing w:val="16"/>
        </w:rPr>
        <w:t xml:space="preserve"> </w:t>
      </w:r>
      <w:r>
        <w:rPr>
          <w:rFonts w:ascii="SimSun" w:hAnsi="SimSun" w:eastAsia="SimSun" w:cs="SimSun"/>
          <w:sz w:val="22"/>
          <w:szCs w:val="22"/>
          <w:spacing w:val="-14"/>
        </w:rPr>
        <w:t>规功能的建设进行了论述。</w:t>
      </w:r>
    </w:p>
    <w:p>
      <w:pPr>
        <w:ind w:right="268" w:firstLine="440"/>
        <w:spacing w:before="59" w:line="246" w:lineRule="auto"/>
        <w:jc w:val="both"/>
        <w:rPr>
          <w:rFonts w:ascii="SimSun" w:hAnsi="SimSun" w:eastAsia="SimSun" w:cs="SimSun"/>
          <w:sz w:val="22"/>
          <w:szCs w:val="22"/>
        </w:rPr>
      </w:pPr>
      <w:r>
        <w:rPr>
          <w:rFonts w:ascii="SimSun" w:hAnsi="SimSun" w:eastAsia="SimSun" w:cs="SimSun"/>
          <w:sz w:val="22"/>
          <w:szCs w:val="22"/>
          <w:spacing w:val="-9"/>
        </w:rPr>
        <w:t>业务词汇表实践，针对组织内经核准的业务词汇，使其意义得到理解，有助于</w:t>
      </w:r>
      <w:r>
        <w:rPr>
          <w:rFonts w:ascii="SimSun" w:hAnsi="SimSun" w:eastAsia="SimSun" w:cs="SimSun"/>
          <w:sz w:val="22"/>
          <w:szCs w:val="22"/>
          <w:spacing w:val="7"/>
        </w:rPr>
        <w:t xml:space="preserve"> </w:t>
      </w:r>
      <w:r>
        <w:rPr>
          <w:rFonts w:ascii="SimSun" w:hAnsi="SimSun" w:eastAsia="SimSun" w:cs="SimSun"/>
          <w:sz w:val="22"/>
          <w:szCs w:val="22"/>
          <w:spacing w:val="-8"/>
        </w:rPr>
        <w:t>组织对其开发进行优先排定和次序排列，并对后续</w:t>
      </w:r>
      <w:r>
        <w:rPr>
          <w:rFonts w:ascii="SimSun" w:hAnsi="SimSun" w:eastAsia="SimSun" w:cs="SimSun"/>
          <w:sz w:val="22"/>
          <w:szCs w:val="22"/>
          <w:spacing w:val="-9"/>
        </w:rPr>
        <w:t>词汇的创建和更改进行管理。元</w:t>
      </w:r>
      <w:r>
        <w:rPr>
          <w:rFonts w:ascii="SimSun" w:hAnsi="SimSun" w:eastAsia="SimSun" w:cs="SimSun"/>
          <w:sz w:val="22"/>
          <w:szCs w:val="22"/>
        </w:rPr>
        <w:t xml:space="preserve"> </w:t>
      </w:r>
      <w:r>
        <w:rPr>
          <w:rFonts w:ascii="SimSun" w:hAnsi="SimSun" w:eastAsia="SimSun" w:cs="SimSun"/>
          <w:sz w:val="22"/>
          <w:szCs w:val="22"/>
          <w:spacing w:val="-8"/>
        </w:rPr>
        <w:t>数据管理提供了一个构建、策划、推广和管理元数据</w:t>
      </w:r>
      <w:r>
        <w:rPr>
          <w:rFonts w:ascii="SimSun" w:hAnsi="SimSun" w:eastAsia="SimSun" w:cs="SimSun"/>
          <w:sz w:val="22"/>
          <w:szCs w:val="22"/>
          <w:spacing w:val="-9"/>
        </w:rPr>
        <w:t>库的由上而下的方法，从而完</w:t>
      </w:r>
      <w:r>
        <w:rPr>
          <w:rFonts w:ascii="SimSun" w:hAnsi="SimSun" w:eastAsia="SimSun" w:cs="SimSun"/>
          <w:sz w:val="22"/>
          <w:szCs w:val="22"/>
        </w:rPr>
        <w:t xml:space="preserve"> </w:t>
      </w:r>
      <w:r>
        <w:rPr>
          <w:rFonts w:ascii="SimSun" w:hAnsi="SimSun" w:eastAsia="SimSun" w:cs="SimSun"/>
          <w:sz w:val="22"/>
          <w:szCs w:val="22"/>
          <w:spacing w:val="-8"/>
        </w:rPr>
        <w:t>整地描述组织的数据资产。主数据管理可以帮助组</w:t>
      </w:r>
      <w:r>
        <w:rPr>
          <w:rFonts w:ascii="SimSun" w:hAnsi="SimSun" w:eastAsia="SimSun" w:cs="SimSun"/>
          <w:sz w:val="22"/>
          <w:szCs w:val="22"/>
          <w:spacing w:val="-9"/>
        </w:rPr>
        <w:t>织构建并维护贯穿整个信息供应</w:t>
      </w:r>
      <w:r>
        <w:rPr>
          <w:rFonts w:ascii="SimSun" w:hAnsi="SimSun" w:eastAsia="SimSun" w:cs="SimSun"/>
          <w:sz w:val="22"/>
          <w:szCs w:val="22"/>
        </w:rPr>
        <w:t xml:space="preserve"> </w:t>
      </w:r>
      <w:r>
        <w:rPr>
          <w:rFonts w:ascii="SimSun" w:hAnsi="SimSun" w:eastAsia="SimSun" w:cs="SimSun"/>
          <w:sz w:val="22"/>
          <w:szCs w:val="22"/>
          <w:spacing w:val="-8"/>
        </w:rPr>
        <w:t>链的主数据单一视图，提供主数据的质量管理</w:t>
      </w:r>
      <w:r>
        <w:rPr>
          <w:rFonts w:ascii="SimSun" w:hAnsi="SimSun" w:eastAsia="SimSun" w:cs="SimSun"/>
          <w:sz w:val="22"/>
          <w:szCs w:val="22"/>
          <w:spacing w:val="-9"/>
        </w:rPr>
        <w:t>和统一业务实体定义，简化并改进业</w:t>
      </w:r>
      <w:r>
        <w:rPr>
          <w:rFonts w:ascii="SimSun" w:hAnsi="SimSun" w:eastAsia="SimSun" w:cs="SimSun"/>
          <w:sz w:val="22"/>
          <w:szCs w:val="22"/>
        </w:rPr>
        <w:t xml:space="preserve"> </w:t>
      </w:r>
      <w:r>
        <w:rPr>
          <w:rFonts w:ascii="SimSun" w:hAnsi="SimSun" w:eastAsia="SimSun" w:cs="SimSun"/>
          <w:sz w:val="22"/>
          <w:szCs w:val="22"/>
          <w:spacing w:val="-15"/>
        </w:rPr>
        <w:t>务流程并提高业务响应速度。</w:t>
      </w:r>
    </w:p>
    <w:p>
      <w:pPr>
        <w:ind w:right="242" w:firstLine="440"/>
        <w:spacing w:before="99" w:line="247" w:lineRule="auto"/>
        <w:jc w:val="both"/>
        <w:rPr>
          <w:rFonts w:ascii="SimSun" w:hAnsi="SimSun" w:eastAsia="SimSun" w:cs="SimSun"/>
          <w:sz w:val="22"/>
          <w:szCs w:val="22"/>
        </w:rPr>
      </w:pPr>
      <w:r>
        <w:rPr>
          <w:rFonts w:ascii="SimSun" w:hAnsi="SimSun" w:eastAsia="SimSun" w:cs="SimSun"/>
          <w:sz w:val="22"/>
          <w:szCs w:val="22"/>
          <w:spacing w:val="-8"/>
        </w:rPr>
        <w:t>本职能域的实践成熟度有助于加强数据管理方案的形成，从利益相关者处获得</w:t>
      </w:r>
      <w:r>
        <w:rPr>
          <w:rFonts w:ascii="SimSun" w:hAnsi="SimSun" w:eastAsia="SimSun" w:cs="SimSun"/>
          <w:sz w:val="22"/>
          <w:szCs w:val="22"/>
        </w:rPr>
        <w:t xml:space="preserve"> </w:t>
      </w:r>
      <w:r>
        <w:rPr>
          <w:rFonts w:ascii="SimSun" w:hAnsi="SimSun" w:eastAsia="SimSun" w:cs="SimSun"/>
          <w:sz w:val="22"/>
          <w:szCs w:val="22"/>
          <w:spacing w:val="-9"/>
        </w:rPr>
        <w:t>不间断的拥护和支持，并凭借通过全面而周到地实施过程所获得的信心，帮助组织</w:t>
      </w:r>
      <w:r>
        <w:rPr>
          <w:rFonts w:ascii="SimSun" w:hAnsi="SimSun" w:eastAsia="SimSun" w:cs="SimSun"/>
          <w:sz w:val="22"/>
          <w:szCs w:val="22"/>
          <w:spacing w:val="4"/>
        </w:rPr>
        <w:t xml:space="preserve"> </w:t>
      </w:r>
      <w:r>
        <w:rPr>
          <w:rFonts w:ascii="SimSun" w:hAnsi="SimSun" w:eastAsia="SimSun" w:cs="SimSun"/>
          <w:sz w:val="22"/>
          <w:szCs w:val="22"/>
          <w:spacing w:val="-16"/>
        </w:rPr>
        <w:t>实现其战略目标。</w:t>
      </w:r>
    </w:p>
    <w:p>
      <w:pPr>
        <w:pStyle w:val="BodyText"/>
        <w:spacing w:line="414" w:lineRule="auto"/>
        <w:rPr/>
      </w:pPr>
      <w:r/>
    </w:p>
    <w:p>
      <w:pPr>
        <w:ind w:left="4"/>
        <w:spacing w:before="108" w:line="222" w:lineRule="auto"/>
        <w:outlineLvl w:val="2"/>
        <w:rPr>
          <w:rFonts w:ascii="SimHei" w:hAnsi="SimHei" w:eastAsia="SimHei" w:cs="SimHei"/>
          <w:sz w:val="33"/>
          <w:szCs w:val="33"/>
        </w:rPr>
      </w:pPr>
      <w:r>
        <w:rPr>
          <w:rFonts w:ascii="SimHei" w:hAnsi="SimHei" w:eastAsia="SimHei" w:cs="SimHei"/>
          <w:sz w:val="33"/>
          <w:szCs w:val="33"/>
          <w:b/>
          <w:bCs/>
          <w:spacing w:val="-5"/>
        </w:rPr>
        <w:t>5.2</w:t>
      </w:r>
      <w:r>
        <w:rPr>
          <w:rFonts w:ascii="SimHei" w:hAnsi="SimHei" w:eastAsia="SimHei" w:cs="SimHei"/>
          <w:sz w:val="33"/>
          <w:szCs w:val="33"/>
          <w:spacing w:val="-5"/>
        </w:rPr>
        <w:t xml:space="preserve">  </w:t>
      </w:r>
      <w:r>
        <w:rPr>
          <w:rFonts w:ascii="SimHei" w:hAnsi="SimHei" w:eastAsia="SimHei" w:cs="SimHei"/>
          <w:sz w:val="33"/>
          <w:szCs w:val="33"/>
          <w:b/>
          <w:bCs/>
          <w:spacing w:val="-5"/>
        </w:rPr>
        <w:t>活动及要求</w:t>
      </w:r>
    </w:p>
    <w:p>
      <w:pPr>
        <w:ind w:left="4"/>
        <w:spacing w:before="328" w:line="212" w:lineRule="auto"/>
        <w:outlineLvl w:val="2"/>
        <w:rPr>
          <w:rFonts w:ascii="YouYuan" w:hAnsi="YouYuan" w:eastAsia="YouYuan" w:cs="YouYuan"/>
          <w:sz w:val="29"/>
          <w:szCs w:val="29"/>
        </w:rPr>
      </w:pPr>
      <w:r>
        <w:rPr>
          <w:rFonts w:ascii="YouYuan" w:hAnsi="YouYuan" w:eastAsia="YouYuan" w:cs="YouYuan"/>
          <w:sz w:val="29"/>
          <w:szCs w:val="29"/>
          <w:b/>
          <w:bCs/>
          <w:spacing w:val="-6"/>
        </w:rPr>
        <w:t>5.2.1</w:t>
      </w:r>
      <w:r>
        <w:rPr>
          <w:rFonts w:ascii="YouYuan" w:hAnsi="YouYuan" w:eastAsia="YouYuan" w:cs="YouYuan"/>
          <w:sz w:val="29"/>
          <w:szCs w:val="29"/>
          <w:spacing w:val="123"/>
        </w:rPr>
        <w:t xml:space="preserve"> </w:t>
      </w:r>
      <w:r>
        <w:rPr>
          <w:rFonts w:ascii="YouYuan" w:hAnsi="YouYuan" w:eastAsia="YouYuan" w:cs="YouYuan"/>
          <w:sz w:val="29"/>
          <w:szCs w:val="29"/>
          <w:b/>
          <w:bCs/>
          <w:spacing w:val="-6"/>
        </w:rPr>
        <w:t>业务词汇表</w:t>
      </w:r>
    </w:p>
    <w:p>
      <w:pPr>
        <w:pStyle w:val="BodyText"/>
        <w:spacing w:line="274" w:lineRule="auto"/>
        <w:rPr/>
      </w:pPr>
      <w:r/>
    </w:p>
    <w:p>
      <w:pPr>
        <w:ind w:left="443"/>
        <w:spacing w:before="72" w:line="224" w:lineRule="auto"/>
        <w:outlineLvl w:val="3"/>
        <w:rPr>
          <w:rFonts w:ascii="YouYuan" w:hAnsi="YouYuan" w:eastAsia="YouYuan" w:cs="YouYuan"/>
          <w:sz w:val="22"/>
          <w:szCs w:val="22"/>
        </w:rPr>
      </w:pPr>
      <w:r>
        <w:rPr>
          <w:rFonts w:ascii="YouYuan" w:hAnsi="YouYuan" w:eastAsia="YouYuan" w:cs="YouYuan"/>
          <w:sz w:val="22"/>
          <w:szCs w:val="22"/>
          <w:b/>
          <w:bCs/>
          <w:spacing w:val="-2"/>
        </w:rPr>
        <w:t>1.</w:t>
      </w:r>
      <w:r>
        <w:rPr>
          <w:rFonts w:ascii="YouYuan" w:hAnsi="YouYuan" w:eastAsia="YouYuan" w:cs="YouYuan"/>
          <w:sz w:val="22"/>
          <w:szCs w:val="22"/>
          <w:spacing w:val="-16"/>
        </w:rPr>
        <w:t xml:space="preserve"> </w:t>
      </w:r>
      <w:r>
        <w:rPr>
          <w:rFonts w:ascii="YouYuan" w:hAnsi="YouYuan" w:eastAsia="YouYuan" w:cs="YouYuan"/>
          <w:sz w:val="22"/>
          <w:szCs w:val="22"/>
          <w:b/>
          <w:bCs/>
          <w:spacing w:val="-2"/>
        </w:rPr>
        <w:t>简介</w:t>
      </w:r>
    </w:p>
    <w:p>
      <w:pPr>
        <w:ind w:left="440"/>
        <w:spacing w:before="226" w:line="232" w:lineRule="auto"/>
        <w:rPr>
          <w:rFonts w:ascii="KaiTi" w:hAnsi="KaiTi" w:eastAsia="KaiTi" w:cs="KaiTi"/>
          <w:sz w:val="22"/>
          <w:szCs w:val="22"/>
        </w:rPr>
      </w:pPr>
      <w:r>
        <w:rPr>
          <w:rFonts w:ascii="KaiTi" w:hAnsi="KaiTi" w:eastAsia="KaiTi" w:cs="KaiTi"/>
          <w:sz w:val="22"/>
          <w:szCs w:val="22"/>
          <w:spacing w:val="8"/>
        </w:rPr>
        <w:t>1)目的</w:t>
      </w:r>
    </w:p>
    <w:p>
      <w:pPr>
        <w:ind w:left="440"/>
        <w:spacing w:before="28" w:line="219" w:lineRule="auto"/>
        <w:rPr>
          <w:rFonts w:ascii="SimSun" w:hAnsi="SimSun" w:eastAsia="SimSun" w:cs="SimSun"/>
          <w:sz w:val="22"/>
          <w:szCs w:val="22"/>
        </w:rPr>
      </w:pPr>
      <w:r>
        <w:rPr>
          <w:rFonts w:ascii="SimSun" w:hAnsi="SimSun" w:eastAsia="SimSun" w:cs="SimSun"/>
          <w:sz w:val="22"/>
          <w:szCs w:val="22"/>
          <w:spacing w:val="-12"/>
        </w:rPr>
        <w:t>云端业务词汇表的主要目的包括</w:t>
      </w:r>
    </w:p>
    <w:p>
      <w:pPr>
        <w:ind w:right="241" w:firstLine="440"/>
        <w:spacing w:before="69" w:line="231" w:lineRule="auto"/>
        <w:rPr>
          <w:rFonts w:ascii="SimSun" w:hAnsi="SimSun" w:eastAsia="SimSun" w:cs="SimSun"/>
          <w:sz w:val="22"/>
          <w:szCs w:val="22"/>
        </w:rPr>
      </w:pPr>
      <w:r>
        <w:rPr>
          <w:rFonts w:ascii="SimSun" w:hAnsi="SimSun" w:eastAsia="SimSun" w:cs="SimSun"/>
          <w:sz w:val="22"/>
          <w:szCs w:val="22"/>
          <w:spacing w:val="-5"/>
        </w:rPr>
        <w:t>(1)在业务涉及的范围内统一核心业务用语和概念的理解，便于云端数据的应</w:t>
      </w:r>
      <w:r>
        <w:rPr>
          <w:rFonts w:ascii="SimSun" w:hAnsi="SimSun" w:eastAsia="SimSun" w:cs="SimSun"/>
          <w:sz w:val="22"/>
          <w:szCs w:val="22"/>
          <w:spacing w:val="13"/>
        </w:rPr>
        <w:t xml:space="preserve"> </w:t>
      </w:r>
      <w:r>
        <w:rPr>
          <w:rFonts w:ascii="SimSun" w:hAnsi="SimSun" w:eastAsia="SimSun" w:cs="SimSun"/>
          <w:sz w:val="22"/>
          <w:szCs w:val="22"/>
          <w:spacing w:val="-7"/>
        </w:rPr>
        <w:t>用和管理(特别是针对云端数据应用涉及多组织/用户的情况下);</w:t>
      </w:r>
    </w:p>
    <w:p>
      <w:pPr>
        <w:ind w:left="440"/>
        <w:spacing w:before="59" w:line="299" w:lineRule="exact"/>
        <w:rPr>
          <w:rFonts w:ascii="SimSun" w:hAnsi="SimSun" w:eastAsia="SimSun" w:cs="SimSun"/>
          <w:sz w:val="22"/>
          <w:szCs w:val="22"/>
        </w:rPr>
      </w:pPr>
      <w:r>
        <w:rPr>
          <w:rFonts w:ascii="SimSun" w:hAnsi="SimSun" w:eastAsia="SimSun" w:cs="SimSun"/>
          <w:sz w:val="22"/>
          <w:szCs w:val="22"/>
          <w:spacing w:val="-6"/>
          <w:position w:val="5"/>
        </w:rPr>
        <w:t>(2)降低因为对于业务词汇和概念理解不一致带来的数据误用；</w:t>
      </w:r>
    </w:p>
    <w:p>
      <w:pPr>
        <w:ind w:left="440"/>
        <w:spacing w:before="1" w:line="218" w:lineRule="auto"/>
        <w:rPr>
          <w:rFonts w:ascii="SimSun" w:hAnsi="SimSun" w:eastAsia="SimSun" w:cs="SimSun"/>
          <w:sz w:val="22"/>
          <w:szCs w:val="22"/>
        </w:rPr>
      </w:pPr>
      <w:r>
        <w:rPr>
          <w:rFonts w:ascii="SimSun" w:hAnsi="SimSun" w:eastAsia="SimSun" w:cs="SimSun"/>
          <w:sz w:val="22"/>
          <w:szCs w:val="22"/>
          <w:spacing w:val="-6"/>
        </w:rPr>
        <w:t>(3)为组织内精确查找业务相关信息提供基本保障。</w:t>
      </w:r>
    </w:p>
    <w:p>
      <w:pPr>
        <w:spacing w:line="218" w:lineRule="auto"/>
        <w:sectPr>
          <w:footerReference w:type="default" r:id="rId192"/>
          <w:pgSz w:w="8870" w:h="13400"/>
          <w:pgMar w:top="400" w:right="559" w:bottom="544" w:left="419" w:header="0" w:footer="326" w:gutter="0"/>
        </w:sectPr>
        <w:rPr>
          <w:rFonts w:ascii="SimSun" w:hAnsi="SimSun" w:eastAsia="SimSun" w:cs="SimSun"/>
          <w:sz w:val="22"/>
          <w:szCs w:val="22"/>
        </w:rPr>
      </w:pPr>
    </w:p>
    <w:p>
      <w:pPr>
        <w:ind w:left="183"/>
        <w:spacing w:before="285" w:line="219" w:lineRule="auto"/>
        <w:rPr>
          <w:rFonts w:ascii="SimSun" w:hAnsi="SimSun" w:eastAsia="SimSun" w:cs="SimSun"/>
          <w:sz w:val="22"/>
          <w:szCs w:val="22"/>
        </w:rPr>
      </w:pPr>
      <w:r>
        <w:pict>
          <v:rect id="_x0000_s330" style="position:absolute;margin-left:29.0005pt;margin-top:30.4984pt;mso-position-vertical-relative:page;mso-position-horizontal-relative:page;width:0.55pt;height:18.05pt;z-index:253698048;" o:allowincell="f" fillcolor="#000000" filled="true" stroked="false"/>
        </w:pict>
      </w:r>
      <w:r>
        <w:rPr>
          <w:rFonts w:ascii="SimSun" w:hAnsi="SimSun" w:eastAsia="SimSun" w:cs="SimSun"/>
          <w:sz w:val="22"/>
          <w:szCs w:val="22"/>
          <w:b/>
          <w:bCs/>
          <w:spacing w:val="-15"/>
        </w:rPr>
        <w:t>■云端数据治理</w:t>
      </w:r>
    </w:p>
    <w:p>
      <w:pPr>
        <w:ind w:left="640"/>
        <w:spacing w:before="300" w:line="222" w:lineRule="auto"/>
        <w:rPr>
          <w:rFonts w:ascii="FangSong" w:hAnsi="FangSong" w:eastAsia="FangSong" w:cs="FangSong"/>
          <w:sz w:val="22"/>
          <w:szCs w:val="22"/>
        </w:rPr>
      </w:pPr>
      <w:r>
        <w:rPr>
          <w:rFonts w:ascii="FangSong" w:hAnsi="FangSong" w:eastAsia="FangSong" w:cs="FangSong"/>
          <w:sz w:val="22"/>
          <w:szCs w:val="22"/>
          <w:spacing w:val="17"/>
        </w:rPr>
        <w:t>2)介绍</w:t>
      </w:r>
    </w:p>
    <w:p>
      <w:pPr>
        <w:ind w:left="180" w:right="129" w:firstLine="489"/>
        <w:spacing w:before="66" w:line="241" w:lineRule="auto"/>
        <w:rPr>
          <w:rFonts w:ascii="SimSun" w:hAnsi="SimSun" w:eastAsia="SimSun" w:cs="SimSun"/>
          <w:sz w:val="22"/>
          <w:szCs w:val="22"/>
        </w:rPr>
      </w:pPr>
      <w:r>
        <w:rPr>
          <w:rFonts w:ascii="SimSun" w:hAnsi="SimSun" w:eastAsia="SimSun" w:cs="SimSun"/>
          <w:sz w:val="22"/>
          <w:szCs w:val="22"/>
          <w:spacing w:val="-5"/>
        </w:rPr>
        <w:t>业务词汇表包含与组织相关的词汇、词汇业务含义以</w:t>
      </w:r>
      <w:r>
        <w:rPr>
          <w:rFonts w:ascii="SimSun" w:hAnsi="SimSun" w:eastAsia="SimSun" w:cs="SimSun"/>
          <w:sz w:val="22"/>
          <w:szCs w:val="22"/>
          <w:spacing w:val="-6"/>
        </w:rPr>
        <w:t>及词汇与信息资产(技术</w:t>
      </w:r>
      <w:r>
        <w:rPr>
          <w:rFonts w:ascii="SimSun" w:hAnsi="SimSun" w:eastAsia="SimSun" w:cs="SimSun"/>
          <w:sz w:val="22"/>
          <w:szCs w:val="22"/>
        </w:rPr>
        <w:t xml:space="preserve"> </w:t>
      </w:r>
      <w:r>
        <w:rPr>
          <w:rFonts w:ascii="SimSun" w:hAnsi="SimSun" w:eastAsia="SimSun" w:cs="SimSun"/>
          <w:sz w:val="22"/>
          <w:szCs w:val="22"/>
          <w:spacing w:val="1"/>
        </w:rPr>
        <w:t>元数据)的关系，可以有效帮助组织用户了解其业务元数据和技术元数据的对应</w:t>
      </w:r>
      <w:r>
        <w:rPr>
          <w:rFonts w:ascii="SimSun" w:hAnsi="SimSun" w:eastAsia="SimSun" w:cs="SimSun"/>
          <w:sz w:val="22"/>
          <w:szCs w:val="22"/>
          <w:spacing w:val="13"/>
        </w:rPr>
        <w:t xml:space="preserve"> </w:t>
      </w:r>
      <w:r>
        <w:rPr>
          <w:rFonts w:ascii="SimSun" w:hAnsi="SimSun" w:eastAsia="SimSun" w:cs="SimSun"/>
          <w:sz w:val="22"/>
          <w:szCs w:val="22"/>
          <w:spacing w:val="-9"/>
        </w:rPr>
        <w:t>含义。</w:t>
      </w:r>
    </w:p>
    <w:p>
      <w:pPr>
        <w:ind w:left="180" w:right="150" w:firstLine="489"/>
        <w:spacing w:before="62" w:line="257" w:lineRule="auto"/>
        <w:rPr>
          <w:rFonts w:ascii="SimSun" w:hAnsi="SimSun" w:eastAsia="SimSun" w:cs="SimSun"/>
          <w:sz w:val="22"/>
          <w:szCs w:val="22"/>
        </w:rPr>
      </w:pPr>
      <w:r>
        <w:rPr>
          <w:rFonts w:ascii="SimSun" w:hAnsi="SimSun" w:eastAsia="SimSun" w:cs="SimSun"/>
          <w:sz w:val="22"/>
          <w:szCs w:val="22"/>
          <w:spacing w:val="-9"/>
        </w:rPr>
        <w:t>业务词汇表是组织数据基础的核心，是组织开展云端数据治理的</w:t>
      </w:r>
      <w:r>
        <w:rPr>
          <w:rFonts w:ascii="SimSun" w:hAnsi="SimSun" w:eastAsia="SimSun" w:cs="SimSun"/>
          <w:sz w:val="22"/>
          <w:szCs w:val="22"/>
          <w:spacing w:val="-10"/>
        </w:rPr>
        <w:t>最基础支撑。</w:t>
      </w:r>
      <w:r>
        <w:rPr>
          <w:rFonts w:ascii="SimSun" w:hAnsi="SimSun" w:eastAsia="SimSun" w:cs="SimSun"/>
          <w:sz w:val="22"/>
          <w:szCs w:val="22"/>
        </w:rPr>
        <w:t xml:space="preserve"> </w:t>
      </w:r>
      <w:r>
        <w:rPr>
          <w:rFonts w:ascii="SimSun" w:hAnsi="SimSun" w:eastAsia="SimSun" w:cs="SimSun"/>
          <w:sz w:val="22"/>
          <w:szCs w:val="22"/>
          <w:spacing w:val="-8"/>
        </w:rPr>
        <w:t>尽管词汇表是个很简单的概念，但要对用于表达业务含义的共享词汇进行有效的管</w:t>
      </w:r>
      <w:r>
        <w:rPr>
          <w:rFonts w:ascii="SimSun" w:hAnsi="SimSun" w:eastAsia="SimSun" w:cs="SimSun"/>
          <w:sz w:val="22"/>
          <w:szCs w:val="22"/>
          <w:spacing w:val="8"/>
        </w:rPr>
        <w:t xml:space="preserve"> </w:t>
      </w:r>
      <w:r>
        <w:rPr>
          <w:rFonts w:ascii="SimSun" w:hAnsi="SimSun" w:eastAsia="SimSun" w:cs="SimSun"/>
          <w:sz w:val="22"/>
          <w:szCs w:val="22"/>
          <w:spacing w:val="-8"/>
        </w:rPr>
        <w:t>理，并进行定义、统一、协调、挑选、批准和维护，事情就可能变得很难</w:t>
      </w:r>
      <w:r>
        <w:rPr>
          <w:rFonts w:ascii="SimSun" w:hAnsi="SimSun" w:eastAsia="SimSun" w:cs="SimSun"/>
          <w:sz w:val="22"/>
          <w:szCs w:val="22"/>
          <w:spacing w:val="-9"/>
        </w:rPr>
        <w:t>。保持业</w:t>
      </w:r>
      <w:r>
        <w:rPr>
          <w:rFonts w:ascii="SimSun" w:hAnsi="SimSun" w:eastAsia="SimSun" w:cs="SimSun"/>
          <w:sz w:val="22"/>
          <w:szCs w:val="22"/>
        </w:rPr>
        <w:t xml:space="preserve"> </w:t>
      </w:r>
      <w:r>
        <w:rPr>
          <w:rFonts w:ascii="SimSun" w:hAnsi="SimSun" w:eastAsia="SimSun" w:cs="SimSun"/>
          <w:sz w:val="22"/>
          <w:szCs w:val="22"/>
          <w:spacing w:val="-8"/>
        </w:rPr>
        <w:t>务词汇含义的一致性非常重要，尽管在组织中对于</w:t>
      </w:r>
      <w:r>
        <w:rPr>
          <w:rFonts w:ascii="SimSun" w:hAnsi="SimSun" w:eastAsia="SimSun" w:cs="SimSun"/>
          <w:sz w:val="22"/>
          <w:szCs w:val="22"/>
          <w:spacing w:val="-9"/>
        </w:rPr>
        <w:t>不同的业务线而言也许并非都十</w:t>
      </w:r>
      <w:r>
        <w:rPr>
          <w:rFonts w:ascii="SimSun" w:hAnsi="SimSun" w:eastAsia="SimSun" w:cs="SimSun"/>
          <w:sz w:val="22"/>
          <w:szCs w:val="22"/>
        </w:rPr>
        <w:t xml:space="preserve"> </w:t>
      </w:r>
      <w:r>
        <w:rPr>
          <w:rFonts w:ascii="SimSun" w:hAnsi="SimSun" w:eastAsia="SimSun" w:cs="SimSun"/>
          <w:sz w:val="22"/>
          <w:szCs w:val="22"/>
          <w:spacing w:val="-8"/>
        </w:rPr>
        <w:t>分明显，因为业务单元和组织级使用的词汇之间的区别通常没有明确的定义或清楚</w:t>
      </w:r>
      <w:r>
        <w:rPr>
          <w:rFonts w:ascii="SimSun" w:hAnsi="SimSun" w:eastAsia="SimSun" w:cs="SimSun"/>
          <w:sz w:val="22"/>
          <w:szCs w:val="22"/>
          <w:spacing w:val="6"/>
        </w:rPr>
        <w:t xml:space="preserve"> </w:t>
      </w:r>
      <w:r>
        <w:rPr>
          <w:rFonts w:ascii="SimSun" w:hAnsi="SimSun" w:eastAsia="SimSun" w:cs="SimSun"/>
          <w:sz w:val="22"/>
          <w:szCs w:val="22"/>
          <w:spacing w:val="-8"/>
        </w:rPr>
        <w:t>的记录。此外，多个业务单元使用的词汇通常包含</w:t>
      </w:r>
      <w:r>
        <w:rPr>
          <w:rFonts w:ascii="SimSun" w:hAnsi="SimSun" w:eastAsia="SimSun" w:cs="SimSun"/>
          <w:sz w:val="22"/>
          <w:szCs w:val="22"/>
          <w:spacing w:val="-9"/>
        </w:rPr>
        <w:t>了隐含意义，这需要通过探索研</w:t>
      </w:r>
      <w:r>
        <w:rPr>
          <w:rFonts w:ascii="SimSun" w:hAnsi="SimSun" w:eastAsia="SimSun" w:cs="SimSun"/>
          <w:sz w:val="22"/>
          <w:szCs w:val="22"/>
        </w:rPr>
        <w:t xml:space="preserve"> </w:t>
      </w:r>
      <w:r>
        <w:rPr>
          <w:rFonts w:ascii="SimSun" w:hAnsi="SimSun" w:eastAsia="SimSun" w:cs="SimSun"/>
          <w:sz w:val="22"/>
          <w:szCs w:val="22"/>
          <w:spacing w:val="-8"/>
        </w:rPr>
        <w:t>究、合理解释和协议等方式进行确定。为业务词汇建立标准，包</w:t>
      </w:r>
      <w:r>
        <w:rPr>
          <w:rFonts w:ascii="SimSun" w:hAnsi="SimSun" w:eastAsia="SimSun" w:cs="SimSun"/>
          <w:sz w:val="22"/>
          <w:szCs w:val="22"/>
          <w:spacing w:val="-9"/>
        </w:rPr>
        <w:t>括命名惯例、缩写</w:t>
      </w:r>
      <w:r>
        <w:rPr>
          <w:rFonts w:ascii="SimSun" w:hAnsi="SimSun" w:eastAsia="SimSun" w:cs="SimSun"/>
          <w:sz w:val="22"/>
          <w:szCs w:val="22"/>
        </w:rPr>
        <w:t xml:space="preserve"> </w:t>
      </w:r>
      <w:r>
        <w:rPr>
          <w:rFonts w:ascii="SimSun" w:hAnsi="SimSun" w:eastAsia="SimSun" w:cs="SimSun"/>
          <w:sz w:val="22"/>
          <w:szCs w:val="22"/>
          <w:spacing w:val="-8"/>
        </w:rPr>
        <w:t>词、标准的定义表示法以及标准元数据，为组织内表</w:t>
      </w:r>
      <w:r>
        <w:rPr>
          <w:rFonts w:ascii="SimSun" w:hAnsi="SimSun" w:eastAsia="SimSun" w:cs="SimSun"/>
          <w:sz w:val="22"/>
          <w:szCs w:val="22"/>
          <w:spacing w:val="-9"/>
        </w:rPr>
        <w:t>示统一意义奠定了基础。这些</w:t>
      </w:r>
      <w:r>
        <w:rPr>
          <w:rFonts w:ascii="SimSun" w:hAnsi="SimSun" w:eastAsia="SimSun" w:cs="SimSun"/>
          <w:sz w:val="22"/>
          <w:szCs w:val="22"/>
        </w:rPr>
        <w:t xml:space="preserve"> </w:t>
      </w:r>
      <w:r>
        <w:rPr>
          <w:rFonts w:ascii="SimSun" w:hAnsi="SimSun" w:eastAsia="SimSun" w:cs="SimSun"/>
          <w:sz w:val="22"/>
          <w:szCs w:val="22"/>
          <w:spacing w:val="-8"/>
        </w:rPr>
        <w:t>标准应通过数据治理进行应用，还应建立、遵循和维护相应的批准和更改过程。应</w:t>
      </w:r>
      <w:r>
        <w:rPr>
          <w:rFonts w:ascii="SimSun" w:hAnsi="SimSun" w:eastAsia="SimSun" w:cs="SimSun"/>
          <w:sz w:val="22"/>
          <w:szCs w:val="22"/>
          <w:spacing w:val="6"/>
        </w:rPr>
        <w:t xml:space="preserve"> </w:t>
      </w:r>
      <w:r>
        <w:rPr>
          <w:rFonts w:ascii="SimSun" w:hAnsi="SimSun" w:eastAsia="SimSun" w:cs="SimSun"/>
          <w:sz w:val="22"/>
          <w:szCs w:val="22"/>
          <w:spacing w:val="-10"/>
        </w:rPr>
        <w:t>实例化合适的沟通或反馈环路，从而确保业务过程中的变更和建议得到恰当传达， </w:t>
      </w:r>
      <w:r>
        <w:rPr>
          <w:rFonts w:ascii="SimSun" w:hAnsi="SimSun" w:eastAsia="SimSun" w:cs="SimSun"/>
          <w:sz w:val="22"/>
          <w:szCs w:val="22"/>
          <w:spacing w:val="-15"/>
        </w:rPr>
        <w:t>以确保词汇表的准确性。</w:t>
      </w:r>
    </w:p>
    <w:p>
      <w:pPr>
        <w:ind w:left="180" w:right="90" w:firstLine="489"/>
        <w:spacing w:before="67" w:line="250" w:lineRule="auto"/>
        <w:rPr>
          <w:rFonts w:ascii="SimSun" w:hAnsi="SimSun" w:eastAsia="SimSun" w:cs="SimSun"/>
          <w:sz w:val="22"/>
          <w:szCs w:val="22"/>
        </w:rPr>
      </w:pPr>
      <w:r>
        <w:rPr>
          <w:rFonts w:ascii="SimSun" w:hAnsi="SimSun" w:eastAsia="SimSun" w:cs="SimSun"/>
          <w:sz w:val="22"/>
          <w:szCs w:val="22"/>
          <w:spacing w:val="-8"/>
        </w:rPr>
        <w:t>在复杂的分析、建模和开发计划涉及多个项目的大型组织中，业务词汇的标准</w:t>
      </w:r>
      <w:r>
        <w:rPr>
          <w:rFonts w:ascii="SimSun" w:hAnsi="SimSun" w:eastAsia="SimSun" w:cs="SimSun"/>
          <w:sz w:val="22"/>
          <w:szCs w:val="22"/>
          <w:spacing w:val="10"/>
        </w:rPr>
        <w:t xml:space="preserve"> </w:t>
      </w:r>
      <w:r>
        <w:rPr>
          <w:rFonts w:ascii="SimSun" w:hAnsi="SimSun" w:eastAsia="SimSun" w:cs="SimSun"/>
          <w:sz w:val="22"/>
          <w:szCs w:val="22"/>
          <w:spacing w:val="-11"/>
        </w:rPr>
        <w:t>化至关重要。如果没有一种方法来标准化业务概念</w:t>
      </w:r>
      <w:r>
        <w:rPr>
          <w:rFonts w:ascii="SimSun" w:hAnsi="SimSun" w:eastAsia="SimSun" w:cs="SimSun"/>
          <w:sz w:val="22"/>
          <w:szCs w:val="22"/>
          <w:spacing w:val="-12"/>
        </w:rPr>
        <w:t>的含义和定义，显然，每个分析、</w:t>
      </w:r>
      <w:r>
        <w:rPr>
          <w:rFonts w:ascii="SimSun" w:hAnsi="SimSun" w:eastAsia="SimSun" w:cs="SimSun"/>
          <w:sz w:val="22"/>
          <w:szCs w:val="22"/>
        </w:rPr>
        <w:t xml:space="preserve"> </w:t>
      </w:r>
      <w:r>
        <w:rPr>
          <w:rFonts w:ascii="SimSun" w:hAnsi="SimSun" w:eastAsia="SimSun" w:cs="SimSun"/>
          <w:sz w:val="22"/>
          <w:szCs w:val="22"/>
          <w:spacing w:val="-10"/>
        </w:rPr>
        <w:t>建模或开发线程都会建立自己的词汇。这些完全不同的</w:t>
      </w:r>
      <w:r>
        <w:rPr>
          <w:rFonts w:ascii="SimSun" w:hAnsi="SimSun" w:eastAsia="SimSun" w:cs="SimSun"/>
          <w:sz w:val="22"/>
          <w:szCs w:val="22"/>
          <w:spacing w:val="-11"/>
        </w:rPr>
        <w:t>词汇可能会加深用户对</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1"/>
        </w:rPr>
        <w:t>资</w:t>
      </w:r>
      <w:r>
        <w:rPr>
          <w:rFonts w:ascii="SimSun" w:hAnsi="SimSun" w:eastAsia="SimSun" w:cs="SimSun"/>
          <w:sz w:val="22"/>
          <w:szCs w:val="22"/>
        </w:rPr>
        <w:t xml:space="preserve">  </w:t>
      </w:r>
      <w:r>
        <w:rPr>
          <w:rFonts w:ascii="SimSun" w:hAnsi="SimSun" w:eastAsia="SimSun" w:cs="SimSun"/>
          <w:sz w:val="22"/>
          <w:szCs w:val="22"/>
          <w:spacing w:val="-9"/>
        </w:rPr>
        <w:t>产和它们支持的业务概念之间的关系理解不一致的情况。</w:t>
      </w:r>
    </w:p>
    <w:p>
      <w:pPr>
        <w:ind w:left="180" w:right="30" w:firstLine="489"/>
        <w:spacing w:before="60" w:line="253" w:lineRule="auto"/>
        <w:rPr>
          <w:rFonts w:ascii="SimSun" w:hAnsi="SimSun" w:eastAsia="SimSun" w:cs="SimSun"/>
          <w:sz w:val="22"/>
          <w:szCs w:val="22"/>
        </w:rPr>
      </w:pPr>
      <w:r>
        <w:rPr>
          <w:rFonts w:ascii="SimSun" w:hAnsi="SimSun" w:eastAsia="SimSun" w:cs="SimSun"/>
          <w:sz w:val="22"/>
          <w:szCs w:val="22"/>
          <w:spacing w:val="-12"/>
        </w:rPr>
        <w:t>经核准的标准业务词汇表强调了向目标数据架构的有效过渡。没有这个词汇表，</w:t>
      </w:r>
      <w:r>
        <w:rPr>
          <w:rFonts w:ascii="SimSun" w:hAnsi="SimSun" w:eastAsia="SimSun" w:cs="SimSun"/>
          <w:sz w:val="22"/>
          <w:szCs w:val="22"/>
          <w:spacing w:val="8"/>
        </w:rPr>
        <w:t xml:space="preserve"> </w:t>
      </w:r>
      <w:r>
        <w:rPr>
          <w:rFonts w:ascii="SimSun" w:hAnsi="SimSun" w:eastAsia="SimSun" w:cs="SimSun"/>
          <w:sz w:val="22"/>
          <w:szCs w:val="22"/>
          <w:spacing w:val="-12"/>
        </w:rPr>
        <w:t>组织数据资产的重新架构、整合和有效分享的速度就会更慢、更加复杂、更加昂贵。 </w:t>
      </w:r>
      <w:r>
        <w:rPr>
          <w:rFonts w:ascii="SimSun" w:hAnsi="SimSun" w:eastAsia="SimSun" w:cs="SimSun"/>
          <w:sz w:val="22"/>
          <w:szCs w:val="22"/>
          <w:spacing w:val="-8"/>
        </w:rPr>
        <w:t>新数据存储的开发、整合和重新设计通常是由事件驱动的，经常会导致业务词汇特</w:t>
      </w:r>
      <w:r>
        <w:rPr>
          <w:rFonts w:ascii="SimSun" w:hAnsi="SimSun" w:eastAsia="SimSun" w:cs="SimSun"/>
          <w:sz w:val="22"/>
          <w:szCs w:val="22"/>
          <w:spacing w:val="2"/>
        </w:rPr>
        <w:t xml:space="preserve">  </w:t>
      </w:r>
      <w:r>
        <w:rPr>
          <w:rFonts w:ascii="SimSun" w:hAnsi="SimSun" w:eastAsia="SimSun" w:cs="SimSun"/>
          <w:sz w:val="22"/>
          <w:szCs w:val="22"/>
          <w:spacing w:val="-9"/>
        </w:rPr>
        <w:t>殊命名和定义的出现，这些词汇之后会被实例化成逻辑属性和物理数据元素。每一  </w:t>
      </w:r>
      <w:r>
        <w:rPr>
          <w:rFonts w:ascii="SimSun" w:hAnsi="SimSun" w:eastAsia="SimSun" w:cs="SimSun"/>
          <w:sz w:val="22"/>
          <w:szCs w:val="22"/>
          <w:spacing w:val="-9"/>
        </w:rPr>
        <w:t>次都会出现这种情况，由此产生了对经核准标准词汇的组织机构进行创建和建设的  </w:t>
      </w:r>
      <w:r>
        <w:rPr>
          <w:rFonts w:ascii="SimSun" w:hAnsi="SimSun" w:eastAsia="SimSun" w:cs="SimSun"/>
          <w:sz w:val="22"/>
          <w:szCs w:val="22"/>
          <w:spacing w:val="-12"/>
        </w:rPr>
        <w:t>另一个障碍，这种障碍必然会导致未来的返工。</w:t>
      </w:r>
    </w:p>
    <w:p>
      <w:pPr>
        <w:ind w:left="180" w:firstLine="549"/>
        <w:spacing w:before="70" w:line="255" w:lineRule="auto"/>
        <w:rPr>
          <w:rFonts w:ascii="SimSun" w:hAnsi="SimSun" w:eastAsia="SimSun" w:cs="SimSun"/>
          <w:sz w:val="22"/>
          <w:szCs w:val="22"/>
        </w:rPr>
      </w:pPr>
      <w:r>
        <w:rPr>
          <w:rFonts w:ascii="SimSun" w:hAnsi="SimSun" w:eastAsia="SimSun" w:cs="SimSun"/>
          <w:sz w:val="22"/>
          <w:szCs w:val="22"/>
          <w:spacing w:val="-13"/>
        </w:rPr>
        <w:t>在组织的数据层，经审核批准的统一业务词汇也是完善组织数据接口的奠基石，</w:t>
      </w:r>
      <w:r>
        <w:rPr>
          <w:rFonts w:ascii="SimSun" w:hAnsi="SimSun" w:eastAsia="SimSun" w:cs="SimSun"/>
          <w:sz w:val="22"/>
          <w:szCs w:val="22"/>
          <w:spacing w:val="14"/>
        </w:rPr>
        <w:t xml:space="preserve"> </w:t>
      </w:r>
      <w:r>
        <w:rPr>
          <w:rFonts w:ascii="SimSun" w:hAnsi="SimSun" w:eastAsia="SimSun" w:cs="SimSun"/>
          <w:sz w:val="22"/>
          <w:szCs w:val="22"/>
          <w:spacing w:val="-8"/>
        </w:rPr>
        <w:t>这些数据接口总是因目的相同而名字和表示方式不同而饱受困扰，带</w:t>
      </w:r>
      <w:r>
        <w:rPr>
          <w:rFonts w:ascii="SimSun" w:hAnsi="SimSun" w:eastAsia="SimSun" w:cs="SimSun"/>
          <w:sz w:val="22"/>
          <w:szCs w:val="22"/>
          <w:spacing w:val="-9"/>
        </w:rPr>
        <w:t>来了高昂的成  </w:t>
      </w:r>
      <w:r>
        <w:rPr>
          <w:rFonts w:ascii="SimSun" w:hAnsi="SimSun" w:eastAsia="SimSun" w:cs="SimSun"/>
          <w:sz w:val="22"/>
          <w:szCs w:val="22"/>
          <w:spacing w:val="-8"/>
        </w:rPr>
        <w:t>本。同样，统一的业务词汇和定义对于数据整合、集合、准确分析、</w:t>
      </w:r>
      <w:r>
        <w:rPr>
          <w:rFonts w:ascii="SimSun" w:hAnsi="SimSun" w:eastAsia="SimSun" w:cs="SimSun"/>
          <w:sz w:val="22"/>
          <w:szCs w:val="22"/>
          <w:spacing w:val="-9"/>
        </w:rPr>
        <w:t>趋势和预测分  </w:t>
      </w:r>
      <w:r>
        <w:rPr>
          <w:rFonts w:ascii="SimSun" w:hAnsi="SimSun" w:eastAsia="SimSun" w:cs="SimSun"/>
          <w:sz w:val="22"/>
          <w:szCs w:val="22"/>
          <w:spacing w:val="-8"/>
        </w:rPr>
        <w:t>析、语义建模等的实现十分关键。制作出让所有应用程序、系统和过</w:t>
      </w:r>
      <w:r>
        <w:rPr>
          <w:rFonts w:ascii="SimSun" w:hAnsi="SimSun" w:eastAsia="SimSun" w:cs="SimSun"/>
          <w:sz w:val="22"/>
          <w:szCs w:val="22"/>
          <w:spacing w:val="-9"/>
        </w:rPr>
        <w:t>程都理解和应  </w:t>
      </w:r>
      <w:r>
        <w:rPr>
          <w:rFonts w:ascii="SimSun" w:hAnsi="SimSun" w:eastAsia="SimSun" w:cs="SimSun"/>
          <w:sz w:val="22"/>
          <w:szCs w:val="22"/>
          <w:spacing w:val="-8"/>
        </w:rPr>
        <w:t>用的业务词汇综合概要——这种活动的广阔范围，需要从执行管理层</w:t>
      </w:r>
      <w:r>
        <w:rPr>
          <w:rFonts w:ascii="SimSun" w:hAnsi="SimSun" w:eastAsia="SimSun" w:cs="SimSun"/>
          <w:sz w:val="22"/>
          <w:szCs w:val="22"/>
          <w:spacing w:val="-9"/>
        </w:rPr>
        <w:t>那里获得政策  </w:t>
      </w:r>
      <w:r>
        <w:rPr>
          <w:rFonts w:ascii="SimSun" w:hAnsi="SimSun" w:eastAsia="SimSun" w:cs="SimSun"/>
          <w:sz w:val="22"/>
          <w:szCs w:val="22"/>
          <w:spacing w:val="-8"/>
        </w:rPr>
        <w:t>指示，强调了建立和控制数据统一性的重要性。项目可能会试图避免</w:t>
      </w:r>
      <w:r>
        <w:rPr>
          <w:rFonts w:ascii="SimSun" w:hAnsi="SimSun" w:eastAsia="SimSun" w:cs="SimSun"/>
          <w:sz w:val="22"/>
          <w:szCs w:val="22"/>
          <w:spacing w:val="-9"/>
        </w:rPr>
        <w:t>采用经核准的  </w:t>
      </w:r>
      <w:r>
        <w:rPr>
          <w:rFonts w:ascii="SimSun" w:hAnsi="SimSun" w:eastAsia="SimSun" w:cs="SimSun"/>
          <w:sz w:val="22"/>
          <w:szCs w:val="22"/>
          <w:spacing w:val="-8"/>
        </w:rPr>
        <w:t>词汇，从而完成短期目标。强有力的治理对于在早期拦截执行工作从</w:t>
      </w:r>
      <w:r>
        <w:rPr>
          <w:rFonts w:ascii="SimSun" w:hAnsi="SimSun" w:eastAsia="SimSun" w:cs="SimSun"/>
          <w:sz w:val="22"/>
          <w:szCs w:val="22"/>
          <w:spacing w:val="-9"/>
        </w:rPr>
        <w:t>而确保组织级  </w:t>
      </w:r>
      <w:r>
        <w:rPr>
          <w:rFonts w:ascii="SimSun" w:hAnsi="SimSun" w:eastAsia="SimSun" w:cs="SimSun"/>
          <w:sz w:val="22"/>
          <w:szCs w:val="22"/>
          <w:spacing w:val="-12"/>
        </w:rPr>
        <w:t>方针得到遵循是必要的。</w:t>
      </w:r>
    </w:p>
    <w:p>
      <w:pPr>
        <w:ind w:left="180" w:right="56" w:firstLine="569"/>
        <w:spacing w:before="88" w:line="241" w:lineRule="auto"/>
        <w:rPr>
          <w:rFonts w:ascii="SimSun" w:hAnsi="SimSun" w:eastAsia="SimSun" w:cs="SimSun"/>
          <w:sz w:val="22"/>
          <w:szCs w:val="22"/>
        </w:rPr>
      </w:pPr>
      <w:r>
        <w:rPr>
          <w:rFonts w:ascii="SimSun" w:hAnsi="SimSun" w:eastAsia="SimSun" w:cs="SimSun"/>
          <w:sz w:val="22"/>
          <w:szCs w:val="22"/>
          <w:spacing w:val="-9"/>
        </w:rPr>
        <w:t>开发一个已定义的过程，用来创造、更新、维护和公告业务词汇及其相应的定</w:t>
      </w:r>
      <w:r>
        <w:rPr>
          <w:rFonts w:ascii="SimSun" w:hAnsi="SimSun" w:eastAsia="SimSun" w:cs="SimSun"/>
          <w:sz w:val="22"/>
          <w:szCs w:val="22"/>
          <w:spacing w:val="8"/>
        </w:rPr>
        <w:t xml:space="preserve"> </w:t>
      </w:r>
      <w:r>
        <w:rPr>
          <w:rFonts w:ascii="SimSun" w:hAnsi="SimSun" w:eastAsia="SimSun" w:cs="SimSun"/>
          <w:sz w:val="22"/>
          <w:szCs w:val="22"/>
          <w:spacing w:val="-8"/>
        </w:rPr>
        <w:t>义，这一点十分关键。组织业务词汇表的管理需</w:t>
      </w:r>
      <w:r>
        <w:rPr>
          <w:rFonts w:ascii="SimSun" w:hAnsi="SimSun" w:eastAsia="SimSun" w:cs="SimSun"/>
          <w:sz w:val="22"/>
          <w:szCs w:val="22"/>
          <w:spacing w:val="-9"/>
        </w:rPr>
        <w:t>要采纳这样的观点：意义的综合对</w:t>
      </w:r>
      <w:r>
        <w:rPr>
          <w:rFonts w:ascii="SimSun" w:hAnsi="SimSun" w:eastAsia="SimSun" w:cs="SimSun"/>
          <w:sz w:val="22"/>
          <w:szCs w:val="22"/>
        </w:rPr>
        <w:t xml:space="preserve">  </w:t>
      </w:r>
      <w:r>
        <w:rPr>
          <w:rFonts w:ascii="SimSun" w:hAnsi="SimSun" w:eastAsia="SimSun" w:cs="SimSun"/>
          <w:sz w:val="22"/>
          <w:szCs w:val="22"/>
          <w:spacing w:val="-8"/>
        </w:rPr>
        <w:t>于数据管理的长期成功十分必要。因为现有系统的数据名称、定义</w:t>
      </w:r>
      <w:r>
        <w:rPr>
          <w:rFonts w:ascii="SimSun" w:hAnsi="SimSun" w:eastAsia="SimSun" w:cs="SimSun"/>
          <w:sz w:val="22"/>
          <w:szCs w:val="22"/>
          <w:spacing w:val="-9"/>
        </w:rPr>
        <w:t>、容许值和其他</w:t>
      </w:r>
    </w:p>
    <w:p>
      <w:pPr>
        <w:spacing w:line="241" w:lineRule="auto"/>
        <w:sectPr>
          <w:footerReference w:type="default" r:id="rId193"/>
          <w:pgSz w:w="8870" w:h="13400"/>
          <w:pgMar w:top="400" w:right="389" w:bottom="484" w:left="489" w:header="0" w:footer="266" w:gutter="0"/>
        </w:sectPr>
        <w:rPr>
          <w:rFonts w:ascii="SimSun" w:hAnsi="SimSun" w:eastAsia="SimSun" w:cs="SimSun"/>
          <w:sz w:val="22"/>
          <w:szCs w:val="22"/>
        </w:rPr>
      </w:pPr>
    </w:p>
    <w:p>
      <w:pPr>
        <w:ind w:left="5482"/>
        <w:spacing w:before="124" w:line="219" w:lineRule="auto"/>
        <w:rPr>
          <w:rFonts w:ascii="SimSun" w:hAnsi="SimSun" w:eastAsia="SimSun" w:cs="SimSun"/>
          <w:sz w:val="21"/>
          <w:szCs w:val="21"/>
        </w:rPr>
      </w:pPr>
      <w:r>
        <w:rPr>
          <w:rFonts w:ascii="SimSun" w:hAnsi="SimSun" w:eastAsia="SimSun" w:cs="SimSun"/>
          <w:sz w:val="21"/>
          <w:szCs w:val="21"/>
          <w:b/>
          <w:bCs/>
          <w:spacing w:val="15"/>
        </w:rPr>
        <w:t>第5章■云端数据管理</w:t>
      </w:r>
    </w:p>
    <w:p>
      <w:pPr>
        <w:pStyle w:val="BodyText"/>
        <w:spacing w:line="252" w:lineRule="auto"/>
        <w:rPr/>
      </w:pPr>
      <w:r/>
    </w:p>
    <w:p>
      <w:pPr>
        <w:ind w:right="225"/>
        <w:spacing w:before="68" w:line="266" w:lineRule="auto"/>
        <w:jc w:val="both"/>
        <w:rPr>
          <w:rFonts w:ascii="SimSun" w:hAnsi="SimSun" w:eastAsia="SimSun" w:cs="SimSun"/>
          <w:sz w:val="21"/>
          <w:szCs w:val="21"/>
        </w:rPr>
      </w:pPr>
      <w:r>
        <w:rPr>
          <w:rFonts w:ascii="SimSun" w:hAnsi="SimSun" w:eastAsia="SimSun" w:cs="SimSun"/>
          <w:sz w:val="21"/>
          <w:szCs w:val="21"/>
          <w:spacing w:val="2"/>
        </w:rPr>
        <w:t>相关元数据在缩减，建议按照数据管理战略中确定的</w:t>
      </w:r>
      <w:r>
        <w:rPr>
          <w:rFonts w:ascii="SimSun" w:hAnsi="SimSun" w:eastAsia="SimSun" w:cs="SimSun"/>
          <w:sz w:val="21"/>
          <w:szCs w:val="21"/>
          <w:spacing w:val="1"/>
        </w:rPr>
        <w:t>优先级排列次序。对业务词汇</w:t>
      </w:r>
      <w:r>
        <w:rPr>
          <w:rFonts w:ascii="SimSun" w:hAnsi="SimSun" w:eastAsia="SimSun" w:cs="SimSun"/>
          <w:sz w:val="21"/>
          <w:szCs w:val="21"/>
        </w:rPr>
        <w:t xml:space="preserve"> </w:t>
      </w:r>
      <w:r>
        <w:rPr>
          <w:rFonts w:ascii="SimSun" w:hAnsi="SimSun" w:eastAsia="SimSun" w:cs="SimSun"/>
          <w:sz w:val="21"/>
          <w:szCs w:val="21"/>
          <w:spacing w:val="2"/>
        </w:rPr>
        <w:t>表的各部分排列顺序和确定优先级的最好办法，取决于该工作</w:t>
      </w:r>
      <w:r>
        <w:rPr>
          <w:rFonts w:ascii="SimSun" w:hAnsi="SimSun" w:eastAsia="SimSun" w:cs="SimSun"/>
          <w:sz w:val="21"/>
          <w:szCs w:val="21"/>
          <w:spacing w:val="1"/>
        </w:rPr>
        <w:t>内容的性质。数据库</w:t>
      </w:r>
      <w:r>
        <w:rPr>
          <w:rFonts w:ascii="SimSun" w:hAnsi="SimSun" w:eastAsia="SimSun" w:cs="SimSun"/>
          <w:sz w:val="21"/>
          <w:szCs w:val="21"/>
        </w:rPr>
        <w:t xml:space="preserve"> </w:t>
      </w:r>
      <w:r>
        <w:rPr>
          <w:rFonts w:ascii="SimSun" w:hAnsi="SimSun" w:eastAsia="SimSun" w:cs="SimSun"/>
          <w:sz w:val="21"/>
          <w:szCs w:val="21"/>
          <w:spacing w:val="10"/>
        </w:rPr>
        <w:t>存项目(如设计和创建一个操作型的数据存储)倾向于对由主题领域(如交易、产</w:t>
      </w:r>
      <w:r>
        <w:rPr>
          <w:rFonts w:ascii="SimSun" w:hAnsi="SimSun" w:eastAsia="SimSun" w:cs="SimSun"/>
          <w:sz w:val="21"/>
          <w:szCs w:val="21"/>
          <w:spacing w:val="16"/>
        </w:rPr>
        <w:t xml:space="preserve"> </w:t>
      </w:r>
      <w:r>
        <w:rPr>
          <w:rFonts w:ascii="SimSun" w:hAnsi="SimSun" w:eastAsia="SimSun" w:cs="SimSun"/>
          <w:sz w:val="21"/>
          <w:szCs w:val="21"/>
          <w:spacing w:val="5"/>
        </w:rPr>
        <w:t>品、顾客等)定义的数据集进行顺序和优先级</w:t>
      </w:r>
      <w:r>
        <w:rPr>
          <w:rFonts w:ascii="SimSun" w:hAnsi="SimSun" w:eastAsia="SimSun" w:cs="SimSun"/>
          <w:sz w:val="21"/>
          <w:szCs w:val="21"/>
          <w:spacing w:val="4"/>
        </w:rPr>
        <w:t>排列。为了实现应用程序和商务智能</w:t>
      </w:r>
      <w:r>
        <w:rPr>
          <w:rFonts w:ascii="SimSun" w:hAnsi="SimSun" w:eastAsia="SimSun" w:cs="SimSun"/>
          <w:sz w:val="21"/>
          <w:szCs w:val="21"/>
        </w:rPr>
        <w:t xml:space="preserve"> </w:t>
      </w:r>
      <w:r>
        <w:rPr>
          <w:rFonts w:ascii="SimSun" w:hAnsi="SimSun" w:eastAsia="SimSun" w:cs="SimSun"/>
          <w:sz w:val="21"/>
          <w:szCs w:val="21"/>
          <w:spacing w:val="-3"/>
        </w:rPr>
        <w:t>方面的目的，要进行业务过程的数据经常会跨主题领域水平拓展。理想的话，</w:t>
      </w:r>
      <w:r>
        <w:rPr>
          <w:rFonts w:ascii="SimSun" w:hAnsi="SimSun" w:eastAsia="SimSun" w:cs="SimSun"/>
          <w:sz w:val="21"/>
          <w:szCs w:val="21"/>
          <w:spacing w:val="64"/>
        </w:rPr>
        <w:t xml:space="preserve"> </w:t>
      </w:r>
      <w:r>
        <w:rPr>
          <w:rFonts w:ascii="SimSun" w:hAnsi="SimSun" w:eastAsia="SimSun" w:cs="SimSun"/>
          <w:sz w:val="21"/>
          <w:szCs w:val="21"/>
          <w:spacing w:val="-3"/>
        </w:rPr>
        <w:t>一旦</w:t>
      </w:r>
      <w:r>
        <w:rPr>
          <w:rFonts w:ascii="SimSun" w:hAnsi="SimSun" w:eastAsia="SimSun" w:cs="SimSun"/>
          <w:sz w:val="21"/>
          <w:szCs w:val="21"/>
        </w:rPr>
        <w:t xml:space="preserve"> </w:t>
      </w:r>
      <w:r>
        <w:rPr>
          <w:rFonts w:ascii="SimSun" w:hAnsi="SimSun" w:eastAsia="SimSun" w:cs="SimSun"/>
          <w:sz w:val="21"/>
          <w:szCs w:val="21"/>
          <w:spacing w:val="-3"/>
        </w:rPr>
        <w:t>组织确定了要增加一个完整全面的业务词汇表的目标，就会通过多个途径取得进展：</w:t>
      </w:r>
      <w:r>
        <w:rPr>
          <w:rFonts w:ascii="SimSun" w:hAnsi="SimSun" w:eastAsia="SimSun" w:cs="SimSun"/>
          <w:sz w:val="21"/>
          <w:szCs w:val="21"/>
          <w:spacing w:val="14"/>
        </w:rPr>
        <w:t xml:space="preserve"> </w:t>
      </w:r>
      <w:r>
        <w:rPr>
          <w:rFonts w:ascii="SimSun" w:hAnsi="SimSun" w:eastAsia="SimSun" w:cs="SimSun"/>
          <w:sz w:val="21"/>
          <w:szCs w:val="21"/>
          <w:spacing w:val="2"/>
        </w:rPr>
        <w:t>由上而下，即由受业务线维护的多个词汇表对新的词汇</w:t>
      </w:r>
      <w:r>
        <w:rPr>
          <w:rFonts w:ascii="SimSun" w:hAnsi="SimSun" w:eastAsia="SimSun" w:cs="SimSun"/>
          <w:sz w:val="21"/>
          <w:szCs w:val="21"/>
          <w:spacing w:val="1"/>
        </w:rPr>
        <w:t>表进行补充；由下而上，主</w:t>
      </w:r>
      <w:r>
        <w:rPr>
          <w:rFonts w:ascii="SimSun" w:hAnsi="SimSun" w:eastAsia="SimSun" w:cs="SimSun"/>
          <w:sz w:val="21"/>
          <w:szCs w:val="21"/>
        </w:rPr>
        <w:t xml:space="preserve"> </w:t>
      </w:r>
      <w:r>
        <w:rPr>
          <w:rFonts w:ascii="SimSun" w:hAnsi="SimSun" w:eastAsia="SimSun" w:cs="SimSun"/>
          <w:sz w:val="21"/>
          <w:szCs w:val="21"/>
          <w:spacing w:val="-5"/>
        </w:rPr>
        <w:t>要是获得数据模型或数据库脚本。</w:t>
      </w:r>
    </w:p>
    <w:p>
      <w:pPr>
        <w:ind w:right="273" w:firstLine="429"/>
        <w:spacing w:before="79" w:line="264" w:lineRule="auto"/>
        <w:jc w:val="both"/>
        <w:rPr>
          <w:rFonts w:ascii="SimSun" w:hAnsi="SimSun" w:eastAsia="SimSun" w:cs="SimSun"/>
          <w:sz w:val="21"/>
          <w:szCs w:val="21"/>
        </w:rPr>
      </w:pPr>
      <w:r>
        <w:rPr>
          <w:rFonts w:ascii="SimSun" w:hAnsi="SimSun" w:eastAsia="SimSun" w:cs="SimSun"/>
          <w:sz w:val="21"/>
          <w:szCs w:val="21"/>
          <w:spacing w:val="1"/>
        </w:rPr>
        <w:t>词汇对于大多数组织来说，业务词汇表是一份经批准并受控的业务词汇名称及</w:t>
      </w:r>
      <w:r>
        <w:rPr>
          <w:rFonts w:ascii="SimSun" w:hAnsi="SimSun" w:eastAsia="SimSun" w:cs="SimSun"/>
          <w:sz w:val="21"/>
          <w:szCs w:val="21"/>
          <w:spacing w:val="16"/>
        </w:rPr>
        <w:t xml:space="preserve"> </w:t>
      </w:r>
      <w:r>
        <w:rPr>
          <w:rFonts w:ascii="SimSun" w:hAnsi="SimSun" w:eastAsia="SimSun" w:cs="SimSun"/>
          <w:sz w:val="21"/>
          <w:szCs w:val="21"/>
          <w:spacing w:val="2"/>
        </w:rPr>
        <w:t>定义的汇编文档。本过程域定义了组织如何创造、批准、更新和公布</w:t>
      </w:r>
      <w:r>
        <w:rPr>
          <w:rFonts w:ascii="SimSun" w:hAnsi="SimSun" w:eastAsia="SimSun" w:cs="SimSun"/>
          <w:sz w:val="21"/>
          <w:szCs w:val="21"/>
          <w:spacing w:val="1"/>
        </w:rPr>
        <w:t>统一的词汇和</w:t>
      </w:r>
      <w:r>
        <w:rPr>
          <w:rFonts w:ascii="SimSun" w:hAnsi="SimSun" w:eastAsia="SimSun" w:cs="SimSun"/>
          <w:sz w:val="21"/>
          <w:szCs w:val="21"/>
        </w:rPr>
        <w:t xml:space="preserve"> </w:t>
      </w:r>
      <w:r>
        <w:rPr>
          <w:rFonts w:ascii="SimSun" w:hAnsi="SimSun" w:eastAsia="SimSun" w:cs="SimSun"/>
          <w:sz w:val="21"/>
          <w:szCs w:val="21"/>
          <w:spacing w:val="2"/>
        </w:rPr>
        <w:t>定义，促进在组织内对共享数据的使用。在统一的业务词汇和定义</w:t>
      </w:r>
      <w:r>
        <w:rPr>
          <w:rFonts w:ascii="SimSun" w:hAnsi="SimSun" w:eastAsia="SimSun" w:cs="SimSun"/>
          <w:sz w:val="21"/>
          <w:szCs w:val="21"/>
          <w:spacing w:val="1"/>
        </w:rPr>
        <w:t>下，结合对应的</w:t>
      </w:r>
      <w:r>
        <w:rPr>
          <w:rFonts w:ascii="SimSun" w:hAnsi="SimSun" w:eastAsia="SimSun" w:cs="SimSun"/>
          <w:sz w:val="21"/>
          <w:szCs w:val="21"/>
        </w:rPr>
        <w:t xml:space="preserve"> </w:t>
      </w:r>
      <w:r>
        <w:rPr>
          <w:rFonts w:ascii="SimSun" w:hAnsi="SimSun" w:eastAsia="SimSun" w:cs="SimSun"/>
          <w:sz w:val="21"/>
          <w:szCs w:val="21"/>
          <w:spacing w:val="2"/>
        </w:rPr>
        <w:t>元数据开展组织数据管理才显得有意义。业务词</w:t>
      </w:r>
      <w:r>
        <w:rPr>
          <w:rFonts w:ascii="SimSun" w:hAnsi="SimSun" w:eastAsia="SimSun" w:cs="SimSun"/>
          <w:sz w:val="21"/>
          <w:szCs w:val="21"/>
          <w:spacing w:val="1"/>
        </w:rPr>
        <w:t>汇表为在组织内理解和整合数据提</w:t>
      </w:r>
      <w:r>
        <w:rPr>
          <w:rFonts w:ascii="SimSun" w:hAnsi="SimSun" w:eastAsia="SimSun" w:cs="SimSun"/>
          <w:sz w:val="21"/>
          <w:szCs w:val="21"/>
        </w:rPr>
        <w:t xml:space="preserve"> </w:t>
      </w:r>
      <w:r>
        <w:rPr>
          <w:rFonts w:ascii="SimSun" w:hAnsi="SimSun" w:eastAsia="SimSun" w:cs="SimSun"/>
          <w:sz w:val="21"/>
          <w:szCs w:val="21"/>
          <w:spacing w:val="2"/>
        </w:rPr>
        <w:t>供了一个扎实的基础。组织编制的业务词汇表应当确保每一个定义</w:t>
      </w:r>
      <w:r>
        <w:rPr>
          <w:rFonts w:ascii="SimSun" w:hAnsi="SimSun" w:eastAsia="SimSun" w:cs="SimSun"/>
          <w:sz w:val="21"/>
          <w:szCs w:val="21"/>
          <w:spacing w:val="1"/>
        </w:rPr>
        <w:t>的词汇都能明确</w:t>
      </w:r>
      <w:r>
        <w:rPr>
          <w:rFonts w:ascii="SimSun" w:hAnsi="SimSun" w:eastAsia="SimSun" w:cs="SimSun"/>
          <w:sz w:val="21"/>
          <w:szCs w:val="21"/>
        </w:rPr>
        <w:t xml:space="preserve"> </w:t>
      </w:r>
      <w:r>
        <w:rPr>
          <w:rFonts w:ascii="SimSun" w:hAnsi="SimSun" w:eastAsia="SimSun" w:cs="SimSun"/>
          <w:sz w:val="21"/>
          <w:szCs w:val="21"/>
          <w:spacing w:val="-2"/>
        </w:rPr>
        <w:t>代表一个特定的意思，没有歧义或重复。</w:t>
      </w:r>
    </w:p>
    <w:p>
      <w:pPr>
        <w:ind w:left="429"/>
        <w:spacing w:before="103" w:line="229" w:lineRule="auto"/>
        <w:rPr>
          <w:rFonts w:ascii="KaiTi" w:hAnsi="KaiTi" w:eastAsia="KaiTi" w:cs="KaiTi"/>
          <w:sz w:val="21"/>
          <w:szCs w:val="21"/>
        </w:rPr>
      </w:pPr>
      <w:r>
        <w:rPr>
          <w:rFonts w:ascii="KaiTi" w:hAnsi="KaiTi" w:eastAsia="KaiTi" w:cs="KaiTi"/>
          <w:sz w:val="21"/>
          <w:szCs w:val="21"/>
          <w:spacing w:val="11"/>
        </w:rPr>
        <w:t>3)相关过程域</w:t>
      </w:r>
    </w:p>
    <w:p>
      <w:pPr>
        <w:ind w:left="709" w:right="280" w:hanging="280"/>
        <w:spacing w:before="45" w:line="242" w:lineRule="auto"/>
        <w:rPr>
          <w:rFonts w:ascii="SimSun" w:hAnsi="SimSun" w:eastAsia="SimSun" w:cs="SimSun"/>
          <w:sz w:val="21"/>
          <w:szCs w:val="21"/>
        </w:rPr>
      </w:pPr>
      <w:r>
        <w:rPr>
          <w:rFonts w:ascii="SimSun" w:hAnsi="SimSun" w:eastAsia="SimSun" w:cs="SimSun"/>
          <w:sz w:val="21"/>
          <w:szCs w:val="21"/>
          <w:spacing w:val="1"/>
        </w:rPr>
        <w:t>●数据生命周期管理过程域有助于确定所有与数据管理相关的当前活动，从而</w:t>
      </w:r>
      <w:r>
        <w:rPr>
          <w:rFonts w:ascii="SimSun" w:hAnsi="SimSun" w:eastAsia="SimSun" w:cs="SimSun"/>
          <w:sz w:val="21"/>
          <w:szCs w:val="21"/>
          <w:spacing w:val="15"/>
        </w:rPr>
        <w:t xml:space="preserve"> </w:t>
      </w:r>
      <w:r>
        <w:rPr>
          <w:rFonts w:ascii="SimSun" w:hAnsi="SimSun" w:eastAsia="SimSun" w:cs="SimSun"/>
          <w:sz w:val="21"/>
          <w:szCs w:val="21"/>
          <w:spacing w:val="-5"/>
        </w:rPr>
        <w:t>协助制作和管理业务词汇表；</w:t>
      </w:r>
    </w:p>
    <w:p>
      <w:pPr>
        <w:ind w:left="709" w:right="250" w:hanging="280"/>
        <w:spacing w:before="40" w:line="255" w:lineRule="auto"/>
        <w:rPr>
          <w:rFonts w:ascii="SimSun" w:hAnsi="SimSun" w:eastAsia="SimSun" w:cs="SimSun"/>
          <w:sz w:val="21"/>
          <w:szCs w:val="21"/>
        </w:rPr>
      </w:pPr>
      <w:r>
        <w:rPr>
          <w:rFonts w:ascii="SimSun" w:hAnsi="SimSun" w:eastAsia="SimSun" w:cs="SimSun"/>
          <w:sz w:val="21"/>
          <w:szCs w:val="21"/>
          <w:spacing w:val="2"/>
        </w:rPr>
        <w:t>●元数据管理过程域有助于确定业务词汇表中定义的数据用途，并确定哪些系</w:t>
      </w:r>
      <w:r>
        <w:rPr>
          <w:rFonts w:ascii="SimSun" w:hAnsi="SimSun" w:eastAsia="SimSun" w:cs="SimSun"/>
          <w:sz w:val="21"/>
          <w:szCs w:val="21"/>
          <w:spacing w:val="11"/>
        </w:rPr>
        <w:t xml:space="preserve"> </w:t>
      </w:r>
      <w:r>
        <w:rPr>
          <w:rFonts w:ascii="SimSun" w:hAnsi="SimSun" w:eastAsia="SimSun" w:cs="SimSun"/>
          <w:sz w:val="21"/>
          <w:szCs w:val="21"/>
          <w:spacing w:val="-6"/>
        </w:rPr>
        <w:t>统和模型正在使用数据；</w:t>
      </w:r>
    </w:p>
    <w:p>
      <w:pPr>
        <w:ind w:left="709" w:right="262" w:hanging="280"/>
        <w:spacing w:before="59" w:line="259" w:lineRule="auto"/>
        <w:rPr>
          <w:rFonts w:ascii="SimSun" w:hAnsi="SimSun" w:eastAsia="SimSun" w:cs="SimSun"/>
          <w:sz w:val="21"/>
          <w:szCs w:val="21"/>
        </w:rPr>
      </w:pPr>
      <w:r>
        <w:rPr>
          <w:rFonts w:ascii="SimSun" w:hAnsi="SimSun" w:eastAsia="SimSun" w:cs="SimSun"/>
          <w:sz w:val="21"/>
          <w:szCs w:val="21"/>
          <w:spacing w:val="2"/>
        </w:rPr>
        <w:t>●数据集成与互操过程域为业务词汇表中的定义提供修改和描述的依据，并提</w:t>
      </w:r>
      <w:r>
        <w:rPr>
          <w:rFonts w:ascii="SimSun" w:hAnsi="SimSun" w:eastAsia="SimSun" w:cs="SimSun"/>
          <w:sz w:val="21"/>
          <w:szCs w:val="21"/>
        </w:rPr>
        <w:t xml:space="preserve"> </w:t>
      </w:r>
      <w:r>
        <w:rPr>
          <w:rFonts w:ascii="SimSun" w:hAnsi="SimSun" w:eastAsia="SimSun" w:cs="SimSun"/>
          <w:sz w:val="21"/>
          <w:szCs w:val="21"/>
          <w:spacing w:val="-4"/>
        </w:rPr>
        <w:t>供业务词汇的应用场景。</w:t>
      </w:r>
    </w:p>
    <w:p>
      <w:pPr>
        <w:pStyle w:val="BodyText"/>
        <w:ind w:left="429"/>
        <w:spacing w:before="200" w:line="223" w:lineRule="auto"/>
        <w:outlineLvl w:val="3"/>
        <w:rPr>
          <w:rFonts w:ascii="SimHei" w:hAnsi="SimHei" w:eastAsia="SimHei" w:cs="SimHei"/>
        </w:rPr>
      </w:pPr>
      <w:r>
        <w:rPr>
          <w:b/>
          <w:bCs/>
          <w:spacing w:val="-2"/>
        </w:rPr>
        <w:t>2.GQM</w:t>
      </w:r>
      <w:r>
        <w:rPr>
          <w:b/>
          <w:bCs/>
          <w:spacing w:val="2"/>
        </w:rPr>
        <w:t xml:space="preserve">    </w:t>
      </w:r>
      <w:r>
        <w:rPr>
          <w:rFonts w:ascii="SimHei" w:hAnsi="SimHei" w:eastAsia="SimHei" w:cs="SimHei"/>
          <w:b/>
          <w:bCs/>
          <w:spacing w:val="-2"/>
        </w:rPr>
        <w:t>表</w:t>
      </w:r>
    </w:p>
    <w:p>
      <w:pPr>
        <w:spacing w:line="175"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63"/>
        <w:gridCol w:w="1977"/>
        <w:gridCol w:w="2187"/>
        <w:gridCol w:w="2172"/>
      </w:tblGrid>
      <w:tr>
        <w:trPr>
          <w:trHeight w:val="294" w:hRule="atLeast"/>
        </w:trPr>
        <w:tc>
          <w:tcPr>
            <w:tcW w:w="1263" w:type="dxa"/>
            <w:vAlign w:val="top"/>
          </w:tcPr>
          <w:p>
            <w:pPr>
              <w:pStyle w:val="TableText"/>
              <w:ind w:left="345"/>
              <w:spacing w:before="72" w:line="220" w:lineRule="auto"/>
              <w:rPr>
                <w:sz w:val="16"/>
                <w:szCs w:val="16"/>
              </w:rPr>
            </w:pPr>
            <w:r>
              <w:rPr>
                <w:sz w:val="16"/>
                <w:szCs w:val="16"/>
                <w:spacing w:val="-19"/>
              </w:rPr>
              <w:t>目</w:t>
            </w:r>
            <w:r>
              <w:rPr>
                <w:sz w:val="16"/>
                <w:szCs w:val="16"/>
                <w:spacing w:val="16"/>
              </w:rPr>
              <w:t xml:space="preserve">   </w:t>
            </w:r>
            <w:r>
              <w:rPr>
                <w:sz w:val="16"/>
                <w:szCs w:val="16"/>
                <w:spacing w:val="-19"/>
              </w:rPr>
              <w:t>标</w:t>
            </w:r>
          </w:p>
        </w:tc>
        <w:tc>
          <w:tcPr>
            <w:tcW w:w="1977" w:type="dxa"/>
            <w:vAlign w:val="top"/>
          </w:tcPr>
          <w:p>
            <w:pPr>
              <w:pStyle w:val="TableText"/>
              <w:ind w:left="702"/>
              <w:spacing w:before="73" w:line="221" w:lineRule="auto"/>
              <w:rPr>
                <w:sz w:val="16"/>
                <w:szCs w:val="16"/>
              </w:rPr>
            </w:pPr>
            <w:r>
              <w:rPr>
                <w:sz w:val="16"/>
                <w:szCs w:val="16"/>
                <w:spacing w:val="-13"/>
              </w:rPr>
              <w:t>问</w:t>
            </w:r>
            <w:r>
              <w:rPr>
                <w:sz w:val="16"/>
                <w:szCs w:val="16"/>
                <w:spacing w:val="13"/>
              </w:rPr>
              <w:t xml:space="preserve">   </w:t>
            </w:r>
            <w:r>
              <w:rPr>
                <w:sz w:val="16"/>
                <w:szCs w:val="16"/>
                <w:spacing w:val="-13"/>
              </w:rPr>
              <w:t>题</w:t>
            </w:r>
          </w:p>
        </w:tc>
        <w:tc>
          <w:tcPr>
            <w:tcW w:w="2187" w:type="dxa"/>
            <w:vAlign w:val="top"/>
          </w:tcPr>
          <w:p>
            <w:pPr>
              <w:pStyle w:val="TableText"/>
              <w:ind w:left="715"/>
              <w:spacing w:before="72" w:line="220" w:lineRule="auto"/>
              <w:rPr>
                <w:sz w:val="16"/>
                <w:szCs w:val="16"/>
              </w:rPr>
            </w:pPr>
            <w:r>
              <w:rPr>
                <w:sz w:val="16"/>
                <w:szCs w:val="16"/>
                <w:spacing w:val="-4"/>
              </w:rPr>
              <w:t>度</w:t>
            </w:r>
            <w:r>
              <w:rPr>
                <w:sz w:val="16"/>
                <w:szCs w:val="16"/>
                <w:spacing w:val="6"/>
              </w:rPr>
              <w:t xml:space="preserve"> </w:t>
            </w:r>
            <w:r>
              <w:rPr>
                <w:sz w:val="16"/>
                <w:szCs w:val="16"/>
                <w:spacing w:val="-4"/>
              </w:rPr>
              <w:t>量</w:t>
            </w:r>
            <w:r>
              <w:rPr>
                <w:sz w:val="16"/>
                <w:szCs w:val="16"/>
                <w:spacing w:val="8"/>
              </w:rPr>
              <w:t xml:space="preserve"> </w:t>
            </w:r>
            <w:r>
              <w:rPr>
                <w:sz w:val="16"/>
                <w:szCs w:val="16"/>
                <w:spacing w:val="-4"/>
              </w:rPr>
              <w:t>项</w:t>
            </w:r>
          </w:p>
        </w:tc>
        <w:tc>
          <w:tcPr>
            <w:tcW w:w="2172" w:type="dxa"/>
            <w:vAlign w:val="top"/>
          </w:tcPr>
          <w:p>
            <w:pPr>
              <w:pStyle w:val="TableText"/>
              <w:ind w:left="678"/>
              <w:spacing w:before="71" w:line="219" w:lineRule="auto"/>
              <w:rPr>
                <w:sz w:val="16"/>
                <w:szCs w:val="16"/>
              </w:rPr>
            </w:pPr>
            <w:r>
              <w:rPr>
                <w:sz w:val="16"/>
                <w:szCs w:val="16"/>
                <w:spacing w:val="3"/>
              </w:rPr>
              <w:t>度量项说明</w:t>
            </w:r>
          </w:p>
        </w:tc>
      </w:tr>
      <w:tr>
        <w:trPr>
          <w:trHeight w:val="558" w:hRule="atLeast"/>
        </w:trPr>
        <w:tc>
          <w:tcPr>
            <w:tcW w:w="1263" w:type="dxa"/>
            <w:vAlign w:val="top"/>
            <w:vMerge w:val="restart"/>
            <w:tcBorders>
              <w:bottom w:val="nil"/>
            </w:tcBorders>
          </w:tcPr>
          <w:p>
            <w:pPr>
              <w:spacing w:line="442" w:lineRule="auto"/>
              <w:rPr>
                <w:rFonts w:ascii="Arial"/>
                <w:sz w:val="21"/>
              </w:rPr>
            </w:pPr>
            <w:r/>
          </w:p>
          <w:p>
            <w:pPr>
              <w:pStyle w:val="TableText"/>
              <w:ind w:left="144" w:right="140" w:firstLine="40"/>
              <w:spacing w:before="52" w:line="303" w:lineRule="auto"/>
              <w:jc w:val="both"/>
              <w:rPr>
                <w:sz w:val="16"/>
                <w:szCs w:val="16"/>
              </w:rPr>
            </w:pPr>
            <w:r>
              <w:rPr>
                <w:sz w:val="16"/>
                <w:szCs w:val="16"/>
                <w:spacing w:val="-2"/>
              </w:rPr>
              <w:t>G1:描述数据 </w:t>
            </w:r>
            <w:r>
              <w:rPr>
                <w:sz w:val="16"/>
                <w:szCs w:val="16"/>
                <w:spacing w:val="1"/>
              </w:rPr>
              <w:t>的语言要清晰</w:t>
            </w:r>
            <w:r>
              <w:rPr>
                <w:sz w:val="16"/>
                <w:szCs w:val="16"/>
              </w:rPr>
              <w:t xml:space="preserve"> </w:t>
            </w:r>
            <w:r>
              <w:rPr>
                <w:sz w:val="16"/>
                <w:szCs w:val="16"/>
                <w:spacing w:val="1"/>
              </w:rPr>
              <w:t>明确地与业务</w:t>
            </w:r>
            <w:r>
              <w:rPr>
                <w:sz w:val="16"/>
                <w:szCs w:val="16"/>
              </w:rPr>
              <w:t xml:space="preserve"> </w:t>
            </w:r>
            <w:r>
              <w:rPr>
                <w:sz w:val="16"/>
                <w:szCs w:val="16"/>
                <w:spacing w:val="-2"/>
              </w:rPr>
              <w:t>语言保持一致</w:t>
            </w:r>
          </w:p>
        </w:tc>
        <w:tc>
          <w:tcPr>
            <w:tcW w:w="1977" w:type="dxa"/>
            <w:vAlign w:val="top"/>
            <w:vMerge w:val="restart"/>
            <w:tcBorders>
              <w:bottom w:val="nil"/>
            </w:tcBorders>
          </w:tcPr>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01" w:right="113" w:firstLine="120"/>
              <w:spacing w:before="52" w:line="265" w:lineRule="auto"/>
              <w:rPr>
                <w:sz w:val="16"/>
                <w:szCs w:val="16"/>
              </w:rPr>
            </w:pPr>
            <w:r>
              <w:rPr>
                <w:sz w:val="16"/>
                <w:szCs w:val="16"/>
                <w:spacing w:val="1"/>
              </w:rPr>
              <w:t>Q1:是否有指定要使用</w:t>
            </w:r>
            <w:r>
              <w:rPr>
                <w:sz w:val="16"/>
                <w:szCs w:val="16"/>
                <w:spacing w:val="3"/>
              </w:rPr>
              <w:t xml:space="preserve">  </w:t>
            </w:r>
            <w:r>
              <w:rPr>
                <w:sz w:val="16"/>
                <w:szCs w:val="16"/>
                <w:spacing w:val="-1"/>
              </w:rPr>
              <w:t>或参考业务词汇表的指令</w:t>
            </w:r>
          </w:p>
        </w:tc>
        <w:tc>
          <w:tcPr>
            <w:tcW w:w="2187" w:type="dxa"/>
            <w:vAlign w:val="top"/>
          </w:tcPr>
          <w:p>
            <w:pPr>
              <w:pStyle w:val="TableText"/>
              <w:ind w:left="105"/>
              <w:spacing w:before="197" w:line="219" w:lineRule="auto"/>
              <w:rPr>
                <w:sz w:val="16"/>
                <w:szCs w:val="16"/>
              </w:rPr>
            </w:pPr>
            <w:r>
              <w:rPr>
                <w:sz w:val="16"/>
                <w:szCs w:val="16"/>
                <w:spacing w:val="-1"/>
              </w:rPr>
              <w:t>M1:业务词汇</w:t>
            </w:r>
          </w:p>
        </w:tc>
        <w:tc>
          <w:tcPr>
            <w:tcW w:w="2172" w:type="dxa"/>
            <w:vAlign w:val="top"/>
          </w:tcPr>
          <w:p>
            <w:pPr>
              <w:pStyle w:val="TableText"/>
              <w:ind w:left="117" w:right="184" w:firstLine="80"/>
              <w:spacing w:before="86" w:line="266" w:lineRule="auto"/>
              <w:rPr>
                <w:sz w:val="16"/>
                <w:szCs w:val="16"/>
              </w:rPr>
            </w:pPr>
            <w:r>
              <w:rPr>
                <w:sz w:val="16"/>
                <w:szCs w:val="16"/>
                <w:spacing w:val="1"/>
              </w:rPr>
              <w:t>定义业务词汇时须与其用</w:t>
            </w:r>
            <w:r>
              <w:rPr>
                <w:sz w:val="16"/>
                <w:szCs w:val="16"/>
                <w:spacing w:val="7"/>
              </w:rPr>
              <w:t xml:space="preserve"> </w:t>
            </w:r>
            <w:r>
              <w:rPr>
                <w:sz w:val="16"/>
                <w:szCs w:val="16"/>
                <w:spacing w:val="-2"/>
              </w:rPr>
              <w:t>途相结合</w:t>
            </w:r>
          </w:p>
        </w:tc>
      </w:tr>
      <w:tr>
        <w:trPr>
          <w:trHeight w:val="1416" w:hRule="atLeast"/>
        </w:trPr>
        <w:tc>
          <w:tcPr>
            <w:tcW w:w="12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2187" w:type="dxa"/>
            <w:vAlign w:val="top"/>
          </w:tcPr>
          <w:p>
            <w:pPr>
              <w:spacing w:line="454" w:lineRule="auto"/>
              <w:rPr>
                <w:rFonts w:ascii="Arial"/>
                <w:sz w:val="21"/>
              </w:rPr>
            </w:pPr>
            <w:r/>
          </w:p>
          <w:p>
            <w:pPr>
              <w:pStyle w:val="TableText"/>
              <w:ind w:left="105" w:right="93" w:firstLine="139"/>
              <w:spacing w:before="52" w:line="267" w:lineRule="auto"/>
              <w:rPr>
                <w:sz w:val="16"/>
                <w:szCs w:val="16"/>
              </w:rPr>
            </w:pPr>
            <w:r>
              <w:rPr>
                <w:sz w:val="16"/>
                <w:szCs w:val="16"/>
                <w:spacing w:val="-1"/>
              </w:rPr>
              <w:t>M2:内容完整性、内容一致</w:t>
            </w:r>
            <w:r>
              <w:rPr>
                <w:sz w:val="16"/>
                <w:szCs w:val="16"/>
                <w:spacing w:val="10"/>
              </w:rPr>
              <w:t xml:space="preserve"> </w:t>
            </w:r>
            <w:r>
              <w:rPr>
                <w:sz w:val="16"/>
                <w:szCs w:val="16"/>
              </w:rPr>
              <w:t>性</w:t>
            </w:r>
          </w:p>
        </w:tc>
        <w:tc>
          <w:tcPr>
            <w:tcW w:w="2172" w:type="dxa"/>
            <w:vAlign w:val="top"/>
          </w:tcPr>
          <w:p>
            <w:pPr>
              <w:pStyle w:val="TableText"/>
              <w:ind w:left="197"/>
              <w:spacing w:before="89" w:line="219" w:lineRule="auto"/>
              <w:rPr>
                <w:sz w:val="16"/>
                <w:szCs w:val="16"/>
              </w:rPr>
            </w:pPr>
            <w:r>
              <w:rPr>
                <w:sz w:val="16"/>
                <w:szCs w:val="16"/>
                <w:spacing w:val="-1"/>
              </w:rPr>
              <w:t>业务词汇表应保持其完整</w:t>
            </w:r>
          </w:p>
          <w:p>
            <w:pPr>
              <w:pStyle w:val="TableText"/>
              <w:ind w:left="38" w:right="37" w:firstLine="39"/>
              <w:spacing w:before="90" w:line="299" w:lineRule="auto"/>
              <w:rPr>
                <w:sz w:val="16"/>
                <w:szCs w:val="16"/>
              </w:rPr>
            </w:pPr>
            <w:r>
              <w:rPr>
                <w:sz w:val="16"/>
                <w:szCs w:val="16"/>
                <w:spacing w:val="-1"/>
              </w:rPr>
              <w:t>性(是否包含业务规则和本体 </w:t>
            </w:r>
            <w:r>
              <w:rPr>
                <w:sz w:val="16"/>
                <w:szCs w:val="16"/>
                <w:spacing w:val="7"/>
              </w:rPr>
              <w:t>结构),并确认在组织范围内</w:t>
            </w:r>
            <w:r>
              <w:rPr>
                <w:sz w:val="16"/>
                <w:szCs w:val="16"/>
                <w:spacing w:val="4"/>
              </w:rPr>
              <w:t xml:space="preserve">  </w:t>
            </w:r>
            <w:r>
              <w:rPr>
                <w:sz w:val="16"/>
                <w:szCs w:val="16"/>
              </w:rPr>
              <w:t>的业务词汇表是否一致，不应</w:t>
            </w:r>
            <w:r>
              <w:rPr>
                <w:sz w:val="16"/>
                <w:szCs w:val="16"/>
                <w:spacing w:val="5"/>
              </w:rPr>
              <w:t xml:space="preserve"> </w:t>
            </w:r>
            <w:r>
              <w:rPr>
                <w:sz w:val="16"/>
                <w:szCs w:val="16"/>
                <w:spacing w:val="13"/>
              </w:rPr>
              <w:t>出现定义冲突</w:t>
            </w:r>
          </w:p>
        </w:tc>
      </w:tr>
      <w:tr>
        <w:trPr>
          <w:trHeight w:val="1111" w:hRule="atLeast"/>
        </w:trPr>
        <w:tc>
          <w:tcPr>
            <w:tcW w:w="1263" w:type="dxa"/>
            <w:vAlign w:val="top"/>
          </w:tcPr>
          <w:p>
            <w:pPr>
              <w:pStyle w:val="TableText"/>
              <w:ind w:left="104" w:right="135" w:firstLine="80"/>
              <w:spacing w:before="78" w:line="295" w:lineRule="auto"/>
              <w:jc w:val="both"/>
              <w:rPr>
                <w:sz w:val="16"/>
                <w:szCs w:val="16"/>
              </w:rPr>
            </w:pPr>
            <w:r>
              <w:rPr>
                <w:sz w:val="16"/>
                <w:szCs w:val="16"/>
                <w:spacing w:val="-1"/>
              </w:rPr>
              <w:t>G2:组织已经 </w:t>
            </w:r>
            <w:r>
              <w:rPr>
                <w:sz w:val="16"/>
                <w:szCs w:val="16"/>
                <w:spacing w:val="5"/>
              </w:rPr>
              <w:t>创建了一个经</w:t>
            </w:r>
            <w:r>
              <w:rPr>
                <w:sz w:val="16"/>
                <w:szCs w:val="16"/>
                <w:spacing w:val="2"/>
              </w:rPr>
              <w:t xml:space="preserve"> </w:t>
            </w:r>
            <w:r>
              <w:rPr>
                <w:sz w:val="16"/>
                <w:szCs w:val="16"/>
                <w:spacing w:val="8"/>
              </w:rPr>
              <w:t>核准且全面的</w:t>
            </w:r>
            <w:r>
              <w:rPr>
                <w:sz w:val="16"/>
                <w:szCs w:val="16"/>
                <w:spacing w:val="3"/>
              </w:rPr>
              <w:t xml:space="preserve"> </w:t>
            </w:r>
            <w:r>
              <w:rPr>
                <w:sz w:val="16"/>
                <w:szCs w:val="16"/>
                <w:spacing w:val="-1"/>
              </w:rPr>
              <w:t>业务词汇表</w:t>
            </w:r>
          </w:p>
        </w:tc>
        <w:tc>
          <w:tcPr>
            <w:tcW w:w="1977" w:type="dxa"/>
            <w:vAlign w:val="top"/>
          </w:tcPr>
          <w:p>
            <w:pPr>
              <w:pStyle w:val="TableText"/>
              <w:ind w:left="101" w:right="93" w:firstLine="120"/>
              <w:spacing w:before="102" w:line="260" w:lineRule="auto"/>
              <w:rPr>
                <w:sz w:val="16"/>
                <w:szCs w:val="16"/>
              </w:rPr>
            </w:pPr>
            <w:r>
              <w:rPr>
                <w:sz w:val="16"/>
                <w:szCs w:val="16"/>
                <w:spacing w:val="5"/>
              </w:rPr>
              <w:t>Q2:组织的业务词汇、 </w:t>
            </w:r>
            <w:r>
              <w:rPr>
                <w:sz w:val="16"/>
                <w:szCs w:val="16"/>
                <w:spacing w:val="1"/>
              </w:rPr>
              <w:t>定义和相应的元数据是如</w:t>
            </w:r>
          </w:p>
          <w:p>
            <w:pPr>
              <w:pStyle w:val="TableText"/>
              <w:ind w:left="111" w:right="33" w:hanging="90"/>
              <w:spacing w:before="89" w:line="264" w:lineRule="auto"/>
              <w:rPr>
                <w:sz w:val="16"/>
                <w:szCs w:val="16"/>
              </w:rPr>
            </w:pPr>
            <w:r>
              <w:rPr>
                <w:sz w:val="16"/>
                <w:szCs w:val="16"/>
                <w:spacing w:val="-1"/>
              </w:rPr>
              <w:t>何创造、批准、验证和管理</w:t>
            </w:r>
            <w:r>
              <w:rPr>
                <w:sz w:val="16"/>
                <w:szCs w:val="16"/>
                <w:spacing w:val="2"/>
              </w:rPr>
              <w:t xml:space="preserve"> </w:t>
            </w:r>
            <w:r>
              <w:rPr>
                <w:sz w:val="16"/>
                <w:szCs w:val="16"/>
              </w:rPr>
              <w:t>的</w:t>
            </w:r>
          </w:p>
        </w:tc>
        <w:tc>
          <w:tcPr>
            <w:tcW w:w="2187" w:type="dxa"/>
            <w:vAlign w:val="top"/>
          </w:tcPr>
          <w:p>
            <w:pPr>
              <w:spacing w:line="429" w:lineRule="auto"/>
              <w:rPr>
                <w:rFonts w:ascii="Arial"/>
                <w:sz w:val="21"/>
              </w:rPr>
            </w:pPr>
            <w:r/>
          </w:p>
          <w:p>
            <w:pPr>
              <w:pStyle w:val="TableText"/>
              <w:ind w:left="105"/>
              <w:spacing w:before="52" w:line="220" w:lineRule="auto"/>
              <w:rPr>
                <w:sz w:val="16"/>
                <w:szCs w:val="16"/>
              </w:rPr>
            </w:pPr>
            <w:r>
              <w:rPr>
                <w:sz w:val="16"/>
                <w:szCs w:val="16"/>
                <w:spacing w:val="-1"/>
              </w:rPr>
              <w:t>M3:规范化程序</w:t>
            </w:r>
          </w:p>
        </w:tc>
        <w:tc>
          <w:tcPr>
            <w:tcW w:w="2172" w:type="dxa"/>
            <w:vAlign w:val="top"/>
          </w:tcPr>
          <w:p>
            <w:pPr>
              <w:pStyle w:val="TableText"/>
              <w:ind w:left="197"/>
              <w:spacing w:before="93" w:line="219" w:lineRule="auto"/>
              <w:rPr>
                <w:sz w:val="16"/>
                <w:szCs w:val="16"/>
              </w:rPr>
            </w:pPr>
            <w:r>
              <w:rPr>
                <w:sz w:val="16"/>
                <w:szCs w:val="16"/>
              </w:rPr>
              <w:t>需要建立文档化的管理程</w:t>
            </w:r>
          </w:p>
          <w:p>
            <w:pPr>
              <w:pStyle w:val="TableText"/>
              <w:ind w:left="106" w:hanging="68"/>
              <w:spacing w:before="79" w:line="284" w:lineRule="auto"/>
              <w:rPr>
                <w:sz w:val="16"/>
                <w:szCs w:val="16"/>
              </w:rPr>
            </w:pPr>
            <w:r>
              <w:rPr>
                <w:sz w:val="16"/>
                <w:szCs w:val="16"/>
                <w:spacing w:val="3"/>
              </w:rPr>
              <w:t>序，对业务词汇表进行定义、 </w:t>
            </w:r>
            <w:r>
              <w:rPr>
                <w:sz w:val="16"/>
                <w:szCs w:val="16"/>
                <w:spacing w:val="-3"/>
              </w:rPr>
              <w:t>使用和维护管理等操作进行</w:t>
            </w:r>
            <w:r>
              <w:rPr>
                <w:sz w:val="16"/>
                <w:szCs w:val="16"/>
                <w:spacing w:val="2"/>
              </w:rPr>
              <w:t xml:space="preserve">   </w:t>
            </w:r>
            <w:r>
              <w:rPr>
                <w:sz w:val="16"/>
                <w:szCs w:val="16"/>
                <w:spacing w:val="-4"/>
              </w:rPr>
              <w:t>指导</w:t>
            </w:r>
          </w:p>
        </w:tc>
      </w:tr>
    </w:tbl>
    <w:p>
      <w:pPr>
        <w:pStyle w:val="BodyText"/>
        <w:rPr/>
      </w:pPr>
      <w:r/>
    </w:p>
    <w:p>
      <w:pPr>
        <w:sectPr>
          <w:footerReference w:type="default" r:id="rId194"/>
          <w:pgSz w:w="8870" w:h="13400"/>
          <w:pgMar w:top="400" w:right="529" w:bottom="627" w:left="440" w:header="0" w:footer="418" w:gutter="0"/>
        </w:sectPr>
        <w:rPr/>
      </w:pPr>
    </w:p>
    <w:p>
      <w:pPr>
        <w:ind w:left="99"/>
        <w:spacing w:before="120"/>
        <w:rPr>
          <w:rFonts w:ascii="SimSun" w:hAnsi="SimSun" w:eastAsia="SimSun" w:cs="SimSun"/>
          <w:sz w:val="24"/>
          <w:szCs w:val="24"/>
        </w:rPr>
      </w:pPr>
      <w:r>
        <w:rPr>
          <w:rFonts w:ascii="SimSun" w:hAnsi="SimSun" w:eastAsia="SimSun" w:cs="SimSun"/>
          <w:sz w:val="24"/>
          <w:szCs w:val="24"/>
          <w:position w:val="-8"/>
        </w:rPr>
        <w:drawing>
          <wp:inline distT="0" distB="0" distL="0" distR="0">
            <wp:extent cx="6365" cy="222255"/>
            <wp:effectExtent l="0" t="0" r="0" b="0"/>
            <wp:docPr id="150" name="IM 150"/>
            <wp:cNvGraphicFramePr/>
            <a:graphic>
              <a:graphicData uri="http://schemas.openxmlformats.org/drawingml/2006/picture">
                <pic:pic>
                  <pic:nvPicPr>
                    <pic:cNvPr id="150" name="IM 150"/>
                    <pic:cNvPicPr/>
                  </pic:nvPicPr>
                  <pic:blipFill>
                    <a:blip r:embed="rId196"/>
                    <a:stretch>
                      <a:fillRect/>
                    </a:stretch>
                  </pic:blipFill>
                  <pic:spPr>
                    <a:xfrm rot="0">
                      <a:off x="0" y="0"/>
                      <a:ext cx="6365" cy="222255"/>
                    </a:xfrm>
                    <a:prstGeom prst="rect">
                      <a:avLst/>
                    </a:prstGeom>
                  </pic:spPr>
                </pic:pic>
              </a:graphicData>
            </a:graphic>
          </wp:inline>
        </w:drawing>
      </w:r>
      <w:r>
        <w:rPr>
          <w:rFonts w:ascii="SimSun" w:hAnsi="SimSun" w:eastAsia="SimSun" w:cs="SimSun"/>
          <w:sz w:val="24"/>
          <w:szCs w:val="24"/>
          <w:spacing w:val="-44"/>
        </w:rPr>
        <w:t xml:space="preserve"> </w:t>
      </w:r>
      <w:r>
        <w:rPr>
          <w:rFonts w:ascii="SimSun" w:hAnsi="SimSun" w:eastAsia="SimSun" w:cs="SimSun"/>
          <w:sz w:val="24"/>
          <w:szCs w:val="24"/>
          <w:b/>
          <w:bCs/>
          <w:spacing w:val="-30"/>
        </w:rPr>
        <w:t>■云端数据治理</w:t>
      </w:r>
    </w:p>
    <w:p>
      <w:pPr>
        <w:pStyle w:val="BodyText"/>
        <w:spacing w:line="278" w:lineRule="auto"/>
        <w:rPr/>
      </w:pPr>
      <w:r/>
    </w:p>
    <w:p>
      <w:pPr>
        <w:ind w:left="711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58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63"/>
        <w:gridCol w:w="1977"/>
        <w:gridCol w:w="2187"/>
        <w:gridCol w:w="2162"/>
      </w:tblGrid>
      <w:tr>
        <w:trPr>
          <w:trHeight w:val="314" w:hRule="atLeast"/>
        </w:trPr>
        <w:tc>
          <w:tcPr>
            <w:tcW w:w="1263" w:type="dxa"/>
            <w:vAlign w:val="top"/>
          </w:tcPr>
          <w:p>
            <w:pPr>
              <w:pStyle w:val="TableText"/>
              <w:ind w:left="355"/>
              <w:spacing w:before="81" w:line="220" w:lineRule="auto"/>
              <w:rPr/>
            </w:pPr>
            <w:r>
              <w:rPr>
                <w:spacing w:val="-18"/>
              </w:rPr>
              <w:t>目</w:t>
            </w:r>
            <w:r>
              <w:rPr>
                <w:spacing w:val="17"/>
              </w:rPr>
              <w:t xml:space="preserve">   </w:t>
            </w:r>
            <w:r>
              <w:rPr>
                <w:spacing w:val="-18"/>
              </w:rPr>
              <w:t>标</w:t>
            </w:r>
          </w:p>
        </w:tc>
        <w:tc>
          <w:tcPr>
            <w:tcW w:w="1977" w:type="dxa"/>
            <w:vAlign w:val="top"/>
          </w:tcPr>
          <w:p>
            <w:pPr>
              <w:pStyle w:val="TableText"/>
              <w:ind w:left="711"/>
              <w:spacing w:before="83" w:line="221" w:lineRule="auto"/>
              <w:rPr/>
            </w:pPr>
            <w:r>
              <w:rPr>
                <w:spacing w:val="-12"/>
              </w:rPr>
              <w:t>问</w:t>
            </w:r>
            <w:r>
              <w:rPr>
                <w:spacing w:val="13"/>
              </w:rPr>
              <w:t xml:space="preserve">   </w:t>
            </w:r>
            <w:r>
              <w:rPr>
                <w:spacing w:val="-12"/>
              </w:rPr>
              <w:t>题</w:t>
            </w:r>
          </w:p>
        </w:tc>
        <w:tc>
          <w:tcPr>
            <w:tcW w:w="2187" w:type="dxa"/>
            <w:vAlign w:val="top"/>
          </w:tcPr>
          <w:p>
            <w:pPr>
              <w:pStyle w:val="TableText"/>
              <w:ind w:left="715"/>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62" w:type="dxa"/>
            <w:vAlign w:val="top"/>
          </w:tcPr>
          <w:p>
            <w:pPr>
              <w:pStyle w:val="TableText"/>
              <w:ind w:left="718"/>
              <w:spacing w:before="81" w:line="219" w:lineRule="auto"/>
              <w:rPr/>
            </w:pPr>
            <w:r>
              <w:rPr>
                <w:spacing w:val="3"/>
              </w:rPr>
              <w:t>度量项说明</w:t>
            </w:r>
          </w:p>
        </w:tc>
      </w:tr>
      <w:tr>
        <w:trPr>
          <w:trHeight w:val="1388" w:hRule="atLeast"/>
        </w:trPr>
        <w:tc>
          <w:tcPr>
            <w:tcW w:w="1263" w:type="dxa"/>
            <w:vAlign w:val="top"/>
            <w:vMerge w:val="restart"/>
            <w:tcBorders>
              <w:bottom w:val="nil"/>
            </w:tcBorders>
          </w:tcPr>
          <w:p>
            <w:pPr>
              <w:spacing w:line="294" w:lineRule="auto"/>
              <w:rPr>
                <w:rFonts w:ascii="Arial"/>
                <w:sz w:val="21"/>
              </w:rPr>
            </w:pPr>
            <w:r/>
          </w:p>
          <w:p>
            <w:pPr>
              <w:spacing w:line="294" w:lineRule="auto"/>
              <w:rPr>
                <w:rFonts w:ascii="Arial"/>
                <w:sz w:val="21"/>
              </w:rPr>
            </w:pPr>
            <w:r/>
          </w:p>
          <w:p>
            <w:pPr>
              <w:pStyle w:val="TableText"/>
              <w:ind w:left="104" w:right="183" w:firstLine="100"/>
              <w:spacing w:before="49" w:line="309" w:lineRule="auto"/>
              <w:jc w:val="both"/>
              <w:rPr/>
            </w:pPr>
            <w:r>
              <w:rPr>
                <w:spacing w:val="-1"/>
              </w:rPr>
              <w:t>G2:组织已经</w:t>
            </w:r>
            <w:r>
              <w:rPr>
                <w:spacing w:val="1"/>
              </w:rPr>
              <w:t xml:space="preserve"> </w:t>
            </w:r>
            <w:r>
              <w:rPr>
                <w:spacing w:val="10"/>
              </w:rPr>
              <w:t>创建了一个经</w:t>
            </w:r>
            <w:r>
              <w:rPr>
                <w:spacing w:val="3"/>
              </w:rPr>
              <w:t xml:space="preserve"> </w:t>
            </w:r>
            <w:r>
              <w:rPr>
                <w:spacing w:val="10"/>
              </w:rPr>
              <w:t>核准且全面的</w:t>
            </w:r>
            <w:r>
              <w:rPr>
                <w:spacing w:val="1"/>
              </w:rPr>
              <w:t xml:space="preserve"> </w:t>
            </w:r>
            <w:r>
              <w:rPr>
                <w:spacing w:val="-1"/>
              </w:rPr>
              <w:t>业务词汇表</w:t>
            </w:r>
          </w:p>
        </w:tc>
        <w:tc>
          <w:tcPr>
            <w:tcW w:w="1977" w:type="dxa"/>
            <w:vAlign w:val="top"/>
            <w:vMerge w:val="restart"/>
            <w:tcBorders>
              <w:bottom w:val="nil"/>
            </w:tcBorders>
          </w:tcPr>
          <w:p>
            <w:pPr>
              <w:spacing w:line="292" w:lineRule="auto"/>
              <w:rPr>
                <w:rFonts w:ascii="Arial"/>
                <w:sz w:val="21"/>
              </w:rPr>
            </w:pPr>
            <w:r/>
          </w:p>
          <w:p>
            <w:pPr>
              <w:spacing w:line="292" w:lineRule="auto"/>
              <w:rPr>
                <w:rFonts w:ascii="Arial"/>
                <w:sz w:val="21"/>
              </w:rPr>
            </w:pPr>
            <w:r/>
          </w:p>
          <w:p>
            <w:pPr>
              <w:pStyle w:val="TableText"/>
              <w:ind w:left="261"/>
              <w:spacing w:before="49" w:line="219" w:lineRule="auto"/>
              <w:rPr/>
            </w:pPr>
            <w:r>
              <w:rPr>
                <w:spacing w:val="7"/>
              </w:rPr>
              <w:t>Q2:组织的业务词汇、</w:t>
            </w:r>
          </w:p>
          <w:p>
            <w:pPr>
              <w:pStyle w:val="TableText"/>
              <w:ind w:left="82" w:right="93" w:firstLine="69"/>
              <w:spacing w:before="91" w:line="301" w:lineRule="auto"/>
              <w:rPr/>
            </w:pPr>
            <w:r>
              <w:rPr>
                <w:spacing w:val="1"/>
              </w:rPr>
              <w:t>定义和相应的元数据是如</w:t>
            </w:r>
            <w:r>
              <w:rPr/>
              <w:t xml:space="preserve">  </w:t>
            </w:r>
            <w:r>
              <w:rPr>
                <w:spacing w:val="-1"/>
              </w:rPr>
              <w:t>何创造、批准、验证和管理</w:t>
            </w:r>
            <w:r>
              <w:rPr>
                <w:spacing w:val="2"/>
              </w:rPr>
              <w:t xml:space="preserve"> </w:t>
            </w:r>
            <w:r>
              <w:rPr>
                <w:spacing w:val="11"/>
              </w:rPr>
              <w:t>的</w:t>
            </w:r>
          </w:p>
        </w:tc>
        <w:tc>
          <w:tcPr>
            <w:tcW w:w="2187" w:type="dxa"/>
            <w:vAlign w:val="top"/>
          </w:tcPr>
          <w:p>
            <w:pPr>
              <w:spacing w:line="282" w:lineRule="auto"/>
              <w:rPr>
                <w:rFonts w:ascii="Arial"/>
                <w:sz w:val="21"/>
              </w:rPr>
            </w:pPr>
            <w:r/>
          </w:p>
          <w:p>
            <w:pPr>
              <w:spacing w:line="282" w:lineRule="auto"/>
              <w:rPr>
                <w:rFonts w:ascii="Arial"/>
                <w:sz w:val="21"/>
              </w:rPr>
            </w:pPr>
            <w:r/>
          </w:p>
          <w:p>
            <w:pPr>
              <w:pStyle w:val="TableText"/>
              <w:ind w:left="265"/>
              <w:spacing w:before="49" w:line="219" w:lineRule="auto"/>
              <w:rPr/>
            </w:pPr>
            <w:r>
              <w:rPr>
                <w:spacing w:val="-1"/>
              </w:rPr>
              <w:t>M4:经认可的业务词汇表</w:t>
            </w:r>
          </w:p>
        </w:tc>
        <w:tc>
          <w:tcPr>
            <w:tcW w:w="2162" w:type="dxa"/>
            <w:vAlign w:val="top"/>
          </w:tcPr>
          <w:p>
            <w:pPr>
              <w:pStyle w:val="TableText"/>
              <w:ind w:left="268"/>
              <w:spacing w:before="77" w:line="219" w:lineRule="auto"/>
              <w:rPr/>
            </w:pPr>
            <w:r>
              <w:rPr>
                <w:spacing w:val="-1"/>
              </w:rPr>
              <w:t>业务词汇表须首先经组织</w:t>
            </w:r>
          </w:p>
          <w:p>
            <w:pPr>
              <w:pStyle w:val="TableText"/>
              <w:ind w:left="127" w:right="79"/>
              <w:spacing w:before="111" w:line="276" w:lineRule="auto"/>
              <w:rPr/>
            </w:pPr>
            <w:r>
              <w:rPr>
                <w:spacing w:val="-1"/>
              </w:rPr>
              <w:t>认可，并且在所有相关的业务</w:t>
            </w:r>
            <w:r>
              <w:rPr>
                <w:spacing w:val="6"/>
              </w:rPr>
              <w:t xml:space="preserve"> </w:t>
            </w:r>
            <w:r>
              <w:rPr>
                <w:spacing w:val="-1"/>
              </w:rPr>
              <w:t>活动中按照业务词汇表的定</w:t>
            </w:r>
          </w:p>
          <w:p>
            <w:pPr>
              <w:pStyle w:val="TableText"/>
              <w:ind w:left="108" w:right="83" w:firstLine="29"/>
              <w:spacing w:before="101" w:line="278" w:lineRule="auto"/>
              <w:rPr/>
            </w:pPr>
            <w:r>
              <w:rPr>
                <w:spacing w:val="-2"/>
              </w:rPr>
              <w:t>义来统一、规范业务的理解和</w:t>
            </w:r>
            <w:r>
              <w:rPr>
                <w:spacing w:val="5"/>
              </w:rPr>
              <w:t xml:space="preserve"> </w:t>
            </w:r>
            <w:r>
              <w:rPr>
                <w:spacing w:val="-2"/>
              </w:rPr>
              <w:t>描述</w:t>
            </w:r>
          </w:p>
        </w:tc>
      </w:tr>
      <w:tr>
        <w:trPr>
          <w:trHeight w:val="849" w:hRule="atLeast"/>
        </w:trPr>
        <w:tc>
          <w:tcPr>
            <w:tcW w:w="12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2187" w:type="dxa"/>
            <w:vAlign w:val="top"/>
          </w:tcPr>
          <w:p>
            <w:pPr>
              <w:spacing w:line="299" w:lineRule="auto"/>
              <w:rPr>
                <w:rFonts w:ascii="Arial"/>
                <w:sz w:val="21"/>
              </w:rPr>
            </w:pPr>
            <w:r/>
          </w:p>
          <w:p>
            <w:pPr>
              <w:pStyle w:val="TableText"/>
              <w:ind w:left="265"/>
              <w:spacing w:before="48" w:line="220" w:lineRule="auto"/>
              <w:rPr/>
            </w:pPr>
            <w:r>
              <w:rPr>
                <w:spacing w:val="-1"/>
              </w:rPr>
              <w:t>M5:行业一致性</w:t>
            </w:r>
          </w:p>
        </w:tc>
        <w:tc>
          <w:tcPr>
            <w:tcW w:w="2162" w:type="dxa"/>
            <w:vAlign w:val="top"/>
          </w:tcPr>
          <w:p>
            <w:pPr>
              <w:pStyle w:val="TableText"/>
              <w:ind w:left="117" w:right="229" w:firstLine="160"/>
              <w:spacing w:before="88" w:line="307" w:lineRule="auto"/>
              <w:jc w:val="both"/>
              <w:rPr/>
            </w:pPr>
            <w:r>
              <w:rPr>
                <w:spacing w:val="-1"/>
              </w:rPr>
              <w:t>业务词汇表中的定义在不</w:t>
            </w:r>
            <w:r>
              <w:rPr>
                <w:spacing w:val="4"/>
              </w:rPr>
              <w:t xml:space="preserve"> </w:t>
            </w:r>
            <w:r>
              <w:rPr>
                <w:spacing w:val="-1"/>
              </w:rPr>
              <w:t>冲突及出现歧义的情况下可</w:t>
            </w:r>
            <w:r>
              <w:rPr>
                <w:spacing w:val="4"/>
              </w:rPr>
              <w:t xml:space="preserve"> </w:t>
            </w:r>
            <w:r>
              <w:rPr>
                <w:spacing w:val="-1"/>
              </w:rPr>
              <w:t>参考行业标准的描述</w:t>
            </w:r>
          </w:p>
        </w:tc>
      </w:tr>
      <w:tr>
        <w:trPr>
          <w:trHeight w:val="1119" w:hRule="atLeast"/>
        </w:trPr>
        <w:tc>
          <w:tcPr>
            <w:tcW w:w="1263" w:type="dxa"/>
            <w:vAlign w:val="top"/>
          </w:tcPr>
          <w:p>
            <w:pPr>
              <w:pStyle w:val="TableText"/>
              <w:ind w:left="205"/>
              <w:spacing w:before="80" w:line="219" w:lineRule="auto"/>
              <w:rPr/>
            </w:pPr>
            <w:r>
              <w:rPr>
                <w:spacing w:val="-1"/>
              </w:rPr>
              <w:t>G3:组织遵循</w:t>
            </w:r>
          </w:p>
          <w:p>
            <w:pPr>
              <w:pStyle w:val="TableText"/>
              <w:ind w:left="94"/>
              <w:spacing w:before="101" w:line="219" w:lineRule="auto"/>
              <w:rPr/>
            </w:pPr>
            <w:r>
              <w:rPr>
                <w:spacing w:val="-2"/>
              </w:rPr>
              <w:t>与业务词汇相关</w:t>
            </w:r>
          </w:p>
          <w:p>
            <w:pPr>
              <w:pStyle w:val="TableText"/>
              <w:ind w:left="94"/>
              <w:spacing w:before="112" w:line="220" w:lineRule="auto"/>
              <w:rPr/>
            </w:pPr>
            <w:r>
              <w:rPr>
                <w:spacing w:val="1"/>
              </w:rPr>
              <w:t>的命名、定义和</w:t>
            </w:r>
          </w:p>
          <w:p>
            <w:pPr>
              <w:pStyle w:val="TableText"/>
              <w:ind w:left="174"/>
              <w:spacing w:before="90" w:line="219" w:lineRule="auto"/>
              <w:rPr/>
            </w:pPr>
            <w:r>
              <w:rPr>
                <w:spacing w:val="-1"/>
              </w:rPr>
              <w:t>元数据的标准</w:t>
            </w:r>
          </w:p>
        </w:tc>
        <w:tc>
          <w:tcPr>
            <w:tcW w:w="1977" w:type="dxa"/>
            <w:vAlign w:val="top"/>
          </w:tcPr>
          <w:p>
            <w:pPr>
              <w:pStyle w:val="TableText"/>
              <w:ind w:left="261"/>
              <w:spacing w:before="240" w:line="219" w:lineRule="auto"/>
              <w:rPr/>
            </w:pPr>
            <w:r>
              <w:rPr>
                <w:spacing w:val="-1"/>
              </w:rPr>
              <w:t>Q3:业务词汇是否作为</w:t>
            </w:r>
          </w:p>
          <w:p>
            <w:pPr>
              <w:pStyle w:val="TableText"/>
              <w:ind w:left="151" w:right="146"/>
              <w:spacing w:before="101" w:line="276" w:lineRule="auto"/>
              <w:rPr/>
            </w:pPr>
            <w:r>
              <w:rPr>
                <w:spacing w:val="-1"/>
              </w:rPr>
              <w:t>应用程序数据存储和数据</w:t>
            </w:r>
            <w:r>
              <w:rPr>
                <w:spacing w:val="4"/>
              </w:rPr>
              <w:t xml:space="preserve"> </w:t>
            </w:r>
            <w:r>
              <w:rPr>
                <w:spacing w:val="1"/>
              </w:rPr>
              <w:t>仓库设计的第一步被引用</w:t>
            </w:r>
          </w:p>
        </w:tc>
        <w:tc>
          <w:tcPr>
            <w:tcW w:w="2187" w:type="dxa"/>
            <w:vAlign w:val="top"/>
          </w:tcPr>
          <w:p>
            <w:pPr>
              <w:spacing w:line="438" w:lineRule="auto"/>
              <w:rPr>
                <w:rFonts w:ascii="Arial"/>
                <w:sz w:val="21"/>
              </w:rPr>
            </w:pPr>
            <w:r/>
          </w:p>
          <w:p>
            <w:pPr>
              <w:pStyle w:val="TableText"/>
              <w:ind w:left="265"/>
              <w:spacing w:before="49" w:line="219" w:lineRule="auto"/>
              <w:rPr/>
            </w:pPr>
            <w:r>
              <w:rPr>
                <w:spacing w:val="-1"/>
              </w:rPr>
              <w:t>M6:逻辑数据模型</w:t>
            </w:r>
          </w:p>
        </w:tc>
        <w:tc>
          <w:tcPr>
            <w:tcW w:w="2162" w:type="dxa"/>
            <w:vAlign w:val="top"/>
          </w:tcPr>
          <w:p>
            <w:pPr>
              <w:spacing w:line="319" w:lineRule="auto"/>
              <w:rPr>
                <w:rFonts w:ascii="Arial"/>
                <w:sz w:val="21"/>
              </w:rPr>
            </w:pPr>
            <w:r/>
          </w:p>
          <w:p>
            <w:pPr>
              <w:pStyle w:val="TableText"/>
              <w:ind w:left="117" w:right="229" w:firstLine="160"/>
              <w:spacing w:before="49" w:line="288" w:lineRule="auto"/>
              <w:rPr/>
            </w:pPr>
            <w:r>
              <w:rPr>
                <w:spacing w:val="-1"/>
              </w:rPr>
              <w:t>逻辑数据模型的描述和理</w:t>
            </w:r>
            <w:r>
              <w:rPr>
                <w:spacing w:val="4"/>
              </w:rPr>
              <w:t xml:space="preserve"> </w:t>
            </w:r>
            <w:r>
              <w:rPr>
                <w:spacing w:val="-1"/>
              </w:rPr>
              <w:t>解须与业务词汇保持一致</w:t>
            </w:r>
          </w:p>
        </w:tc>
      </w:tr>
      <w:tr>
        <w:trPr>
          <w:trHeight w:val="1139" w:hRule="atLeast"/>
        </w:trPr>
        <w:tc>
          <w:tcPr>
            <w:tcW w:w="1263" w:type="dxa"/>
            <w:vAlign w:val="top"/>
            <w:vMerge w:val="restart"/>
            <w:tcBorders>
              <w:bottom w:val="nil"/>
            </w:tcBorders>
          </w:tcPr>
          <w:p>
            <w:pPr>
              <w:spacing w:line="294" w:lineRule="auto"/>
              <w:rPr>
                <w:rFonts w:ascii="Arial"/>
                <w:sz w:val="21"/>
              </w:rPr>
            </w:pPr>
            <w:r/>
          </w:p>
          <w:p>
            <w:pPr>
              <w:spacing w:line="294" w:lineRule="auto"/>
              <w:rPr>
                <w:rFonts w:ascii="Arial"/>
                <w:sz w:val="21"/>
              </w:rPr>
            </w:pPr>
            <w:r/>
          </w:p>
          <w:p>
            <w:pPr>
              <w:pStyle w:val="TableText"/>
              <w:ind w:left="205"/>
              <w:spacing w:before="49" w:line="219" w:lineRule="auto"/>
              <w:rPr/>
            </w:pPr>
            <w:r>
              <w:rPr>
                <w:spacing w:val="-1"/>
              </w:rPr>
              <w:t>G4:整个组织</w:t>
            </w:r>
          </w:p>
          <w:p>
            <w:pPr>
              <w:pStyle w:val="TableText"/>
              <w:ind w:left="94" w:right="115" w:firstLine="80"/>
              <w:spacing w:before="122" w:line="288" w:lineRule="auto"/>
              <w:rPr/>
            </w:pPr>
            <w:r>
              <w:rPr>
                <w:spacing w:val="-2"/>
              </w:rPr>
              <w:t>都可以获得业</w:t>
            </w:r>
            <w:r>
              <w:rPr>
                <w:spacing w:val="1"/>
              </w:rPr>
              <w:t xml:space="preserve">  </w:t>
            </w:r>
            <w:r>
              <w:rPr>
                <w:spacing w:val="-2"/>
              </w:rPr>
              <w:t>务词汇表，使得</w:t>
            </w:r>
          </w:p>
          <w:p>
            <w:pPr>
              <w:pStyle w:val="TableText"/>
              <w:ind w:left="174"/>
              <w:spacing w:before="102" w:line="220" w:lineRule="auto"/>
              <w:rPr/>
            </w:pPr>
            <w:r>
              <w:rPr>
                <w:spacing w:val="-1"/>
              </w:rPr>
              <w:t>所有的利益相</w:t>
            </w:r>
          </w:p>
          <w:p>
            <w:pPr>
              <w:pStyle w:val="TableText"/>
              <w:ind w:left="174"/>
              <w:spacing w:before="100" w:line="219" w:lineRule="auto"/>
              <w:rPr/>
            </w:pPr>
            <w:r>
              <w:rPr>
                <w:spacing w:val="3"/>
              </w:rPr>
              <w:t>关者都能够了</w:t>
            </w:r>
          </w:p>
          <w:p>
            <w:pPr>
              <w:pStyle w:val="TableText"/>
              <w:ind w:left="104" w:right="183" w:firstLine="69"/>
              <w:spacing w:before="111" w:line="282" w:lineRule="auto"/>
              <w:rPr/>
            </w:pPr>
            <w:r>
              <w:rPr>
                <w:spacing w:val="-1"/>
              </w:rPr>
              <w:t>解标准业务词</w:t>
            </w:r>
            <w:r>
              <w:rPr/>
              <w:t xml:space="preserve"> </w:t>
            </w:r>
            <w:r>
              <w:rPr/>
              <w:t>汇</w:t>
            </w:r>
          </w:p>
        </w:tc>
        <w:tc>
          <w:tcPr>
            <w:tcW w:w="1977" w:type="dxa"/>
            <w:vAlign w:val="top"/>
          </w:tcPr>
          <w:p>
            <w:pPr>
              <w:pStyle w:val="TableText"/>
              <w:ind w:left="151" w:right="154" w:firstLine="109"/>
              <w:spacing w:before="230" w:line="351" w:lineRule="auto"/>
              <w:rPr/>
            </w:pPr>
            <w:r>
              <w:rPr>
                <w:spacing w:val="-1"/>
              </w:rPr>
              <w:t>Q4:是否将业务词汇表</w:t>
            </w:r>
            <w:r>
              <w:rPr>
                <w:spacing w:val="1"/>
              </w:rPr>
              <w:t xml:space="preserve">   </w:t>
            </w:r>
            <w:r>
              <w:rPr/>
              <w:t>向所有的利益相关者公告</w:t>
            </w:r>
          </w:p>
          <w:p>
            <w:pPr>
              <w:pStyle w:val="TableText"/>
              <w:ind w:left="111"/>
              <w:spacing w:line="219" w:lineRule="auto"/>
              <w:rPr/>
            </w:pPr>
            <w:r>
              <w:rPr>
                <w:spacing w:val="-1"/>
              </w:rPr>
              <w:t>并让他们获得词汇表</w:t>
            </w:r>
          </w:p>
        </w:tc>
        <w:tc>
          <w:tcPr>
            <w:tcW w:w="2187" w:type="dxa"/>
            <w:vAlign w:val="top"/>
          </w:tcPr>
          <w:p>
            <w:pPr>
              <w:spacing w:line="449" w:lineRule="auto"/>
              <w:rPr>
                <w:rFonts w:ascii="Arial"/>
                <w:sz w:val="21"/>
              </w:rPr>
            </w:pPr>
            <w:r/>
          </w:p>
          <w:p>
            <w:pPr>
              <w:pStyle w:val="TableText"/>
              <w:ind w:left="265"/>
              <w:spacing w:before="49" w:line="219" w:lineRule="auto"/>
              <w:rPr/>
            </w:pPr>
            <w:r>
              <w:rPr>
                <w:spacing w:val="-1"/>
              </w:rPr>
              <w:t>M7:业务词汇可用性</w:t>
            </w:r>
          </w:p>
        </w:tc>
        <w:tc>
          <w:tcPr>
            <w:tcW w:w="2162" w:type="dxa"/>
            <w:vAlign w:val="top"/>
          </w:tcPr>
          <w:p>
            <w:pPr>
              <w:pStyle w:val="TableText"/>
              <w:ind w:left="108" w:right="98" w:firstLine="169"/>
              <w:spacing w:before="80" w:line="320" w:lineRule="auto"/>
              <w:jc w:val="both"/>
              <w:rPr/>
            </w:pPr>
            <w:r>
              <w:rPr>
                <w:spacing w:val="-1"/>
              </w:rPr>
              <w:t>保持业务词汇的更新和有</w:t>
            </w:r>
            <w:r>
              <w:rPr>
                <w:spacing w:val="1"/>
              </w:rPr>
              <w:t xml:space="preserve">   </w:t>
            </w:r>
            <w:r>
              <w:rPr>
                <w:spacing w:val="-1"/>
              </w:rPr>
              <w:t>效，并且应在组织内部发布，</w:t>
            </w:r>
            <w:r>
              <w:rPr>
                <w:spacing w:val="7"/>
              </w:rPr>
              <w:t xml:space="preserve"> </w:t>
            </w:r>
            <w:r>
              <w:rPr/>
              <w:t>确保组织内部对业务词汇的</w:t>
            </w:r>
            <w:r>
              <w:rPr>
                <w:spacing w:val="1"/>
              </w:rPr>
              <w:t xml:space="preserve">   </w:t>
            </w:r>
            <w:r>
              <w:rPr/>
              <w:t>理解一致</w:t>
            </w:r>
          </w:p>
        </w:tc>
      </w:tr>
      <w:tr>
        <w:trPr>
          <w:trHeight w:val="829" w:hRule="atLeast"/>
        </w:trPr>
        <w:tc>
          <w:tcPr>
            <w:tcW w:w="1263" w:type="dxa"/>
            <w:vAlign w:val="top"/>
            <w:vMerge w:val="continue"/>
            <w:tcBorders>
              <w:top w:val="nil"/>
              <w:bottom w:val="nil"/>
            </w:tcBorders>
          </w:tcPr>
          <w:p>
            <w:pPr>
              <w:rPr>
                <w:rFonts w:ascii="Arial"/>
                <w:sz w:val="21"/>
              </w:rPr>
            </w:pPr>
            <w:r/>
          </w:p>
        </w:tc>
        <w:tc>
          <w:tcPr>
            <w:tcW w:w="1977" w:type="dxa"/>
            <w:vAlign w:val="top"/>
            <w:vMerge w:val="restart"/>
            <w:tcBorders>
              <w:bottom w:val="nil"/>
            </w:tcBorders>
          </w:tcPr>
          <w:p>
            <w:pPr>
              <w:pStyle w:val="TableText"/>
              <w:ind w:left="261"/>
              <w:spacing w:before="232" w:line="220" w:lineRule="auto"/>
              <w:rPr/>
            </w:pPr>
            <w:r>
              <w:rPr>
                <w:spacing w:val="-1"/>
              </w:rPr>
              <w:t>Q5:组织是否进行了交</w:t>
            </w:r>
          </w:p>
          <w:p>
            <w:pPr>
              <w:pStyle w:val="TableText"/>
              <w:ind w:left="82" w:right="90" w:firstLine="69"/>
              <w:spacing w:before="69" w:line="323" w:lineRule="auto"/>
              <w:rPr/>
            </w:pPr>
            <w:r>
              <w:rPr>
                <w:spacing w:val="-1"/>
              </w:rPr>
              <w:t>叉引用并将业务的专门词</w:t>
            </w:r>
            <w:r>
              <w:rPr>
                <w:spacing w:val="1"/>
              </w:rPr>
              <w:t xml:space="preserve">  </w:t>
            </w:r>
            <w:r>
              <w:rPr>
                <w:spacing w:val="1"/>
              </w:rPr>
              <w:t>汇(同义词、业务单元词汇 </w:t>
            </w:r>
            <w:r>
              <w:rPr>
                <w:spacing w:val="-1"/>
              </w:rPr>
              <w:t>表、逻辑属性、物理数据元</w:t>
            </w:r>
            <w:r>
              <w:rPr>
                <w:spacing w:val="5"/>
              </w:rPr>
              <w:t xml:space="preserve"> </w:t>
            </w:r>
            <w:r>
              <w:rPr>
                <w:spacing w:val="1"/>
              </w:rPr>
              <w:t>素等)映射到标准化的业务 </w:t>
            </w:r>
            <w:r>
              <w:rPr>
                <w:spacing w:val="11"/>
              </w:rPr>
              <w:t>词汇</w:t>
            </w:r>
          </w:p>
        </w:tc>
        <w:tc>
          <w:tcPr>
            <w:tcW w:w="2187" w:type="dxa"/>
            <w:vAlign w:val="top"/>
          </w:tcPr>
          <w:p>
            <w:pPr>
              <w:spacing w:line="292" w:lineRule="auto"/>
              <w:rPr>
                <w:rFonts w:ascii="Arial"/>
                <w:sz w:val="21"/>
              </w:rPr>
            </w:pPr>
            <w:r/>
          </w:p>
          <w:p>
            <w:pPr>
              <w:pStyle w:val="TableText"/>
              <w:ind w:left="265"/>
              <w:spacing w:before="49" w:line="221" w:lineRule="auto"/>
              <w:rPr/>
            </w:pPr>
            <w:r>
              <w:rPr>
                <w:spacing w:val="-1"/>
              </w:rPr>
              <w:t>M8:词汇唯一性</w:t>
            </w:r>
          </w:p>
        </w:tc>
        <w:tc>
          <w:tcPr>
            <w:tcW w:w="2162" w:type="dxa"/>
            <w:vAlign w:val="top"/>
          </w:tcPr>
          <w:p>
            <w:pPr>
              <w:pStyle w:val="TableText"/>
              <w:ind w:left="108" w:right="101" w:firstLine="169"/>
              <w:spacing w:before="82" w:line="302" w:lineRule="auto"/>
              <w:rPr/>
            </w:pPr>
            <w:r>
              <w:rPr>
                <w:spacing w:val="-1"/>
              </w:rPr>
              <w:t>业务词汇表中的定义须保  </w:t>
            </w:r>
            <w:r>
              <w:rPr>
                <w:spacing w:val="-1"/>
              </w:rPr>
              <w:t>持其唯一性，不出现重复定义</w:t>
            </w:r>
            <w:r>
              <w:rPr>
                <w:spacing w:val="4"/>
              </w:rPr>
              <w:t xml:space="preserve"> </w:t>
            </w:r>
            <w:r>
              <w:rPr/>
              <w:t>或同一词汇出现多个定义</w:t>
            </w:r>
          </w:p>
        </w:tc>
      </w:tr>
      <w:tr>
        <w:trPr>
          <w:trHeight w:val="1119" w:hRule="atLeast"/>
        </w:trPr>
        <w:tc>
          <w:tcPr>
            <w:tcW w:w="12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2187" w:type="dxa"/>
            <w:vAlign w:val="top"/>
          </w:tcPr>
          <w:p>
            <w:pPr>
              <w:spacing w:line="441" w:lineRule="auto"/>
              <w:rPr>
                <w:rFonts w:ascii="Arial"/>
                <w:sz w:val="21"/>
              </w:rPr>
            </w:pPr>
            <w:r/>
          </w:p>
          <w:p>
            <w:pPr>
              <w:pStyle w:val="TableText"/>
              <w:ind w:left="265"/>
              <w:spacing w:before="49" w:line="219" w:lineRule="auto"/>
              <w:rPr/>
            </w:pPr>
            <w:r>
              <w:rPr>
                <w:spacing w:val="-1"/>
              </w:rPr>
              <w:t>M9:业务词汇指导性</w:t>
            </w:r>
          </w:p>
        </w:tc>
        <w:tc>
          <w:tcPr>
            <w:tcW w:w="2162" w:type="dxa"/>
            <w:vAlign w:val="top"/>
          </w:tcPr>
          <w:p>
            <w:pPr>
              <w:pStyle w:val="TableText"/>
              <w:ind w:left="127" w:right="156" w:firstLine="149"/>
              <w:spacing w:before="93" w:line="311" w:lineRule="auto"/>
              <w:rPr/>
            </w:pPr>
            <w:r>
              <w:rPr>
                <w:spacing w:val="-1"/>
              </w:rPr>
              <w:t>数据应用的全生命周期(开</w:t>
            </w:r>
            <w:r>
              <w:rPr>
                <w:spacing w:val="3"/>
              </w:rPr>
              <w:t xml:space="preserve"> </w:t>
            </w:r>
            <w:r>
              <w:rPr>
                <w:spacing w:val="-1"/>
              </w:rPr>
              <w:t>发、集成、整合等环节)均应</w:t>
            </w:r>
            <w:r>
              <w:rPr>
                <w:spacing w:val="3"/>
              </w:rPr>
              <w:t xml:space="preserve"> </w:t>
            </w:r>
            <w:r>
              <w:rPr>
                <w:spacing w:val="-1"/>
              </w:rPr>
              <w:t>按照业务词汇的标准定义来</w:t>
            </w:r>
            <w:r>
              <w:rPr>
                <w:spacing w:val="1"/>
              </w:rPr>
              <w:t xml:space="preserve">  </w:t>
            </w:r>
            <w:r>
              <w:rPr>
                <w:spacing w:val="-2"/>
              </w:rPr>
              <w:t>描述</w:t>
            </w:r>
          </w:p>
        </w:tc>
      </w:tr>
      <w:tr>
        <w:trPr>
          <w:trHeight w:val="849" w:hRule="atLeast"/>
        </w:trPr>
        <w:tc>
          <w:tcPr>
            <w:tcW w:w="1263" w:type="dxa"/>
            <w:vAlign w:val="top"/>
            <w:vMerge w:val="restart"/>
            <w:tcBorders>
              <w:bottom w:val="nil"/>
            </w:tcBorders>
          </w:tcPr>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TableText"/>
              <w:ind w:left="205"/>
              <w:spacing w:before="49" w:line="219" w:lineRule="auto"/>
              <w:rPr/>
            </w:pPr>
            <w:r>
              <w:rPr>
                <w:spacing w:val="-1"/>
              </w:rPr>
              <w:t>G5:数据治理</w:t>
            </w:r>
          </w:p>
          <w:p>
            <w:pPr>
              <w:pStyle w:val="TableText"/>
              <w:ind w:left="94" w:right="115" w:firstLine="80"/>
              <w:spacing w:before="111" w:line="283" w:lineRule="auto"/>
              <w:rPr/>
            </w:pPr>
            <w:r>
              <w:rPr>
                <w:spacing w:val="-2"/>
              </w:rPr>
              <w:t>促进了对业务</w:t>
            </w:r>
            <w:r>
              <w:rPr>
                <w:spacing w:val="2"/>
              </w:rPr>
              <w:t xml:space="preserve">  </w:t>
            </w:r>
            <w:r>
              <w:rPr>
                <w:spacing w:val="-2"/>
              </w:rPr>
              <w:t>词汇的评审、批</w:t>
            </w:r>
          </w:p>
          <w:p>
            <w:pPr>
              <w:pStyle w:val="TableText"/>
              <w:ind w:left="174"/>
              <w:spacing w:before="90" w:line="219" w:lineRule="auto"/>
              <w:rPr/>
            </w:pPr>
            <w:r>
              <w:rPr>
                <w:spacing w:val="3"/>
              </w:rPr>
              <w:t>准和持续使用</w:t>
            </w:r>
          </w:p>
        </w:tc>
        <w:tc>
          <w:tcPr>
            <w:tcW w:w="1977" w:type="dxa"/>
            <w:vAlign w:val="top"/>
            <w:vMerge w:val="restart"/>
            <w:tcBorders>
              <w:bottom w:val="nil"/>
            </w:tcBorders>
          </w:tcPr>
          <w:p>
            <w:pPr>
              <w:spacing w:line="472" w:lineRule="auto"/>
              <w:rPr>
                <w:rFonts w:ascii="Arial"/>
                <w:sz w:val="21"/>
              </w:rPr>
            </w:pPr>
            <w:r/>
          </w:p>
          <w:p>
            <w:pPr>
              <w:pStyle w:val="TableText"/>
              <w:ind w:left="261"/>
              <w:spacing w:before="49" w:line="219" w:lineRule="auto"/>
              <w:rPr/>
            </w:pPr>
            <w:r>
              <w:rPr>
                <w:spacing w:val="-1"/>
              </w:rPr>
              <w:t>Q6:组织的业务词汇表</w:t>
            </w:r>
          </w:p>
          <w:p>
            <w:pPr>
              <w:pStyle w:val="TableText"/>
              <w:ind w:left="122" w:right="93" w:hanging="40"/>
              <w:spacing w:before="111" w:line="276" w:lineRule="auto"/>
              <w:rPr/>
            </w:pPr>
            <w:r>
              <w:rPr>
                <w:spacing w:val="-1"/>
              </w:rPr>
              <w:t>如何得到完善和维护，从而</w:t>
            </w:r>
            <w:r>
              <w:rPr>
                <w:spacing w:val="2"/>
              </w:rPr>
              <w:t xml:space="preserve"> </w:t>
            </w:r>
            <w:r>
              <w:rPr>
                <w:spacing w:val="-1"/>
              </w:rPr>
              <w:t>反映变更和补充内容</w:t>
            </w:r>
          </w:p>
        </w:tc>
        <w:tc>
          <w:tcPr>
            <w:tcW w:w="2187" w:type="dxa"/>
            <w:vAlign w:val="top"/>
          </w:tcPr>
          <w:p>
            <w:pPr>
              <w:spacing w:line="303" w:lineRule="auto"/>
              <w:rPr>
                <w:rFonts w:ascii="Arial"/>
                <w:sz w:val="21"/>
              </w:rPr>
            </w:pPr>
            <w:r/>
          </w:p>
          <w:p>
            <w:pPr>
              <w:pStyle w:val="TableText"/>
              <w:ind w:left="265"/>
              <w:spacing w:before="49" w:line="220" w:lineRule="auto"/>
              <w:rPr/>
            </w:pPr>
            <w:r>
              <w:rPr>
                <w:spacing w:val="-1"/>
              </w:rPr>
              <w:t>M10:变更控制</w:t>
            </w:r>
          </w:p>
        </w:tc>
        <w:tc>
          <w:tcPr>
            <w:tcW w:w="2162" w:type="dxa"/>
            <w:vAlign w:val="top"/>
          </w:tcPr>
          <w:p>
            <w:pPr>
              <w:pStyle w:val="TableText"/>
              <w:ind w:left="258"/>
              <w:spacing w:before="74" w:line="219" w:lineRule="auto"/>
              <w:rPr/>
            </w:pPr>
            <w:r>
              <w:rPr>
                <w:spacing w:val="-1"/>
              </w:rPr>
              <w:t>业务词汇的变更应当进行</w:t>
            </w:r>
          </w:p>
          <w:p>
            <w:pPr>
              <w:pStyle w:val="TableText"/>
              <w:ind w:left="117" w:right="89"/>
              <w:spacing w:before="120" w:line="287" w:lineRule="auto"/>
              <w:rPr/>
            </w:pPr>
            <w:r>
              <w:rPr>
                <w:spacing w:val="-1"/>
              </w:rPr>
              <w:t>影响评估，以确定需要开展的</w:t>
            </w:r>
            <w:r>
              <w:rPr>
                <w:spacing w:val="6"/>
              </w:rPr>
              <w:t xml:space="preserve"> </w:t>
            </w:r>
            <w:r>
              <w:rPr>
                <w:spacing w:val="1"/>
              </w:rPr>
              <w:t>活动来降低影响</w:t>
            </w:r>
          </w:p>
        </w:tc>
      </w:tr>
      <w:tr>
        <w:trPr>
          <w:trHeight w:val="849" w:hRule="atLeast"/>
        </w:trPr>
        <w:tc>
          <w:tcPr>
            <w:tcW w:w="1263" w:type="dxa"/>
            <w:vAlign w:val="top"/>
            <w:vMerge w:val="continue"/>
            <w:tcBorders>
              <w:top w:val="nil"/>
              <w:bottom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2187" w:type="dxa"/>
            <w:vAlign w:val="top"/>
          </w:tcPr>
          <w:p>
            <w:pPr>
              <w:spacing w:line="304" w:lineRule="auto"/>
              <w:rPr>
                <w:rFonts w:ascii="Arial"/>
                <w:sz w:val="21"/>
              </w:rPr>
            </w:pPr>
            <w:r/>
          </w:p>
          <w:p>
            <w:pPr>
              <w:pStyle w:val="TableText"/>
              <w:ind w:left="265"/>
              <w:spacing w:before="49" w:line="220" w:lineRule="auto"/>
              <w:rPr/>
            </w:pPr>
            <w:r>
              <w:rPr>
                <w:spacing w:val="22"/>
              </w:rPr>
              <w:t>M11:出版物</w:t>
            </w:r>
          </w:p>
        </w:tc>
        <w:tc>
          <w:tcPr>
            <w:tcW w:w="2162" w:type="dxa"/>
            <w:vAlign w:val="top"/>
          </w:tcPr>
          <w:p>
            <w:pPr>
              <w:pStyle w:val="TableText"/>
              <w:ind w:left="108" w:right="79" w:firstLine="169"/>
              <w:spacing w:before="83" w:line="307" w:lineRule="auto"/>
              <w:rPr/>
            </w:pPr>
            <w:r>
              <w:rPr>
                <w:spacing w:val="-1"/>
              </w:rPr>
              <w:t>根据组织内外部的实践，把</w:t>
            </w:r>
            <w:r>
              <w:rPr>
                <w:spacing w:val="5"/>
              </w:rPr>
              <w:t xml:space="preserve"> </w:t>
            </w:r>
            <w:r>
              <w:rPr>
                <w:spacing w:val="2"/>
              </w:rPr>
              <w:t>业务词汇管理的经验形成白</w:t>
            </w:r>
            <w:r>
              <w:rPr>
                <w:spacing w:val="1"/>
              </w:rPr>
              <w:t xml:space="preserve">   </w:t>
            </w:r>
            <w:r>
              <w:rPr>
                <w:spacing w:val="-3"/>
              </w:rPr>
              <w:t>皮书</w:t>
            </w:r>
          </w:p>
        </w:tc>
      </w:tr>
      <w:tr>
        <w:trPr>
          <w:trHeight w:val="1104" w:hRule="atLeast"/>
        </w:trPr>
        <w:tc>
          <w:tcPr>
            <w:tcW w:w="1263" w:type="dxa"/>
            <w:vAlign w:val="top"/>
            <w:vMerge w:val="continue"/>
            <w:tcBorders>
              <w:top w:val="nil"/>
            </w:tcBorders>
          </w:tcPr>
          <w:p>
            <w:pPr>
              <w:rPr>
                <w:rFonts w:ascii="Arial"/>
                <w:sz w:val="21"/>
              </w:rPr>
            </w:pPr>
            <w:r/>
          </w:p>
        </w:tc>
        <w:tc>
          <w:tcPr>
            <w:tcW w:w="1977" w:type="dxa"/>
            <w:vAlign w:val="top"/>
          </w:tcPr>
          <w:p>
            <w:pPr>
              <w:pStyle w:val="TableText"/>
              <w:ind w:left="261"/>
              <w:spacing w:before="236" w:line="219" w:lineRule="auto"/>
              <w:rPr/>
            </w:pPr>
            <w:r>
              <w:rPr>
                <w:spacing w:val="7"/>
              </w:rPr>
              <w:t>Q7:数据治理在创造、</w:t>
            </w:r>
          </w:p>
          <w:p>
            <w:pPr>
              <w:pStyle w:val="TableText"/>
              <w:ind w:left="122" w:right="90" w:hanging="40"/>
              <w:spacing w:before="82" w:line="281" w:lineRule="auto"/>
              <w:rPr/>
            </w:pPr>
            <w:r>
              <w:rPr>
                <w:spacing w:val="-1"/>
              </w:rPr>
              <w:t>批准、管理和更新业务词汇</w:t>
            </w:r>
            <w:r>
              <w:rPr>
                <w:spacing w:val="5"/>
              </w:rPr>
              <w:t xml:space="preserve"> </w:t>
            </w:r>
            <w:r>
              <w:rPr>
                <w:spacing w:val="-1"/>
              </w:rPr>
              <w:t>方面扮演了什么角色</w:t>
            </w:r>
          </w:p>
        </w:tc>
        <w:tc>
          <w:tcPr>
            <w:tcW w:w="2187" w:type="dxa"/>
            <w:vAlign w:val="top"/>
          </w:tcPr>
          <w:p>
            <w:pPr>
              <w:spacing w:line="434" w:lineRule="auto"/>
              <w:rPr>
                <w:rFonts w:ascii="Arial"/>
                <w:sz w:val="21"/>
              </w:rPr>
            </w:pPr>
            <w:r/>
          </w:p>
          <w:p>
            <w:pPr>
              <w:pStyle w:val="TableText"/>
              <w:ind w:left="274"/>
              <w:spacing w:before="49" w:line="219" w:lineRule="auto"/>
              <w:rPr/>
            </w:pPr>
            <w:r>
              <w:rPr>
                <w:spacing w:val="-1"/>
              </w:rPr>
              <w:t>M12:业务词汇表一致性</w:t>
            </w:r>
          </w:p>
        </w:tc>
        <w:tc>
          <w:tcPr>
            <w:tcW w:w="2162" w:type="dxa"/>
            <w:vAlign w:val="top"/>
          </w:tcPr>
          <w:p>
            <w:pPr>
              <w:pStyle w:val="TableText"/>
              <w:ind w:left="268"/>
              <w:spacing w:before="86" w:line="219" w:lineRule="auto"/>
              <w:rPr/>
            </w:pPr>
            <w:r>
              <w:rPr>
                <w:spacing w:val="-1"/>
              </w:rPr>
              <w:t>应当在组织级以上的层面</w:t>
            </w:r>
          </w:p>
          <w:p>
            <w:pPr>
              <w:pStyle w:val="TableText"/>
              <w:ind w:left="117" w:right="100" w:hanging="9"/>
              <w:spacing w:before="101" w:line="270" w:lineRule="auto"/>
              <w:rPr/>
            </w:pPr>
            <w:r>
              <w:rPr>
                <w:spacing w:val="-1"/>
              </w:rPr>
              <w:t>开展云端数据治理，治理的前</w:t>
            </w:r>
            <w:r>
              <w:rPr>
                <w:spacing w:val="5"/>
              </w:rPr>
              <w:t xml:space="preserve"> </w:t>
            </w:r>
            <w:r>
              <w:rPr>
                <w:spacing w:val="-1"/>
              </w:rPr>
              <w:t>提是业务词汇的定义和描述</w:t>
            </w:r>
          </w:p>
          <w:p>
            <w:pPr>
              <w:pStyle w:val="TableText"/>
              <w:ind w:left="117"/>
              <w:spacing w:before="102" w:line="220" w:lineRule="auto"/>
              <w:rPr/>
            </w:pPr>
            <w:r>
              <w:rPr>
                <w:spacing w:val="1"/>
              </w:rPr>
              <w:t>的一致性</w:t>
            </w:r>
          </w:p>
        </w:tc>
      </w:tr>
    </w:tbl>
    <w:p>
      <w:pPr>
        <w:pStyle w:val="BodyText"/>
        <w:rPr/>
      </w:pPr>
      <w:r/>
    </w:p>
    <w:p>
      <w:pPr>
        <w:sectPr>
          <w:footerReference w:type="default" r:id="rId195"/>
          <w:pgSz w:w="8870" w:h="13400"/>
          <w:pgMar w:top="400" w:right="585" w:bottom="557" w:left="390" w:header="0" w:footer="349" w:gutter="0"/>
        </w:sectPr>
        <w:rPr/>
      </w:pPr>
    </w:p>
    <w:p>
      <w:pPr>
        <w:ind w:left="5468"/>
        <w:spacing w:before="194" w:line="219" w:lineRule="auto"/>
        <w:rPr>
          <w:rFonts w:ascii="SimSun" w:hAnsi="SimSun" w:eastAsia="SimSun" w:cs="SimSun"/>
          <w:sz w:val="21"/>
          <w:szCs w:val="21"/>
        </w:rPr>
      </w:pPr>
      <w:r>
        <w:rPr>
          <w:rFonts w:ascii="SimSun" w:hAnsi="SimSun" w:eastAsia="SimSun" w:cs="SimSun"/>
          <w:sz w:val="21"/>
          <w:szCs w:val="21"/>
          <w:b/>
          <w:bCs/>
          <w:spacing w:val="14"/>
        </w:rPr>
        <w:t>第5章■云端数据管理</w:t>
      </w:r>
    </w:p>
    <w:p>
      <w:pPr>
        <w:pStyle w:val="BodyText"/>
        <w:spacing w:line="314" w:lineRule="auto"/>
        <w:rPr/>
      </w:pPr>
      <w:r/>
    </w:p>
    <w:p>
      <w:pPr>
        <w:ind w:left="6827"/>
        <w:spacing w:before="55" w:line="217" w:lineRule="auto"/>
        <w:rPr>
          <w:rFonts w:ascii="SimSun" w:hAnsi="SimSun" w:eastAsia="SimSun" w:cs="SimSun"/>
          <w:sz w:val="17"/>
          <w:szCs w:val="17"/>
        </w:rPr>
      </w:pPr>
      <w:r>
        <w:rPr>
          <w:rFonts w:ascii="SimSun" w:hAnsi="SimSun" w:eastAsia="SimSun" w:cs="SimSun"/>
          <w:sz w:val="17"/>
          <w:szCs w:val="17"/>
          <w:b/>
          <w:bCs/>
          <w:spacing w:val="-4"/>
        </w:rPr>
        <w:t>续表</w:t>
      </w:r>
    </w:p>
    <w:tbl>
      <w:tblPr>
        <w:tblStyle w:val="TableNormal"/>
        <w:tblW w:w="759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4"/>
        <w:gridCol w:w="1977"/>
        <w:gridCol w:w="2187"/>
        <w:gridCol w:w="2172"/>
      </w:tblGrid>
      <w:tr>
        <w:trPr>
          <w:trHeight w:val="314" w:hRule="atLeast"/>
        </w:trPr>
        <w:tc>
          <w:tcPr>
            <w:tcW w:w="1254" w:type="dxa"/>
            <w:vAlign w:val="top"/>
          </w:tcPr>
          <w:p>
            <w:pPr>
              <w:pStyle w:val="TableText"/>
              <w:ind w:left="355"/>
              <w:spacing w:before="81" w:line="220" w:lineRule="auto"/>
              <w:rPr/>
            </w:pPr>
            <w:r>
              <w:rPr>
                <w:spacing w:val="-12"/>
              </w:rPr>
              <w:t>目    标</w:t>
            </w:r>
          </w:p>
        </w:tc>
        <w:tc>
          <w:tcPr>
            <w:tcW w:w="1977" w:type="dxa"/>
            <w:vAlign w:val="top"/>
          </w:tcPr>
          <w:p>
            <w:pPr>
              <w:pStyle w:val="TableText"/>
              <w:ind w:left="711"/>
              <w:spacing w:before="83" w:line="221" w:lineRule="auto"/>
              <w:rPr/>
            </w:pPr>
            <w:r>
              <w:rPr>
                <w:spacing w:val="-12"/>
              </w:rPr>
              <w:t>问</w:t>
            </w:r>
            <w:r>
              <w:rPr>
                <w:spacing w:val="13"/>
              </w:rPr>
              <w:t xml:space="preserve">   </w:t>
            </w:r>
            <w:r>
              <w:rPr>
                <w:spacing w:val="-12"/>
              </w:rPr>
              <w:t>题</w:t>
            </w:r>
          </w:p>
        </w:tc>
        <w:tc>
          <w:tcPr>
            <w:tcW w:w="2187" w:type="dxa"/>
            <w:vAlign w:val="top"/>
          </w:tcPr>
          <w:p>
            <w:pPr>
              <w:pStyle w:val="TableText"/>
              <w:ind w:left="704"/>
              <w:spacing w:before="81" w:line="220" w:lineRule="auto"/>
              <w:rPr/>
            </w:pPr>
            <w:r>
              <w:rPr>
                <w:spacing w:val="-4"/>
              </w:rPr>
              <w:t>度</w:t>
            </w:r>
            <w:r>
              <w:rPr>
                <w:spacing w:val="14"/>
              </w:rPr>
              <w:t xml:space="preserve">  </w:t>
            </w:r>
            <w:r>
              <w:rPr>
                <w:spacing w:val="-4"/>
              </w:rPr>
              <w:t>量</w:t>
            </w:r>
            <w:r>
              <w:rPr>
                <w:spacing w:val="15"/>
              </w:rPr>
              <w:t xml:space="preserve">  </w:t>
            </w:r>
            <w:r>
              <w:rPr>
                <w:spacing w:val="-4"/>
              </w:rPr>
              <w:t>项</w:t>
            </w:r>
          </w:p>
        </w:tc>
        <w:tc>
          <w:tcPr>
            <w:tcW w:w="2172" w:type="dxa"/>
            <w:vAlign w:val="top"/>
          </w:tcPr>
          <w:p>
            <w:pPr>
              <w:pStyle w:val="TableText"/>
              <w:ind w:left="716"/>
              <w:spacing w:before="81" w:line="219" w:lineRule="auto"/>
              <w:rPr/>
            </w:pPr>
            <w:r>
              <w:rPr>
                <w:spacing w:val="3"/>
              </w:rPr>
              <w:t>度量项说明</w:t>
            </w:r>
          </w:p>
        </w:tc>
      </w:tr>
      <w:tr>
        <w:trPr>
          <w:trHeight w:val="529" w:hRule="atLeast"/>
        </w:trPr>
        <w:tc>
          <w:tcPr>
            <w:tcW w:w="1254" w:type="dxa"/>
            <w:vAlign w:val="top"/>
            <w:vMerge w:val="restart"/>
            <w:tcBorders>
              <w:bottom w:val="nil"/>
            </w:tcBorders>
          </w:tcPr>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pStyle w:val="TableText"/>
              <w:ind w:left="95" w:right="86" w:firstLine="109"/>
              <w:spacing w:before="49" w:line="303" w:lineRule="auto"/>
              <w:rPr/>
            </w:pPr>
            <w:r>
              <w:rPr>
                <w:spacing w:val="-1"/>
              </w:rPr>
              <w:t>G6;随着新数</w:t>
            </w:r>
            <w:r>
              <w:rPr/>
              <w:t xml:space="preserve">   </w:t>
            </w:r>
            <w:r>
              <w:rPr>
                <w:spacing w:val="16"/>
              </w:rPr>
              <w:t>据要求和项目</w:t>
            </w:r>
            <w:r>
              <w:rPr/>
              <w:t xml:space="preserve">  </w:t>
            </w:r>
            <w:r>
              <w:rPr>
                <w:spacing w:val="1"/>
              </w:rPr>
              <w:t>的出现，合规和</w:t>
            </w:r>
            <w:r>
              <w:rPr>
                <w:spacing w:val="4"/>
              </w:rPr>
              <w:t xml:space="preserve"> </w:t>
            </w:r>
            <w:r>
              <w:rPr>
                <w:spacing w:val="10"/>
              </w:rPr>
              <w:t>执行过程确保</w:t>
            </w:r>
            <w:r>
              <w:rPr>
                <w:spacing w:val="1"/>
              </w:rPr>
              <w:t xml:space="preserve">  </w:t>
            </w:r>
            <w:r>
              <w:rPr>
                <w:spacing w:val="13"/>
              </w:rPr>
              <w:t>了业务词汇的</w:t>
            </w:r>
            <w:r>
              <w:rPr>
                <w:spacing w:val="1"/>
              </w:rPr>
              <w:t xml:space="preserve">  </w:t>
            </w:r>
            <w:r>
              <w:rPr>
                <w:spacing w:val="7"/>
              </w:rPr>
              <w:t>持续应用</w:t>
            </w:r>
          </w:p>
        </w:tc>
        <w:tc>
          <w:tcPr>
            <w:tcW w:w="1977"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61"/>
              <w:spacing w:before="49" w:line="220" w:lineRule="auto"/>
              <w:rPr/>
            </w:pPr>
            <w:r>
              <w:rPr>
                <w:spacing w:val="-1"/>
              </w:rPr>
              <w:t>Q8:是否实施了合规过</w:t>
            </w:r>
          </w:p>
          <w:p>
            <w:pPr>
              <w:pStyle w:val="TableText"/>
              <w:ind w:left="120" w:right="137" w:firstLine="30"/>
              <w:spacing w:before="79" w:line="264" w:lineRule="auto"/>
              <w:rPr/>
            </w:pPr>
            <w:r>
              <w:rPr>
                <w:spacing w:val="2"/>
              </w:rPr>
              <w:t>程来确保业务单元和项目</w:t>
            </w:r>
            <w:r>
              <w:rPr>
                <w:spacing w:val="5"/>
              </w:rPr>
              <w:t xml:space="preserve"> </w:t>
            </w:r>
            <w:r>
              <w:rPr>
                <w:spacing w:val="-1"/>
              </w:rPr>
              <w:t>正确使用了业务词汇</w:t>
            </w:r>
          </w:p>
        </w:tc>
        <w:tc>
          <w:tcPr>
            <w:tcW w:w="2187" w:type="dxa"/>
            <w:vAlign w:val="top"/>
          </w:tcPr>
          <w:p>
            <w:pPr>
              <w:pStyle w:val="TableText"/>
              <w:ind w:left="234"/>
              <w:spacing w:before="187" w:line="219" w:lineRule="auto"/>
              <w:rPr/>
            </w:pPr>
            <w:r>
              <w:rPr>
                <w:spacing w:val="-1"/>
              </w:rPr>
              <w:t>M13:业务词汇转换规则</w:t>
            </w:r>
          </w:p>
        </w:tc>
        <w:tc>
          <w:tcPr>
            <w:tcW w:w="2172" w:type="dxa"/>
            <w:vAlign w:val="top"/>
          </w:tcPr>
          <w:p>
            <w:pPr>
              <w:pStyle w:val="TableText"/>
              <w:ind w:left="117" w:right="102" w:firstLine="149"/>
              <w:spacing w:before="56" w:line="277" w:lineRule="auto"/>
              <w:rPr/>
            </w:pPr>
            <w:r>
              <w:rPr>
                <w:spacing w:val="-1"/>
              </w:rPr>
              <w:t>组织应形成机制，推动业务</w:t>
            </w:r>
            <w:r>
              <w:rPr>
                <w:spacing w:val="3"/>
              </w:rPr>
              <w:t xml:space="preserve"> </w:t>
            </w:r>
            <w:r>
              <w:rPr>
                <w:spacing w:val="-1"/>
              </w:rPr>
              <w:t>词汇定义的流程化和细化</w:t>
            </w:r>
          </w:p>
        </w:tc>
      </w:tr>
      <w:tr>
        <w:trPr>
          <w:trHeight w:val="778" w:hRule="atLeast"/>
        </w:trPr>
        <w:tc>
          <w:tcPr>
            <w:tcW w:w="1254" w:type="dxa"/>
            <w:vAlign w:val="top"/>
            <w:vMerge w:val="continue"/>
            <w:tcBorders>
              <w:top w:val="nil"/>
              <w:bottom w:val="nil"/>
            </w:tcBorders>
          </w:tcPr>
          <w:p>
            <w:pPr>
              <w:rPr>
                <w:rFonts w:ascii="Arial"/>
                <w:sz w:val="21"/>
              </w:rPr>
            </w:pPr>
            <w:r/>
          </w:p>
        </w:tc>
        <w:tc>
          <w:tcPr>
            <w:tcW w:w="1977" w:type="dxa"/>
            <w:vAlign w:val="top"/>
            <w:vMerge w:val="continue"/>
            <w:tcBorders>
              <w:top w:val="nil"/>
              <w:bottom w:val="nil"/>
            </w:tcBorders>
          </w:tcPr>
          <w:p>
            <w:pPr>
              <w:rPr>
                <w:rFonts w:ascii="Arial"/>
                <w:sz w:val="21"/>
              </w:rPr>
            </w:pPr>
            <w:r/>
          </w:p>
        </w:tc>
        <w:tc>
          <w:tcPr>
            <w:tcW w:w="2187" w:type="dxa"/>
            <w:vAlign w:val="top"/>
          </w:tcPr>
          <w:p>
            <w:pPr>
              <w:spacing w:line="267" w:lineRule="auto"/>
              <w:rPr>
                <w:rFonts w:ascii="Arial"/>
                <w:sz w:val="21"/>
              </w:rPr>
            </w:pPr>
            <w:r/>
          </w:p>
          <w:p>
            <w:pPr>
              <w:pStyle w:val="TableText"/>
              <w:ind w:left="234"/>
              <w:spacing w:before="49" w:line="219" w:lineRule="auto"/>
              <w:rPr/>
            </w:pPr>
            <w:r>
              <w:rPr>
                <w:spacing w:val="-1"/>
              </w:rPr>
              <w:t>M14:完整性校验</w:t>
            </w:r>
          </w:p>
        </w:tc>
        <w:tc>
          <w:tcPr>
            <w:tcW w:w="2172" w:type="dxa"/>
            <w:vAlign w:val="top"/>
          </w:tcPr>
          <w:p>
            <w:pPr>
              <w:pStyle w:val="TableText"/>
              <w:ind w:left="247"/>
              <w:spacing w:before="58" w:line="219" w:lineRule="auto"/>
              <w:rPr/>
            </w:pPr>
            <w:r>
              <w:rPr>
                <w:spacing w:val="-1"/>
              </w:rPr>
              <w:t>对于组织建立的业务词汇</w:t>
            </w:r>
          </w:p>
          <w:p>
            <w:pPr>
              <w:pStyle w:val="TableText"/>
              <w:ind w:left="107" w:right="100" w:firstLine="10"/>
              <w:spacing w:before="90" w:line="271" w:lineRule="auto"/>
              <w:rPr/>
            </w:pPr>
            <w:r>
              <w:rPr>
                <w:spacing w:val="-1"/>
              </w:rPr>
              <w:t>表，通过量化度量来评价其完</w:t>
            </w:r>
            <w:r>
              <w:rPr>
                <w:spacing w:val="6"/>
              </w:rPr>
              <w:t xml:space="preserve"> </w:t>
            </w:r>
            <w:r>
              <w:rPr>
                <w:spacing w:val="-2"/>
              </w:rPr>
              <w:t>整程度</w:t>
            </w:r>
          </w:p>
        </w:tc>
      </w:tr>
      <w:tr>
        <w:trPr>
          <w:trHeight w:val="789" w:hRule="atLeast"/>
        </w:trPr>
        <w:tc>
          <w:tcPr>
            <w:tcW w:w="1254" w:type="dxa"/>
            <w:vAlign w:val="top"/>
            <w:vMerge w:val="continue"/>
            <w:tcBorders>
              <w:top w:val="nil"/>
              <w:bottom w:val="nil"/>
            </w:tcBorders>
          </w:tcPr>
          <w:p>
            <w:pPr>
              <w:rPr>
                <w:rFonts w:ascii="Arial"/>
                <w:sz w:val="21"/>
              </w:rPr>
            </w:pPr>
            <w:r/>
          </w:p>
        </w:tc>
        <w:tc>
          <w:tcPr>
            <w:tcW w:w="1977" w:type="dxa"/>
            <w:vAlign w:val="top"/>
            <w:vMerge w:val="continue"/>
            <w:tcBorders>
              <w:top w:val="nil"/>
              <w:bottom w:val="nil"/>
            </w:tcBorders>
          </w:tcPr>
          <w:p>
            <w:pPr>
              <w:rPr>
                <w:rFonts w:ascii="Arial"/>
                <w:sz w:val="21"/>
              </w:rPr>
            </w:pPr>
            <w:r/>
          </w:p>
        </w:tc>
        <w:tc>
          <w:tcPr>
            <w:tcW w:w="2187" w:type="dxa"/>
            <w:vAlign w:val="top"/>
          </w:tcPr>
          <w:p>
            <w:pPr>
              <w:spacing w:line="269" w:lineRule="auto"/>
              <w:rPr>
                <w:rFonts w:ascii="Arial"/>
                <w:sz w:val="21"/>
              </w:rPr>
            </w:pPr>
            <w:r/>
          </w:p>
          <w:p>
            <w:pPr>
              <w:pStyle w:val="TableText"/>
              <w:ind w:left="234"/>
              <w:spacing w:before="49" w:line="219" w:lineRule="auto"/>
              <w:rPr/>
            </w:pPr>
            <w:r>
              <w:rPr>
                <w:spacing w:val="-1"/>
              </w:rPr>
              <w:t>M15:使用一致性</w:t>
            </w:r>
          </w:p>
        </w:tc>
        <w:tc>
          <w:tcPr>
            <w:tcW w:w="2172" w:type="dxa"/>
            <w:vAlign w:val="top"/>
          </w:tcPr>
          <w:p>
            <w:pPr>
              <w:pStyle w:val="TableText"/>
              <w:ind w:left="256"/>
              <w:spacing w:before="70" w:line="219" w:lineRule="auto"/>
              <w:rPr/>
            </w:pPr>
            <w:r>
              <w:rPr>
                <w:spacing w:val="-1"/>
              </w:rPr>
              <w:t>对于业务词汇通过监督过</w:t>
            </w:r>
          </w:p>
          <w:p>
            <w:pPr>
              <w:pStyle w:val="TableText"/>
              <w:ind w:left="117" w:right="100"/>
              <w:spacing w:before="71" w:line="270" w:lineRule="auto"/>
              <w:rPr/>
            </w:pPr>
            <w:r>
              <w:rPr>
                <w:spacing w:val="-1"/>
              </w:rPr>
              <w:t>程来确保其正式使用，并针对</w:t>
            </w:r>
            <w:r>
              <w:rPr>
                <w:spacing w:val="6"/>
              </w:rPr>
              <w:t xml:space="preserve"> </w:t>
            </w:r>
            <w:r>
              <w:rPr>
                <w:spacing w:val="-1"/>
              </w:rPr>
              <w:t>不合规的使用进行处理</w:t>
            </w:r>
          </w:p>
        </w:tc>
      </w:tr>
      <w:tr>
        <w:trPr>
          <w:trHeight w:val="1048" w:hRule="atLeast"/>
        </w:trPr>
        <w:tc>
          <w:tcPr>
            <w:tcW w:w="1254" w:type="dxa"/>
            <w:vAlign w:val="top"/>
            <w:vMerge w:val="continue"/>
            <w:tcBorders>
              <w:top w:val="nil"/>
              <w:bottom w:val="nil"/>
            </w:tcBorders>
          </w:tcPr>
          <w:p>
            <w:pPr>
              <w:rPr>
                <w:rFonts w:ascii="Arial"/>
                <w:sz w:val="21"/>
              </w:rPr>
            </w:pPr>
            <w:r/>
          </w:p>
        </w:tc>
        <w:tc>
          <w:tcPr>
            <w:tcW w:w="1977" w:type="dxa"/>
            <w:vAlign w:val="top"/>
            <w:vMerge w:val="continue"/>
            <w:tcBorders>
              <w:top w:val="nil"/>
              <w:bottom w:val="nil"/>
            </w:tcBorders>
          </w:tcPr>
          <w:p>
            <w:pPr>
              <w:rPr>
                <w:rFonts w:ascii="Arial"/>
                <w:sz w:val="21"/>
              </w:rPr>
            </w:pPr>
            <w:r/>
          </w:p>
        </w:tc>
        <w:tc>
          <w:tcPr>
            <w:tcW w:w="2187" w:type="dxa"/>
            <w:vAlign w:val="top"/>
          </w:tcPr>
          <w:p>
            <w:pPr>
              <w:spacing w:line="400" w:lineRule="auto"/>
              <w:rPr>
                <w:rFonts w:ascii="Arial"/>
                <w:sz w:val="21"/>
              </w:rPr>
            </w:pPr>
            <w:r/>
          </w:p>
          <w:p>
            <w:pPr>
              <w:pStyle w:val="TableText"/>
              <w:ind w:left="234"/>
              <w:spacing w:before="48" w:line="219" w:lineRule="auto"/>
              <w:rPr/>
            </w:pPr>
            <w:r>
              <w:rPr>
                <w:spacing w:val="-1"/>
              </w:rPr>
              <w:t>M16:访问权限控制</w:t>
            </w:r>
          </w:p>
        </w:tc>
        <w:tc>
          <w:tcPr>
            <w:tcW w:w="2172" w:type="dxa"/>
            <w:vAlign w:val="top"/>
          </w:tcPr>
          <w:p>
            <w:pPr>
              <w:pStyle w:val="TableText"/>
              <w:ind w:left="117" w:right="100" w:firstLine="149"/>
              <w:spacing w:before="50" w:line="301" w:lineRule="auto"/>
              <w:rPr/>
            </w:pPr>
            <w:r>
              <w:rPr>
                <w:spacing w:val="-1"/>
              </w:rPr>
              <w:t>业务词汇表作为元数据库</w:t>
            </w:r>
            <w:r>
              <w:rPr>
                <w:spacing w:val="1"/>
              </w:rPr>
              <w:t xml:space="preserve">   </w:t>
            </w:r>
            <w:r>
              <w:rPr>
                <w:spacing w:val="-1"/>
              </w:rPr>
              <w:t>的组成部分需要被集成使用，</w:t>
            </w:r>
            <w:r>
              <w:rPr>
                <w:spacing w:val="6"/>
              </w:rPr>
              <w:t xml:space="preserve"> </w:t>
            </w:r>
            <w:r>
              <w:rPr/>
              <w:t>并且针对不同的业务应用进   </w:t>
            </w:r>
            <w:r>
              <w:rPr>
                <w:spacing w:val="-2"/>
              </w:rPr>
              <w:t>行分级管理</w:t>
            </w:r>
          </w:p>
        </w:tc>
      </w:tr>
      <w:tr>
        <w:trPr>
          <w:trHeight w:val="529" w:hRule="atLeast"/>
        </w:trPr>
        <w:tc>
          <w:tcPr>
            <w:tcW w:w="1254"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2187" w:type="dxa"/>
            <w:vAlign w:val="top"/>
          </w:tcPr>
          <w:p>
            <w:pPr>
              <w:pStyle w:val="TableText"/>
              <w:ind w:left="234"/>
              <w:spacing w:before="193" w:line="219" w:lineRule="auto"/>
              <w:rPr/>
            </w:pPr>
            <w:r>
              <w:rPr>
                <w:spacing w:val="-1"/>
              </w:rPr>
              <w:t>M17:优化技术</w:t>
            </w:r>
          </w:p>
        </w:tc>
        <w:tc>
          <w:tcPr>
            <w:tcW w:w="2172" w:type="dxa"/>
            <w:vAlign w:val="top"/>
          </w:tcPr>
          <w:p>
            <w:pPr>
              <w:pStyle w:val="TableText"/>
              <w:ind w:left="117" w:right="90" w:firstLine="160"/>
              <w:spacing w:before="62" w:line="271" w:lineRule="auto"/>
              <w:rPr/>
            </w:pPr>
            <w:r>
              <w:rPr>
                <w:spacing w:val="-1"/>
              </w:rPr>
              <w:t>优化业务词汇表以精简、准</w:t>
            </w:r>
            <w:r>
              <w:rPr>
                <w:spacing w:val="5"/>
              </w:rPr>
              <w:t xml:space="preserve"> </w:t>
            </w:r>
            <w:r>
              <w:rPr>
                <w:spacing w:val="-1"/>
              </w:rPr>
              <w:t>确、全面表述和定义</w:t>
            </w:r>
          </w:p>
        </w:tc>
      </w:tr>
      <w:tr>
        <w:trPr>
          <w:trHeight w:val="1802" w:hRule="atLeast"/>
        </w:trPr>
        <w:tc>
          <w:tcPr>
            <w:tcW w:w="1254" w:type="dxa"/>
            <w:vAlign w:val="top"/>
          </w:tcPr>
          <w:p>
            <w:pPr>
              <w:pStyle w:val="TableText"/>
              <w:ind w:left="95" w:right="105" w:firstLine="109"/>
              <w:spacing w:before="53" w:line="304" w:lineRule="auto"/>
              <w:rPr/>
            </w:pPr>
            <w:r>
              <w:rPr>
                <w:spacing w:val="-1"/>
              </w:rPr>
              <w:t>G7:组织拥有</w:t>
            </w:r>
            <w:r>
              <w:rPr/>
              <w:t xml:space="preserve">  </w:t>
            </w:r>
            <w:r>
              <w:rPr>
                <w:spacing w:val="10"/>
              </w:rPr>
              <w:t>一个沟通计划</w:t>
            </w:r>
            <w:r>
              <w:rPr/>
              <w:t xml:space="preserve">  </w:t>
            </w:r>
            <w:r>
              <w:rPr>
                <w:spacing w:val="-1"/>
              </w:rPr>
              <w:t>和过程，持续反</w:t>
            </w:r>
            <w:r>
              <w:rPr/>
              <w:t xml:space="preserve"> </w:t>
            </w:r>
            <w:r>
              <w:rPr>
                <w:spacing w:val="10"/>
              </w:rPr>
              <w:t>馈词汇表对数</w:t>
            </w:r>
            <w:r>
              <w:rPr>
                <w:spacing w:val="1"/>
              </w:rPr>
              <w:t xml:space="preserve">  </w:t>
            </w:r>
            <w:r>
              <w:rPr>
                <w:spacing w:val="10"/>
              </w:rPr>
              <w:t>据使用者和其</w:t>
            </w:r>
            <w:r>
              <w:rPr>
                <w:spacing w:val="1"/>
              </w:rPr>
              <w:t xml:space="preserve">  </w:t>
            </w:r>
            <w:r>
              <w:rPr>
                <w:spacing w:val="10"/>
              </w:rPr>
              <w:t>他利益相关者</w:t>
            </w:r>
            <w:r>
              <w:rPr>
                <w:spacing w:val="1"/>
              </w:rPr>
              <w:t xml:space="preserve">  </w:t>
            </w:r>
            <w:r>
              <w:rPr>
                <w:spacing w:val="1"/>
              </w:rPr>
              <w:t>的帮助情况</w:t>
            </w:r>
          </w:p>
        </w:tc>
        <w:tc>
          <w:tcPr>
            <w:tcW w:w="1977" w:type="dxa"/>
            <w:vAlign w:val="top"/>
          </w:tcPr>
          <w:p>
            <w:pPr>
              <w:spacing w:line="393" w:lineRule="auto"/>
              <w:rPr>
                <w:rFonts w:ascii="Arial"/>
                <w:sz w:val="21"/>
              </w:rPr>
            </w:pPr>
            <w:r/>
          </w:p>
          <w:p>
            <w:pPr>
              <w:pStyle w:val="TableText"/>
              <w:ind w:left="91" w:right="171" w:firstLine="170"/>
              <w:spacing w:before="48" w:line="289" w:lineRule="auto"/>
              <w:rPr/>
            </w:pPr>
            <w:r>
              <w:rPr>
                <w:spacing w:val="-1"/>
              </w:rPr>
              <w:t>Q9:组织是否采用了一</w:t>
            </w:r>
            <w:r>
              <w:rPr>
                <w:spacing w:val="2"/>
              </w:rPr>
              <w:t xml:space="preserve">  </w:t>
            </w:r>
            <w:r>
              <w:rPr>
                <w:spacing w:val="4"/>
              </w:rPr>
              <w:t>个已定义的过程让利益相</w:t>
            </w:r>
            <w:r>
              <w:rPr>
                <w:spacing w:val="9"/>
              </w:rPr>
              <w:t xml:space="preserve"> </w:t>
            </w:r>
            <w:r>
              <w:rPr>
                <w:spacing w:val="4"/>
              </w:rPr>
              <w:t>关者提供关于业务词汇的</w:t>
            </w:r>
            <w:r>
              <w:rPr>
                <w:spacing w:val="6"/>
              </w:rPr>
              <w:t xml:space="preserve"> </w:t>
            </w:r>
            <w:r>
              <w:rPr>
                <w:spacing w:val="-2"/>
              </w:rPr>
              <w:t>反馈</w:t>
            </w:r>
          </w:p>
        </w:tc>
        <w:tc>
          <w:tcPr>
            <w:tcW w:w="2187" w:type="dxa"/>
            <w:vAlign w:val="top"/>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TableText"/>
              <w:ind w:left="234"/>
              <w:spacing w:before="49" w:line="219" w:lineRule="auto"/>
              <w:rPr/>
            </w:pPr>
            <w:r>
              <w:rPr>
                <w:spacing w:val="-1"/>
              </w:rPr>
              <w:t>M18:改进计划</w:t>
            </w:r>
          </w:p>
        </w:tc>
        <w:tc>
          <w:tcPr>
            <w:tcW w:w="2172" w:type="dxa"/>
            <w:vAlign w:val="top"/>
          </w:tcPr>
          <w:p>
            <w:pPr>
              <w:spacing w:line="393" w:lineRule="auto"/>
              <w:rPr>
                <w:rFonts w:ascii="Arial"/>
                <w:sz w:val="21"/>
              </w:rPr>
            </w:pPr>
            <w:r/>
          </w:p>
          <w:p>
            <w:pPr>
              <w:pStyle w:val="TableText"/>
              <w:ind w:left="277"/>
              <w:spacing w:before="48" w:line="219" w:lineRule="auto"/>
              <w:rPr/>
            </w:pPr>
            <w:r>
              <w:rPr>
                <w:spacing w:val="-1"/>
              </w:rPr>
              <w:t>对于业务词汇的管理过程</w:t>
            </w:r>
          </w:p>
          <w:p>
            <w:pPr>
              <w:pStyle w:val="TableText"/>
              <w:ind w:left="117" w:right="101"/>
              <w:spacing w:before="72" w:line="282" w:lineRule="auto"/>
              <w:rPr/>
            </w:pPr>
            <w:r>
              <w:rPr>
                <w:spacing w:val="-1"/>
              </w:rPr>
              <w:t>使用定量技术监控和优化，并</w:t>
            </w:r>
            <w:r>
              <w:rPr>
                <w:spacing w:val="5"/>
              </w:rPr>
              <w:t xml:space="preserve"> </w:t>
            </w:r>
            <w:r>
              <w:rPr/>
              <w:t>根据定量管理的分析结果向  </w:t>
            </w:r>
            <w:r>
              <w:rPr>
                <w:spacing w:val="-2"/>
              </w:rPr>
              <w:t>高层汇报</w:t>
            </w:r>
          </w:p>
        </w:tc>
      </w:tr>
    </w:tbl>
    <w:p>
      <w:pPr>
        <w:ind w:left="427"/>
        <w:spacing w:before="237" w:line="482" w:lineRule="exact"/>
        <w:rPr>
          <w:rFonts w:ascii="YouYuan" w:hAnsi="YouYuan" w:eastAsia="YouYuan" w:cs="YouYuan"/>
          <w:sz w:val="21"/>
          <w:szCs w:val="21"/>
        </w:rPr>
      </w:pPr>
      <w:r>
        <w:rPr>
          <w:rFonts w:ascii="YouYuan" w:hAnsi="YouYuan" w:eastAsia="YouYuan" w:cs="YouYuan"/>
          <w:sz w:val="21"/>
          <w:szCs w:val="21"/>
          <w:b/>
          <w:bCs/>
          <w:spacing w:val="3"/>
          <w:position w:val="20"/>
        </w:rPr>
        <w:t>3.</w:t>
      </w:r>
      <w:r>
        <w:rPr>
          <w:rFonts w:ascii="YouYuan" w:hAnsi="YouYuan" w:eastAsia="YouYuan" w:cs="YouYuan"/>
          <w:sz w:val="21"/>
          <w:szCs w:val="21"/>
          <w:spacing w:val="3"/>
          <w:position w:val="20"/>
        </w:rPr>
        <w:t xml:space="preserve"> </w:t>
      </w:r>
      <w:r>
        <w:rPr>
          <w:rFonts w:ascii="YouYuan" w:hAnsi="YouYuan" w:eastAsia="YouYuan" w:cs="YouYuan"/>
          <w:sz w:val="21"/>
          <w:szCs w:val="21"/>
          <w:b/>
          <w:bCs/>
          <w:spacing w:val="3"/>
          <w:position w:val="20"/>
        </w:rPr>
        <w:t>成熟度等级介绍</w:t>
      </w:r>
    </w:p>
    <w:p>
      <w:pPr>
        <w:ind w:left="424"/>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13"/>
        </w:rPr>
        <w:t xml:space="preserve">  </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b/>
          <w:bCs/>
          <w:spacing w:val="32"/>
          <w:w w:val="101"/>
        </w:rPr>
        <w:t xml:space="preserve"> </w:t>
      </w:r>
      <w:r>
        <w:rPr>
          <w:rFonts w:ascii="SimHei" w:hAnsi="SimHei" w:eastAsia="SimHei" w:cs="SimHei"/>
          <w:sz w:val="21"/>
          <w:szCs w:val="21"/>
          <w:b/>
          <w:bCs/>
          <w:spacing w:val="-3"/>
        </w:rPr>
        <w:t>初始级</w:t>
      </w:r>
    </w:p>
    <w:p>
      <w:pPr>
        <w:spacing w:line="129" w:lineRule="exact"/>
        <w:rPr/>
      </w:pPr>
      <w:r/>
    </w:p>
    <w:tbl>
      <w:tblPr>
        <w:tblStyle w:val="TableNormal"/>
        <w:tblW w:w="759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02" w:hRule="atLeast"/>
        </w:trPr>
        <w:tc>
          <w:tcPr>
            <w:tcW w:w="724" w:type="dxa"/>
            <w:vAlign w:val="top"/>
          </w:tcPr>
          <w:p>
            <w:pPr>
              <w:pStyle w:val="TableText"/>
              <w:ind w:left="195"/>
              <w:spacing w:before="72" w:line="221" w:lineRule="auto"/>
              <w:rPr>
                <w:sz w:val="16"/>
                <w:szCs w:val="16"/>
              </w:rPr>
            </w:pPr>
            <w:r>
              <w:rPr>
                <w:sz w:val="16"/>
                <w:szCs w:val="16"/>
                <w:spacing w:val="-2"/>
              </w:rPr>
              <w:t>序号</w:t>
            </w:r>
          </w:p>
        </w:tc>
        <w:tc>
          <w:tcPr>
            <w:tcW w:w="3125" w:type="dxa"/>
            <w:vAlign w:val="top"/>
          </w:tcPr>
          <w:p>
            <w:pPr>
              <w:pStyle w:val="TableText"/>
              <w:ind w:left="1140"/>
              <w:spacing w:before="71" w:line="219" w:lineRule="auto"/>
              <w:rPr>
                <w:sz w:val="16"/>
                <w:szCs w:val="16"/>
              </w:rPr>
            </w:pPr>
            <w:r>
              <w:rPr>
                <w:sz w:val="16"/>
                <w:szCs w:val="16"/>
                <w:spacing w:val="-4"/>
              </w:rPr>
              <w:t>等 级 要 求</w:t>
            </w:r>
          </w:p>
        </w:tc>
        <w:tc>
          <w:tcPr>
            <w:tcW w:w="3750" w:type="dxa"/>
            <w:vAlign w:val="top"/>
          </w:tcPr>
          <w:p>
            <w:pPr>
              <w:pStyle w:val="TableText"/>
              <w:ind w:left="1575"/>
              <w:spacing w:before="7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788" w:hRule="atLeast"/>
        </w:trPr>
        <w:tc>
          <w:tcPr>
            <w:tcW w:w="724" w:type="dxa"/>
            <w:vAlign w:val="top"/>
          </w:tcPr>
          <w:p>
            <w:pPr>
              <w:spacing w:line="306" w:lineRule="auto"/>
              <w:rPr>
                <w:rFonts w:ascii="Arial"/>
                <w:sz w:val="21"/>
              </w:rPr>
            </w:pPr>
            <w:r/>
          </w:p>
          <w:p>
            <w:pPr>
              <w:pStyle w:val="TableText"/>
              <w:ind w:left="235"/>
              <w:spacing w:before="52" w:line="184" w:lineRule="auto"/>
              <w:rPr>
                <w:sz w:val="16"/>
                <w:szCs w:val="16"/>
              </w:rPr>
            </w:pPr>
            <w:r>
              <w:rPr>
                <w:sz w:val="16"/>
                <w:szCs w:val="16"/>
                <w:spacing w:val="-5"/>
              </w:rPr>
              <w:t>1.1</w:t>
            </w:r>
          </w:p>
        </w:tc>
        <w:tc>
          <w:tcPr>
            <w:tcW w:w="3125" w:type="dxa"/>
            <w:vAlign w:val="top"/>
          </w:tcPr>
          <w:p>
            <w:pPr>
              <w:spacing w:line="265" w:lineRule="auto"/>
              <w:rPr>
                <w:rFonts w:ascii="Arial"/>
                <w:sz w:val="21"/>
              </w:rPr>
            </w:pPr>
            <w:r/>
          </w:p>
          <w:p>
            <w:pPr>
              <w:pStyle w:val="TableText"/>
              <w:ind w:left="260"/>
              <w:spacing w:before="52" w:line="219" w:lineRule="auto"/>
              <w:rPr>
                <w:sz w:val="16"/>
                <w:szCs w:val="16"/>
              </w:rPr>
            </w:pPr>
            <w:r>
              <w:rPr>
                <w:sz w:val="16"/>
                <w:szCs w:val="16"/>
                <w:spacing w:val="-1"/>
              </w:rPr>
              <w:t>根据特定用途定义业务词汇</w:t>
            </w:r>
          </w:p>
        </w:tc>
        <w:tc>
          <w:tcPr>
            <w:tcW w:w="3750" w:type="dxa"/>
            <w:vAlign w:val="top"/>
          </w:tcPr>
          <w:p>
            <w:pPr>
              <w:pStyle w:val="TableText"/>
              <w:ind w:left="275"/>
              <w:spacing w:before="69" w:line="219" w:lineRule="auto"/>
              <w:rPr>
                <w:sz w:val="16"/>
                <w:szCs w:val="16"/>
              </w:rPr>
            </w:pPr>
            <w:r>
              <w:rPr>
                <w:sz w:val="16"/>
                <w:szCs w:val="16"/>
              </w:rPr>
              <w:t>●业务场景描述</w:t>
            </w:r>
          </w:p>
          <w:p>
            <w:pPr>
              <w:pStyle w:val="TableText"/>
              <w:ind w:left="275"/>
              <w:spacing w:before="60" w:line="219" w:lineRule="auto"/>
              <w:rPr>
                <w:sz w:val="16"/>
                <w:szCs w:val="16"/>
              </w:rPr>
            </w:pPr>
            <w:r>
              <w:rPr>
                <w:sz w:val="16"/>
                <w:szCs w:val="16"/>
              </w:rPr>
              <w:t>●业务词汇需求分析</w:t>
            </w:r>
          </w:p>
          <w:p>
            <w:pPr>
              <w:pStyle w:val="TableText"/>
              <w:ind w:left="275"/>
              <w:spacing w:before="79" w:line="218" w:lineRule="auto"/>
              <w:rPr>
                <w:sz w:val="16"/>
                <w:szCs w:val="16"/>
              </w:rPr>
            </w:pPr>
            <w:r>
              <w:rPr>
                <w:sz w:val="16"/>
                <w:szCs w:val="16"/>
                <w:spacing w:val="3"/>
              </w:rPr>
              <w:t>●业务词汇定义(表)</w:t>
            </w:r>
          </w:p>
        </w:tc>
      </w:tr>
    </w:tbl>
    <w:p>
      <w:pPr>
        <w:ind w:left="31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424"/>
        <w:spacing w:before="80" w:line="219" w:lineRule="auto"/>
        <w:rPr>
          <w:rFonts w:ascii="SimSun" w:hAnsi="SimSun" w:eastAsia="SimSun" w:cs="SimSun"/>
          <w:sz w:val="21"/>
          <w:szCs w:val="21"/>
        </w:rPr>
      </w:pPr>
      <w:r>
        <w:rPr>
          <w:rFonts w:ascii="SimSun" w:hAnsi="SimSun" w:eastAsia="SimSun" w:cs="SimSun"/>
          <w:sz w:val="21"/>
          <w:szCs w:val="21"/>
          <w:spacing w:val="-2"/>
        </w:rPr>
        <w:t>业务词汇定义可能供项目开发使用或者供外部发布使用。</w:t>
      </w:r>
    </w:p>
    <w:p>
      <w:pPr>
        <w:ind w:left="25" w:right="186" w:firstLine="399"/>
        <w:spacing w:before="61" w:line="246" w:lineRule="auto"/>
        <w:rPr>
          <w:rFonts w:ascii="SimSun" w:hAnsi="SimSun" w:eastAsia="SimSun" w:cs="SimSun"/>
          <w:sz w:val="21"/>
          <w:szCs w:val="21"/>
        </w:rPr>
      </w:pPr>
      <w:r>
        <w:rPr>
          <w:rFonts w:ascii="SimSun" w:hAnsi="SimSun" w:eastAsia="SimSun" w:cs="SimSun"/>
          <w:sz w:val="21"/>
          <w:szCs w:val="21"/>
          <w:spacing w:val="-9"/>
        </w:rPr>
        <w:t>业务词汇可能在开发项目的文档中得到定义。部分词汇表仅供特定业务范围使用；</w:t>
      </w:r>
      <w:r>
        <w:rPr>
          <w:rFonts w:ascii="SimSun" w:hAnsi="SimSun" w:eastAsia="SimSun" w:cs="SimSun"/>
          <w:sz w:val="21"/>
          <w:szCs w:val="21"/>
          <w:spacing w:val="17"/>
        </w:rPr>
        <w:t xml:space="preserve"> </w:t>
      </w:r>
      <w:r>
        <w:rPr>
          <w:rFonts w:ascii="SimSun" w:hAnsi="SimSun" w:eastAsia="SimSun" w:cs="SimSun"/>
          <w:sz w:val="21"/>
          <w:szCs w:val="21"/>
          <w:spacing w:val="-6"/>
        </w:rPr>
        <w:t>针对某一业务制订的词汇表中可能包含与其他业务相互重叠或冲突的词汇和定义。</w:t>
      </w:r>
    </w:p>
    <w:p>
      <w:pPr>
        <w:spacing w:line="118" w:lineRule="exact"/>
        <w:rPr/>
      </w:pPr>
      <w:r/>
    </w:p>
    <w:tbl>
      <w:tblPr>
        <w:tblStyle w:val="TableNormal"/>
        <w:tblW w:w="7599"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25"/>
        <w:gridCol w:w="3760"/>
      </w:tblGrid>
      <w:tr>
        <w:trPr>
          <w:trHeight w:val="313"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25" w:type="dxa"/>
            <w:vAlign w:val="top"/>
          </w:tcPr>
          <w:p>
            <w:pPr>
              <w:pStyle w:val="TableText"/>
              <w:ind w:left="1150"/>
              <w:spacing w:before="81" w:line="219" w:lineRule="auto"/>
              <w:rPr>
                <w:sz w:val="16"/>
                <w:szCs w:val="16"/>
              </w:rPr>
            </w:pPr>
            <w:r>
              <w:rPr>
                <w:sz w:val="16"/>
                <w:szCs w:val="16"/>
                <w:spacing w:val="-4"/>
              </w:rPr>
              <w:t>等 级 要 求</w:t>
            </w:r>
          </w:p>
        </w:tc>
        <w:tc>
          <w:tcPr>
            <w:tcW w:w="376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037" w:hRule="atLeast"/>
        </w:trPr>
        <w:tc>
          <w:tcPr>
            <w:tcW w:w="714" w:type="dxa"/>
            <w:vAlign w:val="top"/>
          </w:tcPr>
          <w:p>
            <w:pPr>
              <w:spacing w:line="424" w:lineRule="auto"/>
              <w:rPr>
                <w:rFonts w:ascii="Arial"/>
                <w:sz w:val="21"/>
              </w:rPr>
            </w:pPr>
            <w:r/>
          </w:p>
          <w:p>
            <w:pPr>
              <w:pStyle w:val="TableText"/>
              <w:ind w:left="224"/>
              <w:spacing w:before="52" w:line="184" w:lineRule="auto"/>
              <w:rPr>
                <w:sz w:val="16"/>
                <w:szCs w:val="16"/>
              </w:rPr>
            </w:pPr>
            <w:r>
              <w:rPr>
                <w:sz w:val="16"/>
                <w:szCs w:val="16"/>
                <w:spacing w:val="-5"/>
              </w:rPr>
              <w:t>1.2</w:t>
            </w:r>
          </w:p>
        </w:tc>
        <w:tc>
          <w:tcPr>
            <w:tcW w:w="3125" w:type="dxa"/>
            <w:vAlign w:val="top"/>
          </w:tcPr>
          <w:p>
            <w:pPr>
              <w:spacing w:line="264" w:lineRule="auto"/>
              <w:rPr>
                <w:rFonts w:ascii="Arial"/>
                <w:sz w:val="21"/>
              </w:rPr>
            </w:pPr>
            <w:r/>
          </w:p>
          <w:p>
            <w:pPr>
              <w:pStyle w:val="TableText"/>
              <w:ind w:left="101" w:firstLine="169"/>
              <w:spacing w:before="52" w:line="254" w:lineRule="auto"/>
              <w:rPr>
                <w:sz w:val="16"/>
                <w:szCs w:val="16"/>
              </w:rPr>
            </w:pPr>
            <w:r>
              <w:rPr>
                <w:sz w:val="16"/>
                <w:szCs w:val="16"/>
                <w:spacing w:val="-2"/>
              </w:rPr>
              <w:t>参考经认可的已定义业务词汇创建逻辑数</w:t>
            </w:r>
            <w:r>
              <w:rPr>
                <w:sz w:val="16"/>
                <w:szCs w:val="16"/>
              </w:rPr>
              <w:t xml:space="preserve"> </w:t>
            </w:r>
            <w:r>
              <w:rPr>
                <w:sz w:val="16"/>
                <w:szCs w:val="16"/>
                <w:spacing w:val="-2"/>
              </w:rPr>
              <w:t>据模型</w:t>
            </w:r>
          </w:p>
        </w:tc>
        <w:tc>
          <w:tcPr>
            <w:tcW w:w="3760" w:type="dxa"/>
            <w:vAlign w:val="top"/>
          </w:tcPr>
          <w:p>
            <w:pPr>
              <w:pStyle w:val="TableText"/>
              <w:ind w:left="255"/>
              <w:spacing w:before="59" w:line="220" w:lineRule="auto"/>
              <w:rPr>
                <w:sz w:val="16"/>
                <w:szCs w:val="16"/>
              </w:rPr>
            </w:pPr>
            <w:r>
              <w:rPr>
                <w:sz w:val="16"/>
                <w:szCs w:val="16"/>
                <w:spacing w:val="1"/>
              </w:rPr>
              <w:t>●标准词汇与定义</w:t>
            </w:r>
          </w:p>
          <w:p>
            <w:pPr>
              <w:pStyle w:val="TableText"/>
              <w:ind w:left="255"/>
              <w:spacing w:before="68" w:line="219" w:lineRule="auto"/>
              <w:rPr>
                <w:sz w:val="16"/>
                <w:szCs w:val="16"/>
              </w:rPr>
            </w:pPr>
            <w:r>
              <w:rPr>
                <w:sz w:val="16"/>
                <w:szCs w:val="16"/>
                <w:spacing w:val="3"/>
              </w:rPr>
              <w:t>●业务词汇定义(表)</w:t>
            </w:r>
          </w:p>
          <w:p>
            <w:pPr>
              <w:pStyle w:val="TableText"/>
              <w:ind w:left="255"/>
              <w:spacing w:before="80" w:line="219" w:lineRule="auto"/>
              <w:rPr>
                <w:sz w:val="16"/>
                <w:szCs w:val="16"/>
              </w:rPr>
            </w:pPr>
            <w:r>
              <w:rPr>
                <w:sz w:val="16"/>
                <w:szCs w:val="16"/>
              </w:rPr>
              <w:t>●业务词汇评审记录</w:t>
            </w:r>
          </w:p>
          <w:p>
            <w:pPr>
              <w:pStyle w:val="TableText"/>
              <w:ind w:left="255"/>
              <w:spacing w:before="69" w:line="206" w:lineRule="auto"/>
              <w:rPr>
                <w:sz w:val="16"/>
                <w:szCs w:val="16"/>
              </w:rPr>
            </w:pPr>
            <w:r>
              <w:rPr>
                <w:sz w:val="16"/>
                <w:szCs w:val="16"/>
                <w:spacing w:val="1"/>
              </w:rPr>
              <w:t>●逻辑数据模型</w:t>
            </w:r>
          </w:p>
        </w:tc>
      </w:tr>
    </w:tbl>
    <w:p>
      <w:pPr>
        <w:pStyle w:val="BodyText"/>
        <w:rPr/>
      </w:pPr>
      <w:r/>
    </w:p>
    <w:p>
      <w:pPr>
        <w:sectPr>
          <w:footerReference w:type="default" r:id="rId197"/>
          <w:pgSz w:w="8870" w:h="13400"/>
          <w:pgMar w:top="400" w:right="599" w:bottom="547" w:left="404" w:header="0" w:footer="338" w:gutter="0"/>
        </w:sectPr>
        <w:rPr/>
      </w:pPr>
    </w:p>
    <w:p>
      <w:pPr>
        <w:ind w:left="212"/>
        <w:spacing w:before="235" w:line="219" w:lineRule="auto"/>
        <w:rPr>
          <w:rFonts w:ascii="SimSun" w:hAnsi="SimSun" w:eastAsia="SimSun" w:cs="SimSun"/>
          <w:sz w:val="21"/>
          <w:szCs w:val="21"/>
        </w:rPr>
      </w:pPr>
      <w:r>
        <w:pict>
          <v:rect id="_x0000_s332" style="position:absolute;margin-left:25.998pt;margin-top:27.9993pt;mso-position-vertical-relative:page;mso-position-horizontal-relative:page;width:0.55pt;height:18.05pt;z-index:253788160;" o:allowincell="f" fillcolor="#000000" filled="true" stroked="false"/>
        </w:pict>
      </w:r>
      <w:r>
        <w:rPr>
          <w:rFonts w:ascii="SimSun" w:hAnsi="SimSun" w:eastAsia="SimSun" w:cs="SimSun"/>
          <w:sz w:val="21"/>
          <w:szCs w:val="21"/>
          <w:b/>
          <w:bCs/>
          <w:spacing w:val="-28"/>
        </w:rPr>
        <w:t>■云端数据治理■</w:t>
      </w:r>
    </w:p>
    <w:p>
      <w:pPr>
        <w:pStyle w:val="BodyText"/>
        <w:spacing w:line="253" w:lineRule="auto"/>
        <w:rPr/>
      </w:pPr>
      <w:r/>
    </w:p>
    <w:p>
      <w:pPr>
        <w:ind w:left="544"/>
        <w:spacing w:before="69" w:line="219" w:lineRule="auto"/>
        <w:rPr>
          <w:rFonts w:ascii="SimSun" w:hAnsi="SimSun" w:eastAsia="SimSun" w:cs="SimSun"/>
          <w:sz w:val="21"/>
          <w:szCs w:val="21"/>
        </w:rPr>
      </w:pPr>
      <w:r>
        <w:rPr>
          <w:rFonts w:ascii="SimSun" w:hAnsi="SimSun" w:eastAsia="SimSun" w:cs="SimSun"/>
          <w:sz w:val="21"/>
          <w:szCs w:val="21"/>
        </w:rPr>
        <w:t>【成熟度等级说明】</w:t>
      </w:r>
    </w:p>
    <w:p>
      <w:pPr>
        <w:ind w:left="210" w:right="68" w:firstLine="439"/>
        <w:spacing w:before="69" w:line="261" w:lineRule="auto"/>
        <w:rPr>
          <w:rFonts w:ascii="SimSun" w:hAnsi="SimSun" w:eastAsia="SimSun" w:cs="SimSun"/>
          <w:sz w:val="21"/>
          <w:szCs w:val="21"/>
        </w:rPr>
      </w:pPr>
      <w:r>
        <w:rPr>
          <w:rFonts w:ascii="SimSun" w:hAnsi="SimSun" w:eastAsia="SimSun" w:cs="SimSun"/>
          <w:sz w:val="21"/>
          <w:szCs w:val="21"/>
          <w:spacing w:val="1"/>
        </w:rPr>
        <w:t>如果存在经认可的标准业务词汇，则在衍生其他属性名称时应参考标准词汇。</w:t>
      </w:r>
      <w:r>
        <w:rPr>
          <w:rFonts w:ascii="SimSun" w:hAnsi="SimSun" w:eastAsia="SimSun" w:cs="SimSun"/>
          <w:sz w:val="21"/>
          <w:szCs w:val="21"/>
        </w:rPr>
        <w:t xml:space="preserve"> </w:t>
      </w:r>
      <w:r>
        <w:rPr>
          <w:rFonts w:ascii="SimSun" w:hAnsi="SimSun" w:eastAsia="SimSun" w:cs="SimSun"/>
          <w:sz w:val="21"/>
          <w:szCs w:val="21"/>
          <w:spacing w:val="2"/>
        </w:rPr>
        <w:t>每个项目在物理数据存储区实施该实践，可防止项</w:t>
      </w:r>
      <w:r>
        <w:rPr>
          <w:rFonts w:ascii="SimSun" w:hAnsi="SimSun" w:eastAsia="SimSun" w:cs="SimSun"/>
          <w:sz w:val="21"/>
          <w:szCs w:val="21"/>
          <w:spacing w:val="1"/>
        </w:rPr>
        <w:t>目独立创建非标准词汇，也满足</w:t>
      </w:r>
      <w:r>
        <w:rPr>
          <w:rFonts w:ascii="SimSun" w:hAnsi="SimSun" w:eastAsia="SimSun" w:cs="SimSun"/>
          <w:sz w:val="21"/>
          <w:szCs w:val="21"/>
        </w:rPr>
        <w:t xml:space="preserve"> </w:t>
      </w:r>
      <w:r>
        <w:rPr>
          <w:rFonts w:ascii="SimSun" w:hAnsi="SimSun" w:eastAsia="SimSun" w:cs="SimSun"/>
          <w:sz w:val="21"/>
          <w:szCs w:val="21"/>
          <w:spacing w:val="2"/>
        </w:rPr>
        <w:t>了阐明词汇并改进其业务使用的目的，而非增加复</w:t>
      </w:r>
      <w:r>
        <w:rPr>
          <w:rFonts w:ascii="SimSun" w:hAnsi="SimSun" w:eastAsia="SimSun" w:cs="SimSun"/>
          <w:sz w:val="21"/>
          <w:szCs w:val="21"/>
          <w:spacing w:val="1"/>
        </w:rPr>
        <w:t>杂性。业务词汇是描述实体相关</w:t>
      </w:r>
      <w:r>
        <w:rPr>
          <w:rFonts w:ascii="SimSun" w:hAnsi="SimSun" w:eastAsia="SimSun" w:cs="SimSun"/>
          <w:sz w:val="21"/>
          <w:szCs w:val="21"/>
        </w:rPr>
        <w:t xml:space="preserve"> </w:t>
      </w:r>
      <w:r>
        <w:rPr>
          <w:rFonts w:ascii="SimSun" w:hAnsi="SimSun" w:eastAsia="SimSun" w:cs="SimSun"/>
          <w:sz w:val="21"/>
          <w:szCs w:val="21"/>
          <w:spacing w:val="8"/>
        </w:rPr>
        <w:t>事实(属性)的基础，然而命名规则以及数据库设计</w:t>
      </w:r>
      <w:r>
        <w:rPr>
          <w:rFonts w:ascii="SimSun" w:hAnsi="SimSun" w:eastAsia="SimSun" w:cs="SimSun"/>
          <w:sz w:val="21"/>
          <w:szCs w:val="21"/>
          <w:spacing w:val="7"/>
        </w:rPr>
        <w:t>原则的不同可能会导致不同的</w:t>
      </w:r>
      <w:r>
        <w:rPr>
          <w:rFonts w:ascii="SimSun" w:hAnsi="SimSun" w:eastAsia="SimSun" w:cs="SimSun"/>
          <w:sz w:val="21"/>
          <w:szCs w:val="21"/>
        </w:rPr>
        <w:t xml:space="preserve"> </w:t>
      </w:r>
      <w:r>
        <w:rPr>
          <w:rFonts w:ascii="SimSun" w:hAnsi="SimSun" w:eastAsia="SimSun" w:cs="SimSun"/>
          <w:sz w:val="21"/>
          <w:szCs w:val="21"/>
          <w:spacing w:val="2"/>
        </w:rPr>
        <w:t>命名(例如，标准行业做法是每个属性名称都</w:t>
      </w:r>
      <w:r>
        <w:rPr>
          <w:rFonts w:ascii="SimSun" w:hAnsi="SimSun" w:eastAsia="SimSun" w:cs="SimSun"/>
          <w:sz w:val="21"/>
          <w:szCs w:val="21"/>
          <w:spacing w:val="1"/>
        </w:rPr>
        <w:t>以类单词结尾)。例如，描述公积金计</w:t>
      </w:r>
      <w:r>
        <w:rPr>
          <w:rFonts w:ascii="SimSun" w:hAnsi="SimSun" w:eastAsia="SimSun" w:cs="SimSun"/>
          <w:sz w:val="21"/>
          <w:szCs w:val="21"/>
        </w:rPr>
        <w:t xml:space="preserve"> </w:t>
      </w:r>
      <w:r>
        <w:rPr>
          <w:rFonts w:ascii="SimSun" w:hAnsi="SimSun" w:eastAsia="SimSun" w:cs="SimSun"/>
          <w:sz w:val="21"/>
          <w:szCs w:val="21"/>
        </w:rPr>
        <w:t>划的业务词汇可能是“日期：关于计划制订”</w:t>
      </w:r>
      <w:r>
        <w:rPr>
          <w:rFonts w:ascii="Times New Roman" w:hAnsi="Times New Roman" w:eastAsia="Times New Roman" w:cs="Times New Roman"/>
          <w:sz w:val="21"/>
          <w:szCs w:val="21"/>
        </w:rPr>
        <w:t>(Date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Origination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Pl</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其对应的</w:t>
      </w:r>
      <w:r>
        <w:rPr>
          <w:rFonts w:ascii="SimSun" w:hAnsi="SimSun" w:eastAsia="SimSun" w:cs="SimSun"/>
          <w:sz w:val="21"/>
          <w:szCs w:val="21"/>
        </w:rPr>
        <w:t xml:space="preserve"> </w:t>
      </w:r>
      <w:r>
        <w:rPr>
          <w:rFonts w:ascii="SimSun" w:hAnsi="SimSun" w:eastAsia="SimSun" w:cs="SimSun"/>
          <w:sz w:val="21"/>
          <w:szCs w:val="21"/>
        </w:rPr>
        <w:t>逻辑名称是“计划制订日期”</w:t>
      </w:r>
      <w:r>
        <w:rPr>
          <w:rFonts w:ascii="Times New Roman" w:hAnsi="Times New Roman" w:eastAsia="Times New Roman" w:cs="Times New Roman"/>
          <w:sz w:val="21"/>
          <w:szCs w:val="21"/>
        </w:rPr>
        <w:t>(Plan  Origi</w:t>
      </w:r>
      <w:r>
        <w:rPr>
          <w:rFonts w:ascii="Times New Roman" w:hAnsi="Times New Roman" w:eastAsia="Times New Roman" w:cs="Times New Roman"/>
          <w:sz w:val="21"/>
          <w:szCs w:val="21"/>
          <w:spacing w:val="-1"/>
        </w:rPr>
        <w:t>nation  Date)</w:t>
      </w:r>
      <w:r>
        <w:rPr>
          <w:rFonts w:ascii="SimSun" w:hAnsi="SimSun" w:eastAsia="SimSun" w:cs="SimSun"/>
          <w:sz w:val="21"/>
          <w:szCs w:val="21"/>
          <w:spacing w:val="-1"/>
        </w:rPr>
        <w:t>。</w:t>
      </w:r>
    </w:p>
    <w:p>
      <w:pPr>
        <w:ind w:left="649"/>
        <w:spacing w:before="108"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2: </w:t>
      </w:r>
      <w:r>
        <w:rPr>
          <w:rFonts w:ascii="SimHei" w:hAnsi="SimHei" w:eastAsia="SimHei" w:cs="SimHei"/>
          <w:sz w:val="21"/>
          <w:szCs w:val="21"/>
          <w:b/>
          <w:bCs/>
          <w:spacing w:val="-2"/>
        </w:rPr>
        <w:t>管理级</w:t>
      </w:r>
    </w:p>
    <w:p>
      <w:pPr>
        <w:spacing w:line="129"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15"/>
        <w:gridCol w:w="3750"/>
      </w:tblGrid>
      <w:tr>
        <w:trPr>
          <w:trHeight w:val="312" w:hRule="atLeast"/>
        </w:trPr>
        <w:tc>
          <w:tcPr>
            <w:tcW w:w="734" w:type="dxa"/>
            <w:vAlign w:val="top"/>
          </w:tcPr>
          <w:p>
            <w:pPr>
              <w:pStyle w:val="TableText"/>
              <w:ind w:left="204"/>
              <w:spacing w:before="81" w:line="221" w:lineRule="auto"/>
              <w:rPr/>
            </w:pPr>
            <w:r>
              <w:rPr>
                <w:spacing w:val="-2"/>
              </w:rPr>
              <w:t>序号</w:t>
            </w:r>
          </w:p>
        </w:tc>
        <w:tc>
          <w:tcPr>
            <w:tcW w:w="3115" w:type="dxa"/>
            <w:vAlign w:val="top"/>
          </w:tcPr>
          <w:p>
            <w:pPr>
              <w:pStyle w:val="TableText"/>
              <w:ind w:left="114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95"/>
              <w:spacing w:before="81" w:line="220" w:lineRule="auto"/>
              <w:rPr/>
            </w:pPr>
            <w:r>
              <w:rPr>
                <w:spacing w:val="-5"/>
              </w:rPr>
              <w:t>实</w:t>
            </w:r>
            <w:r>
              <w:rPr>
                <w:spacing w:val="1"/>
              </w:rPr>
              <w:t xml:space="preserve">   </w:t>
            </w:r>
            <w:r>
              <w:rPr>
                <w:spacing w:val="-5"/>
              </w:rPr>
              <w:t>例</w:t>
            </w:r>
          </w:p>
        </w:tc>
      </w:tr>
      <w:tr>
        <w:trPr>
          <w:trHeight w:val="828" w:hRule="atLeast"/>
        </w:trPr>
        <w:tc>
          <w:tcPr>
            <w:tcW w:w="734" w:type="dxa"/>
            <w:vAlign w:val="top"/>
          </w:tcPr>
          <w:p>
            <w:pPr>
              <w:spacing w:line="326" w:lineRule="auto"/>
              <w:rPr>
                <w:rFonts w:ascii="Arial"/>
                <w:sz w:val="21"/>
              </w:rPr>
            </w:pPr>
            <w:r/>
          </w:p>
          <w:p>
            <w:pPr>
              <w:pStyle w:val="TableText"/>
              <w:ind w:left="244"/>
              <w:spacing w:before="49" w:line="184" w:lineRule="auto"/>
              <w:rPr/>
            </w:pPr>
            <w:r>
              <w:rPr>
                <w:spacing w:val="-2"/>
              </w:rPr>
              <w:t>2.1</w:t>
            </w:r>
          </w:p>
        </w:tc>
        <w:tc>
          <w:tcPr>
            <w:tcW w:w="3115" w:type="dxa"/>
            <w:vAlign w:val="top"/>
          </w:tcPr>
          <w:p>
            <w:pPr>
              <w:pStyle w:val="TableText"/>
              <w:ind w:left="111" w:right="151" w:firstLine="149"/>
              <w:spacing w:before="218" w:line="282" w:lineRule="auto"/>
              <w:rPr/>
            </w:pPr>
            <w:r>
              <w:rPr>
                <w:spacing w:val="-1"/>
              </w:rPr>
              <w:t>建立、文档化过程并根据过程来定义、管</w:t>
            </w:r>
            <w:r>
              <w:rPr>
                <w:spacing w:val="9"/>
              </w:rPr>
              <w:t xml:space="preserve"> </w:t>
            </w:r>
            <w:r>
              <w:rPr>
                <w:spacing w:val="-1"/>
              </w:rPr>
              <w:t>理、使用以及维护业务词汇表</w:t>
            </w:r>
          </w:p>
        </w:tc>
        <w:tc>
          <w:tcPr>
            <w:tcW w:w="3750" w:type="dxa"/>
            <w:vAlign w:val="top"/>
          </w:tcPr>
          <w:p>
            <w:pPr>
              <w:pStyle w:val="TableText"/>
              <w:ind w:left="275"/>
              <w:spacing w:before="79" w:line="219" w:lineRule="auto"/>
              <w:rPr/>
            </w:pPr>
            <w:r>
              <w:rPr/>
              <w:t>●业务词汇表管理程序</w:t>
            </w:r>
          </w:p>
          <w:p>
            <w:pPr>
              <w:pStyle w:val="TableText"/>
              <w:ind w:left="275"/>
              <w:spacing w:before="112" w:line="219" w:lineRule="auto"/>
              <w:rPr/>
            </w:pPr>
            <w:r>
              <w:rPr>
                <w:spacing w:val="1"/>
              </w:rPr>
              <w:t>●业务词汇表使用说明</w:t>
            </w:r>
          </w:p>
          <w:p>
            <w:pPr>
              <w:pStyle w:val="TableText"/>
              <w:ind w:left="275"/>
              <w:spacing w:before="82" w:line="219" w:lineRule="auto"/>
              <w:rPr/>
            </w:pPr>
            <w:r>
              <w:rPr/>
              <w:t>●业务词汇元数据定义</w:t>
            </w:r>
          </w:p>
        </w:tc>
      </w:tr>
    </w:tbl>
    <w:p>
      <w:pPr>
        <w:ind w:left="54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10" w:right="47" w:firstLine="439"/>
        <w:spacing w:before="59" w:line="267" w:lineRule="auto"/>
        <w:rPr>
          <w:rFonts w:ascii="SimSun" w:hAnsi="SimSun" w:eastAsia="SimSun" w:cs="SimSun"/>
          <w:sz w:val="21"/>
          <w:szCs w:val="21"/>
        </w:rPr>
      </w:pPr>
      <w:r>
        <w:rPr>
          <w:rFonts w:ascii="SimSun" w:hAnsi="SimSun" w:eastAsia="SimSun" w:cs="SimSun"/>
          <w:sz w:val="21"/>
          <w:szCs w:val="21"/>
          <w:spacing w:val="2"/>
        </w:rPr>
        <w:t>业务词汇过程的建立由业务部门负责人发起，主要运用数据管理功能，需</w:t>
      </w:r>
      <w:r>
        <w:rPr>
          <w:rFonts w:ascii="SimSun" w:hAnsi="SimSun" w:eastAsia="SimSun" w:cs="SimSun"/>
          <w:sz w:val="21"/>
          <w:szCs w:val="21"/>
          <w:spacing w:val="1"/>
        </w:rPr>
        <w:t>要相</w:t>
      </w:r>
      <w:r>
        <w:rPr>
          <w:rFonts w:ascii="SimSun" w:hAnsi="SimSun" w:eastAsia="SimSun" w:cs="SimSun"/>
          <w:sz w:val="21"/>
          <w:szCs w:val="21"/>
        </w:rPr>
        <w:t xml:space="preserve"> </w:t>
      </w:r>
      <w:r>
        <w:rPr>
          <w:rFonts w:ascii="SimSun" w:hAnsi="SimSun" w:eastAsia="SimSun" w:cs="SimSun"/>
          <w:sz w:val="21"/>
          <w:szCs w:val="21"/>
          <w:spacing w:val="2"/>
        </w:rPr>
        <w:t>关者和业务单元专家的参与，涉及云端数据治理。</w:t>
      </w:r>
      <w:r>
        <w:rPr>
          <w:rFonts w:ascii="SimSun" w:hAnsi="SimSun" w:eastAsia="SimSun" w:cs="SimSun"/>
          <w:sz w:val="21"/>
          <w:szCs w:val="21"/>
          <w:spacing w:val="1"/>
        </w:rPr>
        <w:t>该实践能促进多个业务单元的共</w:t>
      </w:r>
      <w:r>
        <w:rPr>
          <w:rFonts w:ascii="SimSun" w:hAnsi="SimSun" w:eastAsia="SimSun" w:cs="SimSun"/>
          <w:sz w:val="21"/>
          <w:szCs w:val="21"/>
        </w:rPr>
        <w:t xml:space="preserve"> </w:t>
      </w:r>
      <w:r>
        <w:rPr>
          <w:rFonts w:ascii="SimSun" w:hAnsi="SimSun" w:eastAsia="SimSun" w:cs="SimSun"/>
          <w:sz w:val="21"/>
          <w:szCs w:val="21"/>
        </w:rPr>
        <w:t>同持续参与，建立共同目标，并达成对期望结果和相</w:t>
      </w:r>
      <w:r>
        <w:rPr>
          <w:rFonts w:ascii="SimSun" w:hAnsi="SimSun" w:eastAsia="SimSun" w:cs="SimSun"/>
          <w:sz w:val="21"/>
          <w:szCs w:val="21"/>
          <w:spacing w:val="-1"/>
        </w:rPr>
        <w:t>应时间线的一致意见。</w:t>
      </w:r>
    </w:p>
    <w:p>
      <w:pPr>
        <w:ind w:left="210" w:right="68" w:firstLine="439"/>
        <w:spacing w:before="51" w:line="259" w:lineRule="auto"/>
        <w:rPr>
          <w:rFonts w:ascii="SimSun" w:hAnsi="SimSun" w:eastAsia="SimSun" w:cs="SimSun"/>
          <w:sz w:val="21"/>
          <w:szCs w:val="21"/>
        </w:rPr>
      </w:pPr>
      <w:r>
        <w:rPr>
          <w:rFonts w:ascii="SimSun" w:hAnsi="SimSun" w:eastAsia="SimSun" w:cs="SimSun"/>
          <w:sz w:val="21"/>
          <w:szCs w:val="21"/>
          <w:spacing w:val="1"/>
        </w:rPr>
        <w:t>为词汇、定义以及元数据建立标准也需要各方的参与以及共同的决策来推动。</w:t>
      </w:r>
      <w:r>
        <w:rPr>
          <w:rFonts w:ascii="SimSun" w:hAnsi="SimSun" w:eastAsia="SimSun" w:cs="SimSun"/>
          <w:sz w:val="21"/>
          <w:szCs w:val="21"/>
        </w:rPr>
        <w:t xml:space="preserve"> </w:t>
      </w:r>
      <w:r>
        <w:rPr>
          <w:rFonts w:ascii="SimSun" w:hAnsi="SimSun" w:eastAsia="SimSun" w:cs="SimSun"/>
          <w:sz w:val="21"/>
          <w:szCs w:val="21"/>
          <w:spacing w:val="2"/>
        </w:rPr>
        <w:t>例如，作为数据需求定义过程的一部分，新方案应使用标准业务词</w:t>
      </w:r>
      <w:r>
        <w:rPr>
          <w:rFonts w:ascii="SimSun" w:hAnsi="SimSun" w:eastAsia="SimSun" w:cs="SimSun"/>
          <w:sz w:val="21"/>
          <w:szCs w:val="21"/>
          <w:spacing w:val="1"/>
        </w:rPr>
        <w:t>汇来确保语言的</w:t>
      </w:r>
      <w:r>
        <w:rPr>
          <w:rFonts w:ascii="SimSun" w:hAnsi="SimSun" w:eastAsia="SimSun" w:cs="SimSun"/>
          <w:sz w:val="21"/>
          <w:szCs w:val="21"/>
        </w:rPr>
        <w:t xml:space="preserve"> </w:t>
      </w:r>
      <w:r>
        <w:rPr>
          <w:rFonts w:ascii="SimSun" w:hAnsi="SimSun" w:eastAsia="SimSun" w:cs="SimSun"/>
          <w:sz w:val="21"/>
          <w:szCs w:val="21"/>
          <w:spacing w:val="2"/>
        </w:rPr>
        <w:t>一致，使文本内容之间具备可比性，推动整个组织共同分</w:t>
      </w:r>
      <w:r>
        <w:rPr>
          <w:rFonts w:ascii="SimSun" w:hAnsi="SimSun" w:eastAsia="SimSun" w:cs="SimSun"/>
          <w:sz w:val="21"/>
          <w:szCs w:val="21"/>
          <w:spacing w:val="1"/>
        </w:rPr>
        <w:t>享数据。同样的，应根据</w:t>
      </w:r>
      <w:r>
        <w:rPr>
          <w:rFonts w:ascii="SimSun" w:hAnsi="SimSun" w:eastAsia="SimSun" w:cs="SimSun"/>
          <w:sz w:val="21"/>
          <w:szCs w:val="21"/>
        </w:rPr>
        <w:t xml:space="preserve"> </w:t>
      </w:r>
      <w:r>
        <w:rPr>
          <w:rFonts w:ascii="SimSun" w:hAnsi="SimSun" w:eastAsia="SimSun" w:cs="SimSun"/>
          <w:sz w:val="21"/>
          <w:szCs w:val="21"/>
        </w:rPr>
        <w:t>整个组织的共同意见来更新业务词汇表，通过数据治理的方式</w:t>
      </w:r>
      <w:r>
        <w:rPr>
          <w:rFonts w:ascii="SimSun" w:hAnsi="SimSun" w:eastAsia="SimSun" w:cs="SimSun"/>
          <w:sz w:val="21"/>
          <w:szCs w:val="21"/>
          <w:spacing w:val="-1"/>
        </w:rPr>
        <w:t>来管理词汇表。</w:t>
      </w:r>
    </w:p>
    <w:p>
      <w:pPr>
        <w:ind w:left="210" w:right="75" w:firstLine="439"/>
        <w:spacing w:before="62" w:line="250" w:lineRule="auto"/>
        <w:rPr>
          <w:rFonts w:ascii="SimSun" w:hAnsi="SimSun" w:eastAsia="SimSun" w:cs="SimSun"/>
          <w:sz w:val="21"/>
          <w:szCs w:val="21"/>
        </w:rPr>
      </w:pPr>
      <w:r>
        <w:rPr>
          <w:rFonts w:ascii="SimSun" w:hAnsi="SimSun" w:eastAsia="SimSun" w:cs="SimSun"/>
          <w:sz w:val="21"/>
          <w:szCs w:val="21"/>
          <w:spacing w:val="1"/>
        </w:rPr>
        <w:t>获取并维护业务词汇的元数据是跟踪和管理业务词汇表的基础。业务词汇的元</w:t>
      </w:r>
      <w:r>
        <w:rPr>
          <w:rFonts w:ascii="SimSun" w:hAnsi="SimSun" w:eastAsia="SimSun" w:cs="SimSun"/>
          <w:sz w:val="21"/>
          <w:szCs w:val="21"/>
          <w:spacing w:val="4"/>
        </w:rPr>
        <w:t xml:space="preserve"> </w:t>
      </w:r>
      <w:r>
        <w:rPr>
          <w:rFonts w:ascii="SimSun" w:hAnsi="SimSun" w:eastAsia="SimSun" w:cs="SimSun"/>
          <w:sz w:val="21"/>
          <w:szCs w:val="21"/>
          <w:spacing w:val="-4"/>
        </w:rPr>
        <w:t>数据例子包括：</w:t>
      </w:r>
    </w:p>
    <w:p>
      <w:pPr>
        <w:ind w:left="649" w:right="6144"/>
        <w:spacing w:before="72" w:line="250" w:lineRule="auto"/>
        <w:rPr>
          <w:rFonts w:ascii="SimSun" w:hAnsi="SimSun" w:eastAsia="SimSun" w:cs="SimSun"/>
          <w:sz w:val="21"/>
          <w:szCs w:val="21"/>
        </w:rPr>
      </w:pPr>
      <w:r>
        <w:rPr>
          <w:rFonts w:ascii="SimSun" w:hAnsi="SimSun" w:eastAsia="SimSun" w:cs="SimSun"/>
          <w:sz w:val="21"/>
          <w:szCs w:val="21"/>
          <w:spacing w:val="12"/>
        </w:rPr>
        <w:t>●词汇名称</w:t>
      </w:r>
      <w:r>
        <w:rPr>
          <w:rFonts w:ascii="SimSun" w:hAnsi="SimSun" w:eastAsia="SimSun" w:cs="SimSun"/>
          <w:sz w:val="21"/>
          <w:szCs w:val="21"/>
        </w:rPr>
        <w:t xml:space="preserve"> </w:t>
      </w:r>
      <w:r>
        <w:rPr>
          <w:rFonts w:ascii="SimSun" w:hAnsi="SimSun" w:eastAsia="SimSun" w:cs="SimSun"/>
          <w:sz w:val="21"/>
          <w:szCs w:val="21"/>
          <w:spacing w:val="-1"/>
        </w:rPr>
        <w:t>●</w:t>
      </w:r>
      <w:r>
        <w:rPr>
          <w:rFonts w:ascii="SimSun" w:hAnsi="SimSun" w:eastAsia="SimSun" w:cs="SimSun"/>
          <w:sz w:val="21"/>
          <w:szCs w:val="21"/>
          <w:spacing w:val="-53"/>
        </w:rPr>
        <w:t xml:space="preserve"> </w:t>
      </w:r>
      <w:r>
        <w:rPr>
          <w:rFonts w:ascii="SimSun" w:hAnsi="SimSun" w:eastAsia="SimSun" w:cs="SimSun"/>
          <w:sz w:val="21"/>
          <w:szCs w:val="21"/>
          <w:spacing w:val="-1"/>
        </w:rPr>
        <w:t>定义</w:t>
      </w:r>
    </w:p>
    <w:p>
      <w:pPr>
        <w:ind w:left="649"/>
        <w:spacing w:before="70" w:line="219" w:lineRule="auto"/>
        <w:rPr>
          <w:rFonts w:ascii="SimSun" w:hAnsi="SimSun" w:eastAsia="SimSun" w:cs="SimSun"/>
          <w:sz w:val="21"/>
          <w:szCs w:val="21"/>
        </w:rPr>
      </w:pPr>
      <w:r>
        <w:rPr>
          <w:rFonts w:ascii="SimSun" w:hAnsi="SimSun" w:eastAsia="SimSun" w:cs="SimSun"/>
          <w:sz w:val="21"/>
          <w:szCs w:val="21"/>
          <w:spacing w:val="9"/>
        </w:rPr>
        <w:t>●替换形式(近义词、逻辑形式、物理形式等)</w:t>
      </w:r>
    </w:p>
    <w:p>
      <w:pPr>
        <w:ind w:left="649"/>
        <w:spacing w:before="60" w:line="219" w:lineRule="auto"/>
        <w:rPr>
          <w:rFonts w:ascii="SimSun" w:hAnsi="SimSun" w:eastAsia="SimSun" w:cs="SimSun"/>
          <w:sz w:val="21"/>
          <w:szCs w:val="21"/>
        </w:rPr>
      </w:pPr>
      <w:r>
        <w:rPr>
          <w:rFonts w:ascii="SimSun" w:hAnsi="SimSun" w:eastAsia="SimSun" w:cs="SimSun"/>
          <w:sz w:val="21"/>
          <w:szCs w:val="21"/>
          <w:spacing w:val="7"/>
        </w:rPr>
        <w:t>●业务词汇具体信息(例如，状态、保密级别、创建日期等)</w:t>
      </w:r>
    </w:p>
    <w:p>
      <w:pPr>
        <w:ind w:left="649"/>
        <w:spacing w:before="51" w:line="219" w:lineRule="auto"/>
        <w:rPr>
          <w:rFonts w:ascii="SimSun" w:hAnsi="SimSun" w:eastAsia="SimSun" w:cs="SimSun"/>
          <w:sz w:val="21"/>
          <w:szCs w:val="21"/>
        </w:rPr>
      </w:pPr>
      <w:r>
        <w:rPr>
          <w:rFonts w:ascii="SimSun" w:hAnsi="SimSun" w:eastAsia="SimSun" w:cs="SimSun"/>
          <w:sz w:val="21"/>
          <w:szCs w:val="21"/>
          <w:spacing w:val="11"/>
        </w:rPr>
        <w:t>●治理(例如，等级、所有者等)</w:t>
      </w:r>
    </w:p>
    <w:p>
      <w:pPr>
        <w:ind w:left="649"/>
        <w:spacing w:before="61" w:line="219" w:lineRule="auto"/>
        <w:rPr>
          <w:rFonts w:ascii="SimSun" w:hAnsi="SimSun" w:eastAsia="SimSun" w:cs="SimSun"/>
          <w:sz w:val="21"/>
          <w:szCs w:val="21"/>
        </w:rPr>
      </w:pPr>
      <w:r>
        <w:rPr>
          <w:rFonts w:ascii="SimSun" w:hAnsi="SimSun" w:eastAsia="SimSun" w:cs="SimSun"/>
          <w:sz w:val="21"/>
          <w:szCs w:val="21"/>
          <w:spacing w:val="12"/>
        </w:rPr>
        <w:t>●使用(例如，记录系统、有效值等)</w:t>
      </w:r>
    </w:p>
    <w:p>
      <w:pPr>
        <w:spacing w:line="117" w:lineRule="exact"/>
        <w:rPr/>
      </w:pPr>
      <w:r/>
    </w:p>
    <w:tbl>
      <w:tblPr>
        <w:tblStyle w:val="TableNormal"/>
        <w:tblW w:w="758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3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61"/>
              <w:spacing w:before="81" w:line="219" w:lineRule="auto"/>
              <w:rPr>
                <w:sz w:val="16"/>
                <w:szCs w:val="16"/>
              </w:rPr>
            </w:pPr>
            <w:r>
              <w:rPr>
                <w:sz w:val="16"/>
                <w:szCs w:val="16"/>
                <w:spacing w:val="-4"/>
              </w:rPr>
              <w:t>等 级 要 求</w:t>
            </w:r>
          </w:p>
        </w:tc>
        <w:tc>
          <w:tcPr>
            <w:tcW w:w="373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8" w:hRule="atLeast"/>
        </w:trPr>
        <w:tc>
          <w:tcPr>
            <w:tcW w:w="724" w:type="dxa"/>
            <w:vAlign w:val="top"/>
          </w:tcPr>
          <w:p>
            <w:pPr>
              <w:pStyle w:val="TableText"/>
              <w:ind w:left="235"/>
              <w:spacing w:before="251" w:line="183" w:lineRule="auto"/>
              <w:rPr>
                <w:sz w:val="16"/>
                <w:szCs w:val="16"/>
              </w:rPr>
            </w:pPr>
            <w:r>
              <w:rPr>
                <w:sz w:val="16"/>
                <w:szCs w:val="16"/>
                <w:spacing w:val="-2"/>
              </w:rPr>
              <w:t>2.2</w:t>
            </w:r>
          </w:p>
        </w:tc>
        <w:tc>
          <w:tcPr>
            <w:tcW w:w="3135" w:type="dxa"/>
            <w:vAlign w:val="top"/>
          </w:tcPr>
          <w:p>
            <w:pPr>
              <w:pStyle w:val="TableText"/>
              <w:ind w:left="121" w:firstLine="149"/>
              <w:spacing w:before="89" w:line="273" w:lineRule="auto"/>
              <w:rPr>
                <w:sz w:val="16"/>
                <w:szCs w:val="16"/>
              </w:rPr>
            </w:pPr>
            <w:r>
              <w:rPr>
                <w:sz w:val="16"/>
                <w:szCs w:val="16"/>
                <w:spacing w:val="-2"/>
              </w:rPr>
              <w:t>标准业务词汇可用，且发布给了内部相关</w:t>
            </w:r>
            <w:r>
              <w:rPr>
                <w:sz w:val="16"/>
                <w:szCs w:val="16"/>
                <w:spacing w:val="9"/>
              </w:rPr>
              <w:t xml:space="preserve"> </w:t>
            </w:r>
            <w:r>
              <w:rPr>
                <w:sz w:val="16"/>
                <w:szCs w:val="16"/>
              </w:rPr>
              <w:t>者</w:t>
            </w:r>
          </w:p>
        </w:tc>
        <w:tc>
          <w:tcPr>
            <w:tcW w:w="3730" w:type="dxa"/>
            <w:vAlign w:val="top"/>
          </w:tcPr>
          <w:p>
            <w:pPr>
              <w:pStyle w:val="TableText"/>
              <w:ind w:left="265"/>
              <w:spacing w:before="90" w:line="219" w:lineRule="auto"/>
              <w:rPr>
                <w:sz w:val="16"/>
                <w:szCs w:val="16"/>
              </w:rPr>
            </w:pPr>
            <w:r>
              <w:rPr>
                <w:sz w:val="16"/>
                <w:szCs w:val="16"/>
              </w:rPr>
              <w:t>●业务词汇表管理程序</w:t>
            </w:r>
          </w:p>
          <w:p>
            <w:pPr>
              <w:pStyle w:val="TableText"/>
              <w:ind w:left="265"/>
              <w:spacing w:before="70" w:line="219" w:lineRule="auto"/>
              <w:rPr>
                <w:sz w:val="16"/>
                <w:szCs w:val="16"/>
              </w:rPr>
            </w:pPr>
            <w:r>
              <w:rPr>
                <w:sz w:val="16"/>
                <w:szCs w:val="16"/>
                <w:spacing w:val="1"/>
              </w:rPr>
              <w:t>●业务词汇表使用说明</w:t>
            </w:r>
          </w:p>
        </w:tc>
      </w:tr>
    </w:tbl>
    <w:p>
      <w:pPr>
        <w:ind w:left="544"/>
        <w:spacing w:before="214" w:line="219" w:lineRule="auto"/>
        <w:rPr>
          <w:rFonts w:ascii="SimSun" w:hAnsi="SimSun" w:eastAsia="SimSun" w:cs="SimSun"/>
          <w:sz w:val="21"/>
          <w:szCs w:val="21"/>
        </w:rPr>
      </w:pPr>
      <w:r>
        <w:rPr>
          <w:rFonts w:ascii="SimSun" w:hAnsi="SimSun" w:eastAsia="SimSun" w:cs="SimSun"/>
          <w:sz w:val="21"/>
          <w:szCs w:val="21"/>
        </w:rPr>
        <w:t>【成熟度等级说明】</w:t>
      </w:r>
    </w:p>
    <w:p>
      <w:pPr>
        <w:ind w:left="649"/>
        <w:spacing w:before="50" w:line="219" w:lineRule="auto"/>
        <w:rPr>
          <w:rFonts w:ascii="SimSun" w:hAnsi="SimSun" w:eastAsia="SimSun" w:cs="SimSun"/>
          <w:sz w:val="21"/>
          <w:szCs w:val="21"/>
        </w:rPr>
      </w:pPr>
      <w:r>
        <w:rPr>
          <w:rFonts w:ascii="SimSun" w:hAnsi="SimSun" w:eastAsia="SimSun" w:cs="SimSun"/>
          <w:sz w:val="21"/>
          <w:szCs w:val="21"/>
          <w:spacing w:val="2"/>
        </w:rPr>
        <w:t>业务词汇创建且经认可后，应得以发布并推广。例如，以适当频率通过邮</w:t>
      </w:r>
      <w:r>
        <w:rPr>
          <w:rFonts w:ascii="SimSun" w:hAnsi="SimSun" w:eastAsia="SimSun" w:cs="SimSun"/>
          <w:sz w:val="21"/>
          <w:szCs w:val="21"/>
          <w:spacing w:val="1"/>
        </w:rPr>
        <w:t>件和</w:t>
      </w:r>
    </w:p>
    <w:p>
      <w:pPr>
        <w:spacing w:line="219" w:lineRule="auto"/>
        <w:sectPr>
          <w:footerReference w:type="default" r:id="rId198"/>
          <w:pgSz w:w="8870" w:h="13400"/>
          <w:pgMar w:top="400" w:right="545" w:bottom="498" w:left="419" w:header="0" w:footer="289" w:gutter="0"/>
        </w:sectPr>
        <w:rPr>
          <w:rFonts w:ascii="SimSun" w:hAnsi="SimSun" w:eastAsia="SimSun" w:cs="SimSun"/>
          <w:sz w:val="21"/>
          <w:szCs w:val="21"/>
        </w:rPr>
      </w:pPr>
    </w:p>
    <w:p>
      <w:pPr>
        <w:ind w:left="5482"/>
        <w:spacing w:before="204" w:line="219" w:lineRule="auto"/>
        <w:rPr>
          <w:rFonts w:ascii="SimSun" w:hAnsi="SimSun" w:eastAsia="SimSun" w:cs="SimSun"/>
          <w:sz w:val="21"/>
          <w:szCs w:val="21"/>
        </w:rPr>
      </w:pPr>
      <w:r>
        <w:rPr>
          <w:rFonts w:ascii="SimSun" w:hAnsi="SimSun" w:eastAsia="SimSun" w:cs="SimSun"/>
          <w:sz w:val="21"/>
          <w:szCs w:val="21"/>
          <w:b/>
          <w:bCs/>
          <w:spacing w:val="16"/>
        </w:rPr>
        <w:t>第5章■云端数据管理</w:t>
      </w:r>
    </w:p>
    <w:p>
      <w:pPr>
        <w:pStyle w:val="BodyText"/>
        <w:spacing w:line="253" w:lineRule="auto"/>
        <w:rPr/>
      </w:pPr>
      <w:r/>
    </w:p>
    <w:p>
      <w:pPr>
        <w:ind w:right="263"/>
        <w:spacing w:before="68" w:line="251" w:lineRule="auto"/>
        <w:rPr>
          <w:rFonts w:ascii="SimSun" w:hAnsi="SimSun" w:eastAsia="SimSun" w:cs="SimSun"/>
          <w:sz w:val="21"/>
          <w:szCs w:val="21"/>
        </w:rPr>
      </w:pPr>
      <w:r>
        <w:rPr>
          <w:rFonts w:ascii="SimSun" w:hAnsi="SimSun" w:eastAsia="SimSun" w:cs="SimSun"/>
          <w:sz w:val="21"/>
          <w:szCs w:val="21"/>
          <w:spacing w:val="1"/>
        </w:rPr>
        <w:t>组织门户网站来告知词汇的发布。这对于成功执行变更管理十分重要。组织可能选</w:t>
      </w:r>
      <w:r>
        <w:rPr>
          <w:rFonts w:ascii="SimSun" w:hAnsi="SimSun" w:eastAsia="SimSun" w:cs="SimSun"/>
          <w:sz w:val="21"/>
          <w:szCs w:val="21"/>
          <w:spacing w:val="11"/>
        </w:rPr>
        <w:t xml:space="preserve"> </w:t>
      </w:r>
      <w:r>
        <w:rPr>
          <w:rFonts w:ascii="SimSun" w:hAnsi="SimSun" w:eastAsia="SimSun" w:cs="SimSun"/>
          <w:sz w:val="21"/>
          <w:szCs w:val="21"/>
        </w:rPr>
        <w:t>择按阶段实施该任务，例如组织单元针对即将</w:t>
      </w:r>
      <w:r>
        <w:rPr>
          <w:rFonts w:ascii="SimSun" w:hAnsi="SimSun" w:eastAsia="SimSun" w:cs="SimSun"/>
          <w:sz w:val="21"/>
          <w:szCs w:val="21"/>
          <w:spacing w:val="-1"/>
        </w:rPr>
        <w:t>进行的主要开发工作按阶段实施等。</w:t>
      </w:r>
    </w:p>
    <w:p>
      <w:pPr>
        <w:spacing w:line="117" w:lineRule="exact"/>
        <w:rPr/>
      </w:pPr>
      <w:r/>
    </w:p>
    <w:tbl>
      <w:tblPr>
        <w:tblStyle w:val="TableNormal"/>
        <w:tblW w:w="758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5"/>
        <w:gridCol w:w="3750"/>
      </w:tblGrid>
      <w:tr>
        <w:trPr>
          <w:trHeight w:val="321" w:hRule="atLeast"/>
        </w:trPr>
        <w:tc>
          <w:tcPr>
            <w:tcW w:w="724" w:type="dxa"/>
            <w:vAlign w:val="top"/>
          </w:tcPr>
          <w:p>
            <w:pPr>
              <w:pStyle w:val="TableText"/>
              <w:ind w:left="204"/>
              <w:spacing w:before="92" w:line="221" w:lineRule="auto"/>
              <w:rPr/>
            </w:pPr>
            <w:r>
              <w:rPr>
                <w:spacing w:val="-2"/>
              </w:rPr>
              <w:t>序号</w:t>
            </w:r>
          </w:p>
        </w:tc>
        <w:tc>
          <w:tcPr>
            <w:tcW w:w="3115" w:type="dxa"/>
            <w:vAlign w:val="top"/>
          </w:tcPr>
          <w:p>
            <w:pPr>
              <w:pStyle w:val="TableText"/>
              <w:ind w:left="114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91" w:line="220" w:lineRule="auto"/>
              <w:rPr/>
            </w:pPr>
            <w:r>
              <w:rPr>
                <w:spacing w:val="-5"/>
              </w:rPr>
              <w:t>实</w:t>
            </w:r>
            <w:r>
              <w:rPr>
                <w:spacing w:val="1"/>
              </w:rPr>
              <w:t xml:space="preserve">   </w:t>
            </w:r>
            <w:r>
              <w:rPr>
                <w:spacing w:val="-5"/>
              </w:rPr>
              <w:t>例</w:t>
            </w:r>
          </w:p>
        </w:tc>
      </w:tr>
      <w:tr>
        <w:trPr>
          <w:trHeight w:val="488" w:hRule="atLeast"/>
        </w:trPr>
        <w:tc>
          <w:tcPr>
            <w:tcW w:w="724" w:type="dxa"/>
            <w:vAlign w:val="top"/>
          </w:tcPr>
          <w:p>
            <w:pPr>
              <w:pStyle w:val="TableText"/>
              <w:ind w:left="234"/>
              <w:spacing w:before="208" w:line="183" w:lineRule="auto"/>
              <w:rPr/>
            </w:pPr>
            <w:r>
              <w:rPr>
                <w:spacing w:val="-2"/>
              </w:rPr>
              <w:t>2.3</w:t>
            </w:r>
          </w:p>
        </w:tc>
        <w:tc>
          <w:tcPr>
            <w:tcW w:w="3115" w:type="dxa"/>
            <w:vAlign w:val="top"/>
          </w:tcPr>
          <w:p>
            <w:pPr>
              <w:pStyle w:val="TableText"/>
              <w:ind w:left="100" w:right="149" w:firstLine="160"/>
              <w:spacing w:before="40" w:line="264" w:lineRule="auto"/>
              <w:rPr/>
            </w:pPr>
            <w:r>
              <w:rPr>
                <w:spacing w:val="-1"/>
              </w:rPr>
              <w:t>业务词汇表里添加的每个词汇都有其唯一</w:t>
            </w:r>
            <w:r>
              <w:rPr>
                <w:spacing w:val="11"/>
              </w:rPr>
              <w:t xml:space="preserve"> </w:t>
            </w:r>
            <w:r>
              <w:rPr>
                <w:spacing w:val="1"/>
              </w:rPr>
              <w:t>的命名与定义</w:t>
            </w:r>
          </w:p>
        </w:tc>
        <w:tc>
          <w:tcPr>
            <w:tcW w:w="3750" w:type="dxa"/>
            <w:vAlign w:val="top"/>
          </w:tcPr>
          <w:p>
            <w:pPr>
              <w:pStyle w:val="TableText"/>
              <w:ind w:left="285"/>
              <w:spacing w:before="40" w:line="219" w:lineRule="auto"/>
              <w:rPr/>
            </w:pPr>
            <w:r>
              <w:rPr/>
              <w:t>●业务词汇表管理程序—变更</w:t>
            </w:r>
          </w:p>
          <w:p>
            <w:pPr>
              <w:pStyle w:val="TableText"/>
              <w:ind w:left="285"/>
              <w:spacing w:before="71" w:line="219" w:lineRule="auto"/>
              <w:rPr/>
            </w:pPr>
            <w:r>
              <w:rPr>
                <w:spacing w:val="1"/>
              </w:rPr>
              <w:t>●业务词汇命名规则</w:t>
            </w:r>
          </w:p>
        </w:tc>
      </w:tr>
    </w:tbl>
    <w:p>
      <w:pPr>
        <w:ind w:left="325"/>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58" w:firstLine="430"/>
        <w:spacing w:before="51" w:line="262" w:lineRule="auto"/>
        <w:rPr>
          <w:rFonts w:ascii="SimSun" w:hAnsi="SimSun" w:eastAsia="SimSun" w:cs="SimSun"/>
          <w:sz w:val="21"/>
          <w:szCs w:val="21"/>
        </w:rPr>
      </w:pPr>
      <w:r>
        <w:rPr>
          <w:rFonts w:ascii="SimSun" w:hAnsi="SimSun" w:eastAsia="SimSun" w:cs="SimSun"/>
          <w:sz w:val="21"/>
          <w:szCs w:val="21"/>
          <w:spacing w:val="1"/>
        </w:rPr>
        <w:t>当“基本词汇”(例如“交易价格”或“产品名称”)衍生出其他词汇时，会在</w:t>
      </w:r>
      <w:r>
        <w:rPr>
          <w:rFonts w:ascii="SimSun" w:hAnsi="SimSun" w:eastAsia="SimSun" w:cs="SimSun"/>
          <w:sz w:val="21"/>
          <w:szCs w:val="21"/>
          <w:spacing w:val="5"/>
        </w:rPr>
        <w:t xml:space="preserve"> </w:t>
      </w:r>
      <w:r>
        <w:rPr>
          <w:rFonts w:ascii="SimSun" w:hAnsi="SimSun" w:eastAsia="SimSun" w:cs="SimSun"/>
          <w:sz w:val="21"/>
          <w:szCs w:val="21"/>
          <w:spacing w:val="-2"/>
        </w:rPr>
        <w:t>这些衍生词汇上添加一个或多个定性词，例如“最终交易价格”或者“产品简称”,</w:t>
      </w:r>
      <w:r>
        <w:rPr>
          <w:rFonts w:ascii="SimSun" w:hAnsi="SimSun" w:eastAsia="SimSun" w:cs="SimSun"/>
          <w:sz w:val="21"/>
          <w:szCs w:val="21"/>
          <w:spacing w:val="12"/>
        </w:rPr>
        <w:t xml:space="preserve"> </w:t>
      </w:r>
      <w:r>
        <w:rPr>
          <w:rFonts w:ascii="SimSun" w:hAnsi="SimSun" w:eastAsia="SimSun" w:cs="SimSun"/>
          <w:sz w:val="21"/>
          <w:szCs w:val="21"/>
          <w:spacing w:val="1"/>
        </w:rPr>
        <w:t>并附上相应的唯一定义。这些在基本词汇定义上添加的定性词和修饰词应通过数据</w:t>
      </w:r>
      <w:r>
        <w:rPr>
          <w:rFonts w:ascii="SimSun" w:hAnsi="SimSun" w:eastAsia="SimSun" w:cs="SimSun"/>
          <w:sz w:val="21"/>
          <w:szCs w:val="21"/>
          <w:spacing w:val="15"/>
        </w:rPr>
        <w:t xml:space="preserve"> </w:t>
      </w:r>
      <w:r>
        <w:rPr>
          <w:rFonts w:ascii="SimSun" w:hAnsi="SimSun" w:eastAsia="SimSun" w:cs="SimSun"/>
          <w:sz w:val="21"/>
          <w:szCs w:val="21"/>
          <w:spacing w:val="1"/>
        </w:rPr>
        <w:t>治理的审核。当存在组织必须遵守的行业流行标准时，应对照权威来源对业务词汇</w:t>
      </w:r>
      <w:r>
        <w:rPr>
          <w:rFonts w:ascii="SimSun" w:hAnsi="SimSun" w:eastAsia="SimSun" w:cs="SimSun"/>
          <w:sz w:val="21"/>
          <w:szCs w:val="21"/>
          <w:spacing w:val="13"/>
        </w:rPr>
        <w:t xml:space="preserve"> </w:t>
      </w:r>
      <w:r>
        <w:rPr>
          <w:rFonts w:ascii="SimSun" w:hAnsi="SimSun" w:eastAsia="SimSun" w:cs="SimSun"/>
          <w:sz w:val="21"/>
          <w:szCs w:val="21"/>
          <w:spacing w:val="-7"/>
        </w:rPr>
        <w:t>以及定义进行确认。</w:t>
      </w:r>
    </w:p>
    <w:p>
      <w:pPr>
        <w:spacing w:line="146" w:lineRule="exact"/>
        <w:rPr/>
      </w:pPr>
      <w:r/>
    </w:p>
    <w:tbl>
      <w:tblPr>
        <w:tblStyle w:val="TableNormal"/>
        <w:tblW w:w="75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22" w:hRule="atLeast"/>
        </w:trPr>
        <w:tc>
          <w:tcPr>
            <w:tcW w:w="724" w:type="dxa"/>
            <w:vAlign w:val="top"/>
          </w:tcPr>
          <w:p>
            <w:pPr>
              <w:pStyle w:val="TableText"/>
              <w:ind w:left="204"/>
              <w:spacing w:before="92" w:line="221" w:lineRule="auto"/>
              <w:rPr/>
            </w:pPr>
            <w:r>
              <w:rPr>
                <w:spacing w:val="-2"/>
              </w:rPr>
              <w:t>序号</w:t>
            </w:r>
          </w:p>
        </w:tc>
        <w:tc>
          <w:tcPr>
            <w:tcW w:w="3125" w:type="dxa"/>
            <w:vAlign w:val="top"/>
          </w:tcPr>
          <w:p>
            <w:pPr>
              <w:pStyle w:val="TableText"/>
              <w:ind w:left="113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938" w:hRule="atLeast"/>
        </w:trPr>
        <w:tc>
          <w:tcPr>
            <w:tcW w:w="724" w:type="dxa"/>
            <w:vAlign w:val="top"/>
          </w:tcPr>
          <w:p>
            <w:pPr>
              <w:spacing w:line="386" w:lineRule="auto"/>
              <w:rPr>
                <w:rFonts w:ascii="Arial"/>
                <w:sz w:val="21"/>
              </w:rPr>
            </w:pPr>
            <w:r/>
          </w:p>
          <w:p>
            <w:pPr>
              <w:pStyle w:val="TableText"/>
              <w:ind w:left="235"/>
              <w:spacing w:before="49" w:line="183" w:lineRule="auto"/>
              <w:rPr/>
            </w:pPr>
            <w:r>
              <w:rPr>
                <w:spacing w:val="-2"/>
              </w:rPr>
              <w:t>2.4</w:t>
            </w:r>
          </w:p>
        </w:tc>
        <w:tc>
          <w:tcPr>
            <w:tcW w:w="3125" w:type="dxa"/>
            <w:vAlign w:val="top"/>
          </w:tcPr>
          <w:p>
            <w:pPr>
              <w:pStyle w:val="TableText"/>
              <w:ind w:left="110" w:right="142" w:firstLine="90"/>
              <w:spacing w:before="159" w:line="270" w:lineRule="auto"/>
              <w:rPr/>
            </w:pPr>
            <w:r>
              <w:rPr>
                <w:spacing w:val="-1"/>
              </w:rPr>
              <w:t>作为数据需求定义过程的一部分，在数据</w:t>
            </w:r>
            <w:r>
              <w:rPr>
                <w:spacing w:val="5"/>
              </w:rPr>
              <w:t xml:space="preserve">  </w:t>
            </w:r>
            <w:r>
              <w:rPr/>
              <w:t>获取、集成以及整合过程中应当使用标准业</w:t>
            </w:r>
            <w:r>
              <w:rPr>
                <w:spacing w:val="10"/>
              </w:rPr>
              <w:t xml:space="preserve"> </w:t>
            </w:r>
            <w:r>
              <w:rPr>
                <w:spacing w:val="-2"/>
              </w:rPr>
              <w:t>务词汇</w:t>
            </w:r>
          </w:p>
        </w:tc>
        <w:tc>
          <w:tcPr>
            <w:tcW w:w="3750" w:type="dxa"/>
            <w:vAlign w:val="top"/>
          </w:tcPr>
          <w:p>
            <w:pPr>
              <w:pStyle w:val="TableText"/>
              <w:ind w:left="245"/>
              <w:spacing w:before="29" w:line="219" w:lineRule="auto"/>
              <w:rPr/>
            </w:pPr>
            <w:r>
              <w:rPr/>
              <w:t>●云端数据治理需求分析</w:t>
            </w:r>
          </w:p>
          <w:p>
            <w:pPr>
              <w:pStyle w:val="TableText"/>
              <w:ind w:left="245"/>
              <w:spacing w:before="72" w:line="219" w:lineRule="auto"/>
              <w:rPr/>
            </w:pPr>
            <w:r>
              <w:rPr/>
              <w:t>●业务数据开发程序</w:t>
            </w:r>
          </w:p>
          <w:p>
            <w:pPr>
              <w:pStyle w:val="TableText"/>
              <w:ind w:left="245"/>
              <w:spacing w:before="52" w:line="219" w:lineRule="auto"/>
              <w:rPr/>
            </w:pPr>
            <w:r>
              <w:rPr>
                <w:spacing w:val="1"/>
              </w:rPr>
              <w:t>●过程裁剪指南</w:t>
            </w:r>
          </w:p>
          <w:p>
            <w:pPr>
              <w:pStyle w:val="TableText"/>
              <w:ind w:left="245"/>
              <w:spacing w:before="62" w:line="219" w:lineRule="auto"/>
              <w:rPr/>
            </w:pPr>
            <w:r>
              <w:rPr/>
              <w:t>●业务词汇表管理程序</w:t>
            </w:r>
          </w:p>
        </w:tc>
      </w:tr>
    </w:tbl>
    <w:p>
      <w:pPr>
        <w:ind w:left="325"/>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63" w:firstLine="430"/>
        <w:spacing w:before="69" w:line="255" w:lineRule="auto"/>
        <w:rPr>
          <w:rFonts w:ascii="SimSun" w:hAnsi="SimSun" w:eastAsia="SimSun" w:cs="SimSun"/>
          <w:sz w:val="21"/>
          <w:szCs w:val="21"/>
        </w:rPr>
      </w:pPr>
      <w:r>
        <w:rPr>
          <w:rFonts w:ascii="SimSun" w:hAnsi="SimSun" w:eastAsia="SimSun" w:cs="SimSun"/>
          <w:sz w:val="21"/>
          <w:szCs w:val="21"/>
          <w:spacing w:val="1"/>
        </w:rPr>
        <w:t>业务词汇管理过程应当包含一致性过程的步骤。从本质上看，此任务是将参考</w:t>
      </w:r>
      <w:r>
        <w:rPr>
          <w:rFonts w:ascii="SimSun" w:hAnsi="SimSun" w:eastAsia="SimSun" w:cs="SimSun"/>
          <w:sz w:val="21"/>
          <w:szCs w:val="21"/>
          <w:spacing w:val="3"/>
        </w:rPr>
        <w:t xml:space="preserve"> </w:t>
      </w:r>
      <w:r>
        <w:rPr>
          <w:rFonts w:ascii="SimSun" w:hAnsi="SimSun" w:eastAsia="SimSun" w:cs="SimSun"/>
          <w:sz w:val="21"/>
          <w:szCs w:val="21"/>
          <w:spacing w:val="4"/>
        </w:rPr>
        <w:t>业务词汇表的重要性渗透到开发生命周期当中。应当创建过程裁剪指南(例如，组</w:t>
      </w:r>
      <w:r>
        <w:rPr>
          <w:rFonts w:ascii="SimSun" w:hAnsi="SimSun" w:eastAsia="SimSun" w:cs="SimSun"/>
          <w:sz w:val="21"/>
          <w:szCs w:val="21"/>
          <w:spacing w:val="7"/>
        </w:rPr>
        <w:t xml:space="preserve"> </w:t>
      </w:r>
      <w:r>
        <w:rPr>
          <w:rFonts w:ascii="SimSun" w:hAnsi="SimSun" w:eastAsia="SimSun" w:cs="SimSun"/>
          <w:sz w:val="21"/>
          <w:szCs w:val="21"/>
          <w:spacing w:val="-1"/>
        </w:rPr>
        <w:t>织可能选择豁免本地数据存储区或限定用户群的数据存储区)。</w:t>
      </w:r>
    </w:p>
    <w:p>
      <w:pPr>
        <w:ind w:left="430"/>
        <w:spacing w:before="67"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3: </w:t>
      </w:r>
      <w:r>
        <w:rPr>
          <w:rFonts w:ascii="SimHei" w:hAnsi="SimHei" w:eastAsia="SimHei" w:cs="SimHei"/>
          <w:sz w:val="21"/>
          <w:szCs w:val="21"/>
          <w:b/>
          <w:bCs/>
          <w:spacing w:val="-2"/>
        </w:rPr>
        <w:t>定义级</w:t>
      </w:r>
    </w:p>
    <w:p>
      <w:pPr>
        <w:spacing w:line="140" w:lineRule="exact"/>
        <w:rPr/>
      </w:pPr>
      <w:r/>
    </w:p>
    <w:tbl>
      <w:tblPr>
        <w:tblStyle w:val="TableNormal"/>
        <w:tblW w:w="759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6"/>
        <w:gridCol w:w="3750"/>
      </w:tblGrid>
      <w:tr>
        <w:trPr>
          <w:trHeight w:val="322" w:hRule="atLeast"/>
        </w:trPr>
        <w:tc>
          <w:tcPr>
            <w:tcW w:w="724" w:type="dxa"/>
            <w:vAlign w:val="top"/>
          </w:tcPr>
          <w:p>
            <w:pPr>
              <w:pStyle w:val="TableText"/>
              <w:ind w:left="205"/>
              <w:spacing w:before="92" w:line="221" w:lineRule="auto"/>
              <w:rPr/>
            </w:pPr>
            <w:r>
              <w:rPr>
                <w:spacing w:val="-2"/>
              </w:rPr>
              <w:t>序号</w:t>
            </w:r>
          </w:p>
        </w:tc>
        <w:tc>
          <w:tcPr>
            <w:tcW w:w="3116" w:type="dxa"/>
            <w:vAlign w:val="top"/>
          </w:tcPr>
          <w:p>
            <w:pPr>
              <w:pStyle w:val="TableText"/>
              <w:ind w:left="113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948" w:hRule="atLeast"/>
        </w:trPr>
        <w:tc>
          <w:tcPr>
            <w:tcW w:w="724" w:type="dxa"/>
            <w:vAlign w:val="top"/>
          </w:tcPr>
          <w:p>
            <w:pPr>
              <w:spacing w:line="385" w:lineRule="auto"/>
              <w:rPr>
                <w:rFonts w:ascii="Arial"/>
                <w:sz w:val="21"/>
              </w:rPr>
            </w:pPr>
            <w:r/>
          </w:p>
          <w:p>
            <w:pPr>
              <w:pStyle w:val="TableText"/>
              <w:ind w:left="235"/>
              <w:spacing w:before="49" w:line="184" w:lineRule="auto"/>
              <w:rPr/>
            </w:pPr>
            <w:r>
              <w:rPr>
                <w:spacing w:val="-2"/>
              </w:rPr>
              <w:t>3.1</w:t>
            </w:r>
          </w:p>
        </w:tc>
        <w:tc>
          <w:tcPr>
            <w:tcW w:w="3116" w:type="dxa"/>
            <w:vAlign w:val="top"/>
          </w:tcPr>
          <w:p>
            <w:pPr>
              <w:pStyle w:val="TableText"/>
              <w:ind w:left="121" w:right="139" w:firstLine="109"/>
              <w:spacing w:before="39" w:line="273" w:lineRule="auto"/>
              <w:rPr/>
            </w:pPr>
            <w:r>
              <w:rPr/>
              <w:t>在创建共享库、建立数据传送标准(例如</w:t>
            </w:r>
            <w:r>
              <w:rPr>
                <w:spacing w:val="7"/>
              </w:rPr>
              <w:t xml:space="preserve">  </w:t>
            </w:r>
            <w:r>
              <w:rPr>
                <w:spacing w:val="-1"/>
              </w:rPr>
              <w:t>XML)、构建本体、建立语义模型以及进行其</w:t>
            </w:r>
            <w:r>
              <w:rPr>
                <w:spacing w:val="15"/>
              </w:rPr>
              <w:t xml:space="preserve"> </w:t>
            </w:r>
            <w:r>
              <w:rPr>
                <w:spacing w:val="-1"/>
              </w:rPr>
              <w:t>他相似的涉及组织云端数据的活动时，组织</w:t>
            </w:r>
            <w:r>
              <w:rPr>
                <w:spacing w:val="12"/>
              </w:rPr>
              <w:t xml:space="preserve"> </w:t>
            </w:r>
            <w:r>
              <w:rPr>
                <w:spacing w:val="-1"/>
              </w:rPr>
              <w:t>使用经认可的业务词汇表</w:t>
            </w:r>
          </w:p>
        </w:tc>
        <w:tc>
          <w:tcPr>
            <w:tcW w:w="3750" w:type="dxa"/>
            <w:vAlign w:val="top"/>
          </w:tcPr>
          <w:p>
            <w:pPr>
              <w:pStyle w:val="TableText"/>
              <w:ind w:left="275"/>
              <w:spacing w:before="149" w:line="219" w:lineRule="auto"/>
              <w:rPr/>
            </w:pPr>
            <w:r>
              <w:rPr>
                <w:spacing w:val="1"/>
              </w:rPr>
              <w:t>●业务词汇表使用说明</w:t>
            </w:r>
          </w:p>
          <w:p>
            <w:pPr>
              <w:pStyle w:val="TableText"/>
              <w:ind w:left="275"/>
              <w:spacing w:before="52" w:line="219" w:lineRule="auto"/>
              <w:rPr/>
            </w:pPr>
            <w:r>
              <w:rPr/>
              <w:t>●语义模型生命周期管理指南</w:t>
            </w:r>
          </w:p>
          <w:p>
            <w:pPr>
              <w:pStyle w:val="TableText"/>
              <w:ind w:left="275"/>
              <w:spacing w:before="62" w:line="219" w:lineRule="auto"/>
              <w:rPr/>
            </w:pPr>
            <w:r>
              <w:rPr/>
              <w:t>●业务词汇表审批记录</w:t>
            </w:r>
          </w:p>
        </w:tc>
      </w:tr>
    </w:tbl>
    <w:p>
      <w:pPr>
        <w:ind w:left="325"/>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186" w:firstLine="430"/>
        <w:spacing w:before="69" w:line="262" w:lineRule="auto"/>
        <w:rPr>
          <w:rFonts w:ascii="SimSun" w:hAnsi="SimSun" w:eastAsia="SimSun" w:cs="SimSun"/>
          <w:sz w:val="21"/>
          <w:szCs w:val="21"/>
        </w:rPr>
      </w:pPr>
      <w:r>
        <w:rPr>
          <w:rFonts w:ascii="SimSun" w:hAnsi="SimSun" w:eastAsia="SimSun" w:cs="SimSun"/>
          <w:sz w:val="21"/>
          <w:szCs w:val="21"/>
          <w:spacing w:val="1"/>
        </w:rPr>
        <w:t>业务词汇表明确了业务与云端数据治理过程中的相关词汇定义。针</w:t>
      </w:r>
      <w:r>
        <w:rPr>
          <w:rFonts w:ascii="SimSun" w:hAnsi="SimSun" w:eastAsia="SimSun" w:cs="SimSun"/>
          <w:sz w:val="21"/>
          <w:szCs w:val="21"/>
        </w:rPr>
        <w:t>对某一云服 </w:t>
      </w:r>
      <w:r>
        <w:rPr>
          <w:rFonts w:ascii="SimSun" w:hAnsi="SimSun" w:eastAsia="SimSun" w:cs="SimSun"/>
          <w:sz w:val="21"/>
          <w:szCs w:val="21"/>
          <w:spacing w:val="1"/>
        </w:rPr>
        <w:t>务业务制订的词汇表中往往包含与其他类似业务相互重叠或冲突的词汇和定义，以  </w:t>
      </w:r>
      <w:r>
        <w:rPr>
          <w:rFonts w:ascii="SimSun" w:hAnsi="SimSun" w:eastAsia="SimSun" w:cs="SimSun"/>
          <w:sz w:val="21"/>
          <w:szCs w:val="21"/>
          <w:spacing w:val="-2"/>
        </w:rPr>
        <w:t>帮助识别所有的数据管理活动，更好地理解组织层面上的</w:t>
      </w:r>
      <w:r>
        <w:rPr>
          <w:rFonts w:ascii="SimSun" w:hAnsi="SimSun" w:eastAsia="SimSun" w:cs="SimSun"/>
          <w:sz w:val="21"/>
          <w:szCs w:val="21"/>
          <w:spacing w:val="-3"/>
        </w:rPr>
        <w:t>词汇以及业务目标。因此，</w:t>
      </w:r>
      <w:r>
        <w:rPr>
          <w:rFonts w:ascii="SimSun" w:hAnsi="SimSun" w:eastAsia="SimSun" w:cs="SimSun"/>
          <w:sz w:val="21"/>
          <w:szCs w:val="21"/>
        </w:rPr>
        <w:t xml:space="preserve"> </w:t>
      </w:r>
      <w:r>
        <w:rPr>
          <w:rFonts w:ascii="SimSun" w:hAnsi="SimSun" w:eastAsia="SimSun" w:cs="SimSun"/>
          <w:sz w:val="21"/>
          <w:szCs w:val="21"/>
          <w:spacing w:val="1"/>
        </w:rPr>
        <w:t>对于共享库、语义模型等建立时应当充分考虑经认可的词汇解释，避免因为理解不 </w:t>
      </w:r>
      <w:r>
        <w:rPr>
          <w:rFonts w:ascii="SimSun" w:hAnsi="SimSun" w:eastAsia="SimSun" w:cs="SimSun"/>
          <w:sz w:val="21"/>
          <w:szCs w:val="21"/>
          <w:spacing w:val="1"/>
        </w:rPr>
        <w:t>一致带来的错误，这些错误产生于海量数据交互、应用和分析的过程中。</w:t>
      </w:r>
    </w:p>
    <w:p>
      <w:pPr>
        <w:spacing w:line="137" w:lineRule="exact"/>
        <w:rPr/>
      </w:pPr>
      <w:r/>
    </w:p>
    <w:tbl>
      <w:tblPr>
        <w:tblStyle w:val="TableNormal"/>
        <w:tblW w:w="758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5"/>
        <w:gridCol w:w="3750"/>
      </w:tblGrid>
      <w:tr>
        <w:trPr>
          <w:trHeight w:val="311" w:hRule="atLeast"/>
        </w:trPr>
        <w:tc>
          <w:tcPr>
            <w:tcW w:w="724" w:type="dxa"/>
            <w:vAlign w:val="top"/>
          </w:tcPr>
          <w:p>
            <w:pPr>
              <w:pStyle w:val="TableText"/>
              <w:ind w:left="205"/>
              <w:spacing w:before="82" w:line="221" w:lineRule="auto"/>
              <w:rPr/>
            </w:pPr>
            <w:r>
              <w:rPr>
                <w:spacing w:val="-2"/>
              </w:rPr>
              <w:t>序号</w:t>
            </w:r>
          </w:p>
        </w:tc>
        <w:tc>
          <w:tcPr>
            <w:tcW w:w="3115" w:type="dxa"/>
            <w:vAlign w:val="top"/>
          </w:tcPr>
          <w:p>
            <w:pPr>
              <w:pStyle w:val="TableText"/>
              <w:ind w:left="113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489" w:hRule="atLeast"/>
        </w:trPr>
        <w:tc>
          <w:tcPr>
            <w:tcW w:w="724" w:type="dxa"/>
            <w:vAlign w:val="top"/>
          </w:tcPr>
          <w:p>
            <w:pPr>
              <w:pStyle w:val="TableText"/>
              <w:ind w:left="235"/>
              <w:spacing w:before="208" w:line="183" w:lineRule="auto"/>
              <w:rPr/>
            </w:pPr>
            <w:r>
              <w:rPr>
                <w:spacing w:val="-2"/>
              </w:rPr>
              <w:t>3.2</w:t>
            </w:r>
          </w:p>
        </w:tc>
        <w:tc>
          <w:tcPr>
            <w:tcW w:w="3115" w:type="dxa"/>
            <w:vAlign w:val="top"/>
          </w:tcPr>
          <w:p>
            <w:pPr>
              <w:pStyle w:val="TableText"/>
              <w:ind w:left="110" w:right="163" w:firstLine="139"/>
              <w:spacing w:before="39" w:line="270" w:lineRule="auto"/>
              <w:rPr/>
            </w:pPr>
            <w:r>
              <w:rPr>
                <w:spacing w:val="-1"/>
              </w:rPr>
              <w:t>实施并跟踪组织级的云端数据治理，保证</w:t>
            </w:r>
            <w:r>
              <w:rPr>
                <w:spacing w:val="7"/>
              </w:rPr>
              <w:t xml:space="preserve"> </w:t>
            </w:r>
            <w:r>
              <w:rPr>
                <w:spacing w:val="-1"/>
              </w:rPr>
              <w:t>其与业务词汇表保持一致性</w:t>
            </w:r>
          </w:p>
        </w:tc>
        <w:tc>
          <w:tcPr>
            <w:tcW w:w="3750" w:type="dxa"/>
            <w:vAlign w:val="top"/>
          </w:tcPr>
          <w:p>
            <w:pPr>
              <w:pStyle w:val="TableText"/>
              <w:ind w:left="266"/>
              <w:spacing w:before="170" w:line="219" w:lineRule="auto"/>
              <w:rPr/>
            </w:pPr>
            <w:r>
              <w:rPr/>
              <w:t>●云端数据开发利用程序</w:t>
            </w:r>
          </w:p>
        </w:tc>
      </w:tr>
    </w:tbl>
    <w:p>
      <w:pPr>
        <w:pStyle w:val="BodyText"/>
        <w:rPr/>
      </w:pPr>
      <w:r/>
    </w:p>
    <w:p>
      <w:pPr>
        <w:sectPr>
          <w:footerReference w:type="default" r:id="rId199"/>
          <w:pgSz w:w="8870" w:h="13400"/>
          <w:pgMar w:top="400" w:right="578" w:bottom="548" w:left="419" w:header="0" w:footer="338" w:gutter="0"/>
        </w:sectPr>
        <w:rPr/>
      </w:pPr>
    </w:p>
    <w:p>
      <w:pPr>
        <w:ind w:left="120"/>
        <w:spacing w:before="170"/>
        <w:rPr>
          <w:rFonts w:ascii="SimSun" w:hAnsi="SimSun" w:eastAsia="SimSun" w:cs="SimSun"/>
          <w:sz w:val="21"/>
          <w:szCs w:val="21"/>
        </w:rPr>
      </w:pPr>
      <w:r>
        <w:rPr>
          <w:rFonts w:ascii="SimSun" w:hAnsi="SimSun" w:eastAsia="SimSun" w:cs="SimSun"/>
          <w:sz w:val="21"/>
          <w:szCs w:val="21"/>
          <w:position w:val="-9"/>
        </w:rPr>
        <w:drawing>
          <wp:inline distT="0" distB="0" distL="0" distR="0">
            <wp:extent cx="6365" cy="234933"/>
            <wp:effectExtent l="0" t="0" r="0" b="0"/>
            <wp:docPr id="152" name="IM 152"/>
            <wp:cNvGraphicFramePr/>
            <a:graphic>
              <a:graphicData uri="http://schemas.openxmlformats.org/drawingml/2006/picture">
                <pic:pic>
                  <pic:nvPicPr>
                    <pic:cNvPr id="152" name="IM 152"/>
                    <pic:cNvPicPr/>
                  </pic:nvPicPr>
                  <pic:blipFill>
                    <a:blip r:embed="rId201"/>
                    <a:stretch>
                      <a:fillRect/>
                    </a:stretch>
                  </pic:blipFill>
                  <pic:spPr>
                    <a:xfrm rot="0">
                      <a:off x="0" y="0"/>
                      <a:ext cx="6365" cy="234933"/>
                    </a:xfrm>
                    <a:prstGeom prst="rect">
                      <a:avLst/>
                    </a:prstGeom>
                  </pic:spPr>
                </pic:pic>
              </a:graphicData>
            </a:graphic>
          </wp:inline>
        </w:drawing>
      </w:r>
      <w:r>
        <w:rPr>
          <w:rFonts w:ascii="SimSun" w:hAnsi="SimSun" w:eastAsia="SimSun" w:cs="SimSun"/>
          <w:sz w:val="21"/>
          <w:szCs w:val="21"/>
          <w:spacing w:val="-12"/>
        </w:rPr>
        <w:t xml:space="preserve"> </w:t>
      </w:r>
      <w:r>
        <w:rPr>
          <w:rFonts w:ascii="SimSun" w:hAnsi="SimSun" w:eastAsia="SimSun" w:cs="SimSun"/>
          <w:sz w:val="21"/>
          <w:szCs w:val="21"/>
          <w:b/>
          <w:bCs/>
          <w:spacing w:val="-6"/>
        </w:rPr>
        <w:t>■云端数据治理</w:t>
      </w:r>
    </w:p>
    <w:p>
      <w:pPr>
        <w:ind w:left="544"/>
        <w:spacing w:before="298" w:line="219" w:lineRule="auto"/>
        <w:rPr>
          <w:rFonts w:ascii="SimSun" w:hAnsi="SimSun" w:eastAsia="SimSun" w:cs="SimSun"/>
          <w:sz w:val="21"/>
          <w:szCs w:val="21"/>
        </w:rPr>
      </w:pPr>
      <w:r>
        <w:rPr>
          <w:rFonts w:ascii="SimSun" w:hAnsi="SimSun" w:eastAsia="SimSun" w:cs="SimSun"/>
          <w:sz w:val="21"/>
          <w:szCs w:val="21"/>
        </w:rPr>
        <w:t>【成熟度等级说明】</w:t>
      </w:r>
    </w:p>
    <w:p>
      <w:pPr>
        <w:ind w:left="220" w:firstLine="429"/>
        <w:spacing w:before="61" w:line="255" w:lineRule="auto"/>
        <w:rPr>
          <w:rFonts w:ascii="SimSun" w:hAnsi="SimSun" w:eastAsia="SimSun" w:cs="SimSun"/>
          <w:sz w:val="21"/>
          <w:szCs w:val="21"/>
        </w:rPr>
      </w:pPr>
      <w:r>
        <w:rPr>
          <w:rFonts w:ascii="SimSun" w:hAnsi="SimSun" w:eastAsia="SimSun" w:cs="SimSun"/>
          <w:sz w:val="21"/>
          <w:szCs w:val="21"/>
          <w:spacing w:val="-2"/>
        </w:rPr>
        <w:t>尽管组织可能针对某个业务单元、主题领域或主要项目进行了该实践的标准化，</w:t>
      </w:r>
      <w:r>
        <w:rPr>
          <w:rFonts w:ascii="SimSun" w:hAnsi="SimSun" w:eastAsia="SimSun" w:cs="SimSun"/>
          <w:sz w:val="21"/>
          <w:szCs w:val="21"/>
          <w:spacing w:val="13"/>
        </w:rPr>
        <w:t xml:space="preserve"> </w:t>
      </w:r>
      <w:r>
        <w:rPr>
          <w:rFonts w:ascii="SimSun" w:hAnsi="SimSun" w:eastAsia="SimSun" w:cs="SimSun"/>
          <w:sz w:val="21"/>
          <w:szCs w:val="21"/>
          <w:spacing w:val="2"/>
        </w:rPr>
        <w:t>但只有当该实践在合适的阶段都得以实施时，遵守该</w:t>
      </w:r>
      <w:r>
        <w:rPr>
          <w:rFonts w:ascii="SimSun" w:hAnsi="SimSun" w:eastAsia="SimSun" w:cs="SimSun"/>
          <w:sz w:val="21"/>
          <w:szCs w:val="21"/>
          <w:spacing w:val="1"/>
        </w:rPr>
        <w:t>实践的完全价值才能显现。要</w:t>
      </w:r>
      <w:r>
        <w:rPr>
          <w:rFonts w:ascii="SimSun" w:hAnsi="SimSun" w:eastAsia="SimSun" w:cs="SimSun"/>
          <w:sz w:val="21"/>
          <w:szCs w:val="21"/>
        </w:rPr>
        <w:t xml:space="preserve">  </w:t>
      </w:r>
      <w:r>
        <w:rPr>
          <w:rFonts w:ascii="SimSun" w:hAnsi="SimSun" w:eastAsia="SimSun" w:cs="SimSun"/>
          <w:sz w:val="21"/>
          <w:szCs w:val="21"/>
          <w:spacing w:val="-1"/>
        </w:rPr>
        <w:t>求利用资源对开发生命周期进行一致性监督。</w:t>
      </w:r>
    </w:p>
    <w:p>
      <w:pPr>
        <w:spacing w:line="115" w:lineRule="exact"/>
        <w:rPr/>
      </w:pPr>
      <w:r/>
    </w:p>
    <w:tbl>
      <w:tblPr>
        <w:tblStyle w:val="TableNormal"/>
        <w:tblW w:w="758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40"/>
      </w:tblGrid>
      <w:tr>
        <w:trPr>
          <w:trHeight w:val="322" w:hRule="atLeast"/>
        </w:trPr>
        <w:tc>
          <w:tcPr>
            <w:tcW w:w="724" w:type="dxa"/>
            <w:vAlign w:val="top"/>
          </w:tcPr>
          <w:p>
            <w:pPr>
              <w:pStyle w:val="TableText"/>
              <w:ind w:left="204"/>
              <w:spacing w:before="92" w:line="221" w:lineRule="auto"/>
              <w:rPr/>
            </w:pPr>
            <w:r>
              <w:rPr>
                <w:spacing w:val="-2"/>
              </w:rPr>
              <w:t>序号</w:t>
            </w:r>
          </w:p>
        </w:tc>
        <w:tc>
          <w:tcPr>
            <w:tcW w:w="3125" w:type="dxa"/>
            <w:vAlign w:val="top"/>
          </w:tcPr>
          <w:p>
            <w:pPr>
              <w:pStyle w:val="TableText"/>
              <w:ind w:left="113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848" w:hRule="atLeast"/>
        </w:trPr>
        <w:tc>
          <w:tcPr>
            <w:tcW w:w="724" w:type="dxa"/>
            <w:vAlign w:val="top"/>
          </w:tcPr>
          <w:p>
            <w:pPr>
              <w:spacing w:line="337" w:lineRule="auto"/>
              <w:rPr>
                <w:rFonts w:ascii="Arial"/>
                <w:sz w:val="21"/>
              </w:rPr>
            </w:pPr>
            <w:r/>
          </w:p>
          <w:p>
            <w:pPr>
              <w:pStyle w:val="TableText"/>
              <w:ind w:left="235"/>
              <w:spacing w:before="48" w:line="183" w:lineRule="auto"/>
              <w:rPr/>
            </w:pPr>
            <w:r>
              <w:rPr>
                <w:spacing w:val="-2"/>
              </w:rPr>
              <w:t>3.3</w:t>
            </w:r>
          </w:p>
        </w:tc>
        <w:tc>
          <w:tcPr>
            <w:tcW w:w="3125" w:type="dxa"/>
            <w:vAlign w:val="top"/>
          </w:tcPr>
          <w:p>
            <w:pPr>
              <w:pStyle w:val="TableText"/>
              <w:ind w:left="110" w:right="121" w:firstLine="90"/>
              <w:spacing w:before="78" w:line="307" w:lineRule="auto"/>
              <w:rPr/>
            </w:pPr>
            <w:r>
              <w:rPr>
                <w:spacing w:val="-1"/>
              </w:rPr>
              <w:t>通过确定业务词汇、属性、物理数据的元</w:t>
            </w:r>
            <w:r>
              <w:rPr>
                <w:spacing w:val="5"/>
              </w:rPr>
              <w:t xml:space="preserve">  </w:t>
            </w:r>
            <w:r>
              <w:rPr>
                <w:spacing w:val="1"/>
              </w:rPr>
              <w:t>素名或者近义词之间的关系，组织运用机制</w:t>
            </w:r>
            <w:r>
              <w:rPr>
                <w:spacing w:val="12"/>
              </w:rPr>
              <w:t xml:space="preserve"> </w:t>
            </w:r>
            <w:r>
              <w:rPr>
                <w:spacing w:val="-1"/>
              </w:rPr>
              <w:t>来推动词汇的转换</w:t>
            </w:r>
          </w:p>
        </w:tc>
        <w:tc>
          <w:tcPr>
            <w:tcW w:w="3740" w:type="dxa"/>
            <w:vAlign w:val="top"/>
          </w:tcPr>
          <w:p>
            <w:pPr>
              <w:pStyle w:val="TableText"/>
              <w:ind w:left="265"/>
              <w:spacing w:before="79" w:line="219" w:lineRule="auto"/>
              <w:rPr/>
            </w:pPr>
            <w:r>
              <w:rPr/>
              <w:t>●业务词汇表管理程序</w:t>
            </w:r>
          </w:p>
          <w:p>
            <w:pPr>
              <w:pStyle w:val="TableText"/>
              <w:ind w:left="265"/>
              <w:spacing w:before="102" w:line="219" w:lineRule="auto"/>
              <w:rPr/>
            </w:pPr>
            <w:r>
              <w:rPr/>
              <w:t>●业务词汇对照表</w:t>
            </w:r>
          </w:p>
          <w:p>
            <w:pPr>
              <w:pStyle w:val="TableText"/>
              <w:ind w:left="265"/>
              <w:spacing w:before="122" w:line="219" w:lineRule="auto"/>
              <w:rPr/>
            </w:pPr>
            <w:r>
              <w:rPr/>
              <w:t>●业务词汇转换指南</w:t>
            </w:r>
          </w:p>
        </w:tc>
      </w:tr>
    </w:tbl>
    <w:p>
      <w:pPr>
        <w:ind w:left="54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220" w:right="39" w:firstLine="429"/>
        <w:spacing w:before="69" w:line="253" w:lineRule="auto"/>
        <w:rPr>
          <w:rFonts w:ascii="SimSun" w:hAnsi="SimSun" w:eastAsia="SimSun" w:cs="SimSun"/>
          <w:sz w:val="21"/>
          <w:szCs w:val="21"/>
        </w:rPr>
      </w:pPr>
      <w:r>
        <w:rPr>
          <w:rFonts w:ascii="SimSun" w:hAnsi="SimSun" w:eastAsia="SimSun" w:cs="SimSun"/>
          <w:sz w:val="21"/>
          <w:szCs w:val="21"/>
          <w:spacing w:val="3"/>
        </w:rPr>
        <w:t>一般来说，业务词汇的转换在数据治理的不同阶</w:t>
      </w:r>
      <w:r>
        <w:rPr>
          <w:rFonts w:ascii="SimSun" w:hAnsi="SimSun" w:eastAsia="SimSun" w:cs="SimSun"/>
          <w:sz w:val="21"/>
          <w:szCs w:val="21"/>
          <w:spacing w:val="2"/>
        </w:rPr>
        <w:t>段通过使用一些支持技术来实</w:t>
      </w:r>
      <w:r>
        <w:rPr>
          <w:rFonts w:ascii="SimSun" w:hAnsi="SimSun" w:eastAsia="SimSun" w:cs="SimSun"/>
          <w:sz w:val="21"/>
          <w:szCs w:val="21"/>
        </w:rPr>
        <w:t xml:space="preserve"> </w:t>
      </w:r>
      <w:r>
        <w:rPr>
          <w:rFonts w:ascii="SimSun" w:hAnsi="SimSun" w:eastAsia="SimSun" w:cs="SimSun"/>
          <w:sz w:val="21"/>
          <w:szCs w:val="21"/>
          <w:spacing w:val="2"/>
        </w:rPr>
        <w:t>现(例如元数据库或者客户数据库)。这些支持技术的最大作</w:t>
      </w:r>
      <w:r>
        <w:rPr>
          <w:rFonts w:ascii="SimSun" w:hAnsi="SimSun" w:eastAsia="SimSun" w:cs="SimSun"/>
          <w:sz w:val="21"/>
          <w:szCs w:val="21"/>
          <w:spacing w:val="1"/>
        </w:rPr>
        <w:t>用是帮助相关者更加简</w:t>
      </w:r>
      <w:r>
        <w:rPr>
          <w:rFonts w:ascii="SimSun" w:hAnsi="SimSun" w:eastAsia="SimSun" w:cs="SimSun"/>
          <w:sz w:val="21"/>
          <w:szCs w:val="21"/>
        </w:rPr>
        <w:t xml:space="preserve"> </w:t>
      </w:r>
      <w:r>
        <w:rPr>
          <w:rFonts w:ascii="SimSun" w:hAnsi="SimSun" w:eastAsia="SimSun" w:cs="SimSun"/>
          <w:sz w:val="21"/>
          <w:szCs w:val="21"/>
          <w:spacing w:val="-2"/>
        </w:rPr>
        <w:t>单地搜索查看业务词汇表的内容。对于业务词汇的转换</w:t>
      </w:r>
      <w:r>
        <w:rPr>
          <w:rFonts w:ascii="SimSun" w:hAnsi="SimSun" w:eastAsia="SimSun" w:cs="SimSun"/>
          <w:sz w:val="21"/>
          <w:szCs w:val="21"/>
          <w:spacing w:val="-3"/>
        </w:rPr>
        <w:t>，组织需要形成相应的机制，</w:t>
      </w:r>
      <w:r>
        <w:rPr>
          <w:rFonts w:ascii="SimSun" w:hAnsi="SimSun" w:eastAsia="SimSun" w:cs="SimSun"/>
          <w:sz w:val="21"/>
          <w:szCs w:val="21"/>
        </w:rPr>
        <w:t xml:space="preserve"> </w:t>
      </w:r>
      <w:r>
        <w:rPr>
          <w:rFonts w:ascii="SimSun" w:hAnsi="SimSun" w:eastAsia="SimSun" w:cs="SimSun"/>
          <w:sz w:val="21"/>
          <w:szCs w:val="21"/>
          <w:spacing w:val="-3"/>
        </w:rPr>
        <w:t>来确保转换的一致性和及时性。</w:t>
      </w:r>
    </w:p>
    <w:p>
      <w:pPr>
        <w:spacing w:line="147" w:lineRule="exact"/>
        <w:rPr/>
      </w:pPr>
      <w:r/>
    </w:p>
    <w:tbl>
      <w:tblPr>
        <w:tblStyle w:val="TableNormal"/>
        <w:tblW w:w="758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40"/>
      </w:tblGrid>
      <w:tr>
        <w:trPr>
          <w:trHeight w:val="312"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2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57" w:hRule="atLeast"/>
        </w:trPr>
        <w:tc>
          <w:tcPr>
            <w:tcW w:w="724" w:type="dxa"/>
            <w:vAlign w:val="top"/>
          </w:tcPr>
          <w:p>
            <w:pPr>
              <w:spacing w:line="336" w:lineRule="auto"/>
              <w:rPr>
                <w:rFonts w:ascii="Arial"/>
                <w:sz w:val="21"/>
              </w:rPr>
            </w:pPr>
            <w:r/>
          </w:p>
          <w:p>
            <w:pPr>
              <w:pStyle w:val="TableText"/>
              <w:ind w:left="234"/>
              <w:spacing w:before="52" w:line="183" w:lineRule="auto"/>
              <w:rPr>
                <w:sz w:val="16"/>
                <w:szCs w:val="16"/>
              </w:rPr>
            </w:pPr>
            <w:r>
              <w:rPr>
                <w:sz w:val="16"/>
                <w:szCs w:val="16"/>
                <w:spacing w:val="-3"/>
              </w:rPr>
              <w:t>3.4</w:t>
            </w:r>
          </w:p>
        </w:tc>
        <w:tc>
          <w:tcPr>
            <w:tcW w:w="3125" w:type="dxa"/>
            <w:vAlign w:val="top"/>
          </w:tcPr>
          <w:p>
            <w:pPr>
              <w:pStyle w:val="TableText"/>
              <w:ind w:left="100" w:firstLine="158"/>
              <w:spacing w:before="238" w:line="273" w:lineRule="auto"/>
              <w:rPr>
                <w:sz w:val="16"/>
                <w:szCs w:val="16"/>
              </w:rPr>
            </w:pPr>
            <w:r>
              <w:rPr>
                <w:sz w:val="16"/>
                <w:szCs w:val="16"/>
                <w:spacing w:val="-2"/>
              </w:rPr>
              <w:t>在变更业务词汇前执行，影响评估并获得</w:t>
            </w:r>
            <w:r>
              <w:rPr>
                <w:sz w:val="16"/>
                <w:szCs w:val="16"/>
                <w:spacing w:val="10"/>
              </w:rPr>
              <w:t xml:space="preserve"> </w:t>
            </w:r>
            <w:r>
              <w:rPr>
                <w:sz w:val="16"/>
                <w:szCs w:val="16"/>
                <w:spacing w:val="-3"/>
              </w:rPr>
              <w:t>治理认可</w:t>
            </w:r>
          </w:p>
        </w:tc>
        <w:tc>
          <w:tcPr>
            <w:tcW w:w="3740" w:type="dxa"/>
            <w:vAlign w:val="top"/>
          </w:tcPr>
          <w:p>
            <w:pPr>
              <w:pStyle w:val="TableText"/>
              <w:ind w:left="265"/>
              <w:spacing w:before="99" w:line="219" w:lineRule="auto"/>
              <w:rPr>
                <w:sz w:val="16"/>
                <w:szCs w:val="16"/>
              </w:rPr>
            </w:pPr>
            <w:r>
              <w:rPr>
                <w:sz w:val="16"/>
                <w:szCs w:val="16"/>
              </w:rPr>
              <w:t>●业务场景描述</w:t>
            </w:r>
          </w:p>
          <w:p>
            <w:pPr>
              <w:pStyle w:val="TableText"/>
              <w:ind w:left="265"/>
              <w:spacing w:before="80" w:line="219" w:lineRule="auto"/>
              <w:rPr>
                <w:sz w:val="16"/>
                <w:szCs w:val="16"/>
              </w:rPr>
            </w:pPr>
            <w:r>
              <w:rPr>
                <w:sz w:val="16"/>
                <w:szCs w:val="16"/>
              </w:rPr>
              <w:t>●业务词汇表变更控制程序</w:t>
            </w:r>
          </w:p>
          <w:p>
            <w:pPr>
              <w:pStyle w:val="TableText"/>
              <w:ind w:left="265"/>
              <w:spacing w:before="98" w:line="218" w:lineRule="auto"/>
              <w:rPr>
                <w:sz w:val="16"/>
                <w:szCs w:val="16"/>
              </w:rPr>
            </w:pPr>
            <w:r>
              <w:rPr>
                <w:sz w:val="16"/>
                <w:szCs w:val="16"/>
              </w:rPr>
              <w:t>●业务影响分析报告及建议</w:t>
            </w:r>
          </w:p>
        </w:tc>
      </w:tr>
    </w:tbl>
    <w:p>
      <w:pPr>
        <w:ind w:left="544"/>
        <w:spacing w:before="204"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220" w:right="84" w:firstLine="429"/>
        <w:spacing w:before="61" w:line="262" w:lineRule="auto"/>
        <w:rPr>
          <w:rFonts w:ascii="SimSun" w:hAnsi="SimSun" w:eastAsia="SimSun" w:cs="SimSun"/>
          <w:sz w:val="21"/>
          <w:szCs w:val="21"/>
        </w:rPr>
      </w:pPr>
      <w:r>
        <w:rPr>
          <w:rFonts w:ascii="SimSun" w:hAnsi="SimSun" w:eastAsia="SimSun" w:cs="SimSun"/>
          <w:sz w:val="21"/>
          <w:szCs w:val="21"/>
          <w:spacing w:val="2"/>
        </w:rPr>
        <w:t>云端数据治理中使用业务词汇表的过程中，针对某一云服务业务制订的词汇表</w:t>
      </w:r>
      <w:r>
        <w:rPr>
          <w:rFonts w:ascii="SimSun" w:hAnsi="SimSun" w:eastAsia="SimSun" w:cs="SimSun"/>
          <w:sz w:val="21"/>
          <w:szCs w:val="21"/>
        </w:rPr>
        <w:t xml:space="preserve"> </w:t>
      </w:r>
      <w:r>
        <w:rPr>
          <w:rFonts w:ascii="SimSun" w:hAnsi="SimSun" w:eastAsia="SimSun" w:cs="SimSun"/>
          <w:sz w:val="21"/>
          <w:szCs w:val="21"/>
          <w:spacing w:val="2"/>
        </w:rPr>
        <w:t>中往往包含与其他类似业务相互重叠或冲突的词汇和定义</w:t>
      </w:r>
      <w:r>
        <w:rPr>
          <w:rFonts w:ascii="SimSun" w:hAnsi="SimSun" w:eastAsia="SimSun" w:cs="SimSun"/>
          <w:sz w:val="21"/>
          <w:szCs w:val="21"/>
          <w:spacing w:val="1"/>
        </w:rPr>
        <w:t>，以帮助识别所有的数据</w:t>
      </w:r>
      <w:r>
        <w:rPr>
          <w:rFonts w:ascii="SimSun" w:hAnsi="SimSun" w:eastAsia="SimSun" w:cs="SimSun"/>
          <w:sz w:val="21"/>
          <w:szCs w:val="21"/>
        </w:rPr>
        <w:t xml:space="preserve"> </w:t>
      </w:r>
      <w:r>
        <w:rPr>
          <w:rFonts w:ascii="SimSun" w:hAnsi="SimSun" w:eastAsia="SimSun" w:cs="SimSun"/>
          <w:sz w:val="21"/>
          <w:szCs w:val="21"/>
          <w:spacing w:val="2"/>
        </w:rPr>
        <w:t>管理活动，更好地理解组织层面上的词汇以及业务</w:t>
      </w:r>
      <w:r>
        <w:rPr>
          <w:rFonts w:ascii="SimSun" w:hAnsi="SimSun" w:eastAsia="SimSun" w:cs="SimSun"/>
          <w:sz w:val="21"/>
          <w:szCs w:val="21"/>
          <w:spacing w:val="1"/>
        </w:rPr>
        <w:t>目标。因此，对于业务词汇变更</w:t>
      </w:r>
      <w:r>
        <w:rPr>
          <w:rFonts w:ascii="SimSun" w:hAnsi="SimSun" w:eastAsia="SimSun" w:cs="SimSun"/>
          <w:sz w:val="21"/>
          <w:szCs w:val="21"/>
        </w:rPr>
        <w:t xml:space="preserve"> </w:t>
      </w:r>
      <w:r>
        <w:rPr>
          <w:rFonts w:ascii="SimSun" w:hAnsi="SimSun" w:eastAsia="SimSun" w:cs="SimSun"/>
          <w:sz w:val="21"/>
          <w:szCs w:val="21"/>
          <w:spacing w:val="2"/>
        </w:rPr>
        <w:t>须通过影响评估分析来预防可能产生的业务影响，并在</w:t>
      </w:r>
      <w:r>
        <w:rPr>
          <w:rFonts w:ascii="SimSun" w:hAnsi="SimSun" w:eastAsia="SimSun" w:cs="SimSun"/>
          <w:sz w:val="21"/>
          <w:szCs w:val="21"/>
          <w:spacing w:val="1"/>
        </w:rPr>
        <w:t>统一的治理体系下实现这一</w:t>
      </w:r>
      <w:r>
        <w:rPr>
          <w:rFonts w:ascii="SimSun" w:hAnsi="SimSun" w:eastAsia="SimSun" w:cs="SimSun"/>
          <w:sz w:val="21"/>
          <w:szCs w:val="21"/>
        </w:rPr>
        <w:t xml:space="preserve"> </w:t>
      </w:r>
      <w:r>
        <w:rPr>
          <w:rFonts w:ascii="SimSun" w:hAnsi="SimSun" w:eastAsia="SimSun" w:cs="SimSun"/>
          <w:sz w:val="21"/>
          <w:szCs w:val="21"/>
          <w:spacing w:val="-9"/>
        </w:rPr>
        <w:t>过程。</w:t>
      </w:r>
    </w:p>
    <w:p>
      <w:pPr>
        <w:spacing w:line="136" w:lineRule="exact"/>
        <w:rPr/>
      </w:pPr>
      <w:r/>
    </w:p>
    <w:tbl>
      <w:tblPr>
        <w:tblStyle w:val="TableNormal"/>
        <w:tblW w:w="759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6"/>
        <w:gridCol w:w="3740"/>
      </w:tblGrid>
      <w:tr>
        <w:trPr>
          <w:trHeight w:val="311" w:hRule="atLeast"/>
        </w:trPr>
        <w:tc>
          <w:tcPr>
            <w:tcW w:w="724" w:type="dxa"/>
            <w:vAlign w:val="top"/>
          </w:tcPr>
          <w:p>
            <w:pPr>
              <w:pStyle w:val="TableText"/>
              <w:ind w:left="205"/>
              <w:spacing w:before="81" w:line="221" w:lineRule="auto"/>
              <w:rPr/>
            </w:pPr>
            <w:r>
              <w:rPr>
                <w:spacing w:val="-2"/>
              </w:rPr>
              <w:t>序号</w:t>
            </w:r>
          </w:p>
        </w:tc>
        <w:tc>
          <w:tcPr>
            <w:tcW w:w="3126"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568" w:hRule="atLeast"/>
        </w:trPr>
        <w:tc>
          <w:tcPr>
            <w:tcW w:w="724" w:type="dxa"/>
            <w:vAlign w:val="top"/>
          </w:tcPr>
          <w:p>
            <w:pPr>
              <w:pStyle w:val="TableText"/>
              <w:ind w:left="235"/>
              <w:spacing w:before="248" w:line="183" w:lineRule="auto"/>
              <w:rPr/>
            </w:pPr>
            <w:r>
              <w:rPr>
                <w:spacing w:val="-2"/>
              </w:rPr>
              <w:t>3.5</w:t>
            </w:r>
          </w:p>
        </w:tc>
        <w:tc>
          <w:tcPr>
            <w:tcW w:w="3126" w:type="dxa"/>
            <w:vAlign w:val="top"/>
          </w:tcPr>
          <w:p>
            <w:pPr>
              <w:pStyle w:val="TableText"/>
              <w:ind w:left="121" w:right="153" w:firstLine="149"/>
              <w:spacing w:before="78" w:line="289" w:lineRule="auto"/>
              <w:rPr/>
            </w:pPr>
            <w:r>
              <w:rPr>
                <w:spacing w:val="-1"/>
              </w:rPr>
              <w:t>获取并使用度量数据来评估组织建立完整</w:t>
            </w:r>
            <w:r>
              <w:rPr>
                <w:spacing w:val="8"/>
              </w:rPr>
              <w:t xml:space="preserve"> </w:t>
            </w:r>
            <w:r>
              <w:rPr>
                <w:spacing w:val="-1"/>
              </w:rPr>
              <w:t>业务词汇表的进度</w:t>
            </w:r>
          </w:p>
        </w:tc>
        <w:tc>
          <w:tcPr>
            <w:tcW w:w="3740" w:type="dxa"/>
            <w:vAlign w:val="top"/>
          </w:tcPr>
          <w:p>
            <w:pPr>
              <w:pStyle w:val="TableText"/>
              <w:ind w:left="275"/>
              <w:spacing w:before="210" w:line="219" w:lineRule="auto"/>
              <w:rPr/>
            </w:pPr>
            <w:r>
              <w:rPr/>
              <w:t>●业务词汇表完整度控制程序</w:t>
            </w:r>
          </w:p>
        </w:tc>
      </w:tr>
    </w:tbl>
    <w:p>
      <w:pPr>
        <w:ind w:left="54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20" w:right="68" w:firstLine="429"/>
        <w:spacing w:before="49" w:line="266" w:lineRule="auto"/>
        <w:rPr>
          <w:rFonts w:ascii="SimSun" w:hAnsi="SimSun" w:eastAsia="SimSun" w:cs="SimSun"/>
          <w:sz w:val="21"/>
          <w:szCs w:val="21"/>
        </w:rPr>
      </w:pPr>
      <w:r>
        <w:rPr>
          <w:rFonts w:ascii="SimSun" w:hAnsi="SimSun" w:eastAsia="SimSun" w:cs="SimSun"/>
          <w:sz w:val="21"/>
          <w:szCs w:val="21"/>
          <w:spacing w:val="1"/>
        </w:rPr>
        <w:t>度量不仅仅能估算目标和进度的完成情况，还能使参与者保持热情，持续地进</w:t>
      </w:r>
      <w:r>
        <w:rPr>
          <w:rFonts w:ascii="SimSun" w:hAnsi="SimSun" w:eastAsia="SimSun" w:cs="SimSun"/>
          <w:sz w:val="21"/>
          <w:szCs w:val="21"/>
          <w:spacing w:val="13"/>
        </w:rPr>
        <w:t xml:space="preserve"> </w:t>
      </w:r>
      <w:r>
        <w:rPr>
          <w:rFonts w:ascii="SimSun" w:hAnsi="SimSun" w:eastAsia="SimSun" w:cs="SimSun"/>
          <w:sz w:val="21"/>
          <w:szCs w:val="21"/>
          <w:spacing w:val="2"/>
        </w:rPr>
        <w:t>行与词汇表相关的工作。度量的内容和范围应以云端</w:t>
      </w:r>
      <w:r>
        <w:rPr>
          <w:rFonts w:ascii="SimSun" w:hAnsi="SimSun" w:eastAsia="SimSun" w:cs="SimSun"/>
          <w:sz w:val="21"/>
          <w:szCs w:val="21"/>
          <w:spacing w:val="1"/>
        </w:rPr>
        <w:t>数据治理涉及的业务范围作为</w:t>
      </w:r>
      <w:r>
        <w:rPr>
          <w:rFonts w:ascii="SimSun" w:hAnsi="SimSun" w:eastAsia="SimSun" w:cs="SimSun"/>
          <w:sz w:val="21"/>
          <w:szCs w:val="21"/>
        </w:rPr>
        <w:t xml:space="preserve"> </w:t>
      </w:r>
      <w:r>
        <w:rPr>
          <w:rFonts w:ascii="SimSun" w:hAnsi="SimSun" w:eastAsia="SimSun" w:cs="SimSun"/>
          <w:sz w:val="21"/>
          <w:szCs w:val="21"/>
        </w:rPr>
        <w:t>主要的对象，开展有效的度量。度量指标项应经相关业务部</w:t>
      </w:r>
      <w:r>
        <w:rPr>
          <w:rFonts w:ascii="SimSun" w:hAnsi="SimSun" w:eastAsia="SimSun" w:cs="SimSun"/>
          <w:sz w:val="21"/>
          <w:szCs w:val="21"/>
          <w:spacing w:val="-1"/>
        </w:rPr>
        <w:t>门主管评审，并与部门/</w:t>
      </w:r>
      <w:r>
        <w:rPr>
          <w:rFonts w:ascii="SimSun" w:hAnsi="SimSun" w:eastAsia="SimSun" w:cs="SimSun"/>
          <w:sz w:val="21"/>
          <w:szCs w:val="21"/>
        </w:rPr>
        <w:t xml:space="preserve"> </w:t>
      </w:r>
      <w:r>
        <w:rPr>
          <w:rFonts w:ascii="SimSun" w:hAnsi="SimSun" w:eastAsia="SimSun" w:cs="SimSun"/>
          <w:sz w:val="21"/>
          <w:szCs w:val="21"/>
          <w:spacing w:val="-2"/>
        </w:rPr>
        <w:t>业务绩效相关联，以确保度量工作开展的有效性。</w:t>
      </w:r>
    </w:p>
    <w:p>
      <w:pPr>
        <w:spacing w:line="266" w:lineRule="auto"/>
        <w:sectPr>
          <w:footerReference w:type="default" r:id="rId200"/>
          <w:pgSz w:w="8870" w:h="13400"/>
          <w:pgMar w:top="400" w:right="515" w:bottom="488" w:left="409" w:header="0" w:footer="278" w:gutter="0"/>
        </w:sectPr>
        <w:rPr>
          <w:rFonts w:ascii="SimSun" w:hAnsi="SimSun" w:eastAsia="SimSun" w:cs="SimSun"/>
          <w:sz w:val="21"/>
          <w:szCs w:val="21"/>
        </w:rPr>
      </w:pPr>
    </w:p>
    <w:p>
      <w:pPr>
        <w:ind w:left="5473"/>
        <w:spacing w:before="174" w:line="219" w:lineRule="auto"/>
        <w:rPr>
          <w:rFonts w:ascii="SimSun" w:hAnsi="SimSun" w:eastAsia="SimSun" w:cs="SimSun"/>
          <w:sz w:val="22"/>
          <w:szCs w:val="22"/>
        </w:rPr>
      </w:pPr>
      <w:r>
        <w:rPr>
          <w:rFonts w:ascii="SimSun" w:hAnsi="SimSun" w:eastAsia="SimSun" w:cs="SimSun"/>
          <w:sz w:val="22"/>
          <w:szCs w:val="22"/>
          <w:b/>
          <w:bCs/>
          <w:spacing w:val="6"/>
        </w:rPr>
        <w:t>第5章■云端数据管理</w:t>
      </w:r>
    </w:p>
    <w:p>
      <w:pPr>
        <w:spacing w:before="137"/>
        <w:rPr/>
      </w:pPr>
      <w:r/>
    </w:p>
    <w:tbl>
      <w:tblPr>
        <w:tblStyle w:val="TableNormal"/>
        <w:tblW w:w="759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6"/>
        <w:gridCol w:w="3750"/>
      </w:tblGrid>
      <w:tr>
        <w:trPr>
          <w:trHeight w:val="312" w:hRule="atLeast"/>
        </w:trPr>
        <w:tc>
          <w:tcPr>
            <w:tcW w:w="724" w:type="dxa"/>
            <w:vAlign w:val="top"/>
          </w:tcPr>
          <w:p>
            <w:pPr>
              <w:pStyle w:val="TableText"/>
              <w:ind w:left="205"/>
              <w:spacing w:before="82" w:line="221" w:lineRule="auto"/>
              <w:rPr/>
            </w:pPr>
            <w:r>
              <w:rPr>
                <w:spacing w:val="-2"/>
              </w:rPr>
              <w:t>序号</w:t>
            </w:r>
          </w:p>
        </w:tc>
        <w:tc>
          <w:tcPr>
            <w:tcW w:w="3116" w:type="dxa"/>
            <w:vAlign w:val="top"/>
          </w:tcPr>
          <w:p>
            <w:pPr>
              <w:pStyle w:val="TableText"/>
              <w:ind w:left="1251"/>
              <w:spacing w:before="81" w:line="219" w:lineRule="auto"/>
              <w:rPr/>
            </w:pPr>
            <w:r>
              <w:rPr>
                <w:spacing w:val="-2"/>
              </w:rPr>
              <w:t>等级要求</w:t>
            </w:r>
          </w:p>
        </w:tc>
        <w:tc>
          <w:tcPr>
            <w:tcW w:w="3750" w:type="dxa"/>
            <w:vAlign w:val="top"/>
          </w:tcPr>
          <w:p>
            <w:pPr>
              <w:pStyle w:val="TableText"/>
              <w:ind w:left="1725"/>
              <w:spacing w:before="81" w:line="220" w:lineRule="auto"/>
              <w:rPr/>
            </w:pPr>
            <w:r>
              <w:rPr>
                <w:spacing w:val="6"/>
              </w:rPr>
              <w:t>实例</w:t>
            </w:r>
          </w:p>
        </w:tc>
      </w:tr>
      <w:tr>
        <w:trPr>
          <w:trHeight w:val="858" w:hRule="atLeast"/>
        </w:trPr>
        <w:tc>
          <w:tcPr>
            <w:tcW w:w="724" w:type="dxa"/>
            <w:vAlign w:val="top"/>
          </w:tcPr>
          <w:p>
            <w:pPr>
              <w:spacing w:line="347" w:lineRule="auto"/>
              <w:rPr>
                <w:rFonts w:ascii="Arial"/>
                <w:sz w:val="21"/>
              </w:rPr>
            </w:pPr>
            <w:r/>
          </w:p>
          <w:p>
            <w:pPr>
              <w:pStyle w:val="TableText"/>
              <w:ind w:left="235"/>
              <w:spacing w:before="48" w:line="183" w:lineRule="auto"/>
              <w:rPr/>
            </w:pPr>
            <w:r>
              <w:rPr>
                <w:spacing w:val="-2"/>
              </w:rPr>
              <w:t>3.6</w:t>
            </w:r>
          </w:p>
        </w:tc>
        <w:tc>
          <w:tcPr>
            <w:tcW w:w="3116" w:type="dxa"/>
            <w:vAlign w:val="top"/>
          </w:tcPr>
          <w:p>
            <w:pPr>
              <w:pStyle w:val="TableText"/>
              <w:ind w:left="91" w:right="140" w:firstLine="109"/>
              <w:spacing w:before="80" w:line="307" w:lineRule="auto"/>
              <w:jc w:val="both"/>
              <w:rPr/>
            </w:pPr>
            <w:r>
              <w:rPr>
                <w:spacing w:val="-1"/>
              </w:rPr>
              <w:t>使用一致性监督过程来确认业务词汇的正</w:t>
            </w:r>
            <w:r>
              <w:rPr>
                <w:spacing w:val="5"/>
              </w:rPr>
              <w:t xml:space="preserve">  </w:t>
            </w:r>
            <w:r>
              <w:rPr>
                <w:spacing w:val="1"/>
              </w:rPr>
              <w:t>确使用，发现例外情况，并确保例外情况得</w:t>
            </w:r>
            <w:r>
              <w:rPr>
                <w:spacing w:val="4"/>
              </w:rPr>
              <w:t xml:space="preserve"> </w:t>
            </w:r>
            <w:r>
              <w:rPr>
                <w:spacing w:val="-3"/>
              </w:rPr>
              <w:t>到处理</w:t>
            </w:r>
          </w:p>
        </w:tc>
        <w:tc>
          <w:tcPr>
            <w:tcW w:w="3750" w:type="dxa"/>
            <w:vAlign w:val="top"/>
          </w:tcPr>
          <w:p>
            <w:pPr>
              <w:pStyle w:val="TableText"/>
              <w:ind w:left="275"/>
              <w:spacing w:before="79" w:line="219" w:lineRule="auto"/>
              <w:rPr/>
            </w:pPr>
            <w:r>
              <w:rPr/>
              <w:t>●业务词汇一致性监督控制程序</w:t>
            </w:r>
          </w:p>
          <w:p>
            <w:pPr>
              <w:pStyle w:val="TableText"/>
              <w:ind w:left="275"/>
              <w:spacing w:before="112" w:line="219" w:lineRule="auto"/>
              <w:rPr/>
            </w:pPr>
            <w:r>
              <w:rPr/>
              <w:t>●业务词汇表管理程序</w:t>
            </w:r>
          </w:p>
          <w:p>
            <w:pPr>
              <w:pStyle w:val="TableText"/>
              <w:ind w:left="275"/>
              <w:spacing w:before="100" w:line="218" w:lineRule="auto"/>
              <w:rPr/>
            </w:pPr>
            <w:r>
              <w:rPr/>
              <w:t>●业务影响分析报告及建议</w:t>
            </w:r>
          </w:p>
        </w:tc>
      </w:tr>
    </w:tbl>
    <w:p>
      <w:pPr>
        <w:ind w:left="29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37" w:firstLine="409"/>
        <w:spacing w:before="45" w:line="250" w:lineRule="auto"/>
        <w:rPr>
          <w:rFonts w:ascii="SimSun" w:hAnsi="SimSun" w:eastAsia="SimSun" w:cs="SimSun"/>
          <w:sz w:val="22"/>
          <w:szCs w:val="22"/>
        </w:rPr>
      </w:pPr>
      <w:r>
        <w:rPr>
          <w:rFonts w:ascii="SimSun" w:hAnsi="SimSun" w:eastAsia="SimSun" w:cs="SimSun"/>
          <w:sz w:val="22"/>
          <w:szCs w:val="22"/>
          <w:spacing w:val="-8"/>
        </w:rPr>
        <w:t>根据一致性报告制订针对不符合要求词汇以及例外词汇的修订方案。修订方案</w:t>
      </w:r>
      <w:r>
        <w:rPr>
          <w:rFonts w:ascii="SimSun" w:hAnsi="SimSun" w:eastAsia="SimSun" w:cs="SimSun"/>
          <w:sz w:val="22"/>
          <w:szCs w:val="22"/>
          <w:spacing w:val="1"/>
        </w:rPr>
        <w:t xml:space="preserve"> </w:t>
      </w:r>
      <w:r>
        <w:rPr>
          <w:rFonts w:ascii="SimSun" w:hAnsi="SimSun" w:eastAsia="SimSun" w:cs="SimSun"/>
          <w:sz w:val="22"/>
          <w:szCs w:val="22"/>
          <w:spacing w:val="-5"/>
        </w:rPr>
        <w:t>的执行日期可能与预定的发布日期相同。针对一些对组织至关重要的业务</w:t>
      </w:r>
      <w:r>
        <w:rPr>
          <w:rFonts w:ascii="SimSun" w:hAnsi="SimSun" w:eastAsia="SimSun" w:cs="SimSun"/>
          <w:sz w:val="22"/>
          <w:szCs w:val="22"/>
          <w:spacing w:val="-6"/>
        </w:rPr>
        <w:t>词汇(例</w:t>
      </w:r>
      <w:r>
        <w:rPr>
          <w:rFonts w:ascii="SimSun" w:hAnsi="SimSun" w:eastAsia="SimSun" w:cs="SimSun"/>
          <w:sz w:val="22"/>
          <w:szCs w:val="22"/>
        </w:rPr>
        <w:t xml:space="preserve"> </w:t>
      </w:r>
      <w:r>
        <w:rPr>
          <w:rFonts w:ascii="SimSun" w:hAnsi="SimSun" w:eastAsia="SimSun" w:cs="SimSun"/>
          <w:sz w:val="22"/>
          <w:szCs w:val="22"/>
          <w:spacing w:val="-8"/>
        </w:rPr>
        <w:t>如共享库、重要标准报告、管理要求等),可以确切地策划发布以解决问题。所有相</w:t>
      </w:r>
      <w:r>
        <w:rPr>
          <w:rFonts w:ascii="SimSun" w:hAnsi="SimSun" w:eastAsia="SimSun" w:cs="SimSun"/>
          <w:sz w:val="22"/>
          <w:szCs w:val="22"/>
          <w:spacing w:val="2"/>
        </w:rPr>
        <w:t xml:space="preserve"> </w:t>
      </w:r>
      <w:r>
        <w:rPr>
          <w:rFonts w:ascii="SimSun" w:hAnsi="SimSun" w:eastAsia="SimSun" w:cs="SimSun"/>
          <w:sz w:val="22"/>
          <w:szCs w:val="22"/>
          <w:spacing w:val="-11"/>
        </w:rPr>
        <w:t>关者都要收到例外报告，包括相应的影响分析以及修订活动。</w:t>
      </w:r>
    </w:p>
    <w:p>
      <w:pPr>
        <w:ind w:left="412"/>
        <w:spacing w:before="57" w:line="221" w:lineRule="auto"/>
        <w:rPr>
          <w:rFonts w:ascii="SimHei" w:hAnsi="SimHei" w:eastAsia="SimHei" w:cs="SimHei"/>
          <w:sz w:val="22"/>
          <w:szCs w:val="22"/>
        </w:rPr>
      </w:pPr>
      <w:r>
        <w:rPr>
          <w:rFonts w:ascii="SimSun" w:hAnsi="SimSun" w:eastAsia="SimSun" w:cs="SimSun"/>
          <w:sz w:val="22"/>
          <w:szCs w:val="22"/>
          <w:b/>
          <w:bCs/>
          <w:spacing w:val="-10"/>
        </w:rPr>
        <w:t>Level</w:t>
      </w:r>
      <w:r>
        <w:rPr>
          <w:rFonts w:ascii="SimSun" w:hAnsi="SimSun" w:eastAsia="SimSun" w:cs="SimSun"/>
          <w:sz w:val="22"/>
          <w:szCs w:val="22"/>
          <w:spacing w:val="-10"/>
        </w:rPr>
        <w:t xml:space="preserve"> </w:t>
      </w:r>
      <w:r>
        <w:rPr>
          <w:rFonts w:ascii="SimSun" w:hAnsi="SimSun" w:eastAsia="SimSun" w:cs="SimSun"/>
          <w:sz w:val="22"/>
          <w:szCs w:val="22"/>
          <w:b/>
          <w:bCs/>
          <w:spacing w:val="-10"/>
        </w:rPr>
        <w:t>4:</w:t>
      </w:r>
      <w:r>
        <w:rPr>
          <w:rFonts w:ascii="SimSun" w:hAnsi="SimSun" w:eastAsia="SimSun" w:cs="SimSun"/>
          <w:sz w:val="22"/>
          <w:szCs w:val="22"/>
          <w:spacing w:val="-32"/>
        </w:rPr>
        <w:t xml:space="preserve"> </w:t>
      </w:r>
      <w:r>
        <w:rPr>
          <w:rFonts w:ascii="SimHei" w:hAnsi="SimHei" w:eastAsia="SimHei" w:cs="SimHei"/>
          <w:sz w:val="22"/>
          <w:szCs w:val="22"/>
          <w:b/>
          <w:bCs/>
          <w:spacing w:val="-10"/>
        </w:rPr>
        <w:t>量化级</w:t>
      </w:r>
    </w:p>
    <w:p>
      <w:pPr>
        <w:spacing w:line="117"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25"/>
        <w:gridCol w:w="3760"/>
      </w:tblGrid>
      <w:tr>
        <w:trPr>
          <w:trHeight w:val="331" w:hRule="atLeast"/>
        </w:trPr>
        <w:tc>
          <w:tcPr>
            <w:tcW w:w="714" w:type="dxa"/>
            <w:vAlign w:val="top"/>
          </w:tcPr>
          <w:p>
            <w:pPr>
              <w:pStyle w:val="TableText"/>
              <w:ind w:left="195"/>
              <w:spacing w:before="92" w:line="221" w:lineRule="auto"/>
              <w:rPr/>
            </w:pPr>
            <w:r>
              <w:rPr>
                <w:spacing w:val="-2"/>
              </w:rPr>
              <w:t>序号</w:t>
            </w:r>
          </w:p>
        </w:tc>
        <w:tc>
          <w:tcPr>
            <w:tcW w:w="3125" w:type="dxa"/>
            <w:vAlign w:val="top"/>
          </w:tcPr>
          <w:p>
            <w:pPr>
              <w:pStyle w:val="TableText"/>
              <w:ind w:left="115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558" w:hRule="atLeast"/>
        </w:trPr>
        <w:tc>
          <w:tcPr>
            <w:tcW w:w="714" w:type="dxa"/>
            <w:vAlign w:val="top"/>
          </w:tcPr>
          <w:p>
            <w:pPr>
              <w:pStyle w:val="TableText"/>
              <w:ind w:left="234"/>
              <w:spacing w:before="247" w:line="184" w:lineRule="auto"/>
              <w:rPr/>
            </w:pPr>
            <w:r>
              <w:rPr>
                <w:spacing w:val="-2"/>
              </w:rPr>
              <w:t>4.1</w:t>
            </w:r>
          </w:p>
        </w:tc>
        <w:tc>
          <w:tcPr>
            <w:tcW w:w="3125" w:type="dxa"/>
            <w:vAlign w:val="top"/>
          </w:tcPr>
          <w:p>
            <w:pPr>
              <w:pStyle w:val="TableText"/>
              <w:ind w:left="120" w:right="150" w:firstLine="149"/>
              <w:spacing w:before="79" w:line="281" w:lineRule="auto"/>
              <w:rPr/>
            </w:pPr>
            <w:r>
              <w:rPr>
                <w:spacing w:val="-1"/>
              </w:rPr>
              <w:t>使用数据或其他定量技术来管理过程，并</w:t>
            </w:r>
            <w:r>
              <w:rPr>
                <w:spacing w:val="10"/>
              </w:rPr>
              <w:t xml:space="preserve"> </w:t>
            </w:r>
            <w:r>
              <w:rPr/>
              <w:t>向高层报告并预测业务词汇的集成情况</w:t>
            </w:r>
          </w:p>
        </w:tc>
        <w:tc>
          <w:tcPr>
            <w:tcW w:w="3760" w:type="dxa"/>
            <w:vAlign w:val="top"/>
          </w:tcPr>
          <w:p>
            <w:pPr>
              <w:pStyle w:val="TableText"/>
              <w:ind w:left="266"/>
              <w:spacing w:before="88" w:line="218" w:lineRule="auto"/>
              <w:rPr/>
            </w:pPr>
            <w:r>
              <w:rPr/>
              <w:t>●业务词汇集成度量化评价程序</w:t>
            </w:r>
          </w:p>
          <w:p>
            <w:pPr>
              <w:pStyle w:val="TableText"/>
              <w:ind w:left="266"/>
              <w:spacing w:before="92" w:line="218" w:lineRule="auto"/>
              <w:rPr/>
            </w:pPr>
            <w:r>
              <w:rPr>
                <w:spacing w:val="1"/>
              </w:rPr>
              <w:t>●业务词汇集成度报告</w:t>
            </w:r>
          </w:p>
        </w:tc>
      </w:tr>
    </w:tbl>
    <w:p>
      <w:pPr>
        <w:ind w:left="29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165" w:firstLine="409"/>
        <w:spacing w:before="49" w:line="241" w:lineRule="auto"/>
        <w:rPr>
          <w:rFonts w:ascii="SimSun" w:hAnsi="SimSun" w:eastAsia="SimSun" w:cs="SimSun"/>
          <w:sz w:val="22"/>
          <w:szCs w:val="22"/>
        </w:rPr>
      </w:pPr>
      <w:r>
        <w:rPr>
          <w:rFonts w:ascii="SimSun" w:hAnsi="SimSun" w:eastAsia="SimSun" w:cs="SimSun"/>
          <w:sz w:val="22"/>
          <w:szCs w:val="22"/>
          <w:spacing w:val="-12"/>
        </w:rPr>
        <w:t>通过线性规划、非线性规划、重置问题模型、等候线问题模型、马尔可夫过程、</w:t>
      </w:r>
      <w:r>
        <w:rPr>
          <w:rFonts w:ascii="SimSun" w:hAnsi="SimSun" w:eastAsia="SimSun" w:cs="SimSun"/>
          <w:sz w:val="22"/>
          <w:szCs w:val="22"/>
          <w:spacing w:val="8"/>
        </w:rPr>
        <w:t xml:space="preserve"> </w:t>
      </w:r>
      <w:r>
        <w:rPr>
          <w:rFonts w:ascii="SimSun" w:hAnsi="SimSun" w:eastAsia="SimSun" w:cs="SimSun"/>
          <w:sz w:val="22"/>
          <w:szCs w:val="22"/>
          <w:spacing w:val="-8"/>
        </w:rPr>
        <w:t>存量控制、网络分析和博弈问题模型等定量决策</w:t>
      </w:r>
      <w:r>
        <w:rPr>
          <w:rFonts w:ascii="SimSun" w:hAnsi="SimSun" w:eastAsia="SimSun" w:cs="SimSun"/>
          <w:sz w:val="22"/>
          <w:szCs w:val="22"/>
          <w:spacing w:val="-9"/>
        </w:rPr>
        <w:t>技术，对业务词汇表这一过程域进 </w:t>
      </w:r>
      <w:r>
        <w:rPr>
          <w:rFonts w:ascii="SimSun" w:hAnsi="SimSun" w:eastAsia="SimSun" w:cs="SimSun"/>
          <w:sz w:val="22"/>
          <w:szCs w:val="22"/>
          <w:spacing w:val="-10"/>
        </w:rPr>
        <w:t>行量化管理，以实现对于业务词汇管理的绩效量化体现和针对性改进措施的制订。</w:t>
      </w:r>
    </w:p>
    <w:p>
      <w:pPr>
        <w:spacing w:line="124" w:lineRule="exact"/>
        <w:rPr/>
      </w:pPr>
      <w:r/>
    </w:p>
    <w:tbl>
      <w:tblPr>
        <w:tblStyle w:val="TableNormal"/>
        <w:tblW w:w="759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26"/>
        <w:gridCol w:w="3750"/>
      </w:tblGrid>
      <w:tr>
        <w:trPr>
          <w:trHeight w:val="321" w:hRule="atLeast"/>
        </w:trPr>
        <w:tc>
          <w:tcPr>
            <w:tcW w:w="714" w:type="dxa"/>
            <w:vAlign w:val="top"/>
          </w:tcPr>
          <w:p>
            <w:pPr>
              <w:pStyle w:val="TableText"/>
              <w:ind w:left="185"/>
              <w:spacing w:before="82" w:line="221" w:lineRule="auto"/>
              <w:rPr>
                <w:sz w:val="16"/>
                <w:szCs w:val="16"/>
              </w:rPr>
            </w:pPr>
            <w:r>
              <w:rPr>
                <w:sz w:val="16"/>
                <w:szCs w:val="16"/>
                <w:spacing w:val="-2"/>
              </w:rPr>
              <w:t>序号</w:t>
            </w:r>
          </w:p>
        </w:tc>
        <w:tc>
          <w:tcPr>
            <w:tcW w:w="3126" w:type="dxa"/>
            <w:vAlign w:val="top"/>
          </w:tcPr>
          <w:p>
            <w:pPr>
              <w:pStyle w:val="TableText"/>
              <w:ind w:left="1131"/>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9" w:hRule="atLeast"/>
        </w:trPr>
        <w:tc>
          <w:tcPr>
            <w:tcW w:w="714" w:type="dxa"/>
            <w:vAlign w:val="top"/>
          </w:tcPr>
          <w:p>
            <w:pPr>
              <w:pStyle w:val="TableText"/>
              <w:ind w:left="224"/>
              <w:spacing w:before="251" w:line="183" w:lineRule="auto"/>
              <w:rPr>
                <w:sz w:val="16"/>
                <w:szCs w:val="16"/>
              </w:rPr>
            </w:pPr>
            <w:r>
              <w:rPr>
                <w:sz w:val="16"/>
                <w:szCs w:val="16"/>
                <w:spacing w:val="-2"/>
              </w:rPr>
              <w:t>4.2</w:t>
            </w:r>
          </w:p>
        </w:tc>
        <w:tc>
          <w:tcPr>
            <w:tcW w:w="3126" w:type="dxa"/>
            <w:vAlign w:val="top"/>
          </w:tcPr>
          <w:p>
            <w:pPr>
              <w:pStyle w:val="TableText"/>
              <w:ind w:left="131" w:right="187" w:firstLine="60"/>
              <w:spacing w:before="90" w:line="276" w:lineRule="auto"/>
              <w:rPr>
                <w:sz w:val="16"/>
                <w:szCs w:val="16"/>
              </w:rPr>
            </w:pPr>
            <w:r>
              <w:rPr>
                <w:sz w:val="16"/>
                <w:szCs w:val="16"/>
                <w:spacing w:val="1"/>
              </w:rPr>
              <w:t>将业务词汇表集成到组织的元数据库中</w:t>
            </w:r>
            <w:r>
              <w:rPr>
                <w:sz w:val="16"/>
                <w:szCs w:val="16"/>
              </w:rPr>
              <w:t xml:space="preserve"> </w:t>
            </w:r>
            <w:r>
              <w:rPr>
                <w:sz w:val="16"/>
                <w:szCs w:val="16"/>
                <w:spacing w:val="-1"/>
              </w:rPr>
              <w:t>并设定适当的访问权限</w:t>
            </w:r>
          </w:p>
        </w:tc>
        <w:tc>
          <w:tcPr>
            <w:tcW w:w="3750" w:type="dxa"/>
            <w:vAlign w:val="top"/>
          </w:tcPr>
          <w:p>
            <w:pPr>
              <w:pStyle w:val="TableText"/>
              <w:ind w:left="265"/>
              <w:spacing w:before="90" w:line="219" w:lineRule="auto"/>
              <w:rPr>
                <w:sz w:val="16"/>
                <w:szCs w:val="16"/>
              </w:rPr>
            </w:pPr>
            <w:r>
              <w:rPr>
                <w:sz w:val="16"/>
                <w:szCs w:val="16"/>
                <w:spacing w:val="1"/>
              </w:rPr>
              <w:t>●元数据库管理程序</w:t>
            </w:r>
          </w:p>
          <w:p>
            <w:pPr>
              <w:pStyle w:val="TableText"/>
              <w:ind w:left="265"/>
              <w:spacing w:before="99" w:line="218" w:lineRule="auto"/>
              <w:rPr>
                <w:sz w:val="16"/>
                <w:szCs w:val="16"/>
              </w:rPr>
            </w:pPr>
            <w:r>
              <w:rPr>
                <w:sz w:val="16"/>
                <w:szCs w:val="16"/>
              </w:rPr>
              <w:t>●元数据库访问控制程序</w:t>
            </w:r>
          </w:p>
        </w:tc>
      </w:tr>
    </w:tbl>
    <w:p>
      <w:pPr>
        <w:ind w:left="299"/>
        <w:spacing w:before="195"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42" w:firstLine="409"/>
        <w:spacing w:before="29" w:line="256" w:lineRule="auto"/>
        <w:rPr>
          <w:rFonts w:ascii="SimSun" w:hAnsi="SimSun" w:eastAsia="SimSun" w:cs="SimSun"/>
          <w:sz w:val="22"/>
          <w:szCs w:val="22"/>
        </w:rPr>
      </w:pPr>
      <w:r>
        <w:rPr>
          <w:rFonts w:ascii="SimSun" w:hAnsi="SimSun" w:eastAsia="SimSun" w:cs="SimSun"/>
          <w:sz w:val="22"/>
          <w:szCs w:val="22"/>
          <w:spacing w:val="-8"/>
        </w:rPr>
        <w:t>元数据库中的大部分定义与业务有直接关系，因此需将业务词汇表与组织的元</w:t>
      </w:r>
      <w:r>
        <w:rPr>
          <w:rFonts w:ascii="SimSun" w:hAnsi="SimSun" w:eastAsia="SimSun" w:cs="SimSun"/>
          <w:sz w:val="22"/>
          <w:szCs w:val="22"/>
        </w:rPr>
        <w:t xml:space="preserve"> </w:t>
      </w:r>
      <w:r>
        <w:rPr>
          <w:rFonts w:ascii="SimSun" w:hAnsi="SimSun" w:eastAsia="SimSun" w:cs="SimSun"/>
          <w:sz w:val="22"/>
          <w:szCs w:val="22"/>
          <w:spacing w:val="-11"/>
        </w:rPr>
        <w:t>数据库紧密结合，形成有效的定义/解释传递。考虑到业务词汇表是云</w:t>
      </w:r>
      <w:r>
        <w:rPr>
          <w:rFonts w:ascii="SimSun" w:hAnsi="SimSun" w:eastAsia="SimSun" w:cs="SimSun"/>
          <w:sz w:val="22"/>
          <w:szCs w:val="22"/>
          <w:spacing w:val="-12"/>
        </w:rPr>
        <w:t>端数据治理过</w:t>
      </w:r>
      <w:r>
        <w:rPr>
          <w:rFonts w:ascii="SimSun" w:hAnsi="SimSun" w:eastAsia="SimSun" w:cs="SimSun"/>
          <w:sz w:val="22"/>
          <w:szCs w:val="22"/>
        </w:rPr>
        <w:t xml:space="preserve"> </w:t>
      </w:r>
      <w:r>
        <w:rPr>
          <w:rFonts w:ascii="SimSun" w:hAnsi="SimSun" w:eastAsia="SimSun" w:cs="SimSun"/>
          <w:sz w:val="22"/>
          <w:szCs w:val="22"/>
          <w:spacing w:val="-8"/>
        </w:rPr>
        <w:t>程中与业务直接对接的第一层，其定义的准确和有效往往</w:t>
      </w:r>
      <w:r>
        <w:rPr>
          <w:rFonts w:ascii="SimSun" w:hAnsi="SimSun" w:eastAsia="SimSun" w:cs="SimSun"/>
          <w:sz w:val="22"/>
          <w:szCs w:val="22"/>
          <w:spacing w:val="-9"/>
        </w:rPr>
        <w:t>在一定层度上决定了数据</w:t>
      </w:r>
      <w:r>
        <w:rPr>
          <w:rFonts w:ascii="SimSun" w:hAnsi="SimSun" w:eastAsia="SimSun" w:cs="SimSun"/>
          <w:sz w:val="22"/>
          <w:szCs w:val="22"/>
        </w:rPr>
        <w:t xml:space="preserve"> </w:t>
      </w:r>
      <w:r>
        <w:rPr>
          <w:rFonts w:ascii="SimSun" w:hAnsi="SimSun" w:eastAsia="SimSun" w:cs="SimSun"/>
          <w:sz w:val="22"/>
          <w:szCs w:val="22"/>
          <w:spacing w:val="-4"/>
        </w:rPr>
        <w:t>治理的有效性，因此对于其访问权限(特别是删除和修改的权限)需要进行控制。</w:t>
      </w:r>
    </w:p>
    <w:p>
      <w:pPr>
        <w:spacing w:line="115" w:lineRule="exact"/>
        <w:rPr/>
      </w:pPr>
      <w:r/>
    </w:p>
    <w:tbl>
      <w:tblPr>
        <w:tblStyle w:val="TableNormal"/>
        <w:tblW w:w="759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6"/>
        <w:gridCol w:w="375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16" w:type="dxa"/>
            <w:vAlign w:val="top"/>
          </w:tcPr>
          <w:p>
            <w:pPr>
              <w:pStyle w:val="TableText"/>
              <w:ind w:left="1141"/>
              <w:spacing w:before="81" w:line="219" w:lineRule="auto"/>
              <w:rPr>
                <w:sz w:val="16"/>
                <w:szCs w:val="16"/>
              </w:rPr>
            </w:pPr>
            <w:r>
              <w:rPr>
                <w:sz w:val="16"/>
                <w:szCs w:val="16"/>
                <w:spacing w:val="-4"/>
              </w:rPr>
              <w:t>等 级 要 求</w:t>
            </w:r>
          </w:p>
        </w:tc>
        <w:tc>
          <w:tcPr>
            <w:tcW w:w="375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8" w:hRule="atLeast"/>
        </w:trPr>
        <w:tc>
          <w:tcPr>
            <w:tcW w:w="724" w:type="dxa"/>
            <w:vAlign w:val="top"/>
          </w:tcPr>
          <w:p>
            <w:pPr>
              <w:pStyle w:val="TableText"/>
              <w:ind w:left="235"/>
              <w:spacing w:before="251" w:line="183" w:lineRule="auto"/>
              <w:rPr>
                <w:sz w:val="16"/>
                <w:szCs w:val="16"/>
              </w:rPr>
            </w:pPr>
            <w:r>
              <w:rPr>
                <w:sz w:val="16"/>
                <w:szCs w:val="16"/>
                <w:spacing w:val="-2"/>
              </w:rPr>
              <w:t>4.3</w:t>
            </w:r>
          </w:p>
        </w:tc>
        <w:tc>
          <w:tcPr>
            <w:tcW w:w="3116" w:type="dxa"/>
            <w:vAlign w:val="top"/>
          </w:tcPr>
          <w:p>
            <w:pPr>
              <w:pStyle w:val="TableText"/>
              <w:ind w:left="91" w:firstLine="169"/>
              <w:spacing w:before="90" w:line="272" w:lineRule="auto"/>
              <w:rPr>
                <w:sz w:val="16"/>
                <w:szCs w:val="16"/>
              </w:rPr>
            </w:pPr>
            <w:r>
              <w:rPr>
                <w:sz w:val="16"/>
                <w:szCs w:val="16"/>
                <w:spacing w:val="-2"/>
              </w:rPr>
              <w:t>业务词汇表适当使用标准行业业务词汇和</w:t>
            </w:r>
            <w:r>
              <w:rPr>
                <w:sz w:val="16"/>
                <w:szCs w:val="16"/>
              </w:rPr>
              <w:t xml:space="preserve"> </w:t>
            </w:r>
            <w:r>
              <w:rPr>
                <w:sz w:val="16"/>
                <w:szCs w:val="16"/>
                <w:spacing w:val="-3"/>
              </w:rPr>
              <w:t>定义</w:t>
            </w:r>
          </w:p>
        </w:tc>
        <w:tc>
          <w:tcPr>
            <w:tcW w:w="3750" w:type="dxa"/>
            <w:vAlign w:val="top"/>
          </w:tcPr>
          <w:p>
            <w:pPr>
              <w:pStyle w:val="TableText"/>
              <w:ind w:left="275"/>
              <w:spacing w:before="81" w:line="299" w:lineRule="exact"/>
              <w:rPr>
                <w:sz w:val="16"/>
                <w:szCs w:val="16"/>
              </w:rPr>
            </w:pPr>
            <w:r>
              <w:rPr>
                <w:sz w:val="16"/>
                <w:szCs w:val="16"/>
                <w:spacing w:val="1"/>
                <w:position w:val="10"/>
              </w:rPr>
              <w:t>●</w:t>
            </w:r>
            <w:r>
              <w:rPr>
                <w:sz w:val="16"/>
                <w:szCs w:val="16"/>
                <w:position w:val="10"/>
              </w:rPr>
              <w:t>XX</w:t>
            </w:r>
            <w:r>
              <w:rPr>
                <w:sz w:val="16"/>
                <w:szCs w:val="16"/>
                <w:spacing w:val="1"/>
                <w:position w:val="10"/>
              </w:rPr>
              <w:t>行业词汇与定义</w:t>
            </w:r>
          </w:p>
          <w:p>
            <w:pPr>
              <w:pStyle w:val="TableText"/>
              <w:ind w:left="275"/>
              <w:spacing w:line="216" w:lineRule="auto"/>
              <w:rPr>
                <w:sz w:val="16"/>
                <w:szCs w:val="16"/>
              </w:rPr>
            </w:pPr>
            <w:r>
              <w:rPr>
                <w:sz w:val="16"/>
                <w:szCs w:val="16"/>
              </w:rPr>
              <w:t>●业务场景描述</w:t>
            </w:r>
          </w:p>
        </w:tc>
      </w:tr>
    </w:tbl>
    <w:p>
      <w:pPr>
        <w:ind w:left="29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64" w:firstLine="409"/>
        <w:spacing w:before="47" w:line="247" w:lineRule="auto"/>
        <w:rPr>
          <w:rFonts w:ascii="SimSun" w:hAnsi="SimSun" w:eastAsia="SimSun" w:cs="SimSun"/>
          <w:sz w:val="22"/>
          <w:szCs w:val="22"/>
        </w:rPr>
      </w:pPr>
      <w:r>
        <w:rPr>
          <w:rFonts w:ascii="SimSun" w:hAnsi="SimSun" w:eastAsia="SimSun" w:cs="SimSun"/>
          <w:sz w:val="22"/>
          <w:szCs w:val="22"/>
          <w:spacing w:val="-2"/>
        </w:rPr>
        <w:t>考虑到云端数据的跨边界、跨业务、跨访问区域(不同租户)的交换、</w:t>
      </w:r>
      <w:r>
        <w:rPr>
          <w:rFonts w:ascii="SimSun" w:hAnsi="SimSun" w:eastAsia="SimSun" w:cs="SimSun"/>
          <w:sz w:val="22"/>
          <w:szCs w:val="22"/>
          <w:spacing w:val="-3"/>
        </w:rPr>
        <w:t>共享等</w:t>
      </w:r>
      <w:r>
        <w:rPr>
          <w:rFonts w:ascii="SimSun" w:hAnsi="SimSun" w:eastAsia="SimSun" w:cs="SimSun"/>
          <w:sz w:val="22"/>
          <w:szCs w:val="22"/>
        </w:rPr>
        <w:t xml:space="preserve"> </w:t>
      </w:r>
      <w:r>
        <w:rPr>
          <w:rFonts w:ascii="SimSun" w:hAnsi="SimSun" w:eastAsia="SimSun" w:cs="SimSun"/>
          <w:sz w:val="22"/>
          <w:szCs w:val="22"/>
          <w:spacing w:val="-10"/>
        </w:rPr>
        <w:t>需求，对于业务词汇的定义可参考行业标准。但直接采用行业标准词汇和定义时，</w:t>
      </w:r>
      <w:r>
        <w:rPr>
          <w:rFonts w:ascii="SimSun" w:hAnsi="SimSun" w:eastAsia="SimSun" w:cs="SimSun"/>
          <w:sz w:val="22"/>
          <w:szCs w:val="22"/>
        </w:rPr>
        <w:t xml:space="preserve"> </w:t>
      </w:r>
      <w:r>
        <w:rPr>
          <w:rFonts w:ascii="SimSun" w:hAnsi="SimSun" w:eastAsia="SimSun" w:cs="SimSun"/>
          <w:sz w:val="22"/>
          <w:szCs w:val="22"/>
          <w:spacing w:val="-13"/>
        </w:rPr>
        <w:t>须先明确其业务场景的一致性。</w:t>
      </w:r>
    </w:p>
    <w:p>
      <w:pPr>
        <w:spacing w:line="247" w:lineRule="auto"/>
        <w:sectPr>
          <w:footerReference w:type="default" r:id="rId202"/>
          <w:pgSz w:w="8870" w:h="13400"/>
          <w:pgMar w:top="400" w:right="534" w:bottom="595" w:left="470" w:header="0" w:footer="376" w:gutter="0"/>
        </w:sectPr>
        <w:rPr>
          <w:rFonts w:ascii="SimSun" w:hAnsi="SimSun" w:eastAsia="SimSun" w:cs="SimSun"/>
          <w:sz w:val="22"/>
          <w:szCs w:val="22"/>
        </w:rPr>
      </w:pPr>
    </w:p>
    <w:p>
      <w:pPr>
        <w:ind w:left="69"/>
        <w:spacing w:before="19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8637"/>
            <wp:effectExtent l="0" t="0" r="0" b="0"/>
            <wp:docPr id="154" name="IM 154"/>
            <wp:cNvGraphicFramePr/>
            <a:graphic>
              <a:graphicData uri="http://schemas.openxmlformats.org/drawingml/2006/picture">
                <pic:pic>
                  <pic:nvPicPr>
                    <pic:cNvPr id="154" name="IM 154"/>
                    <pic:cNvPicPr/>
                  </pic:nvPicPr>
                  <pic:blipFill>
                    <a:blip r:embed="rId204"/>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642"/>
        <w:spacing w:before="273" w:line="221" w:lineRule="auto"/>
        <w:rPr>
          <w:rFonts w:ascii="SimHei" w:hAnsi="SimHei" w:eastAsia="SimHei" w:cs="SimHei"/>
          <w:sz w:val="22"/>
          <w:szCs w:val="22"/>
        </w:rPr>
      </w:pPr>
      <w:r>
        <w:rPr>
          <w:rFonts w:ascii="SimSun" w:hAnsi="SimSun" w:eastAsia="SimSun" w:cs="SimSun"/>
          <w:sz w:val="22"/>
          <w:szCs w:val="22"/>
          <w:b/>
          <w:bCs/>
          <w:spacing w:val="-13"/>
        </w:rPr>
        <w:t>Level</w:t>
      </w:r>
      <w:r>
        <w:rPr>
          <w:rFonts w:ascii="SimSun" w:hAnsi="SimSun" w:eastAsia="SimSun" w:cs="SimSun"/>
          <w:sz w:val="22"/>
          <w:szCs w:val="22"/>
          <w:spacing w:val="-13"/>
        </w:rPr>
        <w:t xml:space="preserve"> </w:t>
      </w:r>
      <w:r>
        <w:rPr>
          <w:rFonts w:ascii="SimSun" w:hAnsi="SimSun" w:eastAsia="SimSun" w:cs="SimSun"/>
          <w:sz w:val="22"/>
          <w:szCs w:val="22"/>
          <w:b/>
          <w:bCs/>
          <w:spacing w:val="-13"/>
        </w:rPr>
        <w:t>5:</w:t>
      </w:r>
      <w:r>
        <w:rPr>
          <w:rFonts w:ascii="SimSun" w:hAnsi="SimSun" w:eastAsia="SimSun" w:cs="SimSun"/>
          <w:sz w:val="22"/>
          <w:szCs w:val="22"/>
          <w:spacing w:val="-30"/>
        </w:rPr>
        <w:t xml:space="preserve"> </w:t>
      </w:r>
      <w:r>
        <w:rPr>
          <w:rFonts w:ascii="SimHei" w:hAnsi="SimHei" w:eastAsia="SimHei" w:cs="SimHei"/>
          <w:sz w:val="22"/>
          <w:szCs w:val="22"/>
          <w:b/>
          <w:bCs/>
          <w:spacing w:val="-13"/>
        </w:rPr>
        <w:t>优化级</w:t>
      </w:r>
    </w:p>
    <w:p>
      <w:pPr>
        <w:spacing w:line="127" w:lineRule="exact"/>
        <w:rPr/>
      </w:pPr>
      <w:r/>
    </w:p>
    <w:tbl>
      <w:tblPr>
        <w:tblStyle w:val="TableNormal"/>
        <w:tblW w:w="7589" w:type="dxa"/>
        <w:tblInd w:w="2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40"/>
      </w:tblGrid>
      <w:tr>
        <w:trPr>
          <w:trHeight w:val="312" w:hRule="atLeast"/>
        </w:trPr>
        <w:tc>
          <w:tcPr>
            <w:tcW w:w="724" w:type="dxa"/>
            <w:vAlign w:val="top"/>
          </w:tcPr>
          <w:p>
            <w:pPr>
              <w:pStyle w:val="TableText"/>
              <w:ind w:left="204"/>
              <w:spacing w:before="81" w:line="221" w:lineRule="auto"/>
              <w:rPr/>
            </w:pPr>
            <w:r>
              <w:rPr>
                <w:spacing w:val="-2"/>
              </w:rPr>
              <w:t>序号</w:t>
            </w:r>
          </w:p>
        </w:tc>
        <w:tc>
          <w:tcPr>
            <w:tcW w:w="312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837" w:hRule="atLeast"/>
        </w:trPr>
        <w:tc>
          <w:tcPr>
            <w:tcW w:w="724" w:type="dxa"/>
            <w:vAlign w:val="top"/>
          </w:tcPr>
          <w:p>
            <w:pPr>
              <w:spacing w:line="336" w:lineRule="auto"/>
              <w:rPr>
                <w:rFonts w:ascii="Arial"/>
                <w:sz w:val="21"/>
              </w:rPr>
            </w:pPr>
            <w:r/>
          </w:p>
          <w:p>
            <w:pPr>
              <w:pStyle w:val="TableText"/>
              <w:ind w:left="234"/>
              <w:spacing w:before="48" w:line="184" w:lineRule="auto"/>
              <w:rPr/>
            </w:pPr>
            <w:r>
              <w:rPr>
                <w:spacing w:val="-2"/>
              </w:rPr>
              <w:t>5.1</w:t>
            </w:r>
          </w:p>
        </w:tc>
        <w:tc>
          <w:tcPr>
            <w:tcW w:w="3125" w:type="dxa"/>
            <w:vAlign w:val="top"/>
          </w:tcPr>
          <w:p>
            <w:pPr>
              <w:pStyle w:val="TableText"/>
              <w:ind w:left="121" w:right="161" w:firstLine="139"/>
              <w:spacing w:before="219" w:line="281" w:lineRule="auto"/>
              <w:rPr/>
            </w:pPr>
            <w:r>
              <w:rPr>
                <w:spacing w:val="-1"/>
              </w:rPr>
              <w:t>完善业务词汇表，使其包含相关的业务规</w:t>
            </w:r>
            <w:r>
              <w:rPr>
                <w:spacing w:val="9"/>
              </w:rPr>
              <w:t xml:space="preserve"> </w:t>
            </w:r>
            <w:r>
              <w:rPr>
                <w:spacing w:val="-1"/>
              </w:rPr>
              <w:t>则、本体结构，并在组织内部保持一致</w:t>
            </w:r>
          </w:p>
        </w:tc>
        <w:tc>
          <w:tcPr>
            <w:tcW w:w="3740" w:type="dxa"/>
            <w:vAlign w:val="top"/>
          </w:tcPr>
          <w:p>
            <w:pPr>
              <w:pStyle w:val="TableText"/>
              <w:ind w:left="265"/>
              <w:spacing w:before="89" w:line="219" w:lineRule="auto"/>
              <w:rPr/>
            </w:pPr>
            <w:r>
              <w:rPr>
                <w:spacing w:val="2"/>
              </w:rPr>
              <w:t>●业务规则说明</w:t>
            </w:r>
          </w:p>
          <w:p>
            <w:pPr>
              <w:pStyle w:val="TableText"/>
              <w:ind w:left="265"/>
              <w:spacing w:before="92" w:line="219" w:lineRule="auto"/>
              <w:rPr/>
            </w:pPr>
            <w:r>
              <w:rPr/>
              <w:t>●业务词汇表管理程序</w:t>
            </w:r>
          </w:p>
          <w:p>
            <w:pPr>
              <w:pStyle w:val="TableText"/>
              <w:ind w:left="265"/>
              <w:spacing w:before="101" w:line="219" w:lineRule="auto"/>
              <w:rPr/>
            </w:pPr>
            <w:r>
              <w:rPr/>
              <w:t>●业务及词汇表一致性评审程序</w:t>
            </w:r>
          </w:p>
        </w:tc>
      </w:tr>
    </w:tbl>
    <w:p>
      <w:pPr>
        <w:ind w:left="52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70" w:right="55" w:firstLine="469"/>
        <w:spacing w:before="58" w:line="250" w:lineRule="auto"/>
        <w:rPr>
          <w:rFonts w:ascii="SimSun" w:hAnsi="SimSun" w:eastAsia="SimSun" w:cs="SimSun"/>
          <w:sz w:val="22"/>
          <w:szCs w:val="22"/>
        </w:rPr>
      </w:pPr>
      <w:r>
        <w:rPr>
          <w:rFonts w:ascii="SimSun" w:hAnsi="SimSun" w:eastAsia="SimSun" w:cs="SimSun"/>
          <w:sz w:val="22"/>
          <w:szCs w:val="22"/>
          <w:spacing w:val="-8"/>
        </w:rPr>
        <w:t>本体定义了组成主题领域的词汇表的基本词汇及其关系</w:t>
      </w:r>
      <w:r>
        <w:rPr>
          <w:rFonts w:ascii="SimSun" w:hAnsi="SimSun" w:eastAsia="SimSun" w:cs="SimSun"/>
          <w:sz w:val="22"/>
          <w:szCs w:val="22"/>
          <w:spacing w:val="-9"/>
        </w:rPr>
        <w:t>，并结合这些词汇和关</w:t>
      </w:r>
      <w:r>
        <w:rPr>
          <w:rFonts w:ascii="SimSun" w:hAnsi="SimSun" w:eastAsia="SimSun" w:cs="SimSun"/>
          <w:sz w:val="22"/>
          <w:szCs w:val="22"/>
        </w:rPr>
        <w:t xml:space="preserve"> </w:t>
      </w:r>
      <w:r>
        <w:rPr>
          <w:rFonts w:ascii="SimSun" w:hAnsi="SimSun" w:eastAsia="SimSun" w:cs="SimSun"/>
          <w:sz w:val="22"/>
          <w:szCs w:val="22"/>
          <w:spacing w:val="-9"/>
        </w:rPr>
        <w:t>系来定义词汇表外延的规则。根据业务的变化及云端数据快速变化的场景，对于业</w:t>
      </w:r>
      <w:r>
        <w:rPr>
          <w:rFonts w:ascii="SimSun" w:hAnsi="SimSun" w:eastAsia="SimSun" w:cs="SimSun"/>
          <w:sz w:val="22"/>
          <w:szCs w:val="22"/>
          <w:spacing w:val="10"/>
        </w:rPr>
        <w:t xml:space="preserve"> </w:t>
      </w:r>
      <w:r>
        <w:rPr>
          <w:rFonts w:ascii="SimSun" w:hAnsi="SimSun" w:eastAsia="SimSun" w:cs="SimSun"/>
          <w:sz w:val="22"/>
          <w:szCs w:val="22"/>
          <w:spacing w:val="-9"/>
        </w:rPr>
        <w:t>务词汇表中的内容须及时更新和校准，实现其与业务的准确对应，并至少应在组织</w:t>
      </w:r>
      <w:r>
        <w:rPr>
          <w:rFonts w:ascii="SimSun" w:hAnsi="SimSun" w:eastAsia="SimSun" w:cs="SimSun"/>
          <w:sz w:val="22"/>
          <w:szCs w:val="22"/>
          <w:spacing w:val="14"/>
        </w:rPr>
        <w:t xml:space="preserve"> </w:t>
      </w:r>
      <w:r>
        <w:rPr>
          <w:rFonts w:ascii="SimSun" w:hAnsi="SimSun" w:eastAsia="SimSun" w:cs="SimSun"/>
          <w:sz w:val="22"/>
          <w:szCs w:val="22"/>
          <w:spacing w:val="-11"/>
        </w:rPr>
        <w:t>内部各部门、业务、岗位之间保持一致。</w:t>
      </w:r>
    </w:p>
    <w:p>
      <w:pPr>
        <w:spacing w:line="134" w:lineRule="exact"/>
        <w:rPr/>
      </w:pPr>
      <w:r/>
    </w:p>
    <w:tbl>
      <w:tblPr>
        <w:tblStyle w:val="TableNormal"/>
        <w:tblW w:w="7600" w:type="dxa"/>
        <w:tblInd w:w="2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26"/>
        <w:gridCol w:w="3740"/>
      </w:tblGrid>
      <w:tr>
        <w:trPr>
          <w:trHeight w:val="311" w:hRule="atLeast"/>
        </w:trPr>
        <w:tc>
          <w:tcPr>
            <w:tcW w:w="734" w:type="dxa"/>
            <w:vAlign w:val="top"/>
          </w:tcPr>
          <w:p>
            <w:pPr>
              <w:pStyle w:val="TableText"/>
              <w:ind w:left="205"/>
              <w:spacing w:before="82" w:line="221" w:lineRule="auto"/>
              <w:rPr/>
            </w:pPr>
            <w:r>
              <w:rPr>
                <w:spacing w:val="-2"/>
              </w:rPr>
              <w:t>序号</w:t>
            </w:r>
          </w:p>
        </w:tc>
        <w:tc>
          <w:tcPr>
            <w:tcW w:w="312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55"/>
              <w:spacing w:before="81" w:line="220" w:lineRule="auto"/>
              <w:rPr/>
            </w:pPr>
            <w:r>
              <w:rPr>
                <w:spacing w:val="-5"/>
              </w:rPr>
              <w:t>实</w:t>
            </w:r>
            <w:r>
              <w:rPr>
                <w:spacing w:val="1"/>
              </w:rPr>
              <w:t xml:space="preserve">   </w:t>
            </w:r>
            <w:r>
              <w:rPr>
                <w:spacing w:val="-5"/>
              </w:rPr>
              <w:t>例</w:t>
            </w:r>
          </w:p>
        </w:tc>
      </w:tr>
      <w:tr>
        <w:trPr>
          <w:trHeight w:val="559" w:hRule="atLeast"/>
        </w:trPr>
        <w:tc>
          <w:tcPr>
            <w:tcW w:w="734" w:type="dxa"/>
            <w:vAlign w:val="top"/>
          </w:tcPr>
          <w:p>
            <w:pPr>
              <w:pStyle w:val="TableText"/>
              <w:ind w:left="245"/>
              <w:spacing w:before="248" w:line="183" w:lineRule="auto"/>
              <w:rPr/>
            </w:pPr>
            <w:r>
              <w:rPr>
                <w:spacing w:val="-2"/>
              </w:rPr>
              <w:t>5.2</w:t>
            </w:r>
          </w:p>
        </w:tc>
        <w:tc>
          <w:tcPr>
            <w:tcW w:w="3126" w:type="dxa"/>
            <w:vAlign w:val="top"/>
          </w:tcPr>
          <w:p>
            <w:pPr>
              <w:pStyle w:val="TableText"/>
              <w:ind w:left="121" w:right="160" w:firstLine="139"/>
              <w:spacing w:before="78" w:line="282" w:lineRule="auto"/>
              <w:rPr/>
            </w:pPr>
            <w:r>
              <w:rPr>
                <w:spacing w:val="-1"/>
              </w:rPr>
              <w:t>采用优化技术来提高使用业务词汇表推动</w:t>
            </w:r>
            <w:r>
              <w:rPr>
                <w:spacing w:val="11"/>
              </w:rPr>
              <w:t xml:space="preserve"> </w:t>
            </w:r>
            <w:r>
              <w:rPr>
                <w:spacing w:val="-1"/>
              </w:rPr>
              <w:t>分类法、开发本体或使用语义表征的过程</w:t>
            </w:r>
          </w:p>
        </w:tc>
        <w:tc>
          <w:tcPr>
            <w:tcW w:w="3740" w:type="dxa"/>
            <w:vAlign w:val="top"/>
          </w:tcPr>
          <w:p>
            <w:pPr>
              <w:pStyle w:val="TableText"/>
              <w:ind w:left="275"/>
              <w:spacing w:before="80" w:line="219" w:lineRule="auto"/>
              <w:rPr/>
            </w:pPr>
            <w:r>
              <w:rPr>
                <w:spacing w:val="1"/>
              </w:rPr>
              <w:t>●业务词汇表使用说明</w:t>
            </w:r>
          </w:p>
          <w:p>
            <w:pPr>
              <w:pStyle w:val="TableText"/>
              <w:ind w:left="275"/>
              <w:spacing w:before="101" w:line="219" w:lineRule="auto"/>
              <w:rPr/>
            </w:pPr>
            <w:r>
              <w:rPr/>
              <w:t>●组织知识系统优化方案</w:t>
            </w:r>
          </w:p>
        </w:tc>
      </w:tr>
    </w:tbl>
    <w:p>
      <w:pPr>
        <w:ind w:left="529"/>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70" w:right="53" w:firstLine="469"/>
        <w:spacing w:before="57" w:line="253" w:lineRule="auto"/>
        <w:rPr>
          <w:rFonts w:ascii="SimSun" w:hAnsi="SimSun" w:eastAsia="SimSun" w:cs="SimSun"/>
          <w:sz w:val="22"/>
          <w:szCs w:val="22"/>
        </w:rPr>
      </w:pPr>
      <w:r>
        <w:rPr>
          <w:rFonts w:ascii="SimSun" w:hAnsi="SimSun" w:eastAsia="SimSun" w:cs="SimSun"/>
          <w:sz w:val="22"/>
          <w:szCs w:val="22"/>
          <w:spacing w:val="5"/>
        </w:rPr>
        <w:t>知识组织系统是对人类知识结构进行表达和有组织地阐述的各种语义工具</w:t>
      </w:r>
      <w:r>
        <w:rPr>
          <w:rFonts w:ascii="SimSun" w:hAnsi="SimSun" w:eastAsia="SimSun" w:cs="SimSun"/>
          <w:sz w:val="22"/>
          <w:szCs w:val="22"/>
        </w:rPr>
        <w:t xml:space="preserve"> </w:t>
      </w:r>
      <w:r>
        <w:rPr>
          <w:rFonts w:ascii="Times New Roman" w:hAnsi="Times New Roman" w:eastAsia="Times New Roman" w:cs="Times New Roman"/>
          <w:sz w:val="22"/>
          <w:szCs w:val="22"/>
          <w:spacing w:val="-8"/>
        </w:rPr>
        <w:t>(Semantic Tools)</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8"/>
        </w:rPr>
        <w:t>的统称，包括分类法、语义表征、概念本体以及其他情报检索语言</w:t>
      </w:r>
      <w:r>
        <w:rPr>
          <w:rFonts w:ascii="SimSun" w:hAnsi="SimSun" w:eastAsia="SimSun" w:cs="SimSun"/>
          <w:sz w:val="22"/>
          <w:szCs w:val="22"/>
        </w:rPr>
        <w:t xml:space="preserve"> </w:t>
      </w:r>
      <w:r>
        <w:rPr>
          <w:rFonts w:ascii="SimSun" w:hAnsi="SimSun" w:eastAsia="SimSun" w:cs="SimSun"/>
          <w:sz w:val="22"/>
          <w:szCs w:val="22"/>
          <w:spacing w:val="-13"/>
        </w:rPr>
        <w:t>与标引语言。</w:t>
      </w:r>
    </w:p>
    <w:p>
      <w:pPr>
        <w:ind w:left="170" w:right="54" w:firstLine="469"/>
        <w:spacing w:before="37" w:line="252" w:lineRule="auto"/>
        <w:rPr>
          <w:rFonts w:ascii="SimSun" w:hAnsi="SimSun" w:eastAsia="SimSun" w:cs="SimSun"/>
          <w:sz w:val="22"/>
          <w:szCs w:val="22"/>
        </w:rPr>
      </w:pPr>
      <w:r>
        <w:rPr>
          <w:rFonts w:ascii="SimSun" w:hAnsi="SimSun" w:eastAsia="SimSun" w:cs="SimSun"/>
          <w:sz w:val="22"/>
          <w:szCs w:val="22"/>
          <w:spacing w:val="-13"/>
        </w:rPr>
        <w:t>在传统的知识组织体系里，</w:t>
      </w:r>
      <w:r>
        <w:rPr>
          <w:rFonts w:ascii="SimSun" w:hAnsi="SimSun" w:eastAsia="SimSun" w:cs="SimSun"/>
          <w:sz w:val="22"/>
          <w:szCs w:val="22"/>
          <w:spacing w:val="55"/>
        </w:rPr>
        <w:t xml:space="preserve"> </w:t>
      </w:r>
      <w:r>
        <w:rPr>
          <w:rFonts w:ascii="SimSun" w:hAnsi="SimSun" w:eastAsia="SimSun" w:cs="SimSun"/>
          <w:sz w:val="22"/>
          <w:szCs w:val="22"/>
          <w:spacing w:val="-13"/>
        </w:rPr>
        <w:t>一个类目、或者一个主题词被认为是一个</w:t>
      </w:r>
      <w:r>
        <w:rPr>
          <w:rFonts w:ascii="SimSun" w:hAnsi="SimSun" w:eastAsia="SimSun" w:cs="SimSun"/>
          <w:sz w:val="22"/>
          <w:szCs w:val="22"/>
          <w:spacing w:val="-14"/>
        </w:rPr>
        <w:t>概念，而</w:t>
      </w:r>
      <w:r>
        <w:rPr>
          <w:rFonts w:ascii="SimSun" w:hAnsi="SimSun" w:eastAsia="SimSun" w:cs="SimSun"/>
          <w:sz w:val="22"/>
          <w:szCs w:val="22"/>
        </w:rPr>
        <w:t xml:space="preserve"> </w:t>
      </w:r>
      <w:r>
        <w:rPr>
          <w:rFonts w:ascii="SimSun" w:hAnsi="SimSun" w:eastAsia="SimSun" w:cs="SimSun"/>
          <w:sz w:val="22"/>
          <w:szCs w:val="22"/>
          <w:spacing w:val="-8"/>
        </w:rPr>
        <w:t>在新型体系中，概念含义以及相关关系的确</w:t>
      </w:r>
      <w:r>
        <w:rPr>
          <w:rFonts w:ascii="SimSun" w:hAnsi="SimSun" w:eastAsia="SimSun" w:cs="SimSun"/>
          <w:sz w:val="22"/>
          <w:szCs w:val="22"/>
          <w:spacing w:val="-9"/>
        </w:rPr>
        <w:t>定有了更为严格和规范的要求，原先的</w:t>
      </w:r>
      <w:r>
        <w:rPr>
          <w:rFonts w:ascii="SimSun" w:hAnsi="SimSun" w:eastAsia="SimSun" w:cs="SimSun"/>
          <w:sz w:val="22"/>
          <w:szCs w:val="22"/>
        </w:rPr>
        <w:t xml:space="preserve"> </w:t>
      </w:r>
      <w:r>
        <w:rPr>
          <w:rFonts w:ascii="SimSun" w:hAnsi="SimSun" w:eastAsia="SimSun" w:cs="SimSun"/>
          <w:sz w:val="22"/>
          <w:szCs w:val="22"/>
          <w:spacing w:val="-9"/>
        </w:rPr>
        <w:t>类目和主题词很可能不再被当成一个概念来对待，而成为表示概念含义的一个属性</w:t>
      </w:r>
      <w:r>
        <w:rPr>
          <w:rFonts w:ascii="SimSun" w:hAnsi="SimSun" w:eastAsia="SimSun" w:cs="SimSun"/>
          <w:sz w:val="22"/>
          <w:szCs w:val="22"/>
          <w:spacing w:val="11"/>
        </w:rPr>
        <w:t xml:space="preserve"> </w:t>
      </w:r>
      <w:r>
        <w:rPr>
          <w:rFonts w:ascii="SimSun" w:hAnsi="SimSun" w:eastAsia="SimSun" w:cs="SimSun"/>
          <w:sz w:val="22"/>
          <w:szCs w:val="22"/>
          <w:spacing w:val="-9"/>
        </w:rPr>
        <w:t>或注释等。概念、概念与概念之间的关系以及不同关系类型的概念之间的关系成为</w:t>
      </w:r>
      <w:r>
        <w:rPr>
          <w:rFonts w:ascii="SimSun" w:hAnsi="SimSun" w:eastAsia="SimSun" w:cs="SimSun"/>
          <w:sz w:val="22"/>
          <w:szCs w:val="22"/>
          <w:spacing w:val="13"/>
        </w:rPr>
        <w:t xml:space="preserve"> </w:t>
      </w:r>
      <w:r>
        <w:rPr>
          <w:rFonts w:ascii="SimSun" w:hAnsi="SimSun" w:eastAsia="SimSun" w:cs="SimSun"/>
          <w:sz w:val="22"/>
          <w:szCs w:val="22"/>
          <w:spacing w:val="-12"/>
        </w:rPr>
        <w:t>核心内容。</w:t>
      </w:r>
    </w:p>
    <w:p>
      <w:pPr>
        <w:ind w:left="170" w:right="52" w:firstLine="469"/>
        <w:spacing w:before="57" w:line="248" w:lineRule="auto"/>
        <w:rPr>
          <w:rFonts w:ascii="SimSun" w:hAnsi="SimSun" w:eastAsia="SimSun" w:cs="SimSun"/>
          <w:sz w:val="22"/>
          <w:szCs w:val="22"/>
        </w:rPr>
      </w:pPr>
      <w:r>
        <w:rPr>
          <w:rFonts w:ascii="SimSun" w:hAnsi="SimSun" w:eastAsia="SimSun" w:cs="SimSun"/>
          <w:sz w:val="22"/>
          <w:szCs w:val="22"/>
          <w:spacing w:val="-8"/>
        </w:rPr>
        <w:t>通过使用业务词汇表统一词汇与定义，来开展特征优化、粒度</w:t>
      </w:r>
      <w:r>
        <w:rPr>
          <w:rFonts w:ascii="SimSun" w:hAnsi="SimSun" w:eastAsia="SimSun" w:cs="SimSun"/>
          <w:sz w:val="22"/>
          <w:szCs w:val="22"/>
          <w:spacing w:val="-9"/>
        </w:rPr>
        <w:t>和命名优化、结</w:t>
      </w:r>
      <w:r>
        <w:rPr>
          <w:rFonts w:ascii="SimSun" w:hAnsi="SimSun" w:eastAsia="SimSun" w:cs="SimSun"/>
          <w:sz w:val="22"/>
          <w:szCs w:val="22"/>
        </w:rPr>
        <w:t xml:space="preserve"> </w:t>
      </w:r>
      <w:r>
        <w:rPr>
          <w:rFonts w:ascii="SimSun" w:hAnsi="SimSun" w:eastAsia="SimSun" w:cs="SimSun"/>
          <w:sz w:val="22"/>
          <w:szCs w:val="22"/>
          <w:spacing w:val="-10"/>
        </w:rPr>
        <w:t>构优化等环节从而推动分类法、开发本体或使用语义表征的过程。</w:t>
      </w:r>
    </w:p>
    <w:p>
      <w:pPr>
        <w:spacing w:line="116" w:lineRule="exact"/>
        <w:rPr/>
      </w:pPr>
      <w:r/>
    </w:p>
    <w:tbl>
      <w:tblPr>
        <w:tblStyle w:val="TableNormal"/>
        <w:tblW w:w="760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40"/>
      </w:tblGrid>
      <w:tr>
        <w:trPr>
          <w:trHeight w:val="312" w:hRule="atLeast"/>
        </w:trPr>
        <w:tc>
          <w:tcPr>
            <w:tcW w:w="724" w:type="dxa"/>
            <w:vAlign w:val="top"/>
          </w:tcPr>
          <w:p>
            <w:pPr>
              <w:pStyle w:val="TableText"/>
              <w:ind w:left="205"/>
              <w:spacing w:before="82" w:line="221" w:lineRule="auto"/>
              <w:rPr/>
            </w:pPr>
            <w:r>
              <w:rPr>
                <w:spacing w:val="-2"/>
              </w:rPr>
              <w:t>序号</w:t>
            </w:r>
          </w:p>
        </w:tc>
        <w:tc>
          <w:tcPr>
            <w:tcW w:w="3136" w:type="dxa"/>
            <w:vAlign w:val="top"/>
          </w:tcPr>
          <w:p>
            <w:pPr>
              <w:pStyle w:val="TableText"/>
              <w:ind w:left="116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6"/>
              </w:rPr>
              <w:t xml:space="preserve">    </w:t>
            </w:r>
            <w:r>
              <w:rPr>
                <w:spacing w:val="-5"/>
              </w:rPr>
              <w:t>例</w:t>
            </w:r>
          </w:p>
        </w:tc>
      </w:tr>
      <w:tr>
        <w:trPr>
          <w:trHeight w:val="838" w:hRule="atLeast"/>
        </w:trPr>
        <w:tc>
          <w:tcPr>
            <w:tcW w:w="724" w:type="dxa"/>
            <w:vAlign w:val="top"/>
          </w:tcPr>
          <w:p>
            <w:pPr>
              <w:spacing w:line="337" w:lineRule="auto"/>
              <w:rPr>
                <w:rFonts w:ascii="Arial"/>
                <w:sz w:val="21"/>
              </w:rPr>
            </w:pPr>
            <w:r/>
          </w:p>
          <w:p>
            <w:pPr>
              <w:pStyle w:val="TableText"/>
              <w:ind w:left="235"/>
              <w:spacing w:before="48" w:line="183" w:lineRule="auto"/>
              <w:rPr/>
            </w:pPr>
            <w:r>
              <w:rPr>
                <w:spacing w:val="-2"/>
              </w:rPr>
              <w:t>5.3</w:t>
            </w:r>
          </w:p>
        </w:tc>
        <w:tc>
          <w:tcPr>
            <w:tcW w:w="3136" w:type="dxa"/>
            <w:vAlign w:val="top"/>
          </w:tcPr>
          <w:p>
            <w:pPr>
              <w:pStyle w:val="TableText"/>
              <w:ind w:left="101" w:right="145" w:firstLine="160"/>
              <w:spacing w:before="217" w:line="282" w:lineRule="auto"/>
              <w:rPr/>
            </w:pPr>
            <w:r>
              <w:rPr>
                <w:spacing w:val="1"/>
              </w:rPr>
              <w:t>组织发布有关业务词汇有效管理方法的白</w:t>
            </w:r>
            <w:r>
              <w:rPr/>
              <w:t xml:space="preserve"> </w:t>
            </w:r>
            <w:r>
              <w:rPr>
                <w:spacing w:val="-2"/>
              </w:rPr>
              <w:t>皮书及案例研究</w:t>
            </w:r>
          </w:p>
        </w:tc>
        <w:tc>
          <w:tcPr>
            <w:tcW w:w="3740" w:type="dxa"/>
            <w:vAlign w:val="top"/>
          </w:tcPr>
          <w:p>
            <w:pPr>
              <w:pStyle w:val="TableText"/>
              <w:ind w:left="265"/>
              <w:spacing w:before="88" w:line="219" w:lineRule="auto"/>
              <w:rPr/>
            </w:pPr>
            <w:r>
              <w:rPr/>
              <w:t>●业务词汇管理白皮书</w:t>
            </w:r>
          </w:p>
          <w:p>
            <w:pPr>
              <w:pStyle w:val="TableText"/>
              <w:ind w:left="265"/>
              <w:spacing w:before="92" w:line="219" w:lineRule="auto"/>
              <w:rPr/>
            </w:pPr>
            <w:r>
              <w:rPr/>
              <w:t>●业务词汇管理最佳实践</w:t>
            </w:r>
          </w:p>
          <w:p>
            <w:pPr>
              <w:pStyle w:val="TableText"/>
              <w:ind w:left="265"/>
              <w:spacing w:before="113" w:line="219" w:lineRule="auto"/>
              <w:rPr/>
            </w:pPr>
            <w:r>
              <w:rPr>
                <w:spacing w:val="1"/>
              </w:rPr>
              <w:t>●知识库管理程序</w:t>
            </w:r>
          </w:p>
        </w:tc>
      </w:tr>
    </w:tbl>
    <w:p>
      <w:pPr>
        <w:ind w:left="529"/>
        <w:spacing w:before="175" w:line="230" w:lineRule="auto"/>
        <w:rPr>
          <w:rFonts w:ascii="STXinwei" w:hAnsi="STXinwei" w:eastAsia="STXinwei" w:cs="STXinwei"/>
          <w:sz w:val="22"/>
          <w:szCs w:val="22"/>
        </w:rPr>
      </w:pPr>
      <w:r>
        <w:rPr>
          <w:rFonts w:ascii="SimSun" w:hAnsi="SimSun" w:eastAsia="SimSun" w:cs="SimSun"/>
          <w:sz w:val="22"/>
          <w:szCs w:val="22"/>
          <w:spacing w:val="-8"/>
        </w:rPr>
        <w:t>【成熟度等级说明</w:t>
      </w:r>
      <w:r>
        <w:rPr>
          <w:rFonts w:ascii="STXinwei" w:hAnsi="STXinwei" w:eastAsia="STXinwei" w:cs="STXinwei"/>
          <w:sz w:val="22"/>
          <w:szCs w:val="22"/>
          <w:spacing w:val="-8"/>
        </w:rPr>
        <w:t>】</w:t>
      </w:r>
    </w:p>
    <w:p>
      <w:pPr>
        <w:ind w:left="170" w:right="54" w:firstLine="469"/>
        <w:spacing w:before="22" w:line="252" w:lineRule="auto"/>
        <w:rPr>
          <w:rFonts w:ascii="SimSun" w:hAnsi="SimSun" w:eastAsia="SimSun" w:cs="SimSun"/>
          <w:sz w:val="22"/>
          <w:szCs w:val="22"/>
        </w:rPr>
      </w:pPr>
      <w:r>
        <w:rPr>
          <w:rFonts w:ascii="SimSun" w:hAnsi="SimSun" w:eastAsia="SimSun" w:cs="SimSun"/>
          <w:sz w:val="22"/>
          <w:szCs w:val="22"/>
          <w:spacing w:val="-8"/>
        </w:rPr>
        <w:t>根据组织不断优化业务词汇管理的经验和积累，总结提炼</w:t>
      </w:r>
      <w:r>
        <w:rPr>
          <w:rFonts w:ascii="SimSun" w:hAnsi="SimSun" w:eastAsia="SimSun" w:cs="SimSun"/>
          <w:sz w:val="22"/>
          <w:szCs w:val="22"/>
          <w:spacing w:val="-9"/>
        </w:rPr>
        <w:t>管理方法白皮书及案</w:t>
      </w:r>
      <w:r>
        <w:rPr>
          <w:rFonts w:ascii="SimSun" w:hAnsi="SimSun" w:eastAsia="SimSun" w:cs="SimSun"/>
          <w:sz w:val="22"/>
          <w:szCs w:val="22"/>
        </w:rPr>
        <w:t xml:space="preserve"> </w:t>
      </w:r>
      <w:r>
        <w:rPr>
          <w:rFonts w:ascii="SimSun" w:hAnsi="SimSun" w:eastAsia="SimSun" w:cs="SimSun"/>
          <w:sz w:val="22"/>
          <w:szCs w:val="22"/>
          <w:spacing w:val="-8"/>
        </w:rPr>
        <w:t>例，形成知识库，并不断更新内容。编制白皮书及案例研究时可参考行业标准或最</w:t>
      </w:r>
      <w:r>
        <w:rPr>
          <w:rFonts w:ascii="SimSun" w:hAnsi="SimSun" w:eastAsia="SimSun" w:cs="SimSun"/>
          <w:sz w:val="22"/>
          <w:szCs w:val="22"/>
          <w:spacing w:val="7"/>
        </w:rPr>
        <w:t xml:space="preserve"> </w:t>
      </w:r>
      <w:r>
        <w:rPr>
          <w:rFonts w:ascii="SimSun" w:hAnsi="SimSun" w:eastAsia="SimSun" w:cs="SimSun"/>
          <w:sz w:val="22"/>
          <w:szCs w:val="22"/>
          <w:spacing w:val="-9"/>
        </w:rPr>
        <w:t>佳实践方案，以及对历史数据和相关公开信息的整理，运用案例研究与数据统计分</w:t>
      </w:r>
      <w:r>
        <w:rPr>
          <w:rFonts w:ascii="SimSun" w:hAnsi="SimSun" w:eastAsia="SimSun" w:cs="SimSun"/>
          <w:sz w:val="22"/>
          <w:szCs w:val="22"/>
          <w:spacing w:val="12"/>
        </w:rPr>
        <w:t xml:space="preserve"> </w:t>
      </w:r>
      <w:r>
        <w:rPr>
          <w:rFonts w:ascii="SimSun" w:hAnsi="SimSun" w:eastAsia="SimSun" w:cs="SimSun"/>
          <w:sz w:val="22"/>
          <w:szCs w:val="22"/>
          <w:spacing w:val="-8"/>
        </w:rPr>
        <w:t>析方法，编制形成科学并有指导意义的案例集合白皮书。编制方</w:t>
      </w:r>
      <w:r>
        <w:rPr>
          <w:rFonts w:ascii="SimSun" w:hAnsi="SimSun" w:eastAsia="SimSun" w:cs="SimSun"/>
          <w:sz w:val="22"/>
          <w:szCs w:val="22"/>
          <w:spacing w:val="-9"/>
        </w:rPr>
        <w:t>法可形成指南，用</w:t>
      </w:r>
      <w:r>
        <w:rPr>
          <w:rFonts w:ascii="SimSun" w:hAnsi="SimSun" w:eastAsia="SimSun" w:cs="SimSun"/>
          <w:sz w:val="22"/>
          <w:szCs w:val="22"/>
        </w:rPr>
        <w:t xml:space="preserve"> </w:t>
      </w:r>
      <w:r>
        <w:rPr>
          <w:rFonts w:ascii="SimSun" w:hAnsi="SimSun" w:eastAsia="SimSun" w:cs="SimSun"/>
          <w:sz w:val="22"/>
          <w:szCs w:val="22"/>
          <w:spacing w:val="-11"/>
        </w:rPr>
        <w:t>于指导白皮书和案例集的不断完善、改进。</w:t>
      </w:r>
    </w:p>
    <w:p>
      <w:pPr>
        <w:spacing w:line="252" w:lineRule="auto"/>
        <w:sectPr>
          <w:footerReference w:type="default" r:id="rId203"/>
          <w:pgSz w:w="8870" w:h="13400"/>
          <w:pgMar w:top="400" w:right="474" w:bottom="505" w:left="500" w:header="0" w:footer="286" w:gutter="0"/>
        </w:sectPr>
        <w:rPr>
          <w:rFonts w:ascii="SimSun" w:hAnsi="SimSun" w:eastAsia="SimSun" w:cs="SimSun"/>
          <w:sz w:val="22"/>
          <w:szCs w:val="22"/>
        </w:rPr>
      </w:pPr>
    </w:p>
    <w:p>
      <w:pPr>
        <w:ind w:left="5508"/>
        <w:spacing w:before="164" w:line="219" w:lineRule="auto"/>
        <w:rPr>
          <w:rFonts w:ascii="SimSun" w:hAnsi="SimSun" w:eastAsia="SimSun" w:cs="SimSun"/>
          <w:sz w:val="22"/>
          <w:szCs w:val="22"/>
        </w:rPr>
      </w:pPr>
      <w:r>
        <w:rPr>
          <w:rFonts w:ascii="SimSun" w:hAnsi="SimSun" w:eastAsia="SimSun" w:cs="SimSun"/>
          <w:sz w:val="22"/>
          <w:szCs w:val="22"/>
          <w:b/>
          <w:bCs/>
          <w:spacing w:val="5"/>
        </w:rPr>
        <w:t>第5章■云端数据管理</w:t>
      </w:r>
    </w:p>
    <w:p>
      <w:pPr>
        <w:pStyle w:val="BodyText"/>
        <w:spacing w:line="362" w:lineRule="auto"/>
        <w:rPr/>
      </w:pPr>
      <w:r/>
    </w:p>
    <w:p>
      <w:pPr>
        <w:ind w:left="418"/>
        <w:spacing w:before="71" w:line="224" w:lineRule="auto"/>
        <w:outlineLvl w:val="3"/>
        <w:rPr>
          <w:rFonts w:ascii="YouYuan" w:hAnsi="YouYuan" w:eastAsia="YouYuan" w:cs="YouYuan"/>
          <w:sz w:val="22"/>
          <w:szCs w:val="22"/>
        </w:rPr>
      </w:pPr>
      <w:r>
        <w:rPr>
          <w:rFonts w:ascii="YouYuan" w:hAnsi="YouYuan" w:eastAsia="YouYuan" w:cs="YouYuan"/>
          <w:sz w:val="22"/>
          <w:szCs w:val="22"/>
          <w:b/>
          <w:bCs/>
          <w:spacing w:val="-5"/>
        </w:rPr>
        <w:t>4.</w:t>
      </w:r>
      <w:r>
        <w:rPr>
          <w:rFonts w:ascii="YouYuan" w:hAnsi="YouYuan" w:eastAsia="YouYuan" w:cs="YouYuan"/>
          <w:sz w:val="22"/>
          <w:szCs w:val="22"/>
          <w:spacing w:val="-8"/>
        </w:rPr>
        <w:t xml:space="preserve"> </w:t>
      </w:r>
      <w:r>
        <w:rPr>
          <w:rFonts w:ascii="YouYuan" w:hAnsi="YouYuan" w:eastAsia="YouYuan" w:cs="YouYuan"/>
          <w:sz w:val="22"/>
          <w:szCs w:val="22"/>
          <w:b/>
          <w:bCs/>
          <w:spacing w:val="-5"/>
        </w:rPr>
        <w:t>实施案例</w:t>
      </w:r>
    </w:p>
    <w:p>
      <w:pPr>
        <w:ind w:left="414"/>
        <w:spacing w:before="230" w:line="320" w:lineRule="exact"/>
        <w:rPr>
          <w:rFonts w:ascii="SimSun" w:hAnsi="SimSun" w:eastAsia="SimSun" w:cs="SimSun"/>
          <w:sz w:val="22"/>
          <w:szCs w:val="22"/>
        </w:rPr>
      </w:pPr>
      <w:r>
        <w:rPr>
          <w:rFonts w:ascii="SimSun" w:hAnsi="SimSun" w:eastAsia="SimSun" w:cs="SimSun"/>
          <w:sz w:val="22"/>
          <w:szCs w:val="22"/>
          <w:position w:val="7"/>
        </w:rPr>
        <w:t>(1)文件名称列表</w:t>
      </w:r>
    </w:p>
    <w:p>
      <w:pPr>
        <w:ind w:left="304"/>
        <w:spacing w:line="219" w:lineRule="auto"/>
        <w:rPr>
          <w:rFonts w:ascii="SimSun" w:hAnsi="SimSun" w:eastAsia="SimSun" w:cs="SimSun"/>
          <w:sz w:val="22"/>
          <w:szCs w:val="22"/>
        </w:rPr>
      </w:pPr>
      <w:r>
        <w:rPr>
          <w:rFonts w:ascii="SimSun" w:hAnsi="SimSun" w:eastAsia="SimSun" w:cs="SimSun"/>
          <w:sz w:val="22"/>
          <w:szCs w:val="22"/>
          <w:spacing w:val="-7"/>
        </w:rPr>
        <w:t>《业务词汇表》</w:t>
      </w:r>
    </w:p>
    <w:p>
      <w:pPr>
        <w:ind w:left="414"/>
        <w:spacing w:before="39" w:line="220" w:lineRule="auto"/>
        <w:rPr>
          <w:rFonts w:ascii="SimSun" w:hAnsi="SimSun" w:eastAsia="SimSun" w:cs="SimSun"/>
          <w:sz w:val="22"/>
          <w:szCs w:val="22"/>
        </w:rPr>
      </w:pPr>
      <w:r>
        <w:rPr>
          <w:rFonts w:ascii="SimSun" w:hAnsi="SimSun" w:eastAsia="SimSun" w:cs="SimSun"/>
          <w:sz w:val="22"/>
          <w:szCs w:val="22"/>
          <w:spacing w:val="4"/>
        </w:rPr>
        <w:t>(2)实施案例</w:t>
      </w:r>
    </w:p>
    <w:p>
      <w:pPr>
        <w:spacing w:line="123" w:lineRule="exact"/>
        <w:rPr/>
      </w:pPr>
      <w:r/>
    </w:p>
    <w:tbl>
      <w:tblPr>
        <w:tblStyle w:val="TableNormal"/>
        <w:tblW w:w="7659"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6499" w:hRule="atLeast"/>
        </w:trPr>
        <w:tc>
          <w:tcPr>
            <w:tcW w:w="7659" w:type="dxa"/>
            <w:vAlign w:val="top"/>
          </w:tcPr>
          <w:p>
            <w:pPr>
              <w:pStyle w:val="TableText"/>
              <w:ind w:left="3447"/>
              <w:spacing w:before="59" w:line="219" w:lineRule="auto"/>
              <w:rPr/>
            </w:pPr>
            <w:r>
              <w:rPr>
                <w:b/>
                <w:bCs/>
                <w:spacing w:val="-3"/>
              </w:rPr>
              <w:t>业务词汇表</w:t>
            </w:r>
          </w:p>
          <w:p>
            <w:pPr>
              <w:pStyle w:val="TableText"/>
              <w:ind w:left="254"/>
              <w:spacing w:before="73" w:line="219" w:lineRule="auto"/>
              <w:rPr/>
            </w:pPr>
            <w:r>
              <w:rPr>
                <w:spacing w:val="-9"/>
              </w:rPr>
              <w:t>1</w:t>
            </w:r>
            <w:r>
              <w:rPr>
                <w:spacing w:val="29"/>
              </w:rPr>
              <w:t xml:space="preserve"> </w:t>
            </w:r>
            <w:r>
              <w:rPr>
                <w:spacing w:val="-9"/>
              </w:rPr>
              <w:t>简</w:t>
            </w:r>
            <w:r>
              <w:rPr>
                <w:spacing w:val="26"/>
              </w:rPr>
              <w:t xml:space="preserve"> </w:t>
            </w:r>
            <w:r>
              <w:rPr>
                <w:spacing w:val="-9"/>
              </w:rPr>
              <w:t>介</w:t>
            </w:r>
          </w:p>
          <w:p>
            <w:pPr>
              <w:pStyle w:val="TableText"/>
              <w:ind w:left="265"/>
              <w:spacing w:before="112" w:line="219" w:lineRule="auto"/>
              <w:rPr/>
            </w:pPr>
            <w:r>
              <w:rPr/>
              <w:t>[业务词汇表的简介应提供整个文档的概述。请在本节提供便于读者理解此文档所需的任何信息。此文档用于定</w:t>
            </w:r>
          </w:p>
          <w:p>
            <w:pPr>
              <w:pStyle w:val="TableText"/>
              <w:ind w:left="254"/>
              <w:spacing w:before="73" w:line="219" w:lineRule="auto"/>
              <w:rPr/>
            </w:pPr>
            <w:r>
              <w:rPr/>
              <w:t>义问题领域的专用词汇，并解释“用例说明”或其他项目文档的读者可能尚不熟悉的词汇。</w:t>
            </w:r>
            <w:r>
              <w:rPr>
                <w:spacing w:val="-1"/>
              </w:rPr>
              <w:t>此文档通常可用作非</w:t>
            </w:r>
          </w:p>
          <w:p>
            <w:pPr>
              <w:pStyle w:val="TableText"/>
              <w:ind w:left="104" w:right="52" w:firstLine="149"/>
              <w:spacing w:before="111" w:line="270" w:lineRule="auto"/>
              <w:rPr/>
            </w:pPr>
            <w:r>
              <w:rPr/>
              <w:t>正式的数据字典来收集数据定义，以便让“用例说明”和其他项目文档重点阐述系统利用</w:t>
            </w:r>
            <w:r>
              <w:rPr>
                <w:spacing w:val="-1"/>
              </w:rPr>
              <w:t>这些数据信息需要执行</w:t>
            </w:r>
            <w:r>
              <w:rPr/>
              <w:t xml:space="preserve"> </w:t>
            </w:r>
            <w:r>
              <w:rPr>
                <w:spacing w:val="1"/>
              </w:rPr>
              <w:t>的操作。此文档应保存在名为“业务词汇表”的文件</w:t>
            </w:r>
            <w:r>
              <w:rPr/>
              <w:t>中。]</w:t>
            </w:r>
          </w:p>
          <w:p>
            <w:pPr>
              <w:pStyle w:val="TableText"/>
              <w:ind w:left="254"/>
              <w:spacing w:before="104" w:line="222" w:lineRule="auto"/>
              <w:rPr/>
            </w:pPr>
            <w:r>
              <w:rPr>
                <w:spacing w:val="2"/>
              </w:rPr>
              <w:t>1)目的</w:t>
            </w:r>
          </w:p>
          <w:p>
            <w:pPr>
              <w:pStyle w:val="TableText"/>
              <w:ind w:left="254"/>
              <w:spacing w:before="107" w:line="219" w:lineRule="auto"/>
              <w:rPr/>
            </w:pPr>
            <w:r>
              <w:rPr>
                <w:spacing w:val="2"/>
              </w:rPr>
              <w:t>[阐明该业务词汇表的目的。]</w:t>
            </w:r>
          </w:p>
          <w:p>
            <w:pPr>
              <w:pStyle w:val="TableText"/>
              <w:ind w:left="254"/>
              <w:spacing w:before="92" w:line="220" w:lineRule="auto"/>
              <w:rPr/>
            </w:pPr>
            <w:r>
              <w:rPr>
                <w:spacing w:val="-6"/>
              </w:rPr>
              <w:t>2</w:t>
            </w:r>
            <w:r>
              <w:rPr>
                <w:spacing w:val="-25"/>
              </w:rPr>
              <w:t xml:space="preserve"> </w:t>
            </w:r>
            <w:r>
              <w:rPr>
                <w:spacing w:val="-6"/>
              </w:rPr>
              <w:t>)</w:t>
            </w:r>
            <w:r>
              <w:rPr>
                <w:spacing w:val="-22"/>
              </w:rPr>
              <w:t xml:space="preserve"> </w:t>
            </w:r>
            <w:r>
              <w:rPr>
                <w:spacing w:val="-6"/>
              </w:rPr>
              <w:t>范</w:t>
            </w:r>
            <w:r>
              <w:rPr>
                <w:spacing w:val="-12"/>
              </w:rPr>
              <w:t xml:space="preserve"> </w:t>
            </w:r>
            <w:r>
              <w:rPr>
                <w:spacing w:val="-6"/>
              </w:rPr>
              <w:t>围</w:t>
            </w:r>
          </w:p>
          <w:p>
            <w:pPr>
              <w:pStyle w:val="TableText"/>
              <w:ind w:left="254"/>
              <w:spacing w:before="69" w:line="219" w:lineRule="auto"/>
              <w:rPr/>
            </w:pPr>
            <w:r>
              <w:rPr>
                <w:spacing w:val="1"/>
              </w:rPr>
              <w:t>[简要说明该业务词汇表的范围：它的相关项目，以及受到此文档</w:t>
            </w:r>
            <w:r>
              <w:rPr/>
              <w:t>影响的任何其他事物。]</w:t>
            </w:r>
          </w:p>
          <w:p>
            <w:pPr>
              <w:pStyle w:val="TableText"/>
              <w:ind w:left="254"/>
              <w:spacing w:before="113" w:line="219" w:lineRule="auto"/>
              <w:rPr/>
            </w:pPr>
            <w:r>
              <w:rPr>
                <w:spacing w:val="-2"/>
              </w:rPr>
              <w:t>3)参考资料</w:t>
            </w:r>
          </w:p>
          <w:p>
            <w:pPr>
              <w:pStyle w:val="TableText"/>
              <w:ind w:left="104" w:right="179" w:firstLine="170"/>
              <w:spacing w:before="80" w:line="270" w:lineRule="auto"/>
              <w:rPr/>
            </w:pPr>
            <w:r>
              <w:rPr>
                <w:spacing w:val="2"/>
              </w:rPr>
              <w:t>[本小节应完整列出此业务词汇表中其他部</w:t>
            </w:r>
            <w:r>
              <w:rPr>
                <w:spacing w:val="1"/>
              </w:rPr>
              <w:t>分所引用的任何文档。每个文档应标有标题、报告号(如果适用)、</w:t>
            </w:r>
            <w:r>
              <w:rPr/>
              <w:t xml:space="preserve"> </w:t>
            </w:r>
            <w:r>
              <w:rPr>
                <w:spacing w:val="1"/>
              </w:rPr>
              <w:t>日期和出版单位。列出可从中获取这些参考资料的来</w:t>
            </w:r>
            <w:r>
              <w:rPr/>
              <w:t>源。这些信息可以通过引用附录或其他文档来提供。]</w:t>
            </w:r>
          </w:p>
          <w:p>
            <w:pPr>
              <w:pStyle w:val="TableText"/>
              <w:ind w:left="254"/>
              <w:spacing w:before="114" w:line="219" w:lineRule="auto"/>
              <w:rPr/>
            </w:pPr>
            <w:r>
              <w:rPr>
                <w:spacing w:val="-5"/>
              </w:rPr>
              <w:t>4</w:t>
            </w:r>
            <w:r>
              <w:rPr>
                <w:spacing w:val="-27"/>
              </w:rPr>
              <w:t xml:space="preserve"> </w:t>
            </w:r>
            <w:r>
              <w:rPr>
                <w:spacing w:val="-5"/>
              </w:rPr>
              <w:t>)</w:t>
            </w:r>
            <w:r>
              <w:rPr>
                <w:spacing w:val="-29"/>
              </w:rPr>
              <w:t xml:space="preserve"> </w:t>
            </w:r>
            <w:r>
              <w:rPr>
                <w:spacing w:val="-5"/>
              </w:rPr>
              <w:t>概</w:t>
            </w:r>
            <w:r>
              <w:rPr>
                <w:spacing w:val="-29"/>
              </w:rPr>
              <w:t xml:space="preserve"> </w:t>
            </w:r>
            <w:r>
              <w:rPr>
                <w:spacing w:val="-5"/>
              </w:rPr>
              <w:t>述</w:t>
            </w:r>
          </w:p>
          <w:p>
            <w:pPr>
              <w:pStyle w:val="TableText"/>
              <w:ind w:left="254"/>
              <w:spacing w:before="81" w:line="219" w:lineRule="auto"/>
              <w:rPr/>
            </w:pPr>
            <w:r>
              <w:rPr>
                <w:spacing w:val="1"/>
              </w:rPr>
              <w:t>[本小节应说明该业务词汇表中其他部分所包含的内容，并解释</w:t>
            </w:r>
            <w:r>
              <w:rPr/>
              <w:t>此文档的组织方式。]</w:t>
            </w:r>
          </w:p>
          <w:p>
            <w:pPr>
              <w:pStyle w:val="TableText"/>
              <w:ind w:left="254"/>
              <w:spacing w:before="83" w:line="220" w:lineRule="auto"/>
              <w:rPr/>
            </w:pPr>
            <w:r>
              <w:rPr>
                <w:spacing w:val="-6"/>
              </w:rPr>
              <w:t>2</w:t>
            </w:r>
            <w:r>
              <w:rPr>
                <w:spacing w:val="14"/>
              </w:rPr>
              <w:t xml:space="preserve"> </w:t>
            </w:r>
            <w:r>
              <w:rPr>
                <w:spacing w:val="-6"/>
              </w:rPr>
              <w:t>定</w:t>
            </w:r>
            <w:r>
              <w:rPr>
                <w:spacing w:val="13"/>
              </w:rPr>
              <w:t xml:space="preserve"> </w:t>
            </w:r>
            <w:r>
              <w:rPr>
                <w:spacing w:val="-6"/>
              </w:rPr>
              <w:t>义</w:t>
            </w:r>
          </w:p>
          <w:p>
            <w:pPr>
              <w:pStyle w:val="TableText"/>
              <w:ind w:left="254"/>
              <w:spacing w:before="110" w:line="219" w:lineRule="auto"/>
              <w:rPr/>
            </w:pPr>
            <w:r>
              <w:rPr/>
              <w:t>此处定义的词汇形成了此文档的基础。本文档按字母顺序定</w:t>
            </w:r>
            <w:r>
              <w:rPr>
                <w:spacing w:val="-1"/>
              </w:rPr>
              <w:t>义最便于查找。</w:t>
            </w:r>
          </w:p>
          <w:p>
            <w:pPr>
              <w:pStyle w:val="TableText"/>
              <w:ind w:left="254"/>
              <w:spacing w:before="103" w:line="219" w:lineRule="auto"/>
              <w:rPr/>
            </w:pPr>
            <w:r>
              <w:rPr/>
              <w:t>1)需求管理</w:t>
            </w:r>
          </w:p>
          <w:p>
            <w:pPr>
              <w:pStyle w:val="TableText"/>
              <w:ind w:left="254"/>
              <w:spacing w:before="91" w:line="219" w:lineRule="auto"/>
              <w:rPr/>
            </w:pPr>
            <w:r>
              <w:rPr/>
              <w:t>我们所指对需求过程和需求内容进行管理，是把两者有机结合起来管理，而不仅仅是管</w:t>
            </w:r>
            <w:r>
              <w:rPr>
                <w:spacing w:val="-1"/>
              </w:rPr>
              <w:t>理需求内容。</w:t>
            </w:r>
          </w:p>
          <w:p>
            <w:pPr>
              <w:pStyle w:val="TableText"/>
              <w:ind w:left="254"/>
              <w:spacing w:before="103" w:line="219" w:lineRule="auto"/>
              <w:rPr/>
            </w:pPr>
            <w:r>
              <w:rPr>
                <w:spacing w:val="-2"/>
              </w:rPr>
              <w:t>2)需求修订</w:t>
            </w:r>
          </w:p>
          <w:p>
            <w:pPr>
              <w:pStyle w:val="TableText"/>
              <w:ind w:left="254"/>
              <w:spacing w:before="72" w:line="219" w:lineRule="auto"/>
              <w:rPr/>
            </w:pPr>
            <w:r>
              <w:rPr/>
              <w:t>需求未确定基线前发生了变化，我们进行修订；这种变化是不</w:t>
            </w:r>
            <w:r>
              <w:rPr>
                <w:spacing w:val="-1"/>
              </w:rPr>
              <w:t>需要控制的。</w:t>
            </w:r>
          </w:p>
          <w:p>
            <w:pPr>
              <w:pStyle w:val="TableText"/>
              <w:ind w:left="254"/>
              <w:spacing w:before="103" w:line="220" w:lineRule="auto"/>
              <w:rPr/>
            </w:pPr>
            <w:r>
              <w:rPr>
                <w:spacing w:val="-2"/>
              </w:rPr>
              <w:t>3)需求变更</w:t>
            </w:r>
          </w:p>
          <w:p>
            <w:pPr>
              <w:pStyle w:val="TableText"/>
              <w:ind w:left="94" w:right="104" w:firstLine="180"/>
              <w:spacing w:before="89" w:line="264" w:lineRule="auto"/>
              <w:rPr/>
            </w:pPr>
            <w:r>
              <w:rPr/>
              <w:t>确定基线后，需求发生变动；这种变动是需要通过一定程序进行控制的。需求变更包含三种情况</w:t>
            </w:r>
            <w:r>
              <w:rPr>
                <w:spacing w:val="-1"/>
              </w:rPr>
              <w:t>：需求改变(原</w:t>
            </w:r>
            <w:r>
              <w:rPr/>
              <w:t xml:space="preserve"> </w:t>
            </w:r>
            <w:r>
              <w:rPr>
                <w:spacing w:val="-2"/>
              </w:rPr>
              <w:t>来需求发生变化)、新需求(原来不存在的需求)、   需求建议(对原来需求提出更好的看法)。</w:t>
            </w:r>
          </w:p>
        </w:tc>
      </w:tr>
    </w:tbl>
    <w:p>
      <w:pPr>
        <w:ind w:left="9"/>
        <w:spacing w:before="333" w:line="222" w:lineRule="auto"/>
        <w:outlineLvl w:val="2"/>
        <w:rPr>
          <w:rFonts w:ascii="SimHei" w:hAnsi="SimHei" w:eastAsia="SimHei" w:cs="SimHei"/>
          <w:sz w:val="29"/>
          <w:szCs w:val="29"/>
        </w:rPr>
      </w:pPr>
      <w:r>
        <w:rPr>
          <w:rFonts w:ascii="SimHei" w:hAnsi="SimHei" w:eastAsia="SimHei" w:cs="SimHei"/>
          <w:sz w:val="29"/>
          <w:szCs w:val="29"/>
          <w:b/>
          <w:bCs/>
          <w:spacing w:val="-8"/>
        </w:rPr>
        <w:t>5.2.2</w:t>
      </w:r>
      <w:r>
        <w:rPr>
          <w:rFonts w:ascii="SimHei" w:hAnsi="SimHei" w:eastAsia="SimHei" w:cs="SimHei"/>
          <w:sz w:val="29"/>
          <w:szCs w:val="29"/>
          <w:spacing w:val="120"/>
        </w:rPr>
        <w:t xml:space="preserve"> </w:t>
      </w:r>
      <w:r>
        <w:rPr>
          <w:rFonts w:ascii="SimHei" w:hAnsi="SimHei" w:eastAsia="SimHei" w:cs="SimHei"/>
          <w:sz w:val="29"/>
          <w:szCs w:val="29"/>
          <w:b/>
          <w:bCs/>
          <w:spacing w:val="-8"/>
        </w:rPr>
        <w:t>元数据管理</w:t>
      </w:r>
    </w:p>
    <w:p>
      <w:pPr>
        <w:ind w:left="418"/>
        <w:spacing w:before="295" w:line="224" w:lineRule="auto"/>
        <w:outlineLvl w:val="3"/>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414"/>
        <w:spacing w:before="227" w:line="232" w:lineRule="auto"/>
        <w:rPr>
          <w:rFonts w:ascii="KaiTi" w:hAnsi="KaiTi" w:eastAsia="KaiTi" w:cs="KaiTi"/>
          <w:sz w:val="22"/>
          <w:szCs w:val="22"/>
        </w:rPr>
      </w:pPr>
      <w:r>
        <w:rPr>
          <w:rFonts w:ascii="KaiTi" w:hAnsi="KaiTi" w:eastAsia="KaiTi" w:cs="KaiTi"/>
          <w:sz w:val="22"/>
          <w:szCs w:val="22"/>
          <w:spacing w:val="13"/>
        </w:rPr>
        <w:t>1)目的</w:t>
      </w:r>
    </w:p>
    <w:p>
      <w:pPr>
        <w:ind w:left="4" w:right="247" w:firstLine="409"/>
        <w:spacing w:before="36"/>
        <w:rPr>
          <w:rFonts w:ascii="SimSun" w:hAnsi="SimSun" w:eastAsia="SimSun" w:cs="SimSun"/>
          <w:sz w:val="22"/>
          <w:szCs w:val="22"/>
        </w:rPr>
      </w:pPr>
      <w:r>
        <w:rPr>
          <w:rFonts w:ascii="SimSun" w:hAnsi="SimSun" w:eastAsia="SimSun" w:cs="SimSun"/>
          <w:sz w:val="22"/>
          <w:szCs w:val="22"/>
          <w:spacing w:val="-8"/>
        </w:rPr>
        <w:t>元数据管理作为组织数据资产管理中的一项核心技</w:t>
      </w:r>
      <w:r>
        <w:rPr>
          <w:rFonts w:ascii="SimSun" w:hAnsi="SimSun" w:eastAsia="SimSun" w:cs="SimSun"/>
          <w:sz w:val="22"/>
          <w:szCs w:val="22"/>
          <w:spacing w:val="-9"/>
        </w:rPr>
        <w:t>术，也将为主数据管理提供</w:t>
      </w:r>
      <w:r>
        <w:rPr>
          <w:rFonts w:ascii="SimSun" w:hAnsi="SimSun" w:eastAsia="SimSun" w:cs="SimSun"/>
          <w:sz w:val="22"/>
          <w:szCs w:val="22"/>
        </w:rPr>
        <w:t xml:space="preserve"> </w:t>
      </w:r>
      <w:r>
        <w:rPr>
          <w:rFonts w:ascii="SimSun" w:hAnsi="SimSun" w:eastAsia="SimSun" w:cs="SimSun"/>
          <w:sz w:val="22"/>
          <w:szCs w:val="22"/>
          <w:spacing w:val="-11"/>
        </w:rPr>
        <w:t>有力支撑，具体表现在以下三方面。</w:t>
      </w:r>
    </w:p>
    <w:p>
      <w:pPr>
        <w:ind w:left="4" w:right="145" w:firstLine="409"/>
        <w:spacing w:before="49" w:line="244" w:lineRule="auto"/>
        <w:rPr>
          <w:rFonts w:ascii="SimSun" w:hAnsi="SimSun" w:eastAsia="SimSun" w:cs="SimSun"/>
          <w:sz w:val="22"/>
          <w:szCs w:val="22"/>
        </w:rPr>
      </w:pPr>
      <w:r>
        <w:rPr>
          <w:rFonts w:ascii="SimSun" w:hAnsi="SimSun" w:eastAsia="SimSun" w:cs="SimSun"/>
          <w:sz w:val="22"/>
          <w:szCs w:val="22"/>
          <w:spacing w:val="-9"/>
        </w:rPr>
        <w:t>(1)为业务实体的定义、关系和业务规则的</w:t>
      </w:r>
      <w:r>
        <w:rPr>
          <w:rFonts w:ascii="Times New Roman" w:hAnsi="Times New Roman" w:eastAsia="Times New Roman" w:cs="Times New Roman"/>
          <w:sz w:val="22"/>
          <w:szCs w:val="22"/>
          <w:spacing w:val="-9"/>
        </w:rPr>
        <w:t>IT </w:t>
      </w:r>
      <w:r>
        <w:rPr>
          <w:rFonts w:ascii="SimSun" w:hAnsi="SimSun" w:eastAsia="SimSun" w:cs="SimSun"/>
          <w:sz w:val="22"/>
          <w:szCs w:val="22"/>
          <w:spacing w:val="-9"/>
        </w:rPr>
        <w:t>实现提供清晰、标准的语义转换，</w:t>
      </w:r>
      <w:r>
        <w:rPr>
          <w:rFonts w:ascii="SimSun" w:hAnsi="SimSun" w:eastAsia="SimSun" w:cs="SimSun"/>
          <w:sz w:val="22"/>
          <w:szCs w:val="22"/>
          <w:spacing w:val="8"/>
        </w:rPr>
        <w:t xml:space="preserve"> </w:t>
      </w:r>
      <w:r>
        <w:rPr>
          <w:rFonts w:ascii="SimSun" w:hAnsi="SimSun" w:eastAsia="SimSun" w:cs="SimSun"/>
          <w:sz w:val="22"/>
          <w:szCs w:val="22"/>
          <w:spacing w:val="-6"/>
        </w:rPr>
        <w:t>提高业务和</w:t>
      </w:r>
      <w:r>
        <w:rPr>
          <w:rFonts w:ascii="Times New Roman" w:hAnsi="Times New Roman" w:eastAsia="Times New Roman" w:cs="Times New Roman"/>
          <w:sz w:val="22"/>
          <w:szCs w:val="22"/>
          <w:spacing w:val="-6"/>
        </w:rPr>
        <w:t>IT </w:t>
      </w:r>
      <w:r>
        <w:rPr>
          <w:rFonts w:ascii="SimSun" w:hAnsi="SimSun" w:eastAsia="SimSun" w:cs="SimSun"/>
          <w:sz w:val="22"/>
          <w:szCs w:val="22"/>
          <w:spacing w:val="-6"/>
        </w:rPr>
        <w:t>之间的一致性，保障</w:t>
      </w:r>
      <w:r>
        <w:rPr>
          <w:rFonts w:ascii="Times New Roman" w:hAnsi="Times New Roman" w:eastAsia="Times New Roman" w:cs="Times New Roman"/>
          <w:sz w:val="22"/>
          <w:szCs w:val="22"/>
          <w:spacing w:val="-6"/>
        </w:rPr>
        <w:t>IT </w:t>
      </w:r>
      <w:r>
        <w:rPr>
          <w:rFonts w:ascii="SimSun" w:hAnsi="SimSun" w:eastAsia="SimSun" w:cs="SimSun"/>
          <w:sz w:val="22"/>
          <w:szCs w:val="22"/>
          <w:spacing w:val="-6"/>
        </w:rPr>
        <w:t>系统能够真实反映业务事实；</w:t>
      </w:r>
    </w:p>
    <w:p>
      <w:pPr>
        <w:spacing w:line="244" w:lineRule="auto"/>
        <w:sectPr>
          <w:footerReference w:type="default" r:id="rId205"/>
          <w:pgSz w:w="8870" w:h="13400"/>
          <w:pgMar w:top="400" w:right="584" w:bottom="575" w:left="425" w:header="0" w:footer="356" w:gutter="0"/>
        </w:sectPr>
        <w:rPr>
          <w:rFonts w:ascii="SimSun" w:hAnsi="SimSun" w:eastAsia="SimSun" w:cs="SimSun"/>
          <w:sz w:val="22"/>
          <w:szCs w:val="22"/>
        </w:rPr>
      </w:pPr>
    </w:p>
    <w:p>
      <w:pPr>
        <w:ind w:left="182"/>
        <w:spacing w:before="236" w:line="219" w:lineRule="auto"/>
        <w:rPr>
          <w:rFonts w:ascii="SimSun" w:hAnsi="SimSun" w:eastAsia="SimSun" w:cs="SimSun"/>
          <w:sz w:val="22"/>
          <w:szCs w:val="22"/>
        </w:rPr>
      </w:pPr>
      <w:r>
        <w:pict>
          <v:rect id="_x0000_s334" style="position:absolute;margin-left:26.4991pt;margin-top:27.9993pt;mso-position-vertical-relative:page;mso-position-horizontal-relative:page;width:0.55pt;height:18.05pt;z-index:253923328;" o:allowincell="f" fillcolor="#000000" filled="true" stroked="false"/>
        </w:pict>
      </w:r>
      <w:r>
        <w:rPr>
          <w:rFonts w:ascii="SimSun" w:hAnsi="SimSun" w:eastAsia="SimSun" w:cs="SimSun"/>
          <w:sz w:val="22"/>
          <w:szCs w:val="22"/>
          <w:b/>
          <w:bCs/>
          <w:spacing w:val="-29"/>
          <w:w w:val="97"/>
        </w:rPr>
        <w:t>■云端数据治理■</w:t>
      </w:r>
    </w:p>
    <w:p>
      <w:pPr>
        <w:ind w:left="179" w:right="100" w:firstLine="470"/>
        <w:spacing w:before="301" w:line="244" w:lineRule="auto"/>
        <w:rPr>
          <w:rFonts w:ascii="SimSun" w:hAnsi="SimSun" w:eastAsia="SimSun" w:cs="SimSun"/>
          <w:sz w:val="22"/>
          <w:szCs w:val="22"/>
        </w:rPr>
      </w:pPr>
      <w:r>
        <w:rPr>
          <w:rFonts w:ascii="SimSun" w:hAnsi="SimSun" w:eastAsia="SimSun" w:cs="SimSun"/>
          <w:sz w:val="22"/>
          <w:szCs w:val="22"/>
          <w:spacing w:val="-5"/>
        </w:rPr>
        <w:t>(2)为主数据管理的各个数据处理阶段提供数据标准、数据映射关系和数据规</w:t>
      </w:r>
      <w:r>
        <w:rPr>
          <w:rFonts w:ascii="SimSun" w:hAnsi="SimSun" w:eastAsia="SimSun" w:cs="SimSun"/>
          <w:sz w:val="22"/>
          <w:szCs w:val="22"/>
          <w:spacing w:val="13"/>
        </w:rPr>
        <w:t xml:space="preserve"> </w:t>
      </w:r>
      <w:r>
        <w:rPr>
          <w:rFonts w:ascii="SimSun" w:hAnsi="SimSun" w:eastAsia="SimSun" w:cs="SimSun"/>
          <w:sz w:val="22"/>
          <w:szCs w:val="22"/>
          <w:spacing w:val="-12"/>
        </w:rPr>
        <w:t>则的描述，保障主数据管理的数据质量；</w:t>
      </w:r>
    </w:p>
    <w:p>
      <w:pPr>
        <w:ind w:left="179" w:right="129" w:firstLine="470"/>
        <w:spacing w:before="38" w:line="244" w:lineRule="auto"/>
        <w:rPr>
          <w:rFonts w:ascii="SimSun" w:hAnsi="SimSun" w:eastAsia="SimSun" w:cs="SimSun"/>
          <w:sz w:val="22"/>
          <w:szCs w:val="22"/>
        </w:rPr>
      </w:pPr>
      <w:r>
        <w:rPr>
          <w:rFonts w:ascii="SimSun" w:hAnsi="SimSun" w:eastAsia="SimSun" w:cs="SimSun"/>
          <w:sz w:val="22"/>
          <w:szCs w:val="22"/>
          <w:spacing w:val="-5"/>
        </w:rPr>
        <w:t>(3)为主数据库和其他系统之间的数据交</w:t>
      </w:r>
      <w:r>
        <w:rPr>
          <w:rFonts w:ascii="SimSun" w:hAnsi="SimSun" w:eastAsia="SimSun" w:cs="SimSun"/>
          <w:sz w:val="22"/>
          <w:szCs w:val="22"/>
          <w:spacing w:val="-6"/>
        </w:rPr>
        <w:t>互提供有关数据标准、数据映射关系</w:t>
      </w:r>
      <w:r>
        <w:rPr>
          <w:rFonts w:ascii="SimSun" w:hAnsi="SimSun" w:eastAsia="SimSun" w:cs="SimSun"/>
          <w:sz w:val="22"/>
          <w:szCs w:val="22"/>
        </w:rPr>
        <w:t xml:space="preserve"> </w:t>
      </w:r>
      <w:r>
        <w:rPr>
          <w:rFonts w:ascii="SimSun" w:hAnsi="SimSun" w:eastAsia="SimSun" w:cs="SimSun"/>
          <w:sz w:val="22"/>
          <w:szCs w:val="22"/>
          <w:spacing w:val="-13"/>
        </w:rPr>
        <w:t>和数据规则的描述。</w:t>
      </w:r>
    </w:p>
    <w:p>
      <w:pPr>
        <w:ind w:left="649"/>
        <w:spacing w:before="37" w:line="222" w:lineRule="auto"/>
        <w:rPr>
          <w:rFonts w:ascii="FangSong" w:hAnsi="FangSong" w:eastAsia="FangSong" w:cs="FangSong"/>
          <w:sz w:val="22"/>
          <w:szCs w:val="22"/>
        </w:rPr>
      </w:pPr>
      <w:r>
        <w:rPr>
          <w:rFonts w:ascii="FangSong" w:hAnsi="FangSong" w:eastAsia="FangSong" w:cs="FangSong"/>
          <w:sz w:val="22"/>
          <w:szCs w:val="22"/>
          <w:spacing w:val="17"/>
        </w:rPr>
        <w:t>2)介绍</w:t>
      </w:r>
    </w:p>
    <w:p>
      <w:pPr>
        <w:ind w:left="179" w:right="101" w:firstLine="470"/>
        <w:spacing w:before="46" w:line="250" w:lineRule="auto"/>
        <w:rPr>
          <w:rFonts w:ascii="SimSun" w:hAnsi="SimSun" w:eastAsia="SimSun" w:cs="SimSun"/>
          <w:sz w:val="22"/>
          <w:szCs w:val="22"/>
        </w:rPr>
      </w:pPr>
      <w:r>
        <w:rPr>
          <w:rFonts w:ascii="SimSun" w:hAnsi="SimSun" w:eastAsia="SimSun" w:cs="SimSun"/>
          <w:sz w:val="22"/>
          <w:szCs w:val="22"/>
          <w:spacing w:val="-6"/>
        </w:rPr>
        <w:t>元数据就是关于数据的数据或者用来描述数据的数据。</w:t>
      </w:r>
      <w:r>
        <w:rPr>
          <w:rFonts w:ascii="Times New Roman" w:hAnsi="Times New Roman" w:eastAsia="Times New Roman" w:cs="Times New Roman"/>
          <w:sz w:val="22"/>
          <w:szCs w:val="22"/>
          <w:spacing w:val="-6"/>
        </w:rPr>
        <w:t>Forrester Research</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6"/>
        </w:rPr>
        <w:t>将元</w:t>
      </w:r>
      <w:r>
        <w:rPr>
          <w:rFonts w:ascii="SimSun" w:hAnsi="SimSun" w:eastAsia="SimSun" w:cs="SimSun"/>
          <w:sz w:val="22"/>
          <w:szCs w:val="22"/>
        </w:rPr>
        <w:t xml:space="preserve"> </w:t>
      </w:r>
      <w:r>
        <w:rPr>
          <w:rFonts w:ascii="SimSun" w:hAnsi="SimSun" w:eastAsia="SimSun" w:cs="SimSun"/>
          <w:sz w:val="22"/>
          <w:szCs w:val="22"/>
          <w:spacing w:val="-8"/>
        </w:rPr>
        <w:t>数据定义为“用于描述数据、内容、业务流程、服务、业务规则以及组织信息系统</w:t>
      </w:r>
      <w:r>
        <w:rPr>
          <w:rFonts w:ascii="SimSun" w:hAnsi="SimSun" w:eastAsia="SimSun" w:cs="SimSun"/>
          <w:sz w:val="22"/>
          <w:szCs w:val="22"/>
          <w:spacing w:val="6"/>
        </w:rPr>
        <w:t xml:space="preserve"> </w:t>
      </w:r>
      <w:r>
        <w:rPr>
          <w:rFonts w:ascii="SimSun" w:hAnsi="SimSun" w:eastAsia="SimSun" w:cs="SimSun"/>
          <w:sz w:val="22"/>
          <w:szCs w:val="22"/>
          <w:spacing w:val="-14"/>
        </w:rPr>
        <w:t>的支持政策或为其提供上下文的信息”。元数据是识别、描述、解释以及提供与</w:t>
      </w:r>
      <w:r>
        <w:rPr>
          <w:rFonts w:ascii="SimSun" w:hAnsi="SimSun" w:eastAsia="SimSun" w:cs="SimSun"/>
          <w:sz w:val="22"/>
          <w:szCs w:val="22"/>
          <w:spacing w:val="-15"/>
        </w:rPr>
        <w:t>组织</w:t>
      </w:r>
      <w:r>
        <w:rPr>
          <w:rFonts w:ascii="SimSun" w:hAnsi="SimSun" w:eastAsia="SimSun" w:cs="SimSun"/>
          <w:sz w:val="22"/>
          <w:szCs w:val="22"/>
        </w:rPr>
        <w:t xml:space="preserve"> </w:t>
      </w:r>
      <w:r>
        <w:rPr>
          <w:rFonts w:ascii="SimSun" w:hAnsi="SimSun" w:eastAsia="SimSun" w:cs="SimSun"/>
          <w:sz w:val="22"/>
          <w:szCs w:val="22"/>
          <w:spacing w:val="-9"/>
        </w:rPr>
        <w:t>数据资产相关的内容、语境、结果以及分类的信息，元数据保证</w:t>
      </w:r>
      <w:r>
        <w:rPr>
          <w:rFonts w:ascii="SimSun" w:hAnsi="SimSun" w:eastAsia="SimSun" w:cs="SimSun"/>
          <w:sz w:val="22"/>
          <w:szCs w:val="22"/>
          <w:spacing w:val="-10"/>
        </w:rPr>
        <w:t>这些资产的检索、</w:t>
      </w:r>
    </w:p>
    <w:p>
      <w:pPr>
        <w:ind w:left="179" w:right="59"/>
        <w:spacing w:before="46" w:line="247" w:lineRule="auto"/>
        <w:rPr>
          <w:rFonts w:ascii="SimSun" w:hAnsi="SimSun" w:eastAsia="SimSun" w:cs="SimSun"/>
          <w:sz w:val="22"/>
          <w:szCs w:val="22"/>
        </w:rPr>
      </w:pPr>
      <w:r>
        <w:rPr>
          <w:rFonts w:ascii="SimSun" w:hAnsi="SimSun" w:eastAsia="SimSun" w:cs="SimSun"/>
          <w:sz w:val="22"/>
          <w:szCs w:val="22"/>
          <w:spacing w:val="-11"/>
        </w:rPr>
        <w:t>使用以及管理得到有效执行。生活中我们填写的《个</w:t>
      </w:r>
      <w:r>
        <w:rPr>
          <w:rFonts w:ascii="SimSun" w:hAnsi="SimSun" w:eastAsia="SimSun" w:cs="SimSun"/>
          <w:sz w:val="22"/>
          <w:szCs w:val="22"/>
          <w:spacing w:val="-12"/>
        </w:rPr>
        <w:t>人信息登记表》中的各项内容，</w:t>
      </w:r>
      <w:r>
        <w:rPr>
          <w:rFonts w:ascii="SimSun" w:hAnsi="SimSun" w:eastAsia="SimSun" w:cs="SimSun"/>
          <w:sz w:val="22"/>
          <w:szCs w:val="22"/>
        </w:rPr>
        <w:t xml:space="preserve"> </w:t>
      </w:r>
      <w:r>
        <w:rPr>
          <w:rFonts w:ascii="SimSun" w:hAnsi="SimSun" w:eastAsia="SimSun" w:cs="SimSun"/>
          <w:sz w:val="22"/>
          <w:szCs w:val="22"/>
          <w:spacing w:val="-13"/>
        </w:rPr>
        <w:t>包括姓名、性别、民族、政治面貌、</w:t>
      </w:r>
      <w:r>
        <w:rPr>
          <w:rFonts w:ascii="SimSun" w:hAnsi="SimSun" w:eastAsia="SimSun" w:cs="SimSun"/>
          <w:sz w:val="22"/>
          <w:szCs w:val="22"/>
          <w:spacing w:val="56"/>
        </w:rPr>
        <w:t xml:space="preserve"> </w:t>
      </w:r>
      <w:r>
        <w:rPr>
          <w:rFonts w:ascii="SimSun" w:hAnsi="SimSun" w:eastAsia="SimSun" w:cs="SimSun"/>
          <w:sz w:val="22"/>
          <w:szCs w:val="22"/>
          <w:spacing w:val="-13"/>
        </w:rPr>
        <w:t>一寸照片、学历、职称等，这些就是锁定一个</w:t>
      </w:r>
      <w:r>
        <w:rPr>
          <w:rFonts w:ascii="SimSun" w:hAnsi="SimSun" w:eastAsia="SimSun" w:cs="SimSun"/>
          <w:sz w:val="22"/>
          <w:szCs w:val="22"/>
        </w:rPr>
        <w:t xml:space="preserve">  </w:t>
      </w:r>
      <w:r>
        <w:rPr>
          <w:rFonts w:ascii="SimSun" w:hAnsi="SimSun" w:eastAsia="SimSun" w:cs="SimSun"/>
          <w:sz w:val="22"/>
          <w:szCs w:val="22"/>
          <w:spacing w:val="-16"/>
        </w:rPr>
        <w:t>人的元数据。</w:t>
      </w:r>
    </w:p>
    <w:p>
      <w:pPr>
        <w:ind w:left="179" w:right="139" w:firstLine="470"/>
        <w:spacing w:before="89" w:line="252" w:lineRule="auto"/>
        <w:rPr>
          <w:rFonts w:ascii="SimSun" w:hAnsi="SimSun" w:eastAsia="SimSun" w:cs="SimSun"/>
          <w:sz w:val="22"/>
          <w:szCs w:val="22"/>
        </w:rPr>
      </w:pPr>
      <w:r>
        <w:rPr>
          <w:rFonts w:ascii="SimSun" w:hAnsi="SimSun" w:eastAsia="SimSun" w:cs="SimSun"/>
          <w:sz w:val="22"/>
          <w:szCs w:val="22"/>
          <w:spacing w:val="-9"/>
        </w:rPr>
        <w:t>数据治理成功的关键在于元数据管理，即赋予数据上下文和含义的</w:t>
      </w:r>
      <w:r>
        <w:rPr>
          <w:rFonts w:ascii="SimSun" w:hAnsi="SimSun" w:eastAsia="SimSun" w:cs="SimSun"/>
          <w:sz w:val="22"/>
          <w:szCs w:val="22"/>
          <w:spacing w:val="-10"/>
        </w:rPr>
        <w:t>参考框架。</w:t>
      </w:r>
      <w:r>
        <w:rPr>
          <w:rFonts w:ascii="SimSun" w:hAnsi="SimSun" w:eastAsia="SimSun" w:cs="SimSun"/>
          <w:sz w:val="22"/>
          <w:szCs w:val="22"/>
        </w:rPr>
        <w:t xml:space="preserve"> </w:t>
      </w:r>
      <w:r>
        <w:rPr>
          <w:rFonts w:ascii="SimSun" w:hAnsi="SimSun" w:eastAsia="SimSun" w:cs="SimSun"/>
          <w:sz w:val="22"/>
          <w:szCs w:val="22"/>
          <w:spacing w:val="-8"/>
        </w:rPr>
        <w:t>经过有效治理的元数据可提供数据流视图、影响分析的</w:t>
      </w:r>
      <w:r>
        <w:rPr>
          <w:rFonts w:ascii="SimSun" w:hAnsi="SimSun" w:eastAsia="SimSun" w:cs="SimSun"/>
          <w:sz w:val="22"/>
          <w:szCs w:val="22"/>
          <w:spacing w:val="-9"/>
        </w:rPr>
        <w:t>执行能力、业务词汇表以及</w:t>
      </w:r>
      <w:r>
        <w:rPr>
          <w:rFonts w:ascii="SimSun" w:hAnsi="SimSun" w:eastAsia="SimSun" w:cs="SimSun"/>
          <w:sz w:val="22"/>
          <w:szCs w:val="22"/>
        </w:rPr>
        <w:t xml:space="preserve"> </w:t>
      </w:r>
      <w:r>
        <w:rPr>
          <w:rFonts w:ascii="SimSun" w:hAnsi="SimSun" w:eastAsia="SimSun" w:cs="SimSun"/>
          <w:sz w:val="22"/>
          <w:szCs w:val="22"/>
          <w:spacing w:val="-8"/>
        </w:rPr>
        <w:t>其词汇和定义的可问责性，最终提供用于满足合规性</w:t>
      </w:r>
      <w:r>
        <w:rPr>
          <w:rFonts w:ascii="SimSun" w:hAnsi="SimSun" w:eastAsia="SimSun" w:cs="SimSun"/>
          <w:sz w:val="22"/>
          <w:szCs w:val="22"/>
          <w:spacing w:val="-9"/>
        </w:rPr>
        <w:t>的审计跟踪。元数据管理成为</w:t>
      </w:r>
      <w:r>
        <w:rPr>
          <w:rFonts w:ascii="SimSun" w:hAnsi="SimSun" w:eastAsia="SimSun" w:cs="SimSun"/>
          <w:sz w:val="22"/>
          <w:szCs w:val="22"/>
        </w:rPr>
        <w:t xml:space="preserve"> </w:t>
      </w:r>
      <w:r>
        <w:rPr>
          <w:rFonts w:ascii="SimSun" w:hAnsi="SimSun" w:eastAsia="SimSun" w:cs="SimSun"/>
          <w:sz w:val="22"/>
          <w:szCs w:val="22"/>
          <w:spacing w:val="-9"/>
        </w:rPr>
        <w:t>一项重要功能，让</w:t>
      </w:r>
      <w:r>
        <w:rPr>
          <w:rFonts w:ascii="Times New Roman" w:hAnsi="Times New Roman" w:eastAsia="Times New Roman" w:cs="Times New Roman"/>
          <w:sz w:val="22"/>
          <w:szCs w:val="22"/>
          <w:spacing w:val="-9"/>
        </w:rPr>
        <w:t>IT </w:t>
      </w:r>
      <w:r>
        <w:rPr>
          <w:rFonts w:ascii="SimSun" w:hAnsi="SimSun" w:eastAsia="SimSun" w:cs="SimSun"/>
          <w:sz w:val="22"/>
          <w:szCs w:val="22"/>
          <w:spacing w:val="-9"/>
        </w:rPr>
        <w:t>部门得以监视复杂数据集成环境中的变化，同时交付可信、安</w:t>
      </w:r>
      <w:r>
        <w:rPr>
          <w:rFonts w:ascii="SimSun" w:hAnsi="SimSun" w:eastAsia="SimSun" w:cs="SimSun"/>
          <w:sz w:val="22"/>
          <w:szCs w:val="22"/>
        </w:rPr>
        <w:t xml:space="preserve"> </w:t>
      </w:r>
      <w:r>
        <w:rPr>
          <w:rFonts w:ascii="SimSun" w:hAnsi="SimSun" w:eastAsia="SimSun" w:cs="SimSun"/>
          <w:sz w:val="22"/>
          <w:szCs w:val="22"/>
          <w:spacing w:val="-10"/>
        </w:rPr>
        <w:t>全的数据。因此，良好的元数据管理工具在全局数据治理中起到了核心作用。</w:t>
      </w:r>
    </w:p>
    <w:p>
      <w:pPr>
        <w:ind w:left="179" w:right="119" w:firstLine="470"/>
        <w:spacing w:before="58" w:line="250" w:lineRule="auto"/>
        <w:rPr>
          <w:rFonts w:ascii="SimSun" w:hAnsi="SimSun" w:eastAsia="SimSun" w:cs="SimSun"/>
          <w:sz w:val="22"/>
          <w:szCs w:val="22"/>
        </w:rPr>
      </w:pPr>
      <w:r>
        <w:rPr>
          <w:rFonts w:ascii="SimSun" w:hAnsi="SimSun" w:eastAsia="SimSun" w:cs="SimSun"/>
          <w:sz w:val="22"/>
          <w:szCs w:val="22"/>
          <w:spacing w:val="-9"/>
        </w:rPr>
        <w:t>通过开展元数据管理，可以使管理下的结构化和非结构化数据资产信息清晰、</w:t>
      </w:r>
      <w:r>
        <w:rPr>
          <w:rFonts w:ascii="SimSun" w:hAnsi="SimSun" w:eastAsia="SimSun" w:cs="SimSun"/>
          <w:sz w:val="22"/>
          <w:szCs w:val="22"/>
          <w:spacing w:val="14"/>
        </w:rPr>
        <w:t xml:space="preserve"> </w:t>
      </w:r>
      <w:r>
        <w:rPr>
          <w:rFonts w:ascii="SimSun" w:hAnsi="SimSun" w:eastAsia="SimSun" w:cs="SimSun"/>
          <w:sz w:val="22"/>
          <w:szCs w:val="22"/>
          <w:spacing w:val="-8"/>
        </w:rPr>
        <w:t>有条理，并得以明确和扩充；支持组织开展数据分</w:t>
      </w:r>
      <w:r>
        <w:rPr>
          <w:rFonts w:ascii="SimSun" w:hAnsi="SimSun" w:eastAsia="SimSun" w:cs="SimSun"/>
          <w:sz w:val="22"/>
          <w:szCs w:val="22"/>
          <w:spacing w:val="-9"/>
        </w:rPr>
        <w:t>享，确保数据使用的一致性；提</w:t>
      </w:r>
      <w:r>
        <w:rPr>
          <w:rFonts w:ascii="SimSun" w:hAnsi="SimSun" w:eastAsia="SimSun" w:cs="SimSun"/>
          <w:sz w:val="22"/>
          <w:szCs w:val="22"/>
        </w:rPr>
        <w:t xml:space="preserve"> </w:t>
      </w:r>
      <w:r>
        <w:rPr>
          <w:rFonts w:ascii="SimSun" w:hAnsi="SimSun" w:eastAsia="SimSun" w:cs="SimSun"/>
          <w:sz w:val="22"/>
          <w:szCs w:val="22"/>
          <w:spacing w:val="-8"/>
        </w:rPr>
        <w:t>高对业务变更的反应能力；减少数据相关的风险。</w:t>
      </w:r>
      <w:r>
        <w:rPr>
          <w:rFonts w:ascii="SimSun" w:hAnsi="SimSun" w:eastAsia="SimSun" w:cs="SimSun"/>
          <w:sz w:val="22"/>
          <w:szCs w:val="22"/>
          <w:spacing w:val="-9"/>
        </w:rPr>
        <w:t>有效的元数据管理以及组织元数</w:t>
      </w:r>
      <w:r>
        <w:rPr>
          <w:rFonts w:ascii="SimSun" w:hAnsi="SimSun" w:eastAsia="SimSun" w:cs="SimSun"/>
          <w:sz w:val="22"/>
          <w:szCs w:val="22"/>
        </w:rPr>
        <w:t xml:space="preserve"> </w:t>
      </w:r>
      <w:r>
        <w:rPr>
          <w:rFonts w:ascii="SimSun" w:hAnsi="SimSun" w:eastAsia="SimSun" w:cs="SimSun"/>
          <w:sz w:val="22"/>
          <w:szCs w:val="22"/>
          <w:spacing w:val="-9"/>
        </w:rPr>
        <w:t>据目录的创建能够支持并推动关键数据管理活动的执行以及目标</w:t>
      </w:r>
      <w:r>
        <w:rPr>
          <w:rFonts w:ascii="SimSun" w:hAnsi="SimSun" w:eastAsia="SimSun" w:cs="SimSun"/>
          <w:sz w:val="22"/>
          <w:szCs w:val="22"/>
          <w:spacing w:val="-10"/>
        </w:rPr>
        <w:t>的达成。</w:t>
      </w:r>
    </w:p>
    <w:p>
      <w:pPr>
        <w:ind w:left="649"/>
        <w:spacing w:before="59" w:line="219" w:lineRule="auto"/>
        <w:rPr>
          <w:rFonts w:ascii="SimSun" w:hAnsi="SimSun" w:eastAsia="SimSun" w:cs="SimSun"/>
          <w:sz w:val="22"/>
          <w:szCs w:val="22"/>
        </w:rPr>
      </w:pPr>
      <w:r>
        <w:rPr>
          <w:rFonts w:ascii="SimSun" w:hAnsi="SimSun" w:eastAsia="SimSun" w:cs="SimSun"/>
          <w:sz w:val="22"/>
          <w:szCs w:val="22"/>
          <w:spacing w:val="-10"/>
        </w:rPr>
        <w:t>元数据至少包含三类，业务元数据、技术元数据和操作元数据。</w:t>
      </w:r>
    </w:p>
    <w:p>
      <w:pPr>
        <w:ind w:left="179" w:firstLine="470"/>
        <w:spacing w:before="38" w:line="258" w:lineRule="auto"/>
        <w:rPr>
          <w:rFonts w:ascii="SimSun" w:hAnsi="SimSun" w:eastAsia="SimSun" w:cs="SimSun"/>
          <w:sz w:val="22"/>
          <w:szCs w:val="22"/>
        </w:rPr>
      </w:pPr>
      <w:r>
        <w:rPr>
          <w:rFonts w:ascii="SimSun" w:hAnsi="SimSun" w:eastAsia="SimSun" w:cs="SimSun"/>
          <w:sz w:val="22"/>
          <w:szCs w:val="22"/>
          <w:spacing w:val="-8"/>
        </w:rPr>
        <w:t>(1)业务元数据：用于理解、搜索、定位并控制包含了词汇、定义、值、作者、</w:t>
      </w:r>
      <w:r>
        <w:rPr>
          <w:rFonts w:ascii="SimSun" w:hAnsi="SimSun" w:eastAsia="SimSun" w:cs="SimSun"/>
          <w:sz w:val="22"/>
          <w:szCs w:val="22"/>
          <w:spacing w:val="6"/>
        </w:rPr>
        <w:t xml:space="preserve"> </w:t>
      </w:r>
      <w:r>
        <w:rPr>
          <w:rFonts w:ascii="SimSun" w:hAnsi="SimSun" w:eastAsia="SimSun" w:cs="SimSun"/>
          <w:sz w:val="22"/>
          <w:szCs w:val="22"/>
          <w:spacing w:val="-8"/>
        </w:rPr>
        <w:t>关键词以及发布者等内容的描述性信息。如业务词汇名称、定义、责任人或管理员</w:t>
      </w:r>
      <w:r>
        <w:rPr>
          <w:rFonts w:ascii="SimSun" w:hAnsi="SimSun" w:eastAsia="SimSun" w:cs="SimSun"/>
          <w:sz w:val="22"/>
          <w:szCs w:val="22"/>
          <w:spacing w:val="3"/>
        </w:rPr>
        <w:t xml:space="preserve">  </w:t>
      </w:r>
      <w:r>
        <w:rPr>
          <w:rFonts w:ascii="SimSun" w:hAnsi="SimSun" w:eastAsia="SimSun" w:cs="SimSun"/>
          <w:sz w:val="22"/>
          <w:szCs w:val="22"/>
          <w:spacing w:val="-12"/>
        </w:rPr>
        <w:t>以及相关的参考数据。</w:t>
      </w:r>
    </w:p>
    <w:p>
      <w:pPr>
        <w:ind w:left="179" w:right="80" w:firstLine="470"/>
        <w:spacing w:before="38" w:line="250" w:lineRule="auto"/>
        <w:rPr>
          <w:rFonts w:ascii="SimSun" w:hAnsi="SimSun" w:eastAsia="SimSun" w:cs="SimSun"/>
          <w:sz w:val="22"/>
          <w:szCs w:val="22"/>
        </w:rPr>
      </w:pPr>
      <w:r>
        <w:rPr>
          <w:rFonts w:ascii="SimSun" w:hAnsi="SimSun" w:eastAsia="SimSun" w:cs="SimSun"/>
          <w:sz w:val="22"/>
          <w:szCs w:val="22"/>
          <w:spacing w:val="-5"/>
        </w:rPr>
        <w:t>(2)技术元数据：描述物理数据层的数据资产实例以及他们通过自动化过程所</w:t>
      </w:r>
      <w:r>
        <w:rPr>
          <w:rFonts w:ascii="SimSun" w:hAnsi="SimSun" w:eastAsia="SimSun" w:cs="SimSun"/>
          <w:sz w:val="22"/>
          <w:szCs w:val="22"/>
          <w:spacing w:val="11"/>
        </w:rPr>
        <w:t xml:space="preserve"> </w:t>
      </w:r>
      <w:r>
        <w:rPr>
          <w:rFonts w:ascii="SimSun" w:hAnsi="SimSun" w:eastAsia="SimSun" w:cs="SimSun"/>
          <w:sz w:val="22"/>
          <w:szCs w:val="22"/>
          <w:spacing w:val="-12"/>
        </w:rPr>
        <w:t>进行的转换，还描述了数据存储区以及数据界面的内容和位置，包括表格、场结构、</w:t>
      </w:r>
      <w:r>
        <w:rPr>
          <w:rFonts w:ascii="SimSun" w:hAnsi="SimSun" w:eastAsia="SimSun" w:cs="SimSun"/>
          <w:sz w:val="22"/>
          <w:szCs w:val="22"/>
          <w:spacing w:val="2"/>
        </w:rPr>
        <w:t xml:space="preserve"> </w:t>
      </w:r>
      <w:r>
        <w:rPr>
          <w:rFonts w:ascii="SimSun" w:hAnsi="SimSun" w:eastAsia="SimSun" w:cs="SimSun"/>
          <w:sz w:val="22"/>
          <w:szCs w:val="22"/>
          <w:spacing w:val="-8"/>
        </w:rPr>
        <w:t>列、与相关文件的联系、指数等信息。如数据源</w:t>
      </w:r>
      <w:r>
        <w:rPr>
          <w:rFonts w:ascii="SimSun" w:hAnsi="SimSun" w:eastAsia="SimSun" w:cs="SimSun"/>
          <w:sz w:val="22"/>
          <w:szCs w:val="22"/>
          <w:spacing w:val="-9"/>
        </w:rPr>
        <w:t>表格名称、数据源表格栏目名称及 </w:t>
      </w:r>
      <w:r>
        <w:rPr>
          <w:rFonts w:ascii="SimSun" w:hAnsi="SimSun" w:eastAsia="SimSun" w:cs="SimSun"/>
          <w:sz w:val="22"/>
          <w:szCs w:val="22"/>
          <w:spacing w:val="-5"/>
        </w:rPr>
        <w:t>数据类型(如字符串、整数等)。</w:t>
      </w:r>
    </w:p>
    <w:p>
      <w:pPr>
        <w:ind w:left="179" w:right="59" w:firstLine="470"/>
        <w:spacing w:before="49" w:line="252" w:lineRule="auto"/>
        <w:rPr>
          <w:rFonts w:ascii="SimSun" w:hAnsi="SimSun" w:eastAsia="SimSun" w:cs="SimSun"/>
          <w:sz w:val="22"/>
          <w:szCs w:val="22"/>
        </w:rPr>
      </w:pPr>
      <w:r>
        <w:rPr>
          <w:rFonts w:ascii="SimSun" w:hAnsi="SimSun" w:eastAsia="SimSun" w:cs="SimSun"/>
          <w:sz w:val="22"/>
          <w:szCs w:val="22"/>
          <w:spacing w:val="-5"/>
        </w:rPr>
        <w:t>(3)操作元数据：提供管理信息以管理数据资产，管理信息包括创建时间、文</w:t>
      </w:r>
      <w:r>
        <w:rPr>
          <w:rFonts w:ascii="SimSun" w:hAnsi="SimSun" w:eastAsia="SimSun" w:cs="SimSun"/>
          <w:sz w:val="22"/>
          <w:szCs w:val="22"/>
          <w:spacing w:val="15"/>
        </w:rPr>
        <w:t xml:space="preserve"> </w:t>
      </w:r>
      <w:r>
        <w:rPr>
          <w:rFonts w:ascii="SimSun" w:hAnsi="SimSun" w:eastAsia="SimSun" w:cs="SimSun"/>
          <w:sz w:val="22"/>
          <w:szCs w:val="22"/>
          <w:spacing w:val="-11"/>
        </w:rPr>
        <w:t>件类型、数据用途、存档、集成以及日程更新所需</w:t>
      </w:r>
      <w:r>
        <w:rPr>
          <w:rFonts w:ascii="SimSun" w:hAnsi="SimSun" w:eastAsia="SimSun" w:cs="SimSun"/>
          <w:sz w:val="22"/>
          <w:szCs w:val="22"/>
          <w:spacing w:val="-12"/>
        </w:rPr>
        <w:t>信息、访问权限以及资格限制等。</w:t>
      </w:r>
      <w:r>
        <w:rPr>
          <w:rFonts w:ascii="SimSun" w:hAnsi="SimSun" w:eastAsia="SimSun" w:cs="SimSun"/>
          <w:sz w:val="22"/>
          <w:szCs w:val="22"/>
        </w:rPr>
        <w:t xml:space="preserve"> </w:t>
      </w:r>
      <w:r>
        <w:rPr>
          <w:rFonts w:ascii="SimSun" w:hAnsi="SimSun" w:eastAsia="SimSun" w:cs="SimSun"/>
          <w:sz w:val="22"/>
          <w:szCs w:val="22"/>
          <w:spacing w:val="-10"/>
        </w:rPr>
        <w:t>如最近更新的数据、访问次数或最后访问的数据。</w:t>
      </w:r>
    </w:p>
    <w:p>
      <w:pPr>
        <w:ind w:left="649"/>
        <w:spacing w:before="52" w:line="229" w:lineRule="auto"/>
        <w:rPr>
          <w:rFonts w:ascii="KaiTi" w:hAnsi="KaiTi" w:eastAsia="KaiTi" w:cs="KaiTi"/>
          <w:sz w:val="22"/>
          <w:szCs w:val="22"/>
        </w:rPr>
      </w:pPr>
      <w:r>
        <w:rPr>
          <w:rFonts w:ascii="KaiTi" w:hAnsi="KaiTi" w:eastAsia="KaiTi" w:cs="KaiTi"/>
          <w:sz w:val="22"/>
          <w:szCs w:val="22"/>
          <w:spacing w:val="4"/>
        </w:rPr>
        <w:t>3)相关过程域</w:t>
      </w:r>
    </w:p>
    <w:p>
      <w:pPr>
        <w:ind w:left="649"/>
        <w:spacing w:before="33" w:line="219" w:lineRule="auto"/>
        <w:rPr>
          <w:rFonts w:ascii="SimSun" w:hAnsi="SimSun" w:eastAsia="SimSun" w:cs="SimSun"/>
          <w:sz w:val="22"/>
          <w:szCs w:val="22"/>
        </w:rPr>
      </w:pPr>
      <w:r>
        <w:rPr>
          <w:rFonts w:ascii="SimSun" w:hAnsi="SimSun" w:eastAsia="SimSun" w:cs="SimSun"/>
          <w:sz w:val="22"/>
          <w:szCs w:val="22"/>
          <w:spacing w:val="-8"/>
        </w:rPr>
        <w:t>●数据生命周期管理过程域提供更多相互依赖</w:t>
      </w:r>
      <w:r>
        <w:rPr>
          <w:rFonts w:ascii="SimSun" w:hAnsi="SimSun" w:eastAsia="SimSun" w:cs="SimSun"/>
          <w:sz w:val="22"/>
          <w:szCs w:val="22"/>
          <w:spacing w:val="-9"/>
        </w:rPr>
        <w:t>的相关信息。</w:t>
      </w:r>
    </w:p>
    <w:p>
      <w:pPr>
        <w:ind w:left="649"/>
        <w:spacing w:before="69" w:line="219" w:lineRule="auto"/>
        <w:rPr>
          <w:rFonts w:ascii="SimSun" w:hAnsi="SimSun" w:eastAsia="SimSun" w:cs="SimSun"/>
          <w:sz w:val="22"/>
          <w:szCs w:val="22"/>
        </w:rPr>
      </w:pPr>
      <w:r>
        <w:rPr>
          <w:rFonts w:ascii="SimSun" w:hAnsi="SimSun" w:eastAsia="SimSun" w:cs="SimSun"/>
          <w:sz w:val="22"/>
          <w:szCs w:val="22"/>
          <w:spacing w:val="-8"/>
        </w:rPr>
        <w:t>●数据提供者管理过程域包含了开发数据需求以及相应的</w:t>
      </w:r>
      <w:r>
        <w:rPr>
          <w:rFonts w:ascii="SimSun" w:hAnsi="SimSun" w:eastAsia="SimSun" w:cs="SimSun"/>
          <w:sz w:val="22"/>
          <w:szCs w:val="22"/>
          <w:spacing w:val="-9"/>
        </w:rPr>
        <w:t>元数据信息。</w:t>
      </w:r>
    </w:p>
    <w:p>
      <w:pPr>
        <w:ind w:left="649"/>
        <w:spacing w:before="49" w:line="219" w:lineRule="auto"/>
        <w:rPr>
          <w:rFonts w:ascii="SimSun" w:hAnsi="SimSun" w:eastAsia="SimSun" w:cs="SimSun"/>
          <w:sz w:val="22"/>
          <w:szCs w:val="22"/>
        </w:rPr>
      </w:pPr>
      <w:r>
        <w:rPr>
          <w:rFonts w:ascii="SimSun" w:hAnsi="SimSun" w:eastAsia="SimSun" w:cs="SimSun"/>
          <w:sz w:val="22"/>
          <w:szCs w:val="22"/>
          <w:spacing w:val="-8"/>
        </w:rPr>
        <w:t>●架构方法过程域提供了与数据平台架构相关的活动的信息。</w:t>
      </w:r>
    </w:p>
    <w:p>
      <w:pPr>
        <w:spacing w:line="219" w:lineRule="auto"/>
        <w:sectPr>
          <w:footerReference w:type="default" r:id="rId206"/>
          <w:pgSz w:w="8870" w:h="13400"/>
          <w:pgMar w:top="400" w:right="470" w:bottom="515" w:left="440" w:header="0" w:footer="296" w:gutter="0"/>
        </w:sectPr>
        <w:rPr>
          <w:rFonts w:ascii="SimSun" w:hAnsi="SimSun" w:eastAsia="SimSun" w:cs="SimSun"/>
          <w:sz w:val="22"/>
          <w:szCs w:val="22"/>
        </w:rPr>
      </w:pPr>
    </w:p>
    <w:p>
      <w:pPr>
        <w:ind w:left="5438"/>
        <w:spacing w:before="154" w:line="219" w:lineRule="auto"/>
        <w:rPr>
          <w:rFonts w:ascii="SimSun" w:hAnsi="SimSun" w:eastAsia="SimSun" w:cs="SimSun"/>
          <w:sz w:val="22"/>
          <w:szCs w:val="22"/>
        </w:rPr>
      </w:pPr>
      <w:r>
        <w:rPr>
          <w:rFonts w:ascii="SimSun" w:hAnsi="SimSun" w:eastAsia="SimSun" w:cs="SimSun"/>
          <w:sz w:val="22"/>
          <w:szCs w:val="22"/>
          <w:b/>
          <w:bCs/>
          <w:spacing w:val="5"/>
        </w:rPr>
        <w:t>第5章■云端数据管理</w:t>
      </w:r>
    </w:p>
    <w:p>
      <w:pPr>
        <w:ind w:left="625" w:right="262" w:hanging="270"/>
        <w:spacing w:before="303" w:line="244" w:lineRule="auto"/>
        <w:rPr>
          <w:rFonts w:ascii="SimSun" w:hAnsi="SimSun" w:eastAsia="SimSun" w:cs="SimSun"/>
          <w:sz w:val="22"/>
          <w:szCs w:val="22"/>
        </w:rPr>
      </w:pPr>
      <w:r>
        <w:rPr>
          <w:rFonts w:ascii="SimSun" w:hAnsi="SimSun" w:eastAsia="SimSun" w:cs="SimSun"/>
          <w:sz w:val="22"/>
          <w:szCs w:val="22"/>
          <w:spacing w:val="-2"/>
        </w:rPr>
        <w:t>●业务词汇表过程域包含了开发经认可的组织级共享词汇表以及对应元数据</w:t>
      </w:r>
      <w:r>
        <w:rPr>
          <w:rFonts w:ascii="SimSun" w:hAnsi="SimSun" w:eastAsia="SimSun" w:cs="SimSun"/>
          <w:sz w:val="22"/>
          <w:szCs w:val="22"/>
          <w:spacing w:val="7"/>
        </w:rPr>
        <w:t xml:space="preserve"> </w:t>
      </w:r>
      <w:r>
        <w:rPr>
          <w:rFonts w:ascii="SimSun" w:hAnsi="SimSun" w:eastAsia="SimSun" w:cs="SimSun"/>
          <w:sz w:val="22"/>
          <w:szCs w:val="22"/>
          <w:spacing w:val="-16"/>
        </w:rPr>
        <w:t>的相关信息。</w:t>
      </w:r>
    </w:p>
    <w:p>
      <w:pPr>
        <w:ind w:left="604" w:right="257" w:hanging="249"/>
        <w:spacing w:before="39" w:line="252" w:lineRule="auto"/>
        <w:rPr>
          <w:rFonts w:ascii="SimSun" w:hAnsi="SimSun" w:eastAsia="SimSun" w:cs="SimSun"/>
          <w:sz w:val="22"/>
          <w:szCs w:val="22"/>
        </w:rPr>
      </w:pPr>
      <w:r>
        <w:rPr>
          <w:rFonts w:ascii="SimSun" w:hAnsi="SimSun" w:eastAsia="SimSun" w:cs="SimSun"/>
          <w:sz w:val="22"/>
          <w:szCs w:val="22"/>
          <w:spacing w:val="-2"/>
        </w:rPr>
        <w:t>●数据集成与互操作过程域包含了生成以及管理数据映射和转换元数据的相</w:t>
      </w:r>
      <w:r>
        <w:rPr>
          <w:rFonts w:ascii="SimSun" w:hAnsi="SimSun" w:eastAsia="SimSun" w:cs="SimSun"/>
          <w:sz w:val="22"/>
          <w:szCs w:val="22"/>
          <w:spacing w:val="12"/>
        </w:rPr>
        <w:t xml:space="preserve"> </w:t>
      </w:r>
      <w:r>
        <w:rPr>
          <w:rFonts w:ascii="SimSun" w:hAnsi="SimSun" w:eastAsia="SimSun" w:cs="SimSun"/>
          <w:sz w:val="22"/>
          <w:szCs w:val="22"/>
          <w:spacing w:val="-14"/>
        </w:rPr>
        <w:t>关信息。</w:t>
      </w:r>
    </w:p>
    <w:p>
      <w:pPr>
        <w:pStyle w:val="BodyText"/>
        <w:ind w:left="355"/>
        <w:spacing w:before="206" w:line="223" w:lineRule="auto"/>
        <w:outlineLvl w:val="3"/>
        <w:rPr>
          <w:rFonts w:ascii="SimHei" w:hAnsi="SimHei" w:eastAsia="SimHei" w:cs="SimHei"/>
          <w:sz w:val="22"/>
          <w:szCs w:val="22"/>
        </w:rPr>
      </w:pPr>
      <w:r>
        <w:rPr>
          <w:sz w:val="22"/>
          <w:szCs w:val="22"/>
          <w:b/>
          <w:bCs/>
          <w:spacing w:val="-2"/>
        </w:rPr>
        <w:t>2.GQM</w:t>
      </w:r>
      <w:r>
        <w:rPr>
          <w:sz w:val="22"/>
          <w:szCs w:val="22"/>
          <w:b/>
          <w:bCs/>
          <w:spacing w:val="13"/>
        </w:rPr>
        <w:t xml:space="preserve">   </w:t>
      </w:r>
      <w:r>
        <w:rPr>
          <w:rFonts w:ascii="SimHei" w:hAnsi="SimHei" w:eastAsia="SimHei" w:cs="SimHei"/>
          <w:sz w:val="22"/>
          <w:szCs w:val="22"/>
          <w:b/>
          <w:bCs/>
          <w:spacing w:val="-2"/>
        </w:rPr>
        <w:t>表</w:t>
      </w:r>
    </w:p>
    <w:p>
      <w:pPr>
        <w:spacing w:line="152" w:lineRule="exact"/>
        <w:rPr/>
      </w:pPr>
      <w:r/>
    </w:p>
    <w:tbl>
      <w:tblPr>
        <w:tblStyle w:val="TableNormal"/>
        <w:tblW w:w="758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1937"/>
        <w:gridCol w:w="2197"/>
        <w:gridCol w:w="2182"/>
      </w:tblGrid>
      <w:tr>
        <w:trPr>
          <w:trHeight w:val="315" w:hRule="atLeast"/>
        </w:trPr>
        <w:tc>
          <w:tcPr>
            <w:tcW w:w="1273" w:type="dxa"/>
            <w:vAlign w:val="top"/>
          </w:tcPr>
          <w:p>
            <w:pPr>
              <w:pStyle w:val="TableText"/>
              <w:ind w:left="364"/>
              <w:spacing w:before="81" w:line="220" w:lineRule="auto"/>
              <w:rPr/>
            </w:pPr>
            <w:r>
              <w:rPr>
                <w:spacing w:val="-12"/>
              </w:rPr>
              <w:t>目    标</w:t>
            </w:r>
          </w:p>
        </w:tc>
        <w:tc>
          <w:tcPr>
            <w:tcW w:w="1937" w:type="dxa"/>
            <w:vAlign w:val="top"/>
          </w:tcPr>
          <w:p>
            <w:pPr>
              <w:pStyle w:val="TableText"/>
              <w:ind w:left="671"/>
              <w:spacing w:before="83" w:line="221" w:lineRule="auto"/>
              <w:rPr/>
            </w:pPr>
            <w:r>
              <w:rPr>
                <w:spacing w:val="-12"/>
              </w:rPr>
              <w:t>问</w:t>
            </w:r>
            <w:r>
              <w:rPr>
                <w:spacing w:val="9"/>
              </w:rPr>
              <w:t xml:space="preserve">    </w:t>
            </w:r>
            <w:r>
              <w:rPr>
                <w:spacing w:val="-12"/>
              </w:rPr>
              <w:t>题</w:t>
            </w:r>
          </w:p>
        </w:tc>
        <w:tc>
          <w:tcPr>
            <w:tcW w:w="2197" w:type="dxa"/>
            <w:vAlign w:val="top"/>
          </w:tcPr>
          <w:p>
            <w:pPr>
              <w:pStyle w:val="TableText"/>
              <w:ind w:left="724"/>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82" w:type="dxa"/>
            <w:vAlign w:val="top"/>
          </w:tcPr>
          <w:p>
            <w:pPr>
              <w:pStyle w:val="TableText"/>
              <w:ind w:left="708"/>
              <w:spacing w:before="81" w:line="219" w:lineRule="auto"/>
              <w:rPr/>
            </w:pPr>
            <w:r>
              <w:rPr>
                <w:spacing w:val="3"/>
              </w:rPr>
              <w:t>度量项说明</w:t>
            </w:r>
          </w:p>
        </w:tc>
      </w:tr>
      <w:tr>
        <w:trPr>
          <w:trHeight w:val="1698" w:hRule="atLeast"/>
        </w:trPr>
        <w:tc>
          <w:tcPr>
            <w:tcW w:w="1273" w:type="dxa"/>
            <w:vAlign w:val="top"/>
          </w:tcPr>
          <w:p>
            <w:pPr>
              <w:pStyle w:val="TableText"/>
              <w:ind w:left="94" w:right="92" w:firstLine="120"/>
              <w:spacing w:before="217" w:line="321" w:lineRule="auto"/>
              <w:rPr/>
            </w:pPr>
            <w:r>
              <w:rPr>
                <w:spacing w:val="-1"/>
              </w:rPr>
              <w:t>G1:元数据的</w:t>
            </w:r>
            <w:r>
              <w:rPr/>
              <w:t xml:space="preserve">   </w:t>
            </w:r>
            <w:r>
              <w:rPr/>
              <w:t>表达使用高管能</w:t>
            </w:r>
            <w:r>
              <w:rPr>
                <w:spacing w:val="3"/>
              </w:rPr>
              <w:t xml:space="preserve"> </w:t>
            </w:r>
            <w:r>
              <w:rPr>
                <w:spacing w:val="3"/>
              </w:rPr>
              <w:t>理解的语言，因 </w:t>
            </w:r>
            <w:r>
              <w:rPr/>
              <w:t>此他们能够理解</w:t>
            </w:r>
            <w:r>
              <w:rPr>
                <w:spacing w:val="2"/>
              </w:rPr>
              <w:t xml:space="preserve"> </w:t>
            </w:r>
            <w:r>
              <w:rPr>
                <w:spacing w:val="-1"/>
              </w:rPr>
              <w:t>元数据的价值</w:t>
            </w:r>
          </w:p>
        </w:tc>
        <w:tc>
          <w:tcPr>
            <w:tcW w:w="1937" w:type="dxa"/>
            <w:vAlign w:val="top"/>
          </w:tcPr>
          <w:p>
            <w:pPr>
              <w:spacing w:line="444" w:lineRule="auto"/>
              <w:rPr>
                <w:rFonts w:ascii="Arial"/>
                <w:sz w:val="21"/>
              </w:rPr>
            </w:pPr>
            <w:r/>
          </w:p>
          <w:p>
            <w:pPr>
              <w:pStyle w:val="TableText"/>
              <w:ind w:left="91" w:right="192" w:firstLine="160"/>
              <w:spacing w:before="49" w:line="351" w:lineRule="auto"/>
              <w:jc w:val="both"/>
              <w:rPr/>
            </w:pPr>
            <w:r>
              <w:rPr>
                <w:spacing w:val="-1"/>
              </w:rPr>
              <w:t>Q1:是否所有内部相关</w:t>
            </w:r>
            <w:r>
              <w:rPr>
                <w:spacing w:val="2"/>
              </w:rPr>
              <w:t xml:space="preserve">  </w:t>
            </w:r>
            <w:r>
              <w:rPr>
                <w:spacing w:val="-1"/>
              </w:rPr>
              <w:t>者都参与定义元数据分类</w:t>
            </w:r>
          </w:p>
          <w:p>
            <w:pPr>
              <w:pStyle w:val="TableText"/>
              <w:ind w:left="101"/>
              <w:spacing w:line="220" w:lineRule="auto"/>
              <w:rPr/>
            </w:pPr>
            <w:r>
              <w:rPr>
                <w:spacing w:val="-1"/>
              </w:rPr>
              <w:t>及属性的过程</w:t>
            </w:r>
          </w:p>
        </w:tc>
        <w:tc>
          <w:tcPr>
            <w:tcW w:w="2197"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234"/>
              <w:spacing w:before="48" w:line="219" w:lineRule="auto"/>
              <w:rPr/>
            </w:pPr>
            <w:r>
              <w:rPr>
                <w:spacing w:val="-1"/>
              </w:rPr>
              <w:t>M1:元数据管理策略</w:t>
            </w:r>
          </w:p>
        </w:tc>
        <w:tc>
          <w:tcPr>
            <w:tcW w:w="2182" w:type="dxa"/>
            <w:vAlign w:val="top"/>
          </w:tcPr>
          <w:p>
            <w:pPr>
              <w:pStyle w:val="TableText"/>
              <w:ind w:left="257"/>
              <w:spacing w:before="76" w:line="219" w:lineRule="auto"/>
              <w:rPr/>
            </w:pPr>
            <w:r>
              <w:rPr>
                <w:spacing w:val="-1"/>
              </w:rPr>
              <w:t>要形成元数据管理策略并</w:t>
            </w:r>
          </w:p>
          <w:p>
            <w:pPr>
              <w:pStyle w:val="TableText"/>
              <w:ind w:left="107"/>
              <w:spacing w:before="100" w:line="219" w:lineRule="auto"/>
              <w:rPr/>
            </w:pPr>
            <w:r>
              <w:rPr>
                <w:spacing w:val="-1"/>
              </w:rPr>
              <w:t>在内部发布，数据治理对于元</w:t>
            </w:r>
          </w:p>
          <w:p>
            <w:pPr>
              <w:pStyle w:val="TableText"/>
              <w:ind w:left="187"/>
              <w:spacing w:before="103" w:line="219" w:lineRule="auto"/>
              <w:rPr/>
            </w:pPr>
            <w:r>
              <w:rPr>
                <w:spacing w:val="-1"/>
              </w:rPr>
              <w:t>数据的使用和管理过程中所</w:t>
            </w:r>
          </w:p>
          <w:p>
            <w:pPr>
              <w:pStyle w:val="TableText"/>
              <w:ind w:left="107"/>
              <w:spacing w:before="102" w:line="220" w:lineRule="auto"/>
              <w:rPr/>
            </w:pPr>
            <w:r>
              <w:rPr>
                <w:spacing w:val="-1"/>
              </w:rPr>
              <w:t>遇到的问题，应作为反馈用于</w:t>
            </w:r>
          </w:p>
          <w:p>
            <w:pPr>
              <w:pStyle w:val="TableText"/>
              <w:ind w:left="107"/>
              <w:spacing w:before="110" w:line="219" w:lineRule="auto"/>
              <w:rPr/>
            </w:pPr>
            <w:r>
              <w:rPr>
                <w:spacing w:val="-1"/>
              </w:rPr>
              <w:t>优化元数据管理策略，维护过</w:t>
            </w:r>
          </w:p>
          <w:p>
            <w:pPr>
              <w:pStyle w:val="TableText"/>
              <w:ind w:left="187"/>
              <w:spacing w:before="102" w:line="219" w:lineRule="auto"/>
              <w:rPr/>
            </w:pPr>
            <w:r>
              <w:rPr>
                <w:spacing w:val="-1"/>
              </w:rPr>
              <w:t>程应引入内部相关者的意见</w:t>
            </w:r>
          </w:p>
        </w:tc>
      </w:tr>
      <w:tr>
        <w:trPr>
          <w:trHeight w:val="829" w:hRule="atLeast"/>
        </w:trPr>
        <w:tc>
          <w:tcPr>
            <w:tcW w:w="1273" w:type="dxa"/>
            <w:vAlign w:val="top"/>
            <w:vMerge w:val="restart"/>
            <w:tcBorders>
              <w:bottom w:val="nil"/>
            </w:tcBorders>
          </w:tcPr>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64" w:right="114" w:firstLine="149"/>
              <w:spacing w:before="49" w:line="313" w:lineRule="auto"/>
              <w:rPr/>
            </w:pPr>
            <w:r>
              <w:rPr>
                <w:spacing w:val="-1"/>
              </w:rPr>
              <w:t>G2:数据治理</w:t>
            </w:r>
            <w:r>
              <w:rPr/>
              <w:t xml:space="preserve">  </w:t>
            </w:r>
            <w:r>
              <w:rPr>
                <w:spacing w:val="4"/>
              </w:rPr>
              <w:t>监督指导元数据 </w:t>
            </w:r>
            <w:r>
              <w:rPr>
                <w:spacing w:val="4"/>
              </w:rPr>
              <w:t>策略、分类和标</w:t>
            </w:r>
            <w:r>
              <w:rPr>
                <w:spacing w:val="3"/>
              </w:rPr>
              <w:t xml:space="preserve"> </w:t>
            </w:r>
            <w:r>
              <w:rPr>
                <w:spacing w:val="-1"/>
              </w:rPr>
              <w:t>准的制订与执</w:t>
            </w:r>
          </w:p>
          <w:p>
            <w:pPr>
              <w:pStyle w:val="TableText"/>
              <w:ind w:left="104" w:right="114"/>
              <w:spacing w:before="111" w:line="307" w:lineRule="auto"/>
              <w:rPr/>
            </w:pPr>
            <w:r>
              <w:rPr>
                <w:spacing w:val="-2"/>
              </w:rPr>
              <w:t>行，保证它们被</w:t>
            </w:r>
            <w:r>
              <w:rPr>
                <w:spacing w:val="4"/>
              </w:rPr>
              <w:t xml:space="preserve"> </w:t>
            </w:r>
            <w:r>
              <w:rPr>
                <w:spacing w:val="-1"/>
              </w:rPr>
              <w:t>整个组织采纳并</w:t>
            </w:r>
            <w:r>
              <w:rPr/>
              <w:t xml:space="preserve"> </w:t>
            </w:r>
            <w:r>
              <w:rPr>
                <w:spacing w:val="7"/>
              </w:rPr>
              <w:t>一致使用</w:t>
            </w:r>
          </w:p>
        </w:tc>
        <w:tc>
          <w:tcPr>
            <w:tcW w:w="1937" w:type="dxa"/>
            <w:vAlign w:val="top"/>
            <w:vMerge w:val="restart"/>
            <w:tcBorders>
              <w:bottom w:val="nil"/>
            </w:tcBorders>
          </w:tcPr>
          <w:p>
            <w:pPr>
              <w:spacing w:line="447" w:lineRule="auto"/>
              <w:rPr>
                <w:rFonts w:ascii="Arial"/>
                <w:sz w:val="21"/>
              </w:rPr>
            </w:pPr>
            <w:r/>
          </w:p>
          <w:p>
            <w:pPr>
              <w:pStyle w:val="TableText"/>
              <w:ind w:left="91" w:right="181" w:firstLine="170"/>
              <w:spacing w:before="48" w:line="299" w:lineRule="auto"/>
              <w:jc w:val="both"/>
              <w:rPr/>
            </w:pPr>
            <w:r>
              <w:rPr>
                <w:spacing w:val="-1"/>
              </w:rPr>
              <w:t>Q2:使用什么方法制订</w:t>
            </w:r>
            <w:r>
              <w:rPr>
                <w:spacing w:val="2"/>
              </w:rPr>
              <w:t xml:space="preserve">  </w:t>
            </w:r>
            <w:r>
              <w:rPr/>
              <w:t>和评估元数据管理的标准</w:t>
            </w:r>
            <w:r>
              <w:rPr>
                <w:spacing w:val="2"/>
              </w:rPr>
              <w:t xml:space="preserve"> </w:t>
            </w:r>
            <w:r>
              <w:rPr>
                <w:spacing w:val="-2"/>
              </w:rPr>
              <w:t>和过程</w:t>
            </w:r>
          </w:p>
        </w:tc>
        <w:tc>
          <w:tcPr>
            <w:tcW w:w="2197" w:type="dxa"/>
            <w:vAlign w:val="top"/>
          </w:tcPr>
          <w:p>
            <w:pPr>
              <w:spacing w:line="287" w:lineRule="auto"/>
              <w:rPr>
                <w:rFonts w:ascii="Arial"/>
                <w:sz w:val="21"/>
              </w:rPr>
            </w:pPr>
            <w:r/>
          </w:p>
          <w:p>
            <w:pPr>
              <w:pStyle w:val="TableText"/>
              <w:ind w:left="255"/>
              <w:spacing w:before="49" w:line="219" w:lineRule="auto"/>
              <w:rPr/>
            </w:pPr>
            <w:r>
              <w:rPr>
                <w:spacing w:val="-1"/>
              </w:rPr>
              <w:t>M2:元数据类型和数据定义</w:t>
            </w:r>
          </w:p>
        </w:tc>
        <w:tc>
          <w:tcPr>
            <w:tcW w:w="2182" w:type="dxa"/>
            <w:vAlign w:val="top"/>
          </w:tcPr>
          <w:p>
            <w:pPr>
              <w:pStyle w:val="TableText"/>
              <w:ind w:left="257"/>
              <w:spacing w:before="78" w:line="219" w:lineRule="auto"/>
              <w:rPr/>
            </w:pPr>
            <w:r>
              <w:rPr>
                <w:spacing w:val="-1"/>
              </w:rPr>
              <w:t>在定义元数据类型时应当</w:t>
            </w:r>
          </w:p>
          <w:p>
            <w:pPr>
              <w:pStyle w:val="TableText"/>
              <w:ind w:left="117" w:right="119" w:hanging="10"/>
              <w:spacing w:before="102" w:line="271" w:lineRule="auto"/>
              <w:rPr/>
            </w:pPr>
            <w:r>
              <w:rPr>
                <w:spacing w:val="-1"/>
              </w:rPr>
              <w:t>考虑输入、查询和使用等活动</w:t>
            </w:r>
            <w:r>
              <w:rPr>
                <w:spacing w:val="6"/>
              </w:rPr>
              <w:t xml:space="preserve"> </w:t>
            </w:r>
            <w:r>
              <w:rPr>
                <w:spacing w:val="2"/>
              </w:rPr>
              <w:t>的要求</w:t>
            </w:r>
          </w:p>
        </w:tc>
      </w:tr>
      <w:tr>
        <w:trPr>
          <w:trHeight w:val="839" w:hRule="atLeast"/>
        </w:trPr>
        <w:tc>
          <w:tcPr>
            <w:tcW w:w="1273" w:type="dxa"/>
            <w:vAlign w:val="top"/>
            <w:vMerge w:val="continue"/>
            <w:tcBorders>
              <w:top w:val="nil"/>
              <w:bottom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spacing w:line="298" w:lineRule="auto"/>
              <w:rPr>
                <w:rFonts w:ascii="Arial"/>
                <w:sz w:val="21"/>
              </w:rPr>
            </w:pPr>
            <w:r/>
          </w:p>
          <w:p>
            <w:pPr>
              <w:pStyle w:val="TableText"/>
              <w:ind w:left="234"/>
              <w:spacing w:before="49" w:line="219" w:lineRule="auto"/>
              <w:rPr/>
            </w:pPr>
            <w:r>
              <w:rPr>
                <w:spacing w:val="25"/>
              </w:rPr>
              <w:t>M3:变更管理</w:t>
            </w:r>
          </w:p>
        </w:tc>
        <w:tc>
          <w:tcPr>
            <w:tcW w:w="2182" w:type="dxa"/>
            <w:vAlign w:val="top"/>
          </w:tcPr>
          <w:p>
            <w:pPr>
              <w:pStyle w:val="TableText"/>
              <w:ind w:left="257"/>
              <w:spacing w:before="79" w:line="219" w:lineRule="auto"/>
              <w:rPr/>
            </w:pPr>
            <w:r>
              <w:rPr>
                <w:spacing w:val="-1"/>
              </w:rPr>
              <w:t>通过预测模型对于元数据</w:t>
            </w:r>
          </w:p>
          <w:p>
            <w:pPr>
              <w:pStyle w:val="TableText"/>
              <w:ind w:left="107"/>
              <w:spacing w:before="91" w:line="219" w:lineRule="auto"/>
              <w:rPr/>
            </w:pPr>
            <w:r>
              <w:rPr>
                <w:spacing w:val="1"/>
              </w:rPr>
              <w:t>管理过程的变更进行预测，以</w:t>
            </w:r>
          </w:p>
          <w:p>
            <w:pPr>
              <w:pStyle w:val="TableText"/>
              <w:ind w:left="187"/>
              <w:spacing w:before="112" w:line="219" w:lineRule="auto"/>
              <w:rPr/>
            </w:pPr>
            <w:r>
              <w:rPr>
                <w:spacing w:val="1"/>
              </w:rPr>
              <w:t>降低变更带来的不可控影响</w:t>
            </w:r>
          </w:p>
        </w:tc>
      </w:tr>
      <w:tr>
        <w:trPr>
          <w:trHeight w:val="1418" w:hRule="atLeast"/>
        </w:trPr>
        <w:tc>
          <w:tcPr>
            <w:tcW w:w="1273" w:type="dxa"/>
            <w:vAlign w:val="top"/>
            <w:vMerge w:val="continue"/>
            <w:tcBorders>
              <w:top w:val="nil"/>
              <w:bottom w:val="nil"/>
            </w:tcBorders>
          </w:tcPr>
          <w:p>
            <w:pPr>
              <w:rPr>
                <w:rFonts w:ascii="Arial"/>
                <w:sz w:val="21"/>
              </w:rPr>
            </w:pPr>
            <w:r/>
          </w:p>
        </w:tc>
        <w:tc>
          <w:tcPr>
            <w:tcW w:w="1937" w:type="dxa"/>
            <w:vAlign w:val="top"/>
            <w:vMerge w:val="restart"/>
            <w:tcBorders>
              <w:bottom w:val="nil"/>
            </w:tcBorders>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TableText"/>
              <w:ind w:left="122" w:right="234" w:firstLine="149"/>
              <w:spacing w:before="49" w:line="288" w:lineRule="auto"/>
              <w:rPr/>
            </w:pPr>
            <w:r>
              <w:rPr>
                <w:spacing w:val="-1"/>
              </w:rPr>
              <w:t>Q3:使用什么方法维护</w:t>
            </w:r>
            <w:r>
              <w:rPr>
                <w:spacing w:val="5"/>
              </w:rPr>
              <w:t xml:space="preserve"> </w:t>
            </w:r>
            <w:r>
              <w:rPr>
                <w:spacing w:val="-1"/>
              </w:rPr>
              <w:t>和更新元数据库</w:t>
            </w:r>
          </w:p>
        </w:tc>
        <w:tc>
          <w:tcPr>
            <w:tcW w:w="2197" w:type="dxa"/>
            <w:vAlign w:val="top"/>
          </w:tcPr>
          <w:p>
            <w:pPr>
              <w:spacing w:line="293" w:lineRule="auto"/>
              <w:rPr>
                <w:rFonts w:ascii="Arial"/>
                <w:sz w:val="21"/>
              </w:rPr>
            </w:pPr>
            <w:r/>
          </w:p>
          <w:p>
            <w:pPr>
              <w:spacing w:line="294" w:lineRule="auto"/>
              <w:rPr>
                <w:rFonts w:ascii="Arial"/>
                <w:sz w:val="21"/>
              </w:rPr>
            </w:pPr>
            <w:r/>
          </w:p>
          <w:p>
            <w:pPr>
              <w:pStyle w:val="TableText"/>
              <w:ind w:left="234"/>
              <w:spacing w:before="49" w:line="219" w:lineRule="auto"/>
              <w:rPr/>
            </w:pPr>
            <w:r>
              <w:rPr>
                <w:spacing w:val="-1"/>
              </w:rPr>
              <w:t>M4:元数据完整性</w:t>
            </w:r>
          </w:p>
        </w:tc>
        <w:tc>
          <w:tcPr>
            <w:tcW w:w="2182" w:type="dxa"/>
            <w:vAlign w:val="top"/>
          </w:tcPr>
          <w:p>
            <w:pPr>
              <w:pStyle w:val="TableText"/>
              <w:ind w:left="257"/>
              <w:spacing w:before="80" w:line="219" w:lineRule="auto"/>
              <w:rPr/>
            </w:pPr>
            <w:r>
              <w:rPr>
                <w:spacing w:val="-1"/>
              </w:rPr>
              <w:t>元数据库的增强取决于业</w:t>
            </w:r>
          </w:p>
          <w:p>
            <w:pPr>
              <w:pStyle w:val="TableText"/>
              <w:ind w:left="107" w:right="121"/>
              <w:spacing w:before="103" w:line="319" w:lineRule="auto"/>
              <w:rPr/>
            </w:pPr>
            <w:r>
              <w:rPr>
                <w:spacing w:val="-1"/>
              </w:rPr>
              <w:t>务重点、顺序计划以及可用的</w:t>
            </w:r>
            <w:r>
              <w:rPr>
                <w:spacing w:val="4"/>
              </w:rPr>
              <w:t xml:space="preserve"> </w:t>
            </w:r>
            <w:r>
              <w:rPr>
                <w:spacing w:val="-1"/>
              </w:rPr>
              <w:t>资源。初始元模型通过模型变</w:t>
            </w:r>
            <w:r>
              <w:rPr/>
              <w:t xml:space="preserve"> </w:t>
            </w:r>
            <w:r>
              <w:rPr>
                <w:spacing w:val="-1"/>
              </w:rPr>
              <w:t>更得以增强和扩展，反映了不</w:t>
            </w:r>
            <w:r>
              <w:rPr>
                <w:spacing w:val="4"/>
              </w:rPr>
              <w:t xml:space="preserve"> </w:t>
            </w:r>
            <w:r>
              <w:rPr>
                <w:spacing w:val="-1"/>
              </w:rPr>
              <w:t>断提升的完整性</w:t>
            </w:r>
          </w:p>
        </w:tc>
      </w:tr>
      <w:tr>
        <w:trPr>
          <w:trHeight w:val="2247" w:hRule="atLeast"/>
        </w:trPr>
        <w:tc>
          <w:tcPr>
            <w:tcW w:w="1273" w:type="dxa"/>
            <w:vAlign w:val="top"/>
            <w:vMerge w:val="continue"/>
            <w:tcBorders>
              <w:top w:val="nil"/>
              <w:bottom w:val="nil"/>
            </w:tcBorders>
          </w:tcPr>
          <w:p>
            <w:pPr>
              <w:rPr>
                <w:rFonts w:ascii="Arial"/>
                <w:sz w:val="21"/>
              </w:rPr>
            </w:pPr>
            <w:r/>
          </w:p>
        </w:tc>
        <w:tc>
          <w:tcPr>
            <w:tcW w:w="1937" w:type="dxa"/>
            <w:vAlign w:val="top"/>
            <w:vMerge w:val="continue"/>
            <w:tcBorders>
              <w:top w:val="nil"/>
              <w:bottom w:val="nil"/>
            </w:tcBorders>
          </w:tcPr>
          <w:p>
            <w:pPr>
              <w:rPr>
                <w:rFonts w:ascii="Arial"/>
                <w:sz w:val="21"/>
              </w:rPr>
            </w:pPr>
            <w:r/>
          </w:p>
        </w:tc>
        <w:tc>
          <w:tcPr>
            <w:tcW w:w="2197"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pStyle w:val="TableText"/>
              <w:ind w:left="234"/>
              <w:spacing w:before="49" w:line="219" w:lineRule="auto"/>
              <w:rPr/>
            </w:pPr>
            <w:r>
              <w:rPr>
                <w:spacing w:val="-1"/>
              </w:rPr>
              <w:t>M5:元数据库变异分析</w:t>
            </w:r>
          </w:p>
        </w:tc>
        <w:tc>
          <w:tcPr>
            <w:tcW w:w="2182" w:type="dxa"/>
            <w:vAlign w:val="top"/>
          </w:tcPr>
          <w:p>
            <w:pPr>
              <w:pStyle w:val="TableText"/>
              <w:ind w:left="257"/>
              <w:spacing w:before="82" w:line="219" w:lineRule="auto"/>
              <w:rPr/>
            </w:pPr>
            <w:r>
              <w:rPr>
                <w:spacing w:val="-1"/>
              </w:rPr>
              <w:t>对于发生的元数据库信息</w:t>
            </w:r>
          </w:p>
          <w:p>
            <w:pPr>
              <w:pStyle w:val="TableText"/>
              <w:ind w:left="107" w:right="98"/>
              <w:spacing w:before="91" w:line="289" w:lineRule="auto"/>
              <w:rPr/>
            </w:pPr>
            <w:r>
              <w:rPr>
                <w:spacing w:val="1"/>
              </w:rPr>
              <w:t>及描述的变异，开展根本原因 </w:t>
            </w:r>
            <w:r>
              <w:rPr>
                <w:spacing w:val="-1"/>
              </w:rPr>
              <w:t>分析，用结构化的问题处理法</w:t>
            </w:r>
          </w:p>
          <w:p>
            <w:pPr>
              <w:pStyle w:val="TableText"/>
              <w:ind w:left="187"/>
              <w:spacing w:before="100" w:line="219" w:lineRule="auto"/>
              <w:rPr/>
            </w:pPr>
            <w:r>
              <w:rPr>
                <w:spacing w:val="-1"/>
              </w:rPr>
              <w:t>逐步找出云端元数据管理过</w:t>
            </w:r>
          </w:p>
          <w:p>
            <w:pPr>
              <w:pStyle w:val="TableText"/>
              <w:ind w:left="98" w:right="106" w:firstLine="89"/>
              <w:spacing w:before="100" w:line="311" w:lineRule="auto"/>
              <w:rPr/>
            </w:pPr>
            <w:r>
              <w:rPr>
                <w:spacing w:val="-1"/>
              </w:rPr>
              <w:t>程中出现问题的根本原因并</w:t>
            </w:r>
            <w:r>
              <w:rPr>
                <w:spacing w:val="2"/>
              </w:rPr>
              <w:t xml:space="preserve">  </w:t>
            </w:r>
            <w:r>
              <w:rPr/>
              <w:t>加以解决，避免仅仅关注问题</w:t>
            </w:r>
            <w:r>
              <w:rPr>
                <w:spacing w:val="3"/>
              </w:rPr>
              <w:t xml:space="preserve"> </w:t>
            </w:r>
            <w:r>
              <w:rPr>
                <w:spacing w:val="1"/>
              </w:rPr>
              <w:t>的表象，同时避免问题的重复</w:t>
            </w:r>
            <w:r>
              <w:rPr>
                <w:spacing w:val="2"/>
              </w:rPr>
              <w:t xml:space="preserve"> </w:t>
            </w:r>
            <w:r>
              <w:rPr>
                <w:spacing w:val="2"/>
              </w:rPr>
              <w:t>出现</w:t>
            </w:r>
          </w:p>
        </w:tc>
      </w:tr>
      <w:tr>
        <w:trPr>
          <w:trHeight w:val="1114" w:hRule="atLeast"/>
        </w:trPr>
        <w:tc>
          <w:tcPr>
            <w:tcW w:w="1273" w:type="dxa"/>
            <w:vAlign w:val="top"/>
            <w:vMerge w:val="continue"/>
            <w:tcBorders>
              <w:top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spacing w:line="434" w:lineRule="auto"/>
              <w:rPr>
                <w:rFonts w:ascii="Arial"/>
                <w:sz w:val="21"/>
              </w:rPr>
            </w:pPr>
            <w:r/>
          </w:p>
          <w:p>
            <w:pPr>
              <w:pStyle w:val="TableText"/>
              <w:ind w:left="234"/>
              <w:spacing w:before="48" w:line="220" w:lineRule="auto"/>
              <w:rPr/>
            </w:pPr>
            <w:r>
              <w:rPr>
                <w:spacing w:val="-1"/>
              </w:rPr>
              <w:t>M6:变更分析</w:t>
            </w:r>
          </w:p>
        </w:tc>
        <w:tc>
          <w:tcPr>
            <w:tcW w:w="2182" w:type="dxa"/>
            <w:vAlign w:val="top"/>
          </w:tcPr>
          <w:p>
            <w:pPr>
              <w:pStyle w:val="TableText"/>
              <w:ind w:left="257"/>
              <w:spacing w:before="75" w:line="219" w:lineRule="auto"/>
              <w:rPr/>
            </w:pPr>
            <w:r>
              <w:rPr>
                <w:spacing w:val="-1"/>
              </w:rPr>
              <w:t>数据变更对元数据库产生</w:t>
            </w:r>
          </w:p>
          <w:p>
            <w:pPr>
              <w:pStyle w:val="TableText"/>
              <w:ind w:left="107"/>
              <w:spacing w:before="100" w:line="218" w:lineRule="auto"/>
              <w:rPr/>
            </w:pPr>
            <w:r>
              <w:rPr/>
              <w:t>的影响需要进行提前评估，并</w:t>
            </w:r>
          </w:p>
          <w:p>
            <w:pPr>
              <w:pStyle w:val="TableText"/>
              <w:ind w:left="118" w:right="190" w:firstLine="69"/>
              <w:spacing w:before="103" w:line="281" w:lineRule="auto"/>
              <w:rPr/>
            </w:pPr>
            <w:r>
              <w:rPr>
                <w:spacing w:val="-1"/>
              </w:rPr>
              <w:t>制订规范的评估计划来保证</w:t>
            </w:r>
            <w:r>
              <w:rPr>
                <w:spacing w:val="4"/>
              </w:rPr>
              <w:t xml:space="preserve"> </w:t>
            </w:r>
            <w:r>
              <w:rPr>
                <w:spacing w:val="-1"/>
              </w:rPr>
              <w:t>评估结果的有效性和价值</w:t>
            </w:r>
          </w:p>
        </w:tc>
      </w:tr>
    </w:tbl>
    <w:p>
      <w:pPr>
        <w:pStyle w:val="BodyText"/>
        <w:rPr/>
      </w:pPr>
      <w:r/>
    </w:p>
    <w:p>
      <w:pPr>
        <w:sectPr>
          <w:footerReference w:type="default" r:id="rId207"/>
          <w:pgSz w:w="8870" w:h="13400"/>
          <w:pgMar w:top="400" w:right="594" w:bottom="595" w:left="454" w:header="0" w:footer="376" w:gutter="0"/>
        </w:sectPr>
        <w:rPr/>
      </w:pPr>
    </w:p>
    <w:p>
      <w:pPr>
        <w:ind w:left="99"/>
        <w:spacing w:before="129"/>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637"/>
            <wp:effectExtent l="0" t="0" r="0" b="0"/>
            <wp:docPr id="156" name="IM 156"/>
            <wp:cNvGraphicFramePr/>
            <a:graphic>
              <a:graphicData uri="http://schemas.openxmlformats.org/drawingml/2006/picture">
                <pic:pic>
                  <pic:nvPicPr>
                    <pic:cNvPr id="156" name="IM 156"/>
                    <pic:cNvPicPr/>
                  </pic:nvPicPr>
                  <pic:blipFill>
                    <a:blip r:embed="rId209"/>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8"/>
        </w:rPr>
        <w:t xml:space="preserve"> </w:t>
      </w:r>
      <w:r>
        <w:rPr>
          <w:rFonts w:ascii="SimSun" w:hAnsi="SimSun" w:eastAsia="SimSun" w:cs="SimSun"/>
          <w:sz w:val="22"/>
          <w:szCs w:val="22"/>
          <w:b/>
          <w:bCs/>
          <w:spacing w:val="-19"/>
        </w:rPr>
        <w:t>■云端数据治理</w:t>
      </w:r>
    </w:p>
    <w:p>
      <w:pPr>
        <w:pStyle w:val="BodyText"/>
        <w:spacing w:line="275" w:lineRule="auto"/>
        <w:rPr/>
      </w:pPr>
      <w:r/>
    </w:p>
    <w:p>
      <w:pPr>
        <w:ind w:left="7112"/>
        <w:spacing w:before="58" w:line="215" w:lineRule="auto"/>
        <w:rPr>
          <w:rFonts w:ascii="SimSun" w:hAnsi="SimSun" w:eastAsia="SimSun" w:cs="SimSun"/>
          <w:sz w:val="18"/>
          <w:szCs w:val="18"/>
        </w:rPr>
      </w:pPr>
      <w:r>
        <w:rPr>
          <w:rFonts w:ascii="SimSun" w:hAnsi="SimSun" w:eastAsia="SimSun" w:cs="SimSun"/>
          <w:sz w:val="18"/>
          <w:szCs w:val="18"/>
          <w:b/>
          <w:bCs/>
          <w:spacing w:val="-5"/>
        </w:rPr>
        <w:t>续表</w:t>
      </w:r>
    </w:p>
    <w:tbl>
      <w:tblPr>
        <w:tblStyle w:val="TableNormal"/>
        <w:tblW w:w="7592" w:type="dxa"/>
        <w:tblInd w:w="27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3"/>
        <w:gridCol w:w="1948"/>
        <w:gridCol w:w="2188"/>
        <w:gridCol w:w="2173"/>
      </w:tblGrid>
      <w:tr>
        <w:trPr>
          <w:trHeight w:val="315" w:hRule="atLeast"/>
        </w:trPr>
        <w:tc>
          <w:tcPr>
            <w:tcW w:w="1283" w:type="dxa"/>
            <w:vAlign w:val="top"/>
            <w:tcBorders>
              <w:left w:val="single" w:color="000000" w:sz="2" w:space="0"/>
            </w:tcBorders>
          </w:tcPr>
          <w:p>
            <w:pPr>
              <w:pStyle w:val="TableText"/>
              <w:ind w:left="339"/>
              <w:spacing w:before="81" w:line="220" w:lineRule="auto"/>
              <w:rPr/>
            </w:pPr>
            <w:r>
              <w:rPr>
                <w:spacing w:val="-18"/>
              </w:rPr>
              <w:t>目</w:t>
            </w:r>
            <w:r>
              <w:rPr>
                <w:spacing w:val="11"/>
              </w:rPr>
              <w:t xml:space="preserve">    </w:t>
            </w:r>
            <w:r>
              <w:rPr>
                <w:spacing w:val="-18"/>
              </w:rPr>
              <w:t>标</w:t>
            </w:r>
          </w:p>
        </w:tc>
        <w:tc>
          <w:tcPr>
            <w:tcW w:w="1948" w:type="dxa"/>
            <w:vAlign w:val="top"/>
          </w:tcPr>
          <w:p>
            <w:pPr>
              <w:pStyle w:val="TableText"/>
              <w:ind w:left="664"/>
              <w:spacing w:before="83" w:line="221" w:lineRule="auto"/>
              <w:rPr/>
            </w:pPr>
            <w:r>
              <w:rPr>
                <w:spacing w:val="-12"/>
              </w:rPr>
              <w:t>问</w:t>
            </w:r>
            <w:r>
              <w:rPr>
                <w:spacing w:val="9"/>
              </w:rPr>
              <w:t xml:space="preserve">    </w:t>
            </w:r>
            <w:r>
              <w:rPr>
                <w:spacing w:val="-12"/>
              </w:rPr>
              <w:t>题</w:t>
            </w:r>
          </w:p>
        </w:tc>
        <w:tc>
          <w:tcPr>
            <w:tcW w:w="2188" w:type="dxa"/>
            <w:vAlign w:val="top"/>
          </w:tcPr>
          <w:p>
            <w:pPr>
              <w:pStyle w:val="TableText"/>
              <w:ind w:left="716"/>
              <w:spacing w:before="81" w:line="220" w:lineRule="auto"/>
              <w:rPr/>
            </w:pPr>
            <w:r>
              <w:rPr>
                <w:spacing w:val="-4"/>
              </w:rPr>
              <w:t>度</w:t>
            </w:r>
            <w:r>
              <w:rPr>
                <w:spacing w:val="2"/>
              </w:rPr>
              <w:t xml:space="preserve">  </w:t>
            </w:r>
            <w:r>
              <w:rPr>
                <w:spacing w:val="-4"/>
              </w:rPr>
              <w:t>量</w:t>
            </w:r>
            <w:r>
              <w:rPr>
                <w:spacing w:val="5"/>
              </w:rPr>
              <w:t xml:space="preserve">  </w:t>
            </w:r>
            <w:r>
              <w:rPr>
                <w:spacing w:val="-4"/>
              </w:rPr>
              <w:t>项</w:t>
            </w:r>
          </w:p>
        </w:tc>
        <w:tc>
          <w:tcPr>
            <w:tcW w:w="2173" w:type="dxa"/>
            <w:vAlign w:val="top"/>
          </w:tcPr>
          <w:p>
            <w:pPr>
              <w:pStyle w:val="TableText"/>
              <w:ind w:left="708"/>
              <w:spacing w:before="81" w:line="219" w:lineRule="auto"/>
              <w:rPr/>
            </w:pPr>
            <w:r>
              <w:rPr>
                <w:spacing w:val="3"/>
              </w:rPr>
              <w:t>度量项说明</w:t>
            </w:r>
          </w:p>
        </w:tc>
      </w:tr>
      <w:tr>
        <w:trPr>
          <w:trHeight w:val="2008" w:hRule="atLeast"/>
        </w:trPr>
        <w:tc>
          <w:tcPr>
            <w:tcW w:w="1283" w:type="dxa"/>
            <w:vAlign w:val="top"/>
            <w:vMerge w:val="restart"/>
            <w:tcBorders>
              <w:left w:val="single" w:color="000000" w:sz="2" w:space="0"/>
              <w:bottom w:val="nil"/>
            </w:tcBorders>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220"/>
              <w:spacing w:before="48" w:line="219" w:lineRule="auto"/>
              <w:rPr/>
            </w:pPr>
            <w:r>
              <w:rPr>
                <w:spacing w:val="-1"/>
              </w:rPr>
              <w:t>G2:数据治理</w:t>
            </w:r>
          </w:p>
          <w:p>
            <w:pPr>
              <w:pStyle w:val="TableText"/>
              <w:ind w:left="100" w:right="88" w:firstLine="9"/>
              <w:spacing w:before="81" w:line="289" w:lineRule="auto"/>
              <w:rPr/>
            </w:pPr>
            <w:r>
              <w:rPr>
                <w:spacing w:val="-1"/>
              </w:rPr>
              <w:t>监督指导元数据</w:t>
            </w:r>
            <w:r>
              <w:rPr/>
              <w:t xml:space="preserve"> </w:t>
            </w:r>
            <w:r>
              <w:rPr/>
              <w:t>策略、分类和标</w:t>
            </w:r>
            <w:r>
              <w:rPr>
                <w:spacing w:val="1"/>
              </w:rPr>
              <w:t xml:space="preserve"> </w:t>
            </w:r>
            <w:r>
              <w:rPr>
                <w:spacing w:val="31"/>
              </w:rPr>
              <w:t>准的制订与执</w:t>
            </w:r>
            <w:r>
              <w:rPr/>
              <w:t xml:space="preserve"> </w:t>
            </w:r>
            <w:r>
              <w:rPr/>
              <w:t>行，保证它们被 </w:t>
            </w:r>
            <w:r>
              <w:rPr/>
              <w:t>整个组织采纳并</w:t>
            </w:r>
            <w:r>
              <w:rPr>
                <w:spacing w:val="2"/>
              </w:rPr>
              <w:t xml:space="preserve"> </w:t>
            </w:r>
            <w:r>
              <w:rPr>
                <w:spacing w:val="9"/>
              </w:rPr>
              <w:t>一致使用</w:t>
            </w:r>
          </w:p>
        </w:tc>
        <w:tc>
          <w:tcPr>
            <w:tcW w:w="1948" w:type="dxa"/>
            <w:vAlign w:val="top"/>
          </w:tcPr>
          <w:p>
            <w:pPr>
              <w:rPr>
                <w:rFonts w:ascii="Arial"/>
                <w:sz w:val="21"/>
              </w:rPr>
            </w:pPr>
            <w:r/>
          </w:p>
          <w:p>
            <w:pPr>
              <w:spacing w:line="241" w:lineRule="auto"/>
              <w:rPr>
                <w:rFonts w:ascii="Arial"/>
                <w:sz w:val="21"/>
              </w:rPr>
            </w:pPr>
            <w:r/>
          </w:p>
          <w:p>
            <w:pPr>
              <w:spacing w:line="241" w:lineRule="auto"/>
              <w:rPr>
                <w:rFonts w:ascii="Arial"/>
                <w:sz w:val="21"/>
              </w:rPr>
            </w:pPr>
            <w:r/>
          </w:p>
          <w:p>
            <w:pPr>
              <w:pStyle w:val="TableText"/>
              <w:ind w:left="134" w:right="243" w:firstLine="140"/>
              <w:spacing w:before="49" w:line="276" w:lineRule="auto"/>
              <w:rPr/>
            </w:pPr>
            <w:r>
              <w:rPr>
                <w:spacing w:val="-1"/>
              </w:rPr>
              <w:t>Q3:使用什么方法维护</w:t>
            </w:r>
            <w:r>
              <w:rPr>
                <w:spacing w:val="5"/>
              </w:rPr>
              <w:t xml:space="preserve"> </w:t>
            </w:r>
            <w:r>
              <w:rPr>
                <w:spacing w:val="-1"/>
              </w:rPr>
              <w:t>和更新元数据库</w:t>
            </w:r>
          </w:p>
        </w:tc>
        <w:tc>
          <w:tcPr>
            <w:tcW w:w="2188" w:type="dxa"/>
            <w:vAlign w:val="top"/>
          </w:tcPr>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pStyle w:val="TableText"/>
              <w:ind w:left="266"/>
              <w:spacing w:before="48" w:line="219" w:lineRule="auto"/>
              <w:rPr/>
            </w:pPr>
            <w:r>
              <w:rPr>
                <w:spacing w:val="-1"/>
              </w:rPr>
              <w:t>M7:反馈机制</w:t>
            </w:r>
          </w:p>
        </w:tc>
        <w:tc>
          <w:tcPr>
            <w:tcW w:w="2173" w:type="dxa"/>
            <w:vAlign w:val="top"/>
          </w:tcPr>
          <w:p>
            <w:pPr>
              <w:pStyle w:val="TableText"/>
              <w:ind w:left="108" w:right="88" w:firstLine="170"/>
              <w:spacing w:before="47" w:line="298" w:lineRule="auto"/>
              <w:rPr/>
            </w:pPr>
            <w:r>
              <w:rPr>
                <w:spacing w:val="-1"/>
              </w:rPr>
              <w:t>记录元数据管理的过程，将</w:t>
            </w:r>
            <w:r>
              <w:rPr>
                <w:spacing w:val="5"/>
              </w:rPr>
              <w:t xml:space="preserve"> </w:t>
            </w:r>
            <w:r>
              <w:rPr>
                <w:spacing w:val="-1"/>
              </w:rPr>
              <w:t>数据输入、查阅以及使用的统</w:t>
            </w:r>
            <w:r>
              <w:rPr>
                <w:spacing w:val="4"/>
              </w:rPr>
              <w:t xml:space="preserve"> </w:t>
            </w:r>
            <w:r>
              <w:rPr>
                <w:spacing w:val="-1"/>
              </w:rPr>
              <w:t>一实践文档化，对交换数据所</w:t>
            </w:r>
            <w:r>
              <w:rPr>
                <w:spacing w:val="3"/>
              </w:rPr>
              <w:t xml:space="preserve"> </w:t>
            </w:r>
            <w:r>
              <w:rPr>
                <w:spacing w:val="-1"/>
              </w:rPr>
              <w:t>遵循的标准进行文档化，形成</w:t>
            </w:r>
            <w:r>
              <w:rPr>
                <w:spacing w:val="6"/>
              </w:rPr>
              <w:t xml:space="preserve"> </w:t>
            </w:r>
            <w:r>
              <w:rPr>
                <w:spacing w:val="-1"/>
              </w:rPr>
              <w:t>整合记录，并保存在元数据库</w:t>
            </w:r>
            <w:r>
              <w:rPr>
                <w:spacing w:val="5"/>
              </w:rPr>
              <w:t xml:space="preserve"> </w:t>
            </w:r>
            <w:r>
              <w:rPr>
                <w:spacing w:val="6"/>
              </w:rPr>
              <w:t>中。利用这些记录和分析结</w:t>
            </w:r>
            <w:r>
              <w:rPr>
                <w:spacing w:val="2"/>
              </w:rPr>
              <w:t xml:space="preserve">  </w:t>
            </w:r>
            <w:r>
              <w:rPr>
                <w:spacing w:val="1"/>
              </w:rPr>
              <w:t>果，在新的元数据管理过程中</w:t>
            </w:r>
            <w:r>
              <w:rPr>
                <w:spacing w:val="2"/>
              </w:rPr>
              <w:t xml:space="preserve"> </w:t>
            </w:r>
            <w:r>
              <w:rPr>
                <w:spacing w:val="2"/>
              </w:rPr>
              <w:t>支持管理决策</w:t>
            </w:r>
          </w:p>
        </w:tc>
      </w:tr>
      <w:tr>
        <w:trPr>
          <w:trHeight w:val="98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restart"/>
            <w:tcBorders>
              <w:bottom w:val="nil"/>
            </w:tcBorders>
          </w:tcPr>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124" w:right="253" w:firstLine="139"/>
              <w:spacing w:before="49" w:line="264" w:lineRule="auto"/>
              <w:rPr/>
            </w:pPr>
            <w:r>
              <w:rPr>
                <w:spacing w:val="-1"/>
              </w:rPr>
              <w:t>Q4:元数据管理过程是</w:t>
            </w:r>
            <w:r>
              <w:rPr>
                <w:spacing w:val="5"/>
              </w:rPr>
              <w:t xml:space="preserve"> </w:t>
            </w:r>
            <w:r>
              <w:rPr>
                <w:spacing w:val="-2"/>
              </w:rPr>
              <w:t>否得到定义与执行</w:t>
            </w:r>
          </w:p>
        </w:tc>
        <w:tc>
          <w:tcPr>
            <w:tcW w:w="2188" w:type="dxa"/>
            <w:vAlign w:val="top"/>
          </w:tcPr>
          <w:p>
            <w:pPr>
              <w:spacing w:line="367" w:lineRule="auto"/>
              <w:rPr>
                <w:rFonts w:ascii="Arial"/>
                <w:sz w:val="21"/>
              </w:rPr>
            </w:pPr>
            <w:r/>
          </w:p>
          <w:p>
            <w:pPr>
              <w:pStyle w:val="TableText"/>
              <w:ind w:left="266"/>
              <w:spacing w:before="49" w:line="220" w:lineRule="auto"/>
              <w:rPr/>
            </w:pPr>
            <w:r>
              <w:rPr>
                <w:spacing w:val="-1"/>
              </w:rPr>
              <w:t>M8:策略一致性</w:t>
            </w:r>
          </w:p>
        </w:tc>
        <w:tc>
          <w:tcPr>
            <w:tcW w:w="2173" w:type="dxa"/>
            <w:vAlign w:val="top"/>
          </w:tcPr>
          <w:p>
            <w:pPr>
              <w:pStyle w:val="TableText"/>
              <w:ind w:left="108" w:right="155" w:firstLine="109"/>
              <w:spacing w:before="59" w:line="283" w:lineRule="auto"/>
              <w:jc w:val="both"/>
              <w:rPr/>
            </w:pPr>
            <w:r>
              <w:rPr>
                <w:spacing w:val="-1"/>
              </w:rPr>
              <w:t>针对元数据的主要分级(例</w:t>
            </w:r>
            <w:r>
              <w:rPr>
                <w:spacing w:val="2"/>
              </w:rPr>
              <w:t xml:space="preserve">  </w:t>
            </w:r>
            <w:r>
              <w:rPr>
                <w:spacing w:val="4"/>
              </w:rPr>
              <w:t>如业务级、技术级),组织应</w:t>
            </w:r>
            <w:r>
              <w:rPr>
                <w:spacing w:val="8"/>
              </w:rPr>
              <w:t xml:space="preserve"> </w:t>
            </w:r>
            <w:r>
              <w:rPr>
                <w:spacing w:val="1"/>
              </w:rPr>
              <w:t>提出一系列分类(例如业务类</w:t>
            </w:r>
            <w:r>
              <w:rPr>
                <w:spacing w:val="9"/>
              </w:rPr>
              <w:t xml:space="preserve"> </w:t>
            </w:r>
            <w:r>
              <w:rPr>
                <w:spacing w:val="3"/>
              </w:rPr>
              <w:t>词汇、数据库)</w:t>
            </w:r>
          </w:p>
        </w:tc>
      </w:tr>
      <w:tr>
        <w:trPr>
          <w:trHeight w:val="75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tcPr>
          <w:p>
            <w:pPr>
              <w:spacing w:line="258" w:lineRule="auto"/>
              <w:rPr>
                <w:rFonts w:ascii="Arial"/>
                <w:sz w:val="21"/>
              </w:rPr>
            </w:pPr>
            <w:r/>
          </w:p>
          <w:p>
            <w:pPr>
              <w:pStyle w:val="TableText"/>
              <w:ind w:left="266"/>
              <w:spacing w:before="49" w:line="219" w:lineRule="auto"/>
              <w:rPr/>
            </w:pPr>
            <w:r>
              <w:rPr>
                <w:spacing w:val="-1"/>
              </w:rPr>
              <w:t>M9:管理过程标准化</w:t>
            </w:r>
          </w:p>
        </w:tc>
        <w:tc>
          <w:tcPr>
            <w:tcW w:w="2173" w:type="dxa"/>
            <w:vAlign w:val="top"/>
          </w:tcPr>
          <w:p>
            <w:pPr>
              <w:pStyle w:val="TableText"/>
              <w:ind w:left="118" w:right="155" w:firstLine="99"/>
              <w:spacing w:before="59" w:line="274" w:lineRule="auto"/>
              <w:jc w:val="both"/>
              <w:rPr/>
            </w:pPr>
            <w:r>
              <w:rPr>
                <w:spacing w:val="-1"/>
              </w:rPr>
              <w:t>在元数据的生命周期中(即</w:t>
            </w:r>
            <w:r>
              <w:rPr>
                <w:spacing w:val="2"/>
              </w:rPr>
              <w:t xml:space="preserve">  </w:t>
            </w:r>
            <w:r>
              <w:rPr>
                <w:spacing w:val="1"/>
              </w:rPr>
              <w:t>创建、更新以及删除)定义一</w:t>
            </w:r>
            <w:r>
              <w:rPr/>
              <w:t xml:space="preserve"> </w:t>
            </w:r>
            <w:r>
              <w:rPr>
                <w:spacing w:val="-1"/>
              </w:rPr>
              <w:t>个标准管理过程</w:t>
            </w:r>
          </w:p>
        </w:tc>
      </w:tr>
      <w:tr>
        <w:trPr>
          <w:trHeight w:val="101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vMerge w:val="restart"/>
            <w:tcBorders>
              <w:bottom w:val="nil"/>
            </w:tcBorders>
          </w:tcPr>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pStyle w:val="TableText"/>
              <w:ind w:left="266"/>
              <w:spacing w:before="49" w:line="220" w:lineRule="auto"/>
              <w:rPr/>
            </w:pPr>
            <w:r>
              <w:rPr>
                <w:spacing w:val="-1"/>
              </w:rPr>
              <w:t>M10:变更控制</w:t>
            </w:r>
          </w:p>
        </w:tc>
        <w:tc>
          <w:tcPr>
            <w:tcW w:w="2173" w:type="dxa"/>
            <w:vAlign w:val="top"/>
          </w:tcPr>
          <w:p>
            <w:pPr>
              <w:pStyle w:val="TableText"/>
              <w:ind w:left="258"/>
              <w:spacing w:before="40" w:line="219" w:lineRule="auto"/>
              <w:rPr/>
            </w:pPr>
            <w:r>
              <w:rPr>
                <w:spacing w:val="1"/>
              </w:rPr>
              <w:t>当纳入一类元数据到库中</w:t>
            </w:r>
          </w:p>
          <w:p>
            <w:pPr>
              <w:pStyle w:val="TableText"/>
              <w:ind w:left="128" w:right="90" w:hanging="20"/>
              <w:spacing w:before="80" w:line="291" w:lineRule="auto"/>
              <w:rPr/>
            </w:pPr>
            <w:r>
              <w:rPr>
                <w:spacing w:val="1"/>
              </w:rPr>
              <w:t>时，所有范围、类别、属性以</w:t>
            </w:r>
            <w:r>
              <w:rPr/>
              <w:t xml:space="preserve"> </w:t>
            </w:r>
            <w:r>
              <w:rPr>
                <w:spacing w:val="3"/>
              </w:rPr>
              <w:t>及标准上的增添或变更都要  </w:t>
            </w:r>
            <w:r>
              <w:rPr/>
              <w:t>由数据治理来管理</w:t>
            </w:r>
          </w:p>
        </w:tc>
      </w:tr>
      <w:tr>
        <w:trPr>
          <w:trHeight w:val="490"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vMerge w:val="continue"/>
            <w:tcBorders>
              <w:top w:val="nil"/>
              <w:bottom w:val="nil"/>
            </w:tcBorders>
          </w:tcPr>
          <w:p>
            <w:pPr>
              <w:rPr>
                <w:rFonts w:ascii="Arial"/>
                <w:sz w:val="21"/>
              </w:rPr>
            </w:pPr>
            <w:r/>
          </w:p>
        </w:tc>
        <w:tc>
          <w:tcPr>
            <w:tcW w:w="2173" w:type="dxa"/>
            <w:vAlign w:val="top"/>
          </w:tcPr>
          <w:p>
            <w:pPr>
              <w:pStyle w:val="TableText"/>
              <w:ind w:left="108" w:right="111" w:firstLine="69"/>
              <w:spacing w:before="51" w:line="257" w:lineRule="auto"/>
              <w:rPr/>
            </w:pPr>
            <w:r>
              <w:rPr>
                <w:spacing w:val="-1"/>
              </w:rPr>
              <w:t>基于现有的成熟架构，对元</w:t>
            </w:r>
            <w:r>
              <w:rPr>
                <w:spacing w:val="2"/>
              </w:rPr>
              <w:t xml:space="preserve">  </w:t>
            </w:r>
            <w:r>
              <w:rPr>
                <w:spacing w:val="-1"/>
              </w:rPr>
              <w:t>数据的创建以及变更进行确认</w:t>
            </w:r>
          </w:p>
        </w:tc>
      </w:tr>
      <w:tr>
        <w:trPr>
          <w:trHeight w:val="49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vMerge w:val="continue"/>
            <w:tcBorders>
              <w:top w:val="nil"/>
            </w:tcBorders>
          </w:tcPr>
          <w:p>
            <w:pPr>
              <w:rPr>
                <w:rFonts w:ascii="Arial"/>
                <w:sz w:val="21"/>
              </w:rPr>
            </w:pPr>
            <w:r/>
          </w:p>
        </w:tc>
        <w:tc>
          <w:tcPr>
            <w:tcW w:w="2173" w:type="dxa"/>
            <w:vAlign w:val="top"/>
          </w:tcPr>
          <w:p>
            <w:pPr>
              <w:pStyle w:val="TableText"/>
              <w:ind w:left="128" w:right="260" w:firstLine="129"/>
              <w:spacing w:before="40" w:line="276" w:lineRule="auto"/>
              <w:rPr/>
            </w:pPr>
            <w:r>
              <w:rPr>
                <w:spacing w:val="-1"/>
              </w:rPr>
              <w:t>利用元数据来对数据变更</w:t>
            </w:r>
            <w:r>
              <w:rPr>
                <w:spacing w:val="3"/>
              </w:rPr>
              <w:t xml:space="preserve"> </w:t>
            </w:r>
            <w:r>
              <w:rPr>
                <w:spacing w:val="-1"/>
              </w:rPr>
              <w:t>做影响分析</w:t>
            </w:r>
          </w:p>
        </w:tc>
      </w:tr>
      <w:tr>
        <w:trPr>
          <w:trHeight w:val="73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tcPr>
          <w:p>
            <w:pPr>
              <w:spacing w:line="252" w:lineRule="auto"/>
              <w:rPr>
                <w:rFonts w:ascii="Arial"/>
                <w:sz w:val="21"/>
              </w:rPr>
            </w:pPr>
            <w:r/>
          </w:p>
          <w:p>
            <w:pPr>
              <w:pStyle w:val="TableText"/>
              <w:ind w:left="266"/>
              <w:spacing w:before="49" w:line="220" w:lineRule="auto"/>
              <w:rPr/>
            </w:pPr>
            <w:r>
              <w:rPr>
                <w:spacing w:val="-1"/>
              </w:rPr>
              <w:t>M11:目标一致性</w:t>
            </w:r>
          </w:p>
        </w:tc>
        <w:tc>
          <w:tcPr>
            <w:tcW w:w="2173" w:type="dxa"/>
            <w:vAlign w:val="top"/>
          </w:tcPr>
          <w:p>
            <w:pPr>
              <w:pStyle w:val="TableText"/>
              <w:ind w:left="178" w:right="192" w:firstLine="80"/>
              <w:spacing w:before="41" w:line="270" w:lineRule="auto"/>
              <w:rPr/>
            </w:pPr>
            <w:r>
              <w:rPr>
                <w:spacing w:val="-1"/>
              </w:rPr>
              <w:t>元数据的改进目标应当与</w:t>
            </w:r>
            <w:r>
              <w:rPr>
                <w:spacing w:val="1"/>
              </w:rPr>
              <w:t xml:space="preserve">  </w:t>
            </w:r>
            <w:r>
              <w:rPr>
                <w:spacing w:val="-1"/>
              </w:rPr>
              <w:t>组织的业务和数据治理策略</w:t>
            </w:r>
          </w:p>
          <w:p>
            <w:pPr>
              <w:pStyle w:val="TableText"/>
              <w:ind w:left="98"/>
              <w:spacing w:before="62" w:line="220" w:lineRule="auto"/>
              <w:rPr/>
            </w:pPr>
            <w:r>
              <w:rPr>
                <w:spacing w:val="-2"/>
              </w:rPr>
              <w:t>相关联</w:t>
            </w:r>
          </w:p>
        </w:tc>
      </w:tr>
      <w:tr>
        <w:trPr>
          <w:trHeight w:val="102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88" w:type="dxa"/>
            <w:vAlign w:val="top"/>
          </w:tcPr>
          <w:p>
            <w:pPr>
              <w:spacing w:line="273" w:lineRule="auto"/>
              <w:rPr>
                <w:rFonts w:ascii="Arial"/>
                <w:sz w:val="21"/>
              </w:rPr>
            </w:pPr>
            <w:r/>
          </w:p>
          <w:p>
            <w:pPr>
              <w:pStyle w:val="TableText"/>
              <w:ind w:left="265" w:right="292" w:hanging="29"/>
              <w:spacing w:before="48" w:line="257" w:lineRule="auto"/>
              <w:rPr/>
            </w:pPr>
            <w:r>
              <w:rPr>
                <w:spacing w:val="-1"/>
              </w:rPr>
              <w:t>M12:元数据管理历史信息</w:t>
            </w:r>
            <w:r>
              <w:rPr>
                <w:spacing w:val="10"/>
              </w:rPr>
              <w:t xml:space="preserve"> </w:t>
            </w:r>
            <w:r>
              <w:rPr>
                <w:spacing w:val="6"/>
              </w:rPr>
              <w:t>的使用</w:t>
            </w:r>
          </w:p>
        </w:tc>
        <w:tc>
          <w:tcPr>
            <w:tcW w:w="2173" w:type="dxa"/>
            <w:vAlign w:val="top"/>
          </w:tcPr>
          <w:p>
            <w:pPr>
              <w:pStyle w:val="TableText"/>
              <w:ind w:left="258"/>
              <w:spacing w:before="63" w:line="219" w:lineRule="auto"/>
              <w:rPr/>
            </w:pPr>
            <w:r>
              <w:rPr>
                <w:spacing w:val="-1"/>
              </w:rPr>
              <w:t>元数据矩阵上各元素间的</w:t>
            </w:r>
          </w:p>
          <w:p>
            <w:pPr>
              <w:pStyle w:val="TableText"/>
              <w:ind w:left="177" w:right="112" w:hanging="69"/>
              <w:spacing w:before="81" w:line="270" w:lineRule="auto"/>
              <w:rPr/>
            </w:pPr>
            <w:r>
              <w:rPr>
                <w:spacing w:val="-1"/>
              </w:rPr>
              <w:t>关系通过数据定量化表示，可</w:t>
            </w:r>
            <w:r>
              <w:rPr>
                <w:spacing w:val="3"/>
              </w:rPr>
              <w:t xml:space="preserve"> </w:t>
            </w:r>
            <w:r>
              <w:rPr>
                <w:spacing w:val="-1"/>
              </w:rPr>
              <w:t>更准确地整理和分析元数据</w:t>
            </w:r>
          </w:p>
          <w:p>
            <w:pPr>
              <w:pStyle w:val="TableText"/>
              <w:ind w:left="98"/>
              <w:spacing w:before="62" w:line="219" w:lineRule="auto"/>
              <w:rPr/>
            </w:pPr>
            <w:r>
              <w:rPr>
                <w:spacing w:val="-3"/>
              </w:rPr>
              <w:t>管理</w:t>
            </w:r>
          </w:p>
        </w:tc>
      </w:tr>
      <w:tr>
        <w:trPr>
          <w:trHeight w:val="1479" w:hRule="atLeast"/>
        </w:trPr>
        <w:tc>
          <w:tcPr>
            <w:tcW w:w="1283" w:type="dxa"/>
            <w:vAlign w:val="top"/>
            <w:vMerge w:val="continue"/>
            <w:tcBorders>
              <w:left w:val="single" w:color="000000" w:sz="2" w:space="0"/>
              <w:top w:val="nil"/>
              <w:bottom w:val="nil"/>
            </w:tcBorders>
          </w:tcPr>
          <w:p>
            <w:pPr>
              <w:rPr>
                <w:rFonts w:ascii="Arial"/>
                <w:sz w:val="21"/>
              </w:rPr>
            </w:pPr>
            <w:r/>
          </w:p>
        </w:tc>
        <w:tc>
          <w:tcPr>
            <w:tcW w:w="1948" w:type="dxa"/>
            <w:vAlign w:val="top"/>
            <w:vMerge w:val="continue"/>
            <w:tcBorders>
              <w:top w:val="nil"/>
            </w:tcBorders>
          </w:tcPr>
          <w:p>
            <w:pPr>
              <w:rPr>
                <w:rFonts w:ascii="Arial"/>
                <w:sz w:val="21"/>
              </w:rPr>
            </w:pPr>
            <w:r/>
          </w:p>
        </w:tc>
        <w:tc>
          <w:tcPr>
            <w:tcW w:w="2188" w:type="dxa"/>
            <w:vAlign w:val="top"/>
          </w:tcPr>
          <w:p>
            <w:pPr>
              <w:spacing w:line="311" w:lineRule="auto"/>
              <w:rPr>
                <w:rFonts w:ascii="Arial"/>
                <w:sz w:val="21"/>
              </w:rPr>
            </w:pPr>
            <w:r/>
          </w:p>
          <w:p>
            <w:pPr>
              <w:spacing w:line="311" w:lineRule="auto"/>
              <w:rPr>
                <w:rFonts w:ascii="Arial"/>
                <w:sz w:val="21"/>
              </w:rPr>
            </w:pPr>
            <w:r/>
          </w:p>
          <w:p>
            <w:pPr>
              <w:pStyle w:val="TableText"/>
              <w:ind w:left="266"/>
              <w:spacing w:before="48" w:line="220" w:lineRule="auto"/>
              <w:rPr/>
            </w:pPr>
            <w:r>
              <w:rPr>
                <w:spacing w:val="-1"/>
              </w:rPr>
              <w:t>M13:量化目标</w:t>
            </w:r>
          </w:p>
        </w:tc>
        <w:tc>
          <w:tcPr>
            <w:tcW w:w="2173" w:type="dxa"/>
            <w:vAlign w:val="top"/>
          </w:tcPr>
          <w:p>
            <w:pPr>
              <w:pStyle w:val="TableText"/>
              <w:ind w:left="108" w:right="109" w:firstLine="149"/>
              <w:spacing w:before="45" w:line="292" w:lineRule="auto"/>
              <w:rPr/>
            </w:pPr>
            <w:r>
              <w:rPr>
                <w:spacing w:val="1"/>
              </w:rPr>
              <w:t>建立量化管理的规范和制</w:t>
            </w:r>
            <w:r>
              <w:rPr/>
              <w:t xml:space="preserve">   </w:t>
            </w:r>
            <w:r>
              <w:rPr>
                <w:spacing w:val="-1"/>
              </w:rPr>
              <w:t>度，对元数据的管理过程进行</w:t>
            </w:r>
            <w:r>
              <w:rPr>
                <w:spacing w:val="6"/>
              </w:rPr>
              <w:t xml:space="preserve"> </w:t>
            </w:r>
            <w:r>
              <w:rPr>
                <w:spacing w:val="-1"/>
              </w:rPr>
              <w:t>量化考核和评价，细化管理过</w:t>
            </w:r>
            <w:r>
              <w:rPr>
                <w:spacing w:val="6"/>
              </w:rPr>
              <w:t xml:space="preserve"> </w:t>
            </w:r>
            <w:r>
              <w:rPr>
                <w:spacing w:val="-1"/>
              </w:rPr>
              <w:t>程的改进，不断提升元数据管</w:t>
            </w:r>
            <w:r>
              <w:rPr>
                <w:spacing w:val="6"/>
              </w:rPr>
              <w:t xml:space="preserve"> </w:t>
            </w:r>
            <w:r>
              <w:rPr>
                <w:spacing w:val="-1"/>
              </w:rPr>
              <w:t>理能力和水平，促进云端数据</w:t>
            </w:r>
            <w:r>
              <w:rPr>
                <w:spacing w:val="4"/>
              </w:rPr>
              <w:t xml:space="preserve"> </w:t>
            </w:r>
            <w:r>
              <w:rPr>
                <w:spacing w:val="2"/>
              </w:rPr>
              <w:t>治理的绩效</w:t>
            </w:r>
          </w:p>
        </w:tc>
      </w:tr>
      <w:tr>
        <w:trPr>
          <w:trHeight w:val="1274" w:hRule="atLeast"/>
        </w:trPr>
        <w:tc>
          <w:tcPr>
            <w:tcW w:w="1283" w:type="dxa"/>
            <w:vAlign w:val="top"/>
            <w:vMerge w:val="continue"/>
            <w:tcBorders>
              <w:left w:val="single" w:color="000000" w:sz="2" w:space="0"/>
              <w:top w:val="nil"/>
            </w:tcBorders>
          </w:tcPr>
          <w:p>
            <w:pPr>
              <w:rPr>
                <w:rFonts w:ascii="Arial"/>
                <w:sz w:val="21"/>
              </w:rPr>
            </w:pPr>
            <w:r/>
          </w:p>
        </w:tc>
        <w:tc>
          <w:tcPr>
            <w:tcW w:w="1948" w:type="dxa"/>
            <w:vAlign w:val="top"/>
          </w:tcPr>
          <w:p>
            <w:pPr>
              <w:spacing w:line="265" w:lineRule="auto"/>
              <w:rPr>
                <w:rFonts w:ascii="Arial"/>
                <w:sz w:val="21"/>
              </w:rPr>
            </w:pPr>
            <w:r/>
          </w:p>
          <w:p>
            <w:pPr>
              <w:pStyle w:val="TableText"/>
              <w:ind w:left="124" w:right="168" w:firstLine="129"/>
              <w:spacing w:before="49" w:line="286" w:lineRule="auto"/>
              <w:rPr/>
            </w:pPr>
            <w:r>
              <w:rPr>
                <w:spacing w:val="-1"/>
              </w:rPr>
              <w:t>Q5:元数据获取、更新</w:t>
            </w:r>
            <w:r>
              <w:rPr>
                <w:spacing w:val="2"/>
              </w:rPr>
              <w:t xml:space="preserve">  </w:t>
            </w:r>
            <w:r>
              <w:rPr>
                <w:spacing w:val="-1"/>
              </w:rPr>
              <w:t>及使用过程中的分工与义</w:t>
            </w:r>
            <w:r>
              <w:rPr>
                <w:spacing w:val="4"/>
              </w:rPr>
              <w:t xml:space="preserve"> </w:t>
            </w:r>
            <w:r>
              <w:rPr>
                <w:spacing w:val="-1"/>
              </w:rPr>
              <w:t>务是否得到清晰的定义</w:t>
            </w:r>
          </w:p>
        </w:tc>
        <w:tc>
          <w:tcPr>
            <w:tcW w:w="2188" w:type="dxa"/>
            <w:vAlign w:val="top"/>
          </w:tcPr>
          <w:p>
            <w:pPr>
              <w:spacing w:line="256" w:lineRule="auto"/>
              <w:rPr>
                <w:rFonts w:ascii="Arial"/>
                <w:sz w:val="21"/>
              </w:rPr>
            </w:pPr>
            <w:r/>
          </w:p>
          <w:p>
            <w:pPr>
              <w:spacing w:line="257" w:lineRule="auto"/>
              <w:rPr>
                <w:rFonts w:ascii="Arial"/>
                <w:sz w:val="21"/>
              </w:rPr>
            </w:pPr>
            <w:r/>
          </w:p>
          <w:p>
            <w:pPr>
              <w:pStyle w:val="TableText"/>
              <w:ind w:left="266"/>
              <w:spacing w:before="49" w:line="220" w:lineRule="auto"/>
              <w:rPr/>
            </w:pPr>
            <w:r>
              <w:rPr>
                <w:spacing w:val="-1"/>
              </w:rPr>
              <w:t>M14:职责与分工</w:t>
            </w:r>
          </w:p>
        </w:tc>
        <w:tc>
          <w:tcPr>
            <w:tcW w:w="2173" w:type="dxa"/>
            <w:vAlign w:val="top"/>
          </w:tcPr>
          <w:p>
            <w:pPr>
              <w:pStyle w:val="TableText"/>
              <w:ind w:left="108" w:right="113" w:firstLine="109"/>
              <w:spacing w:before="65" w:line="295" w:lineRule="auto"/>
              <w:rPr/>
            </w:pPr>
            <w:r>
              <w:rPr>
                <w:spacing w:val="-1"/>
              </w:rPr>
              <w:t>将数据管理功能进行分配，</w:t>
            </w:r>
            <w:r>
              <w:rPr>
                <w:spacing w:val="6"/>
              </w:rPr>
              <w:t xml:space="preserve"> </w:t>
            </w:r>
            <w:r>
              <w:rPr>
                <w:spacing w:val="6"/>
              </w:rPr>
              <w:t>以推动人员间的共同合作努</w:t>
            </w:r>
            <w:r>
              <w:rPr>
                <w:spacing w:val="1"/>
              </w:rPr>
              <w:t xml:space="preserve">  </w:t>
            </w:r>
            <w:r>
              <w:rPr>
                <w:spacing w:val="5"/>
              </w:rPr>
              <w:t>力；整个组织的代表人员参</w:t>
            </w:r>
            <w:r>
              <w:rPr/>
              <w:t xml:space="preserve">  </w:t>
            </w:r>
            <w:r>
              <w:rPr>
                <w:spacing w:val="-1"/>
              </w:rPr>
              <w:t>与，执行审批并确保一致意见</w:t>
            </w:r>
            <w:r>
              <w:rPr>
                <w:spacing w:val="3"/>
              </w:rPr>
              <w:t xml:space="preserve"> </w:t>
            </w:r>
            <w:r>
              <w:rPr>
                <w:spacing w:val="5"/>
              </w:rPr>
              <w:t>的达成</w:t>
            </w:r>
          </w:p>
        </w:tc>
      </w:tr>
    </w:tbl>
    <w:p>
      <w:pPr>
        <w:pStyle w:val="BodyText"/>
        <w:rPr/>
      </w:pPr>
      <w:r/>
    </w:p>
    <w:p>
      <w:pPr>
        <w:sectPr>
          <w:footerReference w:type="default" r:id="rId208"/>
          <w:pgSz w:w="8870" w:h="13400"/>
          <w:pgMar w:top="400" w:right="634" w:bottom="545" w:left="360" w:header="0" w:footer="326" w:gutter="0"/>
        </w:sectPr>
        <w:rPr/>
      </w:pPr>
    </w:p>
    <w:p>
      <w:pPr>
        <w:ind w:left="5487"/>
        <w:spacing w:before="234" w:line="610" w:lineRule="exact"/>
        <w:rPr>
          <w:rFonts w:ascii="SimSun" w:hAnsi="SimSun" w:eastAsia="SimSun" w:cs="SimSun"/>
          <w:sz w:val="21"/>
          <w:szCs w:val="21"/>
        </w:rPr>
      </w:pPr>
      <w:bookmarkStart w:name="bookmark47" w:id="42"/>
      <w:bookmarkEnd w:id="42"/>
      <w:r>
        <w:rPr>
          <w:rFonts w:ascii="SimSun" w:hAnsi="SimSun" w:eastAsia="SimSun" w:cs="SimSun"/>
          <w:sz w:val="21"/>
          <w:szCs w:val="21"/>
          <w:b/>
          <w:bCs/>
          <w:spacing w:val="14"/>
          <w:position w:val="31"/>
        </w:rPr>
        <w:t>第5章■云端数据管理</w:t>
      </w:r>
    </w:p>
    <w:p>
      <w:pPr>
        <w:ind w:left="684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7" w:lineRule="auto"/>
        <w:rPr>
          <w:rFonts w:ascii="Arial"/>
          <w:sz w:val="2"/>
        </w:rPr>
      </w:pPr>
      <w:r>
        <w:rPr>
          <w:rFonts w:ascii="Arial"/>
          <w:sz w:val="2"/>
        </w:rPr>
      </w:r>
    </w:p>
    <w:tbl>
      <w:tblPr>
        <w:tblStyle w:val="TableNormal"/>
        <w:tblW w:w="759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3"/>
        <w:gridCol w:w="1947"/>
        <w:gridCol w:w="2187"/>
        <w:gridCol w:w="2182"/>
      </w:tblGrid>
      <w:tr>
        <w:trPr>
          <w:trHeight w:val="314" w:hRule="atLeast"/>
        </w:trPr>
        <w:tc>
          <w:tcPr>
            <w:tcW w:w="1283" w:type="dxa"/>
            <w:vAlign w:val="top"/>
          </w:tcPr>
          <w:p>
            <w:pPr>
              <w:pStyle w:val="TableText"/>
              <w:ind w:left="334"/>
              <w:spacing w:before="81" w:line="220" w:lineRule="auto"/>
              <w:rPr/>
            </w:pPr>
            <w:r>
              <w:rPr>
                <w:spacing w:val="-18"/>
              </w:rPr>
              <w:t>目</w:t>
            </w:r>
            <w:r>
              <w:rPr>
                <w:spacing w:val="11"/>
              </w:rPr>
              <w:t xml:space="preserve">    </w:t>
            </w:r>
            <w:r>
              <w:rPr>
                <w:spacing w:val="-18"/>
              </w:rPr>
              <w:t>标</w:t>
            </w:r>
          </w:p>
        </w:tc>
        <w:tc>
          <w:tcPr>
            <w:tcW w:w="1947" w:type="dxa"/>
            <w:vAlign w:val="top"/>
          </w:tcPr>
          <w:p>
            <w:pPr>
              <w:pStyle w:val="TableText"/>
              <w:ind w:left="701"/>
              <w:spacing w:before="83" w:line="221" w:lineRule="auto"/>
              <w:rPr/>
            </w:pPr>
            <w:r>
              <w:rPr>
                <w:spacing w:val="-12"/>
              </w:rPr>
              <w:t>问</w:t>
            </w:r>
            <w:r>
              <w:rPr>
                <w:spacing w:val="10"/>
              </w:rPr>
              <w:t xml:space="preserve">   </w:t>
            </w:r>
            <w:r>
              <w:rPr>
                <w:spacing w:val="-12"/>
              </w:rPr>
              <w:t>题</w:t>
            </w:r>
          </w:p>
        </w:tc>
        <w:tc>
          <w:tcPr>
            <w:tcW w:w="2187" w:type="dxa"/>
            <w:vAlign w:val="top"/>
          </w:tcPr>
          <w:p>
            <w:pPr>
              <w:pStyle w:val="TableText"/>
              <w:ind w:left="714"/>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82" w:type="dxa"/>
            <w:vAlign w:val="top"/>
          </w:tcPr>
          <w:p>
            <w:pPr>
              <w:pStyle w:val="TableText"/>
              <w:ind w:left="707"/>
              <w:spacing w:before="81" w:line="219" w:lineRule="auto"/>
              <w:rPr/>
            </w:pPr>
            <w:r>
              <w:rPr>
                <w:spacing w:val="3"/>
              </w:rPr>
              <w:t>度量项说明</w:t>
            </w:r>
          </w:p>
        </w:tc>
      </w:tr>
      <w:tr>
        <w:trPr>
          <w:trHeight w:val="1407" w:hRule="atLeast"/>
        </w:trPr>
        <w:tc>
          <w:tcPr>
            <w:tcW w:w="1283" w:type="dxa"/>
            <w:vAlign w:val="top"/>
            <w:vMerge w:val="restart"/>
            <w:tcBorders>
              <w:bottom w:val="nil"/>
            </w:tcBorders>
          </w:tcPr>
          <w:p>
            <w:pPr>
              <w:spacing w:line="302" w:lineRule="auto"/>
              <w:rPr>
                <w:rFonts w:ascii="Arial"/>
                <w:sz w:val="21"/>
              </w:rPr>
            </w:pPr>
            <w:r/>
          </w:p>
          <w:p>
            <w:pPr>
              <w:spacing w:line="302" w:lineRule="auto"/>
              <w:rPr>
                <w:rFonts w:ascii="Arial"/>
                <w:sz w:val="21"/>
              </w:rPr>
            </w:pPr>
            <w:r/>
          </w:p>
          <w:p>
            <w:pPr>
              <w:pStyle w:val="TableText"/>
              <w:ind w:left="94" w:right="106" w:firstLine="120"/>
              <w:spacing w:before="48" w:line="325" w:lineRule="auto"/>
              <w:rPr/>
            </w:pPr>
            <w:r>
              <w:rPr>
                <w:spacing w:val="-1"/>
              </w:rPr>
              <w:t>G3:元数据库</w:t>
            </w:r>
            <w:r>
              <w:rPr/>
              <w:t xml:space="preserve">   </w:t>
            </w:r>
            <w:r>
              <w:rPr>
                <w:spacing w:val="2"/>
              </w:rPr>
              <w:t>的内容涵盖管理</w:t>
            </w:r>
            <w:r>
              <w:rPr/>
              <w:t xml:space="preserve"> </w:t>
            </w:r>
            <w:r>
              <w:rPr>
                <w:spacing w:val="3"/>
              </w:rPr>
              <w:t>下的数据资产的</w:t>
            </w:r>
            <w:r>
              <w:rPr/>
              <w:t xml:space="preserve"> </w:t>
            </w:r>
            <w:r>
              <w:rPr/>
              <w:t>所有相关类别与</w:t>
            </w:r>
            <w:r>
              <w:rPr>
                <w:spacing w:val="3"/>
              </w:rPr>
              <w:t xml:space="preserve"> </w:t>
            </w:r>
            <w:r>
              <w:rPr/>
              <w:t>级别，准确反映 </w:t>
            </w:r>
            <w:r>
              <w:rPr/>
              <w:t>组织已实施的数</w:t>
            </w:r>
            <w:r>
              <w:rPr>
                <w:spacing w:val="1"/>
              </w:rPr>
              <w:t xml:space="preserve"> </w:t>
            </w:r>
            <w:r>
              <w:rPr>
                <w:spacing w:val="-2"/>
              </w:rPr>
              <w:t>据层</w:t>
            </w:r>
          </w:p>
        </w:tc>
        <w:tc>
          <w:tcPr>
            <w:tcW w:w="1947" w:type="dxa"/>
            <w:vAlign w:val="top"/>
            <w:vMerge w:val="restart"/>
            <w:tcBorders>
              <w:bottom w:val="nil"/>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142" w:right="152" w:firstLine="109"/>
              <w:spacing w:before="48" w:line="282" w:lineRule="auto"/>
              <w:rPr/>
            </w:pPr>
            <w:r>
              <w:rPr>
                <w:spacing w:val="-1"/>
              </w:rPr>
              <w:t>Q6:被纳入元数据库的</w:t>
            </w:r>
            <w:r>
              <w:rPr>
                <w:spacing w:val="2"/>
              </w:rPr>
              <w:t xml:space="preserve">  </w:t>
            </w:r>
            <w:r>
              <w:rPr>
                <w:spacing w:val="-1"/>
              </w:rPr>
              <w:t>元数据范围是如何定义的</w:t>
            </w:r>
          </w:p>
        </w:tc>
        <w:tc>
          <w:tcPr>
            <w:tcW w:w="2187" w:type="dxa"/>
            <w:vAlign w:val="top"/>
          </w:tcPr>
          <w:p>
            <w:pPr>
              <w:spacing w:line="287" w:lineRule="auto"/>
              <w:rPr>
                <w:rFonts w:ascii="Arial"/>
                <w:sz w:val="21"/>
              </w:rPr>
            </w:pPr>
            <w:r/>
          </w:p>
          <w:p>
            <w:pPr>
              <w:spacing w:line="287" w:lineRule="auto"/>
              <w:rPr>
                <w:rFonts w:ascii="Arial"/>
                <w:sz w:val="21"/>
              </w:rPr>
            </w:pPr>
            <w:r/>
          </w:p>
          <w:p>
            <w:pPr>
              <w:pStyle w:val="TableText"/>
              <w:ind w:left="115"/>
              <w:spacing w:before="49" w:line="219" w:lineRule="auto"/>
              <w:rPr/>
            </w:pPr>
            <w:r>
              <w:rPr>
                <w:spacing w:val="-1"/>
              </w:rPr>
              <w:t>M15:元数据文档</w:t>
            </w:r>
          </w:p>
        </w:tc>
        <w:tc>
          <w:tcPr>
            <w:tcW w:w="2182" w:type="dxa"/>
            <w:vAlign w:val="top"/>
          </w:tcPr>
          <w:p>
            <w:pPr>
              <w:pStyle w:val="TableText"/>
              <w:ind w:left="257"/>
              <w:spacing w:before="77" w:line="219" w:lineRule="auto"/>
              <w:rPr/>
            </w:pPr>
            <w:r>
              <w:rPr>
                <w:spacing w:val="-1"/>
              </w:rPr>
              <w:t>组织应识别现存元数据的</w:t>
            </w:r>
          </w:p>
          <w:p>
            <w:pPr>
              <w:pStyle w:val="TableText"/>
              <w:ind w:left="108" w:right="120"/>
              <w:spacing w:before="110" w:line="289" w:lineRule="auto"/>
              <w:rPr/>
            </w:pPr>
            <w:r>
              <w:rPr>
                <w:spacing w:val="-1"/>
              </w:rPr>
              <w:t>来源，评估他们的完整性、类</w:t>
            </w:r>
            <w:r>
              <w:rPr>
                <w:spacing w:val="5"/>
              </w:rPr>
              <w:t xml:space="preserve"> </w:t>
            </w:r>
            <w:r>
              <w:rPr>
                <w:spacing w:val="-1"/>
              </w:rPr>
              <w:t>别以及属性，将其完善、整合</w:t>
            </w:r>
          </w:p>
          <w:p>
            <w:pPr>
              <w:pStyle w:val="TableText"/>
              <w:ind w:left="118" w:right="193" w:firstLine="69"/>
              <w:spacing w:before="101" w:line="282" w:lineRule="auto"/>
              <w:rPr/>
            </w:pPr>
            <w:r>
              <w:rPr>
                <w:spacing w:val="-1"/>
              </w:rPr>
              <w:t>到一个反映它们需求的聚合</w:t>
            </w:r>
            <w:r>
              <w:rPr>
                <w:spacing w:val="1"/>
              </w:rPr>
              <w:t xml:space="preserve"> </w:t>
            </w:r>
            <w:r>
              <w:rPr>
                <w:spacing w:val="4"/>
              </w:rPr>
              <w:t>元模型中</w:t>
            </w:r>
          </w:p>
        </w:tc>
      </w:tr>
      <w:tr>
        <w:trPr>
          <w:trHeight w:val="828" w:hRule="atLeast"/>
        </w:trPr>
        <w:tc>
          <w:tcPr>
            <w:tcW w:w="1283" w:type="dxa"/>
            <w:vAlign w:val="top"/>
            <w:vMerge w:val="continue"/>
            <w:tcBorders>
              <w:top w:val="nil"/>
              <w:bottom w:val="nil"/>
            </w:tcBorders>
          </w:tcPr>
          <w:p>
            <w:pPr>
              <w:rPr>
                <w:rFonts w:ascii="Arial"/>
                <w:sz w:val="21"/>
              </w:rPr>
            </w:pPr>
            <w:r/>
          </w:p>
        </w:tc>
        <w:tc>
          <w:tcPr>
            <w:tcW w:w="1947" w:type="dxa"/>
            <w:vAlign w:val="top"/>
            <w:vMerge w:val="continue"/>
            <w:tcBorders>
              <w:top w:val="nil"/>
              <w:bottom w:val="nil"/>
            </w:tcBorders>
          </w:tcPr>
          <w:p>
            <w:pPr>
              <w:rPr>
                <w:rFonts w:ascii="Arial"/>
                <w:sz w:val="21"/>
              </w:rPr>
            </w:pPr>
            <w:r/>
          </w:p>
        </w:tc>
        <w:tc>
          <w:tcPr>
            <w:tcW w:w="2187" w:type="dxa"/>
            <w:vAlign w:val="top"/>
          </w:tcPr>
          <w:p>
            <w:pPr>
              <w:pStyle w:val="TableText"/>
              <w:ind w:left="115" w:right="283" w:firstLine="129"/>
              <w:spacing w:before="219" w:line="282" w:lineRule="auto"/>
              <w:rPr/>
            </w:pPr>
            <w:r>
              <w:rPr>
                <w:spacing w:val="-1"/>
              </w:rPr>
              <w:t>M16:元数据文档记录了数</w:t>
            </w:r>
            <w:r>
              <w:rPr>
                <w:spacing w:val="10"/>
              </w:rPr>
              <w:t xml:space="preserve"> </w:t>
            </w:r>
            <w:r>
              <w:rPr>
                <w:spacing w:val="-2"/>
              </w:rPr>
              <w:t>据关联</w:t>
            </w:r>
          </w:p>
        </w:tc>
        <w:tc>
          <w:tcPr>
            <w:tcW w:w="2182" w:type="dxa"/>
            <w:vAlign w:val="top"/>
          </w:tcPr>
          <w:p>
            <w:pPr>
              <w:pStyle w:val="TableText"/>
              <w:ind w:left="188" w:right="109" w:firstLine="80"/>
              <w:spacing w:before="79" w:line="282" w:lineRule="auto"/>
              <w:rPr/>
            </w:pPr>
            <w:r>
              <w:rPr>
                <w:spacing w:val="-1"/>
              </w:rPr>
              <w:t>对业务元数据、技术元数据</w:t>
            </w:r>
            <w:r>
              <w:rPr>
                <w:spacing w:val="5"/>
              </w:rPr>
              <w:t xml:space="preserve"> </w:t>
            </w:r>
            <w:r>
              <w:rPr/>
              <w:t>以及操作元数据中的关键数</w:t>
            </w:r>
          </w:p>
          <w:p>
            <w:pPr>
              <w:pStyle w:val="TableText"/>
              <w:ind w:left="108"/>
              <w:spacing w:before="101" w:line="219" w:lineRule="auto"/>
              <w:rPr/>
            </w:pPr>
            <w:r>
              <w:rPr>
                <w:spacing w:val="-1"/>
              </w:rPr>
              <w:t>据集进行确认和相互关联</w:t>
            </w:r>
          </w:p>
        </w:tc>
      </w:tr>
      <w:tr>
        <w:trPr>
          <w:trHeight w:val="859" w:hRule="atLeast"/>
        </w:trPr>
        <w:tc>
          <w:tcPr>
            <w:tcW w:w="1283" w:type="dxa"/>
            <w:vAlign w:val="top"/>
            <w:vMerge w:val="continue"/>
            <w:tcBorders>
              <w:top w:val="nil"/>
            </w:tcBorders>
          </w:tcPr>
          <w:p>
            <w:pPr>
              <w:rPr>
                <w:rFonts w:ascii="Arial"/>
                <w:sz w:val="21"/>
              </w:rPr>
            </w:pPr>
            <w:r/>
          </w:p>
        </w:tc>
        <w:tc>
          <w:tcPr>
            <w:tcW w:w="1947" w:type="dxa"/>
            <w:vAlign w:val="top"/>
            <w:vMerge w:val="continue"/>
            <w:tcBorders>
              <w:top w:val="nil"/>
            </w:tcBorders>
          </w:tcPr>
          <w:p>
            <w:pPr>
              <w:rPr>
                <w:rFonts w:ascii="Arial"/>
                <w:sz w:val="21"/>
              </w:rPr>
            </w:pPr>
            <w:r/>
          </w:p>
        </w:tc>
        <w:tc>
          <w:tcPr>
            <w:tcW w:w="2187" w:type="dxa"/>
            <w:vAlign w:val="top"/>
          </w:tcPr>
          <w:p>
            <w:pPr>
              <w:pStyle w:val="TableText"/>
              <w:ind w:left="115" w:right="283" w:firstLine="129"/>
              <w:spacing w:before="232" w:line="277" w:lineRule="auto"/>
              <w:rPr/>
            </w:pPr>
            <w:r>
              <w:rPr>
                <w:spacing w:val="-1"/>
              </w:rPr>
              <w:t>M17:元数据管理模型完整</w:t>
            </w:r>
            <w:r>
              <w:rPr>
                <w:spacing w:val="10"/>
              </w:rPr>
              <w:t xml:space="preserve"> </w:t>
            </w:r>
            <w:r>
              <w:rPr/>
              <w:t>性</w:t>
            </w:r>
          </w:p>
        </w:tc>
        <w:tc>
          <w:tcPr>
            <w:tcW w:w="2182" w:type="dxa"/>
            <w:vAlign w:val="top"/>
          </w:tcPr>
          <w:p>
            <w:pPr>
              <w:pStyle w:val="TableText"/>
              <w:ind w:left="257"/>
              <w:spacing w:before="92" w:line="219" w:lineRule="auto"/>
              <w:rPr/>
            </w:pPr>
            <w:r>
              <w:rPr>
                <w:spacing w:val="-1"/>
              </w:rPr>
              <w:t>对于云端数据涉及的内外</w:t>
            </w:r>
          </w:p>
          <w:p>
            <w:pPr>
              <w:pStyle w:val="TableText"/>
              <w:ind w:left="118" w:right="121" w:hanging="10"/>
              <w:spacing w:before="101" w:line="282" w:lineRule="auto"/>
              <w:rPr/>
            </w:pPr>
            <w:r>
              <w:rPr>
                <w:spacing w:val="-1"/>
              </w:rPr>
              <w:t>部所有平台，需要采用统一的</w:t>
            </w:r>
            <w:r>
              <w:rPr>
                <w:spacing w:val="4"/>
              </w:rPr>
              <w:t xml:space="preserve"> </w:t>
            </w:r>
            <w:r>
              <w:rPr>
                <w:spacing w:val="-1"/>
              </w:rPr>
              <w:t>模型来规范和管理元数据</w:t>
            </w:r>
          </w:p>
        </w:tc>
      </w:tr>
      <w:tr>
        <w:trPr>
          <w:trHeight w:val="1961" w:hRule="atLeast"/>
        </w:trPr>
        <w:tc>
          <w:tcPr>
            <w:tcW w:w="1283" w:type="dxa"/>
            <w:vAlign w:val="top"/>
          </w:tcPr>
          <w:p>
            <w:pPr>
              <w:pStyle w:val="TableText"/>
              <w:ind w:left="94" w:right="108" w:firstLine="120"/>
              <w:spacing w:before="92" w:line="325" w:lineRule="auto"/>
              <w:rPr/>
            </w:pPr>
            <w:r>
              <w:rPr>
                <w:spacing w:val="-1"/>
              </w:rPr>
              <w:t>G4:将对组织  </w:t>
            </w:r>
            <w:r>
              <w:rPr/>
              <w:t>重要的内部标准</w:t>
            </w:r>
            <w:r>
              <w:rPr>
                <w:spacing w:val="2"/>
              </w:rPr>
              <w:t xml:space="preserve"> </w:t>
            </w:r>
            <w:r>
              <w:rPr>
                <w:spacing w:val="2"/>
              </w:rPr>
              <w:t>以及经选择的外</w:t>
            </w:r>
            <w:r>
              <w:rPr>
                <w:spacing w:val="4"/>
              </w:rPr>
              <w:t xml:space="preserve"> </w:t>
            </w:r>
            <w:r>
              <w:rPr/>
              <w:t>部标准纳入元数</w:t>
            </w:r>
            <w:r>
              <w:rPr>
                <w:spacing w:val="1"/>
              </w:rPr>
              <w:t xml:space="preserve"> </w:t>
            </w:r>
            <w:r>
              <w:rPr/>
              <w:t>据中，并与组织</w:t>
            </w:r>
            <w:r>
              <w:rPr>
                <w:spacing w:val="3"/>
              </w:rPr>
              <w:t xml:space="preserve"> </w:t>
            </w:r>
            <w:r>
              <w:rPr>
                <w:spacing w:val="2"/>
              </w:rPr>
              <w:t>的过程和标准保</w:t>
            </w:r>
            <w:r>
              <w:rPr/>
              <w:t xml:space="preserve"> </w:t>
            </w:r>
            <w:r>
              <w:rPr>
                <w:spacing w:val="-3"/>
              </w:rPr>
              <w:t>持一致</w:t>
            </w:r>
          </w:p>
        </w:tc>
        <w:tc>
          <w:tcPr>
            <w:tcW w:w="1947" w:type="dxa"/>
            <w:vAlign w:val="top"/>
          </w:tcPr>
          <w:p>
            <w:pPr>
              <w:spacing w:line="304" w:lineRule="auto"/>
              <w:rPr>
                <w:rFonts w:ascii="Arial"/>
                <w:sz w:val="21"/>
              </w:rPr>
            </w:pPr>
            <w:r/>
          </w:p>
          <w:p>
            <w:pPr>
              <w:spacing w:line="305" w:lineRule="auto"/>
              <w:rPr>
                <w:rFonts w:ascii="Arial"/>
                <w:sz w:val="21"/>
              </w:rPr>
            </w:pPr>
            <w:r/>
          </w:p>
          <w:p>
            <w:pPr>
              <w:pStyle w:val="TableText"/>
              <w:ind w:left="111" w:right="173" w:firstLine="140"/>
              <w:spacing w:before="49" w:line="295" w:lineRule="auto"/>
              <w:rPr/>
            </w:pPr>
            <w:r>
              <w:rPr>
                <w:spacing w:val="-1"/>
              </w:rPr>
              <w:t>Q7:元数据策略是否已</w:t>
            </w:r>
            <w:r>
              <w:rPr>
                <w:spacing w:val="2"/>
              </w:rPr>
              <w:t xml:space="preserve">  </w:t>
            </w:r>
            <w:r>
              <w:rPr>
                <w:spacing w:val="6"/>
              </w:rPr>
              <w:t>确定?与内部和经选择的</w:t>
            </w:r>
            <w:r>
              <w:rPr>
                <w:spacing w:val="9"/>
              </w:rPr>
              <w:t xml:space="preserve"> </w:t>
            </w:r>
            <w:r>
              <w:rPr>
                <w:spacing w:val="-2"/>
              </w:rPr>
              <w:t>外部标准是否一致</w:t>
            </w:r>
          </w:p>
        </w:tc>
        <w:tc>
          <w:tcPr>
            <w:tcW w:w="2187" w:type="dxa"/>
            <w:vAlign w:val="top"/>
          </w:tcPr>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pStyle w:val="TableText"/>
              <w:ind w:left="115"/>
              <w:spacing w:before="48" w:line="219" w:lineRule="auto"/>
              <w:rPr/>
            </w:pPr>
            <w:r>
              <w:rPr>
                <w:spacing w:val="-1"/>
              </w:rPr>
              <w:t>M18:改进计划</w:t>
            </w:r>
          </w:p>
        </w:tc>
        <w:tc>
          <w:tcPr>
            <w:tcW w:w="2182" w:type="dxa"/>
            <w:vAlign w:val="top"/>
          </w:tcPr>
          <w:p>
            <w:pPr>
              <w:spacing w:line="461" w:lineRule="auto"/>
              <w:rPr>
                <w:rFonts w:ascii="Arial"/>
                <w:sz w:val="21"/>
              </w:rPr>
            </w:pPr>
            <w:r/>
          </w:p>
          <w:p>
            <w:pPr>
              <w:pStyle w:val="TableText"/>
              <w:ind w:left="257"/>
              <w:spacing w:before="49" w:line="219" w:lineRule="auto"/>
              <w:rPr/>
            </w:pPr>
            <w:r>
              <w:rPr>
                <w:spacing w:val="-1"/>
              </w:rPr>
              <w:t>应在元数据策略中定义关</w:t>
            </w:r>
          </w:p>
          <w:p>
            <w:pPr>
              <w:pStyle w:val="TableText"/>
              <w:ind w:left="108"/>
              <w:spacing w:before="92" w:line="220" w:lineRule="auto"/>
              <w:rPr/>
            </w:pPr>
            <w:r>
              <w:rPr>
                <w:spacing w:val="-1"/>
              </w:rPr>
              <w:t>键的度量和要达成的目标，这</w:t>
            </w:r>
          </w:p>
          <w:p>
            <w:pPr>
              <w:pStyle w:val="TableText"/>
              <w:ind w:left="108" w:right="192" w:firstLine="80"/>
              <w:spacing w:before="90" w:line="282" w:lineRule="auto"/>
              <w:rPr/>
            </w:pPr>
            <w:r>
              <w:rPr>
                <w:spacing w:val="-1"/>
              </w:rPr>
              <w:t>些可以随着元数据资产的延</w:t>
            </w:r>
            <w:r>
              <w:rPr>
                <w:spacing w:val="2"/>
              </w:rPr>
              <w:t xml:space="preserve"> </w:t>
            </w:r>
            <w:r>
              <w:rPr>
                <w:spacing w:val="-1"/>
              </w:rPr>
              <w:t>伸和扩展得到进一步完善</w:t>
            </w:r>
          </w:p>
        </w:tc>
      </w:tr>
    </w:tbl>
    <w:p>
      <w:pPr>
        <w:ind w:left="438"/>
        <w:spacing w:before="207" w:line="491" w:lineRule="exact"/>
        <w:rPr>
          <w:rFonts w:ascii="YouYuan" w:hAnsi="YouYuan" w:eastAsia="YouYuan" w:cs="YouYuan"/>
          <w:sz w:val="21"/>
          <w:szCs w:val="21"/>
        </w:rPr>
      </w:pPr>
      <w:r>
        <w:rPr>
          <w:rFonts w:ascii="YouYuan" w:hAnsi="YouYuan" w:eastAsia="YouYuan" w:cs="YouYuan"/>
          <w:sz w:val="21"/>
          <w:szCs w:val="21"/>
          <w:b/>
          <w:bCs/>
          <w:spacing w:val="7"/>
          <w:position w:val="21"/>
        </w:rPr>
        <w:t>3.</w:t>
      </w:r>
      <w:r>
        <w:rPr>
          <w:rFonts w:ascii="YouYuan" w:hAnsi="YouYuan" w:eastAsia="YouYuan" w:cs="YouYuan"/>
          <w:sz w:val="21"/>
          <w:szCs w:val="21"/>
          <w:spacing w:val="7"/>
          <w:position w:val="21"/>
        </w:rPr>
        <w:t xml:space="preserve"> </w:t>
      </w:r>
      <w:r>
        <w:rPr>
          <w:rFonts w:ascii="YouYuan" w:hAnsi="YouYuan" w:eastAsia="YouYuan" w:cs="YouYuan"/>
          <w:sz w:val="21"/>
          <w:szCs w:val="21"/>
          <w:b/>
          <w:bCs/>
          <w:spacing w:val="7"/>
          <w:position w:val="21"/>
        </w:rPr>
        <w:t>成熟度等级介绍</w:t>
      </w:r>
    </w:p>
    <w:p>
      <w:pPr>
        <w:ind w:left="435"/>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8"/>
        </w:rPr>
        <w:t xml:space="preserve">  </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b/>
          <w:bCs/>
          <w:spacing w:val="42"/>
          <w:w w:val="101"/>
        </w:rPr>
        <w:t xml:space="preserve"> </w:t>
      </w:r>
      <w:r>
        <w:rPr>
          <w:rFonts w:ascii="SimHei" w:hAnsi="SimHei" w:eastAsia="SimHei" w:cs="SimHei"/>
          <w:sz w:val="21"/>
          <w:szCs w:val="21"/>
          <w:b/>
          <w:bCs/>
          <w:spacing w:val="-3"/>
        </w:rPr>
        <w:t>初始级</w:t>
      </w:r>
    </w:p>
    <w:p>
      <w:pPr>
        <w:spacing w:line="130" w:lineRule="exact"/>
        <w:rPr/>
      </w:pPr>
      <w:r/>
    </w:p>
    <w:tbl>
      <w:tblPr>
        <w:tblStyle w:val="TableNormal"/>
        <w:tblW w:w="7599"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13"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17" w:hRule="atLeast"/>
        </w:trPr>
        <w:tc>
          <w:tcPr>
            <w:tcW w:w="724" w:type="dxa"/>
            <w:vAlign w:val="top"/>
          </w:tcPr>
          <w:p>
            <w:pPr>
              <w:spacing w:line="464" w:lineRule="auto"/>
              <w:rPr>
                <w:rFonts w:ascii="Arial"/>
                <w:sz w:val="21"/>
              </w:rPr>
            </w:pPr>
            <w:r/>
          </w:p>
          <w:p>
            <w:pPr>
              <w:pStyle w:val="TableText"/>
              <w:ind w:left="235"/>
              <w:spacing w:before="52" w:line="184" w:lineRule="auto"/>
              <w:rPr>
                <w:sz w:val="16"/>
                <w:szCs w:val="16"/>
              </w:rPr>
            </w:pPr>
            <w:r>
              <w:rPr>
                <w:sz w:val="16"/>
                <w:szCs w:val="16"/>
                <w:spacing w:val="-5"/>
              </w:rPr>
              <w:t>1.1</w:t>
            </w:r>
          </w:p>
        </w:tc>
        <w:tc>
          <w:tcPr>
            <w:tcW w:w="3125" w:type="dxa"/>
            <w:vAlign w:val="top"/>
          </w:tcPr>
          <w:p>
            <w:pPr>
              <w:spacing w:line="424" w:lineRule="auto"/>
              <w:rPr>
                <w:rFonts w:ascii="Arial"/>
                <w:sz w:val="21"/>
              </w:rPr>
            </w:pPr>
            <w:r/>
          </w:p>
          <w:p>
            <w:pPr>
              <w:pStyle w:val="TableText"/>
              <w:ind w:left="271"/>
              <w:spacing w:before="52" w:line="219" w:lineRule="auto"/>
              <w:rPr>
                <w:sz w:val="16"/>
                <w:szCs w:val="16"/>
              </w:rPr>
            </w:pPr>
            <w:r>
              <w:rPr>
                <w:sz w:val="16"/>
                <w:szCs w:val="16"/>
                <w:spacing w:val="-1"/>
              </w:rPr>
              <w:t>生成、储存可获取的元数据文档</w:t>
            </w:r>
          </w:p>
        </w:tc>
        <w:tc>
          <w:tcPr>
            <w:tcW w:w="3750" w:type="dxa"/>
            <w:vAlign w:val="top"/>
          </w:tcPr>
          <w:p>
            <w:pPr>
              <w:pStyle w:val="TableText"/>
              <w:ind w:left="266"/>
              <w:spacing w:before="88" w:line="219" w:lineRule="auto"/>
              <w:rPr>
                <w:sz w:val="16"/>
                <w:szCs w:val="16"/>
              </w:rPr>
            </w:pPr>
            <w:r>
              <w:rPr>
                <w:sz w:val="16"/>
                <w:szCs w:val="16"/>
              </w:rPr>
              <w:t>●云端数据资产清单</w:t>
            </w:r>
          </w:p>
          <w:p>
            <w:pPr>
              <w:pStyle w:val="TableText"/>
              <w:ind w:left="266"/>
              <w:spacing w:before="80" w:line="219" w:lineRule="auto"/>
              <w:rPr>
                <w:sz w:val="16"/>
                <w:szCs w:val="16"/>
              </w:rPr>
            </w:pPr>
            <w:r>
              <w:rPr>
                <w:sz w:val="16"/>
                <w:szCs w:val="16"/>
                <w:spacing w:val="1"/>
              </w:rPr>
              <w:t>●业务词汇表</w:t>
            </w:r>
          </w:p>
          <w:p>
            <w:pPr>
              <w:pStyle w:val="TableText"/>
              <w:ind w:left="266"/>
              <w:spacing w:before="80" w:line="219" w:lineRule="auto"/>
              <w:rPr>
                <w:sz w:val="16"/>
                <w:szCs w:val="16"/>
              </w:rPr>
            </w:pPr>
            <w:r>
              <w:rPr>
                <w:sz w:val="16"/>
                <w:szCs w:val="16"/>
                <w:spacing w:val="2"/>
              </w:rPr>
              <w:t>●元数据库</w:t>
            </w:r>
          </w:p>
          <w:p>
            <w:pPr>
              <w:pStyle w:val="TableText"/>
              <w:ind w:left="266"/>
              <w:spacing w:before="99" w:line="218" w:lineRule="auto"/>
              <w:rPr>
                <w:sz w:val="16"/>
                <w:szCs w:val="16"/>
              </w:rPr>
            </w:pPr>
            <w:r>
              <w:rPr>
                <w:sz w:val="16"/>
                <w:szCs w:val="16"/>
              </w:rPr>
              <w:t>●文档化的元数据列表</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34" w:right="210" w:firstLine="400"/>
        <w:spacing w:before="72" w:line="259" w:lineRule="auto"/>
        <w:rPr>
          <w:rFonts w:ascii="SimSun" w:hAnsi="SimSun" w:eastAsia="SimSun" w:cs="SimSun"/>
          <w:sz w:val="21"/>
          <w:szCs w:val="21"/>
        </w:rPr>
      </w:pPr>
      <w:r>
        <w:rPr>
          <w:rFonts w:ascii="SimSun" w:hAnsi="SimSun" w:eastAsia="SimSun" w:cs="SimSun"/>
          <w:sz w:val="21"/>
          <w:szCs w:val="21"/>
          <w:spacing w:val="2"/>
        </w:rPr>
        <w:t>组织通常会在多个位置根据数据的不同用途对数据资产信息进行维护。可在数</w:t>
      </w:r>
      <w:r>
        <w:rPr>
          <w:rFonts w:ascii="SimSun" w:hAnsi="SimSun" w:eastAsia="SimSun" w:cs="SimSun"/>
          <w:sz w:val="21"/>
          <w:szCs w:val="21"/>
          <w:spacing w:val="10"/>
        </w:rPr>
        <w:t xml:space="preserve"> </w:t>
      </w:r>
      <w:r>
        <w:rPr>
          <w:rFonts w:ascii="SimSun" w:hAnsi="SimSun" w:eastAsia="SimSun" w:cs="SimSun"/>
          <w:sz w:val="21"/>
          <w:szCs w:val="21"/>
          <w:spacing w:val="2"/>
        </w:rPr>
        <w:t>据模型、项目文档和操作文档或业务词汇表中获取、储</w:t>
      </w:r>
      <w:r>
        <w:rPr>
          <w:rFonts w:ascii="SimSun" w:hAnsi="SimSun" w:eastAsia="SimSun" w:cs="SimSun"/>
          <w:sz w:val="21"/>
          <w:szCs w:val="21"/>
          <w:spacing w:val="1"/>
        </w:rPr>
        <w:t>存元数据。这些来源组合在</w:t>
      </w:r>
      <w:r>
        <w:rPr>
          <w:rFonts w:ascii="SimSun" w:hAnsi="SimSun" w:eastAsia="SimSun" w:cs="SimSun"/>
          <w:sz w:val="21"/>
          <w:szCs w:val="21"/>
        </w:rPr>
        <w:t xml:space="preserve"> </w:t>
      </w:r>
      <w:r>
        <w:rPr>
          <w:rFonts w:ascii="SimSun" w:hAnsi="SimSun" w:eastAsia="SimSun" w:cs="SimSun"/>
          <w:sz w:val="21"/>
          <w:szCs w:val="21"/>
          <w:spacing w:val="1"/>
        </w:rPr>
        <w:t>一起构成了虚拟的元数据库。组织应识别现存元数据的</w:t>
      </w:r>
      <w:r>
        <w:rPr>
          <w:rFonts w:ascii="SimSun" w:hAnsi="SimSun" w:eastAsia="SimSun" w:cs="SimSun"/>
          <w:sz w:val="21"/>
          <w:szCs w:val="21"/>
        </w:rPr>
        <w:t>来源，评估他们的完整性、 </w:t>
      </w:r>
      <w:r>
        <w:rPr>
          <w:rFonts w:ascii="SimSun" w:hAnsi="SimSun" w:eastAsia="SimSun" w:cs="SimSun"/>
          <w:sz w:val="21"/>
          <w:szCs w:val="21"/>
          <w:spacing w:val="-1"/>
        </w:rPr>
        <w:t>类别以及属性，将其完善、整合到一个反映它们需求的聚合元模型中。</w:t>
      </w:r>
    </w:p>
    <w:p>
      <w:pPr>
        <w:ind w:left="34" w:right="207" w:firstLine="400"/>
        <w:spacing w:before="70" w:line="246" w:lineRule="auto"/>
        <w:rPr>
          <w:rFonts w:ascii="SimSun" w:hAnsi="SimSun" w:eastAsia="SimSun" w:cs="SimSun"/>
          <w:sz w:val="21"/>
          <w:szCs w:val="21"/>
        </w:rPr>
      </w:pPr>
      <w:r>
        <w:rPr>
          <w:rFonts w:ascii="SimSun" w:hAnsi="SimSun" w:eastAsia="SimSun" w:cs="SimSun"/>
          <w:sz w:val="21"/>
          <w:szCs w:val="21"/>
          <w:spacing w:val="2"/>
        </w:rPr>
        <w:t>基于数据模型的来源，其作为可使用的现存元数据资产的例子，通常包含以下</w:t>
      </w:r>
      <w:r>
        <w:rPr>
          <w:rFonts w:ascii="SimSun" w:hAnsi="SimSun" w:eastAsia="SimSun" w:cs="SimSun"/>
          <w:sz w:val="21"/>
          <w:szCs w:val="21"/>
          <w:spacing w:val="14"/>
        </w:rPr>
        <w:t xml:space="preserve"> </w:t>
      </w:r>
      <w:r>
        <w:rPr>
          <w:rFonts w:ascii="SimSun" w:hAnsi="SimSun" w:eastAsia="SimSun" w:cs="SimSun"/>
          <w:sz w:val="21"/>
          <w:szCs w:val="21"/>
          <w:spacing w:val="-15"/>
        </w:rPr>
        <w:t>内容。</w:t>
      </w:r>
    </w:p>
    <w:p>
      <w:pPr>
        <w:ind w:left="435"/>
        <w:spacing w:before="61" w:line="219" w:lineRule="auto"/>
        <w:rPr>
          <w:rFonts w:ascii="SimSun" w:hAnsi="SimSun" w:eastAsia="SimSun" w:cs="SimSun"/>
          <w:sz w:val="21"/>
          <w:szCs w:val="21"/>
        </w:rPr>
      </w:pPr>
      <w:r>
        <w:rPr>
          <w:rFonts w:ascii="SimSun" w:hAnsi="SimSun" w:eastAsia="SimSun" w:cs="SimSun"/>
          <w:sz w:val="21"/>
          <w:szCs w:val="21"/>
          <w:spacing w:val="2"/>
        </w:rPr>
        <w:t>●实体类型名称</w:t>
      </w:r>
    </w:p>
    <w:p>
      <w:pPr>
        <w:ind w:left="435"/>
        <w:spacing w:before="72" w:line="221" w:lineRule="auto"/>
        <w:rPr>
          <w:rFonts w:ascii="SimSun" w:hAnsi="SimSun" w:eastAsia="SimSun" w:cs="SimSun"/>
          <w:sz w:val="21"/>
          <w:szCs w:val="21"/>
        </w:rPr>
      </w:pPr>
      <w:r>
        <w:rPr>
          <w:rFonts w:ascii="SimSun" w:hAnsi="SimSun" w:eastAsia="SimSun" w:cs="SimSun"/>
          <w:sz w:val="21"/>
          <w:szCs w:val="21"/>
          <w:spacing w:val="6"/>
        </w:rPr>
        <w:t>●属性名称</w:t>
      </w:r>
    </w:p>
    <w:p>
      <w:pPr>
        <w:spacing w:line="221" w:lineRule="auto"/>
        <w:sectPr>
          <w:footerReference w:type="default" r:id="rId210"/>
          <w:pgSz w:w="8870" w:h="13400"/>
          <w:pgMar w:top="400" w:right="388" w:bottom="528" w:left="615" w:header="0" w:footer="319" w:gutter="0"/>
        </w:sectPr>
        <w:rPr>
          <w:rFonts w:ascii="SimSun" w:hAnsi="SimSun" w:eastAsia="SimSun" w:cs="SimSun"/>
          <w:sz w:val="21"/>
          <w:szCs w:val="21"/>
        </w:rPr>
      </w:pPr>
    </w:p>
    <w:p>
      <w:pPr>
        <w:ind w:left="99"/>
        <w:spacing w:before="19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8637"/>
            <wp:effectExtent l="0" t="0" r="0" b="0"/>
            <wp:docPr id="158" name="IM 158"/>
            <wp:cNvGraphicFramePr/>
            <a:graphic>
              <a:graphicData uri="http://schemas.openxmlformats.org/drawingml/2006/picture">
                <pic:pic>
                  <pic:nvPicPr>
                    <pic:cNvPr id="158" name="IM 158"/>
                    <pic:cNvPicPr/>
                  </pic:nvPicPr>
                  <pic:blipFill>
                    <a:blip r:embed="rId212"/>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ind w:left="660" w:right="6133"/>
        <w:spacing w:before="288" w:line="237" w:lineRule="auto"/>
        <w:rPr>
          <w:rFonts w:ascii="SimSun" w:hAnsi="SimSun" w:eastAsia="SimSun" w:cs="SimSun"/>
          <w:sz w:val="22"/>
          <w:szCs w:val="22"/>
        </w:rPr>
      </w:pPr>
      <w:r>
        <w:rPr>
          <w:rFonts w:ascii="SimSun" w:hAnsi="SimSun" w:eastAsia="SimSun" w:cs="SimSun"/>
          <w:sz w:val="22"/>
          <w:szCs w:val="22"/>
          <w:spacing w:val="2"/>
        </w:rPr>
        <w:t>●表格名称</w:t>
      </w:r>
      <w:r>
        <w:rPr>
          <w:rFonts w:ascii="SimSun" w:hAnsi="SimSun" w:eastAsia="SimSun" w:cs="SimSun"/>
          <w:sz w:val="22"/>
          <w:szCs w:val="22"/>
        </w:rPr>
        <w:t xml:space="preserve"> </w:t>
      </w:r>
      <w:r>
        <w:rPr>
          <w:rFonts w:ascii="SimSun" w:hAnsi="SimSun" w:eastAsia="SimSun" w:cs="SimSun"/>
          <w:sz w:val="22"/>
          <w:szCs w:val="22"/>
          <w:spacing w:val="-5"/>
        </w:rPr>
        <w:t>●</w:t>
      </w:r>
      <w:r>
        <w:rPr>
          <w:rFonts w:ascii="SimSun" w:hAnsi="SimSun" w:eastAsia="SimSun" w:cs="SimSun"/>
          <w:sz w:val="22"/>
          <w:szCs w:val="22"/>
          <w:spacing w:val="-68"/>
        </w:rPr>
        <w:t xml:space="preserve"> </w:t>
      </w:r>
      <w:r>
        <w:rPr>
          <w:rFonts w:ascii="SimSun" w:hAnsi="SimSun" w:eastAsia="SimSun" w:cs="SimSun"/>
          <w:sz w:val="22"/>
          <w:szCs w:val="22"/>
          <w:spacing w:val="-5"/>
        </w:rPr>
        <w:t>列名</w:t>
      </w:r>
    </w:p>
    <w:p>
      <w:pPr>
        <w:ind w:left="660" w:right="6130"/>
        <w:spacing w:before="56"/>
        <w:rPr>
          <w:rFonts w:ascii="SimSun" w:hAnsi="SimSun" w:eastAsia="SimSun" w:cs="SimSun"/>
          <w:sz w:val="22"/>
          <w:szCs w:val="22"/>
        </w:rPr>
      </w:pPr>
      <w:r>
        <w:rPr>
          <w:rFonts w:ascii="SimSun" w:hAnsi="SimSun" w:eastAsia="SimSun" w:cs="SimSun"/>
          <w:sz w:val="22"/>
          <w:szCs w:val="22"/>
          <w:spacing w:val="2"/>
        </w:rPr>
        <w:t>●数据类型</w:t>
      </w:r>
      <w:r>
        <w:rPr>
          <w:rFonts w:ascii="SimSun" w:hAnsi="SimSun" w:eastAsia="SimSun" w:cs="SimSun"/>
          <w:sz w:val="22"/>
          <w:szCs w:val="22"/>
          <w:spacing w:val="3"/>
        </w:rPr>
        <w:t xml:space="preserve"> </w:t>
      </w:r>
      <w:r>
        <w:rPr>
          <w:rFonts w:ascii="SimSun" w:hAnsi="SimSun" w:eastAsia="SimSun" w:cs="SimSun"/>
          <w:sz w:val="22"/>
          <w:szCs w:val="22"/>
          <w:spacing w:val="4"/>
        </w:rPr>
        <w:t>●长度</w:t>
      </w:r>
    </w:p>
    <w:p>
      <w:pPr>
        <w:ind w:left="660"/>
        <w:spacing w:before="46" w:line="310" w:lineRule="exact"/>
        <w:rPr>
          <w:rFonts w:ascii="SimSun" w:hAnsi="SimSun" w:eastAsia="SimSun" w:cs="SimSun"/>
          <w:sz w:val="22"/>
          <w:szCs w:val="22"/>
        </w:rPr>
      </w:pPr>
      <w:r>
        <w:rPr>
          <w:rFonts w:ascii="SimSun" w:hAnsi="SimSun" w:eastAsia="SimSun" w:cs="SimSun"/>
          <w:sz w:val="22"/>
          <w:szCs w:val="22"/>
          <w:spacing w:val="4"/>
          <w:position w:val="6"/>
        </w:rPr>
        <w:t>●容许值</w:t>
      </w:r>
    </w:p>
    <w:p>
      <w:pPr>
        <w:ind w:left="660"/>
        <w:spacing w:line="218" w:lineRule="auto"/>
        <w:rPr>
          <w:rFonts w:ascii="SimSun" w:hAnsi="SimSun" w:eastAsia="SimSun" w:cs="SimSun"/>
          <w:sz w:val="22"/>
          <w:szCs w:val="22"/>
        </w:rPr>
      </w:pPr>
      <w:r>
        <w:rPr>
          <w:rFonts w:ascii="SimSun" w:hAnsi="SimSun" w:eastAsia="SimSun" w:cs="SimSun"/>
          <w:sz w:val="22"/>
          <w:szCs w:val="22"/>
          <w:spacing w:val="4"/>
        </w:rPr>
        <w:t>●默认值</w:t>
      </w:r>
    </w:p>
    <w:p>
      <w:pPr>
        <w:ind w:left="660"/>
        <w:spacing w:before="71" w:line="220" w:lineRule="auto"/>
        <w:rPr>
          <w:rFonts w:ascii="SimSun" w:hAnsi="SimSun" w:eastAsia="SimSun" w:cs="SimSun"/>
          <w:sz w:val="22"/>
          <w:szCs w:val="22"/>
        </w:rPr>
      </w:pPr>
      <w:r>
        <w:rPr>
          <w:rFonts w:ascii="SimSun" w:hAnsi="SimSun" w:eastAsia="SimSun" w:cs="SimSun"/>
          <w:sz w:val="22"/>
          <w:szCs w:val="22"/>
          <w:spacing w:val="-7"/>
        </w:rPr>
        <w:t>●指定/可选指示器</w:t>
      </w:r>
    </w:p>
    <w:p>
      <w:pPr>
        <w:ind w:left="660"/>
        <w:spacing w:before="37" w:line="219" w:lineRule="auto"/>
        <w:rPr>
          <w:rFonts w:ascii="SimSun" w:hAnsi="SimSun" w:eastAsia="SimSun" w:cs="SimSun"/>
          <w:sz w:val="22"/>
          <w:szCs w:val="22"/>
        </w:rPr>
      </w:pPr>
      <w:r>
        <w:rPr>
          <w:rFonts w:ascii="SimSun" w:hAnsi="SimSun" w:eastAsia="SimSun" w:cs="SimSun"/>
          <w:sz w:val="22"/>
          <w:szCs w:val="22"/>
          <w:spacing w:val="-7"/>
        </w:rPr>
        <w:t>●实体类型、属性、表格、列的数据定义</w:t>
      </w:r>
    </w:p>
    <w:p>
      <w:pPr>
        <w:ind w:left="660"/>
        <w:spacing w:before="44"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5"/>
        </w:rPr>
        <w:t>管理级</w:t>
      </w:r>
    </w:p>
    <w:p>
      <w:pPr>
        <w:spacing w:line="127" w:lineRule="exact"/>
        <w:rPr/>
      </w:pPr>
      <w:r/>
    </w:p>
    <w:tbl>
      <w:tblPr>
        <w:tblStyle w:val="TableNormal"/>
        <w:tblW w:w="758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40"/>
      </w:tblGrid>
      <w:tr>
        <w:trPr>
          <w:trHeight w:val="32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24" w:type="dxa"/>
            <w:vAlign w:val="top"/>
          </w:tcPr>
          <w:p>
            <w:pPr>
              <w:spacing w:line="326" w:lineRule="auto"/>
              <w:rPr>
                <w:rFonts w:ascii="Arial"/>
                <w:sz w:val="21"/>
              </w:rPr>
            </w:pPr>
            <w:r/>
          </w:p>
          <w:p>
            <w:pPr>
              <w:pStyle w:val="TableText"/>
              <w:ind w:left="235"/>
              <w:spacing w:before="52" w:line="184" w:lineRule="auto"/>
              <w:rPr>
                <w:sz w:val="16"/>
                <w:szCs w:val="16"/>
              </w:rPr>
            </w:pPr>
            <w:r>
              <w:rPr>
                <w:sz w:val="16"/>
                <w:szCs w:val="16"/>
                <w:spacing w:val="-2"/>
              </w:rPr>
              <w:t>2.1</w:t>
            </w:r>
          </w:p>
        </w:tc>
        <w:tc>
          <w:tcPr>
            <w:tcW w:w="3125" w:type="dxa"/>
            <w:vAlign w:val="top"/>
          </w:tcPr>
          <w:p>
            <w:pPr>
              <w:spacing w:line="285" w:lineRule="auto"/>
              <w:rPr>
                <w:rFonts w:ascii="Arial"/>
                <w:sz w:val="21"/>
              </w:rPr>
            </w:pPr>
            <w:r/>
          </w:p>
          <w:p>
            <w:pPr>
              <w:pStyle w:val="TableText"/>
              <w:ind w:left="271"/>
              <w:spacing w:before="52" w:line="219" w:lineRule="auto"/>
              <w:rPr>
                <w:sz w:val="16"/>
                <w:szCs w:val="16"/>
              </w:rPr>
            </w:pPr>
            <w:r>
              <w:rPr>
                <w:sz w:val="16"/>
                <w:szCs w:val="16"/>
                <w:spacing w:val="-1"/>
              </w:rPr>
              <w:t>建立并执行元数据管理过程</w:t>
            </w:r>
          </w:p>
        </w:tc>
        <w:tc>
          <w:tcPr>
            <w:tcW w:w="3740" w:type="dxa"/>
            <w:vAlign w:val="top"/>
          </w:tcPr>
          <w:p>
            <w:pPr>
              <w:pStyle w:val="TableText"/>
              <w:ind w:left="265"/>
              <w:spacing w:before="79" w:line="219" w:lineRule="auto"/>
              <w:rPr>
                <w:sz w:val="16"/>
                <w:szCs w:val="16"/>
              </w:rPr>
            </w:pPr>
            <w:r>
              <w:rPr>
                <w:sz w:val="16"/>
                <w:szCs w:val="16"/>
              </w:rPr>
              <w:t>●元数据生命周期管理程序</w:t>
            </w:r>
          </w:p>
          <w:p>
            <w:pPr>
              <w:pStyle w:val="TableText"/>
              <w:ind w:left="265"/>
              <w:spacing w:before="89" w:line="219" w:lineRule="auto"/>
              <w:rPr>
                <w:sz w:val="16"/>
                <w:szCs w:val="16"/>
              </w:rPr>
            </w:pPr>
            <w:r>
              <w:rPr>
                <w:sz w:val="16"/>
                <w:szCs w:val="16"/>
              </w:rPr>
              <w:t>●元数据角色和分工</w:t>
            </w:r>
          </w:p>
          <w:p>
            <w:pPr>
              <w:pStyle w:val="TableText"/>
              <w:ind w:left="265"/>
              <w:spacing w:before="80" w:line="218" w:lineRule="auto"/>
              <w:rPr>
                <w:sz w:val="16"/>
                <w:szCs w:val="16"/>
              </w:rPr>
            </w:pPr>
            <w:r>
              <w:rPr>
                <w:sz w:val="16"/>
                <w:szCs w:val="16"/>
                <w:spacing w:val="1"/>
              </w:rPr>
              <w:t>●元数据规划程序</w:t>
            </w:r>
          </w:p>
        </w:tc>
      </w:tr>
    </w:tbl>
    <w:p>
      <w:pPr>
        <w:ind w:left="550"/>
        <w:spacing w:before="194" w:line="219" w:lineRule="auto"/>
        <w:rPr>
          <w:rFonts w:ascii="SimSun" w:hAnsi="SimSun" w:eastAsia="SimSun" w:cs="SimSun"/>
          <w:sz w:val="22"/>
          <w:szCs w:val="22"/>
        </w:rPr>
      </w:pPr>
      <w:r>
        <w:rPr>
          <w:rFonts w:ascii="SimSun" w:hAnsi="SimSun" w:eastAsia="SimSun" w:cs="SimSun"/>
          <w:sz w:val="22"/>
          <w:szCs w:val="22"/>
          <w:spacing w:val="-4"/>
        </w:rPr>
        <w:t>【成熟度等级说明】</w:t>
      </w:r>
    </w:p>
    <w:p>
      <w:pPr>
        <w:ind w:left="270" w:right="32" w:firstLine="390"/>
        <w:spacing w:before="40" w:line="252" w:lineRule="auto"/>
        <w:rPr>
          <w:rFonts w:ascii="SimSun" w:hAnsi="SimSun" w:eastAsia="SimSun" w:cs="SimSun"/>
          <w:sz w:val="22"/>
          <w:szCs w:val="22"/>
        </w:rPr>
      </w:pPr>
      <w:r>
        <w:rPr>
          <w:rFonts w:ascii="SimSun" w:hAnsi="SimSun" w:eastAsia="SimSun" w:cs="SimSun"/>
          <w:sz w:val="22"/>
          <w:szCs w:val="22"/>
          <w:spacing w:val="-2"/>
        </w:rPr>
        <w:t>在元数据的生命周期中(即创建、更新以及删除)定义一个标准过程能使组织</w:t>
      </w:r>
      <w:r>
        <w:rPr>
          <w:rFonts w:ascii="SimSun" w:hAnsi="SimSun" w:eastAsia="SimSun" w:cs="SimSun"/>
          <w:sz w:val="22"/>
          <w:szCs w:val="22"/>
          <w:spacing w:val="18"/>
        </w:rPr>
        <w:t xml:space="preserve"> </w:t>
      </w:r>
      <w:r>
        <w:rPr>
          <w:rFonts w:ascii="SimSun" w:hAnsi="SimSun" w:eastAsia="SimSun" w:cs="SimSun"/>
          <w:sz w:val="22"/>
          <w:szCs w:val="22"/>
          <w:spacing w:val="-10"/>
        </w:rPr>
        <w:t>获益，该过程用于执行主要的步骤，通常涉及以下内容。</w:t>
      </w:r>
    </w:p>
    <w:p>
      <w:pPr>
        <w:ind w:left="660"/>
        <w:spacing w:before="36" w:line="242" w:lineRule="auto"/>
        <w:rPr>
          <w:rFonts w:ascii="SimSun" w:hAnsi="SimSun" w:eastAsia="SimSun" w:cs="SimSun"/>
          <w:sz w:val="22"/>
          <w:szCs w:val="22"/>
        </w:rPr>
      </w:pPr>
      <w:r>
        <w:rPr>
          <w:rFonts w:ascii="STXingkai" w:hAnsi="STXingkai" w:eastAsia="STXingkai" w:cs="STXingkai"/>
          <w:sz w:val="22"/>
          <w:szCs w:val="22"/>
          <w:spacing w:val="-15"/>
        </w:rPr>
        <w:t>●</w:t>
      </w:r>
      <w:r>
        <w:rPr>
          <w:rFonts w:ascii="STXingkai" w:hAnsi="STXingkai" w:eastAsia="STXingkai" w:cs="STXingkai"/>
          <w:sz w:val="22"/>
          <w:szCs w:val="22"/>
          <w:spacing w:val="40"/>
          <w:w w:val="101"/>
        </w:rPr>
        <w:t xml:space="preserve"> </w:t>
      </w:r>
      <w:r>
        <w:rPr>
          <w:rFonts w:ascii="SimSun" w:hAnsi="SimSun" w:eastAsia="SimSun" w:cs="SimSun"/>
          <w:sz w:val="22"/>
          <w:szCs w:val="22"/>
          <w:spacing w:val="-15"/>
        </w:rPr>
        <w:t>识别内部相关者及他们的角色；</w:t>
      </w:r>
    </w:p>
    <w:p>
      <w:pPr>
        <w:ind w:left="660"/>
        <w:spacing w:line="219" w:lineRule="auto"/>
        <w:rPr>
          <w:rFonts w:ascii="SimSun" w:hAnsi="SimSun" w:eastAsia="SimSun" w:cs="SimSun"/>
          <w:sz w:val="22"/>
          <w:szCs w:val="22"/>
        </w:rPr>
      </w:pPr>
      <w:r>
        <w:rPr>
          <w:rFonts w:ascii="SimSun" w:hAnsi="SimSun" w:eastAsia="SimSun" w:cs="SimSun"/>
          <w:sz w:val="22"/>
          <w:szCs w:val="22"/>
          <w:spacing w:val="-7"/>
        </w:rPr>
        <w:t>●经业务批准的数据概念的定义；</w:t>
      </w:r>
    </w:p>
    <w:p>
      <w:pPr>
        <w:ind w:left="660"/>
        <w:spacing w:before="49" w:line="219" w:lineRule="auto"/>
        <w:rPr>
          <w:rFonts w:ascii="SimSun" w:hAnsi="SimSun" w:eastAsia="SimSun" w:cs="SimSun"/>
          <w:sz w:val="22"/>
          <w:szCs w:val="22"/>
        </w:rPr>
      </w:pPr>
      <w:r>
        <w:rPr>
          <w:rFonts w:ascii="SimSun" w:hAnsi="SimSun" w:eastAsia="SimSun" w:cs="SimSun"/>
          <w:sz w:val="22"/>
          <w:szCs w:val="22"/>
          <w:spacing w:val="-9"/>
        </w:rPr>
        <w:t>●决定所需的元数据组件及类别；</w:t>
      </w:r>
    </w:p>
    <w:p>
      <w:pPr>
        <w:ind w:left="660"/>
        <w:spacing w:before="39" w:line="219" w:lineRule="auto"/>
        <w:rPr>
          <w:rFonts w:ascii="SimSun" w:hAnsi="SimSun" w:eastAsia="SimSun" w:cs="SimSun"/>
          <w:sz w:val="22"/>
          <w:szCs w:val="22"/>
        </w:rPr>
      </w:pPr>
      <w:r>
        <w:rPr>
          <w:rFonts w:ascii="SimSun" w:hAnsi="SimSun" w:eastAsia="SimSun" w:cs="SimSun"/>
          <w:sz w:val="22"/>
          <w:szCs w:val="22"/>
          <w:spacing w:val="-8"/>
        </w:rPr>
        <w:t>●选择、建立公共库以进行数据的储存、维护及检索；</w:t>
      </w:r>
    </w:p>
    <w:p>
      <w:pPr>
        <w:ind w:left="660"/>
        <w:spacing w:before="39" w:line="219" w:lineRule="auto"/>
        <w:rPr>
          <w:rFonts w:ascii="SimSun" w:hAnsi="SimSun" w:eastAsia="SimSun" w:cs="SimSun"/>
          <w:sz w:val="22"/>
          <w:szCs w:val="22"/>
        </w:rPr>
      </w:pPr>
      <w:r>
        <w:rPr>
          <w:rFonts w:ascii="SimSun" w:hAnsi="SimSun" w:eastAsia="SimSun" w:cs="SimSun"/>
          <w:sz w:val="22"/>
          <w:szCs w:val="22"/>
          <w:spacing w:val="-9"/>
        </w:rPr>
        <w:t>●配置管理和维护的规则与标准。</w:t>
      </w:r>
    </w:p>
    <w:p>
      <w:pPr>
        <w:ind w:left="270" w:right="32" w:firstLine="390"/>
        <w:spacing w:before="39" w:line="257" w:lineRule="auto"/>
        <w:rPr>
          <w:rFonts w:ascii="SimSun" w:hAnsi="SimSun" w:eastAsia="SimSun" w:cs="SimSun"/>
          <w:sz w:val="22"/>
          <w:szCs w:val="22"/>
        </w:rPr>
      </w:pPr>
      <w:r>
        <w:rPr>
          <w:rFonts w:ascii="SimSun" w:hAnsi="SimSun" w:eastAsia="SimSun" w:cs="SimSun"/>
          <w:sz w:val="22"/>
          <w:szCs w:val="22"/>
          <w:spacing w:val="-8"/>
        </w:rPr>
        <w:t>业务相关者的参与能保证元数据清晰地描述终端用户所需的信息并且支持数据</w:t>
      </w:r>
      <w:r>
        <w:rPr>
          <w:rFonts w:ascii="SimSun" w:hAnsi="SimSun" w:eastAsia="SimSun" w:cs="SimSun"/>
          <w:sz w:val="22"/>
          <w:szCs w:val="22"/>
          <w:spacing w:val="3"/>
        </w:rPr>
        <w:t xml:space="preserve"> </w:t>
      </w:r>
      <w:r>
        <w:rPr>
          <w:rFonts w:ascii="SimSun" w:hAnsi="SimSun" w:eastAsia="SimSun" w:cs="SimSun"/>
          <w:sz w:val="22"/>
          <w:szCs w:val="22"/>
          <w:spacing w:val="-13"/>
        </w:rPr>
        <w:t>生命周期中关键过程的实施，例如：</w:t>
      </w:r>
    </w:p>
    <w:p>
      <w:pPr>
        <w:ind w:left="660"/>
        <w:spacing w:before="48" w:line="219" w:lineRule="auto"/>
        <w:rPr>
          <w:rFonts w:ascii="SimSun" w:hAnsi="SimSun" w:eastAsia="SimSun" w:cs="SimSun"/>
          <w:sz w:val="22"/>
          <w:szCs w:val="22"/>
        </w:rPr>
      </w:pPr>
      <w:r>
        <w:rPr>
          <w:rFonts w:ascii="SimSun" w:hAnsi="SimSun" w:eastAsia="SimSun" w:cs="SimSun"/>
          <w:sz w:val="22"/>
          <w:szCs w:val="22"/>
          <w:spacing w:val="3"/>
        </w:rPr>
        <w:t>●数据搜索</w:t>
      </w:r>
    </w:p>
    <w:p>
      <w:pPr>
        <w:ind w:left="660"/>
        <w:spacing w:before="59" w:line="219" w:lineRule="auto"/>
        <w:rPr>
          <w:rFonts w:ascii="SimSun" w:hAnsi="SimSun" w:eastAsia="SimSun" w:cs="SimSun"/>
          <w:sz w:val="22"/>
          <w:szCs w:val="22"/>
        </w:rPr>
      </w:pPr>
      <w:r>
        <w:rPr>
          <w:rFonts w:ascii="SimSun" w:hAnsi="SimSun" w:eastAsia="SimSun" w:cs="SimSun"/>
          <w:sz w:val="22"/>
          <w:szCs w:val="22"/>
          <w:spacing w:val="-6"/>
        </w:rPr>
        <w:t>●数据迁移</w:t>
      </w:r>
    </w:p>
    <w:p>
      <w:pPr>
        <w:ind w:left="660"/>
        <w:spacing w:before="59" w:line="219" w:lineRule="auto"/>
        <w:rPr>
          <w:rFonts w:ascii="SimSun" w:hAnsi="SimSun" w:eastAsia="SimSun" w:cs="SimSun"/>
          <w:sz w:val="22"/>
          <w:szCs w:val="22"/>
        </w:rPr>
      </w:pPr>
      <w:r>
        <w:rPr>
          <w:rFonts w:ascii="SimSun" w:hAnsi="SimSun" w:eastAsia="SimSun" w:cs="SimSun"/>
          <w:sz w:val="22"/>
          <w:szCs w:val="22"/>
          <w:spacing w:val="-4"/>
        </w:rPr>
        <w:t>●目标设定与分类</w:t>
      </w:r>
    </w:p>
    <w:p>
      <w:pPr>
        <w:ind w:left="660"/>
        <w:spacing w:before="47" w:line="219" w:lineRule="auto"/>
        <w:rPr>
          <w:rFonts w:ascii="SimSun" w:hAnsi="SimSun" w:eastAsia="SimSun" w:cs="SimSun"/>
          <w:sz w:val="22"/>
          <w:szCs w:val="22"/>
        </w:rPr>
      </w:pPr>
      <w:r>
        <w:rPr>
          <w:rFonts w:ascii="SimSun" w:hAnsi="SimSun" w:eastAsia="SimSun" w:cs="SimSun"/>
          <w:sz w:val="22"/>
          <w:szCs w:val="22"/>
          <w:spacing w:val="-1"/>
        </w:rPr>
        <w:t>●使用(例如，供汇报使用或在系统开发生命周期中</w:t>
      </w:r>
      <w:r>
        <w:rPr>
          <w:rFonts w:ascii="SimSun" w:hAnsi="SimSun" w:eastAsia="SimSun" w:cs="SimSun"/>
          <w:sz w:val="22"/>
          <w:szCs w:val="22"/>
          <w:spacing w:val="-2"/>
        </w:rPr>
        <w:t>使用)</w:t>
      </w:r>
    </w:p>
    <w:p>
      <w:pPr>
        <w:ind w:left="660"/>
        <w:spacing w:before="51" w:line="220" w:lineRule="auto"/>
        <w:rPr>
          <w:rFonts w:ascii="SimSun" w:hAnsi="SimSun" w:eastAsia="SimSun" w:cs="SimSun"/>
          <w:sz w:val="22"/>
          <w:szCs w:val="22"/>
        </w:rPr>
      </w:pPr>
      <w:r>
        <w:rPr>
          <w:rFonts w:ascii="SimSun" w:hAnsi="SimSun" w:eastAsia="SimSun" w:cs="SimSun"/>
          <w:sz w:val="22"/>
          <w:szCs w:val="22"/>
          <w:spacing w:val="-5"/>
        </w:rPr>
        <w:t>●治理与控制</w:t>
      </w:r>
    </w:p>
    <w:p>
      <w:pPr>
        <w:spacing w:line="103" w:lineRule="exact"/>
        <w:rPr/>
      </w:pPr>
      <w:r/>
    </w:p>
    <w:tbl>
      <w:tblPr>
        <w:tblStyle w:val="TableNormal"/>
        <w:tblW w:w="758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3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30" w:type="dxa"/>
            <w:vAlign w:val="top"/>
          </w:tcPr>
          <w:p>
            <w:pPr>
              <w:pStyle w:val="TableText"/>
              <w:ind w:left="155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24" w:type="dxa"/>
            <w:vAlign w:val="top"/>
          </w:tcPr>
          <w:p>
            <w:pPr>
              <w:pStyle w:val="TableText"/>
              <w:ind w:left="235"/>
              <w:spacing w:before="241" w:line="183" w:lineRule="auto"/>
              <w:rPr>
                <w:sz w:val="16"/>
                <w:szCs w:val="16"/>
              </w:rPr>
            </w:pPr>
            <w:r>
              <w:rPr>
                <w:sz w:val="16"/>
                <w:szCs w:val="16"/>
                <w:spacing w:val="-2"/>
              </w:rPr>
              <w:t>2.2</w:t>
            </w:r>
          </w:p>
        </w:tc>
        <w:tc>
          <w:tcPr>
            <w:tcW w:w="3135" w:type="dxa"/>
            <w:vAlign w:val="top"/>
          </w:tcPr>
          <w:p>
            <w:pPr>
              <w:pStyle w:val="TableText"/>
              <w:ind w:left="121"/>
              <w:spacing w:before="199" w:line="219" w:lineRule="auto"/>
              <w:rPr>
                <w:sz w:val="16"/>
                <w:szCs w:val="16"/>
              </w:rPr>
            </w:pPr>
            <w:r>
              <w:rPr>
                <w:sz w:val="16"/>
                <w:szCs w:val="16"/>
              </w:rPr>
              <w:t>元数据文档记录了数据间的相互依赖关系</w:t>
            </w:r>
          </w:p>
        </w:tc>
        <w:tc>
          <w:tcPr>
            <w:tcW w:w="3730" w:type="dxa"/>
            <w:vAlign w:val="top"/>
          </w:tcPr>
          <w:p>
            <w:pPr>
              <w:pStyle w:val="TableText"/>
              <w:ind w:left="256"/>
              <w:spacing w:before="70" w:line="219" w:lineRule="auto"/>
              <w:rPr>
                <w:sz w:val="16"/>
                <w:szCs w:val="16"/>
              </w:rPr>
            </w:pPr>
            <w:r>
              <w:rPr>
                <w:sz w:val="16"/>
                <w:szCs w:val="16"/>
                <w:spacing w:val="1"/>
              </w:rPr>
              <w:t>●元数据关系图</w:t>
            </w:r>
          </w:p>
          <w:p>
            <w:pPr>
              <w:pStyle w:val="TableText"/>
              <w:ind w:left="256"/>
              <w:spacing w:before="99" w:line="217" w:lineRule="auto"/>
              <w:rPr>
                <w:sz w:val="16"/>
                <w:szCs w:val="16"/>
              </w:rPr>
            </w:pPr>
            <w:r>
              <w:rPr>
                <w:sz w:val="16"/>
                <w:szCs w:val="16"/>
              </w:rPr>
              <w:t>●云端数据沿袭记录/日志</w:t>
            </w:r>
          </w:p>
        </w:tc>
      </w:tr>
    </w:tbl>
    <w:p>
      <w:pPr>
        <w:ind w:left="550"/>
        <w:spacing w:before="20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54" w:firstLine="390"/>
        <w:spacing w:before="38" w:line="244" w:lineRule="auto"/>
        <w:rPr>
          <w:rFonts w:ascii="SimSun" w:hAnsi="SimSun" w:eastAsia="SimSun" w:cs="SimSun"/>
          <w:sz w:val="22"/>
          <w:szCs w:val="22"/>
        </w:rPr>
      </w:pPr>
      <w:r>
        <w:rPr>
          <w:rFonts w:ascii="SimSun" w:hAnsi="SimSun" w:eastAsia="SimSun" w:cs="SimSun"/>
          <w:sz w:val="22"/>
          <w:szCs w:val="22"/>
          <w:spacing w:val="-9"/>
        </w:rPr>
        <w:t>组织将业务元数据、技术元数据以及操作元数据中的关键数据集进行确认是十</w:t>
      </w:r>
      <w:r>
        <w:rPr>
          <w:rFonts w:ascii="SimSun" w:hAnsi="SimSun" w:eastAsia="SimSun" w:cs="SimSun"/>
          <w:sz w:val="22"/>
          <w:szCs w:val="22"/>
          <w:spacing w:val="14"/>
        </w:rPr>
        <w:t xml:space="preserve"> </w:t>
      </w:r>
      <w:r>
        <w:rPr>
          <w:rFonts w:ascii="SimSun" w:hAnsi="SimSun" w:eastAsia="SimSun" w:cs="SimSun"/>
          <w:sz w:val="22"/>
          <w:szCs w:val="22"/>
          <w:spacing w:val="-10"/>
        </w:rPr>
        <w:t>分重要的，这使组织能够从数据源追溯到目标库。</w:t>
      </w:r>
    </w:p>
    <w:p>
      <w:pPr>
        <w:spacing w:line="244" w:lineRule="auto"/>
        <w:sectPr>
          <w:footerReference w:type="default" r:id="rId211"/>
          <w:pgSz w:w="8870" w:h="13400"/>
          <w:pgMar w:top="400" w:right="545" w:bottom="505" w:left="419" w:header="0" w:footer="286" w:gutter="0"/>
        </w:sectPr>
        <w:rPr>
          <w:rFonts w:ascii="SimSun" w:hAnsi="SimSun" w:eastAsia="SimSun" w:cs="SimSun"/>
          <w:sz w:val="22"/>
          <w:szCs w:val="22"/>
        </w:rPr>
      </w:pPr>
    </w:p>
    <w:p>
      <w:pPr>
        <w:ind w:left="5493"/>
        <w:spacing w:before="214" w:line="219" w:lineRule="auto"/>
        <w:rPr>
          <w:rFonts w:ascii="SimSun" w:hAnsi="SimSun" w:eastAsia="SimSun" w:cs="SimSun"/>
          <w:sz w:val="21"/>
          <w:szCs w:val="21"/>
        </w:rPr>
      </w:pPr>
      <w:r>
        <w:rPr>
          <w:rFonts w:ascii="SimSun" w:hAnsi="SimSun" w:eastAsia="SimSun" w:cs="SimSun"/>
          <w:sz w:val="21"/>
          <w:szCs w:val="21"/>
          <w:b/>
          <w:bCs/>
          <w:spacing w:val="15"/>
        </w:rPr>
        <w:t>第5章■云端数据管理</w:t>
      </w:r>
    </w:p>
    <w:p>
      <w:pPr>
        <w:ind w:left="409" w:right="545"/>
        <w:spacing w:before="305" w:line="250" w:lineRule="auto"/>
        <w:rPr>
          <w:rFonts w:ascii="SimSun" w:hAnsi="SimSun" w:eastAsia="SimSun" w:cs="SimSun"/>
          <w:sz w:val="21"/>
          <w:szCs w:val="21"/>
        </w:rPr>
      </w:pPr>
      <w:r>
        <w:rPr>
          <w:rFonts w:ascii="SimSun" w:hAnsi="SimSun" w:eastAsia="SimSun" w:cs="SimSun"/>
          <w:sz w:val="21"/>
          <w:szCs w:val="21"/>
        </w:rPr>
        <w:t>组织通常缺少足够的元数据来建立数据沿袭，数据沿袭通常包</w:t>
      </w:r>
      <w:r>
        <w:rPr>
          <w:rFonts w:ascii="SimSun" w:hAnsi="SimSun" w:eastAsia="SimSun" w:cs="SimSun"/>
          <w:sz w:val="21"/>
          <w:szCs w:val="21"/>
          <w:spacing w:val="-1"/>
        </w:rPr>
        <w:t>括以下内容。</w:t>
      </w:r>
      <w:r>
        <w:rPr>
          <w:rFonts w:ascii="SimSun" w:hAnsi="SimSun" w:eastAsia="SimSun" w:cs="SimSun"/>
          <w:sz w:val="21"/>
          <w:szCs w:val="21"/>
        </w:rPr>
        <w:t xml:space="preserve"> </w:t>
      </w:r>
      <w:r>
        <w:rPr>
          <w:rFonts w:ascii="SimSun" w:hAnsi="SimSun" w:eastAsia="SimSun" w:cs="SimSun"/>
          <w:sz w:val="21"/>
          <w:szCs w:val="21"/>
          <w:spacing w:val="9"/>
        </w:rPr>
        <w:t>●数据源</w:t>
      </w:r>
    </w:p>
    <w:p>
      <w:pPr>
        <w:ind w:left="409"/>
        <w:spacing w:before="60" w:line="219" w:lineRule="auto"/>
        <w:rPr>
          <w:rFonts w:ascii="SimSun" w:hAnsi="SimSun" w:eastAsia="SimSun" w:cs="SimSun"/>
          <w:sz w:val="21"/>
          <w:szCs w:val="21"/>
        </w:rPr>
      </w:pPr>
      <w:r>
        <w:rPr>
          <w:rFonts w:ascii="SimSun" w:hAnsi="SimSun" w:eastAsia="SimSun" w:cs="SimSun"/>
          <w:sz w:val="21"/>
          <w:szCs w:val="21"/>
          <w:spacing w:val="1"/>
        </w:rPr>
        <w:t>●权威来源或首选来源的指定</w:t>
      </w:r>
    </w:p>
    <w:p>
      <w:pPr>
        <w:ind w:left="409"/>
        <w:spacing w:before="81" w:line="220" w:lineRule="auto"/>
        <w:rPr>
          <w:rFonts w:ascii="SimSun" w:hAnsi="SimSun" w:eastAsia="SimSun" w:cs="SimSun"/>
          <w:sz w:val="21"/>
          <w:szCs w:val="21"/>
        </w:rPr>
      </w:pPr>
      <w:r>
        <w:rPr>
          <w:rFonts w:ascii="SimSun" w:hAnsi="SimSun" w:eastAsia="SimSun" w:cs="SimSun"/>
          <w:sz w:val="21"/>
          <w:szCs w:val="21"/>
          <w:spacing w:val="-6"/>
        </w:rPr>
        <w:t>●</w:t>
      </w:r>
      <w:r>
        <w:rPr>
          <w:rFonts w:ascii="SimSun" w:hAnsi="SimSun" w:eastAsia="SimSun" w:cs="SimSun"/>
          <w:sz w:val="21"/>
          <w:szCs w:val="21"/>
          <w:spacing w:val="23"/>
        </w:rPr>
        <w:t xml:space="preserve"> </w:t>
      </w:r>
      <w:r>
        <w:rPr>
          <w:rFonts w:ascii="SimSun" w:hAnsi="SimSun" w:eastAsia="SimSun" w:cs="SimSun"/>
          <w:sz w:val="21"/>
          <w:szCs w:val="21"/>
          <w:spacing w:val="-6"/>
        </w:rPr>
        <w:t>已应用的转换或聚合</w:t>
      </w:r>
    </w:p>
    <w:p>
      <w:pPr>
        <w:ind w:left="409"/>
        <w:spacing w:before="59" w:line="219" w:lineRule="auto"/>
        <w:rPr>
          <w:rFonts w:ascii="SimSun" w:hAnsi="SimSun" w:eastAsia="SimSun" w:cs="SimSun"/>
          <w:sz w:val="21"/>
          <w:szCs w:val="21"/>
        </w:rPr>
      </w:pPr>
      <w:r>
        <w:rPr>
          <w:rFonts w:ascii="SimSun" w:hAnsi="SimSun" w:eastAsia="SimSun" w:cs="SimSun"/>
          <w:sz w:val="21"/>
          <w:szCs w:val="21"/>
          <w:spacing w:val="4"/>
        </w:rPr>
        <w:t>●数据目的地</w:t>
      </w:r>
    </w:p>
    <w:p>
      <w:pPr>
        <w:ind w:left="409"/>
        <w:spacing w:before="71" w:line="219" w:lineRule="auto"/>
        <w:rPr>
          <w:rFonts w:ascii="SimSun" w:hAnsi="SimSun" w:eastAsia="SimSun" w:cs="SimSun"/>
          <w:sz w:val="21"/>
          <w:szCs w:val="21"/>
        </w:rPr>
      </w:pPr>
      <w:r>
        <w:rPr>
          <w:rFonts w:ascii="SimSun" w:hAnsi="SimSun" w:eastAsia="SimSun" w:cs="SimSun"/>
          <w:sz w:val="21"/>
          <w:szCs w:val="21"/>
          <w:spacing w:val="2"/>
        </w:rPr>
        <w:t>●数据元素层面的集成映射，反映了来源在集成时是如何结合在一起的</w:t>
      </w:r>
    </w:p>
    <w:p>
      <w:pPr>
        <w:ind w:left="409"/>
        <w:spacing w:before="51" w:line="219" w:lineRule="auto"/>
        <w:rPr>
          <w:rFonts w:ascii="SimSun" w:hAnsi="SimSun" w:eastAsia="SimSun" w:cs="SimSun"/>
          <w:sz w:val="21"/>
          <w:szCs w:val="21"/>
        </w:rPr>
      </w:pPr>
      <w:r>
        <w:rPr>
          <w:rFonts w:ascii="SimSun" w:hAnsi="SimSun" w:eastAsia="SimSun" w:cs="SimSun"/>
          <w:sz w:val="21"/>
          <w:szCs w:val="21"/>
          <w:spacing w:val="3"/>
        </w:rPr>
        <w:t>●新数据的接收时间</w:t>
      </w:r>
    </w:p>
    <w:p>
      <w:pPr>
        <w:ind w:left="409"/>
        <w:spacing w:before="48" w:line="310" w:lineRule="exact"/>
        <w:rPr>
          <w:rFonts w:ascii="SimSun" w:hAnsi="SimSun" w:eastAsia="SimSun" w:cs="SimSun"/>
          <w:sz w:val="21"/>
          <w:szCs w:val="21"/>
        </w:rPr>
      </w:pPr>
      <w:r>
        <w:rPr>
          <w:rFonts w:ascii="STXingkai" w:hAnsi="STXingkai" w:eastAsia="STXingkai" w:cs="STXingkai"/>
          <w:sz w:val="21"/>
          <w:szCs w:val="21"/>
          <w:spacing w:val="-9"/>
          <w:position w:val="2"/>
        </w:rPr>
        <w:t>●</w:t>
      </w:r>
      <w:r>
        <w:rPr>
          <w:rFonts w:ascii="STXingkai" w:hAnsi="STXingkai" w:eastAsia="STXingkai" w:cs="STXingkai"/>
          <w:sz w:val="21"/>
          <w:szCs w:val="21"/>
          <w:spacing w:val="40"/>
          <w:position w:val="2"/>
        </w:rPr>
        <w:t xml:space="preserve"> </w:t>
      </w:r>
      <w:r>
        <w:rPr>
          <w:rFonts w:ascii="SimSun" w:hAnsi="SimSun" w:eastAsia="SimSun" w:cs="SimSun"/>
          <w:sz w:val="21"/>
          <w:szCs w:val="21"/>
          <w:spacing w:val="-9"/>
          <w:position w:val="2"/>
        </w:rPr>
        <w:t>数据的变更时间等</w:t>
      </w:r>
    </w:p>
    <w:p>
      <w:pPr>
        <w:ind w:right="245" w:firstLine="409"/>
        <w:spacing w:before="12" w:line="264" w:lineRule="auto"/>
        <w:jc w:val="both"/>
        <w:rPr>
          <w:rFonts w:ascii="SimSun" w:hAnsi="SimSun" w:eastAsia="SimSun" w:cs="SimSun"/>
          <w:sz w:val="21"/>
          <w:szCs w:val="21"/>
        </w:rPr>
      </w:pPr>
      <w:r>
        <w:rPr>
          <w:rFonts w:ascii="SimSun" w:hAnsi="SimSun" w:eastAsia="SimSun" w:cs="SimSun"/>
          <w:sz w:val="21"/>
          <w:szCs w:val="21"/>
          <w:spacing w:val="2"/>
        </w:rPr>
        <w:t>例如，当监管组织收到一份报告时，组织需要在多个过程的所有来源中，通过</w:t>
      </w:r>
      <w:r>
        <w:rPr>
          <w:rFonts w:ascii="SimSun" w:hAnsi="SimSun" w:eastAsia="SimSun" w:cs="SimSun"/>
          <w:sz w:val="21"/>
          <w:szCs w:val="21"/>
        </w:rPr>
        <w:t xml:space="preserve"> </w:t>
      </w:r>
      <w:r>
        <w:rPr>
          <w:rFonts w:ascii="SimSun" w:hAnsi="SimSun" w:eastAsia="SimSun" w:cs="SimSun"/>
          <w:sz w:val="21"/>
          <w:szCs w:val="21"/>
          <w:spacing w:val="2"/>
        </w:rPr>
        <w:t>对转换、计算或聚合进行互相衔接的检查来确定数</w:t>
      </w:r>
      <w:r>
        <w:rPr>
          <w:rFonts w:ascii="SimSun" w:hAnsi="SimSun" w:eastAsia="SimSun" w:cs="SimSun"/>
          <w:sz w:val="21"/>
          <w:szCs w:val="21"/>
          <w:spacing w:val="1"/>
        </w:rPr>
        <w:t>据的起源。这提供了完整的审计</w:t>
      </w:r>
      <w:r>
        <w:rPr>
          <w:rFonts w:ascii="SimSun" w:hAnsi="SimSun" w:eastAsia="SimSun" w:cs="SimSun"/>
          <w:sz w:val="21"/>
          <w:szCs w:val="21"/>
        </w:rPr>
        <w:t xml:space="preserve"> </w:t>
      </w:r>
      <w:r>
        <w:rPr>
          <w:rFonts w:ascii="SimSun" w:hAnsi="SimSun" w:eastAsia="SimSun" w:cs="SimSun"/>
          <w:sz w:val="21"/>
          <w:szCs w:val="21"/>
          <w:spacing w:val="2"/>
        </w:rPr>
        <w:t>跟踪，跟踪信息包括数据的内容、数据是如何变更的以及数据是如何在报告中使用 </w:t>
      </w:r>
      <w:r>
        <w:rPr>
          <w:rFonts w:ascii="SimSun" w:hAnsi="SimSun" w:eastAsia="SimSun" w:cs="SimSun"/>
          <w:sz w:val="21"/>
          <w:szCs w:val="21"/>
          <w:spacing w:val="2"/>
        </w:rPr>
        <w:t>的。数据拼凑在一起供特定用途使用是一个十分耗时的过程，这个</w:t>
      </w:r>
      <w:r>
        <w:rPr>
          <w:rFonts w:ascii="SimSun" w:hAnsi="SimSun" w:eastAsia="SimSun" w:cs="SimSun"/>
          <w:sz w:val="21"/>
          <w:szCs w:val="21"/>
          <w:spacing w:val="1"/>
        </w:rPr>
        <w:t>过程会在组织的</w:t>
      </w:r>
      <w:r>
        <w:rPr>
          <w:rFonts w:ascii="SimSun" w:hAnsi="SimSun" w:eastAsia="SimSun" w:cs="SimSun"/>
          <w:sz w:val="21"/>
          <w:szCs w:val="21"/>
        </w:rPr>
        <w:t xml:space="preserve"> </w:t>
      </w:r>
      <w:r>
        <w:rPr>
          <w:rFonts w:ascii="SimSun" w:hAnsi="SimSun" w:eastAsia="SimSun" w:cs="SimSun"/>
          <w:sz w:val="21"/>
          <w:szCs w:val="21"/>
          <w:spacing w:val="2"/>
        </w:rPr>
        <w:t>多种情况下重复进行。而这种稳定的相互衔接的</w:t>
      </w:r>
      <w:r>
        <w:rPr>
          <w:rFonts w:ascii="SimSun" w:hAnsi="SimSun" w:eastAsia="SimSun" w:cs="SimSun"/>
          <w:sz w:val="21"/>
          <w:szCs w:val="21"/>
          <w:spacing w:val="1"/>
        </w:rPr>
        <w:t>元数据则简化了这个过程并推动了</w:t>
      </w:r>
      <w:r>
        <w:rPr>
          <w:rFonts w:ascii="SimSun" w:hAnsi="SimSun" w:eastAsia="SimSun" w:cs="SimSun"/>
          <w:sz w:val="21"/>
          <w:szCs w:val="21"/>
        </w:rPr>
        <w:t xml:space="preserve"> </w:t>
      </w:r>
      <w:r>
        <w:rPr>
          <w:rFonts w:ascii="SimSun" w:hAnsi="SimSun" w:eastAsia="SimSun" w:cs="SimSun"/>
          <w:sz w:val="21"/>
          <w:szCs w:val="21"/>
          <w:spacing w:val="-5"/>
        </w:rPr>
        <w:t>其自动化的进程。</w:t>
      </w:r>
    </w:p>
    <w:p>
      <w:pPr>
        <w:spacing w:line="155" w:lineRule="exact"/>
        <w:rPr/>
      </w:pPr>
      <w:r/>
    </w:p>
    <w:tbl>
      <w:tblPr>
        <w:tblStyle w:val="TableNormal"/>
        <w:tblW w:w="760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6"/>
        <w:gridCol w:w="3750"/>
      </w:tblGrid>
      <w:tr>
        <w:trPr>
          <w:trHeight w:val="301" w:hRule="atLeast"/>
        </w:trPr>
        <w:tc>
          <w:tcPr>
            <w:tcW w:w="724" w:type="dxa"/>
            <w:vAlign w:val="top"/>
          </w:tcPr>
          <w:p>
            <w:pPr>
              <w:pStyle w:val="TableText"/>
              <w:ind w:left="205"/>
              <w:spacing w:before="81" w:line="221" w:lineRule="auto"/>
              <w:rPr/>
            </w:pPr>
            <w:r>
              <w:rPr>
                <w:spacing w:val="-2"/>
              </w:rPr>
              <w:t>序号</w:t>
            </w:r>
          </w:p>
        </w:tc>
        <w:tc>
          <w:tcPr>
            <w:tcW w:w="312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558" w:hRule="atLeast"/>
        </w:trPr>
        <w:tc>
          <w:tcPr>
            <w:tcW w:w="724" w:type="dxa"/>
            <w:vAlign w:val="top"/>
          </w:tcPr>
          <w:p>
            <w:pPr>
              <w:pStyle w:val="TableText"/>
              <w:ind w:left="235"/>
              <w:spacing w:before="248" w:line="183" w:lineRule="auto"/>
              <w:rPr/>
            </w:pPr>
            <w:r>
              <w:rPr>
                <w:spacing w:val="-2"/>
              </w:rPr>
              <w:t>2.3</w:t>
            </w:r>
          </w:p>
        </w:tc>
        <w:tc>
          <w:tcPr>
            <w:tcW w:w="3126" w:type="dxa"/>
            <w:vAlign w:val="top"/>
          </w:tcPr>
          <w:p>
            <w:pPr>
              <w:pStyle w:val="TableText"/>
              <w:ind w:left="111" w:right="161" w:firstLine="149"/>
              <w:spacing w:before="89" w:line="282" w:lineRule="auto"/>
              <w:rPr/>
            </w:pPr>
            <w:r>
              <w:rPr>
                <w:spacing w:val="-1"/>
              </w:rPr>
              <w:t>开发并使用元数据来对可能的数据变更进</w:t>
            </w:r>
            <w:r>
              <w:rPr>
                <w:spacing w:val="10"/>
              </w:rPr>
              <w:t xml:space="preserve"> </w:t>
            </w:r>
            <w:r>
              <w:rPr>
                <w:spacing w:val="-2"/>
              </w:rPr>
              <w:t>行影响分析</w:t>
            </w:r>
          </w:p>
        </w:tc>
        <w:tc>
          <w:tcPr>
            <w:tcW w:w="3750" w:type="dxa"/>
            <w:vAlign w:val="top"/>
          </w:tcPr>
          <w:p>
            <w:pPr>
              <w:pStyle w:val="TableText"/>
              <w:ind w:left="265"/>
              <w:spacing w:before="78" w:line="218" w:lineRule="auto"/>
              <w:rPr/>
            </w:pPr>
            <w:r>
              <w:rPr/>
              <w:t>●云端数据变更影响分析报告</w:t>
            </w:r>
          </w:p>
          <w:p>
            <w:pPr>
              <w:pStyle w:val="TableText"/>
              <w:ind w:left="265"/>
              <w:spacing w:before="114" w:line="219" w:lineRule="auto"/>
              <w:rPr/>
            </w:pPr>
            <w:r>
              <w:rPr>
                <w:spacing w:val="2"/>
              </w:rPr>
              <w:t>●元数据应用说明</w:t>
            </w:r>
          </w:p>
        </w:tc>
      </w:tr>
    </w:tbl>
    <w:p>
      <w:pPr>
        <w:ind w:left="30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26" w:firstLine="409"/>
        <w:spacing w:before="68" w:line="264" w:lineRule="auto"/>
        <w:rPr>
          <w:rFonts w:ascii="SimSun" w:hAnsi="SimSun" w:eastAsia="SimSun" w:cs="SimSun"/>
          <w:sz w:val="21"/>
          <w:szCs w:val="21"/>
        </w:rPr>
      </w:pPr>
      <w:r>
        <w:rPr>
          <w:rFonts w:ascii="SimSun" w:hAnsi="SimSun" w:eastAsia="SimSun" w:cs="SimSun"/>
          <w:sz w:val="21"/>
          <w:szCs w:val="21"/>
          <w:spacing w:val="5"/>
        </w:rPr>
        <w:t>评估数据变更的影响需要先了解数据在组织里的使用范围(例如，由相关者使</w:t>
      </w:r>
      <w:r>
        <w:rPr>
          <w:rFonts w:ascii="SimSun" w:hAnsi="SimSun" w:eastAsia="SimSun" w:cs="SimSun"/>
          <w:sz w:val="21"/>
          <w:szCs w:val="21"/>
          <w:spacing w:val="4"/>
        </w:rPr>
        <w:t xml:space="preserve"> </w:t>
      </w:r>
      <w:r>
        <w:rPr>
          <w:rFonts w:ascii="SimSun" w:hAnsi="SimSun" w:eastAsia="SimSun" w:cs="SimSun"/>
          <w:sz w:val="21"/>
          <w:szCs w:val="21"/>
        </w:rPr>
        <w:t>用、在应用数据的存储中使用、在数据仓库环境中使用等)</w:t>
      </w:r>
      <w:r>
        <w:rPr>
          <w:rFonts w:ascii="SimSun" w:hAnsi="SimSun" w:eastAsia="SimSun" w:cs="SimSun"/>
          <w:sz w:val="21"/>
          <w:szCs w:val="21"/>
          <w:spacing w:val="-1"/>
        </w:rPr>
        <w:t>。除了描述数据内容的元</w:t>
      </w:r>
      <w:r>
        <w:rPr>
          <w:rFonts w:ascii="SimSun" w:hAnsi="SimSun" w:eastAsia="SimSun" w:cs="SimSun"/>
          <w:sz w:val="21"/>
          <w:szCs w:val="21"/>
        </w:rPr>
        <w:t xml:space="preserve"> </w:t>
      </w:r>
      <w:r>
        <w:rPr>
          <w:rFonts w:ascii="SimSun" w:hAnsi="SimSun" w:eastAsia="SimSun" w:cs="SimSun"/>
          <w:sz w:val="21"/>
          <w:szCs w:val="21"/>
          <w:spacing w:val="5"/>
        </w:rPr>
        <w:t>数据外，还须记录与数据库中每个数据集相关</w:t>
      </w:r>
      <w:r>
        <w:rPr>
          <w:rFonts w:ascii="SimSun" w:hAnsi="SimSun" w:eastAsia="SimSun" w:cs="SimSun"/>
          <w:sz w:val="21"/>
          <w:szCs w:val="21"/>
          <w:spacing w:val="4"/>
        </w:rPr>
        <w:t>联的系统和相关者(生成、维护和使</w:t>
      </w:r>
      <w:r>
        <w:rPr>
          <w:rFonts w:ascii="SimSun" w:hAnsi="SimSun" w:eastAsia="SimSun" w:cs="SimSun"/>
          <w:sz w:val="21"/>
          <w:szCs w:val="21"/>
        </w:rPr>
        <w:t xml:space="preserve"> </w:t>
      </w:r>
      <w:r>
        <w:rPr>
          <w:rFonts w:ascii="SimSun" w:hAnsi="SimSun" w:eastAsia="SimSun" w:cs="SimSun"/>
          <w:sz w:val="21"/>
          <w:szCs w:val="21"/>
          <w:spacing w:val="-1"/>
        </w:rPr>
        <w:t>用环节)。初始范围可能由数据集决定，但最终的目标是在属</w:t>
      </w:r>
      <w:r>
        <w:rPr>
          <w:rFonts w:ascii="SimSun" w:hAnsi="SimSun" w:eastAsia="SimSun" w:cs="SimSun"/>
          <w:sz w:val="21"/>
          <w:szCs w:val="21"/>
          <w:spacing w:val="-2"/>
        </w:rPr>
        <w:t>性和列的层面上达到映</w:t>
      </w:r>
      <w:r>
        <w:rPr>
          <w:rFonts w:ascii="SimSun" w:hAnsi="SimSun" w:eastAsia="SimSun" w:cs="SimSun"/>
          <w:sz w:val="21"/>
          <w:szCs w:val="21"/>
        </w:rPr>
        <w:t xml:space="preserve"> </w:t>
      </w:r>
      <w:r>
        <w:rPr>
          <w:rFonts w:ascii="SimSun" w:hAnsi="SimSun" w:eastAsia="SimSun" w:cs="SimSun"/>
          <w:sz w:val="21"/>
          <w:szCs w:val="21"/>
          <w:spacing w:val="6"/>
        </w:rPr>
        <w:t>射。例如，当业务在高度分享的类型代码(例如组织类型)中添加了一个新值</w:t>
      </w:r>
      <w:r>
        <w:rPr>
          <w:rFonts w:ascii="SimSun" w:hAnsi="SimSun" w:eastAsia="SimSun" w:cs="SimSun"/>
          <w:sz w:val="21"/>
          <w:szCs w:val="21"/>
          <w:spacing w:val="5"/>
        </w:rPr>
        <w:t>时， </w:t>
      </w:r>
      <w:r>
        <w:rPr>
          <w:rFonts w:ascii="SimSun" w:hAnsi="SimSun" w:eastAsia="SimSun" w:cs="SimSun"/>
          <w:sz w:val="21"/>
          <w:szCs w:val="21"/>
          <w:spacing w:val="-5"/>
        </w:rPr>
        <w:t>多个数据存储都需要更改他们的结构。</w:t>
      </w:r>
    </w:p>
    <w:p>
      <w:pPr>
        <w:spacing w:line="147"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5" w:type="dxa"/>
            <w:vAlign w:val="top"/>
          </w:tcPr>
          <w:p>
            <w:pPr>
              <w:pStyle w:val="TableText"/>
              <w:ind w:left="1131"/>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24" w:type="dxa"/>
            <w:vAlign w:val="top"/>
          </w:tcPr>
          <w:p>
            <w:pPr>
              <w:pStyle w:val="TableText"/>
              <w:ind w:left="235"/>
              <w:spacing w:before="241" w:line="183" w:lineRule="auto"/>
              <w:rPr>
                <w:sz w:val="16"/>
                <w:szCs w:val="16"/>
              </w:rPr>
            </w:pPr>
            <w:r>
              <w:rPr>
                <w:sz w:val="16"/>
                <w:szCs w:val="16"/>
                <w:spacing w:val="-2"/>
              </w:rPr>
              <w:t>2.4</w:t>
            </w:r>
          </w:p>
        </w:tc>
        <w:tc>
          <w:tcPr>
            <w:tcW w:w="3125" w:type="dxa"/>
            <w:vAlign w:val="top"/>
          </w:tcPr>
          <w:p>
            <w:pPr>
              <w:pStyle w:val="TableText"/>
              <w:ind w:left="110"/>
              <w:spacing w:before="200" w:line="219" w:lineRule="auto"/>
              <w:rPr>
                <w:sz w:val="16"/>
                <w:szCs w:val="16"/>
              </w:rPr>
            </w:pPr>
            <w:r>
              <w:rPr>
                <w:sz w:val="16"/>
                <w:szCs w:val="16"/>
                <w:spacing w:val="-1"/>
              </w:rPr>
              <w:t>建立并遵守元数据的分类、属性以及标准</w:t>
            </w:r>
          </w:p>
        </w:tc>
        <w:tc>
          <w:tcPr>
            <w:tcW w:w="3750" w:type="dxa"/>
            <w:vAlign w:val="top"/>
          </w:tcPr>
          <w:p>
            <w:pPr>
              <w:pStyle w:val="TableText"/>
              <w:ind w:left="276"/>
              <w:spacing w:before="80" w:line="219" w:lineRule="auto"/>
              <w:rPr>
                <w:sz w:val="16"/>
                <w:szCs w:val="16"/>
              </w:rPr>
            </w:pPr>
            <w:r>
              <w:rPr>
                <w:sz w:val="16"/>
                <w:szCs w:val="16"/>
                <w:spacing w:val="1"/>
              </w:rPr>
              <w:t>●元数据管理程序</w:t>
            </w:r>
          </w:p>
          <w:p>
            <w:pPr>
              <w:pStyle w:val="TableText"/>
              <w:ind w:left="276"/>
              <w:spacing w:before="99" w:line="205" w:lineRule="auto"/>
              <w:rPr>
                <w:sz w:val="16"/>
                <w:szCs w:val="16"/>
              </w:rPr>
            </w:pPr>
            <w:r>
              <w:rPr>
                <w:sz w:val="16"/>
                <w:szCs w:val="16"/>
              </w:rPr>
              <w:t>●元数据分类分级指南</w:t>
            </w:r>
          </w:p>
        </w:tc>
      </w:tr>
    </w:tbl>
    <w:p>
      <w:pPr>
        <w:ind w:left="30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15" w:firstLine="409"/>
        <w:spacing w:before="66" w:line="260" w:lineRule="auto"/>
        <w:rPr>
          <w:rFonts w:ascii="SimSun" w:hAnsi="SimSun" w:eastAsia="SimSun" w:cs="SimSun"/>
          <w:sz w:val="21"/>
          <w:szCs w:val="21"/>
        </w:rPr>
      </w:pPr>
      <w:r>
        <w:rPr>
          <w:rFonts w:ascii="SimSun" w:hAnsi="SimSun" w:eastAsia="SimSun" w:cs="SimSun"/>
          <w:sz w:val="21"/>
          <w:szCs w:val="21"/>
          <w:spacing w:val="5"/>
        </w:rPr>
        <w:t>针对元数据的主要分级(例如业务级、技术级),组织应提出并同意一系列</w:t>
      </w:r>
      <w:r>
        <w:rPr>
          <w:rFonts w:ascii="SimSun" w:hAnsi="SimSun" w:eastAsia="SimSun" w:cs="SimSun"/>
          <w:sz w:val="21"/>
          <w:szCs w:val="21"/>
          <w:spacing w:val="4"/>
        </w:rPr>
        <w:t>分类</w:t>
      </w:r>
      <w:r>
        <w:rPr>
          <w:rFonts w:ascii="SimSun" w:hAnsi="SimSun" w:eastAsia="SimSun" w:cs="SimSun"/>
          <w:sz w:val="21"/>
          <w:szCs w:val="21"/>
        </w:rPr>
        <w:t xml:space="preserve"> </w:t>
      </w:r>
      <w:r>
        <w:rPr>
          <w:rFonts w:ascii="SimSun" w:hAnsi="SimSun" w:eastAsia="SimSun" w:cs="SimSun"/>
          <w:sz w:val="21"/>
          <w:szCs w:val="21"/>
          <w:spacing w:val="5"/>
        </w:rPr>
        <w:t>(例如业务类词汇、数据库)以及针对每个分类的对应属性(例如数据管理员</w:t>
      </w:r>
      <w:r>
        <w:rPr>
          <w:rFonts w:ascii="SimSun" w:hAnsi="SimSun" w:eastAsia="SimSun" w:cs="SimSun"/>
          <w:sz w:val="21"/>
          <w:szCs w:val="21"/>
          <w:spacing w:val="4"/>
        </w:rPr>
        <w:t>、更新</w:t>
      </w:r>
      <w:r>
        <w:rPr>
          <w:rFonts w:ascii="SimSun" w:hAnsi="SimSun" w:eastAsia="SimSun" w:cs="SimSun"/>
          <w:sz w:val="21"/>
          <w:szCs w:val="21"/>
        </w:rPr>
        <w:t xml:space="preserve"> </w:t>
      </w:r>
      <w:r>
        <w:rPr>
          <w:rFonts w:ascii="SimSun" w:hAnsi="SimSun" w:eastAsia="SimSun" w:cs="SimSun"/>
          <w:sz w:val="21"/>
          <w:szCs w:val="21"/>
        </w:rPr>
        <w:t>日期)。应明确说明每个元数据的元素表示惯例。应根据这些决策编写元数据标准， </w:t>
      </w:r>
      <w:r>
        <w:rPr>
          <w:rFonts w:ascii="SimSun" w:hAnsi="SimSun" w:eastAsia="SimSun" w:cs="SimSun"/>
          <w:sz w:val="21"/>
          <w:szCs w:val="21"/>
          <w:spacing w:val="-5"/>
        </w:rPr>
        <w:t>并对其进行发布、实施和监督。</w:t>
      </w:r>
    </w:p>
    <w:p>
      <w:pPr>
        <w:spacing w:line="260" w:lineRule="auto"/>
        <w:sectPr>
          <w:footerReference w:type="default" r:id="rId213"/>
          <w:pgSz w:w="8870" w:h="13400"/>
          <w:pgMar w:top="400" w:right="488" w:bottom="537" w:left="500" w:header="0" w:footer="328" w:gutter="0"/>
        </w:sectPr>
        <w:rPr>
          <w:rFonts w:ascii="SimSun" w:hAnsi="SimSun" w:eastAsia="SimSun" w:cs="SimSun"/>
          <w:sz w:val="21"/>
          <w:szCs w:val="21"/>
        </w:rPr>
      </w:pPr>
    </w:p>
    <w:p>
      <w:pPr>
        <w:ind w:left="100"/>
        <w:spacing w:before="170"/>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551"/>
            <wp:effectExtent l="0" t="0" r="0" b="0"/>
            <wp:docPr id="160" name="IM 160"/>
            <wp:cNvGraphicFramePr/>
            <a:graphic>
              <a:graphicData uri="http://schemas.openxmlformats.org/drawingml/2006/picture">
                <pic:pic>
                  <pic:nvPicPr>
                    <pic:cNvPr id="160" name="IM 160"/>
                    <pic:cNvPicPr/>
                  </pic:nvPicPr>
                  <pic:blipFill>
                    <a:blip r:embed="rId215"/>
                    <a:stretch>
                      <a:fillRect/>
                    </a:stretch>
                  </pic:blipFill>
                  <pic:spPr>
                    <a:xfrm rot="0">
                      <a:off x="0" y="0"/>
                      <a:ext cx="6365" cy="228551"/>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ind w:left="670"/>
        <w:spacing w:before="273"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 3:  </w:t>
      </w:r>
      <w:r>
        <w:rPr>
          <w:rFonts w:ascii="SimHei" w:hAnsi="SimHei" w:eastAsia="SimHei" w:cs="SimHei"/>
          <w:sz w:val="22"/>
          <w:szCs w:val="22"/>
          <w:b/>
          <w:bCs/>
          <w:spacing w:val="-3"/>
        </w:rPr>
        <w:t>定义级</w:t>
      </w:r>
    </w:p>
    <w:p>
      <w:pPr>
        <w:spacing w:line="127"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40"/>
      </w:tblGrid>
      <w:tr>
        <w:trPr>
          <w:trHeight w:val="313"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17" w:hRule="atLeast"/>
        </w:trPr>
        <w:tc>
          <w:tcPr>
            <w:tcW w:w="724" w:type="dxa"/>
            <w:vAlign w:val="top"/>
          </w:tcPr>
          <w:p>
            <w:pPr>
              <w:spacing w:line="464" w:lineRule="auto"/>
              <w:rPr>
                <w:rFonts w:ascii="Arial"/>
                <w:sz w:val="21"/>
              </w:rPr>
            </w:pPr>
            <w:r/>
          </w:p>
          <w:p>
            <w:pPr>
              <w:pStyle w:val="TableText"/>
              <w:ind w:left="235"/>
              <w:spacing w:before="52" w:line="184" w:lineRule="auto"/>
              <w:rPr>
                <w:sz w:val="16"/>
                <w:szCs w:val="16"/>
              </w:rPr>
            </w:pPr>
            <w:r>
              <w:rPr>
                <w:sz w:val="16"/>
                <w:szCs w:val="16"/>
                <w:spacing w:val="-3"/>
              </w:rPr>
              <w:t>3.1</w:t>
            </w:r>
          </w:p>
        </w:tc>
        <w:tc>
          <w:tcPr>
            <w:tcW w:w="3135" w:type="dxa"/>
            <w:vAlign w:val="top"/>
          </w:tcPr>
          <w:p>
            <w:pPr>
              <w:pStyle w:val="TableText"/>
              <w:ind w:left="41" w:firstLine="219"/>
              <w:spacing w:before="218" w:line="289" w:lineRule="auto"/>
              <w:jc w:val="both"/>
              <w:rPr>
                <w:sz w:val="16"/>
                <w:szCs w:val="16"/>
              </w:rPr>
            </w:pPr>
            <w:r>
              <w:rPr>
                <w:sz w:val="16"/>
                <w:szCs w:val="16"/>
                <w:spacing w:val="-1"/>
              </w:rPr>
              <w:t>建立和发布组织的元数据管理策略，该策</w:t>
            </w:r>
            <w:r>
              <w:rPr>
                <w:sz w:val="16"/>
                <w:szCs w:val="16"/>
                <w:spacing w:val="1"/>
              </w:rPr>
              <w:t xml:space="preserve"> </w:t>
            </w:r>
            <w:r>
              <w:rPr>
                <w:sz w:val="16"/>
                <w:szCs w:val="16"/>
              </w:rPr>
              <w:t>略由数据治理进行维护，内部相关者参与相</w:t>
            </w:r>
            <w:r>
              <w:rPr>
                <w:sz w:val="16"/>
                <w:szCs w:val="16"/>
                <w:spacing w:val="4"/>
              </w:rPr>
              <w:t xml:space="preserve"> </w:t>
            </w:r>
            <w:r>
              <w:rPr>
                <w:sz w:val="16"/>
                <w:szCs w:val="16"/>
                <w:spacing w:val="16"/>
              </w:rPr>
              <w:t>关过程</w:t>
            </w:r>
          </w:p>
        </w:tc>
        <w:tc>
          <w:tcPr>
            <w:tcW w:w="3740" w:type="dxa"/>
            <w:vAlign w:val="top"/>
          </w:tcPr>
          <w:p>
            <w:pPr>
              <w:pStyle w:val="TableText"/>
              <w:ind w:left="246"/>
              <w:spacing w:before="78" w:line="219" w:lineRule="auto"/>
              <w:rPr>
                <w:sz w:val="16"/>
                <w:szCs w:val="16"/>
              </w:rPr>
            </w:pPr>
            <w:r>
              <w:rPr>
                <w:sz w:val="16"/>
                <w:szCs w:val="16"/>
              </w:rPr>
              <w:t>●元数据管理策略</w:t>
            </w:r>
          </w:p>
          <w:p>
            <w:pPr>
              <w:pStyle w:val="TableText"/>
              <w:ind w:left="246"/>
              <w:spacing w:before="100" w:line="219" w:lineRule="auto"/>
              <w:rPr>
                <w:sz w:val="16"/>
                <w:szCs w:val="16"/>
              </w:rPr>
            </w:pPr>
            <w:r>
              <w:rPr>
                <w:sz w:val="16"/>
                <w:szCs w:val="16"/>
              </w:rPr>
              <w:t>●元数据管理目标</w:t>
            </w:r>
          </w:p>
          <w:p>
            <w:pPr>
              <w:pStyle w:val="TableText"/>
              <w:ind w:left="246"/>
              <w:spacing w:before="79" w:line="219" w:lineRule="auto"/>
              <w:rPr>
                <w:sz w:val="16"/>
                <w:szCs w:val="16"/>
              </w:rPr>
            </w:pPr>
            <w:r>
              <w:rPr>
                <w:sz w:val="16"/>
                <w:szCs w:val="16"/>
              </w:rPr>
              <w:t>●元数据角色和分工</w:t>
            </w:r>
          </w:p>
          <w:p>
            <w:pPr>
              <w:pStyle w:val="TableText"/>
              <w:ind w:left="246"/>
              <w:spacing w:before="61" w:line="219" w:lineRule="auto"/>
              <w:rPr>
                <w:sz w:val="16"/>
                <w:szCs w:val="16"/>
              </w:rPr>
            </w:pPr>
            <w:r>
              <w:rPr>
                <w:sz w:val="16"/>
                <w:szCs w:val="16"/>
              </w:rPr>
              <w:t>●元数据管理控制程序</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00" w:right="26" w:firstLine="470"/>
        <w:spacing w:before="46" w:line="250" w:lineRule="auto"/>
        <w:rPr>
          <w:rFonts w:ascii="SimSun" w:hAnsi="SimSun" w:eastAsia="SimSun" w:cs="SimSun"/>
          <w:sz w:val="22"/>
          <w:szCs w:val="22"/>
        </w:rPr>
      </w:pPr>
      <w:r>
        <w:rPr>
          <w:rFonts w:ascii="SimSun" w:hAnsi="SimSun" w:eastAsia="SimSun" w:cs="SimSun"/>
          <w:sz w:val="22"/>
          <w:szCs w:val="22"/>
          <w:spacing w:val="-8"/>
        </w:rPr>
        <w:t>一个全面、完整、有序的元数据库是时刻在完善的。</w:t>
      </w:r>
      <w:r>
        <w:rPr>
          <w:rFonts w:ascii="SimSun" w:hAnsi="SimSun" w:eastAsia="SimSun" w:cs="SimSun"/>
          <w:sz w:val="22"/>
          <w:szCs w:val="22"/>
          <w:spacing w:val="-9"/>
        </w:rPr>
        <w:t>与向组织建议的数据质量</w:t>
      </w:r>
      <w:r>
        <w:rPr>
          <w:rFonts w:ascii="SimSun" w:hAnsi="SimSun" w:eastAsia="SimSun" w:cs="SimSun"/>
          <w:sz w:val="22"/>
          <w:szCs w:val="22"/>
        </w:rPr>
        <w:t xml:space="preserve"> </w:t>
      </w:r>
      <w:r>
        <w:rPr>
          <w:rFonts w:ascii="SimSun" w:hAnsi="SimSun" w:eastAsia="SimSun" w:cs="SimSun"/>
          <w:sz w:val="22"/>
          <w:szCs w:val="22"/>
          <w:spacing w:val="-8"/>
        </w:rPr>
        <w:t>计划相似，我们建议组织制订策略，在自上而下的愿</w:t>
      </w:r>
      <w:r>
        <w:rPr>
          <w:rFonts w:ascii="SimSun" w:hAnsi="SimSun" w:eastAsia="SimSun" w:cs="SimSun"/>
          <w:sz w:val="22"/>
          <w:szCs w:val="22"/>
          <w:spacing w:val="-9"/>
        </w:rPr>
        <w:t>景、战略目标和战术目标的实</w:t>
      </w:r>
      <w:r>
        <w:rPr>
          <w:rFonts w:ascii="SimSun" w:hAnsi="SimSun" w:eastAsia="SimSun" w:cs="SimSun"/>
          <w:sz w:val="22"/>
          <w:szCs w:val="22"/>
        </w:rPr>
        <w:t xml:space="preserve"> </w:t>
      </w:r>
      <w:r>
        <w:rPr>
          <w:rFonts w:ascii="SimSun" w:hAnsi="SimSun" w:eastAsia="SimSun" w:cs="SimSun"/>
          <w:sz w:val="22"/>
          <w:szCs w:val="22"/>
          <w:spacing w:val="-2"/>
        </w:rPr>
        <w:t>现中进行协作，并且为需求、设计和开发(或平台开发)制</w:t>
      </w:r>
      <w:r>
        <w:rPr>
          <w:rFonts w:ascii="SimSun" w:hAnsi="SimSun" w:eastAsia="SimSun" w:cs="SimSun"/>
          <w:sz w:val="22"/>
          <w:szCs w:val="22"/>
          <w:spacing w:val="-3"/>
        </w:rPr>
        <w:t>订步骤，这其中包含了</w:t>
      </w:r>
      <w:r>
        <w:rPr>
          <w:rFonts w:ascii="SimSun" w:hAnsi="SimSun" w:eastAsia="SimSun" w:cs="SimSun"/>
          <w:sz w:val="22"/>
          <w:szCs w:val="22"/>
        </w:rPr>
        <w:t xml:space="preserve"> </w:t>
      </w:r>
      <w:r>
        <w:rPr>
          <w:rFonts w:ascii="SimSun" w:hAnsi="SimSun" w:eastAsia="SimSun" w:cs="SimSun"/>
          <w:sz w:val="22"/>
          <w:szCs w:val="22"/>
          <w:spacing w:val="-10"/>
        </w:rPr>
        <w:t>一个调解依赖关系以及解决顺序冲突的阶段执行计</w:t>
      </w:r>
      <w:r>
        <w:rPr>
          <w:rFonts w:ascii="SimSun" w:hAnsi="SimSun" w:eastAsia="SimSun" w:cs="SimSun"/>
          <w:sz w:val="22"/>
          <w:szCs w:val="22"/>
          <w:spacing w:val="-11"/>
        </w:rPr>
        <w:t>划。</w:t>
      </w:r>
    </w:p>
    <w:p>
      <w:pPr>
        <w:ind w:left="670"/>
        <w:spacing w:before="61" w:line="219" w:lineRule="auto"/>
        <w:rPr>
          <w:rFonts w:ascii="SimSun" w:hAnsi="SimSun" w:eastAsia="SimSun" w:cs="SimSun"/>
          <w:sz w:val="22"/>
          <w:szCs w:val="22"/>
        </w:rPr>
      </w:pPr>
      <w:r>
        <w:rPr>
          <w:rFonts w:ascii="SimSun" w:hAnsi="SimSun" w:eastAsia="SimSun" w:cs="SimSun"/>
          <w:sz w:val="22"/>
          <w:szCs w:val="22"/>
          <w:spacing w:val="-12"/>
        </w:rPr>
        <w:t>元数据管理策略应解决以下问题。</w:t>
      </w:r>
    </w:p>
    <w:p>
      <w:pPr>
        <w:ind w:left="670"/>
        <w:spacing w:before="59" w:line="219" w:lineRule="auto"/>
        <w:rPr>
          <w:rFonts w:ascii="SimSun" w:hAnsi="SimSun" w:eastAsia="SimSun" w:cs="SimSun"/>
          <w:sz w:val="22"/>
          <w:szCs w:val="22"/>
        </w:rPr>
      </w:pPr>
      <w:r>
        <w:rPr>
          <w:rFonts w:ascii="SimSun" w:hAnsi="SimSun" w:eastAsia="SimSun" w:cs="SimSun"/>
          <w:sz w:val="22"/>
          <w:szCs w:val="22"/>
          <w:spacing w:val="-10"/>
        </w:rPr>
        <w:t>●组织在元数据管理上的共同愿景；</w:t>
      </w:r>
    </w:p>
    <w:p>
      <w:pPr>
        <w:ind w:left="670"/>
        <w:spacing w:before="37" w:line="219" w:lineRule="auto"/>
        <w:rPr>
          <w:rFonts w:ascii="SimSun" w:hAnsi="SimSun" w:eastAsia="SimSun" w:cs="SimSun"/>
          <w:sz w:val="22"/>
          <w:szCs w:val="22"/>
        </w:rPr>
      </w:pPr>
      <w:r>
        <w:rPr>
          <w:rFonts w:ascii="SimSun" w:hAnsi="SimSun" w:eastAsia="SimSun" w:cs="SimSun"/>
          <w:sz w:val="22"/>
          <w:szCs w:val="22"/>
          <w:spacing w:val="-11"/>
        </w:rPr>
        <w:t>●相关者的角色和分工；</w:t>
      </w:r>
    </w:p>
    <w:p>
      <w:pPr>
        <w:ind w:left="670"/>
        <w:spacing w:before="71" w:line="219" w:lineRule="auto"/>
        <w:rPr>
          <w:rFonts w:ascii="SimSun" w:hAnsi="SimSun" w:eastAsia="SimSun" w:cs="SimSun"/>
          <w:sz w:val="22"/>
          <w:szCs w:val="22"/>
        </w:rPr>
      </w:pPr>
      <w:r>
        <w:rPr>
          <w:rFonts w:ascii="SimSun" w:hAnsi="SimSun" w:eastAsia="SimSun" w:cs="SimSun"/>
          <w:sz w:val="22"/>
          <w:szCs w:val="22"/>
          <w:spacing w:val="-2"/>
        </w:rPr>
        <w:t>●元数据特性(范围、类别、属性、使用等);</w:t>
      </w:r>
    </w:p>
    <w:p>
      <w:pPr>
        <w:ind w:left="670"/>
        <w:spacing w:before="49" w:line="219" w:lineRule="auto"/>
        <w:rPr>
          <w:rFonts w:ascii="SimSun" w:hAnsi="SimSun" w:eastAsia="SimSun" w:cs="SimSun"/>
          <w:sz w:val="22"/>
          <w:szCs w:val="22"/>
        </w:rPr>
      </w:pPr>
      <w:r>
        <w:rPr>
          <w:rFonts w:ascii="SimSun" w:hAnsi="SimSun" w:eastAsia="SimSun" w:cs="SimSun"/>
          <w:sz w:val="22"/>
          <w:szCs w:val="22"/>
          <w:spacing w:val="-10"/>
        </w:rPr>
        <w:t>●元数据资产的概念元模型；</w:t>
      </w:r>
    </w:p>
    <w:p>
      <w:pPr>
        <w:ind w:left="670"/>
        <w:spacing w:before="47" w:line="219" w:lineRule="auto"/>
        <w:rPr>
          <w:rFonts w:ascii="SimSun" w:hAnsi="SimSun" w:eastAsia="SimSun" w:cs="SimSun"/>
          <w:sz w:val="22"/>
          <w:szCs w:val="22"/>
        </w:rPr>
      </w:pPr>
      <w:r>
        <w:rPr>
          <w:rFonts w:ascii="SimSun" w:hAnsi="SimSun" w:eastAsia="SimSun" w:cs="SimSun"/>
          <w:sz w:val="22"/>
          <w:szCs w:val="22"/>
          <w:spacing w:val="-10"/>
        </w:rPr>
        <w:t>●元数据创建和变更中数据治理的角色和职责；</w:t>
      </w:r>
    </w:p>
    <w:p>
      <w:pPr>
        <w:ind w:left="670"/>
        <w:spacing w:before="61" w:line="219" w:lineRule="auto"/>
        <w:rPr>
          <w:rFonts w:ascii="SimSun" w:hAnsi="SimSun" w:eastAsia="SimSun" w:cs="SimSun"/>
          <w:sz w:val="22"/>
          <w:szCs w:val="22"/>
        </w:rPr>
      </w:pPr>
      <w:r>
        <w:rPr>
          <w:rFonts w:ascii="SimSun" w:hAnsi="SimSun" w:eastAsia="SimSun" w:cs="SimSun"/>
          <w:sz w:val="22"/>
          <w:szCs w:val="22"/>
          <w:spacing w:val="-9"/>
        </w:rPr>
        <w:t>●元数据管理中的一致性计划；</w:t>
      </w:r>
    </w:p>
    <w:p>
      <w:pPr>
        <w:ind w:left="670"/>
        <w:spacing w:before="59" w:line="220" w:lineRule="auto"/>
        <w:rPr>
          <w:rFonts w:ascii="SimSun" w:hAnsi="SimSun" w:eastAsia="SimSun" w:cs="SimSun"/>
          <w:sz w:val="22"/>
          <w:szCs w:val="22"/>
        </w:rPr>
      </w:pPr>
      <w:r>
        <w:rPr>
          <w:rFonts w:ascii="SimSun" w:hAnsi="SimSun" w:eastAsia="SimSun" w:cs="SimSun"/>
          <w:sz w:val="22"/>
          <w:szCs w:val="22"/>
          <w:spacing w:val="-9"/>
        </w:rPr>
        <w:t>●指导实施的顺序计划。</w:t>
      </w:r>
    </w:p>
    <w:p>
      <w:pPr>
        <w:ind w:left="200" w:right="22" w:firstLine="470"/>
        <w:spacing w:before="27" w:line="250" w:lineRule="auto"/>
        <w:jc w:val="both"/>
        <w:rPr>
          <w:rFonts w:ascii="SimSun" w:hAnsi="SimSun" w:eastAsia="SimSun" w:cs="SimSun"/>
          <w:sz w:val="22"/>
          <w:szCs w:val="22"/>
        </w:rPr>
      </w:pPr>
      <w:r>
        <w:rPr>
          <w:rFonts w:ascii="SimSun" w:hAnsi="SimSun" w:eastAsia="SimSun" w:cs="SimSun"/>
          <w:sz w:val="22"/>
          <w:szCs w:val="22"/>
          <w:spacing w:val="-5"/>
        </w:rPr>
        <w:t>随着系统的更加完整以及耦合，并且包含了外部系统(在这些外部系统中，依</w:t>
      </w:r>
      <w:r>
        <w:rPr>
          <w:rFonts w:ascii="SimSun" w:hAnsi="SimSun" w:eastAsia="SimSun" w:cs="SimSun"/>
          <w:sz w:val="22"/>
          <w:szCs w:val="22"/>
          <w:spacing w:val="1"/>
        </w:rPr>
        <w:t xml:space="preserve"> </w:t>
      </w:r>
      <w:r>
        <w:rPr>
          <w:rFonts w:ascii="SimSun" w:hAnsi="SimSun" w:eastAsia="SimSun" w:cs="SimSun"/>
          <w:sz w:val="22"/>
          <w:szCs w:val="22"/>
          <w:spacing w:val="-8"/>
        </w:rPr>
        <w:t>赖取决于合同),元数据策略应论述所有的数据源以及相关的交换标准。适当地采用</w:t>
      </w:r>
      <w:r>
        <w:rPr>
          <w:rFonts w:ascii="SimSun" w:hAnsi="SimSun" w:eastAsia="SimSun" w:cs="SimSun"/>
          <w:sz w:val="22"/>
          <w:szCs w:val="22"/>
          <w:spacing w:val="10"/>
        </w:rPr>
        <w:t xml:space="preserve"> </w:t>
      </w:r>
      <w:r>
        <w:rPr>
          <w:rFonts w:ascii="SimSun" w:hAnsi="SimSun" w:eastAsia="SimSun" w:cs="SimSun"/>
          <w:sz w:val="22"/>
          <w:szCs w:val="22"/>
          <w:spacing w:val="-8"/>
        </w:rPr>
        <w:t>外部公认的行业标准能降低内部的差异性并且</w:t>
      </w:r>
      <w:r>
        <w:rPr>
          <w:rFonts w:ascii="SimSun" w:hAnsi="SimSun" w:eastAsia="SimSun" w:cs="SimSun"/>
          <w:sz w:val="22"/>
          <w:szCs w:val="22"/>
          <w:spacing w:val="-9"/>
        </w:rPr>
        <w:t>增加组织与顾客、客户、同行与管理</w:t>
      </w:r>
      <w:r>
        <w:rPr>
          <w:rFonts w:ascii="SimSun" w:hAnsi="SimSun" w:eastAsia="SimSun" w:cs="SimSun"/>
          <w:sz w:val="22"/>
          <w:szCs w:val="22"/>
        </w:rPr>
        <w:t xml:space="preserve"> </w:t>
      </w:r>
      <w:r>
        <w:rPr>
          <w:rFonts w:ascii="SimSun" w:hAnsi="SimSun" w:eastAsia="SimSun" w:cs="SimSun"/>
          <w:sz w:val="22"/>
          <w:szCs w:val="22"/>
          <w:spacing w:val="-13"/>
        </w:rPr>
        <w:t>部门间的互操作性。</w:t>
      </w:r>
    </w:p>
    <w:p>
      <w:pPr>
        <w:spacing w:line="145" w:lineRule="exact"/>
        <w:rPr/>
      </w:pPr>
      <w:r/>
    </w:p>
    <w:tbl>
      <w:tblPr>
        <w:tblStyle w:val="TableNormal"/>
        <w:tblW w:w="758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30"/>
      </w:tblGrid>
      <w:tr>
        <w:trPr>
          <w:trHeight w:val="312"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30" w:type="dxa"/>
            <w:vAlign w:val="top"/>
          </w:tcPr>
          <w:p>
            <w:pPr>
              <w:pStyle w:val="TableText"/>
              <w:ind w:left="155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48" w:hRule="atLeast"/>
        </w:trPr>
        <w:tc>
          <w:tcPr>
            <w:tcW w:w="724" w:type="dxa"/>
            <w:vAlign w:val="top"/>
          </w:tcPr>
          <w:p>
            <w:pPr>
              <w:spacing w:line="336" w:lineRule="auto"/>
              <w:rPr>
                <w:rFonts w:ascii="Arial"/>
                <w:sz w:val="21"/>
              </w:rPr>
            </w:pPr>
            <w:r/>
          </w:p>
          <w:p>
            <w:pPr>
              <w:pStyle w:val="TableText"/>
              <w:ind w:left="234"/>
              <w:spacing w:before="52" w:line="183" w:lineRule="auto"/>
              <w:rPr>
                <w:sz w:val="16"/>
                <w:szCs w:val="16"/>
              </w:rPr>
            </w:pPr>
            <w:r>
              <w:rPr>
                <w:sz w:val="16"/>
                <w:szCs w:val="16"/>
                <w:spacing w:val="-3"/>
              </w:rPr>
              <w:t>3.2</w:t>
            </w:r>
          </w:p>
        </w:tc>
        <w:tc>
          <w:tcPr>
            <w:tcW w:w="3135" w:type="dxa"/>
            <w:vAlign w:val="top"/>
          </w:tcPr>
          <w:p>
            <w:pPr>
              <w:pStyle w:val="TableText"/>
              <w:ind w:left="41" w:firstLine="219"/>
              <w:spacing w:before="78" w:line="292" w:lineRule="auto"/>
              <w:jc w:val="both"/>
              <w:rPr>
                <w:sz w:val="16"/>
                <w:szCs w:val="16"/>
              </w:rPr>
            </w:pPr>
            <w:r>
              <w:rPr>
                <w:sz w:val="16"/>
                <w:szCs w:val="16"/>
                <w:spacing w:val="-1"/>
              </w:rPr>
              <w:t>组织的元数据库根据阶段实施计划添加了</w:t>
            </w:r>
            <w:r>
              <w:rPr>
                <w:sz w:val="16"/>
                <w:szCs w:val="16"/>
                <w:spacing w:val="1"/>
              </w:rPr>
              <w:t xml:space="preserve"> </w:t>
            </w:r>
            <w:r>
              <w:rPr>
                <w:sz w:val="16"/>
                <w:szCs w:val="16"/>
                <w:spacing w:val="-1"/>
              </w:rPr>
              <w:t>额外的元数据类别与级别，并与架构层相互 </w:t>
            </w:r>
            <w:r>
              <w:rPr>
                <w:sz w:val="16"/>
                <w:szCs w:val="16"/>
                <w:spacing w:val="37"/>
              </w:rPr>
              <w:t>联系</w:t>
            </w:r>
          </w:p>
        </w:tc>
        <w:tc>
          <w:tcPr>
            <w:tcW w:w="3730" w:type="dxa"/>
            <w:vAlign w:val="top"/>
          </w:tcPr>
          <w:p>
            <w:pPr>
              <w:pStyle w:val="TableText"/>
              <w:ind w:left="265"/>
              <w:spacing w:before="229" w:line="219" w:lineRule="auto"/>
              <w:rPr>
                <w:sz w:val="16"/>
                <w:szCs w:val="16"/>
              </w:rPr>
            </w:pPr>
            <w:r>
              <w:rPr>
                <w:sz w:val="16"/>
                <w:szCs w:val="16"/>
              </w:rPr>
              <w:t>●元数据变更管理程序</w:t>
            </w:r>
          </w:p>
          <w:p>
            <w:pPr>
              <w:pStyle w:val="TableText"/>
              <w:ind w:left="265"/>
              <w:spacing w:before="80" w:line="219" w:lineRule="auto"/>
              <w:rPr>
                <w:sz w:val="16"/>
                <w:szCs w:val="16"/>
              </w:rPr>
            </w:pPr>
            <w:r>
              <w:rPr>
                <w:sz w:val="16"/>
                <w:szCs w:val="16"/>
                <w:spacing w:val="2"/>
              </w:rPr>
              <w:t>●元数据库</w:t>
            </w:r>
          </w:p>
        </w:tc>
      </w:tr>
    </w:tbl>
    <w:p>
      <w:pPr>
        <w:ind w:left="56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00" w:right="25" w:firstLine="470"/>
        <w:spacing w:before="27" w:line="259" w:lineRule="auto"/>
        <w:rPr>
          <w:rFonts w:ascii="SimSun" w:hAnsi="SimSun" w:eastAsia="SimSun" w:cs="SimSun"/>
          <w:sz w:val="22"/>
          <w:szCs w:val="22"/>
        </w:rPr>
      </w:pPr>
      <w:r>
        <w:rPr>
          <w:rFonts w:ascii="SimSun" w:hAnsi="SimSun" w:eastAsia="SimSun" w:cs="SimSun"/>
          <w:sz w:val="22"/>
          <w:szCs w:val="22"/>
          <w:spacing w:val="-8"/>
        </w:rPr>
        <w:t>根据需求范围的不同，元数据库可能是由内部构建的，</w:t>
      </w:r>
      <w:r>
        <w:rPr>
          <w:rFonts w:ascii="SimSun" w:hAnsi="SimSun" w:eastAsia="SimSun" w:cs="SimSun"/>
          <w:sz w:val="22"/>
          <w:szCs w:val="22"/>
          <w:spacing w:val="-9"/>
        </w:rPr>
        <w:t>也可能是向第三方供应</w:t>
      </w:r>
      <w:r>
        <w:rPr>
          <w:rFonts w:ascii="SimSun" w:hAnsi="SimSun" w:eastAsia="SimSun" w:cs="SimSun"/>
          <w:sz w:val="22"/>
          <w:szCs w:val="22"/>
        </w:rPr>
        <w:t xml:space="preserve"> </w:t>
      </w:r>
      <w:r>
        <w:rPr>
          <w:rFonts w:ascii="SimSun" w:hAnsi="SimSun" w:eastAsia="SimSun" w:cs="SimSun"/>
          <w:sz w:val="22"/>
          <w:szCs w:val="22"/>
          <w:spacing w:val="-8"/>
        </w:rPr>
        <w:t>商购买的。在实际情况中，人们更倾向于选择购买而非内部构</w:t>
      </w:r>
      <w:r>
        <w:rPr>
          <w:rFonts w:ascii="SimSun" w:hAnsi="SimSun" w:eastAsia="SimSun" w:cs="SimSun"/>
          <w:sz w:val="22"/>
          <w:szCs w:val="22"/>
          <w:spacing w:val="-9"/>
        </w:rPr>
        <w:t>建元数据库，因为功</w:t>
      </w:r>
      <w:r>
        <w:rPr>
          <w:rFonts w:ascii="SimSun" w:hAnsi="SimSun" w:eastAsia="SimSun" w:cs="SimSun"/>
          <w:sz w:val="22"/>
          <w:szCs w:val="22"/>
        </w:rPr>
        <w:t xml:space="preserve"> </w:t>
      </w:r>
      <w:r>
        <w:rPr>
          <w:rFonts w:ascii="SimSun" w:hAnsi="SimSun" w:eastAsia="SimSun" w:cs="SimSun"/>
          <w:sz w:val="22"/>
          <w:szCs w:val="22"/>
          <w:spacing w:val="-8"/>
        </w:rPr>
        <w:t>能开发的成本比功能购买的成本要高。元数据库的增强取决于业</w:t>
      </w:r>
      <w:r>
        <w:rPr>
          <w:rFonts w:ascii="SimSun" w:hAnsi="SimSun" w:eastAsia="SimSun" w:cs="SimSun"/>
          <w:sz w:val="22"/>
          <w:szCs w:val="22"/>
          <w:spacing w:val="-9"/>
        </w:rPr>
        <w:t>务重点、顺序计划</w:t>
      </w:r>
      <w:r>
        <w:rPr>
          <w:rFonts w:ascii="SimSun" w:hAnsi="SimSun" w:eastAsia="SimSun" w:cs="SimSun"/>
          <w:sz w:val="22"/>
          <w:szCs w:val="22"/>
        </w:rPr>
        <w:t xml:space="preserve"> </w:t>
      </w:r>
      <w:r>
        <w:rPr>
          <w:rFonts w:ascii="SimSun" w:hAnsi="SimSun" w:eastAsia="SimSun" w:cs="SimSun"/>
          <w:sz w:val="22"/>
          <w:szCs w:val="22"/>
          <w:spacing w:val="-8"/>
        </w:rPr>
        <w:t>以及可用的资源。初始元模型通过模型变更得以增强</w:t>
      </w:r>
      <w:r>
        <w:rPr>
          <w:rFonts w:ascii="SimSun" w:hAnsi="SimSun" w:eastAsia="SimSun" w:cs="SimSun"/>
          <w:sz w:val="22"/>
          <w:szCs w:val="22"/>
          <w:spacing w:val="-9"/>
        </w:rPr>
        <w:t>和扩展，反映了元数据的完整</w:t>
      </w:r>
      <w:r>
        <w:rPr>
          <w:rFonts w:ascii="SimSun" w:hAnsi="SimSun" w:eastAsia="SimSun" w:cs="SimSun"/>
          <w:sz w:val="22"/>
          <w:szCs w:val="22"/>
        </w:rPr>
        <w:t xml:space="preserve"> </w:t>
      </w:r>
      <w:r>
        <w:rPr>
          <w:rFonts w:ascii="SimSun" w:hAnsi="SimSun" w:eastAsia="SimSun" w:cs="SimSun"/>
          <w:sz w:val="22"/>
          <w:szCs w:val="22"/>
          <w:spacing w:val="-10"/>
        </w:rPr>
        <w:t>性在不断提升。以下元素通常构成了元数据的扩充和扩展。</w:t>
      </w:r>
    </w:p>
    <w:p>
      <w:pPr>
        <w:ind w:left="670"/>
        <w:spacing w:before="59" w:line="219" w:lineRule="auto"/>
        <w:rPr>
          <w:rFonts w:ascii="SimSun" w:hAnsi="SimSun" w:eastAsia="SimSun" w:cs="SimSun"/>
          <w:sz w:val="22"/>
          <w:szCs w:val="22"/>
        </w:rPr>
      </w:pPr>
      <w:r>
        <w:rPr>
          <w:rFonts w:ascii="SimSun" w:hAnsi="SimSun" w:eastAsia="SimSun" w:cs="SimSun"/>
          <w:sz w:val="22"/>
          <w:szCs w:val="22"/>
          <w:spacing w:val="-9"/>
        </w:rPr>
        <w:t>●数据质量规则，包括与来源真实性以及出处相关的规则；</w:t>
      </w:r>
    </w:p>
    <w:p>
      <w:pPr>
        <w:ind w:left="670"/>
        <w:spacing w:before="49" w:line="219" w:lineRule="auto"/>
        <w:rPr>
          <w:rFonts w:ascii="SimSun" w:hAnsi="SimSun" w:eastAsia="SimSun" w:cs="SimSun"/>
          <w:sz w:val="22"/>
          <w:szCs w:val="22"/>
        </w:rPr>
      </w:pPr>
      <w:r>
        <w:rPr>
          <w:rFonts w:ascii="SimSun" w:hAnsi="SimSun" w:eastAsia="SimSun" w:cs="SimSun"/>
          <w:sz w:val="22"/>
          <w:szCs w:val="22"/>
          <w:spacing w:val="-8"/>
        </w:rPr>
        <w:t>●业务规则；</w:t>
      </w:r>
    </w:p>
    <w:p>
      <w:pPr>
        <w:spacing w:line="219" w:lineRule="auto"/>
        <w:sectPr>
          <w:footerReference w:type="default" r:id="rId214"/>
          <w:pgSz w:w="8870" w:h="13400"/>
          <w:pgMar w:top="400" w:right="644" w:bottom="525" w:left="329" w:header="0" w:footer="306" w:gutter="0"/>
        </w:sectPr>
        <w:rPr>
          <w:rFonts w:ascii="SimSun" w:hAnsi="SimSun" w:eastAsia="SimSun" w:cs="SimSun"/>
          <w:sz w:val="22"/>
          <w:szCs w:val="22"/>
        </w:rPr>
      </w:pPr>
    </w:p>
    <w:p>
      <w:pPr>
        <w:ind w:left="5493"/>
        <w:spacing w:before="224" w:line="219" w:lineRule="auto"/>
        <w:rPr>
          <w:rFonts w:ascii="SimSun" w:hAnsi="SimSun" w:eastAsia="SimSun" w:cs="SimSun"/>
          <w:sz w:val="22"/>
          <w:szCs w:val="22"/>
        </w:rPr>
      </w:pPr>
      <w:r>
        <w:rPr>
          <w:rFonts w:ascii="SimSun" w:hAnsi="SimSun" w:eastAsia="SimSun" w:cs="SimSun"/>
          <w:sz w:val="22"/>
          <w:szCs w:val="22"/>
          <w:b/>
          <w:bCs/>
          <w:spacing w:val="5"/>
        </w:rPr>
        <w:t>第5章■云端数据管理</w:t>
      </w:r>
    </w:p>
    <w:p>
      <w:pPr>
        <w:pStyle w:val="BodyText"/>
        <w:spacing w:line="241" w:lineRule="auto"/>
        <w:rPr/>
      </w:pPr>
      <w:r/>
    </w:p>
    <w:p>
      <w:pPr>
        <w:ind w:left="399"/>
        <w:spacing w:before="71" w:line="220" w:lineRule="auto"/>
        <w:rPr>
          <w:rFonts w:ascii="SimSun" w:hAnsi="SimSun" w:eastAsia="SimSun" w:cs="SimSun"/>
          <w:sz w:val="22"/>
          <w:szCs w:val="22"/>
        </w:rPr>
      </w:pPr>
      <w:r>
        <w:rPr>
          <w:rFonts w:ascii="SimSun" w:hAnsi="SimSun" w:eastAsia="SimSun" w:cs="SimSun"/>
          <w:sz w:val="22"/>
          <w:szCs w:val="22"/>
          <w:spacing w:val="1"/>
        </w:rPr>
        <w:t>●扩展的分级(由组织添加);</w:t>
      </w:r>
    </w:p>
    <w:p>
      <w:pPr>
        <w:ind w:left="399"/>
        <w:spacing w:before="57" w:line="219" w:lineRule="auto"/>
        <w:rPr>
          <w:rFonts w:ascii="SimSun" w:hAnsi="SimSun" w:eastAsia="SimSun" w:cs="SimSun"/>
          <w:sz w:val="22"/>
          <w:szCs w:val="22"/>
        </w:rPr>
      </w:pPr>
      <w:r>
        <w:rPr>
          <w:rFonts w:ascii="SimSun" w:hAnsi="SimSun" w:eastAsia="SimSun" w:cs="SimSun"/>
          <w:sz w:val="22"/>
          <w:szCs w:val="22"/>
          <w:spacing w:val="-11"/>
        </w:rPr>
        <w:t>●组织级分级和业务领域分级的差别；</w:t>
      </w:r>
    </w:p>
    <w:p>
      <w:pPr>
        <w:ind w:left="399"/>
        <w:spacing w:before="59" w:line="219" w:lineRule="auto"/>
        <w:rPr>
          <w:rFonts w:ascii="SimSun" w:hAnsi="SimSun" w:eastAsia="SimSun" w:cs="SimSun"/>
          <w:sz w:val="22"/>
          <w:szCs w:val="22"/>
        </w:rPr>
      </w:pPr>
      <w:r>
        <w:rPr>
          <w:rFonts w:ascii="SimSun" w:hAnsi="SimSun" w:eastAsia="SimSun" w:cs="SimSun"/>
          <w:sz w:val="22"/>
          <w:szCs w:val="22"/>
          <w:spacing w:val="1"/>
        </w:rPr>
        <w:t>●权威数据来源(可信来源);</w:t>
      </w:r>
    </w:p>
    <w:p>
      <w:pPr>
        <w:ind w:left="399"/>
        <w:spacing w:before="48" w:line="219" w:lineRule="auto"/>
        <w:rPr>
          <w:rFonts w:ascii="SimSun" w:hAnsi="SimSun" w:eastAsia="SimSun" w:cs="SimSun"/>
          <w:sz w:val="22"/>
          <w:szCs w:val="22"/>
        </w:rPr>
      </w:pPr>
      <w:r>
        <w:rPr>
          <w:rFonts w:ascii="SimSun" w:hAnsi="SimSun" w:eastAsia="SimSun" w:cs="SimSun"/>
          <w:sz w:val="22"/>
          <w:szCs w:val="22"/>
          <w:spacing w:val="-11"/>
        </w:rPr>
        <w:t>●为业务词汇分配数据管理员；</w:t>
      </w:r>
    </w:p>
    <w:p>
      <w:pPr>
        <w:ind w:left="399"/>
        <w:spacing w:before="59" w:line="219" w:lineRule="auto"/>
        <w:rPr>
          <w:rFonts w:ascii="SimSun" w:hAnsi="SimSun" w:eastAsia="SimSun" w:cs="SimSun"/>
          <w:sz w:val="22"/>
          <w:szCs w:val="22"/>
        </w:rPr>
      </w:pPr>
      <w:r>
        <w:rPr>
          <w:rFonts w:ascii="SimSun" w:hAnsi="SimSun" w:eastAsia="SimSun" w:cs="SimSun"/>
          <w:sz w:val="22"/>
          <w:szCs w:val="22"/>
          <w:spacing w:val="-11"/>
        </w:rPr>
        <w:t>●为物理数据对象分配数据监管员；</w:t>
      </w:r>
    </w:p>
    <w:p>
      <w:pPr>
        <w:ind w:left="399"/>
        <w:spacing w:before="59" w:line="219" w:lineRule="auto"/>
        <w:rPr>
          <w:rFonts w:ascii="SimSun" w:hAnsi="SimSun" w:eastAsia="SimSun" w:cs="SimSun"/>
          <w:sz w:val="22"/>
          <w:szCs w:val="22"/>
        </w:rPr>
      </w:pPr>
      <w:r>
        <w:rPr>
          <w:rFonts w:ascii="SimSun" w:hAnsi="SimSun" w:eastAsia="SimSun" w:cs="SimSun"/>
          <w:sz w:val="22"/>
          <w:szCs w:val="22"/>
          <w:spacing w:val="-2"/>
        </w:rPr>
        <w:t>●包含转换逻辑的过程元数据(例如，提取转</w:t>
      </w:r>
      <w:r>
        <w:rPr>
          <w:rFonts w:ascii="SimSun" w:hAnsi="SimSun" w:eastAsia="SimSun" w:cs="SimSun"/>
          <w:sz w:val="22"/>
          <w:szCs w:val="22"/>
          <w:spacing w:val="-3"/>
        </w:rPr>
        <w:t>换加载);</w:t>
      </w:r>
    </w:p>
    <w:p>
      <w:pPr>
        <w:ind w:left="399"/>
        <w:spacing w:before="28" w:line="219" w:lineRule="auto"/>
        <w:rPr>
          <w:rFonts w:ascii="SimSun" w:hAnsi="SimSun" w:eastAsia="SimSun" w:cs="SimSun"/>
          <w:sz w:val="22"/>
          <w:szCs w:val="22"/>
        </w:rPr>
      </w:pPr>
      <w:r>
        <w:rPr>
          <w:rFonts w:ascii="SimSun" w:hAnsi="SimSun" w:eastAsia="SimSun" w:cs="SimSun"/>
          <w:sz w:val="22"/>
          <w:szCs w:val="22"/>
          <w:spacing w:val="-11"/>
        </w:rPr>
        <w:t>●为静止数据构建以下架构层的联接；</w:t>
      </w:r>
    </w:p>
    <w:p>
      <w:pPr>
        <w:ind w:left="399"/>
        <w:spacing w:before="60" w:line="219" w:lineRule="auto"/>
        <w:rPr>
          <w:rFonts w:ascii="SimSun" w:hAnsi="SimSun" w:eastAsia="SimSun" w:cs="SimSun"/>
          <w:sz w:val="22"/>
          <w:szCs w:val="22"/>
        </w:rPr>
      </w:pPr>
      <w:r>
        <w:rPr>
          <w:rFonts w:ascii="SimSun" w:hAnsi="SimSun" w:eastAsia="SimSun" w:cs="SimSun"/>
          <w:sz w:val="22"/>
          <w:szCs w:val="22"/>
          <w:spacing w:val="-8"/>
        </w:rPr>
        <w:t>●业务词汇；</w:t>
      </w:r>
    </w:p>
    <w:p>
      <w:pPr>
        <w:ind w:left="399"/>
        <w:spacing w:before="49" w:line="219" w:lineRule="auto"/>
        <w:rPr>
          <w:rFonts w:ascii="SimSun" w:hAnsi="SimSun" w:eastAsia="SimSun" w:cs="SimSun"/>
          <w:sz w:val="22"/>
          <w:szCs w:val="22"/>
        </w:rPr>
      </w:pPr>
      <w:r>
        <w:rPr>
          <w:rFonts w:ascii="SimSun" w:hAnsi="SimSun" w:eastAsia="SimSun" w:cs="SimSun"/>
          <w:sz w:val="22"/>
          <w:szCs w:val="22"/>
          <w:spacing w:val="-8"/>
        </w:rPr>
        <w:t>●组织逻辑数据模型；</w:t>
      </w:r>
    </w:p>
    <w:p>
      <w:pPr>
        <w:ind w:left="399"/>
        <w:spacing w:before="39" w:line="219" w:lineRule="auto"/>
        <w:rPr>
          <w:rFonts w:ascii="SimSun" w:hAnsi="SimSun" w:eastAsia="SimSun" w:cs="SimSun"/>
          <w:sz w:val="22"/>
          <w:szCs w:val="22"/>
        </w:rPr>
      </w:pPr>
      <w:r>
        <w:rPr>
          <w:rFonts w:ascii="SimSun" w:hAnsi="SimSun" w:eastAsia="SimSun" w:cs="SimSun"/>
          <w:sz w:val="22"/>
          <w:szCs w:val="22"/>
          <w:spacing w:val="-9"/>
        </w:rPr>
        <w:t>●逻辑数据模型；</w:t>
      </w:r>
    </w:p>
    <w:p>
      <w:pPr>
        <w:ind w:left="399"/>
        <w:spacing w:before="49" w:line="219" w:lineRule="auto"/>
        <w:rPr>
          <w:rFonts w:ascii="SimSun" w:hAnsi="SimSun" w:eastAsia="SimSun" w:cs="SimSun"/>
          <w:sz w:val="22"/>
          <w:szCs w:val="22"/>
        </w:rPr>
      </w:pPr>
      <w:r>
        <w:rPr>
          <w:rFonts w:ascii="SimSun" w:hAnsi="SimSun" w:eastAsia="SimSun" w:cs="SimSun"/>
          <w:sz w:val="22"/>
          <w:szCs w:val="22"/>
          <w:spacing w:val="-9"/>
        </w:rPr>
        <w:t>●物理数据模型；</w:t>
      </w:r>
    </w:p>
    <w:p>
      <w:pPr>
        <w:ind w:left="399"/>
        <w:spacing w:before="79" w:line="219" w:lineRule="auto"/>
        <w:rPr>
          <w:rFonts w:ascii="SimSun" w:hAnsi="SimSun" w:eastAsia="SimSun" w:cs="SimSun"/>
          <w:sz w:val="22"/>
          <w:szCs w:val="22"/>
        </w:rPr>
      </w:pPr>
      <w:r>
        <w:rPr>
          <w:rFonts w:ascii="SimSun" w:hAnsi="SimSun" w:eastAsia="SimSun" w:cs="SimSun"/>
          <w:sz w:val="22"/>
          <w:szCs w:val="22"/>
          <w:spacing w:val="-11"/>
        </w:rPr>
        <w:t>●数据库方案；</w:t>
      </w:r>
    </w:p>
    <w:p>
      <w:pPr>
        <w:ind w:left="399"/>
        <w:spacing w:before="39" w:line="219" w:lineRule="auto"/>
        <w:rPr>
          <w:rFonts w:ascii="SimSun" w:hAnsi="SimSun" w:eastAsia="SimSun" w:cs="SimSun"/>
          <w:sz w:val="22"/>
          <w:szCs w:val="22"/>
        </w:rPr>
      </w:pPr>
      <w:r>
        <w:rPr>
          <w:rFonts w:ascii="SimSun" w:hAnsi="SimSun" w:eastAsia="SimSun" w:cs="SimSun"/>
          <w:sz w:val="22"/>
          <w:szCs w:val="22"/>
          <w:spacing w:val="-17"/>
        </w:rPr>
        <w:t>● BI层；</w:t>
      </w:r>
    </w:p>
    <w:p>
      <w:pPr>
        <w:ind w:left="399"/>
        <w:spacing w:before="59" w:line="219" w:lineRule="auto"/>
        <w:rPr>
          <w:rFonts w:ascii="SimSun" w:hAnsi="SimSun" w:eastAsia="SimSun" w:cs="SimSun"/>
          <w:sz w:val="22"/>
          <w:szCs w:val="22"/>
        </w:rPr>
      </w:pPr>
      <w:r>
        <w:rPr>
          <w:rFonts w:ascii="SimSun" w:hAnsi="SimSun" w:eastAsia="SimSun" w:cs="SimSun"/>
          <w:sz w:val="22"/>
          <w:szCs w:val="22"/>
          <w:spacing w:val="-2"/>
        </w:rPr>
        <w:t>●物理数据沿袭(来源—转换—目标);</w:t>
      </w:r>
    </w:p>
    <w:p>
      <w:pPr>
        <w:ind w:left="399"/>
        <w:spacing w:before="46" w:line="326" w:lineRule="exact"/>
        <w:rPr>
          <w:rFonts w:ascii="SimSun" w:hAnsi="SimSun" w:eastAsia="SimSun" w:cs="SimSun"/>
          <w:sz w:val="22"/>
          <w:szCs w:val="22"/>
        </w:rPr>
      </w:pPr>
      <w:r>
        <w:rPr>
          <w:rFonts w:ascii="STXingkai" w:hAnsi="STXingkai" w:eastAsia="STXingkai" w:cs="STXingkai"/>
          <w:sz w:val="22"/>
          <w:szCs w:val="22"/>
          <w:spacing w:val="-8"/>
          <w:position w:val="2"/>
        </w:rPr>
        <w:t>●</w:t>
      </w:r>
      <w:r>
        <w:rPr>
          <w:rFonts w:ascii="STXingkai" w:hAnsi="STXingkai" w:eastAsia="STXingkai" w:cs="STXingkai"/>
          <w:sz w:val="22"/>
          <w:szCs w:val="22"/>
          <w:spacing w:val="51"/>
          <w:w w:val="101"/>
          <w:position w:val="2"/>
        </w:rPr>
        <w:t xml:space="preserve"> </w:t>
      </w:r>
      <w:r>
        <w:rPr>
          <w:rFonts w:ascii="SimSun" w:hAnsi="SimSun" w:eastAsia="SimSun" w:cs="SimSun"/>
          <w:sz w:val="22"/>
          <w:szCs w:val="22"/>
          <w:spacing w:val="-8"/>
          <w:position w:val="2"/>
        </w:rPr>
        <w:t>元数据历史和版本管理(以进行审计和变更控制)。</w:t>
      </w:r>
    </w:p>
    <w:p>
      <w:pPr>
        <w:spacing w:line="53" w:lineRule="exact"/>
        <w:rPr/>
      </w:pPr>
      <w:r/>
    </w:p>
    <w:tbl>
      <w:tblPr>
        <w:tblStyle w:val="TableNormal"/>
        <w:tblW w:w="7599"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22" w:hRule="atLeast"/>
        </w:trPr>
        <w:tc>
          <w:tcPr>
            <w:tcW w:w="714" w:type="dxa"/>
            <w:vAlign w:val="top"/>
          </w:tcPr>
          <w:p>
            <w:pPr>
              <w:pStyle w:val="TableText"/>
              <w:ind w:left="195"/>
              <w:spacing w:before="92" w:line="221" w:lineRule="auto"/>
              <w:rPr/>
            </w:pPr>
            <w:r>
              <w:rPr>
                <w:spacing w:val="-2"/>
              </w:rPr>
              <w:t>序号</w:t>
            </w:r>
          </w:p>
        </w:tc>
        <w:tc>
          <w:tcPr>
            <w:tcW w:w="313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91" w:line="220" w:lineRule="auto"/>
              <w:rPr/>
            </w:pPr>
            <w:r>
              <w:rPr>
                <w:spacing w:val="-5"/>
              </w:rPr>
              <w:t>实</w:t>
            </w:r>
            <w:r>
              <w:rPr>
                <w:spacing w:val="6"/>
              </w:rPr>
              <w:t xml:space="preserve">    </w:t>
            </w:r>
            <w:r>
              <w:rPr>
                <w:spacing w:val="-5"/>
              </w:rPr>
              <w:t>例</w:t>
            </w:r>
          </w:p>
        </w:tc>
      </w:tr>
      <w:tr>
        <w:trPr>
          <w:trHeight w:val="838" w:hRule="atLeast"/>
        </w:trPr>
        <w:tc>
          <w:tcPr>
            <w:tcW w:w="714" w:type="dxa"/>
            <w:vAlign w:val="top"/>
          </w:tcPr>
          <w:p>
            <w:pPr>
              <w:spacing w:line="337" w:lineRule="auto"/>
              <w:rPr>
                <w:rFonts w:ascii="Arial"/>
                <w:sz w:val="21"/>
              </w:rPr>
            </w:pPr>
            <w:r/>
          </w:p>
          <w:p>
            <w:pPr>
              <w:pStyle w:val="TableText"/>
              <w:ind w:left="235"/>
              <w:spacing w:before="48" w:line="183" w:lineRule="auto"/>
              <w:rPr/>
            </w:pPr>
            <w:r>
              <w:rPr>
                <w:spacing w:val="-2"/>
              </w:rPr>
              <w:t>3.3</w:t>
            </w:r>
          </w:p>
        </w:tc>
        <w:tc>
          <w:tcPr>
            <w:tcW w:w="3135" w:type="dxa"/>
            <w:vAlign w:val="top"/>
          </w:tcPr>
          <w:p>
            <w:pPr>
              <w:pStyle w:val="TableText"/>
              <w:ind w:left="111" w:right="178" w:firstLine="129"/>
              <w:spacing w:before="219" w:line="282" w:lineRule="auto"/>
              <w:rPr/>
            </w:pPr>
            <w:r>
              <w:rPr/>
              <w:t>元数据管理功能以数据管理工作为中心，</w:t>
            </w:r>
            <w:r>
              <w:rPr>
                <w:spacing w:val="4"/>
              </w:rPr>
              <w:t xml:space="preserve"> </w:t>
            </w:r>
            <w:r>
              <w:rPr/>
              <w:t>由数据治理进行监督</w:t>
            </w:r>
          </w:p>
        </w:tc>
        <w:tc>
          <w:tcPr>
            <w:tcW w:w="3750" w:type="dxa"/>
            <w:vAlign w:val="top"/>
          </w:tcPr>
          <w:p>
            <w:pPr>
              <w:pStyle w:val="TableText"/>
              <w:ind w:left="276"/>
              <w:spacing w:before="89" w:line="219" w:lineRule="auto"/>
              <w:rPr/>
            </w:pPr>
            <w:r>
              <w:rPr/>
              <w:t>●元数据分类分级控制程序</w:t>
            </w:r>
          </w:p>
          <w:p>
            <w:pPr>
              <w:pStyle w:val="TableText"/>
              <w:ind w:left="276"/>
              <w:spacing w:before="92" w:line="219" w:lineRule="auto"/>
              <w:rPr/>
            </w:pPr>
            <w:r>
              <w:rPr>
                <w:spacing w:val="1"/>
              </w:rPr>
              <w:t>●元数据管理程序</w:t>
            </w:r>
          </w:p>
          <w:p>
            <w:pPr>
              <w:pStyle w:val="TableText"/>
              <w:ind w:left="276"/>
              <w:spacing w:before="100" w:line="219" w:lineRule="auto"/>
              <w:rPr/>
            </w:pPr>
            <w:r>
              <w:rPr/>
              <w:t>●元数据角色和分工</w:t>
            </w:r>
          </w:p>
        </w:tc>
      </w:tr>
    </w:tbl>
    <w:p>
      <w:pPr>
        <w:ind w:left="28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99"/>
        <w:spacing w:before="69" w:line="219" w:lineRule="auto"/>
        <w:rPr>
          <w:rFonts w:ascii="SimSun" w:hAnsi="SimSun" w:eastAsia="SimSun" w:cs="SimSun"/>
          <w:sz w:val="22"/>
          <w:szCs w:val="22"/>
        </w:rPr>
      </w:pPr>
      <w:r>
        <w:rPr>
          <w:rFonts w:ascii="SimSun" w:hAnsi="SimSun" w:eastAsia="SimSun" w:cs="SimSun"/>
          <w:sz w:val="22"/>
          <w:szCs w:val="22"/>
          <w:spacing w:val="-10"/>
        </w:rPr>
        <w:t>元数据相关工作包含分类、属性确定、标准制订以及组织级的实施。</w:t>
      </w:r>
    </w:p>
    <w:p>
      <w:pPr>
        <w:ind w:right="207" w:firstLine="399"/>
        <w:spacing w:before="46" w:line="254" w:lineRule="auto"/>
        <w:rPr>
          <w:rFonts w:ascii="SimSun" w:hAnsi="SimSun" w:eastAsia="SimSun" w:cs="SimSun"/>
          <w:sz w:val="22"/>
          <w:szCs w:val="22"/>
        </w:rPr>
      </w:pPr>
      <w:r>
        <w:rPr>
          <w:rFonts w:ascii="SimSun" w:hAnsi="SimSun" w:eastAsia="SimSun" w:cs="SimSun"/>
          <w:sz w:val="22"/>
          <w:szCs w:val="22"/>
          <w:spacing w:val="-8"/>
        </w:rPr>
        <w:t>元数据因其所涉及的问题范围更广、更具技术性而不同于普通数据，并且涵盖</w:t>
      </w:r>
      <w:r>
        <w:rPr>
          <w:rFonts w:ascii="SimSun" w:hAnsi="SimSun" w:eastAsia="SimSun" w:cs="SimSun"/>
          <w:sz w:val="22"/>
          <w:szCs w:val="22"/>
          <w:spacing w:val="11"/>
        </w:rPr>
        <w:t xml:space="preserve"> </w:t>
      </w:r>
      <w:r>
        <w:rPr>
          <w:rFonts w:ascii="SimSun" w:hAnsi="SimSun" w:eastAsia="SimSun" w:cs="SimSun"/>
          <w:sz w:val="22"/>
          <w:szCs w:val="22"/>
          <w:spacing w:val="-10"/>
        </w:rPr>
        <w:t>了一些与普通数据生命周期过程无关的内容。元数据更多地受项目的影响，而从数 </w:t>
      </w:r>
      <w:r>
        <w:rPr>
          <w:rFonts w:ascii="SimSun" w:hAnsi="SimSun" w:eastAsia="SimSun" w:cs="SimSun"/>
          <w:sz w:val="22"/>
          <w:szCs w:val="22"/>
          <w:spacing w:val="-8"/>
        </w:rPr>
        <w:t>据治理的角度上看，元数据的范围与深度使其治理</w:t>
      </w:r>
      <w:r>
        <w:rPr>
          <w:rFonts w:ascii="SimSun" w:hAnsi="SimSun" w:eastAsia="SimSun" w:cs="SimSun"/>
          <w:sz w:val="22"/>
          <w:szCs w:val="22"/>
          <w:spacing w:val="-9"/>
        </w:rPr>
        <w:t>具备很大难度。尽管元数据的建</w:t>
      </w:r>
      <w:r>
        <w:rPr>
          <w:rFonts w:ascii="SimSun" w:hAnsi="SimSun" w:eastAsia="SimSun" w:cs="SimSun"/>
          <w:sz w:val="22"/>
          <w:szCs w:val="22"/>
        </w:rPr>
        <w:t xml:space="preserve"> </w:t>
      </w:r>
      <w:r>
        <w:rPr>
          <w:rFonts w:ascii="SimSun" w:hAnsi="SimSun" w:eastAsia="SimSun" w:cs="SimSun"/>
          <w:sz w:val="22"/>
          <w:szCs w:val="22"/>
          <w:spacing w:val="-8"/>
        </w:rPr>
        <w:t>立和元数据的维护具备重要的差异性，能够将基于项目的元数据纳入整体数据治理</w:t>
      </w:r>
      <w:r>
        <w:rPr>
          <w:rFonts w:ascii="SimSun" w:hAnsi="SimSun" w:eastAsia="SimSun" w:cs="SimSun"/>
          <w:sz w:val="22"/>
          <w:szCs w:val="22"/>
          <w:spacing w:val="14"/>
        </w:rPr>
        <w:t xml:space="preserve"> </w:t>
      </w:r>
      <w:r>
        <w:rPr>
          <w:rFonts w:ascii="SimSun" w:hAnsi="SimSun" w:eastAsia="SimSun" w:cs="SimSun"/>
          <w:sz w:val="22"/>
          <w:szCs w:val="22"/>
          <w:spacing w:val="-8"/>
        </w:rPr>
        <w:t>活动中也还是非常重要的，特别是对主要的数据</w:t>
      </w:r>
      <w:r>
        <w:rPr>
          <w:rFonts w:ascii="SimSun" w:hAnsi="SimSun" w:eastAsia="SimSun" w:cs="SimSun"/>
          <w:sz w:val="22"/>
          <w:szCs w:val="22"/>
          <w:spacing w:val="-9"/>
        </w:rPr>
        <w:t>管理、数据仓储、元数据库实施活</w:t>
      </w:r>
      <w:r>
        <w:rPr>
          <w:rFonts w:ascii="SimSun" w:hAnsi="SimSun" w:eastAsia="SimSun" w:cs="SimSun"/>
          <w:sz w:val="22"/>
          <w:szCs w:val="22"/>
        </w:rPr>
        <w:t xml:space="preserve"> </w:t>
      </w:r>
      <w:r>
        <w:rPr>
          <w:rFonts w:ascii="SimSun" w:hAnsi="SimSun" w:eastAsia="SimSun" w:cs="SimSun"/>
          <w:sz w:val="22"/>
          <w:szCs w:val="22"/>
          <w:spacing w:val="-16"/>
        </w:rPr>
        <w:t>动至关重要。</w:t>
      </w:r>
    </w:p>
    <w:p>
      <w:pPr>
        <w:ind w:right="224" w:firstLine="399"/>
        <w:spacing w:before="57" w:line="252" w:lineRule="auto"/>
        <w:rPr>
          <w:rFonts w:ascii="SimSun" w:hAnsi="SimSun" w:eastAsia="SimSun" w:cs="SimSun"/>
          <w:sz w:val="22"/>
          <w:szCs w:val="22"/>
        </w:rPr>
      </w:pPr>
      <w:r>
        <w:rPr>
          <w:rFonts w:ascii="SimSun" w:hAnsi="SimSun" w:eastAsia="SimSun" w:cs="SimSun"/>
          <w:sz w:val="22"/>
          <w:szCs w:val="22"/>
          <w:spacing w:val="-9"/>
        </w:rPr>
        <w:t>由于元数据在业务与技术环境中的应用范围广、程度深，角色与职责会涉及到</w:t>
      </w:r>
      <w:r>
        <w:rPr>
          <w:rFonts w:ascii="SimSun" w:hAnsi="SimSun" w:eastAsia="SimSun" w:cs="SimSun"/>
          <w:sz w:val="22"/>
          <w:szCs w:val="22"/>
          <w:spacing w:val="9"/>
        </w:rPr>
        <w:t xml:space="preserve"> </w:t>
      </w:r>
      <w:r>
        <w:rPr>
          <w:rFonts w:ascii="SimSun" w:hAnsi="SimSun" w:eastAsia="SimSun" w:cs="SimSun"/>
          <w:sz w:val="22"/>
          <w:szCs w:val="22"/>
          <w:spacing w:val="-8"/>
        </w:rPr>
        <w:t>不同领域的许多职员。通常来说，最好是将数据管理功能进行分配，以推动</w:t>
      </w:r>
      <w:r>
        <w:rPr>
          <w:rFonts w:ascii="SimSun" w:hAnsi="SimSun" w:eastAsia="SimSun" w:cs="SimSun"/>
          <w:sz w:val="22"/>
          <w:szCs w:val="22"/>
          <w:spacing w:val="-9"/>
        </w:rPr>
        <w:t>人员间</w:t>
      </w:r>
      <w:r>
        <w:rPr>
          <w:rFonts w:ascii="SimSun" w:hAnsi="SimSun" w:eastAsia="SimSun" w:cs="SimSun"/>
          <w:sz w:val="22"/>
          <w:szCs w:val="22"/>
        </w:rPr>
        <w:t xml:space="preserve"> </w:t>
      </w:r>
      <w:r>
        <w:rPr>
          <w:rFonts w:ascii="SimSun" w:hAnsi="SimSun" w:eastAsia="SimSun" w:cs="SimSun"/>
          <w:sz w:val="22"/>
          <w:szCs w:val="22"/>
          <w:spacing w:val="-8"/>
        </w:rPr>
        <w:t>的共同合作努力，另外，由于需要相关人员投</w:t>
      </w:r>
      <w:r>
        <w:rPr>
          <w:rFonts w:ascii="SimSun" w:hAnsi="SimSun" w:eastAsia="SimSun" w:cs="SimSun"/>
          <w:sz w:val="22"/>
          <w:szCs w:val="22"/>
          <w:spacing w:val="-9"/>
        </w:rPr>
        <w:t>入时间进行工作，因此要将数据管理</w:t>
      </w:r>
      <w:r>
        <w:rPr>
          <w:rFonts w:ascii="SimSun" w:hAnsi="SimSun" w:eastAsia="SimSun" w:cs="SimSun"/>
          <w:sz w:val="22"/>
          <w:szCs w:val="22"/>
        </w:rPr>
        <w:t xml:space="preserve"> </w:t>
      </w:r>
      <w:r>
        <w:rPr>
          <w:rFonts w:ascii="SimSun" w:hAnsi="SimSun" w:eastAsia="SimSun" w:cs="SimSun"/>
          <w:sz w:val="22"/>
          <w:szCs w:val="22"/>
          <w:spacing w:val="-8"/>
        </w:rPr>
        <w:t>功能分配情况完全告知相关者并获取他们的同意。</w:t>
      </w:r>
      <w:r>
        <w:rPr>
          <w:rFonts w:ascii="SimSun" w:hAnsi="SimSun" w:eastAsia="SimSun" w:cs="SimSun"/>
          <w:sz w:val="22"/>
          <w:szCs w:val="22"/>
          <w:spacing w:val="-9"/>
        </w:rPr>
        <w:t>数据过程由于有整个组织的代表</w:t>
      </w:r>
      <w:r>
        <w:rPr>
          <w:rFonts w:ascii="SimSun" w:hAnsi="SimSun" w:eastAsia="SimSun" w:cs="SimSun"/>
          <w:sz w:val="22"/>
          <w:szCs w:val="22"/>
        </w:rPr>
        <w:t xml:space="preserve"> </w:t>
      </w:r>
      <w:r>
        <w:rPr>
          <w:rFonts w:ascii="SimSun" w:hAnsi="SimSun" w:eastAsia="SimSun" w:cs="SimSun"/>
          <w:sz w:val="22"/>
          <w:szCs w:val="22"/>
          <w:spacing w:val="-11"/>
        </w:rPr>
        <w:t>人员参与，因此能够执行最后的审批并确保一致意见的达成。</w:t>
      </w:r>
    </w:p>
    <w:p>
      <w:pPr>
        <w:spacing w:line="135" w:lineRule="exact"/>
        <w:rPr/>
      </w:pPr>
      <w:r/>
    </w:p>
    <w:tbl>
      <w:tblPr>
        <w:tblStyle w:val="TableNormal"/>
        <w:tblW w:w="759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6"/>
        <w:gridCol w:w="375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16" w:type="dxa"/>
            <w:vAlign w:val="top"/>
          </w:tcPr>
          <w:p>
            <w:pPr>
              <w:pStyle w:val="TableText"/>
              <w:ind w:left="1141"/>
              <w:spacing w:before="81" w:line="219" w:lineRule="auto"/>
              <w:rPr>
                <w:sz w:val="16"/>
                <w:szCs w:val="16"/>
              </w:rPr>
            </w:pPr>
            <w:r>
              <w:rPr>
                <w:sz w:val="16"/>
                <w:szCs w:val="16"/>
                <w:spacing w:val="-4"/>
              </w:rPr>
              <w:t>等 级 要 求</w:t>
            </w:r>
          </w:p>
        </w:tc>
        <w:tc>
          <w:tcPr>
            <w:tcW w:w="375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9" w:hRule="atLeast"/>
        </w:trPr>
        <w:tc>
          <w:tcPr>
            <w:tcW w:w="724" w:type="dxa"/>
            <w:vAlign w:val="top"/>
          </w:tcPr>
          <w:p>
            <w:pPr>
              <w:pStyle w:val="TableText"/>
              <w:ind w:left="235"/>
              <w:spacing w:before="251" w:line="183" w:lineRule="auto"/>
              <w:rPr>
                <w:sz w:val="16"/>
                <w:szCs w:val="16"/>
              </w:rPr>
            </w:pPr>
            <w:r>
              <w:rPr>
                <w:sz w:val="16"/>
                <w:szCs w:val="16"/>
                <w:spacing w:val="-3"/>
              </w:rPr>
              <w:t>3.4</w:t>
            </w:r>
          </w:p>
        </w:tc>
        <w:tc>
          <w:tcPr>
            <w:tcW w:w="3116" w:type="dxa"/>
            <w:vAlign w:val="top"/>
          </w:tcPr>
          <w:p>
            <w:pPr>
              <w:pStyle w:val="TableText"/>
              <w:ind w:left="271"/>
              <w:spacing w:before="210" w:line="219" w:lineRule="auto"/>
              <w:rPr>
                <w:sz w:val="16"/>
                <w:szCs w:val="16"/>
              </w:rPr>
            </w:pPr>
            <w:r>
              <w:rPr>
                <w:sz w:val="16"/>
                <w:szCs w:val="16"/>
                <w:spacing w:val="-1"/>
              </w:rPr>
              <w:t>数据治理审批元数据的增添以及更改</w:t>
            </w:r>
          </w:p>
        </w:tc>
        <w:tc>
          <w:tcPr>
            <w:tcW w:w="3750" w:type="dxa"/>
            <w:vAlign w:val="top"/>
          </w:tcPr>
          <w:p>
            <w:pPr>
              <w:pStyle w:val="TableText"/>
              <w:ind w:left="275"/>
              <w:spacing w:before="90" w:line="219" w:lineRule="auto"/>
              <w:rPr>
                <w:sz w:val="16"/>
                <w:szCs w:val="16"/>
              </w:rPr>
            </w:pPr>
            <w:r>
              <w:rPr>
                <w:sz w:val="16"/>
                <w:szCs w:val="16"/>
              </w:rPr>
              <w:t>●元数据变更管理程序</w:t>
            </w:r>
          </w:p>
          <w:p>
            <w:pPr>
              <w:pStyle w:val="TableText"/>
              <w:ind w:left="275"/>
              <w:spacing w:before="99" w:line="207" w:lineRule="auto"/>
              <w:rPr>
                <w:sz w:val="16"/>
                <w:szCs w:val="16"/>
              </w:rPr>
            </w:pPr>
            <w:r>
              <w:rPr>
                <w:sz w:val="16"/>
                <w:szCs w:val="16"/>
              </w:rPr>
              <w:t>●变更管理的角色和职责</w:t>
            </w:r>
          </w:p>
        </w:tc>
      </w:tr>
    </w:tbl>
    <w:p>
      <w:pPr>
        <w:pStyle w:val="BodyText"/>
        <w:rPr/>
      </w:pPr>
      <w:r/>
    </w:p>
    <w:p>
      <w:pPr>
        <w:sectPr>
          <w:footerReference w:type="default" r:id="rId216"/>
          <w:pgSz w:w="8870" w:h="13400"/>
          <w:pgMar w:top="400" w:right="504" w:bottom="525" w:left="510" w:header="0" w:footer="306" w:gutter="0"/>
        </w:sectPr>
        <w:rPr/>
      </w:pPr>
    </w:p>
    <w:p>
      <w:pPr>
        <w:ind w:left="252"/>
        <w:spacing w:before="285" w:line="219" w:lineRule="auto"/>
        <w:rPr>
          <w:rFonts w:ascii="SimSun" w:hAnsi="SimSun" w:eastAsia="SimSun" w:cs="SimSun"/>
          <w:sz w:val="22"/>
          <w:szCs w:val="22"/>
        </w:rPr>
      </w:pPr>
      <w:r>
        <w:pict>
          <v:rect id="_x0000_s336" style="position:absolute;margin-left:22.9999pt;margin-top:30.4984pt;mso-position-vertical-relative:page;mso-position-horizontal-relative:page;width:0.55pt;height:17.55pt;z-index:254103552;" o:allowincell="f" fillcolor="#000000" filled="true" stroked="false"/>
        </w:pict>
      </w:r>
      <w:r>
        <w:rPr>
          <w:rFonts w:ascii="SimSun" w:hAnsi="SimSun" w:eastAsia="SimSun" w:cs="SimSun"/>
          <w:sz w:val="22"/>
          <w:szCs w:val="22"/>
          <w:b/>
          <w:bCs/>
          <w:spacing w:val="-19"/>
        </w:rPr>
        <w:t>■云端数据治理</w:t>
      </w:r>
    </w:p>
    <w:p>
      <w:pPr>
        <w:ind w:left="569"/>
        <w:spacing w:before="312"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0" w:right="81" w:firstLine="429"/>
        <w:spacing w:before="58" w:line="250" w:lineRule="auto"/>
        <w:rPr>
          <w:rFonts w:ascii="SimSun" w:hAnsi="SimSun" w:eastAsia="SimSun" w:cs="SimSun"/>
          <w:sz w:val="22"/>
          <w:szCs w:val="22"/>
        </w:rPr>
      </w:pPr>
      <w:r>
        <w:rPr>
          <w:rFonts w:ascii="SimSun" w:hAnsi="SimSun" w:eastAsia="SimSun" w:cs="SimSun"/>
          <w:sz w:val="22"/>
          <w:szCs w:val="22"/>
          <w:spacing w:val="-9"/>
        </w:rPr>
        <w:t>当纳入一类元数据到库中时，所有范围、类别、属性以及标准上的增添或变更</w:t>
      </w:r>
      <w:r>
        <w:rPr>
          <w:rFonts w:ascii="SimSun" w:hAnsi="SimSun" w:eastAsia="SimSun" w:cs="SimSun"/>
          <w:sz w:val="22"/>
          <w:szCs w:val="22"/>
          <w:spacing w:val="4"/>
        </w:rPr>
        <w:t xml:space="preserve"> </w:t>
      </w:r>
      <w:r>
        <w:rPr>
          <w:rFonts w:ascii="SimSun" w:hAnsi="SimSun" w:eastAsia="SimSun" w:cs="SimSun"/>
          <w:sz w:val="22"/>
          <w:szCs w:val="22"/>
          <w:spacing w:val="-8"/>
        </w:rPr>
        <w:t>都要由数据治理来管理，并且在组织层面上进行沟通。通过制订规范的流程，</w:t>
      </w:r>
      <w:r>
        <w:rPr>
          <w:rFonts w:ascii="SimSun" w:hAnsi="SimSun" w:eastAsia="SimSun" w:cs="SimSun"/>
          <w:sz w:val="22"/>
          <w:szCs w:val="22"/>
          <w:spacing w:val="-9"/>
        </w:rPr>
        <w:t>对不</w:t>
      </w:r>
      <w:r>
        <w:rPr>
          <w:rFonts w:ascii="SimSun" w:hAnsi="SimSun" w:eastAsia="SimSun" w:cs="SimSun"/>
          <w:sz w:val="22"/>
          <w:szCs w:val="22"/>
        </w:rPr>
        <w:t xml:space="preserve"> </w:t>
      </w:r>
      <w:r>
        <w:rPr>
          <w:rFonts w:ascii="SimSun" w:hAnsi="SimSun" w:eastAsia="SimSun" w:cs="SimSun"/>
          <w:sz w:val="22"/>
          <w:szCs w:val="22"/>
          <w:spacing w:val="-8"/>
        </w:rPr>
        <w:t>同业务阶段的元数据实行变更管理，保障设计、开发、实际上线等阶段变更的一致</w:t>
      </w:r>
      <w:r>
        <w:rPr>
          <w:rFonts w:ascii="SimSun" w:hAnsi="SimSun" w:eastAsia="SimSun" w:cs="SimSun"/>
          <w:sz w:val="22"/>
          <w:szCs w:val="22"/>
          <w:spacing w:val="15"/>
        </w:rPr>
        <w:t xml:space="preserve"> </w:t>
      </w:r>
      <w:r>
        <w:rPr>
          <w:rFonts w:ascii="SimSun" w:hAnsi="SimSun" w:eastAsia="SimSun" w:cs="SimSun"/>
          <w:sz w:val="22"/>
          <w:szCs w:val="22"/>
          <w:spacing w:val="-11"/>
        </w:rPr>
        <w:t>性，来推进变更管理、</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1"/>
        </w:rPr>
        <w:t>流程管理规范化。</w:t>
      </w:r>
    </w:p>
    <w:p>
      <w:pPr>
        <w:ind w:left="679"/>
        <w:spacing w:before="38" w:line="219" w:lineRule="auto"/>
        <w:rPr>
          <w:rFonts w:ascii="SimSun" w:hAnsi="SimSun" w:eastAsia="SimSun" w:cs="SimSun"/>
          <w:sz w:val="22"/>
          <w:szCs w:val="22"/>
        </w:rPr>
      </w:pPr>
      <w:r>
        <w:rPr>
          <w:rFonts w:ascii="SimSun" w:hAnsi="SimSun" w:eastAsia="SimSun" w:cs="SimSun"/>
          <w:sz w:val="22"/>
          <w:szCs w:val="22"/>
          <w:spacing w:val="-18"/>
        </w:rPr>
        <w:t>以下是参考流程：</w:t>
      </w:r>
    </w:p>
    <w:p>
      <w:pPr>
        <w:ind w:left="250" w:right="82" w:firstLine="429"/>
        <w:spacing w:before="61" w:line="254" w:lineRule="auto"/>
        <w:rPr>
          <w:rFonts w:ascii="SimSun" w:hAnsi="SimSun" w:eastAsia="SimSun" w:cs="SimSun"/>
          <w:sz w:val="22"/>
          <w:szCs w:val="22"/>
        </w:rPr>
      </w:pPr>
      <w:r>
        <w:rPr>
          <w:rFonts w:ascii="SimSun" w:hAnsi="SimSun" w:eastAsia="SimSun" w:cs="SimSun"/>
          <w:sz w:val="22"/>
          <w:szCs w:val="22"/>
          <w:spacing w:val="-8"/>
        </w:rPr>
        <w:t>业务系统发生需求变更或功能模块升级导致表结构变更时，需要在元数据管理</w:t>
      </w:r>
      <w:r>
        <w:rPr>
          <w:rFonts w:ascii="SimSun" w:hAnsi="SimSun" w:eastAsia="SimSun" w:cs="SimSun"/>
          <w:sz w:val="22"/>
          <w:szCs w:val="22"/>
          <w:spacing w:val="8"/>
        </w:rPr>
        <w:t xml:space="preserve"> </w:t>
      </w:r>
      <w:r>
        <w:rPr>
          <w:rFonts w:ascii="SimSun" w:hAnsi="SimSun" w:eastAsia="SimSun" w:cs="SimSun"/>
          <w:sz w:val="22"/>
          <w:szCs w:val="22"/>
          <w:spacing w:val="-8"/>
        </w:rPr>
        <w:t>系统中发起申请流程，提交设计态元数据进行备案。功能开发完成后，</w:t>
      </w:r>
      <w:r>
        <w:rPr>
          <w:rFonts w:ascii="SimSun" w:hAnsi="SimSun" w:eastAsia="SimSun" w:cs="SimSun"/>
          <w:sz w:val="22"/>
          <w:szCs w:val="22"/>
          <w:spacing w:val="-9"/>
        </w:rPr>
        <w:t>部署到测试</w:t>
      </w:r>
      <w:r>
        <w:rPr>
          <w:rFonts w:ascii="SimSun" w:hAnsi="SimSun" w:eastAsia="SimSun" w:cs="SimSun"/>
          <w:sz w:val="22"/>
          <w:szCs w:val="22"/>
        </w:rPr>
        <w:t xml:space="preserve"> </w:t>
      </w:r>
      <w:r>
        <w:rPr>
          <w:rFonts w:ascii="SimSun" w:hAnsi="SimSun" w:eastAsia="SimSun" w:cs="SimSun"/>
          <w:sz w:val="22"/>
          <w:szCs w:val="22"/>
          <w:spacing w:val="-8"/>
        </w:rPr>
        <w:t>环境，由待发布环境元数据系统获取测试态元数据，将元数据变更在生产环境</w:t>
      </w:r>
      <w:r>
        <w:rPr>
          <w:rFonts w:ascii="SimSun" w:hAnsi="SimSun" w:eastAsia="SimSun" w:cs="SimSun"/>
          <w:sz w:val="22"/>
          <w:szCs w:val="22"/>
          <w:spacing w:val="-9"/>
        </w:rPr>
        <w:t>部署</w:t>
      </w:r>
      <w:r>
        <w:rPr>
          <w:rFonts w:ascii="SimSun" w:hAnsi="SimSun" w:eastAsia="SimSun" w:cs="SimSun"/>
          <w:sz w:val="22"/>
          <w:szCs w:val="22"/>
        </w:rPr>
        <w:t xml:space="preserve"> </w:t>
      </w:r>
      <w:r>
        <w:rPr>
          <w:rFonts w:ascii="SimSun" w:hAnsi="SimSun" w:eastAsia="SimSun" w:cs="SimSun"/>
          <w:sz w:val="22"/>
          <w:szCs w:val="22"/>
          <w:spacing w:val="-8"/>
        </w:rPr>
        <w:t>前与设计态元数据对比，比对一致上线部署，不一致驳回上线申请流程。</w:t>
      </w:r>
      <w:r>
        <w:rPr>
          <w:rFonts w:ascii="SimSun" w:hAnsi="SimSun" w:eastAsia="SimSun" w:cs="SimSun"/>
          <w:sz w:val="22"/>
          <w:szCs w:val="22"/>
          <w:spacing w:val="-9"/>
        </w:rPr>
        <w:t>元数据变</w:t>
      </w:r>
      <w:r>
        <w:rPr>
          <w:rFonts w:ascii="SimSun" w:hAnsi="SimSun" w:eastAsia="SimSun" w:cs="SimSun"/>
          <w:sz w:val="22"/>
          <w:szCs w:val="22"/>
        </w:rPr>
        <w:t xml:space="preserve"> </w:t>
      </w:r>
      <w:r>
        <w:rPr>
          <w:rFonts w:ascii="SimSun" w:hAnsi="SimSun" w:eastAsia="SimSun" w:cs="SimSun"/>
          <w:sz w:val="22"/>
          <w:szCs w:val="22"/>
          <w:spacing w:val="-8"/>
        </w:rPr>
        <w:t>更在投产上线完成后，生产环境元数据系统会采集生产态元数据，并再次与</w:t>
      </w:r>
      <w:r>
        <w:rPr>
          <w:rFonts w:ascii="SimSun" w:hAnsi="SimSun" w:eastAsia="SimSun" w:cs="SimSun"/>
          <w:sz w:val="22"/>
          <w:szCs w:val="22"/>
          <w:spacing w:val="-9"/>
        </w:rPr>
        <w:t>设计态</w:t>
      </w:r>
      <w:r>
        <w:rPr>
          <w:rFonts w:ascii="SimSun" w:hAnsi="SimSun" w:eastAsia="SimSun" w:cs="SimSun"/>
          <w:sz w:val="22"/>
          <w:szCs w:val="22"/>
        </w:rPr>
        <w:t xml:space="preserve"> </w:t>
      </w:r>
      <w:r>
        <w:rPr>
          <w:rFonts w:ascii="SimSun" w:hAnsi="SimSun" w:eastAsia="SimSun" w:cs="SimSun"/>
          <w:sz w:val="22"/>
          <w:szCs w:val="22"/>
          <w:spacing w:val="-8"/>
        </w:rPr>
        <w:t>元数据进行对比，实现对元数据变更的事后核查。通过三个不同形态元数</w:t>
      </w:r>
      <w:r>
        <w:rPr>
          <w:rFonts w:ascii="SimSun" w:hAnsi="SimSun" w:eastAsia="SimSun" w:cs="SimSun"/>
          <w:sz w:val="22"/>
          <w:szCs w:val="22"/>
          <w:spacing w:val="-9"/>
        </w:rPr>
        <w:t>据的比对</w:t>
      </w:r>
      <w:r>
        <w:rPr>
          <w:rFonts w:ascii="SimSun" w:hAnsi="SimSun" w:eastAsia="SimSun" w:cs="SimSun"/>
          <w:sz w:val="22"/>
          <w:szCs w:val="22"/>
        </w:rPr>
        <w:t xml:space="preserve"> </w:t>
      </w:r>
      <w:r>
        <w:rPr>
          <w:rFonts w:ascii="SimSun" w:hAnsi="SimSun" w:eastAsia="SimSun" w:cs="SimSun"/>
          <w:sz w:val="22"/>
          <w:szCs w:val="22"/>
          <w:spacing w:val="-10"/>
        </w:rPr>
        <w:t>分析，达到事前风险预警+事后变更核实的管理效果。</w:t>
      </w:r>
    </w:p>
    <w:p>
      <w:pPr>
        <w:spacing w:line="145" w:lineRule="exact"/>
        <w:rPr/>
      </w:pPr>
      <w:r/>
    </w:p>
    <w:tbl>
      <w:tblPr>
        <w:tblStyle w:val="TableNormal"/>
        <w:tblW w:w="759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30"/>
      </w:tblGrid>
      <w:tr>
        <w:trPr>
          <w:trHeight w:val="312" w:hRule="atLeast"/>
        </w:trPr>
        <w:tc>
          <w:tcPr>
            <w:tcW w:w="724" w:type="dxa"/>
            <w:vAlign w:val="top"/>
          </w:tcPr>
          <w:p>
            <w:pPr>
              <w:pStyle w:val="TableText"/>
              <w:ind w:left="204"/>
              <w:spacing w:before="81" w:line="221" w:lineRule="auto"/>
              <w:rPr/>
            </w:pPr>
            <w:r>
              <w:rPr>
                <w:spacing w:val="-2"/>
              </w:rPr>
              <w:t>序号</w:t>
            </w:r>
          </w:p>
        </w:tc>
        <w:tc>
          <w:tcPr>
            <w:tcW w:w="314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57" w:hRule="atLeast"/>
        </w:trPr>
        <w:tc>
          <w:tcPr>
            <w:tcW w:w="724" w:type="dxa"/>
            <w:vAlign w:val="top"/>
          </w:tcPr>
          <w:p>
            <w:pPr>
              <w:spacing w:line="346" w:lineRule="auto"/>
              <w:rPr>
                <w:rFonts w:ascii="Arial"/>
                <w:sz w:val="21"/>
              </w:rPr>
            </w:pPr>
            <w:r/>
          </w:p>
          <w:p>
            <w:pPr>
              <w:pStyle w:val="TableText"/>
              <w:ind w:left="234"/>
              <w:spacing w:before="49" w:line="183" w:lineRule="auto"/>
              <w:rPr/>
            </w:pPr>
            <w:r>
              <w:rPr>
                <w:spacing w:val="-2"/>
              </w:rPr>
              <w:t>3.5</w:t>
            </w:r>
          </w:p>
        </w:tc>
        <w:tc>
          <w:tcPr>
            <w:tcW w:w="3145" w:type="dxa"/>
            <w:vAlign w:val="top"/>
          </w:tcPr>
          <w:p>
            <w:pPr>
              <w:pStyle w:val="TableText"/>
              <w:ind w:left="100" w:right="170" w:firstLine="170"/>
              <w:spacing w:before="228" w:line="288" w:lineRule="auto"/>
              <w:rPr/>
            </w:pPr>
            <w:r>
              <w:rPr>
                <w:spacing w:val="-1"/>
              </w:rPr>
              <w:t>使用措施和度量来评估元数据的准确度并</w:t>
            </w:r>
            <w:r>
              <w:rPr>
                <w:spacing w:val="10"/>
              </w:rPr>
              <w:t xml:space="preserve"> </w:t>
            </w:r>
            <w:r>
              <w:rPr>
                <w:spacing w:val="-2"/>
              </w:rPr>
              <w:t>采纳</w:t>
            </w:r>
          </w:p>
        </w:tc>
        <w:tc>
          <w:tcPr>
            <w:tcW w:w="3730" w:type="dxa"/>
            <w:vAlign w:val="top"/>
          </w:tcPr>
          <w:p>
            <w:pPr>
              <w:pStyle w:val="TableText"/>
              <w:ind w:left="265"/>
              <w:spacing w:before="89" w:line="219" w:lineRule="auto"/>
              <w:rPr/>
            </w:pPr>
            <w:r>
              <w:rPr/>
              <w:t>●元数据策略及目标</w:t>
            </w:r>
          </w:p>
          <w:p>
            <w:pPr>
              <w:pStyle w:val="TableText"/>
              <w:ind w:left="265"/>
              <w:spacing w:before="120" w:line="218" w:lineRule="auto"/>
              <w:rPr/>
            </w:pPr>
            <w:r>
              <w:rPr/>
              <w:t>●元数据准确度评估程序</w:t>
            </w:r>
          </w:p>
          <w:p>
            <w:pPr>
              <w:pStyle w:val="TableText"/>
              <w:ind w:left="265"/>
              <w:spacing w:before="92" w:line="218" w:lineRule="auto"/>
              <w:rPr/>
            </w:pPr>
            <w:r>
              <w:rPr/>
              <w:t>●元数据应用情况分析报告</w:t>
            </w:r>
          </w:p>
        </w:tc>
      </w:tr>
    </w:tbl>
    <w:p>
      <w:pPr>
        <w:ind w:left="569"/>
        <w:spacing w:before="184" w:line="224" w:lineRule="auto"/>
        <w:rPr>
          <w:rFonts w:ascii="FangSong" w:hAnsi="FangSong" w:eastAsia="FangSong" w:cs="FangSong"/>
          <w:sz w:val="22"/>
          <w:szCs w:val="22"/>
        </w:rPr>
      </w:pPr>
      <w:r>
        <w:rPr>
          <w:rFonts w:ascii="SimSun" w:hAnsi="SimSun" w:eastAsia="SimSun" w:cs="SimSun"/>
          <w:sz w:val="22"/>
          <w:szCs w:val="22"/>
          <w:spacing w:val="-6"/>
        </w:rPr>
        <w:t>【成熟度等级说明</w:t>
      </w:r>
      <w:r>
        <w:rPr>
          <w:rFonts w:ascii="FangSong" w:hAnsi="FangSong" w:eastAsia="FangSong" w:cs="FangSong"/>
          <w:sz w:val="22"/>
          <w:szCs w:val="22"/>
          <w:spacing w:val="-6"/>
        </w:rPr>
        <w:t>】</w:t>
      </w:r>
    </w:p>
    <w:p>
      <w:pPr>
        <w:ind w:left="250" w:right="96" w:firstLine="429"/>
        <w:spacing w:before="52" w:line="236" w:lineRule="auto"/>
        <w:rPr>
          <w:rFonts w:ascii="SimSun" w:hAnsi="SimSun" w:eastAsia="SimSun" w:cs="SimSun"/>
          <w:sz w:val="22"/>
          <w:szCs w:val="22"/>
        </w:rPr>
      </w:pPr>
      <w:r>
        <w:rPr>
          <w:rFonts w:ascii="SimSun" w:hAnsi="SimSun" w:eastAsia="SimSun" w:cs="SimSun"/>
          <w:sz w:val="22"/>
          <w:szCs w:val="22"/>
          <w:spacing w:val="-8"/>
        </w:rPr>
        <w:t>应在元数据策略中定义关键的度量和要达成的目标。这些可以随</w:t>
      </w:r>
      <w:r>
        <w:rPr>
          <w:rFonts w:ascii="SimSun" w:hAnsi="SimSun" w:eastAsia="SimSun" w:cs="SimSun"/>
          <w:sz w:val="22"/>
          <w:szCs w:val="22"/>
          <w:spacing w:val="-9"/>
        </w:rPr>
        <w:t>着元数据资产</w:t>
      </w:r>
      <w:r>
        <w:rPr>
          <w:rFonts w:ascii="SimSun" w:hAnsi="SimSun" w:eastAsia="SimSun" w:cs="SimSun"/>
          <w:sz w:val="22"/>
          <w:szCs w:val="22"/>
        </w:rPr>
        <w:t xml:space="preserve"> </w:t>
      </w:r>
      <w:r>
        <w:rPr>
          <w:rFonts w:ascii="SimSun" w:hAnsi="SimSun" w:eastAsia="SimSun" w:cs="SimSun"/>
          <w:sz w:val="22"/>
          <w:szCs w:val="22"/>
          <w:spacing w:val="-12"/>
        </w:rPr>
        <w:t>的延伸和扩展得到进一步完善。</w:t>
      </w:r>
    </w:p>
    <w:p>
      <w:pPr>
        <w:spacing w:before="56" w:line="216" w:lineRule="auto"/>
        <w:jc w:val="right"/>
        <w:rPr>
          <w:rFonts w:ascii="SimSun" w:hAnsi="SimSun" w:eastAsia="SimSun" w:cs="SimSun"/>
          <w:sz w:val="22"/>
          <w:szCs w:val="22"/>
        </w:rPr>
      </w:pPr>
      <w:r>
        <w:rPr>
          <w:rFonts w:ascii="SimSun" w:hAnsi="SimSun" w:eastAsia="SimSun" w:cs="SimSun"/>
          <w:sz w:val="22"/>
          <w:szCs w:val="22"/>
          <w:spacing w:val="-8"/>
        </w:rPr>
        <w:t>度量定义了需要被跟踪的内容(并从根本原因上解释了其重要性),有以</w:t>
      </w:r>
      <w:r>
        <w:rPr>
          <w:rFonts w:ascii="SimSun" w:hAnsi="SimSun" w:eastAsia="SimSun" w:cs="SimSun"/>
          <w:sz w:val="22"/>
          <w:szCs w:val="22"/>
          <w:spacing w:val="-9"/>
        </w:rPr>
        <w:t>下例子：</w:t>
      </w:r>
    </w:p>
    <w:p>
      <w:pPr>
        <w:ind w:left="679"/>
        <w:spacing w:before="54" w:line="219" w:lineRule="auto"/>
        <w:rPr>
          <w:rFonts w:ascii="SimSun" w:hAnsi="SimSun" w:eastAsia="SimSun" w:cs="SimSun"/>
          <w:sz w:val="22"/>
          <w:szCs w:val="22"/>
        </w:rPr>
      </w:pPr>
      <w:r>
        <w:rPr>
          <w:rFonts w:ascii="SimSun" w:hAnsi="SimSun" w:eastAsia="SimSun" w:cs="SimSun"/>
          <w:sz w:val="22"/>
          <w:szCs w:val="22"/>
          <w:spacing w:val="-4"/>
        </w:rPr>
        <w:t>●元数据管理的相关值(成本控制、工作效率、过程有效性);</w:t>
      </w:r>
    </w:p>
    <w:p>
      <w:pPr>
        <w:ind w:left="969" w:right="101" w:hanging="290"/>
        <w:spacing w:before="50"/>
        <w:rPr>
          <w:rFonts w:ascii="SimSun" w:hAnsi="SimSun" w:eastAsia="SimSun" w:cs="SimSun"/>
          <w:sz w:val="22"/>
          <w:szCs w:val="22"/>
        </w:rPr>
      </w:pPr>
      <w:r>
        <w:rPr>
          <w:rFonts w:ascii="SimSun" w:hAnsi="SimSun" w:eastAsia="SimSun" w:cs="SimSun"/>
          <w:sz w:val="22"/>
          <w:szCs w:val="22"/>
          <w:spacing w:val="-8"/>
        </w:rPr>
        <w:t>●关键过程和流程的性能，例如每个特性的使用频率</w:t>
      </w:r>
      <w:r>
        <w:rPr>
          <w:rFonts w:ascii="SimSun" w:hAnsi="SimSun" w:eastAsia="SimSun" w:cs="SimSun"/>
          <w:sz w:val="22"/>
          <w:szCs w:val="22"/>
          <w:spacing w:val="-9"/>
        </w:rPr>
        <w:t>、每个特性储存的数据量</w:t>
      </w:r>
      <w:r>
        <w:rPr>
          <w:rFonts w:ascii="SimSun" w:hAnsi="SimSun" w:eastAsia="SimSun" w:cs="SimSun"/>
          <w:sz w:val="22"/>
          <w:szCs w:val="22"/>
        </w:rPr>
        <w:t xml:space="preserve"> </w:t>
      </w:r>
      <w:r>
        <w:rPr>
          <w:rFonts w:ascii="SimSun" w:hAnsi="SimSun" w:eastAsia="SimSun" w:cs="SimSun"/>
          <w:sz w:val="22"/>
          <w:szCs w:val="22"/>
          <w:spacing w:val="-15"/>
        </w:rPr>
        <w:t>以及每个特性的应用数量；</w:t>
      </w:r>
    </w:p>
    <w:p>
      <w:pPr>
        <w:ind w:left="969" w:right="99" w:hanging="290"/>
        <w:spacing w:before="58"/>
        <w:rPr>
          <w:rFonts w:ascii="SimSun" w:hAnsi="SimSun" w:eastAsia="SimSun" w:cs="SimSun"/>
          <w:sz w:val="22"/>
          <w:szCs w:val="22"/>
        </w:rPr>
      </w:pPr>
      <w:r>
        <w:rPr>
          <w:rFonts w:ascii="SimSun" w:hAnsi="SimSun" w:eastAsia="SimSun" w:cs="SimSun"/>
          <w:sz w:val="22"/>
          <w:szCs w:val="22"/>
          <w:spacing w:val="-5"/>
        </w:rPr>
        <w:t>●应用数据特性的临界(哪些是核心、针对什么过程、在哪些应用中使用、包</w:t>
      </w:r>
      <w:r>
        <w:rPr>
          <w:rFonts w:ascii="SimSun" w:hAnsi="SimSun" w:eastAsia="SimSun" w:cs="SimSun"/>
          <w:sz w:val="22"/>
          <w:szCs w:val="22"/>
        </w:rPr>
        <w:t xml:space="preserve"> </w:t>
      </w:r>
      <w:r>
        <w:rPr>
          <w:rFonts w:ascii="SimSun" w:hAnsi="SimSun" w:eastAsia="SimSun" w:cs="SimSun"/>
          <w:sz w:val="22"/>
          <w:szCs w:val="22"/>
          <w:spacing w:val="-11"/>
        </w:rPr>
        <w:t>含在哪些计算过程中);</w:t>
      </w:r>
    </w:p>
    <w:p>
      <w:pPr>
        <w:ind w:left="969" w:right="80" w:hanging="290"/>
        <w:spacing w:before="48" w:line="242" w:lineRule="auto"/>
        <w:rPr>
          <w:rFonts w:ascii="SimSun" w:hAnsi="SimSun" w:eastAsia="SimSun" w:cs="SimSun"/>
          <w:sz w:val="22"/>
          <w:szCs w:val="22"/>
        </w:rPr>
      </w:pPr>
      <w:r>
        <w:rPr>
          <w:rFonts w:ascii="SimSun" w:hAnsi="SimSun" w:eastAsia="SimSun" w:cs="SimSun"/>
          <w:sz w:val="22"/>
          <w:szCs w:val="22"/>
          <w:spacing w:val="-5"/>
        </w:rPr>
        <w:t>●生命周期中数据迁移的相关成本(有多少存在风险，特别是当数据沿袭断裂</w:t>
      </w:r>
      <w:r>
        <w:rPr>
          <w:rFonts w:ascii="SimSun" w:hAnsi="SimSun" w:eastAsia="SimSun" w:cs="SimSun"/>
          <w:sz w:val="22"/>
          <w:szCs w:val="22"/>
          <w:spacing w:val="18"/>
        </w:rPr>
        <w:t xml:space="preserve"> </w:t>
      </w:r>
      <w:r>
        <w:rPr>
          <w:rFonts w:ascii="SimSun" w:hAnsi="SimSun" w:eastAsia="SimSun" w:cs="SimSun"/>
          <w:sz w:val="22"/>
          <w:szCs w:val="22"/>
          <w:spacing w:val="-5"/>
        </w:rPr>
        <w:t>时);</w:t>
      </w:r>
    </w:p>
    <w:p>
      <w:pPr>
        <w:ind w:left="679"/>
        <w:spacing w:before="44" w:line="219" w:lineRule="auto"/>
        <w:rPr>
          <w:rFonts w:ascii="SimSun" w:hAnsi="SimSun" w:eastAsia="SimSun" w:cs="SimSun"/>
          <w:sz w:val="22"/>
          <w:szCs w:val="22"/>
        </w:rPr>
      </w:pPr>
      <w:r>
        <w:rPr>
          <w:rFonts w:ascii="SimSun" w:hAnsi="SimSun" w:eastAsia="SimSun" w:cs="SimSun"/>
          <w:sz w:val="22"/>
          <w:szCs w:val="22"/>
          <w:spacing w:val="-10"/>
        </w:rPr>
        <w:t>●对单一权威来源的跟踪过程；</w:t>
      </w:r>
    </w:p>
    <w:p>
      <w:pPr>
        <w:ind w:left="969" w:right="101" w:hanging="290"/>
        <w:spacing w:before="60"/>
        <w:rPr>
          <w:rFonts w:ascii="SimSun" w:hAnsi="SimSun" w:eastAsia="SimSun" w:cs="SimSun"/>
          <w:sz w:val="22"/>
          <w:szCs w:val="22"/>
        </w:rPr>
      </w:pPr>
      <w:r>
        <w:rPr>
          <w:rFonts w:ascii="SimSun" w:hAnsi="SimSun" w:eastAsia="SimSun" w:cs="SimSun"/>
          <w:sz w:val="22"/>
          <w:szCs w:val="22"/>
          <w:spacing w:val="-8"/>
        </w:rPr>
        <w:t>●元数据广度、深度、范围、可用性、适时性、准确</w:t>
      </w:r>
      <w:r>
        <w:rPr>
          <w:rFonts w:ascii="SimSun" w:hAnsi="SimSun" w:eastAsia="SimSun" w:cs="SimSun"/>
          <w:sz w:val="22"/>
          <w:szCs w:val="22"/>
          <w:spacing w:val="-9"/>
        </w:rPr>
        <w:t>性、复制、符合性、联接</w:t>
      </w:r>
      <w:r>
        <w:rPr>
          <w:rFonts w:ascii="SimSun" w:hAnsi="SimSun" w:eastAsia="SimSun" w:cs="SimSun"/>
          <w:sz w:val="22"/>
          <w:szCs w:val="22"/>
        </w:rPr>
        <w:t xml:space="preserve"> </w:t>
      </w:r>
      <w:r>
        <w:rPr>
          <w:rFonts w:ascii="SimSun" w:hAnsi="SimSun" w:eastAsia="SimSun" w:cs="SimSun"/>
          <w:sz w:val="22"/>
          <w:szCs w:val="22"/>
          <w:spacing w:val="-11"/>
        </w:rPr>
        <w:t>和清晰度的质量。</w:t>
      </w:r>
    </w:p>
    <w:p>
      <w:pPr>
        <w:sectPr>
          <w:footerReference w:type="default" r:id="rId217"/>
          <w:pgSz w:w="8870" w:h="13400"/>
          <w:pgMar w:top="400" w:right="550" w:bottom="485" w:left="339" w:header="0" w:footer="266" w:gutter="0"/>
        </w:sectPr>
        <w:rPr>
          <w:rFonts w:ascii="SimSun" w:hAnsi="SimSun" w:eastAsia="SimSun" w:cs="SimSun"/>
          <w:sz w:val="22"/>
          <w:szCs w:val="22"/>
        </w:rPr>
      </w:pPr>
    </w:p>
    <w:p>
      <w:pPr>
        <w:ind w:left="5493"/>
        <w:spacing w:before="224" w:line="219" w:lineRule="auto"/>
        <w:rPr>
          <w:rFonts w:ascii="SimSun" w:hAnsi="SimSun" w:eastAsia="SimSun" w:cs="SimSun"/>
          <w:sz w:val="21"/>
          <w:szCs w:val="21"/>
        </w:rPr>
      </w:pPr>
      <w:r>
        <w:rPr>
          <w:rFonts w:ascii="SimSun" w:hAnsi="SimSun" w:eastAsia="SimSun" w:cs="SimSun"/>
          <w:sz w:val="21"/>
          <w:szCs w:val="21"/>
          <w:b/>
          <w:bCs/>
          <w:spacing w:val="15"/>
        </w:rPr>
        <w:t>第5章■云端数据管理</w:t>
      </w:r>
    </w:p>
    <w:p>
      <w:pPr>
        <w:spacing w:before="140"/>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24" w:hRule="atLeast"/>
        </w:trPr>
        <w:tc>
          <w:tcPr>
            <w:tcW w:w="724" w:type="dxa"/>
            <w:vAlign w:val="top"/>
          </w:tcPr>
          <w:p>
            <w:pPr>
              <w:pStyle w:val="TableText"/>
              <w:ind w:left="205"/>
              <w:spacing w:before="92" w:line="221" w:lineRule="auto"/>
              <w:rPr/>
            </w:pPr>
            <w:r>
              <w:rPr>
                <w:spacing w:val="-2"/>
              </w:rPr>
              <w:t>序号</w:t>
            </w:r>
          </w:p>
        </w:tc>
        <w:tc>
          <w:tcPr>
            <w:tcW w:w="3125" w:type="dxa"/>
            <w:vAlign w:val="top"/>
          </w:tcPr>
          <w:p>
            <w:pPr>
              <w:pStyle w:val="TableText"/>
              <w:ind w:left="115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91" w:line="220" w:lineRule="auto"/>
              <w:rPr/>
            </w:pPr>
            <w:r>
              <w:rPr>
                <w:spacing w:val="-5"/>
              </w:rPr>
              <w:t>实</w:t>
            </w:r>
            <w:r>
              <w:rPr>
                <w:spacing w:val="1"/>
              </w:rPr>
              <w:t xml:space="preserve">   </w:t>
            </w:r>
            <w:r>
              <w:rPr>
                <w:spacing w:val="-5"/>
              </w:rPr>
              <w:t>例</w:t>
            </w:r>
          </w:p>
        </w:tc>
      </w:tr>
      <w:tr>
        <w:trPr>
          <w:trHeight w:val="2236" w:hRule="atLeast"/>
        </w:trPr>
        <w:tc>
          <w:tcPr>
            <w:tcW w:w="724" w:type="dxa"/>
            <w:vAlign w:val="top"/>
          </w:tcPr>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235"/>
              <w:spacing w:before="49" w:line="183" w:lineRule="auto"/>
              <w:rPr/>
            </w:pPr>
            <w:r>
              <w:rPr>
                <w:spacing w:val="-2"/>
              </w:rPr>
              <w:t>3.6</w:t>
            </w:r>
          </w:p>
        </w:tc>
        <w:tc>
          <w:tcPr>
            <w:tcW w:w="3125" w:type="dxa"/>
            <w:vAlign w:val="top"/>
          </w:tcPr>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TableText"/>
              <w:ind w:left="100" w:right="159" w:firstLine="160"/>
              <w:spacing w:before="49" w:line="277" w:lineRule="auto"/>
              <w:rPr/>
            </w:pPr>
            <w:r>
              <w:rPr>
                <w:spacing w:val="-1"/>
              </w:rPr>
              <w:t>根据现有架构确认元数据以及元数据进行</w:t>
            </w:r>
            <w:r>
              <w:rPr>
                <w:spacing w:val="11"/>
              </w:rPr>
              <w:t xml:space="preserve"> </w:t>
            </w:r>
            <w:r>
              <w:rPr>
                <w:spacing w:val="2"/>
              </w:rPr>
              <w:t>的变更</w:t>
            </w:r>
          </w:p>
        </w:tc>
        <w:tc>
          <w:tcPr>
            <w:tcW w:w="3750" w:type="dxa"/>
            <w:vAlign w:val="top"/>
          </w:tcPr>
          <w:p>
            <w:pPr>
              <w:pStyle w:val="TableText"/>
              <w:ind w:left="256"/>
              <w:spacing w:before="77" w:line="219" w:lineRule="auto"/>
              <w:rPr/>
            </w:pPr>
            <w:r>
              <w:rPr/>
              <w:t>●元数据管理策略</w:t>
            </w:r>
          </w:p>
          <w:p>
            <w:pPr>
              <w:pStyle w:val="TableText"/>
              <w:ind w:left="256"/>
              <w:spacing w:before="101" w:line="219" w:lineRule="auto"/>
              <w:rPr/>
            </w:pPr>
            <w:r>
              <w:rPr/>
              <w:t>●元数据角色和分工</w:t>
            </w:r>
          </w:p>
          <w:p>
            <w:pPr>
              <w:pStyle w:val="TableText"/>
              <w:ind w:left="256"/>
              <w:spacing w:before="111" w:line="218" w:lineRule="auto"/>
              <w:rPr/>
            </w:pPr>
            <w:r>
              <w:rPr>
                <w:spacing w:val="1"/>
              </w:rPr>
              <w:t>●元数据扩展的库报告</w:t>
            </w:r>
          </w:p>
          <w:p>
            <w:pPr>
              <w:pStyle w:val="TableText"/>
              <w:ind w:left="256"/>
              <w:spacing w:before="104" w:line="219" w:lineRule="auto"/>
              <w:rPr/>
            </w:pPr>
            <w:r>
              <w:rPr/>
              <w:t>●元数据管理组织标准</w:t>
            </w:r>
          </w:p>
          <w:p>
            <w:pPr>
              <w:pStyle w:val="TableText"/>
              <w:ind w:left="256"/>
              <w:spacing w:before="102" w:line="219" w:lineRule="auto"/>
              <w:rPr/>
            </w:pPr>
            <w:r>
              <w:rPr>
                <w:spacing w:val="1"/>
              </w:rPr>
              <w:t>●元数据元模型图</w:t>
            </w:r>
          </w:p>
          <w:p>
            <w:pPr>
              <w:pStyle w:val="TableText"/>
              <w:ind w:left="256"/>
              <w:spacing w:before="92" w:line="219" w:lineRule="auto"/>
              <w:rPr/>
            </w:pPr>
            <w:r>
              <w:rPr/>
              <w:t>●平台与元数据之间的差距分析结果</w:t>
            </w:r>
          </w:p>
          <w:p>
            <w:pPr>
              <w:pStyle w:val="TableText"/>
              <w:ind w:left="256"/>
              <w:spacing w:before="70" w:line="218" w:lineRule="auto"/>
              <w:rPr/>
            </w:pPr>
            <w:r>
              <w:rPr>
                <w:spacing w:val="1"/>
              </w:rPr>
              <w:t>●元数据度量报告(采纳、完成比等)</w:t>
            </w:r>
          </w:p>
          <w:p>
            <w:pPr>
              <w:pStyle w:val="TableText"/>
              <w:ind w:left="256"/>
              <w:spacing w:before="122" w:line="218" w:lineRule="auto"/>
              <w:rPr/>
            </w:pPr>
            <w:r>
              <w:rPr/>
              <w:t>●元数据顺序计划的里程碑以及进度报告</w:t>
            </w:r>
          </w:p>
        </w:tc>
      </w:tr>
    </w:tbl>
    <w:p>
      <w:pPr>
        <w:ind w:left="305"/>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52" w:firstLine="410"/>
        <w:spacing w:before="62" w:line="265" w:lineRule="auto"/>
        <w:rPr>
          <w:rFonts w:ascii="SimSun" w:hAnsi="SimSun" w:eastAsia="SimSun" w:cs="SimSun"/>
          <w:sz w:val="21"/>
          <w:szCs w:val="21"/>
        </w:rPr>
      </w:pPr>
      <w:r>
        <w:rPr>
          <w:rFonts w:ascii="SimSun" w:hAnsi="SimSun" w:eastAsia="SimSun" w:cs="SimSun"/>
          <w:sz w:val="21"/>
          <w:szCs w:val="21"/>
          <w:spacing w:val="2"/>
        </w:rPr>
        <w:t>云端往往通过双向的元数据架构实现其元数据管理，</w:t>
      </w:r>
      <w:r>
        <w:rPr>
          <w:rFonts w:ascii="SimSun" w:hAnsi="SimSun" w:eastAsia="SimSun" w:cs="SimSun"/>
          <w:sz w:val="21"/>
          <w:szCs w:val="21"/>
          <w:spacing w:val="1"/>
        </w:rPr>
        <w:t>需要让信息包含于一个可</w:t>
      </w:r>
      <w:r>
        <w:rPr>
          <w:rFonts w:ascii="SimSun" w:hAnsi="SimSun" w:eastAsia="SimSun" w:cs="SimSun"/>
          <w:sz w:val="21"/>
          <w:szCs w:val="21"/>
        </w:rPr>
        <w:t xml:space="preserve"> </w:t>
      </w:r>
      <w:r>
        <w:rPr>
          <w:rFonts w:ascii="SimSun" w:hAnsi="SimSun" w:eastAsia="SimSun" w:cs="SimSun"/>
          <w:sz w:val="21"/>
          <w:szCs w:val="21"/>
          <w:spacing w:val="1"/>
        </w:rPr>
        <w:t>以转化的存储中，确保这些信息随后可以提供其初始来</w:t>
      </w:r>
      <w:r>
        <w:rPr>
          <w:rFonts w:ascii="SimSun" w:hAnsi="SimSun" w:eastAsia="SimSun" w:cs="SimSun"/>
          <w:sz w:val="21"/>
          <w:szCs w:val="21"/>
        </w:rPr>
        <w:t>源。基于现有的成熟架构， </w:t>
      </w:r>
      <w:r>
        <w:rPr>
          <w:rFonts w:ascii="SimSun" w:hAnsi="SimSun" w:eastAsia="SimSun" w:cs="SimSun"/>
          <w:sz w:val="21"/>
          <w:szCs w:val="21"/>
          <w:spacing w:val="2"/>
        </w:rPr>
        <w:t>对元数据的创建以及变更进行确认。例如，应当确认关于物理模型、接口</w:t>
      </w:r>
      <w:r>
        <w:rPr>
          <w:rFonts w:ascii="SimSun" w:hAnsi="SimSun" w:eastAsia="SimSun" w:cs="SimSun"/>
          <w:sz w:val="21"/>
          <w:szCs w:val="21"/>
          <w:spacing w:val="1"/>
        </w:rPr>
        <w:t>规范、提</w:t>
      </w:r>
      <w:r>
        <w:rPr>
          <w:rFonts w:ascii="SimSun" w:hAnsi="SimSun" w:eastAsia="SimSun" w:cs="SimSun"/>
          <w:sz w:val="21"/>
          <w:szCs w:val="21"/>
        </w:rPr>
        <w:t xml:space="preserve"> </w:t>
      </w:r>
      <w:r>
        <w:rPr>
          <w:rFonts w:ascii="SimSun" w:hAnsi="SimSun" w:eastAsia="SimSun" w:cs="SimSun"/>
          <w:sz w:val="21"/>
          <w:szCs w:val="21"/>
        </w:rPr>
        <w:t>取转换、加载脚本、数据提供服务等的信息来确定他们准确描述了现有的环境。</w:t>
      </w:r>
    </w:p>
    <w:p>
      <w:pPr>
        <w:ind w:left="412"/>
        <w:spacing w:before="57" w:line="221" w:lineRule="auto"/>
        <w:rPr>
          <w:rFonts w:ascii="SimHei" w:hAnsi="SimHei" w:eastAsia="SimHei" w:cs="SimHei"/>
          <w:sz w:val="21"/>
          <w:szCs w:val="21"/>
        </w:rPr>
      </w:pPr>
      <w:r>
        <w:rPr>
          <w:rFonts w:ascii="SimSun" w:hAnsi="SimSun" w:eastAsia="SimSun" w:cs="SimSun"/>
          <w:sz w:val="21"/>
          <w:szCs w:val="21"/>
          <w:b/>
          <w:bCs/>
          <w:spacing w:val="-7"/>
        </w:rPr>
        <w:t>Level</w:t>
      </w:r>
      <w:r>
        <w:rPr>
          <w:rFonts w:ascii="SimSun" w:hAnsi="SimSun" w:eastAsia="SimSun" w:cs="SimSun"/>
          <w:sz w:val="21"/>
          <w:szCs w:val="21"/>
          <w:spacing w:val="-7"/>
        </w:rPr>
        <w:t xml:space="preserve"> </w:t>
      </w:r>
      <w:r>
        <w:rPr>
          <w:rFonts w:ascii="SimSun" w:hAnsi="SimSun" w:eastAsia="SimSun" w:cs="SimSun"/>
          <w:sz w:val="21"/>
          <w:szCs w:val="21"/>
          <w:b/>
          <w:bCs/>
          <w:spacing w:val="-7"/>
        </w:rPr>
        <w:t>4:</w:t>
      </w:r>
      <w:r>
        <w:rPr>
          <w:rFonts w:ascii="SimSun" w:hAnsi="SimSun" w:eastAsia="SimSun" w:cs="SimSun"/>
          <w:sz w:val="21"/>
          <w:szCs w:val="21"/>
          <w:spacing w:val="-29"/>
        </w:rPr>
        <w:t xml:space="preserve"> </w:t>
      </w:r>
      <w:r>
        <w:rPr>
          <w:rFonts w:ascii="SimHei" w:hAnsi="SimHei" w:eastAsia="SimHei" w:cs="SimHei"/>
          <w:sz w:val="21"/>
          <w:szCs w:val="21"/>
          <w:b/>
          <w:bCs/>
          <w:spacing w:val="-7"/>
        </w:rPr>
        <w:t>量化级</w:t>
      </w:r>
    </w:p>
    <w:p>
      <w:pPr>
        <w:spacing w:line="100"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22" w:hRule="atLeast"/>
        </w:trPr>
        <w:tc>
          <w:tcPr>
            <w:tcW w:w="724" w:type="dxa"/>
            <w:vAlign w:val="top"/>
          </w:tcPr>
          <w:p>
            <w:pPr>
              <w:pStyle w:val="TableText"/>
              <w:ind w:left="205"/>
              <w:spacing w:before="92" w:line="221" w:lineRule="auto"/>
              <w:rPr/>
            </w:pPr>
            <w:r>
              <w:rPr>
                <w:spacing w:val="-2"/>
              </w:rPr>
              <w:t>序号</w:t>
            </w:r>
          </w:p>
        </w:tc>
        <w:tc>
          <w:tcPr>
            <w:tcW w:w="3125" w:type="dxa"/>
            <w:vAlign w:val="top"/>
          </w:tcPr>
          <w:p>
            <w:pPr>
              <w:pStyle w:val="TableText"/>
              <w:ind w:left="113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91" w:line="220" w:lineRule="auto"/>
              <w:rPr/>
            </w:pPr>
            <w:r>
              <w:rPr>
                <w:spacing w:val="-5"/>
              </w:rPr>
              <w:t>实</w:t>
            </w:r>
            <w:r>
              <w:rPr>
                <w:spacing w:val="1"/>
              </w:rPr>
              <w:t xml:space="preserve">     </w:t>
            </w:r>
            <w:r>
              <w:rPr>
                <w:spacing w:val="-5"/>
              </w:rPr>
              <w:t>例</w:t>
            </w:r>
          </w:p>
        </w:tc>
      </w:tr>
      <w:tr>
        <w:trPr>
          <w:trHeight w:val="838" w:hRule="atLeast"/>
        </w:trPr>
        <w:tc>
          <w:tcPr>
            <w:tcW w:w="724" w:type="dxa"/>
            <w:vAlign w:val="top"/>
          </w:tcPr>
          <w:p>
            <w:pPr>
              <w:spacing w:line="336" w:lineRule="auto"/>
              <w:rPr>
                <w:rFonts w:ascii="Arial"/>
                <w:sz w:val="21"/>
              </w:rPr>
            </w:pPr>
            <w:r/>
          </w:p>
          <w:p>
            <w:pPr>
              <w:pStyle w:val="TableText"/>
              <w:ind w:left="235"/>
              <w:spacing w:before="49" w:line="184" w:lineRule="auto"/>
              <w:rPr/>
            </w:pPr>
            <w:r>
              <w:rPr>
                <w:spacing w:val="-2"/>
              </w:rPr>
              <w:t>4.1</w:t>
            </w:r>
          </w:p>
        </w:tc>
        <w:tc>
          <w:tcPr>
            <w:tcW w:w="3125" w:type="dxa"/>
            <w:vAlign w:val="top"/>
          </w:tcPr>
          <w:p>
            <w:pPr>
              <w:spacing w:line="298" w:lineRule="auto"/>
              <w:rPr>
                <w:rFonts w:ascii="Arial"/>
                <w:sz w:val="21"/>
              </w:rPr>
            </w:pPr>
            <w:r/>
          </w:p>
          <w:p>
            <w:pPr>
              <w:pStyle w:val="TableText"/>
              <w:ind w:left="201"/>
              <w:spacing w:before="49" w:line="219" w:lineRule="auto"/>
              <w:rPr/>
            </w:pPr>
            <w:r>
              <w:rPr>
                <w:spacing w:val="-1"/>
              </w:rPr>
              <w:t>组织开发了部署在所有平台的完整元模型</w:t>
            </w:r>
          </w:p>
        </w:tc>
        <w:tc>
          <w:tcPr>
            <w:tcW w:w="3750" w:type="dxa"/>
            <w:vAlign w:val="top"/>
          </w:tcPr>
          <w:p>
            <w:pPr>
              <w:pStyle w:val="TableText"/>
              <w:ind w:left="256" w:right="2574"/>
              <w:spacing w:before="88" w:line="276" w:lineRule="auto"/>
              <w:rPr/>
            </w:pPr>
            <w:r>
              <w:rPr>
                <w:spacing w:val="1"/>
              </w:rPr>
              <w:t>●元数据模型</w:t>
            </w:r>
            <w:r>
              <w:rPr>
                <w:spacing w:val="2"/>
              </w:rPr>
              <w:t xml:space="preserve"> </w:t>
            </w:r>
            <w:r>
              <w:rPr>
                <w:spacing w:val="2"/>
              </w:rPr>
              <w:t>●元模型</w:t>
            </w:r>
          </w:p>
          <w:p>
            <w:pPr>
              <w:pStyle w:val="TableText"/>
              <w:ind w:left="256"/>
              <w:spacing w:before="101" w:line="219" w:lineRule="auto"/>
              <w:rPr/>
            </w:pPr>
            <w:r>
              <w:rPr>
                <w:spacing w:val="1"/>
              </w:rPr>
              <w:t>●元模型管理规则</w:t>
            </w:r>
          </w:p>
        </w:tc>
      </w:tr>
    </w:tbl>
    <w:p>
      <w:pPr>
        <w:ind w:left="305"/>
        <w:spacing w:before="213" w:line="219" w:lineRule="auto"/>
        <w:rPr>
          <w:rFonts w:ascii="SimSun" w:hAnsi="SimSun" w:eastAsia="SimSun" w:cs="SimSun"/>
          <w:sz w:val="21"/>
          <w:szCs w:val="21"/>
        </w:rPr>
      </w:pPr>
      <w:r>
        <w:rPr>
          <w:rFonts w:ascii="SimSun" w:hAnsi="SimSun" w:eastAsia="SimSun" w:cs="SimSun"/>
          <w:sz w:val="21"/>
          <w:szCs w:val="21"/>
        </w:rPr>
        <w:t>【成熟度等级说明】</w:t>
      </w:r>
    </w:p>
    <w:p>
      <w:pPr>
        <w:ind w:left="10" w:right="176" w:firstLine="400"/>
        <w:spacing w:before="69" w:line="262" w:lineRule="auto"/>
        <w:rPr>
          <w:rFonts w:ascii="SimSun" w:hAnsi="SimSun" w:eastAsia="SimSun" w:cs="SimSun"/>
          <w:sz w:val="21"/>
          <w:szCs w:val="21"/>
        </w:rPr>
      </w:pPr>
      <w:r>
        <w:rPr>
          <w:rFonts w:ascii="SimSun" w:hAnsi="SimSun" w:eastAsia="SimSun" w:cs="SimSun"/>
          <w:sz w:val="21"/>
          <w:szCs w:val="21"/>
          <w:spacing w:val="2"/>
        </w:rPr>
        <w:t>模型是用来描述特定的系统、过程、事物或概念的准确</w:t>
      </w:r>
      <w:r>
        <w:rPr>
          <w:rFonts w:ascii="SimSun" w:hAnsi="SimSun" w:eastAsia="SimSun" w:cs="SimSun"/>
          <w:sz w:val="21"/>
          <w:szCs w:val="21"/>
          <w:spacing w:val="1"/>
        </w:rPr>
        <w:t>而抽象的表示。例如软</w:t>
      </w:r>
      <w:r>
        <w:rPr>
          <w:rFonts w:ascii="SimSun" w:hAnsi="SimSun" w:eastAsia="SimSun" w:cs="SimSun"/>
          <w:sz w:val="21"/>
          <w:szCs w:val="21"/>
        </w:rPr>
        <w:t xml:space="preserve">  </w:t>
      </w:r>
      <w:r>
        <w:rPr>
          <w:rFonts w:ascii="SimSun" w:hAnsi="SimSun" w:eastAsia="SimSun" w:cs="SimSun"/>
          <w:sz w:val="21"/>
          <w:szCs w:val="21"/>
          <w:spacing w:val="3"/>
        </w:rPr>
        <w:t>件架构师可以用概要设计的形式建立一个应用系统模型。本</w:t>
      </w:r>
      <w:r>
        <w:rPr>
          <w:rFonts w:ascii="SimSun" w:hAnsi="SimSun" w:eastAsia="SimSun" w:cs="SimSun"/>
          <w:sz w:val="21"/>
          <w:szCs w:val="21"/>
          <w:spacing w:val="2"/>
        </w:rPr>
        <w:t>质上来说，元数据是数</w:t>
      </w:r>
      <w:r>
        <w:rPr>
          <w:rFonts w:ascii="SimSun" w:hAnsi="SimSun" w:eastAsia="SimSun" w:cs="SimSun"/>
          <w:sz w:val="21"/>
          <w:szCs w:val="21"/>
        </w:rPr>
        <w:t xml:space="preserve"> </w:t>
      </w:r>
      <w:r>
        <w:rPr>
          <w:rFonts w:ascii="SimSun" w:hAnsi="SimSun" w:eastAsia="SimSun" w:cs="SimSun"/>
          <w:sz w:val="21"/>
          <w:szCs w:val="21"/>
          <w:spacing w:val="3"/>
        </w:rPr>
        <w:t>据的形式化模型，是数据的抽象描述，这一描述准确地描述了</w:t>
      </w:r>
      <w:r>
        <w:rPr>
          <w:rFonts w:ascii="SimSun" w:hAnsi="SimSun" w:eastAsia="SimSun" w:cs="SimSun"/>
          <w:sz w:val="21"/>
          <w:szCs w:val="21"/>
          <w:spacing w:val="2"/>
        </w:rPr>
        <w:t>数据。元模型也就是</w:t>
      </w:r>
      <w:r>
        <w:rPr>
          <w:rFonts w:ascii="SimSun" w:hAnsi="SimSun" w:eastAsia="SimSun" w:cs="SimSun"/>
          <w:sz w:val="21"/>
          <w:szCs w:val="21"/>
        </w:rPr>
        <w:t xml:space="preserve"> </w:t>
      </w:r>
      <w:r>
        <w:rPr>
          <w:rFonts w:ascii="SimSun" w:hAnsi="SimSun" w:eastAsia="SimSun" w:cs="SimSun"/>
          <w:sz w:val="21"/>
          <w:szCs w:val="21"/>
          <w:spacing w:val="3"/>
        </w:rPr>
        <w:t>模型的模型，是用来描述元数据的模型。因此，对于云端数</w:t>
      </w:r>
      <w:r>
        <w:rPr>
          <w:rFonts w:ascii="SimSun" w:hAnsi="SimSun" w:eastAsia="SimSun" w:cs="SimSun"/>
          <w:sz w:val="21"/>
          <w:szCs w:val="21"/>
          <w:spacing w:val="2"/>
        </w:rPr>
        <w:t>据涉及的内外部所有平</w:t>
      </w:r>
      <w:r>
        <w:rPr>
          <w:rFonts w:ascii="SimSun" w:hAnsi="SimSun" w:eastAsia="SimSun" w:cs="SimSun"/>
          <w:sz w:val="21"/>
          <w:szCs w:val="21"/>
        </w:rPr>
        <w:t xml:space="preserve"> </w:t>
      </w:r>
      <w:r>
        <w:rPr>
          <w:rFonts w:ascii="SimSun" w:hAnsi="SimSun" w:eastAsia="SimSun" w:cs="SimSun"/>
          <w:sz w:val="21"/>
          <w:szCs w:val="21"/>
          <w:spacing w:val="-2"/>
        </w:rPr>
        <w:t>台，需要采用统一的模型来规范和管理元数据，完整的元模型则提供了很好的</w:t>
      </w:r>
      <w:r>
        <w:rPr>
          <w:rFonts w:ascii="SimSun" w:hAnsi="SimSun" w:eastAsia="SimSun" w:cs="SimSun"/>
          <w:sz w:val="21"/>
          <w:szCs w:val="21"/>
          <w:spacing w:val="-3"/>
        </w:rPr>
        <w:t>基础。</w:t>
      </w:r>
    </w:p>
    <w:p>
      <w:pPr>
        <w:spacing w:line="118" w:lineRule="exact"/>
        <w:rPr/>
      </w:pPr>
      <w:r/>
    </w:p>
    <w:tbl>
      <w:tblPr>
        <w:tblStyle w:val="TableNormal"/>
        <w:tblW w:w="758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40"/>
      </w:tblGrid>
      <w:tr>
        <w:trPr>
          <w:trHeight w:val="312"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2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4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37" w:hRule="atLeast"/>
        </w:trPr>
        <w:tc>
          <w:tcPr>
            <w:tcW w:w="724" w:type="dxa"/>
            <w:vAlign w:val="top"/>
          </w:tcPr>
          <w:p>
            <w:pPr>
              <w:spacing w:line="475" w:lineRule="auto"/>
              <w:rPr>
                <w:rFonts w:ascii="Arial"/>
                <w:sz w:val="21"/>
              </w:rPr>
            </w:pPr>
            <w:r/>
          </w:p>
          <w:p>
            <w:pPr>
              <w:pStyle w:val="TableText"/>
              <w:ind w:left="234"/>
              <w:spacing w:before="52" w:line="183" w:lineRule="auto"/>
              <w:rPr>
                <w:sz w:val="16"/>
                <w:szCs w:val="16"/>
              </w:rPr>
            </w:pPr>
            <w:r>
              <w:rPr>
                <w:sz w:val="16"/>
                <w:szCs w:val="16"/>
                <w:spacing w:val="-2"/>
              </w:rPr>
              <w:t>4.2</w:t>
            </w:r>
          </w:p>
        </w:tc>
        <w:tc>
          <w:tcPr>
            <w:tcW w:w="3125" w:type="dxa"/>
            <w:vAlign w:val="top"/>
          </w:tcPr>
          <w:p>
            <w:pPr>
              <w:spacing w:line="315" w:lineRule="auto"/>
              <w:rPr>
                <w:rFonts w:ascii="Arial"/>
                <w:sz w:val="21"/>
              </w:rPr>
            </w:pPr>
            <w:r/>
          </w:p>
          <w:p>
            <w:pPr>
              <w:pStyle w:val="TableText"/>
              <w:ind w:left="100" w:firstLine="159"/>
              <w:spacing w:before="52" w:line="277" w:lineRule="auto"/>
              <w:rPr>
                <w:sz w:val="16"/>
                <w:szCs w:val="16"/>
              </w:rPr>
            </w:pPr>
            <w:r>
              <w:rPr>
                <w:sz w:val="16"/>
                <w:szCs w:val="16"/>
                <w:spacing w:val="-2"/>
              </w:rPr>
              <w:t>元数据类型和数据定义支持输入、查阅和</w:t>
            </w:r>
            <w:r>
              <w:rPr>
                <w:sz w:val="16"/>
                <w:szCs w:val="16"/>
                <w:spacing w:val="9"/>
              </w:rPr>
              <w:t xml:space="preserve"> </w:t>
            </w:r>
            <w:r>
              <w:rPr>
                <w:sz w:val="16"/>
                <w:szCs w:val="16"/>
                <w:spacing w:val="-3"/>
              </w:rPr>
              <w:t>使用活动</w:t>
            </w:r>
          </w:p>
        </w:tc>
        <w:tc>
          <w:tcPr>
            <w:tcW w:w="3740" w:type="dxa"/>
            <w:vAlign w:val="top"/>
          </w:tcPr>
          <w:p>
            <w:pPr>
              <w:pStyle w:val="TableText"/>
              <w:ind w:left="256"/>
              <w:spacing w:before="79" w:line="219" w:lineRule="auto"/>
              <w:rPr>
                <w:sz w:val="16"/>
                <w:szCs w:val="16"/>
              </w:rPr>
            </w:pPr>
            <w:r>
              <w:rPr>
                <w:sz w:val="16"/>
                <w:szCs w:val="16"/>
                <w:spacing w:val="1"/>
              </w:rPr>
              <w:t>●元数据管理程序</w:t>
            </w:r>
          </w:p>
          <w:p>
            <w:pPr>
              <w:pStyle w:val="TableText"/>
              <w:ind w:left="256"/>
              <w:spacing w:before="100" w:line="219" w:lineRule="auto"/>
              <w:rPr>
                <w:sz w:val="16"/>
                <w:szCs w:val="16"/>
              </w:rPr>
            </w:pPr>
            <w:r>
              <w:rPr>
                <w:sz w:val="16"/>
                <w:szCs w:val="16"/>
                <w:spacing w:val="1"/>
              </w:rPr>
              <w:t>●元数据类型定义</w:t>
            </w:r>
          </w:p>
          <w:p>
            <w:pPr>
              <w:pStyle w:val="TableText"/>
              <w:ind w:left="256"/>
              <w:spacing w:before="110" w:line="219" w:lineRule="auto"/>
              <w:rPr>
                <w:sz w:val="16"/>
                <w:szCs w:val="16"/>
              </w:rPr>
            </w:pPr>
            <w:r>
              <w:rPr>
                <w:sz w:val="16"/>
                <w:szCs w:val="16"/>
                <w:spacing w:val="1"/>
              </w:rPr>
              <w:t>●元数据操作指南</w:t>
            </w:r>
          </w:p>
          <w:p>
            <w:pPr>
              <w:pStyle w:val="TableText"/>
              <w:ind w:left="256"/>
              <w:spacing w:before="80" w:line="216" w:lineRule="auto"/>
              <w:rPr>
                <w:sz w:val="16"/>
                <w:szCs w:val="16"/>
              </w:rPr>
            </w:pPr>
            <w:r>
              <w:rPr>
                <w:sz w:val="16"/>
                <w:szCs w:val="16"/>
                <w:spacing w:val="1"/>
              </w:rPr>
              <w:t>●业务词汇表</w:t>
            </w:r>
          </w:p>
        </w:tc>
      </w:tr>
    </w:tbl>
    <w:p>
      <w:pPr>
        <w:ind w:left="30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10" w:right="247" w:firstLine="400"/>
        <w:spacing w:before="71" w:line="249" w:lineRule="auto"/>
        <w:rPr>
          <w:rFonts w:ascii="SimSun" w:hAnsi="SimSun" w:eastAsia="SimSun" w:cs="SimSun"/>
          <w:sz w:val="21"/>
          <w:szCs w:val="21"/>
        </w:rPr>
      </w:pPr>
      <w:r>
        <w:rPr>
          <w:rFonts w:ascii="SimSun" w:hAnsi="SimSun" w:eastAsia="SimSun" w:cs="SimSun"/>
          <w:sz w:val="21"/>
          <w:szCs w:val="21"/>
          <w:spacing w:val="2"/>
        </w:rPr>
        <w:t>通过构建元数据类型定义为内部团队、合作伙伴和</w:t>
      </w:r>
      <w:r>
        <w:rPr>
          <w:rFonts w:ascii="SimSun" w:hAnsi="SimSun" w:eastAsia="SimSun" w:cs="SimSun"/>
          <w:sz w:val="21"/>
          <w:szCs w:val="21"/>
          <w:spacing w:val="1"/>
        </w:rPr>
        <w:t>客户创建自己的元数据管理</w:t>
      </w:r>
      <w:r>
        <w:rPr>
          <w:rFonts w:ascii="SimSun" w:hAnsi="SimSun" w:eastAsia="SimSun" w:cs="SimSun"/>
          <w:sz w:val="21"/>
          <w:szCs w:val="21"/>
        </w:rPr>
        <w:t xml:space="preserve"> </w:t>
      </w:r>
      <w:r>
        <w:rPr>
          <w:rFonts w:ascii="SimSun" w:hAnsi="SimSun" w:eastAsia="SimSun" w:cs="SimSun"/>
          <w:sz w:val="21"/>
          <w:szCs w:val="21"/>
          <w:spacing w:val="2"/>
        </w:rPr>
        <w:t>模式。对于元数据的数据查阅和使用等活动，需要首先进行标</w:t>
      </w:r>
      <w:r>
        <w:rPr>
          <w:rFonts w:ascii="SimSun" w:hAnsi="SimSun" w:eastAsia="SimSun" w:cs="SimSun"/>
          <w:sz w:val="21"/>
          <w:szCs w:val="21"/>
          <w:spacing w:val="1"/>
        </w:rPr>
        <w:t>准化的元数据类型定</w:t>
      </w:r>
      <w:r>
        <w:rPr>
          <w:rFonts w:ascii="SimSun" w:hAnsi="SimSun" w:eastAsia="SimSun" w:cs="SimSun"/>
          <w:sz w:val="21"/>
          <w:szCs w:val="21"/>
        </w:rPr>
        <w:t xml:space="preserve"> </w:t>
      </w:r>
      <w:r>
        <w:rPr>
          <w:rFonts w:ascii="SimSun" w:hAnsi="SimSun" w:eastAsia="SimSun" w:cs="SimSun"/>
          <w:sz w:val="21"/>
          <w:szCs w:val="21"/>
          <w:spacing w:val="-3"/>
        </w:rPr>
        <w:t>义，以使得用户对元数据的使用顺畅。</w:t>
      </w:r>
    </w:p>
    <w:p>
      <w:pPr>
        <w:spacing w:line="249" w:lineRule="auto"/>
        <w:sectPr>
          <w:footerReference w:type="default" r:id="rId218"/>
          <w:pgSz w:w="8870" w:h="13400"/>
          <w:pgMar w:top="400" w:right="498" w:bottom="537" w:left="489" w:header="0" w:footer="328" w:gutter="0"/>
        </w:sectPr>
        <w:rPr>
          <w:rFonts w:ascii="SimSun" w:hAnsi="SimSun" w:eastAsia="SimSun" w:cs="SimSun"/>
          <w:sz w:val="21"/>
          <w:szCs w:val="21"/>
        </w:rPr>
      </w:pPr>
    </w:p>
    <w:p>
      <w:pPr>
        <w:ind w:left="213"/>
        <w:spacing w:before="276" w:line="219" w:lineRule="auto"/>
        <w:rPr>
          <w:rFonts w:ascii="SimSun" w:hAnsi="SimSun" w:eastAsia="SimSun" w:cs="SimSun"/>
          <w:sz w:val="22"/>
          <w:szCs w:val="22"/>
        </w:rPr>
      </w:pPr>
      <w:r>
        <w:drawing>
          <wp:anchor distT="0" distB="0" distL="0" distR="0" simplePos="0" relativeHeight="254148608" behindDoc="0" locked="0" layoutInCell="0" allowOverlap="1">
            <wp:simplePos x="0" y="0"/>
            <wp:positionH relativeFrom="page">
              <wp:posOffset>330174</wp:posOffset>
            </wp:positionH>
            <wp:positionV relativeFrom="page">
              <wp:posOffset>381031</wp:posOffset>
            </wp:positionV>
            <wp:extent cx="6365" cy="228551"/>
            <wp:effectExtent l="0" t="0" r="0" b="0"/>
            <wp:wrapNone/>
            <wp:docPr id="162" name="IM 162"/>
            <wp:cNvGraphicFramePr/>
            <a:graphic>
              <a:graphicData uri="http://schemas.openxmlformats.org/drawingml/2006/picture">
                <pic:pic>
                  <pic:nvPicPr>
                    <pic:cNvPr id="162" name="IM 162"/>
                    <pic:cNvPicPr/>
                  </pic:nvPicPr>
                  <pic:blipFill>
                    <a:blip r:embed="rId220"/>
                    <a:stretch>
                      <a:fillRect/>
                    </a:stretch>
                  </pic:blipFill>
                  <pic:spPr>
                    <a:xfrm rot="0">
                      <a:off x="0" y="0"/>
                      <a:ext cx="6365" cy="228551"/>
                    </a:xfrm>
                    <a:prstGeom prst="rect">
                      <a:avLst/>
                    </a:prstGeom>
                  </pic:spPr>
                </pic:pic>
              </a:graphicData>
            </a:graphic>
          </wp:anchor>
        </w:drawing>
      </w:r>
      <w:r>
        <w:rPr>
          <w:rFonts w:ascii="SimSun" w:hAnsi="SimSun" w:eastAsia="SimSun" w:cs="SimSun"/>
          <w:sz w:val="22"/>
          <w:szCs w:val="22"/>
          <w:b/>
          <w:bCs/>
          <w:spacing w:val="-14"/>
        </w:rPr>
        <w:t>■云端数据治理</w:t>
      </w:r>
    </w:p>
    <w:p>
      <w:pPr>
        <w:spacing w:before="6"/>
        <w:rPr/>
      </w:pPr>
      <w:r/>
    </w:p>
    <w:tbl>
      <w:tblPr>
        <w:tblStyle w:val="TableNormal"/>
        <w:tblW w:w="759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30"/>
      </w:tblGrid>
      <w:tr>
        <w:trPr>
          <w:trHeight w:val="322" w:hRule="atLeast"/>
        </w:trPr>
        <w:tc>
          <w:tcPr>
            <w:tcW w:w="724" w:type="dxa"/>
            <w:vAlign w:val="top"/>
          </w:tcPr>
          <w:p>
            <w:pPr>
              <w:pStyle w:val="TableText"/>
              <w:ind w:left="205"/>
              <w:spacing w:before="92" w:line="221" w:lineRule="auto"/>
              <w:rPr/>
            </w:pPr>
            <w:r>
              <w:rPr>
                <w:spacing w:val="-2"/>
              </w:rPr>
              <w:t>序号</w:t>
            </w:r>
          </w:p>
        </w:tc>
        <w:tc>
          <w:tcPr>
            <w:tcW w:w="3145" w:type="dxa"/>
            <w:vAlign w:val="top"/>
          </w:tcPr>
          <w:p>
            <w:pPr>
              <w:pStyle w:val="TableText"/>
              <w:ind w:left="116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6"/>
              <w:spacing w:before="91" w:line="220" w:lineRule="auto"/>
              <w:rPr/>
            </w:pPr>
            <w:r>
              <w:rPr>
                <w:spacing w:val="-5"/>
              </w:rPr>
              <w:t>实</w:t>
            </w:r>
            <w:r>
              <w:rPr>
                <w:spacing w:val="1"/>
              </w:rPr>
              <w:t xml:space="preserve">   </w:t>
            </w:r>
            <w:r>
              <w:rPr>
                <w:spacing w:val="-5"/>
              </w:rPr>
              <w:t>例</w:t>
            </w:r>
          </w:p>
        </w:tc>
      </w:tr>
      <w:tr>
        <w:trPr>
          <w:trHeight w:val="827" w:hRule="atLeast"/>
        </w:trPr>
        <w:tc>
          <w:tcPr>
            <w:tcW w:w="724" w:type="dxa"/>
            <w:vAlign w:val="top"/>
          </w:tcPr>
          <w:p>
            <w:pPr>
              <w:spacing w:line="327" w:lineRule="auto"/>
              <w:rPr>
                <w:rFonts w:ascii="Arial"/>
                <w:sz w:val="21"/>
              </w:rPr>
            </w:pPr>
            <w:r/>
          </w:p>
          <w:p>
            <w:pPr>
              <w:pStyle w:val="TableText"/>
              <w:ind w:left="235"/>
              <w:spacing w:before="48" w:line="183" w:lineRule="auto"/>
              <w:rPr/>
            </w:pPr>
            <w:r>
              <w:rPr>
                <w:spacing w:val="-2"/>
              </w:rPr>
              <w:t>4.3</w:t>
            </w:r>
          </w:p>
        </w:tc>
        <w:tc>
          <w:tcPr>
            <w:tcW w:w="3145" w:type="dxa"/>
            <w:vAlign w:val="top"/>
          </w:tcPr>
          <w:p>
            <w:pPr>
              <w:pStyle w:val="TableText"/>
              <w:ind w:left="110" w:right="169" w:firstLine="160"/>
              <w:spacing w:before="218" w:line="282" w:lineRule="auto"/>
              <w:rPr/>
            </w:pPr>
            <w:r>
              <w:rPr>
                <w:spacing w:val="-1"/>
              </w:rPr>
              <w:t>根据元数据矩阵和元数据的相关历史信息</w:t>
            </w:r>
            <w:r>
              <w:rPr>
                <w:spacing w:val="11"/>
              </w:rPr>
              <w:t xml:space="preserve"> </w:t>
            </w:r>
            <w:r>
              <w:rPr>
                <w:spacing w:val="-1"/>
              </w:rPr>
              <w:t>指导元数据管理活动</w:t>
            </w:r>
          </w:p>
        </w:tc>
        <w:tc>
          <w:tcPr>
            <w:tcW w:w="3730" w:type="dxa"/>
            <w:vAlign w:val="top"/>
          </w:tcPr>
          <w:p>
            <w:pPr>
              <w:pStyle w:val="TableText"/>
              <w:ind w:left="265"/>
              <w:spacing w:before="79" w:line="219" w:lineRule="auto"/>
              <w:rPr/>
            </w:pPr>
            <w:r>
              <w:rPr>
                <w:spacing w:val="1"/>
              </w:rPr>
              <w:t>●元数据管理程序</w:t>
            </w:r>
          </w:p>
          <w:p>
            <w:pPr>
              <w:pStyle w:val="TableText"/>
              <w:ind w:left="265"/>
              <w:spacing w:before="101" w:line="219" w:lineRule="auto"/>
              <w:rPr/>
            </w:pPr>
            <w:r>
              <w:rPr/>
              <w:t>●元数据库矩阵</w:t>
            </w:r>
          </w:p>
          <w:p>
            <w:pPr>
              <w:pStyle w:val="TableText"/>
              <w:ind w:left="265"/>
              <w:spacing w:before="101" w:line="219" w:lineRule="auto"/>
              <w:rPr/>
            </w:pPr>
            <w:r>
              <w:rPr>
                <w:spacing w:val="1"/>
              </w:rPr>
              <w:t>●元数据操作日志</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0" w:right="67" w:firstLine="459"/>
        <w:spacing w:before="56" w:line="247" w:lineRule="auto"/>
        <w:rPr>
          <w:rFonts w:ascii="SimSun" w:hAnsi="SimSun" w:eastAsia="SimSun" w:cs="SimSun"/>
          <w:sz w:val="22"/>
          <w:szCs w:val="22"/>
        </w:rPr>
      </w:pPr>
      <w:r>
        <w:rPr>
          <w:rFonts w:ascii="SimSun" w:hAnsi="SimSun" w:eastAsia="SimSun" w:cs="SimSun"/>
          <w:sz w:val="22"/>
          <w:szCs w:val="22"/>
          <w:spacing w:val="-8"/>
        </w:rPr>
        <w:t>元数据矩阵上各元素间的关系通过数据定量化表示</w:t>
      </w:r>
      <w:r>
        <w:rPr>
          <w:rFonts w:ascii="SimSun" w:hAnsi="SimSun" w:eastAsia="SimSun" w:cs="SimSun"/>
          <w:sz w:val="22"/>
          <w:szCs w:val="22"/>
          <w:spacing w:val="-9"/>
        </w:rPr>
        <w:t>，可帮助组织更准确地整理</w:t>
      </w:r>
      <w:r>
        <w:rPr>
          <w:rFonts w:ascii="SimSun" w:hAnsi="SimSun" w:eastAsia="SimSun" w:cs="SimSun"/>
          <w:sz w:val="22"/>
          <w:szCs w:val="22"/>
        </w:rPr>
        <w:t xml:space="preserve"> </w:t>
      </w:r>
      <w:r>
        <w:rPr>
          <w:rFonts w:ascii="SimSun" w:hAnsi="SimSun" w:eastAsia="SimSun" w:cs="SimSun"/>
          <w:sz w:val="22"/>
          <w:szCs w:val="22"/>
          <w:spacing w:val="-9"/>
        </w:rPr>
        <w:t>和分析元数据管理。结合对于元数据使用和变更过程中的历史数据，加强对元数据</w:t>
      </w:r>
      <w:r>
        <w:rPr>
          <w:rFonts w:ascii="SimSun" w:hAnsi="SimSun" w:eastAsia="SimSun" w:cs="SimSun"/>
          <w:sz w:val="22"/>
          <w:szCs w:val="22"/>
          <w:spacing w:val="15"/>
        </w:rPr>
        <w:t xml:space="preserve"> </w:t>
      </w:r>
      <w:r>
        <w:rPr>
          <w:rFonts w:ascii="SimSun" w:hAnsi="SimSun" w:eastAsia="SimSun" w:cs="SimSun"/>
          <w:sz w:val="22"/>
          <w:szCs w:val="22"/>
          <w:spacing w:val="-16"/>
        </w:rPr>
        <w:t>活动的管理。</w:t>
      </w:r>
    </w:p>
    <w:p>
      <w:pPr>
        <w:spacing w:line="134" w:lineRule="exact"/>
        <w:rPr/>
      </w:pPr>
      <w:r/>
    </w:p>
    <w:tbl>
      <w:tblPr>
        <w:tblStyle w:val="TableNormal"/>
        <w:tblW w:w="759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25"/>
        <w:gridCol w:w="3740"/>
      </w:tblGrid>
      <w:tr>
        <w:trPr>
          <w:trHeight w:val="322" w:hRule="atLeast"/>
        </w:trPr>
        <w:tc>
          <w:tcPr>
            <w:tcW w:w="734" w:type="dxa"/>
            <w:vAlign w:val="top"/>
          </w:tcPr>
          <w:p>
            <w:pPr>
              <w:pStyle w:val="TableText"/>
              <w:ind w:left="194"/>
              <w:spacing w:before="82" w:line="221" w:lineRule="auto"/>
              <w:rPr>
                <w:sz w:val="16"/>
                <w:szCs w:val="16"/>
              </w:rPr>
            </w:pPr>
            <w:r>
              <w:rPr>
                <w:sz w:val="16"/>
                <w:szCs w:val="16"/>
                <w:spacing w:val="-2"/>
              </w:rPr>
              <w:t>序号</w:t>
            </w:r>
          </w:p>
        </w:tc>
        <w:tc>
          <w:tcPr>
            <w:tcW w:w="312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5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8" w:hRule="atLeast"/>
        </w:trPr>
        <w:tc>
          <w:tcPr>
            <w:tcW w:w="734" w:type="dxa"/>
            <w:vAlign w:val="top"/>
          </w:tcPr>
          <w:p>
            <w:pPr>
              <w:spacing w:line="326" w:lineRule="auto"/>
              <w:rPr>
                <w:rFonts w:ascii="Arial"/>
                <w:sz w:val="21"/>
              </w:rPr>
            </w:pPr>
            <w:r/>
          </w:p>
          <w:p>
            <w:pPr>
              <w:pStyle w:val="TableText"/>
              <w:ind w:left="234"/>
              <w:spacing w:before="53" w:line="183" w:lineRule="auto"/>
              <w:rPr>
                <w:sz w:val="16"/>
                <w:szCs w:val="16"/>
              </w:rPr>
            </w:pPr>
            <w:r>
              <w:rPr>
                <w:sz w:val="16"/>
                <w:szCs w:val="16"/>
                <w:spacing w:val="-2"/>
              </w:rPr>
              <w:t>4.4</w:t>
            </w:r>
          </w:p>
        </w:tc>
        <w:tc>
          <w:tcPr>
            <w:tcW w:w="3125" w:type="dxa"/>
            <w:vAlign w:val="top"/>
          </w:tcPr>
          <w:p>
            <w:pPr>
              <w:pStyle w:val="TableText"/>
              <w:ind w:left="110" w:firstLine="149"/>
              <w:spacing w:before="230" w:line="265" w:lineRule="auto"/>
              <w:rPr>
                <w:sz w:val="16"/>
                <w:szCs w:val="16"/>
              </w:rPr>
            </w:pPr>
            <w:r>
              <w:rPr>
                <w:sz w:val="16"/>
                <w:szCs w:val="16"/>
                <w:spacing w:val="-2"/>
              </w:rPr>
              <w:t>制订了量化目标，并能够指导元数据的管</w:t>
            </w:r>
            <w:r>
              <w:rPr>
                <w:sz w:val="16"/>
                <w:szCs w:val="16"/>
                <w:spacing w:val="10"/>
              </w:rPr>
              <w:t xml:space="preserve"> </w:t>
            </w:r>
            <w:r>
              <w:rPr>
                <w:sz w:val="16"/>
                <w:szCs w:val="16"/>
                <w:spacing w:val="-2"/>
              </w:rPr>
              <w:t>理并支持过程的执行</w:t>
            </w:r>
          </w:p>
        </w:tc>
        <w:tc>
          <w:tcPr>
            <w:tcW w:w="3740" w:type="dxa"/>
            <w:vAlign w:val="top"/>
          </w:tcPr>
          <w:p>
            <w:pPr>
              <w:pStyle w:val="TableText"/>
              <w:ind w:left="255"/>
              <w:spacing w:before="69" w:line="219" w:lineRule="auto"/>
              <w:rPr>
                <w:sz w:val="16"/>
                <w:szCs w:val="16"/>
              </w:rPr>
            </w:pPr>
            <w:r>
              <w:rPr>
                <w:sz w:val="16"/>
                <w:szCs w:val="16"/>
                <w:spacing w:val="1"/>
              </w:rPr>
              <w:t>●元数据管理程序</w:t>
            </w:r>
          </w:p>
          <w:p>
            <w:pPr>
              <w:pStyle w:val="TableText"/>
              <w:ind w:left="255"/>
              <w:spacing w:before="110" w:line="219" w:lineRule="auto"/>
              <w:rPr>
                <w:sz w:val="16"/>
                <w:szCs w:val="16"/>
              </w:rPr>
            </w:pPr>
            <w:r>
              <w:rPr>
                <w:sz w:val="16"/>
                <w:szCs w:val="16"/>
                <w:spacing w:val="1"/>
              </w:rPr>
              <w:t>●元数据管理工具</w:t>
            </w:r>
          </w:p>
          <w:p>
            <w:pPr>
              <w:pStyle w:val="TableText"/>
              <w:ind w:left="255"/>
              <w:spacing w:before="78" w:line="218" w:lineRule="auto"/>
              <w:rPr>
                <w:sz w:val="16"/>
                <w:szCs w:val="16"/>
              </w:rPr>
            </w:pPr>
            <w:r>
              <w:rPr>
                <w:sz w:val="16"/>
                <w:szCs w:val="16"/>
              </w:rPr>
              <w:t>●元数据管理过程量化评价指南</w:t>
            </w:r>
          </w:p>
        </w:tc>
      </w:tr>
    </w:tbl>
    <w:p>
      <w:pPr>
        <w:ind w:left="560"/>
        <w:spacing w:before="17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0" w:right="66" w:firstLine="459"/>
        <w:spacing w:before="61" w:line="253" w:lineRule="auto"/>
        <w:rPr>
          <w:rFonts w:ascii="SimSun" w:hAnsi="SimSun" w:eastAsia="SimSun" w:cs="SimSun"/>
          <w:sz w:val="22"/>
          <w:szCs w:val="22"/>
        </w:rPr>
      </w:pPr>
      <w:r>
        <w:rPr>
          <w:rFonts w:ascii="SimSun" w:hAnsi="SimSun" w:eastAsia="SimSun" w:cs="SimSun"/>
          <w:sz w:val="22"/>
          <w:szCs w:val="22"/>
          <w:spacing w:val="-10"/>
        </w:rPr>
        <w:t>通过利用 </w:t>
      </w:r>
      <w:r>
        <w:rPr>
          <w:rFonts w:ascii="Times New Roman" w:hAnsi="Times New Roman" w:eastAsia="Times New Roman" w:cs="Times New Roman"/>
          <w:sz w:val="22"/>
          <w:szCs w:val="22"/>
          <w:spacing w:val="-10"/>
        </w:rPr>
        <w:t>SMART</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0"/>
        </w:rPr>
        <w:t>原则，建立量化管理的规范和制度，对元数据</w:t>
      </w:r>
      <w:r>
        <w:rPr>
          <w:rFonts w:ascii="SimSun" w:hAnsi="SimSun" w:eastAsia="SimSun" w:cs="SimSun"/>
          <w:sz w:val="22"/>
          <w:szCs w:val="22"/>
          <w:spacing w:val="-11"/>
        </w:rPr>
        <w:t>的管理过程进</w:t>
      </w:r>
      <w:r>
        <w:rPr>
          <w:rFonts w:ascii="SimSun" w:hAnsi="SimSun" w:eastAsia="SimSun" w:cs="SimSun"/>
          <w:sz w:val="22"/>
          <w:szCs w:val="22"/>
        </w:rPr>
        <w:t xml:space="preserve"> </w:t>
      </w:r>
      <w:r>
        <w:rPr>
          <w:rFonts w:ascii="SimSun" w:hAnsi="SimSun" w:eastAsia="SimSun" w:cs="SimSun"/>
          <w:sz w:val="22"/>
          <w:szCs w:val="22"/>
          <w:spacing w:val="-9"/>
        </w:rPr>
        <w:t>行量化考核和评价，细化管理过程的改进，不断提升元数据管理能力和水平，促进</w:t>
      </w:r>
      <w:r>
        <w:rPr>
          <w:rFonts w:ascii="SimSun" w:hAnsi="SimSun" w:eastAsia="SimSun" w:cs="SimSun"/>
          <w:sz w:val="22"/>
          <w:szCs w:val="22"/>
          <w:spacing w:val="11"/>
        </w:rPr>
        <w:t xml:space="preserve"> </w:t>
      </w:r>
      <w:r>
        <w:rPr>
          <w:rFonts w:ascii="SimSun" w:hAnsi="SimSun" w:eastAsia="SimSun" w:cs="SimSun"/>
          <w:sz w:val="22"/>
          <w:szCs w:val="22"/>
          <w:spacing w:val="-9"/>
        </w:rPr>
        <w:t>云端数据治理的绩效。量化管理工作重视结果，强调自主、自治和自觉。形成量化</w:t>
      </w:r>
      <w:r>
        <w:rPr>
          <w:rFonts w:ascii="SimSun" w:hAnsi="SimSun" w:eastAsia="SimSun" w:cs="SimSun"/>
          <w:sz w:val="22"/>
          <w:szCs w:val="22"/>
          <w:spacing w:val="12"/>
        </w:rPr>
        <w:t xml:space="preserve"> </w:t>
      </w:r>
      <w:r>
        <w:rPr>
          <w:rFonts w:ascii="SimSun" w:hAnsi="SimSun" w:eastAsia="SimSun" w:cs="SimSun"/>
          <w:sz w:val="22"/>
          <w:szCs w:val="22"/>
          <w:spacing w:val="-9"/>
        </w:rPr>
        <w:t>目标体系后需要进行定期检查，利用有效信息反馈渠道进行定期评价；同时要向被</w:t>
      </w:r>
      <w:r>
        <w:rPr>
          <w:rFonts w:ascii="SimSun" w:hAnsi="SimSun" w:eastAsia="SimSun" w:cs="SimSun"/>
          <w:sz w:val="22"/>
          <w:szCs w:val="22"/>
          <w:spacing w:val="12"/>
        </w:rPr>
        <w:t xml:space="preserve"> </w:t>
      </w:r>
      <w:r>
        <w:rPr>
          <w:rFonts w:ascii="SimSun" w:hAnsi="SimSun" w:eastAsia="SimSun" w:cs="SimSun"/>
          <w:sz w:val="22"/>
          <w:szCs w:val="22"/>
          <w:spacing w:val="-9"/>
        </w:rPr>
        <w:t>考核对象通报，结合考核情况调整元数据管理工作，当出现意外、不可测事件导致</w:t>
      </w:r>
      <w:r>
        <w:rPr>
          <w:rFonts w:ascii="SimSun" w:hAnsi="SimSun" w:eastAsia="SimSun" w:cs="SimSun"/>
          <w:sz w:val="22"/>
          <w:szCs w:val="22"/>
          <w:spacing w:val="11"/>
        </w:rPr>
        <w:t xml:space="preserve"> </w:t>
      </w:r>
      <w:r>
        <w:rPr>
          <w:rFonts w:ascii="SimSun" w:hAnsi="SimSun" w:eastAsia="SimSun" w:cs="SimSun"/>
          <w:sz w:val="22"/>
          <w:szCs w:val="22"/>
          <w:spacing w:val="-9"/>
        </w:rPr>
        <w:t>严重影响管理目标的实现时，也可以通过一</w:t>
      </w:r>
      <w:r>
        <w:rPr>
          <w:rFonts w:ascii="SimSun" w:hAnsi="SimSun" w:eastAsia="SimSun" w:cs="SimSun"/>
          <w:sz w:val="22"/>
          <w:szCs w:val="22"/>
          <w:spacing w:val="-10"/>
        </w:rPr>
        <w:t>定的手续，修改原定的目标。</w:t>
      </w:r>
    </w:p>
    <w:p>
      <w:pPr>
        <w:spacing w:line="135"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40"/>
      </w:tblGrid>
      <w:tr>
        <w:trPr>
          <w:trHeight w:val="293" w:hRule="atLeast"/>
        </w:trPr>
        <w:tc>
          <w:tcPr>
            <w:tcW w:w="724" w:type="dxa"/>
            <w:vAlign w:val="top"/>
          </w:tcPr>
          <w:p>
            <w:pPr>
              <w:pStyle w:val="TableText"/>
              <w:ind w:left="205"/>
              <w:spacing w:before="72" w:line="221" w:lineRule="auto"/>
              <w:rPr/>
            </w:pPr>
            <w:r>
              <w:rPr>
                <w:spacing w:val="-2"/>
              </w:rPr>
              <w:t>序号</w:t>
            </w:r>
          </w:p>
        </w:tc>
        <w:tc>
          <w:tcPr>
            <w:tcW w:w="3135" w:type="dxa"/>
            <w:vAlign w:val="top"/>
          </w:tcPr>
          <w:p>
            <w:pPr>
              <w:pStyle w:val="TableText"/>
              <w:ind w:left="1140"/>
              <w:spacing w:before="7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71" w:line="220" w:lineRule="auto"/>
              <w:rPr/>
            </w:pPr>
            <w:r>
              <w:rPr>
                <w:spacing w:val="-5"/>
              </w:rPr>
              <w:t>实</w:t>
            </w:r>
            <w:r>
              <w:rPr>
                <w:spacing w:val="1"/>
              </w:rPr>
              <w:t xml:space="preserve">   </w:t>
            </w:r>
            <w:r>
              <w:rPr>
                <w:spacing w:val="-5"/>
              </w:rPr>
              <w:t>例</w:t>
            </w:r>
          </w:p>
        </w:tc>
      </w:tr>
      <w:tr>
        <w:trPr>
          <w:trHeight w:val="1707" w:hRule="atLeast"/>
        </w:trPr>
        <w:tc>
          <w:tcPr>
            <w:tcW w:w="724"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TableText"/>
              <w:ind w:left="235"/>
              <w:spacing w:before="49" w:line="183" w:lineRule="auto"/>
              <w:rPr/>
            </w:pPr>
            <w:r>
              <w:rPr>
                <w:spacing w:val="-2"/>
              </w:rPr>
              <w:t>4.5</w:t>
            </w:r>
          </w:p>
        </w:tc>
        <w:tc>
          <w:tcPr>
            <w:tcW w:w="3135" w:type="dxa"/>
            <w:vAlign w:val="top"/>
          </w:tcPr>
          <w:p>
            <w:pPr>
              <w:spacing w:line="316" w:lineRule="auto"/>
              <w:rPr>
                <w:rFonts w:ascii="Arial"/>
                <w:sz w:val="21"/>
              </w:rPr>
            </w:pPr>
            <w:r/>
          </w:p>
          <w:p>
            <w:pPr>
              <w:pStyle w:val="TableText"/>
              <w:ind w:left="100" w:right="131" w:firstLine="110"/>
              <w:spacing w:before="49" w:line="318" w:lineRule="auto"/>
              <w:rPr/>
            </w:pPr>
            <w:r>
              <w:rPr>
                <w:spacing w:val="-1"/>
              </w:rPr>
              <w:t>元数据库包含了过程、汇报和执行的数据</w:t>
            </w:r>
            <w:r>
              <w:rPr>
                <w:spacing w:val="4"/>
              </w:rPr>
              <w:t xml:space="preserve">  </w:t>
            </w:r>
            <w:r>
              <w:rPr>
                <w:spacing w:val="1"/>
              </w:rPr>
              <w:t>分析报告，使用这些报告制订与新的元数据</w:t>
            </w:r>
            <w:r>
              <w:rPr>
                <w:spacing w:val="2"/>
              </w:rPr>
              <w:t xml:space="preserve"> </w:t>
            </w:r>
            <w:r>
              <w:rPr>
                <w:spacing w:val="2"/>
              </w:rPr>
              <w:t>管理活动相关的决策，且决策是基于事实制</w:t>
            </w:r>
            <w:r>
              <w:rPr>
                <w:spacing w:val="3"/>
              </w:rPr>
              <w:t xml:space="preserve"> </w:t>
            </w:r>
            <w:r>
              <w:rPr>
                <w:spacing w:val="-2"/>
              </w:rPr>
              <w:t>订的</w:t>
            </w:r>
          </w:p>
        </w:tc>
        <w:tc>
          <w:tcPr>
            <w:tcW w:w="3740" w:type="dxa"/>
            <w:vAlign w:val="top"/>
          </w:tcPr>
          <w:p>
            <w:pPr>
              <w:pStyle w:val="TableText"/>
              <w:ind w:left="256"/>
              <w:spacing w:before="78" w:line="219" w:lineRule="auto"/>
              <w:rPr/>
            </w:pPr>
            <w:r>
              <w:rPr/>
              <w:t>●已记录的元数据量化目标</w:t>
            </w:r>
          </w:p>
          <w:p>
            <w:pPr>
              <w:pStyle w:val="TableText"/>
              <w:ind w:left="125" w:right="147" w:firstLine="149"/>
              <w:spacing w:before="112" w:line="288" w:lineRule="auto"/>
              <w:rPr/>
            </w:pPr>
            <w:r>
              <w:rPr/>
              <w:t>●度量方法的文档化，包括使用的数据和其他量化</w:t>
            </w:r>
            <w:r>
              <w:rPr>
                <w:spacing w:val="5"/>
              </w:rPr>
              <w:t xml:space="preserve"> </w:t>
            </w:r>
            <w:r>
              <w:rPr>
                <w:spacing w:val="-1"/>
              </w:rPr>
              <w:t>技巧，以及性能阈值</w:t>
            </w:r>
          </w:p>
          <w:p>
            <w:pPr>
              <w:pStyle w:val="TableText"/>
              <w:ind w:left="256"/>
              <w:spacing w:before="100" w:line="218" w:lineRule="auto"/>
              <w:rPr/>
            </w:pPr>
            <w:r>
              <w:rPr/>
              <w:t>●全面的元数据库报告包括历史报告</w:t>
            </w:r>
          </w:p>
          <w:p>
            <w:pPr>
              <w:pStyle w:val="TableText"/>
              <w:ind w:left="256"/>
              <w:spacing w:before="112" w:line="218" w:lineRule="auto"/>
              <w:rPr/>
            </w:pPr>
            <w:r>
              <w:rPr/>
              <w:t>●元数据管理的过程效率报告</w:t>
            </w:r>
          </w:p>
          <w:p>
            <w:pPr>
              <w:pStyle w:val="TableText"/>
              <w:ind w:left="256"/>
              <w:spacing w:before="104" w:line="219" w:lineRule="auto"/>
              <w:rPr/>
            </w:pPr>
            <w:r>
              <w:rPr/>
              <w:t>●统一或集成的元模型</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0" w:right="64" w:firstLine="459"/>
        <w:spacing w:before="27" w:line="247" w:lineRule="auto"/>
        <w:rPr>
          <w:rFonts w:ascii="SimSun" w:hAnsi="SimSun" w:eastAsia="SimSun" w:cs="SimSun"/>
          <w:sz w:val="22"/>
          <w:szCs w:val="22"/>
        </w:rPr>
      </w:pPr>
      <w:r>
        <w:rPr>
          <w:rFonts w:ascii="SimSun" w:hAnsi="SimSun" w:eastAsia="SimSun" w:cs="SimSun"/>
          <w:sz w:val="22"/>
          <w:szCs w:val="22"/>
          <w:spacing w:val="-8"/>
        </w:rPr>
        <w:t>记录在元数据管理的过程、分析和报告，将数据输入、查</w:t>
      </w:r>
      <w:r>
        <w:rPr>
          <w:rFonts w:ascii="SimSun" w:hAnsi="SimSun" w:eastAsia="SimSun" w:cs="SimSun"/>
          <w:sz w:val="22"/>
          <w:szCs w:val="22"/>
          <w:spacing w:val="-9"/>
        </w:rPr>
        <w:t>阅以及使用的统一实</w:t>
      </w:r>
      <w:r>
        <w:rPr>
          <w:rFonts w:ascii="SimSun" w:hAnsi="SimSun" w:eastAsia="SimSun" w:cs="SimSun"/>
          <w:sz w:val="22"/>
          <w:szCs w:val="22"/>
        </w:rPr>
        <w:t xml:space="preserve"> </w:t>
      </w:r>
      <w:r>
        <w:rPr>
          <w:rFonts w:ascii="SimSun" w:hAnsi="SimSun" w:eastAsia="SimSun" w:cs="SimSun"/>
          <w:sz w:val="22"/>
          <w:szCs w:val="22"/>
          <w:spacing w:val="-9"/>
        </w:rPr>
        <w:t>践文档化，对交换数据的表示所遵循的标准进行文档化，形成整合记录，并保存在</w:t>
      </w:r>
      <w:r>
        <w:rPr>
          <w:rFonts w:ascii="SimSun" w:hAnsi="SimSun" w:eastAsia="SimSun" w:cs="SimSun"/>
          <w:sz w:val="22"/>
          <w:szCs w:val="22"/>
          <w:spacing w:val="14"/>
        </w:rPr>
        <w:t xml:space="preserve"> </w:t>
      </w:r>
      <w:r>
        <w:rPr>
          <w:rFonts w:ascii="SimSun" w:hAnsi="SimSun" w:eastAsia="SimSun" w:cs="SimSun"/>
          <w:sz w:val="22"/>
          <w:szCs w:val="22"/>
          <w:spacing w:val="-10"/>
        </w:rPr>
        <w:t>元数据库中。利用这些记录和分析结果，在新的元数据管理过程中支持管理决策。</w:t>
      </w:r>
    </w:p>
    <w:p>
      <w:pPr>
        <w:ind w:left="670"/>
        <w:spacing w:before="64"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30"/>
          <w:w w:val="101"/>
        </w:rPr>
        <w:t xml:space="preserve"> </w:t>
      </w: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4"/>
        </w:rPr>
        <w:t>优化级</w:t>
      </w:r>
    </w:p>
    <w:p>
      <w:pPr>
        <w:spacing w:line="138" w:lineRule="exact"/>
        <w:rPr/>
      </w:pPr>
      <w:r/>
    </w:p>
    <w:tbl>
      <w:tblPr>
        <w:tblStyle w:val="TableNormal"/>
        <w:tblW w:w="7599" w:type="dxa"/>
        <w:tblInd w:w="3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35"/>
        <w:gridCol w:w="3730"/>
      </w:tblGrid>
      <w:tr>
        <w:trPr>
          <w:trHeight w:val="311" w:hRule="atLeast"/>
        </w:trPr>
        <w:tc>
          <w:tcPr>
            <w:tcW w:w="734" w:type="dxa"/>
            <w:vAlign w:val="top"/>
          </w:tcPr>
          <w:p>
            <w:pPr>
              <w:pStyle w:val="TableText"/>
              <w:ind w:left="204"/>
              <w:spacing w:before="81"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95"/>
              <w:spacing w:before="81" w:line="220" w:lineRule="auto"/>
              <w:rPr/>
            </w:pPr>
            <w:r>
              <w:rPr>
                <w:spacing w:val="-5"/>
              </w:rPr>
              <w:t>实</w:t>
            </w:r>
            <w:r>
              <w:rPr>
                <w:spacing w:val="1"/>
              </w:rPr>
              <w:t xml:space="preserve">   </w:t>
            </w:r>
            <w:r>
              <w:rPr>
                <w:spacing w:val="-5"/>
              </w:rPr>
              <w:t>例</w:t>
            </w:r>
          </w:p>
        </w:tc>
      </w:tr>
      <w:tr>
        <w:trPr>
          <w:trHeight w:val="568" w:hRule="atLeast"/>
        </w:trPr>
        <w:tc>
          <w:tcPr>
            <w:tcW w:w="734" w:type="dxa"/>
            <w:vAlign w:val="top"/>
          </w:tcPr>
          <w:p>
            <w:pPr>
              <w:pStyle w:val="TableText"/>
              <w:ind w:left="244"/>
              <w:spacing w:before="248" w:line="184" w:lineRule="auto"/>
              <w:rPr/>
            </w:pPr>
            <w:r>
              <w:rPr>
                <w:spacing w:val="-2"/>
              </w:rPr>
              <w:t>5.1</w:t>
            </w:r>
          </w:p>
        </w:tc>
        <w:tc>
          <w:tcPr>
            <w:tcW w:w="3135" w:type="dxa"/>
            <w:vAlign w:val="top"/>
          </w:tcPr>
          <w:p>
            <w:pPr>
              <w:pStyle w:val="TableText"/>
              <w:ind w:left="120" w:right="159" w:firstLine="149"/>
              <w:spacing w:before="79" w:line="282" w:lineRule="auto"/>
              <w:rPr/>
            </w:pPr>
            <w:r>
              <w:rPr>
                <w:spacing w:val="-1"/>
              </w:rPr>
              <w:t>执行根本原因分析以降低库信息和它所描</w:t>
            </w:r>
            <w:r>
              <w:rPr>
                <w:spacing w:val="11"/>
              </w:rPr>
              <w:t xml:space="preserve"> </w:t>
            </w:r>
            <w:r>
              <w:rPr>
                <w:spacing w:val="-1"/>
              </w:rPr>
              <w:t>述信息的变异</w:t>
            </w:r>
          </w:p>
        </w:tc>
        <w:tc>
          <w:tcPr>
            <w:tcW w:w="3730" w:type="dxa"/>
            <w:vAlign w:val="top"/>
          </w:tcPr>
          <w:p>
            <w:pPr>
              <w:pStyle w:val="TableText"/>
              <w:ind w:left="265"/>
              <w:spacing w:before="79" w:line="219" w:lineRule="auto"/>
              <w:rPr/>
            </w:pPr>
            <w:r>
              <w:rPr/>
              <w:t>●元数据库信息变异根本原因分析措施</w:t>
            </w:r>
          </w:p>
          <w:p>
            <w:pPr>
              <w:pStyle w:val="TableText"/>
              <w:ind w:left="285"/>
              <w:spacing w:before="111" w:line="218" w:lineRule="auto"/>
              <w:rPr/>
            </w:pPr>
            <w:r>
              <w:rPr/>
              <w:t>●基于标准定义的元数据管理持续性报告和证据</w:t>
            </w:r>
          </w:p>
        </w:tc>
      </w:tr>
    </w:tbl>
    <w:p>
      <w:pPr>
        <w:pStyle w:val="BodyText"/>
        <w:rPr/>
      </w:pPr>
      <w:r/>
    </w:p>
    <w:p>
      <w:pPr>
        <w:sectPr>
          <w:footerReference w:type="default" r:id="rId219"/>
          <w:pgSz w:w="8870" w:h="13400"/>
          <w:pgMar w:top="400" w:right="524" w:bottom="505" w:left="409" w:header="0" w:footer="286" w:gutter="0"/>
        </w:sectPr>
        <w:rPr/>
      </w:pPr>
    </w:p>
    <w:p>
      <w:pPr>
        <w:ind w:left="5512"/>
        <w:spacing w:before="174" w:line="219" w:lineRule="auto"/>
        <w:rPr>
          <w:rFonts w:ascii="SimSun" w:hAnsi="SimSun" w:eastAsia="SimSun" w:cs="SimSun"/>
          <w:sz w:val="21"/>
          <w:szCs w:val="21"/>
        </w:rPr>
      </w:pPr>
      <w:r>
        <w:rPr>
          <w:rFonts w:ascii="SimSun" w:hAnsi="SimSun" w:eastAsia="SimSun" w:cs="SimSun"/>
          <w:sz w:val="21"/>
          <w:szCs w:val="21"/>
          <w:b/>
          <w:bCs/>
          <w:spacing w:val="14"/>
        </w:rPr>
        <w:t>第5章■云端数据管理</w:t>
      </w:r>
    </w:p>
    <w:p>
      <w:pPr>
        <w:pStyle w:val="BodyText"/>
        <w:spacing w:line="265" w:lineRule="auto"/>
        <w:rPr/>
      </w:pPr>
      <w:r/>
    </w:p>
    <w:p>
      <w:pPr>
        <w:ind w:left="30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40" w:firstLine="409"/>
        <w:spacing w:before="78" w:line="260" w:lineRule="auto"/>
        <w:rPr>
          <w:rFonts w:ascii="SimSun" w:hAnsi="SimSun" w:eastAsia="SimSun" w:cs="SimSun"/>
          <w:sz w:val="21"/>
          <w:szCs w:val="21"/>
        </w:rPr>
      </w:pPr>
      <w:r>
        <w:rPr>
          <w:rFonts w:ascii="SimSun" w:hAnsi="SimSun" w:eastAsia="SimSun" w:cs="SimSun"/>
          <w:sz w:val="21"/>
          <w:szCs w:val="21"/>
          <w:spacing w:val="5"/>
        </w:rPr>
        <w:t>对于发生的元数据库信息及描述的变异(由误差、错</w:t>
      </w:r>
      <w:r>
        <w:rPr>
          <w:rFonts w:ascii="SimSun" w:hAnsi="SimSun" w:eastAsia="SimSun" w:cs="SimSun"/>
          <w:sz w:val="21"/>
          <w:szCs w:val="21"/>
          <w:spacing w:val="4"/>
        </w:rPr>
        <w:t>误、篡改等导致),通过开</w:t>
      </w:r>
      <w:r>
        <w:rPr>
          <w:rFonts w:ascii="SimSun" w:hAnsi="SimSun" w:eastAsia="SimSun" w:cs="SimSun"/>
          <w:sz w:val="21"/>
          <w:szCs w:val="21"/>
        </w:rPr>
        <w:t xml:space="preserve"> </w:t>
      </w:r>
      <w:r>
        <w:rPr>
          <w:rFonts w:ascii="SimSun" w:hAnsi="SimSun" w:eastAsia="SimSun" w:cs="SimSun"/>
          <w:sz w:val="21"/>
          <w:szCs w:val="21"/>
          <w:spacing w:val="2"/>
        </w:rPr>
        <w:t>展根本原因分析，用结构化的问题处理法逐步找出云端元数据管理过程中出现问题</w:t>
      </w:r>
      <w:r>
        <w:rPr>
          <w:rFonts w:ascii="SimSun" w:hAnsi="SimSun" w:eastAsia="SimSun" w:cs="SimSun"/>
          <w:sz w:val="21"/>
          <w:szCs w:val="21"/>
          <w:spacing w:val="17"/>
        </w:rPr>
        <w:t xml:space="preserve"> </w:t>
      </w:r>
      <w:r>
        <w:rPr>
          <w:rFonts w:ascii="SimSun" w:hAnsi="SimSun" w:eastAsia="SimSun" w:cs="SimSun"/>
          <w:sz w:val="21"/>
          <w:szCs w:val="21"/>
          <w:spacing w:val="1"/>
        </w:rPr>
        <w:t>的根本原因并加以解决，避免仅仅关注问题的表象而不关注问题的本质，同时避免</w:t>
      </w:r>
      <w:r>
        <w:rPr>
          <w:rFonts w:ascii="SimSun" w:hAnsi="SimSun" w:eastAsia="SimSun" w:cs="SimSun"/>
          <w:sz w:val="21"/>
          <w:szCs w:val="21"/>
          <w:spacing w:val="11"/>
        </w:rPr>
        <w:t xml:space="preserve"> </w:t>
      </w:r>
      <w:r>
        <w:rPr>
          <w:rFonts w:ascii="SimSun" w:hAnsi="SimSun" w:eastAsia="SimSun" w:cs="SimSun"/>
          <w:sz w:val="21"/>
          <w:szCs w:val="21"/>
          <w:spacing w:val="-7"/>
        </w:rPr>
        <w:t>问题的重复出现。</w:t>
      </w:r>
    </w:p>
    <w:p>
      <w:pPr>
        <w:spacing w:line="115"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5" w:type="dxa"/>
            <w:vAlign w:val="top"/>
          </w:tcPr>
          <w:p>
            <w:pPr>
              <w:pStyle w:val="TableText"/>
              <w:ind w:left="1130"/>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24" w:type="dxa"/>
            <w:vAlign w:val="top"/>
          </w:tcPr>
          <w:p>
            <w:pPr>
              <w:pStyle w:val="TableText"/>
              <w:ind w:left="234"/>
              <w:spacing w:before="241" w:line="183" w:lineRule="auto"/>
              <w:rPr>
                <w:sz w:val="16"/>
                <w:szCs w:val="16"/>
              </w:rPr>
            </w:pPr>
            <w:r>
              <w:rPr>
                <w:sz w:val="16"/>
                <w:szCs w:val="16"/>
                <w:spacing w:val="-3"/>
              </w:rPr>
              <w:t>5.2</w:t>
            </w:r>
          </w:p>
        </w:tc>
        <w:tc>
          <w:tcPr>
            <w:tcW w:w="3125" w:type="dxa"/>
            <w:vAlign w:val="top"/>
          </w:tcPr>
          <w:p>
            <w:pPr>
              <w:pStyle w:val="TableText"/>
              <w:ind w:left="110"/>
              <w:spacing w:before="200" w:line="219" w:lineRule="auto"/>
              <w:rPr>
                <w:sz w:val="16"/>
                <w:szCs w:val="16"/>
              </w:rPr>
            </w:pPr>
            <w:r>
              <w:rPr>
                <w:sz w:val="16"/>
                <w:szCs w:val="16"/>
                <w:spacing w:val="-1"/>
              </w:rPr>
              <w:t>使用预测模型指导元数据管理过程的变更</w:t>
            </w:r>
          </w:p>
        </w:tc>
        <w:tc>
          <w:tcPr>
            <w:tcW w:w="3750" w:type="dxa"/>
            <w:vAlign w:val="top"/>
          </w:tcPr>
          <w:p>
            <w:pPr>
              <w:pStyle w:val="TableText"/>
              <w:ind w:left="265"/>
              <w:spacing w:before="80" w:line="219" w:lineRule="auto"/>
              <w:rPr>
                <w:sz w:val="16"/>
                <w:szCs w:val="16"/>
              </w:rPr>
            </w:pPr>
            <w:r>
              <w:rPr>
                <w:sz w:val="16"/>
                <w:szCs w:val="16"/>
              </w:rPr>
              <w:t>●元数据变更管理程序</w:t>
            </w:r>
          </w:p>
          <w:p>
            <w:pPr>
              <w:pStyle w:val="TableText"/>
              <w:ind w:left="265"/>
              <w:spacing w:before="80" w:line="219" w:lineRule="auto"/>
              <w:rPr>
                <w:sz w:val="16"/>
                <w:szCs w:val="16"/>
              </w:rPr>
            </w:pPr>
            <w:r>
              <w:rPr>
                <w:sz w:val="16"/>
                <w:szCs w:val="16"/>
                <w:spacing w:val="1"/>
              </w:rPr>
              <w:t>●预测模型文档</w:t>
            </w:r>
          </w:p>
        </w:tc>
      </w:tr>
    </w:tbl>
    <w:p>
      <w:pPr>
        <w:ind w:left="30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186" w:firstLine="409"/>
        <w:spacing w:before="58" w:line="263" w:lineRule="auto"/>
        <w:rPr>
          <w:rFonts w:ascii="SimSun" w:hAnsi="SimSun" w:eastAsia="SimSun" w:cs="SimSun"/>
          <w:sz w:val="21"/>
          <w:szCs w:val="21"/>
        </w:rPr>
      </w:pPr>
      <w:r>
        <w:rPr>
          <w:rFonts w:ascii="SimSun" w:hAnsi="SimSun" w:eastAsia="SimSun" w:cs="SimSun"/>
          <w:sz w:val="21"/>
          <w:szCs w:val="21"/>
          <w:spacing w:val="2"/>
        </w:rPr>
        <w:t>元数据管理过程产生变更的同时会带来业务的影响。</w:t>
      </w:r>
      <w:r>
        <w:rPr>
          <w:rFonts w:ascii="SimSun" w:hAnsi="SimSun" w:eastAsia="SimSun" w:cs="SimSun"/>
          <w:sz w:val="21"/>
          <w:szCs w:val="21"/>
          <w:spacing w:val="1"/>
        </w:rPr>
        <w:t>通过采用预测模型可在变</w:t>
      </w:r>
      <w:r>
        <w:rPr>
          <w:rFonts w:ascii="SimSun" w:hAnsi="SimSun" w:eastAsia="SimSun" w:cs="SimSun"/>
          <w:sz w:val="21"/>
          <w:szCs w:val="21"/>
        </w:rPr>
        <w:t xml:space="preserve">  </w:t>
      </w:r>
      <w:r>
        <w:rPr>
          <w:rFonts w:ascii="SimSun" w:hAnsi="SimSun" w:eastAsia="SimSun" w:cs="SimSun"/>
          <w:sz w:val="21"/>
          <w:szCs w:val="21"/>
          <w:spacing w:val="-2"/>
        </w:rPr>
        <w:t>更前分析其影响并支撑决策。例如：使用决策树、支持向量机、粗糙集、模糊聚类、</w:t>
      </w:r>
      <w:r>
        <w:rPr>
          <w:rFonts w:ascii="SimSun" w:hAnsi="SimSun" w:eastAsia="SimSun" w:cs="SimSun"/>
          <w:sz w:val="21"/>
          <w:szCs w:val="21"/>
          <w:spacing w:val="7"/>
        </w:rPr>
        <w:t xml:space="preserve"> </w:t>
      </w:r>
      <w:r>
        <w:rPr>
          <w:rFonts w:ascii="SimSun" w:hAnsi="SimSun" w:eastAsia="SimSun" w:cs="SimSun"/>
          <w:sz w:val="21"/>
          <w:szCs w:val="21"/>
          <w:spacing w:val="1"/>
        </w:rPr>
        <w:t>基于范例推理、统计方法、神经计算等多种数据挖掘算法，支持特征抽取、分类、</w:t>
      </w:r>
      <w:r>
        <w:rPr>
          <w:rFonts w:ascii="SimSun" w:hAnsi="SimSun" w:eastAsia="SimSun" w:cs="SimSun"/>
          <w:sz w:val="21"/>
          <w:szCs w:val="21"/>
          <w:spacing w:val="3"/>
        </w:rPr>
        <w:t xml:space="preserve">  </w:t>
      </w:r>
      <w:r>
        <w:rPr>
          <w:rFonts w:ascii="SimSun" w:hAnsi="SimSun" w:eastAsia="SimSun" w:cs="SimSun"/>
          <w:sz w:val="21"/>
          <w:szCs w:val="21"/>
          <w:spacing w:val="1"/>
        </w:rPr>
        <w:t>聚类、预测、关联规则发现、统计分析等数据挖掘功能，并支持高层次的决策分析</w:t>
      </w:r>
      <w:r>
        <w:rPr>
          <w:rFonts w:ascii="SimSun" w:hAnsi="SimSun" w:eastAsia="SimSun" w:cs="SimSun"/>
          <w:sz w:val="21"/>
          <w:szCs w:val="21"/>
          <w:spacing w:val="5"/>
        </w:rPr>
        <w:t xml:space="preserve">  </w:t>
      </w:r>
      <w:r>
        <w:rPr>
          <w:rFonts w:ascii="SimSun" w:hAnsi="SimSun" w:eastAsia="SimSun" w:cs="SimSun"/>
          <w:sz w:val="21"/>
          <w:szCs w:val="21"/>
          <w:spacing w:val="-10"/>
        </w:rPr>
        <w:t>功能。</w:t>
      </w:r>
    </w:p>
    <w:p>
      <w:pPr>
        <w:spacing w:line="134" w:lineRule="exact"/>
        <w:rPr/>
      </w:pPr>
      <w:r/>
    </w:p>
    <w:tbl>
      <w:tblPr>
        <w:tblStyle w:val="TableNormal"/>
        <w:tblW w:w="760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6"/>
        <w:gridCol w:w="375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6" w:type="dxa"/>
            <w:vAlign w:val="top"/>
          </w:tcPr>
          <w:p>
            <w:pPr>
              <w:pStyle w:val="TableText"/>
              <w:ind w:left="1141"/>
              <w:spacing w:before="81" w:line="219" w:lineRule="auto"/>
              <w:rPr>
                <w:sz w:val="16"/>
                <w:szCs w:val="16"/>
              </w:rPr>
            </w:pPr>
            <w:r>
              <w:rPr>
                <w:sz w:val="16"/>
                <w:szCs w:val="16"/>
                <w:spacing w:val="-4"/>
              </w:rPr>
              <w:t>等 级 要 求</w:t>
            </w:r>
          </w:p>
        </w:tc>
        <w:tc>
          <w:tcPr>
            <w:tcW w:w="375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24" w:type="dxa"/>
            <w:vAlign w:val="top"/>
          </w:tcPr>
          <w:p>
            <w:pPr>
              <w:pStyle w:val="TableText"/>
              <w:ind w:left="235"/>
              <w:spacing w:before="241" w:line="183" w:lineRule="auto"/>
              <w:rPr>
                <w:sz w:val="16"/>
                <w:szCs w:val="16"/>
              </w:rPr>
            </w:pPr>
            <w:r>
              <w:rPr>
                <w:sz w:val="16"/>
                <w:szCs w:val="16"/>
                <w:spacing w:val="-3"/>
              </w:rPr>
              <w:t>5.3</w:t>
            </w:r>
          </w:p>
        </w:tc>
        <w:tc>
          <w:tcPr>
            <w:tcW w:w="3126" w:type="dxa"/>
            <w:vAlign w:val="top"/>
          </w:tcPr>
          <w:p>
            <w:pPr>
              <w:pStyle w:val="TableText"/>
              <w:ind w:left="101" w:firstLine="168"/>
              <w:spacing w:before="81" w:line="270" w:lineRule="auto"/>
              <w:rPr>
                <w:sz w:val="16"/>
                <w:szCs w:val="16"/>
              </w:rPr>
            </w:pPr>
            <w:r>
              <w:rPr>
                <w:sz w:val="16"/>
                <w:szCs w:val="16"/>
                <w:spacing w:val="-2"/>
              </w:rPr>
              <w:t>根据元数据策略确定量化元数据的改进目</w:t>
            </w:r>
            <w:r>
              <w:rPr>
                <w:sz w:val="16"/>
                <w:szCs w:val="16"/>
                <w:spacing w:val="1"/>
              </w:rPr>
              <w:t xml:space="preserve"> </w:t>
            </w:r>
            <w:r>
              <w:rPr>
                <w:sz w:val="16"/>
                <w:szCs w:val="16"/>
              </w:rPr>
              <w:t>标</w:t>
            </w:r>
          </w:p>
        </w:tc>
        <w:tc>
          <w:tcPr>
            <w:tcW w:w="3750" w:type="dxa"/>
            <w:vAlign w:val="top"/>
          </w:tcPr>
          <w:p>
            <w:pPr>
              <w:pStyle w:val="TableText"/>
              <w:ind w:left="265"/>
              <w:spacing w:before="90" w:line="219" w:lineRule="auto"/>
              <w:rPr>
                <w:sz w:val="16"/>
                <w:szCs w:val="16"/>
              </w:rPr>
            </w:pPr>
            <w:r>
              <w:rPr>
                <w:sz w:val="16"/>
                <w:szCs w:val="16"/>
              </w:rPr>
              <w:t>●元数据策略管理程序</w:t>
            </w:r>
          </w:p>
          <w:p>
            <w:pPr>
              <w:pStyle w:val="TableText"/>
              <w:ind w:left="265"/>
              <w:spacing w:before="79" w:line="218" w:lineRule="auto"/>
              <w:rPr>
                <w:sz w:val="16"/>
                <w:szCs w:val="16"/>
              </w:rPr>
            </w:pPr>
            <w:r>
              <w:rPr>
                <w:sz w:val="16"/>
                <w:szCs w:val="16"/>
              </w:rPr>
              <w:t>●元数据管理方针、目标</w:t>
            </w:r>
          </w:p>
        </w:tc>
      </w:tr>
    </w:tbl>
    <w:p>
      <w:pPr>
        <w:ind w:left="304"/>
        <w:spacing w:before="203"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right="282" w:firstLine="409"/>
        <w:spacing w:before="80" w:line="255" w:lineRule="auto"/>
        <w:rPr>
          <w:rFonts w:ascii="SimSun" w:hAnsi="SimSun" w:eastAsia="SimSun" w:cs="SimSun"/>
          <w:sz w:val="21"/>
          <w:szCs w:val="21"/>
        </w:rPr>
      </w:pPr>
      <w:r>
        <w:rPr>
          <w:rFonts w:ascii="SimSun" w:hAnsi="SimSun" w:eastAsia="SimSun" w:cs="SimSun"/>
          <w:sz w:val="21"/>
          <w:szCs w:val="21"/>
          <w:spacing w:val="2"/>
        </w:rPr>
        <w:t>元数据的改进目标应当与组织的业务和数据治理策略</w:t>
      </w:r>
      <w:r>
        <w:rPr>
          <w:rFonts w:ascii="SimSun" w:hAnsi="SimSun" w:eastAsia="SimSun" w:cs="SimSun"/>
          <w:sz w:val="21"/>
          <w:szCs w:val="21"/>
          <w:spacing w:val="1"/>
        </w:rPr>
        <w:t>相关联，元数据策略很好</w:t>
      </w:r>
      <w:r>
        <w:rPr>
          <w:rFonts w:ascii="SimSun" w:hAnsi="SimSun" w:eastAsia="SimSun" w:cs="SimSun"/>
          <w:sz w:val="21"/>
          <w:szCs w:val="21"/>
        </w:rPr>
        <w:t xml:space="preserve"> </w:t>
      </w:r>
      <w:r>
        <w:rPr>
          <w:rFonts w:ascii="SimSun" w:hAnsi="SimSun" w:eastAsia="SimSun" w:cs="SimSun"/>
          <w:sz w:val="21"/>
          <w:szCs w:val="21"/>
          <w:spacing w:val="1"/>
        </w:rPr>
        <w:t>地体现了相关的内容。量化管理能从更细化的层面描绘元数据管理过程中需要或值</w:t>
      </w:r>
      <w:r>
        <w:rPr>
          <w:rFonts w:ascii="SimSun" w:hAnsi="SimSun" w:eastAsia="SimSun" w:cs="SimSun"/>
          <w:sz w:val="21"/>
          <w:szCs w:val="21"/>
          <w:spacing w:val="11"/>
        </w:rPr>
        <w:t xml:space="preserve"> </w:t>
      </w:r>
      <w:r>
        <w:rPr>
          <w:rFonts w:ascii="SimSun" w:hAnsi="SimSun" w:eastAsia="SimSun" w:cs="SimSun"/>
          <w:sz w:val="21"/>
          <w:szCs w:val="21"/>
        </w:rPr>
        <w:t>得改进的方面以及所要达到的程度，便于确定改进的目标和方向。</w:t>
      </w:r>
    </w:p>
    <w:p>
      <w:pPr>
        <w:spacing w:line="127"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5"/>
        <w:gridCol w:w="3750"/>
      </w:tblGrid>
      <w:tr>
        <w:trPr>
          <w:trHeight w:val="302" w:hRule="atLeast"/>
        </w:trPr>
        <w:tc>
          <w:tcPr>
            <w:tcW w:w="724" w:type="dxa"/>
            <w:vAlign w:val="top"/>
          </w:tcPr>
          <w:p>
            <w:pPr>
              <w:pStyle w:val="TableText"/>
              <w:ind w:left="205"/>
              <w:spacing w:before="81" w:line="221" w:lineRule="auto"/>
              <w:rPr/>
            </w:pPr>
            <w:r>
              <w:rPr>
                <w:spacing w:val="-2"/>
              </w:rPr>
              <w:t>序号</w:t>
            </w:r>
          </w:p>
        </w:tc>
        <w:tc>
          <w:tcPr>
            <w:tcW w:w="3125" w:type="dxa"/>
            <w:vAlign w:val="top"/>
          </w:tcPr>
          <w:p>
            <w:pPr>
              <w:pStyle w:val="TableText"/>
              <w:ind w:left="113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38" w:hRule="atLeast"/>
        </w:trPr>
        <w:tc>
          <w:tcPr>
            <w:tcW w:w="724" w:type="dxa"/>
            <w:vAlign w:val="top"/>
          </w:tcPr>
          <w:p>
            <w:pPr>
              <w:spacing w:line="337" w:lineRule="auto"/>
              <w:rPr>
                <w:rFonts w:ascii="Arial"/>
                <w:sz w:val="21"/>
              </w:rPr>
            </w:pPr>
            <w:r/>
          </w:p>
          <w:p>
            <w:pPr>
              <w:pStyle w:val="TableText"/>
              <w:ind w:left="235"/>
              <w:spacing w:before="48" w:line="183" w:lineRule="auto"/>
              <w:rPr/>
            </w:pPr>
            <w:r>
              <w:rPr>
                <w:spacing w:val="-2"/>
              </w:rPr>
              <w:t>5.4</w:t>
            </w:r>
          </w:p>
        </w:tc>
        <w:tc>
          <w:tcPr>
            <w:tcW w:w="3125" w:type="dxa"/>
            <w:vAlign w:val="top"/>
          </w:tcPr>
          <w:p>
            <w:pPr>
              <w:pStyle w:val="TableText"/>
              <w:ind w:left="101" w:right="139" w:firstLine="99"/>
              <w:spacing w:before="78" w:line="299" w:lineRule="auto"/>
              <w:jc w:val="both"/>
              <w:rPr/>
            </w:pPr>
            <w:r>
              <w:rPr>
                <w:spacing w:val="4"/>
              </w:rPr>
              <w:t>评估计划的数据变更对元数据库的影响；</w:t>
            </w:r>
            <w:r>
              <w:rPr>
                <w:spacing w:val="1"/>
              </w:rPr>
              <w:t xml:space="preserve"> </w:t>
            </w:r>
            <w:r>
              <w:rPr>
                <w:spacing w:val="1"/>
              </w:rPr>
              <w:t>元数据的获取、变更以及精简过程得到持续</w:t>
            </w:r>
            <w:r>
              <w:rPr>
                <w:spacing w:val="2"/>
              </w:rPr>
              <w:t xml:space="preserve"> </w:t>
            </w:r>
            <w:r>
              <w:rPr>
                <w:spacing w:val="-3"/>
              </w:rPr>
              <w:t>改进</w:t>
            </w:r>
          </w:p>
        </w:tc>
        <w:tc>
          <w:tcPr>
            <w:tcW w:w="3750" w:type="dxa"/>
            <w:vAlign w:val="top"/>
          </w:tcPr>
          <w:p>
            <w:pPr>
              <w:pStyle w:val="TableText"/>
              <w:ind w:left="266"/>
              <w:spacing w:before="79" w:line="219" w:lineRule="auto"/>
              <w:rPr/>
            </w:pPr>
            <w:r>
              <w:rPr>
                <w:spacing w:val="1"/>
              </w:rPr>
              <w:t>●元数据库变更计划</w:t>
            </w:r>
          </w:p>
          <w:p>
            <w:pPr>
              <w:pStyle w:val="TableText"/>
              <w:ind w:left="266"/>
              <w:spacing w:before="101" w:line="219" w:lineRule="auto"/>
              <w:rPr/>
            </w:pPr>
            <w:r>
              <w:rPr/>
              <w:t>●元数据库管理程序</w:t>
            </w:r>
          </w:p>
          <w:p>
            <w:pPr>
              <w:pStyle w:val="TableText"/>
              <w:ind w:left="266"/>
              <w:spacing w:before="102" w:line="219" w:lineRule="auto"/>
              <w:rPr/>
            </w:pPr>
            <w:r>
              <w:rPr/>
              <w:t>●数据变更影响分析</w:t>
            </w:r>
          </w:p>
        </w:tc>
      </w:tr>
    </w:tbl>
    <w:p>
      <w:pPr>
        <w:ind w:left="30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82" w:firstLine="409"/>
        <w:spacing w:before="49" w:line="261" w:lineRule="auto"/>
        <w:rPr>
          <w:rFonts w:ascii="SimSun" w:hAnsi="SimSun" w:eastAsia="SimSun" w:cs="SimSun"/>
          <w:sz w:val="21"/>
          <w:szCs w:val="21"/>
        </w:rPr>
      </w:pPr>
      <w:r>
        <w:rPr>
          <w:rFonts w:ascii="SimSun" w:hAnsi="SimSun" w:eastAsia="SimSun" w:cs="SimSun"/>
          <w:sz w:val="21"/>
          <w:szCs w:val="21"/>
          <w:spacing w:val="2"/>
        </w:rPr>
        <w:t>数据变更对元数据库产生的影响需要提前进行评估，</w:t>
      </w:r>
      <w:r>
        <w:rPr>
          <w:rFonts w:ascii="SimSun" w:hAnsi="SimSun" w:eastAsia="SimSun" w:cs="SimSun"/>
          <w:sz w:val="21"/>
          <w:szCs w:val="21"/>
          <w:spacing w:val="1"/>
        </w:rPr>
        <w:t>并制订规范的评估计划来</w:t>
      </w:r>
      <w:r>
        <w:rPr>
          <w:rFonts w:ascii="SimSun" w:hAnsi="SimSun" w:eastAsia="SimSun" w:cs="SimSun"/>
          <w:sz w:val="21"/>
          <w:szCs w:val="21"/>
        </w:rPr>
        <w:t xml:space="preserve"> </w:t>
      </w:r>
      <w:r>
        <w:rPr>
          <w:rFonts w:ascii="SimSun" w:hAnsi="SimSun" w:eastAsia="SimSun" w:cs="SimSun"/>
          <w:sz w:val="21"/>
          <w:szCs w:val="21"/>
          <w:spacing w:val="1"/>
        </w:rPr>
        <w:t>保证评估结果的有效性和价值。对于这一过程，通过</w:t>
      </w:r>
      <w:r>
        <w:rPr>
          <w:rFonts w:ascii="Times New Roman" w:hAnsi="Times New Roman" w:eastAsia="Times New Roman" w:cs="Times New Roman"/>
          <w:sz w:val="21"/>
          <w:szCs w:val="21"/>
        </w:rPr>
        <w:t>PDCA</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
        </w:rPr>
        <w:t>管理方法来不断提升其</w:t>
      </w:r>
      <w:r>
        <w:rPr>
          <w:rFonts w:ascii="SimSun" w:hAnsi="SimSun" w:eastAsia="SimSun" w:cs="SimSun"/>
          <w:sz w:val="21"/>
          <w:szCs w:val="21"/>
        </w:rPr>
        <w:t xml:space="preserve"> </w:t>
      </w:r>
      <w:r>
        <w:rPr>
          <w:rFonts w:ascii="SimSun" w:hAnsi="SimSun" w:eastAsia="SimSun" w:cs="SimSun"/>
          <w:sz w:val="21"/>
          <w:szCs w:val="21"/>
          <w:spacing w:val="-5"/>
        </w:rPr>
        <w:t>效果，以保证改进的有效性。</w:t>
      </w:r>
    </w:p>
    <w:p>
      <w:pPr>
        <w:ind w:left="412"/>
        <w:spacing w:before="205" w:line="224" w:lineRule="auto"/>
        <w:outlineLvl w:val="3"/>
        <w:rPr>
          <w:rFonts w:ascii="YouYuan" w:hAnsi="YouYuan" w:eastAsia="YouYuan" w:cs="YouYuan"/>
          <w:sz w:val="21"/>
          <w:szCs w:val="21"/>
        </w:rPr>
      </w:pPr>
      <w:r>
        <w:rPr>
          <w:rFonts w:ascii="YouYuan" w:hAnsi="YouYuan" w:eastAsia="YouYuan" w:cs="YouYuan"/>
          <w:sz w:val="21"/>
          <w:szCs w:val="21"/>
          <w:b/>
          <w:bCs/>
        </w:rPr>
        <w:t>4.</w:t>
      </w:r>
      <w:r>
        <w:rPr>
          <w:rFonts w:ascii="YouYuan" w:hAnsi="YouYuan" w:eastAsia="YouYuan" w:cs="YouYuan"/>
          <w:sz w:val="21"/>
          <w:szCs w:val="21"/>
          <w:spacing w:val="32"/>
        </w:rPr>
        <w:t xml:space="preserve"> </w:t>
      </w:r>
      <w:r>
        <w:rPr>
          <w:rFonts w:ascii="YouYuan" w:hAnsi="YouYuan" w:eastAsia="YouYuan" w:cs="YouYuan"/>
          <w:sz w:val="21"/>
          <w:szCs w:val="21"/>
          <w:b/>
          <w:bCs/>
        </w:rPr>
        <w:t>实施案例</w:t>
      </w:r>
    </w:p>
    <w:p>
      <w:pPr>
        <w:ind w:left="409"/>
        <w:spacing w:before="221" w:line="219" w:lineRule="auto"/>
        <w:rPr>
          <w:rFonts w:ascii="SimSun" w:hAnsi="SimSun" w:eastAsia="SimSun" w:cs="SimSun"/>
          <w:sz w:val="21"/>
          <w:szCs w:val="21"/>
        </w:rPr>
      </w:pPr>
      <w:r>
        <w:rPr>
          <w:rFonts w:ascii="SimSun" w:hAnsi="SimSun" w:eastAsia="SimSun" w:cs="SimSun"/>
          <w:sz w:val="21"/>
          <w:szCs w:val="21"/>
          <w:spacing w:val="8"/>
        </w:rPr>
        <w:t>(1)文件名称列表</w:t>
      </w:r>
    </w:p>
    <w:p>
      <w:pPr>
        <w:ind w:left="304"/>
        <w:spacing w:before="70" w:line="219" w:lineRule="auto"/>
        <w:rPr>
          <w:rFonts w:ascii="SimSun" w:hAnsi="SimSun" w:eastAsia="SimSun" w:cs="SimSun"/>
          <w:sz w:val="21"/>
          <w:szCs w:val="21"/>
        </w:rPr>
      </w:pPr>
      <w:r>
        <w:rPr>
          <w:rFonts w:ascii="SimSun" w:hAnsi="SimSun" w:eastAsia="SimSun" w:cs="SimSun"/>
          <w:sz w:val="21"/>
          <w:szCs w:val="21"/>
          <w:spacing w:val="-2"/>
        </w:rPr>
        <w:t>《元数据管理最佳实践》</w:t>
      </w:r>
    </w:p>
    <w:p>
      <w:pPr>
        <w:spacing w:line="219" w:lineRule="auto"/>
        <w:sectPr>
          <w:footerReference w:type="default" r:id="rId221"/>
          <w:pgSz w:w="8870" w:h="13400"/>
          <w:pgMar w:top="400" w:right="508" w:bottom="568" w:left="470" w:header="0" w:footer="358" w:gutter="0"/>
        </w:sectPr>
        <w:rPr>
          <w:rFonts w:ascii="SimSun" w:hAnsi="SimSun" w:eastAsia="SimSun" w:cs="SimSun"/>
          <w:sz w:val="21"/>
          <w:szCs w:val="21"/>
        </w:rPr>
      </w:pPr>
    </w:p>
    <w:p>
      <w:pPr>
        <w:ind w:left="119"/>
        <w:spacing w:before="15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8637"/>
            <wp:effectExtent l="0" t="0" r="0" b="0"/>
            <wp:docPr id="164" name="IM 164"/>
            <wp:cNvGraphicFramePr/>
            <a:graphic>
              <a:graphicData uri="http://schemas.openxmlformats.org/drawingml/2006/picture">
                <pic:pic>
                  <pic:nvPicPr>
                    <pic:cNvPr id="164" name="IM 164"/>
                    <pic:cNvPicPr/>
                  </pic:nvPicPr>
                  <pic:blipFill>
                    <a:blip r:embed="rId223"/>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699"/>
        <w:spacing w:before="279" w:line="220" w:lineRule="auto"/>
        <w:rPr>
          <w:rFonts w:ascii="SimSun" w:hAnsi="SimSun" w:eastAsia="SimSun" w:cs="SimSun"/>
          <w:sz w:val="22"/>
          <w:szCs w:val="22"/>
        </w:rPr>
      </w:pPr>
      <w:r>
        <w:rPr>
          <w:rFonts w:ascii="SimSun" w:hAnsi="SimSun" w:eastAsia="SimSun" w:cs="SimSun"/>
          <w:sz w:val="22"/>
          <w:szCs w:val="22"/>
          <w:spacing w:val="5"/>
        </w:rPr>
        <w:t>(2)实施案例</w:t>
      </w:r>
    </w:p>
    <w:p>
      <w:pPr>
        <w:spacing w:line="113" w:lineRule="exact"/>
        <w:rPr/>
      </w:pPr>
      <w:r/>
    </w:p>
    <w:tbl>
      <w:tblPr>
        <w:tblStyle w:val="TableNormal"/>
        <w:tblW w:w="7650" w:type="dxa"/>
        <w:tblInd w:w="289"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10699" w:hRule="atLeast"/>
        </w:trPr>
        <w:tc>
          <w:tcPr>
            <w:tcW w:w="7650" w:type="dxa"/>
            <w:vAlign w:val="top"/>
          </w:tcPr>
          <w:p>
            <w:pPr>
              <w:pStyle w:val="TableText"/>
              <w:ind w:left="3164"/>
              <w:spacing w:before="60" w:line="219" w:lineRule="auto"/>
              <w:rPr/>
            </w:pPr>
            <w:r>
              <w:rPr>
                <w:spacing w:val="-1"/>
              </w:rPr>
              <w:t>元数据管理最佳实践</w:t>
            </w:r>
          </w:p>
          <w:p>
            <w:pPr>
              <w:pStyle w:val="TableText"/>
              <w:ind w:left="134" w:right="75" w:firstLine="149"/>
              <w:spacing w:before="92" w:line="264" w:lineRule="auto"/>
              <w:rPr/>
            </w:pPr>
            <w:r>
              <w:rPr/>
              <w:t>1  显示成效，小处着手，真抓实干。如能显示成效，元数据管理项目就成功了一半。选择一个有把握取得成功</w:t>
            </w:r>
            <w:r>
              <w:rPr>
                <w:spacing w:val="3"/>
              </w:rPr>
              <w:t xml:space="preserve"> </w:t>
            </w:r>
            <w:r>
              <w:rPr/>
              <w:t>的小型项目并迅速展现确凿成果。然后以此为开端</w:t>
            </w:r>
            <w:r>
              <w:rPr>
                <w:spacing w:val="-1"/>
              </w:rPr>
              <w:t>拓展项目规模。</w:t>
            </w:r>
          </w:p>
          <w:p>
            <w:pPr>
              <w:pStyle w:val="TableText"/>
              <w:ind w:left="115" w:right="180" w:firstLine="160"/>
              <w:spacing w:before="80" w:line="303" w:lineRule="auto"/>
              <w:rPr/>
            </w:pPr>
            <w:r>
              <w:rPr/>
              <w:t>2全面量化。随时做好对您取得的成果进行量化的准备。很难说什么时候您会被要求为元</w:t>
            </w:r>
            <w:r>
              <w:rPr>
                <w:spacing w:val="-1"/>
              </w:rPr>
              <w:t>数据项目提供一个合</w:t>
            </w:r>
            <w:r>
              <w:rPr/>
              <w:t xml:space="preserve">  </w:t>
            </w:r>
            <w:r>
              <w:rPr/>
              <w:t>理的存在原因。由于最终体现出来的效益(包括基于良好数据而实现的出色业务决策、高效的业务流程以及得到  </w:t>
            </w:r>
            <w:r>
              <w:rPr/>
              <w:t>优化的利益相关方交互活动等)均看上去与IT部门的元数据项目相距甚远，因此往往难以对其成果进行量化并确</w:t>
            </w:r>
            <w:r>
              <w:rPr>
                <w:spacing w:val="1"/>
              </w:rPr>
              <w:t xml:space="preserve">  </w:t>
            </w:r>
            <w:r>
              <w:rPr/>
              <w:t>认可通过您的举措获益的几项关键业务流程、决策和交互活动，据此应限制项目范围并仅对此范</w:t>
            </w:r>
            <w:r>
              <w:rPr>
                <w:spacing w:val="-1"/>
              </w:rPr>
              <w:t>围内的项目进行</w:t>
            </w:r>
            <w:r>
              <w:rPr/>
              <w:t xml:space="preserve"> </w:t>
            </w:r>
            <w:r>
              <w:rPr/>
              <w:t>量化，同时为所有其他项目构建可量化的业务案例。例如：由于在投资模型中使用通过您的数据</w:t>
            </w:r>
            <w:r>
              <w:rPr>
                <w:spacing w:val="-1"/>
              </w:rPr>
              <w:t>仓库提供的坏数</w:t>
            </w:r>
            <w:r>
              <w:rPr/>
              <w:t xml:space="preserve"> </w:t>
            </w:r>
            <w:r>
              <w:rPr/>
              <w:t>据而导致不良投资决策的代价是什么?</w:t>
            </w:r>
          </w:p>
          <w:p>
            <w:pPr>
              <w:pStyle w:val="TableText"/>
              <w:ind w:left="275"/>
              <w:spacing w:before="94" w:line="219" w:lineRule="auto"/>
              <w:rPr/>
            </w:pPr>
            <w:r>
              <w:rPr/>
              <w:t>3设立一个有重点而又合理的项目范围。许多元数据和数据治理方案的失败原因是好大</w:t>
            </w:r>
            <w:r>
              <w:rPr>
                <w:spacing w:val="-1"/>
              </w:rPr>
              <w:t>喜功又急于求成。范围</w:t>
            </w:r>
          </w:p>
          <w:p>
            <w:pPr>
              <w:pStyle w:val="TableText"/>
              <w:ind w:left="115" w:right="30"/>
              <w:spacing w:before="82" w:line="275" w:lineRule="auto"/>
              <w:rPr/>
            </w:pPr>
            <w:r>
              <w:rPr/>
              <w:t>渐变和丧失分析能力使得项目实施人员很快就穷于应付，并最终在无法取得任何有意义的结果时使</w:t>
            </w:r>
            <w:r>
              <w:rPr>
                <w:spacing w:val="-1"/>
              </w:rPr>
              <w:t>项目遭到撤消。</w:t>
            </w:r>
            <w:r>
              <w:rPr/>
              <w:t xml:space="preserve"> </w:t>
            </w:r>
            <w:r>
              <w:rPr/>
              <w:t>没有谁愿意把时间或金钱浪费在漫无止境却不能带来任何业务成果的会</w:t>
            </w:r>
            <w:r>
              <w:rPr>
                <w:spacing w:val="-1"/>
              </w:rPr>
              <w:t>面和会谈上。</w:t>
            </w:r>
          </w:p>
          <w:p>
            <w:pPr>
              <w:pStyle w:val="TableText"/>
              <w:ind w:left="275"/>
              <w:spacing w:before="71" w:line="218" w:lineRule="auto"/>
              <w:rPr/>
            </w:pPr>
            <w:r>
              <w:rPr/>
              <w:t>4争取高层人员的支持。如果缺乏适当的高层支持，您的项目就无法成功。切勿低估从业务部</w:t>
            </w:r>
            <w:r>
              <w:rPr>
                <w:spacing w:val="-1"/>
              </w:rPr>
              <w:t>门和IT部门获</w:t>
            </w:r>
          </w:p>
          <w:p>
            <w:pPr>
              <w:pStyle w:val="TableText"/>
              <w:ind w:left="104" w:right="135" w:firstLine="20"/>
              <w:spacing w:before="73" w:line="258" w:lineRule="auto"/>
              <w:rPr/>
            </w:pPr>
            <w:r>
              <w:rPr>
                <w:spacing w:val="1"/>
              </w:rPr>
              <w:t>得适当支持的重要性。多位客户告诉我们，这是他们在初次失败</w:t>
            </w:r>
            <w:r>
              <w:rPr/>
              <w:t>之后学到的教训。此外，向其他团体寻求对项目 </w:t>
            </w:r>
            <w:r>
              <w:rPr>
                <w:spacing w:val="-1"/>
              </w:rPr>
              <w:t>的支持也是必不可少的。</w:t>
            </w:r>
          </w:p>
          <w:p>
            <w:pPr>
              <w:pStyle w:val="TableText"/>
              <w:ind w:left="265"/>
              <w:spacing w:before="102" w:line="219" w:lineRule="auto"/>
              <w:rPr/>
            </w:pPr>
            <w:r>
              <w:rPr/>
              <w:t>5筹建数据治理方案。对于数据治理方案，组织必须认识到，元数据不仅是一项IT生</w:t>
            </w:r>
            <w:r>
              <w:rPr>
                <w:spacing w:val="-1"/>
              </w:rPr>
              <w:t>产力工具，它还可以在</w:t>
            </w:r>
          </w:p>
          <w:p>
            <w:pPr>
              <w:pStyle w:val="TableText"/>
              <w:ind w:left="115" w:right="181"/>
              <w:spacing w:before="100" w:line="287" w:lineRule="auto"/>
              <w:rPr/>
            </w:pPr>
            <w:r>
              <w:rPr/>
              <w:t>使用过程中给整个组织带来更广泛的利益以及更可观的价值。早期的目标之一应是组建一个数</w:t>
            </w:r>
            <w:r>
              <w:rPr>
                <w:spacing w:val="-1"/>
              </w:rPr>
              <w:t>据治理执行委员会</w:t>
            </w:r>
            <w:r>
              <w:rPr/>
              <w:t xml:space="preserve"> </w:t>
            </w:r>
            <w:r>
              <w:rPr/>
              <w:t>或指导委员会，协助为数据驱动型机遇设立长远的整体目标和优先考虑事项。此外还需要一</w:t>
            </w:r>
            <w:r>
              <w:rPr>
                <w:spacing w:val="-1"/>
              </w:rPr>
              <w:t>个用于业务与业务或</w:t>
            </w:r>
            <w:r>
              <w:rPr/>
              <w:t xml:space="preserve"> </w:t>
            </w:r>
            <w:r>
              <w:rPr/>
              <w:t>业务与IT协作的整体框架来确保项目成功。</w:t>
            </w:r>
          </w:p>
          <w:p>
            <w:pPr>
              <w:pStyle w:val="TableText"/>
              <w:ind w:left="115" w:right="171" w:firstLine="149"/>
              <w:spacing w:before="79" w:line="298" w:lineRule="auto"/>
              <w:rPr/>
            </w:pPr>
            <w:r>
              <w:rPr/>
              <w:t>6选择高价值、低复杂度的目标作为试点。从数据容量、机构或体系架构复杂性等角度出</w:t>
            </w:r>
            <w:r>
              <w:rPr>
                <w:spacing w:val="-1"/>
              </w:rPr>
              <w:t>发，选择一个可取得</w:t>
            </w:r>
            <w:r>
              <w:rPr/>
              <w:t xml:space="preserve">  </w:t>
            </w:r>
            <w:r>
              <w:rPr/>
              <w:t>一定实际回报，但无须兴师动众就能解决的特定问题，然后致力于在进军其他领域之前解决该问题。例如，针对 </w:t>
            </w:r>
            <w:r>
              <w:rPr/>
              <w:t>新的数据仓库或主数据管理实施提供完整的数据沿袭和全套业务词汇及定义。重点在于选择一个对总体业务具有</w:t>
            </w:r>
            <w:r>
              <w:rPr>
                <w:spacing w:val="2"/>
              </w:rPr>
              <w:t xml:space="preserve"> </w:t>
            </w:r>
            <w:r>
              <w:rPr/>
              <w:t>高价值和战略重要性的项目，却又不会在逐渐完善数据治理流程时，被其复杂性压垮。打赢头一仗</w:t>
            </w:r>
            <w:r>
              <w:rPr>
                <w:spacing w:val="-1"/>
              </w:rPr>
              <w:t>是关键所在。</w:t>
            </w:r>
            <w:r>
              <w:rPr/>
              <w:t xml:space="preserve"> </w:t>
            </w:r>
            <w:r>
              <w:rPr/>
              <w:t>(同时请参见第2条)。</w:t>
            </w:r>
          </w:p>
          <w:p>
            <w:pPr>
              <w:pStyle w:val="TableText"/>
              <w:ind w:left="115" w:right="439" w:firstLine="120"/>
              <w:spacing w:before="67" w:line="285" w:lineRule="auto"/>
              <w:rPr/>
            </w:pPr>
            <w:r>
              <w:rPr/>
              <w:t>7分配责任人并让业务用户参与进来。没有业务上下文的数据毫无价值。包含NW_Net_Re</w:t>
            </w:r>
            <w:r>
              <w:rPr>
                <w:spacing w:val="-1"/>
              </w:rPr>
              <w:t>venue列的表格没有</w:t>
            </w:r>
            <w:r>
              <w:rPr/>
              <w:t xml:space="preserve"> </w:t>
            </w:r>
            <w:r>
              <w:rPr>
                <w:spacing w:val="-1"/>
              </w:rPr>
              <w:t>具体含义，除非与诸如以下对象挂钩。</w:t>
            </w:r>
          </w:p>
          <w:p>
            <w:pPr>
              <w:pStyle w:val="TableText"/>
              <w:ind w:left="254"/>
              <w:spacing w:before="82" w:line="219" w:lineRule="auto"/>
              <w:rPr/>
            </w:pPr>
            <w:r>
              <w:rPr/>
              <w:t>(1)业务词汇</w:t>
            </w:r>
          </w:p>
          <w:p>
            <w:pPr>
              <w:pStyle w:val="TableText"/>
              <w:ind w:left="245"/>
              <w:spacing w:before="93" w:line="220" w:lineRule="auto"/>
              <w:rPr/>
            </w:pPr>
            <w:r>
              <w:rPr/>
              <w:t>(2)词汇定义</w:t>
            </w:r>
          </w:p>
          <w:p>
            <w:pPr>
              <w:pStyle w:val="TableText"/>
              <w:ind w:left="254"/>
              <w:spacing w:before="70" w:line="280" w:lineRule="exact"/>
              <w:rPr/>
            </w:pPr>
            <w:r>
              <w:rPr>
                <w:position w:val="10"/>
              </w:rPr>
              <w:t>(3)词汇责任人</w:t>
            </w:r>
          </w:p>
          <w:p>
            <w:pPr>
              <w:pStyle w:val="TableText"/>
              <w:ind w:left="254"/>
              <w:spacing w:before="1" w:line="219" w:lineRule="auto"/>
              <w:rPr/>
            </w:pPr>
            <w:r>
              <w:rPr/>
              <w:t>(3)参考数据</w:t>
            </w:r>
          </w:p>
          <w:p>
            <w:pPr>
              <w:pStyle w:val="TableText"/>
              <w:ind w:left="254"/>
              <w:spacing w:before="82" w:line="220" w:lineRule="auto"/>
              <w:rPr/>
            </w:pPr>
            <w:r>
              <w:rPr/>
              <w:t>(4)其他记录和评注</w:t>
            </w:r>
          </w:p>
          <w:p>
            <w:pPr>
              <w:pStyle w:val="TableText"/>
              <w:ind w:left="265"/>
              <w:spacing w:before="71" w:line="219" w:lineRule="auto"/>
              <w:rPr/>
            </w:pPr>
            <w:r>
              <w:rPr/>
              <w:t>一旦有了此类业务上下文，您就能将业务词汇及定义与技术元数据相关联，为业务部门和IT部门</w:t>
            </w:r>
            <w:r>
              <w:rPr>
                <w:spacing w:val="-1"/>
              </w:rPr>
              <w:t>创建通用语言，</w:t>
            </w:r>
          </w:p>
          <w:p>
            <w:pPr>
              <w:pStyle w:val="TableText"/>
              <w:ind w:left="104"/>
              <w:spacing w:before="92" w:line="219" w:lineRule="auto"/>
              <w:rPr/>
            </w:pPr>
            <w:r>
              <w:rPr/>
              <w:t>从而改善其交流与协作。其中要素之一是确保为数据和元数据分配责任人，可问</w:t>
            </w:r>
            <w:r>
              <w:rPr>
                <w:spacing w:val="-1"/>
              </w:rPr>
              <w:t>责性是关键。</w:t>
            </w:r>
          </w:p>
          <w:p>
            <w:pPr>
              <w:pStyle w:val="TableText"/>
              <w:ind w:left="245"/>
              <w:spacing w:before="81" w:line="219" w:lineRule="auto"/>
              <w:rPr/>
            </w:pPr>
            <w:r>
              <w:rPr>
                <w:spacing w:val="-1"/>
              </w:rPr>
              <w:t>8奖励与惩罚并用。考虑可提供什么样的刺激奖励，例如</w:t>
            </w:r>
          </w:p>
          <w:p>
            <w:pPr>
              <w:pStyle w:val="TableText"/>
              <w:ind w:left="254" w:right="790"/>
              <w:spacing w:before="72" w:line="270" w:lineRule="auto"/>
              <w:rPr/>
            </w:pPr>
            <w:r>
              <w:rPr>
                <w:spacing w:val="2"/>
              </w:rPr>
              <w:t>(1)更有效、更轻松地访问业务词汇定义，鼓励业</w:t>
            </w:r>
            <w:r>
              <w:rPr>
                <w:spacing w:val="1"/>
              </w:rPr>
              <w:t>务用户参与内容创建，因为他们可从成果中受益；</w:t>
            </w:r>
            <w:r>
              <w:rPr/>
              <w:t xml:space="preserve"> </w:t>
            </w:r>
            <w:r>
              <w:rPr>
                <w:spacing w:val="3"/>
              </w:rPr>
              <w:t>(2)投稿比赛，对贡献新内容者给予奖励；</w:t>
            </w:r>
          </w:p>
          <w:p>
            <w:pPr>
              <w:pStyle w:val="TableText"/>
              <w:ind w:left="254"/>
              <w:spacing w:before="80" w:line="272" w:lineRule="exact"/>
              <w:rPr/>
            </w:pPr>
            <w:r>
              <w:rPr>
                <w:spacing w:val="2"/>
                <w:position w:val="9"/>
              </w:rPr>
              <w:t>(3)定义内容(利用博弈技术),鼓励管理员之间的良性竞争，激励他们创</w:t>
            </w:r>
            <w:r>
              <w:rPr>
                <w:spacing w:val="1"/>
                <w:position w:val="9"/>
              </w:rPr>
              <w:t>建优秀内容；</w:t>
            </w:r>
          </w:p>
          <w:p>
            <w:pPr>
              <w:pStyle w:val="TableText"/>
              <w:ind w:left="265"/>
              <w:spacing w:line="218" w:lineRule="auto"/>
              <w:rPr/>
            </w:pPr>
            <w:r>
              <w:rPr/>
              <w:t>(4)公开表扬，可通过对提供最多新颖且优秀内容的贡献者进行简单地评级或表彰。</w:t>
            </w:r>
          </w:p>
          <w:p>
            <w:pPr>
              <w:pStyle w:val="TableText"/>
              <w:ind w:left="104" w:right="163" w:firstLine="160"/>
              <w:spacing w:before="91" w:line="287" w:lineRule="auto"/>
              <w:jc w:val="both"/>
              <w:rPr/>
            </w:pPr>
            <w:r>
              <w:rPr/>
              <w:t>另一方面，惩罚也必不可少。拥有高级管理层和强大的数据治理委员会的支持对于确保各方支持和接纳助益匪</w:t>
            </w:r>
            <w:r>
              <w:rPr>
                <w:spacing w:val="10"/>
              </w:rPr>
              <w:t xml:space="preserve"> </w:t>
            </w:r>
            <w:r>
              <w:rPr/>
              <w:t>浅。但双管齐下也很重要。任何惩罚措施都可能因为过于严厉而造成口服心不服，而奖励</w:t>
            </w:r>
            <w:r>
              <w:rPr>
                <w:spacing w:val="-1"/>
              </w:rPr>
              <w:t>措施则可能因为可有可</w:t>
            </w:r>
            <w:r>
              <w:rPr/>
              <w:t xml:space="preserve"> </w:t>
            </w:r>
            <w:r>
              <w:rPr>
                <w:spacing w:val="-1"/>
              </w:rPr>
              <w:t>无、好处有限而难以激发起参与者的热情。</w:t>
            </w:r>
          </w:p>
        </w:tc>
      </w:tr>
    </w:tbl>
    <w:p>
      <w:pPr>
        <w:pStyle w:val="BodyText"/>
        <w:rPr/>
      </w:pPr>
      <w:r/>
    </w:p>
    <w:p>
      <w:pPr>
        <w:sectPr>
          <w:footerReference w:type="default" r:id="rId222"/>
          <w:pgSz w:w="8870" w:h="13400"/>
          <w:pgMar w:top="400" w:right="524" w:bottom="535" w:left="400" w:header="0" w:footer="316" w:gutter="0"/>
        </w:sectPr>
        <w:rPr/>
      </w:pPr>
    </w:p>
    <w:p>
      <w:pPr>
        <w:ind w:left="5517"/>
        <w:spacing w:before="224" w:line="601" w:lineRule="exact"/>
        <w:rPr>
          <w:rFonts w:ascii="SimSun" w:hAnsi="SimSun" w:eastAsia="SimSun" w:cs="SimSun"/>
          <w:sz w:val="21"/>
          <w:szCs w:val="21"/>
        </w:rPr>
      </w:pPr>
      <w:r>
        <w:rPr>
          <w:rFonts w:ascii="SimSun" w:hAnsi="SimSun" w:eastAsia="SimSun" w:cs="SimSun"/>
          <w:sz w:val="21"/>
          <w:szCs w:val="21"/>
          <w:b/>
          <w:bCs/>
          <w:spacing w:val="15"/>
          <w:position w:val="30"/>
        </w:rPr>
        <w:t>第5章·云端数据管理</w:t>
      </w:r>
    </w:p>
    <w:p>
      <w:pPr>
        <w:ind w:left="687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649"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49"/>
      </w:tblGrid>
      <w:tr>
        <w:trPr>
          <w:trHeight w:val="2410" w:hRule="atLeast"/>
        </w:trPr>
        <w:tc>
          <w:tcPr>
            <w:tcW w:w="7649" w:type="dxa"/>
            <w:vAlign w:val="top"/>
          </w:tcPr>
          <w:p>
            <w:pPr>
              <w:pStyle w:val="TableText"/>
              <w:ind w:left="114" w:right="149" w:firstLine="100"/>
              <w:spacing w:before="10" w:line="289" w:lineRule="auto"/>
              <w:rPr/>
            </w:pPr>
            <w:r>
              <w:rPr/>
              <w:t>难题在于怎样让业务部门乐于参与。除极少数情况外，没有全职的业务人员负责提供这些上下</w:t>
            </w:r>
            <w:r>
              <w:rPr>
                <w:spacing w:val="-1"/>
              </w:rPr>
              <w:t>文资料，他们都</w:t>
            </w:r>
            <w:r>
              <w:rPr/>
              <w:t xml:space="preserve">  </w:t>
            </w:r>
            <w:r>
              <w:rPr>
                <w:spacing w:val="1"/>
              </w:rPr>
              <w:t>有其他职责，对他们来说这仅仅属于“副业”。问题是：这对他们有什么好处?您将必须提供激励</w:t>
            </w:r>
            <w:r>
              <w:rPr/>
              <w:t>措施。总体来 </w:t>
            </w:r>
            <w:r>
              <w:rPr>
                <w:spacing w:val="1"/>
              </w:rPr>
              <w:t>讲，最好的做法是确保将参与情况在员工绩效管理目</w:t>
            </w:r>
            <w:r>
              <w:rPr/>
              <w:t>标中正式记录备案。这既能鼓励他们积极参与，又能防止他 </w:t>
            </w:r>
            <w:r>
              <w:rPr>
                <w:spacing w:val="-1"/>
              </w:rPr>
              <w:t>们在出现不可避免的紧急情况时分心。</w:t>
            </w:r>
          </w:p>
          <w:p>
            <w:pPr>
              <w:pStyle w:val="TableText"/>
              <w:ind w:left="254"/>
              <w:spacing w:before="60" w:line="218" w:lineRule="auto"/>
              <w:rPr/>
            </w:pPr>
            <w:r>
              <w:rPr/>
              <w:t>9将元数据管理与业务方案绑定。两家客户称，它们各自尝试实施数据治理方案，但均以失</w:t>
            </w:r>
            <w:r>
              <w:rPr>
                <w:spacing w:val="-1"/>
              </w:rPr>
              <w:t>败告终。这两家组</w:t>
            </w:r>
          </w:p>
          <w:p>
            <w:pPr>
              <w:pStyle w:val="TableText"/>
              <w:ind w:left="104" w:right="38" w:firstLine="40"/>
              <w:spacing w:before="43" w:line="270" w:lineRule="auto"/>
              <w:rPr/>
            </w:pPr>
            <w:r>
              <w:rPr/>
              <w:t>织采用的新办法不再是从上而下的方案，而是当重要的新项</w:t>
            </w:r>
            <w:r>
              <w:rPr>
                <w:spacing w:val="-1"/>
              </w:rPr>
              <w:t>目涉及IT部门时，将元数据管理和数据管理员最佳实  </w:t>
            </w:r>
            <w:r>
              <w:rPr/>
              <w:t>践与业务方案挂钩。该方法非常实用，旨在取得成功且成功率极高。同时，快速显示可衡量成果的可</w:t>
            </w:r>
            <w:r>
              <w:rPr>
                <w:spacing w:val="-1"/>
              </w:rPr>
              <w:t>能性也变大。</w:t>
            </w:r>
          </w:p>
          <w:p>
            <w:pPr>
              <w:pStyle w:val="TableText"/>
              <w:ind w:left="294"/>
              <w:spacing w:before="31" w:line="219" w:lineRule="auto"/>
              <w:rPr/>
            </w:pPr>
            <w:r>
              <w:rPr/>
              <w:t>10寻找潜在的数据危机，并在不可避免时做好准备。如果组织管理层就是不同意为元数据管理或数据管理方</w:t>
            </w:r>
          </w:p>
          <w:p>
            <w:pPr>
              <w:pStyle w:val="TableText"/>
              <w:ind w:left="94" w:right="196" w:firstLine="80"/>
              <w:spacing w:before="62" w:line="263" w:lineRule="auto"/>
              <w:rPr/>
            </w:pPr>
            <w:r>
              <w:rPr/>
              <w:t>案拨款该怎么办?一家金融服务公司高级经理的建议是：“只须寻找数据危机。”并随时准</w:t>
            </w:r>
            <w:r>
              <w:rPr>
                <w:spacing w:val="-1"/>
              </w:rPr>
              <w:t>备提交应对方案。危</w:t>
            </w:r>
            <w:r>
              <w:rPr/>
              <w:t xml:space="preserve"> </w:t>
            </w:r>
            <w:r>
              <w:rPr/>
              <w:t>机迟早会发生，重要的是您已为此做好了准备，并可呈交如何在未来防止此类危机再次</w:t>
            </w:r>
            <w:r>
              <w:rPr>
                <w:spacing w:val="-1"/>
              </w:rPr>
              <w:t>发生的方案。</w:t>
            </w:r>
          </w:p>
        </w:tc>
      </w:tr>
    </w:tbl>
    <w:p>
      <w:pPr>
        <w:ind w:left="19"/>
        <w:spacing w:before="306" w:line="225" w:lineRule="auto"/>
        <w:outlineLvl w:val="2"/>
        <w:rPr>
          <w:rFonts w:ascii="YouYuan" w:hAnsi="YouYuan" w:eastAsia="YouYuan" w:cs="YouYuan"/>
          <w:sz w:val="29"/>
          <w:szCs w:val="29"/>
        </w:rPr>
      </w:pPr>
      <w:r>
        <w:rPr>
          <w:rFonts w:ascii="YouYuan" w:hAnsi="YouYuan" w:eastAsia="YouYuan" w:cs="YouYuan"/>
          <w:sz w:val="29"/>
          <w:szCs w:val="29"/>
          <w:b/>
          <w:bCs/>
          <w:spacing w:val="-8"/>
        </w:rPr>
        <w:t>5.2.3</w:t>
      </w:r>
      <w:r>
        <w:rPr>
          <w:rFonts w:ascii="YouYuan" w:hAnsi="YouYuan" w:eastAsia="YouYuan" w:cs="YouYuan"/>
          <w:sz w:val="29"/>
          <w:szCs w:val="29"/>
          <w:spacing w:val="111"/>
        </w:rPr>
        <w:t xml:space="preserve"> </w:t>
      </w:r>
      <w:r>
        <w:rPr>
          <w:rFonts w:ascii="YouYuan" w:hAnsi="YouYuan" w:eastAsia="YouYuan" w:cs="YouYuan"/>
          <w:sz w:val="29"/>
          <w:szCs w:val="29"/>
          <w:b/>
          <w:bCs/>
          <w:spacing w:val="-8"/>
        </w:rPr>
        <w:t>主数据管理</w:t>
      </w:r>
    </w:p>
    <w:p>
      <w:pPr>
        <w:pStyle w:val="BodyText"/>
        <w:spacing w:line="266" w:lineRule="auto"/>
        <w:rPr/>
      </w:pPr>
      <w:r/>
    </w:p>
    <w:p>
      <w:pPr>
        <w:ind w:left="437"/>
        <w:spacing w:before="68" w:line="224" w:lineRule="auto"/>
        <w:outlineLvl w:val="3"/>
        <w:rPr>
          <w:rFonts w:ascii="YouYuan" w:hAnsi="YouYuan" w:eastAsia="YouYuan" w:cs="YouYuan"/>
          <w:sz w:val="21"/>
          <w:szCs w:val="21"/>
        </w:rPr>
      </w:pPr>
      <w:r>
        <w:rPr>
          <w:rFonts w:ascii="YouYuan" w:hAnsi="YouYuan" w:eastAsia="YouYuan" w:cs="YouYuan"/>
          <w:sz w:val="21"/>
          <w:szCs w:val="21"/>
          <w:b/>
          <w:bCs/>
          <w:spacing w:val="1"/>
        </w:rPr>
        <w:t>1.</w:t>
      </w:r>
      <w:r>
        <w:rPr>
          <w:rFonts w:ascii="YouYuan" w:hAnsi="YouYuan" w:eastAsia="YouYuan" w:cs="YouYuan"/>
          <w:sz w:val="21"/>
          <w:szCs w:val="21"/>
          <w:spacing w:val="18"/>
        </w:rPr>
        <w:t xml:space="preserve"> </w:t>
      </w:r>
      <w:r>
        <w:rPr>
          <w:rFonts w:ascii="YouYuan" w:hAnsi="YouYuan" w:eastAsia="YouYuan" w:cs="YouYuan"/>
          <w:sz w:val="21"/>
          <w:szCs w:val="21"/>
          <w:b/>
          <w:bCs/>
          <w:spacing w:val="1"/>
        </w:rPr>
        <w:t>简介</w:t>
      </w:r>
    </w:p>
    <w:p>
      <w:pPr>
        <w:ind w:left="434"/>
        <w:spacing w:before="228" w:line="232" w:lineRule="auto"/>
        <w:rPr>
          <w:rFonts w:ascii="KaiTi" w:hAnsi="KaiTi" w:eastAsia="KaiTi" w:cs="KaiTi"/>
          <w:sz w:val="21"/>
          <w:szCs w:val="21"/>
        </w:rPr>
      </w:pPr>
      <w:r>
        <w:rPr>
          <w:rFonts w:ascii="KaiTi" w:hAnsi="KaiTi" w:eastAsia="KaiTi" w:cs="KaiTi"/>
          <w:sz w:val="21"/>
          <w:szCs w:val="21"/>
          <w:spacing w:val="22"/>
        </w:rPr>
        <w:t>1)目的</w:t>
      </w:r>
    </w:p>
    <w:p>
      <w:pPr>
        <w:ind w:left="14" w:right="235" w:firstLine="419"/>
        <w:spacing w:before="39" w:line="249" w:lineRule="auto"/>
        <w:rPr>
          <w:rFonts w:ascii="SimSun" w:hAnsi="SimSun" w:eastAsia="SimSun" w:cs="SimSun"/>
          <w:sz w:val="21"/>
          <w:szCs w:val="21"/>
        </w:rPr>
      </w:pPr>
      <w:r>
        <w:rPr>
          <w:rFonts w:ascii="SimSun" w:hAnsi="SimSun" w:eastAsia="SimSun" w:cs="SimSun"/>
          <w:sz w:val="21"/>
          <w:szCs w:val="21"/>
          <w:spacing w:val="2"/>
        </w:rPr>
        <w:t>主数据关注的重点是被描述的数据对象反映了业</w:t>
      </w:r>
      <w:r>
        <w:rPr>
          <w:rFonts w:ascii="SimSun" w:hAnsi="SimSun" w:eastAsia="SimSun" w:cs="SimSun"/>
          <w:sz w:val="21"/>
          <w:szCs w:val="21"/>
          <w:spacing w:val="1"/>
        </w:rPr>
        <w:t>务中的哪个实体，是否真实的</w:t>
      </w:r>
      <w:r>
        <w:rPr>
          <w:rFonts w:ascii="SimSun" w:hAnsi="SimSun" w:eastAsia="SimSun" w:cs="SimSun"/>
          <w:sz w:val="21"/>
          <w:szCs w:val="21"/>
        </w:rPr>
        <w:t xml:space="preserve"> </w:t>
      </w:r>
      <w:r>
        <w:rPr>
          <w:rFonts w:ascii="SimSun" w:hAnsi="SimSun" w:eastAsia="SimSun" w:cs="SimSun"/>
          <w:sz w:val="21"/>
          <w:szCs w:val="21"/>
        </w:rPr>
        <w:t>反映了该实体。主数据管理是解决以上问题的有效手段，其价</w:t>
      </w:r>
      <w:r>
        <w:rPr>
          <w:rFonts w:ascii="SimSun" w:hAnsi="SimSun" w:eastAsia="SimSun" w:cs="SimSun"/>
          <w:sz w:val="21"/>
          <w:szCs w:val="21"/>
          <w:spacing w:val="-1"/>
        </w:rPr>
        <w:t>值主要体现在：</w:t>
      </w:r>
    </w:p>
    <w:p>
      <w:pPr>
        <w:ind w:left="434"/>
        <w:spacing w:before="44" w:line="219" w:lineRule="auto"/>
        <w:rPr>
          <w:rFonts w:ascii="SimSun" w:hAnsi="SimSun" w:eastAsia="SimSun" w:cs="SimSun"/>
          <w:sz w:val="21"/>
          <w:szCs w:val="21"/>
        </w:rPr>
      </w:pPr>
      <w:r>
        <w:rPr>
          <w:rFonts w:ascii="SimSun" w:hAnsi="SimSun" w:eastAsia="SimSun" w:cs="SimSun"/>
          <w:sz w:val="21"/>
          <w:szCs w:val="21"/>
          <w:spacing w:val="3"/>
        </w:rPr>
        <w:t>(1)消除有关业务实体定义、格式、数据标准的冲突和不一致性；</w:t>
      </w:r>
    </w:p>
    <w:p>
      <w:pPr>
        <w:ind w:left="434"/>
        <w:spacing w:before="70" w:line="219" w:lineRule="auto"/>
        <w:rPr>
          <w:rFonts w:ascii="SimSun" w:hAnsi="SimSun" w:eastAsia="SimSun" w:cs="SimSun"/>
          <w:sz w:val="21"/>
          <w:szCs w:val="21"/>
        </w:rPr>
      </w:pPr>
      <w:r>
        <w:rPr>
          <w:rFonts w:ascii="SimSun" w:hAnsi="SimSun" w:eastAsia="SimSun" w:cs="SimSun"/>
          <w:sz w:val="21"/>
          <w:szCs w:val="21"/>
          <w:spacing w:val="1"/>
        </w:rPr>
        <w:t>(2)根据业务需求，提供统一的、标准的业务实体的数据标准以及真实的数据；</w:t>
      </w:r>
    </w:p>
    <w:p>
      <w:pPr>
        <w:ind w:left="14" w:right="226" w:firstLine="419"/>
        <w:spacing w:before="63" w:line="260" w:lineRule="auto"/>
        <w:rPr>
          <w:rFonts w:ascii="SimSun" w:hAnsi="SimSun" w:eastAsia="SimSun" w:cs="SimSun"/>
          <w:sz w:val="21"/>
          <w:szCs w:val="21"/>
        </w:rPr>
      </w:pPr>
      <w:r>
        <w:rPr>
          <w:rFonts w:ascii="SimSun" w:hAnsi="SimSun" w:eastAsia="SimSun" w:cs="SimSun"/>
          <w:sz w:val="21"/>
          <w:szCs w:val="21"/>
          <w:spacing w:val="5"/>
        </w:rPr>
        <w:t>(3)统一标准的数据和信息可供重复调用，</w:t>
      </w:r>
      <w:r>
        <w:rPr>
          <w:rFonts w:ascii="SimSun" w:hAnsi="SimSun" w:eastAsia="SimSun" w:cs="SimSun"/>
          <w:sz w:val="21"/>
          <w:szCs w:val="21"/>
          <w:spacing w:val="4"/>
        </w:rPr>
        <w:t>进一步保障各系统中主数据来源的</w:t>
      </w:r>
      <w:r>
        <w:rPr>
          <w:rFonts w:ascii="SimSun" w:hAnsi="SimSun" w:eastAsia="SimSun" w:cs="SimSun"/>
          <w:sz w:val="21"/>
          <w:szCs w:val="21"/>
        </w:rPr>
        <w:t xml:space="preserve"> </w:t>
      </w:r>
      <w:r>
        <w:rPr>
          <w:rFonts w:ascii="SimSun" w:hAnsi="SimSun" w:eastAsia="SimSun" w:cs="SimSun"/>
          <w:sz w:val="21"/>
          <w:szCs w:val="21"/>
          <w:spacing w:val="-4"/>
        </w:rPr>
        <w:t>一致性，并提高系统间的“沟通效率”。此时，主数据已经变为一种规范化、可重用</w:t>
      </w:r>
      <w:r>
        <w:rPr>
          <w:rFonts w:ascii="SimSun" w:hAnsi="SimSun" w:eastAsia="SimSun" w:cs="SimSun"/>
          <w:sz w:val="21"/>
          <w:szCs w:val="21"/>
          <w:spacing w:val="2"/>
        </w:rPr>
        <w:t xml:space="preserve"> </w:t>
      </w:r>
      <w:r>
        <w:rPr>
          <w:rFonts w:ascii="SimSun" w:hAnsi="SimSun" w:eastAsia="SimSun" w:cs="SimSun"/>
          <w:sz w:val="21"/>
          <w:szCs w:val="21"/>
          <w:spacing w:val="-3"/>
        </w:rPr>
        <w:t>的“信息服务”并按需提供给相关系统。</w:t>
      </w:r>
    </w:p>
    <w:p>
      <w:pPr>
        <w:ind w:left="434"/>
        <w:spacing w:before="56" w:line="222" w:lineRule="auto"/>
        <w:rPr>
          <w:rFonts w:ascii="KaiTi" w:hAnsi="KaiTi" w:eastAsia="KaiTi" w:cs="KaiTi"/>
          <w:sz w:val="21"/>
          <w:szCs w:val="21"/>
        </w:rPr>
      </w:pPr>
      <w:r>
        <w:rPr>
          <w:rFonts w:ascii="KaiTi" w:hAnsi="KaiTi" w:eastAsia="KaiTi" w:cs="KaiTi"/>
          <w:sz w:val="21"/>
          <w:szCs w:val="21"/>
          <w:spacing w:val="23"/>
        </w:rPr>
        <w:t>2)介绍</w:t>
      </w:r>
    </w:p>
    <w:p>
      <w:pPr>
        <w:ind w:left="14" w:right="219" w:firstLine="419"/>
        <w:spacing w:before="74" w:line="256" w:lineRule="auto"/>
        <w:rPr>
          <w:rFonts w:ascii="SimSun" w:hAnsi="SimSun" w:eastAsia="SimSun" w:cs="SimSun"/>
          <w:sz w:val="21"/>
          <w:szCs w:val="21"/>
        </w:rPr>
      </w:pPr>
      <w:r>
        <w:rPr>
          <w:rFonts w:ascii="SimSun" w:hAnsi="SimSun" w:eastAsia="SimSun" w:cs="SimSun"/>
          <w:sz w:val="21"/>
          <w:szCs w:val="21"/>
          <w:spacing w:val="1"/>
        </w:rPr>
        <w:t>主数据是指在整个信息供应链中各个业务系统之间都需要共享的数据、业务规</w:t>
      </w:r>
      <w:r>
        <w:rPr>
          <w:rFonts w:ascii="SimSun" w:hAnsi="SimSun" w:eastAsia="SimSun" w:cs="SimSun"/>
          <w:sz w:val="21"/>
          <w:szCs w:val="21"/>
          <w:spacing w:val="13"/>
        </w:rPr>
        <w:t xml:space="preserve"> </w:t>
      </w:r>
      <w:r>
        <w:rPr>
          <w:rFonts w:ascii="SimSun" w:hAnsi="SimSun" w:eastAsia="SimSun" w:cs="SimSun"/>
          <w:sz w:val="21"/>
          <w:szCs w:val="21"/>
          <w:spacing w:val="1"/>
        </w:rPr>
        <w:t>则和策略等。常见的主数据例如：对于电信行业客户而言，电信运营商提供的各种</w:t>
      </w:r>
      <w:r>
        <w:rPr>
          <w:rFonts w:ascii="SimSun" w:hAnsi="SimSun" w:eastAsia="SimSun" w:cs="SimSun"/>
          <w:sz w:val="21"/>
          <w:szCs w:val="21"/>
          <w:spacing w:val="18"/>
        </w:rPr>
        <w:t xml:space="preserve"> </w:t>
      </w:r>
      <w:r>
        <w:rPr>
          <w:rFonts w:ascii="SimSun" w:hAnsi="SimSun" w:eastAsia="SimSun" w:cs="SimSun"/>
          <w:sz w:val="21"/>
          <w:szCs w:val="21"/>
          <w:spacing w:val="2"/>
        </w:rPr>
        <w:t>服务可以形成其产品主数据；对于航空业客</w:t>
      </w:r>
      <w:r>
        <w:rPr>
          <w:rFonts w:ascii="SimSun" w:hAnsi="SimSun" w:eastAsia="SimSun" w:cs="SimSun"/>
          <w:sz w:val="21"/>
          <w:szCs w:val="21"/>
          <w:spacing w:val="1"/>
        </w:rPr>
        <w:t>户而言，航线、航班是其组织主数据的</w:t>
      </w:r>
      <w:r>
        <w:rPr>
          <w:rFonts w:ascii="SimSun" w:hAnsi="SimSun" w:eastAsia="SimSun" w:cs="SimSun"/>
          <w:sz w:val="21"/>
          <w:szCs w:val="21"/>
        </w:rPr>
        <w:t xml:space="preserve"> </w:t>
      </w:r>
      <w:r>
        <w:rPr>
          <w:rFonts w:ascii="SimSun" w:hAnsi="SimSun" w:eastAsia="SimSun" w:cs="SimSun"/>
          <w:sz w:val="21"/>
          <w:szCs w:val="21"/>
          <w:spacing w:val="1"/>
        </w:rPr>
        <w:t>一种。对于某一个组织的不同业务部门，其主数据也不同。例如市场销售部门关心</w:t>
      </w:r>
      <w:r>
        <w:rPr>
          <w:rFonts w:ascii="SimSun" w:hAnsi="SimSun" w:eastAsia="SimSun" w:cs="SimSun"/>
          <w:sz w:val="21"/>
          <w:szCs w:val="21"/>
          <w:spacing w:val="16"/>
        </w:rPr>
        <w:t xml:space="preserve"> </w:t>
      </w:r>
      <w:r>
        <w:rPr>
          <w:rFonts w:ascii="SimSun" w:hAnsi="SimSun" w:eastAsia="SimSun" w:cs="SimSun"/>
          <w:sz w:val="21"/>
          <w:szCs w:val="21"/>
          <w:spacing w:val="2"/>
        </w:rPr>
        <w:t>客户信息，产品研发部门关心产品编号、产品分类等产品信息，人事部门关心</w:t>
      </w:r>
      <w:r>
        <w:rPr>
          <w:rFonts w:ascii="SimSun" w:hAnsi="SimSun" w:eastAsia="SimSun" w:cs="SimSun"/>
          <w:sz w:val="21"/>
          <w:szCs w:val="21"/>
          <w:spacing w:val="1"/>
        </w:rPr>
        <w:t>员工</w:t>
      </w:r>
      <w:r>
        <w:rPr>
          <w:rFonts w:ascii="SimSun" w:hAnsi="SimSun" w:eastAsia="SimSun" w:cs="SimSun"/>
          <w:sz w:val="21"/>
          <w:szCs w:val="21"/>
        </w:rPr>
        <w:t xml:space="preserve"> </w:t>
      </w:r>
      <w:r>
        <w:rPr>
          <w:rFonts w:ascii="SimSun" w:hAnsi="SimSun" w:eastAsia="SimSun" w:cs="SimSun"/>
          <w:sz w:val="21"/>
          <w:szCs w:val="21"/>
          <w:spacing w:val="-3"/>
        </w:rPr>
        <w:t>机构、部门层次关系等信息。</w:t>
      </w:r>
    </w:p>
    <w:p>
      <w:pPr>
        <w:ind w:left="14" w:right="236" w:firstLine="419"/>
        <w:spacing w:before="100" w:line="262" w:lineRule="auto"/>
        <w:rPr>
          <w:rFonts w:ascii="SimSun" w:hAnsi="SimSun" w:eastAsia="SimSun" w:cs="SimSun"/>
          <w:sz w:val="21"/>
          <w:szCs w:val="21"/>
        </w:rPr>
      </w:pPr>
      <w:r>
        <w:rPr>
          <w:rFonts w:ascii="SimSun" w:hAnsi="SimSun" w:eastAsia="SimSun" w:cs="SimSun"/>
          <w:sz w:val="21"/>
          <w:szCs w:val="21"/>
          <w:spacing w:val="-5"/>
        </w:rPr>
        <w:t>主数据管理是指一整套的用于生成和维护组织主数据的规范、技术和方案，以保</w:t>
      </w:r>
      <w:r>
        <w:rPr>
          <w:rFonts w:ascii="SimSun" w:hAnsi="SimSun" w:eastAsia="SimSun" w:cs="SimSun"/>
          <w:sz w:val="21"/>
          <w:szCs w:val="21"/>
          <w:spacing w:val="11"/>
        </w:rPr>
        <w:t xml:space="preserve"> </w:t>
      </w:r>
      <w:r>
        <w:rPr>
          <w:rFonts w:ascii="SimSun" w:hAnsi="SimSun" w:eastAsia="SimSun" w:cs="SimSun"/>
          <w:sz w:val="21"/>
          <w:szCs w:val="21"/>
          <w:spacing w:val="-8"/>
        </w:rPr>
        <w:t>证主数据的完整性、</w:t>
      </w:r>
      <w:r>
        <w:rPr>
          <w:rFonts w:ascii="SimSun" w:hAnsi="SimSun" w:eastAsia="SimSun" w:cs="SimSun"/>
          <w:sz w:val="21"/>
          <w:szCs w:val="21"/>
          <w:spacing w:val="39"/>
        </w:rPr>
        <w:t xml:space="preserve"> </w:t>
      </w:r>
      <w:r>
        <w:rPr>
          <w:rFonts w:ascii="SimSun" w:hAnsi="SimSun" w:eastAsia="SimSun" w:cs="SimSun"/>
          <w:sz w:val="21"/>
          <w:szCs w:val="21"/>
          <w:spacing w:val="-8"/>
        </w:rPr>
        <w:t>一致性和准确性，是构建组织信息单一</w:t>
      </w:r>
      <w:r>
        <w:rPr>
          <w:rFonts w:ascii="SimSun" w:hAnsi="SimSun" w:eastAsia="SimSun" w:cs="SimSun"/>
          <w:sz w:val="21"/>
          <w:szCs w:val="21"/>
          <w:spacing w:val="-9"/>
        </w:rPr>
        <w:t>视图的重要组成部分，可</w:t>
      </w:r>
      <w:r>
        <w:rPr>
          <w:rFonts w:ascii="SimSun" w:hAnsi="SimSun" w:eastAsia="SimSun" w:cs="SimSun"/>
          <w:sz w:val="21"/>
          <w:szCs w:val="21"/>
        </w:rPr>
        <w:t xml:space="preserve"> </w:t>
      </w:r>
      <w:r>
        <w:rPr>
          <w:rFonts w:ascii="SimSun" w:hAnsi="SimSun" w:eastAsia="SimSun" w:cs="SimSun"/>
          <w:sz w:val="21"/>
          <w:szCs w:val="21"/>
          <w:spacing w:val="1"/>
        </w:rPr>
        <w:t>以保证在整个组织范围内跨业务协调和重用主数据。描述了一组约束(规程)、方法</w:t>
      </w:r>
      <w:r>
        <w:rPr>
          <w:rFonts w:ascii="SimSun" w:hAnsi="SimSun" w:eastAsia="SimSun" w:cs="SimSun"/>
          <w:sz w:val="21"/>
          <w:szCs w:val="21"/>
          <w:spacing w:val="9"/>
        </w:rPr>
        <w:t xml:space="preserve"> </w:t>
      </w:r>
      <w:r>
        <w:rPr>
          <w:rFonts w:ascii="SimSun" w:hAnsi="SimSun" w:eastAsia="SimSun" w:cs="SimSun"/>
          <w:sz w:val="21"/>
          <w:szCs w:val="21"/>
          <w:spacing w:val="1"/>
        </w:rPr>
        <w:t>和技术解决方案用来保证整个信息供应链内主题域和跨主题域相关主数据的完整一</w:t>
      </w:r>
      <w:r>
        <w:rPr>
          <w:rFonts w:ascii="SimSun" w:hAnsi="SimSun" w:eastAsia="SimSun" w:cs="SimSun"/>
          <w:sz w:val="21"/>
          <w:szCs w:val="21"/>
          <w:spacing w:val="14"/>
        </w:rPr>
        <w:t xml:space="preserve"> </w:t>
      </w:r>
      <w:r>
        <w:rPr>
          <w:rFonts w:ascii="SimSun" w:hAnsi="SimSun" w:eastAsia="SimSun" w:cs="SimSun"/>
          <w:sz w:val="21"/>
          <w:szCs w:val="21"/>
          <w:spacing w:val="-4"/>
        </w:rPr>
        <w:t>致性。主数据管理是应用流程的补充，为应用提供精确、完整的关</w:t>
      </w:r>
      <w:r>
        <w:rPr>
          <w:rFonts w:ascii="SimSun" w:hAnsi="SimSun" w:eastAsia="SimSun" w:cs="SimSun"/>
          <w:sz w:val="21"/>
          <w:szCs w:val="21"/>
          <w:spacing w:val="-5"/>
        </w:rPr>
        <w:t>键业务实体数据。</w:t>
      </w:r>
    </w:p>
    <w:p>
      <w:pPr>
        <w:ind w:left="14" w:right="221" w:firstLine="419"/>
        <w:spacing w:before="91" w:line="250" w:lineRule="auto"/>
        <w:rPr>
          <w:rFonts w:ascii="SimSun" w:hAnsi="SimSun" w:eastAsia="SimSun" w:cs="SimSun"/>
          <w:sz w:val="21"/>
          <w:szCs w:val="21"/>
        </w:rPr>
      </w:pPr>
      <w:r>
        <w:rPr>
          <w:rFonts w:ascii="SimSun" w:hAnsi="SimSun" w:eastAsia="SimSun" w:cs="SimSun"/>
          <w:sz w:val="21"/>
          <w:szCs w:val="21"/>
          <w:spacing w:val="1"/>
        </w:rPr>
        <w:t>主数据管理不会创建新的数据或新的数据纵向结构，而是提供一种方法使组织</w:t>
      </w:r>
      <w:r>
        <w:rPr>
          <w:rFonts w:ascii="SimSun" w:hAnsi="SimSun" w:eastAsia="SimSun" w:cs="SimSun"/>
          <w:sz w:val="21"/>
          <w:szCs w:val="21"/>
          <w:spacing w:val="16"/>
        </w:rPr>
        <w:t xml:space="preserve"> </w:t>
      </w:r>
      <w:r>
        <w:rPr>
          <w:rFonts w:ascii="SimSun" w:hAnsi="SimSun" w:eastAsia="SimSun" w:cs="SimSun"/>
          <w:sz w:val="21"/>
          <w:szCs w:val="21"/>
          <w:spacing w:val="5"/>
        </w:rPr>
        <w:t>能够有效地管理分布在整个信息供应链中的各种主数据(由信息供</w:t>
      </w:r>
      <w:r>
        <w:rPr>
          <w:rFonts w:ascii="SimSun" w:hAnsi="SimSun" w:eastAsia="SimSun" w:cs="SimSun"/>
          <w:sz w:val="21"/>
          <w:szCs w:val="21"/>
          <w:spacing w:val="4"/>
        </w:rPr>
        <w:t>应链各业务系统</w:t>
      </w:r>
    </w:p>
    <w:p>
      <w:pPr>
        <w:spacing w:line="250" w:lineRule="auto"/>
        <w:sectPr>
          <w:footerReference w:type="default" r:id="rId224"/>
          <w:pgSz w:w="8870" w:h="13400"/>
          <w:pgMar w:top="400" w:right="608" w:bottom="537" w:left="395" w:header="0" w:footer="328" w:gutter="0"/>
        </w:sectPr>
        <w:rPr>
          <w:rFonts w:ascii="SimSun" w:hAnsi="SimSun" w:eastAsia="SimSun" w:cs="SimSun"/>
          <w:sz w:val="21"/>
          <w:szCs w:val="21"/>
        </w:rPr>
      </w:pPr>
    </w:p>
    <w:p>
      <w:pPr>
        <w:ind w:left="203"/>
        <w:spacing w:before="285" w:line="219" w:lineRule="auto"/>
        <w:rPr>
          <w:rFonts w:ascii="SimSun" w:hAnsi="SimSun" w:eastAsia="SimSun" w:cs="SimSun"/>
          <w:sz w:val="21"/>
          <w:szCs w:val="21"/>
        </w:rPr>
      </w:pPr>
      <w:r>
        <w:pict>
          <v:rect id="_x0000_s338" style="position:absolute;margin-left:29.0005pt;margin-top:30.0025pt;mso-position-vertical-relative:page;mso-position-horizontal-relative:page;width:0.55pt;height:17.55pt;z-index:254238720;" o:allowincell="f" fillcolor="#000000" filled="true" stroked="false"/>
        </w:pict>
      </w:r>
      <w:r>
        <w:rPr>
          <w:rFonts w:ascii="SimSun" w:hAnsi="SimSun" w:eastAsia="SimSun" w:cs="SimSun"/>
          <w:sz w:val="21"/>
          <w:szCs w:val="21"/>
          <w:b/>
          <w:bCs/>
          <w:spacing w:val="-6"/>
        </w:rPr>
        <w:t>■云端数据治理</w:t>
      </w:r>
    </w:p>
    <w:p>
      <w:pPr>
        <w:ind w:left="240" w:right="76"/>
        <w:spacing w:before="303" w:line="261" w:lineRule="auto"/>
        <w:jc w:val="both"/>
        <w:rPr>
          <w:rFonts w:ascii="SimSun" w:hAnsi="SimSun" w:eastAsia="SimSun" w:cs="SimSun"/>
          <w:sz w:val="21"/>
          <w:szCs w:val="21"/>
        </w:rPr>
      </w:pPr>
      <w:r>
        <w:rPr>
          <w:rFonts w:ascii="SimSun" w:hAnsi="SimSun" w:eastAsia="SimSun" w:cs="SimSun"/>
          <w:sz w:val="21"/>
          <w:szCs w:val="21"/>
          <w:spacing w:val="5"/>
        </w:rPr>
        <w:t>产生)。主数据管理可以帮助组织构建并维护贯穿整个信息供应</w:t>
      </w:r>
      <w:r>
        <w:rPr>
          <w:rFonts w:ascii="SimSun" w:hAnsi="SimSun" w:eastAsia="SimSun" w:cs="SimSun"/>
          <w:sz w:val="21"/>
          <w:szCs w:val="21"/>
          <w:spacing w:val="4"/>
        </w:rPr>
        <w:t>链的主数据单一视</w:t>
      </w:r>
      <w:r>
        <w:rPr>
          <w:rFonts w:ascii="SimSun" w:hAnsi="SimSun" w:eastAsia="SimSun" w:cs="SimSun"/>
          <w:sz w:val="21"/>
          <w:szCs w:val="21"/>
        </w:rPr>
        <w:t xml:space="preserve"> </w:t>
      </w:r>
      <w:r>
        <w:rPr>
          <w:rFonts w:ascii="SimSun" w:hAnsi="SimSun" w:eastAsia="SimSun" w:cs="SimSun"/>
          <w:sz w:val="21"/>
          <w:szCs w:val="21"/>
          <w:spacing w:val="1"/>
        </w:rPr>
        <w:t>图，提供主数据的质量管理和统一业务实体定义，简化并改进业务流程并提高业务</w:t>
      </w:r>
      <w:r>
        <w:rPr>
          <w:rFonts w:ascii="SimSun" w:hAnsi="SimSun" w:eastAsia="SimSun" w:cs="SimSun"/>
          <w:sz w:val="21"/>
          <w:szCs w:val="21"/>
          <w:spacing w:val="12"/>
        </w:rPr>
        <w:t xml:space="preserve"> </w:t>
      </w:r>
      <w:r>
        <w:rPr>
          <w:rFonts w:ascii="SimSun" w:hAnsi="SimSun" w:eastAsia="SimSun" w:cs="SimSun"/>
          <w:sz w:val="21"/>
          <w:szCs w:val="21"/>
          <w:spacing w:val="-5"/>
        </w:rPr>
        <w:t>响应速度。</w:t>
      </w:r>
    </w:p>
    <w:p>
      <w:pPr>
        <w:ind w:left="240" w:firstLine="459"/>
        <w:spacing w:before="73" w:line="266" w:lineRule="auto"/>
        <w:rPr>
          <w:rFonts w:ascii="SimSun" w:hAnsi="SimSun" w:eastAsia="SimSun" w:cs="SimSun"/>
          <w:sz w:val="21"/>
          <w:szCs w:val="21"/>
        </w:rPr>
      </w:pPr>
      <w:r>
        <w:rPr>
          <w:rFonts w:ascii="SimSun" w:hAnsi="SimSun" w:eastAsia="SimSun" w:cs="SimSun"/>
          <w:sz w:val="21"/>
          <w:szCs w:val="21"/>
        </w:rPr>
        <w:t>主数据管理问题的存在，是由组织业务发展的渐进性</w:t>
      </w:r>
      <w:r>
        <w:rPr>
          <w:rFonts w:ascii="SimSun" w:hAnsi="SimSun" w:eastAsia="SimSun" w:cs="SimSun"/>
          <w:sz w:val="21"/>
          <w:szCs w:val="21"/>
          <w:spacing w:val="-1"/>
        </w:rPr>
        <w:t>、</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技术发展的渐进性、</w:t>
      </w:r>
      <w:r>
        <w:rPr>
          <w:rFonts w:ascii="SimSun" w:hAnsi="SimSun" w:eastAsia="SimSun" w:cs="SimSun"/>
          <w:sz w:val="21"/>
          <w:szCs w:val="21"/>
        </w:rPr>
        <w:t xml:space="preserve"> </w:t>
      </w:r>
      <w:r>
        <w:rPr>
          <w:rFonts w:ascii="SimSun" w:hAnsi="SimSun" w:eastAsia="SimSun" w:cs="SimSun"/>
          <w:sz w:val="21"/>
          <w:szCs w:val="21"/>
          <w:spacing w:val="-2"/>
        </w:rPr>
        <w:t>业务系统自下而上而不是自上而下、缺乏统一的数据治理和元数据管理共同造成的。</w:t>
      </w:r>
      <w:r>
        <w:rPr>
          <w:rFonts w:ascii="SimSun" w:hAnsi="SimSun" w:eastAsia="SimSun" w:cs="SimSun"/>
          <w:sz w:val="21"/>
          <w:szCs w:val="21"/>
          <w:spacing w:val="7"/>
        </w:rPr>
        <w:t xml:space="preserve"> </w:t>
      </w:r>
      <w:r>
        <w:rPr>
          <w:rFonts w:ascii="SimSun" w:hAnsi="SimSun" w:eastAsia="SimSun" w:cs="SimSun"/>
          <w:sz w:val="21"/>
          <w:szCs w:val="21"/>
        </w:rPr>
        <w:t>正是由于这种渐进性，各组织的业务系统都大体经历了从无到有、从简单到复杂，</w:t>
      </w:r>
      <w:r>
        <w:rPr>
          <w:rFonts w:ascii="SimSun" w:hAnsi="SimSun" w:eastAsia="SimSun" w:cs="SimSun"/>
          <w:sz w:val="21"/>
          <w:szCs w:val="21"/>
          <w:spacing w:val="6"/>
        </w:rPr>
        <w:t xml:space="preserve">  </w:t>
      </w:r>
      <w:r>
        <w:rPr>
          <w:rFonts w:ascii="SimSun" w:hAnsi="SimSun" w:eastAsia="SimSun" w:cs="SimSun"/>
          <w:sz w:val="21"/>
          <w:szCs w:val="21"/>
          <w:spacing w:val="1"/>
        </w:rPr>
        <w:t>直到形成了一个个业务。从根本上来说，组织很难只用一个业务系统覆盖所有的业</w:t>
      </w:r>
      <w:r>
        <w:rPr>
          <w:rFonts w:ascii="SimSun" w:hAnsi="SimSun" w:eastAsia="SimSun" w:cs="SimSun"/>
          <w:sz w:val="21"/>
          <w:szCs w:val="21"/>
          <w:spacing w:val="5"/>
        </w:rPr>
        <w:t xml:space="preserve">  </w:t>
      </w:r>
      <w:r>
        <w:rPr>
          <w:rFonts w:ascii="SimSun" w:hAnsi="SimSun" w:eastAsia="SimSun" w:cs="SimSun"/>
          <w:sz w:val="21"/>
          <w:szCs w:val="21"/>
          <w:spacing w:val="-2"/>
        </w:rPr>
        <w:t>务，特别是大型跨国组织，同一个业务系统也可能会在不</w:t>
      </w:r>
      <w:r>
        <w:rPr>
          <w:rFonts w:ascii="SimSun" w:hAnsi="SimSun" w:eastAsia="SimSun" w:cs="SimSun"/>
          <w:sz w:val="21"/>
          <w:szCs w:val="21"/>
          <w:spacing w:val="-3"/>
        </w:rPr>
        <w:t>同的国家或地区部署多套，</w:t>
      </w:r>
      <w:r>
        <w:rPr>
          <w:rFonts w:ascii="SimSun" w:hAnsi="SimSun" w:eastAsia="SimSun" w:cs="SimSun"/>
          <w:sz w:val="21"/>
          <w:szCs w:val="21"/>
        </w:rPr>
        <w:t xml:space="preserve"> </w:t>
      </w:r>
      <w:r>
        <w:rPr>
          <w:rFonts w:ascii="SimSun" w:hAnsi="SimSun" w:eastAsia="SimSun" w:cs="SimSun"/>
          <w:sz w:val="21"/>
          <w:szCs w:val="21"/>
          <w:spacing w:val="1"/>
        </w:rPr>
        <w:t>加上组织信息化建设缺少统一规划，从而造成了需要在各业务系统中共享的主数据</w:t>
      </w:r>
      <w:r>
        <w:rPr>
          <w:rFonts w:ascii="SimSun" w:hAnsi="SimSun" w:eastAsia="SimSun" w:cs="SimSun"/>
          <w:sz w:val="21"/>
          <w:szCs w:val="21"/>
          <w:spacing w:val="7"/>
        </w:rPr>
        <w:t xml:space="preserve">  </w:t>
      </w:r>
      <w:r>
        <w:rPr>
          <w:rFonts w:ascii="SimSun" w:hAnsi="SimSun" w:eastAsia="SimSun" w:cs="SimSun"/>
          <w:sz w:val="21"/>
          <w:szCs w:val="21"/>
          <w:spacing w:val="1"/>
        </w:rPr>
        <w:t>被分散到了各个业务系统分别进行管理。分散管理的主数据由于不具备一致性、准</w:t>
      </w:r>
      <w:r>
        <w:rPr>
          <w:rFonts w:ascii="SimSun" w:hAnsi="SimSun" w:eastAsia="SimSun" w:cs="SimSun"/>
          <w:sz w:val="21"/>
          <w:szCs w:val="21"/>
          <w:spacing w:val="6"/>
        </w:rPr>
        <w:t xml:space="preserve">  </w:t>
      </w:r>
      <w:r>
        <w:rPr>
          <w:rFonts w:ascii="SimSun" w:hAnsi="SimSun" w:eastAsia="SimSun" w:cs="SimSun"/>
          <w:sz w:val="21"/>
          <w:szCs w:val="21"/>
          <w:spacing w:val="1"/>
        </w:rPr>
        <w:t>确性和完整性，使得组织普遍存在着产品、供应商和订单管理不力的现象，解决这</w:t>
      </w:r>
      <w:r>
        <w:rPr>
          <w:rFonts w:ascii="SimSun" w:hAnsi="SimSun" w:eastAsia="SimSun" w:cs="SimSun"/>
          <w:sz w:val="21"/>
          <w:szCs w:val="21"/>
          <w:spacing w:val="6"/>
        </w:rPr>
        <w:t xml:space="preserve">  </w:t>
      </w:r>
      <w:r>
        <w:rPr>
          <w:rFonts w:ascii="SimSun" w:hAnsi="SimSun" w:eastAsia="SimSun" w:cs="SimSun"/>
          <w:sz w:val="21"/>
          <w:szCs w:val="21"/>
          <w:spacing w:val="-1"/>
        </w:rPr>
        <w:t>一问题的根本方法就是引入主数据管理。</w:t>
      </w:r>
    </w:p>
    <w:p>
      <w:pPr>
        <w:ind w:left="240" w:right="45" w:firstLine="459"/>
        <w:spacing w:before="60" w:line="264" w:lineRule="auto"/>
        <w:rPr>
          <w:rFonts w:ascii="SimSun" w:hAnsi="SimSun" w:eastAsia="SimSun" w:cs="SimSun"/>
          <w:sz w:val="21"/>
          <w:szCs w:val="21"/>
        </w:rPr>
      </w:pPr>
      <w:r>
        <w:rPr>
          <w:rFonts w:ascii="SimSun" w:hAnsi="SimSun" w:eastAsia="SimSun" w:cs="SimSun"/>
          <w:sz w:val="21"/>
          <w:szCs w:val="21"/>
          <w:spacing w:val="2"/>
        </w:rPr>
        <w:t>在云计算时代，通过建立云端数据与主数据之间的映射</w:t>
      </w:r>
      <w:r>
        <w:rPr>
          <w:rFonts w:ascii="SimSun" w:hAnsi="SimSun" w:eastAsia="SimSun" w:cs="SimSun"/>
          <w:sz w:val="21"/>
          <w:szCs w:val="21"/>
          <w:spacing w:val="1"/>
        </w:rPr>
        <w:t>关系可以有效地提高客</w:t>
      </w:r>
      <w:r>
        <w:rPr>
          <w:rFonts w:ascii="SimSun" w:hAnsi="SimSun" w:eastAsia="SimSun" w:cs="SimSun"/>
          <w:sz w:val="21"/>
          <w:szCs w:val="21"/>
        </w:rPr>
        <w:t xml:space="preserve"> </w:t>
      </w:r>
      <w:r>
        <w:rPr>
          <w:rFonts w:ascii="SimSun" w:hAnsi="SimSun" w:eastAsia="SimSun" w:cs="SimSun"/>
          <w:sz w:val="21"/>
          <w:szCs w:val="21"/>
          <w:spacing w:val="1"/>
        </w:rPr>
        <w:t>户关系管理水平，提高客户满意度和忠诚度，提升销售业绩。例如通过从微博、微</w:t>
      </w:r>
      <w:r>
        <w:rPr>
          <w:rFonts w:ascii="SimSun" w:hAnsi="SimSun" w:eastAsia="SimSun" w:cs="SimSun"/>
          <w:sz w:val="21"/>
          <w:szCs w:val="21"/>
          <w:spacing w:val="11"/>
        </w:rPr>
        <w:t xml:space="preserve"> </w:t>
      </w:r>
      <w:r>
        <w:rPr>
          <w:rFonts w:ascii="SimSun" w:hAnsi="SimSun" w:eastAsia="SimSun" w:cs="SimSun"/>
          <w:sz w:val="21"/>
          <w:szCs w:val="21"/>
          <w:spacing w:val="1"/>
        </w:rPr>
        <w:t>信、交友网站以及呼叫中心语音记录中获取数据，进行更精确的客户流失建模，可</w:t>
      </w:r>
      <w:r>
        <w:rPr>
          <w:rFonts w:ascii="SimSun" w:hAnsi="SimSun" w:eastAsia="SimSun" w:cs="SimSun"/>
          <w:sz w:val="21"/>
          <w:szCs w:val="21"/>
          <w:spacing w:val="12"/>
        </w:rPr>
        <w:t xml:space="preserve"> </w:t>
      </w:r>
      <w:r>
        <w:rPr>
          <w:rFonts w:ascii="SimSun" w:hAnsi="SimSun" w:eastAsia="SimSun" w:cs="SimSun"/>
          <w:sz w:val="21"/>
          <w:szCs w:val="21"/>
          <w:spacing w:val="1"/>
        </w:rPr>
        <w:t>以有效地提升客户流失预测的准确率。再比如从社交媒体、多媒体、电话语音记录</w:t>
      </w:r>
      <w:r>
        <w:rPr>
          <w:rFonts w:ascii="SimSun" w:hAnsi="SimSun" w:eastAsia="SimSun" w:cs="SimSun"/>
          <w:sz w:val="21"/>
          <w:szCs w:val="21"/>
          <w:spacing w:val="12"/>
        </w:rPr>
        <w:t xml:space="preserve"> </w:t>
      </w:r>
      <w:r>
        <w:rPr>
          <w:rFonts w:ascii="SimSun" w:hAnsi="SimSun" w:eastAsia="SimSun" w:cs="SimSun"/>
          <w:sz w:val="21"/>
          <w:szCs w:val="21"/>
          <w:spacing w:val="2"/>
        </w:rPr>
        <w:t>等多种数据源获取数据用于客户细分、交叉销售、提升销售、客户维护</w:t>
      </w:r>
      <w:r>
        <w:rPr>
          <w:rFonts w:ascii="SimSun" w:hAnsi="SimSun" w:eastAsia="SimSun" w:cs="SimSun"/>
          <w:sz w:val="21"/>
          <w:szCs w:val="21"/>
          <w:spacing w:val="1"/>
        </w:rPr>
        <w:t>挽留、客户</w:t>
      </w:r>
      <w:r>
        <w:rPr>
          <w:rFonts w:ascii="SimSun" w:hAnsi="SimSun" w:eastAsia="SimSun" w:cs="SimSun"/>
          <w:sz w:val="21"/>
          <w:szCs w:val="21"/>
        </w:rPr>
        <w:t xml:space="preserve"> </w:t>
      </w:r>
      <w:r>
        <w:rPr>
          <w:rFonts w:ascii="SimSun" w:hAnsi="SimSun" w:eastAsia="SimSun" w:cs="SimSun"/>
          <w:sz w:val="21"/>
          <w:szCs w:val="21"/>
        </w:rPr>
        <w:t>偏好管理等，都可以有效地提升客户关系管理水平。</w:t>
      </w:r>
    </w:p>
    <w:p>
      <w:pPr>
        <w:ind w:left="700"/>
        <w:spacing w:before="103" w:line="229" w:lineRule="auto"/>
        <w:rPr>
          <w:rFonts w:ascii="KaiTi" w:hAnsi="KaiTi" w:eastAsia="KaiTi" w:cs="KaiTi"/>
          <w:sz w:val="21"/>
          <w:szCs w:val="21"/>
        </w:rPr>
      </w:pPr>
      <w:r>
        <w:rPr>
          <w:rFonts w:ascii="KaiTi" w:hAnsi="KaiTi" w:eastAsia="KaiTi" w:cs="KaiTi"/>
          <w:sz w:val="21"/>
          <w:szCs w:val="21"/>
          <w:spacing w:val="15"/>
        </w:rPr>
        <w:t>3)相关过程域</w:t>
      </w:r>
    </w:p>
    <w:p>
      <w:pPr>
        <w:ind w:left="700"/>
        <w:spacing w:before="46" w:line="310" w:lineRule="exact"/>
        <w:rPr>
          <w:rFonts w:ascii="SimSun" w:hAnsi="SimSun" w:eastAsia="SimSun" w:cs="SimSun"/>
          <w:sz w:val="21"/>
          <w:szCs w:val="21"/>
        </w:rPr>
      </w:pPr>
      <w:r>
        <w:rPr>
          <w:rFonts w:ascii="SimSun" w:hAnsi="SimSun" w:eastAsia="SimSun" w:cs="SimSun"/>
          <w:sz w:val="21"/>
          <w:szCs w:val="21"/>
          <w:spacing w:val="-1"/>
          <w:position w:val="7"/>
        </w:rPr>
        <w:t>数据生命周期管理过程域提供更多相互依赖的相关信息；</w:t>
      </w:r>
    </w:p>
    <w:p>
      <w:pPr>
        <w:ind w:left="700"/>
        <w:spacing w:before="1" w:line="218" w:lineRule="auto"/>
        <w:rPr>
          <w:rFonts w:ascii="SimSun" w:hAnsi="SimSun" w:eastAsia="SimSun" w:cs="SimSun"/>
          <w:sz w:val="21"/>
          <w:szCs w:val="21"/>
        </w:rPr>
      </w:pPr>
      <w:r>
        <w:rPr>
          <w:rFonts w:ascii="SimSun" w:hAnsi="SimSun" w:eastAsia="SimSun" w:cs="SimSun"/>
          <w:sz w:val="21"/>
          <w:szCs w:val="21"/>
          <w:spacing w:val="-1"/>
        </w:rPr>
        <w:t>架构方法过程域提供了与数据平台架构相关的活动信息；</w:t>
      </w:r>
    </w:p>
    <w:p>
      <w:pPr>
        <w:ind w:left="700"/>
        <w:spacing w:before="61" w:line="219" w:lineRule="auto"/>
        <w:rPr>
          <w:rFonts w:ascii="SimSun" w:hAnsi="SimSun" w:eastAsia="SimSun" w:cs="SimSun"/>
          <w:sz w:val="21"/>
          <w:szCs w:val="21"/>
        </w:rPr>
      </w:pPr>
      <w:r>
        <w:rPr>
          <w:rFonts w:ascii="SimSun" w:hAnsi="SimSun" w:eastAsia="SimSun" w:cs="SimSun"/>
          <w:sz w:val="21"/>
          <w:szCs w:val="21"/>
          <w:spacing w:val="-3"/>
        </w:rPr>
        <w:t>元数据管理过程域提供了主数据的描述信息以及定义；</w:t>
      </w:r>
    </w:p>
    <w:p>
      <w:pPr>
        <w:ind w:left="240" w:right="75" w:firstLine="459"/>
        <w:spacing w:before="70" w:line="251" w:lineRule="auto"/>
        <w:rPr>
          <w:rFonts w:ascii="SimSun" w:hAnsi="SimSun" w:eastAsia="SimSun" w:cs="SimSun"/>
          <w:sz w:val="21"/>
          <w:szCs w:val="21"/>
        </w:rPr>
      </w:pPr>
      <w:r>
        <w:rPr>
          <w:rFonts w:ascii="SimSun" w:hAnsi="SimSun" w:eastAsia="SimSun" w:cs="SimSun"/>
          <w:sz w:val="21"/>
          <w:szCs w:val="21"/>
          <w:spacing w:val="1"/>
        </w:rPr>
        <w:t>数据集成与互操作过程域提供了主数据管理的基础，包含了主数</w:t>
      </w:r>
      <w:r>
        <w:rPr>
          <w:rFonts w:ascii="SimSun" w:hAnsi="SimSun" w:eastAsia="SimSun" w:cs="SimSun"/>
          <w:sz w:val="21"/>
          <w:szCs w:val="21"/>
        </w:rPr>
        <w:t>据标准化的参 </w:t>
      </w:r>
      <w:r>
        <w:rPr>
          <w:rFonts w:ascii="SimSun" w:hAnsi="SimSun" w:eastAsia="SimSun" w:cs="SimSun"/>
          <w:sz w:val="21"/>
          <w:szCs w:val="21"/>
          <w:spacing w:val="-3"/>
        </w:rPr>
        <w:t>考信息。</w:t>
      </w:r>
    </w:p>
    <w:p>
      <w:pPr>
        <w:pStyle w:val="BodyText"/>
        <w:ind w:left="700"/>
        <w:spacing w:before="208" w:line="223" w:lineRule="auto"/>
        <w:outlineLvl w:val="3"/>
        <w:rPr>
          <w:rFonts w:ascii="SimHei" w:hAnsi="SimHei" w:eastAsia="SimHei" w:cs="SimHei"/>
        </w:rPr>
      </w:pPr>
      <w:r>
        <w:rPr>
          <w:b/>
          <w:bCs/>
          <w:spacing w:val="-2"/>
        </w:rPr>
        <w:t>2.GQM</w:t>
      </w:r>
      <w:r>
        <w:rPr>
          <w:b/>
          <w:bCs/>
          <w:spacing w:val="2"/>
        </w:rPr>
        <w:t xml:space="preserve">    </w:t>
      </w:r>
      <w:r>
        <w:rPr>
          <w:rFonts w:ascii="SimHei" w:hAnsi="SimHei" w:eastAsia="SimHei" w:cs="SimHei"/>
          <w:b/>
          <w:bCs/>
          <w:spacing w:val="-2"/>
        </w:rPr>
        <w:t>表</w:t>
      </w:r>
    </w:p>
    <w:p>
      <w:pPr>
        <w:spacing w:line="165"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1947"/>
        <w:gridCol w:w="2187"/>
        <w:gridCol w:w="2172"/>
      </w:tblGrid>
      <w:tr>
        <w:trPr>
          <w:trHeight w:val="324" w:hRule="atLeast"/>
        </w:trPr>
        <w:tc>
          <w:tcPr>
            <w:tcW w:w="1293" w:type="dxa"/>
            <w:vAlign w:val="top"/>
          </w:tcPr>
          <w:p>
            <w:pPr>
              <w:pStyle w:val="TableText"/>
              <w:ind w:left="374"/>
              <w:spacing w:before="91" w:line="220" w:lineRule="auto"/>
              <w:rPr/>
            </w:pPr>
            <w:r>
              <w:rPr>
                <w:spacing w:val="-12"/>
              </w:rPr>
              <w:t>目    标</w:t>
            </w:r>
          </w:p>
        </w:tc>
        <w:tc>
          <w:tcPr>
            <w:tcW w:w="1947" w:type="dxa"/>
            <w:vAlign w:val="top"/>
          </w:tcPr>
          <w:p>
            <w:pPr>
              <w:pStyle w:val="TableText"/>
              <w:ind w:left="662"/>
              <w:spacing w:before="93" w:line="221" w:lineRule="auto"/>
              <w:rPr/>
            </w:pPr>
            <w:r>
              <w:rPr>
                <w:spacing w:val="-12"/>
              </w:rPr>
              <w:t>问</w:t>
            </w:r>
            <w:r>
              <w:rPr>
                <w:spacing w:val="10"/>
              </w:rPr>
              <w:t xml:space="preserve">   </w:t>
            </w:r>
            <w:r>
              <w:rPr>
                <w:spacing w:val="-12"/>
              </w:rPr>
              <w:t>题</w:t>
            </w:r>
          </w:p>
        </w:tc>
        <w:tc>
          <w:tcPr>
            <w:tcW w:w="2187" w:type="dxa"/>
            <w:vAlign w:val="top"/>
          </w:tcPr>
          <w:p>
            <w:pPr>
              <w:pStyle w:val="TableText"/>
              <w:ind w:left="715"/>
              <w:spacing w:before="91" w:line="220" w:lineRule="auto"/>
              <w:rPr/>
            </w:pPr>
            <w:r>
              <w:rPr>
                <w:spacing w:val="-4"/>
              </w:rPr>
              <w:t>度</w:t>
            </w:r>
            <w:r>
              <w:rPr>
                <w:spacing w:val="2"/>
              </w:rPr>
              <w:t xml:space="preserve">  </w:t>
            </w:r>
            <w:r>
              <w:rPr>
                <w:spacing w:val="-4"/>
              </w:rPr>
              <w:t>量</w:t>
            </w:r>
            <w:r>
              <w:rPr>
                <w:spacing w:val="4"/>
              </w:rPr>
              <w:t xml:space="preserve">  </w:t>
            </w:r>
            <w:r>
              <w:rPr>
                <w:spacing w:val="-4"/>
              </w:rPr>
              <w:t>项</w:t>
            </w:r>
          </w:p>
        </w:tc>
        <w:tc>
          <w:tcPr>
            <w:tcW w:w="2172" w:type="dxa"/>
            <w:vAlign w:val="top"/>
          </w:tcPr>
          <w:p>
            <w:pPr>
              <w:pStyle w:val="TableText"/>
              <w:ind w:left="707"/>
              <w:spacing w:before="91" w:line="219" w:lineRule="auto"/>
              <w:rPr/>
            </w:pPr>
            <w:r>
              <w:rPr>
                <w:spacing w:val="3"/>
              </w:rPr>
              <w:t>度量项说明</w:t>
            </w:r>
          </w:p>
        </w:tc>
      </w:tr>
      <w:tr>
        <w:trPr>
          <w:trHeight w:val="2516" w:hRule="atLeast"/>
        </w:trPr>
        <w:tc>
          <w:tcPr>
            <w:tcW w:w="1293" w:type="dxa"/>
            <w:vAlign w:val="top"/>
          </w:tcPr>
          <w:p>
            <w:pPr>
              <w:spacing w:line="357" w:lineRule="auto"/>
              <w:rPr>
                <w:rFonts w:ascii="Arial"/>
                <w:sz w:val="21"/>
              </w:rPr>
            </w:pPr>
            <w:r/>
          </w:p>
          <w:p>
            <w:pPr>
              <w:spacing w:line="358" w:lineRule="auto"/>
              <w:rPr>
                <w:rFonts w:ascii="Arial"/>
                <w:sz w:val="21"/>
              </w:rPr>
            </w:pPr>
            <w:r/>
          </w:p>
          <w:p>
            <w:pPr>
              <w:pStyle w:val="TableText"/>
              <w:ind w:left="115" w:right="108" w:firstLine="149"/>
              <w:spacing w:before="48" w:line="316" w:lineRule="auto"/>
              <w:rPr/>
            </w:pPr>
            <w:r>
              <w:rPr>
                <w:spacing w:val="-1"/>
              </w:rPr>
              <w:t>G1:主数据能</w:t>
            </w:r>
            <w:r>
              <w:rPr/>
              <w:t xml:space="preserve">  </w:t>
            </w:r>
            <w:r>
              <w:rPr>
                <w:spacing w:val="-2"/>
              </w:rPr>
              <w:t>充分表达所描述</w:t>
            </w:r>
            <w:r>
              <w:rPr>
                <w:spacing w:val="5"/>
              </w:rPr>
              <w:t xml:space="preserve"> </w:t>
            </w:r>
            <w:r>
              <w:rPr>
                <w:spacing w:val="1"/>
              </w:rPr>
              <w:t>的业务对象或场 </w:t>
            </w:r>
            <w:r>
              <w:rPr>
                <w:spacing w:val="1"/>
              </w:rPr>
              <w:t>景</w:t>
            </w:r>
          </w:p>
        </w:tc>
        <w:tc>
          <w:tcPr>
            <w:tcW w:w="1947" w:type="dxa"/>
            <w:vAlign w:val="top"/>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TableText"/>
              <w:ind w:left="92" w:right="244" w:firstLine="179"/>
              <w:spacing w:before="49" w:line="283" w:lineRule="auto"/>
              <w:rPr/>
            </w:pPr>
            <w:r>
              <w:rPr>
                <w:spacing w:val="-1"/>
              </w:rPr>
              <w:t>Ql:主数据是否与业务</w:t>
            </w:r>
            <w:r>
              <w:rPr>
                <w:spacing w:val="5"/>
              </w:rPr>
              <w:t xml:space="preserve"> </w:t>
            </w:r>
            <w:r>
              <w:rPr>
                <w:spacing w:val="-2"/>
              </w:rPr>
              <w:t>相关</w:t>
            </w:r>
          </w:p>
        </w:tc>
        <w:tc>
          <w:tcPr>
            <w:tcW w:w="2187" w:type="dxa"/>
            <w:vAlign w:val="top"/>
          </w:tcPr>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TableText"/>
              <w:ind w:left="295"/>
              <w:spacing w:before="49" w:line="219" w:lineRule="auto"/>
              <w:rPr/>
            </w:pPr>
            <w:r>
              <w:rPr>
                <w:spacing w:val="-1"/>
              </w:rPr>
              <w:t>M1:业务问题和主题区域</w:t>
            </w:r>
          </w:p>
        </w:tc>
        <w:tc>
          <w:tcPr>
            <w:tcW w:w="2172" w:type="dxa"/>
            <w:vAlign w:val="top"/>
          </w:tcPr>
          <w:p>
            <w:pPr>
              <w:pStyle w:val="TableText"/>
              <w:ind w:left="258"/>
              <w:spacing w:before="67" w:line="219" w:lineRule="auto"/>
              <w:rPr/>
            </w:pPr>
            <w:r>
              <w:rPr>
                <w:spacing w:val="1"/>
              </w:rPr>
              <w:t>需要确定与主数据管理相</w:t>
            </w:r>
          </w:p>
          <w:p>
            <w:pPr>
              <w:pStyle w:val="TableText"/>
              <w:ind w:left="108" w:right="87"/>
              <w:spacing w:before="112" w:line="329" w:lineRule="auto"/>
              <w:rPr/>
            </w:pPr>
            <w:r>
              <w:rPr>
                <w:spacing w:val="-1"/>
              </w:rPr>
              <w:t>关的业务问题，从而开展具有</w:t>
            </w:r>
            <w:r>
              <w:rPr>
                <w:spacing w:val="3"/>
              </w:rPr>
              <w:t xml:space="preserve"> </w:t>
            </w:r>
            <w:r>
              <w:rPr>
                <w:spacing w:val="-1"/>
              </w:rPr>
              <w:t>针对性的主数据管理工作；同</w:t>
            </w:r>
            <w:r>
              <w:rPr>
                <w:spacing w:val="6"/>
              </w:rPr>
              <w:t xml:space="preserve"> </w:t>
            </w:r>
            <w:r>
              <w:rPr>
                <w:spacing w:val="1"/>
              </w:rPr>
              <w:t>时，对于主数据涉及的领域明</w:t>
            </w:r>
            <w:r>
              <w:rPr>
                <w:spacing w:val="2"/>
              </w:rPr>
              <w:t xml:space="preserve"> </w:t>
            </w:r>
            <w:r>
              <w:rPr>
                <w:spacing w:val="5"/>
              </w:rPr>
              <w:t>确定义有助于开展主数据管</w:t>
            </w:r>
            <w:r>
              <w:rPr>
                <w:spacing w:val="1"/>
              </w:rPr>
              <w:t xml:space="preserve">  </w:t>
            </w:r>
            <w:r>
              <w:rPr>
                <w:spacing w:val="-1"/>
              </w:rPr>
              <w:t>理工作，并在海量云端数据环</w:t>
            </w:r>
            <w:r>
              <w:rPr>
                <w:spacing w:val="4"/>
              </w:rPr>
              <w:t xml:space="preserve"> </w:t>
            </w:r>
            <w:r>
              <w:rPr>
                <w:spacing w:val="5"/>
              </w:rPr>
              <w:t>境下有利于快速寻找与主数</w:t>
            </w:r>
            <w:r>
              <w:rPr>
                <w:spacing w:val="1"/>
              </w:rPr>
              <w:t xml:space="preserve">  </w:t>
            </w:r>
            <w:r>
              <w:rPr>
                <w:spacing w:val="7"/>
              </w:rPr>
              <w:t>据管理目标相一致的数据内</w:t>
            </w:r>
            <w:r>
              <w:rPr>
                <w:spacing w:val="2"/>
              </w:rPr>
              <w:t xml:space="preserve">  </w:t>
            </w:r>
            <w:r>
              <w:rPr>
                <w:spacing w:val="2"/>
              </w:rPr>
              <w:t>容</w:t>
            </w:r>
          </w:p>
        </w:tc>
      </w:tr>
    </w:tbl>
    <w:p>
      <w:pPr>
        <w:pStyle w:val="BodyText"/>
        <w:rPr/>
      </w:pPr>
      <w:r/>
    </w:p>
    <w:p>
      <w:pPr>
        <w:sectPr>
          <w:footerReference w:type="default" r:id="rId225"/>
          <w:pgSz w:w="8870" w:h="13400"/>
          <w:pgMar w:top="400" w:right="445" w:bottom="488" w:left="479" w:header="0" w:footer="278" w:gutter="0"/>
        </w:sectPr>
        <w:rPr/>
      </w:pPr>
    </w:p>
    <w:p>
      <w:pPr>
        <w:ind w:left="5468"/>
        <w:spacing w:before="175" w:line="620" w:lineRule="exact"/>
        <w:rPr>
          <w:rFonts w:ascii="SimSun" w:hAnsi="SimSun" w:eastAsia="SimSun" w:cs="SimSun"/>
          <w:sz w:val="22"/>
          <w:szCs w:val="22"/>
        </w:rPr>
      </w:pPr>
      <w:r>
        <w:rPr>
          <w:rFonts w:ascii="SimSun" w:hAnsi="SimSun" w:eastAsia="SimSun" w:cs="SimSun"/>
          <w:sz w:val="22"/>
          <w:szCs w:val="22"/>
          <w:b/>
          <w:bCs/>
          <w:spacing w:val="3"/>
          <w:position w:val="31"/>
        </w:rPr>
        <w:t>第5章■云端数据管理</w:t>
      </w:r>
    </w:p>
    <w:p>
      <w:pPr>
        <w:ind w:left="682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1948"/>
        <w:gridCol w:w="2177"/>
        <w:gridCol w:w="2182"/>
      </w:tblGrid>
      <w:tr>
        <w:trPr>
          <w:trHeight w:val="325" w:hRule="atLeast"/>
        </w:trPr>
        <w:tc>
          <w:tcPr>
            <w:tcW w:w="1273" w:type="dxa"/>
            <w:vAlign w:val="top"/>
          </w:tcPr>
          <w:p>
            <w:pPr>
              <w:pStyle w:val="TableText"/>
              <w:ind w:left="365"/>
              <w:spacing w:before="91" w:line="220" w:lineRule="auto"/>
              <w:rPr/>
            </w:pPr>
            <w:r>
              <w:rPr>
                <w:spacing w:val="-12"/>
              </w:rPr>
              <w:t>目    标</w:t>
            </w:r>
          </w:p>
        </w:tc>
        <w:tc>
          <w:tcPr>
            <w:tcW w:w="1948" w:type="dxa"/>
            <w:vAlign w:val="top"/>
          </w:tcPr>
          <w:p>
            <w:pPr>
              <w:pStyle w:val="TableText"/>
              <w:ind w:left="682"/>
              <w:spacing w:before="93" w:line="221" w:lineRule="auto"/>
              <w:rPr/>
            </w:pPr>
            <w:r>
              <w:rPr>
                <w:spacing w:val="-12"/>
              </w:rPr>
              <w:t>问</w:t>
            </w:r>
            <w:r>
              <w:rPr>
                <w:spacing w:val="10"/>
              </w:rPr>
              <w:t xml:space="preserve">   </w:t>
            </w:r>
            <w:r>
              <w:rPr>
                <w:spacing w:val="-12"/>
              </w:rPr>
              <w:t>题</w:t>
            </w:r>
          </w:p>
        </w:tc>
        <w:tc>
          <w:tcPr>
            <w:tcW w:w="2177" w:type="dxa"/>
            <w:vAlign w:val="top"/>
          </w:tcPr>
          <w:p>
            <w:pPr>
              <w:pStyle w:val="TableText"/>
              <w:ind w:left="714"/>
              <w:spacing w:before="9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82" w:type="dxa"/>
            <w:vAlign w:val="top"/>
          </w:tcPr>
          <w:p>
            <w:pPr>
              <w:pStyle w:val="TableText"/>
              <w:ind w:left="707"/>
              <w:spacing w:before="91" w:line="219" w:lineRule="auto"/>
              <w:rPr/>
            </w:pPr>
            <w:r>
              <w:rPr>
                <w:spacing w:val="3"/>
              </w:rPr>
              <w:t>度量项说明</w:t>
            </w:r>
          </w:p>
        </w:tc>
      </w:tr>
      <w:tr>
        <w:trPr>
          <w:trHeight w:val="1399" w:hRule="atLeast"/>
        </w:trPr>
        <w:tc>
          <w:tcPr>
            <w:tcW w:w="1273" w:type="dxa"/>
            <w:vAlign w:val="top"/>
            <w:vMerge w:val="restart"/>
            <w:tcBorders>
              <w:bottom w:val="nil"/>
            </w:tcBorders>
          </w:tcPr>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TableText"/>
              <w:ind w:left="85" w:right="73" w:firstLine="130"/>
              <w:spacing w:before="49" w:line="324" w:lineRule="auto"/>
              <w:rPr/>
            </w:pPr>
            <w:r>
              <w:rPr>
                <w:spacing w:val="-1"/>
              </w:rPr>
              <w:t>G2:主数据策</w:t>
            </w:r>
            <w:r>
              <w:rPr/>
              <w:t xml:space="preserve">   </w:t>
            </w:r>
            <w:r>
              <w:rPr>
                <w:spacing w:val="-1"/>
              </w:rPr>
              <w:t>略、分类和标准 </w:t>
            </w:r>
            <w:r>
              <w:rPr>
                <w:spacing w:val="7"/>
              </w:rPr>
              <w:t>的制订与执行，</w:t>
            </w:r>
            <w:r>
              <w:rPr>
                <w:spacing w:val="4"/>
              </w:rPr>
              <w:t xml:space="preserve"> </w:t>
            </w:r>
            <w:r>
              <w:rPr>
                <w:spacing w:val="1"/>
              </w:rPr>
              <w:t>保证它们被整个</w:t>
            </w:r>
            <w:r>
              <w:rPr>
                <w:spacing w:val="5"/>
              </w:rPr>
              <w:t xml:space="preserve"> </w:t>
            </w:r>
            <w:r>
              <w:rPr>
                <w:spacing w:val="1"/>
              </w:rPr>
              <w:t>组织采纳并一致</w:t>
            </w:r>
            <w:r>
              <w:rPr>
                <w:spacing w:val="4"/>
              </w:rPr>
              <w:t xml:space="preserve"> </w:t>
            </w:r>
            <w:r>
              <w:rPr>
                <w:spacing w:val="9"/>
              </w:rPr>
              <w:t>使用</w:t>
            </w:r>
          </w:p>
        </w:tc>
        <w:tc>
          <w:tcPr>
            <w:tcW w:w="1948" w:type="dxa"/>
            <w:vAlign w:val="top"/>
            <w:vMerge w:val="restart"/>
            <w:tcBorders>
              <w:bottom w:val="nil"/>
            </w:tcBorders>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122" w:right="245" w:firstLine="149"/>
              <w:spacing w:before="49" w:line="276" w:lineRule="auto"/>
              <w:rPr/>
            </w:pPr>
            <w:r>
              <w:rPr>
                <w:spacing w:val="-1"/>
              </w:rPr>
              <w:t>Q2:主数据管理过程是</w:t>
            </w:r>
            <w:r>
              <w:rPr>
                <w:spacing w:val="5"/>
              </w:rPr>
              <w:t xml:space="preserve"> </w:t>
            </w:r>
            <w:r>
              <w:rPr>
                <w:spacing w:val="-2"/>
              </w:rPr>
              <w:t>否得到定义与执行</w:t>
            </w:r>
          </w:p>
        </w:tc>
        <w:tc>
          <w:tcPr>
            <w:tcW w:w="2177" w:type="dxa"/>
            <w:vAlign w:val="top"/>
          </w:tcPr>
          <w:p>
            <w:pPr>
              <w:spacing w:line="287" w:lineRule="auto"/>
              <w:rPr>
                <w:rFonts w:ascii="Arial"/>
                <w:sz w:val="21"/>
              </w:rPr>
            </w:pPr>
            <w:r/>
          </w:p>
          <w:p>
            <w:pPr>
              <w:spacing w:line="287" w:lineRule="auto"/>
              <w:rPr>
                <w:rFonts w:ascii="Arial"/>
                <w:sz w:val="21"/>
              </w:rPr>
            </w:pPr>
            <w:r/>
          </w:p>
          <w:p>
            <w:pPr>
              <w:pStyle w:val="TableText"/>
              <w:ind w:left="254"/>
              <w:spacing w:before="48" w:line="219" w:lineRule="auto"/>
              <w:rPr/>
            </w:pPr>
            <w:r>
              <w:rPr>
                <w:spacing w:val="-1"/>
              </w:rPr>
              <w:t>M2:主数据标准体系</w:t>
            </w:r>
          </w:p>
        </w:tc>
        <w:tc>
          <w:tcPr>
            <w:tcW w:w="2182" w:type="dxa"/>
            <w:vAlign w:val="top"/>
          </w:tcPr>
          <w:p>
            <w:pPr>
              <w:pStyle w:val="TableText"/>
              <w:ind w:left="107" w:right="40" w:firstLine="169"/>
              <w:spacing w:before="67" w:line="324" w:lineRule="auto"/>
              <w:jc w:val="both"/>
              <w:rPr/>
            </w:pPr>
            <w:r>
              <w:rPr>
                <w:spacing w:val="-1"/>
              </w:rPr>
              <w:t>云端数据的体量更大、种类</w:t>
            </w:r>
            <w:r>
              <w:rPr/>
              <w:t xml:space="preserve">  </w:t>
            </w:r>
            <w:r>
              <w:rPr>
                <w:spacing w:val="-1"/>
              </w:rPr>
              <w:t>更复杂，需要构建主数据标准</w:t>
            </w:r>
            <w:r>
              <w:rPr>
                <w:spacing w:val="2"/>
              </w:rPr>
              <w:t xml:space="preserve">  </w:t>
            </w:r>
            <w:r>
              <w:rPr>
                <w:spacing w:val="5"/>
              </w:rPr>
              <w:t>体系，明确数据分类、描述、</w:t>
            </w:r>
            <w:r>
              <w:rPr>
                <w:spacing w:val="8"/>
              </w:rPr>
              <w:t xml:space="preserve"> </w:t>
            </w:r>
            <w:r>
              <w:rPr>
                <w:spacing w:val="-1"/>
              </w:rPr>
              <w:t>编码等标准规则，形成主数据</w:t>
            </w:r>
            <w:r>
              <w:rPr>
                <w:spacing w:val="2"/>
              </w:rPr>
              <w:t xml:space="preserve">  </w:t>
            </w:r>
            <w:r>
              <w:rPr>
                <w:spacing w:val="2"/>
              </w:rPr>
              <w:t>管理的基础</w:t>
            </w:r>
          </w:p>
        </w:tc>
      </w:tr>
      <w:tr>
        <w:trPr>
          <w:trHeight w:val="569" w:hRule="atLeast"/>
        </w:trPr>
        <w:tc>
          <w:tcPr>
            <w:tcW w:w="1273" w:type="dxa"/>
            <w:vAlign w:val="top"/>
            <w:vMerge w:val="continue"/>
            <w:tcBorders>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77" w:type="dxa"/>
            <w:vAlign w:val="top"/>
          </w:tcPr>
          <w:p>
            <w:pPr>
              <w:pStyle w:val="TableText"/>
              <w:ind w:left="254"/>
              <w:spacing w:before="207" w:line="219" w:lineRule="auto"/>
              <w:rPr/>
            </w:pPr>
            <w:r>
              <w:rPr>
                <w:spacing w:val="-1"/>
              </w:rPr>
              <w:t>M3:主数据管理过程</w:t>
            </w:r>
          </w:p>
        </w:tc>
        <w:tc>
          <w:tcPr>
            <w:tcW w:w="2182" w:type="dxa"/>
            <w:vAlign w:val="top"/>
          </w:tcPr>
          <w:p>
            <w:pPr>
              <w:pStyle w:val="TableText"/>
              <w:ind w:left="117" w:right="110" w:firstLine="149"/>
              <w:spacing w:before="67" w:line="288" w:lineRule="auto"/>
              <w:rPr/>
            </w:pPr>
            <w:r>
              <w:rPr>
                <w:spacing w:val="-1"/>
              </w:rPr>
              <w:t>针对主数据管理需求，制订</w:t>
            </w:r>
            <w:r>
              <w:rPr>
                <w:spacing w:val="5"/>
              </w:rPr>
              <w:t xml:space="preserve"> </w:t>
            </w:r>
            <w:r>
              <w:rPr>
                <w:spacing w:val="-2"/>
              </w:rPr>
              <w:t>管理规范/程序</w:t>
            </w:r>
          </w:p>
        </w:tc>
      </w:tr>
      <w:tr>
        <w:trPr>
          <w:trHeight w:val="819" w:hRule="atLeast"/>
        </w:trPr>
        <w:tc>
          <w:tcPr>
            <w:tcW w:w="1273" w:type="dxa"/>
            <w:vAlign w:val="top"/>
            <w:vMerge w:val="continue"/>
            <w:tcBorders>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77" w:type="dxa"/>
            <w:vAlign w:val="top"/>
          </w:tcPr>
          <w:p>
            <w:pPr>
              <w:pStyle w:val="TableText"/>
              <w:ind w:left="254" w:right="199" w:hanging="10"/>
              <w:spacing w:before="208" w:line="270" w:lineRule="auto"/>
              <w:rPr/>
            </w:pPr>
            <w:r>
              <w:rPr>
                <w:spacing w:val="-1"/>
              </w:rPr>
              <w:t>M4:历史信息指导主数据管</w:t>
            </w:r>
            <w:r>
              <w:rPr>
                <w:spacing w:val="10"/>
              </w:rPr>
              <w:t xml:space="preserve"> </w:t>
            </w:r>
            <w:r>
              <w:rPr>
                <w:spacing w:val="-2"/>
              </w:rPr>
              <w:t>理活动</w:t>
            </w:r>
          </w:p>
        </w:tc>
        <w:tc>
          <w:tcPr>
            <w:tcW w:w="2182" w:type="dxa"/>
            <w:vAlign w:val="top"/>
          </w:tcPr>
          <w:p>
            <w:pPr>
              <w:pStyle w:val="TableText"/>
              <w:ind w:left="257"/>
              <w:spacing w:before="68" w:line="219" w:lineRule="auto"/>
              <w:rPr/>
            </w:pPr>
            <w:r>
              <w:rPr>
                <w:spacing w:val="-1"/>
              </w:rPr>
              <w:t>结合对于主数据使用和变</w:t>
            </w:r>
          </w:p>
          <w:p>
            <w:pPr>
              <w:pStyle w:val="TableText"/>
              <w:ind w:left="136" w:right="122" w:hanging="29"/>
              <w:spacing w:before="101" w:line="282" w:lineRule="auto"/>
              <w:rPr/>
            </w:pPr>
            <w:r>
              <w:rPr>
                <w:spacing w:val="-1"/>
              </w:rPr>
              <w:t>更过程的历史数据，加强对主</w:t>
            </w:r>
            <w:r>
              <w:rPr>
                <w:spacing w:val="4"/>
              </w:rPr>
              <w:t xml:space="preserve"> </w:t>
            </w:r>
            <w:r>
              <w:rPr>
                <w:spacing w:val="-1"/>
              </w:rPr>
              <w:t>数据活动的管理</w:t>
            </w:r>
          </w:p>
        </w:tc>
      </w:tr>
      <w:tr>
        <w:trPr>
          <w:trHeight w:val="1688" w:hRule="atLeast"/>
        </w:trPr>
        <w:tc>
          <w:tcPr>
            <w:tcW w:w="1273" w:type="dxa"/>
            <w:vAlign w:val="top"/>
            <w:vMerge w:val="continue"/>
            <w:tcBorders>
              <w:top w:val="nil"/>
            </w:tcBorders>
          </w:tcPr>
          <w:p>
            <w:pPr>
              <w:rPr>
                <w:rFonts w:ascii="Arial"/>
                <w:sz w:val="21"/>
              </w:rPr>
            </w:pPr>
            <w:r/>
          </w:p>
        </w:tc>
        <w:tc>
          <w:tcPr>
            <w:tcW w:w="1948" w:type="dxa"/>
            <w:vAlign w:val="top"/>
            <w:vMerge w:val="continue"/>
            <w:tcBorders>
              <w:top w:val="nil"/>
            </w:tcBorders>
          </w:tcPr>
          <w:p>
            <w:pPr>
              <w:rPr>
                <w:rFonts w:ascii="Arial"/>
                <w:sz w:val="21"/>
              </w:rPr>
            </w:pPr>
            <w:r/>
          </w:p>
        </w:tc>
        <w:tc>
          <w:tcPr>
            <w:tcW w:w="2177" w:type="dxa"/>
            <w:vAlign w:val="top"/>
          </w:tcPr>
          <w:p>
            <w:pPr>
              <w:spacing w:line="358" w:lineRule="auto"/>
              <w:rPr>
                <w:rFonts w:ascii="Arial"/>
                <w:sz w:val="21"/>
              </w:rPr>
            </w:pPr>
            <w:r/>
          </w:p>
          <w:p>
            <w:pPr>
              <w:spacing w:line="358" w:lineRule="auto"/>
              <w:rPr>
                <w:rFonts w:ascii="Arial"/>
                <w:sz w:val="21"/>
              </w:rPr>
            </w:pPr>
            <w:r/>
          </w:p>
          <w:p>
            <w:pPr>
              <w:pStyle w:val="TableText"/>
              <w:ind w:left="254"/>
              <w:spacing w:before="49" w:line="220" w:lineRule="auto"/>
              <w:rPr/>
            </w:pPr>
            <w:r>
              <w:rPr>
                <w:spacing w:val="-1"/>
              </w:rPr>
              <w:t>M5:量化目标</w:t>
            </w:r>
          </w:p>
        </w:tc>
        <w:tc>
          <w:tcPr>
            <w:tcW w:w="2182" w:type="dxa"/>
            <w:vAlign w:val="top"/>
          </w:tcPr>
          <w:p>
            <w:pPr>
              <w:pStyle w:val="TableText"/>
              <w:ind w:left="107" w:right="120" w:firstLine="149"/>
              <w:spacing w:before="98" w:line="322" w:lineRule="auto"/>
              <w:rPr/>
            </w:pPr>
            <w:r>
              <w:rPr>
                <w:spacing w:val="1"/>
              </w:rPr>
              <w:t>建立量化管理的规范和制</w:t>
            </w:r>
            <w:r>
              <w:rPr/>
              <w:t xml:space="preserve">   </w:t>
            </w:r>
            <w:r>
              <w:rPr>
                <w:spacing w:val="-1"/>
              </w:rPr>
              <w:t>度，对主数据的管理过程进行</w:t>
            </w:r>
            <w:r>
              <w:rPr>
                <w:spacing w:val="6"/>
              </w:rPr>
              <w:t xml:space="preserve"> </w:t>
            </w:r>
            <w:r>
              <w:rPr>
                <w:spacing w:val="-1"/>
              </w:rPr>
              <w:t>量化考核和评价，细化管理过</w:t>
            </w:r>
            <w:r>
              <w:rPr>
                <w:spacing w:val="6"/>
              </w:rPr>
              <w:t xml:space="preserve"> </w:t>
            </w:r>
            <w:r>
              <w:rPr>
                <w:spacing w:val="-1"/>
              </w:rPr>
              <w:t>程的改进，不断提升主数据管</w:t>
            </w:r>
            <w:r>
              <w:rPr>
                <w:spacing w:val="6"/>
              </w:rPr>
              <w:t xml:space="preserve"> </w:t>
            </w:r>
            <w:r>
              <w:rPr>
                <w:spacing w:val="-1"/>
              </w:rPr>
              <w:t>理能力和水平，促进云端数据</w:t>
            </w:r>
            <w:r>
              <w:rPr>
                <w:spacing w:val="4"/>
              </w:rPr>
              <w:t xml:space="preserve"> </w:t>
            </w:r>
            <w:r>
              <w:rPr/>
              <w:t>治理的绩效</w:t>
            </w:r>
          </w:p>
        </w:tc>
      </w:tr>
      <w:tr>
        <w:trPr>
          <w:trHeight w:val="1429" w:hRule="atLeast"/>
        </w:trPr>
        <w:tc>
          <w:tcPr>
            <w:tcW w:w="1273"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TableText"/>
              <w:ind w:left="104" w:right="113" w:firstLine="110"/>
              <w:spacing w:before="49" w:line="314" w:lineRule="auto"/>
              <w:rPr/>
            </w:pPr>
            <w:r>
              <w:rPr>
                <w:spacing w:val="-1"/>
              </w:rPr>
              <w:t>G3:管理主数</w:t>
            </w:r>
            <w:r>
              <w:rPr/>
              <w:t xml:space="preserve">  </w:t>
            </w:r>
            <w:r>
              <w:rPr>
                <w:spacing w:val="-1"/>
              </w:rPr>
              <w:t>据质量，确保主</w:t>
            </w:r>
            <w:r>
              <w:rPr/>
              <w:t xml:space="preserve"> </w:t>
            </w:r>
            <w:r>
              <w:rPr>
                <w:spacing w:val="-2"/>
              </w:rPr>
              <w:t>数据的应用基于</w:t>
            </w:r>
            <w:r>
              <w:rPr>
                <w:spacing w:val="5"/>
              </w:rPr>
              <w:t xml:space="preserve"> </w:t>
            </w:r>
            <w:r>
              <w:rPr>
                <w:spacing w:val="-2"/>
              </w:rPr>
              <w:t>准确的基础</w:t>
            </w:r>
          </w:p>
        </w:tc>
        <w:tc>
          <w:tcPr>
            <w:tcW w:w="1948"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01" w:right="255" w:firstLine="160"/>
              <w:spacing w:before="49" w:line="276" w:lineRule="auto"/>
              <w:rPr/>
            </w:pPr>
            <w:r>
              <w:rPr>
                <w:spacing w:val="-1"/>
              </w:rPr>
              <w:t>Q3:纳入管理前的主数</w:t>
            </w:r>
            <w:r>
              <w:rPr>
                <w:spacing w:val="5"/>
              </w:rPr>
              <w:t xml:space="preserve"> </w:t>
            </w:r>
            <w:r>
              <w:rPr>
                <w:spacing w:val="-1"/>
              </w:rPr>
              <w:t>据是否经过分析和筛选</w:t>
            </w:r>
          </w:p>
        </w:tc>
        <w:tc>
          <w:tcPr>
            <w:tcW w:w="2177" w:type="dxa"/>
            <w:vAlign w:val="top"/>
          </w:tcPr>
          <w:p>
            <w:pPr>
              <w:spacing w:line="294" w:lineRule="auto"/>
              <w:rPr>
                <w:rFonts w:ascii="Arial"/>
                <w:sz w:val="21"/>
              </w:rPr>
            </w:pPr>
            <w:r/>
          </w:p>
          <w:p>
            <w:pPr>
              <w:spacing w:line="294" w:lineRule="auto"/>
              <w:rPr>
                <w:rFonts w:ascii="Arial"/>
                <w:sz w:val="21"/>
              </w:rPr>
            </w:pPr>
            <w:r/>
          </w:p>
          <w:p>
            <w:pPr>
              <w:pStyle w:val="TableText"/>
              <w:ind w:left="254"/>
              <w:spacing w:before="49" w:line="219" w:lineRule="auto"/>
              <w:rPr/>
            </w:pPr>
            <w:r>
              <w:rPr>
                <w:spacing w:val="-1"/>
              </w:rPr>
              <w:t>M6:主数据共享</w:t>
            </w:r>
          </w:p>
        </w:tc>
        <w:tc>
          <w:tcPr>
            <w:tcW w:w="2182" w:type="dxa"/>
            <w:vAlign w:val="top"/>
          </w:tcPr>
          <w:p>
            <w:pPr>
              <w:pStyle w:val="TableText"/>
              <w:ind w:left="107" w:right="122" w:firstLine="109"/>
              <w:spacing w:before="92" w:line="302" w:lineRule="auto"/>
              <w:rPr/>
            </w:pPr>
            <w:r>
              <w:rPr>
                <w:spacing w:val="1"/>
              </w:rPr>
              <w:t>列表的维护(增删改和冲突  </w:t>
            </w:r>
            <w:r>
              <w:rPr>
                <w:spacing w:val="2"/>
              </w:rPr>
              <w:t>处理)由各部门通过一系列讨</w:t>
            </w:r>
            <w:r>
              <w:rPr>
                <w:spacing w:val="4"/>
              </w:rPr>
              <w:t xml:space="preserve"> </w:t>
            </w:r>
            <w:r>
              <w:rPr>
                <w:spacing w:val="-1"/>
              </w:rPr>
              <w:t>论和会议进行处理，以确保主</w:t>
            </w:r>
          </w:p>
          <w:p>
            <w:pPr>
              <w:pStyle w:val="TableText"/>
              <w:ind w:left="117" w:right="192" w:firstLine="69"/>
              <w:spacing w:before="112" w:line="283" w:lineRule="auto"/>
              <w:rPr/>
            </w:pPr>
            <w:r>
              <w:rPr>
                <w:spacing w:val="-1"/>
              </w:rPr>
              <w:t>数据的共享符合相关部门要</w:t>
            </w:r>
            <w:r>
              <w:rPr>
                <w:spacing w:val="3"/>
              </w:rPr>
              <w:t xml:space="preserve"> </w:t>
            </w:r>
            <w:r>
              <w:rPr>
                <w:spacing w:val="-2"/>
              </w:rPr>
              <w:t>求和需求</w:t>
            </w:r>
          </w:p>
        </w:tc>
      </w:tr>
      <w:tr>
        <w:trPr>
          <w:trHeight w:val="1658" w:hRule="atLeast"/>
        </w:trPr>
        <w:tc>
          <w:tcPr>
            <w:tcW w:w="1273" w:type="dxa"/>
            <w:vAlign w:val="top"/>
            <w:vMerge w:val="continue"/>
            <w:tcBorders>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77" w:type="dxa"/>
            <w:vAlign w:val="top"/>
          </w:tcPr>
          <w:p>
            <w:pPr>
              <w:spacing w:line="354" w:lineRule="auto"/>
              <w:rPr>
                <w:rFonts w:ascii="Arial"/>
                <w:sz w:val="21"/>
              </w:rPr>
            </w:pPr>
            <w:r/>
          </w:p>
          <w:p>
            <w:pPr>
              <w:spacing w:line="355" w:lineRule="auto"/>
              <w:rPr>
                <w:rFonts w:ascii="Arial"/>
                <w:sz w:val="21"/>
              </w:rPr>
            </w:pPr>
            <w:r/>
          </w:p>
          <w:p>
            <w:pPr>
              <w:pStyle w:val="TableText"/>
              <w:ind w:left="254"/>
              <w:spacing w:before="48" w:line="219" w:lineRule="auto"/>
              <w:rPr/>
            </w:pPr>
            <w:r>
              <w:rPr>
                <w:spacing w:val="-1"/>
              </w:rPr>
              <w:t>M7:主数据自动存储管理</w:t>
            </w:r>
          </w:p>
        </w:tc>
        <w:tc>
          <w:tcPr>
            <w:tcW w:w="2182" w:type="dxa"/>
            <w:vAlign w:val="top"/>
          </w:tcPr>
          <w:p>
            <w:pPr>
              <w:pStyle w:val="TableText"/>
              <w:ind w:left="257"/>
              <w:spacing w:before="82" w:line="219" w:lineRule="auto"/>
              <w:rPr/>
            </w:pPr>
            <w:r>
              <w:rPr/>
              <w:t>当需要对主数据进行增删</w:t>
            </w:r>
          </w:p>
          <w:p>
            <w:pPr>
              <w:pStyle w:val="TableText"/>
              <w:ind w:left="107"/>
              <w:spacing w:before="102" w:line="219" w:lineRule="auto"/>
              <w:rPr/>
            </w:pPr>
            <w:r>
              <w:rPr>
                <w:spacing w:val="2"/>
              </w:rPr>
              <w:t>改时，外部应用(请求发起端)</w:t>
            </w:r>
          </w:p>
          <w:p>
            <w:pPr>
              <w:pStyle w:val="TableText"/>
              <w:ind w:left="107" w:right="122" w:firstLine="80"/>
              <w:spacing w:before="101" w:line="276" w:lineRule="auto"/>
              <w:rPr/>
            </w:pPr>
            <w:r>
              <w:rPr>
                <w:spacing w:val="-1"/>
              </w:rPr>
              <w:t>将请求更新主数据主机中的</w:t>
            </w:r>
            <w:r>
              <w:rPr>
                <w:spacing w:val="3"/>
              </w:rPr>
              <w:t xml:space="preserve">  </w:t>
            </w:r>
            <w:r>
              <w:rPr>
                <w:spacing w:val="-1"/>
              </w:rPr>
              <w:t>数据，并调用数据所有者所在</w:t>
            </w:r>
          </w:p>
          <w:p>
            <w:pPr>
              <w:pStyle w:val="TableText"/>
              <w:ind w:left="127" w:right="178" w:firstLine="60"/>
              <w:spacing w:before="101" w:line="281" w:lineRule="auto"/>
              <w:rPr/>
            </w:pPr>
            <w:r>
              <w:rPr/>
              <w:t>的应用(通过接口)来更新对</w:t>
            </w:r>
            <w:r>
              <w:rPr>
                <w:spacing w:val="5"/>
              </w:rPr>
              <w:t xml:space="preserve"> </w:t>
            </w:r>
            <w:r>
              <w:rPr>
                <w:spacing w:val="-2"/>
              </w:rPr>
              <w:t>应的数据</w:t>
            </w:r>
          </w:p>
        </w:tc>
      </w:tr>
      <w:tr>
        <w:trPr>
          <w:trHeight w:val="1688" w:hRule="atLeast"/>
        </w:trPr>
        <w:tc>
          <w:tcPr>
            <w:tcW w:w="1273" w:type="dxa"/>
            <w:vAlign w:val="top"/>
            <w:vMerge w:val="continue"/>
            <w:tcBorders>
              <w:top w:val="nil"/>
              <w:bottom w:val="nil"/>
            </w:tcBorders>
          </w:tcPr>
          <w:p>
            <w:pPr>
              <w:rPr>
                <w:rFonts w:ascii="Arial"/>
                <w:sz w:val="21"/>
              </w:rPr>
            </w:pPr>
            <w:r/>
          </w:p>
        </w:tc>
        <w:tc>
          <w:tcPr>
            <w:tcW w:w="1948" w:type="dxa"/>
            <w:vAlign w:val="top"/>
            <w:vMerge w:val="continue"/>
            <w:tcBorders>
              <w:top w:val="nil"/>
              <w:bottom w:val="nil"/>
            </w:tcBorders>
          </w:tcPr>
          <w:p>
            <w:pPr>
              <w:rPr>
                <w:rFonts w:ascii="Arial"/>
                <w:sz w:val="21"/>
              </w:rPr>
            </w:pPr>
            <w:r/>
          </w:p>
        </w:tc>
        <w:tc>
          <w:tcPr>
            <w:tcW w:w="2177" w:type="dxa"/>
            <w:vAlign w:val="top"/>
          </w:tcPr>
          <w:p>
            <w:pPr>
              <w:rPr>
                <w:rFonts w:ascii="Arial"/>
                <w:sz w:val="21"/>
              </w:rPr>
            </w:pPr>
            <w:r/>
          </w:p>
          <w:p>
            <w:pPr>
              <w:rPr>
                <w:rFonts w:ascii="Arial"/>
                <w:sz w:val="21"/>
              </w:rPr>
            </w:pPr>
            <w:r/>
          </w:p>
          <w:p>
            <w:pPr>
              <w:spacing w:line="241" w:lineRule="auto"/>
              <w:rPr>
                <w:rFonts w:ascii="Arial"/>
                <w:sz w:val="21"/>
              </w:rPr>
            </w:pPr>
            <w:r/>
          </w:p>
          <w:p>
            <w:pPr>
              <w:pStyle w:val="TableText"/>
              <w:ind w:left="254"/>
              <w:spacing w:before="49" w:line="220" w:lineRule="auto"/>
              <w:rPr/>
            </w:pPr>
            <w:r>
              <w:rPr>
                <w:spacing w:val="-1"/>
              </w:rPr>
              <w:t>M8:唯一标识</w:t>
            </w:r>
          </w:p>
        </w:tc>
        <w:tc>
          <w:tcPr>
            <w:tcW w:w="2182" w:type="dxa"/>
            <w:vAlign w:val="top"/>
          </w:tcPr>
          <w:p>
            <w:pPr>
              <w:pStyle w:val="TableText"/>
              <w:ind w:left="257"/>
              <w:spacing w:before="94" w:line="219" w:lineRule="auto"/>
              <w:rPr/>
            </w:pPr>
            <w:r>
              <w:rPr>
                <w:spacing w:val="-1"/>
              </w:rPr>
              <w:t>通过数据质量控制和数据</w:t>
            </w:r>
          </w:p>
          <w:p>
            <w:pPr>
              <w:pStyle w:val="TableText"/>
              <w:ind w:left="107" w:right="120" w:firstLine="80"/>
              <w:spacing w:before="101" w:line="307" w:lineRule="auto"/>
              <w:rPr/>
            </w:pPr>
            <w:r>
              <w:rPr>
                <w:spacing w:val="-1"/>
              </w:rPr>
              <w:t>清洗等手段匹配相同源或多</w:t>
            </w:r>
            <w:r>
              <w:rPr>
                <w:spacing w:val="2"/>
              </w:rPr>
              <w:t xml:space="preserve">  </w:t>
            </w:r>
            <w:r>
              <w:rPr>
                <w:spacing w:val="-1"/>
              </w:rPr>
              <w:t>个源中的重复可疑项，解决错</w:t>
            </w:r>
            <w:r>
              <w:rPr>
                <w:spacing w:val="6"/>
              </w:rPr>
              <w:t xml:space="preserve"> </w:t>
            </w:r>
            <w:r>
              <w:rPr>
                <w:spacing w:val="-1"/>
              </w:rPr>
              <w:t>误和不完整的数据，将云端相</w:t>
            </w:r>
          </w:p>
          <w:p>
            <w:pPr>
              <w:pStyle w:val="TableText"/>
              <w:ind w:left="127" w:right="176" w:firstLine="60"/>
              <w:spacing w:before="100" w:line="280" w:lineRule="auto"/>
              <w:rPr/>
            </w:pPr>
            <w:r>
              <w:rPr/>
              <w:t>同数据的多个版本合并为一</w:t>
            </w:r>
            <w:r>
              <w:rPr>
                <w:spacing w:val="7"/>
              </w:rPr>
              <w:t xml:space="preserve"> </w:t>
            </w:r>
            <w:r>
              <w:rPr>
                <w:spacing w:val="-1"/>
              </w:rPr>
              <w:t>个真实版本</w:t>
            </w:r>
          </w:p>
        </w:tc>
      </w:tr>
      <w:tr>
        <w:trPr>
          <w:trHeight w:val="1134" w:hRule="atLeast"/>
        </w:trPr>
        <w:tc>
          <w:tcPr>
            <w:tcW w:w="1273" w:type="dxa"/>
            <w:vAlign w:val="top"/>
            <w:vMerge w:val="continue"/>
            <w:tcBorders>
              <w:top w:val="nil"/>
            </w:tcBorders>
          </w:tcPr>
          <w:p>
            <w:pPr>
              <w:rPr>
                <w:rFonts w:ascii="Arial"/>
                <w:sz w:val="21"/>
              </w:rPr>
            </w:pPr>
            <w:r/>
          </w:p>
        </w:tc>
        <w:tc>
          <w:tcPr>
            <w:tcW w:w="1948" w:type="dxa"/>
            <w:vAlign w:val="top"/>
            <w:vMerge w:val="continue"/>
            <w:tcBorders>
              <w:top w:val="nil"/>
            </w:tcBorders>
          </w:tcPr>
          <w:p>
            <w:pPr>
              <w:rPr>
                <w:rFonts w:ascii="Arial"/>
                <w:sz w:val="21"/>
              </w:rPr>
            </w:pPr>
            <w:r/>
          </w:p>
        </w:tc>
        <w:tc>
          <w:tcPr>
            <w:tcW w:w="2177" w:type="dxa"/>
            <w:vAlign w:val="top"/>
          </w:tcPr>
          <w:p>
            <w:pPr>
              <w:spacing w:line="444" w:lineRule="auto"/>
              <w:rPr>
                <w:rFonts w:ascii="Arial"/>
                <w:sz w:val="21"/>
              </w:rPr>
            </w:pPr>
            <w:r/>
          </w:p>
          <w:p>
            <w:pPr>
              <w:pStyle w:val="TableText"/>
              <w:ind w:left="254"/>
              <w:spacing w:before="49" w:line="219" w:lineRule="auto"/>
              <w:rPr/>
            </w:pPr>
            <w:r>
              <w:rPr>
                <w:spacing w:val="-1"/>
              </w:rPr>
              <w:t>M9:主数据管理质量</w:t>
            </w:r>
          </w:p>
        </w:tc>
        <w:tc>
          <w:tcPr>
            <w:tcW w:w="2182" w:type="dxa"/>
            <w:vAlign w:val="top"/>
          </w:tcPr>
          <w:p>
            <w:pPr>
              <w:pStyle w:val="TableText"/>
              <w:ind w:left="257"/>
              <w:spacing w:before="96" w:line="219" w:lineRule="auto"/>
              <w:rPr/>
            </w:pPr>
            <w:r>
              <w:rPr>
                <w:spacing w:val="-1"/>
              </w:rPr>
              <w:t>组织需要高质量的主数据</w:t>
            </w:r>
          </w:p>
          <w:p>
            <w:pPr>
              <w:pStyle w:val="TableText"/>
              <w:ind w:left="107"/>
              <w:spacing w:before="92" w:line="219" w:lineRule="auto"/>
              <w:rPr/>
            </w:pPr>
            <w:r>
              <w:rPr>
                <w:spacing w:val="-1"/>
              </w:rPr>
              <w:t>提升云端数据分析；同时，也</w:t>
            </w:r>
          </w:p>
          <w:p>
            <w:pPr>
              <w:pStyle w:val="TableText"/>
              <w:ind w:left="127" w:right="192" w:firstLine="60"/>
              <w:spacing w:before="111" w:line="282" w:lineRule="auto"/>
              <w:rPr/>
            </w:pPr>
            <w:r>
              <w:rPr>
                <w:spacing w:val="-1"/>
              </w:rPr>
              <w:t>可以利用云端海量数据提高</w:t>
            </w:r>
            <w:r>
              <w:rPr>
                <w:spacing w:val="3"/>
              </w:rPr>
              <w:t xml:space="preserve"> </w:t>
            </w:r>
            <w:r>
              <w:rPr>
                <w:spacing w:val="-1"/>
              </w:rPr>
              <w:t>主数据的质量</w:t>
            </w:r>
          </w:p>
        </w:tc>
      </w:tr>
    </w:tbl>
    <w:p>
      <w:pPr>
        <w:pStyle w:val="BodyText"/>
        <w:rPr/>
      </w:pPr>
      <w:r/>
    </w:p>
    <w:p>
      <w:pPr>
        <w:sectPr>
          <w:footerReference w:type="default" r:id="rId226"/>
          <w:pgSz w:w="8870" w:h="13400"/>
          <w:pgMar w:top="400" w:right="614" w:bottom="565" w:left="444" w:header="0" w:footer="346" w:gutter="0"/>
        </w:sectPr>
        <w:rPr/>
      </w:pPr>
    </w:p>
    <w:p>
      <w:pPr>
        <w:ind w:left="90"/>
        <w:spacing w:before="170"/>
        <w:rPr>
          <w:rFonts w:ascii="SimSun" w:hAnsi="SimSun" w:eastAsia="SimSun" w:cs="SimSun"/>
          <w:sz w:val="22"/>
          <w:szCs w:val="22"/>
        </w:rPr>
      </w:pPr>
      <w:bookmarkStart w:name="bookmark48" w:id="43"/>
      <w:bookmarkEnd w:id="43"/>
      <w:bookmarkStart w:name="bookmark49" w:id="44"/>
      <w:bookmarkEnd w:id="44"/>
      <w:bookmarkStart w:name="bookmark50" w:id="45"/>
      <w:bookmarkEnd w:id="45"/>
      <w:r>
        <w:rPr>
          <w:rFonts w:ascii="SimSun" w:hAnsi="SimSun" w:eastAsia="SimSun" w:cs="SimSun"/>
          <w:sz w:val="22"/>
          <w:szCs w:val="22"/>
          <w:position w:val="-10"/>
        </w:rPr>
        <w:drawing>
          <wp:inline distT="0" distB="0" distL="0" distR="0">
            <wp:extent cx="6365" cy="228551"/>
            <wp:effectExtent l="0" t="0" r="0" b="0"/>
            <wp:docPr id="166" name="IM 166"/>
            <wp:cNvGraphicFramePr/>
            <a:graphic>
              <a:graphicData uri="http://schemas.openxmlformats.org/drawingml/2006/picture">
                <pic:pic>
                  <pic:nvPicPr>
                    <pic:cNvPr id="166" name="IM 166"/>
                    <pic:cNvPicPr/>
                  </pic:nvPicPr>
                  <pic:blipFill>
                    <a:blip r:embed="rId228"/>
                    <a:stretch>
                      <a:fillRect/>
                    </a:stretch>
                  </pic:blipFill>
                  <pic:spPr>
                    <a:xfrm rot="0">
                      <a:off x="0" y="0"/>
                      <a:ext cx="6365" cy="228551"/>
                    </a:xfrm>
                    <a:prstGeom prst="rect">
                      <a:avLst/>
                    </a:prstGeom>
                  </pic:spPr>
                </pic:pic>
              </a:graphicData>
            </a:graphic>
          </wp:inline>
        </w:drawing>
      </w:r>
      <w:r>
        <w:rPr>
          <w:rFonts w:ascii="SimSun" w:hAnsi="SimSun" w:eastAsia="SimSun" w:cs="SimSun"/>
          <w:sz w:val="22"/>
          <w:szCs w:val="22"/>
          <w:spacing w:val="4"/>
        </w:rPr>
        <w:t xml:space="preserve"> </w:t>
      </w:r>
      <w:r>
        <w:rPr>
          <w:rFonts w:ascii="SimSun" w:hAnsi="SimSun" w:eastAsia="SimSun" w:cs="SimSun"/>
          <w:sz w:val="22"/>
          <w:szCs w:val="22"/>
          <w:b/>
          <w:bCs/>
          <w:spacing w:val="-16"/>
        </w:rPr>
        <w:t>■云端数据治理</w:t>
      </w:r>
    </w:p>
    <w:p>
      <w:pPr>
        <w:pStyle w:val="BodyText"/>
        <w:spacing w:line="281" w:lineRule="auto"/>
        <w:rPr/>
      </w:pPr>
      <w:r/>
    </w:p>
    <w:p>
      <w:pPr>
        <w:ind w:left="7112"/>
        <w:spacing w:before="52" w:line="220" w:lineRule="auto"/>
        <w:rPr>
          <w:rFonts w:ascii="SimSun" w:hAnsi="SimSun" w:eastAsia="SimSun" w:cs="SimSun"/>
          <w:sz w:val="16"/>
          <w:szCs w:val="16"/>
        </w:rPr>
      </w:pPr>
      <w:r>
        <w:rPr>
          <w:rFonts w:ascii="SimSun" w:hAnsi="SimSun" w:eastAsia="SimSun" w:cs="SimSun"/>
          <w:sz w:val="16"/>
          <w:szCs w:val="16"/>
          <w:b/>
          <w:bCs/>
          <w:spacing w:val="-4"/>
        </w:rPr>
        <w:t>续表</w:t>
      </w:r>
    </w:p>
    <w:p>
      <w:pPr>
        <w:spacing w:line="19"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1937"/>
        <w:gridCol w:w="2197"/>
        <w:gridCol w:w="2172"/>
      </w:tblGrid>
      <w:tr>
        <w:trPr>
          <w:trHeight w:val="314" w:hRule="atLeast"/>
        </w:trPr>
        <w:tc>
          <w:tcPr>
            <w:tcW w:w="1293" w:type="dxa"/>
            <w:vAlign w:val="top"/>
          </w:tcPr>
          <w:p>
            <w:pPr>
              <w:pStyle w:val="TableText"/>
              <w:ind w:left="374"/>
              <w:spacing w:before="81" w:line="220" w:lineRule="auto"/>
              <w:rPr/>
            </w:pPr>
            <w:r>
              <w:rPr>
                <w:spacing w:val="-12"/>
              </w:rPr>
              <w:t>目    标</w:t>
            </w:r>
          </w:p>
        </w:tc>
        <w:tc>
          <w:tcPr>
            <w:tcW w:w="1937" w:type="dxa"/>
            <w:vAlign w:val="top"/>
          </w:tcPr>
          <w:p>
            <w:pPr>
              <w:pStyle w:val="TableText"/>
              <w:ind w:left="672"/>
              <w:spacing w:before="83" w:line="221" w:lineRule="auto"/>
              <w:rPr/>
            </w:pPr>
            <w:r>
              <w:rPr>
                <w:spacing w:val="-12"/>
              </w:rPr>
              <w:t>问</w:t>
            </w:r>
            <w:r>
              <w:rPr>
                <w:spacing w:val="10"/>
              </w:rPr>
              <w:t xml:space="preserve">   </w:t>
            </w:r>
            <w:r>
              <w:rPr>
                <w:spacing w:val="-12"/>
              </w:rPr>
              <w:t>题</w:t>
            </w:r>
          </w:p>
        </w:tc>
        <w:tc>
          <w:tcPr>
            <w:tcW w:w="2197" w:type="dxa"/>
            <w:vAlign w:val="top"/>
          </w:tcPr>
          <w:p>
            <w:pPr>
              <w:pStyle w:val="TableText"/>
              <w:ind w:left="714"/>
              <w:spacing w:before="81" w:line="220" w:lineRule="auto"/>
              <w:rPr/>
            </w:pPr>
            <w:r>
              <w:rPr>
                <w:spacing w:val="-4"/>
              </w:rPr>
              <w:t>度</w:t>
            </w:r>
            <w:r>
              <w:rPr>
                <w:spacing w:val="14"/>
              </w:rPr>
              <w:t xml:space="preserve">  </w:t>
            </w:r>
            <w:r>
              <w:rPr>
                <w:spacing w:val="-4"/>
              </w:rPr>
              <w:t>量</w:t>
            </w:r>
            <w:r>
              <w:rPr>
                <w:spacing w:val="15"/>
              </w:rPr>
              <w:t xml:space="preserve">  </w:t>
            </w:r>
            <w:r>
              <w:rPr>
                <w:spacing w:val="-4"/>
              </w:rPr>
              <w:t>项</w:t>
            </w:r>
          </w:p>
        </w:tc>
        <w:tc>
          <w:tcPr>
            <w:tcW w:w="2172" w:type="dxa"/>
            <w:vAlign w:val="top"/>
          </w:tcPr>
          <w:p>
            <w:pPr>
              <w:pStyle w:val="TableText"/>
              <w:ind w:left="707"/>
              <w:spacing w:before="81" w:line="219" w:lineRule="auto"/>
              <w:rPr/>
            </w:pPr>
            <w:r>
              <w:rPr>
                <w:spacing w:val="3"/>
              </w:rPr>
              <w:t>度量项说明</w:t>
            </w:r>
          </w:p>
        </w:tc>
      </w:tr>
      <w:tr>
        <w:trPr>
          <w:trHeight w:val="1298" w:hRule="atLeast"/>
        </w:trPr>
        <w:tc>
          <w:tcPr>
            <w:tcW w:w="1293" w:type="dxa"/>
            <w:vAlign w:val="top"/>
          </w:tcPr>
          <w:p>
            <w:pPr>
              <w:pStyle w:val="TableText"/>
              <w:ind w:left="104" w:right="123" w:firstLine="120"/>
              <w:spacing w:before="187" w:line="295" w:lineRule="auto"/>
              <w:rPr/>
            </w:pPr>
            <w:r>
              <w:rPr>
                <w:spacing w:val="-1"/>
              </w:rPr>
              <w:t>G3:管理主数</w:t>
            </w:r>
            <w:r>
              <w:rPr/>
              <w:t xml:space="preserve">  </w:t>
            </w:r>
            <w:r>
              <w:rPr/>
              <w:t>据质量，确保主</w:t>
            </w:r>
            <w:r>
              <w:rPr>
                <w:spacing w:val="3"/>
              </w:rPr>
              <w:t xml:space="preserve"> </w:t>
            </w:r>
            <w:r>
              <w:rPr/>
              <w:t>数据的应用基于</w:t>
            </w:r>
            <w:r>
              <w:rPr>
                <w:spacing w:val="1"/>
              </w:rPr>
              <w:t xml:space="preserve"> </w:t>
            </w:r>
            <w:r>
              <w:rPr>
                <w:spacing w:val="-2"/>
              </w:rPr>
              <w:t>准确的基础</w:t>
            </w:r>
          </w:p>
        </w:tc>
        <w:tc>
          <w:tcPr>
            <w:tcW w:w="1937" w:type="dxa"/>
            <w:vAlign w:val="top"/>
          </w:tcPr>
          <w:p>
            <w:pPr>
              <w:spacing w:line="395" w:lineRule="auto"/>
              <w:rPr>
                <w:rFonts w:ascii="Arial"/>
                <w:sz w:val="21"/>
              </w:rPr>
            </w:pPr>
            <w:r/>
          </w:p>
          <w:p>
            <w:pPr>
              <w:pStyle w:val="TableText"/>
              <w:ind w:left="102" w:right="254" w:firstLine="149"/>
              <w:spacing w:before="49" w:line="270" w:lineRule="auto"/>
              <w:rPr/>
            </w:pPr>
            <w:r>
              <w:rPr>
                <w:spacing w:val="-1"/>
              </w:rPr>
              <w:t>Q3:纳入管理前的主数</w:t>
            </w:r>
            <w:r>
              <w:rPr>
                <w:spacing w:val="5"/>
              </w:rPr>
              <w:t xml:space="preserve"> </w:t>
            </w:r>
            <w:r>
              <w:rPr>
                <w:spacing w:val="-1"/>
              </w:rPr>
              <w:t>据是否经过分析和筛选</w:t>
            </w:r>
          </w:p>
        </w:tc>
        <w:tc>
          <w:tcPr>
            <w:tcW w:w="2197" w:type="dxa"/>
            <w:vAlign w:val="top"/>
          </w:tcPr>
          <w:p>
            <w:pPr>
              <w:spacing w:line="395" w:lineRule="auto"/>
              <w:rPr>
                <w:rFonts w:ascii="Arial"/>
                <w:sz w:val="21"/>
              </w:rPr>
            </w:pPr>
            <w:r/>
          </w:p>
          <w:p>
            <w:pPr>
              <w:pStyle w:val="TableText"/>
              <w:ind w:left="265" w:right="273"/>
              <w:spacing w:before="49" w:line="265" w:lineRule="auto"/>
              <w:rPr/>
            </w:pPr>
            <w:r>
              <w:rPr>
                <w:spacing w:val="-1"/>
              </w:rPr>
              <w:t>M10:统一的制订和维护标</w:t>
            </w:r>
            <w:r>
              <w:rPr>
                <w:spacing w:val="10"/>
              </w:rPr>
              <w:t xml:space="preserve"> </w:t>
            </w:r>
            <w:r>
              <w:rPr/>
              <w:t>准</w:t>
            </w:r>
          </w:p>
        </w:tc>
        <w:tc>
          <w:tcPr>
            <w:tcW w:w="2172" w:type="dxa"/>
            <w:vAlign w:val="top"/>
          </w:tcPr>
          <w:p>
            <w:pPr>
              <w:pStyle w:val="TableText"/>
              <w:ind w:left="258"/>
              <w:spacing w:before="57" w:line="219" w:lineRule="auto"/>
              <w:rPr/>
            </w:pPr>
            <w:r>
              <w:rPr>
                <w:spacing w:val="-1"/>
              </w:rPr>
              <w:t>构建通用的主数据管理基</w:t>
            </w:r>
          </w:p>
          <w:p>
            <w:pPr>
              <w:pStyle w:val="TableText"/>
              <w:ind w:left="108" w:right="98"/>
              <w:spacing w:before="71" w:line="296" w:lineRule="auto"/>
              <w:rPr/>
            </w:pPr>
            <w:r>
              <w:rPr>
                <w:spacing w:val="-1"/>
              </w:rPr>
              <w:t>础，使用集中和标准化的方法</w:t>
            </w:r>
            <w:r>
              <w:rPr>
                <w:spacing w:val="6"/>
              </w:rPr>
              <w:t xml:space="preserve"> </w:t>
            </w:r>
            <w:r>
              <w:rPr>
                <w:spacing w:val="-1"/>
              </w:rPr>
              <w:t>转换异构数据，通过使用统一</w:t>
            </w:r>
            <w:r>
              <w:rPr>
                <w:spacing w:val="5"/>
              </w:rPr>
              <w:t xml:space="preserve"> </w:t>
            </w:r>
            <w:r>
              <w:rPr/>
              <w:t>的数据标准，解决数据不一致</w:t>
            </w:r>
            <w:r>
              <w:rPr>
                <w:spacing w:val="4"/>
              </w:rPr>
              <w:t xml:space="preserve"> </w:t>
            </w:r>
            <w:r>
              <w:rPr>
                <w:spacing w:val="5"/>
              </w:rPr>
              <w:t>的问题</w:t>
            </w:r>
          </w:p>
        </w:tc>
      </w:tr>
      <w:tr>
        <w:trPr>
          <w:trHeight w:val="1298" w:hRule="atLeast"/>
        </w:trPr>
        <w:tc>
          <w:tcPr>
            <w:tcW w:w="1293" w:type="dxa"/>
            <w:vAlign w:val="top"/>
            <w:vMerge w:val="restart"/>
            <w:tcBorders>
              <w:bottom w:val="nil"/>
            </w:tcBorders>
          </w:tcPr>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04" w:right="108" w:firstLine="120"/>
              <w:spacing w:before="48" w:line="307" w:lineRule="auto"/>
              <w:rPr/>
            </w:pPr>
            <w:r>
              <w:rPr>
                <w:spacing w:val="-1"/>
              </w:rPr>
              <w:t>G4:将对组织  </w:t>
            </w:r>
            <w:r>
              <w:rPr/>
              <w:t>重要的内部标准</w:t>
            </w:r>
            <w:r>
              <w:rPr>
                <w:spacing w:val="2"/>
              </w:rPr>
              <w:t xml:space="preserve"> </w:t>
            </w:r>
            <w:r>
              <w:rPr>
                <w:spacing w:val="2"/>
              </w:rPr>
              <w:t>以及经选择的外</w:t>
            </w:r>
            <w:r>
              <w:rPr>
                <w:spacing w:val="4"/>
              </w:rPr>
              <w:t xml:space="preserve"> </w:t>
            </w:r>
            <w:r>
              <w:rPr/>
              <w:t>部标准纳入主数</w:t>
            </w:r>
            <w:r>
              <w:rPr>
                <w:spacing w:val="1"/>
              </w:rPr>
              <w:t xml:space="preserve"> </w:t>
            </w:r>
            <w:r>
              <w:rPr/>
              <w:t>据中，并与组织</w:t>
            </w:r>
            <w:r>
              <w:rPr>
                <w:spacing w:val="3"/>
              </w:rPr>
              <w:t xml:space="preserve"> </w:t>
            </w:r>
            <w:r>
              <w:rPr>
                <w:spacing w:val="2"/>
              </w:rPr>
              <w:t>的过程和标准保</w:t>
            </w:r>
            <w:r>
              <w:rPr/>
              <w:t xml:space="preserve"> </w:t>
            </w:r>
            <w:r>
              <w:rPr>
                <w:spacing w:val="-3"/>
              </w:rPr>
              <w:t>持一致</w:t>
            </w:r>
          </w:p>
        </w:tc>
        <w:tc>
          <w:tcPr>
            <w:tcW w:w="1937" w:type="dxa"/>
            <w:vAlign w:val="top"/>
            <w:vMerge w:val="restart"/>
            <w:tcBorders>
              <w:bottom w:val="nil"/>
            </w:tcBorders>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92" w:right="172" w:firstLine="160"/>
              <w:spacing w:before="49" w:line="295" w:lineRule="auto"/>
              <w:rPr/>
            </w:pPr>
            <w:r>
              <w:rPr>
                <w:spacing w:val="-1"/>
              </w:rPr>
              <w:t>Q4:主数据管理策略是</w:t>
            </w:r>
            <w:r>
              <w:rPr>
                <w:spacing w:val="2"/>
              </w:rPr>
              <w:t xml:space="preserve">  </w:t>
            </w:r>
            <w:r>
              <w:rPr>
                <w:spacing w:val="-1"/>
              </w:rPr>
              <w:t>否已确定?与内部规范和</w:t>
            </w:r>
            <w:r>
              <w:rPr/>
              <w:t xml:space="preserve">  </w:t>
            </w:r>
            <w:r>
              <w:rPr>
                <w:spacing w:val="1"/>
              </w:rPr>
              <w:t>经选择的外部要求是否一</w:t>
            </w:r>
            <w:r>
              <w:rPr/>
              <w:t xml:space="preserve"> </w:t>
            </w:r>
            <w:r>
              <w:rPr>
                <w:spacing w:val="14"/>
              </w:rPr>
              <w:t>致</w:t>
            </w:r>
          </w:p>
        </w:tc>
        <w:tc>
          <w:tcPr>
            <w:tcW w:w="2197" w:type="dxa"/>
            <w:vAlign w:val="top"/>
          </w:tcPr>
          <w:p>
            <w:pPr>
              <w:spacing w:line="263" w:lineRule="auto"/>
              <w:rPr>
                <w:rFonts w:ascii="Arial"/>
                <w:sz w:val="21"/>
              </w:rPr>
            </w:pPr>
            <w:r/>
          </w:p>
          <w:p>
            <w:pPr>
              <w:spacing w:line="264" w:lineRule="auto"/>
              <w:rPr>
                <w:rFonts w:ascii="Arial"/>
                <w:sz w:val="21"/>
              </w:rPr>
            </w:pPr>
            <w:r/>
          </w:p>
          <w:p>
            <w:pPr>
              <w:pStyle w:val="TableText"/>
              <w:ind w:left="265"/>
              <w:spacing w:before="49" w:line="219" w:lineRule="auto"/>
              <w:rPr/>
            </w:pPr>
            <w:r>
              <w:rPr>
                <w:spacing w:val="-1"/>
              </w:rPr>
              <w:t>M11:主数据监管策略</w:t>
            </w:r>
          </w:p>
        </w:tc>
        <w:tc>
          <w:tcPr>
            <w:tcW w:w="2172" w:type="dxa"/>
            <w:vAlign w:val="top"/>
          </w:tcPr>
          <w:p>
            <w:pPr>
              <w:pStyle w:val="TableText"/>
              <w:ind w:left="258"/>
              <w:spacing w:before="59" w:line="219" w:lineRule="auto"/>
              <w:rPr/>
            </w:pPr>
            <w:r>
              <w:rPr>
                <w:spacing w:val="-1"/>
              </w:rPr>
              <w:t>主数据监管是个持续的过</w:t>
            </w:r>
          </w:p>
          <w:p>
            <w:pPr>
              <w:pStyle w:val="TableText"/>
              <w:ind w:left="108" w:right="90"/>
              <w:spacing w:before="91" w:line="295" w:lineRule="auto"/>
              <w:rPr/>
            </w:pPr>
            <w:r>
              <w:rPr>
                <w:spacing w:val="-1"/>
              </w:rPr>
              <w:t>程，组织管理者通过主数据监</w:t>
            </w:r>
            <w:r>
              <w:rPr>
                <w:spacing w:val="6"/>
              </w:rPr>
              <w:t xml:space="preserve"> </w:t>
            </w:r>
            <w:r>
              <w:rPr>
                <w:spacing w:val="-1"/>
              </w:rPr>
              <w:t>管管理其主数据的质量，定义</w:t>
            </w:r>
            <w:r>
              <w:rPr>
                <w:spacing w:val="2"/>
              </w:rPr>
              <w:t xml:space="preserve"> </w:t>
            </w:r>
            <w:r>
              <w:rPr>
                <w:spacing w:val="1"/>
              </w:rPr>
              <w:t>准则、策略、流程、业务规则</w:t>
            </w:r>
            <w:r>
              <w:rPr/>
              <w:t xml:space="preserve"> </w:t>
            </w:r>
            <w:r>
              <w:rPr>
                <w:spacing w:val="3"/>
              </w:rPr>
              <w:t>以及度量值</w:t>
            </w:r>
          </w:p>
        </w:tc>
      </w:tr>
      <w:tr>
        <w:trPr>
          <w:trHeight w:val="509" w:hRule="atLeast"/>
        </w:trPr>
        <w:tc>
          <w:tcPr>
            <w:tcW w:w="1293" w:type="dxa"/>
            <w:vAlign w:val="top"/>
            <w:vMerge w:val="continue"/>
            <w:tcBorders>
              <w:top w:val="nil"/>
              <w:bottom w:val="nil"/>
            </w:tcBorders>
          </w:tcPr>
          <w:p>
            <w:pPr>
              <w:rPr>
                <w:rFonts w:ascii="Arial"/>
                <w:sz w:val="21"/>
              </w:rPr>
            </w:pPr>
            <w:r/>
          </w:p>
        </w:tc>
        <w:tc>
          <w:tcPr>
            <w:tcW w:w="1937" w:type="dxa"/>
            <w:vAlign w:val="top"/>
            <w:vMerge w:val="continue"/>
            <w:tcBorders>
              <w:top w:val="nil"/>
              <w:bottom w:val="nil"/>
            </w:tcBorders>
          </w:tcPr>
          <w:p>
            <w:pPr>
              <w:rPr>
                <w:rFonts w:ascii="Arial"/>
                <w:sz w:val="21"/>
              </w:rPr>
            </w:pPr>
            <w:r/>
          </w:p>
        </w:tc>
        <w:tc>
          <w:tcPr>
            <w:tcW w:w="2197" w:type="dxa"/>
            <w:vAlign w:val="top"/>
          </w:tcPr>
          <w:p>
            <w:pPr>
              <w:pStyle w:val="TableText"/>
              <w:ind w:left="265"/>
              <w:spacing w:before="181" w:line="220" w:lineRule="auto"/>
              <w:rPr/>
            </w:pPr>
            <w:r>
              <w:rPr>
                <w:spacing w:val="-1"/>
              </w:rPr>
              <w:t>M12:变更分析</w:t>
            </w:r>
          </w:p>
        </w:tc>
        <w:tc>
          <w:tcPr>
            <w:tcW w:w="2172" w:type="dxa"/>
            <w:vAlign w:val="top"/>
          </w:tcPr>
          <w:p>
            <w:pPr>
              <w:pStyle w:val="TableText"/>
              <w:ind w:left="98" w:right="259" w:firstLine="160"/>
              <w:spacing w:before="59" w:line="258" w:lineRule="auto"/>
              <w:rPr/>
            </w:pPr>
            <w:r>
              <w:rPr>
                <w:spacing w:val="-1"/>
              </w:rPr>
              <w:t>通过采用预测模型在变更</w:t>
            </w:r>
            <w:r>
              <w:rPr>
                <w:spacing w:val="4"/>
              </w:rPr>
              <w:t xml:space="preserve"> </w:t>
            </w:r>
            <w:r>
              <w:rPr>
                <w:spacing w:val="-1"/>
              </w:rPr>
              <w:t>前分析其影响并支撑决策</w:t>
            </w:r>
          </w:p>
        </w:tc>
      </w:tr>
      <w:tr>
        <w:trPr>
          <w:trHeight w:val="1068" w:hRule="atLeast"/>
        </w:trPr>
        <w:tc>
          <w:tcPr>
            <w:tcW w:w="1293" w:type="dxa"/>
            <w:vAlign w:val="top"/>
            <w:vMerge w:val="continue"/>
            <w:tcBorders>
              <w:top w:val="nil"/>
              <w:bottom w:val="nil"/>
            </w:tcBorders>
          </w:tcPr>
          <w:p>
            <w:pPr>
              <w:rPr>
                <w:rFonts w:ascii="Arial"/>
                <w:sz w:val="21"/>
              </w:rPr>
            </w:pPr>
            <w:r/>
          </w:p>
        </w:tc>
        <w:tc>
          <w:tcPr>
            <w:tcW w:w="1937" w:type="dxa"/>
            <w:vAlign w:val="top"/>
            <w:vMerge w:val="continue"/>
            <w:tcBorders>
              <w:top w:val="nil"/>
              <w:bottom w:val="nil"/>
            </w:tcBorders>
          </w:tcPr>
          <w:p>
            <w:pPr>
              <w:rPr>
                <w:rFonts w:ascii="Arial"/>
                <w:sz w:val="21"/>
              </w:rPr>
            </w:pPr>
            <w:r/>
          </w:p>
        </w:tc>
        <w:tc>
          <w:tcPr>
            <w:tcW w:w="2197" w:type="dxa"/>
            <w:vAlign w:val="top"/>
          </w:tcPr>
          <w:p>
            <w:pPr>
              <w:spacing w:line="410" w:lineRule="auto"/>
              <w:rPr>
                <w:rFonts w:ascii="Arial"/>
                <w:sz w:val="21"/>
              </w:rPr>
            </w:pPr>
            <w:r/>
          </w:p>
          <w:p>
            <w:pPr>
              <w:pStyle w:val="TableText"/>
              <w:ind w:left="265"/>
              <w:spacing w:before="49" w:line="219" w:lineRule="auto"/>
              <w:rPr/>
            </w:pPr>
            <w:r>
              <w:rPr>
                <w:spacing w:val="-1"/>
              </w:rPr>
              <w:t>M13:改进目标</w:t>
            </w:r>
          </w:p>
        </w:tc>
        <w:tc>
          <w:tcPr>
            <w:tcW w:w="2172" w:type="dxa"/>
            <w:vAlign w:val="top"/>
          </w:tcPr>
          <w:p>
            <w:pPr>
              <w:pStyle w:val="TableText"/>
              <w:ind w:left="258"/>
              <w:spacing w:before="62" w:line="219" w:lineRule="auto"/>
              <w:rPr/>
            </w:pPr>
            <w:r>
              <w:rPr>
                <w:spacing w:val="-1"/>
              </w:rPr>
              <w:t>主数据的改进目标应当与</w:t>
            </w:r>
          </w:p>
          <w:p>
            <w:pPr>
              <w:pStyle w:val="TableText"/>
              <w:ind w:left="108" w:right="109" w:firstLine="69"/>
              <w:spacing w:before="82" w:line="282" w:lineRule="auto"/>
              <w:rPr/>
            </w:pPr>
            <w:r>
              <w:rPr>
                <w:spacing w:val="-1"/>
              </w:rPr>
              <w:t>组织的业务和数据治理策略</w:t>
            </w:r>
            <w:r>
              <w:rPr>
                <w:spacing w:val="1"/>
              </w:rPr>
              <w:t xml:space="preserve">  </w:t>
            </w:r>
            <w:r>
              <w:rPr>
                <w:spacing w:val="-1"/>
              </w:rPr>
              <w:t>相关联，主数据策略很好地体</w:t>
            </w:r>
            <w:r>
              <w:rPr>
                <w:spacing w:val="6"/>
              </w:rPr>
              <w:t xml:space="preserve"> </w:t>
            </w:r>
            <w:r>
              <w:rPr>
                <w:spacing w:val="-1"/>
              </w:rPr>
              <w:t>现了相关的内容</w:t>
            </w:r>
          </w:p>
        </w:tc>
      </w:tr>
      <w:tr>
        <w:trPr>
          <w:trHeight w:val="1552" w:hRule="atLeast"/>
        </w:trPr>
        <w:tc>
          <w:tcPr>
            <w:tcW w:w="1293" w:type="dxa"/>
            <w:vAlign w:val="top"/>
            <w:vMerge w:val="continue"/>
            <w:tcBorders>
              <w:top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spacing w:line="325" w:lineRule="auto"/>
              <w:rPr>
                <w:rFonts w:ascii="Arial"/>
                <w:sz w:val="21"/>
              </w:rPr>
            </w:pPr>
            <w:r/>
          </w:p>
          <w:p>
            <w:pPr>
              <w:spacing w:line="326" w:lineRule="auto"/>
              <w:rPr>
                <w:rFonts w:ascii="Arial"/>
                <w:sz w:val="21"/>
              </w:rPr>
            </w:pPr>
            <w:r/>
          </w:p>
          <w:p>
            <w:pPr>
              <w:pStyle w:val="TableText"/>
              <w:ind w:left="265"/>
              <w:spacing w:before="49" w:line="219" w:lineRule="auto"/>
              <w:rPr/>
            </w:pPr>
            <w:r>
              <w:rPr>
                <w:spacing w:val="-1"/>
              </w:rPr>
              <w:t>M14:持续改进</w:t>
            </w:r>
          </w:p>
        </w:tc>
        <w:tc>
          <w:tcPr>
            <w:tcW w:w="2172" w:type="dxa"/>
            <w:vAlign w:val="top"/>
          </w:tcPr>
          <w:p>
            <w:pPr>
              <w:pStyle w:val="TableText"/>
              <w:ind w:left="258"/>
              <w:spacing w:before="64" w:line="219" w:lineRule="auto"/>
              <w:rPr/>
            </w:pPr>
            <w:r>
              <w:rPr/>
              <w:t>云端数据治理是一个活动</w:t>
            </w:r>
          </w:p>
          <w:p>
            <w:pPr>
              <w:pStyle w:val="TableText"/>
              <w:ind w:left="108" w:right="109"/>
              <w:spacing w:before="50" w:line="305" w:lineRule="auto"/>
              <w:rPr/>
            </w:pPr>
            <w:r>
              <w:rPr>
                <w:spacing w:val="-1"/>
              </w:rPr>
              <w:t>集合，覆盖了统筹和规划、构</w:t>
            </w:r>
            <w:r>
              <w:rPr>
                <w:spacing w:val="6"/>
              </w:rPr>
              <w:t xml:space="preserve"> </w:t>
            </w:r>
            <w:r>
              <w:rPr>
                <w:spacing w:val="-1"/>
              </w:rPr>
              <w:t>建和运行、监督和评估、改进</w:t>
            </w:r>
            <w:r>
              <w:rPr>
                <w:spacing w:val="4"/>
              </w:rPr>
              <w:t xml:space="preserve"> </w:t>
            </w:r>
            <w:r>
              <w:rPr>
                <w:spacing w:val="-1"/>
              </w:rPr>
              <w:t>和优化四大阶段，通过规范的</w:t>
            </w:r>
            <w:r>
              <w:rPr>
                <w:spacing w:val="5"/>
              </w:rPr>
              <w:t xml:space="preserve"> </w:t>
            </w:r>
            <w:r>
              <w:rPr>
                <w:spacing w:val="5"/>
              </w:rPr>
              <w:t>程序确保主数据管理的持续</w:t>
            </w:r>
            <w:r>
              <w:rPr>
                <w:spacing w:val="1"/>
              </w:rPr>
              <w:t xml:space="preserve">  </w:t>
            </w:r>
            <w:r>
              <w:rPr>
                <w:spacing w:val="-3"/>
              </w:rPr>
              <w:t>改进</w:t>
            </w:r>
          </w:p>
        </w:tc>
      </w:tr>
    </w:tbl>
    <w:p>
      <w:pPr>
        <w:ind w:left="703"/>
        <w:spacing w:before="216" w:line="483" w:lineRule="exact"/>
        <w:rPr>
          <w:rFonts w:ascii="YouYuan" w:hAnsi="YouYuan" w:eastAsia="YouYuan" w:cs="YouYuan"/>
          <w:sz w:val="22"/>
          <w:szCs w:val="22"/>
        </w:rPr>
      </w:pPr>
      <w:r>
        <w:rPr>
          <w:rFonts w:ascii="YouYuan" w:hAnsi="YouYuan" w:eastAsia="YouYuan" w:cs="YouYuan"/>
          <w:sz w:val="22"/>
          <w:szCs w:val="22"/>
          <w:b/>
          <w:bCs/>
          <w:position w:val="19"/>
        </w:rPr>
        <w:t>3.</w:t>
      </w:r>
      <w:r>
        <w:rPr>
          <w:rFonts w:ascii="YouYuan" w:hAnsi="YouYuan" w:eastAsia="YouYuan" w:cs="YouYuan"/>
          <w:sz w:val="22"/>
          <w:szCs w:val="22"/>
          <w:spacing w:val="-13"/>
          <w:position w:val="19"/>
        </w:rPr>
        <w:t xml:space="preserve"> </w:t>
      </w:r>
      <w:r>
        <w:rPr>
          <w:rFonts w:ascii="YouYuan" w:hAnsi="YouYuan" w:eastAsia="YouYuan" w:cs="YouYuan"/>
          <w:sz w:val="22"/>
          <w:szCs w:val="22"/>
          <w:b/>
          <w:bCs/>
          <w:position w:val="19"/>
        </w:rPr>
        <w:t>成熟度等级介绍</w:t>
      </w:r>
    </w:p>
    <w:p>
      <w:pPr>
        <w:ind w:left="70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4"/>
        </w:rPr>
        <w:t>Level  1:</w:t>
      </w:r>
      <w:r>
        <w:rPr>
          <w:rFonts w:ascii="Times New Roman" w:hAnsi="Times New Roman" w:eastAsia="Times New Roman" w:cs="Times New Roman"/>
          <w:sz w:val="22"/>
          <w:szCs w:val="22"/>
          <w:b/>
          <w:bCs/>
          <w:spacing w:val="33"/>
        </w:rPr>
        <w:t xml:space="preserve"> </w:t>
      </w:r>
      <w:r>
        <w:rPr>
          <w:rFonts w:ascii="SimHei" w:hAnsi="SimHei" w:eastAsia="SimHei" w:cs="SimHei"/>
          <w:sz w:val="22"/>
          <w:szCs w:val="22"/>
          <w:b/>
          <w:bCs/>
          <w:spacing w:val="-4"/>
        </w:rPr>
        <w:t>初始级</w:t>
      </w:r>
    </w:p>
    <w:p>
      <w:pPr>
        <w:spacing w:line="127" w:lineRule="exact"/>
        <w:rPr/>
      </w:pPr>
      <w:r/>
    </w:p>
    <w:tbl>
      <w:tblPr>
        <w:tblStyle w:val="TableNormal"/>
        <w:tblW w:w="760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40"/>
      </w:tblGrid>
      <w:tr>
        <w:trPr>
          <w:trHeight w:val="320"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6" w:type="dxa"/>
            <w:vAlign w:val="top"/>
          </w:tcPr>
          <w:p>
            <w:pPr>
              <w:pStyle w:val="TableText"/>
              <w:ind w:left="1161"/>
              <w:spacing w:before="81" w:line="219" w:lineRule="auto"/>
              <w:rPr>
                <w:sz w:val="16"/>
                <w:szCs w:val="16"/>
              </w:rPr>
            </w:pPr>
            <w:r>
              <w:rPr>
                <w:sz w:val="16"/>
                <w:szCs w:val="16"/>
                <w:spacing w:val="-4"/>
              </w:rPr>
              <w:t>等 级 要 求</w:t>
            </w:r>
          </w:p>
        </w:tc>
        <w:tc>
          <w:tcPr>
            <w:tcW w:w="3740" w:type="dxa"/>
            <w:vAlign w:val="top"/>
          </w:tcPr>
          <w:p>
            <w:pPr>
              <w:pStyle w:val="TableText"/>
              <w:ind w:left="1565"/>
              <w:spacing w:before="82" w:line="220" w:lineRule="auto"/>
              <w:rPr>
                <w:sz w:val="16"/>
                <w:szCs w:val="16"/>
              </w:rPr>
            </w:pPr>
            <w:r>
              <w:rPr>
                <w:sz w:val="16"/>
                <w:szCs w:val="16"/>
                <w:spacing w:val="-6"/>
              </w:rPr>
              <w:t>实</w:t>
            </w:r>
            <w:r>
              <w:rPr>
                <w:sz w:val="16"/>
                <w:szCs w:val="16"/>
                <w:spacing w:val="7"/>
              </w:rPr>
              <w:t xml:space="preserve">    </w:t>
            </w:r>
            <w:r>
              <w:rPr>
                <w:sz w:val="16"/>
                <w:szCs w:val="16"/>
                <w:spacing w:val="-6"/>
              </w:rPr>
              <w:t>例</w:t>
            </w:r>
          </w:p>
        </w:tc>
      </w:tr>
      <w:tr>
        <w:trPr>
          <w:trHeight w:val="310" w:hRule="atLeast"/>
        </w:trPr>
        <w:tc>
          <w:tcPr>
            <w:tcW w:w="724" w:type="dxa"/>
            <w:vAlign w:val="top"/>
          </w:tcPr>
          <w:p>
            <w:pPr>
              <w:pStyle w:val="TableText"/>
              <w:ind w:left="235"/>
              <w:spacing w:before="122" w:line="184" w:lineRule="auto"/>
              <w:rPr>
                <w:sz w:val="16"/>
                <w:szCs w:val="16"/>
              </w:rPr>
            </w:pPr>
            <w:r>
              <w:rPr>
                <w:sz w:val="16"/>
                <w:szCs w:val="16"/>
                <w:spacing w:val="-5"/>
              </w:rPr>
              <w:t>1.1</w:t>
            </w:r>
          </w:p>
        </w:tc>
        <w:tc>
          <w:tcPr>
            <w:tcW w:w="3136" w:type="dxa"/>
            <w:vAlign w:val="top"/>
          </w:tcPr>
          <w:p>
            <w:pPr>
              <w:pStyle w:val="TableText"/>
              <w:ind w:left="271"/>
              <w:spacing w:before="81" w:line="219" w:lineRule="auto"/>
              <w:rPr>
                <w:sz w:val="16"/>
                <w:szCs w:val="16"/>
              </w:rPr>
            </w:pPr>
            <w:r>
              <w:rPr>
                <w:sz w:val="16"/>
                <w:szCs w:val="16"/>
                <w:spacing w:val="-1"/>
              </w:rPr>
              <w:t>建立并执行主数据管理过程</w:t>
            </w:r>
          </w:p>
        </w:tc>
        <w:tc>
          <w:tcPr>
            <w:tcW w:w="3740" w:type="dxa"/>
            <w:vAlign w:val="top"/>
          </w:tcPr>
          <w:p>
            <w:pPr>
              <w:pStyle w:val="TableText"/>
              <w:ind w:left="265"/>
              <w:spacing w:before="81" w:line="219" w:lineRule="auto"/>
              <w:rPr>
                <w:sz w:val="16"/>
                <w:szCs w:val="16"/>
              </w:rPr>
            </w:pPr>
            <w:r>
              <w:rPr>
                <w:sz w:val="16"/>
                <w:szCs w:val="16"/>
                <w:spacing w:val="1"/>
              </w:rPr>
              <w:t>●主数据管理程序</w:t>
            </w:r>
          </w:p>
        </w:tc>
      </w:tr>
    </w:tbl>
    <w:p>
      <w:pPr>
        <w:ind w:left="59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90" w:firstLine="409"/>
        <w:spacing w:before="56" w:line="244" w:lineRule="auto"/>
        <w:rPr>
          <w:rFonts w:ascii="SimSun" w:hAnsi="SimSun" w:eastAsia="SimSun" w:cs="SimSun"/>
          <w:sz w:val="22"/>
          <w:szCs w:val="22"/>
        </w:rPr>
      </w:pPr>
      <w:r>
        <w:rPr>
          <w:rFonts w:ascii="SimSun" w:hAnsi="SimSun" w:eastAsia="SimSun" w:cs="SimSun"/>
          <w:sz w:val="22"/>
          <w:szCs w:val="22"/>
          <w:spacing w:val="-12"/>
        </w:rPr>
        <w:t>组织的主数据主要指用来描述组织核心业务实体的数据</w:t>
      </w:r>
      <w:r>
        <w:rPr>
          <w:rFonts w:ascii="SimSun" w:hAnsi="SimSun" w:eastAsia="SimSun" w:cs="SimSun"/>
          <w:sz w:val="22"/>
          <w:szCs w:val="22"/>
          <w:spacing w:val="-13"/>
        </w:rPr>
        <w:t>，比如客户、合作伙伴、</w:t>
      </w:r>
      <w:r>
        <w:rPr>
          <w:rFonts w:ascii="SimSun" w:hAnsi="SimSun" w:eastAsia="SimSun" w:cs="SimSun"/>
          <w:sz w:val="22"/>
          <w:szCs w:val="22"/>
        </w:rPr>
        <w:t xml:space="preserve"> </w:t>
      </w:r>
      <w:r>
        <w:rPr>
          <w:rFonts w:ascii="SimSun" w:hAnsi="SimSun" w:eastAsia="SimSun" w:cs="SimSun"/>
          <w:sz w:val="22"/>
          <w:szCs w:val="22"/>
          <w:spacing w:val="-9"/>
        </w:rPr>
        <w:t>员工、产品、物料单、账户等；它是具有高业务价值的、可以在组织内跨越各个业 </w:t>
      </w:r>
      <w:r>
        <w:rPr>
          <w:rFonts w:ascii="SimSun" w:hAnsi="SimSun" w:eastAsia="SimSun" w:cs="SimSun"/>
          <w:sz w:val="22"/>
          <w:szCs w:val="22"/>
          <w:spacing w:val="-9"/>
        </w:rPr>
        <w:t>务部门被重复使用的数据，并且存在于多个异构的应用系统中。需要有针对性制订 </w:t>
      </w:r>
      <w:r>
        <w:rPr>
          <w:rFonts w:ascii="SimSun" w:hAnsi="SimSun" w:eastAsia="SimSun" w:cs="SimSun"/>
          <w:sz w:val="22"/>
          <w:szCs w:val="22"/>
          <w:spacing w:val="-15"/>
        </w:rPr>
        <w:t>管理规范/程序，进行管理。</w:t>
      </w:r>
    </w:p>
    <w:p>
      <w:pPr>
        <w:spacing w:line="145" w:lineRule="exact"/>
        <w:rPr/>
      </w:pPr>
      <w:r/>
    </w:p>
    <w:tbl>
      <w:tblPr>
        <w:tblStyle w:val="TableNormal"/>
        <w:tblW w:w="758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30"/>
      </w:tblGrid>
      <w:tr>
        <w:trPr>
          <w:trHeight w:val="32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61"/>
              <w:spacing w:before="81" w:line="219" w:lineRule="auto"/>
              <w:rPr>
                <w:sz w:val="16"/>
                <w:szCs w:val="16"/>
              </w:rPr>
            </w:pPr>
            <w:r>
              <w:rPr>
                <w:sz w:val="16"/>
                <w:szCs w:val="16"/>
                <w:spacing w:val="-4"/>
              </w:rPr>
              <w:t>等 级 要 求</w:t>
            </w:r>
          </w:p>
        </w:tc>
        <w:tc>
          <w:tcPr>
            <w:tcW w:w="373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47" w:hRule="atLeast"/>
        </w:trPr>
        <w:tc>
          <w:tcPr>
            <w:tcW w:w="724" w:type="dxa"/>
            <w:vAlign w:val="top"/>
          </w:tcPr>
          <w:p>
            <w:pPr>
              <w:spacing w:line="335" w:lineRule="auto"/>
              <w:rPr>
                <w:rFonts w:ascii="Arial"/>
                <w:sz w:val="21"/>
              </w:rPr>
            </w:pPr>
            <w:r/>
          </w:p>
          <w:p>
            <w:pPr>
              <w:pStyle w:val="TableText"/>
              <w:ind w:left="235"/>
              <w:spacing w:before="52" w:line="184" w:lineRule="auto"/>
              <w:rPr>
                <w:sz w:val="16"/>
                <w:szCs w:val="16"/>
              </w:rPr>
            </w:pPr>
            <w:r>
              <w:rPr>
                <w:sz w:val="16"/>
                <w:szCs w:val="16"/>
                <w:spacing w:val="-5"/>
              </w:rPr>
              <w:t>1.2</w:t>
            </w:r>
          </w:p>
        </w:tc>
        <w:tc>
          <w:tcPr>
            <w:tcW w:w="3135" w:type="dxa"/>
            <w:vAlign w:val="top"/>
          </w:tcPr>
          <w:p>
            <w:pPr>
              <w:pStyle w:val="TableText"/>
              <w:ind w:left="110" w:firstLine="158"/>
              <w:spacing w:before="229" w:line="271" w:lineRule="auto"/>
              <w:rPr>
                <w:sz w:val="16"/>
                <w:szCs w:val="16"/>
              </w:rPr>
            </w:pPr>
            <w:r>
              <w:rPr>
                <w:sz w:val="16"/>
                <w:szCs w:val="16"/>
                <w:spacing w:val="-2"/>
              </w:rPr>
              <w:t>通过手工方式维护一个逻辑或物理的列表</w:t>
            </w:r>
            <w:r>
              <w:rPr>
                <w:sz w:val="16"/>
                <w:szCs w:val="16"/>
                <w:spacing w:val="10"/>
              </w:rPr>
              <w:t xml:space="preserve"> </w:t>
            </w:r>
            <w:r>
              <w:rPr>
                <w:sz w:val="16"/>
                <w:szCs w:val="16"/>
                <w:spacing w:val="-2"/>
              </w:rPr>
              <w:t>用来共享主数据</w:t>
            </w:r>
          </w:p>
        </w:tc>
        <w:tc>
          <w:tcPr>
            <w:tcW w:w="3730" w:type="dxa"/>
            <w:vAlign w:val="top"/>
          </w:tcPr>
          <w:p>
            <w:pPr>
              <w:pStyle w:val="TableText"/>
              <w:ind w:left="246"/>
              <w:spacing w:before="89" w:line="219" w:lineRule="auto"/>
              <w:rPr>
                <w:sz w:val="16"/>
                <w:szCs w:val="16"/>
              </w:rPr>
            </w:pPr>
            <w:r>
              <w:rPr>
                <w:sz w:val="16"/>
                <w:szCs w:val="16"/>
                <w:spacing w:val="1"/>
              </w:rPr>
              <w:t>●主数据列表</w:t>
            </w:r>
          </w:p>
          <w:p>
            <w:pPr>
              <w:pStyle w:val="TableText"/>
              <w:ind w:left="246"/>
              <w:spacing w:before="70" w:line="219" w:lineRule="auto"/>
              <w:rPr>
                <w:sz w:val="16"/>
                <w:szCs w:val="16"/>
              </w:rPr>
            </w:pPr>
            <w:r>
              <w:rPr>
                <w:sz w:val="16"/>
                <w:szCs w:val="16"/>
              </w:rPr>
              <w:t>●主数据列表管理指南</w:t>
            </w:r>
          </w:p>
          <w:p>
            <w:pPr>
              <w:pStyle w:val="TableText"/>
              <w:ind w:left="246"/>
              <w:spacing w:before="99" w:line="219" w:lineRule="auto"/>
              <w:rPr>
                <w:sz w:val="16"/>
                <w:szCs w:val="16"/>
              </w:rPr>
            </w:pPr>
            <w:r>
              <w:rPr>
                <w:sz w:val="16"/>
                <w:szCs w:val="16"/>
                <w:spacing w:val="1"/>
              </w:rPr>
              <w:t>●主数据共享机制</w:t>
            </w:r>
          </w:p>
        </w:tc>
      </w:tr>
    </w:tbl>
    <w:p>
      <w:pPr>
        <w:pStyle w:val="BodyText"/>
        <w:rPr/>
      </w:pPr>
      <w:r/>
    </w:p>
    <w:p>
      <w:pPr>
        <w:sectPr>
          <w:footerReference w:type="default" r:id="rId227"/>
          <w:pgSz w:w="8870" w:h="13400"/>
          <w:pgMar w:top="400" w:right="449" w:bottom="535" w:left="449" w:header="0" w:footer="316" w:gutter="0"/>
        </w:sectPr>
        <w:rPr/>
      </w:pPr>
    </w:p>
    <w:p>
      <w:pPr>
        <w:ind w:left="5482"/>
        <w:spacing w:before="214" w:line="219" w:lineRule="auto"/>
        <w:rPr>
          <w:rFonts w:ascii="SimSun" w:hAnsi="SimSun" w:eastAsia="SimSun" w:cs="SimSun"/>
          <w:sz w:val="21"/>
          <w:szCs w:val="21"/>
        </w:rPr>
      </w:pPr>
      <w:bookmarkStart w:name="bookmark51" w:id="46"/>
      <w:bookmarkEnd w:id="46"/>
      <w:r>
        <w:rPr>
          <w:rFonts w:ascii="SimSun" w:hAnsi="SimSun" w:eastAsia="SimSun" w:cs="SimSun"/>
          <w:sz w:val="21"/>
          <w:szCs w:val="21"/>
          <w:b/>
          <w:bCs/>
          <w:spacing w:val="-3"/>
        </w:rPr>
        <w:t>第5章■云端数据管理■</w:t>
      </w:r>
    </w:p>
    <w:p>
      <w:pPr>
        <w:pStyle w:val="BodyText"/>
        <w:spacing w:line="245" w:lineRule="auto"/>
        <w:rPr/>
      </w:pPr>
      <w:r/>
    </w:p>
    <w:p>
      <w:pPr>
        <w:ind w:left="295"/>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126" w:firstLine="400"/>
        <w:spacing w:before="58" w:line="269" w:lineRule="auto"/>
        <w:rPr>
          <w:rFonts w:ascii="SimSun" w:hAnsi="SimSun" w:eastAsia="SimSun" w:cs="SimSun"/>
          <w:sz w:val="21"/>
          <w:szCs w:val="21"/>
        </w:rPr>
      </w:pPr>
      <w:r>
        <w:rPr>
          <w:rFonts w:ascii="SimSun" w:hAnsi="SimSun" w:eastAsia="SimSun" w:cs="SimSun"/>
          <w:sz w:val="21"/>
          <w:szCs w:val="21"/>
          <w:spacing w:val="5"/>
        </w:rPr>
        <w:t>当各个系统或用户需要某些数据时可以索取该列</w:t>
      </w:r>
      <w:r>
        <w:rPr>
          <w:rFonts w:ascii="SimSun" w:hAnsi="SimSun" w:eastAsia="SimSun" w:cs="SimSun"/>
          <w:sz w:val="21"/>
          <w:szCs w:val="21"/>
          <w:spacing w:val="4"/>
        </w:rPr>
        <w:t>表。列表的维护(增删改和冲</w:t>
      </w:r>
      <w:r>
        <w:rPr>
          <w:rFonts w:ascii="SimSun" w:hAnsi="SimSun" w:eastAsia="SimSun" w:cs="SimSun"/>
          <w:sz w:val="21"/>
          <w:szCs w:val="21"/>
        </w:rPr>
        <w:t xml:space="preserve">  </w:t>
      </w:r>
      <w:r>
        <w:rPr>
          <w:rFonts w:ascii="SimSun" w:hAnsi="SimSun" w:eastAsia="SimSun" w:cs="SimSun"/>
          <w:sz w:val="21"/>
          <w:szCs w:val="21"/>
          <w:spacing w:val="4"/>
        </w:rPr>
        <w:t>突处理)由各部门工作人员通过一系列讨论和会议进行处理。虽然各部门依然独立  </w:t>
      </w:r>
      <w:r>
        <w:rPr>
          <w:rFonts w:ascii="SimSun" w:hAnsi="SimSun" w:eastAsia="SimSun" w:cs="SimSun"/>
          <w:sz w:val="21"/>
          <w:szCs w:val="21"/>
          <w:spacing w:val="1"/>
        </w:rPr>
        <w:t>维护各自关键数据，但已经开始使用列表方式维护一个松散的主数据列表，满足各</w:t>
      </w:r>
      <w:r>
        <w:rPr>
          <w:rFonts w:ascii="SimSun" w:hAnsi="SimSun" w:eastAsia="SimSun" w:cs="SimSun"/>
          <w:sz w:val="21"/>
          <w:szCs w:val="21"/>
          <w:spacing w:val="6"/>
        </w:rPr>
        <w:t xml:space="preserve">  </w:t>
      </w:r>
      <w:r>
        <w:rPr>
          <w:rFonts w:ascii="SimSun" w:hAnsi="SimSun" w:eastAsia="SimSun" w:cs="SimSun"/>
          <w:sz w:val="21"/>
          <w:szCs w:val="21"/>
          <w:spacing w:val="2"/>
        </w:rPr>
        <w:t>部门的主数据需求。由于缺乏集中的基于规则</w:t>
      </w:r>
      <w:r>
        <w:rPr>
          <w:rFonts w:ascii="SimSun" w:hAnsi="SimSun" w:eastAsia="SimSun" w:cs="SimSun"/>
          <w:sz w:val="21"/>
          <w:szCs w:val="21"/>
          <w:spacing w:val="1"/>
        </w:rPr>
        <w:t>的主数据管理，在数据量比较小时列</w:t>
      </w:r>
      <w:r>
        <w:rPr>
          <w:rFonts w:ascii="SimSun" w:hAnsi="SimSun" w:eastAsia="SimSun" w:cs="SimSun"/>
          <w:sz w:val="21"/>
          <w:szCs w:val="21"/>
        </w:rPr>
        <w:t xml:space="preserve">  </w:t>
      </w:r>
      <w:r>
        <w:rPr>
          <w:rFonts w:ascii="SimSun" w:hAnsi="SimSun" w:eastAsia="SimSun" w:cs="SimSun"/>
          <w:sz w:val="21"/>
          <w:szCs w:val="21"/>
          <w:spacing w:val="-2"/>
        </w:rPr>
        <w:t>表管理的方式是可行的，但当数据量较大时，数据维护的成本会很高，效率比较低。</w:t>
      </w:r>
    </w:p>
    <w:p>
      <w:pPr>
        <w:ind w:left="400"/>
        <w:spacing w:before="37" w:line="221"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56"/>
        </w:rPr>
        <w:t xml:space="preserve"> </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b/>
          <w:bCs/>
          <w:spacing w:val="43"/>
        </w:rPr>
        <w:t xml:space="preserve"> </w:t>
      </w:r>
      <w:r>
        <w:rPr>
          <w:rFonts w:ascii="SimHei" w:hAnsi="SimHei" w:eastAsia="SimHei" w:cs="SimHei"/>
          <w:sz w:val="21"/>
          <w:szCs w:val="21"/>
          <w:b/>
          <w:bCs/>
          <w:spacing w:val="-3"/>
        </w:rPr>
        <w:t>管理级</w:t>
      </w:r>
    </w:p>
    <w:p>
      <w:pPr>
        <w:spacing w:line="129" w:lineRule="exact"/>
        <w:rPr/>
      </w:pPr>
      <w:r/>
    </w:p>
    <w:tbl>
      <w:tblPr>
        <w:tblStyle w:val="TableNormal"/>
        <w:tblW w:w="758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5"/>
        <w:gridCol w:w="3750"/>
      </w:tblGrid>
      <w:tr>
        <w:trPr>
          <w:trHeight w:val="322"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1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8" w:hRule="atLeast"/>
        </w:trPr>
        <w:tc>
          <w:tcPr>
            <w:tcW w:w="724" w:type="dxa"/>
            <w:vAlign w:val="top"/>
          </w:tcPr>
          <w:p>
            <w:pPr>
              <w:spacing w:line="326" w:lineRule="auto"/>
              <w:rPr>
                <w:rFonts w:ascii="Arial"/>
                <w:sz w:val="21"/>
              </w:rPr>
            </w:pPr>
            <w:r/>
          </w:p>
          <w:p>
            <w:pPr>
              <w:pStyle w:val="TableText"/>
              <w:ind w:left="234"/>
              <w:spacing w:before="52" w:line="184" w:lineRule="auto"/>
              <w:rPr>
                <w:sz w:val="16"/>
                <w:szCs w:val="16"/>
              </w:rPr>
            </w:pPr>
            <w:r>
              <w:rPr>
                <w:sz w:val="16"/>
                <w:szCs w:val="16"/>
                <w:spacing w:val="-2"/>
              </w:rPr>
              <w:t>2.1</w:t>
            </w:r>
          </w:p>
        </w:tc>
        <w:tc>
          <w:tcPr>
            <w:tcW w:w="3115" w:type="dxa"/>
            <w:vAlign w:val="top"/>
          </w:tcPr>
          <w:p>
            <w:pPr>
              <w:pStyle w:val="TableText"/>
              <w:ind w:left="100" w:firstLine="159"/>
              <w:spacing w:before="210" w:line="265" w:lineRule="auto"/>
              <w:rPr>
                <w:sz w:val="16"/>
                <w:szCs w:val="16"/>
              </w:rPr>
            </w:pPr>
            <w:r>
              <w:rPr>
                <w:sz w:val="16"/>
                <w:szCs w:val="16"/>
                <w:spacing w:val="-2"/>
              </w:rPr>
              <w:t>通过引入统一存储实现主数据的自动存储</w:t>
            </w:r>
            <w:r>
              <w:rPr>
                <w:sz w:val="16"/>
                <w:szCs w:val="16"/>
              </w:rPr>
              <w:t xml:space="preserve"> </w:t>
            </w:r>
            <w:r>
              <w:rPr>
                <w:sz w:val="16"/>
                <w:szCs w:val="16"/>
                <w:spacing w:val="-3"/>
              </w:rPr>
              <w:t>管理</w:t>
            </w:r>
          </w:p>
        </w:tc>
        <w:tc>
          <w:tcPr>
            <w:tcW w:w="3750" w:type="dxa"/>
            <w:vAlign w:val="top"/>
          </w:tcPr>
          <w:p>
            <w:pPr>
              <w:pStyle w:val="TableText"/>
              <w:ind w:left="285"/>
              <w:spacing w:before="79" w:line="219" w:lineRule="auto"/>
              <w:rPr>
                <w:sz w:val="16"/>
                <w:szCs w:val="16"/>
              </w:rPr>
            </w:pPr>
            <w:r>
              <w:rPr>
                <w:sz w:val="16"/>
                <w:szCs w:val="16"/>
                <w:spacing w:val="1"/>
              </w:rPr>
              <w:t>●统一存储管理规范</w:t>
            </w:r>
          </w:p>
          <w:p>
            <w:pPr>
              <w:pStyle w:val="TableText"/>
              <w:ind w:left="285"/>
              <w:spacing w:before="80" w:line="219" w:lineRule="auto"/>
              <w:rPr>
                <w:sz w:val="16"/>
                <w:szCs w:val="16"/>
              </w:rPr>
            </w:pPr>
            <w:r>
              <w:rPr>
                <w:sz w:val="16"/>
                <w:szCs w:val="16"/>
              </w:rPr>
              <w:t>●主数据自动存储管理规范</w:t>
            </w:r>
          </w:p>
          <w:p>
            <w:pPr>
              <w:pStyle w:val="TableText"/>
              <w:ind w:left="285"/>
              <w:spacing w:before="101" w:line="216" w:lineRule="auto"/>
              <w:rPr>
                <w:sz w:val="16"/>
                <w:szCs w:val="16"/>
              </w:rPr>
            </w:pPr>
            <w:r>
              <w:rPr>
                <w:sz w:val="16"/>
                <w:szCs w:val="16"/>
                <w:spacing w:val="1"/>
              </w:rPr>
              <w:t>●接口规范</w:t>
            </w:r>
          </w:p>
        </w:tc>
      </w:tr>
    </w:tbl>
    <w:p>
      <w:pPr>
        <w:ind w:left="29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14" w:firstLine="400"/>
        <w:spacing w:before="57" w:line="259" w:lineRule="auto"/>
        <w:rPr>
          <w:rFonts w:ascii="SimSun" w:hAnsi="SimSun" w:eastAsia="SimSun" w:cs="SimSun"/>
          <w:sz w:val="21"/>
          <w:szCs w:val="21"/>
        </w:rPr>
      </w:pPr>
      <w:r>
        <w:rPr>
          <w:rFonts w:ascii="SimSun" w:hAnsi="SimSun" w:eastAsia="SimSun" w:cs="SimSun"/>
          <w:sz w:val="21"/>
          <w:szCs w:val="21"/>
          <w:spacing w:val="3"/>
        </w:rPr>
        <w:t>统一存储往往也被称为主数据主机</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Host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3"/>
        </w:rPr>
        <w:t>并通过一个应用程序对</w:t>
      </w:r>
      <w:r>
        <w:rPr>
          <w:rFonts w:ascii="SimSun" w:hAnsi="SimSun" w:eastAsia="SimSun" w:cs="SimSun"/>
          <w:sz w:val="21"/>
          <w:szCs w:val="21"/>
        </w:rPr>
        <w:t xml:space="preserve"> </w:t>
      </w:r>
      <w:r>
        <w:rPr>
          <w:rFonts w:ascii="SimSun" w:hAnsi="SimSun" w:eastAsia="SimSun" w:cs="SimSun"/>
          <w:sz w:val="21"/>
          <w:szCs w:val="21"/>
          <w:spacing w:val="7"/>
        </w:rPr>
        <w:t>外提供数据访问功能。当需要对主数据进行增删改时，外部应用(请求发起端)将</w:t>
      </w:r>
      <w:r>
        <w:rPr>
          <w:rFonts w:ascii="SimSun" w:hAnsi="SimSun" w:eastAsia="SimSun" w:cs="SimSun"/>
          <w:sz w:val="21"/>
          <w:szCs w:val="21"/>
          <w:spacing w:val="6"/>
        </w:rPr>
        <w:t xml:space="preserve"> </w:t>
      </w:r>
      <w:r>
        <w:rPr>
          <w:rFonts w:ascii="SimSun" w:hAnsi="SimSun" w:eastAsia="SimSun" w:cs="SimSun"/>
          <w:sz w:val="21"/>
          <w:szCs w:val="21"/>
          <w:spacing w:val="7"/>
        </w:rPr>
        <w:t>请求更新主数据主机中的数据，并调用数据所有者所在的应用(通过接口)来更新</w:t>
      </w:r>
      <w:r>
        <w:rPr>
          <w:rFonts w:ascii="SimSun" w:hAnsi="SimSun" w:eastAsia="SimSun" w:cs="SimSun"/>
          <w:sz w:val="21"/>
          <w:szCs w:val="21"/>
          <w:spacing w:val="5"/>
        </w:rPr>
        <w:t xml:space="preserve"> </w:t>
      </w:r>
      <w:r>
        <w:rPr>
          <w:rFonts w:ascii="SimSun" w:hAnsi="SimSun" w:eastAsia="SimSun" w:cs="SimSun"/>
          <w:sz w:val="21"/>
          <w:szCs w:val="21"/>
          <w:spacing w:val="7"/>
        </w:rPr>
        <w:t>对应的数据。各个外部应用需要能够了解基本的业务规则(元模型)以便访问主列</w:t>
      </w:r>
      <w:r>
        <w:rPr>
          <w:rFonts w:ascii="SimSun" w:hAnsi="SimSun" w:eastAsia="SimSun" w:cs="SimSun"/>
          <w:sz w:val="21"/>
          <w:szCs w:val="21"/>
          <w:spacing w:val="14"/>
        </w:rPr>
        <w:t xml:space="preserve"> </w:t>
      </w:r>
      <w:r>
        <w:rPr>
          <w:rFonts w:ascii="SimSun" w:hAnsi="SimSun" w:eastAsia="SimSun" w:cs="SimSun"/>
          <w:sz w:val="21"/>
          <w:szCs w:val="21"/>
        </w:rPr>
        <w:t>表并与主列表进行交互，并且各个外部应用</w:t>
      </w:r>
      <w:r>
        <w:rPr>
          <w:rFonts w:ascii="SimSun" w:hAnsi="SimSun" w:eastAsia="SimSun" w:cs="SimSun"/>
          <w:sz w:val="21"/>
          <w:szCs w:val="21"/>
          <w:spacing w:val="-1"/>
        </w:rPr>
        <w:t>有责任坚持数据管理的原则和规程。</w:t>
      </w:r>
    </w:p>
    <w:p>
      <w:pPr>
        <w:spacing w:line="157"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5"/>
        <w:gridCol w:w="3750"/>
      </w:tblGrid>
      <w:tr>
        <w:trPr>
          <w:trHeight w:val="313" w:hRule="atLeast"/>
        </w:trPr>
        <w:tc>
          <w:tcPr>
            <w:tcW w:w="724" w:type="dxa"/>
            <w:vAlign w:val="top"/>
          </w:tcPr>
          <w:p>
            <w:pPr>
              <w:pStyle w:val="TableText"/>
              <w:ind w:left="205"/>
              <w:spacing w:before="81" w:line="221" w:lineRule="auto"/>
              <w:rPr/>
            </w:pPr>
            <w:r>
              <w:rPr>
                <w:spacing w:val="-2"/>
              </w:rPr>
              <w:t>序号</w:t>
            </w:r>
          </w:p>
        </w:tc>
        <w:tc>
          <w:tcPr>
            <w:tcW w:w="3115" w:type="dxa"/>
            <w:vAlign w:val="top"/>
          </w:tcPr>
          <w:p>
            <w:pPr>
              <w:pStyle w:val="TableText"/>
              <w:ind w:left="113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81" w:line="220" w:lineRule="auto"/>
              <w:rPr/>
            </w:pPr>
            <w:r>
              <w:rPr>
                <w:spacing w:val="-5"/>
              </w:rPr>
              <w:t>实</w:t>
            </w:r>
            <w:r>
              <w:rPr>
                <w:spacing w:val="1"/>
              </w:rPr>
              <w:t xml:space="preserve">   </w:t>
            </w:r>
            <w:r>
              <w:rPr>
                <w:spacing w:val="-5"/>
              </w:rPr>
              <w:t>例</w:t>
            </w:r>
          </w:p>
        </w:tc>
      </w:tr>
      <w:tr>
        <w:trPr>
          <w:trHeight w:val="1406" w:hRule="atLeast"/>
        </w:trPr>
        <w:tc>
          <w:tcPr>
            <w:tcW w:w="724" w:type="dxa"/>
            <w:vAlign w:val="top"/>
          </w:tcPr>
          <w:p>
            <w:pPr>
              <w:spacing w:line="307" w:lineRule="auto"/>
              <w:rPr>
                <w:rFonts w:ascii="Arial"/>
                <w:sz w:val="21"/>
              </w:rPr>
            </w:pPr>
            <w:r/>
          </w:p>
          <w:p>
            <w:pPr>
              <w:spacing w:line="307" w:lineRule="auto"/>
              <w:rPr>
                <w:rFonts w:ascii="Arial"/>
                <w:sz w:val="21"/>
              </w:rPr>
            </w:pPr>
            <w:r/>
          </w:p>
          <w:p>
            <w:pPr>
              <w:pStyle w:val="TableText"/>
              <w:ind w:left="235"/>
              <w:spacing w:before="49" w:line="183" w:lineRule="auto"/>
              <w:rPr/>
            </w:pPr>
            <w:r>
              <w:rPr>
                <w:spacing w:val="-2"/>
              </w:rPr>
              <w:t>2.2</w:t>
            </w:r>
          </w:p>
        </w:tc>
        <w:tc>
          <w:tcPr>
            <w:tcW w:w="3115" w:type="dxa"/>
            <w:vAlign w:val="top"/>
          </w:tcPr>
          <w:p>
            <w:pPr>
              <w:spacing w:line="287" w:lineRule="auto"/>
              <w:rPr>
                <w:rFonts w:ascii="Arial"/>
                <w:sz w:val="21"/>
              </w:rPr>
            </w:pPr>
            <w:r/>
          </w:p>
          <w:p>
            <w:pPr>
              <w:spacing w:line="288" w:lineRule="auto"/>
              <w:rPr>
                <w:rFonts w:ascii="Arial"/>
                <w:sz w:val="21"/>
              </w:rPr>
            </w:pPr>
            <w:r/>
          </w:p>
          <w:p>
            <w:pPr>
              <w:pStyle w:val="TableText"/>
              <w:ind w:left="201"/>
              <w:spacing w:before="49" w:line="219" w:lineRule="auto"/>
              <w:rPr/>
            </w:pPr>
            <w:r>
              <w:rPr>
                <w:spacing w:val="-1"/>
              </w:rPr>
              <w:t>建立并遵守主数据的分类、属性以及标准</w:t>
            </w:r>
          </w:p>
        </w:tc>
        <w:tc>
          <w:tcPr>
            <w:tcW w:w="3750" w:type="dxa"/>
            <w:vAlign w:val="top"/>
          </w:tcPr>
          <w:p>
            <w:pPr>
              <w:pStyle w:val="TableText"/>
              <w:ind w:left="266"/>
              <w:spacing w:before="78" w:line="219" w:lineRule="auto"/>
              <w:rPr/>
            </w:pPr>
            <w:r>
              <w:rPr>
                <w:spacing w:val="1"/>
              </w:rPr>
              <w:t>●主数据分类规则</w:t>
            </w:r>
          </w:p>
          <w:p>
            <w:pPr>
              <w:pStyle w:val="TableText"/>
              <w:ind w:left="266"/>
              <w:spacing w:before="112" w:line="219" w:lineRule="auto"/>
              <w:rPr/>
            </w:pPr>
            <w:r>
              <w:rPr>
                <w:spacing w:val="1"/>
              </w:rPr>
              <w:t>●主数据管理程序</w:t>
            </w:r>
          </w:p>
          <w:p>
            <w:pPr>
              <w:pStyle w:val="TableText"/>
              <w:ind w:left="266"/>
              <w:spacing w:before="102" w:line="219" w:lineRule="auto"/>
              <w:rPr/>
            </w:pPr>
            <w:r>
              <w:rPr>
                <w:spacing w:val="1"/>
              </w:rPr>
              <w:t>●主数据标准体系</w:t>
            </w:r>
          </w:p>
          <w:p>
            <w:pPr>
              <w:pStyle w:val="TableText"/>
              <w:ind w:left="266"/>
              <w:spacing w:before="102" w:line="219" w:lineRule="auto"/>
              <w:rPr/>
            </w:pPr>
            <w:r>
              <w:rPr>
                <w:spacing w:val="1"/>
              </w:rPr>
              <w:t>●编码信息库</w:t>
            </w:r>
          </w:p>
          <w:p>
            <w:pPr>
              <w:pStyle w:val="TableText"/>
              <w:ind w:left="266"/>
              <w:spacing w:before="111" w:line="219" w:lineRule="auto"/>
              <w:rPr/>
            </w:pPr>
            <w:r>
              <w:rPr>
                <w:spacing w:val="1"/>
              </w:rPr>
              <w:t>●编码对照表</w:t>
            </w:r>
          </w:p>
        </w:tc>
      </w:tr>
    </w:tbl>
    <w:p>
      <w:pPr>
        <w:ind w:left="29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146" w:firstLine="400"/>
        <w:spacing w:before="70" w:line="255" w:lineRule="auto"/>
        <w:rPr>
          <w:rFonts w:ascii="SimSun" w:hAnsi="SimSun" w:eastAsia="SimSun" w:cs="SimSun"/>
          <w:sz w:val="21"/>
          <w:szCs w:val="21"/>
        </w:rPr>
      </w:pPr>
      <w:r>
        <w:rPr>
          <w:rFonts w:ascii="SimSun" w:hAnsi="SimSun" w:eastAsia="SimSun" w:cs="SimSun"/>
          <w:sz w:val="21"/>
          <w:szCs w:val="21"/>
          <w:spacing w:val="1"/>
        </w:rPr>
        <w:t>通过主数据的标准化和信息化建设构建适用于全组织各业务模块的主数据分类</w:t>
      </w:r>
      <w:r>
        <w:rPr>
          <w:rFonts w:ascii="SimSun" w:hAnsi="SimSun" w:eastAsia="SimSun" w:cs="SimSun"/>
          <w:sz w:val="21"/>
          <w:szCs w:val="21"/>
          <w:spacing w:val="7"/>
        </w:rPr>
        <w:t xml:space="preserve">  </w:t>
      </w:r>
      <w:r>
        <w:rPr>
          <w:rFonts w:ascii="SimSun" w:hAnsi="SimSun" w:eastAsia="SimSun" w:cs="SimSun"/>
          <w:sz w:val="21"/>
          <w:szCs w:val="21"/>
          <w:spacing w:val="2"/>
        </w:rPr>
        <w:t>体系，以满足各业务节点对主数据分类管理以及管理精细度的需求。同</w:t>
      </w:r>
      <w:r>
        <w:rPr>
          <w:rFonts w:ascii="SimSun" w:hAnsi="SimSun" w:eastAsia="SimSun" w:cs="SimSun"/>
          <w:sz w:val="21"/>
          <w:szCs w:val="21"/>
          <w:spacing w:val="1"/>
        </w:rPr>
        <w:t>时，通过逐</w:t>
      </w:r>
      <w:r>
        <w:rPr>
          <w:rFonts w:ascii="SimSun" w:hAnsi="SimSun" w:eastAsia="SimSun" w:cs="SimSun"/>
          <w:sz w:val="21"/>
          <w:szCs w:val="21"/>
        </w:rPr>
        <w:t xml:space="preserve"> </w:t>
      </w:r>
      <w:r>
        <w:rPr>
          <w:rFonts w:ascii="SimSun" w:hAnsi="SimSun" w:eastAsia="SimSun" w:cs="SimSun"/>
          <w:sz w:val="21"/>
          <w:szCs w:val="21"/>
          <w:spacing w:val="-2"/>
        </w:rPr>
        <w:t>步标准化主数据，形成主数据管理的基础能力，有助于</w:t>
      </w:r>
      <w:r>
        <w:rPr>
          <w:rFonts w:ascii="SimSun" w:hAnsi="SimSun" w:eastAsia="SimSun" w:cs="SimSun"/>
          <w:sz w:val="21"/>
          <w:szCs w:val="21"/>
          <w:spacing w:val="-3"/>
        </w:rPr>
        <w:t>固化主数据管理组织和流程。</w:t>
      </w:r>
    </w:p>
    <w:p>
      <w:pPr>
        <w:ind w:right="202" w:firstLine="400"/>
        <w:spacing w:before="71" w:line="259" w:lineRule="auto"/>
        <w:rPr>
          <w:rFonts w:ascii="SimSun" w:hAnsi="SimSun" w:eastAsia="SimSun" w:cs="SimSun"/>
          <w:sz w:val="21"/>
          <w:szCs w:val="21"/>
        </w:rPr>
      </w:pPr>
      <w:r>
        <w:rPr>
          <w:rFonts w:ascii="SimSun" w:hAnsi="SimSun" w:eastAsia="SimSun" w:cs="SimSun"/>
          <w:sz w:val="21"/>
          <w:szCs w:val="21"/>
          <w:spacing w:val="1"/>
        </w:rPr>
        <w:t>相比于传统的数据环境，云端数据的体量更大、种类更复杂。如果在分类划分</w:t>
      </w:r>
      <w:r>
        <w:rPr>
          <w:rFonts w:ascii="SimSun" w:hAnsi="SimSun" w:eastAsia="SimSun" w:cs="SimSun"/>
          <w:sz w:val="21"/>
          <w:szCs w:val="21"/>
          <w:spacing w:val="14"/>
        </w:rPr>
        <w:t xml:space="preserve"> </w:t>
      </w:r>
      <w:r>
        <w:rPr>
          <w:rFonts w:ascii="SimSun" w:hAnsi="SimSun" w:eastAsia="SimSun" w:cs="SimSun"/>
          <w:sz w:val="21"/>
          <w:szCs w:val="21"/>
          <w:spacing w:val="1"/>
        </w:rPr>
        <w:t>标准、特征项设置、编码规则等方面不专业、不一致、不合理，极易造成数据归类</w:t>
      </w:r>
      <w:r>
        <w:rPr>
          <w:rFonts w:ascii="SimSun" w:hAnsi="SimSun" w:eastAsia="SimSun" w:cs="SimSun"/>
          <w:sz w:val="21"/>
          <w:szCs w:val="21"/>
          <w:spacing w:val="12"/>
        </w:rPr>
        <w:t xml:space="preserve"> </w:t>
      </w:r>
      <w:r>
        <w:rPr>
          <w:rFonts w:ascii="SimSun" w:hAnsi="SimSun" w:eastAsia="SimSun" w:cs="SimSun"/>
          <w:sz w:val="21"/>
          <w:szCs w:val="21"/>
          <w:spacing w:val="2"/>
        </w:rPr>
        <w:t>错误，影响云端数据治理的有效性。因此，需要打造主数据标准体系，</w:t>
      </w:r>
      <w:r>
        <w:rPr>
          <w:rFonts w:ascii="SimSun" w:hAnsi="SimSun" w:eastAsia="SimSun" w:cs="SimSun"/>
          <w:sz w:val="21"/>
          <w:szCs w:val="21"/>
          <w:spacing w:val="1"/>
        </w:rPr>
        <w:t>明确数据分</w:t>
      </w:r>
      <w:r>
        <w:rPr>
          <w:rFonts w:ascii="SimSun" w:hAnsi="SimSun" w:eastAsia="SimSun" w:cs="SimSun"/>
          <w:sz w:val="21"/>
          <w:szCs w:val="21"/>
        </w:rPr>
        <w:t xml:space="preserve"> </w:t>
      </w:r>
      <w:r>
        <w:rPr>
          <w:rFonts w:ascii="SimSun" w:hAnsi="SimSun" w:eastAsia="SimSun" w:cs="SimSun"/>
          <w:sz w:val="21"/>
          <w:szCs w:val="21"/>
          <w:spacing w:val="-2"/>
        </w:rPr>
        <w:t>类、描述、编码等标准规则，形成主数据管理的基础。</w:t>
      </w:r>
    </w:p>
    <w:p>
      <w:pPr>
        <w:ind w:left="400"/>
        <w:spacing w:before="60" w:line="219" w:lineRule="auto"/>
        <w:rPr>
          <w:rFonts w:ascii="SimSun" w:hAnsi="SimSun" w:eastAsia="SimSun" w:cs="SimSun"/>
          <w:sz w:val="21"/>
          <w:szCs w:val="21"/>
        </w:rPr>
      </w:pPr>
      <w:r>
        <w:rPr>
          <w:rFonts w:ascii="SimSun" w:hAnsi="SimSun" w:eastAsia="SimSun" w:cs="SimSun"/>
          <w:sz w:val="21"/>
          <w:szCs w:val="21"/>
          <w:spacing w:val="-8"/>
        </w:rPr>
        <w:t>可考虑从以下方面开展：</w:t>
      </w:r>
    </w:p>
    <w:p>
      <w:pPr>
        <w:ind w:left="400"/>
        <w:spacing w:before="82" w:line="219" w:lineRule="auto"/>
        <w:rPr>
          <w:rFonts w:ascii="SimSun" w:hAnsi="SimSun" w:eastAsia="SimSun" w:cs="SimSun"/>
          <w:sz w:val="21"/>
          <w:szCs w:val="21"/>
        </w:rPr>
      </w:pPr>
      <w:r>
        <w:rPr>
          <w:rFonts w:ascii="SimSun" w:hAnsi="SimSun" w:eastAsia="SimSun" w:cs="SimSun"/>
          <w:sz w:val="21"/>
          <w:szCs w:val="21"/>
          <w:spacing w:val="1"/>
        </w:rPr>
        <w:t>●建立标准的数据分类体系，实现分类信息的统一</w:t>
      </w:r>
      <w:r>
        <w:rPr>
          <w:rFonts w:ascii="SimSun" w:hAnsi="SimSun" w:eastAsia="SimSun" w:cs="SimSun"/>
          <w:sz w:val="21"/>
          <w:szCs w:val="21"/>
        </w:rPr>
        <w:t>规范化；</w:t>
      </w:r>
    </w:p>
    <w:p>
      <w:pPr>
        <w:ind w:left="739" w:right="223" w:hanging="339"/>
        <w:spacing w:before="60" w:line="242" w:lineRule="auto"/>
        <w:rPr>
          <w:rFonts w:ascii="SimSun" w:hAnsi="SimSun" w:eastAsia="SimSun" w:cs="SimSun"/>
          <w:sz w:val="21"/>
          <w:szCs w:val="21"/>
        </w:rPr>
      </w:pPr>
      <w:r>
        <w:rPr>
          <w:rFonts w:ascii="SimSun" w:hAnsi="SimSun" w:eastAsia="SimSun" w:cs="SimSun"/>
          <w:sz w:val="21"/>
          <w:szCs w:val="21"/>
          <w:spacing w:val="2"/>
        </w:rPr>
        <w:t>●借鉴其他组织的成熟规范编码，建立适合本组织的编码信息库，最大限度地</w:t>
      </w:r>
      <w:r>
        <w:rPr>
          <w:rFonts w:ascii="SimSun" w:hAnsi="SimSun" w:eastAsia="SimSun" w:cs="SimSun"/>
          <w:sz w:val="21"/>
          <w:szCs w:val="21"/>
        </w:rPr>
        <w:t xml:space="preserve"> </w:t>
      </w:r>
      <w:r>
        <w:rPr>
          <w:rFonts w:ascii="SimSun" w:hAnsi="SimSun" w:eastAsia="SimSun" w:cs="SimSun"/>
          <w:sz w:val="21"/>
          <w:szCs w:val="21"/>
          <w:spacing w:val="-5"/>
        </w:rPr>
        <w:t>降低工作量，保证信息的规范性；</w:t>
      </w:r>
    </w:p>
    <w:p>
      <w:pPr>
        <w:spacing w:line="242" w:lineRule="auto"/>
        <w:sectPr>
          <w:footerReference w:type="default" r:id="rId229"/>
          <w:pgSz w:w="8870" w:h="13400"/>
          <w:pgMar w:top="400" w:right="618" w:bottom="537" w:left="419" w:header="0" w:footer="328" w:gutter="0"/>
        </w:sectPr>
        <w:rPr>
          <w:rFonts w:ascii="SimSun" w:hAnsi="SimSun" w:eastAsia="SimSun" w:cs="SimSun"/>
          <w:sz w:val="21"/>
          <w:szCs w:val="21"/>
        </w:rPr>
      </w:pPr>
    </w:p>
    <w:p>
      <w:pPr>
        <w:ind w:left="243"/>
        <w:spacing w:before="265" w:line="219" w:lineRule="auto"/>
        <w:rPr>
          <w:rFonts w:ascii="SimSun" w:hAnsi="SimSun" w:eastAsia="SimSun" w:cs="SimSun"/>
          <w:sz w:val="21"/>
          <w:szCs w:val="21"/>
        </w:rPr>
      </w:pPr>
      <w:r>
        <w:pict>
          <v:rect id="_x0000_s340" style="position:absolute;margin-left:25.0001pt;margin-top:29.5001pt;mso-position-vertical-relative:page;mso-position-horizontal-relative:page;width:0.55pt;height:18.05pt;z-index:254328832;" o:allowincell="f" fillcolor="#000000" filled="true" stroked="false"/>
        </w:pict>
      </w:r>
      <w:bookmarkStart w:name="bookmark52" w:id="47"/>
      <w:bookmarkEnd w:id="47"/>
      <w:bookmarkStart w:name="bookmark53" w:id="48"/>
      <w:bookmarkEnd w:id="48"/>
      <w:r>
        <w:rPr>
          <w:rFonts w:ascii="SimSun" w:hAnsi="SimSun" w:eastAsia="SimSun" w:cs="SimSun"/>
          <w:sz w:val="21"/>
          <w:szCs w:val="21"/>
          <w:b/>
          <w:bCs/>
          <w:spacing w:val="4"/>
        </w:rPr>
        <w:t>云端数据治理</w:t>
      </w:r>
    </w:p>
    <w:p>
      <w:pPr>
        <w:pStyle w:val="BodyText"/>
        <w:spacing w:line="253" w:lineRule="auto"/>
        <w:rPr/>
      </w:pPr>
      <w:r/>
    </w:p>
    <w:p>
      <w:pPr>
        <w:ind w:left="909" w:right="112" w:hanging="270"/>
        <w:spacing w:before="68" w:line="246" w:lineRule="auto"/>
        <w:rPr>
          <w:rFonts w:ascii="SimSun" w:hAnsi="SimSun" w:eastAsia="SimSun" w:cs="SimSun"/>
          <w:sz w:val="21"/>
          <w:szCs w:val="21"/>
        </w:rPr>
      </w:pPr>
      <w:r>
        <w:rPr>
          <w:rFonts w:ascii="SimSun" w:hAnsi="SimSun" w:eastAsia="SimSun" w:cs="SimSun"/>
          <w:sz w:val="21"/>
          <w:szCs w:val="21"/>
          <w:spacing w:val="2"/>
        </w:rPr>
        <w:t>●可提供编码对照功能，与其他信息系统进行编码基础信息的共享和交换，实</w:t>
      </w:r>
      <w:r>
        <w:rPr>
          <w:rFonts w:ascii="SimSun" w:hAnsi="SimSun" w:eastAsia="SimSun" w:cs="SimSun"/>
          <w:sz w:val="21"/>
          <w:szCs w:val="21"/>
          <w:spacing w:val="11"/>
        </w:rPr>
        <w:t xml:space="preserve"> </w:t>
      </w:r>
      <w:r>
        <w:rPr>
          <w:rFonts w:ascii="SimSun" w:hAnsi="SimSun" w:eastAsia="SimSun" w:cs="SimSun"/>
          <w:sz w:val="21"/>
          <w:szCs w:val="21"/>
          <w:spacing w:val="-8"/>
        </w:rPr>
        <w:t>现应用的集成；</w:t>
      </w:r>
    </w:p>
    <w:p>
      <w:pPr>
        <w:ind w:left="639"/>
        <w:spacing w:before="60" w:line="219" w:lineRule="auto"/>
        <w:rPr>
          <w:rFonts w:ascii="SimSun" w:hAnsi="SimSun" w:eastAsia="SimSun" w:cs="SimSun"/>
          <w:sz w:val="21"/>
          <w:szCs w:val="21"/>
        </w:rPr>
      </w:pPr>
      <w:r>
        <w:rPr>
          <w:rFonts w:ascii="SimSun" w:hAnsi="SimSun" w:eastAsia="SimSun" w:cs="SimSun"/>
          <w:sz w:val="21"/>
          <w:szCs w:val="21"/>
          <w:spacing w:val="2"/>
        </w:rPr>
        <w:t>●自动生成编码，保证唯一性、规范性、标准性。</w:t>
      </w:r>
    </w:p>
    <w:p>
      <w:pPr>
        <w:spacing w:line="127" w:lineRule="exact"/>
        <w:rPr/>
      </w:pPr>
      <w:r/>
    </w:p>
    <w:tbl>
      <w:tblPr>
        <w:tblStyle w:val="TableNormal"/>
        <w:tblW w:w="7589"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30"/>
      </w:tblGrid>
      <w:tr>
        <w:trPr>
          <w:trHeight w:val="31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61"/>
              <w:spacing w:before="81" w:line="219" w:lineRule="auto"/>
              <w:rPr>
                <w:sz w:val="16"/>
                <w:szCs w:val="16"/>
              </w:rPr>
            </w:pPr>
            <w:r>
              <w:rPr>
                <w:sz w:val="16"/>
                <w:szCs w:val="16"/>
                <w:spacing w:val="-4"/>
              </w:rPr>
              <w:t>等 级 要 求</w:t>
            </w:r>
          </w:p>
        </w:tc>
        <w:tc>
          <w:tcPr>
            <w:tcW w:w="373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58" w:hRule="atLeast"/>
        </w:trPr>
        <w:tc>
          <w:tcPr>
            <w:tcW w:w="724" w:type="dxa"/>
            <w:vAlign w:val="top"/>
          </w:tcPr>
          <w:p>
            <w:pPr>
              <w:spacing w:line="336" w:lineRule="auto"/>
              <w:rPr>
                <w:rFonts w:ascii="Arial"/>
                <w:sz w:val="21"/>
              </w:rPr>
            </w:pPr>
            <w:r/>
          </w:p>
          <w:p>
            <w:pPr>
              <w:pStyle w:val="TableText"/>
              <w:ind w:left="235"/>
              <w:spacing w:before="52" w:line="183" w:lineRule="auto"/>
              <w:rPr>
                <w:sz w:val="16"/>
                <w:szCs w:val="16"/>
              </w:rPr>
            </w:pPr>
            <w:r>
              <w:rPr>
                <w:sz w:val="16"/>
                <w:szCs w:val="16"/>
                <w:spacing w:val="-2"/>
              </w:rPr>
              <w:t>2.3</w:t>
            </w:r>
          </w:p>
        </w:tc>
        <w:tc>
          <w:tcPr>
            <w:tcW w:w="3135" w:type="dxa"/>
            <w:vAlign w:val="top"/>
          </w:tcPr>
          <w:p>
            <w:pPr>
              <w:pStyle w:val="TableText"/>
              <w:ind w:left="110" w:firstLine="149"/>
              <w:spacing w:before="230" w:line="265" w:lineRule="auto"/>
              <w:rPr>
                <w:sz w:val="16"/>
                <w:szCs w:val="16"/>
              </w:rPr>
            </w:pPr>
            <w:r>
              <w:rPr>
                <w:sz w:val="16"/>
                <w:szCs w:val="16"/>
                <w:spacing w:val="-1"/>
              </w:rPr>
              <w:t>确定当前数据源，确定处理数据的系统和</w:t>
            </w:r>
            <w:r>
              <w:rPr>
                <w:sz w:val="16"/>
                <w:szCs w:val="16"/>
                <w:spacing w:val="1"/>
              </w:rPr>
              <w:t xml:space="preserve"> </w:t>
            </w:r>
            <w:r>
              <w:rPr>
                <w:sz w:val="16"/>
                <w:szCs w:val="16"/>
                <w:spacing w:val="-2"/>
              </w:rPr>
              <w:t>业务流程</w:t>
            </w:r>
          </w:p>
        </w:tc>
        <w:tc>
          <w:tcPr>
            <w:tcW w:w="3730" w:type="dxa"/>
            <w:vAlign w:val="top"/>
          </w:tcPr>
          <w:p>
            <w:pPr>
              <w:pStyle w:val="TableText"/>
              <w:ind w:left="256"/>
              <w:spacing w:before="79" w:line="219" w:lineRule="auto"/>
              <w:rPr>
                <w:sz w:val="16"/>
                <w:szCs w:val="16"/>
              </w:rPr>
            </w:pPr>
            <w:r>
              <w:rPr>
                <w:sz w:val="16"/>
                <w:szCs w:val="16"/>
              </w:rPr>
              <w:t>●数据源追溯及管理规范</w:t>
            </w:r>
          </w:p>
          <w:p>
            <w:pPr>
              <w:pStyle w:val="TableText"/>
              <w:ind w:left="256"/>
              <w:spacing w:before="100" w:line="219" w:lineRule="auto"/>
              <w:rPr>
                <w:sz w:val="16"/>
                <w:szCs w:val="16"/>
              </w:rPr>
            </w:pPr>
            <w:r>
              <w:rPr>
                <w:sz w:val="16"/>
                <w:szCs w:val="16"/>
              </w:rPr>
              <w:t>●主数据处理系统</w:t>
            </w:r>
          </w:p>
          <w:p>
            <w:pPr>
              <w:pStyle w:val="TableText"/>
              <w:ind w:left="256"/>
              <w:spacing w:before="90" w:line="219" w:lineRule="auto"/>
              <w:rPr>
                <w:sz w:val="16"/>
                <w:szCs w:val="16"/>
              </w:rPr>
            </w:pPr>
            <w:r>
              <w:rPr>
                <w:sz w:val="16"/>
                <w:szCs w:val="16"/>
              </w:rPr>
              <w:t>●主数据管理流程</w:t>
            </w:r>
          </w:p>
        </w:tc>
      </w:tr>
    </w:tbl>
    <w:p>
      <w:pPr>
        <w:ind w:left="53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240" w:right="112" w:firstLine="399"/>
        <w:spacing w:before="72" w:line="263" w:lineRule="auto"/>
        <w:rPr>
          <w:rFonts w:ascii="SimSun" w:hAnsi="SimSun" w:eastAsia="SimSun" w:cs="SimSun"/>
          <w:sz w:val="21"/>
          <w:szCs w:val="21"/>
        </w:rPr>
      </w:pPr>
      <w:r>
        <w:rPr>
          <w:rFonts w:ascii="SimSun" w:hAnsi="SimSun" w:eastAsia="SimSun" w:cs="SimSun"/>
          <w:sz w:val="21"/>
          <w:szCs w:val="21"/>
          <w:spacing w:val="2"/>
        </w:rPr>
        <w:t>不是每个数据源都能提供高质量的查询结果。由于数据源返回结果之间存在大</w:t>
      </w:r>
      <w:r>
        <w:rPr>
          <w:rFonts w:ascii="SimSun" w:hAnsi="SimSun" w:eastAsia="SimSun" w:cs="SimSun"/>
          <w:sz w:val="21"/>
          <w:szCs w:val="21"/>
          <w:spacing w:val="10"/>
        </w:rPr>
        <w:t xml:space="preserve"> </w:t>
      </w:r>
      <w:r>
        <w:rPr>
          <w:rFonts w:ascii="SimSun" w:hAnsi="SimSun" w:eastAsia="SimSun" w:cs="SimSun"/>
          <w:sz w:val="21"/>
          <w:szCs w:val="21"/>
          <w:spacing w:val="2"/>
        </w:rPr>
        <w:t>量冗余，查询的数据源数量越多，冗余度也会越大</w:t>
      </w:r>
      <w:r>
        <w:rPr>
          <w:rFonts w:ascii="SimSun" w:hAnsi="SimSun" w:eastAsia="SimSun" w:cs="SimSun"/>
          <w:sz w:val="21"/>
          <w:szCs w:val="21"/>
          <w:spacing w:val="1"/>
        </w:rPr>
        <w:t>，对大量不能保证准确来源的数</w:t>
      </w:r>
      <w:r>
        <w:rPr>
          <w:rFonts w:ascii="SimSun" w:hAnsi="SimSun" w:eastAsia="SimSun" w:cs="SimSun"/>
          <w:sz w:val="21"/>
          <w:szCs w:val="21"/>
        </w:rPr>
        <w:t xml:space="preserve"> </w:t>
      </w:r>
      <w:r>
        <w:rPr>
          <w:rFonts w:ascii="SimSun" w:hAnsi="SimSun" w:eastAsia="SimSun" w:cs="SimSun"/>
          <w:sz w:val="21"/>
          <w:szCs w:val="21"/>
          <w:spacing w:val="1"/>
        </w:rPr>
        <w:t>据进行分析很可能会出现偏颇。基于以上原因，数据源的管理成为一个关键问题。</w:t>
      </w:r>
      <w:r>
        <w:rPr>
          <w:rFonts w:ascii="SimSun" w:hAnsi="SimSun" w:eastAsia="SimSun" w:cs="SimSun"/>
          <w:sz w:val="21"/>
          <w:szCs w:val="21"/>
          <w:spacing w:val="7"/>
        </w:rPr>
        <w:t xml:space="preserve"> </w:t>
      </w:r>
      <w:r>
        <w:rPr>
          <w:rFonts w:ascii="SimSun" w:hAnsi="SimSun" w:eastAsia="SimSun" w:cs="SimSun"/>
          <w:sz w:val="21"/>
          <w:szCs w:val="21"/>
          <w:spacing w:val="2"/>
        </w:rPr>
        <w:t>所以在做云端数据治理时，把查询提交给很少量的数</w:t>
      </w:r>
      <w:r>
        <w:rPr>
          <w:rFonts w:ascii="SimSun" w:hAnsi="SimSun" w:eastAsia="SimSun" w:cs="SimSun"/>
          <w:sz w:val="21"/>
          <w:szCs w:val="21"/>
          <w:spacing w:val="1"/>
        </w:rPr>
        <w:t>据源，但又要求返回的结果能</w:t>
      </w:r>
      <w:r>
        <w:rPr>
          <w:rFonts w:ascii="SimSun" w:hAnsi="SimSun" w:eastAsia="SimSun" w:cs="SimSun"/>
          <w:sz w:val="21"/>
          <w:szCs w:val="21"/>
        </w:rPr>
        <w:t xml:space="preserve"> </w:t>
      </w:r>
      <w:r>
        <w:rPr>
          <w:rFonts w:ascii="SimSun" w:hAnsi="SimSun" w:eastAsia="SimSun" w:cs="SimSun"/>
          <w:sz w:val="21"/>
          <w:szCs w:val="21"/>
          <w:spacing w:val="2"/>
        </w:rPr>
        <w:t>够很好地满足用户的特定需求，是数据源选择的理</w:t>
      </w:r>
      <w:r>
        <w:rPr>
          <w:rFonts w:ascii="SimSun" w:hAnsi="SimSun" w:eastAsia="SimSun" w:cs="SimSun"/>
          <w:sz w:val="21"/>
          <w:szCs w:val="21"/>
          <w:spacing w:val="1"/>
        </w:rPr>
        <w:t>想目标。通过建设适当的数据处</w:t>
      </w:r>
      <w:r>
        <w:rPr>
          <w:rFonts w:ascii="SimSun" w:hAnsi="SimSun" w:eastAsia="SimSun" w:cs="SimSun"/>
          <w:sz w:val="21"/>
          <w:szCs w:val="21"/>
        </w:rPr>
        <w:t xml:space="preserve"> </w:t>
      </w:r>
      <w:r>
        <w:rPr>
          <w:rFonts w:ascii="SimSun" w:hAnsi="SimSun" w:eastAsia="SimSun" w:cs="SimSun"/>
          <w:sz w:val="21"/>
          <w:szCs w:val="21"/>
        </w:rPr>
        <w:t>理系统，并制订规范的业务流程，能够促进实现云端数据治理的价值。</w:t>
      </w:r>
    </w:p>
    <w:p>
      <w:pPr>
        <w:ind w:left="639"/>
        <w:spacing w:before="79" w:line="221" w:lineRule="auto"/>
        <w:rPr>
          <w:rFonts w:ascii="SimHei" w:hAnsi="SimHei" w:eastAsia="SimHei" w:cs="SimHei"/>
          <w:sz w:val="21"/>
          <w:szCs w:val="21"/>
        </w:rPr>
      </w:pPr>
      <w:r>
        <w:rPr>
          <w:rFonts w:ascii="Times New Roman" w:hAnsi="Times New Roman" w:eastAsia="Times New Roman" w:cs="Times New Roman"/>
          <w:sz w:val="21"/>
          <w:szCs w:val="21"/>
          <w:b/>
          <w:bCs/>
        </w:rPr>
        <w:t>Level</w:t>
      </w:r>
      <w:r>
        <w:rPr>
          <w:rFonts w:ascii="Times New Roman" w:hAnsi="Times New Roman" w:eastAsia="Times New Roman" w:cs="Times New Roman"/>
          <w:sz w:val="21"/>
          <w:szCs w:val="21"/>
          <w:b/>
          <w:bCs/>
          <w:spacing w:val="13"/>
          <w:w w:val="101"/>
        </w:rPr>
        <w:t xml:space="preserve">  </w:t>
      </w: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b/>
          <w:bCs/>
          <w:spacing w:val="33"/>
        </w:rPr>
        <w:t xml:space="preserve"> </w:t>
      </w:r>
      <w:r>
        <w:rPr>
          <w:rFonts w:ascii="SimHei" w:hAnsi="SimHei" w:eastAsia="SimHei" w:cs="SimHei"/>
          <w:sz w:val="21"/>
          <w:szCs w:val="21"/>
          <w:b/>
          <w:bCs/>
          <w:spacing w:val="1"/>
        </w:rPr>
        <w:t>定义级</w:t>
      </w:r>
    </w:p>
    <w:p>
      <w:pPr>
        <w:spacing w:line="130" w:lineRule="exact"/>
        <w:rPr/>
      </w:pPr>
      <w:r/>
    </w:p>
    <w:tbl>
      <w:tblPr>
        <w:tblStyle w:val="TableNormal"/>
        <w:tblW w:w="759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40"/>
      </w:tblGrid>
      <w:tr>
        <w:trPr>
          <w:trHeight w:val="32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61"/>
              <w:spacing w:before="81" w:line="219" w:lineRule="auto"/>
              <w:rPr>
                <w:sz w:val="16"/>
                <w:szCs w:val="16"/>
              </w:rPr>
            </w:pPr>
            <w:r>
              <w:rPr>
                <w:sz w:val="16"/>
                <w:szCs w:val="16"/>
                <w:spacing w:val="-4"/>
              </w:rPr>
              <w:t>等 级 要 求</w:t>
            </w:r>
          </w:p>
        </w:tc>
        <w:tc>
          <w:tcPr>
            <w:tcW w:w="3740" w:type="dxa"/>
            <w:vAlign w:val="top"/>
          </w:tcPr>
          <w:p>
            <w:pPr>
              <w:pStyle w:val="TableText"/>
              <w:ind w:left="159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24" w:type="dxa"/>
            <w:vAlign w:val="top"/>
          </w:tcPr>
          <w:p>
            <w:pPr>
              <w:pStyle w:val="TableText"/>
              <w:ind w:left="235"/>
              <w:spacing w:before="240" w:line="184" w:lineRule="auto"/>
              <w:rPr>
                <w:sz w:val="16"/>
                <w:szCs w:val="16"/>
              </w:rPr>
            </w:pPr>
            <w:r>
              <w:rPr>
                <w:sz w:val="16"/>
                <w:szCs w:val="16"/>
                <w:spacing w:val="-3"/>
              </w:rPr>
              <w:t>3.1</w:t>
            </w:r>
          </w:p>
        </w:tc>
        <w:tc>
          <w:tcPr>
            <w:tcW w:w="3135" w:type="dxa"/>
            <w:vAlign w:val="top"/>
          </w:tcPr>
          <w:p>
            <w:pPr>
              <w:pStyle w:val="TableText"/>
              <w:ind w:left="121" w:firstLine="149"/>
              <w:spacing w:before="79" w:line="260" w:lineRule="auto"/>
              <w:rPr>
                <w:sz w:val="16"/>
                <w:szCs w:val="16"/>
              </w:rPr>
            </w:pPr>
            <w:r>
              <w:rPr>
                <w:sz w:val="16"/>
                <w:szCs w:val="16"/>
                <w:spacing w:val="-2"/>
              </w:rPr>
              <w:t>基于统一的制订和维护标准，形成各业务</w:t>
            </w:r>
            <w:r>
              <w:rPr>
                <w:sz w:val="16"/>
                <w:szCs w:val="16"/>
                <w:spacing w:val="9"/>
              </w:rPr>
              <w:t xml:space="preserve"> </w:t>
            </w:r>
            <w:r>
              <w:rPr>
                <w:sz w:val="16"/>
                <w:szCs w:val="16"/>
                <w:spacing w:val="-2"/>
              </w:rPr>
              <w:t>系统能够接收的主数据</w:t>
            </w:r>
          </w:p>
        </w:tc>
        <w:tc>
          <w:tcPr>
            <w:tcW w:w="3740" w:type="dxa"/>
            <w:vAlign w:val="top"/>
          </w:tcPr>
          <w:p>
            <w:pPr>
              <w:pStyle w:val="TableText"/>
              <w:ind w:left="265"/>
              <w:spacing w:before="80" w:line="219" w:lineRule="auto"/>
              <w:rPr>
                <w:sz w:val="16"/>
                <w:szCs w:val="16"/>
              </w:rPr>
            </w:pPr>
            <w:r>
              <w:rPr>
                <w:sz w:val="16"/>
                <w:szCs w:val="16"/>
                <w:spacing w:val="1"/>
              </w:rPr>
              <w:t>●主数据管理规范</w:t>
            </w:r>
          </w:p>
          <w:p>
            <w:pPr>
              <w:pStyle w:val="TableText"/>
              <w:ind w:left="265"/>
              <w:spacing w:before="89" w:line="217" w:lineRule="auto"/>
              <w:rPr>
                <w:sz w:val="16"/>
                <w:szCs w:val="16"/>
              </w:rPr>
            </w:pPr>
            <w:r>
              <w:rPr>
                <w:sz w:val="16"/>
                <w:szCs w:val="16"/>
                <w:spacing w:val="1"/>
              </w:rPr>
              <w:t>●主数据标准</w:t>
            </w:r>
          </w:p>
        </w:tc>
      </w:tr>
    </w:tbl>
    <w:p>
      <w:pPr>
        <w:ind w:left="534"/>
        <w:spacing w:before="193"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240" w:firstLine="399"/>
        <w:spacing w:before="42" w:line="259" w:lineRule="auto"/>
        <w:rPr>
          <w:rFonts w:ascii="SimSun" w:hAnsi="SimSun" w:eastAsia="SimSun" w:cs="SimSun"/>
          <w:sz w:val="21"/>
          <w:szCs w:val="21"/>
        </w:rPr>
      </w:pPr>
      <w:r>
        <w:rPr>
          <w:rFonts w:ascii="SimSun" w:hAnsi="SimSun" w:eastAsia="SimSun" w:cs="SimSun"/>
          <w:sz w:val="21"/>
          <w:szCs w:val="21"/>
          <w:spacing w:val="2"/>
        </w:rPr>
        <w:t>主数据的统一管理意味着构建了一个通用的面向所有业务的平</w:t>
      </w:r>
      <w:r>
        <w:rPr>
          <w:rFonts w:ascii="SimSun" w:hAnsi="SimSun" w:eastAsia="SimSun" w:cs="SimSun"/>
          <w:sz w:val="21"/>
          <w:szCs w:val="21"/>
          <w:spacing w:val="1"/>
        </w:rPr>
        <w:t>台，此时主数据</w:t>
      </w:r>
      <w:r>
        <w:rPr>
          <w:rFonts w:ascii="SimSun" w:hAnsi="SimSun" w:eastAsia="SimSun" w:cs="SimSun"/>
          <w:sz w:val="21"/>
          <w:szCs w:val="21"/>
        </w:rPr>
        <w:t xml:space="preserve">  </w:t>
      </w:r>
      <w:r>
        <w:rPr>
          <w:rFonts w:ascii="SimSun" w:hAnsi="SimSun" w:eastAsia="SimSun" w:cs="SimSun"/>
          <w:sz w:val="21"/>
          <w:szCs w:val="21"/>
          <w:spacing w:val="4"/>
        </w:rPr>
        <w:t>主机作为一个集线器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4"/>
        </w:rPr>
        <w:t>)   </w:t>
      </w:r>
      <w:r>
        <w:rPr>
          <w:rFonts w:ascii="SimSun" w:hAnsi="SimSun" w:eastAsia="SimSun" w:cs="SimSun"/>
          <w:sz w:val="21"/>
          <w:szCs w:val="21"/>
          <w:spacing w:val="4"/>
        </w:rPr>
        <w:t>从多个业务系统整合主题域数据，使用集中和标准化</w:t>
      </w:r>
      <w:r>
        <w:rPr>
          <w:rFonts w:ascii="SimSun" w:hAnsi="SimSun" w:eastAsia="SimSun" w:cs="SimSun"/>
          <w:sz w:val="21"/>
          <w:szCs w:val="21"/>
        </w:rPr>
        <w:t xml:space="preserve">  </w:t>
      </w:r>
      <w:r>
        <w:rPr>
          <w:rFonts w:ascii="SimSun" w:hAnsi="SimSun" w:eastAsia="SimSun" w:cs="SimSun"/>
          <w:sz w:val="21"/>
          <w:szCs w:val="21"/>
          <w:spacing w:val="-2"/>
        </w:rPr>
        <w:t>的方法转换异构数据。通过使用统一的数据标准，有效地解决了数据不一致的问题，</w:t>
      </w:r>
      <w:r>
        <w:rPr>
          <w:rFonts w:ascii="SimSun" w:hAnsi="SimSun" w:eastAsia="SimSun" w:cs="SimSun"/>
          <w:sz w:val="21"/>
          <w:szCs w:val="21"/>
        </w:rPr>
        <w:t xml:space="preserve"> </w:t>
      </w:r>
      <w:r>
        <w:rPr>
          <w:rFonts w:ascii="SimSun" w:hAnsi="SimSun" w:eastAsia="SimSun" w:cs="SimSun"/>
          <w:sz w:val="21"/>
          <w:szCs w:val="21"/>
          <w:spacing w:val="-1"/>
        </w:rPr>
        <w:t>避免了数据在不同的地方代表不同的含义，大大降低了外部应用访问数据的复杂性。</w:t>
      </w:r>
    </w:p>
    <w:p>
      <w:pPr>
        <w:spacing w:line="147"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40"/>
      </w:tblGrid>
      <w:tr>
        <w:trPr>
          <w:trHeight w:val="32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41"/>
              <w:spacing w:before="81" w:line="219" w:lineRule="auto"/>
              <w:rPr>
                <w:sz w:val="16"/>
                <w:szCs w:val="16"/>
              </w:rPr>
            </w:pPr>
            <w:r>
              <w:rPr>
                <w:sz w:val="16"/>
                <w:szCs w:val="16"/>
                <w:spacing w:val="-4"/>
              </w:rPr>
              <w:t>等 级 要 求</w:t>
            </w:r>
          </w:p>
        </w:tc>
        <w:tc>
          <w:tcPr>
            <w:tcW w:w="374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24" w:type="dxa"/>
            <w:vAlign w:val="top"/>
          </w:tcPr>
          <w:p>
            <w:pPr>
              <w:pStyle w:val="TableText"/>
              <w:ind w:left="235"/>
              <w:spacing w:before="241" w:line="183" w:lineRule="auto"/>
              <w:rPr>
                <w:sz w:val="16"/>
                <w:szCs w:val="16"/>
              </w:rPr>
            </w:pPr>
            <w:r>
              <w:rPr>
                <w:sz w:val="16"/>
                <w:szCs w:val="16"/>
                <w:spacing w:val="-3"/>
              </w:rPr>
              <w:t>3.2</w:t>
            </w:r>
          </w:p>
        </w:tc>
        <w:tc>
          <w:tcPr>
            <w:tcW w:w="3135" w:type="dxa"/>
            <w:vAlign w:val="top"/>
          </w:tcPr>
          <w:p>
            <w:pPr>
              <w:pStyle w:val="TableText"/>
              <w:ind w:left="201"/>
              <w:spacing w:before="200" w:line="219" w:lineRule="auto"/>
              <w:rPr>
                <w:sz w:val="16"/>
                <w:szCs w:val="16"/>
              </w:rPr>
            </w:pPr>
            <w:r>
              <w:rPr>
                <w:sz w:val="16"/>
                <w:szCs w:val="16"/>
                <w:spacing w:val="-1"/>
              </w:rPr>
              <w:t>确定业务问题、定义主数据的涉及领域</w:t>
            </w:r>
          </w:p>
        </w:tc>
        <w:tc>
          <w:tcPr>
            <w:tcW w:w="3740" w:type="dxa"/>
            <w:vAlign w:val="top"/>
          </w:tcPr>
          <w:p>
            <w:pPr>
              <w:pStyle w:val="TableText"/>
              <w:ind w:left="266"/>
              <w:spacing w:before="89" w:line="218" w:lineRule="auto"/>
              <w:rPr>
                <w:sz w:val="16"/>
                <w:szCs w:val="16"/>
              </w:rPr>
            </w:pPr>
            <w:r>
              <w:rPr>
                <w:sz w:val="16"/>
                <w:szCs w:val="16"/>
                <w:spacing w:val="1"/>
              </w:rPr>
              <w:t>●业务需求分析报告</w:t>
            </w:r>
          </w:p>
          <w:p>
            <w:pPr>
              <w:pStyle w:val="TableText"/>
              <w:ind w:left="266"/>
              <w:spacing w:before="92" w:line="206" w:lineRule="auto"/>
              <w:rPr>
                <w:sz w:val="16"/>
                <w:szCs w:val="16"/>
              </w:rPr>
            </w:pPr>
            <w:r>
              <w:rPr>
                <w:sz w:val="16"/>
                <w:szCs w:val="16"/>
                <w:spacing w:val="1"/>
              </w:rPr>
              <w:t>●主数据分类规则</w:t>
            </w:r>
          </w:p>
        </w:tc>
      </w:tr>
    </w:tbl>
    <w:p>
      <w:pPr>
        <w:ind w:left="53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40" w:right="18" w:firstLine="399"/>
        <w:spacing w:before="53" w:line="265" w:lineRule="auto"/>
        <w:rPr>
          <w:rFonts w:ascii="SimSun" w:hAnsi="SimSun" w:eastAsia="SimSun" w:cs="SimSun"/>
          <w:sz w:val="21"/>
          <w:szCs w:val="21"/>
        </w:rPr>
      </w:pPr>
      <w:r>
        <w:rPr>
          <w:rFonts w:ascii="SimSun" w:hAnsi="SimSun" w:eastAsia="SimSun" w:cs="SimSun"/>
          <w:sz w:val="21"/>
          <w:szCs w:val="21"/>
          <w:spacing w:val="2"/>
        </w:rPr>
        <w:t>主数据管理主要是通过一组规程、方法和技术解决方案来保证与业务相关的整</w:t>
      </w:r>
      <w:r>
        <w:rPr>
          <w:rFonts w:ascii="SimSun" w:hAnsi="SimSun" w:eastAsia="SimSun" w:cs="SimSun"/>
          <w:sz w:val="21"/>
          <w:szCs w:val="21"/>
          <w:spacing w:val="5"/>
        </w:rPr>
        <w:t xml:space="preserve">  </w:t>
      </w:r>
      <w:r>
        <w:rPr>
          <w:rFonts w:ascii="SimSun" w:hAnsi="SimSun" w:eastAsia="SimSun" w:cs="SimSun"/>
          <w:sz w:val="21"/>
          <w:szCs w:val="21"/>
          <w:spacing w:val="2"/>
        </w:rPr>
        <w:t>个信息供应链内涉及的领域以及领域间相关主数据的</w:t>
      </w:r>
      <w:r>
        <w:rPr>
          <w:rFonts w:ascii="SimSun" w:hAnsi="SimSun" w:eastAsia="SimSun" w:cs="SimSun"/>
          <w:sz w:val="21"/>
          <w:szCs w:val="21"/>
          <w:spacing w:val="1"/>
        </w:rPr>
        <w:t>完整一致性。因此，首先需要</w:t>
      </w:r>
      <w:r>
        <w:rPr>
          <w:rFonts w:ascii="SimSun" w:hAnsi="SimSun" w:eastAsia="SimSun" w:cs="SimSun"/>
          <w:sz w:val="21"/>
          <w:szCs w:val="21"/>
        </w:rPr>
        <w:t xml:space="preserve">  </w:t>
      </w:r>
      <w:r>
        <w:rPr>
          <w:rFonts w:ascii="SimSun" w:hAnsi="SimSun" w:eastAsia="SimSun" w:cs="SimSun"/>
          <w:sz w:val="21"/>
          <w:szCs w:val="21"/>
          <w:spacing w:val="1"/>
        </w:rPr>
        <w:t>确定与主数据管理相关的业务问题是什么,从而开展具有针对性的主数据管理工作。</w:t>
      </w:r>
      <w:r>
        <w:rPr>
          <w:rFonts w:ascii="SimSun" w:hAnsi="SimSun" w:eastAsia="SimSun" w:cs="SimSun"/>
          <w:sz w:val="21"/>
          <w:szCs w:val="21"/>
          <w:spacing w:val="11"/>
        </w:rPr>
        <w:t xml:space="preserve"> </w:t>
      </w:r>
      <w:r>
        <w:rPr>
          <w:rFonts w:ascii="SimSun" w:hAnsi="SimSun" w:eastAsia="SimSun" w:cs="SimSun"/>
          <w:sz w:val="21"/>
          <w:szCs w:val="21"/>
          <w:spacing w:val="2"/>
        </w:rPr>
        <w:t>同时，对于主数据涉及的领域明确定义有助于开展主数据管理工作，并</w:t>
      </w:r>
      <w:r>
        <w:rPr>
          <w:rFonts w:ascii="SimSun" w:hAnsi="SimSun" w:eastAsia="SimSun" w:cs="SimSun"/>
          <w:sz w:val="21"/>
          <w:szCs w:val="21"/>
          <w:spacing w:val="1"/>
        </w:rPr>
        <w:t>在海量云端 </w:t>
      </w:r>
      <w:r>
        <w:rPr>
          <w:rFonts w:ascii="SimSun" w:hAnsi="SimSun" w:eastAsia="SimSun" w:cs="SimSun"/>
          <w:sz w:val="21"/>
          <w:szCs w:val="21"/>
          <w:spacing w:val="2"/>
        </w:rPr>
        <w:t>数据环境下有利于快速寻找与主数据管理目标相一致的数据内容。主</w:t>
      </w:r>
      <w:r>
        <w:rPr>
          <w:rFonts w:ascii="SimSun" w:hAnsi="SimSun" w:eastAsia="SimSun" w:cs="SimSun"/>
          <w:sz w:val="21"/>
          <w:szCs w:val="21"/>
          <w:spacing w:val="1"/>
        </w:rPr>
        <w:t>数据不再按照</w:t>
      </w:r>
      <w:r>
        <w:rPr>
          <w:rFonts w:ascii="SimSun" w:hAnsi="SimSun" w:eastAsia="SimSun" w:cs="SimSun"/>
          <w:sz w:val="21"/>
          <w:szCs w:val="21"/>
        </w:rPr>
        <w:t xml:space="preserve">  </w:t>
      </w:r>
      <w:r>
        <w:rPr>
          <w:rFonts w:ascii="SimSun" w:hAnsi="SimSun" w:eastAsia="SimSun" w:cs="SimSun"/>
          <w:sz w:val="21"/>
          <w:szCs w:val="21"/>
          <w:spacing w:val="2"/>
        </w:rPr>
        <w:t>业务条块分开存储，而是按照涉及领域集中存储和管理，打破了各业务</w:t>
      </w:r>
      <w:r>
        <w:rPr>
          <w:rFonts w:ascii="SimSun" w:hAnsi="SimSun" w:eastAsia="SimSun" w:cs="SimSun"/>
          <w:sz w:val="21"/>
          <w:szCs w:val="21"/>
          <w:spacing w:val="1"/>
        </w:rPr>
        <w:t>“竖井”的 </w:t>
      </w:r>
      <w:r>
        <w:rPr>
          <w:rFonts w:ascii="SimSun" w:hAnsi="SimSun" w:eastAsia="SimSun" w:cs="SimSun"/>
          <w:sz w:val="21"/>
          <w:szCs w:val="21"/>
          <w:spacing w:val="-7"/>
        </w:rPr>
        <w:t>组织边界。</w:t>
      </w:r>
    </w:p>
    <w:p>
      <w:pPr>
        <w:spacing w:line="265" w:lineRule="auto"/>
        <w:sectPr>
          <w:footerReference w:type="default" r:id="rId230"/>
          <w:pgSz w:w="8870" w:h="13400"/>
          <w:pgMar w:top="400" w:right="466" w:bottom="508" w:left="430" w:header="0" w:footer="299" w:gutter="0"/>
        </w:sectPr>
        <w:rPr>
          <w:rFonts w:ascii="SimSun" w:hAnsi="SimSun" w:eastAsia="SimSun" w:cs="SimSun"/>
          <w:sz w:val="21"/>
          <w:szCs w:val="21"/>
        </w:rPr>
      </w:pPr>
    </w:p>
    <w:p>
      <w:pPr>
        <w:ind w:left="5472"/>
        <w:spacing w:before="284" w:line="219" w:lineRule="auto"/>
        <w:rPr>
          <w:rFonts w:ascii="SimSun" w:hAnsi="SimSun" w:eastAsia="SimSun" w:cs="SimSun"/>
          <w:sz w:val="21"/>
          <w:szCs w:val="21"/>
        </w:rPr>
      </w:pPr>
      <w:r>
        <w:rPr>
          <w:rFonts w:ascii="SimSun" w:hAnsi="SimSun" w:eastAsia="SimSun" w:cs="SimSun"/>
          <w:sz w:val="21"/>
          <w:szCs w:val="21"/>
          <w:b/>
          <w:bCs/>
          <w:spacing w:val="15"/>
        </w:rPr>
        <w:t>第5章■云端数据管理</w:t>
      </w:r>
    </w:p>
    <w:p>
      <w:pPr>
        <w:spacing w:before="119"/>
        <w:rPr/>
      </w:pPr>
      <w:r/>
    </w:p>
    <w:tbl>
      <w:tblPr>
        <w:tblStyle w:val="TableNormal"/>
        <w:tblW w:w="759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6"/>
        <w:gridCol w:w="3740"/>
      </w:tblGrid>
      <w:tr>
        <w:trPr>
          <w:trHeight w:val="332" w:hRule="atLeast"/>
        </w:trPr>
        <w:tc>
          <w:tcPr>
            <w:tcW w:w="724" w:type="dxa"/>
            <w:vAlign w:val="top"/>
          </w:tcPr>
          <w:p>
            <w:pPr>
              <w:pStyle w:val="TableText"/>
              <w:ind w:left="205"/>
              <w:spacing w:before="92" w:line="221" w:lineRule="auto"/>
              <w:rPr/>
            </w:pPr>
            <w:r>
              <w:rPr>
                <w:spacing w:val="-2"/>
              </w:rPr>
              <w:t>序号</w:t>
            </w:r>
          </w:p>
        </w:tc>
        <w:tc>
          <w:tcPr>
            <w:tcW w:w="3126" w:type="dxa"/>
            <w:vAlign w:val="top"/>
          </w:tcPr>
          <w:p>
            <w:pPr>
              <w:pStyle w:val="TableText"/>
              <w:ind w:left="113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848" w:hRule="atLeast"/>
        </w:trPr>
        <w:tc>
          <w:tcPr>
            <w:tcW w:w="724" w:type="dxa"/>
            <w:vAlign w:val="top"/>
          </w:tcPr>
          <w:p>
            <w:pPr>
              <w:spacing w:line="337" w:lineRule="auto"/>
              <w:rPr>
                <w:rFonts w:ascii="Arial"/>
                <w:sz w:val="21"/>
              </w:rPr>
            </w:pPr>
            <w:r/>
          </w:p>
          <w:p>
            <w:pPr>
              <w:pStyle w:val="TableText"/>
              <w:ind w:left="235"/>
              <w:spacing w:before="48" w:line="183" w:lineRule="auto"/>
              <w:rPr/>
            </w:pPr>
            <w:r>
              <w:rPr>
                <w:spacing w:val="-2"/>
              </w:rPr>
              <w:t>3.3</w:t>
            </w:r>
          </w:p>
        </w:tc>
        <w:tc>
          <w:tcPr>
            <w:tcW w:w="3126" w:type="dxa"/>
            <w:vAlign w:val="top"/>
          </w:tcPr>
          <w:p>
            <w:pPr>
              <w:pStyle w:val="TableText"/>
              <w:ind w:left="161" w:right="100" w:firstLine="40"/>
              <w:spacing w:before="78" w:line="357" w:lineRule="auto"/>
              <w:jc w:val="both"/>
              <w:rPr/>
            </w:pPr>
            <w:r>
              <w:rPr/>
              <w:t>匹配相同源或多个源中的重复可疑项，创</w:t>
            </w:r>
            <w:r>
              <w:rPr>
                <w:spacing w:val="4"/>
              </w:rPr>
              <w:t xml:space="preserve">  </w:t>
            </w:r>
            <w:r>
              <w:rPr/>
              <w:t>建新的主记录，链接多个源中的相关记录，</w:t>
            </w:r>
          </w:p>
          <w:p>
            <w:pPr>
              <w:pStyle w:val="TableText"/>
              <w:ind w:left="101"/>
              <w:spacing w:line="219" w:lineRule="auto"/>
              <w:rPr/>
            </w:pPr>
            <w:r>
              <w:rPr>
                <w:spacing w:val="-1"/>
              </w:rPr>
              <w:t>检查唯一标识的重复项</w:t>
            </w:r>
          </w:p>
        </w:tc>
        <w:tc>
          <w:tcPr>
            <w:tcW w:w="3740" w:type="dxa"/>
            <w:vAlign w:val="top"/>
          </w:tcPr>
          <w:p>
            <w:pPr>
              <w:pStyle w:val="TableText"/>
              <w:ind w:left="255"/>
              <w:spacing w:before="79" w:line="219" w:lineRule="auto"/>
              <w:rPr/>
            </w:pPr>
            <w:r>
              <w:rPr/>
              <w:t>●数据质量控制要求</w:t>
            </w:r>
          </w:p>
          <w:p>
            <w:pPr>
              <w:pStyle w:val="TableText"/>
              <w:ind w:left="255"/>
              <w:spacing w:before="102" w:line="219" w:lineRule="auto"/>
              <w:rPr/>
            </w:pPr>
            <w:r>
              <w:rPr>
                <w:spacing w:val="1"/>
              </w:rPr>
              <w:t>●数据清洗指南</w:t>
            </w:r>
          </w:p>
          <w:p>
            <w:pPr>
              <w:pStyle w:val="TableText"/>
              <w:ind w:left="255"/>
              <w:spacing w:before="101" w:line="219" w:lineRule="auto"/>
              <w:rPr/>
            </w:pPr>
            <w:r>
              <w:rPr>
                <w:spacing w:val="1"/>
              </w:rPr>
              <w:t>●数据源匹配规则</w:t>
            </w:r>
          </w:p>
        </w:tc>
      </w:tr>
    </w:tbl>
    <w:p>
      <w:pPr>
        <w:ind w:left="304"/>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156" w:firstLine="409"/>
        <w:spacing w:before="53" w:line="263" w:lineRule="auto"/>
        <w:rPr>
          <w:rFonts w:ascii="SimSun" w:hAnsi="SimSun" w:eastAsia="SimSun" w:cs="SimSun"/>
          <w:sz w:val="21"/>
          <w:szCs w:val="21"/>
        </w:rPr>
      </w:pPr>
      <w:r>
        <w:rPr>
          <w:rFonts w:ascii="SimSun" w:hAnsi="SimSun" w:eastAsia="SimSun" w:cs="SimSun"/>
          <w:sz w:val="21"/>
          <w:szCs w:val="21"/>
        </w:rPr>
        <w:t>云端数据生命周期过程中的分散特性带来了数据源的不一致和重复的主数据，</w:t>
      </w:r>
      <w:r>
        <w:rPr>
          <w:rFonts w:ascii="SimSun" w:hAnsi="SimSun" w:eastAsia="SimSun" w:cs="SimSun"/>
          <w:sz w:val="21"/>
          <w:szCs w:val="21"/>
          <w:spacing w:val="2"/>
        </w:rPr>
        <w:t xml:space="preserve">  </w:t>
      </w:r>
      <w:r>
        <w:rPr>
          <w:rFonts w:ascii="SimSun" w:hAnsi="SimSun" w:eastAsia="SimSun" w:cs="SimSun"/>
          <w:sz w:val="21"/>
          <w:szCs w:val="21"/>
          <w:spacing w:val="1"/>
        </w:rPr>
        <w:t>在云端数据治理过程中需要抱着发现重复、错误和不一致的宗旨检查数据的一致性</w:t>
      </w:r>
      <w:r>
        <w:rPr>
          <w:rFonts w:ascii="SimSun" w:hAnsi="SimSun" w:eastAsia="SimSun" w:cs="SimSun"/>
          <w:sz w:val="21"/>
          <w:szCs w:val="21"/>
          <w:spacing w:val="10"/>
        </w:rPr>
        <w:t xml:space="preserve"> </w:t>
      </w:r>
      <w:r>
        <w:rPr>
          <w:rFonts w:ascii="SimSun" w:hAnsi="SimSun" w:eastAsia="SimSun" w:cs="SimSun"/>
          <w:sz w:val="21"/>
          <w:szCs w:val="21"/>
          <w:spacing w:val="-3"/>
        </w:rPr>
        <w:t>和结构，通过数据质量控制和数据清洗等手段匹配相同源或多个源中的重复可疑项，</w:t>
      </w:r>
      <w:r>
        <w:rPr>
          <w:rFonts w:ascii="SimSun" w:hAnsi="SimSun" w:eastAsia="SimSun" w:cs="SimSun"/>
          <w:sz w:val="21"/>
          <w:szCs w:val="21"/>
          <w:spacing w:val="4"/>
        </w:rPr>
        <w:t xml:space="preserve"> </w:t>
      </w:r>
      <w:r>
        <w:rPr>
          <w:rFonts w:ascii="SimSun" w:hAnsi="SimSun" w:eastAsia="SimSun" w:cs="SimSun"/>
          <w:sz w:val="21"/>
          <w:szCs w:val="21"/>
          <w:spacing w:val="1"/>
        </w:rPr>
        <w:t>解决错误和不完整的数据，将云端相同数据的多个版本合并为一个真实版本。通过</w:t>
      </w:r>
      <w:r>
        <w:rPr>
          <w:rFonts w:ascii="SimSun" w:hAnsi="SimSun" w:eastAsia="SimSun" w:cs="SimSun"/>
          <w:sz w:val="21"/>
          <w:szCs w:val="21"/>
          <w:spacing w:val="10"/>
        </w:rPr>
        <w:t xml:space="preserve"> </w:t>
      </w:r>
      <w:r>
        <w:rPr>
          <w:rFonts w:ascii="SimSun" w:hAnsi="SimSun" w:eastAsia="SimSun" w:cs="SimSun"/>
          <w:sz w:val="21"/>
          <w:szCs w:val="21"/>
          <w:spacing w:val="1"/>
        </w:rPr>
        <w:t>集中组织业务相关数据实现冗余数据存储数量的减少甚至消除，并且可以淘汰保存</w:t>
      </w:r>
      <w:r>
        <w:rPr>
          <w:rFonts w:ascii="SimSun" w:hAnsi="SimSun" w:eastAsia="SimSun" w:cs="SimSun"/>
          <w:sz w:val="21"/>
          <w:szCs w:val="21"/>
          <w:spacing w:val="12"/>
        </w:rPr>
        <w:t xml:space="preserve"> </w:t>
      </w:r>
      <w:r>
        <w:rPr>
          <w:rFonts w:ascii="SimSun" w:hAnsi="SimSun" w:eastAsia="SimSun" w:cs="SimSun"/>
          <w:sz w:val="21"/>
          <w:szCs w:val="21"/>
          <w:spacing w:val="-3"/>
        </w:rPr>
        <w:t>有重复数据的实例，从而显著降低成本。</w:t>
      </w:r>
    </w:p>
    <w:p>
      <w:pPr>
        <w:spacing w:line="159" w:lineRule="exact"/>
        <w:rPr/>
      </w:pPr>
      <w:r/>
    </w:p>
    <w:tbl>
      <w:tblPr>
        <w:tblStyle w:val="TableNormal"/>
        <w:tblW w:w="759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6"/>
        <w:gridCol w:w="3750"/>
      </w:tblGrid>
      <w:tr>
        <w:trPr>
          <w:trHeight w:val="31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16" w:type="dxa"/>
            <w:vAlign w:val="top"/>
          </w:tcPr>
          <w:p>
            <w:pPr>
              <w:pStyle w:val="TableText"/>
              <w:ind w:left="1141"/>
              <w:spacing w:before="81" w:line="219" w:lineRule="auto"/>
              <w:rPr>
                <w:sz w:val="16"/>
                <w:szCs w:val="16"/>
              </w:rPr>
            </w:pPr>
            <w:r>
              <w:rPr>
                <w:sz w:val="16"/>
                <w:szCs w:val="16"/>
                <w:spacing w:val="-4"/>
              </w:rPr>
              <w:t>等 级 要 求</w:t>
            </w:r>
          </w:p>
        </w:tc>
        <w:tc>
          <w:tcPr>
            <w:tcW w:w="3750" w:type="dxa"/>
            <w:vAlign w:val="top"/>
          </w:tcPr>
          <w:p>
            <w:pPr>
              <w:pStyle w:val="TableText"/>
              <w:ind w:left="1564"/>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24" w:type="dxa"/>
            <w:vAlign w:val="top"/>
          </w:tcPr>
          <w:p>
            <w:pPr>
              <w:spacing w:line="326" w:lineRule="auto"/>
              <w:rPr>
                <w:rFonts w:ascii="Arial"/>
                <w:sz w:val="21"/>
              </w:rPr>
            </w:pPr>
            <w:r/>
          </w:p>
          <w:p>
            <w:pPr>
              <w:pStyle w:val="TableText"/>
              <w:ind w:left="235"/>
              <w:spacing w:before="52" w:line="183" w:lineRule="auto"/>
              <w:rPr>
                <w:sz w:val="16"/>
                <w:szCs w:val="16"/>
              </w:rPr>
            </w:pPr>
            <w:r>
              <w:rPr>
                <w:sz w:val="16"/>
                <w:szCs w:val="16"/>
                <w:spacing w:val="-3"/>
              </w:rPr>
              <w:t>3.4</w:t>
            </w:r>
          </w:p>
        </w:tc>
        <w:tc>
          <w:tcPr>
            <w:tcW w:w="3116" w:type="dxa"/>
            <w:vAlign w:val="top"/>
          </w:tcPr>
          <w:p>
            <w:pPr>
              <w:spacing w:line="285" w:lineRule="auto"/>
              <w:rPr>
                <w:rFonts w:ascii="Arial"/>
                <w:sz w:val="21"/>
              </w:rPr>
            </w:pPr>
            <w:r/>
          </w:p>
          <w:p>
            <w:pPr>
              <w:pStyle w:val="TableText"/>
              <w:ind w:left="271"/>
              <w:spacing w:before="52" w:line="219" w:lineRule="auto"/>
              <w:rPr>
                <w:sz w:val="16"/>
                <w:szCs w:val="16"/>
              </w:rPr>
            </w:pPr>
            <w:r>
              <w:rPr>
                <w:sz w:val="16"/>
                <w:szCs w:val="16"/>
                <w:spacing w:val="-1"/>
              </w:rPr>
              <w:t>制订主数据监管策略</w:t>
            </w:r>
          </w:p>
        </w:tc>
        <w:tc>
          <w:tcPr>
            <w:tcW w:w="3750" w:type="dxa"/>
            <w:vAlign w:val="top"/>
          </w:tcPr>
          <w:p>
            <w:pPr>
              <w:pStyle w:val="TableText"/>
              <w:ind w:left="275"/>
              <w:spacing w:before="79" w:line="219" w:lineRule="auto"/>
              <w:rPr>
                <w:sz w:val="16"/>
                <w:szCs w:val="16"/>
              </w:rPr>
            </w:pPr>
            <w:r>
              <w:rPr>
                <w:sz w:val="16"/>
                <w:szCs w:val="16"/>
              </w:rPr>
              <w:t>●主数据监管策略</w:t>
            </w:r>
          </w:p>
          <w:p>
            <w:pPr>
              <w:pStyle w:val="TableText"/>
              <w:ind w:left="275"/>
              <w:spacing w:before="100" w:line="219" w:lineRule="auto"/>
              <w:rPr>
                <w:sz w:val="16"/>
                <w:szCs w:val="16"/>
              </w:rPr>
            </w:pPr>
            <w:r>
              <w:rPr>
                <w:sz w:val="16"/>
                <w:szCs w:val="16"/>
              </w:rPr>
              <w:t>●数据管理员职责和权限</w:t>
            </w:r>
          </w:p>
          <w:p>
            <w:pPr>
              <w:pStyle w:val="TableText"/>
              <w:ind w:left="275"/>
              <w:spacing w:before="69" w:line="218" w:lineRule="auto"/>
              <w:rPr>
                <w:sz w:val="16"/>
                <w:szCs w:val="16"/>
              </w:rPr>
            </w:pPr>
            <w:r>
              <w:rPr>
                <w:sz w:val="16"/>
                <w:szCs w:val="16"/>
              </w:rPr>
              <w:t>●数据质量控制要求</w:t>
            </w:r>
          </w:p>
        </w:tc>
      </w:tr>
    </w:tbl>
    <w:p>
      <w:pPr>
        <w:ind w:left="30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156" w:firstLine="409"/>
        <w:spacing w:before="71" w:line="249" w:lineRule="auto"/>
        <w:rPr>
          <w:rFonts w:ascii="SimSun" w:hAnsi="SimSun" w:eastAsia="SimSun" w:cs="SimSun"/>
          <w:sz w:val="21"/>
          <w:szCs w:val="21"/>
        </w:rPr>
      </w:pPr>
      <w:r>
        <w:rPr>
          <w:rFonts w:ascii="SimSun" w:hAnsi="SimSun" w:eastAsia="SimSun" w:cs="SimSun"/>
          <w:sz w:val="21"/>
          <w:szCs w:val="21"/>
          <w:spacing w:val="-3"/>
        </w:rPr>
        <w:t>主数据监管是个持续的过程，组织管理者通过主数据监管管理其主数据的质量，</w:t>
      </w:r>
      <w:r>
        <w:rPr>
          <w:rFonts w:ascii="SimSun" w:hAnsi="SimSun" w:eastAsia="SimSun" w:cs="SimSun"/>
          <w:sz w:val="21"/>
          <w:szCs w:val="21"/>
          <w:spacing w:val="8"/>
        </w:rPr>
        <w:t xml:space="preserve"> </w:t>
      </w:r>
      <w:r>
        <w:rPr>
          <w:rFonts w:ascii="SimSun" w:hAnsi="SimSun" w:eastAsia="SimSun" w:cs="SimSun"/>
          <w:sz w:val="21"/>
          <w:szCs w:val="21"/>
          <w:spacing w:val="1"/>
        </w:rPr>
        <w:t>定义准则、策略、流程、业务规则以及度量值，从而实现业务目标。包括委派数据</w:t>
      </w:r>
      <w:r>
        <w:rPr>
          <w:rFonts w:ascii="SimSun" w:hAnsi="SimSun" w:eastAsia="SimSun" w:cs="SimSun"/>
          <w:sz w:val="21"/>
          <w:szCs w:val="21"/>
          <w:spacing w:val="15"/>
        </w:rPr>
        <w:t xml:space="preserve"> </w:t>
      </w:r>
      <w:r>
        <w:rPr>
          <w:rFonts w:ascii="SimSun" w:hAnsi="SimSun" w:eastAsia="SimSun" w:cs="SimSun"/>
          <w:sz w:val="21"/>
          <w:szCs w:val="21"/>
          <w:spacing w:val="-6"/>
        </w:rPr>
        <w:t>管理员、管理数据质量。</w:t>
      </w:r>
    </w:p>
    <w:p>
      <w:pPr>
        <w:ind w:right="156" w:firstLine="409"/>
        <w:spacing w:before="79" w:line="261" w:lineRule="auto"/>
        <w:rPr>
          <w:rFonts w:ascii="SimSun" w:hAnsi="SimSun" w:eastAsia="SimSun" w:cs="SimSun"/>
          <w:sz w:val="21"/>
          <w:szCs w:val="21"/>
        </w:rPr>
      </w:pPr>
      <w:r>
        <w:rPr>
          <w:rFonts w:ascii="SimSun" w:hAnsi="SimSun" w:eastAsia="SimSun" w:cs="SimSun"/>
          <w:sz w:val="21"/>
          <w:szCs w:val="21"/>
          <w:spacing w:val="2"/>
        </w:rPr>
        <w:t>委派数据管理员：主要包括委派首席数据管理员、确定</w:t>
      </w:r>
      <w:r>
        <w:rPr>
          <w:rFonts w:ascii="SimSun" w:hAnsi="SimSun" w:eastAsia="SimSun" w:cs="SimSun"/>
          <w:sz w:val="21"/>
          <w:szCs w:val="21"/>
          <w:spacing w:val="1"/>
        </w:rPr>
        <w:t>数据管理工作计划的配</w:t>
      </w:r>
      <w:r>
        <w:rPr>
          <w:rFonts w:ascii="SimSun" w:hAnsi="SimSun" w:eastAsia="SimSun" w:cs="SimSun"/>
          <w:sz w:val="21"/>
          <w:szCs w:val="21"/>
        </w:rPr>
        <w:t xml:space="preserve"> </w:t>
      </w:r>
      <w:r>
        <w:rPr>
          <w:rFonts w:ascii="SimSun" w:hAnsi="SimSun" w:eastAsia="SimSun" w:cs="SimSun"/>
          <w:sz w:val="21"/>
          <w:szCs w:val="21"/>
          <w:spacing w:val="2"/>
        </w:rPr>
        <w:t>置(根据成熟度的不同，从低到高分为按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2"/>
        </w:rPr>
        <w:t>系统、按组织和按主题区域调整数据管</w:t>
      </w:r>
      <w:r>
        <w:rPr>
          <w:rFonts w:ascii="SimSun" w:hAnsi="SimSun" w:eastAsia="SimSun" w:cs="SimSun"/>
          <w:sz w:val="21"/>
          <w:szCs w:val="21"/>
        </w:rPr>
        <w:t xml:space="preserve"> </w:t>
      </w:r>
      <w:r>
        <w:rPr>
          <w:rFonts w:ascii="SimSun" w:hAnsi="SimSun" w:eastAsia="SimSun" w:cs="SimSun"/>
          <w:sz w:val="21"/>
          <w:szCs w:val="21"/>
        </w:rPr>
        <w:t>理工作)、确定每个数据领域的主管发起人以及为每个数据领域分配数据管理员</w:t>
      </w:r>
      <w:r>
        <w:rPr>
          <w:rFonts w:ascii="SimSun" w:hAnsi="SimSun" w:eastAsia="SimSun" w:cs="SimSun"/>
          <w:sz w:val="21"/>
          <w:szCs w:val="21"/>
          <w:spacing w:val="-1"/>
        </w:rPr>
        <w:t>等。</w:t>
      </w:r>
    </w:p>
    <w:p>
      <w:pPr>
        <w:ind w:right="156" w:firstLine="409"/>
        <w:spacing w:before="60" w:line="259" w:lineRule="auto"/>
        <w:rPr>
          <w:rFonts w:ascii="SimSun" w:hAnsi="SimSun" w:eastAsia="SimSun" w:cs="SimSun"/>
          <w:sz w:val="21"/>
          <w:szCs w:val="21"/>
        </w:rPr>
      </w:pPr>
      <w:r>
        <w:rPr>
          <w:rFonts w:ascii="SimSun" w:hAnsi="SimSun" w:eastAsia="SimSun" w:cs="SimSun"/>
          <w:sz w:val="21"/>
          <w:szCs w:val="21"/>
          <w:spacing w:val="-3"/>
        </w:rPr>
        <w:t>管理数据质量：通过使用度量、提高和证明组织数据质量和完整性的各种方法，</w:t>
      </w:r>
      <w:r>
        <w:rPr>
          <w:rFonts w:ascii="SimSun" w:hAnsi="SimSun" w:eastAsia="SimSun" w:cs="SimSun"/>
          <w:sz w:val="21"/>
          <w:szCs w:val="21"/>
          <w:spacing w:val="9"/>
        </w:rPr>
        <w:t xml:space="preserve"> </w:t>
      </w:r>
      <w:r>
        <w:rPr>
          <w:rFonts w:ascii="SimSun" w:hAnsi="SimSun" w:eastAsia="SimSun" w:cs="SimSun"/>
          <w:sz w:val="21"/>
          <w:szCs w:val="21"/>
          <w:spacing w:val="1"/>
        </w:rPr>
        <w:t>提高主数据的质量，防止数据质量随着时间的推移而降低。数据质量包括数据标准</w:t>
      </w:r>
      <w:r>
        <w:rPr>
          <w:rFonts w:ascii="SimSun" w:hAnsi="SimSun" w:eastAsia="SimSun" w:cs="SimSun"/>
          <w:sz w:val="21"/>
          <w:szCs w:val="21"/>
          <w:spacing w:val="12"/>
        </w:rPr>
        <w:t xml:space="preserve"> </w:t>
      </w:r>
      <w:r>
        <w:rPr>
          <w:rFonts w:ascii="SimSun" w:hAnsi="SimSun" w:eastAsia="SimSun" w:cs="SimSun"/>
          <w:sz w:val="21"/>
          <w:szCs w:val="21"/>
          <w:spacing w:val="1"/>
        </w:rPr>
        <w:t>化、匹配、存活力和长期的质量监控。数据治理组织需要制订用于确定高价值数据</w:t>
      </w:r>
      <w:r>
        <w:rPr>
          <w:rFonts w:ascii="SimSun" w:hAnsi="SimSun" w:eastAsia="SimSun" w:cs="SimSun"/>
          <w:sz w:val="21"/>
          <w:szCs w:val="21"/>
          <w:spacing w:val="15"/>
        </w:rPr>
        <w:t xml:space="preserve"> </w:t>
      </w:r>
      <w:r>
        <w:rPr>
          <w:rFonts w:ascii="SimSun" w:hAnsi="SimSun" w:eastAsia="SimSun" w:cs="SimSun"/>
          <w:sz w:val="21"/>
          <w:szCs w:val="21"/>
          <w:spacing w:val="-2"/>
        </w:rPr>
        <w:t>属性的策略和用于度量数据质量逐渐改善情况的机制。</w:t>
      </w:r>
    </w:p>
    <w:p>
      <w:pPr>
        <w:ind w:left="412"/>
        <w:spacing w:before="68" w:line="221" w:lineRule="auto"/>
        <w:rPr>
          <w:rFonts w:ascii="SimHei" w:hAnsi="SimHei" w:eastAsia="SimHei" w:cs="SimHei"/>
          <w:sz w:val="21"/>
          <w:szCs w:val="21"/>
        </w:rPr>
      </w:pPr>
      <w:r>
        <w:rPr>
          <w:rFonts w:ascii="SimSun" w:hAnsi="SimSun" w:eastAsia="SimSun" w:cs="SimSun"/>
          <w:sz w:val="21"/>
          <w:szCs w:val="21"/>
          <w:b/>
          <w:bCs/>
          <w:spacing w:val="-7"/>
        </w:rPr>
        <w:t>Level</w:t>
      </w:r>
      <w:r>
        <w:rPr>
          <w:rFonts w:ascii="SimSun" w:hAnsi="SimSun" w:eastAsia="SimSun" w:cs="SimSun"/>
          <w:sz w:val="21"/>
          <w:szCs w:val="21"/>
          <w:spacing w:val="-7"/>
        </w:rPr>
        <w:t xml:space="preserve"> </w:t>
      </w:r>
      <w:r>
        <w:rPr>
          <w:rFonts w:ascii="SimSun" w:hAnsi="SimSun" w:eastAsia="SimSun" w:cs="SimSun"/>
          <w:sz w:val="21"/>
          <w:szCs w:val="21"/>
          <w:b/>
          <w:bCs/>
          <w:spacing w:val="-7"/>
        </w:rPr>
        <w:t>4:</w:t>
      </w:r>
      <w:r>
        <w:rPr>
          <w:rFonts w:ascii="SimSun" w:hAnsi="SimSun" w:eastAsia="SimSun" w:cs="SimSun"/>
          <w:sz w:val="21"/>
          <w:szCs w:val="21"/>
          <w:spacing w:val="-29"/>
        </w:rPr>
        <w:t xml:space="preserve"> </w:t>
      </w:r>
      <w:r>
        <w:rPr>
          <w:rFonts w:ascii="SimHei" w:hAnsi="SimHei" w:eastAsia="SimHei" w:cs="SimHei"/>
          <w:sz w:val="21"/>
          <w:szCs w:val="21"/>
          <w:b/>
          <w:bCs/>
          <w:spacing w:val="-7"/>
        </w:rPr>
        <w:t>量化级</w:t>
      </w:r>
    </w:p>
    <w:p>
      <w:pPr>
        <w:spacing w:line="129"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15"/>
        <w:gridCol w:w="3750"/>
      </w:tblGrid>
      <w:tr>
        <w:trPr>
          <w:trHeight w:val="32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1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8" w:hRule="atLeast"/>
        </w:trPr>
        <w:tc>
          <w:tcPr>
            <w:tcW w:w="724" w:type="dxa"/>
            <w:vAlign w:val="top"/>
          </w:tcPr>
          <w:p>
            <w:pPr>
              <w:spacing w:line="326" w:lineRule="auto"/>
              <w:rPr>
                <w:rFonts w:ascii="Arial"/>
                <w:sz w:val="21"/>
              </w:rPr>
            </w:pPr>
            <w:r/>
          </w:p>
          <w:p>
            <w:pPr>
              <w:pStyle w:val="TableText"/>
              <w:ind w:left="234"/>
              <w:spacing w:before="52" w:line="184" w:lineRule="auto"/>
              <w:rPr>
                <w:sz w:val="16"/>
                <w:szCs w:val="16"/>
              </w:rPr>
            </w:pPr>
            <w:r>
              <w:rPr>
                <w:sz w:val="16"/>
                <w:szCs w:val="16"/>
                <w:spacing w:val="-2"/>
              </w:rPr>
              <w:t>4.1</w:t>
            </w:r>
          </w:p>
        </w:tc>
        <w:tc>
          <w:tcPr>
            <w:tcW w:w="3115" w:type="dxa"/>
            <w:vAlign w:val="top"/>
          </w:tcPr>
          <w:p>
            <w:pPr>
              <w:pStyle w:val="TableText"/>
              <w:ind w:left="121" w:firstLine="139"/>
              <w:spacing w:before="219" w:line="277" w:lineRule="auto"/>
              <w:rPr>
                <w:sz w:val="16"/>
                <w:szCs w:val="16"/>
              </w:rPr>
            </w:pPr>
            <w:r>
              <w:rPr>
                <w:sz w:val="16"/>
                <w:szCs w:val="16"/>
                <w:spacing w:val="-2"/>
              </w:rPr>
              <w:t>制订了量化目标，能够指导主数据管理并</w:t>
            </w:r>
            <w:r>
              <w:rPr>
                <w:sz w:val="16"/>
                <w:szCs w:val="16"/>
              </w:rPr>
              <w:t xml:space="preserve"> </w:t>
            </w:r>
            <w:r>
              <w:rPr>
                <w:sz w:val="16"/>
                <w:szCs w:val="16"/>
                <w:spacing w:val="-1"/>
              </w:rPr>
              <w:t>支持过程的执行</w:t>
            </w:r>
          </w:p>
        </w:tc>
        <w:tc>
          <w:tcPr>
            <w:tcW w:w="3750" w:type="dxa"/>
            <w:vAlign w:val="top"/>
          </w:tcPr>
          <w:p>
            <w:pPr>
              <w:pStyle w:val="TableText"/>
              <w:ind w:left="275"/>
              <w:spacing w:before="89" w:line="219" w:lineRule="auto"/>
              <w:rPr>
                <w:sz w:val="16"/>
                <w:szCs w:val="16"/>
              </w:rPr>
            </w:pPr>
            <w:r>
              <w:rPr>
                <w:sz w:val="16"/>
                <w:szCs w:val="16"/>
                <w:spacing w:val="1"/>
              </w:rPr>
              <w:t>●主数据管理程序</w:t>
            </w:r>
          </w:p>
          <w:p>
            <w:pPr>
              <w:pStyle w:val="TableText"/>
              <w:ind w:left="275"/>
              <w:spacing w:before="90" w:line="219" w:lineRule="auto"/>
              <w:rPr>
                <w:sz w:val="16"/>
                <w:szCs w:val="16"/>
              </w:rPr>
            </w:pPr>
            <w:r>
              <w:rPr>
                <w:sz w:val="16"/>
                <w:szCs w:val="16"/>
                <w:spacing w:val="1"/>
              </w:rPr>
              <w:t>●主数据管理工具</w:t>
            </w:r>
          </w:p>
          <w:p>
            <w:pPr>
              <w:pStyle w:val="TableText"/>
              <w:ind w:left="275"/>
              <w:spacing w:before="89" w:line="207" w:lineRule="auto"/>
              <w:rPr>
                <w:sz w:val="16"/>
                <w:szCs w:val="16"/>
              </w:rPr>
            </w:pPr>
            <w:r>
              <w:rPr>
                <w:sz w:val="16"/>
                <w:szCs w:val="16"/>
              </w:rPr>
              <w:t>●主数据管理过程量化评价指南</w:t>
            </w:r>
          </w:p>
        </w:tc>
      </w:tr>
    </w:tbl>
    <w:p>
      <w:pPr>
        <w:ind w:left="30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213" w:firstLine="409"/>
        <w:spacing w:before="50" w:line="258" w:lineRule="auto"/>
        <w:rPr>
          <w:rFonts w:ascii="SimSun" w:hAnsi="SimSun" w:eastAsia="SimSun" w:cs="SimSun"/>
          <w:sz w:val="21"/>
          <w:szCs w:val="21"/>
        </w:rPr>
      </w:pPr>
      <w:r>
        <w:rPr>
          <w:rFonts w:ascii="SimSun" w:hAnsi="SimSun" w:eastAsia="SimSun" w:cs="SimSun"/>
          <w:sz w:val="21"/>
          <w:szCs w:val="21"/>
        </w:rPr>
        <w:t>通过利用</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SMART</w:t>
      </w:r>
      <w:r>
        <w:rPr>
          <w:rFonts w:ascii="Times New Roman" w:hAnsi="Times New Roman" w:eastAsia="Times New Roman" w:cs="Times New Roman"/>
          <w:sz w:val="21"/>
          <w:szCs w:val="21"/>
          <w:spacing w:val="48"/>
        </w:rPr>
        <w:t xml:space="preserve"> </w:t>
      </w:r>
      <w:r>
        <w:rPr>
          <w:rFonts w:ascii="SimSun" w:hAnsi="SimSun" w:eastAsia="SimSun" w:cs="SimSun"/>
          <w:sz w:val="21"/>
          <w:szCs w:val="21"/>
        </w:rPr>
        <w:t>原则，建立量化管理的规范和制度，对主数据的</w:t>
      </w:r>
      <w:r>
        <w:rPr>
          <w:rFonts w:ascii="SimSun" w:hAnsi="SimSun" w:eastAsia="SimSun" w:cs="SimSun"/>
          <w:sz w:val="21"/>
          <w:szCs w:val="21"/>
          <w:spacing w:val="-1"/>
        </w:rPr>
        <w:t>管理过程进</w:t>
      </w:r>
      <w:r>
        <w:rPr>
          <w:rFonts w:ascii="SimSun" w:hAnsi="SimSun" w:eastAsia="SimSun" w:cs="SimSun"/>
          <w:sz w:val="21"/>
          <w:szCs w:val="21"/>
        </w:rPr>
        <w:t xml:space="preserve"> </w:t>
      </w:r>
      <w:r>
        <w:rPr>
          <w:rFonts w:ascii="SimSun" w:hAnsi="SimSun" w:eastAsia="SimSun" w:cs="SimSun"/>
          <w:sz w:val="21"/>
          <w:szCs w:val="21"/>
          <w:spacing w:val="1"/>
        </w:rPr>
        <w:t>行量化考核和评价，细化管理过程的改进，不断提升主数据管理能力和水平，促进</w:t>
      </w:r>
    </w:p>
    <w:p>
      <w:pPr>
        <w:spacing w:line="258" w:lineRule="auto"/>
        <w:sectPr>
          <w:footerReference w:type="default" r:id="rId231"/>
          <w:pgSz w:w="8870" w:h="13400"/>
          <w:pgMar w:top="400" w:right="578" w:bottom="468" w:left="470" w:header="0" w:footer="259" w:gutter="0"/>
        </w:sectPr>
        <w:rPr>
          <w:rFonts w:ascii="SimSun" w:hAnsi="SimSun" w:eastAsia="SimSun" w:cs="SimSun"/>
          <w:sz w:val="21"/>
          <w:szCs w:val="21"/>
        </w:rPr>
      </w:pPr>
    </w:p>
    <w:p>
      <w:pPr>
        <w:ind w:left="223"/>
        <w:spacing w:before="285" w:line="219" w:lineRule="auto"/>
        <w:rPr>
          <w:rFonts w:ascii="SimSun" w:hAnsi="SimSun" w:eastAsia="SimSun" w:cs="SimSun"/>
          <w:sz w:val="22"/>
          <w:szCs w:val="22"/>
        </w:rPr>
      </w:pPr>
      <w:r>
        <w:pict>
          <v:rect id="_x0000_s342" style="position:absolute;margin-left:27.0003pt;margin-top:31.4967pt;mso-position-vertical-relative:page;mso-position-horizontal-relative:page;width:0.55pt;height:18.05pt;z-index:254373888;" o:allowincell="f" fillcolor="#000000" filled="true" stroked="false"/>
        </w:pict>
      </w:r>
      <w:r>
        <w:rPr>
          <w:rFonts w:ascii="SimSun" w:hAnsi="SimSun" w:eastAsia="SimSun" w:cs="SimSun"/>
          <w:sz w:val="22"/>
          <w:szCs w:val="22"/>
          <w:b/>
          <w:bCs/>
          <w:spacing w:val="-14"/>
        </w:rPr>
        <w:t>■云端数据治理</w:t>
      </w:r>
    </w:p>
    <w:p>
      <w:pPr>
        <w:ind w:left="259" w:right="100"/>
        <w:spacing w:before="311" w:line="250" w:lineRule="auto"/>
        <w:rPr>
          <w:rFonts w:ascii="SimSun" w:hAnsi="SimSun" w:eastAsia="SimSun" w:cs="SimSun"/>
          <w:sz w:val="22"/>
          <w:szCs w:val="22"/>
        </w:rPr>
      </w:pPr>
      <w:r>
        <w:rPr>
          <w:rFonts w:ascii="SimSun" w:hAnsi="SimSun" w:eastAsia="SimSun" w:cs="SimSun"/>
          <w:sz w:val="22"/>
          <w:szCs w:val="22"/>
          <w:spacing w:val="-9"/>
        </w:rPr>
        <w:t>云端数据治理的绩效。目标管理是使管理者的工作由被动变为主动的</w:t>
      </w:r>
      <w:r>
        <w:rPr>
          <w:rFonts w:ascii="SimSun" w:hAnsi="SimSun" w:eastAsia="SimSun" w:cs="SimSun"/>
          <w:sz w:val="22"/>
          <w:szCs w:val="22"/>
          <w:spacing w:val="-10"/>
        </w:rPr>
        <w:t>一个很好的管</w:t>
      </w:r>
      <w:r>
        <w:rPr>
          <w:rFonts w:ascii="SimSun" w:hAnsi="SimSun" w:eastAsia="SimSun" w:cs="SimSun"/>
          <w:sz w:val="22"/>
          <w:szCs w:val="22"/>
        </w:rPr>
        <w:t xml:space="preserve"> </w:t>
      </w:r>
      <w:r>
        <w:rPr>
          <w:rFonts w:ascii="SimSun" w:hAnsi="SimSun" w:eastAsia="SimSun" w:cs="SimSun"/>
          <w:sz w:val="22"/>
          <w:szCs w:val="22"/>
          <w:spacing w:val="-8"/>
        </w:rPr>
        <w:t>理手段，实施目标管理不仅是为了利于员工更加明</w:t>
      </w:r>
      <w:r>
        <w:rPr>
          <w:rFonts w:ascii="SimSun" w:hAnsi="SimSun" w:eastAsia="SimSun" w:cs="SimSun"/>
          <w:sz w:val="22"/>
          <w:szCs w:val="22"/>
          <w:spacing w:val="-9"/>
        </w:rPr>
        <w:t>确高效地工作，更是为管理者将</w:t>
      </w:r>
      <w:r>
        <w:rPr>
          <w:rFonts w:ascii="SimSun" w:hAnsi="SimSun" w:eastAsia="SimSun" w:cs="SimSun"/>
          <w:sz w:val="22"/>
          <w:szCs w:val="22"/>
        </w:rPr>
        <w:t xml:space="preserve"> </w:t>
      </w:r>
      <w:r>
        <w:rPr>
          <w:rFonts w:ascii="SimSun" w:hAnsi="SimSun" w:eastAsia="SimSun" w:cs="SimSun"/>
          <w:sz w:val="22"/>
          <w:szCs w:val="22"/>
          <w:spacing w:val="-9"/>
        </w:rPr>
        <w:t>来对员工实施绩效考核提供了考核目标和考</w:t>
      </w:r>
      <w:r>
        <w:rPr>
          <w:rFonts w:ascii="SimSun" w:hAnsi="SimSun" w:eastAsia="SimSun" w:cs="SimSun"/>
          <w:sz w:val="22"/>
          <w:szCs w:val="22"/>
          <w:spacing w:val="-10"/>
        </w:rPr>
        <w:t>核标准，使考核更加科学化、规范化，</w:t>
      </w:r>
      <w:r>
        <w:rPr>
          <w:rFonts w:ascii="SimSun" w:hAnsi="SimSun" w:eastAsia="SimSun" w:cs="SimSun"/>
          <w:sz w:val="22"/>
          <w:szCs w:val="22"/>
        </w:rPr>
        <w:t xml:space="preserve"> </w:t>
      </w:r>
      <w:r>
        <w:rPr>
          <w:rFonts w:ascii="SimSun" w:hAnsi="SimSun" w:eastAsia="SimSun" w:cs="SimSun"/>
          <w:sz w:val="22"/>
          <w:szCs w:val="22"/>
          <w:spacing w:val="-12"/>
        </w:rPr>
        <w:t>更能保证考核的公正、公开与公平。</w:t>
      </w:r>
    </w:p>
    <w:p>
      <w:pPr>
        <w:spacing w:line="134" w:lineRule="exact"/>
        <w:rPr/>
      </w:pPr>
      <w:r/>
    </w:p>
    <w:tbl>
      <w:tblPr>
        <w:tblStyle w:val="TableNormal"/>
        <w:tblW w:w="759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25"/>
        <w:gridCol w:w="3740"/>
      </w:tblGrid>
      <w:tr>
        <w:trPr>
          <w:trHeight w:val="321" w:hRule="atLeast"/>
        </w:trPr>
        <w:tc>
          <w:tcPr>
            <w:tcW w:w="734" w:type="dxa"/>
            <w:vAlign w:val="top"/>
          </w:tcPr>
          <w:p>
            <w:pPr>
              <w:pStyle w:val="TableText"/>
              <w:ind w:left="195"/>
              <w:spacing w:before="82" w:line="221" w:lineRule="auto"/>
              <w:rPr>
                <w:sz w:val="16"/>
                <w:szCs w:val="16"/>
              </w:rPr>
            </w:pPr>
            <w:r>
              <w:rPr>
                <w:sz w:val="16"/>
                <w:szCs w:val="16"/>
                <w:spacing w:val="-2"/>
              </w:rPr>
              <w:t>序号</w:t>
            </w:r>
          </w:p>
        </w:tc>
        <w:tc>
          <w:tcPr>
            <w:tcW w:w="3125" w:type="dxa"/>
            <w:vAlign w:val="top"/>
          </w:tcPr>
          <w:p>
            <w:pPr>
              <w:pStyle w:val="TableText"/>
              <w:ind w:left="1151"/>
              <w:spacing w:before="81" w:line="219" w:lineRule="auto"/>
              <w:rPr>
                <w:sz w:val="16"/>
                <w:szCs w:val="16"/>
              </w:rPr>
            </w:pPr>
            <w:r>
              <w:rPr>
                <w:sz w:val="16"/>
                <w:szCs w:val="16"/>
                <w:spacing w:val="-4"/>
              </w:rPr>
              <w:t>等 级 要 求</w:t>
            </w:r>
          </w:p>
        </w:tc>
        <w:tc>
          <w:tcPr>
            <w:tcW w:w="374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34" w:type="dxa"/>
            <w:vAlign w:val="top"/>
          </w:tcPr>
          <w:p>
            <w:pPr>
              <w:pStyle w:val="TableText"/>
              <w:ind w:left="235"/>
              <w:spacing w:before="251" w:line="183" w:lineRule="auto"/>
              <w:rPr>
                <w:sz w:val="16"/>
                <w:szCs w:val="16"/>
              </w:rPr>
            </w:pPr>
            <w:r>
              <w:rPr>
                <w:sz w:val="16"/>
                <w:szCs w:val="16"/>
                <w:spacing w:val="-2"/>
              </w:rPr>
              <w:t>4.2</w:t>
            </w:r>
          </w:p>
        </w:tc>
        <w:tc>
          <w:tcPr>
            <w:tcW w:w="3125" w:type="dxa"/>
            <w:vAlign w:val="top"/>
          </w:tcPr>
          <w:p>
            <w:pPr>
              <w:pStyle w:val="TableText"/>
              <w:ind w:left="100" w:firstLine="159"/>
              <w:spacing w:before="80" w:line="271" w:lineRule="auto"/>
              <w:rPr>
                <w:sz w:val="16"/>
                <w:szCs w:val="16"/>
              </w:rPr>
            </w:pPr>
            <w:r>
              <w:rPr>
                <w:sz w:val="16"/>
                <w:szCs w:val="16"/>
                <w:spacing w:val="-2"/>
              </w:rPr>
              <w:t>提升主数据管理质量以便更好地支持云端</w:t>
            </w:r>
            <w:r>
              <w:rPr>
                <w:sz w:val="16"/>
                <w:szCs w:val="16"/>
                <w:spacing w:val="10"/>
              </w:rPr>
              <w:t xml:space="preserve"> </w:t>
            </w:r>
            <w:r>
              <w:rPr>
                <w:sz w:val="16"/>
                <w:szCs w:val="16"/>
                <w:spacing w:val="-2"/>
              </w:rPr>
              <w:t>海量数据分析</w:t>
            </w:r>
          </w:p>
        </w:tc>
        <w:tc>
          <w:tcPr>
            <w:tcW w:w="3740" w:type="dxa"/>
            <w:vAlign w:val="top"/>
          </w:tcPr>
          <w:p>
            <w:pPr>
              <w:pStyle w:val="TableText"/>
              <w:ind w:left="246"/>
              <w:spacing w:before="80" w:line="219" w:lineRule="auto"/>
              <w:rPr>
                <w:sz w:val="16"/>
                <w:szCs w:val="16"/>
              </w:rPr>
            </w:pPr>
            <w:r>
              <w:rPr>
                <w:sz w:val="16"/>
                <w:szCs w:val="16"/>
                <w:spacing w:val="1"/>
              </w:rPr>
              <w:t>●主数据管理程序</w:t>
            </w:r>
          </w:p>
          <w:p>
            <w:pPr>
              <w:pStyle w:val="TableText"/>
              <w:ind w:left="246"/>
              <w:spacing w:before="90" w:line="219" w:lineRule="auto"/>
              <w:rPr>
                <w:sz w:val="16"/>
                <w:szCs w:val="16"/>
              </w:rPr>
            </w:pPr>
            <w:r>
              <w:rPr>
                <w:sz w:val="16"/>
                <w:szCs w:val="16"/>
              </w:rPr>
              <w:t>●数据质量控制要求</w:t>
            </w:r>
          </w:p>
        </w:tc>
      </w:tr>
    </w:tbl>
    <w:p>
      <w:pPr>
        <w:ind w:left="57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9" w:right="98" w:firstLine="430"/>
        <w:spacing w:before="37" w:line="247" w:lineRule="auto"/>
        <w:rPr>
          <w:rFonts w:ascii="SimSun" w:hAnsi="SimSun" w:eastAsia="SimSun" w:cs="SimSun"/>
          <w:sz w:val="22"/>
          <w:szCs w:val="22"/>
        </w:rPr>
      </w:pPr>
      <w:r>
        <w:rPr>
          <w:rFonts w:ascii="SimSun" w:hAnsi="SimSun" w:eastAsia="SimSun" w:cs="SimSun"/>
          <w:sz w:val="22"/>
          <w:szCs w:val="22"/>
          <w:spacing w:val="-9"/>
        </w:rPr>
        <w:t>如同很多组织利用主数据管理清洗即将装载进数据仓库的数据一样，组织同样</w:t>
      </w:r>
      <w:r>
        <w:rPr>
          <w:rFonts w:ascii="SimSun" w:hAnsi="SimSun" w:eastAsia="SimSun" w:cs="SimSun"/>
          <w:sz w:val="22"/>
          <w:szCs w:val="22"/>
          <w:spacing w:val="15"/>
        </w:rPr>
        <w:t xml:space="preserve"> </w:t>
      </w:r>
      <w:r>
        <w:rPr>
          <w:rFonts w:ascii="SimSun" w:hAnsi="SimSun" w:eastAsia="SimSun" w:cs="SimSun"/>
          <w:sz w:val="22"/>
          <w:szCs w:val="22"/>
          <w:spacing w:val="-8"/>
        </w:rPr>
        <w:t>需要高质量的主数据提升云端数据分析；同样地，也可</w:t>
      </w:r>
      <w:r>
        <w:rPr>
          <w:rFonts w:ascii="SimSun" w:hAnsi="SimSun" w:eastAsia="SimSun" w:cs="SimSun"/>
          <w:sz w:val="22"/>
          <w:szCs w:val="22"/>
          <w:spacing w:val="-9"/>
        </w:rPr>
        <w:t>以利用云端海量数据提高主</w:t>
      </w:r>
      <w:r>
        <w:rPr>
          <w:rFonts w:ascii="SimSun" w:hAnsi="SimSun" w:eastAsia="SimSun" w:cs="SimSun"/>
          <w:sz w:val="22"/>
          <w:szCs w:val="22"/>
        </w:rPr>
        <w:t xml:space="preserve"> </w:t>
      </w:r>
      <w:r>
        <w:rPr>
          <w:rFonts w:ascii="SimSun" w:hAnsi="SimSun" w:eastAsia="SimSun" w:cs="SimSun"/>
          <w:sz w:val="22"/>
          <w:szCs w:val="22"/>
          <w:spacing w:val="-10"/>
        </w:rPr>
        <w:t>数据的质量，如从半结构化、非结构化数据中提取数据丰富的主数据。</w:t>
      </w:r>
    </w:p>
    <w:p>
      <w:pPr>
        <w:spacing w:line="115" w:lineRule="exact"/>
        <w:rPr/>
      </w:pPr>
      <w:r/>
    </w:p>
    <w:tbl>
      <w:tblPr>
        <w:tblStyle w:val="TableNormal"/>
        <w:tblW w:w="759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30"/>
      </w:tblGrid>
      <w:tr>
        <w:trPr>
          <w:trHeight w:val="331" w:hRule="atLeast"/>
        </w:trPr>
        <w:tc>
          <w:tcPr>
            <w:tcW w:w="724" w:type="dxa"/>
            <w:vAlign w:val="top"/>
          </w:tcPr>
          <w:p>
            <w:pPr>
              <w:pStyle w:val="TableText"/>
              <w:ind w:left="195"/>
              <w:spacing w:before="92" w:line="221" w:lineRule="auto"/>
              <w:rPr>
                <w:sz w:val="16"/>
                <w:szCs w:val="16"/>
              </w:rPr>
            </w:pPr>
            <w:r>
              <w:rPr>
                <w:sz w:val="16"/>
                <w:szCs w:val="16"/>
                <w:spacing w:val="-2"/>
              </w:rPr>
              <w:t>序号</w:t>
            </w:r>
          </w:p>
        </w:tc>
        <w:tc>
          <w:tcPr>
            <w:tcW w:w="3136" w:type="dxa"/>
            <w:vAlign w:val="top"/>
          </w:tcPr>
          <w:p>
            <w:pPr>
              <w:pStyle w:val="TableText"/>
              <w:ind w:left="1161"/>
              <w:spacing w:before="91" w:line="219" w:lineRule="auto"/>
              <w:rPr>
                <w:sz w:val="16"/>
                <w:szCs w:val="16"/>
              </w:rPr>
            </w:pPr>
            <w:r>
              <w:rPr>
                <w:sz w:val="16"/>
                <w:szCs w:val="16"/>
                <w:spacing w:val="-4"/>
              </w:rPr>
              <w:t>等 级 要 求</w:t>
            </w:r>
          </w:p>
        </w:tc>
        <w:tc>
          <w:tcPr>
            <w:tcW w:w="3730" w:type="dxa"/>
            <w:vAlign w:val="top"/>
          </w:tcPr>
          <w:p>
            <w:pPr>
              <w:pStyle w:val="TableText"/>
              <w:ind w:left="1565"/>
              <w:spacing w:before="91" w:line="220" w:lineRule="auto"/>
              <w:rPr>
                <w:sz w:val="16"/>
                <w:szCs w:val="16"/>
              </w:rPr>
            </w:pPr>
            <w:r>
              <w:rPr>
                <w:sz w:val="16"/>
                <w:szCs w:val="16"/>
                <w:spacing w:val="-6"/>
              </w:rPr>
              <w:t>实</w:t>
            </w:r>
            <w:r>
              <w:rPr>
                <w:sz w:val="16"/>
                <w:szCs w:val="16"/>
                <w:spacing w:val="7"/>
              </w:rPr>
              <w:t xml:space="preserve">    </w:t>
            </w:r>
            <w:r>
              <w:rPr>
                <w:sz w:val="16"/>
                <w:szCs w:val="16"/>
                <w:spacing w:val="-6"/>
              </w:rPr>
              <w:t>例</w:t>
            </w:r>
          </w:p>
        </w:tc>
      </w:tr>
      <w:tr>
        <w:trPr>
          <w:trHeight w:val="568" w:hRule="atLeast"/>
        </w:trPr>
        <w:tc>
          <w:tcPr>
            <w:tcW w:w="724" w:type="dxa"/>
            <w:vAlign w:val="top"/>
          </w:tcPr>
          <w:p>
            <w:pPr>
              <w:pStyle w:val="TableText"/>
              <w:ind w:left="235"/>
              <w:spacing w:before="251" w:line="183" w:lineRule="auto"/>
              <w:rPr>
                <w:sz w:val="16"/>
                <w:szCs w:val="16"/>
              </w:rPr>
            </w:pPr>
            <w:r>
              <w:rPr>
                <w:sz w:val="16"/>
                <w:szCs w:val="16"/>
                <w:spacing w:val="-2"/>
              </w:rPr>
              <w:t>4.3</w:t>
            </w:r>
          </w:p>
        </w:tc>
        <w:tc>
          <w:tcPr>
            <w:tcW w:w="3136" w:type="dxa"/>
            <w:vAlign w:val="top"/>
          </w:tcPr>
          <w:p>
            <w:pPr>
              <w:pStyle w:val="TableText"/>
              <w:ind w:left="101" w:firstLine="168"/>
              <w:spacing w:before="79" w:line="276" w:lineRule="auto"/>
              <w:rPr>
                <w:sz w:val="16"/>
                <w:szCs w:val="16"/>
              </w:rPr>
            </w:pPr>
            <w:r>
              <w:rPr>
                <w:sz w:val="16"/>
                <w:szCs w:val="16"/>
                <w:spacing w:val="-2"/>
              </w:rPr>
              <w:t>根据主数据的相关历史信息指导主数据管</w:t>
            </w:r>
            <w:r>
              <w:rPr>
                <w:sz w:val="16"/>
                <w:szCs w:val="16"/>
                <w:spacing w:val="11"/>
              </w:rPr>
              <w:t xml:space="preserve"> </w:t>
            </w:r>
            <w:r>
              <w:rPr>
                <w:sz w:val="16"/>
                <w:szCs w:val="16"/>
                <w:spacing w:val="-3"/>
              </w:rPr>
              <w:t>理活动</w:t>
            </w:r>
          </w:p>
        </w:tc>
        <w:tc>
          <w:tcPr>
            <w:tcW w:w="3730" w:type="dxa"/>
            <w:vAlign w:val="top"/>
          </w:tcPr>
          <w:p>
            <w:pPr>
              <w:pStyle w:val="TableText"/>
              <w:ind w:left="265"/>
              <w:spacing w:before="90" w:line="219" w:lineRule="auto"/>
              <w:rPr>
                <w:sz w:val="16"/>
                <w:szCs w:val="16"/>
              </w:rPr>
            </w:pPr>
            <w:r>
              <w:rPr>
                <w:sz w:val="16"/>
                <w:szCs w:val="16"/>
                <w:spacing w:val="1"/>
              </w:rPr>
              <w:t>●主数据管理程序</w:t>
            </w:r>
          </w:p>
          <w:p>
            <w:pPr>
              <w:pStyle w:val="TableText"/>
              <w:ind w:left="265"/>
              <w:spacing w:before="89" w:line="217" w:lineRule="auto"/>
              <w:rPr>
                <w:sz w:val="16"/>
                <w:szCs w:val="16"/>
              </w:rPr>
            </w:pPr>
            <w:r>
              <w:rPr>
                <w:sz w:val="16"/>
                <w:szCs w:val="16"/>
                <w:spacing w:val="1"/>
              </w:rPr>
              <w:t>●主数据操作日志</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9" w:firstLine="430"/>
        <w:spacing w:before="57" w:line="244" w:lineRule="auto"/>
        <w:rPr>
          <w:rFonts w:ascii="SimSun" w:hAnsi="SimSun" w:eastAsia="SimSun" w:cs="SimSun"/>
          <w:sz w:val="22"/>
          <w:szCs w:val="22"/>
        </w:rPr>
      </w:pPr>
      <w:r>
        <w:rPr>
          <w:rFonts w:ascii="SimSun" w:hAnsi="SimSun" w:eastAsia="SimSun" w:cs="SimSun"/>
          <w:sz w:val="22"/>
          <w:szCs w:val="22"/>
          <w:spacing w:val="-9"/>
        </w:rPr>
        <w:t>主数据库中各元素间的关系通过数据定量化表示，可更准确地整理和分析主数</w:t>
      </w:r>
      <w:r>
        <w:rPr>
          <w:rFonts w:ascii="SimSun" w:hAnsi="SimSun" w:eastAsia="SimSun" w:cs="SimSun"/>
          <w:sz w:val="22"/>
          <w:szCs w:val="22"/>
          <w:spacing w:val="7"/>
        </w:rPr>
        <w:t xml:space="preserve">  </w:t>
      </w:r>
      <w:r>
        <w:rPr>
          <w:rFonts w:ascii="SimSun" w:hAnsi="SimSun" w:eastAsia="SimSun" w:cs="SimSun"/>
          <w:sz w:val="22"/>
          <w:szCs w:val="22"/>
          <w:spacing w:val="-11"/>
        </w:rPr>
        <w:t>据管理。结合对于主数据使用和变更过程中的历史</w:t>
      </w:r>
      <w:r>
        <w:rPr>
          <w:rFonts w:ascii="SimSun" w:hAnsi="SimSun" w:eastAsia="SimSun" w:cs="SimSun"/>
          <w:sz w:val="22"/>
          <w:szCs w:val="22"/>
          <w:spacing w:val="-12"/>
        </w:rPr>
        <w:t>数据，加强对主数据活动的管理。</w:t>
      </w:r>
      <w:r>
        <w:rPr>
          <w:rFonts w:ascii="SimSun" w:hAnsi="SimSun" w:eastAsia="SimSun" w:cs="SimSun"/>
          <w:sz w:val="22"/>
          <w:szCs w:val="22"/>
        </w:rPr>
        <w:t xml:space="preserve"> </w:t>
      </w:r>
      <w:r>
        <w:rPr>
          <w:rFonts w:ascii="SimSun" w:hAnsi="SimSun" w:eastAsia="SimSun" w:cs="SimSun"/>
          <w:sz w:val="22"/>
          <w:szCs w:val="22"/>
          <w:spacing w:val="-8"/>
        </w:rPr>
        <w:t>主数据的历史变更包括如客户名称变更、组织的新增</w:t>
      </w:r>
      <w:r>
        <w:rPr>
          <w:rFonts w:ascii="SimSun" w:hAnsi="SimSun" w:eastAsia="SimSun" w:cs="SimSun"/>
          <w:sz w:val="22"/>
          <w:szCs w:val="22"/>
          <w:spacing w:val="-9"/>
        </w:rPr>
        <w:t>地址及如何合并重复记录的沿</w:t>
      </w:r>
      <w:r>
        <w:rPr>
          <w:rFonts w:ascii="SimSun" w:hAnsi="SimSun" w:eastAsia="SimSun" w:cs="SimSun"/>
          <w:sz w:val="22"/>
          <w:szCs w:val="22"/>
        </w:rPr>
        <w:t xml:space="preserve">  </w:t>
      </w:r>
      <w:r>
        <w:rPr>
          <w:rFonts w:ascii="SimSun" w:hAnsi="SimSun" w:eastAsia="SimSun" w:cs="SimSun"/>
          <w:sz w:val="22"/>
          <w:szCs w:val="22"/>
          <w:spacing w:val="-10"/>
        </w:rPr>
        <w:t>袭等信息，在主数据管理平台内可调取和查阅。</w:t>
      </w:r>
    </w:p>
    <w:p>
      <w:pPr>
        <w:ind w:left="692"/>
        <w:spacing w:before="64" w:line="221" w:lineRule="auto"/>
        <w:rPr>
          <w:rFonts w:ascii="SimHei" w:hAnsi="SimHei" w:eastAsia="SimHei" w:cs="SimHei"/>
          <w:sz w:val="22"/>
          <w:szCs w:val="22"/>
        </w:rPr>
      </w:pPr>
      <w:r>
        <w:rPr>
          <w:rFonts w:ascii="SimSun" w:hAnsi="SimSun" w:eastAsia="SimSun" w:cs="SimSun"/>
          <w:sz w:val="22"/>
          <w:szCs w:val="22"/>
          <w:b/>
          <w:bCs/>
          <w:spacing w:val="-13"/>
        </w:rPr>
        <w:t>Level</w:t>
      </w:r>
      <w:r>
        <w:rPr>
          <w:rFonts w:ascii="SimSun" w:hAnsi="SimSun" w:eastAsia="SimSun" w:cs="SimSun"/>
          <w:sz w:val="22"/>
          <w:szCs w:val="22"/>
          <w:spacing w:val="-13"/>
        </w:rPr>
        <w:t xml:space="preserve"> </w:t>
      </w:r>
      <w:r>
        <w:rPr>
          <w:rFonts w:ascii="SimSun" w:hAnsi="SimSun" w:eastAsia="SimSun" w:cs="SimSun"/>
          <w:sz w:val="22"/>
          <w:szCs w:val="22"/>
          <w:b/>
          <w:bCs/>
          <w:spacing w:val="-13"/>
        </w:rPr>
        <w:t>5:</w:t>
      </w:r>
      <w:r>
        <w:rPr>
          <w:rFonts w:ascii="SimSun" w:hAnsi="SimSun" w:eastAsia="SimSun" w:cs="SimSun"/>
          <w:sz w:val="22"/>
          <w:szCs w:val="22"/>
          <w:spacing w:val="-33"/>
        </w:rPr>
        <w:t xml:space="preserve"> </w:t>
      </w:r>
      <w:r>
        <w:rPr>
          <w:rFonts w:ascii="SimHei" w:hAnsi="SimHei" w:eastAsia="SimHei" w:cs="SimHei"/>
          <w:sz w:val="22"/>
          <w:szCs w:val="22"/>
          <w:b/>
          <w:bCs/>
          <w:spacing w:val="-13"/>
        </w:rPr>
        <w:t>优化级</w:t>
      </w:r>
    </w:p>
    <w:p>
      <w:pPr>
        <w:spacing w:line="128"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5"/>
        <w:gridCol w:w="3740"/>
      </w:tblGrid>
      <w:tr>
        <w:trPr>
          <w:trHeight w:val="31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24" w:type="dxa"/>
            <w:vAlign w:val="top"/>
          </w:tcPr>
          <w:p>
            <w:pPr>
              <w:pStyle w:val="TableText"/>
              <w:ind w:left="234"/>
              <w:spacing w:before="250" w:line="184" w:lineRule="auto"/>
              <w:rPr>
                <w:sz w:val="16"/>
                <w:szCs w:val="16"/>
              </w:rPr>
            </w:pPr>
            <w:r>
              <w:rPr>
                <w:sz w:val="16"/>
                <w:szCs w:val="16"/>
                <w:spacing w:val="-3"/>
              </w:rPr>
              <w:t>5.1</w:t>
            </w:r>
          </w:p>
        </w:tc>
        <w:tc>
          <w:tcPr>
            <w:tcW w:w="3135" w:type="dxa"/>
            <w:vAlign w:val="top"/>
          </w:tcPr>
          <w:p>
            <w:pPr>
              <w:pStyle w:val="TableText"/>
              <w:ind w:left="110"/>
              <w:spacing w:before="210" w:line="219" w:lineRule="auto"/>
              <w:rPr>
                <w:sz w:val="16"/>
                <w:szCs w:val="16"/>
              </w:rPr>
            </w:pPr>
            <w:r>
              <w:rPr>
                <w:sz w:val="16"/>
                <w:szCs w:val="16"/>
                <w:spacing w:val="-1"/>
              </w:rPr>
              <w:t>使用预测模型指导主数据管理过程的变更</w:t>
            </w:r>
          </w:p>
        </w:tc>
        <w:tc>
          <w:tcPr>
            <w:tcW w:w="3740" w:type="dxa"/>
            <w:vAlign w:val="top"/>
          </w:tcPr>
          <w:p>
            <w:pPr>
              <w:pStyle w:val="TableText"/>
              <w:ind w:left="265"/>
              <w:spacing w:before="80" w:line="219" w:lineRule="auto"/>
              <w:rPr>
                <w:sz w:val="16"/>
                <w:szCs w:val="16"/>
              </w:rPr>
            </w:pPr>
            <w:r>
              <w:rPr>
                <w:sz w:val="16"/>
                <w:szCs w:val="16"/>
              </w:rPr>
              <w:t>●主数据变更管理程序</w:t>
            </w:r>
          </w:p>
          <w:p>
            <w:pPr>
              <w:pStyle w:val="TableText"/>
              <w:ind w:left="265"/>
              <w:spacing w:before="99" w:line="217" w:lineRule="auto"/>
              <w:rPr>
                <w:sz w:val="16"/>
                <w:szCs w:val="16"/>
              </w:rPr>
            </w:pPr>
            <w:r>
              <w:rPr>
                <w:sz w:val="16"/>
                <w:szCs w:val="16"/>
                <w:spacing w:val="1"/>
              </w:rPr>
              <w:t>●预测模型文档</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9" w:right="100" w:firstLine="430"/>
        <w:spacing w:before="57" w:line="250" w:lineRule="auto"/>
        <w:rPr>
          <w:rFonts w:ascii="SimSun" w:hAnsi="SimSun" w:eastAsia="SimSun" w:cs="SimSun"/>
          <w:sz w:val="22"/>
          <w:szCs w:val="22"/>
        </w:rPr>
      </w:pPr>
      <w:r>
        <w:rPr>
          <w:rFonts w:ascii="SimSun" w:hAnsi="SimSun" w:eastAsia="SimSun" w:cs="SimSun"/>
          <w:sz w:val="22"/>
          <w:szCs w:val="22"/>
          <w:spacing w:val="-9"/>
        </w:rPr>
        <w:t>主数据管理过程产生变更的同时会带来业务的影响。通过采用预测模型可在变</w:t>
      </w:r>
      <w:r>
        <w:rPr>
          <w:rFonts w:ascii="SimSun" w:hAnsi="SimSun" w:eastAsia="SimSun" w:cs="SimSun"/>
          <w:sz w:val="22"/>
          <w:szCs w:val="22"/>
          <w:spacing w:val="14"/>
        </w:rPr>
        <w:t xml:space="preserve"> </w:t>
      </w:r>
      <w:r>
        <w:rPr>
          <w:rFonts w:ascii="SimSun" w:hAnsi="SimSun" w:eastAsia="SimSun" w:cs="SimSun"/>
          <w:sz w:val="22"/>
          <w:szCs w:val="22"/>
          <w:spacing w:val="-9"/>
        </w:rPr>
        <w:t>更前分析其影响并支撑决策。例如主数据迁</w:t>
      </w:r>
      <w:r>
        <w:rPr>
          <w:rFonts w:ascii="SimSun" w:hAnsi="SimSun" w:eastAsia="SimSun" w:cs="SimSun"/>
          <w:sz w:val="22"/>
          <w:szCs w:val="22"/>
          <w:spacing w:val="-10"/>
        </w:rPr>
        <w:t>移或更改可能给业务带来的中断影响，</w:t>
      </w:r>
      <w:r>
        <w:rPr>
          <w:rFonts w:ascii="SimSun" w:hAnsi="SimSun" w:eastAsia="SimSun" w:cs="SimSun"/>
          <w:sz w:val="22"/>
          <w:szCs w:val="22"/>
        </w:rPr>
        <w:t xml:space="preserve"> </w:t>
      </w:r>
      <w:r>
        <w:rPr>
          <w:rFonts w:ascii="SimSun" w:hAnsi="SimSun" w:eastAsia="SimSun" w:cs="SimSun"/>
          <w:sz w:val="22"/>
          <w:szCs w:val="22"/>
          <w:spacing w:val="-8"/>
        </w:rPr>
        <w:t>组织可以采用基于业务连续性方案制订的恢复时</w:t>
      </w:r>
      <w:r>
        <w:rPr>
          <w:rFonts w:ascii="SimSun" w:hAnsi="SimSun" w:eastAsia="SimSun" w:cs="SimSun"/>
          <w:sz w:val="22"/>
          <w:szCs w:val="22"/>
          <w:spacing w:val="-9"/>
        </w:rPr>
        <w:t>间和恢复目标来评估主数据管理过</w:t>
      </w:r>
      <w:r>
        <w:rPr>
          <w:rFonts w:ascii="SimSun" w:hAnsi="SimSun" w:eastAsia="SimSun" w:cs="SimSun"/>
          <w:sz w:val="22"/>
          <w:szCs w:val="22"/>
        </w:rPr>
        <w:t xml:space="preserve"> </w:t>
      </w:r>
      <w:r>
        <w:rPr>
          <w:rFonts w:ascii="SimSun" w:hAnsi="SimSun" w:eastAsia="SimSun" w:cs="SimSun"/>
          <w:sz w:val="22"/>
          <w:szCs w:val="22"/>
          <w:spacing w:val="-10"/>
        </w:rPr>
        <w:t>程变更带来的影响，并采取相应措施避免或减小其影响。</w:t>
      </w:r>
    </w:p>
    <w:p>
      <w:pPr>
        <w:spacing w:line="106" w:lineRule="exact"/>
        <w:rPr/>
      </w:pPr>
      <w:r/>
    </w:p>
    <w:tbl>
      <w:tblPr>
        <w:tblStyle w:val="TableNormal"/>
        <w:tblW w:w="7580" w:type="dxa"/>
        <w:tblInd w:w="3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26"/>
        <w:gridCol w:w="3730"/>
      </w:tblGrid>
      <w:tr>
        <w:trPr>
          <w:trHeight w:val="321"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26" w:type="dxa"/>
            <w:vAlign w:val="top"/>
          </w:tcPr>
          <w:p>
            <w:pPr>
              <w:pStyle w:val="TableText"/>
              <w:ind w:left="1141"/>
              <w:spacing w:before="81" w:line="219" w:lineRule="auto"/>
              <w:rPr>
                <w:sz w:val="16"/>
                <w:szCs w:val="16"/>
              </w:rPr>
            </w:pPr>
            <w:r>
              <w:rPr>
                <w:sz w:val="16"/>
                <w:szCs w:val="16"/>
                <w:spacing w:val="-4"/>
              </w:rPr>
              <w:t>等 级 要 求</w:t>
            </w:r>
          </w:p>
        </w:tc>
        <w:tc>
          <w:tcPr>
            <w:tcW w:w="3730" w:type="dxa"/>
            <w:vAlign w:val="top"/>
          </w:tcPr>
          <w:p>
            <w:pPr>
              <w:pStyle w:val="TableText"/>
              <w:ind w:left="152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24" w:type="dxa"/>
            <w:vAlign w:val="top"/>
          </w:tcPr>
          <w:p>
            <w:pPr>
              <w:pStyle w:val="TableText"/>
              <w:ind w:left="235"/>
              <w:spacing w:before="251" w:line="183" w:lineRule="auto"/>
              <w:rPr>
                <w:sz w:val="16"/>
                <w:szCs w:val="16"/>
              </w:rPr>
            </w:pPr>
            <w:r>
              <w:rPr>
                <w:sz w:val="16"/>
                <w:szCs w:val="16"/>
                <w:spacing w:val="-3"/>
              </w:rPr>
              <w:t>5.2</w:t>
            </w:r>
          </w:p>
        </w:tc>
        <w:tc>
          <w:tcPr>
            <w:tcW w:w="3126" w:type="dxa"/>
            <w:vAlign w:val="top"/>
          </w:tcPr>
          <w:p>
            <w:pPr>
              <w:pStyle w:val="TableText"/>
              <w:ind w:left="110"/>
              <w:spacing w:before="210" w:line="219" w:lineRule="auto"/>
              <w:rPr>
                <w:sz w:val="16"/>
                <w:szCs w:val="16"/>
              </w:rPr>
            </w:pPr>
            <w:r>
              <w:rPr>
                <w:sz w:val="16"/>
                <w:szCs w:val="16"/>
                <w:spacing w:val="-1"/>
              </w:rPr>
              <w:t>根据主数据策略，量化主数据的改进目标</w:t>
            </w:r>
          </w:p>
        </w:tc>
        <w:tc>
          <w:tcPr>
            <w:tcW w:w="3730" w:type="dxa"/>
            <w:vAlign w:val="top"/>
          </w:tcPr>
          <w:p>
            <w:pPr>
              <w:pStyle w:val="TableText"/>
              <w:ind w:left="265"/>
              <w:spacing w:before="90" w:line="219" w:lineRule="auto"/>
              <w:rPr>
                <w:sz w:val="16"/>
                <w:szCs w:val="16"/>
              </w:rPr>
            </w:pPr>
            <w:r>
              <w:rPr>
                <w:sz w:val="16"/>
                <w:szCs w:val="16"/>
              </w:rPr>
              <w:t>●主数据策略管理程序</w:t>
            </w:r>
          </w:p>
          <w:p>
            <w:pPr>
              <w:pStyle w:val="TableText"/>
              <w:ind w:left="265"/>
              <w:spacing w:before="90" w:line="216" w:lineRule="auto"/>
              <w:rPr>
                <w:sz w:val="16"/>
                <w:szCs w:val="16"/>
              </w:rPr>
            </w:pPr>
            <w:r>
              <w:rPr>
                <w:sz w:val="16"/>
                <w:szCs w:val="16"/>
              </w:rPr>
              <w:t>●主数据管理方针、目标</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689"/>
        <w:spacing w:before="59" w:line="219" w:lineRule="auto"/>
        <w:rPr>
          <w:rFonts w:ascii="SimSun" w:hAnsi="SimSun" w:eastAsia="SimSun" w:cs="SimSun"/>
          <w:sz w:val="22"/>
          <w:szCs w:val="22"/>
        </w:rPr>
      </w:pPr>
      <w:r>
        <w:rPr>
          <w:rFonts w:ascii="SimSun" w:hAnsi="SimSun" w:eastAsia="SimSun" w:cs="SimSun"/>
          <w:sz w:val="22"/>
          <w:szCs w:val="22"/>
          <w:spacing w:val="-8"/>
        </w:rPr>
        <w:t>主数据的改进目标应当与组织的业务和数据治理</w:t>
      </w:r>
      <w:r>
        <w:rPr>
          <w:rFonts w:ascii="SimSun" w:hAnsi="SimSun" w:eastAsia="SimSun" w:cs="SimSun"/>
          <w:sz w:val="22"/>
          <w:szCs w:val="22"/>
          <w:spacing w:val="-9"/>
        </w:rPr>
        <w:t>策略相关联，主数据策略很好</w:t>
      </w:r>
    </w:p>
    <w:p>
      <w:pPr>
        <w:spacing w:line="219" w:lineRule="auto"/>
        <w:sectPr>
          <w:footerReference w:type="default" r:id="rId232"/>
          <w:pgSz w:w="8870" w:h="13400"/>
          <w:pgMar w:top="400" w:right="470" w:bottom="465" w:left="419" w:header="0" w:footer="246" w:gutter="0"/>
        </w:sectPr>
        <w:rPr>
          <w:rFonts w:ascii="SimSun" w:hAnsi="SimSun" w:eastAsia="SimSun" w:cs="SimSun"/>
          <w:sz w:val="22"/>
          <w:szCs w:val="22"/>
        </w:rPr>
      </w:pPr>
    </w:p>
    <w:p>
      <w:pPr>
        <w:ind w:left="5473"/>
        <w:spacing w:before="214" w:line="219" w:lineRule="auto"/>
        <w:rPr>
          <w:rFonts w:ascii="SimSun" w:hAnsi="SimSun" w:eastAsia="SimSun" w:cs="SimSun"/>
          <w:sz w:val="22"/>
          <w:szCs w:val="22"/>
        </w:rPr>
      </w:pPr>
      <w:r>
        <w:rPr>
          <w:rFonts w:ascii="SimSun" w:hAnsi="SimSun" w:eastAsia="SimSun" w:cs="SimSun"/>
          <w:sz w:val="22"/>
          <w:szCs w:val="22"/>
          <w:b/>
          <w:bCs/>
          <w:spacing w:val="6"/>
        </w:rPr>
        <w:t>第5章■云端数据管理</w:t>
      </w:r>
    </w:p>
    <w:p>
      <w:pPr>
        <w:pStyle w:val="BodyText"/>
        <w:rPr/>
      </w:pPr>
      <w:r/>
    </w:p>
    <w:p>
      <w:pPr>
        <w:ind w:right="246"/>
        <w:spacing w:before="72" w:line="248" w:lineRule="auto"/>
        <w:rPr>
          <w:rFonts w:ascii="SimSun" w:hAnsi="SimSun" w:eastAsia="SimSun" w:cs="SimSun"/>
          <w:sz w:val="22"/>
          <w:szCs w:val="22"/>
        </w:rPr>
      </w:pPr>
      <w:r>
        <w:rPr>
          <w:rFonts w:ascii="SimSun" w:hAnsi="SimSun" w:eastAsia="SimSun" w:cs="SimSun"/>
          <w:sz w:val="22"/>
          <w:szCs w:val="22"/>
          <w:spacing w:val="-11"/>
        </w:rPr>
        <w:t>地体现了相关的内容。量化管理能从更细化的层面描绘主数据管理过程</w:t>
      </w:r>
      <w:r>
        <w:rPr>
          <w:rFonts w:ascii="SimSun" w:hAnsi="SimSun" w:eastAsia="SimSun" w:cs="SimSun"/>
          <w:sz w:val="22"/>
          <w:szCs w:val="22"/>
          <w:spacing w:val="-12"/>
        </w:rPr>
        <w:t>需要/值得改</w:t>
      </w:r>
      <w:r>
        <w:rPr>
          <w:rFonts w:ascii="SimSun" w:hAnsi="SimSun" w:eastAsia="SimSun" w:cs="SimSun"/>
          <w:sz w:val="22"/>
          <w:szCs w:val="22"/>
        </w:rPr>
        <w:t xml:space="preserve"> </w:t>
      </w:r>
      <w:r>
        <w:rPr>
          <w:rFonts w:ascii="SimSun" w:hAnsi="SimSun" w:eastAsia="SimSun" w:cs="SimSun"/>
          <w:sz w:val="22"/>
          <w:szCs w:val="22"/>
          <w:spacing w:val="-10"/>
        </w:rPr>
        <w:t>进的方面以及程度，便于确定改进的目标和方向。</w:t>
      </w:r>
    </w:p>
    <w:p>
      <w:pPr>
        <w:spacing w:line="104" w:lineRule="exact"/>
        <w:rPr/>
      </w:pPr>
      <w:r/>
    </w:p>
    <w:tbl>
      <w:tblPr>
        <w:tblStyle w:val="TableNormal"/>
        <w:tblW w:w="759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26"/>
        <w:gridCol w:w="3750"/>
      </w:tblGrid>
      <w:tr>
        <w:trPr>
          <w:trHeight w:val="331" w:hRule="atLeast"/>
        </w:trPr>
        <w:tc>
          <w:tcPr>
            <w:tcW w:w="714" w:type="dxa"/>
            <w:vAlign w:val="top"/>
          </w:tcPr>
          <w:p>
            <w:pPr>
              <w:pStyle w:val="TableText"/>
              <w:ind w:left="195"/>
              <w:spacing w:before="92" w:line="221" w:lineRule="auto"/>
              <w:rPr/>
            </w:pPr>
            <w:r>
              <w:rPr>
                <w:spacing w:val="-2"/>
              </w:rPr>
              <w:t>序号</w:t>
            </w:r>
          </w:p>
        </w:tc>
        <w:tc>
          <w:tcPr>
            <w:tcW w:w="3126" w:type="dxa"/>
            <w:vAlign w:val="top"/>
          </w:tcPr>
          <w:p>
            <w:pPr>
              <w:pStyle w:val="TableText"/>
              <w:ind w:left="115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559" w:hRule="atLeast"/>
        </w:trPr>
        <w:tc>
          <w:tcPr>
            <w:tcW w:w="714" w:type="dxa"/>
            <w:vAlign w:val="top"/>
          </w:tcPr>
          <w:p>
            <w:pPr>
              <w:pStyle w:val="TableText"/>
              <w:ind w:left="235"/>
              <w:spacing w:before="248" w:line="183" w:lineRule="auto"/>
              <w:rPr/>
            </w:pPr>
            <w:r>
              <w:rPr>
                <w:spacing w:val="-2"/>
              </w:rPr>
              <w:t>5.3</w:t>
            </w:r>
          </w:p>
        </w:tc>
        <w:tc>
          <w:tcPr>
            <w:tcW w:w="3126" w:type="dxa"/>
            <w:vAlign w:val="top"/>
          </w:tcPr>
          <w:p>
            <w:pPr>
              <w:pStyle w:val="TableText"/>
              <w:ind w:left="120" w:right="150" w:firstLine="149"/>
              <w:spacing w:before="80" w:line="281" w:lineRule="auto"/>
              <w:rPr/>
            </w:pPr>
            <w:r>
              <w:rPr>
                <w:spacing w:val="-1"/>
              </w:rPr>
              <w:t>通过规范的程序控制主数据的获取、变更</w:t>
            </w:r>
            <w:r>
              <w:rPr>
                <w:spacing w:val="11"/>
              </w:rPr>
              <w:t xml:space="preserve"> </w:t>
            </w:r>
            <w:r>
              <w:rPr/>
              <w:t>以及精简过程得到持续的改进</w:t>
            </w:r>
          </w:p>
        </w:tc>
        <w:tc>
          <w:tcPr>
            <w:tcW w:w="3750" w:type="dxa"/>
            <w:vAlign w:val="top"/>
          </w:tcPr>
          <w:p>
            <w:pPr>
              <w:pStyle w:val="TableText"/>
              <w:ind w:left="265"/>
              <w:spacing w:before="80" w:line="219" w:lineRule="auto"/>
              <w:rPr/>
            </w:pPr>
            <w:r>
              <w:rPr>
                <w:spacing w:val="1"/>
              </w:rPr>
              <w:t>●主数据管理程序</w:t>
            </w:r>
          </w:p>
          <w:p>
            <w:pPr>
              <w:pStyle w:val="TableText"/>
              <w:ind w:left="265"/>
              <w:spacing w:before="112" w:line="219" w:lineRule="auto"/>
              <w:rPr/>
            </w:pPr>
            <w:r>
              <w:rPr/>
              <w:t>●主数据生命周期管理优化程序</w:t>
            </w:r>
          </w:p>
        </w:tc>
      </w:tr>
    </w:tbl>
    <w:p>
      <w:pPr>
        <w:ind w:left="30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right="175" w:firstLine="419"/>
        <w:spacing w:before="35" w:line="253" w:lineRule="auto"/>
        <w:rPr>
          <w:rFonts w:ascii="SimSun" w:hAnsi="SimSun" w:eastAsia="SimSun" w:cs="SimSun"/>
          <w:sz w:val="22"/>
          <w:szCs w:val="22"/>
        </w:rPr>
      </w:pPr>
      <w:r>
        <w:rPr>
          <w:rFonts w:ascii="SimSun" w:hAnsi="SimSun" w:eastAsia="SimSun" w:cs="SimSun"/>
          <w:sz w:val="22"/>
          <w:szCs w:val="22"/>
          <w:spacing w:val="-12"/>
        </w:rPr>
        <w:t>云端数据治理是一个活动集合，覆盖了统筹和规划、</w:t>
      </w:r>
      <w:r>
        <w:rPr>
          <w:rFonts w:ascii="SimSun" w:hAnsi="SimSun" w:eastAsia="SimSun" w:cs="SimSun"/>
          <w:sz w:val="22"/>
          <w:szCs w:val="22"/>
          <w:spacing w:val="-13"/>
        </w:rPr>
        <w:t>构建和运行、监督和评估、</w:t>
      </w:r>
      <w:r>
        <w:rPr>
          <w:rFonts w:ascii="SimSun" w:hAnsi="SimSun" w:eastAsia="SimSun" w:cs="SimSun"/>
          <w:sz w:val="22"/>
          <w:szCs w:val="22"/>
        </w:rPr>
        <w:t xml:space="preserve"> </w:t>
      </w:r>
      <w:r>
        <w:rPr>
          <w:rFonts w:ascii="SimSun" w:hAnsi="SimSun" w:eastAsia="SimSun" w:cs="SimSun"/>
          <w:sz w:val="22"/>
          <w:szCs w:val="22"/>
          <w:spacing w:val="-9"/>
        </w:rPr>
        <w:t>改进和优化四大阶段。主数据管理是云端数据治理的一项重要内容，组织要将主数 </w:t>
      </w:r>
      <w:r>
        <w:rPr>
          <w:rFonts w:ascii="SimSun" w:hAnsi="SimSun" w:eastAsia="SimSun" w:cs="SimSun"/>
          <w:sz w:val="22"/>
          <w:szCs w:val="22"/>
          <w:spacing w:val="-11"/>
        </w:rPr>
        <w:t>据管理的持续改进纳入云端数据的治理过程。</w:t>
      </w:r>
    </w:p>
    <w:p>
      <w:pPr>
        <w:ind w:left="423"/>
        <w:spacing w:before="181" w:line="224" w:lineRule="auto"/>
        <w:outlineLvl w:val="3"/>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9"/>
        </w:rPr>
        <w:t xml:space="preserve"> </w:t>
      </w:r>
      <w:r>
        <w:rPr>
          <w:rFonts w:ascii="YouYuan" w:hAnsi="YouYuan" w:eastAsia="YouYuan" w:cs="YouYuan"/>
          <w:sz w:val="22"/>
          <w:szCs w:val="22"/>
          <w:b/>
          <w:bCs/>
          <w:spacing w:val="1"/>
        </w:rPr>
        <w:t>实施案例</w:t>
      </w:r>
    </w:p>
    <w:p>
      <w:pPr>
        <w:ind w:left="419"/>
        <w:spacing w:before="230" w:line="310" w:lineRule="exact"/>
        <w:rPr>
          <w:rFonts w:ascii="SimSun" w:hAnsi="SimSun" w:eastAsia="SimSun" w:cs="SimSun"/>
          <w:sz w:val="22"/>
          <w:szCs w:val="22"/>
        </w:rPr>
      </w:pPr>
      <w:r>
        <w:rPr>
          <w:rFonts w:ascii="SimSun" w:hAnsi="SimSun" w:eastAsia="SimSun" w:cs="SimSun"/>
          <w:sz w:val="22"/>
          <w:szCs w:val="22"/>
          <w:position w:val="6"/>
        </w:rPr>
        <w:t>(1)文件名称列表</w:t>
      </w:r>
    </w:p>
    <w:p>
      <w:pPr>
        <w:ind w:left="309"/>
        <w:spacing w:before="1" w:line="219" w:lineRule="auto"/>
        <w:rPr>
          <w:rFonts w:ascii="SimSun" w:hAnsi="SimSun" w:eastAsia="SimSun" w:cs="SimSun"/>
          <w:sz w:val="22"/>
          <w:szCs w:val="22"/>
        </w:rPr>
      </w:pPr>
      <w:r>
        <w:rPr>
          <w:rFonts w:ascii="SimSun" w:hAnsi="SimSun" w:eastAsia="SimSun" w:cs="SimSun"/>
          <w:sz w:val="22"/>
          <w:szCs w:val="22"/>
          <w:spacing w:val="-12"/>
        </w:rPr>
        <w:t>《主数据管理办法》</w:t>
      </w:r>
    </w:p>
    <w:p>
      <w:pPr>
        <w:ind w:left="459"/>
        <w:spacing w:before="88" w:line="209" w:lineRule="auto"/>
        <w:rPr>
          <w:rFonts w:ascii="SimSun" w:hAnsi="SimSun" w:eastAsia="SimSun" w:cs="SimSun"/>
          <w:sz w:val="20"/>
          <w:szCs w:val="20"/>
        </w:rPr>
      </w:pPr>
      <w:r>
        <w:rPr>
          <w:rFonts w:ascii="SimSun" w:hAnsi="SimSun" w:eastAsia="SimSun" w:cs="SimSun"/>
          <w:sz w:val="20"/>
          <w:szCs w:val="20"/>
          <w:spacing w:val="2"/>
        </w:rPr>
        <w:t>(2)实施案例</w:t>
      </w:r>
    </w:p>
    <w:tbl>
      <w:tblPr>
        <w:tblStyle w:val="TableNormal"/>
        <w:tblW w:w="7650" w:type="dxa"/>
        <w:tblInd w:w="29"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6460" w:hRule="atLeast"/>
        </w:trPr>
        <w:tc>
          <w:tcPr>
            <w:tcW w:w="7650" w:type="dxa"/>
            <w:vAlign w:val="top"/>
          </w:tcPr>
          <w:p>
            <w:pPr>
              <w:pStyle w:val="TableText"/>
              <w:ind w:left="3284"/>
              <w:spacing w:before="71" w:line="219" w:lineRule="auto"/>
              <w:rPr/>
            </w:pPr>
            <w:r>
              <w:rPr>
                <w:spacing w:val="-1"/>
              </w:rPr>
              <w:t>主数据管理办法</w:t>
            </w:r>
          </w:p>
          <w:p>
            <w:pPr>
              <w:pStyle w:val="TableText"/>
              <w:ind w:left="265"/>
              <w:spacing w:before="82" w:line="220" w:lineRule="auto"/>
              <w:rPr/>
            </w:pPr>
            <w:r>
              <w:rPr>
                <w:spacing w:val="-7"/>
              </w:rPr>
              <w:t>1</w:t>
            </w:r>
            <w:r>
              <w:rPr>
                <w:spacing w:val="15"/>
              </w:rPr>
              <w:t xml:space="preserve">  </w:t>
            </w:r>
            <w:r>
              <w:rPr>
                <w:spacing w:val="-7"/>
              </w:rPr>
              <w:t>总则</w:t>
            </w:r>
          </w:p>
          <w:p>
            <w:pPr>
              <w:pStyle w:val="TableText"/>
              <w:ind w:left="104" w:right="264" w:firstLine="149"/>
              <w:spacing w:before="119" w:line="282" w:lineRule="auto"/>
              <w:rPr/>
            </w:pPr>
            <w:r>
              <w:rPr/>
              <w:t>(1)为逐步形成完善的供应链管理体系，为组织运营和各业务发展提供唯一、准确的供应商基础</w:t>
            </w:r>
            <w:r>
              <w:rPr>
                <w:spacing w:val="-1"/>
              </w:rPr>
              <w:t>数据，实现供</w:t>
            </w:r>
            <w:r>
              <w:rPr/>
              <w:t xml:space="preserve"> </w:t>
            </w:r>
            <w:r>
              <w:rPr>
                <w:spacing w:val="-1"/>
              </w:rPr>
              <w:t>应商基础数据的单点录入、全局共享，制订本办法。</w:t>
            </w:r>
          </w:p>
          <w:p>
            <w:pPr>
              <w:pStyle w:val="TableText"/>
              <w:ind w:left="244"/>
              <w:spacing w:before="82" w:line="301" w:lineRule="exact"/>
              <w:rPr/>
            </w:pPr>
            <w:r>
              <w:rPr>
                <w:position w:val="11"/>
              </w:rPr>
              <w:t>(2)本办法所称供应商，是指直接向公司提供物资和服务的组织及其分支机构、事业单位和个人。个人包括个</w:t>
            </w:r>
          </w:p>
          <w:p>
            <w:pPr>
              <w:pStyle w:val="TableText"/>
              <w:ind w:left="104"/>
              <w:spacing w:line="220" w:lineRule="auto"/>
              <w:rPr/>
            </w:pPr>
            <w:r>
              <w:rPr>
                <w:spacing w:val="-1"/>
              </w:rPr>
              <w:t>体工商户和其他自然人。</w:t>
            </w:r>
          </w:p>
          <w:p>
            <w:pPr>
              <w:pStyle w:val="TableText"/>
              <w:ind w:left="104" w:right="248" w:firstLine="160"/>
              <w:spacing w:before="110" w:line="288" w:lineRule="auto"/>
              <w:rPr/>
            </w:pPr>
            <w:r>
              <w:rPr/>
              <w:t>(3)本办法所称供应商主数据，是指在整个组织范围内各个信息系统需要共享的、长期稳定存在的、描述供应 </w:t>
            </w:r>
            <w:r>
              <w:rPr>
                <w:spacing w:val="-1"/>
              </w:rPr>
              <w:t>商自然属性的相关数据。</w:t>
            </w:r>
          </w:p>
          <w:p>
            <w:pPr>
              <w:pStyle w:val="TableText"/>
              <w:ind w:left="265"/>
              <w:spacing w:before="101" w:line="219" w:lineRule="auto"/>
              <w:rPr/>
            </w:pPr>
            <w:r>
              <w:rPr>
                <w:spacing w:val="-4"/>
              </w:rPr>
              <w:t>(3)供应商主数据管理的原则：</w:t>
            </w:r>
            <w:r>
              <w:rPr>
                <w:spacing w:val="44"/>
              </w:rPr>
              <w:t xml:space="preserve"> </w:t>
            </w:r>
            <w:r>
              <w:rPr>
                <w:spacing w:val="-4"/>
              </w:rPr>
              <w:t>一级平台、两级管理、三级操作。</w:t>
            </w:r>
          </w:p>
          <w:p>
            <w:pPr>
              <w:pStyle w:val="TableText"/>
              <w:ind w:left="265"/>
              <w:spacing w:before="82" w:line="219" w:lineRule="auto"/>
              <w:rPr/>
            </w:pPr>
            <w:r>
              <w:rPr>
                <w:spacing w:val="-1"/>
              </w:rPr>
              <w:t>2供应商主数据管理范围</w:t>
            </w:r>
          </w:p>
          <w:p>
            <w:pPr>
              <w:pStyle w:val="TableText"/>
              <w:ind w:left="265"/>
              <w:spacing w:before="112" w:line="219" w:lineRule="auto"/>
              <w:rPr/>
            </w:pPr>
            <w:r>
              <w:rPr/>
              <w:t>(1)供应商主数据按照组织供应商和个人供应商分别管理。</w:t>
            </w:r>
          </w:p>
          <w:p>
            <w:pPr>
              <w:pStyle w:val="TableText"/>
              <w:ind w:left="254"/>
              <w:spacing w:before="83" w:line="300" w:lineRule="exact"/>
              <w:rPr/>
            </w:pPr>
            <w:r>
              <w:rPr>
                <w:position w:val="11"/>
              </w:rPr>
              <w:t>(2)供应商信息主要包括基本信息、业务地点信息、联系人信息、采购信息和财务信息等五类信息。供应商基</w:t>
            </w:r>
          </w:p>
          <w:p>
            <w:pPr>
              <w:pStyle w:val="TableText"/>
              <w:ind w:left="104"/>
              <w:spacing w:line="218" w:lineRule="auto"/>
              <w:rPr/>
            </w:pPr>
            <w:r>
              <w:rPr/>
              <w:t>本信息是供应商的自然属性，由供应商主数</w:t>
            </w:r>
            <w:r>
              <w:rPr>
                <w:spacing w:val="-1"/>
              </w:rPr>
              <w:t>据系统管理。</w:t>
            </w:r>
          </w:p>
          <w:p>
            <w:pPr>
              <w:pStyle w:val="TableText"/>
              <w:ind w:left="104" w:right="110" w:firstLine="149"/>
              <w:spacing w:before="102" w:line="307" w:lineRule="auto"/>
              <w:rPr/>
            </w:pPr>
            <w:r>
              <w:rPr/>
              <w:t>(3)供应商的其他业务属性，由各业务属性的归口部门负责，通过各专业应用系统创建和维护。供应商的业务   </w:t>
            </w:r>
            <w:r>
              <w:rPr/>
              <w:t>地点信息和财务信息由财务部门归口负责，在ERP系统中维护；联系人信息和采购信息由采购管理部门归口负</w:t>
            </w:r>
            <w:r>
              <w:rPr>
                <w:spacing w:val="-1"/>
              </w:rPr>
              <w:t>责，</w:t>
            </w:r>
            <w:r>
              <w:rPr/>
              <w:t xml:space="preserve"> </w:t>
            </w:r>
            <w:r>
              <w:rPr/>
              <w:t>在采购管理系统中维护。</w:t>
            </w:r>
          </w:p>
          <w:p>
            <w:pPr>
              <w:pStyle w:val="TableText"/>
              <w:ind w:left="265"/>
              <w:spacing w:before="102" w:line="219" w:lineRule="auto"/>
              <w:rPr/>
            </w:pPr>
            <w:r>
              <w:rPr>
                <w:spacing w:val="-1"/>
              </w:rPr>
              <w:t>3供应商主数据管理职责</w:t>
            </w:r>
          </w:p>
          <w:p>
            <w:pPr>
              <w:pStyle w:val="TableText"/>
              <w:ind w:left="265"/>
              <w:spacing w:before="92" w:line="301" w:lineRule="exact"/>
              <w:rPr/>
            </w:pPr>
            <w:r>
              <w:rPr>
                <w:position w:val="11"/>
              </w:rPr>
              <w:t>(1)建立全集团统一的供应商主数据管理平台，建立全集团集中的维护工作组，统一负责供应商编码、数据质</w:t>
            </w:r>
          </w:p>
          <w:p>
            <w:pPr>
              <w:pStyle w:val="TableText"/>
              <w:ind w:left="94"/>
              <w:spacing w:line="219" w:lineRule="auto"/>
              <w:rPr/>
            </w:pPr>
            <w:r>
              <w:rPr>
                <w:spacing w:val="-1"/>
              </w:rPr>
              <w:t>量、数据安全等管理和日常维护工作。</w:t>
            </w:r>
          </w:p>
          <w:p>
            <w:pPr>
              <w:pStyle w:val="TableText"/>
              <w:ind w:right="39"/>
              <w:spacing w:before="81" w:line="300" w:lineRule="exact"/>
              <w:jc w:val="right"/>
              <w:rPr/>
            </w:pPr>
            <w:r>
              <w:rPr>
                <w:spacing w:val="2"/>
                <w:position w:val="11"/>
              </w:rPr>
              <w:t>(2)总部和分公司两级采购管理部门是供</w:t>
            </w:r>
            <w:r>
              <w:rPr>
                <w:spacing w:val="1"/>
                <w:position w:val="11"/>
              </w:rPr>
              <w:t>应商主数据的业务管理部门，负责制订供应商主数据管理制度、规范、</w:t>
            </w:r>
          </w:p>
          <w:p>
            <w:pPr>
              <w:pStyle w:val="TableText"/>
              <w:ind w:left="104"/>
              <w:spacing w:before="1" w:line="218" w:lineRule="auto"/>
              <w:rPr/>
            </w:pPr>
            <w:r>
              <w:rPr/>
              <w:t>编码规则和操作手册，负责指导下级公司的供应商主数据</w:t>
            </w:r>
            <w:r>
              <w:rPr>
                <w:spacing w:val="-1"/>
              </w:rPr>
              <w:t>业务操作工作。</w:t>
            </w:r>
          </w:p>
          <w:p>
            <w:pPr>
              <w:pStyle w:val="TableText"/>
              <w:ind w:left="115" w:right="243" w:firstLine="149"/>
              <w:spacing w:before="91" w:line="282" w:lineRule="auto"/>
              <w:rPr/>
            </w:pPr>
            <w:r>
              <w:rPr/>
              <w:t>(3)总部、分公司、子公司三级采购管理部门是供应商主数据的业务操作部门，负责受理各级供应商主数据创</w:t>
            </w:r>
            <w:r>
              <w:rPr>
                <w:spacing w:val="5"/>
              </w:rPr>
              <w:t xml:space="preserve"> </w:t>
            </w:r>
            <w:r>
              <w:rPr/>
              <w:t>建的申请、审核、创建、维护和分发等工作。各级采购管理部门的操</w:t>
            </w:r>
            <w:r>
              <w:rPr>
                <w:spacing w:val="-1"/>
              </w:rPr>
              <w:t>作权限如下。</w:t>
            </w:r>
          </w:p>
        </w:tc>
      </w:tr>
    </w:tbl>
    <w:p>
      <w:pPr>
        <w:pStyle w:val="BodyText"/>
        <w:rPr/>
      </w:pPr>
      <w:r/>
    </w:p>
    <w:p>
      <w:pPr>
        <w:sectPr>
          <w:footerReference w:type="default" r:id="rId233"/>
          <w:pgSz w:w="8870" w:h="13400"/>
          <w:pgMar w:top="400" w:right="534" w:bottom="535" w:left="470" w:header="0" w:footer="316" w:gutter="0"/>
        </w:sectPr>
        <w:rPr/>
      </w:pPr>
    </w:p>
    <w:p>
      <w:pPr>
        <w:pStyle w:val="BodyText"/>
        <w:spacing w:line="247" w:lineRule="auto"/>
        <w:rPr/>
      </w:pPr>
      <w:r>
        <w:drawing>
          <wp:anchor distT="0" distB="0" distL="0" distR="0" simplePos="0" relativeHeight="254429184" behindDoc="0" locked="0" layoutInCell="0" allowOverlap="1">
            <wp:simplePos x="0" y="0"/>
            <wp:positionH relativeFrom="page">
              <wp:posOffset>317501</wp:posOffset>
            </wp:positionH>
            <wp:positionV relativeFrom="page">
              <wp:posOffset>368268</wp:posOffset>
            </wp:positionV>
            <wp:extent cx="6365" cy="222255"/>
            <wp:effectExtent l="0" t="0" r="0" b="0"/>
            <wp:wrapNone/>
            <wp:docPr id="168" name="IM 168"/>
            <wp:cNvGraphicFramePr/>
            <a:graphic>
              <a:graphicData uri="http://schemas.openxmlformats.org/drawingml/2006/picture">
                <pic:pic>
                  <pic:nvPicPr>
                    <pic:cNvPr id="168" name="IM 168"/>
                    <pic:cNvPicPr/>
                  </pic:nvPicPr>
                  <pic:blipFill>
                    <a:blip r:embed="rId235"/>
                    <a:stretch>
                      <a:fillRect/>
                    </a:stretch>
                  </pic:blipFill>
                  <pic:spPr>
                    <a:xfrm rot="0">
                      <a:off x="0" y="0"/>
                      <a:ext cx="6365" cy="222255"/>
                    </a:xfrm>
                    <a:prstGeom prst="rect">
                      <a:avLst/>
                    </a:prstGeom>
                  </pic:spPr>
                </pic:pic>
              </a:graphicData>
            </a:graphic>
          </wp:anchor>
        </w:drawing>
      </w:r>
      <w:r>
        <w:pict>
          <v:shape id="_x0000_s344" style="position:absolute;margin-left:49.466pt;margin-top:523.143pt;mso-position-vertical-relative:page;mso-position-horizontal-relative:page;width:11.05pt;height:66.6pt;z-index:25442201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
                    </w:rPr>
                    <w:t>申</w:t>
                  </w:r>
                  <w:r>
                    <w:rPr>
                      <w:rFonts w:ascii="SimSun" w:hAnsi="SimSun" w:eastAsia="SimSun" w:cs="SimSun"/>
                      <w:sz w:val="15"/>
                      <w:szCs w:val="15"/>
                      <w:spacing w:val="64"/>
                    </w:rPr>
                    <w:t xml:space="preserve"> </w:t>
                  </w:r>
                  <w:r>
                    <w:rPr>
                      <w:rFonts w:ascii="SimSun" w:hAnsi="SimSun" w:eastAsia="SimSun" w:cs="SimSun"/>
                      <w:sz w:val="15"/>
                      <w:szCs w:val="15"/>
                      <w:spacing w:val="-1"/>
                    </w:rPr>
                    <w:t>请</w:t>
                  </w:r>
                  <w:r>
                    <w:rPr>
                      <w:rFonts w:ascii="SimSun" w:hAnsi="SimSun" w:eastAsia="SimSun" w:cs="SimSun"/>
                      <w:sz w:val="15"/>
                      <w:szCs w:val="15"/>
                      <w:spacing w:val="60"/>
                      <w:w w:val="101"/>
                    </w:rPr>
                    <w:t xml:space="preserve"> </w:t>
                  </w:r>
                  <w:r>
                    <w:rPr>
                      <w:rFonts w:ascii="SimSun" w:hAnsi="SimSun" w:eastAsia="SimSun" w:cs="SimSun"/>
                      <w:sz w:val="15"/>
                      <w:szCs w:val="15"/>
                      <w:spacing w:val="-1"/>
                    </w:rPr>
                    <w:t>人</w:t>
                  </w:r>
                  <w:r>
                    <w:rPr>
                      <w:rFonts w:ascii="SimSun" w:hAnsi="SimSun" w:eastAsia="SimSun" w:cs="SimSun"/>
                      <w:sz w:val="15"/>
                      <w:szCs w:val="15"/>
                      <w:spacing w:val="60"/>
                    </w:rPr>
                    <w:t xml:space="preserve"> </w:t>
                  </w:r>
                  <w:r>
                    <w:rPr>
                      <w:rFonts w:ascii="SimSun" w:hAnsi="SimSun" w:eastAsia="SimSun" w:cs="SimSun"/>
                      <w:sz w:val="15"/>
                      <w:szCs w:val="15"/>
                      <w:spacing w:val="-1"/>
                    </w:rPr>
                    <w:t>填</w:t>
                  </w:r>
                  <w:r>
                    <w:rPr>
                      <w:rFonts w:ascii="SimSun" w:hAnsi="SimSun" w:eastAsia="SimSun" w:cs="SimSun"/>
                      <w:sz w:val="15"/>
                      <w:szCs w:val="15"/>
                      <w:spacing w:val="61"/>
                    </w:rPr>
                    <w:t xml:space="preserve"> </w:t>
                  </w:r>
                  <w:r>
                    <w:rPr>
                      <w:rFonts w:ascii="SimSun" w:hAnsi="SimSun" w:eastAsia="SimSun" w:cs="SimSun"/>
                      <w:sz w:val="15"/>
                      <w:szCs w:val="15"/>
                      <w:spacing w:val="-1"/>
                    </w:rPr>
                    <w:t>写</w:t>
                  </w:r>
                </w:p>
              </w:txbxContent>
            </v:textbox>
          </v:shape>
        </w:pict>
      </w:r>
      <w:r/>
    </w:p>
    <w:p>
      <w:pPr>
        <w:ind w:left="212"/>
        <w:spacing w:before="56" w:line="219" w:lineRule="auto"/>
        <w:rPr>
          <w:rFonts w:ascii="SimSun" w:hAnsi="SimSun" w:eastAsia="SimSun" w:cs="SimSun"/>
          <w:sz w:val="17"/>
          <w:szCs w:val="17"/>
        </w:rPr>
      </w:pPr>
      <w:r>
        <w:rPr>
          <w:rFonts w:ascii="SimSun" w:hAnsi="SimSun" w:eastAsia="SimSun" w:cs="SimSun"/>
          <w:sz w:val="17"/>
          <w:szCs w:val="17"/>
          <w:b/>
          <w:bCs/>
          <w:spacing w:val="-12"/>
        </w:rPr>
        <w:t>■</w:t>
      </w:r>
      <w:r>
        <w:rPr>
          <w:rFonts w:ascii="SimSun" w:hAnsi="SimSun" w:eastAsia="SimSun" w:cs="SimSun"/>
          <w:sz w:val="17"/>
          <w:szCs w:val="17"/>
          <w:spacing w:val="-27"/>
        </w:rPr>
        <w:t xml:space="preserve"> </w:t>
      </w:r>
      <w:r>
        <w:rPr>
          <w:rFonts w:ascii="SimSun" w:hAnsi="SimSun" w:eastAsia="SimSun" w:cs="SimSun"/>
          <w:sz w:val="17"/>
          <w:szCs w:val="17"/>
          <w:b/>
          <w:bCs/>
          <w:spacing w:val="-12"/>
        </w:rPr>
        <w:t>云</w:t>
      </w:r>
      <w:r>
        <w:rPr>
          <w:rFonts w:ascii="SimSun" w:hAnsi="SimSun" w:eastAsia="SimSun" w:cs="SimSun"/>
          <w:sz w:val="17"/>
          <w:szCs w:val="17"/>
          <w:spacing w:val="-33"/>
        </w:rPr>
        <w:t xml:space="preserve"> </w:t>
      </w:r>
      <w:r>
        <w:rPr>
          <w:rFonts w:ascii="SimSun" w:hAnsi="SimSun" w:eastAsia="SimSun" w:cs="SimSun"/>
          <w:sz w:val="17"/>
          <w:szCs w:val="17"/>
          <w:b/>
          <w:bCs/>
          <w:spacing w:val="-12"/>
        </w:rPr>
        <w:t>端</w:t>
      </w:r>
      <w:r>
        <w:rPr>
          <w:rFonts w:ascii="SimSun" w:hAnsi="SimSun" w:eastAsia="SimSun" w:cs="SimSun"/>
          <w:sz w:val="17"/>
          <w:szCs w:val="17"/>
          <w:spacing w:val="-33"/>
        </w:rPr>
        <w:t xml:space="preserve"> </w:t>
      </w:r>
      <w:r>
        <w:rPr>
          <w:rFonts w:ascii="SimSun" w:hAnsi="SimSun" w:eastAsia="SimSun" w:cs="SimSun"/>
          <w:sz w:val="17"/>
          <w:szCs w:val="17"/>
          <w:b/>
          <w:bCs/>
          <w:spacing w:val="-12"/>
        </w:rPr>
        <w:t>数</w:t>
      </w:r>
      <w:r>
        <w:rPr>
          <w:rFonts w:ascii="SimSun" w:hAnsi="SimSun" w:eastAsia="SimSun" w:cs="SimSun"/>
          <w:sz w:val="17"/>
          <w:szCs w:val="17"/>
          <w:spacing w:val="-35"/>
        </w:rPr>
        <w:t xml:space="preserve"> </w:t>
      </w:r>
      <w:r>
        <w:rPr>
          <w:rFonts w:ascii="SimSun" w:hAnsi="SimSun" w:eastAsia="SimSun" w:cs="SimSun"/>
          <w:sz w:val="17"/>
          <w:szCs w:val="17"/>
          <w:b/>
          <w:bCs/>
          <w:spacing w:val="-12"/>
        </w:rPr>
        <w:t>据</w:t>
      </w:r>
      <w:r>
        <w:rPr>
          <w:rFonts w:ascii="SimSun" w:hAnsi="SimSun" w:eastAsia="SimSun" w:cs="SimSun"/>
          <w:sz w:val="17"/>
          <w:szCs w:val="17"/>
          <w:spacing w:val="-30"/>
        </w:rPr>
        <w:t xml:space="preserve"> </w:t>
      </w:r>
      <w:r>
        <w:rPr>
          <w:rFonts w:ascii="SimSun" w:hAnsi="SimSun" w:eastAsia="SimSun" w:cs="SimSun"/>
          <w:sz w:val="17"/>
          <w:szCs w:val="17"/>
          <w:b/>
          <w:bCs/>
          <w:spacing w:val="-12"/>
        </w:rPr>
        <w:t>治</w:t>
      </w:r>
      <w:r>
        <w:rPr>
          <w:rFonts w:ascii="SimSun" w:hAnsi="SimSun" w:eastAsia="SimSun" w:cs="SimSun"/>
          <w:sz w:val="17"/>
          <w:szCs w:val="17"/>
          <w:spacing w:val="-32"/>
        </w:rPr>
        <w:t xml:space="preserve"> </w:t>
      </w:r>
      <w:r>
        <w:rPr>
          <w:rFonts w:ascii="SimSun" w:hAnsi="SimSun" w:eastAsia="SimSun" w:cs="SimSun"/>
          <w:sz w:val="17"/>
          <w:szCs w:val="17"/>
          <w:b/>
          <w:bCs/>
          <w:spacing w:val="-12"/>
        </w:rPr>
        <w:t>理</w:t>
      </w:r>
    </w:p>
    <w:p>
      <w:pPr>
        <w:pStyle w:val="BodyText"/>
        <w:spacing w:line="323" w:lineRule="auto"/>
        <w:rPr/>
      </w:pPr>
      <w:r/>
    </w:p>
    <w:p>
      <w:pPr>
        <w:ind w:left="7110"/>
        <w:spacing w:before="56" w:line="223" w:lineRule="auto"/>
        <w:rPr>
          <w:rFonts w:ascii="SimHei" w:hAnsi="SimHei" w:eastAsia="SimHei" w:cs="SimHei"/>
          <w:sz w:val="17"/>
          <w:szCs w:val="17"/>
        </w:rPr>
      </w:pPr>
      <w:r>
        <w:drawing>
          <wp:anchor distT="0" distB="0" distL="0" distR="0" simplePos="0" relativeHeight="254418944" behindDoc="1" locked="0" layoutInCell="1" allowOverlap="1">
            <wp:simplePos x="0" y="0"/>
            <wp:positionH relativeFrom="column">
              <wp:posOffset>133319</wp:posOffset>
            </wp:positionH>
            <wp:positionV relativeFrom="paragraph">
              <wp:posOffset>145210</wp:posOffset>
            </wp:positionV>
            <wp:extent cx="4914932" cy="7004014"/>
            <wp:effectExtent l="0" t="0" r="0" b="0"/>
            <wp:wrapNone/>
            <wp:docPr id="170" name="IM 170"/>
            <wp:cNvGraphicFramePr/>
            <a:graphic>
              <a:graphicData uri="http://schemas.openxmlformats.org/drawingml/2006/picture">
                <pic:pic>
                  <pic:nvPicPr>
                    <pic:cNvPr id="170" name="IM 170"/>
                    <pic:cNvPicPr/>
                  </pic:nvPicPr>
                  <pic:blipFill>
                    <a:blip r:embed="rId236"/>
                    <a:stretch>
                      <a:fillRect/>
                    </a:stretch>
                  </pic:blipFill>
                  <pic:spPr>
                    <a:xfrm rot="0">
                      <a:off x="0" y="0"/>
                      <a:ext cx="4914932" cy="7004014"/>
                    </a:xfrm>
                    <a:prstGeom prst="rect">
                      <a:avLst/>
                    </a:prstGeom>
                  </pic:spPr>
                </pic:pic>
              </a:graphicData>
            </a:graphic>
          </wp:anchor>
        </w:drawing>
      </w:r>
      <w:r>
        <w:rPr>
          <w:rFonts w:ascii="SimHei" w:hAnsi="SimHei" w:eastAsia="SimHei" w:cs="SimHei"/>
          <w:sz w:val="17"/>
          <w:szCs w:val="17"/>
          <w:spacing w:val="22"/>
        </w:rPr>
        <w:t>续表</w:t>
      </w:r>
    </w:p>
    <w:p>
      <w:pPr>
        <w:pStyle w:val="BodyText"/>
        <w:spacing w:line="263" w:lineRule="auto"/>
        <w:rPr/>
      </w:pPr>
      <w:r/>
    </w:p>
    <w:p>
      <w:pPr>
        <w:ind w:left="4669"/>
        <w:spacing w:before="49" w:line="221" w:lineRule="auto"/>
        <w:rPr>
          <w:rFonts w:ascii="SimSun" w:hAnsi="SimSun" w:eastAsia="SimSun" w:cs="SimSun"/>
          <w:sz w:val="15"/>
          <w:szCs w:val="15"/>
        </w:rPr>
      </w:pPr>
      <w:r>
        <w:pict>
          <v:shape id="_x0000_s346" style="position:absolute;margin-left:29.4995pt;margin-top:1.4459pt;mso-position-vertical-relative:text;mso-position-horizontal-relative:text;width:70.35pt;height:42.85pt;z-index:254419968;" filled="false" stroked="false" type="#_x0000_t202">
            <v:fill on="false"/>
            <v:stroke on="false"/>
            <v:path/>
            <v:imagedata o:title=""/>
            <o:lock v:ext="edit" aspectratio="false"/>
            <v:textbox inset="0mm,0mm,0mm,0mm">
              <w:txbxContent>
                <w:p>
                  <w:pPr>
                    <w:ind w:left="429"/>
                    <w:spacing w:before="20" w:line="220" w:lineRule="auto"/>
                    <w:rPr>
                      <w:rFonts w:ascii="SimSun" w:hAnsi="SimSun" w:eastAsia="SimSun" w:cs="SimSun"/>
                      <w:sz w:val="15"/>
                      <w:szCs w:val="15"/>
                    </w:rPr>
                  </w:pPr>
                  <w:r>
                    <w:rPr>
                      <w:rFonts w:ascii="SimSun" w:hAnsi="SimSun" w:eastAsia="SimSun" w:cs="SimSun"/>
                      <w:sz w:val="15"/>
                      <w:szCs w:val="15"/>
                      <w:spacing w:val="-4"/>
                    </w:rPr>
                    <w:t>单</w:t>
                  </w:r>
                  <w:r>
                    <w:rPr>
                      <w:rFonts w:ascii="SimSun" w:hAnsi="SimSun" w:eastAsia="SimSun" w:cs="SimSun"/>
                      <w:sz w:val="15"/>
                      <w:szCs w:val="15"/>
                      <w:spacing w:val="1"/>
                    </w:rPr>
                    <w:t xml:space="preserve">   </w:t>
                  </w:r>
                  <w:r>
                    <w:rPr>
                      <w:rFonts w:ascii="SimSun" w:hAnsi="SimSun" w:eastAsia="SimSun" w:cs="SimSun"/>
                      <w:sz w:val="15"/>
                      <w:szCs w:val="15"/>
                      <w:spacing w:val="-4"/>
                    </w:rPr>
                    <w:t>位</w:t>
                  </w:r>
                </w:p>
                <w:p>
                  <w:pPr>
                    <w:ind w:left="89"/>
                    <w:spacing w:before="149" w:line="219" w:lineRule="auto"/>
                    <w:rPr>
                      <w:rFonts w:ascii="SimSun" w:hAnsi="SimSun" w:eastAsia="SimSun" w:cs="SimSun"/>
                      <w:sz w:val="15"/>
                      <w:szCs w:val="15"/>
                    </w:rPr>
                  </w:pPr>
                  <w:r>
                    <w:rPr>
                      <w:rFonts w:ascii="SimSun" w:hAnsi="SimSun" w:eastAsia="SimSun" w:cs="SimSun"/>
                      <w:sz w:val="15"/>
                      <w:szCs w:val="15"/>
                      <w:spacing w:val="2"/>
                    </w:rPr>
                    <w:t>总部采购管理部门</w:t>
                  </w:r>
                </w:p>
                <w:p>
                  <w:pPr>
                    <w:ind w:left="20"/>
                    <w:spacing w:before="132" w:line="219" w:lineRule="auto"/>
                    <w:rPr>
                      <w:rFonts w:ascii="SimSun" w:hAnsi="SimSun" w:eastAsia="SimSun" w:cs="SimSun"/>
                      <w:sz w:val="15"/>
                      <w:szCs w:val="15"/>
                    </w:rPr>
                  </w:pPr>
                  <w:r>
                    <w:rPr>
                      <w:rFonts w:ascii="SimSun" w:hAnsi="SimSun" w:eastAsia="SimSun" w:cs="SimSun"/>
                      <w:sz w:val="15"/>
                      <w:szCs w:val="15"/>
                      <w:spacing w:val="1"/>
                    </w:rPr>
                    <w:t>分公司采购管理部门</w:t>
                  </w:r>
                </w:p>
              </w:txbxContent>
            </v:textbox>
          </v:shape>
        </w:pict>
      </w:r>
      <w:r>
        <w:rPr>
          <w:rFonts w:ascii="SimSun" w:hAnsi="SimSun" w:eastAsia="SimSun" w:cs="SimSun"/>
          <w:sz w:val="15"/>
          <w:szCs w:val="15"/>
          <w:spacing w:val="-4"/>
        </w:rPr>
        <w:t>职</w:t>
      </w:r>
      <w:r>
        <w:rPr>
          <w:rFonts w:ascii="SimSun" w:hAnsi="SimSun" w:eastAsia="SimSun" w:cs="SimSun"/>
          <w:sz w:val="15"/>
          <w:szCs w:val="15"/>
          <w:spacing w:val="3"/>
        </w:rPr>
        <w:t xml:space="preserve">   </w:t>
      </w:r>
      <w:r>
        <w:rPr>
          <w:rFonts w:ascii="SimSun" w:hAnsi="SimSun" w:eastAsia="SimSun" w:cs="SimSun"/>
          <w:sz w:val="15"/>
          <w:szCs w:val="15"/>
          <w:spacing w:val="-4"/>
        </w:rPr>
        <w:t>责</w:t>
      </w:r>
    </w:p>
    <w:p>
      <w:pPr>
        <w:ind w:left="2299"/>
        <w:spacing w:before="148" w:line="219" w:lineRule="auto"/>
        <w:rPr>
          <w:rFonts w:ascii="SimSun" w:hAnsi="SimSun" w:eastAsia="SimSun" w:cs="SimSun"/>
          <w:sz w:val="15"/>
          <w:szCs w:val="15"/>
        </w:rPr>
      </w:pPr>
      <w:r>
        <w:rPr>
          <w:rFonts w:ascii="SimSun" w:hAnsi="SimSun" w:eastAsia="SimSun" w:cs="SimSun"/>
          <w:sz w:val="15"/>
          <w:szCs w:val="15"/>
          <w:spacing w:val="-1"/>
        </w:rPr>
        <w:t>负责公布和全国供应商的审核、创建、维护和分发</w:t>
      </w:r>
    </w:p>
    <w:p>
      <w:pPr>
        <w:ind w:left="2299"/>
        <w:spacing w:before="132" w:line="219" w:lineRule="auto"/>
        <w:rPr>
          <w:rFonts w:ascii="SimSun" w:hAnsi="SimSun" w:eastAsia="SimSun" w:cs="SimSun"/>
          <w:sz w:val="15"/>
          <w:szCs w:val="15"/>
        </w:rPr>
      </w:pPr>
      <w:r>
        <w:rPr>
          <w:rFonts w:ascii="SimSun" w:hAnsi="SimSun" w:eastAsia="SimSun" w:cs="SimSun"/>
          <w:sz w:val="15"/>
          <w:szCs w:val="15"/>
          <w:spacing w:val="-1"/>
        </w:rPr>
        <w:t>负责本公司涉及范围内的供应商审核、创建、维护、分发</w:t>
      </w:r>
    </w:p>
    <w:p>
      <w:pPr>
        <w:ind w:left="2449"/>
        <w:spacing w:before="152" w:line="172" w:lineRule="auto"/>
        <w:rPr>
          <w:rFonts w:ascii="SimSun" w:hAnsi="SimSun" w:eastAsia="SimSun" w:cs="SimSun"/>
          <w:sz w:val="15"/>
          <w:szCs w:val="15"/>
        </w:rPr>
      </w:pPr>
      <w:r>
        <w:rPr>
          <w:rFonts w:ascii="SimSun" w:hAnsi="SimSun" w:eastAsia="SimSun" w:cs="SimSun"/>
          <w:sz w:val="15"/>
          <w:szCs w:val="15"/>
        </w:rPr>
        <w:t>负责本公司涉及范围内供应商创建申请、更新申请</w:t>
      </w:r>
      <w:r>
        <w:rPr>
          <w:rFonts w:ascii="SimSun" w:hAnsi="SimSun" w:eastAsia="SimSun" w:cs="SimSun"/>
          <w:sz w:val="15"/>
          <w:szCs w:val="15"/>
          <w:spacing w:val="-1"/>
        </w:rPr>
        <w:t>和初审，并提交所属分公司/</w:t>
      </w:r>
    </w:p>
    <w:p>
      <w:pPr>
        <w:ind w:left="609"/>
        <w:spacing w:line="184" w:lineRule="auto"/>
        <w:rPr>
          <w:rFonts w:ascii="SimSun" w:hAnsi="SimSun" w:eastAsia="SimSun" w:cs="SimSun"/>
          <w:sz w:val="15"/>
          <w:szCs w:val="15"/>
        </w:rPr>
      </w:pPr>
      <w:r>
        <w:rPr>
          <w:rFonts w:ascii="SimSun" w:hAnsi="SimSun" w:eastAsia="SimSun" w:cs="SimSun"/>
          <w:sz w:val="15"/>
          <w:szCs w:val="15"/>
          <w:spacing w:val="1"/>
        </w:rPr>
        <w:t>子公司采购管理部门</w:t>
      </w:r>
    </w:p>
    <w:p>
      <w:pPr>
        <w:ind w:left="2299"/>
        <w:spacing w:before="1" w:line="218" w:lineRule="auto"/>
        <w:rPr>
          <w:rFonts w:ascii="SimSun" w:hAnsi="SimSun" w:eastAsia="SimSun" w:cs="SimSun"/>
          <w:sz w:val="15"/>
          <w:szCs w:val="15"/>
        </w:rPr>
      </w:pPr>
      <w:r>
        <w:rPr>
          <w:rFonts w:ascii="SimSun" w:hAnsi="SimSun" w:eastAsia="SimSun" w:cs="SimSun"/>
          <w:sz w:val="15"/>
          <w:szCs w:val="15"/>
          <w:spacing w:val="-1"/>
        </w:rPr>
        <w:t>总部采购管理部门集中管理</w:t>
      </w:r>
    </w:p>
    <w:p>
      <w:pPr>
        <w:ind w:left="2299"/>
        <w:spacing w:before="112" w:line="219" w:lineRule="auto"/>
        <w:rPr>
          <w:rFonts w:ascii="SimSun" w:hAnsi="SimSun" w:eastAsia="SimSun" w:cs="SimSun"/>
          <w:sz w:val="15"/>
          <w:szCs w:val="15"/>
        </w:rPr>
      </w:pPr>
      <w:r>
        <w:pict>
          <v:shape id="_x0000_s348" style="position:absolute;margin-left:40.4983pt;margin-top:4.62443pt;mso-position-vertical-relative:text;mso-position-horizontal-relative:text;width:47.85pt;height:10.95pt;z-index:2544230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各级业务部门</w:t>
                  </w:r>
                </w:p>
              </w:txbxContent>
            </v:textbox>
          </v:shape>
        </w:pict>
      </w:r>
      <w:r>
        <w:rPr>
          <w:rFonts w:ascii="SimSun" w:hAnsi="SimSun" w:eastAsia="SimSun" w:cs="SimSun"/>
          <w:sz w:val="15"/>
          <w:szCs w:val="15"/>
          <w:spacing w:val="-1"/>
        </w:rPr>
        <w:t>负责审核供应商信息的创建申请、更新申请</w:t>
      </w:r>
    </w:p>
    <w:p>
      <w:pPr>
        <w:ind w:left="339" w:right="166" w:firstLine="170"/>
        <w:spacing w:before="253" w:line="283" w:lineRule="auto"/>
        <w:rPr>
          <w:rFonts w:ascii="SimSun" w:hAnsi="SimSun" w:eastAsia="SimSun" w:cs="SimSun"/>
          <w:sz w:val="17"/>
          <w:szCs w:val="17"/>
        </w:rPr>
      </w:pPr>
      <w:r>
        <w:rPr>
          <w:rFonts w:ascii="SimSun" w:hAnsi="SimSun" w:eastAsia="SimSun" w:cs="SimSun"/>
          <w:sz w:val="17"/>
          <w:szCs w:val="17"/>
          <w:spacing w:val="-16"/>
        </w:rPr>
        <w:t>(4)主数据操作实施属地原则，供应商原则上由供应商首次登记单</w:t>
      </w:r>
      <w:r>
        <w:rPr>
          <w:rFonts w:ascii="SimSun" w:hAnsi="SimSun" w:eastAsia="SimSun" w:cs="SimSun"/>
          <w:sz w:val="17"/>
          <w:szCs w:val="17"/>
          <w:spacing w:val="-17"/>
        </w:rPr>
        <w:t>位进行管理与维护。特殊情况下，可由集团</w:t>
      </w:r>
      <w:r>
        <w:rPr>
          <w:rFonts w:ascii="SimSun" w:hAnsi="SimSun" w:eastAsia="SimSun" w:cs="SimSun"/>
          <w:sz w:val="17"/>
          <w:szCs w:val="17"/>
        </w:rPr>
        <w:t xml:space="preserve"> </w:t>
      </w:r>
      <w:r>
        <w:rPr>
          <w:rFonts w:ascii="SimSun" w:hAnsi="SimSun" w:eastAsia="SimSun" w:cs="SimSun"/>
          <w:sz w:val="17"/>
          <w:szCs w:val="17"/>
          <w:spacing w:val="-17"/>
          <w:w w:val="99"/>
        </w:rPr>
        <w:t>总部直接予以维护更新。其他分公司具备使用权，无更新维护的权限，可依据管理需要对供应商资质材料进行备</w:t>
      </w:r>
      <w:r>
        <w:rPr>
          <w:rFonts w:ascii="SimSun" w:hAnsi="SimSun" w:eastAsia="SimSun" w:cs="SimSun"/>
          <w:sz w:val="17"/>
          <w:szCs w:val="17"/>
          <w:spacing w:val="22"/>
        </w:rPr>
        <w:t xml:space="preserve"> </w:t>
      </w:r>
      <w:r>
        <w:rPr>
          <w:rFonts w:ascii="SimSun" w:hAnsi="SimSun" w:eastAsia="SimSun" w:cs="SimSun"/>
          <w:sz w:val="17"/>
          <w:szCs w:val="17"/>
          <w:spacing w:val="-18"/>
        </w:rPr>
        <w:t>案管理。总部采购管理部门可以直接变更所有供应商的基本信息，可以下放或回收供应商主数</w:t>
      </w:r>
      <w:r>
        <w:rPr>
          <w:rFonts w:ascii="SimSun" w:hAnsi="SimSun" w:eastAsia="SimSun" w:cs="SimSun"/>
          <w:sz w:val="17"/>
          <w:szCs w:val="17"/>
          <w:spacing w:val="-19"/>
        </w:rPr>
        <w:t>据信息的更新维护</w:t>
      </w:r>
      <w:r>
        <w:rPr>
          <w:rFonts w:ascii="SimSun" w:hAnsi="SimSun" w:eastAsia="SimSun" w:cs="SimSun"/>
          <w:sz w:val="17"/>
          <w:szCs w:val="17"/>
        </w:rPr>
        <w:t xml:space="preserve"> </w:t>
      </w:r>
      <w:r>
        <w:rPr>
          <w:rFonts w:ascii="SimSun" w:hAnsi="SimSun" w:eastAsia="SimSun" w:cs="SimSun"/>
          <w:sz w:val="17"/>
          <w:szCs w:val="17"/>
          <w:spacing w:val="-7"/>
        </w:rPr>
        <w:t>权限。</w:t>
      </w:r>
    </w:p>
    <w:p>
      <w:pPr>
        <w:ind w:left="510"/>
        <w:spacing w:before="67" w:line="219" w:lineRule="auto"/>
        <w:rPr>
          <w:rFonts w:ascii="SimSun" w:hAnsi="SimSun" w:eastAsia="SimSun" w:cs="SimSun"/>
          <w:sz w:val="17"/>
          <w:szCs w:val="17"/>
        </w:rPr>
      </w:pPr>
      <w:r>
        <w:rPr>
          <w:rFonts w:ascii="SimSun" w:hAnsi="SimSun" w:eastAsia="SimSun" w:cs="SimSun"/>
          <w:sz w:val="17"/>
          <w:szCs w:val="17"/>
          <w:spacing w:val="-14"/>
          <w:w w:val="99"/>
        </w:rPr>
        <w:t>4</w:t>
      </w:r>
      <w:r>
        <w:rPr>
          <w:rFonts w:ascii="SimSun" w:hAnsi="SimSun" w:eastAsia="SimSun" w:cs="SimSun"/>
          <w:sz w:val="17"/>
          <w:szCs w:val="17"/>
          <w:spacing w:val="65"/>
        </w:rPr>
        <w:t xml:space="preserve"> </w:t>
      </w:r>
      <w:r>
        <w:rPr>
          <w:rFonts w:ascii="SimSun" w:hAnsi="SimSun" w:eastAsia="SimSun" w:cs="SimSun"/>
          <w:sz w:val="17"/>
          <w:szCs w:val="17"/>
          <w:spacing w:val="-14"/>
          <w:w w:val="99"/>
        </w:rPr>
        <w:t>供应商主数据质量要求</w:t>
      </w:r>
    </w:p>
    <w:p>
      <w:pPr>
        <w:ind w:left="510"/>
        <w:spacing w:before="68" w:line="219" w:lineRule="auto"/>
        <w:rPr>
          <w:rFonts w:ascii="SimSun" w:hAnsi="SimSun" w:eastAsia="SimSun" w:cs="SimSun"/>
          <w:sz w:val="17"/>
          <w:szCs w:val="17"/>
        </w:rPr>
      </w:pPr>
      <w:r>
        <w:rPr>
          <w:rFonts w:ascii="SimSun" w:hAnsi="SimSun" w:eastAsia="SimSun" w:cs="SimSun"/>
          <w:sz w:val="17"/>
          <w:szCs w:val="17"/>
          <w:spacing w:val="-15"/>
        </w:rPr>
        <w:t>(1)供应商主数据系统以真实性和唯一性为最高质量管理目标。</w:t>
      </w:r>
    </w:p>
    <w:p>
      <w:pPr>
        <w:ind w:left="339" w:right="172" w:firstLine="170"/>
        <w:spacing w:before="90" w:line="261" w:lineRule="auto"/>
        <w:rPr>
          <w:rFonts w:ascii="SimSun" w:hAnsi="SimSun" w:eastAsia="SimSun" w:cs="SimSun"/>
          <w:sz w:val="17"/>
          <w:szCs w:val="17"/>
        </w:rPr>
      </w:pPr>
      <w:r>
        <w:rPr>
          <w:rFonts w:ascii="SimSun" w:hAnsi="SimSun" w:eastAsia="SimSun" w:cs="SimSun"/>
          <w:sz w:val="17"/>
          <w:szCs w:val="17"/>
          <w:spacing w:val="-16"/>
        </w:rPr>
        <w:t>(2)供应商应严格按照供应商编码申请表要求规范填</w:t>
      </w:r>
      <w:r>
        <w:rPr>
          <w:rFonts w:ascii="SimSun" w:hAnsi="SimSun" w:eastAsia="SimSun" w:cs="SimSun"/>
          <w:sz w:val="17"/>
          <w:szCs w:val="17"/>
          <w:spacing w:val="-17"/>
        </w:rPr>
        <w:t>写申请事项。供应商在填写或更新其申请时，须承诺所填</w:t>
      </w:r>
      <w:r>
        <w:rPr>
          <w:rFonts w:ascii="SimSun" w:hAnsi="SimSun" w:eastAsia="SimSun" w:cs="SimSun"/>
          <w:sz w:val="17"/>
          <w:szCs w:val="17"/>
        </w:rPr>
        <w:t xml:space="preserve"> </w:t>
      </w:r>
      <w:r>
        <w:rPr>
          <w:rFonts w:ascii="SimSun" w:hAnsi="SimSun" w:eastAsia="SimSun" w:cs="SimSun"/>
          <w:sz w:val="17"/>
          <w:szCs w:val="17"/>
          <w:spacing w:val="-19"/>
        </w:rPr>
        <w:t>写的基本信息是真实、完整、准确和唯一的。与供应商往来的各业务前端部门负责其基本信息进行</w:t>
      </w:r>
      <w:r>
        <w:rPr>
          <w:rFonts w:ascii="SimSun" w:hAnsi="SimSun" w:eastAsia="SimSun" w:cs="SimSun"/>
          <w:sz w:val="17"/>
          <w:szCs w:val="17"/>
          <w:spacing w:val="-20"/>
        </w:rPr>
        <w:t>初步审核。</w:t>
      </w:r>
    </w:p>
    <w:p>
      <w:pPr>
        <w:ind w:left="510"/>
        <w:spacing w:before="88" w:line="219" w:lineRule="auto"/>
        <w:rPr>
          <w:rFonts w:ascii="SimSun" w:hAnsi="SimSun" w:eastAsia="SimSun" w:cs="SimSun"/>
          <w:sz w:val="17"/>
          <w:szCs w:val="17"/>
        </w:rPr>
      </w:pPr>
      <w:r>
        <w:rPr>
          <w:rFonts w:ascii="SimSun" w:hAnsi="SimSun" w:eastAsia="SimSun" w:cs="SimSun"/>
          <w:sz w:val="17"/>
          <w:szCs w:val="17"/>
          <w:spacing w:val="-16"/>
        </w:rPr>
        <w:t>(3)为保证数据的唯一性，供应商主数据业务操作部门按照如下原则</w:t>
      </w:r>
      <w:r>
        <w:rPr>
          <w:rFonts w:ascii="SimSun" w:hAnsi="SimSun" w:eastAsia="SimSun" w:cs="SimSun"/>
          <w:sz w:val="17"/>
          <w:szCs w:val="17"/>
          <w:spacing w:val="-17"/>
        </w:rPr>
        <w:t>进行数据查重。</w:t>
      </w:r>
    </w:p>
    <w:p>
      <w:pPr>
        <w:ind w:left="510"/>
        <w:spacing w:before="60" w:line="212" w:lineRule="auto"/>
        <w:rPr>
          <w:rFonts w:ascii="SimSun" w:hAnsi="SimSun" w:eastAsia="SimSun" w:cs="SimSun"/>
          <w:sz w:val="17"/>
          <w:szCs w:val="17"/>
        </w:rPr>
      </w:pPr>
      <w:r>
        <w:rPr>
          <w:rFonts w:ascii="Times New Roman" w:hAnsi="Times New Roman" w:eastAsia="Times New Roman" w:cs="Times New Roman"/>
          <w:sz w:val="17"/>
          <w:szCs w:val="17"/>
          <w:spacing w:val="-17"/>
        </w:rPr>
        <w:t>a)  </w:t>
      </w:r>
      <w:r>
        <w:rPr>
          <w:rFonts w:ascii="SimSun" w:hAnsi="SimSun" w:eastAsia="SimSun" w:cs="SimSun"/>
          <w:sz w:val="17"/>
          <w:szCs w:val="17"/>
          <w:spacing w:val="-17"/>
        </w:rPr>
        <w:t>按照查重优先级别顺序，组织供应商查重规则为：</w:t>
      </w:r>
    </w:p>
    <w:p>
      <w:pPr>
        <w:ind w:left="510"/>
        <w:spacing w:before="103" w:line="219" w:lineRule="auto"/>
        <w:rPr>
          <w:rFonts w:ascii="SimSun" w:hAnsi="SimSun" w:eastAsia="SimSun" w:cs="SimSun"/>
          <w:sz w:val="17"/>
          <w:szCs w:val="17"/>
        </w:rPr>
      </w:pPr>
      <w:r>
        <w:rPr>
          <w:rFonts w:ascii="SimSun" w:hAnsi="SimSun" w:eastAsia="SimSun" w:cs="SimSun"/>
          <w:sz w:val="17"/>
          <w:szCs w:val="17"/>
          <w:spacing w:val="-18"/>
        </w:rPr>
        <w:t>●供应商名称完全一致的，认为是同一供应商；</w:t>
      </w:r>
    </w:p>
    <w:p>
      <w:pPr>
        <w:ind w:left="510"/>
        <w:spacing w:before="89" w:line="219" w:lineRule="auto"/>
        <w:rPr>
          <w:rFonts w:ascii="SimSun" w:hAnsi="SimSun" w:eastAsia="SimSun" w:cs="SimSun"/>
          <w:sz w:val="17"/>
          <w:szCs w:val="17"/>
        </w:rPr>
      </w:pPr>
      <w:r>
        <w:rPr>
          <w:rFonts w:ascii="SimSun" w:hAnsi="SimSun" w:eastAsia="SimSun" w:cs="SimSun"/>
          <w:sz w:val="17"/>
          <w:szCs w:val="17"/>
          <w:spacing w:val="-17"/>
        </w:rPr>
        <w:t>●供应商组织机构代码一致的，认为是同一供</w:t>
      </w:r>
      <w:r>
        <w:rPr>
          <w:rFonts w:ascii="SimSun" w:hAnsi="SimSun" w:eastAsia="SimSun" w:cs="SimSun"/>
          <w:sz w:val="17"/>
          <w:szCs w:val="17"/>
          <w:spacing w:val="-18"/>
        </w:rPr>
        <w:t>应商；</w:t>
      </w:r>
    </w:p>
    <w:p>
      <w:pPr>
        <w:ind w:left="510"/>
        <w:spacing w:before="68" w:line="219" w:lineRule="auto"/>
        <w:rPr>
          <w:rFonts w:ascii="SimSun" w:hAnsi="SimSun" w:eastAsia="SimSun" w:cs="SimSun"/>
          <w:sz w:val="17"/>
          <w:szCs w:val="17"/>
        </w:rPr>
      </w:pPr>
      <w:r>
        <w:rPr>
          <w:rFonts w:ascii="SimSun" w:hAnsi="SimSun" w:eastAsia="SimSun" w:cs="SimSun"/>
          <w:sz w:val="17"/>
          <w:szCs w:val="17"/>
          <w:spacing w:val="-18"/>
        </w:rPr>
        <w:t>●国税登记号一致的，认为是同一供应商；</w:t>
      </w:r>
    </w:p>
    <w:p>
      <w:pPr>
        <w:ind w:left="510"/>
        <w:spacing w:before="68" w:line="219" w:lineRule="auto"/>
        <w:rPr>
          <w:rFonts w:ascii="SimSun" w:hAnsi="SimSun" w:eastAsia="SimSun" w:cs="SimSun"/>
          <w:sz w:val="17"/>
          <w:szCs w:val="17"/>
        </w:rPr>
      </w:pPr>
      <w:r>
        <w:rPr>
          <w:rFonts w:ascii="SimSun" w:hAnsi="SimSun" w:eastAsia="SimSun" w:cs="SimSun"/>
          <w:sz w:val="17"/>
          <w:szCs w:val="17"/>
          <w:spacing w:val="-17"/>
        </w:rPr>
        <w:t>●地税登记号一致的，认为是同一供应商。</w:t>
      </w:r>
    </w:p>
    <w:p>
      <w:pPr>
        <w:ind w:left="510"/>
        <w:spacing w:before="61" w:line="212" w:lineRule="auto"/>
        <w:rPr>
          <w:rFonts w:ascii="SimSun" w:hAnsi="SimSun" w:eastAsia="SimSun" w:cs="SimSun"/>
          <w:sz w:val="17"/>
          <w:szCs w:val="17"/>
        </w:rPr>
      </w:pPr>
      <w:r>
        <w:rPr>
          <w:rFonts w:ascii="Times New Roman" w:hAnsi="Times New Roman" w:eastAsia="Times New Roman" w:cs="Times New Roman"/>
          <w:sz w:val="17"/>
          <w:szCs w:val="17"/>
          <w:spacing w:val="-17"/>
        </w:rPr>
        <w:t>b)</w:t>
      </w:r>
      <w:r>
        <w:rPr>
          <w:rFonts w:ascii="Times New Roman" w:hAnsi="Times New Roman" w:eastAsia="Times New Roman" w:cs="Times New Roman"/>
          <w:sz w:val="17"/>
          <w:szCs w:val="17"/>
          <w:spacing w:val="17"/>
        </w:rPr>
        <w:t xml:space="preserve"> </w:t>
      </w:r>
      <w:r>
        <w:rPr>
          <w:rFonts w:ascii="SimSun" w:hAnsi="SimSun" w:eastAsia="SimSun" w:cs="SimSun"/>
          <w:sz w:val="17"/>
          <w:szCs w:val="17"/>
          <w:spacing w:val="-17"/>
        </w:rPr>
        <w:t>按照查重优先级别顺序，个人供应商查重规则为：</w:t>
      </w:r>
    </w:p>
    <w:p>
      <w:pPr>
        <w:ind w:left="510"/>
        <w:spacing w:before="102" w:line="219" w:lineRule="auto"/>
        <w:rPr>
          <w:rFonts w:ascii="SimSun" w:hAnsi="SimSun" w:eastAsia="SimSun" w:cs="SimSun"/>
          <w:sz w:val="17"/>
          <w:szCs w:val="17"/>
        </w:rPr>
      </w:pPr>
      <w:r>
        <w:rPr>
          <w:rFonts w:ascii="SimSun" w:hAnsi="SimSun" w:eastAsia="SimSun" w:cs="SimSun"/>
          <w:sz w:val="17"/>
          <w:szCs w:val="17"/>
          <w:spacing w:val="-19"/>
        </w:rPr>
        <w:t>身份证号码一致的，为同一供应商。</w:t>
      </w:r>
    </w:p>
    <w:p>
      <w:pPr>
        <w:ind w:left="339" w:right="162" w:firstLine="170"/>
        <w:spacing w:before="90" w:line="261" w:lineRule="auto"/>
        <w:rPr>
          <w:rFonts w:ascii="SimSun" w:hAnsi="SimSun" w:eastAsia="SimSun" w:cs="SimSun"/>
          <w:sz w:val="17"/>
          <w:szCs w:val="17"/>
        </w:rPr>
      </w:pPr>
      <w:r>
        <w:rPr>
          <w:rFonts w:ascii="SimSun" w:hAnsi="SimSun" w:eastAsia="SimSun" w:cs="SimSun"/>
          <w:sz w:val="17"/>
          <w:szCs w:val="17"/>
          <w:spacing w:val="-16"/>
        </w:rPr>
        <w:t>(4)建立供应商主数据定时查重的运行机制，加强主数据质量的日常管理。</w:t>
      </w:r>
      <w:r>
        <w:rPr>
          <w:rFonts w:ascii="SimSun" w:hAnsi="SimSun" w:eastAsia="SimSun" w:cs="SimSun"/>
          <w:sz w:val="17"/>
          <w:szCs w:val="17"/>
          <w:spacing w:val="-17"/>
        </w:rPr>
        <w:t>根据查重结果，各级采购管理部门</w:t>
      </w:r>
      <w:r>
        <w:rPr>
          <w:rFonts w:ascii="SimSun" w:hAnsi="SimSun" w:eastAsia="SimSun" w:cs="SimSun"/>
          <w:sz w:val="17"/>
          <w:szCs w:val="17"/>
        </w:rPr>
        <w:t xml:space="preserve"> </w:t>
      </w:r>
      <w:r>
        <w:rPr>
          <w:rFonts w:ascii="SimSun" w:hAnsi="SimSun" w:eastAsia="SimSun" w:cs="SimSun"/>
          <w:sz w:val="17"/>
          <w:szCs w:val="17"/>
          <w:spacing w:val="-14"/>
          <w:w w:val="97"/>
        </w:rPr>
        <w:t>有权对可能重复的供应商数据进行合并或失效处理。同时将失效供应商信息根据失效流程发布给相关业务系统。</w:t>
      </w:r>
    </w:p>
    <w:p>
      <w:pPr>
        <w:ind w:left="510"/>
        <w:spacing w:before="78" w:line="219" w:lineRule="auto"/>
        <w:rPr>
          <w:rFonts w:ascii="SimSun" w:hAnsi="SimSun" w:eastAsia="SimSun" w:cs="SimSun"/>
          <w:sz w:val="17"/>
          <w:szCs w:val="17"/>
        </w:rPr>
      </w:pPr>
      <w:r>
        <w:rPr>
          <w:rFonts w:ascii="SimSun" w:hAnsi="SimSun" w:eastAsia="SimSun" w:cs="SimSun"/>
          <w:sz w:val="17"/>
          <w:szCs w:val="17"/>
          <w:spacing w:val="-7"/>
        </w:rPr>
        <w:t>5</w:t>
      </w:r>
      <w:r>
        <w:rPr>
          <w:rFonts w:ascii="SimSun" w:hAnsi="SimSun" w:eastAsia="SimSun" w:cs="SimSun"/>
          <w:sz w:val="17"/>
          <w:szCs w:val="17"/>
          <w:spacing w:val="70"/>
        </w:rPr>
        <w:t xml:space="preserve"> </w:t>
      </w:r>
      <w:r>
        <w:rPr>
          <w:rFonts w:ascii="SimSun" w:hAnsi="SimSun" w:eastAsia="SimSun" w:cs="SimSun"/>
          <w:sz w:val="17"/>
          <w:szCs w:val="17"/>
          <w:spacing w:val="-7"/>
        </w:rPr>
        <w:t>附则</w:t>
      </w:r>
    </w:p>
    <w:p>
      <w:pPr>
        <w:ind w:left="510"/>
        <w:spacing w:before="88" w:line="219" w:lineRule="auto"/>
        <w:rPr>
          <w:rFonts w:ascii="SimSun" w:hAnsi="SimSun" w:eastAsia="SimSun" w:cs="SimSun"/>
          <w:sz w:val="17"/>
          <w:szCs w:val="17"/>
        </w:rPr>
      </w:pPr>
      <w:r>
        <w:rPr>
          <w:rFonts w:ascii="SimSun" w:hAnsi="SimSun" w:eastAsia="SimSun" w:cs="SimSun"/>
          <w:sz w:val="17"/>
          <w:szCs w:val="17"/>
          <w:spacing w:val="-15"/>
        </w:rPr>
        <w:t>(1)各子公司的供应商主数据管理应按照采购管理和</w:t>
      </w:r>
      <w:r>
        <w:rPr>
          <w:rFonts w:ascii="Times New Roman" w:hAnsi="Times New Roman" w:eastAsia="Times New Roman" w:cs="Times New Roman"/>
          <w:sz w:val="17"/>
          <w:szCs w:val="17"/>
          <w:spacing w:val="-15"/>
        </w:rPr>
        <w:t>IT</w:t>
      </w:r>
      <w:r>
        <w:rPr>
          <w:rFonts w:ascii="Times New Roman" w:hAnsi="Times New Roman" w:eastAsia="Times New Roman" w:cs="Times New Roman"/>
          <w:sz w:val="17"/>
          <w:szCs w:val="17"/>
          <w:spacing w:val="-19"/>
        </w:rPr>
        <w:t xml:space="preserve"> </w:t>
      </w:r>
      <w:r>
        <w:rPr>
          <w:rFonts w:ascii="SimSun" w:hAnsi="SimSun" w:eastAsia="SimSun" w:cs="SimSun"/>
          <w:sz w:val="17"/>
          <w:szCs w:val="17"/>
          <w:spacing w:val="-15"/>
        </w:rPr>
        <w:t>规</w:t>
      </w:r>
      <w:r>
        <w:rPr>
          <w:rFonts w:ascii="SimSun" w:hAnsi="SimSun" w:eastAsia="SimSun" w:cs="SimSun"/>
          <w:sz w:val="17"/>
          <w:szCs w:val="17"/>
          <w:spacing w:val="-16"/>
        </w:rPr>
        <w:t>划要求，逐步纳入供应商主数据管理平台统一管理。</w:t>
      </w:r>
    </w:p>
    <w:p>
      <w:pPr>
        <w:ind w:left="510"/>
        <w:spacing w:before="79" w:line="219" w:lineRule="auto"/>
        <w:rPr>
          <w:rFonts w:ascii="SimSun" w:hAnsi="SimSun" w:eastAsia="SimSun" w:cs="SimSun"/>
          <w:sz w:val="17"/>
          <w:szCs w:val="17"/>
        </w:rPr>
      </w:pPr>
      <w:r>
        <w:rPr>
          <w:rFonts w:ascii="SimSun" w:hAnsi="SimSun" w:eastAsia="SimSun" w:cs="SimSun"/>
          <w:sz w:val="17"/>
          <w:szCs w:val="17"/>
          <w:spacing w:val="-15"/>
        </w:rPr>
        <w:t>(2)本暂行办法由集团采购与管理部负责解释</w:t>
      </w:r>
      <w:r>
        <w:rPr>
          <w:rFonts w:ascii="SimSun" w:hAnsi="SimSun" w:eastAsia="SimSun" w:cs="SimSun"/>
          <w:sz w:val="17"/>
          <w:szCs w:val="17"/>
          <w:spacing w:val="-16"/>
        </w:rPr>
        <w:t>，自发布之日起施行。</w:t>
      </w:r>
    </w:p>
    <w:p>
      <w:pPr>
        <w:ind w:left="3230"/>
        <w:spacing w:before="88" w:line="219" w:lineRule="auto"/>
        <w:rPr>
          <w:rFonts w:ascii="SimSun" w:hAnsi="SimSun" w:eastAsia="SimSun" w:cs="SimSun"/>
          <w:sz w:val="16"/>
          <w:szCs w:val="16"/>
        </w:rPr>
      </w:pPr>
      <w:r>
        <w:rPr>
          <w:rFonts w:ascii="SimSun" w:hAnsi="SimSun" w:eastAsia="SimSun" w:cs="SimSun"/>
          <w:sz w:val="16"/>
          <w:szCs w:val="16"/>
          <w:spacing w:val="-1"/>
        </w:rPr>
        <w:t>供应商基本信息创建申请单</w:t>
      </w:r>
    </w:p>
    <w:p>
      <w:pPr>
        <w:ind w:left="1160"/>
        <w:spacing w:before="120" w:line="260" w:lineRule="exact"/>
        <w:rPr>
          <w:rFonts w:ascii="SimSun" w:hAnsi="SimSun" w:eastAsia="SimSun" w:cs="SimSun"/>
          <w:sz w:val="15"/>
          <w:szCs w:val="15"/>
        </w:rPr>
      </w:pPr>
      <w:r>
        <w:pict>
          <v:shape id="_x0000_s350" style="position:absolute;margin-left:222.999pt;margin-top:4.55956pt;mso-position-vertical-relative:text;mso-position-horizontal-relative:text;width:17.4pt;height:24.4pt;z-index:2544250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电子</w:t>
                  </w:r>
                </w:p>
                <w:p>
                  <w:pPr>
                    <w:ind w:left="20"/>
                    <w:spacing w:before="90" w:line="219" w:lineRule="auto"/>
                    <w:rPr>
                      <w:rFonts w:ascii="SimSun" w:hAnsi="SimSun" w:eastAsia="SimSun" w:cs="SimSun"/>
                      <w:sz w:val="15"/>
                      <w:szCs w:val="15"/>
                    </w:rPr>
                  </w:pPr>
                  <w:r>
                    <w:rPr>
                      <w:rFonts w:ascii="SimSun" w:hAnsi="SimSun" w:eastAsia="SimSun" w:cs="SimSun"/>
                      <w:sz w:val="15"/>
                      <w:szCs w:val="15"/>
                      <w:spacing w:val="3"/>
                    </w:rPr>
                    <w:t>邮件</w:t>
                  </w:r>
                </w:p>
              </w:txbxContent>
            </v:textbox>
          </v:shape>
        </w:pict>
      </w:r>
      <w:r>
        <w:pict>
          <v:shape id="_x0000_s352" style="position:absolute;margin-left:149.497pt;margin-top:4.61955pt;mso-position-vertical-relative:text;mso-position-horizontal-relative:text;width:17.75pt;height:23.55pt;z-index:254426112;" filled="false" stroked="false" type="#_x0000_t202">
            <v:fill on="false"/>
            <v:stroke on="false"/>
            <v:path/>
            <v:imagedata o:title=""/>
            <o:lock v:ext="edit" aspectratio="false"/>
            <v:textbox inset="0mm,0mm,0mm,0mm">
              <w:txbxContent>
                <w:p>
                  <w:pPr>
                    <w:ind w:left="20" w:right="20"/>
                    <w:spacing w:before="19" w:line="265" w:lineRule="auto"/>
                    <w:rPr>
                      <w:rFonts w:ascii="SimSun" w:hAnsi="SimSun" w:eastAsia="SimSun" w:cs="SimSun"/>
                      <w:sz w:val="15"/>
                      <w:szCs w:val="15"/>
                    </w:rPr>
                  </w:pPr>
                  <w:r>
                    <w:rPr>
                      <w:rFonts w:ascii="SimSun" w:hAnsi="SimSun" w:eastAsia="SimSun" w:cs="SimSun"/>
                      <w:sz w:val="15"/>
                      <w:szCs w:val="15"/>
                      <w:spacing w:val="7"/>
                    </w:rPr>
                    <w:t>联系</w:t>
                  </w:r>
                  <w:r>
                    <w:rPr>
                      <w:rFonts w:ascii="SimSun" w:hAnsi="SimSun" w:eastAsia="SimSun" w:cs="SimSun"/>
                      <w:sz w:val="15"/>
                      <w:szCs w:val="15"/>
                    </w:rPr>
                    <w:t xml:space="preserve"> </w:t>
                  </w:r>
                  <w:r>
                    <w:rPr>
                      <w:rFonts w:ascii="SimSun" w:hAnsi="SimSun" w:eastAsia="SimSun" w:cs="SimSun"/>
                      <w:sz w:val="15"/>
                      <w:szCs w:val="15"/>
                      <w:spacing w:val="2"/>
                    </w:rPr>
                    <w:t>电话</w:t>
                  </w:r>
                </w:p>
              </w:txbxContent>
            </v:textbox>
          </v:shape>
        </w:pict>
      </w:r>
      <w:r>
        <w:pict>
          <v:shape id="_x0000_s354" style="position:absolute;margin-left:321.5pt;margin-top:5.03203pt;mso-position-vertical-relative:text;mso-position-horizontal-relative:text;width:17.5pt;height:25pt;z-index:2544240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申请</w:t>
                  </w:r>
                </w:p>
                <w:p>
                  <w:pPr>
                    <w:ind w:left="20"/>
                    <w:spacing w:before="102" w:line="220" w:lineRule="auto"/>
                    <w:rPr>
                      <w:rFonts w:ascii="SimSun" w:hAnsi="SimSun" w:eastAsia="SimSun" w:cs="SimSun"/>
                      <w:sz w:val="15"/>
                      <w:szCs w:val="15"/>
                    </w:rPr>
                  </w:pPr>
                  <w:r>
                    <w:rPr>
                      <w:rFonts w:ascii="SimSun" w:hAnsi="SimSun" w:eastAsia="SimSun" w:cs="SimSun"/>
                      <w:sz w:val="15"/>
                      <w:szCs w:val="15"/>
                      <w:spacing w:val="8"/>
                    </w:rPr>
                    <w:t>日期</w:t>
                  </w:r>
                </w:p>
              </w:txbxContent>
            </v:textbox>
          </v:shape>
        </w:pict>
      </w:r>
      <w:r>
        <w:rPr>
          <w:rFonts w:ascii="SimSun" w:hAnsi="SimSun" w:eastAsia="SimSun" w:cs="SimSun"/>
          <w:sz w:val="15"/>
          <w:szCs w:val="15"/>
          <w:spacing w:val="-2"/>
          <w:position w:val="8"/>
        </w:rPr>
        <w:t>供应商</w:t>
      </w:r>
    </w:p>
    <w:p>
      <w:pPr>
        <w:ind w:left="1160"/>
        <w:spacing w:before="1" w:line="219" w:lineRule="auto"/>
        <w:rPr>
          <w:rFonts w:ascii="SimSun" w:hAnsi="SimSun" w:eastAsia="SimSun" w:cs="SimSun"/>
          <w:sz w:val="15"/>
          <w:szCs w:val="15"/>
        </w:rPr>
      </w:pPr>
      <w:r>
        <w:rPr>
          <w:rFonts w:ascii="SimSun" w:hAnsi="SimSun" w:eastAsia="SimSun" w:cs="SimSun"/>
          <w:sz w:val="15"/>
          <w:szCs w:val="15"/>
          <w:spacing w:val="2"/>
        </w:rPr>
        <w:t>申请人</w:t>
      </w:r>
    </w:p>
    <w:p>
      <w:pPr>
        <w:ind w:left="6070"/>
        <w:spacing w:before="122" w:line="219" w:lineRule="auto"/>
        <w:rPr>
          <w:rFonts w:ascii="SimSun" w:hAnsi="SimSun" w:eastAsia="SimSun" w:cs="SimSun"/>
          <w:sz w:val="15"/>
          <w:szCs w:val="15"/>
        </w:rPr>
      </w:pPr>
      <w:r>
        <w:pict>
          <v:shape id="_x0000_s356" style="position:absolute;margin-left:185.501pt;margin-top:5.10444pt;mso-position-vertical-relative:text;mso-position-horizontal-relative:text;width:17.4pt;height:10.95pt;z-index:254428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内容</w:t>
                  </w:r>
                </w:p>
              </w:txbxContent>
            </v:textbox>
          </v:shape>
        </w:pict>
      </w:r>
      <w:r>
        <w:pict>
          <v:shape id="_x0000_s358" style="position:absolute;margin-left:107.498pt;margin-top:5.13445pt;mso-position-vertical-relative:text;mso-position-horizontal-relative:text;width:18.45pt;height:10.95pt;z-index:254427136;"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5"/>
                      <w:szCs w:val="15"/>
                    </w:rPr>
                  </w:pPr>
                  <w:r>
                    <w:rPr>
                      <w:rFonts w:ascii="SimSun" w:hAnsi="SimSun" w:eastAsia="SimSun" w:cs="SimSun"/>
                      <w:sz w:val="15"/>
                      <w:szCs w:val="15"/>
                      <w:spacing w:val="-22"/>
                    </w:rPr>
                    <w:t>项</w:t>
                  </w:r>
                  <w:r>
                    <w:rPr>
                      <w:rFonts w:ascii="SimSun" w:hAnsi="SimSun" w:eastAsia="SimSun" w:cs="SimSun"/>
                      <w:sz w:val="15"/>
                      <w:szCs w:val="15"/>
                      <w:spacing w:val="-4"/>
                    </w:rPr>
                    <w:t xml:space="preserve"> </w:t>
                  </w:r>
                  <w:r>
                    <w:rPr>
                      <w:rFonts w:ascii="SimSun" w:hAnsi="SimSun" w:eastAsia="SimSun" w:cs="SimSun"/>
                      <w:sz w:val="15"/>
                      <w:szCs w:val="15"/>
                      <w:spacing w:val="-22"/>
                    </w:rPr>
                    <w:t>目</w:t>
                  </w:r>
                </w:p>
              </w:txbxContent>
            </v:textbox>
          </v:shape>
        </w:pict>
      </w:r>
      <w:r>
        <w:rPr>
          <w:rFonts w:ascii="SimSun" w:hAnsi="SimSun" w:eastAsia="SimSun" w:cs="SimSun"/>
          <w:sz w:val="15"/>
          <w:szCs w:val="15"/>
          <w:spacing w:val="4"/>
        </w:rPr>
        <w:t>填写说明</w:t>
      </w:r>
    </w:p>
    <w:p>
      <w:pPr>
        <w:ind w:left="5150"/>
        <w:spacing w:before="151" w:line="172" w:lineRule="auto"/>
        <w:rPr>
          <w:rFonts w:ascii="SimSun" w:hAnsi="SimSun" w:eastAsia="SimSun" w:cs="SimSun"/>
          <w:sz w:val="15"/>
          <w:szCs w:val="15"/>
        </w:rPr>
      </w:pPr>
      <w:r>
        <w:rPr>
          <w:rFonts w:ascii="SimSun" w:hAnsi="SimSun" w:eastAsia="SimSun" w:cs="SimSun"/>
          <w:sz w:val="15"/>
          <w:szCs w:val="15"/>
          <w:spacing w:val="-1"/>
        </w:rPr>
        <w:t>工商注册名称全称，按照工商营业执照</w:t>
      </w:r>
    </w:p>
    <w:p>
      <w:pPr>
        <w:ind w:left="1939"/>
        <w:spacing w:before="1" w:line="185" w:lineRule="auto"/>
        <w:rPr>
          <w:rFonts w:ascii="SimSun" w:hAnsi="SimSun" w:eastAsia="SimSun" w:cs="SimSun"/>
          <w:sz w:val="15"/>
          <w:szCs w:val="15"/>
        </w:rPr>
      </w:pPr>
      <w:r>
        <w:rPr>
          <w:rFonts w:ascii="SimSun" w:hAnsi="SimSun" w:eastAsia="SimSun" w:cs="SimSun"/>
          <w:sz w:val="15"/>
          <w:szCs w:val="15"/>
          <w:spacing w:val="-1"/>
        </w:rPr>
        <w:t>供应商名称</w:t>
      </w:r>
    </w:p>
    <w:p>
      <w:pPr>
        <w:ind w:left="5159"/>
        <w:spacing w:line="196" w:lineRule="auto"/>
        <w:rPr>
          <w:rFonts w:ascii="SimSun" w:hAnsi="SimSun" w:eastAsia="SimSun" w:cs="SimSun"/>
          <w:sz w:val="15"/>
          <w:szCs w:val="15"/>
        </w:rPr>
      </w:pPr>
      <w:r>
        <w:rPr>
          <w:rFonts w:ascii="SimSun" w:hAnsi="SimSun" w:eastAsia="SimSun" w:cs="SimSun"/>
          <w:sz w:val="15"/>
          <w:szCs w:val="15"/>
          <w:spacing w:val="-1"/>
        </w:rPr>
        <w:t>上的名称，填写全称</w:t>
      </w:r>
    </w:p>
    <w:p>
      <w:pPr>
        <w:ind w:left="1089"/>
        <w:spacing w:before="1" w:line="172" w:lineRule="auto"/>
        <w:rPr>
          <w:rFonts w:ascii="SimSun" w:hAnsi="SimSun" w:eastAsia="SimSun" w:cs="SimSun"/>
          <w:sz w:val="15"/>
          <w:szCs w:val="15"/>
        </w:rPr>
      </w:pPr>
      <w:r>
        <w:rPr>
          <w:rFonts w:ascii="SimSun" w:hAnsi="SimSun" w:eastAsia="SimSun" w:cs="SimSun"/>
          <w:sz w:val="15"/>
          <w:szCs w:val="15"/>
          <w:spacing w:val="-2"/>
        </w:rPr>
        <w:t>信息内容</w:t>
      </w:r>
    </w:p>
    <w:p>
      <w:pPr>
        <w:ind w:left="5159"/>
        <w:spacing w:line="208" w:lineRule="auto"/>
        <w:rPr>
          <w:rFonts w:ascii="SimSun" w:hAnsi="SimSun" w:eastAsia="SimSun" w:cs="SimSun"/>
          <w:sz w:val="15"/>
          <w:szCs w:val="15"/>
        </w:rPr>
      </w:pPr>
      <w:r>
        <w:pict>
          <v:shape id="_x0000_s360" style="position:absolute;margin-left:99.9982pt;margin-top:-1.47372pt;mso-position-vertical-relative:text;mso-position-horizontal-relative:text;width:31.75pt;height:43.45pt;z-index:2544209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英文名称</w:t>
                  </w:r>
                </w:p>
                <w:p>
                  <w:pPr>
                    <w:ind w:left="20"/>
                    <w:spacing w:before="140" w:line="219" w:lineRule="auto"/>
                    <w:rPr>
                      <w:rFonts w:ascii="SimSun" w:hAnsi="SimSun" w:eastAsia="SimSun" w:cs="SimSun"/>
                      <w:sz w:val="15"/>
                      <w:szCs w:val="15"/>
                    </w:rPr>
                  </w:pPr>
                  <w:r>
                    <w:rPr>
                      <w:rFonts w:ascii="SimSun" w:hAnsi="SimSun" w:eastAsia="SimSun" w:cs="SimSun"/>
                      <w:sz w:val="15"/>
                      <w:szCs w:val="15"/>
                      <w:spacing w:val="-2"/>
                    </w:rPr>
                    <w:t>法人代表</w:t>
                  </w:r>
                </w:p>
                <w:p>
                  <w:pPr>
                    <w:ind w:left="20"/>
                    <w:spacing w:before="152" w:line="220" w:lineRule="auto"/>
                    <w:rPr>
                      <w:rFonts w:ascii="SimSun" w:hAnsi="SimSun" w:eastAsia="SimSun" w:cs="SimSun"/>
                      <w:sz w:val="15"/>
                      <w:szCs w:val="15"/>
                    </w:rPr>
                  </w:pPr>
                  <w:r>
                    <w:rPr>
                      <w:rFonts w:ascii="SimSun" w:hAnsi="SimSun" w:eastAsia="SimSun" w:cs="SimSun"/>
                      <w:sz w:val="15"/>
                      <w:szCs w:val="15"/>
                      <w:spacing w:val="-2"/>
                    </w:rPr>
                    <w:t>所在国家</w:t>
                  </w:r>
                </w:p>
              </w:txbxContent>
            </v:textbox>
          </v:shape>
        </w:pict>
      </w:r>
      <w:r>
        <w:rPr>
          <w:rFonts w:ascii="SimSun" w:hAnsi="SimSun" w:eastAsia="SimSun" w:cs="SimSun"/>
          <w:sz w:val="15"/>
          <w:szCs w:val="15"/>
          <w:spacing w:val="-2"/>
        </w:rPr>
        <w:t>英文名称</w:t>
      </w:r>
    </w:p>
    <w:p>
      <w:pPr>
        <w:ind w:left="5159"/>
        <w:spacing w:before="141" w:line="219" w:lineRule="auto"/>
        <w:rPr>
          <w:rFonts w:ascii="SimSun" w:hAnsi="SimSun" w:eastAsia="SimSun" w:cs="SimSun"/>
          <w:sz w:val="15"/>
          <w:szCs w:val="15"/>
        </w:rPr>
      </w:pPr>
      <w:r>
        <w:rPr>
          <w:rFonts w:ascii="SimSun" w:hAnsi="SimSun" w:eastAsia="SimSun" w:cs="SimSun"/>
          <w:sz w:val="15"/>
          <w:szCs w:val="15"/>
          <w:spacing w:val="-1"/>
        </w:rPr>
        <w:t>工商注册法人代表</w:t>
      </w:r>
    </w:p>
    <w:p>
      <w:pPr>
        <w:ind w:left="5159"/>
        <w:spacing w:before="152" w:line="220" w:lineRule="auto"/>
        <w:rPr>
          <w:rFonts w:ascii="SimSun" w:hAnsi="SimSun" w:eastAsia="SimSun" w:cs="SimSun"/>
          <w:sz w:val="15"/>
          <w:szCs w:val="15"/>
        </w:rPr>
      </w:pPr>
      <w:r>
        <w:rPr>
          <w:rFonts w:ascii="SimSun" w:hAnsi="SimSun" w:eastAsia="SimSun" w:cs="SimSun"/>
          <w:sz w:val="15"/>
          <w:szCs w:val="15"/>
          <w:spacing w:val="-1"/>
        </w:rPr>
        <w:t>工商注册所在国家</w:t>
      </w:r>
    </w:p>
    <w:p>
      <w:pPr>
        <w:spacing w:line="220" w:lineRule="auto"/>
        <w:sectPr>
          <w:footerReference w:type="default" r:id="rId234"/>
          <w:pgSz w:w="8870" w:h="13400"/>
          <w:pgMar w:top="400" w:right="529" w:bottom="489" w:left="390" w:header="0" w:footer="320" w:gutter="0"/>
        </w:sectPr>
        <w:rPr>
          <w:rFonts w:ascii="SimSun" w:hAnsi="SimSun" w:eastAsia="SimSun" w:cs="SimSun"/>
          <w:sz w:val="15"/>
          <w:szCs w:val="15"/>
        </w:rPr>
      </w:pPr>
    </w:p>
    <w:p>
      <w:pPr>
        <w:ind w:left="5523"/>
        <w:spacing w:before="215" w:line="590" w:lineRule="exact"/>
        <w:rPr>
          <w:rFonts w:ascii="SimSun" w:hAnsi="SimSun" w:eastAsia="SimSun" w:cs="SimSun"/>
          <w:sz w:val="23"/>
          <w:szCs w:val="23"/>
        </w:rPr>
      </w:pPr>
      <w:r>
        <mc:AlternateContent xmlns:mc="http://schemas.openxmlformats.org/markup-compatibility/2006">
          <mc:Choice Requires="wps">
            <w:drawing>
              <wp:anchor distT="0" distB="0" distL="0" distR="0" simplePos="0" relativeHeight="254442496" behindDoc="1" locked="0" layoutInCell="0" allowOverlap="1">
                <wp:simplePos x="0" y="0"/>
                <wp:positionH relativeFrom="page">
                  <wp:posOffset>298463</wp:posOffset>
                </wp:positionH>
                <wp:positionV relativeFrom="page">
                  <wp:posOffset>7791436</wp:posOffset>
                </wp:positionV>
                <wp:extent cx="4889500" cy="12700"/>
                <wp:effectExtent l="0" t="0" r="0" b="0"/>
                <wp:wrapNone/>
                <wp:docPr id="172" name="Rect 172"/>
                <wp:cNvGraphicFramePr/>
                <a:graphic>
                  <a:graphicData uri="http://schemas.microsoft.com/office/word/2010/wordprocessingShape">
                    <wps:wsp>
                      <wps:cNvPr id="172" name="Rect 172"/>
                      <wps:cNvSpPr/>
                      <wps:spPr>
                        <a:xfrm>
                          <a:off x="298463" y="7791436"/>
                          <a:ext cx="4889500" cy="1270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2" style="position:absolute;margin-left:23.5011pt;margin-top:613.499pt;mso-position-vertical-relative:page;mso-position-horizontal-relative:page;width:385pt;height:1pt;z-index:-248873984;" o:allowincell="f" fillcolor="#000000" filled="true" stroked="false"/>
            </w:pict>
          </mc:Fallback>
        </mc:AlternateContent>
      </w:r>
      <w:r>
        <w:rPr>
          <w:rFonts w:ascii="SimSun" w:hAnsi="SimSun" w:eastAsia="SimSun" w:cs="SimSun"/>
          <w:sz w:val="23"/>
          <w:szCs w:val="23"/>
          <w:b/>
          <w:bCs/>
          <w:spacing w:val="-4"/>
          <w:position w:val="28"/>
        </w:rPr>
        <w:t>第5章■云端数据管理</w:t>
      </w:r>
    </w:p>
    <w:p>
      <w:pPr>
        <w:ind w:left="6892"/>
        <w:spacing w:line="206" w:lineRule="auto"/>
        <w:rPr>
          <w:rFonts w:ascii="SimHei" w:hAnsi="SimHei" w:eastAsia="SimHei" w:cs="SimHei"/>
          <w:sz w:val="20"/>
          <w:szCs w:val="20"/>
        </w:rPr>
      </w:pPr>
      <w:r>
        <w:rPr>
          <w:rFonts w:ascii="SimHei" w:hAnsi="SimHei" w:eastAsia="SimHei" w:cs="SimHei"/>
          <w:sz w:val="20"/>
          <w:szCs w:val="20"/>
          <w:b/>
          <w:bCs/>
          <w:spacing w:val="-10"/>
        </w:rPr>
        <w:t>续表</w:t>
      </w:r>
    </w:p>
    <w:tbl>
      <w:tblPr>
        <w:tblStyle w:val="TableNormal"/>
        <w:tblW w:w="7700" w:type="dxa"/>
        <w:tblInd w:w="0" w:type="dxa"/>
        <w:tblLayout w:type="fixed"/>
        <w:tblBorders>
          <w:right w:val="single" w:color="000000" w:sz="8" w:space="0"/>
          <w:top w:val="single" w:color="000000" w:sz="4" w:space="0"/>
        </w:tblBorders>
      </w:tblPr>
      <w:tblGrid>
        <w:gridCol w:w="7700"/>
      </w:tblGrid>
      <w:tr>
        <w:trPr>
          <w:trHeight w:val="10859" w:hRule="atLeast"/>
        </w:trPr>
        <w:tc>
          <w:tcPr>
            <w:tcW w:w="7700" w:type="dxa"/>
            <w:vAlign w:val="top"/>
          </w:tcPr>
          <w:p>
            <w:pPr>
              <w:pStyle w:val="TableText"/>
              <w:ind w:left="6832"/>
              <w:spacing w:before="164" w:line="220" w:lineRule="auto"/>
              <w:rPr/>
            </w:pPr>
            <w:r>
              <w:rPr>
                <w:b/>
                <w:bCs/>
                <w:spacing w:val="-4"/>
              </w:rPr>
              <w:t>续表</w:t>
            </w:r>
          </w:p>
          <w:p>
            <w:pPr>
              <w:spacing w:line="122" w:lineRule="auto"/>
              <w:rPr>
                <w:rFonts w:ascii="Arial"/>
                <w:sz w:val="2"/>
              </w:rPr>
            </w:pPr>
            <w:r>
              <w:rPr>
                <w:rFonts w:ascii="Arial"/>
                <w:sz w:val="2"/>
              </w:rPr>
            </w:r>
          </w:p>
          <w:tbl>
            <w:tblPr>
              <w:tblStyle w:val="TableNormal"/>
              <w:tblW w:w="7279" w:type="dxa"/>
              <w:tblInd w:w="2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4"/>
              <w:gridCol w:w="829"/>
              <w:gridCol w:w="998"/>
              <w:gridCol w:w="1358"/>
              <w:gridCol w:w="729"/>
              <w:gridCol w:w="959"/>
              <w:gridCol w:w="1902"/>
            </w:tblGrid>
            <w:tr>
              <w:trPr>
                <w:trHeight w:val="494" w:hRule="atLeast"/>
              </w:trPr>
              <w:tc>
                <w:tcPr>
                  <w:tcW w:w="504" w:type="dxa"/>
                  <w:vAlign w:val="top"/>
                  <w:vMerge w:val="restart"/>
                  <w:textDirection w:val="tbRlV"/>
                  <w:tcBorders>
                    <w:bottom w:val="nil"/>
                  </w:tcBorders>
                </w:tcPr>
                <w:p>
                  <w:pPr>
                    <w:pStyle w:val="TableText"/>
                    <w:ind w:left="2407"/>
                    <w:spacing w:before="169" w:line="216" w:lineRule="auto"/>
                    <w:rPr/>
                  </w:pPr>
                  <w:r>
                    <w:rPr/>
                    <w:t>申</w:t>
                  </w:r>
                  <w:r>
                    <w:rPr>
                      <w:spacing w:val="20"/>
                    </w:rPr>
                    <w:t xml:space="preserve"> </w:t>
                  </w:r>
                  <w:r>
                    <w:rPr/>
                    <w:t>请</w:t>
                  </w:r>
                  <w:r>
                    <w:rPr>
                      <w:spacing w:val="20"/>
                    </w:rPr>
                    <w:t xml:space="preserve"> </w:t>
                  </w:r>
                  <w:r>
                    <w:rPr/>
                    <w:t>人</w:t>
                  </w:r>
                  <w:r>
                    <w:rPr>
                      <w:spacing w:val="20"/>
                    </w:rPr>
                    <w:t xml:space="preserve"> </w:t>
                  </w:r>
                  <w:r>
                    <w:rPr/>
                    <w:t>填</w:t>
                  </w:r>
                  <w:r>
                    <w:rPr>
                      <w:spacing w:val="20"/>
                      <w:w w:val="101"/>
                    </w:rPr>
                    <w:t xml:space="preserve"> </w:t>
                  </w:r>
                  <w:r>
                    <w:rPr/>
                    <w:t>写</w:t>
                  </w:r>
                </w:p>
              </w:tc>
              <w:tc>
                <w:tcPr>
                  <w:tcW w:w="829" w:type="dxa"/>
                  <w:vAlign w:val="top"/>
                  <w:vMerge w:val="restart"/>
                  <w:tcBorders>
                    <w:bottom w:val="nil"/>
                  </w:tcBorders>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120"/>
                    <w:spacing w:before="48" w:line="219" w:lineRule="auto"/>
                    <w:rPr/>
                  </w:pPr>
                  <w:r>
                    <w:rPr>
                      <w:spacing w:val="-2"/>
                    </w:rPr>
                    <w:t>信息内容</w:t>
                  </w:r>
                </w:p>
              </w:tc>
              <w:tc>
                <w:tcPr>
                  <w:tcW w:w="998" w:type="dxa"/>
                  <w:vAlign w:val="top"/>
                </w:tcPr>
                <w:p>
                  <w:pPr>
                    <w:pStyle w:val="TableText"/>
                    <w:ind w:left="191"/>
                    <w:spacing w:before="171" w:line="219" w:lineRule="auto"/>
                    <w:rPr/>
                  </w:pPr>
                  <w:r>
                    <w:rPr>
                      <w:spacing w:val="-2"/>
                    </w:rPr>
                    <w:t>所在省份</w:t>
                  </w:r>
                </w:p>
              </w:tc>
              <w:tc>
                <w:tcPr>
                  <w:tcW w:w="2087" w:type="dxa"/>
                  <w:vAlign w:val="top"/>
                  <w:gridSpan w:val="2"/>
                </w:tcPr>
                <w:p>
                  <w:pPr>
                    <w:rPr>
                      <w:rFonts w:ascii="Arial"/>
                      <w:sz w:val="21"/>
                    </w:rPr>
                  </w:pPr>
                  <w:r/>
                </w:p>
              </w:tc>
              <w:tc>
                <w:tcPr>
                  <w:tcW w:w="2861" w:type="dxa"/>
                  <w:vAlign w:val="top"/>
                  <w:gridSpan w:val="2"/>
                </w:tcPr>
                <w:p>
                  <w:pPr>
                    <w:pStyle w:val="TableText"/>
                    <w:ind w:left="235" w:right="19" w:hanging="29"/>
                    <w:spacing w:before="30" w:line="264" w:lineRule="auto"/>
                    <w:rPr/>
                  </w:pPr>
                  <w:r>
                    <w:rPr>
                      <w:spacing w:val="4"/>
                    </w:rPr>
                    <w:t>工商注册所在省份名称，例如：北京、</w:t>
                  </w:r>
                  <w:r>
                    <w:rPr>
                      <w:spacing w:val="5"/>
                    </w:rPr>
                    <w:t xml:space="preserve"> </w:t>
                  </w:r>
                  <w:r>
                    <w:rPr>
                      <w:spacing w:val="-1"/>
                    </w:rPr>
                    <w:t>河北、澳门等</w:t>
                  </w:r>
                </w:p>
              </w:tc>
            </w:tr>
            <w:tr>
              <w:trPr>
                <w:trHeight w:val="480"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191"/>
                    <w:spacing w:before="167" w:line="219" w:lineRule="auto"/>
                    <w:rPr/>
                  </w:pPr>
                  <w:r>
                    <w:rPr>
                      <w:spacing w:val="-2"/>
                    </w:rPr>
                    <w:t>所在城市</w:t>
                  </w:r>
                </w:p>
              </w:tc>
              <w:tc>
                <w:tcPr>
                  <w:tcW w:w="2087" w:type="dxa"/>
                  <w:vAlign w:val="top"/>
                  <w:gridSpan w:val="2"/>
                </w:tcPr>
                <w:p>
                  <w:pPr>
                    <w:rPr>
                      <w:rFonts w:ascii="Arial"/>
                      <w:sz w:val="21"/>
                    </w:rPr>
                  </w:pPr>
                  <w:r/>
                </w:p>
              </w:tc>
              <w:tc>
                <w:tcPr>
                  <w:tcW w:w="2861" w:type="dxa"/>
                  <w:vAlign w:val="top"/>
                  <w:gridSpan w:val="2"/>
                </w:tcPr>
                <w:p>
                  <w:pPr>
                    <w:pStyle w:val="TableText"/>
                    <w:ind w:left="236" w:right="81" w:hanging="10"/>
                    <w:spacing w:before="27" w:line="264" w:lineRule="auto"/>
                    <w:rPr/>
                  </w:pPr>
                  <w:r>
                    <w:rPr>
                      <w:spacing w:val="-1"/>
                    </w:rPr>
                    <w:t>工商注册所在城市，按照营业执照上的</w:t>
                  </w:r>
                  <w:r>
                    <w:rPr>
                      <w:spacing w:val="8"/>
                    </w:rPr>
                    <w:t xml:space="preserve"> </w:t>
                  </w:r>
                  <w:r>
                    <w:rPr>
                      <w:spacing w:val="-2"/>
                    </w:rPr>
                    <w:t>地址填写</w:t>
                  </w:r>
                </w:p>
              </w:tc>
            </w:tr>
            <w:tr>
              <w:trPr>
                <w:trHeight w:val="470"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41"/>
                    <w:spacing w:before="157" w:line="220" w:lineRule="auto"/>
                    <w:rPr/>
                  </w:pPr>
                  <w:r>
                    <w:rPr>
                      <w:spacing w:val="-2"/>
                    </w:rPr>
                    <w:t>工商注册地址</w:t>
                  </w:r>
                </w:p>
              </w:tc>
              <w:tc>
                <w:tcPr>
                  <w:tcW w:w="2087" w:type="dxa"/>
                  <w:vAlign w:val="top"/>
                  <w:gridSpan w:val="2"/>
                </w:tcPr>
                <w:p>
                  <w:pPr>
                    <w:rPr>
                      <w:rFonts w:ascii="Arial"/>
                      <w:sz w:val="21"/>
                    </w:rPr>
                  </w:pPr>
                  <w:r/>
                </w:p>
              </w:tc>
              <w:tc>
                <w:tcPr>
                  <w:tcW w:w="2861" w:type="dxa"/>
                  <w:vAlign w:val="top"/>
                  <w:gridSpan w:val="2"/>
                </w:tcPr>
                <w:p>
                  <w:pPr>
                    <w:pStyle w:val="TableText"/>
                    <w:ind w:left="235" w:right="91" w:hanging="19"/>
                    <w:spacing w:before="36" w:line="252" w:lineRule="auto"/>
                    <w:rPr/>
                  </w:pPr>
                  <w:r>
                    <w:rPr>
                      <w:spacing w:val="-1"/>
                    </w:rPr>
                    <w:t>工商注册所在地址，按照营业执照上的</w:t>
                  </w:r>
                  <w:r>
                    <w:rPr>
                      <w:spacing w:val="8"/>
                    </w:rPr>
                    <w:t xml:space="preserve"> </w:t>
                  </w:r>
                  <w:r>
                    <w:rPr>
                      <w:spacing w:val="-2"/>
                    </w:rPr>
                    <w:t>地址填写</w:t>
                  </w:r>
                </w:p>
              </w:tc>
            </w:tr>
            <w:tr>
              <w:trPr>
                <w:trHeight w:val="480"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111"/>
                    <w:spacing w:before="167" w:line="220" w:lineRule="auto"/>
                    <w:rPr/>
                  </w:pPr>
                  <w:r>
                    <w:rPr>
                      <w:spacing w:val="1"/>
                    </w:rPr>
                    <w:t>国税登记号</w:t>
                  </w:r>
                </w:p>
              </w:tc>
              <w:tc>
                <w:tcPr>
                  <w:tcW w:w="2087" w:type="dxa"/>
                  <w:vAlign w:val="top"/>
                  <w:gridSpan w:val="2"/>
                </w:tcPr>
                <w:p>
                  <w:pPr>
                    <w:rPr>
                      <w:rFonts w:ascii="Arial"/>
                      <w:sz w:val="21"/>
                    </w:rPr>
                  </w:pPr>
                  <w:r/>
                </w:p>
              </w:tc>
              <w:tc>
                <w:tcPr>
                  <w:tcW w:w="2861" w:type="dxa"/>
                  <w:vAlign w:val="top"/>
                  <w:gridSpan w:val="2"/>
                </w:tcPr>
                <w:p>
                  <w:pPr>
                    <w:pStyle w:val="TableText"/>
                    <w:ind w:left="235" w:right="72" w:hanging="19"/>
                    <w:spacing w:before="36" w:line="263" w:lineRule="auto"/>
                    <w:rPr/>
                  </w:pPr>
                  <w:r>
                    <w:rPr/>
                    <w:t>国税登记编号，按照税务登记证上的编</w:t>
                  </w:r>
                  <w:r>
                    <w:rPr>
                      <w:spacing w:val="10"/>
                    </w:rPr>
                    <w:t xml:space="preserve"> </w:t>
                  </w:r>
                  <w:r>
                    <w:rPr>
                      <w:spacing w:val="2"/>
                    </w:rPr>
                    <w:t>号填写(个人供应商可不填)</w:t>
                  </w:r>
                </w:p>
              </w:tc>
            </w:tr>
            <w:tr>
              <w:trPr>
                <w:trHeight w:val="47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111"/>
                    <w:spacing w:before="167" w:line="220" w:lineRule="auto"/>
                    <w:rPr/>
                  </w:pPr>
                  <w:r>
                    <w:rPr>
                      <w:spacing w:val="-1"/>
                    </w:rPr>
                    <w:t>地税登记号</w:t>
                  </w:r>
                </w:p>
              </w:tc>
              <w:tc>
                <w:tcPr>
                  <w:tcW w:w="2087" w:type="dxa"/>
                  <w:vAlign w:val="top"/>
                  <w:gridSpan w:val="2"/>
                </w:tcPr>
                <w:p>
                  <w:pPr>
                    <w:rPr>
                      <w:rFonts w:ascii="Arial"/>
                      <w:sz w:val="21"/>
                    </w:rPr>
                  </w:pPr>
                  <w:r/>
                </w:p>
              </w:tc>
              <w:tc>
                <w:tcPr>
                  <w:tcW w:w="2861" w:type="dxa"/>
                  <w:vAlign w:val="top"/>
                  <w:gridSpan w:val="2"/>
                </w:tcPr>
                <w:p>
                  <w:pPr>
                    <w:pStyle w:val="TableText"/>
                    <w:ind w:left="235" w:right="89" w:hanging="19"/>
                    <w:spacing w:before="36" w:line="263" w:lineRule="auto"/>
                    <w:rPr/>
                  </w:pPr>
                  <w:r>
                    <w:rPr>
                      <w:spacing w:val="-1"/>
                    </w:rPr>
                    <w:t>地税登记编号，按照税务登记证上的编</w:t>
                  </w:r>
                  <w:r>
                    <w:rPr>
                      <w:spacing w:val="10"/>
                    </w:rPr>
                    <w:t xml:space="preserve"> </w:t>
                  </w:r>
                  <w:r>
                    <w:rPr>
                      <w:spacing w:val="2"/>
                    </w:rPr>
                    <w:t>号填写(个人供应商可不填)</w:t>
                  </w:r>
                </w:p>
              </w:tc>
            </w:tr>
            <w:tr>
              <w:trPr>
                <w:trHeight w:val="73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spacing w:line="246" w:lineRule="auto"/>
                    <w:rPr>
                      <w:rFonts w:ascii="Arial"/>
                      <w:sz w:val="21"/>
                    </w:rPr>
                  </w:pPr>
                  <w:r/>
                </w:p>
                <w:p>
                  <w:pPr>
                    <w:pStyle w:val="TableText"/>
                    <w:ind w:left="111"/>
                    <w:spacing w:before="49" w:line="219" w:lineRule="auto"/>
                    <w:rPr/>
                  </w:pPr>
                  <w:r>
                    <w:rPr>
                      <w:spacing w:val="-1"/>
                    </w:rPr>
                    <w:t>供应商类型</w:t>
                  </w:r>
                </w:p>
              </w:tc>
              <w:tc>
                <w:tcPr>
                  <w:tcW w:w="2087" w:type="dxa"/>
                  <w:vAlign w:val="top"/>
                  <w:gridSpan w:val="2"/>
                </w:tcPr>
                <w:p>
                  <w:pPr>
                    <w:rPr>
                      <w:rFonts w:ascii="Arial"/>
                      <w:sz w:val="21"/>
                    </w:rPr>
                  </w:pPr>
                  <w:r/>
                </w:p>
              </w:tc>
              <w:tc>
                <w:tcPr>
                  <w:tcW w:w="2861" w:type="dxa"/>
                  <w:vAlign w:val="top"/>
                  <w:gridSpan w:val="2"/>
                </w:tcPr>
                <w:p>
                  <w:pPr>
                    <w:pStyle w:val="TableText"/>
                    <w:ind w:left="236"/>
                    <w:spacing w:before="18" w:line="219" w:lineRule="auto"/>
                    <w:rPr/>
                  </w:pPr>
                  <w:r>
                    <w:rPr>
                      <w:spacing w:val="-2"/>
                    </w:rPr>
                    <w:t>类型：</w:t>
                  </w:r>
                </w:p>
                <w:p>
                  <w:pPr>
                    <w:pStyle w:val="TableText"/>
                    <w:ind w:left="236"/>
                    <w:spacing w:before="91" w:line="240" w:lineRule="exact"/>
                    <w:rPr/>
                  </w:pPr>
                  <w:r>
                    <w:rPr>
                      <w:spacing w:val="1"/>
                      <w:position w:val="6"/>
                    </w:rPr>
                    <w:t>1.企业供应商</w:t>
                  </w:r>
                </w:p>
                <w:p>
                  <w:pPr>
                    <w:pStyle w:val="TableText"/>
                    <w:ind w:left="236"/>
                    <w:spacing w:line="218" w:lineRule="auto"/>
                    <w:rPr/>
                  </w:pPr>
                  <w:r>
                    <w:rPr>
                      <w:spacing w:val="-2"/>
                    </w:rPr>
                    <w:t>2.个人供应商</w:t>
                  </w:r>
                </w:p>
              </w:tc>
            </w:tr>
            <w:tr>
              <w:trPr>
                <w:trHeight w:val="70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41"/>
                    <w:spacing w:before="278" w:line="219" w:lineRule="auto"/>
                    <w:rPr/>
                  </w:pPr>
                  <w:r>
                    <w:rPr>
                      <w:spacing w:val="-2"/>
                    </w:rPr>
                    <w:t>组织机构代码</w:t>
                  </w:r>
                </w:p>
              </w:tc>
              <w:tc>
                <w:tcPr>
                  <w:tcW w:w="2087" w:type="dxa"/>
                  <w:vAlign w:val="top"/>
                  <w:gridSpan w:val="2"/>
                </w:tcPr>
                <w:p>
                  <w:pPr>
                    <w:rPr>
                      <w:rFonts w:ascii="Arial"/>
                      <w:sz w:val="21"/>
                    </w:rPr>
                  </w:pPr>
                  <w:r/>
                </w:p>
              </w:tc>
              <w:tc>
                <w:tcPr>
                  <w:tcW w:w="2861" w:type="dxa"/>
                  <w:vAlign w:val="top"/>
                  <w:gridSpan w:val="2"/>
                </w:tcPr>
                <w:p>
                  <w:pPr>
                    <w:pStyle w:val="TableText"/>
                    <w:ind w:left="56" w:right="177" w:firstLine="149"/>
                    <w:spacing w:before="28" w:line="264" w:lineRule="auto"/>
                    <w:rPr/>
                  </w:pPr>
                  <w:r>
                    <w:rPr>
                      <w:spacing w:val="-1"/>
                    </w:rPr>
                    <w:t>企业法人组织机构代码填写9位组织机</w:t>
                  </w:r>
                  <w:r>
                    <w:rPr>
                      <w:spacing w:val="7"/>
                    </w:rPr>
                    <w:t xml:space="preserve"> </w:t>
                  </w:r>
                  <w:r>
                    <w:rPr>
                      <w:spacing w:val="-1"/>
                    </w:rPr>
                    <w:t>构代码，前8位和最后1位之间以中划线</w:t>
                  </w:r>
                </w:p>
                <w:p>
                  <w:pPr>
                    <w:pStyle w:val="TableText"/>
                    <w:ind w:left="236"/>
                    <w:spacing w:before="62" w:line="219" w:lineRule="auto"/>
                    <w:rPr/>
                  </w:pPr>
                  <w:r>
                    <w:rPr>
                      <w:spacing w:val="-1"/>
                    </w:rPr>
                    <w:t>连接；个人填写个人身份证号码</w:t>
                  </w:r>
                </w:p>
              </w:tc>
            </w:tr>
            <w:tr>
              <w:trPr>
                <w:trHeight w:val="46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260" w:right="183" w:hanging="69"/>
                    <w:spacing w:before="39" w:line="253" w:lineRule="auto"/>
                    <w:rPr/>
                  </w:pPr>
                  <w:r>
                    <w:rPr>
                      <w:spacing w:val="3"/>
                    </w:rPr>
                    <w:t>营业执照</w:t>
                  </w:r>
                  <w:r>
                    <w:rPr/>
                    <w:t xml:space="preserve"> </w:t>
                  </w:r>
                  <w:r>
                    <w:rPr>
                      <w:spacing w:val="-2"/>
                    </w:rPr>
                    <w:t>登记号</w:t>
                  </w:r>
                </w:p>
              </w:tc>
              <w:tc>
                <w:tcPr>
                  <w:tcW w:w="2087" w:type="dxa"/>
                  <w:vAlign w:val="top"/>
                  <w:gridSpan w:val="2"/>
                </w:tcPr>
                <w:p>
                  <w:pPr>
                    <w:rPr>
                      <w:rFonts w:ascii="Arial"/>
                      <w:sz w:val="21"/>
                    </w:rPr>
                  </w:pPr>
                  <w:r/>
                </w:p>
              </w:tc>
              <w:tc>
                <w:tcPr>
                  <w:tcW w:w="2861" w:type="dxa"/>
                  <w:vAlign w:val="top"/>
                  <w:gridSpan w:val="2"/>
                </w:tcPr>
                <w:p>
                  <w:pPr>
                    <w:pStyle w:val="TableText"/>
                    <w:ind w:left="235" w:right="89" w:hanging="19"/>
                    <w:spacing w:before="30" w:line="258" w:lineRule="auto"/>
                    <w:rPr/>
                  </w:pPr>
                  <w:r>
                    <w:rPr>
                      <w:spacing w:val="-1"/>
                    </w:rPr>
                    <w:t>供应商营业执照登记号码，按照营业执</w:t>
                  </w:r>
                  <w:r>
                    <w:rPr>
                      <w:spacing w:val="10"/>
                    </w:rPr>
                    <w:t xml:space="preserve"> </w:t>
                  </w:r>
                  <w:r>
                    <w:rPr>
                      <w:spacing w:val="1"/>
                    </w:rPr>
                    <w:t>照上的号码填写</w:t>
                  </w:r>
                </w:p>
              </w:tc>
            </w:tr>
            <w:tr>
              <w:trPr>
                <w:trHeight w:val="48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41"/>
                    <w:spacing w:before="173" w:line="221" w:lineRule="auto"/>
                    <w:rPr/>
                  </w:pPr>
                  <w:r>
                    <w:rPr>
                      <w:spacing w:val="-1"/>
                    </w:rPr>
                    <w:t>上级公司名称</w:t>
                  </w:r>
                </w:p>
              </w:tc>
              <w:tc>
                <w:tcPr>
                  <w:tcW w:w="2087" w:type="dxa"/>
                  <w:vAlign w:val="top"/>
                  <w:gridSpan w:val="2"/>
                </w:tcPr>
                <w:p>
                  <w:pPr>
                    <w:rPr>
                      <w:rFonts w:ascii="Arial"/>
                      <w:sz w:val="21"/>
                    </w:rPr>
                  </w:pPr>
                  <w:r/>
                </w:p>
              </w:tc>
              <w:tc>
                <w:tcPr>
                  <w:tcW w:w="2861" w:type="dxa"/>
                  <w:vAlign w:val="top"/>
                  <w:gridSpan w:val="2"/>
                </w:tcPr>
                <w:p>
                  <w:pPr>
                    <w:pStyle w:val="TableText"/>
                    <w:ind w:left="236" w:right="71"/>
                    <w:spacing w:before="51" w:line="258" w:lineRule="auto"/>
                    <w:rPr/>
                  </w:pPr>
                  <w:r>
                    <w:rPr>
                      <w:spacing w:val="-1"/>
                    </w:rPr>
                    <w:t>上级公司名称，按照工商营业执照上的</w:t>
                  </w:r>
                  <w:r>
                    <w:rPr>
                      <w:spacing w:val="8"/>
                    </w:rPr>
                    <w:t xml:space="preserve"> </w:t>
                  </w:r>
                  <w:r>
                    <w:rPr>
                      <w:spacing w:val="-1"/>
                    </w:rPr>
                    <w:t>名称，填写全称</w:t>
                  </w:r>
                </w:p>
              </w:tc>
            </w:tr>
            <w:tr>
              <w:trPr>
                <w:trHeight w:val="709" w:hRule="atLeast"/>
              </w:trPr>
              <w:tc>
                <w:tcPr>
                  <w:tcW w:w="504" w:type="dxa"/>
                  <w:vAlign w:val="top"/>
                  <w:vMerge w:val="continue"/>
                  <w:textDirection w:val="tbRlV"/>
                  <w:tcBorders>
                    <w:top w:val="nil"/>
                    <w:bottom w:val="nil"/>
                  </w:tcBorders>
                </w:tcPr>
                <w:p>
                  <w:pPr>
                    <w:rPr>
                      <w:rFonts w:ascii="Arial"/>
                      <w:sz w:val="21"/>
                    </w:rPr>
                  </w:pPr>
                  <w:r/>
                </w:p>
              </w:tc>
              <w:tc>
                <w:tcPr>
                  <w:tcW w:w="829" w:type="dxa"/>
                  <w:vAlign w:val="top"/>
                  <w:vMerge w:val="continue"/>
                  <w:tcBorders>
                    <w:top w:val="nil"/>
                    <w:bottom w:val="nil"/>
                  </w:tcBorders>
                </w:tcPr>
                <w:p>
                  <w:pPr>
                    <w:rPr>
                      <w:rFonts w:ascii="Arial"/>
                      <w:sz w:val="21"/>
                    </w:rPr>
                  </w:pPr>
                  <w:r/>
                </w:p>
              </w:tc>
              <w:tc>
                <w:tcPr>
                  <w:tcW w:w="998" w:type="dxa"/>
                  <w:vAlign w:val="top"/>
                </w:tcPr>
                <w:p>
                  <w:pPr>
                    <w:pStyle w:val="TableText"/>
                    <w:ind w:left="190" w:right="53" w:hanging="149"/>
                    <w:spacing w:before="162" w:line="250" w:lineRule="auto"/>
                    <w:rPr/>
                  </w:pPr>
                  <w:r>
                    <w:rPr>
                      <w:spacing w:val="-2"/>
                    </w:rPr>
                    <w:t>上级公司组织</w:t>
                  </w:r>
                  <w:r>
                    <w:rPr>
                      <w:spacing w:val="3"/>
                    </w:rPr>
                    <w:t xml:space="preserve"> </w:t>
                  </w:r>
                  <w:r>
                    <w:rPr>
                      <w:spacing w:val="-1"/>
                    </w:rPr>
                    <w:t>机构代码</w:t>
                  </w:r>
                </w:p>
              </w:tc>
              <w:tc>
                <w:tcPr>
                  <w:tcW w:w="2087" w:type="dxa"/>
                  <w:vAlign w:val="top"/>
                  <w:gridSpan w:val="2"/>
                </w:tcPr>
                <w:p>
                  <w:pPr>
                    <w:rPr>
                      <w:rFonts w:ascii="Arial"/>
                      <w:sz w:val="21"/>
                    </w:rPr>
                  </w:pPr>
                  <w:r/>
                </w:p>
              </w:tc>
              <w:tc>
                <w:tcPr>
                  <w:tcW w:w="2861" w:type="dxa"/>
                  <w:vAlign w:val="top"/>
                  <w:gridSpan w:val="2"/>
                </w:tcPr>
                <w:p>
                  <w:pPr>
                    <w:pStyle w:val="TableText"/>
                    <w:ind w:left="66" w:right="71" w:firstLine="169"/>
                    <w:spacing w:before="32" w:line="269" w:lineRule="auto"/>
                    <w:rPr/>
                  </w:pPr>
                  <w:r>
                    <w:rPr>
                      <w:spacing w:val="-1"/>
                    </w:rPr>
                    <w:t>上级公司的企业法人组织机构代码，填</w:t>
                  </w:r>
                  <w:r>
                    <w:rPr>
                      <w:spacing w:val="8"/>
                    </w:rPr>
                    <w:t xml:space="preserve"> </w:t>
                  </w:r>
                  <w:r>
                    <w:rPr>
                      <w:spacing w:val="-1"/>
                    </w:rPr>
                    <w:t>写9位组织机构代码，前8位和最后1位</w:t>
                  </w:r>
                </w:p>
                <w:p>
                  <w:pPr>
                    <w:pStyle w:val="TableText"/>
                    <w:ind w:left="236"/>
                    <w:spacing w:before="63" w:line="205" w:lineRule="auto"/>
                    <w:rPr/>
                  </w:pPr>
                  <w:r>
                    <w:rPr>
                      <w:spacing w:val="-1"/>
                    </w:rPr>
                    <w:t>之间以中划线连接</w:t>
                  </w:r>
                </w:p>
              </w:tc>
            </w:tr>
            <w:tr>
              <w:trPr>
                <w:trHeight w:val="330" w:hRule="atLeast"/>
              </w:trPr>
              <w:tc>
                <w:tcPr>
                  <w:tcW w:w="504" w:type="dxa"/>
                  <w:vAlign w:val="top"/>
                  <w:vMerge w:val="continue"/>
                  <w:textDirection w:val="tbRlV"/>
                  <w:tcBorders>
                    <w:top w:val="nil"/>
                  </w:tcBorders>
                </w:tcPr>
                <w:p>
                  <w:pPr>
                    <w:rPr>
                      <w:rFonts w:ascii="Arial"/>
                      <w:sz w:val="21"/>
                    </w:rPr>
                  </w:pPr>
                  <w:r/>
                </w:p>
              </w:tc>
              <w:tc>
                <w:tcPr>
                  <w:tcW w:w="829" w:type="dxa"/>
                  <w:vAlign w:val="top"/>
                  <w:vMerge w:val="continue"/>
                  <w:tcBorders>
                    <w:top w:val="nil"/>
                  </w:tcBorders>
                </w:tcPr>
                <w:p>
                  <w:pPr>
                    <w:rPr>
                      <w:rFonts w:ascii="Arial"/>
                      <w:sz w:val="21"/>
                    </w:rPr>
                  </w:pPr>
                  <w:r/>
                </w:p>
              </w:tc>
              <w:tc>
                <w:tcPr>
                  <w:tcW w:w="998" w:type="dxa"/>
                  <w:vAlign w:val="top"/>
                </w:tcPr>
                <w:p>
                  <w:pPr>
                    <w:pStyle w:val="TableText"/>
                    <w:ind w:left="191"/>
                    <w:spacing w:before="95" w:line="221" w:lineRule="auto"/>
                    <w:rPr/>
                  </w:pPr>
                  <w:r>
                    <w:rPr>
                      <w:spacing w:val="-2"/>
                    </w:rPr>
                    <w:t>主页地址</w:t>
                  </w:r>
                </w:p>
              </w:tc>
              <w:tc>
                <w:tcPr>
                  <w:tcW w:w="2087" w:type="dxa"/>
                  <w:vAlign w:val="top"/>
                  <w:gridSpan w:val="2"/>
                </w:tcPr>
                <w:p>
                  <w:pPr>
                    <w:rPr>
                      <w:rFonts w:ascii="Arial"/>
                      <w:sz w:val="21"/>
                    </w:rPr>
                  </w:pPr>
                  <w:r/>
                </w:p>
              </w:tc>
              <w:tc>
                <w:tcPr>
                  <w:tcW w:w="2861" w:type="dxa"/>
                  <w:vAlign w:val="top"/>
                  <w:gridSpan w:val="2"/>
                </w:tcPr>
                <w:p>
                  <w:pPr>
                    <w:pStyle w:val="TableText"/>
                    <w:ind w:left="236"/>
                    <w:spacing w:before="95" w:line="221" w:lineRule="auto"/>
                    <w:rPr/>
                  </w:pPr>
                  <w:r>
                    <w:rPr>
                      <w:spacing w:val="-2"/>
                    </w:rPr>
                    <w:t>公司网站主页地址</w:t>
                  </w:r>
                </w:p>
              </w:tc>
            </w:tr>
            <w:tr>
              <w:trPr>
                <w:trHeight w:val="1199" w:hRule="atLeast"/>
              </w:trPr>
              <w:tc>
                <w:tcPr>
                  <w:tcW w:w="7279" w:type="dxa"/>
                  <w:vAlign w:val="top"/>
                  <w:gridSpan w:val="7"/>
                </w:tcPr>
                <w:p>
                  <w:pPr>
                    <w:pStyle w:val="TableText"/>
                    <w:ind w:left="54"/>
                    <w:spacing w:before="42" w:line="219" w:lineRule="auto"/>
                    <w:rPr/>
                  </w:pPr>
                  <w:r>
                    <w:rPr>
                      <w:spacing w:val="-1"/>
                    </w:rPr>
                    <w:t>供应商承诺：</w:t>
                  </w:r>
                </w:p>
                <w:p>
                  <w:pPr>
                    <w:pStyle w:val="TableText"/>
                    <w:ind w:left="54" w:right="17" w:firstLine="289"/>
                    <w:spacing w:before="72" w:line="264" w:lineRule="auto"/>
                    <w:rPr/>
                  </w:pPr>
                  <w:r>
                    <w:rPr/>
                    <w:t>以上所提供的信息和证明材料真实准确，对因提供有关信息、证件不实或违反有关规定造成的后果，责任</w:t>
                  </w:r>
                  <w:r>
                    <w:rPr>
                      <w:spacing w:val="5"/>
                    </w:rPr>
                    <w:t xml:space="preserve"> </w:t>
                  </w:r>
                  <w:r>
                    <w:rPr>
                      <w:spacing w:val="-2"/>
                    </w:rPr>
                    <w:t>自负。</w:t>
                  </w:r>
                </w:p>
                <w:p>
                  <w:pPr>
                    <w:pStyle w:val="TableText"/>
                    <w:ind w:left="6313" w:right="27" w:hanging="409"/>
                    <w:spacing w:before="40" w:line="258" w:lineRule="auto"/>
                    <w:rPr/>
                  </w:pPr>
                  <w:r>
                    <w:rPr>
                      <w:spacing w:val="2"/>
                    </w:rPr>
                    <w:t>(供应商盖章/签字)</w:t>
                  </w:r>
                  <w:r>
                    <w:rPr>
                      <w:spacing w:val="6"/>
                    </w:rPr>
                    <w:t xml:space="preserve"> </w:t>
                  </w:r>
                  <w:r>
                    <w:rPr>
                      <w:spacing w:val="-11"/>
                    </w:rPr>
                    <w:t>年</w:t>
                  </w:r>
                  <w:r>
                    <w:rPr>
                      <w:spacing w:val="9"/>
                    </w:rPr>
                    <w:t xml:space="preserve">   </w:t>
                  </w:r>
                  <w:r>
                    <w:rPr>
                      <w:spacing w:val="-11"/>
                    </w:rPr>
                    <w:t>月    日</w:t>
                  </w:r>
                </w:p>
              </w:tc>
            </w:tr>
            <w:tr>
              <w:trPr>
                <w:trHeight w:val="310" w:hRule="atLeast"/>
              </w:trPr>
              <w:tc>
                <w:tcPr>
                  <w:tcW w:w="3689" w:type="dxa"/>
                  <w:vAlign w:val="top"/>
                  <w:gridSpan w:val="4"/>
                </w:tcPr>
                <w:p>
                  <w:pPr>
                    <w:pStyle w:val="TableText"/>
                    <w:ind w:left="24"/>
                    <w:spacing w:before="83" w:line="219" w:lineRule="auto"/>
                    <w:rPr/>
                  </w:pPr>
                  <w:r>
                    <w:rPr>
                      <w:spacing w:val="-1"/>
                    </w:rPr>
                    <w:t>推荐部门：</w:t>
                  </w:r>
                </w:p>
              </w:tc>
              <w:tc>
                <w:tcPr>
                  <w:tcW w:w="3590" w:type="dxa"/>
                  <w:vAlign w:val="top"/>
                  <w:gridSpan w:val="3"/>
                </w:tcPr>
                <w:p>
                  <w:pPr>
                    <w:pStyle w:val="TableText"/>
                    <w:ind w:left="25"/>
                    <w:spacing w:before="83" w:line="219" w:lineRule="auto"/>
                    <w:rPr/>
                  </w:pPr>
                  <w:r>
                    <w:rPr>
                      <w:spacing w:val="-1"/>
                    </w:rPr>
                    <w:t>推荐部门审批：</w:t>
                  </w:r>
                </w:p>
              </w:tc>
            </w:tr>
            <w:tr>
              <w:trPr>
                <w:trHeight w:val="320" w:hRule="atLeast"/>
              </w:trPr>
              <w:tc>
                <w:tcPr>
                  <w:tcW w:w="7279" w:type="dxa"/>
                  <w:vAlign w:val="top"/>
                  <w:gridSpan w:val="7"/>
                </w:tcPr>
                <w:p>
                  <w:pPr>
                    <w:pStyle w:val="TableText"/>
                    <w:ind w:left="54"/>
                    <w:spacing w:before="93" w:line="219" w:lineRule="auto"/>
                    <w:rPr/>
                  </w:pPr>
                  <w:r>
                    <w:rPr>
                      <w:spacing w:val="-1"/>
                    </w:rPr>
                    <w:t>采购管理部门审批意见：</w:t>
                  </w:r>
                </w:p>
              </w:tc>
            </w:tr>
            <w:tr>
              <w:trPr>
                <w:trHeight w:val="300" w:hRule="atLeast"/>
              </w:trPr>
              <w:tc>
                <w:tcPr>
                  <w:tcW w:w="5377" w:type="dxa"/>
                  <w:vAlign w:val="top"/>
                  <w:gridSpan w:val="6"/>
                </w:tcPr>
                <w:p>
                  <w:pPr>
                    <w:pStyle w:val="TableText"/>
                    <w:ind w:left="75"/>
                    <w:spacing w:before="84" w:line="220" w:lineRule="auto"/>
                    <w:rPr/>
                  </w:pPr>
                  <w:r>
                    <w:rPr>
                      <w:spacing w:val="-2"/>
                    </w:rPr>
                    <w:t>受理情况</w:t>
                  </w:r>
                </w:p>
              </w:tc>
              <w:tc>
                <w:tcPr>
                  <w:tcW w:w="1902" w:type="dxa"/>
                  <w:vAlign w:val="top"/>
                </w:tcPr>
                <w:p>
                  <w:pPr>
                    <w:pStyle w:val="TableText"/>
                    <w:ind w:left="87"/>
                    <w:spacing w:before="84" w:line="219" w:lineRule="auto"/>
                    <w:rPr/>
                  </w:pPr>
                  <w:r>
                    <w:rPr>
                      <w:spacing w:val="-1"/>
                    </w:rPr>
                    <w:t>操作人员签字</w:t>
                  </w:r>
                </w:p>
              </w:tc>
            </w:tr>
            <w:tr>
              <w:trPr>
                <w:trHeight w:val="979" w:hRule="atLeast"/>
              </w:trPr>
              <w:tc>
                <w:tcPr>
                  <w:tcW w:w="5377" w:type="dxa"/>
                  <w:vAlign w:val="top"/>
                  <w:gridSpan w:val="6"/>
                </w:tcPr>
                <w:p>
                  <w:pPr>
                    <w:pStyle w:val="TableText"/>
                    <w:ind w:left="75"/>
                    <w:spacing w:before="43" w:line="219" w:lineRule="auto"/>
                    <w:rPr/>
                  </w:pPr>
                  <w:r>
                    <w:rPr/>
                    <w:t>口供应商已存在，已向省级单位提交分发申请</w:t>
                  </w:r>
                </w:p>
                <w:p>
                  <w:pPr>
                    <w:pStyle w:val="TableText"/>
                    <w:ind w:left="75"/>
                    <w:spacing w:before="72" w:line="219" w:lineRule="auto"/>
                    <w:rPr/>
                  </w:pPr>
                  <w:r>
                    <w:rPr/>
                    <w:t>□供应商不存在，已向省级单位提交创建申请</w:t>
                  </w:r>
                </w:p>
                <w:p>
                  <w:pPr>
                    <w:pStyle w:val="TableText"/>
                    <w:ind w:left="75"/>
                    <w:spacing w:before="82" w:line="295" w:lineRule="auto"/>
                    <w:rPr/>
                  </w:pPr>
                  <w:r>
                    <w:pict>
                      <v:shape id="_x0000_s364" style="position:absolute;margin-left:178.248pt;margin-top:15.7168pt;mso-position-vertical-relative:text;mso-position-horizontal-relative:text;width:16.6pt;height:11pt;z-index:254443520;" filled="false" stroked="false" type="#_x0000_t202">
                        <v:fill on="false"/>
                        <v:stroke on="false"/>
                        <v:path/>
                        <v:imagedata o:title=""/>
                        <o:lock v:ext="edit" aspectratio="false"/>
                        <v:textbox inset="0mm,0mm,0mm,0mm">
                          <w:txbxContent>
                            <w:p>
                              <w:pPr>
                                <w:pStyle w:val="TableText"/>
                                <w:ind w:left="20"/>
                                <w:spacing w:before="19" w:line="221" w:lineRule="auto"/>
                                <w:rPr/>
                              </w:pPr>
                              <w:r>
                                <w:rPr>
                                  <w:spacing w:val="-3"/>
                                </w:rPr>
                                <w:t>系统</w:t>
                              </w:r>
                            </w:p>
                          </w:txbxContent>
                        </v:textbox>
                      </v:shape>
                    </w:pict>
                  </w:r>
                  <w:r>
                    <w:rPr>
                      <w:spacing w:val="-1"/>
                    </w:rPr>
                    <w:t>口供应商已存在，已分发至本级</w:t>
                  </w:r>
                  <w:r>
                    <w:rPr>
                      <w:u w:val="single" w:color="auto"/>
                      <w:spacing w:val="7"/>
                    </w:rPr>
                    <w:t xml:space="preserve">          </w:t>
                  </w:r>
                  <w:r>
                    <w:rPr>
                      <w:spacing w:val="-65"/>
                    </w:rPr>
                    <w:t xml:space="preserve"> </w:t>
                  </w:r>
                  <w:r>
                    <w:rPr>
                      <w:spacing w:val="-1"/>
                    </w:rPr>
                    <w:t>系统</w:t>
                  </w:r>
                </w:p>
                <w:p>
                  <w:pPr>
                    <w:pStyle w:val="TableText"/>
                    <w:ind w:left="75"/>
                    <w:spacing w:line="216" w:lineRule="auto"/>
                    <w:rPr/>
                  </w:pPr>
                  <w:r>
                    <w:rPr/>
                    <w:t>口供应商不存在，已创建供应商并分发至本级</w:t>
                  </w:r>
                </w:p>
              </w:tc>
              <w:tc>
                <w:tcPr>
                  <w:tcW w:w="1902" w:type="dxa"/>
                  <w:vAlign w:val="top"/>
                </w:tcPr>
                <w:p>
                  <w:pPr>
                    <w:pStyle w:val="TableText"/>
                    <w:ind w:left="87"/>
                    <w:spacing w:before="46" w:line="223" w:lineRule="auto"/>
                    <w:rPr/>
                  </w:pPr>
                  <w:r>
                    <w:rPr>
                      <w:spacing w:val="-2"/>
                    </w:rPr>
                    <w:t>签名：</w:t>
                  </w:r>
                </w:p>
                <w:p>
                  <w:pPr>
                    <w:spacing w:line="256" w:lineRule="auto"/>
                    <w:rPr>
                      <w:rFonts w:ascii="Arial"/>
                      <w:sz w:val="21"/>
                    </w:rPr>
                  </w:pPr>
                  <w:r/>
                </w:p>
                <w:p>
                  <w:pPr>
                    <w:pStyle w:val="TableText"/>
                    <w:ind w:left="87"/>
                    <w:spacing w:before="48" w:line="220" w:lineRule="auto"/>
                    <w:rPr/>
                  </w:pPr>
                  <w:r>
                    <w:rPr>
                      <w:spacing w:val="-2"/>
                    </w:rPr>
                    <w:t>日期：</w:t>
                  </w:r>
                </w:p>
              </w:tc>
            </w:tr>
            <w:tr>
              <w:trPr>
                <w:trHeight w:val="954" w:hRule="atLeast"/>
              </w:trPr>
              <w:tc>
                <w:tcPr>
                  <w:tcW w:w="2331" w:type="dxa"/>
                  <w:vAlign w:val="top"/>
                  <w:gridSpan w:val="3"/>
                </w:tcPr>
                <w:p>
                  <w:pPr>
                    <w:spacing w:line="355" w:lineRule="auto"/>
                    <w:rPr>
                      <w:rFonts w:ascii="Arial"/>
                      <w:sz w:val="21"/>
                    </w:rPr>
                  </w:pPr>
                  <w:r/>
                </w:p>
                <w:p>
                  <w:pPr>
                    <w:pStyle w:val="TableText"/>
                    <w:ind w:left="864"/>
                    <w:spacing w:before="48" w:line="221" w:lineRule="auto"/>
                    <w:rPr/>
                  </w:pPr>
                  <w:r>
                    <w:rPr>
                      <w:spacing w:val="-4"/>
                    </w:rPr>
                    <w:t>备</w:t>
                  </w:r>
                  <w:r>
                    <w:rPr>
                      <w:spacing w:val="1"/>
                    </w:rPr>
                    <w:t xml:space="preserve">   </w:t>
                  </w:r>
                  <w:r>
                    <w:rPr>
                      <w:spacing w:val="-4"/>
                    </w:rPr>
                    <w:t>注</w:t>
                  </w:r>
                </w:p>
              </w:tc>
              <w:tc>
                <w:tcPr>
                  <w:tcW w:w="4948" w:type="dxa"/>
                  <w:vAlign w:val="top"/>
                  <w:gridSpan w:val="4"/>
                </w:tcPr>
                <w:p>
                  <w:pPr>
                    <w:pStyle w:val="TableText"/>
                    <w:ind w:left="213" w:right="122" w:hanging="40"/>
                    <w:spacing w:before="35" w:line="245" w:lineRule="auto"/>
                    <w:rPr/>
                  </w:pPr>
                  <w:r>
                    <w:rPr/>
                    <w:t>企业供应商需提交盖企业公章的营业执照、组织</w:t>
                  </w:r>
                  <w:r>
                    <w:rPr>
                      <w:spacing w:val="-1"/>
                    </w:rPr>
                    <w:t>机构代码、国税、地税</w:t>
                  </w:r>
                  <w:r>
                    <w:rPr/>
                    <w:t xml:space="preserve"> </w:t>
                  </w:r>
                  <w:r>
                    <w:rPr>
                      <w:spacing w:val="-1"/>
                    </w:rPr>
                    <w:t>复印件。</w:t>
                  </w:r>
                </w:p>
                <w:p>
                  <w:pPr>
                    <w:pStyle w:val="TableText"/>
                    <w:ind w:left="213"/>
                    <w:spacing w:before="81" w:line="240" w:lineRule="exact"/>
                    <w:rPr/>
                  </w:pPr>
                  <w:r>
                    <w:rPr>
                      <w:spacing w:val="-1"/>
                      <w:position w:val="6"/>
                    </w:rPr>
                    <w:t>个人供应商需提供由本人签字的身份证复印件。</w:t>
                  </w:r>
                </w:p>
                <w:p>
                  <w:pPr>
                    <w:pStyle w:val="TableText"/>
                    <w:ind w:left="213"/>
                    <w:spacing w:line="218" w:lineRule="auto"/>
                    <w:rPr/>
                  </w:pPr>
                  <w:r>
                    <w:rPr>
                      <w:spacing w:val="-1"/>
                    </w:rPr>
                    <w:t>提示：本表单受理之日起2个工作日完成</w:t>
                  </w:r>
                </w:p>
              </w:tc>
            </w:tr>
          </w:tbl>
          <w:p>
            <w:pPr>
              <w:rPr>
                <w:rFonts w:ascii="Arial"/>
                <w:sz w:val="21"/>
              </w:rPr>
            </w:pPr>
            <w:r/>
          </w:p>
        </w:tc>
      </w:tr>
    </w:tbl>
    <w:p>
      <w:pPr>
        <w:pStyle w:val="BodyText"/>
        <w:rPr/>
      </w:pPr>
      <w:r/>
    </w:p>
    <w:p>
      <w:pPr>
        <w:sectPr>
          <w:footerReference w:type="default" r:id="rId237"/>
          <w:pgSz w:w="8870" w:h="13400"/>
          <w:pgMar w:top="400" w:right="562" w:bottom="510" w:left="409" w:header="0" w:footer="311" w:gutter="0"/>
        </w:sectPr>
        <w:rPr/>
      </w:pPr>
    </w:p>
    <w:p>
      <w:pPr>
        <w:ind w:left="89"/>
        <w:spacing w:before="209"/>
        <w:rPr>
          <w:rFonts w:ascii="SimSun" w:hAnsi="SimSun" w:eastAsia="SimSun" w:cs="SimSun"/>
          <w:sz w:val="22"/>
          <w:szCs w:val="22"/>
        </w:rPr>
      </w:pPr>
      <w:r>
        <mc:AlternateContent xmlns:mc="http://schemas.openxmlformats.org/markup-compatibility/2006">
          <mc:Choice Requires="wps">
            <w:drawing>
              <wp:anchor distT="0" distB="0" distL="0" distR="0" simplePos="0" relativeHeight="254466048" behindDoc="1" locked="0" layoutInCell="0" allowOverlap="1">
                <wp:simplePos x="0" y="0"/>
                <wp:positionH relativeFrom="page">
                  <wp:posOffset>5241931</wp:posOffset>
                </wp:positionH>
                <wp:positionV relativeFrom="page">
                  <wp:posOffset>958878</wp:posOffset>
                </wp:positionV>
                <wp:extent cx="6350" cy="6508750"/>
                <wp:effectExtent l="0" t="0" r="0" b="0"/>
                <wp:wrapNone/>
                <wp:docPr id="174" name="Rect 174"/>
                <wp:cNvGraphicFramePr/>
                <a:graphic>
                  <a:graphicData uri="http://schemas.microsoft.com/office/word/2010/wordprocessingShape">
                    <wps:wsp>
                      <wps:cNvPr id="174" name="Rect 174"/>
                      <wps:cNvSpPr/>
                      <wps:spPr>
                        <a:xfrm>
                          <a:off x="5241931" y="958878"/>
                          <a:ext cx="6350" cy="65087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6" style="position:absolute;margin-left:412.751pt;margin-top:75.5023pt;mso-position-vertical-relative:page;mso-position-horizontal-relative:page;width:0.5pt;height:512.5pt;z-index:-248850432;" o:allowincell="f" fillcolor="#000000" filled="true" stroked="false"/>
            </w:pict>
          </mc:Fallback>
        </mc:AlternateContent>
      </w:r>
      <w:r>
        <w:rPr>
          <w:rFonts w:ascii="SimSun" w:hAnsi="SimSun" w:eastAsia="SimSun" w:cs="SimSun"/>
          <w:sz w:val="22"/>
          <w:szCs w:val="22"/>
          <w:position w:val="-8"/>
        </w:rPr>
        <w:drawing>
          <wp:inline distT="0" distB="0" distL="0" distR="0">
            <wp:extent cx="6365" cy="222255"/>
            <wp:effectExtent l="0" t="0" r="0" b="0"/>
            <wp:docPr id="176" name="IM 176"/>
            <wp:cNvGraphicFramePr/>
            <a:graphic>
              <a:graphicData uri="http://schemas.openxmlformats.org/drawingml/2006/picture">
                <pic:pic>
                  <pic:nvPicPr>
                    <pic:cNvPr id="176" name="IM 176"/>
                    <pic:cNvPicPr/>
                  </pic:nvPicPr>
                  <pic:blipFill>
                    <a:blip r:embed="rId239"/>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pStyle w:val="BodyText"/>
        <w:spacing w:line="290" w:lineRule="auto"/>
        <w:rPr/>
      </w:pPr>
      <w:r/>
    </w:p>
    <w:p>
      <w:pPr>
        <w:ind w:left="7109"/>
        <w:spacing w:before="55" w:line="215" w:lineRule="auto"/>
        <w:rPr>
          <w:rFonts w:ascii="SimSun" w:hAnsi="SimSun" w:eastAsia="SimSun" w:cs="SimSun"/>
          <w:sz w:val="17"/>
          <w:szCs w:val="17"/>
        </w:rPr>
      </w:pPr>
      <w:r>
        <w:rPr>
          <w:rFonts w:ascii="SimSun" w:hAnsi="SimSun" w:eastAsia="SimSun" w:cs="SimSun"/>
          <w:sz w:val="17"/>
          <w:szCs w:val="17"/>
          <w:spacing w:val="-3"/>
        </w:rPr>
        <w:t>续表</w:t>
      </w:r>
    </w:p>
    <w:tbl>
      <w:tblPr>
        <w:tblStyle w:val="TableNormal"/>
        <w:tblW w:w="7599" w:type="dxa"/>
        <w:tblInd w:w="259" w:type="dxa"/>
        <w:tblLayout w:type="fixed"/>
        <w:tblBorders>
          <w:left w:val="single" w:color="000000" w:sz="4" w:space="0"/>
          <w:bottom w:val="single" w:color="000000" w:sz="4" w:space="0"/>
          <w:top w:val="single" w:color="000000" w:sz="4" w:space="0"/>
        </w:tblBorders>
      </w:tblPr>
      <w:tblGrid>
        <w:gridCol w:w="7599"/>
      </w:tblGrid>
      <w:tr>
        <w:trPr>
          <w:trHeight w:val="10239" w:hRule="atLeast"/>
        </w:trPr>
        <w:tc>
          <w:tcPr>
            <w:tcW w:w="7599" w:type="dxa"/>
            <w:vAlign w:val="top"/>
          </w:tcPr>
          <w:p>
            <w:pPr>
              <w:pStyle w:val="TableText"/>
              <w:ind w:left="2925"/>
              <w:spacing w:before="90" w:line="219" w:lineRule="auto"/>
              <w:rPr/>
            </w:pPr>
            <w:r>
              <w:rPr>
                <w:spacing w:val="-1"/>
              </w:rPr>
              <w:t>供应商基本信息更新申请单</w:t>
            </w:r>
          </w:p>
          <w:p>
            <w:pPr>
              <w:spacing w:line="31" w:lineRule="exact"/>
              <w:rPr/>
            </w:pPr>
            <w:r/>
          </w:p>
          <w:tbl>
            <w:tblPr>
              <w:tblStyle w:val="TableNormal"/>
              <w:tblW w:w="7300" w:type="dxa"/>
              <w:tblInd w:w="16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4"/>
              <w:gridCol w:w="769"/>
              <w:gridCol w:w="949"/>
              <w:gridCol w:w="659"/>
              <w:gridCol w:w="609"/>
              <w:gridCol w:w="380"/>
              <w:gridCol w:w="699"/>
              <w:gridCol w:w="270"/>
              <w:gridCol w:w="569"/>
              <w:gridCol w:w="709"/>
              <w:gridCol w:w="1243"/>
            </w:tblGrid>
            <w:tr>
              <w:trPr>
                <w:trHeight w:val="554" w:hRule="atLeast"/>
              </w:trPr>
              <w:tc>
                <w:tcPr>
                  <w:tcW w:w="444" w:type="dxa"/>
                  <w:vAlign w:val="top"/>
                  <w:vMerge w:val="restart"/>
                  <w:textDirection w:val="tbRlV"/>
                  <w:tcBorders>
                    <w:bottom w:val="nil"/>
                  </w:tcBorders>
                </w:tcPr>
                <w:p>
                  <w:pPr>
                    <w:pStyle w:val="TableText"/>
                    <w:ind w:left="4177"/>
                    <w:spacing w:before="139" w:line="216" w:lineRule="auto"/>
                    <w:rPr/>
                  </w:pPr>
                  <w:r>
                    <w:rPr/>
                    <w:t>申</w:t>
                  </w:r>
                  <w:r>
                    <w:rPr>
                      <w:spacing w:val="60"/>
                    </w:rPr>
                    <w:t xml:space="preserve"> </w:t>
                  </w:r>
                  <w:r>
                    <w:rPr/>
                    <w:t>请</w:t>
                  </w:r>
                  <w:r>
                    <w:rPr>
                      <w:spacing w:val="60"/>
                    </w:rPr>
                    <w:t xml:space="preserve"> </w:t>
                  </w:r>
                  <w:r>
                    <w:rPr/>
                    <w:t>人</w:t>
                  </w:r>
                  <w:r>
                    <w:rPr>
                      <w:spacing w:val="60"/>
                    </w:rPr>
                    <w:t xml:space="preserve"> </w:t>
                  </w:r>
                  <w:r>
                    <w:rPr/>
                    <w:t>填</w:t>
                  </w:r>
                  <w:r>
                    <w:rPr>
                      <w:spacing w:val="60"/>
                      <w:w w:val="101"/>
                    </w:rPr>
                    <w:t xml:space="preserve"> </w:t>
                  </w:r>
                  <w:r>
                    <w:rPr/>
                    <w:t>写</w:t>
                  </w:r>
                </w:p>
              </w:tc>
              <w:tc>
                <w:tcPr>
                  <w:tcW w:w="769" w:type="dxa"/>
                  <w:vAlign w:val="top"/>
                </w:tcPr>
                <w:p>
                  <w:pPr>
                    <w:pStyle w:val="TableText"/>
                    <w:ind w:left="151" w:right="151"/>
                    <w:spacing w:before="80" w:line="270" w:lineRule="auto"/>
                    <w:rPr/>
                  </w:pPr>
                  <w:r>
                    <w:rPr>
                      <w:spacing w:val="-2"/>
                    </w:rPr>
                    <w:t>供应商</w:t>
                  </w:r>
                  <w:r>
                    <w:rPr/>
                    <w:t xml:space="preserve"> </w:t>
                  </w:r>
                  <w:r>
                    <w:rPr>
                      <w:spacing w:val="2"/>
                    </w:rPr>
                    <w:t>申请人</w:t>
                  </w:r>
                </w:p>
              </w:tc>
              <w:tc>
                <w:tcPr>
                  <w:tcW w:w="949" w:type="dxa"/>
                  <w:vAlign w:val="top"/>
                </w:tcPr>
                <w:p>
                  <w:pPr>
                    <w:rPr>
                      <w:rFonts w:ascii="Arial"/>
                      <w:sz w:val="21"/>
                    </w:rPr>
                  </w:pPr>
                  <w:r/>
                </w:p>
              </w:tc>
              <w:tc>
                <w:tcPr>
                  <w:tcW w:w="659" w:type="dxa"/>
                  <w:vAlign w:val="top"/>
                </w:tcPr>
                <w:p>
                  <w:pPr>
                    <w:pStyle w:val="TableText"/>
                    <w:ind w:left="93"/>
                    <w:spacing w:before="81" w:line="219" w:lineRule="auto"/>
                    <w:rPr/>
                  </w:pPr>
                  <w:r>
                    <w:rPr>
                      <w:spacing w:val="2"/>
                    </w:rPr>
                    <w:t>申请人</w:t>
                  </w:r>
                </w:p>
                <w:p>
                  <w:pPr>
                    <w:pStyle w:val="TableText"/>
                    <w:ind w:left="172"/>
                    <w:spacing w:before="83" w:line="221" w:lineRule="auto"/>
                    <w:rPr/>
                  </w:pPr>
                  <w:r>
                    <w:rPr>
                      <w:spacing w:val="2"/>
                    </w:rPr>
                    <w:t>电话</w:t>
                  </w:r>
                </w:p>
              </w:tc>
              <w:tc>
                <w:tcPr>
                  <w:tcW w:w="989" w:type="dxa"/>
                  <w:vAlign w:val="top"/>
                  <w:gridSpan w:val="2"/>
                </w:tcPr>
                <w:p>
                  <w:pPr>
                    <w:rPr>
                      <w:rFonts w:ascii="Arial"/>
                      <w:sz w:val="21"/>
                    </w:rPr>
                  </w:pPr>
                  <w:r/>
                </w:p>
              </w:tc>
              <w:tc>
                <w:tcPr>
                  <w:tcW w:w="699" w:type="dxa"/>
                  <w:vAlign w:val="top"/>
                </w:tcPr>
                <w:p>
                  <w:pPr>
                    <w:pStyle w:val="TableText"/>
                    <w:ind w:left="195"/>
                    <w:spacing w:before="81" w:line="269" w:lineRule="exact"/>
                    <w:rPr/>
                  </w:pPr>
                  <w:r>
                    <w:rPr>
                      <w:spacing w:val="3"/>
                      <w:position w:val="9"/>
                    </w:rPr>
                    <w:t>电子</w:t>
                  </w:r>
                </w:p>
                <w:p>
                  <w:pPr>
                    <w:pStyle w:val="TableText"/>
                    <w:ind w:left="195"/>
                    <w:spacing w:line="219" w:lineRule="auto"/>
                    <w:rPr/>
                  </w:pPr>
                  <w:r>
                    <w:rPr>
                      <w:spacing w:val="3"/>
                    </w:rPr>
                    <w:t>邮件</w:t>
                  </w:r>
                </w:p>
              </w:tc>
              <w:tc>
                <w:tcPr>
                  <w:tcW w:w="839" w:type="dxa"/>
                  <w:vAlign w:val="top"/>
                  <w:gridSpan w:val="2"/>
                </w:tcPr>
                <w:p>
                  <w:pPr>
                    <w:rPr>
                      <w:rFonts w:ascii="Arial"/>
                      <w:sz w:val="21"/>
                    </w:rPr>
                  </w:pPr>
                  <w:r/>
                </w:p>
              </w:tc>
              <w:tc>
                <w:tcPr>
                  <w:tcW w:w="709" w:type="dxa"/>
                  <w:vAlign w:val="top"/>
                </w:tcPr>
                <w:p>
                  <w:pPr>
                    <w:pStyle w:val="TableText"/>
                    <w:ind w:left="197"/>
                    <w:spacing w:before="81" w:line="270" w:lineRule="exact"/>
                    <w:rPr/>
                  </w:pPr>
                  <w:r>
                    <w:rPr>
                      <w:spacing w:val="3"/>
                      <w:position w:val="9"/>
                    </w:rPr>
                    <w:t>申请</w:t>
                  </w:r>
                </w:p>
                <w:p>
                  <w:pPr>
                    <w:pStyle w:val="TableText"/>
                    <w:ind w:left="197"/>
                    <w:spacing w:line="220" w:lineRule="auto"/>
                    <w:rPr/>
                  </w:pPr>
                  <w:r>
                    <w:rPr>
                      <w:spacing w:val="8"/>
                    </w:rPr>
                    <w:t>日期</w:t>
                  </w:r>
                </w:p>
              </w:tc>
              <w:tc>
                <w:tcPr>
                  <w:tcW w:w="1243" w:type="dxa"/>
                  <w:vAlign w:val="top"/>
                </w:tcPr>
                <w:p>
                  <w:pPr>
                    <w:rPr>
                      <w:rFonts w:ascii="Arial"/>
                      <w:sz w:val="21"/>
                    </w:rPr>
                  </w:pPr>
                  <w:r/>
                </w:p>
              </w:tc>
            </w:tr>
            <w:tr>
              <w:trPr>
                <w:trHeight w:val="30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restart"/>
                  <w:tcBorders>
                    <w:bottom w:val="nil"/>
                  </w:tcBorders>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71"/>
                    <w:spacing w:before="49" w:line="219" w:lineRule="auto"/>
                    <w:rPr/>
                  </w:pPr>
                  <w:r>
                    <w:rPr>
                      <w:spacing w:val="-2"/>
                    </w:rPr>
                    <w:t>信息内容</w:t>
                  </w:r>
                </w:p>
              </w:tc>
              <w:tc>
                <w:tcPr>
                  <w:tcW w:w="949" w:type="dxa"/>
                  <w:vAlign w:val="top"/>
                </w:tcPr>
                <w:p>
                  <w:pPr>
                    <w:pStyle w:val="TableText"/>
                    <w:ind w:left="312"/>
                    <w:spacing w:before="77" w:line="220" w:lineRule="auto"/>
                    <w:rPr/>
                  </w:pPr>
                  <w:r>
                    <w:rPr>
                      <w:spacing w:val="-4"/>
                    </w:rPr>
                    <w:t>项 目</w:t>
                  </w:r>
                </w:p>
              </w:tc>
              <w:tc>
                <w:tcPr>
                  <w:tcW w:w="1268" w:type="dxa"/>
                  <w:vAlign w:val="top"/>
                  <w:gridSpan w:val="2"/>
                </w:tcPr>
                <w:p>
                  <w:pPr>
                    <w:pStyle w:val="TableText"/>
                    <w:ind w:left="402"/>
                    <w:spacing w:before="77" w:line="219" w:lineRule="auto"/>
                    <w:rPr/>
                  </w:pPr>
                  <w:r>
                    <w:rPr>
                      <w:spacing w:val="-3"/>
                    </w:rPr>
                    <w:t>原内容</w:t>
                  </w:r>
                </w:p>
              </w:tc>
              <w:tc>
                <w:tcPr>
                  <w:tcW w:w="1349" w:type="dxa"/>
                  <w:vAlign w:val="top"/>
                  <w:gridSpan w:val="3"/>
                </w:tcPr>
                <w:p>
                  <w:pPr>
                    <w:pStyle w:val="TableText"/>
                    <w:ind w:left="385"/>
                    <w:spacing w:before="77" w:line="219" w:lineRule="auto"/>
                    <w:rPr/>
                  </w:pPr>
                  <w:r>
                    <w:rPr>
                      <w:spacing w:val="-2"/>
                    </w:rPr>
                    <w:t>更新内容</w:t>
                  </w:r>
                </w:p>
              </w:tc>
              <w:tc>
                <w:tcPr>
                  <w:tcW w:w="2521" w:type="dxa"/>
                  <w:vAlign w:val="top"/>
                  <w:gridSpan w:val="3"/>
                </w:tcPr>
                <w:p>
                  <w:pPr>
                    <w:pStyle w:val="TableText"/>
                    <w:ind w:left="976"/>
                    <w:spacing w:before="77" w:line="219" w:lineRule="auto"/>
                    <w:rPr/>
                  </w:pPr>
                  <w:r>
                    <w:rPr>
                      <w:spacing w:val="4"/>
                    </w:rPr>
                    <w:t>填写说明</w:t>
                  </w:r>
                </w:p>
              </w:tc>
            </w:tr>
            <w:tr>
              <w:trPr>
                <w:trHeight w:val="33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92"/>
                    <w:spacing w:before="86" w:line="219" w:lineRule="auto"/>
                    <w:rPr/>
                  </w:pPr>
                  <w:r>
                    <w:rPr>
                      <w:spacing w:val="-1"/>
                    </w:rPr>
                    <w:t>供应商编号</w:t>
                  </w:r>
                </w:p>
              </w:tc>
              <w:tc>
                <w:tcPr>
                  <w:tcW w:w="1268" w:type="dxa"/>
                  <w:vAlign w:val="top"/>
                  <w:gridSpan w:val="2"/>
                </w:tcPr>
                <w:p>
                  <w:pPr>
                    <w:rPr>
                      <w:rFonts w:ascii="Arial"/>
                      <w:sz w:val="21"/>
                    </w:rPr>
                  </w:pPr>
                  <w:r/>
                </w:p>
              </w:tc>
              <w:tc>
                <w:tcPr>
                  <w:tcW w:w="1349" w:type="dxa"/>
                  <w:vAlign w:val="top"/>
                  <w:gridSpan w:val="3"/>
                  <w:tcBorders>
                    <w:tl2br w:val="single" w:color="000000" w:sz="4" w:space="0"/>
                  </w:tcBorders>
                </w:tcPr>
                <w:p>
                  <w:pPr>
                    <w:rPr>
                      <w:rFonts w:ascii="Arial"/>
                      <w:sz w:val="21"/>
                    </w:rPr>
                  </w:pPr>
                  <w:r/>
                </w:p>
              </w:tc>
              <w:tc>
                <w:tcPr>
                  <w:tcW w:w="2521" w:type="dxa"/>
                  <w:vAlign w:val="top"/>
                  <w:gridSpan w:val="3"/>
                </w:tcPr>
                <w:p>
                  <w:pPr>
                    <w:pStyle w:val="TableText"/>
                    <w:ind w:left="76"/>
                    <w:spacing w:before="86" w:line="219" w:lineRule="auto"/>
                    <w:rPr/>
                  </w:pPr>
                  <w:r>
                    <w:rPr>
                      <w:spacing w:val="-1"/>
                    </w:rPr>
                    <w:t>填写供应商在集团的唯一编号</w:t>
                  </w:r>
                </w:p>
              </w:tc>
            </w:tr>
            <w:tr>
              <w:trPr>
                <w:trHeight w:val="54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92"/>
                    <w:spacing w:before="196" w:line="219" w:lineRule="auto"/>
                    <w:rPr/>
                  </w:pPr>
                  <w:r>
                    <w:rPr>
                      <w:spacing w:val="-1"/>
                    </w:rPr>
                    <w:t>供应商名称</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52" w:firstLine="139"/>
                    <w:spacing w:before="77" w:line="284" w:lineRule="auto"/>
                    <w:rPr/>
                  </w:pPr>
                  <w:r>
                    <w:rPr>
                      <w:spacing w:val="-1"/>
                    </w:rPr>
                    <w:t>工商注册名称全称，按照工商营业</w:t>
                  </w:r>
                  <w:r>
                    <w:rPr>
                      <w:spacing w:val="6"/>
                    </w:rPr>
                    <w:t xml:space="preserve"> </w:t>
                  </w:r>
                  <w:r>
                    <w:rPr>
                      <w:spacing w:val="-1"/>
                    </w:rPr>
                    <w:t>执照上的名称，填写全称</w:t>
                  </w:r>
                </w:p>
              </w:tc>
            </w:tr>
            <w:tr>
              <w:trPr>
                <w:trHeight w:val="33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88" w:line="220" w:lineRule="auto"/>
                    <w:rPr/>
                  </w:pPr>
                  <w:r>
                    <w:rPr>
                      <w:spacing w:val="-2"/>
                    </w:rPr>
                    <w:t>英文名称</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88" w:line="220" w:lineRule="auto"/>
                    <w:rPr/>
                  </w:pPr>
                  <w:r>
                    <w:rPr>
                      <w:spacing w:val="-2"/>
                    </w:rPr>
                    <w:t>英文名称</w:t>
                  </w:r>
                </w:p>
              </w:tc>
            </w:tr>
            <w:tr>
              <w:trPr>
                <w:trHeight w:val="30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78" w:line="219" w:lineRule="auto"/>
                    <w:rPr/>
                  </w:pPr>
                  <w:r>
                    <w:rPr>
                      <w:spacing w:val="-2"/>
                    </w:rPr>
                    <w:t>法人代表</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78" w:line="219" w:lineRule="auto"/>
                    <w:rPr/>
                  </w:pPr>
                  <w:r>
                    <w:rPr>
                      <w:spacing w:val="-1"/>
                    </w:rPr>
                    <w:t>工商注册法人代表</w:t>
                  </w:r>
                </w:p>
              </w:tc>
            </w:tr>
            <w:tr>
              <w:trPr>
                <w:trHeight w:val="33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88" w:line="220" w:lineRule="auto"/>
                    <w:rPr/>
                  </w:pPr>
                  <w:r>
                    <w:rPr>
                      <w:spacing w:val="-2"/>
                    </w:rPr>
                    <w:t>所在国家</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88" w:line="220" w:lineRule="auto"/>
                    <w:rPr/>
                  </w:pPr>
                  <w:r>
                    <w:rPr>
                      <w:spacing w:val="-1"/>
                    </w:rPr>
                    <w:t>工商注册所在国家</w:t>
                  </w:r>
                </w:p>
              </w:tc>
            </w:tr>
            <w:tr>
              <w:trPr>
                <w:trHeight w:val="300"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78" w:line="219" w:lineRule="auto"/>
                    <w:rPr/>
                  </w:pPr>
                  <w:r>
                    <w:rPr>
                      <w:spacing w:val="-2"/>
                    </w:rPr>
                    <w:t>所在省份</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78" w:line="219" w:lineRule="auto"/>
                    <w:rPr/>
                  </w:pPr>
                  <w:r>
                    <w:rPr>
                      <w:spacing w:val="-1"/>
                    </w:rPr>
                    <w:t>工商注册所在省份名称</w:t>
                  </w:r>
                </w:p>
              </w:tc>
            </w:tr>
            <w:tr>
              <w:trPr>
                <w:trHeight w:val="54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198" w:line="219" w:lineRule="auto"/>
                    <w:rPr/>
                  </w:pPr>
                  <w:r>
                    <w:rPr>
                      <w:spacing w:val="-2"/>
                    </w:rPr>
                    <w:t>所在城市</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2" w:firstLine="169"/>
                    <w:spacing w:before="67" w:line="283" w:lineRule="auto"/>
                    <w:rPr/>
                  </w:pPr>
                  <w:r>
                    <w:rPr/>
                    <w:t>工商注册所在城市，按照营业执照</w:t>
                  </w:r>
                  <w:r>
                    <w:rPr>
                      <w:spacing w:val="11"/>
                    </w:rPr>
                    <w:t xml:space="preserve"> </w:t>
                  </w:r>
                  <w:r>
                    <w:rPr>
                      <w:spacing w:val="-1"/>
                    </w:rPr>
                    <w:t>上的地址填写</w:t>
                  </w:r>
                </w:p>
              </w:tc>
            </w:tr>
            <w:tr>
              <w:trPr>
                <w:trHeight w:val="57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311" w:right="184" w:hanging="150"/>
                    <w:spacing w:before="89" w:line="291" w:lineRule="auto"/>
                    <w:rPr/>
                  </w:pPr>
                  <w:r>
                    <w:rPr>
                      <w:spacing w:val="-2"/>
                    </w:rPr>
                    <w:t>工商注册</w:t>
                  </w:r>
                  <w:r>
                    <w:rPr/>
                    <w:t xml:space="preserve"> </w:t>
                  </w:r>
                  <w:r>
                    <w:rPr>
                      <w:spacing w:val="-2"/>
                    </w:rPr>
                    <w:t>地址</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2" w:firstLine="169"/>
                    <w:spacing w:before="88" w:line="283" w:lineRule="auto"/>
                    <w:rPr/>
                  </w:pPr>
                  <w:r>
                    <w:rPr/>
                    <w:t>工商注册所在地址，按照营业执照</w:t>
                  </w:r>
                  <w:r>
                    <w:rPr>
                      <w:spacing w:val="11"/>
                    </w:rPr>
                    <w:t xml:space="preserve"> </w:t>
                  </w:r>
                  <w:r>
                    <w:rPr>
                      <w:spacing w:val="-1"/>
                    </w:rPr>
                    <w:t>上的地址填写</w:t>
                  </w:r>
                </w:p>
              </w:tc>
            </w:tr>
            <w:tr>
              <w:trPr>
                <w:trHeight w:val="54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92"/>
                    <w:spacing w:before="200" w:line="220" w:lineRule="auto"/>
                    <w:rPr/>
                  </w:pPr>
                  <w:r>
                    <w:rPr>
                      <w:spacing w:val="1"/>
                    </w:rPr>
                    <w:t>国税登记号</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18" w:firstLine="160"/>
                    <w:spacing w:before="80" w:line="281" w:lineRule="auto"/>
                    <w:rPr/>
                  </w:pPr>
                  <w:r>
                    <w:rPr/>
                    <w:t>国税登记编号，按照税务登记证上</w:t>
                  </w:r>
                  <w:r>
                    <w:rPr>
                      <w:spacing w:val="5"/>
                    </w:rPr>
                    <w:t xml:space="preserve"> </w:t>
                  </w:r>
                  <w:r>
                    <w:rPr>
                      <w:spacing w:val="2"/>
                    </w:rPr>
                    <w:t>的编号填写(个人供应商可不填)</w:t>
                  </w:r>
                </w:p>
              </w:tc>
            </w:tr>
            <w:tr>
              <w:trPr>
                <w:trHeight w:val="56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92"/>
                    <w:spacing w:before="211" w:line="220" w:lineRule="auto"/>
                    <w:rPr/>
                  </w:pPr>
                  <w:r>
                    <w:rPr>
                      <w:spacing w:val="-1"/>
                    </w:rPr>
                    <w:t>地税登记号</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40" w:firstLine="149"/>
                    <w:spacing w:before="91" w:line="287" w:lineRule="auto"/>
                    <w:rPr/>
                  </w:pPr>
                  <w:r>
                    <w:rPr>
                      <w:spacing w:val="-1"/>
                    </w:rPr>
                    <w:t>地税登记编号，按照税务登记证上</w:t>
                  </w:r>
                  <w:r>
                    <w:rPr>
                      <w:spacing w:val="8"/>
                    </w:rPr>
                    <w:t xml:space="preserve"> </w:t>
                  </w:r>
                  <w:r>
                    <w:rPr>
                      <w:spacing w:val="2"/>
                    </w:rPr>
                    <w:t>的编号填写(个人供应商可不填)</w:t>
                  </w:r>
                </w:p>
              </w:tc>
            </w:tr>
            <w:tr>
              <w:trPr>
                <w:trHeight w:val="83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spacing w:line="300" w:lineRule="auto"/>
                    <w:rPr>
                      <w:rFonts w:ascii="Arial"/>
                      <w:sz w:val="21"/>
                    </w:rPr>
                  </w:pPr>
                  <w:r/>
                </w:p>
                <w:p>
                  <w:pPr>
                    <w:pStyle w:val="TableText"/>
                    <w:ind w:left="92"/>
                    <w:spacing w:before="49" w:line="219" w:lineRule="auto"/>
                    <w:rPr/>
                  </w:pPr>
                  <w:r>
                    <w:rPr>
                      <w:spacing w:val="-1"/>
                    </w:rPr>
                    <w:t>供应商类型</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82" w:line="219" w:lineRule="auto"/>
                    <w:rPr/>
                  </w:pPr>
                  <w:r>
                    <w:rPr>
                      <w:spacing w:val="-2"/>
                    </w:rPr>
                    <w:t>类型：</w:t>
                  </w:r>
                </w:p>
                <w:p>
                  <w:pPr>
                    <w:pStyle w:val="TableText"/>
                    <w:ind w:left="76"/>
                    <w:spacing w:before="101" w:line="280" w:lineRule="exact"/>
                    <w:rPr/>
                  </w:pPr>
                  <w:r>
                    <w:rPr>
                      <w:spacing w:val="1"/>
                      <w:position w:val="10"/>
                    </w:rPr>
                    <w:t>1.企业供应商</w:t>
                  </w:r>
                </w:p>
                <w:p>
                  <w:pPr>
                    <w:pStyle w:val="TableText"/>
                    <w:ind w:left="76"/>
                    <w:spacing w:line="218" w:lineRule="auto"/>
                    <w:rPr/>
                  </w:pPr>
                  <w:r>
                    <w:rPr>
                      <w:spacing w:val="-2"/>
                    </w:rPr>
                    <w:t>2.个人供应商</w:t>
                  </w:r>
                </w:p>
              </w:tc>
            </w:tr>
            <w:tr>
              <w:trPr>
                <w:trHeight w:val="113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spacing w:line="312" w:lineRule="auto"/>
                    <w:rPr>
                      <w:rFonts w:ascii="Arial"/>
                      <w:sz w:val="21"/>
                    </w:rPr>
                  </w:pPr>
                  <w:r/>
                </w:p>
                <w:p>
                  <w:pPr>
                    <w:pStyle w:val="TableText"/>
                    <w:ind w:left="311" w:right="184" w:hanging="150"/>
                    <w:spacing w:before="49" w:line="282" w:lineRule="auto"/>
                    <w:rPr/>
                  </w:pPr>
                  <w:r>
                    <w:rPr>
                      <w:spacing w:val="-2"/>
                    </w:rPr>
                    <w:t>组织机构</w:t>
                  </w:r>
                  <w:r>
                    <w:rPr/>
                    <w:t xml:space="preserve"> </w:t>
                  </w:r>
                  <w:r>
                    <w:rPr>
                      <w:spacing w:val="-2"/>
                    </w:rPr>
                    <w:t>代码</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56" w:right="108" w:firstLine="180"/>
                    <w:spacing w:before="83" w:line="317" w:lineRule="auto"/>
                    <w:rPr/>
                  </w:pPr>
                  <w:r>
                    <w:rPr>
                      <w:spacing w:val="-1"/>
                    </w:rPr>
                    <w:t>企业法人组织机构代码填写9位组</w:t>
                  </w:r>
                  <w:r>
                    <w:rPr>
                      <w:spacing w:val="5"/>
                    </w:rPr>
                    <w:t xml:space="preserve"> </w:t>
                  </w:r>
                  <w:r>
                    <w:rPr/>
                    <w:t>织机构代码，前8位和最后1位之间</w:t>
                  </w:r>
                  <w:r>
                    <w:rPr>
                      <w:spacing w:val="6"/>
                    </w:rPr>
                    <w:t xml:space="preserve">  </w:t>
                  </w:r>
                  <w:r>
                    <w:rPr/>
                    <w:t>以中划线连接(个人填写个人身份证</w:t>
                  </w:r>
                  <w:r>
                    <w:rPr>
                      <w:spacing w:val="10"/>
                    </w:rPr>
                    <w:t xml:space="preserve"> </w:t>
                  </w:r>
                  <w:r>
                    <w:rPr>
                      <w:spacing w:val="15"/>
                    </w:rPr>
                    <w:t>号码)</w:t>
                  </w:r>
                </w:p>
              </w:tc>
            </w:tr>
            <w:tr>
              <w:trPr>
                <w:trHeight w:val="54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241" w:right="164" w:hanging="80"/>
                    <w:spacing w:before="74" w:line="286" w:lineRule="auto"/>
                    <w:rPr/>
                  </w:pPr>
                  <w:r>
                    <w:rPr>
                      <w:spacing w:val="3"/>
                    </w:rPr>
                    <w:t>营业执照</w:t>
                  </w:r>
                  <w:r>
                    <w:rPr/>
                    <w:t xml:space="preserve"> </w:t>
                  </w:r>
                  <w:r>
                    <w:rPr>
                      <w:spacing w:val="-2"/>
                    </w:rPr>
                    <w:t>登记号</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30" w:firstLine="160"/>
                    <w:spacing w:before="73" w:line="282" w:lineRule="auto"/>
                    <w:rPr/>
                  </w:pPr>
                  <w:r>
                    <w:rPr>
                      <w:spacing w:val="-1"/>
                    </w:rPr>
                    <w:t>供应商营业执照登记号码，按照营</w:t>
                  </w:r>
                  <w:r>
                    <w:rPr>
                      <w:spacing w:val="8"/>
                    </w:rPr>
                    <w:t xml:space="preserve"> </w:t>
                  </w:r>
                  <w:r>
                    <w:rPr>
                      <w:spacing w:val="-1"/>
                    </w:rPr>
                    <w:t>业执照上的号码填写</w:t>
                  </w:r>
                </w:p>
              </w:tc>
            </w:tr>
            <w:tr>
              <w:trPr>
                <w:trHeight w:val="55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161"/>
                    <w:spacing w:before="76" w:line="300" w:lineRule="exact"/>
                    <w:rPr/>
                  </w:pPr>
                  <w:r>
                    <w:rPr>
                      <w:spacing w:val="5"/>
                      <w:position w:val="11"/>
                    </w:rPr>
                    <w:t>上级公司</w:t>
                  </w:r>
                </w:p>
                <w:p>
                  <w:pPr>
                    <w:pStyle w:val="TableText"/>
                    <w:ind w:left="312"/>
                    <w:spacing w:line="211" w:lineRule="auto"/>
                    <w:rPr/>
                  </w:pPr>
                  <w:r>
                    <w:rPr>
                      <w:spacing w:val="-2"/>
                    </w:rPr>
                    <w:t>名称</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right="31" w:firstLine="160"/>
                    <w:spacing w:before="95" w:line="279" w:lineRule="auto"/>
                    <w:rPr/>
                  </w:pPr>
                  <w:r>
                    <w:rPr>
                      <w:spacing w:val="-1"/>
                    </w:rPr>
                    <w:t>上级公司名称，按照工商营业执照</w:t>
                  </w:r>
                  <w:r>
                    <w:rPr>
                      <w:spacing w:val="6"/>
                    </w:rPr>
                    <w:t xml:space="preserve"> </w:t>
                  </w:r>
                  <w:r>
                    <w:rPr>
                      <w:spacing w:val="-1"/>
                    </w:rPr>
                    <w:t>上的名称，填写全称</w:t>
                  </w:r>
                </w:p>
              </w:tc>
            </w:tr>
            <w:tr>
              <w:trPr>
                <w:trHeight w:val="839" w:hRule="atLeast"/>
              </w:trPr>
              <w:tc>
                <w:tcPr>
                  <w:tcW w:w="444" w:type="dxa"/>
                  <w:vAlign w:val="top"/>
                  <w:vMerge w:val="continue"/>
                  <w:textDirection w:val="tbRlV"/>
                  <w:tcBorders>
                    <w:top w:val="nil"/>
                    <w:bottom w:val="nil"/>
                  </w:tcBorders>
                </w:tcPr>
                <w:p>
                  <w:pPr>
                    <w:rPr>
                      <w:rFonts w:ascii="Arial"/>
                      <w:sz w:val="21"/>
                    </w:rPr>
                  </w:pPr>
                  <w:r/>
                </w:p>
              </w:tc>
              <w:tc>
                <w:tcPr>
                  <w:tcW w:w="769" w:type="dxa"/>
                  <w:vAlign w:val="top"/>
                  <w:vMerge w:val="continue"/>
                  <w:tcBorders>
                    <w:top w:val="nil"/>
                    <w:bottom w:val="nil"/>
                  </w:tcBorders>
                </w:tcPr>
                <w:p>
                  <w:pPr>
                    <w:rPr>
                      <w:rFonts w:ascii="Arial"/>
                      <w:sz w:val="21"/>
                    </w:rPr>
                  </w:pPr>
                  <w:r/>
                </w:p>
              </w:tc>
              <w:tc>
                <w:tcPr>
                  <w:tcW w:w="949" w:type="dxa"/>
                  <w:vAlign w:val="top"/>
                </w:tcPr>
                <w:p>
                  <w:pPr>
                    <w:pStyle w:val="TableText"/>
                    <w:ind w:left="92" w:right="104"/>
                    <w:spacing w:before="228" w:line="280" w:lineRule="auto"/>
                    <w:rPr/>
                  </w:pPr>
                  <w:r>
                    <w:rPr>
                      <w:spacing w:val="-2"/>
                    </w:rPr>
                    <w:t>上级公司组</w:t>
                  </w:r>
                  <w:r>
                    <w:rPr>
                      <w:spacing w:val="1"/>
                    </w:rPr>
                    <w:t xml:space="preserve"> </w:t>
                  </w:r>
                  <w:r>
                    <w:rPr>
                      <w:spacing w:val="-2"/>
                    </w:rPr>
                    <w:t>织机构代码</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56" w:right="202" w:firstLine="160"/>
                    <w:spacing w:before="75" w:line="307" w:lineRule="auto"/>
                    <w:jc w:val="both"/>
                    <w:rPr/>
                  </w:pPr>
                  <w:r>
                    <w:rPr>
                      <w:spacing w:val="-1"/>
                    </w:rPr>
                    <w:t>上级公司的企业法人组织机构代</w:t>
                  </w:r>
                  <w:r>
                    <w:rPr>
                      <w:spacing w:val="5"/>
                    </w:rPr>
                    <w:t xml:space="preserve"> </w:t>
                  </w:r>
                  <w:r>
                    <w:rPr>
                      <w:spacing w:val="-1"/>
                    </w:rPr>
                    <w:t>码，填写9位组织机构代码，前8位</w:t>
                  </w:r>
                  <w:r>
                    <w:rPr>
                      <w:spacing w:val="9"/>
                    </w:rPr>
                    <w:t xml:space="preserve"> </w:t>
                  </w:r>
                  <w:r>
                    <w:rPr>
                      <w:spacing w:val="1"/>
                    </w:rPr>
                    <w:t>和最后1位之间以中划线连接</w:t>
                  </w:r>
                </w:p>
              </w:tc>
            </w:tr>
            <w:tr>
              <w:trPr>
                <w:trHeight w:val="325" w:hRule="atLeast"/>
              </w:trPr>
              <w:tc>
                <w:tcPr>
                  <w:tcW w:w="444" w:type="dxa"/>
                  <w:vAlign w:val="top"/>
                  <w:vMerge w:val="continue"/>
                  <w:textDirection w:val="tbRlV"/>
                  <w:tcBorders>
                    <w:top w:val="nil"/>
                  </w:tcBorders>
                </w:tcPr>
                <w:p>
                  <w:pPr>
                    <w:rPr>
                      <w:rFonts w:ascii="Arial"/>
                      <w:sz w:val="21"/>
                    </w:rPr>
                  </w:pPr>
                  <w:r/>
                </w:p>
              </w:tc>
              <w:tc>
                <w:tcPr>
                  <w:tcW w:w="769" w:type="dxa"/>
                  <w:vAlign w:val="top"/>
                  <w:vMerge w:val="continue"/>
                  <w:tcBorders>
                    <w:top w:val="nil"/>
                  </w:tcBorders>
                </w:tcPr>
                <w:p>
                  <w:pPr>
                    <w:rPr>
                      <w:rFonts w:ascii="Arial"/>
                      <w:sz w:val="21"/>
                    </w:rPr>
                  </w:pPr>
                  <w:r/>
                </w:p>
              </w:tc>
              <w:tc>
                <w:tcPr>
                  <w:tcW w:w="949" w:type="dxa"/>
                  <w:vAlign w:val="top"/>
                </w:tcPr>
                <w:p>
                  <w:pPr>
                    <w:pStyle w:val="TableText"/>
                    <w:ind w:left="161"/>
                    <w:spacing w:before="99" w:line="221" w:lineRule="auto"/>
                    <w:rPr/>
                  </w:pPr>
                  <w:r>
                    <w:rPr>
                      <w:spacing w:val="-2"/>
                    </w:rPr>
                    <w:t>主页地址</w:t>
                  </w:r>
                </w:p>
              </w:tc>
              <w:tc>
                <w:tcPr>
                  <w:tcW w:w="1268" w:type="dxa"/>
                  <w:vAlign w:val="top"/>
                  <w:gridSpan w:val="2"/>
                </w:tcPr>
                <w:p>
                  <w:pPr>
                    <w:rPr>
                      <w:rFonts w:ascii="Arial"/>
                      <w:sz w:val="21"/>
                    </w:rPr>
                  </w:pPr>
                  <w:r/>
                </w:p>
              </w:tc>
              <w:tc>
                <w:tcPr>
                  <w:tcW w:w="1349" w:type="dxa"/>
                  <w:vAlign w:val="top"/>
                  <w:gridSpan w:val="3"/>
                </w:tcPr>
                <w:p>
                  <w:pPr>
                    <w:rPr>
                      <w:rFonts w:ascii="Arial"/>
                      <w:sz w:val="21"/>
                    </w:rPr>
                  </w:pPr>
                  <w:r/>
                </w:p>
              </w:tc>
              <w:tc>
                <w:tcPr>
                  <w:tcW w:w="2521" w:type="dxa"/>
                  <w:vAlign w:val="top"/>
                  <w:gridSpan w:val="3"/>
                </w:tcPr>
                <w:p>
                  <w:pPr>
                    <w:pStyle w:val="TableText"/>
                    <w:ind w:left="76"/>
                    <w:spacing w:before="99" w:line="221" w:lineRule="auto"/>
                    <w:rPr/>
                  </w:pPr>
                  <w:r>
                    <w:rPr>
                      <w:spacing w:val="-2"/>
                    </w:rPr>
                    <w:t>公司网站主页地址</w:t>
                  </w:r>
                </w:p>
              </w:tc>
            </w:tr>
          </w:tbl>
          <w:p>
            <w:pPr>
              <w:rPr>
                <w:rFonts w:ascii="Arial"/>
                <w:sz w:val="21"/>
              </w:rPr>
            </w:pPr>
            <w:r/>
          </w:p>
        </w:tc>
      </w:tr>
    </w:tbl>
    <w:p>
      <w:pPr>
        <w:pStyle w:val="BodyText"/>
        <w:rPr/>
      </w:pPr>
      <w:r/>
    </w:p>
    <w:p>
      <w:pPr>
        <w:sectPr>
          <w:footerReference w:type="default" r:id="rId238"/>
          <w:pgSz w:w="8870" w:h="13400"/>
          <w:pgMar w:top="400" w:right="604" w:bottom="485" w:left="400" w:header="0" w:footer="266" w:gutter="0"/>
        </w:sectPr>
        <w:rPr/>
      </w:pPr>
    </w:p>
    <w:p>
      <w:pPr>
        <w:ind w:left="5512"/>
        <w:spacing w:before="234" w:line="219" w:lineRule="auto"/>
        <w:rPr>
          <w:rFonts w:ascii="SimSun" w:hAnsi="SimSun" w:eastAsia="SimSun" w:cs="SimSun"/>
          <w:sz w:val="21"/>
          <w:szCs w:val="21"/>
        </w:rPr>
      </w:pPr>
      <w:r>
        <w:rPr>
          <w:rFonts w:ascii="SimSun" w:hAnsi="SimSun" w:eastAsia="SimSun" w:cs="SimSun"/>
          <w:sz w:val="21"/>
          <w:szCs w:val="21"/>
          <w:b/>
          <w:bCs/>
          <w:spacing w:val="14"/>
        </w:rPr>
        <w:t>第5章■云端数据管理</w:t>
      </w:r>
    </w:p>
    <w:p>
      <w:pPr>
        <w:pStyle w:val="BodyText"/>
        <w:spacing w:line="265" w:lineRule="auto"/>
        <w:rPr/>
      </w:pPr>
      <w:r/>
    </w:p>
    <w:p>
      <w:pPr>
        <w:ind w:left="6795"/>
        <w:spacing w:before="69" w:line="223" w:lineRule="auto"/>
        <w:rPr>
          <w:rFonts w:ascii="SimHei" w:hAnsi="SimHei" w:eastAsia="SimHei" w:cs="SimHei"/>
          <w:sz w:val="21"/>
          <w:szCs w:val="21"/>
        </w:rPr>
      </w:pPr>
      <w:r>
        <w:pict>
          <v:rect id="_x0000_s368" style="position:absolute;margin-left:0pt;margin-top:13.4209pt;mso-position-vertical-relative:text;mso-position-horizontal-relative:text;width:383.5pt;height:0.55pt;z-index:254489600;" fillcolor="#000000" filled="true" stroked="false"/>
        </w:pict>
      </w:r>
      <w:r>
        <w:rPr>
          <w:rFonts w:ascii="SimHei" w:hAnsi="SimHei" w:eastAsia="SimHei" w:cs="SimHei"/>
          <w:sz w:val="21"/>
          <w:szCs w:val="21"/>
          <w:spacing w:val="-4"/>
        </w:rPr>
        <w:t>续</w:t>
      </w:r>
      <w:r>
        <w:rPr>
          <w:rFonts w:ascii="SimHei" w:hAnsi="SimHei" w:eastAsia="SimHei" w:cs="SimHei"/>
          <w:sz w:val="21"/>
          <w:szCs w:val="21"/>
          <w:spacing w:val="-10"/>
        </w:rPr>
        <w:t xml:space="preserve"> </w:t>
      </w:r>
      <w:r>
        <w:rPr>
          <w:rFonts w:ascii="SimHei" w:hAnsi="SimHei" w:eastAsia="SimHei" w:cs="SimHei"/>
          <w:sz w:val="21"/>
          <w:szCs w:val="21"/>
          <w:spacing w:val="-4"/>
        </w:rPr>
        <w:t>表</w:t>
      </w:r>
    </w:p>
    <w:p>
      <w:pPr>
        <w:ind w:left="6809"/>
        <w:spacing w:before="193" w:line="220" w:lineRule="auto"/>
        <w:rPr>
          <w:rFonts w:ascii="SimSun" w:hAnsi="SimSun" w:eastAsia="SimSun" w:cs="SimSun"/>
          <w:sz w:val="14"/>
          <w:szCs w:val="14"/>
        </w:rPr>
      </w:pPr>
      <w:r>
        <w:rPr>
          <w:rFonts w:ascii="SimSun" w:hAnsi="SimSun" w:eastAsia="SimSun" w:cs="SimSun"/>
          <w:sz w:val="14"/>
          <w:szCs w:val="14"/>
          <w:spacing w:val="-2"/>
        </w:rPr>
        <w:t>续表</w:t>
      </w:r>
    </w:p>
    <w:p>
      <w:pPr>
        <w:spacing w:line="124" w:lineRule="auto"/>
        <w:rPr>
          <w:rFonts w:ascii="Arial"/>
          <w:sz w:val="2"/>
        </w:rPr>
      </w:pPr>
      <w:r>
        <w:rPr>
          <w:rFonts w:ascii="Arial"/>
          <w:sz w:val="2"/>
        </w:rPr>
      </w:r>
    </w:p>
    <w:tbl>
      <w:tblPr>
        <w:tblStyle w:val="TableNormal"/>
        <w:tblW w:w="7320" w:type="dxa"/>
        <w:tblInd w:w="1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32"/>
        <w:gridCol w:w="1348"/>
        <w:gridCol w:w="1728"/>
        <w:gridCol w:w="1912"/>
      </w:tblGrid>
      <w:tr>
        <w:trPr>
          <w:trHeight w:val="1422" w:hRule="atLeast"/>
        </w:trPr>
        <w:tc>
          <w:tcPr>
            <w:tcW w:w="7320" w:type="dxa"/>
            <w:vAlign w:val="top"/>
            <w:gridSpan w:val="4"/>
          </w:tcPr>
          <w:p>
            <w:pPr>
              <w:pStyle w:val="TableText"/>
              <w:ind w:left="35"/>
              <w:spacing w:before="80" w:line="219" w:lineRule="auto"/>
              <w:rPr/>
            </w:pPr>
            <w:r>
              <w:rPr>
                <w:spacing w:val="-1"/>
              </w:rPr>
              <w:t>供应商承诺：</w:t>
            </w:r>
          </w:p>
          <w:p>
            <w:pPr>
              <w:pStyle w:val="TableText"/>
              <w:ind w:left="35" w:right="28" w:firstLine="339"/>
              <w:spacing w:before="113" w:line="288" w:lineRule="auto"/>
              <w:rPr/>
            </w:pPr>
            <w:r>
              <w:rPr/>
              <w:t>以上所提供的信息和证明材料真实准确，对因提供有关信息、证件不实或违反有关规定造成的后果，责任</w:t>
            </w:r>
            <w:r>
              <w:rPr>
                <w:spacing w:val="5"/>
              </w:rPr>
              <w:t xml:space="preserve"> </w:t>
            </w:r>
            <w:r>
              <w:rPr>
                <w:spacing w:val="-2"/>
              </w:rPr>
              <w:t>自负。</w:t>
            </w:r>
          </w:p>
          <w:p>
            <w:pPr>
              <w:pStyle w:val="TableText"/>
              <w:ind w:left="6214" w:right="52" w:hanging="259"/>
              <w:spacing w:before="101" w:line="288" w:lineRule="auto"/>
              <w:rPr/>
            </w:pPr>
            <w:r>
              <w:rPr>
                <w:spacing w:val="2"/>
              </w:rPr>
              <w:t>(供应商盖章/签字)</w:t>
            </w:r>
            <w:r>
              <w:rPr>
                <w:spacing w:val="6"/>
              </w:rPr>
              <w:t xml:space="preserve"> </w:t>
            </w:r>
            <w:r>
              <w:rPr>
                <w:spacing w:val="-6"/>
              </w:rPr>
              <w:t>年</w:t>
            </w:r>
            <w:r>
              <w:rPr>
                <w:spacing w:val="9"/>
              </w:rPr>
              <w:t xml:space="preserve">   </w:t>
            </w:r>
            <w:r>
              <w:rPr>
                <w:spacing w:val="-6"/>
              </w:rPr>
              <w:t>月</w:t>
            </w:r>
            <w:r>
              <w:rPr>
                <w:spacing w:val="16"/>
              </w:rPr>
              <w:t xml:space="preserve">   </w:t>
            </w:r>
            <w:r>
              <w:rPr>
                <w:spacing w:val="-6"/>
              </w:rPr>
              <w:t>日</w:t>
            </w:r>
          </w:p>
        </w:tc>
      </w:tr>
      <w:tr>
        <w:trPr>
          <w:trHeight w:val="299" w:hRule="atLeast"/>
        </w:trPr>
        <w:tc>
          <w:tcPr>
            <w:tcW w:w="3680" w:type="dxa"/>
            <w:vAlign w:val="top"/>
            <w:gridSpan w:val="2"/>
          </w:tcPr>
          <w:p>
            <w:pPr>
              <w:pStyle w:val="TableText"/>
              <w:ind w:left="25"/>
              <w:spacing w:before="78" w:line="219" w:lineRule="auto"/>
              <w:rPr/>
            </w:pPr>
            <w:r>
              <w:rPr>
                <w:spacing w:val="-1"/>
              </w:rPr>
              <w:t>推荐部门：</w:t>
            </w:r>
          </w:p>
        </w:tc>
        <w:tc>
          <w:tcPr>
            <w:tcW w:w="3640" w:type="dxa"/>
            <w:vAlign w:val="top"/>
            <w:gridSpan w:val="2"/>
          </w:tcPr>
          <w:p>
            <w:pPr>
              <w:pStyle w:val="TableText"/>
              <w:ind w:left="65"/>
              <w:spacing w:before="78" w:line="219" w:lineRule="auto"/>
              <w:rPr/>
            </w:pPr>
            <w:r>
              <w:rPr>
                <w:spacing w:val="-1"/>
              </w:rPr>
              <w:t>推荐部门审批：</w:t>
            </w:r>
          </w:p>
        </w:tc>
      </w:tr>
      <w:tr>
        <w:trPr>
          <w:trHeight w:val="309" w:hRule="atLeast"/>
        </w:trPr>
        <w:tc>
          <w:tcPr>
            <w:tcW w:w="7320" w:type="dxa"/>
            <w:vAlign w:val="top"/>
            <w:gridSpan w:val="4"/>
          </w:tcPr>
          <w:p>
            <w:pPr>
              <w:pStyle w:val="TableText"/>
              <w:ind w:left="35"/>
              <w:spacing w:before="79" w:line="219" w:lineRule="auto"/>
              <w:rPr/>
            </w:pPr>
            <w:r>
              <w:rPr>
                <w:spacing w:val="-1"/>
              </w:rPr>
              <w:t>采购管理部门审批意见：</w:t>
            </w:r>
          </w:p>
        </w:tc>
      </w:tr>
      <w:tr>
        <w:trPr>
          <w:trHeight w:val="319" w:hRule="atLeast"/>
        </w:trPr>
        <w:tc>
          <w:tcPr>
            <w:tcW w:w="5408" w:type="dxa"/>
            <w:vAlign w:val="top"/>
            <w:gridSpan w:val="3"/>
          </w:tcPr>
          <w:p>
            <w:pPr>
              <w:pStyle w:val="TableText"/>
              <w:ind w:left="2385"/>
              <w:spacing w:before="91" w:line="220" w:lineRule="auto"/>
              <w:rPr/>
            </w:pPr>
            <w:r>
              <w:rPr>
                <w:spacing w:val="-2"/>
              </w:rPr>
              <w:t>受理情况</w:t>
            </w:r>
          </w:p>
        </w:tc>
        <w:tc>
          <w:tcPr>
            <w:tcW w:w="1912" w:type="dxa"/>
            <w:vAlign w:val="top"/>
          </w:tcPr>
          <w:p>
            <w:pPr>
              <w:pStyle w:val="TableText"/>
              <w:ind w:left="517"/>
              <w:spacing w:before="91" w:line="219" w:lineRule="auto"/>
              <w:rPr/>
            </w:pPr>
            <w:r>
              <w:rPr>
                <w:spacing w:val="-1"/>
              </w:rPr>
              <w:t>操作人员签字</w:t>
            </w:r>
          </w:p>
        </w:tc>
      </w:tr>
      <w:tr>
        <w:trPr>
          <w:trHeight w:val="848" w:hRule="atLeast"/>
        </w:trPr>
        <w:tc>
          <w:tcPr>
            <w:tcW w:w="5408" w:type="dxa"/>
            <w:vAlign w:val="top"/>
            <w:gridSpan w:val="3"/>
          </w:tcPr>
          <w:p>
            <w:pPr>
              <w:pStyle w:val="TableText"/>
              <w:ind w:left="65"/>
              <w:spacing w:before="82" w:line="219" w:lineRule="auto"/>
              <w:rPr/>
            </w:pPr>
            <w:r>
              <w:rPr>
                <w:spacing w:val="1"/>
              </w:rPr>
              <w:t>□已提交更新申请至省级公司</w:t>
            </w:r>
          </w:p>
          <w:p>
            <w:pPr>
              <w:pStyle w:val="TableText"/>
              <w:ind w:left="65"/>
              <w:spacing w:before="101" w:line="219" w:lineRule="auto"/>
              <w:rPr/>
            </w:pPr>
            <w:r>
              <w:rPr/>
              <w:t>口本省注册供应商，信息已更新</w:t>
            </w:r>
          </w:p>
          <w:p>
            <w:pPr>
              <w:pStyle w:val="TableText"/>
              <w:ind w:left="65"/>
              <w:spacing w:before="112" w:line="219" w:lineRule="auto"/>
              <w:rPr/>
            </w:pPr>
            <w:r>
              <w:rPr/>
              <w:t>口非本省注册供应商，已提交申请至供应商注册省处理</w:t>
            </w:r>
          </w:p>
        </w:tc>
        <w:tc>
          <w:tcPr>
            <w:tcW w:w="1912" w:type="dxa"/>
            <w:vAlign w:val="top"/>
          </w:tcPr>
          <w:p>
            <w:pPr>
              <w:pStyle w:val="TableText"/>
              <w:ind w:left="47"/>
              <w:spacing w:before="75" w:line="223" w:lineRule="auto"/>
              <w:rPr/>
            </w:pPr>
            <w:r>
              <w:rPr>
                <w:spacing w:val="-2"/>
              </w:rPr>
              <w:t>签名：</w:t>
            </w:r>
          </w:p>
          <w:p>
            <w:pPr>
              <w:spacing w:line="325" w:lineRule="auto"/>
              <w:rPr>
                <w:rFonts w:ascii="Arial"/>
                <w:sz w:val="21"/>
              </w:rPr>
            </w:pPr>
            <w:r/>
          </w:p>
          <w:p>
            <w:pPr>
              <w:pStyle w:val="TableText"/>
              <w:ind w:left="47"/>
              <w:spacing w:before="49" w:line="220" w:lineRule="auto"/>
              <w:rPr/>
            </w:pPr>
            <w:r>
              <w:rPr>
                <w:spacing w:val="-2"/>
              </w:rPr>
              <w:t>日期：</w:t>
            </w:r>
          </w:p>
        </w:tc>
      </w:tr>
      <w:tr>
        <w:trPr>
          <w:trHeight w:val="1152" w:hRule="atLeast"/>
        </w:trPr>
        <w:tc>
          <w:tcPr>
            <w:tcW w:w="2332" w:type="dxa"/>
            <w:vAlign w:val="top"/>
          </w:tcPr>
          <w:p>
            <w:pPr>
              <w:spacing w:line="453" w:lineRule="auto"/>
              <w:rPr>
                <w:rFonts w:ascii="Arial"/>
                <w:sz w:val="21"/>
              </w:rPr>
            </w:pPr>
            <w:r/>
          </w:p>
          <w:p>
            <w:pPr>
              <w:pStyle w:val="TableText"/>
              <w:ind w:left="855"/>
              <w:spacing w:before="49" w:line="221" w:lineRule="auto"/>
              <w:rPr/>
            </w:pPr>
            <w:r>
              <w:rPr>
                <w:spacing w:val="-4"/>
              </w:rPr>
              <w:t>备</w:t>
            </w:r>
            <w:r>
              <w:rPr>
                <w:spacing w:val="1"/>
              </w:rPr>
              <w:t xml:space="preserve">   </w:t>
            </w:r>
            <w:r>
              <w:rPr>
                <w:spacing w:val="-4"/>
              </w:rPr>
              <w:t>注</w:t>
            </w:r>
          </w:p>
        </w:tc>
        <w:tc>
          <w:tcPr>
            <w:tcW w:w="4988" w:type="dxa"/>
            <w:vAlign w:val="top"/>
            <w:gridSpan w:val="3"/>
          </w:tcPr>
          <w:p>
            <w:pPr>
              <w:pStyle w:val="TableText"/>
              <w:ind w:left="223" w:right="123" w:hanging="10"/>
              <w:spacing w:before="83" w:line="282" w:lineRule="auto"/>
              <w:rPr/>
            </w:pPr>
            <w:r>
              <w:rPr/>
              <w:t>企业供应商需提交盖企业公章的营业执照、组织</w:t>
            </w:r>
            <w:r>
              <w:rPr>
                <w:spacing w:val="-1"/>
              </w:rPr>
              <w:t>机构代码、国税、地税</w:t>
            </w:r>
            <w:r>
              <w:rPr/>
              <w:t xml:space="preserve"> </w:t>
            </w:r>
            <w:r>
              <w:rPr>
                <w:spacing w:val="-1"/>
              </w:rPr>
              <w:t>复印件。</w:t>
            </w:r>
          </w:p>
          <w:p>
            <w:pPr>
              <w:pStyle w:val="TableText"/>
              <w:ind w:left="223"/>
              <w:spacing w:before="111" w:line="270" w:lineRule="exact"/>
              <w:rPr/>
            </w:pPr>
            <w:r>
              <w:rPr>
                <w:spacing w:val="-1"/>
                <w:position w:val="9"/>
              </w:rPr>
              <w:t>个人供应商需提供由本人签字的身份证复印件。</w:t>
            </w:r>
          </w:p>
          <w:p>
            <w:pPr>
              <w:pStyle w:val="TableText"/>
              <w:ind w:left="223"/>
              <w:spacing w:line="218" w:lineRule="auto"/>
              <w:rPr/>
            </w:pPr>
            <w:r>
              <w:rPr>
                <w:spacing w:val="-1"/>
              </w:rPr>
              <w:t>提示：本表单受理之日起2个工作日完成</w:t>
            </w:r>
          </w:p>
        </w:tc>
      </w:tr>
    </w:tbl>
    <w:p>
      <w:pPr>
        <w:pStyle w:val="BodyText"/>
        <w:rPr/>
      </w:pPr>
      <w:r/>
    </w:p>
    <w:p>
      <w:pPr>
        <w:sectPr>
          <w:footerReference w:type="default" r:id="rId240"/>
          <w:pgSz w:w="8870" w:h="13400"/>
          <w:pgMar w:top="400" w:right="558" w:bottom="488" w:left="430" w:header="0" w:footer="278" w:gutter="0"/>
        </w:sectPr>
        <w:rPr/>
      </w:pP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2055"/>
        <w:spacing w:before="133" w:line="221" w:lineRule="auto"/>
        <w:rPr>
          <w:rFonts w:ascii="SimHei" w:hAnsi="SimHei" w:eastAsia="SimHei" w:cs="SimHei"/>
          <w:sz w:val="41"/>
          <w:szCs w:val="41"/>
        </w:rPr>
      </w:pPr>
      <w:r>
        <w:rPr>
          <w:rFonts w:ascii="SimHei" w:hAnsi="SimHei" w:eastAsia="SimHei" w:cs="SimHei"/>
          <w:sz w:val="41"/>
          <w:szCs w:val="41"/>
          <w:b/>
          <w:bCs/>
          <w:spacing w:val="-13"/>
        </w:rPr>
        <w:t>第</w:t>
      </w:r>
      <w:r>
        <w:rPr>
          <w:rFonts w:ascii="SimHei" w:hAnsi="SimHei" w:eastAsia="SimHei" w:cs="SimHei"/>
          <w:sz w:val="41"/>
          <w:szCs w:val="41"/>
          <w:spacing w:val="-72"/>
        </w:rPr>
        <w:t xml:space="preserve"> </w:t>
      </w:r>
      <w:r>
        <w:rPr>
          <w:rFonts w:ascii="SimHei" w:hAnsi="SimHei" w:eastAsia="SimHei" w:cs="SimHei"/>
          <w:sz w:val="41"/>
          <w:szCs w:val="41"/>
          <w:b/>
          <w:bCs/>
          <w:spacing w:val="-13"/>
        </w:rPr>
        <w:t>6</w:t>
      </w:r>
      <w:r>
        <w:rPr>
          <w:rFonts w:ascii="SimHei" w:hAnsi="SimHei" w:eastAsia="SimHei" w:cs="SimHei"/>
          <w:sz w:val="41"/>
          <w:szCs w:val="41"/>
          <w:spacing w:val="-75"/>
        </w:rPr>
        <w:t xml:space="preserve"> </w:t>
      </w:r>
      <w:r>
        <w:rPr>
          <w:rFonts w:ascii="SimHei" w:hAnsi="SimHei" w:eastAsia="SimHei" w:cs="SimHei"/>
          <w:sz w:val="41"/>
          <w:szCs w:val="41"/>
          <w:b/>
          <w:bCs/>
          <w:spacing w:val="-13"/>
        </w:rPr>
        <w:t>章</w:t>
      </w:r>
      <w:r>
        <w:rPr>
          <w:rFonts w:ascii="SimHei" w:hAnsi="SimHei" w:eastAsia="SimHei" w:cs="SimHei"/>
          <w:sz w:val="41"/>
          <w:szCs w:val="41"/>
          <w:spacing w:val="191"/>
        </w:rPr>
        <w:t xml:space="preserve"> </w:t>
      </w:r>
      <w:r>
        <w:rPr>
          <w:rFonts w:ascii="SimHei" w:hAnsi="SimHei" w:eastAsia="SimHei" w:cs="SimHei"/>
          <w:sz w:val="41"/>
          <w:szCs w:val="41"/>
          <w:b/>
          <w:bCs/>
          <w:spacing w:val="-13"/>
        </w:rPr>
        <w:t>云端数据质量</w:t>
      </w:r>
    </w:p>
    <w:p>
      <w:pPr>
        <w:pStyle w:val="BodyText"/>
        <w:spacing w:line="265" w:lineRule="auto"/>
        <w:rPr/>
      </w:pPr>
      <w:r/>
    </w:p>
    <w:p>
      <w:pPr>
        <w:pStyle w:val="BodyText"/>
        <w:spacing w:line="266" w:lineRule="auto"/>
        <w:rPr/>
      </w:pPr>
      <w:r/>
    </w:p>
    <w:p>
      <w:pPr>
        <w:ind w:left="255"/>
        <w:spacing w:before="113" w:line="221" w:lineRule="auto"/>
        <w:outlineLvl w:val="2"/>
        <w:rPr>
          <w:rFonts w:ascii="SimHei" w:hAnsi="SimHei" w:eastAsia="SimHei" w:cs="SimHei"/>
          <w:sz w:val="35"/>
          <w:szCs w:val="35"/>
        </w:rPr>
      </w:pPr>
      <w:r>
        <w:rPr>
          <w:rFonts w:ascii="SimHei" w:hAnsi="SimHei" w:eastAsia="SimHei" w:cs="SimHei"/>
          <w:sz w:val="35"/>
          <w:szCs w:val="35"/>
          <w:b/>
          <w:bCs/>
          <w:spacing w:val="-8"/>
        </w:rPr>
        <w:t>6.1</w:t>
      </w:r>
      <w:r>
        <w:rPr>
          <w:rFonts w:ascii="SimHei" w:hAnsi="SimHei" w:eastAsia="SimHei" w:cs="SimHei"/>
          <w:sz w:val="35"/>
          <w:szCs w:val="35"/>
          <w:spacing w:val="135"/>
        </w:rPr>
        <w:t xml:space="preserve"> </w:t>
      </w:r>
      <w:r>
        <w:rPr>
          <w:rFonts w:ascii="SimHei" w:hAnsi="SimHei" w:eastAsia="SimHei" w:cs="SimHei"/>
          <w:sz w:val="35"/>
          <w:szCs w:val="35"/>
          <w:b/>
          <w:bCs/>
          <w:spacing w:val="-8"/>
        </w:rPr>
        <w:t>概述</w:t>
      </w:r>
    </w:p>
    <w:p>
      <w:pPr>
        <w:ind w:left="254"/>
        <w:spacing w:before="329" w:line="221" w:lineRule="auto"/>
        <w:outlineLvl w:val="3"/>
        <w:rPr>
          <w:rFonts w:ascii="YouYuan" w:hAnsi="YouYuan" w:eastAsia="YouYuan" w:cs="YouYuan"/>
          <w:sz w:val="29"/>
          <w:szCs w:val="29"/>
        </w:rPr>
      </w:pPr>
      <w:r>
        <w:rPr>
          <w:rFonts w:ascii="YouYuan" w:hAnsi="YouYuan" w:eastAsia="YouYuan" w:cs="YouYuan"/>
          <w:sz w:val="29"/>
          <w:szCs w:val="29"/>
          <w:b/>
          <w:bCs/>
          <w:spacing w:val="-8"/>
        </w:rPr>
        <w:t>6.1.1</w:t>
      </w:r>
      <w:r>
        <w:rPr>
          <w:rFonts w:ascii="YouYuan" w:hAnsi="YouYuan" w:eastAsia="YouYuan" w:cs="YouYuan"/>
          <w:sz w:val="29"/>
          <w:szCs w:val="29"/>
          <w:spacing w:val="141"/>
        </w:rPr>
        <w:t xml:space="preserve"> </w:t>
      </w:r>
      <w:r>
        <w:rPr>
          <w:rFonts w:ascii="YouYuan" w:hAnsi="YouYuan" w:eastAsia="YouYuan" w:cs="YouYuan"/>
          <w:sz w:val="29"/>
          <w:szCs w:val="29"/>
          <w:b/>
          <w:bCs/>
          <w:spacing w:val="-8"/>
        </w:rPr>
        <w:t>目的和意义</w:t>
      </w:r>
    </w:p>
    <w:p>
      <w:pPr>
        <w:pStyle w:val="BodyText"/>
        <w:spacing w:line="263" w:lineRule="auto"/>
        <w:rPr/>
      </w:pPr>
      <w:r/>
    </w:p>
    <w:p>
      <w:pPr>
        <w:ind w:left="250" w:right="77" w:firstLine="449"/>
        <w:spacing w:before="72" w:line="250" w:lineRule="auto"/>
        <w:jc w:val="both"/>
        <w:rPr>
          <w:rFonts w:ascii="SimSun" w:hAnsi="SimSun" w:eastAsia="SimSun" w:cs="SimSun"/>
          <w:sz w:val="22"/>
          <w:szCs w:val="22"/>
        </w:rPr>
      </w:pPr>
      <w:r>
        <w:rPr>
          <w:rFonts w:ascii="SimSun" w:hAnsi="SimSun" w:eastAsia="SimSun" w:cs="SimSun"/>
          <w:sz w:val="22"/>
          <w:szCs w:val="22"/>
          <w:spacing w:val="-9"/>
        </w:rPr>
        <w:t>在云计算环境下，云端数据量成指数倍激增，如何管理这些云端数</w:t>
      </w:r>
      <w:r>
        <w:rPr>
          <w:rFonts w:ascii="SimSun" w:hAnsi="SimSun" w:eastAsia="SimSun" w:cs="SimSun"/>
          <w:sz w:val="22"/>
          <w:szCs w:val="22"/>
          <w:spacing w:val="-10"/>
        </w:rPr>
        <w:t>据，尤其是</w:t>
      </w:r>
      <w:r>
        <w:rPr>
          <w:rFonts w:ascii="SimSun" w:hAnsi="SimSun" w:eastAsia="SimSun" w:cs="SimSun"/>
          <w:sz w:val="22"/>
          <w:szCs w:val="22"/>
        </w:rPr>
        <w:t xml:space="preserve"> </w:t>
      </w:r>
      <w:r>
        <w:rPr>
          <w:rFonts w:ascii="SimSun" w:hAnsi="SimSun" w:eastAsia="SimSun" w:cs="SimSun"/>
          <w:sz w:val="22"/>
          <w:szCs w:val="22"/>
          <w:spacing w:val="-8"/>
        </w:rPr>
        <w:t>提升数据质量成为很多组织颇为头痛的问题。在这一堆庞</w:t>
      </w:r>
      <w:r>
        <w:rPr>
          <w:rFonts w:ascii="SimSun" w:hAnsi="SimSun" w:eastAsia="SimSun" w:cs="SimSun"/>
          <w:sz w:val="22"/>
          <w:szCs w:val="22"/>
          <w:spacing w:val="-9"/>
        </w:rPr>
        <w:t>大的数据面前，垃圾数据</w:t>
      </w:r>
      <w:r>
        <w:rPr>
          <w:rFonts w:ascii="SimSun" w:hAnsi="SimSun" w:eastAsia="SimSun" w:cs="SimSun"/>
          <w:sz w:val="22"/>
          <w:szCs w:val="22"/>
        </w:rPr>
        <w:t xml:space="preserve"> </w:t>
      </w:r>
      <w:r>
        <w:rPr>
          <w:rFonts w:ascii="SimSun" w:hAnsi="SimSun" w:eastAsia="SimSun" w:cs="SimSun"/>
          <w:sz w:val="22"/>
          <w:szCs w:val="22"/>
          <w:spacing w:val="-9"/>
        </w:rPr>
        <w:t>以及很多无用的数据不可避免，然而它们也会给我们的机房乃至数据中心带来数据</w:t>
      </w:r>
      <w:r>
        <w:rPr>
          <w:rFonts w:ascii="SimSun" w:hAnsi="SimSun" w:eastAsia="SimSun" w:cs="SimSun"/>
          <w:sz w:val="22"/>
          <w:szCs w:val="22"/>
          <w:spacing w:val="5"/>
        </w:rPr>
        <w:t xml:space="preserve"> </w:t>
      </w:r>
      <w:r>
        <w:rPr>
          <w:rFonts w:ascii="SimSun" w:hAnsi="SimSun" w:eastAsia="SimSun" w:cs="SimSun"/>
          <w:sz w:val="22"/>
          <w:szCs w:val="22"/>
          <w:spacing w:val="-12"/>
        </w:rPr>
        <w:t>处理上的压力和负担。</w:t>
      </w:r>
    </w:p>
    <w:p>
      <w:pPr>
        <w:ind w:left="250" w:firstLine="449"/>
        <w:spacing w:before="68" w:line="246" w:lineRule="auto"/>
        <w:jc w:val="both"/>
        <w:rPr>
          <w:rFonts w:ascii="SimSun" w:hAnsi="SimSun" w:eastAsia="SimSun" w:cs="SimSun"/>
          <w:sz w:val="22"/>
          <w:szCs w:val="22"/>
        </w:rPr>
      </w:pPr>
      <w:r>
        <w:rPr>
          <w:rFonts w:ascii="SimSun" w:hAnsi="SimSun" w:eastAsia="SimSun" w:cs="SimSun"/>
          <w:sz w:val="22"/>
          <w:szCs w:val="22"/>
          <w:spacing w:val="-8"/>
        </w:rPr>
        <w:t>垃圾数据一旦产生，就需要我们在数据处理的过程当中，对</w:t>
      </w:r>
      <w:r>
        <w:rPr>
          <w:rFonts w:ascii="SimSun" w:hAnsi="SimSun" w:eastAsia="SimSun" w:cs="SimSun"/>
          <w:sz w:val="22"/>
          <w:szCs w:val="22"/>
          <w:spacing w:val="-9"/>
        </w:rPr>
        <w:t>垃圾数据进行过滤</w:t>
      </w:r>
      <w:r>
        <w:rPr>
          <w:rFonts w:ascii="SimSun" w:hAnsi="SimSun" w:eastAsia="SimSun" w:cs="SimSun"/>
          <w:sz w:val="22"/>
          <w:szCs w:val="22"/>
        </w:rPr>
        <w:t xml:space="preserve"> </w:t>
      </w:r>
      <w:r>
        <w:rPr>
          <w:rFonts w:ascii="SimSun" w:hAnsi="SimSun" w:eastAsia="SimSun" w:cs="SimSun"/>
          <w:sz w:val="22"/>
          <w:szCs w:val="22"/>
          <w:spacing w:val="-12"/>
        </w:rPr>
        <w:t>和清洗，并且自动决策这些数据的去留。这样的环境下，如果选择了一个坏的数据，</w:t>
      </w:r>
      <w:r>
        <w:rPr>
          <w:rFonts w:ascii="SimSun" w:hAnsi="SimSun" w:eastAsia="SimSun" w:cs="SimSun"/>
          <w:sz w:val="22"/>
          <w:szCs w:val="22"/>
          <w:spacing w:val="2"/>
        </w:rPr>
        <w:t xml:space="preserve"> </w:t>
      </w:r>
      <w:r>
        <w:rPr>
          <w:rFonts w:ascii="SimSun" w:hAnsi="SimSun" w:eastAsia="SimSun" w:cs="SimSun"/>
          <w:sz w:val="22"/>
          <w:szCs w:val="22"/>
          <w:spacing w:val="-10"/>
        </w:rPr>
        <w:t>就会像感染病毒一样，可能引发连续的错误决策，甚至让企业蒙受经济损失。</w:t>
      </w:r>
    </w:p>
    <w:p>
      <w:pPr>
        <w:ind w:left="703"/>
        <w:spacing w:before="66" w:line="222" w:lineRule="auto"/>
        <w:rPr>
          <w:rFonts w:ascii="SimHei" w:hAnsi="SimHei" w:eastAsia="SimHei" w:cs="SimHei"/>
          <w:sz w:val="22"/>
          <w:szCs w:val="22"/>
        </w:rPr>
      </w:pPr>
      <w:r>
        <w:rPr>
          <w:rFonts w:ascii="SimHei" w:hAnsi="SimHei" w:eastAsia="SimHei" w:cs="SimHei"/>
          <w:sz w:val="22"/>
          <w:szCs w:val="22"/>
          <w:b/>
          <w:bCs/>
          <w:spacing w:val="-3"/>
        </w:rPr>
        <w:t>例子1:未经治理的数据导致商业行为失败</w:t>
      </w:r>
    </w:p>
    <w:p>
      <w:pPr>
        <w:ind w:left="250" w:right="49" w:firstLine="449"/>
        <w:spacing w:before="40" w:line="241" w:lineRule="auto"/>
        <w:jc w:val="both"/>
        <w:rPr>
          <w:rFonts w:ascii="SimSun" w:hAnsi="SimSun" w:eastAsia="SimSun" w:cs="SimSun"/>
          <w:sz w:val="22"/>
          <w:szCs w:val="22"/>
        </w:rPr>
      </w:pPr>
      <w:r>
        <w:rPr>
          <w:rFonts w:ascii="SimSun" w:hAnsi="SimSun" w:eastAsia="SimSun" w:cs="SimSun"/>
          <w:sz w:val="22"/>
          <w:szCs w:val="22"/>
          <w:spacing w:val="-8"/>
        </w:rPr>
        <w:t>这个事例源于一个大型金融服务机构的客户呼叫中心。就</w:t>
      </w:r>
      <w:r>
        <w:rPr>
          <w:rFonts w:ascii="SimSun" w:hAnsi="SimSun" w:eastAsia="SimSun" w:cs="SimSun"/>
          <w:sz w:val="22"/>
          <w:szCs w:val="22"/>
          <w:spacing w:val="-9"/>
        </w:rPr>
        <w:t>像几乎所有的客服柜</w:t>
      </w:r>
      <w:r>
        <w:rPr>
          <w:rFonts w:ascii="SimSun" w:hAnsi="SimSun" w:eastAsia="SimSun" w:cs="SimSun"/>
          <w:sz w:val="22"/>
          <w:szCs w:val="22"/>
        </w:rPr>
        <w:t xml:space="preserve"> </w:t>
      </w:r>
      <w:r>
        <w:rPr>
          <w:rFonts w:ascii="SimSun" w:hAnsi="SimSun" w:eastAsia="SimSun" w:cs="SimSun"/>
          <w:sz w:val="22"/>
          <w:szCs w:val="22"/>
          <w:spacing w:val="-8"/>
        </w:rPr>
        <w:t>台一样，这里的客户服务代表们要做的就是接听电</w:t>
      </w:r>
      <w:r>
        <w:rPr>
          <w:rFonts w:ascii="SimSun" w:hAnsi="SimSun" w:eastAsia="SimSun" w:cs="SimSun"/>
          <w:sz w:val="22"/>
          <w:szCs w:val="22"/>
          <w:spacing w:val="-9"/>
        </w:rPr>
        <w:t>话，并把客户信息输入到一个共</w:t>
      </w:r>
      <w:r>
        <w:rPr>
          <w:rFonts w:ascii="SimSun" w:hAnsi="SimSun" w:eastAsia="SimSun" w:cs="SimSun"/>
          <w:sz w:val="22"/>
          <w:szCs w:val="22"/>
        </w:rPr>
        <w:t xml:space="preserve"> </w:t>
      </w:r>
      <w:r>
        <w:rPr>
          <w:rFonts w:ascii="SimSun" w:hAnsi="SimSun" w:eastAsia="SimSun" w:cs="SimSun"/>
          <w:sz w:val="22"/>
          <w:szCs w:val="22"/>
          <w:spacing w:val="-12"/>
        </w:rPr>
        <w:t>享数据库里。</w:t>
      </w:r>
    </w:p>
    <w:p>
      <w:pPr>
        <w:ind w:left="250" w:right="45" w:firstLine="449"/>
        <w:spacing w:before="68" w:line="252" w:lineRule="auto"/>
        <w:jc w:val="both"/>
        <w:rPr>
          <w:rFonts w:ascii="SimSun" w:hAnsi="SimSun" w:eastAsia="SimSun" w:cs="SimSun"/>
          <w:sz w:val="22"/>
          <w:szCs w:val="22"/>
        </w:rPr>
      </w:pPr>
      <w:r>
        <w:rPr>
          <w:rFonts w:ascii="SimSun" w:hAnsi="SimSun" w:eastAsia="SimSun" w:cs="SimSun"/>
          <w:sz w:val="22"/>
          <w:szCs w:val="22"/>
          <w:spacing w:val="-8"/>
        </w:rPr>
        <w:t>这个特殊的数据库里有一列是用来记录称谓的，并且是可编辑的</w:t>
      </w:r>
      <w:r>
        <w:rPr>
          <w:rFonts w:ascii="SimSun" w:hAnsi="SimSun" w:eastAsia="SimSun" w:cs="SimSun"/>
          <w:sz w:val="22"/>
          <w:szCs w:val="22"/>
          <w:spacing w:val="-9"/>
        </w:rPr>
        <w:t>。但是数据库</w:t>
      </w:r>
      <w:r>
        <w:rPr>
          <w:rFonts w:ascii="SimSun" w:hAnsi="SimSun" w:eastAsia="SimSun" w:cs="SimSun"/>
          <w:sz w:val="22"/>
          <w:szCs w:val="22"/>
        </w:rPr>
        <w:t xml:space="preserve"> </w:t>
      </w:r>
      <w:r>
        <w:rPr>
          <w:rFonts w:ascii="SimSun" w:hAnsi="SimSun" w:eastAsia="SimSun" w:cs="SimSun"/>
          <w:sz w:val="22"/>
          <w:szCs w:val="22"/>
          <w:spacing w:val="-14"/>
        </w:rPr>
        <w:t>管理员并没有对这一列的输入规则进行约束，例如只能输入“某某先生”、</w:t>
      </w:r>
      <w:r>
        <w:rPr>
          <w:rFonts w:ascii="SimSun" w:hAnsi="SimSun" w:eastAsia="SimSun" w:cs="SimSun"/>
          <w:sz w:val="22"/>
          <w:szCs w:val="22"/>
          <w:spacing w:val="-15"/>
        </w:rPr>
        <w:t>“某某女</w:t>
      </w:r>
      <w:r>
        <w:rPr>
          <w:rFonts w:ascii="SimSun" w:hAnsi="SimSun" w:eastAsia="SimSun" w:cs="SimSun"/>
          <w:sz w:val="22"/>
          <w:szCs w:val="22"/>
        </w:rPr>
        <w:t xml:space="preserve"> </w:t>
      </w:r>
      <w:r>
        <w:rPr>
          <w:rFonts w:ascii="SimSun" w:hAnsi="SimSun" w:eastAsia="SimSun" w:cs="SimSun"/>
          <w:sz w:val="22"/>
          <w:szCs w:val="22"/>
          <w:spacing w:val="-2"/>
        </w:rPr>
        <w:t>士”之类的称谓，反而可以接受客服代表输入的任何长达20或30字</w:t>
      </w:r>
      <w:r>
        <w:rPr>
          <w:rFonts w:ascii="SimSun" w:hAnsi="SimSun" w:eastAsia="SimSun" w:cs="SimSun"/>
          <w:sz w:val="22"/>
          <w:szCs w:val="22"/>
          <w:spacing w:val="-3"/>
        </w:rPr>
        <w:t>符的内容。在</w:t>
      </w:r>
      <w:r>
        <w:rPr>
          <w:rFonts w:ascii="SimSun" w:hAnsi="SimSun" w:eastAsia="SimSun" w:cs="SimSun"/>
          <w:sz w:val="22"/>
          <w:szCs w:val="22"/>
        </w:rPr>
        <w:t xml:space="preserve"> </w:t>
      </w:r>
      <w:r>
        <w:rPr>
          <w:rFonts w:ascii="SimSun" w:hAnsi="SimSun" w:eastAsia="SimSun" w:cs="SimSun"/>
          <w:sz w:val="22"/>
          <w:szCs w:val="22"/>
          <w:spacing w:val="-8"/>
        </w:rPr>
        <w:t>倾听一些客户愤怒的投诉时，部分客服代表就会给每条记录添加一些他们自己想出</w:t>
      </w:r>
      <w:r>
        <w:rPr>
          <w:rFonts w:ascii="SimSun" w:hAnsi="SimSun" w:eastAsia="SimSun" w:cs="SimSun"/>
          <w:sz w:val="22"/>
          <w:szCs w:val="22"/>
          <w:spacing w:val="2"/>
        </w:rPr>
        <w:t xml:space="preserve"> </w:t>
      </w:r>
      <w:r>
        <w:rPr>
          <w:rFonts w:ascii="SimSun" w:hAnsi="SimSun" w:eastAsia="SimSun" w:cs="SimSun"/>
          <w:sz w:val="22"/>
          <w:szCs w:val="22"/>
          <w:spacing w:val="-8"/>
        </w:rPr>
        <w:t>来的不完全友善的注释，例如“这个客户真是个白痴”这类的</w:t>
      </w:r>
      <w:r>
        <w:rPr>
          <w:rFonts w:ascii="SimSun" w:hAnsi="SimSun" w:eastAsia="SimSun" w:cs="SimSun"/>
          <w:sz w:val="22"/>
          <w:szCs w:val="22"/>
          <w:spacing w:val="-9"/>
        </w:rPr>
        <w:t>注释。</w:t>
      </w:r>
    </w:p>
    <w:p>
      <w:pPr>
        <w:ind w:left="250" w:right="50" w:firstLine="449"/>
        <w:spacing w:before="100" w:line="253" w:lineRule="auto"/>
        <w:jc w:val="both"/>
        <w:rPr>
          <w:rFonts w:ascii="SimSun" w:hAnsi="SimSun" w:eastAsia="SimSun" w:cs="SimSun"/>
          <w:sz w:val="22"/>
          <w:szCs w:val="22"/>
        </w:rPr>
      </w:pPr>
      <w:r>
        <w:rPr>
          <w:rFonts w:ascii="SimSun" w:hAnsi="SimSun" w:eastAsia="SimSun" w:cs="SimSun"/>
          <w:sz w:val="22"/>
          <w:szCs w:val="22"/>
          <w:spacing w:val="-8"/>
        </w:rPr>
        <w:t>这种情况持续了很多年，因为机构里的其他系统都不会</w:t>
      </w:r>
      <w:r>
        <w:rPr>
          <w:rFonts w:ascii="SimSun" w:hAnsi="SimSun" w:eastAsia="SimSun" w:cs="SimSun"/>
          <w:sz w:val="22"/>
          <w:szCs w:val="22"/>
          <w:spacing w:val="-9"/>
        </w:rPr>
        <w:t>从这个称谓列中提取数</w:t>
      </w:r>
      <w:r>
        <w:rPr>
          <w:rFonts w:ascii="SimSun" w:hAnsi="SimSun" w:eastAsia="SimSun" w:cs="SimSun"/>
          <w:sz w:val="22"/>
          <w:szCs w:val="22"/>
        </w:rPr>
        <w:t xml:space="preserve"> </w:t>
      </w:r>
      <w:r>
        <w:rPr>
          <w:rFonts w:ascii="SimSun" w:hAnsi="SimSun" w:eastAsia="SimSun" w:cs="SimSun"/>
          <w:sz w:val="22"/>
          <w:szCs w:val="22"/>
          <w:spacing w:val="-8"/>
        </w:rPr>
        <w:t>据，所以没有人注意到这一情况。其后某天，市场部决定发起一次直接邮寄活动来</w:t>
      </w:r>
      <w:r>
        <w:rPr>
          <w:rFonts w:ascii="SimSun" w:hAnsi="SimSun" w:eastAsia="SimSun" w:cs="SimSun"/>
          <w:sz w:val="22"/>
          <w:szCs w:val="22"/>
          <w:spacing w:val="16"/>
        </w:rPr>
        <w:t xml:space="preserve"> </w:t>
      </w:r>
      <w:r>
        <w:rPr>
          <w:rFonts w:ascii="SimSun" w:hAnsi="SimSun" w:eastAsia="SimSun" w:cs="SimSun"/>
          <w:sz w:val="22"/>
          <w:szCs w:val="22"/>
          <w:spacing w:val="-8"/>
        </w:rPr>
        <w:t>推广一项新服务。他们想出了一个绝妙的点子：与其花钱购买一份名单，不如利用</w:t>
      </w:r>
      <w:r>
        <w:rPr>
          <w:rFonts w:ascii="SimSun" w:hAnsi="SimSun" w:eastAsia="SimSun" w:cs="SimSun"/>
          <w:sz w:val="22"/>
          <w:szCs w:val="22"/>
          <w:spacing w:val="2"/>
        </w:rPr>
        <w:t xml:space="preserve"> </w:t>
      </w:r>
      <w:r>
        <w:rPr>
          <w:rFonts w:ascii="SimSun" w:hAnsi="SimSun" w:eastAsia="SimSun" w:cs="SimSun"/>
          <w:sz w:val="22"/>
          <w:szCs w:val="22"/>
          <w:spacing w:val="-8"/>
        </w:rPr>
        <w:t>客服柜台的数据库。于是，以诸如“亲爱的白痴客</w:t>
      </w:r>
      <w:r>
        <w:rPr>
          <w:rFonts w:ascii="SimSun" w:hAnsi="SimSun" w:eastAsia="SimSun" w:cs="SimSun"/>
          <w:sz w:val="22"/>
          <w:szCs w:val="22"/>
          <w:spacing w:val="-9"/>
        </w:rPr>
        <w:t>户林玲”这样的措词抬头的邮件</w:t>
      </w:r>
      <w:r>
        <w:rPr>
          <w:rFonts w:ascii="SimSun" w:hAnsi="SimSun" w:eastAsia="SimSun" w:cs="SimSun"/>
          <w:sz w:val="22"/>
          <w:szCs w:val="22"/>
        </w:rPr>
        <w:t xml:space="preserve"> </w:t>
      </w:r>
      <w:r>
        <w:rPr>
          <w:rFonts w:ascii="SimSun" w:hAnsi="SimSun" w:eastAsia="SimSun" w:cs="SimSun"/>
          <w:sz w:val="22"/>
          <w:szCs w:val="22"/>
          <w:spacing w:val="-8"/>
        </w:rPr>
        <w:t>开始源源不断地发到客户邮箱里。当然没有任何</w:t>
      </w:r>
      <w:r>
        <w:rPr>
          <w:rFonts w:ascii="SimSun" w:hAnsi="SimSun" w:eastAsia="SimSun" w:cs="SimSun"/>
          <w:sz w:val="22"/>
          <w:szCs w:val="22"/>
          <w:spacing w:val="-9"/>
        </w:rPr>
        <w:t>客户会签约使用这项新服务。该机</w:t>
      </w:r>
      <w:r>
        <w:rPr>
          <w:rFonts w:ascii="SimSun" w:hAnsi="SimSun" w:eastAsia="SimSun" w:cs="SimSun"/>
          <w:sz w:val="22"/>
          <w:szCs w:val="22"/>
        </w:rPr>
        <w:t xml:space="preserve"> </w:t>
      </w:r>
      <w:r>
        <w:rPr>
          <w:rFonts w:ascii="SimSun" w:hAnsi="SimSun" w:eastAsia="SimSun" w:cs="SimSun"/>
          <w:sz w:val="22"/>
          <w:szCs w:val="22"/>
          <w:spacing w:val="-10"/>
        </w:rPr>
        <w:t>构直到开始检查他们所发出的邮件时，才弄清楚前因后果。</w:t>
      </w:r>
    </w:p>
    <w:p>
      <w:pPr>
        <w:ind w:left="703"/>
        <w:spacing w:before="45" w:line="220" w:lineRule="auto"/>
        <w:rPr>
          <w:rFonts w:ascii="SimHei" w:hAnsi="SimHei" w:eastAsia="SimHei" w:cs="SimHei"/>
          <w:sz w:val="22"/>
          <w:szCs w:val="22"/>
        </w:rPr>
      </w:pPr>
      <w:r>
        <w:rPr>
          <w:rFonts w:ascii="SimHei" w:hAnsi="SimHei" w:eastAsia="SimHei" w:cs="SimHei"/>
          <w:sz w:val="22"/>
          <w:szCs w:val="22"/>
          <w:b/>
          <w:bCs/>
          <w:spacing w:val="-3"/>
        </w:rPr>
        <w:t>例子2:脏数据给带来更大的组织风险</w:t>
      </w:r>
    </w:p>
    <w:p>
      <w:pPr>
        <w:ind w:left="250" w:right="50" w:firstLine="449"/>
        <w:spacing w:before="52"/>
        <w:rPr>
          <w:rFonts w:ascii="SimSun" w:hAnsi="SimSun" w:eastAsia="SimSun" w:cs="SimSun"/>
          <w:sz w:val="22"/>
          <w:szCs w:val="22"/>
        </w:rPr>
      </w:pPr>
      <w:r>
        <w:rPr>
          <w:rFonts w:ascii="SimSun" w:hAnsi="SimSun" w:eastAsia="SimSun" w:cs="SimSun"/>
          <w:sz w:val="22"/>
          <w:szCs w:val="22"/>
          <w:spacing w:val="-8"/>
        </w:rPr>
        <w:t>对于诸如保险公司、投资公司、基金公司、通讯公司等</w:t>
      </w:r>
      <w:r>
        <w:rPr>
          <w:rFonts w:ascii="SimSun" w:hAnsi="SimSun" w:eastAsia="SimSun" w:cs="SimSun"/>
          <w:sz w:val="22"/>
          <w:szCs w:val="22"/>
          <w:spacing w:val="-9"/>
        </w:rPr>
        <w:t>拥有大量客户的服务类</w:t>
      </w:r>
      <w:r>
        <w:rPr>
          <w:rFonts w:ascii="SimSun" w:hAnsi="SimSun" w:eastAsia="SimSun" w:cs="SimSun"/>
          <w:sz w:val="22"/>
          <w:szCs w:val="22"/>
        </w:rPr>
        <w:t xml:space="preserve"> </w:t>
      </w:r>
      <w:r>
        <w:rPr>
          <w:rFonts w:ascii="SimSun" w:hAnsi="SimSun" w:eastAsia="SimSun" w:cs="SimSun"/>
          <w:sz w:val="22"/>
          <w:szCs w:val="22"/>
          <w:spacing w:val="-8"/>
        </w:rPr>
        <w:t>企业而言，客户数据是其重要的财富来源。然而，客户数据质量问题</w:t>
      </w:r>
      <w:r>
        <w:rPr>
          <w:rFonts w:ascii="SimSun" w:hAnsi="SimSun" w:eastAsia="SimSun" w:cs="SimSun"/>
          <w:sz w:val="22"/>
          <w:szCs w:val="22"/>
          <w:spacing w:val="-9"/>
        </w:rPr>
        <w:t>却一直是困扰</w:t>
      </w:r>
    </w:p>
    <w:p>
      <w:pPr>
        <w:sectPr>
          <w:footerReference w:type="default" r:id="rId241"/>
          <w:pgSz w:w="8870" w:h="13400"/>
          <w:pgMar w:top="400" w:right="510" w:bottom="475" w:left="409" w:header="0" w:footer="256" w:gutter="0"/>
        </w:sectPr>
        <w:rPr>
          <w:rFonts w:ascii="SimSun" w:hAnsi="SimSun" w:eastAsia="SimSun" w:cs="SimSun"/>
          <w:sz w:val="22"/>
          <w:szCs w:val="22"/>
        </w:rPr>
      </w:pPr>
    </w:p>
    <w:p>
      <w:pPr>
        <w:ind w:left="5482"/>
        <w:spacing w:before="19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pStyle w:val="BodyText"/>
        <w:spacing w:line="243" w:lineRule="auto"/>
        <w:rPr/>
      </w:pPr>
      <w:r/>
    </w:p>
    <w:p>
      <w:pPr>
        <w:ind w:right="237"/>
        <w:spacing w:before="68" w:line="269" w:lineRule="auto"/>
        <w:jc w:val="both"/>
        <w:rPr>
          <w:rFonts w:ascii="SimSun" w:hAnsi="SimSun" w:eastAsia="SimSun" w:cs="SimSun"/>
          <w:sz w:val="21"/>
          <w:szCs w:val="21"/>
        </w:rPr>
      </w:pPr>
      <w:r>
        <w:rPr>
          <w:rFonts w:ascii="SimSun" w:hAnsi="SimSun" w:eastAsia="SimSun" w:cs="SimSun"/>
          <w:sz w:val="21"/>
          <w:szCs w:val="21"/>
          <w:spacing w:val="1"/>
        </w:rPr>
        <w:t>企业开发新服务项目的绊脚石。在一项关于客户数据质量的调查研究中发现，平均</w:t>
      </w:r>
      <w:r>
        <w:rPr>
          <w:rFonts w:ascii="SimSun" w:hAnsi="SimSun" w:eastAsia="SimSun" w:cs="SimSun"/>
          <w:sz w:val="21"/>
          <w:szCs w:val="21"/>
          <w:spacing w:val="16"/>
        </w:rPr>
        <w:t xml:space="preserve"> </w:t>
      </w:r>
      <w:r>
        <w:rPr>
          <w:rFonts w:ascii="SimSun" w:hAnsi="SimSun" w:eastAsia="SimSun" w:cs="SimSun"/>
          <w:sz w:val="21"/>
          <w:szCs w:val="21"/>
          <w:spacing w:val="4"/>
        </w:rPr>
        <w:t>有8%～15%的客户数据记录存在各种问题。例如各种证件号码输入错误、联系方式</w:t>
      </w:r>
      <w:r>
        <w:rPr>
          <w:rFonts w:ascii="SimSun" w:hAnsi="SimSun" w:eastAsia="SimSun" w:cs="SimSun"/>
          <w:sz w:val="21"/>
          <w:szCs w:val="21"/>
        </w:rPr>
        <w:t xml:space="preserve"> </w:t>
      </w:r>
      <w:r>
        <w:rPr>
          <w:rFonts w:ascii="SimSun" w:hAnsi="SimSun" w:eastAsia="SimSun" w:cs="SimSun"/>
          <w:sz w:val="21"/>
          <w:szCs w:val="21"/>
          <w:spacing w:val="-2"/>
        </w:rPr>
        <w:t>过期等，其中有五分之一的数据问题是由于客户的死亡造成的。这些账号</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ID </w:t>
      </w:r>
      <w:r>
        <w:rPr>
          <w:rFonts w:ascii="SimSun" w:hAnsi="SimSun" w:eastAsia="SimSun" w:cs="SimSun"/>
          <w:sz w:val="21"/>
          <w:szCs w:val="21"/>
          <w:spacing w:val="-2"/>
        </w:rPr>
        <w:t>如果被</w:t>
      </w:r>
      <w:r>
        <w:rPr>
          <w:rFonts w:ascii="SimSun" w:hAnsi="SimSun" w:eastAsia="SimSun" w:cs="SimSun"/>
          <w:sz w:val="21"/>
          <w:szCs w:val="21"/>
        </w:rPr>
        <w:t xml:space="preserve"> </w:t>
      </w:r>
      <w:r>
        <w:rPr>
          <w:rFonts w:ascii="SimSun" w:hAnsi="SimSun" w:eastAsia="SimSun" w:cs="SimSun"/>
          <w:sz w:val="21"/>
          <w:szCs w:val="21"/>
          <w:spacing w:val="1"/>
        </w:rPr>
        <w:t>欺诈和盗窃，必会导致更为严重的现实问题，例如已故客户的商业利益被陌生人兑</w:t>
      </w:r>
      <w:r>
        <w:rPr>
          <w:rFonts w:ascii="SimSun" w:hAnsi="SimSun" w:eastAsia="SimSun" w:cs="SimSun"/>
          <w:sz w:val="21"/>
          <w:szCs w:val="21"/>
          <w:spacing w:val="13"/>
        </w:rPr>
        <w:t xml:space="preserve"> </w:t>
      </w:r>
      <w:r>
        <w:rPr>
          <w:rFonts w:ascii="SimSun" w:hAnsi="SimSun" w:eastAsia="SimSun" w:cs="SimSun"/>
          <w:sz w:val="21"/>
          <w:szCs w:val="21"/>
          <w:spacing w:val="-3"/>
        </w:rPr>
        <w:t>现，资产继承权被剥夺，公司机密泄漏等。</w:t>
      </w:r>
    </w:p>
    <w:p>
      <w:pPr>
        <w:ind w:right="214" w:firstLine="440"/>
        <w:spacing w:before="71" w:line="265" w:lineRule="auto"/>
        <w:rPr>
          <w:rFonts w:ascii="SimSun" w:hAnsi="SimSun" w:eastAsia="SimSun" w:cs="SimSun"/>
          <w:sz w:val="21"/>
          <w:szCs w:val="21"/>
        </w:rPr>
      </w:pPr>
      <w:r>
        <w:rPr>
          <w:rFonts w:ascii="SimSun" w:hAnsi="SimSun" w:eastAsia="SimSun" w:cs="SimSun"/>
          <w:sz w:val="21"/>
          <w:szCs w:val="21"/>
          <w:spacing w:val="-2"/>
        </w:rPr>
        <w:t>在独立研究机构</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Ovum</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2"/>
        </w:rPr>
        <w:t>公布的题为“优化企业应用：数据连接”的研究报告指</w:t>
      </w:r>
      <w:r>
        <w:rPr>
          <w:rFonts w:ascii="SimSun" w:hAnsi="SimSun" w:eastAsia="SimSun" w:cs="SimSun"/>
          <w:sz w:val="21"/>
          <w:szCs w:val="21"/>
        </w:rPr>
        <w:t xml:space="preserve"> </w:t>
      </w:r>
      <w:r>
        <w:rPr>
          <w:rFonts w:ascii="SimSun" w:hAnsi="SimSun" w:eastAsia="SimSun" w:cs="SimSun"/>
          <w:sz w:val="21"/>
          <w:szCs w:val="21"/>
          <w:spacing w:val="2"/>
        </w:rPr>
        <w:t>出：数据蔓延和劣质数据是导致不良应用程序管理和性能的罪魁祸首，直指低劣的</w:t>
      </w:r>
      <w:r>
        <w:rPr>
          <w:rFonts w:ascii="SimSun" w:hAnsi="SimSun" w:eastAsia="SimSun" w:cs="SimSun"/>
          <w:sz w:val="21"/>
          <w:szCs w:val="21"/>
          <w:spacing w:val="3"/>
        </w:rPr>
        <w:t xml:space="preserve"> </w:t>
      </w:r>
      <w:r>
        <w:rPr>
          <w:rFonts w:ascii="SimSun" w:hAnsi="SimSun" w:eastAsia="SimSun" w:cs="SimSun"/>
          <w:sz w:val="21"/>
          <w:szCs w:val="21"/>
          <w:spacing w:val="-4"/>
        </w:rPr>
        <w:t>数据与实施或运行应用程序的初衷背道而驰。“无论应用平台的架构有多么精良，或</w:t>
      </w:r>
      <w:r>
        <w:rPr>
          <w:rFonts w:ascii="SimSun" w:hAnsi="SimSun" w:eastAsia="SimSun" w:cs="SimSun"/>
          <w:sz w:val="21"/>
          <w:szCs w:val="21"/>
          <w:spacing w:val="6"/>
        </w:rPr>
        <w:t xml:space="preserve"> </w:t>
      </w:r>
      <w:r>
        <w:rPr>
          <w:rFonts w:ascii="SimSun" w:hAnsi="SimSun" w:eastAsia="SimSun" w:cs="SimSun"/>
          <w:sz w:val="21"/>
          <w:szCs w:val="21"/>
          <w:spacing w:val="1"/>
        </w:rPr>
        <w:t>开发团队的效率有多高，在基础数据及其管理策略存在缺陷的情况下，所有为改进</w:t>
      </w:r>
      <w:r>
        <w:rPr>
          <w:rFonts w:ascii="SimSun" w:hAnsi="SimSun" w:eastAsia="SimSun" w:cs="SimSun"/>
          <w:sz w:val="21"/>
          <w:szCs w:val="21"/>
          <w:spacing w:val="11"/>
        </w:rPr>
        <w:t xml:space="preserve"> </w:t>
      </w:r>
      <w:r>
        <w:rPr>
          <w:rFonts w:ascii="SimSun" w:hAnsi="SimSun" w:eastAsia="SimSun" w:cs="SimSun"/>
          <w:sz w:val="21"/>
          <w:szCs w:val="21"/>
          <w:spacing w:val="-3"/>
        </w:rPr>
        <w:t>应用管理和交付所做的努力都将是徒劳无功的。”</w:t>
      </w:r>
      <w:r>
        <w:rPr>
          <w:rFonts w:ascii="Times New Roman" w:hAnsi="Times New Roman" w:eastAsia="Times New Roman" w:cs="Times New Roman"/>
          <w:sz w:val="21"/>
          <w:szCs w:val="21"/>
          <w:spacing w:val="-3"/>
        </w:rPr>
        <w:t>Ovum</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也对位于</w:t>
      </w:r>
      <w:r>
        <w:rPr>
          <w:rFonts w:ascii="SimSun" w:hAnsi="SimSun" w:eastAsia="SimSun" w:cs="SimSun"/>
          <w:sz w:val="21"/>
          <w:szCs w:val="21"/>
          <w:spacing w:val="-4"/>
        </w:rPr>
        <w:t>北美、澳大利亚和</w:t>
      </w:r>
      <w:r>
        <w:rPr>
          <w:rFonts w:ascii="SimSun" w:hAnsi="SimSun" w:eastAsia="SimSun" w:cs="SimSun"/>
          <w:sz w:val="21"/>
          <w:szCs w:val="21"/>
        </w:rPr>
        <w:t xml:space="preserve"> </w:t>
      </w:r>
      <w:r>
        <w:rPr>
          <w:rFonts w:ascii="SimSun" w:hAnsi="SimSun" w:eastAsia="SimSun" w:cs="SimSun"/>
          <w:sz w:val="21"/>
          <w:szCs w:val="21"/>
          <w:spacing w:val="2"/>
        </w:rPr>
        <w:t>英国的146家大型企业中的高层</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主管人员进</w:t>
      </w:r>
      <w:r>
        <w:rPr>
          <w:rFonts w:ascii="SimSun" w:hAnsi="SimSun" w:eastAsia="SimSun" w:cs="SimSun"/>
          <w:sz w:val="21"/>
          <w:szCs w:val="21"/>
          <w:spacing w:val="1"/>
        </w:rPr>
        <w:t>行了调查。调查结果显示，影响应用</w:t>
      </w:r>
      <w:r>
        <w:rPr>
          <w:rFonts w:ascii="SimSun" w:hAnsi="SimSun" w:eastAsia="SimSun" w:cs="SimSun"/>
          <w:sz w:val="21"/>
          <w:szCs w:val="21"/>
        </w:rPr>
        <w:t xml:space="preserve"> </w:t>
      </w:r>
      <w:r>
        <w:rPr>
          <w:rFonts w:ascii="SimSun" w:hAnsi="SimSun" w:eastAsia="SimSun" w:cs="SimSun"/>
          <w:sz w:val="21"/>
          <w:szCs w:val="21"/>
          <w:spacing w:val="-1"/>
        </w:rPr>
        <w:t>可持续性的重要原因在于数据方面的问题。数据质量的主要挑战包</w:t>
      </w:r>
      <w:r>
        <w:rPr>
          <w:rFonts w:ascii="SimSun" w:hAnsi="SimSun" w:eastAsia="SimSun" w:cs="SimSun"/>
          <w:sz w:val="21"/>
          <w:szCs w:val="21"/>
          <w:spacing w:val="-2"/>
        </w:rPr>
        <w:t>括以下四点。</w:t>
      </w:r>
    </w:p>
    <w:p>
      <w:pPr>
        <w:ind w:right="214" w:firstLine="440"/>
        <w:spacing w:before="59" w:line="247" w:lineRule="auto"/>
        <w:rPr>
          <w:rFonts w:ascii="SimSun" w:hAnsi="SimSun" w:eastAsia="SimSun" w:cs="SimSun"/>
          <w:sz w:val="21"/>
          <w:szCs w:val="21"/>
        </w:rPr>
      </w:pPr>
      <w:r>
        <w:rPr>
          <w:rFonts w:ascii="SimSun" w:hAnsi="SimSun" w:eastAsia="SimSun" w:cs="SimSun"/>
          <w:sz w:val="21"/>
          <w:szCs w:val="21"/>
          <w:spacing w:val="11"/>
        </w:rPr>
        <w:t>(1)应用交付。提供清洁、可信的数据，合规性与及时访问被列为</w:t>
      </w:r>
      <w:r>
        <w:rPr>
          <w:rFonts w:ascii="SimSun" w:hAnsi="SimSun" w:eastAsia="SimSun" w:cs="SimSun"/>
          <w:sz w:val="21"/>
          <w:szCs w:val="21"/>
          <w:spacing w:val="10"/>
        </w:rPr>
        <w:t>最主要的</w:t>
      </w:r>
      <w:r>
        <w:rPr>
          <w:rFonts w:ascii="SimSun" w:hAnsi="SimSun" w:eastAsia="SimSun" w:cs="SimSun"/>
          <w:sz w:val="21"/>
          <w:szCs w:val="21"/>
        </w:rPr>
        <w:t xml:space="preserve"> </w:t>
      </w:r>
      <w:r>
        <w:rPr>
          <w:rFonts w:ascii="SimSun" w:hAnsi="SimSun" w:eastAsia="SimSun" w:cs="SimSun"/>
          <w:sz w:val="21"/>
          <w:szCs w:val="21"/>
          <w:spacing w:val="-13"/>
        </w:rPr>
        <w:t>挑战；</w:t>
      </w:r>
    </w:p>
    <w:p>
      <w:pPr>
        <w:ind w:right="192" w:firstLine="440"/>
        <w:spacing w:before="68" w:line="241" w:lineRule="auto"/>
        <w:rPr>
          <w:rFonts w:ascii="SimSun" w:hAnsi="SimSun" w:eastAsia="SimSun" w:cs="SimSun"/>
          <w:sz w:val="21"/>
          <w:szCs w:val="21"/>
        </w:rPr>
      </w:pPr>
      <w:r>
        <w:rPr>
          <w:rFonts w:ascii="SimSun" w:hAnsi="SimSun" w:eastAsia="SimSun" w:cs="SimSun"/>
          <w:sz w:val="21"/>
          <w:szCs w:val="21"/>
          <w:spacing w:val="8"/>
        </w:rPr>
        <w:t>(2)应用性能。性能问题令将近85%的受访公司困扰不已，元凶是缺乏标准化</w:t>
      </w:r>
      <w:r>
        <w:rPr>
          <w:rFonts w:ascii="SimSun" w:hAnsi="SimSun" w:eastAsia="SimSun" w:cs="SimSun"/>
          <w:sz w:val="21"/>
          <w:szCs w:val="21"/>
        </w:rPr>
        <w:t xml:space="preserve"> </w:t>
      </w:r>
      <w:r>
        <w:rPr>
          <w:rFonts w:ascii="SimSun" w:hAnsi="SimSun" w:eastAsia="SimSun" w:cs="SimSun"/>
          <w:sz w:val="21"/>
          <w:szCs w:val="21"/>
          <w:spacing w:val="6"/>
        </w:rPr>
        <w:t>数据、低效(或缺乏)归档政策，其次是依赖过多的点对点界面；</w:t>
      </w:r>
    </w:p>
    <w:p>
      <w:pPr>
        <w:ind w:right="188" w:firstLine="440"/>
        <w:spacing w:before="61" w:line="246" w:lineRule="auto"/>
        <w:rPr>
          <w:rFonts w:ascii="SimSun" w:hAnsi="SimSun" w:eastAsia="SimSun" w:cs="SimSun"/>
          <w:sz w:val="21"/>
          <w:szCs w:val="21"/>
        </w:rPr>
      </w:pPr>
      <w:r>
        <w:rPr>
          <w:rFonts w:ascii="SimSun" w:hAnsi="SimSun" w:eastAsia="SimSun" w:cs="SimSun"/>
          <w:sz w:val="21"/>
          <w:szCs w:val="21"/>
          <w:spacing w:val="11"/>
        </w:rPr>
        <w:t>(3)应用数据管理。数据可靠性牵涉到所有应用程序，平</w:t>
      </w:r>
      <w:r>
        <w:rPr>
          <w:rFonts w:ascii="SimSun" w:hAnsi="SimSun" w:eastAsia="SimSun" w:cs="SimSun"/>
          <w:sz w:val="21"/>
          <w:szCs w:val="21"/>
          <w:spacing w:val="10"/>
        </w:rPr>
        <w:t>均20%～30%的数据</w:t>
      </w:r>
      <w:r>
        <w:rPr>
          <w:rFonts w:ascii="SimSun" w:hAnsi="SimSun" w:eastAsia="SimSun" w:cs="SimSun"/>
          <w:sz w:val="21"/>
          <w:szCs w:val="21"/>
        </w:rPr>
        <w:t xml:space="preserve"> </w:t>
      </w:r>
      <w:r>
        <w:rPr>
          <w:rFonts w:ascii="SimSun" w:hAnsi="SimSun" w:eastAsia="SimSun" w:cs="SimSun"/>
          <w:sz w:val="21"/>
          <w:szCs w:val="21"/>
          <w:spacing w:val="-3"/>
        </w:rPr>
        <w:t>是重复的，这导致了应用程序维护成本的持续增长；</w:t>
      </w:r>
    </w:p>
    <w:p>
      <w:pPr>
        <w:ind w:left="440"/>
        <w:spacing w:before="62" w:line="219" w:lineRule="auto"/>
        <w:rPr>
          <w:rFonts w:ascii="SimSun" w:hAnsi="SimSun" w:eastAsia="SimSun" w:cs="SimSun"/>
          <w:sz w:val="21"/>
          <w:szCs w:val="21"/>
        </w:rPr>
      </w:pPr>
      <w:r>
        <w:rPr>
          <w:rFonts w:ascii="SimSun" w:hAnsi="SimSun" w:eastAsia="SimSun" w:cs="SimSun"/>
          <w:sz w:val="21"/>
          <w:szCs w:val="21"/>
          <w:spacing w:val="2"/>
        </w:rPr>
        <w:t>(4)此外，与数据迁移、同步和保留相关的问题亦在其中。</w:t>
      </w:r>
    </w:p>
    <w:p>
      <w:pPr>
        <w:ind w:left="4"/>
        <w:spacing w:before="311" w:line="224" w:lineRule="auto"/>
        <w:outlineLvl w:val="3"/>
        <w:rPr>
          <w:rFonts w:ascii="YouYuan" w:hAnsi="YouYuan" w:eastAsia="YouYuan" w:cs="YouYuan"/>
          <w:sz w:val="29"/>
          <w:szCs w:val="29"/>
        </w:rPr>
      </w:pPr>
      <w:r>
        <w:rPr>
          <w:rFonts w:ascii="YouYuan" w:hAnsi="YouYuan" w:eastAsia="YouYuan" w:cs="YouYuan"/>
          <w:sz w:val="29"/>
          <w:szCs w:val="29"/>
          <w:b/>
          <w:bCs/>
          <w:spacing w:val="-9"/>
        </w:rPr>
        <w:t>6.1.2</w:t>
      </w:r>
      <w:r>
        <w:rPr>
          <w:rFonts w:ascii="YouYuan" w:hAnsi="YouYuan" w:eastAsia="YouYuan" w:cs="YouYuan"/>
          <w:sz w:val="29"/>
          <w:szCs w:val="29"/>
          <w:spacing w:val="141"/>
        </w:rPr>
        <w:t xml:space="preserve"> </w:t>
      </w:r>
      <w:r>
        <w:rPr>
          <w:rFonts w:ascii="YouYuan" w:hAnsi="YouYuan" w:eastAsia="YouYuan" w:cs="YouYuan"/>
          <w:sz w:val="29"/>
          <w:szCs w:val="29"/>
          <w:b/>
          <w:bCs/>
          <w:spacing w:val="-9"/>
        </w:rPr>
        <w:t>内容与关联性</w:t>
      </w:r>
    </w:p>
    <w:p>
      <w:pPr>
        <w:pStyle w:val="BodyText"/>
        <w:spacing w:line="257" w:lineRule="auto"/>
        <w:rPr/>
      </w:pPr>
      <w:r/>
    </w:p>
    <w:p>
      <w:pPr>
        <w:ind w:right="146" w:firstLine="440"/>
        <w:spacing w:before="68" w:line="262" w:lineRule="auto"/>
        <w:jc w:val="both"/>
        <w:rPr>
          <w:rFonts w:ascii="SimSun" w:hAnsi="SimSun" w:eastAsia="SimSun" w:cs="SimSun"/>
          <w:sz w:val="21"/>
          <w:szCs w:val="21"/>
        </w:rPr>
      </w:pPr>
      <w:r>
        <w:rPr>
          <w:rFonts w:ascii="SimSun" w:hAnsi="SimSun" w:eastAsia="SimSun" w:cs="SimSun"/>
          <w:sz w:val="21"/>
          <w:szCs w:val="21"/>
          <w:spacing w:val="2"/>
        </w:rPr>
        <w:t>数据质量职能域通过定义和实施检测、评估以及清理数据缺陷，确保数据能够</w:t>
      </w:r>
      <w:r>
        <w:rPr>
          <w:rFonts w:ascii="SimSun" w:hAnsi="SimSun" w:eastAsia="SimSun" w:cs="SimSun"/>
          <w:sz w:val="21"/>
          <w:szCs w:val="21"/>
          <w:spacing w:val="12"/>
        </w:rPr>
        <w:t xml:space="preserve"> </w:t>
      </w:r>
      <w:r>
        <w:rPr>
          <w:rFonts w:ascii="SimSun" w:hAnsi="SimSun" w:eastAsia="SimSun" w:cs="SimSun"/>
          <w:sz w:val="21"/>
          <w:szCs w:val="21"/>
          <w:spacing w:val="1"/>
        </w:rPr>
        <w:t>满足其在业务运营、决策制订以及商业策划上的预期用途。整个职能域对云端数据</w:t>
      </w:r>
      <w:r>
        <w:rPr>
          <w:rFonts w:ascii="SimSun" w:hAnsi="SimSun" w:eastAsia="SimSun" w:cs="SimSun"/>
          <w:sz w:val="21"/>
          <w:szCs w:val="21"/>
          <w:spacing w:val="7"/>
        </w:rPr>
        <w:t xml:space="preserve">  </w:t>
      </w:r>
      <w:r>
        <w:rPr>
          <w:rFonts w:ascii="SimSun" w:hAnsi="SimSun" w:eastAsia="SimSun" w:cs="SimSun"/>
          <w:sz w:val="21"/>
          <w:szCs w:val="21"/>
          <w:spacing w:val="2"/>
        </w:rPr>
        <w:t>从需求、采集、清洗、分类、应用、存储、</w:t>
      </w:r>
      <w:r>
        <w:rPr>
          <w:rFonts w:ascii="SimSun" w:hAnsi="SimSun" w:eastAsia="SimSun" w:cs="SimSun"/>
          <w:sz w:val="21"/>
          <w:szCs w:val="21"/>
          <w:spacing w:val="1"/>
        </w:rPr>
        <w:t>共享、维护、归档、消亡等生命周期的</w:t>
      </w:r>
      <w:r>
        <w:rPr>
          <w:rFonts w:ascii="SimSun" w:hAnsi="SimSun" w:eastAsia="SimSun" w:cs="SimSun"/>
          <w:sz w:val="21"/>
          <w:szCs w:val="21"/>
        </w:rPr>
        <w:t xml:space="preserve">  </w:t>
      </w:r>
      <w:r>
        <w:rPr>
          <w:rFonts w:ascii="SimSun" w:hAnsi="SimSun" w:eastAsia="SimSun" w:cs="SimSun"/>
          <w:sz w:val="21"/>
          <w:szCs w:val="21"/>
          <w:spacing w:val="1"/>
        </w:rPr>
        <w:t>每个阶段里可能引发的各类数据质量问题，进行识别、度量、评估、监控、预警等</w:t>
      </w:r>
      <w:r>
        <w:rPr>
          <w:rFonts w:ascii="SimSun" w:hAnsi="SimSun" w:eastAsia="SimSun" w:cs="SimSun"/>
          <w:sz w:val="21"/>
          <w:szCs w:val="21"/>
          <w:spacing w:val="6"/>
        </w:rPr>
        <w:t xml:space="preserve">  </w:t>
      </w:r>
      <w:r>
        <w:rPr>
          <w:rFonts w:ascii="SimSun" w:hAnsi="SimSun" w:eastAsia="SimSun" w:cs="SimSun"/>
          <w:sz w:val="21"/>
          <w:szCs w:val="21"/>
          <w:spacing w:val="-2"/>
        </w:rPr>
        <w:t>一系列管理活动，并通过改善和提高组织的管理水平使得数据质量获得进一步提高。</w:t>
      </w:r>
    </w:p>
    <w:p>
      <w:pPr>
        <w:ind w:right="227" w:firstLine="440"/>
        <w:spacing w:before="80" w:line="262" w:lineRule="auto"/>
        <w:jc w:val="both"/>
        <w:rPr>
          <w:rFonts w:ascii="SimSun" w:hAnsi="SimSun" w:eastAsia="SimSun" w:cs="SimSun"/>
          <w:sz w:val="21"/>
          <w:szCs w:val="21"/>
        </w:rPr>
      </w:pPr>
      <w:r>
        <w:rPr>
          <w:rFonts w:ascii="SimSun" w:hAnsi="SimSun" w:eastAsia="SimSun" w:cs="SimSun"/>
          <w:sz w:val="21"/>
          <w:szCs w:val="21"/>
          <w:spacing w:val="1"/>
        </w:rPr>
        <w:t>数据质量职能域中包含的过程域有：数据质量战略、数据概要</w:t>
      </w:r>
      <w:r>
        <w:rPr>
          <w:rFonts w:ascii="SimSun" w:hAnsi="SimSun" w:eastAsia="SimSun" w:cs="SimSun"/>
          <w:sz w:val="21"/>
          <w:szCs w:val="21"/>
        </w:rPr>
        <w:t>分析、数据质量 </w:t>
      </w:r>
      <w:r>
        <w:rPr>
          <w:rFonts w:ascii="SimSun" w:hAnsi="SimSun" w:eastAsia="SimSun" w:cs="SimSun"/>
          <w:sz w:val="21"/>
          <w:szCs w:val="21"/>
          <w:spacing w:val="2"/>
        </w:rPr>
        <w:t>评估和数据清洗。通过这四个过程域，使组织能够充分理解其</w:t>
      </w:r>
      <w:r>
        <w:rPr>
          <w:rFonts w:ascii="SimSun" w:hAnsi="SimSun" w:eastAsia="SimSun" w:cs="SimSun"/>
          <w:sz w:val="21"/>
          <w:szCs w:val="21"/>
          <w:spacing w:val="1"/>
        </w:rPr>
        <w:t>管理的数据属性和质</w:t>
      </w:r>
      <w:r>
        <w:rPr>
          <w:rFonts w:ascii="SimSun" w:hAnsi="SimSun" w:eastAsia="SimSun" w:cs="SimSun"/>
          <w:sz w:val="21"/>
          <w:szCs w:val="21"/>
        </w:rPr>
        <w:t xml:space="preserve"> </w:t>
      </w:r>
      <w:r>
        <w:rPr>
          <w:rFonts w:ascii="SimSun" w:hAnsi="SimSun" w:eastAsia="SimSun" w:cs="SimSun"/>
          <w:sz w:val="21"/>
          <w:szCs w:val="21"/>
          <w:spacing w:val="1"/>
        </w:rPr>
        <w:t>量，还包括评估、阻止和修正缺陷的机制，并确保数据质量能够达到组织的业务目</w:t>
      </w:r>
      <w:r>
        <w:rPr>
          <w:rFonts w:ascii="SimSun" w:hAnsi="SimSun" w:eastAsia="SimSun" w:cs="SimSun"/>
          <w:sz w:val="21"/>
          <w:szCs w:val="21"/>
          <w:spacing w:val="3"/>
        </w:rPr>
        <w:t xml:space="preserve"> </w:t>
      </w:r>
      <w:r>
        <w:rPr>
          <w:rFonts w:ascii="SimSun" w:hAnsi="SimSun" w:eastAsia="SimSun" w:cs="SimSun"/>
          <w:sz w:val="21"/>
          <w:szCs w:val="21"/>
          <w:spacing w:val="1"/>
        </w:rPr>
        <w:t>标和整体的战略目标。简而言之，这些过程域共同组成了由数据质量战略驱动的完</w:t>
      </w:r>
      <w:r>
        <w:rPr>
          <w:rFonts w:ascii="SimSun" w:hAnsi="SimSun" w:eastAsia="SimSun" w:cs="SimSun"/>
          <w:sz w:val="21"/>
          <w:szCs w:val="21"/>
          <w:spacing w:val="13"/>
        </w:rPr>
        <w:t xml:space="preserve"> </w:t>
      </w:r>
      <w:r>
        <w:rPr>
          <w:rFonts w:ascii="SimSun" w:hAnsi="SimSun" w:eastAsia="SimSun" w:cs="SimSun"/>
          <w:sz w:val="21"/>
          <w:szCs w:val="21"/>
          <w:spacing w:val="-10"/>
        </w:rPr>
        <w:t>整数据质量计划。</w:t>
      </w:r>
    </w:p>
    <w:p>
      <w:pPr>
        <w:ind w:right="221" w:firstLine="440"/>
        <w:spacing w:before="90" w:line="249" w:lineRule="auto"/>
        <w:jc w:val="both"/>
        <w:rPr>
          <w:rFonts w:ascii="SimSun" w:hAnsi="SimSun" w:eastAsia="SimSun" w:cs="SimSun"/>
          <w:sz w:val="21"/>
          <w:szCs w:val="21"/>
        </w:rPr>
      </w:pPr>
      <w:r>
        <w:rPr>
          <w:rFonts w:ascii="SimSun" w:hAnsi="SimSun" w:eastAsia="SimSun" w:cs="SimSun"/>
          <w:sz w:val="21"/>
          <w:szCs w:val="21"/>
          <w:spacing w:val="4"/>
        </w:rPr>
        <w:t>(1)数据质量战略是所有数据质量管理活动的基础。它描述了数据质量的相关</w:t>
      </w:r>
      <w:r>
        <w:rPr>
          <w:rFonts w:ascii="SimSun" w:hAnsi="SimSun" w:eastAsia="SimSun" w:cs="SimSun"/>
          <w:sz w:val="21"/>
          <w:szCs w:val="21"/>
          <w:spacing w:val="13"/>
        </w:rPr>
        <w:t xml:space="preserve"> </w:t>
      </w:r>
      <w:r>
        <w:rPr>
          <w:rFonts w:ascii="SimSun" w:hAnsi="SimSun" w:eastAsia="SimSun" w:cs="SimSun"/>
          <w:sz w:val="21"/>
          <w:szCs w:val="21"/>
          <w:spacing w:val="1"/>
        </w:rPr>
        <w:t>活动，这些活动帮助组织确保数据质量满足业务需求。数据质量战略过程域定义了</w:t>
      </w:r>
      <w:r>
        <w:rPr>
          <w:rFonts w:ascii="SimSun" w:hAnsi="SimSun" w:eastAsia="SimSun" w:cs="SimSun"/>
          <w:sz w:val="21"/>
          <w:szCs w:val="21"/>
          <w:spacing w:val="10"/>
        </w:rPr>
        <w:t xml:space="preserve"> </w:t>
      </w:r>
      <w:r>
        <w:rPr>
          <w:rFonts w:ascii="SimSun" w:hAnsi="SimSun" w:eastAsia="SimSun" w:cs="SimSun"/>
          <w:sz w:val="21"/>
          <w:szCs w:val="21"/>
          <w:spacing w:val="-9"/>
        </w:rPr>
        <w:t>一系列数据质量目标；</w:t>
      </w:r>
    </w:p>
    <w:p>
      <w:pPr>
        <w:ind w:left="440"/>
        <w:spacing w:before="69" w:line="218" w:lineRule="auto"/>
        <w:rPr>
          <w:rFonts w:ascii="SimSun" w:hAnsi="SimSun" w:eastAsia="SimSun" w:cs="SimSun"/>
          <w:sz w:val="21"/>
          <w:szCs w:val="21"/>
        </w:rPr>
      </w:pPr>
      <w:r>
        <w:rPr>
          <w:rFonts w:ascii="SimSun" w:hAnsi="SimSun" w:eastAsia="SimSun" w:cs="SimSun"/>
          <w:sz w:val="21"/>
          <w:szCs w:val="21"/>
          <w:spacing w:val="4"/>
        </w:rPr>
        <w:t>(2)数据概要分析和数据质量评估过程域帮助组织对照以上质量目标来评估组</w:t>
      </w:r>
    </w:p>
    <w:p>
      <w:pPr>
        <w:spacing w:line="218" w:lineRule="auto"/>
        <w:sectPr>
          <w:footerReference w:type="default" r:id="rId242"/>
          <w:pgSz w:w="8870" w:h="13400"/>
          <w:pgMar w:top="400" w:right="598" w:bottom="568" w:left="419" w:header="0" w:footer="358" w:gutter="0"/>
        </w:sectPr>
        <w:rPr>
          <w:rFonts w:ascii="SimSun" w:hAnsi="SimSun" w:eastAsia="SimSun" w:cs="SimSun"/>
          <w:sz w:val="21"/>
          <w:szCs w:val="21"/>
        </w:rPr>
      </w:pPr>
    </w:p>
    <w:p>
      <w:pPr>
        <w:ind w:left="222"/>
        <w:spacing w:before="246" w:line="219" w:lineRule="auto"/>
        <w:rPr>
          <w:rFonts w:ascii="SimSun" w:hAnsi="SimSun" w:eastAsia="SimSun" w:cs="SimSun"/>
          <w:sz w:val="22"/>
          <w:szCs w:val="22"/>
        </w:rPr>
      </w:pPr>
      <w:r>
        <w:pict>
          <v:rect id="_x0000_s370" style="position:absolute;margin-left:25.998pt;margin-top:28.5018pt;mso-position-vertical-relative:page;mso-position-horizontal-relative:page;width:0.55pt;height:17.55pt;z-index:254557184;" o:allowincell="f" fillcolor="#000000" filled="true" stroked="false"/>
        </w:pict>
      </w:r>
      <w:r>
        <w:rPr>
          <w:rFonts w:ascii="SimSun" w:hAnsi="SimSun" w:eastAsia="SimSun" w:cs="SimSun"/>
          <w:sz w:val="22"/>
          <w:szCs w:val="22"/>
          <w:b/>
          <w:bCs/>
          <w:spacing w:val="-32"/>
        </w:rPr>
        <w:t>■云端数据治理：</w:t>
      </w:r>
    </w:p>
    <w:p>
      <w:pPr>
        <w:pStyle w:val="BodyText"/>
        <w:spacing w:line="249" w:lineRule="auto"/>
        <w:rPr/>
      </w:pPr>
      <w:r/>
    </w:p>
    <w:p>
      <w:pPr>
        <w:ind w:left="219"/>
        <w:spacing w:before="71" w:line="219" w:lineRule="auto"/>
        <w:rPr>
          <w:rFonts w:ascii="SimSun" w:hAnsi="SimSun" w:eastAsia="SimSun" w:cs="SimSun"/>
          <w:sz w:val="22"/>
          <w:szCs w:val="22"/>
        </w:rPr>
      </w:pPr>
      <w:r>
        <w:rPr>
          <w:rFonts w:ascii="SimSun" w:hAnsi="SimSun" w:eastAsia="SimSun" w:cs="SimSun"/>
          <w:sz w:val="22"/>
          <w:szCs w:val="22"/>
          <w:spacing w:val="-14"/>
        </w:rPr>
        <w:t>织管理的数据；</w:t>
      </w:r>
    </w:p>
    <w:p>
      <w:pPr>
        <w:ind w:left="219" w:right="52" w:firstLine="470"/>
        <w:spacing w:before="57" w:line="232" w:lineRule="auto"/>
        <w:rPr>
          <w:rFonts w:ascii="SimSun" w:hAnsi="SimSun" w:eastAsia="SimSun" w:cs="SimSun"/>
          <w:sz w:val="22"/>
          <w:szCs w:val="22"/>
        </w:rPr>
      </w:pPr>
      <w:r>
        <w:rPr>
          <w:rFonts w:ascii="SimSun" w:hAnsi="SimSun" w:eastAsia="SimSun" w:cs="SimSun"/>
          <w:sz w:val="22"/>
          <w:szCs w:val="22"/>
          <w:spacing w:val="-5"/>
        </w:rPr>
        <w:t>(3)数据清洗过程能有效减少以上各过程域的工作量、降低成本，并且确保组</w:t>
      </w:r>
      <w:r>
        <w:rPr>
          <w:rFonts w:ascii="SimSun" w:hAnsi="SimSun" w:eastAsia="SimSun" w:cs="SimSun"/>
          <w:sz w:val="22"/>
          <w:szCs w:val="22"/>
          <w:spacing w:val="1"/>
        </w:rPr>
        <w:t xml:space="preserve"> </w:t>
      </w:r>
      <w:r>
        <w:rPr>
          <w:rFonts w:ascii="SimSun" w:hAnsi="SimSun" w:eastAsia="SimSun" w:cs="SimSun"/>
          <w:sz w:val="22"/>
          <w:szCs w:val="22"/>
          <w:spacing w:val="-11"/>
        </w:rPr>
        <w:t>织能够按需使用自身承载的数据资产。</w:t>
      </w:r>
    </w:p>
    <w:p>
      <w:pPr>
        <w:ind w:left="219" w:right="52" w:firstLine="470"/>
        <w:spacing w:before="56" w:line="250" w:lineRule="auto"/>
        <w:rPr>
          <w:rFonts w:ascii="SimSun" w:hAnsi="SimSun" w:eastAsia="SimSun" w:cs="SimSun"/>
          <w:sz w:val="22"/>
          <w:szCs w:val="22"/>
        </w:rPr>
      </w:pPr>
      <w:r>
        <w:rPr>
          <w:rFonts w:ascii="SimSun" w:hAnsi="SimSun" w:eastAsia="SimSun" w:cs="SimSun"/>
          <w:sz w:val="22"/>
          <w:szCs w:val="22"/>
          <w:spacing w:val="-8"/>
        </w:rPr>
        <w:t>本职能域的实践成熟度有助于将业务目标和重点转</w:t>
      </w:r>
      <w:r>
        <w:rPr>
          <w:rFonts w:ascii="SimSun" w:hAnsi="SimSun" w:eastAsia="SimSun" w:cs="SimSun"/>
          <w:sz w:val="22"/>
          <w:szCs w:val="22"/>
          <w:spacing w:val="-9"/>
        </w:rPr>
        <w:t>化为可实施的计划，并以组</w:t>
      </w:r>
      <w:r>
        <w:rPr>
          <w:rFonts w:ascii="SimSun" w:hAnsi="SimSun" w:eastAsia="SimSun" w:cs="SimSun"/>
          <w:sz w:val="22"/>
          <w:szCs w:val="22"/>
        </w:rPr>
        <w:t xml:space="preserve"> </w:t>
      </w:r>
      <w:r>
        <w:rPr>
          <w:rFonts w:ascii="SimSun" w:hAnsi="SimSun" w:eastAsia="SimSun" w:cs="SimSun"/>
          <w:sz w:val="22"/>
          <w:szCs w:val="22"/>
          <w:spacing w:val="-8"/>
        </w:rPr>
        <w:t>织级项目的形式进行执行，使组织能够对数据质量</w:t>
      </w:r>
      <w:r>
        <w:rPr>
          <w:rFonts w:ascii="SimSun" w:hAnsi="SimSun" w:eastAsia="SimSun" w:cs="SimSun"/>
          <w:sz w:val="22"/>
          <w:szCs w:val="22"/>
          <w:spacing w:val="-9"/>
        </w:rPr>
        <w:t>的各个维度进行主动地管理。并</w:t>
      </w:r>
      <w:r>
        <w:rPr>
          <w:rFonts w:ascii="SimSun" w:hAnsi="SimSun" w:eastAsia="SimSun" w:cs="SimSun"/>
          <w:sz w:val="22"/>
          <w:szCs w:val="22"/>
        </w:rPr>
        <w:t xml:space="preserve"> </w:t>
      </w:r>
      <w:r>
        <w:rPr>
          <w:rFonts w:ascii="SimSun" w:hAnsi="SimSun" w:eastAsia="SimSun" w:cs="SimSun"/>
          <w:sz w:val="22"/>
          <w:szCs w:val="22"/>
          <w:spacing w:val="-8"/>
        </w:rPr>
        <w:t>使组织能够从其数据资产中获取最大价值，能够从</w:t>
      </w:r>
      <w:r>
        <w:rPr>
          <w:rFonts w:ascii="SimSun" w:hAnsi="SimSun" w:eastAsia="SimSun" w:cs="SimSun"/>
          <w:sz w:val="22"/>
          <w:szCs w:val="22"/>
          <w:spacing w:val="-9"/>
        </w:rPr>
        <w:t>精准的、可信任数据中获取更大</w:t>
      </w:r>
      <w:r>
        <w:rPr>
          <w:rFonts w:ascii="SimSun" w:hAnsi="SimSun" w:eastAsia="SimSun" w:cs="SimSun"/>
          <w:sz w:val="22"/>
          <w:szCs w:val="22"/>
        </w:rPr>
        <w:t xml:space="preserve"> </w:t>
      </w:r>
      <w:r>
        <w:rPr>
          <w:rFonts w:ascii="SimSun" w:hAnsi="SimSun" w:eastAsia="SimSun" w:cs="SimSun"/>
          <w:sz w:val="22"/>
          <w:szCs w:val="22"/>
          <w:spacing w:val="-16"/>
        </w:rPr>
        <w:t>的商业机遇。</w:t>
      </w:r>
    </w:p>
    <w:p>
      <w:pPr>
        <w:pStyle w:val="BodyText"/>
        <w:spacing w:line="418" w:lineRule="auto"/>
        <w:rPr/>
      </w:pPr>
      <w:r/>
    </w:p>
    <w:p>
      <w:pPr>
        <w:ind w:left="224"/>
        <w:spacing w:before="107" w:line="222" w:lineRule="auto"/>
        <w:outlineLvl w:val="3"/>
        <w:rPr>
          <w:rFonts w:ascii="SimHei" w:hAnsi="SimHei" w:eastAsia="SimHei" w:cs="SimHei"/>
          <w:sz w:val="33"/>
          <w:szCs w:val="33"/>
        </w:rPr>
      </w:pPr>
      <w:r>
        <w:rPr>
          <w:rFonts w:ascii="SimHei" w:hAnsi="SimHei" w:eastAsia="SimHei" w:cs="SimHei"/>
          <w:sz w:val="33"/>
          <w:szCs w:val="33"/>
          <w:b/>
          <w:bCs/>
          <w:spacing w:val="-7"/>
        </w:rPr>
        <w:t>6.2</w:t>
      </w:r>
      <w:r>
        <w:rPr>
          <w:rFonts w:ascii="SimHei" w:hAnsi="SimHei" w:eastAsia="SimHei" w:cs="SimHei"/>
          <w:sz w:val="33"/>
          <w:szCs w:val="33"/>
          <w:spacing w:val="34"/>
        </w:rPr>
        <w:t xml:space="preserve">  </w:t>
      </w:r>
      <w:r>
        <w:rPr>
          <w:rFonts w:ascii="SimHei" w:hAnsi="SimHei" w:eastAsia="SimHei" w:cs="SimHei"/>
          <w:sz w:val="33"/>
          <w:szCs w:val="33"/>
          <w:b/>
          <w:bCs/>
          <w:spacing w:val="-7"/>
        </w:rPr>
        <w:t>活动域及要求</w:t>
      </w:r>
    </w:p>
    <w:p>
      <w:pPr>
        <w:ind w:left="224"/>
        <w:spacing w:before="328" w:line="225" w:lineRule="auto"/>
        <w:outlineLvl w:val="3"/>
        <w:rPr>
          <w:rFonts w:ascii="YouYuan" w:hAnsi="YouYuan" w:eastAsia="YouYuan" w:cs="YouYuan"/>
          <w:sz w:val="29"/>
          <w:szCs w:val="29"/>
        </w:rPr>
      </w:pPr>
      <w:r>
        <w:rPr>
          <w:rFonts w:ascii="YouYuan" w:hAnsi="YouYuan" w:eastAsia="YouYuan" w:cs="YouYuan"/>
          <w:sz w:val="29"/>
          <w:szCs w:val="29"/>
          <w:b/>
          <w:bCs/>
          <w:spacing w:val="-8"/>
        </w:rPr>
        <w:t>6.2.1</w:t>
      </w:r>
      <w:r>
        <w:rPr>
          <w:rFonts w:ascii="YouYuan" w:hAnsi="YouYuan" w:eastAsia="YouYuan" w:cs="YouYuan"/>
          <w:sz w:val="29"/>
          <w:szCs w:val="29"/>
          <w:spacing w:val="-8"/>
        </w:rPr>
        <w:t xml:space="preserve">  </w:t>
      </w:r>
      <w:r>
        <w:rPr>
          <w:rFonts w:ascii="YouYuan" w:hAnsi="YouYuan" w:eastAsia="YouYuan" w:cs="YouYuan"/>
          <w:sz w:val="29"/>
          <w:szCs w:val="29"/>
          <w:b/>
          <w:bCs/>
          <w:spacing w:val="-8"/>
        </w:rPr>
        <w:t>数据质量战略</w:t>
      </w:r>
    </w:p>
    <w:p>
      <w:pPr>
        <w:ind w:left="693"/>
        <w:spacing w:before="296" w:line="224" w:lineRule="auto"/>
        <w:outlineLvl w:val="4"/>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简介</w:t>
      </w:r>
    </w:p>
    <w:p>
      <w:pPr>
        <w:ind w:left="689"/>
        <w:spacing w:before="237" w:line="232" w:lineRule="auto"/>
        <w:rPr>
          <w:rFonts w:ascii="KaiTi" w:hAnsi="KaiTi" w:eastAsia="KaiTi" w:cs="KaiTi"/>
          <w:sz w:val="22"/>
          <w:szCs w:val="22"/>
        </w:rPr>
      </w:pPr>
      <w:r>
        <w:rPr>
          <w:rFonts w:ascii="KaiTi" w:hAnsi="KaiTi" w:eastAsia="KaiTi" w:cs="KaiTi"/>
          <w:sz w:val="22"/>
          <w:szCs w:val="22"/>
          <w:spacing w:val="13"/>
        </w:rPr>
        <w:t>1)目的</w:t>
      </w:r>
    </w:p>
    <w:p>
      <w:pPr>
        <w:ind w:left="219" w:right="52" w:firstLine="470"/>
        <w:spacing w:before="37" w:line="244" w:lineRule="auto"/>
        <w:rPr>
          <w:rFonts w:ascii="SimSun" w:hAnsi="SimSun" w:eastAsia="SimSun" w:cs="SimSun"/>
          <w:sz w:val="22"/>
          <w:szCs w:val="22"/>
        </w:rPr>
      </w:pPr>
      <w:r>
        <w:rPr>
          <w:rFonts w:ascii="SimSun" w:hAnsi="SimSun" w:eastAsia="SimSun" w:cs="SimSun"/>
          <w:sz w:val="22"/>
          <w:szCs w:val="22"/>
          <w:spacing w:val="-8"/>
        </w:rPr>
        <w:t>定义一个完整的组织级策略以达到并维持所要求的</w:t>
      </w:r>
      <w:r>
        <w:rPr>
          <w:rFonts w:ascii="SimSun" w:hAnsi="SimSun" w:eastAsia="SimSun" w:cs="SimSun"/>
          <w:sz w:val="22"/>
          <w:szCs w:val="22"/>
          <w:spacing w:val="-9"/>
        </w:rPr>
        <w:t>数据质量水平，从而支持业</w:t>
      </w:r>
      <w:r>
        <w:rPr>
          <w:rFonts w:ascii="SimSun" w:hAnsi="SimSun" w:eastAsia="SimSun" w:cs="SimSun"/>
          <w:sz w:val="22"/>
          <w:szCs w:val="22"/>
        </w:rPr>
        <w:t xml:space="preserve"> </w:t>
      </w:r>
      <w:r>
        <w:rPr>
          <w:rFonts w:ascii="SimSun" w:hAnsi="SimSun" w:eastAsia="SimSun" w:cs="SimSun"/>
          <w:sz w:val="22"/>
          <w:szCs w:val="22"/>
          <w:spacing w:val="-12"/>
        </w:rPr>
        <w:t>务战略目标和战术目标的实现。</w:t>
      </w:r>
    </w:p>
    <w:p>
      <w:pPr>
        <w:ind w:left="689"/>
        <w:spacing w:before="33" w:line="222" w:lineRule="auto"/>
        <w:rPr>
          <w:rFonts w:ascii="KaiTi" w:hAnsi="KaiTi" w:eastAsia="KaiTi" w:cs="KaiTi"/>
          <w:sz w:val="22"/>
          <w:szCs w:val="22"/>
        </w:rPr>
      </w:pPr>
      <w:r>
        <w:rPr>
          <w:rFonts w:ascii="KaiTi" w:hAnsi="KaiTi" w:eastAsia="KaiTi" w:cs="KaiTi"/>
          <w:sz w:val="22"/>
          <w:szCs w:val="22"/>
          <w:spacing w:val="20"/>
        </w:rPr>
        <w:t>2)介绍</w:t>
      </w:r>
    </w:p>
    <w:p>
      <w:pPr>
        <w:ind w:left="219" w:firstLine="470"/>
        <w:spacing w:before="63" w:line="253" w:lineRule="auto"/>
        <w:rPr>
          <w:rFonts w:ascii="SimSun" w:hAnsi="SimSun" w:eastAsia="SimSun" w:cs="SimSun"/>
          <w:sz w:val="22"/>
          <w:szCs w:val="22"/>
        </w:rPr>
      </w:pPr>
      <w:r>
        <w:rPr>
          <w:rFonts w:ascii="SimSun" w:hAnsi="SimSun" w:eastAsia="SimSun" w:cs="SimSun"/>
          <w:sz w:val="22"/>
          <w:szCs w:val="22"/>
          <w:spacing w:val="-9"/>
        </w:rPr>
        <w:t>数据质量战略定义了提高数据完整性的战略目标、战术目标和计</w:t>
      </w:r>
      <w:r>
        <w:rPr>
          <w:rFonts w:ascii="SimSun" w:hAnsi="SimSun" w:eastAsia="SimSun" w:cs="SimSun"/>
          <w:sz w:val="22"/>
          <w:szCs w:val="22"/>
          <w:spacing w:val="-10"/>
        </w:rPr>
        <w:t>划。它如同一 </w:t>
      </w:r>
      <w:r>
        <w:rPr>
          <w:rFonts w:ascii="SimSun" w:hAnsi="SimSun" w:eastAsia="SimSun" w:cs="SimSun"/>
          <w:sz w:val="22"/>
          <w:szCs w:val="22"/>
          <w:spacing w:val="-11"/>
        </w:rPr>
        <w:t>幅蓝图，强调了人员在数据质量上共同承担的责任</w:t>
      </w:r>
      <w:r>
        <w:rPr>
          <w:rFonts w:ascii="SimSun" w:hAnsi="SimSun" w:eastAsia="SimSun" w:cs="SimSun"/>
          <w:sz w:val="22"/>
          <w:szCs w:val="22"/>
          <w:spacing w:val="-12"/>
        </w:rPr>
        <w:t>。数据质量战略应涉及以下内容：</w:t>
      </w:r>
      <w:r>
        <w:rPr>
          <w:rFonts w:ascii="SimSun" w:hAnsi="SimSun" w:eastAsia="SimSun" w:cs="SimSun"/>
          <w:sz w:val="22"/>
          <w:szCs w:val="22"/>
        </w:rPr>
        <w:t xml:space="preserve"> </w:t>
      </w:r>
      <w:r>
        <w:rPr>
          <w:rFonts w:ascii="SimSun" w:hAnsi="SimSun" w:eastAsia="SimSun" w:cs="SimSun"/>
          <w:sz w:val="22"/>
          <w:szCs w:val="22"/>
          <w:spacing w:val="-7"/>
        </w:rPr>
        <w:t>意义、数据储存的设计(例如，参照完整性、标准化、基数、分级管理</w:t>
      </w:r>
      <w:r>
        <w:rPr>
          <w:rFonts w:ascii="SimSun" w:hAnsi="SimSun" w:eastAsia="SimSun" w:cs="SimSun"/>
          <w:sz w:val="22"/>
          <w:szCs w:val="22"/>
          <w:spacing w:val="-8"/>
        </w:rPr>
        <w:t>、选择限制)</w:t>
      </w:r>
      <w:r>
        <w:rPr>
          <w:rFonts w:ascii="SimSun" w:hAnsi="SimSun" w:eastAsia="SimSun" w:cs="SimSun"/>
          <w:sz w:val="22"/>
          <w:szCs w:val="22"/>
        </w:rPr>
        <w:t xml:space="preserve"> </w:t>
      </w:r>
      <w:r>
        <w:rPr>
          <w:rFonts w:ascii="SimSun" w:hAnsi="SimSun" w:eastAsia="SimSun" w:cs="SimSun"/>
          <w:sz w:val="22"/>
          <w:szCs w:val="22"/>
          <w:spacing w:val="-8"/>
        </w:rPr>
        <w:t>以及业务过程。四个部分都应该得到解决，另外，数据</w:t>
      </w:r>
      <w:r>
        <w:rPr>
          <w:rFonts w:ascii="SimSun" w:hAnsi="SimSun" w:eastAsia="SimSun" w:cs="SimSun"/>
          <w:sz w:val="22"/>
          <w:szCs w:val="22"/>
          <w:spacing w:val="-9"/>
        </w:rPr>
        <w:t>质量战略需要与目标数据架</w:t>
      </w:r>
      <w:r>
        <w:rPr>
          <w:rFonts w:ascii="SimSun" w:hAnsi="SimSun" w:eastAsia="SimSun" w:cs="SimSun"/>
          <w:sz w:val="22"/>
          <w:szCs w:val="22"/>
        </w:rPr>
        <w:t xml:space="preserve">  </w:t>
      </w:r>
      <w:r>
        <w:rPr>
          <w:rFonts w:ascii="SimSun" w:hAnsi="SimSun" w:eastAsia="SimSun" w:cs="SimSun"/>
          <w:sz w:val="22"/>
          <w:szCs w:val="22"/>
          <w:spacing w:val="-11"/>
        </w:rPr>
        <w:t>构保持一致。完整的数据质量战略的另一个目标应</w:t>
      </w:r>
      <w:r>
        <w:rPr>
          <w:rFonts w:ascii="SimSun" w:hAnsi="SimSun" w:eastAsia="SimSun" w:cs="SimSun"/>
          <w:sz w:val="22"/>
          <w:szCs w:val="22"/>
          <w:spacing w:val="-12"/>
        </w:rPr>
        <w:t>该是要能减少和处理数据多余的、</w:t>
      </w:r>
      <w:r>
        <w:rPr>
          <w:rFonts w:ascii="SimSun" w:hAnsi="SimSun" w:eastAsia="SimSun" w:cs="SimSun"/>
          <w:sz w:val="22"/>
          <w:szCs w:val="22"/>
        </w:rPr>
        <w:t xml:space="preserve"> </w:t>
      </w:r>
      <w:r>
        <w:rPr>
          <w:rFonts w:ascii="SimSun" w:hAnsi="SimSun" w:eastAsia="SimSun" w:cs="SimSun"/>
          <w:sz w:val="22"/>
          <w:szCs w:val="22"/>
          <w:spacing w:val="-13"/>
        </w:rPr>
        <w:t>过时的和无用的信息。</w:t>
      </w:r>
    </w:p>
    <w:p>
      <w:pPr>
        <w:ind w:left="219" w:right="55" w:firstLine="470"/>
        <w:spacing w:before="59" w:line="252" w:lineRule="auto"/>
        <w:rPr>
          <w:rFonts w:ascii="SimSun" w:hAnsi="SimSun" w:eastAsia="SimSun" w:cs="SimSun"/>
          <w:sz w:val="22"/>
          <w:szCs w:val="22"/>
        </w:rPr>
      </w:pPr>
      <w:r>
        <w:rPr>
          <w:rFonts w:ascii="SimSun" w:hAnsi="SimSun" w:eastAsia="SimSun" w:cs="SimSun"/>
          <w:sz w:val="22"/>
          <w:szCs w:val="22"/>
          <w:spacing w:val="-8"/>
        </w:rPr>
        <w:t>数据质量战略是基于可信任数据的分析建立</w:t>
      </w:r>
      <w:r>
        <w:rPr>
          <w:rFonts w:ascii="SimSun" w:hAnsi="SimSun" w:eastAsia="SimSun" w:cs="SimSun"/>
          <w:sz w:val="22"/>
          <w:szCs w:val="22"/>
          <w:spacing w:val="-9"/>
        </w:rPr>
        <w:t>的，分析内容为现存的主要质量问</w:t>
      </w:r>
      <w:r>
        <w:rPr>
          <w:rFonts w:ascii="SimSun" w:hAnsi="SimSun" w:eastAsia="SimSun" w:cs="SimSun"/>
          <w:sz w:val="22"/>
          <w:szCs w:val="22"/>
        </w:rPr>
        <w:t xml:space="preserve"> </w:t>
      </w:r>
      <w:r>
        <w:rPr>
          <w:rFonts w:ascii="SimSun" w:hAnsi="SimSun" w:eastAsia="SimSun" w:cs="SimSun"/>
          <w:sz w:val="22"/>
          <w:szCs w:val="22"/>
          <w:spacing w:val="-8"/>
        </w:rPr>
        <w:t>题和业务目标。数据质量目标无法仅通过技术和</w:t>
      </w:r>
      <w:r>
        <w:rPr>
          <w:rFonts w:ascii="SimSun" w:hAnsi="SimSun" w:eastAsia="SimSun" w:cs="SimSun"/>
          <w:sz w:val="22"/>
          <w:szCs w:val="22"/>
          <w:spacing w:val="-9"/>
        </w:rPr>
        <w:t>技巧来满足。高质量主要得益于持</w:t>
      </w:r>
      <w:r>
        <w:rPr>
          <w:rFonts w:ascii="SimSun" w:hAnsi="SimSun" w:eastAsia="SimSun" w:cs="SimSun"/>
          <w:sz w:val="22"/>
          <w:szCs w:val="22"/>
        </w:rPr>
        <w:t xml:space="preserve"> </w:t>
      </w:r>
      <w:r>
        <w:rPr>
          <w:rFonts w:ascii="SimSun" w:hAnsi="SimSun" w:eastAsia="SimSun" w:cs="SimSun"/>
          <w:sz w:val="22"/>
          <w:szCs w:val="22"/>
          <w:spacing w:val="-8"/>
        </w:rPr>
        <w:t>续的审查以及组织里所有相关责任人对审查信息</w:t>
      </w:r>
      <w:r>
        <w:rPr>
          <w:rFonts w:ascii="SimSun" w:hAnsi="SimSun" w:eastAsia="SimSun" w:cs="SimSun"/>
          <w:sz w:val="22"/>
          <w:szCs w:val="22"/>
          <w:spacing w:val="-9"/>
        </w:rPr>
        <w:t>的分享与沟通。可实施的数据质量</w:t>
      </w:r>
      <w:r>
        <w:rPr>
          <w:rFonts w:ascii="SimSun" w:hAnsi="SimSun" w:eastAsia="SimSun" w:cs="SimSun"/>
          <w:sz w:val="22"/>
          <w:szCs w:val="22"/>
        </w:rPr>
        <w:t xml:space="preserve"> </w:t>
      </w:r>
      <w:r>
        <w:rPr>
          <w:rFonts w:ascii="SimSun" w:hAnsi="SimSun" w:eastAsia="SimSun" w:cs="SimSun"/>
          <w:sz w:val="22"/>
          <w:szCs w:val="22"/>
          <w:spacing w:val="-8"/>
        </w:rPr>
        <w:t>战略要求进行文化转移、获取高管的强力支持和进行持续</w:t>
      </w:r>
      <w:r>
        <w:rPr>
          <w:rFonts w:ascii="SimSun" w:hAnsi="SimSun" w:eastAsia="SimSun" w:cs="SimSun"/>
          <w:sz w:val="22"/>
          <w:szCs w:val="22"/>
          <w:spacing w:val="-9"/>
        </w:rPr>
        <w:t>的推广、教育以及对数据</w:t>
      </w:r>
      <w:r>
        <w:rPr>
          <w:rFonts w:ascii="SimSun" w:hAnsi="SimSun" w:eastAsia="SimSun" w:cs="SimSun"/>
          <w:sz w:val="22"/>
          <w:szCs w:val="22"/>
        </w:rPr>
        <w:t xml:space="preserve"> </w:t>
      </w:r>
      <w:r>
        <w:rPr>
          <w:rFonts w:ascii="SimSun" w:hAnsi="SimSun" w:eastAsia="SimSun" w:cs="SimSun"/>
          <w:sz w:val="22"/>
          <w:szCs w:val="22"/>
          <w:spacing w:val="-16"/>
        </w:rPr>
        <w:t>资产的关注。</w:t>
      </w:r>
    </w:p>
    <w:p>
      <w:pPr>
        <w:ind w:left="219" w:right="90" w:firstLine="470"/>
        <w:spacing w:before="58" w:line="250" w:lineRule="auto"/>
        <w:rPr>
          <w:rFonts w:ascii="SimSun" w:hAnsi="SimSun" w:eastAsia="SimSun" w:cs="SimSun"/>
          <w:sz w:val="22"/>
          <w:szCs w:val="22"/>
        </w:rPr>
      </w:pPr>
      <w:r>
        <w:rPr>
          <w:rFonts w:ascii="SimSun" w:hAnsi="SimSun" w:eastAsia="SimSun" w:cs="SimSun"/>
          <w:sz w:val="22"/>
          <w:szCs w:val="22"/>
          <w:spacing w:val="-10"/>
        </w:rPr>
        <w:t>为了能持续地营造数据质量文化，组织必须要制订一个全面的可度量的策略，</w:t>
      </w:r>
      <w:r>
        <w:rPr>
          <w:rFonts w:ascii="SimSun" w:hAnsi="SimSun" w:eastAsia="SimSun" w:cs="SimSun"/>
          <w:sz w:val="22"/>
          <w:szCs w:val="22"/>
          <w:spacing w:val="18"/>
        </w:rPr>
        <w:t xml:space="preserve"> </w:t>
      </w:r>
      <w:r>
        <w:rPr>
          <w:rFonts w:ascii="SimSun" w:hAnsi="SimSun" w:eastAsia="SimSun" w:cs="SimSun"/>
          <w:sz w:val="22"/>
          <w:szCs w:val="22"/>
          <w:spacing w:val="-8"/>
        </w:rPr>
        <w:t>且该策略要适用于所有的业务单元、业务过程和应用。数据</w:t>
      </w:r>
      <w:r>
        <w:rPr>
          <w:rFonts w:ascii="SimSun" w:hAnsi="SimSun" w:eastAsia="SimSun" w:cs="SimSun"/>
          <w:sz w:val="22"/>
          <w:szCs w:val="22"/>
          <w:spacing w:val="-9"/>
        </w:rPr>
        <w:t>质量战略的采用能帮助</w:t>
      </w:r>
      <w:r>
        <w:rPr>
          <w:rFonts w:ascii="SimSun" w:hAnsi="SimSun" w:eastAsia="SimSun" w:cs="SimSun"/>
          <w:sz w:val="22"/>
          <w:szCs w:val="22"/>
        </w:rPr>
        <w:t xml:space="preserve"> </w:t>
      </w:r>
      <w:r>
        <w:rPr>
          <w:rFonts w:ascii="SimSun" w:hAnsi="SimSun" w:eastAsia="SimSun" w:cs="SimSun"/>
          <w:sz w:val="22"/>
          <w:szCs w:val="22"/>
          <w:spacing w:val="-8"/>
        </w:rPr>
        <w:t>相关责任人理解不同组织目标间的相通性，例如改</w:t>
      </w:r>
      <w:r>
        <w:rPr>
          <w:rFonts w:ascii="SimSun" w:hAnsi="SimSun" w:eastAsia="SimSun" w:cs="SimSun"/>
          <w:sz w:val="22"/>
          <w:szCs w:val="22"/>
          <w:spacing w:val="-9"/>
        </w:rPr>
        <w:t>进分析方法、更加精准的管理风</w:t>
      </w:r>
      <w:r>
        <w:rPr>
          <w:rFonts w:ascii="SimSun" w:hAnsi="SimSun" w:eastAsia="SimSun" w:cs="SimSun"/>
          <w:sz w:val="22"/>
          <w:szCs w:val="22"/>
        </w:rPr>
        <w:t xml:space="preserve"> </w:t>
      </w:r>
      <w:r>
        <w:rPr>
          <w:rFonts w:ascii="SimSun" w:hAnsi="SimSun" w:eastAsia="SimSun" w:cs="SimSun"/>
          <w:sz w:val="22"/>
          <w:szCs w:val="22"/>
          <w:spacing w:val="-15"/>
        </w:rPr>
        <w:t>险以及改进操作。</w:t>
      </w:r>
    </w:p>
    <w:p>
      <w:pPr>
        <w:ind w:left="219" w:right="50" w:firstLine="470"/>
        <w:spacing w:before="50" w:line="252" w:lineRule="auto"/>
        <w:rPr>
          <w:rFonts w:ascii="SimSun" w:hAnsi="SimSun" w:eastAsia="SimSun" w:cs="SimSun"/>
          <w:sz w:val="22"/>
          <w:szCs w:val="22"/>
        </w:rPr>
      </w:pPr>
      <w:r>
        <w:rPr>
          <w:rFonts w:ascii="SimSun" w:hAnsi="SimSun" w:eastAsia="SimSun" w:cs="SimSun"/>
          <w:sz w:val="22"/>
          <w:szCs w:val="22"/>
          <w:spacing w:val="-8"/>
        </w:rPr>
        <w:t>当定义数据质量战略时，组织应纳入标准的使用指南，</w:t>
      </w:r>
      <w:r>
        <w:rPr>
          <w:rFonts w:ascii="SimSun" w:hAnsi="SimSun" w:eastAsia="SimSun" w:cs="SimSun"/>
          <w:sz w:val="22"/>
          <w:szCs w:val="22"/>
          <w:spacing w:val="-9"/>
        </w:rPr>
        <w:t>为质量的策略定义需求</w:t>
      </w:r>
      <w:r>
        <w:rPr>
          <w:rFonts w:ascii="SimSun" w:hAnsi="SimSun" w:eastAsia="SimSun" w:cs="SimSun"/>
          <w:sz w:val="22"/>
          <w:szCs w:val="22"/>
        </w:rPr>
        <w:t xml:space="preserve"> </w:t>
      </w:r>
      <w:r>
        <w:rPr>
          <w:rFonts w:ascii="SimSun" w:hAnsi="SimSun" w:eastAsia="SimSun" w:cs="SimSun"/>
          <w:sz w:val="22"/>
          <w:szCs w:val="22"/>
          <w:spacing w:val="-10"/>
        </w:rPr>
        <w:t>维度，数据质量对照这些维度进行度量。以下是一个参考维度集。</w:t>
      </w:r>
    </w:p>
    <w:p>
      <w:pPr>
        <w:spacing w:line="252" w:lineRule="auto"/>
        <w:sectPr>
          <w:footerReference w:type="default" r:id="rId243"/>
          <w:pgSz w:w="8870" w:h="13400"/>
          <w:pgMar w:top="400" w:right="529" w:bottom="515" w:left="400" w:header="0" w:footer="296" w:gutter="0"/>
        </w:sectPr>
        <w:rPr>
          <w:rFonts w:ascii="SimSun" w:hAnsi="SimSun" w:eastAsia="SimSun" w:cs="SimSun"/>
          <w:sz w:val="22"/>
          <w:szCs w:val="22"/>
        </w:rPr>
      </w:pPr>
    </w:p>
    <w:p>
      <w:pPr>
        <w:ind w:left="5478"/>
        <w:spacing w:before="214" w:line="219" w:lineRule="auto"/>
        <w:rPr>
          <w:rFonts w:ascii="SimSun" w:hAnsi="SimSun" w:eastAsia="SimSun" w:cs="SimSun"/>
          <w:sz w:val="21"/>
          <w:szCs w:val="21"/>
        </w:rPr>
      </w:pPr>
      <w:bookmarkStart w:name="bookmark54" w:id="49"/>
      <w:bookmarkEnd w:id="49"/>
      <w:r>
        <w:rPr>
          <w:rFonts w:ascii="SimSun" w:hAnsi="SimSun" w:eastAsia="SimSun" w:cs="SimSun"/>
          <w:sz w:val="21"/>
          <w:szCs w:val="21"/>
          <w:b/>
          <w:bCs/>
          <w:spacing w:val="14"/>
        </w:rPr>
        <w:t>第6章■云端数据质量</w:t>
      </w:r>
    </w:p>
    <w:p>
      <w:pPr>
        <w:pStyle w:val="BodyText"/>
        <w:spacing w:line="339" w:lineRule="auto"/>
        <w:rPr/>
      </w:pPr>
      <w:r/>
    </w:p>
    <w:p>
      <w:pPr>
        <w:ind w:left="2747"/>
        <w:spacing w:before="59" w:line="222" w:lineRule="auto"/>
        <w:rPr>
          <w:rFonts w:ascii="SimHei" w:hAnsi="SimHei" w:eastAsia="SimHei" w:cs="SimHei"/>
          <w:sz w:val="18"/>
          <w:szCs w:val="18"/>
        </w:rPr>
      </w:pPr>
      <w:r>
        <w:rPr>
          <w:rFonts w:ascii="SimHei" w:hAnsi="SimHei" w:eastAsia="SimHei" w:cs="SimHei"/>
          <w:sz w:val="18"/>
          <w:szCs w:val="18"/>
          <w:b/>
          <w:bCs/>
          <w:spacing w:val="-1"/>
        </w:rPr>
        <w:t>表6-1</w:t>
      </w:r>
      <w:r>
        <w:rPr>
          <w:rFonts w:ascii="SimHei" w:hAnsi="SimHei" w:eastAsia="SimHei" w:cs="SimHei"/>
          <w:sz w:val="18"/>
          <w:szCs w:val="18"/>
          <w:spacing w:val="91"/>
        </w:rPr>
        <w:t xml:space="preserve"> </w:t>
      </w:r>
      <w:r>
        <w:rPr>
          <w:rFonts w:ascii="SimHei" w:hAnsi="SimHei" w:eastAsia="SimHei" w:cs="SimHei"/>
          <w:sz w:val="18"/>
          <w:szCs w:val="18"/>
          <w:b/>
          <w:bCs/>
          <w:spacing w:val="-1"/>
        </w:rPr>
        <w:t>数据质量战略维度</w:t>
      </w:r>
    </w:p>
    <w:p>
      <w:pPr>
        <w:spacing w:line="84" w:lineRule="exact"/>
        <w:rPr/>
      </w:pPr>
      <w:r/>
    </w:p>
    <w:tbl>
      <w:tblPr>
        <w:tblStyle w:val="TableNormal"/>
        <w:tblW w:w="759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74"/>
        <w:gridCol w:w="1049"/>
        <w:gridCol w:w="2107"/>
        <w:gridCol w:w="3660"/>
      </w:tblGrid>
      <w:tr>
        <w:trPr>
          <w:trHeight w:val="325" w:hRule="atLeast"/>
        </w:trPr>
        <w:tc>
          <w:tcPr>
            <w:tcW w:w="774" w:type="dxa"/>
            <w:vAlign w:val="top"/>
          </w:tcPr>
          <w:p>
            <w:pPr>
              <w:pStyle w:val="TableText"/>
              <w:ind w:left="225"/>
              <w:spacing w:before="92" w:line="221" w:lineRule="auto"/>
              <w:rPr/>
            </w:pPr>
            <w:r>
              <w:rPr>
                <w:spacing w:val="-2"/>
              </w:rPr>
              <w:t>序号</w:t>
            </w:r>
          </w:p>
        </w:tc>
        <w:tc>
          <w:tcPr>
            <w:tcW w:w="1049" w:type="dxa"/>
            <w:vAlign w:val="top"/>
          </w:tcPr>
          <w:p>
            <w:pPr>
              <w:pStyle w:val="TableText"/>
              <w:ind w:left="251"/>
              <w:spacing w:before="91" w:line="220" w:lineRule="auto"/>
              <w:rPr/>
            </w:pPr>
            <w:r>
              <w:rPr>
                <w:spacing w:val="-5"/>
              </w:rPr>
              <w:t>维</w:t>
            </w:r>
            <w:r>
              <w:rPr>
                <w:spacing w:val="1"/>
              </w:rPr>
              <w:t xml:space="preserve">   </w:t>
            </w:r>
            <w:r>
              <w:rPr>
                <w:spacing w:val="-5"/>
              </w:rPr>
              <w:t>度</w:t>
            </w:r>
          </w:p>
        </w:tc>
        <w:tc>
          <w:tcPr>
            <w:tcW w:w="2107" w:type="dxa"/>
            <w:vAlign w:val="top"/>
          </w:tcPr>
          <w:p>
            <w:pPr>
              <w:pStyle w:val="TableText"/>
              <w:ind w:left="782"/>
              <w:spacing w:before="93" w:line="221" w:lineRule="auto"/>
              <w:rPr/>
            </w:pPr>
            <w:r>
              <w:rPr>
                <w:spacing w:val="-4"/>
              </w:rPr>
              <w:t>描</w:t>
            </w:r>
            <w:r>
              <w:rPr>
                <w:spacing w:val="1"/>
              </w:rPr>
              <w:t xml:space="preserve">   </w:t>
            </w:r>
            <w:r>
              <w:rPr>
                <w:spacing w:val="-4"/>
              </w:rPr>
              <w:t>述</w:t>
            </w:r>
          </w:p>
        </w:tc>
        <w:tc>
          <w:tcPr>
            <w:tcW w:w="3660" w:type="dxa"/>
            <w:vAlign w:val="top"/>
          </w:tcPr>
          <w:p>
            <w:pPr>
              <w:pStyle w:val="TableText"/>
              <w:ind w:left="1415"/>
              <w:spacing w:before="89" w:line="218" w:lineRule="auto"/>
              <w:rPr/>
            </w:pPr>
            <w:r>
              <w:rPr>
                <w:spacing w:val="-5"/>
              </w:rPr>
              <w:t>评</w:t>
            </w:r>
            <w:r>
              <w:rPr>
                <w:spacing w:val="16"/>
              </w:rPr>
              <w:t xml:space="preserve"> </w:t>
            </w:r>
            <w:r>
              <w:rPr>
                <w:spacing w:val="-5"/>
              </w:rPr>
              <w:t>估</w:t>
            </w:r>
            <w:r>
              <w:rPr>
                <w:spacing w:val="15"/>
              </w:rPr>
              <w:t xml:space="preserve"> </w:t>
            </w:r>
            <w:r>
              <w:rPr>
                <w:spacing w:val="-5"/>
              </w:rPr>
              <w:t>标</w:t>
            </w:r>
            <w:r>
              <w:rPr>
                <w:spacing w:val="17"/>
              </w:rPr>
              <w:t xml:space="preserve"> </w:t>
            </w:r>
            <w:r>
              <w:rPr>
                <w:spacing w:val="-5"/>
              </w:rPr>
              <w:t>准</w:t>
            </w:r>
          </w:p>
        </w:tc>
      </w:tr>
      <w:tr>
        <w:trPr>
          <w:trHeight w:val="569" w:hRule="atLeast"/>
        </w:trPr>
        <w:tc>
          <w:tcPr>
            <w:tcW w:w="774" w:type="dxa"/>
            <w:vAlign w:val="top"/>
          </w:tcPr>
          <w:p>
            <w:pPr>
              <w:pStyle w:val="TableText"/>
              <w:ind w:left="335"/>
              <w:spacing w:before="244" w:line="184" w:lineRule="auto"/>
              <w:rPr/>
            </w:pPr>
            <w:r>
              <w:rPr/>
              <w:t>1</w:t>
            </w:r>
          </w:p>
        </w:tc>
        <w:tc>
          <w:tcPr>
            <w:tcW w:w="1049" w:type="dxa"/>
            <w:vAlign w:val="top"/>
          </w:tcPr>
          <w:p>
            <w:pPr>
              <w:pStyle w:val="TableText"/>
              <w:ind w:left="291"/>
              <w:spacing w:before="206" w:line="220" w:lineRule="auto"/>
              <w:rPr/>
            </w:pPr>
            <w:r>
              <w:rPr>
                <w:spacing w:val="-2"/>
              </w:rPr>
              <w:t>准确性</w:t>
            </w:r>
          </w:p>
        </w:tc>
        <w:tc>
          <w:tcPr>
            <w:tcW w:w="2107" w:type="dxa"/>
            <w:vAlign w:val="top"/>
          </w:tcPr>
          <w:p>
            <w:pPr>
              <w:pStyle w:val="TableText"/>
              <w:ind w:left="372"/>
              <w:spacing w:before="206" w:line="219" w:lineRule="auto"/>
              <w:rPr/>
            </w:pPr>
            <w:r>
              <w:rPr>
                <w:spacing w:val="-1"/>
              </w:rPr>
              <w:t>满足业务需求的程度</w:t>
            </w:r>
          </w:p>
        </w:tc>
        <w:tc>
          <w:tcPr>
            <w:tcW w:w="3660" w:type="dxa"/>
            <w:vAlign w:val="top"/>
          </w:tcPr>
          <w:p>
            <w:pPr>
              <w:pStyle w:val="TableText"/>
              <w:ind w:left="275"/>
              <w:spacing w:before="75" w:line="300" w:lineRule="exact"/>
              <w:rPr/>
            </w:pPr>
            <w:r>
              <w:rPr>
                <w:spacing w:val="-1"/>
                <w:position w:val="11"/>
              </w:rPr>
              <w:t>与原始内容相近性、与权威来源对比的精确性以及</w:t>
            </w:r>
          </w:p>
          <w:p>
            <w:pPr>
              <w:pStyle w:val="TableText"/>
              <w:ind w:left="275"/>
              <w:spacing w:line="218" w:lineRule="auto"/>
              <w:rPr/>
            </w:pPr>
            <w:r>
              <w:rPr>
                <w:spacing w:val="-1"/>
              </w:rPr>
              <w:t>度量精度的评判标准</w:t>
            </w:r>
          </w:p>
        </w:tc>
      </w:tr>
      <w:tr>
        <w:trPr>
          <w:trHeight w:val="559" w:hRule="atLeast"/>
        </w:trPr>
        <w:tc>
          <w:tcPr>
            <w:tcW w:w="774" w:type="dxa"/>
            <w:vAlign w:val="top"/>
          </w:tcPr>
          <w:p>
            <w:pPr>
              <w:pStyle w:val="TableText"/>
              <w:ind w:left="335"/>
              <w:spacing w:before="245" w:line="183" w:lineRule="auto"/>
              <w:rPr/>
            </w:pPr>
            <w:r>
              <w:rPr/>
              <w:t>2</w:t>
            </w:r>
          </w:p>
        </w:tc>
        <w:tc>
          <w:tcPr>
            <w:tcW w:w="1049" w:type="dxa"/>
            <w:vAlign w:val="top"/>
          </w:tcPr>
          <w:p>
            <w:pPr>
              <w:pStyle w:val="TableText"/>
              <w:ind w:left="291"/>
              <w:spacing w:before="207" w:line="219" w:lineRule="auto"/>
              <w:rPr/>
            </w:pPr>
            <w:r>
              <w:rPr>
                <w:spacing w:val="-2"/>
              </w:rPr>
              <w:t>完整性</w:t>
            </w:r>
          </w:p>
        </w:tc>
        <w:tc>
          <w:tcPr>
            <w:tcW w:w="2107" w:type="dxa"/>
            <w:vAlign w:val="top"/>
          </w:tcPr>
          <w:p>
            <w:pPr>
              <w:pStyle w:val="TableText"/>
              <w:ind w:left="292"/>
              <w:spacing w:before="207" w:line="219" w:lineRule="auto"/>
              <w:rPr/>
            </w:pPr>
            <w:r>
              <w:rPr>
                <w:spacing w:val="-1"/>
              </w:rPr>
              <w:t>必须的数据项已被记录</w:t>
            </w:r>
          </w:p>
        </w:tc>
        <w:tc>
          <w:tcPr>
            <w:tcW w:w="3660" w:type="dxa"/>
            <w:vAlign w:val="top"/>
          </w:tcPr>
          <w:p>
            <w:pPr>
              <w:pStyle w:val="TableText"/>
              <w:ind w:left="275" w:right="230"/>
              <w:spacing w:before="87" w:line="282" w:lineRule="auto"/>
              <w:rPr/>
            </w:pPr>
            <w:r>
              <w:rPr>
                <w:spacing w:val="-1"/>
              </w:rPr>
              <w:t>业务所需的数据是否有缺失，例如数据源是否完</w:t>
            </w:r>
            <w:r>
              <w:rPr>
                <w:spacing w:val="14"/>
              </w:rPr>
              <w:t xml:space="preserve"> </w:t>
            </w:r>
            <w:r>
              <w:rPr>
                <w:spacing w:val="-1"/>
              </w:rPr>
              <w:t>整、记录维度是否完整、数据取值是否完整</w:t>
            </w:r>
          </w:p>
        </w:tc>
      </w:tr>
      <w:tr>
        <w:trPr>
          <w:trHeight w:val="559" w:hRule="atLeast"/>
        </w:trPr>
        <w:tc>
          <w:tcPr>
            <w:tcW w:w="774" w:type="dxa"/>
            <w:vAlign w:val="top"/>
          </w:tcPr>
          <w:p>
            <w:pPr>
              <w:pStyle w:val="TableText"/>
              <w:ind w:left="335"/>
              <w:spacing w:before="246" w:line="183" w:lineRule="auto"/>
              <w:rPr/>
            </w:pPr>
            <w:r>
              <w:rPr/>
              <w:t>3</w:t>
            </w:r>
          </w:p>
        </w:tc>
        <w:tc>
          <w:tcPr>
            <w:tcW w:w="1049" w:type="dxa"/>
            <w:vAlign w:val="top"/>
          </w:tcPr>
          <w:p>
            <w:pPr>
              <w:pStyle w:val="TableText"/>
              <w:ind w:left="291"/>
              <w:spacing w:before="208" w:line="220" w:lineRule="auto"/>
              <w:rPr/>
            </w:pPr>
            <w:r>
              <w:rPr>
                <w:spacing w:val="-3"/>
              </w:rPr>
              <w:t>时效性</w:t>
            </w:r>
          </w:p>
        </w:tc>
        <w:tc>
          <w:tcPr>
            <w:tcW w:w="2107" w:type="dxa"/>
            <w:vAlign w:val="top"/>
          </w:tcPr>
          <w:p>
            <w:pPr>
              <w:pStyle w:val="TableText"/>
              <w:ind w:left="522"/>
              <w:spacing w:before="208" w:line="219" w:lineRule="auto"/>
              <w:rPr/>
            </w:pPr>
            <w:r>
              <w:rPr>
                <w:spacing w:val="-1"/>
              </w:rPr>
              <w:t>数据被及时更新</w:t>
            </w:r>
          </w:p>
        </w:tc>
        <w:tc>
          <w:tcPr>
            <w:tcW w:w="3660" w:type="dxa"/>
            <w:vAlign w:val="top"/>
          </w:tcPr>
          <w:p>
            <w:pPr>
              <w:pStyle w:val="TableText"/>
              <w:ind w:left="275" w:right="81"/>
              <w:spacing w:before="78" w:line="277" w:lineRule="auto"/>
              <w:rPr/>
            </w:pPr>
            <w:r>
              <w:rPr>
                <w:spacing w:val="-1"/>
              </w:rPr>
              <w:t>数据能否及时更新以反映当前事实，例如数据处理</w:t>
            </w:r>
            <w:r>
              <w:rPr>
                <w:spacing w:val="13"/>
              </w:rPr>
              <w:t xml:space="preserve"> </w:t>
            </w:r>
            <w:r>
              <w:rPr>
                <w:spacing w:val="1"/>
              </w:rPr>
              <w:t>的及时性</w:t>
            </w:r>
          </w:p>
        </w:tc>
      </w:tr>
      <w:tr>
        <w:trPr>
          <w:trHeight w:val="309" w:hRule="atLeast"/>
        </w:trPr>
        <w:tc>
          <w:tcPr>
            <w:tcW w:w="774" w:type="dxa"/>
            <w:vAlign w:val="top"/>
          </w:tcPr>
          <w:p>
            <w:pPr>
              <w:pStyle w:val="TableText"/>
              <w:ind w:left="335"/>
              <w:spacing w:before="117" w:line="183" w:lineRule="auto"/>
              <w:rPr/>
            </w:pPr>
            <w:r>
              <w:rPr/>
              <w:t>4</w:t>
            </w:r>
          </w:p>
        </w:tc>
        <w:tc>
          <w:tcPr>
            <w:tcW w:w="1049" w:type="dxa"/>
            <w:vAlign w:val="top"/>
          </w:tcPr>
          <w:p>
            <w:pPr>
              <w:pStyle w:val="TableText"/>
              <w:ind w:left="291"/>
              <w:spacing w:before="80" w:line="221" w:lineRule="auto"/>
              <w:rPr/>
            </w:pPr>
            <w:r>
              <w:rPr>
                <w:spacing w:val="-5"/>
              </w:rPr>
              <w:t>唯一性</w:t>
            </w:r>
          </w:p>
        </w:tc>
        <w:tc>
          <w:tcPr>
            <w:tcW w:w="2107" w:type="dxa"/>
            <w:vAlign w:val="top"/>
          </w:tcPr>
          <w:p>
            <w:pPr>
              <w:pStyle w:val="TableText"/>
              <w:ind w:left="442"/>
              <w:spacing w:before="79" w:line="219" w:lineRule="auto"/>
              <w:rPr/>
            </w:pPr>
            <w:r>
              <w:rPr>
                <w:spacing w:val="-1"/>
              </w:rPr>
              <w:t>数据不存在重复值</w:t>
            </w:r>
          </w:p>
        </w:tc>
        <w:tc>
          <w:tcPr>
            <w:tcW w:w="3660" w:type="dxa"/>
            <w:vAlign w:val="top"/>
          </w:tcPr>
          <w:p>
            <w:pPr>
              <w:pStyle w:val="TableText"/>
              <w:ind w:left="275"/>
              <w:spacing w:before="79" w:line="219" w:lineRule="auto"/>
              <w:rPr/>
            </w:pPr>
            <w:r>
              <w:rPr>
                <w:spacing w:val="-1"/>
              </w:rPr>
              <w:t>在指定的数据集中是否存在重复值</w:t>
            </w:r>
          </w:p>
        </w:tc>
      </w:tr>
      <w:tr>
        <w:trPr>
          <w:trHeight w:val="309" w:hRule="atLeast"/>
        </w:trPr>
        <w:tc>
          <w:tcPr>
            <w:tcW w:w="774" w:type="dxa"/>
            <w:vAlign w:val="top"/>
          </w:tcPr>
          <w:p>
            <w:pPr>
              <w:pStyle w:val="TableText"/>
              <w:ind w:left="335"/>
              <w:spacing w:before="119" w:line="182" w:lineRule="auto"/>
              <w:rPr/>
            </w:pPr>
            <w:r>
              <w:rPr/>
              <w:t>5</w:t>
            </w:r>
          </w:p>
        </w:tc>
        <w:tc>
          <w:tcPr>
            <w:tcW w:w="1049" w:type="dxa"/>
            <w:vAlign w:val="top"/>
          </w:tcPr>
          <w:p>
            <w:pPr>
              <w:pStyle w:val="TableText"/>
              <w:ind w:left="291"/>
              <w:spacing w:before="80" w:line="220" w:lineRule="auto"/>
              <w:rPr/>
            </w:pPr>
            <w:r>
              <w:rPr>
                <w:spacing w:val="-2"/>
              </w:rPr>
              <w:t>正确性</w:t>
            </w:r>
          </w:p>
        </w:tc>
        <w:tc>
          <w:tcPr>
            <w:tcW w:w="2107" w:type="dxa"/>
            <w:vAlign w:val="top"/>
          </w:tcPr>
          <w:p>
            <w:pPr>
              <w:pStyle w:val="TableText"/>
              <w:ind w:left="372"/>
              <w:spacing w:before="80" w:line="219" w:lineRule="auto"/>
              <w:rPr/>
            </w:pPr>
            <w:r>
              <w:rPr>
                <w:spacing w:val="-1"/>
              </w:rPr>
              <w:t>数据体现了真实情况</w:t>
            </w:r>
          </w:p>
        </w:tc>
        <w:tc>
          <w:tcPr>
            <w:tcW w:w="3660" w:type="dxa"/>
            <w:vAlign w:val="top"/>
          </w:tcPr>
          <w:p>
            <w:pPr>
              <w:pStyle w:val="TableText"/>
              <w:ind w:left="275"/>
              <w:spacing w:before="80" w:line="219" w:lineRule="auto"/>
              <w:rPr/>
            </w:pPr>
            <w:r>
              <w:rPr>
                <w:spacing w:val="-1"/>
              </w:rPr>
              <w:t>数据内容和定义是否一致</w:t>
            </w:r>
          </w:p>
        </w:tc>
      </w:tr>
      <w:tr>
        <w:trPr>
          <w:trHeight w:val="559" w:hRule="atLeast"/>
        </w:trPr>
        <w:tc>
          <w:tcPr>
            <w:tcW w:w="774" w:type="dxa"/>
            <w:vAlign w:val="top"/>
          </w:tcPr>
          <w:p>
            <w:pPr>
              <w:pStyle w:val="TableText"/>
              <w:ind w:left="335"/>
              <w:spacing w:before="249" w:line="183" w:lineRule="auto"/>
              <w:rPr/>
            </w:pPr>
            <w:r>
              <w:rPr/>
              <w:t>6</w:t>
            </w:r>
          </w:p>
        </w:tc>
        <w:tc>
          <w:tcPr>
            <w:tcW w:w="1049" w:type="dxa"/>
            <w:vAlign w:val="top"/>
          </w:tcPr>
          <w:p>
            <w:pPr>
              <w:pStyle w:val="TableText"/>
              <w:ind w:left="291"/>
              <w:spacing w:before="211" w:line="219" w:lineRule="auto"/>
              <w:rPr/>
            </w:pPr>
            <w:r>
              <w:rPr>
                <w:spacing w:val="-2"/>
              </w:rPr>
              <w:t>可信性</w:t>
            </w:r>
          </w:p>
        </w:tc>
        <w:tc>
          <w:tcPr>
            <w:tcW w:w="2107" w:type="dxa"/>
            <w:vAlign w:val="top"/>
          </w:tcPr>
          <w:p>
            <w:pPr>
              <w:pStyle w:val="TableText"/>
              <w:ind w:left="442"/>
              <w:spacing w:before="211" w:line="219" w:lineRule="auto"/>
              <w:rPr/>
            </w:pPr>
            <w:r>
              <w:rPr>
                <w:spacing w:val="-1"/>
              </w:rPr>
              <w:t>数据的可信赖程度</w:t>
            </w:r>
          </w:p>
        </w:tc>
        <w:tc>
          <w:tcPr>
            <w:tcW w:w="3660" w:type="dxa"/>
            <w:vAlign w:val="top"/>
          </w:tcPr>
          <w:p>
            <w:pPr>
              <w:pStyle w:val="TableText"/>
              <w:ind w:left="275" w:right="92" w:hanging="10"/>
              <w:spacing w:before="70" w:line="276" w:lineRule="auto"/>
              <w:rPr/>
            </w:pPr>
            <w:r>
              <w:rPr>
                <w:spacing w:val="-1"/>
              </w:rPr>
              <w:t>数据能够使用的可信程度，例如是否经过确认无误</w:t>
            </w:r>
            <w:r>
              <w:rPr>
                <w:spacing w:val="13"/>
              </w:rPr>
              <w:t xml:space="preserve"> </w:t>
            </w:r>
            <w:r>
              <w:rPr>
                <w:spacing w:val="2"/>
              </w:rPr>
              <w:t>的数据</w:t>
            </w:r>
          </w:p>
        </w:tc>
      </w:tr>
      <w:tr>
        <w:trPr>
          <w:trHeight w:val="319" w:hRule="atLeast"/>
        </w:trPr>
        <w:tc>
          <w:tcPr>
            <w:tcW w:w="774" w:type="dxa"/>
            <w:vAlign w:val="top"/>
          </w:tcPr>
          <w:p>
            <w:pPr>
              <w:pStyle w:val="TableText"/>
              <w:ind w:left="335"/>
              <w:spacing w:before="131" w:line="182" w:lineRule="auto"/>
              <w:rPr/>
            </w:pPr>
            <w:r>
              <w:rPr/>
              <w:t>7</w:t>
            </w:r>
          </w:p>
        </w:tc>
        <w:tc>
          <w:tcPr>
            <w:tcW w:w="1049" w:type="dxa"/>
            <w:vAlign w:val="top"/>
          </w:tcPr>
          <w:p>
            <w:pPr>
              <w:pStyle w:val="TableText"/>
              <w:ind w:left="291"/>
              <w:spacing w:before="93" w:line="221" w:lineRule="auto"/>
              <w:rPr/>
            </w:pPr>
            <w:r>
              <w:rPr>
                <w:spacing w:val="-2"/>
              </w:rPr>
              <w:t>可用性</w:t>
            </w:r>
          </w:p>
        </w:tc>
        <w:tc>
          <w:tcPr>
            <w:tcW w:w="2107" w:type="dxa"/>
            <w:vAlign w:val="top"/>
          </w:tcPr>
          <w:p>
            <w:pPr>
              <w:pStyle w:val="TableText"/>
              <w:ind w:left="292"/>
              <w:spacing w:before="92" w:line="219" w:lineRule="auto"/>
              <w:rPr/>
            </w:pPr>
            <w:r>
              <w:rPr>
                <w:spacing w:val="1"/>
              </w:rPr>
              <w:t>数据在需要时能够使用</w:t>
            </w:r>
          </w:p>
        </w:tc>
        <w:tc>
          <w:tcPr>
            <w:tcW w:w="3660" w:type="dxa"/>
            <w:vAlign w:val="top"/>
          </w:tcPr>
          <w:p>
            <w:pPr>
              <w:pStyle w:val="TableText"/>
              <w:ind w:left="275"/>
              <w:spacing w:before="92" w:line="219" w:lineRule="auto"/>
              <w:rPr/>
            </w:pPr>
            <w:r>
              <w:rPr>
                <w:spacing w:val="-1"/>
              </w:rPr>
              <w:t>数据可用的时间和数据需要内访问时间的比例</w:t>
            </w:r>
          </w:p>
        </w:tc>
      </w:tr>
      <w:tr>
        <w:trPr>
          <w:trHeight w:val="569" w:hRule="atLeast"/>
        </w:trPr>
        <w:tc>
          <w:tcPr>
            <w:tcW w:w="774" w:type="dxa"/>
            <w:vAlign w:val="top"/>
          </w:tcPr>
          <w:p>
            <w:pPr>
              <w:pStyle w:val="TableText"/>
              <w:ind w:left="335"/>
              <w:spacing w:before="251" w:line="183" w:lineRule="auto"/>
              <w:rPr/>
            </w:pPr>
            <w:r>
              <w:rPr/>
              <w:t>8</w:t>
            </w:r>
          </w:p>
        </w:tc>
        <w:tc>
          <w:tcPr>
            <w:tcW w:w="1049" w:type="dxa"/>
            <w:vAlign w:val="top"/>
          </w:tcPr>
          <w:p>
            <w:pPr>
              <w:pStyle w:val="TableText"/>
              <w:ind w:left="211"/>
              <w:spacing w:before="213" w:line="220" w:lineRule="auto"/>
              <w:rPr/>
            </w:pPr>
            <w:r>
              <w:rPr>
                <w:spacing w:val="-2"/>
              </w:rPr>
              <w:t>可访问性</w:t>
            </w:r>
          </w:p>
        </w:tc>
        <w:tc>
          <w:tcPr>
            <w:tcW w:w="2107" w:type="dxa"/>
            <w:vAlign w:val="top"/>
          </w:tcPr>
          <w:p>
            <w:pPr>
              <w:pStyle w:val="TableText"/>
              <w:ind w:left="592"/>
              <w:spacing w:before="213" w:line="219" w:lineRule="auto"/>
              <w:rPr/>
            </w:pPr>
            <w:r>
              <w:rPr>
                <w:spacing w:val="2"/>
              </w:rPr>
              <w:t>数据能被访问</w:t>
            </w:r>
          </w:p>
        </w:tc>
        <w:tc>
          <w:tcPr>
            <w:tcW w:w="3660" w:type="dxa"/>
            <w:vAlign w:val="top"/>
          </w:tcPr>
          <w:p>
            <w:pPr>
              <w:pStyle w:val="TableText"/>
              <w:ind w:left="275" w:right="92" w:hanging="10"/>
              <w:spacing w:before="81" w:line="282" w:lineRule="auto"/>
              <w:rPr/>
            </w:pPr>
            <w:r>
              <w:rPr>
                <w:spacing w:val="-1"/>
              </w:rPr>
              <w:t>数据是否便于访问，例如访问前是否需要传输、解</w:t>
            </w:r>
            <w:r>
              <w:rPr>
                <w:spacing w:val="13"/>
              </w:rPr>
              <w:t xml:space="preserve"> </w:t>
            </w:r>
            <w:r>
              <w:rPr>
                <w:spacing w:val="-1"/>
              </w:rPr>
              <w:t>密、解压缩等</w:t>
            </w:r>
          </w:p>
        </w:tc>
      </w:tr>
      <w:tr>
        <w:trPr>
          <w:trHeight w:val="299" w:hRule="atLeast"/>
        </w:trPr>
        <w:tc>
          <w:tcPr>
            <w:tcW w:w="774" w:type="dxa"/>
            <w:vAlign w:val="top"/>
          </w:tcPr>
          <w:p>
            <w:pPr>
              <w:pStyle w:val="TableText"/>
              <w:ind w:left="335"/>
              <w:spacing w:before="122" w:line="183" w:lineRule="auto"/>
              <w:rPr/>
            </w:pPr>
            <w:r>
              <w:rPr/>
              <w:t>9</w:t>
            </w:r>
          </w:p>
        </w:tc>
        <w:tc>
          <w:tcPr>
            <w:tcW w:w="1049" w:type="dxa"/>
            <w:vAlign w:val="top"/>
          </w:tcPr>
          <w:p>
            <w:pPr>
              <w:pStyle w:val="TableText"/>
              <w:ind w:left="141"/>
              <w:spacing w:before="84" w:line="219" w:lineRule="auto"/>
              <w:rPr/>
            </w:pPr>
            <w:r>
              <w:rPr>
                <w:spacing w:val="-1"/>
              </w:rPr>
              <w:t>业务有效性</w:t>
            </w:r>
          </w:p>
        </w:tc>
        <w:tc>
          <w:tcPr>
            <w:tcW w:w="2107" w:type="dxa"/>
            <w:vAlign w:val="top"/>
          </w:tcPr>
          <w:p>
            <w:pPr>
              <w:pStyle w:val="TableText"/>
              <w:ind w:left="142"/>
              <w:spacing w:before="84" w:line="219" w:lineRule="auto"/>
              <w:rPr/>
            </w:pPr>
            <w:r>
              <w:rPr>
                <w:spacing w:val="1"/>
              </w:rPr>
              <w:t>数据符合已定义的业务规则</w:t>
            </w:r>
          </w:p>
        </w:tc>
        <w:tc>
          <w:tcPr>
            <w:tcW w:w="3660" w:type="dxa"/>
            <w:vAlign w:val="top"/>
          </w:tcPr>
          <w:p>
            <w:pPr>
              <w:pStyle w:val="TableText"/>
              <w:ind w:left="275"/>
              <w:spacing w:before="84" w:line="219" w:lineRule="auto"/>
              <w:rPr/>
            </w:pPr>
            <w:r>
              <w:rPr>
                <w:spacing w:val="-1"/>
              </w:rPr>
              <w:t>数据项是否符合已定义的业务要求</w:t>
            </w:r>
          </w:p>
        </w:tc>
      </w:tr>
      <w:tr>
        <w:trPr>
          <w:trHeight w:val="564" w:hRule="atLeast"/>
        </w:trPr>
        <w:tc>
          <w:tcPr>
            <w:tcW w:w="774" w:type="dxa"/>
            <w:vAlign w:val="top"/>
          </w:tcPr>
          <w:p>
            <w:pPr>
              <w:pStyle w:val="TableText"/>
              <w:ind w:left="305"/>
              <w:spacing w:before="253" w:line="184" w:lineRule="auto"/>
              <w:rPr/>
            </w:pPr>
            <w:r>
              <w:rPr>
                <w:spacing w:val="-5"/>
              </w:rPr>
              <w:t>10</w:t>
            </w:r>
          </w:p>
        </w:tc>
        <w:tc>
          <w:tcPr>
            <w:tcW w:w="1049" w:type="dxa"/>
            <w:vAlign w:val="top"/>
          </w:tcPr>
          <w:p>
            <w:pPr>
              <w:pStyle w:val="TableText"/>
              <w:ind w:left="141"/>
              <w:spacing w:before="215" w:line="219" w:lineRule="auto"/>
              <w:rPr/>
            </w:pPr>
            <w:r>
              <w:rPr>
                <w:spacing w:val="-2"/>
              </w:rPr>
              <w:t>技术有效性</w:t>
            </w:r>
          </w:p>
        </w:tc>
        <w:tc>
          <w:tcPr>
            <w:tcW w:w="2107" w:type="dxa"/>
            <w:vAlign w:val="top"/>
          </w:tcPr>
          <w:p>
            <w:pPr>
              <w:pStyle w:val="TableText"/>
              <w:ind w:left="142"/>
              <w:spacing w:before="215" w:line="219" w:lineRule="auto"/>
              <w:rPr/>
            </w:pPr>
            <w:r>
              <w:rPr>
                <w:spacing w:val="1"/>
              </w:rPr>
              <w:t>数据符合已定义的技术规则</w:t>
            </w:r>
          </w:p>
        </w:tc>
        <w:tc>
          <w:tcPr>
            <w:tcW w:w="3660" w:type="dxa"/>
            <w:vAlign w:val="top"/>
          </w:tcPr>
          <w:p>
            <w:pPr>
              <w:pStyle w:val="TableText"/>
              <w:ind w:left="275" w:right="92" w:hanging="10"/>
              <w:spacing w:before="84" w:line="282" w:lineRule="auto"/>
              <w:rPr/>
            </w:pPr>
            <w:r>
              <w:rPr>
                <w:spacing w:val="-1"/>
              </w:rPr>
              <w:t>数据项是否符合已定义的技术要求，如格式、取值</w:t>
            </w:r>
            <w:r>
              <w:rPr>
                <w:spacing w:val="13"/>
              </w:rPr>
              <w:t xml:space="preserve"> </w:t>
            </w:r>
            <w:r>
              <w:rPr>
                <w:spacing w:val="-3"/>
              </w:rPr>
              <w:t>范围等</w:t>
            </w:r>
          </w:p>
        </w:tc>
      </w:tr>
    </w:tbl>
    <w:p>
      <w:pPr>
        <w:ind w:left="405"/>
        <w:spacing w:before="206" w:line="229" w:lineRule="auto"/>
        <w:rPr>
          <w:rFonts w:ascii="KaiTi" w:hAnsi="KaiTi" w:eastAsia="KaiTi" w:cs="KaiTi"/>
          <w:sz w:val="21"/>
          <w:szCs w:val="21"/>
        </w:rPr>
      </w:pPr>
      <w:r>
        <w:rPr>
          <w:rFonts w:ascii="KaiTi" w:hAnsi="KaiTi" w:eastAsia="KaiTi" w:cs="KaiTi"/>
          <w:sz w:val="21"/>
          <w:szCs w:val="21"/>
          <w:spacing w:val="10"/>
        </w:rPr>
        <w:t>3)相关过程域</w:t>
      </w:r>
    </w:p>
    <w:p>
      <w:pPr>
        <w:ind w:left="405"/>
        <w:spacing w:before="43" w:line="311" w:lineRule="exact"/>
        <w:rPr>
          <w:rFonts w:ascii="SimSun" w:hAnsi="SimSun" w:eastAsia="SimSun" w:cs="SimSun"/>
          <w:sz w:val="21"/>
          <w:szCs w:val="21"/>
        </w:rPr>
      </w:pPr>
      <w:r>
        <w:rPr>
          <w:rFonts w:ascii="STXingkai" w:hAnsi="STXingkai" w:eastAsia="STXingkai" w:cs="STXingkai"/>
          <w:sz w:val="21"/>
          <w:szCs w:val="21"/>
          <w:spacing w:val="-2"/>
          <w:position w:val="2"/>
        </w:rPr>
        <w:t>●</w:t>
      </w:r>
      <w:r>
        <w:rPr>
          <w:rFonts w:ascii="STXingkai" w:hAnsi="STXingkai" w:eastAsia="STXingkai" w:cs="STXingkai"/>
          <w:sz w:val="21"/>
          <w:szCs w:val="21"/>
          <w:spacing w:val="35"/>
          <w:position w:val="2"/>
        </w:rPr>
        <w:t xml:space="preserve"> </w:t>
      </w:r>
      <w:r>
        <w:rPr>
          <w:rFonts w:ascii="SimSun" w:hAnsi="SimSun" w:eastAsia="SimSun" w:cs="SimSun"/>
          <w:sz w:val="21"/>
          <w:szCs w:val="21"/>
          <w:spacing w:val="-2"/>
          <w:position w:val="2"/>
        </w:rPr>
        <w:t>数据提供者管理过程域为制订数据质量目标和具体标准提供了帮助；</w:t>
      </w:r>
    </w:p>
    <w:p>
      <w:pPr>
        <w:ind w:left="695" w:right="199" w:hanging="290"/>
        <w:spacing w:before="1" w:line="255" w:lineRule="auto"/>
        <w:rPr>
          <w:rFonts w:ascii="SimSun" w:hAnsi="SimSun" w:eastAsia="SimSun" w:cs="SimSun"/>
          <w:sz w:val="21"/>
          <w:szCs w:val="21"/>
        </w:rPr>
      </w:pPr>
      <w:r>
        <w:rPr>
          <w:rFonts w:ascii="SimSun" w:hAnsi="SimSun" w:eastAsia="SimSun" w:cs="SimSun"/>
          <w:sz w:val="21"/>
          <w:szCs w:val="21"/>
          <w:spacing w:val="2"/>
        </w:rPr>
        <w:t>●战略过程域提供了协助数据质量战略制订的相关信息，并与组织级的数据管 </w:t>
      </w:r>
      <w:r>
        <w:rPr>
          <w:rFonts w:ascii="SimSun" w:hAnsi="SimSun" w:eastAsia="SimSun" w:cs="SimSun"/>
          <w:sz w:val="21"/>
          <w:szCs w:val="21"/>
          <w:spacing w:val="-5"/>
        </w:rPr>
        <w:t>理策略保持一致；</w:t>
      </w:r>
    </w:p>
    <w:p>
      <w:pPr>
        <w:ind w:left="695" w:right="202" w:hanging="290"/>
        <w:spacing w:before="70" w:line="242" w:lineRule="auto"/>
        <w:rPr>
          <w:rFonts w:ascii="SimSun" w:hAnsi="SimSun" w:eastAsia="SimSun" w:cs="SimSun"/>
          <w:sz w:val="21"/>
          <w:szCs w:val="21"/>
        </w:rPr>
      </w:pPr>
      <w:r>
        <w:rPr>
          <w:rFonts w:ascii="SimSun" w:hAnsi="SimSun" w:eastAsia="SimSun" w:cs="SimSun"/>
          <w:sz w:val="21"/>
          <w:szCs w:val="21"/>
          <w:spacing w:val="2"/>
        </w:rPr>
        <w:t>●数据质量评估过程域、数据概要分析过程域和数据清洗过程域包含了帮助提</w:t>
      </w:r>
      <w:r>
        <w:rPr>
          <w:rFonts w:ascii="SimSun" w:hAnsi="SimSun" w:eastAsia="SimSun" w:cs="SimSun"/>
          <w:sz w:val="21"/>
          <w:szCs w:val="21"/>
        </w:rPr>
        <w:t xml:space="preserve"> </w:t>
      </w:r>
      <w:r>
        <w:rPr>
          <w:rFonts w:ascii="SimSun" w:hAnsi="SimSun" w:eastAsia="SimSun" w:cs="SimSun"/>
          <w:sz w:val="21"/>
          <w:szCs w:val="21"/>
          <w:spacing w:val="-4"/>
        </w:rPr>
        <w:t>高数据资产质量的相关实践。</w:t>
      </w:r>
    </w:p>
    <w:p>
      <w:pPr>
        <w:pStyle w:val="BodyText"/>
        <w:ind w:left="405"/>
        <w:spacing w:before="198" w:line="223" w:lineRule="auto"/>
        <w:outlineLvl w:val="4"/>
        <w:rPr>
          <w:rFonts w:ascii="SimHei" w:hAnsi="SimHei" w:eastAsia="SimHei" w:cs="SimHei"/>
        </w:rPr>
      </w:pPr>
      <w:r>
        <w:rPr>
          <w:b/>
          <w:bCs/>
          <w:spacing w:val="-2"/>
        </w:rPr>
        <w:t>2.GQM</w:t>
      </w:r>
      <w:r>
        <w:rPr>
          <w:b/>
          <w:bCs/>
          <w:spacing w:val="7"/>
        </w:rPr>
        <w:t xml:space="preserve">    </w:t>
      </w:r>
      <w:r>
        <w:rPr>
          <w:rFonts w:ascii="SimHei" w:hAnsi="SimHei" w:eastAsia="SimHei" w:cs="SimHei"/>
          <w:b/>
          <w:bCs/>
          <w:spacing w:val="-2"/>
        </w:rPr>
        <w:t>表</w:t>
      </w:r>
    </w:p>
    <w:p>
      <w:pPr>
        <w:spacing w:line="165" w:lineRule="exact"/>
        <w:rPr/>
      </w:pPr>
      <w:r/>
    </w:p>
    <w:tbl>
      <w:tblPr>
        <w:tblStyle w:val="TableNormal"/>
        <w:tblW w:w="7589"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1947"/>
        <w:gridCol w:w="2187"/>
        <w:gridCol w:w="2182"/>
      </w:tblGrid>
      <w:tr>
        <w:trPr>
          <w:trHeight w:val="323" w:hRule="atLeast"/>
        </w:trPr>
        <w:tc>
          <w:tcPr>
            <w:tcW w:w="1273" w:type="dxa"/>
            <w:vAlign w:val="top"/>
          </w:tcPr>
          <w:p>
            <w:pPr>
              <w:pStyle w:val="TableText"/>
              <w:ind w:left="364"/>
              <w:spacing w:before="91" w:line="220" w:lineRule="auto"/>
              <w:rPr/>
            </w:pPr>
            <w:r>
              <w:rPr>
                <w:spacing w:val="-12"/>
              </w:rPr>
              <w:t>目    标</w:t>
            </w:r>
          </w:p>
        </w:tc>
        <w:tc>
          <w:tcPr>
            <w:tcW w:w="1947" w:type="dxa"/>
            <w:vAlign w:val="top"/>
          </w:tcPr>
          <w:p>
            <w:pPr>
              <w:pStyle w:val="TableText"/>
              <w:ind w:left="671"/>
              <w:spacing w:before="93" w:line="221" w:lineRule="auto"/>
              <w:rPr/>
            </w:pPr>
            <w:r>
              <w:rPr>
                <w:spacing w:val="-12"/>
              </w:rPr>
              <w:t>问</w:t>
            </w:r>
            <w:r>
              <w:rPr>
                <w:spacing w:val="9"/>
              </w:rPr>
              <w:t xml:space="preserve">    </w:t>
            </w:r>
            <w:r>
              <w:rPr>
                <w:spacing w:val="-12"/>
              </w:rPr>
              <w:t>题</w:t>
            </w:r>
          </w:p>
        </w:tc>
        <w:tc>
          <w:tcPr>
            <w:tcW w:w="2187" w:type="dxa"/>
            <w:vAlign w:val="top"/>
          </w:tcPr>
          <w:p>
            <w:pPr>
              <w:pStyle w:val="TableText"/>
              <w:ind w:left="714"/>
              <w:spacing w:before="91" w:line="220" w:lineRule="auto"/>
              <w:rPr/>
            </w:pPr>
            <w:r>
              <w:rPr>
                <w:spacing w:val="-4"/>
              </w:rPr>
              <w:t>度</w:t>
            </w:r>
            <w:r>
              <w:rPr>
                <w:spacing w:val="2"/>
              </w:rPr>
              <w:t xml:space="preserve">  </w:t>
            </w:r>
            <w:r>
              <w:rPr>
                <w:spacing w:val="-4"/>
              </w:rPr>
              <w:t>量</w:t>
            </w:r>
            <w:r>
              <w:rPr>
                <w:spacing w:val="9"/>
              </w:rPr>
              <w:t xml:space="preserve"> </w:t>
            </w:r>
            <w:r>
              <w:rPr>
                <w:spacing w:val="-4"/>
              </w:rPr>
              <w:t>项</w:t>
            </w:r>
          </w:p>
        </w:tc>
        <w:tc>
          <w:tcPr>
            <w:tcW w:w="2182" w:type="dxa"/>
            <w:vAlign w:val="top"/>
          </w:tcPr>
          <w:p>
            <w:pPr>
              <w:pStyle w:val="TableText"/>
              <w:ind w:left="717"/>
              <w:spacing w:before="91" w:line="219" w:lineRule="auto"/>
              <w:rPr/>
            </w:pPr>
            <w:r>
              <w:rPr>
                <w:spacing w:val="3"/>
              </w:rPr>
              <w:t>度量项说明</w:t>
            </w:r>
          </w:p>
        </w:tc>
      </w:tr>
      <w:tr>
        <w:trPr>
          <w:trHeight w:val="558" w:hRule="atLeast"/>
        </w:trPr>
        <w:tc>
          <w:tcPr>
            <w:tcW w:w="1273" w:type="dxa"/>
            <w:vAlign w:val="top"/>
            <w:vMerge w:val="restart"/>
            <w:tcBorders>
              <w:bottom w:val="nil"/>
            </w:tcBorders>
          </w:tcPr>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pStyle w:val="TableText"/>
              <w:ind w:left="94" w:right="120" w:firstLine="120"/>
              <w:spacing w:before="49" w:line="303" w:lineRule="auto"/>
              <w:rPr/>
            </w:pPr>
            <w:r>
              <w:rPr>
                <w:spacing w:val="-1"/>
              </w:rPr>
              <w:t>G1:数据质量</w:t>
            </w:r>
            <w:r>
              <w:rPr/>
              <w:t xml:space="preserve">  </w:t>
            </w:r>
            <w:r>
              <w:rPr>
                <w:spacing w:val="-1"/>
              </w:rPr>
              <w:t>战略与业务目标</w:t>
            </w:r>
            <w:r>
              <w:rPr>
                <w:spacing w:val="3"/>
              </w:rPr>
              <w:t xml:space="preserve"> </w:t>
            </w:r>
            <w:r>
              <w:rPr>
                <w:spacing w:val="-5"/>
              </w:rPr>
              <w:t>一致</w:t>
            </w:r>
          </w:p>
        </w:tc>
        <w:tc>
          <w:tcPr>
            <w:tcW w:w="1947" w:type="dxa"/>
            <w:vAlign w:val="top"/>
            <w:vMerge w:val="restart"/>
            <w:tcBorders>
              <w:bottom w:val="nil"/>
            </w:tcBorders>
          </w:tcPr>
          <w:p>
            <w:pPr>
              <w:spacing w:line="317" w:lineRule="auto"/>
              <w:rPr>
                <w:rFonts w:ascii="Arial"/>
                <w:sz w:val="21"/>
              </w:rPr>
            </w:pPr>
            <w:r/>
          </w:p>
          <w:p>
            <w:pPr>
              <w:pStyle w:val="TableText"/>
              <w:ind w:left="81" w:right="274" w:firstLine="160"/>
              <w:spacing w:before="49" w:line="270" w:lineRule="auto"/>
              <w:rPr/>
            </w:pPr>
            <w:r>
              <w:rPr>
                <w:spacing w:val="-1"/>
              </w:rPr>
              <w:t>Q1:组织有哪些数据质</w:t>
            </w:r>
            <w:r>
              <w:rPr>
                <w:spacing w:val="5"/>
              </w:rPr>
              <w:t xml:space="preserve"> </w:t>
            </w:r>
            <w:r>
              <w:rPr>
                <w:spacing w:val="-2"/>
              </w:rPr>
              <w:t>量战略</w:t>
            </w:r>
          </w:p>
        </w:tc>
        <w:tc>
          <w:tcPr>
            <w:tcW w:w="2187" w:type="dxa"/>
            <w:vAlign w:val="top"/>
          </w:tcPr>
          <w:p>
            <w:pPr>
              <w:pStyle w:val="TableText"/>
              <w:ind w:left="94" w:right="136" w:firstLine="149"/>
              <w:spacing w:before="87" w:line="277" w:lineRule="auto"/>
              <w:rPr/>
            </w:pPr>
            <w:r>
              <w:rPr>
                <w:spacing w:val="5"/>
              </w:rPr>
              <w:t>M1:数据完整性、可用性、</w:t>
            </w:r>
            <w:r>
              <w:rPr>
                <w:spacing w:val="4"/>
              </w:rPr>
              <w:t xml:space="preserve"> </w:t>
            </w:r>
            <w:r>
              <w:rPr>
                <w:spacing w:val="-2"/>
              </w:rPr>
              <w:t>保密性策略</w:t>
            </w:r>
          </w:p>
        </w:tc>
        <w:tc>
          <w:tcPr>
            <w:tcW w:w="2182" w:type="dxa"/>
            <w:vAlign w:val="top"/>
          </w:tcPr>
          <w:p>
            <w:pPr>
              <w:pStyle w:val="TableText"/>
              <w:ind w:left="118" w:right="261" w:firstLine="149"/>
              <w:spacing w:before="77" w:line="276" w:lineRule="auto"/>
              <w:rPr/>
            </w:pPr>
            <w:r>
              <w:rPr>
                <w:spacing w:val="-1"/>
              </w:rPr>
              <w:t>组织的数据质量战略应包</w:t>
            </w:r>
            <w:r>
              <w:rPr>
                <w:spacing w:val="2"/>
              </w:rPr>
              <w:t xml:space="preserve"> </w:t>
            </w:r>
            <w:r>
              <w:rPr>
                <w:spacing w:val="-1"/>
              </w:rPr>
              <w:t>含数据层面的质量战略</w:t>
            </w:r>
          </w:p>
        </w:tc>
      </w:tr>
      <w:tr>
        <w:trPr>
          <w:trHeight w:val="568" w:hRule="atLeast"/>
        </w:trPr>
        <w:tc>
          <w:tcPr>
            <w:tcW w:w="1273" w:type="dxa"/>
            <w:vAlign w:val="top"/>
            <w:vMerge w:val="continue"/>
            <w:tcBorders>
              <w:top w:val="nil"/>
              <w:bottom w:val="nil"/>
            </w:tcBorders>
          </w:tcPr>
          <w:p>
            <w:pPr>
              <w:rPr>
                <w:rFonts w:ascii="Arial"/>
                <w:sz w:val="21"/>
              </w:rPr>
            </w:pPr>
            <w:r/>
          </w:p>
        </w:tc>
        <w:tc>
          <w:tcPr>
            <w:tcW w:w="1947" w:type="dxa"/>
            <w:vAlign w:val="top"/>
            <w:vMerge w:val="continue"/>
            <w:tcBorders>
              <w:top w:val="nil"/>
            </w:tcBorders>
          </w:tcPr>
          <w:p>
            <w:pPr>
              <w:rPr>
                <w:rFonts w:ascii="Arial"/>
                <w:sz w:val="21"/>
              </w:rPr>
            </w:pPr>
            <w:r/>
          </w:p>
        </w:tc>
        <w:tc>
          <w:tcPr>
            <w:tcW w:w="2187" w:type="dxa"/>
            <w:vAlign w:val="top"/>
          </w:tcPr>
          <w:p>
            <w:pPr>
              <w:pStyle w:val="TableText"/>
              <w:ind w:left="85" w:right="208" w:firstLine="159"/>
              <w:spacing w:before="89" w:line="288" w:lineRule="auto"/>
              <w:rPr/>
            </w:pPr>
            <w:r>
              <w:rPr>
                <w:spacing w:val="-1"/>
              </w:rPr>
              <w:t>M2:项目级、业务级和组织</w:t>
            </w:r>
            <w:r>
              <w:rPr>
                <w:spacing w:val="10"/>
              </w:rPr>
              <w:t xml:space="preserve"> </w:t>
            </w:r>
            <w:r>
              <w:rPr>
                <w:spacing w:val="-2"/>
              </w:rPr>
              <w:t>级策略</w:t>
            </w:r>
          </w:p>
        </w:tc>
        <w:tc>
          <w:tcPr>
            <w:tcW w:w="2182" w:type="dxa"/>
            <w:vAlign w:val="top"/>
          </w:tcPr>
          <w:p>
            <w:pPr>
              <w:pStyle w:val="TableText"/>
              <w:ind w:left="118" w:right="271" w:firstLine="139"/>
              <w:spacing w:before="89" w:line="282" w:lineRule="auto"/>
              <w:rPr/>
            </w:pPr>
            <w:r>
              <w:rPr>
                <w:spacing w:val="-1"/>
              </w:rPr>
              <w:t>组织的数据质量战略还应</w:t>
            </w:r>
            <w:r>
              <w:rPr>
                <w:spacing w:val="2"/>
              </w:rPr>
              <w:t xml:space="preserve"> </w:t>
            </w:r>
            <w:r>
              <w:rPr>
                <w:spacing w:val="-1"/>
              </w:rPr>
              <w:t>包含不同组织级别的战略</w:t>
            </w:r>
          </w:p>
        </w:tc>
      </w:tr>
      <w:tr>
        <w:trPr>
          <w:trHeight w:val="827" w:hRule="atLeast"/>
        </w:trPr>
        <w:tc>
          <w:tcPr>
            <w:tcW w:w="1273" w:type="dxa"/>
            <w:vAlign w:val="top"/>
            <w:vMerge w:val="continue"/>
            <w:tcBorders>
              <w:top w:val="nil"/>
              <w:bottom w:val="nil"/>
            </w:tcBorders>
          </w:tcPr>
          <w:p>
            <w:pPr>
              <w:rPr>
                <w:rFonts w:ascii="Arial"/>
                <w:sz w:val="21"/>
              </w:rPr>
            </w:pPr>
            <w:r/>
          </w:p>
        </w:tc>
        <w:tc>
          <w:tcPr>
            <w:tcW w:w="1947" w:type="dxa"/>
            <w:vAlign w:val="top"/>
            <w:vMerge w:val="restart"/>
            <w:tcBorders>
              <w:bottom w:val="nil"/>
            </w:tcBorders>
          </w:tcPr>
          <w:p>
            <w:pPr>
              <w:spacing w:line="450" w:lineRule="auto"/>
              <w:rPr>
                <w:rFonts w:ascii="Arial"/>
                <w:sz w:val="21"/>
              </w:rPr>
            </w:pPr>
            <w:r/>
          </w:p>
          <w:p>
            <w:pPr>
              <w:pStyle w:val="TableText"/>
              <w:ind w:left="112" w:right="274" w:firstLine="129"/>
              <w:spacing w:before="49" w:line="276" w:lineRule="auto"/>
              <w:rPr/>
            </w:pPr>
            <w:r>
              <w:rPr>
                <w:spacing w:val="-1"/>
              </w:rPr>
              <w:t>Q2:业务过程中如何保</w:t>
            </w:r>
            <w:r>
              <w:rPr>
                <w:spacing w:val="5"/>
              </w:rPr>
              <w:t xml:space="preserve"> </w:t>
            </w:r>
            <w:r>
              <w:rPr>
                <w:spacing w:val="-1"/>
              </w:rPr>
              <w:t>证数据质量</w:t>
            </w:r>
          </w:p>
        </w:tc>
        <w:tc>
          <w:tcPr>
            <w:tcW w:w="2187" w:type="dxa"/>
            <w:vAlign w:val="top"/>
          </w:tcPr>
          <w:p>
            <w:pPr>
              <w:pStyle w:val="TableText"/>
              <w:ind w:left="74" w:right="208" w:firstLine="169"/>
              <w:spacing w:before="231" w:line="276" w:lineRule="auto"/>
              <w:rPr/>
            </w:pPr>
            <w:r>
              <w:rPr>
                <w:spacing w:val="-1"/>
              </w:rPr>
              <w:t>M3:数据质量专职人员及其</w:t>
            </w:r>
            <w:r>
              <w:rPr>
                <w:spacing w:val="10"/>
              </w:rPr>
              <w:t xml:space="preserve"> </w:t>
            </w:r>
            <w:r>
              <w:rPr>
                <w:spacing w:val="6"/>
              </w:rPr>
              <w:t>能力</w:t>
            </w:r>
          </w:p>
        </w:tc>
        <w:tc>
          <w:tcPr>
            <w:tcW w:w="2182" w:type="dxa"/>
            <w:vAlign w:val="top"/>
          </w:tcPr>
          <w:p>
            <w:pPr>
              <w:pStyle w:val="TableText"/>
              <w:ind w:left="107" w:right="110" w:firstLine="160"/>
              <w:spacing w:before="82" w:line="299" w:lineRule="auto"/>
              <w:jc w:val="both"/>
              <w:rPr/>
            </w:pPr>
            <w:r>
              <w:rPr>
                <w:spacing w:val="-1"/>
              </w:rPr>
              <w:t>设置专职人员，考核和度量</w:t>
            </w:r>
            <w:r>
              <w:rPr>
                <w:spacing w:val="2"/>
              </w:rPr>
              <w:t xml:space="preserve"> </w:t>
            </w:r>
            <w:r>
              <w:rPr/>
              <w:t>其能力，保证业务过程的数据</w:t>
            </w:r>
            <w:r>
              <w:rPr>
                <w:spacing w:val="2"/>
              </w:rPr>
              <w:t xml:space="preserve"> </w:t>
            </w:r>
            <w:r>
              <w:rPr>
                <w:spacing w:val="-2"/>
              </w:rPr>
              <w:t>质量</w:t>
            </w:r>
          </w:p>
        </w:tc>
      </w:tr>
      <w:tr>
        <w:trPr>
          <w:trHeight w:val="563" w:hRule="atLeast"/>
        </w:trPr>
        <w:tc>
          <w:tcPr>
            <w:tcW w:w="1273" w:type="dxa"/>
            <w:vAlign w:val="top"/>
            <w:vMerge w:val="continue"/>
            <w:tcBorders>
              <w:top w:val="nil"/>
            </w:tcBorders>
          </w:tcPr>
          <w:p>
            <w:pPr>
              <w:rPr>
                <w:rFonts w:ascii="Arial"/>
                <w:sz w:val="21"/>
              </w:rPr>
            </w:pPr>
            <w:r/>
          </w:p>
        </w:tc>
        <w:tc>
          <w:tcPr>
            <w:tcW w:w="1947" w:type="dxa"/>
            <w:vAlign w:val="top"/>
            <w:vMerge w:val="continue"/>
            <w:tcBorders>
              <w:top w:val="nil"/>
            </w:tcBorders>
          </w:tcPr>
          <w:p>
            <w:pPr>
              <w:rPr>
                <w:rFonts w:ascii="Arial"/>
                <w:sz w:val="21"/>
              </w:rPr>
            </w:pPr>
            <w:r/>
          </w:p>
        </w:tc>
        <w:tc>
          <w:tcPr>
            <w:tcW w:w="2187" w:type="dxa"/>
            <w:vAlign w:val="top"/>
          </w:tcPr>
          <w:p>
            <w:pPr>
              <w:pStyle w:val="TableText"/>
              <w:ind w:left="104" w:right="163" w:firstLine="160"/>
              <w:spacing w:before="85" w:line="288" w:lineRule="auto"/>
              <w:rPr/>
            </w:pPr>
            <w:r>
              <w:rPr>
                <w:spacing w:val="1"/>
              </w:rPr>
              <w:t>M4:业务流程及子过程的目</w:t>
            </w:r>
            <w:r>
              <w:rPr>
                <w:spacing w:val="9"/>
              </w:rPr>
              <w:t xml:space="preserve"> </w:t>
            </w:r>
            <w:r>
              <w:rPr/>
              <w:t>标</w:t>
            </w:r>
          </w:p>
        </w:tc>
        <w:tc>
          <w:tcPr>
            <w:tcW w:w="2182" w:type="dxa"/>
            <w:vAlign w:val="top"/>
          </w:tcPr>
          <w:p>
            <w:pPr>
              <w:pStyle w:val="TableText"/>
              <w:ind w:left="247"/>
              <w:spacing w:before="65" w:line="300" w:lineRule="exact"/>
              <w:rPr/>
            </w:pPr>
            <w:r>
              <w:rPr>
                <w:spacing w:val="-1"/>
                <w:position w:val="11"/>
              </w:rPr>
              <w:t>定义明确的业务流程及其</w:t>
            </w:r>
          </w:p>
          <w:p>
            <w:pPr>
              <w:pStyle w:val="TableText"/>
              <w:ind w:left="127"/>
              <w:spacing w:line="220" w:lineRule="auto"/>
              <w:rPr/>
            </w:pPr>
            <w:r>
              <w:rPr>
                <w:spacing w:val="-1"/>
              </w:rPr>
              <w:t>子过程的质量目标</w:t>
            </w:r>
          </w:p>
        </w:tc>
      </w:tr>
    </w:tbl>
    <w:p>
      <w:pPr>
        <w:pStyle w:val="BodyText"/>
        <w:rPr/>
      </w:pPr>
      <w:r/>
    </w:p>
    <w:p>
      <w:pPr>
        <w:sectPr>
          <w:footerReference w:type="default" r:id="rId244"/>
          <w:pgSz w:w="8870" w:h="13400"/>
          <w:pgMar w:top="400" w:right="578" w:bottom="528" w:left="474" w:header="0" w:footer="319" w:gutter="0"/>
        </w:sectPr>
        <w:rPr/>
      </w:pPr>
    </w:p>
    <w:p>
      <w:pPr>
        <w:ind w:left="99"/>
        <w:spacing w:before="17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178" name="IM 178"/>
            <wp:cNvGraphicFramePr/>
            <a:graphic>
              <a:graphicData uri="http://schemas.openxmlformats.org/drawingml/2006/picture">
                <pic:pic>
                  <pic:nvPicPr>
                    <pic:cNvPr id="178" name="IM 178"/>
                    <pic:cNvPicPr/>
                  </pic:nvPicPr>
                  <pic:blipFill>
                    <a:blip r:embed="rId246"/>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pStyle w:val="BodyText"/>
        <w:spacing w:line="288" w:lineRule="auto"/>
        <w:rPr/>
      </w:pPr>
      <w:r/>
    </w:p>
    <w:p>
      <w:pPr>
        <w:ind w:left="712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8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3"/>
        <w:gridCol w:w="1938"/>
        <w:gridCol w:w="2187"/>
        <w:gridCol w:w="2172"/>
      </w:tblGrid>
      <w:tr>
        <w:trPr>
          <w:trHeight w:val="325" w:hRule="atLeast"/>
        </w:trPr>
        <w:tc>
          <w:tcPr>
            <w:tcW w:w="1283" w:type="dxa"/>
            <w:vAlign w:val="top"/>
          </w:tcPr>
          <w:p>
            <w:pPr>
              <w:pStyle w:val="TableText"/>
              <w:ind w:left="334"/>
              <w:spacing w:before="91" w:line="220" w:lineRule="auto"/>
              <w:rPr/>
            </w:pPr>
            <w:r>
              <w:rPr>
                <w:spacing w:val="-18"/>
              </w:rPr>
              <w:t>目</w:t>
            </w:r>
            <w:r>
              <w:rPr>
                <w:spacing w:val="8"/>
              </w:rPr>
              <w:t xml:space="preserve">     </w:t>
            </w:r>
            <w:r>
              <w:rPr>
                <w:spacing w:val="-18"/>
              </w:rPr>
              <w:t>标</w:t>
            </w:r>
          </w:p>
        </w:tc>
        <w:tc>
          <w:tcPr>
            <w:tcW w:w="1938" w:type="dxa"/>
            <w:vAlign w:val="top"/>
          </w:tcPr>
          <w:p>
            <w:pPr>
              <w:pStyle w:val="TableText"/>
              <w:ind w:left="661"/>
              <w:spacing w:before="93" w:line="221" w:lineRule="auto"/>
              <w:rPr/>
            </w:pPr>
            <w:r>
              <w:rPr>
                <w:spacing w:val="-12"/>
              </w:rPr>
              <w:t>问</w:t>
            </w:r>
            <w:r>
              <w:rPr>
                <w:spacing w:val="10"/>
              </w:rPr>
              <w:t xml:space="preserve">   </w:t>
            </w:r>
            <w:r>
              <w:rPr>
                <w:spacing w:val="-12"/>
              </w:rPr>
              <w:t>题</w:t>
            </w:r>
          </w:p>
        </w:tc>
        <w:tc>
          <w:tcPr>
            <w:tcW w:w="2187" w:type="dxa"/>
            <w:vAlign w:val="top"/>
          </w:tcPr>
          <w:p>
            <w:pPr>
              <w:pStyle w:val="TableText"/>
              <w:ind w:left="734"/>
              <w:spacing w:before="9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72" w:type="dxa"/>
            <w:vAlign w:val="top"/>
          </w:tcPr>
          <w:p>
            <w:pPr>
              <w:pStyle w:val="TableText"/>
              <w:ind w:left="737"/>
              <w:spacing w:before="91" w:line="219" w:lineRule="auto"/>
              <w:rPr/>
            </w:pPr>
            <w:r>
              <w:rPr>
                <w:spacing w:val="3"/>
              </w:rPr>
              <w:t>度量项说明</w:t>
            </w:r>
          </w:p>
        </w:tc>
      </w:tr>
      <w:tr>
        <w:trPr>
          <w:trHeight w:val="979" w:hRule="atLeast"/>
        </w:trPr>
        <w:tc>
          <w:tcPr>
            <w:tcW w:w="1283" w:type="dxa"/>
            <w:vAlign w:val="top"/>
            <w:vMerge w:val="restart"/>
            <w:tcBorders>
              <w:bottom w:val="nil"/>
            </w:tcBorders>
          </w:tcPr>
          <w:p>
            <w:pPr>
              <w:rPr>
                <w:rFonts w:ascii="Arial"/>
                <w:sz w:val="21"/>
              </w:rPr>
            </w:pPr>
            <w:r/>
          </w:p>
          <w:p>
            <w:pPr>
              <w:spacing w:line="241" w:lineRule="auto"/>
              <w:rPr>
                <w:rFonts w:ascii="Arial"/>
                <w:sz w:val="21"/>
              </w:rPr>
            </w:pPr>
            <w:r/>
          </w:p>
          <w:p>
            <w:pPr>
              <w:spacing w:line="241" w:lineRule="auto"/>
              <w:rPr>
                <w:rFonts w:ascii="Arial"/>
                <w:sz w:val="21"/>
              </w:rPr>
            </w:pPr>
            <w:r/>
          </w:p>
          <w:p>
            <w:pPr>
              <w:pStyle w:val="TableText"/>
              <w:ind w:left="85" w:right="130" w:firstLine="169"/>
              <w:spacing w:before="48" w:line="279" w:lineRule="auto"/>
              <w:jc w:val="both"/>
              <w:rPr/>
            </w:pPr>
            <w:r>
              <w:rPr>
                <w:spacing w:val="-1"/>
              </w:rPr>
              <w:t>G1:数据质量</w:t>
            </w:r>
            <w:r>
              <w:rPr/>
              <w:t xml:space="preserve">  </w:t>
            </w:r>
            <w:r>
              <w:rPr>
                <w:spacing w:val="1"/>
              </w:rPr>
              <w:t>战略与业务目标</w:t>
            </w:r>
            <w:r>
              <w:rPr/>
              <w:t xml:space="preserve"> </w:t>
            </w:r>
            <w:r>
              <w:rPr>
                <w:spacing w:val="-5"/>
              </w:rPr>
              <w:t>一致</w:t>
            </w:r>
          </w:p>
        </w:tc>
        <w:tc>
          <w:tcPr>
            <w:tcW w:w="1938" w:type="dxa"/>
            <w:vAlign w:val="top"/>
          </w:tcPr>
          <w:p>
            <w:pPr>
              <w:pStyle w:val="TableText"/>
              <w:ind w:left="112" w:right="255" w:firstLine="139"/>
              <w:spacing w:before="286" w:line="257" w:lineRule="auto"/>
              <w:rPr/>
            </w:pPr>
            <w:r>
              <w:rPr>
                <w:spacing w:val="-1"/>
              </w:rPr>
              <w:t>Q2:业务过程中如何保</w:t>
            </w:r>
            <w:r>
              <w:rPr>
                <w:spacing w:val="5"/>
              </w:rPr>
              <w:t xml:space="preserve"> </w:t>
            </w:r>
            <w:r>
              <w:rPr>
                <w:spacing w:val="-1"/>
              </w:rPr>
              <w:t>证数据质量</w:t>
            </w:r>
          </w:p>
        </w:tc>
        <w:tc>
          <w:tcPr>
            <w:tcW w:w="2187" w:type="dxa"/>
            <w:vAlign w:val="top"/>
          </w:tcPr>
          <w:p>
            <w:pPr>
              <w:spacing w:line="365" w:lineRule="auto"/>
              <w:rPr>
                <w:rFonts w:ascii="Arial"/>
                <w:sz w:val="21"/>
              </w:rPr>
            </w:pPr>
            <w:r/>
          </w:p>
          <w:p>
            <w:pPr>
              <w:pStyle w:val="TableText"/>
              <w:ind w:left="274"/>
              <w:spacing w:before="48" w:line="219" w:lineRule="auto"/>
              <w:rPr/>
            </w:pPr>
            <w:r>
              <w:rPr>
                <w:spacing w:val="-1"/>
              </w:rPr>
              <w:t>M5:子过程中的数据质量</w:t>
            </w:r>
          </w:p>
        </w:tc>
        <w:tc>
          <w:tcPr>
            <w:tcW w:w="2172" w:type="dxa"/>
            <w:vAlign w:val="top"/>
          </w:tcPr>
          <w:p>
            <w:pPr>
              <w:pStyle w:val="TableText"/>
              <w:ind w:left="287"/>
              <w:spacing w:before="36" w:line="219" w:lineRule="auto"/>
              <w:rPr/>
            </w:pPr>
            <w:r>
              <w:rPr>
                <w:spacing w:val="-1"/>
              </w:rPr>
              <w:t>业务流程是由众多子过程</w:t>
            </w:r>
          </w:p>
          <w:p>
            <w:pPr>
              <w:pStyle w:val="TableText"/>
              <w:ind w:left="127" w:right="90"/>
              <w:spacing w:before="71" w:line="266" w:lineRule="auto"/>
              <w:rPr/>
            </w:pPr>
            <w:r>
              <w:rPr>
                <w:spacing w:val="1"/>
              </w:rPr>
              <w:t>组成，度量子过程的数据质  </w:t>
            </w:r>
            <w:r>
              <w:rPr>
                <w:spacing w:val="-1"/>
              </w:rPr>
              <w:t>量，能够有效反应业务过程的</w:t>
            </w:r>
            <w:r>
              <w:rPr>
                <w:spacing w:val="6"/>
              </w:rPr>
              <w:t xml:space="preserve"> </w:t>
            </w:r>
            <w:r>
              <w:rPr>
                <w:spacing w:val="-2"/>
              </w:rPr>
              <w:t>数据质量</w:t>
            </w:r>
          </w:p>
        </w:tc>
      </w:tr>
      <w:tr>
        <w:trPr>
          <w:trHeight w:val="1259" w:hRule="atLeast"/>
        </w:trPr>
        <w:tc>
          <w:tcPr>
            <w:tcW w:w="1283" w:type="dxa"/>
            <w:vAlign w:val="top"/>
            <w:vMerge w:val="continue"/>
            <w:tcBorders>
              <w:top w:val="nil"/>
            </w:tcBorders>
          </w:tcPr>
          <w:p>
            <w:pPr>
              <w:rPr>
                <w:rFonts w:ascii="Arial"/>
                <w:sz w:val="21"/>
              </w:rPr>
            </w:pPr>
            <w:r/>
          </w:p>
        </w:tc>
        <w:tc>
          <w:tcPr>
            <w:tcW w:w="1938" w:type="dxa"/>
            <w:vAlign w:val="top"/>
          </w:tcPr>
          <w:p>
            <w:pPr>
              <w:spacing w:line="265" w:lineRule="auto"/>
              <w:rPr>
                <w:rFonts w:ascii="Arial"/>
                <w:sz w:val="21"/>
              </w:rPr>
            </w:pPr>
            <w:r/>
          </w:p>
          <w:p>
            <w:pPr>
              <w:pStyle w:val="TableText"/>
              <w:ind w:left="102" w:right="176" w:firstLine="139"/>
              <w:spacing w:before="49" w:line="275" w:lineRule="auto"/>
              <w:rPr/>
            </w:pPr>
            <w:r>
              <w:rPr>
                <w:spacing w:val="-1"/>
              </w:rPr>
              <w:t>Q3:数据质量战略中是</w:t>
            </w:r>
            <w:r>
              <w:rPr>
                <w:spacing w:val="2"/>
              </w:rPr>
              <w:t xml:space="preserve">  </w:t>
            </w:r>
            <w:r>
              <w:rPr>
                <w:spacing w:val="-1"/>
              </w:rPr>
              <w:t>否清晰描述了目标、方针</w:t>
            </w:r>
            <w:r>
              <w:rPr>
                <w:spacing w:val="9"/>
              </w:rPr>
              <w:t xml:space="preserve"> </w:t>
            </w:r>
            <w:r>
              <w:rPr>
                <w:spacing w:val="-2"/>
              </w:rPr>
              <w:t>和过程</w:t>
            </w:r>
          </w:p>
        </w:tc>
        <w:tc>
          <w:tcPr>
            <w:tcW w:w="2187" w:type="dxa"/>
            <w:vAlign w:val="top"/>
          </w:tcPr>
          <w:p>
            <w:pPr>
              <w:spacing w:line="386" w:lineRule="auto"/>
              <w:rPr>
                <w:rFonts w:ascii="Arial"/>
                <w:sz w:val="21"/>
              </w:rPr>
            </w:pPr>
            <w:r/>
          </w:p>
          <w:p>
            <w:pPr>
              <w:pStyle w:val="TableText"/>
              <w:ind w:left="84" w:right="128" w:firstLine="170"/>
              <w:spacing w:before="48" w:line="264" w:lineRule="auto"/>
              <w:rPr/>
            </w:pPr>
            <w:r>
              <w:rPr>
                <w:spacing w:val="5"/>
              </w:rPr>
              <w:t>M6:数据质量目标、方针、</w:t>
            </w:r>
            <w:r>
              <w:rPr>
                <w:spacing w:val="3"/>
              </w:rPr>
              <w:t xml:space="preserve"> </w:t>
            </w:r>
            <w:r>
              <w:rPr>
                <w:spacing w:val="-2"/>
              </w:rPr>
              <w:t>过程</w:t>
            </w:r>
          </w:p>
        </w:tc>
        <w:tc>
          <w:tcPr>
            <w:tcW w:w="2172" w:type="dxa"/>
            <w:vAlign w:val="top"/>
          </w:tcPr>
          <w:p>
            <w:pPr>
              <w:pStyle w:val="TableText"/>
              <w:ind w:left="277"/>
              <w:spacing w:before="37" w:line="219" w:lineRule="auto"/>
              <w:rPr/>
            </w:pPr>
            <w:r>
              <w:rPr>
                <w:spacing w:val="-1"/>
              </w:rPr>
              <w:t>数据质量的目标应量化和</w:t>
            </w:r>
          </w:p>
          <w:p>
            <w:pPr>
              <w:pStyle w:val="TableText"/>
              <w:ind w:left="117" w:right="78" w:firstLine="10"/>
              <w:spacing w:before="90" w:line="289" w:lineRule="auto"/>
              <w:rPr/>
            </w:pPr>
            <w:r>
              <w:rPr>
                <w:spacing w:val="-1"/>
              </w:rPr>
              <w:t>细化，能够反应组织业务过程</w:t>
            </w:r>
            <w:r>
              <w:rPr>
                <w:spacing w:val="5"/>
              </w:rPr>
              <w:t xml:space="preserve"> </w:t>
            </w:r>
            <w:r>
              <w:rPr>
                <w:spacing w:val="1"/>
              </w:rPr>
              <w:t>的数据质量，方针、过程也应</w:t>
            </w:r>
            <w:r>
              <w:rPr>
                <w:spacing w:val="2"/>
              </w:rPr>
              <w:t xml:space="preserve"> </w:t>
            </w:r>
            <w:r>
              <w:rPr/>
              <w:t>有量化的定义，并通过度量方</w:t>
            </w:r>
            <w:r>
              <w:rPr>
                <w:spacing w:val="2"/>
              </w:rPr>
              <w:t xml:space="preserve"> </w:t>
            </w:r>
            <w:r>
              <w:rPr>
                <w:spacing w:val="-1"/>
              </w:rPr>
              <w:t>法得到量化的指标</w:t>
            </w:r>
          </w:p>
        </w:tc>
      </w:tr>
      <w:tr>
        <w:trPr>
          <w:trHeight w:val="510" w:hRule="atLeast"/>
        </w:trPr>
        <w:tc>
          <w:tcPr>
            <w:tcW w:w="1283" w:type="dxa"/>
            <w:vAlign w:val="top"/>
            <w:vMerge w:val="restart"/>
            <w:tcBorders>
              <w:bottom w:val="nil"/>
            </w:tcBorders>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85" w:right="100" w:firstLine="169"/>
              <w:spacing w:before="49" w:line="275" w:lineRule="auto"/>
              <w:rPr/>
            </w:pPr>
            <w:r>
              <w:rPr>
                <w:spacing w:val="-1"/>
              </w:rPr>
              <w:t>G2:数据质量</w:t>
            </w:r>
            <w:r>
              <w:rPr/>
              <w:t xml:space="preserve">  </w:t>
            </w:r>
            <w:r>
              <w:rPr>
                <w:spacing w:val="5"/>
              </w:rPr>
              <w:t>目标必须是可实</w:t>
            </w:r>
            <w:r>
              <w:rPr>
                <w:spacing w:val="1"/>
              </w:rPr>
              <w:t xml:space="preserve"> </w:t>
            </w:r>
            <w:r>
              <w:rPr>
                <w:spacing w:val="-2"/>
              </w:rPr>
              <w:t>现的</w:t>
            </w:r>
          </w:p>
        </w:tc>
        <w:tc>
          <w:tcPr>
            <w:tcW w:w="1938" w:type="dxa"/>
            <w:vAlign w:val="top"/>
            <w:vMerge w:val="restart"/>
            <w:tcBorders>
              <w:bottom w:val="nil"/>
            </w:tcBorders>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102" w:right="265" w:firstLine="139"/>
              <w:spacing w:before="49" w:line="264" w:lineRule="auto"/>
              <w:rPr/>
            </w:pPr>
            <w:r>
              <w:rPr>
                <w:spacing w:val="-1"/>
              </w:rPr>
              <w:t>Q4:数据质量目标与组</w:t>
            </w:r>
            <w:r>
              <w:rPr>
                <w:spacing w:val="5"/>
              </w:rPr>
              <w:t xml:space="preserve"> </w:t>
            </w:r>
            <w:r>
              <w:rPr>
                <w:spacing w:val="-1"/>
              </w:rPr>
              <w:t>织的哪些过程有关联</w:t>
            </w:r>
          </w:p>
        </w:tc>
        <w:tc>
          <w:tcPr>
            <w:tcW w:w="2187" w:type="dxa"/>
            <w:vAlign w:val="top"/>
          </w:tcPr>
          <w:p>
            <w:pPr>
              <w:pStyle w:val="TableText"/>
              <w:ind w:left="84" w:right="229" w:firstLine="139"/>
              <w:spacing w:before="48" w:line="264" w:lineRule="auto"/>
              <w:rPr/>
            </w:pPr>
            <w:r>
              <w:rPr>
                <w:spacing w:val="-1"/>
              </w:rPr>
              <w:t>M7:与质量目标关联的组织</w:t>
            </w:r>
            <w:r>
              <w:rPr>
                <w:spacing w:val="10"/>
              </w:rPr>
              <w:t xml:space="preserve"> </w:t>
            </w:r>
            <w:r>
              <w:rPr>
                <w:spacing w:val="-2"/>
              </w:rPr>
              <w:t>过程</w:t>
            </w:r>
          </w:p>
        </w:tc>
        <w:tc>
          <w:tcPr>
            <w:tcW w:w="2172" w:type="dxa"/>
            <w:vAlign w:val="top"/>
          </w:tcPr>
          <w:p>
            <w:pPr>
              <w:pStyle w:val="TableText"/>
              <w:ind w:left="127" w:right="102" w:firstLine="139"/>
              <w:spacing w:before="68" w:line="257" w:lineRule="auto"/>
              <w:rPr/>
            </w:pPr>
            <w:r>
              <w:rPr>
                <w:spacing w:val="-1"/>
              </w:rPr>
              <w:t>组织的质量目标，必须得到</w:t>
            </w:r>
            <w:r>
              <w:rPr>
                <w:spacing w:val="3"/>
              </w:rPr>
              <w:t xml:space="preserve"> </w:t>
            </w:r>
            <w:r>
              <w:rPr>
                <w:spacing w:val="-1"/>
              </w:rPr>
              <w:t>组织相关过程的支撑</w:t>
            </w:r>
          </w:p>
        </w:tc>
      </w:tr>
      <w:tr>
        <w:trPr>
          <w:trHeight w:val="739" w:hRule="atLeast"/>
        </w:trPr>
        <w:tc>
          <w:tcPr>
            <w:tcW w:w="128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87" w:type="dxa"/>
            <w:vAlign w:val="top"/>
          </w:tcPr>
          <w:p>
            <w:pPr>
              <w:pStyle w:val="TableText"/>
              <w:ind w:left="104" w:right="199" w:firstLine="149"/>
              <w:spacing w:before="168" w:line="264" w:lineRule="auto"/>
              <w:rPr/>
            </w:pPr>
            <w:r>
              <w:rPr>
                <w:spacing w:val="-1"/>
              </w:rPr>
              <w:t>M8:过程对于实现目标、方</w:t>
            </w:r>
            <w:r>
              <w:rPr>
                <w:spacing w:val="10"/>
              </w:rPr>
              <w:t xml:space="preserve"> </w:t>
            </w:r>
            <w:r>
              <w:rPr>
                <w:spacing w:val="-1"/>
              </w:rPr>
              <w:t>针的关键性程度</w:t>
            </w:r>
          </w:p>
        </w:tc>
        <w:tc>
          <w:tcPr>
            <w:tcW w:w="2172" w:type="dxa"/>
            <w:vAlign w:val="top"/>
          </w:tcPr>
          <w:p>
            <w:pPr>
              <w:pStyle w:val="TableText"/>
              <w:ind w:left="117" w:right="90" w:firstLine="160"/>
              <w:spacing w:before="49" w:line="274" w:lineRule="auto"/>
              <w:jc w:val="both"/>
              <w:rPr/>
            </w:pPr>
            <w:r>
              <w:rPr>
                <w:spacing w:val="-1"/>
              </w:rPr>
              <w:t>对于不同的组织过程，应对</w:t>
            </w:r>
            <w:r>
              <w:rPr>
                <w:spacing w:val="5"/>
              </w:rPr>
              <w:t xml:space="preserve"> </w:t>
            </w:r>
            <w:r>
              <w:rPr/>
              <w:t>其关键性进行排序，以识别关</w:t>
            </w:r>
            <w:r>
              <w:rPr>
                <w:spacing w:val="2"/>
              </w:rPr>
              <w:t xml:space="preserve"> </w:t>
            </w:r>
            <w:r>
              <w:rPr>
                <w:spacing w:val="-1"/>
              </w:rPr>
              <w:t>键性的过程。</w:t>
            </w:r>
          </w:p>
        </w:tc>
      </w:tr>
      <w:tr>
        <w:trPr>
          <w:trHeight w:val="749" w:hRule="atLeast"/>
        </w:trPr>
        <w:tc>
          <w:tcPr>
            <w:tcW w:w="128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87" w:type="dxa"/>
            <w:vAlign w:val="top"/>
          </w:tcPr>
          <w:p>
            <w:pPr>
              <w:spacing w:line="248" w:lineRule="auto"/>
              <w:rPr>
                <w:rFonts w:ascii="Arial"/>
                <w:sz w:val="21"/>
              </w:rPr>
            </w:pPr>
            <w:r/>
          </w:p>
          <w:p>
            <w:pPr>
              <w:pStyle w:val="TableText"/>
              <w:ind w:left="274"/>
              <w:spacing w:before="49" w:line="219" w:lineRule="auto"/>
              <w:rPr/>
            </w:pPr>
            <w:r>
              <w:rPr>
                <w:spacing w:val="-1"/>
              </w:rPr>
              <w:t>M9:量化的过程质量模型</w:t>
            </w:r>
          </w:p>
        </w:tc>
        <w:tc>
          <w:tcPr>
            <w:tcW w:w="2172" w:type="dxa"/>
            <w:vAlign w:val="top"/>
          </w:tcPr>
          <w:p>
            <w:pPr>
              <w:pStyle w:val="TableText"/>
              <w:ind w:left="117" w:right="241" w:firstLine="160"/>
              <w:spacing w:before="48" w:line="279" w:lineRule="auto"/>
              <w:jc w:val="both"/>
              <w:rPr/>
            </w:pPr>
            <w:r>
              <w:rPr>
                <w:spacing w:val="-1"/>
              </w:rPr>
              <w:t>组织的数据目标可以通过</w:t>
            </w:r>
            <w:r>
              <w:rPr>
                <w:spacing w:val="2"/>
              </w:rPr>
              <w:t xml:space="preserve"> </w:t>
            </w:r>
            <w:r>
              <w:rPr/>
              <w:t>过程质量的模型进行测量和</w:t>
            </w:r>
            <w:r>
              <w:rPr>
                <w:spacing w:val="2"/>
              </w:rPr>
              <w:t xml:space="preserve"> </w:t>
            </w:r>
            <w:r>
              <w:rPr>
                <w:spacing w:val="-3"/>
              </w:rPr>
              <w:t>实现</w:t>
            </w:r>
          </w:p>
        </w:tc>
      </w:tr>
      <w:tr>
        <w:trPr>
          <w:trHeight w:val="520" w:hRule="atLeast"/>
        </w:trPr>
        <w:tc>
          <w:tcPr>
            <w:tcW w:w="128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23" w:lineRule="auto"/>
              <w:rPr>
                <w:rFonts w:ascii="Arial"/>
                <w:sz w:val="21"/>
              </w:rPr>
            </w:pPr>
            <w:r/>
          </w:p>
          <w:p>
            <w:pPr>
              <w:spacing w:line="323" w:lineRule="auto"/>
              <w:rPr>
                <w:rFonts w:ascii="Arial"/>
                <w:sz w:val="21"/>
              </w:rPr>
            </w:pPr>
            <w:r/>
          </w:p>
          <w:p>
            <w:pPr>
              <w:pStyle w:val="TableText"/>
              <w:ind w:left="91" w:right="265" w:firstLine="149"/>
              <w:spacing w:before="49" w:line="246" w:lineRule="auto"/>
              <w:rPr/>
            </w:pPr>
            <w:r>
              <w:rPr>
                <w:spacing w:val="-1"/>
              </w:rPr>
              <w:t>Q5:组织有哪些数据质</w:t>
            </w:r>
            <w:r>
              <w:rPr>
                <w:spacing w:val="5"/>
              </w:rPr>
              <w:t xml:space="preserve"> </w:t>
            </w:r>
            <w:r>
              <w:rPr>
                <w:spacing w:val="-2"/>
              </w:rPr>
              <w:t>量需求</w:t>
            </w:r>
          </w:p>
        </w:tc>
        <w:tc>
          <w:tcPr>
            <w:tcW w:w="2187" w:type="dxa"/>
            <w:vAlign w:val="top"/>
          </w:tcPr>
          <w:p>
            <w:pPr>
              <w:pStyle w:val="TableText"/>
              <w:ind w:left="104" w:right="254" w:firstLine="169"/>
              <w:spacing w:before="59" w:line="270" w:lineRule="auto"/>
              <w:rPr/>
            </w:pPr>
            <w:r>
              <w:rPr>
                <w:spacing w:val="-1"/>
              </w:rPr>
              <w:t>M10:传输、存储等完整性</w:t>
            </w:r>
            <w:r>
              <w:rPr>
                <w:spacing w:val="10"/>
              </w:rPr>
              <w:t xml:space="preserve"> </w:t>
            </w:r>
            <w:r>
              <w:rPr>
                <w:spacing w:val="3"/>
              </w:rPr>
              <w:t>比率</w:t>
            </w:r>
          </w:p>
        </w:tc>
        <w:tc>
          <w:tcPr>
            <w:tcW w:w="2172" w:type="dxa"/>
            <w:vAlign w:val="top"/>
          </w:tcPr>
          <w:p>
            <w:pPr>
              <w:pStyle w:val="TableText"/>
              <w:ind w:left="137" w:right="92" w:firstLine="139"/>
              <w:spacing w:before="59" w:line="270" w:lineRule="auto"/>
              <w:rPr/>
            </w:pPr>
            <w:r>
              <w:rPr>
                <w:spacing w:val="-1"/>
              </w:rPr>
              <w:t>组织应考虑数据在传输、储</w:t>
            </w:r>
            <w:r>
              <w:rPr>
                <w:spacing w:val="3"/>
              </w:rPr>
              <w:t xml:space="preserve"> </w:t>
            </w:r>
            <w:r>
              <w:rPr>
                <w:spacing w:val="-1"/>
              </w:rPr>
              <w:t>存等过程中的质量</w:t>
            </w:r>
          </w:p>
        </w:tc>
      </w:tr>
      <w:tr>
        <w:trPr>
          <w:trHeight w:val="499" w:hRule="atLeast"/>
        </w:trPr>
        <w:tc>
          <w:tcPr>
            <w:tcW w:w="128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87" w:type="dxa"/>
            <w:vAlign w:val="top"/>
          </w:tcPr>
          <w:p>
            <w:pPr>
              <w:pStyle w:val="TableText"/>
              <w:ind w:left="113" w:right="274" w:firstLine="140"/>
              <w:spacing w:before="39" w:line="270" w:lineRule="auto"/>
              <w:rPr/>
            </w:pPr>
            <w:r>
              <w:rPr>
                <w:spacing w:val="-1"/>
              </w:rPr>
              <w:t>M11:数据、应用、服务等</w:t>
            </w:r>
            <w:r>
              <w:rPr>
                <w:spacing w:val="10"/>
              </w:rPr>
              <w:t xml:space="preserve"> </w:t>
            </w:r>
            <w:r>
              <w:rPr>
                <w:spacing w:val="-2"/>
              </w:rPr>
              <w:t>可用性比率</w:t>
            </w:r>
          </w:p>
        </w:tc>
        <w:tc>
          <w:tcPr>
            <w:tcW w:w="2172" w:type="dxa"/>
            <w:vAlign w:val="top"/>
          </w:tcPr>
          <w:p>
            <w:pPr>
              <w:pStyle w:val="TableText"/>
              <w:ind w:left="137" w:right="90" w:firstLine="139"/>
              <w:spacing w:before="39" w:line="270" w:lineRule="auto"/>
              <w:rPr/>
            </w:pPr>
            <w:r>
              <w:rPr>
                <w:spacing w:val="-1"/>
              </w:rPr>
              <w:t>组织应考虑数据的可用性，</w:t>
            </w:r>
            <w:r>
              <w:rPr>
                <w:spacing w:val="5"/>
              </w:rPr>
              <w:t xml:space="preserve"> </w:t>
            </w:r>
            <w:r>
              <w:rPr>
                <w:spacing w:val="-1"/>
              </w:rPr>
              <w:t>并通过手段进行测量</w:t>
            </w:r>
          </w:p>
        </w:tc>
      </w:tr>
      <w:tr>
        <w:trPr>
          <w:trHeight w:val="729" w:hRule="atLeast"/>
        </w:trPr>
        <w:tc>
          <w:tcPr>
            <w:tcW w:w="128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87" w:type="dxa"/>
            <w:vAlign w:val="top"/>
          </w:tcPr>
          <w:p>
            <w:pPr>
              <w:rPr>
                <w:rFonts w:ascii="Arial"/>
                <w:sz w:val="21"/>
              </w:rPr>
            </w:pPr>
            <w:r/>
          </w:p>
          <w:p>
            <w:pPr>
              <w:pStyle w:val="TableText"/>
              <w:ind w:left="254"/>
              <w:spacing w:before="49" w:line="219" w:lineRule="auto"/>
              <w:rPr/>
            </w:pPr>
            <w:r>
              <w:rPr>
                <w:spacing w:val="-1"/>
              </w:rPr>
              <w:t>M12:保密性等级</w:t>
            </w:r>
          </w:p>
        </w:tc>
        <w:tc>
          <w:tcPr>
            <w:tcW w:w="2172" w:type="dxa"/>
            <w:vAlign w:val="top"/>
          </w:tcPr>
          <w:p>
            <w:pPr>
              <w:pStyle w:val="TableText"/>
              <w:ind w:left="117" w:right="71" w:firstLine="149"/>
              <w:spacing w:before="41" w:line="274" w:lineRule="auto"/>
              <w:rPr/>
            </w:pPr>
            <w:r>
              <w:rPr>
                <w:spacing w:val="-1"/>
              </w:rPr>
              <w:t>组织应考虑数据的保密性，</w:t>
            </w:r>
            <w:r>
              <w:rPr>
                <w:spacing w:val="5"/>
              </w:rPr>
              <w:t xml:space="preserve"> </w:t>
            </w:r>
            <w:r>
              <w:rPr>
                <w:spacing w:val="1"/>
              </w:rPr>
              <w:t>并设置不同等级，以满足不同</w:t>
            </w:r>
            <w:r>
              <w:rPr>
                <w:spacing w:val="9"/>
              </w:rPr>
              <w:t xml:space="preserve"> </w:t>
            </w:r>
            <w:r>
              <w:rPr>
                <w:spacing w:val="-1"/>
              </w:rPr>
              <w:t>业务的需求</w:t>
            </w:r>
          </w:p>
        </w:tc>
      </w:tr>
      <w:tr>
        <w:trPr>
          <w:trHeight w:val="519" w:hRule="atLeast"/>
        </w:trPr>
        <w:tc>
          <w:tcPr>
            <w:tcW w:w="1283" w:type="dxa"/>
            <w:vAlign w:val="top"/>
            <w:vMerge w:val="restart"/>
            <w:tcBorders>
              <w:bottom w:val="nil"/>
            </w:tcBorders>
          </w:tcPr>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TableText"/>
              <w:ind w:left="95" w:right="107" w:firstLine="159"/>
              <w:spacing w:before="49" w:line="280" w:lineRule="auto"/>
              <w:rPr/>
            </w:pPr>
            <w:r>
              <w:rPr>
                <w:spacing w:val="-1"/>
              </w:rPr>
              <w:t>G3:数据质量</w:t>
            </w:r>
            <w:r>
              <w:rPr/>
              <w:t xml:space="preserve">  </w:t>
            </w:r>
            <w:r>
              <w:rPr>
                <w:spacing w:val="2"/>
              </w:rPr>
              <w:t>战略必须贯彻到</w:t>
            </w:r>
            <w:r>
              <w:rPr>
                <w:spacing w:val="5"/>
              </w:rPr>
              <w:t xml:space="preserve"> </w:t>
            </w:r>
            <w:r>
              <w:rPr/>
              <w:t>组织的项目过程</w:t>
            </w:r>
            <w:r>
              <w:rPr>
                <w:spacing w:val="1"/>
              </w:rPr>
              <w:t xml:space="preserve"> </w:t>
            </w:r>
            <w:r>
              <w:rPr/>
              <w:t>中</w:t>
            </w:r>
          </w:p>
        </w:tc>
        <w:tc>
          <w:tcPr>
            <w:tcW w:w="1938" w:type="dxa"/>
            <w:vAlign w:val="top"/>
            <w:vMerge w:val="restart"/>
            <w:tcBorders>
              <w:bottom w:val="nil"/>
            </w:tcBorders>
          </w:tcPr>
          <w:p>
            <w:pPr>
              <w:spacing w:line="271" w:lineRule="auto"/>
              <w:rPr>
                <w:rFonts w:ascii="Arial"/>
                <w:sz w:val="21"/>
              </w:rPr>
            </w:pPr>
            <w:r/>
          </w:p>
          <w:p>
            <w:pPr>
              <w:pStyle w:val="TableText"/>
              <w:ind w:left="102" w:right="172" w:firstLine="139"/>
              <w:spacing w:before="49" w:line="274" w:lineRule="auto"/>
              <w:rPr/>
            </w:pPr>
            <w:r>
              <w:rPr>
                <w:spacing w:val="-1"/>
              </w:rPr>
              <w:t>Q6:数据质量战略如何</w:t>
            </w:r>
            <w:r>
              <w:rPr>
                <w:spacing w:val="2"/>
              </w:rPr>
              <w:t xml:space="preserve">  </w:t>
            </w:r>
            <w:r>
              <w:rPr/>
              <w:t>得到广泛的推广、沟通和</w:t>
            </w:r>
            <w:r>
              <w:rPr>
                <w:spacing w:val="2"/>
              </w:rPr>
              <w:t xml:space="preserve"> </w:t>
            </w:r>
            <w:r>
              <w:rPr>
                <w:spacing w:val="9"/>
              </w:rPr>
              <w:t>使用</w:t>
            </w:r>
          </w:p>
        </w:tc>
        <w:tc>
          <w:tcPr>
            <w:tcW w:w="2187" w:type="dxa"/>
            <w:vAlign w:val="top"/>
          </w:tcPr>
          <w:p>
            <w:pPr>
              <w:pStyle w:val="TableText"/>
              <w:ind w:left="104" w:right="434" w:firstLine="139"/>
              <w:spacing w:before="51" w:line="276" w:lineRule="auto"/>
              <w:rPr/>
            </w:pPr>
            <w:r>
              <w:rPr>
                <w:spacing w:val="-1"/>
              </w:rPr>
              <w:t>M13:通过会议、培训等</w:t>
            </w:r>
            <w:r>
              <w:rPr>
                <w:spacing w:val="9"/>
              </w:rPr>
              <w:t xml:space="preserve"> </w:t>
            </w:r>
            <w:r>
              <w:rPr>
                <w:spacing w:val="-2"/>
              </w:rPr>
              <w:t>人员普及率</w:t>
            </w:r>
          </w:p>
        </w:tc>
        <w:tc>
          <w:tcPr>
            <w:tcW w:w="2172" w:type="dxa"/>
            <w:vAlign w:val="top"/>
          </w:tcPr>
          <w:p>
            <w:pPr>
              <w:pStyle w:val="TableText"/>
              <w:ind w:left="127" w:right="92" w:firstLine="149"/>
              <w:spacing w:before="51" w:line="270" w:lineRule="auto"/>
              <w:rPr/>
            </w:pPr>
            <w:r>
              <w:rPr>
                <w:spacing w:val="-1"/>
              </w:rPr>
              <w:t>从人员的角度进行普及，应</w:t>
            </w:r>
            <w:r>
              <w:rPr>
                <w:spacing w:val="3"/>
              </w:rPr>
              <w:t xml:space="preserve"> </w:t>
            </w:r>
            <w:r>
              <w:rPr>
                <w:spacing w:val="-1"/>
              </w:rPr>
              <w:t>保证人员培训和沟通的效率</w:t>
            </w:r>
          </w:p>
        </w:tc>
      </w:tr>
      <w:tr>
        <w:trPr>
          <w:trHeight w:val="749" w:hRule="atLeast"/>
        </w:trPr>
        <w:tc>
          <w:tcPr>
            <w:tcW w:w="128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87" w:type="dxa"/>
            <w:vAlign w:val="top"/>
          </w:tcPr>
          <w:p>
            <w:pPr>
              <w:pStyle w:val="TableText"/>
              <w:ind w:left="104" w:right="274" w:firstLine="149"/>
              <w:spacing w:before="183" w:line="251" w:lineRule="auto"/>
              <w:rPr/>
            </w:pPr>
            <w:r>
              <w:rPr>
                <w:spacing w:val="-1"/>
              </w:rPr>
              <w:t>M14:过程工具、流程普及</w:t>
            </w:r>
            <w:r>
              <w:rPr>
                <w:spacing w:val="10"/>
              </w:rPr>
              <w:t xml:space="preserve"> </w:t>
            </w:r>
            <w:r>
              <w:rPr/>
              <w:t>率</w:t>
            </w:r>
          </w:p>
        </w:tc>
        <w:tc>
          <w:tcPr>
            <w:tcW w:w="2172" w:type="dxa"/>
            <w:vAlign w:val="top"/>
          </w:tcPr>
          <w:p>
            <w:pPr>
              <w:pStyle w:val="TableText"/>
              <w:ind w:left="277"/>
              <w:spacing w:before="43" w:line="219" w:lineRule="auto"/>
              <w:rPr/>
            </w:pPr>
            <w:r>
              <w:rPr>
                <w:spacing w:val="-1"/>
              </w:rPr>
              <w:t>通过工具在业务过程和流</w:t>
            </w:r>
          </w:p>
          <w:p>
            <w:pPr>
              <w:pStyle w:val="TableText"/>
              <w:ind w:left="106" w:right="100" w:firstLine="10"/>
              <w:spacing w:before="81" w:line="264" w:lineRule="auto"/>
              <w:rPr/>
            </w:pPr>
            <w:r>
              <w:rPr>
                <w:spacing w:val="-1"/>
              </w:rPr>
              <w:t>程中，进行数据质量战略的推</w:t>
            </w:r>
            <w:r>
              <w:rPr>
                <w:spacing w:val="6"/>
              </w:rPr>
              <w:t xml:space="preserve"> </w:t>
            </w:r>
            <w:r>
              <w:rPr>
                <w:spacing w:val="4"/>
              </w:rPr>
              <w:t>广和使用</w:t>
            </w:r>
          </w:p>
        </w:tc>
      </w:tr>
      <w:tr>
        <w:trPr>
          <w:trHeight w:val="999" w:hRule="atLeast"/>
        </w:trPr>
        <w:tc>
          <w:tcPr>
            <w:tcW w:w="1283" w:type="dxa"/>
            <w:vAlign w:val="top"/>
            <w:vMerge w:val="continue"/>
            <w:tcBorders>
              <w:top w:val="nil"/>
              <w:bottom w:val="nil"/>
            </w:tcBorders>
          </w:tcPr>
          <w:p>
            <w:pPr>
              <w:rPr>
                <w:rFonts w:ascii="Arial"/>
                <w:sz w:val="21"/>
              </w:rPr>
            </w:pPr>
            <w:r/>
          </w:p>
        </w:tc>
        <w:tc>
          <w:tcPr>
            <w:tcW w:w="1938" w:type="dxa"/>
            <w:vAlign w:val="top"/>
          </w:tcPr>
          <w:p>
            <w:pPr>
              <w:pStyle w:val="TableText"/>
              <w:ind w:left="112" w:right="164" w:firstLine="139"/>
              <w:spacing w:before="183" w:line="279" w:lineRule="auto"/>
              <w:rPr/>
            </w:pPr>
            <w:r>
              <w:rPr>
                <w:spacing w:val="-1"/>
              </w:rPr>
              <w:t>Q7:是否将数据质量与</w:t>
            </w:r>
            <w:r>
              <w:rPr>
                <w:spacing w:val="2"/>
              </w:rPr>
              <w:t xml:space="preserve">  </w:t>
            </w:r>
            <w:r>
              <w:rPr/>
              <w:t>系统的开发生命周期进行 </w:t>
            </w:r>
            <w:r>
              <w:rPr>
                <w:spacing w:val="2"/>
              </w:rPr>
              <w:t>了结合</w:t>
            </w:r>
          </w:p>
        </w:tc>
        <w:tc>
          <w:tcPr>
            <w:tcW w:w="2187" w:type="dxa"/>
            <w:vAlign w:val="top"/>
          </w:tcPr>
          <w:p>
            <w:pPr>
              <w:spacing w:line="254" w:lineRule="auto"/>
              <w:rPr>
                <w:rFonts w:ascii="Arial"/>
                <w:sz w:val="21"/>
              </w:rPr>
            </w:pPr>
            <w:r/>
          </w:p>
          <w:p>
            <w:pPr>
              <w:pStyle w:val="TableText"/>
              <w:ind w:left="113" w:right="274" w:firstLine="140"/>
              <w:spacing w:before="48" w:line="264" w:lineRule="auto"/>
              <w:rPr/>
            </w:pPr>
            <w:r>
              <w:rPr>
                <w:spacing w:val="-1"/>
              </w:rPr>
              <w:t>M15:与数据质量相关的子</w:t>
            </w:r>
            <w:r>
              <w:rPr>
                <w:spacing w:val="10"/>
              </w:rPr>
              <w:t xml:space="preserve"> </w:t>
            </w:r>
            <w:r>
              <w:rPr>
                <w:spacing w:val="-2"/>
              </w:rPr>
              <w:t>过程</w:t>
            </w:r>
          </w:p>
        </w:tc>
        <w:tc>
          <w:tcPr>
            <w:tcW w:w="2172" w:type="dxa"/>
            <w:vAlign w:val="top"/>
          </w:tcPr>
          <w:p>
            <w:pPr>
              <w:pStyle w:val="TableText"/>
              <w:ind w:left="117" w:right="90" w:firstLine="160"/>
              <w:spacing w:before="53" w:line="286" w:lineRule="auto"/>
              <w:rPr/>
            </w:pPr>
            <w:r>
              <w:rPr>
                <w:spacing w:val="-1"/>
              </w:rPr>
              <w:t>业务部门应结合业务特点</w:t>
            </w:r>
            <w:r>
              <w:rPr>
                <w:spacing w:val="1"/>
              </w:rPr>
              <w:t xml:space="preserve">   </w:t>
            </w:r>
            <w:r>
              <w:rPr/>
              <w:t>和组织系统的开发生命周期，</w:t>
            </w:r>
            <w:r>
              <w:rPr>
                <w:spacing w:val="3"/>
              </w:rPr>
              <w:t xml:space="preserve"> </w:t>
            </w:r>
            <w:r>
              <w:rPr>
                <w:spacing w:val="-1"/>
              </w:rPr>
              <w:t>识别所有与数据质量相关的</w:t>
            </w:r>
            <w:r>
              <w:rPr>
                <w:spacing w:val="1"/>
              </w:rPr>
              <w:t xml:space="preserve">   </w:t>
            </w:r>
            <w:r>
              <w:rPr>
                <w:spacing w:val="-1"/>
              </w:rPr>
              <w:t>过程及其子过程</w:t>
            </w:r>
          </w:p>
        </w:tc>
      </w:tr>
      <w:tr>
        <w:trPr>
          <w:trHeight w:val="1259" w:hRule="atLeast"/>
        </w:trPr>
        <w:tc>
          <w:tcPr>
            <w:tcW w:w="128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15" w:lineRule="auto"/>
              <w:rPr>
                <w:rFonts w:ascii="Arial"/>
                <w:sz w:val="21"/>
              </w:rPr>
            </w:pPr>
            <w:r/>
          </w:p>
          <w:p>
            <w:pPr>
              <w:spacing w:line="316" w:lineRule="auto"/>
              <w:rPr>
                <w:rFonts w:ascii="Arial"/>
                <w:sz w:val="21"/>
              </w:rPr>
            </w:pPr>
            <w:r/>
          </w:p>
          <w:p>
            <w:pPr>
              <w:pStyle w:val="TableText"/>
              <w:ind w:left="91" w:right="193" w:firstLine="160"/>
              <w:spacing w:before="49" w:line="283" w:lineRule="auto"/>
              <w:jc w:val="both"/>
              <w:rPr/>
            </w:pPr>
            <w:r>
              <w:rPr>
                <w:spacing w:val="-1"/>
              </w:rPr>
              <w:t>Q8:数据质量改进与业</w:t>
            </w:r>
            <w:r>
              <w:rPr>
                <w:spacing w:val="2"/>
              </w:rPr>
              <w:t xml:space="preserve">  </w:t>
            </w:r>
            <w:r>
              <w:rPr>
                <w:spacing w:val="-1"/>
              </w:rPr>
              <w:t>务过程改进是如何结合在</w:t>
            </w:r>
            <w:r>
              <w:rPr>
                <w:spacing w:val="2"/>
              </w:rPr>
              <w:t xml:space="preserve"> </w:t>
            </w:r>
            <w:r>
              <w:rPr/>
              <w:t>一起的</w:t>
            </w:r>
          </w:p>
        </w:tc>
        <w:tc>
          <w:tcPr>
            <w:tcW w:w="2187" w:type="dxa"/>
            <w:vAlign w:val="top"/>
          </w:tcPr>
          <w:p>
            <w:pPr>
              <w:spacing w:line="373" w:lineRule="auto"/>
              <w:rPr>
                <w:rFonts w:ascii="Arial"/>
                <w:sz w:val="21"/>
              </w:rPr>
            </w:pPr>
            <w:r/>
          </w:p>
          <w:p>
            <w:pPr>
              <w:pStyle w:val="TableText"/>
              <w:ind w:left="113" w:right="274" w:firstLine="140"/>
              <w:spacing w:before="48" w:line="264" w:lineRule="auto"/>
              <w:rPr/>
            </w:pPr>
            <w:r>
              <w:rPr>
                <w:spacing w:val="-1"/>
              </w:rPr>
              <w:t>M16:数据质量和业务过程</w:t>
            </w:r>
            <w:r>
              <w:rPr>
                <w:spacing w:val="10"/>
              </w:rPr>
              <w:t xml:space="preserve"> </w:t>
            </w:r>
            <w:r>
              <w:rPr>
                <w:spacing w:val="-2"/>
              </w:rPr>
              <w:t>改进的目标</w:t>
            </w:r>
          </w:p>
        </w:tc>
        <w:tc>
          <w:tcPr>
            <w:tcW w:w="2172" w:type="dxa"/>
            <w:vAlign w:val="top"/>
          </w:tcPr>
          <w:p>
            <w:pPr>
              <w:pStyle w:val="TableText"/>
              <w:ind w:left="277"/>
              <w:spacing w:before="45" w:line="219" w:lineRule="auto"/>
              <w:rPr/>
            </w:pPr>
            <w:r>
              <w:rPr>
                <w:spacing w:val="-1"/>
              </w:rPr>
              <w:t>数据质量目标和业务目标</w:t>
            </w:r>
          </w:p>
          <w:p>
            <w:pPr>
              <w:pStyle w:val="TableText"/>
              <w:ind w:left="97" w:right="56" w:firstLine="29"/>
              <w:spacing w:before="72" w:line="293" w:lineRule="auto"/>
              <w:rPr/>
            </w:pPr>
            <w:r>
              <w:rPr>
                <w:spacing w:val="2"/>
              </w:rPr>
              <w:t>应相符，并且能够支撑业务目</w:t>
            </w:r>
            <w:r>
              <w:rPr>
                <w:spacing w:val="1"/>
              </w:rPr>
              <w:t xml:space="preserve"> </w:t>
            </w:r>
            <w:r>
              <w:rPr/>
              <w:t>标的达成，目标应是量化的， </w:t>
            </w:r>
            <w:r>
              <w:rPr/>
              <w:t>可测量的，才能实现过程改进 </w:t>
            </w:r>
            <w:r>
              <w:rPr>
                <w:spacing w:val="3"/>
              </w:rPr>
              <w:t>的目的</w:t>
            </w:r>
          </w:p>
        </w:tc>
      </w:tr>
      <w:tr>
        <w:trPr>
          <w:trHeight w:val="764" w:hRule="atLeast"/>
        </w:trPr>
        <w:tc>
          <w:tcPr>
            <w:tcW w:w="128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87" w:type="dxa"/>
            <w:vAlign w:val="top"/>
          </w:tcPr>
          <w:p>
            <w:pPr>
              <w:spacing w:line="265" w:lineRule="auto"/>
              <w:rPr>
                <w:rFonts w:ascii="Arial"/>
                <w:sz w:val="21"/>
              </w:rPr>
            </w:pPr>
            <w:r/>
          </w:p>
          <w:p>
            <w:pPr>
              <w:pStyle w:val="TableText"/>
              <w:ind w:left="263"/>
              <w:spacing w:before="49" w:line="219" w:lineRule="auto"/>
              <w:rPr/>
            </w:pPr>
            <w:r>
              <w:rPr>
                <w:spacing w:val="-1"/>
              </w:rPr>
              <w:t>M17:实现改进的子过程</w:t>
            </w:r>
          </w:p>
        </w:tc>
        <w:tc>
          <w:tcPr>
            <w:tcW w:w="2172" w:type="dxa"/>
            <w:vAlign w:val="top"/>
          </w:tcPr>
          <w:p>
            <w:pPr>
              <w:pStyle w:val="TableText"/>
              <w:ind w:left="117" w:right="90" w:firstLine="160"/>
              <w:spacing w:before="47" w:line="269" w:lineRule="auto"/>
              <w:rPr/>
            </w:pPr>
            <w:r>
              <w:rPr>
                <w:spacing w:val="-1"/>
              </w:rPr>
              <w:t>应识别和通过度量，找到能</w:t>
            </w:r>
            <w:r>
              <w:rPr>
                <w:spacing w:val="5"/>
              </w:rPr>
              <w:t xml:space="preserve"> </w:t>
            </w:r>
            <w:r>
              <w:rPr>
                <w:spacing w:val="-1"/>
              </w:rPr>
              <w:t>够改进数据质量和业务过程</w:t>
            </w:r>
          </w:p>
          <w:p>
            <w:pPr>
              <w:pStyle w:val="TableText"/>
              <w:ind w:left="106"/>
              <w:spacing w:before="82" w:line="220" w:lineRule="auto"/>
              <w:rPr/>
            </w:pPr>
            <w:r>
              <w:rPr>
                <w:spacing w:val="1"/>
              </w:rPr>
              <w:t>的子过程</w:t>
            </w:r>
          </w:p>
        </w:tc>
      </w:tr>
    </w:tbl>
    <w:p>
      <w:pPr>
        <w:pStyle w:val="BodyText"/>
        <w:rPr/>
      </w:pPr>
      <w:r/>
    </w:p>
    <w:p>
      <w:pPr>
        <w:sectPr>
          <w:footerReference w:type="default" r:id="rId245"/>
          <w:pgSz w:w="8870" w:h="13400"/>
          <w:pgMar w:top="400" w:right="564" w:bottom="535" w:left="419" w:header="0" w:footer="316" w:gutter="0"/>
        </w:sectPr>
        <w:rPr/>
      </w:pPr>
    </w:p>
    <w:p>
      <w:pPr>
        <w:ind w:left="5478"/>
        <w:spacing w:before="234" w:line="630" w:lineRule="exact"/>
        <w:rPr>
          <w:rFonts w:ascii="SimSun" w:hAnsi="SimSun" w:eastAsia="SimSun" w:cs="SimSun"/>
          <w:sz w:val="22"/>
          <w:szCs w:val="22"/>
        </w:rPr>
      </w:pPr>
      <w:r>
        <w:rPr>
          <w:rFonts w:ascii="SimSun" w:hAnsi="SimSun" w:eastAsia="SimSun" w:cs="SimSun"/>
          <w:sz w:val="22"/>
          <w:szCs w:val="22"/>
          <w:b/>
          <w:bCs/>
          <w:spacing w:val="4"/>
          <w:position w:val="32"/>
        </w:rPr>
        <w:t>第6章■云端数据质量</w:t>
      </w:r>
    </w:p>
    <w:p>
      <w:pPr>
        <w:ind w:left="6837"/>
        <w:spacing w:line="220" w:lineRule="auto"/>
        <w:rPr>
          <w:rFonts w:ascii="SimSun" w:hAnsi="SimSun" w:eastAsia="SimSun" w:cs="SimSun"/>
          <w:sz w:val="16"/>
          <w:szCs w:val="16"/>
        </w:rPr>
      </w:pPr>
      <w:r>
        <w:rPr>
          <w:rFonts w:ascii="SimSun" w:hAnsi="SimSun" w:eastAsia="SimSun" w:cs="SimSun"/>
          <w:sz w:val="16"/>
          <w:szCs w:val="16"/>
          <w:b/>
          <w:bCs/>
          <w:spacing w:val="-4"/>
        </w:rPr>
        <w:t>续表</w:t>
      </w:r>
    </w:p>
    <w:p>
      <w:pPr>
        <w:spacing w:line="19" w:lineRule="exact"/>
        <w:rPr/>
      </w:pPr>
      <w:r/>
    </w:p>
    <w:tbl>
      <w:tblPr>
        <w:tblStyle w:val="TableNormal"/>
        <w:tblW w:w="758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1937"/>
        <w:gridCol w:w="2197"/>
        <w:gridCol w:w="2182"/>
      </w:tblGrid>
      <w:tr>
        <w:trPr>
          <w:trHeight w:val="324" w:hRule="atLeast"/>
        </w:trPr>
        <w:tc>
          <w:tcPr>
            <w:tcW w:w="1273" w:type="dxa"/>
            <w:vAlign w:val="top"/>
          </w:tcPr>
          <w:p>
            <w:pPr>
              <w:pStyle w:val="TableText"/>
              <w:ind w:left="364"/>
              <w:spacing w:before="91" w:line="220" w:lineRule="auto"/>
              <w:rPr/>
            </w:pPr>
            <w:r>
              <w:rPr>
                <w:spacing w:val="-12"/>
              </w:rPr>
              <w:t>目    标</w:t>
            </w:r>
          </w:p>
        </w:tc>
        <w:tc>
          <w:tcPr>
            <w:tcW w:w="1937" w:type="dxa"/>
            <w:vAlign w:val="top"/>
          </w:tcPr>
          <w:p>
            <w:pPr>
              <w:pStyle w:val="TableText"/>
              <w:ind w:left="651"/>
              <w:spacing w:before="93" w:line="221" w:lineRule="auto"/>
              <w:rPr/>
            </w:pPr>
            <w:r>
              <w:rPr>
                <w:spacing w:val="-12"/>
              </w:rPr>
              <w:t>问</w:t>
            </w:r>
            <w:r>
              <w:rPr>
                <w:spacing w:val="10"/>
              </w:rPr>
              <w:t xml:space="preserve">   </w:t>
            </w:r>
            <w:r>
              <w:rPr>
                <w:spacing w:val="-12"/>
              </w:rPr>
              <w:t>题</w:t>
            </w:r>
          </w:p>
        </w:tc>
        <w:tc>
          <w:tcPr>
            <w:tcW w:w="2197" w:type="dxa"/>
            <w:vAlign w:val="top"/>
          </w:tcPr>
          <w:p>
            <w:pPr>
              <w:pStyle w:val="TableText"/>
              <w:ind w:left="724"/>
              <w:spacing w:before="91" w:line="220" w:lineRule="auto"/>
              <w:rPr/>
            </w:pPr>
            <w:r>
              <w:rPr>
                <w:spacing w:val="-4"/>
              </w:rPr>
              <w:t>度</w:t>
            </w:r>
            <w:r>
              <w:rPr>
                <w:spacing w:val="2"/>
              </w:rPr>
              <w:t xml:space="preserve">  </w:t>
            </w:r>
            <w:r>
              <w:rPr>
                <w:spacing w:val="-4"/>
              </w:rPr>
              <w:t>量</w:t>
            </w:r>
            <w:r>
              <w:rPr>
                <w:spacing w:val="9"/>
              </w:rPr>
              <w:t xml:space="preserve"> </w:t>
            </w:r>
            <w:r>
              <w:rPr>
                <w:spacing w:val="-4"/>
              </w:rPr>
              <w:t>项</w:t>
            </w:r>
          </w:p>
        </w:tc>
        <w:tc>
          <w:tcPr>
            <w:tcW w:w="2182" w:type="dxa"/>
            <w:vAlign w:val="top"/>
          </w:tcPr>
          <w:p>
            <w:pPr>
              <w:pStyle w:val="TableText"/>
              <w:ind w:left="727"/>
              <w:spacing w:before="91" w:line="219" w:lineRule="auto"/>
              <w:rPr/>
            </w:pPr>
            <w:r>
              <w:rPr>
                <w:spacing w:val="3"/>
              </w:rPr>
              <w:t>度量项说明</w:t>
            </w:r>
          </w:p>
        </w:tc>
      </w:tr>
      <w:tr>
        <w:trPr>
          <w:trHeight w:val="789" w:hRule="atLeast"/>
        </w:trPr>
        <w:tc>
          <w:tcPr>
            <w:tcW w:w="1273" w:type="dxa"/>
            <w:vAlign w:val="top"/>
            <w:vMerge w:val="restart"/>
            <w:tcBorders>
              <w:bottom w:val="nil"/>
            </w:tcBorders>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104" w:right="117" w:firstLine="109"/>
              <w:spacing w:before="48" w:line="283" w:lineRule="auto"/>
              <w:rPr/>
            </w:pPr>
            <w:r>
              <w:rPr>
                <w:spacing w:val="-1"/>
              </w:rPr>
              <w:t>G4:组织必须</w:t>
            </w:r>
            <w:r>
              <w:rPr/>
              <w:t xml:space="preserve">  </w:t>
            </w:r>
            <w:r>
              <w:rPr>
                <w:spacing w:val="-2"/>
              </w:rPr>
              <w:t>掌握数据质量项</w:t>
            </w:r>
            <w:r>
              <w:rPr>
                <w:spacing w:val="3"/>
              </w:rPr>
              <w:t xml:space="preserve"> </w:t>
            </w:r>
            <w:r>
              <w:rPr>
                <w:spacing w:val="4"/>
              </w:rPr>
              <w:t>目的进度</w:t>
            </w:r>
          </w:p>
        </w:tc>
        <w:tc>
          <w:tcPr>
            <w:tcW w:w="1937" w:type="dxa"/>
            <w:vAlign w:val="top"/>
            <w:vMerge w:val="restart"/>
            <w:tcBorders>
              <w:bottom w:val="nil"/>
            </w:tcBorders>
          </w:tcPr>
          <w:p>
            <w:pPr>
              <w:spacing w:line="272" w:lineRule="auto"/>
              <w:rPr>
                <w:rFonts w:ascii="Arial"/>
                <w:sz w:val="21"/>
              </w:rPr>
            </w:pPr>
            <w:r/>
          </w:p>
          <w:p>
            <w:pPr>
              <w:spacing w:line="273" w:lineRule="auto"/>
              <w:rPr>
                <w:rFonts w:ascii="Arial"/>
                <w:sz w:val="21"/>
              </w:rPr>
            </w:pPr>
            <w:r/>
          </w:p>
          <w:p>
            <w:pPr>
              <w:pStyle w:val="TableText"/>
              <w:ind w:left="101" w:right="234" w:firstLine="169"/>
              <w:spacing w:before="49" w:line="270" w:lineRule="auto"/>
              <w:rPr/>
            </w:pPr>
            <w:r>
              <w:rPr>
                <w:spacing w:val="-1"/>
              </w:rPr>
              <w:t>Q9:组织如何度量数据</w:t>
            </w:r>
            <w:r>
              <w:rPr>
                <w:spacing w:val="5"/>
              </w:rPr>
              <w:t xml:space="preserve"> </w:t>
            </w:r>
            <w:r>
              <w:rPr>
                <w:spacing w:val="-1"/>
              </w:rPr>
              <w:t>质量项目的进度</w:t>
            </w:r>
          </w:p>
        </w:tc>
        <w:tc>
          <w:tcPr>
            <w:tcW w:w="2197" w:type="dxa"/>
            <w:vAlign w:val="top"/>
          </w:tcPr>
          <w:p>
            <w:pPr>
              <w:spacing w:line="267" w:lineRule="auto"/>
              <w:rPr>
                <w:rFonts w:ascii="Arial"/>
                <w:sz w:val="21"/>
              </w:rPr>
            </w:pPr>
            <w:r/>
          </w:p>
          <w:p>
            <w:pPr>
              <w:pStyle w:val="TableText"/>
              <w:ind w:left="264"/>
              <w:spacing w:before="48" w:line="220" w:lineRule="auto"/>
              <w:rPr/>
            </w:pPr>
            <w:r>
              <w:rPr>
                <w:spacing w:val="-1"/>
              </w:rPr>
              <w:t>M18:质量度量项</w:t>
            </w:r>
          </w:p>
        </w:tc>
        <w:tc>
          <w:tcPr>
            <w:tcW w:w="2182" w:type="dxa"/>
            <w:vAlign w:val="top"/>
          </w:tcPr>
          <w:p>
            <w:pPr>
              <w:pStyle w:val="TableText"/>
              <w:ind w:left="107" w:right="241" w:firstLine="179"/>
              <w:spacing w:before="47" w:line="299" w:lineRule="auto"/>
              <w:jc w:val="both"/>
              <w:rPr/>
            </w:pPr>
            <w:r>
              <w:rPr>
                <w:spacing w:val="-1"/>
              </w:rPr>
              <w:t>数据质量的度量项应能够</w:t>
            </w:r>
            <w:r>
              <w:rPr>
                <w:spacing w:val="2"/>
              </w:rPr>
              <w:t xml:space="preserve"> </w:t>
            </w:r>
            <w:r>
              <w:rPr>
                <w:spacing w:val="1"/>
              </w:rPr>
              <w:t>反应质量项目的进度和数据</w:t>
            </w:r>
            <w:r>
              <w:rPr/>
              <w:t xml:space="preserve"> </w:t>
            </w:r>
            <w:r>
              <w:rPr>
                <w:spacing w:val="-2"/>
              </w:rPr>
              <w:t>质量情况</w:t>
            </w:r>
          </w:p>
        </w:tc>
      </w:tr>
      <w:tr>
        <w:trPr>
          <w:trHeight w:val="769" w:hRule="atLeast"/>
        </w:trPr>
        <w:tc>
          <w:tcPr>
            <w:tcW w:w="1273" w:type="dxa"/>
            <w:vAlign w:val="top"/>
            <w:vMerge w:val="continue"/>
            <w:tcBorders>
              <w:top w:val="nil"/>
              <w:bottom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spacing w:line="258" w:lineRule="auto"/>
              <w:rPr>
                <w:rFonts w:ascii="Arial"/>
                <w:sz w:val="21"/>
              </w:rPr>
            </w:pPr>
            <w:r/>
          </w:p>
          <w:p>
            <w:pPr>
              <w:pStyle w:val="TableText"/>
              <w:ind w:left="264"/>
              <w:spacing w:before="48" w:line="220" w:lineRule="auto"/>
              <w:rPr/>
            </w:pPr>
            <w:r>
              <w:rPr>
                <w:spacing w:val="-1"/>
              </w:rPr>
              <w:t>M19:质量度量工具</w:t>
            </w:r>
          </w:p>
        </w:tc>
        <w:tc>
          <w:tcPr>
            <w:tcW w:w="2182" w:type="dxa"/>
            <w:vAlign w:val="top"/>
          </w:tcPr>
          <w:p>
            <w:pPr>
              <w:pStyle w:val="TableText"/>
              <w:ind w:left="267"/>
              <w:spacing w:before="58" w:line="219" w:lineRule="auto"/>
              <w:rPr/>
            </w:pPr>
            <w:r>
              <w:rPr>
                <w:spacing w:val="-1"/>
              </w:rPr>
              <w:t>数据质量的测量需要相应</w:t>
            </w:r>
          </w:p>
          <w:p>
            <w:pPr>
              <w:pStyle w:val="TableText"/>
              <w:ind w:left="118" w:right="101" w:firstLine="9"/>
              <w:spacing w:before="81" w:line="265" w:lineRule="auto"/>
              <w:rPr/>
            </w:pPr>
            <w:r>
              <w:rPr>
                <w:spacing w:val="-1"/>
              </w:rPr>
              <w:t>工具的支撑，以减少人工度量</w:t>
            </w:r>
            <w:r>
              <w:rPr>
                <w:spacing w:val="4"/>
              </w:rPr>
              <w:t xml:space="preserve"> </w:t>
            </w:r>
            <w:r>
              <w:rPr>
                <w:spacing w:val="2"/>
              </w:rPr>
              <w:t>的误差</w:t>
            </w:r>
          </w:p>
        </w:tc>
      </w:tr>
      <w:tr>
        <w:trPr>
          <w:trHeight w:val="1578" w:hRule="atLeast"/>
        </w:trPr>
        <w:tc>
          <w:tcPr>
            <w:tcW w:w="1273" w:type="dxa"/>
            <w:vAlign w:val="top"/>
            <w:vMerge w:val="continue"/>
            <w:tcBorders>
              <w:top w:val="nil"/>
              <w:bottom w:val="nil"/>
            </w:tcBorders>
          </w:tcPr>
          <w:p>
            <w:pPr>
              <w:rPr>
                <w:rFonts w:ascii="Arial"/>
                <w:sz w:val="21"/>
              </w:rPr>
            </w:pPr>
            <w:r/>
          </w:p>
        </w:tc>
        <w:tc>
          <w:tcPr>
            <w:tcW w:w="1937" w:type="dxa"/>
            <w:vAlign w:val="top"/>
          </w:tcPr>
          <w:p>
            <w:pPr>
              <w:spacing w:line="268" w:lineRule="auto"/>
              <w:rPr>
                <w:rFonts w:ascii="Arial"/>
                <w:sz w:val="21"/>
              </w:rPr>
            </w:pPr>
            <w:r/>
          </w:p>
          <w:p>
            <w:pPr>
              <w:spacing w:line="268" w:lineRule="auto"/>
              <w:rPr>
                <w:rFonts w:ascii="Arial"/>
                <w:sz w:val="21"/>
              </w:rPr>
            </w:pPr>
            <w:r/>
          </w:p>
          <w:p>
            <w:pPr>
              <w:pStyle w:val="TableText"/>
              <w:ind w:left="111" w:right="169" w:firstLine="149"/>
              <w:spacing w:before="48" w:line="264" w:lineRule="auto"/>
              <w:rPr/>
            </w:pPr>
            <w:r>
              <w:rPr>
                <w:spacing w:val="-1"/>
              </w:rPr>
              <w:t>Q10:哪个组织单元负责</w:t>
            </w:r>
            <w:r>
              <w:rPr>
                <w:spacing w:val="6"/>
              </w:rPr>
              <w:t xml:space="preserve"> </w:t>
            </w:r>
            <w:r>
              <w:rPr>
                <w:spacing w:val="-1"/>
              </w:rPr>
              <w:t>维护数据质量战略</w:t>
            </w:r>
          </w:p>
        </w:tc>
        <w:tc>
          <w:tcPr>
            <w:tcW w:w="2197" w:type="dxa"/>
            <w:vAlign w:val="top"/>
          </w:tcPr>
          <w:p>
            <w:pPr>
              <w:spacing w:line="268" w:lineRule="auto"/>
              <w:rPr>
                <w:rFonts w:ascii="Arial"/>
                <w:sz w:val="21"/>
              </w:rPr>
            </w:pPr>
            <w:r/>
          </w:p>
          <w:p>
            <w:pPr>
              <w:spacing w:line="269" w:lineRule="auto"/>
              <w:rPr>
                <w:rFonts w:ascii="Arial"/>
                <w:sz w:val="21"/>
              </w:rPr>
            </w:pPr>
            <w:r/>
          </w:p>
          <w:p>
            <w:pPr>
              <w:pStyle w:val="TableText"/>
              <w:ind w:left="264" w:right="283" w:hanging="10"/>
              <w:spacing w:before="49" w:line="257" w:lineRule="auto"/>
              <w:rPr/>
            </w:pPr>
            <w:r>
              <w:rPr>
                <w:spacing w:val="-1"/>
              </w:rPr>
              <w:t>M20:产品部、运维部、开</w:t>
            </w:r>
            <w:r>
              <w:rPr>
                <w:spacing w:val="10"/>
              </w:rPr>
              <w:t xml:space="preserve"> </w:t>
            </w:r>
            <w:r>
              <w:rPr>
                <w:spacing w:val="-3"/>
              </w:rPr>
              <w:t>发部</w:t>
            </w:r>
          </w:p>
        </w:tc>
        <w:tc>
          <w:tcPr>
            <w:tcW w:w="2182" w:type="dxa"/>
            <w:vAlign w:val="top"/>
          </w:tcPr>
          <w:p>
            <w:pPr>
              <w:pStyle w:val="TableText"/>
              <w:ind w:left="267"/>
              <w:spacing w:before="59" w:line="219" w:lineRule="auto"/>
              <w:rPr/>
            </w:pPr>
            <w:r>
              <w:rPr>
                <w:spacing w:val="-1"/>
              </w:rPr>
              <w:t>数据质量战略应及时更新</w:t>
            </w:r>
          </w:p>
          <w:p>
            <w:pPr>
              <w:pStyle w:val="TableText"/>
              <w:ind w:left="118" w:right="77"/>
              <w:spacing w:before="80" w:line="303" w:lineRule="auto"/>
              <w:rPr/>
            </w:pPr>
            <w:r>
              <w:rPr>
                <w:spacing w:val="-1"/>
              </w:rPr>
              <w:t>和优化，调整不适应的目标和</w:t>
            </w:r>
            <w:r>
              <w:rPr>
                <w:spacing w:val="5"/>
              </w:rPr>
              <w:t xml:space="preserve"> </w:t>
            </w:r>
            <w:r>
              <w:rPr>
                <w:spacing w:val="-1"/>
              </w:rPr>
              <w:t>过程，与数据质量直接相关的</w:t>
            </w:r>
            <w:r>
              <w:rPr>
                <w:spacing w:val="5"/>
              </w:rPr>
              <w:t xml:space="preserve"> </w:t>
            </w:r>
            <w:r>
              <w:rPr/>
              <w:t>部门包括产品部、运维部和开</w:t>
            </w:r>
            <w:r>
              <w:rPr>
                <w:spacing w:val="1"/>
              </w:rPr>
              <w:t xml:space="preserve"> </w:t>
            </w:r>
            <w:r>
              <w:rPr>
                <w:spacing w:val="2"/>
              </w:rPr>
              <w:t>发部，应由其负责维护数据质</w:t>
            </w:r>
            <w:r>
              <w:rPr/>
              <w:t xml:space="preserve"> </w:t>
            </w:r>
            <w:r>
              <w:rPr>
                <w:spacing w:val="-2"/>
              </w:rPr>
              <w:t>量战略</w:t>
            </w:r>
          </w:p>
        </w:tc>
      </w:tr>
      <w:tr>
        <w:trPr>
          <w:trHeight w:val="1029" w:hRule="atLeast"/>
        </w:trPr>
        <w:tc>
          <w:tcPr>
            <w:tcW w:w="1273" w:type="dxa"/>
            <w:vAlign w:val="top"/>
            <w:vMerge w:val="continue"/>
            <w:tcBorders>
              <w:top w:val="nil"/>
              <w:bottom w:val="nil"/>
            </w:tcBorders>
          </w:tcPr>
          <w:p>
            <w:pPr>
              <w:rPr>
                <w:rFonts w:ascii="Arial"/>
                <w:sz w:val="21"/>
              </w:rPr>
            </w:pPr>
            <w:r/>
          </w:p>
        </w:tc>
        <w:tc>
          <w:tcPr>
            <w:tcW w:w="1937" w:type="dxa"/>
            <w:vAlign w:val="top"/>
          </w:tcPr>
          <w:p>
            <w:pPr>
              <w:spacing w:line="279" w:lineRule="auto"/>
              <w:rPr>
                <w:rFonts w:ascii="Arial"/>
                <w:sz w:val="21"/>
              </w:rPr>
            </w:pPr>
            <w:r/>
          </w:p>
          <w:p>
            <w:pPr>
              <w:pStyle w:val="TableText"/>
              <w:ind w:left="101" w:right="179" w:firstLine="149"/>
              <w:spacing w:before="49" w:line="264" w:lineRule="auto"/>
              <w:rPr/>
            </w:pPr>
            <w:r>
              <w:rPr>
                <w:spacing w:val="-1"/>
              </w:rPr>
              <w:t>Q11:哪个组织单元负责</w:t>
            </w:r>
            <w:r>
              <w:rPr>
                <w:spacing w:val="6"/>
              </w:rPr>
              <w:t xml:space="preserve"> </w:t>
            </w:r>
            <w:r>
              <w:rPr>
                <w:spacing w:val="-1"/>
              </w:rPr>
              <w:t>数据质量的相关活动</w:t>
            </w:r>
          </w:p>
        </w:tc>
        <w:tc>
          <w:tcPr>
            <w:tcW w:w="2197" w:type="dxa"/>
            <w:vAlign w:val="top"/>
          </w:tcPr>
          <w:p>
            <w:pPr>
              <w:spacing w:line="390" w:lineRule="auto"/>
              <w:rPr>
                <w:rFonts w:ascii="Arial"/>
                <w:sz w:val="21"/>
              </w:rPr>
            </w:pPr>
            <w:r/>
          </w:p>
          <w:p>
            <w:pPr>
              <w:pStyle w:val="TableText"/>
              <w:ind w:left="264"/>
              <w:spacing w:before="49" w:line="221" w:lineRule="auto"/>
              <w:rPr/>
            </w:pPr>
            <w:r>
              <w:rPr>
                <w:spacing w:val="-1"/>
              </w:rPr>
              <w:t>M21:组织与职责</w:t>
            </w:r>
          </w:p>
        </w:tc>
        <w:tc>
          <w:tcPr>
            <w:tcW w:w="2182" w:type="dxa"/>
            <w:vAlign w:val="top"/>
          </w:tcPr>
          <w:p>
            <w:pPr>
              <w:pStyle w:val="TableText"/>
              <w:ind w:left="277"/>
              <w:spacing w:before="61" w:line="219" w:lineRule="auto"/>
              <w:rPr/>
            </w:pPr>
            <w:r>
              <w:rPr>
                <w:spacing w:val="-1"/>
              </w:rPr>
              <w:t>数据质量的活动应由组织</w:t>
            </w:r>
          </w:p>
          <w:p>
            <w:pPr>
              <w:pStyle w:val="TableText"/>
              <w:ind w:left="127" w:right="99"/>
              <w:spacing w:before="81" w:line="270" w:lineRule="auto"/>
              <w:rPr/>
            </w:pPr>
            <w:r>
              <w:rPr>
                <w:spacing w:val="-1"/>
              </w:rPr>
              <w:t>全面考虑和统一部署，因此需</w:t>
            </w:r>
            <w:r>
              <w:rPr>
                <w:spacing w:val="6"/>
              </w:rPr>
              <w:t xml:space="preserve"> </w:t>
            </w:r>
            <w:r>
              <w:rPr>
                <w:spacing w:val="-1"/>
              </w:rPr>
              <w:t>要在组织层面负责数据质量</w:t>
            </w:r>
          </w:p>
          <w:p>
            <w:pPr>
              <w:pStyle w:val="TableText"/>
              <w:ind w:left="127"/>
              <w:spacing w:before="72" w:line="220" w:lineRule="auto"/>
              <w:rPr/>
            </w:pPr>
            <w:r>
              <w:rPr>
                <w:spacing w:val="2"/>
              </w:rPr>
              <w:t>的相关活动</w:t>
            </w:r>
          </w:p>
        </w:tc>
      </w:tr>
      <w:tr>
        <w:trPr>
          <w:trHeight w:val="779" w:hRule="atLeast"/>
        </w:trPr>
        <w:tc>
          <w:tcPr>
            <w:tcW w:w="1273" w:type="dxa"/>
            <w:vAlign w:val="top"/>
            <w:vMerge w:val="continue"/>
            <w:tcBorders>
              <w:top w:val="nil"/>
              <w:bottom w:val="nil"/>
            </w:tcBorders>
          </w:tcPr>
          <w:p>
            <w:pPr>
              <w:rPr>
                <w:rFonts w:ascii="Arial"/>
                <w:sz w:val="21"/>
              </w:rPr>
            </w:pPr>
            <w:r/>
          </w:p>
        </w:tc>
        <w:tc>
          <w:tcPr>
            <w:tcW w:w="1937" w:type="dxa"/>
            <w:vAlign w:val="top"/>
          </w:tcPr>
          <w:p>
            <w:pPr>
              <w:pStyle w:val="TableText"/>
              <w:ind w:left="91" w:right="169" w:firstLine="169"/>
              <w:spacing w:before="193" w:line="275" w:lineRule="auto"/>
              <w:rPr/>
            </w:pPr>
            <w:r>
              <w:rPr>
                <w:spacing w:val="-1"/>
              </w:rPr>
              <w:t>Q12:在标准、方法、技</w:t>
            </w:r>
            <w:r>
              <w:rPr>
                <w:spacing w:val="6"/>
              </w:rPr>
              <w:t xml:space="preserve"> </w:t>
            </w:r>
            <w:r>
              <w:rPr>
                <w:spacing w:val="-2"/>
              </w:rPr>
              <w:t>能上如何做决策</w:t>
            </w:r>
          </w:p>
        </w:tc>
        <w:tc>
          <w:tcPr>
            <w:tcW w:w="2197" w:type="dxa"/>
            <w:vAlign w:val="top"/>
          </w:tcPr>
          <w:p>
            <w:pPr>
              <w:spacing w:line="271" w:lineRule="auto"/>
              <w:rPr>
                <w:rFonts w:ascii="Arial"/>
                <w:sz w:val="21"/>
              </w:rPr>
            </w:pPr>
            <w:r/>
          </w:p>
          <w:p>
            <w:pPr>
              <w:pStyle w:val="TableText"/>
              <w:ind w:left="264"/>
              <w:spacing w:before="49" w:line="219" w:lineRule="auto"/>
              <w:rPr/>
            </w:pPr>
            <w:r>
              <w:rPr>
                <w:spacing w:val="-1"/>
              </w:rPr>
              <w:t>M22:综合决策的数据模型</w:t>
            </w:r>
          </w:p>
        </w:tc>
        <w:tc>
          <w:tcPr>
            <w:tcW w:w="2182" w:type="dxa"/>
            <w:vAlign w:val="top"/>
          </w:tcPr>
          <w:p>
            <w:pPr>
              <w:pStyle w:val="TableText"/>
              <w:ind w:left="107" w:right="101" w:firstLine="160"/>
              <w:spacing w:before="62" w:line="290" w:lineRule="auto"/>
              <w:jc w:val="both"/>
              <w:rPr/>
            </w:pPr>
            <w:r>
              <w:rPr>
                <w:spacing w:val="-1"/>
              </w:rPr>
              <w:t>决策需要综合考虑成本、技</w:t>
            </w:r>
            <w:r>
              <w:rPr/>
              <w:t xml:space="preserve"> </w:t>
            </w:r>
            <w:r>
              <w:rPr/>
              <w:t>术等因素，可以建立相应的决</w:t>
            </w:r>
            <w:r>
              <w:rPr>
                <w:spacing w:val="11"/>
              </w:rPr>
              <w:t xml:space="preserve"> </w:t>
            </w:r>
            <w:r>
              <w:rPr>
                <w:spacing w:val="-2"/>
              </w:rPr>
              <w:t>策模型</w:t>
            </w:r>
          </w:p>
        </w:tc>
      </w:tr>
      <w:tr>
        <w:trPr>
          <w:trHeight w:val="1059" w:hRule="atLeast"/>
        </w:trPr>
        <w:tc>
          <w:tcPr>
            <w:tcW w:w="1273" w:type="dxa"/>
            <w:vAlign w:val="top"/>
            <w:vMerge w:val="continue"/>
            <w:tcBorders>
              <w:top w:val="nil"/>
              <w:bottom w:val="nil"/>
            </w:tcBorders>
          </w:tcPr>
          <w:p>
            <w:pPr>
              <w:rPr>
                <w:rFonts w:ascii="Arial"/>
                <w:sz w:val="21"/>
              </w:rPr>
            </w:pPr>
            <w:r/>
          </w:p>
        </w:tc>
        <w:tc>
          <w:tcPr>
            <w:tcW w:w="1937" w:type="dxa"/>
            <w:vAlign w:val="top"/>
            <w:vMerge w:val="restart"/>
            <w:tcBorders>
              <w:bottom w:val="nil"/>
            </w:tcBorders>
          </w:tcPr>
          <w:p>
            <w:pPr>
              <w:spacing w:line="339" w:lineRule="auto"/>
              <w:rPr>
                <w:rFonts w:ascii="Arial"/>
                <w:sz w:val="21"/>
              </w:rPr>
            </w:pPr>
            <w:r/>
          </w:p>
          <w:p>
            <w:pPr>
              <w:spacing w:line="340" w:lineRule="auto"/>
              <w:rPr>
                <w:rFonts w:ascii="Arial"/>
                <w:sz w:val="21"/>
              </w:rPr>
            </w:pPr>
            <w:r/>
          </w:p>
          <w:p>
            <w:pPr>
              <w:pStyle w:val="TableText"/>
              <w:ind w:left="101" w:right="90" w:firstLine="159"/>
              <w:spacing w:before="49" w:line="270" w:lineRule="auto"/>
              <w:rPr/>
            </w:pPr>
            <w:r>
              <w:rPr>
                <w:spacing w:val="6"/>
              </w:rPr>
              <w:t>Q13:数据相关的角色、</w:t>
            </w:r>
            <w:r>
              <w:rPr>
                <w:spacing w:val="2"/>
              </w:rPr>
              <w:t xml:space="preserve"> </w:t>
            </w:r>
            <w:r>
              <w:rPr>
                <w:spacing w:val="-1"/>
              </w:rPr>
              <w:t>分工和责任定义是怎样的</w:t>
            </w:r>
          </w:p>
        </w:tc>
        <w:tc>
          <w:tcPr>
            <w:tcW w:w="2197" w:type="dxa"/>
            <w:vAlign w:val="top"/>
          </w:tcPr>
          <w:p>
            <w:pPr>
              <w:spacing w:line="411" w:lineRule="auto"/>
              <w:rPr>
                <w:rFonts w:ascii="Arial"/>
                <w:sz w:val="21"/>
              </w:rPr>
            </w:pPr>
            <w:r/>
          </w:p>
          <w:p>
            <w:pPr>
              <w:pStyle w:val="TableText"/>
              <w:ind w:left="264"/>
              <w:spacing w:before="49" w:line="219" w:lineRule="auto"/>
              <w:rPr/>
            </w:pPr>
            <w:r>
              <w:rPr>
                <w:spacing w:val="-1"/>
              </w:rPr>
              <w:t>M23:定义与业务过程相关</w:t>
            </w:r>
          </w:p>
        </w:tc>
        <w:tc>
          <w:tcPr>
            <w:tcW w:w="2182" w:type="dxa"/>
            <w:vAlign w:val="top"/>
          </w:tcPr>
          <w:p>
            <w:pPr>
              <w:pStyle w:val="TableText"/>
              <w:ind w:left="127" w:right="119" w:firstLine="130"/>
              <w:spacing w:before="42" w:line="288" w:lineRule="auto"/>
              <w:rPr/>
            </w:pPr>
            <w:r>
              <w:rPr>
                <w:spacing w:val="-1"/>
              </w:rPr>
              <w:t>应从业务过程的角度，定义</w:t>
            </w:r>
            <w:r>
              <w:rPr>
                <w:spacing w:val="5"/>
              </w:rPr>
              <w:t xml:space="preserve"> </w:t>
            </w:r>
            <w:r>
              <w:rPr>
                <w:spacing w:val="-1"/>
              </w:rPr>
              <w:t>数据相关的角色、分工和责</w:t>
            </w:r>
          </w:p>
          <w:p>
            <w:pPr>
              <w:pStyle w:val="TableText"/>
              <w:ind w:left="118" w:right="99" w:firstLine="9"/>
              <w:spacing w:before="83" w:line="264" w:lineRule="auto"/>
              <w:rPr/>
            </w:pPr>
            <w:r>
              <w:rPr>
                <w:spacing w:val="-1"/>
              </w:rPr>
              <w:t>任，保证数据质量与业务过程</w:t>
            </w:r>
            <w:r>
              <w:rPr>
                <w:spacing w:val="6"/>
              </w:rPr>
              <w:t xml:space="preserve"> </w:t>
            </w:r>
            <w:r>
              <w:rPr>
                <w:spacing w:val="1"/>
              </w:rPr>
              <w:t>的一致性</w:t>
            </w:r>
          </w:p>
        </w:tc>
      </w:tr>
      <w:tr>
        <w:trPr>
          <w:trHeight w:val="769" w:hRule="atLeast"/>
        </w:trPr>
        <w:tc>
          <w:tcPr>
            <w:tcW w:w="1273" w:type="dxa"/>
            <w:vAlign w:val="top"/>
            <w:vMerge w:val="continue"/>
            <w:tcBorders>
              <w:top w:val="nil"/>
              <w:bottom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spacing w:line="264" w:lineRule="auto"/>
              <w:rPr>
                <w:rFonts w:ascii="Arial"/>
                <w:sz w:val="21"/>
              </w:rPr>
            </w:pPr>
            <w:r/>
          </w:p>
          <w:p>
            <w:pPr>
              <w:pStyle w:val="TableText"/>
              <w:ind w:left="254"/>
              <w:spacing w:before="49" w:line="220" w:lineRule="auto"/>
              <w:rPr/>
            </w:pPr>
            <w:r>
              <w:rPr>
                <w:spacing w:val="-1"/>
              </w:rPr>
              <w:t>M24:定义与质量目标相关</w:t>
            </w:r>
          </w:p>
        </w:tc>
        <w:tc>
          <w:tcPr>
            <w:tcW w:w="2182" w:type="dxa"/>
            <w:vAlign w:val="top"/>
          </w:tcPr>
          <w:p>
            <w:pPr>
              <w:pStyle w:val="TableText"/>
              <w:ind w:left="118" w:right="101" w:firstLine="139"/>
              <w:spacing w:before="42" w:line="294" w:lineRule="auto"/>
              <w:jc w:val="both"/>
              <w:rPr/>
            </w:pPr>
            <w:r>
              <w:rPr>
                <w:spacing w:val="-1"/>
              </w:rPr>
              <w:t>应保证数据相关的角色、分</w:t>
            </w:r>
            <w:r>
              <w:rPr>
                <w:spacing w:val="5"/>
              </w:rPr>
              <w:t xml:space="preserve"> </w:t>
            </w:r>
            <w:r>
              <w:rPr/>
              <w:t>工和责任，能够支撑数据质量</w:t>
            </w:r>
            <w:r>
              <w:rPr>
                <w:spacing w:val="1"/>
              </w:rPr>
              <w:t xml:space="preserve"> </w:t>
            </w:r>
            <w:r>
              <w:rPr/>
              <w:t>的战略目标、方针和策略</w:t>
            </w:r>
          </w:p>
        </w:tc>
      </w:tr>
      <w:tr>
        <w:trPr>
          <w:trHeight w:val="789" w:hRule="atLeast"/>
        </w:trPr>
        <w:tc>
          <w:tcPr>
            <w:tcW w:w="1273" w:type="dxa"/>
            <w:vAlign w:val="top"/>
            <w:vMerge w:val="continue"/>
            <w:tcBorders>
              <w:top w:val="nil"/>
              <w:bottom w:val="nil"/>
            </w:tcBorders>
          </w:tcPr>
          <w:p>
            <w:pPr>
              <w:rPr>
                <w:rFonts w:ascii="Arial"/>
                <w:sz w:val="21"/>
              </w:rPr>
            </w:pPr>
            <w:r/>
          </w:p>
        </w:tc>
        <w:tc>
          <w:tcPr>
            <w:tcW w:w="1937" w:type="dxa"/>
            <w:vAlign w:val="top"/>
            <w:vMerge w:val="restart"/>
            <w:tcBorders>
              <w:bottom w:val="nil"/>
            </w:tcBorders>
          </w:tcPr>
          <w:p>
            <w:pPr>
              <w:spacing w:line="414" w:lineRule="auto"/>
              <w:rPr>
                <w:rFonts w:ascii="Arial"/>
                <w:sz w:val="21"/>
              </w:rPr>
            </w:pPr>
            <w:r/>
          </w:p>
          <w:p>
            <w:pPr>
              <w:pStyle w:val="TableText"/>
              <w:ind w:left="101" w:right="169" w:firstLine="159"/>
              <w:spacing w:before="49" w:line="270" w:lineRule="auto"/>
              <w:rPr/>
            </w:pPr>
            <w:r>
              <w:rPr>
                <w:spacing w:val="-1"/>
              </w:rPr>
              <w:t>Q14:如何体现数据资产</w:t>
            </w:r>
            <w:r>
              <w:rPr>
                <w:spacing w:val="6"/>
              </w:rPr>
              <w:t xml:space="preserve"> </w:t>
            </w:r>
            <w:r>
              <w:rPr>
                <w:spacing w:val="-2"/>
              </w:rPr>
              <w:t>质量的提升</w:t>
            </w:r>
          </w:p>
        </w:tc>
        <w:tc>
          <w:tcPr>
            <w:tcW w:w="2197" w:type="dxa"/>
            <w:vAlign w:val="top"/>
          </w:tcPr>
          <w:p>
            <w:pPr>
              <w:spacing w:line="274" w:lineRule="auto"/>
              <w:rPr>
                <w:rFonts w:ascii="Arial"/>
                <w:sz w:val="21"/>
              </w:rPr>
            </w:pPr>
            <w:r/>
          </w:p>
          <w:p>
            <w:pPr>
              <w:pStyle w:val="TableText"/>
              <w:ind w:left="264"/>
              <w:spacing w:before="49" w:line="219" w:lineRule="auto"/>
              <w:rPr/>
            </w:pPr>
            <w:r>
              <w:rPr>
                <w:spacing w:val="-1"/>
              </w:rPr>
              <w:t>M25:数据热力图</w:t>
            </w:r>
          </w:p>
        </w:tc>
        <w:tc>
          <w:tcPr>
            <w:tcW w:w="2182" w:type="dxa"/>
            <w:vAlign w:val="top"/>
          </w:tcPr>
          <w:p>
            <w:pPr>
              <w:pStyle w:val="TableText"/>
              <w:ind w:left="277"/>
              <w:spacing w:before="65" w:line="219" w:lineRule="auto"/>
              <w:rPr/>
            </w:pPr>
            <w:r>
              <w:rPr>
                <w:spacing w:val="-1"/>
              </w:rPr>
              <w:t>建立组织数据资产的数据</w:t>
            </w:r>
          </w:p>
          <w:p>
            <w:pPr>
              <w:pStyle w:val="TableText"/>
              <w:ind w:left="118" w:right="85"/>
              <w:spacing w:before="91" w:line="264" w:lineRule="auto"/>
              <w:rPr/>
            </w:pPr>
            <w:r>
              <w:rPr>
                <w:spacing w:val="1"/>
              </w:rPr>
              <w:t>热力图，反应数据资产的使用</w:t>
            </w:r>
            <w:r>
              <w:rPr>
                <w:spacing w:val="4"/>
              </w:rPr>
              <w:t xml:space="preserve"> </w:t>
            </w:r>
            <w:r>
              <w:rPr>
                <w:spacing w:val="-2"/>
              </w:rPr>
              <w:t>效率和频率</w:t>
            </w:r>
          </w:p>
        </w:tc>
      </w:tr>
      <w:tr>
        <w:trPr>
          <w:trHeight w:val="524" w:hRule="atLeast"/>
        </w:trPr>
        <w:tc>
          <w:tcPr>
            <w:tcW w:w="1273" w:type="dxa"/>
            <w:vAlign w:val="top"/>
            <w:vMerge w:val="continue"/>
            <w:tcBorders>
              <w:top w:val="nil"/>
            </w:tcBorders>
          </w:tcPr>
          <w:p>
            <w:pPr>
              <w:rPr>
                <w:rFonts w:ascii="Arial"/>
                <w:sz w:val="21"/>
              </w:rPr>
            </w:pPr>
            <w:r/>
          </w:p>
        </w:tc>
        <w:tc>
          <w:tcPr>
            <w:tcW w:w="1937" w:type="dxa"/>
            <w:vAlign w:val="top"/>
            <w:vMerge w:val="continue"/>
            <w:tcBorders>
              <w:top w:val="nil"/>
            </w:tcBorders>
          </w:tcPr>
          <w:p>
            <w:pPr>
              <w:rPr>
                <w:rFonts w:ascii="Arial"/>
                <w:sz w:val="21"/>
              </w:rPr>
            </w:pPr>
            <w:r/>
          </w:p>
        </w:tc>
        <w:tc>
          <w:tcPr>
            <w:tcW w:w="2197" w:type="dxa"/>
            <w:vAlign w:val="top"/>
          </w:tcPr>
          <w:p>
            <w:pPr>
              <w:pStyle w:val="TableText"/>
              <w:ind w:left="264" w:right="293" w:hanging="20"/>
              <w:spacing w:before="65" w:line="264" w:lineRule="auto"/>
              <w:rPr/>
            </w:pPr>
            <w:r>
              <w:rPr>
                <w:spacing w:val="-1"/>
              </w:rPr>
              <w:t>M26:数据分类、筛选、检</w:t>
            </w:r>
            <w:r>
              <w:rPr>
                <w:spacing w:val="10"/>
              </w:rPr>
              <w:t xml:space="preserve"> </w:t>
            </w:r>
            <w:r>
              <w:rPr>
                <w:spacing w:val="-2"/>
              </w:rPr>
              <w:t>索效率</w:t>
            </w:r>
          </w:p>
        </w:tc>
        <w:tc>
          <w:tcPr>
            <w:tcW w:w="2182" w:type="dxa"/>
            <w:vAlign w:val="top"/>
          </w:tcPr>
          <w:p>
            <w:pPr>
              <w:pStyle w:val="TableText"/>
              <w:ind w:left="118" w:right="109" w:firstLine="129"/>
              <w:spacing w:before="55" w:line="276" w:lineRule="auto"/>
              <w:rPr/>
            </w:pPr>
            <w:r>
              <w:rPr>
                <w:spacing w:val="-1"/>
              </w:rPr>
              <w:t>通过数据质量效率相关的度</w:t>
            </w:r>
            <w:r>
              <w:rPr>
                <w:spacing w:val="5"/>
              </w:rPr>
              <w:t xml:space="preserve"> </w:t>
            </w:r>
            <w:r>
              <w:rPr>
                <w:spacing w:val="-1"/>
              </w:rPr>
              <w:t>量项，不断改进数据资产质量</w:t>
            </w:r>
          </w:p>
        </w:tc>
      </w:tr>
    </w:tbl>
    <w:p>
      <w:pPr>
        <w:ind w:left="418"/>
        <w:spacing w:before="207" w:line="492" w:lineRule="exact"/>
        <w:rPr>
          <w:rFonts w:ascii="YouYuan" w:hAnsi="YouYuan" w:eastAsia="YouYuan" w:cs="YouYuan"/>
          <w:sz w:val="22"/>
          <w:szCs w:val="22"/>
        </w:rPr>
      </w:pPr>
      <w:r>
        <w:rPr>
          <w:rFonts w:ascii="YouYuan" w:hAnsi="YouYuan" w:eastAsia="YouYuan" w:cs="YouYuan"/>
          <w:sz w:val="22"/>
          <w:szCs w:val="22"/>
          <w:b/>
          <w:bCs/>
          <w:spacing w:val="-2"/>
          <w:position w:val="20"/>
        </w:rPr>
        <w:t>3.</w:t>
      </w:r>
      <w:r>
        <w:rPr>
          <w:rFonts w:ascii="YouYuan" w:hAnsi="YouYuan" w:eastAsia="YouYuan" w:cs="YouYuan"/>
          <w:sz w:val="22"/>
          <w:szCs w:val="22"/>
          <w:spacing w:val="-2"/>
          <w:position w:val="20"/>
        </w:rPr>
        <w:t xml:space="preserve"> </w:t>
      </w:r>
      <w:r>
        <w:rPr>
          <w:rFonts w:ascii="YouYuan" w:hAnsi="YouYuan" w:eastAsia="YouYuan" w:cs="YouYuan"/>
          <w:sz w:val="22"/>
          <w:szCs w:val="22"/>
          <w:b/>
          <w:bCs/>
          <w:spacing w:val="-2"/>
          <w:position w:val="20"/>
        </w:rPr>
        <w:t>成熟度等级介绍</w:t>
      </w:r>
    </w:p>
    <w:p>
      <w:pPr>
        <w:ind w:left="424"/>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44"/>
          <w:w w:val="101"/>
        </w:rPr>
        <w:t xml:space="preserve"> </w:t>
      </w:r>
      <w:r>
        <w:rPr>
          <w:rFonts w:ascii="Times New Roman" w:hAnsi="Times New Roman" w:eastAsia="Times New Roman" w:cs="Times New Roman"/>
          <w:sz w:val="22"/>
          <w:szCs w:val="22"/>
          <w:b/>
          <w:bCs/>
          <w:spacing w:val="-4"/>
        </w:rPr>
        <w:t>1:</w:t>
      </w:r>
      <w:r>
        <w:rPr>
          <w:rFonts w:ascii="Times New Roman" w:hAnsi="Times New Roman" w:eastAsia="Times New Roman" w:cs="Times New Roman"/>
          <w:sz w:val="22"/>
          <w:szCs w:val="22"/>
          <w:b/>
          <w:bCs/>
          <w:spacing w:val="49"/>
          <w:w w:val="101"/>
        </w:rPr>
        <w:t xml:space="preserve"> </w:t>
      </w:r>
      <w:r>
        <w:rPr>
          <w:rFonts w:ascii="SimHei" w:hAnsi="SimHei" w:eastAsia="SimHei" w:cs="SimHei"/>
          <w:sz w:val="22"/>
          <w:szCs w:val="22"/>
          <w:b/>
          <w:bCs/>
          <w:spacing w:val="-4"/>
        </w:rPr>
        <w:t>初始级</w:t>
      </w:r>
    </w:p>
    <w:p>
      <w:pPr>
        <w:spacing w:line="127" w:lineRule="exact"/>
        <w:rPr/>
      </w:pPr>
      <w:r/>
    </w:p>
    <w:tbl>
      <w:tblPr>
        <w:tblStyle w:val="TableNormal"/>
        <w:tblW w:w="7589"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02" w:hRule="atLeast"/>
        </w:trPr>
        <w:tc>
          <w:tcPr>
            <w:tcW w:w="704" w:type="dxa"/>
            <w:vAlign w:val="top"/>
          </w:tcPr>
          <w:p>
            <w:pPr>
              <w:pStyle w:val="TableText"/>
              <w:ind w:left="184"/>
              <w:spacing w:before="72" w:line="221" w:lineRule="auto"/>
              <w:rPr>
                <w:sz w:val="16"/>
                <w:szCs w:val="16"/>
              </w:rPr>
            </w:pPr>
            <w:r>
              <w:rPr>
                <w:sz w:val="16"/>
                <w:szCs w:val="16"/>
                <w:spacing w:val="-2"/>
              </w:rPr>
              <w:t>序号</w:t>
            </w:r>
          </w:p>
        </w:tc>
        <w:tc>
          <w:tcPr>
            <w:tcW w:w="3145" w:type="dxa"/>
            <w:vAlign w:val="top"/>
          </w:tcPr>
          <w:p>
            <w:pPr>
              <w:pStyle w:val="TableText"/>
              <w:ind w:left="1160"/>
              <w:spacing w:before="71" w:line="219" w:lineRule="auto"/>
              <w:rPr>
                <w:sz w:val="16"/>
                <w:szCs w:val="16"/>
              </w:rPr>
            </w:pPr>
            <w:r>
              <w:rPr>
                <w:sz w:val="16"/>
                <w:szCs w:val="16"/>
                <w:spacing w:val="-4"/>
              </w:rPr>
              <w:t>等 级 要 求</w:t>
            </w:r>
          </w:p>
        </w:tc>
        <w:tc>
          <w:tcPr>
            <w:tcW w:w="3740" w:type="dxa"/>
            <w:vAlign w:val="top"/>
          </w:tcPr>
          <w:p>
            <w:pPr>
              <w:pStyle w:val="TableText"/>
              <w:ind w:left="1555"/>
              <w:spacing w:before="7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04" w:type="dxa"/>
            <w:vAlign w:val="top"/>
          </w:tcPr>
          <w:p>
            <w:pPr>
              <w:pStyle w:val="TableText"/>
              <w:ind w:left="224"/>
              <w:spacing w:before="250" w:line="184" w:lineRule="auto"/>
              <w:rPr>
                <w:sz w:val="16"/>
                <w:szCs w:val="16"/>
              </w:rPr>
            </w:pPr>
            <w:r>
              <w:rPr>
                <w:sz w:val="16"/>
                <w:szCs w:val="16"/>
                <w:spacing w:val="-5"/>
              </w:rPr>
              <w:t>1.1</w:t>
            </w:r>
          </w:p>
        </w:tc>
        <w:tc>
          <w:tcPr>
            <w:tcW w:w="3145" w:type="dxa"/>
            <w:vAlign w:val="top"/>
          </w:tcPr>
          <w:p>
            <w:pPr>
              <w:pStyle w:val="TableText"/>
              <w:ind w:left="280"/>
              <w:spacing w:before="209" w:line="219" w:lineRule="auto"/>
              <w:rPr>
                <w:sz w:val="16"/>
                <w:szCs w:val="16"/>
              </w:rPr>
            </w:pPr>
            <w:r>
              <w:rPr>
                <w:sz w:val="16"/>
                <w:szCs w:val="16"/>
              </w:rPr>
              <w:t>记录数据质量的目标、规则和准则</w:t>
            </w:r>
          </w:p>
        </w:tc>
        <w:tc>
          <w:tcPr>
            <w:tcW w:w="3740" w:type="dxa"/>
            <w:vAlign w:val="top"/>
          </w:tcPr>
          <w:p>
            <w:pPr>
              <w:pStyle w:val="TableText"/>
              <w:ind w:left="266"/>
              <w:spacing w:before="79" w:line="219" w:lineRule="auto"/>
              <w:rPr>
                <w:sz w:val="16"/>
                <w:szCs w:val="16"/>
              </w:rPr>
            </w:pPr>
            <w:r>
              <w:rPr>
                <w:sz w:val="16"/>
                <w:szCs w:val="16"/>
              </w:rPr>
              <w:t>●文件化的数据质量目标</w:t>
            </w:r>
          </w:p>
          <w:p>
            <w:pPr>
              <w:pStyle w:val="TableText"/>
              <w:ind w:left="266"/>
              <w:spacing w:before="99" w:line="218" w:lineRule="auto"/>
              <w:rPr>
                <w:sz w:val="16"/>
                <w:szCs w:val="16"/>
              </w:rPr>
            </w:pPr>
            <w:r>
              <w:rPr>
                <w:sz w:val="16"/>
                <w:szCs w:val="16"/>
                <w:spacing w:val="1"/>
              </w:rPr>
              <w:t>●文件化的数据质量规则和准则</w:t>
            </w:r>
          </w:p>
        </w:tc>
      </w:tr>
    </w:tbl>
    <w:p>
      <w:pPr>
        <w:pStyle w:val="BodyText"/>
        <w:rPr/>
      </w:pPr>
      <w:r/>
    </w:p>
    <w:p>
      <w:pPr>
        <w:sectPr>
          <w:footerReference w:type="default" r:id="rId247"/>
          <w:pgSz w:w="8870" w:h="13400"/>
          <w:pgMar w:top="400" w:right="624" w:bottom="505" w:left="435" w:header="0" w:footer="286" w:gutter="0"/>
        </w:sectPr>
        <w:rPr/>
      </w:pPr>
    </w:p>
    <w:p>
      <w:pPr>
        <w:ind w:left="99"/>
        <w:spacing w:before="229"/>
        <w:rPr>
          <w:rFonts w:ascii="SimSun" w:hAnsi="SimSun" w:eastAsia="SimSun" w:cs="SimSun"/>
          <w:sz w:val="21"/>
          <w:szCs w:val="21"/>
        </w:rPr>
      </w:pPr>
      <w:r>
        <w:rPr>
          <w:rFonts w:ascii="SimSun" w:hAnsi="SimSun" w:eastAsia="SimSun" w:cs="SimSun"/>
          <w:sz w:val="21"/>
          <w:szCs w:val="21"/>
          <w:position w:val="-10"/>
        </w:rPr>
        <w:drawing>
          <wp:inline distT="0" distB="0" distL="0" distR="0">
            <wp:extent cx="6365" cy="228637"/>
            <wp:effectExtent l="0" t="0" r="0" b="0"/>
            <wp:docPr id="180" name="IM 180"/>
            <wp:cNvGraphicFramePr/>
            <a:graphic>
              <a:graphicData uri="http://schemas.openxmlformats.org/drawingml/2006/picture">
                <pic:pic>
                  <pic:nvPicPr>
                    <pic:cNvPr id="180" name="IM 180"/>
                    <pic:cNvPicPr/>
                  </pic:nvPicPr>
                  <pic:blipFill>
                    <a:blip r:embed="rId249"/>
                    <a:stretch>
                      <a:fillRect/>
                    </a:stretch>
                  </pic:blipFill>
                  <pic:spPr>
                    <a:xfrm rot="0">
                      <a:off x="0" y="0"/>
                      <a:ext cx="6365" cy="228637"/>
                    </a:xfrm>
                    <a:prstGeom prst="rect">
                      <a:avLst/>
                    </a:prstGeom>
                  </pic:spPr>
                </pic:pic>
              </a:graphicData>
            </a:graphic>
          </wp:inline>
        </w:drawing>
      </w:r>
      <w:r>
        <w:rPr>
          <w:rFonts w:ascii="SimSun" w:hAnsi="SimSun" w:eastAsia="SimSun" w:cs="SimSun"/>
          <w:sz w:val="21"/>
          <w:szCs w:val="21"/>
          <w:spacing w:val="-17"/>
        </w:rPr>
        <w:t xml:space="preserve"> </w:t>
      </w:r>
      <w:r>
        <w:rPr>
          <w:rFonts w:ascii="SimSun" w:hAnsi="SimSun" w:eastAsia="SimSun" w:cs="SimSun"/>
          <w:sz w:val="21"/>
          <w:szCs w:val="21"/>
          <w:b/>
          <w:bCs/>
          <w:spacing w:val="-27"/>
        </w:rPr>
        <w:t>■云端数据治理■</w:t>
      </w:r>
    </w:p>
    <w:p>
      <w:pPr>
        <w:ind w:left="534"/>
        <w:spacing w:before="288" w:line="219" w:lineRule="auto"/>
        <w:rPr>
          <w:rFonts w:ascii="SimSun" w:hAnsi="SimSun" w:eastAsia="SimSun" w:cs="SimSun"/>
          <w:sz w:val="21"/>
          <w:szCs w:val="21"/>
        </w:rPr>
      </w:pPr>
      <w:r>
        <w:rPr>
          <w:rFonts w:ascii="SimSun" w:hAnsi="SimSun" w:eastAsia="SimSun" w:cs="SimSun"/>
          <w:sz w:val="21"/>
          <w:szCs w:val="21"/>
        </w:rPr>
        <w:t>【成熟度等级说明】</w:t>
      </w:r>
    </w:p>
    <w:p>
      <w:pPr>
        <w:ind w:left="239" w:right="99" w:firstLine="400"/>
        <w:spacing w:before="58" w:line="247" w:lineRule="auto"/>
        <w:rPr>
          <w:rFonts w:ascii="SimSun" w:hAnsi="SimSun" w:eastAsia="SimSun" w:cs="SimSun"/>
          <w:sz w:val="21"/>
          <w:szCs w:val="21"/>
        </w:rPr>
      </w:pPr>
      <w:r>
        <w:rPr>
          <w:rFonts w:ascii="SimSun" w:hAnsi="SimSun" w:eastAsia="SimSun" w:cs="SimSun"/>
          <w:sz w:val="21"/>
          <w:szCs w:val="21"/>
          <w:spacing w:val="-3"/>
        </w:rPr>
        <w:t>数据质量的目标一般包括完整性、</w:t>
      </w:r>
      <w:r>
        <w:rPr>
          <w:rFonts w:ascii="SimSun" w:hAnsi="SimSun" w:eastAsia="SimSun" w:cs="SimSun"/>
          <w:sz w:val="21"/>
          <w:szCs w:val="21"/>
          <w:spacing w:val="44"/>
        </w:rPr>
        <w:t xml:space="preserve"> </w:t>
      </w:r>
      <w:r>
        <w:rPr>
          <w:rFonts w:ascii="SimSun" w:hAnsi="SimSun" w:eastAsia="SimSun" w:cs="SimSun"/>
          <w:sz w:val="21"/>
          <w:szCs w:val="21"/>
          <w:spacing w:val="-3"/>
        </w:rPr>
        <w:t>一致性、准确性、及时性等。评估数</w:t>
      </w:r>
      <w:r>
        <w:rPr>
          <w:rFonts w:ascii="SimSun" w:hAnsi="SimSun" w:eastAsia="SimSun" w:cs="SimSun"/>
          <w:sz w:val="21"/>
          <w:szCs w:val="21"/>
          <w:spacing w:val="-4"/>
        </w:rPr>
        <w:t>据是否</w:t>
      </w:r>
      <w:r>
        <w:rPr>
          <w:rFonts w:ascii="SimSun" w:hAnsi="SimSun" w:eastAsia="SimSun" w:cs="SimSun"/>
          <w:sz w:val="21"/>
          <w:szCs w:val="21"/>
        </w:rPr>
        <w:t xml:space="preserve"> </w:t>
      </w:r>
      <w:r>
        <w:rPr>
          <w:rFonts w:ascii="SimSun" w:hAnsi="SimSun" w:eastAsia="SimSun" w:cs="SimSun"/>
          <w:sz w:val="21"/>
          <w:szCs w:val="21"/>
        </w:rPr>
        <w:t>达到预期设定的质量目标，就可以通过以上指标</w:t>
      </w:r>
      <w:r>
        <w:rPr>
          <w:rFonts w:ascii="SimSun" w:hAnsi="SimSun" w:eastAsia="SimSun" w:cs="SimSun"/>
          <w:sz w:val="21"/>
          <w:szCs w:val="21"/>
          <w:spacing w:val="-1"/>
        </w:rPr>
        <w:t>来进行判断。</w:t>
      </w:r>
    </w:p>
    <w:p>
      <w:pPr>
        <w:ind w:left="239" w:right="105" w:firstLine="400"/>
        <w:spacing w:before="70" w:line="246" w:lineRule="auto"/>
        <w:rPr>
          <w:rFonts w:ascii="SimSun" w:hAnsi="SimSun" w:eastAsia="SimSun" w:cs="SimSun"/>
          <w:sz w:val="21"/>
          <w:szCs w:val="21"/>
        </w:rPr>
      </w:pPr>
      <w:r>
        <w:rPr>
          <w:rFonts w:ascii="SimSun" w:hAnsi="SimSun" w:eastAsia="SimSun" w:cs="SimSun"/>
          <w:sz w:val="21"/>
          <w:szCs w:val="21"/>
          <w:spacing w:val="1"/>
        </w:rPr>
        <w:t>数据质量的规则包括数据字典、业务规则、经验规则和标准规则等，用于判断</w:t>
      </w:r>
      <w:r>
        <w:rPr>
          <w:rFonts w:ascii="SimSun" w:hAnsi="SimSun" w:eastAsia="SimSun" w:cs="SimSun"/>
          <w:sz w:val="21"/>
          <w:szCs w:val="21"/>
          <w:spacing w:val="3"/>
        </w:rPr>
        <w:t xml:space="preserve"> </w:t>
      </w:r>
      <w:r>
        <w:rPr>
          <w:rFonts w:ascii="SimSun" w:hAnsi="SimSun" w:eastAsia="SimSun" w:cs="SimSun"/>
          <w:sz w:val="21"/>
          <w:szCs w:val="21"/>
          <w:spacing w:val="-1"/>
        </w:rPr>
        <w:t>各个阶段的数据是否符合相应的规则，以检测出数据的异常和错误。</w:t>
      </w:r>
    </w:p>
    <w:p>
      <w:pPr>
        <w:ind w:left="239" w:right="77" w:firstLine="400"/>
        <w:spacing w:before="29" w:line="264" w:lineRule="auto"/>
        <w:rPr>
          <w:rFonts w:ascii="SimSun" w:hAnsi="SimSun" w:eastAsia="SimSun" w:cs="SimSun"/>
          <w:sz w:val="21"/>
          <w:szCs w:val="21"/>
        </w:rPr>
      </w:pPr>
      <w:r>
        <w:rPr>
          <w:rFonts w:ascii="SimSun" w:hAnsi="SimSun" w:eastAsia="SimSun" w:cs="SimSun"/>
          <w:sz w:val="21"/>
          <w:szCs w:val="21"/>
          <w:spacing w:val="2"/>
        </w:rPr>
        <w:t>数据质量的项目级准则包括已建立的标准、控制处理流程以及一些度量项</w:t>
      </w:r>
      <w:r>
        <w:rPr>
          <w:rFonts w:ascii="SimSun" w:hAnsi="SimSun" w:eastAsia="SimSun" w:cs="SimSun"/>
          <w:sz w:val="21"/>
          <w:szCs w:val="21"/>
          <w:spacing w:val="1"/>
        </w:rPr>
        <w:t>，例</w:t>
      </w:r>
      <w:r>
        <w:rPr>
          <w:rFonts w:ascii="SimSun" w:hAnsi="SimSun" w:eastAsia="SimSun" w:cs="SimSun"/>
          <w:sz w:val="21"/>
          <w:szCs w:val="21"/>
        </w:rPr>
        <w:t xml:space="preserve"> </w:t>
      </w:r>
      <w:r>
        <w:rPr>
          <w:rFonts w:ascii="SimSun" w:hAnsi="SimSun" w:eastAsia="SimSun" w:cs="SimSun"/>
          <w:sz w:val="21"/>
          <w:szCs w:val="21"/>
          <w:spacing w:val="-4"/>
        </w:rPr>
        <w:t>如错误率和质量阈值。</w:t>
      </w:r>
    </w:p>
    <w:p>
      <w:pPr>
        <w:spacing w:line="117"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2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14" w:type="dxa"/>
            <w:vAlign w:val="top"/>
          </w:tcPr>
          <w:p>
            <w:pPr>
              <w:pStyle w:val="TableText"/>
              <w:ind w:left="225"/>
              <w:spacing w:before="241" w:line="184" w:lineRule="auto"/>
              <w:rPr>
                <w:sz w:val="16"/>
                <w:szCs w:val="16"/>
              </w:rPr>
            </w:pPr>
            <w:r>
              <w:rPr>
                <w:sz w:val="16"/>
                <w:szCs w:val="16"/>
                <w:spacing w:val="-5"/>
              </w:rPr>
              <w:t>1.2</w:t>
            </w:r>
          </w:p>
        </w:tc>
        <w:tc>
          <w:tcPr>
            <w:tcW w:w="3135" w:type="dxa"/>
            <w:vAlign w:val="top"/>
          </w:tcPr>
          <w:p>
            <w:pPr>
              <w:pStyle w:val="TableText"/>
              <w:ind w:left="110" w:firstLine="149"/>
              <w:spacing w:before="70" w:line="272" w:lineRule="auto"/>
              <w:rPr>
                <w:sz w:val="16"/>
                <w:szCs w:val="16"/>
              </w:rPr>
            </w:pPr>
            <w:r>
              <w:rPr>
                <w:sz w:val="16"/>
                <w:szCs w:val="16"/>
                <w:spacing w:val="-1"/>
              </w:rPr>
              <w:t>业务相关责任人参与制订数据质量准则和</w:t>
            </w:r>
            <w:r>
              <w:rPr>
                <w:sz w:val="16"/>
                <w:szCs w:val="16"/>
                <w:spacing w:val="1"/>
              </w:rPr>
              <w:t xml:space="preserve"> </w:t>
            </w:r>
            <w:r>
              <w:rPr>
                <w:sz w:val="16"/>
                <w:szCs w:val="16"/>
                <w:spacing w:val="6"/>
              </w:rPr>
              <w:t>目标</w:t>
            </w:r>
          </w:p>
        </w:tc>
        <w:tc>
          <w:tcPr>
            <w:tcW w:w="3750" w:type="dxa"/>
            <w:vAlign w:val="top"/>
          </w:tcPr>
          <w:p>
            <w:pPr>
              <w:pStyle w:val="TableText"/>
              <w:ind w:left="256"/>
              <w:spacing w:before="200" w:line="219" w:lineRule="auto"/>
              <w:rPr>
                <w:sz w:val="16"/>
                <w:szCs w:val="16"/>
              </w:rPr>
            </w:pPr>
            <w:r>
              <w:rPr>
                <w:sz w:val="16"/>
                <w:szCs w:val="16"/>
              </w:rPr>
              <w:t>●文件化的质量管理策略</w:t>
            </w:r>
          </w:p>
        </w:tc>
      </w:tr>
    </w:tbl>
    <w:p>
      <w:pPr>
        <w:ind w:left="53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39" w:right="60" w:firstLine="400"/>
        <w:spacing w:before="50" w:line="266" w:lineRule="auto"/>
        <w:rPr>
          <w:rFonts w:ascii="SimSun" w:hAnsi="SimSun" w:eastAsia="SimSun" w:cs="SimSun"/>
          <w:sz w:val="21"/>
          <w:szCs w:val="21"/>
        </w:rPr>
      </w:pPr>
      <w:r>
        <w:rPr>
          <w:rFonts w:ascii="SimSun" w:hAnsi="SimSun" w:eastAsia="SimSun" w:cs="SimSun"/>
          <w:sz w:val="21"/>
          <w:szCs w:val="21"/>
          <w:spacing w:val="2"/>
        </w:rPr>
        <w:t>云端数据治理与传统数据治理的不同之处：云端数据的汇聚特性更弱，云端数</w:t>
      </w:r>
      <w:r>
        <w:rPr>
          <w:rFonts w:ascii="SimSun" w:hAnsi="SimSun" w:eastAsia="SimSun" w:cs="SimSun"/>
          <w:sz w:val="21"/>
          <w:szCs w:val="21"/>
          <w:spacing w:val="10"/>
        </w:rPr>
        <w:t xml:space="preserve"> </w:t>
      </w:r>
      <w:r>
        <w:rPr>
          <w:rFonts w:ascii="SimSun" w:hAnsi="SimSun" w:eastAsia="SimSun" w:cs="SimSun"/>
          <w:sz w:val="21"/>
          <w:szCs w:val="21"/>
          <w:spacing w:val="2"/>
        </w:rPr>
        <w:t>据存在于大量的业务节点和过程之中。因此需要基于业务或者</w:t>
      </w:r>
      <w:r>
        <w:rPr>
          <w:rFonts w:ascii="SimSun" w:hAnsi="SimSun" w:eastAsia="SimSun" w:cs="SimSun"/>
          <w:sz w:val="21"/>
          <w:szCs w:val="21"/>
          <w:spacing w:val="1"/>
        </w:rPr>
        <w:t>过程来明确相关的责</w:t>
      </w:r>
      <w:r>
        <w:rPr>
          <w:rFonts w:ascii="SimSun" w:hAnsi="SimSun" w:eastAsia="SimSun" w:cs="SimSun"/>
          <w:sz w:val="21"/>
          <w:szCs w:val="21"/>
        </w:rPr>
        <w:t xml:space="preserve"> </w:t>
      </w:r>
      <w:r>
        <w:rPr>
          <w:rFonts w:ascii="SimSun" w:hAnsi="SimSun" w:eastAsia="SimSun" w:cs="SimSun"/>
          <w:sz w:val="21"/>
          <w:szCs w:val="21"/>
          <w:spacing w:val="2"/>
        </w:rPr>
        <w:t>任人，责任人应参与数据质量准则和目标的制订</w:t>
      </w:r>
      <w:r>
        <w:rPr>
          <w:rFonts w:ascii="SimSun" w:hAnsi="SimSun" w:eastAsia="SimSun" w:cs="SimSun"/>
          <w:sz w:val="21"/>
          <w:szCs w:val="21"/>
          <w:spacing w:val="1"/>
        </w:rPr>
        <w:t>过程中，使数据质量在整个业务过</w:t>
      </w:r>
      <w:r>
        <w:rPr>
          <w:rFonts w:ascii="SimSun" w:hAnsi="SimSun" w:eastAsia="SimSun" w:cs="SimSun"/>
          <w:sz w:val="21"/>
          <w:szCs w:val="21"/>
        </w:rPr>
        <w:t xml:space="preserve"> </w:t>
      </w:r>
      <w:r>
        <w:rPr>
          <w:rFonts w:ascii="SimSun" w:hAnsi="SimSun" w:eastAsia="SimSun" w:cs="SimSun"/>
          <w:sz w:val="21"/>
          <w:szCs w:val="21"/>
          <w:spacing w:val="-3"/>
        </w:rPr>
        <w:t>程中保持一致性和有效性。</w:t>
      </w:r>
    </w:p>
    <w:p>
      <w:pPr>
        <w:spacing w:line="127" w:lineRule="exact"/>
        <w:rPr/>
      </w:pPr>
      <w:r/>
    </w:p>
    <w:tbl>
      <w:tblPr>
        <w:tblStyle w:val="TableNormal"/>
        <w:tblW w:w="7600" w:type="dxa"/>
        <w:tblInd w:w="3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40"/>
      </w:tblGrid>
      <w:tr>
        <w:trPr>
          <w:trHeight w:val="311" w:hRule="atLeast"/>
        </w:trPr>
        <w:tc>
          <w:tcPr>
            <w:tcW w:w="714" w:type="dxa"/>
            <w:vAlign w:val="top"/>
          </w:tcPr>
          <w:p>
            <w:pPr>
              <w:pStyle w:val="TableText"/>
              <w:ind w:left="195"/>
              <w:spacing w:before="81" w:line="221" w:lineRule="auto"/>
              <w:rPr/>
            </w:pPr>
            <w:r>
              <w:rPr>
                <w:spacing w:val="-2"/>
              </w:rPr>
              <w:t>序号</w:t>
            </w:r>
          </w:p>
        </w:tc>
        <w:tc>
          <w:tcPr>
            <w:tcW w:w="314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568" w:hRule="atLeast"/>
        </w:trPr>
        <w:tc>
          <w:tcPr>
            <w:tcW w:w="714" w:type="dxa"/>
            <w:vAlign w:val="top"/>
          </w:tcPr>
          <w:p>
            <w:pPr>
              <w:pStyle w:val="TableText"/>
              <w:ind w:left="235"/>
              <w:spacing w:before="248" w:line="184" w:lineRule="auto"/>
              <w:rPr/>
            </w:pPr>
            <w:r>
              <w:rPr>
                <w:spacing w:val="-4"/>
              </w:rPr>
              <w:t>1.3</w:t>
            </w:r>
          </w:p>
        </w:tc>
        <w:tc>
          <w:tcPr>
            <w:tcW w:w="3146" w:type="dxa"/>
            <w:vAlign w:val="top"/>
          </w:tcPr>
          <w:p>
            <w:pPr>
              <w:pStyle w:val="TableText"/>
              <w:ind w:left="141" w:right="153" w:firstLine="69"/>
              <w:spacing w:before="80" w:line="288" w:lineRule="auto"/>
              <w:rPr/>
            </w:pPr>
            <w:r>
              <w:rPr>
                <w:spacing w:val="-1"/>
              </w:rPr>
              <w:t>按照数据质量计划执行，实施数据质量规</w:t>
            </w:r>
            <w:r>
              <w:rPr>
                <w:spacing w:val="4"/>
              </w:rPr>
              <w:t xml:space="preserve">  </w:t>
            </w:r>
            <w:r>
              <w:rPr>
                <w:spacing w:val="-1"/>
              </w:rPr>
              <w:t>则；监督数据质量的准则是否得到有效遵循</w:t>
            </w:r>
          </w:p>
        </w:tc>
        <w:tc>
          <w:tcPr>
            <w:tcW w:w="3740" w:type="dxa"/>
            <w:vAlign w:val="top"/>
          </w:tcPr>
          <w:p>
            <w:pPr>
              <w:pStyle w:val="TableText"/>
              <w:ind w:left="255"/>
              <w:spacing w:before="80" w:line="219" w:lineRule="auto"/>
              <w:rPr/>
            </w:pPr>
            <w:r>
              <w:rPr/>
              <w:t>●文件化的质量管理策略</w:t>
            </w:r>
          </w:p>
          <w:p>
            <w:pPr>
              <w:pStyle w:val="TableText"/>
              <w:ind w:left="255"/>
              <w:spacing w:before="112" w:line="219" w:lineRule="auto"/>
              <w:rPr/>
            </w:pPr>
            <w:r>
              <w:rPr/>
              <w:t>●数据质量度量方法和记录</w:t>
            </w:r>
          </w:p>
        </w:tc>
      </w:tr>
    </w:tbl>
    <w:p>
      <w:pPr>
        <w:ind w:left="53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639"/>
        <w:spacing w:before="60" w:line="219" w:lineRule="auto"/>
        <w:rPr>
          <w:rFonts w:ascii="SimSun" w:hAnsi="SimSun" w:eastAsia="SimSun" w:cs="SimSun"/>
          <w:sz w:val="21"/>
          <w:szCs w:val="21"/>
        </w:rPr>
      </w:pPr>
      <w:r>
        <w:rPr>
          <w:rFonts w:ascii="SimSun" w:hAnsi="SimSun" w:eastAsia="SimSun" w:cs="SimSun"/>
          <w:sz w:val="21"/>
          <w:szCs w:val="21"/>
          <w:spacing w:val="-3"/>
        </w:rPr>
        <w:t>可以通过以下工作实现数据质量战略。</w:t>
      </w:r>
    </w:p>
    <w:p>
      <w:pPr>
        <w:ind w:left="639"/>
        <w:spacing w:before="61" w:line="219" w:lineRule="auto"/>
        <w:rPr>
          <w:rFonts w:ascii="SimSun" w:hAnsi="SimSun" w:eastAsia="SimSun" w:cs="SimSun"/>
          <w:sz w:val="21"/>
          <w:szCs w:val="21"/>
        </w:rPr>
      </w:pPr>
      <w:r>
        <w:rPr>
          <w:rFonts w:ascii="SimSun" w:hAnsi="SimSun" w:eastAsia="SimSun" w:cs="SimSun"/>
          <w:sz w:val="21"/>
          <w:szCs w:val="21"/>
          <w:spacing w:val="3"/>
        </w:rPr>
        <w:t>●制订数据质量计划、准则、规则</w:t>
      </w:r>
    </w:p>
    <w:p>
      <w:pPr>
        <w:ind w:left="639"/>
        <w:spacing w:before="70" w:line="219" w:lineRule="auto"/>
        <w:rPr>
          <w:rFonts w:ascii="SimSun" w:hAnsi="SimSun" w:eastAsia="SimSun" w:cs="SimSun"/>
          <w:sz w:val="21"/>
          <w:szCs w:val="21"/>
        </w:rPr>
      </w:pPr>
      <w:r>
        <w:rPr>
          <w:rFonts w:ascii="SimSun" w:hAnsi="SimSun" w:eastAsia="SimSun" w:cs="SimSun"/>
          <w:sz w:val="21"/>
          <w:szCs w:val="21"/>
          <w:spacing w:val="2"/>
        </w:rPr>
        <w:t>●相关责任人的会议记录和评审记录</w:t>
      </w:r>
    </w:p>
    <w:p>
      <w:pPr>
        <w:ind w:left="639"/>
        <w:spacing w:before="82" w:line="219" w:lineRule="auto"/>
        <w:rPr>
          <w:rFonts w:ascii="SimSun" w:hAnsi="SimSun" w:eastAsia="SimSun" w:cs="SimSun"/>
          <w:sz w:val="21"/>
          <w:szCs w:val="21"/>
        </w:rPr>
      </w:pPr>
      <w:r>
        <w:rPr>
          <w:rFonts w:ascii="SimSun" w:hAnsi="SimSun" w:eastAsia="SimSun" w:cs="SimSun"/>
          <w:sz w:val="21"/>
          <w:szCs w:val="21"/>
          <w:spacing w:val="5"/>
        </w:rPr>
        <w:t>●对数据质量的度量项进行度量</w:t>
      </w:r>
    </w:p>
    <w:p>
      <w:pPr>
        <w:ind w:left="639"/>
        <w:spacing w:before="71" w:line="219" w:lineRule="auto"/>
        <w:rPr>
          <w:rFonts w:ascii="SimSun" w:hAnsi="SimSun" w:eastAsia="SimSun" w:cs="SimSun"/>
          <w:sz w:val="21"/>
          <w:szCs w:val="21"/>
        </w:rPr>
      </w:pPr>
      <w:r>
        <w:rPr>
          <w:rFonts w:ascii="SimSun" w:hAnsi="SimSun" w:eastAsia="SimSun" w:cs="SimSun"/>
          <w:sz w:val="21"/>
          <w:szCs w:val="21"/>
          <w:spacing w:val="3"/>
        </w:rPr>
        <w:t>●制订指导数据质量处理的文档</w:t>
      </w:r>
    </w:p>
    <w:p>
      <w:pPr>
        <w:ind w:left="639"/>
        <w:spacing w:before="41" w:line="219" w:lineRule="auto"/>
        <w:rPr>
          <w:rFonts w:ascii="SimSun" w:hAnsi="SimSun" w:eastAsia="SimSun" w:cs="SimSun"/>
          <w:sz w:val="21"/>
          <w:szCs w:val="21"/>
        </w:rPr>
      </w:pPr>
      <w:r>
        <w:rPr>
          <w:rFonts w:ascii="SimSun" w:hAnsi="SimSun" w:eastAsia="SimSun" w:cs="SimSun"/>
          <w:sz w:val="21"/>
          <w:szCs w:val="21"/>
          <w:spacing w:val="3"/>
        </w:rPr>
        <w:t>●数据库和软件所实施的数据质量规则，记录规则</w:t>
      </w:r>
      <w:r>
        <w:rPr>
          <w:rFonts w:ascii="SimSun" w:hAnsi="SimSun" w:eastAsia="SimSun" w:cs="SimSun"/>
          <w:sz w:val="21"/>
          <w:szCs w:val="21"/>
          <w:spacing w:val="2"/>
        </w:rPr>
        <w:t>实施的过程</w:t>
      </w:r>
    </w:p>
    <w:p>
      <w:pPr>
        <w:ind w:left="639"/>
        <w:spacing w:before="66" w:line="221"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26"/>
          <w:w w:val="101"/>
        </w:rPr>
        <w:t xml:space="preserve">  </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b/>
          <w:bCs/>
          <w:spacing w:val="13"/>
        </w:rPr>
        <w:t xml:space="preserve"> </w:t>
      </w:r>
      <w:r>
        <w:rPr>
          <w:rFonts w:ascii="SimHei" w:hAnsi="SimHei" w:eastAsia="SimHei" w:cs="SimHei"/>
          <w:sz w:val="21"/>
          <w:szCs w:val="21"/>
          <w:b/>
          <w:bCs/>
          <w:spacing w:val="-3"/>
        </w:rPr>
        <w:t>管理级</w:t>
      </w:r>
    </w:p>
    <w:p>
      <w:pPr>
        <w:spacing w:line="130" w:lineRule="exact"/>
        <w:rPr/>
      </w:pPr>
      <w:r/>
    </w:p>
    <w:tbl>
      <w:tblPr>
        <w:tblStyle w:val="TableNormal"/>
        <w:tblW w:w="7589"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04" w:type="dxa"/>
            <w:vAlign w:val="top"/>
          </w:tcPr>
          <w:p>
            <w:pPr>
              <w:pStyle w:val="TableText"/>
              <w:ind w:left="224"/>
              <w:spacing w:before="241" w:line="184" w:lineRule="auto"/>
              <w:rPr>
                <w:sz w:val="16"/>
                <w:szCs w:val="16"/>
              </w:rPr>
            </w:pPr>
            <w:r>
              <w:rPr>
                <w:sz w:val="16"/>
                <w:szCs w:val="16"/>
                <w:spacing w:val="-2"/>
              </w:rPr>
              <w:t>2.1</w:t>
            </w:r>
          </w:p>
        </w:tc>
        <w:tc>
          <w:tcPr>
            <w:tcW w:w="3145" w:type="dxa"/>
            <w:vAlign w:val="top"/>
          </w:tcPr>
          <w:p>
            <w:pPr>
              <w:pStyle w:val="TableText"/>
              <w:ind w:left="270"/>
              <w:spacing w:before="200" w:line="219" w:lineRule="auto"/>
              <w:rPr>
                <w:sz w:val="16"/>
                <w:szCs w:val="16"/>
              </w:rPr>
            </w:pPr>
            <w:r>
              <w:rPr>
                <w:sz w:val="16"/>
                <w:szCs w:val="16"/>
                <w:spacing w:val="-1"/>
              </w:rPr>
              <w:t>定义、评审以及管理数据质量战略</w:t>
            </w:r>
          </w:p>
        </w:tc>
        <w:tc>
          <w:tcPr>
            <w:tcW w:w="3740" w:type="dxa"/>
            <w:vAlign w:val="top"/>
          </w:tcPr>
          <w:p>
            <w:pPr>
              <w:pStyle w:val="TableText"/>
              <w:ind w:left="266"/>
              <w:spacing w:before="70" w:line="219" w:lineRule="auto"/>
              <w:rPr>
                <w:sz w:val="16"/>
                <w:szCs w:val="16"/>
              </w:rPr>
            </w:pPr>
            <w:r>
              <w:rPr>
                <w:sz w:val="16"/>
                <w:szCs w:val="16"/>
              </w:rPr>
              <w:t>●文件化的数据质量战略</w:t>
            </w:r>
          </w:p>
          <w:p>
            <w:pPr>
              <w:pStyle w:val="TableText"/>
              <w:ind w:left="266"/>
              <w:spacing w:before="99" w:line="218" w:lineRule="auto"/>
              <w:rPr>
                <w:sz w:val="16"/>
                <w:szCs w:val="16"/>
              </w:rPr>
            </w:pPr>
            <w:r>
              <w:rPr>
                <w:sz w:val="16"/>
                <w:szCs w:val="16"/>
              </w:rPr>
              <w:t>●会议或评审的记录</w:t>
            </w:r>
          </w:p>
        </w:tc>
      </w:tr>
    </w:tbl>
    <w:p>
      <w:pPr>
        <w:ind w:left="534"/>
        <w:spacing w:before="213" w:line="219" w:lineRule="auto"/>
        <w:rPr>
          <w:rFonts w:ascii="SimSun" w:hAnsi="SimSun" w:eastAsia="SimSun" w:cs="SimSun"/>
          <w:sz w:val="21"/>
          <w:szCs w:val="21"/>
        </w:rPr>
      </w:pPr>
      <w:r>
        <w:rPr>
          <w:rFonts w:ascii="SimSun" w:hAnsi="SimSun" w:eastAsia="SimSun" w:cs="SimSun"/>
          <w:sz w:val="21"/>
          <w:szCs w:val="21"/>
          <w:spacing w:val="4"/>
        </w:rPr>
        <w:t>【成熟度等级说明】</w:t>
      </w:r>
    </w:p>
    <w:p>
      <w:pPr>
        <w:ind w:left="239" w:right="38" w:firstLine="400"/>
        <w:spacing w:before="50" w:line="255" w:lineRule="auto"/>
        <w:rPr>
          <w:rFonts w:ascii="SimSun" w:hAnsi="SimSun" w:eastAsia="SimSun" w:cs="SimSun"/>
          <w:sz w:val="21"/>
          <w:szCs w:val="21"/>
        </w:rPr>
      </w:pPr>
      <w:r>
        <w:rPr>
          <w:rFonts w:ascii="SimSun" w:hAnsi="SimSun" w:eastAsia="SimSun" w:cs="SimSun"/>
          <w:sz w:val="21"/>
          <w:szCs w:val="21"/>
          <w:spacing w:val="2"/>
        </w:rPr>
        <w:t>数据质量战略的根本目标是将组织的计划纳入其中，以确保数据能够满足预期</w:t>
      </w:r>
      <w:r>
        <w:rPr>
          <w:rFonts w:ascii="SimSun" w:hAnsi="SimSun" w:eastAsia="SimSun" w:cs="SimSun"/>
          <w:sz w:val="21"/>
          <w:szCs w:val="21"/>
          <w:spacing w:val="14"/>
        </w:rPr>
        <w:t xml:space="preserve"> </w:t>
      </w:r>
      <w:r>
        <w:rPr>
          <w:rFonts w:ascii="SimSun" w:hAnsi="SimSun" w:eastAsia="SimSun" w:cs="SimSun"/>
          <w:sz w:val="21"/>
          <w:szCs w:val="21"/>
          <w:spacing w:val="2"/>
        </w:rPr>
        <w:t>用途以及业务需求。策略的制订应当要能够推动当前状态进入目标状态。它应明确</w:t>
      </w:r>
      <w:r>
        <w:rPr>
          <w:rFonts w:ascii="SimSun" w:hAnsi="SimSun" w:eastAsia="SimSun" w:cs="SimSun"/>
          <w:sz w:val="21"/>
          <w:szCs w:val="21"/>
          <w:spacing w:val="13"/>
        </w:rPr>
        <w:t xml:space="preserve"> </w:t>
      </w:r>
      <w:r>
        <w:rPr>
          <w:rFonts w:ascii="SimSun" w:hAnsi="SimSun" w:eastAsia="SimSun" w:cs="SimSun"/>
          <w:sz w:val="21"/>
          <w:szCs w:val="21"/>
        </w:rPr>
        <w:t>地与业务目标、业务驱动因素以及组织数据管理策略保持相符。</w:t>
      </w:r>
    </w:p>
    <w:p>
      <w:pPr>
        <w:spacing w:line="255" w:lineRule="auto"/>
        <w:sectPr>
          <w:footerReference w:type="default" r:id="rId248"/>
          <w:pgSz w:w="8870" w:h="13400"/>
          <w:pgMar w:top="400" w:right="505" w:bottom="448" w:left="440" w:header="0" w:footer="239" w:gutter="0"/>
        </w:sectPr>
        <w:rPr>
          <w:rFonts w:ascii="SimSun" w:hAnsi="SimSun" w:eastAsia="SimSun" w:cs="SimSun"/>
          <w:sz w:val="21"/>
          <w:szCs w:val="21"/>
        </w:rPr>
      </w:pPr>
    </w:p>
    <w:p>
      <w:pPr>
        <w:ind w:left="5473"/>
        <w:spacing w:before="244" w:line="219" w:lineRule="auto"/>
        <w:rPr>
          <w:rFonts w:ascii="SimSun" w:hAnsi="SimSun" w:eastAsia="SimSun" w:cs="SimSun"/>
          <w:sz w:val="21"/>
          <w:szCs w:val="21"/>
        </w:rPr>
      </w:pPr>
      <w:r>
        <w:rPr>
          <w:rFonts w:ascii="SimSun" w:hAnsi="SimSun" w:eastAsia="SimSun" w:cs="SimSun"/>
          <w:sz w:val="21"/>
          <w:szCs w:val="21"/>
          <w:b/>
          <w:bCs/>
          <w:spacing w:val="14"/>
        </w:rPr>
        <w:t>第6章■云端数据质量</w:t>
      </w:r>
    </w:p>
    <w:p>
      <w:pPr>
        <w:pStyle w:val="BodyText"/>
        <w:spacing w:line="265" w:lineRule="auto"/>
        <w:rPr/>
      </w:pPr>
      <w:r/>
    </w:p>
    <w:p>
      <w:pPr>
        <w:ind w:left="379"/>
        <w:spacing w:before="68" w:line="219" w:lineRule="auto"/>
        <w:rPr>
          <w:rFonts w:ascii="SimSun" w:hAnsi="SimSun" w:eastAsia="SimSun" w:cs="SimSun"/>
          <w:sz w:val="21"/>
          <w:szCs w:val="21"/>
        </w:rPr>
      </w:pPr>
      <w:r>
        <w:rPr>
          <w:rFonts w:ascii="SimSun" w:hAnsi="SimSun" w:eastAsia="SimSun" w:cs="SimSun"/>
          <w:sz w:val="21"/>
          <w:szCs w:val="21"/>
          <w:spacing w:val="-3"/>
        </w:rPr>
        <w:t>一个数据质量战略至少要包含以下内容。</w:t>
      </w:r>
    </w:p>
    <w:p>
      <w:pPr>
        <w:ind w:left="379"/>
        <w:spacing w:before="60" w:line="219" w:lineRule="auto"/>
        <w:rPr>
          <w:rFonts w:ascii="SimSun" w:hAnsi="SimSun" w:eastAsia="SimSun" w:cs="SimSun"/>
          <w:sz w:val="21"/>
          <w:szCs w:val="21"/>
        </w:rPr>
      </w:pPr>
      <w:r>
        <w:rPr>
          <w:rFonts w:ascii="SimSun" w:hAnsi="SimSun" w:eastAsia="SimSun" w:cs="SimSun"/>
          <w:sz w:val="21"/>
          <w:szCs w:val="21"/>
          <w:spacing w:val="-2"/>
        </w:rPr>
        <w:t>●质量的战略目标和战术目标；</w:t>
      </w:r>
    </w:p>
    <w:p>
      <w:pPr>
        <w:ind w:left="379"/>
        <w:spacing w:before="59" w:line="219" w:lineRule="auto"/>
        <w:rPr>
          <w:rFonts w:ascii="SimSun" w:hAnsi="SimSun" w:eastAsia="SimSun" w:cs="SimSun"/>
          <w:sz w:val="21"/>
          <w:szCs w:val="21"/>
        </w:rPr>
      </w:pPr>
      <w:r>
        <w:rPr>
          <w:rFonts w:ascii="SimSun" w:hAnsi="SimSun" w:eastAsia="SimSun" w:cs="SimSun"/>
          <w:sz w:val="21"/>
          <w:szCs w:val="21"/>
          <w:spacing w:val="7"/>
        </w:rPr>
        <w:t>●业务效益与影响(依据范围内的业务范围分类);</w:t>
      </w:r>
    </w:p>
    <w:p>
      <w:pPr>
        <w:ind w:left="379"/>
        <w:spacing w:before="73" w:line="220" w:lineRule="auto"/>
        <w:rPr>
          <w:rFonts w:ascii="SimSun" w:hAnsi="SimSun" w:eastAsia="SimSun" w:cs="SimSun"/>
          <w:sz w:val="21"/>
          <w:szCs w:val="21"/>
        </w:rPr>
      </w:pPr>
      <w:r>
        <w:rPr>
          <w:rFonts w:ascii="SimSun" w:hAnsi="SimSun" w:eastAsia="SimSun" w:cs="SimSun"/>
          <w:sz w:val="21"/>
          <w:szCs w:val="21"/>
        </w:rPr>
        <w:t>●实施重点；</w:t>
      </w:r>
    </w:p>
    <w:p>
      <w:pPr>
        <w:ind w:left="379"/>
        <w:spacing w:before="70" w:line="220" w:lineRule="auto"/>
        <w:rPr>
          <w:rFonts w:ascii="SimSun" w:hAnsi="SimSun" w:eastAsia="SimSun" w:cs="SimSun"/>
          <w:sz w:val="21"/>
          <w:szCs w:val="21"/>
        </w:rPr>
      </w:pPr>
      <w:r>
        <w:rPr>
          <w:rFonts w:ascii="SimSun" w:hAnsi="SimSun" w:eastAsia="SimSun" w:cs="SimSun"/>
          <w:sz w:val="21"/>
          <w:szCs w:val="21"/>
          <w:spacing w:val="-3"/>
        </w:rPr>
        <w:t>●质量准则；</w:t>
      </w:r>
    </w:p>
    <w:p>
      <w:pPr>
        <w:ind w:left="379"/>
        <w:spacing w:before="70" w:line="221" w:lineRule="auto"/>
        <w:rPr>
          <w:rFonts w:ascii="SimSun" w:hAnsi="SimSun" w:eastAsia="SimSun" w:cs="SimSun"/>
          <w:sz w:val="21"/>
          <w:szCs w:val="21"/>
        </w:rPr>
      </w:pPr>
      <w:r>
        <w:rPr>
          <w:rFonts w:ascii="SimSun" w:hAnsi="SimSun" w:eastAsia="SimSun" w:cs="SimSun"/>
          <w:sz w:val="21"/>
          <w:szCs w:val="21"/>
          <w:spacing w:val="-1"/>
        </w:rPr>
        <w:t>●方针和治理；</w:t>
      </w:r>
    </w:p>
    <w:p>
      <w:pPr>
        <w:ind w:left="379"/>
        <w:spacing w:before="47" w:line="219" w:lineRule="auto"/>
        <w:rPr>
          <w:rFonts w:ascii="SimSun" w:hAnsi="SimSun" w:eastAsia="SimSun" w:cs="SimSun"/>
          <w:sz w:val="21"/>
          <w:szCs w:val="21"/>
        </w:rPr>
      </w:pPr>
      <w:r>
        <w:rPr>
          <w:rFonts w:ascii="SimSun" w:hAnsi="SimSun" w:eastAsia="SimSun" w:cs="SimSun"/>
          <w:sz w:val="21"/>
          <w:szCs w:val="21"/>
          <w:spacing w:val="-1"/>
        </w:rPr>
        <w:t>●相符性过程；</w:t>
      </w:r>
    </w:p>
    <w:p>
      <w:pPr>
        <w:ind w:left="379"/>
        <w:spacing w:before="62" w:line="220" w:lineRule="auto"/>
        <w:rPr>
          <w:rFonts w:ascii="SimSun" w:hAnsi="SimSun" w:eastAsia="SimSun" w:cs="SimSun"/>
          <w:sz w:val="21"/>
          <w:szCs w:val="21"/>
        </w:rPr>
      </w:pPr>
      <w:r>
        <w:rPr>
          <w:rFonts w:ascii="SimSun" w:hAnsi="SimSun" w:eastAsia="SimSun" w:cs="SimSun"/>
          <w:sz w:val="21"/>
          <w:szCs w:val="21"/>
          <w:spacing w:val="-1"/>
        </w:rPr>
        <w:t>●指导实施的顺序计划。</w:t>
      </w:r>
    </w:p>
    <w:p>
      <w:pPr>
        <w:ind w:right="247" w:firstLine="379"/>
        <w:spacing w:before="48" w:line="255" w:lineRule="auto"/>
        <w:rPr>
          <w:rFonts w:ascii="SimSun" w:hAnsi="SimSun" w:eastAsia="SimSun" w:cs="SimSun"/>
          <w:sz w:val="21"/>
          <w:szCs w:val="21"/>
        </w:rPr>
      </w:pPr>
      <w:r>
        <w:rPr>
          <w:rFonts w:ascii="SimSun" w:hAnsi="SimSun" w:eastAsia="SimSun" w:cs="SimSun"/>
          <w:sz w:val="21"/>
          <w:szCs w:val="21"/>
          <w:spacing w:val="2"/>
        </w:rPr>
        <w:t>数据质量战略还应当包含以下内容的相关指南：数据概要分析、数</w:t>
      </w:r>
      <w:r>
        <w:rPr>
          <w:rFonts w:ascii="SimSun" w:hAnsi="SimSun" w:eastAsia="SimSun" w:cs="SimSun"/>
          <w:sz w:val="21"/>
          <w:szCs w:val="21"/>
          <w:spacing w:val="1"/>
        </w:rPr>
        <w:t>据质量的期</w:t>
      </w:r>
      <w:r>
        <w:rPr>
          <w:rFonts w:ascii="SimSun" w:hAnsi="SimSun" w:eastAsia="SimSun" w:cs="SimSun"/>
          <w:sz w:val="21"/>
          <w:szCs w:val="21"/>
        </w:rPr>
        <w:t xml:space="preserve"> </w:t>
      </w:r>
      <w:r>
        <w:rPr>
          <w:rFonts w:ascii="SimSun" w:hAnsi="SimSun" w:eastAsia="SimSun" w:cs="SimSun"/>
          <w:sz w:val="21"/>
          <w:szCs w:val="21"/>
          <w:spacing w:val="-3"/>
        </w:rPr>
        <w:t>望以及帮助指导数据清理类项目的规则。</w:t>
      </w:r>
    </w:p>
    <w:p>
      <w:pPr>
        <w:spacing w:line="117" w:lineRule="exact"/>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15"/>
        <w:gridCol w:w="3770"/>
      </w:tblGrid>
      <w:tr>
        <w:trPr>
          <w:trHeight w:val="310"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15" w:type="dxa"/>
            <w:vAlign w:val="top"/>
          </w:tcPr>
          <w:p>
            <w:pPr>
              <w:pStyle w:val="TableText"/>
              <w:ind w:left="1131"/>
              <w:spacing w:before="81" w:line="219" w:lineRule="auto"/>
              <w:rPr>
                <w:sz w:val="16"/>
                <w:szCs w:val="16"/>
              </w:rPr>
            </w:pPr>
            <w:r>
              <w:rPr>
                <w:sz w:val="16"/>
                <w:szCs w:val="16"/>
                <w:spacing w:val="-4"/>
              </w:rPr>
              <w:t>等 级 要 求</w:t>
            </w:r>
          </w:p>
        </w:tc>
        <w:tc>
          <w:tcPr>
            <w:tcW w:w="3770" w:type="dxa"/>
            <w:vAlign w:val="top"/>
          </w:tcPr>
          <w:p>
            <w:pPr>
              <w:pStyle w:val="TableText"/>
              <w:ind w:left="158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29" w:hRule="atLeast"/>
        </w:trPr>
        <w:tc>
          <w:tcPr>
            <w:tcW w:w="714" w:type="dxa"/>
            <w:vAlign w:val="top"/>
          </w:tcPr>
          <w:p>
            <w:pPr>
              <w:pStyle w:val="TableText"/>
              <w:ind w:left="224"/>
              <w:spacing w:before="132" w:line="183" w:lineRule="auto"/>
              <w:rPr>
                <w:sz w:val="16"/>
                <w:szCs w:val="16"/>
              </w:rPr>
            </w:pPr>
            <w:r>
              <w:rPr>
                <w:sz w:val="16"/>
                <w:szCs w:val="16"/>
                <w:spacing w:val="-2"/>
              </w:rPr>
              <w:t>2.2</w:t>
            </w:r>
          </w:p>
        </w:tc>
        <w:tc>
          <w:tcPr>
            <w:tcW w:w="3115" w:type="dxa"/>
            <w:vAlign w:val="top"/>
          </w:tcPr>
          <w:p>
            <w:pPr>
              <w:pStyle w:val="TableText"/>
              <w:ind w:left="190"/>
              <w:spacing w:before="91" w:line="219" w:lineRule="auto"/>
              <w:rPr>
                <w:sz w:val="16"/>
                <w:szCs w:val="16"/>
              </w:rPr>
            </w:pPr>
            <w:r>
              <w:rPr>
                <w:sz w:val="16"/>
                <w:szCs w:val="16"/>
                <w:spacing w:val="-1"/>
              </w:rPr>
              <w:t>业务相关责任人参与制订数据质量战略</w:t>
            </w:r>
          </w:p>
        </w:tc>
        <w:tc>
          <w:tcPr>
            <w:tcW w:w="3770" w:type="dxa"/>
            <w:vAlign w:val="top"/>
          </w:tcPr>
          <w:p>
            <w:pPr>
              <w:pStyle w:val="TableText"/>
              <w:ind w:left="265"/>
              <w:spacing w:before="91" w:line="219" w:lineRule="auto"/>
              <w:rPr>
                <w:sz w:val="16"/>
                <w:szCs w:val="16"/>
              </w:rPr>
            </w:pPr>
            <w:r>
              <w:rPr>
                <w:sz w:val="16"/>
                <w:szCs w:val="16"/>
              </w:rPr>
              <w:t>●文件化的数据质量管理策略</w:t>
            </w:r>
          </w:p>
        </w:tc>
      </w:tr>
    </w:tbl>
    <w:p>
      <w:pPr>
        <w:ind w:left="27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117" w:firstLine="379"/>
        <w:spacing w:before="69" w:line="253" w:lineRule="auto"/>
        <w:rPr>
          <w:rFonts w:ascii="SimSun" w:hAnsi="SimSun" w:eastAsia="SimSun" w:cs="SimSun"/>
          <w:sz w:val="21"/>
          <w:szCs w:val="21"/>
        </w:rPr>
      </w:pPr>
      <w:r>
        <w:rPr>
          <w:rFonts w:ascii="SimSun" w:hAnsi="SimSun" w:eastAsia="SimSun" w:cs="SimSun"/>
          <w:sz w:val="21"/>
          <w:szCs w:val="21"/>
          <w:spacing w:val="2"/>
        </w:rPr>
        <w:t>业务相关责任人应参与制订数据质量目标、规则和准则等策</w:t>
      </w:r>
      <w:r>
        <w:rPr>
          <w:rFonts w:ascii="SimSun" w:hAnsi="SimSun" w:eastAsia="SimSun" w:cs="SimSun"/>
          <w:sz w:val="21"/>
          <w:szCs w:val="21"/>
          <w:spacing w:val="1"/>
        </w:rPr>
        <w:t>略，使数据质量在</w:t>
      </w:r>
      <w:r>
        <w:rPr>
          <w:rFonts w:ascii="SimSun" w:hAnsi="SimSun" w:eastAsia="SimSun" w:cs="SimSun"/>
          <w:sz w:val="21"/>
          <w:szCs w:val="21"/>
        </w:rPr>
        <w:t xml:space="preserve">  </w:t>
      </w:r>
      <w:r>
        <w:rPr>
          <w:rFonts w:ascii="SimSun" w:hAnsi="SimSun" w:eastAsia="SimSun" w:cs="SimSun"/>
          <w:sz w:val="21"/>
          <w:szCs w:val="21"/>
          <w:spacing w:val="-2"/>
        </w:rPr>
        <w:t>整个业务过程中保持一致性和有效性。数据质量战略建议应由组织的业务部门主导，</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部门参与。这样，业务部门的相关责任人能由始至终地跟踪</w:t>
      </w:r>
      <w:r>
        <w:rPr>
          <w:rFonts w:ascii="SimSun" w:hAnsi="SimSun" w:eastAsia="SimSun" w:cs="SimSun"/>
          <w:sz w:val="21"/>
          <w:szCs w:val="21"/>
        </w:rPr>
        <w:t>数据质量，不断优化 </w:t>
      </w:r>
      <w:r>
        <w:rPr>
          <w:rFonts w:ascii="SimSun" w:hAnsi="SimSun" w:eastAsia="SimSun" w:cs="SimSun"/>
          <w:sz w:val="21"/>
          <w:szCs w:val="21"/>
          <w:spacing w:val="-4"/>
        </w:rPr>
        <w:t>和改进数据质量战略。</w:t>
      </w:r>
    </w:p>
    <w:p>
      <w:pPr>
        <w:spacing w:line="137" w:lineRule="exact"/>
        <w:rPr/>
      </w:pPr>
      <w:r/>
    </w:p>
    <w:tbl>
      <w:tblPr>
        <w:tblStyle w:val="TableNormal"/>
        <w:tblW w:w="758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2"/>
              </w:rPr>
              <w:t xml:space="preserve">    </w:t>
            </w:r>
            <w:r>
              <w:rPr>
                <w:sz w:val="16"/>
                <w:szCs w:val="16"/>
                <w:spacing w:val="-6"/>
              </w:rPr>
              <w:t>例</w:t>
            </w:r>
          </w:p>
        </w:tc>
      </w:tr>
      <w:tr>
        <w:trPr>
          <w:trHeight w:val="578" w:hRule="atLeast"/>
        </w:trPr>
        <w:tc>
          <w:tcPr>
            <w:tcW w:w="704" w:type="dxa"/>
            <w:vAlign w:val="top"/>
          </w:tcPr>
          <w:p>
            <w:pPr>
              <w:pStyle w:val="TableText"/>
              <w:ind w:left="224"/>
              <w:spacing w:before="251" w:line="183" w:lineRule="auto"/>
              <w:rPr>
                <w:sz w:val="16"/>
                <w:szCs w:val="16"/>
              </w:rPr>
            </w:pPr>
            <w:r>
              <w:rPr>
                <w:sz w:val="16"/>
                <w:szCs w:val="16"/>
                <w:spacing w:val="-2"/>
              </w:rPr>
              <w:t>2.3</w:t>
            </w:r>
          </w:p>
        </w:tc>
        <w:tc>
          <w:tcPr>
            <w:tcW w:w="3135" w:type="dxa"/>
            <w:vAlign w:val="top"/>
          </w:tcPr>
          <w:p>
            <w:pPr>
              <w:pStyle w:val="TableText"/>
              <w:ind w:left="90" w:firstLine="169"/>
              <w:spacing w:before="80" w:line="272" w:lineRule="auto"/>
              <w:rPr>
                <w:sz w:val="16"/>
                <w:szCs w:val="16"/>
              </w:rPr>
            </w:pPr>
            <w:r>
              <w:rPr>
                <w:sz w:val="16"/>
                <w:szCs w:val="16"/>
                <w:spacing w:val="-1"/>
              </w:rPr>
              <w:t>组织建立方针、过程和指南来实施数据质</w:t>
            </w:r>
            <w:r>
              <w:rPr>
                <w:sz w:val="16"/>
                <w:szCs w:val="16"/>
                <w:spacing w:val="1"/>
              </w:rPr>
              <w:t xml:space="preserve"> </w:t>
            </w:r>
            <w:r>
              <w:rPr>
                <w:sz w:val="16"/>
                <w:szCs w:val="16"/>
                <w:spacing w:val="-2"/>
              </w:rPr>
              <w:t>量战略</w:t>
            </w:r>
          </w:p>
        </w:tc>
        <w:tc>
          <w:tcPr>
            <w:tcW w:w="3750" w:type="dxa"/>
            <w:vAlign w:val="top"/>
          </w:tcPr>
          <w:p>
            <w:pPr>
              <w:pStyle w:val="TableText"/>
              <w:ind w:left="275"/>
              <w:spacing w:before="210" w:line="219" w:lineRule="auto"/>
              <w:rPr>
                <w:sz w:val="16"/>
                <w:szCs w:val="16"/>
              </w:rPr>
            </w:pPr>
            <w:r>
              <w:rPr>
                <w:sz w:val="16"/>
                <w:szCs w:val="16"/>
              </w:rPr>
              <w:t>●文件化的数据质量方针、过程和指南</w:t>
            </w:r>
          </w:p>
        </w:tc>
      </w:tr>
    </w:tbl>
    <w:p>
      <w:pPr>
        <w:ind w:left="27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15" w:firstLine="379"/>
        <w:spacing w:before="61" w:line="259" w:lineRule="auto"/>
        <w:rPr>
          <w:rFonts w:ascii="SimSun" w:hAnsi="SimSun" w:eastAsia="SimSun" w:cs="SimSun"/>
          <w:sz w:val="21"/>
          <w:szCs w:val="21"/>
        </w:rPr>
      </w:pPr>
      <w:r>
        <w:rPr>
          <w:rFonts w:ascii="SimSun" w:hAnsi="SimSun" w:eastAsia="SimSun" w:cs="SimSun"/>
          <w:sz w:val="21"/>
          <w:szCs w:val="21"/>
          <w:spacing w:val="2"/>
        </w:rPr>
        <w:t>数据质量战略的实施由方针、计划和过程来支持，这些共同定义了达成组织质</w:t>
      </w:r>
      <w:r>
        <w:rPr>
          <w:rFonts w:ascii="SimSun" w:hAnsi="SimSun" w:eastAsia="SimSun" w:cs="SimSun"/>
          <w:sz w:val="21"/>
          <w:szCs w:val="21"/>
          <w:spacing w:val="4"/>
        </w:rPr>
        <w:t xml:space="preserve"> </w:t>
      </w:r>
      <w:r>
        <w:rPr>
          <w:rFonts w:ascii="SimSun" w:hAnsi="SimSun" w:eastAsia="SimSun" w:cs="SimSun"/>
          <w:sz w:val="21"/>
          <w:szCs w:val="21"/>
          <w:spacing w:val="1"/>
        </w:rPr>
        <w:t>量目标所必要的活动执行标准和指南。过程和方针中应包含项目中所应用的数据概</w:t>
      </w:r>
      <w:r>
        <w:rPr>
          <w:rFonts w:ascii="SimSun" w:hAnsi="SimSun" w:eastAsia="SimSun" w:cs="SimSun"/>
          <w:sz w:val="21"/>
          <w:szCs w:val="21"/>
          <w:spacing w:val="11"/>
        </w:rPr>
        <w:t xml:space="preserve"> </w:t>
      </w:r>
      <w:r>
        <w:rPr>
          <w:rFonts w:ascii="SimSun" w:hAnsi="SimSun" w:eastAsia="SimSun" w:cs="SimSun"/>
          <w:sz w:val="21"/>
          <w:szCs w:val="21"/>
          <w:spacing w:val="1"/>
        </w:rPr>
        <w:t>要分析、数据清洗、评估以及监控等活动指南。这些活动能应用于很多领域，例如</w:t>
      </w:r>
      <w:r>
        <w:rPr>
          <w:rFonts w:ascii="SimSun" w:hAnsi="SimSun" w:eastAsia="SimSun" w:cs="SimSun"/>
          <w:sz w:val="21"/>
          <w:szCs w:val="21"/>
          <w:spacing w:val="18"/>
        </w:rPr>
        <w:t xml:space="preserve"> </w:t>
      </w:r>
      <w:r>
        <w:rPr>
          <w:rFonts w:ascii="SimSun" w:hAnsi="SimSun" w:eastAsia="SimSun" w:cs="SimSun"/>
          <w:sz w:val="21"/>
          <w:szCs w:val="21"/>
          <w:spacing w:val="-1"/>
        </w:rPr>
        <w:t>数据存储合并、数据仓储、源到目标的转换以及数据转换等。</w:t>
      </w:r>
    </w:p>
    <w:p>
      <w:pPr>
        <w:spacing w:line="127"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2"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5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91" w:line="220" w:lineRule="auto"/>
              <w:rPr/>
            </w:pPr>
            <w:r>
              <w:rPr>
                <w:spacing w:val="-5"/>
              </w:rPr>
              <w:t>实</w:t>
            </w:r>
            <w:r>
              <w:rPr>
                <w:spacing w:val="1"/>
              </w:rPr>
              <w:t xml:space="preserve">   </w:t>
            </w:r>
            <w:r>
              <w:rPr>
                <w:spacing w:val="-5"/>
              </w:rPr>
              <w:t>例</w:t>
            </w:r>
          </w:p>
        </w:tc>
      </w:tr>
      <w:tr>
        <w:trPr>
          <w:trHeight w:val="848"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2.4</w:t>
            </w:r>
          </w:p>
        </w:tc>
        <w:tc>
          <w:tcPr>
            <w:tcW w:w="3135" w:type="dxa"/>
            <w:vAlign w:val="top"/>
          </w:tcPr>
          <w:p>
            <w:pPr>
              <w:pStyle w:val="TableText"/>
              <w:ind w:left="271"/>
              <w:spacing w:before="208" w:line="300" w:lineRule="exact"/>
              <w:rPr/>
            </w:pPr>
            <w:r>
              <w:rPr>
                <w:spacing w:val="-1"/>
                <w:position w:val="11"/>
              </w:rPr>
              <w:t>通过采用组织选择的数据质量维度来确定</w:t>
            </w:r>
          </w:p>
          <w:p>
            <w:pPr>
              <w:pStyle w:val="TableText"/>
              <w:ind w:left="101"/>
              <w:spacing w:line="219" w:lineRule="auto"/>
              <w:rPr/>
            </w:pPr>
            <w:r>
              <w:rPr>
                <w:spacing w:val="-1"/>
              </w:rPr>
              <w:t>数据质量需求</w:t>
            </w:r>
          </w:p>
        </w:tc>
        <w:tc>
          <w:tcPr>
            <w:tcW w:w="3750" w:type="dxa"/>
            <w:vAlign w:val="top"/>
          </w:tcPr>
          <w:p>
            <w:pPr>
              <w:pStyle w:val="TableText"/>
              <w:ind w:left="266"/>
              <w:spacing w:before="69" w:line="219" w:lineRule="auto"/>
              <w:rPr/>
            </w:pPr>
            <w:r>
              <w:rPr>
                <w:spacing w:val="1"/>
              </w:rPr>
              <w:t>●数据质量维度及说明</w:t>
            </w:r>
          </w:p>
          <w:p>
            <w:pPr>
              <w:pStyle w:val="TableText"/>
              <w:ind w:left="266"/>
              <w:spacing w:before="122" w:line="219" w:lineRule="auto"/>
              <w:rPr/>
            </w:pPr>
            <w:r>
              <w:rPr>
                <w:spacing w:val="1"/>
              </w:rPr>
              <w:t>●数据质量需求</w:t>
            </w:r>
          </w:p>
          <w:p>
            <w:pPr>
              <w:pStyle w:val="TableText"/>
              <w:ind w:left="266"/>
              <w:spacing w:before="100" w:line="218" w:lineRule="auto"/>
              <w:rPr/>
            </w:pPr>
            <w:r>
              <w:rPr/>
              <w:t>●数据质量水平的评估记录</w:t>
            </w:r>
          </w:p>
        </w:tc>
      </w:tr>
    </w:tbl>
    <w:p>
      <w:pPr>
        <w:ind w:left="27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20" w:firstLine="379"/>
        <w:spacing w:before="60" w:line="255" w:lineRule="auto"/>
        <w:rPr>
          <w:rFonts w:ascii="SimSun" w:hAnsi="SimSun" w:eastAsia="SimSun" w:cs="SimSun"/>
          <w:sz w:val="21"/>
          <w:szCs w:val="21"/>
        </w:rPr>
      </w:pPr>
      <w:r>
        <w:rPr>
          <w:rFonts w:ascii="SimSun" w:hAnsi="SimSun" w:eastAsia="SimSun" w:cs="SimSun"/>
          <w:sz w:val="21"/>
          <w:szCs w:val="21"/>
          <w:spacing w:val="2"/>
        </w:rPr>
        <w:t>使用多样的方式和形容词来描述质量维度。行业供应商和数据</w:t>
      </w:r>
      <w:r>
        <w:rPr>
          <w:rFonts w:ascii="SimSun" w:hAnsi="SimSun" w:eastAsia="SimSun" w:cs="SimSun"/>
          <w:sz w:val="21"/>
          <w:szCs w:val="21"/>
          <w:spacing w:val="1"/>
        </w:rPr>
        <w:t>质量度量的专家</w:t>
      </w:r>
      <w:r>
        <w:rPr>
          <w:rFonts w:ascii="SimSun" w:hAnsi="SimSun" w:eastAsia="SimSun" w:cs="SimSun"/>
          <w:sz w:val="21"/>
          <w:szCs w:val="21"/>
        </w:rPr>
        <w:t xml:space="preserve"> </w:t>
      </w:r>
      <w:r>
        <w:rPr>
          <w:rFonts w:ascii="SimSun" w:hAnsi="SimSun" w:eastAsia="SimSun" w:cs="SimSun"/>
          <w:sz w:val="21"/>
          <w:szCs w:val="21"/>
          <w:spacing w:val="1"/>
        </w:rPr>
        <w:t>会从七到九个维度来进行描述。最重要的是组织决定哪些维度对他们来说是最重要</w:t>
      </w:r>
      <w:r>
        <w:rPr>
          <w:rFonts w:ascii="SimSun" w:hAnsi="SimSun" w:eastAsia="SimSun" w:cs="SimSun"/>
          <w:sz w:val="21"/>
          <w:szCs w:val="21"/>
          <w:spacing w:val="13"/>
        </w:rPr>
        <w:t xml:space="preserve"> </w:t>
      </w:r>
      <w:r>
        <w:rPr>
          <w:rFonts w:ascii="SimSun" w:hAnsi="SimSun" w:eastAsia="SimSun" w:cs="SimSun"/>
          <w:sz w:val="21"/>
          <w:szCs w:val="21"/>
          <w:spacing w:val="1"/>
        </w:rPr>
        <w:t>的，描述这些维度并使用他们来指导需求的开发，建立指导活动的准则，并使用他</w:t>
      </w:r>
    </w:p>
    <w:p>
      <w:pPr>
        <w:spacing w:line="255" w:lineRule="auto"/>
        <w:sectPr>
          <w:footerReference w:type="default" r:id="rId250"/>
          <w:pgSz w:w="8870" w:h="13400"/>
          <w:pgMar w:top="400" w:right="658" w:bottom="488" w:left="379" w:header="0" w:footer="278" w:gutter="0"/>
        </w:sectPr>
        <w:rPr>
          <w:rFonts w:ascii="SimSun" w:hAnsi="SimSun" w:eastAsia="SimSun" w:cs="SimSun"/>
          <w:sz w:val="21"/>
          <w:szCs w:val="21"/>
        </w:rPr>
      </w:pPr>
    </w:p>
    <w:p>
      <w:pPr>
        <w:ind w:left="99"/>
        <w:spacing w:before="22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182" name="IM 182"/>
            <wp:cNvGraphicFramePr/>
            <a:graphic>
              <a:graphicData uri="http://schemas.openxmlformats.org/drawingml/2006/picture">
                <pic:pic>
                  <pic:nvPicPr>
                    <pic:cNvPr id="182" name="IM 182"/>
                    <pic:cNvPicPr/>
                  </pic:nvPicPr>
                  <pic:blipFill>
                    <a:blip r:embed="rId25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250"/>
        <w:spacing w:before="287" w:line="218" w:lineRule="auto"/>
        <w:rPr>
          <w:rFonts w:ascii="SimSun" w:hAnsi="SimSun" w:eastAsia="SimSun" w:cs="SimSun"/>
          <w:sz w:val="22"/>
          <w:szCs w:val="22"/>
        </w:rPr>
      </w:pPr>
      <w:r>
        <w:rPr>
          <w:rFonts w:ascii="SimSun" w:hAnsi="SimSun" w:eastAsia="SimSun" w:cs="SimSun"/>
          <w:sz w:val="22"/>
          <w:szCs w:val="22"/>
          <w:spacing w:val="-12"/>
        </w:rPr>
        <w:t>们对质量水平进行标准化的评估。</w:t>
      </w:r>
    </w:p>
    <w:p>
      <w:pPr>
        <w:spacing w:line="138" w:lineRule="exact"/>
        <w:rPr/>
      </w:pPr>
      <w:r/>
    </w:p>
    <w:tbl>
      <w:tblPr>
        <w:tblStyle w:val="TableNormal"/>
        <w:tblW w:w="7599"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1" w:hRule="atLeast"/>
        </w:trPr>
        <w:tc>
          <w:tcPr>
            <w:tcW w:w="714" w:type="dxa"/>
            <w:vAlign w:val="top"/>
          </w:tcPr>
          <w:p>
            <w:pPr>
              <w:pStyle w:val="TableText"/>
              <w:ind w:left="195"/>
              <w:spacing w:before="92" w:line="221" w:lineRule="auto"/>
              <w:rPr/>
            </w:pPr>
            <w:r>
              <w:rPr>
                <w:spacing w:val="-2"/>
              </w:rPr>
              <w:t>序号</w:t>
            </w:r>
          </w:p>
        </w:tc>
        <w:tc>
          <w:tcPr>
            <w:tcW w:w="314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548" w:hRule="atLeast"/>
        </w:trPr>
        <w:tc>
          <w:tcPr>
            <w:tcW w:w="714" w:type="dxa"/>
            <w:vAlign w:val="top"/>
          </w:tcPr>
          <w:p>
            <w:pPr>
              <w:pStyle w:val="TableText"/>
              <w:ind w:left="235"/>
              <w:spacing w:before="238" w:line="183" w:lineRule="auto"/>
              <w:rPr/>
            </w:pPr>
            <w:r>
              <w:rPr>
                <w:spacing w:val="-2"/>
              </w:rPr>
              <w:t>2.5</w:t>
            </w:r>
          </w:p>
        </w:tc>
        <w:tc>
          <w:tcPr>
            <w:tcW w:w="3145" w:type="dxa"/>
            <w:vAlign w:val="top"/>
          </w:tcPr>
          <w:p>
            <w:pPr>
              <w:pStyle w:val="TableText"/>
              <w:ind w:left="120" w:right="188" w:firstLine="130"/>
              <w:spacing w:before="79" w:line="276" w:lineRule="auto"/>
              <w:rPr/>
            </w:pPr>
            <w:r>
              <w:rPr>
                <w:spacing w:val="-1"/>
              </w:rPr>
              <w:t>根据业务目标与计划制订数据质量战略，</w:t>
            </w:r>
            <w:r>
              <w:rPr>
                <w:spacing w:val="12"/>
              </w:rPr>
              <w:t xml:space="preserve"> </w:t>
            </w:r>
            <w:r>
              <w:rPr>
                <w:spacing w:val="1"/>
              </w:rPr>
              <w:t>并通过了高级管理层的评审</w:t>
            </w:r>
          </w:p>
        </w:tc>
        <w:tc>
          <w:tcPr>
            <w:tcW w:w="3740" w:type="dxa"/>
            <w:vAlign w:val="top"/>
          </w:tcPr>
          <w:p>
            <w:pPr>
              <w:pStyle w:val="TableText"/>
              <w:ind w:left="275"/>
              <w:spacing w:before="80" w:line="219" w:lineRule="auto"/>
              <w:rPr/>
            </w:pPr>
            <w:r>
              <w:rPr/>
              <w:t>●文件化的数据质量战略</w:t>
            </w:r>
          </w:p>
          <w:p>
            <w:pPr>
              <w:pStyle w:val="TableText"/>
              <w:ind w:left="275"/>
              <w:spacing w:before="80" w:line="219" w:lineRule="auto"/>
              <w:rPr/>
            </w:pPr>
            <w:r>
              <w:rPr/>
              <w:t>●高层会议或评审的记录</w:t>
            </w:r>
          </w:p>
        </w:tc>
      </w:tr>
    </w:tbl>
    <w:p>
      <w:pPr>
        <w:ind w:left="56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0" w:right="25" w:firstLine="419"/>
        <w:spacing w:before="48" w:line="252" w:lineRule="auto"/>
        <w:rPr>
          <w:rFonts w:ascii="SimSun" w:hAnsi="SimSun" w:eastAsia="SimSun" w:cs="SimSun"/>
          <w:sz w:val="22"/>
          <w:szCs w:val="22"/>
        </w:rPr>
      </w:pPr>
      <w:r>
        <w:rPr>
          <w:rFonts w:ascii="SimSun" w:hAnsi="SimSun" w:eastAsia="SimSun" w:cs="SimSun"/>
          <w:sz w:val="22"/>
          <w:szCs w:val="22"/>
          <w:spacing w:val="-8"/>
        </w:rPr>
        <w:t>为实现组织所需的数据管理能力，组织应定义相关的操作模型，并基于操作模</w:t>
      </w:r>
      <w:r>
        <w:rPr>
          <w:rFonts w:ascii="SimSun" w:hAnsi="SimSun" w:eastAsia="SimSun" w:cs="SimSun"/>
          <w:sz w:val="22"/>
          <w:szCs w:val="22"/>
        </w:rPr>
        <w:t xml:space="preserve"> </w:t>
      </w:r>
      <w:r>
        <w:rPr>
          <w:rFonts w:ascii="SimSun" w:hAnsi="SimSun" w:eastAsia="SimSun" w:cs="SimSun"/>
          <w:sz w:val="22"/>
          <w:szCs w:val="22"/>
          <w:spacing w:val="-8"/>
        </w:rPr>
        <w:t>型建立数据质量战略。获取质量上的提升需要大量的工作，因此必须要识</w:t>
      </w:r>
      <w:r>
        <w:rPr>
          <w:rFonts w:ascii="SimSun" w:hAnsi="SimSun" w:eastAsia="SimSun" w:cs="SimSun"/>
          <w:sz w:val="22"/>
          <w:szCs w:val="22"/>
          <w:spacing w:val="-9"/>
        </w:rPr>
        <w:t>别出满足</w:t>
      </w:r>
      <w:r>
        <w:rPr>
          <w:rFonts w:ascii="SimSun" w:hAnsi="SimSun" w:eastAsia="SimSun" w:cs="SimSun"/>
          <w:sz w:val="22"/>
          <w:szCs w:val="22"/>
        </w:rPr>
        <w:t xml:space="preserve"> </w:t>
      </w:r>
      <w:r>
        <w:rPr>
          <w:rFonts w:ascii="SimSun" w:hAnsi="SimSun" w:eastAsia="SimSun" w:cs="SimSun"/>
          <w:sz w:val="22"/>
          <w:szCs w:val="22"/>
          <w:spacing w:val="-8"/>
        </w:rPr>
        <w:t>目标的有效质量级别并平衡所需的工作，这些工作与业务计划也要保</w:t>
      </w:r>
      <w:r>
        <w:rPr>
          <w:rFonts w:ascii="SimSun" w:hAnsi="SimSun" w:eastAsia="SimSun" w:cs="SimSun"/>
          <w:sz w:val="22"/>
          <w:szCs w:val="22"/>
          <w:spacing w:val="-9"/>
        </w:rPr>
        <w:t>持相符。而业</w:t>
      </w:r>
      <w:r>
        <w:rPr>
          <w:rFonts w:ascii="SimSun" w:hAnsi="SimSun" w:eastAsia="SimSun" w:cs="SimSun"/>
          <w:sz w:val="22"/>
          <w:szCs w:val="22"/>
        </w:rPr>
        <w:t xml:space="preserve"> </w:t>
      </w:r>
      <w:r>
        <w:rPr>
          <w:rFonts w:ascii="SimSun" w:hAnsi="SimSun" w:eastAsia="SimSun" w:cs="SimSun"/>
          <w:sz w:val="22"/>
          <w:szCs w:val="22"/>
          <w:spacing w:val="-8"/>
        </w:rPr>
        <w:t>务计划是制订数据质量战略的关键驱动因素。以上这些内容，必须要</w:t>
      </w:r>
      <w:r>
        <w:rPr>
          <w:rFonts w:ascii="SimSun" w:hAnsi="SimSun" w:eastAsia="SimSun" w:cs="SimSun"/>
          <w:sz w:val="22"/>
          <w:szCs w:val="22"/>
          <w:spacing w:val="-9"/>
        </w:rPr>
        <w:t>通过高级管理</w:t>
      </w:r>
      <w:r>
        <w:rPr>
          <w:rFonts w:ascii="SimSun" w:hAnsi="SimSun" w:eastAsia="SimSun" w:cs="SimSun"/>
          <w:sz w:val="22"/>
          <w:szCs w:val="22"/>
        </w:rPr>
        <w:t xml:space="preserve"> </w:t>
      </w:r>
      <w:r>
        <w:rPr>
          <w:rFonts w:ascii="SimSun" w:hAnsi="SimSun" w:eastAsia="SimSun" w:cs="SimSun"/>
          <w:sz w:val="22"/>
          <w:szCs w:val="22"/>
          <w:spacing w:val="-9"/>
        </w:rPr>
        <w:t>层的评审和批准，得到高层支持能够有效保证数据质量战略的实</w:t>
      </w:r>
      <w:r>
        <w:rPr>
          <w:rFonts w:ascii="SimSun" w:hAnsi="SimSun" w:eastAsia="SimSun" w:cs="SimSun"/>
          <w:sz w:val="22"/>
          <w:szCs w:val="22"/>
          <w:spacing w:val="-10"/>
        </w:rPr>
        <w:t>施。</w:t>
      </w:r>
    </w:p>
    <w:p>
      <w:pPr>
        <w:spacing w:line="144" w:lineRule="exact"/>
        <w:rPr/>
      </w:pPr>
      <w:r/>
    </w:p>
    <w:tbl>
      <w:tblPr>
        <w:tblStyle w:val="TableNormal"/>
        <w:tblW w:w="759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03" w:hRule="atLeast"/>
        </w:trPr>
        <w:tc>
          <w:tcPr>
            <w:tcW w:w="714" w:type="dxa"/>
            <w:vAlign w:val="top"/>
          </w:tcPr>
          <w:p>
            <w:pPr>
              <w:pStyle w:val="TableText"/>
              <w:ind w:left="195"/>
              <w:spacing w:before="82"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81" w:line="220" w:lineRule="auto"/>
              <w:rPr/>
            </w:pPr>
            <w:r>
              <w:rPr>
                <w:spacing w:val="-5"/>
              </w:rPr>
              <w:t>实</w:t>
            </w:r>
            <w:r>
              <w:rPr>
                <w:spacing w:val="1"/>
              </w:rPr>
              <w:t xml:space="preserve">   </w:t>
            </w:r>
            <w:r>
              <w:rPr>
                <w:spacing w:val="-5"/>
              </w:rPr>
              <w:t>例</w:t>
            </w:r>
          </w:p>
        </w:tc>
      </w:tr>
      <w:tr>
        <w:trPr>
          <w:trHeight w:val="1137" w:hRule="atLeast"/>
        </w:trPr>
        <w:tc>
          <w:tcPr>
            <w:tcW w:w="714" w:type="dxa"/>
            <w:vAlign w:val="top"/>
          </w:tcPr>
          <w:p>
            <w:pPr>
              <w:spacing w:line="242" w:lineRule="auto"/>
              <w:rPr>
                <w:rFonts w:ascii="Arial"/>
                <w:sz w:val="21"/>
              </w:rPr>
            </w:pPr>
            <w:r/>
          </w:p>
          <w:p>
            <w:pPr>
              <w:spacing w:line="243" w:lineRule="auto"/>
              <w:rPr>
                <w:rFonts w:ascii="Arial"/>
                <w:sz w:val="21"/>
              </w:rPr>
            </w:pPr>
            <w:r/>
          </w:p>
          <w:p>
            <w:pPr>
              <w:pStyle w:val="TableText"/>
              <w:ind w:left="235"/>
              <w:spacing w:before="48" w:line="183" w:lineRule="auto"/>
              <w:rPr/>
            </w:pPr>
            <w:r>
              <w:rPr>
                <w:spacing w:val="-2"/>
              </w:rPr>
              <w:t>2.6</w:t>
            </w:r>
          </w:p>
        </w:tc>
        <w:tc>
          <w:tcPr>
            <w:tcW w:w="3135" w:type="dxa"/>
            <w:vAlign w:val="top"/>
          </w:tcPr>
          <w:p>
            <w:pPr>
              <w:spacing w:line="445" w:lineRule="auto"/>
              <w:rPr>
                <w:rFonts w:ascii="Arial"/>
                <w:sz w:val="21"/>
              </w:rPr>
            </w:pPr>
            <w:r/>
          </w:p>
          <w:p>
            <w:pPr>
              <w:pStyle w:val="TableText"/>
              <w:ind w:left="260"/>
              <w:spacing w:before="49" w:line="218" w:lineRule="auto"/>
              <w:rPr/>
            </w:pPr>
            <w:r>
              <w:rPr>
                <w:spacing w:val="-1"/>
              </w:rPr>
              <w:t>对计划进行监督以评估进度</w:t>
            </w:r>
          </w:p>
        </w:tc>
        <w:tc>
          <w:tcPr>
            <w:tcW w:w="3750" w:type="dxa"/>
            <w:vAlign w:val="top"/>
          </w:tcPr>
          <w:p>
            <w:pPr>
              <w:pStyle w:val="TableText"/>
              <w:ind w:left="265"/>
              <w:spacing w:before="78" w:line="220" w:lineRule="auto"/>
              <w:rPr/>
            </w:pPr>
            <w:r>
              <w:rPr/>
              <w:t>●质量工作计划的监督记录</w:t>
            </w:r>
          </w:p>
          <w:p>
            <w:pPr>
              <w:pStyle w:val="TableText"/>
              <w:ind w:left="265"/>
              <w:spacing w:before="90" w:line="219" w:lineRule="auto"/>
              <w:rPr/>
            </w:pPr>
            <w:r>
              <w:rPr/>
              <w:t>●数据质量战略</w:t>
            </w:r>
          </w:p>
          <w:p>
            <w:pPr>
              <w:pStyle w:val="TableText"/>
              <w:ind w:left="265"/>
              <w:spacing w:before="132" w:line="219" w:lineRule="auto"/>
              <w:rPr/>
            </w:pPr>
            <w:r>
              <w:rPr/>
              <w:t>●已识别出关键里程碑的数据质量顺序计划</w:t>
            </w:r>
          </w:p>
          <w:p>
            <w:pPr>
              <w:pStyle w:val="TableText"/>
              <w:ind w:left="265"/>
              <w:spacing w:before="102" w:line="220" w:lineRule="auto"/>
              <w:rPr/>
            </w:pPr>
            <w:r>
              <w:rPr/>
              <w:t>●方针、过程和指南</w:t>
            </w:r>
          </w:p>
        </w:tc>
      </w:tr>
    </w:tbl>
    <w:p>
      <w:pPr>
        <w:ind w:left="56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0" w:right="23" w:firstLine="419"/>
        <w:spacing w:before="41" w:line="250" w:lineRule="auto"/>
        <w:rPr>
          <w:rFonts w:ascii="SimSun" w:hAnsi="SimSun" w:eastAsia="SimSun" w:cs="SimSun"/>
          <w:sz w:val="22"/>
          <w:szCs w:val="22"/>
        </w:rPr>
      </w:pPr>
      <w:r>
        <w:rPr>
          <w:rFonts w:ascii="SimSun" w:hAnsi="SimSun" w:eastAsia="SimSun" w:cs="SimSun"/>
          <w:sz w:val="22"/>
          <w:szCs w:val="22"/>
          <w:spacing w:val="-8"/>
        </w:rPr>
        <w:t>这些计划的制订是为了达成数据质量战略的战略目标和战术目标。在计划制订</w:t>
      </w:r>
      <w:r>
        <w:rPr>
          <w:rFonts w:ascii="SimSun" w:hAnsi="SimSun" w:eastAsia="SimSun" w:cs="SimSun"/>
          <w:sz w:val="22"/>
          <w:szCs w:val="22"/>
          <w:spacing w:val="1"/>
        </w:rPr>
        <w:t xml:space="preserve"> </w:t>
      </w:r>
      <w:r>
        <w:rPr>
          <w:rFonts w:ascii="SimSun" w:hAnsi="SimSun" w:eastAsia="SimSun" w:cs="SimSun"/>
          <w:sz w:val="22"/>
          <w:szCs w:val="22"/>
          <w:spacing w:val="-8"/>
        </w:rPr>
        <w:t>中，将组织的战略、战术目标作为计划的里程碑，说明每步计划与目标</w:t>
      </w:r>
      <w:r>
        <w:rPr>
          <w:rFonts w:ascii="SimSun" w:hAnsi="SimSun" w:eastAsia="SimSun" w:cs="SimSun"/>
          <w:sz w:val="22"/>
          <w:szCs w:val="22"/>
          <w:spacing w:val="-9"/>
        </w:rPr>
        <w:t>之间的关联</w:t>
      </w:r>
      <w:r>
        <w:rPr>
          <w:rFonts w:ascii="SimSun" w:hAnsi="SimSun" w:eastAsia="SimSun" w:cs="SimSun"/>
          <w:sz w:val="22"/>
          <w:szCs w:val="22"/>
        </w:rPr>
        <w:t xml:space="preserve"> </w:t>
      </w:r>
      <w:r>
        <w:rPr>
          <w:rFonts w:ascii="SimSun" w:hAnsi="SimSun" w:eastAsia="SimSun" w:cs="SimSun"/>
          <w:sz w:val="22"/>
          <w:szCs w:val="22"/>
          <w:spacing w:val="-8"/>
        </w:rPr>
        <w:t>性。为实现目标和落实计划，计划中应给出组织应掌握的方针和过程方法，对</w:t>
      </w:r>
      <w:r>
        <w:rPr>
          <w:rFonts w:ascii="SimSun" w:hAnsi="SimSun" w:eastAsia="SimSun" w:cs="SimSun"/>
          <w:sz w:val="22"/>
          <w:szCs w:val="22"/>
          <w:spacing w:val="-9"/>
        </w:rPr>
        <w:t>于工</w:t>
      </w:r>
      <w:r>
        <w:rPr>
          <w:rFonts w:ascii="SimSun" w:hAnsi="SimSun" w:eastAsia="SimSun" w:cs="SimSun"/>
          <w:sz w:val="22"/>
          <w:szCs w:val="22"/>
        </w:rPr>
        <w:t xml:space="preserve"> </w:t>
      </w:r>
      <w:r>
        <w:rPr>
          <w:rFonts w:ascii="SimSun" w:hAnsi="SimSun" w:eastAsia="SimSun" w:cs="SimSun"/>
          <w:sz w:val="22"/>
          <w:szCs w:val="22"/>
          <w:spacing w:val="-12"/>
        </w:rPr>
        <w:t>作计划应给出相应的指南和建议。</w:t>
      </w:r>
    </w:p>
    <w:p>
      <w:pPr>
        <w:ind w:left="670"/>
        <w:spacing w:before="52"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14"/>
          <w:w w:val="101"/>
        </w:rPr>
        <w:t xml:space="preserve">  </w:t>
      </w: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b/>
          <w:bCs/>
          <w:spacing w:val="-11"/>
        </w:rPr>
        <w:t xml:space="preserve"> </w:t>
      </w:r>
      <w:r>
        <w:rPr>
          <w:rFonts w:ascii="SimHei" w:hAnsi="SimHei" w:eastAsia="SimHei" w:cs="SimHei"/>
          <w:sz w:val="22"/>
          <w:szCs w:val="22"/>
          <w:b/>
          <w:bCs/>
          <w:spacing w:val="-5"/>
        </w:rPr>
        <w:t>定义级</w:t>
      </w:r>
    </w:p>
    <w:p>
      <w:pPr>
        <w:spacing w:line="127" w:lineRule="exact"/>
        <w:rPr/>
      </w:pPr>
      <w:r/>
    </w:p>
    <w:tbl>
      <w:tblPr>
        <w:tblStyle w:val="TableNormal"/>
        <w:tblW w:w="759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40"/>
      </w:tblGrid>
      <w:tr>
        <w:trPr>
          <w:trHeight w:val="32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55" w:type="dxa"/>
            <w:vAlign w:val="top"/>
          </w:tcPr>
          <w:p>
            <w:pPr>
              <w:pStyle w:val="TableText"/>
              <w:ind w:left="1151"/>
              <w:spacing w:before="81" w:line="219" w:lineRule="auto"/>
              <w:rPr>
                <w:sz w:val="16"/>
                <w:szCs w:val="16"/>
              </w:rPr>
            </w:pPr>
            <w:r>
              <w:rPr>
                <w:sz w:val="16"/>
                <w:szCs w:val="16"/>
                <w:spacing w:val="-4"/>
              </w:rPr>
              <w:t>等 级 要 求</w:t>
            </w:r>
          </w:p>
        </w:tc>
        <w:tc>
          <w:tcPr>
            <w:tcW w:w="3740" w:type="dxa"/>
            <w:vAlign w:val="top"/>
          </w:tcPr>
          <w:p>
            <w:pPr>
              <w:pStyle w:val="TableText"/>
              <w:ind w:left="158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48" w:hRule="atLeast"/>
        </w:trPr>
        <w:tc>
          <w:tcPr>
            <w:tcW w:w="704" w:type="dxa"/>
            <w:vAlign w:val="top"/>
          </w:tcPr>
          <w:p>
            <w:pPr>
              <w:spacing w:line="335" w:lineRule="auto"/>
              <w:rPr>
                <w:rFonts w:ascii="Arial"/>
                <w:sz w:val="21"/>
              </w:rPr>
            </w:pPr>
            <w:r/>
          </w:p>
          <w:p>
            <w:pPr>
              <w:pStyle w:val="TableText"/>
              <w:ind w:left="224"/>
              <w:spacing w:before="52" w:line="184" w:lineRule="auto"/>
              <w:rPr>
                <w:sz w:val="16"/>
                <w:szCs w:val="16"/>
              </w:rPr>
            </w:pPr>
            <w:r>
              <w:rPr>
                <w:sz w:val="16"/>
                <w:szCs w:val="16"/>
                <w:spacing w:val="-3"/>
              </w:rPr>
              <w:t>3.1</w:t>
            </w:r>
          </w:p>
        </w:tc>
        <w:tc>
          <w:tcPr>
            <w:tcW w:w="3155" w:type="dxa"/>
            <w:vAlign w:val="top"/>
          </w:tcPr>
          <w:p>
            <w:pPr>
              <w:pStyle w:val="TableText"/>
              <w:ind w:left="50" w:firstLine="220"/>
              <w:spacing w:before="79" w:line="290" w:lineRule="auto"/>
              <w:jc w:val="both"/>
              <w:rPr>
                <w:sz w:val="16"/>
                <w:szCs w:val="16"/>
              </w:rPr>
            </w:pPr>
            <w:r>
              <w:rPr>
                <w:sz w:val="16"/>
                <w:szCs w:val="16"/>
                <w:spacing w:val="-1"/>
              </w:rPr>
              <w:t>整个组织都遵循数据质量战略，并且根据</w:t>
            </w:r>
            <w:r>
              <w:rPr>
                <w:sz w:val="16"/>
                <w:szCs w:val="16"/>
                <w:spacing w:val="10"/>
              </w:rPr>
              <w:t xml:space="preserve"> </w:t>
            </w:r>
            <w:r>
              <w:rPr>
                <w:sz w:val="16"/>
                <w:szCs w:val="16"/>
                <w:spacing w:val="-1"/>
              </w:rPr>
              <w:t>数据质量战略相应地制订了方针、过程和指</w:t>
            </w:r>
            <w:r>
              <w:rPr>
                <w:sz w:val="16"/>
                <w:szCs w:val="16"/>
                <w:spacing w:val="5"/>
              </w:rPr>
              <w:t xml:space="preserve">  </w:t>
            </w:r>
            <w:r>
              <w:rPr>
                <w:sz w:val="16"/>
                <w:szCs w:val="16"/>
                <w:spacing w:val="21"/>
                <w:w w:val="125"/>
              </w:rPr>
              <w:t>南</w:t>
            </w:r>
          </w:p>
        </w:tc>
        <w:tc>
          <w:tcPr>
            <w:tcW w:w="3740" w:type="dxa"/>
            <w:vAlign w:val="top"/>
          </w:tcPr>
          <w:p>
            <w:pPr>
              <w:pStyle w:val="TableText"/>
              <w:ind w:left="266"/>
              <w:spacing w:before="229" w:line="219" w:lineRule="auto"/>
              <w:rPr>
                <w:sz w:val="16"/>
                <w:szCs w:val="16"/>
              </w:rPr>
            </w:pPr>
            <w:r>
              <w:rPr>
                <w:sz w:val="16"/>
                <w:szCs w:val="16"/>
              </w:rPr>
              <w:t>●文件化数据质量方针和过程</w:t>
            </w:r>
          </w:p>
          <w:p>
            <w:pPr>
              <w:pStyle w:val="TableText"/>
              <w:ind w:left="266"/>
              <w:spacing w:before="80" w:line="219" w:lineRule="auto"/>
              <w:rPr>
                <w:sz w:val="16"/>
                <w:szCs w:val="16"/>
              </w:rPr>
            </w:pPr>
            <w:r>
              <w:rPr>
                <w:sz w:val="16"/>
                <w:szCs w:val="16"/>
              </w:rPr>
              <w:t>●数据质量实施指南</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0" w:right="10" w:firstLine="419"/>
        <w:spacing w:before="48" w:line="246" w:lineRule="auto"/>
        <w:rPr>
          <w:rFonts w:ascii="SimSun" w:hAnsi="SimSun" w:eastAsia="SimSun" w:cs="SimSun"/>
          <w:sz w:val="22"/>
          <w:szCs w:val="22"/>
        </w:rPr>
      </w:pPr>
      <w:r>
        <w:rPr>
          <w:rFonts w:ascii="SimSun" w:hAnsi="SimSun" w:eastAsia="SimSun" w:cs="SimSun"/>
          <w:sz w:val="22"/>
          <w:szCs w:val="22"/>
          <w:spacing w:val="-8"/>
        </w:rPr>
        <w:t>数据质量管理体系应当包括建立规范与制度体系、明确管理流程、建立管理系</w:t>
      </w:r>
      <w:r>
        <w:rPr>
          <w:rFonts w:ascii="SimSun" w:hAnsi="SimSun" w:eastAsia="SimSun" w:cs="SimSun"/>
          <w:sz w:val="22"/>
          <w:szCs w:val="22"/>
          <w:spacing w:val="10"/>
        </w:rPr>
        <w:t xml:space="preserve"> </w:t>
      </w:r>
      <w:r>
        <w:rPr>
          <w:rFonts w:ascii="SimSun" w:hAnsi="SimSun" w:eastAsia="SimSun" w:cs="SimSun"/>
          <w:sz w:val="22"/>
          <w:szCs w:val="22"/>
          <w:spacing w:val="-8"/>
        </w:rPr>
        <w:t>统与工具体系、建立检查与跟踪机制、建立考核体系等。例如质量管理流程包括问</w:t>
      </w:r>
      <w:r>
        <w:rPr>
          <w:rFonts w:ascii="SimSun" w:hAnsi="SimSun" w:eastAsia="SimSun" w:cs="SimSun"/>
          <w:sz w:val="22"/>
          <w:szCs w:val="22"/>
          <w:spacing w:val="11"/>
        </w:rPr>
        <w:t xml:space="preserve"> </w:t>
      </w:r>
      <w:r>
        <w:rPr>
          <w:rFonts w:ascii="SimSun" w:hAnsi="SimSun" w:eastAsia="SimSun" w:cs="SimSun"/>
          <w:sz w:val="22"/>
          <w:szCs w:val="22"/>
          <w:spacing w:val="-9"/>
        </w:rPr>
        <w:t>题收集、问题分析、制订实施方案、实施治理、考核评估和优化改进等环节。</w:t>
      </w:r>
    </w:p>
    <w:p>
      <w:pPr>
        <w:ind w:left="670"/>
        <w:spacing w:before="50" w:line="219" w:lineRule="auto"/>
        <w:rPr>
          <w:rFonts w:ascii="SimSun" w:hAnsi="SimSun" w:eastAsia="SimSun" w:cs="SimSun"/>
          <w:sz w:val="22"/>
          <w:szCs w:val="22"/>
        </w:rPr>
      </w:pPr>
      <w:r>
        <w:rPr>
          <w:rFonts w:ascii="SimSun" w:hAnsi="SimSun" w:eastAsia="SimSun" w:cs="SimSun"/>
          <w:sz w:val="22"/>
          <w:szCs w:val="22"/>
          <w:spacing w:val="-12"/>
        </w:rPr>
        <w:t>数据质量战略应考虑以下内容。</w:t>
      </w:r>
    </w:p>
    <w:p>
      <w:pPr>
        <w:ind w:left="670"/>
        <w:spacing w:before="61" w:line="219" w:lineRule="auto"/>
        <w:rPr>
          <w:rFonts w:ascii="SimSun" w:hAnsi="SimSun" w:eastAsia="SimSun" w:cs="SimSun"/>
          <w:sz w:val="22"/>
          <w:szCs w:val="22"/>
        </w:rPr>
      </w:pPr>
      <w:r>
        <w:rPr>
          <w:rFonts w:ascii="SimSun" w:hAnsi="SimSun" w:eastAsia="SimSun" w:cs="SimSun"/>
          <w:sz w:val="22"/>
          <w:szCs w:val="22"/>
          <w:spacing w:val="-10"/>
        </w:rPr>
        <w:t>●与业务策略保持相符；</w:t>
      </w:r>
    </w:p>
    <w:p>
      <w:pPr>
        <w:ind w:left="670"/>
        <w:spacing w:before="49" w:line="219" w:lineRule="auto"/>
        <w:rPr>
          <w:rFonts w:ascii="SimSun" w:hAnsi="SimSun" w:eastAsia="SimSun" w:cs="SimSun"/>
          <w:sz w:val="22"/>
          <w:szCs w:val="22"/>
        </w:rPr>
      </w:pPr>
      <w:r>
        <w:rPr>
          <w:rFonts w:ascii="SimSun" w:hAnsi="SimSun" w:eastAsia="SimSun" w:cs="SimSun"/>
          <w:sz w:val="22"/>
          <w:szCs w:val="22"/>
          <w:spacing w:val="-9"/>
        </w:rPr>
        <w:t>●与业务目标相关的目标和阈值；</w:t>
      </w:r>
    </w:p>
    <w:p>
      <w:pPr>
        <w:ind w:left="670"/>
        <w:spacing w:before="59" w:line="219" w:lineRule="auto"/>
        <w:rPr>
          <w:rFonts w:ascii="SimSun" w:hAnsi="SimSun" w:eastAsia="SimSun" w:cs="SimSun"/>
          <w:sz w:val="22"/>
          <w:szCs w:val="22"/>
        </w:rPr>
      </w:pPr>
      <w:r>
        <w:rPr>
          <w:rFonts w:ascii="SimSun" w:hAnsi="SimSun" w:eastAsia="SimSun" w:cs="SimSun"/>
          <w:sz w:val="22"/>
          <w:szCs w:val="22"/>
          <w:spacing w:val="-10"/>
        </w:rPr>
        <w:t>●整体的数据管理策略和目标；</w:t>
      </w:r>
    </w:p>
    <w:p>
      <w:pPr>
        <w:ind w:left="670"/>
        <w:spacing w:before="47" w:line="235" w:lineRule="auto"/>
        <w:rPr>
          <w:rFonts w:ascii="SimSun" w:hAnsi="SimSun" w:eastAsia="SimSun" w:cs="SimSun"/>
          <w:sz w:val="22"/>
          <w:szCs w:val="22"/>
        </w:rPr>
      </w:pPr>
      <w:r>
        <w:rPr>
          <w:rFonts w:ascii="STHupo" w:hAnsi="STHupo" w:eastAsia="STHupo" w:cs="STHupo"/>
          <w:sz w:val="22"/>
          <w:szCs w:val="22"/>
          <w:spacing w:val="-17"/>
        </w:rPr>
        <w:t>●</w:t>
      </w:r>
      <w:r>
        <w:rPr>
          <w:rFonts w:ascii="STHupo" w:hAnsi="STHupo" w:eastAsia="STHupo" w:cs="STHupo"/>
          <w:sz w:val="22"/>
          <w:szCs w:val="22"/>
          <w:spacing w:val="34"/>
        </w:rPr>
        <w:t xml:space="preserve"> </w:t>
      </w:r>
      <w:r>
        <w:rPr>
          <w:rFonts w:ascii="SimSun" w:hAnsi="SimSun" w:eastAsia="SimSun" w:cs="SimSun"/>
          <w:sz w:val="22"/>
          <w:szCs w:val="22"/>
          <w:spacing w:val="-17"/>
        </w:rPr>
        <w:t>主题领域的优先次序；</w:t>
      </w:r>
    </w:p>
    <w:p>
      <w:pPr>
        <w:spacing w:line="235" w:lineRule="auto"/>
        <w:sectPr>
          <w:footerReference w:type="default" r:id="rId251"/>
          <w:pgSz w:w="8870" w:h="13400"/>
          <w:pgMar w:top="400" w:right="545" w:bottom="465" w:left="419" w:header="0" w:footer="246" w:gutter="0"/>
        </w:sectPr>
        <w:rPr>
          <w:rFonts w:ascii="SimSun" w:hAnsi="SimSun" w:eastAsia="SimSun" w:cs="SimSun"/>
          <w:sz w:val="22"/>
          <w:szCs w:val="22"/>
        </w:rPr>
      </w:pPr>
    </w:p>
    <w:p>
      <w:pPr>
        <w:ind w:left="5483"/>
        <w:spacing w:before="184" w:line="219" w:lineRule="auto"/>
        <w:rPr>
          <w:rFonts w:ascii="SimSun" w:hAnsi="SimSun" w:eastAsia="SimSun" w:cs="SimSun"/>
          <w:sz w:val="21"/>
          <w:szCs w:val="21"/>
        </w:rPr>
      </w:pPr>
      <w:r>
        <w:rPr>
          <w:rFonts w:ascii="SimSun" w:hAnsi="SimSun" w:eastAsia="SimSun" w:cs="SimSun"/>
          <w:sz w:val="21"/>
          <w:szCs w:val="21"/>
          <w:b/>
          <w:bCs/>
          <w:spacing w:val="13"/>
        </w:rPr>
        <w:t>第6章■云端数据质量</w:t>
      </w:r>
    </w:p>
    <w:p>
      <w:pPr>
        <w:pStyle w:val="BodyText"/>
        <w:spacing w:line="258" w:lineRule="auto"/>
        <w:rPr/>
      </w:pPr>
      <w:r/>
    </w:p>
    <w:p>
      <w:pPr>
        <w:ind w:left="400"/>
        <w:spacing w:before="72" w:line="311" w:lineRule="exact"/>
        <w:rPr>
          <w:rFonts w:ascii="SimSun" w:hAnsi="SimSun" w:eastAsia="SimSun" w:cs="SimSun"/>
          <w:sz w:val="21"/>
          <w:szCs w:val="21"/>
        </w:rPr>
      </w:pPr>
      <w:r>
        <w:rPr>
          <w:rFonts w:ascii="STXingkai" w:hAnsi="STXingkai" w:eastAsia="STXingkai" w:cs="STXingkai"/>
          <w:sz w:val="21"/>
          <w:szCs w:val="21"/>
          <w:spacing w:val="-8"/>
          <w:position w:val="2"/>
        </w:rPr>
        <w:t>●</w:t>
      </w:r>
      <w:r>
        <w:rPr>
          <w:rFonts w:ascii="STXingkai" w:hAnsi="STXingkai" w:eastAsia="STXingkai" w:cs="STXingkai"/>
          <w:sz w:val="21"/>
          <w:szCs w:val="21"/>
          <w:spacing w:val="48"/>
          <w:position w:val="2"/>
        </w:rPr>
        <w:t xml:space="preserve"> </w:t>
      </w:r>
      <w:r>
        <w:rPr>
          <w:rFonts w:ascii="SimSun" w:hAnsi="SimSun" w:eastAsia="SimSun" w:cs="SimSun"/>
          <w:sz w:val="21"/>
          <w:szCs w:val="21"/>
          <w:spacing w:val="-8"/>
          <w:position w:val="2"/>
        </w:rPr>
        <w:t>与组织数据和架构标准保持相符；</w:t>
      </w:r>
    </w:p>
    <w:p>
      <w:pPr>
        <w:ind w:left="400"/>
        <w:spacing w:before="22" w:line="219" w:lineRule="auto"/>
        <w:rPr>
          <w:rFonts w:ascii="SimSun" w:hAnsi="SimSun" w:eastAsia="SimSun" w:cs="SimSun"/>
          <w:sz w:val="21"/>
          <w:szCs w:val="21"/>
        </w:rPr>
      </w:pPr>
      <w:r>
        <w:rPr>
          <w:rFonts w:ascii="SimSun" w:hAnsi="SimSun" w:eastAsia="SimSun" w:cs="SimSun"/>
          <w:sz w:val="21"/>
          <w:szCs w:val="21"/>
          <w:spacing w:val="-2"/>
        </w:rPr>
        <w:t>●要求使用数据质量维度；</w:t>
      </w:r>
    </w:p>
    <w:p>
      <w:pPr>
        <w:ind w:left="400"/>
        <w:spacing w:before="40" w:line="219" w:lineRule="auto"/>
        <w:rPr>
          <w:rFonts w:ascii="SimSun" w:hAnsi="SimSun" w:eastAsia="SimSun" w:cs="SimSun"/>
          <w:sz w:val="21"/>
          <w:szCs w:val="21"/>
        </w:rPr>
      </w:pPr>
      <w:r>
        <w:rPr>
          <w:rFonts w:ascii="SimSun" w:hAnsi="SimSun" w:eastAsia="SimSun" w:cs="SimSun"/>
          <w:sz w:val="21"/>
          <w:szCs w:val="21"/>
          <w:spacing w:val="-2"/>
        </w:rPr>
        <w:t>●审批数据质量规则的过程；</w:t>
      </w:r>
    </w:p>
    <w:p>
      <w:pPr>
        <w:ind w:left="400"/>
        <w:spacing w:before="78" w:line="218" w:lineRule="auto"/>
        <w:rPr>
          <w:rFonts w:ascii="SimSun" w:hAnsi="SimSun" w:eastAsia="SimSun" w:cs="SimSun"/>
          <w:sz w:val="21"/>
          <w:szCs w:val="21"/>
        </w:rPr>
      </w:pPr>
      <w:r>
        <w:rPr>
          <w:rFonts w:ascii="SimSun" w:hAnsi="SimSun" w:eastAsia="SimSun" w:cs="SimSun"/>
          <w:sz w:val="21"/>
          <w:szCs w:val="21"/>
          <w:spacing w:val="1"/>
        </w:rPr>
        <w:t>●数据概要分析、评估、清理活动的指南和准则；</w:t>
      </w:r>
    </w:p>
    <w:p>
      <w:pPr>
        <w:ind w:left="400"/>
        <w:spacing w:before="71" w:line="311" w:lineRule="exact"/>
        <w:rPr>
          <w:rFonts w:ascii="SimSun" w:hAnsi="SimSun" w:eastAsia="SimSun" w:cs="SimSun"/>
          <w:sz w:val="21"/>
          <w:szCs w:val="21"/>
        </w:rPr>
      </w:pPr>
      <w:r>
        <w:rPr>
          <w:rFonts w:ascii="STXingkai" w:hAnsi="STXingkai" w:eastAsia="STXingkai" w:cs="STXingkai"/>
          <w:sz w:val="21"/>
          <w:szCs w:val="21"/>
          <w:spacing w:val="-8"/>
          <w:position w:val="2"/>
        </w:rPr>
        <w:t>●  </w:t>
      </w:r>
      <w:r>
        <w:rPr>
          <w:rFonts w:ascii="SimSun" w:hAnsi="SimSun" w:eastAsia="SimSun" w:cs="SimSun"/>
          <w:sz w:val="21"/>
          <w:szCs w:val="21"/>
          <w:spacing w:val="-8"/>
          <w:position w:val="2"/>
        </w:rPr>
        <w:t>指导实施的顺序计划；</w:t>
      </w:r>
    </w:p>
    <w:p>
      <w:pPr>
        <w:ind w:left="400"/>
        <w:spacing w:before="1" w:line="219" w:lineRule="auto"/>
        <w:rPr>
          <w:rFonts w:ascii="SimSun" w:hAnsi="SimSun" w:eastAsia="SimSun" w:cs="SimSun"/>
          <w:sz w:val="21"/>
          <w:szCs w:val="21"/>
        </w:rPr>
      </w:pPr>
      <w:r>
        <w:rPr>
          <w:rFonts w:ascii="SimSun" w:hAnsi="SimSun" w:eastAsia="SimSun" w:cs="SimSun"/>
          <w:sz w:val="21"/>
          <w:szCs w:val="21"/>
          <w:spacing w:val="-1"/>
        </w:rPr>
        <w:t>●识别关键项目，并映射依赖。</w:t>
      </w:r>
    </w:p>
    <w:p>
      <w:pPr>
        <w:spacing w:line="108" w:lineRule="exact"/>
        <w:rPr/>
      </w:pPr>
      <w:r/>
    </w:p>
    <w:tbl>
      <w:tblPr>
        <w:tblStyle w:val="TableNormal"/>
        <w:tblW w:w="759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1" w:hRule="atLeast"/>
        </w:trPr>
        <w:tc>
          <w:tcPr>
            <w:tcW w:w="704" w:type="dxa"/>
            <w:vAlign w:val="top"/>
          </w:tcPr>
          <w:p>
            <w:pPr>
              <w:pStyle w:val="TableText"/>
              <w:ind w:left="195"/>
              <w:spacing w:before="81"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559" w:hRule="atLeast"/>
        </w:trPr>
        <w:tc>
          <w:tcPr>
            <w:tcW w:w="704" w:type="dxa"/>
            <w:vAlign w:val="top"/>
          </w:tcPr>
          <w:p>
            <w:pPr>
              <w:pStyle w:val="TableText"/>
              <w:ind w:left="224"/>
              <w:spacing w:before="248" w:line="183" w:lineRule="auto"/>
              <w:rPr/>
            </w:pPr>
            <w:r>
              <w:rPr>
                <w:spacing w:val="-2"/>
              </w:rPr>
              <w:t>3.2</w:t>
            </w:r>
          </w:p>
        </w:tc>
        <w:tc>
          <w:tcPr>
            <w:tcW w:w="3145" w:type="dxa"/>
            <w:vAlign w:val="top"/>
          </w:tcPr>
          <w:p>
            <w:pPr>
              <w:pStyle w:val="TableText"/>
              <w:ind w:left="110" w:right="157" w:firstLine="150"/>
              <w:spacing w:before="80" w:line="275" w:lineRule="auto"/>
              <w:rPr/>
            </w:pPr>
            <w:r>
              <w:rPr/>
              <w:t>定义数据质量治理、实施以及管理活动中</w:t>
            </w:r>
            <w:r>
              <w:rPr>
                <w:spacing w:val="15"/>
              </w:rPr>
              <w:t xml:space="preserve"> </w:t>
            </w:r>
            <w:r>
              <w:rPr>
                <w:spacing w:val="1"/>
              </w:rPr>
              <w:t>的角色与分工</w:t>
            </w:r>
          </w:p>
        </w:tc>
        <w:tc>
          <w:tcPr>
            <w:tcW w:w="3750" w:type="dxa"/>
            <w:vAlign w:val="top"/>
          </w:tcPr>
          <w:p>
            <w:pPr>
              <w:pStyle w:val="TableText"/>
              <w:ind w:left="256"/>
              <w:spacing w:before="209" w:line="219" w:lineRule="auto"/>
              <w:rPr/>
            </w:pPr>
            <w:r>
              <w:rPr/>
              <w:t>●文件化的数据角色和分工</w:t>
            </w:r>
          </w:p>
        </w:tc>
      </w:tr>
    </w:tbl>
    <w:p>
      <w:pPr>
        <w:ind w:left="29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93" w:firstLine="400"/>
        <w:spacing w:before="50" w:line="259" w:lineRule="auto"/>
        <w:rPr>
          <w:rFonts w:ascii="SimSun" w:hAnsi="SimSun" w:eastAsia="SimSun" w:cs="SimSun"/>
          <w:sz w:val="21"/>
          <w:szCs w:val="21"/>
        </w:rPr>
      </w:pPr>
      <w:r>
        <w:rPr>
          <w:rFonts w:ascii="SimSun" w:hAnsi="SimSun" w:eastAsia="SimSun" w:cs="SimSun"/>
          <w:sz w:val="21"/>
          <w:szCs w:val="21"/>
          <w:spacing w:val="1"/>
        </w:rPr>
        <w:t>为了保证数据质量实施的顺利开展，必须为管理活动、实施和治理流程中指派</w:t>
      </w:r>
      <w:r>
        <w:rPr>
          <w:rFonts w:ascii="SimSun" w:hAnsi="SimSun" w:eastAsia="SimSun" w:cs="SimSun"/>
          <w:sz w:val="21"/>
          <w:szCs w:val="21"/>
          <w:spacing w:val="3"/>
        </w:rPr>
        <w:t xml:space="preserve"> </w:t>
      </w:r>
      <w:r>
        <w:rPr>
          <w:rFonts w:ascii="SimSun" w:hAnsi="SimSun" w:eastAsia="SimSun" w:cs="SimSun"/>
          <w:sz w:val="21"/>
          <w:szCs w:val="21"/>
          <w:spacing w:val="-1"/>
        </w:rPr>
        <w:t>相应的角色和分工。下面给出一般组织的数据质量</w:t>
      </w:r>
      <w:r>
        <w:rPr>
          <w:rFonts w:ascii="SimSun" w:hAnsi="SimSun" w:eastAsia="SimSun" w:cs="SimSun"/>
          <w:sz w:val="21"/>
          <w:szCs w:val="21"/>
          <w:spacing w:val="-2"/>
        </w:rPr>
        <w:t>角色和职责说明。</w:t>
      </w:r>
    </w:p>
    <w:p>
      <w:pPr>
        <w:ind w:left="2492"/>
        <w:spacing w:before="138" w:line="222" w:lineRule="auto"/>
        <w:rPr>
          <w:rFonts w:ascii="SimHei" w:hAnsi="SimHei" w:eastAsia="SimHei" w:cs="SimHei"/>
          <w:sz w:val="18"/>
          <w:szCs w:val="18"/>
        </w:rPr>
      </w:pPr>
      <w:r>
        <w:rPr>
          <w:rFonts w:ascii="SimHei" w:hAnsi="SimHei" w:eastAsia="SimHei" w:cs="SimHei"/>
          <w:sz w:val="18"/>
          <w:szCs w:val="18"/>
          <w:b/>
          <w:bCs/>
          <w:spacing w:val="-1"/>
        </w:rPr>
        <w:t>表6-2</w:t>
      </w:r>
      <w:r>
        <w:rPr>
          <w:rFonts w:ascii="SimHei" w:hAnsi="SimHei" w:eastAsia="SimHei" w:cs="SimHei"/>
          <w:sz w:val="18"/>
          <w:szCs w:val="18"/>
          <w:spacing w:val="88"/>
        </w:rPr>
        <w:t xml:space="preserve"> </w:t>
      </w:r>
      <w:r>
        <w:rPr>
          <w:rFonts w:ascii="SimHei" w:hAnsi="SimHei" w:eastAsia="SimHei" w:cs="SimHei"/>
          <w:sz w:val="18"/>
          <w:szCs w:val="18"/>
          <w:b/>
          <w:bCs/>
          <w:spacing w:val="-1"/>
        </w:rPr>
        <w:t>数据质量组织与角色分配</w:t>
      </w:r>
    </w:p>
    <w:p>
      <w:pPr>
        <w:spacing w:line="94" w:lineRule="exact"/>
        <w:rPr/>
      </w:pPr>
      <w:r/>
    </w:p>
    <w:tbl>
      <w:tblPr>
        <w:tblStyle w:val="TableNormal"/>
        <w:tblW w:w="758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3"/>
        <w:gridCol w:w="1737"/>
        <w:gridCol w:w="4519"/>
      </w:tblGrid>
      <w:tr>
        <w:trPr>
          <w:trHeight w:val="314" w:hRule="atLeast"/>
        </w:trPr>
        <w:tc>
          <w:tcPr>
            <w:tcW w:w="1333" w:type="dxa"/>
            <w:vAlign w:val="top"/>
          </w:tcPr>
          <w:p>
            <w:pPr>
              <w:pStyle w:val="TableText"/>
              <w:ind w:left="395"/>
              <w:spacing w:before="84" w:line="224" w:lineRule="auto"/>
              <w:rPr/>
            </w:pPr>
            <w:r>
              <w:rPr>
                <w:spacing w:val="-4"/>
              </w:rPr>
              <w:t>组</w:t>
            </w:r>
            <w:r>
              <w:rPr>
                <w:spacing w:val="2"/>
              </w:rPr>
              <w:t xml:space="preserve">   </w:t>
            </w:r>
            <w:r>
              <w:rPr>
                <w:spacing w:val="-4"/>
              </w:rPr>
              <w:t>织</w:t>
            </w:r>
          </w:p>
        </w:tc>
        <w:tc>
          <w:tcPr>
            <w:tcW w:w="1737" w:type="dxa"/>
            <w:vAlign w:val="top"/>
          </w:tcPr>
          <w:p>
            <w:pPr>
              <w:pStyle w:val="TableText"/>
              <w:ind w:left="562"/>
              <w:spacing w:before="80" w:line="219" w:lineRule="auto"/>
              <w:rPr/>
            </w:pPr>
            <w:r>
              <w:rPr>
                <w:spacing w:val="-5"/>
              </w:rPr>
              <w:t>角</w:t>
            </w:r>
            <w:r>
              <w:rPr>
                <w:spacing w:val="2"/>
              </w:rPr>
              <w:t xml:space="preserve">    </w:t>
            </w:r>
            <w:r>
              <w:rPr>
                <w:spacing w:val="-5"/>
              </w:rPr>
              <w:t>色</w:t>
            </w:r>
          </w:p>
        </w:tc>
        <w:tc>
          <w:tcPr>
            <w:tcW w:w="4519" w:type="dxa"/>
            <w:vAlign w:val="top"/>
          </w:tcPr>
          <w:p>
            <w:pPr>
              <w:pStyle w:val="TableText"/>
              <w:ind w:left="1954"/>
              <w:spacing w:before="81" w:line="220" w:lineRule="auto"/>
              <w:rPr/>
            </w:pPr>
            <w:r>
              <w:rPr>
                <w:spacing w:val="-4"/>
              </w:rPr>
              <w:t>分</w:t>
            </w:r>
            <w:r>
              <w:rPr>
                <w:spacing w:val="2"/>
              </w:rPr>
              <w:t xml:space="preserve">   </w:t>
            </w:r>
            <w:r>
              <w:rPr>
                <w:spacing w:val="-4"/>
              </w:rPr>
              <w:t>工</w:t>
            </w:r>
          </w:p>
        </w:tc>
      </w:tr>
      <w:tr>
        <w:trPr>
          <w:trHeight w:val="299" w:hRule="atLeast"/>
        </w:trPr>
        <w:tc>
          <w:tcPr>
            <w:tcW w:w="1333" w:type="dxa"/>
            <w:vAlign w:val="top"/>
            <w:vMerge w:val="restart"/>
            <w:tcBorders>
              <w:bottom w:val="nil"/>
            </w:tcBorders>
          </w:tcPr>
          <w:p>
            <w:pPr>
              <w:pStyle w:val="TableText"/>
              <w:ind w:left="435"/>
              <w:spacing w:before="237" w:line="219" w:lineRule="auto"/>
              <w:rPr/>
            </w:pPr>
            <w:r>
              <w:rPr>
                <w:spacing w:val="-3"/>
              </w:rPr>
              <w:t>管理层</w:t>
            </w:r>
          </w:p>
        </w:tc>
        <w:tc>
          <w:tcPr>
            <w:tcW w:w="1737" w:type="dxa"/>
            <w:vAlign w:val="top"/>
          </w:tcPr>
          <w:p>
            <w:pPr>
              <w:pStyle w:val="TableText"/>
              <w:ind w:left="482"/>
              <w:spacing w:before="77" w:line="219" w:lineRule="auto"/>
              <w:rPr/>
            </w:pPr>
            <w:r>
              <w:rPr>
                <w:spacing w:val="-2"/>
              </w:rPr>
              <w:t>最高管理者</w:t>
            </w:r>
          </w:p>
        </w:tc>
        <w:tc>
          <w:tcPr>
            <w:tcW w:w="4519" w:type="dxa"/>
            <w:vAlign w:val="top"/>
          </w:tcPr>
          <w:p>
            <w:pPr>
              <w:pStyle w:val="TableText"/>
              <w:ind w:left="55"/>
              <w:spacing w:before="77" w:line="219" w:lineRule="auto"/>
              <w:rPr/>
            </w:pPr>
            <w:r>
              <w:rPr>
                <w:spacing w:val="-1"/>
              </w:rPr>
              <w:t>数据质量战略的评审</w:t>
            </w:r>
          </w:p>
        </w:tc>
      </w:tr>
      <w:tr>
        <w:trPr>
          <w:trHeight w:val="319" w:hRule="atLeast"/>
        </w:trPr>
        <w:tc>
          <w:tcPr>
            <w:tcW w:w="1333" w:type="dxa"/>
            <w:vAlign w:val="top"/>
            <w:vMerge w:val="continue"/>
            <w:tcBorders>
              <w:top w:val="nil"/>
            </w:tcBorders>
          </w:tcPr>
          <w:p>
            <w:pPr>
              <w:rPr>
                <w:rFonts w:ascii="Arial"/>
                <w:sz w:val="21"/>
              </w:rPr>
            </w:pPr>
            <w:r/>
          </w:p>
        </w:tc>
        <w:tc>
          <w:tcPr>
            <w:tcW w:w="1737" w:type="dxa"/>
            <w:vAlign w:val="top"/>
          </w:tcPr>
          <w:p>
            <w:pPr>
              <w:pStyle w:val="TableText"/>
              <w:ind w:left="482"/>
              <w:spacing w:before="88" w:line="219" w:lineRule="auto"/>
              <w:rPr/>
            </w:pPr>
            <w:r>
              <w:rPr>
                <w:spacing w:val="-2"/>
              </w:rPr>
              <w:t>管理者代表</w:t>
            </w:r>
          </w:p>
        </w:tc>
        <w:tc>
          <w:tcPr>
            <w:tcW w:w="4519" w:type="dxa"/>
            <w:vAlign w:val="top"/>
          </w:tcPr>
          <w:p>
            <w:pPr>
              <w:pStyle w:val="TableText"/>
              <w:ind w:left="55"/>
              <w:spacing w:before="88" w:line="219" w:lineRule="auto"/>
              <w:rPr/>
            </w:pPr>
            <w:r>
              <w:rPr>
                <w:spacing w:val="-1"/>
              </w:rPr>
              <w:t>实施数据质量战略，管理数据质量团队</w:t>
            </w:r>
          </w:p>
        </w:tc>
      </w:tr>
      <w:tr>
        <w:trPr>
          <w:trHeight w:val="309" w:hRule="atLeast"/>
        </w:trPr>
        <w:tc>
          <w:tcPr>
            <w:tcW w:w="1333" w:type="dxa"/>
            <w:vAlign w:val="top"/>
            <w:vMerge w:val="restart"/>
            <w:tcBorders>
              <w:bottom w:val="nil"/>
            </w:tcBorders>
          </w:tcPr>
          <w:p>
            <w:pPr>
              <w:spacing w:line="348" w:lineRule="auto"/>
              <w:rPr>
                <w:rFonts w:ascii="Arial"/>
                <w:sz w:val="21"/>
              </w:rPr>
            </w:pPr>
            <w:r/>
          </w:p>
          <w:p>
            <w:pPr>
              <w:pStyle w:val="TableText"/>
              <w:ind w:left="355"/>
              <w:spacing w:before="49" w:line="220" w:lineRule="auto"/>
              <w:rPr/>
            </w:pPr>
            <w:r>
              <w:rPr>
                <w:spacing w:val="-2"/>
              </w:rPr>
              <w:t>治理流程</w:t>
            </w:r>
          </w:p>
        </w:tc>
        <w:tc>
          <w:tcPr>
            <w:tcW w:w="1737" w:type="dxa"/>
            <w:vAlign w:val="top"/>
          </w:tcPr>
          <w:p>
            <w:pPr>
              <w:pStyle w:val="TableText"/>
              <w:ind w:left="411"/>
              <w:spacing w:before="79" w:line="219" w:lineRule="auto"/>
              <w:rPr/>
            </w:pPr>
            <w:r>
              <w:rPr>
                <w:spacing w:val="-1"/>
              </w:rPr>
              <w:t>数据治理组长</w:t>
            </w:r>
          </w:p>
        </w:tc>
        <w:tc>
          <w:tcPr>
            <w:tcW w:w="4519" w:type="dxa"/>
            <w:vAlign w:val="top"/>
          </w:tcPr>
          <w:p>
            <w:pPr>
              <w:pStyle w:val="TableText"/>
              <w:ind w:left="55"/>
              <w:spacing w:before="79" w:line="219" w:lineRule="auto"/>
              <w:rPr/>
            </w:pPr>
            <w:r>
              <w:rPr>
                <w:spacing w:val="-1"/>
              </w:rPr>
              <w:t>组织数据质量的整体策划和治理</w:t>
            </w:r>
          </w:p>
        </w:tc>
      </w:tr>
      <w:tr>
        <w:trPr>
          <w:trHeight w:val="309" w:hRule="atLeast"/>
        </w:trPr>
        <w:tc>
          <w:tcPr>
            <w:tcW w:w="1333" w:type="dxa"/>
            <w:vAlign w:val="top"/>
            <w:vMerge w:val="continue"/>
            <w:tcBorders>
              <w:top w:val="nil"/>
              <w:bottom w:val="nil"/>
            </w:tcBorders>
          </w:tcPr>
          <w:p>
            <w:pPr>
              <w:rPr>
                <w:rFonts w:ascii="Arial"/>
                <w:sz w:val="21"/>
              </w:rPr>
            </w:pPr>
            <w:r/>
          </w:p>
        </w:tc>
        <w:tc>
          <w:tcPr>
            <w:tcW w:w="1737" w:type="dxa"/>
            <w:vAlign w:val="top"/>
          </w:tcPr>
          <w:p>
            <w:pPr>
              <w:pStyle w:val="TableText"/>
              <w:ind w:left="482"/>
              <w:spacing w:before="80" w:line="219" w:lineRule="auto"/>
              <w:rPr/>
            </w:pPr>
            <w:r>
              <w:rPr>
                <w:spacing w:val="-2"/>
              </w:rPr>
              <w:t>数据架构师</w:t>
            </w:r>
          </w:p>
        </w:tc>
        <w:tc>
          <w:tcPr>
            <w:tcW w:w="4519" w:type="dxa"/>
            <w:vAlign w:val="top"/>
          </w:tcPr>
          <w:p>
            <w:pPr>
              <w:pStyle w:val="TableText"/>
              <w:ind w:left="55"/>
              <w:spacing w:before="80" w:line="219" w:lineRule="auto"/>
              <w:rPr/>
            </w:pPr>
            <w:r>
              <w:rPr>
                <w:spacing w:val="-1"/>
              </w:rPr>
              <w:t>数据架构和整体模型的设计、维护</w:t>
            </w:r>
          </w:p>
        </w:tc>
      </w:tr>
      <w:tr>
        <w:trPr>
          <w:trHeight w:val="309" w:hRule="atLeast"/>
        </w:trPr>
        <w:tc>
          <w:tcPr>
            <w:tcW w:w="1333" w:type="dxa"/>
            <w:vAlign w:val="top"/>
            <w:vMerge w:val="continue"/>
            <w:tcBorders>
              <w:top w:val="nil"/>
            </w:tcBorders>
          </w:tcPr>
          <w:p>
            <w:pPr>
              <w:rPr>
                <w:rFonts w:ascii="Arial"/>
                <w:sz w:val="21"/>
              </w:rPr>
            </w:pPr>
            <w:r/>
          </w:p>
        </w:tc>
        <w:tc>
          <w:tcPr>
            <w:tcW w:w="1737" w:type="dxa"/>
            <w:vAlign w:val="top"/>
          </w:tcPr>
          <w:p>
            <w:pPr>
              <w:pStyle w:val="TableText"/>
              <w:ind w:left="482"/>
              <w:spacing w:before="81" w:line="219" w:lineRule="auto"/>
              <w:rPr/>
            </w:pPr>
            <w:r>
              <w:rPr>
                <w:spacing w:val="4"/>
              </w:rPr>
              <w:t>数据管理员</w:t>
            </w:r>
          </w:p>
        </w:tc>
        <w:tc>
          <w:tcPr>
            <w:tcW w:w="4519" w:type="dxa"/>
            <w:vAlign w:val="top"/>
          </w:tcPr>
          <w:p>
            <w:pPr>
              <w:pStyle w:val="TableText"/>
              <w:ind w:left="55"/>
              <w:spacing w:before="80" w:line="219" w:lineRule="auto"/>
              <w:rPr/>
            </w:pPr>
            <w:r>
              <w:rPr>
                <w:spacing w:val="1"/>
              </w:rPr>
              <w:t>数据生命周期的治理(如采集、清洗、分类、存储、归档和销毁等)</w:t>
            </w:r>
          </w:p>
        </w:tc>
      </w:tr>
      <w:tr>
        <w:trPr>
          <w:trHeight w:val="329" w:hRule="atLeast"/>
        </w:trPr>
        <w:tc>
          <w:tcPr>
            <w:tcW w:w="1333" w:type="dxa"/>
            <w:vAlign w:val="top"/>
            <w:vMerge w:val="restart"/>
            <w:tcBorders>
              <w:bottom w:val="nil"/>
            </w:tcBorders>
          </w:tcPr>
          <w:p>
            <w:pPr>
              <w:spacing w:line="284" w:lineRule="auto"/>
              <w:rPr>
                <w:rFonts w:ascii="Arial"/>
                <w:sz w:val="21"/>
              </w:rPr>
            </w:pPr>
            <w:r/>
          </w:p>
          <w:p>
            <w:pPr>
              <w:spacing w:line="285" w:lineRule="auto"/>
              <w:rPr>
                <w:rFonts w:ascii="Arial"/>
                <w:sz w:val="21"/>
              </w:rPr>
            </w:pPr>
            <w:r/>
          </w:p>
          <w:p>
            <w:pPr>
              <w:pStyle w:val="TableText"/>
              <w:ind w:left="284" w:right="255" w:firstLine="70"/>
              <w:spacing w:before="49" w:line="288" w:lineRule="auto"/>
              <w:rPr/>
            </w:pPr>
            <w:r>
              <w:rPr>
                <w:spacing w:val="-3"/>
              </w:rPr>
              <w:t>实施过程  </w:t>
            </w:r>
            <w:r>
              <w:rPr>
                <w:spacing w:val="5"/>
              </w:rPr>
              <w:t>(项目层面)</w:t>
            </w:r>
          </w:p>
        </w:tc>
        <w:tc>
          <w:tcPr>
            <w:tcW w:w="1737" w:type="dxa"/>
            <w:vAlign w:val="top"/>
          </w:tcPr>
          <w:p>
            <w:pPr>
              <w:pStyle w:val="TableText"/>
              <w:ind w:left="562"/>
              <w:spacing w:before="92" w:line="220" w:lineRule="auto"/>
              <w:rPr/>
            </w:pPr>
            <w:r>
              <w:rPr>
                <w:spacing w:val="-2"/>
              </w:rPr>
              <w:t>项目经理</w:t>
            </w:r>
          </w:p>
        </w:tc>
        <w:tc>
          <w:tcPr>
            <w:tcW w:w="4519" w:type="dxa"/>
            <w:vAlign w:val="top"/>
          </w:tcPr>
          <w:p>
            <w:pPr>
              <w:pStyle w:val="TableText"/>
              <w:ind w:left="55"/>
              <w:spacing w:before="92" w:line="219" w:lineRule="auto"/>
              <w:rPr/>
            </w:pPr>
            <w:r>
              <w:rPr>
                <w:spacing w:val="1"/>
              </w:rPr>
              <w:t>项目规划、包含工作范围和时间</w:t>
            </w:r>
          </w:p>
        </w:tc>
      </w:tr>
      <w:tr>
        <w:trPr>
          <w:trHeight w:val="309" w:hRule="atLeast"/>
        </w:trPr>
        <w:tc>
          <w:tcPr>
            <w:tcW w:w="1333" w:type="dxa"/>
            <w:vAlign w:val="top"/>
            <w:vMerge w:val="continue"/>
            <w:tcBorders>
              <w:top w:val="nil"/>
              <w:bottom w:val="nil"/>
            </w:tcBorders>
          </w:tcPr>
          <w:p>
            <w:pPr>
              <w:rPr>
                <w:rFonts w:ascii="Arial"/>
                <w:sz w:val="21"/>
              </w:rPr>
            </w:pPr>
            <w:r/>
          </w:p>
        </w:tc>
        <w:tc>
          <w:tcPr>
            <w:tcW w:w="1737" w:type="dxa"/>
            <w:vAlign w:val="top"/>
          </w:tcPr>
          <w:p>
            <w:pPr>
              <w:pStyle w:val="TableText"/>
              <w:ind w:left="482"/>
              <w:spacing w:before="83" w:line="219" w:lineRule="auto"/>
              <w:rPr/>
            </w:pPr>
            <w:r>
              <w:rPr>
                <w:spacing w:val="-2"/>
              </w:rPr>
              <w:t>数据构建者</w:t>
            </w:r>
          </w:p>
        </w:tc>
        <w:tc>
          <w:tcPr>
            <w:tcW w:w="4519" w:type="dxa"/>
            <w:vAlign w:val="top"/>
          </w:tcPr>
          <w:p>
            <w:pPr>
              <w:pStyle w:val="TableText"/>
              <w:ind w:left="55"/>
              <w:spacing w:before="83" w:line="219" w:lineRule="auto"/>
              <w:rPr/>
            </w:pPr>
            <w:r>
              <w:rPr>
                <w:spacing w:val="-1"/>
              </w:rPr>
              <w:t>数据模型、查询语句</w:t>
            </w:r>
          </w:p>
        </w:tc>
      </w:tr>
      <w:tr>
        <w:trPr>
          <w:trHeight w:val="319" w:hRule="atLeast"/>
        </w:trPr>
        <w:tc>
          <w:tcPr>
            <w:tcW w:w="1333" w:type="dxa"/>
            <w:vAlign w:val="top"/>
            <w:vMerge w:val="continue"/>
            <w:tcBorders>
              <w:top w:val="nil"/>
              <w:bottom w:val="nil"/>
            </w:tcBorders>
          </w:tcPr>
          <w:p>
            <w:pPr>
              <w:rPr>
                <w:rFonts w:ascii="Arial"/>
                <w:sz w:val="21"/>
              </w:rPr>
            </w:pPr>
            <w:r/>
          </w:p>
        </w:tc>
        <w:tc>
          <w:tcPr>
            <w:tcW w:w="1737" w:type="dxa"/>
            <w:vAlign w:val="top"/>
          </w:tcPr>
          <w:p>
            <w:pPr>
              <w:pStyle w:val="TableText"/>
              <w:ind w:left="482"/>
              <w:spacing w:before="94" w:line="219" w:lineRule="auto"/>
              <w:rPr/>
            </w:pPr>
            <w:r>
              <w:rPr>
                <w:spacing w:val="-1"/>
              </w:rPr>
              <w:t>产品开发者</w:t>
            </w:r>
          </w:p>
        </w:tc>
        <w:tc>
          <w:tcPr>
            <w:tcW w:w="4519" w:type="dxa"/>
            <w:vAlign w:val="top"/>
          </w:tcPr>
          <w:p>
            <w:pPr>
              <w:pStyle w:val="TableText"/>
              <w:ind w:left="55"/>
              <w:spacing w:before="94" w:line="219" w:lineRule="auto"/>
              <w:rPr/>
            </w:pPr>
            <w:r>
              <w:rPr>
                <w:spacing w:val="-2"/>
              </w:rPr>
              <w:t>实现数据跟踪</w:t>
            </w:r>
          </w:p>
        </w:tc>
      </w:tr>
      <w:tr>
        <w:trPr>
          <w:trHeight w:val="299" w:hRule="atLeast"/>
        </w:trPr>
        <w:tc>
          <w:tcPr>
            <w:tcW w:w="1333" w:type="dxa"/>
            <w:vAlign w:val="top"/>
            <w:vMerge w:val="continue"/>
            <w:tcBorders>
              <w:top w:val="nil"/>
              <w:bottom w:val="nil"/>
            </w:tcBorders>
          </w:tcPr>
          <w:p>
            <w:pPr>
              <w:rPr>
                <w:rFonts w:ascii="Arial"/>
                <w:sz w:val="21"/>
              </w:rPr>
            </w:pPr>
            <w:r/>
          </w:p>
        </w:tc>
        <w:tc>
          <w:tcPr>
            <w:tcW w:w="1737" w:type="dxa"/>
            <w:vAlign w:val="top"/>
          </w:tcPr>
          <w:p>
            <w:pPr>
              <w:pStyle w:val="TableText"/>
              <w:ind w:left="632"/>
              <w:spacing w:before="85" w:line="220" w:lineRule="auto"/>
              <w:rPr/>
            </w:pPr>
            <w:r>
              <w:rPr>
                <w:spacing w:val="-2"/>
              </w:rPr>
              <w:t>分析者</w:t>
            </w:r>
          </w:p>
        </w:tc>
        <w:tc>
          <w:tcPr>
            <w:tcW w:w="4519" w:type="dxa"/>
            <w:vAlign w:val="top"/>
          </w:tcPr>
          <w:p>
            <w:pPr>
              <w:pStyle w:val="TableText"/>
              <w:ind w:left="55"/>
              <w:spacing w:before="84" w:line="219" w:lineRule="auto"/>
              <w:rPr/>
            </w:pPr>
            <w:r>
              <w:rPr>
                <w:spacing w:val="-1"/>
              </w:rPr>
              <w:t>提供新的数据业务问题</w:t>
            </w:r>
          </w:p>
        </w:tc>
      </w:tr>
      <w:tr>
        <w:trPr>
          <w:trHeight w:val="324" w:hRule="atLeast"/>
        </w:trPr>
        <w:tc>
          <w:tcPr>
            <w:tcW w:w="1333" w:type="dxa"/>
            <w:vAlign w:val="top"/>
            <w:vMerge w:val="continue"/>
            <w:tcBorders>
              <w:top w:val="nil"/>
            </w:tcBorders>
          </w:tcPr>
          <w:p>
            <w:pPr>
              <w:rPr>
                <w:rFonts w:ascii="Arial"/>
                <w:sz w:val="21"/>
              </w:rPr>
            </w:pPr>
            <w:r/>
          </w:p>
        </w:tc>
        <w:tc>
          <w:tcPr>
            <w:tcW w:w="1737" w:type="dxa"/>
            <w:vAlign w:val="top"/>
          </w:tcPr>
          <w:p>
            <w:pPr>
              <w:pStyle w:val="TableText"/>
              <w:ind w:left="482"/>
              <w:spacing w:before="94" w:line="218" w:lineRule="auto"/>
              <w:rPr/>
            </w:pPr>
            <w:r>
              <w:rPr>
                <w:spacing w:val="-1"/>
              </w:rPr>
              <w:t>报告制作者</w:t>
            </w:r>
          </w:p>
        </w:tc>
        <w:tc>
          <w:tcPr>
            <w:tcW w:w="4519" w:type="dxa"/>
            <w:vAlign w:val="top"/>
          </w:tcPr>
          <w:p>
            <w:pPr>
              <w:pStyle w:val="TableText"/>
              <w:ind w:left="55"/>
              <w:spacing w:before="94" w:line="218" w:lineRule="auto"/>
              <w:rPr/>
            </w:pPr>
            <w:r>
              <w:rPr>
                <w:spacing w:val="-1"/>
              </w:rPr>
              <w:t>为问题和解决方案提供报告</w:t>
            </w:r>
          </w:p>
        </w:tc>
      </w:tr>
    </w:tbl>
    <w:p>
      <w:pPr>
        <w:spacing w:line="140" w:lineRule="exact"/>
        <w:rPr/>
      </w:pPr>
      <w:r/>
    </w:p>
    <w:tbl>
      <w:tblPr>
        <w:tblStyle w:val="TableNormal"/>
        <w:tblW w:w="758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1" w:hRule="atLeast"/>
        </w:trPr>
        <w:tc>
          <w:tcPr>
            <w:tcW w:w="704" w:type="dxa"/>
            <w:vAlign w:val="top"/>
          </w:tcPr>
          <w:p>
            <w:pPr>
              <w:pStyle w:val="TableText"/>
              <w:ind w:left="195"/>
              <w:spacing w:before="81" w:line="221" w:lineRule="auto"/>
              <w:rPr/>
            </w:pPr>
            <w:r>
              <w:rPr>
                <w:spacing w:val="-2"/>
              </w:rPr>
              <w:t>序号</w:t>
            </w:r>
          </w:p>
        </w:tc>
        <w:tc>
          <w:tcPr>
            <w:tcW w:w="3135"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559" w:hRule="atLeast"/>
        </w:trPr>
        <w:tc>
          <w:tcPr>
            <w:tcW w:w="704" w:type="dxa"/>
            <w:vAlign w:val="top"/>
          </w:tcPr>
          <w:p>
            <w:pPr>
              <w:pStyle w:val="TableText"/>
              <w:ind w:left="224"/>
              <w:spacing w:before="248" w:line="183" w:lineRule="auto"/>
              <w:rPr/>
            </w:pPr>
            <w:r>
              <w:rPr>
                <w:spacing w:val="-2"/>
              </w:rPr>
              <w:t>3.3</w:t>
            </w:r>
          </w:p>
        </w:tc>
        <w:tc>
          <w:tcPr>
            <w:tcW w:w="3135" w:type="dxa"/>
            <w:vAlign w:val="top"/>
          </w:tcPr>
          <w:p>
            <w:pPr>
              <w:pStyle w:val="TableText"/>
              <w:ind w:left="130" w:right="170" w:firstLine="129"/>
              <w:spacing w:before="80" w:line="281" w:lineRule="auto"/>
              <w:rPr/>
            </w:pPr>
            <w:r>
              <w:rPr>
                <w:spacing w:val="-1"/>
              </w:rPr>
              <w:t>使用已定义过程确定数据质量活动的效益</w:t>
            </w:r>
            <w:r>
              <w:rPr>
                <w:spacing w:val="10"/>
              </w:rPr>
              <w:t xml:space="preserve"> </w:t>
            </w:r>
            <w:r>
              <w:rPr>
                <w:spacing w:val="-1"/>
              </w:rPr>
              <w:t>与成本，以指导数据质量战略的实施</w:t>
            </w:r>
          </w:p>
        </w:tc>
        <w:tc>
          <w:tcPr>
            <w:tcW w:w="3750" w:type="dxa"/>
            <w:vAlign w:val="top"/>
          </w:tcPr>
          <w:p>
            <w:pPr>
              <w:pStyle w:val="TableText"/>
              <w:ind w:left="275"/>
              <w:spacing w:before="209" w:line="219" w:lineRule="auto"/>
              <w:rPr/>
            </w:pPr>
            <w:r>
              <w:rPr/>
              <w:t>●数据质量活动的效益和成本分析</w:t>
            </w:r>
          </w:p>
        </w:tc>
      </w:tr>
    </w:tbl>
    <w:p>
      <w:pPr>
        <w:ind w:left="295"/>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60" w:right="193" w:firstLine="339"/>
        <w:spacing w:before="38" w:line="261" w:lineRule="auto"/>
        <w:rPr>
          <w:rFonts w:ascii="SimSun" w:hAnsi="SimSun" w:eastAsia="SimSun" w:cs="SimSun"/>
          <w:sz w:val="21"/>
          <w:szCs w:val="21"/>
        </w:rPr>
      </w:pPr>
      <w:r>
        <w:rPr>
          <w:rFonts w:ascii="SimSun" w:hAnsi="SimSun" w:eastAsia="SimSun" w:cs="SimSun"/>
          <w:sz w:val="21"/>
          <w:szCs w:val="21"/>
          <w:spacing w:val="2"/>
        </w:rPr>
        <w:t>数据质量战略应当要能证明策略实施的价值与重要性。应建立清晰的价值定位</w:t>
      </w:r>
      <w:r>
        <w:rPr>
          <w:rFonts w:ascii="SimSun" w:hAnsi="SimSun" w:eastAsia="SimSun" w:cs="SimSun"/>
          <w:sz w:val="21"/>
          <w:szCs w:val="21"/>
          <w:spacing w:val="8"/>
        </w:rPr>
        <w:t xml:space="preserve"> </w:t>
      </w:r>
      <w:r>
        <w:rPr>
          <w:rFonts w:ascii="SimSun" w:hAnsi="SimSun" w:eastAsia="SimSun" w:cs="SimSun"/>
          <w:sz w:val="21"/>
          <w:szCs w:val="21"/>
          <w:spacing w:val="3"/>
        </w:rPr>
        <w:t>以执行策略。数据质量效益与成本的确定包含了对投资回报率</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的分析、缺</w:t>
      </w:r>
      <w:r>
        <w:rPr>
          <w:rFonts w:ascii="SimSun" w:hAnsi="SimSun" w:eastAsia="SimSun" w:cs="SimSun"/>
          <w:sz w:val="21"/>
          <w:szCs w:val="21"/>
        </w:rPr>
        <w:t xml:space="preserve"> </w:t>
      </w:r>
      <w:r>
        <w:rPr>
          <w:rFonts w:ascii="SimSun" w:hAnsi="SimSun" w:eastAsia="SimSun" w:cs="SimSun"/>
          <w:sz w:val="21"/>
          <w:szCs w:val="21"/>
          <w:spacing w:val="-3"/>
        </w:rPr>
        <w:t>陷对成本的影响分析以及与改进相关的业务目标。</w:t>
      </w:r>
    </w:p>
    <w:p>
      <w:pPr>
        <w:spacing w:line="261" w:lineRule="auto"/>
        <w:sectPr>
          <w:footerReference w:type="default" r:id="rId253"/>
          <w:pgSz w:w="8870" w:h="13400"/>
          <w:pgMar w:top="400" w:right="588" w:bottom="578" w:left="409" w:header="0" w:footer="369" w:gutter="0"/>
        </w:sectPr>
        <w:rPr>
          <w:rFonts w:ascii="SimSun" w:hAnsi="SimSun" w:eastAsia="SimSun" w:cs="SimSun"/>
          <w:sz w:val="21"/>
          <w:szCs w:val="21"/>
        </w:rPr>
      </w:pPr>
    </w:p>
    <w:p>
      <w:pPr>
        <w:ind w:left="203"/>
        <w:spacing w:before="285" w:line="219" w:lineRule="auto"/>
        <w:rPr>
          <w:rFonts w:ascii="SimSun" w:hAnsi="SimSun" w:eastAsia="SimSun" w:cs="SimSun"/>
          <w:sz w:val="21"/>
          <w:szCs w:val="21"/>
        </w:rPr>
      </w:pPr>
      <w:r>
        <w:drawing>
          <wp:anchor distT="0" distB="0" distL="0" distR="0" simplePos="0" relativeHeight="254737408" behindDoc="0" locked="0" layoutInCell="0" allowOverlap="1">
            <wp:simplePos x="0" y="0"/>
            <wp:positionH relativeFrom="page">
              <wp:posOffset>342903</wp:posOffset>
            </wp:positionH>
            <wp:positionV relativeFrom="page">
              <wp:posOffset>387329</wp:posOffset>
            </wp:positionV>
            <wp:extent cx="6365" cy="215958"/>
            <wp:effectExtent l="0" t="0" r="0" b="0"/>
            <wp:wrapNone/>
            <wp:docPr id="184" name="IM 184"/>
            <wp:cNvGraphicFramePr/>
            <a:graphic>
              <a:graphicData uri="http://schemas.openxmlformats.org/drawingml/2006/picture">
                <pic:pic>
                  <pic:nvPicPr>
                    <pic:cNvPr id="184" name="IM 184"/>
                    <pic:cNvPicPr/>
                  </pic:nvPicPr>
                  <pic:blipFill>
                    <a:blip r:embed="rId255"/>
                    <a:stretch>
                      <a:fillRect/>
                    </a:stretch>
                  </pic:blipFill>
                  <pic:spPr>
                    <a:xfrm rot="0">
                      <a:off x="0" y="0"/>
                      <a:ext cx="6365" cy="215958"/>
                    </a:xfrm>
                    <a:prstGeom prst="rect">
                      <a:avLst/>
                    </a:prstGeom>
                  </pic:spPr>
                </pic:pic>
              </a:graphicData>
            </a:graphic>
          </wp:anchor>
        </w:drawing>
      </w:r>
      <w:r>
        <w:rPr>
          <w:rFonts w:ascii="SimSun" w:hAnsi="SimSun" w:eastAsia="SimSun" w:cs="SimSun"/>
          <w:sz w:val="21"/>
          <w:szCs w:val="21"/>
          <w:b/>
          <w:bCs/>
          <w:spacing w:val="-6"/>
        </w:rPr>
        <w:t>■云端数据治理</w:t>
      </w:r>
    </w:p>
    <w:p>
      <w:pPr>
        <w:spacing w:before="148"/>
        <w:rPr/>
      </w:pPr>
      <w:r/>
    </w:p>
    <w:tbl>
      <w:tblPr>
        <w:tblStyle w:val="TableNormal"/>
        <w:tblW w:w="759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55"/>
        <w:gridCol w:w="3730"/>
      </w:tblGrid>
      <w:tr>
        <w:trPr>
          <w:trHeight w:val="323" w:hRule="atLeast"/>
        </w:trPr>
        <w:tc>
          <w:tcPr>
            <w:tcW w:w="714" w:type="dxa"/>
            <w:vAlign w:val="top"/>
          </w:tcPr>
          <w:p>
            <w:pPr>
              <w:pStyle w:val="TableText"/>
              <w:ind w:left="195"/>
              <w:spacing w:before="92" w:line="221" w:lineRule="auto"/>
              <w:rPr/>
            </w:pPr>
            <w:r>
              <w:rPr>
                <w:spacing w:val="-2"/>
              </w:rPr>
              <w:t>序号</w:t>
            </w:r>
          </w:p>
        </w:tc>
        <w:tc>
          <w:tcPr>
            <w:tcW w:w="3155" w:type="dxa"/>
            <w:vAlign w:val="top"/>
          </w:tcPr>
          <w:p>
            <w:pPr>
              <w:pStyle w:val="TableText"/>
              <w:ind w:left="115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5"/>
              <w:spacing w:before="91" w:line="220" w:lineRule="auto"/>
              <w:rPr/>
            </w:pPr>
            <w:r>
              <w:rPr>
                <w:spacing w:val="-5"/>
              </w:rPr>
              <w:t>实</w:t>
            </w:r>
            <w:r>
              <w:rPr>
                <w:spacing w:val="1"/>
              </w:rPr>
              <w:t xml:space="preserve">   </w:t>
            </w:r>
            <w:r>
              <w:rPr>
                <w:spacing w:val="-5"/>
              </w:rPr>
              <w:t>例</w:t>
            </w:r>
          </w:p>
        </w:tc>
      </w:tr>
      <w:tr>
        <w:trPr>
          <w:trHeight w:val="1107" w:hRule="atLeast"/>
        </w:trPr>
        <w:tc>
          <w:tcPr>
            <w:tcW w:w="714" w:type="dxa"/>
            <w:vAlign w:val="top"/>
          </w:tcPr>
          <w:p>
            <w:pPr>
              <w:spacing w:line="465" w:lineRule="auto"/>
              <w:rPr>
                <w:rFonts w:ascii="Arial"/>
                <w:sz w:val="21"/>
              </w:rPr>
            </w:pPr>
            <w:r/>
          </w:p>
          <w:p>
            <w:pPr>
              <w:pStyle w:val="TableText"/>
              <w:ind w:left="235"/>
              <w:spacing w:before="49" w:line="183" w:lineRule="auto"/>
              <w:rPr/>
            </w:pPr>
            <w:r>
              <w:rPr>
                <w:spacing w:val="-2"/>
              </w:rPr>
              <w:t>3.4</w:t>
            </w:r>
          </w:p>
        </w:tc>
        <w:tc>
          <w:tcPr>
            <w:tcW w:w="3155" w:type="dxa"/>
            <w:vAlign w:val="top"/>
          </w:tcPr>
          <w:p>
            <w:pPr>
              <w:pStyle w:val="TableText"/>
              <w:ind w:left="120" w:right="159" w:firstLine="99"/>
              <w:spacing w:before="78" w:line="310" w:lineRule="auto"/>
              <w:jc w:val="both"/>
              <w:rPr/>
            </w:pPr>
            <w:r>
              <w:rPr>
                <w:spacing w:val="-1"/>
              </w:rPr>
              <w:t>数据质量战略中的方针、过程和治理在整</w:t>
            </w:r>
            <w:r>
              <w:rPr>
                <w:spacing w:val="4"/>
              </w:rPr>
              <w:t xml:space="preserve">  </w:t>
            </w:r>
            <w:r>
              <w:rPr/>
              <w:t>个数据生命周期中都得到贯彻，并且相应的</w:t>
            </w:r>
            <w:r>
              <w:rPr>
                <w:spacing w:val="13"/>
              </w:rPr>
              <w:t xml:space="preserve"> </w:t>
            </w:r>
            <w:r>
              <w:rPr/>
              <w:t>过程在系统开发生命周期的方法学中都得到</w:t>
            </w:r>
            <w:r>
              <w:rPr>
                <w:spacing w:val="12"/>
              </w:rPr>
              <w:t xml:space="preserve"> </w:t>
            </w:r>
            <w:r>
              <w:rPr>
                <w:spacing w:val="-2"/>
              </w:rPr>
              <w:t>强制执行</w:t>
            </w:r>
          </w:p>
        </w:tc>
        <w:tc>
          <w:tcPr>
            <w:tcW w:w="3730" w:type="dxa"/>
            <w:vAlign w:val="top"/>
          </w:tcPr>
          <w:p>
            <w:pPr>
              <w:pStyle w:val="TableText"/>
              <w:ind w:left="255"/>
              <w:spacing w:before="218" w:line="219" w:lineRule="auto"/>
              <w:rPr/>
            </w:pPr>
            <w:r>
              <w:rPr/>
              <w:t>●文件化的数据质量战略实施记录</w:t>
            </w:r>
          </w:p>
          <w:p>
            <w:pPr>
              <w:pStyle w:val="TableText"/>
              <w:ind w:left="255"/>
              <w:spacing w:before="102" w:line="219" w:lineRule="auto"/>
              <w:rPr/>
            </w:pPr>
            <w:r>
              <w:rPr/>
              <w:t>●数据生命周期的数据质量检查</w:t>
            </w:r>
          </w:p>
          <w:p>
            <w:pPr>
              <w:pStyle w:val="TableText"/>
              <w:ind w:left="255"/>
              <w:spacing w:before="92" w:line="219" w:lineRule="auto"/>
              <w:rPr/>
            </w:pPr>
            <w:r>
              <w:rPr/>
              <w:t>●系统开发过程中的数据质量检查</w:t>
            </w:r>
          </w:p>
        </w:tc>
      </w:tr>
    </w:tbl>
    <w:p>
      <w:pPr>
        <w:ind w:left="564"/>
        <w:spacing w:before="203" w:line="219" w:lineRule="auto"/>
        <w:rPr>
          <w:rFonts w:ascii="SimSun" w:hAnsi="SimSun" w:eastAsia="SimSun" w:cs="SimSun"/>
          <w:sz w:val="21"/>
          <w:szCs w:val="21"/>
        </w:rPr>
      </w:pPr>
      <w:r>
        <w:rPr>
          <w:rFonts w:ascii="SimSun" w:hAnsi="SimSun" w:eastAsia="SimSun" w:cs="SimSun"/>
          <w:sz w:val="21"/>
          <w:szCs w:val="21"/>
          <w:spacing w:val="2"/>
        </w:rPr>
        <w:t>【成熟度等级说明】</w:t>
      </w:r>
    </w:p>
    <w:p>
      <w:pPr>
        <w:ind w:left="270" w:right="103" w:firstLine="399"/>
        <w:spacing w:before="70" w:line="249" w:lineRule="auto"/>
        <w:rPr>
          <w:rFonts w:ascii="SimSun" w:hAnsi="SimSun" w:eastAsia="SimSun" w:cs="SimSun"/>
          <w:sz w:val="21"/>
          <w:szCs w:val="21"/>
        </w:rPr>
      </w:pPr>
      <w:r>
        <w:rPr>
          <w:rFonts w:ascii="SimSun" w:hAnsi="SimSun" w:eastAsia="SimSun" w:cs="SimSun"/>
          <w:sz w:val="21"/>
          <w:szCs w:val="21"/>
          <w:spacing w:val="2"/>
        </w:rPr>
        <w:t>数据质量战略制度化的要求之一是确保随着新的数据管理系统和数据仓储的开</w:t>
      </w:r>
      <w:r>
        <w:rPr>
          <w:rFonts w:ascii="SimSun" w:hAnsi="SimSun" w:eastAsia="SimSun" w:cs="SimSun"/>
          <w:sz w:val="21"/>
          <w:szCs w:val="21"/>
        </w:rPr>
        <w:t xml:space="preserve"> </w:t>
      </w:r>
      <w:r>
        <w:rPr>
          <w:rFonts w:ascii="SimSun" w:hAnsi="SimSun" w:eastAsia="SimSun" w:cs="SimSun"/>
          <w:sz w:val="21"/>
          <w:szCs w:val="21"/>
          <w:spacing w:val="-4"/>
        </w:rPr>
        <w:t>发，原则和需求能够嵌入到开发生命周期当中，成为其中的</w:t>
      </w:r>
      <w:r>
        <w:rPr>
          <w:rFonts w:ascii="SimSun" w:hAnsi="SimSun" w:eastAsia="SimSun" w:cs="SimSun"/>
          <w:sz w:val="21"/>
          <w:szCs w:val="21"/>
          <w:spacing w:val="-5"/>
        </w:rPr>
        <w:t>一部分。同样重要的是需</w:t>
      </w:r>
      <w:r>
        <w:rPr>
          <w:rFonts w:ascii="SimSun" w:hAnsi="SimSun" w:eastAsia="SimSun" w:cs="SimSun"/>
          <w:sz w:val="21"/>
          <w:szCs w:val="21"/>
        </w:rPr>
        <w:t xml:space="preserve"> </w:t>
      </w:r>
      <w:r>
        <w:rPr>
          <w:rFonts w:ascii="SimSun" w:hAnsi="SimSun" w:eastAsia="SimSun" w:cs="SimSun"/>
          <w:sz w:val="21"/>
          <w:szCs w:val="21"/>
          <w:spacing w:val="-4"/>
        </w:rPr>
        <w:t>要对开发活动的计划和执行进行监督和适当调整以反映数据质量战略的执行情况。</w:t>
      </w:r>
    </w:p>
    <w:p>
      <w:pPr>
        <w:spacing w:line="127" w:lineRule="exact"/>
        <w:rPr/>
      </w:pPr>
      <w:r/>
    </w:p>
    <w:tbl>
      <w:tblPr>
        <w:tblStyle w:val="TableNormal"/>
        <w:tblW w:w="758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12" w:hRule="atLeast"/>
        </w:trPr>
        <w:tc>
          <w:tcPr>
            <w:tcW w:w="714" w:type="dxa"/>
            <w:vAlign w:val="top"/>
          </w:tcPr>
          <w:p>
            <w:pPr>
              <w:pStyle w:val="TableText"/>
              <w:ind w:left="195"/>
              <w:spacing w:before="81" w:line="221" w:lineRule="auto"/>
              <w:rPr/>
            </w:pPr>
            <w:r>
              <w:rPr>
                <w:spacing w:val="-2"/>
              </w:rPr>
              <w:t>序号</w:t>
            </w:r>
          </w:p>
        </w:tc>
        <w:tc>
          <w:tcPr>
            <w:tcW w:w="3145"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837" w:hRule="atLeast"/>
        </w:trPr>
        <w:tc>
          <w:tcPr>
            <w:tcW w:w="714" w:type="dxa"/>
            <w:vAlign w:val="top"/>
          </w:tcPr>
          <w:p>
            <w:pPr>
              <w:spacing w:line="337" w:lineRule="auto"/>
              <w:rPr>
                <w:rFonts w:ascii="Arial"/>
                <w:sz w:val="21"/>
              </w:rPr>
            </w:pPr>
            <w:r/>
          </w:p>
          <w:p>
            <w:pPr>
              <w:pStyle w:val="TableText"/>
              <w:ind w:left="235"/>
              <w:spacing w:before="48" w:line="183" w:lineRule="auto"/>
              <w:rPr/>
            </w:pPr>
            <w:r>
              <w:rPr>
                <w:spacing w:val="-2"/>
              </w:rPr>
              <w:t>3.5</w:t>
            </w:r>
          </w:p>
        </w:tc>
        <w:tc>
          <w:tcPr>
            <w:tcW w:w="3145" w:type="dxa"/>
            <w:vAlign w:val="top"/>
          </w:tcPr>
          <w:p>
            <w:pPr>
              <w:pStyle w:val="TableText"/>
              <w:ind w:left="141" w:right="149" w:firstLine="69"/>
              <w:spacing w:before="80" w:line="302" w:lineRule="auto"/>
              <w:rPr/>
            </w:pPr>
            <w:r>
              <w:rPr>
                <w:spacing w:val="-1"/>
              </w:rPr>
              <w:t>数据质量项目，例如数据概要分析、数据</w:t>
            </w:r>
            <w:r>
              <w:rPr>
                <w:spacing w:val="4"/>
              </w:rPr>
              <w:t xml:space="preserve">  </w:t>
            </w:r>
            <w:r>
              <w:rPr>
                <w:spacing w:val="-1"/>
              </w:rPr>
              <w:t>评估、数据清洗和风险评估，与数据质量战</w:t>
            </w:r>
            <w:r>
              <w:rPr>
                <w:spacing w:val="12"/>
              </w:rPr>
              <w:t xml:space="preserve"> </w:t>
            </w:r>
            <w:r>
              <w:rPr>
                <w:spacing w:val="-1"/>
              </w:rPr>
              <w:t>略识别出来的业务需求和成本效益分析相符</w:t>
            </w:r>
          </w:p>
        </w:tc>
        <w:tc>
          <w:tcPr>
            <w:tcW w:w="3730" w:type="dxa"/>
            <w:vAlign w:val="top"/>
          </w:tcPr>
          <w:p>
            <w:pPr>
              <w:pStyle w:val="TableText"/>
              <w:ind w:left="246"/>
              <w:spacing w:before="218" w:line="219" w:lineRule="auto"/>
              <w:rPr/>
            </w:pPr>
            <w:r>
              <w:rPr/>
              <w:t>●数据质量业务需求和成本效益分析</w:t>
            </w:r>
          </w:p>
          <w:p>
            <w:pPr>
              <w:pStyle w:val="TableText"/>
              <w:ind w:left="246"/>
              <w:spacing w:before="93" w:line="219" w:lineRule="auto"/>
              <w:rPr/>
            </w:pPr>
            <w:r>
              <w:rPr/>
              <w:t>●文件化的数据质量项目过程记录</w:t>
            </w:r>
          </w:p>
        </w:tc>
      </w:tr>
    </w:tbl>
    <w:p>
      <w:pPr>
        <w:ind w:left="564"/>
        <w:spacing w:before="224" w:line="219" w:lineRule="auto"/>
        <w:rPr>
          <w:rFonts w:ascii="SimSun" w:hAnsi="SimSun" w:eastAsia="SimSun" w:cs="SimSun"/>
          <w:sz w:val="21"/>
          <w:szCs w:val="21"/>
        </w:rPr>
      </w:pPr>
      <w:r>
        <w:rPr>
          <w:rFonts w:ascii="SimSun" w:hAnsi="SimSun" w:eastAsia="SimSun" w:cs="SimSun"/>
          <w:sz w:val="21"/>
          <w:szCs w:val="21"/>
        </w:rPr>
        <w:t>【成熟度等级说明】</w:t>
      </w:r>
    </w:p>
    <w:p>
      <w:pPr>
        <w:ind w:left="270" w:right="102" w:firstLine="399"/>
        <w:spacing w:before="47" w:line="264" w:lineRule="auto"/>
        <w:rPr>
          <w:rFonts w:ascii="SimSun" w:hAnsi="SimSun" w:eastAsia="SimSun" w:cs="SimSun"/>
          <w:sz w:val="21"/>
          <w:szCs w:val="21"/>
        </w:rPr>
      </w:pPr>
      <w:r>
        <w:rPr>
          <w:rFonts w:ascii="SimSun" w:hAnsi="SimSun" w:eastAsia="SimSun" w:cs="SimSun"/>
          <w:sz w:val="21"/>
          <w:szCs w:val="21"/>
          <w:spacing w:val="1"/>
        </w:rPr>
        <w:t>组织开展和实施的质量项目，必须基于自身业务需求和成本效益分析的结果。</w:t>
      </w:r>
      <w:r>
        <w:rPr>
          <w:rFonts w:ascii="SimSun" w:hAnsi="SimSun" w:eastAsia="SimSun" w:cs="SimSun"/>
          <w:sz w:val="21"/>
          <w:szCs w:val="21"/>
          <w:spacing w:val="10"/>
        </w:rPr>
        <w:t xml:space="preserve"> </w:t>
      </w:r>
      <w:r>
        <w:rPr>
          <w:rFonts w:ascii="SimSun" w:hAnsi="SimSun" w:eastAsia="SimSun" w:cs="SimSun"/>
          <w:sz w:val="21"/>
          <w:szCs w:val="21"/>
          <w:spacing w:val="1"/>
        </w:rPr>
        <w:t>对于任何一个组织来说，数据质量工作是一个额外的、短期难以见到效益的、投入</w:t>
      </w:r>
      <w:r>
        <w:rPr>
          <w:rFonts w:ascii="SimSun" w:hAnsi="SimSun" w:eastAsia="SimSun" w:cs="SimSun"/>
          <w:sz w:val="21"/>
          <w:szCs w:val="21"/>
          <w:spacing w:val="12"/>
        </w:rPr>
        <w:t xml:space="preserve"> </w:t>
      </w:r>
      <w:r>
        <w:rPr>
          <w:rFonts w:ascii="SimSun" w:hAnsi="SimSun" w:eastAsia="SimSun" w:cs="SimSun"/>
          <w:sz w:val="21"/>
          <w:szCs w:val="21"/>
          <w:spacing w:val="1"/>
        </w:rPr>
        <w:t>成本较大的工作。目前有众多互联网公司开始注意到了数据的重要性，并为此投入</w:t>
      </w:r>
      <w:r>
        <w:rPr>
          <w:rFonts w:ascii="SimSun" w:hAnsi="SimSun" w:eastAsia="SimSun" w:cs="SimSun"/>
          <w:sz w:val="21"/>
          <w:szCs w:val="21"/>
          <w:spacing w:val="11"/>
        </w:rPr>
        <w:t xml:space="preserve"> </w:t>
      </w:r>
      <w:r>
        <w:rPr>
          <w:rFonts w:ascii="SimSun" w:hAnsi="SimSun" w:eastAsia="SimSun" w:cs="SimSun"/>
          <w:sz w:val="21"/>
          <w:szCs w:val="21"/>
          <w:spacing w:val="1"/>
        </w:rPr>
        <w:t>了大量的人力、物力和财力，但取得良好效益的组织并不多。因此，组织在实施数</w:t>
      </w:r>
      <w:r>
        <w:rPr>
          <w:rFonts w:ascii="SimSun" w:hAnsi="SimSun" w:eastAsia="SimSun" w:cs="SimSun"/>
          <w:sz w:val="21"/>
          <w:szCs w:val="21"/>
          <w:spacing w:val="12"/>
        </w:rPr>
        <w:t xml:space="preserve"> </w:t>
      </w:r>
      <w:r>
        <w:rPr>
          <w:rFonts w:ascii="SimSun" w:hAnsi="SimSun" w:eastAsia="SimSun" w:cs="SimSun"/>
          <w:sz w:val="21"/>
          <w:szCs w:val="21"/>
          <w:spacing w:val="1"/>
        </w:rPr>
        <w:t>据质量项目的过程中，为避免数据质量投入难以为继的情况，必须基于自身业务需</w:t>
      </w:r>
      <w:r>
        <w:rPr>
          <w:rFonts w:ascii="SimSun" w:hAnsi="SimSun" w:eastAsia="SimSun" w:cs="SimSun"/>
          <w:sz w:val="21"/>
          <w:szCs w:val="21"/>
          <w:spacing w:val="15"/>
        </w:rPr>
        <w:t xml:space="preserve"> </w:t>
      </w:r>
      <w:r>
        <w:rPr>
          <w:rFonts w:ascii="SimSun" w:hAnsi="SimSun" w:eastAsia="SimSun" w:cs="SimSun"/>
          <w:sz w:val="21"/>
          <w:szCs w:val="21"/>
        </w:rPr>
        <w:t>求和成本效益分析的结果，选择适应的人员、工具和流程，来开展</w:t>
      </w:r>
      <w:r>
        <w:rPr>
          <w:rFonts w:ascii="SimSun" w:hAnsi="SimSun" w:eastAsia="SimSun" w:cs="SimSun"/>
          <w:sz w:val="21"/>
          <w:szCs w:val="21"/>
          <w:spacing w:val="-1"/>
        </w:rPr>
        <w:t>数据质量项目。</w:t>
      </w:r>
    </w:p>
    <w:p>
      <w:pPr>
        <w:spacing w:line="118" w:lineRule="exact"/>
        <w:rPr/>
      </w:pPr>
      <w:r/>
    </w:p>
    <w:tbl>
      <w:tblPr>
        <w:tblStyle w:val="TableNormal"/>
        <w:tblW w:w="759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30"/>
      </w:tblGrid>
      <w:tr>
        <w:trPr>
          <w:trHeight w:val="333" w:hRule="atLeast"/>
        </w:trPr>
        <w:tc>
          <w:tcPr>
            <w:tcW w:w="714" w:type="dxa"/>
            <w:vAlign w:val="top"/>
          </w:tcPr>
          <w:p>
            <w:pPr>
              <w:pStyle w:val="TableText"/>
              <w:ind w:left="195"/>
              <w:spacing w:before="92" w:line="221" w:lineRule="auto"/>
              <w:rPr/>
            </w:pPr>
            <w:r>
              <w:rPr>
                <w:spacing w:val="-2"/>
              </w:rPr>
              <w:t>序号</w:t>
            </w:r>
          </w:p>
        </w:tc>
        <w:tc>
          <w:tcPr>
            <w:tcW w:w="3146"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2236" w:hRule="atLeast"/>
        </w:trPr>
        <w:tc>
          <w:tcPr>
            <w:tcW w:w="714" w:type="dxa"/>
            <w:vAlign w:val="top"/>
          </w:tcPr>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235"/>
              <w:spacing w:before="49" w:line="183" w:lineRule="auto"/>
              <w:rPr/>
            </w:pPr>
            <w:r>
              <w:rPr>
                <w:spacing w:val="-2"/>
              </w:rPr>
              <w:t>3.6</w:t>
            </w:r>
          </w:p>
        </w:tc>
        <w:tc>
          <w:tcPr>
            <w:tcW w:w="3146" w:type="dxa"/>
            <w:vAlign w:val="top"/>
          </w:tcPr>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pStyle w:val="TableText"/>
              <w:ind w:left="141" w:right="151" w:firstLine="69"/>
              <w:spacing w:before="49" w:line="276" w:lineRule="auto"/>
              <w:rPr/>
            </w:pPr>
            <w:r>
              <w:rPr>
                <w:spacing w:val="-1"/>
              </w:rPr>
              <w:t>为整个组织的数据质量改进工作制订计划</w:t>
            </w:r>
            <w:r>
              <w:rPr>
                <w:spacing w:val="4"/>
              </w:rPr>
              <w:t xml:space="preserve">  </w:t>
            </w:r>
            <w:r>
              <w:rPr>
                <w:spacing w:val="-1"/>
              </w:rPr>
              <w:t>和安排工作顺序，并对计划进行监督和维护</w:t>
            </w:r>
          </w:p>
        </w:tc>
        <w:tc>
          <w:tcPr>
            <w:tcW w:w="3730" w:type="dxa"/>
            <w:vAlign w:val="top"/>
          </w:tcPr>
          <w:p>
            <w:pPr>
              <w:pStyle w:val="TableText"/>
              <w:ind w:left="245"/>
              <w:spacing w:before="78" w:line="219" w:lineRule="auto"/>
              <w:rPr/>
            </w:pPr>
            <w:r>
              <w:rPr>
                <w:spacing w:val="1"/>
              </w:rPr>
              <w:t>●对数据质量战略的评审</w:t>
            </w:r>
          </w:p>
          <w:p>
            <w:pPr>
              <w:pStyle w:val="TableText"/>
              <w:ind w:left="245"/>
              <w:spacing w:before="111" w:line="219" w:lineRule="auto"/>
              <w:rPr/>
            </w:pPr>
            <w:r>
              <w:rPr/>
              <w:t>●提供质量准则和指南的数据管理标准</w:t>
            </w:r>
          </w:p>
          <w:p>
            <w:pPr>
              <w:pStyle w:val="TableText"/>
              <w:ind w:left="245"/>
              <w:spacing w:before="93" w:line="220" w:lineRule="auto"/>
              <w:rPr/>
            </w:pPr>
            <w:r>
              <w:rPr/>
              <w:t>●经认可的方针和过程</w:t>
            </w:r>
          </w:p>
          <w:p>
            <w:pPr>
              <w:pStyle w:val="TableText"/>
              <w:ind w:left="245"/>
              <w:spacing w:before="110" w:line="219" w:lineRule="auto"/>
              <w:rPr/>
            </w:pPr>
            <w:r>
              <w:rPr/>
              <w:t>●经认可的数据质量度量项</w:t>
            </w:r>
          </w:p>
          <w:p>
            <w:pPr>
              <w:pStyle w:val="TableText"/>
              <w:ind w:left="455" w:right="309" w:hanging="200"/>
              <w:spacing w:before="101" w:line="283" w:lineRule="auto"/>
              <w:rPr/>
            </w:pPr>
            <w:r>
              <w:rPr/>
              <w:t>●已嵌入的软件开发生命周期(SDLC)数据质量过</w:t>
            </w:r>
            <w:r>
              <w:rPr>
                <w:spacing w:val="4"/>
              </w:rPr>
              <w:t xml:space="preserve"> </w:t>
            </w:r>
            <w:r>
              <w:rPr/>
              <w:t>程</w:t>
            </w:r>
          </w:p>
          <w:p>
            <w:pPr>
              <w:pStyle w:val="TableText"/>
              <w:ind w:left="245"/>
              <w:spacing w:before="110" w:line="219" w:lineRule="auto"/>
              <w:rPr/>
            </w:pPr>
            <w:r>
              <w:rPr/>
              <w:t>●主题领域相关的数据质量业务规则</w:t>
            </w:r>
          </w:p>
          <w:p>
            <w:pPr>
              <w:pStyle w:val="TableText"/>
              <w:ind w:left="245"/>
              <w:spacing w:before="82" w:line="219" w:lineRule="auto"/>
              <w:rPr/>
            </w:pPr>
            <w:r>
              <w:rPr/>
              <w:t>●标准的数据质量过程</w:t>
            </w:r>
          </w:p>
        </w:tc>
      </w:tr>
    </w:tbl>
    <w:p>
      <w:pPr>
        <w:ind w:left="56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70" w:firstLine="479"/>
        <w:spacing w:before="70" w:line="259" w:lineRule="auto"/>
        <w:rPr>
          <w:rFonts w:ascii="SimSun" w:hAnsi="SimSun" w:eastAsia="SimSun" w:cs="SimSun"/>
          <w:sz w:val="21"/>
          <w:szCs w:val="21"/>
        </w:rPr>
      </w:pPr>
      <w:r>
        <w:rPr>
          <w:rFonts w:ascii="SimSun" w:hAnsi="SimSun" w:eastAsia="SimSun" w:cs="SimSun"/>
          <w:sz w:val="21"/>
          <w:szCs w:val="21"/>
          <w:spacing w:val="1"/>
        </w:rPr>
        <w:t>数据质量改进工作是一项长期、循序渐进的工作，为实现数据质量的目标和项</w:t>
      </w:r>
      <w:r>
        <w:rPr>
          <w:rFonts w:ascii="SimSun" w:hAnsi="SimSun" w:eastAsia="SimSun" w:cs="SimSun"/>
          <w:sz w:val="21"/>
          <w:szCs w:val="21"/>
          <w:spacing w:val="7"/>
        </w:rPr>
        <w:t xml:space="preserve"> </w:t>
      </w:r>
      <w:r>
        <w:rPr>
          <w:rFonts w:ascii="SimSun" w:hAnsi="SimSun" w:eastAsia="SimSun" w:cs="SimSun"/>
          <w:sz w:val="21"/>
          <w:szCs w:val="21"/>
          <w:spacing w:val="1"/>
        </w:rPr>
        <w:t>目目标，必须制订周详的质量改进计划，并针对计划工作提供</w:t>
      </w:r>
      <w:r>
        <w:rPr>
          <w:rFonts w:ascii="SimSun" w:hAnsi="SimSun" w:eastAsia="SimSun" w:cs="SimSun"/>
          <w:sz w:val="21"/>
          <w:szCs w:val="21"/>
        </w:rPr>
        <w:t>资源，安排工作的顺  </w:t>
      </w:r>
      <w:r>
        <w:rPr>
          <w:rFonts w:ascii="SimSun" w:hAnsi="SimSun" w:eastAsia="SimSun" w:cs="SimSun"/>
          <w:sz w:val="21"/>
          <w:szCs w:val="21"/>
          <w:spacing w:val="-2"/>
        </w:rPr>
        <w:t>序，以保障项目目标和阶段目标的达成。工作计划和顺序由数据治理小组进行监督，</w:t>
      </w:r>
      <w:r>
        <w:rPr>
          <w:rFonts w:ascii="SimSun" w:hAnsi="SimSun" w:eastAsia="SimSun" w:cs="SimSun"/>
          <w:sz w:val="21"/>
          <w:szCs w:val="21"/>
          <w:spacing w:val="18"/>
        </w:rPr>
        <w:t xml:space="preserve"> </w:t>
      </w:r>
      <w:r>
        <w:rPr>
          <w:rFonts w:ascii="SimSun" w:hAnsi="SimSun" w:eastAsia="SimSun" w:cs="SimSun"/>
          <w:sz w:val="21"/>
          <w:szCs w:val="21"/>
          <w:spacing w:val="-4"/>
        </w:rPr>
        <w:t>由治理主体提供相关的投入支持。</w:t>
      </w:r>
    </w:p>
    <w:p>
      <w:pPr>
        <w:spacing w:line="259" w:lineRule="auto"/>
        <w:sectPr>
          <w:footerReference w:type="default" r:id="rId254"/>
          <w:pgSz w:w="8870" w:h="13400"/>
          <w:pgMar w:top="400" w:right="454" w:bottom="488" w:left="430" w:header="0" w:footer="279" w:gutter="0"/>
        </w:sectPr>
        <w:rPr>
          <w:rFonts w:ascii="SimSun" w:hAnsi="SimSun" w:eastAsia="SimSun" w:cs="SimSun"/>
          <w:sz w:val="21"/>
          <w:szCs w:val="21"/>
        </w:rPr>
      </w:pPr>
    </w:p>
    <w:p>
      <w:pPr>
        <w:ind w:left="5482"/>
        <w:spacing w:before="24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ind w:left="412"/>
        <w:spacing w:before="300" w:line="221" w:lineRule="auto"/>
        <w:rPr>
          <w:rFonts w:ascii="SimHei" w:hAnsi="SimHei" w:eastAsia="SimHei" w:cs="SimHei"/>
          <w:sz w:val="21"/>
          <w:szCs w:val="21"/>
        </w:rPr>
      </w:pPr>
      <w:r>
        <w:rPr>
          <w:rFonts w:ascii="SimSun" w:hAnsi="SimSun" w:eastAsia="SimSun" w:cs="SimSun"/>
          <w:sz w:val="21"/>
          <w:szCs w:val="21"/>
          <w:b/>
          <w:bCs/>
          <w:spacing w:val="-10"/>
        </w:rPr>
        <w:t>Level</w:t>
      </w:r>
      <w:r>
        <w:rPr>
          <w:rFonts w:ascii="SimSun" w:hAnsi="SimSun" w:eastAsia="SimSun" w:cs="SimSun"/>
          <w:sz w:val="21"/>
          <w:szCs w:val="21"/>
          <w:spacing w:val="-10"/>
        </w:rPr>
        <w:t xml:space="preserve"> </w:t>
      </w:r>
      <w:r>
        <w:rPr>
          <w:rFonts w:ascii="SimSun" w:hAnsi="SimSun" w:eastAsia="SimSun" w:cs="SimSun"/>
          <w:sz w:val="21"/>
          <w:szCs w:val="21"/>
          <w:b/>
          <w:bCs/>
          <w:spacing w:val="-10"/>
        </w:rPr>
        <w:t>4:</w:t>
      </w:r>
      <w:r>
        <w:rPr>
          <w:rFonts w:ascii="SimSun" w:hAnsi="SimSun" w:eastAsia="SimSun" w:cs="SimSun"/>
          <w:sz w:val="21"/>
          <w:szCs w:val="21"/>
          <w:spacing w:val="-10"/>
        </w:rPr>
        <w:t xml:space="preserve"> </w:t>
      </w:r>
      <w:r>
        <w:rPr>
          <w:rFonts w:ascii="SimHei" w:hAnsi="SimHei" w:eastAsia="SimHei" w:cs="SimHei"/>
          <w:sz w:val="21"/>
          <w:szCs w:val="21"/>
          <w:b/>
          <w:bCs/>
          <w:spacing w:val="-10"/>
        </w:rPr>
        <w:t>量化级</w:t>
      </w:r>
    </w:p>
    <w:p>
      <w:pPr>
        <w:spacing w:line="139" w:lineRule="exact"/>
        <w:rPr/>
      </w:pPr>
      <w:r/>
    </w:p>
    <w:tbl>
      <w:tblPr>
        <w:tblStyle w:val="TableNormal"/>
        <w:tblW w:w="758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2" w:hRule="atLeast"/>
        </w:trPr>
        <w:tc>
          <w:tcPr>
            <w:tcW w:w="704" w:type="dxa"/>
            <w:vAlign w:val="top"/>
          </w:tcPr>
          <w:p>
            <w:pPr>
              <w:pStyle w:val="TableText"/>
              <w:ind w:left="194"/>
              <w:spacing w:before="81"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798" w:hRule="atLeast"/>
        </w:trPr>
        <w:tc>
          <w:tcPr>
            <w:tcW w:w="704" w:type="dxa"/>
            <w:vAlign w:val="top"/>
          </w:tcPr>
          <w:p>
            <w:pPr>
              <w:spacing w:line="316" w:lineRule="auto"/>
              <w:rPr>
                <w:rFonts w:ascii="Arial"/>
                <w:sz w:val="21"/>
              </w:rPr>
            </w:pPr>
            <w:r/>
          </w:p>
          <w:p>
            <w:pPr>
              <w:pStyle w:val="TableText"/>
              <w:ind w:left="224"/>
              <w:spacing w:before="49" w:line="184" w:lineRule="auto"/>
              <w:rPr/>
            </w:pPr>
            <w:r>
              <w:rPr>
                <w:spacing w:val="-2"/>
              </w:rPr>
              <w:t>4.1</w:t>
            </w:r>
          </w:p>
        </w:tc>
        <w:tc>
          <w:tcPr>
            <w:tcW w:w="3135" w:type="dxa"/>
            <w:vAlign w:val="top"/>
          </w:tcPr>
          <w:p>
            <w:pPr>
              <w:pStyle w:val="TableText"/>
              <w:ind w:left="120" w:right="160" w:firstLine="149"/>
              <w:spacing w:before="188" w:line="276" w:lineRule="auto"/>
              <w:rPr/>
            </w:pPr>
            <w:r>
              <w:rPr>
                <w:spacing w:val="-1"/>
              </w:rPr>
              <w:t>使用数据质量度量项来分析所提出的关于</w:t>
            </w:r>
            <w:r>
              <w:rPr>
                <w:spacing w:val="10"/>
              </w:rPr>
              <w:t xml:space="preserve"> </w:t>
            </w:r>
            <w:r>
              <w:rPr>
                <w:spacing w:val="-1"/>
              </w:rPr>
              <w:t>数据质量战略的变更</w:t>
            </w:r>
          </w:p>
        </w:tc>
        <w:tc>
          <w:tcPr>
            <w:tcW w:w="3750" w:type="dxa"/>
            <w:vAlign w:val="top"/>
          </w:tcPr>
          <w:p>
            <w:pPr>
              <w:pStyle w:val="TableText"/>
              <w:ind w:left="266"/>
              <w:spacing w:before="59" w:line="219" w:lineRule="auto"/>
              <w:rPr/>
            </w:pPr>
            <w:r>
              <w:rPr>
                <w:spacing w:val="1"/>
              </w:rPr>
              <w:t>●数据质量的度量项</w:t>
            </w:r>
          </w:p>
          <w:p>
            <w:pPr>
              <w:pStyle w:val="TableText"/>
              <w:ind w:left="266"/>
              <w:spacing w:before="82" w:line="219" w:lineRule="auto"/>
              <w:rPr/>
            </w:pPr>
            <w:r>
              <w:rPr/>
              <w:t>●数据度量和分析记录</w:t>
            </w:r>
          </w:p>
          <w:p>
            <w:pPr>
              <w:pStyle w:val="TableText"/>
              <w:ind w:left="266"/>
              <w:spacing w:before="92" w:line="219" w:lineRule="auto"/>
              <w:rPr/>
            </w:pPr>
            <w:r>
              <w:rPr/>
              <w:t>●数据质量战略的变更记录</w:t>
            </w:r>
          </w:p>
        </w:tc>
      </w:tr>
    </w:tbl>
    <w:p>
      <w:pPr>
        <w:ind w:left="304"/>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right="166" w:firstLine="409"/>
        <w:spacing w:before="61" w:line="262" w:lineRule="auto"/>
        <w:rPr>
          <w:rFonts w:ascii="SimSun" w:hAnsi="SimSun" w:eastAsia="SimSun" w:cs="SimSun"/>
          <w:sz w:val="21"/>
          <w:szCs w:val="21"/>
        </w:rPr>
      </w:pPr>
      <w:r>
        <w:rPr>
          <w:rFonts w:ascii="SimSun" w:hAnsi="SimSun" w:eastAsia="SimSun" w:cs="SimSun"/>
          <w:sz w:val="21"/>
          <w:szCs w:val="21"/>
          <w:spacing w:val="-7"/>
        </w:rPr>
        <w:t>通过制订策略来达到组织对数据质量的需求无法一次性完成。</w:t>
      </w:r>
      <w:r>
        <w:rPr>
          <w:rFonts w:ascii="SimSun" w:hAnsi="SimSun" w:eastAsia="SimSun" w:cs="SimSun"/>
          <w:sz w:val="21"/>
          <w:szCs w:val="21"/>
          <w:spacing w:val="44"/>
        </w:rPr>
        <w:t xml:space="preserve"> </w:t>
      </w:r>
      <w:r>
        <w:rPr>
          <w:rFonts w:ascii="SimSun" w:hAnsi="SimSun" w:eastAsia="SimSun" w:cs="SimSun"/>
          <w:sz w:val="21"/>
          <w:szCs w:val="21"/>
          <w:spacing w:val="-7"/>
        </w:rPr>
        <w:t>一旦制订了策略，</w:t>
      </w:r>
      <w:r>
        <w:rPr>
          <w:rFonts w:ascii="SimSun" w:hAnsi="SimSun" w:eastAsia="SimSun" w:cs="SimSun"/>
          <w:sz w:val="21"/>
          <w:szCs w:val="21"/>
        </w:rPr>
        <w:t xml:space="preserve"> </w:t>
      </w:r>
      <w:r>
        <w:rPr>
          <w:rFonts w:ascii="SimSun" w:hAnsi="SimSun" w:eastAsia="SimSun" w:cs="SimSun"/>
          <w:sz w:val="21"/>
          <w:szCs w:val="21"/>
          <w:spacing w:val="2"/>
        </w:rPr>
        <w:t>就必须对策略的执行情况以及业务需求的变化进行密切跟踪</w:t>
      </w:r>
      <w:r>
        <w:rPr>
          <w:rFonts w:ascii="SimSun" w:hAnsi="SimSun" w:eastAsia="SimSun" w:cs="SimSun"/>
          <w:sz w:val="21"/>
          <w:szCs w:val="21"/>
          <w:spacing w:val="1"/>
        </w:rPr>
        <w:t>。这两方面都必须定期</w:t>
      </w:r>
      <w:r>
        <w:rPr>
          <w:rFonts w:ascii="SimSun" w:hAnsi="SimSun" w:eastAsia="SimSun" w:cs="SimSun"/>
          <w:sz w:val="21"/>
          <w:szCs w:val="21"/>
        </w:rPr>
        <w:t xml:space="preserve"> </w:t>
      </w:r>
      <w:r>
        <w:rPr>
          <w:rFonts w:ascii="SimSun" w:hAnsi="SimSun" w:eastAsia="SimSun" w:cs="SimSun"/>
          <w:sz w:val="21"/>
          <w:szCs w:val="21"/>
          <w:spacing w:val="2"/>
        </w:rPr>
        <w:t>得到评估以保证策略的成功执行，并保证业务对质量的需求持续得到</w:t>
      </w:r>
      <w:r>
        <w:rPr>
          <w:rFonts w:ascii="SimSun" w:hAnsi="SimSun" w:eastAsia="SimSun" w:cs="SimSun"/>
          <w:sz w:val="21"/>
          <w:szCs w:val="21"/>
          <w:spacing w:val="1"/>
        </w:rPr>
        <w:t>满足。在识别</w:t>
      </w:r>
      <w:r>
        <w:rPr>
          <w:rFonts w:ascii="SimSun" w:hAnsi="SimSun" w:eastAsia="SimSun" w:cs="SimSun"/>
          <w:sz w:val="21"/>
          <w:szCs w:val="21"/>
        </w:rPr>
        <w:t xml:space="preserve"> </w:t>
      </w:r>
      <w:r>
        <w:rPr>
          <w:rFonts w:ascii="SimSun" w:hAnsi="SimSun" w:eastAsia="SimSun" w:cs="SimSun"/>
          <w:sz w:val="21"/>
          <w:szCs w:val="21"/>
          <w:spacing w:val="2"/>
        </w:rPr>
        <w:t>出不足和差距后，应当对策略进行完善升级，这个</w:t>
      </w:r>
      <w:r>
        <w:rPr>
          <w:rFonts w:ascii="SimSun" w:hAnsi="SimSun" w:eastAsia="SimSun" w:cs="SimSun"/>
          <w:sz w:val="21"/>
          <w:szCs w:val="21"/>
          <w:spacing w:val="1"/>
        </w:rPr>
        <w:t>过程可能会涉及到工作重点的转</w:t>
      </w:r>
      <w:r>
        <w:rPr>
          <w:rFonts w:ascii="SimSun" w:hAnsi="SimSun" w:eastAsia="SimSun" w:cs="SimSun"/>
          <w:sz w:val="21"/>
          <w:szCs w:val="21"/>
        </w:rPr>
        <w:t xml:space="preserve"> </w:t>
      </w:r>
      <w:r>
        <w:rPr>
          <w:rFonts w:ascii="SimSun" w:hAnsi="SimSun" w:eastAsia="SimSun" w:cs="SimSun"/>
          <w:sz w:val="21"/>
          <w:szCs w:val="21"/>
          <w:spacing w:val="-3"/>
        </w:rPr>
        <w:t>移或对正在进行的项目的调整。</w:t>
      </w:r>
    </w:p>
    <w:p>
      <w:pPr>
        <w:spacing w:line="126" w:lineRule="exact"/>
        <w:rPr/>
      </w:pPr>
      <w:r/>
    </w:p>
    <w:tbl>
      <w:tblPr>
        <w:tblStyle w:val="TableNormal"/>
        <w:tblW w:w="759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16"/>
        <w:gridCol w:w="3760"/>
      </w:tblGrid>
      <w:tr>
        <w:trPr>
          <w:trHeight w:val="333" w:hRule="atLeast"/>
        </w:trPr>
        <w:tc>
          <w:tcPr>
            <w:tcW w:w="714" w:type="dxa"/>
            <w:vAlign w:val="top"/>
          </w:tcPr>
          <w:p>
            <w:pPr>
              <w:pStyle w:val="TableText"/>
              <w:ind w:left="195"/>
              <w:spacing w:before="92" w:line="221" w:lineRule="auto"/>
              <w:rPr/>
            </w:pPr>
            <w:r>
              <w:rPr>
                <w:spacing w:val="-2"/>
              </w:rPr>
              <w:t>序号</w:t>
            </w:r>
          </w:p>
        </w:tc>
        <w:tc>
          <w:tcPr>
            <w:tcW w:w="3116" w:type="dxa"/>
            <w:vAlign w:val="top"/>
          </w:tcPr>
          <w:p>
            <w:pPr>
              <w:pStyle w:val="TableText"/>
              <w:ind w:left="113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91" w:line="220" w:lineRule="auto"/>
              <w:rPr/>
            </w:pPr>
            <w:r>
              <w:rPr>
                <w:spacing w:val="-5"/>
              </w:rPr>
              <w:t>实</w:t>
            </w:r>
            <w:r>
              <w:rPr>
                <w:spacing w:val="1"/>
              </w:rPr>
              <w:t xml:space="preserve">   </w:t>
            </w:r>
            <w:r>
              <w:rPr>
                <w:spacing w:val="-5"/>
              </w:rPr>
              <w:t>例</w:t>
            </w:r>
          </w:p>
        </w:tc>
      </w:tr>
      <w:tr>
        <w:trPr>
          <w:trHeight w:val="1027" w:hRule="atLeast"/>
        </w:trPr>
        <w:tc>
          <w:tcPr>
            <w:tcW w:w="714" w:type="dxa"/>
            <w:vAlign w:val="top"/>
          </w:tcPr>
          <w:p>
            <w:pPr>
              <w:spacing w:line="425" w:lineRule="auto"/>
              <w:rPr>
                <w:rFonts w:ascii="Arial"/>
                <w:sz w:val="21"/>
              </w:rPr>
            </w:pPr>
            <w:r/>
          </w:p>
          <w:p>
            <w:pPr>
              <w:pStyle w:val="TableText"/>
              <w:ind w:left="235"/>
              <w:spacing w:before="49" w:line="183" w:lineRule="auto"/>
              <w:rPr/>
            </w:pPr>
            <w:r>
              <w:rPr>
                <w:spacing w:val="-2"/>
              </w:rPr>
              <w:t>4.2</w:t>
            </w:r>
          </w:p>
        </w:tc>
        <w:tc>
          <w:tcPr>
            <w:tcW w:w="3116" w:type="dxa"/>
            <w:vAlign w:val="top"/>
          </w:tcPr>
          <w:p>
            <w:pPr>
              <w:pStyle w:val="TableText"/>
              <w:ind w:left="111" w:right="100" w:firstLine="89"/>
              <w:spacing w:before="66" w:line="289" w:lineRule="auto"/>
              <w:jc w:val="both"/>
              <w:rPr/>
            </w:pPr>
            <w:r>
              <w:rPr>
                <w:spacing w:val="-2"/>
              </w:rPr>
              <w:t>对需要修正和预防的数据质量问题进行优  </w:t>
            </w:r>
            <w:r>
              <w:rPr>
                <w:spacing w:val="2"/>
              </w:rPr>
              <w:t>先次序的排列，对排列过程进行量化评估。</w:t>
            </w:r>
            <w:r>
              <w:rPr>
                <w:spacing w:val="5"/>
              </w:rPr>
              <w:t xml:space="preserve"> </w:t>
            </w:r>
            <w:r>
              <w:rPr/>
              <w:t>对优先次序进行定期评审和调整以满足变化</w:t>
            </w:r>
            <w:r>
              <w:rPr>
                <w:spacing w:val="3"/>
              </w:rPr>
              <w:t xml:space="preserve"> </w:t>
            </w:r>
            <w:r>
              <w:rPr>
                <w:spacing w:val="1"/>
              </w:rPr>
              <w:t>的业务目标</w:t>
            </w:r>
          </w:p>
        </w:tc>
        <w:tc>
          <w:tcPr>
            <w:tcW w:w="3760" w:type="dxa"/>
            <w:vAlign w:val="top"/>
          </w:tcPr>
          <w:p>
            <w:pPr>
              <w:pStyle w:val="TableText"/>
              <w:ind w:left="245"/>
              <w:spacing w:before="198" w:line="219" w:lineRule="auto"/>
              <w:rPr/>
            </w:pPr>
            <w:r>
              <w:rPr/>
              <w:t>●数据质量问题列表</w:t>
            </w:r>
          </w:p>
          <w:p>
            <w:pPr>
              <w:pStyle w:val="TableText"/>
              <w:ind w:left="245"/>
              <w:spacing w:before="50" w:line="218" w:lineRule="auto"/>
              <w:rPr/>
            </w:pPr>
            <w:r>
              <w:rPr/>
              <w:t>●质量问题排序的量化评估</w:t>
            </w:r>
          </w:p>
          <w:p>
            <w:pPr>
              <w:pStyle w:val="TableText"/>
              <w:ind w:left="245"/>
              <w:spacing w:before="104" w:line="220" w:lineRule="auto"/>
              <w:rPr/>
            </w:pPr>
            <w:r>
              <w:rPr>
                <w:spacing w:val="1"/>
              </w:rPr>
              <w:t>●质量问题排序的定期评审</w:t>
            </w:r>
          </w:p>
        </w:tc>
      </w:tr>
    </w:tbl>
    <w:p>
      <w:pPr>
        <w:ind w:left="30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13" w:firstLine="409"/>
        <w:spacing w:before="60" w:line="254" w:lineRule="auto"/>
        <w:rPr>
          <w:rFonts w:ascii="SimSun" w:hAnsi="SimSun" w:eastAsia="SimSun" w:cs="SimSun"/>
          <w:sz w:val="21"/>
          <w:szCs w:val="21"/>
        </w:rPr>
      </w:pPr>
      <w:r>
        <w:rPr>
          <w:rFonts w:ascii="SimSun" w:hAnsi="SimSun" w:eastAsia="SimSun" w:cs="SimSun"/>
          <w:sz w:val="21"/>
          <w:szCs w:val="21"/>
          <w:spacing w:val="-4"/>
        </w:rPr>
        <w:t>解决质量问题所需的工作量和成本量可能是巨大的。因此，很重要的一</w:t>
      </w:r>
      <w:r>
        <w:rPr>
          <w:rFonts w:ascii="SimSun" w:hAnsi="SimSun" w:eastAsia="SimSun" w:cs="SimSun"/>
          <w:sz w:val="21"/>
          <w:szCs w:val="21"/>
          <w:spacing w:val="-5"/>
        </w:rPr>
        <w:t>点是确保</w:t>
      </w:r>
      <w:r>
        <w:rPr>
          <w:rFonts w:ascii="SimSun" w:hAnsi="SimSun" w:eastAsia="SimSun" w:cs="SimSun"/>
          <w:sz w:val="21"/>
          <w:szCs w:val="21"/>
        </w:rPr>
        <w:t xml:space="preserve"> </w:t>
      </w:r>
      <w:r>
        <w:rPr>
          <w:rFonts w:ascii="SimSun" w:hAnsi="SimSun" w:eastAsia="SimSun" w:cs="SimSun"/>
          <w:sz w:val="21"/>
          <w:szCs w:val="21"/>
          <w:spacing w:val="-4"/>
        </w:rPr>
        <w:t>与这些活动相关的优先排序以及决策制订的有据可依，以保证成本与业务</w:t>
      </w:r>
      <w:r>
        <w:rPr>
          <w:rFonts w:ascii="SimSun" w:hAnsi="SimSun" w:eastAsia="SimSun" w:cs="SimSun"/>
          <w:sz w:val="21"/>
          <w:szCs w:val="21"/>
          <w:spacing w:val="-5"/>
        </w:rPr>
        <w:t>目标的价值</w:t>
      </w:r>
      <w:r>
        <w:rPr>
          <w:rFonts w:ascii="SimSun" w:hAnsi="SimSun" w:eastAsia="SimSun" w:cs="SimSun"/>
          <w:sz w:val="21"/>
          <w:szCs w:val="21"/>
        </w:rPr>
        <w:t xml:space="preserve"> </w:t>
      </w:r>
      <w:r>
        <w:rPr>
          <w:rFonts w:ascii="SimSun" w:hAnsi="SimSun" w:eastAsia="SimSun" w:cs="SimSun"/>
          <w:sz w:val="21"/>
          <w:szCs w:val="21"/>
          <w:spacing w:val="-5"/>
        </w:rPr>
        <w:t>和成果相符。因而，量化评估质量问题并使用这些信息协助决策的制订至关重要。</w:t>
      </w:r>
    </w:p>
    <w:p>
      <w:pPr>
        <w:spacing w:line="150"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15"/>
        <w:gridCol w:w="3770"/>
      </w:tblGrid>
      <w:tr>
        <w:trPr>
          <w:trHeight w:val="312" w:hRule="atLeast"/>
        </w:trPr>
        <w:tc>
          <w:tcPr>
            <w:tcW w:w="704" w:type="dxa"/>
            <w:vAlign w:val="top"/>
          </w:tcPr>
          <w:p>
            <w:pPr>
              <w:pStyle w:val="TableText"/>
              <w:ind w:left="195"/>
              <w:spacing w:before="82" w:line="221" w:lineRule="auto"/>
              <w:rPr/>
            </w:pPr>
            <w:r>
              <w:rPr>
                <w:spacing w:val="-2"/>
              </w:rPr>
              <w:t>序号</w:t>
            </w:r>
          </w:p>
        </w:tc>
        <w:tc>
          <w:tcPr>
            <w:tcW w:w="3115" w:type="dxa"/>
            <w:vAlign w:val="top"/>
          </w:tcPr>
          <w:p>
            <w:pPr>
              <w:pStyle w:val="TableText"/>
              <w:ind w:left="113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81" w:line="220" w:lineRule="auto"/>
              <w:rPr/>
            </w:pPr>
            <w:r>
              <w:rPr>
                <w:spacing w:val="-5"/>
              </w:rPr>
              <w:t>实</w:t>
            </w:r>
            <w:r>
              <w:rPr>
                <w:spacing w:val="1"/>
              </w:rPr>
              <w:t xml:space="preserve">   </w:t>
            </w:r>
            <w:r>
              <w:rPr>
                <w:spacing w:val="-5"/>
              </w:rPr>
              <w:t>例</w:t>
            </w:r>
          </w:p>
        </w:tc>
      </w:tr>
      <w:tr>
        <w:trPr>
          <w:trHeight w:val="778" w:hRule="atLeast"/>
        </w:trPr>
        <w:tc>
          <w:tcPr>
            <w:tcW w:w="704" w:type="dxa"/>
            <w:vAlign w:val="top"/>
          </w:tcPr>
          <w:p>
            <w:pPr>
              <w:spacing w:line="307" w:lineRule="auto"/>
              <w:rPr>
                <w:rFonts w:ascii="Arial"/>
                <w:sz w:val="21"/>
              </w:rPr>
            </w:pPr>
            <w:r/>
          </w:p>
          <w:p>
            <w:pPr>
              <w:pStyle w:val="TableText"/>
              <w:ind w:left="224"/>
              <w:spacing w:before="49" w:line="183" w:lineRule="auto"/>
              <w:rPr/>
            </w:pPr>
            <w:r>
              <w:rPr>
                <w:spacing w:val="-2"/>
              </w:rPr>
              <w:t>4.3</w:t>
            </w:r>
          </w:p>
        </w:tc>
        <w:tc>
          <w:tcPr>
            <w:tcW w:w="3115" w:type="dxa"/>
            <w:vAlign w:val="top"/>
          </w:tcPr>
          <w:p>
            <w:pPr>
              <w:pStyle w:val="TableText"/>
              <w:ind w:left="200"/>
              <w:spacing w:before="69" w:line="219" w:lineRule="auto"/>
              <w:rPr/>
            </w:pPr>
            <w:r>
              <w:rPr>
                <w:spacing w:val="-1"/>
              </w:rPr>
              <w:t>系统性地收集相关责任人对数据质量问题</w:t>
            </w:r>
          </w:p>
          <w:p>
            <w:pPr>
              <w:pStyle w:val="TableText"/>
              <w:ind w:left="119" w:right="47" w:hanging="69"/>
              <w:spacing w:before="81" w:line="270" w:lineRule="auto"/>
              <w:rPr/>
            </w:pPr>
            <w:r>
              <w:rPr/>
              <w:t>的需求，相关责任人对数据质量改进的期望被</w:t>
            </w:r>
            <w:r>
              <w:rPr>
                <w:spacing w:val="5"/>
              </w:rPr>
              <w:t xml:space="preserve"> </w:t>
            </w:r>
            <w:r>
              <w:rPr>
                <w:spacing w:val="-1"/>
              </w:rPr>
              <w:t>纳入数据质量战略当中，并得到度量和监督</w:t>
            </w:r>
          </w:p>
        </w:tc>
        <w:tc>
          <w:tcPr>
            <w:tcW w:w="3770" w:type="dxa"/>
            <w:vAlign w:val="top"/>
          </w:tcPr>
          <w:p>
            <w:pPr>
              <w:pStyle w:val="TableText"/>
              <w:ind w:left="275"/>
              <w:spacing w:before="59" w:line="219" w:lineRule="auto"/>
              <w:rPr/>
            </w:pPr>
            <w:r>
              <w:rPr/>
              <w:t>●相关责任人的数据质量需求和期望</w:t>
            </w:r>
          </w:p>
          <w:p>
            <w:pPr>
              <w:pStyle w:val="TableText"/>
              <w:ind w:left="275" w:right="175"/>
              <w:spacing w:before="81" w:line="271" w:lineRule="auto"/>
              <w:rPr/>
            </w:pPr>
            <w:r>
              <w:rPr/>
              <w:t>●数据质量管理策略中应增加相关责任人的角色职</w:t>
            </w:r>
            <w:r>
              <w:rPr>
                <w:spacing w:val="7"/>
              </w:rPr>
              <w:t xml:space="preserve"> </w:t>
            </w:r>
            <w:r>
              <w:rPr/>
              <w:t>责</w:t>
            </w:r>
          </w:p>
        </w:tc>
      </w:tr>
    </w:tbl>
    <w:p>
      <w:pPr>
        <w:ind w:left="304"/>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08" w:firstLine="409"/>
        <w:spacing w:before="70" w:line="266" w:lineRule="auto"/>
        <w:rPr>
          <w:rFonts w:ascii="SimSun" w:hAnsi="SimSun" w:eastAsia="SimSun" w:cs="SimSun"/>
          <w:sz w:val="21"/>
          <w:szCs w:val="21"/>
        </w:rPr>
      </w:pPr>
      <w:r>
        <w:rPr>
          <w:rFonts w:ascii="SimSun" w:hAnsi="SimSun" w:eastAsia="SimSun" w:cs="SimSun"/>
          <w:sz w:val="21"/>
          <w:szCs w:val="21"/>
          <w:spacing w:val="1"/>
        </w:rPr>
        <w:t>记录的业务需求、数据质量准则和相关责任人的期望并非总是相符的。相关责</w:t>
      </w:r>
      <w:r>
        <w:rPr>
          <w:rFonts w:ascii="SimSun" w:hAnsi="SimSun" w:eastAsia="SimSun" w:cs="SimSun"/>
          <w:sz w:val="21"/>
          <w:szCs w:val="21"/>
          <w:spacing w:val="9"/>
        </w:rPr>
        <w:t xml:space="preserve"> </w:t>
      </w:r>
      <w:r>
        <w:rPr>
          <w:rFonts w:ascii="SimSun" w:hAnsi="SimSun" w:eastAsia="SimSun" w:cs="SimSun"/>
          <w:sz w:val="21"/>
          <w:szCs w:val="21"/>
          <w:spacing w:val="2"/>
        </w:rPr>
        <w:t>任人很容易认为他们对质量的期望没有获得满足，除非他</w:t>
      </w:r>
      <w:r>
        <w:rPr>
          <w:rFonts w:ascii="SimSun" w:hAnsi="SimSun" w:eastAsia="SimSun" w:cs="SimSun"/>
          <w:sz w:val="21"/>
          <w:szCs w:val="21"/>
          <w:spacing w:val="1"/>
        </w:rPr>
        <w:t>们自己参与到数据质量战</w:t>
      </w:r>
      <w:r>
        <w:rPr>
          <w:rFonts w:ascii="SimSun" w:hAnsi="SimSun" w:eastAsia="SimSun" w:cs="SimSun"/>
          <w:sz w:val="21"/>
          <w:szCs w:val="21"/>
        </w:rPr>
        <w:t xml:space="preserve"> </w:t>
      </w:r>
      <w:r>
        <w:rPr>
          <w:rFonts w:ascii="SimSun" w:hAnsi="SimSun" w:eastAsia="SimSun" w:cs="SimSun"/>
          <w:sz w:val="21"/>
          <w:szCs w:val="21"/>
          <w:spacing w:val="2"/>
        </w:rPr>
        <w:t>略的制订当中。为了抵制这种情况的发生并保证质量</w:t>
      </w:r>
      <w:r>
        <w:rPr>
          <w:rFonts w:ascii="SimSun" w:hAnsi="SimSun" w:eastAsia="SimSun" w:cs="SimSun"/>
          <w:sz w:val="21"/>
          <w:szCs w:val="21"/>
          <w:spacing w:val="1"/>
        </w:rPr>
        <w:t>级别满足业务需求，我们必须</w:t>
      </w:r>
      <w:r>
        <w:rPr>
          <w:rFonts w:ascii="SimSun" w:hAnsi="SimSun" w:eastAsia="SimSun" w:cs="SimSun"/>
          <w:sz w:val="21"/>
          <w:szCs w:val="21"/>
        </w:rPr>
        <w:t xml:space="preserve"> </w:t>
      </w:r>
      <w:r>
        <w:rPr>
          <w:rFonts w:ascii="SimSun" w:hAnsi="SimSun" w:eastAsia="SimSun" w:cs="SimSun"/>
          <w:sz w:val="21"/>
          <w:szCs w:val="21"/>
          <w:spacing w:val="-1"/>
        </w:rPr>
        <w:t>要和相关责任人一起制订数据质量战略的衡量</w:t>
      </w:r>
      <w:r>
        <w:rPr>
          <w:rFonts w:ascii="SimSun" w:hAnsi="SimSun" w:eastAsia="SimSun" w:cs="SimSun"/>
          <w:sz w:val="21"/>
          <w:szCs w:val="21"/>
          <w:spacing w:val="-2"/>
        </w:rPr>
        <w:t>准则及影响成功因素。</w:t>
      </w:r>
    </w:p>
    <w:p>
      <w:pPr>
        <w:spacing w:line="107" w:lineRule="exact"/>
        <w:rPr/>
      </w:pPr>
      <w:r/>
    </w:p>
    <w:tbl>
      <w:tblPr>
        <w:tblStyle w:val="TableNormal"/>
        <w:tblW w:w="759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16"/>
        <w:gridCol w:w="3770"/>
      </w:tblGrid>
      <w:tr>
        <w:trPr>
          <w:trHeight w:val="313" w:hRule="atLeast"/>
        </w:trPr>
        <w:tc>
          <w:tcPr>
            <w:tcW w:w="704" w:type="dxa"/>
            <w:vAlign w:val="top"/>
          </w:tcPr>
          <w:p>
            <w:pPr>
              <w:pStyle w:val="TableText"/>
              <w:ind w:left="195"/>
              <w:spacing w:before="82" w:line="221" w:lineRule="auto"/>
              <w:rPr/>
            </w:pPr>
            <w:r>
              <w:rPr>
                <w:spacing w:val="-2"/>
              </w:rPr>
              <w:t>序号</w:t>
            </w:r>
          </w:p>
        </w:tc>
        <w:tc>
          <w:tcPr>
            <w:tcW w:w="3116" w:type="dxa"/>
            <w:vAlign w:val="top"/>
          </w:tcPr>
          <w:p>
            <w:pPr>
              <w:pStyle w:val="TableText"/>
              <w:ind w:left="113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1297" w:hRule="atLeast"/>
        </w:trPr>
        <w:tc>
          <w:tcPr>
            <w:tcW w:w="704" w:type="dxa"/>
            <w:vAlign w:val="top"/>
          </w:tcPr>
          <w:p>
            <w:pPr>
              <w:spacing w:line="282" w:lineRule="auto"/>
              <w:rPr>
                <w:rFonts w:ascii="Arial"/>
                <w:sz w:val="21"/>
              </w:rPr>
            </w:pPr>
            <w:r/>
          </w:p>
          <w:p>
            <w:pPr>
              <w:spacing w:line="282" w:lineRule="auto"/>
              <w:rPr>
                <w:rFonts w:ascii="Arial"/>
                <w:sz w:val="21"/>
              </w:rPr>
            </w:pPr>
            <w:r/>
          </w:p>
          <w:p>
            <w:pPr>
              <w:pStyle w:val="TableText"/>
              <w:ind w:left="224"/>
              <w:spacing w:before="49" w:line="183" w:lineRule="auto"/>
              <w:rPr/>
            </w:pPr>
            <w:r>
              <w:rPr>
                <w:spacing w:val="-2"/>
              </w:rPr>
              <w:t>4.4</w:t>
            </w:r>
          </w:p>
        </w:tc>
        <w:tc>
          <w:tcPr>
            <w:tcW w:w="3116" w:type="dxa"/>
            <w:vAlign w:val="top"/>
          </w:tcPr>
          <w:p>
            <w:pPr>
              <w:spacing w:line="267" w:lineRule="auto"/>
              <w:rPr>
                <w:rFonts w:ascii="Arial"/>
                <w:sz w:val="21"/>
              </w:rPr>
            </w:pPr>
            <w:r/>
          </w:p>
          <w:p>
            <w:pPr>
              <w:pStyle w:val="TableText"/>
              <w:ind w:left="90" w:right="141" w:firstLine="110"/>
              <w:spacing w:before="49" w:line="288" w:lineRule="auto"/>
              <w:jc w:val="both"/>
              <w:rPr/>
            </w:pPr>
            <w:r>
              <w:rPr>
                <w:spacing w:val="-1"/>
              </w:rPr>
              <w:t>根据性能度量项的分析结果，可以用以调</w:t>
            </w:r>
            <w:r>
              <w:rPr>
                <w:spacing w:val="5"/>
              </w:rPr>
              <w:t xml:space="preserve">  </w:t>
            </w:r>
            <w:r>
              <w:rPr>
                <w:spacing w:val="1"/>
              </w:rPr>
              <w:t>整和修改数据质量战略的方针、过程以及指</w:t>
            </w:r>
            <w:r>
              <w:rPr>
                <w:spacing w:val="3"/>
              </w:rPr>
              <w:t xml:space="preserve"> </w:t>
            </w:r>
            <w:r>
              <w:rPr/>
              <w:t>南</w:t>
            </w:r>
          </w:p>
        </w:tc>
        <w:tc>
          <w:tcPr>
            <w:tcW w:w="3770" w:type="dxa"/>
            <w:vAlign w:val="top"/>
          </w:tcPr>
          <w:p>
            <w:pPr>
              <w:pStyle w:val="TableText"/>
              <w:ind w:left="255"/>
              <w:spacing w:before="58" w:line="219" w:lineRule="auto"/>
              <w:rPr/>
            </w:pPr>
            <w:r>
              <w:rPr/>
              <w:t>●数据质量战略上经认可的变更</w:t>
            </w:r>
          </w:p>
          <w:p>
            <w:pPr>
              <w:pStyle w:val="TableText"/>
              <w:ind w:left="255"/>
              <w:spacing w:before="72" w:line="220" w:lineRule="auto"/>
              <w:rPr/>
            </w:pPr>
            <w:r>
              <w:rPr/>
              <w:t>●方针、过程和度量项上经认可的变更</w:t>
            </w:r>
          </w:p>
          <w:p>
            <w:pPr>
              <w:pStyle w:val="TableText"/>
              <w:ind w:left="255"/>
              <w:spacing w:before="79" w:line="218" w:lineRule="auto"/>
              <w:rPr/>
            </w:pPr>
            <w:r>
              <w:rPr/>
              <w:t>●根据数据质量进度的分析报告所确定的标准度量项</w:t>
            </w:r>
          </w:p>
          <w:p>
            <w:pPr>
              <w:pStyle w:val="TableText"/>
              <w:ind w:left="255" w:right="178" w:firstLine="20"/>
              <w:spacing w:before="83" w:line="270" w:lineRule="auto"/>
              <w:rPr/>
            </w:pPr>
            <w:r>
              <w:rPr/>
              <w:t>●对数据质量战略、顺序计划或者配套的方针、过</w:t>
            </w:r>
            <w:r>
              <w:rPr>
                <w:spacing w:val="5"/>
              </w:rPr>
              <w:t xml:space="preserve"> </w:t>
            </w:r>
            <w:r>
              <w:rPr>
                <w:spacing w:val="-1"/>
              </w:rPr>
              <w:t>程和计划进行的经认可的修订</w:t>
            </w:r>
          </w:p>
        </w:tc>
      </w:tr>
    </w:tbl>
    <w:p>
      <w:pPr>
        <w:pStyle w:val="BodyText"/>
        <w:rPr/>
      </w:pPr>
      <w:r/>
    </w:p>
    <w:p>
      <w:pPr>
        <w:sectPr>
          <w:footerReference w:type="default" r:id="rId256"/>
          <w:pgSz w:w="8870" w:h="13400"/>
          <w:pgMar w:top="400" w:right="688" w:bottom="508" w:left="350" w:header="0" w:footer="299" w:gutter="0"/>
        </w:sectPr>
        <w:rPr/>
      </w:pPr>
    </w:p>
    <w:p>
      <w:pPr>
        <w:ind w:left="212"/>
        <w:spacing w:before="285" w:line="219" w:lineRule="auto"/>
        <w:rPr>
          <w:rFonts w:ascii="SimSun" w:hAnsi="SimSun" w:eastAsia="SimSun" w:cs="SimSun"/>
          <w:sz w:val="22"/>
          <w:szCs w:val="22"/>
        </w:rPr>
      </w:pPr>
      <w:r>
        <w:pict>
          <v:rect id="_x0000_s372" style="position:absolute;margin-left:27.0003pt;margin-top:31.0009pt;mso-position-vertical-relative:page;mso-position-horizontal-relative:page;width:0.55pt;height:17.55pt;z-index:254782464;" o:allowincell="f" fillcolor="#000000" filled="true" stroked="false"/>
        </w:pict>
      </w:r>
      <w:r>
        <w:rPr>
          <w:rFonts w:ascii="SimSun" w:hAnsi="SimSun" w:eastAsia="SimSun" w:cs="SimSun"/>
          <w:sz w:val="22"/>
          <w:szCs w:val="22"/>
          <w:b/>
          <w:bCs/>
          <w:spacing w:val="-14"/>
        </w:rPr>
        <w:t>■云端数据治理</w:t>
      </w:r>
    </w:p>
    <w:p>
      <w:pPr>
        <w:pStyle w:val="BodyText"/>
        <w:spacing w:line="249" w:lineRule="auto"/>
        <w:rPr/>
      </w:pPr>
      <w:r/>
    </w:p>
    <w:p>
      <w:pPr>
        <w:ind w:left="539"/>
        <w:spacing w:before="71"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9" w:right="35" w:firstLine="400"/>
        <w:spacing w:before="70" w:line="243" w:lineRule="auto"/>
        <w:rPr>
          <w:rFonts w:ascii="SimSun" w:hAnsi="SimSun" w:eastAsia="SimSun" w:cs="SimSun"/>
          <w:sz w:val="22"/>
          <w:szCs w:val="22"/>
        </w:rPr>
      </w:pPr>
      <w:r>
        <w:rPr>
          <w:rFonts w:ascii="SimSun" w:hAnsi="SimSun" w:eastAsia="SimSun" w:cs="SimSun"/>
          <w:sz w:val="22"/>
          <w:szCs w:val="22"/>
          <w:spacing w:val="-10"/>
        </w:rPr>
        <w:t>数据质量度量项直观地反映了数据质量的好坏，针对数据度量项的分析结果，</w:t>
      </w:r>
      <w:r>
        <w:rPr>
          <w:rFonts w:ascii="SimSun" w:hAnsi="SimSun" w:eastAsia="SimSun" w:cs="SimSun"/>
          <w:sz w:val="22"/>
          <w:szCs w:val="22"/>
          <w:spacing w:val="9"/>
        </w:rPr>
        <w:t xml:space="preserve"> </w:t>
      </w:r>
      <w:r>
        <w:rPr>
          <w:rFonts w:ascii="SimSun" w:hAnsi="SimSun" w:eastAsia="SimSun" w:cs="SimSun"/>
          <w:sz w:val="22"/>
          <w:szCs w:val="22"/>
          <w:spacing w:val="-9"/>
        </w:rPr>
        <w:t>可以反映出数据过程的能力、数据过程的达成情况、数据操作的规范性等。据此可</w:t>
      </w:r>
      <w:r>
        <w:rPr>
          <w:rFonts w:ascii="SimSun" w:hAnsi="SimSun" w:eastAsia="SimSun" w:cs="SimSun"/>
          <w:sz w:val="22"/>
          <w:szCs w:val="22"/>
          <w:spacing w:val="12"/>
        </w:rPr>
        <w:t xml:space="preserve"> </w:t>
      </w:r>
      <w:r>
        <w:rPr>
          <w:rFonts w:ascii="SimSun" w:hAnsi="SimSun" w:eastAsia="SimSun" w:cs="SimSun"/>
          <w:sz w:val="22"/>
          <w:szCs w:val="22"/>
          <w:spacing w:val="-9"/>
        </w:rPr>
        <w:t>以分析组织执行的数据质量战略方针、过程和指南的适用性，针对不适用的方针、</w:t>
      </w:r>
      <w:r>
        <w:rPr>
          <w:rFonts w:ascii="SimSun" w:hAnsi="SimSun" w:eastAsia="SimSun" w:cs="SimSun"/>
          <w:sz w:val="22"/>
          <w:szCs w:val="22"/>
          <w:spacing w:val="3"/>
        </w:rPr>
        <w:t xml:space="preserve"> </w:t>
      </w:r>
      <w:r>
        <w:rPr>
          <w:rFonts w:ascii="SimSun" w:hAnsi="SimSun" w:eastAsia="SimSun" w:cs="SimSun"/>
          <w:sz w:val="22"/>
          <w:szCs w:val="22"/>
          <w:spacing w:val="-9"/>
        </w:rPr>
        <w:t>过程和实践指南，可以依据度量项的分析结果，进行调整和修改。</w:t>
      </w:r>
    </w:p>
    <w:p>
      <w:pPr>
        <w:ind w:left="652"/>
        <w:spacing w:before="55" w:line="221" w:lineRule="auto"/>
        <w:rPr>
          <w:rFonts w:ascii="SimHei" w:hAnsi="SimHei" w:eastAsia="SimHei" w:cs="SimHei"/>
          <w:sz w:val="22"/>
          <w:szCs w:val="22"/>
        </w:rPr>
      </w:pPr>
      <w:r>
        <w:rPr>
          <w:rFonts w:ascii="SimSun" w:hAnsi="SimSun" w:eastAsia="SimSun" w:cs="SimSun"/>
          <w:sz w:val="22"/>
          <w:szCs w:val="22"/>
          <w:b/>
          <w:bCs/>
          <w:spacing w:val="-15"/>
        </w:rPr>
        <w:t>Level</w:t>
      </w:r>
      <w:r>
        <w:rPr>
          <w:rFonts w:ascii="SimSun" w:hAnsi="SimSun" w:eastAsia="SimSun" w:cs="SimSun"/>
          <w:sz w:val="22"/>
          <w:szCs w:val="22"/>
          <w:spacing w:val="-15"/>
        </w:rPr>
        <w:t xml:space="preserve"> </w:t>
      </w:r>
      <w:r>
        <w:rPr>
          <w:rFonts w:ascii="SimSun" w:hAnsi="SimSun" w:eastAsia="SimSun" w:cs="SimSun"/>
          <w:sz w:val="22"/>
          <w:szCs w:val="22"/>
          <w:b/>
          <w:bCs/>
          <w:spacing w:val="-15"/>
        </w:rPr>
        <w:t>5:</w:t>
      </w:r>
      <w:r>
        <w:rPr>
          <w:rFonts w:ascii="SimSun" w:hAnsi="SimSun" w:eastAsia="SimSun" w:cs="SimSun"/>
          <w:sz w:val="22"/>
          <w:szCs w:val="22"/>
          <w:spacing w:val="-15"/>
        </w:rPr>
        <w:t xml:space="preserve"> </w:t>
      </w:r>
      <w:r>
        <w:rPr>
          <w:rFonts w:ascii="SimHei" w:hAnsi="SimHei" w:eastAsia="SimHei" w:cs="SimHei"/>
          <w:sz w:val="22"/>
          <w:szCs w:val="22"/>
          <w:b/>
          <w:bCs/>
          <w:spacing w:val="-15"/>
        </w:rPr>
        <w:t>优化级</w:t>
      </w:r>
    </w:p>
    <w:p>
      <w:pPr>
        <w:spacing w:line="137"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25"/>
        <w:gridCol w:w="3760"/>
      </w:tblGrid>
      <w:tr>
        <w:trPr>
          <w:trHeight w:val="311" w:hRule="atLeast"/>
        </w:trPr>
        <w:tc>
          <w:tcPr>
            <w:tcW w:w="714" w:type="dxa"/>
            <w:vAlign w:val="top"/>
          </w:tcPr>
          <w:p>
            <w:pPr>
              <w:pStyle w:val="TableText"/>
              <w:ind w:left="195"/>
              <w:spacing w:before="81" w:line="221" w:lineRule="auto"/>
              <w:rPr/>
            </w:pPr>
            <w:r>
              <w:rPr>
                <w:spacing w:val="-2"/>
              </w:rPr>
              <w:t>序号</w:t>
            </w:r>
          </w:p>
        </w:tc>
        <w:tc>
          <w:tcPr>
            <w:tcW w:w="312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6"/>
              <w:spacing w:before="81" w:line="220" w:lineRule="auto"/>
              <w:rPr/>
            </w:pPr>
            <w:r>
              <w:rPr>
                <w:spacing w:val="-5"/>
              </w:rPr>
              <w:t>实</w:t>
            </w:r>
            <w:r>
              <w:rPr>
                <w:spacing w:val="1"/>
              </w:rPr>
              <w:t xml:space="preserve">   </w:t>
            </w:r>
            <w:r>
              <w:rPr>
                <w:spacing w:val="-5"/>
              </w:rPr>
              <w:t>例</w:t>
            </w:r>
          </w:p>
        </w:tc>
      </w:tr>
      <w:tr>
        <w:trPr>
          <w:trHeight w:val="568" w:hRule="atLeast"/>
        </w:trPr>
        <w:tc>
          <w:tcPr>
            <w:tcW w:w="714" w:type="dxa"/>
            <w:vAlign w:val="top"/>
          </w:tcPr>
          <w:p>
            <w:pPr>
              <w:pStyle w:val="TableText"/>
              <w:ind w:left="235"/>
              <w:spacing w:before="247" w:line="184" w:lineRule="auto"/>
              <w:rPr/>
            </w:pPr>
            <w:r>
              <w:rPr>
                <w:spacing w:val="-2"/>
              </w:rPr>
              <w:t>5.1</w:t>
            </w:r>
          </w:p>
        </w:tc>
        <w:tc>
          <w:tcPr>
            <w:tcW w:w="3125" w:type="dxa"/>
            <w:vAlign w:val="top"/>
          </w:tcPr>
          <w:p>
            <w:pPr>
              <w:pStyle w:val="TableText"/>
              <w:ind w:left="120" w:right="138" w:firstLine="149"/>
              <w:spacing w:before="90" w:line="282" w:lineRule="auto"/>
              <w:rPr/>
            </w:pPr>
            <w:r>
              <w:rPr/>
              <w:t>由高管对数据质量方案的关键节点和度量</w:t>
            </w:r>
            <w:r>
              <w:rPr>
                <w:spacing w:val="4"/>
              </w:rPr>
              <w:t xml:space="preserve"> </w:t>
            </w:r>
            <w:r>
              <w:rPr>
                <w:spacing w:val="-1"/>
              </w:rPr>
              <w:t>项进行定期评审，并实施持续性的改进</w:t>
            </w:r>
          </w:p>
        </w:tc>
        <w:tc>
          <w:tcPr>
            <w:tcW w:w="3760" w:type="dxa"/>
            <w:vAlign w:val="top"/>
          </w:tcPr>
          <w:p>
            <w:pPr>
              <w:pStyle w:val="TableText"/>
              <w:ind w:left="266"/>
              <w:spacing w:before="90" w:line="219" w:lineRule="auto"/>
              <w:rPr/>
            </w:pPr>
            <w:r>
              <w:rPr/>
              <w:t>●数据质量方案的评审记录</w:t>
            </w:r>
          </w:p>
          <w:p>
            <w:pPr>
              <w:pStyle w:val="TableText"/>
              <w:ind w:left="266"/>
              <w:spacing w:before="102" w:line="219" w:lineRule="auto"/>
              <w:rPr/>
            </w:pPr>
            <w:r>
              <w:rPr/>
              <w:t>●质量方案的持续性改进记录</w:t>
            </w:r>
          </w:p>
        </w:tc>
      </w:tr>
    </w:tbl>
    <w:p>
      <w:pPr>
        <w:ind w:left="539"/>
        <w:spacing w:before="19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9" w:right="17" w:firstLine="400"/>
        <w:spacing w:before="57" w:line="252" w:lineRule="auto"/>
        <w:rPr>
          <w:rFonts w:ascii="SimSun" w:hAnsi="SimSun" w:eastAsia="SimSun" w:cs="SimSun"/>
          <w:sz w:val="22"/>
          <w:szCs w:val="22"/>
        </w:rPr>
      </w:pPr>
      <w:r>
        <w:rPr>
          <w:rFonts w:ascii="SimSun" w:hAnsi="SimSun" w:eastAsia="SimSun" w:cs="SimSun"/>
          <w:sz w:val="22"/>
          <w:szCs w:val="22"/>
          <w:spacing w:val="-8"/>
        </w:rPr>
        <w:t>此处所指的度量项，并非一些项目级的度量项，诸如代码缺陷率、数据相关性</w:t>
      </w:r>
      <w:r>
        <w:rPr>
          <w:rFonts w:ascii="SimSun" w:hAnsi="SimSun" w:eastAsia="SimSun" w:cs="SimSun"/>
          <w:sz w:val="22"/>
          <w:szCs w:val="22"/>
        </w:rPr>
        <w:t xml:space="preserve"> </w:t>
      </w:r>
      <w:r>
        <w:rPr>
          <w:rFonts w:ascii="SimSun" w:hAnsi="SimSun" w:eastAsia="SimSun" w:cs="SimSun"/>
          <w:sz w:val="22"/>
          <w:szCs w:val="22"/>
          <w:spacing w:val="-8"/>
        </w:rPr>
        <w:t>等。而应针对数据质量战略，围绕数据质量的目标提供相应的数</w:t>
      </w:r>
      <w:r>
        <w:rPr>
          <w:rFonts w:ascii="SimSun" w:hAnsi="SimSun" w:eastAsia="SimSun" w:cs="SimSun"/>
          <w:sz w:val="22"/>
          <w:szCs w:val="22"/>
          <w:spacing w:val="-9"/>
        </w:rPr>
        <w:t>据度量项，如可用</w:t>
      </w:r>
      <w:r>
        <w:rPr>
          <w:rFonts w:ascii="SimSun" w:hAnsi="SimSun" w:eastAsia="SimSun" w:cs="SimSun"/>
          <w:sz w:val="22"/>
          <w:szCs w:val="22"/>
        </w:rPr>
        <w:t xml:space="preserve"> </w:t>
      </w:r>
      <w:r>
        <w:rPr>
          <w:rFonts w:ascii="SimSun" w:hAnsi="SimSun" w:eastAsia="SimSun" w:cs="SimSun"/>
          <w:sz w:val="22"/>
          <w:szCs w:val="22"/>
          <w:spacing w:val="-8"/>
        </w:rPr>
        <w:t>性、准确性、完整性等度量项。结合组织制订的数据质量方案关键节</w:t>
      </w:r>
      <w:r>
        <w:rPr>
          <w:rFonts w:ascii="SimSun" w:hAnsi="SimSun" w:eastAsia="SimSun" w:cs="SimSun"/>
          <w:sz w:val="22"/>
          <w:szCs w:val="22"/>
          <w:spacing w:val="-9"/>
        </w:rPr>
        <w:t>点，提交给组</w:t>
      </w:r>
      <w:r>
        <w:rPr>
          <w:rFonts w:ascii="SimSun" w:hAnsi="SimSun" w:eastAsia="SimSun" w:cs="SimSun"/>
          <w:sz w:val="22"/>
          <w:szCs w:val="22"/>
        </w:rPr>
        <w:t xml:space="preserve"> </w:t>
      </w:r>
      <w:r>
        <w:rPr>
          <w:rFonts w:ascii="SimSun" w:hAnsi="SimSun" w:eastAsia="SimSun" w:cs="SimSun"/>
          <w:sz w:val="22"/>
          <w:szCs w:val="22"/>
          <w:spacing w:val="-9"/>
        </w:rPr>
        <w:t>织高管进行评审，识别可以改进的策略和措施。组织高管评审，能够体现高层对数</w:t>
      </w:r>
      <w:r>
        <w:rPr>
          <w:rFonts w:ascii="SimSun" w:hAnsi="SimSun" w:eastAsia="SimSun" w:cs="SimSun"/>
          <w:sz w:val="22"/>
          <w:szCs w:val="22"/>
          <w:spacing w:val="12"/>
        </w:rPr>
        <w:t xml:space="preserve"> </w:t>
      </w:r>
      <w:r>
        <w:rPr>
          <w:rFonts w:ascii="SimSun" w:hAnsi="SimSun" w:eastAsia="SimSun" w:cs="SimSun"/>
          <w:sz w:val="22"/>
          <w:szCs w:val="22"/>
          <w:spacing w:val="-9"/>
        </w:rPr>
        <w:t>据质量工作的支持，提供所需的工作资源，保证数据质量实施的</w:t>
      </w:r>
      <w:r>
        <w:rPr>
          <w:rFonts w:ascii="SimSun" w:hAnsi="SimSun" w:eastAsia="SimSun" w:cs="SimSun"/>
          <w:sz w:val="22"/>
          <w:szCs w:val="22"/>
          <w:spacing w:val="-10"/>
        </w:rPr>
        <w:t>可持续性。</w:t>
      </w:r>
    </w:p>
    <w:p>
      <w:pPr>
        <w:spacing w:line="126"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30"/>
      </w:tblGrid>
      <w:tr>
        <w:trPr>
          <w:trHeight w:val="311" w:hRule="atLeast"/>
        </w:trPr>
        <w:tc>
          <w:tcPr>
            <w:tcW w:w="724" w:type="dxa"/>
            <w:vAlign w:val="top"/>
          </w:tcPr>
          <w:p>
            <w:pPr>
              <w:pStyle w:val="TableText"/>
              <w:ind w:left="205"/>
              <w:spacing w:before="81" w:line="221" w:lineRule="auto"/>
              <w:rPr/>
            </w:pPr>
            <w:r>
              <w:rPr>
                <w:spacing w:val="-2"/>
              </w:rPr>
              <w:t>序号</w:t>
            </w:r>
          </w:p>
        </w:tc>
        <w:tc>
          <w:tcPr>
            <w:tcW w:w="314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559" w:hRule="atLeast"/>
        </w:trPr>
        <w:tc>
          <w:tcPr>
            <w:tcW w:w="724" w:type="dxa"/>
            <w:vAlign w:val="top"/>
          </w:tcPr>
          <w:p>
            <w:pPr>
              <w:pStyle w:val="TableText"/>
              <w:ind w:left="235"/>
              <w:spacing w:before="248" w:line="183" w:lineRule="auto"/>
              <w:rPr/>
            </w:pPr>
            <w:r>
              <w:rPr>
                <w:spacing w:val="-2"/>
              </w:rPr>
              <w:t>5.2</w:t>
            </w:r>
          </w:p>
        </w:tc>
        <w:tc>
          <w:tcPr>
            <w:tcW w:w="3145" w:type="dxa"/>
            <w:vAlign w:val="top"/>
          </w:tcPr>
          <w:p>
            <w:pPr>
              <w:pStyle w:val="TableText"/>
              <w:ind w:left="110" w:right="171" w:firstLine="160"/>
              <w:spacing w:before="69" w:line="290" w:lineRule="auto"/>
              <w:rPr/>
            </w:pPr>
            <w:r>
              <w:rPr>
                <w:spacing w:val="-1"/>
              </w:rPr>
              <w:t>组织与同行共享提高数据质量的最佳实践</w:t>
            </w:r>
            <w:r>
              <w:rPr>
                <w:spacing w:val="9"/>
              </w:rPr>
              <w:t xml:space="preserve"> </w:t>
            </w:r>
            <w:r>
              <w:rPr>
                <w:spacing w:val="-2"/>
              </w:rPr>
              <w:t>与成功方法</w:t>
            </w:r>
          </w:p>
        </w:tc>
        <w:tc>
          <w:tcPr>
            <w:tcW w:w="3730" w:type="dxa"/>
            <w:vAlign w:val="top"/>
          </w:tcPr>
          <w:p>
            <w:pPr>
              <w:pStyle w:val="TableText"/>
              <w:ind w:left="106" w:right="75" w:firstLine="159"/>
              <w:spacing w:before="78" w:line="282" w:lineRule="auto"/>
              <w:rPr/>
            </w:pPr>
            <w:r>
              <w:rPr/>
              <w:t>●交流数据管理策略最佳实践的展示。(白皮书或文</w:t>
            </w:r>
            <w:r>
              <w:rPr>
                <w:spacing w:val="2"/>
              </w:rPr>
              <w:t xml:space="preserve"> </w:t>
            </w:r>
            <w:r>
              <w:rPr>
                <w:spacing w:val="-6"/>
              </w:rPr>
              <w:t>章</w:t>
            </w:r>
            <w:r>
              <w:rPr>
                <w:spacing w:val="-30"/>
              </w:rPr>
              <w:t xml:space="preserve"> </w:t>
            </w:r>
            <w:r>
              <w:rPr>
                <w:spacing w:val="-6"/>
              </w:rPr>
              <w:t>)</w:t>
            </w:r>
          </w:p>
        </w:tc>
      </w:tr>
    </w:tbl>
    <w:p>
      <w:pPr>
        <w:ind w:left="53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9" w:right="34" w:firstLine="400"/>
        <w:spacing w:before="49" w:line="244" w:lineRule="auto"/>
        <w:rPr>
          <w:rFonts w:ascii="SimSun" w:hAnsi="SimSun" w:eastAsia="SimSun" w:cs="SimSun"/>
          <w:sz w:val="22"/>
          <w:szCs w:val="22"/>
        </w:rPr>
      </w:pPr>
      <w:r>
        <w:rPr>
          <w:rFonts w:ascii="SimSun" w:hAnsi="SimSun" w:eastAsia="SimSun" w:cs="SimSun"/>
          <w:sz w:val="22"/>
          <w:szCs w:val="22"/>
          <w:spacing w:val="-2"/>
        </w:rPr>
        <w:t>标准的实施(包括质量标准和架构标准)对达成质量目标是十分重要的。标准</w:t>
      </w:r>
      <w:r>
        <w:rPr>
          <w:rFonts w:ascii="SimSun" w:hAnsi="SimSun" w:eastAsia="SimSun" w:cs="SimSun"/>
          <w:sz w:val="22"/>
          <w:szCs w:val="22"/>
          <w:spacing w:val="17"/>
        </w:rPr>
        <w:t xml:space="preserve"> </w:t>
      </w:r>
      <w:r>
        <w:rPr>
          <w:rFonts w:ascii="SimSun" w:hAnsi="SimSun" w:eastAsia="SimSun" w:cs="SimSun"/>
          <w:sz w:val="22"/>
          <w:szCs w:val="22"/>
          <w:spacing w:val="-18"/>
        </w:rPr>
        <w:t>包含以下内容：</w:t>
      </w:r>
    </w:p>
    <w:p>
      <w:pPr>
        <w:ind w:left="649"/>
        <w:spacing w:before="59" w:line="219" w:lineRule="auto"/>
        <w:rPr>
          <w:rFonts w:ascii="SimSun" w:hAnsi="SimSun" w:eastAsia="SimSun" w:cs="SimSun"/>
          <w:sz w:val="22"/>
          <w:szCs w:val="22"/>
        </w:rPr>
      </w:pPr>
      <w:r>
        <w:rPr>
          <w:rFonts w:ascii="SimSun" w:hAnsi="SimSun" w:eastAsia="SimSun" w:cs="SimSun"/>
          <w:sz w:val="22"/>
          <w:szCs w:val="22"/>
          <w:spacing w:val="-9"/>
        </w:rPr>
        <w:t>●数据的架构标准</w:t>
      </w:r>
    </w:p>
    <w:p>
      <w:pPr>
        <w:ind w:left="649"/>
        <w:spacing w:before="23" w:line="227" w:lineRule="auto"/>
        <w:rPr>
          <w:rFonts w:ascii="Times New Roman" w:hAnsi="Times New Roman" w:eastAsia="Times New Roman" w:cs="Times New Roman"/>
          <w:sz w:val="22"/>
          <w:szCs w:val="22"/>
        </w:rPr>
      </w:pPr>
      <w:r>
        <w:rPr>
          <w:rFonts w:ascii="STXingkai" w:hAnsi="STXingkai" w:eastAsia="STXingkai" w:cs="STXingkai"/>
          <w:sz w:val="22"/>
          <w:szCs w:val="22"/>
          <w:spacing w:val="-1"/>
        </w:rPr>
        <w:t>●</w:t>
      </w:r>
      <w:r>
        <w:rPr>
          <w:rFonts w:ascii="STXingkai" w:hAnsi="STXingkai" w:eastAsia="STXingkai" w:cs="STXingkai"/>
          <w:sz w:val="22"/>
          <w:szCs w:val="22"/>
          <w:spacing w:val="44"/>
        </w:rPr>
        <w:t xml:space="preserve"> </w:t>
      </w:r>
      <w:r>
        <w:rPr>
          <w:rFonts w:ascii="SimSun" w:hAnsi="SimSun" w:eastAsia="SimSun" w:cs="SimSun"/>
          <w:sz w:val="22"/>
          <w:szCs w:val="22"/>
          <w:spacing w:val="-1"/>
        </w:rPr>
        <w:t>数据的交换标准(例如XML</w:t>
      </w:r>
      <w:r>
        <w:rPr>
          <w:rFonts w:ascii="SimSun" w:hAnsi="SimSun" w:eastAsia="SimSun" w:cs="SimSun"/>
          <w:sz w:val="22"/>
          <w:szCs w:val="22"/>
          <w:spacing w:val="66"/>
        </w:rPr>
        <w:t xml:space="preserve"> </w:t>
      </w:r>
      <w:r>
        <w:rPr>
          <w:rFonts w:ascii="Times New Roman" w:hAnsi="Times New Roman" w:eastAsia="Times New Roman" w:cs="Times New Roman"/>
          <w:sz w:val="22"/>
          <w:szCs w:val="22"/>
          <w:spacing w:val="-1"/>
        </w:rPr>
        <w:t>)</w:t>
      </w:r>
    </w:p>
    <w:p>
      <w:pPr>
        <w:ind w:left="649"/>
        <w:spacing w:before="32" w:line="220" w:lineRule="auto"/>
        <w:rPr>
          <w:rFonts w:ascii="SimSun" w:hAnsi="SimSun" w:eastAsia="SimSun" w:cs="SimSun"/>
          <w:sz w:val="22"/>
          <w:szCs w:val="22"/>
        </w:rPr>
      </w:pPr>
      <w:r>
        <w:rPr>
          <w:rFonts w:ascii="SimSun" w:hAnsi="SimSun" w:eastAsia="SimSun" w:cs="SimSun"/>
          <w:sz w:val="22"/>
          <w:szCs w:val="22"/>
          <w:spacing w:val="-6"/>
        </w:rPr>
        <w:t>●针对质量规则的性能度量项</w:t>
      </w:r>
    </w:p>
    <w:p>
      <w:pPr>
        <w:ind w:left="649"/>
        <w:spacing w:before="57" w:line="219" w:lineRule="auto"/>
        <w:rPr>
          <w:rFonts w:ascii="SimSun" w:hAnsi="SimSun" w:eastAsia="SimSun" w:cs="SimSun"/>
          <w:sz w:val="22"/>
          <w:szCs w:val="22"/>
        </w:rPr>
      </w:pPr>
      <w:r>
        <w:rPr>
          <w:rFonts w:ascii="SimSun" w:hAnsi="SimSun" w:eastAsia="SimSun" w:cs="SimSun"/>
          <w:sz w:val="22"/>
          <w:szCs w:val="22"/>
          <w:spacing w:val="-4"/>
        </w:rPr>
        <w:t>●数据质量共享服务</w:t>
      </w:r>
    </w:p>
    <w:p>
      <w:pPr>
        <w:ind w:left="649"/>
        <w:spacing w:before="48" w:line="219" w:lineRule="auto"/>
        <w:rPr>
          <w:rFonts w:ascii="SimSun" w:hAnsi="SimSun" w:eastAsia="SimSun" w:cs="SimSun"/>
          <w:sz w:val="22"/>
          <w:szCs w:val="22"/>
        </w:rPr>
      </w:pPr>
      <w:r>
        <w:rPr>
          <w:rFonts w:ascii="SimSun" w:hAnsi="SimSun" w:eastAsia="SimSun" w:cs="SimSun"/>
          <w:sz w:val="22"/>
          <w:szCs w:val="22"/>
          <w:spacing w:val="-4"/>
        </w:rPr>
        <w:t>●本体和分类学</w:t>
      </w:r>
    </w:p>
    <w:p>
      <w:pPr>
        <w:ind w:left="653"/>
        <w:spacing w:before="183" w:line="224" w:lineRule="auto"/>
        <w:outlineLvl w:val="4"/>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9"/>
        </w:rPr>
        <w:t xml:space="preserve"> </w:t>
      </w:r>
      <w:r>
        <w:rPr>
          <w:rFonts w:ascii="YouYuan" w:hAnsi="YouYuan" w:eastAsia="YouYuan" w:cs="YouYuan"/>
          <w:sz w:val="22"/>
          <w:szCs w:val="22"/>
          <w:b/>
          <w:bCs/>
          <w:spacing w:val="1"/>
        </w:rPr>
        <w:t>实施案例</w:t>
      </w:r>
    </w:p>
    <w:p>
      <w:pPr>
        <w:ind w:left="649"/>
        <w:spacing w:before="231" w:line="227" w:lineRule="auto"/>
        <w:rPr>
          <w:rFonts w:ascii="KaiTi" w:hAnsi="KaiTi" w:eastAsia="KaiTi" w:cs="KaiTi"/>
          <w:sz w:val="22"/>
          <w:szCs w:val="22"/>
        </w:rPr>
      </w:pPr>
      <w:r>
        <w:rPr>
          <w:rFonts w:ascii="KaiTi" w:hAnsi="KaiTi" w:eastAsia="KaiTi" w:cs="KaiTi"/>
          <w:sz w:val="22"/>
          <w:szCs w:val="22"/>
          <w:spacing w:val="1"/>
        </w:rPr>
        <w:t>1)文件名称列表</w:t>
      </w:r>
    </w:p>
    <w:p>
      <w:pPr>
        <w:ind w:left="649"/>
        <w:spacing w:before="29" w:line="320" w:lineRule="exact"/>
        <w:rPr>
          <w:rFonts w:ascii="SimSun" w:hAnsi="SimSun" w:eastAsia="SimSun" w:cs="SimSun"/>
          <w:sz w:val="22"/>
          <w:szCs w:val="22"/>
        </w:rPr>
      </w:pPr>
      <w:r>
        <w:rPr>
          <w:rFonts w:ascii="SimSun" w:hAnsi="SimSun" w:eastAsia="SimSun" w:cs="SimSun"/>
          <w:sz w:val="22"/>
          <w:szCs w:val="22"/>
          <w:spacing w:val="-16"/>
          <w:position w:val="7"/>
        </w:rPr>
        <w:t>●《数据质量战略文件》</w:t>
      </w:r>
    </w:p>
    <w:p>
      <w:pPr>
        <w:ind w:left="649"/>
        <w:spacing w:line="219" w:lineRule="auto"/>
        <w:rPr>
          <w:rFonts w:ascii="SimSun" w:hAnsi="SimSun" w:eastAsia="SimSun" w:cs="SimSun"/>
          <w:sz w:val="22"/>
          <w:szCs w:val="22"/>
        </w:rPr>
      </w:pPr>
      <w:r>
        <w:rPr>
          <w:rFonts w:ascii="SimSun" w:hAnsi="SimSun" w:eastAsia="SimSun" w:cs="SimSun"/>
          <w:sz w:val="22"/>
          <w:szCs w:val="22"/>
          <w:spacing w:val="-16"/>
        </w:rPr>
        <w:t>●《数据质量管理手册》</w:t>
      </w:r>
    </w:p>
    <w:p>
      <w:pPr>
        <w:ind w:left="649"/>
        <w:spacing w:before="38" w:line="227" w:lineRule="auto"/>
        <w:rPr>
          <w:rFonts w:ascii="SimSun" w:hAnsi="SimSun" w:eastAsia="SimSun" w:cs="SimSun"/>
          <w:sz w:val="22"/>
          <w:szCs w:val="22"/>
        </w:rPr>
      </w:pPr>
      <w:r>
        <w:rPr>
          <w:rFonts w:ascii="YouYuan" w:hAnsi="YouYuan" w:eastAsia="YouYuan" w:cs="YouYuan"/>
          <w:sz w:val="22"/>
          <w:szCs w:val="22"/>
          <w:spacing w:val="-18"/>
        </w:rPr>
        <w:t>●《数</w:t>
      </w:r>
      <w:r>
        <w:rPr>
          <w:rFonts w:ascii="SimSun" w:hAnsi="SimSun" w:eastAsia="SimSun" w:cs="SimSun"/>
          <w:sz w:val="22"/>
          <w:szCs w:val="22"/>
          <w:spacing w:val="-18"/>
        </w:rPr>
        <w:t>据质量规则库》</w:t>
      </w:r>
    </w:p>
    <w:p>
      <w:pPr>
        <w:ind w:left="649"/>
        <w:spacing w:before="69" w:line="227" w:lineRule="auto"/>
        <w:rPr>
          <w:rFonts w:ascii="KaiTi" w:hAnsi="KaiTi" w:eastAsia="KaiTi" w:cs="KaiTi"/>
          <w:sz w:val="22"/>
          <w:szCs w:val="22"/>
        </w:rPr>
      </w:pPr>
      <w:r>
        <w:rPr>
          <w:rFonts w:ascii="KaiTi" w:hAnsi="KaiTi" w:eastAsia="KaiTi" w:cs="KaiTi"/>
          <w:sz w:val="22"/>
          <w:szCs w:val="22"/>
          <w:spacing w:val="5"/>
        </w:rPr>
        <w:t>2)记录文件列表</w:t>
      </w:r>
    </w:p>
    <w:p>
      <w:pPr>
        <w:ind w:left="649"/>
        <w:spacing w:before="30" w:line="219" w:lineRule="auto"/>
        <w:rPr>
          <w:rFonts w:ascii="SimSun" w:hAnsi="SimSun" w:eastAsia="SimSun" w:cs="SimSun"/>
          <w:sz w:val="22"/>
          <w:szCs w:val="22"/>
        </w:rPr>
      </w:pPr>
      <w:r>
        <w:rPr>
          <w:rFonts w:ascii="SimSun" w:hAnsi="SimSun" w:eastAsia="SimSun" w:cs="SimSun"/>
          <w:sz w:val="22"/>
          <w:szCs w:val="22"/>
          <w:spacing w:val="-15"/>
        </w:rPr>
        <w:t>●《数据质量战略评审会议纪要》</w:t>
      </w:r>
    </w:p>
    <w:p>
      <w:pPr>
        <w:spacing w:line="219" w:lineRule="auto"/>
        <w:sectPr>
          <w:footerReference w:type="default" r:id="rId257"/>
          <w:pgSz w:w="8870" w:h="13400"/>
          <w:pgMar w:top="400" w:right="545" w:bottom="465" w:left="430" w:header="0" w:footer="246" w:gutter="0"/>
        </w:sectPr>
        <w:rPr>
          <w:rFonts w:ascii="SimSun" w:hAnsi="SimSun" w:eastAsia="SimSun" w:cs="SimSun"/>
          <w:sz w:val="22"/>
          <w:szCs w:val="22"/>
        </w:rPr>
      </w:pPr>
    </w:p>
    <w:p>
      <w:pPr>
        <w:ind w:left="5533"/>
        <w:spacing w:before="204" w:line="219" w:lineRule="auto"/>
        <w:rPr>
          <w:rFonts w:ascii="SimSun" w:hAnsi="SimSun" w:eastAsia="SimSun" w:cs="SimSun"/>
          <w:sz w:val="21"/>
          <w:szCs w:val="21"/>
        </w:rPr>
      </w:pPr>
      <w:r>
        <w:pict>
          <v:rect id="_x0000_s374" style="position:absolute;margin-left:407.501pt;margin-top:107.997pt;mso-position-vertical-relative:page;mso-position-horizontal-relative:page;width:0.5pt;height:379.05pt;z-index:254806016;" o:allowincell="f" fillcolor="#000000" filled="true" stroked="false"/>
        </w:pict>
      </w:r>
      <w:r>
        <w:drawing>
          <wp:anchor distT="0" distB="0" distL="0" distR="0" simplePos="0" relativeHeight="254804992" behindDoc="0" locked="0" layoutInCell="0" allowOverlap="1">
            <wp:simplePos x="0" y="0"/>
            <wp:positionH relativeFrom="page">
              <wp:posOffset>292098</wp:posOffset>
            </wp:positionH>
            <wp:positionV relativeFrom="page">
              <wp:posOffset>1384301</wp:posOffset>
            </wp:positionV>
            <wp:extent cx="4889472" cy="6350"/>
            <wp:effectExtent l="0" t="0" r="0" b="0"/>
            <wp:wrapNone/>
            <wp:docPr id="186" name="IM 186"/>
            <wp:cNvGraphicFramePr/>
            <a:graphic>
              <a:graphicData uri="http://schemas.openxmlformats.org/drawingml/2006/picture">
                <pic:pic>
                  <pic:nvPicPr>
                    <pic:cNvPr id="186" name="IM 186"/>
                    <pic:cNvPicPr/>
                  </pic:nvPicPr>
                  <pic:blipFill>
                    <a:blip r:embed="rId259"/>
                    <a:stretch>
                      <a:fillRect/>
                    </a:stretch>
                  </pic:blipFill>
                  <pic:spPr>
                    <a:xfrm rot="0">
                      <a:off x="0" y="0"/>
                      <a:ext cx="4889472" cy="6350"/>
                    </a:xfrm>
                    <a:prstGeom prst="rect">
                      <a:avLst/>
                    </a:prstGeom>
                  </pic:spPr>
                </pic:pic>
              </a:graphicData>
            </a:graphic>
          </wp:anchor>
        </w:drawing>
      </w:r>
      <w:bookmarkStart w:name="bookmark55" w:id="50"/>
      <w:bookmarkEnd w:id="50"/>
      <w:r>
        <w:rPr>
          <w:rFonts w:ascii="SimSun" w:hAnsi="SimSun" w:eastAsia="SimSun" w:cs="SimSun"/>
          <w:sz w:val="21"/>
          <w:szCs w:val="21"/>
          <w:b/>
          <w:bCs/>
          <w:spacing w:val="-3"/>
        </w:rPr>
        <w:t>第6章■云端数据质量■</w:t>
      </w:r>
    </w:p>
    <w:p>
      <w:pPr>
        <w:pStyle w:val="BodyText"/>
        <w:spacing w:line="255" w:lineRule="auto"/>
        <w:rPr/>
      </w:pPr>
      <w:r/>
    </w:p>
    <w:p>
      <w:pPr>
        <w:ind w:left="440"/>
        <w:spacing w:before="68" w:line="219" w:lineRule="auto"/>
        <w:rPr>
          <w:rFonts w:ascii="SimSun" w:hAnsi="SimSun" w:eastAsia="SimSun" w:cs="SimSun"/>
          <w:sz w:val="21"/>
          <w:szCs w:val="21"/>
        </w:rPr>
      </w:pPr>
      <w:r>
        <w:rPr>
          <w:rFonts w:ascii="SimSun" w:hAnsi="SimSun" w:eastAsia="SimSun" w:cs="SimSun"/>
          <w:sz w:val="21"/>
          <w:szCs w:val="21"/>
          <w:spacing w:val="-6"/>
        </w:rPr>
        <w:t>●《数据质量目标测量记录》</w:t>
      </w:r>
    </w:p>
    <w:p>
      <w:pPr>
        <w:ind w:left="440"/>
        <w:spacing w:before="61" w:line="310" w:lineRule="exact"/>
        <w:rPr>
          <w:rFonts w:ascii="SimSun" w:hAnsi="SimSun" w:eastAsia="SimSun" w:cs="SimSun"/>
          <w:sz w:val="21"/>
          <w:szCs w:val="21"/>
        </w:rPr>
      </w:pPr>
      <w:r>
        <w:rPr>
          <w:rFonts w:ascii="SimSun" w:hAnsi="SimSun" w:eastAsia="SimSun" w:cs="SimSun"/>
          <w:sz w:val="21"/>
          <w:szCs w:val="21"/>
          <w:spacing w:val="-5"/>
          <w:position w:val="7"/>
        </w:rPr>
        <w:t>●《质量目标达成情况评审记录》</w:t>
      </w:r>
    </w:p>
    <w:p>
      <w:pPr>
        <w:ind w:left="440"/>
        <w:spacing w:before="1" w:line="227" w:lineRule="auto"/>
        <w:rPr>
          <w:rFonts w:ascii="KaiTi" w:hAnsi="KaiTi" w:eastAsia="KaiTi" w:cs="KaiTi"/>
          <w:sz w:val="21"/>
          <w:szCs w:val="21"/>
        </w:rPr>
      </w:pPr>
      <w:r>
        <w:rPr>
          <w:rFonts w:ascii="KaiTi" w:hAnsi="KaiTi" w:eastAsia="KaiTi" w:cs="KaiTi"/>
          <w:sz w:val="21"/>
          <w:szCs w:val="21"/>
          <w:spacing w:val="9"/>
        </w:rPr>
        <w:t>3)实施案例模板</w:t>
      </w:r>
    </w:p>
    <w:p>
      <w:pPr>
        <w:pStyle w:val="BodyText"/>
        <w:spacing w:line="257" w:lineRule="auto"/>
        <w:rPr/>
      </w:pPr>
      <w:r/>
    </w:p>
    <w:p>
      <w:pPr>
        <w:ind w:left="3399"/>
        <w:spacing w:before="49" w:line="219" w:lineRule="auto"/>
        <w:rPr>
          <w:rFonts w:ascii="SimSun" w:hAnsi="SimSun" w:eastAsia="SimSun" w:cs="SimSun"/>
          <w:sz w:val="15"/>
          <w:szCs w:val="15"/>
        </w:rPr>
      </w:pPr>
      <w:r>
        <w:rPr>
          <w:rFonts w:ascii="SimSun" w:hAnsi="SimSun" w:eastAsia="SimSun" w:cs="SimSun"/>
          <w:sz w:val="15"/>
          <w:szCs w:val="15"/>
          <w:spacing w:val="-1"/>
        </w:rPr>
        <w:t>数据质量战略</w:t>
      </w:r>
    </w:p>
    <w:p>
      <w:pPr>
        <w:spacing w:line="30" w:lineRule="exact"/>
        <w:rPr/>
      </w:pPr>
      <w:r/>
    </w:p>
    <w:tbl>
      <w:tblPr>
        <w:tblStyle w:val="TableNormal"/>
        <w:tblW w:w="7322" w:type="dxa"/>
        <w:tblInd w:w="2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3"/>
        <w:gridCol w:w="1997"/>
        <w:gridCol w:w="989"/>
        <w:gridCol w:w="3203"/>
      </w:tblGrid>
      <w:tr>
        <w:trPr>
          <w:trHeight w:val="324" w:hRule="atLeast"/>
        </w:trPr>
        <w:tc>
          <w:tcPr>
            <w:tcW w:w="1133" w:type="dxa"/>
            <w:vAlign w:val="top"/>
          </w:tcPr>
          <w:p>
            <w:pPr>
              <w:pStyle w:val="TableText"/>
              <w:ind w:left="234"/>
              <w:spacing w:before="80" w:line="219" w:lineRule="auto"/>
              <w:rPr>
                <w:sz w:val="16"/>
                <w:szCs w:val="16"/>
              </w:rPr>
            </w:pPr>
            <w:r>
              <w:rPr>
                <w:sz w:val="16"/>
                <w:szCs w:val="16"/>
                <w:spacing w:val="4"/>
              </w:rPr>
              <w:t>发布部门</w:t>
            </w:r>
          </w:p>
        </w:tc>
        <w:tc>
          <w:tcPr>
            <w:tcW w:w="1997" w:type="dxa"/>
            <w:vAlign w:val="top"/>
          </w:tcPr>
          <w:p>
            <w:pPr>
              <w:rPr>
                <w:rFonts w:ascii="Arial"/>
                <w:sz w:val="21"/>
              </w:rPr>
            </w:pPr>
            <w:r/>
          </w:p>
        </w:tc>
        <w:tc>
          <w:tcPr>
            <w:tcW w:w="989" w:type="dxa"/>
            <w:vAlign w:val="top"/>
          </w:tcPr>
          <w:p>
            <w:pPr>
              <w:pStyle w:val="TableText"/>
              <w:ind w:left="164"/>
              <w:spacing w:before="82" w:line="220" w:lineRule="auto"/>
              <w:rPr>
                <w:sz w:val="16"/>
                <w:szCs w:val="16"/>
              </w:rPr>
            </w:pPr>
            <w:r>
              <w:rPr>
                <w:sz w:val="16"/>
                <w:szCs w:val="16"/>
                <w:spacing w:val="3"/>
              </w:rPr>
              <w:t>生效时间</w:t>
            </w:r>
          </w:p>
        </w:tc>
        <w:tc>
          <w:tcPr>
            <w:tcW w:w="3203" w:type="dxa"/>
            <w:vAlign w:val="top"/>
          </w:tcPr>
          <w:p>
            <w:pPr>
              <w:pStyle w:val="TableText"/>
              <w:ind w:left="985"/>
              <w:spacing w:before="81" w:line="219" w:lineRule="auto"/>
              <w:rPr>
                <w:sz w:val="16"/>
                <w:szCs w:val="16"/>
              </w:rPr>
            </w:pPr>
            <w:r>
              <w:rPr>
                <w:sz w:val="16"/>
                <w:szCs w:val="16"/>
                <w:spacing w:val="2"/>
              </w:rPr>
              <w:t>2016年04月01日</w:t>
            </w:r>
          </w:p>
        </w:tc>
      </w:tr>
      <w:tr>
        <w:trPr>
          <w:trHeight w:val="309" w:hRule="atLeast"/>
        </w:trPr>
        <w:tc>
          <w:tcPr>
            <w:tcW w:w="1133" w:type="dxa"/>
            <w:vAlign w:val="top"/>
          </w:tcPr>
          <w:p>
            <w:pPr>
              <w:pStyle w:val="TableText"/>
              <w:ind w:left="314"/>
              <w:spacing w:before="78" w:line="221" w:lineRule="auto"/>
              <w:rPr>
                <w:sz w:val="16"/>
                <w:szCs w:val="16"/>
              </w:rPr>
            </w:pPr>
            <w:r>
              <w:rPr>
                <w:sz w:val="16"/>
                <w:szCs w:val="16"/>
                <w:spacing w:val="-2"/>
              </w:rPr>
              <w:t>批准人</w:t>
            </w:r>
          </w:p>
        </w:tc>
        <w:tc>
          <w:tcPr>
            <w:tcW w:w="1997" w:type="dxa"/>
            <w:vAlign w:val="top"/>
          </w:tcPr>
          <w:p>
            <w:pPr>
              <w:rPr>
                <w:rFonts w:ascii="Arial"/>
                <w:sz w:val="21"/>
              </w:rPr>
            </w:pPr>
            <w:r/>
          </w:p>
        </w:tc>
        <w:tc>
          <w:tcPr>
            <w:tcW w:w="989" w:type="dxa"/>
            <w:vAlign w:val="top"/>
          </w:tcPr>
          <w:p>
            <w:pPr>
              <w:pStyle w:val="TableText"/>
              <w:ind w:left="164"/>
              <w:spacing w:before="77" w:line="219" w:lineRule="auto"/>
              <w:rPr>
                <w:sz w:val="16"/>
                <w:szCs w:val="16"/>
              </w:rPr>
            </w:pPr>
            <w:r>
              <w:rPr>
                <w:sz w:val="16"/>
                <w:szCs w:val="16"/>
                <w:spacing w:val="-2"/>
              </w:rPr>
              <w:t>文件编号</w:t>
            </w:r>
          </w:p>
        </w:tc>
        <w:tc>
          <w:tcPr>
            <w:tcW w:w="3203" w:type="dxa"/>
            <w:vAlign w:val="top"/>
          </w:tcPr>
          <w:p>
            <w:pPr>
              <w:rPr>
                <w:rFonts w:ascii="Arial"/>
                <w:sz w:val="21"/>
              </w:rPr>
            </w:pPr>
            <w:r/>
          </w:p>
        </w:tc>
      </w:tr>
      <w:tr>
        <w:trPr>
          <w:trHeight w:val="310" w:hRule="atLeast"/>
        </w:trPr>
        <w:tc>
          <w:tcPr>
            <w:tcW w:w="1133" w:type="dxa"/>
            <w:vAlign w:val="top"/>
          </w:tcPr>
          <w:p>
            <w:pPr>
              <w:pStyle w:val="TableText"/>
              <w:ind w:left="394"/>
              <w:spacing w:before="77" w:line="219" w:lineRule="auto"/>
              <w:rPr>
                <w:sz w:val="16"/>
                <w:szCs w:val="16"/>
              </w:rPr>
            </w:pPr>
            <w:r>
              <w:rPr>
                <w:sz w:val="16"/>
                <w:szCs w:val="16"/>
                <w:spacing w:val="-2"/>
              </w:rPr>
              <w:t>介绍</w:t>
            </w:r>
          </w:p>
        </w:tc>
        <w:tc>
          <w:tcPr>
            <w:tcW w:w="6189" w:type="dxa"/>
            <w:vAlign w:val="top"/>
            <w:gridSpan w:val="3"/>
          </w:tcPr>
          <w:p>
            <w:pPr>
              <w:pStyle w:val="TableText"/>
              <w:ind w:left="261"/>
              <w:spacing w:before="78" w:line="219" w:lineRule="auto"/>
              <w:rPr>
                <w:sz w:val="16"/>
                <w:szCs w:val="16"/>
              </w:rPr>
            </w:pPr>
            <w:r>
              <w:rPr>
                <w:sz w:val="16"/>
                <w:szCs w:val="16"/>
                <w:spacing w:val="-1"/>
              </w:rPr>
              <w:t>定义数据质量战略，制订组织统一的数据质量战略文件</w:t>
            </w:r>
          </w:p>
        </w:tc>
      </w:tr>
      <w:tr>
        <w:trPr>
          <w:trHeight w:val="559" w:hRule="atLeast"/>
        </w:trPr>
        <w:tc>
          <w:tcPr>
            <w:tcW w:w="1133" w:type="dxa"/>
            <w:vAlign w:val="top"/>
          </w:tcPr>
          <w:p>
            <w:pPr>
              <w:pStyle w:val="TableText"/>
              <w:ind w:left="354"/>
              <w:spacing w:before="201" w:line="222" w:lineRule="auto"/>
              <w:rPr>
                <w:sz w:val="16"/>
                <w:szCs w:val="16"/>
              </w:rPr>
            </w:pPr>
            <w:r>
              <w:rPr>
                <w:sz w:val="16"/>
                <w:szCs w:val="16"/>
                <w:spacing w:val="-19"/>
              </w:rPr>
              <w:t>目</w:t>
            </w:r>
            <w:r>
              <w:rPr>
                <w:sz w:val="16"/>
                <w:szCs w:val="16"/>
                <w:spacing w:val="68"/>
                <w:w w:val="101"/>
              </w:rPr>
              <w:t xml:space="preserve"> </w:t>
            </w:r>
            <w:r>
              <w:rPr>
                <w:sz w:val="16"/>
                <w:szCs w:val="16"/>
                <w:spacing w:val="-19"/>
              </w:rPr>
              <w:t>的</w:t>
            </w:r>
          </w:p>
        </w:tc>
        <w:tc>
          <w:tcPr>
            <w:tcW w:w="6189" w:type="dxa"/>
            <w:vAlign w:val="top"/>
            <w:gridSpan w:val="3"/>
          </w:tcPr>
          <w:p>
            <w:pPr>
              <w:pStyle w:val="TableText"/>
              <w:ind w:left="261"/>
              <w:spacing w:before="78" w:line="271" w:lineRule="auto"/>
              <w:rPr>
                <w:sz w:val="16"/>
                <w:szCs w:val="16"/>
              </w:rPr>
            </w:pPr>
            <w:r>
              <w:rPr>
                <w:sz w:val="16"/>
                <w:szCs w:val="16"/>
                <w:spacing w:val="-4"/>
              </w:rPr>
              <w:t>该策略的目的是为了形成对数据质量的一致性理解，定义数</w:t>
            </w:r>
            <w:r>
              <w:rPr>
                <w:sz w:val="16"/>
                <w:szCs w:val="16"/>
                <w:spacing w:val="-5"/>
              </w:rPr>
              <w:t>据质量的目标和方针，规范</w:t>
            </w:r>
            <w:r>
              <w:rPr>
                <w:sz w:val="16"/>
                <w:szCs w:val="16"/>
              </w:rPr>
              <w:t xml:space="preserve"> </w:t>
            </w:r>
            <w:r>
              <w:rPr>
                <w:sz w:val="16"/>
                <w:szCs w:val="16"/>
                <w:spacing w:val="-1"/>
              </w:rPr>
              <w:t>化我们对各类数据的操作，从而提高组织各类数据的质量</w:t>
            </w:r>
          </w:p>
        </w:tc>
      </w:tr>
      <w:tr>
        <w:trPr>
          <w:trHeight w:val="319" w:hRule="atLeast"/>
        </w:trPr>
        <w:tc>
          <w:tcPr>
            <w:tcW w:w="1133" w:type="dxa"/>
            <w:vAlign w:val="top"/>
          </w:tcPr>
          <w:p>
            <w:pPr>
              <w:pStyle w:val="TableText"/>
              <w:ind w:left="234"/>
              <w:spacing w:before="80" w:line="220" w:lineRule="auto"/>
              <w:rPr>
                <w:sz w:val="16"/>
                <w:szCs w:val="16"/>
              </w:rPr>
            </w:pPr>
            <w:r>
              <w:rPr>
                <w:sz w:val="16"/>
                <w:szCs w:val="16"/>
                <w:spacing w:val="3"/>
              </w:rPr>
              <w:t>适用范围</w:t>
            </w:r>
          </w:p>
        </w:tc>
        <w:tc>
          <w:tcPr>
            <w:tcW w:w="6189" w:type="dxa"/>
            <w:vAlign w:val="top"/>
            <w:gridSpan w:val="3"/>
          </w:tcPr>
          <w:p>
            <w:pPr>
              <w:pStyle w:val="TableText"/>
              <w:ind w:left="261"/>
              <w:spacing w:before="79" w:line="219" w:lineRule="auto"/>
              <w:rPr>
                <w:sz w:val="16"/>
                <w:szCs w:val="16"/>
              </w:rPr>
            </w:pPr>
            <w:r>
              <w:rPr>
                <w:sz w:val="16"/>
                <w:szCs w:val="16"/>
                <w:spacing w:val="1"/>
              </w:rPr>
              <w:t>该策略适用于组织内所有人员</w:t>
            </w:r>
          </w:p>
        </w:tc>
      </w:tr>
      <w:tr>
        <w:trPr>
          <w:trHeight w:val="839" w:hRule="atLeast"/>
        </w:trPr>
        <w:tc>
          <w:tcPr>
            <w:tcW w:w="1133" w:type="dxa"/>
            <w:vAlign w:val="top"/>
          </w:tcPr>
          <w:p>
            <w:pPr>
              <w:spacing w:line="287" w:lineRule="auto"/>
              <w:rPr>
                <w:rFonts w:ascii="Arial"/>
                <w:sz w:val="21"/>
              </w:rPr>
            </w:pPr>
            <w:r/>
          </w:p>
          <w:p>
            <w:pPr>
              <w:pStyle w:val="TableText"/>
              <w:ind w:left="394"/>
              <w:spacing w:before="52" w:line="220" w:lineRule="auto"/>
              <w:rPr>
                <w:sz w:val="16"/>
                <w:szCs w:val="16"/>
              </w:rPr>
            </w:pPr>
            <w:r>
              <w:rPr>
                <w:sz w:val="16"/>
                <w:szCs w:val="16"/>
                <w:spacing w:val="6"/>
              </w:rPr>
              <w:t>目标</w:t>
            </w:r>
          </w:p>
        </w:tc>
        <w:tc>
          <w:tcPr>
            <w:tcW w:w="6189" w:type="dxa"/>
            <w:vAlign w:val="top"/>
            <w:gridSpan w:val="3"/>
          </w:tcPr>
          <w:p>
            <w:pPr>
              <w:pStyle w:val="TableText"/>
              <w:ind w:left="261"/>
              <w:spacing w:before="70" w:line="281" w:lineRule="exact"/>
              <w:rPr>
                <w:sz w:val="16"/>
                <w:szCs w:val="16"/>
              </w:rPr>
            </w:pPr>
            <w:r>
              <w:rPr>
                <w:sz w:val="16"/>
                <w:szCs w:val="16"/>
                <w:spacing w:val="-7"/>
                <w:position w:val="9"/>
              </w:rPr>
              <w:t>完</w:t>
            </w:r>
            <w:r>
              <w:rPr>
                <w:sz w:val="16"/>
                <w:szCs w:val="16"/>
                <w:spacing w:val="-31"/>
                <w:position w:val="9"/>
              </w:rPr>
              <w:t xml:space="preserve"> </w:t>
            </w:r>
            <w:r>
              <w:rPr>
                <w:sz w:val="16"/>
                <w:szCs w:val="16"/>
                <w:spacing w:val="-7"/>
                <w:position w:val="9"/>
              </w:rPr>
              <w:t>整</w:t>
            </w:r>
            <w:r>
              <w:rPr>
                <w:sz w:val="16"/>
                <w:szCs w:val="16"/>
                <w:spacing w:val="-33"/>
                <w:position w:val="9"/>
              </w:rPr>
              <w:t xml:space="preserve"> </w:t>
            </w:r>
            <w:r>
              <w:rPr>
                <w:sz w:val="16"/>
                <w:szCs w:val="16"/>
                <w:spacing w:val="-7"/>
                <w:position w:val="9"/>
              </w:rPr>
              <w:t>性</w:t>
            </w:r>
            <w:r>
              <w:rPr>
                <w:sz w:val="16"/>
                <w:szCs w:val="16"/>
                <w:spacing w:val="-35"/>
                <w:position w:val="9"/>
              </w:rPr>
              <w:t xml:space="preserve"> </w:t>
            </w:r>
            <w:r>
              <w:rPr>
                <w:sz w:val="16"/>
                <w:szCs w:val="16"/>
                <w:spacing w:val="-7"/>
                <w:position w:val="9"/>
              </w:rPr>
              <w:t>9</w:t>
            </w:r>
            <w:r>
              <w:rPr>
                <w:sz w:val="16"/>
                <w:szCs w:val="16"/>
                <w:spacing w:val="-35"/>
                <w:position w:val="9"/>
              </w:rPr>
              <w:t xml:space="preserve"> </w:t>
            </w:r>
            <w:r>
              <w:rPr>
                <w:sz w:val="16"/>
                <w:szCs w:val="16"/>
                <w:spacing w:val="-7"/>
                <w:position w:val="9"/>
              </w:rPr>
              <w:t>9</w:t>
            </w:r>
            <w:r>
              <w:rPr>
                <w:sz w:val="16"/>
                <w:szCs w:val="16"/>
                <w:spacing w:val="-40"/>
                <w:position w:val="9"/>
              </w:rPr>
              <w:t xml:space="preserve"> </w:t>
            </w:r>
            <w:r>
              <w:rPr>
                <w:sz w:val="16"/>
                <w:szCs w:val="16"/>
                <w:spacing w:val="-7"/>
                <w:position w:val="9"/>
              </w:rPr>
              <w:t>%</w:t>
            </w:r>
          </w:p>
          <w:p>
            <w:pPr>
              <w:pStyle w:val="TableText"/>
              <w:ind w:left="261"/>
              <w:spacing w:line="220" w:lineRule="auto"/>
              <w:rPr>
                <w:sz w:val="16"/>
                <w:szCs w:val="16"/>
              </w:rPr>
            </w:pPr>
            <w:r>
              <w:rPr>
                <w:sz w:val="16"/>
                <w:szCs w:val="16"/>
                <w:spacing w:val="-7"/>
              </w:rPr>
              <w:t>可</w:t>
            </w:r>
            <w:r>
              <w:rPr>
                <w:sz w:val="16"/>
                <w:szCs w:val="16"/>
                <w:spacing w:val="-31"/>
              </w:rPr>
              <w:t xml:space="preserve"> </w:t>
            </w:r>
            <w:r>
              <w:rPr>
                <w:sz w:val="16"/>
                <w:szCs w:val="16"/>
                <w:spacing w:val="-7"/>
              </w:rPr>
              <w:t>用</w:t>
            </w:r>
            <w:r>
              <w:rPr>
                <w:sz w:val="16"/>
                <w:szCs w:val="16"/>
                <w:spacing w:val="-34"/>
              </w:rPr>
              <w:t xml:space="preserve"> </w:t>
            </w:r>
            <w:r>
              <w:rPr>
                <w:sz w:val="16"/>
                <w:szCs w:val="16"/>
                <w:spacing w:val="-7"/>
              </w:rPr>
              <w:t>性</w:t>
            </w:r>
            <w:r>
              <w:rPr>
                <w:sz w:val="16"/>
                <w:szCs w:val="16"/>
                <w:spacing w:val="-35"/>
              </w:rPr>
              <w:t xml:space="preserve"> </w:t>
            </w:r>
            <w:r>
              <w:rPr>
                <w:sz w:val="16"/>
                <w:szCs w:val="16"/>
                <w:spacing w:val="-7"/>
              </w:rPr>
              <w:t>9</w:t>
            </w:r>
            <w:r>
              <w:rPr>
                <w:sz w:val="16"/>
                <w:szCs w:val="16"/>
                <w:spacing w:val="-34"/>
              </w:rPr>
              <w:t xml:space="preserve"> </w:t>
            </w:r>
            <w:r>
              <w:rPr>
                <w:sz w:val="16"/>
                <w:szCs w:val="16"/>
                <w:spacing w:val="-7"/>
              </w:rPr>
              <w:t>0</w:t>
            </w:r>
            <w:r>
              <w:rPr>
                <w:sz w:val="16"/>
                <w:szCs w:val="16"/>
                <w:spacing w:val="-40"/>
              </w:rPr>
              <w:t xml:space="preserve"> </w:t>
            </w:r>
            <w:r>
              <w:rPr>
                <w:sz w:val="16"/>
                <w:szCs w:val="16"/>
                <w:spacing w:val="-7"/>
              </w:rPr>
              <w:t>%</w:t>
            </w:r>
          </w:p>
          <w:p>
            <w:pPr>
              <w:pStyle w:val="TableText"/>
              <w:ind w:left="261"/>
              <w:spacing w:before="108" w:line="205" w:lineRule="auto"/>
              <w:rPr>
                <w:sz w:val="16"/>
                <w:szCs w:val="16"/>
              </w:rPr>
            </w:pPr>
            <w:r>
              <w:rPr>
                <w:sz w:val="16"/>
                <w:szCs w:val="16"/>
                <w:spacing w:val="-7"/>
              </w:rPr>
              <w:t>有</w:t>
            </w:r>
            <w:r>
              <w:rPr>
                <w:sz w:val="16"/>
                <w:szCs w:val="16"/>
                <w:spacing w:val="-32"/>
              </w:rPr>
              <w:t xml:space="preserve"> </w:t>
            </w:r>
            <w:r>
              <w:rPr>
                <w:sz w:val="16"/>
                <w:szCs w:val="16"/>
                <w:spacing w:val="-7"/>
              </w:rPr>
              <w:t>效</w:t>
            </w:r>
            <w:r>
              <w:rPr>
                <w:sz w:val="16"/>
                <w:szCs w:val="16"/>
                <w:spacing w:val="-34"/>
              </w:rPr>
              <w:t xml:space="preserve"> </w:t>
            </w:r>
            <w:r>
              <w:rPr>
                <w:sz w:val="16"/>
                <w:szCs w:val="16"/>
                <w:spacing w:val="-7"/>
              </w:rPr>
              <w:t>性</w:t>
            </w:r>
            <w:r>
              <w:rPr>
                <w:sz w:val="16"/>
                <w:szCs w:val="16"/>
                <w:spacing w:val="-35"/>
              </w:rPr>
              <w:t xml:space="preserve"> </w:t>
            </w:r>
            <w:r>
              <w:rPr>
                <w:sz w:val="16"/>
                <w:szCs w:val="16"/>
                <w:spacing w:val="-7"/>
              </w:rPr>
              <w:t>9</w:t>
            </w:r>
            <w:r>
              <w:rPr>
                <w:sz w:val="16"/>
                <w:szCs w:val="16"/>
                <w:spacing w:val="-33"/>
              </w:rPr>
              <w:t xml:space="preserve"> </w:t>
            </w:r>
            <w:r>
              <w:rPr>
                <w:sz w:val="16"/>
                <w:szCs w:val="16"/>
                <w:spacing w:val="-7"/>
              </w:rPr>
              <w:t>5</w:t>
            </w:r>
            <w:r>
              <w:rPr>
                <w:sz w:val="16"/>
                <w:szCs w:val="16"/>
                <w:spacing w:val="-40"/>
              </w:rPr>
              <w:t xml:space="preserve"> </w:t>
            </w:r>
            <w:r>
              <w:rPr>
                <w:sz w:val="16"/>
                <w:szCs w:val="16"/>
                <w:spacing w:val="-7"/>
              </w:rPr>
              <w:t>%</w:t>
            </w:r>
          </w:p>
        </w:tc>
      </w:tr>
      <w:tr>
        <w:trPr>
          <w:trHeight w:val="320" w:hRule="atLeast"/>
        </w:trPr>
        <w:tc>
          <w:tcPr>
            <w:tcW w:w="1133" w:type="dxa"/>
            <w:vAlign w:val="top"/>
          </w:tcPr>
          <w:p>
            <w:pPr>
              <w:pStyle w:val="TableText"/>
              <w:ind w:left="394"/>
              <w:spacing w:before="82" w:line="221" w:lineRule="auto"/>
              <w:rPr>
                <w:sz w:val="16"/>
                <w:szCs w:val="16"/>
              </w:rPr>
            </w:pPr>
            <w:r>
              <w:rPr>
                <w:sz w:val="16"/>
                <w:szCs w:val="16"/>
                <w:spacing w:val="-2"/>
              </w:rPr>
              <w:t>方针</w:t>
            </w:r>
          </w:p>
        </w:tc>
        <w:tc>
          <w:tcPr>
            <w:tcW w:w="6189" w:type="dxa"/>
            <w:vAlign w:val="top"/>
            <w:gridSpan w:val="3"/>
          </w:tcPr>
          <w:p>
            <w:pPr>
              <w:pStyle w:val="TableText"/>
              <w:ind w:left="261"/>
              <w:spacing w:before="81" w:line="219" w:lineRule="auto"/>
              <w:rPr>
                <w:sz w:val="16"/>
                <w:szCs w:val="16"/>
              </w:rPr>
            </w:pPr>
            <w:r>
              <w:rPr>
                <w:sz w:val="16"/>
                <w:szCs w:val="16"/>
                <w:spacing w:val="-1"/>
              </w:rPr>
              <w:t>提高业务数据质量，实现跨越式发展</w:t>
            </w:r>
          </w:p>
        </w:tc>
      </w:tr>
      <w:tr>
        <w:trPr>
          <w:trHeight w:val="2796" w:hRule="atLeast"/>
        </w:trPr>
        <w:tc>
          <w:tcPr>
            <w:tcW w:w="1133" w:type="dxa"/>
            <w:vAlign w:val="top"/>
          </w:tcPr>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pStyle w:val="TableText"/>
              <w:ind w:left="234"/>
              <w:spacing w:before="52" w:line="271" w:lineRule="exact"/>
              <w:rPr>
                <w:sz w:val="16"/>
                <w:szCs w:val="16"/>
              </w:rPr>
            </w:pPr>
            <w:r>
              <w:rPr>
                <w:sz w:val="16"/>
                <w:szCs w:val="16"/>
                <w:spacing w:val="-2"/>
                <w:position w:val="8"/>
              </w:rPr>
              <w:t>数据质量</w:t>
            </w:r>
          </w:p>
          <w:p>
            <w:pPr>
              <w:pStyle w:val="TableText"/>
              <w:ind w:left="394"/>
              <w:spacing w:line="220" w:lineRule="auto"/>
              <w:rPr>
                <w:sz w:val="16"/>
                <w:szCs w:val="16"/>
              </w:rPr>
            </w:pPr>
            <w:r>
              <w:rPr>
                <w:sz w:val="16"/>
                <w:szCs w:val="16"/>
                <w:spacing w:val="-2"/>
              </w:rPr>
              <w:t>策略</w:t>
            </w:r>
          </w:p>
        </w:tc>
        <w:tc>
          <w:tcPr>
            <w:tcW w:w="6189" w:type="dxa"/>
            <w:vAlign w:val="top"/>
            <w:gridSpan w:val="3"/>
          </w:tcPr>
          <w:p>
            <w:pPr>
              <w:pStyle w:val="TableText"/>
              <w:ind w:left="92" w:firstLine="149"/>
              <w:spacing w:before="70" w:line="260" w:lineRule="auto"/>
              <w:rPr>
                <w:sz w:val="16"/>
                <w:szCs w:val="16"/>
              </w:rPr>
            </w:pPr>
            <w:r>
              <w:rPr>
                <w:sz w:val="16"/>
                <w:szCs w:val="16"/>
                <w:spacing w:val="-4"/>
              </w:rPr>
              <w:t>■角色和职责定义：数据治理小组、业务数据管理员、信息系统管理员、数据专家、财</w:t>
            </w:r>
            <w:r>
              <w:rPr>
                <w:sz w:val="16"/>
                <w:szCs w:val="16"/>
                <w:spacing w:val="7"/>
              </w:rPr>
              <w:t xml:space="preserve"> </w:t>
            </w:r>
            <w:r>
              <w:rPr>
                <w:sz w:val="16"/>
                <w:szCs w:val="16"/>
                <w:spacing w:val="-2"/>
              </w:rPr>
              <w:t>务专家</w:t>
            </w:r>
            <w:r>
              <w:rPr>
                <w:sz w:val="16"/>
                <w:szCs w:val="16"/>
                <w:spacing w:val="-55"/>
              </w:rPr>
              <w:t xml:space="preserve"> </w:t>
            </w:r>
            <w:r>
              <w:rPr>
                <w:sz w:val="16"/>
                <w:szCs w:val="16"/>
                <w:spacing w:val="-2"/>
              </w:rPr>
              <w:t>……</w:t>
            </w:r>
          </w:p>
          <w:p>
            <w:pPr>
              <w:pStyle w:val="TableText"/>
              <w:ind w:left="261"/>
              <w:spacing w:before="108" w:line="219" w:lineRule="auto"/>
              <w:rPr>
                <w:sz w:val="16"/>
                <w:szCs w:val="16"/>
              </w:rPr>
            </w:pPr>
            <w:r>
              <w:rPr>
                <w:sz w:val="16"/>
                <w:szCs w:val="16"/>
              </w:rPr>
              <w:t>■质量过程的组织策划：数据需求分析、数据清洗、质量监控、成本核算……</w:t>
            </w:r>
          </w:p>
          <w:p>
            <w:pPr>
              <w:pStyle w:val="TableText"/>
              <w:ind w:left="261"/>
              <w:spacing w:before="91" w:line="220" w:lineRule="auto"/>
              <w:rPr>
                <w:sz w:val="16"/>
                <w:szCs w:val="16"/>
              </w:rPr>
            </w:pPr>
            <w:r>
              <w:rPr>
                <w:sz w:val="16"/>
                <w:szCs w:val="16"/>
              </w:rPr>
              <w:t>■过程目标：</w:t>
            </w:r>
          </w:p>
          <w:p>
            <w:pPr>
              <w:pStyle w:val="TableText"/>
              <w:ind w:left="261"/>
              <w:spacing w:before="89" w:line="219" w:lineRule="auto"/>
              <w:rPr>
                <w:sz w:val="16"/>
                <w:szCs w:val="16"/>
              </w:rPr>
            </w:pPr>
            <w:r>
              <w:rPr>
                <w:sz w:val="16"/>
                <w:szCs w:val="16"/>
                <w:spacing w:val="-1"/>
              </w:rPr>
              <w:t>需求分析目标：错误解决率90%</w:t>
            </w:r>
          </w:p>
          <w:p>
            <w:pPr>
              <w:pStyle w:val="TableText"/>
              <w:ind w:left="261"/>
              <w:spacing w:before="100" w:line="219" w:lineRule="auto"/>
              <w:rPr>
                <w:sz w:val="16"/>
                <w:szCs w:val="16"/>
              </w:rPr>
            </w:pPr>
            <w:r>
              <w:rPr>
                <w:sz w:val="16"/>
                <w:szCs w:val="16"/>
                <w:spacing w:val="-1"/>
              </w:rPr>
              <w:t>数据清洗：数据质量改进效率20%</w:t>
            </w:r>
          </w:p>
          <w:p>
            <w:pPr>
              <w:pStyle w:val="TableText"/>
              <w:ind w:left="441"/>
              <w:spacing w:before="92" w:line="95" w:lineRule="exact"/>
              <w:rPr>
                <w:sz w:val="6"/>
                <w:szCs w:val="6"/>
              </w:rPr>
            </w:pPr>
            <w:r>
              <w:rPr>
                <w:sz w:val="6"/>
                <w:szCs w:val="6"/>
                <w:spacing w:val="-2"/>
                <w:position w:val="1"/>
              </w:rPr>
              <w:t>………</w:t>
            </w:r>
          </w:p>
          <w:p>
            <w:pPr>
              <w:pStyle w:val="TableText"/>
              <w:ind w:left="261"/>
              <w:spacing w:before="183" w:line="219" w:lineRule="auto"/>
              <w:rPr>
                <w:sz w:val="16"/>
                <w:szCs w:val="16"/>
              </w:rPr>
            </w:pPr>
            <w:r>
              <w:rPr>
                <w:sz w:val="16"/>
                <w:szCs w:val="16"/>
              </w:rPr>
              <w:t>■组织内数据质量目标：</w:t>
            </w:r>
          </w:p>
          <w:p>
            <w:pPr>
              <w:pStyle w:val="TableText"/>
              <w:ind w:left="261"/>
              <w:spacing w:before="98" w:line="270" w:lineRule="exact"/>
              <w:rPr>
                <w:sz w:val="16"/>
                <w:szCs w:val="16"/>
              </w:rPr>
            </w:pPr>
            <w:r>
              <w:rPr>
                <w:sz w:val="16"/>
                <w:szCs w:val="16"/>
                <w:position w:val="8"/>
              </w:rPr>
              <w:t>项目级目标：数据可用性95%,数据完整性99</w:t>
            </w:r>
            <w:r>
              <w:rPr>
                <w:sz w:val="16"/>
                <w:szCs w:val="16"/>
                <w:spacing w:val="-1"/>
                <w:position w:val="8"/>
              </w:rPr>
              <w:t>%,数据有效性95%</w:t>
            </w:r>
          </w:p>
          <w:p>
            <w:pPr>
              <w:pStyle w:val="TableText"/>
              <w:ind w:left="261"/>
              <w:spacing w:before="1" w:line="215" w:lineRule="auto"/>
              <w:rPr>
                <w:sz w:val="16"/>
                <w:szCs w:val="16"/>
              </w:rPr>
            </w:pPr>
            <w:r>
              <w:rPr>
                <w:sz w:val="16"/>
                <w:szCs w:val="16"/>
              </w:rPr>
              <w:t>业务级目标：数据可用性95%,数据完整性99%,数</w:t>
            </w:r>
            <w:r>
              <w:rPr>
                <w:sz w:val="16"/>
                <w:szCs w:val="16"/>
                <w:spacing w:val="-1"/>
              </w:rPr>
              <w:t>据有效性95%</w:t>
            </w:r>
          </w:p>
        </w:tc>
      </w:tr>
      <w:tr>
        <w:trPr>
          <w:trHeight w:val="829" w:hRule="atLeast"/>
        </w:trPr>
        <w:tc>
          <w:tcPr>
            <w:tcW w:w="1133" w:type="dxa"/>
            <w:vAlign w:val="top"/>
          </w:tcPr>
          <w:p>
            <w:pPr>
              <w:spacing w:line="295" w:lineRule="auto"/>
              <w:rPr>
                <w:rFonts w:ascii="Arial"/>
                <w:sz w:val="21"/>
              </w:rPr>
            </w:pPr>
            <w:r/>
          </w:p>
          <w:p>
            <w:pPr>
              <w:pStyle w:val="TableText"/>
              <w:ind w:left="394"/>
              <w:spacing w:before="52" w:line="224" w:lineRule="auto"/>
              <w:rPr>
                <w:sz w:val="16"/>
                <w:szCs w:val="16"/>
              </w:rPr>
            </w:pPr>
            <w:r>
              <w:rPr>
                <w:sz w:val="16"/>
                <w:szCs w:val="16"/>
                <w:spacing w:val="9"/>
              </w:rPr>
              <w:t>惩罚</w:t>
            </w:r>
          </w:p>
        </w:tc>
        <w:tc>
          <w:tcPr>
            <w:tcW w:w="6189" w:type="dxa"/>
            <w:vAlign w:val="top"/>
            <w:gridSpan w:val="3"/>
          </w:tcPr>
          <w:p>
            <w:pPr>
              <w:pStyle w:val="TableText"/>
              <w:ind w:left="261" w:firstLine="20"/>
              <w:spacing w:before="85" w:line="282" w:lineRule="auto"/>
              <w:jc w:val="both"/>
              <w:rPr>
                <w:sz w:val="16"/>
                <w:szCs w:val="16"/>
              </w:rPr>
            </w:pPr>
            <w:r>
              <w:rPr>
                <w:sz w:val="16"/>
                <w:szCs w:val="16"/>
                <w:spacing w:val="-5"/>
              </w:rPr>
              <w:t>违背该策略可能导致：员工以及临时工被解雇、合同方或顾问的雇佣关系</w:t>
            </w:r>
            <w:r>
              <w:rPr>
                <w:sz w:val="16"/>
                <w:szCs w:val="16"/>
                <w:spacing w:val="-6"/>
              </w:rPr>
              <w:t>终止、实习人</w:t>
            </w:r>
            <w:r>
              <w:rPr>
                <w:sz w:val="16"/>
                <w:szCs w:val="16"/>
              </w:rPr>
              <w:t xml:space="preserve"> </w:t>
            </w:r>
            <w:r>
              <w:rPr>
                <w:sz w:val="16"/>
                <w:szCs w:val="16"/>
                <w:spacing w:val="-8"/>
              </w:rPr>
              <w:t>员和志愿者失去继续工作的机会、学生被开除；另外，这些人</w:t>
            </w:r>
            <w:r>
              <w:rPr>
                <w:sz w:val="16"/>
                <w:szCs w:val="16"/>
                <w:spacing w:val="-9"/>
              </w:rPr>
              <w:t>员还可能遭受信息资源访问</w:t>
            </w:r>
            <w:r>
              <w:rPr>
                <w:sz w:val="16"/>
                <w:szCs w:val="16"/>
              </w:rPr>
              <w:t xml:space="preserve"> </w:t>
            </w:r>
            <w:r>
              <w:rPr>
                <w:sz w:val="16"/>
                <w:szCs w:val="16"/>
                <w:spacing w:val="-1"/>
              </w:rPr>
              <w:t>权以及公民权的损失，甚至遭到法律起诉</w:t>
            </w:r>
          </w:p>
        </w:tc>
      </w:tr>
      <w:tr>
        <w:trPr>
          <w:trHeight w:val="324" w:hRule="atLeast"/>
        </w:trPr>
        <w:tc>
          <w:tcPr>
            <w:tcW w:w="1133" w:type="dxa"/>
            <w:vAlign w:val="top"/>
          </w:tcPr>
          <w:p>
            <w:pPr>
              <w:pStyle w:val="TableText"/>
              <w:ind w:left="234"/>
              <w:spacing w:before="87" w:line="220" w:lineRule="auto"/>
              <w:rPr>
                <w:sz w:val="16"/>
                <w:szCs w:val="16"/>
              </w:rPr>
            </w:pPr>
            <w:r>
              <w:rPr>
                <w:sz w:val="16"/>
                <w:szCs w:val="16"/>
                <w:spacing w:val="1"/>
              </w:rPr>
              <w:t>引用标准</w:t>
            </w:r>
          </w:p>
        </w:tc>
        <w:tc>
          <w:tcPr>
            <w:tcW w:w="6189" w:type="dxa"/>
            <w:vAlign w:val="top"/>
            <w:gridSpan w:val="3"/>
          </w:tcPr>
          <w:p>
            <w:pPr>
              <w:pStyle w:val="TableText"/>
              <w:ind w:left="261"/>
              <w:spacing w:before="87" w:line="221" w:lineRule="auto"/>
              <w:rPr>
                <w:sz w:val="16"/>
                <w:szCs w:val="16"/>
              </w:rPr>
            </w:pPr>
            <w:r>
              <w:rPr>
                <w:sz w:val="16"/>
                <w:szCs w:val="16"/>
              </w:rPr>
              <w:t>略</w:t>
            </w:r>
          </w:p>
        </w:tc>
      </w:tr>
    </w:tbl>
    <w:p>
      <w:pPr>
        <w:pStyle w:val="BodyText"/>
        <w:spacing w:line="327" w:lineRule="auto"/>
        <w:rPr/>
      </w:pPr>
      <w:r/>
    </w:p>
    <w:p>
      <w:pPr>
        <w:ind w:left="74"/>
        <w:spacing w:before="95" w:line="224" w:lineRule="auto"/>
        <w:outlineLvl w:val="3"/>
        <w:rPr>
          <w:rFonts w:ascii="YouYuan" w:hAnsi="YouYuan" w:eastAsia="YouYuan" w:cs="YouYuan"/>
          <w:sz w:val="29"/>
          <w:szCs w:val="29"/>
        </w:rPr>
      </w:pPr>
      <w:r>
        <w:rPr>
          <w:rFonts w:ascii="YouYuan" w:hAnsi="YouYuan" w:eastAsia="YouYuan" w:cs="YouYuan"/>
          <w:sz w:val="29"/>
          <w:szCs w:val="29"/>
          <w:b/>
          <w:bCs/>
          <w:spacing w:val="-9"/>
        </w:rPr>
        <w:t>6.2.2</w:t>
      </w:r>
      <w:r>
        <w:rPr>
          <w:rFonts w:ascii="YouYuan" w:hAnsi="YouYuan" w:eastAsia="YouYuan" w:cs="YouYuan"/>
          <w:sz w:val="29"/>
          <w:szCs w:val="29"/>
          <w:spacing w:val="116"/>
        </w:rPr>
        <w:t xml:space="preserve"> </w:t>
      </w:r>
      <w:r>
        <w:rPr>
          <w:rFonts w:ascii="YouYuan" w:hAnsi="YouYuan" w:eastAsia="YouYuan" w:cs="YouYuan"/>
          <w:sz w:val="29"/>
          <w:szCs w:val="29"/>
          <w:b/>
          <w:bCs/>
          <w:spacing w:val="-9"/>
        </w:rPr>
        <w:t>数据概要分析</w:t>
      </w:r>
    </w:p>
    <w:p>
      <w:pPr>
        <w:pStyle w:val="BodyText"/>
        <w:spacing w:line="251" w:lineRule="auto"/>
        <w:rPr/>
      </w:pPr>
      <w:r/>
    </w:p>
    <w:p>
      <w:pPr>
        <w:ind w:left="443"/>
        <w:spacing w:before="69" w:line="224" w:lineRule="auto"/>
        <w:outlineLvl w:val="4"/>
        <w:rPr>
          <w:rFonts w:ascii="YouYuan" w:hAnsi="YouYuan" w:eastAsia="YouYuan" w:cs="YouYuan"/>
          <w:sz w:val="21"/>
          <w:szCs w:val="21"/>
        </w:rPr>
      </w:pPr>
      <w:r>
        <w:rPr>
          <w:rFonts w:ascii="YouYuan" w:hAnsi="YouYuan" w:eastAsia="YouYuan" w:cs="YouYuan"/>
          <w:sz w:val="21"/>
          <w:szCs w:val="21"/>
          <w:b/>
          <w:bCs/>
          <w:spacing w:val="-10"/>
        </w:rPr>
        <w:t>1.</w:t>
      </w:r>
      <w:r>
        <w:rPr>
          <w:rFonts w:ascii="YouYuan" w:hAnsi="YouYuan" w:eastAsia="YouYuan" w:cs="YouYuan"/>
          <w:sz w:val="21"/>
          <w:szCs w:val="21"/>
          <w:spacing w:val="41"/>
        </w:rPr>
        <w:t xml:space="preserve"> </w:t>
      </w:r>
      <w:r>
        <w:rPr>
          <w:rFonts w:ascii="YouYuan" w:hAnsi="YouYuan" w:eastAsia="YouYuan" w:cs="YouYuan"/>
          <w:sz w:val="21"/>
          <w:szCs w:val="21"/>
          <w:b/>
          <w:bCs/>
          <w:spacing w:val="-10"/>
        </w:rPr>
        <w:t>简介</w:t>
      </w:r>
    </w:p>
    <w:p>
      <w:pPr>
        <w:ind w:left="440"/>
        <w:spacing w:before="217" w:line="232" w:lineRule="auto"/>
        <w:rPr>
          <w:rFonts w:ascii="KaiTi" w:hAnsi="KaiTi" w:eastAsia="KaiTi" w:cs="KaiTi"/>
          <w:sz w:val="21"/>
          <w:szCs w:val="21"/>
        </w:rPr>
      </w:pPr>
      <w:r>
        <w:rPr>
          <w:rFonts w:ascii="KaiTi" w:hAnsi="KaiTi" w:eastAsia="KaiTi" w:cs="KaiTi"/>
          <w:sz w:val="21"/>
          <w:szCs w:val="21"/>
          <w:spacing w:val="20"/>
        </w:rPr>
        <w:t>1)目的</w:t>
      </w:r>
    </w:p>
    <w:p>
      <w:pPr>
        <w:ind w:left="99" w:right="182" w:firstLine="430"/>
        <w:spacing w:before="49" w:line="242" w:lineRule="auto"/>
        <w:rPr>
          <w:rFonts w:ascii="SimSun" w:hAnsi="SimSun" w:eastAsia="SimSun" w:cs="SimSun"/>
          <w:sz w:val="21"/>
          <w:szCs w:val="21"/>
        </w:rPr>
      </w:pPr>
      <w:r>
        <w:rPr>
          <w:rFonts w:ascii="SimSun" w:hAnsi="SimSun" w:eastAsia="SimSun" w:cs="SimSun"/>
          <w:sz w:val="21"/>
          <w:szCs w:val="21"/>
          <w:spacing w:val="1"/>
        </w:rPr>
        <w:t>了解管理下的特定数据集的内容、质量和规则。通过对数据自身统计值的分析</w:t>
      </w:r>
      <w:r>
        <w:rPr>
          <w:rFonts w:ascii="SimSun" w:hAnsi="SimSun" w:eastAsia="SimSun" w:cs="SimSun"/>
          <w:sz w:val="21"/>
          <w:szCs w:val="21"/>
          <w:spacing w:val="3"/>
        </w:rPr>
        <w:t xml:space="preserve"> </w:t>
      </w:r>
      <w:r>
        <w:rPr>
          <w:rFonts w:ascii="SimSun" w:hAnsi="SimSun" w:eastAsia="SimSun" w:cs="SimSun"/>
          <w:sz w:val="21"/>
          <w:szCs w:val="21"/>
          <w:spacing w:val="-6"/>
        </w:rPr>
        <w:t>来反映数据质量问题。</w:t>
      </w:r>
    </w:p>
    <w:p>
      <w:pPr>
        <w:spacing w:line="242" w:lineRule="auto"/>
        <w:sectPr>
          <w:footerReference w:type="default" r:id="rId258"/>
          <w:pgSz w:w="8870" w:h="13400"/>
          <w:pgMar w:top="400" w:right="518" w:bottom="548" w:left="459" w:header="0" w:footer="338" w:gutter="0"/>
        </w:sectPr>
        <w:rPr>
          <w:rFonts w:ascii="SimSun" w:hAnsi="SimSun" w:eastAsia="SimSun" w:cs="SimSun"/>
          <w:sz w:val="21"/>
          <w:szCs w:val="21"/>
        </w:rPr>
      </w:pPr>
    </w:p>
    <w:p>
      <w:pPr>
        <w:ind w:left="223"/>
        <w:spacing w:before="216" w:line="219" w:lineRule="auto"/>
        <w:rPr>
          <w:rFonts w:ascii="SimSun" w:hAnsi="SimSun" w:eastAsia="SimSun" w:cs="SimSun"/>
          <w:sz w:val="25"/>
          <w:szCs w:val="25"/>
        </w:rPr>
      </w:pPr>
      <w:r>
        <w:pict>
          <v:rect id="_x0000_s376" style="position:absolute;margin-left:25.5012pt;margin-top:28.9976pt;mso-position-vertical-relative:page;mso-position-horizontal-relative:page;width:0.5pt;height:17.55pt;z-index:254827520;" o:allowincell="f" fillcolor="#000000" filled="true" stroked="false"/>
        </w:pict>
      </w:r>
      <w:r>
        <w:rPr>
          <w:rFonts w:ascii="SimSun" w:hAnsi="SimSun" w:eastAsia="SimSun" w:cs="SimSun"/>
          <w:sz w:val="25"/>
          <w:szCs w:val="25"/>
          <w:b/>
          <w:bCs/>
          <w:spacing w:val="-14"/>
        </w:rPr>
        <w:t>云端数据治理</w:t>
      </w:r>
    </w:p>
    <w:p>
      <w:pPr>
        <w:pStyle w:val="BodyText"/>
        <w:spacing w:line="244" w:lineRule="auto"/>
        <w:rPr/>
      </w:pPr>
      <w:r/>
    </w:p>
    <w:p>
      <w:pPr>
        <w:ind w:left="670"/>
        <w:spacing w:before="68" w:line="219" w:lineRule="auto"/>
        <w:rPr>
          <w:rFonts w:ascii="SimSun" w:hAnsi="SimSun" w:eastAsia="SimSun" w:cs="SimSun"/>
          <w:sz w:val="21"/>
          <w:szCs w:val="21"/>
        </w:rPr>
      </w:pPr>
      <w:r>
        <w:rPr>
          <w:rFonts w:ascii="SimSun" w:hAnsi="SimSun" w:eastAsia="SimSun" w:cs="SimSun"/>
          <w:sz w:val="21"/>
          <w:szCs w:val="21"/>
          <w:spacing w:val="24"/>
        </w:rPr>
        <w:t>2)介绍</w:t>
      </w:r>
    </w:p>
    <w:p>
      <w:pPr>
        <w:ind w:left="220" w:right="49" w:firstLine="449"/>
        <w:spacing w:before="89" w:line="255" w:lineRule="auto"/>
        <w:rPr>
          <w:rFonts w:ascii="SimSun" w:hAnsi="SimSun" w:eastAsia="SimSun" w:cs="SimSun"/>
          <w:sz w:val="21"/>
          <w:szCs w:val="21"/>
        </w:rPr>
      </w:pPr>
      <w:r>
        <w:rPr>
          <w:rFonts w:ascii="SimSun" w:hAnsi="SimSun" w:eastAsia="SimSun" w:cs="SimSun"/>
          <w:sz w:val="21"/>
          <w:szCs w:val="21"/>
          <w:spacing w:val="2"/>
        </w:rPr>
        <w:t>数据概要分析推动数据质量方案的有效进行，并且是许多</w:t>
      </w:r>
      <w:r>
        <w:rPr>
          <w:rFonts w:ascii="SimSun" w:hAnsi="SimSun" w:eastAsia="SimSun" w:cs="SimSun"/>
          <w:sz w:val="21"/>
          <w:szCs w:val="21"/>
          <w:spacing w:val="1"/>
        </w:rPr>
        <w:t>信息技术活动的重要</w:t>
      </w:r>
      <w:r>
        <w:rPr>
          <w:rFonts w:ascii="SimSun" w:hAnsi="SimSun" w:eastAsia="SimSun" w:cs="SimSun"/>
          <w:sz w:val="21"/>
          <w:szCs w:val="21"/>
        </w:rPr>
        <w:t xml:space="preserve"> </w:t>
      </w:r>
      <w:r>
        <w:rPr>
          <w:rFonts w:ascii="SimSun" w:hAnsi="SimSun" w:eastAsia="SimSun" w:cs="SimSun"/>
          <w:sz w:val="21"/>
          <w:szCs w:val="21"/>
          <w:spacing w:val="2"/>
        </w:rPr>
        <w:t>起始步骤。数据概要分析应当针对关键的数据存储定期进行，同时也应</w:t>
      </w:r>
      <w:r>
        <w:rPr>
          <w:rFonts w:ascii="SimSun" w:hAnsi="SimSun" w:eastAsia="SimSun" w:cs="SimSun"/>
          <w:sz w:val="21"/>
          <w:szCs w:val="21"/>
          <w:spacing w:val="1"/>
        </w:rPr>
        <w:t>当作为一个</w:t>
      </w:r>
      <w:r>
        <w:rPr>
          <w:rFonts w:ascii="SimSun" w:hAnsi="SimSun" w:eastAsia="SimSun" w:cs="SimSun"/>
          <w:sz w:val="21"/>
          <w:szCs w:val="21"/>
        </w:rPr>
        <w:t xml:space="preserve"> </w:t>
      </w:r>
      <w:r>
        <w:rPr>
          <w:rFonts w:ascii="SimSun" w:hAnsi="SimSun" w:eastAsia="SimSun" w:cs="SimSun"/>
          <w:sz w:val="21"/>
          <w:szCs w:val="21"/>
          <w:spacing w:val="2"/>
        </w:rPr>
        <w:t>由事件驱动的重要活动来协助数据质量的评估，以满足特定目的。例如，数据仓库</w:t>
      </w:r>
      <w:r>
        <w:rPr>
          <w:rFonts w:ascii="SimSun" w:hAnsi="SimSun" w:eastAsia="SimSun" w:cs="SimSun"/>
          <w:sz w:val="21"/>
          <w:szCs w:val="21"/>
        </w:rPr>
        <w:t xml:space="preserve"> </w:t>
      </w:r>
      <w:r>
        <w:rPr>
          <w:rFonts w:ascii="SimSun" w:hAnsi="SimSun" w:eastAsia="SimSun" w:cs="SimSun"/>
          <w:sz w:val="21"/>
          <w:szCs w:val="21"/>
          <w:spacing w:val="1"/>
        </w:rPr>
        <w:t>的定型、元数据库的填充、数据转换或迁移的执行、数据存储合并的策划或者数据</w:t>
      </w:r>
      <w:r>
        <w:rPr>
          <w:rFonts w:ascii="SimSun" w:hAnsi="SimSun" w:eastAsia="SimSun" w:cs="SimSun"/>
          <w:sz w:val="21"/>
          <w:szCs w:val="21"/>
          <w:spacing w:val="15"/>
        </w:rPr>
        <w:t xml:space="preserve"> </w:t>
      </w:r>
      <w:r>
        <w:rPr>
          <w:rFonts w:ascii="SimSun" w:hAnsi="SimSun" w:eastAsia="SimSun" w:cs="SimSun"/>
          <w:sz w:val="21"/>
          <w:szCs w:val="21"/>
          <w:spacing w:val="-1"/>
        </w:rPr>
        <w:t>存储的修正之前，组织都会对数据进行概要分析。</w:t>
      </w:r>
    </w:p>
    <w:p>
      <w:pPr>
        <w:pStyle w:val="BodyText"/>
        <w:ind w:firstLine="270"/>
        <w:spacing w:before="113" w:line="2980" w:lineRule="exact"/>
        <w:rPr/>
      </w:pPr>
      <w:r>
        <w:rPr>
          <w:position w:val="-59"/>
        </w:rPr>
        <w:pict>
          <v:group id="_x0000_s378" style="mso-position-vertical-relative:line;mso-position-horizontal-relative:char;width:382.55pt;height:149.05pt;" filled="false" stroked="false" coordsize="7650,2981" coordorigin="0,0">
            <v:shape id="_x0000_s380" style="position:absolute;left:0;top:0;width:7650;height:2981;" filled="false" stroked="false" type="#_x0000_t75">
              <v:imagedata o:title="" r:id="rId261"/>
            </v:shape>
            <v:shape id="_x0000_s382" style="position:absolute;left:220;top:196;width:4577;height:2581;" filled="false" stroked="false" type="#_x0000_t202">
              <v:fill on="false"/>
              <v:stroke on="false"/>
              <v:path/>
              <v:imagedata o:title=""/>
              <o:lock v:ext="edit" aspectratio="false"/>
              <v:textbox inset="0mm,0mm,0mm,0mm">
                <w:txbxContent>
                  <w:p>
                    <w:pPr>
                      <w:ind w:left="3720"/>
                      <w:spacing w:before="20" w:line="219" w:lineRule="auto"/>
                      <w:rPr>
                        <w:rFonts w:ascii="SimSun" w:hAnsi="SimSun" w:eastAsia="SimSun" w:cs="SimSun"/>
                        <w:sz w:val="16"/>
                        <w:szCs w:val="16"/>
                      </w:rPr>
                    </w:pPr>
                    <w:r>
                      <w:rPr>
                        <w:rFonts w:ascii="SimSun" w:hAnsi="SimSun" w:eastAsia="SimSun" w:cs="SimSun"/>
                        <w:sz w:val="16"/>
                        <w:szCs w:val="16"/>
                        <w:spacing w:val="-7"/>
                      </w:rPr>
                      <w:t>值域分析</w:t>
                    </w:r>
                  </w:p>
                  <w:p>
                    <w:pPr>
                      <w:ind w:left="1920"/>
                      <w:spacing w:before="80" w:line="219" w:lineRule="auto"/>
                      <w:rPr>
                        <w:rFonts w:ascii="SimSun" w:hAnsi="SimSun" w:eastAsia="SimSun" w:cs="SimSun"/>
                        <w:sz w:val="16"/>
                        <w:szCs w:val="16"/>
                      </w:rPr>
                    </w:pPr>
                    <w:r>
                      <w:rPr>
                        <w:rFonts w:ascii="SimSun" w:hAnsi="SimSun" w:eastAsia="SimSun" w:cs="SimSun"/>
                        <w:sz w:val="16"/>
                        <w:szCs w:val="16"/>
                        <w:spacing w:val="-7"/>
                      </w:rPr>
                      <w:t>字段概要分析</w:t>
                    </w:r>
                  </w:p>
                  <w:p>
                    <w:pPr>
                      <w:ind w:left="3720"/>
                      <w:spacing w:before="109" w:line="219" w:lineRule="auto"/>
                      <w:rPr>
                        <w:rFonts w:ascii="SimSun" w:hAnsi="SimSun" w:eastAsia="SimSun" w:cs="SimSun"/>
                        <w:sz w:val="16"/>
                        <w:szCs w:val="16"/>
                      </w:rPr>
                    </w:pPr>
                    <w:r>
                      <w:rPr>
                        <w:rFonts w:ascii="SimSun" w:hAnsi="SimSun" w:eastAsia="SimSun" w:cs="SimSun"/>
                        <w:sz w:val="16"/>
                        <w:szCs w:val="16"/>
                        <w:spacing w:val="-7"/>
                      </w:rPr>
                      <w:t>数据分布</w:t>
                    </w:r>
                  </w:p>
                  <w:p>
                    <w:pPr>
                      <w:spacing w:line="337" w:lineRule="auto"/>
                      <w:rPr>
                        <w:rFonts w:ascii="Arial"/>
                        <w:sz w:val="21"/>
                      </w:rPr>
                    </w:pPr>
                    <w:r/>
                  </w:p>
                  <w:p>
                    <w:pPr>
                      <w:ind w:right="12"/>
                      <w:spacing w:before="52" w:line="195" w:lineRule="auto"/>
                      <w:jc w:val="right"/>
                      <w:rPr>
                        <w:rFonts w:ascii="SimSun" w:hAnsi="SimSun" w:eastAsia="SimSun" w:cs="SimSun"/>
                        <w:sz w:val="16"/>
                        <w:szCs w:val="16"/>
                      </w:rPr>
                    </w:pPr>
                    <w:r>
                      <w:rPr>
                        <w:rFonts w:ascii="SimSun" w:hAnsi="SimSun" w:eastAsia="SimSun" w:cs="SimSun"/>
                        <w:sz w:val="16"/>
                        <w:szCs w:val="16"/>
                        <w:spacing w:val="-7"/>
                      </w:rPr>
                      <w:t>功能相关性分析</w:t>
                    </w:r>
                  </w:p>
                  <w:p>
                    <w:pPr>
                      <w:ind w:left="20"/>
                      <w:spacing w:line="219" w:lineRule="auto"/>
                      <w:rPr>
                        <w:rFonts w:ascii="SimSun" w:hAnsi="SimSun" w:eastAsia="SimSun" w:cs="SimSun"/>
                        <w:sz w:val="16"/>
                        <w:szCs w:val="16"/>
                      </w:rPr>
                    </w:pPr>
                    <w:r>
                      <w:rPr>
                        <w:rFonts w:ascii="SimSun" w:hAnsi="SimSun" w:eastAsia="SimSun" w:cs="SimSun"/>
                        <w:sz w:val="16"/>
                        <w:szCs w:val="16"/>
                        <w:color w:val="FFFFFF"/>
                        <w:spacing w:val="-7"/>
                      </w:rPr>
                      <w:t>数据概要分析</w:t>
                    </w:r>
                  </w:p>
                  <w:p>
                    <w:pPr>
                      <w:ind w:right="9"/>
                      <w:spacing w:before="250" w:line="220" w:lineRule="auto"/>
                      <w:jc w:val="right"/>
                      <w:rPr>
                        <w:rFonts w:ascii="SimSun" w:hAnsi="SimSun" w:eastAsia="SimSun" w:cs="SimSun"/>
                        <w:sz w:val="16"/>
                        <w:szCs w:val="16"/>
                      </w:rPr>
                    </w:pPr>
                    <w:r>
                      <w:rPr>
                        <w:rFonts w:ascii="SimSun" w:hAnsi="SimSun" w:eastAsia="SimSun" w:cs="SimSun"/>
                        <w:sz w:val="16"/>
                        <w:szCs w:val="16"/>
                        <w:spacing w:val="-11"/>
                      </w:rPr>
                      <w:t>主键唯一性分析</w:t>
                    </w:r>
                  </w:p>
                  <w:p>
                    <w:pPr>
                      <w:spacing w:line="375" w:lineRule="auto"/>
                      <w:rPr>
                        <w:rFonts w:ascii="Arial"/>
                        <w:sz w:val="21"/>
                      </w:rPr>
                    </w:pPr>
                    <w:r/>
                  </w:p>
                  <w:p>
                    <w:pPr>
                      <w:ind w:left="3720"/>
                      <w:spacing w:before="52" w:line="220" w:lineRule="auto"/>
                      <w:rPr>
                        <w:rFonts w:ascii="SimSun" w:hAnsi="SimSun" w:eastAsia="SimSun" w:cs="SimSun"/>
                        <w:sz w:val="16"/>
                        <w:szCs w:val="16"/>
                      </w:rPr>
                    </w:pPr>
                    <w:r>
                      <w:rPr>
                        <w:rFonts w:ascii="SimSun" w:hAnsi="SimSun" w:eastAsia="SimSun" w:cs="SimSun"/>
                        <w:sz w:val="16"/>
                        <w:szCs w:val="16"/>
                        <w:spacing w:val="-7"/>
                      </w:rPr>
                      <w:t>外键分析</w:t>
                    </w:r>
                  </w:p>
                </w:txbxContent>
              </v:textbox>
            </v:shape>
            <v:shape id="_x0000_s384" style="position:absolute;left:5260;top:197;width:806;height:2580;" filled="false" stroked="false" type="#_x0000_t202">
              <v:fill on="false"/>
              <v:stroke on="false"/>
              <v:path/>
              <v:imagedata o:title=""/>
              <o:lock v:ext="edit" aspectratio="false"/>
              <v:textbox inset="0mm,0mm,0mm,0mm">
                <w:txbxContent>
                  <w:p>
                    <w:pPr>
                      <w:ind w:left="89"/>
                      <w:spacing w:before="20" w:line="220" w:lineRule="auto"/>
                      <w:rPr>
                        <w:rFonts w:ascii="SimSun" w:hAnsi="SimSun" w:eastAsia="SimSun" w:cs="SimSun"/>
                        <w:sz w:val="16"/>
                        <w:szCs w:val="16"/>
                      </w:rPr>
                    </w:pPr>
                    <w:r>
                      <w:rPr>
                        <w:rFonts w:ascii="SimSun" w:hAnsi="SimSun" w:eastAsia="SimSun" w:cs="SimSun"/>
                        <w:sz w:val="16"/>
                        <w:szCs w:val="16"/>
                        <w:spacing w:val="-2"/>
                      </w:rPr>
                      <w:t>基线分析</w:t>
                    </w:r>
                  </w:p>
                  <w:p>
                    <w:pPr>
                      <w:spacing w:line="325" w:lineRule="auto"/>
                      <w:rPr>
                        <w:rFonts w:ascii="Arial"/>
                        <w:sz w:val="21"/>
                      </w:rPr>
                    </w:pPr>
                    <w:r/>
                  </w:p>
                  <w:p>
                    <w:pPr>
                      <w:ind w:left="89"/>
                      <w:spacing w:before="52" w:line="220" w:lineRule="auto"/>
                      <w:rPr>
                        <w:rFonts w:ascii="SimSun" w:hAnsi="SimSun" w:eastAsia="SimSun" w:cs="SimSun"/>
                        <w:sz w:val="16"/>
                        <w:szCs w:val="16"/>
                      </w:rPr>
                    </w:pPr>
                    <w:r>
                      <w:rPr>
                        <w:rFonts w:ascii="SimSun" w:hAnsi="SimSun" w:eastAsia="SimSun" w:cs="SimSun"/>
                        <w:sz w:val="16"/>
                        <w:szCs w:val="16"/>
                        <w:spacing w:val="-2"/>
                      </w:rPr>
                      <w:t>波动监测</w:t>
                    </w:r>
                  </w:p>
                  <w:p>
                    <w:pPr>
                      <w:spacing w:line="335"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6"/>
                      </w:rPr>
                      <w:t>关联性分析</w:t>
                    </w:r>
                  </w:p>
                  <w:p>
                    <w:pPr>
                      <w:spacing w:line="365" w:lineRule="auto"/>
                      <w:rPr>
                        <w:rFonts w:ascii="Arial"/>
                        <w:sz w:val="21"/>
                      </w:rPr>
                    </w:pPr>
                    <w:r/>
                  </w:p>
                  <w:p>
                    <w:pPr>
                      <w:ind w:left="39"/>
                      <w:spacing w:before="52" w:line="220" w:lineRule="auto"/>
                      <w:rPr>
                        <w:rFonts w:ascii="SimSun" w:hAnsi="SimSun" w:eastAsia="SimSun" w:cs="SimSun"/>
                        <w:sz w:val="16"/>
                        <w:szCs w:val="16"/>
                      </w:rPr>
                    </w:pPr>
                    <w:r>
                      <w:rPr>
                        <w:rFonts w:ascii="SimSun" w:hAnsi="SimSun" w:eastAsia="SimSun" w:cs="SimSun"/>
                        <w:sz w:val="16"/>
                        <w:szCs w:val="16"/>
                        <w:spacing w:val="-9"/>
                      </w:rPr>
                      <w:t>表基础分析</w:t>
                    </w:r>
                  </w:p>
                  <w:p>
                    <w:pPr>
                      <w:spacing w:line="375" w:lineRule="auto"/>
                      <w:rPr>
                        <w:rFonts w:ascii="Arial"/>
                        <w:sz w:val="21"/>
                      </w:rPr>
                    </w:pPr>
                    <w:r/>
                  </w:p>
                  <w:p>
                    <w:pPr>
                      <w:ind w:left="89"/>
                      <w:spacing w:before="52" w:line="220" w:lineRule="auto"/>
                      <w:rPr>
                        <w:rFonts w:ascii="SimSun" w:hAnsi="SimSun" w:eastAsia="SimSun" w:cs="SimSun"/>
                        <w:sz w:val="16"/>
                        <w:szCs w:val="16"/>
                      </w:rPr>
                    </w:pPr>
                    <w:r>
                      <w:rPr>
                        <w:rFonts w:ascii="SimSun" w:hAnsi="SimSun" w:eastAsia="SimSun" w:cs="SimSun"/>
                        <w:sz w:val="16"/>
                        <w:szCs w:val="16"/>
                        <w:spacing w:val="-2"/>
                      </w:rPr>
                      <w:t>血缘分析</w:t>
                    </w:r>
                  </w:p>
                </w:txbxContent>
              </v:textbox>
            </v:shape>
            <v:shape id="_x0000_s386" style="position:absolute;left:2040;top:1346;width:1116;height:14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字段间概要分析</w:t>
                    </w:r>
                  </w:p>
                  <w:p>
                    <w:pPr>
                      <w:spacing w:line="356" w:lineRule="auto"/>
                      <w:rPr>
                        <w:rFonts w:ascii="Arial"/>
                        <w:sz w:val="21"/>
                      </w:rPr>
                    </w:pPr>
                    <w:r/>
                  </w:p>
                  <w:p>
                    <w:pPr>
                      <w:ind w:left="29"/>
                      <w:spacing w:before="52" w:line="219" w:lineRule="auto"/>
                      <w:rPr>
                        <w:rFonts w:ascii="SimSun" w:hAnsi="SimSun" w:eastAsia="SimSun" w:cs="SimSun"/>
                        <w:sz w:val="16"/>
                        <w:szCs w:val="16"/>
                      </w:rPr>
                    </w:pPr>
                    <w:r>
                      <w:rPr>
                        <w:rFonts w:ascii="SimSun" w:hAnsi="SimSun" w:eastAsia="SimSun" w:cs="SimSun"/>
                        <w:sz w:val="16"/>
                        <w:szCs w:val="16"/>
                        <w:spacing w:val="-7"/>
                      </w:rPr>
                      <w:t>数据表概要分析</w:t>
                    </w:r>
                  </w:p>
                  <w:p>
                    <w:pPr>
                      <w:spacing w:line="375" w:lineRule="auto"/>
                      <w:rPr>
                        <w:rFonts w:ascii="Arial"/>
                        <w:sz w:val="21"/>
                      </w:rPr>
                    </w:pPr>
                    <w:r/>
                  </w:p>
                  <w:p>
                    <w:pPr>
                      <w:ind w:left="109"/>
                      <w:spacing w:before="52" w:line="219" w:lineRule="auto"/>
                      <w:rPr>
                        <w:rFonts w:ascii="SimSun" w:hAnsi="SimSun" w:eastAsia="SimSun" w:cs="SimSun"/>
                        <w:sz w:val="16"/>
                        <w:szCs w:val="16"/>
                      </w:rPr>
                    </w:pPr>
                    <w:r>
                      <w:rPr>
                        <w:rFonts w:ascii="SimSun" w:hAnsi="SimSun" w:eastAsia="SimSun" w:cs="SimSun"/>
                        <w:sz w:val="16"/>
                        <w:szCs w:val="16"/>
                        <w:spacing w:val="-8"/>
                      </w:rPr>
                      <w:t>表间概要分析</w:t>
                    </w:r>
                  </w:p>
                </w:txbxContent>
              </v:textbox>
            </v:shape>
            <v:shape id="_x0000_s388" style="position:absolute;left:6550;top:196;width:936;height:1350;" filled="false" stroked="false" type="#_x0000_t202">
              <v:fill on="false"/>
              <v:stroke on="false"/>
              <v:path/>
              <v:imagedata o:title=""/>
              <o:lock v:ext="edit" aspectratio="false"/>
              <v:textbox inset="0mm,0mm,0mm,0mm">
                <w:txbxContent>
                  <w:p>
                    <w:pPr>
                      <w:ind w:left="140"/>
                      <w:spacing w:before="20" w:line="219" w:lineRule="auto"/>
                      <w:rPr>
                        <w:rFonts w:ascii="SimSun" w:hAnsi="SimSun" w:eastAsia="SimSun" w:cs="SimSun"/>
                        <w:sz w:val="16"/>
                        <w:szCs w:val="16"/>
                      </w:rPr>
                    </w:pPr>
                    <w:r>
                      <w:rPr>
                        <w:rFonts w:ascii="SimSun" w:hAnsi="SimSun" w:eastAsia="SimSun" w:cs="SimSun"/>
                        <w:sz w:val="16"/>
                        <w:szCs w:val="16"/>
                        <w:spacing w:val="-6"/>
                      </w:rPr>
                      <w:t>类型监测</w:t>
                    </w:r>
                  </w:p>
                  <w:p>
                    <w:pPr>
                      <w:spacing w:line="346" w:lineRule="auto"/>
                      <w:rPr>
                        <w:rFonts w:ascii="Arial"/>
                        <w:sz w:val="21"/>
                      </w:rPr>
                    </w:pPr>
                    <w:r/>
                  </w:p>
                  <w:p>
                    <w:pPr>
                      <w:ind w:left="150"/>
                      <w:spacing w:before="52" w:line="219" w:lineRule="auto"/>
                      <w:rPr>
                        <w:rFonts w:ascii="SimSun" w:hAnsi="SimSun" w:eastAsia="SimSun" w:cs="SimSun"/>
                        <w:sz w:val="16"/>
                        <w:szCs w:val="16"/>
                      </w:rPr>
                    </w:pPr>
                    <w:r>
                      <w:rPr>
                        <w:rFonts w:ascii="SimSun" w:hAnsi="SimSun" w:eastAsia="SimSun" w:cs="SimSun"/>
                        <w:sz w:val="16"/>
                        <w:szCs w:val="16"/>
                        <w:spacing w:val="-8"/>
                      </w:rPr>
                      <w:t>异常监测</w:t>
                    </w:r>
                  </w:p>
                  <w:p>
                    <w:pPr>
                      <w:spacing w:line="31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9"/>
                      </w:rPr>
                      <w:t>可追溯性分析</w:t>
                    </w:r>
                  </w:p>
                </w:txbxContent>
              </v:textbox>
            </v:shape>
          </v:group>
        </w:pict>
      </w:r>
    </w:p>
    <w:p>
      <w:pPr>
        <w:ind w:left="2972"/>
        <w:spacing w:before="124" w:line="221" w:lineRule="auto"/>
        <w:rPr>
          <w:rFonts w:ascii="SimHei" w:hAnsi="SimHei" w:eastAsia="SimHei" w:cs="SimHei"/>
          <w:sz w:val="21"/>
          <w:szCs w:val="21"/>
        </w:rPr>
      </w:pPr>
      <w:r>
        <w:rPr>
          <w:rFonts w:ascii="SimHei" w:hAnsi="SimHei" w:eastAsia="SimHei" w:cs="SimHei"/>
          <w:sz w:val="21"/>
          <w:szCs w:val="21"/>
          <w:b/>
          <w:bCs/>
          <w:spacing w:val="-23"/>
        </w:rPr>
        <w:t>图6-1</w:t>
      </w:r>
      <w:r>
        <w:rPr>
          <w:rFonts w:ascii="SimHei" w:hAnsi="SimHei" w:eastAsia="SimHei" w:cs="SimHei"/>
          <w:sz w:val="21"/>
          <w:szCs w:val="21"/>
          <w:spacing w:val="-23"/>
        </w:rPr>
        <w:t xml:space="preserve">  </w:t>
      </w:r>
      <w:r>
        <w:rPr>
          <w:rFonts w:ascii="SimHei" w:hAnsi="SimHei" w:eastAsia="SimHei" w:cs="SimHei"/>
          <w:sz w:val="21"/>
          <w:szCs w:val="21"/>
          <w:b/>
          <w:bCs/>
          <w:spacing w:val="-23"/>
        </w:rPr>
        <w:t>数据概要分析架构图</w:t>
      </w:r>
    </w:p>
    <w:p>
      <w:pPr>
        <w:ind w:left="220" w:right="69" w:firstLine="449"/>
        <w:spacing w:before="241" w:line="253" w:lineRule="auto"/>
        <w:jc w:val="both"/>
        <w:rPr>
          <w:rFonts w:ascii="SimSun" w:hAnsi="SimSun" w:eastAsia="SimSun" w:cs="SimSun"/>
          <w:sz w:val="21"/>
          <w:szCs w:val="21"/>
        </w:rPr>
      </w:pPr>
      <w:r>
        <w:rPr>
          <w:rFonts w:ascii="SimSun" w:hAnsi="SimSun" w:eastAsia="SimSun" w:cs="SimSun"/>
          <w:sz w:val="21"/>
          <w:szCs w:val="21"/>
          <w:spacing w:val="1"/>
        </w:rPr>
        <w:t>数据概要分析的任务是进行探索发现，展示数据库中存储的内容以及物理值是</w:t>
      </w:r>
      <w:r>
        <w:rPr>
          <w:rFonts w:ascii="SimSun" w:hAnsi="SimSun" w:eastAsia="SimSun" w:cs="SimSun"/>
          <w:sz w:val="21"/>
          <w:szCs w:val="21"/>
          <w:spacing w:val="5"/>
        </w:rPr>
        <w:t xml:space="preserve"> </w:t>
      </w:r>
      <w:r>
        <w:rPr>
          <w:rFonts w:ascii="SimSun" w:hAnsi="SimSun" w:eastAsia="SimSun" w:cs="SimSun"/>
          <w:sz w:val="21"/>
          <w:szCs w:val="21"/>
          <w:spacing w:val="2"/>
        </w:rPr>
        <w:t>如何与元数据库或数据存储文档中记录的预期允许值产生差异的。概要</w:t>
      </w:r>
      <w:r>
        <w:rPr>
          <w:rFonts w:ascii="SimSun" w:hAnsi="SimSun" w:eastAsia="SimSun" w:cs="SimSun"/>
          <w:sz w:val="21"/>
          <w:szCs w:val="21"/>
          <w:spacing w:val="1"/>
        </w:rPr>
        <w:t>分析通常会</w:t>
      </w:r>
      <w:r>
        <w:rPr>
          <w:rFonts w:ascii="SimSun" w:hAnsi="SimSun" w:eastAsia="SimSun" w:cs="SimSun"/>
          <w:sz w:val="21"/>
          <w:szCs w:val="21"/>
        </w:rPr>
        <w:t xml:space="preserve"> </w:t>
      </w:r>
      <w:r>
        <w:rPr>
          <w:rFonts w:ascii="SimSun" w:hAnsi="SimSun" w:eastAsia="SimSun" w:cs="SimSun"/>
          <w:sz w:val="21"/>
          <w:szCs w:val="21"/>
          <w:spacing w:val="2"/>
        </w:rPr>
        <w:t>检查数值、范围、频率分布、出现偏差的元数据以及不标准的记录格式等</w:t>
      </w:r>
      <w:r>
        <w:rPr>
          <w:rFonts w:ascii="SimSun" w:hAnsi="SimSun" w:eastAsia="SimSun" w:cs="SimSun"/>
          <w:sz w:val="21"/>
          <w:szCs w:val="21"/>
          <w:spacing w:val="1"/>
        </w:rPr>
        <w:t>。它也包</w:t>
      </w:r>
      <w:r>
        <w:rPr>
          <w:rFonts w:ascii="SimSun" w:hAnsi="SimSun" w:eastAsia="SimSun" w:cs="SimSun"/>
          <w:sz w:val="21"/>
          <w:szCs w:val="21"/>
        </w:rPr>
        <w:t xml:space="preserve"> </w:t>
      </w:r>
      <w:r>
        <w:rPr>
          <w:rFonts w:ascii="SimSun" w:hAnsi="SimSun" w:eastAsia="SimSun" w:cs="SimSun"/>
          <w:sz w:val="21"/>
          <w:szCs w:val="21"/>
        </w:rPr>
        <w:t>括对业务规则准确性的检查和对一些已知问</w:t>
      </w:r>
      <w:r>
        <w:rPr>
          <w:rFonts w:ascii="SimSun" w:hAnsi="SimSun" w:eastAsia="SimSun" w:cs="SimSun"/>
          <w:sz w:val="21"/>
          <w:szCs w:val="21"/>
          <w:spacing w:val="-1"/>
        </w:rPr>
        <w:t>题的分析。</w:t>
      </w:r>
    </w:p>
    <w:p>
      <w:pPr>
        <w:ind w:left="220" w:right="50" w:firstLine="449"/>
        <w:spacing w:before="70" w:line="262" w:lineRule="auto"/>
        <w:jc w:val="both"/>
        <w:rPr>
          <w:rFonts w:ascii="SimSun" w:hAnsi="SimSun" w:eastAsia="SimSun" w:cs="SimSun"/>
          <w:sz w:val="21"/>
          <w:szCs w:val="21"/>
        </w:rPr>
      </w:pPr>
      <w:r>
        <w:rPr>
          <w:rFonts w:ascii="SimSun" w:hAnsi="SimSun" w:eastAsia="SimSun" w:cs="SimSun"/>
          <w:sz w:val="21"/>
          <w:szCs w:val="21"/>
          <w:spacing w:val="2"/>
        </w:rPr>
        <w:t>根据数据概要分析的结果，组织可以进行一些修正活动</w:t>
      </w:r>
      <w:r>
        <w:rPr>
          <w:rFonts w:ascii="SimSun" w:hAnsi="SimSun" w:eastAsia="SimSun" w:cs="SimSun"/>
          <w:sz w:val="21"/>
          <w:szCs w:val="21"/>
          <w:spacing w:val="1"/>
        </w:rPr>
        <w:t>。例如，修正数据、更</w:t>
      </w:r>
      <w:r>
        <w:rPr>
          <w:rFonts w:ascii="SimSun" w:hAnsi="SimSun" w:eastAsia="SimSun" w:cs="SimSun"/>
          <w:sz w:val="21"/>
          <w:szCs w:val="21"/>
        </w:rPr>
        <w:t xml:space="preserve"> </w:t>
      </w:r>
      <w:r>
        <w:rPr>
          <w:rFonts w:ascii="SimSun" w:hAnsi="SimSun" w:eastAsia="SimSun" w:cs="SimSun"/>
          <w:sz w:val="21"/>
          <w:szCs w:val="21"/>
          <w:spacing w:val="4"/>
        </w:rPr>
        <w:t>新元数据的描述、加强提取转换加载</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4"/>
        </w:rPr>
        <w:t>)   </w:t>
      </w:r>
      <w:r>
        <w:rPr>
          <w:rFonts w:ascii="SimSun" w:hAnsi="SimSun" w:eastAsia="SimSun" w:cs="SimSun"/>
          <w:sz w:val="21"/>
          <w:szCs w:val="21"/>
          <w:spacing w:val="4"/>
        </w:rPr>
        <w:t>脚本、变更数据结构、对</w:t>
      </w:r>
      <w:r>
        <w:rPr>
          <w:rFonts w:ascii="SimSun" w:hAnsi="SimSun" w:eastAsia="SimSun" w:cs="SimSun"/>
          <w:sz w:val="21"/>
          <w:szCs w:val="21"/>
          <w:spacing w:val="3"/>
        </w:rPr>
        <w:t>质量规则进</w:t>
      </w:r>
      <w:r>
        <w:rPr>
          <w:rFonts w:ascii="SimSun" w:hAnsi="SimSun" w:eastAsia="SimSun" w:cs="SimSun"/>
          <w:sz w:val="21"/>
          <w:szCs w:val="21"/>
        </w:rPr>
        <w:t xml:space="preserve"> </w:t>
      </w:r>
      <w:r>
        <w:rPr>
          <w:rFonts w:ascii="SimSun" w:hAnsi="SimSun" w:eastAsia="SimSun" w:cs="SimSun"/>
          <w:sz w:val="21"/>
          <w:szCs w:val="21"/>
          <w:spacing w:val="1"/>
        </w:rPr>
        <w:t>行添加或完善、应用业务规则等。数据概要分析的结果通常作为关键的输入推动了</w:t>
      </w:r>
      <w:r>
        <w:rPr>
          <w:rFonts w:ascii="SimSun" w:hAnsi="SimSun" w:eastAsia="SimSun" w:cs="SimSun"/>
          <w:sz w:val="21"/>
          <w:szCs w:val="21"/>
          <w:spacing w:val="10"/>
        </w:rPr>
        <w:t xml:space="preserve"> </w:t>
      </w:r>
      <w:r>
        <w:rPr>
          <w:rFonts w:ascii="SimSun" w:hAnsi="SimSun" w:eastAsia="SimSun" w:cs="SimSun"/>
          <w:sz w:val="21"/>
          <w:szCs w:val="21"/>
          <w:spacing w:val="2"/>
        </w:rPr>
        <w:t>规则、统计、度量项、内容标准的确定或业务过程的重设计，重设计可以提高</w:t>
      </w:r>
      <w:r>
        <w:rPr>
          <w:rFonts w:ascii="SimSun" w:hAnsi="SimSun" w:eastAsia="SimSun" w:cs="SimSun"/>
          <w:sz w:val="21"/>
          <w:szCs w:val="21"/>
          <w:spacing w:val="1"/>
        </w:rPr>
        <w:t>组织</w:t>
      </w:r>
      <w:r>
        <w:rPr>
          <w:rFonts w:ascii="SimSun" w:hAnsi="SimSun" w:eastAsia="SimSun" w:cs="SimSun"/>
          <w:sz w:val="21"/>
          <w:szCs w:val="21"/>
        </w:rPr>
        <w:t xml:space="preserve"> </w:t>
      </w:r>
      <w:r>
        <w:rPr>
          <w:rFonts w:ascii="SimSun" w:hAnsi="SimSun" w:eastAsia="SimSun" w:cs="SimSun"/>
          <w:sz w:val="21"/>
          <w:szCs w:val="21"/>
          <w:spacing w:val="-5"/>
        </w:rPr>
        <w:t>数据资产的质量。</w:t>
      </w:r>
    </w:p>
    <w:p>
      <w:pPr>
        <w:ind w:left="220" w:right="28" w:firstLine="449"/>
        <w:spacing w:before="70" w:line="260" w:lineRule="auto"/>
        <w:jc w:val="both"/>
        <w:rPr>
          <w:rFonts w:ascii="SimSun" w:hAnsi="SimSun" w:eastAsia="SimSun" w:cs="SimSun"/>
          <w:sz w:val="21"/>
          <w:szCs w:val="21"/>
        </w:rPr>
      </w:pPr>
      <w:r>
        <w:rPr>
          <w:rFonts w:ascii="SimSun" w:hAnsi="SimSun" w:eastAsia="SimSun" w:cs="SimSun"/>
          <w:sz w:val="21"/>
          <w:szCs w:val="21"/>
          <w:spacing w:val="2"/>
        </w:rPr>
        <w:t>数据概要分析和数据质量评估不同，概要分析活动产出的是与数据集相关的一</w:t>
      </w:r>
      <w:r>
        <w:rPr>
          <w:rFonts w:ascii="SimSun" w:hAnsi="SimSun" w:eastAsia="SimSun" w:cs="SimSun"/>
          <w:sz w:val="21"/>
          <w:szCs w:val="21"/>
          <w:spacing w:val="12"/>
        </w:rPr>
        <w:t xml:space="preserve"> </w:t>
      </w:r>
      <w:r>
        <w:rPr>
          <w:rFonts w:ascii="SimSun" w:hAnsi="SimSun" w:eastAsia="SimSun" w:cs="SimSun"/>
          <w:sz w:val="21"/>
          <w:szCs w:val="21"/>
          <w:spacing w:val="2"/>
        </w:rPr>
        <w:t>系列结论，而评估过程的评估内容反映数据在多大程度上满足特定的质</w:t>
      </w:r>
      <w:r>
        <w:rPr>
          <w:rFonts w:ascii="SimSun" w:hAnsi="SimSun" w:eastAsia="SimSun" w:cs="SimSun"/>
          <w:sz w:val="21"/>
          <w:szCs w:val="21"/>
          <w:spacing w:val="1"/>
        </w:rPr>
        <w:t>量需求。数</w:t>
      </w:r>
      <w:r>
        <w:rPr>
          <w:rFonts w:ascii="SimSun" w:hAnsi="SimSun" w:eastAsia="SimSun" w:cs="SimSun"/>
          <w:sz w:val="21"/>
          <w:szCs w:val="21"/>
        </w:rPr>
        <w:t xml:space="preserve"> </w:t>
      </w:r>
      <w:r>
        <w:rPr>
          <w:rFonts w:ascii="SimSun" w:hAnsi="SimSun" w:eastAsia="SimSun" w:cs="SimSun"/>
          <w:sz w:val="21"/>
          <w:szCs w:val="21"/>
        </w:rPr>
        <w:t>据概要分析通常是数据质量评估执行过程中的第一步。</w:t>
      </w:r>
    </w:p>
    <w:p>
      <w:pPr>
        <w:ind w:left="220" w:right="52" w:firstLine="449"/>
        <w:spacing w:before="55" w:line="259" w:lineRule="auto"/>
        <w:jc w:val="both"/>
        <w:rPr>
          <w:rFonts w:ascii="SimSun" w:hAnsi="SimSun" w:eastAsia="SimSun" w:cs="SimSun"/>
          <w:sz w:val="21"/>
          <w:szCs w:val="21"/>
        </w:rPr>
      </w:pPr>
      <w:r>
        <w:rPr>
          <w:rFonts w:ascii="SimSun" w:hAnsi="SimSun" w:eastAsia="SimSun" w:cs="SimSun"/>
          <w:sz w:val="21"/>
          <w:szCs w:val="21"/>
          <w:spacing w:val="2"/>
        </w:rPr>
        <w:t>建议组织分析正在执行的数据概要分析项目和数据</w:t>
      </w:r>
      <w:r>
        <w:rPr>
          <w:rFonts w:ascii="SimSun" w:hAnsi="SimSun" w:eastAsia="SimSun" w:cs="SimSun"/>
          <w:sz w:val="21"/>
          <w:szCs w:val="21"/>
          <w:spacing w:val="1"/>
        </w:rPr>
        <w:t>存储内容；建立数据概要标</w:t>
      </w:r>
      <w:r>
        <w:rPr>
          <w:rFonts w:ascii="SimSun" w:hAnsi="SimSun" w:eastAsia="SimSun" w:cs="SimSun"/>
          <w:sz w:val="21"/>
          <w:szCs w:val="21"/>
        </w:rPr>
        <w:t xml:space="preserve"> </w:t>
      </w:r>
      <w:r>
        <w:rPr>
          <w:rFonts w:ascii="SimSun" w:hAnsi="SimSun" w:eastAsia="SimSun" w:cs="SimSun"/>
          <w:sz w:val="21"/>
          <w:szCs w:val="21"/>
          <w:spacing w:val="2"/>
        </w:rPr>
        <w:t>准的准则以确定应当执行数据概要分析的范围和对象；实施标准的数</w:t>
      </w:r>
      <w:r>
        <w:rPr>
          <w:rFonts w:ascii="SimSun" w:hAnsi="SimSun" w:eastAsia="SimSun" w:cs="SimSun"/>
          <w:sz w:val="21"/>
          <w:szCs w:val="21"/>
          <w:spacing w:val="1"/>
        </w:rPr>
        <w:t>据概要分析过</w:t>
      </w:r>
      <w:r>
        <w:rPr>
          <w:rFonts w:ascii="SimSun" w:hAnsi="SimSun" w:eastAsia="SimSun" w:cs="SimSun"/>
          <w:sz w:val="21"/>
          <w:szCs w:val="21"/>
        </w:rPr>
        <w:t xml:space="preserve"> </w:t>
      </w:r>
      <w:r>
        <w:rPr>
          <w:rFonts w:ascii="SimSun" w:hAnsi="SimSun" w:eastAsia="SimSun" w:cs="SimSun"/>
          <w:sz w:val="21"/>
          <w:szCs w:val="21"/>
          <w:spacing w:val="2"/>
        </w:rPr>
        <w:t>程。根据业务需求和数据质量战略中定义的目标对需要执行数据概要分</w:t>
      </w:r>
      <w:r>
        <w:rPr>
          <w:rFonts w:ascii="SimSun" w:hAnsi="SimSun" w:eastAsia="SimSun" w:cs="SimSun"/>
          <w:sz w:val="21"/>
          <w:szCs w:val="21"/>
          <w:spacing w:val="1"/>
        </w:rPr>
        <w:t>析的数据存</w:t>
      </w:r>
      <w:r>
        <w:rPr>
          <w:rFonts w:ascii="SimSun" w:hAnsi="SimSun" w:eastAsia="SimSun" w:cs="SimSun"/>
          <w:sz w:val="21"/>
          <w:szCs w:val="21"/>
        </w:rPr>
        <w:t xml:space="preserve"> </w:t>
      </w:r>
      <w:r>
        <w:rPr>
          <w:rFonts w:ascii="SimSun" w:hAnsi="SimSun" w:eastAsia="SimSun" w:cs="SimSun"/>
          <w:sz w:val="21"/>
          <w:szCs w:val="21"/>
          <w:spacing w:val="8"/>
        </w:rPr>
        <w:t>储和数据集(内部或外部)进行优先次序的排列。</w:t>
      </w:r>
    </w:p>
    <w:p>
      <w:pPr>
        <w:ind w:left="670"/>
        <w:spacing w:before="103" w:line="229" w:lineRule="auto"/>
        <w:rPr>
          <w:rFonts w:ascii="KaiTi" w:hAnsi="KaiTi" w:eastAsia="KaiTi" w:cs="KaiTi"/>
          <w:sz w:val="21"/>
          <w:szCs w:val="21"/>
        </w:rPr>
      </w:pPr>
      <w:r>
        <w:rPr>
          <w:rFonts w:ascii="KaiTi" w:hAnsi="KaiTi" w:eastAsia="KaiTi" w:cs="KaiTi"/>
          <w:sz w:val="21"/>
          <w:szCs w:val="21"/>
          <w:spacing w:val="14"/>
        </w:rPr>
        <w:t>3)相关过程域</w:t>
      </w:r>
    </w:p>
    <w:p>
      <w:pPr>
        <w:ind w:left="670"/>
        <w:spacing w:before="47" w:line="219" w:lineRule="auto"/>
        <w:rPr>
          <w:rFonts w:ascii="SimSun" w:hAnsi="SimSun" w:eastAsia="SimSun" w:cs="SimSun"/>
          <w:sz w:val="21"/>
          <w:szCs w:val="21"/>
        </w:rPr>
      </w:pPr>
      <w:r>
        <w:rPr>
          <w:rFonts w:ascii="SimSun" w:hAnsi="SimSun" w:eastAsia="SimSun" w:cs="SimSun"/>
          <w:sz w:val="21"/>
          <w:szCs w:val="21"/>
          <w:spacing w:val="8"/>
        </w:rPr>
        <w:t>●业务词汇表过程域覆盖了数据概要分析工作所要参考到的业务术语的标准</w:t>
      </w:r>
    </w:p>
    <w:p>
      <w:pPr>
        <w:spacing w:line="219" w:lineRule="auto"/>
        <w:sectPr>
          <w:footerReference w:type="default" r:id="rId260"/>
          <w:pgSz w:w="8870" w:h="13400"/>
          <w:pgMar w:top="400" w:right="540" w:bottom="498" w:left="409" w:header="0" w:footer="289" w:gutter="0"/>
        </w:sectPr>
        <w:rPr>
          <w:rFonts w:ascii="SimSun" w:hAnsi="SimSun" w:eastAsia="SimSun" w:cs="SimSun"/>
          <w:sz w:val="21"/>
          <w:szCs w:val="21"/>
        </w:rPr>
      </w:pPr>
    </w:p>
    <w:p>
      <w:pPr>
        <w:ind w:left="5418"/>
        <w:spacing w:before="184" w:line="219" w:lineRule="auto"/>
        <w:rPr>
          <w:rFonts w:ascii="SimSun" w:hAnsi="SimSun" w:eastAsia="SimSun" w:cs="SimSun"/>
          <w:sz w:val="22"/>
          <w:szCs w:val="22"/>
        </w:rPr>
      </w:pPr>
      <w:r>
        <w:rPr>
          <w:rFonts w:ascii="SimSun" w:hAnsi="SimSun" w:eastAsia="SimSun" w:cs="SimSun"/>
          <w:sz w:val="22"/>
          <w:szCs w:val="22"/>
          <w:b/>
          <w:bCs/>
          <w:spacing w:val="7"/>
        </w:rPr>
        <w:t>第6章■云端数据质量</w:t>
      </w:r>
    </w:p>
    <w:p>
      <w:pPr>
        <w:pStyle w:val="BodyText"/>
        <w:spacing w:line="241" w:lineRule="auto"/>
        <w:rPr/>
      </w:pPr>
      <w:r/>
    </w:p>
    <w:p>
      <w:pPr>
        <w:ind w:left="605"/>
        <w:spacing w:before="71" w:line="220" w:lineRule="auto"/>
        <w:rPr>
          <w:rFonts w:ascii="SimSun" w:hAnsi="SimSun" w:eastAsia="SimSun" w:cs="SimSun"/>
          <w:sz w:val="22"/>
          <w:szCs w:val="22"/>
        </w:rPr>
      </w:pPr>
      <w:r>
        <w:rPr>
          <w:rFonts w:ascii="SimSun" w:hAnsi="SimSun" w:eastAsia="SimSun" w:cs="SimSun"/>
          <w:sz w:val="22"/>
          <w:szCs w:val="22"/>
          <w:spacing w:val="-15"/>
        </w:rPr>
        <w:t>化和评审；</w:t>
      </w:r>
    </w:p>
    <w:p>
      <w:pPr>
        <w:ind w:left="604" w:right="242" w:hanging="260"/>
        <w:spacing w:before="37" w:line="248" w:lineRule="auto"/>
        <w:rPr>
          <w:rFonts w:ascii="SimSun" w:hAnsi="SimSun" w:eastAsia="SimSun" w:cs="SimSun"/>
          <w:sz w:val="22"/>
          <w:szCs w:val="22"/>
        </w:rPr>
      </w:pPr>
      <w:r>
        <w:rPr>
          <w:rFonts w:ascii="SimSun" w:hAnsi="SimSun" w:eastAsia="SimSun" w:cs="SimSun"/>
          <w:sz w:val="22"/>
          <w:szCs w:val="22"/>
          <w:spacing w:val="-1"/>
        </w:rPr>
        <w:t>●元数据管理过程域论述了与数据概要分析工作中所参考的特性和数据属性</w:t>
      </w:r>
      <w:r>
        <w:rPr>
          <w:rFonts w:ascii="SimSun" w:hAnsi="SimSun" w:eastAsia="SimSun" w:cs="SimSun"/>
          <w:sz w:val="22"/>
          <w:szCs w:val="22"/>
          <w:spacing w:val="4"/>
        </w:rPr>
        <w:t xml:space="preserve"> </w:t>
      </w:r>
      <w:r>
        <w:rPr>
          <w:rFonts w:ascii="SimSun" w:hAnsi="SimSun" w:eastAsia="SimSun" w:cs="SimSun"/>
          <w:sz w:val="22"/>
          <w:szCs w:val="22"/>
          <w:spacing w:val="-15"/>
        </w:rPr>
        <w:t>相关的分类与具体信息；</w:t>
      </w:r>
    </w:p>
    <w:p>
      <w:pPr>
        <w:ind w:left="604" w:right="242" w:hanging="260"/>
        <w:spacing w:before="58" w:line="239" w:lineRule="auto"/>
        <w:rPr>
          <w:rFonts w:ascii="SimSun" w:hAnsi="SimSun" w:eastAsia="SimSun" w:cs="SimSun"/>
          <w:sz w:val="22"/>
          <w:szCs w:val="22"/>
        </w:rPr>
      </w:pPr>
      <w:r>
        <w:rPr>
          <w:rFonts w:ascii="SimSun" w:hAnsi="SimSun" w:eastAsia="SimSun" w:cs="SimSun"/>
          <w:sz w:val="22"/>
          <w:szCs w:val="22"/>
          <w:spacing w:val="-1"/>
        </w:rPr>
        <w:t>●数据架构标准过程域包含了支持数据概要分析过程中所参考的设计和数据</w:t>
      </w:r>
      <w:r>
        <w:rPr>
          <w:rFonts w:ascii="SimSun" w:hAnsi="SimSun" w:eastAsia="SimSun" w:cs="SimSun"/>
          <w:sz w:val="22"/>
          <w:szCs w:val="22"/>
          <w:spacing w:val="4"/>
        </w:rPr>
        <w:t xml:space="preserve"> </w:t>
      </w:r>
      <w:r>
        <w:rPr>
          <w:rFonts w:ascii="SimSun" w:hAnsi="SimSun" w:eastAsia="SimSun" w:cs="SimSun"/>
          <w:sz w:val="22"/>
          <w:szCs w:val="22"/>
          <w:spacing w:val="-10"/>
        </w:rPr>
        <w:t>表示标准的最佳实践。</w:t>
      </w:r>
    </w:p>
    <w:p>
      <w:pPr>
        <w:pStyle w:val="BodyText"/>
        <w:ind w:left="344"/>
        <w:spacing w:before="208" w:line="223" w:lineRule="auto"/>
        <w:outlineLvl w:val="4"/>
        <w:rPr>
          <w:rFonts w:ascii="SimHei" w:hAnsi="SimHei" w:eastAsia="SimHei" w:cs="SimHei"/>
          <w:sz w:val="22"/>
          <w:szCs w:val="22"/>
        </w:rPr>
      </w:pPr>
      <w:r>
        <w:rPr>
          <w:sz w:val="22"/>
          <w:szCs w:val="22"/>
          <w:b/>
          <w:bCs/>
          <w:spacing w:val="-2"/>
        </w:rPr>
        <w:t>2.GOM</w:t>
      </w:r>
      <w:r>
        <w:rPr>
          <w:sz w:val="22"/>
          <w:szCs w:val="22"/>
          <w:b/>
          <w:bCs/>
          <w:spacing w:val="13"/>
        </w:rPr>
        <w:t xml:space="preserve">   </w:t>
      </w:r>
      <w:r>
        <w:rPr>
          <w:rFonts w:ascii="SimHei" w:hAnsi="SimHei" w:eastAsia="SimHei" w:cs="SimHei"/>
          <w:sz w:val="22"/>
          <w:szCs w:val="22"/>
          <w:b/>
          <w:bCs/>
          <w:spacing w:val="-2"/>
        </w:rPr>
        <w:t>表</w:t>
      </w:r>
    </w:p>
    <w:p>
      <w:pPr>
        <w:spacing w:line="162" w:lineRule="exact"/>
        <w:rPr/>
      </w:pPr>
      <w:r/>
    </w:p>
    <w:tbl>
      <w:tblPr>
        <w:tblStyle w:val="TableNormal"/>
        <w:tblW w:w="759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1938"/>
        <w:gridCol w:w="2177"/>
        <w:gridCol w:w="2182"/>
      </w:tblGrid>
      <w:tr>
        <w:trPr>
          <w:trHeight w:val="315" w:hRule="atLeast"/>
        </w:trPr>
        <w:tc>
          <w:tcPr>
            <w:tcW w:w="1293" w:type="dxa"/>
            <w:vAlign w:val="top"/>
          </w:tcPr>
          <w:p>
            <w:pPr>
              <w:pStyle w:val="TableText"/>
              <w:ind w:left="374"/>
              <w:spacing w:before="81" w:line="220" w:lineRule="auto"/>
              <w:rPr/>
            </w:pPr>
            <w:r>
              <w:rPr>
                <w:spacing w:val="-12"/>
              </w:rPr>
              <w:t>目    标</w:t>
            </w:r>
          </w:p>
        </w:tc>
        <w:tc>
          <w:tcPr>
            <w:tcW w:w="1938" w:type="dxa"/>
            <w:vAlign w:val="top"/>
          </w:tcPr>
          <w:p>
            <w:pPr>
              <w:pStyle w:val="TableText"/>
              <w:ind w:left="691"/>
              <w:spacing w:before="83" w:line="221" w:lineRule="auto"/>
              <w:rPr/>
            </w:pPr>
            <w:r>
              <w:rPr>
                <w:spacing w:val="-12"/>
              </w:rPr>
              <w:t>问</w:t>
            </w:r>
            <w:r>
              <w:rPr>
                <w:spacing w:val="13"/>
              </w:rPr>
              <w:t xml:space="preserve">   </w:t>
            </w:r>
            <w:r>
              <w:rPr>
                <w:spacing w:val="-12"/>
              </w:rPr>
              <w:t>题</w:t>
            </w:r>
          </w:p>
        </w:tc>
        <w:tc>
          <w:tcPr>
            <w:tcW w:w="2177" w:type="dxa"/>
            <w:vAlign w:val="top"/>
          </w:tcPr>
          <w:p>
            <w:pPr>
              <w:pStyle w:val="TableText"/>
              <w:ind w:left="724"/>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82" w:type="dxa"/>
            <w:vAlign w:val="top"/>
          </w:tcPr>
          <w:p>
            <w:pPr>
              <w:pStyle w:val="TableText"/>
              <w:ind w:left="717"/>
              <w:spacing w:before="81" w:line="219" w:lineRule="auto"/>
              <w:rPr/>
            </w:pPr>
            <w:r>
              <w:rPr>
                <w:spacing w:val="3"/>
              </w:rPr>
              <w:t>度量项说明</w:t>
            </w:r>
          </w:p>
        </w:tc>
      </w:tr>
      <w:tr>
        <w:trPr>
          <w:trHeight w:val="480" w:hRule="atLeast"/>
        </w:trPr>
        <w:tc>
          <w:tcPr>
            <w:tcW w:w="1293"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24"/>
              <w:spacing w:before="48" w:line="219" w:lineRule="auto"/>
              <w:rPr/>
            </w:pPr>
            <w:r>
              <w:rPr>
                <w:spacing w:val="-1"/>
              </w:rPr>
              <w:t>G1:建立并执</w:t>
            </w:r>
          </w:p>
          <w:p>
            <w:pPr>
              <w:pStyle w:val="TableText"/>
              <w:ind w:left="95" w:right="102" w:firstLine="19"/>
              <w:spacing w:before="53" w:line="279" w:lineRule="auto"/>
              <w:rPr/>
            </w:pPr>
            <w:r>
              <w:rPr>
                <w:spacing w:val="-2"/>
              </w:rPr>
              <w:t>行数据概要分析</w:t>
            </w:r>
            <w:r>
              <w:rPr>
                <w:spacing w:val="4"/>
              </w:rPr>
              <w:t xml:space="preserve"> </w:t>
            </w:r>
            <w:r>
              <w:rPr>
                <w:spacing w:val="30"/>
              </w:rPr>
              <w:t>相关的标准方</w:t>
            </w:r>
            <w:r>
              <w:rPr>
                <w:spacing w:val="4"/>
              </w:rPr>
              <w:t xml:space="preserve"> </w:t>
            </w:r>
            <w:r>
              <w:rPr>
                <w:spacing w:val="1"/>
              </w:rPr>
              <w:t>法、工具、过程</w:t>
            </w:r>
            <w:r>
              <w:rPr>
                <w:spacing w:val="5"/>
              </w:rPr>
              <w:t xml:space="preserve"> </w:t>
            </w:r>
            <w:r>
              <w:rPr>
                <w:spacing w:val="4"/>
              </w:rPr>
              <w:t>集</w:t>
            </w:r>
          </w:p>
        </w:tc>
        <w:tc>
          <w:tcPr>
            <w:tcW w:w="1938" w:type="dxa"/>
            <w:vAlign w:val="top"/>
            <w:vMerge w:val="restart"/>
            <w:tcBorders>
              <w:bottom w:val="nil"/>
            </w:tcBorders>
          </w:tcPr>
          <w:p>
            <w:pPr>
              <w:spacing w:line="356" w:lineRule="auto"/>
              <w:rPr>
                <w:rFonts w:ascii="Arial"/>
                <w:sz w:val="21"/>
              </w:rPr>
            </w:pPr>
            <w:r/>
          </w:p>
          <w:p>
            <w:pPr>
              <w:spacing w:line="357" w:lineRule="auto"/>
              <w:rPr>
                <w:rFonts w:ascii="Arial"/>
                <w:sz w:val="21"/>
              </w:rPr>
            </w:pPr>
            <w:r/>
          </w:p>
          <w:p>
            <w:pPr>
              <w:pStyle w:val="TableText"/>
              <w:ind w:left="132" w:right="152" w:firstLine="109"/>
              <w:spacing w:before="49" w:line="257" w:lineRule="auto"/>
              <w:rPr/>
            </w:pPr>
            <w:r>
              <w:rPr>
                <w:spacing w:val="1"/>
              </w:rPr>
              <w:t>Q1:组织有哪些标准的</w:t>
            </w:r>
            <w:r>
              <w:rPr>
                <w:spacing w:val="2"/>
              </w:rPr>
              <w:t xml:space="preserve">  </w:t>
            </w:r>
            <w:r>
              <w:rPr>
                <w:spacing w:val="-1"/>
              </w:rPr>
              <w:t>方法来执行数据概要分析</w:t>
            </w:r>
          </w:p>
        </w:tc>
        <w:tc>
          <w:tcPr>
            <w:tcW w:w="2177" w:type="dxa"/>
            <w:vAlign w:val="top"/>
          </w:tcPr>
          <w:p>
            <w:pPr>
              <w:pStyle w:val="TableText"/>
              <w:ind w:left="253"/>
              <w:spacing w:before="166" w:line="219" w:lineRule="auto"/>
              <w:rPr/>
            </w:pPr>
            <w:r>
              <w:rPr>
                <w:spacing w:val="-1"/>
              </w:rPr>
              <w:t>M1:概要分析的标准</w:t>
            </w:r>
          </w:p>
        </w:tc>
        <w:tc>
          <w:tcPr>
            <w:tcW w:w="2182" w:type="dxa"/>
            <w:vAlign w:val="top"/>
          </w:tcPr>
          <w:p>
            <w:pPr>
              <w:pStyle w:val="TableText"/>
              <w:ind w:left="127" w:right="102" w:firstLine="149"/>
              <w:spacing w:before="35" w:line="264" w:lineRule="auto"/>
              <w:rPr/>
            </w:pPr>
            <w:r>
              <w:rPr>
                <w:spacing w:val="-1"/>
              </w:rPr>
              <w:t>组织应参考相关的标准，支</w:t>
            </w:r>
            <w:r>
              <w:rPr>
                <w:spacing w:val="3"/>
              </w:rPr>
              <w:t xml:space="preserve"> </w:t>
            </w:r>
            <w:r>
              <w:rPr>
                <w:spacing w:val="-1"/>
              </w:rPr>
              <w:t>撑自身的数据概要分析</w:t>
            </w:r>
          </w:p>
        </w:tc>
      </w:tr>
      <w:tr>
        <w:trPr>
          <w:trHeight w:val="72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77" w:type="dxa"/>
            <w:vAlign w:val="top"/>
          </w:tcPr>
          <w:p>
            <w:pPr>
              <w:pStyle w:val="TableText"/>
              <w:ind w:left="253"/>
              <w:spacing w:before="286" w:line="219" w:lineRule="auto"/>
              <w:rPr/>
            </w:pPr>
            <w:r>
              <w:rPr>
                <w:spacing w:val="-1"/>
              </w:rPr>
              <w:t>M2:概要分析的技术方法</w:t>
            </w:r>
          </w:p>
        </w:tc>
        <w:tc>
          <w:tcPr>
            <w:tcW w:w="2182" w:type="dxa"/>
            <w:vAlign w:val="top"/>
          </w:tcPr>
          <w:p>
            <w:pPr>
              <w:pStyle w:val="TableText"/>
              <w:ind w:left="277"/>
              <w:spacing w:before="36" w:line="219" w:lineRule="auto"/>
              <w:rPr/>
            </w:pPr>
            <w:r>
              <w:rPr>
                <w:spacing w:val="-1"/>
              </w:rPr>
              <w:t>组织应参考成熟的技术方</w:t>
            </w:r>
          </w:p>
          <w:p>
            <w:pPr>
              <w:pStyle w:val="TableText"/>
              <w:ind w:left="127" w:right="101"/>
              <w:spacing w:before="70" w:line="258" w:lineRule="auto"/>
              <w:rPr/>
            </w:pPr>
            <w:r>
              <w:rPr>
                <w:spacing w:val="-1"/>
              </w:rPr>
              <w:t>法和最佳实践，支撑自身的数</w:t>
            </w:r>
            <w:r>
              <w:rPr>
                <w:spacing w:val="5"/>
              </w:rPr>
              <w:t xml:space="preserve"> </w:t>
            </w:r>
            <w:r>
              <w:rPr>
                <w:spacing w:val="-1"/>
              </w:rPr>
              <w:t>据概要分析</w:t>
            </w:r>
          </w:p>
        </w:tc>
      </w:tr>
      <w:tr>
        <w:trPr>
          <w:trHeight w:val="72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53"/>
              <w:spacing w:before="287" w:line="219" w:lineRule="auto"/>
              <w:rPr/>
            </w:pPr>
            <w:r>
              <w:rPr>
                <w:spacing w:val="-1"/>
              </w:rPr>
              <w:t>M3:概要分析的流程管理</w:t>
            </w:r>
          </w:p>
        </w:tc>
        <w:tc>
          <w:tcPr>
            <w:tcW w:w="2182" w:type="dxa"/>
            <w:vAlign w:val="top"/>
          </w:tcPr>
          <w:p>
            <w:pPr>
              <w:pStyle w:val="TableText"/>
              <w:ind w:left="277"/>
              <w:spacing w:before="37" w:line="219" w:lineRule="auto"/>
              <w:rPr/>
            </w:pPr>
            <w:r>
              <w:rPr>
                <w:spacing w:val="-1"/>
              </w:rPr>
              <w:t>通过对数据概要分析流程</w:t>
            </w:r>
          </w:p>
          <w:p>
            <w:pPr>
              <w:pStyle w:val="TableText"/>
              <w:ind w:left="117" w:right="87" w:firstLine="10"/>
              <w:spacing w:before="82" w:line="258" w:lineRule="auto"/>
              <w:rPr/>
            </w:pPr>
            <w:r>
              <w:rPr/>
              <w:t>的管理，推进组织的数据概要</w:t>
            </w:r>
            <w:r>
              <w:rPr>
                <w:spacing w:val="6"/>
              </w:rPr>
              <w:t xml:space="preserve"> </w:t>
            </w:r>
            <w:r>
              <w:rPr>
                <w:spacing w:val="-2"/>
              </w:rPr>
              <w:t>分析活动</w:t>
            </w:r>
          </w:p>
        </w:tc>
      </w:tr>
      <w:tr>
        <w:trPr>
          <w:trHeight w:val="699" w:hRule="atLeast"/>
        </w:trPr>
        <w:tc>
          <w:tcPr>
            <w:tcW w:w="129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37" w:lineRule="auto"/>
              <w:rPr>
                <w:rFonts w:ascii="Arial"/>
                <w:sz w:val="21"/>
              </w:rPr>
            </w:pPr>
            <w:r/>
          </w:p>
          <w:p>
            <w:pPr>
              <w:pStyle w:val="TableText"/>
              <w:ind w:left="102" w:right="151" w:firstLine="139"/>
              <w:spacing w:before="49" w:line="274" w:lineRule="auto"/>
              <w:rPr/>
            </w:pPr>
            <w:r>
              <w:rPr>
                <w:spacing w:val="-1"/>
              </w:rPr>
              <w:t>Q2:组织拥有哪些数据</w:t>
            </w:r>
            <w:r>
              <w:rPr>
                <w:spacing w:val="2"/>
              </w:rPr>
              <w:t xml:space="preserve">  </w:t>
            </w:r>
            <w:r>
              <w:rPr>
                <w:spacing w:val="2"/>
              </w:rPr>
              <w:t>概要分析工具和技能，以</w:t>
            </w:r>
            <w:r>
              <w:rPr>
                <w:spacing w:val="1"/>
              </w:rPr>
              <w:t xml:space="preserve"> </w:t>
            </w:r>
            <w:r>
              <w:rPr>
                <w:spacing w:val="2"/>
              </w:rPr>
              <w:t>及是否拥有该专业知识的</w:t>
            </w:r>
            <w:r>
              <w:rPr>
                <w:spacing w:val="1"/>
              </w:rPr>
              <w:t xml:space="preserve"> </w:t>
            </w:r>
            <w:r>
              <w:rPr>
                <w:spacing w:val="-2"/>
              </w:rPr>
              <w:t>人员资源</w:t>
            </w:r>
          </w:p>
        </w:tc>
        <w:tc>
          <w:tcPr>
            <w:tcW w:w="2177" w:type="dxa"/>
            <w:vAlign w:val="top"/>
          </w:tcPr>
          <w:p>
            <w:pPr>
              <w:pStyle w:val="TableText"/>
              <w:ind w:left="253" w:right="199" w:hanging="9"/>
              <w:spacing w:before="158" w:line="245" w:lineRule="auto"/>
              <w:rPr/>
            </w:pPr>
            <w:r>
              <w:rPr>
                <w:spacing w:val="-1"/>
              </w:rPr>
              <w:t>M4:概要分析的支撑软件和</w:t>
            </w:r>
            <w:r>
              <w:rPr>
                <w:spacing w:val="10"/>
              </w:rPr>
              <w:t xml:space="preserve"> </w:t>
            </w:r>
            <w:r>
              <w:rPr>
                <w:spacing w:val="-2"/>
              </w:rPr>
              <w:t>硬件</w:t>
            </w:r>
          </w:p>
        </w:tc>
        <w:tc>
          <w:tcPr>
            <w:tcW w:w="2182" w:type="dxa"/>
            <w:vAlign w:val="top"/>
          </w:tcPr>
          <w:p>
            <w:pPr>
              <w:pStyle w:val="TableText"/>
              <w:ind w:left="107" w:right="252" w:firstLine="169"/>
              <w:spacing w:before="37" w:line="258" w:lineRule="auto"/>
              <w:jc w:val="both"/>
              <w:rPr/>
            </w:pPr>
            <w:r>
              <w:rPr>
                <w:spacing w:val="-1"/>
              </w:rPr>
              <w:t>数据的概要分析应配备足</w:t>
            </w:r>
            <w:r>
              <w:rPr>
                <w:spacing w:val="2"/>
              </w:rPr>
              <w:t xml:space="preserve"> </w:t>
            </w:r>
            <w:r>
              <w:rPr>
                <w:spacing w:val="-1"/>
              </w:rPr>
              <w:t>够的硬件能力和自动化的软</w:t>
            </w:r>
            <w:r>
              <w:rPr>
                <w:spacing w:val="5"/>
              </w:rPr>
              <w:t xml:space="preserve"> </w:t>
            </w:r>
            <w:r>
              <w:rPr>
                <w:spacing w:val="-1"/>
              </w:rPr>
              <w:t>件来执行</w:t>
            </w:r>
          </w:p>
        </w:tc>
      </w:tr>
      <w:tr>
        <w:trPr>
          <w:trHeight w:val="49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77" w:type="dxa"/>
            <w:vAlign w:val="top"/>
          </w:tcPr>
          <w:p>
            <w:pPr>
              <w:pStyle w:val="TableText"/>
              <w:ind w:left="253"/>
              <w:spacing w:before="179" w:line="219" w:lineRule="auto"/>
              <w:rPr/>
            </w:pPr>
            <w:r>
              <w:rPr>
                <w:spacing w:val="-1"/>
              </w:rPr>
              <w:t>M5:概要分析的文件工具</w:t>
            </w:r>
          </w:p>
        </w:tc>
        <w:tc>
          <w:tcPr>
            <w:tcW w:w="2182" w:type="dxa"/>
            <w:vAlign w:val="top"/>
          </w:tcPr>
          <w:p>
            <w:pPr>
              <w:pStyle w:val="TableText"/>
              <w:ind w:left="117" w:right="252" w:firstLine="160"/>
              <w:spacing w:before="28" w:line="276" w:lineRule="auto"/>
              <w:rPr/>
            </w:pPr>
            <w:r>
              <w:rPr>
                <w:spacing w:val="-1"/>
              </w:rPr>
              <w:t>数据概要分析的指导文件</w:t>
            </w:r>
            <w:r>
              <w:rPr>
                <w:spacing w:val="2"/>
              </w:rPr>
              <w:t xml:space="preserve"> </w:t>
            </w:r>
            <w:r>
              <w:rPr>
                <w:spacing w:val="-1"/>
              </w:rPr>
              <w:t>记录和分析工具等。</w:t>
            </w:r>
          </w:p>
        </w:tc>
      </w:tr>
      <w:tr>
        <w:trPr>
          <w:trHeight w:val="469" w:hRule="atLeast"/>
        </w:trPr>
        <w:tc>
          <w:tcPr>
            <w:tcW w:w="129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53" w:right="199" w:hanging="9"/>
              <w:spacing w:before="29" w:line="259" w:lineRule="auto"/>
              <w:rPr/>
            </w:pPr>
            <w:r>
              <w:rPr>
                <w:spacing w:val="-1"/>
              </w:rPr>
              <w:t>M6:概要分析的专业人员及</w:t>
            </w:r>
            <w:r>
              <w:rPr>
                <w:spacing w:val="10"/>
              </w:rPr>
              <w:t xml:space="preserve"> </w:t>
            </w:r>
            <w:r>
              <w:rPr>
                <w:spacing w:val="4"/>
              </w:rPr>
              <w:t>团队</w:t>
            </w:r>
          </w:p>
        </w:tc>
        <w:tc>
          <w:tcPr>
            <w:tcW w:w="2182" w:type="dxa"/>
            <w:vAlign w:val="top"/>
          </w:tcPr>
          <w:p>
            <w:pPr>
              <w:pStyle w:val="TableText"/>
              <w:ind w:left="117" w:right="250" w:firstLine="160"/>
              <w:spacing w:before="30" w:line="258" w:lineRule="auto"/>
              <w:rPr/>
            </w:pPr>
            <w:r>
              <w:rPr>
                <w:spacing w:val="-1"/>
              </w:rPr>
              <w:t>应配备专业的数据概要分</w:t>
            </w:r>
            <w:r>
              <w:rPr>
                <w:spacing w:val="4"/>
              </w:rPr>
              <w:t xml:space="preserve"> </w:t>
            </w:r>
            <w:r>
              <w:rPr>
                <w:spacing w:val="-1"/>
              </w:rPr>
              <w:t>析人员和团队</w:t>
            </w:r>
          </w:p>
        </w:tc>
      </w:tr>
      <w:tr>
        <w:trPr>
          <w:trHeight w:val="729" w:hRule="atLeast"/>
        </w:trPr>
        <w:tc>
          <w:tcPr>
            <w:tcW w:w="1293"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TableText"/>
              <w:ind w:left="95" w:right="108" w:firstLine="179"/>
              <w:spacing w:before="49" w:line="266" w:lineRule="auto"/>
              <w:rPr/>
            </w:pPr>
            <w:r>
              <w:rPr>
                <w:spacing w:val="-1"/>
              </w:rPr>
              <w:t>G2:提供建议</w:t>
            </w:r>
            <w:r>
              <w:rPr/>
              <w:t xml:space="preserve">  </w:t>
            </w:r>
            <w:r>
              <w:rPr>
                <w:spacing w:val="4"/>
              </w:rPr>
              <w:t>以提高数据资产</w:t>
            </w:r>
            <w:r>
              <w:rPr/>
              <w:t xml:space="preserve"> </w:t>
            </w:r>
            <w:r>
              <w:rPr/>
              <w:t>中的数据质量</w:t>
            </w:r>
          </w:p>
        </w:tc>
        <w:tc>
          <w:tcPr>
            <w:tcW w:w="1938" w:type="dxa"/>
            <w:vAlign w:val="top"/>
            <w:vMerge w:val="restart"/>
            <w:tcBorders>
              <w:bottom w:val="nil"/>
            </w:tcBorders>
          </w:tcPr>
          <w:p>
            <w:pPr>
              <w:spacing w:line="371" w:lineRule="auto"/>
              <w:rPr>
                <w:rFonts w:ascii="Arial"/>
                <w:sz w:val="21"/>
              </w:rPr>
            </w:pPr>
            <w:r/>
          </w:p>
          <w:p>
            <w:pPr>
              <w:pStyle w:val="TableText"/>
              <w:ind w:left="132" w:right="151" w:firstLine="109"/>
              <w:spacing w:before="49" w:line="250" w:lineRule="auto"/>
              <w:rPr/>
            </w:pPr>
            <w:r>
              <w:rPr>
                <w:spacing w:val="-1"/>
              </w:rPr>
              <w:t>Q3:组织应用哪些统计</w:t>
            </w:r>
            <w:r>
              <w:rPr>
                <w:spacing w:val="2"/>
              </w:rPr>
              <w:t xml:space="preserve">  </w:t>
            </w:r>
            <w:r>
              <w:rPr>
                <w:spacing w:val="-1"/>
              </w:rPr>
              <w:t>模型来实施数据概要分析</w:t>
            </w:r>
          </w:p>
        </w:tc>
        <w:tc>
          <w:tcPr>
            <w:tcW w:w="2177" w:type="dxa"/>
            <w:vAlign w:val="top"/>
          </w:tcPr>
          <w:p>
            <w:pPr>
              <w:spacing w:line="241" w:lineRule="auto"/>
              <w:rPr>
                <w:rFonts w:ascii="Arial"/>
                <w:sz w:val="21"/>
              </w:rPr>
            </w:pPr>
            <w:r/>
          </w:p>
          <w:p>
            <w:pPr>
              <w:pStyle w:val="TableText"/>
              <w:ind w:left="253"/>
              <w:spacing w:before="48" w:line="219" w:lineRule="auto"/>
              <w:rPr/>
            </w:pPr>
            <w:r>
              <w:rPr>
                <w:spacing w:val="-1"/>
              </w:rPr>
              <w:t>M7:数理统计模型</w:t>
            </w:r>
          </w:p>
        </w:tc>
        <w:tc>
          <w:tcPr>
            <w:tcW w:w="2182" w:type="dxa"/>
            <w:vAlign w:val="top"/>
          </w:tcPr>
          <w:p>
            <w:pPr>
              <w:pStyle w:val="TableText"/>
              <w:ind w:left="107" w:right="251" w:firstLine="169"/>
              <w:spacing w:before="41" w:line="270" w:lineRule="auto"/>
              <w:jc w:val="both"/>
              <w:rPr/>
            </w:pPr>
            <w:r>
              <w:rPr>
                <w:spacing w:val="-1"/>
              </w:rPr>
              <w:t>组织应选择符合业务目标</w:t>
            </w:r>
            <w:r>
              <w:rPr>
                <w:spacing w:val="2"/>
              </w:rPr>
              <w:t xml:space="preserve"> </w:t>
            </w:r>
            <w:r>
              <w:rPr>
                <w:spacing w:val="1"/>
              </w:rPr>
              <w:t>和数据质量目标的数理统计</w:t>
            </w:r>
            <w:r>
              <w:rPr/>
              <w:t xml:space="preserve"> </w:t>
            </w:r>
            <w:r>
              <w:rPr>
                <w:spacing w:val="-2"/>
              </w:rPr>
              <w:t>模型</w:t>
            </w:r>
          </w:p>
        </w:tc>
      </w:tr>
      <w:tr>
        <w:trPr>
          <w:trHeight w:val="48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53"/>
              <w:spacing w:before="172" w:line="219" w:lineRule="auto"/>
              <w:rPr/>
            </w:pPr>
            <w:r>
              <w:rPr>
                <w:spacing w:val="-1"/>
              </w:rPr>
              <w:t>M8:模型优化和监测</w:t>
            </w:r>
          </w:p>
        </w:tc>
        <w:tc>
          <w:tcPr>
            <w:tcW w:w="2182" w:type="dxa"/>
            <w:vAlign w:val="top"/>
          </w:tcPr>
          <w:p>
            <w:pPr>
              <w:pStyle w:val="TableText"/>
              <w:ind w:left="107" w:right="120" w:firstLine="149"/>
              <w:spacing w:before="22" w:line="281" w:lineRule="auto"/>
              <w:rPr/>
            </w:pPr>
            <w:r>
              <w:rPr>
                <w:spacing w:val="-1"/>
              </w:rPr>
              <w:t>对模型进行优化和监测，以</w:t>
            </w:r>
            <w:r>
              <w:rPr>
                <w:spacing w:val="5"/>
              </w:rPr>
              <w:t xml:space="preserve"> </w:t>
            </w:r>
            <w:r>
              <w:rPr>
                <w:spacing w:val="-1"/>
              </w:rPr>
              <w:t>判断是否满足数据概要分析</w:t>
            </w:r>
          </w:p>
        </w:tc>
      </w:tr>
      <w:tr>
        <w:trPr>
          <w:trHeight w:val="469" w:hRule="atLeast"/>
        </w:trPr>
        <w:tc>
          <w:tcPr>
            <w:tcW w:w="129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462" w:lineRule="auto"/>
              <w:rPr>
                <w:rFonts w:ascii="Arial"/>
                <w:sz w:val="21"/>
              </w:rPr>
            </w:pPr>
            <w:r/>
          </w:p>
          <w:p>
            <w:pPr>
              <w:pStyle w:val="TableText"/>
              <w:ind w:left="132" w:right="132" w:firstLine="109"/>
              <w:spacing w:before="48" w:line="263" w:lineRule="auto"/>
              <w:rPr/>
            </w:pPr>
            <w:r>
              <w:rPr>
                <w:spacing w:val="2"/>
              </w:rPr>
              <w:t>Q4:方针和过程定义了</w:t>
            </w:r>
            <w:r>
              <w:rPr/>
              <w:t xml:space="preserve">  </w:t>
            </w:r>
            <w:r>
              <w:rPr>
                <w:spacing w:val="1"/>
              </w:rPr>
              <w:t>哪些数据概要分析的准则</w:t>
            </w:r>
          </w:p>
        </w:tc>
        <w:tc>
          <w:tcPr>
            <w:tcW w:w="2177" w:type="dxa"/>
            <w:vAlign w:val="top"/>
          </w:tcPr>
          <w:p>
            <w:pPr>
              <w:pStyle w:val="TableText"/>
              <w:ind w:left="253"/>
              <w:spacing w:before="163" w:line="219" w:lineRule="auto"/>
              <w:rPr/>
            </w:pPr>
            <w:r>
              <w:rPr>
                <w:spacing w:val="-1"/>
              </w:rPr>
              <w:t>M9:数据画像</w:t>
            </w:r>
          </w:p>
        </w:tc>
        <w:tc>
          <w:tcPr>
            <w:tcW w:w="2182" w:type="dxa"/>
            <w:vAlign w:val="top"/>
          </w:tcPr>
          <w:p>
            <w:pPr>
              <w:pStyle w:val="TableText"/>
              <w:ind w:left="137" w:right="100" w:firstLine="139"/>
              <w:spacing w:before="42" w:line="256" w:lineRule="auto"/>
              <w:rPr/>
            </w:pPr>
            <w:r>
              <w:rPr>
                <w:spacing w:val="-1"/>
              </w:rPr>
              <w:t>通过数据画像，组织能够掌</w:t>
            </w:r>
            <w:r>
              <w:rPr>
                <w:spacing w:val="5"/>
              </w:rPr>
              <w:t xml:space="preserve"> </w:t>
            </w:r>
            <w:r>
              <w:rPr>
                <w:spacing w:val="-1"/>
              </w:rPr>
              <w:t>握数据的整体概貌</w:t>
            </w:r>
          </w:p>
        </w:tc>
      </w:tr>
      <w:tr>
        <w:trPr>
          <w:trHeight w:val="480"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77" w:type="dxa"/>
            <w:vAlign w:val="top"/>
          </w:tcPr>
          <w:p>
            <w:pPr>
              <w:pStyle w:val="TableText"/>
              <w:ind w:left="253"/>
              <w:spacing w:before="174" w:line="219" w:lineRule="auto"/>
              <w:rPr/>
            </w:pPr>
            <w:r>
              <w:rPr>
                <w:spacing w:val="-1"/>
              </w:rPr>
              <w:t>M10:数值分析</w:t>
            </w:r>
          </w:p>
        </w:tc>
        <w:tc>
          <w:tcPr>
            <w:tcW w:w="2182" w:type="dxa"/>
            <w:vAlign w:val="top"/>
          </w:tcPr>
          <w:p>
            <w:pPr>
              <w:pStyle w:val="TableText"/>
              <w:ind w:left="127" w:right="90" w:firstLine="160"/>
              <w:spacing w:before="43" w:line="257" w:lineRule="auto"/>
              <w:rPr/>
            </w:pPr>
            <w:r>
              <w:rPr>
                <w:spacing w:val="-1"/>
              </w:rPr>
              <w:t>通过数值分析，组织能够掌</w:t>
            </w:r>
            <w:r>
              <w:rPr>
                <w:spacing w:val="5"/>
              </w:rPr>
              <w:t xml:space="preserve"> </w:t>
            </w:r>
            <w:r>
              <w:rPr>
                <w:spacing w:val="-1"/>
              </w:rPr>
              <w:t>握数据的分布和特性</w:t>
            </w:r>
          </w:p>
        </w:tc>
      </w:tr>
      <w:tr>
        <w:trPr>
          <w:trHeight w:val="489" w:hRule="atLeast"/>
        </w:trPr>
        <w:tc>
          <w:tcPr>
            <w:tcW w:w="129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53"/>
              <w:spacing w:before="174" w:line="219" w:lineRule="auto"/>
              <w:rPr/>
            </w:pPr>
            <w:r>
              <w:rPr>
                <w:spacing w:val="-1"/>
              </w:rPr>
              <w:t>M11:信息结构分析</w:t>
            </w:r>
          </w:p>
        </w:tc>
        <w:tc>
          <w:tcPr>
            <w:tcW w:w="2182" w:type="dxa"/>
            <w:vAlign w:val="top"/>
          </w:tcPr>
          <w:p>
            <w:pPr>
              <w:pStyle w:val="TableText"/>
              <w:ind w:left="127" w:firstLine="139"/>
              <w:spacing w:before="54" w:line="257" w:lineRule="auto"/>
              <w:rPr/>
            </w:pPr>
            <w:r>
              <w:rPr>
                <w:spacing w:val="-4"/>
              </w:rPr>
              <w:t>通过信息结构，组织能够知道</w:t>
            </w:r>
            <w:r>
              <w:rPr>
                <w:spacing w:val="6"/>
              </w:rPr>
              <w:t xml:space="preserve"> </w:t>
            </w:r>
            <w:r>
              <w:rPr>
                <w:spacing w:val="-1"/>
              </w:rPr>
              <w:t>数据的关联性，弥补数据缺失</w:t>
            </w:r>
          </w:p>
        </w:tc>
      </w:tr>
      <w:tr>
        <w:trPr>
          <w:trHeight w:val="959" w:hRule="atLeast"/>
        </w:trPr>
        <w:tc>
          <w:tcPr>
            <w:tcW w:w="1293"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pStyle w:val="TableText"/>
              <w:ind w:left="104" w:right="110" w:firstLine="120"/>
              <w:spacing w:before="48" w:line="278" w:lineRule="auto"/>
              <w:rPr/>
            </w:pPr>
            <w:r>
              <w:rPr>
                <w:spacing w:val="-1"/>
              </w:rPr>
              <w:t>G3:物理数据  </w:t>
            </w:r>
            <w:r>
              <w:rPr>
                <w:spacing w:val="2"/>
              </w:rPr>
              <w:t>的表示是真实且 </w:t>
            </w:r>
            <w:r>
              <w:rPr/>
              <w:t>可理解的，以提</w:t>
            </w:r>
            <w:r>
              <w:rPr>
                <w:spacing w:val="1"/>
              </w:rPr>
              <w:t xml:space="preserve"> </w:t>
            </w:r>
            <w:r>
              <w:rPr/>
              <w:t>高对所辖数据集 </w:t>
            </w:r>
            <w:r>
              <w:rPr>
                <w:spacing w:val="1"/>
              </w:rPr>
              <w:t>的业务理解</w:t>
            </w:r>
          </w:p>
        </w:tc>
        <w:tc>
          <w:tcPr>
            <w:tcW w:w="1938" w:type="dxa"/>
            <w:vAlign w:val="top"/>
            <w:vMerge w:val="restart"/>
            <w:tcBorders>
              <w:bottom w:val="nil"/>
            </w:tcBorders>
          </w:tcPr>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pStyle w:val="TableText"/>
              <w:ind w:left="132" w:right="70" w:firstLine="109"/>
              <w:spacing w:before="49" w:line="266" w:lineRule="auto"/>
              <w:rPr/>
            </w:pPr>
            <w:r>
              <w:rPr>
                <w:spacing w:val="-2"/>
              </w:rPr>
              <w:t>Q5:概要分析的进度安   </w:t>
            </w:r>
            <w:r>
              <w:rPr>
                <w:spacing w:val="6"/>
              </w:rPr>
              <w:t>排是基于哪些定义事件、</w:t>
            </w:r>
            <w:r>
              <w:rPr>
                <w:spacing w:val="7"/>
              </w:rPr>
              <w:t xml:space="preserve"> </w:t>
            </w:r>
            <w:r>
              <w:rPr>
                <w:spacing w:val="-1"/>
              </w:rPr>
              <w:t>考虑事项和触发条件</w:t>
            </w:r>
          </w:p>
        </w:tc>
        <w:tc>
          <w:tcPr>
            <w:tcW w:w="2177" w:type="dxa"/>
            <w:vAlign w:val="top"/>
          </w:tcPr>
          <w:p>
            <w:pPr>
              <w:spacing w:line="364" w:lineRule="auto"/>
              <w:rPr>
                <w:rFonts w:ascii="Arial"/>
                <w:sz w:val="21"/>
              </w:rPr>
            </w:pPr>
            <w:r/>
          </w:p>
          <w:p>
            <w:pPr>
              <w:pStyle w:val="TableText"/>
              <w:ind w:left="253"/>
              <w:spacing w:before="49" w:line="219" w:lineRule="auto"/>
              <w:rPr/>
            </w:pPr>
            <w:r>
              <w:rPr>
                <w:spacing w:val="-1"/>
              </w:rPr>
              <w:t>M12:触发概要分析的事件</w:t>
            </w:r>
          </w:p>
        </w:tc>
        <w:tc>
          <w:tcPr>
            <w:tcW w:w="2182" w:type="dxa"/>
            <w:vAlign w:val="top"/>
          </w:tcPr>
          <w:p>
            <w:pPr>
              <w:pStyle w:val="TableText"/>
              <w:ind w:left="127" w:right="91" w:firstLine="170"/>
              <w:spacing w:before="35" w:line="281" w:lineRule="auto"/>
              <w:rPr/>
            </w:pPr>
            <w:r>
              <w:rPr>
                <w:spacing w:val="2"/>
              </w:rPr>
              <w:t>当产生不满足组织业务目  </w:t>
            </w:r>
            <w:r>
              <w:rPr>
                <w:spacing w:val="-1"/>
              </w:rPr>
              <w:t>标的事件时，应对事件进行记</w:t>
            </w:r>
            <w:r>
              <w:rPr>
                <w:spacing w:val="5"/>
              </w:rPr>
              <w:t xml:space="preserve"> </w:t>
            </w:r>
            <w:r>
              <w:rPr/>
              <w:t>录和分析，并进行数据概要分</w:t>
            </w:r>
            <w:r>
              <w:rPr>
                <w:spacing w:val="2"/>
              </w:rPr>
              <w:t xml:space="preserve"> </w:t>
            </w:r>
            <w:r>
              <w:rPr/>
              <w:t>析</w:t>
            </w:r>
          </w:p>
        </w:tc>
      </w:tr>
      <w:tr>
        <w:trPr>
          <w:trHeight w:val="480"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77" w:type="dxa"/>
            <w:vAlign w:val="top"/>
          </w:tcPr>
          <w:p>
            <w:pPr>
              <w:pStyle w:val="TableText"/>
              <w:ind w:left="253"/>
              <w:spacing w:before="176" w:line="219" w:lineRule="auto"/>
              <w:rPr/>
            </w:pPr>
            <w:r>
              <w:rPr>
                <w:spacing w:val="-1"/>
              </w:rPr>
              <w:t>M13:事件产生的数据</w:t>
            </w:r>
          </w:p>
        </w:tc>
        <w:tc>
          <w:tcPr>
            <w:tcW w:w="2182" w:type="dxa"/>
            <w:vAlign w:val="top"/>
          </w:tcPr>
          <w:p>
            <w:pPr>
              <w:pStyle w:val="TableText"/>
              <w:ind w:left="137" w:right="92" w:firstLine="149"/>
              <w:spacing w:before="46" w:line="257" w:lineRule="auto"/>
              <w:rPr/>
            </w:pPr>
            <w:r>
              <w:rPr>
                <w:spacing w:val="-1"/>
              </w:rPr>
              <w:t>大量事件产生的数据，能够</w:t>
            </w:r>
            <w:r>
              <w:rPr>
                <w:spacing w:val="3"/>
              </w:rPr>
              <w:t xml:space="preserve"> </w:t>
            </w:r>
            <w:r>
              <w:rPr>
                <w:spacing w:val="-1"/>
              </w:rPr>
              <w:t>指导数据概要分析活动</w:t>
            </w:r>
          </w:p>
        </w:tc>
      </w:tr>
      <w:tr>
        <w:trPr>
          <w:trHeight w:val="724" w:hRule="atLeast"/>
        </w:trPr>
        <w:tc>
          <w:tcPr>
            <w:tcW w:w="129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spacing w:line="245" w:lineRule="auto"/>
              <w:rPr>
                <w:rFonts w:ascii="Arial"/>
                <w:sz w:val="21"/>
              </w:rPr>
            </w:pPr>
            <w:r/>
          </w:p>
          <w:p>
            <w:pPr>
              <w:pStyle w:val="TableText"/>
              <w:ind w:left="264"/>
              <w:spacing w:before="49" w:line="219" w:lineRule="auto"/>
              <w:rPr/>
            </w:pPr>
            <w:r>
              <w:rPr>
                <w:spacing w:val="-1"/>
              </w:rPr>
              <w:t>M14:数据和业务的关联性</w:t>
            </w:r>
          </w:p>
        </w:tc>
        <w:tc>
          <w:tcPr>
            <w:tcW w:w="2182" w:type="dxa"/>
            <w:vAlign w:val="top"/>
          </w:tcPr>
          <w:p>
            <w:pPr>
              <w:pStyle w:val="TableText"/>
              <w:ind w:left="127" w:right="90" w:firstLine="160"/>
              <w:spacing w:before="36" w:line="278" w:lineRule="auto"/>
              <w:jc w:val="both"/>
              <w:rPr/>
            </w:pPr>
            <w:r>
              <w:rPr>
                <w:spacing w:val="-1"/>
              </w:rPr>
              <w:t>数据的概要分析，能够解释</w:t>
            </w:r>
            <w:r>
              <w:rPr>
                <w:spacing w:val="3"/>
              </w:rPr>
              <w:t xml:space="preserve"> </w:t>
            </w:r>
            <w:r>
              <w:rPr/>
              <w:t>所属业务的流程，能够分析业</w:t>
            </w:r>
            <w:r>
              <w:rPr>
                <w:spacing w:val="3"/>
              </w:rPr>
              <w:t xml:space="preserve"> </w:t>
            </w:r>
            <w:r>
              <w:rPr>
                <w:spacing w:val="-1"/>
              </w:rPr>
              <w:t>务流程的能力</w:t>
            </w:r>
          </w:p>
        </w:tc>
      </w:tr>
    </w:tbl>
    <w:p>
      <w:pPr>
        <w:pStyle w:val="BodyText"/>
        <w:rPr/>
      </w:pPr>
      <w:r/>
    </w:p>
    <w:p>
      <w:pPr>
        <w:sectPr>
          <w:footerReference w:type="default" r:id="rId262"/>
          <w:pgSz w:w="8870" w:h="13400"/>
          <w:pgMar w:top="400" w:right="604" w:bottom="565" w:left="444" w:header="0" w:footer="346" w:gutter="0"/>
        </w:sectPr>
        <w:rPr/>
      </w:pPr>
    </w:p>
    <w:p>
      <w:pPr>
        <w:ind w:left="120"/>
        <w:spacing w:before="14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188" name="IM 188"/>
            <wp:cNvGraphicFramePr/>
            <a:graphic>
              <a:graphicData uri="http://schemas.openxmlformats.org/drawingml/2006/picture">
                <pic:pic>
                  <pic:nvPicPr>
                    <pic:cNvPr id="188" name="IM 188"/>
                    <pic:cNvPicPr/>
                  </pic:nvPicPr>
                  <pic:blipFill>
                    <a:blip r:embed="rId264"/>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29"/>
          <w:w w:val="97"/>
        </w:rPr>
        <w:t>■云端数据治理■</w:t>
      </w:r>
    </w:p>
    <w:p>
      <w:pPr>
        <w:ind w:left="663"/>
        <w:spacing w:before="292" w:line="472" w:lineRule="exact"/>
        <w:rPr>
          <w:rFonts w:ascii="YouYuan" w:hAnsi="YouYuan" w:eastAsia="YouYuan" w:cs="YouYuan"/>
          <w:sz w:val="22"/>
          <w:szCs w:val="22"/>
        </w:rPr>
      </w:pPr>
      <w:r>
        <w:rPr>
          <w:rFonts w:ascii="YouYuan" w:hAnsi="YouYuan" w:eastAsia="YouYuan" w:cs="YouYuan"/>
          <w:sz w:val="22"/>
          <w:szCs w:val="22"/>
          <w:b/>
          <w:bCs/>
          <w:spacing w:val="-1"/>
          <w:position w:val="19"/>
        </w:rPr>
        <w:t>3.</w:t>
      </w:r>
      <w:r>
        <w:rPr>
          <w:rFonts w:ascii="YouYuan" w:hAnsi="YouYuan" w:eastAsia="YouYuan" w:cs="YouYuan"/>
          <w:sz w:val="22"/>
          <w:szCs w:val="22"/>
          <w:spacing w:val="-1"/>
          <w:position w:val="19"/>
        </w:rPr>
        <w:t xml:space="preserve"> </w:t>
      </w:r>
      <w:r>
        <w:rPr>
          <w:rFonts w:ascii="YouYuan" w:hAnsi="YouYuan" w:eastAsia="YouYuan" w:cs="YouYuan"/>
          <w:sz w:val="22"/>
          <w:szCs w:val="22"/>
          <w:b/>
          <w:bCs/>
          <w:spacing w:val="-1"/>
          <w:position w:val="19"/>
        </w:rPr>
        <w:t>成熟度等级介绍</w:t>
      </w:r>
    </w:p>
    <w:p>
      <w:pPr>
        <w:ind w:left="66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4"/>
        </w:rPr>
        <w:t>Level  1:</w:t>
      </w:r>
      <w:r>
        <w:rPr>
          <w:rFonts w:ascii="Times New Roman" w:hAnsi="Times New Roman" w:eastAsia="Times New Roman" w:cs="Times New Roman"/>
          <w:sz w:val="22"/>
          <w:szCs w:val="22"/>
          <w:b/>
          <w:bCs/>
          <w:spacing w:val="33"/>
        </w:rPr>
        <w:t xml:space="preserve"> </w:t>
      </w:r>
      <w:r>
        <w:rPr>
          <w:rFonts w:ascii="SimHei" w:hAnsi="SimHei" w:eastAsia="SimHei" w:cs="SimHei"/>
          <w:sz w:val="22"/>
          <w:szCs w:val="22"/>
          <w:b/>
          <w:bCs/>
          <w:spacing w:val="-4"/>
        </w:rPr>
        <w:t>初始级</w:t>
      </w:r>
    </w:p>
    <w:p>
      <w:pPr>
        <w:spacing w:line="127" w:lineRule="exact"/>
        <w:rPr/>
      </w:pPr>
      <w:r/>
    </w:p>
    <w:tbl>
      <w:tblPr>
        <w:tblStyle w:val="TableNormal"/>
        <w:tblW w:w="758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30"/>
      </w:tblGrid>
      <w:tr>
        <w:trPr>
          <w:trHeight w:val="31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55" w:type="dxa"/>
            <w:vAlign w:val="top"/>
          </w:tcPr>
          <w:p>
            <w:pPr>
              <w:pStyle w:val="TableText"/>
              <w:ind w:left="1160"/>
              <w:spacing w:before="81" w:line="219" w:lineRule="auto"/>
              <w:rPr>
                <w:sz w:val="16"/>
                <w:szCs w:val="16"/>
              </w:rPr>
            </w:pPr>
            <w:r>
              <w:rPr>
                <w:sz w:val="16"/>
                <w:szCs w:val="16"/>
                <w:spacing w:val="-4"/>
              </w:rPr>
              <w:t>等 级 要 求</w:t>
            </w:r>
          </w:p>
        </w:tc>
        <w:tc>
          <w:tcPr>
            <w:tcW w:w="373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04" w:type="dxa"/>
            <w:vAlign w:val="top"/>
          </w:tcPr>
          <w:p>
            <w:pPr>
              <w:pStyle w:val="TableText"/>
              <w:ind w:left="224"/>
              <w:spacing w:before="241" w:line="184" w:lineRule="auto"/>
              <w:rPr>
                <w:sz w:val="16"/>
                <w:szCs w:val="16"/>
              </w:rPr>
            </w:pPr>
            <w:r>
              <w:rPr>
                <w:sz w:val="16"/>
                <w:szCs w:val="16"/>
                <w:spacing w:val="-5"/>
              </w:rPr>
              <w:t>1.1</w:t>
            </w:r>
          </w:p>
        </w:tc>
        <w:tc>
          <w:tcPr>
            <w:tcW w:w="3155" w:type="dxa"/>
            <w:vAlign w:val="top"/>
          </w:tcPr>
          <w:p>
            <w:pPr>
              <w:pStyle w:val="TableText"/>
              <w:ind w:left="270"/>
              <w:spacing w:before="199" w:line="219" w:lineRule="auto"/>
              <w:rPr>
                <w:sz w:val="16"/>
                <w:szCs w:val="16"/>
              </w:rPr>
            </w:pPr>
            <w:r>
              <w:rPr>
                <w:sz w:val="16"/>
                <w:szCs w:val="16"/>
                <w:spacing w:val="-1"/>
              </w:rPr>
              <w:t>为数据存储进行基本的概要分析</w:t>
            </w:r>
          </w:p>
        </w:tc>
        <w:tc>
          <w:tcPr>
            <w:tcW w:w="3730" w:type="dxa"/>
            <w:vAlign w:val="top"/>
          </w:tcPr>
          <w:p>
            <w:pPr>
              <w:pStyle w:val="TableText"/>
              <w:ind w:left="265"/>
              <w:spacing w:before="79" w:line="218" w:lineRule="auto"/>
              <w:rPr>
                <w:sz w:val="16"/>
                <w:szCs w:val="16"/>
              </w:rPr>
            </w:pPr>
            <w:r>
              <w:rPr>
                <w:sz w:val="16"/>
                <w:szCs w:val="16"/>
                <w:spacing w:val="1"/>
              </w:rPr>
              <w:t>●数据概要分析报告</w:t>
            </w:r>
          </w:p>
          <w:p>
            <w:pPr>
              <w:pStyle w:val="TableText"/>
              <w:ind w:left="265"/>
              <w:spacing w:before="82" w:line="219" w:lineRule="auto"/>
              <w:rPr>
                <w:sz w:val="16"/>
                <w:szCs w:val="16"/>
              </w:rPr>
            </w:pPr>
            <w:r>
              <w:rPr>
                <w:sz w:val="16"/>
                <w:szCs w:val="16"/>
              </w:rPr>
              <w:t>●数据概要检查清单</w:t>
            </w:r>
          </w:p>
        </w:tc>
      </w:tr>
    </w:tbl>
    <w:p>
      <w:pPr>
        <w:ind w:left="55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80" w:right="57" w:firstLine="379"/>
        <w:spacing w:before="38" w:line="246" w:lineRule="auto"/>
        <w:rPr>
          <w:rFonts w:ascii="SimSun" w:hAnsi="SimSun" w:eastAsia="SimSun" w:cs="SimSun"/>
          <w:sz w:val="22"/>
          <w:szCs w:val="22"/>
        </w:rPr>
      </w:pPr>
      <w:r>
        <w:rPr>
          <w:rFonts w:ascii="SimSun" w:hAnsi="SimSun" w:eastAsia="SimSun" w:cs="SimSun"/>
          <w:sz w:val="22"/>
          <w:szCs w:val="22"/>
          <w:spacing w:val="-9"/>
        </w:rPr>
        <w:t>基本概要分析的内容包括分析列中不同值的种类和数量、零的数量或百分比、</w:t>
      </w:r>
      <w:r>
        <w:rPr>
          <w:rFonts w:ascii="SimSun" w:hAnsi="SimSun" w:eastAsia="SimSun" w:cs="SimSun"/>
          <w:sz w:val="22"/>
          <w:szCs w:val="22"/>
          <w:spacing w:val="15"/>
        </w:rPr>
        <w:t xml:space="preserve"> </w:t>
      </w:r>
      <w:r>
        <w:rPr>
          <w:rFonts w:ascii="SimSun" w:hAnsi="SimSun" w:eastAsia="SimSun" w:cs="SimSun"/>
          <w:sz w:val="22"/>
          <w:szCs w:val="22"/>
          <w:spacing w:val="-8"/>
        </w:rPr>
        <w:t>空白值或无效值、字符串长度、日期范围、</w:t>
      </w:r>
      <w:r>
        <w:rPr>
          <w:rFonts w:ascii="SimSun" w:hAnsi="SimSun" w:eastAsia="SimSun" w:cs="SimSun"/>
          <w:sz w:val="22"/>
          <w:szCs w:val="22"/>
          <w:spacing w:val="-9"/>
        </w:rPr>
        <w:t>模式。这与高级分析不同，高级分析的</w:t>
      </w:r>
      <w:r>
        <w:rPr>
          <w:rFonts w:ascii="SimSun" w:hAnsi="SimSun" w:eastAsia="SimSun" w:cs="SimSun"/>
          <w:sz w:val="22"/>
          <w:szCs w:val="22"/>
        </w:rPr>
        <w:t xml:space="preserve"> </w:t>
      </w:r>
      <w:r>
        <w:rPr>
          <w:rFonts w:ascii="SimSun" w:hAnsi="SimSun" w:eastAsia="SimSun" w:cs="SimSun"/>
          <w:sz w:val="22"/>
          <w:szCs w:val="22"/>
          <w:spacing w:val="-13"/>
        </w:rPr>
        <w:t>对象为基数、频率分布等。</w:t>
      </w:r>
    </w:p>
    <w:p>
      <w:pPr>
        <w:ind w:left="660"/>
        <w:spacing w:before="66"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11"/>
        </w:rPr>
        <w:t xml:space="preserve">  </w:t>
      </w:r>
      <w:r>
        <w:rPr>
          <w:rFonts w:ascii="Times New Roman" w:hAnsi="Times New Roman" w:eastAsia="Times New Roman" w:cs="Times New Roman"/>
          <w:sz w:val="22"/>
          <w:szCs w:val="22"/>
          <w:b/>
          <w:bCs/>
          <w:spacing w:val="-5"/>
        </w:rPr>
        <w:t>2: </w:t>
      </w:r>
      <w:r>
        <w:rPr>
          <w:rFonts w:ascii="SimHei" w:hAnsi="SimHei" w:eastAsia="SimHei" w:cs="SimHei"/>
          <w:sz w:val="22"/>
          <w:szCs w:val="22"/>
          <w:b/>
          <w:bCs/>
          <w:spacing w:val="-5"/>
        </w:rPr>
        <w:t>管理级</w:t>
      </w:r>
    </w:p>
    <w:p>
      <w:pPr>
        <w:spacing w:line="118" w:lineRule="exact"/>
        <w:rPr/>
      </w:pPr>
      <w:r/>
    </w:p>
    <w:tbl>
      <w:tblPr>
        <w:tblStyle w:val="TableNormal"/>
        <w:tblW w:w="759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40"/>
      </w:tblGrid>
      <w:tr>
        <w:trPr>
          <w:trHeight w:val="301" w:hRule="atLeast"/>
        </w:trPr>
        <w:tc>
          <w:tcPr>
            <w:tcW w:w="704" w:type="dxa"/>
            <w:vAlign w:val="top"/>
          </w:tcPr>
          <w:p>
            <w:pPr>
              <w:pStyle w:val="TableText"/>
              <w:ind w:left="184"/>
              <w:spacing w:before="72" w:line="221" w:lineRule="auto"/>
              <w:rPr>
                <w:sz w:val="16"/>
                <w:szCs w:val="16"/>
              </w:rPr>
            </w:pPr>
            <w:r>
              <w:rPr>
                <w:sz w:val="16"/>
                <w:szCs w:val="16"/>
                <w:spacing w:val="-2"/>
              </w:rPr>
              <w:t>序号</w:t>
            </w:r>
          </w:p>
        </w:tc>
        <w:tc>
          <w:tcPr>
            <w:tcW w:w="3155" w:type="dxa"/>
            <w:vAlign w:val="top"/>
          </w:tcPr>
          <w:p>
            <w:pPr>
              <w:pStyle w:val="TableText"/>
              <w:ind w:left="1170"/>
              <w:spacing w:before="71" w:line="219" w:lineRule="auto"/>
              <w:rPr>
                <w:sz w:val="16"/>
                <w:szCs w:val="16"/>
              </w:rPr>
            </w:pPr>
            <w:r>
              <w:rPr>
                <w:sz w:val="16"/>
                <w:szCs w:val="16"/>
                <w:spacing w:val="-4"/>
              </w:rPr>
              <w:t>等 级 要 求</w:t>
            </w:r>
          </w:p>
        </w:tc>
        <w:tc>
          <w:tcPr>
            <w:tcW w:w="3740" w:type="dxa"/>
            <w:vAlign w:val="top"/>
          </w:tcPr>
          <w:p>
            <w:pPr>
              <w:pStyle w:val="TableText"/>
              <w:ind w:left="1575"/>
              <w:spacing w:before="7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04" w:type="dxa"/>
            <w:vAlign w:val="top"/>
          </w:tcPr>
          <w:p>
            <w:pPr>
              <w:pStyle w:val="TableText"/>
              <w:ind w:left="224"/>
              <w:spacing w:before="250" w:line="184" w:lineRule="auto"/>
              <w:rPr>
                <w:sz w:val="16"/>
                <w:szCs w:val="16"/>
              </w:rPr>
            </w:pPr>
            <w:r>
              <w:rPr>
                <w:sz w:val="16"/>
                <w:szCs w:val="16"/>
                <w:spacing w:val="-2"/>
              </w:rPr>
              <w:t>2.1</w:t>
            </w:r>
          </w:p>
        </w:tc>
        <w:tc>
          <w:tcPr>
            <w:tcW w:w="3155" w:type="dxa"/>
            <w:vAlign w:val="top"/>
          </w:tcPr>
          <w:p>
            <w:pPr>
              <w:pStyle w:val="TableText"/>
              <w:ind w:left="270"/>
              <w:spacing w:before="210" w:line="219" w:lineRule="auto"/>
              <w:rPr>
                <w:sz w:val="16"/>
                <w:szCs w:val="16"/>
              </w:rPr>
            </w:pPr>
            <w:r>
              <w:rPr>
                <w:sz w:val="16"/>
                <w:szCs w:val="16"/>
                <w:spacing w:val="-1"/>
              </w:rPr>
              <w:t>建立并遵循数据概要分析方法学</w:t>
            </w:r>
          </w:p>
        </w:tc>
        <w:tc>
          <w:tcPr>
            <w:tcW w:w="3740" w:type="dxa"/>
            <w:vAlign w:val="top"/>
          </w:tcPr>
          <w:p>
            <w:pPr>
              <w:pStyle w:val="TableText"/>
              <w:ind w:left="265"/>
              <w:spacing w:before="70" w:line="219" w:lineRule="auto"/>
              <w:rPr>
                <w:sz w:val="16"/>
                <w:szCs w:val="16"/>
              </w:rPr>
            </w:pPr>
            <w:r>
              <w:rPr>
                <w:sz w:val="16"/>
                <w:szCs w:val="16"/>
                <w:spacing w:val="1"/>
              </w:rPr>
              <w:t>●概要分析方法学</w:t>
            </w:r>
          </w:p>
          <w:p>
            <w:pPr>
              <w:pStyle w:val="TableText"/>
              <w:ind w:left="265"/>
              <w:spacing w:before="109" w:line="217" w:lineRule="auto"/>
              <w:rPr>
                <w:sz w:val="16"/>
                <w:szCs w:val="16"/>
              </w:rPr>
            </w:pPr>
            <w:r>
              <w:rPr>
                <w:sz w:val="16"/>
                <w:szCs w:val="16"/>
              </w:rPr>
              <w:t>●概要分析过程记录</w:t>
            </w:r>
          </w:p>
        </w:tc>
      </w:tr>
    </w:tbl>
    <w:p>
      <w:pPr>
        <w:ind w:left="550"/>
        <w:spacing w:before="20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80" w:right="48" w:firstLine="379"/>
        <w:spacing w:before="47" w:line="247" w:lineRule="auto"/>
        <w:rPr>
          <w:rFonts w:ascii="SimSun" w:hAnsi="SimSun" w:eastAsia="SimSun" w:cs="SimSun"/>
          <w:sz w:val="22"/>
          <w:szCs w:val="22"/>
        </w:rPr>
      </w:pPr>
      <w:r>
        <w:rPr>
          <w:rFonts w:ascii="SimSun" w:hAnsi="SimSun" w:eastAsia="SimSun" w:cs="SimSun"/>
          <w:sz w:val="22"/>
          <w:szCs w:val="22"/>
          <w:spacing w:val="-9"/>
        </w:rPr>
        <w:t>组织建立或采用的方法学描述了进行数据概要分析的方法。方法学通常会论述</w:t>
      </w:r>
      <w:r>
        <w:rPr>
          <w:rFonts w:ascii="SimSun" w:hAnsi="SimSun" w:eastAsia="SimSun" w:cs="SimSun"/>
          <w:sz w:val="22"/>
          <w:szCs w:val="22"/>
          <w:spacing w:val="13"/>
        </w:rPr>
        <w:t xml:space="preserve"> </w:t>
      </w:r>
      <w:r>
        <w:rPr>
          <w:rFonts w:ascii="SimSun" w:hAnsi="SimSun" w:eastAsia="SimSun" w:cs="SimSun"/>
          <w:sz w:val="22"/>
          <w:szCs w:val="22"/>
          <w:spacing w:val="-8"/>
        </w:rPr>
        <w:t>工作的策划和范围的定义、概要分析的技巧、报告的模板以及结</w:t>
      </w:r>
      <w:r>
        <w:rPr>
          <w:rFonts w:ascii="SimSun" w:hAnsi="SimSun" w:eastAsia="SimSun" w:cs="SimSun"/>
          <w:sz w:val="22"/>
          <w:szCs w:val="22"/>
          <w:spacing w:val="-9"/>
        </w:rPr>
        <w:t>论的展示格式。另</w:t>
      </w:r>
      <w:r>
        <w:rPr>
          <w:rFonts w:ascii="SimSun" w:hAnsi="SimSun" w:eastAsia="SimSun" w:cs="SimSun"/>
          <w:sz w:val="22"/>
          <w:szCs w:val="22"/>
        </w:rPr>
        <w:t xml:space="preserve"> </w:t>
      </w:r>
      <w:r>
        <w:rPr>
          <w:rFonts w:ascii="SimSun" w:hAnsi="SimSun" w:eastAsia="SimSun" w:cs="SimSun"/>
          <w:sz w:val="22"/>
          <w:szCs w:val="22"/>
          <w:spacing w:val="-10"/>
        </w:rPr>
        <w:t>外，分析过程在多个数据存储和共享的数据库中应该是可重用和可利用的。</w:t>
      </w:r>
    </w:p>
    <w:p>
      <w:pPr>
        <w:spacing w:line="115" w:lineRule="exact"/>
        <w:rPr/>
      </w:pPr>
      <w:r/>
    </w:p>
    <w:tbl>
      <w:tblPr>
        <w:tblStyle w:val="TableNormal"/>
        <w:tblW w:w="759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19"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00" w:hRule="atLeast"/>
        </w:trPr>
        <w:tc>
          <w:tcPr>
            <w:tcW w:w="714" w:type="dxa"/>
            <w:vAlign w:val="top"/>
          </w:tcPr>
          <w:p>
            <w:pPr>
              <w:pStyle w:val="TableText"/>
              <w:ind w:left="225"/>
              <w:spacing w:before="113" w:line="183" w:lineRule="auto"/>
              <w:rPr>
                <w:sz w:val="16"/>
                <w:szCs w:val="16"/>
              </w:rPr>
            </w:pPr>
            <w:r>
              <w:rPr>
                <w:sz w:val="16"/>
                <w:szCs w:val="16"/>
                <w:spacing w:val="-2"/>
              </w:rPr>
              <w:t>2.2</w:t>
            </w:r>
          </w:p>
        </w:tc>
        <w:tc>
          <w:tcPr>
            <w:tcW w:w="3145" w:type="dxa"/>
            <w:vAlign w:val="top"/>
          </w:tcPr>
          <w:p>
            <w:pPr>
              <w:pStyle w:val="TableText"/>
              <w:ind w:left="251"/>
              <w:spacing w:before="72" w:line="219" w:lineRule="auto"/>
              <w:rPr>
                <w:sz w:val="16"/>
                <w:szCs w:val="16"/>
              </w:rPr>
            </w:pPr>
            <w:r>
              <w:rPr>
                <w:sz w:val="16"/>
                <w:szCs w:val="16"/>
                <w:spacing w:val="-1"/>
              </w:rPr>
              <w:t>为项目建立数据概要分析的计划</w:t>
            </w:r>
          </w:p>
        </w:tc>
        <w:tc>
          <w:tcPr>
            <w:tcW w:w="3740" w:type="dxa"/>
            <w:vAlign w:val="top"/>
          </w:tcPr>
          <w:p>
            <w:pPr>
              <w:pStyle w:val="TableText"/>
              <w:ind w:left="265"/>
              <w:spacing w:before="72" w:line="219" w:lineRule="auto"/>
              <w:rPr>
                <w:sz w:val="16"/>
                <w:szCs w:val="16"/>
              </w:rPr>
            </w:pPr>
            <w:r>
              <w:rPr>
                <w:sz w:val="16"/>
                <w:szCs w:val="16"/>
              </w:rPr>
              <w:t>●项目的数据概要分析技术</w:t>
            </w:r>
          </w:p>
        </w:tc>
      </w:tr>
    </w:tbl>
    <w:p>
      <w:pPr>
        <w:ind w:left="55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660"/>
        <w:spacing w:before="69" w:line="219" w:lineRule="auto"/>
        <w:rPr>
          <w:rFonts w:ascii="SimSun" w:hAnsi="SimSun" w:eastAsia="SimSun" w:cs="SimSun"/>
          <w:sz w:val="22"/>
          <w:szCs w:val="22"/>
        </w:rPr>
      </w:pPr>
      <w:r>
        <w:rPr>
          <w:rFonts w:ascii="SimSun" w:hAnsi="SimSun" w:eastAsia="SimSun" w:cs="SimSun"/>
          <w:sz w:val="22"/>
          <w:szCs w:val="22"/>
          <w:spacing w:val="-10"/>
        </w:rPr>
        <w:t>数据概要分析计划当中要包含如下内容。</w:t>
      </w:r>
    </w:p>
    <w:p>
      <w:pPr>
        <w:ind w:left="660"/>
        <w:spacing w:before="49" w:line="219" w:lineRule="auto"/>
        <w:rPr>
          <w:rFonts w:ascii="SimSun" w:hAnsi="SimSun" w:eastAsia="SimSun" w:cs="SimSun"/>
          <w:sz w:val="22"/>
          <w:szCs w:val="22"/>
        </w:rPr>
      </w:pPr>
      <w:r>
        <w:rPr>
          <w:rFonts w:ascii="SimSun" w:hAnsi="SimSun" w:eastAsia="SimSun" w:cs="SimSun"/>
          <w:sz w:val="22"/>
          <w:szCs w:val="22"/>
          <w:spacing w:val="-10"/>
        </w:rPr>
        <w:t>●选择数据存储进行检查；</w:t>
      </w:r>
    </w:p>
    <w:p>
      <w:pPr>
        <w:ind w:left="660"/>
        <w:spacing w:before="49" w:line="219" w:lineRule="auto"/>
        <w:rPr>
          <w:rFonts w:ascii="SimSun" w:hAnsi="SimSun" w:eastAsia="SimSun" w:cs="SimSun"/>
          <w:sz w:val="22"/>
          <w:szCs w:val="22"/>
        </w:rPr>
      </w:pPr>
      <w:r>
        <w:rPr>
          <w:rFonts w:ascii="SimSun" w:hAnsi="SimSun" w:eastAsia="SimSun" w:cs="SimSun"/>
          <w:sz w:val="22"/>
          <w:szCs w:val="22"/>
          <w:spacing w:val="-9"/>
        </w:rPr>
        <w:t>●识别需要进行概要分析的数据集；</w:t>
      </w:r>
    </w:p>
    <w:p>
      <w:pPr>
        <w:ind w:left="660"/>
        <w:spacing w:before="57" w:line="219" w:lineRule="auto"/>
        <w:rPr>
          <w:rFonts w:ascii="SimSun" w:hAnsi="SimSun" w:eastAsia="SimSun" w:cs="SimSun"/>
          <w:sz w:val="22"/>
          <w:szCs w:val="22"/>
        </w:rPr>
      </w:pPr>
      <w:r>
        <w:rPr>
          <w:rFonts w:ascii="SimSun" w:hAnsi="SimSun" w:eastAsia="SimSun" w:cs="SimSun"/>
          <w:sz w:val="22"/>
          <w:szCs w:val="22"/>
          <w:spacing w:val="-9"/>
        </w:rPr>
        <w:t>●相关责任人的清单以及他们的角色定义；</w:t>
      </w:r>
    </w:p>
    <w:p>
      <w:pPr>
        <w:ind w:left="660"/>
        <w:spacing w:before="48" w:line="239" w:lineRule="auto"/>
        <w:rPr>
          <w:rFonts w:ascii="SimSun" w:hAnsi="SimSun" w:eastAsia="SimSun" w:cs="SimSun"/>
          <w:sz w:val="22"/>
          <w:szCs w:val="22"/>
        </w:rPr>
      </w:pPr>
      <w:r>
        <w:rPr>
          <w:rFonts w:ascii="STXingkai" w:hAnsi="STXingkai" w:eastAsia="STXingkai" w:cs="STXingkai"/>
          <w:sz w:val="22"/>
          <w:szCs w:val="22"/>
          <w:spacing w:val="-17"/>
        </w:rPr>
        <w:t>●</w:t>
      </w:r>
      <w:r>
        <w:rPr>
          <w:rFonts w:ascii="STXingkai" w:hAnsi="STXingkai" w:eastAsia="STXingkai" w:cs="STXingkai"/>
          <w:sz w:val="22"/>
          <w:szCs w:val="22"/>
          <w:spacing w:val="44"/>
        </w:rPr>
        <w:t xml:space="preserve"> </w:t>
      </w:r>
      <w:r>
        <w:rPr>
          <w:rFonts w:ascii="SimSun" w:hAnsi="SimSun" w:eastAsia="SimSun" w:cs="SimSun"/>
          <w:sz w:val="22"/>
          <w:szCs w:val="22"/>
          <w:spacing w:val="-17"/>
        </w:rPr>
        <w:t>概要分析活动的目标；</w:t>
      </w:r>
    </w:p>
    <w:p>
      <w:pPr>
        <w:ind w:left="999" w:hanging="339"/>
        <w:spacing w:before="1" w:line="242" w:lineRule="auto"/>
        <w:rPr>
          <w:rFonts w:ascii="SimSun" w:hAnsi="SimSun" w:eastAsia="SimSun" w:cs="SimSun"/>
          <w:sz w:val="22"/>
          <w:szCs w:val="22"/>
        </w:rPr>
      </w:pPr>
      <w:r>
        <w:rPr>
          <w:rFonts w:ascii="SimSun" w:hAnsi="SimSun" w:eastAsia="SimSun" w:cs="SimSun"/>
          <w:sz w:val="22"/>
          <w:szCs w:val="22"/>
          <w:spacing w:val="1"/>
        </w:rPr>
        <w:t>●基于目标制订的数据质量准则，包括数据的参照完整性(父与子),元数据</w:t>
      </w:r>
      <w:r>
        <w:rPr>
          <w:rFonts w:ascii="SimSun" w:hAnsi="SimSun" w:eastAsia="SimSun" w:cs="SimSun"/>
          <w:sz w:val="22"/>
          <w:szCs w:val="22"/>
          <w:spacing w:val="4"/>
        </w:rPr>
        <w:t xml:space="preserve">  </w:t>
      </w:r>
      <w:r>
        <w:rPr>
          <w:rFonts w:ascii="SimSun" w:hAnsi="SimSun" w:eastAsia="SimSun" w:cs="SimSun"/>
          <w:sz w:val="22"/>
          <w:szCs w:val="22"/>
          <w:spacing w:val="-9"/>
        </w:rPr>
        <w:t>记录中数据的一致性、与已建立的规则和模式之间</w:t>
      </w:r>
      <w:r>
        <w:rPr>
          <w:rFonts w:ascii="SimSun" w:hAnsi="SimSun" w:eastAsia="SimSun" w:cs="SimSun"/>
          <w:sz w:val="22"/>
          <w:szCs w:val="22"/>
          <w:spacing w:val="-10"/>
        </w:rPr>
        <w:t>的一致性、标准的数据质</w:t>
      </w:r>
      <w:r>
        <w:rPr>
          <w:rFonts w:ascii="SimSun" w:hAnsi="SimSun" w:eastAsia="SimSun" w:cs="SimSun"/>
          <w:sz w:val="22"/>
          <w:szCs w:val="22"/>
        </w:rPr>
        <w:t xml:space="preserve"> </w:t>
      </w:r>
      <w:r>
        <w:rPr>
          <w:rFonts w:ascii="SimSun" w:hAnsi="SimSun" w:eastAsia="SimSun" w:cs="SimSun"/>
          <w:sz w:val="22"/>
          <w:szCs w:val="22"/>
          <w:spacing w:val="-12"/>
        </w:rPr>
        <w:t>量维度；</w:t>
      </w:r>
    </w:p>
    <w:p>
      <w:pPr>
        <w:ind w:left="660"/>
        <w:spacing w:before="58" w:line="219" w:lineRule="auto"/>
        <w:rPr>
          <w:rFonts w:ascii="SimSun" w:hAnsi="SimSun" w:eastAsia="SimSun" w:cs="SimSun"/>
          <w:sz w:val="22"/>
          <w:szCs w:val="22"/>
        </w:rPr>
      </w:pPr>
      <w:r>
        <w:rPr>
          <w:rFonts w:ascii="SimSun" w:hAnsi="SimSun" w:eastAsia="SimSun" w:cs="SimSun"/>
          <w:sz w:val="22"/>
          <w:szCs w:val="22"/>
          <w:spacing w:val="-10"/>
        </w:rPr>
        <w:t>●概要分析活动中要应用的规则；</w:t>
      </w:r>
    </w:p>
    <w:p>
      <w:pPr>
        <w:ind w:left="660"/>
        <w:spacing w:before="55" w:line="234" w:lineRule="auto"/>
        <w:rPr>
          <w:rFonts w:ascii="SimSun" w:hAnsi="SimSun" w:eastAsia="SimSun" w:cs="SimSun"/>
          <w:sz w:val="22"/>
          <w:szCs w:val="22"/>
        </w:rPr>
      </w:pPr>
      <w:r>
        <w:rPr>
          <w:rFonts w:ascii="STXingkai" w:hAnsi="STXingkai" w:eastAsia="STXingkai" w:cs="STXingkai"/>
          <w:sz w:val="22"/>
          <w:szCs w:val="22"/>
          <w:spacing w:val="-14"/>
        </w:rPr>
        <w:t>●  </w:t>
      </w:r>
      <w:r>
        <w:rPr>
          <w:rFonts w:ascii="SimSun" w:hAnsi="SimSun" w:eastAsia="SimSun" w:cs="SimSun"/>
          <w:sz w:val="22"/>
          <w:szCs w:val="22"/>
          <w:spacing w:val="-14"/>
        </w:rPr>
        <w:t>数据概要分析使用的方法和工具；</w:t>
      </w:r>
    </w:p>
    <w:p>
      <w:pPr>
        <w:ind w:left="660"/>
        <w:spacing w:before="1" w:line="218" w:lineRule="auto"/>
        <w:rPr>
          <w:rFonts w:ascii="SimSun" w:hAnsi="SimSun" w:eastAsia="SimSun" w:cs="SimSun"/>
          <w:sz w:val="22"/>
          <w:szCs w:val="22"/>
        </w:rPr>
      </w:pPr>
      <w:r>
        <w:rPr>
          <w:rFonts w:ascii="SimSun" w:hAnsi="SimSun" w:eastAsia="SimSun" w:cs="SimSun"/>
          <w:sz w:val="22"/>
          <w:szCs w:val="22"/>
          <w:spacing w:val="-11"/>
        </w:rPr>
        <w:t>●记录结果的模板；</w:t>
      </w:r>
    </w:p>
    <w:p>
      <w:pPr>
        <w:ind w:left="660"/>
        <w:spacing w:before="61" w:line="220" w:lineRule="auto"/>
        <w:rPr>
          <w:rFonts w:ascii="SimSun" w:hAnsi="SimSun" w:eastAsia="SimSun" w:cs="SimSun"/>
          <w:sz w:val="22"/>
          <w:szCs w:val="22"/>
        </w:rPr>
      </w:pPr>
      <w:r>
        <w:rPr>
          <w:rFonts w:ascii="SimSun" w:hAnsi="SimSun" w:eastAsia="SimSun" w:cs="SimSun"/>
          <w:sz w:val="22"/>
          <w:szCs w:val="22"/>
          <w:spacing w:val="-9"/>
        </w:rPr>
        <w:t>●活动进度，包括资源。</w:t>
      </w:r>
    </w:p>
    <w:p>
      <w:pPr>
        <w:spacing w:line="220" w:lineRule="auto"/>
        <w:sectPr>
          <w:footerReference w:type="default" r:id="rId263"/>
          <w:pgSz w:w="8870" w:h="13400"/>
          <w:pgMar w:top="400" w:right="506" w:bottom="535" w:left="409" w:header="0" w:footer="316" w:gutter="0"/>
        </w:sectPr>
        <w:rPr>
          <w:rFonts w:ascii="SimSun" w:hAnsi="SimSun" w:eastAsia="SimSun" w:cs="SimSun"/>
          <w:sz w:val="22"/>
          <w:szCs w:val="22"/>
        </w:rPr>
      </w:pPr>
    </w:p>
    <w:p>
      <w:pPr>
        <w:ind w:left="5493"/>
        <w:spacing w:before="224" w:line="219" w:lineRule="auto"/>
        <w:rPr>
          <w:rFonts w:ascii="SimSun" w:hAnsi="SimSun" w:eastAsia="SimSun" w:cs="SimSun"/>
          <w:sz w:val="22"/>
          <w:szCs w:val="22"/>
        </w:rPr>
      </w:pPr>
      <w:r>
        <w:rPr>
          <w:rFonts w:ascii="SimSun" w:hAnsi="SimSun" w:eastAsia="SimSun" w:cs="SimSun"/>
          <w:sz w:val="22"/>
          <w:szCs w:val="22"/>
          <w:b/>
          <w:bCs/>
          <w:spacing w:val="5"/>
        </w:rPr>
        <w:t>第6章■云端数据质量</w:t>
      </w:r>
    </w:p>
    <w:p>
      <w:pPr>
        <w:spacing w:before="28"/>
        <w:rPr/>
      </w:pPr>
      <w:r/>
    </w:p>
    <w:tbl>
      <w:tblPr>
        <w:tblStyle w:val="TableNormal"/>
        <w:tblW w:w="75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1" w:hRule="atLeast"/>
        </w:trPr>
        <w:tc>
          <w:tcPr>
            <w:tcW w:w="704" w:type="dxa"/>
            <w:vAlign w:val="top"/>
          </w:tcPr>
          <w:p>
            <w:pPr>
              <w:pStyle w:val="TableText"/>
              <w:ind w:left="195"/>
              <w:spacing w:before="81"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81" w:line="220" w:lineRule="auto"/>
              <w:rPr/>
            </w:pPr>
            <w:r>
              <w:rPr>
                <w:spacing w:val="-5"/>
              </w:rPr>
              <w:t>实</w:t>
            </w:r>
            <w:r>
              <w:rPr>
                <w:spacing w:val="6"/>
              </w:rPr>
              <w:t xml:space="preserve">    </w:t>
            </w:r>
            <w:r>
              <w:rPr>
                <w:spacing w:val="-5"/>
              </w:rPr>
              <w:t>例</w:t>
            </w:r>
          </w:p>
        </w:tc>
      </w:tr>
      <w:tr>
        <w:trPr>
          <w:trHeight w:val="568" w:hRule="atLeast"/>
        </w:trPr>
        <w:tc>
          <w:tcPr>
            <w:tcW w:w="704" w:type="dxa"/>
            <w:vAlign w:val="top"/>
          </w:tcPr>
          <w:p>
            <w:pPr>
              <w:pStyle w:val="TableText"/>
              <w:ind w:left="225"/>
              <w:spacing w:before="248" w:line="183" w:lineRule="auto"/>
              <w:rPr/>
            </w:pPr>
            <w:r>
              <w:rPr>
                <w:spacing w:val="-2"/>
              </w:rPr>
              <w:t>2.3</w:t>
            </w:r>
          </w:p>
        </w:tc>
        <w:tc>
          <w:tcPr>
            <w:tcW w:w="3145" w:type="dxa"/>
            <w:vAlign w:val="top"/>
          </w:tcPr>
          <w:p>
            <w:pPr>
              <w:pStyle w:val="TableText"/>
              <w:ind w:left="110" w:right="132" w:firstLine="180"/>
              <w:spacing w:before="99" w:line="276" w:lineRule="auto"/>
              <w:rPr/>
            </w:pPr>
            <w:r>
              <w:rPr/>
              <w:t>与相关责任人和数据治理团队共享数据的</w:t>
            </w:r>
            <w:r>
              <w:rPr>
                <w:spacing w:val="10"/>
              </w:rPr>
              <w:t xml:space="preserve"> </w:t>
            </w:r>
            <w:r>
              <w:rPr>
                <w:spacing w:val="-1"/>
              </w:rPr>
              <w:t>概要分析计划</w:t>
            </w:r>
          </w:p>
        </w:tc>
        <w:tc>
          <w:tcPr>
            <w:tcW w:w="3750" w:type="dxa"/>
            <w:vAlign w:val="top"/>
          </w:tcPr>
          <w:p>
            <w:pPr>
              <w:pStyle w:val="TableText"/>
              <w:ind w:left="265"/>
              <w:spacing w:before="210" w:line="219" w:lineRule="auto"/>
              <w:rPr/>
            </w:pPr>
            <w:r>
              <w:rPr/>
              <w:t>●概要分析计划的分发记录</w:t>
            </w:r>
          </w:p>
        </w:tc>
      </w:tr>
    </w:tbl>
    <w:p>
      <w:pPr>
        <w:ind w:left="290"/>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34" w:firstLine="400"/>
        <w:spacing w:before="48" w:line="250" w:lineRule="auto"/>
        <w:rPr>
          <w:rFonts w:ascii="SimSun" w:hAnsi="SimSun" w:eastAsia="SimSun" w:cs="SimSun"/>
          <w:sz w:val="22"/>
          <w:szCs w:val="22"/>
        </w:rPr>
      </w:pPr>
      <w:r>
        <w:rPr>
          <w:rFonts w:ascii="SimSun" w:hAnsi="SimSun" w:eastAsia="SimSun" w:cs="SimSun"/>
          <w:sz w:val="22"/>
          <w:szCs w:val="22"/>
          <w:spacing w:val="-8"/>
        </w:rPr>
        <w:t>不应该无实质性地对概要分析活动进行策划和执行。相关责任人和数据治理方</w:t>
      </w:r>
      <w:r>
        <w:rPr>
          <w:rFonts w:ascii="SimSun" w:hAnsi="SimSun" w:eastAsia="SimSun" w:cs="SimSun"/>
          <w:sz w:val="22"/>
          <w:szCs w:val="22"/>
        </w:rPr>
        <w:t xml:space="preserve"> </w:t>
      </w:r>
      <w:r>
        <w:rPr>
          <w:rFonts w:ascii="SimSun" w:hAnsi="SimSun" w:eastAsia="SimSun" w:cs="SimSun"/>
          <w:sz w:val="22"/>
          <w:szCs w:val="22"/>
          <w:spacing w:val="-8"/>
        </w:rPr>
        <w:t>都有其特定需求，应该将这些需求纳入考虑范围内。另外，要认识到执行</w:t>
      </w:r>
      <w:r>
        <w:rPr>
          <w:rFonts w:ascii="SimSun" w:hAnsi="SimSun" w:eastAsia="SimSun" w:cs="SimSun"/>
          <w:sz w:val="22"/>
          <w:szCs w:val="22"/>
          <w:spacing w:val="-9"/>
        </w:rPr>
        <w:t>概要分析</w:t>
      </w:r>
      <w:r>
        <w:rPr>
          <w:rFonts w:ascii="SimSun" w:hAnsi="SimSun" w:eastAsia="SimSun" w:cs="SimSun"/>
          <w:sz w:val="22"/>
          <w:szCs w:val="22"/>
        </w:rPr>
        <w:t xml:space="preserve"> </w:t>
      </w:r>
      <w:r>
        <w:rPr>
          <w:rFonts w:ascii="SimSun" w:hAnsi="SimSun" w:eastAsia="SimSun" w:cs="SimSun"/>
          <w:sz w:val="22"/>
          <w:szCs w:val="22"/>
          <w:spacing w:val="-8"/>
        </w:rPr>
        <w:t>活动的成本和工作量并不少，因此，保持概要分析活动与业务目标相符是十</w:t>
      </w:r>
      <w:r>
        <w:rPr>
          <w:rFonts w:ascii="SimSun" w:hAnsi="SimSun" w:eastAsia="SimSun" w:cs="SimSun"/>
          <w:sz w:val="22"/>
          <w:szCs w:val="22"/>
          <w:spacing w:val="-9"/>
        </w:rPr>
        <w:t>分重要</w:t>
      </w:r>
      <w:r>
        <w:rPr>
          <w:rFonts w:ascii="SimSun" w:hAnsi="SimSun" w:eastAsia="SimSun" w:cs="SimSun"/>
          <w:sz w:val="22"/>
          <w:szCs w:val="22"/>
        </w:rPr>
        <w:t xml:space="preserve"> </w:t>
      </w:r>
      <w:r>
        <w:rPr>
          <w:rFonts w:ascii="SimSun" w:hAnsi="SimSun" w:eastAsia="SimSun" w:cs="SimSun"/>
          <w:sz w:val="22"/>
          <w:szCs w:val="22"/>
          <w:spacing w:val="-10"/>
        </w:rPr>
        <w:t>的。分享概要分析的计划能保证一致意见的达成以及</w:t>
      </w:r>
      <w:r>
        <w:rPr>
          <w:rFonts w:ascii="SimSun" w:hAnsi="SimSun" w:eastAsia="SimSun" w:cs="SimSun"/>
          <w:sz w:val="22"/>
          <w:szCs w:val="22"/>
          <w:spacing w:val="-11"/>
        </w:rPr>
        <w:t>与业务目标的持续相符。</w:t>
      </w:r>
    </w:p>
    <w:p>
      <w:pPr>
        <w:spacing w:line="124" w:lineRule="exact"/>
        <w:rPr/>
      </w:pPr>
      <w:r/>
    </w:p>
    <w:tbl>
      <w:tblPr>
        <w:tblStyle w:val="TableNormal"/>
        <w:tblW w:w="75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12" w:hRule="atLeast"/>
        </w:trPr>
        <w:tc>
          <w:tcPr>
            <w:tcW w:w="714" w:type="dxa"/>
            <w:vAlign w:val="top"/>
          </w:tcPr>
          <w:p>
            <w:pPr>
              <w:pStyle w:val="TableText"/>
              <w:ind w:left="195"/>
              <w:spacing w:before="81" w:line="221" w:lineRule="auto"/>
              <w:rPr/>
            </w:pPr>
            <w:r>
              <w:rPr>
                <w:spacing w:val="-2"/>
              </w:rPr>
              <w:t>序号</w:t>
            </w:r>
          </w:p>
        </w:tc>
        <w:tc>
          <w:tcPr>
            <w:tcW w:w="3135"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57" w:hRule="atLeast"/>
        </w:trPr>
        <w:tc>
          <w:tcPr>
            <w:tcW w:w="714" w:type="dxa"/>
            <w:vAlign w:val="top"/>
          </w:tcPr>
          <w:p>
            <w:pPr>
              <w:spacing w:line="346" w:lineRule="auto"/>
              <w:rPr>
                <w:rFonts w:ascii="Arial"/>
                <w:sz w:val="21"/>
              </w:rPr>
            </w:pPr>
            <w:r/>
          </w:p>
          <w:p>
            <w:pPr>
              <w:pStyle w:val="TableText"/>
              <w:ind w:left="235"/>
              <w:spacing w:before="49" w:line="183" w:lineRule="auto"/>
              <w:rPr/>
            </w:pPr>
            <w:r>
              <w:rPr>
                <w:spacing w:val="-2"/>
              </w:rPr>
              <w:t>2.4</w:t>
            </w:r>
          </w:p>
        </w:tc>
        <w:tc>
          <w:tcPr>
            <w:tcW w:w="3135" w:type="dxa"/>
            <w:vAlign w:val="top"/>
          </w:tcPr>
          <w:p>
            <w:pPr>
              <w:pStyle w:val="TableText"/>
              <w:ind w:left="111" w:right="153" w:firstLine="99"/>
              <w:spacing w:before="89" w:line="303" w:lineRule="auto"/>
              <w:jc w:val="both"/>
              <w:rPr/>
            </w:pPr>
            <w:r>
              <w:rPr>
                <w:spacing w:val="-1"/>
              </w:rPr>
              <w:t>根据计划执行数据概要分析活动，并且当</w:t>
            </w:r>
            <w:r>
              <w:rPr>
                <w:spacing w:val="5"/>
              </w:rPr>
              <w:t xml:space="preserve">  </w:t>
            </w:r>
            <w:r>
              <w:rPr/>
              <w:t>实际情况与计划出现明显偏差时对计划执行</w:t>
            </w:r>
            <w:r>
              <w:rPr>
                <w:spacing w:val="9"/>
              </w:rPr>
              <w:t xml:space="preserve"> </w:t>
            </w:r>
            <w:r>
              <w:rPr>
                <w:spacing w:val="-2"/>
              </w:rPr>
              <w:t>工作进行调整</w:t>
            </w:r>
          </w:p>
        </w:tc>
        <w:tc>
          <w:tcPr>
            <w:tcW w:w="3750" w:type="dxa"/>
            <w:vAlign w:val="top"/>
          </w:tcPr>
          <w:p>
            <w:pPr>
              <w:pStyle w:val="TableText"/>
              <w:ind w:left="256"/>
              <w:spacing w:before="89" w:line="219" w:lineRule="auto"/>
              <w:rPr/>
            </w:pPr>
            <w:r>
              <w:rPr/>
              <w:t>●概要分析活动的监控</w:t>
            </w:r>
          </w:p>
          <w:p>
            <w:pPr>
              <w:pStyle w:val="TableText"/>
              <w:ind w:left="256"/>
              <w:spacing w:before="102" w:line="219" w:lineRule="auto"/>
              <w:rPr/>
            </w:pPr>
            <w:r>
              <w:rPr/>
              <w:t>●概要分析计划的偏差分析</w:t>
            </w:r>
          </w:p>
          <w:p>
            <w:pPr>
              <w:pStyle w:val="TableText"/>
              <w:ind w:left="256"/>
              <w:spacing w:before="112" w:line="219" w:lineRule="auto"/>
              <w:rPr/>
            </w:pPr>
            <w:r>
              <w:rPr>
                <w:spacing w:val="1"/>
              </w:rPr>
              <w:t>●概要分析计划的调整说明</w:t>
            </w:r>
          </w:p>
        </w:tc>
      </w:tr>
    </w:tbl>
    <w:p>
      <w:pPr>
        <w:ind w:left="29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35" w:firstLine="400"/>
        <w:spacing w:before="57" w:line="244" w:lineRule="auto"/>
        <w:rPr>
          <w:rFonts w:ascii="SimSun" w:hAnsi="SimSun" w:eastAsia="SimSun" w:cs="SimSun"/>
          <w:sz w:val="22"/>
          <w:szCs w:val="22"/>
        </w:rPr>
      </w:pPr>
      <w:r>
        <w:rPr>
          <w:rFonts w:ascii="SimSun" w:hAnsi="SimSun" w:eastAsia="SimSun" w:cs="SimSun"/>
          <w:sz w:val="22"/>
          <w:szCs w:val="22"/>
          <w:spacing w:val="-8"/>
        </w:rPr>
        <w:t>由于概要分析工作经常会出现出乎意料的结果，因此组织需要足够灵活，才能</w:t>
      </w:r>
      <w:r>
        <w:rPr>
          <w:rFonts w:ascii="SimSun" w:hAnsi="SimSun" w:eastAsia="SimSun" w:cs="SimSun"/>
          <w:sz w:val="22"/>
          <w:szCs w:val="22"/>
          <w:spacing w:val="1"/>
        </w:rPr>
        <w:t xml:space="preserve"> </w:t>
      </w:r>
      <w:r>
        <w:rPr>
          <w:rFonts w:ascii="SimSun" w:hAnsi="SimSun" w:eastAsia="SimSun" w:cs="SimSun"/>
          <w:sz w:val="22"/>
          <w:szCs w:val="22"/>
          <w:spacing w:val="-8"/>
        </w:rPr>
        <w:t>够在概要分析活动过程中决定是否需要针对初步执行的结果投入额外时</w:t>
      </w:r>
      <w:r>
        <w:rPr>
          <w:rFonts w:ascii="SimSun" w:hAnsi="SimSun" w:eastAsia="SimSun" w:cs="SimSun"/>
          <w:sz w:val="22"/>
          <w:szCs w:val="22"/>
          <w:spacing w:val="-9"/>
        </w:rPr>
        <w:t>间或工作量</w:t>
      </w:r>
      <w:r>
        <w:rPr>
          <w:rFonts w:ascii="SimSun" w:hAnsi="SimSun" w:eastAsia="SimSun" w:cs="SimSun"/>
          <w:sz w:val="22"/>
          <w:szCs w:val="22"/>
        </w:rPr>
        <w:t xml:space="preserve"> </w:t>
      </w:r>
      <w:r>
        <w:rPr>
          <w:rFonts w:ascii="SimSun" w:hAnsi="SimSun" w:eastAsia="SimSun" w:cs="SimSun"/>
          <w:sz w:val="22"/>
          <w:szCs w:val="22"/>
          <w:spacing w:val="-8"/>
        </w:rPr>
        <w:t>来扩展范围。因此，在概要分析的活动中需要不断监控概要分析的过程结果</w:t>
      </w:r>
      <w:r>
        <w:rPr>
          <w:rFonts w:ascii="SimSun" w:hAnsi="SimSun" w:eastAsia="SimSun" w:cs="SimSun"/>
          <w:sz w:val="22"/>
          <w:szCs w:val="22"/>
          <w:spacing w:val="-9"/>
        </w:rPr>
        <w:t>，以便</w:t>
      </w:r>
      <w:r>
        <w:rPr>
          <w:rFonts w:ascii="SimSun" w:hAnsi="SimSun" w:eastAsia="SimSun" w:cs="SimSun"/>
          <w:sz w:val="22"/>
          <w:szCs w:val="22"/>
        </w:rPr>
        <w:t xml:space="preserve"> </w:t>
      </w:r>
      <w:r>
        <w:rPr>
          <w:rFonts w:ascii="SimSun" w:hAnsi="SimSun" w:eastAsia="SimSun" w:cs="SimSun"/>
          <w:sz w:val="22"/>
          <w:szCs w:val="22"/>
          <w:spacing w:val="-13"/>
        </w:rPr>
        <w:t>对概要分析做出判断和调整。</w:t>
      </w:r>
    </w:p>
    <w:p>
      <w:pPr>
        <w:spacing w:line="145" w:lineRule="exact"/>
        <w:rPr/>
      </w:pPr>
      <w:r/>
    </w:p>
    <w:tbl>
      <w:tblPr>
        <w:tblStyle w:val="TableNormal"/>
        <w:tblW w:w="758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3" w:hRule="atLeast"/>
        </w:trPr>
        <w:tc>
          <w:tcPr>
            <w:tcW w:w="704" w:type="dxa"/>
            <w:vAlign w:val="top"/>
          </w:tcPr>
          <w:p>
            <w:pPr>
              <w:pStyle w:val="TableText"/>
              <w:ind w:left="194"/>
              <w:spacing w:before="81"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81" w:line="220" w:lineRule="auto"/>
              <w:rPr/>
            </w:pPr>
            <w:r>
              <w:rPr>
                <w:spacing w:val="-5"/>
              </w:rPr>
              <w:t>实</w:t>
            </w:r>
            <w:r>
              <w:rPr>
                <w:spacing w:val="1"/>
              </w:rPr>
              <w:t xml:space="preserve">   </w:t>
            </w:r>
            <w:r>
              <w:rPr>
                <w:spacing w:val="-5"/>
              </w:rPr>
              <w:t>例</w:t>
            </w:r>
          </w:p>
        </w:tc>
      </w:tr>
      <w:tr>
        <w:trPr>
          <w:trHeight w:val="1686" w:hRule="atLeast"/>
        </w:trPr>
        <w:tc>
          <w:tcPr>
            <w:tcW w:w="704" w:type="dxa"/>
            <w:vAlign w:val="top"/>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224"/>
              <w:spacing w:before="49" w:line="183" w:lineRule="auto"/>
              <w:rPr/>
            </w:pPr>
            <w:r>
              <w:rPr>
                <w:spacing w:val="-2"/>
              </w:rPr>
              <w:t>2.5</w:t>
            </w:r>
          </w:p>
        </w:tc>
        <w:tc>
          <w:tcPr>
            <w:tcW w:w="3135" w:type="dxa"/>
            <w:vAlign w:val="top"/>
          </w:tcPr>
          <w:p>
            <w:pPr>
              <w:spacing w:line="302" w:lineRule="auto"/>
              <w:rPr>
                <w:rFonts w:ascii="Arial"/>
                <w:sz w:val="21"/>
              </w:rPr>
            </w:pPr>
            <w:r/>
          </w:p>
          <w:p>
            <w:pPr>
              <w:spacing w:line="303" w:lineRule="auto"/>
              <w:rPr>
                <w:rFonts w:ascii="Arial"/>
                <w:sz w:val="21"/>
              </w:rPr>
            </w:pPr>
            <w:r/>
          </w:p>
          <w:p>
            <w:pPr>
              <w:pStyle w:val="TableText"/>
              <w:ind w:left="101" w:right="158" w:firstLine="169"/>
              <w:spacing w:before="48" w:line="276" w:lineRule="auto"/>
              <w:rPr/>
            </w:pPr>
            <w:r>
              <w:rPr>
                <w:spacing w:val="-1"/>
              </w:rPr>
              <w:t>将数据概要分析的结果和建议报告给相关</w:t>
            </w:r>
            <w:r>
              <w:rPr>
                <w:spacing w:val="12"/>
              </w:rPr>
              <w:t xml:space="preserve"> </w:t>
            </w:r>
            <w:r>
              <w:rPr>
                <w:spacing w:val="-3"/>
              </w:rPr>
              <w:t>责任人</w:t>
            </w:r>
          </w:p>
        </w:tc>
        <w:tc>
          <w:tcPr>
            <w:tcW w:w="3750" w:type="dxa"/>
            <w:vAlign w:val="top"/>
          </w:tcPr>
          <w:p>
            <w:pPr>
              <w:pStyle w:val="TableText"/>
              <w:ind w:left="255"/>
              <w:spacing w:before="78" w:line="219" w:lineRule="auto"/>
              <w:rPr/>
            </w:pPr>
            <w:r>
              <w:rPr/>
              <w:t>●将数据概要分析方法学的文档</w:t>
            </w:r>
          </w:p>
          <w:p>
            <w:pPr>
              <w:pStyle w:val="TableText"/>
              <w:ind w:left="255"/>
              <w:spacing w:before="122" w:line="219" w:lineRule="auto"/>
              <w:rPr/>
            </w:pPr>
            <w:r>
              <w:rPr/>
              <w:t>●经认可的数据概要分析计划和进度</w:t>
            </w:r>
          </w:p>
          <w:p>
            <w:pPr>
              <w:pStyle w:val="TableText"/>
              <w:ind w:left="255"/>
              <w:spacing w:before="100" w:line="218" w:lineRule="auto"/>
              <w:rPr/>
            </w:pPr>
            <w:r>
              <w:rPr/>
              <w:t>●数据概要分析的调查报告和度量项</w:t>
            </w:r>
          </w:p>
          <w:p>
            <w:pPr>
              <w:pStyle w:val="TableText"/>
              <w:ind w:left="255"/>
              <w:spacing w:before="103" w:line="219" w:lineRule="auto"/>
              <w:rPr/>
            </w:pPr>
            <w:r>
              <w:rPr/>
              <w:t>●根据数据概要分析提议的业务附加规则</w:t>
            </w:r>
          </w:p>
          <w:p>
            <w:pPr>
              <w:pStyle w:val="TableText"/>
              <w:ind w:left="266"/>
              <w:spacing w:before="103" w:line="219" w:lineRule="auto"/>
              <w:rPr/>
            </w:pPr>
            <w:r>
              <w:rPr/>
              <w:t>●定义技能集和为负责数据质量工作的员工制订的</w:t>
            </w:r>
          </w:p>
          <w:p>
            <w:pPr>
              <w:pStyle w:val="TableText"/>
              <w:ind w:left="95"/>
              <w:spacing w:before="82" w:line="220" w:lineRule="auto"/>
              <w:rPr/>
            </w:pPr>
            <w:r>
              <w:rPr>
                <w:spacing w:val="-2"/>
              </w:rPr>
              <w:t>培训计划</w:t>
            </w:r>
          </w:p>
        </w:tc>
      </w:tr>
    </w:tbl>
    <w:p>
      <w:pPr>
        <w:ind w:left="290"/>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11" w:firstLine="400"/>
        <w:spacing w:before="68" w:line="250" w:lineRule="auto"/>
        <w:rPr>
          <w:rFonts w:ascii="SimSun" w:hAnsi="SimSun" w:eastAsia="SimSun" w:cs="SimSun"/>
          <w:sz w:val="22"/>
          <w:szCs w:val="22"/>
        </w:rPr>
      </w:pPr>
      <w:r>
        <w:rPr>
          <w:rFonts w:ascii="SimSun" w:hAnsi="SimSun" w:eastAsia="SimSun" w:cs="SimSun"/>
          <w:sz w:val="22"/>
          <w:szCs w:val="22"/>
          <w:spacing w:val="-8"/>
        </w:rPr>
        <w:t>应使用分析结果作为数据质量评估和数据清洗工作的输入信息，并通过分析结</w:t>
      </w:r>
      <w:r>
        <w:rPr>
          <w:rFonts w:ascii="SimSun" w:hAnsi="SimSun" w:eastAsia="SimSun" w:cs="SimSun"/>
          <w:sz w:val="22"/>
          <w:szCs w:val="22"/>
          <w:spacing w:val="3"/>
        </w:rPr>
        <w:t xml:space="preserve"> </w:t>
      </w:r>
      <w:r>
        <w:rPr>
          <w:rFonts w:ascii="SimSun" w:hAnsi="SimSun" w:eastAsia="SimSun" w:cs="SimSun"/>
          <w:sz w:val="22"/>
          <w:szCs w:val="22"/>
          <w:spacing w:val="-7"/>
        </w:rPr>
        <w:t>果得出数据质量战略。例如，组织可能认为其产</w:t>
      </w:r>
      <w:r>
        <w:rPr>
          <w:rFonts w:ascii="SimSun" w:hAnsi="SimSun" w:eastAsia="SimSun" w:cs="SimSun"/>
          <w:sz w:val="22"/>
          <w:szCs w:val="22"/>
          <w:spacing w:val="-8"/>
        </w:rPr>
        <w:t>品存在无法接受的错误率，相关责</w:t>
      </w:r>
      <w:r>
        <w:rPr>
          <w:rFonts w:ascii="SimSun" w:hAnsi="SimSun" w:eastAsia="SimSun" w:cs="SimSun"/>
          <w:sz w:val="22"/>
          <w:szCs w:val="22"/>
        </w:rPr>
        <w:t xml:space="preserve"> </w:t>
      </w:r>
      <w:r>
        <w:rPr>
          <w:rFonts w:ascii="SimSun" w:hAnsi="SimSun" w:eastAsia="SimSun" w:cs="SimSun"/>
          <w:sz w:val="22"/>
          <w:szCs w:val="22"/>
          <w:spacing w:val="-8"/>
        </w:rPr>
        <w:t>任人则需要对这些错误率的影响程度进行判断，并负责决定是否需要采取替代</w:t>
      </w:r>
      <w:r>
        <w:rPr>
          <w:rFonts w:ascii="SimSun" w:hAnsi="SimSun" w:eastAsia="SimSun" w:cs="SimSun"/>
          <w:sz w:val="22"/>
          <w:szCs w:val="22"/>
          <w:spacing w:val="-9"/>
        </w:rPr>
        <w:t>以及</w:t>
      </w:r>
      <w:r>
        <w:rPr>
          <w:rFonts w:ascii="SimSun" w:hAnsi="SimSun" w:eastAsia="SimSun" w:cs="SimSun"/>
          <w:sz w:val="22"/>
          <w:szCs w:val="22"/>
        </w:rPr>
        <w:t xml:space="preserve"> </w:t>
      </w:r>
      <w:r>
        <w:rPr>
          <w:rFonts w:ascii="SimSun" w:hAnsi="SimSun" w:eastAsia="SimSun" w:cs="SimSun"/>
          <w:sz w:val="22"/>
          <w:szCs w:val="22"/>
          <w:spacing w:val="-13"/>
        </w:rPr>
        <w:t>修正方案。</w:t>
      </w:r>
    </w:p>
    <w:p>
      <w:pPr>
        <w:ind w:left="400"/>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2"/>
        </w:rPr>
        <w:t>Level</w:t>
      </w:r>
      <w:r>
        <w:rPr>
          <w:rFonts w:ascii="Times New Roman" w:hAnsi="Times New Roman" w:eastAsia="Times New Roman" w:cs="Times New Roman"/>
          <w:sz w:val="22"/>
          <w:szCs w:val="22"/>
          <w:b/>
          <w:bCs/>
          <w:spacing w:val="35"/>
          <w:w w:val="101"/>
        </w:rPr>
        <w:t xml:space="preserve"> </w:t>
      </w: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2"/>
        </w:rPr>
        <w:t>定义级</w:t>
      </w:r>
    </w:p>
    <w:p>
      <w:pPr>
        <w:spacing w:line="128"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12" w:hRule="atLeast"/>
        </w:trPr>
        <w:tc>
          <w:tcPr>
            <w:tcW w:w="704" w:type="dxa"/>
            <w:vAlign w:val="top"/>
          </w:tcPr>
          <w:p>
            <w:pPr>
              <w:pStyle w:val="TableText"/>
              <w:ind w:left="195"/>
              <w:spacing w:before="82"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38" w:hRule="atLeast"/>
        </w:trPr>
        <w:tc>
          <w:tcPr>
            <w:tcW w:w="704" w:type="dxa"/>
            <w:vAlign w:val="top"/>
          </w:tcPr>
          <w:p>
            <w:pPr>
              <w:spacing w:line="336" w:lineRule="auto"/>
              <w:rPr>
                <w:rFonts w:ascii="Arial"/>
                <w:sz w:val="21"/>
              </w:rPr>
            </w:pPr>
            <w:r/>
          </w:p>
          <w:p>
            <w:pPr>
              <w:pStyle w:val="TableText"/>
              <w:ind w:left="224"/>
              <w:spacing w:before="49" w:line="184" w:lineRule="auto"/>
              <w:rPr/>
            </w:pPr>
            <w:r>
              <w:rPr>
                <w:spacing w:val="-2"/>
              </w:rPr>
              <w:t>3.1</w:t>
            </w:r>
          </w:p>
        </w:tc>
        <w:tc>
          <w:tcPr>
            <w:tcW w:w="3135" w:type="dxa"/>
            <w:vAlign w:val="top"/>
          </w:tcPr>
          <w:p>
            <w:pPr>
              <w:pStyle w:val="TableText"/>
              <w:ind w:left="111" w:right="163" w:firstLine="160"/>
              <w:spacing w:before="219" w:line="281" w:lineRule="auto"/>
              <w:rPr/>
            </w:pPr>
            <w:r>
              <w:rPr>
                <w:spacing w:val="-1"/>
              </w:rPr>
              <w:t>定义并标准化数据概要分析的方法学、过</w:t>
            </w:r>
            <w:r>
              <w:rPr>
                <w:spacing w:val="7"/>
              </w:rPr>
              <w:t xml:space="preserve"> </w:t>
            </w:r>
            <w:r>
              <w:rPr>
                <w:spacing w:val="-1"/>
              </w:rPr>
              <w:t>程、实践、工具以及结果模板</w:t>
            </w:r>
          </w:p>
        </w:tc>
        <w:tc>
          <w:tcPr>
            <w:tcW w:w="3760" w:type="dxa"/>
            <w:vAlign w:val="top"/>
          </w:tcPr>
          <w:p>
            <w:pPr>
              <w:pStyle w:val="TableText"/>
              <w:ind w:left="286"/>
              <w:spacing w:before="79" w:line="219" w:lineRule="auto"/>
              <w:rPr/>
            </w:pPr>
            <w:r>
              <w:rPr/>
              <w:t>●组织级的概要分析标准</w:t>
            </w:r>
          </w:p>
          <w:p>
            <w:pPr>
              <w:pStyle w:val="TableText"/>
              <w:ind w:left="286"/>
              <w:spacing w:before="90" w:line="218" w:lineRule="auto"/>
              <w:rPr/>
            </w:pPr>
            <w:r>
              <w:rPr/>
              <w:t>●标准化的报告模板和度量项、度量过程</w:t>
            </w:r>
          </w:p>
          <w:p>
            <w:pPr>
              <w:pStyle w:val="TableText"/>
              <w:ind w:left="286"/>
              <w:spacing w:before="113" w:line="219" w:lineRule="auto"/>
              <w:rPr/>
            </w:pPr>
            <w:r>
              <w:rPr/>
              <w:t>●概要分析的集中存储和发布</w:t>
            </w:r>
          </w:p>
        </w:tc>
      </w:tr>
    </w:tbl>
    <w:p>
      <w:pPr>
        <w:pStyle w:val="BodyText"/>
        <w:rPr/>
      </w:pPr>
      <w:r/>
    </w:p>
    <w:p>
      <w:pPr>
        <w:sectPr>
          <w:footerReference w:type="default" r:id="rId265"/>
          <w:pgSz w:w="8870" w:h="13400"/>
          <w:pgMar w:top="400" w:right="504" w:bottom="515" w:left="500" w:header="0" w:footer="296" w:gutter="0"/>
        </w:sectPr>
        <w:rPr/>
      </w:pPr>
    </w:p>
    <w:p>
      <w:pPr>
        <w:ind w:left="222"/>
        <w:spacing w:before="265" w:line="219" w:lineRule="auto"/>
        <w:rPr>
          <w:rFonts w:ascii="SimSun" w:hAnsi="SimSun" w:eastAsia="SimSun" w:cs="SimSun"/>
          <w:sz w:val="21"/>
          <w:szCs w:val="21"/>
        </w:rPr>
      </w:pPr>
      <w:r>
        <w:pict>
          <v:rect id="_x0000_s390" style="position:absolute;margin-left:27.0003pt;margin-top:29.5001pt;mso-position-vertical-relative:page;mso-position-horizontal-relative:page;width:0.55pt;height:17.55pt;z-index:254917632;" o:allowincell="f" fillcolor="#000000" filled="true" stroked="false"/>
        </w:pict>
      </w:r>
      <w:r>
        <w:rPr>
          <w:rFonts w:ascii="SimSun" w:hAnsi="SimSun" w:eastAsia="SimSun" w:cs="SimSun"/>
          <w:sz w:val="21"/>
          <w:szCs w:val="21"/>
          <w:b/>
          <w:bCs/>
          <w:spacing w:val="-25"/>
        </w:rPr>
        <w:t>■云端数据治理■</w:t>
      </w:r>
    </w:p>
    <w:p>
      <w:pPr>
        <w:pStyle w:val="BodyText"/>
        <w:spacing w:line="263" w:lineRule="auto"/>
        <w:rPr/>
      </w:pPr>
      <w:r/>
    </w:p>
    <w:p>
      <w:pPr>
        <w:ind w:left="584"/>
        <w:spacing w:before="69" w:line="219" w:lineRule="auto"/>
        <w:rPr>
          <w:rFonts w:ascii="SimSun" w:hAnsi="SimSun" w:eastAsia="SimSun" w:cs="SimSun"/>
          <w:sz w:val="21"/>
          <w:szCs w:val="21"/>
        </w:rPr>
      </w:pPr>
      <w:r>
        <w:rPr>
          <w:rFonts w:ascii="SimSun" w:hAnsi="SimSun" w:eastAsia="SimSun" w:cs="SimSun"/>
          <w:sz w:val="21"/>
          <w:szCs w:val="21"/>
        </w:rPr>
        <w:t>【成熟度等级说明】</w:t>
      </w:r>
    </w:p>
    <w:p>
      <w:pPr>
        <w:ind w:left="219" w:right="53" w:firstLine="470"/>
        <w:spacing w:before="68" w:line="253" w:lineRule="auto"/>
        <w:rPr>
          <w:rFonts w:ascii="SimSun" w:hAnsi="SimSun" w:eastAsia="SimSun" w:cs="SimSun"/>
          <w:sz w:val="21"/>
          <w:szCs w:val="21"/>
        </w:rPr>
      </w:pPr>
      <w:r>
        <w:rPr>
          <w:rFonts w:ascii="SimSun" w:hAnsi="SimSun" w:eastAsia="SimSun" w:cs="SimSun"/>
          <w:sz w:val="21"/>
          <w:szCs w:val="21"/>
          <w:spacing w:val="1"/>
        </w:rPr>
        <w:t>在组织里识别并持续使用标准概要分析工具以提高效率。应该定义并遵循组织</w:t>
      </w:r>
      <w:r>
        <w:rPr>
          <w:rFonts w:ascii="SimSun" w:hAnsi="SimSun" w:eastAsia="SimSun" w:cs="SimSun"/>
          <w:sz w:val="21"/>
          <w:szCs w:val="21"/>
          <w:spacing w:val="16"/>
        </w:rPr>
        <w:t xml:space="preserve"> </w:t>
      </w:r>
      <w:r>
        <w:rPr>
          <w:rFonts w:ascii="SimSun" w:hAnsi="SimSun" w:eastAsia="SimSun" w:cs="SimSun"/>
          <w:sz w:val="21"/>
          <w:szCs w:val="21"/>
          <w:spacing w:val="2"/>
        </w:rPr>
        <w:t>级的标准方法来分析和展示数据概要分析在业务和技术上对修</w:t>
      </w:r>
      <w:r>
        <w:rPr>
          <w:rFonts w:ascii="SimSun" w:hAnsi="SimSun" w:eastAsia="SimSun" w:cs="SimSun"/>
          <w:sz w:val="21"/>
          <w:szCs w:val="21"/>
          <w:spacing w:val="1"/>
        </w:rPr>
        <w:t>正活动的影响。报告</w:t>
      </w:r>
      <w:r>
        <w:rPr>
          <w:rFonts w:ascii="SimSun" w:hAnsi="SimSun" w:eastAsia="SimSun" w:cs="SimSun"/>
          <w:sz w:val="21"/>
          <w:szCs w:val="21"/>
        </w:rPr>
        <w:t xml:space="preserve"> </w:t>
      </w:r>
      <w:r>
        <w:rPr>
          <w:rFonts w:ascii="SimSun" w:hAnsi="SimSun" w:eastAsia="SimSun" w:cs="SimSun"/>
          <w:sz w:val="21"/>
          <w:szCs w:val="21"/>
          <w:spacing w:val="2"/>
        </w:rPr>
        <w:t>模板和度量应当进行标准化，并进行集中储存和发</w:t>
      </w:r>
      <w:r>
        <w:rPr>
          <w:rFonts w:ascii="SimSun" w:hAnsi="SimSun" w:eastAsia="SimSun" w:cs="SimSun"/>
          <w:sz w:val="21"/>
          <w:szCs w:val="21"/>
          <w:spacing w:val="1"/>
        </w:rPr>
        <w:t>布，以确保在组织级别上得到统</w:t>
      </w:r>
      <w:r>
        <w:rPr>
          <w:rFonts w:ascii="SimSun" w:hAnsi="SimSun" w:eastAsia="SimSun" w:cs="SimSun"/>
          <w:sz w:val="21"/>
          <w:szCs w:val="21"/>
        </w:rPr>
        <w:t xml:space="preserve"> </w:t>
      </w:r>
      <w:r>
        <w:rPr>
          <w:rFonts w:ascii="SimSun" w:hAnsi="SimSun" w:eastAsia="SimSun" w:cs="SimSun"/>
          <w:sz w:val="21"/>
          <w:szCs w:val="21"/>
          <w:spacing w:val="-8"/>
        </w:rPr>
        <w:t>一使用。</w:t>
      </w:r>
    </w:p>
    <w:p>
      <w:pPr>
        <w:spacing w:line="147" w:lineRule="exact"/>
        <w:rPr/>
      </w:pPr>
      <w:r/>
    </w:p>
    <w:tbl>
      <w:tblPr>
        <w:tblStyle w:val="TableNormal"/>
        <w:tblW w:w="758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30"/>
      </w:tblGrid>
      <w:tr>
        <w:trPr>
          <w:trHeight w:val="32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55" w:type="dxa"/>
            <w:vAlign w:val="top"/>
          </w:tcPr>
          <w:p>
            <w:pPr>
              <w:pStyle w:val="TableText"/>
              <w:ind w:left="1170"/>
              <w:spacing w:before="81" w:line="219" w:lineRule="auto"/>
              <w:rPr>
                <w:sz w:val="16"/>
                <w:szCs w:val="16"/>
              </w:rPr>
            </w:pPr>
            <w:r>
              <w:rPr>
                <w:sz w:val="16"/>
                <w:szCs w:val="16"/>
                <w:spacing w:val="-4"/>
              </w:rPr>
              <w:t>等 级 要 求</w:t>
            </w:r>
          </w:p>
        </w:tc>
        <w:tc>
          <w:tcPr>
            <w:tcW w:w="3730" w:type="dxa"/>
            <w:vAlign w:val="top"/>
          </w:tcPr>
          <w:p>
            <w:pPr>
              <w:pStyle w:val="TableText"/>
              <w:ind w:left="155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04" w:type="dxa"/>
            <w:vAlign w:val="top"/>
          </w:tcPr>
          <w:p>
            <w:pPr>
              <w:pStyle w:val="TableText"/>
              <w:ind w:left="224"/>
              <w:spacing w:before="241" w:line="183" w:lineRule="auto"/>
              <w:rPr>
                <w:sz w:val="16"/>
                <w:szCs w:val="16"/>
              </w:rPr>
            </w:pPr>
            <w:r>
              <w:rPr>
                <w:sz w:val="16"/>
                <w:szCs w:val="16"/>
                <w:spacing w:val="-3"/>
              </w:rPr>
              <w:t>3.2</w:t>
            </w:r>
          </w:p>
        </w:tc>
        <w:tc>
          <w:tcPr>
            <w:tcW w:w="3155" w:type="dxa"/>
            <w:vAlign w:val="top"/>
          </w:tcPr>
          <w:p>
            <w:pPr>
              <w:pStyle w:val="TableText"/>
              <w:ind w:left="120" w:right="10" w:firstLine="139"/>
              <w:spacing w:before="79" w:line="270" w:lineRule="auto"/>
              <w:rPr>
                <w:sz w:val="16"/>
                <w:szCs w:val="16"/>
              </w:rPr>
            </w:pPr>
            <w:r>
              <w:rPr>
                <w:sz w:val="16"/>
                <w:szCs w:val="16"/>
                <w:spacing w:val="-1"/>
              </w:rPr>
              <w:t>所有识别出来的用来满足概要分析目标的</w:t>
            </w:r>
            <w:r>
              <w:rPr>
                <w:sz w:val="16"/>
                <w:szCs w:val="16"/>
                <w:spacing w:val="10"/>
              </w:rPr>
              <w:t xml:space="preserve"> </w:t>
            </w:r>
            <w:r>
              <w:rPr>
                <w:sz w:val="16"/>
                <w:szCs w:val="16"/>
                <w:spacing w:val="2"/>
              </w:rPr>
              <w:t>技能都得到了使用</w:t>
            </w:r>
          </w:p>
        </w:tc>
        <w:tc>
          <w:tcPr>
            <w:tcW w:w="3730" w:type="dxa"/>
            <w:vAlign w:val="top"/>
          </w:tcPr>
          <w:p>
            <w:pPr>
              <w:pStyle w:val="TableText"/>
              <w:ind w:left="265"/>
              <w:spacing w:before="200" w:line="219" w:lineRule="auto"/>
              <w:rPr>
                <w:sz w:val="16"/>
                <w:szCs w:val="16"/>
              </w:rPr>
            </w:pPr>
            <w:r>
              <w:rPr>
                <w:sz w:val="16"/>
                <w:szCs w:val="16"/>
              </w:rPr>
              <w:t>●支持概要分析的技能和工具</w:t>
            </w:r>
          </w:p>
        </w:tc>
      </w:tr>
    </w:tbl>
    <w:p>
      <w:pPr>
        <w:ind w:left="584"/>
        <w:spacing w:before="194" w:line="230" w:lineRule="auto"/>
        <w:rPr>
          <w:rFonts w:ascii="STXinwei" w:hAnsi="STXinwei" w:eastAsia="STXinwei" w:cs="STXinwei"/>
          <w:sz w:val="21"/>
          <w:szCs w:val="21"/>
        </w:rPr>
      </w:pPr>
      <w:r>
        <w:rPr>
          <w:rFonts w:ascii="SimSun" w:hAnsi="SimSun" w:eastAsia="SimSun" w:cs="SimSun"/>
          <w:sz w:val="21"/>
          <w:szCs w:val="21"/>
          <w:spacing w:val="2"/>
        </w:rPr>
        <w:t>【成熟度等级说明</w:t>
      </w:r>
      <w:r>
        <w:rPr>
          <w:rFonts w:ascii="STXinwei" w:hAnsi="STXinwei" w:eastAsia="STXinwei" w:cs="STXinwei"/>
          <w:sz w:val="21"/>
          <w:szCs w:val="21"/>
          <w:spacing w:val="2"/>
        </w:rPr>
        <w:t>】</w:t>
      </w:r>
    </w:p>
    <w:p>
      <w:pPr>
        <w:ind w:left="219" w:right="56" w:firstLine="470"/>
        <w:spacing w:before="46" w:line="262" w:lineRule="auto"/>
        <w:rPr>
          <w:rFonts w:ascii="SimSun" w:hAnsi="SimSun" w:eastAsia="SimSun" w:cs="SimSun"/>
          <w:sz w:val="21"/>
          <w:szCs w:val="21"/>
        </w:rPr>
      </w:pPr>
      <w:r>
        <w:rPr>
          <w:rFonts w:ascii="SimSun" w:hAnsi="SimSun" w:eastAsia="SimSun" w:cs="SimSun"/>
          <w:sz w:val="21"/>
          <w:szCs w:val="21"/>
          <w:spacing w:val="1"/>
        </w:rPr>
        <w:t>数据概要分析一般被认为是对现有数据进行探索发现的活动，通常进行概要分</w:t>
      </w:r>
      <w:r>
        <w:rPr>
          <w:rFonts w:ascii="SimSun" w:hAnsi="SimSun" w:eastAsia="SimSun" w:cs="SimSun"/>
          <w:sz w:val="21"/>
          <w:szCs w:val="21"/>
          <w:spacing w:val="13"/>
        </w:rPr>
        <w:t xml:space="preserve"> </w:t>
      </w:r>
      <w:r>
        <w:rPr>
          <w:rFonts w:ascii="SimSun" w:hAnsi="SimSun" w:eastAsia="SimSun" w:cs="SimSun"/>
          <w:sz w:val="21"/>
          <w:szCs w:val="21"/>
          <w:spacing w:val="2"/>
        </w:rPr>
        <w:t>析的目的是为了满足特定的目标。组织为实现特</w:t>
      </w:r>
      <w:r>
        <w:rPr>
          <w:rFonts w:ascii="SimSun" w:hAnsi="SimSun" w:eastAsia="SimSun" w:cs="SimSun"/>
          <w:sz w:val="21"/>
          <w:szCs w:val="21"/>
          <w:spacing w:val="1"/>
        </w:rPr>
        <w:t>定目标，应配备相应的概要分析技</w:t>
      </w:r>
      <w:r>
        <w:rPr>
          <w:rFonts w:ascii="SimSun" w:hAnsi="SimSun" w:eastAsia="SimSun" w:cs="SimSun"/>
          <w:sz w:val="21"/>
          <w:szCs w:val="21"/>
        </w:rPr>
        <w:t xml:space="preserve"> </w:t>
      </w:r>
      <w:r>
        <w:rPr>
          <w:rFonts w:ascii="SimSun" w:hAnsi="SimSun" w:eastAsia="SimSun" w:cs="SimSun"/>
          <w:sz w:val="21"/>
          <w:szCs w:val="21"/>
          <w:spacing w:val="2"/>
        </w:rPr>
        <w:t>能和工具。概要分析工作通常包括几个阶段，例如，数值概</w:t>
      </w:r>
      <w:r>
        <w:rPr>
          <w:rFonts w:ascii="SimSun" w:hAnsi="SimSun" w:eastAsia="SimSun" w:cs="SimSun"/>
          <w:sz w:val="21"/>
          <w:szCs w:val="21"/>
          <w:spacing w:val="1"/>
        </w:rPr>
        <w:t>要检查(值域、</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唯一</w:t>
      </w:r>
      <w:r>
        <w:rPr>
          <w:rFonts w:ascii="SimSun" w:hAnsi="SimSun" w:eastAsia="SimSun" w:cs="SimSun"/>
          <w:sz w:val="21"/>
          <w:szCs w:val="21"/>
        </w:rPr>
        <w:t xml:space="preserve"> </w:t>
      </w:r>
      <w:r>
        <w:rPr>
          <w:rFonts w:ascii="SimSun" w:hAnsi="SimSun" w:eastAsia="SimSun" w:cs="SimSun"/>
          <w:sz w:val="21"/>
          <w:szCs w:val="21"/>
          <w:spacing w:val="7"/>
        </w:rPr>
        <w:t>性等)、数值标准化分析(地址、语法等)、对所选业务规则的检查(业务规则需要</w:t>
      </w:r>
      <w:r>
        <w:rPr>
          <w:rFonts w:ascii="SimSun" w:hAnsi="SimSun" w:eastAsia="SimSun" w:cs="SimSun"/>
          <w:sz w:val="21"/>
          <w:szCs w:val="21"/>
          <w:spacing w:val="10"/>
        </w:rPr>
        <w:t xml:space="preserve"> </w:t>
      </w:r>
      <w:r>
        <w:rPr>
          <w:rFonts w:ascii="SimSun" w:hAnsi="SimSun" w:eastAsia="SimSun" w:cs="SimSun"/>
          <w:sz w:val="21"/>
          <w:szCs w:val="21"/>
          <w:spacing w:val="-4"/>
        </w:rPr>
        <w:t>在组织内部确定)。</w:t>
      </w:r>
    </w:p>
    <w:p>
      <w:pPr>
        <w:ind w:left="689"/>
        <w:spacing w:before="81" w:line="219" w:lineRule="auto"/>
        <w:rPr>
          <w:rFonts w:ascii="SimSun" w:hAnsi="SimSun" w:eastAsia="SimSun" w:cs="SimSun"/>
          <w:sz w:val="21"/>
          <w:szCs w:val="21"/>
        </w:rPr>
      </w:pPr>
      <w:r>
        <w:rPr>
          <w:rFonts w:ascii="SimSun" w:hAnsi="SimSun" w:eastAsia="SimSun" w:cs="SimSun"/>
          <w:sz w:val="21"/>
          <w:szCs w:val="21"/>
          <w:spacing w:val="-1"/>
        </w:rPr>
        <w:t>数据概要分析组应拥有为数据概要分析活动所挑选的</w:t>
      </w:r>
      <w:r>
        <w:rPr>
          <w:rFonts w:ascii="SimSun" w:hAnsi="SimSun" w:eastAsia="SimSun" w:cs="SimSun"/>
          <w:sz w:val="21"/>
          <w:szCs w:val="21"/>
          <w:spacing w:val="-2"/>
        </w:rPr>
        <w:t>技能和对应的工具。</w:t>
      </w:r>
    </w:p>
    <w:p>
      <w:pPr>
        <w:spacing w:line="117" w:lineRule="exact"/>
        <w:rPr/>
      </w:pPr>
      <w:r/>
    </w:p>
    <w:tbl>
      <w:tblPr>
        <w:tblStyle w:val="TableNormal"/>
        <w:tblW w:w="7589"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22" w:hRule="atLeast"/>
        </w:trPr>
        <w:tc>
          <w:tcPr>
            <w:tcW w:w="714" w:type="dxa"/>
            <w:vAlign w:val="top"/>
          </w:tcPr>
          <w:p>
            <w:pPr>
              <w:pStyle w:val="TableText"/>
              <w:ind w:left="195"/>
              <w:spacing w:before="92" w:line="221" w:lineRule="auto"/>
              <w:rPr/>
            </w:pPr>
            <w:r>
              <w:rPr>
                <w:spacing w:val="-2"/>
              </w:rPr>
              <w:t>序号</w:t>
            </w:r>
          </w:p>
        </w:tc>
        <w:tc>
          <w:tcPr>
            <w:tcW w:w="3145" w:type="dxa"/>
            <w:vAlign w:val="top"/>
          </w:tcPr>
          <w:p>
            <w:pPr>
              <w:pStyle w:val="TableText"/>
              <w:ind w:left="114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56"/>
              <w:spacing w:before="91" w:line="220" w:lineRule="auto"/>
              <w:rPr/>
            </w:pPr>
            <w:r>
              <w:rPr>
                <w:spacing w:val="-5"/>
              </w:rPr>
              <w:t>实</w:t>
            </w:r>
            <w:r>
              <w:rPr>
                <w:spacing w:val="1"/>
              </w:rPr>
              <w:t xml:space="preserve">   </w:t>
            </w:r>
            <w:r>
              <w:rPr>
                <w:spacing w:val="-5"/>
              </w:rPr>
              <w:t>例</w:t>
            </w:r>
          </w:p>
        </w:tc>
      </w:tr>
      <w:tr>
        <w:trPr>
          <w:trHeight w:val="828" w:hRule="atLeast"/>
        </w:trPr>
        <w:tc>
          <w:tcPr>
            <w:tcW w:w="714" w:type="dxa"/>
            <w:vAlign w:val="top"/>
          </w:tcPr>
          <w:p>
            <w:pPr>
              <w:spacing w:line="327" w:lineRule="auto"/>
              <w:rPr>
                <w:rFonts w:ascii="Arial"/>
                <w:sz w:val="21"/>
              </w:rPr>
            </w:pPr>
            <w:r/>
          </w:p>
          <w:p>
            <w:pPr>
              <w:pStyle w:val="TableText"/>
              <w:ind w:left="234"/>
              <w:spacing w:before="48" w:line="183" w:lineRule="auto"/>
              <w:rPr/>
            </w:pPr>
            <w:r>
              <w:rPr>
                <w:spacing w:val="-2"/>
              </w:rPr>
              <w:t>3.3</w:t>
            </w:r>
          </w:p>
        </w:tc>
        <w:tc>
          <w:tcPr>
            <w:tcW w:w="3145" w:type="dxa"/>
            <w:vAlign w:val="top"/>
          </w:tcPr>
          <w:p>
            <w:pPr>
              <w:pStyle w:val="TableText"/>
              <w:ind w:left="110" w:right="149" w:firstLine="100"/>
              <w:spacing w:before="79" w:line="303" w:lineRule="auto"/>
              <w:rPr/>
            </w:pPr>
            <w:r>
              <w:rPr>
                <w:spacing w:val="-1"/>
              </w:rPr>
              <w:t>对数据需求、记录的元数据、物理数据以</w:t>
            </w:r>
            <w:r>
              <w:rPr>
                <w:spacing w:val="5"/>
              </w:rPr>
              <w:t xml:space="preserve">  </w:t>
            </w:r>
            <w:r>
              <w:rPr>
                <w:spacing w:val="1"/>
              </w:rPr>
              <w:t>及数据质量规则之间的关联性和可追溯性进</w:t>
            </w:r>
            <w:r>
              <w:rPr>
                <w:spacing w:val="4"/>
              </w:rPr>
              <w:t xml:space="preserve"> </w:t>
            </w:r>
            <w:r>
              <w:rPr>
                <w:spacing w:val="-2"/>
              </w:rPr>
              <w:t>行捕捉和维护</w:t>
            </w:r>
          </w:p>
        </w:tc>
        <w:tc>
          <w:tcPr>
            <w:tcW w:w="3730" w:type="dxa"/>
            <w:vAlign w:val="top"/>
          </w:tcPr>
          <w:p>
            <w:pPr>
              <w:pStyle w:val="TableText"/>
              <w:ind w:left="246"/>
              <w:spacing w:before="208" w:line="219" w:lineRule="auto"/>
              <w:rPr/>
            </w:pPr>
            <w:r>
              <w:rPr/>
              <w:t>●由数据专家提供的数据关联性分析</w:t>
            </w:r>
          </w:p>
          <w:p>
            <w:pPr>
              <w:pStyle w:val="TableText"/>
              <w:ind w:left="246"/>
              <w:spacing w:before="113" w:line="219" w:lineRule="auto"/>
              <w:rPr/>
            </w:pPr>
            <w:r>
              <w:rPr/>
              <w:t>●数据的可追溯性分析</w:t>
            </w:r>
          </w:p>
        </w:tc>
      </w:tr>
    </w:tbl>
    <w:p>
      <w:pPr>
        <w:ind w:left="58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219" w:right="50" w:firstLine="470"/>
        <w:spacing w:before="59" w:line="261" w:lineRule="auto"/>
        <w:rPr>
          <w:rFonts w:ascii="SimSun" w:hAnsi="SimSun" w:eastAsia="SimSun" w:cs="SimSun"/>
          <w:sz w:val="21"/>
          <w:szCs w:val="21"/>
        </w:rPr>
      </w:pPr>
      <w:r>
        <w:rPr>
          <w:rFonts w:ascii="SimSun" w:hAnsi="SimSun" w:eastAsia="SimSun" w:cs="SimSun"/>
          <w:sz w:val="21"/>
          <w:szCs w:val="21"/>
          <w:spacing w:val="2"/>
        </w:rPr>
        <w:t>数据概要分析活动应当由对数据需求、数据</w:t>
      </w:r>
      <w:r>
        <w:rPr>
          <w:rFonts w:ascii="SimSun" w:hAnsi="SimSun" w:eastAsia="SimSun" w:cs="SimSun"/>
          <w:sz w:val="21"/>
          <w:szCs w:val="21"/>
          <w:spacing w:val="1"/>
        </w:rPr>
        <w:t>质量规则、数据内容以及数据结构</w:t>
      </w:r>
      <w:r>
        <w:rPr>
          <w:rFonts w:ascii="SimSun" w:hAnsi="SimSun" w:eastAsia="SimSun" w:cs="SimSun"/>
          <w:sz w:val="21"/>
          <w:szCs w:val="21"/>
        </w:rPr>
        <w:t xml:space="preserve"> </w:t>
      </w:r>
      <w:r>
        <w:rPr>
          <w:rFonts w:ascii="SimSun" w:hAnsi="SimSun" w:eastAsia="SimSun" w:cs="SimSun"/>
          <w:sz w:val="21"/>
          <w:szCs w:val="21"/>
          <w:spacing w:val="2"/>
        </w:rPr>
        <w:t>有所认识的数据概要分析专家来执行。通过建立</w:t>
      </w:r>
      <w:r>
        <w:rPr>
          <w:rFonts w:ascii="SimSun" w:hAnsi="SimSun" w:eastAsia="SimSun" w:cs="SimSun"/>
          <w:sz w:val="21"/>
          <w:szCs w:val="21"/>
          <w:spacing w:val="1"/>
        </w:rPr>
        <w:t>数据需求、物理数据以及元数据之</w:t>
      </w:r>
      <w:r>
        <w:rPr>
          <w:rFonts w:ascii="SimSun" w:hAnsi="SimSun" w:eastAsia="SimSun" w:cs="SimSun"/>
          <w:sz w:val="21"/>
          <w:szCs w:val="21"/>
        </w:rPr>
        <w:t xml:space="preserve"> </w:t>
      </w:r>
      <w:r>
        <w:rPr>
          <w:rFonts w:ascii="SimSun" w:hAnsi="SimSun" w:eastAsia="SimSun" w:cs="SimSun"/>
          <w:sz w:val="21"/>
          <w:szCs w:val="21"/>
          <w:spacing w:val="-4"/>
        </w:rPr>
        <w:t>间的可追溯性来达成此实践。</w:t>
      </w:r>
    </w:p>
    <w:p>
      <w:pPr>
        <w:spacing w:line="127" w:lineRule="exact"/>
        <w:rPr/>
      </w:pPr>
      <w:r/>
    </w:p>
    <w:tbl>
      <w:tblPr>
        <w:tblStyle w:val="TableNormal"/>
        <w:tblW w:w="7600"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40"/>
      </w:tblGrid>
      <w:tr>
        <w:trPr>
          <w:trHeight w:val="312" w:hRule="atLeast"/>
        </w:trPr>
        <w:tc>
          <w:tcPr>
            <w:tcW w:w="724" w:type="dxa"/>
            <w:vAlign w:val="top"/>
          </w:tcPr>
          <w:p>
            <w:pPr>
              <w:pStyle w:val="TableText"/>
              <w:ind w:left="195"/>
              <w:spacing w:before="82" w:line="221" w:lineRule="auto"/>
              <w:rPr>
                <w:sz w:val="16"/>
                <w:szCs w:val="16"/>
              </w:rPr>
            </w:pPr>
            <w:r>
              <w:rPr>
                <w:sz w:val="16"/>
                <w:szCs w:val="16"/>
                <w:spacing w:val="-2"/>
              </w:rPr>
              <w:t>序号</w:t>
            </w:r>
          </w:p>
        </w:tc>
        <w:tc>
          <w:tcPr>
            <w:tcW w:w="3136" w:type="dxa"/>
            <w:vAlign w:val="top"/>
          </w:tcPr>
          <w:p>
            <w:pPr>
              <w:pStyle w:val="TableText"/>
              <w:ind w:left="1141"/>
              <w:spacing w:before="81" w:line="219" w:lineRule="auto"/>
              <w:rPr>
                <w:sz w:val="16"/>
                <w:szCs w:val="16"/>
              </w:rPr>
            </w:pPr>
            <w:r>
              <w:rPr>
                <w:sz w:val="16"/>
                <w:szCs w:val="16"/>
                <w:spacing w:val="-4"/>
              </w:rPr>
              <w:t>等 级 要 求</w:t>
            </w:r>
          </w:p>
        </w:tc>
        <w:tc>
          <w:tcPr>
            <w:tcW w:w="374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7" w:hRule="atLeast"/>
        </w:trPr>
        <w:tc>
          <w:tcPr>
            <w:tcW w:w="724" w:type="dxa"/>
            <w:vAlign w:val="top"/>
          </w:tcPr>
          <w:p>
            <w:pPr>
              <w:spacing w:line="326" w:lineRule="auto"/>
              <w:rPr>
                <w:rFonts w:ascii="Arial"/>
                <w:sz w:val="21"/>
              </w:rPr>
            </w:pPr>
            <w:r/>
          </w:p>
          <w:p>
            <w:pPr>
              <w:pStyle w:val="TableText"/>
              <w:ind w:left="235"/>
              <w:spacing w:before="52" w:line="183" w:lineRule="auto"/>
              <w:rPr>
                <w:sz w:val="16"/>
                <w:szCs w:val="16"/>
              </w:rPr>
            </w:pPr>
            <w:r>
              <w:rPr>
                <w:sz w:val="16"/>
                <w:szCs w:val="16"/>
                <w:spacing w:val="-3"/>
              </w:rPr>
              <w:t>3.4</w:t>
            </w:r>
          </w:p>
        </w:tc>
        <w:tc>
          <w:tcPr>
            <w:tcW w:w="3136" w:type="dxa"/>
            <w:vAlign w:val="top"/>
          </w:tcPr>
          <w:p>
            <w:pPr>
              <w:pStyle w:val="TableText"/>
              <w:ind w:left="41" w:firstLine="228"/>
              <w:spacing w:before="78" w:line="288" w:lineRule="auto"/>
              <w:jc w:val="both"/>
              <w:rPr>
                <w:sz w:val="16"/>
                <w:szCs w:val="16"/>
              </w:rPr>
            </w:pPr>
            <w:r>
              <w:rPr>
                <w:sz w:val="16"/>
                <w:szCs w:val="16"/>
                <w:spacing w:val="-2"/>
              </w:rPr>
              <w:t>应识别核心的共享数据集以及对应的数据</w:t>
            </w:r>
            <w:r>
              <w:rPr>
                <w:sz w:val="16"/>
                <w:szCs w:val="16"/>
                <w:spacing w:val="11"/>
              </w:rPr>
              <w:t xml:space="preserve"> </w:t>
            </w:r>
            <w:r>
              <w:rPr>
                <w:sz w:val="16"/>
                <w:szCs w:val="16"/>
                <w:spacing w:val="-2"/>
              </w:rPr>
              <w:t>存储，应当定期剖析和监督这些数据集和数</w:t>
            </w:r>
            <w:r>
              <w:rPr>
                <w:sz w:val="16"/>
                <w:szCs w:val="16"/>
                <w:spacing w:val="6"/>
              </w:rPr>
              <w:t xml:space="preserve">  </w:t>
            </w:r>
            <w:r>
              <w:rPr>
                <w:sz w:val="16"/>
                <w:szCs w:val="16"/>
                <w:spacing w:val="13"/>
              </w:rPr>
              <w:t>据存储</w:t>
            </w:r>
          </w:p>
        </w:tc>
        <w:tc>
          <w:tcPr>
            <w:tcW w:w="3740" w:type="dxa"/>
            <w:vAlign w:val="top"/>
          </w:tcPr>
          <w:p>
            <w:pPr>
              <w:pStyle w:val="TableText"/>
              <w:ind w:left="255"/>
              <w:spacing w:before="219" w:line="219" w:lineRule="auto"/>
              <w:rPr>
                <w:sz w:val="16"/>
                <w:szCs w:val="16"/>
              </w:rPr>
            </w:pPr>
            <w:r>
              <w:rPr>
                <w:sz w:val="16"/>
                <w:szCs w:val="16"/>
              </w:rPr>
              <w:t>●数据集的重要性分类</w:t>
            </w:r>
          </w:p>
          <w:p>
            <w:pPr>
              <w:pStyle w:val="TableText"/>
              <w:ind w:left="255"/>
              <w:spacing w:before="100" w:line="219" w:lineRule="auto"/>
              <w:rPr>
                <w:sz w:val="16"/>
                <w:szCs w:val="16"/>
              </w:rPr>
            </w:pPr>
            <w:r>
              <w:rPr>
                <w:sz w:val="16"/>
                <w:szCs w:val="16"/>
                <w:spacing w:val="1"/>
              </w:rPr>
              <w:t>●数据概要分析的时间规则</w:t>
            </w:r>
          </w:p>
        </w:tc>
      </w:tr>
    </w:tbl>
    <w:p>
      <w:pPr>
        <w:ind w:left="584"/>
        <w:spacing w:before="204"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219" w:right="52" w:firstLine="470"/>
        <w:spacing w:before="50" w:line="261" w:lineRule="auto"/>
        <w:rPr>
          <w:rFonts w:ascii="SimSun" w:hAnsi="SimSun" w:eastAsia="SimSun" w:cs="SimSun"/>
          <w:sz w:val="21"/>
          <w:szCs w:val="21"/>
        </w:rPr>
      </w:pPr>
      <w:r>
        <w:rPr>
          <w:rFonts w:ascii="SimSun" w:hAnsi="SimSun" w:eastAsia="SimSun" w:cs="SimSun"/>
          <w:sz w:val="21"/>
          <w:szCs w:val="21"/>
          <w:spacing w:val="5"/>
        </w:rPr>
        <w:t>组织应当定义规则来确定不同数据集进行概要</w:t>
      </w:r>
      <w:r>
        <w:rPr>
          <w:rFonts w:ascii="SimSun" w:hAnsi="SimSun" w:eastAsia="SimSun" w:cs="SimSun"/>
          <w:sz w:val="21"/>
          <w:szCs w:val="21"/>
          <w:spacing w:val="4"/>
        </w:rPr>
        <w:t>分析的时间(例如当获取到数据</w:t>
      </w:r>
      <w:r>
        <w:rPr>
          <w:rFonts w:ascii="SimSun" w:hAnsi="SimSun" w:eastAsia="SimSun" w:cs="SimSun"/>
          <w:sz w:val="21"/>
          <w:szCs w:val="21"/>
        </w:rPr>
        <w:t xml:space="preserve"> </w:t>
      </w:r>
      <w:r>
        <w:rPr>
          <w:rFonts w:ascii="SimSun" w:hAnsi="SimSun" w:eastAsia="SimSun" w:cs="SimSun"/>
          <w:sz w:val="21"/>
          <w:szCs w:val="21"/>
          <w:spacing w:val="2"/>
        </w:rPr>
        <w:t>时或者在数据合并、迁移、输出、分析、为保持相符性而</w:t>
      </w:r>
      <w:r>
        <w:rPr>
          <w:rFonts w:ascii="SimSun" w:hAnsi="SimSun" w:eastAsia="SimSun" w:cs="SimSun"/>
          <w:sz w:val="21"/>
          <w:szCs w:val="21"/>
          <w:spacing w:val="1"/>
        </w:rPr>
        <w:t>做报告之前、或者进行结</w:t>
      </w:r>
      <w:r>
        <w:rPr>
          <w:rFonts w:ascii="SimSun" w:hAnsi="SimSun" w:eastAsia="SimSun" w:cs="SimSun"/>
          <w:sz w:val="21"/>
          <w:szCs w:val="21"/>
        </w:rPr>
        <w:t xml:space="preserve"> </w:t>
      </w:r>
      <w:r>
        <w:rPr>
          <w:rFonts w:ascii="SimSun" w:hAnsi="SimSun" w:eastAsia="SimSun" w:cs="SimSun"/>
          <w:sz w:val="21"/>
          <w:szCs w:val="21"/>
        </w:rPr>
        <w:t>构转换时)。对于组织数据基础的核心共享数据集，组织也</w:t>
      </w:r>
      <w:r>
        <w:rPr>
          <w:rFonts w:ascii="SimSun" w:hAnsi="SimSun" w:eastAsia="SimSun" w:cs="SimSun"/>
          <w:sz w:val="21"/>
          <w:szCs w:val="21"/>
          <w:spacing w:val="-1"/>
        </w:rPr>
        <w:t>应定期进行剖析和监督。</w:t>
      </w:r>
    </w:p>
    <w:p>
      <w:pPr>
        <w:spacing w:line="261" w:lineRule="auto"/>
        <w:sectPr>
          <w:footerReference w:type="default" r:id="rId266"/>
          <w:pgSz w:w="8870" w:h="13400"/>
          <w:pgMar w:top="400" w:right="514" w:bottom="488" w:left="419" w:header="0" w:footer="278" w:gutter="0"/>
        </w:sectPr>
        <w:rPr>
          <w:rFonts w:ascii="SimSun" w:hAnsi="SimSun" w:eastAsia="SimSun" w:cs="SimSun"/>
          <w:sz w:val="21"/>
          <w:szCs w:val="21"/>
        </w:rPr>
      </w:pPr>
    </w:p>
    <w:p>
      <w:pPr>
        <w:ind w:left="5493"/>
        <w:spacing w:before="22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spacing w:before="150"/>
        <w:rPr/>
      </w:pPr>
      <w:r/>
    </w:p>
    <w:tbl>
      <w:tblPr>
        <w:tblStyle w:val="TableNormal"/>
        <w:tblW w:w="758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2" w:hRule="atLeast"/>
        </w:trPr>
        <w:tc>
          <w:tcPr>
            <w:tcW w:w="704" w:type="dxa"/>
            <w:vAlign w:val="top"/>
          </w:tcPr>
          <w:p>
            <w:pPr>
              <w:pStyle w:val="TableText"/>
              <w:ind w:left="195"/>
              <w:spacing w:before="81"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81" w:line="220" w:lineRule="auto"/>
              <w:rPr/>
            </w:pPr>
            <w:r>
              <w:rPr>
                <w:spacing w:val="-5"/>
              </w:rPr>
              <w:t>实</w:t>
            </w:r>
            <w:r>
              <w:rPr>
                <w:spacing w:val="6"/>
              </w:rPr>
              <w:t xml:space="preserve">    </w:t>
            </w:r>
            <w:r>
              <w:rPr>
                <w:spacing w:val="-5"/>
              </w:rPr>
              <w:t>例</w:t>
            </w:r>
          </w:p>
        </w:tc>
      </w:tr>
      <w:tr>
        <w:trPr>
          <w:trHeight w:val="848"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3.5</w:t>
            </w:r>
          </w:p>
        </w:tc>
        <w:tc>
          <w:tcPr>
            <w:tcW w:w="3135" w:type="dxa"/>
            <w:vAlign w:val="top"/>
          </w:tcPr>
          <w:p>
            <w:pPr>
              <w:pStyle w:val="TableText"/>
              <w:ind w:left="111" w:right="169" w:firstLine="129"/>
              <w:spacing w:before="218" w:line="282" w:lineRule="auto"/>
              <w:rPr/>
            </w:pPr>
            <w:r>
              <w:rPr>
                <w:spacing w:val="-1"/>
              </w:rPr>
              <w:t>概要分析过程是可重用的，并且在多个数</w:t>
            </w:r>
            <w:r>
              <w:rPr>
                <w:spacing w:val="11"/>
              </w:rPr>
              <w:t xml:space="preserve"> </w:t>
            </w:r>
            <w:r>
              <w:rPr>
                <w:spacing w:val="-1"/>
              </w:rPr>
              <w:t>据存储和共享数据库中进行部署了该过程。</w:t>
            </w:r>
          </w:p>
        </w:tc>
        <w:tc>
          <w:tcPr>
            <w:tcW w:w="3750" w:type="dxa"/>
            <w:vAlign w:val="top"/>
          </w:tcPr>
          <w:p>
            <w:pPr>
              <w:pStyle w:val="TableText"/>
              <w:ind w:left="266"/>
              <w:spacing w:before="78" w:line="219" w:lineRule="auto"/>
              <w:rPr/>
            </w:pPr>
            <w:r>
              <w:rPr/>
              <w:t>●数据概要活动的最佳实践集</w:t>
            </w:r>
          </w:p>
          <w:p>
            <w:pPr>
              <w:pStyle w:val="TableText"/>
              <w:ind w:left="266"/>
              <w:spacing w:before="103" w:line="219" w:lineRule="auto"/>
              <w:rPr/>
            </w:pPr>
            <w:r>
              <w:rPr/>
              <w:t>●数据概要分析活动的复用性设计</w:t>
            </w:r>
          </w:p>
          <w:p>
            <w:pPr>
              <w:pStyle w:val="TableText"/>
              <w:ind w:left="266"/>
              <w:spacing w:before="112" w:line="219" w:lineRule="auto"/>
              <w:rPr/>
            </w:pPr>
            <w:r>
              <w:rPr/>
              <w:t>●数据概要实践的分发和共享</w:t>
            </w:r>
          </w:p>
        </w:tc>
      </w:tr>
    </w:tbl>
    <w:p>
      <w:pPr>
        <w:ind w:left="314"/>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right="240" w:firstLine="419"/>
        <w:spacing w:before="46" w:line="260" w:lineRule="auto"/>
        <w:rPr>
          <w:rFonts w:ascii="SimSun" w:hAnsi="SimSun" w:eastAsia="SimSun" w:cs="SimSun"/>
          <w:sz w:val="21"/>
          <w:szCs w:val="21"/>
        </w:rPr>
      </w:pPr>
      <w:r>
        <w:rPr>
          <w:rFonts w:ascii="SimSun" w:hAnsi="SimSun" w:eastAsia="SimSun" w:cs="SimSun"/>
          <w:sz w:val="21"/>
          <w:szCs w:val="21"/>
          <w:spacing w:val="2"/>
        </w:rPr>
        <w:t>因为数据质量活动通常价值很高却耗费很多资源，所以组</w:t>
      </w:r>
      <w:r>
        <w:rPr>
          <w:rFonts w:ascii="SimSun" w:hAnsi="SimSun" w:eastAsia="SimSun" w:cs="SimSun"/>
          <w:sz w:val="21"/>
          <w:szCs w:val="21"/>
          <w:spacing w:val="1"/>
        </w:rPr>
        <w:t>织内的同行应当进行</w:t>
      </w:r>
      <w:r>
        <w:rPr>
          <w:rFonts w:ascii="SimSun" w:hAnsi="SimSun" w:eastAsia="SimSun" w:cs="SimSun"/>
          <w:sz w:val="21"/>
          <w:szCs w:val="21"/>
        </w:rPr>
        <w:t xml:space="preserve"> </w:t>
      </w:r>
      <w:r>
        <w:rPr>
          <w:rFonts w:ascii="SimSun" w:hAnsi="SimSun" w:eastAsia="SimSun" w:cs="SimSun"/>
          <w:sz w:val="21"/>
          <w:szCs w:val="21"/>
          <w:spacing w:val="2"/>
        </w:rPr>
        <w:t>共享和相互指导以建立数据概要活动的最佳实践。因</w:t>
      </w:r>
      <w:r>
        <w:rPr>
          <w:rFonts w:ascii="SimSun" w:hAnsi="SimSun" w:eastAsia="SimSun" w:cs="SimSun"/>
          <w:sz w:val="21"/>
          <w:szCs w:val="21"/>
          <w:spacing w:val="1"/>
        </w:rPr>
        <w:t>此，提高效率并避免返工是很</w:t>
      </w:r>
      <w:r>
        <w:rPr>
          <w:rFonts w:ascii="SimSun" w:hAnsi="SimSun" w:eastAsia="SimSun" w:cs="SimSun"/>
          <w:sz w:val="21"/>
          <w:szCs w:val="21"/>
        </w:rPr>
        <w:t xml:space="preserve"> </w:t>
      </w:r>
      <w:r>
        <w:rPr>
          <w:rFonts w:ascii="SimSun" w:hAnsi="SimSun" w:eastAsia="SimSun" w:cs="SimSun"/>
          <w:sz w:val="21"/>
          <w:szCs w:val="21"/>
          <w:spacing w:val="2"/>
        </w:rPr>
        <w:t>好的方式。有些组织发现最有效的方式是由一支拥</w:t>
      </w:r>
      <w:r>
        <w:rPr>
          <w:rFonts w:ascii="SimSun" w:hAnsi="SimSun" w:eastAsia="SimSun" w:cs="SimSun"/>
          <w:sz w:val="21"/>
          <w:szCs w:val="21"/>
          <w:spacing w:val="1"/>
        </w:rPr>
        <w:t>有技能人才的数据概要分析队伍</w:t>
      </w:r>
      <w:r>
        <w:rPr>
          <w:rFonts w:ascii="SimSun" w:hAnsi="SimSun" w:eastAsia="SimSun" w:cs="SimSun"/>
          <w:sz w:val="21"/>
          <w:szCs w:val="21"/>
        </w:rPr>
        <w:t xml:space="preserve"> </w:t>
      </w:r>
      <w:r>
        <w:rPr>
          <w:rFonts w:ascii="SimSun" w:hAnsi="SimSun" w:eastAsia="SimSun" w:cs="SimSun"/>
          <w:sz w:val="21"/>
          <w:szCs w:val="21"/>
          <w:spacing w:val="-5"/>
        </w:rPr>
        <w:t>来进行分析活动。</w:t>
      </w:r>
    </w:p>
    <w:p>
      <w:pPr>
        <w:spacing w:line="117" w:lineRule="exact"/>
        <w:rPr/>
      </w:pPr>
      <w:r/>
    </w:p>
    <w:tbl>
      <w:tblPr>
        <w:tblStyle w:val="TableNormal"/>
        <w:tblW w:w="759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34" w:hRule="atLeast"/>
        </w:trPr>
        <w:tc>
          <w:tcPr>
            <w:tcW w:w="704" w:type="dxa"/>
            <w:vAlign w:val="top"/>
          </w:tcPr>
          <w:p>
            <w:pPr>
              <w:pStyle w:val="TableText"/>
              <w:ind w:left="195"/>
              <w:spacing w:before="92" w:line="221" w:lineRule="auto"/>
              <w:rPr/>
            </w:pPr>
            <w:r>
              <w:rPr>
                <w:spacing w:val="-2"/>
              </w:rPr>
              <w:t>序号</w:t>
            </w:r>
          </w:p>
        </w:tc>
        <w:tc>
          <w:tcPr>
            <w:tcW w:w="3136" w:type="dxa"/>
            <w:vAlign w:val="top"/>
          </w:tcPr>
          <w:p>
            <w:pPr>
              <w:pStyle w:val="TableText"/>
              <w:ind w:left="115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4"/>
              <w:spacing w:before="91" w:line="220" w:lineRule="auto"/>
              <w:rPr/>
            </w:pPr>
            <w:r>
              <w:rPr>
                <w:spacing w:val="-5"/>
              </w:rPr>
              <w:t>实</w:t>
            </w:r>
            <w:r>
              <w:rPr>
                <w:spacing w:val="1"/>
              </w:rPr>
              <w:t xml:space="preserve">   </w:t>
            </w:r>
            <w:r>
              <w:rPr>
                <w:spacing w:val="-5"/>
              </w:rPr>
              <w:t>例</w:t>
            </w:r>
          </w:p>
        </w:tc>
      </w:tr>
      <w:tr>
        <w:trPr>
          <w:trHeight w:val="3376" w:hRule="atLeast"/>
        </w:trPr>
        <w:tc>
          <w:tcPr>
            <w:tcW w:w="704" w:type="dxa"/>
            <w:vAlign w:val="top"/>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pStyle w:val="TableText"/>
              <w:ind w:left="224"/>
              <w:spacing w:before="49" w:line="183" w:lineRule="auto"/>
              <w:rPr/>
            </w:pPr>
            <w:r>
              <w:rPr>
                <w:spacing w:val="-2"/>
              </w:rPr>
              <w:t>3.6</w:t>
            </w:r>
          </w:p>
        </w:tc>
        <w:tc>
          <w:tcPr>
            <w:tcW w:w="3136" w:type="dxa"/>
            <w:vAlign w:val="top"/>
          </w:tcPr>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TableText"/>
              <w:ind w:left="101" w:right="312" w:firstLine="170"/>
              <w:spacing w:before="49" w:line="282" w:lineRule="auto"/>
              <w:rPr/>
            </w:pPr>
            <w:r>
              <w:rPr>
                <w:spacing w:val="-1"/>
              </w:rPr>
              <w:t>软件开发生命周期(SDLC)包含了数据概</w:t>
            </w:r>
            <w:r>
              <w:rPr>
                <w:spacing w:val="11"/>
              </w:rPr>
              <w:t xml:space="preserve"> </w:t>
            </w:r>
            <w:r>
              <w:rPr>
                <w:spacing w:val="-1"/>
              </w:rPr>
              <w:t>要分析的任务以及裁剪准则、指南和治理</w:t>
            </w:r>
          </w:p>
        </w:tc>
        <w:tc>
          <w:tcPr>
            <w:tcW w:w="3750" w:type="dxa"/>
            <w:vAlign w:val="top"/>
          </w:tcPr>
          <w:p>
            <w:pPr>
              <w:pStyle w:val="TableText"/>
              <w:ind w:left="104" w:right="168" w:firstLine="160"/>
              <w:spacing w:before="66" w:line="287" w:lineRule="auto"/>
              <w:rPr/>
            </w:pPr>
            <w:r>
              <w:rPr/>
              <w:t>●数据概要分析标准，包括过程准则、标准、最佳</w:t>
            </w:r>
            <w:r>
              <w:rPr>
                <w:spacing w:val="5"/>
              </w:rPr>
              <w:t xml:space="preserve"> </w:t>
            </w:r>
            <w:r>
              <w:rPr>
                <w:spacing w:val="-1"/>
              </w:rPr>
              <w:t>时间准则、裁剪以及报告格式</w:t>
            </w:r>
          </w:p>
          <w:p>
            <w:pPr>
              <w:pStyle w:val="TableText"/>
              <w:ind w:left="255"/>
              <w:spacing w:before="114" w:line="219" w:lineRule="auto"/>
              <w:rPr/>
            </w:pPr>
            <w:r>
              <w:rPr/>
              <w:t>●从组织级标准中裁剪的数据概要分析方法学</w:t>
            </w:r>
          </w:p>
          <w:p>
            <w:pPr>
              <w:pStyle w:val="TableText"/>
              <w:ind w:left="104" w:right="168" w:firstLine="160"/>
              <w:spacing w:before="101" w:line="281" w:lineRule="auto"/>
              <w:rPr/>
            </w:pPr>
            <w:r>
              <w:rPr/>
              <w:t>●展示数据内容和特点的概要分析结果以及展示数</w:t>
            </w:r>
            <w:r>
              <w:rPr>
                <w:spacing w:val="5"/>
              </w:rPr>
              <w:t xml:space="preserve"> </w:t>
            </w:r>
            <w:r>
              <w:rPr>
                <w:spacing w:val="-1"/>
              </w:rPr>
              <w:t>据需求可追溯性的报告</w:t>
            </w:r>
          </w:p>
          <w:p>
            <w:pPr>
              <w:pStyle w:val="TableText"/>
              <w:ind w:left="255"/>
              <w:spacing w:before="94" w:line="219" w:lineRule="auto"/>
              <w:rPr/>
            </w:pPr>
            <w:r>
              <w:rPr/>
              <w:t>●已记录的数据相关的决策和原理的裁剪</w:t>
            </w:r>
          </w:p>
          <w:p>
            <w:pPr>
              <w:pStyle w:val="TableText"/>
              <w:ind w:left="255"/>
              <w:spacing w:before="101" w:line="219" w:lineRule="auto"/>
              <w:rPr/>
            </w:pPr>
            <w:r>
              <w:rPr/>
              <w:t>●关于实践者对概要分析技能需求的文档记录</w:t>
            </w:r>
          </w:p>
          <w:p>
            <w:pPr>
              <w:pStyle w:val="TableText"/>
              <w:ind w:left="255"/>
              <w:spacing w:before="112" w:line="219" w:lineRule="auto"/>
              <w:rPr/>
            </w:pPr>
            <w:r>
              <w:rPr/>
              <w:t>●数据概要分析的度量项</w:t>
            </w:r>
          </w:p>
          <w:p>
            <w:pPr>
              <w:pStyle w:val="TableText"/>
              <w:ind w:left="255"/>
              <w:spacing w:before="91" w:line="218" w:lineRule="auto"/>
              <w:rPr/>
            </w:pPr>
            <w:r>
              <w:rPr/>
              <w:t>●通过数据概要分析活动总结出的建议报告</w:t>
            </w:r>
          </w:p>
          <w:p>
            <w:pPr>
              <w:pStyle w:val="TableText"/>
              <w:ind w:left="255"/>
              <w:spacing w:before="103" w:line="219" w:lineRule="auto"/>
              <w:rPr/>
            </w:pPr>
            <w:r>
              <w:rPr/>
              <w:t>●业务和技术的影响分析结果的模板</w:t>
            </w:r>
          </w:p>
          <w:p>
            <w:pPr>
              <w:pStyle w:val="TableText"/>
              <w:ind w:left="255"/>
              <w:spacing w:before="112" w:line="218" w:lineRule="auto"/>
              <w:rPr/>
            </w:pPr>
            <w:r>
              <w:rPr/>
              <w:t>●标准数据概要分析报告的要求</w:t>
            </w:r>
          </w:p>
          <w:p>
            <w:pPr>
              <w:pStyle w:val="TableText"/>
              <w:ind w:left="255"/>
              <w:spacing w:before="114" w:line="219" w:lineRule="auto"/>
              <w:rPr/>
            </w:pPr>
            <w:r>
              <w:rPr/>
              <w:t>●经认可的数据概要分析标准工具</w:t>
            </w:r>
          </w:p>
        </w:tc>
      </w:tr>
    </w:tbl>
    <w:p>
      <w:pPr>
        <w:ind w:left="31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42" w:firstLine="419"/>
        <w:spacing w:before="49" w:line="255" w:lineRule="auto"/>
        <w:rPr>
          <w:rFonts w:ascii="SimSun" w:hAnsi="SimSun" w:eastAsia="SimSun" w:cs="SimSun"/>
          <w:sz w:val="21"/>
          <w:szCs w:val="21"/>
        </w:rPr>
      </w:pPr>
      <w:r>
        <w:rPr>
          <w:rFonts w:ascii="SimSun" w:hAnsi="SimSun" w:eastAsia="SimSun" w:cs="SimSun"/>
          <w:sz w:val="21"/>
          <w:szCs w:val="21"/>
          <w:spacing w:val="8"/>
        </w:rPr>
        <w:t>大部分的数据存储开发工作(例如新的数据仓库的创建)应该将数据</w:t>
      </w:r>
      <w:r>
        <w:rPr>
          <w:rFonts w:ascii="SimSun" w:hAnsi="SimSun" w:eastAsia="SimSun" w:cs="SimSun"/>
          <w:sz w:val="21"/>
          <w:szCs w:val="21"/>
          <w:spacing w:val="7"/>
        </w:rPr>
        <w:t>概要分析</w:t>
      </w:r>
      <w:r>
        <w:rPr>
          <w:rFonts w:ascii="SimSun" w:hAnsi="SimSun" w:eastAsia="SimSun" w:cs="SimSun"/>
          <w:sz w:val="21"/>
          <w:szCs w:val="21"/>
        </w:rPr>
        <w:t xml:space="preserve"> </w:t>
      </w:r>
      <w:r>
        <w:rPr>
          <w:rFonts w:ascii="SimSun" w:hAnsi="SimSun" w:eastAsia="SimSun" w:cs="SimSun"/>
          <w:sz w:val="21"/>
          <w:szCs w:val="21"/>
          <w:spacing w:val="-1"/>
        </w:rPr>
        <w:t>活动纳入项目计划。数据概要分析实践的制度化要求软件开发生命周期</w:t>
      </w:r>
      <w:r>
        <w:rPr>
          <w:rFonts w:ascii="SimSun" w:hAnsi="SimSun" w:eastAsia="SimSun" w:cs="SimSun"/>
          <w:sz w:val="21"/>
          <w:szCs w:val="21"/>
          <w:spacing w:val="-15"/>
        </w:rPr>
        <w:t xml:space="preserve"> </w:t>
      </w:r>
      <w:r>
        <w:rPr>
          <w:rFonts w:ascii="SimSun" w:hAnsi="SimSun" w:eastAsia="SimSun" w:cs="SimSun"/>
          <w:sz w:val="21"/>
          <w:szCs w:val="21"/>
          <w:spacing w:val="-1"/>
        </w:rPr>
        <w:t>(SDLC)  包</w:t>
      </w:r>
      <w:r>
        <w:rPr>
          <w:rFonts w:ascii="SimSun" w:hAnsi="SimSun" w:eastAsia="SimSun" w:cs="SimSun"/>
          <w:sz w:val="21"/>
          <w:szCs w:val="21"/>
        </w:rPr>
        <w:t xml:space="preserve"> </w:t>
      </w:r>
      <w:r>
        <w:rPr>
          <w:rFonts w:ascii="SimSun" w:hAnsi="SimSun" w:eastAsia="SimSun" w:cs="SimSun"/>
          <w:sz w:val="21"/>
          <w:szCs w:val="21"/>
          <w:spacing w:val="-2"/>
        </w:rPr>
        <w:t>含活动的参考和指南，并且裁剪标准得到定义和遵守。</w:t>
      </w:r>
    </w:p>
    <w:p>
      <w:pPr>
        <w:pStyle w:val="BodyText"/>
        <w:ind w:left="419"/>
        <w:spacing w:before="76" w:line="221" w:lineRule="auto"/>
        <w:rPr>
          <w:rFonts w:ascii="SimHei" w:hAnsi="SimHei" w:eastAsia="SimHei" w:cs="SimHei"/>
        </w:rPr>
      </w:pPr>
      <w:r>
        <w:rPr>
          <w:b/>
          <w:bCs/>
          <w:spacing w:val="-2"/>
        </w:rPr>
        <w:t>Level 4:</w:t>
      </w:r>
      <w:r>
        <w:rPr>
          <w:b/>
          <w:bCs/>
          <w:spacing w:val="39"/>
        </w:rPr>
        <w:t xml:space="preserve"> </w:t>
      </w:r>
      <w:r>
        <w:rPr>
          <w:rFonts w:ascii="SimHei" w:hAnsi="SimHei" w:eastAsia="SimHei" w:cs="SimHei"/>
          <w:b/>
          <w:bCs/>
          <w:spacing w:val="-2"/>
        </w:rPr>
        <w:t>量化级</w:t>
      </w:r>
    </w:p>
    <w:p>
      <w:pPr>
        <w:spacing w:line="130" w:lineRule="exact"/>
        <w:rPr/>
      </w:pPr>
      <w:r/>
    </w:p>
    <w:tbl>
      <w:tblPr>
        <w:tblStyle w:val="TableNormal"/>
        <w:tblW w:w="759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95"/>
              <w:spacing w:before="81" w:line="221" w:lineRule="auto"/>
              <w:rPr/>
            </w:pPr>
            <w:r>
              <w:rPr>
                <w:spacing w:val="-2"/>
              </w:rPr>
              <w:t>序号</w:t>
            </w:r>
          </w:p>
        </w:tc>
        <w:tc>
          <w:tcPr>
            <w:tcW w:w="314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6"/>
              <w:spacing w:before="81" w:line="220" w:lineRule="auto"/>
              <w:rPr/>
            </w:pPr>
            <w:r>
              <w:rPr>
                <w:spacing w:val="-5"/>
              </w:rPr>
              <w:t>实</w:t>
            </w:r>
            <w:r>
              <w:rPr>
                <w:spacing w:val="1"/>
              </w:rPr>
              <w:t xml:space="preserve">   </w:t>
            </w:r>
            <w:r>
              <w:rPr>
                <w:spacing w:val="-5"/>
              </w:rPr>
              <w:t>例</w:t>
            </w:r>
          </w:p>
        </w:tc>
      </w:tr>
      <w:tr>
        <w:trPr>
          <w:trHeight w:val="857" w:hRule="atLeast"/>
        </w:trPr>
        <w:tc>
          <w:tcPr>
            <w:tcW w:w="704" w:type="dxa"/>
            <w:vAlign w:val="top"/>
          </w:tcPr>
          <w:p>
            <w:pPr>
              <w:spacing w:line="346" w:lineRule="auto"/>
              <w:rPr>
                <w:rFonts w:ascii="Arial"/>
                <w:sz w:val="21"/>
              </w:rPr>
            </w:pPr>
            <w:r/>
          </w:p>
          <w:p>
            <w:pPr>
              <w:pStyle w:val="TableText"/>
              <w:ind w:left="224"/>
              <w:spacing w:before="48" w:line="184" w:lineRule="auto"/>
              <w:rPr/>
            </w:pPr>
            <w:r>
              <w:rPr>
                <w:spacing w:val="-2"/>
              </w:rPr>
              <w:t>4.1</w:t>
            </w:r>
          </w:p>
        </w:tc>
        <w:tc>
          <w:tcPr>
            <w:tcW w:w="3145" w:type="dxa"/>
            <w:vAlign w:val="top"/>
          </w:tcPr>
          <w:p>
            <w:pPr>
              <w:pStyle w:val="TableText"/>
              <w:ind w:left="111" w:right="169" w:firstLine="160"/>
              <w:spacing w:before="229" w:line="288" w:lineRule="auto"/>
              <w:rPr/>
            </w:pPr>
            <w:r>
              <w:rPr>
                <w:spacing w:val="-1"/>
              </w:rPr>
              <w:t>度量数据概要分析过程的性能，并根据性</w:t>
            </w:r>
            <w:r>
              <w:rPr>
                <w:spacing w:val="11"/>
              </w:rPr>
              <w:t xml:space="preserve"> </w:t>
            </w:r>
            <w:r>
              <w:rPr>
                <w:spacing w:val="-1"/>
              </w:rPr>
              <w:t>能对整个组织的活动进行管理</w:t>
            </w:r>
          </w:p>
        </w:tc>
        <w:tc>
          <w:tcPr>
            <w:tcW w:w="3750" w:type="dxa"/>
            <w:vAlign w:val="top"/>
          </w:tcPr>
          <w:p>
            <w:pPr>
              <w:pStyle w:val="TableText"/>
              <w:ind w:left="266"/>
              <w:spacing w:before="89" w:line="219" w:lineRule="auto"/>
              <w:rPr/>
            </w:pPr>
            <w:r>
              <w:rPr/>
              <w:t>●数据质量度量项的记录</w:t>
            </w:r>
          </w:p>
          <w:p>
            <w:pPr>
              <w:pStyle w:val="TableText"/>
              <w:ind w:left="266"/>
              <w:spacing w:before="112" w:line="219" w:lineRule="auto"/>
              <w:rPr/>
            </w:pPr>
            <w:r>
              <w:rPr/>
              <w:t>●概要分析内容和步骤的记录</w:t>
            </w:r>
          </w:p>
          <w:p>
            <w:pPr>
              <w:pStyle w:val="TableText"/>
              <w:ind w:left="266"/>
              <w:spacing w:before="101" w:line="219" w:lineRule="auto"/>
              <w:rPr/>
            </w:pPr>
            <w:r>
              <w:rPr/>
              <w:t>●数据概要分析的性能基线</w:t>
            </w:r>
          </w:p>
        </w:tc>
      </w:tr>
    </w:tbl>
    <w:p>
      <w:pPr>
        <w:ind w:left="31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220" w:firstLine="419"/>
        <w:spacing w:before="40" w:line="259" w:lineRule="auto"/>
        <w:rPr>
          <w:rFonts w:ascii="SimSun" w:hAnsi="SimSun" w:eastAsia="SimSun" w:cs="SimSun"/>
          <w:sz w:val="21"/>
          <w:szCs w:val="21"/>
        </w:rPr>
      </w:pPr>
      <w:r>
        <w:rPr>
          <w:rFonts w:ascii="SimSun" w:hAnsi="SimSun" w:eastAsia="SimSun" w:cs="SimSun"/>
          <w:sz w:val="21"/>
          <w:szCs w:val="21"/>
          <w:spacing w:val="-4"/>
        </w:rPr>
        <w:t>根据数据质量度量的反馈对数据概要分析的计划和进度进行管理。度量结果应该</w:t>
      </w:r>
      <w:r>
        <w:rPr>
          <w:rFonts w:ascii="SimSun" w:hAnsi="SimSun" w:eastAsia="SimSun" w:cs="SimSun"/>
          <w:sz w:val="21"/>
          <w:szCs w:val="21"/>
          <w:spacing w:val="9"/>
        </w:rPr>
        <w:t xml:space="preserve"> </w:t>
      </w:r>
      <w:r>
        <w:rPr>
          <w:rFonts w:ascii="SimSun" w:hAnsi="SimSun" w:eastAsia="SimSun" w:cs="SimSun"/>
          <w:sz w:val="21"/>
          <w:szCs w:val="21"/>
          <w:spacing w:val="-4"/>
        </w:rPr>
        <w:t>要表明这个活动的输出在多大程度上满足并与业务需求和重点保持相符。</w:t>
      </w:r>
      <w:r>
        <w:rPr>
          <w:rFonts w:ascii="SimSun" w:hAnsi="SimSun" w:eastAsia="SimSun" w:cs="SimSun"/>
          <w:sz w:val="21"/>
          <w:szCs w:val="21"/>
          <w:spacing w:val="-5"/>
        </w:rPr>
        <w:t>应根据质量</w:t>
      </w:r>
      <w:r>
        <w:rPr>
          <w:rFonts w:ascii="SimSun" w:hAnsi="SimSun" w:eastAsia="SimSun" w:cs="SimSun"/>
          <w:sz w:val="21"/>
          <w:szCs w:val="21"/>
        </w:rPr>
        <w:t xml:space="preserve"> </w:t>
      </w:r>
      <w:r>
        <w:rPr>
          <w:rFonts w:ascii="SimSun" w:hAnsi="SimSun" w:eastAsia="SimSun" w:cs="SimSun"/>
          <w:sz w:val="21"/>
          <w:szCs w:val="21"/>
          <w:spacing w:val="-1"/>
        </w:rPr>
        <w:t>和临界的提示决定什么时候、如何执行概要分析、分析内容是什</w:t>
      </w:r>
      <w:r>
        <w:rPr>
          <w:rFonts w:ascii="SimSun" w:hAnsi="SimSun" w:eastAsia="SimSun" w:cs="SimSun"/>
          <w:sz w:val="21"/>
          <w:szCs w:val="21"/>
          <w:spacing w:val="-2"/>
        </w:rPr>
        <w:t>么,这可能因业务应</w:t>
      </w:r>
    </w:p>
    <w:p>
      <w:pPr>
        <w:spacing w:line="259" w:lineRule="auto"/>
        <w:sectPr>
          <w:footerReference w:type="default" r:id="rId267"/>
          <w:pgSz w:w="8870" w:h="13400"/>
          <w:pgMar w:top="400" w:right="698" w:bottom="537" w:left="310" w:header="0" w:footer="328" w:gutter="0"/>
        </w:sectPr>
        <w:rPr>
          <w:rFonts w:ascii="SimSun" w:hAnsi="SimSun" w:eastAsia="SimSun" w:cs="SimSun"/>
          <w:sz w:val="21"/>
          <w:szCs w:val="21"/>
        </w:rPr>
      </w:pPr>
    </w:p>
    <w:p>
      <w:pPr>
        <w:ind w:left="199"/>
        <w:spacing w:before="246" w:line="219" w:lineRule="auto"/>
        <w:rPr>
          <w:rFonts w:ascii="SimSun" w:hAnsi="SimSun" w:eastAsia="SimSun" w:cs="SimSun"/>
          <w:sz w:val="22"/>
          <w:szCs w:val="22"/>
        </w:rPr>
      </w:pPr>
      <w:r>
        <w:pict>
          <v:rect id="_x0000_s392" style="position:absolute;margin-left:31.5018pt;margin-top:28.9976pt;mso-position-vertical-relative:page;mso-position-horizontal-relative:page;width:0.5pt;height:17.55pt;z-index:254962688;" o:allowincell="f" fillcolor="#000000" filled="true" stroked="false"/>
        </w:pict>
      </w:r>
      <w:r>
        <w:rPr>
          <w:rFonts w:ascii="SimSun" w:hAnsi="SimSun" w:eastAsia="SimSun" w:cs="SimSun"/>
          <w:sz w:val="22"/>
          <w:szCs w:val="22"/>
          <w:b/>
          <w:bCs/>
          <w:spacing w:val="-15"/>
        </w:rPr>
        <w:t>■云端数据治理</w:t>
      </w:r>
    </w:p>
    <w:p>
      <w:pPr>
        <w:pStyle w:val="BodyText"/>
        <w:spacing w:line="258" w:lineRule="auto"/>
        <w:rPr/>
      </w:pPr>
      <w:r/>
    </w:p>
    <w:p>
      <w:pPr>
        <w:ind w:left="196" w:right="104"/>
        <w:spacing w:before="72" w:line="244" w:lineRule="auto"/>
        <w:rPr>
          <w:rFonts w:ascii="SimSun" w:hAnsi="SimSun" w:eastAsia="SimSun" w:cs="SimSun"/>
          <w:sz w:val="22"/>
          <w:szCs w:val="22"/>
        </w:rPr>
      </w:pPr>
      <w:r>
        <w:rPr>
          <w:rFonts w:ascii="SimSun" w:hAnsi="SimSun" w:eastAsia="SimSun" w:cs="SimSun"/>
          <w:sz w:val="22"/>
          <w:szCs w:val="22"/>
          <w:spacing w:val="-14"/>
        </w:rPr>
        <w:t>用的不同而不同。被认为对业务过程十分重要的高度共</w:t>
      </w:r>
      <w:r>
        <w:rPr>
          <w:rFonts w:ascii="SimSun" w:hAnsi="SimSun" w:eastAsia="SimSun" w:cs="SimSun"/>
          <w:sz w:val="22"/>
          <w:szCs w:val="22"/>
          <w:spacing w:val="-15"/>
        </w:rPr>
        <w:t>享数据或数据集，应对其进行</w:t>
      </w:r>
      <w:r>
        <w:rPr>
          <w:rFonts w:ascii="SimSun" w:hAnsi="SimSun" w:eastAsia="SimSun" w:cs="SimSun"/>
          <w:sz w:val="22"/>
          <w:szCs w:val="22"/>
        </w:rPr>
        <w:t xml:space="preserve"> </w:t>
      </w:r>
      <w:r>
        <w:rPr>
          <w:rFonts w:ascii="SimSun" w:hAnsi="SimSun" w:eastAsia="SimSun" w:cs="SimSun"/>
          <w:sz w:val="22"/>
          <w:szCs w:val="22"/>
          <w:spacing w:val="-16"/>
        </w:rPr>
        <w:t>定期的概要分析，这主要是因为其数据质量至关重要，需要对其进行频繁监督。</w:t>
      </w:r>
    </w:p>
    <w:p>
      <w:pPr>
        <w:ind w:left="196" w:right="55" w:firstLine="470"/>
        <w:spacing w:before="48" w:line="241" w:lineRule="auto"/>
        <w:jc w:val="both"/>
        <w:rPr>
          <w:rFonts w:ascii="SimSun" w:hAnsi="SimSun" w:eastAsia="SimSun" w:cs="SimSun"/>
          <w:sz w:val="22"/>
          <w:szCs w:val="22"/>
        </w:rPr>
      </w:pPr>
      <w:r>
        <w:rPr>
          <w:rFonts w:ascii="SimSun" w:hAnsi="SimSun" w:eastAsia="SimSun" w:cs="SimSun"/>
          <w:sz w:val="22"/>
          <w:szCs w:val="22"/>
          <w:spacing w:val="-9"/>
        </w:rPr>
        <w:t>数据质量度量应该要能展示员工在多大程度上完成好了数据概要分析工作。计</w:t>
      </w:r>
      <w:r>
        <w:rPr>
          <w:rFonts w:ascii="SimSun" w:hAnsi="SimSun" w:eastAsia="SimSun" w:cs="SimSun"/>
          <w:sz w:val="22"/>
          <w:szCs w:val="22"/>
          <w:spacing w:val="14"/>
        </w:rPr>
        <w:t xml:space="preserve"> </w:t>
      </w:r>
      <w:r>
        <w:rPr>
          <w:rFonts w:ascii="SimSun" w:hAnsi="SimSun" w:eastAsia="SimSun" w:cs="SimSun"/>
          <w:sz w:val="22"/>
          <w:szCs w:val="22"/>
          <w:spacing w:val="-2"/>
        </w:rPr>
        <w:t>划和执行的评估(实际和预估的对比)应该考虑以下因素：技能的使用、结果和决</w:t>
      </w:r>
      <w:r>
        <w:rPr>
          <w:rFonts w:ascii="SimSun" w:hAnsi="SimSun" w:eastAsia="SimSun" w:cs="SimSun"/>
          <w:sz w:val="22"/>
          <w:szCs w:val="22"/>
        </w:rPr>
        <w:t xml:space="preserve"> </w:t>
      </w:r>
      <w:r>
        <w:rPr>
          <w:rFonts w:ascii="SimSun" w:hAnsi="SimSun" w:eastAsia="SimSun" w:cs="SimSun"/>
          <w:sz w:val="22"/>
          <w:szCs w:val="22"/>
          <w:spacing w:val="-8"/>
        </w:rPr>
        <w:t>策的影响、与方法和标准的相符性、质量的输出以及工作的完成水平。</w:t>
      </w:r>
    </w:p>
    <w:p>
      <w:pPr>
        <w:ind w:left="196" w:right="55" w:firstLine="470"/>
        <w:spacing w:before="56" w:line="245" w:lineRule="auto"/>
        <w:jc w:val="both"/>
        <w:rPr>
          <w:rFonts w:ascii="SimSun" w:hAnsi="SimSun" w:eastAsia="SimSun" w:cs="SimSun"/>
          <w:sz w:val="22"/>
          <w:szCs w:val="22"/>
        </w:rPr>
      </w:pPr>
      <w:r>
        <w:rPr>
          <w:rFonts w:ascii="SimSun" w:hAnsi="SimSun" w:eastAsia="SimSun" w:cs="SimSun"/>
          <w:sz w:val="22"/>
          <w:szCs w:val="22"/>
          <w:spacing w:val="-9"/>
        </w:rPr>
        <w:t>建立数据概要分析过程性能基线，并使用该基线来告知数据概要分析活动的策</w:t>
      </w:r>
      <w:r>
        <w:rPr>
          <w:rFonts w:ascii="SimSun" w:hAnsi="SimSun" w:eastAsia="SimSun" w:cs="SimSun"/>
          <w:sz w:val="22"/>
          <w:szCs w:val="22"/>
          <w:spacing w:val="14"/>
        </w:rPr>
        <w:t xml:space="preserve"> </w:t>
      </w:r>
      <w:r>
        <w:rPr>
          <w:rFonts w:ascii="SimSun" w:hAnsi="SimSun" w:eastAsia="SimSun" w:cs="SimSun"/>
          <w:sz w:val="22"/>
          <w:szCs w:val="22"/>
          <w:spacing w:val="-16"/>
        </w:rPr>
        <w:t>划、执行和结果。</w:t>
      </w:r>
    </w:p>
    <w:p>
      <w:pPr>
        <w:spacing w:line="124" w:lineRule="exact"/>
        <w:rPr/>
      </w:pPr>
      <w:r/>
    </w:p>
    <w:tbl>
      <w:tblPr>
        <w:tblStyle w:val="TableNormal"/>
        <w:tblW w:w="7589" w:type="dxa"/>
        <w:tblInd w:w="28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40"/>
      </w:tblGrid>
      <w:tr>
        <w:trPr>
          <w:trHeight w:val="313" w:hRule="atLeast"/>
        </w:trPr>
        <w:tc>
          <w:tcPr>
            <w:tcW w:w="714" w:type="dxa"/>
            <w:vAlign w:val="top"/>
          </w:tcPr>
          <w:p>
            <w:pPr>
              <w:pStyle w:val="TableText"/>
              <w:ind w:left="194"/>
              <w:spacing w:before="82" w:line="221" w:lineRule="auto"/>
              <w:rPr/>
            </w:pPr>
            <w:r>
              <w:rPr>
                <w:spacing w:val="-2"/>
              </w:rPr>
              <w:t>序号</w:t>
            </w:r>
          </w:p>
        </w:tc>
        <w:tc>
          <w:tcPr>
            <w:tcW w:w="313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85"/>
              <w:spacing w:before="81" w:line="220" w:lineRule="auto"/>
              <w:rPr/>
            </w:pPr>
            <w:r>
              <w:rPr>
                <w:spacing w:val="-5"/>
              </w:rPr>
              <w:t>实</w:t>
            </w:r>
            <w:r>
              <w:rPr>
                <w:spacing w:val="6"/>
              </w:rPr>
              <w:t xml:space="preserve">    </w:t>
            </w:r>
            <w:r>
              <w:rPr>
                <w:spacing w:val="-5"/>
              </w:rPr>
              <w:t>例</w:t>
            </w:r>
          </w:p>
        </w:tc>
      </w:tr>
      <w:tr>
        <w:trPr>
          <w:trHeight w:val="1107" w:hRule="atLeast"/>
        </w:trPr>
        <w:tc>
          <w:tcPr>
            <w:tcW w:w="714" w:type="dxa"/>
            <w:vAlign w:val="top"/>
          </w:tcPr>
          <w:p>
            <w:pPr>
              <w:spacing w:line="465" w:lineRule="auto"/>
              <w:rPr>
                <w:rFonts w:ascii="Arial"/>
                <w:sz w:val="21"/>
              </w:rPr>
            </w:pPr>
            <w:r/>
          </w:p>
          <w:p>
            <w:pPr>
              <w:pStyle w:val="TableText"/>
              <w:ind w:left="234"/>
              <w:spacing w:before="49" w:line="183" w:lineRule="auto"/>
              <w:rPr/>
            </w:pPr>
            <w:r>
              <w:rPr>
                <w:spacing w:val="-2"/>
              </w:rPr>
              <w:t>4.2</w:t>
            </w:r>
          </w:p>
        </w:tc>
        <w:tc>
          <w:tcPr>
            <w:tcW w:w="3135" w:type="dxa"/>
            <w:vAlign w:val="top"/>
          </w:tcPr>
          <w:p>
            <w:pPr>
              <w:spacing w:line="306" w:lineRule="auto"/>
              <w:rPr>
                <w:rFonts w:ascii="Arial"/>
                <w:sz w:val="21"/>
              </w:rPr>
            </w:pPr>
            <w:r/>
          </w:p>
          <w:p>
            <w:pPr>
              <w:pStyle w:val="TableText"/>
              <w:ind w:left="120" w:right="161" w:firstLine="149"/>
              <w:spacing w:before="49" w:line="281" w:lineRule="auto"/>
              <w:rPr/>
            </w:pPr>
            <w:r>
              <w:rPr>
                <w:spacing w:val="-1"/>
              </w:rPr>
              <w:t>数据概要分析工作包含了对数据内容与其</w:t>
            </w:r>
            <w:r>
              <w:rPr>
                <w:spacing w:val="9"/>
              </w:rPr>
              <w:t xml:space="preserve"> </w:t>
            </w:r>
            <w:r>
              <w:rPr>
                <w:spacing w:val="-1"/>
              </w:rPr>
              <w:t>经认可的元数据和标准间一致性的评估</w:t>
            </w:r>
          </w:p>
        </w:tc>
        <w:tc>
          <w:tcPr>
            <w:tcW w:w="3740" w:type="dxa"/>
            <w:vAlign w:val="top"/>
          </w:tcPr>
          <w:p>
            <w:pPr>
              <w:pStyle w:val="TableText"/>
              <w:ind w:left="265"/>
              <w:spacing w:before="68" w:line="219" w:lineRule="auto"/>
              <w:rPr/>
            </w:pPr>
            <w:r>
              <w:rPr/>
              <w:t>●数据质量的基准</w:t>
            </w:r>
          </w:p>
          <w:p>
            <w:pPr>
              <w:pStyle w:val="TableText"/>
              <w:ind w:left="265"/>
              <w:spacing w:before="112" w:line="219" w:lineRule="auto"/>
              <w:rPr/>
            </w:pPr>
            <w:r>
              <w:rPr/>
              <w:t>●组织质量文档中规定的数据质量基准</w:t>
            </w:r>
          </w:p>
          <w:p>
            <w:pPr>
              <w:pStyle w:val="TableText"/>
              <w:ind w:left="265"/>
              <w:spacing w:before="102" w:line="219" w:lineRule="auto"/>
              <w:rPr/>
            </w:pPr>
            <w:r>
              <w:rPr/>
              <w:t>●数据质量基准的更新和修改记录</w:t>
            </w:r>
          </w:p>
          <w:p>
            <w:pPr>
              <w:pStyle w:val="TableText"/>
              <w:ind w:left="265"/>
              <w:spacing w:before="92" w:line="219" w:lineRule="auto"/>
              <w:rPr/>
            </w:pPr>
            <w:r>
              <w:rPr/>
              <w:t>●数据质量基准的评审记录</w:t>
            </w:r>
          </w:p>
        </w:tc>
      </w:tr>
    </w:tbl>
    <w:p>
      <w:pPr>
        <w:ind w:left="556"/>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96" w:right="4" w:firstLine="470"/>
        <w:spacing w:before="56" w:line="250" w:lineRule="auto"/>
        <w:rPr>
          <w:rFonts w:ascii="SimSun" w:hAnsi="SimSun" w:eastAsia="SimSun" w:cs="SimSun"/>
          <w:sz w:val="22"/>
          <w:szCs w:val="22"/>
        </w:rPr>
      </w:pPr>
      <w:r>
        <w:rPr>
          <w:rFonts w:ascii="SimSun" w:hAnsi="SimSun" w:eastAsia="SimSun" w:cs="SimSun"/>
          <w:sz w:val="22"/>
          <w:szCs w:val="22"/>
          <w:spacing w:val="-9"/>
        </w:rPr>
        <w:t>数据概要分析应依据事先定义好并得到认可的数据质量基准。数据质量的基准</w:t>
      </w:r>
      <w:r>
        <w:rPr>
          <w:rFonts w:ascii="SimSun" w:hAnsi="SimSun" w:eastAsia="SimSun" w:cs="SimSun"/>
          <w:sz w:val="22"/>
          <w:szCs w:val="22"/>
          <w:spacing w:val="14"/>
        </w:rPr>
        <w:t xml:space="preserve"> </w:t>
      </w:r>
      <w:r>
        <w:rPr>
          <w:rFonts w:ascii="SimSun" w:hAnsi="SimSun" w:eastAsia="SimSun" w:cs="SimSun"/>
          <w:sz w:val="22"/>
          <w:szCs w:val="22"/>
          <w:spacing w:val="-9"/>
        </w:rPr>
        <w:t>应采用认可的标准业务术语、含义、值和范围等，应采用基准对数据存储中的数据</w:t>
      </w:r>
      <w:r>
        <w:rPr>
          <w:rFonts w:ascii="SimSun" w:hAnsi="SimSun" w:eastAsia="SimSun" w:cs="SimSun"/>
          <w:sz w:val="22"/>
          <w:szCs w:val="22"/>
          <w:spacing w:val="7"/>
        </w:rPr>
        <w:t xml:space="preserve">  </w:t>
      </w:r>
      <w:r>
        <w:rPr>
          <w:rFonts w:ascii="SimSun" w:hAnsi="SimSun" w:eastAsia="SimSun" w:cs="SimSun"/>
          <w:sz w:val="22"/>
          <w:szCs w:val="22"/>
          <w:spacing w:val="-9"/>
        </w:rPr>
        <w:t>内容进行概要分析。除此之外，还应考虑组织数据字典、数据模型、系统需求等文</w:t>
      </w:r>
      <w:r>
        <w:rPr>
          <w:rFonts w:ascii="SimSun" w:hAnsi="SimSun" w:eastAsia="SimSun" w:cs="SimSun"/>
          <w:sz w:val="22"/>
          <w:szCs w:val="22"/>
          <w:spacing w:val="7"/>
        </w:rPr>
        <w:t xml:space="preserve">  </w:t>
      </w:r>
      <w:r>
        <w:rPr>
          <w:rFonts w:ascii="SimSun" w:hAnsi="SimSun" w:eastAsia="SimSun" w:cs="SimSun"/>
          <w:sz w:val="22"/>
          <w:szCs w:val="22"/>
          <w:spacing w:val="-12"/>
        </w:rPr>
        <w:t>档中规定的数据质量基准里。当需要时，应依据最佳实践来更新这些数据基准文档。</w:t>
      </w:r>
    </w:p>
    <w:p>
      <w:pPr>
        <w:spacing w:line="126" w:lineRule="exact"/>
        <w:rPr/>
      </w:pPr>
      <w:r/>
    </w:p>
    <w:tbl>
      <w:tblPr>
        <w:tblStyle w:val="TableNormal"/>
        <w:tblW w:w="7599" w:type="dxa"/>
        <w:tblInd w:w="29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255"/>
        <w:gridCol w:w="3630"/>
      </w:tblGrid>
      <w:tr>
        <w:trPr>
          <w:trHeight w:val="332" w:hRule="atLeast"/>
        </w:trPr>
        <w:tc>
          <w:tcPr>
            <w:tcW w:w="714" w:type="dxa"/>
            <w:vAlign w:val="top"/>
          </w:tcPr>
          <w:p>
            <w:pPr>
              <w:pStyle w:val="TableText"/>
              <w:ind w:left="195"/>
              <w:spacing w:before="92" w:line="221" w:lineRule="auto"/>
              <w:rPr/>
            </w:pPr>
            <w:r>
              <w:rPr>
                <w:spacing w:val="-2"/>
              </w:rPr>
              <w:t>序号</w:t>
            </w:r>
          </w:p>
        </w:tc>
        <w:tc>
          <w:tcPr>
            <w:tcW w:w="3255" w:type="dxa"/>
            <w:vAlign w:val="top"/>
          </w:tcPr>
          <w:p>
            <w:pPr>
              <w:pStyle w:val="TableText"/>
              <w:ind w:left="120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630" w:type="dxa"/>
            <w:vAlign w:val="top"/>
          </w:tcPr>
          <w:p>
            <w:pPr>
              <w:pStyle w:val="TableText"/>
              <w:ind w:left="1515"/>
              <w:spacing w:before="91" w:line="220" w:lineRule="auto"/>
              <w:rPr/>
            </w:pPr>
            <w:r>
              <w:rPr>
                <w:spacing w:val="-5"/>
              </w:rPr>
              <w:t>实</w:t>
            </w:r>
            <w:r>
              <w:rPr>
                <w:spacing w:val="1"/>
              </w:rPr>
              <w:t xml:space="preserve">   </w:t>
            </w:r>
            <w:r>
              <w:rPr>
                <w:spacing w:val="-5"/>
              </w:rPr>
              <w:t>例</w:t>
            </w:r>
          </w:p>
        </w:tc>
      </w:tr>
      <w:tr>
        <w:trPr>
          <w:trHeight w:val="817" w:hRule="atLeast"/>
        </w:trPr>
        <w:tc>
          <w:tcPr>
            <w:tcW w:w="714" w:type="dxa"/>
            <w:vAlign w:val="top"/>
          </w:tcPr>
          <w:p>
            <w:pPr>
              <w:spacing w:line="327" w:lineRule="auto"/>
              <w:rPr>
                <w:rFonts w:ascii="Arial"/>
                <w:sz w:val="21"/>
              </w:rPr>
            </w:pPr>
            <w:r/>
          </w:p>
          <w:p>
            <w:pPr>
              <w:pStyle w:val="TableText"/>
              <w:ind w:left="235"/>
              <w:spacing w:before="48" w:line="183" w:lineRule="auto"/>
              <w:rPr/>
            </w:pPr>
            <w:r>
              <w:rPr>
                <w:spacing w:val="-2"/>
              </w:rPr>
              <w:t>4.3</w:t>
            </w:r>
          </w:p>
        </w:tc>
        <w:tc>
          <w:tcPr>
            <w:tcW w:w="3255" w:type="dxa"/>
            <w:vAlign w:val="top"/>
          </w:tcPr>
          <w:p>
            <w:pPr>
              <w:pStyle w:val="TableText"/>
              <w:ind w:left="121" w:right="129" w:firstLine="69"/>
              <w:spacing w:before="69" w:line="299" w:lineRule="auto"/>
              <w:rPr/>
            </w:pPr>
            <w:r>
              <w:rPr>
                <w:spacing w:val="-1"/>
              </w:rPr>
              <w:t>在数据概要分析活动过程中，将实际问题与</w:t>
            </w:r>
            <w:r>
              <w:rPr>
                <w:spacing w:val="6"/>
              </w:rPr>
              <w:t xml:space="preserve">  </w:t>
            </w:r>
            <w:r>
              <w:rPr>
                <w:spacing w:val="-1"/>
              </w:rPr>
              <w:t>根据历史概要分析结果采用统计方法预测出来</w:t>
            </w:r>
            <w:r>
              <w:rPr>
                <w:spacing w:val="13"/>
              </w:rPr>
              <w:t xml:space="preserve"> </w:t>
            </w:r>
            <w:r>
              <w:rPr>
                <w:spacing w:val="2"/>
              </w:rPr>
              <w:t>的问题进行对比</w:t>
            </w:r>
          </w:p>
        </w:tc>
        <w:tc>
          <w:tcPr>
            <w:tcW w:w="3630" w:type="dxa"/>
            <w:vAlign w:val="top"/>
          </w:tcPr>
          <w:p>
            <w:pPr>
              <w:pStyle w:val="TableText"/>
              <w:ind w:left="256"/>
              <w:spacing w:before="69" w:line="219" w:lineRule="auto"/>
              <w:rPr/>
            </w:pPr>
            <w:r>
              <w:rPr/>
              <w:t>●数据概要分析的历史记录</w:t>
            </w:r>
          </w:p>
          <w:p>
            <w:pPr>
              <w:pStyle w:val="TableText"/>
              <w:ind w:left="256"/>
              <w:spacing w:before="92" w:line="219" w:lineRule="auto"/>
              <w:rPr/>
            </w:pPr>
            <w:r>
              <w:rPr/>
              <w:t>●数据概要分析结果的统计分析</w:t>
            </w:r>
          </w:p>
          <w:p>
            <w:pPr>
              <w:pStyle w:val="TableText"/>
              <w:ind w:left="256"/>
              <w:spacing w:before="111" w:line="219" w:lineRule="auto"/>
              <w:rPr/>
            </w:pPr>
            <w:r>
              <w:rPr/>
              <w:t>●概要分析引起的纠正和改进措施</w:t>
            </w:r>
          </w:p>
        </w:tc>
      </w:tr>
    </w:tbl>
    <w:p>
      <w:pPr>
        <w:ind w:left="556"/>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96" w:right="55" w:firstLine="470"/>
        <w:spacing w:before="57" w:line="250" w:lineRule="auto"/>
        <w:rPr>
          <w:rFonts w:ascii="SimSun" w:hAnsi="SimSun" w:eastAsia="SimSun" w:cs="SimSun"/>
          <w:sz w:val="22"/>
          <w:szCs w:val="22"/>
        </w:rPr>
      </w:pPr>
      <w:r>
        <w:rPr>
          <w:rFonts w:ascii="SimSun" w:hAnsi="SimSun" w:eastAsia="SimSun" w:cs="SimSun"/>
          <w:sz w:val="22"/>
          <w:szCs w:val="22"/>
          <w:spacing w:val="-9"/>
        </w:rPr>
        <w:t>应当将概要分析的当前结果与对应的历史结果进行系统对比，以评估概要分析</w:t>
      </w:r>
      <w:r>
        <w:rPr>
          <w:rFonts w:ascii="SimSun" w:hAnsi="SimSun" w:eastAsia="SimSun" w:cs="SimSun"/>
          <w:sz w:val="22"/>
          <w:szCs w:val="22"/>
          <w:spacing w:val="14"/>
        </w:rPr>
        <w:t xml:space="preserve"> </w:t>
      </w:r>
      <w:r>
        <w:rPr>
          <w:rFonts w:ascii="SimSun" w:hAnsi="SimSun" w:eastAsia="SimSun" w:cs="SimSun"/>
          <w:sz w:val="22"/>
          <w:szCs w:val="22"/>
          <w:spacing w:val="-9"/>
        </w:rPr>
        <w:t>活动对纠正措施和质量改进的影响。在实践中，往往会碰到许多无法事先预测的结</w:t>
      </w:r>
      <w:r>
        <w:rPr>
          <w:rFonts w:ascii="SimSun" w:hAnsi="SimSun" w:eastAsia="SimSun" w:cs="SimSun"/>
          <w:sz w:val="22"/>
          <w:szCs w:val="22"/>
          <w:spacing w:val="15"/>
        </w:rPr>
        <w:t xml:space="preserve"> </w:t>
      </w:r>
      <w:r>
        <w:rPr>
          <w:rFonts w:ascii="SimSun" w:hAnsi="SimSun" w:eastAsia="SimSun" w:cs="SimSun"/>
          <w:sz w:val="22"/>
          <w:szCs w:val="22"/>
          <w:spacing w:val="-10"/>
        </w:rPr>
        <w:t>果。组织应根据实际问题与预测问题的偏差，不断修正和改进数据概要分析活动， </w:t>
      </w:r>
      <w:r>
        <w:rPr>
          <w:rFonts w:ascii="SimSun" w:hAnsi="SimSun" w:eastAsia="SimSun" w:cs="SimSun"/>
          <w:sz w:val="22"/>
          <w:szCs w:val="22"/>
          <w:spacing w:val="-11"/>
        </w:rPr>
        <w:t>以实现数据概要分析的精准化和对实际工作的指导作用。</w:t>
      </w:r>
    </w:p>
    <w:p>
      <w:pPr>
        <w:spacing w:line="137" w:lineRule="exact"/>
        <w:rPr/>
      </w:pPr>
      <w:r/>
    </w:p>
    <w:tbl>
      <w:tblPr>
        <w:tblStyle w:val="TableNormal"/>
        <w:tblW w:w="7589" w:type="dxa"/>
        <w:tblInd w:w="31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245"/>
        <w:gridCol w:w="3630"/>
      </w:tblGrid>
      <w:tr>
        <w:trPr>
          <w:trHeight w:val="313" w:hRule="atLeast"/>
        </w:trPr>
        <w:tc>
          <w:tcPr>
            <w:tcW w:w="714" w:type="dxa"/>
            <w:vAlign w:val="top"/>
          </w:tcPr>
          <w:p>
            <w:pPr>
              <w:pStyle w:val="TableText"/>
              <w:ind w:left="195"/>
              <w:spacing w:before="82" w:line="221" w:lineRule="auto"/>
              <w:rPr/>
            </w:pPr>
            <w:r>
              <w:rPr>
                <w:spacing w:val="-2"/>
              </w:rPr>
              <w:t>序号</w:t>
            </w:r>
          </w:p>
        </w:tc>
        <w:tc>
          <w:tcPr>
            <w:tcW w:w="3245" w:type="dxa"/>
            <w:vAlign w:val="top"/>
          </w:tcPr>
          <w:p>
            <w:pPr>
              <w:pStyle w:val="TableText"/>
              <w:ind w:left="119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630" w:type="dxa"/>
            <w:vAlign w:val="top"/>
          </w:tcPr>
          <w:p>
            <w:pPr>
              <w:pStyle w:val="TableText"/>
              <w:ind w:left="1525"/>
              <w:spacing w:before="81" w:line="220" w:lineRule="auto"/>
              <w:rPr/>
            </w:pPr>
            <w:r>
              <w:rPr>
                <w:spacing w:val="-5"/>
              </w:rPr>
              <w:t>实</w:t>
            </w:r>
            <w:r>
              <w:rPr>
                <w:spacing w:val="1"/>
              </w:rPr>
              <w:t xml:space="preserve">   </w:t>
            </w:r>
            <w:r>
              <w:rPr>
                <w:spacing w:val="-5"/>
              </w:rPr>
              <w:t>例</w:t>
            </w:r>
          </w:p>
        </w:tc>
      </w:tr>
      <w:tr>
        <w:trPr>
          <w:trHeight w:val="2236" w:hRule="atLeast"/>
        </w:trPr>
        <w:tc>
          <w:tcPr>
            <w:tcW w:w="714" w:type="dxa"/>
            <w:vAlign w:val="top"/>
          </w:tcPr>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235"/>
              <w:spacing w:before="49" w:line="183" w:lineRule="auto"/>
              <w:rPr/>
            </w:pPr>
            <w:r>
              <w:rPr>
                <w:spacing w:val="-2"/>
              </w:rPr>
              <w:t>4.4</w:t>
            </w:r>
          </w:p>
        </w:tc>
        <w:tc>
          <w:tcPr>
            <w:tcW w:w="3245" w:type="dxa"/>
            <w:vAlign w:val="top"/>
          </w:tcPr>
          <w:p>
            <w:pPr>
              <w:spacing w:line="356" w:lineRule="auto"/>
              <w:rPr>
                <w:rFonts w:ascii="Arial"/>
                <w:sz w:val="21"/>
              </w:rPr>
            </w:pPr>
            <w:r/>
          </w:p>
          <w:p>
            <w:pPr>
              <w:spacing w:line="357" w:lineRule="auto"/>
              <w:rPr>
                <w:rFonts w:ascii="Arial"/>
                <w:sz w:val="21"/>
              </w:rPr>
            </w:pPr>
            <w:r/>
          </w:p>
          <w:p>
            <w:pPr>
              <w:pStyle w:val="TableText"/>
              <w:ind w:left="110" w:right="129" w:firstLine="80"/>
              <w:spacing w:before="49" w:line="307" w:lineRule="auto"/>
              <w:jc w:val="both"/>
              <w:rPr/>
            </w:pPr>
            <w:r>
              <w:rPr>
                <w:spacing w:val="-1"/>
              </w:rPr>
              <w:t>对结果进行集中储存、系统监控，并且在统</w:t>
            </w:r>
            <w:r>
              <w:rPr>
                <w:spacing w:val="6"/>
              </w:rPr>
              <w:t xml:space="preserve">  </w:t>
            </w:r>
            <w:r>
              <w:rPr>
                <w:spacing w:val="-1"/>
              </w:rPr>
              <w:t>计和度量项上进行分析，以此为数据质量的持</w:t>
            </w:r>
            <w:r>
              <w:rPr>
                <w:spacing w:val="13"/>
              </w:rPr>
              <w:t xml:space="preserve"> </w:t>
            </w:r>
            <w:r>
              <w:rPr>
                <w:spacing w:val="-1"/>
              </w:rPr>
              <w:t>续改进提供理解分析</w:t>
            </w:r>
          </w:p>
        </w:tc>
        <w:tc>
          <w:tcPr>
            <w:tcW w:w="3630" w:type="dxa"/>
            <w:vAlign w:val="top"/>
          </w:tcPr>
          <w:p>
            <w:pPr>
              <w:pStyle w:val="TableText"/>
              <w:ind w:left="95" w:right="195" w:firstLine="170"/>
              <w:spacing w:before="67" w:line="277" w:lineRule="auto"/>
              <w:rPr/>
            </w:pPr>
            <w:r>
              <w:rPr/>
              <w:t>●已记录的数据概要分析方法学、最佳实践以及</w:t>
            </w:r>
            <w:r>
              <w:rPr>
                <w:spacing w:val="7"/>
              </w:rPr>
              <w:t xml:space="preserve"> </w:t>
            </w:r>
            <w:r>
              <w:rPr>
                <w:spacing w:val="-2"/>
              </w:rPr>
              <w:t>标准</w:t>
            </w:r>
          </w:p>
          <w:p>
            <w:pPr>
              <w:pStyle w:val="TableText"/>
              <w:ind w:left="116" w:right="192" w:firstLine="149"/>
              <w:spacing w:before="110" w:line="281" w:lineRule="auto"/>
              <w:rPr/>
            </w:pPr>
            <w:r>
              <w:rPr/>
              <w:t>●显示了将概要分析结果应用到数据质量治理的</w:t>
            </w:r>
            <w:r>
              <w:rPr>
                <w:spacing w:val="10"/>
              </w:rPr>
              <w:t xml:space="preserve"> </w:t>
            </w:r>
            <w:r>
              <w:rPr>
                <w:spacing w:val="-2"/>
              </w:rPr>
              <w:t>项目报告</w:t>
            </w:r>
          </w:p>
          <w:p>
            <w:pPr>
              <w:pStyle w:val="TableText"/>
              <w:ind w:left="116" w:right="205" w:firstLine="139"/>
              <w:spacing w:before="123" w:line="276" w:lineRule="auto"/>
              <w:rPr/>
            </w:pPr>
            <w:r>
              <w:rPr/>
              <w:t>●展示数据概要分析工作结果的数据质量支持工</w:t>
            </w:r>
            <w:r>
              <w:rPr>
                <w:spacing w:val="7"/>
              </w:rPr>
              <w:t xml:space="preserve"> </w:t>
            </w:r>
            <w:r>
              <w:rPr>
                <w:spacing w:val="-1"/>
              </w:rPr>
              <w:t>具，例如仪表盘、积分卡等</w:t>
            </w:r>
          </w:p>
          <w:p>
            <w:pPr>
              <w:pStyle w:val="TableText"/>
              <w:ind w:left="116" w:right="193" w:firstLine="149"/>
              <w:spacing w:before="101" w:line="288" w:lineRule="auto"/>
              <w:rPr/>
            </w:pPr>
            <w:r>
              <w:rPr/>
              <w:t>●数据质量门户网站，展示了用于建立性能基线</w:t>
            </w:r>
            <w:r>
              <w:rPr>
                <w:spacing w:val="9"/>
              </w:rPr>
              <w:t xml:space="preserve"> </w:t>
            </w:r>
            <w:r>
              <w:rPr/>
              <w:t>的数据质量模型和结果</w:t>
            </w:r>
          </w:p>
        </w:tc>
      </w:tr>
    </w:tbl>
    <w:p>
      <w:pPr>
        <w:pStyle w:val="BodyText"/>
        <w:rPr/>
      </w:pPr>
      <w:r/>
    </w:p>
    <w:p>
      <w:pPr>
        <w:sectPr>
          <w:footerReference w:type="default" r:id="rId268"/>
          <w:pgSz w:w="8870" w:h="13400"/>
          <w:pgMar w:top="400" w:right="425" w:bottom="506" w:left="533" w:header="0" w:footer="287" w:gutter="0"/>
        </w:sectPr>
        <w:rPr/>
      </w:pPr>
    </w:p>
    <w:p>
      <w:pPr>
        <w:ind w:left="5493"/>
        <w:spacing w:before="23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pStyle w:val="BodyText"/>
        <w:spacing w:line="265" w:lineRule="auto"/>
        <w:rPr/>
      </w:pPr>
      <w:r/>
    </w:p>
    <w:p>
      <w:pPr>
        <w:ind w:left="30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29" w:firstLine="409"/>
        <w:spacing w:before="69" w:line="255" w:lineRule="auto"/>
        <w:rPr>
          <w:rFonts w:ascii="SimSun" w:hAnsi="SimSun" w:eastAsia="SimSun" w:cs="SimSun"/>
          <w:sz w:val="21"/>
          <w:szCs w:val="21"/>
        </w:rPr>
      </w:pPr>
      <w:r>
        <w:rPr>
          <w:rFonts w:ascii="SimSun" w:hAnsi="SimSun" w:eastAsia="SimSun" w:cs="SimSun"/>
          <w:sz w:val="21"/>
          <w:szCs w:val="21"/>
          <w:spacing w:val="1"/>
        </w:rPr>
        <w:t>使用同一个影响分析方法对修正活动的业务、技术、成本影响进行评估。将概</w:t>
      </w:r>
      <w:r>
        <w:rPr>
          <w:rFonts w:ascii="SimSun" w:hAnsi="SimSun" w:eastAsia="SimSun" w:cs="SimSun"/>
          <w:sz w:val="21"/>
          <w:szCs w:val="21"/>
          <w:spacing w:val="13"/>
        </w:rPr>
        <w:t xml:space="preserve"> </w:t>
      </w:r>
      <w:r>
        <w:rPr>
          <w:rFonts w:ascii="SimSun" w:hAnsi="SimSun" w:eastAsia="SimSun" w:cs="SimSun"/>
          <w:sz w:val="21"/>
          <w:szCs w:val="21"/>
          <w:spacing w:val="1"/>
        </w:rPr>
        <w:t>要分析的总结结果提供给数据治理主体以及高管。结果用以报告数据治理和数据架</w:t>
      </w:r>
      <w:r>
        <w:rPr>
          <w:rFonts w:ascii="SimSun" w:hAnsi="SimSun" w:eastAsia="SimSun" w:cs="SimSun"/>
          <w:sz w:val="21"/>
          <w:szCs w:val="21"/>
          <w:spacing w:val="4"/>
        </w:rPr>
        <w:t xml:space="preserve"> </w:t>
      </w:r>
      <w:r>
        <w:rPr>
          <w:rFonts w:ascii="SimSun" w:hAnsi="SimSun" w:eastAsia="SimSun" w:cs="SimSun"/>
          <w:sz w:val="21"/>
          <w:szCs w:val="21"/>
          <w:spacing w:val="-2"/>
        </w:rPr>
        <w:t>构决策的制订，特别是针对高度共享的数据信息。</w:t>
      </w:r>
    </w:p>
    <w:p>
      <w:pPr>
        <w:ind w:left="412"/>
        <w:spacing w:before="65" w:line="221" w:lineRule="auto"/>
        <w:rPr>
          <w:rFonts w:ascii="SimHei" w:hAnsi="SimHei" w:eastAsia="SimHei" w:cs="SimHei"/>
          <w:sz w:val="21"/>
          <w:szCs w:val="21"/>
        </w:rPr>
      </w:pPr>
      <w:r>
        <w:rPr>
          <w:rFonts w:ascii="SimSun" w:hAnsi="SimSun" w:eastAsia="SimSun" w:cs="SimSun"/>
          <w:sz w:val="21"/>
          <w:szCs w:val="21"/>
          <w:b/>
          <w:bCs/>
          <w:spacing w:val="-1"/>
        </w:rPr>
        <w:t>Level</w:t>
      </w:r>
      <w:r>
        <w:rPr>
          <w:rFonts w:ascii="SimSun" w:hAnsi="SimSun" w:eastAsia="SimSun" w:cs="SimSun"/>
          <w:sz w:val="21"/>
          <w:szCs w:val="21"/>
          <w:spacing w:val="-1"/>
        </w:rPr>
        <w:t xml:space="preserve"> </w:t>
      </w:r>
      <w:r>
        <w:rPr>
          <w:rFonts w:ascii="SimSun" w:hAnsi="SimSun" w:eastAsia="SimSun" w:cs="SimSun"/>
          <w:sz w:val="21"/>
          <w:szCs w:val="21"/>
          <w:b/>
          <w:bCs/>
          <w:spacing w:val="-1"/>
        </w:rPr>
        <w:t>5:</w:t>
      </w:r>
      <w:r>
        <w:rPr>
          <w:rFonts w:ascii="SimHei" w:hAnsi="SimHei" w:eastAsia="SimHei" w:cs="SimHei"/>
          <w:sz w:val="21"/>
          <w:szCs w:val="21"/>
          <w:b/>
          <w:bCs/>
          <w:spacing w:val="-1"/>
        </w:rPr>
        <w:t>优化级</w:t>
      </w:r>
    </w:p>
    <w:p>
      <w:pPr>
        <w:spacing w:line="120" w:lineRule="exact"/>
        <w:rPr/>
      </w:pPr>
      <w:r/>
    </w:p>
    <w:tbl>
      <w:tblPr>
        <w:tblStyle w:val="TableNormal"/>
        <w:tblW w:w="7599"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245"/>
        <w:gridCol w:w="3650"/>
      </w:tblGrid>
      <w:tr>
        <w:trPr>
          <w:trHeight w:val="312" w:hRule="atLeast"/>
        </w:trPr>
        <w:tc>
          <w:tcPr>
            <w:tcW w:w="704" w:type="dxa"/>
            <w:vAlign w:val="top"/>
          </w:tcPr>
          <w:p>
            <w:pPr>
              <w:pStyle w:val="TableText"/>
              <w:ind w:left="195"/>
              <w:spacing w:before="81" w:line="221" w:lineRule="auto"/>
              <w:rPr/>
            </w:pPr>
            <w:r>
              <w:rPr>
                <w:spacing w:val="-2"/>
              </w:rPr>
              <w:t>序号</w:t>
            </w:r>
          </w:p>
        </w:tc>
        <w:tc>
          <w:tcPr>
            <w:tcW w:w="3245" w:type="dxa"/>
            <w:vAlign w:val="top"/>
          </w:tcPr>
          <w:p>
            <w:pPr>
              <w:pStyle w:val="TableText"/>
              <w:ind w:left="119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650" w:type="dxa"/>
            <w:vAlign w:val="top"/>
          </w:tcPr>
          <w:p>
            <w:pPr>
              <w:pStyle w:val="TableText"/>
              <w:ind w:left="1516"/>
              <w:spacing w:before="81" w:line="220" w:lineRule="auto"/>
              <w:rPr/>
            </w:pPr>
            <w:r>
              <w:rPr>
                <w:spacing w:val="-5"/>
              </w:rPr>
              <w:t>实</w:t>
            </w:r>
            <w:r>
              <w:rPr>
                <w:spacing w:val="1"/>
              </w:rPr>
              <w:t xml:space="preserve">   </w:t>
            </w:r>
            <w:r>
              <w:rPr>
                <w:spacing w:val="-5"/>
              </w:rPr>
              <w:t>例</w:t>
            </w:r>
          </w:p>
        </w:tc>
      </w:tr>
      <w:tr>
        <w:trPr>
          <w:trHeight w:val="837" w:hRule="atLeast"/>
        </w:trPr>
        <w:tc>
          <w:tcPr>
            <w:tcW w:w="704" w:type="dxa"/>
            <w:vAlign w:val="top"/>
          </w:tcPr>
          <w:p>
            <w:pPr>
              <w:spacing w:line="336" w:lineRule="auto"/>
              <w:rPr>
                <w:rFonts w:ascii="Arial"/>
                <w:sz w:val="21"/>
              </w:rPr>
            </w:pPr>
            <w:r/>
          </w:p>
          <w:p>
            <w:pPr>
              <w:pStyle w:val="TableText"/>
              <w:ind w:left="224"/>
              <w:spacing w:before="48" w:line="184" w:lineRule="auto"/>
              <w:rPr/>
            </w:pPr>
            <w:r>
              <w:rPr>
                <w:spacing w:val="-2"/>
              </w:rPr>
              <w:t>5.1</w:t>
            </w:r>
          </w:p>
        </w:tc>
        <w:tc>
          <w:tcPr>
            <w:tcW w:w="3245" w:type="dxa"/>
            <w:vAlign w:val="top"/>
          </w:tcPr>
          <w:p>
            <w:pPr>
              <w:pStyle w:val="TableText"/>
              <w:ind w:left="101" w:right="131" w:firstLine="90"/>
              <w:spacing w:before="69" w:line="303" w:lineRule="auto"/>
              <w:jc w:val="both"/>
              <w:rPr/>
            </w:pPr>
            <w:r>
              <w:rPr>
                <w:spacing w:val="-1"/>
              </w:rPr>
              <w:t>基于数据含义、技术特征和行为等知识的长</w:t>
            </w:r>
            <w:r>
              <w:rPr>
                <w:spacing w:val="6"/>
              </w:rPr>
              <w:t xml:space="preserve">  </w:t>
            </w:r>
            <w:r>
              <w:rPr/>
              <w:t>期累积，组织能够找到缺陷的根本原因以及其</w:t>
            </w:r>
            <w:r>
              <w:rPr>
                <w:spacing w:val="1"/>
              </w:rPr>
              <w:t xml:space="preserve"> </w:t>
            </w:r>
            <w:r>
              <w:rPr>
                <w:spacing w:val="-2"/>
              </w:rPr>
              <w:t>他问题</w:t>
            </w:r>
          </w:p>
        </w:tc>
        <w:tc>
          <w:tcPr>
            <w:tcW w:w="3650" w:type="dxa"/>
            <w:vAlign w:val="top"/>
          </w:tcPr>
          <w:p>
            <w:pPr>
              <w:spacing w:line="297" w:lineRule="auto"/>
              <w:rPr>
                <w:rFonts w:ascii="Arial"/>
                <w:sz w:val="21"/>
              </w:rPr>
            </w:pPr>
            <w:r/>
          </w:p>
          <w:p>
            <w:pPr>
              <w:pStyle w:val="TableText"/>
              <w:ind w:left="276"/>
              <w:spacing w:before="49" w:line="219" w:lineRule="auto"/>
              <w:rPr/>
            </w:pPr>
            <w:r>
              <w:rPr/>
              <w:t>●数据/业务缺陷的根本原因分析</w:t>
            </w:r>
          </w:p>
        </w:tc>
      </w:tr>
    </w:tbl>
    <w:p>
      <w:pPr>
        <w:ind w:left="30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117" w:firstLine="409"/>
        <w:spacing w:before="50" w:line="266" w:lineRule="auto"/>
        <w:rPr>
          <w:rFonts w:ascii="SimSun" w:hAnsi="SimSun" w:eastAsia="SimSun" w:cs="SimSun"/>
          <w:sz w:val="21"/>
          <w:szCs w:val="21"/>
        </w:rPr>
      </w:pPr>
      <w:r>
        <w:rPr>
          <w:rFonts w:ascii="SimSun" w:hAnsi="SimSun" w:eastAsia="SimSun" w:cs="SimSun"/>
          <w:sz w:val="21"/>
          <w:szCs w:val="21"/>
          <w:spacing w:val="2"/>
        </w:rPr>
        <w:t>数据的概要分析是一个长期的、持续改进的过程，在实现组织的战略、战术目 </w:t>
      </w:r>
      <w:r>
        <w:rPr>
          <w:rFonts w:ascii="SimSun" w:hAnsi="SimSun" w:eastAsia="SimSun" w:cs="SimSun"/>
          <w:sz w:val="21"/>
          <w:szCs w:val="21"/>
          <w:spacing w:val="-2"/>
        </w:rPr>
        <w:t>标是不可避免的存在各种数据问题和缺陷。而通过长期累积的专业知识和工作经验，</w:t>
      </w:r>
      <w:r>
        <w:rPr>
          <w:rFonts w:ascii="SimSun" w:hAnsi="SimSun" w:eastAsia="SimSun" w:cs="SimSun"/>
          <w:sz w:val="21"/>
          <w:szCs w:val="21"/>
          <w:spacing w:val="17"/>
        </w:rPr>
        <w:t xml:space="preserve"> </w:t>
      </w:r>
      <w:r>
        <w:rPr>
          <w:rFonts w:ascii="SimSun" w:hAnsi="SimSun" w:eastAsia="SimSun" w:cs="SimSun"/>
          <w:sz w:val="21"/>
          <w:szCs w:val="21"/>
          <w:spacing w:val="1"/>
        </w:rPr>
        <w:t>使组织能够根据自身对业务的理解，找到数据缺陷存在的根本性原因。这些原因可  </w:t>
      </w:r>
      <w:r>
        <w:rPr>
          <w:rFonts w:ascii="SimSun" w:hAnsi="SimSun" w:eastAsia="SimSun" w:cs="SimSun"/>
          <w:sz w:val="21"/>
          <w:szCs w:val="21"/>
          <w:spacing w:val="-1"/>
        </w:rPr>
        <w:t>能是数据定义、数据存储格式、数据关联性、数据操作流程等。</w:t>
      </w:r>
    </w:p>
    <w:p>
      <w:pPr>
        <w:spacing w:line="127"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245"/>
        <w:gridCol w:w="3650"/>
      </w:tblGrid>
      <w:tr>
        <w:trPr>
          <w:trHeight w:val="302" w:hRule="atLeast"/>
        </w:trPr>
        <w:tc>
          <w:tcPr>
            <w:tcW w:w="704" w:type="dxa"/>
            <w:vAlign w:val="top"/>
          </w:tcPr>
          <w:p>
            <w:pPr>
              <w:pStyle w:val="TableText"/>
              <w:ind w:left="194"/>
              <w:spacing w:before="81" w:line="221" w:lineRule="auto"/>
              <w:rPr/>
            </w:pPr>
            <w:r>
              <w:rPr>
                <w:spacing w:val="-2"/>
              </w:rPr>
              <w:t>序号</w:t>
            </w:r>
          </w:p>
        </w:tc>
        <w:tc>
          <w:tcPr>
            <w:tcW w:w="3245" w:type="dxa"/>
            <w:vAlign w:val="top"/>
          </w:tcPr>
          <w:p>
            <w:pPr>
              <w:pStyle w:val="TableText"/>
              <w:ind w:left="120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650" w:type="dxa"/>
            <w:vAlign w:val="top"/>
          </w:tcPr>
          <w:p>
            <w:pPr>
              <w:pStyle w:val="TableText"/>
              <w:ind w:left="1515"/>
              <w:spacing w:before="81" w:line="220" w:lineRule="auto"/>
              <w:rPr/>
            </w:pPr>
            <w:r>
              <w:rPr>
                <w:spacing w:val="-5"/>
              </w:rPr>
              <w:t>实</w:t>
            </w:r>
            <w:r>
              <w:rPr>
                <w:spacing w:val="1"/>
              </w:rPr>
              <w:t xml:space="preserve">   </w:t>
            </w:r>
            <w:r>
              <w:rPr>
                <w:spacing w:val="-5"/>
              </w:rPr>
              <w:t>例</w:t>
            </w:r>
          </w:p>
        </w:tc>
      </w:tr>
      <w:tr>
        <w:trPr>
          <w:trHeight w:val="847"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5.2</w:t>
            </w:r>
          </w:p>
        </w:tc>
        <w:tc>
          <w:tcPr>
            <w:tcW w:w="3245" w:type="dxa"/>
            <w:vAlign w:val="top"/>
          </w:tcPr>
          <w:p>
            <w:pPr>
              <w:pStyle w:val="TableText"/>
              <w:ind w:left="120" w:right="119" w:firstLine="149"/>
              <w:spacing w:before="77" w:line="289" w:lineRule="auto"/>
              <w:rPr/>
            </w:pPr>
            <w:r>
              <w:rPr>
                <w:spacing w:val="-1"/>
              </w:rPr>
              <w:t>根据预期的量化效益、预估的成本以及业务</w:t>
            </w:r>
            <w:r>
              <w:rPr>
                <w:spacing w:val="12"/>
              </w:rPr>
              <w:t xml:space="preserve"> </w:t>
            </w:r>
            <w:r>
              <w:rPr/>
              <w:t>目标对数据概要分析过程和其他活动进行分</w:t>
            </w:r>
          </w:p>
          <w:p>
            <w:pPr>
              <w:pStyle w:val="TableText"/>
              <w:ind w:left="120"/>
              <w:spacing w:before="92" w:line="219" w:lineRule="auto"/>
              <w:rPr/>
            </w:pPr>
            <w:r>
              <w:rPr>
                <w:spacing w:val="-1"/>
              </w:rPr>
              <w:t>析，以识别缺陷并做出改进</w:t>
            </w:r>
          </w:p>
        </w:tc>
        <w:tc>
          <w:tcPr>
            <w:tcW w:w="3650" w:type="dxa"/>
            <w:vAlign w:val="top"/>
          </w:tcPr>
          <w:p>
            <w:pPr>
              <w:pStyle w:val="TableText"/>
              <w:ind w:left="125" w:right="203" w:firstLine="149"/>
              <w:spacing w:before="219" w:line="288" w:lineRule="auto"/>
              <w:rPr/>
            </w:pPr>
            <w:r>
              <w:rPr/>
              <w:t>●从效益、成本和目标的角度识别数据概要活动</w:t>
            </w:r>
            <w:r>
              <w:rPr>
                <w:spacing w:val="9"/>
              </w:rPr>
              <w:t xml:space="preserve"> </w:t>
            </w:r>
            <w:r>
              <w:rPr>
                <w:spacing w:val="1"/>
              </w:rPr>
              <w:t>的缺陷和改进方向</w:t>
            </w:r>
          </w:p>
        </w:tc>
      </w:tr>
    </w:tbl>
    <w:p>
      <w:pPr>
        <w:ind w:left="307"/>
        <w:spacing w:before="193" w:line="219" w:lineRule="auto"/>
        <w:rPr>
          <w:rFonts w:ascii="SimSun" w:hAnsi="SimSun" w:eastAsia="SimSun" w:cs="SimSun"/>
          <w:sz w:val="21"/>
          <w:szCs w:val="21"/>
        </w:rPr>
      </w:pPr>
      <w:r>
        <w:rPr>
          <w:rFonts w:ascii="SimSun" w:hAnsi="SimSun" w:eastAsia="SimSun" w:cs="SimSun"/>
          <w:sz w:val="21"/>
          <w:szCs w:val="21"/>
          <w:b/>
          <w:bCs/>
          <w:spacing w:val="-3"/>
        </w:rPr>
        <w:t>【</w:t>
      </w:r>
      <w:r>
        <w:rPr>
          <w:rFonts w:ascii="SimSun" w:hAnsi="SimSun" w:eastAsia="SimSun" w:cs="SimSun"/>
          <w:sz w:val="21"/>
          <w:szCs w:val="21"/>
          <w:spacing w:val="-3"/>
        </w:rPr>
        <w:t>成熟度等级说明】</w:t>
      </w:r>
    </w:p>
    <w:p>
      <w:pPr>
        <w:ind w:right="201" w:firstLine="409"/>
        <w:spacing w:before="62" w:line="259" w:lineRule="auto"/>
        <w:rPr>
          <w:rFonts w:ascii="SimSun" w:hAnsi="SimSun" w:eastAsia="SimSun" w:cs="SimSun"/>
          <w:sz w:val="21"/>
          <w:szCs w:val="21"/>
        </w:rPr>
      </w:pPr>
      <w:r>
        <w:rPr>
          <w:rFonts w:ascii="SimSun" w:hAnsi="SimSun" w:eastAsia="SimSun" w:cs="SimSun"/>
          <w:sz w:val="21"/>
          <w:szCs w:val="21"/>
          <w:spacing w:val="1"/>
        </w:rPr>
        <w:t>第五级的成熟度要求组织对数据概要分析过程应有具体的量化分析，这种分析</w:t>
      </w:r>
      <w:r>
        <w:rPr>
          <w:rFonts w:ascii="SimSun" w:hAnsi="SimSun" w:eastAsia="SimSun" w:cs="SimSun"/>
          <w:sz w:val="21"/>
          <w:szCs w:val="21"/>
          <w:spacing w:val="14"/>
        </w:rPr>
        <w:t xml:space="preserve"> </w:t>
      </w:r>
      <w:r>
        <w:rPr>
          <w:rFonts w:ascii="SimSun" w:hAnsi="SimSun" w:eastAsia="SimSun" w:cs="SimSun"/>
          <w:sz w:val="21"/>
          <w:szCs w:val="21"/>
          <w:spacing w:val="2"/>
        </w:rPr>
        <w:t>不仅体现在概要分析过程的性能上，还应体现在数据概要的效益、成本</w:t>
      </w:r>
      <w:r>
        <w:rPr>
          <w:rFonts w:ascii="SimSun" w:hAnsi="SimSun" w:eastAsia="SimSun" w:cs="SimSun"/>
          <w:sz w:val="21"/>
          <w:szCs w:val="21"/>
          <w:spacing w:val="1"/>
        </w:rPr>
        <w:t>和目标实现</w:t>
      </w:r>
      <w:r>
        <w:rPr>
          <w:rFonts w:ascii="SimSun" w:hAnsi="SimSun" w:eastAsia="SimSun" w:cs="SimSun"/>
          <w:sz w:val="21"/>
          <w:szCs w:val="21"/>
        </w:rPr>
        <w:t xml:space="preserve"> </w:t>
      </w:r>
      <w:r>
        <w:rPr>
          <w:rFonts w:ascii="SimSun" w:hAnsi="SimSun" w:eastAsia="SimSun" w:cs="SimSun"/>
          <w:sz w:val="21"/>
          <w:szCs w:val="21"/>
          <w:spacing w:val="2"/>
        </w:rPr>
        <w:t>程度等方面。可以对相同数据在不同时间里进行的数据概要分析结果进行</w:t>
      </w:r>
      <w:r>
        <w:rPr>
          <w:rFonts w:ascii="SimSun" w:hAnsi="SimSun" w:eastAsia="SimSun" w:cs="SimSun"/>
          <w:sz w:val="21"/>
          <w:szCs w:val="21"/>
          <w:spacing w:val="1"/>
        </w:rPr>
        <w:t>定期的统</w:t>
      </w:r>
      <w:r>
        <w:rPr>
          <w:rFonts w:ascii="SimSun" w:hAnsi="SimSun" w:eastAsia="SimSun" w:cs="SimSun"/>
          <w:sz w:val="21"/>
          <w:szCs w:val="21"/>
        </w:rPr>
        <w:t xml:space="preserve"> </w:t>
      </w:r>
      <w:r>
        <w:rPr>
          <w:rFonts w:ascii="SimSun" w:hAnsi="SimSun" w:eastAsia="SimSun" w:cs="SimSun"/>
          <w:sz w:val="21"/>
          <w:szCs w:val="21"/>
          <w:spacing w:val="-5"/>
        </w:rPr>
        <w:t>计分析，以度量概要分析活动的效能。</w:t>
      </w:r>
    </w:p>
    <w:p>
      <w:pPr>
        <w:spacing w:line="137" w:lineRule="exact"/>
        <w:rPr/>
      </w:pPr>
      <w:r/>
    </w:p>
    <w:tbl>
      <w:tblPr>
        <w:tblStyle w:val="TableNormal"/>
        <w:tblW w:w="759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266"/>
        <w:gridCol w:w="3620"/>
      </w:tblGrid>
      <w:tr>
        <w:trPr>
          <w:trHeight w:val="311" w:hRule="atLeast"/>
        </w:trPr>
        <w:tc>
          <w:tcPr>
            <w:tcW w:w="704" w:type="dxa"/>
            <w:vAlign w:val="top"/>
          </w:tcPr>
          <w:p>
            <w:pPr>
              <w:pStyle w:val="TableText"/>
              <w:ind w:left="195"/>
              <w:spacing w:before="81" w:line="221" w:lineRule="auto"/>
              <w:rPr/>
            </w:pPr>
            <w:r>
              <w:rPr>
                <w:spacing w:val="-2"/>
              </w:rPr>
              <w:t>序号</w:t>
            </w:r>
          </w:p>
        </w:tc>
        <w:tc>
          <w:tcPr>
            <w:tcW w:w="3266" w:type="dxa"/>
            <w:vAlign w:val="top"/>
          </w:tcPr>
          <w:p>
            <w:pPr>
              <w:pStyle w:val="TableText"/>
              <w:ind w:left="122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620" w:type="dxa"/>
            <w:vAlign w:val="top"/>
          </w:tcPr>
          <w:p>
            <w:pPr>
              <w:pStyle w:val="TableText"/>
              <w:ind w:left="1525"/>
              <w:spacing w:before="81" w:line="220" w:lineRule="auto"/>
              <w:rPr/>
            </w:pPr>
            <w:r>
              <w:rPr>
                <w:spacing w:val="-5"/>
              </w:rPr>
              <w:t>实</w:t>
            </w:r>
            <w:r>
              <w:rPr>
                <w:spacing w:val="1"/>
              </w:rPr>
              <w:t xml:space="preserve">   </w:t>
            </w:r>
            <w:r>
              <w:rPr>
                <w:spacing w:val="-5"/>
              </w:rPr>
              <w:t>例</w:t>
            </w:r>
          </w:p>
        </w:tc>
      </w:tr>
      <w:tr>
        <w:trPr>
          <w:trHeight w:val="559" w:hRule="atLeast"/>
        </w:trPr>
        <w:tc>
          <w:tcPr>
            <w:tcW w:w="704" w:type="dxa"/>
            <w:vAlign w:val="top"/>
          </w:tcPr>
          <w:p>
            <w:pPr>
              <w:pStyle w:val="TableText"/>
              <w:ind w:left="224"/>
              <w:spacing w:before="248" w:line="183" w:lineRule="auto"/>
              <w:rPr/>
            </w:pPr>
            <w:r>
              <w:rPr>
                <w:spacing w:val="-2"/>
              </w:rPr>
              <w:t>5.3</w:t>
            </w:r>
          </w:p>
        </w:tc>
        <w:tc>
          <w:tcPr>
            <w:tcW w:w="3266" w:type="dxa"/>
            <w:vAlign w:val="top"/>
          </w:tcPr>
          <w:p>
            <w:pPr>
              <w:pStyle w:val="TableText"/>
              <w:ind w:left="101" w:right="140" w:firstLine="170"/>
              <w:spacing w:before="79" w:line="281" w:lineRule="auto"/>
              <w:rPr/>
            </w:pPr>
            <w:r>
              <w:rPr>
                <w:spacing w:val="-1"/>
              </w:rPr>
              <w:t>针对所有的关键数据和数据库自动生成和推</w:t>
            </w:r>
            <w:r>
              <w:rPr>
                <w:spacing w:val="12"/>
              </w:rPr>
              <w:t xml:space="preserve"> </w:t>
            </w:r>
            <w:r>
              <w:rPr>
                <w:spacing w:val="-1"/>
              </w:rPr>
              <w:t>送实时或近实时的概要分析报告</w:t>
            </w:r>
          </w:p>
        </w:tc>
        <w:tc>
          <w:tcPr>
            <w:tcW w:w="3620" w:type="dxa"/>
            <w:vAlign w:val="top"/>
          </w:tcPr>
          <w:p>
            <w:pPr>
              <w:pStyle w:val="TableText"/>
              <w:ind w:left="255"/>
              <w:spacing w:before="78" w:line="218" w:lineRule="auto"/>
              <w:rPr/>
            </w:pPr>
            <w:r>
              <w:rPr>
                <w:spacing w:val="1"/>
              </w:rPr>
              <w:t>●数据概要分析报告</w:t>
            </w:r>
          </w:p>
          <w:p>
            <w:pPr>
              <w:pStyle w:val="TableText"/>
              <w:ind w:left="255"/>
              <w:spacing w:before="103" w:line="219" w:lineRule="auto"/>
              <w:rPr/>
            </w:pPr>
            <w:r>
              <w:rPr>
                <w:spacing w:val="1"/>
              </w:rPr>
              <w:t>●自动化生成和推送机制</w:t>
            </w:r>
          </w:p>
        </w:tc>
      </w:tr>
    </w:tbl>
    <w:p>
      <w:pPr>
        <w:ind w:left="30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31" w:firstLine="409"/>
        <w:spacing w:before="70" w:line="255" w:lineRule="auto"/>
        <w:rPr>
          <w:rFonts w:ascii="SimSun" w:hAnsi="SimSun" w:eastAsia="SimSun" w:cs="SimSun"/>
          <w:sz w:val="21"/>
          <w:szCs w:val="21"/>
        </w:rPr>
      </w:pPr>
      <w:r>
        <w:rPr>
          <w:rFonts w:ascii="SimSun" w:hAnsi="SimSun" w:eastAsia="SimSun" w:cs="SimSun"/>
          <w:sz w:val="21"/>
          <w:szCs w:val="21"/>
          <w:spacing w:val="1"/>
        </w:rPr>
        <w:t>自动化生成和推送的性能分析和概要分析报告，能够提高数据质量项目的效率</w:t>
      </w:r>
      <w:r>
        <w:rPr>
          <w:rFonts w:ascii="SimSun" w:hAnsi="SimSun" w:eastAsia="SimSun" w:cs="SimSun"/>
          <w:sz w:val="21"/>
          <w:szCs w:val="21"/>
          <w:spacing w:val="14"/>
        </w:rPr>
        <w:t xml:space="preserve"> </w:t>
      </w:r>
      <w:r>
        <w:rPr>
          <w:rFonts w:ascii="SimSun" w:hAnsi="SimSun" w:eastAsia="SimSun" w:cs="SimSun"/>
          <w:sz w:val="21"/>
          <w:szCs w:val="21"/>
        </w:rPr>
        <w:t>以及应对计划或非计划事件的能力。通过及时的概要分析报告和便</w:t>
      </w:r>
      <w:r>
        <w:rPr>
          <w:rFonts w:ascii="SimSun" w:hAnsi="SimSun" w:eastAsia="SimSun" w:cs="SimSun"/>
          <w:sz w:val="21"/>
          <w:szCs w:val="21"/>
          <w:spacing w:val="-1"/>
        </w:rPr>
        <w:t>利的推送手段，</w:t>
      </w:r>
      <w:r>
        <w:rPr>
          <w:rFonts w:ascii="SimSun" w:hAnsi="SimSun" w:eastAsia="SimSun" w:cs="SimSun"/>
          <w:sz w:val="21"/>
          <w:szCs w:val="21"/>
        </w:rPr>
        <w:t xml:space="preserve"> </w:t>
      </w:r>
      <w:r>
        <w:rPr>
          <w:rFonts w:ascii="SimSun" w:hAnsi="SimSun" w:eastAsia="SimSun" w:cs="SimSun"/>
          <w:sz w:val="21"/>
          <w:szCs w:val="21"/>
          <w:spacing w:val="-2"/>
        </w:rPr>
        <w:t>让数据相关责任人能够掌握关键数据和数据库的分析结果。</w:t>
      </w:r>
    </w:p>
    <w:p>
      <w:pPr>
        <w:ind w:left="412"/>
        <w:spacing w:before="204" w:line="224" w:lineRule="auto"/>
        <w:outlineLvl w:val="4"/>
        <w:rPr>
          <w:rFonts w:ascii="YouYuan" w:hAnsi="YouYuan" w:eastAsia="YouYuan" w:cs="YouYuan"/>
          <w:sz w:val="21"/>
          <w:szCs w:val="21"/>
        </w:rPr>
      </w:pPr>
      <w:r>
        <w:rPr>
          <w:rFonts w:ascii="YouYuan" w:hAnsi="YouYuan" w:eastAsia="YouYuan" w:cs="YouYuan"/>
          <w:sz w:val="21"/>
          <w:szCs w:val="21"/>
          <w:b/>
          <w:bCs/>
          <w:spacing w:val="7"/>
        </w:rPr>
        <w:t>4.</w:t>
      </w:r>
      <w:r>
        <w:rPr>
          <w:rFonts w:ascii="YouYuan" w:hAnsi="YouYuan" w:eastAsia="YouYuan" w:cs="YouYuan"/>
          <w:sz w:val="21"/>
          <w:szCs w:val="21"/>
          <w:spacing w:val="7"/>
        </w:rPr>
        <w:t xml:space="preserve"> </w:t>
      </w:r>
      <w:r>
        <w:rPr>
          <w:rFonts w:ascii="YouYuan" w:hAnsi="YouYuan" w:eastAsia="YouYuan" w:cs="YouYuan"/>
          <w:sz w:val="21"/>
          <w:szCs w:val="21"/>
          <w:b/>
          <w:bCs/>
          <w:spacing w:val="7"/>
        </w:rPr>
        <w:t>实施案例</w:t>
      </w:r>
    </w:p>
    <w:p>
      <w:pPr>
        <w:ind w:left="409"/>
        <w:spacing w:before="242" w:line="227" w:lineRule="auto"/>
        <w:rPr>
          <w:rFonts w:ascii="KaiTi" w:hAnsi="KaiTi" w:eastAsia="KaiTi" w:cs="KaiTi"/>
          <w:sz w:val="21"/>
          <w:szCs w:val="21"/>
        </w:rPr>
      </w:pPr>
      <w:r>
        <w:rPr>
          <w:rFonts w:ascii="KaiTi" w:hAnsi="KaiTi" w:eastAsia="KaiTi" w:cs="KaiTi"/>
          <w:sz w:val="21"/>
          <w:szCs w:val="21"/>
          <w:spacing w:val="9"/>
        </w:rPr>
        <w:t>1)文件名称列表</w:t>
      </w:r>
    </w:p>
    <w:p>
      <w:pPr>
        <w:ind w:left="409"/>
        <w:spacing w:before="42" w:line="219" w:lineRule="auto"/>
        <w:rPr>
          <w:rFonts w:ascii="SimSun" w:hAnsi="SimSun" w:eastAsia="SimSun" w:cs="SimSun"/>
          <w:sz w:val="21"/>
          <w:szCs w:val="21"/>
        </w:rPr>
      </w:pPr>
      <w:r>
        <w:rPr>
          <w:rFonts w:ascii="SimSun" w:hAnsi="SimSun" w:eastAsia="SimSun" w:cs="SimSun"/>
          <w:sz w:val="21"/>
          <w:szCs w:val="21"/>
          <w:spacing w:val="1"/>
        </w:rPr>
        <w:t>●数据概要分析的参考标准</w:t>
      </w:r>
    </w:p>
    <w:p>
      <w:pPr>
        <w:spacing w:line="219" w:lineRule="auto"/>
        <w:sectPr>
          <w:footerReference w:type="default" r:id="rId269"/>
          <w:pgSz w:w="8870" w:h="13400"/>
          <w:pgMar w:top="400" w:right="718" w:bottom="508" w:left="320" w:header="0" w:footer="299" w:gutter="0"/>
        </w:sectPr>
        <w:rPr>
          <w:rFonts w:ascii="SimSun" w:hAnsi="SimSun" w:eastAsia="SimSun" w:cs="SimSun"/>
          <w:sz w:val="21"/>
          <w:szCs w:val="21"/>
        </w:rPr>
      </w:pPr>
    </w:p>
    <w:p>
      <w:pPr>
        <w:ind w:left="99"/>
        <w:spacing w:before="200"/>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551"/>
            <wp:effectExtent l="0" t="0" r="0" b="0"/>
            <wp:docPr id="190" name="IM 190"/>
            <wp:cNvGraphicFramePr/>
            <a:graphic>
              <a:graphicData uri="http://schemas.openxmlformats.org/drawingml/2006/picture">
                <pic:pic>
                  <pic:nvPicPr>
                    <pic:cNvPr id="190" name="IM 190"/>
                    <pic:cNvPicPr/>
                  </pic:nvPicPr>
                  <pic:blipFill>
                    <a:blip r:embed="rId271"/>
                    <a:stretch>
                      <a:fillRect/>
                    </a:stretch>
                  </pic:blipFill>
                  <pic:spPr>
                    <a:xfrm rot="0">
                      <a:off x="0" y="0"/>
                      <a:ext cx="6365" cy="228551"/>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669" w:right="3631"/>
        <w:spacing w:before="279" w:line="247" w:lineRule="auto"/>
        <w:rPr>
          <w:rFonts w:ascii="KaiTi" w:hAnsi="KaiTi" w:eastAsia="KaiTi" w:cs="KaiTi"/>
          <w:sz w:val="22"/>
          <w:szCs w:val="22"/>
        </w:rPr>
      </w:pPr>
      <w:r>
        <w:rPr>
          <w:rFonts w:ascii="SimSun" w:hAnsi="SimSun" w:eastAsia="SimSun" w:cs="SimSun"/>
          <w:sz w:val="22"/>
          <w:szCs w:val="22"/>
          <w:spacing w:val="-7"/>
        </w:rPr>
        <w:t>●数据概要分析的流程定义和职责说明</w:t>
      </w:r>
      <w:r>
        <w:rPr>
          <w:rFonts w:ascii="SimSun" w:hAnsi="SimSun" w:eastAsia="SimSun" w:cs="SimSun"/>
          <w:sz w:val="22"/>
          <w:szCs w:val="22"/>
          <w:spacing w:val="11"/>
        </w:rPr>
        <w:t xml:space="preserve"> </w:t>
      </w:r>
      <w:r>
        <w:rPr>
          <w:rFonts w:ascii="KaiTi" w:hAnsi="KaiTi" w:eastAsia="KaiTi" w:cs="KaiTi"/>
          <w:sz w:val="22"/>
          <w:szCs w:val="22"/>
          <w:spacing w:val="9"/>
        </w:rPr>
        <w:t>2)记录文件列表</w:t>
      </w:r>
    </w:p>
    <w:p>
      <w:pPr>
        <w:ind w:left="669"/>
        <w:spacing w:before="31" w:line="219" w:lineRule="auto"/>
        <w:rPr>
          <w:rFonts w:ascii="SimSun" w:hAnsi="SimSun" w:eastAsia="SimSun" w:cs="SimSun"/>
          <w:sz w:val="22"/>
          <w:szCs w:val="22"/>
        </w:rPr>
      </w:pPr>
      <w:r>
        <w:rPr>
          <w:rFonts w:ascii="SimSun" w:hAnsi="SimSun" w:eastAsia="SimSun" w:cs="SimSun"/>
          <w:sz w:val="22"/>
          <w:szCs w:val="22"/>
          <w:spacing w:val="-6"/>
        </w:rPr>
        <w:t>●相关责任人使用概要分析结果的记录</w:t>
      </w:r>
    </w:p>
    <w:p>
      <w:pPr>
        <w:ind w:left="909" w:right="63" w:hanging="240"/>
        <w:spacing w:before="68" w:line="232" w:lineRule="auto"/>
        <w:rPr>
          <w:rFonts w:ascii="SimSun" w:hAnsi="SimSun" w:eastAsia="SimSun" w:cs="SimSun"/>
          <w:sz w:val="22"/>
          <w:szCs w:val="22"/>
        </w:rPr>
      </w:pPr>
      <w:r>
        <w:rPr>
          <w:rFonts w:ascii="SimSun" w:hAnsi="SimSun" w:eastAsia="SimSun" w:cs="SimSun"/>
          <w:sz w:val="22"/>
          <w:szCs w:val="22"/>
          <w:spacing w:val="-5"/>
        </w:rPr>
        <w:t>●控制图，证明数据存储所使用的过程是稳定的(数据存储经过了充分的概要</w:t>
      </w:r>
      <w:r>
        <w:rPr>
          <w:rFonts w:ascii="SimSun" w:hAnsi="SimSun" w:eastAsia="SimSun" w:cs="SimSun"/>
          <w:sz w:val="22"/>
          <w:szCs w:val="22"/>
        </w:rPr>
        <w:t xml:space="preserve"> </w:t>
      </w:r>
      <w:r>
        <w:rPr>
          <w:rFonts w:ascii="SimSun" w:hAnsi="SimSun" w:eastAsia="SimSun" w:cs="SimSun"/>
          <w:sz w:val="22"/>
          <w:szCs w:val="22"/>
          <w:spacing w:val="6"/>
        </w:rPr>
        <w:t>分析)</w:t>
      </w:r>
    </w:p>
    <w:p>
      <w:pPr>
        <w:ind w:left="669"/>
        <w:spacing w:before="55" w:line="218" w:lineRule="auto"/>
        <w:rPr>
          <w:rFonts w:ascii="SimSun" w:hAnsi="SimSun" w:eastAsia="SimSun" w:cs="SimSun"/>
          <w:sz w:val="22"/>
          <w:szCs w:val="22"/>
        </w:rPr>
      </w:pPr>
      <w:r>
        <w:rPr>
          <w:rFonts w:ascii="SimSun" w:hAnsi="SimSun" w:eastAsia="SimSun" w:cs="SimSun"/>
          <w:sz w:val="22"/>
          <w:szCs w:val="22"/>
          <w:spacing w:val="-7"/>
        </w:rPr>
        <w:t>●数据概要分析过程的改进目标包含在标准数据管理策略、方案以及报告中</w:t>
      </w:r>
    </w:p>
    <w:p>
      <w:pPr>
        <w:ind w:left="669"/>
        <w:spacing w:before="60" w:line="218" w:lineRule="auto"/>
        <w:rPr>
          <w:rFonts w:ascii="SimSun" w:hAnsi="SimSun" w:eastAsia="SimSun" w:cs="SimSun"/>
          <w:sz w:val="22"/>
          <w:szCs w:val="22"/>
        </w:rPr>
      </w:pPr>
      <w:r>
        <w:rPr>
          <w:rFonts w:ascii="SimSun" w:hAnsi="SimSun" w:eastAsia="SimSun" w:cs="SimSun"/>
          <w:sz w:val="22"/>
          <w:szCs w:val="22"/>
          <w:spacing w:val="-8"/>
        </w:rPr>
        <w:t>●按时生成实时数据概要分析报告</w:t>
      </w:r>
    </w:p>
    <w:p>
      <w:pPr>
        <w:ind w:left="669" w:right="1514"/>
        <w:spacing w:before="52" w:line="244" w:lineRule="auto"/>
        <w:rPr>
          <w:rFonts w:ascii="KaiTi" w:hAnsi="KaiTi" w:eastAsia="KaiTi" w:cs="KaiTi"/>
          <w:sz w:val="22"/>
          <w:szCs w:val="22"/>
        </w:rPr>
      </w:pPr>
      <w:r>
        <w:rPr>
          <w:rFonts w:ascii="SimSun" w:hAnsi="SimSun" w:eastAsia="SimSun" w:cs="SimSun"/>
          <w:sz w:val="22"/>
          <w:szCs w:val="22"/>
          <w:spacing w:val="-7"/>
        </w:rPr>
        <w:t>●从数据概要过程分析中获得的结论以及针对改进提出的</w:t>
      </w:r>
      <w:r>
        <w:rPr>
          <w:rFonts w:ascii="SimSun" w:hAnsi="SimSun" w:eastAsia="SimSun" w:cs="SimSun"/>
          <w:sz w:val="22"/>
          <w:szCs w:val="22"/>
          <w:spacing w:val="-8"/>
        </w:rPr>
        <w:t>建议</w:t>
      </w:r>
      <w:r>
        <w:rPr>
          <w:rFonts w:ascii="SimSun" w:hAnsi="SimSun" w:eastAsia="SimSun" w:cs="SimSun"/>
          <w:sz w:val="22"/>
          <w:szCs w:val="22"/>
        </w:rPr>
        <w:t xml:space="preserve"> </w:t>
      </w:r>
      <w:r>
        <w:rPr>
          <w:rFonts w:ascii="KaiTi" w:hAnsi="KaiTi" w:eastAsia="KaiTi" w:cs="KaiTi"/>
          <w:sz w:val="22"/>
          <w:szCs w:val="22"/>
          <w:spacing w:val="1"/>
        </w:rPr>
        <w:t>3)实施案例模板</w:t>
      </w:r>
    </w:p>
    <w:p>
      <w:pPr>
        <w:ind w:left="669"/>
        <w:spacing w:before="58" w:line="219" w:lineRule="auto"/>
        <w:rPr>
          <w:rFonts w:ascii="SimSun" w:hAnsi="SimSun" w:eastAsia="SimSun" w:cs="SimSun"/>
          <w:sz w:val="22"/>
          <w:szCs w:val="22"/>
        </w:rPr>
      </w:pPr>
      <w:r>
        <w:rPr>
          <w:rFonts w:ascii="SimSun" w:hAnsi="SimSun" w:eastAsia="SimSun" w:cs="SimSun"/>
          <w:sz w:val="22"/>
          <w:szCs w:val="22"/>
          <w:spacing w:val="-13"/>
        </w:rPr>
        <w:t>下表展示了一个数据概要分析说明。</w:t>
      </w:r>
    </w:p>
    <w:p>
      <w:pPr>
        <w:spacing w:line="105" w:lineRule="exact"/>
        <w:rPr/>
      </w:pPr>
      <w:r/>
    </w:p>
    <w:tbl>
      <w:tblPr>
        <w:tblStyle w:val="TableNormal"/>
        <w:tblW w:w="7659" w:type="dxa"/>
        <w:tblInd w:w="270"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7870" w:hRule="atLeast"/>
        </w:trPr>
        <w:tc>
          <w:tcPr>
            <w:tcW w:w="7659" w:type="dxa"/>
            <w:vAlign w:val="top"/>
          </w:tcPr>
          <w:p>
            <w:pPr>
              <w:pStyle w:val="TableText"/>
              <w:ind w:left="3235"/>
              <w:spacing w:before="81" w:line="219" w:lineRule="auto"/>
              <w:rPr/>
            </w:pPr>
            <w:r>
              <w:rPr>
                <w:spacing w:val="2"/>
              </w:rPr>
              <w:t>数据概要分析说明</w:t>
            </w:r>
          </w:p>
          <w:p>
            <w:pPr>
              <w:pStyle w:val="TableText"/>
              <w:ind w:left="125" w:right="249" w:firstLine="149"/>
              <w:spacing w:before="92" w:line="275" w:lineRule="auto"/>
              <w:rPr/>
            </w:pPr>
            <w:r>
              <w:rPr>
                <w:spacing w:val="2"/>
              </w:rPr>
              <w:t>数据的统计信息除了基本的记录条数、最大值、最小值、最大长</w:t>
            </w:r>
            <w:r>
              <w:rPr>
                <w:spacing w:val="1"/>
              </w:rPr>
              <w:t>度、最小长度、唯一值个数、</w:t>
            </w:r>
            <w:r>
              <w:rPr/>
              <w:t>NULL</w:t>
            </w:r>
            <w:r>
              <w:rPr>
                <w:spacing w:val="1"/>
              </w:rPr>
              <w:t>值个数、</w:t>
            </w:r>
            <w:r>
              <w:rPr/>
              <w:t xml:space="preserve"> </w:t>
            </w:r>
            <w:r>
              <w:rPr/>
              <w:t>平均数和中位数、针对字段的枚举和分布频率外，还包括相关性分析、主键相关分析和</w:t>
            </w:r>
            <w:r>
              <w:rPr>
                <w:spacing w:val="-1"/>
              </w:rPr>
              <w:t>血缘分析等。</w:t>
            </w:r>
          </w:p>
          <w:p>
            <w:pPr>
              <w:pStyle w:val="TableText"/>
              <w:ind w:left="275"/>
              <w:spacing w:before="113" w:line="219" w:lineRule="auto"/>
              <w:rPr/>
            </w:pPr>
            <w:r>
              <w:rPr>
                <w:spacing w:val="-1"/>
              </w:rPr>
              <w:t>概要分析的定义和标准：</w:t>
            </w:r>
          </w:p>
          <w:p>
            <w:pPr>
              <w:pStyle w:val="TableText"/>
              <w:ind w:left="275"/>
              <w:spacing w:before="101" w:line="219" w:lineRule="auto"/>
              <w:rPr/>
            </w:pPr>
            <w:r>
              <w:rPr>
                <w:spacing w:val="-8"/>
              </w:rPr>
              <w:t>1</w:t>
            </w:r>
            <w:r>
              <w:rPr>
                <w:spacing w:val="-20"/>
              </w:rPr>
              <w:t xml:space="preserve"> </w:t>
            </w:r>
            <w:r>
              <w:rPr>
                <w:spacing w:val="-8"/>
              </w:rPr>
              <w:t>值</w:t>
            </w:r>
            <w:r>
              <w:rPr>
                <w:spacing w:val="-22"/>
              </w:rPr>
              <w:t xml:space="preserve"> </w:t>
            </w:r>
            <w:r>
              <w:rPr>
                <w:spacing w:val="-8"/>
              </w:rPr>
              <w:t>域</w:t>
            </w:r>
            <w:r>
              <w:rPr>
                <w:spacing w:val="-20"/>
              </w:rPr>
              <w:t xml:space="preserve"> </w:t>
            </w:r>
            <w:r>
              <w:rPr>
                <w:spacing w:val="-8"/>
              </w:rPr>
              <w:t>分</w:t>
            </w:r>
            <w:r>
              <w:rPr>
                <w:spacing w:val="-21"/>
              </w:rPr>
              <w:t xml:space="preserve"> </w:t>
            </w:r>
            <w:r>
              <w:rPr>
                <w:spacing w:val="-8"/>
              </w:rPr>
              <w:t>析</w:t>
            </w:r>
          </w:p>
          <w:p>
            <w:pPr>
              <w:pStyle w:val="TableText"/>
              <w:ind w:left="115" w:right="179" w:firstLine="160"/>
              <w:spacing w:before="121" w:line="282" w:lineRule="auto"/>
              <w:rPr/>
            </w:pPr>
            <w:r>
              <w:rPr>
                <w:spacing w:val="2"/>
              </w:rPr>
              <w:t>对于所有字段都适合，分析字段的值是否满足</w:t>
            </w:r>
            <w:r>
              <w:rPr>
                <w:spacing w:val="1"/>
              </w:rPr>
              <w:t>指定阀值、分析字段值的统计量(最大、最小、中位数、均值、</w:t>
            </w:r>
            <w:r>
              <w:rPr/>
              <w:t xml:space="preserve"> </w:t>
            </w:r>
            <w:r>
              <w:rPr>
                <w:spacing w:val="6"/>
              </w:rPr>
              <w:t>方差等);</w:t>
            </w:r>
          </w:p>
          <w:p>
            <w:pPr>
              <w:pStyle w:val="TableText"/>
              <w:ind w:left="275"/>
              <w:spacing w:before="102" w:line="219" w:lineRule="auto"/>
              <w:rPr/>
            </w:pPr>
            <w:r>
              <w:rPr>
                <w:spacing w:val="-1"/>
              </w:rPr>
              <w:t>常见BUG:最大、最小值越界、发现有NULL值。</w:t>
            </w:r>
          </w:p>
          <w:p>
            <w:pPr>
              <w:pStyle w:val="TableText"/>
              <w:ind w:left="275"/>
              <w:spacing w:before="102" w:line="219" w:lineRule="auto"/>
              <w:rPr/>
            </w:pPr>
            <w:r>
              <w:rPr>
                <w:spacing w:val="-6"/>
              </w:rPr>
              <w:t>2</w:t>
            </w:r>
            <w:r>
              <w:rPr>
                <w:spacing w:val="-24"/>
              </w:rPr>
              <w:t xml:space="preserve"> </w:t>
            </w:r>
            <w:r>
              <w:rPr>
                <w:spacing w:val="-6"/>
              </w:rPr>
              <w:t>基</w:t>
            </w:r>
            <w:r>
              <w:rPr>
                <w:spacing w:val="-23"/>
              </w:rPr>
              <w:t xml:space="preserve"> </w:t>
            </w:r>
            <w:r>
              <w:rPr>
                <w:spacing w:val="-6"/>
              </w:rPr>
              <w:t>数</w:t>
            </w:r>
            <w:r>
              <w:rPr>
                <w:spacing w:val="-23"/>
              </w:rPr>
              <w:t xml:space="preserve"> </w:t>
            </w:r>
            <w:r>
              <w:rPr>
                <w:spacing w:val="-6"/>
              </w:rPr>
              <w:t>分</w:t>
            </w:r>
            <w:r>
              <w:rPr>
                <w:spacing w:val="-23"/>
              </w:rPr>
              <w:t xml:space="preserve"> </w:t>
            </w:r>
            <w:r>
              <w:rPr>
                <w:spacing w:val="-6"/>
              </w:rPr>
              <w:t>析</w:t>
            </w:r>
          </w:p>
          <w:p>
            <w:pPr>
              <w:pStyle w:val="TableText"/>
              <w:ind w:left="275"/>
              <w:spacing w:before="102" w:line="219" w:lineRule="auto"/>
              <w:rPr/>
            </w:pPr>
            <w:r>
              <w:rPr>
                <w:spacing w:val="3"/>
              </w:rPr>
              <w:t>分析字段中不同值的个数，这种方法更适合于维</w:t>
            </w:r>
            <w:r>
              <w:rPr>
                <w:spacing w:val="2"/>
              </w:rPr>
              <w:t>度类指标；</w:t>
            </w:r>
          </w:p>
          <w:p>
            <w:pPr>
              <w:pStyle w:val="TableText"/>
              <w:ind w:left="275"/>
              <w:spacing w:before="102" w:line="219" w:lineRule="auto"/>
              <w:rPr/>
            </w:pPr>
            <w:r>
              <w:rPr/>
              <w:t>常见BUG:对于度量类指标数据比较集中，基数下记录个数过</w:t>
            </w:r>
            <w:r>
              <w:rPr>
                <w:spacing w:val="-1"/>
              </w:rPr>
              <w:t>大或过小等。</w:t>
            </w:r>
          </w:p>
          <w:p>
            <w:pPr>
              <w:pStyle w:val="TableText"/>
              <w:ind w:left="275"/>
              <w:spacing w:before="92" w:line="219" w:lineRule="auto"/>
              <w:rPr/>
            </w:pPr>
            <w:r>
              <w:rPr>
                <w:spacing w:val="-7"/>
              </w:rPr>
              <w:t>3</w:t>
            </w:r>
            <w:r>
              <w:rPr>
                <w:spacing w:val="-21"/>
              </w:rPr>
              <w:t xml:space="preserve"> </w:t>
            </w:r>
            <w:r>
              <w:rPr>
                <w:spacing w:val="-7"/>
              </w:rPr>
              <w:t>类</w:t>
            </w:r>
            <w:r>
              <w:rPr>
                <w:spacing w:val="-18"/>
              </w:rPr>
              <w:t xml:space="preserve"> </w:t>
            </w:r>
            <w:r>
              <w:rPr>
                <w:spacing w:val="-7"/>
              </w:rPr>
              <w:t>型</w:t>
            </w:r>
            <w:r>
              <w:rPr>
                <w:spacing w:val="-22"/>
              </w:rPr>
              <w:t xml:space="preserve"> </w:t>
            </w:r>
            <w:r>
              <w:rPr>
                <w:spacing w:val="-7"/>
              </w:rPr>
              <w:t>监</w:t>
            </w:r>
            <w:r>
              <w:rPr>
                <w:spacing w:val="-22"/>
              </w:rPr>
              <w:t xml:space="preserve"> </w:t>
            </w:r>
            <w:r>
              <w:rPr>
                <w:spacing w:val="-7"/>
              </w:rPr>
              <w:t>测</w:t>
            </w:r>
          </w:p>
          <w:p>
            <w:pPr>
              <w:pStyle w:val="TableText"/>
              <w:ind w:left="275"/>
              <w:spacing w:before="101" w:line="218" w:lineRule="auto"/>
              <w:rPr/>
            </w:pPr>
            <w:r>
              <w:rPr>
                <w:spacing w:val="-3"/>
              </w:rPr>
              <w:t>分析字段真实值是否符合定义的数据类型，</w:t>
            </w:r>
            <w:r>
              <w:rPr>
                <w:spacing w:val="42"/>
                <w:w w:val="101"/>
              </w:rPr>
              <w:t xml:space="preserve"> </w:t>
            </w:r>
            <w:r>
              <w:rPr>
                <w:spacing w:val="-3"/>
              </w:rPr>
              <w:t>一般</w:t>
            </w:r>
            <w:r>
              <w:rPr>
                <w:spacing w:val="-4"/>
              </w:rPr>
              <w:t>在数据预览时对数据内容做评估。</w:t>
            </w:r>
          </w:p>
          <w:p>
            <w:pPr>
              <w:pStyle w:val="TableText"/>
              <w:ind w:left="275"/>
              <w:spacing w:before="113" w:line="219" w:lineRule="auto"/>
              <w:rPr/>
            </w:pPr>
            <w:r>
              <w:rPr>
                <w:spacing w:val="-6"/>
              </w:rPr>
              <w:t>4</w:t>
            </w:r>
            <w:r>
              <w:rPr>
                <w:spacing w:val="-20"/>
              </w:rPr>
              <w:t xml:space="preserve"> </w:t>
            </w:r>
            <w:r>
              <w:rPr>
                <w:spacing w:val="-6"/>
              </w:rPr>
              <w:t>数</w:t>
            </w:r>
            <w:r>
              <w:rPr>
                <w:spacing w:val="-25"/>
              </w:rPr>
              <w:t xml:space="preserve"> </w:t>
            </w:r>
            <w:r>
              <w:rPr>
                <w:spacing w:val="-6"/>
              </w:rPr>
              <w:t>据</w:t>
            </w:r>
            <w:r>
              <w:rPr>
                <w:spacing w:val="-23"/>
              </w:rPr>
              <w:t xml:space="preserve"> </w:t>
            </w:r>
            <w:r>
              <w:rPr>
                <w:spacing w:val="-6"/>
              </w:rPr>
              <w:t>分</w:t>
            </w:r>
            <w:r>
              <w:rPr>
                <w:spacing w:val="-25"/>
              </w:rPr>
              <w:t xml:space="preserve"> </w:t>
            </w:r>
            <w:r>
              <w:rPr>
                <w:spacing w:val="-6"/>
              </w:rPr>
              <w:t>布</w:t>
            </w:r>
          </w:p>
          <w:p>
            <w:pPr>
              <w:pStyle w:val="TableText"/>
              <w:ind w:left="275"/>
              <w:spacing w:before="112" w:line="219" w:lineRule="auto"/>
              <w:rPr/>
            </w:pPr>
            <w:r>
              <w:rPr>
                <w:spacing w:val="2"/>
              </w:rPr>
              <w:t>分析各个维度值在总体数据中分布情况，根据经验值能从总体上看出数据的质量</w:t>
            </w:r>
            <w:r>
              <w:rPr>
                <w:spacing w:val="1"/>
              </w:rPr>
              <w:t>情况；</w:t>
            </w:r>
          </w:p>
          <w:p>
            <w:pPr>
              <w:pStyle w:val="TableText"/>
              <w:ind w:left="275"/>
              <w:spacing w:before="92" w:line="219" w:lineRule="auto"/>
              <w:rPr/>
            </w:pPr>
            <w:r>
              <w:rPr/>
              <w:t>常见BUG:数据分布不符合预期；度量类指标数据过分集中，发现有N</w:t>
            </w:r>
            <w:r>
              <w:rPr>
                <w:spacing w:val="-1"/>
              </w:rPr>
              <w:t>ULL值过多。</w:t>
            </w:r>
          </w:p>
          <w:p>
            <w:pPr>
              <w:pStyle w:val="TableText"/>
              <w:ind w:left="275"/>
              <w:spacing w:before="114" w:line="220" w:lineRule="auto"/>
              <w:rPr/>
            </w:pPr>
            <w:r>
              <w:rPr>
                <w:spacing w:val="-6"/>
              </w:rPr>
              <w:t>5</w:t>
            </w:r>
            <w:r>
              <w:rPr>
                <w:spacing w:val="-22"/>
              </w:rPr>
              <w:t xml:space="preserve"> </w:t>
            </w:r>
            <w:r>
              <w:rPr>
                <w:spacing w:val="-6"/>
              </w:rPr>
              <w:t>波</w:t>
            </w:r>
            <w:r>
              <w:rPr>
                <w:spacing w:val="-22"/>
              </w:rPr>
              <w:t xml:space="preserve"> </w:t>
            </w:r>
            <w:r>
              <w:rPr>
                <w:spacing w:val="-6"/>
              </w:rPr>
              <w:t>动</w:t>
            </w:r>
            <w:r>
              <w:rPr>
                <w:spacing w:val="-22"/>
              </w:rPr>
              <w:t xml:space="preserve"> </w:t>
            </w:r>
            <w:r>
              <w:rPr>
                <w:spacing w:val="-6"/>
              </w:rPr>
              <w:t>监</w:t>
            </w:r>
            <w:r>
              <w:rPr>
                <w:spacing w:val="-22"/>
              </w:rPr>
              <w:t xml:space="preserve"> </w:t>
            </w:r>
            <w:r>
              <w:rPr>
                <w:spacing w:val="-6"/>
              </w:rPr>
              <w:t>测</w:t>
            </w:r>
          </w:p>
          <w:p>
            <w:pPr>
              <w:pStyle w:val="TableText"/>
              <w:ind w:left="125" w:right="181" w:firstLine="149"/>
              <w:spacing w:before="100" w:line="281" w:lineRule="auto"/>
              <w:rPr/>
            </w:pPr>
            <w:r>
              <w:rPr/>
              <w:t>分析检测值在一定周期内的数值波动是否在指定阀值内，这个更多用在线上数据监控中，</w:t>
            </w:r>
            <w:r>
              <w:rPr>
                <w:spacing w:val="-1"/>
              </w:rPr>
              <w:t>可分析检测值在一定</w:t>
            </w:r>
            <w:r>
              <w:rPr/>
              <w:t xml:space="preserve"> </w:t>
            </w:r>
            <w:r>
              <w:rPr/>
              <w:t>周期内的数值波动是否在指定阀值内，如出现大幅</w:t>
            </w:r>
            <w:r>
              <w:rPr>
                <w:spacing w:val="-1"/>
              </w:rPr>
              <w:t>波动需要关注。</w:t>
            </w:r>
          </w:p>
          <w:p>
            <w:pPr>
              <w:pStyle w:val="TableText"/>
              <w:ind w:left="275"/>
              <w:spacing w:before="114" w:line="219" w:lineRule="auto"/>
              <w:rPr/>
            </w:pPr>
            <w:r>
              <w:rPr>
                <w:spacing w:val="-7"/>
              </w:rPr>
              <w:t>6</w:t>
            </w:r>
            <w:r>
              <w:rPr>
                <w:spacing w:val="-24"/>
              </w:rPr>
              <w:t xml:space="preserve"> </w:t>
            </w:r>
            <w:r>
              <w:rPr>
                <w:spacing w:val="-7"/>
              </w:rPr>
              <w:t>异</w:t>
            </w:r>
            <w:r>
              <w:rPr>
                <w:spacing w:val="-27"/>
              </w:rPr>
              <w:t xml:space="preserve"> </w:t>
            </w:r>
            <w:r>
              <w:rPr>
                <w:spacing w:val="-7"/>
              </w:rPr>
              <w:t>常</w:t>
            </w:r>
            <w:r>
              <w:rPr>
                <w:spacing w:val="-30"/>
              </w:rPr>
              <w:t xml:space="preserve"> </w:t>
            </w:r>
            <w:r>
              <w:rPr>
                <w:spacing w:val="-7"/>
              </w:rPr>
              <w:t>值</w:t>
            </w:r>
            <w:r>
              <w:rPr>
                <w:spacing w:val="-30"/>
              </w:rPr>
              <w:t xml:space="preserve"> </w:t>
            </w:r>
            <w:r>
              <w:rPr>
                <w:spacing w:val="-7"/>
              </w:rPr>
              <w:t>监</w:t>
            </w:r>
            <w:r>
              <w:rPr>
                <w:spacing w:val="-30"/>
              </w:rPr>
              <w:t xml:space="preserve"> </w:t>
            </w:r>
            <w:r>
              <w:rPr>
                <w:spacing w:val="-7"/>
              </w:rPr>
              <w:t>测</w:t>
            </w:r>
          </w:p>
          <w:p>
            <w:pPr>
              <w:pStyle w:val="TableText"/>
              <w:ind w:left="275"/>
              <w:spacing w:before="80" w:line="216" w:lineRule="auto"/>
              <w:rPr/>
            </w:pPr>
            <w:r>
              <w:rPr>
                <w:spacing w:val="2"/>
              </w:rPr>
              <w:t>分析字段中是否包含异常数据，例如空、</w:t>
            </w:r>
            <w:r>
              <w:rPr/>
              <w:t>NULL</w:t>
            </w:r>
            <w:r>
              <w:rPr>
                <w:spacing w:val="2"/>
              </w:rPr>
              <w:t>,分析一些约定异常值的数据的数</w:t>
            </w:r>
            <w:r>
              <w:rPr>
                <w:spacing w:val="1"/>
              </w:rPr>
              <w:t>量；</w:t>
            </w:r>
          </w:p>
          <w:p>
            <w:pPr>
              <w:pStyle w:val="TableText"/>
              <w:ind w:left="275"/>
              <w:spacing w:before="114" w:line="216" w:lineRule="auto"/>
              <w:rPr/>
            </w:pPr>
            <w:r>
              <w:rPr/>
              <w:t>常见BUG:col存在异常值，约定异常值数据过多，如-99,-1,NULL</w:t>
            </w:r>
            <w:r>
              <w:rPr>
                <w:spacing w:val="-1"/>
              </w:rPr>
              <w:t>等。</w:t>
            </w:r>
          </w:p>
          <w:p>
            <w:pPr>
              <w:pStyle w:val="TableText"/>
              <w:ind w:left="275"/>
              <w:spacing w:before="107" w:line="220" w:lineRule="auto"/>
              <w:rPr/>
            </w:pPr>
            <w:r>
              <w:rPr>
                <w:spacing w:val="-2"/>
              </w:rPr>
              <w:t>7功能相关性分析</w:t>
            </w:r>
          </w:p>
          <w:p>
            <w:pPr>
              <w:pStyle w:val="TableText"/>
              <w:ind w:left="265"/>
              <w:spacing w:before="87" w:line="214" w:lineRule="auto"/>
              <w:rPr/>
            </w:pPr>
            <w:r>
              <w:rPr>
                <w:spacing w:val="1"/>
              </w:rPr>
              <w:t>分析字段或字段之间是否满足指定的业务规则，这个需要理解本表内</w:t>
            </w:r>
            <w:r>
              <w:rPr/>
              <w:t>字段间的业务逻辑关系，如pv&gt;=uv(pv;</w:t>
            </w:r>
          </w:p>
          <w:p>
            <w:pPr>
              <w:pStyle w:val="TableText"/>
              <w:ind w:left="125"/>
              <w:spacing w:before="145" w:line="214" w:lineRule="auto"/>
              <w:rPr/>
            </w:pPr>
            <w:r>
              <w:rPr/>
              <w:t>PageView;uv:UniqueVis</w:t>
            </w:r>
            <w:r>
              <w:rPr>
                <w:spacing w:val="-1"/>
              </w:rPr>
              <w:t>tor);</w:t>
            </w:r>
          </w:p>
          <w:p>
            <w:pPr>
              <w:pStyle w:val="TableText"/>
              <w:ind w:left="275"/>
              <w:spacing w:before="81" w:line="281" w:lineRule="exact"/>
              <w:rPr/>
            </w:pPr>
            <w:r>
              <w:rPr>
                <w:spacing w:val="-1"/>
                <w:position w:val="10"/>
              </w:rPr>
              <w:t>常见BUG:字段间的业务逻辑未满足预期。</w:t>
            </w:r>
          </w:p>
          <w:p>
            <w:pPr>
              <w:pStyle w:val="TableText"/>
              <w:ind w:left="275"/>
              <w:spacing w:line="220" w:lineRule="auto"/>
              <w:rPr/>
            </w:pPr>
            <w:r>
              <w:rPr>
                <w:spacing w:val="-1"/>
              </w:rPr>
              <w:t>8  主键唯一性分析</w:t>
            </w:r>
          </w:p>
          <w:p>
            <w:pPr>
              <w:pStyle w:val="TableText"/>
              <w:ind w:left="275"/>
              <w:spacing w:before="110" w:line="219" w:lineRule="auto"/>
              <w:rPr/>
            </w:pPr>
            <w:r>
              <w:rPr>
                <w:spacing w:val="2"/>
              </w:rPr>
              <w:t>分析表数据中主键是否唯一，这个非常重要，如果主键不唯一会给下</w:t>
            </w:r>
            <w:r>
              <w:rPr>
                <w:spacing w:val="1"/>
              </w:rPr>
              <w:t>游表的计算带来无穷的困扰；</w:t>
            </w:r>
          </w:p>
        </w:tc>
      </w:tr>
    </w:tbl>
    <w:p>
      <w:pPr>
        <w:pStyle w:val="BodyText"/>
        <w:rPr/>
      </w:pPr>
      <w:r/>
    </w:p>
    <w:p>
      <w:pPr>
        <w:sectPr>
          <w:footerReference w:type="default" r:id="rId270"/>
          <w:pgSz w:w="8870" w:h="13400"/>
          <w:pgMar w:top="400" w:right="395" w:bottom="505" w:left="540" w:header="0" w:footer="286" w:gutter="0"/>
        </w:sectPr>
        <w:rPr/>
      </w:pPr>
    </w:p>
    <w:p>
      <w:pPr>
        <w:ind w:left="5508"/>
        <w:spacing w:before="255" w:line="610" w:lineRule="exact"/>
        <w:rPr>
          <w:rFonts w:ascii="SimSun" w:hAnsi="SimSun" w:eastAsia="SimSun" w:cs="SimSun"/>
          <w:sz w:val="22"/>
          <w:szCs w:val="22"/>
        </w:rPr>
      </w:pPr>
      <w:r>
        <w:rPr>
          <w:rFonts w:ascii="SimSun" w:hAnsi="SimSun" w:eastAsia="SimSun" w:cs="SimSun"/>
          <w:sz w:val="22"/>
          <w:szCs w:val="22"/>
          <w:b/>
          <w:bCs/>
          <w:spacing w:val="4"/>
          <w:position w:val="30"/>
        </w:rPr>
        <w:t>第6章■云端数据质量</w:t>
      </w:r>
    </w:p>
    <w:p>
      <w:pPr>
        <w:ind w:left="686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715" w:type="dxa"/>
        <w:tblInd w:w="5" w:type="dxa"/>
        <w:tblLayout w:type="fixed"/>
        <w:tblBorders>
          <w:left w:val="single" w:color="000000" w:sz="4" w:space="0"/>
          <w:bottom w:val="single" w:color="000000" w:sz="4" w:space="0"/>
          <w:right w:val="single" w:color="000000" w:sz="4" w:space="0"/>
          <w:top w:val="single" w:color="000000" w:sz="4" w:space="0"/>
        </w:tblBorders>
      </w:tblPr>
      <w:tblGrid>
        <w:gridCol w:w="7715"/>
      </w:tblGrid>
      <w:tr>
        <w:trPr>
          <w:trHeight w:val="3090" w:hRule="atLeast"/>
        </w:trPr>
        <w:tc>
          <w:tcPr>
            <w:tcW w:w="7715" w:type="dxa"/>
            <w:vAlign w:val="top"/>
          </w:tcPr>
          <w:p>
            <w:pPr>
              <w:pStyle w:val="TableText"/>
              <w:ind w:left="274"/>
              <w:spacing w:before="81" w:line="219" w:lineRule="auto"/>
              <w:rPr>
                <w:sz w:val="16"/>
                <w:szCs w:val="16"/>
              </w:rPr>
            </w:pPr>
            <w:r>
              <w:rPr>
                <w:sz w:val="16"/>
                <w:szCs w:val="16"/>
                <w:spacing w:val="-1"/>
              </w:rPr>
              <w:t>常见BUG:主键不唯一；主键为NULL</w:t>
            </w:r>
          </w:p>
          <w:p>
            <w:pPr>
              <w:pStyle w:val="TableText"/>
              <w:ind w:left="274"/>
              <w:spacing w:before="90" w:line="220" w:lineRule="auto"/>
              <w:rPr>
                <w:sz w:val="16"/>
                <w:szCs w:val="16"/>
              </w:rPr>
            </w:pPr>
            <w:r>
              <w:rPr>
                <w:sz w:val="16"/>
                <w:szCs w:val="16"/>
                <w:spacing w:val="-3"/>
              </w:rPr>
              <w:t>9</w:t>
            </w:r>
            <w:r>
              <w:rPr>
                <w:sz w:val="16"/>
                <w:szCs w:val="16"/>
                <w:spacing w:val="11"/>
              </w:rPr>
              <w:t xml:space="preserve">  </w:t>
            </w:r>
            <w:r>
              <w:rPr>
                <w:sz w:val="16"/>
                <w:szCs w:val="16"/>
                <w:spacing w:val="-3"/>
              </w:rPr>
              <w:t>表基础分析：</w:t>
            </w:r>
          </w:p>
          <w:p>
            <w:pPr>
              <w:pStyle w:val="TableText"/>
              <w:ind w:left="124" w:firstLine="129"/>
              <w:spacing w:before="67" w:line="289" w:lineRule="auto"/>
              <w:rPr>
                <w:sz w:val="16"/>
                <w:szCs w:val="16"/>
              </w:rPr>
            </w:pPr>
            <w:r>
              <w:rPr>
                <w:sz w:val="16"/>
                <w:szCs w:val="16"/>
                <w:spacing w:val="-8"/>
              </w:rPr>
              <w:t>分析表的基础统计量如分区、行数、大小，如果有对照表，最好参考对照表，如无对照表这个更多是靠经验值，</w:t>
            </w:r>
            <w:r>
              <w:rPr>
                <w:sz w:val="16"/>
                <w:szCs w:val="16"/>
                <w:spacing w:val="1"/>
              </w:rPr>
              <w:t xml:space="preserve"> </w:t>
            </w:r>
            <w:r>
              <w:rPr>
                <w:sz w:val="16"/>
                <w:szCs w:val="16"/>
                <w:spacing w:val="3"/>
              </w:rPr>
              <w:t>分析此表的业务对于表的基础统计量是否符</w:t>
            </w:r>
            <w:r>
              <w:rPr>
                <w:sz w:val="16"/>
                <w:szCs w:val="16"/>
                <w:spacing w:val="2"/>
              </w:rPr>
              <w:t>合预期进行判断；</w:t>
            </w:r>
          </w:p>
          <w:p>
            <w:pPr>
              <w:pStyle w:val="TableText"/>
              <w:ind w:left="274"/>
              <w:spacing w:before="90" w:line="219" w:lineRule="auto"/>
              <w:rPr>
                <w:sz w:val="16"/>
                <w:szCs w:val="16"/>
              </w:rPr>
            </w:pPr>
            <w:r>
              <w:rPr>
                <w:sz w:val="16"/>
                <w:szCs w:val="16"/>
              </w:rPr>
              <w:t>常见BUG:表基础统计量不符合预期。</w:t>
            </w:r>
          </w:p>
          <w:p>
            <w:pPr>
              <w:pStyle w:val="TableText"/>
              <w:ind w:left="274"/>
              <w:spacing w:before="90" w:line="220" w:lineRule="auto"/>
              <w:rPr>
                <w:sz w:val="16"/>
                <w:szCs w:val="16"/>
              </w:rPr>
            </w:pPr>
            <w:r>
              <w:rPr>
                <w:sz w:val="16"/>
                <w:szCs w:val="16"/>
                <w:spacing w:val="1"/>
              </w:rPr>
              <w:t>10外键分析</w:t>
            </w:r>
          </w:p>
          <w:p>
            <w:pPr>
              <w:pStyle w:val="TableText"/>
              <w:ind w:left="274"/>
              <w:spacing w:before="89" w:line="219" w:lineRule="auto"/>
              <w:rPr>
                <w:sz w:val="16"/>
                <w:szCs w:val="16"/>
              </w:rPr>
            </w:pPr>
            <w:r>
              <w:rPr>
                <w:sz w:val="16"/>
                <w:szCs w:val="16"/>
                <w:spacing w:val="3"/>
              </w:rPr>
              <w:t>分析事实表中的外键是否都能在维表中关联到；</w:t>
            </w:r>
          </w:p>
          <w:p>
            <w:pPr>
              <w:pStyle w:val="TableText"/>
              <w:ind w:left="274"/>
              <w:spacing w:before="85" w:line="214" w:lineRule="auto"/>
              <w:rPr>
                <w:sz w:val="16"/>
                <w:szCs w:val="16"/>
              </w:rPr>
            </w:pPr>
            <w:r>
              <w:rPr>
                <w:sz w:val="16"/>
                <w:szCs w:val="16"/>
              </w:rPr>
              <w:t>常见bug:表里的外键没有在对应维表中找到对应，外键本身为NULL或异常值。</w:t>
            </w:r>
          </w:p>
          <w:p>
            <w:pPr>
              <w:pStyle w:val="TableText"/>
              <w:ind w:left="274"/>
              <w:spacing w:before="91" w:line="220" w:lineRule="auto"/>
              <w:rPr>
                <w:sz w:val="16"/>
                <w:szCs w:val="16"/>
              </w:rPr>
            </w:pPr>
            <w:r>
              <w:rPr>
                <w:sz w:val="16"/>
                <w:szCs w:val="16"/>
                <w:spacing w:val="1"/>
              </w:rPr>
              <w:t>11血缘分析</w:t>
            </w:r>
          </w:p>
          <w:p>
            <w:pPr>
              <w:pStyle w:val="TableText"/>
              <w:ind w:left="114" w:right="56" w:firstLine="160"/>
              <w:spacing w:before="99" w:line="270" w:lineRule="auto"/>
              <w:rPr>
                <w:sz w:val="16"/>
                <w:szCs w:val="16"/>
              </w:rPr>
            </w:pPr>
            <w:r>
              <w:rPr>
                <w:sz w:val="16"/>
                <w:szCs w:val="16"/>
                <w:spacing w:val="-6"/>
              </w:rPr>
              <w:t>分析表和字段的从数据源到当前表的血缘路径，以及血缘字段之</w:t>
            </w:r>
            <w:r>
              <w:rPr>
                <w:sz w:val="16"/>
                <w:szCs w:val="16"/>
                <w:spacing w:val="-7"/>
              </w:rPr>
              <w:t>间存在的关系是否满足，关注数据的一致性以</w:t>
            </w:r>
            <w:r>
              <w:rPr>
                <w:sz w:val="16"/>
                <w:szCs w:val="16"/>
              </w:rPr>
              <w:t xml:space="preserve"> </w:t>
            </w:r>
            <w:r>
              <w:rPr>
                <w:sz w:val="16"/>
                <w:szCs w:val="16"/>
              </w:rPr>
              <w:t>及表设计的合理性。</w:t>
            </w:r>
          </w:p>
        </w:tc>
      </w:tr>
    </w:tbl>
    <w:p>
      <w:pPr>
        <w:ind w:left="19"/>
        <w:spacing w:before="323" w:line="224" w:lineRule="auto"/>
        <w:outlineLvl w:val="3"/>
        <w:rPr>
          <w:rFonts w:ascii="YouYuan" w:hAnsi="YouYuan" w:eastAsia="YouYuan" w:cs="YouYuan"/>
          <w:sz w:val="29"/>
          <w:szCs w:val="29"/>
        </w:rPr>
      </w:pPr>
      <w:r>
        <w:rPr>
          <w:rFonts w:ascii="YouYuan" w:hAnsi="YouYuan" w:eastAsia="YouYuan" w:cs="YouYuan"/>
          <w:sz w:val="29"/>
          <w:szCs w:val="29"/>
          <w:b/>
          <w:bCs/>
          <w:spacing w:val="-8"/>
        </w:rPr>
        <w:t>6.2.3</w:t>
      </w:r>
      <w:r>
        <w:rPr>
          <w:rFonts w:ascii="YouYuan" w:hAnsi="YouYuan" w:eastAsia="YouYuan" w:cs="YouYuan"/>
          <w:sz w:val="29"/>
          <w:szCs w:val="29"/>
          <w:spacing w:val="110"/>
        </w:rPr>
        <w:t xml:space="preserve"> </w:t>
      </w:r>
      <w:r>
        <w:rPr>
          <w:rFonts w:ascii="YouYuan" w:hAnsi="YouYuan" w:eastAsia="YouYuan" w:cs="YouYuan"/>
          <w:sz w:val="29"/>
          <w:szCs w:val="29"/>
          <w:b/>
          <w:bCs/>
          <w:spacing w:val="-8"/>
        </w:rPr>
        <w:t>数据质量评估</w:t>
      </w:r>
    </w:p>
    <w:p>
      <w:pPr>
        <w:ind w:left="448"/>
        <w:spacing w:before="310" w:line="224" w:lineRule="auto"/>
        <w:outlineLvl w:val="4"/>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简介</w:t>
      </w:r>
    </w:p>
    <w:p>
      <w:pPr>
        <w:ind w:left="444"/>
        <w:spacing w:before="216" w:line="232" w:lineRule="auto"/>
        <w:rPr>
          <w:rFonts w:ascii="KaiTi" w:hAnsi="KaiTi" w:eastAsia="KaiTi" w:cs="KaiTi"/>
          <w:sz w:val="22"/>
          <w:szCs w:val="22"/>
        </w:rPr>
      </w:pPr>
      <w:r>
        <w:rPr>
          <w:rFonts w:ascii="KaiTi" w:hAnsi="KaiTi" w:eastAsia="KaiTi" w:cs="KaiTi"/>
          <w:sz w:val="22"/>
          <w:szCs w:val="22"/>
          <w:spacing w:val="13"/>
        </w:rPr>
        <w:t>1)目的</w:t>
      </w:r>
    </w:p>
    <w:p>
      <w:pPr>
        <w:ind w:left="444"/>
        <w:spacing w:before="36" w:line="218" w:lineRule="auto"/>
        <w:rPr>
          <w:rFonts w:ascii="SimSun" w:hAnsi="SimSun" w:eastAsia="SimSun" w:cs="SimSun"/>
          <w:sz w:val="22"/>
          <w:szCs w:val="22"/>
        </w:rPr>
      </w:pPr>
      <w:r>
        <w:rPr>
          <w:rFonts w:ascii="SimSun" w:hAnsi="SimSun" w:eastAsia="SimSun" w:cs="SimSun"/>
          <w:sz w:val="22"/>
          <w:szCs w:val="22"/>
          <w:spacing w:val="-2"/>
        </w:rPr>
        <w:t>对照数据质量规则、根据过程和技巧，为度量和数据质量的评估提供系统的</w:t>
      </w:r>
    </w:p>
    <w:p>
      <w:pPr>
        <w:ind w:left="10"/>
        <w:spacing w:before="33" w:line="213" w:lineRule="auto"/>
        <w:rPr>
          <w:rFonts w:ascii="SimSun" w:hAnsi="SimSun" w:eastAsia="SimSun" w:cs="SimSun"/>
          <w:sz w:val="23"/>
          <w:szCs w:val="23"/>
        </w:rPr>
      </w:pPr>
      <w:r>
        <w:rPr>
          <w:rFonts w:ascii="SimSun" w:hAnsi="SimSun" w:eastAsia="SimSun" w:cs="SimSun"/>
          <w:sz w:val="23"/>
          <w:szCs w:val="23"/>
          <w:i/>
          <w:iCs/>
          <w:spacing w:val="-14"/>
        </w:rPr>
        <w:t>方法。</w:t>
      </w:r>
    </w:p>
    <w:p>
      <w:pPr>
        <w:ind w:left="444"/>
        <w:spacing w:before="52" w:line="222" w:lineRule="auto"/>
        <w:rPr>
          <w:rFonts w:ascii="FangSong" w:hAnsi="FangSong" w:eastAsia="FangSong" w:cs="FangSong"/>
          <w:sz w:val="22"/>
          <w:szCs w:val="22"/>
        </w:rPr>
      </w:pPr>
      <w:r>
        <w:rPr>
          <w:rFonts w:ascii="FangSong" w:hAnsi="FangSong" w:eastAsia="FangSong" w:cs="FangSong"/>
          <w:sz w:val="22"/>
          <w:szCs w:val="22"/>
          <w:spacing w:val="12"/>
        </w:rPr>
        <w:t>2)介绍</w:t>
      </w:r>
    </w:p>
    <w:p>
      <w:pPr>
        <w:ind w:left="14" w:right="245" w:firstLine="430"/>
        <w:spacing w:before="44" w:line="253" w:lineRule="auto"/>
        <w:rPr>
          <w:rFonts w:ascii="SimSun" w:hAnsi="SimSun" w:eastAsia="SimSun" w:cs="SimSun"/>
          <w:sz w:val="22"/>
          <w:szCs w:val="22"/>
        </w:rPr>
      </w:pPr>
      <w:r>
        <w:rPr>
          <w:rFonts w:ascii="SimSun" w:hAnsi="SimSun" w:eastAsia="SimSun" w:cs="SimSun"/>
          <w:sz w:val="22"/>
          <w:szCs w:val="22"/>
          <w:spacing w:val="-9"/>
        </w:rPr>
        <w:t>数据质量是保证数据应用的基础。它的评估标准主要包括四个方面：完整性、</w:t>
      </w:r>
      <w:r>
        <w:rPr>
          <w:rFonts w:ascii="SimSun" w:hAnsi="SimSun" w:eastAsia="SimSun" w:cs="SimSun"/>
          <w:sz w:val="22"/>
          <w:szCs w:val="22"/>
          <w:spacing w:val="15"/>
        </w:rPr>
        <w:t xml:space="preserve"> </w:t>
      </w:r>
      <w:r>
        <w:rPr>
          <w:rFonts w:ascii="SimSun" w:hAnsi="SimSun" w:eastAsia="SimSun" w:cs="SimSun"/>
          <w:sz w:val="22"/>
          <w:szCs w:val="22"/>
          <w:spacing w:val="-8"/>
        </w:rPr>
        <w:t>一致性、准确性、及时性。评估数据是否达到预期</w:t>
      </w:r>
      <w:r>
        <w:rPr>
          <w:rFonts w:ascii="SimSun" w:hAnsi="SimSun" w:eastAsia="SimSun" w:cs="SimSun"/>
          <w:sz w:val="22"/>
          <w:szCs w:val="22"/>
          <w:spacing w:val="-9"/>
        </w:rPr>
        <w:t>设定的质量要求，就可以通过这</w:t>
      </w:r>
      <w:r>
        <w:rPr>
          <w:rFonts w:ascii="SimSun" w:hAnsi="SimSun" w:eastAsia="SimSun" w:cs="SimSun"/>
          <w:sz w:val="22"/>
          <w:szCs w:val="22"/>
        </w:rPr>
        <w:t xml:space="preserve"> </w:t>
      </w:r>
      <w:r>
        <w:rPr>
          <w:rFonts w:ascii="SimSun" w:hAnsi="SimSun" w:eastAsia="SimSun" w:cs="SimSun"/>
          <w:sz w:val="22"/>
          <w:szCs w:val="22"/>
          <w:spacing w:val="-13"/>
        </w:rPr>
        <w:t>四个方面来进行判断。</w:t>
      </w:r>
    </w:p>
    <w:p>
      <w:pPr>
        <w:ind w:left="444"/>
        <w:spacing w:before="59" w:line="219" w:lineRule="auto"/>
        <w:rPr>
          <w:rFonts w:ascii="SimSun" w:hAnsi="SimSun" w:eastAsia="SimSun" w:cs="SimSun"/>
          <w:sz w:val="22"/>
          <w:szCs w:val="22"/>
        </w:rPr>
      </w:pPr>
      <w:r>
        <w:rPr>
          <w:rFonts w:ascii="SimSun" w:hAnsi="SimSun" w:eastAsia="SimSun" w:cs="SimSun"/>
          <w:sz w:val="22"/>
          <w:szCs w:val="22"/>
          <w:spacing w:val="8"/>
        </w:rPr>
        <w:t>(1)完整性</w:t>
      </w:r>
    </w:p>
    <w:p>
      <w:pPr>
        <w:ind w:left="14" w:right="222" w:firstLine="430"/>
        <w:spacing w:before="37" w:line="246" w:lineRule="auto"/>
        <w:rPr>
          <w:rFonts w:ascii="SimSun" w:hAnsi="SimSun" w:eastAsia="SimSun" w:cs="SimSun"/>
          <w:sz w:val="22"/>
          <w:szCs w:val="22"/>
        </w:rPr>
      </w:pPr>
      <w:r>
        <w:rPr>
          <w:rFonts w:ascii="SimSun" w:hAnsi="SimSun" w:eastAsia="SimSun" w:cs="SimSun"/>
          <w:sz w:val="22"/>
          <w:szCs w:val="22"/>
          <w:spacing w:val="-8"/>
        </w:rPr>
        <w:t>完整性指的是数据信息是否存在缺失的状况，数据缺失的情况可能是整个数据</w:t>
      </w:r>
      <w:r>
        <w:rPr>
          <w:rFonts w:ascii="SimSun" w:hAnsi="SimSun" w:eastAsia="SimSun" w:cs="SimSun"/>
          <w:sz w:val="22"/>
          <w:szCs w:val="22"/>
          <w:spacing w:val="3"/>
        </w:rPr>
        <w:t xml:space="preserve"> </w:t>
      </w:r>
      <w:r>
        <w:rPr>
          <w:rFonts w:ascii="SimSun" w:hAnsi="SimSun" w:eastAsia="SimSun" w:cs="SimSun"/>
          <w:sz w:val="22"/>
          <w:szCs w:val="22"/>
          <w:spacing w:val="-8"/>
        </w:rPr>
        <w:t>记录缺失，也可能是数据中某个字段信息的记录缺</w:t>
      </w:r>
      <w:r>
        <w:rPr>
          <w:rFonts w:ascii="SimSun" w:hAnsi="SimSun" w:eastAsia="SimSun" w:cs="SimSun"/>
          <w:sz w:val="22"/>
          <w:szCs w:val="22"/>
          <w:spacing w:val="-9"/>
        </w:rPr>
        <w:t>失。不完整的数据所能借鉴的价</w:t>
      </w:r>
      <w:r>
        <w:rPr>
          <w:rFonts w:ascii="SimSun" w:hAnsi="SimSun" w:eastAsia="SimSun" w:cs="SimSun"/>
          <w:sz w:val="22"/>
          <w:szCs w:val="22"/>
        </w:rPr>
        <w:t xml:space="preserve"> </w:t>
      </w:r>
      <w:r>
        <w:rPr>
          <w:rFonts w:ascii="SimSun" w:hAnsi="SimSun" w:eastAsia="SimSun" w:cs="SimSun"/>
          <w:sz w:val="22"/>
          <w:szCs w:val="22"/>
          <w:spacing w:val="-11"/>
        </w:rPr>
        <w:t>值就会大大降低，也是数据质量最为基础的一项评估标准。</w:t>
      </w:r>
    </w:p>
    <w:p>
      <w:pPr>
        <w:ind w:left="14" w:right="222" w:firstLine="430"/>
        <w:spacing w:before="61" w:line="251" w:lineRule="auto"/>
        <w:rPr>
          <w:rFonts w:ascii="SimSun" w:hAnsi="SimSun" w:eastAsia="SimSun" w:cs="SimSun"/>
          <w:sz w:val="22"/>
          <w:szCs w:val="22"/>
        </w:rPr>
      </w:pPr>
      <w:r>
        <w:rPr>
          <w:rFonts w:ascii="SimSun" w:hAnsi="SimSun" w:eastAsia="SimSun" w:cs="SimSun"/>
          <w:sz w:val="22"/>
          <w:szCs w:val="22"/>
          <w:spacing w:val="-13"/>
        </w:rPr>
        <w:t>数据质量的完整性比较容易去评估，</w:t>
      </w:r>
      <w:r>
        <w:rPr>
          <w:rFonts w:ascii="SimSun" w:hAnsi="SimSun" w:eastAsia="SimSun" w:cs="SimSun"/>
          <w:sz w:val="22"/>
          <w:szCs w:val="22"/>
          <w:spacing w:val="55"/>
        </w:rPr>
        <w:t xml:space="preserve"> </w:t>
      </w:r>
      <w:r>
        <w:rPr>
          <w:rFonts w:ascii="SimSun" w:hAnsi="SimSun" w:eastAsia="SimSun" w:cs="SimSun"/>
          <w:sz w:val="22"/>
          <w:szCs w:val="22"/>
          <w:spacing w:val="-13"/>
        </w:rPr>
        <w:t>一般我们可以通过数据统</w:t>
      </w:r>
      <w:r>
        <w:rPr>
          <w:rFonts w:ascii="SimSun" w:hAnsi="SimSun" w:eastAsia="SimSun" w:cs="SimSun"/>
          <w:sz w:val="22"/>
          <w:szCs w:val="22"/>
          <w:spacing w:val="-14"/>
        </w:rPr>
        <w:t>计中的记录值和</w:t>
      </w:r>
      <w:r>
        <w:rPr>
          <w:rFonts w:ascii="SimSun" w:hAnsi="SimSun" w:eastAsia="SimSun" w:cs="SimSun"/>
          <w:sz w:val="22"/>
          <w:szCs w:val="22"/>
        </w:rPr>
        <w:t xml:space="preserve"> </w:t>
      </w:r>
      <w:r>
        <w:rPr>
          <w:rFonts w:ascii="SimSun" w:hAnsi="SimSun" w:eastAsia="SimSun" w:cs="SimSun"/>
          <w:sz w:val="22"/>
          <w:szCs w:val="22"/>
          <w:spacing w:val="-15"/>
        </w:rPr>
        <w:t>唯一值进行评估。例如，网站日志日访问量就是一个记录值，平时的日访</w:t>
      </w:r>
      <w:r>
        <w:rPr>
          <w:rFonts w:ascii="SimSun" w:hAnsi="SimSun" w:eastAsia="SimSun" w:cs="SimSun"/>
          <w:sz w:val="22"/>
          <w:szCs w:val="22"/>
          <w:spacing w:val="-16"/>
        </w:rPr>
        <w:t>问量约1000,</w:t>
      </w:r>
      <w:r>
        <w:rPr>
          <w:rFonts w:ascii="SimSun" w:hAnsi="SimSun" w:eastAsia="SimSun" w:cs="SimSun"/>
          <w:sz w:val="22"/>
          <w:szCs w:val="22"/>
        </w:rPr>
        <w:t xml:space="preserve"> </w:t>
      </w:r>
      <w:r>
        <w:rPr>
          <w:rFonts w:ascii="SimSun" w:hAnsi="SimSun" w:eastAsia="SimSun" w:cs="SimSun"/>
          <w:sz w:val="22"/>
          <w:szCs w:val="22"/>
          <w:spacing w:val="-5"/>
        </w:rPr>
        <w:t>突然某一天降到100了，需要检查一下数据是否存在缺失了。再</w:t>
      </w:r>
      <w:r>
        <w:rPr>
          <w:rFonts w:ascii="SimSun" w:hAnsi="SimSun" w:eastAsia="SimSun" w:cs="SimSun"/>
          <w:sz w:val="22"/>
          <w:szCs w:val="22"/>
          <w:spacing w:val="-6"/>
        </w:rPr>
        <w:t>例如，网站统计地</w:t>
      </w:r>
      <w:r>
        <w:rPr>
          <w:rFonts w:ascii="SimSun" w:hAnsi="SimSun" w:eastAsia="SimSun" w:cs="SimSun"/>
          <w:sz w:val="22"/>
          <w:szCs w:val="22"/>
        </w:rPr>
        <w:t xml:space="preserve"> </w:t>
      </w:r>
      <w:r>
        <w:rPr>
          <w:rFonts w:ascii="SimSun" w:hAnsi="SimSun" w:eastAsia="SimSun" w:cs="SimSun"/>
          <w:sz w:val="22"/>
          <w:szCs w:val="22"/>
          <w:spacing w:val="-8"/>
        </w:rPr>
        <w:t>域分布情况的每一个地区名就是一个唯一值。我国包括了32个省和直</w:t>
      </w:r>
      <w:r>
        <w:rPr>
          <w:rFonts w:ascii="SimSun" w:hAnsi="SimSun" w:eastAsia="SimSun" w:cs="SimSun"/>
          <w:sz w:val="22"/>
          <w:szCs w:val="22"/>
          <w:spacing w:val="-9"/>
        </w:rPr>
        <w:t>辖市，如果统</w:t>
      </w:r>
      <w:r>
        <w:rPr>
          <w:rFonts w:ascii="SimSun" w:hAnsi="SimSun" w:eastAsia="SimSun" w:cs="SimSun"/>
          <w:sz w:val="22"/>
          <w:szCs w:val="22"/>
        </w:rPr>
        <w:t xml:space="preserve"> </w:t>
      </w:r>
      <w:r>
        <w:rPr>
          <w:rFonts w:ascii="SimSun" w:hAnsi="SimSun" w:eastAsia="SimSun" w:cs="SimSun"/>
          <w:sz w:val="22"/>
          <w:szCs w:val="22"/>
          <w:spacing w:val="-5"/>
        </w:rPr>
        <w:t>计得到的唯一值小于32,则可以判断数据有可能存在缺失。</w:t>
      </w:r>
    </w:p>
    <w:p>
      <w:pPr>
        <w:ind w:left="444"/>
        <w:spacing w:before="76" w:line="220" w:lineRule="auto"/>
        <w:rPr>
          <w:rFonts w:ascii="SimSun" w:hAnsi="SimSun" w:eastAsia="SimSun" w:cs="SimSun"/>
          <w:sz w:val="22"/>
          <w:szCs w:val="22"/>
        </w:rPr>
      </w:pPr>
      <w:r>
        <w:rPr>
          <w:rFonts w:ascii="SimSun" w:hAnsi="SimSun" w:eastAsia="SimSun" w:cs="SimSun"/>
          <w:sz w:val="22"/>
          <w:szCs w:val="22"/>
          <w:spacing w:val="8"/>
        </w:rPr>
        <w:t>(2)一致性</w:t>
      </w:r>
    </w:p>
    <w:p>
      <w:pPr>
        <w:ind w:left="444"/>
        <w:spacing w:before="37" w:line="219" w:lineRule="auto"/>
        <w:rPr>
          <w:rFonts w:ascii="SimSun" w:hAnsi="SimSun" w:eastAsia="SimSun" w:cs="SimSun"/>
          <w:sz w:val="22"/>
          <w:szCs w:val="22"/>
        </w:rPr>
      </w:pPr>
      <w:r>
        <w:rPr>
          <w:rFonts w:ascii="SimSun" w:hAnsi="SimSun" w:eastAsia="SimSun" w:cs="SimSun"/>
          <w:sz w:val="22"/>
          <w:szCs w:val="22"/>
          <w:spacing w:val="-10"/>
        </w:rPr>
        <w:t>一致性是指数据是否遵循了统一的规范，数据集合是否保持了统一的格式。</w:t>
      </w:r>
    </w:p>
    <w:p>
      <w:pPr>
        <w:ind w:left="14" w:right="238" w:firstLine="430"/>
        <w:spacing w:before="60" w:line="243" w:lineRule="auto"/>
        <w:rPr>
          <w:rFonts w:ascii="SimSun" w:hAnsi="SimSun" w:eastAsia="SimSun" w:cs="SimSun"/>
          <w:sz w:val="22"/>
          <w:szCs w:val="22"/>
        </w:rPr>
      </w:pPr>
      <w:r>
        <w:rPr>
          <w:rFonts w:ascii="SimSun" w:hAnsi="SimSun" w:eastAsia="SimSun" w:cs="SimSun"/>
          <w:sz w:val="22"/>
          <w:szCs w:val="22"/>
          <w:spacing w:val="-8"/>
        </w:rPr>
        <w:t>数据质量的一致性主要体现在数据记录的规范和</w:t>
      </w:r>
      <w:r>
        <w:rPr>
          <w:rFonts w:ascii="SimSun" w:hAnsi="SimSun" w:eastAsia="SimSun" w:cs="SimSun"/>
          <w:sz w:val="22"/>
          <w:szCs w:val="22"/>
          <w:spacing w:val="-9"/>
        </w:rPr>
        <w:t>数据是否符合逻辑。规范指的</w:t>
      </w:r>
      <w:r>
        <w:rPr>
          <w:rFonts w:ascii="SimSun" w:hAnsi="SimSun" w:eastAsia="SimSun" w:cs="SimSun"/>
          <w:sz w:val="22"/>
          <w:szCs w:val="22"/>
        </w:rPr>
        <w:t xml:space="preserve"> </w:t>
      </w:r>
      <w:r>
        <w:rPr>
          <w:rFonts w:ascii="SimSun" w:hAnsi="SimSun" w:eastAsia="SimSun" w:cs="SimSun"/>
          <w:sz w:val="22"/>
          <w:szCs w:val="22"/>
          <w:spacing w:val="-13"/>
        </w:rPr>
        <w:t>是，</w:t>
      </w:r>
      <w:r>
        <w:rPr>
          <w:rFonts w:ascii="SimSun" w:hAnsi="SimSun" w:eastAsia="SimSun" w:cs="SimSun"/>
          <w:sz w:val="22"/>
          <w:szCs w:val="22"/>
          <w:spacing w:val="-27"/>
        </w:rPr>
        <w:t xml:space="preserve"> </w:t>
      </w:r>
      <w:r>
        <w:rPr>
          <w:rFonts w:ascii="SimSun" w:hAnsi="SimSun" w:eastAsia="SimSun" w:cs="SimSun"/>
          <w:sz w:val="22"/>
          <w:szCs w:val="22"/>
          <w:spacing w:val="-13"/>
        </w:rPr>
        <w:t>一项数据存在它特定的格式。例如手机号码一定是13位的数字， </w:t>
      </w:r>
      <w:r>
        <w:rPr>
          <w:rFonts w:ascii="Times New Roman" w:hAnsi="Times New Roman" w:eastAsia="Times New Roman" w:cs="Times New Roman"/>
          <w:sz w:val="22"/>
          <w:szCs w:val="22"/>
          <w:spacing w:val="-13"/>
        </w:rPr>
        <w:t>IP </w:t>
      </w:r>
      <w:r>
        <w:rPr>
          <w:rFonts w:ascii="SimSun" w:hAnsi="SimSun" w:eastAsia="SimSun" w:cs="SimSun"/>
          <w:sz w:val="22"/>
          <w:szCs w:val="22"/>
          <w:spacing w:val="-13"/>
        </w:rPr>
        <w:t>地址一定是</w:t>
      </w:r>
    </w:p>
    <w:p>
      <w:pPr>
        <w:spacing w:line="243" w:lineRule="auto"/>
        <w:sectPr>
          <w:footerReference w:type="default" r:id="rId272"/>
          <w:pgSz w:w="8870" w:h="13400"/>
          <w:pgMar w:top="400" w:right="634" w:bottom="495" w:left="355" w:header="0" w:footer="276" w:gutter="0"/>
        </w:sectPr>
        <w:rPr>
          <w:rFonts w:ascii="SimSun" w:hAnsi="SimSun" w:eastAsia="SimSun" w:cs="SimSun"/>
          <w:sz w:val="22"/>
          <w:szCs w:val="22"/>
        </w:rPr>
      </w:pPr>
    </w:p>
    <w:p>
      <w:pPr>
        <w:ind w:left="203"/>
        <w:spacing w:before="285" w:line="219" w:lineRule="auto"/>
        <w:rPr>
          <w:rFonts w:ascii="SimSun" w:hAnsi="SimSun" w:eastAsia="SimSun" w:cs="SimSun"/>
          <w:sz w:val="21"/>
          <w:szCs w:val="21"/>
        </w:rPr>
      </w:pPr>
      <w:r>
        <w:pict>
          <v:rect id="_x0000_s394" style="position:absolute;margin-left:31.0007pt;margin-top:30.4984pt;mso-position-vertical-relative:page;mso-position-horizontal-relative:page;width:0.55pt;height:17.55pt;z-index:255052800;" o:allowincell="f" fillcolor="#000000" filled="true" stroked="false"/>
        </w:pict>
      </w:r>
      <w:bookmarkStart w:name="bookmark56" w:id="51"/>
      <w:bookmarkEnd w:id="51"/>
      <w:r>
        <w:rPr>
          <w:rFonts w:ascii="SimSun" w:hAnsi="SimSun" w:eastAsia="SimSun" w:cs="SimSun"/>
          <w:sz w:val="21"/>
          <w:szCs w:val="21"/>
          <w:b/>
          <w:bCs/>
          <w:spacing w:val="-6"/>
        </w:rPr>
        <w:t>■云端数据治理</w:t>
      </w:r>
    </w:p>
    <w:p>
      <w:pPr>
        <w:pStyle w:val="BodyText"/>
        <w:spacing w:line="253" w:lineRule="auto"/>
        <w:rPr/>
      </w:pPr>
      <w:r/>
    </w:p>
    <w:p>
      <w:pPr>
        <w:ind w:left="239" w:right="108"/>
        <w:spacing w:before="68" w:line="255" w:lineRule="auto"/>
        <w:rPr>
          <w:rFonts w:ascii="SimSun" w:hAnsi="SimSun" w:eastAsia="SimSun" w:cs="SimSun"/>
          <w:sz w:val="21"/>
          <w:szCs w:val="21"/>
        </w:rPr>
      </w:pPr>
      <w:r>
        <w:rPr>
          <w:rFonts w:ascii="SimSun" w:hAnsi="SimSun" w:eastAsia="SimSun" w:cs="SimSun"/>
          <w:sz w:val="21"/>
          <w:szCs w:val="21"/>
          <w:spacing w:val="6"/>
        </w:rPr>
        <w:t>由4个0到255间的数字加上”.”组成的。逻辑指的是，多项数据间存在着固定的</w:t>
      </w:r>
      <w:r>
        <w:rPr>
          <w:rFonts w:ascii="SimSun" w:hAnsi="SimSun" w:eastAsia="SimSun" w:cs="SimSun"/>
          <w:sz w:val="21"/>
          <w:szCs w:val="21"/>
          <w:spacing w:val="17"/>
        </w:rPr>
        <w:t xml:space="preserve"> </w:t>
      </w:r>
      <w:r>
        <w:rPr>
          <w:rFonts w:ascii="SimSun" w:hAnsi="SimSun" w:eastAsia="SimSun" w:cs="SimSun"/>
          <w:sz w:val="21"/>
          <w:szCs w:val="21"/>
          <w:spacing w:val="6"/>
        </w:rPr>
        <w:t>逻辑关系，例如</w:t>
      </w:r>
      <w:r>
        <w:rPr>
          <w:rFonts w:ascii="Times New Roman" w:hAnsi="Times New Roman" w:eastAsia="Times New Roman" w:cs="Times New Roman"/>
          <w:sz w:val="21"/>
          <w:szCs w:val="21"/>
        </w:rPr>
        <w:t>PV</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6"/>
        </w:rPr>
        <w:t>一定是大于等于</w:t>
      </w:r>
      <w:r>
        <w:rPr>
          <w:rFonts w:ascii="Times New Roman" w:hAnsi="Times New Roman" w:eastAsia="Times New Roman" w:cs="Times New Roman"/>
          <w:sz w:val="21"/>
          <w:szCs w:val="21"/>
        </w:rPr>
        <w:t>UV</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的，跳出率一定是在0～1之间的。</w:t>
      </w:r>
    </w:p>
    <w:p>
      <w:pPr>
        <w:ind w:left="239" w:firstLine="440"/>
        <w:spacing w:before="39" w:line="259" w:lineRule="auto"/>
        <w:rPr>
          <w:rFonts w:ascii="SimSun" w:hAnsi="SimSun" w:eastAsia="SimSun" w:cs="SimSun"/>
          <w:sz w:val="21"/>
          <w:szCs w:val="21"/>
        </w:rPr>
      </w:pPr>
      <w:r>
        <w:rPr>
          <w:rFonts w:ascii="SimSun" w:hAnsi="SimSun" w:eastAsia="SimSun" w:cs="SimSun"/>
          <w:sz w:val="21"/>
          <w:szCs w:val="21"/>
          <w:spacing w:val="-2"/>
        </w:rPr>
        <w:t>一般的数据都有着标准的编码规则，对于数</w:t>
      </w:r>
      <w:r>
        <w:rPr>
          <w:rFonts w:ascii="SimSun" w:hAnsi="SimSun" w:eastAsia="SimSun" w:cs="SimSun"/>
          <w:sz w:val="21"/>
          <w:szCs w:val="21"/>
          <w:spacing w:val="-3"/>
        </w:rPr>
        <w:t>据记录的一致性检验是较为简单的，</w:t>
      </w:r>
      <w:r>
        <w:rPr>
          <w:rFonts w:ascii="SimSun" w:hAnsi="SimSun" w:eastAsia="SimSun" w:cs="SimSun"/>
          <w:sz w:val="21"/>
          <w:szCs w:val="21"/>
        </w:rPr>
        <w:t xml:space="preserve"> </w:t>
      </w:r>
      <w:r>
        <w:rPr>
          <w:rFonts w:ascii="SimSun" w:hAnsi="SimSun" w:eastAsia="SimSun" w:cs="SimSun"/>
          <w:sz w:val="21"/>
          <w:szCs w:val="21"/>
          <w:spacing w:val="1"/>
        </w:rPr>
        <w:t>只要符合标准编码规则即可。例如地区类的标准编码格式为“北京</w:t>
      </w:r>
      <w:r>
        <w:rPr>
          <w:rFonts w:ascii="SimSun" w:hAnsi="SimSun" w:eastAsia="SimSun" w:cs="SimSun"/>
          <w:sz w:val="21"/>
          <w:szCs w:val="21"/>
        </w:rPr>
        <w:t>”而不是“北京  </w:t>
      </w:r>
      <w:r>
        <w:rPr>
          <w:rFonts w:ascii="SimSun" w:hAnsi="SimSun" w:eastAsia="SimSun" w:cs="SimSun"/>
          <w:sz w:val="21"/>
          <w:szCs w:val="21"/>
        </w:rPr>
        <w:t>市”,我们只须将相应的唯一值映射到标准的唯一值上就可以了。</w:t>
      </w:r>
    </w:p>
    <w:p>
      <w:pPr>
        <w:ind w:left="679"/>
        <w:spacing w:before="57" w:line="220" w:lineRule="auto"/>
        <w:rPr>
          <w:rFonts w:ascii="SimSun" w:hAnsi="SimSun" w:eastAsia="SimSun" w:cs="SimSun"/>
          <w:sz w:val="21"/>
          <w:szCs w:val="21"/>
        </w:rPr>
      </w:pPr>
      <w:r>
        <w:rPr>
          <w:rFonts w:ascii="SimSun" w:hAnsi="SimSun" w:eastAsia="SimSun" w:cs="SimSun"/>
          <w:sz w:val="21"/>
          <w:szCs w:val="21"/>
          <w:spacing w:val="13"/>
        </w:rPr>
        <w:t>(3)准确性</w:t>
      </w:r>
    </w:p>
    <w:p>
      <w:pPr>
        <w:ind w:left="239" w:right="68" w:firstLine="440"/>
        <w:spacing w:before="68" w:line="261" w:lineRule="auto"/>
        <w:rPr>
          <w:rFonts w:ascii="SimSun" w:hAnsi="SimSun" w:eastAsia="SimSun" w:cs="SimSun"/>
          <w:sz w:val="21"/>
          <w:szCs w:val="21"/>
        </w:rPr>
      </w:pPr>
      <w:r>
        <w:rPr>
          <w:rFonts w:ascii="SimSun" w:hAnsi="SimSun" w:eastAsia="SimSun" w:cs="SimSun"/>
          <w:sz w:val="21"/>
          <w:szCs w:val="21"/>
          <w:spacing w:val="2"/>
        </w:rPr>
        <w:t>准确性是指数据记录的信息是否存在异常或错误</w:t>
      </w:r>
      <w:r>
        <w:rPr>
          <w:rFonts w:ascii="SimSun" w:hAnsi="SimSun" w:eastAsia="SimSun" w:cs="SimSun"/>
          <w:sz w:val="21"/>
          <w:szCs w:val="21"/>
          <w:spacing w:val="1"/>
        </w:rPr>
        <w:t>。和一致性不一样，存在准确</w:t>
      </w:r>
      <w:r>
        <w:rPr>
          <w:rFonts w:ascii="SimSun" w:hAnsi="SimSun" w:eastAsia="SimSun" w:cs="SimSun"/>
          <w:sz w:val="21"/>
          <w:szCs w:val="21"/>
        </w:rPr>
        <w:t xml:space="preserve"> </w:t>
      </w:r>
      <w:r>
        <w:rPr>
          <w:rFonts w:ascii="SimSun" w:hAnsi="SimSun" w:eastAsia="SimSun" w:cs="SimSun"/>
          <w:sz w:val="21"/>
          <w:szCs w:val="21"/>
          <w:spacing w:val="1"/>
        </w:rPr>
        <w:t>性问题的数据不仅仅是规则上的不一致。最为常见的数据准确性错误就为乱码。其</w:t>
      </w:r>
      <w:r>
        <w:rPr>
          <w:rFonts w:ascii="SimSun" w:hAnsi="SimSun" w:eastAsia="SimSun" w:cs="SimSun"/>
          <w:sz w:val="21"/>
          <w:szCs w:val="21"/>
          <w:spacing w:val="11"/>
        </w:rPr>
        <w:t xml:space="preserve"> </w:t>
      </w:r>
      <w:r>
        <w:rPr>
          <w:rFonts w:ascii="SimSun" w:hAnsi="SimSun" w:eastAsia="SimSun" w:cs="SimSun"/>
          <w:sz w:val="21"/>
          <w:szCs w:val="21"/>
          <w:spacing w:val="-2"/>
        </w:rPr>
        <w:t>次，异常大或者异常小的数据也是不符合条件的数据。</w:t>
      </w:r>
    </w:p>
    <w:p>
      <w:pPr>
        <w:ind w:left="239" w:right="69" w:firstLine="440"/>
        <w:spacing w:before="50" w:line="255" w:lineRule="auto"/>
        <w:rPr>
          <w:rFonts w:ascii="SimSun" w:hAnsi="SimSun" w:eastAsia="SimSun" w:cs="SimSun"/>
          <w:sz w:val="21"/>
          <w:szCs w:val="21"/>
        </w:rPr>
      </w:pPr>
      <w:r>
        <w:rPr>
          <w:rFonts w:ascii="SimSun" w:hAnsi="SimSun" w:eastAsia="SimSun" w:cs="SimSun"/>
          <w:sz w:val="21"/>
          <w:szCs w:val="21"/>
          <w:spacing w:val="2"/>
        </w:rPr>
        <w:t>数据质量的准确性问题可能存在于个别记录，</w:t>
      </w:r>
      <w:r>
        <w:rPr>
          <w:rFonts w:ascii="SimSun" w:hAnsi="SimSun" w:eastAsia="SimSun" w:cs="SimSun"/>
          <w:sz w:val="21"/>
          <w:szCs w:val="21"/>
          <w:spacing w:val="1"/>
        </w:rPr>
        <w:t>也可能存在于整个数据集，例如</w:t>
      </w:r>
      <w:r>
        <w:rPr>
          <w:rFonts w:ascii="SimSun" w:hAnsi="SimSun" w:eastAsia="SimSun" w:cs="SimSun"/>
          <w:sz w:val="21"/>
          <w:szCs w:val="21"/>
        </w:rPr>
        <w:t xml:space="preserve"> </w:t>
      </w:r>
      <w:r>
        <w:rPr>
          <w:rFonts w:ascii="SimSun" w:hAnsi="SimSun" w:eastAsia="SimSun" w:cs="SimSun"/>
          <w:sz w:val="21"/>
          <w:szCs w:val="21"/>
          <w:spacing w:val="-1"/>
        </w:rPr>
        <w:t>数量级记录错误。这类错误则可以使用最大值和最小值的统计量去审核。</w:t>
      </w:r>
    </w:p>
    <w:p>
      <w:pPr>
        <w:ind w:left="239" w:right="76" w:firstLine="440"/>
        <w:spacing w:before="30" w:line="255" w:lineRule="auto"/>
        <w:rPr>
          <w:rFonts w:ascii="SimSun" w:hAnsi="SimSun" w:eastAsia="SimSun" w:cs="SimSun"/>
          <w:sz w:val="21"/>
          <w:szCs w:val="21"/>
        </w:rPr>
      </w:pPr>
      <w:r>
        <w:rPr>
          <w:rFonts w:ascii="SimSun" w:hAnsi="SimSun" w:eastAsia="SimSun" w:cs="SimSun"/>
          <w:sz w:val="21"/>
          <w:szCs w:val="21"/>
          <w:spacing w:val="1"/>
        </w:rPr>
        <w:t>一般数据都符合正态分布的规律，如果一些占比少的数据存在问题，则可以通</w:t>
      </w:r>
      <w:r>
        <w:rPr>
          <w:rFonts w:ascii="SimSun" w:hAnsi="SimSun" w:eastAsia="SimSun" w:cs="SimSun"/>
          <w:sz w:val="21"/>
          <w:szCs w:val="21"/>
          <w:spacing w:val="13"/>
        </w:rPr>
        <w:t xml:space="preserve"> </w:t>
      </w:r>
      <w:r>
        <w:rPr>
          <w:rFonts w:ascii="SimSun" w:hAnsi="SimSun" w:eastAsia="SimSun" w:cs="SimSun"/>
          <w:sz w:val="21"/>
          <w:szCs w:val="21"/>
          <w:spacing w:val="-2"/>
        </w:rPr>
        <w:t>过比较其他数量少的数据比例，来做出判断。</w:t>
      </w:r>
    </w:p>
    <w:p>
      <w:pPr>
        <w:ind w:left="239" w:right="54" w:firstLine="440"/>
        <w:spacing w:before="47" w:line="261" w:lineRule="auto"/>
        <w:rPr>
          <w:rFonts w:ascii="SimSun" w:hAnsi="SimSun" w:eastAsia="SimSun" w:cs="SimSun"/>
          <w:sz w:val="21"/>
          <w:szCs w:val="21"/>
        </w:rPr>
      </w:pPr>
      <w:r>
        <w:rPr>
          <w:rFonts w:ascii="SimSun" w:hAnsi="SimSun" w:eastAsia="SimSun" w:cs="SimSun"/>
          <w:sz w:val="21"/>
          <w:szCs w:val="21"/>
          <w:spacing w:val="5"/>
        </w:rPr>
        <w:t>当然如果统计的数据异常并不显著,但依然存在着错误，这类值的检查是最为</w:t>
      </w:r>
      <w:r>
        <w:rPr>
          <w:rFonts w:ascii="SimSun" w:hAnsi="SimSun" w:eastAsia="SimSun" w:cs="SimSun"/>
          <w:sz w:val="21"/>
          <w:szCs w:val="21"/>
          <w:spacing w:val="4"/>
        </w:rPr>
        <w:t xml:space="preserve"> </w:t>
      </w:r>
      <w:r>
        <w:rPr>
          <w:rFonts w:ascii="SimSun" w:hAnsi="SimSun" w:eastAsia="SimSun" w:cs="SimSun"/>
          <w:sz w:val="21"/>
          <w:szCs w:val="21"/>
          <w:spacing w:val="1"/>
        </w:rPr>
        <w:t>困难的，需要通过复杂的统计分析对比找到蛛丝马迹。这里可以借助一些数据分析</w:t>
      </w:r>
      <w:r>
        <w:rPr>
          <w:rFonts w:ascii="SimSun" w:hAnsi="SimSun" w:eastAsia="SimSun" w:cs="SimSun"/>
          <w:sz w:val="21"/>
          <w:szCs w:val="21"/>
          <w:spacing w:val="12"/>
        </w:rPr>
        <w:t xml:space="preserve"> </w:t>
      </w:r>
      <w:r>
        <w:rPr>
          <w:rFonts w:ascii="SimSun" w:hAnsi="SimSun" w:eastAsia="SimSun" w:cs="SimSun"/>
          <w:sz w:val="21"/>
          <w:szCs w:val="21"/>
          <w:spacing w:val="-1"/>
        </w:rPr>
        <w:t>工具，具体的数据修正方法就不在这里介绍了。</w:t>
      </w:r>
    </w:p>
    <w:p>
      <w:pPr>
        <w:ind w:left="679"/>
        <w:spacing w:before="74" w:line="221" w:lineRule="auto"/>
        <w:rPr>
          <w:rFonts w:ascii="SimSun" w:hAnsi="SimSun" w:eastAsia="SimSun" w:cs="SimSun"/>
          <w:sz w:val="21"/>
          <w:szCs w:val="21"/>
        </w:rPr>
      </w:pPr>
      <w:r>
        <w:rPr>
          <w:rFonts w:ascii="SimSun" w:hAnsi="SimSun" w:eastAsia="SimSun" w:cs="SimSun"/>
          <w:sz w:val="21"/>
          <w:szCs w:val="21"/>
          <w:spacing w:val="13"/>
        </w:rPr>
        <w:t>(4)及时性</w:t>
      </w:r>
    </w:p>
    <w:p>
      <w:pPr>
        <w:ind w:left="239" w:right="75" w:firstLine="440"/>
        <w:spacing w:before="48" w:line="254" w:lineRule="auto"/>
        <w:rPr>
          <w:rFonts w:ascii="SimSun" w:hAnsi="SimSun" w:eastAsia="SimSun" w:cs="SimSun"/>
          <w:sz w:val="21"/>
          <w:szCs w:val="21"/>
        </w:rPr>
      </w:pPr>
      <w:r>
        <w:rPr>
          <w:rFonts w:ascii="SimSun" w:hAnsi="SimSun" w:eastAsia="SimSun" w:cs="SimSun"/>
          <w:sz w:val="21"/>
          <w:szCs w:val="21"/>
          <w:spacing w:val="1"/>
        </w:rPr>
        <w:t>及时性是指数据从产生到可以查看的时间间隔，也叫数据的延时时长。及时性</w:t>
      </w:r>
      <w:r>
        <w:rPr>
          <w:rFonts w:ascii="SimSun" w:hAnsi="SimSun" w:eastAsia="SimSun" w:cs="SimSun"/>
          <w:sz w:val="21"/>
          <w:szCs w:val="21"/>
          <w:spacing w:val="13"/>
        </w:rPr>
        <w:t xml:space="preserve"> </w:t>
      </w:r>
      <w:r>
        <w:rPr>
          <w:rFonts w:ascii="SimSun" w:hAnsi="SimSun" w:eastAsia="SimSun" w:cs="SimSun"/>
          <w:sz w:val="21"/>
          <w:szCs w:val="21"/>
          <w:spacing w:val="2"/>
        </w:rPr>
        <w:t>对于数据分析本身要求并不高，但如果数据分析周期加上数据建立的时间</w:t>
      </w:r>
      <w:r>
        <w:rPr>
          <w:rFonts w:ascii="SimSun" w:hAnsi="SimSun" w:eastAsia="SimSun" w:cs="SimSun"/>
          <w:sz w:val="21"/>
          <w:szCs w:val="21"/>
          <w:spacing w:val="1"/>
        </w:rPr>
        <w:t>过长，就</w:t>
      </w:r>
      <w:r>
        <w:rPr>
          <w:rFonts w:ascii="SimSun" w:hAnsi="SimSun" w:eastAsia="SimSun" w:cs="SimSun"/>
          <w:sz w:val="21"/>
          <w:szCs w:val="21"/>
        </w:rPr>
        <w:t xml:space="preserve"> </w:t>
      </w:r>
      <w:r>
        <w:rPr>
          <w:rFonts w:ascii="SimSun" w:hAnsi="SimSun" w:eastAsia="SimSun" w:cs="SimSun"/>
          <w:sz w:val="21"/>
          <w:szCs w:val="21"/>
          <w:spacing w:val="-3"/>
        </w:rPr>
        <w:t>可能导致分析得出的结论失去了借鉴意义。</w:t>
      </w:r>
    </w:p>
    <w:p>
      <w:pPr>
        <w:ind w:left="239" w:right="76" w:firstLine="440"/>
        <w:spacing w:before="51" w:line="266" w:lineRule="auto"/>
        <w:rPr>
          <w:rFonts w:ascii="SimSun" w:hAnsi="SimSun" w:eastAsia="SimSun" w:cs="SimSun"/>
          <w:sz w:val="21"/>
          <w:szCs w:val="21"/>
        </w:rPr>
      </w:pPr>
      <w:r>
        <w:rPr>
          <w:rFonts w:ascii="SimSun" w:hAnsi="SimSun" w:eastAsia="SimSun" w:cs="SimSun"/>
          <w:sz w:val="21"/>
          <w:szCs w:val="21"/>
          <w:spacing w:val="1"/>
        </w:rPr>
        <w:t>数据质量评估帮助推动质量期望的确定与达成，为重要的业务数据特性度量其</w:t>
      </w:r>
      <w:r>
        <w:rPr>
          <w:rFonts w:ascii="SimSun" w:hAnsi="SimSun" w:eastAsia="SimSun" w:cs="SimSun"/>
          <w:sz w:val="21"/>
          <w:szCs w:val="21"/>
          <w:spacing w:val="13"/>
        </w:rPr>
        <w:t xml:space="preserve"> </w:t>
      </w:r>
      <w:r>
        <w:rPr>
          <w:rFonts w:ascii="SimSun" w:hAnsi="SimSun" w:eastAsia="SimSun" w:cs="SimSun"/>
          <w:sz w:val="21"/>
          <w:szCs w:val="21"/>
          <w:spacing w:val="1"/>
        </w:rPr>
        <w:t>数据质量。评估活动的发起由不同优先级的业务推动，关注的重点通常是多个业务</w:t>
      </w:r>
      <w:r>
        <w:rPr>
          <w:rFonts w:ascii="SimSun" w:hAnsi="SimSun" w:eastAsia="SimSun" w:cs="SimSun"/>
          <w:sz w:val="21"/>
          <w:szCs w:val="21"/>
          <w:spacing w:val="12"/>
        </w:rPr>
        <w:t xml:space="preserve"> </w:t>
      </w:r>
      <w:r>
        <w:rPr>
          <w:rFonts w:ascii="SimSun" w:hAnsi="SimSun" w:eastAsia="SimSun" w:cs="SimSun"/>
          <w:sz w:val="21"/>
          <w:szCs w:val="21"/>
          <w:spacing w:val="1"/>
        </w:rPr>
        <w:t>领域所要求的高度共享的数据、精准的财务报表所需要的数据以及支持关键业务过</w:t>
      </w:r>
      <w:r>
        <w:rPr>
          <w:rFonts w:ascii="SimSun" w:hAnsi="SimSun" w:eastAsia="SimSun" w:cs="SimSun"/>
          <w:sz w:val="21"/>
          <w:szCs w:val="21"/>
          <w:spacing w:val="11"/>
        </w:rPr>
        <w:t xml:space="preserve"> </w:t>
      </w:r>
      <w:r>
        <w:rPr>
          <w:rFonts w:ascii="SimSun" w:hAnsi="SimSun" w:eastAsia="SimSun" w:cs="SimSun"/>
          <w:sz w:val="21"/>
          <w:szCs w:val="21"/>
          <w:spacing w:val="-6"/>
        </w:rPr>
        <w:t>程的数据集。</w:t>
      </w:r>
    </w:p>
    <w:p>
      <w:pPr>
        <w:ind w:left="239" w:right="44" w:firstLine="440"/>
        <w:spacing w:before="77" w:line="260" w:lineRule="auto"/>
        <w:rPr>
          <w:rFonts w:ascii="SimSun" w:hAnsi="SimSun" w:eastAsia="SimSun" w:cs="SimSun"/>
          <w:sz w:val="21"/>
          <w:szCs w:val="21"/>
        </w:rPr>
      </w:pPr>
      <w:r>
        <w:rPr>
          <w:rFonts w:ascii="SimSun" w:hAnsi="SimSun" w:eastAsia="SimSun" w:cs="SimSun"/>
          <w:sz w:val="21"/>
          <w:szCs w:val="21"/>
          <w:spacing w:val="2"/>
        </w:rPr>
        <w:t>应该对照那些对组织至关重要的数据元素进行质量评估。例如，那些对组织目</w:t>
      </w:r>
      <w:r>
        <w:rPr>
          <w:rFonts w:ascii="SimSun" w:hAnsi="SimSun" w:eastAsia="SimSun" w:cs="SimSun"/>
          <w:sz w:val="21"/>
          <w:szCs w:val="21"/>
          <w:spacing w:val="11"/>
        </w:rPr>
        <w:t xml:space="preserve"> </w:t>
      </w:r>
      <w:r>
        <w:rPr>
          <w:rFonts w:ascii="SimSun" w:hAnsi="SimSun" w:eastAsia="SimSun" w:cs="SimSun"/>
          <w:sz w:val="21"/>
          <w:szCs w:val="21"/>
          <w:spacing w:val="1"/>
        </w:rPr>
        <w:t>标的成功实现有直接影响的数据；监管汇报或内部符合性汇报中的数据、设定的关</w:t>
      </w:r>
      <w:r>
        <w:rPr>
          <w:rFonts w:ascii="SimSun" w:hAnsi="SimSun" w:eastAsia="SimSun" w:cs="SimSun"/>
          <w:sz w:val="21"/>
          <w:szCs w:val="21"/>
          <w:spacing w:val="12"/>
        </w:rPr>
        <w:t xml:space="preserve"> </w:t>
      </w:r>
      <w:r>
        <w:rPr>
          <w:rFonts w:ascii="SimSun" w:hAnsi="SimSun" w:eastAsia="SimSun" w:cs="SimSun"/>
          <w:sz w:val="21"/>
          <w:szCs w:val="21"/>
          <w:spacing w:val="1"/>
        </w:rPr>
        <w:t>键雇员数据、业务决策制订的相关必要数据等。重要的一点是确保方针中提供了指</w:t>
      </w:r>
      <w:r>
        <w:rPr>
          <w:rFonts w:ascii="SimSun" w:hAnsi="SimSun" w:eastAsia="SimSun" w:cs="SimSun"/>
          <w:sz w:val="21"/>
          <w:szCs w:val="21"/>
          <w:spacing w:val="17"/>
        </w:rPr>
        <w:t xml:space="preserve"> </w:t>
      </w:r>
      <w:r>
        <w:rPr>
          <w:rFonts w:ascii="SimSun" w:hAnsi="SimSun" w:eastAsia="SimSun" w:cs="SimSun"/>
          <w:sz w:val="21"/>
          <w:szCs w:val="21"/>
          <w:spacing w:val="-1"/>
        </w:rPr>
        <w:t>南以决定哪些是关键数据集和数据元素。</w:t>
      </w:r>
    </w:p>
    <w:p>
      <w:pPr>
        <w:ind w:left="239" w:right="39" w:firstLine="440"/>
        <w:spacing w:before="40" w:line="260" w:lineRule="auto"/>
        <w:rPr>
          <w:rFonts w:ascii="SimSun" w:hAnsi="SimSun" w:eastAsia="SimSun" w:cs="SimSun"/>
          <w:sz w:val="21"/>
          <w:szCs w:val="21"/>
        </w:rPr>
      </w:pPr>
      <w:r>
        <w:rPr>
          <w:rFonts w:ascii="SimSun" w:hAnsi="SimSun" w:eastAsia="SimSun" w:cs="SimSun"/>
          <w:sz w:val="21"/>
          <w:szCs w:val="21"/>
          <w:spacing w:val="2"/>
        </w:rPr>
        <w:t>为所选的数据集的特性建立目标(期望的质量级别)、阈值(可接纳的质量级别)</w:t>
      </w:r>
      <w:r>
        <w:rPr>
          <w:rFonts w:ascii="SimSun" w:hAnsi="SimSun" w:eastAsia="SimSun" w:cs="SimSun"/>
          <w:sz w:val="21"/>
          <w:szCs w:val="21"/>
          <w:spacing w:val="12"/>
        </w:rPr>
        <w:t xml:space="preserve"> </w:t>
      </w:r>
      <w:r>
        <w:rPr>
          <w:rFonts w:ascii="SimSun" w:hAnsi="SimSun" w:eastAsia="SimSun" w:cs="SimSun"/>
          <w:sz w:val="21"/>
          <w:szCs w:val="21"/>
          <w:spacing w:val="1"/>
        </w:rPr>
        <w:t>以及度量项。通常是以积分卡和仪表板的形式捕获和发布这些度量和度量项的。评</w:t>
      </w:r>
      <w:r>
        <w:rPr>
          <w:rFonts w:ascii="SimSun" w:hAnsi="SimSun" w:eastAsia="SimSun" w:cs="SimSun"/>
          <w:sz w:val="21"/>
          <w:szCs w:val="21"/>
          <w:spacing w:val="11"/>
        </w:rPr>
        <w:t xml:space="preserve"> </w:t>
      </w:r>
      <w:r>
        <w:rPr>
          <w:rFonts w:ascii="SimSun" w:hAnsi="SimSun" w:eastAsia="SimSun" w:cs="SimSun"/>
          <w:sz w:val="21"/>
          <w:szCs w:val="21"/>
          <w:spacing w:val="-1"/>
        </w:rPr>
        <w:t>估的结果推动了根本原因的分析并且是组织数据质量改进计划</w:t>
      </w:r>
      <w:r>
        <w:rPr>
          <w:rFonts w:ascii="SimSun" w:hAnsi="SimSun" w:eastAsia="SimSun" w:cs="SimSun"/>
          <w:sz w:val="21"/>
          <w:szCs w:val="21"/>
          <w:spacing w:val="-2"/>
        </w:rPr>
        <w:t>的输入信息。</w:t>
      </w:r>
    </w:p>
    <w:p>
      <w:pPr>
        <w:ind w:left="239" w:right="56" w:firstLine="440"/>
        <w:spacing w:before="42" w:line="267" w:lineRule="auto"/>
        <w:rPr>
          <w:rFonts w:ascii="SimSun" w:hAnsi="SimSun" w:eastAsia="SimSun" w:cs="SimSun"/>
          <w:sz w:val="21"/>
          <w:szCs w:val="21"/>
        </w:rPr>
      </w:pPr>
      <w:r>
        <w:rPr>
          <w:rFonts w:ascii="SimSun" w:hAnsi="SimSun" w:eastAsia="SimSun" w:cs="SimSun"/>
          <w:sz w:val="21"/>
          <w:szCs w:val="21"/>
          <w:spacing w:val="2"/>
        </w:rPr>
        <w:t>作为评估过程的一部分，将数据质量影响进行分类能够帮助相关工作的进行并</w:t>
      </w:r>
      <w:r>
        <w:rPr>
          <w:rFonts w:ascii="SimSun" w:hAnsi="SimSun" w:eastAsia="SimSun" w:cs="SimSun"/>
          <w:sz w:val="21"/>
          <w:szCs w:val="21"/>
        </w:rPr>
        <w:t xml:space="preserve"> </w:t>
      </w:r>
      <w:r>
        <w:rPr>
          <w:rFonts w:ascii="SimSun" w:hAnsi="SimSun" w:eastAsia="SimSun" w:cs="SimSun"/>
          <w:sz w:val="21"/>
          <w:szCs w:val="21"/>
          <w:spacing w:val="7"/>
        </w:rPr>
        <w:t>且确定效益。将影响对象进行分类(例如成本、风险、符合性、生产率)也能够协</w:t>
      </w:r>
      <w:r>
        <w:rPr>
          <w:rFonts w:ascii="SimSun" w:hAnsi="SimSun" w:eastAsia="SimSun" w:cs="SimSun"/>
          <w:sz w:val="21"/>
          <w:szCs w:val="21"/>
          <w:spacing w:val="8"/>
        </w:rPr>
        <w:t xml:space="preserve"> </w:t>
      </w:r>
      <w:r>
        <w:rPr>
          <w:rFonts w:ascii="SimSun" w:hAnsi="SimSun" w:eastAsia="SimSun" w:cs="SimSun"/>
          <w:sz w:val="21"/>
          <w:szCs w:val="21"/>
          <w:spacing w:val="-2"/>
        </w:rPr>
        <w:t>助相关人员根据优先次序制订数据清洗计划。</w:t>
      </w:r>
    </w:p>
    <w:p>
      <w:pPr>
        <w:ind w:left="239" w:right="96" w:firstLine="440"/>
        <w:spacing w:before="40" w:line="258" w:lineRule="auto"/>
        <w:rPr>
          <w:rFonts w:ascii="SimSun" w:hAnsi="SimSun" w:eastAsia="SimSun" w:cs="SimSun"/>
          <w:sz w:val="21"/>
          <w:szCs w:val="21"/>
        </w:rPr>
      </w:pPr>
      <w:r>
        <w:rPr>
          <w:rFonts w:ascii="SimSun" w:hAnsi="SimSun" w:eastAsia="SimSun" w:cs="SimSun"/>
          <w:sz w:val="21"/>
          <w:szCs w:val="21"/>
          <w:spacing w:val="1"/>
        </w:rPr>
        <w:t>随着治理功能和目标数据架构的逐渐成熟，组织倾向使用以基</w:t>
      </w:r>
      <w:r>
        <w:rPr>
          <w:rFonts w:ascii="SimSun" w:hAnsi="SimSun" w:eastAsia="SimSun" w:cs="SimSun"/>
          <w:sz w:val="21"/>
          <w:szCs w:val="21"/>
        </w:rPr>
        <w:t>于主题领域的方 </w:t>
      </w:r>
      <w:r>
        <w:rPr>
          <w:rFonts w:ascii="SimSun" w:hAnsi="SimSun" w:eastAsia="SimSun" w:cs="SimSun"/>
          <w:sz w:val="21"/>
          <w:szCs w:val="21"/>
          <w:spacing w:val="1"/>
        </w:rPr>
        <w:t>法来进行数据质量评估。例如，在基于主题领域的方法中，管理客户信息的数据人</w:t>
      </w:r>
    </w:p>
    <w:p>
      <w:pPr>
        <w:spacing w:line="258" w:lineRule="auto"/>
        <w:sectPr>
          <w:footerReference w:type="default" r:id="rId273"/>
          <w:pgSz w:w="8870" w:h="13400"/>
          <w:pgMar w:top="400" w:right="414" w:bottom="468" w:left="510" w:header="0" w:footer="259" w:gutter="0"/>
        </w:sectPr>
        <w:rPr>
          <w:rFonts w:ascii="SimSun" w:hAnsi="SimSun" w:eastAsia="SimSun" w:cs="SimSun"/>
          <w:sz w:val="21"/>
          <w:szCs w:val="21"/>
        </w:rPr>
      </w:pPr>
    </w:p>
    <w:p>
      <w:pPr>
        <w:ind w:left="5482"/>
        <w:spacing w:before="28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pStyle w:val="BodyText"/>
        <w:spacing w:line="247" w:lineRule="auto"/>
        <w:rPr/>
      </w:pPr>
      <w:r/>
    </w:p>
    <w:p>
      <w:pPr>
        <w:ind w:right="239"/>
        <w:spacing w:before="68" w:line="265" w:lineRule="auto"/>
        <w:jc w:val="both"/>
        <w:rPr>
          <w:rFonts w:ascii="SimSun" w:hAnsi="SimSun" w:eastAsia="SimSun" w:cs="SimSun"/>
          <w:sz w:val="21"/>
          <w:szCs w:val="21"/>
        </w:rPr>
      </w:pPr>
      <w:r>
        <w:rPr>
          <w:rFonts w:ascii="SimSun" w:hAnsi="SimSun" w:eastAsia="SimSun" w:cs="SimSun"/>
          <w:sz w:val="21"/>
          <w:szCs w:val="21"/>
          <w:spacing w:val="1"/>
        </w:rPr>
        <w:t>员代表组织，负责为共享的客户数据制订数据质量规则并进行监督，并成为数据质</w:t>
      </w:r>
      <w:r>
        <w:rPr>
          <w:rFonts w:ascii="SimSun" w:hAnsi="SimSun" w:eastAsia="SimSun" w:cs="SimSun"/>
          <w:sz w:val="21"/>
          <w:szCs w:val="21"/>
          <w:spacing w:val="16"/>
        </w:rPr>
        <w:t xml:space="preserve"> </w:t>
      </w:r>
      <w:r>
        <w:rPr>
          <w:rFonts w:ascii="SimSun" w:hAnsi="SimSun" w:eastAsia="SimSun" w:cs="SimSun"/>
          <w:sz w:val="21"/>
          <w:szCs w:val="21"/>
          <w:spacing w:val="-4"/>
        </w:rPr>
        <w:t>量仪表板中那部分对应信息的“所有者”。应对生成并更新客户信息的关键数据存储</w:t>
      </w:r>
      <w:r>
        <w:rPr>
          <w:rFonts w:ascii="SimSun" w:hAnsi="SimSun" w:eastAsia="SimSun" w:cs="SimSun"/>
          <w:sz w:val="21"/>
          <w:szCs w:val="21"/>
          <w:spacing w:val="5"/>
        </w:rPr>
        <w:t xml:space="preserve"> </w:t>
      </w:r>
      <w:r>
        <w:rPr>
          <w:rFonts w:ascii="SimSun" w:hAnsi="SimSun" w:eastAsia="SimSun" w:cs="SimSun"/>
          <w:sz w:val="21"/>
          <w:szCs w:val="21"/>
          <w:spacing w:val="2"/>
        </w:rPr>
        <w:t>进行定期监控以确定可接受的质量阈值和目标是否达成。如果未达成，客户数</w:t>
      </w:r>
      <w:r>
        <w:rPr>
          <w:rFonts w:ascii="SimSun" w:hAnsi="SimSun" w:eastAsia="SimSun" w:cs="SimSun"/>
          <w:sz w:val="21"/>
          <w:szCs w:val="21"/>
          <w:spacing w:val="1"/>
        </w:rPr>
        <w:t>据管</w:t>
      </w:r>
      <w:r>
        <w:rPr>
          <w:rFonts w:ascii="SimSun" w:hAnsi="SimSun" w:eastAsia="SimSun" w:cs="SimSun"/>
          <w:sz w:val="21"/>
          <w:szCs w:val="21"/>
        </w:rPr>
        <w:t xml:space="preserve"> </w:t>
      </w:r>
      <w:r>
        <w:rPr>
          <w:rFonts w:ascii="SimSun" w:hAnsi="SimSun" w:eastAsia="SimSun" w:cs="SimSun"/>
          <w:sz w:val="21"/>
          <w:szCs w:val="21"/>
        </w:rPr>
        <w:t>理人员应发起对根本原因的分析并发起对修</w:t>
      </w:r>
      <w:r>
        <w:rPr>
          <w:rFonts w:ascii="SimSun" w:hAnsi="SimSun" w:eastAsia="SimSun" w:cs="SimSun"/>
          <w:sz w:val="21"/>
          <w:szCs w:val="21"/>
          <w:spacing w:val="-1"/>
        </w:rPr>
        <w:t>正活动和缺陷预防活动的相应改进。</w:t>
      </w:r>
    </w:p>
    <w:p>
      <w:pPr>
        <w:ind w:left="419"/>
        <w:spacing w:before="65" w:line="229" w:lineRule="auto"/>
        <w:rPr>
          <w:rFonts w:ascii="KaiTi" w:hAnsi="KaiTi" w:eastAsia="KaiTi" w:cs="KaiTi"/>
          <w:sz w:val="21"/>
          <w:szCs w:val="21"/>
        </w:rPr>
      </w:pPr>
      <w:r>
        <w:rPr>
          <w:rFonts w:ascii="KaiTi" w:hAnsi="KaiTi" w:eastAsia="KaiTi" w:cs="KaiTi"/>
          <w:sz w:val="21"/>
          <w:szCs w:val="21"/>
          <w:spacing w:val="10"/>
        </w:rPr>
        <w:t>3)相关过程域</w:t>
      </w:r>
    </w:p>
    <w:p>
      <w:pPr>
        <w:ind w:left="699" w:right="266" w:hanging="280"/>
        <w:spacing w:before="46" w:line="246" w:lineRule="auto"/>
        <w:rPr>
          <w:rFonts w:ascii="SimSun" w:hAnsi="SimSun" w:eastAsia="SimSun" w:cs="SimSun"/>
          <w:sz w:val="21"/>
          <w:szCs w:val="21"/>
        </w:rPr>
      </w:pPr>
      <w:r>
        <w:rPr>
          <w:rFonts w:ascii="SimSun" w:hAnsi="SimSun" w:eastAsia="SimSun" w:cs="SimSun"/>
          <w:sz w:val="21"/>
          <w:szCs w:val="21"/>
          <w:spacing w:val="1"/>
        </w:rPr>
        <w:t>●数据质量战略过程域包含了与数据质量维度相关的额外信息，包含准确性、</w:t>
      </w:r>
      <w:r>
        <w:rPr>
          <w:rFonts w:ascii="SimSun" w:hAnsi="SimSun" w:eastAsia="SimSun" w:cs="SimSun"/>
          <w:sz w:val="21"/>
          <w:szCs w:val="21"/>
          <w:spacing w:val="9"/>
        </w:rPr>
        <w:t xml:space="preserve"> </w:t>
      </w:r>
      <w:r>
        <w:rPr>
          <w:rFonts w:ascii="SimSun" w:hAnsi="SimSun" w:eastAsia="SimSun" w:cs="SimSun"/>
          <w:sz w:val="21"/>
          <w:szCs w:val="21"/>
          <w:spacing w:val="-5"/>
        </w:rPr>
        <w:t>适时性和唯一性等；</w:t>
      </w:r>
    </w:p>
    <w:p>
      <w:pPr>
        <w:ind w:left="689" w:right="242" w:hanging="270"/>
        <w:spacing w:before="69" w:line="242" w:lineRule="auto"/>
        <w:rPr>
          <w:rFonts w:ascii="SimSun" w:hAnsi="SimSun" w:eastAsia="SimSun" w:cs="SimSun"/>
          <w:sz w:val="21"/>
          <w:szCs w:val="21"/>
        </w:rPr>
      </w:pPr>
      <w:r>
        <w:rPr>
          <w:rFonts w:ascii="SimSun" w:hAnsi="SimSun" w:eastAsia="SimSun" w:cs="SimSun"/>
          <w:sz w:val="21"/>
          <w:szCs w:val="21"/>
          <w:spacing w:val="8"/>
        </w:rPr>
        <w:t>●数据概要分析过程域包含了数据质量评估中决定数据质量实践的相关的额</w:t>
      </w:r>
      <w:r>
        <w:rPr>
          <w:rFonts w:ascii="SimSun" w:hAnsi="SimSun" w:eastAsia="SimSun" w:cs="SimSun"/>
          <w:sz w:val="21"/>
          <w:szCs w:val="21"/>
          <w:spacing w:val="13"/>
        </w:rPr>
        <w:t xml:space="preserve"> </w:t>
      </w:r>
      <w:r>
        <w:rPr>
          <w:rFonts w:ascii="SimSun" w:hAnsi="SimSun" w:eastAsia="SimSun" w:cs="SimSun"/>
          <w:sz w:val="21"/>
          <w:szCs w:val="21"/>
          <w:spacing w:val="-12"/>
        </w:rPr>
        <w:t>外信息；</w:t>
      </w:r>
    </w:p>
    <w:p>
      <w:pPr>
        <w:ind w:left="419"/>
        <w:spacing w:before="60" w:line="219" w:lineRule="auto"/>
        <w:rPr>
          <w:rFonts w:ascii="SimSun" w:hAnsi="SimSun" w:eastAsia="SimSun" w:cs="SimSun"/>
          <w:sz w:val="21"/>
          <w:szCs w:val="21"/>
        </w:rPr>
      </w:pPr>
      <w:r>
        <w:rPr>
          <w:rFonts w:ascii="SimSun" w:hAnsi="SimSun" w:eastAsia="SimSun" w:cs="SimSun"/>
          <w:sz w:val="21"/>
          <w:szCs w:val="21"/>
          <w:spacing w:val="2"/>
        </w:rPr>
        <w:t>●元数据管理过程域包含了与元数据管理信息和期</w:t>
      </w:r>
      <w:r>
        <w:rPr>
          <w:rFonts w:ascii="SimSun" w:hAnsi="SimSun" w:eastAsia="SimSun" w:cs="SimSun"/>
          <w:sz w:val="21"/>
          <w:szCs w:val="21"/>
          <w:spacing w:val="1"/>
        </w:rPr>
        <w:t>望相关的额外信息。</w:t>
      </w:r>
    </w:p>
    <w:p>
      <w:pPr>
        <w:pStyle w:val="BodyText"/>
        <w:ind w:left="419"/>
        <w:spacing w:before="209" w:line="223" w:lineRule="auto"/>
        <w:outlineLvl w:val="4"/>
        <w:rPr>
          <w:rFonts w:ascii="SimHei" w:hAnsi="SimHei" w:eastAsia="SimHei" w:cs="SimHei"/>
        </w:rPr>
      </w:pPr>
      <w:r>
        <w:rPr>
          <w:b/>
          <w:bCs/>
          <w:spacing w:val="-2"/>
        </w:rPr>
        <w:t>2.GOM</w:t>
      </w:r>
      <w:r>
        <w:rPr>
          <w:b/>
          <w:bCs/>
          <w:spacing w:val="5"/>
        </w:rPr>
        <w:t xml:space="preserve">    </w:t>
      </w:r>
      <w:r>
        <w:rPr>
          <w:rFonts w:ascii="SimHei" w:hAnsi="SimHei" w:eastAsia="SimHei" w:cs="SimHei"/>
          <w:b/>
          <w:bCs/>
          <w:spacing w:val="-2"/>
        </w:rPr>
        <w:t>表</w:t>
      </w:r>
    </w:p>
    <w:p>
      <w:pPr>
        <w:spacing w:line="175" w:lineRule="exact"/>
        <w:rPr/>
      </w:pPr>
      <w:r/>
    </w:p>
    <w:tbl>
      <w:tblPr>
        <w:tblStyle w:val="TableNormal"/>
        <w:tblW w:w="759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1938"/>
        <w:gridCol w:w="2177"/>
        <w:gridCol w:w="2182"/>
      </w:tblGrid>
      <w:tr>
        <w:trPr>
          <w:trHeight w:val="325" w:hRule="atLeast"/>
        </w:trPr>
        <w:tc>
          <w:tcPr>
            <w:tcW w:w="1293" w:type="dxa"/>
            <w:vAlign w:val="top"/>
          </w:tcPr>
          <w:p>
            <w:pPr>
              <w:pStyle w:val="TableText"/>
              <w:ind w:left="374"/>
              <w:spacing w:before="91" w:line="220" w:lineRule="auto"/>
              <w:rPr/>
            </w:pPr>
            <w:r>
              <w:rPr>
                <w:spacing w:val="-12"/>
              </w:rPr>
              <w:t>目    标</w:t>
            </w:r>
          </w:p>
        </w:tc>
        <w:tc>
          <w:tcPr>
            <w:tcW w:w="1938" w:type="dxa"/>
            <w:vAlign w:val="top"/>
          </w:tcPr>
          <w:p>
            <w:pPr>
              <w:pStyle w:val="TableText"/>
              <w:ind w:left="672"/>
              <w:spacing w:before="93" w:line="221" w:lineRule="auto"/>
              <w:rPr/>
            </w:pPr>
            <w:r>
              <w:rPr>
                <w:spacing w:val="-12"/>
              </w:rPr>
              <w:t>问</w:t>
            </w:r>
            <w:r>
              <w:rPr>
                <w:spacing w:val="10"/>
              </w:rPr>
              <w:t xml:space="preserve">   </w:t>
            </w:r>
            <w:r>
              <w:rPr>
                <w:spacing w:val="-12"/>
              </w:rPr>
              <w:t>题</w:t>
            </w:r>
          </w:p>
        </w:tc>
        <w:tc>
          <w:tcPr>
            <w:tcW w:w="2177" w:type="dxa"/>
            <w:vAlign w:val="top"/>
          </w:tcPr>
          <w:p>
            <w:pPr>
              <w:pStyle w:val="TableText"/>
              <w:ind w:left="713"/>
              <w:spacing w:before="9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82" w:type="dxa"/>
            <w:vAlign w:val="top"/>
          </w:tcPr>
          <w:p>
            <w:pPr>
              <w:pStyle w:val="TableText"/>
              <w:ind w:left="726"/>
              <w:spacing w:before="91" w:line="219" w:lineRule="auto"/>
              <w:rPr/>
            </w:pPr>
            <w:r>
              <w:rPr>
                <w:spacing w:val="3"/>
              </w:rPr>
              <w:t>度量项说明</w:t>
            </w:r>
          </w:p>
        </w:tc>
      </w:tr>
      <w:tr>
        <w:trPr>
          <w:trHeight w:val="1108" w:hRule="atLeast"/>
        </w:trPr>
        <w:tc>
          <w:tcPr>
            <w:tcW w:w="1293" w:type="dxa"/>
            <w:vAlign w:val="top"/>
            <w:vMerge w:val="restart"/>
            <w:tcBorders>
              <w:bottom w:val="nil"/>
            </w:tcBorders>
          </w:tcPr>
          <w:p>
            <w:pPr>
              <w:spacing w:line="296" w:lineRule="auto"/>
              <w:rPr>
                <w:rFonts w:ascii="Arial"/>
                <w:sz w:val="21"/>
              </w:rPr>
            </w:pPr>
            <w:r/>
          </w:p>
          <w:p>
            <w:pPr>
              <w:spacing w:line="296" w:lineRule="auto"/>
              <w:rPr>
                <w:rFonts w:ascii="Arial"/>
                <w:sz w:val="21"/>
              </w:rPr>
            </w:pPr>
            <w:r/>
          </w:p>
          <w:p>
            <w:pPr>
              <w:pStyle w:val="TableText"/>
              <w:ind w:left="85" w:right="106" w:firstLine="139"/>
              <w:spacing w:before="49" w:line="320" w:lineRule="auto"/>
              <w:rPr/>
            </w:pPr>
            <w:r>
              <w:rPr>
                <w:spacing w:val="-1"/>
              </w:rPr>
              <w:t>G1:建立并维</w:t>
            </w:r>
            <w:r>
              <w:rPr/>
              <w:t xml:space="preserve">   </w:t>
            </w:r>
            <w:r>
              <w:rPr>
                <w:spacing w:val="3"/>
              </w:rPr>
              <w:t>护以业务事件为</w:t>
            </w:r>
            <w:r>
              <w:rPr>
                <w:spacing w:val="1"/>
              </w:rPr>
              <w:t xml:space="preserve"> </w:t>
            </w:r>
            <w:r>
              <w:rPr>
                <w:spacing w:val="3"/>
              </w:rPr>
              <w:t>驱动的数据质量</w:t>
            </w:r>
            <w:r>
              <w:rPr/>
              <w:t xml:space="preserve"> </w:t>
            </w:r>
            <w:r>
              <w:rPr>
                <w:spacing w:val="3"/>
              </w:rPr>
              <w:t>评估功能，用以</w:t>
            </w:r>
            <w:r>
              <w:rPr>
                <w:spacing w:val="2"/>
              </w:rPr>
              <w:t xml:space="preserve"> </w:t>
            </w:r>
            <w:r>
              <w:rPr>
                <w:spacing w:val="5"/>
              </w:rPr>
              <w:t>改进数据资产的 </w:t>
            </w:r>
            <w:r>
              <w:rPr>
                <w:spacing w:val="-2"/>
              </w:rPr>
              <w:t>质量</w:t>
            </w:r>
          </w:p>
        </w:tc>
        <w:tc>
          <w:tcPr>
            <w:tcW w:w="1938" w:type="dxa"/>
            <w:vAlign w:val="top"/>
            <w:vMerge w:val="restart"/>
            <w:tcBorders>
              <w:bottom w:val="nil"/>
            </w:tcBorders>
          </w:tcPr>
          <w:p>
            <w:pPr>
              <w:spacing w:line="292" w:lineRule="auto"/>
              <w:rPr>
                <w:rFonts w:ascii="Arial"/>
                <w:sz w:val="21"/>
              </w:rPr>
            </w:pPr>
            <w:r/>
          </w:p>
          <w:p>
            <w:pPr>
              <w:spacing w:line="292" w:lineRule="auto"/>
              <w:rPr>
                <w:rFonts w:ascii="Arial"/>
                <w:sz w:val="21"/>
              </w:rPr>
            </w:pPr>
            <w:r/>
          </w:p>
          <w:p>
            <w:pPr>
              <w:pStyle w:val="TableText"/>
              <w:ind w:left="112" w:right="235" w:firstLine="159"/>
              <w:spacing w:before="49" w:line="274" w:lineRule="auto"/>
              <w:rPr/>
            </w:pPr>
            <w:r>
              <w:rPr>
                <w:spacing w:val="-1"/>
              </w:rPr>
              <w:t>Q1:如何进行数据质量</w:t>
            </w:r>
            <w:r>
              <w:rPr>
                <w:spacing w:val="5"/>
              </w:rPr>
              <w:t xml:space="preserve"> </w:t>
            </w:r>
            <w:r>
              <w:rPr>
                <w:spacing w:val="-1"/>
              </w:rPr>
              <w:t>评估活动的</w:t>
            </w:r>
          </w:p>
        </w:tc>
        <w:tc>
          <w:tcPr>
            <w:tcW w:w="2177" w:type="dxa"/>
            <w:vAlign w:val="top"/>
          </w:tcPr>
          <w:p>
            <w:pPr>
              <w:spacing w:line="313" w:lineRule="auto"/>
              <w:rPr>
                <w:rFonts w:ascii="Arial"/>
                <w:sz w:val="21"/>
              </w:rPr>
            </w:pPr>
            <w:r/>
          </w:p>
          <w:p>
            <w:pPr>
              <w:pStyle w:val="TableText"/>
              <w:ind w:left="103" w:right="189" w:firstLine="149"/>
              <w:spacing w:before="49" w:line="272" w:lineRule="auto"/>
              <w:rPr/>
            </w:pPr>
            <w:r>
              <w:rPr>
                <w:spacing w:val="-1"/>
              </w:rPr>
              <w:t>M1:数据质量评估的开展形</w:t>
            </w:r>
            <w:r>
              <w:rPr>
                <w:spacing w:val="10"/>
              </w:rPr>
              <w:t xml:space="preserve"> </w:t>
            </w:r>
            <w:r>
              <w:rPr/>
              <w:t>式</w:t>
            </w:r>
          </w:p>
        </w:tc>
        <w:tc>
          <w:tcPr>
            <w:tcW w:w="2182" w:type="dxa"/>
            <w:vAlign w:val="top"/>
          </w:tcPr>
          <w:p>
            <w:pPr>
              <w:pStyle w:val="TableText"/>
              <w:ind w:left="127" w:right="102" w:firstLine="149"/>
              <w:spacing w:before="74" w:line="282" w:lineRule="auto"/>
              <w:rPr/>
            </w:pPr>
            <w:r>
              <w:rPr>
                <w:spacing w:val="-1"/>
              </w:rPr>
              <w:t>数据质量评估，可以通过会</w:t>
            </w:r>
            <w:r>
              <w:rPr>
                <w:spacing w:val="3"/>
              </w:rPr>
              <w:t xml:space="preserve"> </w:t>
            </w:r>
            <w:r>
              <w:rPr>
                <w:spacing w:val="-1"/>
              </w:rPr>
              <w:t>议、研讨以及日常例会的形</w:t>
            </w:r>
          </w:p>
          <w:p>
            <w:pPr>
              <w:pStyle w:val="TableText"/>
              <w:ind w:left="107" w:right="103" w:firstLine="19"/>
              <w:spacing w:before="83" w:line="274" w:lineRule="auto"/>
              <w:rPr/>
            </w:pPr>
            <w:r>
              <w:rPr>
                <w:spacing w:val="-1"/>
              </w:rPr>
              <w:t>式，对数据质量和产生事件进</w:t>
            </w:r>
            <w:r>
              <w:rPr>
                <w:spacing w:val="3"/>
              </w:rPr>
              <w:t xml:space="preserve"> </w:t>
            </w:r>
            <w:r>
              <w:rPr>
                <w:spacing w:val="-2"/>
              </w:rPr>
              <w:t>行评估</w:t>
            </w:r>
          </w:p>
        </w:tc>
      </w:tr>
      <w:tr>
        <w:trPr>
          <w:trHeight w:val="55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53"/>
              <w:spacing w:before="208" w:line="219" w:lineRule="auto"/>
              <w:rPr/>
            </w:pPr>
            <w:r>
              <w:rPr>
                <w:spacing w:val="-1"/>
              </w:rPr>
              <w:t>M2:数据资产质量改进目标</w:t>
            </w:r>
          </w:p>
        </w:tc>
        <w:tc>
          <w:tcPr>
            <w:tcW w:w="2182" w:type="dxa"/>
            <w:vAlign w:val="top"/>
          </w:tcPr>
          <w:p>
            <w:pPr>
              <w:pStyle w:val="TableText"/>
              <w:ind w:left="117" w:right="240" w:firstLine="170"/>
              <w:spacing w:before="66" w:line="289" w:lineRule="auto"/>
              <w:rPr/>
            </w:pPr>
            <w:r>
              <w:rPr>
                <w:spacing w:val="-1"/>
              </w:rPr>
              <w:t>评估应面向数据质量改进</w:t>
            </w:r>
            <w:r>
              <w:rPr>
                <w:spacing w:val="4"/>
              </w:rPr>
              <w:t xml:space="preserve"> </w:t>
            </w:r>
            <w:r>
              <w:rPr/>
              <w:t>的目标，不断改进数据质量</w:t>
            </w:r>
          </w:p>
        </w:tc>
      </w:tr>
      <w:tr>
        <w:trPr>
          <w:trHeight w:val="559" w:hRule="atLeast"/>
        </w:trPr>
        <w:tc>
          <w:tcPr>
            <w:tcW w:w="129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06" w:lineRule="auto"/>
              <w:rPr>
                <w:rFonts w:ascii="Arial"/>
                <w:sz w:val="21"/>
              </w:rPr>
            </w:pPr>
            <w:r/>
          </w:p>
          <w:p>
            <w:pPr>
              <w:pStyle w:val="TableText"/>
              <w:ind w:left="92" w:right="191" w:firstLine="179"/>
              <w:spacing w:before="49" w:line="289" w:lineRule="auto"/>
              <w:rPr/>
            </w:pPr>
            <w:r>
              <w:rPr>
                <w:spacing w:val="-2"/>
              </w:rPr>
              <w:t>Q2:评估活动是预先安 </w:t>
            </w:r>
            <w:r>
              <w:rPr>
                <w:spacing w:val="-1"/>
              </w:rPr>
              <w:t>排好的还是由事件驱动的</w:t>
            </w:r>
          </w:p>
        </w:tc>
        <w:tc>
          <w:tcPr>
            <w:tcW w:w="2177" w:type="dxa"/>
            <w:vAlign w:val="top"/>
          </w:tcPr>
          <w:p>
            <w:pPr>
              <w:pStyle w:val="TableText"/>
              <w:ind w:left="253"/>
              <w:spacing w:before="207" w:line="218" w:lineRule="auto"/>
              <w:rPr/>
            </w:pPr>
            <w:r>
              <w:rPr>
                <w:spacing w:val="-1"/>
              </w:rPr>
              <w:t>M3:数据质量评估的能力</w:t>
            </w:r>
          </w:p>
        </w:tc>
        <w:tc>
          <w:tcPr>
            <w:tcW w:w="2182" w:type="dxa"/>
            <w:vAlign w:val="top"/>
          </w:tcPr>
          <w:p>
            <w:pPr>
              <w:pStyle w:val="TableText"/>
              <w:ind w:left="117" w:right="252" w:firstLine="160"/>
              <w:spacing w:before="77" w:line="283" w:lineRule="auto"/>
              <w:rPr/>
            </w:pPr>
            <w:r>
              <w:rPr>
                <w:spacing w:val="-1"/>
              </w:rPr>
              <w:t>数据质量评估应由具备相</w:t>
            </w:r>
            <w:r>
              <w:rPr>
                <w:spacing w:val="2"/>
              </w:rPr>
              <w:t xml:space="preserve"> </w:t>
            </w:r>
            <w:r>
              <w:rPr>
                <w:spacing w:val="-1"/>
              </w:rPr>
              <w:t>应能力的人员和过程来执行</w:t>
            </w:r>
          </w:p>
        </w:tc>
      </w:tr>
      <w:tr>
        <w:trPr>
          <w:trHeight w:val="579" w:hRule="atLeast"/>
        </w:trPr>
        <w:tc>
          <w:tcPr>
            <w:tcW w:w="129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44"/>
              <w:spacing w:before="218" w:line="218" w:lineRule="auto"/>
              <w:rPr/>
            </w:pPr>
            <w:r>
              <w:rPr>
                <w:spacing w:val="-1"/>
              </w:rPr>
              <w:t>M4:由事件驱动的评估</w:t>
            </w:r>
          </w:p>
        </w:tc>
        <w:tc>
          <w:tcPr>
            <w:tcW w:w="2182" w:type="dxa"/>
            <w:vAlign w:val="top"/>
          </w:tcPr>
          <w:p>
            <w:pPr>
              <w:pStyle w:val="TableText"/>
              <w:ind w:left="97" w:right="252" w:firstLine="179"/>
              <w:spacing w:before="99" w:line="281" w:lineRule="auto"/>
              <w:rPr/>
            </w:pPr>
            <w:r>
              <w:rPr>
                <w:spacing w:val="-1"/>
              </w:rPr>
              <w:t>建立由事件驱动的质量评</w:t>
            </w:r>
            <w:r>
              <w:rPr>
                <w:spacing w:val="2"/>
              </w:rPr>
              <w:t xml:space="preserve"> </w:t>
            </w:r>
            <w:r>
              <w:rPr>
                <w:spacing w:val="-2"/>
              </w:rPr>
              <w:t>估能力</w:t>
            </w:r>
          </w:p>
        </w:tc>
      </w:tr>
      <w:tr>
        <w:trPr>
          <w:trHeight w:val="839" w:hRule="atLeast"/>
        </w:trPr>
        <w:tc>
          <w:tcPr>
            <w:tcW w:w="1293" w:type="dxa"/>
            <w:vAlign w:val="top"/>
            <w:vMerge w:val="restart"/>
            <w:tcBorders>
              <w:bottom w:val="nil"/>
            </w:tcBorders>
          </w:tcPr>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224"/>
              <w:spacing w:before="49" w:line="219" w:lineRule="auto"/>
              <w:rPr/>
            </w:pPr>
            <w:r>
              <w:rPr>
                <w:spacing w:val="-1"/>
              </w:rPr>
              <w:t>G2:根据行业</w:t>
            </w:r>
          </w:p>
          <w:p>
            <w:pPr>
              <w:pStyle w:val="TableText"/>
              <w:ind w:left="95" w:right="79" w:firstLine="19"/>
              <w:spacing w:before="113" w:line="347" w:lineRule="auto"/>
              <w:rPr/>
            </w:pPr>
            <w:r>
              <w:rPr>
                <w:spacing w:val="-3"/>
              </w:rPr>
              <w:t>公认的技术和过 </w:t>
            </w:r>
            <w:r>
              <w:rPr>
                <w:spacing w:val="2"/>
              </w:rPr>
              <w:t>程，将数据质量</w:t>
            </w:r>
            <w:r>
              <w:rPr/>
              <w:t xml:space="preserve"> </w:t>
            </w:r>
            <w:r>
              <w:rPr>
                <w:spacing w:val="-15"/>
              </w:rPr>
              <w:t>评</w:t>
            </w:r>
            <w:r>
              <w:rPr>
                <w:spacing w:val="-27"/>
              </w:rPr>
              <w:t xml:space="preserve"> </w:t>
            </w:r>
            <w:r>
              <w:rPr>
                <w:spacing w:val="-15"/>
              </w:rPr>
              <w:t>估</w:t>
            </w:r>
            <w:r>
              <w:rPr>
                <w:spacing w:val="-14"/>
              </w:rPr>
              <w:t xml:space="preserve"> </w:t>
            </w:r>
            <w:r>
              <w:rPr>
                <w:spacing w:val="-15"/>
              </w:rPr>
              <w:t>的</w:t>
            </w:r>
            <w:r>
              <w:rPr>
                <w:spacing w:val="-19"/>
              </w:rPr>
              <w:t xml:space="preserve"> </w:t>
            </w:r>
            <w:r>
              <w:rPr>
                <w:spacing w:val="-15"/>
              </w:rPr>
              <w:t>战</w:t>
            </w:r>
            <w:r>
              <w:rPr>
                <w:spacing w:val="-20"/>
              </w:rPr>
              <w:t xml:space="preserve"> </w:t>
            </w:r>
            <w:r>
              <w:rPr>
                <w:spacing w:val="-15"/>
              </w:rPr>
              <w:t>略</w:t>
            </w:r>
            <w:r>
              <w:rPr>
                <w:spacing w:val="2"/>
              </w:rPr>
              <w:t xml:space="preserve"> </w:t>
            </w:r>
            <w:r>
              <w:rPr>
                <w:spacing w:val="-15"/>
              </w:rPr>
              <w:t>目</w:t>
            </w:r>
            <w:r>
              <w:rPr/>
              <w:t xml:space="preserve"> </w:t>
            </w:r>
            <w:r>
              <w:rPr>
                <w:spacing w:val="1"/>
              </w:rPr>
              <w:t>标、战术目标以</w:t>
            </w:r>
            <w:r>
              <w:rPr>
                <w:spacing w:val="5"/>
              </w:rPr>
              <w:t xml:space="preserve"> </w:t>
            </w:r>
            <w:r>
              <w:rPr>
                <w:spacing w:val="2"/>
              </w:rPr>
              <w:t>及阀值进行标准</w:t>
            </w:r>
          </w:p>
          <w:p>
            <w:pPr>
              <w:pStyle w:val="TableText"/>
              <w:ind w:left="115"/>
              <w:spacing w:line="220" w:lineRule="auto"/>
              <w:rPr/>
            </w:pPr>
            <w:r>
              <w:rPr/>
              <w:t>化</w:t>
            </w:r>
          </w:p>
        </w:tc>
        <w:tc>
          <w:tcPr>
            <w:tcW w:w="1938" w:type="dxa"/>
            <w:vAlign w:val="top"/>
            <w:vMerge w:val="restart"/>
            <w:tcBorders>
              <w:bottom w:val="nil"/>
            </w:tcBorders>
          </w:tcPr>
          <w:p>
            <w:pPr>
              <w:spacing w:line="449" w:lineRule="auto"/>
              <w:rPr>
                <w:rFonts w:ascii="Arial"/>
                <w:sz w:val="21"/>
              </w:rPr>
            </w:pPr>
            <w:r/>
          </w:p>
          <w:p>
            <w:pPr>
              <w:pStyle w:val="TableText"/>
              <w:ind w:left="112" w:right="245" w:firstLine="149"/>
              <w:spacing w:before="49" w:line="268" w:lineRule="auto"/>
              <w:rPr/>
            </w:pPr>
            <w:r>
              <w:rPr>
                <w:spacing w:val="-1"/>
              </w:rPr>
              <w:t>Q3:有哪些标准的数据</w:t>
            </w:r>
            <w:r>
              <w:rPr>
                <w:spacing w:val="5"/>
              </w:rPr>
              <w:t xml:space="preserve"> </w:t>
            </w:r>
            <w:r>
              <w:rPr>
                <w:spacing w:val="-1"/>
              </w:rPr>
              <w:t>质量评估技术和方法</w:t>
            </w:r>
          </w:p>
        </w:tc>
        <w:tc>
          <w:tcPr>
            <w:tcW w:w="2177" w:type="dxa"/>
            <w:vAlign w:val="top"/>
          </w:tcPr>
          <w:p>
            <w:pPr>
              <w:pStyle w:val="TableText"/>
              <w:ind w:left="94" w:right="199" w:firstLine="149"/>
              <w:spacing w:before="229" w:line="272" w:lineRule="auto"/>
              <w:rPr/>
            </w:pPr>
            <w:r>
              <w:rPr>
                <w:spacing w:val="-1"/>
              </w:rPr>
              <w:t>M5:数据质量评估的技术和</w:t>
            </w:r>
            <w:r>
              <w:rPr>
                <w:spacing w:val="10"/>
              </w:rPr>
              <w:t xml:space="preserve"> </w:t>
            </w:r>
            <w:r>
              <w:rPr>
                <w:spacing w:val="-2"/>
              </w:rPr>
              <w:t>方法</w:t>
            </w:r>
          </w:p>
        </w:tc>
        <w:tc>
          <w:tcPr>
            <w:tcW w:w="2182" w:type="dxa"/>
            <w:vAlign w:val="top"/>
          </w:tcPr>
          <w:p>
            <w:pPr>
              <w:pStyle w:val="TableText"/>
              <w:ind w:left="277"/>
              <w:spacing w:before="89" w:line="218" w:lineRule="auto"/>
              <w:rPr/>
            </w:pPr>
            <w:r>
              <w:rPr>
                <w:spacing w:val="-1"/>
              </w:rPr>
              <w:t>应识别数据质量评估的技</w:t>
            </w:r>
          </w:p>
          <w:p>
            <w:pPr>
              <w:pStyle w:val="TableText"/>
              <w:ind w:left="117"/>
              <w:spacing w:before="94" w:line="219" w:lineRule="auto"/>
              <w:rPr/>
            </w:pPr>
            <w:r>
              <w:rPr>
                <w:spacing w:val="-1"/>
              </w:rPr>
              <w:t>术和方法，并配备相关的工</w:t>
            </w:r>
          </w:p>
          <w:p>
            <w:pPr>
              <w:pStyle w:val="TableText"/>
              <w:ind w:left="117"/>
              <w:spacing w:before="90" w:line="218" w:lineRule="auto"/>
              <w:rPr/>
            </w:pPr>
            <w:r>
              <w:rPr>
                <w:spacing w:val="-1"/>
              </w:rPr>
              <w:t>具，以支撑数据质量评估过程</w:t>
            </w:r>
          </w:p>
        </w:tc>
      </w:tr>
      <w:tr>
        <w:trPr>
          <w:trHeight w:val="54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34"/>
              <w:spacing w:before="200" w:line="218" w:lineRule="auto"/>
              <w:rPr/>
            </w:pPr>
            <w:r>
              <w:rPr>
                <w:spacing w:val="-1"/>
              </w:rPr>
              <w:t>M6:数据质量评估的过程</w:t>
            </w:r>
          </w:p>
        </w:tc>
        <w:tc>
          <w:tcPr>
            <w:tcW w:w="2182" w:type="dxa"/>
            <w:vAlign w:val="top"/>
          </w:tcPr>
          <w:p>
            <w:pPr>
              <w:pStyle w:val="TableText"/>
              <w:ind w:left="117" w:right="264" w:firstLine="149"/>
              <w:spacing w:before="71" w:line="275" w:lineRule="auto"/>
              <w:rPr/>
            </w:pPr>
            <w:r>
              <w:rPr>
                <w:spacing w:val="-1"/>
              </w:rPr>
              <w:t>定义数据质量评估的过程</w:t>
            </w:r>
            <w:r>
              <w:rPr/>
              <w:t xml:space="preserve"> </w:t>
            </w:r>
            <w:r>
              <w:rPr/>
              <w:t>以推进数据质量评估工作</w:t>
            </w:r>
          </w:p>
        </w:tc>
      </w:tr>
      <w:tr>
        <w:trPr>
          <w:trHeight w:val="1128" w:hRule="atLeast"/>
        </w:trPr>
        <w:tc>
          <w:tcPr>
            <w:tcW w:w="129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121" w:right="81" w:firstLine="120"/>
              <w:spacing w:before="48" w:line="311" w:lineRule="auto"/>
              <w:rPr/>
            </w:pPr>
            <w:r>
              <w:rPr>
                <w:spacing w:val="-1"/>
              </w:rPr>
              <w:t>Q4:领域里有哪些标准</w:t>
            </w:r>
            <w:r>
              <w:rPr>
                <w:spacing w:val="1"/>
              </w:rPr>
              <w:t xml:space="preserve">   </w:t>
            </w:r>
            <w:r>
              <w:rPr>
                <w:spacing w:val="6"/>
              </w:rPr>
              <w:t>的数据质量评估的维度、</w:t>
            </w:r>
            <w:r>
              <w:rPr>
                <w:spacing w:val="7"/>
              </w:rPr>
              <w:t xml:space="preserve"> </w:t>
            </w:r>
            <w:r>
              <w:rPr>
                <w:spacing w:val="1"/>
              </w:rPr>
              <w:t>目标和阈值</w:t>
            </w:r>
          </w:p>
        </w:tc>
        <w:tc>
          <w:tcPr>
            <w:tcW w:w="2177" w:type="dxa"/>
            <w:vAlign w:val="top"/>
          </w:tcPr>
          <w:p>
            <w:pPr>
              <w:spacing w:line="440" w:lineRule="auto"/>
              <w:rPr>
                <w:rFonts w:ascii="Arial"/>
                <w:sz w:val="21"/>
              </w:rPr>
            </w:pPr>
            <w:r/>
          </w:p>
          <w:p>
            <w:pPr>
              <w:pStyle w:val="TableText"/>
              <w:ind w:left="244"/>
              <w:spacing w:before="49" w:line="218" w:lineRule="auto"/>
              <w:rPr/>
            </w:pPr>
            <w:r>
              <w:rPr>
                <w:spacing w:val="-1"/>
              </w:rPr>
              <w:t>M7:评估的质量目标和阈值</w:t>
            </w:r>
          </w:p>
        </w:tc>
        <w:tc>
          <w:tcPr>
            <w:tcW w:w="2182" w:type="dxa"/>
            <w:vAlign w:val="top"/>
          </w:tcPr>
          <w:p>
            <w:pPr>
              <w:pStyle w:val="TableText"/>
              <w:ind w:left="277"/>
              <w:spacing w:before="81" w:line="218" w:lineRule="auto"/>
              <w:rPr/>
            </w:pPr>
            <w:r>
              <w:rPr>
                <w:spacing w:val="-1"/>
              </w:rPr>
              <w:t>应定义数据质量评估的维</w:t>
            </w:r>
          </w:p>
          <w:p>
            <w:pPr>
              <w:pStyle w:val="TableText"/>
              <w:ind w:left="116" w:hanging="9"/>
              <w:spacing w:before="92" w:line="289" w:lineRule="auto"/>
              <w:rPr/>
            </w:pPr>
            <w:r>
              <w:rPr>
                <w:spacing w:val="-3"/>
              </w:rPr>
              <w:t>度、目标和阈值，对每次评估，</w:t>
            </w:r>
            <w:r>
              <w:rPr>
                <w:spacing w:val="5"/>
              </w:rPr>
              <w:t xml:space="preserve"> </w:t>
            </w:r>
            <w:r>
              <w:rPr>
                <w:spacing w:val="-3"/>
              </w:rPr>
              <w:t>应详细记录数据质量的数值</w:t>
            </w:r>
          </w:p>
          <w:p>
            <w:pPr>
              <w:pStyle w:val="TableText"/>
              <w:ind w:left="97"/>
              <w:spacing w:before="101" w:line="219" w:lineRule="auto"/>
              <w:rPr/>
            </w:pPr>
            <w:r>
              <w:rPr>
                <w:spacing w:val="-2"/>
              </w:rPr>
              <w:t>分布</w:t>
            </w:r>
          </w:p>
        </w:tc>
      </w:tr>
      <w:tr>
        <w:trPr>
          <w:trHeight w:val="839" w:hRule="atLeast"/>
        </w:trPr>
        <w:tc>
          <w:tcPr>
            <w:tcW w:w="1293" w:type="dxa"/>
            <w:vAlign w:val="top"/>
            <w:vMerge w:val="continue"/>
            <w:tcBorders>
              <w:top w:val="nil"/>
              <w:bottom w:val="nil"/>
            </w:tcBorders>
          </w:tcPr>
          <w:p>
            <w:pPr>
              <w:rPr>
                <w:rFonts w:ascii="Arial"/>
                <w:sz w:val="21"/>
              </w:rPr>
            </w:pPr>
            <w:r/>
          </w:p>
        </w:tc>
        <w:tc>
          <w:tcPr>
            <w:tcW w:w="1938" w:type="dxa"/>
            <w:vAlign w:val="top"/>
            <w:vMerge w:val="continue"/>
            <w:tcBorders>
              <w:top w:val="nil"/>
              <w:bottom w:val="nil"/>
            </w:tcBorders>
          </w:tcPr>
          <w:p>
            <w:pPr>
              <w:rPr>
                <w:rFonts w:ascii="Arial"/>
                <w:sz w:val="21"/>
              </w:rPr>
            </w:pPr>
            <w:r/>
          </w:p>
        </w:tc>
        <w:tc>
          <w:tcPr>
            <w:tcW w:w="2177" w:type="dxa"/>
            <w:vAlign w:val="top"/>
          </w:tcPr>
          <w:p>
            <w:pPr>
              <w:pStyle w:val="TableText"/>
              <w:ind w:left="94" w:right="128" w:firstLine="149"/>
              <w:spacing w:before="234" w:line="283" w:lineRule="auto"/>
              <w:rPr/>
            </w:pPr>
            <w:r>
              <w:rPr>
                <w:spacing w:val="5"/>
              </w:rPr>
              <w:t>M8:评估目标与过程数据、</w:t>
            </w:r>
            <w:r>
              <w:rPr>
                <w:spacing w:val="3"/>
              </w:rPr>
              <w:t xml:space="preserve"> </w:t>
            </w:r>
            <w:r>
              <w:rPr>
                <w:spacing w:val="-1"/>
              </w:rPr>
              <w:t>度量项的关系</w:t>
            </w:r>
          </w:p>
        </w:tc>
        <w:tc>
          <w:tcPr>
            <w:tcW w:w="2182" w:type="dxa"/>
            <w:vAlign w:val="top"/>
          </w:tcPr>
          <w:p>
            <w:pPr>
              <w:pStyle w:val="TableText"/>
              <w:ind w:left="277"/>
              <w:spacing w:before="93" w:line="218" w:lineRule="auto"/>
              <w:rPr/>
            </w:pPr>
            <w:r>
              <w:rPr>
                <w:spacing w:val="-1"/>
              </w:rPr>
              <w:t>应建立评估目标一度量项</w:t>
            </w:r>
          </w:p>
          <w:p>
            <w:pPr>
              <w:pStyle w:val="TableText"/>
              <w:ind w:left="127" w:right="112" w:hanging="10"/>
              <w:spacing w:before="103" w:line="275" w:lineRule="auto"/>
              <w:rPr/>
            </w:pPr>
            <w:r>
              <w:rPr>
                <w:spacing w:val="-1"/>
              </w:rPr>
              <w:t>之间的关系模型，才能有效评</w:t>
            </w:r>
            <w:r>
              <w:rPr>
                <w:spacing w:val="4"/>
              </w:rPr>
              <w:t xml:space="preserve"> </w:t>
            </w:r>
            <w:r>
              <w:rPr>
                <w:spacing w:val="-1"/>
              </w:rPr>
              <w:t>估数据质量</w:t>
            </w:r>
          </w:p>
        </w:tc>
      </w:tr>
      <w:tr>
        <w:trPr>
          <w:trHeight w:val="564" w:hRule="atLeast"/>
        </w:trPr>
        <w:tc>
          <w:tcPr>
            <w:tcW w:w="129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44"/>
              <w:spacing w:before="214" w:line="218" w:lineRule="auto"/>
              <w:rPr/>
            </w:pPr>
            <w:r>
              <w:rPr>
                <w:spacing w:val="-1"/>
              </w:rPr>
              <w:t>M9:评估目标的改进和提升</w:t>
            </w:r>
          </w:p>
        </w:tc>
        <w:tc>
          <w:tcPr>
            <w:tcW w:w="2182" w:type="dxa"/>
            <w:vAlign w:val="top"/>
          </w:tcPr>
          <w:p>
            <w:pPr>
              <w:pStyle w:val="TableText"/>
              <w:ind w:left="117" w:right="252" w:firstLine="160"/>
              <w:spacing w:before="74" w:line="289" w:lineRule="auto"/>
              <w:rPr/>
            </w:pPr>
            <w:r>
              <w:rPr>
                <w:spacing w:val="-1"/>
              </w:rPr>
              <w:t>数据质量评估的结论需要</w:t>
            </w:r>
            <w:r>
              <w:rPr>
                <w:spacing w:val="2"/>
              </w:rPr>
              <w:t xml:space="preserve"> </w:t>
            </w:r>
            <w:r>
              <w:rPr>
                <w:spacing w:val="-1"/>
              </w:rPr>
              <w:t>指导质量目标的改进和提升</w:t>
            </w:r>
          </w:p>
        </w:tc>
      </w:tr>
    </w:tbl>
    <w:p>
      <w:pPr>
        <w:pStyle w:val="BodyText"/>
        <w:rPr/>
      </w:pPr>
      <w:r/>
    </w:p>
    <w:p>
      <w:pPr>
        <w:sectPr>
          <w:footerReference w:type="default" r:id="rId274"/>
          <w:pgSz w:w="8870" w:h="13400"/>
          <w:pgMar w:top="400" w:right="658" w:bottom="478" w:left="339" w:header="0" w:footer="269" w:gutter="0"/>
        </w:sectPr>
        <w:rPr/>
      </w:pPr>
    </w:p>
    <w:p>
      <w:pPr>
        <w:ind w:left="96"/>
        <w:spacing w:before="229"/>
        <w:rPr>
          <w:rFonts w:ascii="SimSun" w:hAnsi="SimSun" w:eastAsia="SimSun" w:cs="SimSun"/>
          <w:sz w:val="22"/>
          <w:szCs w:val="22"/>
        </w:rPr>
      </w:pPr>
      <w:r>
        <w:rPr>
          <w:rFonts w:ascii="SimSun" w:hAnsi="SimSun" w:eastAsia="SimSun" w:cs="SimSun"/>
          <w:sz w:val="22"/>
          <w:szCs w:val="22"/>
          <w:position w:val="-8"/>
        </w:rPr>
        <w:drawing>
          <wp:inline distT="0" distB="0" distL="0" distR="0">
            <wp:extent cx="6308" cy="222255"/>
            <wp:effectExtent l="0" t="0" r="0" b="0"/>
            <wp:docPr id="192" name="IM 192"/>
            <wp:cNvGraphicFramePr/>
            <a:graphic>
              <a:graphicData uri="http://schemas.openxmlformats.org/drawingml/2006/picture">
                <pic:pic>
                  <pic:nvPicPr>
                    <pic:cNvPr id="192" name="IM 192"/>
                    <pic:cNvPicPr/>
                  </pic:nvPicPr>
                  <pic:blipFill>
                    <a:blip r:embed="rId276"/>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3"/>
        </w:rPr>
        <w:t xml:space="preserve"> </w:t>
      </w:r>
      <w:r>
        <w:rPr>
          <w:rFonts w:ascii="SimSun" w:hAnsi="SimSun" w:eastAsia="SimSun" w:cs="SimSun"/>
          <w:sz w:val="22"/>
          <w:szCs w:val="22"/>
          <w:b/>
          <w:bCs/>
          <w:spacing w:val="-14"/>
        </w:rPr>
        <w:t>■云端数据治理</w:t>
      </w:r>
    </w:p>
    <w:p>
      <w:pPr>
        <w:pStyle w:val="BodyText"/>
        <w:spacing w:line="278" w:lineRule="auto"/>
        <w:rPr/>
      </w:pPr>
      <w:r/>
    </w:p>
    <w:p>
      <w:pPr>
        <w:ind w:left="7109"/>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580" w:type="dxa"/>
        <w:tblInd w:w="30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03"/>
        <w:gridCol w:w="1938"/>
        <w:gridCol w:w="2177"/>
        <w:gridCol w:w="2162"/>
      </w:tblGrid>
      <w:tr>
        <w:trPr>
          <w:trHeight w:val="315" w:hRule="atLeast"/>
        </w:trPr>
        <w:tc>
          <w:tcPr>
            <w:tcW w:w="1303" w:type="dxa"/>
            <w:vAlign w:val="top"/>
          </w:tcPr>
          <w:p>
            <w:pPr>
              <w:pStyle w:val="TableText"/>
              <w:ind w:left="374"/>
              <w:spacing w:before="81" w:line="220" w:lineRule="auto"/>
              <w:rPr/>
            </w:pPr>
            <w:r>
              <w:rPr>
                <w:spacing w:val="-18"/>
              </w:rPr>
              <w:t>目</w:t>
            </w:r>
            <w:r>
              <w:rPr>
                <w:spacing w:val="17"/>
              </w:rPr>
              <w:t xml:space="preserve">   </w:t>
            </w:r>
            <w:r>
              <w:rPr>
                <w:spacing w:val="-18"/>
              </w:rPr>
              <w:t>标</w:t>
            </w:r>
          </w:p>
        </w:tc>
        <w:tc>
          <w:tcPr>
            <w:tcW w:w="1938" w:type="dxa"/>
            <w:vAlign w:val="top"/>
          </w:tcPr>
          <w:p>
            <w:pPr>
              <w:pStyle w:val="TableText"/>
              <w:ind w:left="662"/>
              <w:spacing w:before="83" w:line="221" w:lineRule="auto"/>
              <w:rPr/>
            </w:pPr>
            <w:r>
              <w:rPr>
                <w:spacing w:val="-12"/>
              </w:rPr>
              <w:t>问</w:t>
            </w:r>
            <w:r>
              <w:rPr>
                <w:spacing w:val="10"/>
              </w:rPr>
              <w:t xml:space="preserve">   </w:t>
            </w:r>
            <w:r>
              <w:rPr>
                <w:spacing w:val="-12"/>
              </w:rPr>
              <w:t>题</w:t>
            </w:r>
          </w:p>
        </w:tc>
        <w:tc>
          <w:tcPr>
            <w:tcW w:w="2177" w:type="dxa"/>
            <w:vAlign w:val="top"/>
          </w:tcPr>
          <w:p>
            <w:pPr>
              <w:pStyle w:val="TableText"/>
              <w:ind w:left="703"/>
              <w:spacing w:before="8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2162" w:type="dxa"/>
            <w:vAlign w:val="top"/>
          </w:tcPr>
          <w:p>
            <w:pPr>
              <w:pStyle w:val="TableText"/>
              <w:ind w:left="716"/>
              <w:spacing w:before="81" w:line="219" w:lineRule="auto"/>
              <w:rPr/>
            </w:pPr>
            <w:r>
              <w:rPr>
                <w:spacing w:val="3"/>
              </w:rPr>
              <w:t>度量项说明</w:t>
            </w:r>
          </w:p>
        </w:tc>
      </w:tr>
      <w:tr>
        <w:trPr>
          <w:trHeight w:val="1118" w:hRule="atLeast"/>
        </w:trPr>
        <w:tc>
          <w:tcPr>
            <w:tcW w:w="1303" w:type="dxa"/>
            <w:vAlign w:val="top"/>
            <w:vMerge w:val="restart"/>
            <w:tcBorders>
              <w:bottom w:val="nil"/>
            </w:tcBorders>
          </w:tcPr>
          <w:p>
            <w:pPr>
              <w:rPr>
                <w:rFonts w:ascii="Arial"/>
                <w:sz w:val="21"/>
              </w:rPr>
            </w:pPr>
            <w:r/>
          </w:p>
          <w:p>
            <w:pPr>
              <w:spacing w:line="241" w:lineRule="auto"/>
              <w:rPr>
                <w:rFonts w:ascii="Arial"/>
                <w:sz w:val="21"/>
              </w:rPr>
            </w:pPr>
            <w:r/>
          </w:p>
          <w:p>
            <w:pPr>
              <w:spacing w:line="241" w:lineRule="auto"/>
              <w:rPr>
                <w:rFonts w:ascii="Arial"/>
                <w:sz w:val="21"/>
              </w:rPr>
            </w:pPr>
            <w:r/>
          </w:p>
          <w:p>
            <w:pPr>
              <w:pStyle w:val="TableText"/>
              <w:ind w:left="115" w:right="133" w:firstLine="109"/>
              <w:spacing w:before="49" w:line="312" w:lineRule="auto"/>
              <w:rPr/>
            </w:pPr>
            <w:r>
              <w:rPr>
                <w:spacing w:val="3"/>
              </w:rPr>
              <w:t>G3:为数据质</w:t>
            </w:r>
            <w:r>
              <w:rPr/>
              <w:t xml:space="preserve">  </w:t>
            </w:r>
            <w:r>
              <w:rPr>
                <w:spacing w:val="-1"/>
              </w:rPr>
              <w:t>量的统计评估建</w:t>
            </w:r>
            <w:r>
              <w:rPr/>
              <w:t xml:space="preserve"> </w:t>
            </w:r>
            <w:r>
              <w:rPr>
                <w:spacing w:val="-1"/>
              </w:rPr>
              <w:t>立经验方法</w:t>
            </w:r>
          </w:p>
        </w:tc>
        <w:tc>
          <w:tcPr>
            <w:tcW w:w="1938" w:type="dxa"/>
            <w:vAlign w:val="top"/>
          </w:tcPr>
          <w:p>
            <w:pPr>
              <w:spacing w:line="295" w:lineRule="auto"/>
              <w:rPr>
                <w:rFonts w:ascii="Arial"/>
                <w:sz w:val="21"/>
              </w:rPr>
            </w:pPr>
            <w:r/>
          </w:p>
          <w:p>
            <w:pPr>
              <w:pStyle w:val="TableText"/>
              <w:ind w:left="101" w:right="181" w:firstLine="170"/>
              <w:spacing w:before="49" w:line="282" w:lineRule="auto"/>
              <w:rPr/>
            </w:pPr>
            <w:r>
              <w:rPr>
                <w:spacing w:val="-1"/>
              </w:rPr>
              <w:t>Q5:核心的数据特性有 </w:t>
            </w:r>
            <w:r>
              <w:rPr>
                <w:spacing w:val="-1"/>
              </w:rPr>
              <w:t>什么标准的数据质量规则</w:t>
            </w:r>
          </w:p>
        </w:tc>
        <w:tc>
          <w:tcPr>
            <w:tcW w:w="2177" w:type="dxa"/>
            <w:vAlign w:val="top"/>
          </w:tcPr>
          <w:p>
            <w:pPr>
              <w:spacing w:line="433" w:lineRule="auto"/>
              <w:rPr>
                <w:rFonts w:ascii="Arial"/>
                <w:sz w:val="21"/>
              </w:rPr>
            </w:pPr>
            <w:r/>
          </w:p>
          <w:p>
            <w:pPr>
              <w:pStyle w:val="TableText"/>
              <w:ind w:left="254"/>
              <w:spacing w:before="49" w:line="219" w:lineRule="auto"/>
              <w:rPr/>
            </w:pPr>
            <w:r>
              <w:rPr>
                <w:spacing w:val="-1"/>
              </w:rPr>
              <w:t>M10:数据分布的正态性等</w:t>
            </w:r>
          </w:p>
        </w:tc>
        <w:tc>
          <w:tcPr>
            <w:tcW w:w="2162" w:type="dxa"/>
            <w:vAlign w:val="top"/>
          </w:tcPr>
          <w:p>
            <w:pPr>
              <w:pStyle w:val="TableText"/>
              <w:ind w:left="107" w:right="73" w:firstLine="149"/>
              <w:spacing w:before="75" w:line="307" w:lineRule="auto"/>
              <w:rPr/>
            </w:pPr>
            <w:r>
              <w:rPr>
                <w:spacing w:val="-1"/>
              </w:rPr>
              <w:t>数据的特性和规则，应满足</w:t>
            </w:r>
            <w:r>
              <w:rPr>
                <w:spacing w:val="3"/>
              </w:rPr>
              <w:t xml:space="preserve"> </w:t>
            </w:r>
            <w:r>
              <w:rPr>
                <w:spacing w:val="1"/>
              </w:rPr>
              <w:t>正态性分布，其余业务相关的</w:t>
            </w:r>
            <w:r>
              <w:rPr>
                <w:spacing w:val="7"/>
              </w:rPr>
              <w:t xml:space="preserve"> </w:t>
            </w:r>
            <w:r>
              <w:rPr>
                <w:spacing w:val="-1"/>
              </w:rPr>
              <w:t>质量特性需要结合具体业务</w:t>
            </w:r>
          </w:p>
          <w:p>
            <w:pPr>
              <w:pStyle w:val="TableText"/>
              <w:ind w:left="117"/>
              <w:spacing w:before="92" w:line="220" w:lineRule="auto"/>
              <w:rPr/>
            </w:pPr>
            <w:r>
              <w:rPr>
                <w:spacing w:val="-1"/>
              </w:rPr>
              <w:t>进行分析</w:t>
            </w:r>
          </w:p>
        </w:tc>
      </w:tr>
      <w:tr>
        <w:trPr>
          <w:trHeight w:val="569" w:hRule="atLeast"/>
        </w:trPr>
        <w:tc>
          <w:tcPr>
            <w:tcW w:w="130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17" w:lineRule="auto"/>
              <w:rPr>
                <w:rFonts w:ascii="Arial"/>
                <w:sz w:val="21"/>
              </w:rPr>
            </w:pPr>
            <w:r/>
          </w:p>
          <w:p>
            <w:pPr>
              <w:pStyle w:val="TableText"/>
              <w:ind w:left="92" w:right="245" w:firstLine="169"/>
              <w:spacing w:before="49" w:line="287" w:lineRule="auto"/>
              <w:rPr/>
            </w:pPr>
            <w:r>
              <w:rPr>
                <w:spacing w:val="-1"/>
              </w:rPr>
              <w:t>Q6:领域内有哪些经验</w:t>
            </w:r>
            <w:r>
              <w:rPr>
                <w:spacing w:val="5"/>
              </w:rPr>
              <w:t xml:space="preserve"> </w:t>
            </w:r>
            <w:r>
              <w:rPr>
                <w:spacing w:val="-1"/>
              </w:rPr>
              <w:t>方法和最佳实践</w:t>
            </w:r>
          </w:p>
        </w:tc>
        <w:tc>
          <w:tcPr>
            <w:tcW w:w="2177" w:type="dxa"/>
            <w:vAlign w:val="top"/>
          </w:tcPr>
          <w:p>
            <w:pPr>
              <w:pStyle w:val="TableText"/>
              <w:ind w:left="93" w:right="264" w:firstLine="160"/>
              <w:spacing w:before="87" w:line="276" w:lineRule="auto"/>
              <w:rPr/>
            </w:pPr>
            <w:r>
              <w:rPr>
                <w:spacing w:val="-1"/>
              </w:rPr>
              <w:t>M11:行业最佳实践和经验</w:t>
            </w:r>
            <w:r>
              <w:rPr>
                <w:spacing w:val="10"/>
              </w:rPr>
              <w:t xml:space="preserve"> </w:t>
            </w:r>
            <w:r>
              <w:rPr>
                <w:spacing w:val="-2"/>
              </w:rPr>
              <w:t>参考</w:t>
            </w:r>
          </w:p>
        </w:tc>
        <w:tc>
          <w:tcPr>
            <w:tcW w:w="2162" w:type="dxa"/>
            <w:vAlign w:val="top"/>
          </w:tcPr>
          <w:p>
            <w:pPr>
              <w:pStyle w:val="TableText"/>
              <w:ind w:left="107" w:right="254" w:firstLine="149"/>
              <w:spacing w:before="97" w:line="281" w:lineRule="auto"/>
              <w:rPr/>
            </w:pPr>
            <w:r>
              <w:rPr>
                <w:spacing w:val="-1"/>
              </w:rPr>
              <w:t>结合数据治理和行业实践</w:t>
            </w:r>
            <w:r>
              <w:rPr/>
              <w:t xml:space="preserve"> </w:t>
            </w:r>
            <w:r>
              <w:rPr>
                <w:spacing w:val="-1"/>
              </w:rPr>
              <w:t>经验，进行数据质量评估</w:t>
            </w:r>
          </w:p>
        </w:tc>
      </w:tr>
      <w:tr>
        <w:trPr>
          <w:trHeight w:val="569" w:hRule="atLeast"/>
        </w:trPr>
        <w:tc>
          <w:tcPr>
            <w:tcW w:w="130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pStyle w:val="TableText"/>
              <w:ind w:left="234"/>
              <w:spacing w:before="209" w:line="219" w:lineRule="auto"/>
              <w:rPr/>
            </w:pPr>
            <w:r>
              <w:rPr>
                <w:spacing w:val="-1"/>
              </w:rPr>
              <w:t>M12:国际/国内行业标准</w:t>
            </w:r>
          </w:p>
        </w:tc>
        <w:tc>
          <w:tcPr>
            <w:tcW w:w="2162" w:type="dxa"/>
            <w:vAlign w:val="top"/>
          </w:tcPr>
          <w:p>
            <w:pPr>
              <w:pStyle w:val="TableText"/>
              <w:ind w:left="127" w:right="167" w:firstLine="139"/>
              <w:spacing w:before="99" w:line="274" w:lineRule="auto"/>
              <w:rPr/>
            </w:pPr>
            <w:r>
              <w:rPr>
                <w:spacing w:val="-1"/>
              </w:rPr>
              <w:t>参考国际/国内的标准进行</w:t>
            </w:r>
            <w:r>
              <w:rPr>
                <w:spacing w:val="3"/>
              </w:rPr>
              <w:t xml:space="preserve"> </w:t>
            </w:r>
            <w:r>
              <w:rPr>
                <w:spacing w:val="-1"/>
              </w:rPr>
              <w:t>数据质量评估</w:t>
            </w:r>
          </w:p>
        </w:tc>
      </w:tr>
      <w:tr>
        <w:trPr>
          <w:trHeight w:val="1099" w:hRule="atLeast"/>
        </w:trPr>
        <w:tc>
          <w:tcPr>
            <w:tcW w:w="1303" w:type="dxa"/>
            <w:vAlign w:val="top"/>
            <w:vMerge w:val="restart"/>
            <w:tcBorders>
              <w:bottom w:val="nil"/>
            </w:tcBorders>
          </w:tcPr>
          <w:p>
            <w:pPr>
              <w:spacing w:line="358" w:lineRule="auto"/>
              <w:rPr>
                <w:rFonts w:ascii="Arial"/>
                <w:sz w:val="21"/>
              </w:rPr>
            </w:pPr>
            <w:r/>
          </w:p>
          <w:p>
            <w:pPr>
              <w:spacing w:line="358" w:lineRule="auto"/>
              <w:rPr>
                <w:rFonts w:ascii="Arial"/>
                <w:sz w:val="21"/>
              </w:rPr>
            </w:pPr>
            <w:r/>
          </w:p>
          <w:p>
            <w:pPr>
              <w:pStyle w:val="TableText"/>
              <w:ind w:left="104" w:right="133" w:firstLine="120"/>
              <w:spacing w:before="49" w:line="324" w:lineRule="auto"/>
              <w:rPr/>
            </w:pPr>
            <w:r>
              <w:rPr>
                <w:spacing w:val="-1"/>
              </w:rPr>
              <w:t>G4:使用积分</w:t>
            </w:r>
            <w:r>
              <w:rPr/>
              <w:t xml:space="preserve">  </w:t>
            </w:r>
            <w:r>
              <w:rPr/>
              <w:t>卡、仪表板或其</w:t>
            </w:r>
            <w:r>
              <w:rPr>
                <w:spacing w:val="1"/>
              </w:rPr>
              <w:t xml:space="preserve"> </w:t>
            </w:r>
            <w:r>
              <w:rPr/>
              <w:t>他分析报告建立</w:t>
            </w:r>
            <w:r>
              <w:rPr>
                <w:spacing w:val="3"/>
              </w:rPr>
              <w:t xml:space="preserve"> </w:t>
            </w:r>
            <w:r>
              <w:rPr/>
              <w:t>标准的数据质量</w:t>
            </w:r>
            <w:r>
              <w:rPr>
                <w:spacing w:val="2"/>
              </w:rPr>
              <w:t xml:space="preserve"> </w:t>
            </w:r>
            <w:r>
              <w:rPr>
                <w:spacing w:val="-1"/>
              </w:rPr>
              <w:t>评估汇报</w:t>
            </w:r>
          </w:p>
        </w:tc>
        <w:tc>
          <w:tcPr>
            <w:tcW w:w="1938" w:type="dxa"/>
            <w:vAlign w:val="top"/>
            <w:vMerge w:val="restart"/>
            <w:tcBorders>
              <w:bottom w:val="nil"/>
            </w:tcBorders>
          </w:tcPr>
          <w:p>
            <w:pPr>
              <w:spacing w:line="353" w:lineRule="auto"/>
              <w:rPr>
                <w:rFonts w:ascii="Arial"/>
                <w:sz w:val="21"/>
              </w:rPr>
            </w:pPr>
            <w:r/>
          </w:p>
          <w:p>
            <w:pPr>
              <w:spacing w:line="353" w:lineRule="auto"/>
              <w:rPr>
                <w:rFonts w:ascii="Arial"/>
                <w:sz w:val="21"/>
              </w:rPr>
            </w:pPr>
            <w:r/>
          </w:p>
          <w:p>
            <w:pPr>
              <w:pStyle w:val="TableText"/>
              <w:ind w:left="111" w:right="245" w:firstLine="149"/>
              <w:spacing w:before="49" w:line="287" w:lineRule="auto"/>
              <w:rPr/>
            </w:pPr>
            <w:r>
              <w:rPr>
                <w:spacing w:val="-1"/>
              </w:rPr>
              <w:t>Q7:使用了哪些数据规</w:t>
            </w:r>
            <w:r>
              <w:rPr>
                <w:spacing w:val="5"/>
              </w:rPr>
              <w:t xml:space="preserve"> </w:t>
            </w:r>
            <w:r>
              <w:rPr>
                <w:spacing w:val="-1"/>
              </w:rPr>
              <w:t>则引擎或者评估工具</w:t>
            </w:r>
          </w:p>
        </w:tc>
        <w:tc>
          <w:tcPr>
            <w:tcW w:w="2177" w:type="dxa"/>
            <w:vAlign w:val="top"/>
          </w:tcPr>
          <w:p>
            <w:pPr>
              <w:spacing w:line="319" w:lineRule="auto"/>
              <w:rPr>
                <w:rFonts w:ascii="Arial"/>
                <w:sz w:val="21"/>
              </w:rPr>
            </w:pPr>
            <w:r/>
          </w:p>
          <w:p>
            <w:pPr>
              <w:pStyle w:val="TableText"/>
              <w:ind w:left="104" w:right="264" w:firstLine="149"/>
              <w:spacing w:before="49" w:line="264" w:lineRule="auto"/>
              <w:rPr/>
            </w:pPr>
            <w:r>
              <w:rPr>
                <w:spacing w:val="-1"/>
              </w:rPr>
              <w:t>M13:业务规则、标准规则</w:t>
            </w:r>
            <w:r>
              <w:rPr>
                <w:spacing w:val="10"/>
              </w:rPr>
              <w:t xml:space="preserve"> </w:t>
            </w:r>
            <w:r>
              <w:rPr>
                <w:spacing w:val="-2"/>
              </w:rPr>
              <w:t>和经验规则</w:t>
            </w:r>
          </w:p>
        </w:tc>
        <w:tc>
          <w:tcPr>
            <w:tcW w:w="2162" w:type="dxa"/>
            <w:vAlign w:val="top"/>
          </w:tcPr>
          <w:p>
            <w:pPr>
              <w:pStyle w:val="TableText"/>
              <w:ind w:left="267"/>
              <w:spacing w:before="80" w:line="219" w:lineRule="auto"/>
              <w:rPr/>
            </w:pPr>
            <w:r>
              <w:rPr>
                <w:spacing w:val="-1"/>
              </w:rPr>
              <w:t>数据的规则应满足业务对</w:t>
            </w:r>
          </w:p>
          <w:p>
            <w:pPr>
              <w:pStyle w:val="TableText"/>
              <w:ind w:left="117"/>
              <w:spacing w:before="101" w:line="219" w:lineRule="auto"/>
              <w:rPr/>
            </w:pPr>
            <w:r>
              <w:rPr>
                <w:spacing w:val="-1"/>
              </w:rPr>
              <w:t>数据的要求、满足标准的要</w:t>
            </w:r>
          </w:p>
          <w:p>
            <w:pPr>
              <w:pStyle w:val="TableText"/>
              <w:ind w:left="96" w:right="102" w:firstLine="10"/>
              <w:spacing w:before="91" w:line="276" w:lineRule="auto"/>
              <w:rPr/>
            </w:pPr>
            <w:r>
              <w:rPr>
                <w:spacing w:val="-1"/>
              </w:rPr>
              <w:t>求，以及经验规则对数据的要</w:t>
            </w:r>
            <w:r>
              <w:rPr>
                <w:spacing w:val="4"/>
              </w:rPr>
              <w:t xml:space="preserve"> </w:t>
            </w:r>
            <w:r>
              <w:rPr>
                <w:spacing w:val="-2"/>
              </w:rPr>
              <w:t>求等</w:t>
            </w:r>
          </w:p>
        </w:tc>
      </w:tr>
      <w:tr>
        <w:trPr>
          <w:trHeight w:val="859" w:hRule="atLeast"/>
        </w:trPr>
        <w:tc>
          <w:tcPr>
            <w:tcW w:w="1303" w:type="dxa"/>
            <w:vAlign w:val="top"/>
            <w:vMerge w:val="continue"/>
            <w:tcBorders>
              <w:top w:val="nil"/>
              <w:bottom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spacing w:line="310" w:lineRule="auto"/>
              <w:rPr>
                <w:rFonts w:ascii="Arial"/>
                <w:sz w:val="21"/>
              </w:rPr>
            </w:pPr>
            <w:r/>
          </w:p>
          <w:p>
            <w:pPr>
              <w:pStyle w:val="TableText"/>
              <w:ind w:left="243"/>
              <w:spacing w:before="49" w:line="219" w:lineRule="auto"/>
              <w:rPr/>
            </w:pPr>
            <w:r>
              <w:rPr>
                <w:spacing w:val="-1"/>
              </w:rPr>
              <w:t>M14:软件及辅助文件工具</w:t>
            </w:r>
          </w:p>
        </w:tc>
        <w:tc>
          <w:tcPr>
            <w:tcW w:w="2162" w:type="dxa"/>
            <w:vAlign w:val="top"/>
          </w:tcPr>
          <w:p>
            <w:pPr>
              <w:pStyle w:val="TableText"/>
              <w:ind w:left="107" w:right="92" w:firstLine="160"/>
              <w:spacing w:before="91" w:line="310" w:lineRule="auto"/>
              <w:jc w:val="both"/>
              <w:rPr/>
            </w:pPr>
            <w:r>
              <w:rPr>
                <w:spacing w:val="-1"/>
              </w:rPr>
              <w:t>大量的组织数据，需要通过</w:t>
            </w:r>
            <w:r>
              <w:rPr>
                <w:spacing w:val="3"/>
              </w:rPr>
              <w:t xml:space="preserve"> </w:t>
            </w:r>
            <w:r>
              <w:rPr>
                <w:spacing w:val="-1"/>
              </w:rPr>
              <w:t>软件和支撑工具，才能实现有</w:t>
            </w:r>
            <w:r>
              <w:rPr>
                <w:spacing w:val="4"/>
              </w:rPr>
              <w:t xml:space="preserve"> </w:t>
            </w:r>
            <w:r>
              <w:rPr>
                <w:spacing w:val="-3"/>
              </w:rPr>
              <w:t>效评估</w:t>
            </w:r>
          </w:p>
        </w:tc>
      </w:tr>
      <w:tr>
        <w:trPr>
          <w:trHeight w:val="839" w:hRule="atLeast"/>
        </w:trPr>
        <w:tc>
          <w:tcPr>
            <w:tcW w:w="1303" w:type="dxa"/>
            <w:vAlign w:val="top"/>
            <w:vMerge w:val="continue"/>
            <w:tcBorders>
              <w:top w:val="nil"/>
            </w:tcBorders>
          </w:tcPr>
          <w:p>
            <w:pPr>
              <w:rPr>
                <w:rFonts w:ascii="Arial"/>
                <w:sz w:val="21"/>
              </w:rPr>
            </w:pPr>
            <w:r/>
          </w:p>
        </w:tc>
        <w:tc>
          <w:tcPr>
            <w:tcW w:w="1938" w:type="dxa"/>
            <w:vAlign w:val="top"/>
          </w:tcPr>
          <w:p>
            <w:pPr>
              <w:pStyle w:val="TableText"/>
              <w:ind w:left="111" w:right="235" w:firstLine="160"/>
              <w:spacing w:before="230" w:line="278" w:lineRule="auto"/>
              <w:rPr/>
            </w:pPr>
            <w:r>
              <w:rPr>
                <w:spacing w:val="-1"/>
              </w:rPr>
              <w:t>Q8:是否评估适合组织</w:t>
            </w:r>
            <w:r>
              <w:rPr>
                <w:spacing w:val="5"/>
              </w:rPr>
              <w:t xml:space="preserve"> </w:t>
            </w:r>
            <w:r>
              <w:rPr/>
              <w:t>的工具和方法</w:t>
            </w:r>
          </w:p>
        </w:tc>
        <w:tc>
          <w:tcPr>
            <w:tcW w:w="2177" w:type="dxa"/>
            <w:vAlign w:val="top"/>
          </w:tcPr>
          <w:p>
            <w:pPr>
              <w:pStyle w:val="TableText"/>
              <w:ind w:left="104" w:right="254" w:firstLine="160"/>
              <w:spacing w:before="232" w:line="275" w:lineRule="auto"/>
              <w:rPr/>
            </w:pPr>
            <w:r>
              <w:rPr>
                <w:spacing w:val="-1"/>
              </w:rPr>
              <w:t>M15:考虑行业、技术以及</w:t>
            </w:r>
            <w:r>
              <w:rPr>
                <w:spacing w:val="10"/>
              </w:rPr>
              <w:t xml:space="preserve"> </w:t>
            </w:r>
            <w:r>
              <w:rPr>
                <w:spacing w:val="-2"/>
              </w:rPr>
              <w:t>成本等因素</w:t>
            </w:r>
          </w:p>
        </w:tc>
        <w:tc>
          <w:tcPr>
            <w:tcW w:w="2162" w:type="dxa"/>
            <w:vAlign w:val="top"/>
          </w:tcPr>
          <w:p>
            <w:pPr>
              <w:pStyle w:val="TableText"/>
              <w:ind w:left="107" w:right="90" w:firstLine="160"/>
              <w:spacing w:before="90" w:line="299" w:lineRule="auto"/>
              <w:jc w:val="both"/>
              <w:rPr/>
            </w:pPr>
            <w:r>
              <w:rPr>
                <w:spacing w:val="-1"/>
              </w:rPr>
              <w:t>采用的工具和方法，应考虑</w:t>
            </w:r>
            <w:r>
              <w:rPr>
                <w:spacing w:val="5"/>
              </w:rPr>
              <w:t xml:space="preserve"> </w:t>
            </w:r>
            <w:r>
              <w:rPr>
                <w:spacing w:val="-1"/>
              </w:rPr>
              <w:t>行业特色、考虑技术能力和经</w:t>
            </w:r>
            <w:r>
              <w:rPr>
                <w:spacing w:val="3"/>
              </w:rPr>
              <w:t xml:space="preserve"> </w:t>
            </w:r>
            <w:r>
              <w:rPr>
                <w:spacing w:val="-1"/>
              </w:rPr>
              <w:t>济成本等因素</w:t>
            </w:r>
          </w:p>
        </w:tc>
      </w:tr>
      <w:tr>
        <w:trPr>
          <w:trHeight w:val="1109" w:hRule="atLeast"/>
        </w:trPr>
        <w:tc>
          <w:tcPr>
            <w:tcW w:w="1303" w:type="dxa"/>
            <w:vAlign w:val="top"/>
            <w:vMerge w:val="restart"/>
            <w:tcBorders>
              <w:bottom w:val="nil"/>
            </w:tcBorders>
          </w:tcPr>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pStyle w:val="TableText"/>
              <w:ind w:left="85" w:right="134" w:firstLine="139"/>
              <w:spacing w:before="49" w:line="319" w:lineRule="auto"/>
              <w:rPr/>
            </w:pPr>
            <w:r>
              <w:rPr>
                <w:spacing w:val="-1"/>
              </w:rPr>
              <w:t>G5:使用数据</w:t>
            </w:r>
            <w:r>
              <w:rPr/>
              <w:t xml:space="preserve">  </w:t>
            </w:r>
            <w:r>
              <w:rPr>
                <w:spacing w:val="3"/>
              </w:rPr>
              <w:t>质量评估的结果</w:t>
            </w:r>
            <w:r>
              <w:rPr>
                <w:spacing w:val="1"/>
              </w:rPr>
              <w:t xml:space="preserve"> </w:t>
            </w:r>
            <w:r>
              <w:rPr>
                <w:spacing w:val="3"/>
              </w:rPr>
              <w:t>和总结来制订并</w:t>
            </w:r>
            <w:r>
              <w:rPr>
                <w:spacing w:val="1"/>
              </w:rPr>
              <w:t xml:space="preserve"> </w:t>
            </w:r>
            <w:r>
              <w:rPr>
                <w:spacing w:val="3"/>
              </w:rPr>
              <w:t>完善数据质量改</w:t>
            </w:r>
            <w:r>
              <w:rPr/>
              <w:t xml:space="preserve"> </w:t>
            </w:r>
            <w:r>
              <w:rPr>
                <w:spacing w:val="-2"/>
              </w:rPr>
              <w:t>进报告</w:t>
            </w:r>
          </w:p>
        </w:tc>
        <w:tc>
          <w:tcPr>
            <w:tcW w:w="1938" w:type="dxa"/>
            <w:vAlign w:val="top"/>
          </w:tcPr>
          <w:p>
            <w:pPr>
              <w:spacing w:line="311" w:lineRule="auto"/>
              <w:rPr>
                <w:rFonts w:ascii="Arial"/>
                <w:sz w:val="21"/>
              </w:rPr>
            </w:pPr>
            <w:r/>
          </w:p>
          <w:p>
            <w:pPr>
              <w:pStyle w:val="TableText"/>
              <w:ind w:left="101" w:right="245" w:firstLine="160"/>
              <w:spacing w:before="49" w:line="276" w:lineRule="auto"/>
              <w:rPr/>
            </w:pPr>
            <w:r>
              <w:rPr>
                <w:spacing w:val="-1"/>
              </w:rPr>
              <w:t>Q9:数据质量问题对组</w:t>
            </w:r>
            <w:r>
              <w:rPr>
                <w:spacing w:val="5"/>
              </w:rPr>
              <w:t xml:space="preserve"> </w:t>
            </w:r>
            <w:r>
              <w:rPr>
                <w:spacing w:val="1"/>
              </w:rPr>
              <w:t>织哪些方面产生影响</w:t>
            </w:r>
          </w:p>
        </w:tc>
        <w:tc>
          <w:tcPr>
            <w:tcW w:w="2177" w:type="dxa"/>
            <w:vAlign w:val="top"/>
          </w:tcPr>
          <w:p>
            <w:pPr>
              <w:spacing w:line="311" w:lineRule="auto"/>
              <w:rPr>
                <w:rFonts w:ascii="Arial"/>
                <w:sz w:val="21"/>
              </w:rPr>
            </w:pPr>
            <w:r/>
          </w:p>
          <w:p>
            <w:pPr>
              <w:pStyle w:val="TableText"/>
              <w:ind w:left="104" w:right="264" w:firstLine="149"/>
              <w:spacing w:before="49" w:line="276" w:lineRule="auto"/>
              <w:rPr/>
            </w:pPr>
            <w:r>
              <w:rPr>
                <w:spacing w:val="-1"/>
              </w:rPr>
              <w:t>M16:业务、成本、服务质</w:t>
            </w:r>
            <w:r>
              <w:rPr>
                <w:spacing w:val="10"/>
              </w:rPr>
              <w:t xml:space="preserve"> </w:t>
            </w:r>
            <w:r>
              <w:rPr>
                <w:spacing w:val="-1"/>
              </w:rPr>
              <w:t>量、满意度、过程质量</w:t>
            </w:r>
          </w:p>
        </w:tc>
        <w:tc>
          <w:tcPr>
            <w:tcW w:w="2162" w:type="dxa"/>
            <w:vAlign w:val="top"/>
          </w:tcPr>
          <w:p>
            <w:pPr>
              <w:pStyle w:val="TableText"/>
              <w:ind w:left="267"/>
              <w:spacing w:before="93" w:line="219" w:lineRule="auto"/>
              <w:rPr/>
            </w:pPr>
            <w:r>
              <w:rPr>
                <w:spacing w:val="-1"/>
              </w:rPr>
              <w:t>数据质量问题和事件为组</w:t>
            </w:r>
          </w:p>
          <w:p>
            <w:pPr>
              <w:pStyle w:val="TableText"/>
              <w:ind w:left="107"/>
              <w:spacing w:before="91" w:line="219" w:lineRule="auto"/>
              <w:rPr/>
            </w:pPr>
            <w:r>
              <w:rPr>
                <w:spacing w:val="-1"/>
              </w:rPr>
              <w:t>织提供的服务对目标的达成</w:t>
            </w:r>
          </w:p>
          <w:p>
            <w:pPr>
              <w:pStyle w:val="TableText"/>
              <w:ind w:left="107" w:right="101"/>
              <w:spacing w:before="102" w:line="281" w:lineRule="auto"/>
              <w:rPr/>
            </w:pPr>
            <w:r>
              <w:rPr>
                <w:spacing w:val="-1"/>
              </w:rPr>
              <w:t>有着直接影响，需要具体地分</w:t>
            </w:r>
            <w:r>
              <w:rPr>
                <w:spacing w:val="5"/>
              </w:rPr>
              <w:t xml:space="preserve"> </w:t>
            </w:r>
            <w:r>
              <w:rPr>
                <w:spacing w:val="1"/>
              </w:rPr>
              <w:t>析其中的数值关系</w:t>
            </w:r>
          </w:p>
        </w:tc>
      </w:tr>
      <w:tr>
        <w:trPr>
          <w:trHeight w:val="849" w:hRule="atLeast"/>
        </w:trPr>
        <w:tc>
          <w:tcPr>
            <w:tcW w:w="1303" w:type="dxa"/>
            <w:vAlign w:val="top"/>
            <w:vMerge w:val="continue"/>
            <w:tcBorders>
              <w:top w:val="nil"/>
              <w:bottom w:val="nil"/>
            </w:tcBorders>
          </w:tcPr>
          <w:p>
            <w:pPr>
              <w:rPr>
                <w:rFonts w:ascii="Arial"/>
                <w:sz w:val="21"/>
              </w:rPr>
            </w:pPr>
            <w:r/>
          </w:p>
        </w:tc>
        <w:tc>
          <w:tcPr>
            <w:tcW w:w="1938" w:type="dxa"/>
            <w:vAlign w:val="top"/>
            <w:vMerge w:val="restart"/>
            <w:tcBorders>
              <w:bottom w:val="nil"/>
            </w:tcBorders>
          </w:tcPr>
          <w:p>
            <w:pPr>
              <w:spacing w:line="305" w:lineRule="auto"/>
              <w:rPr>
                <w:rFonts w:ascii="Arial"/>
                <w:sz w:val="21"/>
              </w:rPr>
            </w:pPr>
            <w:r/>
          </w:p>
          <w:p>
            <w:pPr>
              <w:spacing w:line="306" w:lineRule="auto"/>
              <w:rPr>
                <w:rFonts w:ascii="Arial"/>
                <w:sz w:val="21"/>
              </w:rPr>
            </w:pPr>
            <w:r/>
          </w:p>
          <w:p>
            <w:pPr>
              <w:pStyle w:val="TableText"/>
              <w:ind w:left="101" w:right="160" w:firstLine="160"/>
              <w:spacing w:before="48" w:line="303" w:lineRule="auto"/>
              <w:jc w:val="both"/>
              <w:rPr/>
            </w:pPr>
            <w:r>
              <w:rPr>
                <w:spacing w:val="-1"/>
              </w:rPr>
              <w:t>Q10:是否分析数据质量</w:t>
            </w:r>
            <w:r>
              <w:rPr>
                <w:spacing w:val="6"/>
              </w:rPr>
              <w:t xml:space="preserve"> </w:t>
            </w:r>
            <w:r>
              <w:rPr>
                <w:spacing w:val="1"/>
              </w:rPr>
              <w:t>问题并将其作为数据质量</w:t>
            </w:r>
            <w:r>
              <w:rPr>
                <w:spacing w:val="3"/>
              </w:rPr>
              <w:t xml:space="preserve"> </w:t>
            </w:r>
            <w:r>
              <w:rPr>
                <w:spacing w:val="-2"/>
              </w:rPr>
              <w:t>改进的重要输入</w:t>
            </w:r>
          </w:p>
        </w:tc>
        <w:tc>
          <w:tcPr>
            <w:tcW w:w="2177" w:type="dxa"/>
            <w:vAlign w:val="top"/>
          </w:tcPr>
          <w:p>
            <w:pPr>
              <w:pStyle w:val="TableText"/>
              <w:ind w:left="234"/>
              <w:spacing w:before="213" w:line="302" w:lineRule="exact"/>
              <w:rPr/>
            </w:pPr>
            <w:r>
              <w:rPr>
                <w:spacing w:val="-1"/>
                <w:position w:val="11"/>
              </w:rPr>
              <w:t>M17:过程、技术、方法等</w:t>
            </w:r>
          </w:p>
          <w:p>
            <w:pPr>
              <w:pStyle w:val="TableText"/>
              <w:ind w:left="93"/>
              <w:spacing w:line="221" w:lineRule="auto"/>
              <w:rPr/>
            </w:pPr>
            <w:r>
              <w:rPr>
                <w:spacing w:val="3"/>
              </w:rPr>
              <w:t>问题</w:t>
            </w:r>
          </w:p>
        </w:tc>
        <w:tc>
          <w:tcPr>
            <w:tcW w:w="2162" w:type="dxa"/>
            <w:vAlign w:val="top"/>
          </w:tcPr>
          <w:p>
            <w:pPr>
              <w:pStyle w:val="TableText"/>
              <w:ind w:left="96" w:right="208" w:firstLine="160"/>
              <w:spacing w:before="93" w:line="306" w:lineRule="auto"/>
              <w:jc w:val="both"/>
              <w:rPr/>
            </w:pPr>
            <w:r>
              <w:rPr>
                <w:spacing w:val="-2"/>
              </w:rPr>
              <w:t>影响数据质量的因素很多 </w:t>
            </w:r>
            <w:r>
              <w:rPr>
                <w:spacing w:val="3"/>
              </w:rPr>
              <w:t>必须不断改进和优化数据质</w:t>
            </w:r>
            <w:r>
              <w:rPr>
                <w:spacing w:val="9"/>
              </w:rPr>
              <w:t xml:space="preserve"> </w:t>
            </w:r>
            <w:r>
              <w:rPr/>
              <w:t>量</w:t>
            </w:r>
          </w:p>
        </w:tc>
      </w:tr>
      <w:tr>
        <w:trPr>
          <w:trHeight w:val="1133" w:hRule="atLeast"/>
        </w:trPr>
        <w:tc>
          <w:tcPr>
            <w:tcW w:w="1303" w:type="dxa"/>
            <w:vAlign w:val="top"/>
            <w:vMerge w:val="continue"/>
            <w:tcBorders>
              <w:top w:val="nil"/>
            </w:tcBorders>
          </w:tcPr>
          <w:p>
            <w:pPr>
              <w:rPr>
                <w:rFonts w:ascii="Arial"/>
                <w:sz w:val="21"/>
              </w:rPr>
            </w:pPr>
            <w:r/>
          </w:p>
        </w:tc>
        <w:tc>
          <w:tcPr>
            <w:tcW w:w="1938" w:type="dxa"/>
            <w:vAlign w:val="top"/>
            <w:vMerge w:val="continue"/>
            <w:tcBorders>
              <w:top w:val="nil"/>
            </w:tcBorders>
          </w:tcPr>
          <w:p>
            <w:pPr>
              <w:rPr>
                <w:rFonts w:ascii="Arial"/>
                <w:sz w:val="21"/>
              </w:rPr>
            </w:pPr>
            <w:r/>
          </w:p>
        </w:tc>
        <w:tc>
          <w:tcPr>
            <w:tcW w:w="2177" w:type="dxa"/>
            <w:vAlign w:val="top"/>
          </w:tcPr>
          <w:p>
            <w:pPr>
              <w:spacing w:line="324" w:lineRule="auto"/>
              <w:rPr>
                <w:rFonts w:ascii="Arial"/>
                <w:sz w:val="21"/>
              </w:rPr>
            </w:pPr>
            <w:r/>
          </w:p>
          <w:p>
            <w:pPr>
              <w:pStyle w:val="TableText"/>
              <w:ind w:left="104" w:right="264" w:firstLine="149"/>
              <w:spacing w:before="48" w:line="282" w:lineRule="auto"/>
              <w:rPr/>
            </w:pPr>
            <w:r>
              <w:rPr>
                <w:spacing w:val="-1"/>
              </w:rPr>
              <w:t>M18:改进方案中重点考虑</w:t>
            </w:r>
            <w:r>
              <w:rPr>
                <w:spacing w:val="10"/>
              </w:rPr>
              <w:t xml:space="preserve"> </w:t>
            </w:r>
            <w:r>
              <w:rPr>
                <w:spacing w:val="-1"/>
              </w:rPr>
              <w:t>现有的数据质量问题</w:t>
            </w:r>
          </w:p>
        </w:tc>
        <w:tc>
          <w:tcPr>
            <w:tcW w:w="2162" w:type="dxa"/>
            <w:vAlign w:val="top"/>
          </w:tcPr>
          <w:p>
            <w:pPr>
              <w:pStyle w:val="TableText"/>
              <w:ind w:left="267"/>
              <w:spacing w:before="95" w:line="219" w:lineRule="auto"/>
              <w:rPr/>
            </w:pPr>
            <w:r>
              <w:rPr>
                <w:spacing w:val="1"/>
              </w:rPr>
              <w:t>必须分析得出现有数据质</w:t>
            </w:r>
          </w:p>
          <w:p>
            <w:pPr>
              <w:pStyle w:val="TableText"/>
              <w:ind w:left="127"/>
              <w:spacing w:before="112" w:line="219" w:lineRule="auto"/>
              <w:rPr/>
            </w:pPr>
            <w:r>
              <w:rPr>
                <w:spacing w:val="-1"/>
              </w:rPr>
              <w:t>量问题，并进行优先级排序</w:t>
            </w:r>
          </w:p>
          <w:p>
            <w:pPr>
              <w:pStyle w:val="TableText"/>
              <w:ind w:left="96" w:right="68" w:firstLine="30"/>
              <w:spacing w:before="91" w:line="288" w:lineRule="auto"/>
              <w:rPr/>
            </w:pPr>
            <w:r>
              <w:rPr/>
              <w:t>以找寻改进的方向，并明确改</w:t>
            </w:r>
            <w:r>
              <w:rPr>
                <w:spacing w:val="5"/>
              </w:rPr>
              <w:t xml:space="preserve"> </w:t>
            </w:r>
            <w:r>
              <w:rPr>
                <w:spacing w:val="-2"/>
              </w:rPr>
              <w:t>进方案</w:t>
            </w:r>
          </w:p>
        </w:tc>
      </w:tr>
    </w:tbl>
    <w:p>
      <w:pPr>
        <w:ind w:left="700"/>
        <w:spacing w:before="207" w:line="482" w:lineRule="exact"/>
        <w:rPr>
          <w:rFonts w:ascii="YouYuan" w:hAnsi="YouYuan" w:eastAsia="YouYuan" w:cs="YouYuan"/>
          <w:sz w:val="22"/>
          <w:szCs w:val="22"/>
        </w:rPr>
      </w:pPr>
      <w:r>
        <w:rPr>
          <w:rFonts w:ascii="YouYuan" w:hAnsi="YouYuan" w:eastAsia="YouYuan" w:cs="YouYuan"/>
          <w:sz w:val="22"/>
          <w:szCs w:val="22"/>
          <w:b/>
          <w:bCs/>
          <w:spacing w:val="-5"/>
          <w:position w:val="19"/>
        </w:rPr>
        <w:t>3.</w:t>
      </w:r>
      <w:r>
        <w:rPr>
          <w:rFonts w:ascii="YouYuan" w:hAnsi="YouYuan" w:eastAsia="YouYuan" w:cs="YouYuan"/>
          <w:sz w:val="22"/>
          <w:szCs w:val="22"/>
          <w:spacing w:val="30"/>
          <w:position w:val="19"/>
        </w:rPr>
        <w:t xml:space="preserve"> </w:t>
      </w:r>
      <w:r>
        <w:rPr>
          <w:rFonts w:ascii="YouYuan" w:hAnsi="YouYuan" w:eastAsia="YouYuan" w:cs="YouYuan"/>
          <w:sz w:val="22"/>
          <w:szCs w:val="22"/>
          <w:b/>
          <w:bCs/>
          <w:spacing w:val="-5"/>
          <w:position w:val="19"/>
        </w:rPr>
        <w:t>成熟度等级介绍</w:t>
      </w:r>
    </w:p>
    <w:p>
      <w:pPr>
        <w:ind w:left="726"/>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50"/>
          <w:w w:val="101"/>
        </w:rPr>
        <w:t xml:space="preserve"> </w:t>
      </w: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5"/>
        </w:rPr>
        <w:t>初始级</w:t>
      </w:r>
    </w:p>
    <w:p>
      <w:pPr>
        <w:spacing w:line="127" w:lineRule="exact"/>
        <w:rPr/>
      </w:pPr>
      <w:r/>
    </w:p>
    <w:tbl>
      <w:tblPr>
        <w:tblStyle w:val="TableNormal"/>
        <w:tblW w:w="7589" w:type="dxa"/>
        <w:tblInd w:w="32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12" w:hRule="atLeast"/>
        </w:trPr>
        <w:tc>
          <w:tcPr>
            <w:tcW w:w="714" w:type="dxa"/>
            <w:vAlign w:val="top"/>
          </w:tcPr>
          <w:p>
            <w:pPr>
              <w:pStyle w:val="TableText"/>
              <w:ind w:left="194"/>
              <w:spacing w:before="82"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85"/>
              <w:spacing w:before="81" w:line="220" w:lineRule="auto"/>
              <w:rPr/>
            </w:pPr>
            <w:r>
              <w:rPr>
                <w:spacing w:val="-5"/>
              </w:rPr>
              <w:t>实</w:t>
            </w:r>
            <w:r>
              <w:rPr>
                <w:spacing w:val="6"/>
              </w:rPr>
              <w:t xml:space="preserve">    </w:t>
            </w:r>
            <w:r>
              <w:rPr>
                <w:spacing w:val="-5"/>
              </w:rPr>
              <w:t>例</w:t>
            </w:r>
          </w:p>
        </w:tc>
      </w:tr>
      <w:tr>
        <w:trPr>
          <w:trHeight w:val="568" w:hRule="atLeast"/>
        </w:trPr>
        <w:tc>
          <w:tcPr>
            <w:tcW w:w="714" w:type="dxa"/>
            <w:vAlign w:val="top"/>
          </w:tcPr>
          <w:p>
            <w:pPr>
              <w:pStyle w:val="TableText"/>
              <w:ind w:left="234"/>
              <w:spacing w:before="247" w:line="184" w:lineRule="auto"/>
              <w:rPr/>
            </w:pPr>
            <w:r>
              <w:rPr>
                <w:spacing w:val="-4"/>
              </w:rPr>
              <w:t>1.1</w:t>
            </w:r>
          </w:p>
        </w:tc>
        <w:tc>
          <w:tcPr>
            <w:tcW w:w="3145" w:type="dxa"/>
            <w:vAlign w:val="top"/>
          </w:tcPr>
          <w:p>
            <w:pPr>
              <w:pStyle w:val="TableText"/>
              <w:ind w:left="270"/>
              <w:spacing w:before="207" w:line="218" w:lineRule="auto"/>
              <w:rPr/>
            </w:pPr>
            <w:r>
              <w:rPr>
                <w:spacing w:val="-1"/>
              </w:rPr>
              <w:t>执行数据实例评估活动并记录结果</w:t>
            </w:r>
          </w:p>
        </w:tc>
        <w:tc>
          <w:tcPr>
            <w:tcW w:w="3730" w:type="dxa"/>
            <w:vAlign w:val="top"/>
          </w:tcPr>
          <w:p>
            <w:pPr>
              <w:pStyle w:val="TableText"/>
              <w:ind w:left="275"/>
              <w:spacing w:before="77" w:line="218" w:lineRule="auto"/>
              <w:rPr/>
            </w:pPr>
            <w:r>
              <w:rPr>
                <w:spacing w:val="1"/>
              </w:rPr>
              <w:t>●数据质量评估模型</w:t>
            </w:r>
          </w:p>
          <w:p>
            <w:pPr>
              <w:pStyle w:val="TableText"/>
              <w:ind w:left="275"/>
              <w:spacing w:before="112" w:line="218" w:lineRule="auto"/>
              <w:rPr/>
            </w:pPr>
            <w:r>
              <w:rPr/>
              <w:t>●数据质量评估结果和记录</w:t>
            </w:r>
          </w:p>
        </w:tc>
      </w:tr>
    </w:tbl>
    <w:p>
      <w:pPr>
        <w:pStyle w:val="BodyText"/>
        <w:rPr/>
      </w:pPr>
      <w:r/>
    </w:p>
    <w:p>
      <w:pPr>
        <w:sectPr>
          <w:footerReference w:type="default" r:id="rId275"/>
          <w:pgSz w:w="8870" w:h="13400"/>
          <w:pgMar w:top="400" w:right="454" w:bottom="456" w:left="493" w:header="0" w:footer="237" w:gutter="0"/>
        </w:sectPr>
        <w:rPr/>
      </w:pPr>
    </w:p>
    <w:p>
      <w:pPr>
        <w:ind w:left="5472"/>
        <w:spacing w:before="214" w:line="219" w:lineRule="auto"/>
        <w:rPr>
          <w:rFonts w:ascii="SimSun" w:hAnsi="SimSun" w:eastAsia="SimSun" w:cs="SimSun"/>
          <w:sz w:val="21"/>
          <w:szCs w:val="21"/>
        </w:rPr>
      </w:pPr>
      <w:r>
        <w:rPr>
          <w:rFonts w:ascii="SimSun" w:hAnsi="SimSun" w:eastAsia="SimSun" w:cs="SimSun"/>
          <w:sz w:val="21"/>
          <w:szCs w:val="21"/>
          <w:b/>
          <w:bCs/>
          <w:spacing w:val="17"/>
        </w:rPr>
        <w:t>第6章■云端数据质量</w:t>
      </w:r>
    </w:p>
    <w:p>
      <w:pPr>
        <w:pStyle w:val="BodyText"/>
        <w:spacing w:line="255" w:lineRule="auto"/>
        <w:rPr/>
      </w:pPr>
      <w:r/>
    </w:p>
    <w:p>
      <w:pPr>
        <w:ind w:left="31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18" w:firstLine="419"/>
        <w:spacing w:before="58" w:line="259" w:lineRule="auto"/>
        <w:rPr>
          <w:rFonts w:ascii="SimSun" w:hAnsi="SimSun" w:eastAsia="SimSun" w:cs="SimSun"/>
          <w:sz w:val="21"/>
          <w:szCs w:val="21"/>
        </w:rPr>
      </w:pPr>
      <w:r>
        <w:rPr>
          <w:rFonts w:ascii="SimSun" w:hAnsi="SimSun" w:eastAsia="SimSun" w:cs="SimSun"/>
          <w:sz w:val="21"/>
          <w:szCs w:val="21"/>
          <w:spacing w:val="2"/>
        </w:rPr>
        <w:t>数据质量的评估模型一般包括评估对象、评估指标、评估规则和期望值。数据</w:t>
      </w:r>
      <w:r>
        <w:rPr>
          <w:rFonts w:ascii="SimSun" w:hAnsi="SimSun" w:eastAsia="SimSun" w:cs="SimSun"/>
          <w:sz w:val="21"/>
          <w:szCs w:val="21"/>
          <w:spacing w:val="3"/>
        </w:rPr>
        <w:t xml:space="preserve"> </w:t>
      </w:r>
      <w:r>
        <w:rPr>
          <w:rFonts w:ascii="SimSun" w:hAnsi="SimSun" w:eastAsia="SimSun" w:cs="SimSun"/>
          <w:sz w:val="21"/>
          <w:szCs w:val="21"/>
          <w:spacing w:val="4"/>
        </w:rPr>
        <w:t>质量评估的1级仅需要在项目过程中，针对评估数据集制订相应的评估指标，可以</w:t>
      </w:r>
      <w:r>
        <w:rPr>
          <w:rFonts w:ascii="SimSun" w:hAnsi="SimSun" w:eastAsia="SimSun" w:cs="SimSun"/>
          <w:sz w:val="21"/>
          <w:szCs w:val="21"/>
          <w:spacing w:val="18"/>
        </w:rPr>
        <w:t xml:space="preserve"> </w:t>
      </w:r>
      <w:r>
        <w:rPr>
          <w:rFonts w:ascii="SimSun" w:hAnsi="SimSun" w:eastAsia="SimSun" w:cs="SimSun"/>
          <w:sz w:val="21"/>
          <w:szCs w:val="21"/>
          <w:spacing w:val="1"/>
        </w:rPr>
        <w:t>通过形式化语言或者自然语言描述评估规则，执行数据质量评估工作获得评估值，</w:t>
      </w:r>
      <w:r>
        <w:rPr>
          <w:rFonts w:ascii="SimSun" w:hAnsi="SimSun" w:eastAsia="SimSun" w:cs="SimSun"/>
          <w:sz w:val="21"/>
          <w:szCs w:val="21"/>
          <w:spacing w:val="8"/>
        </w:rPr>
        <w:t xml:space="preserve"> </w:t>
      </w:r>
      <w:r>
        <w:rPr>
          <w:rFonts w:ascii="SimSun" w:hAnsi="SimSun" w:eastAsia="SimSun" w:cs="SimSun"/>
          <w:sz w:val="21"/>
          <w:szCs w:val="21"/>
          <w:spacing w:val="-9"/>
        </w:rPr>
        <w:t>并记录评估结果。</w:t>
      </w:r>
    </w:p>
    <w:p>
      <w:pPr>
        <w:ind w:left="419"/>
        <w:spacing w:before="79"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2: </w:t>
      </w:r>
      <w:r>
        <w:rPr>
          <w:rFonts w:ascii="SimHei" w:hAnsi="SimHei" w:eastAsia="SimHei" w:cs="SimHei"/>
          <w:sz w:val="21"/>
          <w:szCs w:val="21"/>
          <w:b/>
          <w:bCs/>
          <w:spacing w:val="-2"/>
        </w:rPr>
        <w:t>管理级</w:t>
      </w:r>
    </w:p>
    <w:p>
      <w:pPr>
        <w:spacing w:line="129"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55"/>
        <w:gridCol w:w="3740"/>
      </w:tblGrid>
      <w:tr>
        <w:trPr>
          <w:trHeight w:val="302" w:hRule="atLeast"/>
        </w:trPr>
        <w:tc>
          <w:tcPr>
            <w:tcW w:w="704" w:type="dxa"/>
            <w:vAlign w:val="top"/>
          </w:tcPr>
          <w:p>
            <w:pPr>
              <w:pStyle w:val="TableText"/>
              <w:ind w:left="195"/>
              <w:spacing w:before="81" w:line="221" w:lineRule="auto"/>
              <w:rPr/>
            </w:pPr>
            <w:r>
              <w:rPr>
                <w:spacing w:val="-2"/>
              </w:rPr>
              <w:t>序号</w:t>
            </w:r>
          </w:p>
        </w:tc>
        <w:tc>
          <w:tcPr>
            <w:tcW w:w="3155" w:type="dxa"/>
            <w:vAlign w:val="top"/>
          </w:tcPr>
          <w:p>
            <w:pPr>
              <w:pStyle w:val="TableText"/>
              <w:ind w:left="115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38" w:hRule="atLeast"/>
        </w:trPr>
        <w:tc>
          <w:tcPr>
            <w:tcW w:w="704" w:type="dxa"/>
            <w:vAlign w:val="top"/>
          </w:tcPr>
          <w:p>
            <w:pPr>
              <w:spacing w:line="336" w:lineRule="auto"/>
              <w:rPr>
                <w:rFonts w:ascii="Arial"/>
                <w:sz w:val="21"/>
              </w:rPr>
            </w:pPr>
            <w:r/>
          </w:p>
          <w:p>
            <w:pPr>
              <w:pStyle w:val="TableText"/>
              <w:ind w:left="224"/>
              <w:spacing w:before="49" w:line="184" w:lineRule="auto"/>
              <w:rPr/>
            </w:pPr>
            <w:r>
              <w:rPr>
                <w:spacing w:val="-2"/>
              </w:rPr>
              <w:t>2.1</w:t>
            </w:r>
          </w:p>
        </w:tc>
        <w:tc>
          <w:tcPr>
            <w:tcW w:w="3155" w:type="dxa"/>
            <w:vAlign w:val="top"/>
          </w:tcPr>
          <w:p>
            <w:pPr>
              <w:pStyle w:val="TableText"/>
              <w:ind w:left="141" w:right="161" w:firstLine="80"/>
              <w:spacing w:before="219" w:line="274" w:lineRule="auto"/>
              <w:rPr/>
            </w:pPr>
            <w:r>
              <w:rPr>
                <w:spacing w:val="-1"/>
              </w:rPr>
              <w:t>根据标准的技术和过程建立、使用和维护</w:t>
            </w:r>
            <w:r>
              <w:rPr>
                <w:spacing w:val="5"/>
              </w:rPr>
              <w:t xml:space="preserve">  </w:t>
            </w:r>
            <w:r>
              <w:rPr>
                <w:spacing w:val="-1"/>
              </w:rPr>
              <w:t>数据质量评估的战略目标、战术目标和阈值</w:t>
            </w:r>
          </w:p>
        </w:tc>
        <w:tc>
          <w:tcPr>
            <w:tcW w:w="3740" w:type="dxa"/>
            <w:vAlign w:val="top"/>
          </w:tcPr>
          <w:p>
            <w:pPr>
              <w:pStyle w:val="TableText"/>
              <w:ind w:left="265"/>
              <w:spacing w:before="77" w:line="218" w:lineRule="auto"/>
              <w:rPr/>
            </w:pPr>
            <w:r>
              <w:rPr/>
              <w:t>●数据质量评估的目标和阈值</w:t>
            </w:r>
          </w:p>
          <w:p>
            <w:pPr>
              <w:pStyle w:val="TableText"/>
              <w:ind w:left="265"/>
              <w:spacing w:before="102" w:line="218" w:lineRule="auto"/>
              <w:rPr/>
            </w:pPr>
            <w:r>
              <w:rPr/>
              <w:t>●数据质量评估的方法论</w:t>
            </w:r>
          </w:p>
          <w:p>
            <w:pPr>
              <w:pStyle w:val="TableText"/>
              <w:ind w:left="265"/>
              <w:spacing w:before="102" w:line="218" w:lineRule="auto"/>
              <w:rPr/>
            </w:pPr>
            <w:r>
              <w:rPr/>
              <w:t>●数据质量评估的测量记录</w:t>
            </w:r>
          </w:p>
        </w:tc>
      </w:tr>
    </w:tbl>
    <w:p>
      <w:pPr>
        <w:ind w:left="31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05" w:firstLine="419"/>
        <w:spacing w:before="70" w:line="267" w:lineRule="auto"/>
        <w:rPr>
          <w:rFonts w:ascii="SimSun" w:hAnsi="SimSun" w:eastAsia="SimSun" w:cs="SimSun"/>
          <w:sz w:val="21"/>
          <w:szCs w:val="21"/>
        </w:rPr>
      </w:pPr>
      <w:r>
        <w:rPr>
          <w:rFonts w:ascii="SimSun" w:hAnsi="SimSun" w:eastAsia="SimSun" w:cs="SimSun"/>
          <w:sz w:val="21"/>
          <w:szCs w:val="21"/>
          <w:spacing w:val="1"/>
        </w:rPr>
        <w:t>在传统的质量管理体系中，组织质量评估的战略目标、战术目标和阈值，是组</w:t>
      </w:r>
      <w:r>
        <w:rPr>
          <w:rFonts w:ascii="SimSun" w:hAnsi="SimSun" w:eastAsia="SimSun" w:cs="SimSun"/>
          <w:sz w:val="21"/>
          <w:szCs w:val="21"/>
          <w:spacing w:val="12"/>
        </w:rPr>
        <w:t xml:space="preserve"> </w:t>
      </w:r>
      <w:r>
        <w:rPr>
          <w:rFonts w:ascii="SimSun" w:hAnsi="SimSun" w:eastAsia="SimSun" w:cs="SimSun"/>
          <w:sz w:val="21"/>
          <w:szCs w:val="21"/>
          <w:spacing w:val="2"/>
        </w:rPr>
        <w:t>织建立质量管理体系过程中一个极其重要的</w:t>
      </w:r>
      <w:r>
        <w:rPr>
          <w:rFonts w:ascii="SimSun" w:hAnsi="SimSun" w:eastAsia="SimSun" w:cs="SimSun"/>
          <w:sz w:val="21"/>
          <w:szCs w:val="21"/>
          <w:spacing w:val="1"/>
        </w:rPr>
        <w:t>内容。在云计算时代，数据成为质量的</w:t>
      </w:r>
      <w:r>
        <w:rPr>
          <w:rFonts w:ascii="SimSun" w:hAnsi="SimSun" w:eastAsia="SimSun" w:cs="SimSun"/>
          <w:sz w:val="21"/>
          <w:szCs w:val="21"/>
        </w:rPr>
        <w:t xml:space="preserve"> </w:t>
      </w:r>
      <w:r>
        <w:rPr>
          <w:rFonts w:ascii="SimSun" w:hAnsi="SimSun" w:eastAsia="SimSun" w:cs="SimSun"/>
          <w:sz w:val="21"/>
          <w:szCs w:val="21"/>
          <w:spacing w:val="1"/>
        </w:rPr>
        <w:t>依据和来源，建立数据质量评估的目标和阈值，就成为云端数据质量管理的首要前</w:t>
      </w:r>
      <w:r>
        <w:rPr>
          <w:rFonts w:ascii="SimSun" w:hAnsi="SimSun" w:eastAsia="SimSun" w:cs="SimSun"/>
          <w:sz w:val="21"/>
          <w:szCs w:val="21"/>
          <w:spacing w:val="14"/>
        </w:rPr>
        <w:t xml:space="preserve"> </w:t>
      </w:r>
      <w:r>
        <w:rPr>
          <w:rFonts w:ascii="SimSun" w:hAnsi="SimSun" w:eastAsia="SimSun" w:cs="SimSun"/>
          <w:sz w:val="21"/>
          <w:szCs w:val="21"/>
          <w:spacing w:val="14"/>
        </w:rPr>
        <w:t>提。标准的过程方法包括现状调查(输入)、分析研</w:t>
      </w:r>
      <w:r>
        <w:rPr>
          <w:rFonts w:ascii="SimSun" w:hAnsi="SimSun" w:eastAsia="SimSun" w:cs="SimSun"/>
          <w:sz w:val="21"/>
          <w:szCs w:val="21"/>
          <w:spacing w:val="13"/>
        </w:rPr>
        <w:t>究(活动)和确定目标(输出)</w:t>
      </w:r>
      <w:r>
        <w:rPr>
          <w:rFonts w:ascii="SimSun" w:hAnsi="SimSun" w:eastAsia="SimSun" w:cs="SimSun"/>
          <w:sz w:val="21"/>
          <w:szCs w:val="21"/>
        </w:rPr>
        <w:t xml:space="preserve"> </w:t>
      </w:r>
      <w:r>
        <w:rPr>
          <w:rFonts w:ascii="SimSun" w:hAnsi="SimSun" w:eastAsia="SimSun" w:cs="SimSun"/>
          <w:sz w:val="21"/>
          <w:szCs w:val="21"/>
          <w:spacing w:val="2"/>
        </w:rPr>
        <w:t>等三个步骤。应先调查组织的数据质量现状，通过发散的思维，充分分析组织面临</w:t>
      </w:r>
      <w:r>
        <w:rPr>
          <w:rFonts w:ascii="SimSun" w:hAnsi="SimSun" w:eastAsia="SimSun" w:cs="SimSun"/>
          <w:sz w:val="21"/>
          <w:szCs w:val="21"/>
          <w:spacing w:val="3"/>
        </w:rPr>
        <w:t xml:space="preserve"> </w:t>
      </w:r>
      <w:r>
        <w:rPr>
          <w:rFonts w:ascii="SimSun" w:hAnsi="SimSun" w:eastAsia="SimSun" w:cs="SimSun"/>
          <w:sz w:val="21"/>
          <w:szCs w:val="21"/>
          <w:spacing w:val="1"/>
        </w:rPr>
        <w:t>的数据质量要求、客户需求以及存在的问题；在此基础之上，通过德尔菲法、层次</w:t>
      </w:r>
      <w:r>
        <w:rPr>
          <w:rFonts w:ascii="SimSun" w:hAnsi="SimSun" w:eastAsia="SimSun" w:cs="SimSun"/>
          <w:sz w:val="21"/>
          <w:szCs w:val="21"/>
          <w:spacing w:val="11"/>
        </w:rPr>
        <w:t xml:space="preserve"> </w:t>
      </w:r>
      <w:r>
        <w:rPr>
          <w:rFonts w:ascii="SimSun" w:hAnsi="SimSun" w:eastAsia="SimSun" w:cs="SimSun"/>
          <w:sz w:val="21"/>
          <w:szCs w:val="21"/>
          <w:spacing w:val="1"/>
        </w:rPr>
        <w:t>分析法等方法，对质量要求、客户需求和现实问题，提出相应的解决方案和优先级</w:t>
      </w:r>
      <w:r>
        <w:rPr>
          <w:rFonts w:ascii="SimSun" w:hAnsi="SimSun" w:eastAsia="SimSun" w:cs="SimSun"/>
          <w:sz w:val="21"/>
          <w:szCs w:val="21"/>
          <w:spacing w:val="15"/>
        </w:rPr>
        <w:t xml:space="preserve"> </w:t>
      </w:r>
      <w:r>
        <w:rPr>
          <w:rFonts w:ascii="SimSun" w:hAnsi="SimSun" w:eastAsia="SimSun" w:cs="SimSun"/>
          <w:sz w:val="21"/>
          <w:szCs w:val="21"/>
          <w:spacing w:val="1"/>
        </w:rPr>
        <w:t>排序；最后确定数据质量评估的各项战略、战术目标以及阈值，这些目标必须是量</w:t>
      </w:r>
      <w:r>
        <w:rPr>
          <w:rFonts w:ascii="SimSun" w:hAnsi="SimSun" w:eastAsia="SimSun" w:cs="SimSun"/>
          <w:sz w:val="21"/>
          <w:szCs w:val="21"/>
          <w:spacing w:val="11"/>
        </w:rPr>
        <w:t xml:space="preserve"> </w:t>
      </w:r>
      <w:r>
        <w:rPr>
          <w:rFonts w:ascii="SimSun" w:hAnsi="SimSun" w:eastAsia="SimSun" w:cs="SimSun"/>
          <w:sz w:val="21"/>
          <w:szCs w:val="21"/>
          <w:spacing w:val="-9"/>
        </w:rPr>
        <w:t>化的和可测量的。</w:t>
      </w:r>
    </w:p>
    <w:p>
      <w:pPr>
        <w:spacing w:line="143" w:lineRule="exact"/>
        <w:rPr/>
      </w:pPr>
      <w:r/>
    </w:p>
    <w:tbl>
      <w:tblPr>
        <w:tblStyle w:val="TableNormal"/>
        <w:tblW w:w="758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2" w:hRule="atLeast"/>
        </w:trPr>
        <w:tc>
          <w:tcPr>
            <w:tcW w:w="704" w:type="dxa"/>
            <w:vAlign w:val="top"/>
          </w:tcPr>
          <w:p>
            <w:pPr>
              <w:pStyle w:val="TableText"/>
              <w:ind w:left="194"/>
              <w:spacing w:before="92" w:line="221" w:lineRule="auto"/>
              <w:rPr/>
            </w:pPr>
            <w:r>
              <w:rPr>
                <w:spacing w:val="-2"/>
              </w:rPr>
              <w:t>序号</w:t>
            </w:r>
          </w:p>
        </w:tc>
        <w:tc>
          <w:tcPr>
            <w:tcW w:w="3135" w:type="dxa"/>
            <w:vAlign w:val="top"/>
          </w:tcPr>
          <w:p>
            <w:pPr>
              <w:pStyle w:val="TableText"/>
              <w:ind w:left="114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91" w:line="220" w:lineRule="auto"/>
              <w:rPr/>
            </w:pPr>
            <w:r>
              <w:rPr>
                <w:spacing w:val="-5"/>
              </w:rPr>
              <w:t>实</w:t>
            </w:r>
            <w:r>
              <w:rPr>
                <w:spacing w:val="1"/>
              </w:rPr>
              <w:t xml:space="preserve">   </w:t>
            </w:r>
            <w:r>
              <w:rPr>
                <w:spacing w:val="-5"/>
              </w:rPr>
              <w:t>例</w:t>
            </w:r>
          </w:p>
        </w:tc>
      </w:tr>
      <w:tr>
        <w:trPr>
          <w:trHeight w:val="828" w:hRule="atLeast"/>
        </w:trPr>
        <w:tc>
          <w:tcPr>
            <w:tcW w:w="704" w:type="dxa"/>
            <w:vAlign w:val="top"/>
          </w:tcPr>
          <w:p>
            <w:pPr>
              <w:spacing w:line="327" w:lineRule="auto"/>
              <w:rPr>
                <w:rFonts w:ascii="Arial"/>
                <w:sz w:val="21"/>
              </w:rPr>
            </w:pPr>
            <w:r/>
          </w:p>
          <w:p>
            <w:pPr>
              <w:pStyle w:val="TableText"/>
              <w:ind w:left="224"/>
              <w:spacing w:before="48" w:line="183" w:lineRule="auto"/>
              <w:rPr/>
            </w:pPr>
            <w:r>
              <w:rPr>
                <w:spacing w:val="-2"/>
              </w:rPr>
              <w:t>2.2</w:t>
            </w:r>
          </w:p>
        </w:tc>
        <w:tc>
          <w:tcPr>
            <w:tcW w:w="3135" w:type="dxa"/>
            <w:vAlign w:val="top"/>
          </w:tcPr>
          <w:p>
            <w:pPr>
              <w:pStyle w:val="TableText"/>
              <w:ind w:left="120" w:right="161" w:firstLine="149"/>
              <w:spacing w:before="228" w:line="276" w:lineRule="auto"/>
              <w:rPr/>
            </w:pPr>
            <w:r>
              <w:rPr>
                <w:spacing w:val="-1"/>
              </w:rPr>
              <w:t>数据治理宜按主题域为数据质量评估确定</w:t>
            </w:r>
            <w:r>
              <w:rPr>
                <w:spacing w:val="9"/>
              </w:rPr>
              <w:t xml:space="preserve"> </w:t>
            </w:r>
            <w:r>
              <w:rPr>
                <w:spacing w:val="-2"/>
              </w:rPr>
              <w:t>关键的特性集</w:t>
            </w:r>
          </w:p>
        </w:tc>
        <w:tc>
          <w:tcPr>
            <w:tcW w:w="3750" w:type="dxa"/>
            <w:vAlign w:val="top"/>
          </w:tcPr>
          <w:p>
            <w:pPr>
              <w:pStyle w:val="TableText"/>
              <w:ind w:left="275"/>
              <w:spacing w:before="79" w:line="219" w:lineRule="auto"/>
              <w:rPr/>
            </w:pPr>
            <w:r>
              <w:rPr/>
              <w:t>●组织业务相关的主题域</w:t>
            </w:r>
          </w:p>
          <w:p>
            <w:pPr>
              <w:pStyle w:val="TableText"/>
              <w:ind w:left="275"/>
              <w:spacing w:before="102" w:line="219" w:lineRule="auto"/>
              <w:rPr/>
            </w:pPr>
            <w:r>
              <w:rPr/>
              <w:t>●主题域相关的数据特性集</w:t>
            </w:r>
          </w:p>
          <w:p>
            <w:pPr>
              <w:pStyle w:val="TableText"/>
              <w:ind w:left="275"/>
              <w:spacing w:before="90" w:line="218" w:lineRule="auto"/>
              <w:rPr/>
            </w:pPr>
            <w:r>
              <w:rPr/>
              <w:t>●数据质量度量和评估的维度</w:t>
            </w:r>
          </w:p>
        </w:tc>
      </w:tr>
    </w:tbl>
    <w:p>
      <w:pPr>
        <w:ind w:left="314"/>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233" w:firstLine="419"/>
        <w:spacing w:before="92" w:line="261" w:lineRule="auto"/>
        <w:rPr>
          <w:rFonts w:ascii="SimSun" w:hAnsi="SimSun" w:eastAsia="SimSun" w:cs="SimSun"/>
          <w:sz w:val="21"/>
          <w:szCs w:val="21"/>
        </w:rPr>
      </w:pPr>
      <w:r>
        <w:rPr>
          <w:rFonts w:ascii="SimSun" w:hAnsi="SimSun" w:eastAsia="SimSun" w:cs="SimSun"/>
          <w:sz w:val="21"/>
          <w:szCs w:val="21"/>
          <w:spacing w:val="2"/>
        </w:rPr>
        <w:t>在组织管理共享数据资产质量的过程中，按主题领</w:t>
      </w:r>
      <w:r>
        <w:rPr>
          <w:rFonts w:ascii="SimSun" w:hAnsi="SimSun" w:eastAsia="SimSun" w:cs="SimSun"/>
          <w:sz w:val="21"/>
          <w:szCs w:val="21"/>
          <w:spacing w:val="1"/>
        </w:rPr>
        <w:t>域定义关键特性集是十分必</w:t>
      </w:r>
      <w:r>
        <w:rPr>
          <w:rFonts w:ascii="SimSun" w:hAnsi="SimSun" w:eastAsia="SimSun" w:cs="SimSun"/>
          <w:sz w:val="21"/>
          <w:szCs w:val="21"/>
        </w:rPr>
        <w:t xml:space="preserve"> </w:t>
      </w:r>
      <w:r>
        <w:rPr>
          <w:rFonts w:ascii="SimSun" w:hAnsi="SimSun" w:eastAsia="SimSun" w:cs="SimSun"/>
          <w:sz w:val="21"/>
          <w:szCs w:val="21"/>
          <w:spacing w:val="1"/>
        </w:rPr>
        <w:t>要的。数据治理小组评审了关键特性，并预估了这些特性的价值，其预估的价值会</w:t>
      </w:r>
      <w:r>
        <w:rPr>
          <w:rFonts w:ascii="SimSun" w:hAnsi="SimSun" w:eastAsia="SimSun" w:cs="SimSun"/>
          <w:sz w:val="21"/>
          <w:szCs w:val="21"/>
          <w:spacing w:val="12"/>
        </w:rPr>
        <w:t xml:space="preserve"> </w:t>
      </w:r>
      <w:r>
        <w:rPr>
          <w:rFonts w:ascii="SimSun" w:hAnsi="SimSun" w:eastAsia="SimSun" w:cs="SimSun"/>
          <w:sz w:val="21"/>
          <w:szCs w:val="21"/>
          <w:spacing w:val="1"/>
        </w:rPr>
        <w:t>超过其管理和评估成本。同时，数据治理建立术语和定义的管理工作，包括了如何</w:t>
      </w:r>
      <w:r>
        <w:rPr>
          <w:rFonts w:ascii="SimSun" w:hAnsi="SimSun" w:eastAsia="SimSun" w:cs="SimSun"/>
          <w:sz w:val="21"/>
          <w:szCs w:val="21"/>
          <w:spacing w:val="10"/>
        </w:rPr>
        <w:t xml:space="preserve"> </w:t>
      </w:r>
      <w:r>
        <w:rPr>
          <w:rFonts w:ascii="SimSun" w:hAnsi="SimSun" w:eastAsia="SimSun" w:cs="SimSun"/>
          <w:sz w:val="21"/>
          <w:szCs w:val="21"/>
          <w:spacing w:val="1"/>
        </w:rPr>
        <w:t>定义和度量数据质量以保证组织内部的一致性。这个功能还包括数据质量维度的选</w:t>
      </w:r>
      <w:r>
        <w:rPr>
          <w:rFonts w:ascii="SimSun" w:hAnsi="SimSun" w:eastAsia="SimSun" w:cs="SimSun"/>
          <w:sz w:val="21"/>
          <w:szCs w:val="21"/>
          <w:spacing w:val="11"/>
        </w:rPr>
        <w:t xml:space="preserve"> </w:t>
      </w:r>
      <w:r>
        <w:rPr>
          <w:rFonts w:ascii="SimSun" w:hAnsi="SimSun" w:eastAsia="SimSun" w:cs="SimSun"/>
          <w:sz w:val="21"/>
          <w:szCs w:val="21"/>
          <w:spacing w:val="-3"/>
        </w:rPr>
        <w:t>择，数据将会根据这些维度得以评估。</w:t>
      </w:r>
    </w:p>
    <w:p>
      <w:pPr>
        <w:spacing w:line="131" w:lineRule="exact"/>
        <w:rPr/>
      </w:pPr>
      <w:r/>
    </w:p>
    <w:tbl>
      <w:tblPr>
        <w:tblStyle w:val="TableNormal"/>
        <w:tblW w:w="758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16"/>
        <w:gridCol w:w="3760"/>
      </w:tblGrid>
      <w:tr>
        <w:trPr>
          <w:trHeight w:val="301" w:hRule="atLeast"/>
        </w:trPr>
        <w:tc>
          <w:tcPr>
            <w:tcW w:w="704" w:type="dxa"/>
            <w:vAlign w:val="top"/>
          </w:tcPr>
          <w:p>
            <w:pPr>
              <w:pStyle w:val="TableText"/>
              <w:ind w:left="184"/>
              <w:spacing w:before="72" w:line="221" w:lineRule="auto"/>
              <w:rPr>
                <w:sz w:val="16"/>
                <w:szCs w:val="16"/>
              </w:rPr>
            </w:pPr>
            <w:r>
              <w:rPr>
                <w:sz w:val="16"/>
                <w:szCs w:val="16"/>
                <w:spacing w:val="-2"/>
              </w:rPr>
              <w:t>序号</w:t>
            </w:r>
          </w:p>
        </w:tc>
        <w:tc>
          <w:tcPr>
            <w:tcW w:w="3116" w:type="dxa"/>
            <w:vAlign w:val="top"/>
          </w:tcPr>
          <w:p>
            <w:pPr>
              <w:pStyle w:val="TableText"/>
              <w:ind w:left="1141"/>
              <w:spacing w:before="71" w:line="219" w:lineRule="auto"/>
              <w:rPr>
                <w:sz w:val="16"/>
                <w:szCs w:val="16"/>
              </w:rPr>
            </w:pPr>
            <w:r>
              <w:rPr>
                <w:sz w:val="16"/>
                <w:szCs w:val="16"/>
                <w:spacing w:val="-4"/>
              </w:rPr>
              <w:t>等 级 要 求</w:t>
            </w:r>
          </w:p>
        </w:tc>
        <w:tc>
          <w:tcPr>
            <w:tcW w:w="3760" w:type="dxa"/>
            <w:vAlign w:val="top"/>
          </w:tcPr>
          <w:p>
            <w:pPr>
              <w:pStyle w:val="TableText"/>
              <w:ind w:left="1565"/>
              <w:spacing w:before="7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04" w:type="dxa"/>
            <w:vAlign w:val="top"/>
          </w:tcPr>
          <w:p>
            <w:pPr>
              <w:pStyle w:val="TableText"/>
              <w:ind w:left="224"/>
              <w:spacing w:before="241" w:line="183" w:lineRule="auto"/>
              <w:rPr>
                <w:sz w:val="16"/>
                <w:szCs w:val="16"/>
              </w:rPr>
            </w:pPr>
            <w:r>
              <w:rPr>
                <w:sz w:val="16"/>
                <w:szCs w:val="16"/>
                <w:spacing w:val="-2"/>
              </w:rPr>
              <w:t>2.3</w:t>
            </w:r>
          </w:p>
        </w:tc>
        <w:tc>
          <w:tcPr>
            <w:tcW w:w="3116" w:type="dxa"/>
            <w:vAlign w:val="top"/>
          </w:tcPr>
          <w:p>
            <w:pPr>
              <w:pStyle w:val="TableText"/>
              <w:ind w:left="111" w:right="116" w:firstLine="139"/>
              <w:spacing w:before="80" w:line="270" w:lineRule="auto"/>
              <w:rPr>
                <w:sz w:val="16"/>
                <w:szCs w:val="16"/>
              </w:rPr>
            </w:pPr>
            <w:r>
              <w:rPr>
                <w:sz w:val="16"/>
                <w:szCs w:val="16"/>
                <w:spacing w:val="1"/>
              </w:rPr>
              <w:t>根据每个数据质量评估方针所制订的周</w:t>
            </w:r>
            <w:r>
              <w:rPr>
                <w:sz w:val="16"/>
                <w:szCs w:val="16"/>
              </w:rPr>
              <w:t xml:space="preserve"> </w:t>
            </w:r>
            <w:r>
              <w:rPr>
                <w:sz w:val="16"/>
                <w:szCs w:val="16"/>
                <w:spacing w:val="-1"/>
              </w:rPr>
              <w:t>期，定期执行对数据质量的评估</w:t>
            </w:r>
          </w:p>
        </w:tc>
        <w:tc>
          <w:tcPr>
            <w:tcW w:w="3760" w:type="dxa"/>
            <w:vAlign w:val="top"/>
          </w:tcPr>
          <w:p>
            <w:pPr>
              <w:pStyle w:val="TableText"/>
              <w:ind w:left="274"/>
              <w:spacing w:before="79" w:line="218" w:lineRule="auto"/>
              <w:rPr>
                <w:sz w:val="16"/>
                <w:szCs w:val="16"/>
              </w:rPr>
            </w:pPr>
            <w:r>
              <w:rPr>
                <w:sz w:val="16"/>
                <w:szCs w:val="16"/>
              </w:rPr>
              <w:t>●数据质量评估方针中确定的评估周期</w:t>
            </w:r>
          </w:p>
          <w:p>
            <w:pPr>
              <w:pStyle w:val="TableText"/>
              <w:ind w:left="274"/>
              <w:spacing w:before="90" w:line="218" w:lineRule="auto"/>
              <w:rPr>
                <w:sz w:val="16"/>
                <w:szCs w:val="16"/>
              </w:rPr>
            </w:pPr>
            <w:r>
              <w:rPr>
                <w:sz w:val="16"/>
                <w:szCs w:val="16"/>
              </w:rPr>
              <w:t>●定期执行的数据质量评估记录</w:t>
            </w:r>
          </w:p>
        </w:tc>
      </w:tr>
    </w:tbl>
    <w:p>
      <w:pPr>
        <w:pStyle w:val="BodyText"/>
        <w:rPr/>
      </w:pPr>
      <w:r/>
    </w:p>
    <w:p>
      <w:pPr>
        <w:sectPr>
          <w:footerReference w:type="default" r:id="rId277"/>
          <w:pgSz w:w="8870" w:h="13400"/>
          <w:pgMar w:top="400" w:right="628" w:bottom="548" w:left="390" w:header="0" w:footer="338" w:gutter="0"/>
        </w:sectPr>
        <w:rPr/>
      </w:pPr>
    </w:p>
    <w:p>
      <w:pPr>
        <w:ind w:left="232"/>
        <w:spacing w:before="275" w:line="219" w:lineRule="auto"/>
        <w:rPr>
          <w:rFonts w:ascii="SimSun" w:hAnsi="SimSun" w:eastAsia="SimSun" w:cs="SimSun"/>
          <w:sz w:val="21"/>
          <w:szCs w:val="21"/>
        </w:rPr>
      </w:pPr>
      <w:r>
        <w:pict>
          <v:rect id="_x0000_s396" style="position:absolute;margin-left:29.0005pt;margin-top:29.5001pt;mso-position-vertical-relative:page;mso-position-horizontal-relative:page;width:0.55pt;height:18.05pt;z-index:255142912;" o:allowincell="f" fillcolor="#000000" filled="true" stroked="false"/>
        </w:pict>
      </w:r>
      <w:r>
        <w:rPr>
          <w:rFonts w:ascii="SimSun" w:hAnsi="SimSun" w:eastAsia="SimSun" w:cs="SimSun"/>
          <w:sz w:val="21"/>
          <w:szCs w:val="21"/>
          <w:b/>
          <w:bCs/>
          <w:spacing w:val="-16"/>
        </w:rPr>
        <w:t>云端数据治理■</w:t>
      </w:r>
    </w:p>
    <w:p>
      <w:pPr>
        <w:pStyle w:val="BodyText"/>
        <w:spacing w:line="254" w:lineRule="auto"/>
        <w:rPr/>
      </w:pPr>
      <w:r/>
    </w:p>
    <w:p>
      <w:pPr>
        <w:ind w:left="545"/>
        <w:spacing w:before="68"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230" w:right="55" w:firstLine="419"/>
        <w:spacing w:before="68" w:line="253" w:lineRule="auto"/>
        <w:rPr>
          <w:rFonts w:ascii="SimSun" w:hAnsi="SimSun" w:eastAsia="SimSun" w:cs="SimSun"/>
          <w:sz w:val="21"/>
          <w:szCs w:val="21"/>
        </w:rPr>
      </w:pPr>
      <w:r>
        <w:rPr>
          <w:rFonts w:ascii="SimSun" w:hAnsi="SimSun" w:eastAsia="SimSun" w:cs="SimSun"/>
          <w:sz w:val="21"/>
          <w:szCs w:val="21"/>
          <w:spacing w:val="2"/>
        </w:rPr>
        <w:t>数据质量评估从业务单元的角度对数据质量进行评估，判断其与已定义质量维</w:t>
      </w:r>
      <w:r>
        <w:rPr>
          <w:rFonts w:ascii="SimSun" w:hAnsi="SimSun" w:eastAsia="SimSun" w:cs="SimSun"/>
          <w:sz w:val="21"/>
          <w:szCs w:val="21"/>
          <w:spacing w:val="10"/>
        </w:rPr>
        <w:t xml:space="preserve"> </w:t>
      </w:r>
      <w:r>
        <w:rPr>
          <w:rFonts w:ascii="SimSun" w:hAnsi="SimSun" w:eastAsia="SimSun" w:cs="SimSun"/>
          <w:sz w:val="21"/>
          <w:szCs w:val="21"/>
          <w:spacing w:val="2"/>
        </w:rPr>
        <w:t>度和准则间的一致性。数据质量方针中会确定评估的周期，针对不同的数据集，周</w:t>
      </w:r>
      <w:r>
        <w:rPr>
          <w:rFonts w:ascii="SimSun" w:hAnsi="SimSun" w:eastAsia="SimSun" w:cs="SimSun"/>
          <w:sz w:val="21"/>
          <w:szCs w:val="21"/>
          <w:spacing w:val="1"/>
        </w:rPr>
        <w:t xml:space="preserve"> </w:t>
      </w:r>
      <w:r>
        <w:rPr>
          <w:rFonts w:ascii="SimSun" w:hAnsi="SimSun" w:eastAsia="SimSun" w:cs="SimSun"/>
          <w:sz w:val="21"/>
          <w:szCs w:val="21"/>
          <w:spacing w:val="2"/>
        </w:rPr>
        <w:t>期应有所不同。开展定期的数据质量评估，便于组织掌握自身的数据质量</w:t>
      </w:r>
      <w:r>
        <w:rPr>
          <w:rFonts w:ascii="SimSun" w:hAnsi="SimSun" w:eastAsia="SimSun" w:cs="SimSun"/>
          <w:sz w:val="21"/>
          <w:szCs w:val="21"/>
          <w:spacing w:val="1"/>
        </w:rPr>
        <w:t>情况，以</w:t>
      </w:r>
      <w:r>
        <w:rPr>
          <w:rFonts w:ascii="SimSun" w:hAnsi="SimSun" w:eastAsia="SimSun" w:cs="SimSun"/>
          <w:sz w:val="21"/>
          <w:szCs w:val="21"/>
        </w:rPr>
        <w:t xml:space="preserve"> </w:t>
      </w:r>
      <w:r>
        <w:rPr>
          <w:rFonts w:ascii="SimSun" w:hAnsi="SimSun" w:eastAsia="SimSun" w:cs="SimSun"/>
          <w:sz w:val="21"/>
          <w:szCs w:val="21"/>
          <w:spacing w:val="-4"/>
        </w:rPr>
        <w:t>执行改进和优化策略。</w:t>
      </w:r>
    </w:p>
    <w:p>
      <w:pPr>
        <w:spacing w:line="147" w:lineRule="exact"/>
        <w:rPr/>
      </w:pPr>
      <w:r/>
    </w:p>
    <w:tbl>
      <w:tblPr>
        <w:tblStyle w:val="TableNormal"/>
        <w:tblW w:w="759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26"/>
        <w:gridCol w:w="3760"/>
      </w:tblGrid>
      <w:tr>
        <w:trPr>
          <w:trHeight w:val="331" w:hRule="atLeast"/>
        </w:trPr>
        <w:tc>
          <w:tcPr>
            <w:tcW w:w="704" w:type="dxa"/>
            <w:vAlign w:val="top"/>
          </w:tcPr>
          <w:p>
            <w:pPr>
              <w:pStyle w:val="TableText"/>
              <w:ind w:left="185"/>
              <w:spacing w:before="92" w:line="221" w:lineRule="auto"/>
              <w:rPr>
                <w:sz w:val="16"/>
                <w:szCs w:val="16"/>
              </w:rPr>
            </w:pPr>
            <w:r>
              <w:rPr>
                <w:sz w:val="16"/>
                <w:szCs w:val="16"/>
                <w:spacing w:val="-2"/>
              </w:rPr>
              <w:t>序号</w:t>
            </w:r>
          </w:p>
        </w:tc>
        <w:tc>
          <w:tcPr>
            <w:tcW w:w="3126" w:type="dxa"/>
            <w:vAlign w:val="top"/>
          </w:tcPr>
          <w:p>
            <w:pPr>
              <w:pStyle w:val="TableText"/>
              <w:ind w:left="1151"/>
              <w:spacing w:before="91" w:line="219" w:lineRule="auto"/>
              <w:rPr>
                <w:sz w:val="16"/>
                <w:szCs w:val="16"/>
              </w:rPr>
            </w:pPr>
            <w:r>
              <w:rPr>
                <w:sz w:val="16"/>
                <w:szCs w:val="16"/>
                <w:spacing w:val="-4"/>
              </w:rPr>
              <w:t>等 级 要 求</w:t>
            </w:r>
          </w:p>
        </w:tc>
        <w:tc>
          <w:tcPr>
            <w:tcW w:w="3760" w:type="dxa"/>
            <w:vAlign w:val="top"/>
          </w:tcPr>
          <w:p>
            <w:pPr>
              <w:pStyle w:val="TableText"/>
              <w:ind w:left="157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04" w:type="dxa"/>
            <w:vAlign w:val="top"/>
          </w:tcPr>
          <w:p>
            <w:pPr>
              <w:pStyle w:val="TableText"/>
              <w:ind w:left="224"/>
              <w:spacing w:before="241" w:line="183" w:lineRule="auto"/>
              <w:rPr>
                <w:sz w:val="16"/>
                <w:szCs w:val="16"/>
              </w:rPr>
            </w:pPr>
            <w:r>
              <w:rPr>
                <w:sz w:val="16"/>
                <w:szCs w:val="16"/>
                <w:spacing w:val="-2"/>
              </w:rPr>
              <w:t>2.4</w:t>
            </w:r>
          </w:p>
        </w:tc>
        <w:tc>
          <w:tcPr>
            <w:tcW w:w="3126" w:type="dxa"/>
            <w:vAlign w:val="top"/>
          </w:tcPr>
          <w:p>
            <w:pPr>
              <w:pStyle w:val="TableText"/>
              <w:ind w:left="121" w:firstLine="149"/>
              <w:spacing w:before="79" w:line="270" w:lineRule="auto"/>
              <w:rPr>
                <w:sz w:val="16"/>
                <w:szCs w:val="16"/>
              </w:rPr>
            </w:pPr>
            <w:r>
              <w:rPr>
                <w:sz w:val="16"/>
                <w:szCs w:val="16"/>
                <w:spacing w:val="-2"/>
              </w:rPr>
              <w:t>数据质量评估结果包括了对修正活动的建</w:t>
            </w:r>
            <w:r>
              <w:rPr>
                <w:sz w:val="16"/>
                <w:szCs w:val="16"/>
              </w:rPr>
              <w:t xml:space="preserve"> </w:t>
            </w:r>
            <w:r>
              <w:rPr>
                <w:sz w:val="16"/>
                <w:szCs w:val="16"/>
                <w:spacing w:val="2"/>
              </w:rPr>
              <w:t>议以及相关的理由</w:t>
            </w:r>
          </w:p>
        </w:tc>
        <w:tc>
          <w:tcPr>
            <w:tcW w:w="3760" w:type="dxa"/>
            <w:vAlign w:val="top"/>
          </w:tcPr>
          <w:p>
            <w:pPr>
              <w:pStyle w:val="TableText"/>
              <w:ind w:left="275"/>
              <w:spacing w:before="199" w:line="218" w:lineRule="auto"/>
              <w:rPr>
                <w:sz w:val="16"/>
                <w:szCs w:val="16"/>
              </w:rPr>
            </w:pPr>
            <w:r>
              <w:rPr>
                <w:sz w:val="16"/>
                <w:szCs w:val="16"/>
              </w:rPr>
              <w:t>●数据质量评估的结果</w:t>
            </w:r>
          </w:p>
        </w:tc>
      </w:tr>
    </w:tbl>
    <w:p>
      <w:pPr>
        <w:ind w:left="545"/>
        <w:spacing w:before="193"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230" w:right="61" w:firstLine="419"/>
        <w:spacing w:before="80" w:line="236" w:lineRule="auto"/>
        <w:rPr>
          <w:rFonts w:ascii="SimSun" w:hAnsi="SimSun" w:eastAsia="SimSun" w:cs="SimSun"/>
          <w:sz w:val="21"/>
          <w:szCs w:val="21"/>
        </w:rPr>
      </w:pPr>
      <w:r>
        <w:rPr>
          <w:rFonts w:ascii="SimSun" w:hAnsi="SimSun" w:eastAsia="SimSun" w:cs="SimSun"/>
          <w:sz w:val="21"/>
          <w:szCs w:val="21"/>
          <w:spacing w:val="2"/>
        </w:rPr>
        <w:t>业务相关责任人对数据质量的改进活动进行了优先次序的排列，并且对数据质</w:t>
      </w:r>
      <w:r>
        <w:rPr>
          <w:rFonts w:ascii="SimSun" w:hAnsi="SimSun" w:eastAsia="SimSun" w:cs="SimSun"/>
          <w:sz w:val="21"/>
          <w:szCs w:val="21"/>
          <w:spacing w:val="4"/>
        </w:rPr>
        <w:t xml:space="preserve"> </w:t>
      </w:r>
      <w:r>
        <w:rPr>
          <w:rFonts w:ascii="SimSun" w:hAnsi="SimSun" w:eastAsia="SimSun" w:cs="SimSun"/>
          <w:sz w:val="21"/>
          <w:szCs w:val="21"/>
          <w:spacing w:val="-3"/>
        </w:rPr>
        <w:t>量的度量项进行评估、检查以及评审。</w:t>
      </w:r>
    </w:p>
    <w:p>
      <w:pPr>
        <w:ind w:left="230" w:right="68" w:firstLine="419"/>
        <w:spacing w:before="63" w:line="242" w:lineRule="auto"/>
        <w:rPr>
          <w:rFonts w:ascii="SimSun" w:hAnsi="SimSun" w:eastAsia="SimSun" w:cs="SimSun"/>
          <w:sz w:val="21"/>
          <w:szCs w:val="21"/>
        </w:rPr>
      </w:pPr>
      <w:r>
        <w:rPr>
          <w:rFonts w:ascii="SimSun" w:hAnsi="SimSun" w:eastAsia="SimSun" w:cs="SimSun"/>
          <w:sz w:val="21"/>
          <w:szCs w:val="21"/>
          <w:spacing w:val="2"/>
        </w:rPr>
        <w:t>支持依据通常包括根本原因分析以及影响评估，这些依据推动了纠正措</w:t>
      </w:r>
      <w:r>
        <w:rPr>
          <w:rFonts w:ascii="SimSun" w:hAnsi="SimSun" w:eastAsia="SimSun" w:cs="SimSun"/>
          <w:sz w:val="21"/>
          <w:szCs w:val="21"/>
          <w:spacing w:val="1"/>
        </w:rPr>
        <w:t>施的确</w:t>
      </w:r>
      <w:r>
        <w:rPr>
          <w:rFonts w:ascii="SimSun" w:hAnsi="SimSun" w:eastAsia="SimSun" w:cs="SimSun"/>
          <w:sz w:val="21"/>
          <w:szCs w:val="21"/>
        </w:rPr>
        <w:t xml:space="preserve"> </w:t>
      </w:r>
      <w:r>
        <w:rPr>
          <w:rFonts w:ascii="SimSun" w:hAnsi="SimSun" w:eastAsia="SimSun" w:cs="SimSun"/>
          <w:sz w:val="21"/>
          <w:szCs w:val="21"/>
          <w:spacing w:val="-1"/>
        </w:rPr>
        <w:t>定以及数据质量改进活动优先次序的确定。</w:t>
      </w:r>
    </w:p>
    <w:p>
      <w:pPr>
        <w:spacing w:line="137" w:lineRule="exact"/>
        <w:rPr/>
      </w:pPr>
      <w:r/>
    </w:p>
    <w:tbl>
      <w:tblPr>
        <w:tblStyle w:val="TableNormal"/>
        <w:tblW w:w="7590"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6"/>
        <w:gridCol w:w="3750"/>
      </w:tblGrid>
      <w:tr>
        <w:trPr>
          <w:trHeight w:val="322" w:hRule="atLeast"/>
        </w:trPr>
        <w:tc>
          <w:tcPr>
            <w:tcW w:w="704" w:type="dxa"/>
            <w:vAlign w:val="top"/>
          </w:tcPr>
          <w:p>
            <w:pPr>
              <w:pStyle w:val="TableText"/>
              <w:ind w:left="195"/>
              <w:spacing w:before="92" w:line="221" w:lineRule="auto"/>
              <w:rPr/>
            </w:pPr>
            <w:r>
              <w:rPr>
                <w:spacing w:val="-2"/>
              </w:rPr>
              <w:t>序号</w:t>
            </w:r>
          </w:p>
        </w:tc>
        <w:tc>
          <w:tcPr>
            <w:tcW w:w="3136"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91" w:line="220" w:lineRule="auto"/>
              <w:rPr/>
            </w:pPr>
            <w:r>
              <w:rPr>
                <w:spacing w:val="-5"/>
              </w:rPr>
              <w:t>实</w:t>
            </w:r>
            <w:r>
              <w:rPr>
                <w:spacing w:val="1"/>
              </w:rPr>
              <w:t xml:space="preserve">   </w:t>
            </w:r>
            <w:r>
              <w:rPr>
                <w:spacing w:val="-5"/>
              </w:rPr>
              <w:t>例</w:t>
            </w:r>
          </w:p>
        </w:tc>
      </w:tr>
      <w:tr>
        <w:trPr>
          <w:trHeight w:val="838" w:hRule="atLeast"/>
        </w:trPr>
        <w:tc>
          <w:tcPr>
            <w:tcW w:w="704" w:type="dxa"/>
            <w:vAlign w:val="top"/>
          </w:tcPr>
          <w:p>
            <w:pPr>
              <w:spacing w:line="337" w:lineRule="auto"/>
              <w:rPr>
                <w:rFonts w:ascii="Arial"/>
                <w:sz w:val="21"/>
              </w:rPr>
            </w:pPr>
            <w:r/>
          </w:p>
          <w:p>
            <w:pPr>
              <w:pStyle w:val="TableText"/>
              <w:ind w:left="224"/>
              <w:spacing w:before="48" w:line="183" w:lineRule="auto"/>
              <w:rPr/>
            </w:pPr>
            <w:r>
              <w:rPr>
                <w:spacing w:val="-2"/>
              </w:rPr>
              <w:t>2.5</w:t>
            </w:r>
          </w:p>
        </w:tc>
        <w:tc>
          <w:tcPr>
            <w:tcW w:w="3136" w:type="dxa"/>
            <w:vAlign w:val="top"/>
          </w:tcPr>
          <w:p>
            <w:pPr>
              <w:pStyle w:val="TableText"/>
              <w:ind w:left="130" w:firstLine="127"/>
              <w:spacing w:before="77" w:line="283" w:lineRule="auto"/>
              <w:rPr/>
            </w:pPr>
            <w:r>
              <w:rPr/>
              <w:t>影响分析包括以下内容：修正成本的预估、</w:t>
            </w:r>
            <w:r>
              <w:rPr>
                <w:spacing w:val="16"/>
              </w:rPr>
              <w:t xml:space="preserve"> </w:t>
            </w:r>
            <w:r>
              <w:rPr>
                <w:spacing w:val="-4"/>
              </w:rPr>
              <w:t>工作量、业务影响的特征、有形及无形的效</w:t>
            </w:r>
          </w:p>
          <w:p>
            <w:pPr>
              <w:pStyle w:val="TableText"/>
              <w:ind w:left="111"/>
              <w:spacing w:before="110" w:line="222" w:lineRule="auto"/>
              <w:rPr/>
            </w:pPr>
            <w:r>
              <w:rPr/>
              <w:t>益</w:t>
            </w:r>
          </w:p>
        </w:tc>
        <w:tc>
          <w:tcPr>
            <w:tcW w:w="3750" w:type="dxa"/>
            <w:vAlign w:val="top"/>
          </w:tcPr>
          <w:p>
            <w:pPr>
              <w:spacing w:line="298" w:lineRule="auto"/>
              <w:rPr>
                <w:rFonts w:ascii="Arial"/>
                <w:sz w:val="21"/>
              </w:rPr>
            </w:pPr>
            <w:r/>
          </w:p>
          <w:p>
            <w:pPr>
              <w:pStyle w:val="TableText"/>
              <w:ind w:left="265"/>
              <w:spacing w:before="49" w:line="219" w:lineRule="auto"/>
              <w:rPr/>
            </w:pPr>
            <w:r>
              <w:rPr>
                <w:spacing w:val="1"/>
              </w:rPr>
              <w:t>●业务影响分析及说明</w:t>
            </w:r>
          </w:p>
        </w:tc>
      </w:tr>
    </w:tbl>
    <w:p>
      <w:pPr>
        <w:ind w:left="545"/>
        <w:spacing w:before="204"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230" w:right="73" w:firstLine="419"/>
        <w:spacing w:before="49" w:line="246" w:lineRule="auto"/>
        <w:rPr>
          <w:rFonts w:ascii="SimSun" w:hAnsi="SimSun" w:eastAsia="SimSun" w:cs="SimSun"/>
          <w:sz w:val="21"/>
          <w:szCs w:val="21"/>
        </w:rPr>
      </w:pPr>
      <w:r>
        <w:rPr>
          <w:rFonts w:ascii="SimSun" w:hAnsi="SimSun" w:eastAsia="SimSun" w:cs="SimSun"/>
          <w:sz w:val="21"/>
          <w:szCs w:val="21"/>
          <w:spacing w:val="2"/>
        </w:rPr>
        <w:t>执行影响分析的目的是为了修正数据质量缺陷。不同的修正</w:t>
      </w:r>
      <w:r>
        <w:rPr>
          <w:rFonts w:ascii="SimSun" w:hAnsi="SimSun" w:eastAsia="SimSun" w:cs="SimSun"/>
          <w:sz w:val="21"/>
          <w:szCs w:val="21"/>
          <w:spacing w:val="1"/>
        </w:rPr>
        <w:t>决策产生的成本不</w:t>
      </w:r>
      <w:r>
        <w:rPr>
          <w:rFonts w:ascii="SimSun" w:hAnsi="SimSun" w:eastAsia="SimSun" w:cs="SimSun"/>
          <w:sz w:val="21"/>
          <w:szCs w:val="21"/>
        </w:rPr>
        <w:t xml:space="preserve"> </w:t>
      </w:r>
      <w:r>
        <w:rPr>
          <w:rFonts w:ascii="SimSun" w:hAnsi="SimSun" w:eastAsia="SimSun" w:cs="SimSun"/>
          <w:sz w:val="21"/>
          <w:szCs w:val="21"/>
          <w:spacing w:val="-1"/>
        </w:rPr>
        <w:t>同，因此为了实现最小成本一最大效益的目的，必须要实施影响分析。</w:t>
      </w:r>
    </w:p>
    <w:p>
      <w:pPr>
        <w:ind w:left="230" w:firstLine="419"/>
        <w:spacing w:before="61" w:line="261" w:lineRule="auto"/>
        <w:rPr>
          <w:rFonts w:ascii="SimSun" w:hAnsi="SimSun" w:eastAsia="SimSun" w:cs="SimSun"/>
          <w:sz w:val="21"/>
          <w:szCs w:val="21"/>
        </w:rPr>
      </w:pPr>
      <w:r>
        <w:rPr>
          <w:rFonts w:ascii="SimSun" w:hAnsi="SimSun" w:eastAsia="SimSun" w:cs="SimSun"/>
          <w:sz w:val="21"/>
          <w:szCs w:val="21"/>
          <w:spacing w:val="-2"/>
        </w:rPr>
        <w:t>对业务影响进行严重级别的定性十分有用，这能估算缺陷对业务过程的影响(例 </w:t>
      </w:r>
      <w:r>
        <w:rPr>
          <w:rFonts w:ascii="SimSun" w:hAnsi="SimSun" w:eastAsia="SimSun" w:cs="SimSun"/>
          <w:sz w:val="21"/>
          <w:szCs w:val="21"/>
          <w:spacing w:val="-2"/>
        </w:rPr>
        <w:t>如高、中、低),并提供简要的依据说明。同时，技术影响也应得到估算，并根据高、</w:t>
      </w:r>
      <w:r>
        <w:rPr>
          <w:rFonts w:ascii="SimSun" w:hAnsi="SimSun" w:eastAsia="SimSun" w:cs="SimSun"/>
          <w:sz w:val="21"/>
          <w:szCs w:val="21"/>
        </w:rPr>
        <w:t xml:space="preserve"> </w:t>
      </w:r>
      <w:r>
        <w:rPr>
          <w:rFonts w:ascii="SimSun" w:hAnsi="SimSun" w:eastAsia="SimSun" w:cs="SimSun"/>
          <w:sz w:val="21"/>
          <w:szCs w:val="21"/>
          <w:spacing w:val="-1"/>
        </w:rPr>
        <w:t>中、低得以定性，因为技术影响论述了修正缺陷的难度、时间和工作量。</w:t>
      </w:r>
    </w:p>
    <w:p>
      <w:pPr>
        <w:spacing w:line="127" w:lineRule="exact"/>
        <w:rPr/>
      </w:pPr>
      <w:r/>
    </w:p>
    <w:tbl>
      <w:tblPr>
        <w:tblStyle w:val="TableNormal"/>
        <w:tblW w:w="758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13" w:hRule="atLeast"/>
        </w:trPr>
        <w:tc>
          <w:tcPr>
            <w:tcW w:w="714" w:type="dxa"/>
            <w:vAlign w:val="top"/>
          </w:tcPr>
          <w:p>
            <w:pPr>
              <w:pStyle w:val="TableText"/>
              <w:ind w:left="194"/>
              <w:spacing w:before="81" w:line="221" w:lineRule="auto"/>
              <w:rPr/>
            </w:pPr>
            <w:r>
              <w:rPr>
                <w:spacing w:val="-2"/>
              </w:rPr>
              <w:t>序号</w:t>
            </w:r>
          </w:p>
        </w:tc>
        <w:tc>
          <w:tcPr>
            <w:tcW w:w="3145" w:type="dxa"/>
            <w:vAlign w:val="top"/>
          </w:tcPr>
          <w:p>
            <w:pPr>
              <w:pStyle w:val="TableText"/>
              <w:ind w:left="114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1966" w:hRule="atLeast"/>
        </w:trPr>
        <w:tc>
          <w:tcPr>
            <w:tcW w:w="714" w:type="dxa"/>
            <w:vAlign w:val="top"/>
          </w:tcPr>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pStyle w:val="TableText"/>
              <w:ind w:left="234"/>
              <w:spacing w:before="49" w:line="183" w:lineRule="auto"/>
              <w:rPr/>
            </w:pPr>
            <w:r>
              <w:rPr>
                <w:spacing w:val="-2"/>
              </w:rPr>
              <w:t>2.6</w:t>
            </w:r>
          </w:p>
        </w:tc>
        <w:tc>
          <w:tcPr>
            <w:tcW w:w="3145" w:type="dxa"/>
            <w:vAlign w:val="top"/>
          </w:tcPr>
          <w:p>
            <w:pPr>
              <w:spacing w:line="456" w:lineRule="auto"/>
              <w:rPr>
                <w:rFonts w:ascii="Arial"/>
                <w:sz w:val="21"/>
              </w:rPr>
            </w:pPr>
            <w:r/>
          </w:p>
          <w:p>
            <w:pPr>
              <w:pStyle w:val="TableText"/>
              <w:ind w:left="91" w:right="132" w:firstLine="119"/>
              <w:spacing w:before="48" w:line="310" w:lineRule="auto"/>
              <w:rPr/>
            </w:pPr>
            <w:r>
              <w:rPr>
                <w:spacing w:val="-1"/>
              </w:rPr>
              <w:t>数据质量评估报告中的分析，需要有支撑</w:t>
            </w:r>
            <w:r>
              <w:rPr>
                <w:spacing w:val="4"/>
              </w:rPr>
              <w:t xml:space="preserve">  </w:t>
            </w:r>
            <w:r>
              <w:rPr>
                <w:spacing w:val="2"/>
              </w:rPr>
              <w:t>的具体数据度量和评估的记录证据，以便对</w:t>
            </w:r>
            <w:r>
              <w:rPr>
                <w:spacing w:val="17"/>
              </w:rPr>
              <w:t xml:space="preserve"> </w:t>
            </w:r>
            <w:r>
              <w:rPr>
                <w:spacing w:val="3"/>
              </w:rPr>
              <w:t>问题进行深入挖掘和影响分析，找寻改进的 </w:t>
            </w:r>
            <w:r>
              <w:rPr>
                <w:spacing w:val="-2"/>
              </w:rPr>
              <w:t>机会</w:t>
            </w:r>
          </w:p>
        </w:tc>
        <w:tc>
          <w:tcPr>
            <w:tcW w:w="3730" w:type="dxa"/>
            <w:vAlign w:val="top"/>
          </w:tcPr>
          <w:p>
            <w:pPr>
              <w:pStyle w:val="TableText"/>
              <w:ind w:left="246"/>
              <w:spacing w:before="78" w:line="219" w:lineRule="auto"/>
              <w:rPr/>
            </w:pPr>
            <w:r>
              <w:rPr/>
              <w:t>●战略目标、战术目标以及阈值的文档</w:t>
            </w:r>
          </w:p>
          <w:p>
            <w:pPr>
              <w:pStyle w:val="TableText"/>
              <w:ind w:left="246"/>
              <w:spacing w:before="112" w:line="219" w:lineRule="auto"/>
              <w:rPr/>
            </w:pPr>
            <w:r>
              <w:rPr/>
              <w:t>●已记录的数据质量维度和特性</w:t>
            </w:r>
          </w:p>
          <w:p>
            <w:pPr>
              <w:pStyle w:val="TableText"/>
              <w:ind w:left="246"/>
              <w:spacing w:before="90" w:line="218" w:lineRule="auto"/>
              <w:rPr/>
            </w:pPr>
            <w:r>
              <w:rPr/>
              <w:t>●已记录的数据质量评估的度量项</w:t>
            </w:r>
          </w:p>
          <w:p>
            <w:pPr>
              <w:pStyle w:val="TableText"/>
              <w:ind w:left="246"/>
              <w:spacing w:before="94" w:line="219" w:lineRule="auto"/>
              <w:rPr/>
            </w:pPr>
            <w:r>
              <w:rPr/>
              <w:t>●已记录的业务和技术的影响分析</w:t>
            </w:r>
          </w:p>
          <w:p>
            <w:pPr>
              <w:pStyle w:val="TableText"/>
              <w:ind w:left="246"/>
              <w:spacing w:before="110" w:line="218" w:lineRule="auto"/>
              <w:rPr/>
            </w:pPr>
            <w:r>
              <w:rPr/>
              <w:t>●数据质量改进活动的工作量预估</w:t>
            </w:r>
          </w:p>
          <w:p>
            <w:pPr>
              <w:pStyle w:val="TableText"/>
              <w:ind w:left="246"/>
              <w:spacing w:before="102" w:line="218" w:lineRule="auto"/>
              <w:rPr/>
            </w:pPr>
            <w:r>
              <w:rPr/>
              <w:t>●业务相关责任人审评数据质量评估活动的证据</w:t>
            </w:r>
          </w:p>
          <w:p>
            <w:pPr>
              <w:pStyle w:val="TableText"/>
              <w:ind w:left="246"/>
              <w:spacing w:before="105" w:line="219" w:lineRule="auto"/>
              <w:rPr/>
            </w:pPr>
            <w:r>
              <w:rPr/>
              <w:t>●提出进行修正活动的建议</w:t>
            </w:r>
          </w:p>
        </w:tc>
      </w:tr>
    </w:tbl>
    <w:p>
      <w:pPr>
        <w:ind w:left="545"/>
        <w:spacing w:before="193" w:line="219" w:lineRule="auto"/>
        <w:rPr>
          <w:rFonts w:ascii="SimSun" w:hAnsi="SimSun" w:eastAsia="SimSun" w:cs="SimSun"/>
          <w:sz w:val="21"/>
          <w:szCs w:val="21"/>
        </w:rPr>
      </w:pPr>
      <w:r>
        <w:rPr>
          <w:rFonts w:ascii="SimSun" w:hAnsi="SimSun" w:eastAsia="SimSun" w:cs="SimSun"/>
          <w:sz w:val="21"/>
          <w:szCs w:val="21"/>
          <w:spacing w:val="-1"/>
        </w:rPr>
        <w:t>【成熟度等级说明】</w:t>
      </w:r>
    </w:p>
    <w:p>
      <w:pPr>
        <w:ind w:left="230" w:right="57" w:firstLine="419"/>
        <w:spacing w:before="61" w:line="249" w:lineRule="auto"/>
        <w:rPr>
          <w:rFonts w:ascii="SimSun" w:hAnsi="SimSun" w:eastAsia="SimSun" w:cs="SimSun"/>
          <w:sz w:val="21"/>
          <w:szCs w:val="21"/>
        </w:rPr>
      </w:pPr>
      <w:r>
        <w:rPr>
          <w:rFonts w:ascii="SimSun" w:hAnsi="SimSun" w:eastAsia="SimSun" w:cs="SimSun"/>
          <w:sz w:val="21"/>
          <w:szCs w:val="21"/>
          <w:spacing w:val="2"/>
        </w:rPr>
        <w:t>数据质量问题往往很细小，为了支持组织整体的数据质量改进，必须要记录所</w:t>
      </w:r>
      <w:r>
        <w:rPr>
          <w:rFonts w:ascii="SimSun" w:hAnsi="SimSun" w:eastAsia="SimSun" w:cs="SimSun"/>
          <w:sz w:val="21"/>
          <w:szCs w:val="21"/>
          <w:spacing w:val="8"/>
        </w:rPr>
        <w:t xml:space="preserve"> </w:t>
      </w:r>
      <w:r>
        <w:rPr>
          <w:rFonts w:ascii="SimSun" w:hAnsi="SimSun" w:eastAsia="SimSun" w:cs="SimSun"/>
          <w:sz w:val="21"/>
          <w:szCs w:val="21"/>
          <w:spacing w:val="2"/>
        </w:rPr>
        <w:t>有相关的数据度量和评估的记录，建议培养对实际价值的挖掘能力</w:t>
      </w:r>
      <w:r>
        <w:rPr>
          <w:rFonts w:ascii="SimSun" w:hAnsi="SimSun" w:eastAsia="SimSun" w:cs="SimSun"/>
          <w:sz w:val="21"/>
          <w:szCs w:val="21"/>
          <w:spacing w:val="1"/>
        </w:rPr>
        <w:t>以推动对数据的</w:t>
      </w:r>
    </w:p>
    <w:p>
      <w:pPr>
        <w:spacing w:line="249" w:lineRule="auto"/>
        <w:sectPr>
          <w:footerReference w:type="default" r:id="rId278"/>
          <w:pgSz w:w="8870" w:h="13400"/>
          <w:pgMar w:top="400" w:right="464" w:bottom="498" w:left="479" w:header="0" w:footer="289" w:gutter="0"/>
        </w:sectPr>
        <w:rPr>
          <w:rFonts w:ascii="SimSun" w:hAnsi="SimSun" w:eastAsia="SimSun" w:cs="SimSun"/>
          <w:sz w:val="21"/>
          <w:szCs w:val="21"/>
        </w:rPr>
      </w:pPr>
    </w:p>
    <w:p>
      <w:pPr>
        <w:ind w:left="5493"/>
        <w:spacing w:before="204" w:line="219" w:lineRule="auto"/>
        <w:rPr>
          <w:rFonts w:ascii="SimSun" w:hAnsi="SimSun" w:eastAsia="SimSun" w:cs="SimSun"/>
          <w:sz w:val="21"/>
          <w:szCs w:val="21"/>
        </w:rPr>
      </w:pPr>
      <w:r>
        <w:rPr>
          <w:rFonts w:ascii="SimSun" w:hAnsi="SimSun" w:eastAsia="SimSun" w:cs="SimSun"/>
          <w:sz w:val="21"/>
          <w:szCs w:val="21"/>
          <w:b/>
          <w:bCs/>
          <w:spacing w:val="14"/>
        </w:rPr>
        <w:t>第6章■云端数据质量</w:t>
      </w:r>
    </w:p>
    <w:p>
      <w:pPr>
        <w:pStyle w:val="BodyText"/>
        <w:spacing w:line="24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理解并且隔离缺陷的来源。</w:t>
      </w:r>
    </w:p>
    <w:p>
      <w:pPr>
        <w:ind w:left="409"/>
        <w:spacing w:before="54" w:line="224" w:lineRule="auto"/>
        <w:rPr>
          <w:rFonts w:ascii="YouYuan" w:hAnsi="YouYuan" w:eastAsia="YouYuan" w:cs="YouYuan"/>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42"/>
          <w:w w:val="101"/>
        </w:rPr>
        <w:t xml:space="preserve"> </w:t>
      </w: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b/>
          <w:bCs/>
          <w:spacing w:val="38"/>
        </w:rPr>
        <w:t xml:space="preserve"> </w:t>
      </w:r>
      <w:r>
        <w:rPr>
          <w:rFonts w:ascii="YouYuan" w:hAnsi="YouYuan" w:eastAsia="YouYuan" w:cs="YouYuan"/>
          <w:sz w:val="21"/>
          <w:szCs w:val="21"/>
          <w:b/>
          <w:bCs/>
          <w:spacing w:val="-2"/>
        </w:rPr>
        <w:t>定义级</w:t>
      </w:r>
    </w:p>
    <w:p>
      <w:pPr>
        <w:spacing w:line="138" w:lineRule="exact"/>
        <w:rPr/>
      </w:pPr>
      <w:r/>
    </w:p>
    <w:tbl>
      <w:tblPr>
        <w:tblStyle w:val="TableNormal"/>
        <w:tblW w:w="758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3" w:hRule="atLeast"/>
        </w:trPr>
        <w:tc>
          <w:tcPr>
            <w:tcW w:w="704" w:type="dxa"/>
            <w:vAlign w:val="top"/>
          </w:tcPr>
          <w:p>
            <w:pPr>
              <w:pStyle w:val="TableText"/>
              <w:ind w:left="195"/>
              <w:spacing w:before="92" w:line="221" w:lineRule="auto"/>
              <w:rPr/>
            </w:pPr>
            <w:r>
              <w:rPr>
                <w:spacing w:val="-2"/>
              </w:rPr>
              <w:t>序号</w:t>
            </w:r>
          </w:p>
        </w:tc>
        <w:tc>
          <w:tcPr>
            <w:tcW w:w="313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91" w:line="220" w:lineRule="auto"/>
              <w:rPr/>
            </w:pPr>
            <w:r>
              <w:rPr>
                <w:spacing w:val="-5"/>
              </w:rPr>
              <w:t>实</w:t>
            </w:r>
            <w:r>
              <w:rPr>
                <w:spacing w:val="1"/>
              </w:rPr>
              <w:t xml:space="preserve">   </w:t>
            </w:r>
            <w:r>
              <w:rPr>
                <w:spacing w:val="-5"/>
              </w:rPr>
              <w:t>例</w:t>
            </w:r>
          </w:p>
        </w:tc>
      </w:tr>
      <w:tr>
        <w:trPr>
          <w:trHeight w:val="1107" w:hRule="atLeast"/>
        </w:trPr>
        <w:tc>
          <w:tcPr>
            <w:tcW w:w="704" w:type="dxa"/>
            <w:vAlign w:val="top"/>
          </w:tcPr>
          <w:p>
            <w:pPr>
              <w:spacing w:line="464" w:lineRule="auto"/>
              <w:rPr>
                <w:rFonts w:ascii="Arial"/>
                <w:sz w:val="21"/>
              </w:rPr>
            </w:pPr>
            <w:r/>
          </w:p>
          <w:p>
            <w:pPr>
              <w:pStyle w:val="TableText"/>
              <w:ind w:left="224"/>
              <w:spacing w:before="49" w:line="184" w:lineRule="auto"/>
              <w:rPr/>
            </w:pPr>
            <w:r>
              <w:rPr>
                <w:spacing w:val="-2"/>
              </w:rPr>
              <w:t>3.1</w:t>
            </w:r>
          </w:p>
        </w:tc>
        <w:tc>
          <w:tcPr>
            <w:tcW w:w="3135" w:type="dxa"/>
            <w:vAlign w:val="top"/>
          </w:tcPr>
          <w:p>
            <w:pPr>
              <w:pStyle w:val="TableText"/>
              <w:ind w:left="101" w:right="149" w:firstLine="109"/>
              <w:spacing w:before="227" w:line="294" w:lineRule="auto"/>
              <w:jc w:val="both"/>
              <w:rPr/>
            </w:pPr>
            <w:r>
              <w:rPr>
                <w:spacing w:val="-1"/>
              </w:rPr>
              <w:t>根据已通过的关于进度安排的数据质量方</w:t>
            </w:r>
            <w:r>
              <w:rPr>
                <w:spacing w:val="5"/>
              </w:rPr>
              <w:t xml:space="preserve">  </w:t>
            </w:r>
            <w:r>
              <w:rPr>
                <w:spacing w:val="1"/>
              </w:rPr>
              <w:t>针或根据具体的原因事件定期执行数据质量</w:t>
            </w:r>
            <w:r>
              <w:rPr>
                <w:spacing w:val="4"/>
              </w:rPr>
              <w:t xml:space="preserve"> </w:t>
            </w:r>
            <w:r>
              <w:rPr>
                <w:spacing w:val="-1"/>
              </w:rPr>
              <w:t>评估活动</w:t>
            </w:r>
          </w:p>
        </w:tc>
        <w:tc>
          <w:tcPr>
            <w:tcW w:w="3750" w:type="dxa"/>
            <w:vAlign w:val="top"/>
          </w:tcPr>
          <w:p>
            <w:pPr>
              <w:pStyle w:val="TableText"/>
              <w:ind w:left="266"/>
              <w:spacing w:before="76" w:line="218" w:lineRule="auto"/>
              <w:rPr/>
            </w:pPr>
            <w:r>
              <w:rPr/>
              <w:t>●数据质量评估的方针</w:t>
            </w:r>
          </w:p>
          <w:p>
            <w:pPr>
              <w:pStyle w:val="TableText"/>
              <w:ind w:left="266"/>
              <w:spacing w:before="114" w:line="220" w:lineRule="auto"/>
              <w:rPr/>
            </w:pPr>
            <w:r>
              <w:rPr/>
              <w:t>●标准化的过程、方法学和质量规则</w:t>
            </w:r>
          </w:p>
          <w:p>
            <w:pPr>
              <w:pStyle w:val="TableText"/>
              <w:ind w:left="266"/>
              <w:spacing w:before="89" w:line="218" w:lineRule="auto"/>
              <w:rPr/>
            </w:pPr>
            <w:r>
              <w:rPr>
                <w:spacing w:val="1"/>
              </w:rPr>
              <w:t>●数据质量评估的触发原则</w:t>
            </w:r>
          </w:p>
          <w:p>
            <w:pPr>
              <w:pStyle w:val="TableText"/>
              <w:ind w:left="266"/>
              <w:spacing w:before="104" w:line="220" w:lineRule="auto"/>
              <w:rPr/>
            </w:pPr>
            <w:r>
              <w:rPr/>
              <w:t>●组织评审记录和实施记录</w:t>
            </w:r>
          </w:p>
        </w:tc>
      </w:tr>
    </w:tbl>
    <w:p>
      <w:pPr>
        <w:ind w:left="304"/>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07" w:firstLine="409"/>
        <w:spacing w:before="70" w:line="254" w:lineRule="auto"/>
        <w:rPr>
          <w:rFonts w:ascii="SimSun" w:hAnsi="SimSun" w:eastAsia="SimSun" w:cs="SimSun"/>
          <w:sz w:val="21"/>
          <w:szCs w:val="21"/>
        </w:rPr>
      </w:pPr>
      <w:r>
        <w:rPr>
          <w:rFonts w:ascii="SimSun" w:hAnsi="SimSun" w:eastAsia="SimSun" w:cs="SimSun"/>
          <w:sz w:val="21"/>
          <w:szCs w:val="21"/>
          <w:spacing w:val="3"/>
        </w:rPr>
        <w:t>数据质量评估方针应定义如何将方法学、过程和数</w:t>
      </w:r>
      <w:r>
        <w:rPr>
          <w:rFonts w:ascii="SimSun" w:hAnsi="SimSun" w:eastAsia="SimSun" w:cs="SimSun"/>
          <w:sz w:val="21"/>
          <w:szCs w:val="21"/>
          <w:spacing w:val="2"/>
        </w:rPr>
        <w:t>据质量规则标准化并在组织</w:t>
      </w:r>
      <w:r>
        <w:rPr>
          <w:rFonts w:ascii="SimSun" w:hAnsi="SimSun" w:eastAsia="SimSun" w:cs="SimSun"/>
          <w:sz w:val="21"/>
          <w:szCs w:val="21"/>
        </w:rPr>
        <w:t xml:space="preserve"> </w:t>
      </w:r>
      <w:r>
        <w:rPr>
          <w:rFonts w:ascii="SimSun" w:hAnsi="SimSun" w:eastAsia="SimSun" w:cs="SimSun"/>
          <w:sz w:val="21"/>
          <w:szCs w:val="21"/>
          <w:spacing w:val="2"/>
        </w:rPr>
        <w:t>层面沟通与一致地应用这些内容。启动评估活动的准则应该得到详细说明。结合定</w:t>
      </w:r>
      <w:r>
        <w:rPr>
          <w:rFonts w:ascii="SimSun" w:hAnsi="SimSun" w:eastAsia="SimSun" w:cs="SimSun"/>
          <w:sz w:val="21"/>
          <w:szCs w:val="21"/>
          <w:spacing w:val="10"/>
        </w:rPr>
        <w:t xml:space="preserve"> </w:t>
      </w:r>
      <w:r>
        <w:rPr>
          <w:rFonts w:ascii="SimSun" w:hAnsi="SimSun" w:eastAsia="SimSun" w:cs="SimSun"/>
          <w:sz w:val="21"/>
          <w:szCs w:val="21"/>
        </w:rPr>
        <w:t>期的评估和事件触发的评估，对数据质量进行有效跟踪并对事件原</w:t>
      </w:r>
      <w:r>
        <w:rPr>
          <w:rFonts w:ascii="SimSun" w:hAnsi="SimSun" w:eastAsia="SimSun" w:cs="SimSun"/>
          <w:sz w:val="21"/>
          <w:szCs w:val="21"/>
          <w:spacing w:val="-1"/>
        </w:rPr>
        <w:t>因进行定位。</w:t>
      </w:r>
    </w:p>
    <w:p>
      <w:pPr>
        <w:spacing w:line="140" w:lineRule="exact"/>
        <w:rPr/>
      </w:pPr>
      <w:r/>
    </w:p>
    <w:tbl>
      <w:tblPr>
        <w:tblStyle w:val="TableNormal"/>
        <w:tblW w:w="758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40"/>
              <w:spacing w:before="81" w:line="219" w:lineRule="auto"/>
              <w:rPr>
                <w:sz w:val="16"/>
                <w:szCs w:val="16"/>
              </w:rPr>
            </w:pPr>
            <w:r>
              <w:rPr>
                <w:sz w:val="16"/>
                <w:szCs w:val="16"/>
                <w:spacing w:val="-4"/>
              </w:rPr>
              <w:t>等 级 要 求</w:t>
            </w:r>
          </w:p>
        </w:tc>
        <w:tc>
          <w:tcPr>
            <w:tcW w:w="3750" w:type="dxa"/>
            <w:vAlign w:val="top"/>
          </w:tcPr>
          <w:p>
            <w:pPr>
              <w:pStyle w:val="TableText"/>
              <w:ind w:left="157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8" w:hRule="atLeast"/>
        </w:trPr>
        <w:tc>
          <w:tcPr>
            <w:tcW w:w="704" w:type="dxa"/>
            <w:vAlign w:val="top"/>
          </w:tcPr>
          <w:p>
            <w:pPr>
              <w:spacing w:line="326" w:lineRule="auto"/>
              <w:rPr>
                <w:rFonts w:ascii="Arial"/>
                <w:sz w:val="21"/>
              </w:rPr>
            </w:pPr>
            <w:r/>
          </w:p>
          <w:p>
            <w:pPr>
              <w:pStyle w:val="TableText"/>
              <w:ind w:left="224"/>
              <w:spacing w:before="52" w:line="183" w:lineRule="auto"/>
              <w:rPr>
                <w:sz w:val="16"/>
                <w:szCs w:val="16"/>
              </w:rPr>
            </w:pPr>
            <w:r>
              <w:rPr>
                <w:sz w:val="16"/>
                <w:szCs w:val="16"/>
                <w:spacing w:val="-3"/>
              </w:rPr>
              <w:t>3.2</w:t>
            </w:r>
          </w:p>
        </w:tc>
        <w:tc>
          <w:tcPr>
            <w:tcW w:w="3135" w:type="dxa"/>
            <w:vAlign w:val="top"/>
          </w:tcPr>
          <w:p>
            <w:pPr>
              <w:pStyle w:val="TableText"/>
              <w:ind w:left="40" w:right="35" w:firstLine="160"/>
              <w:spacing w:before="89" w:line="284" w:lineRule="auto"/>
              <w:rPr>
                <w:sz w:val="16"/>
                <w:szCs w:val="16"/>
              </w:rPr>
            </w:pPr>
            <w:r>
              <w:rPr>
                <w:sz w:val="16"/>
                <w:szCs w:val="16"/>
                <w:spacing w:val="1"/>
              </w:rPr>
              <w:t>定义、评审业务影响(包括成本和风险)  </w:t>
            </w:r>
            <w:r>
              <w:rPr>
                <w:sz w:val="16"/>
                <w:szCs w:val="16"/>
              </w:rPr>
              <w:t>的评估方法，并在组织里保持评估方法的一</w:t>
            </w:r>
            <w:r>
              <w:rPr>
                <w:sz w:val="16"/>
                <w:szCs w:val="16"/>
                <w:spacing w:val="7"/>
              </w:rPr>
              <w:t xml:space="preserve"> </w:t>
            </w:r>
            <w:r>
              <w:rPr>
                <w:sz w:val="16"/>
                <w:szCs w:val="16"/>
                <w:spacing w:val="26"/>
              </w:rPr>
              <w:t>致性</w:t>
            </w:r>
          </w:p>
        </w:tc>
        <w:tc>
          <w:tcPr>
            <w:tcW w:w="3750" w:type="dxa"/>
            <w:vAlign w:val="top"/>
          </w:tcPr>
          <w:p>
            <w:pPr>
              <w:pStyle w:val="TableText"/>
              <w:ind w:left="266"/>
              <w:spacing w:before="238" w:line="218" w:lineRule="auto"/>
              <w:rPr>
                <w:sz w:val="16"/>
                <w:szCs w:val="16"/>
              </w:rPr>
            </w:pPr>
            <w:r>
              <w:rPr>
                <w:sz w:val="16"/>
                <w:szCs w:val="16"/>
              </w:rPr>
              <w:t>●业务影响的评估方法和评估技术</w:t>
            </w:r>
          </w:p>
          <w:p>
            <w:pPr>
              <w:pStyle w:val="TableText"/>
              <w:ind w:left="266"/>
              <w:spacing w:before="81" w:line="219" w:lineRule="auto"/>
              <w:rPr>
                <w:sz w:val="16"/>
                <w:szCs w:val="16"/>
              </w:rPr>
            </w:pPr>
            <w:r>
              <w:rPr>
                <w:sz w:val="16"/>
                <w:szCs w:val="16"/>
              </w:rPr>
              <w:t>●数据质量问题的根本原因分析</w:t>
            </w:r>
          </w:p>
        </w:tc>
      </w:tr>
    </w:tbl>
    <w:p>
      <w:pPr>
        <w:ind w:left="30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213" w:firstLine="409"/>
        <w:spacing w:before="67" w:line="260" w:lineRule="auto"/>
        <w:rPr>
          <w:rFonts w:ascii="SimSun" w:hAnsi="SimSun" w:eastAsia="SimSun" w:cs="SimSun"/>
          <w:sz w:val="21"/>
          <w:szCs w:val="21"/>
        </w:rPr>
      </w:pPr>
      <w:r>
        <w:rPr>
          <w:rFonts w:ascii="SimSun" w:hAnsi="SimSun" w:eastAsia="SimSun" w:cs="SimSun"/>
          <w:sz w:val="21"/>
          <w:szCs w:val="21"/>
          <w:spacing w:val="2"/>
        </w:rPr>
        <w:t>在评估影响时，数据质量专家应保证活动使</w:t>
      </w:r>
      <w:r>
        <w:rPr>
          <w:rFonts w:ascii="SimSun" w:hAnsi="SimSun" w:eastAsia="SimSun" w:cs="SimSun"/>
          <w:sz w:val="21"/>
          <w:szCs w:val="21"/>
          <w:spacing w:val="1"/>
        </w:rPr>
        <w:t>用了合适的技术来确定数据质量问</w:t>
      </w:r>
      <w:r>
        <w:rPr>
          <w:rFonts w:ascii="SimSun" w:hAnsi="SimSun" w:eastAsia="SimSun" w:cs="SimSun"/>
          <w:sz w:val="21"/>
          <w:szCs w:val="21"/>
        </w:rPr>
        <w:t xml:space="preserve"> </w:t>
      </w:r>
      <w:r>
        <w:rPr>
          <w:rFonts w:ascii="SimSun" w:hAnsi="SimSun" w:eastAsia="SimSun" w:cs="SimSun"/>
          <w:sz w:val="21"/>
          <w:szCs w:val="21"/>
          <w:spacing w:val="2"/>
        </w:rPr>
        <w:t>题发生的根本原因，这可能需要分析组织数据集范围以外的信息。在较大的组织机</w:t>
      </w:r>
      <w:r>
        <w:rPr>
          <w:rFonts w:ascii="SimSun" w:hAnsi="SimSun" w:eastAsia="SimSun" w:cs="SimSun"/>
          <w:sz w:val="21"/>
          <w:szCs w:val="21"/>
          <w:spacing w:val="4"/>
        </w:rPr>
        <w:t xml:space="preserve"> </w:t>
      </w:r>
      <w:r>
        <w:rPr>
          <w:rFonts w:ascii="SimSun" w:hAnsi="SimSun" w:eastAsia="SimSun" w:cs="SimSun"/>
          <w:sz w:val="21"/>
          <w:szCs w:val="21"/>
          <w:spacing w:val="2"/>
        </w:rPr>
        <w:t>构中，需要各业务部门遵循一致的评估方法，如对成本和风险的评估，这样才能从</w:t>
      </w:r>
      <w:r>
        <w:rPr>
          <w:rFonts w:ascii="SimSun" w:hAnsi="SimSun" w:eastAsia="SimSun" w:cs="SimSun"/>
          <w:sz w:val="21"/>
          <w:szCs w:val="21"/>
          <w:spacing w:val="5"/>
        </w:rPr>
        <w:t xml:space="preserve"> </w:t>
      </w:r>
      <w:r>
        <w:rPr>
          <w:rFonts w:ascii="SimSun" w:hAnsi="SimSun" w:eastAsia="SimSun" w:cs="SimSun"/>
          <w:sz w:val="21"/>
          <w:szCs w:val="21"/>
          <w:spacing w:val="-2"/>
        </w:rPr>
        <w:t>细小的数据规律中定位组织数据的质量问题。</w:t>
      </w:r>
    </w:p>
    <w:p>
      <w:pPr>
        <w:spacing w:line="147"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50"/>
      </w:tblGrid>
      <w:tr>
        <w:trPr>
          <w:trHeight w:val="312" w:hRule="atLeast"/>
        </w:trPr>
        <w:tc>
          <w:tcPr>
            <w:tcW w:w="714" w:type="dxa"/>
            <w:vAlign w:val="top"/>
          </w:tcPr>
          <w:p>
            <w:pPr>
              <w:pStyle w:val="TableText"/>
              <w:ind w:left="194"/>
              <w:spacing w:before="82" w:line="221" w:lineRule="auto"/>
              <w:rPr/>
            </w:pPr>
            <w:r>
              <w:rPr>
                <w:spacing w:val="-2"/>
              </w:rPr>
              <w:t>序号</w:t>
            </w:r>
          </w:p>
        </w:tc>
        <w:tc>
          <w:tcPr>
            <w:tcW w:w="313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81" w:line="220" w:lineRule="auto"/>
              <w:rPr/>
            </w:pPr>
            <w:r>
              <w:rPr>
                <w:spacing w:val="-5"/>
              </w:rPr>
              <w:t>实</w:t>
            </w:r>
            <w:r>
              <w:rPr>
                <w:spacing w:val="1"/>
              </w:rPr>
              <w:t xml:space="preserve">   </w:t>
            </w:r>
            <w:r>
              <w:rPr>
                <w:spacing w:val="-5"/>
              </w:rPr>
              <w:t>例</w:t>
            </w:r>
          </w:p>
        </w:tc>
      </w:tr>
      <w:tr>
        <w:trPr>
          <w:trHeight w:val="838" w:hRule="atLeast"/>
        </w:trPr>
        <w:tc>
          <w:tcPr>
            <w:tcW w:w="714" w:type="dxa"/>
            <w:vAlign w:val="top"/>
          </w:tcPr>
          <w:p>
            <w:pPr>
              <w:spacing w:line="337" w:lineRule="auto"/>
              <w:rPr>
                <w:rFonts w:ascii="Arial"/>
                <w:sz w:val="21"/>
              </w:rPr>
            </w:pPr>
            <w:r/>
          </w:p>
          <w:p>
            <w:pPr>
              <w:pStyle w:val="TableText"/>
              <w:ind w:left="234"/>
              <w:spacing w:before="48" w:line="183" w:lineRule="auto"/>
              <w:rPr/>
            </w:pPr>
            <w:r>
              <w:rPr>
                <w:spacing w:val="-2"/>
              </w:rPr>
              <w:t>3.3</w:t>
            </w:r>
          </w:p>
        </w:tc>
        <w:tc>
          <w:tcPr>
            <w:tcW w:w="3135" w:type="dxa"/>
            <w:vAlign w:val="top"/>
          </w:tcPr>
          <w:p>
            <w:pPr>
              <w:pStyle w:val="TableText"/>
              <w:ind w:left="110" w:right="171" w:firstLine="149"/>
              <w:spacing w:before="228" w:line="275" w:lineRule="auto"/>
              <w:rPr/>
            </w:pPr>
            <w:r>
              <w:rPr>
                <w:spacing w:val="-1"/>
              </w:rPr>
              <w:t>组织层面在制订改进方案时，应考虑数据</w:t>
            </w:r>
            <w:r>
              <w:rPr>
                <w:spacing w:val="9"/>
              </w:rPr>
              <w:t xml:space="preserve"> </w:t>
            </w:r>
            <w:r>
              <w:rPr>
                <w:spacing w:val="-1"/>
              </w:rPr>
              <w:t>质量评估所制订出的改进计划</w:t>
            </w:r>
          </w:p>
        </w:tc>
        <w:tc>
          <w:tcPr>
            <w:tcW w:w="3750" w:type="dxa"/>
            <w:vAlign w:val="top"/>
          </w:tcPr>
          <w:p>
            <w:pPr>
              <w:pStyle w:val="TableText"/>
              <w:ind w:left="265"/>
              <w:spacing w:before="89" w:line="219" w:lineRule="auto"/>
              <w:rPr/>
            </w:pPr>
            <w:r>
              <w:rPr/>
              <w:t>●数据质量改进方案</w:t>
            </w:r>
          </w:p>
          <w:p>
            <w:pPr>
              <w:pStyle w:val="TableText"/>
              <w:ind w:left="265"/>
              <w:spacing w:before="92" w:line="219" w:lineRule="auto"/>
              <w:rPr/>
            </w:pPr>
            <w:r>
              <w:rPr/>
              <w:t>●组织对数据质量改进方案的评审记录</w:t>
            </w:r>
          </w:p>
          <w:p>
            <w:pPr>
              <w:pStyle w:val="TableText"/>
              <w:ind w:left="265"/>
              <w:spacing w:before="100" w:line="218" w:lineRule="auto"/>
              <w:rPr/>
            </w:pPr>
            <w:r>
              <w:rPr/>
              <w:t>●数据质量评估的结果和改进计划</w:t>
            </w:r>
          </w:p>
        </w:tc>
      </w:tr>
    </w:tbl>
    <w:p>
      <w:pPr>
        <w:ind w:left="304"/>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191" w:firstLine="409"/>
        <w:spacing w:before="66" w:line="262" w:lineRule="auto"/>
        <w:rPr>
          <w:rFonts w:ascii="SimSun" w:hAnsi="SimSun" w:eastAsia="SimSun" w:cs="SimSun"/>
          <w:sz w:val="21"/>
          <w:szCs w:val="21"/>
        </w:rPr>
      </w:pPr>
      <w:r>
        <w:rPr>
          <w:rFonts w:ascii="SimSun" w:hAnsi="SimSun" w:eastAsia="SimSun" w:cs="SimSun"/>
          <w:sz w:val="21"/>
          <w:szCs w:val="21"/>
          <w:spacing w:val="1"/>
        </w:rPr>
        <w:t>根据评估活动而非数据清洗活动所制订的改进方案应</w:t>
      </w:r>
      <w:r>
        <w:rPr>
          <w:rFonts w:ascii="SimSun" w:hAnsi="SimSun" w:eastAsia="SimSun" w:cs="SimSun"/>
          <w:sz w:val="21"/>
          <w:szCs w:val="21"/>
        </w:rPr>
        <w:t>当能解决数据质量的根本 </w:t>
      </w:r>
      <w:r>
        <w:rPr>
          <w:rFonts w:ascii="SimSun" w:hAnsi="SimSun" w:eastAsia="SimSun" w:cs="SimSun"/>
          <w:sz w:val="21"/>
          <w:szCs w:val="21"/>
          <w:spacing w:val="2"/>
        </w:rPr>
        <w:t>问题。这有可能会影响到多个相关责任人以及数据存储的使用。重要的一点是确保</w:t>
      </w:r>
      <w:r>
        <w:rPr>
          <w:rFonts w:ascii="SimSun" w:hAnsi="SimSun" w:eastAsia="SimSun" w:cs="SimSun"/>
          <w:sz w:val="21"/>
          <w:szCs w:val="21"/>
          <w:spacing w:val="4"/>
        </w:rPr>
        <w:t xml:space="preserve"> </w:t>
      </w:r>
      <w:r>
        <w:rPr>
          <w:rFonts w:ascii="SimSun" w:hAnsi="SimSun" w:eastAsia="SimSun" w:cs="SimSun"/>
          <w:sz w:val="21"/>
          <w:szCs w:val="21"/>
          <w:spacing w:val="2"/>
        </w:rPr>
        <w:t>从组织层面上对改进活动进行评估和策划。另外，应当要识别一个主题领域数据集</w:t>
      </w:r>
      <w:r>
        <w:rPr>
          <w:rFonts w:ascii="SimSun" w:hAnsi="SimSun" w:eastAsia="SimSun" w:cs="SimSun"/>
          <w:sz w:val="21"/>
          <w:szCs w:val="21"/>
          <w:spacing w:val="5"/>
        </w:rPr>
        <w:t xml:space="preserve"> </w:t>
      </w:r>
      <w:r>
        <w:rPr>
          <w:rFonts w:ascii="SimSun" w:hAnsi="SimSun" w:eastAsia="SimSun" w:cs="SimSun"/>
          <w:sz w:val="21"/>
          <w:szCs w:val="21"/>
          <w:spacing w:val="3"/>
        </w:rPr>
        <w:t>对另一个数据集的依赖，并协调两者间的关系以减少返工。</w:t>
      </w:r>
      <w:r>
        <w:rPr>
          <w:rFonts w:ascii="SimSun" w:hAnsi="SimSun" w:eastAsia="SimSun" w:cs="SimSun"/>
          <w:sz w:val="21"/>
          <w:szCs w:val="21"/>
          <w:spacing w:val="2"/>
        </w:rPr>
        <w:t>高管应根据数据质量报</w:t>
      </w:r>
      <w:r>
        <w:rPr>
          <w:rFonts w:ascii="SimSun" w:hAnsi="SimSun" w:eastAsia="SimSun" w:cs="SimSun"/>
          <w:sz w:val="21"/>
          <w:szCs w:val="21"/>
        </w:rPr>
        <w:t xml:space="preserve"> </w:t>
      </w:r>
      <w:r>
        <w:rPr>
          <w:rFonts w:ascii="SimSun" w:hAnsi="SimSun" w:eastAsia="SimSun" w:cs="SimSun"/>
          <w:sz w:val="21"/>
          <w:szCs w:val="21"/>
          <w:spacing w:val="-2"/>
        </w:rPr>
        <w:t>告所提供的影响评估结果确定这些活动的重点。</w:t>
      </w:r>
    </w:p>
    <w:p>
      <w:pPr>
        <w:spacing w:line="151" w:lineRule="exact"/>
        <w:rPr/>
      </w:pPr>
      <w:r/>
    </w:p>
    <w:tbl>
      <w:tblPr>
        <w:tblStyle w:val="TableNormal"/>
        <w:tblW w:w="7589"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01" w:hRule="atLeast"/>
        </w:trPr>
        <w:tc>
          <w:tcPr>
            <w:tcW w:w="704" w:type="dxa"/>
            <w:vAlign w:val="top"/>
          </w:tcPr>
          <w:p>
            <w:pPr>
              <w:pStyle w:val="TableText"/>
              <w:ind w:left="195"/>
              <w:spacing w:before="82" w:line="221" w:lineRule="auto"/>
              <w:rPr/>
            </w:pPr>
            <w:r>
              <w:rPr>
                <w:spacing w:val="-2"/>
              </w:rPr>
              <w:t>序号</w:t>
            </w:r>
          </w:p>
        </w:tc>
        <w:tc>
          <w:tcPr>
            <w:tcW w:w="3135" w:type="dxa"/>
            <w:vAlign w:val="top"/>
          </w:tcPr>
          <w:p>
            <w:pPr>
              <w:pStyle w:val="TableText"/>
              <w:ind w:left="115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5"/>
              <w:spacing w:before="81" w:line="220" w:lineRule="auto"/>
              <w:rPr/>
            </w:pPr>
            <w:r>
              <w:rPr>
                <w:spacing w:val="-5"/>
              </w:rPr>
              <w:t>实</w:t>
            </w:r>
            <w:r>
              <w:rPr>
                <w:spacing w:val="6"/>
              </w:rPr>
              <w:t xml:space="preserve">    </w:t>
            </w:r>
            <w:r>
              <w:rPr>
                <w:spacing w:val="-5"/>
              </w:rPr>
              <w:t>例</w:t>
            </w:r>
          </w:p>
        </w:tc>
      </w:tr>
      <w:tr>
        <w:trPr>
          <w:trHeight w:val="559" w:hRule="atLeast"/>
        </w:trPr>
        <w:tc>
          <w:tcPr>
            <w:tcW w:w="704" w:type="dxa"/>
            <w:vAlign w:val="top"/>
          </w:tcPr>
          <w:p>
            <w:pPr>
              <w:pStyle w:val="TableText"/>
              <w:ind w:left="224"/>
              <w:spacing w:before="248" w:line="183" w:lineRule="auto"/>
              <w:rPr/>
            </w:pPr>
            <w:r>
              <w:rPr>
                <w:spacing w:val="-2"/>
              </w:rPr>
              <w:t>3.4</w:t>
            </w:r>
          </w:p>
        </w:tc>
        <w:tc>
          <w:tcPr>
            <w:tcW w:w="3135" w:type="dxa"/>
            <w:vAlign w:val="top"/>
          </w:tcPr>
          <w:p>
            <w:pPr>
              <w:pStyle w:val="TableText"/>
              <w:ind w:left="111" w:right="160" w:firstLine="159"/>
              <w:spacing w:before="79" w:line="287" w:lineRule="auto"/>
              <w:rPr/>
            </w:pPr>
            <w:r>
              <w:rPr>
                <w:spacing w:val="-1"/>
              </w:rPr>
              <w:t>使用已建立的阈值和目标并按照每个所选</w:t>
            </w:r>
            <w:r>
              <w:rPr>
                <w:spacing w:val="10"/>
              </w:rPr>
              <w:t xml:space="preserve"> </w:t>
            </w:r>
            <w:r>
              <w:rPr/>
              <w:t>的质量维度对数据质量进行评估</w:t>
            </w:r>
          </w:p>
        </w:tc>
        <w:tc>
          <w:tcPr>
            <w:tcW w:w="3750" w:type="dxa"/>
            <w:vAlign w:val="top"/>
          </w:tcPr>
          <w:p>
            <w:pPr>
              <w:pStyle w:val="TableText"/>
              <w:ind w:left="266"/>
              <w:spacing w:before="68" w:line="218" w:lineRule="auto"/>
              <w:rPr/>
            </w:pPr>
            <w:r>
              <w:rPr>
                <w:spacing w:val="1"/>
              </w:rPr>
              <w:t>●数据质量评估报告</w:t>
            </w:r>
          </w:p>
          <w:p>
            <w:pPr>
              <w:pStyle w:val="TableText"/>
              <w:ind w:left="266"/>
              <w:spacing w:before="122" w:line="218" w:lineRule="auto"/>
              <w:rPr/>
            </w:pPr>
            <w:r>
              <w:rPr/>
              <w:t>●经组织评估和定义的数据质量维度</w:t>
            </w:r>
          </w:p>
        </w:tc>
      </w:tr>
    </w:tbl>
    <w:p>
      <w:pPr>
        <w:pStyle w:val="BodyText"/>
        <w:rPr/>
      </w:pPr>
      <w:r/>
    </w:p>
    <w:p>
      <w:pPr>
        <w:sectPr>
          <w:footerReference w:type="default" r:id="rId279"/>
          <w:pgSz w:w="8870" w:h="13400"/>
          <w:pgMar w:top="400" w:right="618" w:bottom="558" w:left="400" w:header="0" w:footer="349" w:gutter="0"/>
        </w:sectPr>
        <w:rPr/>
      </w:pPr>
    </w:p>
    <w:p>
      <w:pPr>
        <w:ind w:left="89"/>
        <w:spacing w:before="17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194" name="IM 194"/>
            <wp:cNvGraphicFramePr/>
            <a:graphic>
              <a:graphicData uri="http://schemas.openxmlformats.org/drawingml/2006/picture">
                <pic:pic>
                  <pic:nvPicPr>
                    <pic:cNvPr id="194" name="IM 194"/>
                    <pic:cNvPicPr/>
                  </pic:nvPicPr>
                  <pic:blipFill>
                    <a:blip r:embed="rId281"/>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549"/>
        <w:spacing w:before="299"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93" w:firstLine="469"/>
        <w:spacing w:before="58" w:line="241" w:lineRule="auto"/>
        <w:rPr>
          <w:rFonts w:ascii="SimSun" w:hAnsi="SimSun" w:eastAsia="SimSun" w:cs="SimSun"/>
          <w:sz w:val="22"/>
          <w:szCs w:val="22"/>
        </w:rPr>
      </w:pPr>
      <w:r>
        <w:rPr>
          <w:rFonts w:ascii="SimSun" w:hAnsi="SimSun" w:eastAsia="SimSun" w:cs="SimSun"/>
          <w:sz w:val="22"/>
          <w:szCs w:val="22"/>
          <w:spacing w:val="-9"/>
        </w:rPr>
        <w:t>当进行评估活动时，提供清晰的方法来讨论评估对象的重要性并展示</w:t>
      </w:r>
      <w:r>
        <w:rPr>
          <w:rFonts w:ascii="SimSun" w:hAnsi="SimSun" w:eastAsia="SimSun" w:cs="SimSun"/>
          <w:sz w:val="22"/>
          <w:szCs w:val="22"/>
          <w:spacing w:val="-10"/>
        </w:rPr>
        <w:t>其对组织</w:t>
      </w:r>
      <w:r>
        <w:rPr>
          <w:rFonts w:ascii="SimSun" w:hAnsi="SimSun" w:eastAsia="SimSun" w:cs="SimSun"/>
          <w:sz w:val="22"/>
          <w:szCs w:val="22"/>
        </w:rPr>
        <w:t xml:space="preserve"> </w:t>
      </w:r>
      <w:r>
        <w:rPr>
          <w:rFonts w:ascii="SimSun" w:hAnsi="SimSun" w:eastAsia="SimSun" w:cs="SimSun"/>
          <w:sz w:val="22"/>
          <w:szCs w:val="22"/>
          <w:spacing w:val="-8"/>
        </w:rPr>
        <w:t>的相关影响都是很重要的。应当根据标准的、经认可的数</w:t>
      </w:r>
      <w:r>
        <w:rPr>
          <w:rFonts w:ascii="SimSun" w:hAnsi="SimSun" w:eastAsia="SimSun" w:cs="SimSun"/>
          <w:sz w:val="22"/>
          <w:szCs w:val="22"/>
          <w:spacing w:val="-9"/>
        </w:rPr>
        <w:t>据质量维度来对评估结果</w:t>
      </w:r>
      <w:r>
        <w:rPr>
          <w:rFonts w:ascii="SimSun" w:hAnsi="SimSun" w:eastAsia="SimSun" w:cs="SimSun"/>
          <w:sz w:val="22"/>
          <w:szCs w:val="22"/>
        </w:rPr>
        <w:t xml:space="preserve"> </w:t>
      </w:r>
      <w:r>
        <w:rPr>
          <w:rFonts w:ascii="SimSun" w:hAnsi="SimSun" w:eastAsia="SimSun" w:cs="SimSun"/>
          <w:sz w:val="22"/>
          <w:szCs w:val="22"/>
          <w:spacing w:val="-10"/>
        </w:rPr>
        <w:t>进行整理。按照已定义的阈值和目标进行打分，以清晰地表明质量是否满足要求。</w:t>
      </w:r>
    </w:p>
    <w:p>
      <w:pPr>
        <w:spacing w:line="124" w:lineRule="exact"/>
        <w:rPr/>
      </w:pPr>
      <w:r/>
    </w:p>
    <w:tbl>
      <w:tblPr>
        <w:tblStyle w:val="TableNormal"/>
        <w:tblW w:w="758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40"/>
      </w:tblGrid>
      <w:tr>
        <w:trPr>
          <w:trHeight w:val="313" w:hRule="atLeast"/>
        </w:trPr>
        <w:tc>
          <w:tcPr>
            <w:tcW w:w="704" w:type="dxa"/>
            <w:vAlign w:val="top"/>
          </w:tcPr>
          <w:p>
            <w:pPr>
              <w:pStyle w:val="TableText"/>
              <w:ind w:left="194"/>
              <w:spacing w:before="82" w:line="221" w:lineRule="auto"/>
              <w:rPr/>
            </w:pPr>
            <w:r>
              <w:rPr>
                <w:spacing w:val="-2"/>
              </w:rPr>
              <w:t>序号</w:t>
            </w:r>
          </w:p>
        </w:tc>
        <w:tc>
          <w:tcPr>
            <w:tcW w:w="3145" w:type="dxa"/>
            <w:vAlign w:val="top"/>
          </w:tcPr>
          <w:p>
            <w:pPr>
              <w:pStyle w:val="TableText"/>
              <w:ind w:left="116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1696" w:hRule="atLeast"/>
        </w:trPr>
        <w:tc>
          <w:tcPr>
            <w:tcW w:w="704"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TableText"/>
              <w:ind w:left="224"/>
              <w:spacing w:before="49" w:line="183" w:lineRule="auto"/>
              <w:rPr/>
            </w:pPr>
            <w:r>
              <w:rPr>
                <w:spacing w:val="-2"/>
              </w:rPr>
              <w:t>3.5</w:t>
            </w:r>
          </w:p>
        </w:tc>
        <w:tc>
          <w:tcPr>
            <w:tcW w:w="3145" w:type="dxa"/>
            <w:vAlign w:val="top"/>
          </w:tcPr>
          <w:p>
            <w:pPr>
              <w:spacing w:line="301" w:lineRule="auto"/>
              <w:rPr>
                <w:rFonts w:ascii="Arial"/>
                <w:sz w:val="21"/>
              </w:rPr>
            </w:pPr>
            <w:r/>
          </w:p>
          <w:p>
            <w:pPr>
              <w:spacing w:line="302" w:lineRule="auto"/>
              <w:rPr>
                <w:rFonts w:ascii="Arial"/>
                <w:sz w:val="21"/>
              </w:rPr>
            </w:pPr>
            <w:r/>
          </w:p>
          <w:p>
            <w:pPr>
              <w:pStyle w:val="TableText"/>
              <w:ind w:left="120" w:right="178" w:firstLine="139"/>
              <w:spacing w:before="49" w:line="283" w:lineRule="auto"/>
              <w:rPr/>
            </w:pPr>
            <w:r>
              <w:rPr>
                <w:spacing w:val="-1"/>
              </w:rPr>
              <w:t>将数据质量度量的报告标准融合到系统开</w:t>
            </w:r>
            <w:r>
              <w:rPr>
                <w:spacing w:val="12"/>
              </w:rPr>
              <w:t xml:space="preserve"> </w:t>
            </w:r>
            <w:r>
              <w:rPr>
                <w:spacing w:val="1"/>
              </w:rPr>
              <w:t>发生命周期和相符性过程当中</w:t>
            </w:r>
          </w:p>
        </w:tc>
        <w:tc>
          <w:tcPr>
            <w:tcW w:w="3740" w:type="dxa"/>
            <w:vAlign w:val="top"/>
          </w:tcPr>
          <w:p>
            <w:pPr>
              <w:pStyle w:val="TableText"/>
              <w:ind w:left="115" w:right="140" w:firstLine="160"/>
              <w:spacing w:before="88" w:line="282" w:lineRule="auto"/>
              <w:rPr/>
            </w:pPr>
            <w:r>
              <w:rPr/>
              <w:t>●为每个标准数据质量维度记录的分数、目标和阈</w:t>
            </w:r>
            <w:r>
              <w:rPr>
                <w:spacing w:val="13"/>
              </w:rPr>
              <w:t xml:space="preserve"> </w:t>
            </w:r>
            <w:r>
              <w:rPr/>
              <w:t>值</w:t>
            </w:r>
          </w:p>
          <w:p>
            <w:pPr>
              <w:pStyle w:val="TableText"/>
              <w:ind w:left="115" w:right="148" w:firstLine="160"/>
              <w:spacing w:before="101" w:line="289" w:lineRule="auto"/>
              <w:rPr/>
            </w:pPr>
            <w:r>
              <w:rPr/>
              <w:t>●针对经认可特性发布的可理解的组织级数据质量</w:t>
            </w:r>
            <w:r>
              <w:rPr>
                <w:spacing w:val="5"/>
              </w:rPr>
              <w:t xml:space="preserve"> </w:t>
            </w:r>
            <w:r>
              <w:rPr>
                <w:spacing w:val="-2"/>
              </w:rPr>
              <w:t>规则</w:t>
            </w:r>
          </w:p>
          <w:p>
            <w:pPr>
              <w:pStyle w:val="TableText"/>
              <w:ind w:left="265"/>
              <w:spacing w:before="109" w:line="218" w:lineRule="auto"/>
              <w:rPr/>
            </w:pPr>
            <w:r>
              <w:rPr/>
              <w:t>●组织级数据质量评估方针</w:t>
            </w:r>
          </w:p>
          <w:p>
            <w:pPr>
              <w:pStyle w:val="TableText"/>
              <w:ind w:left="275"/>
              <w:spacing w:before="102" w:line="218" w:lineRule="auto"/>
              <w:rPr/>
            </w:pPr>
            <w:r>
              <w:rPr/>
              <w:t>●标准的组织级数据质量评估过程</w:t>
            </w:r>
          </w:p>
        </w:tc>
      </w:tr>
    </w:tbl>
    <w:p>
      <w:pPr>
        <w:ind w:left="54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55" w:firstLine="469"/>
        <w:spacing w:before="39" w:line="252" w:lineRule="auto"/>
        <w:rPr>
          <w:rFonts w:ascii="SimSun" w:hAnsi="SimSun" w:eastAsia="SimSun" w:cs="SimSun"/>
          <w:sz w:val="22"/>
          <w:szCs w:val="22"/>
        </w:rPr>
      </w:pPr>
      <w:r>
        <w:rPr>
          <w:rFonts w:ascii="SimSun" w:hAnsi="SimSun" w:eastAsia="SimSun" w:cs="SimSun"/>
          <w:sz w:val="22"/>
          <w:szCs w:val="22"/>
          <w:spacing w:val="-8"/>
        </w:rPr>
        <w:t>数据质量度量应遵循标准的过程，采用标准的目标和阈值作为度量的参考。数</w:t>
      </w:r>
      <w:r>
        <w:rPr>
          <w:rFonts w:ascii="SimSun" w:hAnsi="SimSun" w:eastAsia="SimSun" w:cs="SimSun"/>
          <w:sz w:val="22"/>
          <w:szCs w:val="22"/>
        </w:rPr>
        <w:t xml:space="preserve"> </w:t>
      </w:r>
      <w:r>
        <w:rPr>
          <w:rFonts w:ascii="SimSun" w:hAnsi="SimSun" w:eastAsia="SimSun" w:cs="SimSun"/>
          <w:sz w:val="22"/>
          <w:szCs w:val="22"/>
          <w:spacing w:val="-8"/>
        </w:rPr>
        <w:t>据质量度量的规则也应该是标准化的，能够被组织中的所有业务部门和业务过程所</w:t>
      </w:r>
      <w:r>
        <w:rPr>
          <w:rFonts w:ascii="SimSun" w:hAnsi="SimSun" w:eastAsia="SimSun" w:cs="SimSun"/>
          <w:sz w:val="22"/>
          <w:szCs w:val="22"/>
          <w:spacing w:val="4"/>
        </w:rPr>
        <w:t xml:space="preserve"> </w:t>
      </w:r>
      <w:r>
        <w:rPr>
          <w:rFonts w:ascii="SimSun" w:hAnsi="SimSun" w:eastAsia="SimSun" w:cs="SimSun"/>
          <w:sz w:val="22"/>
          <w:szCs w:val="22"/>
          <w:spacing w:val="-8"/>
        </w:rPr>
        <w:t>接受，这样才能保证数据质量度量的一致性。</w:t>
      </w:r>
      <w:r>
        <w:rPr>
          <w:rFonts w:ascii="SimSun" w:hAnsi="SimSun" w:eastAsia="SimSun" w:cs="SimSun"/>
          <w:sz w:val="22"/>
          <w:szCs w:val="22"/>
          <w:spacing w:val="-9"/>
        </w:rPr>
        <w:t>数据质量的好坏很大程度上取决于业</w:t>
      </w:r>
      <w:r>
        <w:rPr>
          <w:rFonts w:ascii="SimSun" w:hAnsi="SimSun" w:eastAsia="SimSun" w:cs="SimSun"/>
          <w:sz w:val="22"/>
          <w:szCs w:val="22"/>
        </w:rPr>
        <w:t xml:space="preserve"> </w:t>
      </w:r>
      <w:r>
        <w:rPr>
          <w:rFonts w:ascii="SimSun" w:hAnsi="SimSun" w:eastAsia="SimSun" w:cs="SimSun"/>
          <w:sz w:val="22"/>
          <w:szCs w:val="22"/>
          <w:spacing w:val="-8"/>
        </w:rPr>
        <w:t>务信息系统，因此必须将标准化的过程和目标</w:t>
      </w:r>
      <w:r>
        <w:rPr>
          <w:rFonts w:ascii="SimSun" w:hAnsi="SimSun" w:eastAsia="SimSun" w:cs="SimSun"/>
          <w:sz w:val="22"/>
          <w:szCs w:val="22"/>
          <w:spacing w:val="-9"/>
        </w:rPr>
        <w:t>阈值融合到系统的全生命周期中，保</w:t>
      </w:r>
      <w:r>
        <w:rPr>
          <w:rFonts w:ascii="SimSun" w:hAnsi="SimSun" w:eastAsia="SimSun" w:cs="SimSun"/>
          <w:sz w:val="22"/>
          <w:szCs w:val="22"/>
        </w:rPr>
        <w:t xml:space="preserve"> </w:t>
      </w:r>
      <w:r>
        <w:rPr>
          <w:rFonts w:ascii="SimSun" w:hAnsi="SimSun" w:eastAsia="SimSun" w:cs="SimSun"/>
          <w:sz w:val="22"/>
          <w:szCs w:val="22"/>
          <w:spacing w:val="-12"/>
        </w:rPr>
        <w:t>证系统数据能够符合标准化的要求。</w:t>
      </w:r>
    </w:p>
    <w:p>
      <w:pPr>
        <w:pStyle w:val="BodyText"/>
        <w:ind w:left="659"/>
        <w:spacing w:before="83" w:line="221" w:lineRule="auto"/>
        <w:rPr>
          <w:rFonts w:ascii="SimHei" w:hAnsi="SimHei" w:eastAsia="SimHei" w:cs="SimHei"/>
          <w:sz w:val="22"/>
          <w:szCs w:val="22"/>
        </w:rPr>
      </w:pPr>
      <w:r>
        <w:rPr>
          <w:sz w:val="22"/>
          <w:szCs w:val="22"/>
          <w:b/>
          <w:bCs/>
          <w:spacing w:val="-4"/>
        </w:rPr>
        <w:t>Level 4: </w:t>
      </w:r>
      <w:r>
        <w:rPr>
          <w:rFonts w:ascii="SimHei" w:hAnsi="SimHei" w:eastAsia="SimHei" w:cs="SimHei"/>
          <w:sz w:val="22"/>
          <w:szCs w:val="22"/>
          <w:b/>
          <w:bCs/>
          <w:spacing w:val="-4"/>
        </w:rPr>
        <w:t>量化级</w:t>
      </w:r>
    </w:p>
    <w:p>
      <w:pPr>
        <w:spacing w:line="108" w:lineRule="exact"/>
        <w:rPr/>
      </w:pPr>
      <w:r/>
    </w:p>
    <w:tbl>
      <w:tblPr>
        <w:tblStyle w:val="TableNormal"/>
        <w:tblW w:w="758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11"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0"/>
              <w:spacing w:before="81" w:line="219" w:lineRule="auto"/>
              <w:rPr>
                <w:sz w:val="16"/>
                <w:szCs w:val="16"/>
              </w:rPr>
            </w:pPr>
            <w:r>
              <w:rPr>
                <w:sz w:val="16"/>
                <w:szCs w:val="16"/>
                <w:spacing w:val="-4"/>
              </w:rPr>
              <w:t>等 级 要 求</w:t>
            </w:r>
          </w:p>
        </w:tc>
        <w:tc>
          <w:tcPr>
            <w:tcW w:w="3730" w:type="dxa"/>
            <w:vAlign w:val="top"/>
          </w:tcPr>
          <w:p>
            <w:pPr>
              <w:pStyle w:val="TableText"/>
              <w:ind w:left="155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9" w:hRule="atLeast"/>
        </w:trPr>
        <w:tc>
          <w:tcPr>
            <w:tcW w:w="714" w:type="dxa"/>
            <w:vAlign w:val="top"/>
          </w:tcPr>
          <w:p>
            <w:pPr>
              <w:pStyle w:val="TableText"/>
              <w:ind w:left="224"/>
              <w:spacing w:before="241" w:line="184" w:lineRule="auto"/>
              <w:rPr>
                <w:sz w:val="16"/>
                <w:szCs w:val="16"/>
              </w:rPr>
            </w:pPr>
            <w:r>
              <w:rPr>
                <w:sz w:val="16"/>
                <w:szCs w:val="16"/>
                <w:spacing w:val="-2"/>
              </w:rPr>
              <w:t>4.1</w:t>
            </w:r>
          </w:p>
        </w:tc>
        <w:tc>
          <w:tcPr>
            <w:tcW w:w="3145" w:type="dxa"/>
            <w:vAlign w:val="top"/>
          </w:tcPr>
          <w:p>
            <w:pPr>
              <w:pStyle w:val="TableText"/>
              <w:ind w:left="110" w:firstLine="159"/>
              <w:spacing w:before="80" w:line="264" w:lineRule="auto"/>
              <w:rPr>
                <w:sz w:val="16"/>
                <w:szCs w:val="16"/>
              </w:rPr>
            </w:pPr>
            <w:r>
              <w:rPr>
                <w:sz w:val="16"/>
                <w:szCs w:val="16"/>
                <w:spacing w:val="-1"/>
              </w:rPr>
              <w:t>根据特性和数据波动，系统地生成数据质</w:t>
            </w:r>
            <w:r>
              <w:rPr>
                <w:sz w:val="16"/>
                <w:szCs w:val="16"/>
                <w:spacing w:val="1"/>
              </w:rPr>
              <w:t xml:space="preserve"> </w:t>
            </w:r>
            <w:r>
              <w:rPr>
                <w:sz w:val="16"/>
                <w:szCs w:val="16"/>
                <w:spacing w:val="-2"/>
              </w:rPr>
              <w:t>量度量报告</w:t>
            </w:r>
          </w:p>
        </w:tc>
        <w:tc>
          <w:tcPr>
            <w:tcW w:w="3730" w:type="dxa"/>
            <w:vAlign w:val="top"/>
          </w:tcPr>
          <w:p>
            <w:pPr>
              <w:pStyle w:val="TableText"/>
              <w:ind w:left="246"/>
              <w:spacing w:before="80" w:line="219" w:lineRule="auto"/>
              <w:rPr>
                <w:sz w:val="16"/>
                <w:szCs w:val="16"/>
              </w:rPr>
            </w:pPr>
            <w:r>
              <w:rPr>
                <w:sz w:val="16"/>
                <w:szCs w:val="16"/>
              </w:rPr>
              <w:t>●数据质量的波动特性</w:t>
            </w:r>
          </w:p>
          <w:p>
            <w:pPr>
              <w:pStyle w:val="TableText"/>
              <w:ind w:left="246"/>
              <w:spacing w:before="80" w:line="219" w:lineRule="auto"/>
              <w:rPr>
                <w:sz w:val="16"/>
                <w:szCs w:val="16"/>
              </w:rPr>
            </w:pPr>
            <w:r>
              <w:rPr>
                <w:sz w:val="16"/>
                <w:szCs w:val="16"/>
                <w:spacing w:val="1"/>
              </w:rPr>
              <w:t>●数据质量的性能基线</w:t>
            </w:r>
          </w:p>
        </w:tc>
      </w:tr>
    </w:tbl>
    <w:p>
      <w:pPr>
        <w:ind w:left="54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14" w:firstLine="469"/>
        <w:spacing w:before="48" w:line="253" w:lineRule="auto"/>
        <w:rPr>
          <w:rFonts w:ascii="SimSun" w:hAnsi="SimSun" w:eastAsia="SimSun" w:cs="SimSun"/>
          <w:sz w:val="22"/>
          <w:szCs w:val="22"/>
        </w:rPr>
      </w:pPr>
      <w:r>
        <w:rPr>
          <w:rFonts w:ascii="SimSun" w:hAnsi="SimSun" w:eastAsia="SimSun" w:cs="SimSun"/>
          <w:sz w:val="22"/>
          <w:szCs w:val="22"/>
          <w:spacing w:val="-10"/>
        </w:rPr>
        <w:t>第4级的最大特点，是数据已得到有效度量，通过量化的手段对数值进行评估，</w:t>
      </w:r>
      <w:r>
        <w:rPr>
          <w:rFonts w:ascii="SimSun" w:hAnsi="SimSun" w:eastAsia="SimSun" w:cs="SimSun"/>
          <w:sz w:val="22"/>
          <w:szCs w:val="22"/>
          <w:spacing w:val="9"/>
        </w:rPr>
        <w:t xml:space="preserve"> </w:t>
      </w:r>
      <w:r>
        <w:rPr>
          <w:rFonts w:ascii="SimSun" w:hAnsi="SimSun" w:eastAsia="SimSun" w:cs="SimSun"/>
          <w:sz w:val="22"/>
          <w:szCs w:val="22"/>
          <w:spacing w:val="-5"/>
        </w:rPr>
        <w:t>可以直观地体现数据的作用。例如可用性、准确性、完整</w:t>
      </w:r>
      <w:r>
        <w:rPr>
          <w:rFonts w:ascii="SimSun" w:hAnsi="SimSun" w:eastAsia="SimSun" w:cs="SimSun"/>
          <w:sz w:val="22"/>
          <w:szCs w:val="22"/>
          <w:spacing w:val="-6"/>
        </w:rPr>
        <w:t>性等数值，在3级中仅须</w:t>
      </w:r>
      <w:r>
        <w:rPr>
          <w:rFonts w:ascii="SimSun" w:hAnsi="SimSun" w:eastAsia="SimSun" w:cs="SimSun"/>
          <w:sz w:val="22"/>
          <w:szCs w:val="22"/>
        </w:rPr>
        <w:t xml:space="preserve">  </w:t>
      </w:r>
      <w:r>
        <w:rPr>
          <w:rFonts w:ascii="SimSun" w:hAnsi="SimSun" w:eastAsia="SimSun" w:cs="SimSun"/>
          <w:sz w:val="22"/>
          <w:szCs w:val="22"/>
          <w:spacing w:val="-5"/>
        </w:rPr>
        <w:t>评估是否满足要求。而在4级中，则需要进一步评估得</w:t>
      </w:r>
      <w:r>
        <w:rPr>
          <w:rFonts w:ascii="SimSun" w:hAnsi="SimSun" w:eastAsia="SimSun" w:cs="SimSun"/>
          <w:sz w:val="22"/>
          <w:szCs w:val="22"/>
          <w:spacing w:val="-6"/>
        </w:rPr>
        <w:t>到其准确的数值，以此分析</w:t>
      </w:r>
      <w:r>
        <w:rPr>
          <w:rFonts w:ascii="SimSun" w:hAnsi="SimSun" w:eastAsia="SimSun" w:cs="SimSun"/>
          <w:sz w:val="22"/>
          <w:szCs w:val="22"/>
        </w:rPr>
        <w:t xml:space="preserve">  </w:t>
      </w:r>
      <w:r>
        <w:rPr>
          <w:rFonts w:ascii="SimSun" w:hAnsi="SimSun" w:eastAsia="SimSun" w:cs="SimSun"/>
          <w:sz w:val="22"/>
          <w:szCs w:val="22"/>
          <w:spacing w:val="-5"/>
        </w:rPr>
        <w:t>对目标和阈值的偏离程度，从而识别改进的方向。因此4级的要求不仅</w:t>
      </w:r>
      <w:r>
        <w:rPr>
          <w:rFonts w:ascii="SimSun" w:hAnsi="SimSun" w:eastAsia="SimSun" w:cs="SimSun"/>
          <w:sz w:val="22"/>
          <w:szCs w:val="22"/>
          <w:spacing w:val="-6"/>
        </w:rPr>
        <w:t>包括准确的</w:t>
      </w:r>
      <w:r>
        <w:rPr>
          <w:rFonts w:ascii="SimSun" w:hAnsi="SimSun" w:eastAsia="SimSun" w:cs="SimSun"/>
          <w:sz w:val="22"/>
          <w:szCs w:val="22"/>
        </w:rPr>
        <w:t xml:space="preserve">  </w:t>
      </w:r>
      <w:r>
        <w:rPr>
          <w:rFonts w:ascii="SimSun" w:hAnsi="SimSun" w:eastAsia="SimSun" w:cs="SimSun"/>
          <w:sz w:val="22"/>
          <w:szCs w:val="22"/>
          <w:spacing w:val="-8"/>
        </w:rPr>
        <w:t>数值，还要包括度量的方法和手段。可以根据标准</w:t>
      </w:r>
      <w:r>
        <w:rPr>
          <w:rFonts w:ascii="SimSun" w:hAnsi="SimSun" w:eastAsia="SimSun" w:cs="SimSun"/>
          <w:sz w:val="22"/>
          <w:szCs w:val="22"/>
          <w:spacing w:val="-9"/>
        </w:rPr>
        <w:t>机制，例如仪表板、记分卡等来</w:t>
      </w:r>
      <w:r>
        <w:rPr>
          <w:rFonts w:ascii="SimSun" w:hAnsi="SimSun" w:eastAsia="SimSun" w:cs="SimSun"/>
          <w:sz w:val="22"/>
          <w:szCs w:val="22"/>
        </w:rPr>
        <w:t xml:space="preserve">  </w:t>
      </w:r>
      <w:r>
        <w:rPr>
          <w:rFonts w:ascii="SimSun" w:hAnsi="SimSun" w:eastAsia="SimSun" w:cs="SimSun"/>
          <w:sz w:val="22"/>
          <w:szCs w:val="22"/>
          <w:spacing w:val="-14"/>
        </w:rPr>
        <w:t>生成度量报告。</w:t>
      </w:r>
    </w:p>
    <w:p>
      <w:pPr>
        <w:spacing w:line="148" w:lineRule="exact"/>
        <w:rPr/>
      </w:pPr>
      <w:r/>
    </w:p>
    <w:tbl>
      <w:tblPr>
        <w:tblStyle w:val="TableNormal"/>
        <w:tblW w:w="7599"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2"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41"/>
              <w:spacing w:before="81" w:line="219" w:lineRule="auto"/>
              <w:rPr>
                <w:sz w:val="16"/>
                <w:szCs w:val="16"/>
              </w:rPr>
            </w:pPr>
            <w:r>
              <w:rPr>
                <w:sz w:val="16"/>
                <w:szCs w:val="16"/>
                <w:spacing w:val="-4"/>
              </w:rPr>
              <w:t>等 级 要 求</w:t>
            </w:r>
          </w:p>
        </w:tc>
        <w:tc>
          <w:tcPr>
            <w:tcW w:w="374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127" w:hRule="atLeast"/>
        </w:trPr>
        <w:tc>
          <w:tcPr>
            <w:tcW w:w="714" w:type="dxa"/>
            <w:vAlign w:val="top"/>
          </w:tcPr>
          <w:p>
            <w:pPr>
              <w:spacing w:line="475" w:lineRule="auto"/>
              <w:rPr>
                <w:rFonts w:ascii="Arial"/>
                <w:sz w:val="21"/>
              </w:rPr>
            </w:pPr>
            <w:r/>
          </w:p>
          <w:p>
            <w:pPr>
              <w:pStyle w:val="TableText"/>
              <w:ind w:left="224"/>
              <w:spacing w:before="52" w:line="183" w:lineRule="auto"/>
              <w:rPr>
                <w:sz w:val="16"/>
                <w:szCs w:val="16"/>
              </w:rPr>
            </w:pPr>
            <w:r>
              <w:rPr>
                <w:sz w:val="16"/>
                <w:szCs w:val="16"/>
                <w:spacing w:val="-2"/>
              </w:rPr>
              <w:t>4.2</w:t>
            </w:r>
          </w:p>
        </w:tc>
        <w:tc>
          <w:tcPr>
            <w:tcW w:w="3145" w:type="dxa"/>
            <w:vAlign w:val="top"/>
          </w:tcPr>
          <w:p>
            <w:pPr>
              <w:pStyle w:val="TableText"/>
              <w:ind w:left="40" w:firstLine="229"/>
              <w:spacing w:before="230" w:line="292" w:lineRule="auto"/>
              <w:jc w:val="both"/>
              <w:rPr>
                <w:sz w:val="16"/>
                <w:szCs w:val="16"/>
              </w:rPr>
            </w:pPr>
            <w:r>
              <w:rPr>
                <w:sz w:val="16"/>
                <w:szCs w:val="16"/>
                <w:spacing w:val="-1"/>
              </w:rPr>
              <w:t>使用统计或其他量化技巧对数据质量的操</w:t>
            </w:r>
            <w:r>
              <w:rPr>
                <w:sz w:val="16"/>
                <w:szCs w:val="16"/>
                <w:spacing w:val="1"/>
              </w:rPr>
              <w:t xml:space="preserve"> </w:t>
            </w:r>
            <w:r>
              <w:rPr>
                <w:sz w:val="16"/>
                <w:szCs w:val="16"/>
                <w:spacing w:val="-1"/>
              </w:rPr>
              <w:t>作元数据进行标准化、获取及分析，以指导</w:t>
            </w:r>
            <w:r>
              <w:rPr>
                <w:sz w:val="16"/>
                <w:szCs w:val="16"/>
                <w:spacing w:val="1"/>
              </w:rPr>
              <w:t xml:space="preserve">  </w:t>
            </w:r>
            <w:r>
              <w:rPr>
                <w:sz w:val="16"/>
                <w:szCs w:val="16"/>
                <w:spacing w:val="17"/>
              </w:rPr>
              <w:t>改进活动</w:t>
            </w:r>
          </w:p>
        </w:tc>
        <w:tc>
          <w:tcPr>
            <w:tcW w:w="3740" w:type="dxa"/>
            <w:vAlign w:val="top"/>
          </w:tcPr>
          <w:p>
            <w:pPr>
              <w:pStyle w:val="TableText"/>
              <w:ind w:left="266"/>
              <w:spacing w:before="88" w:line="218" w:lineRule="auto"/>
              <w:rPr>
                <w:sz w:val="16"/>
                <w:szCs w:val="16"/>
              </w:rPr>
            </w:pPr>
            <w:r>
              <w:rPr>
                <w:sz w:val="16"/>
                <w:szCs w:val="16"/>
                <w:spacing w:val="1"/>
              </w:rPr>
              <w:t>●审计和控制报告</w:t>
            </w:r>
          </w:p>
          <w:p>
            <w:pPr>
              <w:pStyle w:val="TableText"/>
              <w:ind w:left="266"/>
              <w:spacing w:before="81" w:line="218" w:lineRule="auto"/>
              <w:rPr>
                <w:sz w:val="16"/>
                <w:szCs w:val="16"/>
              </w:rPr>
            </w:pPr>
            <w:r>
              <w:rPr>
                <w:sz w:val="16"/>
                <w:szCs w:val="16"/>
              </w:rPr>
              <w:t>●数据质量评估的进度报告，供改进活动使用</w:t>
            </w:r>
          </w:p>
          <w:p>
            <w:pPr>
              <w:pStyle w:val="TableText"/>
              <w:spacing w:before="102" w:line="219" w:lineRule="auto"/>
              <w:jc w:val="right"/>
              <w:rPr>
                <w:sz w:val="16"/>
                <w:szCs w:val="16"/>
              </w:rPr>
            </w:pPr>
            <w:r>
              <w:rPr>
                <w:sz w:val="16"/>
                <w:szCs w:val="16"/>
              </w:rPr>
              <w:t>●数据质量的信任调查(例如，使用者对给定数据</w:t>
            </w:r>
          </w:p>
          <w:p>
            <w:pPr>
              <w:pStyle w:val="TableText"/>
              <w:ind w:left="125"/>
              <w:spacing w:before="99" w:line="205" w:lineRule="auto"/>
              <w:rPr>
                <w:sz w:val="16"/>
                <w:szCs w:val="16"/>
              </w:rPr>
            </w:pPr>
            <w:r>
              <w:rPr>
                <w:sz w:val="16"/>
                <w:szCs w:val="16"/>
                <w:spacing w:val="5"/>
              </w:rPr>
              <w:t>集的信任程度)</w:t>
            </w:r>
          </w:p>
        </w:tc>
      </w:tr>
    </w:tbl>
    <w:p>
      <w:pPr>
        <w:pStyle w:val="BodyText"/>
        <w:rPr/>
      </w:pPr>
      <w:r/>
    </w:p>
    <w:p>
      <w:pPr>
        <w:sectPr>
          <w:footerReference w:type="default" r:id="rId280"/>
          <w:pgSz w:w="8870" w:h="13400"/>
          <w:pgMar w:top="400" w:right="505" w:bottom="525" w:left="440" w:header="0" w:footer="306" w:gutter="0"/>
        </w:sectPr>
        <w:rPr/>
      </w:pPr>
    </w:p>
    <w:p>
      <w:pPr>
        <w:ind w:left="5503"/>
        <w:spacing w:before="194" w:line="219" w:lineRule="auto"/>
        <w:rPr>
          <w:rFonts w:ascii="SimSun" w:hAnsi="SimSun" w:eastAsia="SimSun" w:cs="SimSun"/>
          <w:sz w:val="21"/>
          <w:szCs w:val="21"/>
        </w:rPr>
      </w:pPr>
      <w:r>
        <w:rPr>
          <w:rFonts w:ascii="SimSun" w:hAnsi="SimSun" w:eastAsia="SimSun" w:cs="SimSun"/>
          <w:sz w:val="21"/>
          <w:szCs w:val="21"/>
          <w:b/>
          <w:bCs/>
          <w:spacing w:val="15"/>
        </w:rPr>
        <w:t>第6章■云端数据质量</w:t>
      </w:r>
    </w:p>
    <w:p>
      <w:pPr>
        <w:pStyle w:val="BodyText"/>
        <w:spacing w:line="265" w:lineRule="auto"/>
        <w:rPr/>
      </w:pPr>
      <w:r/>
    </w:p>
    <w:p>
      <w:pPr>
        <w:ind w:left="295"/>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24" w:firstLine="400"/>
        <w:spacing w:before="71" w:line="259" w:lineRule="auto"/>
        <w:rPr>
          <w:rFonts w:ascii="SimSun" w:hAnsi="SimSun" w:eastAsia="SimSun" w:cs="SimSun"/>
          <w:sz w:val="21"/>
          <w:szCs w:val="21"/>
        </w:rPr>
      </w:pPr>
      <w:r>
        <w:rPr>
          <w:rFonts w:ascii="SimSun" w:hAnsi="SimSun" w:eastAsia="SimSun" w:cs="SimSun"/>
          <w:sz w:val="21"/>
          <w:szCs w:val="21"/>
          <w:spacing w:val="2"/>
        </w:rPr>
        <w:t>如上所述，数据量化的目标是用来分析和获取改进方法，指</w:t>
      </w:r>
      <w:r>
        <w:rPr>
          <w:rFonts w:ascii="SimSun" w:hAnsi="SimSun" w:eastAsia="SimSun" w:cs="SimSun"/>
          <w:sz w:val="21"/>
          <w:szCs w:val="21"/>
          <w:spacing w:val="1"/>
        </w:rPr>
        <w:t>导改进活动，而操</w:t>
      </w:r>
      <w:r>
        <w:rPr>
          <w:rFonts w:ascii="SimSun" w:hAnsi="SimSun" w:eastAsia="SimSun" w:cs="SimSun"/>
          <w:sz w:val="21"/>
          <w:szCs w:val="21"/>
        </w:rPr>
        <w:t xml:space="preserve"> </w:t>
      </w:r>
      <w:r>
        <w:rPr>
          <w:rFonts w:ascii="SimSun" w:hAnsi="SimSun" w:eastAsia="SimSun" w:cs="SimSun"/>
          <w:sz w:val="21"/>
          <w:szCs w:val="21"/>
          <w:spacing w:val="2"/>
        </w:rPr>
        <w:t>作元数据则是识别改进方向和手段的重要依据。通过操作元数据的标准化、获取和</w:t>
      </w:r>
      <w:r>
        <w:rPr>
          <w:rFonts w:ascii="SimSun" w:hAnsi="SimSun" w:eastAsia="SimSun" w:cs="SimSun"/>
          <w:sz w:val="21"/>
          <w:szCs w:val="21"/>
          <w:spacing w:val="4"/>
        </w:rPr>
        <w:t xml:space="preserve"> </w:t>
      </w:r>
      <w:r>
        <w:rPr>
          <w:rFonts w:ascii="SimSun" w:hAnsi="SimSun" w:eastAsia="SimSun" w:cs="SimSun"/>
          <w:sz w:val="21"/>
          <w:szCs w:val="21"/>
          <w:spacing w:val="2"/>
        </w:rPr>
        <w:t>分析，可以识别出哪些关键操作活动、操作步骤和操作流程能够影响数</w:t>
      </w:r>
      <w:r>
        <w:rPr>
          <w:rFonts w:ascii="SimSun" w:hAnsi="SimSun" w:eastAsia="SimSun" w:cs="SimSun"/>
          <w:sz w:val="21"/>
          <w:szCs w:val="21"/>
          <w:spacing w:val="1"/>
        </w:rPr>
        <w:t>据质量，通</w:t>
      </w:r>
      <w:r>
        <w:rPr>
          <w:rFonts w:ascii="SimSun" w:hAnsi="SimSun" w:eastAsia="SimSun" w:cs="SimSun"/>
          <w:sz w:val="21"/>
          <w:szCs w:val="21"/>
        </w:rPr>
        <w:t xml:space="preserve"> </w:t>
      </w:r>
      <w:r>
        <w:rPr>
          <w:rFonts w:ascii="SimSun" w:hAnsi="SimSun" w:eastAsia="SimSun" w:cs="SimSun"/>
          <w:sz w:val="21"/>
          <w:szCs w:val="21"/>
          <w:spacing w:val="-1"/>
        </w:rPr>
        <w:t>过一般的统计方法和关联性计算，很容易得到想要的结果。</w:t>
      </w:r>
    </w:p>
    <w:p>
      <w:pPr>
        <w:ind w:left="400"/>
        <w:spacing w:before="65"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5:</w:t>
      </w:r>
      <w:r>
        <w:rPr>
          <w:rFonts w:ascii="Times New Roman" w:hAnsi="Times New Roman" w:eastAsia="Times New Roman" w:cs="Times New Roman"/>
          <w:sz w:val="21"/>
          <w:szCs w:val="21"/>
          <w:b/>
          <w:bCs/>
          <w:spacing w:val="42"/>
          <w:w w:val="101"/>
        </w:rPr>
        <w:t xml:space="preserve"> </w:t>
      </w:r>
      <w:r>
        <w:rPr>
          <w:rFonts w:ascii="SimHei" w:hAnsi="SimHei" w:eastAsia="SimHei" w:cs="SimHei"/>
          <w:sz w:val="21"/>
          <w:szCs w:val="21"/>
          <w:b/>
          <w:bCs/>
          <w:spacing w:val="-2"/>
        </w:rPr>
        <w:t>优化级</w:t>
      </w:r>
    </w:p>
    <w:p>
      <w:pPr>
        <w:spacing w:line="120" w:lineRule="exact"/>
        <w:rPr/>
      </w:pPr>
      <w:r/>
    </w:p>
    <w:tbl>
      <w:tblPr>
        <w:tblStyle w:val="TableNormal"/>
        <w:tblW w:w="76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60"/>
      </w:tblGrid>
      <w:tr>
        <w:trPr>
          <w:trHeight w:val="312" w:hRule="atLeast"/>
        </w:trPr>
        <w:tc>
          <w:tcPr>
            <w:tcW w:w="704" w:type="dxa"/>
            <w:vAlign w:val="top"/>
          </w:tcPr>
          <w:p>
            <w:pPr>
              <w:pStyle w:val="TableText"/>
              <w:ind w:left="195"/>
              <w:spacing w:before="81" w:line="221" w:lineRule="auto"/>
              <w:rPr/>
            </w:pPr>
            <w:r>
              <w:rPr>
                <w:spacing w:val="-2"/>
              </w:rPr>
              <w:t>序号</w:t>
            </w:r>
          </w:p>
        </w:tc>
        <w:tc>
          <w:tcPr>
            <w:tcW w:w="314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4"/>
              <w:spacing w:before="81" w:line="220" w:lineRule="auto"/>
              <w:rPr/>
            </w:pPr>
            <w:r>
              <w:rPr>
                <w:spacing w:val="-5"/>
              </w:rPr>
              <w:t>实</w:t>
            </w:r>
            <w:r>
              <w:rPr>
                <w:spacing w:val="1"/>
              </w:rPr>
              <w:t xml:space="preserve">   </w:t>
            </w:r>
            <w:r>
              <w:rPr>
                <w:spacing w:val="-5"/>
              </w:rPr>
              <w:t>例</w:t>
            </w:r>
          </w:p>
        </w:tc>
      </w:tr>
      <w:tr>
        <w:trPr>
          <w:trHeight w:val="837" w:hRule="atLeast"/>
        </w:trPr>
        <w:tc>
          <w:tcPr>
            <w:tcW w:w="704" w:type="dxa"/>
            <w:vAlign w:val="top"/>
          </w:tcPr>
          <w:p>
            <w:pPr>
              <w:spacing w:line="336" w:lineRule="auto"/>
              <w:rPr>
                <w:rFonts w:ascii="Arial"/>
                <w:sz w:val="21"/>
              </w:rPr>
            </w:pPr>
            <w:r/>
          </w:p>
          <w:p>
            <w:pPr>
              <w:pStyle w:val="TableText"/>
              <w:ind w:left="225"/>
              <w:spacing w:before="48" w:line="184" w:lineRule="auto"/>
              <w:rPr/>
            </w:pPr>
            <w:r>
              <w:rPr>
                <w:spacing w:val="-2"/>
              </w:rPr>
              <w:t>5.1</w:t>
            </w:r>
          </w:p>
        </w:tc>
        <w:tc>
          <w:tcPr>
            <w:tcW w:w="3146" w:type="dxa"/>
            <w:vAlign w:val="top"/>
          </w:tcPr>
          <w:p>
            <w:pPr>
              <w:pStyle w:val="TableText"/>
              <w:ind w:left="110" w:right="131" w:firstLine="100"/>
              <w:spacing w:before="78" w:line="303" w:lineRule="auto"/>
              <w:rPr/>
            </w:pPr>
            <w:r>
              <w:rPr>
                <w:spacing w:val="-1"/>
              </w:rPr>
              <w:t>组织能够量化评估数据策略变更所带来的</w:t>
            </w:r>
            <w:r>
              <w:rPr>
                <w:spacing w:val="4"/>
              </w:rPr>
              <w:t xml:space="preserve">  </w:t>
            </w:r>
            <w:r>
              <w:rPr>
                <w:spacing w:val="2"/>
              </w:rPr>
              <w:t>效益，并根据数据治理实践调整管理的重点</w:t>
            </w:r>
            <w:r>
              <w:rPr>
                <w:spacing w:val="4"/>
              </w:rPr>
              <w:t xml:space="preserve"> </w:t>
            </w:r>
            <w:r>
              <w:rPr>
                <w:spacing w:val="-2"/>
              </w:rPr>
              <w:t>和优先级</w:t>
            </w:r>
          </w:p>
        </w:tc>
        <w:tc>
          <w:tcPr>
            <w:tcW w:w="3760" w:type="dxa"/>
            <w:vAlign w:val="top"/>
          </w:tcPr>
          <w:p>
            <w:pPr>
              <w:pStyle w:val="TableText"/>
              <w:ind w:left="274"/>
              <w:spacing w:before="88" w:line="219" w:lineRule="auto"/>
              <w:rPr/>
            </w:pPr>
            <w:r>
              <w:rPr/>
              <w:t>●对数据策略变更进行效益和成本分析</w:t>
            </w:r>
          </w:p>
          <w:p>
            <w:pPr>
              <w:pStyle w:val="TableText"/>
              <w:ind w:left="274"/>
              <w:spacing w:before="93" w:line="219" w:lineRule="auto"/>
              <w:rPr/>
            </w:pPr>
            <w:r>
              <w:rPr/>
              <w:t>●组织参考的数据治理实践</w:t>
            </w:r>
          </w:p>
          <w:p>
            <w:pPr>
              <w:pStyle w:val="TableText"/>
              <w:ind w:left="274"/>
              <w:spacing w:before="111" w:line="219" w:lineRule="auto"/>
              <w:rPr/>
            </w:pPr>
            <w:r>
              <w:rPr/>
              <w:t>●组织识别的数据质量问题</w:t>
            </w:r>
          </w:p>
        </w:tc>
      </w:tr>
    </w:tbl>
    <w:p>
      <w:pPr>
        <w:ind w:left="29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400"/>
        <w:spacing w:before="59" w:line="218" w:lineRule="auto"/>
        <w:rPr>
          <w:rFonts w:ascii="SimSun" w:hAnsi="SimSun" w:eastAsia="SimSun" w:cs="SimSun"/>
          <w:sz w:val="21"/>
          <w:szCs w:val="21"/>
        </w:rPr>
      </w:pPr>
      <w:r>
        <w:rPr>
          <w:rFonts w:ascii="SimSun" w:hAnsi="SimSun" w:eastAsia="SimSun" w:cs="SimSun"/>
          <w:sz w:val="21"/>
          <w:szCs w:val="21"/>
        </w:rPr>
        <w:t>已优化级要求数据质量评估的结果，能够量化地反映数据质量和效益的关系，</w:t>
      </w:r>
    </w:p>
    <w:p>
      <w:pPr>
        <w:ind w:right="230"/>
        <w:spacing w:before="63" w:line="254" w:lineRule="auto"/>
        <w:rPr>
          <w:rFonts w:ascii="SimSun" w:hAnsi="SimSun" w:eastAsia="SimSun" w:cs="SimSun"/>
          <w:sz w:val="21"/>
          <w:szCs w:val="21"/>
        </w:rPr>
      </w:pPr>
      <w:r>
        <w:rPr>
          <w:rFonts w:ascii="SimSun" w:hAnsi="SimSun" w:eastAsia="SimSun" w:cs="SimSun"/>
          <w:sz w:val="21"/>
          <w:szCs w:val="21"/>
          <w:spacing w:val="2"/>
        </w:rPr>
        <w:t>并且能够通过数据让管理层明确管理的重点。不断优化的量化管理是管理体</w:t>
      </w:r>
      <w:r>
        <w:rPr>
          <w:rFonts w:ascii="SimSun" w:hAnsi="SimSun" w:eastAsia="SimSun" w:cs="SimSun"/>
          <w:sz w:val="21"/>
          <w:szCs w:val="21"/>
          <w:spacing w:val="1"/>
        </w:rPr>
        <w:t>系的最</w:t>
      </w:r>
      <w:r>
        <w:rPr>
          <w:rFonts w:ascii="SimSun" w:hAnsi="SimSun" w:eastAsia="SimSun" w:cs="SimSun"/>
          <w:sz w:val="21"/>
          <w:szCs w:val="21"/>
        </w:rPr>
        <w:t xml:space="preserve"> </w:t>
      </w:r>
      <w:r>
        <w:rPr>
          <w:rFonts w:ascii="SimSun" w:hAnsi="SimSun" w:eastAsia="SimSun" w:cs="SimSun"/>
          <w:sz w:val="21"/>
          <w:szCs w:val="21"/>
          <w:spacing w:val="2"/>
        </w:rPr>
        <w:t>高级别，让组织能根据制订的目标，不断识别面临的问题，不断调整自</w:t>
      </w:r>
      <w:r>
        <w:rPr>
          <w:rFonts w:ascii="SimSun" w:hAnsi="SimSun" w:eastAsia="SimSun" w:cs="SimSun"/>
          <w:sz w:val="21"/>
          <w:szCs w:val="21"/>
          <w:spacing w:val="1"/>
        </w:rPr>
        <w:t>身的管理策</w:t>
      </w:r>
      <w:r>
        <w:rPr>
          <w:rFonts w:ascii="SimSun" w:hAnsi="SimSun" w:eastAsia="SimSun" w:cs="SimSun"/>
          <w:sz w:val="21"/>
          <w:szCs w:val="21"/>
        </w:rPr>
        <w:t xml:space="preserve"> </w:t>
      </w:r>
      <w:r>
        <w:rPr>
          <w:rFonts w:ascii="SimSun" w:hAnsi="SimSun" w:eastAsia="SimSun" w:cs="SimSun"/>
          <w:sz w:val="21"/>
          <w:szCs w:val="21"/>
          <w:spacing w:val="-1"/>
        </w:rPr>
        <w:t>略和手段，从而实现最大的商业价值和战略目标。</w:t>
      </w:r>
    </w:p>
    <w:p>
      <w:pPr>
        <w:spacing w:line="140" w:lineRule="exact"/>
        <w:rPr/>
      </w:pPr>
      <w:r/>
    </w:p>
    <w:tbl>
      <w:tblPr>
        <w:tblStyle w:val="TableNormal"/>
        <w:tblW w:w="759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38" w:hRule="atLeast"/>
        </w:trPr>
        <w:tc>
          <w:tcPr>
            <w:tcW w:w="704" w:type="dxa"/>
            <w:vAlign w:val="top"/>
          </w:tcPr>
          <w:p>
            <w:pPr>
              <w:spacing w:line="326" w:lineRule="auto"/>
              <w:rPr>
                <w:rFonts w:ascii="Arial"/>
                <w:sz w:val="21"/>
              </w:rPr>
            </w:pPr>
            <w:r/>
          </w:p>
          <w:p>
            <w:pPr>
              <w:pStyle w:val="TableText"/>
              <w:ind w:left="224"/>
              <w:spacing w:before="52" w:line="183" w:lineRule="auto"/>
              <w:rPr>
                <w:sz w:val="16"/>
                <w:szCs w:val="16"/>
              </w:rPr>
            </w:pPr>
            <w:r>
              <w:rPr>
                <w:sz w:val="16"/>
                <w:szCs w:val="16"/>
                <w:spacing w:val="-3"/>
              </w:rPr>
              <w:t>5.2</w:t>
            </w:r>
          </w:p>
        </w:tc>
        <w:tc>
          <w:tcPr>
            <w:tcW w:w="3145" w:type="dxa"/>
            <w:vAlign w:val="top"/>
          </w:tcPr>
          <w:p>
            <w:pPr>
              <w:pStyle w:val="TableText"/>
              <w:ind w:left="90" w:firstLine="179"/>
              <w:spacing w:before="218" w:line="272" w:lineRule="auto"/>
              <w:rPr>
                <w:sz w:val="16"/>
                <w:szCs w:val="16"/>
              </w:rPr>
            </w:pPr>
            <w:r>
              <w:rPr>
                <w:sz w:val="16"/>
                <w:szCs w:val="16"/>
                <w:spacing w:val="-1"/>
              </w:rPr>
              <w:t>持续地对数据质量评估及汇报过程进行审</w:t>
            </w:r>
            <w:r>
              <w:rPr>
                <w:sz w:val="16"/>
                <w:szCs w:val="16"/>
                <w:spacing w:val="1"/>
              </w:rPr>
              <w:t xml:space="preserve"> </w:t>
            </w:r>
            <w:r>
              <w:rPr>
                <w:sz w:val="16"/>
                <w:szCs w:val="16"/>
                <w:spacing w:val="-2"/>
              </w:rPr>
              <w:t>批和改进</w:t>
            </w:r>
          </w:p>
        </w:tc>
        <w:tc>
          <w:tcPr>
            <w:tcW w:w="3750" w:type="dxa"/>
            <w:vAlign w:val="top"/>
          </w:tcPr>
          <w:p>
            <w:pPr>
              <w:pStyle w:val="TableText"/>
              <w:ind w:left="256"/>
              <w:spacing w:before="78" w:line="218" w:lineRule="auto"/>
              <w:rPr>
                <w:sz w:val="16"/>
                <w:szCs w:val="16"/>
              </w:rPr>
            </w:pPr>
            <w:r>
              <w:rPr>
                <w:sz w:val="16"/>
                <w:szCs w:val="16"/>
                <w:spacing w:val="1"/>
              </w:rPr>
              <w:t>●评估分析结果</w:t>
            </w:r>
          </w:p>
          <w:p>
            <w:pPr>
              <w:pStyle w:val="TableText"/>
              <w:ind w:left="256"/>
              <w:spacing w:before="92" w:line="219" w:lineRule="auto"/>
              <w:rPr>
                <w:sz w:val="16"/>
                <w:szCs w:val="16"/>
              </w:rPr>
            </w:pPr>
            <w:r>
              <w:rPr>
                <w:sz w:val="16"/>
                <w:szCs w:val="16"/>
                <w:spacing w:val="1"/>
              </w:rPr>
              <w:t>●过程评审文档</w:t>
            </w:r>
          </w:p>
          <w:p>
            <w:pPr>
              <w:pStyle w:val="TableText"/>
              <w:ind w:left="256"/>
              <w:spacing w:before="89" w:line="218" w:lineRule="auto"/>
              <w:rPr>
                <w:sz w:val="16"/>
                <w:szCs w:val="16"/>
              </w:rPr>
            </w:pPr>
            <w:r>
              <w:rPr>
                <w:sz w:val="16"/>
                <w:szCs w:val="16"/>
                <w:spacing w:val="1"/>
              </w:rPr>
              <w:t>●过程改进的提议和评审</w:t>
            </w:r>
          </w:p>
        </w:tc>
      </w:tr>
    </w:tbl>
    <w:p>
      <w:pPr>
        <w:ind w:left="29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12" w:firstLine="400"/>
        <w:spacing w:before="59" w:line="261" w:lineRule="auto"/>
        <w:rPr>
          <w:rFonts w:ascii="SimSun" w:hAnsi="SimSun" w:eastAsia="SimSun" w:cs="SimSun"/>
          <w:sz w:val="21"/>
          <w:szCs w:val="21"/>
        </w:rPr>
      </w:pPr>
      <w:r>
        <w:rPr>
          <w:rFonts w:ascii="SimSun" w:hAnsi="SimSun" w:eastAsia="SimSun" w:cs="SimSun"/>
          <w:sz w:val="21"/>
          <w:szCs w:val="21"/>
          <w:spacing w:val="1"/>
        </w:rPr>
        <w:t>已优化级是一个不断改进和优化的过程，因此需要</w:t>
      </w:r>
      <w:r>
        <w:rPr>
          <w:rFonts w:ascii="SimSun" w:hAnsi="SimSun" w:eastAsia="SimSun" w:cs="SimSun"/>
          <w:sz w:val="21"/>
          <w:szCs w:val="21"/>
        </w:rPr>
        <w:t>通过评估和报告的形式，对 </w:t>
      </w:r>
      <w:r>
        <w:rPr>
          <w:rFonts w:ascii="SimSun" w:hAnsi="SimSun" w:eastAsia="SimSun" w:cs="SimSun"/>
          <w:sz w:val="21"/>
          <w:szCs w:val="21"/>
          <w:spacing w:val="2"/>
        </w:rPr>
        <w:t>过程改进提出相应的建议，对数据质量进行持续的评估和改进，以持续满足组织内</w:t>
      </w:r>
      <w:r>
        <w:rPr>
          <w:rFonts w:ascii="SimSun" w:hAnsi="SimSun" w:eastAsia="SimSun" w:cs="SimSun"/>
          <w:sz w:val="21"/>
          <w:szCs w:val="21"/>
          <w:spacing w:val="15"/>
        </w:rPr>
        <w:t xml:space="preserve"> </w:t>
      </w:r>
      <w:r>
        <w:rPr>
          <w:rFonts w:ascii="SimSun" w:hAnsi="SimSun" w:eastAsia="SimSun" w:cs="SimSun"/>
          <w:sz w:val="21"/>
          <w:szCs w:val="21"/>
          <w:spacing w:val="-3"/>
        </w:rPr>
        <w:t>部和外部的业务需求和市场需求。</w:t>
      </w:r>
    </w:p>
    <w:p>
      <w:pPr>
        <w:ind w:left="403"/>
        <w:spacing w:before="184" w:line="224" w:lineRule="auto"/>
        <w:outlineLvl w:val="4"/>
        <w:rPr>
          <w:rFonts w:ascii="YouYuan" w:hAnsi="YouYuan" w:eastAsia="YouYuan" w:cs="YouYuan"/>
          <w:sz w:val="21"/>
          <w:szCs w:val="21"/>
        </w:rPr>
      </w:pPr>
      <w:r>
        <w:rPr>
          <w:rFonts w:ascii="YouYuan" w:hAnsi="YouYuan" w:eastAsia="YouYuan" w:cs="YouYuan"/>
          <w:sz w:val="21"/>
          <w:szCs w:val="21"/>
          <w:b/>
          <w:bCs/>
          <w:spacing w:val="7"/>
        </w:rPr>
        <w:t>4.</w:t>
      </w:r>
      <w:r>
        <w:rPr>
          <w:rFonts w:ascii="YouYuan" w:hAnsi="YouYuan" w:eastAsia="YouYuan" w:cs="YouYuan"/>
          <w:sz w:val="21"/>
          <w:szCs w:val="21"/>
          <w:spacing w:val="7"/>
        </w:rPr>
        <w:t xml:space="preserve"> </w:t>
      </w:r>
      <w:r>
        <w:rPr>
          <w:rFonts w:ascii="YouYuan" w:hAnsi="YouYuan" w:eastAsia="YouYuan" w:cs="YouYuan"/>
          <w:sz w:val="21"/>
          <w:szCs w:val="21"/>
          <w:b/>
          <w:bCs/>
          <w:spacing w:val="7"/>
        </w:rPr>
        <w:t>实施案例</w:t>
      </w:r>
    </w:p>
    <w:p>
      <w:pPr>
        <w:ind w:left="400"/>
        <w:spacing w:before="242" w:line="227" w:lineRule="auto"/>
        <w:rPr>
          <w:rFonts w:ascii="KaiTi" w:hAnsi="KaiTi" w:eastAsia="KaiTi" w:cs="KaiTi"/>
          <w:sz w:val="21"/>
          <w:szCs w:val="21"/>
        </w:rPr>
      </w:pPr>
      <w:r>
        <w:rPr>
          <w:rFonts w:ascii="KaiTi" w:hAnsi="KaiTi" w:eastAsia="KaiTi" w:cs="KaiTi"/>
          <w:sz w:val="21"/>
          <w:szCs w:val="21"/>
          <w:spacing w:val="12"/>
        </w:rPr>
        <w:t>1)文件名称列表</w:t>
      </w:r>
    </w:p>
    <w:p>
      <w:pPr>
        <w:ind w:left="400"/>
        <w:spacing w:before="40" w:line="218" w:lineRule="auto"/>
        <w:rPr>
          <w:rFonts w:ascii="SimSun" w:hAnsi="SimSun" w:eastAsia="SimSun" w:cs="SimSun"/>
          <w:sz w:val="21"/>
          <w:szCs w:val="21"/>
        </w:rPr>
      </w:pPr>
      <w:r>
        <w:rPr>
          <w:rFonts w:ascii="SimSun" w:hAnsi="SimSun" w:eastAsia="SimSun" w:cs="SimSun"/>
          <w:sz w:val="21"/>
          <w:szCs w:val="21"/>
          <w:spacing w:val="2"/>
        </w:rPr>
        <w:t>●数据质量评估管理流程</w:t>
      </w:r>
    </w:p>
    <w:p>
      <w:pPr>
        <w:ind w:left="400"/>
        <w:spacing w:before="72" w:line="218" w:lineRule="auto"/>
        <w:rPr>
          <w:rFonts w:ascii="SimSun" w:hAnsi="SimSun" w:eastAsia="SimSun" w:cs="SimSun"/>
          <w:sz w:val="21"/>
          <w:szCs w:val="21"/>
        </w:rPr>
      </w:pPr>
      <w:r>
        <w:rPr>
          <w:rFonts w:ascii="SimSun" w:hAnsi="SimSun" w:eastAsia="SimSun" w:cs="SimSun"/>
          <w:sz w:val="21"/>
          <w:szCs w:val="21"/>
          <w:spacing w:val="2"/>
        </w:rPr>
        <w:t>●数据质量评估标准</w:t>
      </w:r>
    </w:p>
    <w:p>
      <w:pPr>
        <w:ind w:left="400" w:right="4893"/>
        <w:spacing w:before="73" w:line="254" w:lineRule="auto"/>
        <w:rPr>
          <w:rFonts w:ascii="KaiTi" w:hAnsi="KaiTi" w:eastAsia="KaiTi" w:cs="KaiTi"/>
          <w:sz w:val="21"/>
          <w:szCs w:val="21"/>
        </w:rPr>
      </w:pPr>
      <w:r>
        <w:rPr>
          <w:rFonts w:ascii="SimSun" w:hAnsi="SimSun" w:eastAsia="SimSun" w:cs="SimSun"/>
          <w:sz w:val="21"/>
          <w:szCs w:val="21"/>
          <w:spacing w:val="4"/>
        </w:rPr>
        <w:t>●数据质量评估目标和阈值</w:t>
      </w:r>
      <w:r>
        <w:rPr>
          <w:rFonts w:ascii="SimSun" w:hAnsi="SimSun" w:eastAsia="SimSun" w:cs="SimSun"/>
          <w:sz w:val="21"/>
          <w:szCs w:val="21"/>
        </w:rPr>
        <w:t xml:space="preserve"> </w:t>
      </w:r>
      <w:r>
        <w:rPr>
          <w:rFonts w:ascii="KaiTi" w:hAnsi="KaiTi" w:eastAsia="KaiTi" w:cs="KaiTi"/>
          <w:sz w:val="21"/>
          <w:szCs w:val="21"/>
          <w:spacing w:val="12"/>
        </w:rPr>
        <w:t>2)记录文件列表</w:t>
      </w:r>
    </w:p>
    <w:p>
      <w:pPr>
        <w:ind w:left="400"/>
        <w:spacing w:before="41" w:line="218" w:lineRule="auto"/>
        <w:rPr>
          <w:rFonts w:ascii="SimSun" w:hAnsi="SimSun" w:eastAsia="SimSun" w:cs="SimSun"/>
          <w:sz w:val="21"/>
          <w:szCs w:val="21"/>
        </w:rPr>
      </w:pPr>
      <w:r>
        <w:rPr>
          <w:rFonts w:ascii="SimSun" w:hAnsi="SimSun" w:eastAsia="SimSun" w:cs="SimSun"/>
          <w:sz w:val="21"/>
          <w:szCs w:val="21"/>
          <w:spacing w:val="2"/>
        </w:rPr>
        <w:t>●数据质量评估记录及报告</w:t>
      </w:r>
    </w:p>
    <w:p>
      <w:pPr>
        <w:ind w:left="400"/>
        <w:spacing w:before="62" w:line="218" w:lineRule="auto"/>
        <w:rPr>
          <w:rFonts w:ascii="SimSun" w:hAnsi="SimSun" w:eastAsia="SimSun" w:cs="SimSun"/>
          <w:sz w:val="21"/>
          <w:szCs w:val="21"/>
        </w:rPr>
      </w:pPr>
      <w:r>
        <w:rPr>
          <w:rFonts w:ascii="SimSun" w:hAnsi="SimSun" w:eastAsia="SimSun" w:cs="SimSun"/>
          <w:sz w:val="21"/>
          <w:szCs w:val="21"/>
          <w:spacing w:val="2"/>
        </w:rPr>
        <w:t>●事件驱动的数据评估过程记录</w:t>
      </w:r>
    </w:p>
    <w:p>
      <w:pPr>
        <w:ind w:left="400"/>
        <w:spacing w:before="64" w:line="222" w:lineRule="auto"/>
        <w:rPr>
          <w:rFonts w:ascii="SimSun" w:hAnsi="SimSun" w:eastAsia="SimSun" w:cs="SimSun"/>
          <w:sz w:val="21"/>
          <w:szCs w:val="21"/>
        </w:rPr>
      </w:pPr>
      <w:r>
        <w:rPr>
          <w:rFonts w:ascii="SimHei" w:hAnsi="SimHei" w:eastAsia="SimHei" w:cs="SimHei"/>
          <w:sz w:val="21"/>
          <w:szCs w:val="21"/>
          <w:spacing w:val="-11"/>
        </w:rPr>
        <w:t>●</w:t>
      </w:r>
      <w:r>
        <w:rPr>
          <w:rFonts w:ascii="SimHei" w:hAnsi="SimHei" w:eastAsia="SimHei" w:cs="SimHei"/>
          <w:sz w:val="21"/>
          <w:szCs w:val="21"/>
          <w:spacing w:val="24"/>
        </w:rPr>
        <w:t xml:space="preserve"> </w:t>
      </w:r>
      <w:r>
        <w:rPr>
          <w:rFonts w:ascii="SimSun" w:hAnsi="SimSun" w:eastAsia="SimSun" w:cs="SimSun"/>
          <w:sz w:val="21"/>
          <w:szCs w:val="21"/>
          <w:spacing w:val="-11"/>
        </w:rPr>
        <w:t>数据质量改进方案</w:t>
      </w:r>
    </w:p>
    <w:p>
      <w:pPr>
        <w:spacing w:line="222" w:lineRule="auto"/>
        <w:sectPr>
          <w:footerReference w:type="default" r:id="rId282"/>
          <w:pgSz w:w="8870" w:h="13400"/>
          <w:pgMar w:top="400" w:right="518" w:bottom="568" w:left="489" w:header="0" w:footer="358" w:gutter="0"/>
        </w:sectPr>
        <w:rPr>
          <w:rFonts w:ascii="SimSun" w:hAnsi="SimSun" w:eastAsia="SimSun" w:cs="SimSun"/>
          <w:sz w:val="21"/>
          <w:szCs w:val="21"/>
        </w:rPr>
      </w:pPr>
    </w:p>
    <w:p>
      <w:pPr>
        <w:ind w:left="80"/>
        <w:spacing w:before="170"/>
        <w:rPr>
          <w:rFonts w:ascii="SimSun" w:hAnsi="SimSun" w:eastAsia="SimSun" w:cs="SimSun"/>
          <w:sz w:val="22"/>
          <w:szCs w:val="22"/>
        </w:rPr>
      </w:pPr>
      <w:r>
        <w:rPr>
          <w:rFonts w:ascii="SimSun" w:hAnsi="SimSun" w:eastAsia="SimSun" w:cs="SimSun"/>
          <w:sz w:val="22"/>
          <w:szCs w:val="22"/>
          <w:position w:val="-11"/>
        </w:rPr>
        <w:drawing>
          <wp:inline distT="0" distB="0" distL="0" distR="0">
            <wp:extent cx="6365" cy="228551"/>
            <wp:effectExtent l="0" t="0" r="0" b="0"/>
            <wp:docPr id="196" name="IM 196"/>
            <wp:cNvGraphicFramePr/>
            <a:graphic>
              <a:graphicData uri="http://schemas.openxmlformats.org/drawingml/2006/picture">
                <pic:pic>
                  <pic:nvPicPr>
                    <pic:cNvPr id="196" name="IM 196"/>
                    <pic:cNvPicPr/>
                  </pic:nvPicPr>
                  <pic:blipFill>
                    <a:blip r:embed="rId284"/>
                    <a:stretch>
                      <a:fillRect/>
                    </a:stretch>
                  </pic:blipFill>
                  <pic:spPr>
                    <a:xfrm rot="0">
                      <a:off x="0" y="0"/>
                      <a:ext cx="6365" cy="228551"/>
                    </a:xfrm>
                    <a:prstGeom prst="rect">
                      <a:avLst/>
                    </a:prstGeom>
                  </pic:spPr>
                </pic:pic>
              </a:graphicData>
            </a:graphic>
          </wp:inline>
        </w:drawing>
      </w:r>
      <w:r>
        <w:rPr>
          <w:rFonts w:ascii="SimSun" w:hAnsi="SimSun" w:eastAsia="SimSun" w:cs="SimSun"/>
          <w:sz w:val="22"/>
          <w:szCs w:val="22"/>
          <w:spacing w:val="-26"/>
        </w:rPr>
        <w:t xml:space="preserve"> </w:t>
      </w:r>
      <w:r>
        <w:rPr>
          <w:rFonts w:ascii="SimSun" w:hAnsi="SimSun" w:eastAsia="SimSun" w:cs="SimSun"/>
          <w:sz w:val="22"/>
          <w:szCs w:val="22"/>
          <w:b/>
          <w:bCs/>
          <w:spacing w:val="-11"/>
        </w:rPr>
        <w:t>■云端数据治理</w:t>
      </w:r>
    </w:p>
    <w:p>
      <w:pPr>
        <w:ind w:left="639"/>
        <w:spacing w:before="279" w:line="228" w:lineRule="auto"/>
        <w:rPr>
          <w:rFonts w:ascii="KaiTi" w:hAnsi="KaiTi" w:eastAsia="KaiTi" w:cs="KaiTi"/>
          <w:sz w:val="22"/>
          <w:szCs w:val="22"/>
        </w:rPr>
      </w:pPr>
      <w:r>
        <w:rPr>
          <w:rFonts w:ascii="KaiTi" w:hAnsi="KaiTi" w:eastAsia="KaiTi" w:cs="KaiTi"/>
          <w:sz w:val="22"/>
          <w:szCs w:val="22"/>
          <w:spacing w:val="4"/>
        </w:rPr>
        <w:t>3)实施案例模板</w:t>
      </w:r>
    </w:p>
    <w:p>
      <w:pPr>
        <w:ind w:left="679"/>
        <w:spacing w:before="35" w:line="218" w:lineRule="auto"/>
        <w:rPr>
          <w:rFonts w:ascii="SimSun" w:hAnsi="SimSun" w:eastAsia="SimSun" w:cs="SimSun"/>
          <w:sz w:val="22"/>
          <w:szCs w:val="22"/>
        </w:rPr>
      </w:pPr>
      <w:r>
        <w:rPr>
          <w:rFonts w:ascii="SimSun" w:hAnsi="SimSun" w:eastAsia="SimSun" w:cs="SimSun"/>
          <w:sz w:val="22"/>
          <w:szCs w:val="22"/>
          <w:spacing w:val="-12"/>
        </w:rPr>
        <w:t>下表展示了一个数据质量评估管理流程。</w:t>
      </w:r>
    </w:p>
    <w:p>
      <w:pPr>
        <w:spacing w:line="128" w:lineRule="exact"/>
        <w:rPr/>
      </w:pPr>
      <w:r/>
    </w:p>
    <w:tbl>
      <w:tblPr>
        <w:tblStyle w:val="TableNormal"/>
        <w:tblW w:w="7660" w:type="dxa"/>
        <w:tblInd w:w="259" w:type="dxa"/>
        <w:tblLayout w:type="fixed"/>
        <w:tblBorders>
          <w:left w:val="single" w:color="000000" w:sz="4" w:space="0"/>
          <w:bottom w:val="single" w:color="000000" w:sz="4" w:space="0"/>
          <w:right w:val="single" w:color="000000" w:sz="4" w:space="0"/>
          <w:top w:val="single" w:color="000000" w:sz="4" w:space="0"/>
        </w:tblBorders>
      </w:tblPr>
      <w:tblGrid>
        <w:gridCol w:w="7660"/>
      </w:tblGrid>
      <w:tr>
        <w:trPr>
          <w:trHeight w:val="10310" w:hRule="atLeast"/>
        </w:trPr>
        <w:tc>
          <w:tcPr>
            <w:tcW w:w="7660" w:type="dxa"/>
            <w:vAlign w:val="top"/>
          </w:tcPr>
          <w:p>
            <w:pPr>
              <w:pStyle w:val="TableText"/>
              <w:ind w:left="3085"/>
              <w:spacing w:before="79" w:line="218" w:lineRule="auto"/>
              <w:rPr/>
            </w:pPr>
            <w:r>
              <w:rPr>
                <w:spacing w:val="-1"/>
              </w:rPr>
              <w:t>数据质量评估管理流程</w:t>
            </w:r>
          </w:p>
          <w:p>
            <w:pPr>
              <w:pStyle w:val="TableText"/>
              <w:ind w:left="275"/>
              <w:spacing w:before="84" w:line="219" w:lineRule="auto"/>
              <w:rPr/>
            </w:pPr>
            <w:r>
              <w:rPr/>
              <w:t>1数据质量管理的组织架构</w:t>
            </w:r>
          </w:p>
          <w:p>
            <w:pPr>
              <w:pStyle w:val="TableText"/>
              <w:ind w:left="104" w:right="168" w:firstLine="170"/>
              <w:spacing w:before="70" w:line="320" w:lineRule="auto"/>
              <w:rPr/>
            </w:pPr>
            <w:r>
              <w:rPr/>
              <w:t>目前企业数据中心的组织架构中，有专门的数据质量管理小组。建立数据质量管理小组是保证数据质量管理体</w:t>
            </w:r>
            <w:r>
              <w:rPr>
                <w:spacing w:val="5"/>
              </w:rPr>
              <w:t xml:space="preserve"> </w:t>
            </w:r>
            <w:r>
              <w:rPr/>
              <w:t>系正常工作的前提和保证，对于企业数据中心这样的大型项目尤其如此，必须设立专门的数据质量管理小组和数</w:t>
            </w:r>
            <w:r>
              <w:rPr>
                <w:spacing w:val="10"/>
              </w:rPr>
              <w:t xml:space="preserve"> </w:t>
            </w:r>
            <w:r>
              <w:rPr/>
              <w:t>据质量管理组织体系。数据质量管理小组专门负责整个企业数据中心项目的数据质量标准的建立、数据质量监督</w:t>
            </w:r>
            <w:r>
              <w:rPr>
                <w:spacing w:val="3"/>
              </w:rPr>
              <w:t xml:space="preserve"> </w:t>
            </w:r>
            <w:r>
              <w:rPr/>
              <w:t>和数据质量保证。根据项目规模，企业数据中心还在几个核心的分系统建设和维护过程中设立专职的数据质量管</w:t>
            </w:r>
            <w:r>
              <w:rPr>
                <w:spacing w:val="12"/>
              </w:rPr>
              <w:t xml:space="preserve"> </w:t>
            </w:r>
            <w:r>
              <w:rPr/>
              <w:t>理人员，从而组成专门的数据质量管理小组。数据质量管理小组的工作职责主要包括以下6个方</w:t>
            </w:r>
            <w:r>
              <w:rPr>
                <w:spacing w:val="-1"/>
              </w:rPr>
              <w:t>面。</w:t>
            </w:r>
          </w:p>
          <w:p>
            <w:pPr>
              <w:pStyle w:val="TableText"/>
              <w:ind w:left="265"/>
              <w:spacing w:before="90" w:line="218" w:lineRule="auto"/>
              <w:rPr/>
            </w:pPr>
            <w:r>
              <w:rPr>
                <w:spacing w:val="4"/>
              </w:rPr>
              <w:t>(1)负责制订数据质量的评估指标；</w:t>
            </w:r>
          </w:p>
          <w:p>
            <w:pPr>
              <w:pStyle w:val="TableText"/>
              <w:ind w:left="265"/>
              <w:spacing w:before="92" w:line="272" w:lineRule="exact"/>
              <w:rPr/>
            </w:pPr>
            <w:r>
              <w:rPr>
                <w:position w:val="9"/>
              </w:rPr>
              <w:t>(2)负责制订数据质量的评估方法和评估形式</w:t>
            </w:r>
          </w:p>
          <w:p>
            <w:pPr>
              <w:pStyle w:val="TableText"/>
              <w:ind w:left="265"/>
              <w:spacing w:line="219" w:lineRule="auto"/>
              <w:rPr/>
            </w:pPr>
            <w:r>
              <w:rPr>
                <w:spacing w:val="3"/>
              </w:rPr>
              <w:t>(4)负责制订数据质量可信等级管理策略；</w:t>
            </w:r>
          </w:p>
          <w:p>
            <w:pPr>
              <w:pStyle w:val="TableText"/>
              <w:ind w:left="245"/>
              <w:spacing w:before="61" w:line="289" w:lineRule="exact"/>
              <w:rPr/>
            </w:pPr>
            <w:r>
              <w:rPr>
                <w:spacing w:val="3"/>
                <w:position w:val="10"/>
              </w:rPr>
              <w:t>(5)负责制订数据质量管理操作流程规范；</w:t>
            </w:r>
          </w:p>
          <w:p>
            <w:pPr>
              <w:pStyle w:val="TableText"/>
              <w:ind w:left="265"/>
              <w:spacing w:before="1" w:line="217" w:lineRule="auto"/>
              <w:rPr/>
            </w:pPr>
            <w:r>
              <w:rPr/>
              <w:t>(6)负责定期发布数据质量报告。</w:t>
            </w:r>
          </w:p>
          <w:p>
            <w:pPr>
              <w:pStyle w:val="TableText"/>
              <w:ind w:left="254"/>
              <w:spacing w:before="94" w:line="219" w:lineRule="auto"/>
              <w:rPr/>
            </w:pPr>
            <w:r>
              <w:rPr>
                <w:spacing w:val="-1"/>
              </w:rPr>
              <w:t>2数据质量校验流程</w:t>
            </w:r>
          </w:p>
          <w:p>
            <w:pPr>
              <w:pStyle w:val="TableText"/>
              <w:ind w:left="104" w:right="333" w:firstLine="170"/>
              <w:spacing w:before="103" w:line="281" w:lineRule="auto"/>
              <w:rPr/>
            </w:pPr>
            <w:r>
              <w:rPr/>
              <w:t>企业数据中心平台每天都有很多ETL任务定时执行加载数据，确保ETL加载数据的完整</w:t>
            </w:r>
            <w:r>
              <w:rPr>
                <w:spacing w:val="-1"/>
              </w:rPr>
              <w:t>性、准确性是数据质量</w:t>
            </w:r>
            <w:r>
              <w:rPr/>
              <w:t xml:space="preserve"> </w:t>
            </w:r>
            <w:r>
              <w:rPr>
                <w:spacing w:val="-1"/>
              </w:rPr>
              <w:t>管理的基本要求。</w:t>
            </w:r>
          </w:p>
          <w:p>
            <w:pPr>
              <w:pStyle w:val="TableText"/>
              <w:ind w:left="254"/>
              <w:spacing w:before="103" w:line="219" w:lineRule="auto"/>
              <w:rPr/>
            </w:pPr>
            <w:r>
              <w:rPr>
                <w:spacing w:val="-1"/>
              </w:rPr>
              <w:t>2.1日常数据校验</w:t>
            </w:r>
          </w:p>
          <w:p>
            <w:pPr>
              <w:pStyle w:val="TableText"/>
              <w:ind w:left="245"/>
              <w:spacing w:before="62" w:line="219" w:lineRule="auto"/>
              <w:rPr/>
            </w:pPr>
            <w:r>
              <w:rPr/>
              <w:t>数据质量管理人员每天要对ETL加载任务执行情况进行检查。</w:t>
            </w:r>
          </w:p>
          <w:p>
            <w:pPr>
              <w:pStyle w:val="TableText"/>
              <w:ind w:left="254"/>
              <w:spacing w:before="112" w:line="219" w:lineRule="auto"/>
              <w:rPr/>
            </w:pPr>
            <w:r>
              <w:rPr/>
              <w:t>(1)数据校验方法选择</w:t>
            </w:r>
          </w:p>
          <w:p>
            <w:pPr>
              <w:pStyle w:val="TableText"/>
              <w:ind w:left="265"/>
              <w:spacing w:before="71" w:line="301" w:lineRule="exact"/>
              <w:rPr/>
            </w:pPr>
            <w:r>
              <w:rPr>
                <w:position w:val="11"/>
              </w:rPr>
              <w:t>ETL任务数据质量校验要求必须采用以下三类方法中的至少一种来进行判断：记录数检查法；关</w:t>
            </w:r>
            <w:r>
              <w:rPr>
                <w:spacing w:val="-1"/>
                <w:position w:val="11"/>
              </w:rPr>
              <w:t>键指标总量验</w:t>
            </w:r>
          </w:p>
          <w:p>
            <w:pPr>
              <w:pStyle w:val="TableText"/>
              <w:ind w:left="104"/>
              <w:spacing w:line="219" w:lineRule="auto"/>
              <w:rPr/>
            </w:pPr>
            <w:r>
              <w:rPr>
                <w:spacing w:val="-1"/>
              </w:rPr>
              <w:t>证法；值域判断法。</w:t>
            </w:r>
          </w:p>
          <w:p>
            <w:pPr>
              <w:pStyle w:val="TableText"/>
              <w:ind w:left="254"/>
              <w:spacing w:before="72" w:line="219" w:lineRule="auto"/>
              <w:rPr/>
            </w:pPr>
            <w:r>
              <w:rPr/>
              <w:t>(2)数据校验周期</w:t>
            </w:r>
          </w:p>
          <w:p>
            <w:pPr>
              <w:pStyle w:val="TableText"/>
              <w:ind w:left="104" w:right="275" w:firstLine="149"/>
              <w:spacing w:before="72" w:line="288" w:lineRule="auto"/>
              <w:rPr/>
            </w:pPr>
            <w:r>
              <w:rPr/>
              <w:t>每天ETL加载任务比较多，如果全部执行数据校验需要的时间过长，因此根据每个主题数据的</w:t>
            </w:r>
            <w:r>
              <w:rPr>
                <w:spacing w:val="-1"/>
              </w:rPr>
              <w:t>可信等级确定校</w:t>
            </w:r>
            <w:r>
              <w:rPr/>
              <w:t xml:space="preserve"> </w:t>
            </w:r>
            <w:r>
              <w:rPr>
                <w:spacing w:val="-1"/>
              </w:rPr>
              <w:t>验频率。可信等级与校验频率的对应关系如下。</w:t>
            </w:r>
          </w:p>
          <w:p>
            <w:pPr>
              <w:pStyle w:val="TableText"/>
              <w:ind w:left="275"/>
              <w:spacing w:before="102" w:line="270" w:lineRule="exact"/>
              <w:rPr/>
            </w:pPr>
            <w:r>
              <w:rPr>
                <w:spacing w:val="-1"/>
                <w:position w:val="9"/>
              </w:rPr>
              <w:t>一级：每次加载都必须执行数据校验</w:t>
            </w:r>
          </w:p>
          <w:p>
            <w:pPr>
              <w:pStyle w:val="TableText"/>
              <w:ind w:left="275"/>
              <w:spacing w:line="219" w:lineRule="auto"/>
              <w:rPr/>
            </w:pPr>
            <w:r>
              <w:rPr>
                <w:spacing w:val="-1"/>
              </w:rPr>
              <w:t>二级：每三次加载执行一次数据校验</w:t>
            </w:r>
          </w:p>
          <w:p>
            <w:pPr>
              <w:pStyle w:val="TableText"/>
              <w:ind w:left="275"/>
              <w:spacing w:before="92" w:line="219" w:lineRule="auto"/>
              <w:rPr/>
            </w:pPr>
            <w:r>
              <w:rPr>
                <w:spacing w:val="-1"/>
              </w:rPr>
              <w:t>三级：每六次加载执行一次数据校验</w:t>
            </w:r>
          </w:p>
          <w:p>
            <w:pPr>
              <w:pStyle w:val="TableText"/>
              <w:ind w:left="265"/>
              <w:spacing w:before="82" w:line="219" w:lineRule="auto"/>
              <w:rPr/>
            </w:pPr>
            <w:r>
              <w:rPr/>
              <w:t>对于需要特别保障的主题数据，可调整校验频率并额外增</w:t>
            </w:r>
            <w:r>
              <w:rPr>
                <w:spacing w:val="-1"/>
              </w:rPr>
              <w:t>加经验审核法。</w:t>
            </w:r>
          </w:p>
          <w:p>
            <w:pPr>
              <w:pStyle w:val="TableText"/>
              <w:ind w:left="254"/>
              <w:spacing w:before="112" w:line="219" w:lineRule="auto"/>
              <w:rPr/>
            </w:pPr>
            <w:r>
              <w:rPr>
                <w:spacing w:val="-1"/>
              </w:rPr>
              <w:t>2.2定时数据抽查</w:t>
            </w:r>
          </w:p>
          <w:p>
            <w:pPr>
              <w:pStyle w:val="TableText"/>
              <w:ind w:left="104" w:firstLine="159"/>
              <w:spacing w:before="71" w:line="294" w:lineRule="auto"/>
              <w:rPr/>
            </w:pPr>
            <w:r>
              <w:rPr>
                <w:spacing w:val="-1"/>
              </w:rPr>
              <w:t>ETL数据校验可以确保每天加载的增量数据的完整性、准确性，在此基础上，数据质量管理小组必须每季度组织一</w:t>
            </w:r>
            <w:r>
              <w:rPr>
                <w:spacing w:val="10"/>
              </w:rPr>
              <w:t xml:space="preserve"> </w:t>
            </w:r>
            <w:r>
              <w:rPr>
                <w:spacing w:val="-2"/>
              </w:rPr>
              <w:t>次企业数据中心平台的定期抽查。定期抽查的范围必须包括可信等级为一级的所有主题数据，可信等级</w:t>
            </w:r>
            <w:r>
              <w:rPr>
                <w:spacing w:val="-3"/>
              </w:rPr>
              <w:t>为二级的两个</w:t>
            </w:r>
            <w:r>
              <w:rPr/>
              <w:t xml:space="preserve"> </w:t>
            </w:r>
            <w:r>
              <w:rPr/>
              <w:t>主题的数据，可信等级为三级的一个主题的数据。定期抽查必须采用数据质量评估方法</w:t>
            </w:r>
            <w:r>
              <w:rPr>
                <w:spacing w:val="-1"/>
              </w:rPr>
              <w:t>中定义的所有方法。</w:t>
            </w:r>
          </w:p>
          <w:p>
            <w:pPr>
              <w:pStyle w:val="TableText"/>
              <w:ind w:left="254"/>
              <w:spacing w:before="115" w:line="219" w:lineRule="auto"/>
              <w:rPr/>
            </w:pPr>
            <w:r>
              <w:rPr>
                <w:spacing w:val="-1"/>
              </w:rPr>
              <w:t>2.3全面数据检查</w:t>
            </w:r>
          </w:p>
          <w:p>
            <w:pPr>
              <w:pStyle w:val="TableText"/>
              <w:ind w:left="104" w:right="202" w:firstLine="149"/>
              <w:spacing w:before="61" w:line="281" w:lineRule="auto"/>
              <w:rPr/>
            </w:pPr>
            <w:r>
              <w:rPr/>
              <w:t>数据质量管理小组必须每年组织一次企业数据中心平台的全面检查。全面检查的范围包括</w:t>
            </w:r>
            <w:r>
              <w:rPr>
                <w:spacing w:val="-1"/>
              </w:rPr>
              <w:t>企业数据中心平台所</w:t>
            </w:r>
            <w:r>
              <w:rPr/>
              <w:t xml:space="preserve"> </w:t>
            </w:r>
            <w:r>
              <w:rPr/>
              <w:t>有主题的数据。全面检查必须采用数据质量评估方法中定</w:t>
            </w:r>
            <w:r>
              <w:rPr>
                <w:spacing w:val="-1"/>
              </w:rPr>
              <w:t>义的所有方法。</w:t>
            </w:r>
          </w:p>
          <w:p>
            <w:pPr>
              <w:pStyle w:val="TableText"/>
              <w:ind w:left="254"/>
              <w:spacing w:before="124" w:line="219" w:lineRule="auto"/>
              <w:rPr/>
            </w:pPr>
            <w:r>
              <w:rPr>
                <w:spacing w:val="-1"/>
              </w:rPr>
              <w:t>3  数据异常处理流程</w:t>
            </w:r>
          </w:p>
          <w:p>
            <w:pPr>
              <w:pStyle w:val="TableText"/>
              <w:ind w:left="104" w:right="258" w:firstLine="149"/>
              <w:spacing w:before="72" w:line="282" w:lineRule="auto"/>
              <w:rPr/>
            </w:pPr>
            <w:r>
              <w:rPr/>
              <w:t>(1)数据质量管理人员发现数据差错应及时核对核实，根据核对核实的情况填写数据问题处理单，描述数据质</w:t>
            </w:r>
            <w:r>
              <w:rPr>
                <w:spacing w:val="10"/>
              </w:rPr>
              <w:t xml:space="preserve"> </w:t>
            </w:r>
            <w:r>
              <w:rPr>
                <w:spacing w:val="-1"/>
              </w:rPr>
              <w:t>量问题的现状、原因和改正、预防措施。</w:t>
            </w:r>
          </w:p>
          <w:p>
            <w:pPr>
              <w:pStyle w:val="TableText"/>
              <w:ind w:left="285"/>
              <w:spacing w:before="102" w:line="219" w:lineRule="auto"/>
              <w:rPr/>
            </w:pPr>
            <w:r>
              <w:rPr/>
              <w:t>(2)数据质量管理小组组长审批后，报数据中心主管部门批准后执行数据修正任务。</w:t>
            </w:r>
          </w:p>
        </w:tc>
      </w:tr>
    </w:tbl>
    <w:p>
      <w:pPr>
        <w:pStyle w:val="BodyText"/>
        <w:rPr/>
      </w:pPr>
      <w:r/>
    </w:p>
    <w:p>
      <w:pPr>
        <w:sectPr>
          <w:footerReference w:type="default" r:id="rId283"/>
          <w:pgSz w:w="8870" w:h="13400"/>
          <w:pgMar w:top="400" w:right="484" w:bottom="525" w:left="459" w:header="0" w:footer="306" w:gutter="0"/>
        </w:sectPr>
        <w:rPr/>
      </w:pPr>
    </w:p>
    <w:p>
      <w:pPr>
        <w:ind w:left="5458"/>
        <w:spacing w:before="154" w:line="219" w:lineRule="auto"/>
        <w:rPr>
          <w:rFonts w:ascii="SimSun" w:hAnsi="SimSun" w:eastAsia="SimSun" w:cs="SimSun"/>
          <w:sz w:val="22"/>
          <w:szCs w:val="22"/>
        </w:rPr>
      </w:pPr>
      <w:r>
        <w:rPr>
          <w:rFonts w:ascii="SimSun" w:hAnsi="SimSun" w:eastAsia="SimSun" w:cs="SimSun"/>
          <w:sz w:val="22"/>
          <w:szCs w:val="22"/>
          <w:b/>
          <w:bCs/>
          <w:spacing w:val="18"/>
        </w:rPr>
        <w:t>第6章-云端数据质量</w:t>
      </w:r>
    </w:p>
    <w:p>
      <w:pPr>
        <w:pStyle w:val="BodyText"/>
        <w:spacing w:line="327" w:lineRule="auto"/>
        <w:rPr/>
      </w:pPr>
      <w:r/>
    </w:p>
    <w:p>
      <w:pPr>
        <w:ind w:left="6824"/>
        <w:spacing w:before="52" w:line="220" w:lineRule="auto"/>
        <w:rPr>
          <w:rFonts w:ascii="SimSun" w:hAnsi="SimSun" w:eastAsia="SimSun" w:cs="SimSun"/>
          <w:sz w:val="16"/>
          <w:szCs w:val="16"/>
        </w:rPr>
      </w:pPr>
      <w:r>
        <w:rPr>
          <w:rFonts w:ascii="SimSun" w:hAnsi="SimSun" w:eastAsia="SimSun" w:cs="SimSun"/>
          <w:sz w:val="16"/>
          <w:szCs w:val="16"/>
          <w:spacing w:val="-3"/>
        </w:rPr>
        <w:t>续表</w:t>
      </w:r>
    </w:p>
    <w:p>
      <w:pPr>
        <w:spacing w:line="17" w:lineRule="exact"/>
        <w:rPr/>
      </w:pPr>
      <w:r/>
    </w:p>
    <w:tbl>
      <w:tblPr>
        <w:tblStyle w:val="TableNormal"/>
        <w:tblW w:w="7649"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49"/>
      </w:tblGrid>
      <w:tr>
        <w:trPr>
          <w:trHeight w:val="9580" w:hRule="atLeast"/>
        </w:trPr>
        <w:tc>
          <w:tcPr>
            <w:tcW w:w="7649" w:type="dxa"/>
            <w:vAlign w:val="top"/>
          </w:tcPr>
          <w:p>
            <w:pPr>
              <w:pStyle w:val="TableText"/>
              <w:ind w:left="3137"/>
              <w:spacing w:before="87" w:line="218" w:lineRule="auto"/>
              <w:rPr/>
            </w:pPr>
            <w:r>
              <w:rPr>
                <w:b/>
                <w:bCs/>
                <w:spacing w:val="-3"/>
              </w:rPr>
              <w:t>数据质量的评估报告</w:t>
            </w:r>
          </w:p>
          <w:p>
            <w:pPr>
              <w:pStyle w:val="TableText"/>
              <w:ind w:left="114" w:right="285" w:firstLine="130"/>
              <w:spacing w:before="85" w:line="281" w:lineRule="auto"/>
              <w:rPr/>
            </w:pPr>
            <w:r>
              <w:rPr/>
              <w:t>1最终根据数据质量检查的情况，数据质量管理小组会定期或不定期</w:t>
            </w:r>
            <w:r>
              <w:rPr>
                <w:spacing w:val="-1"/>
              </w:rPr>
              <w:t>生成相关的数据质量评估报告，数据质量</w:t>
            </w:r>
            <w:r>
              <w:rPr/>
              <w:t xml:space="preserve"> </w:t>
            </w:r>
            <w:r>
              <w:rPr>
                <w:spacing w:val="-1"/>
              </w:rPr>
              <w:t>报告分为两类。</w:t>
            </w:r>
          </w:p>
          <w:p>
            <w:pPr>
              <w:pStyle w:val="TableText"/>
              <w:ind w:left="234"/>
              <w:spacing w:before="103" w:line="279" w:lineRule="exact"/>
              <w:rPr/>
            </w:pPr>
            <w:r>
              <w:rPr>
                <w:spacing w:val="2"/>
                <w:position w:val="10"/>
              </w:rPr>
              <w:t>(1)每月定期提交的数据质量报告，即每月数据质量问题的陈述；</w:t>
            </w:r>
          </w:p>
          <w:p>
            <w:pPr>
              <w:pStyle w:val="TableText"/>
              <w:ind w:left="234"/>
              <w:spacing w:line="217" w:lineRule="auto"/>
              <w:rPr/>
            </w:pPr>
            <w:r>
              <w:rPr/>
              <w:t>(2)数据质量抽查或全面检查后提交的数据质量报</w:t>
            </w:r>
            <w:r>
              <w:rPr>
                <w:spacing w:val="-1"/>
              </w:rPr>
              <w:t>告。</w:t>
            </w:r>
          </w:p>
          <w:p>
            <w:pPr>
              <w:pStyle w:val="TableText"/>
              <w:ind w:left="234"/>
              <w:spacing w:before="133" w:line="218" w:lineRule="auto"/>
              <w:rPr/>
            </w:pPr>
            <w:r>
              <w:rPr>
                <w:spacing w:val="-1"/>
              </w:rPr>
              <w:t>2每月数据质量评估报告</w:t>
            </w:r>
          </w:p>
          <w:p>
            <w:pPr>
              <w:pStyle w:val="TableText"/>
              <w:ind w:left="114" w:right="179" w:firstLine="150"/>
              <w:spacing w:before="103" w:line="263" w:lineRule="auto"/>
              <w:rPr/>
            </w:pPr>
            <w:r>
              <w:rPr/>
              <w:t>每月的数据质量报告是在每月末或者下月初时编制的月度执行报告，数据质量管理小组会对当</w:t>
            </w:r>
            <w:r>
              <w:rPr>
                <w:spacing w:val="-1"/>
              </w:rPr>
              <w:t>月数据质量情况</w:t>
            </w:r>
            <w:r>
              <w:rPr/>
              <w:t xml:space="preserve"> </w:t>
            </w:r>
            <w:r>
              <w:rPr/>
              <w:t>进行汇总统计，并根据“数据质量问题频率”的变化情况对各主题的等级进行检查策略的调整。</w:t>
            </w:r>
            <w:r>
              <w:rPr>
                <w:spacing w:val="-1"/>
              </w:rPr>
              <w:t>报告格式如下。</w:t>
            </w:r>
          </w:p>
          <w:p>
            <w:pPr>
              <w:pStyle w:val="TableText"/>
              <w:ind w:left="254"/>
              <w:spacing w:before="125" w:line="220" w:lineRule="auto"/>
              <w:rPr/>
            </w:pPr>
            <w:r>
              <w:rPr>
                <w:spacing w:val="-9"/>
              </w:rPr>
              <w:t>A</w:t>
            </w:r>
            <w:r>
              <w:rPr>
                <w:spacing w:val="-28"/>
              </w:rPr>
              <w:t xml:space="preserve"> </w:t>
            </w:r>
            <w:r>
              <w:rPr>
                <w:spacing w:val="-9"/>
              </w:rPr>
              <w:t>非</w:t>
            </w:r>
            <w:r>
              <w:rPr>
                <w:spacing w:val="-29"/>
              </w:rPr>
              <w:t xml:space="preserve"> </w:t>
            </w:r>
            <w:r>
              <w:rPr>
                <w:spacing w:val="-9"/>
              </w:rPr>
              <w:t>系</w:t>
            </w:r>
            <w:r>
              <w:rPr>
                <w:spacing w:val="-29"/>
              </w:rPr>
              <w:t xml:space="preserve"> </w:t>
            </w:r>
            <w:r>
              <w:rPr>
                <w:spacing w:val="-9"/>
              </w:rPr>
              <w:t>统</w:t>
            </w:r>
            <w:r>
              <w:rPr>
                <w:spacing w:val="-16"/>
              </w:rPr>
              <w:t xml:space="preserve"> </w:t>
            </w:r>
            <w:r>
              <w:rPr>
                <w:spacing w:val="-9"/>
              </w:rPr>
              <w:t>问</w:t>
            </w:r>
            <w:r>
              <w:rPr>
                <w:spacing w:val="-32"/>
              </w:rPr>
              <w:t xml:space="preserve"> </w:t>
            </w:r>
            <w:r>
              <w:rPr>
                <w:spacing w:val="-9"/>
              </w:rPr>
              <w:t>题</w:t>
            </w:r>
          </w:p>
          <w:p>
            <w:pPr>
              <w:pStyle w:val="TableText"/>
              <w:ind w:left="254"/>
              <w:spacing w:before="90" w:line="301" w:lineRule="exact"/>
              <w:rPr/>
            </w:pPr>
            <w:r>
              <w:rPr>
                <w:position w:val="11"/>
              </w:rPr>
              <w:t>(1)数据质量问题的现象(2)业务数据范围(3)问题陈述</w:t>
            </w:r>
          </w:p>
          <w:p>
            <w:pPr>
              <w:pStyle w:val="TableText"/>
              <w:ind w:left="244"/>
              <w:spacing w:before="1" w:line="220" w:lineRule="auto"/>
              <w:rPr/>
            </w:pPr>
            <w:r>
              <w:rPr>
                <w:spacing w:val="12"/>
              </w:rPr>
              <w:t>B</w:t>
            </w:r>
            <w:r>
              <w:rPr>
                <w:spacing w:val="-32"/>
              </w:rPr>
              <w:t xml:space="preserve"> </w:t>
            </w:r>
            <w:r>
              <w:rPr>
                <w:spacing w:val="12"/>
              </w:rPr>
              <w:t>.</w:t>
            </w:r>
            <w:r>
              <w:rPr>
                <w:spacing w:val="-34"/>
              </w:rPr>
              <w:t xml:space="preserve"> </w:t>
            </w:r>
            <w:r>
              <w:rPr>
                <w:spacing w:val="12"/>
              </w:rPr>
              <w:t>系统问题</w:t>
            </w:r>
          </w:p>
          <w:p>
            <w:pPr>
              <w:pStyle w:val="TableText"/>
              <w:ind w:left="254"/>
              <w:spacing w:before="99" w:line="279" w:lineRule="exact"/>
              <w:rPr/>
            </w:pPr>
            <w:r>
              <w:rPr>
                <w:position w:val="9"/>
              </w:rPr>
              <w:t>(1)数据质量问题的现象(2)业务数据范围(3)问题陈述</w:t>
            </w:r>
          </w:p>
          <w:p>
            <w:pPr>
              <w:pStyle w:val="TableText"/>
              <w:ind w:left="254"/>
              <w:spacing w:before="1" w:line="217" w:lineRule="auto"/>
              <w:rPr/>
            </w:pPr>
            <w:r>
              <w:rPr>
                <w:spacing w:val="-1"/>
              </w:rPr>
              <w:t>3数据质量抽查或全面检查后提交的数据质量报告</w:t>
            </w:r>
          </w:p>
          <w:p>
            <w:pPr>
              <w:pStyle w:val="TableText"/>
              <w:ind w:left="114" w:right="171" w:firstLine="160"/>
              <w:spacing w:before="114" w:line="302" w:lineRule="auto"/>
              <w:jc w:val="both"/>
              <w:rPr/>
            </w:pPr>
            <w:r>
              <w:rPr/>
              <w:t>数据质量抽查或全面检查报告是在每次进行完整的企业数据中心抽查或全面检查后编制的</w:t>
            </w:r>
            <w:r>
              <w:rPr>
                <w:spacing w:val="-1"/>
              </w:rPr>
              <w:t>质量报告，同每月数</w:t>
            </w:r>
            <w:r>
              <w:rPr/>
              <w:t xml:space="preserve"> </w:t>
            </w:r>
            <w:r>
              <w:rPr/>
              <w:t>据质量报告相比，除了要统计数据质量情况并重新划分主题等级外，还需要对整个质量体系运作</w:t>
            </w:r>
            <w:r>
              <w:rPr>
                <w:spacing w:val="-1"/>
              </w:rPr>
              <w:t>的情况进行评估</w:t>
            </w:r>
            <w:r>
              <w:rPr/>
              <w:t xml:space="preserve"> </w:t>
            </w:r>
            <w:r>
              <w:rPr>
                <w:spacing w:val="-1"/>
              </w:rPr>
              <w:t>和改进。报告格式如下。</w:t>
            </w:r>
          </w:p>
          <w:p>
            <w:pPr>
              <w:pStyle w:val="TableText"/>
              <w:ind w:left="244"/>
              <w:spacing w:before="113" w:line="219" w:lineRule="auto"/>
              <w:rPr/>
            </w:pPr>
            <w:r>
              <w:rPr>
                <w:spacing w:val="-4"/>
              </w:rPr>
              <w:t>A</w:t>
            </w:r>
            <w:r>
              <w:rPr>
                <w:spacing w:val="-16"/>
              </w:rPr>
              <w:t xml:space="preserve"> </w:t>
            </w:r>
            <w:r>
              <w:rPr>
                <w:spacing w:val="-4"/>
              </w:rPr>
              <w:t>基</w:t>
            </w:r>
            <w:r>
              <w:rPr>
                <w:spacing w:val="-16"/>
              </w:rPr>
              <w:t xml:space="preserve"> </w:t>
            </w:r>
            <w:r>
              <w:rPr>
                <w:spacing w:val="-4"/>
              </w:rPr>
              <w:t>本</w:t>
            </w:r>
            <w:r>
              <w:rPr>
                <w:spacing w:val="-16"/>
              </w:rPr>
              <w:t xml:space="preserve"> </w:t>
            </w:r>
            <w:r>
              <w:rPr>
                <w:spacing w:val="-4"/>
              </w:rPr>
              <w:t>概</w:t>
            </w:r>
            <w:r>
              <w:rPr>
                <w:spacing w:val="-15"/>
              </w:rPr>
              <w:t xml:space="preserve"> </w:t>
            </w:r>
            <w:r>
              <w:rPr>
                <w:spacing w:val="-4"/>
              </w:rPr>
              <w:t>况</w:t>
            </w:r>
          </w:p>
          <w:p>
            <w:pPr>
              <w:pStyle w:val="TableText"/>
              <w:ind w:left="114" w:right="331"/>
              <w:spacing w:before="73" w:line="288" w:lineRule="auto"/>
              <w:rPr/>
            </w:pPr>
            <w:r>
              <w:rPr/>
              <w:t>参与数据质量检查的相关组织与人员；数据质量检查的时间；数据质量检查的地点；数据</w:t>
            </w:r>
            <w:r>
              <w:rPr>
                <w:spacing w:val="-1"/>
              </w:rPr>
              <w:t>质量检查的形式；数</w:t>
            </w:r>
            <w:r>
              <w:rPr/>
              <w:t xml:space="preserve"> </w:t>
            </w:r>
            <w:r>
              <w:rPr>
                <w:spacing w:val="-1"/>
              </w:rPr>
              <w:t>据质量检查的范围等方面的内容。</w:t>
            </w:r>
          </w:p>
          <w:p>
            <w:pPr>
              <w:pStyle w:val="TableText"/>
              <w:ind w:left="254"/>
              <w:spacing w:before="111" w:line="270" w:lineRule="exact"/>
              <w:rPr/>
            </w:pPr>
            <w:r>
              <w:rPr>
                <w:spacing w:val="-1"/>
                <w:position w:val="9"/>
              </w:rPr>
              <w:t>B数据质量的检查与评价</w:t>
            </w:r>
          </w:p>
          <w:p>
            <w:pPr>
              <w:pStyle w:val="TableText"/>
              <w:ind w:left="265"/>
              <w:spacing w:before="1" w:line="217" w:lineRule="auto"/>
              <w:rPr/>
            </w:pPr>
            <w:r>
              <w:rPr>
                <w:spacing w:val="6"/>
              </w:rPr>
              <w:t>(1)评价过程与步骤；</w:t>
            </w:r>
          </w:p>
          <w:p>
            <w:pPr>
              <w:pStyle w:val="TableText"/>
              <w:ind w:left="265"/>
              <w:spacing w:before="104" w:line="219" w:lineRule="auto"/>
              <w:rPr/>
            </w:pPr>
            <w:r>
              <w:rPr>
                <w:spacing w:val="-1"/>
              </w:rPr>
              <w:t>(2)数据检查方式：</w:t>
            </w:r>
          </w:p>
          <w:p>
            <w:pPr>
              <w:pStyle w:val="TableText"/>
              <w:ind w:left="114" w:right="181" w:firstLine="150"/>
              <w:spacing w:before="122" w:line="288" w:lineRule="auto"/>
              <w:rPr/>
            </w:pPr>
            <w:r>
              <w:rPr/>
              <w:t>主要分为全部检查和抽查。全检必须说明检查的范围、内容及方法；抽查必须说明抽样方</w:t>
            </w:r>
            <w:r>
              <w:rPr>
                <w:spacing w:val="-1"/>
              </w:rPr>
              <w:t>案、过程及数据检查</w:t>
            </w:r>
            <w:r>
              <w:rPr/>
              <w:t xml:space="preserve"> </w:t>
            </w:r>
            <w:r>
              <w:rPr>
                <w:spacing w:val="-1"/>
              </w:rPr>
              <w:t>的范围、内容及方法。</w:t>
            </w:r>
          </w:p>
          <w:p>
            <w:pPr>
              <w:pStyle w:val="TableText"/>
              <w:ind w:left="254"/>
              <w:spacing w:before="101" w:line="291" w:lineRule="exact"/>
              <w:rPr/>
            </w:pPr>
            <w:r>
              <w:rPr>
                <w:spacing w:val="-1"/>
                <w:position w:val="10"/>
              </w:rPr>
              <w:t>(3)数据质量评价方法。</w:t>
            </w:r>
          </w:p>
          <w:p>
            <w:pPr>
              <w:pStyle w:val="TableText"/>
              <w:ind w:left="254"/>
              <w:spacing w:line="219" w:lineRule="auto"/>
              <w:rPr/>
            </w:pPr>
            <w:r>
              <w:rPr>
                <w:spacing w:val="-1"/>
              </w:rPr>
              <w:t>C  数据质量评述与结论</w:t>
            </w:r>
          </w:p>
          <w:p>
            <w:pPr>
              <w:pStyle w:val="TableText"/>
              <w:ind w:left="244"/>
              <w:spacing w:before="73" w:line="220" w:lineRule="auto"/>
              <w:rPr/>
            </w:pPr>
            <w:r>
              <w:rPr/>
              <w:t>(1)评述</w:t>
            </w:r>
          </w:p>
          <w:p>
            <w:pPr>
              <w:pStyle w:val="TableText"/>
              <w:ind w:left="254"/>
              <w:spacing w:before="120" w:line="281" w:lineRule="exact"/>
              <w:rPr/>
            </w:pPr>
            <w:r>
              <w:rPr>
                <w:spacing w:val="-1"/>
                <w:position w:val="10"/>
              </w:rPr>
              <w:t>对数据质量进行的综合描述(包括存在的问题)。</w:t>
            </w:r>
          </w:p>
          <w:p>
            <w:pPr>
              <w:pStyle w:val="TableText"/>
              <w:ind w:left="254"/>
              <w:spacing w:line="220" w:lineRule="auto"/>
              <w:rPr/>
            </w:pPr>
            <w:r>
              <w:rPr/>
              <w:t>(2)结论与建议</w:t>
            </w:r>
          </w:p>
          <w:p>
            <w:pPr>
              <w:pStyle w:val="TableText"/>
              <w:ind w:left="254"/>
              <w:spacing w:before="100" w:line="282" w:lineRule="exact"/>
              <w:rPr/>
            </w:pPr>
            <w:r>
              <w:rPr>
                <w:spacing w:val="-1"/>
                <w:position w:val="10"/>
              </w:rPr>
              <w:t>包括检查结果、可信等级调整建议等。</w:t>
            </w:r>
          </w:p>
          <w:p>
            <w:pPr>
              <w:pStyle w:val="TableText"/>
              <w:ind w:left="244"/>
              <w:spacing w:line="220" w:lineRule="auto"/>
              <w:rPr/>
            </w:pPr>
            <w:r>
              <w:rPr>
                <w:spacing w:val="-1"/>
              </w:rPr>
              <w:t>4总结及展望</w:t>
            </w:r>
          </w:p>
          <w:p>
            <w:pPr>
              <w:pStyle w:val="TableText"/>
              <w:ind w:left="104" w:right="167" w:firstLine="160"/>
              <w:spacing w:before="100" w:line="307" w:lineRule="auto"/>
              <w:jc w:val="both"/>
              <w:rPr/>
            </w:pPr>
            <w:r>
              <w:rPr/>
              <w:t>在企业数据中心平台搭建完成后，严格执行项目建设的流程管理，进行质量评估是非常重要的</w:t>
            </w:r>
            <w:r>
              <w:rPr>
                <w:spacing w:val="-1"/>
              </w:rPr>
              <w:t>。企业数据中心</w:t>
            </w:r>
            <w:r>
              <w:rPr/>
              <w:t xml:space="preserve"> </w:t>
            </w:r>
            <w:r>
              <w:rPr/>
              <w:t>将来在规范流程管理的同时，应进一步加强数据质量的评估，评估操作流程的优化，形成良性循环。企业数据中</w:t>
            </w:r>
            <w:r>
              <w:rPr>
                <w:spacing w:val="15"/>
              </w:rPr>
              <w:t xml:space="preserve"> </w:t>
            </w:r>
            <w:r>
              <w:rPr/>
              <w:t>心的建设必须支持企业发展的战略重点，成为企业新一轮发展的重要支撑。</w:t>
            </w:r>
          </w:p>
        </w:tc>
      </w:tr>
    </w:tbl>
    <w:p>
      <w:pPr>
        <w:pStyle w:val="BodyText"/>
        <w:rPr/>
      </w:pPr>
      <w:r/>
    </w:p>
    <w:p>
      <w:pPr>
        <w:sectPr>
          <w:footerReference w:type="default" r:id="rId285"/>
          <w:pgSz w:w="8870" w:h="13400"/>
          <w:pgMar w:top="400" w:right="571" w:bottom="576" w:left="435" w:header="0" w:footer="357" w:gutter="0"/>
        </w:sectPr>
        <w:rPr/>
      </w:pPr>
    </w:p>
    <w:p>
      <w:pPr>
        <w:ind w:left="192"/>
        <w:spacing w:before="236" w:line="219" w:lineRule="auto"/>
        <w:rPr>
          <w:rFonts w:ascii="SimSun" w:hAnsi="SimSun" w:eastAsia="SimSun" w:cs="SimSun"/>
          <w:sz w:val="22"/>
          <w:szCs w:val="22"/>
        </w:rPr>
      </w:pPr>
      <w:r>
        <w:pict>
          <v:rect id="_x0000_s398" style="position:absolute;margin-left:27.5014pt;margin-top:28.5018pt;mso-position-vertical-relative:page;mso-position-horizontal-relative:page;width:0.5pt;height:17.55pt;z-index:255278080;" o:allowincell="f" fillcolor="#000000" filled="true" stroked="false"/>
        </w:pict>
      </w:r>
      <w:r>
        <w:rPr>
          <w:rFonts w:ascii="SimSun" w:hAnsi="SimSun" w:eastAsia="SimSun" w:cs="SimSun"/>
          <w:sz w:val="22"/>
          <w:szCs w:val="22"/>
          <w:b/>
          <w:bCs/>
          <w:spacing w:val="-29"/>
          <w:w w:val="97"/>
        </w:rPr>
        <w:t>■云端数据治理■</w:t>
      </w:r>
    </w:p>
    <w:p>
      <w:pPr>
        <w:pStyle w:val="BodyText"/>
        <w:spacing w:line="467" w:lineRule="auto"/>
        <w:rPr/>
      </w:pPr>
      <w:r/>
    </w:p>
    <w:p>
      <w:pPr>
        <w:ind w:left="194"/>
        <w:spacing w:before="95" w:line="225" w:lineRule="auto"/>
        <w:outlineLvl w:val="3"/>
        <w:rPr>
          <w:rFonts w:ascii="YouYuan" w:hAnsi="YouYuan" w:eastAsia="YouYuan" w:cs="YouYuan"/>
          <w:sz w:val="29"/>
          <w:szCs w:val="29"/>
        </w:rPr>
      </w:pPr>
      <w:bookmarkStart w:name="bookmark57" w:id="52"/>
      <w:bookmarkEnd w:id="52"/>
      <w:bookmarkStart w:name="bookmark58" w:id="53"/>
      <w:bookmarkEnd w:id="53"/>
      <w:bookmarkStart w:name="bookmark59" w:id="54"/>
      <w:bookmarkEnd w:id="54"/>
      <w:r>
        <w:rPr>
          <w:rFonts w:ascii="YouYuan" w:hAnsi="YouYuan" w:eastAsia="YouYuan" w:cs="YouYuan"/>
          <w:sz w:val="29"/>
          <w:szCs w:val="29"/>
          <w:b/>
          <w:bCs/>
          <w:spacing w:val="-9"/>
        </w:rPr>
        <w:t>6.2.4</w:t>
      </w:r>
      <w:r>
        <w:rPr>
          <w:rFonts w:ascii="YouYuan" w:hAnsi="YouYuan" w:eastAsia="YouYuan" w:cs="YouYuan"/>
          <w:sz w:val="29"/>
          <w:szCs w:val="29"/>
          <w:spacing w:val="119"/>
        </w:rPr>
        <w:t xml:space="preserve"> </w:t>
      </w:r>
      <w:r>
        <w:rPr>
          <w:rFonts w:ascii="YouYuan" w:hAnsi="YouYuan" w:eastAsia="YouYuan" w:cs="YouYuan"/>
          <w:sz w:val="29"/>
          <w:szCs w:val="29"/>
          <w:b/>
          <w:bCs/>
          <w:spacing w:val="-9"/>
        </w:rPr>
        <w:t>数据清洗</w:t>
      </w:r>
    </w:p>
    <w:p>
      <w:pPr>
        <w:ind w:left="663"/>
        <w:spacing w:before="306" w:line="224" w:lineRule="auto"/>
        <w:outlineLvl w:val="4"/>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660"/>
        <w:spacing w:before="216" w:line="232" w:lineRule="auto"/>
        <w:rPr>
          <w:rFonts w:ascii="KaiTi" w:hAnsi="KaiTi" w:eastAsia="KaiTi" w:cs="KaiTi"/>
          <w:sz w:val="22"/>
          <w:szCs w:val="22"/>
        </w:rPr>
      </w:pPr>
      <w:r>
        <w:rPr>
          <w:rFonts w:ascii="KaiTi" w:hAnsi="KaiTi" w:eastAsia="KaiTi" w:cs="KaiTi"/>
          <w:sz w:val="22"/>
          <w:szCs w:val="22"/>
          <w:spacing w:val="13"/>
        </w:rPr>
        <w:t>1)目的</w:t>
      </w:r>
    </w:p>
    <w:p>
      <w:pPr>
        <w:spacing w:before="45" w:line="219" w:lineRule="auto"/>
        <w:jc w:val="right"/>
        <w:rPr>
          <w:rFonts w:ascii="SimSun" w:hAnsi="SimSun" w:eastAsia="SimSun" w:cs="SimSun"/>
          <w:sz w:val="22"/>
          <w:szCs w:val="22"/>
        </w:rPr>
      </w:pPr>
      <w:r>
        <w:rPr>
          <w:rFonts w:ascii="SimSun" w:hAnsi="SimSun" w:eastAsia="SimSun" w:cs="SimSun"/>
          <w:sz w:val="22"/>
          <w:szCs w:val="22"/>
          <w:spacing w:val="-18"/>
        </w:rPr>
        <w:t>定义机制、规则、过程和方法，并根据预定义的业务规则对数据进行确认</w:t>
      </w:r>
      <w:r>
        <w:rPr>
          <w:rFonts w:ascii="SimSun" w:hAnsi="SimSun" w:eastAsia="SimSun" w:cs="SimSun"/>
          <w:sz w:val="22"/>
          <w:szCs w:val="22"/>
          <w:spacing w:val="-19"/>
        </w:rPr>
        <w:t>和修改。</w:t>
      </w:r>
    </w:p>
    <w:p>
      <w:pPr>
        <w:ind w:left="660"/>
        <w:spacing w:before="34" w:line="222" w:lineRule="auto"/>
        <w:rPr>
          <w:rFonts w:ascii="KaiTi" w:hAnsi="KaiTi" w:eastAsia="KaiTi" w:cs="KaiTi"/>
          <w:sz w:val="22"/>
          <w:szCs w:val="22"/>
        </w:rPr>
      </w:pPr>
      <w:r>
        <w:rPr>
          <w:rFonts w:ascii="KaiTi" w:hAnsi="KaiTi" w:eastAsia="KaiTi" w:cs="KaiTi"/>
          <w:sz w:val="22"/>
          <w:szCs w:val="22"/>
          <w:spacing w:val="18"/>
        </w:rPr>
        <w:t>2)介绍</w:t>
      </w:r>
    </w:p>
    <w:p>
      <w:pPr>
        <w:ind w:left="189" w:right="19" w:firstLine="470"/>
        <w:spacing w:before="52" w:line="256" w:lineRule="auto"/>
        <w:rPr>
          <w:rFonts w:ascii="SimSun" w:hAnsi="SimSun" w:eastAsia="SimSun" w:cs="SimSun"/>
          <w:sz w:val="22"/>
          <w:szCs w:val="22"/>
        </w:rPr>
      </w:pPr>
      <w:r>
        <w:rPr>
          <w:rFonts w:ascii="SimSun" w:hAnsi="SimSun" w:eastAsia="SimSun" w:cs="SimSun"/>
          <w:sz w:val="22"/>
          <w:szCs w:val="22"/>
          <w:spacing w:val="-11"/>
        </w:rPr>
        <w:t>数据清洗从名字上也看得出就是把“脏”的数据“洗掉”,指发现并</w:t>
      </w:r>
      <w:r>
        <w:rPr>
          <w:rFonts w:ascii="SimSun" w:hAnsi="SimSun" w:eastAsia="SimSun" w:cs="SimSun"/>
          <w:sz w:val="22"/>
          <w:szCs w:val="22"/>
          <w:spacing w:val="-12"/>
        </w:rPr>
        <w:t>纠正数据文</w:t>
      </w:r>
      <w:r>
        <w:rPr>
          <w:rFonts w:ascii="SimSun" w:hAnsi="SimSun" w:eastAsia="SimSun" w:cs="SimSun"/>
          <w:sz w:val="22"/>
          <w:szCs w:val="22"/>
        </w:rPr>
        <w:t xml:space="preserve"> </w:t>
      </w:r>
      <w:r>
        <w:rPr>
          <w:rFonts w:ascii="SimSun" w:hAnsi="SimSun" w:eastAsia="SimSun" w:cs="SimSun"/>
          <w:sz w:val="22"/>
          <w:szCs w:val="22"/>
          <w:spacing w:val="-9"/>
        </w:rPr>
        <w:t>件中可识别的错误的一道程序，包括检查数据一致性、处理无效值和缺失值等。因</w:t>
      </w:r>
      <w:r>
        <w:rPr>
          <w:rFonts w:ascii="SimSun" w:hAnsi="SimSun" w:eastAsia="SimSun" w:cs="SimSun"/>
          <w:sz w:val="22"/>
          <w:szCs w:val="22"/>
          <w:spacing w:val="7"/>
        </w:rPr>
        <w:t xml:space="preserve">  </w:t>
      </w:r>
      <w:r>
        <w:rPr>
          <w:rFonts w:ascii="SimSun" w:hAnsi="SimSun" w:eastAsia="SimSun" w:cs="SimSun"/>
          <w:sz w:val="22"/>
          <w:szCs w:val="22"/>
          <w:spacing w:val="-8"/>
        </w:rPr>
        <w:t>为数据仓库中的数据是面向某一主题的数据的集合，这些数据从多</w:t>
      </w:r>
      <w:r>
        <w:rPr>
          <w:rFonts w:ascii="SimSun" w:hAnsi="SimSun" w:eastAsia="SimSun" w:cs="SimSun"/>
          <w:sz w:val="22"/>
          <w:szCs w:val="22"/>
          <w:spacing w:val="-9"/>
        </w:rPr>
        <w:t>个业务系统中抽</w:t>
      </w:r>
      <w:r>
        <w:rPr>
          <w:rFonts w:ascii="SimSun" w:hAnsi="SimSun" w:eastAsia="SimSun" w:cs="SimSun"/>
          <w:sz w:val="22"/>
          <w:szCs w:val="22"/>
        </w:rPr>
        <w:t xml:space="preserve">  </w:t>
      </w:r>
      <w:r>
        <w:rPr>
          <w:rFonts w:ascii="SimSun" w:hAnsi="SimSun" w:eastAsia="SimSun" w:cs="SimSun"/>
          <w:sz w:val="22"/>
          <w:szCs w:val="22"/>
          <w:spacing w:val="-8"/>
        </w:rPr>
        <w:t>取而来而且包含历史数据，这样就避免不了有的数据</w:t>
      </w:r>
      <w:r>
        <w:rPr>
          <w:rFonts w:ascii="SimSun" w:hAnsi="SimSun" w:eastAsia="SimSun" w:cs="SimSun"/>
          <w:sz w:val="22"/>
          <w:szCs w:val="22"/>
          <w:spacing w:val="-9"/>
        </w:rPr>
        <w:t>是错误数据，有的数据之间有</w:t>
      </w:r>
      <w:r>
        <w:rPr>
          <w:rFonts w:ascii="SimSun" w:hAnsi="SimSun" w:eastAsia="SimSun" w:cs="SimSun"/>
          <w:sz w:val="22"/>
          <w:szCs w:val="22"/>
        </w:rPr>
        <w:t xml:space="preserve">  </w:t>
      </w:r>
      <w:r>
        <w:rPr>
          <w:rFonts w:ascii="SimSun" w:hAnsi="SimSun" w:eastAsia="SimSun" w:cs="SimSun"/>
          <w:sz w:val="22"/>
          <w:szCs w:val="22"/>
          <w:spacing w:val="-14"/>
        </w:rPr>
        <w:t>冲突，这些错误的或有冲突的数据显然不是我们想要的，被称为“脏数据”。</w:t>
      </w:r>
      <w:r>
        <w:rPr>
          <w:rFonts w:ascii="SimSun" w:hAnsi="SimSun" w:eastAsia="SimSun" w:cs="SimSun"/>
          <w:sz w:val="22"/>
          <w:szCs w:val="22"/>
          <w:spacing w:val="-15"/>
        </w:rPr>
        <w:t>我们要</w:t>
      </w:r>
      <w:r>
        <w:rPr>
          <w:rFonts w:ascii="SimSun" w:hAnsi="SimSun" w:eastAsia="SimSun" w:cs="SimSun"/>
          <w:sz w:val="22"/>
          <w:szCs w:val="22"/>
        </w:rPr>
        <w:t xml:space="preserve">  </w:t>
      </w:r>
      <w:r>
        <w:rPr>
          <w:rFonts w:ascii="SimSun" w:hAnsi="SimSun" w:eastAsia="SimSun" w:cs="SimSun"/>
          <w:sz w:val="22"/>
          <w:szCs w:val="22"/>
          <w:spacing w:val="-11"/>
        </w:rPr>
        <w:t>按照一定的规则把“脏数据”“洗掉”,这就是数据清洗。而数据清洗的任务</w:t>
      </w:r>
      <w:r>
        <w:rPr>
          <w:rFonts w:ascii="SimSun" w:hAnsi="SimSun" w:eastAsia="SimSun" w:cs="SimSun"/>
          <w:sz w:val="22"/>
          <w:szCs w:val="22"/>
          <w:spacing w:val="-12"/>
        </w:rPr>
        <w:t>是过滤</w:t>
      </w:r>
      <w:r>
        <w:rPr>
          <w:rFonts w:ascii="SimSun" w:hAnsi="SimSun" w:eastAsia="SimSun" w:cs="SimSun"/>
          <w:sz w:val="22"/>
          <w:szCs w:val="22"/>
        </w:rPr>
        <w:t xml:space="preserve">  </w:t>
      </w:r>
      <w:r>
        <w:rPr>
          <w:rFonts w:ascii="SimSun" w:hAnsi="SimSun" w:eastAsia="SimSun" w:cs="SimSun"/>
          <w:sz w:val="22"/>
          <w:szCs w:val="22"/>
          <w:spacing w:val="-8"/>
        </w:rPr>
        <w:t>那些不符合要求的数据，将过滤的结果交给业</w:t>
      </w:r>
      <w:r>
        <w:rPr>
          <w:rFonts w:ascii="SimSun" w:hAnsi="SimSun" w:eastAsia="SimSun" w:cs="SimSun"/>
          <w:sz w:val="22"/>
          <w:szCs w:val="22"/>
          <w:spacing w:val="-9"/>
        </w:rPr>
        <w:t>务主管部门，确认是过滤掉还是由业</w:t>
      </w:r>
      <w:r>
        <w:rPr>
          <w:rFonts w:ascii="SimSun" w:hAnsi="SimSun" w:eastAsia="SimSun" w:cs="SimSun"/>
          <w:sz w:val="22"/>
          <w:szCs w:val="22"/>
        </w:rPr>
        <w:t xml:space="preserve">  </w:t>
      </w:r>
      <w:r>
        <w:rPr>
          <w:rFonts w:ascii="SimSun" w:hAnsi="SimSun" w:eastAsia="SimSun" w:cs="SimSun"/>
          <w:sz w:val="22"/>
          <w:szCs w:val="22"/>
          <w:spacing w:val="-11"/>
        </w:rPr>
        <w:t>务单位修正之后再进行抽取。不符合要求的数据主要</w:t>
      </w:r>
      <w:r>
        <w:rPr>
          <w:rFonts w:ascii="SimSun" w:hAnsi="SimSun" w:eastAsia="SimSun" w:cs="SimSun"/>
          <w:sz w:val="22"/>
          <w:szCs w:val="22"/>
          <w:spacing w:val="-12"/>
        </w:rPr>
        <w:t>有不完整的数据、错误的数据、</w:t>
      </w:r>
      <w:r>
        <w:rPr>
          <w:rFonts w:ascii="SimSun" w:hAnsi="SimSun" w:eastAsia="SimSun" w:cs="SimSun"/>
          <w:sz w:val="22"/>
          <w:szCs w:val="22"/>
        </w:rPr>
        <w:t xml:space="preserve"> </w:t>
      </w:r>
      <w:r>
        <w:rPr>
          <w:rFonts w:ascii="SimSun" w:hAnsi="SimSun" w:eastAsia="SimSun" w:cs="SimSun"/>
          <w:sz w:val="22"/>
          <w:szCs w:val="22"/>
          <w:spacing w:val="-8"/>
        </w:rPr>
        <w:t>重复的数据三大类。数据清洗与问卷审核不同，</w:t>
      </w:r>
      <w:r>
        <w:rPr>
          <w:rFonts w:ascii="SimSun" w:hAnsi="SimSun" w:eastAsia="SimSun" w:cs="SimSun"/>
          <w:sz w:val="22"/>
          <w:szCs w:val="22"/>
          <w:spacing w:val="-9"/>
        </w:rPr>
        <w:t>录入后的数据清洗一般是由计算机</w:t>
      </w:r>
      <w:r>
        <w:rPr>
          <w:rFonts w:ascii="SimSun" w:hAnsi="SimSun" w:eastAsia="SimSun" w:cs="SimSun"/>
          <w:sz w:val="22"/>
          <w:szCs w:val="22"/>
        </w:rPr>
        <w:t xml:space="preserve">  </w:t>
      </w:r>
      <w:r>
        <w:rPr>
          <w:rFonts w:ascii="SimSun" w:hAnsi="SimSun" w:eastAsia="SimSun" w:cs="SimSun"/>
          <w:sz w:val="22"/>
          <w:szCs w:val="22"/>
          <w:spacing w:val="-13"/>
        </w:rPr>
        <w:t>操作而非人工完成。</w:t>
      </w:r>
    </w:p>
    <w:p>
      <w:pPr>
        <w:ind w:left="189" w:right="47" w:firstLine="470"/>
        <w:spacing w:before="79" w:line="252" w:lineRule="auto"/>
        <w:rPr>
          <w:rFonts w:ascii="SimSun" w:hAnsi="SimSun" w:eastAsia="SimSun" w:cs="SimSun"/>
          <w:sz w:val="22"/>
          <w:szCs w:val="22"/>
        </w:rPr>
      </w:pPr>
      <w:r>
        <w:rPr>
          <w:rFonts w:ascii="SimSun" w:hAnsi="SimSun" w:eastAsia="SimSun" w:cs="SimSun"/>
          <w:sz w:val="22"/>
          <w:szCs w:val="22"/>
          <w:spacing w:val="-8"/>
        </w:rPr>
        <w:t>数据质量业务规则阐明了所有可应用的质量维度，而数据清洗活动主要对数据</w:t>
      </w:r>
      <w:r>
        <w:rPr>
          <w:rFonts w:ascii="SimSun" w:hAnsi="SimSun" w:eastAsia="SimSun" w:cs="SimSun"/>
          <w:sz w:val="22"/>
          <w:szCs w:val="22"/>
          <w:spacing w:val="13"/>
        </w:rPr>
        <w:t xml:space="preserve"> </w:t>
      </w:r>
      <w:r>
        <w:rPr>
          <w:rFonts w:ascii="SimSun" w:hAnsi="SimSun" w:eastAsia="SimSun" w:cs="SimSun"/>
          <w:sz w:val="22"/>
          <w:szCs w:val="22"/>
          <w:spacing w:val="-9"/>
        </w:rPr>
        <w:t>进行更正以达到这些质量业务规则所制订的终端客户的准则。业务规则提供了标准 </w:t>
      </w:r>
      <w:r>
        <w:rPr>
          <w:rFonts w:ascii="SimSun" w:hAnsi="SimSun" w:eastAsia="SimSun" w:cs="SimSun"/>
          <w:sz w:val="22"/>
          <w:szCs w:val="22"/>
          <w:spacing w:val="-10"/>
        </w:rPr>
        <w:t>基线以识别数据缺陷和影响业务运营的异常情况。</w:t>
      </w:r>
    </w:p>
    <w:p>
      <w:pPr>
        <w:ind w:left="189" w:right="60" w:firstLine="470"/>
        <w:spacing w:before="41" w:line="258" w:lineRule="auto"/>
        <w:rPr>
          <w:rFonts w:ascii="SimSun" w:hAnsi="SimSun" w:eastAsia="SimSun" w:cs="SimSun"/>
          <w:sz w:val="22"/>
          <w:szCs w:val="22"/>
        </w:rPr>
      </w:pPr>
      <w:r>
        <w:rPr>
          <w:rFonts w:ascii="SimSun" w:hAnsi="SimSun" w:eastAsia="SimSun" w:cs="SimSun"/>
          <w:sz w:val="22"/>
          <w:szCs w:val="22"/>
          <w:spacing w:val="-8"/>
        </w:rPr>
        <w:t>应当在数据源或接近最初创建点处执行数据清洗，应尽量遵循数据概要分析以</w:t>
      </w:r>
      <w:r>
        <w:rPr>
          <w:rFonts w:ascii="SimSun" w:hAnsi="SimSun" w:eastAsia="SimSun" w:cs="SimSun"/>
          <w:sz w:val="22"/>
          <w:szCs w:val="22"/>
        </w:rPr>
        <w:t xml:space="preserve"> </w:t>
      </w:r>
      <w:r>
        <w:rPr>
          <w:rFonts w:ascii="SimSun" w:hAnsi="SimSun" w:eastAsia="SimSun" w:cs="SimSun"/>
          <w:sz w:val="22"/>
          <w:szCs w:val="22"/>
          <w:spacing w:val="-8"/>
        </w:rPr>
        <w:t>及数据质量评估分析的结果。组织应制订数据清洗策略以指导清洗规则的分享和重</w:t>
      </w:r>
      <w:r>
        <w:rPr>
          <w:rFonts w:ascii="SimSun" w:hAnsi="SimSun" w:eastAsia="SimSun" w:cs="SimSun"/>
          <w:sz w:val="22"/>
          <w:szCs w:val="22"/>
          <w:spacing w:val="6"/>
        </w:rPr>
        <w:t xml:space="preserve"> </w:t>
      </w:r>
      <w:r>
        <w:rPr>
          <w:rFonts w:ascii="SimSun" w:hAnsi="SimSun" w:eastAsia="SimSun" w:cs="SimSun"/>
          <w:sz w:val="22"/>
          <w:szCs w:val="22"/>
          <w:spacing w:val="-8"/>
        </w:rPr>
        <w:t>用，并将数据生命周期中重复或冲突的清洗过程降到最低。必须向所有上游和下游</w:t>
      </w:r>
      <w:r>
        <w:rPr>
          <w:rFonts w:ascii="SimSun" w:hAnsi="SimSun" w:eastAsia="SimSun" w:cs="SimSun"/>
          <w:sz w:val="22"/>
          <w:szCs w:val="22"/>
          <w:spacing w:val="7"/>
        </w:rPr>
        <w:t xml:space="preserve"> </w:t>
      </w:r>
      <w:r>
        <w:rPr>
          <w:rFonts w:ascii="SimSun" w:hAnsi="SimSun" w:eastAsia="SimSun" w:cs="SimSun"/>
          <w:sz w:val="22"/>
          <w:szCs w:val="22"/>
          <w:spacing w:val="-9"/>
        </w:rPr>
        <w:t>系统发布数据的变更记录和说明。应当记录统一的问题的升级过程。应与内外部的 </w:t>
      </w:r>
      <w:r>
        <w:rPr>
          <w:rFonts w:ascii="SimSun" w:hAnsi="SimSun" w:eastAsia="SimSun" w:cs="SimSun"/>
          <w:sz w:val="22"/>
          <w:szCs w:val="22"/>
          <w:spacing w:val="-13"/>
        </w:rPr>
        <w:t>数据提供者确认数据的变更。</w:t>
      </w:r>
    </w:p>
    <w:p>
      <w:pPr>
        <w:ind w:left="189" w:right="68" w:firstLine="470"/>
        <w:spacing w:before="35" w:line="255" w:lineRule="auto"/>
        <w:rPr>
          <w:rFonts w:ascii="SimSun" w:hAnsi="SimSun" w:eastAsia="SimSun" w:cs="SimSun"/>
          <w:sz w:val="22"/>
          <w:szCs w:val="22"/>
        </w:rPr>
      </w:pPr>
      <w:r>
        <w:rPr>
          <w:rFonts w:ascii="SimSun" w:hAnsi="SimSun" w:eastAsia="SimSun" w:cs="SimSun"/>
          <w:sz w:val="22"/>
          <w:szCs w:val="22"/>
          <w:spacing w:val="-8"/>
        </w:rPr>
        <w:t>在制订数据质量战略时，与数据概要分析和数据质量评估相</w:t>
      </w:r>
      <w:r>
        <w:rPr>
          <w:rFonts w:ascii="SimSun" w:hAnsi="SimSun" w:eastAsia="SimSun" w:cs="SimSun"/>
          <w:sz w:val="22"/>
          <w:szCs w:val="22"/>
          <w:spacing w:val="-9"/>
        </w:rPr>
        <w:t>似，我们建议组织</w:t>
      </w:r>
      <w:r>
        <w:rPr>
          <w:rFonts w:ascii="SimSun" w:hAnsi="SimSun" w:eastAsia="SimSun" w:cs="SimSun"/>
          <w:sz w:val="22"/>
          <w:szCs w:val="22"/>
        </w:rPr>
        <w:t xml:space="preserve"> </w:t>
      </w:r>
      <w:r>
        <w:rPr>
          <w:rFonts w:ascii="SimSun" w:hAnsi="SimSun" w:eastAsia="SimSun" w:cs="SimSun"/>
          <w:sz w:val="22"/>
          <w:szCs w:val="22"/>
          <w:spacing w:val="-9"/>
        </w:rPr>
        <w:t>分析事件并建立标准，以决定数据清洗活动的触发条件和执行时间。通常情况下，</w:t>
      </w:r>
      <w:r>
        <w:rPr>
          <w:rFonts w:ascii="SimSun" w:hAnsi="SimSun" w:eastAsia="SimSun" w:cs="SimSun"/>
          <w:sz w:val="22"/>
          <w:szCs w:val="22"/>
          <w:spacing w:val="13"/>
        </w:rPr>
        <w:t xml:space="preserve"> </w:t>
      </w:r>
      <w:r>
        <w:rPr>
          <w:rFonts w:ascii="SimSun" w:hAnsi="SimSun" w:eastAsia="SimSun" w:cs="SimSun"/>
          <w:sz w:val="22"/>
          <w:szCs w:val="22"/>
          <w:spacing w:val="-8"/>
        </w:rPr>
        <w:t>数据清洗活动会更多地在关键的共享数据库或识</w:t>
      </w:r>
      <w:r>
        <w:rPr>
          <w:rFonts w:ascii="SimSun" w:hAnsi="SimSun" w:eastAsia="SimSun" w:cs="SimSun"/>
          <w:sz w:val="22"/>
          <w:szCs w:val="22"/>
          <w:spacing w:val="-9"/>
        </w:rPr>
        <w:t>别出的关键数据元素中执行。但我</w:t>
      </w:r>
      <w:r>
        <w:rPr>
          <w:rFonts w:ascii="SimSun" w:hAnsi="SimSun" w:eastAsia="SimSun" w:cs="SimSun"/>
          <w:sz w:val="22"/>
          <w:szCs w:val="22"/>
        </w:rPr>
        <w:t xml:space="preserve"> </w:t>
      </w:r>
      <w:r>
        <w:rPr>
          <w:rFonts w:ascii="SimSun" w:hAnsi="SimSun" w:eastAsia="SimSun" w:cs="SimSun"/>
          <w:sz w:val="22"/>
          <w:szCs w:val="22"/>
          <w:spacing w:val="-8"/>
        </w:rPr>
        <w:t>们建议根据临界和预算，把数据清洗活动作为标准</w:t>
      </w:r>
      <w:r>
        <w:rPr>
          <w:rFonts w:ascii="SimSun" w:hAnsi="SimSun" w:eastAsia="SimSun" w:cs="SimSun"/>
          <w:sz w:val="22"/>
          <w:szCs w:val="22"/>
          <w:spacing w:val="-9"/>
        </w:rPr>
        <w:t>实践扩展到一些操作系统中，这</w:t>
      </w:r>
      <w:r>
        <w:rPr>
          <w:rFonts w:ascii="SimSun" w:hAnsi="SimSun" w:eastAsia="SimSun" w:cs="SimSun"/>
          <w:sz w:val="22"/>
          <w:szCs w:val="22"/>
        </w:rPr>
        <w:t xml:space="preserve"> </w:t>
      </w:r>
      <w:r>
        <w:rPr>
          <w:rFonts w:ascii="SimSun" w:hAnsi="SimSun" w:eastAsia="SimSun" w:cs="SimSun"/>
          <w:sz w:val="22"/>
          <w:szCs w:val="22"/>
          <w:spacing w:val="-8"/>
        </w:rPr>
        <w:t>些操作系统可以将数据提供到其他目的地。和数据概要分析一样，我们建议对数据</w:t>
      </w:r>
      <w:r>
        <w:rPr>
          <w:rFonts w:ascii="SimSun" w:hAnsi="SimSun" w:eastAsia="SimSun" w:cs="SimSun"/>
          <w:sz w:val="22"/>
          <w:szCs w:val="22"/>
          <w:spacing w:val="9"/>
        </w:rPr>
        <w:t xml:space="preserve"> </w:t>
      </w:r>
      <w:r>
        <w:rPr>
          <w:rFonts w:ascii="SimSun" w:hAnsi="SimSun" w:eastAsia="SimSun" w:cs="SimSun"/>
          <w:sz w:val="22"/>
          <w:szCs w:val="22"/>
          <w:spacing w:val="-8"/>
        </w:rPr>
        <w:t>清洗标准进行裁剪。裁剪的考虑因素包括数据库规模、数据库临界、特定的业务或</w:t>
      </w:r>
      <w:r>
        <w:rPr>
          <w:rFonts w:ascii="SimSun" w:hAnsi="SimSun" w:eastAsia="SimSun" w:cs="SimSun"/>
          <w:sz w:val="22"/>
          <w:szCs w:val="22"/>
          <w:spacing w:val="6"/>
        </w:rPr>
        <w:t xml:space="preserve"> </w:t>
      </w:r>
      <w:r>
        <w:rPr>
          <w:rFonts w:ascii="SimSun" w:hAnsi="SimSun" w:eastAsia="SimSun" w:cs="SimSun"/>
          <w:sz w:val="22"/>
          <w:szCs w:val="22"/>
          <w:spacing w:val="-10"/>
        </w:rPr>
        <w:t>符合性需求，以及事件，例如在重设计或合并之前的工作等。</w:t>
      </w:r>
    </w:p>
    <w:p>
      <w:pPr>
        <w:ind w:left="660"/>
        <w:spacing w:before="59" w:line="219" w:lineRule="auto"/>
        <w:rPr>
          <w:rFonts w:ascii="SimSun" w:hAnsi="SimSun" w:eastAsia="SimSun" w:cs="SimSun"/>
          <w:sz w:val="22"/>
          <w:szCs w:val="22"/>
        </w:rPr>
      </w:pPr>
      <w:r>
        <w:rPr>
          <w:rFonts w:ascii="SimSun" w:hAnsi="SimSun" w:eastAsia="SimSun" w:cs="SimSun"/>
          <w:sz w:val="22"/>
          <w:szCs w:val="22"/>
          <w:spacing w:val="-8"/>
        </w:rPr>
        <w:t>数据仓库领域的权威</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8"/>
        </w:rPr>
        <w:t>W.H.Inmon </w:t>
      </w:r>
      <w:r>
        <w:rPr>
          <w:rFonts w:ascii="SimSun" w:hAnsi="SimSun" w:eastAsia="SimSun" w:cs="SimSun"/>
          <w:sz w:val="22"/>
          <w:szCs w:val="22"/>
          <w:spacing w:val="-8"/>
        </w:rPr>
        <w:t>博士把数据清洗的</w:t>
      </w:r>
      <w:r>
        <w:rPr>
          <w:rFonts w:ascii="SimSun" w:hAnsi="SimSun" w:eastAsia="SimSun" w:cs="SimSun"/>
          <w:sz w:val="22"/>
          <w:szCs w:val="22"/>
          <w:spacing w:val="-9"/>
        </w:rPr>
        <w:t>过程分为六个步骤。</w:t>
      </w:r>
    </w:p>
    <w:p>
      <w:pPr>
        <w:ind w:left="663"/>
        <w:spacing w:before="53" w:line="221" w:lineRule="auto"/>
        <w:rPr>
          <w:rFonts w:ascii="SimSun" w:hAnsi="SimSun" w:eastAsia="SimSun" w:cs="SimSun"/>
          <w:sz w:val="22"/>
          <w:szCs w:val="22"/>
        </w:rPr>
      </w:pPr>
      <w:r>
        <w:rPr>
          <w:rFonts w:ascii="SimHei" w:hAnsi="SimHei" w:eastAsia="SimHei" w:cs="SimHei"/>
          <w:sz w:val="22"/>
          <w:szCs w:val="22"/>
          <w:b/>
          <w:bCs/>
          <w:spacing w:val="-7"/>
        </w:rPr>
        <w:t>步骤一：</w:t>
      </w:r>
      <w:r>
        <w:rPr>
          <w:rFonts w:ascii="SimSun" w:hAnsi="SimSun" w:eastAsia="SimSun" w:cs="SimSun"/>
          <w:sz w:val="22"/>
          <w:szCs w:val="22"/>
          <w:spacing w:val="-7"/>
        </w:rPr>
        <w:t>元素化(将非标准的数据统一格式化，成为数据元素)。</w:t>
      </w:r>
    </w:p>
    <w:p>
      <w:pPr>
        <w:ind w:left="663"/>
        <w:spacing w:before="57" w:line="221" w:lineRule="auto"/>
        <w:rPr>
          <w:rFonts w:ascii="SimSun" w:hAnsi="SimSun" w:eastAsia="SimSun" w:cs="SimSun"/>
          <w:sz w:val="22"/>
          <w:szCs w:val="22"/>
        </w:rPr>
      </w:pPr>
      <w:r>
        <w:rPr>
          <w:rFonts w:ascii="SimHei" w:hAnsi="SimHei" w:eastAsia="SimHei" w:cs="SimHei"/>
          <w:sz w:val="22"/>
          <w:szCs w:val="22"/>
          <w:b/>
          <w:bCs/>
          <w:spacing w:val="-4"/>
        </w:rPr>
        <w:t>步骤二：</w:t>
      </w:r>
      <w:r>
        <w:rPr>
          <w:rFonts w:ascii="SimSun" w:hAnsi="SimSun" w:eastAsia="SimSun" w:cs="SimSun"/>
          <w:sz w:val="22"/>
          <w:szCs w:val="22"/>
          <w:spacing w:val="-4"/>
        </w:rPr>
        <w:t>标准化(将元素标准化，根据数据字典消除不一致的缩写等)。</w:t>
      </w:r>
    </w:p>
    <w:p>
      <w:pPr>
        <w:spacing w:line="221" w:lineRule="auto"/>
        <w:sectPr>
          <w:footerReference w:type="default" r:id="rId286"/>
          <w:pgSz w:w="8870" w:h="13400"/>
          <w:pgMar w:top="400" w:right="480" w:bottom="515" w:left="459" w:header="0" w:footer="296" w:gutter="0"/>
        </w:sectPr>
        <w:rPr>
          <w:rFonts w:ascii="SimSun" w:hAnsi="SimSun" w:eastAsia="SimSun" w:cs="SimSun"/>
          <w:sz w:val="22"/>
          <w:szCs w:val="22"/>
        </w:rPr>
      </w:pPr>
    </w:p>
    <w:p>
      <w:pPr>
        <w:ind w:left="5483"/>
        <w:spacing w:before="184" w:line="219" w:lineRule="auto"/>
        <w:rPr>
          <w:rFonts w:ascii="SimSun" w:hAnsi="SimSun" w:eastAsia="SimSun" w:cs="SimSun"/>
          <w:sz w:val="22"/>
          <w:szCs w:val="22"/>
        </w:rPr>
      </w:pPr>
      <w:bookmarkStart w:name="bookmark60" w:id="55"/>
      <w:bookmarkEnd w:id="55"/>
      <w:bookmarkStart w:name="bookmark61" w:id="56"/>
      <w:bookmarkEnd w:id="56"/>
      <w:bookmarkStart w:name="bookmark62" w:id="57"/>
      <w:bookmarkEnd w:id="57"/>
      <w:r>
        <w:rPr>
          <w:rFonts w:ascii="SimSun" w:hAnsi="SimSun" w:eastAsia="SimSun" w:cs="SimSun"/>
          <w:sz w:val="22"/>
          <w:szCs w:val="22"/>
          <w:b/>
          <w:bCs/>
          <w:spacing w:val="7"/>
        </w:rPr>
        <w:t>第6章■云端数据质量</w:t>
      </w:r>
    </w:p>
    <w:p>
      <w:pPr>
        <w:ind w:left="433" w:right="605"/>
        <w:spacing w:before="298" w:line="249" w:lineRule="auto"/>
        <w:rPr>
          <w:rFonts w:ascii="SimSun" w:hAnsi="SimSun" w:eastAsia="SimSun" w:cs="SimSun"/>
          <w:sz w:val="22"/>
          <w:szCs w:val="22"/>
        </w:rPr>
      </w:pPr>
      <w:r>
        <w:rPr>
          <w:rFonts w:ascii="SimHei" w:hAnsi="SimHei" w:eastAsia="SimHei" w:cs="SimHei"/>
          <w:sz w:val="22"/>
          <w:szCs w:val="22"/>
          <w:b/>
          <w:bCs/>
          <w:spacing w:val="-7"/>
        </w:rPr>
        <w:t>步骤三</w:t>
      </w:r>
      <w:r>
        <w:rPr>
          <w:rFonts w:ascii="SimSun" w:hAnsi="SimSun" w:eastAsia="SimSun" w:cs="SimSun"/>
          <w:sz w:val="22"/>
          <w:szCs w:val="22"/>
          <w:b/>
          <w:bCs/>
          <w:spacing w:val="-7"/>
        </w:rPr>
        <w:t>：</w:t>
      </w:r>
      <w:r>
        <w:rPr>
          <w:rFonts w:ascii="SimSun" w:hAnsi="SimSun" w:eastAsia="SimSun" w:cs="SimSun"/>
          <w:sz w:val="22"/>
          <w:szCs w:val="22"/>
          <w:spacing w:val="-7"/>
        </w:rPr>
        <w:t>校验(对标准化的元素进行一致性校验，即在内容上修改错误)。</w:t>
      </w:r>
      <w:r>
        <w:rPr>
          <w:rFonts w:ascii="SimSun" w:hAnsi="SimSun" w:eastAsia="SimSun" w:cs="SimSun"/>
          <w:sz w:val="22"/>
          <w:szCs w:val="22"/>
          <w:spacing w:val="17"/>
        </w:rPr>
        <w:t xml:space="preserve"> </w:t>
      </w:r>
      <w:r>
        <w:rPr>
          <w:rFonts w:ascii="SimHei" w:hAnsi="SimHei" w:eastAsia="SimHei" w:cs="SimHei"/>
          <w:sz w:val="22"/>
          <w:szCs w:val="22"/>
          <w:b/>
          <w:bCs/>
          <w:spacing w:val="-9"/>
        </w:rPr>
        <w:t>步骤四：</w:t>
      </w:r>
      <w:r>
        <w:rPr>
          <w:rFonts w:ascii="SimHei" w:hAnsi="SimHei" w:eastAsia="SimHei" w:cs="SimHei"/>
          <w:sz w:val="22"/>
          <w:szCs w:val="22"/>
          <w:spacing w:val="-47"/>
        </w:rPr>
        <w:t xml:space="preserve"> </w:t>
      </w:r>
      <w:r>
        <w:rPr>
          <w:rFonts w:ascii="SimSun" w:hAnsi="SimSun" w:eastAsia="SimSun" w:cs="SimSun"/>
          <w:sz w:val="22"/>
          <w:szCs w:val="22"/>
          <w:spacing w:val="-9"/>
        </w:rPr>
        <w:t>匹配(在其他记录中寻找相似的记录，发现重复异常)。</w:t>
      </w:r>
    </w:p>
    <w:p>
      <w:pPr>
        <w:ind w:left="29" w:right="254" w:firstLine="403"/>
        <w:spacing w:before="36" w:line="250" w:lineRule="auto"/>
        <w:rPr>
          <w:rFonts w:ascii="SimSun" w:hAnsi="SimSun" w:eastAsia="SimSun" w:cs="SimSun"/>
          <w:sz w:val="22"/>
          <w:szCs w:val="22"/>
        </w:rPr>
      </w:pPr>
      <w:r>
        <w:rPr>
          <w:rFonts w:ascii="SimHei" w:hAnsi="SimHei" w:eastAsia="SimHei" w:cs="SimHei"/>
          <w:sz w:val="22"/>
          <w:szCs w:val="22"/>
          <w:b/>
          <w:bCs/>
          <w:spacing w:val="-8"/>
        </w:rPr>
        <w:t>步骤五：</w:t>
      </w:r>
      <w:r>
        <w:rPr>
          <w:rFonts w:ascii="SimHei" w:hAnsi="SimHei" w:eastAsia="SimHei" w:cs="SimHei"/>
          <w:sz w:val="22"/>
          <w:szCs w:val="22"/>
          <w:spacing w:val="-32"/>
        </w:rPr>
        <w:t xml:space="preserve"> </w:t>
      </w:r>
      <w:r>
        <w:rPr>
          <w:rFonts w:ascii="SimSun" w:hAnsi="SimSun" w:eastAsia="SimSun" w:cs="SimSun"/>
          <w:sz w:val="22"/>
          <w:szCs w:val="22"/>
          <w:spacing w:val="-8"/>
        </w:rPr>
        <w:t>消除重复记录(根据匹配结果进行处理，可以删除部分记录或者把多</w:t>
      </w:r>
      <w:r>
        <w:rPr>
          <w:rFonts w:ascii="SimSun" w:hAnsi="SimSun" w:eastAsia="SimSun" w:cs="SimSun"/>
          <w:sz w:val="22"/>
          <w:szCs w:val="22"/>
        </w:rPr>
        <w:t xml:space="preserve"> </w:t>
      </w:r>
      <w:r>
        <w:rPr>
          <w:rFonts w:ascii="SimSun" w:hAnsi="SimSun" w:eastAsia="SimSun" w:cs="SimSun"/>
          <w:sz w:val="22"/>
          <w:szCs w:val="22"/>
          <w:spacing w:val="-11"/>
        </w:rPr>
        <w:t>个记录合并为一个更完整信息的记录)。</w:t>
      </w:r>
    </w:p>
    <w:p>
      <w:pPr>
        <w:ind w:right="264" w:firstLine="433"/>
        <w:spacing w:before="34" w:line="250" w:lineRule="auto"/>
        <w:rPr>
          <w:rFonts w:ascii="SimSun" w:hAnsi="SimSun" w:eastAsia="SimSun" w:cs="SimSun"/>
          <w:sz w:val="22"/>
          <w:szCs w:val="22"/>
        </w:rPr>
      </w:pPr>
      <w:r>
        <w:rPr>
          <w:rFonts w:ascii="SimHei" w:hAnsi="SimHei" w:eastAsia="SimHei" w:cs="SimHei"/>
          <w:sz w:val="22"/>
          <w:szCs w:val="22"/>
          <w:b/>
          <w:bCs/>
          <w:spacing w:val="-8"/>
        </w:rPr>
        <w:t>步骤六：</w:t>
      </w:r>
      <w:r>
        <w:rPr>
          <w:rFonts w:ascii="SimHei" w:hAnsi="SimHei" w:eastAsia="SimHei" w:cs="SimHei"/>
          <w:sz w:val="22"/>
          <w:szCs w:val="22"/>
          <w:spacing w:val="-41"/>
        </w:rPr>
        <w:t xml:space="preserve"> </w:t>
      </w:r>
      <w:r>
        <w:rPr>
          <w:rFonts w:ascii="SimSun" w:hAnsi="SimSun" w:eastAsia="SimSun" w:cs="SimSun"/>
          <w:sz w:val="22"/>
          <w:szCs w:val="22"/>
          <w:spacing w:val="-8"/>
        </w:rPr>
        <w:t>档案化(将结果写入元数据存储中心。这样可以更好地进行后续的清</w:t>
      </w:r>
      <w:r>
        <w:rPr>
          <w:rFonts w:ascii="SimSun" w:hAnsi="SimSun" w:eastAsia="SimSun" w:cs="SimSun"/>
          <w:sz w:val="22"/>
          <w:szCs w:val="22"/>
        </w:rPr>
        <w:t xml:space="preserve"> </w:t>
      </w:r>
      <w:r>
        <w:rPr>
          <w:rFonts w:ascii="SimSun" w:hAnsi="SimSun" w:eastAsia="SimSun" w:cs="SimSun"/>
          <w:sz w:val="22"/>
          <w:szCs w:val="22"/>
          <w:spacing w:val="-10"/>
        </w:rPr>
        <w:t>理过程，使得用户容易理解数据库以及更好地进行切片、切块等操作)。</w:t>
      </w:r>
    </w:p>
    <w:p>
      <w:pPr>
        <w:ind w:left="430"/>
        <w:spacing w:before="51" w:line="229" w:lineRule="auto"/>
        <w:rPr>
          <w:rFonts w:ascii="KaiTi" w:hAnsi="KaiTi" w:eastAsia="KaiTi" w:cs="KaiTi"/>
          <w:sz w:val="22"/>
          <w:szCs w:val="22"/>
        </w:rPr>
      </w:pPr>
      <w:r>
        <w:rPr>
          <w:rFonts w:ascii="KaiTi" w:hAnsi="KaiTi" w:eastAsia="KaiTi" w:cs="KaiTi"/>
          <w:sz w:val="22"/>
          <w:szCs w:val="22"/>
          <w:spacing w:val="3"/>
        </w:rPr>
        <w:t>3)相关过程域</w:t>
      </w:r>
    </w:p>
    <w:p>
      <w:pPr>
        <w:ind w:left="689" w:right="236" w:hanging="259"/>
        <w:spacing w:before="33" w:line="236" w:lineRule="auto"/>
        <w:rPr>
          <w:rFonts w:ascii="SimSun" w:hAnsi="SimSun" w:eastAsia="SimSun" w:cs="SimSun"/>
          <w:sz w:val="22"/>
          <w:szCs w:val="22"/>
        </w:rPr>
      </w:pPr>
      <w:r>
        <w:rPr>
          <w:rFonts w:ascii="SimSun" w:hAnsi="SimSun" w:eastAsia="SimSun" w:cs="SimSun"/>
          <w:sz w:val="22"/>
          <w:szCs w:val="22"/>
          <w:spacing w:val="-2"/>
        </w:rPr>
        <w:t>●数据质量评估过程域和数据概要分析过程域提供了可以用于指导数据清洗</w:t>
      </w:r>
      <w:r>
        <w:rPr>
          <w:rFonts w:ascii="SimSun" w:hAnsi="SimSun" w:eastAsia="SimSun" w:cs="SimSun"/>
          <w:sz w:val="22"/>
          <w:szCs w:val="22"/>
          <w:spacing w:val="13"/>
        </w:rPr>
        <w:t xml:space="preserve"> </w:t>
      </w:r>
      <w:r>
        <w:rPr>
          <w:rFonts w:ascii="SimSun" w:hAnsi="SimSun" w:eastAsia="SimSun" w:cs="SimSun"/>
          <w:sz w:val="22"/>
          <w:szCs w:val="22"/>
          <w:spacing w:val="-11"/>
        </w:rPr>
        <w:t>活动以及对如何其进行优先次序排列的信息；</w:t>
      </w:r>
    </w:p>
    <w:p>
      <w:pPr>
        <w:ind w:left="689" w:right="257" w:hanging="259"/>
        <w:spacing w:before="37" w:line="253" w:lineRule="auto"/>
        <w:rPr>
          <w:rFonts w:ascii="SimSun" w:hAnsi="SimSun" w:eastAsia="SimSun" w:cs="SimSun"/>
          <w:sz w:val="22"/>
          <w:szCs w:val="22"/>
        </w:rPr>
      </w:pPr>
      <w:r>
        <w:rPr>
          <w:rFonts w:ascii="SimSun" w:hAnsi="SimSun" w:eastAsia="SimSun" w:cs="SimSun"/>
          <w:sz w:val="22"/>
          <w:szCs w:val="22"/>
          <w:spacing w:val="-9"/>
        </w:rPr>
        <w:t>●元数据管理过程域提供指导以确保对必要的信息进行管理，从而协助捕获和</w:t>
      </w:r>
      <w:r>
        <w:rPr>
          <w:rFonts w:ascii="SimSun" w:hAnsi="SimSun" w:eastAsia="SimSun" w:cs="SimSun"/>
          <w:sz w:val="22"/>
          <w:szCs w:val="22"/>
          <w:spacing w:val="12"/>
        </w:rPr>
        <w:t xml:space="preserve"> </w:t>
      </w:r>
      <w:r>
        <w:rPr>
          <w:rFonts w:ascii="SimSun" w:hAnsi="SimSun" w:eastAsia="SimSun" w:cs="SimSun"/>
          <w:sz w:val="22"/>
          <w:szCs w:val="22"/>
          <w:spacing w:val="-18"/>
        </w:rPr>
        <w:t>记录数据变更；</w:t>
      </w:r>
    </w:p>
    <w:p>
      <w:pPr>
        <w:ind w:left="689" w:right="165" w:hanging="259"/>
        <w:spacing w:before="28" w:line="252" w:lineRule="auto"/>
        <w:rPr>
          <w:rFonts w:ascii="SimSun" w:hAnsi="SimSun" w:eastAsia="SimSun" w:cs="SimSun"/>
          <w:sz w:val="22"/>
          <w:szCs w:val="22"/>
        </w:rPr>
      </w:pPr>
      <w:r>
        <w:rPr>
          <w:rFonts w:ascii="SimSun" w:hAnsi="SimSun" w:eastAsia="SimSun" w:cs="SimSun"/>
          <w:sz w:val="22"/>
          <w:szCs w:val="22"/>
          <w:spacing w:val="-14"/>
        </w:rPr>
        <w:t>●数据提供者管理过程域包含了与需求开发和管理相关的信息，</w:t>
      </w:r>
      <w:r>
        <w:rPr>
          <w:rFonts w:ascii="SimSun" w:hAnsi="SimSun" w:eastAsia="SimSun" w:cs="SimSun"/>
          <w:sz w:val="22"/>
          <w:szCs w:val="22"/>
          <w:spacing w:val="-15"/>
        </w:rPr>
        <w:t>把从内部数据清 </w:t>
      </w:r>
      <w:r>
        <w:rPr>
          <w:rFonts w:ascii="SimSun" w:hAnsi="SimSun" w:eastAsia="SimSun" w:cs="SimSun"/>
          <w:sz w:val="22"/>
          <w:szCs w:val="22"/>
          <w:spacing w:val="-14"/>
        </w:rPr>
        <w:t>洗活动所获得的信息与提供者共享，以协助其创建更佳的数据源的相关信息。</w:t>
      </w:r>
    </w:p>
    <w:p>
      <w:pPr>
        <w:pStyle w:val="BodyText"/>
        <w:ind w:left="430"/>
        <w:spacing w:before="198" w:line="223" w:lineRule="auto"/>
        <w:outlineLvl w:val="4"/>
        <w:rPr>
          <w:rFonts w:ascii="SimHei" w:hAnsi="SimHei" w:eastAsia="SimHei" w:cs="SimHei"/>
          <w:sz w:val="22"/>
          <w:szCs w:val="22"/>
        </w:rPr>
      </w:pPr>
      <w:r>
        <w:rPr>
          <w:sz w:val="22"/>
          <w:szCs w:val="22"/>
          <w:b/>
          <w:bCs/>
          <w:spacing w:val="-2"/>
        </w:rPr>
        <w:t>2.GQM</w:t>
      </w:r>
      <w:r>
        <w:rPr>
          <w:sz w:val="22"/>
          <w:szCs w:val="22"/>
          <w:b/>
          <w:bCs/>
          <w:spacing w:val="13"/>
        </w:rPr>
        <w:t xml:space="preserve">   </w:t>
      </w:r>
      <w:r>
        <w:rPr>
          <w:rFonts w:ascii="SimHei" w:hAnsi="SimHei" w:eastAsia="SimHei" w:cs="SimHei"/>
          <w:sz w:val="22"/>
          <w:szCs w:val="22"/>
          <w:b/>
          <w:bCs/>
          <w:spacing w:val="-2"/>
        </w:rPr>
        <w:t>表</w:t>
      </w:r>
    </w:p>
    <w:p>
      <w:pPr>
        <w:spacing w:line="163" w:lineRule="exact"/>
        <w:rPr/>
      </w:pPr>
      <w:r/>
    </w:p>
    <w:tbl>
      <w:tblPr>
        <w:tblStyle w:val="TableNormal"/>
        <w:tblW w:w="758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18"/>
        <w:gridCol w:w="2157"/>
        <w:gridCol w:w="2142"/>
      </w:tblGrid>
      <w:tr>
        <w:trPr>
          <w:trHeight w:val="314" w:hRule="atLeast"/>
        </w:trPr>
        <w:tc>
          <w:tcPr>
            <w:tcW w:w="1363" w:type="dxa"/>
            <w:vAlign w:val="top"/>
          </w:tcPr>
          <w:p>
            <w:pPr>
              <w:pStyle w:val="TableText"/>
              <w:ind w:left="405"/>
              <w:spacing w:before="81" w:line="220" w:lineRule="auto"/>
              <w:rPr/>
            </w:pPr>
            <w:r>
              <w:rPr>
                <w:spacing w:val="-18"/>
              </w:rPr>
              <w:t>目</w:t>
            </w:r>
            <w:r>
              <w:rPr>
                <w:spacing w:val="17"/>
              </w:rPr>
              <w:t xml:space="preserve">   </w:t>
            </w:r>
            <w:r>
              <w:rPr>
                <w:spacing w:val="-18"/>
              </w:rPr>
              <w:t>标</w:t>
            </w:r>
          </w:p>
        </w:tc>
        <w:tc>
          <w:tcPr>
            <w:tcW w:w="1918" w:type="dxa"/>
            <w:vAlign w:val="top"/>
          </w:tcPr>
          <w:p>
            <w:pPr>
              <w:pStyle w:val="TableText"/>
              <w:ind w:left="682"/>
              <w:spacing w:before="83" w:line="221" w:lineRule="auto"/>
              <w:rPr/>
            </w:pPr>
            <w:r>
              <w:rPr>
                <w:spacing w:val="-12"/>
              </w:rPr>
              <w:t>问</w:t>
            </w:r>
            <w:r>
              <w:rPr>
                <w:spacing w:val="13"/>
              </w:rPr>
              <w:t xml:space="preserve">   </w:t>
            </w:r>
            <w:r>
              <w:rPr>
                <w:spacing w:val="-12"/>
              </w:rPr>
              <w:t>题</w:t>
            </w:r>
          </w:p>
        </w:tc>
        <w:tc>
          <w:tcPr>
            <w:tcW w:w="2157" w:type="dxa"/>
            <w:vAlign w:val="top"/>
          </w:tcPr>
          <w:p>
            <w:pPr>
              <w:pStyle w:val="TableText"/>
              <w:ind w:left="704"/>
              <w:spacing w:before="8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2142" w:type="dxa"/>
            <w:vAlign w:val="top"/>
          </w:tcPr>
          <w:p>
            <w:pPr>
              <w:pStyle w:val="TableText"/>
              <w:ind w:left="707"/>
              <w:spacing w:before="81" w:line="219" w:lineRule="auto"/>
              <w:rPr/>
            </w:pPr>
            <w:r>
              <w:rPr>
                <w:spacing w:val="3"/>
              </w:rPr>
              <w:t>度量项说明</w:t>
            </w:r>
          </w:p>
        </w:tc>
      </w:tr>
      <w:tr>
        <w:trPr>
          <w:trHeight w:val="838" w:hRule="atLeast"/>
        </w:trPr>
        <w:tc>
          <w:tcPr>
            <w:tcW w:w="1363" w:type="dxa"/>
            <w:vAlign w:val="top"/>
            <w:vMerge w:val="restart"/>
            <w:tcBorders>
              <w:bottom w:val="nil"/>
            </w:tcBorders>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85" w:right="89" w:firstLine="170"/>
              <w:spacing w:before="48" w:line="303" w:lineRule="auto"/>
              <w:jc w:val="both"/>
              <w:rPr/>
            </w:pPr>
            <w:r>
              <w:rPr>
                <w:spacing w:val="20"/>
              </w:rPr>
              <w:t>G1:建立并</w:t>
            </w:r>
            <w:r>
              <w:rPr>
                <w:spacing w:val="-33"/>
              </w:rPr>
              <w:t xml:space="preserve"> </w:t>
            </w:r>
            <w:r>
              <w:rPr>
                <w:spacing w:val="20"/>
              </w:rPr>
              <w:t>一</w:t>
            </w:r>
            <w:r>
              <w:rPr/>
              <w:t xml:space="preserve"> </w:t>
            </w:r>
            <w:r>
              <w:rPr>
                <w:spacing w:val="7"/>
              </w:rPr>
              <w:t>致地遵循数据清</w:t>
            </w:r>
            <w:r>
              <w:rPr>
                <w:spacing w:val="2"/>
              </w:rPr>
              <w:t xml:space="preserve">  </w:t>
            </w:r>
            <w:r>
              <w:rPr>
                <w:spacing w:val="-2"/>
              </w:rPr>
              <w:t>洗策略</w:t>
            </w:r>
          </w:p>
        </w:tc>
        <w:tc>
          <w:tcPr>
            <w:tcW w:w="1918"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TableText"/>
              <w:ind w:left="232"/>
              <w:spacing w:before="49" w:line="220" w:lineRule="auto"/>
              <w:rPr/>
            </w:pPr>
            <w:r>
              <w:rPr>
                <w:spacing w:val="2"/>
              </w:rPr>
              <w:t>Q1:组织是否有可重用</w:t>
            </w:r>
          </w:p>
          <w:p>
            <w:pPr>
              <w:pStyle w:val="TableText"/>
              <w:ind w:left="112" w:right="103" w:firstLine="90"/>
              <w:spacing w:before="110" w:line="303" w:lineRule="auto"/>
              <w:rPr/>
            </w:pPr>
            <w:r>
              <w:rPr/>
              <w:t>的数据清洗工具和过程</w:t>
            </w:r>
            <w:r>
              <w:rPr>
                <w:spacing w:val="2"/>
              </w:rPr>
              <w:t xml:space="preserve">  </w:t>
            </w:r>
            <w:r>
              <w:rPr>
                <w:spacing w:val="3"/>
              </w:rPr>
              <w:t>(自动方式以及人工方式)</w:t>
            </w:r>
            <w:r>
              <w:rPr>
                <w:spacing w:val="5"/>
              </w:rPr>
              <w:t xml:space="preserve"> </w:t>
            </w:r>
            <w:r>
              <w:rPr/>
              <w:t>以解决数据质量问题</w:t>
            </w:r>
          </w:p>
        </w:tc>
        <w:tc>
          <w:tcPr>
            <w:tcW w:w="2157" w:type="dxa"/>
            <w:vAlign w:val="top"/>
          </w:tcPr>
          <w:p>
            <w:pPr>
              <w:spacing w:line="296" w:lineRule="auto"/>
              <w:rPr>
                <w:rFonts w:ascii="Arial"/>
                <w:sz w:val="21"/>
              </w:rPr>
            </w:pPr>
            <w:r/>
          </w:p>
          <w:p>
            <w:pPr>
              <w:pStyle w:val="TableText"/>
              <w:ind w:left="94"/>
              <w:spacing w:before="49" w:line="219" w:lineRule="auto"/>
              <w:rPr/>
            </w:pPr>
            <w:r>
              <w:rPr>
                <w:spacing w:val="-1"/>
              </w:rPr>
              <w:t>M1:数据清洗软件</w:t>
            </w:r>
          </w:p>
        </w:tc>
        <w:tc>
          <w:tcPr>
            <w:tcW w:w="2142" w:type="dxa"/>
            <w:vAlign w:val="top"/>
          </w:tcPr>
          <w:p>
            <w:pPr>
              <w:pStyle w:val="TableText"/>
              <w:ind w:left="107" w:right="82" w:firstLine="149"/>
              <w:spacing w:before="67" w:line="288" w:lineRule="auto"/>
              <w:rPr/>
            </w:pPr>
            <w:r>
              <w:rPr>
                <w:spacing w:val="-1"/>
              </w:rPr>
              <w:t>组织的数据清洗工具，应满</w:t>
            </w:r>
            <w:r>
              <w:rPr>
                <w:spacing w:val="3"/>
              </w:rPr>
              <w:t xml:space="preserve"> </w:t>
            </w:r>
            <w:r>
              <w:rPr>
                <w:spacing w:val="-1"/>
              </w:rPr>
              <w:t>足组织云端数据规模和数据</w:t>
            </w:r>
          </w:p>
          <w:p>
            <w:pPr>
              <w:pStyle w:val="TableText"/>
              <w:ind w:left="87"/>
              <w:spacing w:before="92" w:line="219" w:lineRule="auto"/>
              <w:rPr/>
            </w:pPr>
            <w:r>
              <w:rPr>
                <w:spacing w:val="-2"/>
              </w:rPr>
              <w:t>特性</w:t>
            </w:r>
          </w:p>
        </w:tc>
      </w:tr>
      <w:tr>
        <w:trPr>
          <w:trHeight w:val="849" w:hRule="atLeast"/>
        </w:trPr>
        <w:tc>
          <w:tcPr>
            <w:tcW w:w="1363" w:type="dxa"/>
            <w:vAlign w:val="top"/>
            <w:vMerge w:val="continue"/>
            <w:tcBorders>
              <w:top w:val="nil"/>
              <w:bottom w:val="nil"/>
            </w:tcBorders>
          </w:tcPr>
          <w:p>
            <w:pPr>
              <w:rPr>
                <w:rFonts w:ascii="Arial"/>
                <w:sz w:val="21"/>
              </w:rPr>
            </w:pPr>
            <w:r/>
          </w:p>
        </w:tc>
        <w:tc>
          <w:tcPr>
            <w:tcW w:w="1918" w:type="dxa"/>
            <w:vAlign w:val="top"/>
            <w:vMerge w:val="continue"/>
            <w:tcBorders>
              <w:top w:val="nil"/>
              <w:bottom w:val="nil"/>
            </w:tcBorders>
          </w:tcPr>
          <w:p>
            <w:pPr>
              <w:rPr>
                <w:rFonts w:ascii="Arial"/>
                <w:sz w:val="21"/>
              </w:rPr>
            </w:pPr>
            <w:r/>
          </w:p>
        </w:tc>
        <w:tc>
          <w:tcPr>
            <w:tcW w:w="2157" w:type="dxa"/>
            <w:vAlign w:val="top"/>
          </w:tcPr>
          <w:p>
            <w:pPr>
              <w:spacing w:line="298" w:lineRule="auto"/>
              <w:rPr>
                <w:rFonts w:ascii="Arial"/>
                <w:sz w:val="21"/>
              </w:rPr>
            </w:pPr>
            <w:r/>
          </w:p>
          <w:p>
            <w:pPr>
              <w:pStyle w:val="TableText"/>
              <w:ind w:left="254"/>
              <w:spacing w:before="49" w:line="219" w:lineRule="auto"/>
              <w:rPr/>
            </w:pPr>
            <w:r>
              <w:rPr>
                <w:spacing w:val="-1"/>
              </w:rPr>
              <w:t>M2:自定义的数据规则库</w:t>
            </w:r>
          </w:p>
        </w:tc>
        <w:tc>
          <w:tcPr>
            <w:tcW w:w="2142" w:type="dxa"/>
            <w:vAlign w:val="top"/>
          </w:tcPr>
          <w:p>
            <w:pPr>
              <w:pStyle w:val="TableText"/>
              <w:ind w:left="107" w:right="80" w:firstLine="139"/>
              <w:spacing w:before="68" w:line="307" w:lineRule="auto"/>
              <w:jc w:val="both"/>
              <w:rPr/>
            </w:pPr>
            <w:r>
              <w:rPr>
                <w:spacing w:val="-11"/>
              </w:rPr>
              <w:t>组织的数据清洗规则，</w:t>
            </w:r>
            <w:r>
              <w:rPr>
                <w:spacing w:val="48"/>
              </w:rPr>
              <w:t xml:space="preserve"> </w:t>
            </w:r>
            <w:r>
              <w:rPr>
                <w:spacing w:val="-11"/>
              </w:rPr>
              <w:t>一般</w:t>
            </w:r>
            <w:r>
              <w:rPr/>
              <w:t xml:space="preserve"> </w:t>
            </w:r>
            <w:r>
              <w:rPr>
                <w:spacing w:val="-1"/>
              </w:rPr>
              <w:t>包括行业标准、业务规则，以</w:t>
            </w:r>
            <w:r>
              <w:rPr>
                <w:spacing w:val="6"/>
              </w:rPr>
              <w:t xml:space="preserve"> </w:t>
            </w:r>
            <w:r>
              <w:rPr>
                <w:spacing w:val="-1"/>
              </w:rPr>
              <w:t>及数据关联性等</w:t>
            </w:r>
          </w:p>
        </w:tc>
      </w:tr>
      <w:tr>
        <w:trPr>
          <w:trHeight w:val="839" w:hRule="atLeast"/>
        </w:trPr>
        <w:tc>
          <w:tcPr>
            <w:tcW w:w="1363" w:type="dxa"/>
            <w:vAlign w:val="top"/>
            <w:vMerge w:val="continue"/>
            <w:tcBorders>
              <w:top w:val="nil"/>
              <w:bottom w:val="nil"/>
            </w:tcBorders>
          </w:tcPr>
          <w:p>
            <w:pPr>
              <w:rPr>
                <w:rFonts w:ascii="Arial"/>
                <w:sz w:val="21"/>
              </w:rPr>
            </w:pPr>
            <w:r/>
          </w:p>
        </w:tc>
        <w:tc>
          <w:tcPr>
            <w:tcW w:w="1918" w:type="dxa"/>
            <w:vAlign w:val="top"/>
            <w:vMerge w:val="continue"/>
            <w:tcBorders>
              <w:top w:val="nil"/>
            </w:tcBorders>
          </w:tcPr>
          <w:p>
            <w:pPr>
              <w:rPr>
                <w:rFonts w:ascii="Arial"/>
                <w:sz w:val="21"/>
              </w:rPr>
            </w:pPr>
            <w:r/>
          </w:p>
        </w:tc>
        <w:tc>
          <w:tcPr>
            <w:tcW w:w="2157" w:type="dxa"/>
            <w:vAlign w:val="top"/>
          </w:tcPr>
          <w:p>
            <w:pPr>
              <w:spacing w:line="299" w:lineRule="auto"/>
              <w:rPr>
                <w:rFonts w:ascii="Arial"/>
                <w:sz w:val="21"/>
              </w:rPr>
            </w:pPr>
            <w:r/>
          </w:p>
          <w:p>
            <w:pPr>
              <w:pStyle w:val="TableText"/>
              <w:ind w:left="94"/>
              <w:spacing w:before="49" w:line="219" w:lineRule="auto"/>
              <w:rPr/>
            </w:pPr>
            <w:r>
              <w:rPr>
                <w:spacing w:val="-1"/>
              </w:rPr>
              <w:t>M3:数据清洗流程</w:t>
            </w:r>
          </w:p>
        </w:tc>
        <w:tc>
          <w:tcPr>
            <w:tcW w:w="2142" w:type="dxa"/>
            <w:vAlign w:val="top"/>
          </w:tcPr>
          <w:p>
            <w:pPr>
              <w:pStyle w:val="TableText"/>
              <w:ind w:left="257"/>
              <w:spacing w:before="90" w:line="219" w:lineRule="auto"/>
              <w:rPr/>
            </w:pPr>
            <w:r>
              <w:rPr>
                <w:spacing w:val="-1"/>
              </w:rPr>
              <w:t>组织应明确定义数据的清</w:t>
            </w:r>
          </w:p>
          <w:p>
            <w:pPr>
              <w:pStyle w:val="TableText"/>
              <w:ind w:left="117" w:right="90" w:hanging="20"/>
              <w:spacing w:before="91" w:line="288" w:lineRule="auto"/>
              <w:rPr/>
            </w:pPr>
            <w:r>
              <w:rPr>
                <w:spacing w:val="-1"/>
              </w:rPr>
              <w:t>洗流程，从源头上提升组织拥</w:t>
            </w:r>
            <w:r>
              <w:rPr>
                <w:spacing w:val="6"/>
              </w:rPr>
              <w:t xml:space="preserve"> </w:t>
            </w:r>
            <w:r>
              <w:rPr>
                <w:spacing w:val="-1"/>
              </w:rPr>
              <w:t>有的数据资产质量</w:t>
            </w:r>
          </w:p>
        </w:tc>
      </w:tr>
      <w:tr>
        <w:trPr>
          <w:trHeight w:val="1118" w:hRule="atLeast"/>
        </w:trPr>
        <w:tc>
          <w:tcPr>
            <w:tcW w:w="1363" w:type="dxa"/>
            <w:vAlign w:val="top"/>
            <w:vMerge w:val="continue"/>
            <w:tcBorders>
              <w:top w:val="nil"/>
              <w:bottom w:val="nil"/>
            </w:tcBorders>
          </w:tcPr>
          <w:p>
            <w:pPr>
              <w:rPr>
                <w:rFonts w:ascii="Arial"/>
                <w:sz w:val="21"/>
              </w:rPr>
            </w:pPr>
            <w:r/>
          </w:p>
        </w:tc>
        <w:tc>
          <w:tcPr>
            <w:tcW w:w="1918" w:type="dxa"/>
            <w:vAlign w:val="top"/>
            <w:vMerge w:val="restart"/>
            <w:tcBorders>
              <w:bottom w:val="nil"/>
            </w:tcBorders>
          </w:tcPr>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122" w:right="144" w:firstLine="109"/>
              <w:spacing w:before="48" w:line="288" w:lineRule="auto"/>
              <w:rPr/>
            </w:pPr>
            <w:r>
              <w:rPr>
                <w:spacing w:val="-1"/>
              </w:rPr>
              <w:t>Q2:支持数据清洗，组</w:t>
            </w:r>
            <w:r>
              <w:rPr>
                <w:spacing w:val="2"/>
              </w:rPr>
              <w:t xml:space="preserve">  </w:t>
            </w:r>
            <w:r>
              <w:rPr>
                <w:spacing w:val="-1"/>
              </w:rPr>
              <w:t>织部署了哪些一致性工作</w:t>
            </w:r>
          </w:p>
        </w:tc>
        <w:tc>
          <w:tcPr>
            <w:tcW w:w="2157" w:type="dxa"/>
            <w:vAlign w:val="top"/>
          </w:tcPr>
          <w:p>
            <w:pPr>
              <w:spacing w:line="311" w:lineRule="auto"/>
              <w:rPr>
                <w:rFonts w:ascii="Arial"/>
                <w:sz w:val="21"/>
              </w:rPr>
            </w:pPr>
            <w:r/>
          </w:p>
          <w:p>
            <w:pPr>
              <w:pStyle w:val="TableText"/>
              <w:ind w:left="94" w:right="319" w:firstLine="160"/>
              <w:spacing w:before="48" w:line="283" w:lineRule="auto"/>
              <w:rPr/>
            </w:pPr>
            <w:r>
              <w:rPr>
                <w:spacing w:val="-1"/>
              </w:rPr>
              <w:t>M4:一致性的数据规则和</w:t>
            </w:r>
            <w:r>
              <w:rPr>
                <w:spacing w:val="9"/>
              </w:rPr>
              <w:t xml:space="preserve"> </w:t>
            </w:r>
            <w:r>
              <w:rPr>
                <w:spacing w:val="-2"/>
              </w:rPr>
              <w:t>工具</w:t>
            </w:r>
          </w:p>
        </w:tc>
        <w:tc>
          <w:tcPr>
            <w:tcW w:w="2142" w:type="dxa"/>
            <w:vAlign w:val="top"/>
          </w:tcPr>
          <w:p>
            <w:pPr>
              <w:pStyle w:val="TableText"/>
              <w:ind w:left="97" w:right="69" w:firstLine="160"/>
              <w:spacing w:before="80" w:line="311" w:lineRule="auto"/>
              <w:jc w:val="both"/>
              <w:rPr/>
            </w:pPr>
            <w:r>
              <w:rPr>
                <w:spacing w:val="-1"/>
              </w:rPr>
              <w:t>组织应在所属范围内，定义</w:t>
            </w:r>
            <w:r>
              <w:rPr>
                <w:spacing w:val="3"/>
              </w:rPr>
              <w:t xml:space="preserve"> </w:t>
            </w:r>
            <w:r>
              <w:rPr>
                <w:spacing w:val="-1"/>
              </w:rPr>
              <w:t>一致性的数据规则，采用统一</w:t>
            </w:r>
            <w:r>
              <w:rPr>
                <w:spacing w:val="3"/>
              </w:rPr>
              <w:t xml:space="preserve"> </w:t>
            </w:r>
            <w:r>
              <w:rPr>
                <w:spacing w:val="1"/>
              </w:rPr>
              <w:t>的数据工具，确保数据的一致 </w:t>
            </w:r>
            <w:r>
              <w:rPr/>
              <w:t>性</w:t>
            </w:r>
          </w:p>
        </w:tc>
      </w:tr>
      <w:tr>
        <w:trPr>
          <w:trHeight w:val="569" w:hRule="atLeast"/>
        </w:trPr>
        <w:tc>
          <w:tcPr>
            <w:tcW w:w="1363" w:type="dxa"/>
            <w:vAlign w:val="top"/>
            <w:vMerge w:val="continue"/>
            <w:tcBorders>
              <w:top w:val="nil"/>
              <w:bottom w:val="nil"/>
            </w:tcBorders>
          </w:tcPr>
          <w:p>
            <w:pPr>
              <w:rPr>
                <w:rFonts w:ascii="Arial"/>
                <w:sz w:val="21"/>
              </w:rPr>
            </w:pPr>
            <w:r/>
          </w:p>
        </w:tc>
        <w:tc>
          <w:tcPr>
            <w:tcW w:w="1918" w:type="dxa"/>
            <w:vAlign w:val="top"/>
            <w:vMerge w:val="continue"/>
            <w:tcBorders>
              <w:top w:val="nil"/>
              <w:bottom w:val="nil"/>
            </w:tcBorders>
          </w:tcPr>
          <w:p>
            <w:pPr>
              <w:rPr>
                <w:rFonts w:ascii="Arial"/>
                <w:sz w:val="21"/>
              </w:rPr>
            </w:pPr>
            <w:r/>
          </w:p>
        </w:tc>
        <w:tc>
          <w:tcPr>
            <w:tcW w:w="2157" w:type="dxa"/>
            <w:vAlign w:val="top"/>
          </w:tcPr>
          <w:p>
            <w:pPr>
              <w:pStyle w:val="TableText"/>
              <w:ind w:left="94"/>
              <w:spacing w:before="213" w:line="220" w:lineRule="auto"/>
              <w:rPr/>
            </w:pPr>
            <w:r>
              <w:rPr>
                <w:spacing w:val="-1"/>
              </w:rPr>
              <w:t>M5:相同的工作原则</w:t>
            </w:r>
          </w:p>
        </w:tc>
        <w:tc>
          <w:tcPr>
            <w:tcW w:w="2142" w:type="dxa"/>
            <w:vAlign w:val="top"/>
          </w:tcPr>
          <w:p>
            <w:pPr>
              <w:pStyle w:val="TableText"/>
              <w:ind w:left="107" w:right="61" w:firstLine="149"/>
              <w:spacing w:before="82" w:line="282" w:lineRule="auto"/>
              <w:rPr/>
            </w:pPr>
            <w:r>
              <w:rPr>
                <w:spacing w:val="1"/>
              </w:rPr>
              <w:t>组织数据清洗，应遵循相同</w:t>
            </w:r>
            <w:r>
              <w:rPr/>
              <w:t xml:space="preserve"> </w:t>
            </w:r>
            <w:r>
              <w:rPr>
                <w:spacing w:val="1"/>
              </w:rPr>
              <w:t>的工作原则和业务规则</w:t>
            </w:r>
          </w:p>
        </w:tc>
      </w:tr>
      <w:tr>
        <w:trPr>
          <w:trHeight w:val="848" w:hRule="atLeast"/>
        </w:trPr>
        <w:tc>
          <w:tcPr>
            <w:tcW w:w="1363" w:type="dxa"/>
            <w:vAlign w:val="top"/>
            <w:vMerge w:val="continue"/>
            <w:tcBorders>
              <w:top w:val="nil"/>
              <w:bottom w:val="nil"/>
            </w:tcBorders>
          </w:tcPr>
          <w:p>
            <w:pPr>
              <w:rPr>
                <w:rFonts w:ascii="Arial"/>
                <w:sz w:val="21"/>
              </w:rPr>
            </w:pPr>
            <w:r/>
          </w:p>
        </w:tc>
        <w:tc>
          <w:tcPr>
            <w:tcW w:w="1918" w:type="dxa"/>
            <w:vAlign w:val="top"/>
            <w:vMerge w:val="continue"/>
            <w:tcBorders>
              <w:top w:val="nil"/>
            </w:tcBorders>
          </w:tcPr>
          <w:p>
            <w:pPr>
              <w:rPr>
                <w:rFonts w:ascii="Arial"/>
                <w:sz w:val="21"/>
              </w:rPr>
            </w:pPr>
            <w:r/>
          </w:p>
        </w:tc>
        <w:tc>
          <w:tcPr>
            <w:tcW w:w="2157" w:type="dxa"/>
            <w:vAlign w:val="top"/>
          </w:tcPr>
          <w:p>
            <w:pPr>
              <w:spacing w:line="303" w:lineRule="auto"/>
              <w:rPr>
                <w:rFonts w:ascii="Arial"/>
                <w:sz w:val="21"/>
              </w:rPr>
            </w:pPr>
            <w:r/>
          </w:p>
          <w:p>
            <w:pPr>
              <w:pStyle w:val="TableText"/>
              <w:ind w:left="234"/>
              <w:spacing w:before="49" w:line="219" w:lineRule="auto"/>
              <w:rPr/>
            </w:pPr>
            <w:r>
              <w:rPr>
                <w:spacing w:val="-1"/>
              </w:rPr>
              <w:t>M6:一致性的清洗步骤</w:t>
            </w:r>
          </w:p>
        </w:tc>
        <w:tc>
          <w:tcPr>
            <w:tcW w:w="2142" w:type="dxa"/>
            <w:vAlign w:val="top"/>
          </w:tcPr>
          <w:p>
            <w:pPr>
              <w:pStyle w:val="TableText"/>
              <w:ind w:left="97" w:right="67" w:firstLine="149"/>
              <w:spacing w:before="83" w:line="303" w:lineRule="auto"/>
              <w:jc w:val="both"/>
              <w:rPr/>
            </w:pPr>
            <w:r>
              <w:rPr>
                <w:spacing w:val="-1"/>
              </w:rPr>
              <w:t>组织数据清洗，应定义明确</w:t>
            </w:r>
            <w:r>
              <w:rPr>
                <w:spacing w:val="3"/>
              </w:rPr>
              <w:t xml:space="preserve"> </w:t>
            </w:r>
            <w:r>
              <w:rPr>
                <w:spacing w:val="1"/>
              </w:rPr>
              <w:t>的操作顺序，遵循一致性的清</w:t>
            </w:r>
            <w:r>
              <w:rPr>
                <w:spacing w:val="3"/>
              </w:rPr>
              <w:t xml:space="preserve"> </w:t>
            </w:r>
            <w:r>
              <w:rPr>
                <w:spacing w:val="-2"/>
              </w:rPr>
              <w:t>洗步骤</w:t>
            </w:r>
          </w:p>
        </w:tc>
      </w:tr>
      <w:tr>
        <w:trPr>
          <w:trHeight w:val="834" w:hRule="atLeast"/>
        </w:trPr>
        <w:tc>
          <w:tcPr>
            <w:tcW w:w="1363" w:type="dxa"/>
            <w:vAlign w:val="top"/>
            <w:vMerge w:val="continue"/>
            <w:tcBorders>
              <w:top w:val="nil"/>
            </w:tcBorders>
          </w:tcPr>
          <w:p>
            <w:pPr>
              <w:rPr>
                <w:rFonts w:ascii="Arial"/>
                <w:sz w:val="21"/>
              </w:rPr>
            </w:pPr>
            <w:r/>
          </w:p>
        </w:tc>
        <w:tc>
          <w:tcPr>
            <w:tcW w:w="1918" w:type="dxa"/>
            <w:vAlign w:val="top"/>
          </w:tcPr>
          <w:p>
            <w:pPr>
              <w:pStyle w:val="TableText"/>
              <w:ind w:left="102" w:right="142" w:firstLine="130"/>
              <w:spacing w:before="86" w:line="299" w:lineRule="auto"/>
              <w:rPr/>
            </w:pPr>
            <w:r>
              <w:rPr>
                <w:spacing w:val="7"/>
              </w:rPr>
              <w:t>Q3:组织是如何定义、</w:t>
            </w:r>
            <w:r>
              <w:rPr>
                <w:spacing w:val="2"/>
              </w:rPr>
              <w:t xml:space="preserve"> </w:t>
            </w:r>
            <w:r>
              <w:rPr>
                <w:spacing w:val="1"/>
              </w:rPr>
              <w:t>制度化和监督数据清洗过 </w:t>
            </w:r>
            <w:r>
              <w:rPr>
                <w:spacing w:val="-2"/>
              </w:rPr>
              <w:t>程的</w:t>
            </w:r>
          </w:p>
        </w:tc>
        <w:tc>
          <w:tcPr>
            <w:tcW w:w="2157" w:type="dxa"/>
            <w:vAlign w:val="top"/>
          </w:tcPr>
          <w:p>
            <w:pPr>
              <w:pStyle w:val="TableText"/>
              <w:ind w:left="94" w:right="309" w:firstLine="170"/>
              <w:spacing w:before="215" w:line="277" w:lineRule="auto"/>
              <w:rPr/>
            </w:pPr>
            <w:r>
              <w:rPr>
                <w:spacing w:val="-1"/>
              </w:rPr>
              <w:t>M7:基于数据质量需求进</w:t>
            </w:r>
            <w:r>
              <w:rPr>
                <w:spacing w:val="9"/>
              </w:rPr>
              <w:t xml:space="preserve"> </w:t>
            </w:r>
            <w:r>
              <w:rPr>
                <w:spacing w:val="-2"/>
              </w:rPr>
              <w:t>行定义</w:t>
            </w:r>
          </w:p>
        </w:tc>
        <w:tc>
          <w:tcPr>
            <w:tcW w:w="2142" w:type="dxa"/>
            <w:vAlign w:val="top"/>
          </w:tcPr>
          <w:p>
            <w:pPr>
              <w:pStyle w:val="TableText"/>
              <w:ind w:left="276"/>
              <w:spacing w:before="76" w:line="219" w:lineRule="auto"/>
              <w:rPr/>
            </w:pPr>
            <w:r>
              <w:rPr>
                <w:spacing w:val="-1"/>
              </w:rPr>
              <w:t>数据清洗应满足组织对数</w:t>
            </w:r>
          </w:p>
          <w:p>
            <w:pPr>
              <w:pStyle w:val="TableText"/>
              <w:ind w:left="126" w:right="68" w:hanging="29"/>
              <w:spacing w:before="91" w:line="288" w:lineRule="auto"/>
              <w:rPr/>
            </w:pPr>
            <w:r>
              <w:rPr>
                <w:spacing w:val="1"/>
              </w:rPr>
              <w:t>据质量的需求，应基于数据质</w:t>
            </w:r>
            <w:r>
              <w:rPr>
                <w:spacing w:val="2"/>
              </w:rPr>
              <w:t xml:space="preserve"> </w:t>
            </w:r>
            <w:r>
              <w:rPr>
                <w:spacing w:val="-1"/>
              </w:rPr>
              <w:t>量需求定义数据清洗过程</w:t>
            </w:r>
          </w:p>
        </w:tc>
      </w:tr>
    </w:tbl>
    <w:p>
      <w:pPr>
        <w:pStyle w:val="BodyText"/>
        <w:rPr/>
      </w:pPr>
      <w:r/>
    </w:p>
    <w:p>
      <w:pPr>
        <w:sectPr>
          <w:footerReference w:type="default" r:id="rId287"/>
          <w:pgSz w:w="8870" w:h="13400"/>
          <w:pgMar w:top="400" w:right="544" w:bottom="565" w:left="449" w:header="0" w:footer="346" w:gutter="0"/>
        </w:sectPr>
        <w:rPr/>
      </w:pPr>
    </w:p>
    <w:p>
      <w:pPr>
        <w:ind w:left="99"/>
        <w:spacing w:before="159"/>
        <w:rPr>
          <w:rFonts w:ascii="SimSun" w:hAnsi="SimSun" w:eastAsia="SimSun" w:cs="SimSun"/>
          <w:sz w:val="23"/>
          <w:szCs w:val="23"/>
        </w:rPr>
      </w:pPr>
      <w:r>
        <w:rPr>
          <w:rFonts w:ascii="SimSun" w:hAnsi="SimSun" w:eastAsia="SimSun" w:cs="SimSun"/>
          <w:sz w:val="23"/>
          <w:szCs w:val="23"/>
          <w:position w:val="-8"/>
        </w:rPr>
        <w:drawing>
          <wp:inline distT="0" distB="0" distL="0" distR="0">
            <wp:extent cx="6365" cy="222255"/>
            <wp:effectExtent l="0" t="0" r="0" b="0"/>
            <wp:docPr id="198" name="IM 198"/>
            <wp:cNvGraphicFramePr/>
            <a:graphic>
              <a:graphicData uri="http://schemas.openxmlformats.org/drawingml/2006/picture">
                <pic:pic>
                  <pic:nvPicPr>
                    <pic:cNvPr id="198" name="IM 198"/>
                    <pic:cNvPicPr/>
                  </pic:nvPicPr>
                  <pic:blipFill>
                    <a:blip r:embed="rId289"/>
                    <a:stretch>
                      <a:fillRect/>
                    </a:stretch>
                  </pic:blipFill>
                  <pic:spPr>
                    <a:xfrm rot="0">
                      <a:off x="0" y="0"/>
                      <a:ext cx="6365" cy="222255"/>
                    </a:xfrm>
                    <a:prstGeom prst="rect">
                      <a:avLst/>
                    </a:prstGeom>
                  </pic:spPr>
                </pic:pic>
              </a:graphicData>
            </a:graphic>
          </wp:inline>
        </w:drawing>
      </w:r>
      <w:r>
        <w:rPr>
          <w:rFonts w:ascii="SimSun" w:hAnsi="SimSun" w:eastAsia="SimSun" w:cs="SimSun"/>
          <w:sz w:val="23"/>
          <w:szCs w:val="23"/>
          <w:spacing w:val="1"/>
        </w:rPr>
        <w:t xml:space="preserve"> </w:t>
      </w:r>
      <w:r>
        <w:rPr>
          <w:rFonts w:ascii="SimSun" w:hAnsi="SimSun" w:eastAsia="SimSun" w:cs="SimSun"/>
          <w:sz w:val="23"/>
          <w:szCs w:val="23"/>
          <w:b/>
          <w:bCs/>
          <w:spacing w:val="-25"/>
        </w:rPr>
        <w:t>■云端数据治理</w:t>
      </w:r>
    </w:p>
    <w:p>
      <w:pPr>
        <w:pStyle w:val="BodyText"/>
        <w:spacing w:line="288" w:lineRule="auto"/>
        <w:rPr/>
      </w:pPr>
      <w:r/>
    </w:p>
    <w:p>
      <w:pPr>
        <w:ind w:left="712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7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27"/>
        <w:gridCol w:w="2157"/>
        <w:gridCol w:w="2132"/>
      </w:tblGrid>
      <w:tr>
        <w:trPr>
          <w:trHeight w:val="315" w:hRule="atLeast"/>
        </w:trPr>
        <w:tc>
          <w:tcPr>
            <w:tcW w:w="1363" w:type="dxa"/>
            <w:vAlign w:val="top"/>
          </w:tcPr>
          <w:p>
            <w:pPr>
              <w:pStyle w:val="TableText"/>
              <w:ind w:left="364"/>
              <w:spacing w:before="81" w:line="220" w:lineRule="auto"/>
              <w:rPr/>
            </w:pPr>
            <w:r>
              <w:rPr>
                <w:spacing w:val="-12"/>
              </w:rPr>
              <w:t>目    标</w:t>
            </w:r>
          </w:p>
        </w:tc>
        <w:tc>
          <w:tcPr>
            <w:tcW w:w="1927" w:type="dxa"/>
            <w:vAlign w:val="top"/>
          </w:tcPr>
          <w:p>
            <w:pPr>
              <w:pStyle w:val="TableText"/>
              <w:ind w:left="661"/>
              <w:spacing w:before="83" w:line="221" w:lineRule="auto"/>
              <w:rPr/>
            </w:pPr>
            <w:r>
              <w:rPr>
                <w:spacing w:val="-12"/>
              </w:rPr>
              <w:t>问</w:t>
            </w:r>
            <w:r>
              <w:rPr>
                <w:spacing w:val="10"/>
              </w:rPr>
              <w:t xml:space="preserve">   </w:t>
            </w:r>
            <w:r>
              <w:rPr>
                <w:spacing w:val="-12"/>
              </w:rPr>
              <w:t>题</w:t>
            </w:r>
          </w:p>
        </w:tc>
        <w:tc>
          <w:tcPr>
            <w:tcW w:w="2157" w:type="dxa"/>
            <w:vAlign w:val="top"/>
          </w:tcPr>
          <w:p>
            <w:pPr>
              <w:pStyle w:val="TableText"/>
              <w:ind w:left="705"/>
              <w:spacing w:before="8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132" w:type="dxa"/>
            <w:vAlign w:val="top"/>
          </w:tcPr>
          <w:p>
            <w:pPr>
              <w:pStyle w:val="TableText"/>
              <w:ind w:left="698"/>
              <w:spacing w:before="81" w:line="219" w:lineRule="auto"/>
              <w:rPr/>
            </w:pPr>
            <w:r>
              <w:rPr>
                <w:spacing w:val="3"/>
              </w:rPr>
              <w:t>度量项说明</w:t>
            </w:r>
          </w:p>
        </w:tc>
      </w:tr>
      <w:tr>
        <w:trPr>
          <w:trHeight w:val="1109" w:hRule="atLeast"/>
        </w:trPr>
        <w:tc>
          <w:tcPr>
            <w:tcW w:w="1363"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84" w:right="89" w:firstLine="149"/>
              <w:spacing w:before="48" w:line="299" w:lineRule="auto"/>
              <w:rPr/>
            </w:pPr>
            <w:r>
              <w:rPr>
                <w:spacing w:val="-12"/>
              </w:rPr>
              <w:t>G</w:t>
            </w:r>
            <w:r>
              <w:rPr>
                <w:spacing w:val="-21"/>
              </w:rPr>
              <w:t xml:space="preserve"> </w:t>
            </w:r>
            <w:r>
              <w:rPr>
                <w:spacing w:val="-12"/>
              </w:rPr>
              <w:t>1</w:t>
            </w:r>
            <w:r>
              <w:rPr>
                <w:spacing w:val="-13"/>
              </w:rPr>
              <w:t xml:space="preserve"> </w:t>
            </w:r>
            <w:r>
              <w:rPr>
                <w:spacing w:val="-12"/>
              </w:rPr>
              <w:t>:</w:t>
            </w:r>
            <w:r>
              <w:rPr>
                <w:spacing w:val="-32"/>
              </w:rPr>
              <w:t xml:space="preserve"> </w:t>
            </w:r>
            <w:r>
              <w:rPr>
                <w:spacing w:val="-12"/>
              </w:rPr>
              <w:t>建</w:t>
            </w:r>
            <w:r>
              <w:rPr>
                <w:spacing w:val="-35"/>
              </w:rPr>
              <w:t xml:space="preserve"> </w:t>
            </w:r>
            <w:r>
              <w:rPr>
                <w:spacing w:val="-12"/>
              </w:rPr>
              <w:t>立</w:t>
            </w:r>
            <w:r>
              <w:rPr>
                <w:spacing w:val="-31"/>
              </w:rPr>
              <w:t xml:space="preserve"> </w:t>
            </w:r>
            <w:r>
              <w:rPr>
                <w:spacing w:val="-12"/>
              </w:rPr>
              <w:t>并</w:t>
            </w:r>
            <w:r>
              <w:rPr>
                <w:spacing w:val="-32"/>
              </w:rPr>
              <w:t xml:space="preserve"> </w:t>
            </w:r>
            <w:r>
              <w:rPr>
                <w:spacing w:val="-12"/>
              </w:rPr>
              <w:t>一</w:t>
            </w:r>
            <w:r>
              <w:rPr/>
              <w:t xml:space="preserve"> </w:t>
            </w:r>
            <w:r>
              <w:rPr>
                <w:spacing w:val="-1"/>
              </w:rPr>
              <w:t>致地遵循数据清  </w:t>
            </w:r>
            <w:r>
              <w:rPr>
                <w:spacing w:val="-2"/>
              </w:rPr>
              <w:t>洗策略</w:t>
            </w:r>
          </w:p>
        </w:tc>
        <w:tc>
          <w:tcPr>
            <w:tcW w:w="1927" w:type="dxa"/>
            <w:vAlign w:val="top"/>
            <w:vMerge w:val="restart"/>
            <w:tcBorders>
              <w:bottom w:val="nil"/>
            </w:tcBorders>
          </w:tcPr>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101" w:right="160" w:firstLine="160"/>
              <w:spacing w:before="49" w:line="299" w:lineRule="auto"/>
              <w:jc w:val="both"/>
              <w:rPr/>
            </w:pPr>
            <w:r>
              <w:rPr>
                <w:spacing w:val="6"/>
              </w:rPr>
              <w:t>Q3:组织是如何定义、</w:t>
            </w:r>
            <w:r>
              <w:rPr>
                <w:spacing w:val="2"/>
              </w:rPr>
              <w:t xml:space="preserve"> </w:t>
            </w:r>
            <w:r>
              <w:rPr/>
              <w:t>制度化和监督数据清洗过</w:t>
            </w:r>
            <w:r>
              <w:rPr>
                <w:spacing w:val="2"/>
              </w:rPr>
              <w:t xml:space="preserve"> </w:t>
            </w:r>
            <w:r>
              <w:rPr>
                <w:spacing w:val="-2"/>
              </w:rPr>
              <w:t>程的</w:t>
            </w:r>
          </w:p>
        </w:tc>
        <w:tc>
          <w:tcPr>
            <w:tcW w:w="2157" w:type="dxa"/>
            <w:vAlign w:val="top"/>
          </w:tcPr>
          <w:p>
            <w:pPr>
              <w:spacing w:line="306" w:lineRule="auto"/>
              <w:rPr>
                <w:rFonts w:ascii="Arial"/>
                <w:sz w:val="21"/>
              </w:rPr>
            </w:pPr>
            <w:r/>
          </w:p>
          <w:p>
            <w:pPr>
              <w:pStyle w:val="TableText"/>
              <w:ind w:left="104" w:right="318" w:firstLine="149"/>
              <w:spacing w:before="49" w:line="276" w:lineRule="auto"/>
              <w:rPr/>
            </w:pPr>
            <w:r>
              <w:rPr>
                <w:spacing w:val="-1"/>
              </w:rPr>
              <w:t>M8;基于IT治理的流程实</w:t>
            </w:r>
            <w:r>
              <w:rPr>
                <w:spacing w:val="10"/>
              </w:rPr>
              <w:t xml:space="preserve"> </w:t>
            </w:r>
            <w:r>
              <w:rPr>
                <w:spacing w:val="-1"/>
              </w:rPr>
              <w:t>施制度化</w:t>
            </w:r>
          </w:p>
        </w:tc>
        <w:tc>
          <w:tcPr>
            <w:tcW w:w="2132" w:type="dxa"/>
            <w:vAlign w:val="top"/>
          </w:tcPr>
          <w:p>
            <w:pPr>
              <w:pStyle w:val="TableText"/>
              <w:ind w:left="118" w:right="138" w:firstLine="160"/>
              <w:spacing w:before="76" w:line="313" w:lineRule="auto"/>
              <w:jc w:val="both"/>
              <w:rPr/>
            </w:pPr>
            <w:r>
              <w:rPr>
                <w:spacing w:val="-1"/>
              </w:rPr>
              <w:t>数据质量清洗的流程应基</w:t>
            </w:r>
            <w:r>
              <w:rPr>
                <w:spacing w:val="1"/>
              </w:rPr>
              <w:t xml:space="preserve">  </w:t>
            </w:r>
            <w:r>
              <w:rPr/>
              <w:t>于最佳实践，例如对组织IT </w:t>
            </w:r>
            <w:r>
              <w:rPr>
                <w:spacing w:val="-1"/>
              </w:rPr>
              <w:t>治理的实践，以及参考国际/</w:t>
            </w:r>
            <w:r>
              <w:rPr>
                <w:spacing w:val="2"/>
              </w:rPr>
              <w:t xml:space="preserve"> </w:t>
            </w:r>
            <w:r>
              <w:rPr>
                <w:spacing w:val="1"/>
              </w:rPr>
              <w:t>国内的标准</w:t>
            </w:r>
          </w:p>
        </w:tc>
      </w:tr>
      <w:tr>
        <w:trPr>
          <w:trHeight w:val="84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bottom w:val="nil"/>
            </w:tcBorders>
          </w:tcPr>
          <w:p>
            <w:pPr>
              <w:rPr>
                <w:rFonts w:ascii="Arial"/>
                <w:sz w:val="21"/>
              </w:rPr>
            </w:pPr>
            <w:r/>
          </w:p>
        </w:tc>
        <w:tc>
          <w:tcPr>
            <w:tcW w:w="2157" w:type="dxa"/>
            <w:vAlign w:val="top"/>
          </w:tcPr>
          <w:p>
            <w:pPr>
              <w:pStyle w:val="TableText"/>
              <w:ind w:left="94" w:right="318" w:firstLine="160"/>
              <w:spacing w:before="237" w:line="270" w:lineRule="auto"/>
              <w:rPr/>
            </w:pPr>
            <w:r>
              <w:rPr>
                <w:spacing w:val="-1"/>
              </w:rPr>
              <w:t>M9:基于业务流程实施制</w:t>
            </w:r>
            <w:r>
              <w:rPr>
                <w:spacing w:val="9"/>
              </w:rPr>
              <w:t xml:space="preserve"> </w:t>
            </w:r>
            <w:r>
              <w:rPr>
                <w:spacing w:val="-2"/>
              </w:rPr>
              <w:t>度化</w:t>
            </w:r>
          </w:p>
        </w:tc>
        <w:tc>
          <w:tcPr>
            <w:tcW w:w="2132" w:type="dxa"/>
            <w:vAlign w:val="top"/>
          </w:tcPr>
          <w:p>
            <w:pPr>
              <w:pStyle w:val="TableText"/>
              <w:ind w:left="118" w:right="37" w:firstLine="160"/>
              <w:spacing w:before="96" w:line="303" w:lineRule="auto"/>
              <w:jc w:val="both"/>
              <w:rPr/>
            </w:pPr>
            <w:r>
              <w:rPr>
                <w:spacing w:val="-1"/>
              </w:rPr>
              <w:t>组织应基于业务流程，实施</w:t>
            </w:r>
            <w:r>
              <w:rPr>
                <w:spacing w:val="3"/>
              </w:rPr>
              <w:t xml:space="preserve"> </w:t>
            </w:r>
            <w:r>
              <w:rPr>
                <w:spacing w:val="1"/>
              </w:rPr>
              <w:t>数据清洗的制度，确保数据质</w:t>
            </w:r>
            <w:r>
              <w:rPr>
                <w:spacing w:val="2"/>
              </w:rPr>
              <w:t xml:space="preserve"> </w:t>
            </w:r>
            <w:r>
              <w:rPr/>
              <w:t>量得到贯彻和实施</w:t>
            </w:r>
          </w:p>
        </w:tc>
      </w:tr>
      <w:tr>
        <w:trPr>
          <w:trHeight w:val="83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tcBorders>
          </w:tcPr>
          <w:p>
            <w:pPr>
              <w:rPr>
                <w:rFonts w:ascii="Arial"/>
                <w:sz w:val="21"/>
              </w:rPr>
            </w:pPr>
            <w:r/>
          </w:p>
        </w:tc>
        <w:tc>
          <w:tcPr>
            <w:tcW w:w="2157" w:type="dxa"/>
            <w:vAlign w:val="top"/>
          </w:tcPr>
          <w:p>
            <w:pPr>
              <w:spacing w:line="297" w:lineRule="auto"/>
              <w:rPr>
                <w:rFonts w:ascii="Arial"/>
                <w:sz w:val="21"/>
              </w:rPr>
            </w:pPr>
            <w:r/>
          </w:p>
          <w:p>
            <w:pPr>
              <w:pStyle w:val="TableText"/>
              <w:ind w:left="245"/>
              <w:spacing w:before="49" w:line="219" w:lineRule="auto"/>
              <w:rPr/>
            </w:pPr>
            <w:r>
              <w:rPr>
                <w:spacing w:val="-1"/>
              </w:rPr>
              <w:t>M10:成立数据治理小组</w:t>
            </w:r>
          </w:p>
        </w:tc>
        <w:tc>
          <w:tcPr>
            <w:tcW w:w="2132" w:type="dxa"/>
            <w:vAlign w:val="top"/>
          </w:tcPr>
          <w:p>
            <w:pPr>
              <w:pStyle w:val="TableText"/>
              <w:ind w:left="97" w:right="210" w:firstLine="170"/>
              <w:spacing w:before="78" w:line="308" w:lineRule="auto"/>
              <w:jc w:val="both"/>
              <w:rPr/>
            </w:pPr>
            <w:r>
              <w:rPr>
                <w:spacing w:val="-1"/>
              </w:rPr>
              <w:t>组织应建立组织治理小组</w:t>
            </w:r>
            <w:r>
              <w:rPr>
                <w:spacing w:val="2"/>
              </w:rPr>
              <w:t xml:space="preserve"> </w:t>
            </w:r>
            <w:r>
              <w:rPr>
                <w:spacing w:val="1"/>
              </w:rPr>
              <w:t>整体负责数据清洗流程和数</w:t>
            </w:r>
            <w:r>
              <w:rPr/>
              <w:t xml:space="preserve"> </w:t>
            </w:r>
            <w:r>
              <w:rPr>
                <w:spacing w:val="-2"/>
              </w:rPr>
              <w:t>据质量</w:t>
            </w:r>
          </w:p>
        </w:tc>
      </w:tr>
      <w:tr>
        <w:trPr>
          <w:trHeight w:val="849" w:hRule="atLeast"/>
        </w:trPr>
        <w:tc>
          <w:tcPr>
            <w:tcW w:w="1363" w:type="dxa"/>
            <w:vAlign w:val="top"/>
            <w:vMerge w:val="continue"/>
            <w:tcBorders>
              <w:top w:val="nil"/>
              <w:bottom w:val="nil"/>
            </w:tcBorders>
          </w:tcPr>
          <w:p>
            <w:pPr>
              <w:rPr>
                <w:rFonts w:ascii="Arial"/>
                <w:sz w:val="21"/>
              </w:rPr>
            </w:pPr>
            <w:r/>
          </w:p>
        </w:tc>
        <w:tc>
          <w:tcPr>
            <w:tcW w:w="1927" w:type="dxa"/>
            <w:vAlign w:val="top"/>
            <w:vMerge w:val="restart"/>
            <w:tcBorders>
              <w:bottom w:val="nil"/>
            </w:tcBorders>
          </w:tcPr>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pStyle w:val="TableText"/>
              <w:ind w:left="252"/>
              <w:spacing w:before="49" w:line="310" w:lineRule="exact"/>
              <w:rPr/>
            </w:pPr>
            <w:r>
              <w:rPr>
                <w:spacing w:val="-1"/>
                <w:position w:val="12"/>
              </w:rPr>
              <w:t>Q4:业务范围内建立了</w:t>
            </w:r>
          </w:p>
          <w:p>
            <w:pPr>
              <w:pStyle w:val="TableText"/>
              <w:ind w:left="101"/>
              <w:spacing w:line="219" w:lineRule="auto"/>
              <w:rPr/>
            </w:pPr>
            <w:r>
              <w:rPr>
                <w:spacing w:val="1"/>
              </w:rPr>
              <w:t>哪些质量阈值和公差范围</w:t>
            </w:r>
          </w:p>
        </w:tc>
        <w:tc>
          <w:tcPr>
            <w:tcW w:w="2157" w:type="dxa"/>
            <w:vAlign w:val="top"/>
          </w:tcPr>
          <w:p>
            <w:pPr>
              <w:pStyle w:val="TableText"/>
              <w:ind w:left="94" w:right="253" w:firstLine="150"/>
              <w:spacing w:before="228" w:line="285" w:lineRule="auto"/>
              <w:rPr/>
            </w:pPr>
            <w:r>
              <w:rPr>
                <w:spacing w:val="-1"/>
              </w:rPr>
              <w:t>M11:主数据的质量阈值和</w:t>
            </w:r>
            <w:r>
              <w:rPr>
                <w:spacing w:val="10"/>
              </w:rPr>
              <w:t xml:space="preserve"> </w:t>
            </w:r>
            <w:r>
              <w:rPr>
                <w:spacing w:val="-3"/>
              </w:rPr>
              <w:t>公差</w:t>
            </w:r>
          </w:p>
        </w:tc>
        <w:tc>
          <w:tcPr>
            <w:tcW w:w="2132" w:type="dxa"/>
            <w:vAlign w:val="top"/>
          </w:tcPr>
          <w:p>
            <w:pPr>
              <w:pStyle w:val="TableText"/>
              <w:ind w:left="267"/>
              <w:spacing w:before="79" w:line="219" w:lineRule="auto"/>
              <w:rPr/>
            </w:pPr>
            <w:r>
              <w:rPr>
                <w:spacing w:val="-1"/>
              </w:rPr>
              <w:t>组织应定义主数据的质量</w:t>
            </w:r>
          </w:p>
          <w:p>
            <w:pPr>
              <w:pStyle w:val="TableText"/>
              <w:ind w:left="118" w:right="42"/>
              <w:spacing w:before="102" w:line="281" w:lineRule="auto"/>
              <w:rPr/>
            </w:pPr>
            <w:r>
              <w:rPr/>
              <w:t>阈值和公差，应掌握主数据的</w:t>
            </w:r>
            <w:r>
              <w:rPr>
                <w:spacing w:val="10"/>
              </w:rPr>
              <w:t xml:space="preserve"> </w:t>
            </w:r>
            <w:r>
              <w:rPr>
                <w:spacing w:val="-1"/>
              </w:rPr>
              <w:t>数值分布情况和数据差异</w:t>
            </w:r>
          </w:p>
        </w:tc>
      </w:tr>
      <w:tr>
        <w:trPr>
          <w:trHeight w:val="84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bottom w:val="nil"/>
            </w:tcBorders>
          </w:tcPr>
          <w:p>
            <w:pPr>
              <w:rPr>
                <w:rFonts w:ascii="Arial"/>
                <w:sz w:val="21"/>
              </w:rPr>
            </w:pPr>
            <w:r/>
          </w:p>
        </w:tc>
        <w:tc>
          <w:tcPr>
            <w:tcW w:w="2157" w:type="dxa"/>
            <w:vAlign w:val="top"/>
          </w:tcPr>
          <w:p>
            <w:pPr>
              <w:pStyle w:val="TableText"/>
              <w:ind w:left="94" w:right="243" w:firstLine="160"/>
              <w:spacing w:before="239" w:line="273" w:lineRule="auto"/>
              <w:rPr/>
            </w:pPr>
            <w:r>
              <w:rPr>
                <w:spacing w:val="-1"/>
              </w:rPr>
              <w:t>M12:关系数据的质量阈值</w:t>
            </w:r>
            <w:r>
              <w:rPr>
                <w:spacing w:val="10"/>
              </w:rPr>
              <w:t xml:space="preserve"> </w:t>
            </w:r>
            <w:r>
              <w:rPr>
                <w:spacing w:val="-2"/>
              </w:rPr>
              <w:t>和公差</w:t>
            </w:r>
          </w:p>
        </w:tc>
        <w:tc>
          <w:tcPr>
            <w:tcW w:w="2132" w:type="dxa"/>
            <w:vAlign w:val="top"/>
          </w:tcPr>
          <w:p>
            <w:pPr>
              <w:pStyle w:val="TableText"/>
              <w:ind w:left="118" w:right="45" w:firstLine="139"/>
              <w:spacing w:before="78" w:line="307" w:lineRule="auto"/>
              <w:jc w:val="both"/>
              <w:rPr/>
            </w:pPr>
            <w:r>
              <w:rPr>
                <w:spacing w:val="-1"/>
              </w:rPr>
              <w:t>组织应定义关系数据的质量</w:t>
            </w:r>
            <w:r>
              <w:rPr>
                <w:spacing w:val="3"/>
              </w:rPr>
              <w:t xml:space="preserve"> </w:t>
            </w:r>
            <w:r>
              <w:rPr/>
              <w:t>阈值和公差，应掌握关系数据</w:t>
            </w:r>
            <w:r>
              <w:rPr>
                <w:spacing w:val="7"/>
              </w:rPr>
              <w:t xml:space="preserve"> </w:t>
            </w:r>
            <w:r>
              <w:rPr/>
              <w:t>的数值分布情况和数据差异</w:t>
            </w:r>
          </w:p>
        </w:tc>
      </w:tr>
      <w:tr>
        <w:trPr>
          <w:trHeight w:val="82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bottom w:val="nil"/>
            </w:tcBorders>
          </w:tcPr>
          <w:p>
            <w:pPr>
              <w:rPr>
                <w:rFonts w:ascii="Arial"/>
                <w:sz w:val="21"/>
              </w:rPr>
            </w:pPr>
            <w:r/>
          </w:p>
        </w:tc>
        <w:tc>
          <w:tcPr>
            <w:tcW w:w="2157" w:type="dxa"/>
            <w:vAlign w:val="top"/>
          </w:tcPr>
          <w:p>
            <w:pPr>
              <w:pStyle w:val="TableText"/>
              <w:ind w:left="104" w:right="243" w:firstLine="149"/>
              <w:spacing w:before="220" w:line="276" w:lineRule="auto"/>
              <w:rPr/>
            </w:pPr>
            <w:r>
              <w:rPr>
                <w:spacing w:val="-1"/>
              </w:rPr>
              <w:t>M13:产品或服务数据的质</w:t>
            </w:r>
            <w:r>
              <w:rPr>
                <w:spacing w:val="10"/>
              </w:rPr>
              <w:t xml:space="preserve"> </w:t>
            </w:r>
            <w:r>
              <w:rPr>
                <w:spacing w:val="-1"/>
              </w:rPr>
              <w:t>量阈值和公差</w:t>
            </w:r>
          </w:p>
        </w:tc>
        <w:tc>
          <w:tcPr>
            <w:tcW w:w="2132" w:type="dxa"/>
            <w:vAlign w:val="top"/>
          </w:tcPr>
          <w:p>
            <w:pPr>
              <w:pStyle w:val="TableText"/>
              <w:ind w:left="107" w:right="55" w:firstLine="160"/>
              <w:spacing w:before="72" w:line="302" w:lineRule="auto"/>
              <w:jc w:val="both"/>
              <w:rPr/>
            </w:pPr>
            <w:r>
              <w:rPr>
                <w:spacing w:val="-1"/>
              </w:rPr>
              <w:t>组织应定义服务数据的质量</w:t>
            </w:r>
            <w:r>
              <w:rPr>
                <w:spacing w:val="3"/>
              </w:rPr>
              <w:t xml:space="preserve"> </w:t>
            </w:r>
            <w:r>
              <w:rPr/>
              <w:t>阈值和公差，应掌握服务数据</w:t>
            </w:r>
            <w:r>
              <w:rPr>
                <w:spacing w:val="7"/>
              </w:rPr>
              <w:t xml:space="preserve"> </w:t>
            </w:r>
            <w:r>
              <w:rPr>
                <w:spacing w:val="2"/>
              </w:rPr>
              <w:t>的数值分布情况和数据差异</w:t>
            </w:r>
          </w:p>
        </w:tc>
      </w:tr>
      <w:tr>
        <w:trPr>
          <w:trHeight w:val="839" w:hRule="atLeast"/>
        </w:trPr>
        <w:tc>
          <w:tcPr>
            <w:tcW w:w="1363" w:type="dxa"/>
            <w:vAlign w:val="top"/>
            <w:vMerge w:val="continue"/>
            <w:tcBorders>
              <w:top w:val="nil"/>
            </w:tcBorders>
          </w:tcPr>
          <w:p>
            <w:pPr>
              <w:rPr>
                <w:rFonts w:ascii="Arial"/>
                <w:sz w:val="21"/>
              </w:rPr>
            </w:pPr>
            <w:r/>
          </w:p>
        </w:tc>
        <w:tc>
          <w:tcPr>
            <w:tcW w:w="1927" w:type="dxa"/>
            <w:vAlign w:val="top"/>
            <w:vMerge w:val="continue"/>
            <w:tcBorders>
              <w:top w:val="nil"/>
            </w:tcBorders>
          </w:tcPr>
          <w:p>
            <w:pPr>
              <w:rPr>
                <w:rFonts w:ascii="Arial"/>
                <w:sz w:val="21"/>
              </w:rPr>
            </w:pPr>
            <w:r/>
          </w:p>
        </w:tc>
        <w:tc>
          <w:tcPr>
            <w:tcW w:w="2157" w:type="dxa"/>
            <w:vAlign w:val="top"/>
          </w:tcPr>
          <w:p>
            <w:pPr>
              <w:pStyle w:val="TableText"/>
              <w:ind w:left="94" w:right="233" w:firstLine="170"/>
              <w:spacing w:before="221" w:line="279" w:lineRule="auto"/>
              <w:rPr/>
            </w:pPr>
            <w:r>
              <w:rPr>
                <w:spacing w:val="-1"/>
              </w:rPr>
              <w:t>M14:过程数据的质量阈值</w:t>
            </w:r>
            <w:r>
              <w:rPr>
                <w:spacing w:val="10"/>
              </w:rPr>
              <w:t xml:space="preserve"> </w:t>
            </w:r>
            <w:r>
              <w:rPr>
                <w:spacing w:val="-2"/>
              </w:rPr>
              <w:t>和公差</w:t>
            </w:r>
          </w:p>
        </w:tc>
        <w:tc>
          <w:tcPr>
            <w:tcW w:w="2132" w:type="dxa"/>
            <w:vAlign w:val="top"/>
          </w:tcPr>
          <w:p>
            <w:pPr>
              <w:pStyle w:val="TableText"/>
              <w:ind w:left="118" w:right="35" w:firstLine="149"/>
              <w:spacing w:before="83" w:line="302" w:lineRule="auto"/>
              <w:jc w:val="both"/>
              <w:rPr/>
            </w:pPr>
            <w:r>
              <w:rPr>
                <w:spacing w:val="-1"/>
              </w:rPr>
              <w:t>组织应定义过程数据的质量</w:t>
            </w:r>
            <w:r>
              <w:rPr>
                <w:spacing w:val="3"/>
              </w:rPr>
              <w:t xml:space="preserve"> </w:t>
            </w:r>
            <w:r>
              <w:rPr>
                <w:spacing w:val="1"/>
              </w:rPr>
              <w:t>阈值和公差，应掌握过程数据</w:t>
            </w:r>
            <w:r>
              <w:rPr>
                <w:spacing w:val="4"/>
              </w:rPr>
              <w:t xml:space="preserve"> </w:t>
            </w:r>
            <w:r>
              <w:rPr/>
              <w:t>的数值分布情况和数据差异</w:t>
            </w:r>
          </w:p>
        </w:tc>
      </w:tr>
      <w:tr>
        <w:trPr>
          <w:trHeight w:val="570" w:hRule="atLeast"/>
        </w:trPr>
        <w:tc>
          <w:tcPr>
            <w:tcW w:w="1363"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TableText"/>
              <w:ind w:left="94" w:right="81" w:firstLine="170"/>
              <w:spacing w:before="49" w:line="303" w:lineRule="auto"/>
              <w:rPr/>
            </w:pPr>
            <w:r>
              <w:rPr>
                <w:spacing w:val="25"/>
              </w:rPr>
              <w:t>G2:建立并维</w:t>
            </w:r>
            <w:r>
              <w:rPr>
                <w:spacing w:val="5"/>
              </w:rPr>
              <w:t xml:space="preserve"> </w:t>
            </w:r>
            <w:r>
              <w:rPr>
                <w:spacing w:val="-1"/>
              </w:rPr>
              <w:t>护标准的数据清</w:t>
            </w:r>
            <w:r>
              <w:rPr/>
              <w:t xml:space="preserve">   </w:t>
            </w:r>
            <w:r>
              <w:rPr>
                <w:spacing w:val="-2"/>
              </w:rPr>
              <w:t>洗过程</w:t>
            </w:r>
          </w:p>
        </w:tc>
        <w:tc>
          <w:tcPr>
            <w:tcW w:w="1927" w:type="dxa"/>
            <w:vAlign w:val="top"/>
            <w:vMerge w:val="restart"/>
            <w:tcBorders>
              <w:bottom w:val="nil"/>
            </w:tcBorders>
          </w:tcPr>
          <w:p>
            <w:pPr>
              <w:spacing w:line="312" w:lineRule="auto"/>
              <w:rPr>
                <w:rFonts w:ascii="Arial"/>
                <w:sz w:val="21"/>
              </w:rPr>
            </w:pPr>
            <w:r/>
          </w:p>
          <w:p>
            <w:pPr>
              <w:pStyle w:val="TableText"/>
              <w:ind w:left="101" w:right="264" w:firstLine="130"/>
              <w:spacing w:before="49" w:line="290" w:lineRule="auto"/>
              <w:rPr/>
            </w:pPr>
            <w:r>
              <w:rPr>
                <w:spacing w:val="-1"/>
              </w:rPr>
              <w:t>Q5:组织如何清洗重复</w:t>
            </w:r>
            <w:r>
              <w:rPr>
                <w:spacing w:val="5"/>
              </w:rPr>
              <w:t xml:space="preserve"> </w:t>
            </w:r>
            <w:r>
              <w:rPr>
                <w:spacing w:val="-2"/>
              </w:rPr>
              <w:t>记录</w:t>
            </w:r>
          </w:p>
        </w:tc>
        <w:tc>
          <w:tcPr>
            <w:tcW w:w="2157" w:type="dxa"/>
            <w:vAlign w:val="top"/>
          </w:tcPr>
          <w:p>
            <w:pPr>
              <w:pStyle w:val="TableText"/>
              <w:ind w:left="94" w:right="253" w:firstLine="150"/>
              <w:spacing w:before="102" w:line="270" w:lineRule="auto"/>
              <w:rPr/>
            </w:pPr>
            <w:r>
              <w:rPr>
                <w:spacing w:val="-1"/>
              </w:rPr>
              <w:t>M15:确认后，进行合并或</w:t>
            </w:r>
            <w:r>
              <w:rPr>
                <w:spacing w:val="10"/>
              </w:rPr>
              <w:t xml:space="preserve"> </w:t>
            </w:r>
            <w:r>
              <w:rPr>
                <w:spacing w:val="-2"/>
              </w:rPr>
              <w:t>者清除</w:t>
            </w:r>
          </w:p>
        </w:tc>
        <w:tc>
          <w:tcPr>
            <w:tcW w:w="2132" w:type="dxa"/>
            <w:vAlign w:val="top"/>
          </w:tcPr>
          <w:p>
            <w:pPr>
              <w:pStyle w:val="TableText"/>
              <w:ind w:left="257"/>
              <w:spacing w:before="83" w:line="300" w:lineRule="exact"/>
              <w:rPr/>
            </w:pPr>
            <w:r>
              <w:rPr>
                <w:spacing w:val="-1"/>
                <w:position w:val="11"/>
              </w:rPr>
              <w:t>组织应定义针对重复记录</w:t>
            </w:r>
          </w:p>
          <w:p>
            <w:pPr>
              <w:pStyle w:val="TableText"/>
              <w:ind w:left="118"/>
              <w:spacing w:line="217" w:lineRule="auto"/>
              <w:rPr/>
            </w:pPr>
            <w:r>
              <w:rPr>
                <w:spacing w:val="2"/>
              </w:rPr>
              <w:t>的处理规则</w:t>
            </w:r>
          </w:p>
        </w:tc>
      </w:tr>
      <w:tr>
        <w:trPr>
          <w:trHeight w:val="56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tcBorders>
          </w:tcPr>
          <w:p>
            <w:pPr>
              <w:rPr>
                <w:rFonts w:ascii="Arial"/>
                <w:sz w:val="21"/>
              </w:rPr>
            </w:pPr>
            <w:r/>
          </w:p>
        </w:tc>
        <w:tc>
          <w:tcPr>
            <w:tcW w:w="2157" w:type="dxa"/>
            <w:vAlign w:val="top"/>
          </w:tcPr>
          <w:p>
            <w:pPr>
              <w:pStyle w:val="TableText"/>
              <w:ind w:left="85" w:right="243" w:firstLine="169"/>
              <w:spacing w:before="82" w:line="270" w:lineRule="auto"/>
              <w:rPr/>
            </w:pPr>
            <w:r>
              <w:rPr>
                <w:spacing w:val="-1"/>
              </w:rPr>
              <w:t>M16:改进数据结构或规则</w:t>
            </w:r>
            <w:r>
              <w:rPr>
                <w:spacing w:val="10"/>
              </w:rPr>
              <w:t xml:space="preserve"> </w:t>
            </w:r>
            <w:r>
              <w:rPr/>
              <w:t>库</w:t>
            </w:r>
          </w:p>
        </w:tc>
        <w:tc>
          <w:tcPr>
            <w:tcW w:w="2132" w:type="dxa"/>
            <w:vAlign w:val="top"/>
          </w:tcPr>
          <w:p>
            <w:pPr>
              <w:pStyle w:val="TableText"/>
              <w:ind w:left="127" w:right="49" w:firstLine="120"/>
              <w:spacing w:before="92" w:line="287" w:lineRule="auto"/>
              <w:rPr/>
            </w:pPr>
            <w:r>
              <w:rPr>
                <w:spacing w:val="-1"/>
              </w:rPr>
              <w:t>组织应针对重复记录的产生</w:t>
            </w:r>
            <w:r>
              <w:rPr>
                <w:spacing w:val="3"/>
              </w:rPr>
              <w:t xml:space="preserve"> </w:t>
            </w:r>
            <w:r>
              <w:rPr>
                <w:spacing w:val="-1"/>
              </w:rPr>
              <w:t>机制，改进数据结构或规则库</w:t>
            </w:r>
          </w:p>
        </w:tc>
      </w:tr>
      <w:tr>
        <w:trPr>
          <w:trHeight w:val="1109" w:hRule="atLeast"/>
        </w:trPr>
        <w:tc>
          <w:tcPr>
            <w:tcW w:w="1363" w:type="dxa"/>
            <w:vAlign w:val="top"/>
            <w:vMerge w:val="continue"/>
            <w:tcBorders>
              <w:top w:val="nil"/>
              <w:bottom w:val="nil"/>
            </w:tcBorders>
          </w:tcPr>
          <w:p>
            <w:pPr>
              <w:rPr>
                <w:rFonts w:ascii="Arial"/>
                <w:sz w:val="21"/>
              </w:rPr>
            </w:pPr>
            <w:r/>
          </w:p>
        </w:tc>
        <w:tc>
          <w:tcPr>
            <w:tcW w:w="1927" w:type="dxa"/>
            <w:vAlign w:val="top"/>
            <w:vMerge w:val="restart"/>
            <w:tcBorders>
              <w:bottom w:val="nil"/>
            </w:tcBorders>
          </w:tcPr>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111" w:right="244" w:firstLine="140"/>
              <w:spacing w:before="49" w:line="269" w:lineRule="auto"/>
              <w:rPr/>
            </w:pPr>
            <w:r>
              <w:rPr>
                <w:spacing w:val="-1"/>
              </w:rPr>
              <w:t>Q6:是否在发现问题时</w:t>
            </w:r>
            <w:r>
              <w:rPr>
                <w:spacing w:val="5"/>
              </w:rPr>
              <w:t xml:space="preserve"> </w:t>
            </w:r>
            <w:r>
              <w:rPr>
                <w:spacing w:val="-1"/>
              </w:rPr>
              <w:t>就执行修正活动</w:t>
            </w:r>
          </w:p>
        </w:tc>
        <w:tc>
          <w:tcPr>
            <w:tcW w:w="2157" w:type="dxa"/>
            <w:vAlign w:val="top"/>
          </w:tcPr>
          <w:p>
            <w:pPr>
              <w:spacing w:line="312" w:lineRule="auto"/>
              <w:rPr>
                <w:rFonts w:ascii="Arial"/>
                <w:sz w:val="21"/>
              </w:rPr>
            </w:pPr>
            <w:r/>
          </w:p>
          <w:p>
            <w:pPr>
              <w:pStyle w:val="TableText"/>
              <w:ind w:left="94" w:right="233" w:firstLine="170"/>
              <w:spacing w:before="49" w:line="283" w:lineRule="auto"/>
              <w:rPr/>
            </w:pPr>
            <w:r>
              <w:rPr>
                <w:spacing w:val="-1"/>
              </w:rPr>
              <w:t>M17:基于事件触发的数据</w:t>
            </w:r>
            <w:r>
              <w:rPr>
                <w:spacing w:val="10"/>
              </w:rPr>
              <w:t xml:space="preserve"> </w:t>
            </w:r>
            <w:r>
              <w:rPr>
                <w:spacing w:val="-2"/>
              </w:rPr>
              <w:t>清洗流程</w:t>
            </w:r>
          </w:p>
        </w:tc>
        <w:tc>
          <w:tcPr>
            <w:tcW w:w="2132" w:type="dxa"/>
            <w:vAlign w:val="top"/>
          </w:tcPr>
          <w:p>
            <w:pPr>
              <w:pStyle w:val="TableText"/>
              <w:ind w:left="267"/>
              <w:spacing w:before="84" w:line="219" w:lineRule="auto"/>
              <w:rPr/>
            </w:pPr>
            <w:r>
              <w:rPr>
                <w:spacing w:val="-1"/>
              </w:rPr>
              <w:t>组织应建立基于事件的数</w:t>
            </w:r>
          </w:p>
          <w:p>
            <w:pPr>
              <w:pStyle w:val="TableText"/>
              <w:ind w:left="127" w:right="48"/>
              <w:spacing w:before="101" w:line="299" w:lineRule="auto"/>
              <w:rPr/>
            </w:pPr>
            <w:r>
              <w:rPr>
                <w:spacing w:val="-1"/>
              </w:rPr>
              <w:t>据清洗机制，可以是自动的，</w:t>
            </w:r>
            <w:r>
              <w:rPr>
                <w:spacing w:val="7"/>
              </w:rPr>
              <w:t xml:space="preserve"> </w:t>
            </w:r>
            <w:r>
              <w:rPr>
                <w:spacing w:val="-1"/>
              </w:rPr>
              <w:t>也可以是手动的，以减少事件</w:t>
            </w:r>
            <w:r>
              <w:rPr>
                <w:spacing w:val="3"/>
              </w:rPr>
              <w:t xml:space="preserve"> </w:t>
            </w:r>
            <w:r>
              <w:rPr>
                <w:spacing w:val="1"/>
              </w:rPr>
              <w:t>带来的数据质量影响</w:t>
            </w:r>
          </w:p>
        </w:tc>
      </w:tr>
      <w:tr>
        <w:trPr>
          <w:trHeight w:val="849" w:hRule="atLeast"/>
        </w:trPr>
        <w:tc>
          <w:tcPr>
            <w:tcW w:w="1363" w:type="dxa"/>
            <w:vAlign w:val="top"/>
            <w:vMerge w:val="continue"/>
            <w:tcBorders>
              <w:top w:val="nil"/>
              <w:bottom w:val="nil"/>
            </w:tcBorders>
          </w:tcPr>
          <w:p>
            <w:pPr>
              <w:rPr>
                <w:rFonts w:ascii="Arial"/>
                <w:sz w:val="21"/>
              </w:rPr>
            </w:pPr>
            <w:r/>
          </w:p>
        </w:tc>
        <w:tc>
          <w:tcPr>
            <w:tcW w:w="1927" w:type="dxa"/>
            <w:vAlign w:val="top"/>
            <w:vMerge w:val="continue"/>
            <w:tcBorders>
              <w:top w:val="nil"/>
            </w:tcBorders>
          </w:tcPr>
          <w:p>
            <w:pPr>
              <w:rPr>
                <w:rFonts w:ascii="Arial"/>
                <w:sz w:val="21"/>
              </w:rPr>
            </w:pPr>
            <w:r/>
          </w:p>
        </w:tc>
        <w:tc>
          <w:tcPr>
            <w:tcW w:w="2157" w:type="dxa"/>
            <w:vAlign w:val="top"/>
          </w:tcPr>
          <w:p>
            <w:pPr>
              <w:pStyle w:val="TableText"/>
              <w:ind w:left="114" w:right="233" w:firstLine="149"/>
              <w:spacing w:before="224" w:line="282" w:lineRule="auto"/>
              <w:rPr/>
            </w:pPr>
            <w:r>
              <w:rPr>
                <w:spacing w:val="-1"/>
              </w:rPr>
              <w:t>M18:数据清洗的结果，用</w:t>
            </w:r>
            <w:r>
              <w:rPr>
                <w:spacing w:val="10"/>
              </w:rPr>
              <w:t xml:space="preserve"> </w:t>
            </w:r>
            <w:r>
              <w:rPr>
                <w:spacing w:val="-1"/>
              </w:rPr>
              <w:t>于数据质量改进流程</w:t>
            </w:r>
          </w:p>
        </w:tc>
        <w:tc>
          <w:tcPr>
            <w:tcW w:w="2132" w:type="dxa"/>
            <w:vAlign w:val="top"/>
          </w:tcPr>
          <w:p>
            <w:pPr>
              <w:pStyle w:val="TableText"/>
              <w:ind w:left="127" w:right="49" w:firstLine="140"/>
              <w:spacing w:before="94" w:line="303" w:lineRule="auto"/>
              <w:jc w:val="both"/>
              <w:rPr/>
            </w:pPr>
            <w:r>
              <w:rPr>
                <w:spacing w:val="-1"/>
              </w:rPr>
              <w:t>将数据清洗的结果，作为数</w:t>
            </w:r>
            <w:r>
              <w:rPr>
                <w:spacing w:val="6"/>
              </w:rPr>
              <w:t xml:space="preserve"> </w:t>
            </w:r>
            <w:r>
              <w:rPr>
                <w:spacing w:val="-1"/>
              </w:rPr>
              <w:t>据质量改进流程的输入，以指</w:t>
            </w:r>
            <w:r>
              <w:rPr>
                <w:spacing w:val="6"/>
              </w:rPr>
              <w:t xml:space="preserve"> </w:t>
            </w:r>
            <w:r>
              <w:rPr>
                <w:spacing w:val="-1"/>
              </w:rPr>
              <w:t>导数据质量不断优化和改进</w:t>
            </w:r>
          </w:p>
        </w:tc>
      </w:tr>
      <w:tr>
        <w:trPr>
          <w:trHeight w:val="844" w:hRule="atLeast"/>
        </w:trPr>
        <w:tc>
          <w:tcPr>
            <w:tcW w:w="1363" w:type="dxa"/>
            <w:vAlign w:val="top"/>
            <w:vMerge w:val="continue"/>
            <w:tcBorders>
              <w:top w:val="nil"/>
            </w:tcBorders>
          </w:tcPr>
          <w:p>
            <w:pPr>
              <w:rPr>
                <w:rFonts w:ascii="Arial"/>
                <w:sz w:val="21"/>
              </w:rPr>
            </w:pPr>
            <w:r/>
          </w:p>
        </w:tc>
        <w:tc>
          <w:tcPr>
            <w:tcW w:w="1927" w:type="dxa"/>
            <w:vAlign w:val="top"/>
          </w:tcPr>
          <w:p>
            <w:pPr>
              <w:pStyle w:val="TableText"/>
              <w:ind w:left="101" w:right="150" w:firstLine="140"/>
              <w:spacing w:before="64" w:line="312" w:lineRule="auto"/>
              <w:rPr/>
            </w:pPr>
            <w:r>
              <w:rPr>
                <w:spacing w:val="-1"/>
              </w:rPr>
              <w:t>Q7:是否将数据清洗过</w:t>
            </w:r>
            <w:r>
              <w:rPr>
                <w:spacing w:val="2"/>
              </w:rPr>
              <w:t xml:space="preserve">  </w:t>
            </w:r>
            <w:r>
              <w:rPr>
                <w:spacing w:val="1"/>
              </w:rPr>
              <w:t>程贯彻到根本原因分析活</w:t>
            </w:r>
            <w:r>
              <w:rPr>
                <w:spacing w:val="2"/>
              </w:rPr>
              <w:t xml:space="preserve"> </w:t>
            </w:r>
            <w:r>
              <w:rPr>
                <w:spacing w:val="8"/>
              </w:rPr>
              <w:t>动中</w:t>
            </w:r>
          </w:p>
        </w:tc>
        <w:tc>
          <w:tcPr>
            <w:tcW w:w="2157" w:type="dxa"/>
            <w:vAlign w:val="top"/>
          </w:tcPr>
          <w:p>
            <w:pPr>
              <w:pStyle w:val="TableText"/>
              <w:ind w:left="114" w:right="238" w:firstLine="139"/>
              <w:spacing w:before="236" w:line="275" w:lineRule="auto"/>
              <w:rPr/>
            </w:pPr>
            <w:r>
              <w:rPr>
                <w:spacing w:val="-1"/>
              </w:rPr>
              <w:t>M19:基于数据清洗的过程</w:t>
            </w:r>
            <w:r>
              <w:rPr>
                <w:spacing w:val="10"/>
              </w:rPr>
              <w:t xml:space="preserve"> </w:t>
            </w:r>
            <w:r>
              <w:rPr>
                <w:spacing w:val="-1"/>
              </w:rPr>
              <w:t>和结果，进行根本原因分析</w:t>
            </w:r>
          </w:p>
        </w:tc>
        <w:tc>
          <w:tcPr>
            <w:tcW w:w="2132" w:type="dxa"/>
            <w:vAlign w:val="top"/>
          </w:tcPr>
          <w:p>
            <w:pPr>
              <w:pStyle w:val="TableText"/>
              <w:ind w:left="278"/>
              <w:spacing w:before="96" w:line="219" w:lineRule="auto"/>
              <w:rPr/>
            </w:pPr>
            <w:r>
              <w:rPr>
                <w:spacing w:val="-1"/>
              </w:rPr>
              <w:t>针对数据清洗的结果和过</w:t>
            </w:r>
          </w:p>
          <w:p>
            <w:pPr>
              <w:pStyle w:val="TableText"/>
              <w:ind w:left="118" w:right="59"/>
              <w:spacing w:before="102" w:line="281" w:lineRule="auto"/>
              <w:rPr/>
            </w:pPr>
            <w:r>
              <w:rPr>
                <w:spacing w:val="-1"/>
              </w:rPr>
              <w:t>程，进行原因分析，找到影响</w:t>
            </w:r>
            <w:r>
              <w:rPr>
                <w:spacing w:val="6"/>
              </w:rPr>
              <w:t xml:space="preserve"> </w:t>
            </w:r>
            <w:r>
              <w:rPr>
                <w:spacing w:val="1"/>
              </w:rPr>
              <w:t>数据质量的根本原因</w:t>
            </w:r>
          </w:p>
        </w:tc>
      </w:tr>
    </w:tbl>
    <w:p>
      <w:pPr>
        <w:pStyle w:val="BodyText"/>
        <w:rPr/>
      </w:pPr>
      <w:r/>
    </w:p>
    <w:p>
      <w:pPr>
        <w:sectPr>
          <w:footerReference w:type="default" r:id="rId288"/>
          <w:pgSz w:w="8870" w:h="13400"/>
          <w:pgMar w:top="400" w:right="545" w:bottom="532" w:left="440" w:header="0" w:footer="303" w:gutter="0"/>
        </w:sectPr>
        <w:rPr/>
      </w:pPr>
    </w:p>
    <w:p>
      <w:pPr>
        <w:ind w:left="5468"/>
        <w:spacing w:before="184" w:line="631" w:lineRule="exact"/>
        <w:rPr>
          <w:rFonts w:ascii="SimSun" w:hAnsi="SimSun" w:eastAsia="SimSun" w:cs="SimSun"/>
          <w:sz w:val="22"/>
          <w:szCs w:val="22"/>
        </w:rPr>
      </w:pPr>
      <w:r>
        <w:rPr>
          <w:rFonts w:ascii="SimSun" w:hAnsi="SimSun" w:eastAsia="SimSun" w:cs="SimSun"/>
          <w:sz w:val="22"/>
          <w:szCs w:val="22"/>
          <w:b/>
          <w:bCs/>
          <w:spacing w:val="5"/>
          <w:position w:val="32"/>
        </w:rPr>
        <w:t>第6章■云端数据质量</w:t>
      </w:r>
    </w:p>
    <w:p>
      <w:pPr>
        <w:ind w:left="681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59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17"/>
        <w:gridCol w:w="2167"/>
        <w:gridCol w:w="2152"/>
      </w:tblGrid>
      <w:tr>
        <w:trPr>
          <w:trHeight w:val="324" w:hRule="atLeast"/>
        </w:trPr>
        <w:tc>
          <w:tcPr>
            <w:tcW w:w="1363" w:type="dxa"/>
            <w:vAlign w:val="top"/>
          </w:tcPr>
          <w:p>
            <w:pPr>
              <w:pStyle w:val="TableText"/>
              <w:ind w:left="404"/>
              <w:spacing w:before="91" w:line="220" w:lineRule="auto"/>
              <w:rPr/>
            </w:pPr>
            <w:r>
              <w:rPr>
                <w:spacing w:val="-18"/>
              </w:rPr>
              <w:t>目</w:t>
            </w:r>
            <w:r>
              <w:rPr>
                <w:spacing w:val="17"/>
              </w:rPr>
              <w:t xml:space="preserve">   </w:t>
            </w:r>
            <w:r>
              <w:rPr>
                <w:spacing w:val="-18"/>
              </w:rPr>
              <w:t>标</w:t>
            </w:r>
          </w:p>
        </w:tc>
        <w:tc>
          <w:tcPr>
            <w:tcW w:w="1917" w:type="dxa"/>
            <w:vAlign w:val="top"/>
          </w:tcPr>
          <w:p>
            <w:pPr>
              <w:pStyle w:val="TableText"/>
              <w:ind w:left="661"/>
              <w:spacing w:before="93" w:line="221" w:lineRule="auto"/>
              <w:rPr/>
            </w:pPr>
            <w:r>
              <w:rPr>
                <w:spacing w:val="-12"/>
              </w:rPr>
              <w:t>问</w:t>
            </w:r>
            <w:r>
              <w:rPr>
                <w:spacing w:val="10"/>
              </w:rPr>
              <w:t xml:space="preserve">   </w:t>
            </w:r>
            <w:r>
              <w:rPr>
                <w:spacing w:val="-12"/>
              </w:rPr>
              <w:t>题</w:t>
            </w:r>
          </w:p>
        </w:tc>
        <w:tc>
          <w:tcPr>
            <w:tcW w:w="2167" w:type="dxa"/>
            <w:vAlign w:val="top"/>
          </w:tcPr>
          <w:p>
            <w:pPr>
              <w:pStyle w:val="TableText"/>
              <w:ind w:left="715"/>
              <w:spacing w:before="9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2152" w:type="dxa"/>
            <w:vAlign w:val="top"/>
          </w:tcPr>
          <w:p>
            <w:pPr>
              <w:pStyle w:val="TableText"/>
              <w:ind w:left="698"/>
              <w:spacing w:before="91" w:line="219" w:lineRule="auto"/>
              <w:rPr/>
            </w:pPr>
            <w:r>
              <w:rPr>
                <w:spacing w:val="3"/>
              </w:rPr>
              <w:t>度量项说明</w:t>
            </w:r>
          </w:p>
        </w:tc>
      </w:tr>
      <w:tr>
        <w:trPr>
          <w:trHeight w:val="1128" w:hRule="atLeast"/>
        </w:trPr>
        <w:tc>
          <w:tcPr>
            <w:tcW w:w="1363" w:type="dxa"/>
            <w:vAlign w:val="top"/>
            <w:vMerge w:val="restart"/>
            <w:tcBorders>
              <w:bottom w:val="nil"/>
            </w:tcBorders>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94" w:right="81" w:firstLine="149"/>
              <w:spacing w:before="49" w:line="303" w:lineRule="auto"/>
              <w:rPr/>
            </w:pPr>
            <w:r>
              <w:rPr>
                <w:spacing w:val="28"/>
              </w:rPr>
              <w:t>G2:建立并维</w:t>
            </w:r>
            <w:r>
              <w:rPr>
                <w:spacing w:val="4"/>
              </w:rPr>
              <w:t xml:space="preserve"> </w:t>
            </w:r>
            <w:r>
              <w:rPr>
                <w:spacing w:val="6"/>
              </w:rPr>
              <w:t>护标准的数据清</w:t>
            </w:r>
            <w:r>
              <w:rPr/>
              <w:t xml:space="preserve">  </w:t>
            </w:r>
            <w:r>
              <w:rPr>
                <w:spacing w:val="-2"/>
              </w:rPr>
              <w:t>洗过程</w:t>
            </w:r>
          </w:p>
        </w:tc>
        <w:tc>
          <w:tcPr>
            <w:tcW w:w="1917" w:type="dxa"/>
            <w:vAlign w:val="top"/>
            <w:vMerge w:val="restart"/>
            <w:tcBorders>
              <w:bottom w:val="nil"/>
            </w:tcBorders>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92" w:right="170" w:firstLine="169"/>
              <w:spacing w:before="49" w:line="303" w:lineRule="auto"/>
              <w:jc w:val="both"/>
              <w:rPr/>
            </w:pPr>
            <w:r>
              <w:rPr>
                <w:spacing w:val="-1"/>
              </w:rPr>
              <w:t>Q8:在哪些过程中确认 </w:t>
            </w:r>
            <w:r>
              <w:rPr>
                <w:spacing w:val="-1"/>
              </w:rPr>
              <w:t>修改以及评估数据清洗的</w:t>
            </w:r>
            <w:r>
              <w:rPr>
                <w:spacing w:val="4"/>
              </w:rPr>
              <w:t xml:space="preserve"> </w:t>
            </w:r>
            <w:r>
              <w:rPr>
                <w:spacing w:val="-2"/>
              </w:rPr>
              <w:t>有效性</w:t>
            </w:r>
          </w:p>
        </w:tc>
        <w:tc>
          <w:tcPr>
            <w:tcW w:w="2167" w:type="dxa"/>
            <w:vAlign w:val="top"/>
          </w:tcPr>
          <w:p>
            <w:pPr>
              <w:spacing w:line="436" w:lineRule="auto"/>
              <w:rPr>
                <w:rFonts w:ascii="Arial"/>
                <w:sz w:val="21"/>
              </w:rPr>
            </w:pPr>
            <w:r/>
          </w:p>
          <w:p>
            <w:pPr>
              <w:pStyle w:val="TableText"/>
              <w:ind w:left="84"/>
              <w:spacing w:before="48" w:line="220" w:lineRule="auto"/>
              <w:rPr/>
            </w:pPr>
            <w:r>
              <w:rPr>
                <w:spacing w:val="-1"/>
              </w:rPr>
              <w:t>M20:监督过程</w:t>
            </w:r>
          </w:p>
        </w:tc>
        <w:tc>
          <w:tcPr>
            <w:tcW w:w="2152" w:type="dxa"/>
            <w:vAlign w:val="top"/>
          </w:tcPr>
          <w:p>
            <w:pPr>
              <w:pStyle w:val="TableText"/>
              <w:ind w:left="97" w:right="79" w:firstLine="170"/>
              <w:spacing w:before="86" w:line="308" w:lineRule="auto"/>
              <w:rPr/>
            </w:pPr>
            <w:r>
              <w:rPr>
                <w:spacing w:val="-1"/>
              </w:rPr>
              <w:t>在对数据的处理过程中，通</w:t>
            </w:r>
            <w:r>
              <w:rPr>
                <w:spacing w:val="5"/>
              </w:rPr>
              <w:t xml:space="preserve"> </w:t>
            </w:r>
            <w:r>
              <w:rPr>
                <w:spacing w:val="5"/>
              </w:rPr>
              <w:t>过监督数据使用的效率和数</w:t>
            </w:r>
            <w:r>
              <w:rPr>
                <w:spacing w:val="1"/>
              </w:rPr>
              <w:t xml:space="preserve">  </w:t>
            </w:r>
            <w:r>
              <w:rPr>
                <w:spacing w:val="-1"/>
              </w:rPr>
              <w:t>值分布，确认数据清洗的有效</w:t>
            </w:r>
            <w:r>
              <w:rPr>
                <w:spacing w:val="6"/>
              </w:rPr>
              <w:t xml:space="preserve"> </w:t>
            </w:r>
            <w:r>
              <w:rPr>
                <w:spacing w:val="22"/>
              </w:rPr>
              <w:t>性</w:t>
            </w:r>
          </w:p>
        </w:tc>
      </w:tr>
      <w:tr>
        <w:trPr>
          <w:trHeight w:val="829" w:hRule="atLeast"/>
        </w:trPr>
        <w:tc>
          <w:tcPr>
            <w:tcW w:w="1363" w:type="dxa"/>
            <w:vAlign w:val="top"/>
            <w:vMerge w:val="continue"/>
            <w:tcBorders>
              <w:top w:val="nil"/>
              <w:bottom w:val="nil"/>
            </w:tcBorders>
          </w:tcPr>
          <w:p>
            <w:pPr>
              <w:rPr>
                <w:rFonts w:ascii="Arial"/>
                <w:sz w:val="21"/>
              </w:rPr>
            </w:pPr>
            <w:r/>
          </w:p>
        </w:tc>
        <w:tc>
          <w:tcPr>
            <w:tcW w:w="1917" w:type="dxa"/>
            <w:vAlign w:val="top"/>
            <w:vMerge w:val="continue"/>
            <w:tcBorders>
              <w:top w:val="nil"/>
              <w:bottom w:val="nil"/>
            </w:tcBorders>
          </w:tcPr>
          <w:p>
            <w:pPr>
              <w:rPr>
                <w:rFonts w:ascii="Arial"/>
                <w:sz w:val="21"/>
              </w:rPr>
            </w:pPr>
            <w:r/>
          </w:p>
        </w:tc>
        <w:tc>
          <w:tcPr>
            <w:tcW w:w="2167" w:type="dxa"/>
            <w:vAlign w:val="top"/>
          </w:tcPr>
          <w:p>
            <w:pPr>
              <w:spacing w:line="289" w:lineRule="auto"/>
              <w:rPr>
                <w:rFonts w:ascii="Arial"/>
                <w:sz w:val="21"/>
              </w:rPr>
            </w:pPr>
            <w:r/>
          </w:p>
          <w:p>
            <w:pPr>
              <w:pStyle w:val="TableText"/>
              <w:ind w:left="84"/>
              <w:spacing w:before="48" w:line="220" w:lineRule="auto"/>
              <w:rPr/>
            </w:pPr>
            <w:r>
              <w:rPr>
                <w:spacing w:val="-1"/>
              </w:rPr>
              <w:t>M21:测试过程</w:t>
            </w:r>
          </w:p>
        </w:tc>
        <w:tc>
          <w:tcPr>
            <w:tcW w:w="2152" w:type="dxa"/>
            <w:vAlign w:val="top"/>
          </w:tcPr>
          <w:p>
            <w:pPr>
              <w:pStyle w:val="TableText"/>
              <w:ind w:left="247"/>
              <w:spacing w:before="79" w:line="219" w:lineRule="auto"/>
              <w:rPr/>
            </w:pPr>
            <w:r>
              <w:rPr>
                <w:spacing w:val="-1"/>
              </w:rPr>
              <w:t>通过测试数据应用的性能</w:t>
            </w:r>
          </w:p>
          <w:p>
            <w:pPr>
              <w:pStyle w:val="TableText"/>
              <w:ind w:left="117" w:right="100" w:hanging="20"/>
              <w:spacing w:before="101" w:line="276" w:lineRule="auto"/>
              <w:rPr/>
            </w:pPr>
            <w:r>
              <w:rPr>
                <w:spacing w:val="-1"/>
              </w:rPr>
              <w:t>和测量数据质量的度量项，确</w:t>
            </w:r>
            <w:r>
              <w:rPr>
                <w:spacing w:val="5"/>
              </w:rPr>
              <w:t xml:space="preserve"> </w:t>
            </w:r>
            <w:r>
              <w:rPr>
                <w:spacing w:val="-1"/>
              </w:rPr>
              <w:t>认数据清洗的有效性</w:t>
            </w:r>
          </w:p>
        </w:tc>
      </w:tr>
      <w:tr>
        <w:trPr>
          <w:trHeight w:val="849" w:hRule="atLeast"/>
        </w:trPr>
        <w:tc>
          <w:tcPr>
            <w:tcW w:w="1363" w:type="dxa"/>
            <w:vAlign w:val="top"/>
            <w:vMerge w:val="continue"/>
            <w:tcBorders>
              <w:top w:val="nil"/>
            </w:tcBorders>
          </w:tcPr>
          <w:p>
            <w:pPr>
              <w:rPr>
                <w:rFonts w:ascii="Arial"/>
                <w:sz w:val="21"/>
              </w:rPr>
            </w:pPr>
            <w:r/>
          </w:p>
        </w:tc>
        <w:tc>
          <w:tcPr>
            <w:tcW w:w="1917" w:type="dxa"/>
            <w:vAlign w:val="top"/>
            <w:vMerge w:val="continue"/>
            <w:tcBorders>
              <w:top w:val="nil"/>
            </w:tcBorders>
          </w:tcPr>
          <w:p>
            <w:pPr>
              <w:rPr>
                <w:rFonts w:ascii="Arial"/>
                <w:sz w:val="21"/>
              </w:rPr>
            </w:pPr>
            <w:r/>
          </w:p>
        </w:tc>
        <w:tc>
          <w:tcPr>
            <w:tcW w:w="2167" w:type="dxa"/>
            <w:vAlign w:val="top"/>
          </w:tcPr>
          <w:p>
            <w:pPr>
              <w:spacing w:line="298" w:lineRule="auto"/>
              <w:rPr>
                <w:rFonts w:ascii="Arial"/>
                <w:sz w:val="21"/>
              </w:rPr>
            </w:pPr>
            <w:r/>
          </w:p>
          <w:p>
            <w:pPr>
              <w:pStyle w:val="TableText"/>
              <w:ind w:left="274"/>
              <w:spacing w:before="49" w:line="219" w:lineRule="auto"/>
              <w:rPr/>
            </w:pPr>
            <w:r>
              <w:rPr>
                <w:spacing w:val="-1"/>
              </w:rPr>
              <w:t>M22:产品/服务提供过程</w:t>
            </w:r>
          </w:p>
        </w:tc>
        <w:tc>
          <w:tcPr>
            <w:tcW w:w="2152" w:type="dxa"/>
            <w:vAlign w:val="top"/>
          </w:tcPr>
          <w:p>
            <w:pPr>
              <w:pStyle w:val="TableText"/>
              <w:ind w:left="97" w:right="79" w:firstLine="170"/>
              <w:spacing w:before="88" w:line="304" w:lineRule="auto"/>
              <w:rPr/>
            </w:pPr>
            <w:r>
              <w:rPr>
                <w:spacing w:val="-1"/>
              </w:rPr>
              <w:t>通过服务满意度、产品提供</w:t>
            </w:r>
            <w:r>
              <w:rPr>
                <w:spacing w:val="5"/>
              </w:rPr>
              <w:t xml:space="preserve"> </w:t>
            </w:r>
            <w:r>
              <w:rPr>
                <w:spacing w:val="6"/>
              </w:rPr>
              <w:t>的有效性等确认数据清洗的</w:t>
            </w:r>
            <w:r>
              <w:rPr>
                <w:spacing w:val="4"/>
              </w:rPr>
              <w:t xml:space="preserve">  </w:t>
            </w:r>
            <w:r>
              <w:rPr>
                <w:spacing w:val="-2"/>
              </w:rPr>
              <w:t>有效性</w:t>
            </w:r>
          </w:p>
        </w:tc>
      </w:tr>
      <w:tr>
        <w:trPr>
          <w:trHeight w:val="1677" w:hRule="atLeast"/>
        </w:trPr>
        <w:tc>
          <w:tcPr>
            <w:tcW w:w="1363" w:type="dxa"/>
            <w:vAlign w:val="top"/>
            <w:vMerge w:val="restart"/>
            <w:tcBorders>
              <w:bottom w:val="nil"/>
            </w:tcBorders>
          </w:tcPr>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144" w:right="92" w:firstLine="109"/>
              <w:spacing w:before="48" w:line="303" w:lineRule="auto"/>
              <w:jc w:val="both"/>
              <w:rPr/>
            </w:pPr>
            <w:r>
              <w:rPr>
                <w:spacing w:val="25"/>
              </w:rPr>
              <w:t>G3:数据清洗</w:t>
            </w:r>
            <w:r>
              <w:rPr>
                <w:spacing w:val="4"/>
              </w:rPr>
              <w:t xml:space="preserve"> </w:t>
            </w:r>
            <w:r>
              <w:rPr>
                <w:spacing w:val="-1"/>
              </w:rPr>
              <w:t>过程有效支撑业</w:t>
            </w:r>
            <w:r>
              <w:rPr/>
              <w:t xml:space="preserve">  </w:t>
            </w:r>
            <w:r>
              <w:rPr>
                <w:spacing w:val="-1"/>
              </w:rPr>
              <w:t>务和组织的发展</w:t>
            </w:r>
          </w:p>
        </w:tc>
        <w:tc>
          <w:tcPr>
            <w:tcW w:w="1917" w:type="dxa"/>
            <w:vAlign w:val="top"/>
          </w:tcPr>
          <w:p>
            <w:pPr>
              <w:spacing w:line="459" w:lineRule="auto"/>
              <w:rPr>
                <w:rFonts w:ascii="Arial"/>
                <w:sz w:val="21"/>
              </w:rPr>
            </w:pPr>
            <w:r/>
          </w:p>
          <w:p>
            <w:pPr>
              <w:pStyle w:val="TableText"/>
              <w:ind w:left="111" w:right="152" w:firstLine="140"/>
              <w:spacing w:before="48" w:line="303" w:lineRule="auto"/>
              <w:rPr/>
            </w:pPr>
            <w:r>
              <w:rPr>
                <w:spacing w:val="-1"/>
              </w:rPr>
              <w:t>Q9:投资回报率是否被</w:t>
            </w:r>
            <w:r>
              <w:rPr>
                <w:spacing w:val="2"/>
              </w:rPr>
              <w:t xml:space="preserve">  </w:t>
            </w:r>
            <w:r>
              <w:rPr>
                <w:spacing w:val="-1"/>
              </w:rPr>
              <w:t>纳入到数据清洗的成本计</w:t>
            </w:r>
            <w:r>
              <w:rPr>
                <w:spacing w:val="2"/>
              </w:rPr>
              <w:t xml:space="preserve"> </w:t>
            </w:r>
            <w:r>
              <w:rPr/>
              <w:t>算</w:t>
            </w:r>
          </w:p>
        </w:tc>
        <w:tc>
          <w:tcPr>
            <w:tcW w:w="2167" w:type="dxa"/>
            <w:vAlign w:val="top"/>
          </w:tcPr>
          <w:p>
            <w:pPr>
              <w:spacing w:line="289" w:lineRule="auto"/>
              <w:rPr>
                <w:rFonts w:ascii="Arial"/>
                <w:sz w:val="21"/>
              </w:rPr>
            </w:pPr>
            <w:r/>
          </w:p>
          <w:p>
            <w:pPr>
              <w:spacing w:line="290" w:lineRule="auto"/>
              <w:rPr>
                <w:rFonts w:ascii="Arial"/>
                <w:sz w:val="21"/>
              </w:rPr>
            </w:pPr>
            <w:r/>
          </w:p>
          <w:p>
            <w:pPr>
              <w:pStyle w:val="TableText"/>
              <w:ind w:left="84" w:right="263" w:firstLine="160"/>
              <w:spacing w:before="48" w:line="281" w:lineRule="auto"/>
              <w:rPr/>
            </w:pPr>
            <w:r>
              <w:rPr>
                <w:spacing w:val="-1"/>
              </w:rPr>
              <w:t>M23:计算投资回报率与数</w:t>
            </w:r>
            <w:r>
              <w:rPr>
                <w:spacing w:val="10"/>
              </w:rPr>
              <w:t xml:space="preserve"> </w:t>
            </w:r>
            <w:r>
              <w:rPr>
                <w:spacing w:val="-1"/>
              </w:rPr>
              <w:t>据清洗成本的关系</w:t>
            </w:r>
          </w:p>
        </w:tc>
        <w:tc>
          <w:tcPr>
            <w:tcW w:w="2152" w:type="dxa"/>
            <w:vAlign w:val="top"/>
          </w:tcPr>
          <w:p>
            <w:pPr>
              <w:pStyle w:val="TableText"/>
              <w:ind w:left="247"/>
              <w:spacing w:before="81" w:line="219" w:lineRule="auto"/>
              <w:rPr/>
            </w:pPr>
            <w:r>
              <w:rPr>
                <w:spacing w:val="-1"/>
              </w:rPr>
              <w:t>组织数据清洗需要投入人</w:t>
            </w:r>
          </w:p>
          <w:p>
            <w:pPr>
              <w:pStyle w:val="TableText"/>
              <w:ind w:left="97" w:right="59"/>
              <w:spacing w:before="103" w:line="321" w:lineRule="auto"/>
              <w:rPr/>
            </w:pPr>
            <w:r>
              <w:rPr>
                <w:spacing w:val="-2"/>
              </w:rPr>
              <w:t>力、物力和财力，应建立投资 </w:t>
            </w:r>
            <w:r>
              <w:rPr>
                <w:spacing w:val="2"/>
              </w:rPr>
              <w:t>回报和数据清洗成本的关系，</w:t>
            </w:r>
            <w:r>
              <w:rPr>
                <w:spacing w:val="8"/>
              </w:rPr>
              <w:t xml:space="preserve"> </w:t>
            </w:r>
            <w:r>
              <w:rPr>
                <w:spacing w:val="3"/>
              </w:rPr>
              <w:t>让组织管理层了解数据清洗  </w:t>
            </w:r>
            <w:r>
              <w:rPr/>
              <w:t>的回报，提高对数据质量的认</w:t>
            </w:r>
            <w:r>
              <w:rPr>
                <w:spacing w:val="6"/>
              </w:rPr>
              <w:t xml:space="preserve"> </w:t>
            </w:r>
            <w:r>
              <w:rPr>
                <w:spacing w:val="24"/>
              </w:rPr>
              <w:t>证</w:t>
            </w:r>
          </w:p>
        </w:tc>
      </w:tr>
      <w:tr>
        <w:trPr>
          <w:trHeight w:val="849" w:hRule="atLeast"/>
        </w:trPr>
        <w:tc>
          <w:tcPr>
            <w:tcW w:w="1363" w:type="dxa"/>
            <w:vAlign w:val="top"/>
            <w:vMerge w:val="continue"/>
            <w:tcBorders>
              <w:top w:val="nil"/>
              <w:bottom w:val="nil"/>
            </w:tcBorders>
          </w:tcPr>
          <w:p>
            <w:pPr>
              <w:rPr>
                <w:rFonts w:ascii="Arial"/>
                <w:sz w:val="21"/>
              </w:rPr>
            </w:pPr>
            <w:r/>
          </w:p>
        </w:tc>
        <w:tc>
          <w:tcPr>
            <w:tcW w:w="1917" w:type="dxa"/>
            <w:vAlign w:val="top"/>
            <w:vMerge w:val="restart"/>
            <w:tcBorders>
              <w:bottom w:val="nil"/>
            </w:tcBorders>
          </w:tcPr>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TableText"/>
              <w:ind w:left="92" w:right="150" w:firstLine="160"/>
              <w:spacing w:before="49" w:line="295" w:lineRule="auto"/>
              <w:jc w:val="both"/>
              <w:rPr/>
            </w:pPr>
            <w:r>
              <w:rPr>
                <w:spacing w:val="-1"/>
              </w:rPr>
              <w:t>Q10:组织的哪些数据清</w:t>
            </w:r>
            <w:r>
              <w:rPr>
                <w:spacing w:val="6"/>
              </w:rPr>
              <w:t xml:space="preserve"> </w:t>
            </w:r>
            <w:r>
              <w:rPr>
                <w:spacing w:val="1"/>
              </w:rPr>
              <w:t>洗活动考虑了操作和信誉</w:t>
            </w:r>
            <w:r>
              <w:rPr>
                <w:spacing w:val="2"/>
              </w:rPr>
              <w:t xml:space="preserve"> </w:t>
            </w:r>
            <w:r>
              <w:rPr>
                <w:spacing w:val="-2"/>
              </w:rPr>
              <w:t>风险</w:t>
            </w:r>
          </w:p>
        </w:tc>
        <w:tc>
          <w:tcPr>
            <w:tcW w:w="2167" w:type="dxa"/>
            <w:vAlign w:val="top"/>
          </w:tcPr>
          <w:p>
            <w:pPr>
              <w:pStyle w:val="TableText"/>
              <w:ind w:left="84" w:right="243" w:firstLine="179"/>
              <w:spacing w:before="223" w:line="282" w:lineRule="auto"/>
              <w:rPr/>
            </w:pPr>
            <w:r>
              <w:rPr>
                <w:spacing w:val="-1"/>
              </w:rPr>
              <w:t>M24:数据合法性、合理性</w:t>
            </w:r>
            <w:r>
              <w:rPr>
                <w:spacing w:val="10"/>
              </w:rPr>
              <w:t xml:space="preserve"> </w:t>
            </w:r>
            <w:r>
              <w:rPr>
                <w:spacing w:val="-2"/>
              </w:rPr>
              <w:t>判断</w:t>
            </w:r>
          </w:p>
        </w:tc>
        <w:tc>
          <w:tcPr>
            <w:tcW w:w="2152" w:type="dxa"/>
            <w:vAlign w:val="top"/>
          </w:tcPr>
          <w:p>
            <w:pPr>
              <w:pStyle w:val="TableText"/>
              <w:ind w:left="247"/>
              <w:spacing w:before="93" w:line="219" w:lineRule="auto"/>
              <w:rPr/>
            </w:pPr>
            <w:r>
              <w:rPr>
                <w:spacing w:val="-1"/>
              </w:rPr>
              <w:t>组织数据清洗应首先考虑</w:t>
            </w:r>
          </w:p>
          <w:p>
            <w:pPr>
              <w:pStyle w:val="TableText"/>
              <w:ind w:left="117" w:right="100" w:hanging="20"/>
              <w:spacing w:before="102" w:line="276" w:lineRule="auto"/>
              <w:rPr/>
            </w:pPr>
            <w:r>
              <w:rPr>
                <w:spacing w:val="-1"/>
              </w:rPr>
              <w:t>合法性，其次考虑合理性以及</w:t>
            </w:r>
            <w:r>
              <w:rPr>
                <w:spacing w:val="5"/>
              </w:rPr>
              <w:t xml:space="preserve"> </w:t>
            </w:r>
            <w:r>
              <w:rPr>
                <w:spacing w:val="-1"/>
              </w:rPr>
              <w:t>操作的各种风险</w:t>
            </w:r>
          </w:p>
        </w:tc>
      </w:tr>
      <w:tr>
        <w:trPr>
          <w:trHeight w:val="849" w:hRule="atLeast"/>
        </w:trPr>
        <w:tc>
          <w:tcPr>
            <w:tcW w:w="1363" w:type="dxa"/>
            <w:vAlign w:val="top"/>
            <w:vMerge w:val="continue"/>
            <w:tcBorders>
              <w:top w:val="nil"/>
              <w:bottom w:val="nil"/>
            </w:tcBorders>
          </w:tcPr>
          <w:p>
            <w:pPr>
              <w:rPr>
                <w:rFonts w:ascii="Arial"/>
                <w:sz w:val="21"/>
              </w:rPr>
            </w:pPr>
            <w:r/>
          </w:p>
        </w:tc>
        <w:tc>
          <w:tcPr>
            <w:tcW w:w="1917" w:type="dxa"/>
            <w:vAlign w:val="top"/>
            <w:vMerge w:val="continue"/>
            <w:tcBorders>
              <w:top w:val="nil"/>
              <w:bottom w:val="nil"/>
            </w:tcBorders>
          </w:tcPr>
          <w:p>
            <w:pPr>
              <w:rPr>
                <w:rFonts w:ascii="Arial"/>
                <w:sz w:val="21"/>
              </w:rPr>
            </w:pPr>
            <w:r/>
          </w:p>
        </w:tc>
        <w:tc>
          <w:tcPr>
            <w:tcW w:w="2167" w:type="dxa"/>
            <w:vAlign w:val="top"/>
          </w:tcPr>
          <w:p>
            <w:pPr>
              <w:spacing w:line="304" w:lineRule="auto"/>
              <w:rPr>
                <w:rFonts w:ascii="Arial"/>
                <w:sz w:val="21"/>
              </w:rPr>
            </w:pPr>
            <w:r/>
          </w:p>
          <w:p>
            <w:pPr>
              <w:pStyle w:val="TableText"/>
              <w:ind w:left="84"/>
              <w:spacing w:before="49" w:line="219" w:lineRule="auto"/>
              <w:rPr/>
            </w:pPr>
            <w:r>
              <w:rPr>
                <w:spacing w:val="-1"/>
              </w:rPr>
              <w:t>M25:脏数据替换</w:t>
            </w:r>
          </w:p>
        </w:tc>
        <w:tc>
          <w:tcPr>
            <w:tcW w:w="2152" w:type="dxa"/>
            <w:vAlign w:val="top"/>
          </w:tcPr>
          <w:p>
            <w:pPr>
              <w:pStyle w:val="TableText"/>
              <w:ind w:left="247"/>
              <w:spacing w:before="83" w:line="218" w:lineRule="auto"/>
              <w:rPr/>
            </w:pPr>
            <w:r>
              <w:rPr>
                <w:spacing w:val="-1"/>
              </w:rPr>
              <w:t>组织数据清洗应评估脏数</w:t>
            </w:r>
          </w:p>
          <w:p>
            <w:pPr>
              <w:pStyle w:val="TableText"/>
              <w:ind w:left="126" w:right="99" w:hanging="29"/>
              <w:spacing w:before="93" w:line="283" w:lineRule="auto"/>
              <w:rPr/>
            </w:pPr>
            <w:r>
              <w:rPr>
                <w:spacing w:val="-1"/>
              </w:rPr>
              <w:t>据带来的风险，采取相应的处</w:t>
            </w:r>
            <w:r>
              <w:rPr>
                <w:spacing w:val="6"/>
              </w:rPr>
              <w:t xml:space="preserve"> </w:t>
            </w:r>
            <w:r>
              <w:rPr>
                <w:spacing w:val="-2"/>
              </w:rPr>
              <w:t>置措施</w:t>
            </w:r>
          </w:p>
        </w:tc>
      </w:tr>
      <w:tr>
        <w:trPr>
          <w:trHeight w:val="834" w:hRule="atLeast"/>
        </w:trPr>
        <w:tc>
          <w:tcPr>
            <w:tcW w:w="1363" w:type="dxa"/>
            <w:vAlign w:val="top"/>
            <w:vMerge w:val="continue"/>
            <w:tcBorders>
              <w:top w:val="nil"/>
            </w:tcBorders>
          </w:tcPr>
          <w:p>
            <w:pPr>
              <w:rPr>
                <w:rFonts w:ascii="Arial"/>
                <w:sz w:val="21"/>
              </w:rPr>
            </w:pPr>
            <w:r/>
          </w:p>
        </w:tc>
        <w:tc>
          <w:tcPr>
            <w:tcW w:w="1917" w:type="dxa"/>
            <w:vAlign w:val="top"/>
            <w:vMerge w:val="continue"/>
            <w:tcBorders>
              <w:top w:val="nil"/>
            </w:tcBorders>
          </w:tcPr>
          <w:p>
            <w:pPr>
              <w:rPr>
                <w:rFonts w:ascii="Arial"/>
                <w:sz w:val="21"/>
              </w:rPr>
            </w:pPr>
            <w:r/>
          </w:p>
        </w:tc>
        <w:tc>
          <w:tcPr>
            <w:tcW w:w="2167" w:type="dxa"/>
            <w:vAlign w:val="top"/>
          </w:tcPr>
          <w:p>
            <w:pPr>
              <w:spacing w:line="295" w:lineRule="auto"/>
              <w:rPr>
                <w:rFonts w:ascii="Arial"/>
                <w:sz w:val="21"/>
              </w:rPr>
            </w:pPr>
            <w:r/>
          </w:p>
          <w:p>
            <w:pPr>
              <w:pStyle w:val="TableText"/>
              <w:ind w:left="244"/>
              <w:spacing w:before="49" w:line="219" w:lineRule="auto"/>
              <w:rPr/>
            </w:pPr>
            <w:r>
              <w:rPr>
                <w:spacing w:val="-1"/>
              </w:rPr>
              <w:t>M26:数据的可用性范围</w:t>
            </w:r>
          </w:p>
        </w:tc>
        <w:tc>
          <w:tcPr>
            <w:tcW w:w="2152" w:type="dxa"/>
            <w:vAlign w:val="top"/>
          </w:tcPr>
          <w:p>
            <w:pPr>
              <w:pStyle w:val="TableText"/>
              <w:ind w:left="167" w:right="159" w:firstLine="80"/>
              <w:spacing w:before="85" w:line="303" w:lineRule="auto"/>
              <w:rPr/>
            </w:pPr>
            <w:r>
              <w:rPr>
                <w:spacing w:val="-1"/>
              </w:rPr>
              <w:t>组织应综合考虑数据的可</w:t>
            </w:r>
            <w:r>
              <w:rPr>
                <w:spacing w:val="1"/>
              </w:rPr>
              <w:t xml:space="preserve">  </w:t>
            </w:r>
            <w:r>
              <w:rPr>
                <w:spacing w:val="-1"/>
              </w:rPr>
              <w:t>用性、安全性和保密性的要</w:t>
            </w:r>
            <w:r>
              <w:rPr>
                <w:spacing w:val="3"/>
              </w:rPr>
              <w:t xml:space="preserve"> </w:t>
            </w:r>
            <w:r>
              <w:rPr>
                <w:spacing w:val="1"/>
              </w:rPr>
              <w:t>求，定义数据的可用性范围</w:t>
            </w:r>
          </w:p>
        </w:tc>
      </w:tr>
    </w:tbl>
    <w:p>
      <w:pPr>
        <w:ind w:left="418"/>
        <w:spacing w:before="197" w:line="482" w:lineRule="exact"/>
        <w:rPr>
          <w:rFonts w:ascii="YouYuan" w:hAnsi="YouYuan" w:eastAsia="YouYuan" w:cs="YouYuan"/>
          <w:sz w:val="22"/>
          <w:szCs w:val="22"/>
        </w:rPr>
      </w:pPr>
      <w:r>
        <w:rPr>
          <w:rFonts w:ascii="YouYuan" w:hAnsi="YouYuan" w:eastAsia="YouYuan" w:cs="YouYuan"/>
          <w:sz w:val="22"/>
          <w:szCs w:val="22"/>
          <w:b/>
          <w:bCs/>
          <w:spacing w:val="-1"/>
          <w:position w:val="19"/>
        </w:rPr>
        <w:t>3.</w:t>
      </w:r>
      <w:r>
        <w:rPr>
          <w:rFonts w:ascii="YouYuan" w:hAnsi="YouYuan" w:eastAsia="YouYuan" w:cs="YouYuan"/>
          <w:sz w:val="22"/>
          <w:szCs w:val="22"/>
          <w:spacing w:val="-14"/>
          <w:position w:val="19"/>
        </w:rPr>
        <w:t xml:space="preserve"> </w:t>
      </w:r>
      <w:r>
        <w:rPr>
          <w:rFonts w:ascii="YouYuan" w:hAnsi="YouYuan" w:eastAsia="YouYuan" w:cs="YouYuan"/>
          <w:sz w:val="22"/>
          <w:szCs w:val="22"/>
          <w:b/>
          <w:bCs/>
          <w:spacing w:val="-1"/>
          <w:position w:val="19"/>
        </w:rPr>
        <w:t>成熟度等级介绍</w:t>
      </w:r>
    </w:p>
    <w:p>
      <w:pPr>
        <w:ind w:left="414"/>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54"/>
        </w:rPr>
        <w:t xml:space="preserve"> </w:t>
      </w: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b/>
          <w:bCs/>
          <w:spacing w:val="29"/>
        </w:rPr>
        <w:t xml:space="preserve"> </w:t>
      </w:r>
      <w:r>
        <w:rPr>
          <w:rFonts w:ascii="SimHei" w:hAnsi="SimHei" w:eastAsia="SimHei" w:cs="SimHei"/>
          <w:sz w:val="22"/>
          <w:szCs w:val="22"/>
          <w:b/>
          <w:bCs/>
          <w:spacing w:val="-6"/>
        </w:rPr>
        <w:t>初始级</w:t>
      </w:r>
    </w:p>
    <w:p>
      <w:pPr>
        <w:spacing w:line="127" w:lineRule="exact"/>
        <w:rPr/>
      </w:pPr>
      <w:r/>
    </w:p>
    <w:tbl>
      <w:tblPr>
        <w:tblStyle w:val="TableNormal"/>
        <w:tblW w:w="7599"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12"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1"/>
              <w:spacing w:before="81" w:line="219" w:lineRule="auto"/>
              <w:rPr>
                <w:sz w:val="16"/>
                <w:szCs w:val="16"/>
              </w:rPr>
            </w:pPr>
            <w:r>
              <w:rPr>
                <w:sz w:val="16"/>
                <w:szCs w:val="16"/>
                <w:spacing w:val="-4"/>
              </w:rPr>
              <w:t>等 级 要 求</w:t>
            </w:r>
          </w:p>
        </w:tc>
        <w:tc>
          <w:tcPr>
            <w:tcW w:w="375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04" w:type="dxa"/>
            <w:vAlign w:val="top"/>
          </w:tcPr>
          <w:p>
            <w:pPr>
              <w:pStyle w:val="TableText"/>
              <w:ind w:left="224"/>
              <w:spacing w:before="250" w:line="184" w:lineRule="auto"/>
              <w:rPr>
                <w:sz w:val="16"/>
                <w:szCs w:val="16"/>
              </w:rPr>
            </w:pPr>
            <w:r>
              <w:rPr>
                <w:sz w:val="16"/>
                <w:szCs w:val="16"/>
                <w:spacing w:val="-5"/>
              </w:rPr>
              <w:t>1.1</w:t>
            </w:r>
          </w:p>
        </w:tc>
        <w:tc>
          <w:tcPr>
            <w:tcW w:w="3145" w:type="dxa"/>
            <w:vAlign w:val="top"/>
          </w:tcPr>
          <w:p>
            <w:pPr>
              <w:pStyle w:val="TableText"/>
              <w:ind w:left="271"/>
              <w:spacing w:before="209" w:line="219" w:lineRule="auto"/>
              <w:rPr>
                <w:sz w:val="16"/>
                <w:szCs w:val="16"/>
              </w:rPr>
            </w:pPr>
            <w:r>
              <w:rPr>
                <w:sz w:val="16"/>
                <w:szCs w:val="16"/>
              </w:rPr>
              <w:t>定义需求并执行数据清洗活动。</w:t>
            </w:r>
          </w:p>
        </w:tc>
        <w:tc>
          <w:tcPr>
            <w:tcW w:w="3750" w:type="dxa"/>
            <w:vAlign w:val="top"/>
          </w:tcPr>
          <w:p>
            <w:pPr>
              <w:pStyle w:val="TableText"/>
              <w:ind w:left="266"/>
              <w:spacing w:before="79" w:line="219" w:lineRule="auto"/>
              <w:rPr>
                <w:sz w:val="16"/>
                <w:szCs w:val="16"/>
              </w:rPr>
            </w:pPr>
            <w:r>
              <w:rPr>
                <w:sz w:val="16"/>
                <w:szCs w:val="16"/>
              </w:rPr>
              <w:t>●数据清洗的需求</w:t>
            </w:r>
          </w:p>
          <w:p>
            <w:pPr>
              <w:pStyle w:val="TableText"/>
              <w:ind w:left="266"/>
              <w:spacing w:before="90" w:line="219" w:lineRule="auto"/>
              <w:rPr>
                <w:sz w:val="16"/>
                <w:szCs w:val="16"/>
              </w:rPr>
            </w:pPr>
            <w:r>
              <w:rPr>
                <w:sz w:val="16"/>
                <w:szCs w:val="16"/>
                <w:spacing w:val="1"/>
              </w:rPr>
              <w:t>●数据清洗的指南</w:t>
            </w:r>
          </w:p>
        </w:tc>
      </w:tr>
    </w:tbl>
    <w:p>
      <w:pPr>
        <w:ind w:left="304"/>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4" w:right="135" w:firstLine="379"/>
        <w:spacing w:before="46" w:line="241" w:lineRule="auto"/>
        <w:rPr>
          <w:rFonts w:ascii="SimSun" w:hAnsi="SimSun" w:eastAsia="SimSun" w:cs="SimSun"/>
          <w:sz w:val="22"/>
          <w:szCs w:val="22"/>
        </w:rPr>
      </w:pPr>
      <w:r>
        <w:rPr>
          <w:rFonts w:ascii="SimSun" w:hAnsi="SimSun" w:eastAsia="SimSun" w:cs="SimSun"/>
          <w:sz w:val="22"/>
          <w:szCs w:val="22"/>
          <w:spacing w:val="-12"/>
        </w:rPr>
        <w:t>数据清洗是实现高质量数据的必经之路，数据质量的规</w:t>
      </w:r>
      <w:r>
        <w:rPr>
          <w:rFonts w:ascii="SimSun" w:hAnsi="SimSun" w:eastAsia="SimSun" w:cs="SimSun"/>
          <w:sz w:val="22"/>
          <w:szCs w:val="22"/>
          <w:spacing w:val="-13"/>
        </w:rPr>
        <w:t>则、数据之间的关联性，</w:t>
      </w:r>
      <w:r>
        <w:rPr>
          <w:rFonts w:ascii="SimSun" w:hAnsi="SimSun" w:eastAsia="SimSun" w:cs="SimSun"/>
          <w:sz w:val="22"/>
          <w:szCs w:val="22"/>
        </w:rPr>
        <w:t xml:space="preserve"> </w:t>
      </w:r>
      <w:r>
        <w:rPr>
          <w:rFonts w:ascii="SimSun" w:hAnsi="SimSun" w:eastAsia="SimSun" w:cs="SimSun"/>
          <w:sz w:val="22"/>
          <w:szCs w:val="22"/>
          <w:spacing w:val="-8"/>
        </w:rPr>
        <w:t>以及云端数据带来的多副本复杂性等都直接</w:t>
      </w:r>
      <w:r>
        <w:rPr>
          <w:rFonts w:ascii="SimSun" w:hAnsi="SimSun" w:eastAsia="SimSun" w:cs="SimSun"/>
          <w:sz w:val="22"/>
          <w:szCs w:val="22"/>
          <w:spacing w:val="-9"/>
        </w:rPr>
        <w:t>影响了数据清洗的效率。因此需要明确</w:t>
      </w:r>
      <w:r>
        <w:rPr>
          <w:rFonts w:ascii="SimSun" w:hAnsi="SimSun" w:eastAsia="SimSun" w:cs="SimSun"/>
          <w:sz w:val="22"/>
          <w:szCs w:val="22"/>
        </w:rPr>
        <w:t xml:space="preserve"> </w:t>
      </w:r>
      <w:r>
        <w:rPr>
          <w:rFonts w:ascii="SimSun" w:hAnsi="SimSun" w:eastAsia="SimSun" w:cs="SimSun"/>
          <w:sz w:val="22"/>
          <w:szCs w:val="22"/>
          <w:spacing w:val="-10"/>
        </w:rPr>
        <w:t>定义数据清洗的需求，依据具体的需求来执行数据清洗活动。</w:t>
      </w:r>
    </w:p>
    <w:p>
      <w:pPr>
        <w:spacing w:line="241" w:lineRule="auto"/>
        <w:sectPr>
          <w:footerReference w:type="default" r:id="rId290"/>
          <w:pgSz w:w="8870" w:h="13400"/>
          <w:pgMar w:top="400" w:right="584" w:bottom="575" w:left="465" w:header="0" w:footer="356" w:gutter="0"/>
        </w:sectPr>
        <w:rPr>
          <w:rFonts w:ascii="SimSun" w:hAnsi="SimSun" w:eastAsia="SimSun" w:cs="SimSun"/>
          <w:sz w:val="22"/>
          <w:szCs w:val="22"/>
        </w:rPr>
      </w:pPr>
    </w:p>
    <w:p>
      <w:pPr>
        <w:ind w:left="140"/>
        <w:spacing w:before="17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00" name="IM 200"/>
            <wp:cNvGraphicFramePr/>
            <a:graphic>
              <a:graphicData uri="http://schemas.openxmlformats.org/drawingml/2006/picture">
                <pic:pic>
                  <pic:nvPicPr>
                    <pic:cNvPr id="200" name="IM 200"/>
                    <pic:cNvPicPr/>
                  </pic:nvPicPr>
                  <pic:blipFill>
                    <a:blip r:embed="rId29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ind w:left="700"/>
        <w:spacing w:before="293"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32"/>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49"/>
          <w:w w:val="101"/>
        </w:rPr>
        <w:t xml:space="preserve"> </w:t>
      </w:r>
      <w:r>
        <w:rPr>
          <w:rFonts w:ascii="SimHei" w:hAnsi="SimHei" w:eastAsia="SimHei" w:cs="SimHei"/>
          <w:sz w:val="22"/>
          <w:szCs w:val="22"/>
          <w:b/>
          <w:bCs/>
          <w:spacing w:val="-3"/>
        </w:rPr>
        <w:t>管理级</w:t>
      </w:r>
    </w:p>
    <w:p>
      <w:pPr>
        <w:spacing w:line="127" w:lineRule="exact"/>
        <w:rPr/>
      </w:pPr>
      <w:r/>
    </w:p>
    <w:tbl>
      <w:tblPr>
        <w:tblStyle w:val="TableNormal"/>
        <w:tblW w:w="758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30"/>
      </w:tblGrid>
      <w:tr>
        <w:trPr>
          <w:trHeight w:val="312" w:hRule="atLeast"/>
        </w:trPr>
        <w:tc>
          <w:tcPr>
            <w:tcW w:w="714" w:type="dxa"/>
            <w:vAlign w:val="top"/>
          </w:tcPr>
          <w:p>
            <w:pPr>
              <w:pStyle w:val="TableText"/>
              <w:ind w:left="194"/>
              <w:spacing w:before="81" w:line="221" w:lineRule="auto"/>
              <w:rPr/>
            </w:pPr>
            <w:r>
              <w:rPr>
                <w:spacing w:val="-2"/>
              </w:rPr>
              <w:t>序号</w:t>
            </w:r>
          </w:p>
        </w:tc>
        <w:tc>
          <w:tcPr>
            <w:tcW w:w="3145" w:type="dxa"/>
            <w:vAlign w:val="top"/>
          </w:tcPr>
          <w:p>
            <w:pPr>
              <w:pStyle w:val="TableText"/>
              <w:ind w:left="1140"/>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37" w:hRule="atLeast"/>
        </w:trPr>
        <w:tc>
          <w:tcPr>
            <w:tcW w:w="714" w:type="dxa"/>
            <w:vAlign w:val="top"/>
          </w:tcPr>
          <w:p>
            <w:pPr>
              <w:spacing w:line="336" w:lineRule="auto"/>
              <w:rPr>
                <w:rFonts w:ascii="Arial"/>
                <w:sz w:val="21"/>
              </w:rPr>
            </w:pPr>
            <w:r/>
          </w:p>
          <w:p>
            <w:pPr>
              <w:pStyle w:val="TableText"/>
              <w:ind w:left="234"/>
              <w:spacing w:before="48" w:line="184" w:lineRule="auto"/>
              <w:rPr/>
            </w:pPr>
            <w:r>
              <w:rPr>
                <w:spacing w:val="-2"/>
              </w:rPr>
              <w:t>2.1</w:t>
            </w:r>
          </w:p>
        </w:tc>
        <w:tc>
          <w:tcPr>
            <w:tcW w:w="3145" w:type="dxa"/>
            <w:vAlign w:val="top"/>
          </w:tcPr>
          <w:p>
            <w:pPr>
              <w:pStyle w:val="TableText"/>
              <w:ind w:left="290"/>
              <w:spacing w:before="69" w:line="219" w:lineRule="auto"/>
              <w:rPr/>
            </w:pPr>
            <w:r>
              <w:rPr>
                <w:spacing w:val="-1"/>
              </w:rPr>
              <w:t>数据清洗活动是根据数据清洗需求确定</w:t>
            </w:r>
          </w:p>
          <w:p>
            <w:pPr>
              <w:pStyle w:val="TableText"/>
              <w:ind w:left="120" w:right="135" w:firstLine="19"/>
              <w:spacing w:before="102" w:line="288" w:lineRule="auto"/>
              <w:rPr/>
            </w:pPr>
            <w:r>
              <w:rPr/>
              <w:t>的，数据清洗需求与过程改进相互作用以支</w:t>
            </w:r>
            <w:r>
              <w:rPr>
                <w:spacing w:val="7"/>
              </w:rPr>
              <w:t xml:space="preserve"> </w:t>
            </w:r>
            <w:r>
              <w:rPr>
                <w:spacing w:val="-1"/>
              </w:rPr>
              <w:t>持业务目标的达成</w:t>
            </w:r>
          </w:p>
        </w:tc>
        <w:tc>
          <w:tcPr>
            <w:tcW w:w="3730" w:type="dxa"/>
            <w:vAlign w:val="top"/>
          </w:tcPr>
          <w:p>
            <w:pPr>
              <w:pStyle w:val="TableText"/>
              <w:ind w:left="255"/>
              <w:spacing w:before="209" w:line="219" w:lineRule="auto"/>
              <w:rPr/>
            </w:pPr>
            <w:r>
              <w:rPr>
                <w:spacing w:val="1"/>
              </w:rPr>
              <w:t>●数据清洗需求的识别</w:t>
            </w:r>
          </w:p>
          <w:p>
            <w:pPr>
              <w:pStyle w:val="TableText"/>
              <w:ind w:left="255"/>
              <w:spacing w:before="112" w:line="219" w:lineRule="auto"/>
              <w:rPr/>
            </w:pPr>
            <w:r>
              <w:rPr/>
              <w:t>●数据目标状态的描述</w:t>
            </w:r>
          </w:p>
        </w:tc>
      </w:tr>
    </w:tbl>
    <w:p>
      <w:pPr>
        <w:ind w:left="590"/>
        <w:spacing w:before="20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00" w:right="35" w:firstLine="399"/>
        <w:spacing w:before="46" w:line="235" w:lineRule="auto"/>
        <w:rPr>
          <w:rFonts w:ascii="SimSun" w:hAnsi="SimSun" w:eastAsia="SimSun" w:cs="SimSun"/>
          <w:sz w:val="22"/>
          <w:szCs w:val="22"/>
        </w:rPr>
      </w:pPr>
      <w:r>
        <w:rPr>
          <w:rFonts w:ascii="SimSun" w:hAnsi="SimSun" w:eastAsia="SimSun" w:cs="SimSun"/>
          <w:sz w:val="22"/>
          <w:szCs w:val="22"/>
          <w:spacing w:val="-8"/>
        </w:rPr>
        <w:t>数据清洗需求通常来自于数据概要分析和数据质量评估的结果、变更申请、报</w:t>
      </w:r>
      <w:r>
        <w:rPr>
          <w:rFonts w:ascii="SimSun" w:hAnsi="SimSun" w:eastAsia="SimSun" w:cs="SimSun"/>
          <w:sz w:val="22"/>
          <w:szCs w:val="22"/>
          <w:spacing w:val="1"/>
        </w:rPr>
        <w:t xml:space="preserve"> </w:t>
      </w:r>
      <w:r>
        <w:rPr>
          <w:rFonts w:ascii="SimSun" w:hAnsi="SimSun" w:eastAsia="SimSun" w:cs="SimSun"/>
          <w:sz w:val="22"/>
          <w:szCs w:val="22"/>
          <w:spacing w:val="-10"/>
        </w:rPr>
        <w:t>告中矛盾之处的识别以及常规的审计。需求</w:t>
      </w:r>
      <w:r>
        <w:rPr>
          <w:rFonts w:ascii="SimSun" w:hAnsi="SimSun" w:eastAsia="SimSun" w:cs="SimSun"/>
          <w:sz w:val="22"/>
          <w:szCs w:val="22"/>
          <w:spacing w:val="-11"/>
        </w:rPr>
        <w:t>通常会识别出以下内容：</w:t>
      </w:r>
    </w:p>
    <w:p>
      <w:pPr>
        <w:ind w:left="700"/>
        <w:spacing w:before="72" w:line="219" w:lineRule="auto"/>
        <w:rPr>
          <w:rFonts w:ascii="SimSun" w:hAnsi="SimSun" w:eastAsia="SimSun" w:cs="SimSun"/>
          <w:sz w:val="22"/>
          <w:szCs w:val="22"/>
        </w:rPr>
      </w:pPr>
      <w:r>
        <w:rPr>
          <w:rFonts w:ascii="SimSun" w:hAnsi="SimSun" w:eastAsia="SimSun" w:cs="SimSun"/>
          <w:sz w:val="22"/>
          <w:szCs w:val="22"/>
          <w:spacing w:val="-4"/>
        </w:rPr>
        <w:t>●需要解决的问题(即由于数据问题导致的无法达成的业务目标);</w:t>
      </w:r>
    </w:p>
    <w:p>
      <w:pPr>
        <w:ind w:left="700"/>
        <w:spacing w:before="49" w:line="219" w:lineRule="auto"/>
        <w:rPr>
          <w:rFonts w:ascii="SimSun" w:hAnsi="SimSun" w:eastAsia="SimSun" w:cs="SimSun"/>
          <w:sz w:val="22"/>
          <w:szCs w:val="22"/>
        </w:rPr>
      </w:pPr>
      <w:r>
        <w:rPr>
          <w:rFonts w:ascii="SimSun" w:hAnsi="SimSun" w:eastAsia="SimSun" w:cs="SimSun"/>
          <w:sz w:val="22"/>
          <w:szCs w:val="22"/>
          <w:spacing w:val="-1"/>
        </w:rPr>
        <w:t>●需要清洗的数据集(数据或元数据);</w:t>
      </w:r>
    </w:p>
    <w:p>
      <w:pPr>
        <w:ind w:left="700"/>
        <w:spacing w:before="29" w:line="219" w:lineRule="auto"/>
        <w:rPr>
          <w:rFonts w:ascii="SimSun" w:hAnsi="SimSun" w:eastAsia="SimSun" w:cs="SimSun"/>
          <w:sz w:val="22"/>
          <w:szCs w:val="22"/>
        </w:rPr>
      </w:pPr>
      <w:r>
        <w:rPr>
          <w:rFonts w:ascii="SimSun" w:hAnsi="SimSun" w:eastAsia="SimSun" w:cs="SimSun"/>
          <w:sz w:val="22"/>
          <w:szCs w:val="22"/>
          <w:spacing w:val="-8"/>
        </w:rPr>
        <w:t>●数据的目标状态将如何协助解决问题。</w:t>
      </w:r>
    </w:p>
    <w:p>
      <w:pPr>
        <w:ind w:left="300" w:right="75" w:firstLine="399"/>
        <w:spacing w:before="60" w:line="243" w:lineRule="auto"/>
        <w:rPr>
          <w:rFonts w:ascii="SimSun" w:hAnsi="SimSun" w:eastAsia="SimSun" w:cs="SimSun"/>
          <w:sz w:val="22"/>
          <w:szCs w:val="22"/>
        </w:rPr>
      </w:pPr>
      <w:r>
        <w:rPr>
          <w:rFonts w:ascii="SimSun" w:hAnsi="SimSun" w:eastAsia="SimSun" w:cs="SimSun"/>
          <w:sz w:val="22"/>
          <w:szCs w:val="22"/>
          <w:spacing w:val="-9"/>
        </w:rPr>
        <w:t>数据目标状态的描述需要涉及对业务规则、数据定义、现在以及未</w:t>
      </w:r>
      <w:r>
        <w:rPr>
          <w:rFonts w:ascii="SimSun" w:hAnsi="SimSun" w:eastAsia="SimSun" w:cs="SimSun"/>
          <w:sz w:val="22"/>
          <w:szCs w:val="22"/>
          <w:spacing w:val="-10"/>
        </w:rPr>
        <w:t>来的使用、</w:t>
      </w:r>
      <w:r>
        <w:rPr>
          <w:rFonts w:ascii="SimSun" w:hAnsi="SimSun" w:eastAsia="SimSun" w:cs="SimSun"/>
          <w:sz w:val="22"/>
          <w:szCs w:val="22"/>
        </w:rPr>
        <w:t xml:space="preserve"> </w:t>
      </w:r>
      <w:r>
        <w:rPr>
          <w:rFonts w:ascii="SimSun" w:hAnsi="SimSun" w:eastAsia="SimSun" w:cs="SimSun"/>
          <w:sz w:val="22"/>
          <w:szCs w:val="22"/>
          <w:spacing w:val="-10"/>
        </w:rPr>
        <w:t>质量标准规则、业务目标、成本与效益分析、数据、软件以及系统架构等的理解。</w:t>
      </w:r>
    </w:p>
    <w:p>
      <w:pPr>
        <w:spacing w:line="116" w:lineRule="exact"/>
        <w:rPr/>
      </w:pPr>
      <w:r/>
    </w:p>
    <w:tbl>
      <w:tblPr>
        <w:tblStyle w:val="TableNormal"/>
        <w:tblW w:w="760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40"/>
      </w:tblGrid>
      <w:tr>
        <w:trPr>
          <w:trHeight w:val="322" w:hRule="atLeast"/>
        </w:trPr>
        <w:tc>
          <w:tcPr>
            <w:tcW w:w="724" w:type="dxa"/>
            <w:vAlign w:val="top"/>
          </w:tcPr>
          <w:p>
            <w:pPr>
              <w:pStyle w:val="TableText"/>
              <w:ind w:left="205"/>
              <w:spacing w:before="92" w:line="221" w:lineRule="auto"/>
              <w:rPr/>
            </w:pPr>
            <w:r>
              <w:rPr>
                <w:spacing w:val="-2"/>
              </w:rPr>
              <w:t>序号</w:t>
            </w:r>
          </w:p>
        </w:tc>
        <w:tc>
          <w:tcPr>
            <w:tcW w:w="3136"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91" w:line="220" w:lineRule="auto"/>
              <w:rPr/>
            </w:pPr>
            <w:r>
              <w:rPr>
                <w:spacing w:val="-5"/>
              </w:rPr>
              <w:t>实</w:t>
            </w:r>
            <w:r>
              <w:rPr>
                <w:spacing w:val="1"/>
              </w:rPr>
              <w:t xml:space="preserve">   </w:t>
            </w:r>
            <w:r>
              <w:rPr>
                <w:spacing w:val="-5"/>
              </w:rPr>
              <w:t>例</w:t>
            </w:r>
          </w:p>
        </w:tc>
      </w:tr>
      <w:tr>
        <w:trPr>
          <w:trHeight w:val="848" w:hRule="atLeast"/>
        </w:trPr>
        <w:tc>
          <w:tcPr>
            <w:tcW w:w="724" w:type="dxa"/>
            <w:vAlign w:val="top"/>
          </w:tcPr>
          <w:p>
            <w:pPr>
              <w:spacing w:line="337" w:lineRule="auto"/>
              <w:rPr>
                <w:rFonts w:ascii="Arial"/>
                <w:sz w:val="21"/>
              </w:rPr>
            </w:pPr>
            <w:r/>
          </w:p>
          <w:p>
            <w:pPr>
              <w:pStyle w:val="TableText"/>
              <w:ind w:left="235"/>
              <w:spacing w:before="48" w:line="183" w:lineRule="auto"/>
              <w:rPr/>
            </w:pPr>
            <w:r>
              <w:rPr>
                <w:spacing w:val="-2"/>
              </w:rPr>
              <w:t>2.2</w:t>
            </w:r>
          </w:p>
        </w:tc>
        <w:tc>
          <w:tcPr>
            <w:tcW w:w="3136" w:type="dxa"/>
            <w:vAlign w:val="top"/>
          </w:tcPr>
          <w:p>
            <w:pPr>
              <w:pStyle w:val="TableText"/>
              <w:ind w:left="281"/>
              <w:spacing w:before="79" w:line="219" w:lineRule="auto"/>
              <w:rPr/>
            </w:pPr>
            <w:r>
              <w:rPr>
                <w:spacing w:val="-1"/>
              </w:rPr>
              <w:t>数据清洗活动与数据质量需求保持一致</w:t>
            </w:r>
          </w:p>
          <w:p>
            <w:pPr>
              <w:pStyle w:val="TableText"/>
              <w:spacing w:before="109" w:line="216" w:lineRule="auto"/>
              <w:jc w:val="right"/>
              <w:rPr/>
            </w:pPr>
            <w:r>
              <w:rPr>
                <w:spacing w:val="-2"/>
              </w:rPr>
              <w:t>(例如， 一致性、精确性、唯一性等质量维度),</w:t>
            </w:r>
          </w:p>
          <w:p>
            <w:pPr>
              <w:pStyle w:val="TableText"/>
              <w:ind w:left="121"/>
              <w:spacing w:before="106" w:line="219" w:lineRule="auto"/>
              <w:rPr/>
            </w:pPr>
            <w:r>
              <w:rPr>
                <w:spacing w:val="-1"/>
              </w:rPr>
              <w:t>也与质量准则保持一致</w:t>
            </w:r>
          </w:p>
        </w:tc>
        <w:tc>
          <w:tcPr>
            <w:tcW w:w="3740" w:type="dxa"/>
            <w:vAlign w:val="top"/>
          </w:tcPr>
          <w:p>
            <w:pPr>
              <w:pStyle w:val="TableText"/>
              <w:ind w:left="265"/>
              <w:spacing w:before="79" w:line="219" w:lineRule="auto"/>
              <w:rPr/>
            </w:pPr>
            <w:r>
              <w:rPr/>
              <w:t>●数据清洗活动和过程的记录</w:t>
            </w:r>
          </w:p>
          <w:p>
            <w:pPr>
              <w:pStyle w:val="TableText"/>
              <w:ind w:left="265"/>
              <w:spacing w:before="102" w:line="219" w:lineRule="auto"/>
              <w:rPr/>
            </w:pPr>
            <w:r>
              <w:rPr/>
              <w:t>●垃圾数据的分析</w:t>
            </w:r>
          </w:p>
          <w:p>
            <w:pPr>
              <w:pStyle w:val="TableText"/>
              <w:ind w:left="265"/>
              <w:spacing w:before="110" w:line="218" w:lineRule="auto"/>
              <w:rPr/>
            </w:pPr>
            <w:r>
              <w:rPr/>
              <w:t>●数据清洗结果的评估</w:t>
            </w:r>
          </w:p>
        </w:tc>
      </w:tr>
    </w:tbl>
    <w:p>
      <w:pPr>
        <w:ind w:left="590"/>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00" w:right="35" w:firstLine="399"/>
        <w:spacing w:before="49" w:line="241" w:lineRule="auto"/>
        <w:rPr>
          <w:rFonts w:ascii="SimSun" w:hAnsi="SimSun" w:eastAsia="SimSun" w:cs="SimSun"/>
          <w:sz w:val="22"/>
          <w:szCs w:val="22"/>
        </w:rPr>
      </w:pPr>
      <w:r>
        <w:rPr>
          <w:rFonts w:ascii="SimSun" w:hAnsi="SimSun" w:eastAsia="SimSun" w:cs="SimSun"/>
          <w:sz w:val="22"/>
          <w:szCs w:val="22"/>
          <w:spacing w:val="-8"/>
        </w:rPr>
        <w:t>应当将数据清洗过程和规则进行记录，并与业务目标和需求联系起来。应当对</w:t>
      </w:r>
      <w:r>
        <w:rPr>
          <w:rFonts w:ascii="SimSun" w:hAnsi="SimSun" w:eastAsia="SimSun" w:cs="SimSun"/>
          <w:sz w:val="22"/>
          <w:szCs w:val="22"/>
        </w:rPr>
        <w:t xml:space="preserve"> </w:t>
      </w:r>
      <w:r>
        <w:rPr>
          <w:rFonts w:ascii="SimSun" w:hAnsi="SimSun" w:eastAsia="SimSun" w:cs="SimSun"/>
          <w:sz w:val="22"/>
          <w:szCs w:val="22"/>
          <w:spacing w:val="-9"/>
        </w:rPr>
        <w:t>被清洗的数据进行评估，以检查其与数据定义间的一致性。而数据字典也应根据数</w:t>
      </w:r>
      <w:r>
        <w:rPr>
          <w:rFonts w:ascii="SimSun" w:hAnsi="SimSun" w:eastAsia="SimSun" w:cs="SimSun"/>
          <w:sz w:val="22"/>
          <w:szCs w:val="22"/>
          <w:spacing w:val="12"/>
        </w:rPr>
        <w:t xml:space="preserve"> </w:t>
      </w:r>
      <w:r>
        <w:rPr>
          <w:rFonts w:ascii="SimSun" w:hAnsi="SimSun" w:eastAsia="SimSun" w:cs="SimSun"/>
          <w:sz w:val="22"/>
          <w:szCs w:val="22"/>
          <w:spacing w:val="-11"/>
        </w:rPr>
        <w:t>据清洗工作中发现的不足进行相应更新。</w:t>
      </w:r>
    </w:p>
    <w:p>
      <w:pPr>
        <w:ind w:left="300" w:right="70" w:firstLine="399"/>
        <w:spacing w:before="69" w:line="248" w:lineRule="auto"/>
        <w:rPr>
          <w:rFonts w:ascii="SimSun" w:hAnsi="SimSun" w:eastAsia="SimSun" w:cs="SimSun"/>
          <w:sz w:val="22"/>
          <w:szCs w:val="22"/>
        </w:rPr>
      </w:pPr>
      <w:r>
        <w:rPr>
          <w:rFonts w:ascii="SimSun" w:hAnsi="SimSun" w:eastAsia="SimSun" w:cs="SimSun"/>
          <w:sz w:val="22"/>
          <w:szCs w:val="22"/>
          <w:spacing w:val="-3"/>
        </w:rPr>
        <w:t>使用数据清洗规则以协助达成数据清洗目标和执行过程。规则通常涉及以下</w:t>
      </w:r>
      <w:r>
        <w:rPr>
          <w:rFonts w:ascii="SimSun" w:hAnsi="SimSun" w:eastAsia="SimSun" w:cs="SimSun"/>
          <w:sz w:val="22"/>
          <w:szCs w:val="22"/>
          <w:spacing w:val="12"/>
        </w:rPr>
        <w:t xml:space="preserve"> </w:t>
      </w:r>
      <w:r>
        <w:rPr>
          <w:rFonts w:ascii="SimSun" w:hAnsi="SimSun" w:eastAsia="SimSun" w:cs="SimSun"/>
          <w:sz w:val="22"/>
          <w:szCs w:val="22"/>
          <w:spacing w:val="-15"/>
        </w:rPr>
        <w:t>内容。</w:t>
      </w:r>
    </w:p>
    <w:p>
      <w:pPr>
        <w:ind w:left="700"/>
        <w:spacing w:before="39" w:line="219" w:lineRule="auto"/>
        <w:rPr>
          <w:rFonts w:ascii="SimSun" w:hAnsi="SimSun" w:eastAsia="SimSun" w:cs="SimSun"/>
          <w:sz w:val="22"/>
          <w:szCs w:val="22"/>
        </w:rPr>
      </w:pPr>
      <w:r>
        <w:rPr>
          <w:rFonts w:ascii="SimSun" w:hAnsi="SimSun" w:eastAsia="SimSun" w:cs="SimSun"/>
          <w:sz w:val="22"/>
          <w:szCs w:val="22"/>
          <w:spacing w:val="-10"/>
        </w:rPr>
        <w:t>●按照业务定义确认数据清洗规则；</w:t>
      </w:r>
    </w:p>
    <w:p>
      <w:pPr>
        <w:ind w:left="700"/>
        <w:spacing w:before="69" w:line="219" w:lineRule="auto"/>
        <w:rPr>
          <w:rFonts w:ascii="SimSun" w:hAnsi="SimSun" w:eastAsia="SimSun" w:cs="SimSun"/>
          <w:sz w:val="22"/>
          <w:szCs w:val="22"/>
        </w:rPr>
      </w:pPr>
      <w:r>
        <w:rPr>
          <w:rFonts w:ascii="SimSun" w:hAnsi="SimSun" w:eastAsia="SimSun" w:cs="SimSun"/>
          <w:sz w:val="22"/>
          <w:szCs w:val="22"/>
          <w:spacing w:val="-7"/>
        </w:rPr>
        <w:t>●将数据清洗规则与业务规则联系在一起；</w:t>
      </w:r>
    </w:p>
    <w:p>
      <w:pPr>
        <w:ind w:left="700"/>
        <w:spacing w:before="39" w:line="219" w:lineRule="auto"/>
        <w:rPr>
          <w:rFonts w:ascii="SimSun" w:hAnsi="SimSun" w:eastAsia="SimSun" w:cs="SimSun"/>
          <w:sz w:val="22"/>
          <w:szCs w:val="22"/>
        </w:rPr>
      </w:pPr>
      <w:r>
        <w:rPr>
          <w:rFonts w:ascii="SimSun" w:hAnsi="SimSun" w:eastAsia="SimSun" w:cs="SimSun"/>
          <w:sz w:val="22"/>
          <w:szCs w:val="22"/>
          <w:spacing w:val="-10"/>
        </w:rPr>
        <w:t>●与质量规则保持相符；</w:t>
      </w:r>
    </w:p>
    <w:p>
      <w:pPr>
        <w:ind w:left="700"/>
        <w:spacing w:before="69" w:line="219" w:lineRule="auto"/>
        <w:rPr>
          <w:rFonts w:ascii="SimSun" w:hAnsi="SimSun" w:eastAsia="SimSun" w:cs="SimSun"/>
          <w:sz w:val="22"/>
          <w:szCs w:val="22"/>
        </w:rPr>
      </w:pPr>
      <w:r>
        <w:rPr>
          <w:rFonts w:ascii="SimSun" w:hAnsi="SimSun" w:eastAsia="SimSun" w:cs="SimSun"/>
          <w:sz w:val="22"/>
          <w:szCs w:val="22"/>
          <w:spacing w:val="-8"/>
        </w:rPr>
        <w:t>●让业务专家进行规则的创建；</w:t>
      </w:r>
    </w:p>
    <w:p>
      <w:pPr>
        <w:ind w:left="700"/>
        <w:spacing w:before="29" w:line="219" w:lineRule="auto"/>
        <w:rPr>
          <w:rFonts w:ascii="SimSun" w:hAnsi="SimSun" w:eastAsia="SimSun" w:cs="SimSun"/>
          <w:sz w:val="22"/>
          <w:szCs w:val="22"/>
        </w:rPr>
      </w:pPr>
      <w:r>
        <w:rPr>
          <w:rFonts w:ascii="SimSun" w:hAnsi="SimSun" w:eastAsia="SimSun" w:cs="SimSun"/>
          <w:sz w:val="22"/>
          <w:szCs w:val="22"/>
          <w:spacing w:val="-8"/>
        </w:rPr>
        <w:t>●数据清洗规则和其确认的文档及审批；</w:t>
      </w:r>
    </w:p>
    <w:p>
      <w:pPr>
        <w:ind w:left="700"/>
        <w:spacing w:before="49" w:line="220" w:lineRule="auto"/>
        <w:rPr>
          <w:rFonts w:ascii="SimSun" w:hAnsi="SimSun" w:eastAsia="SimSun" w:cs="SimSun"/>
          <w:sz w:val="22"/>
          <w:szCs w:val="22"/>
        </w:rPr>
      </w:pPr>
      <w:r>
        <w:rPr>
          <w:rFonts w:ascii="SimSun" w:hAnsi="SimSun" w:eastAsia="SimSun" w:cs="SimSun"/>
          <w:sz w:val="22"/>
          <w:szCs w:val="22"/>
          <w:spacing w:val="-10"/>
        </w:rPr>
        <w:t>●添加新规则的过程；</w:t>
      </w:r>
    </w:p>
    <w:p>
      <w:pPr>
        <w:ind w:left="700"/>
        <w:spacing w:before="46" w:line="219" w:lineRule="auto"/>
        <w:rPr>
          <w:rFonts w:ascii="SimSun" w:hAnsi="SimSun" w:eastAsia="SimSun" w:cs="SimSun"/>
          <w:sz w:val="22"/>
          <w:szCs w:val="22"/>
        </w:rPr>
      </w:pPr>
      <w:r>
        <w:rPr>
          <w:rFonts w:ascii="SimSun" w:hAnsi="SimSun" w:eastAsia="SimSun" w:cs="SimSun"/>
          <w:sz w:val="22"/>
          <w:szCs w:val="22"/>
          <w:spacing w:val="-8"/>
        </w:rPr>
        <w:t>●采取措施以确保库一致应用了清洗规则。</w:t>
      </w:r>
    </w:p>
    <w:p>
      <w:pPr>
        <w:spacing w:line="126" w:lineRule="exact"/>
        <w:rPr/>
      </w:pPr>
      <w:r/>
    </w:p>
    <w:tbl>
      <w:tblPr>
        <w:tblStyle w:val="TableNormal"/>
        <w:tblW w:w="7599" w:type="dxa"/>
        <w:tblInd w:w="3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1" w:hRule="atLeast"/>
        </w:trPr>
        <w:tc>
          <w:tcPr>
            <w:tcW w:w="714" w:type="dxa"/>
            <w:vAlign w:val="top"/>
          </w:tcPr>
          <w:p>
            <w:pPr>
              <w:pStyle w:val="TableText"/>
              <w:ind w:left="194"/>
              <w:spacing w:before="92" w:line="221" w:lineRule="auto"/>
              <w:rPr/>
            </w:pPr>
            <w:r>
              <w:rPr>
                <w:spacing w:val="-2"/>
              </w:rPr>
              <w:t>序号</w:t>
            </w:r>
          </w:p>
        </w:tc>
        <w:tc>
          <w:tcPr>
            <w:tcW w:w="3145" w:type="dxa"/>
            <w:vAlign w:val="top"/>
          </w:tcPr>
          <w:p>
            <w:pPr>
              <w:pStyle w:val="TableText"/>
              <w:ind w:left="116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91" w:line="220" w:lineRule="auto"/>
              <w:rPr/>
            </w:pPr>
            <w:r>
              <w:rPr>
                <w:spacing w:val="-5"/>
              </w:rPr>
              <w:t>实</w:t>
            </w:r>
            <w:r>
              <w:rPr>
                <w:spacing w:val="6"/>
              </w:rPr>
              <w:t xml:space="preserve">    </w:t>
            </w:r>
            <w:r>
              <w:rPr>
                <w:spacing w:val="-5"/>
              </w:rPr>
              <w:t>例</w:t>
            </w:r>
          </w:p>
        </w:tc>
      </w:tr>
      <w:tr>
        <w:trPr>
          <w:trHeight w:val="559" w:hRule="atLeast"/>
        </w:trPr>
        <w:tc>
          <w:tcPr>
            <w:tcW w:w="714" w:type="dxa"/>
            <w:vAlign w:val="top"/>
          </w:tcPr>
          <w:p>
            <w:pPr>
              <w:pStyle w:val="TableText"/>
              <w:ind w:left="234"/>
              <w:spacing w:before="248" w:line="183" w:lineRule="auto"/>
              <w:rPr/>
            </w:pPr>
            <w:r>
              <w:rPr>
                <w:spacing w:val="-2"/>
              </w:rPr>
              <w:t>2.3</w:t>
            </w:r>
          </w:p>
        </w:tc>
        <w:tc>
          <w:tcPr>
            <w:tcW w:w="3145" w:type="dxa"/>
            <w:vAlign w:val="top"/>
          </w:tcPr>
          <w:p>
            <w:pPr>
              <w:pStyle w:val="TableText"/>
              <w:ind w:left="260"/>
              <w:spacing w:before="210" w:line="219" w:lineRule="auto"/>
              <w:rPr/>
            </w:pPr>
            <w:r>
              <w:rPr>
                <w:spacing w:val="1"/>
              </w:rPr>
              <w:t>定义数据清洗的范围</w:t>
            </w:r>
          </w:p>
        </w:tc>
        <w:tc>
          <w:tcPr>
            <w:tcW w:w="3740" w:type="dxa"/>
            <w:vAlign w:val="top"/>
          </w:tcPr>
          <w:p>
            <w:pPr>
              <w:pStyle w:val="TableText"/>
              <w:ind w:left="265"/>
              <w:spacing w:before="80" w:line="219" w:lineRule="auto"/>
              <w:rPr/>
            </w:pPr>
            <w:r>
              <w:rPr/>
              <w:t>●数据清洗的数据集、数据原则和规则</w:t>
            </w:r>
          </w:p>
          <w:p>
            <w:pPr>
              <w:pStyle w:val="TableText"/>
              <w:ind w:left="265"/>
              <w:spacing w:before="102" w:line="219" w:lineRule="auto"/>
              <w:rPr/>
            </w:pPr>
            <w:r>
              <w:rPr/>
              <w:t>●数据清洗活动的排序</w:t>
            </w:r>
          </w:p>
        </w:tc>
      </w:tr>
    </w:tbl>
    <w:p>
      <w:pPr>
        <w:pStyle w:val="BodyText"/>
        <w:rPr/>
      </w:pPr>
      <w:r/>
    </w:p>
    <w:p>
      <w:pPr>
        <w:sectPr>
          <w:footerReference w:type="default" r:id="rId291"/>
          <w:pgSz w:w="8870" w:h="13400"/>
          <w:pgMar w:top="400" w:right="444" w:bottom="515" w:left="479" w:header="0" w:footer="296" w:gutter="0"/>
        </w:sectPr>
        <w:rPr/>
      </w:pPr>
    </w:p>
    <w:p>
      <w:pPr>
        <w:ind w:left="5483"/>
        <w:spacing w:before="144" w:line="219" w:lineRule="auto"/>
        <w:rPr>
          <w:rFonts w:ascii="SimSun" w:hAnsi="SimSun" w:eastAsia="SimSun" w:cs="SimSun"/>
          <w:sz w:val="21"/>
          <w:szCs w:val="21"/>
        </w:rPr>
      </w:pPr>
      <w:r>
        <w:rPr>
          <w:rFonts w:ascii="SimSun" w:hAnsi="SimSun" w:eastAsia="SimSun" w:cs="SimSun"/>
          <w:sz w:val="21"/>
          <w:szCs w:val="21"/>
          <w:b/>
          <w:bCs/>
          <w:spacing w:val="16"/>
        </w:rPr>
        <w:t>第6章■云端数据质量</w:t>
      </w:r>
    </w:p>
    <w:p>
      <w:pPr>
        <w:pStyle w:val="BodyText"/>
        <w:spacing w:line="265" w:lineRule="auto"/>
        <w:rPr/>
      </w:pPr>
      <w:r/>
    </w:p>
    <w:p>
      <w:pPr>
        <w:ind w:left="285"/>
        <w:spacing w:before="68"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right="273" w:firstLine="390"/>
        <w:spacing w:before="51" w:line="259" w:lineRule="auto"/>
        <w:rPr>
          <w:rFonts w:ascii="SimSun" w:hAnsi="SimSun" w:eastAsia="SimSun" w:cs="SimSun"/>
          <w:sz w:val="21"/>
          <w:szCs w:val="21"/>
        </w:rPr>
      </w:pPr>
      <w:r>
        <w:rPr>
          <w:rFonts w:ascii="SimSun" w:hAnsi="SimSun" w:eastAsia="SimSun" w:cs="SimSun"/>
          <w:sz w:val="21"/>
          <w:szCs w:val="21"/>
          <w:spacing w:val="1"/>
        </w:rPr>
        <w:t>范围包括定义清洗活动的数据集、数据元素和规则的识别，以及对数据清洗活</w:t>
      </w:r>
      <w:r>
        <w:rPr>
          <w:rFonts w:ascii="SimSun" w:hAnsi="SimSun" w:eastAsia="SimSun" w:cs="SimSun"/>
          <w:sz w:val="21"/>
          <w:szCs w:val="21"/>
          <w:spacing w:val="3"/>
        </w:rPr>
        <w:t xml:space="preserve"> </w:t>
      </w:r>
      <w:r>
        <w:rPr>
          <w:rFonts w:ascii="SimSun" w:hAnsi="SimSun" w:eastAsia="SimSun" w:cs="SimSun"/>
          <w:sz w:val="21"/>
          <w:szCs w:val="21"/>
          <w:spacing w:val="2"/>
        </w:rPr>
        <w:t>动进行优先次序排列的准则。需要根据时间限制</w:t>
      </w:r>
      <w:r>
        <w:rPr>
          <w:rFonts w:ascii="SimSun" w:hAnsi="SimSun" w:eastAsia="SimSun" w:cs="SimSun"/>
          <w:sz w:val="21"/>
          <w:szCs w:val="21"/>
          <w:spacing w:val="1"/>
        </w:rPr>
        <w:t>以及可能存在的资源限制对范围进</w:t>
      </w:r>
      <w:r>
        <w:rPr>
          <w:rFonts w:ascii="SimSun" w:hAnsi="SimSun" w:eastAsia="SimSun" w:cs="SimSun"/>
          <w:sz w:val="21"/>
          <w:szCs w:val="21"/>
        </w:rPr>
        <w:t xml:space="preserve"> </w:t>
      </w:r>
      <w:r>
        <w:rPr>
          <w:rFonts w:ascii="SimSun" w:hAnsi="SimSun" w:eastAsia="SimSun" w:cs="SimSun"/>
          <w:sz w:val="21"/>
          <w:szCs w:val="21"/>
          <w:spacing w:val="1"/>
        </w:rPr>
        <w:t>行平衡。数据质量评估过程所得出的影响分析是估算数据清洗工作活动量和确定工</w:t>
      </w:r>
      <w:r>
        <w:rPr>
          <w:rFonts w:ascii="SimSun" w:hAnsi="SimSun" w:eastAsia="SimSun" w:cs="SimSun"/>
          <w:sz w:val="21"/>
          <w:szCs w:val="21"/>
          <w:spacing w:val="4"/>
        </w:rPr>
        <w:t xml:space="preserve"> </w:t>
      </w:r>
      <w:r>
        <w:rPr>
          <w:rFonts w:ascii="SimSun" w:hAnsi="SimSun" w:eastAsia="SimSun" w:cs="SimSun"/>
          <w:sz w:val="21"/>
          <w:szCs w:val="21"/>
          <w:spacing w:val="-8"/>
        </w:rPr>
        <w:t>作范围的输入信息。</w:t>
      </w:r>
    </w:p>
    <w:p>
      <w:pPr>
        <w:spacing w:line="147" w:lineRule="exact"/>
        <w:rPr/>
      </w:pPr>
      <w:r/>
    </w:p>
    <w:tbl>
      <w:tblPr>
        <w:tblStyle w:val="TableNormal"/>
        <w:tblW w:w="759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40"/>
      </w:tblGrid>
      <w:tr>
        <w:trPr>
          <w:trHeight w:val="312" w:hRule="atLeast"/>
        </w:trPr>
        <w:tc>
          <w:tcPr>
            <w:tcW w:w="704" w:type="dxa"/>
            <w:vAlign w:val="top"/>
          </w:tcPr>
          <w:p>
            <w:pPr>
              <w:pStyle w:val="TableText"/>
              <w:ind w:left="195"/>
              <w:spacing w:before="81" w:line="221" w:lineRule="auto"/>
              <w:rPr/>
            </w:pPr>
            <w:r>
              <w:rPr>
                <w:spacing w:val="-2"/>
              </w:rPr>
              <w:t>序号</w:t>
            </w:r>
          </w:p>
        </w:tc>
        <w:tc>
          <w:tcPr>
            <w:tcW w:w="3146"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1"/>
              </w:rPr>
              <w:t xml:space="preserve">   </w:t>
            </w:r>
            <w:r>
              <w:rPr>
                <w:spacing w:val="-5"/>
              </w:rPr>
              <w:t>例</w:t>
            </w:r>
          </w:p>
        </w:tc>
      </w:tr>
      <w:tr>
        <w:trPr>
          <w:trHeight w:val="828" w:hRule="atLeast"/>
        </w:trPr>
        <w:tc>
          <w:tcPr>
            <w:tcW w:w="704" w:type="dxa"/>
            <w:vAlign w:val="top"/>
          </w:tcPr>
          <w:p>
            <w:pPr>
              <w:spacing w:line="327" w:lineRule="auto"/>
              <w:rPr>
                <w:rFonts w:ascii="Arial"/>
                <w:sz w:val="21"/>
              </w:rPr>
            </w:pPr>
            <w:r/>
          </w:p>
          <w:p>
            <w:pPr>
              <w:pStyle w:val="TableText"/>
              <w:ind w:left="224"/>
              <w:spacing w:before="48" w:line="183" w:lineRule="auto"/>
              <w:rPr/>
            </w:pPr>
            <w:r>
              <w:rPr>
                <w:spacing w:val="-2"/>
              </w:rPr>
              <w:t>2.4</w:t>
            </w:r>
          </w:p>
        </w:tc>
        <w:tc>
          <w:tcPr>
            <w:tcW w:w="3146" w:type="dxa"/>
            <w:vAlign w:val="top"/>
          </w:tcPr>
          <w:p>
            <w:pPr>
              <w:spacing w:line="288" w:lineRule="auto"/>
              <w:rPr>
                <w:rFonts w:ascii="Arial"/>
                <w:sz w:val="21"/>
              </w:rPr>
            </w:pPr>
            <w:r/>
          </w:p>
          <w:p>
            <w:pPr>
              <w:pStyle w:val="TableText"/>
              <w:ind w:left="291"/>
              <w:spacing w:before="49" w:line="219" w:lineRule="auto"/>
              <w:rPr/>
            </w:pPr>
            <w:r>
              <w:rPr>
                <w:spacing w:val="-1"/>
              </w:rPr>
              <w:t>根据事先定义的计划执行数据清洗活动</w:t>
            </w:r>
          </w:p>
        </w:tc>
        <w:tc>
          <w:tcPr>
            <w:tcW w:w="3740" w:type="dxa"/>
            <w:vAlign w:val="top"/>
          </w:tcPr>
          <w:p>
            <w:pPr>
              <w:pStyle w:val="TableText"/>
              <w:ind w:left="255"/>
              <w:spacing w:before="79" w:line="219" w:lineRule="auto"/>
              <w:rPr/>
            </w:pPr>
            <w:r>
              <w:rPr/>
              <w:t>●数据清洗对数据和业务的影响分析</w:t>
            </w:r>
          </w:p>
          <w:p>
            <w:pPr>
              <w:pStyle w:val="TableText"/>
              <w:ind w:left="255"/>
              <w:spacing w:before="100" w:line="218" w:lineRule="auto"/>
              <w:rPr/>
            </w:pPr>
            <w:r>
              <w:rPr>
                <w:spacing w:val="1"/>
              </w:rPr>
              <w:t>●数据清洗的策划报告</w:t>
            </w:r>
          </w:p>
          <w:p>
            <w:pPr>
              <w:pStyle w:val="TableText"/>
              <w:ind w:left="255"/>
              <w:spacing w:before="94" w:line="219" w:lineRule="auto"/>
              <w:rPr/>
            </w:pPr>
            <w:r>
              <w:rPr>
                <w:spacing w:val="1"/>
              </w:rPr>
              <w:t>●数据清洗计划</w:t>
            </w:r>
          </w:p>
        </w:tc>
      </w:tr>
    </w:tbl>
    <w:p>
      <w:pPr>
        <w:ind w:left="288"/>
        <w:spacing w:before="203" w:line="219" w:lineRule="auto"/>
        <w:rPr>
          <w:rFonts w:ascii="SimSun" w:hAnsi="SimSun" w:eastAsia="SimSun" w:cs="SimSun"/>
          <w:sz w:val="21"/>
          <w:szCs w:val="21"/>
        </w:rPr>
      </w:pPr>
      <w:r>
        <w:rPr>
          <w:rFonts w:ascii="SimSun" w:hAnsi="SimSun" w:eastAsia="SimSun" w:cs="SimSun"/>
          <w:sz w:val="21"/>
          <w:szCs w:val="21"/>
          <w:b/>
          <w:bCs/>
          <w:spacing w:val="-3"/>
        </w:rPr>
        <w:t>【</w:t>
      </w:r>
      <w:r>
        <w:rPr>
          <w:rFonts w:ascii="SimSun" w:hAnsi="SimSun" w:eastAsia="SimSun" w:cs="SimSun"/>
          <w:sz w:val="21"/>
          <w:szCs w:val="21"/>
          <w:spacing w:val="-3"/>
        </w:rPr>
        <w:t>成熟度等级说明】</w:t>
      </w:r>
    </w:p>
    <w:p>
      <w:pPr>
        <w:ind w:left="390"/>
        <w:spacing w:before="71" w:line="219" w:lineRule="auto"/>
        <w:rPr>
          <w:rFonts w:ascii="SimSun" w:hAnsi="SimSun" w:eastAsia="SimSun" w:cs="SimSun"/>
          <w:sz w:val="21"/>
          <w:szCs w:val="21"/>
        </w:rPr>
      </w:pPr>
      <w:r>
        <w:rPr>
          <w:rFonts w:ascii="SimSun" w:hAnsi="SimSun" w:eastAsia="SimSun" w:cs="SimSun"/>
          <w:sz w:val="21"/>
          <w:szCs w:val="21"/>
          <w:spacing w:val="-6"/>
        </w:rPr>
        <w:t>策划数据清洗的步骤：</w:t>
      </w:r>
    </w:p>
    <w:p>
      <w:pPr>
        <w:ind w:left="390"/>
        <w:spacing w:before="69" w:line="218" w:lineRule="auto"/>
        <w:rPr>
          <w:rFonts w:ascii="SimSun" w:hAnsi="SimSun" w:eastAsia="SimSun" w:cs="SimSun"/>
          <w:sz w:val="21"/>
          <w:szCs w:val="21"/>
        </w:rPr>
      </w:pPr>
      <w:r>
        <w:rPr>
          <w:rFonts w:ascii="SimSun" w:hAnsi="SimSun" w:eastAsia="SimSun" w:cs="SimSun"/>
          <w:sz w:val="21"/>
          <w:szCs w:val="21"/>
          <w:spacing w:val="-1"/>
        </w:rPr>
        <w:t>●评估数据变更对业务的影响；</w:t>
      </w:r>
    </w:p>
    <w:p>
      <w:pPr>
        <w:ind w:left="390"/>
        <w:spacing w:before="64" w:line="219" w:lineRule="auto"/>
        <w:rPr>
          <w:rFonts w:ascii="SimSun" w:hAnsi="SimSun" w:eastAsia="SimSun" w:cs="SimSun"/>
          <w:sz w:val="21"/>
          <w:szCs w:val="21"/>
        </w:rPr>
      </w:pPr>
      <w:r>
        <w:rPr>
          <w:rFonts w:ascii="SimSun" w:hAnsi="SimSun" w:eastAsia="SimSun" w:cs="SimSun"/>
          <w:sz w:val="21"/>
          <w:szCs w:val="21"/>
          <w:spacing w:val="-1"/>
        </w:rPr>
        <w:t>●决定需要进行变更的数据范围；</w:t>
      </w:r>
    </w:p>
    <w:p>
      <w:pPr>
        <w:ind w:left="720" w:right="292" w:hanging="330"/>
        <w:spacing w:before="60" w:line="246" w:lineRule="auto"/>
        <w:rPr>
          <w:rFonts w:ascii="SimSun" w:hAnsi="SimSun" w:eastAsia="SimSun" w:cs="SimSun"/>
          <w:sz w:val="21"/>
          <w:szCs w:val="21"/>
        </w:rPr>
      </w:pPr>
      <w:r>
        <w:rPr>
          <w:rFonts w:ascii="SimSun" w:hAnsi="SimSun" w:eastAsia="SimSun" w:cs="SimSun"/>
          <w:sz w:val="21"/>
          <w:szCs w:val="21"/>
          <w:spacing w:val="2"/>
        </w:rPr>
        <w:t>●识别数据的原始用途，识别数据清洗对数据含义和用途的影响，避免因对数</w:t>
      </w:r>
      <w:r>
        <w:rPr>
          <w:rFonts w:ascii="SimSun" w:hAnsi="SimSun" w:eastAsia="SimSun" w:cs="SimSun"/>
          <w:sz w:val="21"/>
          <w:szCs w:val="21"/>
        </w:rPr>
        <w:t xml:space="preserve"> </w:t>
      </w:r>
      <w:r>
        <w:rPr>
          <w:rFonts w:ascii="SimSun" w:hAnsi="SimSun" w:eastAsia="SimSun" w:cs="SimSun"/>
          <w:sz w:val="21"/>
          <w:szCs w:val="21"/>
          <w:spacing w:val="-2"/>
        </w:rPr>
        <w:t>据含义无意识地更改而导致的低效与混乱。</w:t>
      </w:r>
    </w:p>
    <w:p>
      <w:pPr>
        <w:ind w:left="390"/>
        <w:spacing w:before="61" w:line="219" w:lineRule="auto"/>
        <w:rPr>
          <w:rFonts w:ascii="SimSun" w:hAnsi="SimSun" w:eastAsia="SimSun" w:cs="SimSun"/>
          <w:sz w:val="21"/>
          <w:szCs w:val="21"/>
        </w:rPr>
      </w:pPr>
      <w:r>
        <w:rPr>
          <w:rFonts w:ascii="SimSun" w:hAnsi="SimSun" w:eastAsia="SimSun" w:cs="SimSun"/>
          <w:sz w:val="21"/>
          <w:szCs w:val="21"/>
          <w:spacing w:val="-3"/>
        </w:rPr>
        <w:t>数据清洗计划通常包含以下内容。</w:t>
      </w:r>
    </w:p>
    <w:p>
      <w:pPr>
        <w:ind w:left="720" w:right="291" w:hanging="330"/>
        <w:spacing w:before="61" w:line="251" w:lineRule="auto"/>
        <w:rPr>
          <w:rFonts w:ascii="SimSun" w:hAnsi="SimSun" w:eastAsia="SimSun" w:cs="SimSun"/>
          <w:sz w:val="21"/>
          <w:szCs w:val="21"/>
        </w:rPr>
      </w:pPr>
      <w:r>
        <w:rPr>
          <w:rFonts w:ascii="SimSun" w:hAnsi="SimSun" w:eastAsia="SimSun" w:cs="SimSun"/>
          <w:sz w:val="21"/>
          <w:szCs w:val="21"/>
          <w:spacing w:val="5"/>
        </w:rPr>
        <w:t>●用于修改数据的工具和方法(即按照有效来源和逻辑检查等对多个库进行对</w:t>
      </w:r>
      <w:r>
        <w:rPr>
          <w:rFonts w:ascii="SimSun" w:hAnsi="SimSun" w:eastAsia="SimSun" w:cs="SimSun"/>
          <w:sz w:val="21"/>
          <w:szCs w:val="21"/>
          <w:spacing w:val="3"/>
        </w:rPr>
        <w:t xml:space="preserve"> </w:t>
      </w:r>
      <w:r>
        <w:rPr>
          <w:rFonts w:ascii="SimSun" w:hAnsi="SimSun" w:eastAsia="SimSun" w:cs="SimSun"/>
          <w:sz w:val="21"/>
          <w:szCs w:val="21"/>
          <w:spacing w:val="-5"/>
        </w:rPr>
        <w:t>比和确认);</w:t>
      </w:r>
    </w:p>
    <w:p>
      <w:pPr>
        <w:ind w:left="390"/>
        <w:spacing w:before="46" w:line="310" w:lineRule="exact"/>
        <w:rPr>
          <w:rFonts w:ascii="SimSun" w:hAnsi="SimSun" w:eastAsia="SimSun" w:cs="SimSun"/>
          <w:sz w:val="21"/>
          <w:szCs w:val="21"/>
        </w:rPr>
      </w:pPr>
      <w:r>
        <w:rPr>
          <w:rFonts w:ascii="STXingkai" w:hAnsi="STXingkai" w:eastAsia="STXingkai" w:cs="STXingkai"/>
          <w:sz w:val="21"/>
          <w:szCs w:val="21"/>
          <w:spacing w:val="-5"/>
          <w:position w:val="2"/>
        </w:rPr>
        <w:t>●</w:t>
      </w:r>
      <w:r>
        <w:rPr>
          <w:rFonts w:ascii="STXingkai" w:hAnsi="STXingkai" w:eastAsia="STXingkai" w:cs="STXingkai"/>
          <w:sz w:val="21"/>
          <w:szCs w:val="21"/>
          <w:spacing w:val="58"/>
          <w:w w:val="101"/>
          <w:position w:val="2"/>
        </w:rPr>
        <w:t xml:space="preserve"> </w:t>
      </w:r>
      <w:r>
        <w:rPr>
          <w:rFonts w:ascii="SimSun" w:hAnsi="SimSun" w:eastAsia="SimSun" w:cs="SimSun"/>
          <w:sz w:val="21"/>
          <w:szCs w:val="21"/>
          <w:spacing w:val="-5"/>
          <w:position w:val="2"/>
        </w:rPr>
        <w:t>定义过程以处理在数据有效性上的观点差异；</w:t>
      </w:r>
    </w:p>
    <w:p>
      <w:pPr>
        <w:ind w:left="390"/>
        <w:spacing w:before="11" w:line="219" w:lineRule="auto"/>
        <w:rPr>
          <w:rFonts w:ascii="SimSun" w:hAnsi="SimSun" w:eastAsia="SimSun" w:cs="SimSun"/>
          <w:sz w:val="21"/>
          <w:szCs w:val="21"/>
        </w:rPr>
      </w:pPr>
      <w:r>
        <w:rPr>
          <w:rFonts w:ascii="SimSun" w:hAnsi="SimSun" w:eastAsia="SimSun" w:cs="SimSun"/>
          <w:sz w:val="21"/>
          <w:szCs w:val="21"/>
          <w:spacing w:val="9"/>
        </w:rPr>
        <w:t>●对修改、审计跟踪和版本控制(配置管理)进行记录；</w:t>
      </w:r>
    </w:p>
    <w:p>
      <w:pPr>
        <w:ind w:left="390"/>
        <w:spacing w:before="83" w:line="219" w:lineRule="auto"/>
        <w:rPr>
          <w:rFonts w:ascii="SimSun" w:hAnsi="SimSun" w:eastAsia="SimSun" w:cs="SimSun"/>
          <w:sz w:val="21"/>
          <w:szCs w:val="21"/>
        </w:rPr>
      </w:pPr>
      <w:r>
        <w:rPr>
          <w:rFonts w:ascii="SimSun" w:hAnsi="SimSun" w:eastAsia="SimSun" w:cs="SimSun"/>
          <w:sz w:val="21"/>
          <w:szCs w:val="21"/>
        </w:rPr>
        <w:t>●对数据存储维护计划所需的调整进行反馈；</w:t>
      </w:r>
    </w:p>
    <w:p>
      <w:pPr>
        <w:ind w:left="390"/>
        <w:spacing w:before="61" w:line="219" w:lineRule="auto"/>
        <w:rPr>
          <w:rFonts w:ascii="SimSun" w:hAnsi="SimSun" w:eastAsia="SimSun" w:cs="SimSun"/>
          <w:sz w:val="21"/>
          <w:szCs w:val="21"/>
        </w:rPr>
      </w:pPr>
      <w:r>
        <w:rPr>
          <w:rFonts w:ascii="SimSun" w:hAnsi="SimSun" w:eastAsia="SimSun" w:cs="SimSun"/>
          <w:sz w:val="21"/>
          <w:szCs w:val="21"/>
          <w:spacing w:val="1"/>
        </w:rPr>
        <w:t>●定义如何在执行数据变更后维护参考完整性。</w:t>
      </w:r>
    </w:p>
    <w:p>
      <w:pPr>
        <w:spacing w:line="117" w:lineRule="exact"/>
        <w:rPr/>
      </w:pPr>
      <w:r/>
    </w:p>
    <w:tbl>
      <w:tblPr>
        <w:tblStyle w:val="TableNormal"/>
        <w:tblW w:w="758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35"/>
        <w:gridCol w:w="3740"/>
      </w:tblGrid>
      <w:tr>
        <w:trPr>
          <w:trHeight w:val="320" w:hRule="atLeast"/>
        </w:trPr>
        <w:tc>
          <w:tcPr>
            <w:tcW w:w="71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40" w:type="dxa"/>
            <w:vAlign w:val="top"/>
          </w:tcPr>
          <w:p>
            <w:pPr>
              <w:pStyle w:val="TableText"/>
              <w:ind w:left="1565"/>
              <w:spacing w:before="82" w:line="220" w:lineRule="auto"/>
              <w:rPr>
                <w:sz w:val="16"/>
                <w:szCs w:val="16"/>
              </w:rPr>
            </w:pPr>
            <w:r>
              <w:rPr>
                <w:sz w:val="16"/>
                <w:szCs w:val="16"/>
                <w:spacing w:val="-6"/>
              </w:rPr>
              <w:t>实</w:t>
            </w:r>
            <w:r>
              <w:rPr>
                <w:sz w:val="16"/>
                <w:szCs w:val="16"/>
                <w:spacing w:val="7"/>
              </w:rPr>
              <w:t xml:space="preserve">    </w:t>
            </w:r>
            <w:r>
              <w:rPr>
                <w:sz w:val="16"/>
                <w:szCs w:val="16"/>
                <w:spacing w:val="-6"/>
              </w:rPr>
              <w:t>例</w:t>
            </w:r>
          </w:p>
        </w:tc>
      </w:tr>
      <w:tr>
        <w:trPr>
          <w:trHeight w:val="300" w:hRule="atLeast"/>
        </w:trPr>
        <w:tc>
          <w:tcPr>
            <w:tcW w:w="714" w:type="dxa"/>
            <w:vAlign w:val="top"/>
          </w:tcPr>
          <w:p>
            <w:pPr>
              <w:pStyle w:val="TableText"/>
              <w:ind w:left="224"/>
              <w:spacing w:before="113" w:line="183" w:lineRule="auto"/>
              <w:rPr>
                <w:sz w:val="16"/>
                <w:szCs w:val="16"/>
              </w:rPr>
            </w:pPr>
            <w:r>
              <w:rPr>
                <w:sz w:val="16"/>
                <w:szCs w:val="16"/>
                <w:spacing w:val="-2"/>
              </w:rPr>
              <w:t>2.5</w:t>
            </w:r>
          </w:p>
        </w:tc>
        <w:tc>
          <w:tcPr>
            <w:tcW w:w="3135" w:type="dxa"/>
            <w:vAlign w:val="top"/>
          </w:tcPr>
          <w:p>
            <w:pPr>
              <w:pStyle w:val="TableText"/>
              <w:ind w:left="260"/>
              <w:spacing w:before="71" w:line="219" w:lineRule="auto"/>
              <w:rPr>
                <w:sz w:val="16"/>
                <w:szCs w:val="16"/>
              </w:rPr>
            </w:pPr>
            <w:r>
              <w:rPr>
                <w:sz w:val="16"/>
                <w:szCs w:val="16"/>
                <w:spacing w:val="-1"/>
              </w:rPr>
              <w:t>建立并维护数据清洗方针</w:t>
            </w:r>
          </w:p>
        </w:tc>
        <w:tc>
          <w:tcPr>
            <w:tcW w:w="3740" w:type="dxa"/>
            <w:vAlign w:val="top"/>
          </w:tcPr>
          <w:p>
            <w:pPr>
              <w:pStyle w:val="TableText"/>
              <w:ind w:left="265"/>
              <w:spacing w:before="71" w:line="219" w:lineRule="auto"/>
              <w:rPr>
                <w:sz w:val="16"/>
                <w:szCs w:val="16"/>
              </w:rPr>
            </w:pPr>
            <w:r>
              <w:rPr>
                <w:sz w:val="16"/>
                <w:szCs w:val="16"/>
              </w:rPr>
              <w:t>●数据清洗的方针</w:t>
            </w:r>
          </w:p>
        </w:tc>
      </w:tr>
    </w:tbl>
    <w:p>
      <w:pPr>
        <w:ind w:left="285"/>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60" w:right="196" w:firstLine="329"/>
        <w:spacing w:before="62" w:line="250" w:lineRule="auto"/>
        <w:rPr>
          <w:rFonts w:ascii="SimSun" w:hAnsi="SimSun" w:eastAsia="SimSun" w:cs="SimSun"/>
          <w:sz w:val="21"/>
          <w:szCs w:val="21"/>
        </w:rPr>
      </w:pPr>
      <w:r>
        <w:rPr>
          <w:rFonts w:ascii="SimSun" w:hAnsi="SimSun" w:eastAsia="SimSun" w:cs="SimSun"/>
          <w:sz w:val="21"/>
          <w:szCs w:val="21"/>
          <w:spacing w:val="5"/>
        </w:rPr>
        <w:t>制订过程中，确保适当的相关责任人(从治理到执行)</w:t>
      </w:r>
      <w:r>
        <w:rPr>
          <w:rFonts w:ascii="SimSun" w:hAnsi="SimSun" w:eastAsia="SimSun" w:cs="SimSun"/>
          <w:sz w:val="21"/>
          <w:szCs w:val="21"/>
          <w:spacing w:val="4"/>
        </w:rPr>
        <w:t>参与其中是十分重要的。</w:t>
      </w:r>
      <w:r>
        <w:rPr>
          <w:rFonts w:ascii="SimSun" w:hAnsi="SimSun" w:eastAsia="SimSun" w:cs="SimSun"/>
          <w:sz w:val="21"/>
          <w:szCs w:val="21"/>
        </w:rPr>
        <w:t xml:space="preserve"> </w:t>
      </w:r>
      <w:r>
        <w:rPr>
          <w:rFonts w:ascii="SimSun" w:hAnsi="SimSun" w:eastAsia="SimSun" w:cs="SimSun"/>
          <w:sz w:val="21"/>
          <w:szCs w:val="21"/>
          <w:spacing w:val="-1"/>
        </w:rPr>
        <w:t>如果有规定使用的支持数据清洗活动的工具和方法，则应该在方针中说明。</w:t>
      </w:r>
    </w:p>
    <w:p>
      <w:pPr>
        <w:ind w:left="60" w:right="221" w:firstLine="329"/>
        <w:spacing w:before="51" w:line="259" w:lineRule="auto"/>
        <w:rPr>
          <w:rFonts w:ascii="SimSun" w:hAnsi="SimSun" w:eastAsia="SimSun" w:cs="SimSun"/>
          <w:sz w:val="21"/>
          <w:szCs w:val="21"/>
        </w:rPr>
      </w:pPr>
      <w:r>
        <w:rPr>
          <w:rFonts w:ascii="SimSun" w:hAnsi="SimSun" w:eastAsia="SimSun" w:cs="SimSun"/>
          <w:sz w:val="21"/>
          <w:szCs w:val="21"/>
          <w:spacing w:val="1"/>
        </w:rPr>
        <w:t>方针中应当包括一个与受影响的相关责任人进行沟通的机制，以及管理他们反  </w:t>
      </w:r>
      <w:r>
        <w:rPr>
          <w:rFonts w:ascii="SimSun" w:hAnsi="SimSun" w:eastAsia="SimSun" w:cs="SimSun"/>
          <w:sz w:val="21"/>
          <w:szCs w:val="21"/>
          <w:spacing w:val="1"/>
        </w:rPr>
        <w:t>馈的方法。另外，方针当中应包含触发数据清洗活动的一些明确准则和阈值。方针</w:t>
      </w:r>
      <w:r>
        <w:rPr>
          <w:rFonts w:ascii="SimSun" w:hAnsi="SimSun" w:eastAsia="SimSun" w:cs="SimSun"/>
          <w:sz w:val="21"/>
          <w:szCs w:val="21"/>
          <w:spacing w:val="12"/>
        </w:rPr>
        <w:t xml:space="preserve"> </w:t>
      </w:r>
      <w:r>
        <w:rPr>
          <w:rFonts w:ascii="SimSun" w:hAnsi="SimSun" w:eastAsia="SimSun" w:cs="SimSun"/>
          <w:sz w:val="21"/>
          <w:szCs w:val="21"/>
          <w:spacing w:val="1"/>
        </w:rPr>
        <w:t>中应清晰阐明对根本原因分析、业务和技术影响的预期。方针也应阐明对数据清洗</w:t>
      </w:r>
      <w:r>
        <w:rPr>
          <w:rFonts w:ascii="SimSun" w:hAnsi="SimSun" w:eastAsia="SimSun" w:cs="SimSun"/>
          <w:sz w:val="21"/>
          <w:szCs w:val="21"/>
          <w:spacing w:val="11"/>
        </w:rPr>
        <w:t xml:space="preserve"> </w:t>
      </w:r>
      <w:r>
        <w:rPr>
          <w:rFonts w:ascii="SimSun" w:hAnsi="SimSun" w:eastAsia="SimSun" w:cs="SimSun"/>
          <w:sz w:val="21"/>
          <w:szCs w:val="21"/>
          <w:spacing w:val="-1"/>
        </w:rPr>
        <w:t>项目进行优先次序排列和进度安排的准则，以及资源分配的指南。</w:t>
      </w:r>
    </w:p>
    <w:p>
      <w:pPr>
        <w:spacing w:line="137" w:lineRule="exact"/>
        <w:rPr/>
      </w:pPr>
      <w:r/>
    </w:p>
    <w:tbl>
      <w:tblPr>
        <w:tblStyle w:val="TableNormal"/>
        <w:tblW w:w="7590"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6"/>
        <w:gridCol w:w="3740"/>
      </w:tblGrid>
      <w:tr>
        <w:trPr>
          <w:trHeight w:val="311" w:hRule="atLeast"/>
        </w:trPr>
        <w:tc>
          <w:tcPr>
            <w:tcW w:w="704" w:type="dxa"/>
            <w:vAlign w:val="top"/>
          </w:tcPr>
          <w:p>
            <w:pPr>
              <w:pStyle w:val="TableText"/>
              <w:ind w:left="195"/>
              <w:spacing w:before="81" w:line="221" w:lineRule="auto"/>
              <w:rPr/>
            </w:pPr>
            <w:r>
              <w:rPr>
                <w:spacing w:val="-2"/>
              </w:rPr>
              <w:t>序号</w:t>
            </w:r>
          </w:p>
        </w:tc>
        <w:tc>
          <w:tcPr>
            <w:tcW w:w="3146" w:type="dxa"/>
            <w:vAlign w:val="top"/>
          </w:tcPr>
          <w:p>
            <w:pPr>
              <w:pStyle w:val="TableText"/>
              <w:ind w:left="116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75"/>
              <w:spacing w:before="81" w:line="220" w:lineRule="auto"/>
              <w:rPr/>
            </w:pPr>
            <w:r>
              <w:rPr>
                <w:spacing w:val="-5"/>
              </w:rPr>
              <w:t>实</w:t>
            </w:r>
            <w:r>
              <w:rPr>
                <w:spacing w:val="1"/>
              </w:rPr>
              <w:t xml:space="preserve">   </w:t>
            </w:r>
            <w:r>
              <w:rPr>
                <w:spacing w:val="-5"/>
              </w:rPr>
              <w:t>例</w:t>
            </w:r>
          </w:p>
        </w:tc>
      </w:tr>
      <w:tr>
        <w:trPr>
          <w:trHeight w:val="559" w:hRule="atLeast"/>
        </w:trPr>
        <w:tc>
          <w:tcPr>
            <w:tcW w:w="704" w:type="dxa"/>
            <w:vAlign w:val="top"/>
          </w:tcPr>
          <w:p>
            <w:pPr>
              <w:pStyle w:val="TableText"/>
              <w:ind w:left="224"/>
              <w:spacing w:before="248" w:line="183" w:lineRule="auto"/>
              <w:rPr/>
            </w:pPr>
            <w:r>
              <w:rPr>
                <w:spacing w:val="-2"/>
              </w:rPr>
              <w:t>2.6</w:t>
            </w:r>
          </w:p>
        </w:tc>
        <w:tc>
          <w:tcPr>
            <w:tcW w:w="3146" w:type="dxa"/>
            <w:vAlign w:val="top"/>
          </w:tcPr>
          <w:p>
            <w:pPr>
              <w:pStyle w:val="TableText"/>
              <w:ind w:left="191"/>
              <w:spacing w:before="210" w:line="219" w:lineRule="auto"/>
              <w:rPr/>
            </w:pPr>
            <w:r>
              <w:rPr>
                <w:spacing w:val="-1"/>
              </w:rPr>
              <w:t>建立数据变更的方法，并在计划中进行定义</w:t>
            </w:r>
          </w:p>
        </w:tc>
        <w:tc>
          <w:tcPr>
            <w:tcW w:w="3740" w:type="dxa"/>
            <w:vAlign w:val="top"/>
          </w:tcPr>
          <w:p>
            <w:pPr>
              <w:pStyle w:val="TableText"/>
              <w:ind w:left="265"/>
              <w:spacing w:before="80" w:line="219" w:lineRule="auto"/>
              <w:rPr/>
            </w:pPr>
            <w:r>
              <w:rPr/>
              <w:t>●数据修改和变更的方法学</w:t>
            </w:r>
          </w:p>
          <w:p>
            <w:pPr>
              <w:pStyle w:val="TableText"/>
              <w:ind w:left="265"/>
              <w:spacing w:before="111" w:line="219" w:lineRule="auto"/>
              <w:rPr/>
            </w:pPr>
            <w:r>
              <w:rPr>
                <w:spacing w:val="1"/>
              </w:rPr>
              <w:t>●数据清洗计划采用的方法说明</w:t>
            </w:r>
          </w:p>
        </w:tc>
      </w:tr>
    </w:tbl>
    <w:p>
      <w:pPr>
        <w:pStyle w:val="BodyText"/>
        <w:rPr/>
      </w:pPr>
      <w:r/>
    </w:p>
    <w:p>
      <w:pPr>
        <w:sectPr>
          <w:footerReference w:type="default" r:id="rId293"/>
          <w:pgSz w:w="8870" w:h="13400"/>
          <w:pgMar w:top="400" w:right="688" w:bottom="608" w:left="289" w:header="0" w:footer="399" w:gutter="0"/>
        </w:sectPr>
        <w:rPr/>
      </w:pPr>
    </w:p>
    <w:p>
      <w:pPr>
        <w:ind w:left="99"/>
        <w:spacing w:before="17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02" name="IM 202"/>
            <wp:cNvGraphicFramePr/>
            <a:graphic>
              <a:graphicData uri="http://schemas.openxmlformats.org/drawingml/2006/picture">
                <pic:pic>
                  <pic:nvPicPr>
                    <pic:cNvPr id="202" name="IM 202"/>
                    <pic:cNvPicPr/>
                  </pic:nvPicPr>
                  <pic:blipFill>
                    <a:blip r:embed="rId295"/>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550"/>
        <w:spacing w:before="299"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151" w:firstLine="430"/>
        <w:spacing w:before="28" w:line="249" w:lineRule="auto"/>
        <w:rPr>
          <w:rFonts w:ascii="SimSun" w:hAnsi="SimSun" w:eastAsia="SimSun" w:cs="SimSun"/>
          <w:sz w:val="22"/>
          <w:szCs w:val="22"/>
        </w:rPr>
      </w:pPr>
      <w:r>
        <w:rPr>
          <w:rFonts w:ascii="SimSun" w:hAnsi="SimSun" w:eastAsia="SimSun" w:cs="SimSun"/>
          <w:sz w:val="22"/>
          <w:szCs w:val="22"/>
          <w:spacing w:val="-9"/>
        </w:rPr>
        <w:t>方法包括多个库的对比、参照有效来源、逻辑检查、参照完整性或公差范围进</w:t>
      </w:r>
      <w:r>
        <w:rPr>
          <w:rFonts w:ascii="SimSun" w:hAnsi="SimSun" w:eastAsia="SimSun" w:cs="SimSun"/>
          <w:sz w:val="22"/>
          <w:szCs w:val="22"/>
          <w:spacing w:val="3"/>
        </w:rPr>
        <w:t xml:space="preserve"> </w:t>
      </w:r>
      <w:r>
        <w:rPr>
          <w:rFonts w:ascii="SimSun" w:hAnsi="SimSun" w:eastAsia="SimSun" w:cs="SimSun"/>
          <w:sz w:val="22"/>
          <w:szCs w:val="22"/>
          <w:spacing w:val="-9"/>
        </w:rPr>
        <w:t>行确认。</w:t>
      </w:r>
    </w:p>
    <w:p>
      <w:pPr>
        <w:ind w:left="660"/>
        <w:spacing w:before="45" w:line="219" w:lineRule="auto"/>
        <w:rPr>
          <w:rFonts w:ascii="SimSun" w:hAnsi="SimSun" w:eastAsia="SimSun" w:cs="SimSun"/>
          <w:sz w:val="22"/>
          <w:szCs w:val="22"/>
        </w:rPr>
      </w:pPr>
      <w:r>
        <w:rPr>
          <w:rFonts w:ascii="SimSun" w:hAnsi="SimSun" w:eastAsia="SimSun" w:cs="SimSun"/>
          <w:sz w:val="22"/>
          <w:szCs w:val="22"/>
          <w:spacing w:val="-11"/>
        </w:rPr>
        <w:t>方法通常会涉及一些功能以确保以下内容。</w:t>
      </w:r>
    </w:p>
    <w:p>
      <w:pPr>
        <w:ind w:left="660"/>
        <w:spacing w:before="40" w:line="219" w:lineRule="auto"/>
        <w:rPr>
          <w:rFonts w:ascii="SimSun" w:hAnsi="SimSun" w:eastAsia="SimSun" w:cs="SimSun"/>
          <w:sz w:val="22"/>
          <w:szCs w:val="22"/>
        </w:rPr>
      </w:pPr>
      <w:r>
        <w:rPr>
          <w:rFonts w:ascii="SimSun" w:hAnsi="SimSun" w:eastAsia="SimSun" w:cs="SimSun"/>
          <w:sz w:val="22"/>
          <w:szCs w:val="22"/>
          <w:spacing w:val="-9"/>
        </w:rPr>
        <w:t>●标准化、确认以及维护内容，必要时使用外部资源；</w:t>
      </w:r>
    </w:p>
    <w:p>
      <w:pPr>
        <w:ind w:left="660"/>
        <w:spacing w:before="59" w:line="219" w:lineRule="auto"/>
        <w:rPr>
          <w:rFonts w:ascii="SimSun" w:hAnsi="SimSun" w:eastAsia="SimSun" w:cs="SimSun"/>
          <w:sz w:val="22"/>
          <w:szCs w:val="22"/>
        </w:rPr>
      </w:pPr>
      <w:r>
        <w:rPr>
          <w:rFonts w:ascii="SimSun" w:hAnsi="SimSun" w:eastAsia="SimSun" w:cs="SimSun"/>
          <w:sz w:val="22"/>
          <w:szCs w:val="22"/>
          <w:spacing w:val="-9"/>
        </w:rPr>
        <w:t>●有过程来处理在数据有效性上的不同观点；</w:t>
      </w:r>
    </w:p>
    <w:p>
      <w:pPr>
        <w:ind w:left="660"/>
        <w:spacing w:before="57" w:line="219" w:lineRule="auto"/>
        <w:rPr>
          <w:rFonts w:ascii="SimSun" w:hAnsi="SimSun" w:eastAsia="SimSun" w:cs="SimSun"/>
          <w:sz w:val="22"/>
          <w:szCs w:val="22"/>
        </w:rPr>
      </w:pPr>
      <w:r>
        <w:rPr>
          <w:rFonts w:ascii="SimSun" w:hAnsi="SimSun" w:eastAsia="SimSun" w:cs="SimSun"/>
          <w:sz w:val="22"/>
          <w:szCs w:val="22"/>
          <w:spacing w:val="-3"/>
        </w:rPr>
        <w:t>●定义修改记录、审计跟踪以及版本控制(配置管理);</w:t>
      </w:r>
    </w:p>
    <w:p>
      <w:pPr>
        <w:ind w:left="660"/>
        <w:spacing w:before="47" w:line="234" w:lineRule="auto"/>
        <w:rPr>
          <w:rFonts w:ascii="SimSun" w:hAnsi="SimSun" w:eastAsia="SimSun" w:cs="SimSun"/>
          <w:sz w:val="22"/>
          <w:szCs w:val="22"/>
        </w:rPr>
      </w:pPr>
      <w:r>
        <w:rPr>
          <w:rFonts w:ascii="STXingkai" w:hAnsi="STXingkai" w:eastAsia="STXingkai" w:cs="STXingkai"/>
          <w:sz w:val="22"/>
          <w:szCs w:val="22"/>
          <w:spacing w:val="-15"/>
        </w:rPr>
        <w:t>●</w:t>
      </w:r>
      <w:r>
        <w:rPr>
          <w:rFonts w:ascii="STXingkai" w:hAnsi="STXingkai" w:eastAsia="STXingkai" w:cs="STXingkai"/>
          <w:sz w:val="22"/>
          <w:szCs w:val="22"/>
          <w:spacing w:val="36"/>
          <w:w w:val="101"/>
        </w:rPr>
        <w:t xml:space="preserve"> </w:t>
      </w:r>
      <w:r>
        <w:rPr>
          <w:rFonts w:ascii="SimSun" w:hAnsi="SimSun" w:eastAsia="SimSun" w:cs="SimSun"/>
          <w:sz w:val="22"/>
          <w:szCs w:val="22"/>
          <w:spacing w:val="-15"/>
        </w:rPr>
        <w:t>为数据存储的维护计划提供反馈；</w:t>
      </w:r>
    </w:p>
    <w:p>
      <w:pPr>
        <w:ind w:left="660"/>
        <w:spacing w:before="1" w:line="219" w:lineRule="auto"/>
        <w:rPr>
          <w:rFonts w:ascii="SimSun" w:hAnsi="SimSun" w:eastAsia="SimSun" w:cs="SimSun"/>
          <w:sz w:val="22"/>
          <w:szCs w:val="22"/>
        </w:rPr>
      </w:pPr>
      <w:r>
        <w:rPr>
          <w:rFonts w:ascii="SimSun" w:hAnsi="SimSun" w:eastAsia="SimSun" w:cs="SimSun"/>
          <w:sz w:val="22"/>
          <w:szCs w:val="22"/>
          <w:spacing w:val="-9"/>
        </w:rPr>
        <w:t>●在执行数据变更后维护参照完整性。</w:t>
      </w:r>
    </w:p>
    <w:p>
      <w:pPr>
        <w:spacing w:line="124" w:lineRule="exact"/>
        <w:rPr/>
      </w:pPr>
      <w:r/>
    </w:p>
    <w:tbl>
      <w:tblPr>
        <w:tblStyle w:val="TableNormal"/>
        <w:tblW w:w="7600"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6"/>
        <w:gridCol w:w="3740"/>
      </w:tblGrid>
      <w:tr>
        <w:trPr>
          <w:trHeight w:val="313" w:hRule="atLeast"/>
        </w:trPr>
        <w:tc>
          <w:tcPr>
            <w:tcW w:w="714" w:type="dxa"/>
            <w:vAlign w:val="top"/>
          </w:tcPr>
          <w:p>
            <w:pPr>
              <w:pStyle w:val="TableText"/>
              <w:ind w:left="195"/>
              <w:spacing w:before="81" w:line="221" w:lineRule="auto"/>
              <w:rPr/>
            </w:pPr>
            <w:r>
              <w:rPr>
                <w:spacing w:val="-2"/>
              </w:rPr>
              <w:t>序号</w:t>
            </w:r>
          </w:p>
        </w:tc>
        <w:tc>
          <w:tcPr>
            <w:tcW w:w="3146" w:type="dxa"/>
            <w:vAlign w:val="top"/>
          </w:tcPr>
          <w:p>
            <w:pPr>
              <w:pStyle w:val="TableText"/>
              <w:ind w:left="117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5"/>
              <w:spacing w:before="81" w:line="220" w:lineRule="auto"/>
              <w:rPr/>
            </w:pPr>
            <w:r>
              <w:rPr>
                <w:spacing w:val="-5"/>
              </w:rPr>
              <w:t>实</w:t>
            </w:r>
            <w:r>
              <w:rPr>
                <w:spacing w:val="6"/>
              </w:rPr>
              <w:t xml:space="preserve">    </w:t>
            </w:r>
            <w:r>
              <w:rPr>
                <w:spacing w:val="-5"/>
              </w:rPr>
              <w:t>例</w:t>
            </w:r>
          </w:p>
        </w:tc>
      </w:tr>
      <w:tr>
        <w:trPr>
          <w:trHeight w:val="1406" w:hRule="atLeast"/>
        </w:trPr>
        <w:tc>
          <w:tcPr>
            <w:tcW w:w="714" w:type="dxa"/>
            <w:vAlign w:val="top"/>
          </w:tcPr>
          <w:p>
            <w:pPr>
              <w:spacing w:line="307" w:lineRule="auto"/>
              <w:rPr>
                <w:rFonts w:ascii="Arial"/>
                <w:sz w:val="21"/>
              </w:rPr>
            </w:pPr>
            <w:r/>
          </w:p>
          <w:p>
            <w:pPr>
              <w:spacing w:line="307" w:lineRule="auto"/>
              <w:rPr>
                <w:rFonts w:ascii="Arial"/>
                <w:sz w:val="21"/>
              </w:rPr>
            </w:pPr>
            <w:r/>
          </w:p>
          <w:p>
            <w:pPr>
              <w:pStyle w:val="TableText"/>
              <w:ind w:left="235"/>
              <w:spacing w:before="49" w:line="183" w:lineRule="auto"/>
              <w:rPr/>
            </w:pPr>
            <w:r>
              <w:rPr>
                <w:spacing w:val="-2"/>
              </w:rPr>
              <w:t>2.7</w:t>
            </w:r>
          </w:p>
        </w:tc>
        <w:tc>
          <w:tcPr>
            <w:tcW w:w="3146" w:type="dxa"/>
            <w:vAlign w:val="top"/>
          </w:tcPr>
          <w:p>
            <w:pPr>
              <w:spacing w:line="446" w:lineRule="auto"/>
              <w:rPr>
                <w:rFonts w:ascii="Arial"/>
                <w:sz w:val="21"/>
              </w:rPr>
            </w:pPr>
            <w:r/>
          </w:p>
          <w:p>
            <w:pPr>
              <w:pStyle w:val="TableText"/>
              <w:ind w:left="121" w:right="162" w:firstLine="159"/>
              <w:spacing w:before="49" w:line="282" w:lineRule="auto"/>
              <w:rPr/>
            </w:pPr>
            <w:r>
              <w:rPr>
                <w:spacing w:val="-1"/>
              </w:rPr>
              <w:t>数据清洗的相关问题得到沟通和解决，尽</w:t>
            </w:r>
            <w:r>
              <w:rPr>
                <w:spacing w:val="9"/>
              </w:rPr>
              <w:t xml:space="preserve"> </w:t>
            </w:r>
            <w:r>
              <w:rPr>
                <w:spacing w:val="-1"/>
              </w:rPr>
              <w:t>可能在内部或外部数据源头处进行清洗</w:t>
            </w:r>
          </w:p>
        </w:tc>
        <w:tc>
          <w:tcPr>
            <w:tcW w:w="3740" w:type="dxa"/>
            <w:vAlign w:val="top"/>
          </w:tcPr>
          <w:p>
            <w:pPr>
              <w:pStyle w:val="TableText"/>
              <w:ind w:left="255"/>
              <w:spacing w:before="78" w:line="219" w:lineRule="auto"/>
              <w:rPr/>
            </w:pPr>
            <w:r>
              <w:rPr/>
              <w:t>●数据清洗方针</w:t>
            </w:r>
          </w:p>
          <w:p>
            <w:pPr>
              <w:pStyle w:val="TableText"/>
              <w:ind w:left="255"/>
              <w:spacing w:before="102" w:line="219" w:lineRule="auto"/>
              <w:rPr/>
            </w:pPr>
            <w:r>
              <w:rPr>
                <w:spacing w:val="1"/>
              </w:rPr>
              <w:t>●数据清洗过程和规则</w:t>
            </w:r>
          </w:p>
          <w:p>
            <w:pPr>
              <w:pStyle w:val="TableText"/>
              <w:ind w:left="255"/>
              <w:spacing w:before="102" w:line="219" w:lineRule="auto"/>
              <w:rPr/>
            </w:pPr>
            <w:r>
              <w:rPr>
                <w:spacing w:val="1"/>
              </w:rPr>
              <w:t>●数据清洗的度量项</w:t>
            </w:r>
          </w:p>
          <w:p>
            <w:pPr>
              <w:pStyle w:val="TableText"/>
              <w:ind w:left="255"/>
              <w:spacing w:before="92" w:line="219" w:lineRule="auto"/>
              <w:rPr/>
            </w:pPr>
            <w:r>
              <w:rPr>
                <w:spacing w:val="1"/>
              </w:rPr>
              <w:t>●数据清洗的计划</w:t>
            </w:r>
          </w:p>
          <w:p>
            <w:pPr>
              <w:pStyle w:val="TableText"/>
              <w:ind w:left="255"/>
              <w:spacing w:before="121" w:line="219" w:lineRule="auto"/>
              <w:rPr/>
            </w:pPr>
            <w:r>
              <w:rPr/>
              <w:t>●数据清洗的问题</w:t>
            </w:r>
          </w:p>
        </w:tc>
      </w:tr>
    </w:tbl>
    <w:p>
      <w:pPr>
        <w:ind w:left="550"/>
        <w:spacing w:before="19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97" w:firstLine="390"/>
        <w:spacing w:before="38" w:line="250" w:lineRule="auto"/>
        <w:rPr>
          <w:rFonts w:ascii="SimSun" w:hAnsi="SimSun" w:eastAsia="SimSun" w:cs="SimSun"/>
          <w:sz w:val="22"/>
          <w:szCs w:val="22"/>
        </w:rPr>
      </w:pPr>
      <w:r>
        <w:rPr>
          <w:rFonts w:ascii="SimSun" w:hAnsi="SimSun" w:eastAsia="SimSun" w:cs="SimSun"/>
          <w:sz w:val="22"/>
          <w:szCs w:val="22"/>
          <w:spacing w:val="-8"/>
        </w:rPr>
        <w:t>避免在多个场景多个实例中花费时间与精力清洗相同</w:t>
      </w:r>
      <w:r>
        <w:rPr>
          <w:rFonts w:ascii="SimSun" w:hAnsi="SimSun" w:eastAsia="SimSun" w:cs="SimSun"/>
          <w:sz w:val="22"/>
          <w:szCs w:val="22"/>
          <w:spacing w:val="-9"/>
        </w:rPr>
        <w:t>的数据集，最佳的实践方</w:t>
      </w:r>
      <w:r>
        <w:rPr>
          <w:rFonts w:ascii="SimSun" w:hAnsi="SimSun" w:eastAsia="SimSun" w:cs="SimSun"/>
          <w:sz w:val="22"/>
          <w:szCs w:val="22"/>
        </w:rPr>
        <w:t xml:space="preserve"> </w:t>
      </w:r>
      <w:r>
        <w:rPr>
          <w:rFonts w:ascii="SimSun" w:hAnsi="SimSun" w:eastAsia="SimSun" w:cs="SimSun"/>
          <w:sz w:val="22"/>
          <w:szCs w:val="22"/>
          <w:spacing w:val="-8"/>
        </w:rPr>
        <w:t>法是从源头进行预防。在云计算场景中，数据的源</w:t>
      </w:r>
      <w:r>
        <w:rPr>
          <w:rFonts w:ascii="SimSun" w:hAnsi="SimSun" w:eastAsia="SimSun" w:cs="SimSun"/>
          <w:sz w:val="22"/>
          <w:szCs w:val="22"/>
          <w:spacing w:val="-9"/>
        </w:rPr>
        <w:t>头包括组织内部和外部的多个来</w:t>
      </w:r>
      <w:r>
        <w:rPr>
          <w:rFonts w:ascii="SimSun" w:hAnsi="SimSun" w:eastAsia="SimSun" w:cs="SimSun"/>
          <w:sz w:val="22"/>
          <w:szCs w:val="22"/>
        </w:rPr>
        <w:t xml:space="preserve"> </w:t>
      </w:r>
      <w:r>
        <w:rPr>
          <w:rFonts w:ascii="SimSun" w:hAnsi="SimSun" w:eastAsia="SimSun" w:cs="SimSun"/>
          <w:sz w:val="22"/>
          <w:szCs w:val="22"/>
          <w:spacing w:val="-8"/>
        </w:rPr>
        <w:t>源，对来源进行存储和实施</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8"/>
        </w:rPr>
        <w:t>ETL</w:t>
      </w:r>
      <w:r>
        <w:rPr>
          <w:rFonts w:ascii="SimSun" w:hAnsi="SimSun" w:eastAsia="SimSun" w:cs="SimSun"/>
          <w:sz w:val="22"/>
          <w:szCs w:val="22"/>
          <w:spacing w:val="-8"/>
        </w:rPr>
        <w:t>过程，匹配以</w:t>
      </w:r>
      <w:r>
        <w:rPr>
          <w:rFonts w:ascii="SimSun" w:hAnsi="SimSun" w:eastAsia="SimSun" w:cs="SimSun"/>
          <w:sz w:val="22"/>
          <w:szCs w:val="22"/>
          <w:spacing w:val="-9"/>
        </w:rPr>
        <w:t>数据清洗机制，这样尽可能地从源头</w:t>
      </w:r>
      <w:r>
        <w:rPr>
          <w:rFonts w:ascii="SimSun" w:hAnsi="SimSun" w:eastAsia="SimSun" w:cs="SimSun"/>
          <w:sz w:val="22"/>
          <w:szCs w:val="22"/>
        </w:rPr>
        <w:t xml:space="preserve"> </w:t>
      </w:r>
      <w:r>
        <w:rPr>
          <w:rFonts w:ascii="SimSun" w:hAnsi="SimSun" w:eastAsia="SimSun" w:cs="SimSun"/>
          <w:sz w:val="22"/>
          <w:szCs w:val="22"/>
          <w:spacing w:val="-14"/>
        </w:rPr>
        <w:t>保证数据的质量。</w:t>
      </w:r>
    </w:p>
    <w:p>
      <w:pPr>
        <w:ind w:left="660"/>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30"/>
          <w:w w:val="101"/>
        </w:rPr>
        <w:t xml:space="preserve"> </w:t>
      </w:r>
      <w:r>
        <w:rPr>
          <w:rFonts w:ascii="Times New Roman" w:hAnsi="Times New Roman" w:eastAsia="Times New Roman" w:cs="Times New Roman"/>
          <w:sz w:val="22"/>
          <w:szCs w:val="22"/>
          <w:b/>
          <w:bCs/>
          <w:spacing w:val="-4"/>
        </w:rPr>
        <w:t>3:</w:t>
      </w:r>
      <w:r>
        <w:rPr>
          <w:rFonts w:ascii="Times New Roman" w:hAnsi="Times New Roman" w:eastAsia="Times New Roman" w:cs="Times New Roman"/>
          <w:sz w:val="22"/>
          <w:szCs w:val="22"/>
          <w:b/>
          <w:bCs/>
          <w:spacing w:val="49"/>
          <w:w w:val="101"/>
        </w:rPr>
        <w:t xml:space="preserve"> </w:t>
      </w:r>
      <w:r>
        <w:rPr>
          <w:rFonts w:ascii="SimHei" w:hAnsi="SimHei" w:eastAsia="SimHei" w:cs="SimHei"/>
          <w:sz w:val="22"/>
          <w:szCs w:val="22"/>
          <w:b/>
          <w:bCs/>
          <w:spacing w:val="-4"/>
        </w:rPr>
        <w:t>定义级</w:t>
      </w:r>
    </w:p>
    <w:p>
      <w:pPr>
        <w:spacing w:line="127" w:lineRule="exact"/>
        <w:rPr/>
      </w:pPr>
      <w:r/>
    </w:p>
    <w:tbl>
      <w:tblPr>
        <w:tblStyle w:val="TableNormal"/>
        <w:tblW w:w="759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22" w:hRule="atLeast"/>
        </w:trPr>
        <w:tc>
          <w:tcPr>
            <w:tcW w:w="714" w:type="dxa"/>
            <w:vAlign w:val="top"/>
          </w:tcPr>
          <w:p>
            <w:pPr>
              <w:pStyle w:val="TableText"/>
              <w:ind w:left="195"/>
              <w:spacing w:before="92" w:line="221" w:lineRule="auto"/>
              <w:rPr/>
            </w:pPr>
            <w:r>
              <w:rPr>
                <w:spacing w:val="-2"/>
              </w:rPr>
              <w:t>序号</w:t>
            </w:r>
          </w:p>
        </w:tc>
        <w:tc>
          <w:tcPr>
            <w:tcW w:w="3145" w:type="dxa"/>
            <w:vAlign w:val="top"/>
          </w:tcPr>
          <w:p>
            <w:pPr>
              <w:pStyle w:val="TableText"/>
              <w:ind w:left="114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40" w:type="dxa"/>
            <w:vAlign w:val="top"/>
          </w:tcPr>
          <w:p>
            <w:pPr>
              <w:pStyle w:val="TableText"/>
              <w:ind w:left="1566"/>
              <w:spacing w:before="91" w:line="220" w:lineRule="auto"/>
              <w:rPr/>
            </w:pPr>
            <w:r>
              <w:rPr>
                <w:spacing w:val="-5"/>
              </w:rPr>
              <w:t>实</w:t>
            </w:r>
            <w:r>
              <w:rPr>
                <w:spacing w:val="1"/>
              </w:rPr>
              <w:t xml:space="preserve">   </w:t>
            </w:r>
            <w:r>
              <w:rPr>
                <w:spacing w:val="-5"/>
              </w:rPr>
              <w:t>例</w:t>
            </w:r>
          </w:p>
        </w:tc>
      </w:tr>
      <w:tr>
        <w:trPr>
          <w:trHeight w:val="848" w:hRule="atLeast"/>
        </w:trPr>
        <w:tc>
          <w:tcPr>
            <w:tcW w:w="714" w:type="dxa"/>
            <w:vAlign w:val="top"/>
          </w:tcPr>
          <w:p>
            <w:pPr>
              <w:spacing w:line="336" w:lineRule="auto"/>
              <w:rPr>
                <w:rFonts w:ascii="Arial"/>
                <w:sz w:val="21"/>
              </w:rPr>
            </w:pPr>
            <w:r/>
          </w:p>
          <w:p>
            <w:pPr>
              <w:pStyle w:val="TableText"/>
              <w:ind w:left="235"/>
              <w:spacing w:before="49" w:line="184" w:lineRule="auto"/>
              <w:rPr/>
            </w:pPr>
            <w:r>
              <w:rPr>
                <w:spacing w:val="-2"/>
              </w:rPr>
              <w:t>3.1</w:t>
            </w:r>
          </w:p>
        </w:tc>
        <w:tc>
          <w:tcPr>
            <w:tcW w:w="3145" w:type="dxa"/>
            <w:vAlign w:val="top"/>
          </w:tcPr>
          <w:p>
            <w:pPr>
              <w:spacing w:line="298" w:lineRule="auto"/>
              <w:rPr>
                <w:rFonts w:ascii="Arial"/>
                <w:sz w:val="21"/>
              </w:rPr>
            </w:pPr>
            <w:r/>
          </w:p>
          <w:p>
            <w:pPr>
              <w:pStyle w:val="TableText"/>
              <w:ind w:left="141"/>
              <w:spacing w:before="49" w:line="219" w:lineRule="auto"/>
              <w:rPr/>
            </w:pPr>
            <w:r>
              <w:rPr>
                <w:spacing w:val="-1"/>
              </w:rPr>
              <w:t>在所有清洗活动中维护数据更改的历史记录</w:t>
            </w:r>
          </w:p>
        </w:tc>
        <w:tc>
          <w:tcPr>
            <w:tcW w:w="3740" w:type="dxa"/>
            <w:vAlign w:val="top"/>
          </w:tcPr>
          <w:p>
            <w:pPr>
              <w:pStyle w:val="TableText"/>
              <w:ind w:left="265"/>
              <w:spacing w:before="89" w:line="219" w:lineRule="auto"/>
              <w:rPr/>
            </w:pPr>
            <w:r>
              <w:rPr>
                <w:spacing w:val="1"/>
              </w:rPr>
              <w:t>●数据变更记录</w:t>
            </w:r>
          </w:p>
          <w:p>
            <w:pPr>
              <w:pStyle w:val="TableText"/>
              <w:ind w:left="265"/>
              <w:spacing w:before="112" w:line="219" w:lineRule="auto"/>
              <w:rPr/>
            </w:pPr>
            <w:r>
              <w:rPr/>
              <w:t>●数据规则的变更</w:t>
            </w:r>
          </w:p>
          <w:p>
            <w:pPr>
              <w:pStyle w:val="TableText"/>
              <w:ind w:left="265"/>
              <w:spacing w:before="92" w:line="219" w:lineRule="auto"/>
              <w:rPr/>
            </w:pPr>
            <w:r>
              <w:rPr/>
              <w:t>●数据规则之间的联系性分析</w:t>
            </w:r>
          </w:p>
        </w:tc>
      </w:tr>
    </w:tbl>
    <w:p>
      <w:pPr>
        <w:ind w:left="550"/>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firstLine="390"/>
        <w:spacing w:before="57" w:line="241" w:lineRule="auto"/>
        <w:rPr>
          <w:rFonts w:ascii="SimSun" w:hAnsi="SimSun" w:eastAsia="SimSun" w:cs="SimSun"/>
          <w:sz w:val="22"/>
          <w:szCs w:val="22"/>
        </w:rPr>
      </w:pPr>
      <w:r>
        <w:rPr>
          <w:rFonts w:ascii="SimSun" w:hAnsi="SimSun" w:eastAsia="SimSun" w:cs="SimSun"/>
          <w:sz w:val="22"/>
          <w:szCs w:val="22"/>
          <w:spacing w:val="-8"/>
        </w:rPr>
        <w:t>清洗规则的可追溯性，能够反映出数据变更的历史，即</w:t>
      </w:r>
      <w:r>
        <w:rPr>
          <w:rFonts w:ascii="SimSun" w:hAnsi="SimSun" w:eastAsia="SimSun" w:cs="SimSun"/>
          <w:sz w:val="22"/>
          <w:szCs w:val="22"/>
          <w:spacing w:val="-9"/>
        </w:rPr>
        <w:t>从规则需求的生成到变</w:t>
      </w:r>
      <w:r>
        <w:rPr>
          <w:rFonts w:ascii="SimSun" w:hAnsi="SimSun" w:eastAsia="SimSun" w:cs="SimSun"/>
          <w:sz w:val="22"/>
          <w:szCs w:val="22"/>
        </w:rPr>
        <w:t xml:space="preserve">  </w:t>
      </w:r>
      <w:r>
        <w:rPr>
          <w:rFonts w:ascii="SimSun" w:hAnsi="SimSun" w:eastAsia="SimSun" w:cs="SimSun"/>
          <w:sz w:val="22"/>
          <w:szCs w:val="22"/>
          <w:spacing w:val="-9"/>
        </w:rPr>
        <w:t>更发生再到规则之间的相互联系，是具备可追溯性的。云端环境</w:t>
      </w:r>
      <w:r>
        <w:rPr>
          <w:rFonts w:ascii="SimSun" w:hAnsi="SimSun" w:eastAsia="SimSun" w:cs="SimSun"/>
          <w:sz w:val="22"/>
          <w:szCs w:val="22"/>
          <w:spacing w:val="-10"/>
        </w:rPr>
        <w:t>下，多源数据的可</w:t>
      </w:r>
      <w:r>
        <w:rPr>
          <w:rFonts w:ascii="SimSun" w:hAnsi="SimSun" w:eastAsia="SimSun" w:cs="SimSun"/>
          <w:sz w:val="22"/>
          <w:szCs w:val="22"/>
        </w:rPr>
        <w:t xml:space="preserve">  </w:t>
      </w:r>
      <w:r>
        <w:rPr>
          <w:rFonts w:ascii="SimSun" w:hAnsi="SimSun" w:eastAsia="SimSun" w:cs="SimSun"/>
          <w:sz w:val="22"/>
          <w:szCs w:val="22"/>
          <w:spacing w:val="-11"/>
        </w:rPr>
        <w:t>追溯性会变得更加复杂，因此需要针对可追溯性建立</w:t>
      </w:r>
      <w:r>
        <w:rPr>
          <w:rFonts w:ascii="SimSun" w:hAnsi="SimSun" w:eastAsia="SimSun" w:cs="SimSun"/>
          <w:sz w:val="22"/>
          <w:szCs w:val="22"/>
          <w:spacing w:val="-12"/>
        </w:rPr>
        <w:t>相应的参考表结构和关联模型。</w:t>
      </w:r>
    </w:p>
    <w:p>
      <w:pPr>
        <w:spacing w:line="136" w:lineRule="exact"/>
        <w:rPr/>
      </w:pPr>
      <w:r/>
    </w:p>
    <w:tbl>
      <w:tblPr>
        <w:tblStyle w:val="TableNormal"/>
        <w:tblW w:w="761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36"/>
        <w:gridCol w:w="3750"/>
      </w:tblGrid>
      <w:tr>
        <w:trPr>
          <w:trHeight w:val="321" w:hRule="atLeast"/>
        </w:trPr>
        <w:tc>
          <w:tcPr>
            <w:tcW w:w="724" w:type="dxa"/>
            <w:vAlign w:val="top"/>
          </w:tcPr>
          <w:p>
            <w:pPr>
              <w:pStyle w:val="TableText"/>
              <w:ind w:left="194"/>
              <w:spacing w:before="82" w:line="221" w:lineRule="auto"/>
              <w:rPr>
                <w:sz w:val="16"/>
                <w:szCs w:val="16"/>
              </w:rPr>
            </w:pPr>
            <w:r>
              <w:rPr>
                <w:sz w:val="16"/>
                <w:szCs w:val="16"/>
                <w:spacing w:val="-2"/>
              </w:rPr>
              <w:t>序号</w:t>
            </w:r>
          </w:p>
        </w:tc>
        <w:tc>
          <w:tcPr>
            <w:tcW w:w="3136" w:type="dxa"/>
            <w:vAlign w:val="top"/>
          </w:tcPr>
          <w:p>
            <w:pPr>
              <w:pStyle w:val="TableText"/>
              <w:ind w:left="1160"/>
              <w:spacing w:before="81" w:line="219" w:lineRule="auto"/>
              <w:rPr>
                <w:sz w:val="16"/>
                <w:szCs w:val="16"/>
              </w:rPr>
            </w:pPr>
            <w:r>
              <w:rPr>
                <w:sz w:val="16"/>
                <w:szCs w:val="16"/>
                <w:spacing w:val="-4"/>
              </w:rPr>
              <w:t>等 级 要 求</w:t>
            </w:r>
          </w:p>
        </w:tc>
        <w:tc>
          <w:tcPr>
            <w:tcW w:w="3750" w:type="dxa"/>
            <w:vAlign w:val="top"/>
          </w:tcPr>
          <w:p>
            <w:pPr>
              <w:pStyle w:val="TableText"/>
              <w:ind w:left="1584"/>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9" w:hRule="atLeast"/>
        </w:trPr>
        <w:tc>
          <w:tcPr>
            <w:tcW w:w="724" w:type="dxa"/>
            <w:vAlign w:val="top"/>
          </w:tcPr>
          <w:p>
            <w:pPr>
              <w:pStyle w:val="TableText"/>
              <w:ind w:left="234"/>
              <w:spacing w:before="251" w:line="183" w:lineRule="auto"/>
              <w:rPr>
                <w:sz w:val="16"/>
                <w:szCs w:val="16"/>
              </w:rPr>
            </w:pPr>
            <w:r>
              <w:rPr>
                <w:sz w:val="16"/>
                <w:szCs w:val="16"/>
                <w:spacing w:val="-3"/>
              </w:rPr>
              <w:t>3.2</w:t>
            </w:r>
          </w:p>
        </w:tc>
        <w:tc>
          <w:tcPr>
            <w:tcW w:w="3136" w:type="dxa"/>
            <w:vAlign w:val="top"/>
          </w:tcPr>
          <w:p>
            <w:pPr>
              <w:pStyle w:val="TableText"/>
              <w:ind w:left="110" w:firstLine="149"/>
              <w:spacing w:before="90" w:line="270" w:lineRule="auto"/>
              <w:rPr>
                <w:sz w:val="16"/>
                <w:szCs w:val="16"/>
              </w:rPr>
            </w:pPr>
            <w:r>
              <w:rPr>
                <w:sz w:val="16"/>
                <w:szCs w:val="16"/>
                <w:spacing w:val="-1"/>
              </w:rPr>
              <w:t>通过策略、过程和程序，从源头上保证数</w:t>
            </w:r>
            <w:r>
              <w:rPr>
                <w:sz w:val="16"/>
                <w:szCs w:val="16"/>
                <w:spacing w:val="2"/>
              </w:rPr>
              <w:t xml:space="preserve"> </w:t>
            </w:r>
            <w:r>
              <w:rPr>
                <w:sz w:val="16"/>
                <w:szCs w:val="16"/>
                <w:spacing w:val="-1"/>
              </w:rPr>
              <w:t>据清洗活动与发布的规则一致</w:t>
            </w:r>
          </w:p>
        </w:tc>
        <w:tc>
          <w:tcPr>
            <w:tcW w:w="3750" w:type="dxa"/>
            <w:vAlign w:val="top"/>
          </w:tcPr>
          <w:p>
            <w:pPr>
              <w:pStyle w:val="TableText"/>
              <w:ind w:left="274"/>
              <w:spacing w:before="80" w:line="219" w:lineRule="auto"/>
              <w:rPr>
                <w:sz w:val="16"/>
                <w:szCs w:val="16"/>
              </w:rPr>
            </w:pPr>
            <w:r>
              <w:rPr>
                <w:sz w:val="16"/>
                <w:szCs w:val="16"/>
              </w:rPr>
              <w:t>●数据清洗过程的监督</w:t>
            </w:r>
          </w:p>
          <w:p>
            <w:pPr>
              <w:pStyle w:val="TableText"/>
              <w:ind w:left="264"/>
              <w:spacing w:before="99" w:line="218" w:lineRule="auto"/>
              <w:rPr>
                <w:sz w:val="16"/>
                <w:szCs w:val="16"/>
              </w:rPr>
            </w:pPr>
            <w:r>
              <w:rPr>
                <w:sz w:val="16"/>
                <w:szCs w:val="16"/>
              </w:rPr>
              <w:t>●数据清洗结果与数据质量规则的一致性分析</w:t>
            </w:r>
          </w:p>
        </w:tc>
      </w:tr>
    </w:tbl>
    <w:p>
      <w:pPr>
        <w:ind w:left="55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660"/>
        <w:spacing w:before="57" w:line="219" w:lineRule="auto"/>
        <w:rPr>
          <w:rFonts w:ascii="SimSun" w:hAnsi="SimSun" w:eastAsia="SimSun" w:cs="SimSun"/>
          <w:sz w:val="22"/>
          <w:szCs w:val="22"/>
        </w:rPr>
      </w:pPr>
      <w:r>
        <w:rPr>
          <w:rFonts w:ascii="SimSun" w:hAnsi="SimSun" w:eastAsia="SimSun" w:cs="SimSun"/>
          <w:sz w:val="22"/>
          <w:szCs w:val="22"/>
          <w:spacing w:val="-9"/>
        </w:rPr>
        <w:t>数据清洗的规则是一套统一的、具有高度一致性的、公开发布的指导性文件，</w:t>
      </w:r>
    </w:p>
    <w:p>
      <w:pPr>
        <w:spacing w:line="219" w:lineRule="auto"/>
        <w:sectPr>
          <w:footerReference w:type="default" r:id="rId294"/>
          <w:pgSz w:w="8870" w:h="13400"/>
          <w:pgMar w:top="400" w:right="409" w:bottom="535" w:left="470" w:header="0" w:footer="316" w:gutter="0"/>
        </w:sectPr>
        <w:rPr>
          <w:rFonts w:ascii="SimSun" w:hAnsi="SimSun" w:eastAsia="SimSun" w:cs="SimSun"/>
          <w:sz w:val="22"/>
          <w:szCs w:val="22"/>
        </w:rPr>
      </w:pPr>
    </w:p>
    <w:p>
      <w:pPr>
        <w:ind w:left="5493"/>
        <w:spacing w:before="194" w:line="219" w:lineRule="auto"/>
        <w:rPr>
          <w:rFonts w:ascii="SimSun" w:hAnsi="SimSun" w:eastAsia="SimSun" w:cs="SimSun"/>
          <w:sz w:val="21"/>
          <w:szCs w:val="21"/>
        </w:rPr>
      </w:pPr>
      <w:r>
        <w:rPr>
          <w:rFonts w:ascii="SimSun" w:hAnsi="SimSun" w:eastAsia="SimSun" w:cs="SimSun"/>
          <w:sz w:val="21"/>
          <w:szCs w:val="21"/>
          <w:b/>
          <w:bCs/>
          <w:spacing w:val="16"/>
        </w:rPr>
        <w:t>第6章■云端数据质量</w:t>
      </w:r>
    </w:p>
    <w:p>
      <w:pPr>
        <w:pStyle w:val="BodyText"/>
        <w:spacing w:line="253" w:lineRule="auto"/>
        <w:rPr/>
      </w:pPr>
      <w:r/>
    </w:p>
    <w:p>
      <w:pPr>
        <w:ind w:right="262"/>
        <w:spacing w:before="69" w:line="261" w:lineRule="auto"/>
        <w:jc w:val="both"/>
        <w:rPr>
          <w:rFonts w:ascii="SimSun" w:hAnsi="SimSun" w:eastAsia="SimSun" w:cs="SimSun"/>
          <w:sz w:val="21"/>
          <w:szCs w:val="21"/>
        </w:rPr>
      </w:pPr>
      <w:r>
        <w:rPr>
          <w:rFonts w:ascii="SimSun" w:hAnsi="SimSun" w:eastAsia="SimSun" w:cs="SimSun"/>
          <w:sz w:val="21"/>
          <w:szCs w:val="21"/>
          <w:spacing w:val="2"/>
        </w:rPr>
        <w:t>组织任何的数据清洗活动，不应违背该规则，否则</w:t>
      </w:r>
      <w:r>
        <w:rPr>
          <w:rFonts w:ascii="SimSun" w:hAnsi="SimSun" w:eastAsia="SimSun" w:cs="SimSun"/>
          <w:sz w:val="21"/>
          <w:szCs w:val="21"/>
          <w:spacing w:val="1"/>
        </w:rPr>
        <w:t>产生垃圾数据和脏数据，直接影</w:t>
      </w:r>
      <w:r>
        <w:rPr>
          <w:rFonts w:ascii="SimSun" w:hAnsi="SimSun" w:eastAsia="SimSun" w:cs="SimSun"/>
          <w:sz w:val="21"/>
          <w:szCs w:val="21"/>
        </w:rPr>
        <w:t xml:space="preserve"> </w:t>
      </w:r>
      <w:r>
        <w:rPr>
          <w:rFonts w:ascii="SimSun" w:hAnsi="SimSun" w:eastAsia="SimSun" w:cs="SimSun"/>
          <w:sz w:val="21"/>
          <w:szCs w:val="21"/>
          <w:spacing w:val="2"/>
        </w:rPr>
        <w:t>响业务运行。应通过有效的管理策略、管理过</w:t>
      </w:r>
      <w:r>
        <w:rPr>
          <w:rFonts w:ascii="SimSun" w:hAnsi="SimSun" w:eastAsia="SimSun" w:cs="SimSun"/>
          <w:sz w:val="21"/>
          <w:szCs w:val="21"/>
          <w:spacing w:val="1"/>
        </w:rPr>
        <w:t>程和管理程序，从业务需求的源头保</w:t>
      </w:r>
      <w:r>
        <w:rPr>
          <w:rFonts w:ascii="SimSun" w:hAnsi="SimSun" w:eastAsia="SimSun" w:cs="SimSun"/>
          <w:sz w:val="21"/>
          <w:szCs w:val="21"/>
        </w:rPr>
        <w:t xml:space="preserve"> </w:t>
      </w:r>
      <w:r>
        <w:rPr>
          <w:rFonts w:ascii="SimSun" w:hAnsi="SimSun" w:eastAsia="SimSun" w:cs="SimSun"/>
          <w:sz w:val="21"/>
          <w:szCs w:val="21"/>
          <w:spacing w:val="-4"/>
        </w:rPr>
        <w:t>证数据清洗活动与规则一致。</w:t>
      </w:r>
    </w:p>
    <w:p>
      <w:pPr>
        <w:spacing w:line="117" w:lineRule="exact"/>
        <w:rPr/>
      </w:pPr>
      <w:r/>
    </w:p>
    <w:tbl>
      <w:tblPr>
        <w:tblStyle w:val="TableNormal"/>
        <w:tblW w:w="758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2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50"/>
              <w:spacing w:before="81" w:line="219" w:lineRule="auto"/>
              <w:rPr>
                <w:sz w:val="16"/>
                <w:szCs w:val="16"/>
              </w:rPr>
            </w:pPr>
            <w:r>
              <w:rPr>
                <w:sz w:val="16"/>
                <w:szCs w:val="16"/>
                <w:spacing w:val="-4"/>
              </w:rPr>
              <w:t>等 级 要 求</w:t>
            </w:r>
          </w:p>
        </w:tc>
        <w:tc>
          <w:tcPr>
            <w:tcW w:w="3750" w:type="dxa"/>
            <w:vAlign w:val="top"/>
          </w:tcPr>
          <w:p>
            <w:pPr>
              <w:pStyle w:val="TableText"/>
              <w:ind w:left="1565"/>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68" w:hRule="atLeast"/>
        </w:trPr>
        <w:tc>
          <w:tcPr>
            <w:tcW w:w="704" w:type="dxa"/>
            <w:vAlign w:val="top"/>
          </w:tcPr>
          <w:p>
            <w:pPr>
              <w:pStyle w:val="TableText"/>
              <w:ind w:left="224"/>
              <w:spacing w:before="251" w:line="183" w:lineRule="auto"/>
              <w:rPr>
                <w:sz w:val="16"/>
                <w:szCs w:val="16"/>
              </w:rPr>
            </w:pPr>
            <w:r>
              <w:rPr>
                <w:sz w:val="16"/>
                <w:szCs w:val="16"/>
                <w:spacing w:val="-3"/>
              </w:rPr>
              <w:t>3.3</w:t>
            </w:r>
          </w:p>
        </w:tc>
        <w:tc>
          <w:tcPr>
            <w:tcW w:w="3135" w:type="dxa"/>
            <w:vAlign w:val="top"/>
          </w:tcPr>
          <w:p>
            <w:pPr>
              <w:pStyle w:val="TableText"/>
              <w:ind w:left="260"/>
              <w:spacing w:before="210" w:line="219" w:lineRule="auto"/>
              <w:rPr>
                <w:sz w:val="16"/>
                <w:szCs w:val="16"/>
              </w:rPr>
            </w:pPr>
            <w:r>
              <w:rPr>
                <w:sz w:val="16"/>
                <w:szCs w:val="16"/>
              </w:rPr>
              <w:t>整个组织使用一致的数据清洗规则</w:t>
            </w:r>
          </w:p>
        </w:tc>
        <w:tc>
          <w:tcPr>
            <w:tcW w:w="3750" w:type="dxa"/>
            <w:vAlign w:val="top"/>
          </w:tcPr>
          <w:p>
            <w:pPr>
              <w:pStyle w:val="TableText"/>
              <w:ind w:left="275"/>
              <w:spacing w:before="80" w:line="219" w:lineRule="auto"/>
              <w:rPr>
                <w:sz w:val="16"/>
                <w:szCs w:val="16"/>
              </w:rPr>
            </w:pPr>
            <w:r>
              <w:rPr>
                <w:sz w:val="16"/>
                <w:szCs w:val="16"/>
              </w:rPr>
              <w:t>●数据清洗过程的监督和抽查</w:t>
            </w:r>
          </w:p>
          <w:p>
            <w:pPr>
              <w:pStyle w:val="TableText"/>
              <w:ind w:left="275"/>
              <w:spacing w:before="99" w:line="217" w:lineRule="auto"/>
              <w:rPr>
                <w:sz w:val="16"/>
                <w:szCs w:val="16"/>
              </w:rPr>
            </w:pPr>
            <w:r>
              <w:rPr>
                <w:sz w:val="16"/>
                <w:szCs w:val="16"/>
                <w:spacing w:val="1"/>
              </w:rPr>
              <w:t>●组织统一发布的数据清洗规则</w:t>
            </w:r>
          </w:p>
        </w:tc>
      </w:tr>
    </w:tbl>
    <w:p>
      <w:pPr>
        <w:ind w:left="335"/>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right="242" w:firstLine="440"/>
        <w:spacing w:before="38" w:line="260" w:lineRule="auto"/>
        <w:rPr>
          <w:rFonts w:ascii="SimSun" w:hAnsi="SimSun" w:eastAsia="SimSun" w:cs="SimSun"/>
          <w:sz w:val="21"/>
          <w:szCs w:val="21"/>
        </w:rPr>
      </w:pPr>
      <w:r>
        <w:rPr>
          <w:rFonts w:ascii="SimSun" w:hAnsi="SimSun" w:eastAsia="SimSun" w:cs="SimSun"/>
          <w:sz w:val="21"/>
          <w:szCs w:val="21"/>
          <w:spacing w:val="2"/>
        </w:rPr>
        <w:t>数据清洗的规则直接影响到数据的质量。在云计算环</w:t>
      </w:r>
      <w:r>
        <w:rPr>
          <w:rFonts w:ascii="SimSun" w:hAnsi="SimSun" w:eastAsia="SimSun" w:cs="SimSun"/>
          <w:sz w:val="21"/>
          <w:szCs w:val="21"/>
          <w:spacing w:val="1"/>
        </w:rPr>
        <w:t>境下，多种多样的数据来</w:t>
      </w:r>
      <w:r>
        <w:rPr>
          <w:rFonts w:ascii="SimSun" w:hAnsi="SimSun" w:eastAsia="SimSun" w:cs="SimSun"/>
          <w:sz w:val="21"/>
          <w:szCs w:val="21"/>
        </w:rPr>
        <w:t xml:space="preserve"> </w:t>
      </w:r>
      <w:r>
        <w:rPr>
          <w:rFonts w:ascii="SimSun" w:hAnsi="SimSun" w:eastAsia="SimSun" w:cs="SimSun"/>
          <w:sz w:val="21"/>
          <w:szCs w:val="21"/>
          <w:spacing w:val="2"/>
        </w:rPr>
        <w:t>源，可能会导致数据质量的不一致性。因此组织应</w:t>
      </w:r>
      <w:r>
        <w:rPr>
          <w:rFonts w:ascii="SimSun" w:hAnsi="SimSun" w:eastAsia="SimSun" w:cs="SimSun"/>
          <w:sz w:val="21"/>
          <w:szCs w:val="21"/>
          <w:spacing w:val="1"/>
        </w:rPr>
        <w:t>遵循一致的数据清洗规则，多个</w:t>
      </w:r>
      <w:r>
        <w:rPr>
          <w:rFonts w:ascii="SimSun" w:hAnsi="SimSun" w:eastAsia="SimSun" w:cs="SimSun"/>
          <w:sz w:val="21"/>
          <w:szCs w:val="21"/>
        </w:rPr>
        <w:t xml:space="preserve"> </w:t>
      </w:r>
      <w:r>
        <w:rPr>
          <w:rFonts w:ascii="SimSun" w:hAnsi="SimSun" w:eastAsia="SimSun" w:cs="SimSun"/>
          <w:sz w:val="21"/>
          <w:szCs w:val="21"/>
          <w:spacing w:val="2"/>
        </w:rPr>
        <w:t>业务领域所共享的质量规则和业务规则不应有差</w:t>
      </w:r>
      <w:r>
        <w:rPr>
          <w:rFonts w:ascii="SimSun" w:hAnsi="SimSun" w:eastAsia="SimSun" w:cs="SimSun"/>
          <w:sz w:val="21"/>
          <w:szCs w:val="21"/>
          <w:spacing w:val="1"/>
        </w:rPr>
        <w:t>异，除非存在经过深思熟虑且经过</w:t>
      </w:r>
      <w:r>
        <w:rPr>
          <w:rFonts w:ascii="SimSun" w:hAnsi="SimSun" w:eastAsia="SimSun" w:cs="SimSun"/>
          <w:sz w:val="21"/>
          <w:szCs w:val="21"/>
        </w:rPr>
        <w:t xml:space="preserve"> </w:t>
      </w:r>
      <w:r>
        <w:rPr>
          <w:rFonts w:ascii="SimSun" w:hAnsi="SimSun" w:eastAsia="SimSun" w:cs="SimSun"/>
          <w:sz w:val="21"/>
          <w:szCs w:val="21"/>
          <w:spacing w:val="-5"/>
        </w:rPr>
        <w:t>审批同意的例外情况。</w:t>
      </w:r>
    </w:p>
    <w:p>
      <w:pPr>
        <w:spacing w:line="145" w:lineRule="exact"/>
        <w:rPr/>
      </w:pPr>
      <w:r/>
    </w:p>
    <w:tbl>
      <w:tblPr>
        <w:tblStyle w:val="TableNormal"/>
        <w:tblW w:w="759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45"/>
        <w:gridCol w:w="3750"/>
      </w:tblGrid>
      <w:tr>
        <w:trPr>
          <w:trHeight w:val="321"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45" w:type="dxa"/>
            <w:vAlign w:val="top"/>
          </w:tcPr>
          <w:p>
            <w:pPr>
              <w:pStyle w:val="TableText"/>
              <w:ind w:left="1161"/>
              <w:spacing w:before="81" w:line="219" w:lineRule="auto"/>
              <w:rPr>
                <w:sz w:val="16"/>
                <w:szCs w:val="16"/>
              </w:rPr>
            </w:pPr>
            <w:r>
              <w:rPr>
                <w:sz w:val="16"/>
                <w:szCs w:val="16"/>
                <w:spacing w:val="-4"/>
              </w:rPr>
              <w:t>等 级 要 求</w:t>
            </w:r>
          </w:p>
        </w:tc>
        <w:tc>
          <w:tcPr>
            <w:tcW w:w="3750" w:type="dxa"/>
            <w:vAlign w:val="top"/>
          </w:tcPr>
          <w:p>
            <w:pPr>
              <w:pStyle w:val="TableText"/>
              <w:ind w:left="156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58" w:hRule="atLeast"/>
        </w:trPr>
        <w:tc>
          <w:tcPr>
            <w:tcW w:w="704" w:type="dxa"/>
            <w:vAlign w:val="top"/>
          </w:tcPr>
          <w:p>
            <w:pPr>
              <w:pStyle w:val="TableText"/>
              <w:ind w:left="224"/>
              <w:spacing w:before="241" w:line="183" w:lineRule="auto"/>
              <w:rPr>
                <w:sz w:val="16"/>
                <w:szCs w:val="16"/>
              </w:rPr>
            </w:pPr>
            <w:r>
              <w:rPr>
                <w:sz w:val="16"/>
                <w:szCs w:val="16"/>
                <w:spacing w:val="-3"/>
              </w:rPr>
              <w:t>3.4</w:t>
            </w:r>
          </w:p>
        </w:tc>
        <w:tc>
          <w:tcPr>
            <w:tcW w:w="3145" w:type="dxa"/>
            <w:vAlign w:val="top"/>
          </w:tcPr>
          <w:p>
            <w:pPr>
              <w:pStyle w:val="TableText"/>
              <w:ind w:left="101" w:firstLine="178"/>
              <w:spacing w:before="80" w:line="254" w:lineRule="auto"/>
              <w:rPr>
                <w:sz w:val="16"/>
                <w:szCs w:val="16"/>
              </w:rPr>
            </w:pPr>
            <w:r>
              <w:rPr>
                <w:sz w:val="16"/>
                <w:szCs w:val="16"/>
                <w:spacing w:val="-2"/>
              </w:rPr>
              <w:t>建立数据治理小组，维护并且确认是否遵</w:t>
            </w:r>
            <w:r>
              <w:rPr>
                <w:sz w:val="16"/>
                <w:szCs w:val="16"/>
                <w:spacing w:val="10"/>
              </w:rPr>
              <w:t xml:space="preserve"> </w:t>
            </w:r>
            <w:r>
              <w:rPr>
                <w:sz w:val="16"/>
                <w:szCs w:val="16"/>
                <w:spacing w:val="1"/>
              </w:rPr>
              <w:t>守数据治理规则</w:t>
            </w:r>
          </w:p>
        </w:tc>
        <w:tc>
          <w:tcPr>
            <w:tcW w:w="3750" w:type="dxa"/>
            <w:vAlign w:val="top"/>
          </w:tcPr>
          <w:p>
            <w:pPr>
              <w:pStyle w:val="TableText"/>
              <w:ind w:left="266"/>
              <w:spacing w:before="89" w:line="219" w:lineRule="auto"/>
              <w:rPr>
                <w:sz w:val="16"/>
                <w:szCs w:val="16"/>
              </w:rPr>
            </w:pPr>
            <w:r>
              <w:rPr>
                <w:sz w:val="16"/>
                <w:szCs w:val="16"/>
              </w:rPr>
              <w:t>●数据治理小组的角色定义和分工</w:t>
            </w:r>
          </w:p>
          <w:p>
            <w:pPr>
              <w:pStyle w:val="TableText"/>
              <w:ind w:left="266"/>
              <w:spacing w:before="80" w:line="217" w:lineRule="auto"/>
              <w:rPr>
                <w:sz w:val="16"/>
                <w:szCs w:val="16"/>
              </w:rPr>
            </w:pPr>
            <w:r>
              <w:rPr>
                <w:sz w:val="16"/>
                <w:szCs w:val="16"/>
              </w:rPr>
              <w:t>●抽查数据治理规则的遵循情况</w:t>
            </w:r>
          </w:p>
        </w:tc>
      </w:tr>
    </w:tbl>
    <w:p>
      <w:pPr>
        <w:ind w:left="335"/>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right="247" w:firstLine="440"/>
        <w:spacing w:before="80" w:line="255" w:lineRule="auto"/>
        <w:rPr>
          <w:rFonts w:ascii="SimSun" w:hAnsi="SimSun" w:eastAsia="SimSun" w:cs="SimSun"/>
          <w:sz w:val="21"/>
          <w:szCs w:val="21"/>
        </w:rPr>
      </w:pPr>
      <w:r>
        <w:rPr>
          <w:rFonts w:ascii="SimSun" w:hAnsi="SimSun" w:eastAsia="SimSun" w:cs="SimSun"/>
          <w:sz w:val="21"/>
          <w:szCs w:val="21"/>
          <w:spacing w:val="1"/>
        </w:rPr>
        <w:t>组织需要设置专门的数据治理小组，数据治理小组的职责与数据质量实施部门</w:t>
      </w:r>
      <w:r>
        <w:rPr>
          <w:rFonts w:ascii="SimSun" w:hAnsi="SimSun" w:eastAsia="SimSun" w:cs="SimSun"/>
          <w:sz w:val="21"/>
          <w:szCs w:val="21"/>
          <w:spacing w:val="18"/>
        </w:rPr>
        <w:t xml:space="preserve"> </w:t>
      </w:r>
      <w:r>
        <w:rPr>
          <w:rFonts w:ascii="SimSun" w:hAnsi="SimSun" w:eastAsia="SimSun" w:cs="SimSun"/>
          <w:sz w:val="21"/>
          <w:szCs w:val="21"/>
          <w:spacing w:val="2"/>
        </w:rPr>
        <w:t>的区别在于，数据治理小组需要从组织的业务</w:t>
      </w:r>
      <w:r>
        <w:rPr>
          <w:rFonts w:ascii="SimSun" w:hAnsi="SimSun" w:eastAsia="SimSun" w:cs="SimSun"/>
          <w:sz w:val="21"/>
          <w:szCs w:val="21"/>
          <w:spacing w:val="1"/>
        </w:rPr>
        <w:t>层面和战略层面对数据治理的规则进</w:t>
      </w:r>
      <w:r>
        <w:rPr>
          <w:rFonts w:ascii="SimSun" w:hAnsi="SimSun" w:eastAsia="SimSun" w:cs="SimSun"/>
          <w:sz w:val="21"/>
          <w:szCs w:val="21"/>
        </w:rPr>
        <w:t xml:space="preserve"> </w:t>
      </w:r>
      <w:r>
        <w:rPr>
          <w:rFonts w:ascii="SimSun" w:hAnsi="SimSun" w:eastAsia="SimSun" w:cs="SimSun"/>
          <w:sz w:val="21"/>
          <w:szCs w:val="21"/>
          <w:spacing w:val="-1"/>
        </w:rPr>
        <w:t>行维护和确认，并保证各数据质量相关的部门有效遵守了该准则。</w:t>
      </w:r>
    </w:p>
    <w:p>
      <w:pPr>
        <w:spacing w:line="127" w:lineRule="exact"/>
        <w:rPr/>
      </w:pPr>
      <w:r/>
    </w:p>
    <w:tbl>
      <w:tblPr>
        <w:tblStyle w:val="TableNormal"/>
        <w:tblW w:w="759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60"/>
      </w:tblGrid>
      <w:tr>
        <w:trPr>
          <w:trHeight w:val="323" w:hRule="atLeast"/>
        </w:trPr>
        <w:tc>
          <w:tcPr>
            <w:tcW w:w="704" w:type="dxa"/>
            <w:vAlign w:val="top"/>
          </w:tcPr>
          <w:p>
            <w:pPr>
              <w:pStyle w:val="TableText"/>
              <w:ind w:left="184"/>
              <w:spacing w:before="82" w:line="221" w:lineRule="auto"/>
              <w:rPr>
                <w:sz w:val="16"/>
                <w:szCs w:val="16"/>
              </w:rPr>
            </w:pPr>
            <w:r>
              <w:rPr>
                <w:sz w:val="16"/>
                <w:szCs w:val="16"/>
                <w:spacing w:val="-2"/>
              </w:rPr>
              <w:t>序号</w:t>
            </w:r>
          </w:p>
        </w:tc>
        <w:tc>
          <w:tcPr>
            <w:tcW w:w="3135" w:type="dxa"/>
            <w:vAlign w:val="top"/>
          </w:tcPr>
          <w:p>
            <w:pPr>
              <w:pStyle w:val="TableText"/>
              <w:ind w:left="1141"/>
              <w:spacing w:before="81" w:line="219" w:lineRule="auto"/>
              <w:rPr>
                <w:sz w:val="16"/>
                <w:szCs w:val="16"/>
              </w:rPr>
            </w:pPr>
            <w:r>
              <w:rPr>
                <w:sz w:val="16"/>
                <w:szCs w:val="16"/>
                <w:spacing w:val="-4"/>
              </w:rPr>
              <w:t>等 级 要 求</w:t>
            </w:r>
          </w:p>
        </w:tc>
        <w:tc>
          <w:tcPr>
            <w:tcW w:w="3760" w:type="dxa"/>
            <w:vAlign w:val="top"/>
          </w:tcPr>
          <w:p>
            <w:pPr>
              <w:pStyle w:val="TableText"/>
              <w:ind w:left="1576"/>
              <w:spacing w:before="8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677" w:hRule="atLeast"/>
        </w:trPr>
        <w:tc>
          <w:tcPr>
            <w:tcW w:w="704" w:type="dxa"/>
            <w:vAlign w:val="top"/>
          </w:tcPr>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224"/>
              <w:spacing w:before="52" w:line="183" w:lineRule="auto"/>
              <w:rPr>
                <w:sz w:val="16"/>
                <w:szCs w:val="16"/>
              </w:rPr>
            </w:pPr>
            <w:r>
              <w:rPr>
                <w:sz w:val="16"/>
                <w:szCs w:val="16"/>
                <w:spacing w:val="-3"/>
              </w:rPr>
              <w:t>3.5</w:t>
            </w:r>
          </w:p>
        </w:tc>
        <w:tc>
          <w:tcPr>
            <w:tcW w:w="3135" w:type="dxa"/>
            <w:vAlign w:val="top"/>
          </w:tcPr>
          <w:p>
            <w:pPr>
              <w:spacing w:line="295" w:lineRule="auto"/>
              <w:rPr>
                <w:rFonts w:ascii="Arial"/>
                <w:sz w:val="21"/>
              </w:rPr>
            </w:pPr>
            <w:r/>
          </w:p>
          <w:p>
            <w:pPr>
              <w:spacing w:line="296" w:lineRule="auto"/>
              <w:rPr>
                <w:rFonts w:ascii="Arial"/>
                <w:sz w:val="21"/>
              </w:rPr>
            </w:pPr>
            <w:r/>
          </w:p>
          <w:p>
            <w:pPr>
              <w:pStyle w:val="TableText"/>
              <w:ind w:left="90" w:firstLine="178"/>
              <w:spacing w:before="52" w:line="273" w:lineRule="auto"/>
              <w:rPr>
                <w:sz w:val="16"/>
                <w:szCs w:val="16"/>
              </w:rPr>
            </w:pPr>
            <w:r>
              <w:rPr>
                <w:sz w:val="16"/>
                <w:szCs w:val="16"/>
                <w:spacing w:val="-2"/>
              </w:rPr>
              <w:t>使用数据清洗结果的标准报告模板，包括</w:t>
            </w:r>
            <w:r>
              <w:rPr>
                <w:sz w:val="16"/>
                <w:szCs w:val="16"/>
                <w:spacing w:val="10"/>
              </w:rPr>
              <w:t xml:space="preserve"> </w:t>
            </w:r>
            <w:r>
              <w:rPr>
                <w:sz w:val="16"/>
                <w:szCs w:val="16"/>
                <w:spacing w:val="-2"/>
              </w:rPr>
              <w:t>细节版和总结版</w:t>
            </w:r>
          </w:p>
        </w:tc>
        <w:tc>
          <w:tcPr>
            <w:tcW w:w="3760" w:type="dxa"/>
            <w:vAlign w:val="top"/>
          </w:tcPr>
          <w:p>
            <w:pPr>
              <w:pStyle w:val="TableText"/>
              <w:ind w:left="246"/>
              <w:spacing w:before="78" w:line="219" w:lineRule="auto"/>
              <w:rPr>
                <w:sz w:val="16"/>
                <w:szCs w:val="16"/>
              </w:rPr>
            </w:pPr>
            <w:r>
              <w:rPr>
                <w:sz w:val="16"/>
                <w:szCs w:val="16"/>
                <w:spacing w:val="1"/>
              </w:rPr>
              <w:t>●数据变更记录</w:t>
            </w:r>
          </w:p>
          <w:p>
            <w:pPr>
              <w:pStyle w:val="TableText"/>
              <w:ind w:left="246"/>
              <w:spacing w:before="90" w:line="219" w:lineRule="auto"/>
              <w:rPr>
                <w:sz w:val="16"/>
                <w:szCs w:val="16"/>
              </w:rPr>
            </w:pPr>
            <w:r>
              <w:rPr>
                <w:sz w:val="16"/>
                <w:szCs w:val="16"/>
                <w:spacing w:val="1"/>
              </w:rPr>
              <w:t>●跟踪矩阵</w:t>
            </w:r>
          </w:p>
          <w:p>
            <w:pPr>
              <w:pStyle w:val="TableText"/>
              <w:ind w:left="246"/>
              <w:spacing w:before="100" w:line="219" w:lineRule="auto"/>
              <w:rPr>
                <w:sz w:val="16"/>
                <w:szCs w:val="16"/>
              </w:rPr>
            </w:pPr>
            <w:r>
              <w:rPr>
                <w:sz w:val="16"/>
                <w:szCs w:val="16"/>
              </w:rPr>
              <w:t>●数据清洗反馈</w:t>
            </w:r>
          </w:p>
          <w:p>
            <w:pPr>
              <w:pStyle w:val="TableText"/>
              <w:ind w:left="266"/>
              <w:spacing w:before="90" w:line="219" w:lineRule="auto"/>
              <w:rPr>
                <w:sz w:val="16"/>
                <w:szCs w:val="16"/>
              </w:rPr>
            </w:pPr>
            <w:r>
              <w:rPr>
                <w:sz w:val="16"/>
                <w:szCs w:val="16"/>
              </w:rPr>
              <w:t>●数据清洗治理、活动和规则制订的责任分配</w:t>
            </w:r>
          </w:p>
          <w:p>
            <w:pPr>
              <w:pStyle w:val="TableText"/>
              <w:ind w:left="126"/>
              <w:spacing w:before="80" w:line="219" w:lineRule="auto"/>
              <w:rPr>
                <w:sz w:val="16"/>
                <w:szCs w:val="16"/>
              </w:rPr>
            </w:pPr>
            <w:r>
              <w:rPr>
                <w:sz w:val="16"/>
                <w:szCs w:val="16"/>
                <w:spacing w:val="1"/>
              </w:rPr>
              <w:t>(</w:t>
            </w:r>
            <w:r>
              <w:rPr>
                <w:sz w:val="16"/>
                <w:szCs w:val="16"/>
              </w:rPr>
              <w:t>RACI</w:t>
            </w:r>
            <w:r>
              <w:rPr>
                <w:sz w:val="16"/>
                <w:szCs w:val="16"/>
                <w:spacing w:val="1"/>
              </w:rPr>
              <w:t>)矩阵</w:t>
            </w:r>
          </w:p>
          <w:p>
            <w:pPr>
              <w:pStyle w:val="TableText"/>
              <w:ind w:left="246"/>
              <w:spacing w:before="88" w:line="218" w:lineRule="auto"/>
              <w:rPr>
                <w:sz w:val="16"/>
                <w:szCs w:val="16"/>
              </w:rPr>
            </w:pPr>
            <w:r>
              <w:rPr>
                <w:sz w:val="16"/>
                <w:szCs w:val="16"/>
              </w:rPr>
              <w:t>●数据清洗结果的报告模板</w:t>
            </w:r>
          </w:p>
        </w:tc>
      </w:tr>
    </w:tbl>
    <w:p>
      <w:pPr>
        <w:ind w:left="335"/>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right="166" w:firstLine="440"/>
        <w:spacing w:before="67" w:line="260" w:lineRule="auto"/>
        <w:rPr>
          <w:rFonts w:ascii="SimSun" w:hAnsi="SimSun" w:eastAsia="SimSun" w:cs="SimSun"/>
          <w:sz w:val="21"/>
          <w:szCs w:val="21"/>
        </w:rPr>
      </w:pPr>
      <w:r>
        <w:rPr>
          <w:rFonts w:ascii="SimSun" w:hAnsi="SimSun" w:eastAsia="SimSun" w:cs="SimSun"/>
          <w:sz w:val="21"/>
          <w:szCs w:val="21"/>
          <w:spacing w:val="-2"/>
        </w:rPr>
        <w:t>组织能够通过报告获知重复进行的工作(在多个数据存储中清洗相同的</w:t>
      </w:r>
      <w:r>
        <w:rPr>
          <w:rFonts w:ascii="SimSun" w:hAnsi="SimSun" w:eastAsia="SimSun" w:cs="SimSun"/>
          <w:sz w:val="21"/>
          <w:szCs w:val="21"/>
          <w:spacing w:val="-3"/>
        </w:rPr>
        <w:t>数据集)。</w:t>
      </w:r>
      <w:r>
        <w:rPr>
          <w:rFonts w:ascii="SimSun" w:hAnsi="SimSun" w:eastAsia="SimSun" w:cs="SimSun"/>
          <w:sz w:val="21"/>
          <w:szCs w:val="21"/>
        </w:rPr>
        <w:t xml:space="preserve"> </w:t>
      </w:r>
      <w:r>
        <w:rPr>
          <w:rFonts w:ascii="SimSun" w:hAnsi="SimSun" w:eastAsia="SimSun" w:cs="SimSun"/>
          <w:sz w:val="21"/>
          <w:szCs w:val="21"/>
          <w:spacing w:val="1"/>
        </w:rPr>
        <w:t>在使用相同共享数据(例如客户数据)的情况下，允许人员花费时间同时对多个数据</w:t>
      </w:r>
      <w:r>
        <w:rPr>
          <w:rFonts w:ascii="SimSun" w:hAnsi="SimSun" w:eastAsia="SimSun" w:cs="SimSun"/>
          <w:sz w:val="21"/>
          <w:szCs w:val="21"/>
          <w:spacing w:val="2"/>
        </w:rPr>
        <w:t xml:space="preserve">  </w:t>
      </w:r>
      <w:r>
        <w:rPr>
          <w:rFonts w:ascii="SimSun" w:hAnsi="SimSun" w:eastAsia="SimSun" w:cs="SimSun"/>
          <w:sz w:val="21"/>
          <w:szCs w:val="21"/>
          <w:spacing w:val="-4"/>
        </w:rPr>
        <w:t>库进行各自修改的效果，不如使用资源对系统和过程进行修改的效果好。后者</w:t>
      </w:r>
      <w:r>
        <w:rPr>
          <w:rFonts w:ascii="SimSun" w:hAnsi="SimSun" w:eastAsia="SimSun" w:cs="SimSun"/>
          <w:sz w:val="21"/>
          <w:szCs w:val="21"/>
          <w:spacing w:val="-5"/>
        </w:rPr>
        <w:t>能够实</w:t>
      </w:r>
      <w:r>
        <w:rPr>
          <w:rFonts w:ascii="SimSun" w:hAnsi="SimSun" w:eastAsia="SimSun" w:cs="SimSun"/>
          <w:sz w:val="21"/>
          <w:szCs w:val="21"/>
        </w:rPr>
        <w:t xml:space="preserve">  </w:t>
      </w:r>
      <w:r>
        <w:rPr>
          <w:rFonts w:ascii="SimSun" w:hAnsi="SimSun" w:eastAsia="SimSun" w:cs="SimSun"/>
          <w:sz w:val="21"/>
          <w:szCs w:val="21"/>
          <w:spacing w:val="-5"/>
        </w:rPr>
        <w:t>现仅使用一个单一的标准数据集，该数据集能够满足所有使用者对质量的需求。</w:t>
      </w:r>
    </w:p>
    <w:p>
      <w:pPr>
        <w:ind w:left="442"/>
        <w:spacing w:before="75" w:line="221" w:lineRule="auto"/>
        <w:rPr>
          <w:rFonts w:ascii="SimHei" w:hAnsi="SimHei" w:eastAsia="SimHei" w:cs="SimHei"/>
          <w:sz w:val="21"/>
          <w:szCs w:val="21"/>
        </w:rPr>
      </w:pPr>
      <w:r>
        <w:rPr>
          <w:rFonts w:ascii="SimSun" w:hAnsi="SimSun" w:eastAsia="SimSun" w:cs="SimSun"/>
          <w:sz w:val="21"/>
          <w:szCs w:val="21"/>
          <w:b/>
          <w:bCs/>
          <w:spacing w:val="-8"/>
        </w:rPr>
        <w:t>Level</w:t>
      </w:r>
      <w:r>
        <w:rPr>
          <w:rFonts w:ascii="SimSun" w:hAnsi="SimSun" w:eastAsia="SimSun" w:cs="SimSun"/>
          <w:sz w:val="21"/>
          <w:szCs w:val="21"/>
          <w:spacing w:val="-8"/>
        </w:rPr>
        <w:t xml:space="preserve"> </w:t>
      </w:r>
      <w:r>
        <w:rPr>
          <w:rFonts w:ascii="SimSun" w:hAnsi="SimSun" w:eastAsia="SimSun" w:cs="SimSun"/>
          <w:sz w:val="21"/>
          <w:szCs w:val="21"/>
          <w:b/>
          <w:bCs/>
          <w:spacing w:val="-8"/>
        </w:rPr>
        <w:t>4:</w:t>
      </w:r>
      <w:r>
        <w:rPr>
          <w:rFonts w:ascii="SimSun" w:hAnsi="SimSun" w:eastAsia="SimSun" w:cs="SimSun"/>
          <w:sz w:val="21"/>
          <w:szCs w:val="21"/>
          <w:spacing w:val="-28"/>
        </w:rPr>
        <w:t xml:space="preserve"> </w:t>
      </w:r>
      <w:r>
        <w:rPr>
          <w:rFonts w:ascii="SimHei" w:hAnsi="SimHei" w:eastAsia="SimHei" w:cs="SimHei"/>
          <w:sz w:val="21"/>
          <w:szCs w:val="21"/>
          <w:b/>
          <w:bCs/>
          <w:spacing w:val="-8"/>
        </w:rPr>
        <w:t>量化级</w:t>
      </w:r>
    </w:p>
    <w:p>
      <w:pPr>
        <w:spacing w:line="110" w:lineRule="exact"/>
        <w:rPr/>
      </w:pPr>
      <w:r/>
    </w:p>
    <w:tbl>
      <w:tblPr>
        <w:tblStyle w:val="TableNormal"/>
        <w:tblW w:w="7589" w:type="dxa"/>
        <w:tblInd w:w="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3135"/>
        <w:gridCol w:w="3750"/>
      </w:tblGrid>
      <w:tr>
        <w:trPr>
          <w:trHeight w:val="311" w:hRule="atLeast"/>
        </w:trPr>
        <w:tc>
          <w:tcPr>
            <w:tcW w:w="704" w:type="dxa"/>
            <w:vAlign w:val="top"/>
          </w:tcPr>
          <w:p>
            <w:pPr>
              <w:pStyle w:val="TableText"/>
              <w:ind w:left="195"/>
              <w:spacing w:before="82" w:line="221" w:lineRule="auto"/>
              <w:rPr/>
            </w:pPr>
            <w:r>
              <w:rPr>
                <w:spacing w:val="-2"/>
              </w:rPr>
              <w:t>序号</w:t>
            </w:r>
          </w:p>
        </w:tc>
        <w:tc>
          <w:tcPr>
            <w:tcW w:w="3135" w:type="dxa"/>
            <w:vAlign w:val="top"/>
          </w:tcPr>
          <w:p>
            <w:pPr>
              <w:pStyle w:val="TableText"/>
              <w:ind w:left="1141"/>
              <w:spacing w:before="8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6"/>
              <w:spacing w:before="81" w:line="220" w:lineRule="auto"/>
              <w:rPr/>
            </w:pPr>
            <w:r>
              <w:rPr>
                <w:spacing w:val="-5"/>
              </w:rPr>
              <w:t>实</w:t>
            </w:r>
            <w:r>
              <w:rPr>
                <w:spacing w:val="1"/>
              </w:rPr>
              <w:t xml:space="preserve">   </w:t>
            </w:r>
            <w:r>
              <w:rPr>
                <w:spacing w:val="-5"/>
              </w:rPr>
              <w:t>例</w:t>
            </w:r>
          </w:p>
        </w:tc>
      </w:tr>
      <w:tr>
        <w:trPr>
          <w:trHeight w:val="559" w:hRule="atLeast"/>
        </w:trPr>
        <w:tc>
          <w:tcPr>
            <w:tcW w:w="704" w:type="dxa"/>
            <w:vAlign w:val="top"/>
          </w:tcPr>
          <w:p>
            <w:pPr>
              <w:pStyle w:val="TableText"/>
              <w:ind w:left="224"/>
              <w:spacing w:before="248" w:line="184" w:lineRule="auto"/>
              <w:rPr/>
            </w:pPr>
            <w:r>
              <w:rPr>
                <w:spacing w:val="-2"/>
              </w:rPr>
              <w:t>4.1</w:t>
            </w:r>
          </w:p>
        </w:tc>
        <w:tc>
          <w:tcPr>
            <w:tcW w:w="3135" w:type="dxa"/>
            <w:vAlign w:val="top"/>
          </w:tcPr>
          <w:p>
            <w:pPr>
              <w:pStyle w:val="TableText"/>
              <w:ind w:left="111" w:right="169" w:firstLine="149"/>
              <w:spacing w:before="79" w:line="282" w:lineRule="auto"/>
              <w:rPr/>
            </w:pPr>
            <w:r>
              <w:rPr>
                <w:spacing w:val="-1"/>
              </w:rPr>
              <w:t>服务水平协议包含了让数据提供者为已清</w:t>
            </w:r>
            <w:r>
              <w:rPr>
                <w:spacing w:val="11"/>
              </w:rPr>
              <w:t xml:space="preserve"> </w:t>
            </w:r>
            <w:r>
              <w:rPr>
                <w:spacing w:val="-1"/>
              </w:rPr>
              <w:t>洗的数据负责的数据质量准则</w:t>
            </w:r>
          </w:p>
        </w:tc>
        <w:tc>
          <w:tcPr>
            <w:tcW w:w="3750" w:type="dxa"/>
            <w:vAlign w:val="top"/>
          </w:tcPr>
          <w:p>
            <w:pPr>
              <w:pStyle w:val="TableText"/>
              <w:ind w:left="266"/>
              <w:spacing w:before="80" w:line="219" w:lineRule="auto"/>
              <w:rPr/>
            </w:pPr>
            <w:r>
              <w:rPr>
                <w:spacing w:val="1"/>
              </w:rPr>
              <w:t>●服务水平协议</w:t>
            </w:r>
          </w:p>
          <w:p>
            <w:pPr>
              <w:pStyle w:val="TableText"/>
              <w:ind w:left="266"/>
              <w:spacing w:before="101" w:line="219" w:lineRule="auto"/>
              <w:rPr/>
            </w:pPr>
            <w:r>
              <w:rPr>
                <w:spacing w:val="2"/>
              </w:rPr>
              <w:t>●反馈文档</w:t>
            </w:r>
          </w:p>
        </w:tc>
      </w:tr>
    </w:tbl>
    <w:p>
      <w:pPr>
        <w:pStyle w:val="BodyText"/>
        <w:rPr/>
      </w:pPr>
      <w:r/>
    </w:p>
    <w:p>
      <w:pPr>
        <w:sectPr>
          <w:footerReference w:type="default" r:id="rId296"/>
          <w:pgSz w:w="8870" w:h="13400"/>
          <w:pgMar w:top="400" w:right="578" w:bottom="558" w:left="409" w:header="0" w:footer="349" w:gutter="0"/>
        </w:sectPr>
        <w:rPr/>
      </w:pPr>
    </w:p>
    <w:p>
      <w:pPr>
        <w:ind w:left="202"/>
        <w:spacing w:before="255" w:line="219" w:lineRule="auto"/>
        <w:rPr>
          <w:rFonts w:ascii="SimSun" w:hAnsi="SimSun" w:eastAsia="SimSun" w:cs="SimSun"/>
          <w:sz w:val="21"/>
          <w:szCs w:val="21"/>
        </w:rPr>
      </w:pPr>
      <w:r>
        <w:pict>
          <v:rect id="_x0000_s400" style="position:absolute;margin-left:27.0003pt;margin-top:28.9976pt;mso-position-vertical-relative:page;mso-position-horizontal-relative:page;width:0.55pt;height:17.55pt;z-index:255458304;" o:allowincell="f" fillcolor="#000000" filled="true" stroked="false"/>
        </w:pict>
      </w:r>
      <w:r>
        <w:rPr>
          <w:rFonts w:ascii="SimSun" w:hAnsi="SimSun" w:eastAsia="SimSun" w:cs="SimSun"/>
          <w:sz w:val="21"/>
          <w:szCs w:val="21"/>
          <w:b/>
          <w:bCs/>
          <w:spacing w:val="-27"/>
        </w:rPr>
        <w:t>■云端数据治理■</w:t>
      </w:r>
    </w:p>
    <w:p>
      <w:pPr>
        <w:pStyle w:val="BodyText"/>
        <w:spacing w:line="254" w:lineRule="auto"/>
        <w:rPr/>
      </w:pPr>
      <w:r/>
    </w:p>
    <w:p>
      <w:pPr>
        <w:ind w:left="56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left="199" w:right="23" w:firstLine="470"/>
        <w:spacing w:before="91" w:line="252" w:lineRule="auto"/>
        <w:rPr>
          <w:rFonts w:ascii="SimSun" w:hAnsi="SimSun" w:eastAsia="SimSun" w:cs="SimSun"/>
          <w:sz w:val="21"/>
          <w:szCs w:val="21"/>
        </w:rPr>
      </w:pPr>
      <w:r>
        <w:rPr>
          <w:rFonts w:ascii="SimSun" w:hAnsi="SimSun" w:eastAsia="SimSun" w:cs="SimSun"/>
          <w:sz w:val="21"/>
          <w:szCs w:val="21"/>
          <w:spacing w:val="2"/>
        </w:rPr>
        <w:t>在云环境下，组织数据的来源不仅仅是自身业务，更多的是</w:t>
      </w:r>
      <w:r>
        <w:rPr>
          <w:rFonts w:ascii="SimSun" w:hAnsi="SimSun" w:eastAsia="SimSun" w:cs="SimSun"/>
          <w:sz w:val="21"/>
          <w:szCs w:val="21"/>
          <w:spacing w:val="1"/>
        </w:rPr>
        <w:t>来自于内部、外部</w:t>
      </w:r>
      <w:r>
        <w:rPr>
          <w:rFonts w:ascii="SimSun" w:hAnsi="SimSun" w:eastAsia="SimSun" w:cs="SimSun"/>
          <w:sz w:val="21"/>
          <w:szCs w:val="21"/>
        </w:rPr>
        <w:t xml:space="preserve"> </w:t>
      </w:r>
      <w:r>
        <w:rPr>
          <w:rFonts w:ascii="SimSun" w:hAnsi="SimSun" w:eastAsia="SimSun" w:cs="SimSun"/>
          <w:sz w:val="21"/>
          <w:szCs w:val="21"/>
          <w:spacing w:val="2"/>
        </w:rPr>
        <w:t>的众多数据源。这些数据提供者也应遵循一致的数据质量准则，最佳的</w:t>
      </w:r>
      <w:r>
        <w:rPr>
          <w:rFonts w:ascii="SimSun" w:hAnsi="SimSun" w:eastAsia="SimSun" w:cs="SimSun"/>
          <w:sz w:val="21"/>
          <w:szCs w:val="21"/>
          <w:spacing w:val="1"/>
        </w:rPr>
        <w:t>做法是通过</w:t>
      </w:r>
      <w:r>
        <w:rPr>
          <w:rFonts w:ascii="SimSun" w:hAnsi="SimSun" w:eastAsia="SimSun" w:cs="SimSun"/>
          <w:sz w:val="21"/>
          <w:szCs w:val="21"/>
        </w:rPr>
        <w:t xml:space="preserve"> </w:t>
      </w:r>
      <w:r>
        <w:rPr>
          <w:rFonts w:ascii="SimSun" w:hAnsi="SimSun" w:eastAsia="SimSun" w:cs="SimSun"/>
          <w:sz w:val="21"/>
          <w:szCs w:val="21"/>
        </w:rPr>
        <w:t>服务水平协议</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SLA,   </w:t>
      </w:r>
      <w:r>
        <w:rPr>
          <w:rFonts w:ascii="SimSun" w:hAnsi="SimSun" w:eastAsia="SimSun" w:cs="SimSun"/>
          <w:sz w:val="21"/>
          <w:szCs w:val="21"/>
        </w:rPr>
        <w:t>来约束数据提供者的数据质量，将数据确认的结果提供给内部 </w:t>
      </w:r>
      <w:r>
        <w:rPr>
          <w:rFonts w:ascii="SimSun" w:hAnsi="SimSun" w:eastAsia="SimSun" w:cs="SimSun"/>
          <w:sz w:val="21"/>
          <w:szCs w:val="21"/>
          <w:spacing w:val="-1"/>
        </w:rPr>
        <w:t>和外部供应商以实现他们在数据清洗过程上的改进。</w:t>
      </w:r>
    </w:p>
    <w:p>
      <w:pPr>
        <w:ind w:left="672"/>
        <w:spacing w:before="87" w:line="221" w:lineRule="auto"/>
        <w:rPr>
          <w:rFonts w:ascii="SimHei" w:hAnsi="SimHei" w:eastAsia="SimHei" w:cs="SimHei"/>
          <w:sz w:val="21"/>
          <w:szCs w:val="21"/>
        </w:rPr>
      </w:pPr>
      <w:r>
        <w:rPr>
          <w:rFonts w:ascii="SimSun" w:hAnsi="SimSun" w:eastAsia="SimSun" w:cs="SimSun"/>
          <w:sz w:val="21"/>
          <w:szCs w:val="21"/>
          <w:b/>
          <w:bCs/>
          <w:spacing w:val="-8"/>
        </w:rPr>
        <w:t>Level</w:t>
      </w:r>
      <w:r>
        <w:rPr>
          <w:rFonts w:ascii="SimSun" w:hAnsi="SimSun" w:eastAsia="SimSun" w:cs="SimSun"/>
          <w:sz w:val="21"/>
          <w:szCs w:val="21"/>
          <w:spacing w:val="-8"/>
        </w:rPr>
        <w:t xml:space="preserve"> </w:t>
      </w:r>
      <w:r>
        <w:rPr>
          <w:rFonts w:ascii="SimSun" w:hAnsi="SimSun" w:eastAsia="SimSun" w:cs="SimSun"/>
          <w:sz w:val="21"/>
          <w:szCs w:val="21"/>
          <w:b/>
          <w:bCs/>
          <w:spacing w:val="-8"/>
        </w:rPr>
        <w:t>5:</w:t>
      </w:r>
      <w:r>
        <w:rPr>
          <w:rFonts w:ascii="SimSun" w:hAnsi="SimSun" w:eastAsia="SimSun" w:cs="SimSun"/>
          <w:sz w:val="21"/>
          <w:szCs w:val="21"/>
          <w:spacing w:val="-25"/>
        </w:rPr>
        <w:t xml:space="preserve"> </w:t>
      </w:r>
      <w:r>
        <w:rPr>
          <w:rFonts w:ascii="SimHei" w:hAnsi="SimHei" w:eastAsia="SimHei" w:cs="SimHei"/>
          <w:sz w:val="21"/>
          <w:szCs w:val="21"/>
          <w:b/>
          <w:bCs/>
          <w:spacing w:val="-8"/>
        </w:rPr>
        <w:t>优化级</w:t>
      </w:r>
    </w:p>
    <w:p>
      <w:pPr>
        <w:spacing w:line="110" w:lineRule="exact"/>
        <w:rPr/>
      </w:pPr>
      <w:r/>
    </w:p>
    <w:tbl>
      <w:tblPr>
        <w:tblStyle w:val="TableNormal"/>
        <w:tblW w:w="759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45"/>
        <w:gridCol w:w="3730"/>
      </w:tblGrid>
      <w:tr>
        <w:trPr>
          <w:trHeight w:val="321" w:hRule="atLeast"/>
        </w:trPr>
        <w:tc>
          <w:tcPr>
            <w:tcW w:w="724" w:type="dxa"/>
            <w:vAlign w:val="top"/>
          </w:tcPr>
          <w:p>
            <w:pPr>
              <w:pStyle w:val="TableText"/>
              <w:ind w:left="204"/>
              <w:spacing w:before="92" w:line="221" w:lineRule="auto"/>
              <w:rPr/>
            </w:pPr>
            <w:r>
              <w:rPr>
                <w:spacing w:val="-2"/>
              </w:rPr>
              <w:t>序号</w:t>
            </w:r>
          </w:p>
        </w:tc>
        <w:tc>
          <w:tcPr>
            <w:tcW w:w="3145" w:type="dxa"/>
            <w:vAlign w:val="top"/>
          </w:tcPr>
          <w:p>
            <w:pPr>
              <w:pStyle w:val="TableText"/>
              <w:ind w:left="1150"/>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30" w:type="dxa"/>
            <w:vAlign w:val="top"/>
          </w:tcPr>
          <w:p>
            <w:pPr>
              <w:pStyle w:val="TableText"/>
              <w:ind w:left="1565"/>
              <w:spacing w:before="91" w:line="220" w:lineRule="auto"/>
              <w:rPr/>
            </w:pPr>
            <w:r>
              <w:rPr>
                <w:spacing w:val="-5"/>
              </w:rPr>
              <w:t>实</w:t>
            </w:r>
            <w:r>
              <w:rPr>
                <w:spacing w:val="1"/>
              </w:rPr>
              <w:t xml:space="preserve">   </w:t>
            </w:r>
            <w:r>
              <w:rPr>
                <w:spacing w:val="-5"/>
              </w:rPr>
              <w:t>例</w:t>
            </w:r>
          </w:p>
        </w:tc>
      </w:tr>
      <w:tr>
        <w:trPr>
          <w:trHeight w:val="558" w:hRule="atLeast"/>
        </w:trPr>
        <w:tc>
          <w:tcPr>
            <w:tcW w:w="724" w:type="dxa"/>
            <w:vAlign w:val="top"/>
          </w:tcPr>
          <w:p>
            <w:pPr>
              <w:pStyle w:val="TableText"/>
              <w:ind w:left="234"/>
              <w:spacing w:before="248" w:line="184" w:lineRule="auto"/>
              <w:rPr/>
            </w:pPr>
            <w:r>
              <w:rPr>
                <w:spacing w:val="-2"/>
              </w:rPr>
              <w:t>5.1</w:t>
            </w:r>
          </w:p>
        </w:tc>
        <w:tc>
          <w:tcPr>
            <w:tcW w:w="3145" w:type="dxa"/>
            <w:vAlign w:val="top"/>
          </w:tcPr>
          <w:p>
            <w:pPr>
              <w:pStyle w:val="TableText"/>
              <w:ind w:left="110" w:right="171" w:firstLine="159"/>
              <w:spacing w:before="89" w:line="276" w:lineRule="auto"/>
              <w:rPr/>
            </w:pPr>
            <w:r>
              <w:rPr>
                <w:spacing w:val="-1"/>
              </w:rPr>
              <w:t>组织参与建立和维护外部或行业标准以改</w:t>
            </w:r>
            <w:r>
              <w:rPr>
                <w:spacing w:val="9"/>
              </w:rPr>
              <w:t xml:space="preserve"> </w:t>
            </w:r>
            <w:r>
              <w:rPr>
                <w:spacing w:val="-1"/>
              </w:rPr>
              <w:t>进数据内容的质量</w:t>
            </w:r>
          </w:p>
        </w:tc>
        <w:tc>
          <w:tcPr>
            <w:tcW w:w="3730" w:type="dxa"/>
            <w:vAlign w:val="top"/>
          </w:tcPr>
          <w:p>
            <w:pPr>
              <w:pStyle w:val="TableText"/>
              <w:ind w:left="265"/>
              <w:spacing w:before="90" w:line="219" w:lineRule="auto"/>
              <w:rPr/>
            </w:pPr>
            <w:r>
              <w:rPr/>
              <w:t>●数据质量的参考标准</w:t>
            </w:r>
          </w:p>
          <w:p>
            <w:pPr>
              <w:pStyle w:val="TableText"/>
              <w:ind w:left="265"/>
              <w:spacing w:before="92" w:line="220" w:lineRule="auto"/>
              <w:rPr/>
            </w:pPr>
            <w:r>
              <w:rPr/>
              <w:t>●标准的有效性评审记录</w:t>
            </w:r>
          </w:p>
        </w:tc>
      </w:tr>
    </w:tbl>
    <w:p>
      <w:pPr>
        <w:ind w:left="56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199" w:right="26" w:firstLine="470"/>
        <w:spacing w:before="69" w:line="262" w:lineRule="auto"/>
        <w:rPr>
          <w:rFonts w:ascii="SimSun" w:hAnsi="SimSun" w:eastAsia="SimSun" w:cs="SimSun"/>
          <w:sz w:val="21"/>
          <w:szCs w:val="21"/>
        </w:rPr>
      </w:pPr>
      <w:r>
        <w:rPr>
          <w:rFonts w:ascii="SimSun" w:hAnsi="SimSun" w:eastAsia="SimSun" w:cs="SimSun"/>
          <w:sz w:val="21"/>
          <w:szCs w:val="21"/>
          <w:spacing w:val="2"/>
        </w:rPr>
        <w:t>标准化是实现组织商业价值和社会价值的重要体现，</w:t>
      </w:r>
      <w:r>
        <w:rPr>
          <w:rFonts w:ascii="SimSun" w:hAnsi="SimSun" w:eastAsia="SimSun" w:cs="SimSun"/>
          <w:sz w:val="21"/>
          <w:szCs w:val="21"/>
          <w:spacing w:val="1"/>
        </w:rPr>
        <w:t>组织的数据能够有效支撑</w:t>
      </w:r>
      <w:r>
        <w:rPr>
          <w:rFonts w:ascii="SimSun" w:hAnsi="SimSun" w:eastAsia="SimSun" w:cs="SimSun"/>
          <w:sz w:val="21"/>
          <w:szCs w:val="21"/>
        </w:rPr>
        <w:t xml:space="preserve"> </w:t>
      </w:r>
      <w:r>
        <w:rPr>
          <w:rFonts w:ascii="SimSun" w:hAnsi="SimSun" w:eastAsia="SimSun" w:cs="SimSun"/>
          <w:sz w:val="21"/>
          <w:szCs w:val="21"/>
          <w:spacing w:val="-1"/>
        </w:rPr>
        <w:t>标准化的实践过程；另一方法，国际/国内以及行业的标准化活动，能够有效指导企</w:t>
      </w:r>
      <w:r>
        <w:rPr>
          <w:rFonts w:ascii="SimSun" w:hAnsi="SimSun" w:eastAsia="SimSun" w:cs="SimSun"/>
          <w:sz w:val="21"/>
          <w:szCs w:val="21"/>
        </w:rPr>
        <w:t xml:space="preserve"> </w:t>
      </w:r>
      <w:r>
        <w:rPr>
          <w:rFonts w:ascii="SimSun" w:hAnsi="SimSun" w:eastAsia="SimSun" w:cs="SimSun"/>
          <w:sz w:val="21"/>
          <w:szCs w:val="21"/>
          <w:spacing w:val="-1"/>
        </w:rPr>
        <w:t>业建立符合国际/国内标准和行业标准的高质量数据，对于企业扩大影响力，推广商</w:t>
      </w:r>
      <w:r>
        <w:rPr>
          <w:rFonts w:ascii="SimSun" w:hAnsi="SimSun" w:eastAsia="SimSun" w:cs="SimSun"/>
          <w:sz w:val="21"/>
          <w:szCs w:val="21"/>
          <w:spacing w:val="4"/>
        </w:rPr>
        <w:t xml:space="preserve"> </w:t>
      </w:r>
      <w:r>
        <w:rPr>
          <w:rFonts w:ascii="SimSun" w:hAnsi="SimSun" w:eastAsia="SimSun" w:cs="SimSun"/>
          <w:sz w:val="21"/>
          <w:szCs w:val="21"/>
          <w:spacing w:val="2"/>
        </w:rPr>
        <w:t>业应用尤为重要。当组织参与行业活动，对多个组织生成或使用的数据</w:t>
      </w:r>
      <w:r>
        <w:rPr>
          <w:rFonts w:ascii="SimSun" w:hAnsi="SimSun" w:eastAsia="SimSun" w:cs="SimSun"/>
          <w:sz w:val="21"/>
          <w:szCs w:val="21"/>
          <w:spacing w:val="1"/>
        </w:rPr>
        <w:t>进行标准化</w:t>
      </w:r>
      <w:r>
        <w:rPr>
          <w:rFonts w:ascii="SimSun" w:hAnsi="SimSun" w:eastAsia="SimSun" w:cs="SimSun"/>
          <w:sz w:val="21"/>
          <w:szCs w:val="21"/>
        </w:rPr>
        <w:t xml:space="preserve"> </w:t>
      </w:r>
      <w:r>
        <w:rPr>
          <w:rFonts w:ascii="SimSun" w:hAnsi="SimSun" w:eastAsia="SimSun" w:cs="SimSun"/>
          <w:sz w:val="21"/>
          <w:szCs w:val="21"/>
          <w:spacing w:val="-5"/>
        </w:rPr>
        <w:t>时，该实践尤为适用。</w:t>
      </w:r>
    </w:p>
    <w:p>
      <w:pPr>
        <w:spacing w:line="118" w:lineRule="exact"/>
        <w:rPr/>
      </w:pPr>
      <w:r/>
    </w:p>
    <w:tbl>
      <w:tblPr>
        <w:tblStyle w:val="TableNormal"/>
        <w:tblW w:w="759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3145"/>
        <w:gridCol w:w="3740"/>
      </w:tblGrid>
      <w:tr>
        <w:trPr>
          <w:trHeight w:val="332" w:hRule="atLeast"/>
        </w:trPr>
        <w:tc>
          <w:tcPr>
            <w:tcW w:w="714" w:type="dxa"/>
            <w:vAlign w:val="top"/>
          </w:tcPr>
          <w:p>
            <w:pPr>
              <w:pStyle w:val="TableText"/>
              <w:ind w:left="184"/>
              <w:spacing w:before="92" w:line="221" w:lineRule="auto"/>
              <w:rPr>
                <w:sz w:val="16"/>
                <w:szCs w:val="16"/>
              </w:rPr>
            </w:pPr>
            <w:r>
              <w:rPr>
                <w:sz w:val="16"/>
                <w:szCs w:val="16"/>
                <w:spacing w:val="-2"/>
              </w:rPr>
              <w:t>序号</w:t>
            </w:r>
          </w:p>
        </w:tc>
        <w:tc>
          <w:tcPr>
            <w:tcW w:w="3145" w:type="dxa"/>
            <w:vAlign w:val="top"/>
          </w:tcPr>
          <w:p>
            <w:pPr>
              <w:pStyle w:val="TableText"/>
              <w:ind w:left="1160"/>
              <w:spacing w:before="91" w:line="219" w:lineRule="auto"/>
              <w:rPr>
                <w:sz w:val="16"/>
                <w:szCs w:val="16"/>
              </w:rPr>
            </w:pPr>
            <w:r>
              <w:rPr>
                <w:sz w:val="16"/>
                <w:szCs w:val="16"/>
                <w:spacing w:val="-4"/>
              </w:rPr>
              <w:t>等 级 要 求</w:t>
            </w:r>
          </w:p>
        </w:tc>
        <w:tc>
          <w:tcPr>
            <w:tcW w:w="3740" w:type="dxa"/>
            <w:vAlign w:val="top"/>
          </w:tcPr>
          <w:p>
            <w:pPr>
              <w:pStyle w:val="TableText"/>
              <w:ind w:left="158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28" w:hRule="atLeast"/>
        </w:trPr>
        <w:tc>
          <w:tcPr>
            <w:tcW w:w="714" w:type="dxa"/>
            <w:vAlign w:val="top"/>
          </w:tcPr>
          <w:p>
            <w:pPr>
              <w:spacing w:line="326" w:lineRule="auto"/>
              <w:rPr>
                <w:rFonts w:ascii="Arial"/>
                <w:sz w:val="21"/>
              </w:rPr>
            </w:pPr>
            <w:r/>
          </w:p>
          <w:p>
            <w:pPr>
              <w:pStyle w:val="TableText"/>
              <w:ind w:left="225"/>
              <w:spacing w:before="52" w:line="183" w:lineRule="auto"/>
              <w:rPr>
                <w:sz w:val="16"/>
                <w:szCs w:val="16"/>
              </w:rPr>
            </w:pPr>
            <w:r>
              <w:rPr>
                <w:sz w:val="16"/>
                <w:szCs w:val="16"/>
                <w:spacing w:val="-3"/>
              </w:rPr>
              <w:t>5.2</w:t>
            </w:r>
          </w:p>
        </w:tc>
        <w:tc>
          <w:tcPr>
            <w:tcW w:w="3145" w:type="dxa"/>
            <w:vAlign w:val="top"/>
          </w:tcPr>
          <w:p>
            <w:pPr>
              <w:pStyle w:val="TableText"/>
              <w:ind w:left="91" w:firstLine="179"/>
              <w:spacing w:before="219" w:line="272" w:lineRule="auto"/>
              <w:rPr>
                <w:sz w:val="16"/>
                <w:szCs w:val="16"/>
              </w:rPr>
            </w:pPr>
            <w:r>
              <w:rPr>
                <w:sz w:val="16"/>
                <w:szCs w:val="16"/>
                <w:spacing w:val="-1"/>
              </w:rPr>
              <w:t>根据标准过程来管理数据提供者的数据清</w:t>
            </w:r>
            <w:r>
              <w:rPr>
                <w:sz w:val="16"/>
                <w:szCs w:val="16"/>
                <w:spacing w:val="1"/>
              </w:rPr>
              <w:t xml:space="preserve"> </w:t>
            </w:r>
            <w:r>
              <w:rPr>
                <w:sz w:val="16"/>
                <w:szCs w:val="16"/>
                <w:spacing w:val="-2"/>
              </w:rPr>
              <w:t>洗需求</w:t>
            </w:r>
          </w:p>
        </w:tc>
        <w:tc>
          <w:tcPr>
            <w:tcW w:w="3740" w:type="dxa"/>
            <w:vAlign w:val="top"/>
          </w:tcPr>
          <w:p>
            <w:pPr>
              <w:pStyle w:val="TableText"/>
              <w:ind w:left="265"/>
              <w:spacing w:before="68" w:line="219" w:lineRule="auto"/>
              <w:rPr>
                <w:sz w:val="16"/>
                <w:szCs w:val="16"/>
              </w:rPr>
            </w:pPr>
            <w:r>
              <w:rPr>
                <w:sz w:val="16"/>
                <w:szCs w:val="16"/>
              </w:rPr>
              <w:t>●通过会议纪要或备忘，展示标准的包含内容</w:t>
            </w:r>
          </w:p>
          <w:p>
            <w:pPr>
              <w:pStyle w:val="TableText"/>
              <w:ind w:left="115" w:firstLine="149"/>
              <w:spacing w:before="99" w:line="261" w:lineRule="auto"/>
              <w:rPr>
                <w:sz w:val="16"/>
                <w:szCs w:val="16"/>
              </w:rPr>
            </w:pPr>
            <w:r>
              <w:rPr>
                <w:sz w:val="16"/>
                <w:szCs w:val="16"/>
                <w:spacing w:val="-3"/>
              </w:rPr>
              <w:t>●服务水平协议，包括清洗过程和对数据提供者的</w:t>
            </w:r>
            <w:r>
              <w:rPr>
                <w:sz w:val="16"/>
                <w:szCs w:val="16"/>
                <w:spacing w:val="9"/>
              </w:rPr>
              <w:t xml:space="preserve"> </w:t>
            </w:r>
            <w:r>
              <w:rPr>
                <w:sz w:val="16"/>
                <w:szCs w:val="16"/>
                <w:spacing w:val="-3"/>
              </w:rPr>
              <w:t>期望</w:t>
            </w:r>
          </w:p>
        </w:tc>
      </w:tr>
    </w:tbl>
    <w:p>
      <w:pPr>
        <w:ind w:left="564"/>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199" w:right="27" w:firstLine="470"/>
        <w:spacing w:before="62" w:line="259" w:lineRule="auto"/>
        <w:rPr>
          <w:rFonts w:ascii="SimSun" w:hAnsi="SimSun" w:eastAsia="SimSun" w:cs="SimSun"/>
          <w:sz w:val="21"/>
          <w:szCs w:val="21"/>
        </w:rPr>
      </w:pPr>
      <w:r>
        <w:rPr>
          <w:rFonts w:ascii="SimSun" w:hAnsi="SimSun" w:eastAsia="SimSun" w:cs="SimSun"/>
          <w:sz w:val="21"/>
          <w:szCs w:val="21"/>
          <w:spacing w:val="2"/>
        </w:rPr>
        <w:t>组织数据清洗过程可以作为一个商业产品，服务于</w:t>
      </w:r>
      <w:r>
        <w:rPr>
          <w:rFonts w:ascii="SimSun" w:hAnsi="SimSun" w:eastAsia="SimSun" w:cs="SimSun"/>
          <w:sz w:val="21"/>
          <w:szCs w:val="21"/>
          <w:spacing w:val="1"/>
        </w:rPr>
        <w:t>众多数据提供者。数据提供</w:t>
      </w:r>
      <w:r>
        <w:rPr>
          <w:rFonts w:ascii="SimSun" w:hAnsi="SimSun" w:eastAsia="SimSun" w:cs="SimSun"/>
          <w:sz w:val="21"/>
          <w:szCs w:val="21"/>
        </w:rPr>
        <w:t xml:space="preserve"> </w:t>
      </w:r>
      <w:r>
        <w:rPr>
          <w:rFonts w:ascii="SimSun" w:hAnsi="SimSun" w:eastAsia="SimSun" w:cs="SimSun"/>
          <w:sz w:val="21"/>
          <w:szCs w:val="21"/>
          <w:spacing w:val="1"/>
        </w:rPr>
        <w:t>者的清洗需求则多种多样，有不同的商业目的和业务规则，通过标准的过程提供数</w:t>
      </w:r>
      <w:r>
        <w:rPr>
          <w:rFonts w:ascii="SimSun" w:hAnsi="SimSun" w:eastAsia="SimSun" w:cs="SimSun"/>
          <w:sz w:val="21"/>
          <w:szCs w:val="21"/>
          <w:spacing w:val="11"/>
        </w:rPr>
        <w:t xml:space="preserve"> </w:t>
      </w:r>
      <w:r>
        <w:rPr>
          <w:rFonts w:ascii="SimSun" w:hAnsi="SimSun" w:eastAsia="SimSun" w:cs="SimSun"/>
          <w:sz w:val="21"/>
          <w:szCs w:val="21"/>
          <w:spacing w:val="2"/>
        </w:rPr>
        <w:t>据清洗过程能够最大化满足不同数据提供者的商业需求。此处的标准</w:t>
      </w:r>
      <w:r>
        <w:rPr>
          <w:rFonts w:ascii="SimSun" w:hAnsi="SimSun" w:eastAsia="SimSun" w:cs="SimSun"/>
          <w:sz w:val="21"/>
          <w:szCs w:val="21"/>
          <w:spacing w:val="1"/>
        </w:rPr>
        <w:t>可以包括行业</w:t>
      </w:r>
      <w:r>
        <w:rPr>
          <w:rFonts w:ascii="SimSun" w:hAnsi="SimSun" w:eastAsia="SimSun" w:cs="SimSun"/>
          <w:sz w:val="21"/>
          <w:szCs w:val="21"/>
        </w:rPr>
        <w:t xml:space="preserve"> </w:t>
      </w:r>
      <w:r>
        <w:rPr>
          <w:rFonts w:ascii="SimSun" w:hAnsi="SimSun" w:eastAsia="SimSun" w:cs="SimSun"/>
          <w:sz w:val="21"/>
          <w:szCs w:val="21"/>
          <w:spacing w:val="-8"/>
        </w:rPr>
        <w:t>标准、国际/国内标准等。</w:t>
      </w:r>
    </w:p>
    <w:p>
      <w:pPr>
        <w:ind w:left="672"/>
        <w:spacing w:before="224" w:line="224" w:lineRule="auto"/>
        <w:outlineLvl w:val="4"/>
        <w:rPr>
          <w:rFonts w:ascii="YouYuan" w:hAnsi="YouYuan" w:eastAsia="YouYuan" w:cs="YouYuan"/>
          <w:sz w:val="21"/>
          <w:szCs w:val="21"/>
        </w:rPr>
      </w:pPr>
      <w:r>
        <w:rPr>
          <w:rFonts w:ascii="YouYuan" w:hAnsi="YouYuan" w:eastAsia="YouYuan" w:cs="YouYuan"/>
          <w:sz w:val="21"/>
          <w:szCs w:val="21"/>
          <w:b/>
          <w:bCs/>
          <w:spacing w:val="7"/>
        </w:rPr>
        <w:t>4.</w:t>
      </w:r>
      <w:r>
        <w:rPr>
          <w:rFonts w:ascii="YouYuan" w:hAnsi="YouYuan" w:eastAsia="YouYuan" w:cs="YouYuan"/>
          <w:sz w:val="21"/>
          <w:szCs w:val="21"/>
          <w:spacing w:val="7"/>
        </w:rPr>
        <w:t xml:space="preserve"> </w:t>
      </w:r>
      <w:r>
        <w:rPr>
          <w:rFonts w:ascii="YouYuan" w:hAnsi="YouYuan" w:eastAsia="YouYuan" w:cs="YouYuan"/>
          <w:sz w:val="21"/>
          <w:szCs w:val="21"/>
          <w:b/>
          <w:bCs/>
          <w:spacing w:val="7"/>
        </w:rPr>
        <w:t>实施案例</w:t>
      </w:r>
    </w:p>
    <w:p>
      <w:pPr>
        <w:ind w:left="669"/>
        <w:spacing w:before="232" w:line="227" w:lineRule="auto"/>
        <w:rPr>
          <w:rFonts w:ascii="KaiTi" w:hAnsi="KaiTi" w:eastAsia="KaiTi" w:cs="KaiTi"/>
          <w:sz w:val="21"/>
          <w:szCs w:val="21"/>
        </w:rPr>
      </w:pPr>
      <w:r>
        <w:rPr>
          <w:rFonts w:ascii="KaiTi" w:hAnsi="KaiTi" w:eastAsia="KaiTi" w:cs="KaiTi"/>
          <w:sz w:val="21"/>
          <w:szCs w:val="21"/>
          <w:spacing w:val="11"/>
        </w:rPr>
        <w:t>1)文件名称列表</w:t>
      </w:r>
    </w:p>
    <w:p>
      <w:pPr>
        <w:ind w:left="669"/>
        <w:spacing w:before="52" w:line="219" w:lineRule="auto"/>
        <w:rPr>
          <w:rFonts w:ascii="SimSun" w:hAnsi="SimSun" w:eastAsia="SimSun" w:cs="SimSun"/>
          <w:sz w:val="21"/>
          <w:szCs w:val="21"/>
        </w:rPr>
      </w:pPr>
      <w:r>
        <w:rPr>
          <w:rFonts w:ascii="SimSun" w:hAnsi="SimSun" w:eastAsia="SimSun" w:cs="SimSun"/>
          <w:sz w:val="21"/>
          <w:szCs w:val="21"/>
          <w:spacing w:val="1"/>
        </w:rPr>
        <w:t>●数据清洗规则库</w:t>
      </w:r>
    </w:p>
    <w:p>
      <w:pPr>
        <w:ind w:left="669"/>
        <w:spacing w:before="58" w:line="235" w:lineRule="auto"/>
        <w:rPr>
          <w:rFonts w:ascii="SimSun" w:hAnsi="SimSun" w:eastAsia="SimSun" w:cs="SimSun"/>
          <w:sz w:val="21"/>
          <w:szCs w:val="21"/>
        </w:rPr>
      </w:pPr>
      <w:r>
        <w:rPr>
          <w:rFonts w:ascii="STHupo" w:hAnsi="STHupo" w:eastAsia="STHupo" w:cs="STHupo"/>
          <w:sz w:val="21"/>
          <w:szCs w:val="21"/>
          <w:spacing w:val="-11"/>
        </w:rPr>
        <w:t>●</w:t>
      </w:r>
      <w:r>
        <w:rPr>
          <w:rFonts w:ascii="STHupo" w:hAnsi="STHupo" w:eastAsia="STHupo" w:cs="STHupo"/>
          <w:sz w:val="21"/>
          <w:szCs w:val="21"/>
          <w:spacing w:val="8"/>
        </w:rPr>
        <w:t xml:space="preserve">  </w:t>
      </w:r>
      <w:r>
        <w:rPr>
          <w:rFonts w:ascii="SimSun" w:hAnsi="SimSun" w:eastAsia="SimSun" w:cs="SimSun"/>
          <w:sz w:val="21"/>
          <w:szCs w:val="21"/>
          <w:spacing w:val="-11"/>
        </w:rPr>
        <w:t>数据清洗管理手册</w:t>
      </w:r>
    </w:p>
    <w:p>
      <w:pPr>
        <w:ind w:left="669" w:right="5632"/>
        <w:spacing w:before="34" w:line="254" w:lineRule="auto"/>
        <w:rPr>
          <w:rFonts w:ascii="KaiTi" w:hAnsi="KaiTi" w:eastAsia="KaiTi" w:cs="KaiTi"/>
          <w:sz w:val="21"/>
          <w:szCs w:val="21"/>
        </w:rPr>
      </w:pPr>
      <w:r>
        <w:rPr>
          <w:rFonts w:ascii="SimSun" w:hAnsi="SimSun" w:eastAsia="SimSun" w:cs="SimSun"/>
          <w:sz w:val="21"/>
          <w:szCs w:val="21"/>
          <w:spacing w:val="8"/>
        </w:rPr>
        <w:t>●数据质量阈值</w:t>
      </w:r>
      <w:r>
        <w:rPr>
          <w:rFonts w:ascii="SimSun" w:hAnsi="SimSun" w:eastAsia="SimSun" w:cs="SimSun"/>
          <w:sz w:val="21"/>
          <w:szCs w:val="21"/>
          <w:spacing w:val="1"/>
        </w:rPr>
        <w:t xml:space="preserve"> </w:t>
      </w:r>
      <w:r>
        <w:rPr>
          <w:rFonts w:ascii="KaiTi" w:hAnsi="KaiTi" w:eastAsia="KaiTi" w:cs="KaiTi"/>
          <w:sz w:val="21"/>
          <w:szCs w:val="21"/>
          <w:spacing w:val="15"/>
        </w:rPr>
        <w:t>2)记录文件列表</w:t>
      </w:r>
    </w:p>
    <w:p>
      <w:pPr>
        <w:ind w:left="669"/>
        <w:spacing w:before="51" w:line="218" w:lineRule="auto"/>
        <w:rPr>
          <w:rFonts w:ascii="SimSun" w:hAnsi="SimSun" w:eastAsia="SimSun" w:cs="SimSun"/>
          <w:sz w:val="21"/>
          <w:szCs w:val="21"/>
        </w:rPr>
      </w:pPr>
      <w:r>
        <w:rPr>
          <w:rFonts w:ascii="SimSun" w:hAnsi="SimSun" w:eastAsia="SimSun" w:cs="SimSun"/>
          <w:sz w:val="21"/>
          <w:szCs w:val="21"/>
          <w:spacing w:val="2"/>
        </w:rPr>
        <w:t>●数据清洗的记录和问题分析报告</w:t>
      </w:r>
    </w:p>
    <w:p>
      <w:pPr>
        <w:ind w:left="669"/>
        <w:spacing w:before="61" w:line="311" w:lineRule="exact"/>
        <w:rPr>
          <w:rFonts w:ascii="SimSun" w:hAnsi="SimSun" w:eastAsia="SimSun" w:cs="SimSun"/>
          <w:sz w:val="21"/>
          <w:szCs w:val="21"/>
        </w:rPr>
      </w:pPr>
      <w:r>
        <w:rPr>
          <w:rFonts w:ascii="STXingkai" w:hAnsi="STXingkai" w:eastAsia="STXingkai" w:cs="STXingkai"/>
          <w:sz w:val="21"/>
          <w:szCs w:val="21"/>
          <w:spacing w:val="-6"/>
          <w:position w:val="2"/>
        </w:rPr>
        <w:t>●</w:t>
      </w:r>
      <w:r>
        <w:rPr>
          <w:rFonts w:ascii="STXingkai" w:hAnsi="STXingkai" w:eastAsia="STXingkai" w:cs="STXingkai"/>
          <w:sz w:val="21"/>
          <w:szCs w:val="21"/>
          <w:spacing w:val="46"/>
          <w:w w:val="101"/>
          <w:position w:val="2"/>
        </w:rPr>
        <w:t xml:space="preserve"> </w:t>
      </w:r>
      <w:r>
        <w:rPr>
          <w:rFonts w:ascii="SimSun" w:hAnsi="SimSun" w:eastAsia="SimSun" w:cs="SimSun"/>
          <w:sz w:val="21"/>
          <w:szCs w:val="21"/>
          <w:spacing w:val="-6"/>
          <w:position w:val="2"/>
        </w:rPr>
        <w:t>数据清洗的有效性分析报告</w:t>
      </w:r>
    </w:p>
    <w:p>
      <w:pPr>
        <w:ind w:left="669"/>
        <w:spacing w:line="218" w:lineRule="auto"/>
        <w:rPr>
          <w:rFonts w:ascii="SimSun" w:hAnsi="SimSun" w:eastAsia="SimSun" w:cs="SimSun"/>
          <w:sz w:val="21"/>
          <w:szCs w:val="21"/>
        </w:rPr>
      </w:pPr>
      <w:r>
        <w:rPr>
          <w:rFonts w:ascii="SimSun" w:hAnsi="SimSun" w:eastAsia="SimSun" w:cs="SimSun"/>
          <w:sz w:val="21"/>
          <w:szCs w:val="21"/>
          <w:spacing w:val="2"/>
        </w:rPr>
        <w:t>●数据清洗和成本效益的分析报告</w:t>
      </w:r>
    </w:p>
    <w:p>
      <w:pPr>
        <w:spacing w:line="218" w:lineRule="auto"/>
        <w:sectPr>
          <w:footerReference w:type="default" r:id="rId297"/>
          <w:pgSz w:w="8870" w:h="13400"/>
          <w:pgMar w:top="400" w:right="535" w:bottom="498" w:left="440" w:header="0" w:footer="289" w:gutter="0"/>
        </w:sectPr>
        <w:rPr>
          <w:rFonts w:ascii="SimSun" w:hAnsi="SimSun" w:eastAsia="SimSun" w:cs="SimSun"/>
          <w:sz w:val="21"/>
          <w:szCs w:val="21"/>
        </w:rPr>
      </w:pPr>
    </w:p>
    <w:p>
      <w:pPr>
        <w:ind w:left="5467"/>
        <w:spacing w:before="224" w:line="219" w:lineRule="auto"/>
        <w:rPr>
          <w:rFonts w:ascii="SimSun" w:hAnsi="SimSun" w:eastAsia="SimSun" w:cs="SimSun"/>
          <w:sz w:val="21"/>
          <w:szCs w:val="21"/>
        </w:rPr>
      </w:pPr>
      <w:r>
        <w:rPr>
          <w:rFonts w:ascii="SimSun" w:hAnsi="SimSun" w:eastAsia="SimSun" w:cs="SimSun"/>
          <w:sz w:val="21"/>
          <w:szCs w:val="21"/>
          <w:b/>
          <w:bCs/>
          <w:spacing w:val="14"/>
        </w:rPr>
        <w:t>第6章■云端数据质量</w:t>
      </w:r>
    </w:p>
    <w:p>
      <w:pPr>
        <w:pStyle w:val="BodyText"/>
        <w:spacing w:line="255" w:lineRule="auto"/>
        <w:rPr/>
      </w:pPr>
      <w:r/>
    </w:p>
    <w:p>
      <w:pPr>
        <w:ind w:left="384"/>
        <w:spacing w:before="68" w:line="311" w:lineRule="exact"/>
        <w:rPr>
          <w:rFonts w:ascii="SimSun" w:hAnsi="SimSun" w:eastAsia="SimSun" w:cs="SimSun"/>
          <w:sz w:val="21"/>
          <w:szCs w:val="21"/>
        </w:rPr>
      </w:pPr>
      <w:r>
        <w:rPr>
          <w:rFonts w:ascii="SimSun" w:hAnsi="SimSun" w:eastAsia="SimSun" w:cs="SimSun"/>
          <w:sz w:val="21"/>
          <w:szCs w:val="21"/>
          <w:spacing w:val="4"/>
          <w:position w:val="7"/>
        </w:rPr>
        <w:t>●事件触发的数据清洗过程记录</w:t>
      </w:r>
    </w:p>
    <w:p>
      <w:pPr>
        <w:ind w:left="374"/>
        <w:spacing w:before="1" w:line="227" w:lineRule="auto"/>
        <w:rPr>
          <w:rFonts w:ascii="KaiTi" w:hAnsi="KaiTi" w:eastAsia="KaiTi" w:cs="KaiTi"/>
          <w:sz w:val="21"/>
          <w:szCs w:val="21"/>
        </w:rPr>
      </w:pPr>
      <w:r>
        <w:rPr>
          <w:rFonts w:ascii="KaiTi" w:hAnsi="KaiTi" w:eastAsia="KaiTi" w:cs="KaiTi"/>
          <w:sz w:val="21"/>
          <w:szCs w:val="21"/>
          <w:spacing w:val="11"/>
        </w:rPr>
        <w:t>3)实施案例模板</w:t>
      </w:r>
    </w:p>
    <w:p>
      <w:pPr>
        <w:ind w:left="424"/>
        <w:spacing w:before="50" w:line="219" w:lineRule="auto"/>
        <w:rPr>
          <w:rFonts w:ascii="SimSun" w:hAnsi="SimSun" w:eastAsia="SimSun" w:cs="SimSun"/>
          <w:sz w:val="21"/>
          <w:szCs w:val="21"/>
        </w:rPr>
      </w:pPr>
      <w:r>
        <w:rPr>
          <w:rFonts w:ascii="SimSun" w:hAnsi="SimSun" w:eastAsia="SimSun" w:cs="SimSun"/>
          <w:sz w:val="21"/>
          <w:szCs w:val="21"/>
          <w:spacing w:val="-5"/>
        </w:rPr>
        <w:t>下表展示了一个数据清洗管理手册。</w:t>
      </w:r>
    </w:p>
    <w:p>
      <w:pPr>
        <w:spacing w:line="127" w:lineRule="exact"/>
        <w:rPr/>
      </w:pPr>
      <w:r/>
    </w:p>
    <w:tbl>
      <w:tblPr>
        <w:tblStyle w:val="TableNormal"/>
        <w:tblW w:w="7649"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49"/>
      </w:tblGrid>
      <w:tr>
        <w:trPr>
          <w:trHeight w:val="8449" w:hRule="atLeast"/>
        </w:trPr>
        <w:tc>
          <w:tcPr>
            <w:tcW w:w="7649" w:type="dxa"/>
            <w:vAlign w:val="top"/>
          </w:tcPr>
          <w:p>
            <w:pPr>
              <w:pStyle w:val="TableText"/>
              <w:ind w:left="3225"/>
              <w:spacing w:before="91" w:line="219" w:lineRule="auto"/>
              <w:rPr/>
            </w:pPr>
            <w:r>
              <w:rPr>
                <w:spacing w:val="-1"/>
              </w:rPr>
              <w:t>数据清洗管理手册</w:t>
            </w:r>
          </w:p>
          <w:p>
            <w:pPr>
              <w:pStyle w:val="TableText"/>
              <w:ind w:left="244"/>
              <w:spacing w:before="102" w:line="219" w:lineRule="auto"/>
              <w:rPr/>
            </w:pPr>
            <w:r>
              <w:rPr>
                <w:spacing w:val="-1"/>
              </w:rPr>
              <w:t>1</w:t>
            </w:r>
            <w:r>
              <w:rPr>
                <w:spacing w:val="7"/>
              </w:rPr>
              <w:t xml:space="preserve">  </w:t>
            </w:r>
            <w:r>
              <w:rPr>
                <w:spacing w:val="-1"/>
              </w:rPr>
              <w:t>定义和确定错误的类型</w:t>
            </w:r>
          </w:p>
          <w:p>
            <w:pPr>
              <w:pStyle w:val="TableText"/>
              <w:ind w:left="244"/>
              <w:spacing w:before="112" w:line="219" w:lineRule="auto"/>
              <w:rPr/>
            </w:pPr>
            <w:r>
              <w:rPr>
                <w:spacing w:val="-3"/>
              </w:rPr>
              <w:t>1.1数据分析</w:t>
            </w:r>
          </w:p>
          <w:p>
            <w:pPr>
              <w:pStyle w:val="TableText"/>
              <w:ind w:left="94" w:right="171" w:firstLine="179"/>
              <w:spacing w:before="101" w:line="269" w:lineRule="auto"/>
              <w:rPr/>
            </w:pPr>
            <w:r>
              <w:rPr/>
              <w:t>数据分析是数据清洗的前提与基础。通过详尽的数据分析来检测数据中的错误或不一致情</w:t>
            </w:r>
            <w:r>
              <w:rPr>
                <w:spacing w:val="-1"/>
              </w:rPr>
              <w:t>况，除了手动检查数</w:t>
            </w:r>
            <w:r>
              <w:rPr/>
              <w:t xml:space="preserve"> </w:t>
            </w:r>
            <w:r>
              <w:rPr/>
              <w:t>据或者数据样本之外，还可以使用分析程序来获得关于数据属性的元数据，从而发现数据集中存在</w:t>
            </w:r>
            <w:r>
              <w:rPr>
                <w:spacing w:val="-1"/>
              </w:rPr>
              <w:t>的质量问题。</w:t>
            </w:r>
          </w:p>
          <w:p>
            <w:pPr>
              <w:pStyle w:val="TableText"/>
              <w:ind w:left="244"/>
              <w:spacing w:before="113" w:line="220" w:lineRule="auto"/>
              <w:rPr/>
            </w:pPr>
            <w:r>
              <w:rPr/>
              <w:t>1.2定义清洗转换规则</w:t>
            </w:r>
          </w:p>
          <w:p>
            <w:pPr>
              <w:pStyle w:val="TableText"/>
              <w:ind w:left="265"/>
              <w:spacing w:before="80" w:line="300" w:lineRule="exact"/>
              <w:rPr/>
            </w:pPr>
            <w:r>
              <w:rPr>
                <w:position w:val="11"/>
              </w:rPr>
              <w:t>根据上一步进行数据分析得到的结果来定义清洗转换规则与工作流。根据数据源的个数，数据</w:t>
            </w:r>
            <w:r>
              <w:rPr>
                <w:spacing w:val="-1"/>
                <w:position w:val="11"/>
              </w:rPr>
              <w:t>源中不一致数据</w:t>
            </w:r>
          </w:p>
          <w:p>
            <w:pPr>
              <w:pStyle w:val="TableText"/>
              <w:ind w:left="104"/>
              <w:spacing w:line="219" w:lineRule="auto"/>
              <w:rPr/>
            </w:pPr>
            <w:r>
              <w:rPr/>
              <w:t>和“脏数据”多少的程度，需要执行大量的数据转</w:t>
            </w:r>
            <w:r>
              <w:rPr>
                <w:spacing w:val="-1"/>
              </w:rPr>
              <w:t>换和清洗步骤。</w:t>
            </w:r>
          </w:p>
          <w:p>
            <w:pPr>
              <w:pStyle w:val="TableText"/>
              <w:ind w:left="265"/>
              <w:spacing w:before="112" w:line="219" w:lineRule="auto"/>
              <w:rPr/>
            </w:pPr>
            <w:r>
              <w:rPr/>
              <w:t>要尽可能地为模式相关的数据清洗和转换指定一种查询和匹配语言，从而使转换代码的自动生</w:t>
            </w:r>
            <w:r>
              <w:rPr>
                <w:spacing w:val="-1"/>
              </w:rPr>
              <w:t>成变成可能。</w:t>
            </w:r>
          </w:p>
          <w:p>
            <w:pPr>
              <w:pStyle w:val="TableText"/>
              <w:ind w:left="244"/>
              <w:spacing w:before="92" w:line="219" w:lineRule="auto"/>
              <w:rPr/>
            </w:pPr>
            <w:r>
              <w:rPr>
                <w:spacing w:val="-1"/>
              </w:rPr>
              <w:t>2搜寻并识别错误的实例</w:t>
            </w:r>
          </w:p>
          <w:p>
            <w:pPr>
              <w:pStyle w:val="TableText"/>
              <w:ind w:left="244"/>
              <w:spacing w:before="122" w:line="219" w:lineRule="auto"/>
              <w:rPr/>
            </w:pPr>
            <w:r>
              <w:rPr>
                <w:spacing w:val="-4"/>
              </w:rPr>
              <w:t>2.1</w:t>
            </w:r>
            <w:r>
              <w:rPr>
                <w:spacing w:val="19"/>
              </w:rPr>
              <w:t xml:space="preserve">  </w:t>
            </w:r>
            <w:r>
              <w:rPr>
                <w:spacing w:val="-4"/>
              </w:rPr>
              <w:t>自动检测属性错误</w:t>
            </w:r>
          </w:p>
          <w:p>
            <w:pPr>
              <w:pStyle w:val="TableText"/>
              <w:ind w:left="104" w:right="156" w:firstLine="160"/>
              <w:spacing w:before="102" w:line="270" w:lineRule="auto"/>
              <w:rPr/>
            </w:pPr>
            <w:r>
              <w:rPr/>
              <w:t>检测数据集中的属性错误，需要花费大量的人力、物力和时间，而且这个过程本身很容易出错。所以需要利用</w:t>
            </w:r>
            <w:r>
              <w:rPr>
                <w:spacing w:val="16"/>
              </w:rPr>
              <w:t xml:space="preserve"> </w:t>
            </w:r>
            <w:r>
              <w:rPr/>
              <w:t>高的方法自动检测数据集中的属性错误，方法主要有：基于统计的方法、聚类方法、关</w:t>
            </w:r>
            <w:r>
              <w:rPr>
                <w:spacing w:val="-1"/>
              </w:rPr>
              <w:t>联规则的方法。</w:t>
            </w:r>
          </w:p>
          <w:p>
            <w:pPr>
              <w:pStyle w:val="TableText"/>
              <w:ind w:left="244"/>
              <w:spacing w:before="122" w:line="219" w:lineRule="auto"/>
              <w:rPr/>
            </w:pPr>
            <w:r>
              <w:rPr>
                <w:spacing w:val="-1"/>
              </w:rPr>
              <w:t>2.2检测重复记录的算法</w:t>
            </w:r>
          </w:p>
          <w:p>
            <w:pPr>
              <w:pStyle w:val="TableText"/>
              <w:ind w:left="94" w:right="18" w:firstLine="179"/>
              <w:spacing w:before="91" w:line="345" w:lineRule="auto"/>
              <w:rPr/>
            </w:pPr>
            <w:r>
              <w:rPr/>
              <w:t>消除重复记录可以针对两个数据集或者一个合并后的数据集，首先需要检测出标识同一个现实实体</w:t>
            </w:r>
            <w:r>
              <w:rPr>
                <w:spacing w:val="-1"/>
              </w:rPr>
              <w:t>的重复记录，</w:t>
            </w:r>
            <w:r>
              <w:rPr/>
              <w:t xml:space="preserve"> </w:t>
            </w:r>
            <w:r>
              <w:rPr/>
              <w:t>即匹配过程。检测重复记录的算法主要有：基本的字段匹配算法，递归的字段匹配算法，Smith—Waterman算法，</w:t>
            </w:r>
          </w:p>
          <w:p>
            <w:pPr>
              <w:pStyle w:val="TableText"/>
              <w:ind w:left="94"/>
              <w:spacing w:line="219" w:lineRule="auto"/>
              <w:rPr/>
            </w:pPr>
            <w:r>
              <w:rPr>
                <w:spacing w:val="-1"/>
              </w:rPr>
              <w:t>Cosine相似度函数。</w:t>
            </w:r>
          </w:p>
          <w:p>
            <w:pPr>
              <w:pStyle w:val="TableText"/>
              <w:ind w:left="244"/>
              <w:spacing w:before="102" w:line="220" w:lineRule="auto"/>
              <w:rPr/>
            </w:pPr>
            <w:r>
              <w:rPr>
                <w:spacing w:val="-1"/>
              </w:rPr>
              <w:t>3纠正所发现的错误</w:t>
            </w:r>
          </w:p>
          <w:p>
            <w:pPr>
              <w:pStyle w:val="TableText"/>
              <w:ind w:left="265"/>
              <w:spacing w:before="111" w:line="219" w:lineRule="auto"/>
              <w:rPr/>
            </w:pPr>
            <w:r>
              <w:rPr/>
              <w:t>在数据源上执行预先定义好的并且已经得到验证的清洗转换规则和工作流。当直接在源数据上</w:t>
            </w:r>
            <w:r>
              <w:rPr>
                <w:spacing w:val="-1"/>
              </w:rPr>
              <w:t>进行清洗时，需</w:t>
            </w:r>
          </w:p>
          <w:p>
            <w:pPr>
              <w:pStyle w:val="TableText"/>
              <w:spacing w:before="102" w:line="219" w:lineRule="auto"/>
              <w:jc w:val="right"/>
              <w:rPr/>
            </w:pPr>
            <w:r>
              <w:rPr>
                <w:spacing w:val="-2"/>
              </w:rPr>
              <w:t>要备份源数据，以防需要撤销上一次或数次的清洗操作。清洗时根据“脏数据”存在形式的不同，</w:t>
            </w:r>
            <w:r>
              <w:rPr>
                <w:spacing w:val="-3"/>
              </w:rPr>
              <w:t>执行一系列的转</w:t>
            </w:r>
          </w:p>
          <w:p>
            <w:pPr>
              <w:pStyle w:val="TableText"/>
              <w:ind w:left="244"/>
              <w:spacing w:before="82" w:line="310" w:lineRule="exact"/>
              <w:rPr/>
            </w:pPr>
            <w:r>
              <w:rPr>
                <w:spacing w:val="-2"/>
                <w:position w:val="12"/>
              </w:rPr>
              <w:t>换步骤来解决模式层和实例层的数据质量问题。为处理单数据源问题</w:t>
            </w:r>
            <w:r>
              <w:rPr>
                <w:spacing w:val="-3"/>
                <w:position w:val="12"/>
              </w:rPr>
              <w:t>并且为其与其他数据源的合并做好准备，</w:t>
            </w:r>
            <w:r>
              <w:rPr>
                <w:spacing w:val="42"/>
                <w:position w:val="12"/>
              </w:rPr>
              <w:t xml:space="preserve"> </w:t>
            </w:r>
            <w:r>
              <w:rPr>
                <w:spacing w:val="-3"/>
                <w:position w:val="12"/>
              </w:rPr>
              <w:t>一</w:t>
            </w:r>
          </w:p>
          <w:p>
            <w:pPr>
              <w:pStyle w:val="TableText"/>
              <w:ind w:left="115"/>
              <w:spacing w:line="219" w:lineRule="auto"/>
              <w:rPr/>
            </w:pPr>
            <w:r>
              <w:rPr/>
              <w:t>般在各个数据源上应该分别进行多种类型的转换，主</w:t>
            </w:r>
            <w:r>
              <w:rPr>
                <w:spacing w:val="-1"/>
              </w:rPr>
              <w:t>要包括三种。</w:t>
            </w:r>
          </w:p>
          <w:p>
            <w:pPr>
              <w:pStyle w:val="TableText"/>
              <w:ind w:left="244"/>
              <w:spacing w:before="113" w:line="219" w:lineRule="auto"/>
              <w:rPr/>
            </w:pPr>
            <w:r>
              <w:rPr>
                <w:spacing w:val="1"/>
              </w:rPr>
              <w:t>3.1从自由格式的属性字段中抽取值(属性分离)</w:t>
            </w:r>
          </w:p>
          <w:p>
            <w:pPr>
              <w:pStyle w:val="TableText"/>
              <w:ind w:left="94" w:right="156" w:firstLine="179"/>
              <w:spacing w:before="92" w:line="276" w:lineRule="auto"/>
              <w:rPr/>
            </w:pPr>
            <w:r>
              <w:rPr/>
              <w:t>自由格式的属性一般包含着很多的信息，而这些信息有时候需要细化成多个属性，从而进一步支持后面重复记</w:t>
            </w:r>
            <w:r>
              <w:rPr>
                <w:spacing w:val="6"/>
              </w:rPr>
              <w:t xml:space="preserve"> </w:t>
            </w:r>
            <w:r>
              <w:rPr>
                <w:spacing w:val="-1"/>
              </w:rPr>
              <w:t>录的清洗。</w:t>
            </w:r>
          </w:p>
          <w:p>
            <w:pPr>
              <w:pStyle w:val="TableText"/>
              <w:ind w:left="244"/>
              <w:spacing w:before="101" w:line="219" w:lineRule="auto"/>
              <w:rPr/>
            </w:pPr>
            <w:r>
              <w:rPr>
                <w:spacing w:val="-2"/>
              </w:rPr>
              <w:t>3.2确认和改正</w:t>
            </w:r>
          </w:p>
          <w:p>
            <w:pPr>
              <w:pStyle w:val="TableText"/>
              <w:ind w:left="104" w:right="156" w:firstLine="160"/>
              <w:spacing w:before="111" w:line="279" w:lineRule="auto"/>
              <w:rPr/>
            </w:pPr>
            <w:r>
              <w:rPr/>
              <w:t>这一步骤处理输入和拼写错误，并尽可能地使其自动化。基于字典查询的拼写检查对于发现拼写错误是很有用</w:t>
            </w:r>
            <w:r>
              <w:rPr>
                <w:spacing w:val="16"/>
              </w:rPr>
              <w:t xml:space="preserve"> </w:t>
            </w:r>
            <w:r>
              <w:rPr>
                <w:spacing w:val="-10"/>
              </w:rPr>
              <w:t>的</w:t>
            </w:r>
            <w:r>
              <w:rPr>
                <w:spacing w:val="-40"/>
              </w:rPr>
              <w:t xml:space="preserve"> </w:t>
            </w:r>
            <w:r>
              <w:rPr>
                <w:spacing w:val="-10"/>
              </w:rPr>
              <w:t>。</w:t>
            </w:r>
          </w:p>
          <w:p>
            <w:pPr>
              <w:pStyle w:val="TableText"/>
              <w:ind w:left="244"/>
              <w:spacing w:before="108" w:line="220" w:lineRule="auto"/>
              <w:rPr/>
            </w:pPr>
            <w:r>
              <w:rPr>
                <w:spacing w:val="-2"/>
              </w:rPr>
              <w:t>3.3标准化</w:t>
            </w:r>
          </w:p>
          <w:p>
            <w:pPr>
              <w:pStyle w:val="TableText"/>
              <w:ind w:left="244"/>
              <w:spacing w:before="101" w:line="219" w:lineRule="auto"/>
              <w:rPr/>
            </w:pPr>
            <w:r>
              <w:rPr/>
              <w:t>为了使记录实例匹配和合并变得更方便，应该把属性值转换成一个一致且统一的格</w:t>
            </w:r>
            <w:r>
              <w:rPr>
                <w:spacing w:val="-1"/>
              </w:rPr>
              <w:t>式。</w:t>
            </w:r>
          </w:p>
        </w:tc>
      </w:tr>
    </w:tbl>
    <w:p>
      <w:pPr>
        <w:pStyle w:val="BodyText"/>
        <w:rPr/>
      </w:pPr>
      <w:r/>
    </w:p>
    <w:p>
      <w:pPr>
        <w:sectPr>
          <w:footerReference w:type="default" r:id="rId298"/>
          <w:pgSz w:w="8870" w:h="13400"/>
          <w:pgMar w:top="400" w:right="488" w:bottom="548" w:left="545" w:header="0" w:footer="338" w:gutter="0"/>
        </w:sectPr>
        <w:rPr/>
      </w:pP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pStyle w:val="BodyText"/>
        <w:spacing w:line="286" w:lineRule="auto"/>
        <w:rPr/>
      </w:pPr>
      <w:r/>
    </w:p>
    <w:p>
      <w:pPr>
        <w:ind w:left="2055"/>
        <w:spacing w:before="130" w:line="221" w:lineRule="auto"/>
        <w:rPr>
          <w:rFonts w:ascii="SimHei" w:hAnsi="SimHei" w:eastAsia="SimHei" w:cs="SimHei"/>
          <w:sz w:val="40"/>
          <w:szCs w:val="40"/>
        </w:rPr>
      </w:pPr>
      <w:r>
        <w:rPr>
          <w:rFonts w:ascii="SimHei" w:hAnsi="SimHei" w:eastAsia="SimHei" w:cs="SimHei"/>
          <w:sz w:val="40"/>
          <w:szCs w:val="40"/>
          <w:b/>
          <w:bCs/>
          <w:spacing w:val="-8"/>
        </w:rPr>
        <w:t>第</w:t>
      </w:r>
      <w:r>
        <w:rPr>
          <w:rFonts w:ascii="SimHei" w:hAnsi="SimHei" w:eastAsia="SimHei" w:cs="SimHei"/>
          <w:sz w:val="40"/>
          <w:szCs w:val="40"/>
          <w:spacing w:val="-55"/>
        </w:rPr>
        <w:t xml:space="preserve"> </w:t>
      </w:r>
      <w:r>
        <w:rPr>
          <w:rFonts w:ascii="SimHei" w:hAnsi="SimHei" w:eastAsia="SimHei" w:cs="SimHei"/>
          <w:sz w:val="40"/>
          <w:szCs w:val="40"/>
          <w:b/>
          <w:bCs/>
          <w:spacing w:val="-8"/>
        </w:rPr>
        <w:t>7</w:t>
      </w:r>
      <w:r>
        <w:rPr>
          <w:rFonts w:ascii="SimHei" w:hAnsi="SimHei" w:eastAsia="SimHei" w:cs="SimHei"/>
          <w:sz w:val="40"/>
          <w:szCs w:val="40"/>
          <w:spacing w:val="-58"/>
        </w:rPr>
        <w:t xml:space="preserve"> </w:t>
      </w:r>
      <w:r>
        <w:rPr>
          <w:rFonts w:ascii="SimHei" w:hAnsi="SimHei" w:eastAsia="SimHei" w:cs="SimHei"/>
          <w:sz w:val="40"/>
          <w:szCs w:val="40"/>
          <w:b/>
          <w:bCs/>
          <w:spacing w:val="-8"/>
        </w:rPr>
        <w:t>章</w:t>
      </w:r>
      <w:r>
        <w:rPr>
          <w:rFonts w:ascii="SimHei" w:hAnsi="SimHei" w:eastAsia="SimHei" w:cs="SimHei"/>
          <w:sz w:val="40"/>
          <w:szCs w:val="40"/>
          <w:spacing w:val="196"/>
        </w:rPr>
        <w:t xml:space="preserve"> </w:t>
      </w:r>
      <w:r>
        <w:rPr>
          <w:rFonts w:ascii="SimHei" w:hAnsi="SimHei" w:eastAsia="SimHei" w:cs="SimHei"/>
          <w:sz w:val="40"/>
          <w:szCs w:val="40"/>
          <w:b/>
          <w:bCs/>
          <w:spacing w:val="-8"/>
        </w:rPr>
        <w:t>云端数据操作</w:t>
      </w:r>
    </w:p>
    <w:p>
      <w:pPr>
        <w:pStyle w:val="BodyText"/>
        <w:spacing w:line="255" w:lineRule="auto"/>
        <w:rPr/>
      </w:pPr>
      <w:r/>
    </w:p>
    <w:p>
      <w:pPr>
        <w:pStyle w:val="BodyText"/>
        <w:spacing w:line="255" w:lineRule="auto"/>
        <w:rPr/>
      </w:pPr>
      <w:r/>
    </w:p>
    <w:p>
      <w:pPr>
        <w:ind w:left="245"/>
        <w:spacing w:before="117" w:line="221" w:lineRule="auto"/>
        <w:outlineLvl w:val="2"/>
        <w:rPr>
          <w:rFonts w:ascii="SimHei" w:hAnsi="SimHei" w:eastAsia="SimHei" w:cs="SimHei"/>
          <w:sz w:val="36"/>
          <w:szCs w:val="36"/>
        </w:rPr>
      </w:pPr>
      <w:r>
        <w:rPr>
          <w:rFonts w:ascii="SimHei" w:hAnsi="SimHei" w:eastAsia="SimHei" w:cs="SimHei"/>
          <w:sz w:val="36"/>
          <w:szCs w:val="36"/>
          <w:b/>
          <w:bCs/>
          <w:spacing w:val="-12"/>
        </w:rPr>
        <w:t>7.1</w:t>
      </w:r>
      <w:r>
        <w:rPr>
          <w:rFonts w:ascii="SimHei" w:hAnsi="SimHei" w:eastAsia="SimHei" w:cs="SimHei"/>
          <w:sz w:val="36"/>
          <w:szCs w:val="36"/>
          <w:spacing w:val="115"/>
        </w:rPr>
        <w:t xml:space="preserve"> </w:t>
      </w:r>
      <w:r>
        <w:rPr>
          <w:rFonts w:ascii="SimHei" w:hAnsi="SimHei" w:eastAsia="SimHei" w:cs="SimHei"/>
          <w:sz w:val="36"/>
          <w:szCs w:val="36"/>
          <w:b/>
          <w:bCs/>
          <w:spacing w:val="-12"/>
        </w:rPr>
        <w:t>概述</w:t>
      </w:r>
    </w:p>
    <w:p>
      <w:pPr>
        <w:pStyle w:val="BodyText"/>
        <w:spacing w:line="241" w:lineRule="auto"/>
        <w:rPr/>
      </w:pPr>
      <w:r/>
    </w:p>
    <w:p>
      <w:pPr>
        <w:ind w:left="244"/>
        <w:spacing w:before="94" w:line="221" w:lineRule="auto"/>
        <w:outlineLvl w:val="3"/>
        <w:rPr>
          <w:rFonts w:ascii="YouYuan" w:hAnsi="YouYuan" w:eastAsia="YouYuan" w:cs="YouYuan"/>
          <w:sz w:val="29"/>
          <w:szCs w:val="29"/>
        </w:rPr>
      </w:pPr>
      <w:r>
        <w:rPr>
          <w:rFonts w:ascii="YouYuan" w:hAnsi="YouYuan" w:eastAsia="YouYuan" w:cs="YouYuan"/>
          <w:sz w:val="29"/>
          <w:szCs w:val="29"/>
          <w:b/>
          <w:bCs/>
          <w:spacing w:val="-8"/>
        </w:rPr>
        <w:t>7.1.1</w:t>
      </w:r>
      <w:r>
        <w:rPr>
          <w:rFonts w:ascii="YouYuan" w:hAnsi="YouYuan" w:eastAsia="YouYuan" w:cs="YouYuan"/>
          <w:sz w:val="29"/>
          <w:szCs w:val="29"/>
          <w:spacing w:val="131"/>
        </w:rPr>
        <w:t xml:space="preserve"> </w:t>
      </w:r>
      <w:r>
        <w:rPr>
          <w:rFonts w:ascii="YouYuan" w:hAnsi="YouYuan" w:eastAsia="YouYuan" w:cs="YouYuan"/>
          <w:sz w:val="29"/>
          <w:szCs w:val="29"/>
          <w:b/>
          <w:bCs/>
          <w:spacing w:val="-8"/>
        </w:rPr>
        <w:t>目的和意义</w:t>
      </w:r>
    </w:p>
    <w:p>
      <w:pPr>
        <w:pStyle w:val="BodyText"/>
        <w:spacing w:line="253" w:lineRule="auto"/>
        <w:rPr/>
      </w:pPr>
      <w:r/>
    </w:p>
    <w:p>
      <w:pPr>
        <w:ind w:left="240" w:firstLine="449"/>
        <w:spacing w:before="72" w:line="256" w:lineRule="auto"/>
        <w:jc w:val="both"/>
        <w:rPr>
          <w:rFonts w:ascii="SimSun" w:hAnsi="SimSun" w:eastAsia="SimSun" w:cs="SimSun"/>
          <w:sz w:val="22"/>
          <w:szCs w:val="22"/>
        </w:rPr>
      </w:pPr>
      <w:r>
        <w:rPr>
          <w:rFonts w:ascii="SimSun" w:hAnsi="SimSun" w:eastAsia="SimSun" w:cs="SimSun"/>
          <w:sz w:val="22"/>
          <w:szCs w:val="22"/>
          <w:spacing w:val="-8"/>
        </w:rPr>
        <w:t>随着云计算技术的飞速发展，企业在收集、分析和存储数据方面的能力较以往</w:t>
      </w:r>
      <w:r>
        <w:rPr>
          <w:rFonts w:ascii="SimSun" w:hAnsi="SimSun" w:eastAsia="SimSun" w:cs="SimSun"/>
          <w:sz w:val="22"/>
          <w:szCs w:val="22"/>
        </w:rPr>
        <w:t xml:space="preserve"> </w:t>
      </w:r>
      <w:r>
        <w:rPr>
          <w:rFonts w:ascii="SimSun" w:hAnsi="SimSun" w:eastAsia="SimSun" w:cs="SimSun"/>
          <w:sz w:val="22"/>
          <w:szCs w:val="22"/>
          <w:spacing w:val="-8"/>
        </w:rPr>
        <w:t>呈几何倍数增长。根据权威机构调查显示，未来数据中心</w:t>
      </w:r>
      <w:r>
        <w:rPr>
          <w:rFonts w:ascii="SimSun" w:hAnsi="SimSun" w:eastAsia="SimSun" w:cs="SimSun"/>
          <w:sz w:val="22"/>
          <w:szCs w:val="22"/>
          <w:spacing w:val="-9"/>
        </w:rPr>
        <w:t>将进一步向云端偏移。云</w:t>
      </w:r>
      <w:r>
        <w:rPr>
          <w:rFonts w:ascii="SimSun" w:hAnsi="SimSun" w:eastAsia="SimSun" w:cs="SimSun"/>
          <w:sz w:val="22"/>
          <w:szCs w:val="22"/>
        </w:rPr>
        <w:t xml:space="preserve"> </w:t>
      </w:r>
      <w:r>
        <w:rPr>
          <w:rFonts w:ascii="SimSun" w:hAnsi="SimSun" w:eastAsia="SimSun" w:cs="SimSun"/>
          <w:sz w:val="22"/>
          <w:szCs w:val="22"/>
          <w:spacing w:val="-8"/>
        </w:rPr>
        <w:t>端数据具有数量庞大、结构多样、移动性强等特点，针对以上</w:t>
      </w:r>
      <w:r>
        <w:rPr>
          <w:rFonts w:ascii="SimSun" w:hAnsi="SimSun" w:eastAsia="SimSun" w:cs="SimSun"/>
          <w:sz w:val="22"/>
          <w:szCs w:val="22"/>
          <w:spacing w:val="-9"/>
        </w:rPr>
        <w:t>特点，对数据的操作</w:t>
      </w:r>
      <w:r>
        <w:rPr>
          <w:rFonts w:ascii="SimSun" w:hAnsi="SimSun" w:eastAsia="SimSun" w:cs="SimSun"/>
          <w:sz w:val="22"/>
          <w:szCs w:val="22"/>
        </w:rPr>
        <w:t xml:space="preserve"> </w:t>
      </w:r>
      <w:r>
        <w:rPr>
          <w:rFonts w:ascii="SimSun" w:hAnsi="SimSun" w:eastAsia="SimSun" w:cs="SimSun"/>
          <w:sz w:val="22"/>
          <w:szCs w:val="22"/>
          <w:spacing w:val="-10"/>
        </w:rPr>
        <w:t>如果没有实施规范化管理，未来将会影响到组织资源利用率乃至整体效率。</w:t>
      </w:r>
    </w:p>
    <w:p>
      <w:pPr>
        <w:ind w:left="693"/>
        <w:spacing w:before="34" w:line="219" w:lineRule="auto"/>
        <w:rPr>
          <w:rFonts w:ascii="SimHei" w:hAnsi="SimHei" w:eastAsia="SimHei" w:cs="SimHei"/>
          <w:sz w:val="22"/>
          <w:szCs w:val="22"/>
        </w:rPr>
      </w:pPr>
      <w:r>
        <w:rPr>
          <w:rFonts w:ascii="SimHei" w:hAnsi="SimHei" w:eastAsia="SimHei" w:cs="SimHei"/>
          <w:sz w:val="22"/>
          <w:szCs w:val="22"/>
          <w:b/>
          <w:bCs/>
          <w:spacing w:val="-5"/>
        </w:rPr>
        <w:t>例子1:数据采集板缺陷导致甬温线特别重大铁路交通事故</w:t>
      </w:r>
    </w:p>
    <w:p>
      <w:pPr>
        <w:ind w:left="240" w:firstLine="449"/>
        <w:spacing w:before="62" w:line="257" w:lineRule="auto"/>
        <w:jc w:val="both"/>
        <w:rPr>
          <w:rFonts w:ascii="SimSun" w:hAnsi="SimSun" w:eastAsia="SimSun" w:cs="SimSun"/>
          <w:sz w:val="22"/>
          <w:szCs w:val="22"/>
        </w:rPr>
      </w:pPr>
      <w:r>
        <w:rPr>
          <w:rFonts w:ascii="SimSun" w:hAnsi="SimSun" w:eastAsia="SimSun" w:cs="SimSun"/>
          <w:sz w:val="22"/>
          <w:szCs w:val="22"/>
          <w:spacing w:val="7"/>
        </w:rPr>
        <w:t>2011年7月23日20时30分05秒，甬温线浙江省温州市境内，由北京南站开</w:t>
      </w:r>
      <w:r>
        <w:rPr>
          <w:rFonts w:ascii="SimSun" w:hAnsi="SimSun" w:eastAsia="SimSun" w:cs="SimSun"/>
          <w:sz w:val="22"/>
          <w:szCs w:val="22"/>
          <w:spacing w:val="12"/>
        </w:rPr>
        <w:t xml:space="preserve"> </w:t>
      </w:r>
      <w:r>
        <w:rPr>
          <w:rFonts w:ascii="SimSun" w:hAnsi="SimSun" w:eastAsia="SimSun" w:cs="SimSun"/>
          <w:sz w:val="22"/>
          <w:szCs w:val="22"/>
          <w:spacing w:val="-8"/>
        </w:rPr>
        <w:t>往福州站的</w:t>
      </w:r>
      <w:r>
        <w:rPr>
          <w:rFonts w:ascii="SimSun" w:hAnsi="SimSun" w:eastAsia="SimSun" w:cs="SimSun"/>
          <w:sz w:val="22"/>
          <w:szCs w:val="22"/>
          <w:spacing w:val="-36"/>
        </w:rPr>
        <w:t xml:space="preserve"> </w:t>
      </w:r>
      <w:r>
        <w:rPr>
          <w:rFonts w:ascii="SimSun" w:hAnsi="SimSun" w:eastAsia="SimSun" w:cs="SimSun"/>
          <w:sz w:val="22"/>
          <w:szCs w:val="22"/>
          <w:spacing w:val="-8"/>
        </w:rPr>
        <w:t>D301 次列车与由杭州站开往福州南站的</w:t>
      </w:r>
      <w:r>
        <w:rPr>
          <w:rFonts w:ascii="SimSun" w:hAnsi="SimSun" w:eastAsia="SimSun" w:cs="SimSun"/>
          <w:sz w:val="22"/>
          <w:szCs w:val="22"/>
          <w:spacing w:val="-36"/>
        </w:rPr>
        <w:t xml:space="preserve"> </w:t>
      </w:r>
      <w:r>
        <w:rPr>
          <w:rFonts w:ascii="SimSun" w:hAnsi="SimSun" w:eastAsia="SimSun" w:cs="SimSun"/>
          <w:sz w:val="22"/>
          <w:szCs w:val="22"/>
          <w:spacing w:val="-8"/>
        </w:rPr>
        <w:t>D311</w:t>
      </w:r>
      <w:r>
        <w:rPr>
          <w:rFonts w:ascii="SimSun" w:hAnsi="SimSun" w:eastAsia="SimSun" w:cs="SimSun"/>
          <w:sz w:val="22"/>
          <w:szCs w:val="22"/>
          <w:spacing w:val="-9"/>
        </w:rPr>
        <w:t>5 次列车发生动车组列车</w:t>
      </w:r>
      <w:r>
        <w:rPr>
          <w:rFonts w:ascii="SimSun" w:hAnsi="SimSun" w:eastAsia="SimSun" w:cs="SimSun"/>
          <w:sz w:val="22"/>
          <w:szCs w:val="22"/>
        </w:rPr>
        <w:t xml:space="preserve"> </w:t>
      </w:r>
      <w:r>
        <w:rPr>
          <w:rFonts w:ascii="SimSun" w:hAnsi="SimSun" w:eastAsia="SimSun" w:cs="SimSun"/>
          <w:sz w:val="22"/>
          <w:szCs w:val="22"/>
          <w:spacing w:val="2"/>
        </w:rPr>
        <w:t>追尾事故，造成40人死亡、172</w:t>
      </w:r>
      <w:r>
        <w:rPr>
          <w:rFonts w:ascii="SimSun" w:hAnsi="SimSun" w:eastAsia="SimSun" w:cs="SimSun"/>
          <w:sz w:val="22"/>
          <w:szCs w:val="22"/>
          <w:spacing w:val="-23"/>
        </w:rPr>
        <w:t xml:space="preserve"> </w:t>
      </w:r>
      <w:r>
        <w:rPr>
          <w:rFonts w:ascii="SimSun" w:hAnsi="SimSun" w:eastAsia="SimSun" w:cs="SimSun"/>
          <w:sz w:val="22"/>
          <w:szCs w:val="22"/>
          <w:spacing w:val="2"/>
        </w:rPr>
        <w:t>人受伤，中断行车32</w:t>
      </w:r>
      <w:r>
        <w:rPr>
          <w:rFonts w:ascii="SimSun" w:hAnsi="SimSun" w:eastAsia="SimSun" w:cs="SimSun"/>
          <w:sz w:val="22"/>
          <w:szCs w:val="22"/>
          <w:spacing w:val="-23"/>
        </w:rPr>
        <w:t xml:space="preserve"> </w:t>
      </w:r>
      <w:r>
        <w:rPr>
          <w:rFonts w:ascii="SimSun" w:hAnsi="SimSun" w:eastAsia="SimSun" w:cs="SimSun"/>
          <w:sz w:val="22"/>
          <w:szCs w:val="22"/>
          <w:spacing w:val="2"/>
        </w:rPr>
        <w:t>小时35分，直接经济损失</w:t>
      </w:r>
      <w:r>
        <w:rPr>
          <w:rFonts w:ascii="SimSun" w:hAnsi="SimSun" w:eastAsia="SimSun" w:cs="SimSun"/>
          <w:sz w:val="22"/>
          <w:szCs w:val="22"/>
        </w:rPr>
        <w:t xml:space="preserve"> </w:t>
      </w:r>
      <w:r>
        <w:rPr>
          <w:rFonts w:ascii="SimSun" w:hAnsi="SimSun" w:eastAsia="SimSun" w:cs="SimSun"/>
          <w:sz w:val="22"/>
          <w:szCs w:val="22"/>
          <w:spacing w:val="-10"/>
        </w:rPr>
        <w:t>19371.65 万元。经调查认定，导致事故发生的原因是甬温线温州南站提供的 </w:t>
      </w:r>
      <w:r>
        <w:rPr>
          <w:rFonts w:ascii="Times New Roman" w:hAnsi="Times New Roman" w:eastAsia="Times New Roman" w:cs="Times New Roman"/>
          <w:sz w:val="22"/>
          <w:szCs w:val="22"/>
          <w:spacing w:val="-10"/>
        </w:rPr>
        <w:t>LKD2</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9"/>
        </w:rPr>
        <w:t>—T1</w:t>
      </w:r>
      <w:r>
        <w:rPr>
          <w:rFonts w:ascii="SimSun" w:hAnsi="SimSun" w:eastAsia="SimSun" w:cs="SimSun"/>
          <w:sz w:val="22"/>
          <w:szCs w:val="22"/>
          <w:spacing w:val="-9"/>
        </w:rPr>
        <w:t>型列控中心设备数据采集板软件存在严重设计缺陷和重大安全隐患。当温州南</w:t>
      </w:r>
      <w:r>
        <w:rPr>
          <w:rFonts w:ascii="SimSun" w:hAnsi="SimSun" w:eastAsia="SimSun" w:cs="SimSun"/>
          <w:sz w:val="22"/>
          <w:szCs w:val="22"/>
          <w:spacing w:val="8"/>
        </w:rPr>
        <w:t xml:space="preserve"> </w:t>
      </w:r>
      <w:r>
        <w:rPr>
          <w:rFonts w:ascii="SimSun" w:hAnsi="SimSun" w:eastAsia="SimSun" w:cs="SimSun"/>
          <w:sz w:val="22"/>
          <w:szCs w:val="22"/>
          <w:spacing w:val="-10"/>
        </w:rPr>
        <w:t>站列控中心采集驱动单元采集电路电源回路中保险管</w:t>
      </w:r>
      <w:r>
        <w:rPr>
          <w:rFonts w:ascii="Times New Roman" w:hAnsi="Times New Roman" w:eastAsia="Times New Roman" w:cs="Times New Roman"/>
          <w:sz w:val="22"/>
          <w:szCs w:val="22"/>
          <w:spacing w:val="-10"/>
        </w:rPr>
        <w:t>F2</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0"/>
        </w:rPr>
        <w:t>遭雷击熔断后，采集数据不</w:t>
      </w:r>
      <w:r>
        <w:rPr>
          <w:rFonts w:ascii="SimSun" w:hAnsi="SimSun" w:eastAsia="SimSun" w:cs="SimSun"/>
          <w:sz w:val="22"/>
          <w:szCs w:val="22"/>
        </w:rPr>
        <w:t xml:space="preserve"> </w:t>
      </w:r>
      <w:r>
        <w:rPr>
          <w:rFonts w:ascii="SimSun" w:hAnsi="SimSun" w:eastAsia="SimSun" w:cs="SimSun"/>
          <w:sz w:val="22"/>
          <w:szCs w:val="22"/>
          <w:spacing w:val="-10"/>
        </w:rPr>
        <w:t>再更新，错误地控制轨道电路发码及信号显示，使行车处于不安全状态。</w:t>
      </w:r>
    </w:p>
    <w:p>
      <w:pPr>
        <w:ind w:left="693"/>
        <w:spacing w:before="54" w:line="222" w:lineRule="auto"/>
        <w:rPr>
          <w:rFonts w:ascii="SimHei" w:hAnsi="SimHei" w:eastAsia="SimHei" w:cs="SimHei"/>
          <w:sz w:val="22"/>
          <w:szCs w:val="22"/>
        </w:rPr>
      </w:pPr>
      <w:r>
        <w:rPr>
          <w:rFonts w:ascii="SimHei" w:hAnsi="SimHei" w:eastAsia="SimHei" w:cs="SimHei"/>
          <w:sz w:val="22"/>
          <w:szCs w:val="22"/>
          <w:b/>
          <w:bCs/>
          <w:spacing w:val="-4"/>
        </w:rPr>
        <w:t>例子2:商业银行数据生命周期管理面临的问题</w:t>
      </w:r>
    </w:p>
    <w:p>
      <w:pPr>
        <w:ind w:left="240" w:right="2" w:firstLine="449"/>
        <w:spacing w:before="42" w:line="256" w:lineRule="auto"/>
        <w:jc w:val="both"/>
        <w:rPr>
          <w:rFonts w:ascii="SimSun" w:hAnsi="SimSun" w:eastAsia="SimSun" w:cs="SimSun"/>
          <w:sz w:val="22"/>
          <w:szCs w:val="22"/>
        </w:rPr>
      </w:pPr>
      <w:r>
        <w:rPr>
          <w:rFonts w:ascii="SimSun" w:hAnsi="SimSun" w:eastAsia="SimSun" w:cs="SimSun"/>
          <w:sz w:val="22"/>
          <w:szCs w:val="22"/>
          <w:spacing w:val="-8"/>
        </w:rPr>
        <w:t>近年来，银行业务发展对信息科技的依赖程度日益增加。为满足不断增长</w:t>
      </w:r>
      <w:r>
        <w:rPr>
          <w:rFonts w:ascii="SimSun" w:hAnsi="SimSun" w:eastAsia="SimSun" w:cs="SimSun"/>
          <w:sz w:val="22"/>
          <w:szCs w:val="22"/>
          <w:spacing w:val="-9"/>
        </w:rPr>
        <w:t>的业</w:t>
      </w:r>
      <w:r>
        <w:rPr>
          <w:rFonts w:ascii="SimSun" w:hAnsi="SimSun" w:eastAsia="SimSun" w:cs="SimSun"/>
          <w:sz w:val="22"/>
          <w:szCs w:val="22"/>
        </w:rPr>
        <w:t xml:space="preserve"> </w:t>
      </w:r>
      <w:r>
        <w:rPr>
          <w:rFonts w:ascii="SimSun" w:hAnsi="SimSun" w:eastAsia="SimSun" w:cs="SimSun"/>
          <w:sz w:val="22"/>
          <w:szCs w:val="22"/>
          <w:spacing w:val="-8"/>
        </w:rPr>
        <w:t>务规模与不断发生变化的业务需求，各商业银行不断提升业务系统的建</w:t>
      </w:r>
      <w:r>
        <w:rPr>
          <w:rFonts w:ascii="SimSun" w:hAnsi="SimSun" w:eastAsia="SimSun" w:cs="SimSun"/>
          <w:sz w:val="22"/>
          <w:szCs w:val="22"/>
          <w:spacing w:val="-9"/>
        </w:rPr>
        <w:t>设与改造力</w:t>
      </w:r>
      <w:r>
        <w:rPr>
          <w:rFonts w:ascii="SimSun" w:hAnsi="SimSun" w:eastAsia="SimSun" w:cs="SimSun"/>
          <w:sz w:val="22"/>
          <w:szCs w:val="22"/>
        </w:rPr>
        <w:t xml:space="preserve"> </w:t>
      </w:r>
      <w:r>
        <w:rPr>
          <w:rFonts w:ascii="SimSun" w:hAnsi="SimSun" w:eastAsia="SimSun" w:cs="SimSun"/>
          <w:sz w:val="22"/>
          <w:szCs w:val="22"/>
          <w:spacing w:val="-8"/>
        </w:rPr>
        <w:t>度，逐步实现了全辖账务、信贷、客户信息等</w:t>
      </w:r>
      <w:r>
        <w:rPr>
          <w:rFonts w:ascii="SimSun" w:hAnsi="SimSun" w:eastAsia="SimSun" w:cs="SimSun"/>
          <w:sz w:val="22"/>
          <w:szCs w:val="22"/>
          <w:spacing w:val="-9"/>
        </w:rPr>
        <w:t>业务数据的总行集中管理。目前商业</w:t>
      </w:r>
      <w:r>
        <w:rPr>
          <w:rFonts w:ascii="SimSun" w:hAnsi="SimSun" w:eastAsia="SimSun" w:cs="SimSun"/>
          <w:sz w:val="22"/>
          <w:szCs w:val="22"/>
        </w:rPr>
        <w:t xml:space="preserve"> </w:t>
      </w:r>
      <w:r>
        <w:rPr>
          <w:rFonts w:ascii="SimSun" w:hAnsi="SimSun" w:eastAsia="SimSun" w:cs="SimSun"/>
          <w:sz w:val="22"/>
          <w:szCs w:val="22"/>
          <w:spacing w:val="-8"/>
        </w:rPr>
        <w:t>银行数据集中管理，实现了技术上高度集成、营销上高度</w:t>
      </w:r>
      <w:r>
        <w:rPr>
          <w:rFonts w:ascii="SimSun" w:hAnsi="SimSun" w:eastAsia="SimSun" w:cs="SimSun"/>
          <w:sz w:val="22"/>
          <w:szCs w:val="22"/>
          <w:spacing w:val="-9"/>
        </w:rPr>
        <w:t>集约，但数据统一处理也</w:t>
      </w:r>
      <w:r>
        <w:rPr>
          <w:rFonts w:ascii="SimSun" w:hAnsi="SimSun" w:eastAsia="SimSun" w:cs="SimSun"/>
          <w:sz w:val="22"/>
          <w:szCs w:val="22"/>
        </w:rPr>
        <w:t xml:space="preserve"> </w:t>
      </w:r>
      <w:r>
        <w:rPr>
          <w:rFonts w:ascii="SimSun" w:hAnsi="SimSun" w:eastAsia="SimSun" w:cs="SimSun"/>
          <w:sz w:val="22"/>
          <w:szCs w:val="22"/>
          <w:spacing w:val="-8"/>
        </w:rPr>
        <w:t>造成了数据量的急剧膨胀，给数据的管理和维护带来诸多</w:t>
      </w:r>
      <w:r>
        <w:rPr>
          <w:rFonts w:ascii="SimSun" w:hAnsi="SimSun" w:eastAsia="SimSun" w:cs="SimSun"/>
          <w:sz w:val="22"/>
          <w:szCs w:val="22"/>
          <w:spacing w:val="-9"/>
        </w:rPr>
        <w:t>问题，如存储空间、数据</w:t>
      </w:r>
      <w:r>
        <w:rPr>
          <w:rFonts w:ascii="SimSun" w:hAnsi="SimSun" w:eastAsia="SimSun" w:cs="SimSun"/>
          <w:sz w:val="22"/>
          <w:szCs w:val="22"/>
        </w:rPr>
        <w:t xml:space="preserve"> </w:t>
      </w:r>
      <w:r>
        <w:rPr>
          <w:rFonts w:ascii="SimSun" w:hAnsi="SimSun" w:eastAsia="SimSun" w:cs="SimSun"/>
          <w:sz w:val="22"/>
          <w:szCs w:val="22"/>
          <w:spacing w:val="-8"/>
        </w:rPr>
        <w:t>保存、存储维护成本、大数据处理效率及数据安全等。商业银</w:t>
      </w:r>
      <w:r>
        <w:rPr>
          <w:rFonts w:ascii="SimSun" w:hAnsi="SimSun" w:eastAsia="SimSun" w:cs="SimSun"/>
          <w:sz w:val="22"/>
          <w:szCs w:val="22"/>
          <w:spacing w:val="-9"/>
        </w:rPr>
        <w:t>行积累了海量数据信</w:t>
      </w:r>
      <w:r>
        <w:rPr>
          <w:rFonts w:ascii="SimSun" w:hAnsi="SimSun" w:eastAsia="SimSun" w:cs="SimSun"/>
          <w:sz w:val="22"/>
          <w:szCs w:val="22"/>
        </w:rPr>
        <w:t xml:space="preserve"> </w:t>
      </w:r>
      <w:r>
        <w:rPr>
          <w:rFonts w:ascii="SimSun" w:hAnsi="SimSun" w:eastAsia="SimSun" w:cs="SimSun"/>
          <w:sz w:val="22"/>
          <w:szCs w:val="22"/>
          <w:spacing w:val="-8"/>
        </w:rPr>
        <w:t>息，但不是所有的数据都具有相同的使用价值。随着时</w:t>
      </w:r>
      <w:r>
        <w:rPr>
          <w:rFonts w:ascii="SimSun" w:hAnsi="SimSun" w:eastAsia="SimSun" w:cs="SimSun"/>
          <w:sz w:val="22"/>
          <w:szCs w:val="22"/>
          <w:spacing w:val="-9"/>
        </w:rPr>
        <w:t>间的推移，有些数据被频繁</w:t>
      </w:r>
      <w:r>
        <w:rPr>
          <w:rFonts w:ascii="SimSun" w:hAnsi="SimSun" w:eastAsia="SimSun" w:cs="SimSun"/>
          <w:sz w:val="22"/>
          <w:szCs w:val="22"/>
        </w:rPr>
        <w:t xml:space="preserve"> </w:t>
      </w:r>
      <w:r>
        <w:rPr>
          <w:rFonts w:ascii="SimSun" w:hAnsi="SimSun" w:eastAsia="SimSun" w:cs="SimSun"/>
          <w:sz w:val="22"/>
          <w:szCs w:val="22"/>
          <w:spacing w:val="-8"/>
        </w:rPr>
        <w:t>访问或更新，而有些数据则很少被访问。快速产生的、大</w:t>
      </w:r>
      <w:r>
        <w:rPr>
          <w:rFonts w:ascii="SimSun" w:hAnsi="SimSun" w:eastAsia="SimSun" w:cs="SimSun"/>
          <w:sz w:val="22"/>
          <w:szCs w:val="22"/>
          <w:spacing w:val="-9"/>
        </w:rPr>
        <w:t>量的、低价值的数据不仅</w:t>
      </w:r>
      <w:r>
        <w:rPr>
          <w:rFonts w:ascii="SimSun" w:hAnsi="SimSun" w:eastAsia="SimSun" w:cs="SimSun"/>
          <w:sz w:val="22"/>
          <w:szCs w:val="22"/>
        </w:rPr>
        <w:t xml:space="preserve"> </w:t>
      </w:r>
      <w:r>
        <w:rPr>
          <w:rFonts w:ascii="SimSun" w:hAnsi="SimSun" w:eastAsia="SimSun" w:cs="SimSun"/>
          <w:sz w:val="22"/>
          <w:szCs w:val="22"/>
          <w:spacing w:val="-8"/>
        </w:rPr>
        <w:t>严重消耗了系统资源、拖累了系统处理性能，还可能</w:t>
      </w:r>
      <w:r>
        <w:rPr>
          <w:rFonts w:ascii="SimSun" w:hAnsi="SimSun" w:eastAsia="SimSun" w:cs="SimSun"/>
          <w:sz w:val="22"/>
          <w:szCs w:val="22"/>
          <w:spacing w:val="-9"/>
        </w:rPr>
        <w:t>影响系统的稳定性从而导致未</w:t>
      </w:r>
      <w:r>
        <w:rPr>
          <w:rFonts w:ascii="SimSun" w:hAnsi="SimSun" w:eastAsia="SimSun" w:cs="SimSun"/>
          <w:sz w:val="22"/>
          <w:szCs w:val="22"/>
        </w:rPr>
        <w:t xml:space="preserve"> </w:t>
      </w:r>
      <w:r>
        <w:rPr>
          <w:rFonts w:ascii="SimSun" w:hAnsi="SimSun" w:eastAsia="SimSun" w:cs="SimSun"/>
          <w:sz w:val="22"/>
          <w:szCs w:val="22"/>
          <w:spacing w:val="-12"/>
        </w:rPr>
        <w:t>知的系统风险。</w:t>
      </w:r>
    </w:p>
    <w:p>
      <w:pPr>
        <w:ind w:left="240" w:right="10" w:firstLine="449"/>
        <w:spacing w:before="77" w:line="239" w:lineRule="auto"/>
        <w:rPr>
          <w:rFonts w:ascii="SimSun" w:hAnsi="SimSun" w:eastAsia="SimSun" w:cs="SimSun"/>
          <w:sz w:val="22"/>
          <w:szCs w:val="22"/>
        </w:rPr>
      </w:pPr>
      <w:r>
        <w:rPr>
          <w:rFonts w:ascii="SimSun" w:hAnsi="SimSun" w:eastAsia="SimSun" w:cs="SimSun"/>
          <w:sz w:val="22"/>
          <w:szCs w:val="22"/>
          <w:spacing w:val="-8"/>
        </w:rPr>
        <w:t>对于组织开展云端数据治理来说，云端数据操</w:t>
      </w:r>
      <w:r>
        <w:rPr>
          <w:rFonts w:ascii="SimSun" w:hAnsi="SimSun" w:eastAsia="SimSun" w:cs="SimSun"/>
          <w:sz w:val="22"/>
          <w:szCs w:val="22"/>
          <w:spacing w:val="-9"/>
        </w:rPr>
        <w:t>作管理的目的是对组织的数据资</w:t>
      </w:r>
      <w:r>
        <w:rPr>
          <w:rFonts w:ascii="SimSun" w:hAnsi="SimSun" w:eastAsia="SimSun" w:cs="SimSun"/>
          <w:sz w:val="22"/>
          <w:szCs w:val="22"/>
        </w:rPr>
        <w:t xml:space="preserve"> </w:t>
      </w:r>
      <w:r>
        <w:rPr>
          <w:rFonts w:ascii="SimSun" w:hAnsi="SimSun" w:eastAsia="SimSun" w:cs="SimSun"/>
          <w:sz w:val="22"/>
          <w:szCs w:val="22"/>
          <w:spacing w:val="-1"/>
        </w:rPr>
        <w:t>产在整个数据生命周期内(从数据的产生、</w:t>
      </w:r>
      <w:r>
        <w:rPr>
          <w:rFonts w:ascii="SimSun" w:hAnsi="SimSun" w:eastAsia="SimSun" w:cs="SimSun"/>
          <w:sz w:val="22"/>
          <w:szCs w:val="22"/>
          <w:spacing w:val="-2"/>
        </w:rPr>
        <w:t>采集到存档和销毁等)进行规划、控制</w:t>
      </w:r>
    </w:p>
    <w:p>
      <w:pPr>
        <w:spacing w:line="239" w:lineRule="auto"/>
        <w:sectPr>
          <w:footerReference w:type="default" r:id="rId299"/>
          <w:pgSz w:w="8870" w:h="13400"/>
          <w:pgMar w:top="400" w:right="510" w:bottom="495" w:left="459" w:header="0" w:footer="276" w:gutter="0"/>
        </w:sectPr>
        <w:rPr>
          <w:rFonts w:ascii="SimSun" w:hAnsi="SimSun" w:eastAsia="SimSun" w:cs="SimSun"/>
          <w:sz w:val="22"/>
          <w:szCs w:val="22"/>
        </w:rPr>
      </w:pPr>
    </w:p>
    <w:p>
      <w:pPr>
        <w:ind w:left="5513"/>
        <w:spacing w:before="204" w:line="219" w:lineRule="auto"/>
        <w:rPr>
          <w:rFonts w:ascii="SimSun" w:hAnsi="SimSun" w:eastAsia="SimSun" w:cs="SimSun"/>
          <w:sz w:val="21"/>
          <w:szCs w:val="21"/>
        </w:rPr>
      </w:pPr>
      <w:r>
        <w:rPr>
          <w:rFonts w:ascii="SimSun" w:hAnsi="SimSun" w:eastAsia="SimSun" w:cs="SimSun"/>
          <w:sz w:val="21"/>
          <w:szCs w:val="21"/>
          <w:b/>
          <w:bCs/>
          <w:spacing w:val="16"/>
        </w:rPr>
        <w:t>第7章■云端数据操作</w:t>
      </w:r>
    </w:p>
    <w:p>
      <w:pPr>
        <w:pStyle w:val="BodyText"/>
        <w:spacing w:line="245" w:lineRule="auto"/>
        <w:rPr/>
      </w:pPr>
      <w:r/>
    </w:p>
    <w:p>
      <w:pPr>
        <w:spacing w:before="68" w:line="330" w:lineRule="exact"/>
        <w:rPr>
          <w:rFonts w:ascii="SimSun" w:hAnsi="SimSun" w:eastAsia="SimSun" w:cs="SimSun"/>
          <w:sz w:val="21"/>
          <w:szCs w:val="21"/>
        </w:rPr>
      </w:pPr>
      <w:r>
        <w:rPr>
          <w:rFonts w:ascii="SimSun" w:hAnsi="SimSun" w:eastAsia="SimSun" w:cs="SimSun"/>
          <w:sz w:val="21"/>
          <w:szCs w:val="21"/>
          <w:spacing w:val="-2"/>
          <w:position w:val="8"/>
        </w:rPr>
        <w:t>与支持，以实现对数据的管控从而确保达到组织的业务目标。</w:t>
      </w:r>
    </w:p>
    <w:p>
      <w:pPr>
        <w:ind w:left="430"/>
        <w:spacing w:line="219" w:lineRule="auto"/>
        <w:rPr>
          <w:rFonts w:ascii="SimSun" w:hAnsi="SimSun" w:eastAsia="SimSun" w:cs="SimSun"/>
          <w:sz w:val="21"/>
          <w:szCs w:val="21"/>
        </w:rPr>
      </w:pPr>
      <w:r>
        <w:rPr>
          <w:rFonts w:ascii="SimSun" w:hAnsi="SimSun" w:eastAsia="SimSun" w:cs="SimSun"/>
          <w:sz w:val="21"/>
          <w:szCs w:val="21"/>
          <w:spacing w:val="-1"/>
        </w:rPr>
        <w:t>云端数据操作将有助于组织确保以下内容。</w:t>
      </w:r>
    </w:p>
    <w:p>
      <w:pPr>
        <w:ind w:left="430"/>
        <w:spacing w:before="50" w:line="219" w:lineRule="auto"/>
        <w:rPr>
          <w:rFonts w:ascii="SimSun" w:hAnsi="SimSun" w:eastAsia="SimSun" w:cs="SimSun"/>
          <w:sz w:val="21"/>
          <w:szCs w:val="21"/>
        </w:rPr>
      </w:pPr>
      <w:r>
        <w:rPr>
          <w:rFonts w:ascii="SimSun" w:hAnsi="SimSun" w:eastAsia="SimSun" w:cs="SimSun"/>
          <w:sz w:val="21"/>
          <w:szCs w:val="21"/>
          <w:spacing w:val="2"/>
        </w:rPr>
        <w:t>(1)数据需求得到完整的明确说明；</w:t>
      </w:r>
    </w:p>
    <w:p>
      <w:pPr>
        <w:ind w:left="430"/>
        <w:spacing w:before="70" w:line="310" w:lineRule="exact"/>
        <w:rPr>
          <w:rFonts w:ascii="SimSun" w:hAnsi="SimSun" w:eastAsia="SimSun" w:cs="SimSun"/>
          <w:sz w:val="21"/>
          <w:szCs w:val="21"/>
        </w:rPr>
      </w:pPr>
      <w:r>
        <w:rPr>
          <w:rFonts w:ascii="SimSun" w:hAnsi="SimSun" w:eastAsia="SimSun" w:cs="SimSun"/>
          <w:sz w:val="21"/>
          <w:szCs w:val="21"/>
          <w:spacing w:val="3"/>
          <w:position w:val="7"/>
        </w:rPr>
        <w:t>(2)数据在其所有产生以及使用的业务过程中都是可追溯的；</w:t>
      </w:r>
    </w:p>
    <w:p>
      <w:pPr>
        <w:ind w:left="430"/>
        <w:spacing w:line="219" w:lineRule="auto"/>
        <w:rPr>
          <w:rFonts w:ascii="SimSun" w:hAnsi="SimSun" w:eastAsia="SimSun" w:cs="SimSun"/>
          <w:sz w:val="21"/>
          <w:szCs w:val="21"/>
        </w:rPr>
      </w:pPr>
      <w:r>
        <w:rPr>
          <w:rFonts w:ascii="SimSun" w:hAnsi="SimSun" w:eastAsia="SimSun" w:cs="SimSun"/>
          <w:sz w:val="21"/>
          <w:szCs w:val="21"/>
          <w:spacing w:val="2"/>
        </w:rPr>
        <w:t>(3)数据变更及其过程得以管理；</w:t>
      </w:r>
    </w:p>
    <w:p>
      <w:pPr>
        <w:ind w:left="430"/>
        <w:spacing w:before="61" w:line="219" w:lineRule="auto"/>
        <w:rPr>
          <w:rFonts w:ascii="SimSun" w:hAnsi="SimSun" w:eastAsia="SimSun" w:cs="SimSun"/>
          <w:sz w:val="21"/>
          <w:szCs w:val="21"/>
        </w:rPr>
      </w:pPr>
      <w:r>
        <w:rPr>
          <w:rFonts w:ascii="SimSun" w:hAnsi="SimSun" w:eastAsia="SimSun" w:cs="SimSun"/>
          <w:sz w:val="21"/>
          <w:szCs w:val="21"/>
          <w:spacing w:val="3"/>
        </w:rPr>
        <w:t>(4)根据需求选择数据源，并将其视为权威来源进行控制和确认。</w:t>
      </w:r>
    </w:p>
    <w:p>
      <w:pPr>
        <w:ind w:left="4"/>
        <w:spacing w:before="301" w:line="224" w:lineRule="auto"/>
        <w:outlineLvl w:val="3"/>
        <w:rPr>
          <w:rFonts w:ascii="YouYuan" w:hAnsi="YouYuan" w:eastAsia="YouYuan" w:cs="YouYuan"/>
          <w:sz w:val="29"/>
          <w:szCs w:val="29"/>
        </w:rPr>
      </w:pPr>
      <w:r>
        <w:rPr>
          <w:rFonts w:ascii="YouYuan" w:hAnsi="YouYuan" w:eastAsia="YouYuan" w:cs="YouYuan"/>
          <w:sz w:val="29"/>
          <w:szCs w:val="29"/>
          <w:b/>
          <w:bCs/>
          <w:spacing w:val="-9"/>
        </w:rPr>
        <w:t>7.1.2</w:t>
      </w:r>
      <w:r>
        <w:rPr>
          <w:rFonts w:ascii="YouYuan" w:hAnsi="YouYuan" w:eastAsia="YouYuan" w:cs="YouYuan"/>
          <w:sz w:val="29"/>
          <w:szCs w:val="29"/>
          <w:spacing w:val="131"/>
        </w:rPr>
        <w:t xml:space="preserve"> </w:t>
      </w:r>
      <w:r>
        <w:rPr>
          <w:rFonts w:ascii="YouYuan" w:hAnsi="YouYuan" w:eastAsia="YouYuan" w:cs="YouYuan"/>
          <w:sz w:val="29"/>
          <w:szCs w:val="29"/>
          <w:b/>
          <w:bCs/>
          <w:spacing w:val="-9"/>
        </w:rPr>
        <w:t>内容与关联性</w:t>
      </w:r>
    </w:p>
    <w:p>
      <w:pPr>
        <w:pStyle w:val="BodyText"/>
        <w:spacing w:line="255" w:lineRule="auto"/>
        <w:rPr/>
      </w:pPr>
      <w:r/>
    </w:p>
    <w:p>
      <w:pPr>
        <w:ind w:right="223" w:firstLine="430"/>
        <w:spacing w:before="69" w:line="255" w:lineRule="auto"/>
        <w:rPr>
          <w:rFonts w:ascii="SimSun" w:hAnsi="SimSun" w:eastAsia="SimSun" w:cs="SimSun"/>
          <w:sz w:val="21"/>
          <w:szCs w:val="21"/>
        </w:rPr>
      </w:pPr>
      <w:r>
        <w:rPr>
          <w:rFonts w:ascii="SimSun" w:hAnsi="SimSun" w:eastAsia="SimSun" w:cs="SimSun"/>
          <w:sz w:val="21"/>
          <w:szCs w:val="21"/>
          <w:spacing w:val="1"/>
        </w:rPr>
        <w:t>云端数据操作职能域包含的过程域有：数据提供者管</w:t>
      </w:r>
      <w:r>
        <w:rPr>
          <w:rFonts w:ascii="SimSun" w:hAnsi="SimSun" w:eastAsia="SimSun" w:cs="SimSun"/>
          <w:sz w:val="21"/>
          <w:szCs w:val="21"/>
        </w:rPr>
        <w:t>理、数据集成与互操作、 </w:t>
      </w:r>
      <w:r>
        <w:rPr>
          <w:rFonts w:ascii="SimSun" w:hAnsi="SimSun" w:eastAsia="SimSun" w:cs="SimSun"/>
          <w:sz w:val="21"/>
          <w:szCs w:val="21"/>
          <w:spacing w:val="2"/>
        </w:rPr>
        <w:t>数据生命周期管理。通过这三个过程域，使组织能够充分理解数据在生命周期内从</w:t>
      </w:r>
      <w:r>
        <w:rPr>
          <w:rFonts w:ascii="SimSun" w:hAnsi="SimSun" w:eastAsia="SimSun" w:cs="SimSun"/>
          <w:sz w:val="21"/>
          <w:szCs w:val="21"/>
          <w:spacing w:val="15"/>
        </w:rPr>
        <w:t xml:space="preserve"> </w:t>
      </w:r>
      <w:r>
        <w:rPr>
          <w:rFonts w:ascii="SimSun" w:hAnsi="SimSun" w:eastAsia="SimSun" w:cs="SimSun"/>
          <w:sz w:val="21"/>
          <w:szCs w:val="21"/>
          <w:spacing w:val="-1"/>
        </w:rPr>
        <w:t>数据源选取到操作维护的机制，确保达到业务目标。</w:t>
      </w:r>
    </w:p>
    <w:p>
      <w:pPr>
        <w:ind w:right="214" w:firstLine="430"/>
        <w:spacing w:before="73" w:line="259" w:lineRule="auto"/>
        <w:rPr>
          <w:rFonts w:ascii="SimSun" w:hAnsi="SimSun" w:eastAsia="SimSun" w:cs="SimSun"/>
          <w:sz w:val="21"/>
          <w:szCs w:val="21"/>
        </w:rPr>
      </w:pPr>
      <w:r>
        <w:rPr>
          <w:rFonts w:ascii="SimSun" w:hAnsi="SimSun" w:eastAsia="SimSun" w:cs="SimSun"/>
          <w:sz w:val="21"/>
          <w:szCs w:val="21"/>
          <w:spacing w:val="2"/>
        </w:rPr>
        <w:t>数据提供者管理描述了选择和控制数据源以及与内外部提供者进行双向互动沟</w:t>
      </w:r>
      <w:r>
        <w:rPr>
          <w:rFonts w:ascii="SimSun" w:hAnsi="SimSun" w:eastAsia="SimSun" w:cs="SimSun"/>
          <w:sz w:val="21"/>
          <w:szCs w:val="21"/>
          <w:spacing w:val="17"/>
        </w:rPr>
        <w:t xml:space="preserve"> </w:t>
      </w:r>
      <w:r>
        <w:rPr>
          <w:rFonts w:ascii="SimSun" w:hAnsi="SimSun" w:eastAsia="SimSun" w:cs="SimSun"/>
          <w:sz w:val="21"/>
          <w:szCs w:val="21"/>
          <w:spacing w:val="2"/>
        </w:rPr>
        <w:t>通的最佳实践。数据集成与互操作帮助组织通过共享数据库的设计来</w:t>
      </w:r>
      <w:r>
        <w:rPr>
          <w:rFonts w:ascii="SimSun" w:hAnsi="SimSun" w:eastAsia="SimSun" w:cs="SimSun"/>
          <w:sz w:val="21"/>
          <w:szCs w:val="21"/>
          <w:spacing w:val="1"/>
        </w:rPr>
        <w:t>创建和维护与</w:t>
      </w:r>
      <w:r>
        <w:rPr>
          <w:rFonts w:ascii="SimSun" w:hAnsi="SimSun" w:eastAsia="SimSun" w:cs="SimSun"/>
          <w:sz w:val="21"/>
          <w:szCs w:val="21"/>
        </w:rPr>
        <w:t xml:space="preserve"> </w:t>
      </w:r>
      <w:r>
        <w:rPr>
          <w:rFonts w:ascii="SimSun" w:hAnsi="SimSun" w:eastAsia="SimSun" w:cs="SimSun"/>
          <w:sz w:val="21"/>
          <w:szCs w:val="21"/>
          <w:spacing w:val="2"/>
        </w:rPr>
        <w:t>业务需求的相符，并且建立标准并执行。数据生命</w:t>
      </w:r>
      <w:r>
        <w:rPr>
          <w:rFonts w:ascii="SimSun" w:hAnsi="SimSun" w:eastAsia="SimSun" w:cs="SimSun"/>
          <w:sz w:val="21"/>
          <w:szCs w:val="21"/>
          <w:spacing w:val="1"/>
        </w:rPr>
        <w:t>周期管理协助组织确保在所有生</w:t>
      </w:r>
      <w:r>
        <w:rPr>
          <w:rFonts w:ascii="SimSun" w:hAnsi="SimSun" w:eastAsia="SimSun" w:cs="SimSun"/>
          <w:sz w:val="21"/>
          <w:szCs w:val="21"/>
        </w:rPr>
        <w:t xml:space="preserve"> </w:t>
      </w:r>
      <w:r>
        <w:rPr>
          <w:rFonts w:ascii="SimSun" w:hAnsi="SimSun" w:eastAsia="SimSun" w:cs="SimSun"/>
          <w:sz w:val="21"/>
          <w:szCs w:val="21"/>
          <w:spacing w:val="-1"/>
        </w:rPr>
        <w:t>命周期阶段中数据可以从数据流很好地映射到业务过程。</w:t>
      </w:r>
    </w:p>
    <w:p>
      <w:pPr>
        <w:ind w:right="235" w:firstLine="430"/>
        <w:spacing w:before="69" w:line="255" w:lineRule="auto"/>
        <w:rPr>
          <w:rFonts w:ascii="SimSun" w:hAnsi="SimSun" w:eastAsia="SimSun" w:cs="SimSun"/>
          <w:sz w:val="21"/>
          <w:szCs w:val="21"/>
        </w:rPr>
      </w:pPr>
      <w:r>
        <w:rPr>
          <w:rFonts w:ascii="SimSun" w:hAnsi="SimSun" w:eastAsia="SimSun" w:cs="SimSun"/>
          <w:sz w:val="21"/>
          <w:szCs w:val="21"/>
          <w:spacing w:val="2"/>
        </w:rPr>
        <w:t>本职能域的实践成熟度能够帮助组织增加对其数据资产的了解；允许</w:t>
      </w:r>
      <w:r>
        <w:rPr>
          <w:rFonts w:ascii="SimSun" w:hAnsi="SimSun" w:eastAsia="SimSun" w:cs="SimSun"/>
          <w:sz w:val="21"/>
          <w:szCs w:val="21"/>
          <w:spacing w:val="1"/>
        </w:rPr>
        <w:t>业务使用</w:t>
      </w:r>
      <w:r>
        <w:rPr>
          <w:rFonts w:ascii="SimSun" w:hAnsi="SimSun" w:eastAsia="SimSun" w:cs="SimSun"/>
          <w:sz w:val="21"/>
          <w:szCs w:val="21"/>
        </w:rPr>
        <w:t xml:space="preserve"> </w:t>
      </w:r>
      <w:r>
        <w:rPr>
          <w:rFonts w:ascii="SimSun" w:hAnsi="SimSun" w:eastAsia="SimSun" w:cs="SimSun"/>
          <w:sz w:val="21"/>
          <w:szCs w:val="21"/>
          <w:spacing w:val="2"/>
        </w:rPr>
        <w:t>者识别最佳来源以满足需求，使上游供应商和下</w:t>
      </w:r>
      <w:r>
        <w:rPr>
          <w:rFonts w:ascii="SimSun" w:hAnsi="SimSun" w:eastAsia="SimSun" w:cs="SimSun"/>
          <w:sz w:val="21"/>
          <w:szCs w:val="21"/>
          <w:spacing w:val="1"/>
        </w:rPr>
        <w:t>游的使用者能够通过映射依赖来预</w:t>
      </w:r>
      <w:r>
        <w:rPr>
          <w:rFonts w:ascii="SimSun" w:hAnsi="SimSun" w:eastAsia="SimSun" w:cs="SimSun"/>
          <w:sz w:val="21"/>
          <w:szCs w:val="21"/>
        </w:rPr>
        <w:t xml:space="preserve"> </w:t>
      </w:r>
      <w:r>
        <w:rPr>
          <w:rFonts w:ascii="SimSun" w:hAnsi="SimSun" w:eastAsia="SimSun" w:cs="SimSun"/>
          <w:sz w:val="21"/>
          <w:szCs w:val="21"/>
        </w:rPr>
        <w:t>期变更的影响；支持数据集成活动以及建立更为精准和有</w:t>
      </w:r>
      <w:r>
        <w:rPr>
          <w:rFonts w:ascii="SimSun" w:hAnsi="SimSun" w:eastAsia="SimSun" w:cs="SimSun"/>
          <w:sz w:val="21"/>
          <w:szCs w:val="21"/>
          <w:spacing w:val="-1"/>
        </w:rPr>
        <w:t>效的数据存储。</w:t>
      </w:r>
    </w:p>
    <w:p>
      <w:pPr>
        <w:pStyle w:val="BodyText"/>
        <w:spacing w:line="407" w:lineRule="auto"/>
        <w:rPr/>
      </w:pPr>
      <w:r/>
    </w:p>
    <w:p>
      <w:pPr>
        <w:ind w:left="4"/>
        <w:spacing w:before="111" w:line="222" w:lineRule="auto"/>
        <w:outlineLvl w:val="2"/>
        <w:rPr>
          <w:rFonts w:ascii="SimHei" w:hAnsi="SimHei" w:eastAsia="SimHei" w:cs="SimHei"/>
          <w:sz w:val="34"/>
          <w:szCs w:val="34"/>
        </w:rPr>
      </w:pPr>
      <w:r>
        <w:rPr>
          <w:rFonts w:ascii="SimHei" w:hAnsi="SimHei" w:eastAsia="SimHei" w:cs="SimHei"/>
          <w:sz w:val="34"/>
          <w:szCs w:val="34"/>
          <w:b/>
          <w:bCs/>
          <w:spacing w:val="-9"/>
        </w:rPr>
        <w:t>7.2</w:t>
      </w:r>
      <w:r>
        <w:rPr>
          <w:rFonts w:ascii="SimHei" w:hAnsi="SimHei" w:eastAsia="SimHei" w:cs="SimHei"/>
          <w:sz w:val="34"/>
          <w:szCs w:val="34"/>
          <w:spacing w:val="-9"/>
        </w:rPr>
        <w:t xml:space="preserve">  </w:t>
      </w:r>
      <w:r>
        <w:rPr>
          <w:rFonts w:ascii="SimHei" w:hAnsi="SimHei" w:eastAsia="SimHei" w:cs="SimHei"/>
          <w:sz w:val="34"/>
          <w:szCs w:val="34"/>
          <w:b/>
          <w:bCs/>
          <w:spacing w:val="-9"/>
        </w:rPr>
        <w:t>活动及要求</w:t>
      </w:r>
    </w:p>
    <w:p>
      <w:pPr>
        <w:pStyle w:val="BodyText"/>
        <w:spacing w:line="255" w:lineRule="auto"/>
        <w:rPr/>
      </w:pPr>
      <w:r/>
    </w:p>
    <w:p>
      <w:pPr>
        <w:ind w:left="4"/>
        <w:spacing w:before="95" w:line="222" w:lineRule="auto"/>
        <w:outlineLvl w:val="3"/>
        <w:rPr>
          <w:rFonts w:ascii="YouYuan" w:hAnsi="YouYuan" w:eastAsia="YouYuan" w:cs="YouYuan"/>
          <w:sz w:val="29"/>
          <w:szCs w:val="29"/>
        </w:rPr>
      </w:pPr>
      <w:r>
        <w:rPr>
          <w:rFonts w:ascii="YouYuan" w:hAnsi="YouYuan" w:eastAsia="YouYuan" w:cs="YouYuan"/>
          <w:sz w:val="29"/>
          <w:szCs w:val="29"/>
          <w:b/>
          <w:bCs/>
          <w:spacing w:val="-9"/>
        </w:rPr>
        <w:t>7.2.1</w:t>
      </w:r>
      <w:r>
        <w:rPr>
          <w:rFonts w:ascii="YouYuan" w:hAnsi="YouYuan" w:eastAsia="YouYuan" w:cs="YouYuan"/>
          <w:sz w:val="29"/>
          <w:szCs w:val="29"/>
          <w:spacing w:val="124"/>
        </w:rPr>
        <w:t xml:space="preserve"> </w:t>
      </w:r>
      <w:r>
        <w:rPr>
          <w:rFonts w:ascii="YouYuan" w:hAnsi="YouYuan" w:eastAsia="YouYuan" w:cs="YouYuan"/>
          <w:sz w:val="29"/>
          <w:szCs w:val="29"/>
          <w:b/>
          <w:bCs/>
          <w:spacing w:val="-9"/>
        </w:rPr>
        <w:t>数据提供者管理</w:t>
      </w:r>
    </w:p>
    <w:p>
      <w:pPr>
        <w:pStyle w:val="BodyText"/>
        <w:spacing w:line="248" w:lineRule="auto"/>
        <w:rPr/>
      </w:pPr>
      <w:r/>
    </w:p>
    <w:p>
      <w:pPr>
        <w:ind w:left="430"/>
        <w:spacing w:before="69" w:line="224" w:lineRule="auto"/>
        <w:rPr>
          <w:rFonts w:ascii="YouYuan" w:hAnsi="YouYuan" w:eastAsia="YouYuan" w:cs="YouYuan"/>
          <w:sz w:val="21"/>
          <w:szCs w:val="21"/>
        </w:rPr>
      </w:pPr>
      <w:r>
        <w:rPr>
          <w:rFonts w:ascii="YouYuan" w:hAnsi="YouYuan" w:eastAsia="YouYuan" w:cs="YouYuan"/>
          <w:sz w:val="21"/>
          <w:szCs w:val="21"/>
          <w:spacing w:val="-8"/>
        </w:rPr>
        <w:t>1.</w:t>
      </w:r>
      <w:r>
        <w:rPr>
          <w:rFonts w:ascii="YouYuan" w:hAnsi="YouYuan" w:eastAsia="YouYuan" w:cs="YouYuan"/>
          <w:sz w:val="21"/>
          <w:szCs w:val="21"/>
          <w:spacing w:val="8"/>
        </w:rPr>
        <w:t xml:space="preserve"> </w:t>
      </w:r>
      <w:r>
        <w:rPr>
          <w:rFonts w:ascii="YouYuan" w:hAnsi="YouYuan" w:eastAsia="YouYuan" w:cs="YouYuan"/>
          <w:sz w:val="21"/>
          <w:szCs w:val="21"/>
          <w:spacing w:val="-8"/>
        </w:rPr>
        <w:t>简</w:t>
      </w:r>
      <w:r>
        <w:rPr>
          <w:rFonts w:ascii="YouYuan" w:hAnsi="YouYuan" w:eastAsia="YouYuan" w:cs="YouYuan"/>
          <w:sz w:val="21"/>
          <w:szCs w:val="21"/>
          <w:spacing w:val="-52"/>
        </w:rPr>
        <w:t xml:space="preserve"> </w:t>
      </w:r>
      <w:r>
        <w:rPr>
          <w:rFonts w:ascii="YouYuan" w:hAnsi="YouYuan" w:eastAsia="YouYuan" w:cs="YouYuan"/>
          <w:sz w:val="21"/>
          <w:szCs w:val="21"/>
          <w:spacing w:val="-8"/>
        </w:rPr>
        <w:t>介</w:t>
      </w:r>
    </w:p>
    <w:p>
      <w:pPr>
        <w:ind w:left="430"/>
        <w:spacing w:before="215" w:line="232" w:lineRule="auto"/>
        <w:rPr>
          <w:rFonts w:ascii="KaiTi" w:hAnsi="KaiTi" w:eastAsia="KaiTi" w:cs="KaiTi"/>
          <w:sz w:val="21"/>
          <w:szCs w:val="21"/>
        </w:rPr>
      </w:pPr>
      <w:r>
        <w:rPr>
          <w:rFonts w:ascii="KaiTi" w:hAnsi="KaiTi" w:eastAsia="KaiTi" w:cs="KaiTi"/>
          <w:sz w:val="21"/>
          <w:szCs w:val="21"/>
          <w:spacing w:val="20"/>
        </w:rPr>
        <w:t>1)目的</w:t>
      </w:r>
    </w:p>
    <w:p>
      <w:pPr>
        <w:ind w:right="237" w:firstLine="430"/>
        <w:spacing w:before="50" w:line="245" w:lineRule="auto"/>
        <w:rPr>
          <w:rFonts w:ascii="SimSun" w:hAnsi="SimSun" w:eastAsia="SimSun" w:cs="SimSun"/>
          <w:sz w:val="21"/>
          <w:szCs w:val="21"/>
        </w:rPr>
      </w:pPr>
      <w:r>
        <w:rPr>
          <w:rFonts w:ascii="SimSun" w:hAnsi="SimSun" w:eastAsia="SimSun" w:cs="SimSun"/>
          <w:sz w:val="21"/>
          <w:szCs w:val="21"/>
          <w:spacing w:val="2"/>
        </w:rPr>
        <w:t>确保收集和使用的数据能满足业务目标，优化内部和外部数据源</w:t>
      </w:r>
      <w:r>
        <w:rPr>
          <w:rFonts w:ascii="SimSun" w:hAnsi="SimSun" w:eastAsia="SimSun" w:cs="SimSun"/>
          <w:sz w:val="21"/>
          <w:szCs w:val="21"/>
          <w:spacing w:val="1"/>
        </w:rPr>
        <w:t>以提升数据质</w:t>
      </w:r>
      <w:r>
        <w:rPr>
          <w:rFonts w:ascii="SimSun" w:hAnsi="SimSun" w:eastAsia="SimSun" w:cs="SimSun"/>
          <w:sz w:val="21"/>
          <w:szCs w:val="21"/>
        </w:rPr>
        <w:t xml:space="preserve"> </w:t>
      </w:r>
      <w:r>
        <w:rPr>
          <w:rFonts w:ascii="SimSun" w:hAnsi="SimSun" w:eastAsia="SimSun" w:cs="SimSun"/>
          <w:sz w:val="21"/>
          <w:szCs w:val="21"/>
          <w:spacing w:val="-1"/>
        </w:rPr>
        <w:t>量、满足业务需求并持续管理数据供应协议。</w:t>
      </w:r>
    </w:p>
    <w:p>
      <w:pPr>
        <w:ind w:left="430"/>
        <w:spacing w:before="77" w:line="222" w:lineRule="auto"/>
        <w:rPr>
          <w:rFonts w:ascii="KaiTi" w:hAnsi="KaiTi" w:eastAsia="KaiTi" w:cs="KaiTi"/>
          <w:sz w:val="21"/>
          <w:szCs w:val="21"/>
        </w:rPr>
      </w:pPr>
      <w:r>
        <w:rPr>
          <w:rFonts w:ascii="KaiTi" w:hAnsi="KaiTi" w:eastAsia="KaiTi" w:cs="KaiTi"/>
          <w:sz w:val="21"/>
          <w:szCs w:val="21"/>
          <w:spacing w:val="25"/>
        </w:rPr>
        <w:t>2)介绍</w:t>
      </w:r>
    </w:p>
    <w:p>
      <w:pPr>
        <w:ind w:right="176" w:firstLine="430"/>
        <w:spacing w:before="61" w:line="262" w:lineRule="auto"/>
        <w:rPr>
          <w:rFonts w:ascii="SimSun" w:hAnsi="SimSun" w:eastAsia="SimSun" w:cs="SimSun"/>
          <w:sz w:val="21"/>
          <w:szCs w:val="21"/>
        </w:rPr>
      </w:pPr>
      <w:r>
        <w:rPr>
          <w:rFonts w:ascii="SimSun" w:hAnsi="SimSun" w:eastAsia="SimSun" w:cs="SimSun"/>
          <w:sz w:val="21"/>
          <w:szCs w:val="21"/>
          <w:spacing w:val="1"/>
        </w:rPr>
        <w:t>数据提供者管理的第一步是数据需求定义，其建立了相关过程，用以识别和精 </w:t>
      </w:r>
      <w:r>
        <w:rPr>
          <w:rFonts w:ascii="SimSun" w:hAnsi="SimSun" w:eastAsia="SimSun" w:cs="SimSun"/>
          <w:sz w:val="21"/>
          <w:szCs w:val="21"/>
          <w:spacing w:val="1"/>
        </w:rPr>
        <w:t>确定义达成业务目标所需要的数据，并对这些数据进行优先次序的排列、记录和确 </w:t>
      </w:r>
      <w:r>
        <w:rPr>
          <w:rFonts w:ascii="SimSun" w:hAnsi="SimSun" w:eastAsia="SimSun" w:cs="SimSun"/>
          <w:sz w:val="21"/>
          <w:szCs w:val="21"/>
          <w:spacing w:val="1"/>
        </w:rPr>
        <w:t>认。数据需求的描述必须使用经认可的标准业务术语，这样可降低其复杂性，对组 </w:t>
      </w:r>
      <w:r>
        <w:rPr>
          <w:rFonts w:ascii="SimSun" w:hAnsi="SimSun" w:eastAsia="SimSun" w:cs="SimSun"/>
          <w:sz w:val="21"/>
          <w:szCs w:val="21"/>
          <w:spacing w:val="-2"/>
        </w:rPr>
        <w:t>织内部有效地分析数据至关重要。数据提供者管理是定义数据采购需求、获取数</w:t>
      </w:r>
      <w:r>
        <w:rPr>
          <w:rFonts w:ascii="SimSun" w:hAnsi="SimSun" w:eastAsia="SimSun" w:cs="SimSun"/>
          <w:sz w:val="21"/>
          <w:szCs w:val="21"/>
          <w:spacing w:val="-3"/>
        </w:rPr>
        <w:t>据、</w:t>
      </w:r>
      <w:r>
        <w:rPr>
          <w:rFonts w:ascii="SimSun" w:hAnsi="SimSun" w:eastAsia="SimSun" w:cs="SimSun"/>
          <w:sz w:val="21"/>
          <w:szCs w:val="21"/>
        </w:rPr>
        <w:t xml:space="preserve"> </w:t>
      </w:r>
      <w:r>
        <w:rPr>
          <w:rFonts w:ascii="SimSun" w:hAnsi="SimSun" w:eastAsia="SimSun" w:cs="SimSun"/>
          <w:sz w:val="21"/>
          <w:szCs w:val="21"/>
          <w:spacing w:val="2"/>
        </w:rPr>
        <w:t>管理协议以及与提供者沟通的实践。除了将数据</w:t>
      </w:r>
      <w:r>
        <w:rPr>
          <w:rFonts w:ascii="SimSun" w:hAnsi="SimSun" w:eastAsia="SimSun" w:cs="SimSun"/>
          <w:sz w:val="21"/>
          <w:szCs w:val="21"/>
          <w:spacing w:val="1"/>
        </w:rPr>
        <w:t>需求和合适来源进行映射外，这个</w:t>
      </w:r>
    </w:p>
    <w:p>
      <w:pPr>
        <w:spacing w:line="262" w:lineRule="auto"/>
        <w:sectPr>
          <w:footerReference w:type="default" r:id="rId300"/>
          <w:pgSz w:w="8870" w:h="13400"/>
          <w:pgMar w:top="400" w:right="518" w:bottom="558" w:left="479" w:header="0" w:footer="349" w:gutter="0"/>
        </w:sectPr>
        <w:rPr>
          <w:rFonts w:ascii="SimSun" w:hAnsi="SimSun" w:eastAsia="SimSun" w:cs="SimSun"/>
          <w:sz w:val="21"/>
          <w:szCs w:val="21"/>
        </w:rPr>
      </w:pPr>
    </w:p>
    <w:p>
      <w:pPr>
        <w:ind w:left="223"/>
        <w:spacing w:before="255" w:line="219" w:lineRule="auto"/>
        <w:rPr>
          <w:rFonts w:ascii="SimSun" w:hAnsi="SimSun" w:eastAsia="SimSun" w:cs="SimSun"/>
          <w:sz w:val="21"/>
          <w:szCs w:val="21"/>
        </w:rPr>
      </w:pPr>
      <w:r>
        <w:pict>
          <v:rect id="_x0000_s402" style="position:absolute;margin-left:27.5014pt;margin-top:30.0025pt;mso-position-vertical-relative:page;mso-position-horizontal-relative:page;width:0.5pt;height:17pt;z-index:255548416;" o:allowincell="f" fillcolor="#000000" filled="true" stroked="false"/>
        </w:pict>
      </w:r>
      <w:bookmarkStart w:name="bookmark63" w:id="58"/>
      <w:bookmarkEnd w:id="58"/>
      <w:r>
        <w:rPr>
          <w:rFonts w:ascii="SimSun" w:hAnsi="SimSun" w:eastAsia="SimSun" w:cs="SimSun"/>
          <w:sz w:val="21"/>
          <w:szCs w:val="21"/>
          <w:b/>
          <w:bCs/>
          <w:spacing w:val="-6"/>
        </w:rPr>
        <w:t>■云端数据治理</w:t>
      </w:r>
    </w:p>
    <w:p>
      <w:pPr>
        <w:pStyle w:val="BodyText"/>
        <w:spacing w:line="272" w:lineRule="auto"/>
        <w:rPr/>
      </w:pPr>
      <w:r/>
    </w:p>
    <w:p>
      <w:pPr>
        <w:ind w:left="220"/>
        <w:spacing w:before="69" w:line="300" w:lineRule="exact"/>
        <w:rPr>
          <w:rFonts w:ascii="SimSun" w:hAnsi="SimSun" w:eastAsia="SimSun" w:cs="SimSun"/>
          <w:sz w:val="21"/>
          <w:szCs w:val="21"/>
        </w:rPr>
      </w:pPr>
      <w:r>
        <w:rPr>
          <w:rFonts w:ascii="SimSun" w:hAnsi="SimSun" w:eastAsia="SimSun" w:cs="SimSun"/>
          <w:sz w:val="21"/>
          <w:szCs w:val="21"/>
          <w:spacing w:val="-1"/>
          <w:position w:val="6"/>
        </w:rPr>
        <w:t>过程还包含了与内外部数据提供者建立服务水平协议。</w:t>
      </w:r>
    </w:p>
    <w:p>
      <w:pPr>
        <w:ind w:left="680"/>
        <w:spacing w:line="219" w:lineRule="auto"/>
        <w:rPr>
          <w:rFonts w:ascii="SimSun" w:hAnsi="SimSun" w:eastAsia="SimSun" w:cs="SimSun"/>
          <w:sz w:val="21"/>
          <w:szCs w:val="21"/>
        </w:rPr>
      </w:pPr>
      <w:r>
        <w:rPr>
          <w:rFonts w:ascii="SimSun" w:hAnsi="SimSun" w:eastAsia="SimSun" w:cs="SimSun"/>
          <w:sz w:val="21"/>
          <w:szCs w:val="21"/>
          <w:spacing w:val="8"/>
        </w:rPr>
        <w:t>(1)数据需求定义</w:t>
      </w:r>
    </w:p>
    <w:p>
      <w:pPr>
        <w:ind w:left="220" w:firstLine="459"/>
        <w:spacing w:before="49" w:line="255" w:lineRule="auto"/>
        <w:rPr>
          <w:rFonts w:ascii="SimSun" w:hAnsi="SimSun" w:eastAsia="SimSun" w:cs="SimSun"/>
          <w:sz w:val="21"/>
          <w:szCs w:val="21"/>
        </w:rPr>
      </w:pPr>
      <w:r>
        <w:rPr>
          <w:rFonts w:ascii="SimSun" w:hAnsi="SimSun" w:eastAsia="SimSun" w:cs="SimSun"/>
          <w:sz w:val="21"/>
          <w:szCs w:val="21"/>
          <w:spacing w:val="1"/>
        </w:rPr>
        <w:t>数据来源的映射依赖于精准的术语、参照的数据定义、相符的计算方法学、数</w:t>
      </w:r>
      <w:r>
        <w:rPr>
          <w:rFonts w:ascii="SimSun" w:hAnsi="SimSun" w:eastAsia="SimSun" w:cs="SimSun"/>
          <w:sz w:val="21"/>
          <w:szCs w:val="21"/>
          <w:spacing w:val="13"/>
        </w:rPr>
        <w:t xml:space="preserve"> </w:t>
      </w:r>
      <w:r>
        <w:rPr>
          <w:rFonts w:ascii="SimSun" w:hAnsi="SimSun" w:eastAsia="SimSun" w:cs="SimSun"/>
          <w:sz w:val="21"/>
          <w:szCs w:val="21"/>
          <w:spacing w:val="2"/>
        </w:rPr>
        <w:t>据概要分析以及定义好的数据需求。目的是为了创</w:t>
      </w:r>
      <w:r>
        <w:rPr>
          <w:rFonts w:ascii="SimSun" w:hAnsi="SimSun" w:eastAsia="SimSun" w:cs="SimSun"/>
          <w:sz w:val="21"/>
          <w:szCs w:val="21"/>
          <w:spacing w:val="1"/>
        </w:rPr>
        <w:t>建能识别、对比和选择替代来源</w:t>
      </w:r>
      <w:r>
        <w:rPr>
          <w:rFonts w:ascii="SimSun" w:hAnsi="SimSun" w:eastAsia="SimSun" w:cs="SimSun"/>
          <w:sz w:val="21"/>
          <w:szCs w:val="21"/>
        </w:rPr>
        <w:t xml:space="preserve">  </w:t>
      </w:r>
      <w:r>
        <w:rPr>
          <w:rFonts w:ascii="SimSun" w:hAnsi="SimSun" w:eastAsia="SimSun" w:cs="SimSun"/>
          <w:sz w:val="21"/>
          <w:szCs w:val="21"/>
          <w:spacing w:val="-2"/>
        </w:rPr>
        <w:t>的参数，并通过业务规则判定属性可以结合、分离和解析的位置，以满足业务需求。</w:t>
      </w:r>
    </w:p>
    <w:p>
      <w:pPr>
        <w:ind w:left="220" w:right="56" w:firstLine="459"/>
        <w:spacing w:before="72" w:line="265" w:lineRule="auto"/>
        <w:rPr>
          <w:rFonts w:ascii="SimSun" w:hAnsi="SimSun" w:eastAsia="SimSun" w:cs="SimSun"/>
          <w:sz w:val="21"/>
          <w:szCs w:val="21"/>
        </w:rPr>
      </w:pPr>
      <w:r>
        <w:rPr>
          <w:rFonts w:ascii="SimSun" w:hAnsi="SimSun" w:eastAsia="SimSun" w:cs="SimSun"/>
          <w:sz w:val="21"/>
          <w:szCs w:val="21"/>
          <w:spacing w:val="2"/>
        </w:rPr>
        <w:t>需求定义应当遵循一个有序的发现以及分解过程，</w:t>
      </w:r>
      <w:r>
        <w:rPr>
          <w:rFonts w:ascii="SimSun" w:hAnsi="SimSun" w:eastAsia="SimSun" w:cs="SimSun"/>
          <w:sz w:val="21"/>
          <w:szCs w:val="21"/>
          <w:spacing w:val="1"/>
        </w:rPr>
        <w:t>这个过程阐明了业务概念和</w:t>
      </w:r>
      <w:r>
        <w:rPr>
          <w:rFonts w:ascii="SimSun" w:hAnsi="SimSun" w:eastAsia="SimSun" w:cs="SimSun"/>
          <w:sz w:val="21"/>
          <w:szCs w:val="21"/>
        </w:rPr>
        <w:t xml:space="preserve"> </w:t>
      </w:r>
      <w:r>
        <w:rPr>
          <w:rFonts w:ascii="SimSun" w:hAnsi="SimSun" w:eastAsia="SimSun" w:cs="SimSun"/>
          <w:sz w:val="21"/>
          <w:szCs w:val="21"/>
          <w:spacing w:val="2"/>
        </w:rPr>
        <w:t>需求，并且与现有的经认可的业务术语和定义保</w:t>
      </w:r>
      <w:r>
        <w:rPr>
          <w:rFonts w:ascii="SimSun" w:hAnsi="SimSun" w:eastAsia="SimSun" w:cs="SimSun"/>
          <w:sz w:val="21"/>
          <w:szCs w:val="21"/>
          <w:spacing w:val="1"/>
        </w:rPr>
        <w:t>持一致。业务规则的制订和阐释应</w:t>
      </w:r>
      <w:r>
        <w:rPr>
          <w:rFonts w:ascii="SimSun" w:hAnsi="SimSun" w:eastAsia="SimSun" w:cs="SimSun"/>
          <w:sz w:val="21"/>
          <w:szCs w:val="21"/>
        </w:rPr>
        <w:t xml:space="preserve"> </w:t>
      </w:r>
      <w:r>
        <w:rPr>
          <w:rFonts w:ascii="SimSun" w:hAnsi="SimSun" w:eastAsia="SimSun" w:cs="SimSun"/>
          <w:sz w:val="21"/>
          <w:szCs w:val="21"/>
          <w:spacing w:val="2"/>
        </w:rPr>
        <w:t>当与支持目的地数据存储的应用逻辑设计保持并行。</w:t>
      </w:r>
      <w:r>
        <w:rPr>
          <w:rFonts w:ascii="SimSun" w:hAnsi="SimSun" w:eastAsia="SimSun" w:cs="SimSun"/>
          <w:sz w:val="21"/>
          <w:szCs w:val="21"/>
          <w:spacing w:val="1"/>
        </w:rPr>
        <w:t>这个过程是双向且迭代的。完</w:t>
      </w:r>
      <w:r>
        <w:rPr>
          <w:rFonts w:ascii="SimSun" w:hAnsi="SimSun" w:eastAsia="SimSun" w:cs="SimSun"/>
          <w:sz w:val="21"/>
          <w:szCs w:val="21"/>
        </w:rPr>
        <w:t xml:space="preserve"> </w:t>
      </w:r>
      <w:r>
        <w:rPr>
          <w:rFonts w:ascii="SimSun" w:hAnsi="SimSun" w:eastAsia="SimSun" w:cs="SimSun"/>
          <w:sz w:val="21"/>
          <w:szCs w:val="21"/>
          <w:spacing w:val="2"/>
        </w:rPr>
        <w:t>成后，记录的功能数据需求应当以每个数据存储</w:t>
      </w:r>
      <w:r>
        <w:rPr>
          <w:rFonts w:ascii="SimSun" w:hAnsi="SimSun" w:eastAsia="SimSun" w:cs="SimSun"/>
          <w:sz w:val="21"/>
          <w:szCs w:val="21"/>
          <w:spacing w:val="1"/>
        </w:rPr>
        <w:t>的逻辑设计形式完全展现出来，并</w:t>
      </w:r>
      <w:r>
        <w:rPr>
          <w:rFonts w:ascii="SimSun" w:hAnsi="SimSun" w:eastAsia="SimSun" w:cs="SimSun"/>
          <w:sz w:val="21"/>
          <w:szCs w:val="21"/>
        </w:rPr>
        <w:t xml:space="preserve"> </w:t>
      </w:r>
      <w:r>
        <w:rPr>
          <w:rFonts w:ascii="SimSun" w:hAnsi="SimSun" w:eastAsia="SimSun" w:cs="SimSun"/>
          <w:sz w:val="21"/>
          <w:szCs w:val="21"/>
          <w:spacing w:val="2"/>
        </w:rPr>
        <w:t>标准化。数据范围要到业务使用者具体确认完需</w:t>
      </w:r>
      <w:r>
        <w:rPr>
          <w:rFonts w:ascii="SimSun" w:hAnsi="SimSun" w:eastAsia="SimSun" w:cs="SimSun"/>
          <w:sz w:val="21"/>
          <w:szCs w:val="21"/>
          <w:spacing w:val="1"/>
        </w:rPr>
        <w:t>求后才能最终确定，以此来确保每</w:t>
      </w:r>
      <w:r>
        <w:rPr>
          <w:rFonts w:ascii="SimSun" w:hAnsi="SimSun" w:eastAsia="SimSun" w:cs="SimSun"/>
          <w:sz w:val="21"/>
          <w:szCs w:val="21"/>
        </w:rPr>
        <w:t xml:space="preserve"> </w:t>
      </w:r>
      <w:r>
        <w:rPr>
          <w:rFonts w:ascii="SimSun" w:hAnsi="SimSun" w:eastAsia="SimSun" w:cs="SimSun"/>
          <w:sz w:val="21"/>
          <w:szCs w:val="21"/>
          <w:spacing w:val="1"/>
        </w:rPr>
        <w:t>个业务需求和其对应的业务规则都能获得审批，并且如果项目开发方法允许</w:t>
      </w:r>
      <w:r>
        <w:rPr>
          <w:rFonts w:ascii="SimSun" w:hAnsi="SimSun" w:eastAsia="SimSun" w:cs="SimSun"/>
          <w:sz w:val="21"/>
          <w:szCs w:val="21"/>
        </w:rPr>
        <w:t>的话， </w:t>
      </w:r>
      <w:r>
        <w:rPr>
          <w:rFonts w:ascii="SimSun" w:hAnsi="SimSun" w:eastAsia="SimSun" w:cs="SimSun"/>
          <w:sz w:val="21"/>
          <w:szCs w:val="21"/>
          <w:spacing w:val="-5"/>
        </w:rPr>
        <w:t>进行相关的测试。</w:t>
      </w:r>
    </w:p>
    <w:p>
      <w:pPr>
        <w:ind w:left="220" w:right="64" w:firstLine="459"/>
        <w:spacing w:before="69" w:line="266" w:lineRule="auto"/>
        <w:rPr>
          <w:rFonts w:ascii="SimSun" w:hAnsi="SimSun" w:eastAsia="SimSun" w:cs="SimSun"/>
          <w:sz w:val="21"/>
          <w:szCs w:val="21"/>
        </w:rPr>
      </w:pPr>
      <w:r>
        <w:rPr>
          <w:rFonts w:ascii="SimSun" w:hAnsi="SimSun" w:eastAsia="SimSun" w:cs="SimSun"/>
          <w:sz w:val="21"/>
          <w:szCs w:val="21"/>
          <w:spacing w:val="1"/>
        </w:rPr>
        <w:t>应当在属性的层面上执行分析，并考虑关键的绩效指标、替代数据源以及服务</w:t>
      </w:r>
      <w:r>
        <w:rPr>
          <w:rFonts w:ascii="SimSun" w:hAnsi="SimSun" w:eastAsia="SimSun" w:cs="SimSun"/>
          <w:sz w:val="21"/>
          <w:szCs w:val="21"/>
          <w:spacing w:val="14"/>
        </w:rPr>
        <w:t xml:space="preserve"> </w:t>
      </w:r>
      <w:r>
        <w:rPr>
          <w:rFonts w:ascii="SimSun" w:hAnsi="SimSun" w:eastAsia="SimSun" w:cs="SimSun"/>
          <w:sz w:val="21"/>
          <w:szCs w:val="21"/>
          <w:spacing w:val="2"/>
        </w:rPr>
        <w:t>水平需求。将数据质量准则定义纳入数据采购过程</w:t>
      </w:r>
      <w:r>
        <w:rPr>
          <w:rFonts w:ascii="SimSun" w:hAnsi="SimSun" w:eastAsia="SimSun" w:cs="SimSun"/>
          <w:sz w:val="21"/>
          <w:szCs w:val="21"/>
          <w:spacing w:val="1"/>
        </w:rPr>
        <w:t>，并使用数据质量准则来对比数</w:t>
      </w:r>
      <w:r>
        <w:rPr>
          <w:rFonts w:ascii="SimSun" w:hAnsi="SimSun" w:eastAsia="SimSun" w:cs="SimSun"/>
          <w:sz w:val="21"/>
          <w:szCs w:val="21"/>
        </w:rPr>
        <w:t xml:space="preserve"> </w:t>
      </w:r>
      <w:r>
        <w:rPr>
          <w:rFonts w:ascii="SimSun" w:hAnsi="SimSun" w:eastAsia="SimSun" w:cs="SimSun"/>
          <w:sz w:val="21"/>
          <w:szCs w:val="21"/>
        </w:rPr>
        <w:t>据采购的替代方案，并和经选择的内外部数据提供者一起支持服务水</w:t>
      </w:r>
      <w:r>
        <w:rPr>
          <w:rFonts w:ascii="SimSun" w:hAnsi="SimSun" w:eastAsia="SimSun" w:cs="SimSun"/>
          <w:sz w:val="21"/>
          <w:szCs w:val="21"/>
          <w:spacing w:val="-1"/>
        </w:rPr>
        <w:t>平协议。</w:t>
      </w:r>
    </w:p>
    <w:p>
      <w:pPr>
        <w:ind w:left="220" w:right="63" w:firstLine="459"/>
        <w:spacing w:before="41" w:line="261" w:lineRule="auto"/>
        <w:rPr>
          <w:rFonts w:ascii="SimSun" w:hAnsi="SimSun" w:eastAsia="SimSun" w:cs="SimSun"/>
          <w:sz w:val="21"/>
          <w:szCs w:val="21"/>
        </w:rPr>
      </w:pPr>
      <w:r>
        <w:rPr>
          <w:rFonts w:ascii="SimSun" w:hAnsi="SimSun" w:eastAsia="SimSun" w:cs="SimSun"/>
          <w:sz w:val="21"/>
          <w:szCs w:val="21"/>
          <w:spacing w:val="1"/>
        </w:rPr>
        <w:t>应根据已建立的准则来评估源数据的质量，例如数据错误处理，权威来源的使</w:t>
      </w:r>
      <w:r>
        <w:rPr>
          <w:rFonts w:ascii="SimSun" w:hAnsi="SimSun" w:eastAsia="SimSun" w:cs="SimSun"/>
          <w:sz w:val="21"/>
          <w:szCs w:val="21"/>
          <w:spacing w:val="15"/>
        </w:rPr>
        <w:t xml:space="preserve"> </w:t>
      </w:r>
      <w:r>
        <w:rPr>
          <w:rFonts w:ascii="SimSun" w:hAnsi="SimSun" w:eastAsia="SimSun" w:cs="SimSun"/>
          <w:sz w:val="21"/>
          <w:szCs w:val="21"/>
          <w:spacing w:val="2"/>
        </w:rPr>
        <w:t>用、测试，管理对变更的反应和升级问题等，并通过</w:t>
      </w:r>
      <w:r>
        <w:rPr>
          <w:rFonts w:ascii="SimSun" w:hAnsi="SimSun" w:eastAsia="SimSun" w:cs="SimSun"/>
          <w:sz w:val="21"/>
          <w:szCs w:val="21"/>
          <w:spacing w:val="1"/>
        </w:rPr>
        <w:t>适当的控制来确保数据的完整</w:t>
      </w:r>
      <w:r>
        <w:rPr>
          <w:rFonts w:ascii="SimSun" w:hAnsi="SimSun" w:eastAsia="SimSun" w:cs="SimSun"/>
          <w:sz w:val="21"/>
          <w:szCs w:val="21"/>
        </w:rPr>
        <w:t xml:space="preserve"> </w:t>
      </w:r>
      <w:r>
        <w:rPr>
          <w:rFonts w:ascii="SimSun" w:hAnsi="SimSun" w:eastAsia="SimSun" w:cs="SimSun"/>
          <w:sz w:val="21"/>
          <w:szCs w:val="21"/>
        </w:rPr>
        <w:t>性。应当对已交付的数据进行定期监督以确保已确立的准则持续得到满足。</w:t>
      </w:r>
    </w:p>
    <w:p>
      <w:pPr>
        <w:ind w:left="680"/>
        <w:spacing w:before="59" w:line="219" w:lineRule="auto"/>
        <w:rPr>
          <w:rFonts w:ascii="SimSun" w:hAnsi="SimSun" w:eastAsia="SimSun" w:cs="SimSun"/>
          <w:sz w:val="21"/>
          <w:szCs w:val="21"/>
        </w:rPr>
      </w:pPr>
      <w:r>
        <w:rPr>
          <w:rFonts w:ascii="SimSun" w:hAnsi="SimSun" w:eastAsia="SimSun" w:cs="SimSun"/>
          <w:sz w:val="21"/>
          <w:szCs w:val="21"/>
          <w:spacing w:val="6"/>
        </w:rPr>
        <w:t>(2)数据提供者管理策略</w:t>
      </w:r>
    </w:p>
    <w:p>
      <w:pPr>
        <w:ind w:left="220" w:right="46" w:firstLine="459"/>
        <w:spacing w:before="52" w:line="265" w:lineRule="auto"/>
        <w:rPr>
          <w:rFonts w:ascii="SimSun" w:hAnsi="SimSun" w:eastAsia="SimSun" w:cs="SimSun"/>
          <w:sz w:val="21"/>
          <w:szCs w:val="21"/>
        </w:rPr>
      </w:pPr>
      <w:r>
        <w:rPr>
          <w:rFonts w:ascii="SimSun" w:hAnsi="SimSun" w:eastAsia="SimSun" w:cs="SimSun"/>
          <w:sz w:val="21"/>
          <w:szCs w:val="21"/>
          <w:spacing w:val="2"/>
        </w:rPr>
        <w:t>在大数据生态系统中，数据提供者将机构外部公共网络数据资源、外部合</w:t>
      </w:r>
      <w:r>
        <w:rPr>
          <w:rFonts w:ascii="SimSun" w:hAnsi="SimSun" w:eastAsia="SimSun" w:cs="SimSun"/>
          <w:sz w:val="21"/>
          <w:szCs w:val="21"/>
          <w:spacing w:val="1"/>
        </w:rPr>
        <w:t>作组</w:t>
      </w:r>
      <w:r>
        <w:rPr>
          <w:rFonts w:ascii="SimSun" w:hAnsi="SimSun" w:eastAsia="SimSun" w:cs="SimSun"/>
          <w:sz w:val="21"/>
          <w:szCs w:val="21"/>
        </w:rPr>
        <w:t xml:space="preserve"> </w:t>
      </w:r>
      <w:r>
        <w:rPr>
          <w:rFonts w:ascii="SimSun" w:hAnsi="SimSun" w:eastAsia="SimSun" w:cs="SimSun"/>
          <w:sz w:val="21"/>
          <w:szCs w:val="21"/>
          <w:spacing w:val="2"/>
        </w:rPr>
        <w:t>织私有数据资源、机构内部数据资源或大数据服务提供者系统运行过</w:t>
      </w:r>
      <w:r>
        <w:rPr>
          <w:rFonts w:ascii="SimSun" w:hAnsi="SimSun" w:eastAsia="SimSun" w:cs="SimSun"/>
          <w:sz w:val="21"/>
          <w:szCs w:val="21"/>
          <w:spacing w:val="1"/>
        </w:rPr>
        <w:t>程中的各种日</w:t>
      </w:r>
      <w:r>
        <w:rPr>
          <w:rFonts w:ascii="SimSun" w:hAnsi="SimSun" w:eastAsia="SimSun" w:cs="SimSun"/>
          <w:sz w:val="21"/>
          <w:szCs w:val="21"/>
        </w:rPr>
        <w:t xml:space="preserve"> </w:t>
      </w:r>
      <w:r>
        <w:rPr>
          <w:rFonts w:ascii="SimSun" w:hAnsi="SimSun" w:eastAsia="SimSun" w:cs="SimSun"/>
          <w:sz w:val="21"/>
          <w:szCs w:val="21"/>
          <w:spacing w:val="2"/>
        </w:rPr>
        <w:t>志、事件等系统行为数据资源进行抽象和建模。</w:t>
      </w:r>
      <w:r>
        <w:rPr>
          <w:rFonts w:ascii="SimSun" w:hAnsi="SimSun" w:eastAsia="SimSun" w:cs="SimSun"/>
          <w:sz w:val="21"/>
          <w:szCs w:val="21"/>
          <w:spacing w:val="1"/>
        </w:rPr>
        <w:t>依据数据来源不同，数据提供者分</w:t>
      </w:r>
      <w:r>
        <w:rPr>
          <w:rFonts w:ascii="SimSun" w:hAnsi="SimSun" w:eastAsia="SimSun" w:cs="SimSun"/>
          <w:sz w:val="21"/>
          <w:szCs w:val="21"/>
        </w:rPr>
        <w:t xml:space="preserve"> </w:t>
      </w:r>
      <w:r>
        <w:rPr>
          <w:rFonts w:ascii="SimSun" w:hAnsi="SimSun" w:eastAsia="SimSun" w:cs="SimSun"/>
          <w:sz w:val="21"/>
          <w:szCs w:val="21"/>
          <w:spacing w:val="2"/>
        </w:rPr>
        <w:t>为外部公共数据资源提供者、外部机构私有数据提</w:t>
      </w:r>
      <w:r>
        <w:rPr>
          <w:rFonts w:ascii="SimSun" w:hAnsi="SimSun" w:eastAsia="SimSun" w:cs="SimSun"/>
          <w:sz w:val="21"/>
          <w:szCs w:val="21"/>
          <w:spacing w:val="1"/>
        </w:rPr>
        <w:t>供者、内部数据提供者、机器或</w:t>
      </w:r>
      <w:r>
        <w:rPr>
          <w:rFonts w:ascii="SimSun" w:hAnsi="SimSun" w:eastAsia="SimSun" w:cs="SimSun"/>
          <w:sz w:val="21"/>
          <w:szCs w:val="21"/>
        </w:rPr>
        <w:t xml:space="preserve"> </w:t>
      </w:r>
      <w:r>
        <w:rPr>
          <w:rFonts w:ascii="SimSun" w:hAnsi="SimSun" w:eastAsia="SimSun" w:cs="SimSun"/>
          <w:sz w:val="21"/>
          <w:szCs w:val="21"/>
          <w:spacing w:val="2"/>
        </w:rPr>
        <w:t>系统数据提供者等数据提供角色。由此可见，</w:t>
      </w:r>
      <w:r>
        <w:rPr>
          <w:rFonts w:ascii="SimSun" w:hAnsi="SimSun" w:eastAsia="SimSun" w:cs="SimSun"/>
          <w:sz w:val="21"/>
          <w:szCs w:val="21"/>
          <w:spacing w:val="1"/>
        </w:rPr>
        <w:t>数据提供者的种类是比较多的。为了</w:t>
      </w:r>
      <w:r>
        <w:rPr>
          <w:rFonts w:ascii="SimSun" w:hAnsi="SimSun" w:eastAsia="SimSun" w:cs="SimSun"/>
          <w:sz w:val="21"/>
          <w:szCs w:val="21"/>
        </w:rPr>
        <w:t xml:space="preserve"> </w:t>
      </w:r>
      <w:r>
        <w:rPr>
          <w:rFonts w:ascii="SimSun" w:hAnsi="SimSun" w:eastAsia="SimSun" w:cs="SimSun"/>
          <w:sz w:val="21"/>
          <w:szCs w:val="21"/>
          <w:spacing w:val="2"/>
        </w:rPr>
        <w:t>保证数据能够满足组织业务需求，减小不同数据来</w:t>
      </w:r>
      <w:r>
        <w:rPr>
          <w:rFonts w:ascii="SimSun" w:hAnsi="SimSun" w:eastAsia="SimSun" w:cs="SimSun"/>
          <w:sz w:val="21"/>
          <w:szCs w:val="21"/>
          <w:spacing w:val="1"/>
        </w:rPr>
        <w:t>源的差异性，必须对数据提供者</w:t>
      </w:r>
      <w:r>
        <w:rPr>
          <w:rFonts w:ascii="SimSun" w:hAnsi="SimSun" w:eastAsia="SimSun" w:cs="SimSun"/>
          <w:sz w:val="21"/>
          <w:szCs w:val="21"/>
        </w:rPr>
        <w:t xml:space="preserve"> </w:t>
      </w:r>
      <w:r>
        <w:rPr>
          <w:rFonts w:ascii="SimSun" w:hAnsi="SimSun" w:eastAsia="SimSun" w:cs="SimSun"/>
          <w:sz w:val="21"/>
          <w:szCs w:val="21"/>
          <w:spacing w:val="-6"/>
        </w:rPr>
        <w:t>进行管理。</w:t>
      </w:r>
    </w:p>
    <w:p>
      <w:pPr>
        <w:ind w:left="220" w:right="63" w:firstLine="459"/>
        <w:spacing w:before="88" w:line="259" w:lineRule="auto"/>
        <w:rPr>
          <w:rFonts w:ascii="SimSun" w:hAnsi="SimSun" w:eastAsia="SimSun" w:cs="SimSun"/>
          <w:sz w:val="21"/>
          <w:szCs w:val="21"/>
        </w:rPr>
      </w:pPr>
      <w:r>
        <w:rPr>
          <w:rFonts w:ascii="SimSun" w:hAnsi="SimSun" w:eastAsia="SimSun" w:cs="SimSun"/>
          <w:sz w:val="21"/>
          <w:szCs w:val="21"/>
          <w:spacing w:val="1"/>
        </w:rPr>
        <w:t>对数据提供者进行管理确保了通过服务水平协议持续地满足已建立的准则。为</w:t>
      </w:r>
      <w:r>
        <w:rPr>
          <w:rFonts w:ascii="SimSun" w:hAnsi="SimSun" w:eastAsia="SimSun" w:cs="SimSun"/>
          <w:sz w:val="21"/>
          <w:szCs w:val="21"/>
          <w:spacing w:val="15"/>
        </w:rPr>
        <w:t xml:space="preserve"> </w:t>
      </w:r>
      <w:r>
        <w:rPr>
          <w:rFonts w:ascii="SimSun" w:hAnsi="SimSun" w:eastAsia="SimSun" w:cs="SimSun"/>
          <w:sz w:val="21"/>
          <w:szCs w:val="21"/>
          <w:spacing w:val="2"/>
        </w:rPr>
        <w:t>了达到这个目标，重要的一点是了解数据提供者</w:t>
      </w:r>
      <w:r>
        <w:rPr>
          <w:rFonts w:ascii="SimSun" w:hAnsi="SimSun" w:eastAsia="SimSun" w:cs="SimSun"/>
          <w:sz w:val="21"/>
          <w:szCs w:val="21"/>
          <w:spacing w:val="1"/>
        </w:rPr>
        <w:t>是如何生成、合并或聚合以及交付</w:t>
      </w:r>
      <w:r>
        <w:rPr>
          <w:rFonts w:ascii="SimSun" w:hAnsi="SimSun" w:eastAsia="SimSun" w:cs="SimSun"/>
          <w:sz w:val="21"/>
          <w:szCs w:val="21"/>
        </w:rPr>
        <w:t xml:space="preserve"> </w:t>
      </w:r>
      <w:r>
        <w:rPr>
          <w:rFonts w:ascii="SimSun" w:hAnsi="SimSun" w:eastAsia="SimSun" w:cs="SimSun"/>
          <w:sz w:val="21"/>
          <w:szCs w:val="21"/>
          <w:spacing w:val="2"/>
        </w:rPr>
        <w:t>数据的。将此经验结合到数据提供者，以增加对数据</w:t>
      </w:r>
      <w:r>
        <w:rPr>
          <w:rFonts w:ascii="SimSun" w:hAnsi="SimSun" w:eastAsia="SimSun" w:cs="SimSun"/>
          <w:sz w:val="21"/>
          <w:szCs w:val="21"/>
          <w:spacing w:val="1"/>
        </w:rPr>
        <w:t>的信心以及对质量问题的评估</w:t>
      </w:r>
      <w:r>
        <w:rPr>
          <w:rFonts w:ascii="SimSun" w:hAnsi="SimSun" w:eastAsia="SimSun" w:cs="SimSun"/>
          <w:sz w:val="21"/>
          <w:szCs w:val="21"/>
        </w:rPr>
        <w:t xml:space="preserve"> </w:t>
      </w:r>
      <w:r>
        <w:rPr>
          <w:rFonts w:ascii="SimSun" w:hAnsi="SimSun" w:eastAsia="SimSun" w:cs="SimSun"/>
          <w:sz w:val="21"/>
          <w:szCs w:val="21"/>
          <w:spacing w:val="-5"/>
        </w:rPr>
        <w:t>方式作出评价。</w:t>
      </w:r>
    </w:p>
    <w:p>
      <w:pPr>
        <w:ind w:left="680"/>
        <w:spacing w:before="67" w:line="229" w:lineRule="auto"/>
        <w:rPr>
          <w:rFonts w:ascii="KaiTi" w:hAnsi="KaiTi" w:eastAsia="KaiTi" w:cs="KaiTi"/>
          <w:sz w:val="21"/>
          <w:szCs w:val="21"/>
        </w:rPr>
      </w:pPr>
      <w:r>
        <w:rPr>
          <w:rFonts w:ascii="KaiTi" w:hAnsi="KaiTi" w:eastAsia="KaiTi" w:cs="KaiTi"/>
          <w:sz w:val="21"/>
          <w:szCs w:val="21"/>
          <w:spacing w:val="10"/>
        </w:rPr>
        <w:t>3)相关过程域</w:t>
      </w:r>
    </w:p>
    <w:p>
      <w:pPr>
        <w:ind w:left="680"/>
        <w:spacing w:before="65" w:line="219" w:lineRule="auto"/>
        <w:rPr>
          <w:rFonts w:ascii="SimSun" w:hAnsi="SimSun" w:eastAsia="SimSun" w:cs="SimSun"/>
          <w:sz w:val="21"/>
          <w:szCs w:val="21"/>
        </w:rPr>
      </w:pPr>
      <w:r>
        <w:rPr>
          <w:rFonts w:ascii="SimSun" w:hAnsi="SimSun" w:eastAsia="SimSun" w:cs="SimSun"/>
          <w:sz w:val="21"/>
          <w:szCs w:val="21"/>
          <w:spacing w:val="-1"/>
        </w:rPr>
        <w:t>业务词汇表过程域为数据提供者管理提供了</w:t>
      </w:r>
      <w:r>
        <w:rPr>
          <w:rFonts w:ascii="SimSun" w:hAnsi="SimSun" w:eastAsia="SimSun" w:cs="SimSun"/>
          <w:sz w:val="21"/>
          <w:szCs w:val="21"/>
          <w:spacing w:val="-2"/>
        </w:rPr>
        <w:t>基本的需求信息；</w:t>
      </w:r>
    </w:p>
    <w:p>
      <w:pPr>
        <w:ind w:left="220" w:right="52" w:firstLine="459"/>
        <w:spacing w:before="71" w:line="242" w:lineRule="auto"/>
        <w:rPr>
          <w:rFonts w:ascii="SimSun" w:hAnsi="SimSun" w:eastAsia="SimSun" w:cs="SimSun"/>
          <w:sz w:val="21"/>
          <w:szCs w:val="21"/>
        </w:rPr>
      </w:pPr>
      <w:r>
        <w:rPr>
          <w:rFonts w:ascii="SimSun" w:hAnsi="SimSun" w:eastAsia="SimSun" w:cs="SimSun"/>
          <w:sz w:val="21"/>
          <w:szCs w:val="21"/>
          <w:spacing w:val="2"/>
        </w:rPr>
        <w:t>数据质量战略过程域包含了应用于指导与提供者签订协议的</w:t>
      </w:r>
      <w:r>
        <w:rPr>
          <w:rFonts w:ascii="SimSun" w:hAnsi="SimSun" w:eastAsia="SimSun" w:cs="SimSun"/>
          <w:sz w:val="21"/>
          <w:szCs w:val="21"/>
          <w:spacing w:val="1"/>
        </w:rPr>
        <w:t>数据质量目标，因</w:t>
      </w:r>
      <w:r>
        <w:rPr>
          <w:rFonts w:ascii="SimSun" w:hAnsi="SimSun" w:eastAsia="SimSun" w:cs="SimSun"/>
          <w:sz w:val="21"/>
          <w:szCs w:val="21"/>
        </w:rPr>
        <w:t xml:space="preserve"> </w:t>
      </w:r>
      <w:r>
        <w:rPr>
          <w:rFonts w:ascii="SimSun" w:hAnsi="SimSun" w:eastAsia="SimSun" w:cs="SimSun"/>
          <w:sz w:val="21"/>
          <w:szCs w:val="21"/>
          <w:spacing w:val="-6"/>
        </w:rPr>
        <w:t>此支持了该过程域；</w:t>
      </w:r>
    </w:p>
    <w:p>
      <w:pPr>
        <w:ind w:left="220" w:right="58" w:firstLine="459"/>
        <w:spacing w:before="59" w:line="260" w:lineRule="auto"/>
        <w:rPr>
          <w:rFonts w:ascii="SimSun" w:hAnsi="SimSun" w:eastAsia="SimSun" w:cs="SimSun"/>
          <w:sz w:val="21"/>
          <w:szCs w:val="21"/>
        </w:rPr>
      </w:pPr>
      <w:r>
        <w:rPr>
          <w:rFonts w:ascii="SimSun" w:hAnsi="SimSun" w:eastAsia="SimSun" w:cs="SimSun"/>
          <w:sz w:val="21"/>
          <w:szCs w:val="21"/>
          <w:spacing w:val="2"/>
        </w:rPr>
        <w:t>数据概要分析过程域和数据质量评估过程域通过</w:t>
      </w:r>
      <w:r>
        <w:rPr>
          <w:rFonts w:ascii="SimSun" w:hAnsi="SimSun" w:eastAsia="SimSun" w:cs="SimSun"/>
          <w:sz w:val="21"/>
          <w:szCs w:val="21"/>
          <w:spacing w:val="1"/>
        </w:rPr>
        <w:t>提供数据评估的方法和评估的</w:t>
      </w:r>
      <w:r>
        <w:rPr>
          <w:rFonts w:ascii="SimSun" w:hAnsi="SimSun" w:eastAsia="SimSun" w:cs="SimSun"/>
          <w:sz w:val="21"/>
          <w:szCs w:val="21"/>
        </w:rPr>
        <w:t xml:space="preserve"> </w:t>
      </w:r>
      <w:r>
        <w:rPr>
          <w:rFonts w:ascii="SimSun" w:hAnsi="SimSun" w:eastAsia="SimSun" w:cs="SimSun"/>
          <w:sz w:val="21"/>
          <w:szCs w:val="21"/>
          <w:spacing w:val="-4"/>
        </w:rPr>
        <w:t>结果来支持该过程域。</w:t>
      </w:r>
    </w:p>
    <w:p>
      <w:pPr>
        <w:spacing w:line="260" w:lineRule="auto"/>
        <w:sectPr>
          <w:footerReference w:type="default" r:id="rId301"/>
          <w:pgSz w:w="8870" w:h="13400"/>
          <w:pgMar w:top="400" w:right="485" w:bottom="498" w:left="449" w:header="0" w:footer="289" w:gutter="0"/>
        </w:sectPr>
        <w:rPr>
          <w:rFonts w:ascii="SimSun" w:hAnsi="SimSun" w:eastAsia="SimSun" w:cs="SimSun"/>
          <w:sz w:val="21"/>
          <w:szCs w:val="21"/>
        </w:rPr>
      </w:pPr>
    </w:p>
    <w:p>
      <w:pPr>
        <w:ind w:left="5508"/>
        <w:spacing w:before="174" w:line="219" w:lineRule="auto"/>
        <w:rPr>
          <w:rFonts w:ascii="SimSun" w:hAnsi="SimSun" w:eastAsia="SimSun" w:cs="SimSun"/>
          <w:sz w:val="22"/>
          <w:szCs w:val="22"/>
        </w:rPr>
      </w:pPr>
      <w:r>
        <w:rPr>
          <w:rFonts w:ascii="SimSun" w:hAnsi="SimSun" w:eastAsia="SimSun" w:cs="SimSun"/>
          <w:sz w:val="22"/>
          <w:szCs w:val="22"/>
          <w:b/>
          <w:bCs/>
          <w:spacing w:val="6"/>
        </w:rPr>
        <w:t>第7章■云端数据操作</w:t>
      </w:r>
    </w:p>
    <w:p>
      <w:pPr>
        <w:pStyle w:val="BodyText"/>
        <w:ind w:left="395"/>
        <w:spacing w:before="310" w:line="223" w:lineRule="auto"/>
        <w:outlineLvl w:val="4"/>
        <w:rPr>
          <w:rFonts w:ascii="SimHei" w:hAnsi="SimHei" w:eastAsia="SimHei" w:cs="SimHei"/>
          <w:sz w:val="22"/>
          <w:szCs w:val="22"/>
        </w:rPr>
      </w:pPr>
      <w:r>
        <w:rPr>
          <w:sz w:val="22"/>
          <w:szCs w:val="22"/>
          <w:b/>
          <w:bCs/>
          <w:spacing w:val="-2"/>
        </w:rPr>
        <w:t>2.GOM</w:t>
      </w:r>
      <w:r>
        <w:rPr>
          <w:sz w:val="22"/>
          <w:szCs w:val="22"/>
          <w:b/>
          <w:bCs/>
          <w:spacing w:val="13"/>
        </w:rPr>
        <w:t xml:space="preserve">   </w:t>
      </w:r>
      <w:r>
        <w:rPr>
          <w:rFonts w:ascii="SimHei" w:hAnsi="SimHei" w:eastAsia="SimHei" w:cs="SimHei"/>
          <w:sz w:val="22"/>
          <w:szCs w:val="22"/>
          <w:b/>
          <w:bCs/>
          <w:spacing w:val="-2"/>
        </w:rPr>
        <w:t>表</w:t>
      </w:r>
    </w:p>
    <w:p>
      <w:pPr>
        <w:spacing w:line="162" w:lineRule="exact"/>
        <w:rPr/>
      </w:pPr>
      <w:r/>
    </w:p>
    <w:tbl>
      <w:tblPr>
        <w:tblStyle w:val="TableNormal"/>
        <w:tblW w:w="76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3"/>
        <w:gridCol w:w="2467"/>
        <w:gridCol w:w="1368"/>
        <w:gridCol w:w="2382"/>
      </w:tblGrid>
      <w:tr>
        <w:trPr>
          <w:trHeight w:val="355" w:hRule="atLeast"/>
        </w:trPr>
        <w:tc>
          <w:tcPr>
            <w:tcW w:w="1433" w:type="dxa"/>
            <w:vAlign w:val="top"/>
          </w:tcPr>
          <w:p>
            <w:pPr>
              <w:pStyle w:val="TableText"/>
              <w:ind w:left="445"/>
              <w:spacing w:before="101" w:line="220" w:lineRule="auto"/>
              <w:rPr/>
            </w:pPr>
            <w:r>
              <w:rPr>
                <w:spacing w:val="-12"/>
              </w:rPr>
              <w:t>目    标</w:t>
            </w:r>
          </w:p>
        </w:tc>
        <w:tc>
          <w:tcPr>
            <w:tcW w:w="2467" w:type="dxa"/>
            <w:vAlign w:val="top"/>
          </w:tcPr>
          <w:p>
            <w:pPr>
              <w:pStyle w:val="TableText"/>
              <w:ind w:left="932"/>
              <w:spacing w:before="103" w:line="221" w:lineRule="auto"/>
              <w:rPr/>
            </w:pPr>
            <w:r>
              <w:rPr>
                <w:spacing w:val="-12"/>
              </w:rPr>
              <w:t>问</w:t>
            </w:r>
            <w:r>
              <w:rPr>
                <w:spacing w:val="10"/>
              </w:rPr>
              <w:t xml:space="preserve">   </w:t>
            </w:r>
            <w:r>
              <w:rPr>
                <w:spacing w:val="-12"/>
              </w:rPr>
              <w:t>题</w:t>
            </w:r>
          </w:p>
        </w:tc>
        <w:tc>
          <w:tcPr>
            <w:tcW w:w="1368" w:type="dxa"/>
            <w:vAlign w:val="top"/>
          </w:tcPr>
          <w:p>
            <w:pPr>
              <w:pStyle w:val="TableText"/>
              <w:ind w:left="305"/>
              <w:spacing w:before="101" w:line="220" w:lineRule="auto"/>
              <w:rPr/>
            </w:pPr>
            <w:r>
              <w:rPr>
                <w:spacing w:val="-4"/>
              </w:rPr>
              <w:t>度</w:t>
            </w:r>
            <w:r>
              <w:rPr>
                <w:spacing w:val="2"/>
              </w:rPr>
              <w:t xml:space="preserve">  </w:t>
            </w:r>
            <w:r>
              <w:rPr>
                <w:spacing w:val="-4"/>
              </w:rPr>
              <w:t>量</w:t>
            </w:r>
            <w:r>
              <w:rPr>
                <w:spacing w:val="10"/>
              </w:rPr>
              <w:t xml:space="preserve"> </w:t>
            </w:r>
            <w:r>
              <w:rPr>
                <w:spacing w:val="-4"/>
              </w:rPr>
              <w:t>项</w:t>
            </w:r>
          </w:p>
        </w:tc>
        <w:tc>
          <w:tcPr>
            <w:tcW w:w="2382" w:type="dxa"/>
            <w:vAlign w:val="top"/>
          </w:tcPr>
          <w:p>
            <w:pPr>
              <w:pStyle w:val="TableText"/>
              <w:ind w:left="817"/>
              <w:spacing w:before="101" w:line="219" w:lineRule="auto"/>
              <w:rPr/>
            </w:pPr>
            <w:r>
              <w:rPr>
                <w:spacing w:val="3"/>
              </w:rPr>
              <w:t>度量项说明</w:t>
            </w:r>
          </w:p>
        </w:tc>
      </w:tr>
      <w:tr>
        <w:trPr>
          <w:trHeight w:val="609" w:hRule="atLeast"/>
        </w:trPr>
        <w:tc>
          <w:tcPr>
            <w:tcW w:w="1433" w:type="dxa"/>
            <w:vAlign w:val="top"/>
            <w:vMerge w:val="restart"/>
            <w:tcBorders>
              <w:bottom w:val="nil"/>
            </w:tcBorders>
          </w:tcPr>
          <w:p>
            <w:pPr>
              <w:pStyle w:val="TableText"/>
              <w:ind w:left="95" w:right="109" w:firstLine="120"/>
              <w:spacing w:before="277" w:line="325" w:lineRule="auto"/>
              <w:rPr/>
            </w:pPr>
            <w:r>
              <w:rPr>
                <w:spacing w:val="-1"/>
              </w:rPr>
              <w:t>G1:根据已记录  </w:t>
            </w:r>
            <w:r>
              <w:rPr>
                <w:spacing w:val="2"/>
              </w:rPr>
              <w:t>的过程，对数据在</w:t>
            </w:r>
            <w:r>
              <w:rPr>
                <w:spacing w:val="1"/>
              </w:rPr>
              <w:t xml:space="preserve"> </w:t>
            </w:r>
            <w:r>
              <w:rPr/>
              <w:t>采购、获取以及提</w:t>
            </w:r>
            <w:r>
              <w:rPr>
                <w:spacing w:val="3"/>
              </w:rPr>
              <w:t xml:space="preserve"> </w:t>
            </w:r>
            <w:r>
              <w:rPr/>
              <w:t>供者管理上的需求</w:t>
            </w:r>
            <w:r>
              <w:rPr>
                <w:spacing w:val="3"/>
              </w:rPr>
              <w:t xml:space="preserve"> </w:t>
            </w:r>
            <w:r>
              <w:rPr/>
              <w:t>包括数据需求准则</w:t>
            </w:r>
            <w:r>
              <w:rPr>
                <w:spacing w:val="3"/>
              </w:rPr>
              <w:t xml:space="preserve"> </w:t>
            </w:r>
            <w:r>
              <w:rPr>
                <w:spacing w:val="-1"/>
              </w:rPr>
              <w:t>进行评估</w:t>
            </w:r>
          </w:p>
        </w:tc>
        <w:tc>
          <w:tcPr>
            <w:tcW w:w="2467" w:type="dxa"/>
            <w:vAlign w:val="top"/>
          </w:tcPr>
          <w:p>
            <w:pPr>
              <w:pStyle w:val="TableText"/>
              <w:ind w:left="112" w:right="174" w:firstLine="149"/>
              <w:spacing w:before="105" w:line="282" w:lineRule="auto"/>
              <w:rPr/>
            </w:pPr>
            <w:r>
              <w:rPr>
                <w:spacing w:val="-1"/>
              </w:rPr>
              <w:t>Q1;如何捕获、确认数据采购需</w:t>
            </w:r>
            <w:r>
              <w:rPr>
                <w:spacing w:val="9"/>
              </w:rPr>
              <w:t xml:space="preserve"> </w:t>
            </w:r>
            <w:r>
              <w:rPr>
                <w:spacing w:val="-1"/>
              </w:rPr>
              <w:t>求并对他们进行优先次序的排列</w:t>
            </w:r>
          </w:p>
        </w:tc>
        <w:tc>
          <w:tcPr>
            <w:tcW w:w="1368" w:type="dxa"/>
            <w:vAlign w:val="top"/>
          </w:tcPr>
          <w:p>
            <w:pPr>
              <w:pStyle w:val="TableText"/>
              <w:ind w:left="105" w:right="84" w:firstLine="139"/>
              <w:spacing w:before="106" w:line="281" w:lineRule="auto"/>
              <w:rPr/>
            </w:pPr>
            <w:r>
              <w:rPr>
                <w:spacing w:val="29"/>
              </w:rPr>
              <w:t>M1:数据搜寻</w:t>
            </w:r>
            <w:r>
              <w:rPr/>
              <w:t xml:space="preserve"> </w:t>
            </w:r>
            <w:r>
              <w:rPr>
                <w:spacing w:val="-2"/>
              </w:rPr>
              <w:t>规格说明书</w:t>
            </w:r>
          </w:p>
        </w:tc>
        <w:tc>
          <w:tcPr>
            <w:tcW w:w="2382" w:type="dxa"/>
            <w:vAlign w:val="top"/>
          </w:tcPr>
          <w:p>
            <w:pPr>
              <w:pStyle w:val="TableText"/>
              <w:ind w:left="107" w:right="162" w:firstLine="160"/>
              <w:spacing w:before="106" w:line="288" w:lineRule="auto"/>
              <w:rPr/>
            </w:pPr>
            <w:r>
              <w:rPr>
                <w:spacing w:val="-1"/>
              </w:rPr>
              <w:t>数据需求形成规范文档，便于</w:t>
            </w:r>
            <w:r>
              <w:rPr>
                <w:spacing w:val="4"/>
              </w:rPr>
              <w:t xml:space="preserve"> </w:t>
            </w:r>
            <w:r>
              <w:rPr>
                <w:spacing w:val="-1"/>
              </w:rPr>
              <w:t>进行优先次序排序</w:t>
            </w:r>
          </w:p>
        </w:tc>
      </w:tr>
      <w:tr>
        <w:trPr>
          <w:trHeight w:val="600" w:hRule="atLeast"/>
        </w:trPr>
        <w:tc>
          <w:tcPr>
            <w:tcW w:w="1433" w:type="dxa"/>
            <w:vAlign w:val="top"/>
            <w:vMerge w:val="continue"/>
            <w:tcBorders>
              <w:top w:val="nil"/>
              <w:bottom w:val="nil"/>
            </w:tcBorders>
          </w:tcPr>
          <w:p>
            <w:pPr>
              <w:rPr>
                <w:rFonts w:ascii="Arial"/>
                <w:sz w:val="21"/>
              </w:rPr>
            </w:pPr>
            <w:r/>
          </w:p>
        </w:tc>
        <w:tc>
          <w:tcPr>
            <w:tcW w:w="2467" w:type="dxa"/>
            <w:vAlign w:val="top"/>
          </w:tcPr>
          <w:p>
            <w:pPr>
              <w:pStyle w:val="TableText"/>
              <w:ind w:left="112" w:right="90" w:firstLine="160"/>
              <w:spacing w:before="106" w:line="276" w:lineRule="auto"/>
              <w:rPr/>
            </w:pPr>
            <w:r>
              <w:rPr>
                <w:spacing w:val="4"/>
              </w:rPr>
              <w:t>Q2:数据采购的需求是否明确、</w:t>
            </w:r>
            <w:r>
              <w:rPr>
                <w:spacing w:val="8"/>
              </w:rPr>
              <w:t xml:space="preserve"> </w:t>
            </w:r>
            <w:r>
              <w:rPr>
                <w:spacing w:val="-1"/>
              </w:rPr>
              <w:t>清晰、由业务需求推动并可行</w:t>
            </w:r>
          </w:p>
        </w:tc>
        <w:tc>
          <w:tcPr>
            <w:tcW w:w="1368" w:type="dxa"/>
            <w:vAlign w:val="top"/>
          </w:tcPr>
          <w:p>
            <w:pPr>
              <w:pStyle w:val="TableText"/>
              <w:ind w:left="115" w:right="80" w:firstLine="129"/>
              <w:spacing w:before="106" w:line="265" w:lineRule="auto"/>
              <w:rPr/>
            </w:pPr>
            <w:r>
              <w:rPr>
                <w:spacing w:val="-10"/>
              </w:rPr>
              <w:t>M</w:t>
            </w:r>
            <w:r>
              <w:rPr>
                <w:spacing w:val="-29"/>
              </w:rPr>
              <w:t xml:space="preserve"> </w:t>
            </w:r>
            <w:r>
              <w:rPr>
                <w:spacing w:val="-10"/>
              </w:rPr>
              <w:t>2</w:t>
            </w:r>
            <w:r>
              <w:rPr>
                <w:spacing w:val="-12"/>
              </w:rPr>
              <w:t xml:space="preserve"> </w:t>
            </w:r>
            <w:r>
              <w:rPr>
                <w:spacing w:val="-10"/>
              </w:rPr>
              <w:t>:</w:t>
            </w:r>
            <w:r>
              <w:rPr>
                <w:spacing w:val="-32"/>
              </w:rPr>
              <w:t xml:space="preserve"> </w:t>
            </w:r>
            <w:r>
              <w:rPr>
                <w:spacing w:val="-10"/>
              </w:rPr>
              <w:t>分</w:t>
            </w:r>
            <w:r>
              <w:rPr>
                <w:spacing w:val="-34"/>
              </w:rPr>
              <w:t xml:space="preserve"> </w:t>
            </w:r>
            <w:r>
              <w:rPr>
                <w:spacing w:val="-10"/>
              </w:rPr>
              <w:t>析</w:t>
            </w:r>
            <w:r>
              <w:rPr>
                <w:spacing w:val="-33"/>
              </w:rPr>
              <w:t xml:space="preserve"> </w:t>
            </w:r>
            <w:r>
              <w:rPr>
                <w:spacing w:val="-10"/>
              </w:rPr>
              <w:t>和</w:t>
            </w:r>
            <w:r>
              <w:rPr>
                <w:spacing w:val="-34"/>
              </w:rPr>
              <w:t xml:space="preserve"> </w:t>
            </w:r>
            <w:r>
              <w:rPr>
                <w:spacing w:val="-10"/>
              </w:rPr>
              <w:t>测</w:t>
            </w:r>
            <w:r>
              <w:rPr/>
              <w:t xml:space="preserve"> </w:t>
            </w:r>
            <w:r>
              <w:rPr/>
              <w:t>试</w:t>
            </w:r>
          </w:p>
        </w:tc>
        <w:tc>
          <w:tcPr>
            <w:tcW w:w="2382" w:type="dxa"/>
            <w:vAlign w:val="top"/>
          </w:tcPr>
          <w:p>
            <w:pPr>
              <w:pStyle w:val="TableText"/>
              <w:ind w:left="107" w:right="151" w:firstLine="170"/>
              <w:spacing w:before="106" w:line="271" w:lineRule="auto"/>
              <w:rPr/>
            </w:pPr>
            <w:r>
              <w:rPr>
                <w:spacing w:val="-1"/>
              </w:rPr>
              <w:t>来确认采购的数据满足已陈述</w:t>
            </w:r>
            <w:r>
              <w:rPr>
                <w:spacing w:val="5"/>
              </w:rPr>
              <w:t xml:space="preserve"> </w:t>
            </w:r>
            <w:r>
              <w:rPr>
                <w:spacing w:val="2"/>
              </w:rPr>
              <w:t>的需求</w:t>
            </w:r>
          </w:p>
        </w:tc>
      </w:tr>
      <w:tr>
        <w:trPr>
          <w:trHeight w:val="869" w:hRule="atLeast"/>
        </w:trPr>
        <w:tc>
          <w:tcPr>
            <w:tcW w:w="1433" w:type="dxa"/>
            <w:vAlign w:val="top"/>
            <w:vMerge w:val="continue"/>
            <w:tcBorders>
              <w:top w:val="nil"/>
            </w:tcBorders>
          </w:tcPr>
          <w:p>
            <w:pPr>
              <w:rPr>
                <w:rFonts w:ascii="Arial"/>
                <w:sz w:val="21"/>
              </w:rPr>
            </w:pPr>
            <w:r/>
          </w:p>
        </w:tc>
        <w:tc>
          <w:tcPr>
            <w:tcW w:w="2467" w:type="dxa"/>
            <w:vAlign w:val="top"/>
          </w:tcPr>
          <w:p>
            <w:pPr>
              <w:pStyle w:val="TableText"/>
              <w:ind w:left="102" w:right="174" w:firstLine="160"/>
              <w:spacing w:before="236" w:line="276" w:lineRule="auto"/>
              <w:rPr/>
            </w:pPr>
            <w:r>
              <w:rPr>
                <w:spacing w:val="-1"/>
              </w:rPr>
              <w:t>Q3:是否有机制来确保对采购需</w:t>
            </w:r>
            <w:r>
              <w:rPr>
                <w:spacing w:val="9"/>
              </w:rPr>
              <w:t xml:space="preserve"> </w:t>
            </w:r>
            <w:r>
              <w:rPr>
                <w:spacing w:val="-1"/>
              </w:rPr>
              <w:t>求进行业务上的审批</w:t>
            </w:r>
          </w:p>
        </w:tc>
        <w:tc>
          <w:tcPr>
            <w:tcW w:w="1368" w:type="dxa"/>
            <w:vAlign w:val="top"/>
          </w:tcPr>
          <w:p>
            <w:pPr>
              <w:pStyle w:val="TableText"/>
              <w:ind w:left="235"/>
              <w:spacing w:before="197" w:line="310" w:lineRule="exact"/>
              <w:rPr/>
            </w:pPr>
            <w:r>
              <w:rPr>
                <w:spacing w:val="28"/>
                <w:position w:val="12"/>
              </w:rPr>
              <w:t>M3:数据质量</w:t>
            </w:r>
          </w:p>
          <w:p>
            <w:pPr>
              <w:pStyle w:val="TableText"/>
              <w:ind w:left="105"/>
              <w:spacing w:line="220" w:lineRule="auto"/>
              <w:rPr/>
            </w:pPr>
            <w:r>
              <w:rPr>
                <w:spacing w:val="6"/>
              </w:rPr>
              <w:t>准则</w:t>
            </w:r>
          </w:p>
        </w:tc>
        <w:tc>
          <w:tcPr>
            <w:tcW w:w="2382" w:type="dxa"/>
            <w:vAlign w:val="top"/>
          </w:tcPr>
          <w:p>
            <w:pPr>
              <w:pStyle w:val="TableText"/>
              <w:ind w:left="107" w:right="151" w:firstLine="170"/>
              <w:spacing w:before="85" w:line="304" w:lineRule="auto"/>
              <w:jc w:val="both"/>
              <w:rPr/>
            </w:pPr>
            <w:r>
              <w:rPr>
                <w:spacing w:val="-1"/>
              </w:rPr>
              <w:t>与内外部提供者共同定义数据</w:t>
            </w:r>
            <w:r>
              <w:rPr>
                <w:spacing w:val="3"/>
              </w:rPr>
              <w:t xml:space="preserve"> </w:t>
            </w:r>
            <w:r>
              <w:rPr/>
              <w:t>质量准则并将其纳入服务水平协</w:t>
            </w:r>
            <w:r>
              <w:rPr>
                <w:spacing w:val="12"/>
              </w:rPr>
              <w:t xml:space="preserve"> </w:t>
            </w:r>
            <w:r>
              <w:rPr>
                <w:spacing w:val="8"/>
              </w:rPr>
              <w:t>议中</w:t>
            </w:r>
          </w:p>
        </w:tc>
      </w:tr>
      <w:tr>
        <w:trPr>
          <w:trHeight w:val="1159" w:hRule="atLeast"/>
        </w:trPr>
        <w:tc>
          <w:tcPr>
            <w:tcW w:w="1433" w:type="dxa"/>
            <w:vAlign w:val="top"/>
            <w:vMerge w:val="restart"/>
            <w:tcBorders>
              <w:bottom w:val="nil"/>
            </w:tcBorders>
          </w:tcPr>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TableText"/>
              <w:ind w:left="215"/>
              <w:spacing w:before="49" w:line="219" w:lineRule="auto"/>
              <w:rPr/>
            </w:pPr>
            <w:r>
              <w:rPr>
                <w:spacing w:val="-1"/>
              </w:rPr>
              <w:t>G2:根据标准数</w:t>
            </w:r>
          </w:p>
          <w:p>
            <w:pPr>
              <w:pStyle w:val="TableText"/>
              <w:ind w:left="35" w:firstLine="68"/>
              <w:spacing w:before="102" w:line="307" w:lineRule="auto"/>
              <w:rPr/>
            </w:pPr>
            <w:r>
              <w:rPr>
                <w:spacing w:val="-5"/>
              </w:rPr>
              <w:t>据源选择和控制过</w:t>
            </w:r>
            <w:r>
              <w:rPr/>
              <w:t xml:space="preserve">   </w:t>
            </w:r>
            <w:r>
              <w:rPr>
                <w:spacing w:val="4"/>
              </w:rPr>
              <w:t>程，执行对数据提</w:t>
            </w:r>
            <w:r>
              <w:rPr/>
              <w:t xml:space="preserve">   </w:t>
            </w:r>
            <w:r>
              <w:rPr>
                <w:spacing w:val="4"/>
              </w:rPr>
              <w:t>供者的选择、缔约、</w:t>
            </w:r>
            <w:r>
              <w:rPr/>
              <w:t xml:space="preserve"> </w:t>
            </w:r>
            <w:r>
              <w:rPr>
                <w:spacing w:val="6"/>
              </w:rPr>
              <w:t>监督以及管理</w:t>
            </w:r>
          </w:p>
        </w:tc>
        <w:tc>
          <w:tcPr>
            <w:tcW w:w="2467" w:type="dxa"/>
            <w:vAlign w:val="top"/>
          </w:tcPr>
          <w:p>
            <w:pPr>
              <w:spacing w:line="307" w:lineRule="auto"/>
              <w:rPr>
                <w:rFonts w:ascii="Arial"/>
                <w:sz w:val="21"/>
              </w:rPr>
            </w:pPr>
            <w:r/>
          </w:p>
          <w:p>
            <w:pPr>
              <w:pStyle w:val="TableText"/>
              <w:ind w:left="252"/>
              <w:spacing w:before="49" w:line="300" w:lineRule="exact"/>
              <w:rPr/>
            </w:pPr>
            <w:r>
              <w:rPr>
                <w:spacing w:val="-1"/>
                <w:position w:val="11"/>
              </w:rPr>
              <w:t>Q4:数据属性是如何映射到数据</w:t>
            </w:r>
          </w:p>
          <w:p>
            <w:pPr>
              <w:pStyle w:val="TableText"/>
              <w:ind w:left="102"/>
              <w:spacing w:line="220" w:lineRule="auto"/>
              <w:rPr/>
            </w:pPr>
            <w:r>
              <w:rPr>
                <w:spacing w:val="-1"/>
              </w:rPr>
              <w:t>源和下游应用的</w:t>
            </w:r>
          </w:p>
        </w:tc>
        <w:tc>
          <w:tcPr>
            <w:tcW w:w="1368" w:type="dxa"/>
            <w:vAlign w:val="top"/>
          </w:tcPr>
          <w:p>
            <w:pPr>
              <w:spacing w:line="457" w:lineRule="auto"/>
              <w:rPr>
                <w:rFonts w:ascii="Arial"/>
                <w:sz w:val="21"/>
              </w:rPr>
            </w:pPr>
            <w:r/>
          </w:p>
          <w:p>
            <w:pPr>
              <w:pStyle w:val="TableText"/>
              <w:ind w:left="255"/>
              <w:spacing w:before="48" w:line="220" w:lineRule="auto"/>
              <w:rPr/>
            </w:pPr>
            <w:r>
              <w:rPr>
                <w:spacing w:val="-8"/>
              </w:rPr>
              <w:t>M</w:t>
            </w:r>
            <w:r>
              <w:rPr>
                <w:spacing w:val="-30"/>
              </w:rPr>
              <w:t xml:space="preserve"> </w:t>
            </w:r>
            <w:r>
              <w:rPr>
                <w:spacing w:val="-8"/>
              </w:rPr>
              <w:t>4 :</w:t>
            </w:r>
            <w:r>
              <w:rPr>
                <w:spacing w:val="-29"/>
              </w:rPr>
              <w:t xml:space="preserve"> </w:t>
            </w:r>
            <w:r>
              <w:rPr>
                <w:spacing w:val="-8"/>
              </w:rPr>
              <w:t>过</w:t>
            </w:r>
            <w:r>
              <w:rPr>
                <w:spacing w:val="-29"/>
              </w:rPr>
              <w:t xml:space="preserve"> </w:t>
            </w:r>
            <w:r>
              <w:rPr>
                <w:spacing w:val="-8"/>
              </w:rPr>
              <w:t>程</w:t>
            </w:r>
          </w:p>
        </w:tc>
        <w:tc>
          <w:tcPr>
            <w:tcW w:w="2382" w:type="dxa"/>
            <w:vAlign w:val="top"/>
          </w:tcPr>
          <w:p>
            <w:pPr>
              <w:pStyle w:val="TableText"/>
              <w:ind w:left="117" w:right="154" w:firstLine="139"/>
              <w:spacing w:before="98" w:line="310" w:lineRule="auto"/>
              <w:rPr/>
            </w:pPr>
            <w:r>
              <w:rPr>
                <w:spacing w:val="-1"/>
              </w:rPr>
              <w:t>定义并遵循一个过程来为数据</w:t>
            </w:r>
            <w:r>
              <w:rPr>
                <w:spacing w:val="2"/>
              </w:rPr>
              <w:t xml:space="preserve"> </w:t>
            </w:r>
            <w:r>
              <w:rPr>
                <w:spacing w:val="-1"/>
              </w:rPr>
              <w:t>搜寻规格说明书分析数据需求，</w:t>
            </w:r>
            <w:r>
              <w:rPr>
                <w:spacing w:val="8"/>
              </w:rPr>
              <w:t xml:space="preserve"> </w:t>
            </w:r>
            <w:r>
              <w:rPr/>
              <w:t>并将需求映射到已提供的数据元 </w:t>
            </w:r>
            <w:r>
              <w:rPr>
                <w:spacing w:val="-2"/>
              </w:rPr>
              <w:t>素上</w:t>
            </w:r>
          </w:p>
        </w:tc>
      </w:tr>
      <w:tr>
        <w:trPr>
          <w:trHeight w:val="599" w:hRule="atLeast"/>
        </w:trPr>
        <w:tc>
          <w:tcPr>
            <w:tcW w:w="1433" w:type="dxa"/>
            <w:vAlign w:val="top"/>
            <w:vMerge w:val="continue"/>
            <w:tcBorders>
              <w:top w:val="nil"/>
              <w:bottom w:val="nil"/>
            </w:tcBorders>
          </w:tcPr>
          <w:p>
            <w:pPr>
              <w:rPr>
                <w:rFonts w:ascii="Arial"/>
                <w:sz w:val="21"/>
              </w:rPr>
            </w:pPr>
            <w:r/>
          </w:p>
        </w:tc>
        <w:tc>
          <w:tcPr>
            <w:tcW w:w="2467" w:type="dxa"/>
            <w:vAlign w:val="top"/>
            <w:vMerge w:val="restart"/>
            <w:tcBorders>
              <w:bottom w:val="nil"/>
            </w:tcBorders>
          </w:tcPr>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262"/>
              <w:spacing w:before="48" w:line="219" w:lineRule="auto"/>
              <w:rPr/>
            </w:pPr>
            <w:r>
              <w:rPr>
                <w:spacing w:val="-1"/>
              </w:rPr>
              <w:t>Q5:如何管理数据源的选择过程</w:t>
            </w:r>
          </w:p>
        </w:tc>
        <w:tc>
          <w:tcPr>
            <w:tcW w:w="1368" w:type="dxa"/>
            <w:vAlign w:val="top"/>
          </w:tcPr>
          <w:p>
            <w:pPr>
              <w:pStyle w:val="TableText"/>
              <w:ind w:left="245"/>
              <w:spacing w:before="229" w:line="220" w:lineRule="auto"/>
              <w:rPr/>
            </w:pPr>
            <w:r>
              <w:rPr>
                <w:spacing w:val="-9"/>
              </w:rPr>
              <w:t>M</w:t>
            </w:r>
            <w:r>
              <w:rPr>
                <w:spacing w:val="-28"/>
              </w:rPr>
              <w:t xml:space="preserve"> </w:t>
            </w:r>
            <w:r>
              <w:rPr>
                <w:spacing w:val="-9"/>
              </w:rPr>
              <w:t>5</w:t>
            </w:r>
            <w:r>
              <w:rPr>
                <w:spacing w:val="-12"/>
              </w:rPr>
              <w:t xml:space="preserve"> </w:t>
            </w:r>
            <w:r>
              <w:rPr>
                <w:spacing w:val="-9"/>
              </w:rPr>
              <w:t>:</w:t>
            </w:r>
            <w:r>
              <w:rPr>
                <w:spacing w:val="-34"/>
              </w:rPr>
              <w:t xml:space="preserve"> </w:t>
            </w:r>
            <w:r>
              <w:rPr>
                <w:spacing w:val="-9"/>
              </w:rPr>
              <w:t>度</w:t>
            </w:r>
            <w:r>
              <w:rPr>
                <w:spacing w:val="-34"/>
              </w:rPr>
              <w:t xml:space="preserve"> </w:t>
            </w:r>
            <w:r>
              <w:rPr>
                <w:spacing w:val="-9"/>
              </w:rPr>
              <w:t>量</w:t>
            </w:r>
            <w:r>
              <w:rPr>
                <w:spacing w:val="-32"/>
              </w:rPr>
              <w:t xml:space="preserve"> </w:t>
            </w:r>
            <w:r>
              <w:rPr>
                <w:spacing w:val="-9"/>
              </w:rPr>
              <w:t>项</w:t>
            </w:r>
          </w:p>
        </w:tc>
        <w:tc>
          <w:tcPr>
            <w:tcW w:w="2382" w:type="dxa"/>
            <w:vAlign w:val="top"/>
          </w:tcPr>
          <w:p>
            <w:pPr>
              <w:pStyle w:val="TableText"/>
              <w:ind w:left="117" w:right="152" w:firstLine="160"/>
              <w:spacing w:before="109" w:line="276" w:lineRule="auto"/>
              <w:rPr/>
            </w:pPr>
            <w:r>
              <w:rPr>
                <w:spacing w:val="-1"/>
              </w:rPr>
              <w:t>建立、维护和使用数据搜寻管</w:t>
            </w:r>
            <w:r>
              <w:rPr>
                <w:spacing w:val="4"/>
              </w:rPr>
              <w:t xml:space="preserve"> </w:t>
            </w:r>
            <w:r>
              <w:rPr>
                <w:spacing w:val="-1"/>
              </w:rPr>
              <w:t>理过程的度量项</w:t>
            </w:r>
          </w:p>
        </w:tc>
      </w:tr>
      <w:tr>
        <w:trPr>
          <w:trHeight w:val="869" w:hRule="atLeast"/>
        </w:trPr>
        <w:tc>
          <w:tcPr>
            <w:tcW w:w="1433" w:type="dxa"/>
            <w:vAlign w:val="top"/>
            <w:vMerge w:val="continue"/>
            <w:tcBorders>
              <w:top w:val="nil"/>
              <w:bottom w:val="nil"/>
            </w:tcBorders>
          </w:tcPr>
          <w:p>
            <w:pPr>
              <w:rPr>
                <w:rFonts w:ascii="Arial"/>
                <w:sz w:val="21"/>
              </w:rPr>
            </w:pPr>
            <w:r/>
          </w:p>
        </w:tc>
        <w:tc>
          <w:tcPr>
            <w:tcW w:w="2467" w:type="dxa"/>
            <w:vAlign w:val="top"/>
            <w:vMerge w:val="continue"/>
            <w:tcBorders>
              <w:top w:val="nil"/>
              <w:bottom w:val="nil"/>
            </w:tcBorders>
          </w:tcPr>
          <w:p>
            <w:pPr>
              <w:rPr>
                <w:rFonts w:ascii="Arial"/>
                <w:sz w:val="21"/>
              </w:rPr>
            </w:pPr>
            <w:r/>
          </w:p>
        </w:tc>
        <w:tc>
          <w:tcPr>
            <w:tcW w:w="1368" w:type="dxa"/>
            <w:vAlign w:val="top"/>
          </w:tcPr>
          <w:p>
            <w:pPr>
              <w:pStyle w:val="TableText"/>
              <w:ind w:left="95" w:right="94" w:firstLine="140"/>
              <w:spacing w:before="100" w:line="295" w:lineRule="auto"/>
              <w:rPr/>
            </w:pPr>
            <w:r>
              <w:rPr>
                <w:spacing w:val="29"/>
              </w:rPr>
              <w:t>M6:数据搜寻</w:t>
            </w:r>
            <w:r>
              <w:rPr/>
              <w:t xml:space="preserve"> </w:t>
            </w:r>
            <w:r>
              <w:rPr>
                <w:spacing w:val="3"/>
              </w:rPr>
              <w:t>的评估和选择过</w:t>
            </w:r>
            <w:r>
              <w:rPr>
                <w:spacing w:val="1"/>
              </w:rPr>
              <w:t xml:space="preserve">  </w:t>
            </w:r>
            <w:r>
              <w:rPr/>
              <w:t>程</w:t>
            </w:r>
          </w:p>
        </w:tc>
        <w:tc>
          <w:tcPr>
            <w:tcW w:w="2382" w:type="dxa"/>
            <w:vAlign w:val="top"/>
          </w:tcPr>
          <w:p>
            <w:pPr>
              <w:pStyle w:val="TableText"/>
              <w:ind w:left="117" w:right="164" w:firstLine="149"/>
              <w:spacing w:before="229" w:line="281" w:lineRule="auto"/>
              <w:rPr/>
            </w:pPr>
            <w:r>
              <w:rPr>
                <w:spacing w:val="-1"/>
              </w:rPr>
              <w:t>定义并在整个组织内使用数据</w:t>
            </w:r>
            <w:r>
              <w:rPr>
                <w:spacing w:val="2"/>
              </w:rPr>
              <w:t xml:space="preserve"> </w:t>
            </w:r>
            <w:r>
              <w:rPr>
                <w:spacing w:val="-1"/>
              </w:rPr>
              <w:t>搜寻的评估和选择过程</w:t>
            </w:r>
          </w:p>
        </w:tc>
      </w:tr>
      <w:tr>
        <w:trPr>
          <w:trHeight w:val="869" w:hRule="atLeast"/>
        </w:trPr>
        <w:tc>
          <w:tcPr>
            <w:tcW w:w="1433" w:type="dxa"/>
            <w:vAlign w:val="top"/>
            <w:vMerge w:val="continue"/>
            <w:tcBorders>
              <w:top w:val="nil"/>
            </w:tcBorders>
          </w:tcPr>
          <w:p>
            <w:pPr>
              <w:rPr>
                <w:rFonts w:ascii="Arial"/>
                <w:sz w:val="21"/>
              </w:rPr>
            </w:pPr>
            <w:r/>
          </w:p>
        </w:tc>
        <w:tc>
          <w:tcPr>
            <w:tcW w:w="2467" w:type="dxa"/>
            <w:vAlign w:val="top"/>
            <w:vMerge w:val="continue"/>
            <w:tcBorders>
              <w:top w:val="nil"/>
            </w:tcBorders>
          </w:tcPr>
          <w:p>
            <w:pPr>
              <w:rPr>
                <w:rFonts w:ascii="Arial"/>
                <w:sz w:val="21"/>
              </w:rPr>
            </w:pPr>
            <w:r/>
          </w:p>
        </w:tc>
        <w:tc>
          <w:tcPr>
            <w:tcW w:w="1368" w:type="dxa"/>
            <w:vAlign w:val="top"/>
          </w:tcPr>
          <w:p>
            <w:pPr>
              <w:pStyle w:val="TableText"/>
              <w:ind w:left="115" w:right="77" w:firstLine="120"/>
              <w:spacing w:before="241" w:line="282" w:lineRule="auto"/>
              <w:rPr/>
            </w:pPr>
            <w:r>
              <w:rPr>
                <w:spacing w:val="-10"/>
              </w:rPr>
              <w:t>M</w:t>
            </w:r>
            <w:r>
              <w:rPr>
                <w:spacing w:val="-24"/>
              </w:rPr>
              <w:t xml:space="preserve"> </w:t>
            </w:r>
            <w:r>
              <w:rPr>
                <w:spacing w:val="-10"/>
              </w:rPr>
              <w:t>7 :</w:t>
            </w:r>
            <w:r>
              <w:rPr>
                <w:spacing w:val="-31"/>
              </w:rPr>
              <w:t xml:space="preserve"> </w:t>
            </w:r>
            <w:r>
              <w:rPr>
                <w:spacing w:val="-10"/>
              </w:rPr>
              <w:t>提</w:t>
            </w:r>
            <w:r>
              <w:rPr>
                <w:spacing w:val="-33"/>
              </w:rPr>
              <w:t xml:space="preserve"> </w:t>
            </w:r>
            <w:r>
              <w:rPr>
                <w:spacing w:val="-10"/>
              </w:rPr>
              <w:t>供</w:t>
            </w:r>
            <w:r>
              <w:rPr>
                <w:spacing w:val="-31"/>
              </w:rPr>
              <w:t xml:space="preserve"> </w:t>
            </w:r>
            <w:r>
              <w:rPr>
                <w:spacing w:val="-10"/>
              </w:rPr>
              <w:t>者</w:t>
            </w:r>
            <w:r>
              <w:rPr>
                <w:spacing w:val="-32"/>
              </w:rPr>
              <w:t xml:space="preserve"> </w:t>
            </w:r>
            <w:r>
              <w:rPr>
                <w:spacing w:val="-10"/>
              </w:rPr>
              <w:t>服</w:t>
            </w:r>
            <w:r>
              <w:rPr/>
              <w:t xml:space="preserve"> </w:t>
            </w:r>
            <w:r>
              <w:rPr>
                <w:spacing w:val="-2"/>
              </w:rPr>
              <w:t>务水平协议</w:t>
            </w:r>
          </w:p>
        </w:tc>
        <w:tc>
          <w:tcPr>
            <w:tcW w:w="2382" w:type="dxa"/>
            <w:vAlign w:val="top"/>
          </w:tcPr>
          <w:p>
            <w:pPr>
              <w:pStyle w:val="TableText"/>
              <w:ind w:left="107" w:right="134" w:firstLine="160"/>
              <w:spacing w:before="90" w:line="303" w:lineRule="auto"/>
              <w:jc w:val="both"/>
              <w:rPr/>
            </w:pPr>
            <w:r>
              <w:rPr>
                <w:spacing w:val="-1"/>
              </w:rPr>
              <w:t>根据标准模板和过程来制订提</w:t>
            </w:r>
            <w:r>
              <w:rPr>
                <w:spacing w:val="6"/>
              </w:rPr>
              <w:t xml:space="preserve"> </w:t>
            </w:r>
            <w:r>
              <w:rPr>
                <w:spacing w:val="2"/>
              </w:rPr>
              <w:t>供者服务水平协议，并在组织内</w:t>
            </w:r>
            <w:r>
              <w:rPr>
                <w:spacing w:val="1"/>
              </w:rPr>
              <w:t xml:space="preserve"> </w:t>
            </w:r>
            <w:r>
              <w:rPr>
                <w:spacing w:val="-1"/>
              </w:rPr>
              <w:t>实施、跟踪以及执行该协议</w:t>
            </w:r>
          </w:p>
        </w:tc>
      </w:tr>
      <w:tr>
        <w:trPr>
          <w:trHeight w:val="609" w:hRule="atLeast"/>
        </w:trPr>
        <w:tc>
          <w:tcPr>
            <w:tcW w:w="1433" w:type="dxa"/>
            <w:vAlign w:val="top"/>
            <w:vMerge w:val="restart"/>
            <w:tcBorders>
              <w:bottom w:val="nil"/>
            </w:tcBorders>
          </w:tcPr>
          <w:p>
            <w:pPr>
              <w:pStyle w:val="TableText"/>
              <w:ind w:left="105" w:right="123" w:firstLine="109"/>
              <w:spacing w:before="124" w:line="319" w:lineRule="auto"/>
              <w:rPr/>
            </w:pPr>
            <w:r>
              <w:rPr>
                <w:spacing w:val="-1"/>
              </w:rPr>
              <w:t>G3:识别、记录</w:t>
            </w:r>
            <w:r>
              <w:rPr>
                <w:spacing w:val="1"/>
              </w:rPr>
              <w:t xml:space="preserve">  </w:t>
            </w:r>
            <w:r>
              <w:rPr>
                <w:spacing w:val="-1"/>
              </w:rPr>
              <w:t>和了解潜在来源和</w:t>
            </w:r>
            <w:r>
              <w:rPr/>
              <w:t xml:space="preserve"> </w:t>
            </w:r>
            <w:r>
              <w:rPr>
                <w:spacing w:val="-1"/>
              </w:rPr>
              <w:t>数据提供者，包括</w:t>
            </w:r>
            <w:r>
              <w:rPr/>
              <w:t xml:space="preserve"> </w:t>
            </w:r>
            <w:r>
              <w:rPr>
                <w:spacing w:val="-1"/>
              </w:rPr>
              <w:t>他们的服务、数据</w:t>
            </w:r>
            <w:r>
              <w:rPr>
                <w:spacing w:val="1"/>
              </w:rPr>
              <w:t xml:space="preserve"> </w:t>
            </w:r>
            <w:r>
              <w:rPr>
                <w:spacing w:val="-2"/>
              </w:rPr>
              <w:t>范围、过程和技术</w:t>
            </w:r>
          </w:p>
        </w:tc>
        <w:tc>
          <w:tcPr>
            <w:tcW w:w="2467" w:type="dxa"/>
            <w:vAlign w:val="top"/>
            <w:vMerge w:val="restart"/>
            <w:tcBorders>
              <w:bottom w:val="nil"/>
            </w:tcBorders>
          </w:tcPr>
          <w:p>
            <w:pPr>
              <w:spacing w:line="245" w:lineRule="auto"/>
              <w:rPr>
                <w:rFonts w:ascii="Arial"/>
                <w:sz w:val="21"/>
              </w:rPr>
            </w:pPr>
            <w:r/>
          </w:p>
          <w:p>
            <w:pPr>
              <w:spacing w:line="245" w:lineRule="auto"/>
              <w:rPr>
                <w:rFonts w:ascii="Arial"/>
                <w:sz w:val="21"/>
              </w:rPr>
            </w:pPr>
            <w:r/>
          </w:p>
          <w:p>
            <w:pPr>
              <w:pStyle w:val="TableText"/>
              <w:ind w:left="122" w:right="164" w:firstLine="149"/>
              <w:spacing w:before="49" w:line="288" w:lineRule="auto"/>
              <w:rPr/>
            </w:pPr>
            <w:r>
              <w:rPr>
                <w:spacing w:val="-1"/>
              </w:rPr>
              <w:t>Q6:如何对数据提供者提供的服</w:t>
            </w:r>
            <w:r>
              <w:rPr>
                <w:spacing w:val="9"/>
              </w:rPr>
              <w:t xml:space="preserve"> </w:t>
            </w:r>
            <w:r>
              <w:rPr>
                <w:spacing w:val="-1"/>
              </w:rPr>
              <w:t>务和内容质量进行监督</w:t>
            </w:r>
          </w:p>
        </w:tc>
        <w:tc>
          <w:tcPr>
            <w:tcW w:w="1368" w:type="dxa"/>
            <w:vAlign w:val="top"/>
          </w:tcPr>
          <w:p>
            <w:pPr>
              <w:pStyle w:val="TableText"/>
              <w:ind w:left="95" w:right="75" w:firstLine="140"/>
              <w:spacing w:before="111" w:line="277" w:lineRule="auto"/>
              <w:rPr/>
            </w:pPr>
            <w:r>
              <w:rPr>
                <w:spacing w:val="-9"/>
              </w:rPr>
              <w:t>M</w:t>
            </w:r>
            <w:r>
              <w:rPr>
                <w:spacing w:val="-32"/>
              </w:rPr>
              <w:t xml:space="preserve"> </w:t>
            </w:r>
            <w:r>
              <w:rPr>
                <w:spacing w:val="-9"/>
              </w:rPr>
              <w:t>8 :</w:t>
            </w:r>
            <w:r>
              <w:rPr>
                <w:spacing w:val="-32"/>
              </w:rPr>
              <w:t xml:space="preserve"> </w:t>
            </w:r>
            <w:r>
              <w:rPr>
                <w:spacing w:val="-9"/>
              </w:rPr>
              <w:t>服</w:t>
            </w:r>
            <w:r>
              <w:rPr>
                <w:spacing w:val="-31"/>
              </w:rPr>
              <w:t xml:space="preserve"> </w:t>
            </w:r>
            <w:r>
              <w:rPr>
                <w:spacing w:val="-9"/>
              </w:rPr>
              <w:t>务</w:t>
            </w:r>
            <w:r>
              <w:rPr>
                <w:spacing w:val="-30"/>
              </w:rPr>
              <w:t xml:space="preserve"> </w:t>
            </w:r>
            <w:r>
              <w:rPr>
                <w:spacing w:val="-9"/>
              </w:rPr>
              <w:t>水</w:t>
            </w:r>
            <w:r>
              <w:rPr>
                <w:spacing w:val="-33"/>
              </w:rPr>
              <w:t xml:space="preserve"> </w:t>
            </w:r>
            <w:r>
              <w:rPr>
                <w:spacing w:val="-9"/>
              </w:rPr>
              <w:t>平</w:t>
            </w:r>
            <w:r>
              <w:rPr/>
              <w:t xml:space="preserve"> </w:t>
            </w:r>
            <w:r>
              <w:rPr>
                <w:spacing w:val="-2"/>
              </w:rPr>
              <w:t>协议</w:t>
            </w:r>
          </w:p>
        </w:tc>
        <w:tc>
          <w:tcPr>
            <w:tcW w:w="2382" w:type="dxa"/>
            <w:vAlign w:val="top"/>
          </w:tcPr>
          <w:p>
            <w:pPr>
              <w:pStyle w:val="TableText"/>
              <w:ind w:left="117" w:right="164" w:firstLine="149"/>
              <w:spacing w:before="112" w:line="282" w:lineRule="auto"/>
              <w:rPr/>
            </w:pPr>
            <w:r>
              <w:rPr>
                <w:spacing w:val="-1"/>
              </w:rPr>
              <w:t>定期评审服务水平协议以确保</w:t>
            </w:r>
            <w:r>
              <w:rPr>
                <w:spacing w:val="2"/>
              </w:rPr>
              <w:t xml:space="preserve"> </w:t>
            </w:r>
            <w:r>
              <w:rPr>
                <w:spacing w:val="-1"/>
              </w:rPr>
              <w:t>业务目标和需求的满足</w:t>
            </w:r>
          </w:p>
        </w:tc>
      </w:tr>
      <w:tr>
        <w:trPr>
          <w:trHeight w:val="869" w:hRule="atLeast"/>
        </w:trPr>
        <w:tc>
          <w:tcPr>
            <w:tcW w:w="1433" w:type="dxa"/>
            <w:vAlign w:val="top"/>
            <w:vMerge w:val="continue"/>
            <w:tcBorders>
              <w:top w:val="nil"/>
            </w:tcBorders>
          </w:tcPr>
          <w:p>
            <w:pPr>
              <w:rPr>
                <w:rFonts w:ascii="Arial"/>
                <w:sz w:val="21"/>
              </w:rPr>
            </w:pPr>
            <w:r/>
          </w:p>
        </w:tc>
        <w:tc>
          <w:tcPr>
            <w:tcW w:w="2467" w:type="dxa"/>
            <w:vAlign w:val="top"/>
            <w:vMerge w:val="continue"/>
            <w:tcBorders>
              <w:top w:val="nil"/>
            </w:tcBorders>
          </w:tcPr>
          <w:p>
            <w:pPr>
              <w:rPr>
                <w:rFonts w:ascii="Arial"/>
                <w:sz w:val="21"/>
              </w:rPr>
            </w:pPr>
            <w:r/>
          </w:p>
        </w:tc>
        <w:tc>
          <w:tcPr>
            <w:tcW w:w="1368" w:type="dxa"/>
            <w:vAlign w:val="top"/>
          </w:tcPr>
          <w:p>
            <w:pPr>
              <w:spacing w:line="313" w:lineRule="auto"/>
              <w:rPr>
                <w:rFonts w:ascii="Arial"/>
                <w:sz w:val="21"/>
              </w:rPr>
            </w:pPr>
            <w:r/>
          </w:p>
          <w:p>
            <w:pPr>
              <w:pStyle w:val="TableText"/>
              <w:ind w:left="255"/>
              <w:spacing w:before="49" w:line="221" w:lineRule="auto"/>
              <w:rPr/>
            </w:pPr>
            <w:r>
              <w:rPr>
                <w:spacing w:val="-1"/>
              </w:rPr>
              <w:t>M9:计划变更</w:t>
            </w:r>
          </w:p>
        </w:tc>
        <w:tc>
          <w:tcPr>
            <w:tcW w:w="2382" w:type="dxa"/>
            <w:vAlign w:val="top"/>
          </w:tcPr>
          <w:p>
            <w:pPr>
              <w:pStyle w:val="TableText"/>
              <w:ind w:left="107" w:right="138" w:firstLine="160"/>
              <w:spacing w:before="102" w:line="300" w:lineRule="auto"/>
              <w:jc w:val="both"/>
              <w:rPr/>
            </w:pPr>
            <w:r>
              <w:rPr>
                <w:spacing w:val="-1"/>
              </w:rPr>
              <w:t>定期和数据提供者评审对数据</w:t>
            </w:r>
            <w:r>
              <w:rPr>
                <w:spacing w:val="2"/>
              </w:rPr>
              <w:t xml:space="preserve"> </w:t>
            </w:r>
            <w:r>
              <w:rPr>
                <w:spacing w:val="1"/>
              </w:rPr>
              <w:t>内容、过程、格式和质量等的计</w:t>
            </w:r>
            <w:r>
              <w:rPr>
                <w:spacing w:val="11"/>
              </w:rPr>
              <w:t xml:space="preserve"> </w:t>
            </w:r>
            <w:r>
              <w:rPr>
                <w:spacing w:val="-2"/>
              </w:rPr>
              <w:t>划变更</w:t>
            </w:r>
          </w:p>
        </w:tc>
      </w:tr>
      <w:tr>
        <w:trPr>
          <w:trHeight w:val="1149" w:hRule="atLeast"/>
        </w:trPr>
        <w:tc>
          <w:tcPr>
            <w:tcW w:w="1433" w:type="dxa"/>
            <w:vAlign w:val="top"/>
            <w:vMerge w:val="restart"/>
            <w:tcBorders>
              <w:bottom w:val="nil"/>
            </w:tcBorders>
          </w:tcPr>
          <w:p>
            <w:pPr>
              <w:spacing w:line="325" w:lineRule="auto"/>
              <w:rPr>
                <w:rFonts w:ascii="Arial"/>
                <w:sz w:val="21"/>
              </w:rPr>
            </w:pPr>
            <w:r/>
          </w:p>
          <w:p>
            <w:pPr>
              <w:spacing w:line="325" w:lineRule="auto"/>
              <w:rPr>
                <w:rFonts w:ascii="Arial"/>
                <w:sz w:val="21"/>
              </w:rPr>
            </w:pPr>
            <w:r/>
          </w:p>
          <w:p>
            <w:pPr>
              <w:pStyle w:val="TableText"/>
              <w:ind w:left="105" w:right="110" w:firstLine="109"/>
              <w:spacing w:before="49" w:line="322" w:lineRule="auto"/>
              <w:rPr/>
            </w:pPr>
            <w:r>
              <w:rPr>
                <w:spacing w:val="-1"/>
              </w:rPr>
              <w:t>G4:标准服务水  </w:t>
            </w:r>
            <w:r>
              <w:rPr>
                <w:spacing w:val="-1"/>
              </w:rPr>
              <w:t>平协议论述了所有</w:t>
            </w:r>
            <w:r>
              <w:rPr>
                <w:spacing w:val="1"/>
              </w:rPr>
              <w:t xml:space="preserve"> </w:t>
            </w:r>
            <w:r>
              <w:rPr/>
              <w:t>的业务需求，并使</w:t>
            </w:r>
            <w:r>
              <w:rPr>
                <w:spacing w:val="6"/>
              </w:rPr>
              <w:t xml:space="preserve"> </w:t>
            </w:r>
            <w:r>
              <w:rPr>
                <w:spacing w:val="-1"/>
              </w:rPr>
              <w:t>用这些协议来管理</w:t>
            </w:r>
            <w:r>
              <w:rPr/>
              <w:t xml:space="preserve"> </w:t>
            </w:r>
            <w:r>
              <w:rPr>
                <w:spacing w:val="-2"/>
              </w:rPr>
              <w:t>数据提供者</w:t>
            </w:r>
          </w:p>
        </w:tc>
        <w:tc>
          <w:tcPr>
            <w:tcW w:w="2467" w:type="dxa"/>
            <w:vAlign w:val="top"/>
          </w:tcPr>
          <w:p>
            <w:pPr>
              <w:spacing w:line="451" w:lineRule="auto"/>
              <w:rPr>
                <w:rFonts w:ascii="Arial"/>
                <w:sz w:val="21"/>
              </w:rPr>
            </w:pPr>
            <w:r/>
          </w:p>
          <w:p>
            <w:pPr>
              <w:pStyle w:val="TableText"/>
              <w:ind w:left="262"/>
              <w:spacing w:before="49" w:line="219" w:lineRule="auto"/>
              <w:rPr/>
            </w:pPr>
            <w:r>
              <w:rPr>
                <w:spacing w:val="-1"/>
              </w:rPr>
              <w:t>Q7:提供者是否符合适用标准</w:t>
            </w:r>
          </w:p>
        </w:tc>
        <w:tc>
          <w:tcPr>
            <w:tcW w:w="1368" w:type="dxa"/>
            <w:vAlign w:val="top"/>
          </w:tcPr>
          <w:p>
            <w:pPr>
              <w:spacing w:line="334" w:lineRule="auto"/>
              <w:rPr>
                <w:rFonts w:ascii="Arial"/>
                <w:sz w:val="21"/>
              </w:rPr>
            </w:pPr>
            <w:r/>
          </w:p>
          <w:p>
            <w:pPr>
              <w:pStyle w:val="TableText"/>
              <w:ind w:left="105" w:right="184" w:firstLine="170"/>
              <w:spacing w:before="48" w:line="276" w:lineRule="auto"/>
              <w:rPr/>
            </w:pPr>
            <w:r>
              <w:rPr>
                <w:spacing w:val="-1"/>
              </w:rPr>
              <w:t>M10:关键性能</w:t>
            </w:r>
            <w:r>
              <w:rPr>
                <w:spacing w:val="5"/>
              </w:rPr>
              <w:t xml:space="preserve"> </w:t>
            </w:r>
            <w:r>
              <w:rPr>
                <w:spacing w:val="-2"/>
              </w:rPr>
              <w:t>度量项</w:t>
            </w:r>
          </w:p>
        </w:tc>
        <w:tc>
          <w:tcPr>
            <w:tcW w:w="2382" w:type="dxa"/>
            <w:vAlign w:val="top"/>
          </w:tcPr>
          <w:p>
            <w:pPr>
              <w:pStyle w:val="TableText"/>
              <w:ind w:left="117" w:right="150" w:firstLine="160"/>
              <w:spacing w:before="95" w:line="316" w:lineRule="auto"/>
              <w:jc w:val="both"/>
              <w:rPr/>
            </w:pPr>
            <w:r>
              <w:rPr>
                <w:spacing w:val="-1"/>
              </w:rPr>
              <w:t>使用统计和其他量化技巧对与</w:t>
            </w:r>
            <w:r>
              <w:rPr>
                <w:spacing w:val="5"/>
              </w:rPr>
              <w:t xml:space="preserve"> </w:t>
            </w:r>
            <w:r>
              <w:rPr>
                <w:spacing w:val="-1"/>
              </w:rPr>
              <w:t>服务水平协议相关的关键性能度</w:t>
            </w:r>
            <w:r>
              <w:rPr>
                <w:spacing w:val="7"/>
              </w:rPr>
              <w:t xml:space="preserve"> </w:t>
            </w:r>
            <w:r>
              <w:rPr/>
              <w:t>量项进行分析和评审，并使用这</w:t>
            </w:r>
            <w:r>
              <w:rPr>
                <w:spacing w:val="3"/>
              </w:rPr>
              <w:t xml:space="preserve"> </w:t>
            </w:r>
            <w:r>
              <w:rPr>
                <w:spacing w:val="-1"/>
              </w:rPr>
              <w:t>些度量项来识别和解决问题</w:t>
            </w:r>
          </w:p>
        </w:tc>
      </w:tr>
      <w:tr>
        <w:trPr>
          <w:trHeight w:val="899" w:hRule="atLeast"/>
        </w:trPr>
        <w:tc>
          <w:tcPr>
            <w:tcW w:w="1433" w:type="dxa"/>
            <w:vAlign w:val="top"/>
            <w:vMerge w:val="continue"/>
            <w:tcBorders>
              <w:top w:val="nil"/>
              <w:bottom w:val="nil"/>
            </w:tcBorders>
          </w:tcPr>
          <w:p>
            <w:pPr>
              <w:rPr>
                <w:rFonts w:ascii="Arial"/>
                <w:sz w:val="21"/>
              </w:rPr>
            </w:pPr>
            <w:r/>
          </w:p>
        </w:tc>
        <w:tc>
          <w:tcPr>
            <w:tcW w:w="2467" w:type="dxa"/>
            <w:vAlign w:val="top"/>
            <w:vMerge w:val="restart"/>
            <w:tcBorders>
              <w:bottom w:val="nil"/>
            </w:tcBorders>
          </w:tcPr>
          <w:p>
            <w:pPr>
              <w:spacing w:line="373" w:lineRule="auto"/>
              <w:rPr>
                <w:rFonts w:ascii="Arial"/>
                <w:sz w:val="21"/>
              </w:rPr>
            </w:pPr>
            <w:r/>
          </w:p>
          <w:p>
            <w:pPr>
              <w:pStyle w:val="TableText"/>
              <w:ind w:left="112" w:right="91" w:firstLine="139"/>
              <w:spacing w:before="49" w:line="304" w:lineRule="auto"/>
              <w:rPr/>
            </w:pPr>
            <w:r>
              <w:rPr>
                <w:spacing w:val="-1"/>
              </w:rPr>
              <w:t>Q8:是否存在一个可重复的过程</w:t>
            </w:r>
            <w:r>
              <w:rPr>
                <w:spacing w:val="4"/>
              </w:rPr>
              <w:t xml:space="preserve">  </w:t>
            </w:r>
            <w:r>
              <w:rPr/>
              <w:t>来管理问题，且这个过程包含了可</w:t>
            </w:r>
            <w:r>
              <w:rPr>
                <w:spacing w:val="2"/>
              </w:rPr>
              <w:t xml:space="preserve"> </w:t>
            </w:r>
            <w:r>
              <w:rPr>
                <w:spacing w:val="-2"/>
              </w:rPr>
              <w:t>靠的连接点</w:t>
            </w:r>
          </w:p>
        </w:tc>
        <w:tc>
          <w:tcPr>
            <w:tcW w:w="1368" w:type="dxa"/>
            <w:vAlign w:val="top"/>
          </w:tcPr>
          <w:p>
            <w:pPr>
              <w:spacing w:line="334" w:lineRule="auto"/>
              <w:rPr>
                <w:rFonts w:ascii="Arial"/>
                <w:sz w:val="21"/>
              </w:rPr>
            </w:pPr>
            <w:r/>
          </w:p>
          <w:p>
            <w:pPr>
              <w:pStyle w:val="TableText"/>
              <w:ind w:left="265"/>
              <w:spacing w:before="49" w:line="219" w:lineRule="auto"/>
              <w:rPr/>
            </w:pPr>
            <w:r>
              <w:rPr>
                <w:spacing w:val="-1"/>
              </w:rPr>
              <w:t>M11:过程改进</w:t>
            </w:r>
          </w:p>
        </w:tc>
        <w:tc>
          <w:tcPr>
            <w:tcW w:w="2382" w:type="dxa"/>
            <w:vAlign w:val="top"/>
          </w:tcPr>
          <w:p>
            <w:pPr>
              <w:pStyle w:val="TableText"/>
              <w:ind w:left="117" w:right="160" w:firstLine="149"/>
              <w:spacing w:before="114" w:line="307" w:lineRule="auto"/>
              <w:jc w:val="both"/>
              <w:rPr/>
            </w:pPr>
            <w:r>
              <w:rPr>
                <w:spacing w:val="-1"/>
              </w:rPr>
              <w:t>使用数据提供者过程的统计和</w:t>
            </w:r>
            <w:r>
              <w:rPr>
                <w:spacing w:val="5"/>
              </w:rPr>
              <w:t xml:space="preserve"> </w:t>
            </w:r>
            <w:r>
              <w:rPr>
                <w:spacing w:val="-1"/>
              </w:rPr>
              <w:t>量化分析来改进过程并保证业务</w:t>
            </w:r>
            <w:r>
              <w:rPr>
                <w:spacing w:val="7"/>
              </w:rPr>
              <w:t xml:space="preserve"> </w:t>
            </w:r>
            <w:r>
              <w:rPr>
                <w:spacing w:val="2"/>
              </w:rPr>
              <w:t>目标得到充分的支持</w:t>
            </w:r>
          </w:p>
        </w:tc>
      </w:tr>
      <w:tr>
        <w:trPr>
          <w:trHeight w:val="585" w:hRule="atLeast"/>
        </w:trPr>
        <w:tc>
          <w:tcPr>
            <w:tcW w:w="1433" w:type="dxa"/>
            <w:vAlign w:val="top"/>
            <w:vMerge w:val="continue"/>
            <w:tcBorders>
              <w:top w:val="nil"/>
            </w:tcBorders>
          </w:tcPr>
          <w:p>
            <w:pPr>
              <w:rPr>
                <w:rFonts w:ascii="Arial"/>
                <w:sz w:val="21"/>
              </w:rPr>
            </w:pPr>
            <w:r/>
          </w:p>
        </w:tc>
        <w:tc>
          <w:tcPr>
            <w:tcW w:w="2467" w:type="dxa"/>
            <w:vAlign w:val="top"/>
            <w:vMerge w:val="continue"/>
            <w:tcBorders>
              <w:top w:val="nil"/>
            </w:tcBorders>
          </w:tcPr>
          <w:p>
            <w:pPr>
              <w:rPr>
                <w:rFonts w:ascii="Arial"/>
                <w:sz w:val="21"/>
              </w:rPr>
            </w:pPr>
            <w:r/>
          </w:p>
        </w:tc>
        <w:tc>
          <w:tcPr>
            <w:tcW w:w="1368" w:type="dxa"/>
            <w:vAlign w:val="top"/>
          </w:tcPr>
          <w:p>
            <w:pPr>
              <w:pStyle w:val="TableText"/>
              <w:ind w:left="255"/>
              <w:spacing w:before="230" w:line="224" w:lineRule="auto"/>
              <w:rPr/>
            </w:pPr>
            <w:r>
              <w:rPr>
                <w:spacing w:val="21"/>
                <w:w w:val="106"/>
              </w:rPr>
              <w:t>M12:经验</w:t>
            </w:r>
          </w:p>
        </w:tc>
        <w:tc>
          <w:tcPr>
            <w:tcW w:w="2382" w:type="dxa"/>
            <w:vAlign w:val="top"/>
          </w:tcPr>
          <w:p>
            <w:pPr>
              <w:pStyle w:val="TableText"/>
              <w:ind w:left="117" w:right="153" w:firstLine="160"/>
              <w:spacing w:before="106" w:line="281" w:lineRule="auto"/>
              <w:rPr/>
            </w:pPr>
            <w:r>
              <w:rPr>
                <w:spacing w:val="-1"/>
              </w:rPr>
              <w:t>与同行共享学习到的搜寻经验</w:t>
            </w:r>
            <w:r>
              <w:rPr>
                <w:spacing w:val="3"/>
              </w:rPr>
              <w:t xml:space="preserve"> </w:t>
            </w:r>
            <w:r>
              <w:rPr/>
              <w:t>以及改进后的最佳实践</w:t>
            </w:r>
          </w:p>
        </w:tc>
      </w:tr>
    </w:tbl>
    <w:p>
      <w:pPr>
        <w:pStyle w:val="BodyText"/>
        <w:rPr/>
      </w:pPr>
      <w:r/>
    </w:p>
    <w:p>
      <w:pPr>
        <w:sectPr>
          <w:footerReference w:type="default" r:id="rId302"/>
          <w:pgSz w:w="8870" w:h="13400"/>
          <w:pgMar w:top="400" w:right="524" w:bottom="575" w:left="474" w:header="0" w:footer="356" w:gutter="0"/>
        </w:sectPr>
        <w:rPr/>
      </w:pPr>
    </w:p>
    <w:p>
      <w:pPr>
        <w:ind w:left="89"/>
        <w:spacing w:before="17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04" name="IM 204"/>
            <wp:cNvGraphicFramePr/>
            <a:graphic>
              <a:graphicData uri="http://schemas.openxmlformats.org/drawingml/2006/picture">
                <pic:pic>
                  <pic:nvPicPr>
                    <pic:cNvPr id="204" name="IM 204"/>
                    <pic:cNvPicPr/>
                  </pic:nvPicPr>
                  <pic:blipFill>
                    <a:blip r:embed="rId304"/>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3"/>
        </w:rPr>
        <w:t xml:space="preserve"> </w:t>
      </w:r>
      <w:r>
        <w:rPr>
          <w:rFonts w:ascii="SimSun" w:hAnsi="SimSun" w:eastAsia="SimSun" w:cs="SimSun"/>
          <w:sz w:val="22"/>
          <w:szCs w:val="22"/>
          <w:b/>
          <w:bCs/>
          <w:spacing w:val="-14"/>
        </w:rPr>
        <w:t>■云端数据治理</w:t>
      </w:r>
    </w:p>
    <w:p>
      <w:pPr>
        <w:ind w:left="653"/>
        <w:spacing w:before="284" w:line="470" w:lineRule="exact"/>
        <w:rPr>
          <w:rFonts w:ascii="SimHei" w:hAnsi="SimHei" w:eastAsia="SimHei" w:cs="SimHei"/>
          <w:sz w:val="22"/>
          <w:szCs w:val="22"/>
        </w:rPr>
      </w:pPr>
      <w:r>
        <w:rPr>
          <w:rFonts w:ascii="SimHei" w:hAnsi="SimHei" w:eastAsia="SimHei" w:cs="SimHei"/>
          <w:sz w:val="22"/>
          <w:szCs w:val="22"/>
          <w:b/>
          <w:bCs/>
          <w:position w:val="19"/>
        </w:rPr>
        <w:t>3.</w:t>
      </w:r>
      <w:r>
        <w:rPr>
          <w:rFonts w:ascii="SimHei" w:hAnsi="SimHei" w:eastAsia="SimHei" w:cs="SimHei"/>
          <w:sz w:val="22"/>
          <w:szCs w:val="22"/>
          <w:position w:val="19"/>
        </w:rPr>
        <w:t xml:space="preserve"> </w:t>
      </w:r>
      <w:r>
        <w:rPr>
          <w:rFonts w:ascii="SimHei" w:hAnsi="SimHei" w:eastAsia="SimHei" w:cs="SimHei"/>
          <w:sz w:val="22"/>
          <w:szCs w:val="22"/>
          <w:b/>
          <w:bCs/>
          <w:position w:val="19"/>
        </w:rPr>
        <w:t>成熟度等级介绍</w:t>
      </w:r>
    </w:p>
    <w:p>
      <w:pPr>
        <w:ind w:left="649"/>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0"/>
          <w:w w:val="101"/>
        </w:rPr>
        <w:t xml:space="preserve"> </w:t>
      </w: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5"/>
        </w:rPr>
        <w:t>初始级</w:t>
      </w:r>
    </w:p>
    <w:p>
      <w:pPr>
        <w:spacing w:line="117" w:lineRule="exact"/>
        <w:rPr/>
      </w:pPr>
      <w:r/>
    </w:p>
    <w:tbl>
      <w:tblPr>
        <w:tblStyle w:val="TableNormal"/>
        <w:tblW w:w="7659" w:type="dxa"/>
        <w:tblInd w:w="2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75"/>
        <w:gridCol w:w="3760"/>
      </w:tblGrid>
      <w:tr>
        <w:trPr>
          <w:trHeight w:val="343" w:hRule="atLeast"/>
        </w:trPr>
        <w:tc>
          <w:tcPr>
            <w:tcW w:w="724" w:type="dxa"/>
            <w:vAlign w:val="top"/>
          </w:tcPr>
          <w:p>
            <w:pPr>
              <w:pStyle w:val="TableText"/>
              <w:ind w:left="194"/>
              <w:spacing w:before="92" w:line="221" w:lineRule="auto"/>
              <w:rPr>
                <w:sz w:val="16"/>
                <w:szCs w:val="16"/>
              </w:rPr>
            </w:pPr>
            <w:r>
              <w:rPr>
                <w:sz w:val="16"/>
                <w:szCs w:val="16"/>
                <w:spacing w:val="-2"/>
              </w:rPr>
              <w:t>序号</w:t>
            </w:r>
          </w:p>
        </w:tc>
        <w:tc>
          <w:tcPr>
            <w:tcW w:w="3175" w:type="dxa"/>
            <w:vAlign w:val="top"/>
          </w:tcPr>
          <w:p>
            <w:pPr>
              <w:pStyle w:val="TableText"/>
              <w:ind w:left="1180"/>
              <w:spacing w:before="91" w:line="219" w:lineRule="auto"/>
              <w:rPr>
                <w:sz w:val="16"/>
                <w:szCs w:val="16"/>
              </w:rPr>
            </w:pPr>
            <w:r>
              <w:rPr>
                <w:sz w:val="16"/>
                <w:szCs w:val="16"/>
                <w:spacing w:val="-4"/>
              </w:rPr>
              <w:t>等 级 要 求</w:t>
            </w:r>
          </w:p>
        </w:tc>
        <w:tc>
          <w:tcPr>
            <w:tcW w:w="3760" w:type="dxa"/>
            <w:vAlign w:val="top"/>
          </w:tcPr>
          <w:p>
            <w:pPr>
              <w:pStyle w:val="TableText"/>
              <w:ind w:left="1575"/>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1726" w:hRule="atLeast"/>
        </w:trPr>
        <w:tc>
          <w:tcPr>
            <w:tcW w:w="724" w:type="dxa"/>
            <w:vAlign w:val="top"/>
          </w:tcPr>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pStyle w:val="TableText"/>
              <w:ind w:left="234"/>
              <w:spacing w:before="52" w:line="184" w:lineRule="auto"/>
              <w:rPr>
                <w:sz w:val="16"/>
                <w:szCs w:val="16"/>
              </w:rPr>
            </w:pPr>
            <w:r>
              <w:rPr>
                <w:sz w:val="16"/>
                <w:szCs w:val="16"/>
                <w:spacing w:val="-5"/>
              </w:rPr>
              <w:t>1.1</w:t>
            </w:r>
          </w:p>
        </w:tc>
        <w:tc>
          <w:tcPr>
            <w:tcW w:w="3175" w:type="dxa"/>
            <w:vAlign w:val="top"/>
          </w:tcPr>
          <w:p>
            <w:pPr>
              <w:spacing w:line="310" w:lineRule="auto"/>
              <w:rPr>
                <w:rFonts w:ascii="Arial"/>
                <w:sz w:val="21"/>
              </w:rPr>
            </w:pPr>
            <w:r/>
          </w:p>
          <w:p>
            <w:pPr>
              <w:spacing w:line="311" w:lineRule="auto"/>
              <w:rPr>
                <w:rFonts w:ascii="Arial"/>
                <w:sz w:val="21"/>
              </w:rPr>
            </w:pPr>
            <w:r/>
          </w:p>
          <w:p>
            <w:pPr>
              <w:pStyle w:val="TableText"/>
              <w:ind w:left="110" w:right="19" w:firstLine="159"/>
              <w:spacing w:before="52" w:line="271" w:lineRule="auto"/>
              <w:rPr>
                <w:sz w:val="16"/>
                <w:szCs w:val="16"/>
              </w:rPr>
            </w:pPr>
            <w:r>
              <w:rPr>
                <w:sz w:val="16"/>
                <w:szCs w:val="16"/>
                <w:spacing w:val="-1"/>
              </w:rPr>
              <w:t>将数据利益相关者评审并同意的数据需求</w:t>
            </w:r>
            <w:r>
              <w:rPr>
                <w:sz w:val="16"/>
                <w:szCs w:val="16"/>
                <w:spacing w:val="12"/>
              </w:rPr>
              <w:t xml:space="preserve"> </w:t>
            </w:r>
            <w:r>
              <w:rPr>
                <w:sz w:val="16"/>
                <w:szCs w:val="16"/>
                <w:spacing w:val="-1"/>
              </w:rPr>
              <w:t>转化为数据采购规范</w:t>
            </w:r>
          </w:p>
        </w:tc>
        <w:tc>
          <w:tcPr>
            <w:tcW w:w="3760" w:type="dxa"/>
            <w:vAlign w:val="top"/>
          </w:tcPr>
          <w:p>
            <w:pPr>
              <w:pStyle w:val="TableText"/>
              <w:ind w:left="255"/>
              <w:spacing w:before="108" w:line="219" w:lineRule="auto"/>
              <w:rPr>
                <w:sz w:val="16"/>
                <w:szCs w:val="16"/>
              </w:rPr>
            </w:pPr>
            <w:r>
              <w:rPr>
                <w:sz w:val="16"/>
                <w:szCs w:val="16"/>
              </w:rPr>
              <w:t>●业务词汇目录和它们的定义</w:t>
            </w:r>
          </w:p>
          <w:p>
            <w:pPr>
              <w:pStyle w:val="TableText"/>
              <w:ind w:left="255"/>
              <w:spacing w:before="89" w:line="219" w:lineRule="auto"/>
              <w:rPr>
                <w:sz w:val="16"/>
                <w:szCs w:val="16"/>
              </w:rPr>
            </w:pPr>
            <w:r>
              <w:rPr>
                <w:sz w:val="16"/>
                <w:szCs w:val="16"/>
              </w:rPr>
              <w:t>●需采购数据的系统的名称和功能</w:t>
            </w:r>
          </w:p>
          <w:p>
            <w:pPr>
              <w:pStyle w:val="TableText"/>
              <w:ind w:left="255"/>
              <w:spacing w:before="100" w:line="219" w:lineRule="auto"/>
              <w:rPr>
                <w:sz w:val="16"/>
                <w:szCs w:val="16"/>
              </w:rPr>
            </w:pPr>
            <w:r>
              <w:rPr>
                <w:sz w:val="16"/>
                <w:szCs w:val="16"/>
              </w:rPr>
              <w:t>●数据采集范围及方法</w:t>
            </w:r>
          </w:p>
          <w:p>
            <w:pPr>
              <w:pStyle w:val="TableText"/>
              <w:ind w:left="255"/>
              <w:spacing w:before="80" w:line="219" w:lineRule="auto"/>
              <w:rPr>
                <w:sz w:val="16"/>
                <w:szCs w:val="16"/>
              </w:rPr>
            </w:pPr>
            <w:r>
              <w:rPr>
                <w:sz w:val="16"/>
                <w:szCs w:val="16"/>
                <w:spacing w:val="2"/>
              </w:rPr>
              <w:t>●数据提供时间</w:t>
            </w:r>
          </w:p>
          <w:p>
            <w:pPr>
              <w:pStyle w:val="TableText"/>
              <w:ind w:left="255"/>
              <w:spacing w:before="111" w:line="219" w:lineRule="auto"/>
              <w:rPr>
                <w:sz w:val="16"/>
                <w:szCs w:val="16"/>
              </w:rPr>
            </w:pPr>
            <w:r>
              <w:rPr>
                <w:sz w:val="16"/>
                <w:szCs w:val="16"/>
                <w:spacing w:val="1"/>
              </w:rPr>
              <w:t>●双方责任</w:t>
            </w:r>
          </w:p>
          <w:p>
            <w:pPr>
              <w:pStyle w:val="TableText"/>
              <w:ind w:left="255"/>
              <w:spacing w:before="70" w:line="220" w:lineRule="auto"/>
              <w:rPr>
                <w:sz w:val="16"/>
                <w:szCs w:val="16"/>
              </w:rPr>
            </w:pPr>
            <w:r>
              <w:rPr>
                <w:sz w:val="16"/>
                <w:szCs w:val="16"/>
                <w:spacing w:val="1"/>
              </w:rPr>
              <w:t>●其他相关事项</w:t>
            </w:r>
          </w:p>
        </w:tc>
      </w:tr>
    </w:tbl>
    <w:p>
      <w:pPr>
        <w:ind w:left="53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0" w:firstLine="379"/>
        <w:spacing w:before="47" w:line="252" w:lineRule="auto"/>
        <w:rPr>
          <w:rFonts w:ascii="SimSun" w:hAnsi="SimSun" w:eastAsia="SimSun" w:cs="SimSun"/>
          <w:sz w:val="22"/>
          <w:szCs w:val="22"/>
        </w:rPr>
      </w:pPr>
      <w:r>
        <w:rPr>
          <w:rFonts w:ascii="SimSun" w:hAnsi="SimSun" w:eastAsia="SimSun" w:cs="SimSun"/>
          <w:sz w:val="22"/>
          <w:szCs w:val="22"/>
          <w:spacing w:val="-9"/>
        </w:rPr>
        <w:t>数据需求的描述应当与业务用语保持一致，并且在可获得的情况下使用经认可</w:t>
      </w:r>
      <w:r>
        <w:rPr>
          <w:rFonts w:ascii="SimSun" w:hAnsi="SimSun" w:eastAsia="SimSun" w:cs="SimSun"/>
          <w:sz w:val="22"/>
          <w:szCs w:val="22"/>
          <w:spacing w:val="7"/>
        </w:rPr>
        <w:t xml:space="preserve">  </w:t>
      </w:r>
      <w:r>
        <w:rPr>
          <w:rFonts w:ascii="SimSun" w:hAnsi="SimSun" w:eastAsia="SimSun" w:cs="SimSun"/>
          <w:sz w:val="22"/>
          <w:szCs w:val="22"/>
          <w:spacing w:val="-12"/>
        </w:rPr>
        <w:t>的业务词汇。经认可的业务需求通常在业务词汇表的最初定义时和更改时产生影响。</w:t>
      </w:r>
      <w:r>
        <w:rPr>
          <w:rFonts w:ascii="SimSun" w:hAnsi="SimSun" w:eastAsia="SimSun" w:cs="SimSun"/>
          <w:sz w:val="22"/>
          <w:szCs w:val="22"/>
          <w:spacing w:val="13"/>
        </w:rPr>
        <w:t xml:space="preserve"> </w:t>
      </w:r>
      <w:r>
        <w:rPr>
          <w:rFonts w:ascii="SimSun" w:hAnsi="SimSun" w:eastAsia="SimSun" w:cs="SimSun"/>
          <w:sz w:val="22"/>
          <w:szCs w:val="22"/>
          <w:spacing w:val="-12"/>
        </w:rPr>
        <w:t>每个项目的需求得到批准后，将其对应的业务词汇表进行更新是十分必要且重要的。</w:t>
      </w:r>
      <w:r>
        <w:rPr>
          <w:rFonts w:ascii="SimSun" w:hAnsi="SimSun" w:eastAsia="SimSun" w:cs="SimSun"/>
          <w:sz w:val="22"/>
          <w:szCs w:val="22"/>
          <w:spacing w:val="13"/>
        </w:rPr>
        <w:t xml:space="preserve"> </w:t>
      </w:r>
      <w:r>
        <w:rPr>
          <w:rFonts w:ascii="SimSun" w:hAnsi="SimSun" w:eastAsia="SimSun" w:cs="SimSun"/>
          <w:sz w:val="22"/>
          <w:szCs w:val="22"/>
          <w:spacing w:val="-9"/>
        </w:rPr>
        <w:t>组织的数据需求根据提交对象的不同，可分为内部数据需求说明书和外部关联数据</w:t>
      </w:r>
      <w:r>
        <w:rPr>
          <w:rFonts w:ascii="SimSun" w:hAnsi="SimSun" w:eastAsia="SimSun" w:cs="SimSun"/>
          <w:sz w:val="22"/>
          <w:szCs w:val="22"/>
          <w:spacing w:val="7"/>
        </w:rPr>
        <w:t xml:space="preserve">  </w:t>
      </w:r>
      <w:r>
        <w:rPr>
          <w:rFonts w:ascii="SimSun" w:hAnsi="SimSun" w:eastAsia="SimSun" w:cs="SimSun"/>
          <w:sz w:val="22"/>
          <w:szCs w:val="22"/>
          <w:spacing w:val="-12"/>
        </w:rPr>
        <w:t>需求说明书，分别提交相关方。</w:t>
      </w:r>
    </w:p>
    <w:p>
      <w:pPr>
        <w:spacing w:line="136" w:lineRule="exact"/>
        <w:rPr/>
      </w:pPr>
      <w:r/>
    </w:p>
    <w:tbl>
      <w:tblPr>
        <w:tblStyle w:val="TableNormal"/>
        <w:tblW w:w="765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75"/>
        <w:gridCol w:w="3750"/>
      </w:tblGrid>
      <w:tr>
        <w:trPr>
          <w:trHeight w:val="353" w:hRule="atLeast"/>
        </w:trPr>
        <w:tc>
          <w:tcPr>
            <w:tcW w:w="734" w:type="dxa"/>
            <w:vAlign w:val="top"/>
          </w:tcPr>
          <w:p>
            <w:pPr>
              <w:pStyle w:val="TableText"/>
              <w:ind w:left="204"/>
              <w:spacing w:before="101" w:line="221" w:lineRule="auto"/>
              <w:rPr/>
            </w:pPr>
            <w:r>
              <w:rPr>
                <w:spacing w:val="-2"/>
              </w:rPr>
              <w:t>序号</w:t>
            </w:r>
          </w:p>
        </w:tc>
        <w:tc>
          <w:tcPr>
            <w:tcW w:w="3175" w:type="dxa"/>
            <w:vAlign w:val="top"/>
          </w:tcPr>
          <w:p>
            <w:pPr>
              <w:pStyle w:val="TableText"/>
              <w:ind w:left="118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3396" w:hRule="atLeast"/>
        </w:trPr>
        <w:tc>
          <w:tcPr>
            <w:tcW w:w="734" w:type="dxa"/>
            <w:vAlign w:val="top"/>
          </w:tcPr>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TableText"/>
              <w:ind w:left="244"/>
              <w:spacing w:before="49" w:line="184" w:lineRule="auto"/>
              <w:rPr/>
            </w:pPr>
            <w:r>
              <w:rPr>
                <w:spacing w:val="-4"/>
              </w:rPr>
              <w:t>1.2</w:t>
            </w:r>
          </w:p>
        </w:tc>
        <w:tc>
          <w:tcPr>
            <w:tcW w:w="3175" w:type="dxa"/>
            <w:vAlign w:val="top"/>
          </w:tcPr>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TableText"/>
              <w:ind w:left="111" w:right="199" w:firstLine="159"/>
              <w:spacing w:before="49" w:line="288" w:lineRule="auto"/>
              <w:rPr/>
            </w:pPr>
            <w:r>
              <w:rPr>
                <w:spacing w:val="-1"/>
              </w:rPr>
              <w:t>执行分析和测试来确认采购的数据满足已</w:t>
            </w:r>
            <w:r>
              <w:rPr>
                <w:spacing w:val="11"/>
              </w:rPr>
              <w:t xml:space="preserve"> </w:t>
            </w:r>
            <w:r>
              <w:rPr>
                <w:spacing w:val="1"/>
              </w:rPr>
              <w:t>陈述的需求</w:t>
            </w:r>
          </w:p>
        </w:tc>
        <w:tc>
          <w:tcPr>
            <w:tcW w:w="3750" w:type="dxa"/>
            <w:vAlign w:val="top"/>
          </w:tcPr>
          <w:p>
            <w:pPr>
              <w:pStyle w:val="TableText"/>
              <w:ind w:left="265"/>
              <w:spacing w:before="98" w:line="219" w:lineRule="auto"/>
              <w:rPr/>
            </w:pPr>
            <w:r>
              <w:rPr>
                <w:spacing w:val="1"/>
              </w:rPr>
              <w:t>●数据需求文档</w:t>
            </w:r>
          </w:p>
          <w:p>
            <w:pPr>
              <w:pStyle w:val="TableText"/>
              <w:ind w:left="255"/>
              <w:spacing w:before="100" w:line="219" w:lineRule="auto"/>
              <w:rPr/>
            </w:pPr>
            <w:r>
              <w:rPr/>
              <w:t>●审查委员会的会议记录</w:t>
            </w:r>
          </w:p>
          <w:p>
            <w:pPr>
              <w:pStyle w:val="TableText"/>
              <w:ind w:left="265"/>
              <w:spacing w:before="93" w:line="219" w:lineRule="auto"/>
              <w:rPr/>
            </w:pPr>
            <w:r>
              <w:rPr/>
              <w:t>●相关者需求审评决策的记录</w:t>
            </w:r>
          </w:p>
          <w:p>
            <w:pPr>
              <w:pStyle w:val="TableText"/>
              <w:ind w:left="255"/>
              <w:spacing w:before="101" w:line="219" w:lineRule="auto"/>
              <w:rPr/>
            </w:pPr>
            <w:r>
              <w:rPr>
                <w:spacing w:val="1"/>
              </w:rPr>
              <w:t>●数据采购需求</w:t>
            </w:r>
          </w:p>
          <w:p>
            <w:pPr>
              <w:pStyle w:val="TableText"/>
              <w:ind w:left="276"/>
              <w:spacing w:before="103" w:line="219" w:lineRule="auto"/>
              <w:rPr/>
            </w:pPr>
            <w:r>
              <w:rPr>
                <w:spacing w:val="1"/>
              </w:rPr>
              <w:t>●数据源选择准则</w:t>
            </w:r>
          </w:p>
          <w:p>
            <w:pPr>
              <w:pStyle w:val="TableText"/>
              <w:ind w:left="255"/>
              <w:spacing w:before="111" w:line="219" w:lineRule="auto"/>
              <w:rPr/>
            </w:pPr>
            <w:r>
              <w:rPr>
                <w:spacing w:val="3"/>
              </w:rPr>
              <w:t>●外部提供者的合同覆盖清单(包含格式、用法、</w:t>
            </w:r>
          </w:p>
          <w:p>
            <w:pPr>
              <w:pStyle w:val="TableText"/>
              <w:ind w:left="95"/>
              <w:spacing w:before="112" w:line="219" w:lineRule="auto"/>
              <w:rPr/>
            </w:pPr>
            <w:r>
              <w:rPr>
                <w:spacing w:val="-1"/>
              </w:rPr>
              <w:t>成本、时机、交付方法等)-</w:t>
            </w:r>
          </w:p>
          <w:p>
            <w:pPr>
              <w:pStyle w:val="TableText"/>
              <w:ind w:left="265"/>
              <w:spacing w:before="101" w:line="219" w:lineRule="auto"/>
              <w:rPr/>
            </w:pPr>
            <w:r>
              <w:rPr>
                <w:spacing w:val="2"/>
              </w:rPr>
              <w:t>●数据提供者的质量检查(清单)</w:t>
            </w:r>
          </w:p>
          <w:p>
            <w:pPr>
              <w:pStyle w:val="TableText"/>
              <w:ind w:left="255"/>
              <w:spacing w:before="102" w:line="218" w:lineRule="auto"/>
              <w:rPr/>
            </w:pPr>
            <w:r>
              <w:rPr>
                <w:spacing w:val="1"/>
              </w:rPr>
              <w:t>●数据反馈评估报告</w:t>
            </w:r>
          </w:p>
          <w:p>
            <w:pPr>
              <w:pStyle w:val="TableText"/>
              <w:ind w:left="265"/>
              <w:spacing w:before="113" w:line="219" w:lineRule="auto"/>
              <w:rPr/>
            </w:pPr>
            <w:r>
              <w:rPr/>
              <w:t>●与内外部数据提供者达成的协议</w:t>
            </w:r>
          </w:p>
          <w:p>
            <w:pPr>
              <w:pStyle w:val="TableText"/>
              <w:ind w:left="265"/>
              <w:spacing w:before="92" w:line="219" w:lineRule="auto"/>
              <w:rPr/>
            </w:pPr>
            <w:r>
              <w:rPr/>
              <w:t>●经审批的供应商发票</w:t>
            </w:r>
          </w:p>
          <w:p>
            <w:pPr>
              <w:pStyle w:val="TableText"/>
              <w:ind w:left="265"/>
              <w:spacing w:before="92" w:line="219" w:lineRule="auto"/>
              <w:rPr/>
            </w:pPr>
            <w:r>
              <w:rPr/>
              <w:t>●与数据提供者的交流沟通</w:t>
            </w:r>
          </w:p>
        </w:tc>
      </w:tr>
    </w:tbl>
    <w:p>
      <w:pPr>
        <w:ind w:left="53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0" w:right="99" w:firstLine="379"/>
        <w:spacing w:before="35" w:line="257" w:lineRule="auto"/>
        <w:rPr>
          <w:rFonts w:ascii="SimSun" w:hAnsi="SimSun" w:eastAsia="SimSun" w:cs="SimSun"/>
          <w:sz w:val="22"/>
          <w:szCs w:val="22"/>
        </w:rPr>
      </w:pPr>
      <w:r>
        <w:rPr>
          <w:rFonts w:ascii="SimSun" w:hAnsi="SimSun" w:eastAsia="SimSun" w:cs="SimSun"/>
          <w:sz w:val="22"/>
          <w:szCs w:val="22"/>
          <w:spacing w:val="-8"/>
        </w:rPr>
        <w:t>组织使用系统方法收集、记录、评估数据需求并</w:t>
      </w:r>
      <w:r>
        <w:rPr>
          <w:rFonts w:ascii="SimSun" w:hAnsi="SimSun" w:eastAsia="SimSun" w:cs="SimSun"/>
          <w:sz w:val="22"/>
          <w:szCs w:val="22"/>
          <w:spacing w:val="-9"/>
        </w:rPr>
        <w:t>且根据优先次序对其排列并确</w:t>
      </w:r>
      <w:r>
        <w:rPr>
          <w:rFonts w:ascii="SimSun" w:hAnsi="SimSun" w:eastAsia="SimSun" w:cs="SimSun"/>
          <w:sz w:val="22"/>
          <w:szCs w:val="22"/>
        </w:rPr>
        <w:t xml:space="preserve"> </w:t>
      </w:r>
      <w:r>
        <w:rPr>
          <w:rFonts w:ascii="SimSun" w:hAnsi="SimSun" w:eastAsia="SimSun" w:cs="SimSun"/>
          <w:sz w:val="22"/>
          <w:szCs w:val="22"/>
          <w:spacing w:val="-9"/>
        </w:rPr>
        <w:t>认数据，使需求与业务目标、分析需求相符。组织定义了数据的相关需求，如采购</w:t>
      </w:r>
      <w:r>
        <w:rPr>
          <w:rFonts w:ascii="SimSun" w:hAnsi="SimSun" w:eastAsia="SimSun" w:cs="SimSun"/>
          <w:sz w:val="22"/>
          <w:szCs w:val="22"/>
          <w:spacing w:val="13"/>
        </w:rPr>
        <w:t xml:space="preserve"> </w:t>
      </w:r>
      <w:r>
        <w:rPr>
          <w:rFonts w:ascii="SimSun" w:hAnsi="SimSun" w:eastAsia="SimSun" w:cs="SimSun"/>
          <w:sz w:val="22"/>
          <w:szCs w:val="22"/>
          <w:spacing w:val="-6"/>
        </w:rPr>
        <w:t>需求、数据源选择准则等，对采购的数据需要通过一系列验证手段(如第三方评估</w:t>
      </w:r>
      <w:r>
        <w:rPr>
          <w:rFonts w:ascii="SimSun" w:hAnsi="SimSun" w:eastAsia="SimSun" w:cs="SimSun"/>
          <w:sz w:val="22"/>
          <w:szCs w:val="22"/>
          <w:spacing w:val="15"/>
        </w:rPr>
        <w:t xml:space="preserve"> </w:t>
      </w:r>
      <w:r>
        <w:rPr>
          <w:rFonts w:ascii="SimSun" w:hAnsi="SimSun" w:eastAsia="SimSun" w:cs="SimSun"/>
          <w:sz w:val="22"/>
          <w:szCs w:val="22"/>
          <w:spacing w:val="-4"/>
        </w:rPr>
        <w:t>等)来确认其满足需求。</w:t>
      </w:r>
    </w:p>
    <w:p>
      <w:pPr>
        <w:spacing w:line="257" w:lineRule="auto"/>
        <w:sectPr>
          <w:footerReference w:type="default" r:id="rId303"/>
          <w:pgSz w:w="8870" w:h="13400"/>
          <w:pgMar w:top="400" w:right="419" w:bottom="515" w:left="470" w:header="0" w:footer="296" w:gutter="0"/>
        </w:sectPr>
        <w:rPr>
          <w:rFonts w:ascii="SimSun" w:hAnsi="SimSun" w:eastAsia="SimSun" w:cs="SimSun"/>
          <w:sz w:val="22"/>
          <w:szCs w:val="22"/>
        </w:rPr>
      </w:pPr>
    </w:p>
    <w:p>
      <w:pPr>
        <w:ind w:left="5508"/>
        <w:spacing w:before="184" w:line="219" w:lineRule="auto"/>
        <w:rPr>
          <w:rFonts w:ascii="SimSun" w:hAnsi="SimSun" w:eastAsia="SimSun" w:cs="SimSun"/>
          <w:sz w:val="21"/>
          <w:szCs w:val="21"/>
        </w:rPr>
      </w:pPr>
      <w:r>
        <w:rPr>
          <w:rFonts w:ascii="SimSun" w:hAnsi="SimSun" w:eastAsia="SimSun" w:cs="SimSun"/>
          <w:sz w:val="21"/>
          <w:szCs w:val="21"/>
          <w:b/>
          <w:bCs/>
          <w:spacing w:val="16"/>
        </w:rPr>
        <w:t>第7章■云端数据操作</w:t>
      </w:r>
    </w:p>
    <w:p>
      <w:pPr>
        <w:pStyle w:val="BodyText"/>
        <w:spacing w:line="250" w:lineRule="auto"/>
        <w:rPr/>
      </w:pPr>
      <w:r/>
    </w:p>
    <w:p>
      <w:pPr>
        <w:ind w:left="435"/>
        <w:spacing w:before="68"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24"/>
        </w:rPr>
        <w:t xml:space="preserve">  </w:t>
      </w:r>
      <w:r>
        <w:rPr>
          <w:rFonts w:ascii="Times New Roman" w:hAnsi="Times New Roman" w:eastAsia="Times New Roman" w:cs="Times New Roman"/>
          <w:sz w:val="21"/>
          <w:szCs w:val="21"/>
          <w:b/>
          <w:bCs/>
          <w:spacing w:val="-2"/>
        </w:rPr>
        <w:t>2: </w:t>
      </w:r>
      <w:r>
        <w:rPr>
          <w:rFonts w:ascii="SimHei" w:hAnsi="SimHei" w:eastAsia="SimHei" w:cs="SimHei"/>
          <w:sz w:val="21"/>
          <w:szCs w:val="21"/>
          <w:b/>
          <w:bCs/>
          <w:spacing w:val="-2"/>
        </w:rPr>
        <w:t>管理级</w:t>
      </w:r>
    </w:p>
    <w:p>
      <w:pPr>
        <w:spacing w:line="119" w:lineRule="exact"/>
        <w:rPr/>
      </w:pPr>
      <w:r/>
    </w:p>
    <w:tbl>
      <w:tblPr>
        <w:tblStyle w:val="TableNormal"/>
        <w:tblW w:w="76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66"/>
        <w:gridCol w:w="3770"/>
      </w:tblGrid>
      <w:tr>
        <w:trPr>
          <w:trHeight w:val="352" w:hRule="atLeast"/>
        </w:trPr>
        <w:tc>
          <w:tcPr>
            <w:tcW w:w="724" w:type="dxa"/>
            <w:vAlign w:val="top"/>
          </w:tcPr>
          <w:p>
            <w:pPr>
              <w:pStyle w:val="TableText"/>
              <w:ind w:left="195"/>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88" w:hRule="atLeast"/>
        </w:trPr>
        <w:tc>
          <w:tcPr>
            <w:tcW w:w="724" w:type="dxa"/>
            <w:vAlign w:val="top"/>
          </w:tcPr>
          <w:p>
            <w:pPr>
              <w:spacing w:line="355" w:lineRule="auto"/>
              <w:rPr>
                <w:rFonts w:ascii="Arial"/>
                <w:sz w:val="21"/>
              </w:rPr>
            </w:pPr>
            <w:r/>
          </w:p>
          <w:p>
            <w:pPr>
              <w:pStyle w:val="TableText"/>
              <w:ind w:left="235"/>
              <w:spacing w:before="52" w:line="184" w:lineRule="auto"/>
              <w:rPr>
                <w:sz w:val="16"/>
                <w:szCs w:val="16"/>
              </w:rPr>
            </w:pPr>
            <w:r>
              <w:rPr>
                <w:sz w:val="16"/>
                <w:szCs w:val="16"/>
                <w:spacing w:val="-2"/>
              </w:rPr>
              <w:t>2.1</w:t>
            </w:r>
          </w:p>
        </w:tc>
        <w:tc>
          <w:tcPr>
            <w:tcW w:w="3166" w:type="dxa"/>
            <w:vAlign w:val="top"/>
          </w:tcPr>
          <w:p>
            <w:pPr>
              <w:pStyle w:val="TableText"/>
              <w:ind w:left="121" w:firstLine="149"/>
              <w:spacing w:before="228" w:line="271" w:lineRule="auto"/>
              <w:rPr>
                <w:sz w:val="16"/>
                <w:szCs w:val="16"/>
              </w:rPr>
            </w:pPr>
            <w:r>
              <w:rPr>
                <w:sz w:val="16"/>
                <w:szCs w:val="16"/>
                <w:spacing w:val="-9"/>
              </w:rPr>
              <w:t>定义并遵循数据需求过程，并将需求映射到</w:t>
            </w:r>
            <w:r>
              <w:rPr>
                <w:sz w:val="16"/>
                <w:szCs w:val="16"/>
                <w:spacing w:val="15"/>
              </w:rPr>
              <w:t xml:space="preserve"> </w:t>
            </w:r>
            <w:r>
              <w:rPr>
                <w:sz w:val="16"/>
                <w:szCs w:val="16"/>
              </w:rPr>
              <w:t>已提供的数据元素上</w:t>
            </w:r>
          </w:p>
        </w:tc>
        <w:tc>
          <w:tcPr>
            <w:tcW w:w="3770" w:type="dxa"/>
            <w:vAlign w:val="top"/>
          </w:tcPr>
          <w:p>
            <w:pPr>
              <w:pStyle w:val="TableText"/>
              <w:ind w:left="255"/>
              <w:spacing w:before="98" w:line="219" w:lineRule="auto"/>
              <w:rPr>
                <w:sz w:val="16"/>
                <w:szCs w:val="16"/>
              </w:rPr>
            </w:pPr>
            <w:r>
              <w:rPr>
                <w:sz w:val="16"/>
                <w:szCs w:val="16"/>
              </w:rPr>
              <w:t>●数据需求规格说明书文档</w:t>
            </w:r>
          </w:p>
          <w:p>
            <w:pPr>
              <w:pStyle w:val="TableText"/>
              <w:ind w:left="255" w:right="2697"/>
              <w:spacing w:before="91" w:line="277" w:lineRule="auto"/>
              <w:rPr>
                <w:sz w:val="16"/>
                <w:szCs w:val="16"/>
              </w:rPr>
            </w:pPr>
            <w:r>
              <w:rPr>
                <w:sz w:val="16"/>
                <w:szCs w:val="16"/>
                <w:spacing w:val="1"/>
              </w:rPr>
              <w:t>●数据字典 </w:t>
            </w:r>
            <w:r>
              <w:rPr>
                <w:sz w:val="16"/>
                <w:szCs w:val="16"/>
                <w:spacing w:val="2"/>
              </w:rPr>
              <w:t>●元数据</w:t>
            </w:r>
          </w:p>
        </w:tc>
      </w:tr>
    </w:tbl>
    <w:p>
      <w:pPr>
        <w:ind w:left="330"/>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4" w:right="212" w:firstLine="430"/>
        <w:spacing w:before="40" w:line="266" w:lineRule="auto"/>
        <w:rPr>
          <w:rFonts w:ascii="SimSun" w:hAnsi="SimSun" w:eastAsia="SimSun" w:cs="SimSun"/>
          <w:sz w:val="21"/>
          <w:szCs w:val="21"/>
        </w:rPr>
      </w:pPr>
      <w:r>
        <w:rPr>
          <w:rFonts w:ascii="SimSun" w:hAnsi="SimSun" w:eastAsia="SimSun" w:cs="SimSun"/>
          <w:sz w:val="21"/>
          <w:szCs w:val="21"/>
          <w:spacing w:val="3"/>
        </w:rPr>
        <w:t>组织需要根据自己业务以及相关需求定义一</w:t>
      </w:r>
      <w:r>
        <w:rPr>
          <w:rFonts w:ascii="SimSun" w:hAnsi="SimSun" w:eastAsia="SimSun" w:cs="SimSun"/>
          <w:sz w:val="21"/>
          <w:szCs w:val="21"/>
          <w:spacing w:val="2"/>
        </w:rPr>
        <w:t>个需求分析的标准过程，并将此过</w:t>
      </w:r>
      <w:r>
        <w:rPr>
          <w:rFonts w:ascii="SimSun" w:hAnsi="SimSun" w:eastAsia="SimSun" w:cs="SimSun"/>
          <w:sz w:val="21"/>
          <w:szCs w:val="21"/>
        </w:rPr>
        <w:t xml:space="preserve"> </w:t>
      </w:r>
      <w:r>
        <w:rPr>
          <w:rFonts w:ascii="SimSun" w:hAnsi="SimSun" w:eastAsia="SimSun" w:cs="SimSun"/>
          <w:sz w:val="21"/>
          <w:szCs w:val="21"/>
          <w:spacing w:val="3"/>
        </w:rPr>
        <w:t>程规范化、固定化。过程应包括识别对业务至关重要的数据</w:t>
      </w:r>
      <w:r>
        <w:rPr>
          <w:rFonts w:ascii="SimSun" w:hAnsi="SimSun" w:eastAsia="SimSun" w:cs="SimSun"/>
          <w:sz w:val="21"/>
          <w:szCs w:val="21"/>
          <w:spacing w:val="2"/>
        </w:rPr>
        <w:t>需求以及对其进行的优</w:t>
      </w:r>
      <w:r>
        <w:rPr>
          <w:rFonts w:ascii="SimSun" w:hAnsi="SimSun" w:eastAsia="SimSun" w:cs="SimSun"/>
          <w:sz w:val="21"/>
          <w:szCs w:val="21"/>
        </w:rPr>
        <w:t xml:space="preserve"> </w:t>
      </w:r>
      <w:r>
        <w:rPr>
          <w:rFonts w:ascii="SimSun" w:hAnsi="SimSun" w:eastAsia="SimSun" w:cs="SimSun"/>
          <w:sz w:val="21"/>
          <w:szCs w:val="21"/>
          <w:spacing w:val="2"/>
        </w:rPr>
        <w:t>先排序，有时还包括关键的数据元素，已提供的数据需要</w:t>
      </w:r>
      <w:r>
        <w:rPr>
          <w:rFonts w:ascii="SimSun" w:hAnsi="SimSun" w:eastAsia="SimSun" w:cs="SimSun"/>
          <w:sz w:val="21"/>
          <w:szCs w:val="21"/>
          <w:spacing w:val="1"/>
        </w:rPr>
        <w:t>与数据需求对应。必要时</w:t>
      </w:r>
      <w:r>
        <w:rPr>
          <w:rFonts w:ascii="SimSun" w:hAnsi="SimSun" w:eastAsia="SimSun" w:cs="SimSun"/>
          <w:sz w:val="21"/>
          <w:szCs w:val="21"/>
        </w:rPr>
        <w:t xml:space="preserve"> </w:t>
      </w:r>
      <w:r>
        <w:rPr>
          <w:rFonts w:ascii="SimSun" w:hAnsi="SimSun" w:eastAsia="SimSun" w:cs="SimSun"/>
          <w:sz w:val="21"/>
          <w:szCs w:val="21"/>
          <w:spacing w:val="3"/>
        </w:rPr>
        <w:t>还应包含需求和源特性间映射的数据文档(例如数据字典、元数</w:t>
      </w:r>
      <w:r>
        <w:rPr>
          <w:rFonts w:ascii="SimSun" w:hAnsi="SimSun" w:eastAsia="SimSun" w:cs="SimSun"/>
          <w:sz w:val="21"/>
          <w:szCs w:val="21"/>
          <w:spacing w:val="2"/>
        </w:rPr>
        <w:t>据库等)。</w:t>
      </w:r>
    </w:p>
    <w:p>
      <w:pPr>
        <w:spacing w:line="107" w:lineRule="exact"/>
        <w:rPr/>
      </w:pPr>
      <w:r/>
    </w:p>
    <w:tbl>
      <w:tblPr>
        <w:tblStyle w:val="TableNormal"/>
        <w:tblW w:w="766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80"/>
      </w:tblGrid>
      <w:tr>
        <w:trPr>
          <w:trHeight w:val="351" w:hRule="atLeast"/>
        </w:trPr>
        <w:tc>
          <w:tcPr>
            <w:tcW w:w="734" w:type="dxa"/>
            <w:vAlign w:val="top"/>
          </w:tcPr>
          <w:p>
            <w:pPr>
              <w:pStyle w:val="TableText"/>
              <w:ind w:left="195"/>
              <w:spacing w:before="102" w:line="221" w:lineRule="auto"/>
              <w:rPr>
                <w:sz w:val="16"/>
                <w:szCs w:val="16"/>
              </w:rPr>
            </w:pPr>
            <w:r>
              <w:rPr>
                <w:sz w:val="16"/>
                <w:szCs w:val="16"/>
                <w:spacing w:val="-2"/>
              </w:rPr>
              <w:t>序号</w:t>
            </w:r>
          </w:p>
        </w:tc>
        <w:tc>
          <w:tcPr>
            <w:tcW w:w="3155"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60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34" w:type="dxa"/>
            <w:vAlign w:val="top"/>
          </w:tcPr>
          <w:p>
            <w:pPr>
              <w:pStyle w:val="TableText"/>
              <w:ind w:left="235"/>
              <w:spacing w:before="271" w:line="183" w:lineRule="auto"/>
              <w:rPr>
                <w:sz w:val="16"/>
                <w:szCs w:val="16"/>
              </w:rPr>
            </w:pPr>
            <w:r>
              <w:rPr>
                <w:sz w:val="16"/>
                <w:szCs w:val="16"/>
                <w:spacing w:val="-2"/>
              </w:rPr>
              <w:t>2.2</w:t>
            </w:r>
          </w:p>
        </w:tc>
        <w:tc>
          <w:tcPr>
            <w:tcW w:w="3155" w:type="dxa"/>
            <w:vAlign w:val="top"/>
          </w:tcPr>
          <w:p>
            <w:pPr>
              <w:pStyle w:val="TableText"/>
              <w:ind w:left="100" w:right="4" w:firstLine="170"/>
              <w:spacing w:before="89" w:line="277" w:lineRule="auto"/>
              <w:rPr>
                <w:sz w:val="16"/>
                <w:szCs w:val="16"/>
              </w:rPr>
            </w:pPr>
            <w:r>
              <w:rPr>
                <w:sz w:val="16"/>
                <w:szCs w:val="16"/>
                <w:spacing w:val="-1"/>
              </w:rPr>
              <w:t>定义并遵循一个从外部提供者处获取数据</w:t>
            </w:r>
            <w:r>
              <w:rPr>
                <w:sz w:val="16"/>
                <w:szCs w:val="16"/>
                <w:spacing w:val="6"/>
              </w:rPr>
              <w:t xml:space="preserve"> </w:t>
            </w:r>
            <w:r>
              <w:rPr>
                <w:sz w:val="16"/>
                <w:szCs w:val="16"/>
              </w:rPr>
              <w:t>的数据采购过程</w:t>
            </w:r>
          </w:p>
        </w:tc>
        <w:tc>
          <w:tcPr>
            <w:tcW w:w="3780" w:type="dxa"/>
            <w:vAlign w:val="top"/>
          </w:tcPr>
          <w:p>
            <w:pPr>
              <w:pStyle w:val="TableText"/>
              <w:ind w:left="256"/>
              <w:spacing w:before="89" w:line="218" w:lineRule="auto"/>
              <w:rPr>
                <w:sz w:val="16"/>
                <w:szCs w:val="16"/>
              </w:rPr>
            </w:pPr>
            <w:r>
              <w:rPr>
                <w:sz w:val="16"/>
                <w:szCs w:val="16"/>
                <w:spacing w:val="2"/>
              </w:rPr>
              <w:t>●评估准则</w:t>
            </w:r>
          </w:p>
          <w:p>
            <w:pPr>
              <w:pStyle w:val="TableText"/>
              <w:ind w:left="256"/>
              <w:spacing w:before="102" w:line="219" w:lineRule="auto"/>
              <w:rPr>
                <w:sz w:val="16"/>
                <w:szCs w:val="16"/>
              </w:rPr>
            </w:pPr>
            <w:r>
              <w:rPr>
                <w:sz w:val="16"/>
                <w:szCs w:val="16"/>
                <w:spacing w:val="2"/>
              </w:rPr>
              <w:t>●决策准则</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4" w:right="209" w:firstLine="430"/>
        <w:spacing w:before="29" w:line="266" w:lineRule="auto"/>
        <w:rPr>
          <w:rFonts w:ascii="SimSun" w:hAnsi="SimSun" w:eastAsia="SimSun" w:cs="SimSun"/>
          <w:sz w:val="21"/>
          <w:szCs w:val="21"/>
        </w:rPr>
      </w:pPr>
      <w:r>
        <w:rPr>
          <w:rFonts w:ascii="SimSun" w:hAnsi="SimSun" w:eastAsia="SimSun" w:cs="SimSun"/>
          <w:sz w:val="21"/>
          <w:szCs w:val="21"/>
          <w:spacing w:val="3"/>
        </w:rPr>
        <w:t>组织内一个已定义的采购过程通常包含以下全部或部</w:t>
      </w:r>
      <w:r>
        <w:rPr>
          <w:rFonts w:ascii="SimSun" w:hAnsi="SimSun" w:eastAsia="SimSun" w:cs="SimSun"/>
          <w:sz w:val="21"/>
          <w:szCs w:val="21"/>
          <w:spacing w:val="2"/>
        </w:rPr>
        <w:t>分内容：检查所需的数据</w:t>
      </w:r>
      <w:r>
        <w:rPr>
          <w:rFonts w:ascii="SimSun" w:hAnsi="SimSun" w:eastAsia="SimSun" w:cs="SimSun"/>
          <w:sz w:val="21"/>
          <w:szCs w:val="21"/>
        </w:rPr>
        <w:t xml:space="preserve"> </w:t>
      </w:r>
      <w:r>
        <w:rPr>
          <w:rFonts w:ascii="SimSun" w:hAnsi="SimSun" w:eastAsia="SimSun" w:cs="SimSun"/>
          <w:sz w:val="21"/>
          <w:szCs w:val="21"/>
          <w:spacing w:val="1"/>
        </w:rPr>
        <w:t>是否已由组织的其他领域进行采购、评估准则、决策准则、识别授权源、审批权、</w:t>
      </w:r>
      <w:r>
        <w:rPr>
          <w:rFonts w:ascii="SimSun" w:hAnsi="SimSun" w:eastAsia="SimSun" w:cs="SimSun"/>
          <w:sz w:val="21"/>
          <w:szCs w:val="21"/>
          <w:spacing w:val="18"/>
        </w:rPr>
        <w:t xml:space="preserve"> </w:t>
      </w:r>
      <w:r>
        <w:rPr>
          <w:rFonts w:ascii="SimSun" w:hAnsi="SimSun" w:eastAsia="SimSun" w:cs="SimSun"/>
          <w:sz w:val="21"/>
          <w:szCs w:val="21"/>
          <w:spacing w:val="-10"/>
        </w:rPr>
        <w:t>成本评估等。</w:t>
      </w:r>
      <w:r>
        <w:rPr>
          <w:rFonts w:ascii="SimSun" w:hAnsi="SimSun" w:eastAsia="SimSun" w:cs="SimSun"/>
          <w:sz w:val="21"/>
          <w:szCs w:val="21"/>
          <w:spacing w:val="56"/>
        </w:rPr>
        <w:t xml:space="preserve"> </w:t>
      </w:r>
      <w:r>
        <w:rPr>
          <w:rFonts w:ascii="SimSun" w:hAnsi="SimSun" w:eastAsia="SimSun" w:cs="SimSun"/>
          <w:sz w:val="21"/>
          <w:szCs w:val="21"/>
          <w:spacing w:val="-10"/>
        </w:rPr>
        <w:t>一旦过程形成，应按要求遵循。</w:t>
      </w:r>
    </w:p>
    <w:p>
      <w:pPr>
        <w:spacing w:line="110" w:lineRule="exact"/>
        <w:rPr/>
      </w:pPr>
      <w:r/>
    </w:p>
    <w:tbl>
      <w:tblPr>
        <w:tblStyle w:val="TableNormal"/>
        <w:tblW w:w="7659"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51" w:hRule="atLeast"/>
        </w:trPr>
        <w:tc>
          <w:tcPr>
            <w:tcW w:w="734" w:type="dxa"/>
            <w:vAlign w:val="top"/>
          </w:tcPr>
          <w:p>
            <w:pPr>
              <w:pStyle w:val="TableText"/>
              <w:ind w:left="194"/>
              <w:spacing w:before="102" w:line="221" w:lineRule="auto"/>
              <w:rPr>
                <w:sz w:val="16"/>
                <w:szCs w:val="16"/>
              </w:rPr>
            </w:pPr>
            <w:r>
              <w:rPr>
                <w:sz w:val="16"/>
                <w:szCs w:val="16"/>
                <w:spacing w:val="-2"/>
              </w:rPr>
              <w:t>序号</w:t>
            </w:r>
          </w:p>
        </w:tc>
        <w:tc>
          <w:tcPr>
            <w:tcW w:w="3155" w:type="dxa"/>
            <w:vAlign w:val="top"/>
          </w:tcPr>
          <w:p>
            <w:pPr>
              <w:pStyle w:val="TableText"/>
              <w:ind w:left="1150"/>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19" w:hRule="atLeast"/>
        </w:trPr>
        <w:tc>
          <w:tcPr>
            <w:tcW w:w="734" w:type="dxa"/>
            <w:vAlign w:val="top"/>
          </w:tcPr>
          <w:p>
            <w:pPr>
              <w:pStyle w:val="TableText"/>
              <w:ind w:left="234"/>
              <w:spacing w:before="271" w:line="183" w:lineRule="auto"/>
              <w:rPr>
                <w:sz w:val="16"/>
                <w:szCs w:val="16"/>
              </w:rPr>
            </w:pPr>
            <w:r>
              <w:rPr>
                <w:sz w:val="16"/>
                <w:szCs w:val="16"/>
                <w:spacing w:val="-2"/>
              </w:rPr>
              <w:t>2.3</w:t>
            </w:r>
          </w:p>
        </w:tc>
        <w:tc>
          <w:tcPr>
            <w:tcW w:w="3155" w:type="dxa"/>
            <w:vAlign w:val="top"/>
          </w:tcPr>
          <w:p>
            <w:pPr>
              <w:pStyle w:val="TableText"/>
              <w:ind w:left="90" w:right="142" w:firstLine="40"/>
              <w:spacing w:before="100" w:line="277" w:lineRule="auto"/>
              <w:rPr>
                <w:sz w:val="16"/>
                <w:szCs w:val="16"/>
              </w:rPr>
            </w:pPr>
            <w:r>
              <w:rPr>
                <w:sz w:val="16"/>
                <w:szCs w:val="16"/>
                <w:spacing w:val="-1"/>
              </w:rPr>
              <w:t>维护数据需求与业务需求和目标间的可追</w:t>
            </w:r>
            <w:r>
              <w:rPr>
                <w:sz w:val="16"/>
                <w:szCs w:val="16"/>
                <w:spacing w:val="8"/>
              </w:rPr>
              <w:t xml:space="preserve"> </w:t>
            </w:r>
            <w:r>
              <w:rPr>
                <w:sz w:val="16"/>
                <w:szCs w:val="16"/>
                <w:spacing w:val="-2"/>
              </w:rPr>
              <w:t>溯性</w:t>
            </w:r>
          </w:p>
        </w:tc>
        <w:tc>
          <w:tcPr>
            <w:tcW w:w="3770" w:type="dxa"/>
            <w:vAlign w:val="top"/>
          </w:tcPr>
          <w:p>
            <w:pPr>
              <w:pStyle w:val="TableText"/>
              <w:ind w:left="265"/>
              <w:spacing w:before="110" w:line="219" w:lineRule="auto"/>
              <w:rPr>
                <w:sz w:val="16"/>
                <w:szCs w:val="16"/>
              </w:rPr>
            </w:pPr>
            <w:r>
              <w:rPr>
                <w:sz w:val="16"/>
                <w:szCs w:val="16"/>
                <w:spacing w:val="1"/>
              </w:rPr>
              <w:t>●数据需求管理工具及使用说明</w:t>
            </w:r>
          </w:p>
          <w:p>
            <w:pPr>
              <w:pStyle w:val="TableText"/>
              <w:ind w:left="265"/>
              <w:spacing w:before="90" w:line="219" w:lineRule="auto"/>
              <w:rPr>
                <w:sz w:val="16"/>
                <w:szCs w:val="16"/>
              </w:rPr>
            </w:pPr>
            <w:r>
              <w:rPr>
                <w:sz w:val="16"/>
                <w:szCs w:val="16"/>
                <w:spacing w:val="2"/>
              </w:rPr>
              <w:t>●数据模型</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4" w:right="208" w:firstLine="430"/>
        <w:spacing w:before="59" w:line="249" w:lineRule="auto"/>
        <w:rPr>
          <w:rFonts w:ascii="SimSun" w:hAnsi="SimSun" w:eastAsia="SimSun" w:cs="SimSun"/>
          <w:sz w:val="21"/>
          <w:szCs w:val="21"/>
        </w:rPr>
      </w:pPr>
      <w:r>
        <w:rPr>
          <w:rFonts w:ascii="SimSun" w:hAnsi="SimSun" w:eastAsia="SimSun" w:cs="SimSun"/>
          <w:sz w:val="21"/>
          <w:szCs w:val="21"/>
          <w:spacing w:val="3"/>
        </w:rPr>
        <w:t>组织通常会使用需求管理的工具来确保需求变更得到</w:t>
      </w:r>
      <w:r>
        <w:rPr>
          <w:rFonts w:ascii="SimSun" w:hAnsi="SimSun" w:eastAsia="SimSun" w:cs="SimSun"/>
          <w:sz w:val="21"/>
          <w:szCs w:val="21"/>
          <w:spacing w:val="2"/>
        </w:rPr>
        <w:t>完整的跟踪。有些数据需</w:t>
      </w:r>
      <w:r>
        <w:rPr>
          <w:rFonts w:ascii="SimSun" w:hAnsi="SimSun" w:eastAsia="SimSun" w:cs="SimSun"/>
          <w:sz w:val="21"/>
          <w:szCs w:val="21"/>
        </w:rPr>
        <w:t xml:space="preserve"> </w:t>
      </w:r>
      <w:r>
        <w:rPr>
          <w:rFonts w:ascii="SimSun" w:hAnsi="SimSun" w:eastAsia="SimSun" w:cs="SimSun"/>
          <w:sz w:val="21"/>
          <w:szCs w:val="21"/>
          <w:spacing w:val="2"/>
        </w:rPr>
        <w:t>求也许能够通过这种能力得以捕获。另外一些需</w:t>
      </w:r>
      <w:r>
        <w:rPr>
          <w:rFonts w:ascii="SimSun" w:hAnsi="SimSun" w:eastAsia="SimSun" w:cs="SimSun"/>
          <w:sz w:val="21"/>
          <w:szCs w:val="21"/>
          <w:spacing w:val="1"/>
        </w:rPr>
        <w:t>求则通过使用数据模型、特定的模</w:t>
      </w:r>
      <w:r>
        <w:rPr>
          <w:rFonts w:ascii="SimSun" w:hAnsi="SimSun" w:eastAsia="SimSun" w:cs="SimSun"/>
          <w:sz w:val="21"/>
          <w:szCs w:val="21"/>
        </w:rPr>
        <w:t xml:space="preserve"> </w:t>
      </w:r>
      <w:r>
        <w:rPr>
          <w:rFonts w:ascii="SimSun" w:hAnsi="SimSun" w:eastAsia="SimSun" w:cs="SimSun"/>
          <w:sz w:val="21"/>
          <w:szCs w:val="21"/>
          <w:spacing w:val="-3"/>
        </w:rPr>
        <w:t>板或元数据库得以捕获和维护。</w:t>
      </w:r>
    </w:p>
    <w:p>
      <w:pPr>
        <w:spacing w:line="138" w:lineRule="exact"/>
        <w:rPr/>
      </w:pPr>
      <w:r/>
    </w:p>
    <w:tbl>
      <w:tblPr>
        <w:tblStyle w:val="TableNormal"/>
        <w:tblW w:w="7659" w:type="dxa"/>
        <w:tblInd w:w="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65"/>
        <w:gridCol w:w="3770"/>
      </w:tblGrid>
      <w:tr>
        <w:trPr>
          <w:trHeight w:val="351" w:hRule="atLeast"/>
        </w:trPr>
        <w:tc>
          <w:tcPr>
            <w:tcW w:w="724" w:type="dxa"/>
            <w:vAlign w:val="top"/>
          </w:tcPr>
          <w:p>
            <w:pPr>
              <w:pStyle w:val="TableText"/>
              <w:ind w:left="204"/>
              <w:spacing w:before="101" w:line="221" w:lineRule="auto"/>
              <w:rPr/>
            </w:pPr>
            <w:r>
              <w:rPr>
                <w:spacing w:val="-2"/>
              </w:rPr>
              <w:t>序号</w:t>
            </w:r>
          </w:p>
        </w:tc>
        <w:tc>
          <w:tcPr>
            <w:tcW w:w="3165"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8" w:hRule="atLeast"/>
        </w:trPr>
        <w:tc>
          <w:tcPr>
            <w:tcW w:w="724" w:type="dxa"/>
            <w:vAlign w:val="top"/>
          </w:tcPr>
          <w:p>
            <w:pPr>
              <w:pStyle w:val="TableText"/>
              <w:ind w:left="235"/>
              <w:spacing w:before="268" w:line="183" w:lineRule="auto"/>
              <w:rPr/>
            </w:pPr>
            <w:r>
              <w:rPr>
                <w:spacing w:val="-2"/>
              </w:rPr>
              <w:t>2.4</w:t>
            </w:r>
          </w:p>
        </w:tc>
        <w:tc>
          <w:tcPr>
            <w:tcW w:w="3165" w:type="dxa"/>
            <w:vAlign w:val="top"/>
          </w:tcPr>
          <w:p>
            <w:pPr>
              <w:pStyle w:val="TableText"/>
              <w:ind w:left="110" w:right="192" w:firstLine="160"/>
              <w:spacing w:before="109" w:line="276" w:lineRule="auto"/>
              <w:rPr/>
            </w:pPr>
            <w:r>
              <w:rPr>
                <w:spacing w:val="-1"/>
              </w:rPr>
              <w:t>与内外部提供者共同定义数据质量准则并</w:t>
            </w:r>
            <w:r>
              <w:rPr>
                <w:spacing w:val="8"/>
              </w:rPr>
              <w:t xml:space="preserve"> </w:t>
            </w:r>
            <w:r>
              <w:rPr>
                <w:spacing w:val="1"/>
              </w:rPr>
              <w:t>将其纳入服务水平协议中</w:t>
            </w:r>
          </w:p>
        </w:tc>
        <w:tc>
          <w:tcPr>
            <w:tcW w:w="3770" w:type="dxa"/>
            <w:vAlign w:val="top"/>
          </w:tcPr>
          <w:p>
            <w:pPr>
              <w:pStyle w:val="TableText"/>
              <w:ind w:left="235"/>
              <w:spacing w:before="230" w:line="219" w:lineRule="auto"/>
              <w:rPr/>
            </w:pPr>
            <w:r>
              <w:rPr>
                <w:spacing w:val="1"/>
              </w:rPr>
              <w:t>●数据质量维度准则</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4" w:right="242" w:firstLine="430"/>
        <w:spacing w:before="52" w:line="255" w:lineRule="auto"/>
        <w:rPr>
          <w:rFonts w:ascii="SimSun" w:hAnsi="SimSun" w:eastAsia="SimSun" w:cs="SimSun"/>
          <w:sz w:val="21"/>
          <w:szCs w:val="21"/>
        </w:rPr>
      </w:pPr>
      <w:r>
        <w:rPr>
          <w:rFonts w:ascii="SimSun" w:hAnsi="SimSun" w:eastAsia="SimSun" w:cs="SimSun"/>
          <w:sz w:val="21"/>
          <w:szCs w:val="21"/>
          <w:spacing w:val="22"/>
        </w:rPr>
        <w:t>组织应与相关数据分析师共同定义主要的内外方标准数据质量维度准则</w:t>
      </w:r>
      <w:r>
        <w:rPr>
          <w:rFonts w:ascii="SimSun" w:hAnsi="SimSun" w:eastAsia="SimSun" w:cs="SimSun"/>
          <w:sz w:val="21"/>
          <w:szCs w:val="21"/>
          <w:spacing w:val="5"/>
        </w:rPr>
        <w:t xml:space="preserve"> </w:t>
      </w:r>
      <w:r>
        <w:rPr>
          <w:rFonts w:ascii="SimSun" w:hAnsi="SimSun" w:eastAsia="SimSun" w:cs="SimSun"/>
          <w:sz w:val="21"/>
          <w:szCs w:val="21"/>
          <w:spacing w:val="12"/>
        </w:rPr>
        <w:t>(例如准确性、完整性、</w:t>
      </w:r>
      <w:r>
        <w:rPr>
          <w:rFonts w:ascii="SimSun" w:hAnsi="SimSun" w:eastAsia="SimSun" w:cs="SimSun"/>
          <w:sz w:val="21"/>
          <w:szCs w:val="21"/>
          <w:spacing w:val="61"/>
        </w:rPr>
        <w:t xml:space="preserve"> </w:t>
      </w:r>
      <w:r>
        <w:rPr>
          <w:rFonts w:ascii="SimSun" w:hAnsi="SimSun" w:eastAsia="SimSun" w:cs="SimSun"/>
          <w:sz w:val="21"/>
          <w:szCs w:val="21"/>
          <w:spacing w:val="12"/>
        </w:rPr>
        <w:t>一致性、适时性),定期审核与数据源质量相</w:t>
      </w:r>
      <w:r>
        <w:rPr>
          <w:rFonts w:ascii="SimSun" w:hAnsi="SimSun" w:eastAsia="SimSun" w:cs="SimSun"/>
          <w:sz w:val="21"/>
          <w:szCs w:val="21"/>
          <w:spacing w:val="11"/>
        </w:rPr>
        <w:t>关的关键</w:t>
      </w:r>
      <w:r>
        <w:rPr>
          <w:rFonts w:ascii="SimSun" w:hAnsi="SimSun" w:eastAsia="SimSun" w:cs="SimSun"/>
          <w:sz w:val="21"/>
          <w:szCs w:val="21"/>
        </w:rPr>
        <w:t xml:space="preserve"> </w:t>
      </w:r>
      <w:r>
        <w:rPr>
          <w:rFonts w:ascii="SimSun" w:hAnsi="SimSun" w:eastAsia="SimSun" w:cs="SimSun"/>
          <w:sz w:val="21"/>
          <w:szCs w:val="21"/>
          <w:spacing w:val="4"/>
        </w:rPr>
        <w:t>性能度量项。</w:t>
      </w:r>
    </w:p>
    <w:p>
      <w:pPr>
        <w:spacing w:line="255" w:lineRule="auto"/>
        <w:sectPr>
          <w:footerReference w:type="default" r:id="rId305"/>
          <w:pgSz w:w="8870" w:h="13400"/>
          <w:pgMar w:top="400" w:right="628" w:bottom="588" w:left="364" w:header="0" w:footer="379" w:gutter="0"/>
        </w:sectPr>
        <w:rPr>
          <w:rFonts w:ascii="SimSun" w:hAnsi="SimSun" w:eastAsia="SimSun" w:cs="SimSun"/>
          <w:sz w:val="21"/>
          <w:szCs w:val="21"/>
        </w:rPr>
      </w:pPr>
    </w:p>
    <w:p>
      <w:pPr>
        <w:ind w:left="233"/>
        <w:spacing w:before="246" w:line="219" w:lineRule="auto"/>
        <w:rPr>
          <w:rFonts w:ascii="SimSun" w:hAnsi="SimSun" w:eastAsia="SimSun" w:cs="SimSun"/>
          <w:sz w:val="22"/>
          <w:szCs w:val="22"/>
        </w:rPr>
      </w:pPr>
      <w:r>
        <w:drawing>
          <wp:anchor distT="0" distB="0" distL="0" distR="0" simplePos="0" relativeHeight="255638528" behindDoc="0" locked="0" layoutInCell="0" allowOverlap="1">
            <wp:simplePos x="0" y="0"/>
            <wp:positionH relativeFrom="page">
              <wp:posOffset>368306</wp:posOffset>
            </wp:positionH>
            <wp:positionV relativeFrom="page">
              <wp:posOffset>361972</wp:posOffset>
            </wp:positionV>
            <wp:extent cx="6365" cy="222255"/>
            <wp:effectExtent l="0" t="0" r="0" b="0"/>
            <wp:wrapNone/>
            <wp:docPr id="206" name="IM 206"/>
            <wp:cNvGraphicFramePr/>
            <a:graphic>
              <a:graphicData uri="http://schemas.openxmlformats.org/drawingml/2006/picture">
                <pic:pic>
                  <pic:nvPicPr>
                    <pic:cNvPr id="206" name="IM 206"/>
                    <pic:cNvPicPr/>
                  </pic:nvPicPr>
                  <pic:blipFill>
                    <a:blip r:embed="rId307"/>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5"/>
        </w:rPr>
        <w:t>■云端数据治理</w:t>
      </w:r>
    </w:p>
    <w:p>
      <w:pPr>
        <w:spacing w:before="36"/>
        <w:rPr/>
      </w:pPr>
      <w:r/>
    </w:p>
    <w:tbl>
      <w:tblPr>
        <w:tblStyle w:val="TableNormal"/>
        <w:tblW w:w="765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5"/>
        <w:gridCol w:w="3760"/>
      </w:tblGrid>
      <w:tr>
        <w:trPr>
          <w:trHeight w:val="353" w:hRule="atLeast"/>
        </w:trPr>
        <w:tc>
          <w:tcPr>
            <w:tcW w:w="734" w:type="dxa"/>
            <w:vAlign w:val="top"/>
          </w:tcPr>
          <w:p>
            <w:pPr>
              <w:pStyle w:val="TableText"/>
              <w:ind w:left="204"/>
              <w:spacing w:before="101" w:line="221" w:lineRule="auto"/>
              <w:rPr/>
            </w:pPr>
            <w:r>
              <w:rPr>
                <w:spacing w:val="-2"/>
              </w:rPr>
              <w:t>序号</w:t>
            </w:r>
          </w:p>
        </w:tc>
        <w:tc>
          <w:tcPr>
            <w:tcW w:w="316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2556" w:hRule="atLeast"/>
        </w:trPr>
        <w:tc>
          <w:tcPr>
            <w:tcW w:w="734" w:type="dxa"/>
            <w:vAlign w:val="top"/>
          </w:tcPr>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pStyle w:val="TableText"/>
              <w:ind w:left="244"/>
              <w:spacing w:before="49" w:line="183" w:lineRule="auto"/>
              <w:rPr/>
            </w:pPr>
            <w:r>
              <w:rPr>
                <w:spacing w:val="-2"/>
              </w:rPr>
              <w:t>2.5</w:t>
            </w:r>
          </w:p>
        </w:tc>
        <w:tc>
          <w:tcPr>
            <w:tcW w:w="3165" w:type="dxa"/>
            <w:vAlign w:val="top"/>
          </w:tcPr>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TableText"/>
              <w:ind w:left="110" w:right="32" w:firstLine="170"/>
              <w:spacing w:before="49" w:line="311" w:lineRule="auto"/>
              <w:rPr/>
            </w:pPr>
            <w:r>
              <w:rPr>
                <w:spacing w:val="-1"/>
              </w:rPr>
              <w:t>与数据提供者按计划举行讨论，以处理在服</w:t>
            </w:r>
            <w:r>
              <w:rPr>
                <w:spacing w:val="9"/>
              </w:rPr>
              <w:t xml:space="preserve"> </w:t>
            </w:r>
            <w:r>
              <w:rPr>
                <w:spacing w:val="1"/>
              </w:rPr>
              <w:t>务水平协议中建立的数据质量阈值与目标之  </w:t>
            </w:r>
            <w:r>
              <w:rPr>
                <w:spacing w:val="2"/>
              </w:rPr>
              <w:t>间的偏差</w:t>
            </w:r>
          </w:p>
        </w:tc>
        <w:tc>
          <w:tcPr>
            <w:tcW w:w="3760" w:type="dxa"/>
            <w:vAlign w:val="top"/>
          </w:tcPr>
          <w:p>
            <w:pPr>
              <w:pStyle w:val="TableText"/>
              <w:ind w:left="265"/>
              <w:spacing w:before="97" w:line="219" w:lineRule="auto"/>
              <w:rPr/>
            </w:pPr>
            <w:r>
              <w:rPr>
                <w:spacing w:val="1"/>
              </w:rPr>
              <w:t>●采购方针</w:t>
            </w:r>
          </w:p>
          <w:p>
            <w:pPr>
              <w:pStyle w:val="TableText"/>
              <w:ind w:left="265"/>
              <w:spacing w:before="93" w:line="219" w:lineRule="auto"/>
              <w:rPr/>
            </w:pPr>
            <w:r>
              <w:rPr>
                <w:spacing w:val="1"/>
              </w:rPr>
              <w:t>●数据源选择准则</w:t>
            </w:r>
          </w:p>
          <w:p>
            <w:pPr>
              <w:pStyle w:val="TableText"/>
              <w:ind w:left="265"/>
              <w:spacing w:before="100" w:line="219" w:lineRule="auto"/>
              <w:rPr/>
            </w:pPr>
            <w:r>
              <w:rPr>
                <w:spacing w:val="1"/>
              </w:rPr>
              <w:t>●数据采购需求</w:t>
            </w:r>
          </w:p>
          <w:p>
            <w:pPr>
              <w:pStyle w:val="TableText"/>
              <w:ind w:left="265"/>
              <w:spacing w:before="103" w:line="219" w:lineRule="auto"/>
              <w:rPr/>
            </w:pPr>
            <w:r>
              <w:rPr/>
              <w:t>●展示来源、需求和特性之间相符性的数据定义</w:t>
            </w:r>
          </w:p>
          <w:p>
            <w:pPr>
              <w:pStyle w:val="TableText"/>
              <w:ind w:left="265"/>
              <w:spacing w:before="101" w:line="219" w:lineRule="auto"/>
              <w:rPr/>
            </w:pPr>
            <w:r>
              <w:rPr/>
              <w:t>●从数据需求到来源的映射</w:t>
            </w:r>
          </w:p>
          <w:p>
            <w:pPr>
              <w:pStyle w:val="TableText"/>
              <w:ind w:left="265"/>
              <w:spacing w:before="121" w:line="219" w:lineRule="auto"/>
              <w:rPr/>
            </w:pPr>
            <w:r>
              <w:rPr/>
              <w:t>●提供者服务水平协议</w:t>
            </w:r>
          </w:p>
          <w:p>
            <w:pPr>
              <w:pStyle w:val="TableText"/>
              <w:ind w:left="265"/>
              <w:spacing w:before="92" w:line="219" w:lineRule="auto"/>
              <w:rPr/>
            </w:pPr>
            <w:r>
              <w:rPr>
                <w:spacing w:val="1"/>
              </w:rPr>
              <w:t>●采购过程</w:t>
            </w:r>
          </w:p>
          <w:p>
            <w:pPr>
              <w:pStyle w:val="TableText"/>
              <w:ind w:left="265"/>
              <w:spacing w:before="112" w:line="218" w:lineRule="auto"/>
              <w:rPr/>
            </w:pPr>
            <w:r>
              <w:rPr>
                <w:spacing w:val="1"/>
              </w:rPr>
              <w:t>●数据源评估</w:t>
            </w:r>
          </w:p>
          <w:p>
            <w:pPr>
              <w:pStyle w:val="TableText"/>
              <w:ind w:left="265"/>
              <w:spacing w:before="93" w:line="219" w:lineRule="auto"/>
              <w:rPr/>
            </w:pPr>
            <w:r>
              <w:rPr/>
              <w:t>●与数据提供者会议的纪要</w:t>
            </w:r>
          </w:p>
        </w:tc>
      </w:tr>
    </w:tbl>
    <w:p>
      <w:pPr>
        <w:ind w:left="579"/>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64" w:firstLine="459"/>
        <w:spacing w:before="46" w:line="244" w:lineRule="auto"/>
        <w:rPr>
          <w:rFonts w:ascii="SimSun" w:hAnsi="SimSun" w:eastAsia="SimSun" w:cs="SimSun"/>
          <w:sz w:val="22"/>
          <w:szCs w:val="22"/>
        </w:rPr>
      </w:pPr>
      <w:r>
        <w:rPr>
          <w:rFonts w:ascii="SimSun" w:hAnsi="SimSun" w:eastAsia="SimSun" w:cs="SimSun"/>
          <w:sz w:val="22"/>
          <w:szCs w:val="22"/>
          <w:spacing w:val="-8"/>
        </w:rPr>
        <w:t>组织应让数据分析师与提供者进行联络沟通，从而在采集需求和数据质量确认</w:t>
      </w:r>
      <w:r>
        <w:rPr>
          <w:rFonts w:ascii="SimSun" w:hAnsi="SimSun" w:eastAsia="SimSun" w:cs="SimSun"/>
          <w:sz w:val="22"/>
          <w:szCs w:val="22"/>
          <w:spacing w:val="1"/>
        </w:rPr>
        <w:t xml:space="preserve"> </w:t>
      </w:r>
      <w:r>
        <w:rPr>
          <w:rFonts w:ascii="SimSun" w:hAnsi="SimSun" w:eastAsia="SimSun" w:cs="SimSun"/>
          <w:sz w:val="22"/>
          <w:szCs w:val="22"/>
          <w:spacing w:val="-9"/>
        </w:rPr>
        <w:t>过程上达成一致意见，并持续提供反馈，以减少偏差，确保达到业务目标。</w:t>
      </w:r>
    </w:p>
    <w:p>
      <w:pPr>
        <w:ind w:left="689"/>
        <w:spacing w:before="35"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4"/>
        </w:rPr>
        <w:t xml:space="preserve"> </w:t>
      </w: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b/>
          <w:bCs/>
          <w:spacing w:val="29"/>
        </w:rPr>
        <w:t xml:space="preserve"> </w:t>
      </w:r>
      <w:r>
        <w:rPr>
          <w:rFonts w:ascii="SimHei" w:hAnsi="SimHei" w:eastAsia="SimHei" w:cs="SimHei"/>
          <w:sz w:val="22"/>
          <w:szCs w:val="22"/>
          <w:b/>
          <w:bCs/>
          <w:spacing w:val="-5"/>
        </w:rPr>
        <w:t>定义级</w:t>
      </w:r>
    </w:p>
    <w:p>
      <w:pPr>
        <w:spacing w:line="137" w:lineRule="exact"/>
        <w:rPr/>
      </w:pPr>
      <w:r/>
    </w:p>
    <w:tbl>
      <w:tblPr>
        <w:tblStyle w:val="TableNormal"/>
        <w:tblW w:w="7660"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76"/>
        <w:gridCol w:w="3750"/>
      </w:tblGrid>
      <w:tr>
        <w:trPr>
          <w:trHeight w:val="351" w:hRule="atLeast"/>
        </w:trPr>
        <w:tc>
          <w:tcPr>
            <w:tcW w:w="734" w:type="dxa"/>
            <w:vAlign w:val="top"/>
          </w:tcPr>
          <w:p>
            <w:pPr>
              <w:pStyle w:val="TableText"/>
              <w:ind w:left="195"/>
              <w:spacing w:before="102" w:line="221" w:lineRule="auto"/>
              <w:rPr>
                <w:sz w:val="16"/>
                <w:szCs w:val="16"/>
              </w:rPr>
            </w:pPr>
            <w:r>
              <w:rPr>
                <w:sz w:val="16"/>
                <w:szCs w:val="16"/>
                <w:spacing w:val="-2"/>
              </w:rPr>
              <w:t>序号</w:t>
            </w:r>
          </w:p>
        </w:tc>
        <w:tc>
          <w:tcPr>
            <w:tcW w:w="3176" w:type="dxa"/>
            <w:vAlign w:val="top"/>
          </w:tcPr>
          <w:p>
            <w:pPr>
              <w:pStyle w:val="TableText"/>
              <w:ind w:left="1161"/>
              <w:spacing w:before="101" w:line="219" w:lineRule="auto"/>
              <w:rPr>
                <w:sz w:val="16"/>
                <w:szCs w:val="16"/>
              </w:rPr>
            </w:pPr>
            <w:r>
              <w:rPr>
                <w:sz w:val="16"/>
                <w:szCs w:val="16"/>
                <w:spacing w:val="-4"/>
              </w:rPr>
              <w:t>等 级 要 求</w:t>
            </w:r>
          </w:p>
        </w:tc>
        <w:tc>
          <w:tcPr>
            <w:tcW w:w="375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34" w:type="dxa"/>
            <w:vAlign w:val="top"/>
          </w:tcPr>
          <w:p>
            <w:pPr>
              <w:pStyle w:val="TableText"/>
              <w:ind w:left="235"/>
              <w:spacing w:before="260" w:line="184" w:lineRule="auto"/>
              <w:rPr>
                <w:sz w:val="16"/>
                <w:szCs w:val="16"/>
              </w:rPr>
            </w:pPr>
            <w:r>
              <w:rPr>
                <w:sz w:val="16"/>
                <w:szCs w:val="16"/>
                <w:spacing w:val="-3"/>
              </w:rPr>
              <w:t>3.1</w:t>
            </w:r>
          </w:p>
        </w:tc>
        <w:tc>
          <w:tcPr>
            <w:tcW w:w="3176" w:type="dxa"/>
            <w:vAlign w:val="top"/>
          </w:tcPr>
          <w:p>
            <w:pPr>
              <w:pStyle w:val="TableText"/>
              <w:ind w:left="111" w:right="150" w:firstLine="29"/>
              <w:spacing w:before="100" w:line="266" w:lineRule="auto"/>
              <w:rPr>
                <w:sz w:val="16"/>
                <w:szCs w:val="16"/>
              </w:rPr>
            </w:pPr>
            <w:r>
              <w:rPr>
                <w:sz w:val="16"/>
                <w:szCs w:val="16"/>
                <w:spacing w:val="-1"/>
              </w:rPr>
              <w:t>对用于开发数据采购需求的组织级标准过</w:t>
            </w:r>
            <w:r>
              <w:rPr>
                <w:sz w:val="16"/>
                <w:szCs w:val="16"/>
                <w:spacing w:val="11"/>
              </w:rPr>
              <w:t xml:space="preserve"> </w:t>
            </w:r>
            <w:r>
              <w:rPr>
                <w:sz w:val="16"/>
                <w:szCs w:val="16"/>
                <w:spacing w:val="-1"/>
              </w:rPr>
              <w:t>程进行监督</w:t>
            </w:r>
          </w:p>
        </w:tc>
        <w:tc>
          <w:tcPr>
            <w:tcW w:w="3750" w:type="dxa"/>
            <w:vAlign w:val="top"/>
          </w:tcPr>
          <w:p>
            <w:pPr>
              <w:pStyle w:val="TableText"/>
              <w:ind w:left="255"/>
              <w:spacing w:before="100" w:line="219" w:lineRule="auto"/>
              <w:rPr>
                <w:sz w:val="16"/>
                <w:szCs w:val="16"/>
              </w:rPr>
            </w:pPr>
            <w:r>
              <w:rPr>
                <w:sz w:val="16"/>
                <w:szCs w:val="16"/>
                <w:spacing w:val="1"/>
              </w:rPr>
              <w:t>●数据治理方案</w:t>
            </w:r>
          </w:p>
          <w:p>
            <w:pPr>
              <w:pStyle w:val="TableText"/>
              <w:ind w:left="255"/>
              <w:spacing w:before="89" w:line="219" w:lineRule="auto"/>
              <w:rPr>
                <w:sz w:val="16"/>
                <w:szCs w:val="16"/>
              </w:rPr>
            </w:pPr>
            <w:r>
              <w:rPr>
                <w:sz w:val="16"/>
                <w:szCs w:val="16"/>
              </w:rPr>
              <w:t>●数据采购需求标准过程</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34" w:firstLine="459"/>
        <w:spacing w:before="57" w:line="241" w:lineRule="auto"/>
        <w:rPr>
          <w:rFonts w:ascii="SimSun" w:hAnsi="SimSun" w:eastAsia="SimSun" w:cs="SimSun"/>
          <w:sz w:val="22"/>
          <w:szCs w:val="22"/>
        </w:rPr>
      </w:pPr>
      <w:r>
        <w:rPr>
          <w:rFonts w:ascii="SimSun" w:hAnsi="SimSun" w:eastAsia="SimSun" w:cs="SimSun"/>
          <w:sz w:val="22"/>
          <w:szCs w:val="22"/>
          <w:spacing w:val="-14"/>
        </w:rPr>
        <w:t>数据治理活动的持续监督是必不可少的，组织需要对数据的获取、处理</w:t>
      </w:r>
      <w:r>
        <w:rPr>
          <w:rFonts w:ascii="SimSun" w:hAnsi="SimSun" w:eastAsia="SimSun" w:cs="SimSun"/>
          <w:sz w:val="22"/>
          <w:szCs w:val="22"/>
          <w:spacing w:val="-15"/>
        </w:rPr>
        <w:t>、使用进</w:t>
      </w:r>
      <w:r>
        <w:rPr>
          <w:rFonts w:ascii="SimSun" w:hAnsi="SimSun" w:eastAsia="SimSun" w:cs="SimSun"/>
          <w:sz w:val="22"/>
          <w:szCs w:val="22"/>
        </w:rPr>
        <w:t xml:space="preserve"> </w:t>
      </w:r>
      <w:r>
        <w:rPr>
          <w:rFonts w:ascii="SimSun" w:hAnsi="SimSun" w:eastAsia="SimSun" w:cs="SimSun"/>
          <w:sz w:val="22"/>
          <w:szCs w:val="22"/>
          <w:spacing w:val="-17"/>
        </w:rPr>
        <w:t>行监管，而监管的职能主要通过以下五个方面的执</w:t>
      </w:r>
      <w:r>
        <w:rPr>
          <w:rFonts w:ascii="SimSun" w:hAnsi="SimSun" w:eastAsia="SimSun" w:cs="SimSun"/>
          <w:sz w:val="22"/>
          <w:szCs w:val="22"/>
          <w:spacing w:val="-18"/>
        </w:rPr>
        <w:t>行力来保证——发现、监督、控制、</w:t>
      </w:r>
      <w:r>
        <w:rPr>
          <w:rFonts w:ascii="SimSun" w:hAnsi="SimSun" w:eastAsia="SimSun" w:cs="SimSun"/>
          <w:sz w:val="22"/>
          <w:szCs w:val="22"/>
        </w:rPr>
        <w:t xml:space="preserve"> </w:t>
      </w:r>
      <w:r>
        <w:rPr>
          <w:rFonts w:ascii="SimSun" w:hAnsi="SimSun" w:eastAsia="SimSun" w:cs="SimSun"/>
          <w:sz w:val="22"/>
          <w:szCs w:val="22"/>
          <w:spacing w:val="-13"/>
        </w:rPr>
        <w:t>沟通、整合，其中监督一项包含对制订数据采购需</w:t>
      </w:r>
      <w:r>
        <w:rPr>
          <w:rFonts w:ascii="SimSun" w:hAnsi="SimSun" w:eastAsia="SimSun" w:cs="SimSun"/>
          <w:sz w:val="22"/>
          <w:szCs w:val="22"/>
          <w:spacing w:val="-14"/>
        </w:rPr>
        <w:t>求的组织范围内的过程监督。</w:t>
      </w:r>
    </w:p>
    <w:p>
      <w:pPr>
        <w:spacing w:line="127" w:lineRule="exact"/>
        <w:rPr/>
      </w:pPr>
      <w:r/>
    </w:p>
    <w:tbl>
      <w:tblPr>
        <w:tblStyle w:val="TableNormal"/>
        <w:tblW w:w="766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60"/>
      </w:tblGrid>
      <w:tr>
        <w:trPr>
          <w:trHeight w:val="362" w:hRule="atLeast"/>
        </w:trPr>
        <w:tc>
          <w:tcPr>
            <w:tcW w:w="734" w:type="dxa"/>
            <w:vAlign w:val="top"/>
          </w:tcPr>
          <w:p>
            <w:pPr>
              <w:pStyle w:val="TableText"/>
              <w:ind w:left="205"/>
              <w:spacing w:before="112" w:line="221" w:lineRule="auto"/>
              <w:rPr/>
            </w:pPr>
            <w:r>
              <w:rPr>
                <w:spacing w:val="-2"/>
              </w:rPr>
              <w:t>序号</w:t>
            </w:r>
          </w:p>
        </w:tc>
        <w:tc>
          <w:tcPr>
            <w:tcW w:w="3166" w:type="dxa"/>
            <w:vAlign w:val="top"/>
          </w:tcPr>
          <w:p>
            <w:pPr>
              <w:pStyle w:val="TableText"/>
              <w:ind w:left="116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5"/>
              <w:spacing w:before="111" w:line="220" w:lineRule="auto"/>
              <w:rPr/>
            </w:pPr>
            <w:r>
              <w:rPr>
                <w:spacing w:val="-5"/>
              </w:rPr>
              <w:t>实</w:t>
            </w:r>
            <w:r>
              <w:rPr>
                <w:spacing w:val="6"/>
              </w:rPr>
              <w:t xml:space="preserve">    </w:t>
            </w:r>
            <w:r>
              <w:rPr>
                <w:spacing w:val="-5"/>
              </w:rPr>
              <w:t>例</w:t>
            </w:r>
          </w:p>
        </w:tc>
      </w:tr>
      <w:tr>
        <w:trPr>
          <w:trHeight w:val="868" w:hRule="atLeast"/>
        </w:trPr>
        <w:tc>
          <w:tcPr>
            <w:tcW w:w="734" w:type="dxa"/>
            <w:vAlign w:val="top"/>
          </w:tcPr>
          <w:p>
            <w:pPr>
              <w:spacing w:line="347" w:lineRule="auto"/>
              <w:rPr>
                <w:rFonts w:ascii="Arial"/>
                <w:sz w:val="21"/>
              </w:rPr>
            </w:pPr>
            <w:r/>
          </w:p>
          <w:p>
            <w:pPr>
              <w:pStyle w:val="TableText"/>
              <w:ind w:left="244"/>
              <w:spacing w:before="48" w:line="183" w:lineRule="auto"/>
              <w:rPr/>
            </w:pPr>
            <w:r>
              <w:rPr>
                <w:spacing w:val="-2"/>
              </w:rPr>
              <w:t>3.2</w:t>
            </w:r>
          </w:p>
        </w:tc>
        <w:tc>
          <w:tcPr>
            <w:tcW w:w="3166" w:type="dxa"/>
            <w:vAlign w:val="top"/>
          </w:tcPr>
          <w:p>
            <w:pPr>
              <w:pStyle w:val="TableText"/>
              <w:ind w:left="90" w:right="42" w:firstLine="180"/>
              <w:spacing w:before="228" w:line="283" w:lineRule="auto"/>
              <w:rPr/>
            </w:pPr>
            <w:r>
              <w:rPr>
                <w:spacing w:val="-1"/>
              </w:rPr>
              <w:t>建立、使用和维护数据采购管理过程的度量</w:t>
            </w:r>
            <w:r>
              <w:rPr>
                <w:spacing w:val="10"/>
              </w:rPr>
              <w:t xml:space="preserve"> </w:t>
            </w:r>
            <w:r>
              <w:rPr/>
              <w:t>项</w:t>
            </w:r>
          </w:p>
        </w:tc>
        <w:tc>
          <w:tcPr>
            <w:tcW w:w="3760" w:type="dxa"/>
            <w:vAlign w:val="top"/>
          </w:tcPr>
          <w:p>
            <w:pPr>
              <w:pStyle w:val="TableText"/>
              <w:ind w:left="264"/>
              <w:spacing w:before="89" w:line="219" w:lineRule="auto"/>
              <w:rPr/>
            </w:pPr>
            <w:r>
              <w:rPr>
                <w:spacing w:val="1"/>
              </w:rPr>
              <w:t>●信息格式</w:t>
            </w:r>
          </w:p>
          <w:p>
            <w:pPr>
              <w:pStyle w:val="TableText"/>
              <w:ind w:left="264"/>
              <w:spacing w:before="101" w:line="219" w:lineRule="auto"/>
              <w:rPr/>
            </w:pPr>
            <w:r>
              <w:rPr>
                <w:spacing w:val="2"/>
              </w:rPr>
              <w:t>●交付时间</w:t>
            </w:r>
          </w:p>
          <w:p>
            <w:pPr>
              <w:pStyle w:val="TableText"/>
              <w:ind w:left="264"/>
              <w:spacing w:before="112" w:line="220" w:lineRule="auto"/>
              <w:rPr/>
            </w:pPr>
            <w:r>
              <w:rPr/>
              <w:t>●更新的及时性</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77" w:firstLine="459"/>
        <w:spacing w:before="58" w:line="243" w:lineRule="auto"/>
        <w:rPr>
          <w:rFonts w:ascii="SimSun" w:hAnsi="SimSun" w:eastAsia="SimSun" w:cs="SimSun"/>
          <w:sz w:val="22"/>
          <w:szCs w:val="22"/>
        </w:rPr>
      </w:pPr>
      <w:r>
        <w:rPr>
          <w:rFonts w:ascii="SimSun" w:hAnsi="SimSun" w:eastAsia="SimSun" w:cs="SimSun"/>
          <w:sz w:val="22"/>
          <w:szCs w:val="22"/>
          <w:spacing w:val="-8"/>
        </w:rPr>
        <w:t>组织需要不断完善数据采购管理过程的度量项，其</w:t>
      </w:r>
      <w:r>
        <w:rPr>
          <w:rFonts w:ascii="SimSun" w:hAnsi="SimSun" w:eastAsia="SimSun" w:cs="SimSun"/>
          <w:sz w:val="22"/>
          <w:szCs w:val="22"/>
          <w:spacing w:val="-9"/>
        </w:rPr>
        <w:t>中技术性能的度量项可能与</w:t>
      </w:r>
      <w:r>
        <w:rPr>
          <w:rFonts w:ascii="SimSun" w:hAnsi="SimSun" w:eastAsia="SimSun" w:cs="SimSun"/>
          <w:sz w:val="22"/>
          <w:szCs w:val="22"/>
        </w:rPr>
        <w:t xml:space="preserve"> </w:t>
      </w:r>
      <w:r>
        <w:rPr>
          <w:rFonts w:ascii="SimSun" w:hAnsi="SimSun" w:eastAsia="SimSun" w:cs="SimSun"/>
          <w:sz w:val="22"/>
          <w:szCs w:val="22"/>
          <w:spacing w:val="-5"/>
        </w:rPr>
        <w:t>成本、进度、投入的工作量以及特定目标相关。组织对关键的性能度</w:t>
      </w:r>
      <w:r>
        <w:rPr>
          <w:rFonts w:ascii="SimSun" w:hAnsi="SimSun" w:eastAsia="SimSun" w:cs="SimSun"/>
          <w:sz w:val="22"/>
          <w:szCs w:val="22"/>
          <w:spacing w:val="-6"/>
        </w:rPr>
        <w:t>量项(即信息</w:t>
      </w:r>
      <w:r>
        <w:rPr>
          <w:rFonts w:ascii="SimSun" w:hAnsi="SimSun" w:eastAsia="SimSun" w:cs="SimSun"/>
          <w:sz w:val="22"/>
          <w:szCs w:val="22"/>
        </w:rPr>
        <w:t xml:space="preserve"> </w:t>
      </w:r>
      <w:r>
        <w:rPr>
          <w:rFonts w:ascii="SimSun" w:hAnsi="SimSun" w:eastAsia="SimSun" w:cs="SimSun"/>
          <w:sz w:val="22"/>
          <w:szCs w:val="22"/>
          <w:spacing w:val="-5"/>
        </w:rPr>
        <w:t>格式、交付时间、更新的及时性、有效值、属性的精度</w:t>
      </w:r>
      <w:r>
        <w:rPr>
          <w:rFonts w:ascii="SimSun" w:hAnsi="SimSun" w:eastAsia="SimSun" w:cs="SimSun"/>
          <w:sz w:val="22"/>
          <w:szCs w:val="22"/>
          <w:spacing w:val="-6"/>
        </w:rPr>
        <w:t>和问题管理等)进行定义、</w:t>
      </w:r>
      <w:r>
        <w:rPr>
          <w:rFonts w:ascii="SimSun" w:hAnsi="SimSun" w:eastAsia="SimSun" w:cs="SimSun"/>
          <w:sz w:val="22"/>
          <w:szCs w:val="22"/>
        </w:rPr>
        <w:t xml:space="preserve"> </w:t>
      </w:r>
      <w:r>
        <w:rPr>
          <w:rFonts w:ascii="SimSun" w:hAnsi="SimSun" w:eastAsia="SimSun" w:cs="SimSun"/>
          <w:sz w:val="22"/>
          <w:szCs w:val="22"/>
          <w:spacing w:val="-10"/>
        </w:rPr>
        <w:t>实施，并以它们为度量标准评估数据提供者。</w:t>
      </w:r>
    </w:p>
    <w:p>
      <w:pPr>
        <w:spacing w:line="158" w:lineRule="exact"/>
        <w:rPr/>
      </w:pPr>
      <w:r/>
    </w:p>
    <w:tbl>
      <w:tblPr>
        <w:tblStyle w:val="TableNormal"/>
        <w:tblW w:w="7650" w:type="dxa"/>
        <w:tblInd w:w="3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66"/>
        <w:gridCol w:w="3760"/>
      </w:tblGrid>
      <w:tr>
        <w:trPr>
          <w:trHeight w:val="351" w:hRule="atLeast"/>
        </w:trPr>
        <w:tc>
          <w:tcPr>
            <w:tcW w:w="724" w:type="dxa"/>
            <w:vAlign w:val="top"/>
          </w:tcPr>
          <w:p>
            <w:pPr>
              <w:pStyle w:val="TableText"/>
              <w:ind w:left="195"/>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60" w:type="dxa"/>
            <w:vAlign w:val="top"/>
          </w:tcPr>
          <w:p>
            <w:pPr>
              <w:pStyle w:val="TableText"/>
              <w:ind w:left="156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24" w:type="dxa"/>
            <w:vAlign w:val="top"/>
          </w:tcPr>
          <w:p>
            <w:pPr>
              <w:pStyle w:val="TableText"/>
              <w:ind w:left="235"/>
              <w:spacing w:before="261" w:line="183" w:lineRule="auto"/>
              <w:rPr>
                <w:sz w:val="16"/>
                <w:szCs w:val="16"/>
              </w:rPr>
            </w:pPr>
            <w:r>
              <w:rPr>
                <w:sz w:val="16"/>
                <w:szCs w:val="16"/>
                <w:spacing w:val="-3"/>
              </w:rPr>
              <w:t>3.3</w:t>
            </w:r>
          </w:p>
        </w:tc>
        <w:tc>
          <w:tcPr>
            <w:tcW w:w="3166" w:type="dxa"/>
            <w:vAlign w:val="top"/>
          </w:tcPr>
          <w:p>
            <w:pPr>
              <w:pStyle w:val="TableText"/>
              <w:ind w:left="111" w:right="15" w:firstLine="159"/>
              <w:spacing w:before="89" w:line="272" w:lineRule="auto"/>
              <w:rPr>
                <w:sz w:val="16"/>
                <w:szCs w:val="16"/>
              </w:rPr>
            </w:pPr>
            <w:r>
              <w:rPr>
                <w:sz w:val="16"/>
                <w:szCs w:val="16"/>
                <w:spacing w:val="-1"/>
              </w:rPr>
              <w:t>定义并在整个组织内使用数据采购的评估</w:t>
            </w:r>
            <w:r>
              <w:rPr>
                <w:sz w:val="16"/>
                <w:szCs w:val="16"/>
                <w:spacing w:val="6"/>
              </w:rPr>
              <w:t xml:space="preserve"> </w:t>
            </w:r>
            <w:r>
              <w:rPr>
                <w:sz w:val="16"/>
                <w:szCs w:val="16"/>
                <w:spacing w:val="-2"/>
              </w:rPr>
              <w:t>和筛选过程</w:t>
            </w:r>
          </w:p>
        </w:tc>
        <w:tc>
          <w:tcPr>
            <w:tcW w:w="3760" w:type="dxa"/>
            <w:vAlign w:val="top"/>
          </w:tcPr>
          <w:p>
            <w:pPr>
              <w:pStyle w:val="TableText"/>
              <w:ind w:left="275"/>
              <w:spacing w:before="219" w:line="218" w:lineRule="auto"/>
              <w:rPr>
                <w:sz w:val="16"/>
                <w:szCs w:val="16"/>
              </w:rPr>
            </w:pPr>
            <w:r>
              <w:rPr>
                <w:sz w:val="16"/>
                <w:szCs w:val="16"/>
                <w:spacing w:val="1"/>
              </w:rPr>
              <w:t>●数据采购评估准则</w:t>
            </w:r>
          </w:p>
        </w:tc>
      </w:tr>
    </w:tbl>
    <w:p>
      <w:pPr>
        <w:pStyle w:val="BodyText"/>
        <w:rPr/>
      </w:pPr>
      <w:r/>
    </w:p>
    <w:p>
      <w:pPr>
        <w:sectPr>
          <w:footerReference w:type="default" r:id="rId306"/>
          <w:pgSz w:w="8870" w:h="13400"/>
          <w:pgMar w:top="400" w:right="465" w:bottom="515" w:left="440" w:header="0" w:footer="296" w:gutter="0"/>
        </w:sectPr>
        <w:rPr/>
      </w:pPr>
    </w:p>
    <w:p>
      <w:pPr>
        <w:ind w:left="5518"/>
        <w:spacing w:before="234" w:line="219" w:lineRule="auto"/>
        <w:rPr>
          <w:rFonts w:ascii="SimSun" w:hAnsi="SimSun" w:eastAsia="SimSun" w:cs="SimSun"/>
          <w:sz w:val="21"/>
          <w:szCs w:val="21"/>
        </w:rPr>
      </w:pPr>
      <w:r>
        <w:rPr>
          <w:rFonts w:ascii="SimSun" w:hAnsi="SimSun" w:eastAsia="SimSun" w:cs="SimSun"/>
          <w:sz w:val="21"/>
          <w:szCs w:val="21"/>
          <w:b/>
          <w:bCs/>
          <w:spacing w:val="16"/>
        </w:rPr>
        <w:t>第7章■云端数据操作</w:t>
      </w:r>
    </w:p>
    <w:p>
      <w:pPr>
        <w:pStyle w:val="BodyText"/>
        <w:spacing w:line="245" w:lineRule="auto"/>
        <w:rPr/>
      </w:pPr>
      <w:r/>
    </w:p>
    <w:p>
      <w:pPr>
        <w:ind w:left="310"/>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left="25" w:right="205" w:firstLine="390"/>
        <w:spacing w:before="70" w:line="254" w:lineRule="auto"/>
        <w:rPr>
          <w:rFonts w:ascii="SimSun" w:hAnsi="SimSun" w:eastAsia="SimSun" w:cs="SimSun"/>
          <w:sz w:val="21"/>
          <w:szCs w:val="21"/>
        </w:rPr>
      </w:pPr>
      <w:r>
        <w:rPr>
          <w:rFonts w:ascii="SimSun" w:hAnsi="SimSun" w:eastAsia="SimSun" w:cs="SimSun"/>
          <w:sz w:val="21"/>
          <w:szCs w:val="21"/>
          <w:spacing w:val="2"/>
        </w:rPr>
        <w:t>作为筛选过程的一部分，组织通常使用外部数据提供者的审计报告来体现他们</w:t>
      </w:r>
      <w:r>
        <w:rPr>
          <w:rFonts w:ascii="SimSun" w:hAnsi="SimSun" w:eastAsia="SimSun" w:cs="SimSun"/>
          <w:sz w:val="21"/>
          <w:szCs w:val="21"/>
          <w:spacing w:val="16"/>
        </w:rPr>
        <w:t xml:space="preserve"> </w:t>
      </w:r>
      <w:r>
        <w:rPr>
          <w:rFonts w:ascii="SimSun" w:hAnsi="SimSun" w:eastAsia="SimSun" w:cs="SimSun"/>
          <w:sz w:val="21"/>
          <w:szCs w:val="21"/>
        </w:rPr>
        <w:t>与控制标准和过程的符合性。审计报告可包含与外部数据提供者相</w:t>
      </w:r>
      <w:r>
        <w:rPr>
          <w:rFonts w:ascii="SimSun" w:hAnsi="SimSun" w:eastAsia="SimSun" w:cs="SimSun"/>
          <w:sz w:val="21"/>
          <w:szCs w:val="21"/>
          <w:spacing w:val="-1"/>
        </w:rPr>
        <w:t>关的基本情况，</w:t>
      </w:r>
      <w:r>
        <w:rPr>
          <w:rFonts w:ascii="SimSun" w:hAnsi="SimSun" w:eastAsia="SimSun" w:cs="SimSun"/>
          <w:sz w:val="21"/>
          <w:szCs w:val="21"/>
        </w:rPr>
        <w:t xml:space="preserve"> </w:t>
      </w:r>
      <w:r>
        <w:rPr>
          <w:rFonts w:ascii="SimSun" w:hAnsi="SimSun" w:eastAsia="SimSun" w:cs="SimSun"/>
          <w:sz w:val="21"/>
          <w:szCs w:val="21"/>
          <w:spacing w:val="-2"/>
        </w:rPr>
        <w:t>业务情况，评价方法，存在问题，结论意见等内容。</w:t>
      </w:r>
    </w:p>
    <w:p>
      <w:pPr>
        <w:spacing w:line="140" w:lineRule="exact"/>
        <w:rPr/>
      </w:pPr>
      <w:r/>
    </w:p>
    <w:tbl>
      <w:tblPr>
        <w:tblStyle w:val="TableNormal"/>
        <w:tblW w:w="76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46"/>
        <w:gridCol w:w="3770"/>
      </w:tblGrid>
      <w:tr>
        <w:trPr>
          <w:trHeight w:val="361" w:hRule="atLeast"/>
        </w:trPr>
        <w:tc>
          <w:tcPr>
            <w:tcW w:w="734" w:type="dxa"/>
            <w:vAlign w:val="top"/>
          </w:tcPr>
          <w:p>
            <w:pPr>
              <w:pStyle w:val="TableText"/>
              <w:ind w:left="205"/>
              <w:spacing w:before="111" w:line="221" w:lineRule="auto"/>
              <w:rPr/>
            </w:pPr>
            <w:r>
              <w:rPr>
                <w:spacing w:val="-2"/>
              </w:rPr>
              <w:t>序号</w:t>
            </w:r>
          </w:p>
        </w:tc>
        <w:tc>
          <w:tcPr>
            <w:tcW w:w="3146" w:type="dxa"/>
            <w:vAlign w:val="top"/>
          </w:tcPr>
          <w:p>
            <w:pPr>
              <w:pStyle w:val="TableText"/>
              <w:ind w:left="114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4"/>
              <w:spacing w:before="111" w:line="220" w:lineRule="auto"/>
              <w:rPr/>
            </w:pPr>
            <w:r>
              <w:rPr>
                <w:spacing w:val="-5"/>
              </w:rPr>
              <w:t>实</w:t>
            </w:r>
            <w:r>
              <w:rPr>
                <w:spacing w:val="1"/>
              </w:rPr>
              <w:t xml:space="preserve">   </w:t>
            </w:r>
            <w:r>
              <w:rPr>
                <w:spacing w:val="-5"/>
              </w:rPr>
              <w:t>例</w:t>
            </w:r>
          </w:p>
        </w:tc>
      </w:tr>
      <w:tr>
        <w:trPr>
          <w:trHeight w:val="588" w:hRule="atLeast"/>
        </w:trPr>
        <w:tc>
          <w:tcPr>
            <w:tcW w:w="734" w:type="dxa"/>
            <w:vAlign w:val="top"/>
          </w:tcPr>
          <w:p>
            <w:pPr>
              <w:pStyle w:val="TableText"/>
              <w:ind w:left="245"/>
              <w:spacing w:before="258" w:line="183" w:lineRule="auto"/>
              <w:rPr/>
            </w:pPr>
            <w:r>
              <w:rPr>
                <w:spacing w:val="-2"/>
              </w:rPr>
              <w:t>3.4</w:t>
            </w:r>
          </w:p>
        </w:tc>
        <w:tc>
          <w:tcPr>
            <w:tcW w:w="3146" w:type="dxa"/>
            <w:vAlign w:val="top"/>
          </w:tcPr>
          <w:p>
            <w:pPr>
              <w:pStyle w:val="TableText"/>
              <w:ind w:left="60" w:right="40" w:firstLine="189"/>
              <w:spacing w:before="99" w:line="282" w:lineRule="auto"/>
              <w:rPr/>
            </w:pPr>
            <w:r>
              <w:rPr>
                <w:spacing w:val="-1"/>
              </w:rPr>
              <w:t>根据标准模板和过程来制订提供者服务水平</w:t>
            </w:r>
            <w:r>
              <w:rPr>
                <w:spacing w:val="12"/>
              </w:rPr>
              <w:t xml:space="preserve"> </w:t>
            </w:r>
            <w:r>
              <w:rPr>
                <w:spacing w:val="-1"/>
              </w:rPr>
              <w:t>协议，并在组织内实施、跟踪以及执行该协议</w:t>
            </w:r>
          </w:p>
        </w:tc>
        <w:tc>
          <w:tcPr>
            <w:tcW w:w="3770" w:type="dxa"/>
            <w:vAlign w:val="top"/>
          </w:tcPr>
          <w:p>
            <w:pPr>
              <w:pStyle w:val="TableText"/>
              <w:ind w:left="294"/>
              <w:spacing w:before="219" w:line="219" w:lineRule="auto"/>
              <w:rPr/>
            </w:pPr>
            <w:r>
              <w:rPr/>
              <w:t>●数据提供者服务水平协议</w:t>
            </w:r>
          </w:p>
        </w:tc>
      </w:tr>
    </w:tbl>
    <w:p>
      <w:pPr>
        <w:ind w:left="300"/>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left="25" w:right="211" w:firstLine="390"/>
        <w:spacing w:before="70" w:line="254" w:lineRule="auto"/>
        <w:rPr>
          <w:rFonts w:ascii="SimSun" w:hAnsi="SimSun" w:eastAsia="SimSun" w:cs="SimSun"/>
          <w:sz w:val="21"/>
          <w:szCs w:val="21"/>
        </w:rPr>
      </w:pPr>
      <w:r>
        <w:rPr>
          <w:rFonts w:ascii="SimSun" w:hAnsi="SimSun" w:eastAsia="SimSun" w:cs="SimSun"/>
          <w:sz w:val="21"/>
          <w:szCs w:val="21"/>
          <w:spacing w:val="2"/>
        </w:rPr>
        <w:t>服务水平协议通常包含已达成共识的并与数据质量、交付和及时性相关的补救</w:t>
      </w:r>
      <w:r>
        <w:rPr>
          <w:rFonts w:ascii="SimSun" w:hAnsi="SimSun" w:eastAsia="SimSun" w:cs="SimSun"/>
          <w:sz w:val="21"/>
          <w:szCs w:val="21"/>
          <w:spacing w:val="9"/>
        </w:rPr>
        <w:t xml:space="preserve"> </w:t>
      </w:r>
      <w:r>
        <w:rPr>
          <w:rFonts w:ascii="SimSun" w:hAnsi="SimSun" w:eastAsia="SimSun" w:cs="SimSun"/>
          <w:sz w:val="21"/>
          <w:szCs w:val="21"/>
          <w:spacing w:val="1"/>
        </w:rPr>
        <w:t>项选择。关键性能度量项被纳入标准服务水平协议当中，数据源的显示板、记录板</w:t>
      </w:r>
      <w:r>
        <w:rPr>
          <w:rFonts w:ascii="SimSun" w:hAnsi="SimSun" w:eastAsia="SimSun" w:cs="SimSun"/>
          <w:sz w:val="21"/>
          <w:szCs w:val="21"/>
          <w:spacing w:val="13"/>
        </w:rPr>
        <w:t xml:space="preserve"> </w:t>
      </w:r>
      <w:r>
        <w:rPr>
          <w:rFonts w:ascii="SimSun" w:hAnsi="SimSun" w:eastAsia="SimSun" w:cs="SimSun"/>
          <w:sz w:val="21"/>
          <w:szCs w:val="21"/>
          <w:spacing w:val="-2"/>
        </w:rPr>
        <w:t>以及性能报告也反映了这些度量项指标。</w:t>
      </w:r>
    </w:p>
    <w:p>
      <w:pPr>
        <w:spacing w:line="130" w:lineRule="exact"/>
        <w:rPr/>
      </w:pPr>
      <w:r/>
    </w:p>
    <w:tbl>
      <w:tblPr>
        <w:tblStyle w:val="TableNormal"/>
        <w:tblW w:w="765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55"/>
        <w:gridCol w:w="3780"/>
      </w:tblGrid>
      <w:tr>
        <w:trPr>
          <w:trHeight w:val="362" w:hRule="atLeast"/>
        </w:trPr>
        <w:tc>
          <w:tcPr>
            <w:tcW w:w="724" w:type="dxa"/>
            <w:vAlign w:val="top"/>
          </w:tcPr>
          <w:p>
            <w:pPr>
              <w:pStyle w:val="TableText"/>
              <w:ind w:left="204"/>
              <w:spacing w:before="111" w:line="221" w:lineRule="auto"/>
              <w:rPr/>
            </w:pPr>
            <w:r>
              <w:rPr>
                <w:spacing w:val="-2"/>
              </w:rPr>
              <w:t>序号</w:t>
            </w:r>
          </w:p>
        </w:tc>
        <w:tc>
          <w:tcPr>
            <w:tcW w:w="3155" w:type="dxa"/>
            <w:vAlign w:val="top"/>
          </w:tcPr>
          <w:p>
            <w:pPr>
              <w:pStyle w:val="TableText"/>
              <w:ind w:left="117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11" w:line="220" w:lineRule="auto"/>
              <w:rPr/>
            </w:pPr>
            <w:r>
              <w:rPr>
                <w:spacing w:val="-5"/>
              </w:rPr>
              <w:t>实</w:t>
            </w:r>
            <w:r>
              <w:rPr>
                <w:spacing w:val="1"/>
              </w:rPr>
              <w:t xml:space="preserve">   </w:t>
            </w:r>
            <w:r>
              <w:rPr>
                <w:spacing w:val="-5"/>
              </w:rPr>
              <w:t>例</w:t>
            </w:r>
          </w:p>
        </w:tc>
      </w:tr>
      <w:tr>
        <w:trPr>
          <w:trHeight w:val="867" w:hRule="atLeast"/>
        </w:trPr>
        <w:tc>
          <w:tcPr>
            <w:tcW w:w="724" w:type="dxa"/>
            <w:vAlign w:val="top"/>
          </w:tcPr>
          <w:p>
            <w:pPr>
              <w:spacing w:line="346" w:lineRule="auto"/>
              <w:rPr>
                <w:rFonts w:ascii="Arial"/>
                <w:sz w:val="21"/>
              </w:rPr>
            </w:pPr>
            <w:r/>
          </w:p>
          <w:p>
            <w:pPr>
              <w:pStyle w:val="TableText"/>
              <w:ind w:left="235"/>
              <w:spacing w:before="49" w:line="183" w:lineRule="auto"/>
              <w:rPr/>
            </w:pPr>
            <w:r>
              <w:rPr>
                <w:spacing w:val="-2"/>
              </w:rPr>
              <w:t>3.5</w:t>
            </w:r>
          </w:p>
        </w:tc>
        <w:tc>
          <w:tcPr>
            <w:tcW w:w="3155" w:type="dxa"/>
            <w:vAlign w:val="top"/>
          </w:tcPr>
          <w:p>
            <w:pPr>
              <w:pStyle w:val="TableText"/>
              <w:ind w:left="100" w:right="161" w:firstLine="170"/>
              <w:spacing w:before="239" w:line="288" w:lineRule="auto"/>
              <w:rPr/>
            </w:pPr>
            <w:r>
              <w:rPr/>
              <w:t>定期评审服务水平协议以确保业务目标和</w:t>
            </w:r>
            <w:r>
              <w:rPr>
                <w:spacing w:val="11"/>
              </w:rPr>
              <w:t xml:space="preserve"> </w:t>
            </w:r>
            <w:r>
              <w:rPr>
                <w:spacing w:val="1"/>
              </w:rPr>
              <w:t>需求的满足</w:t>
            </w:r>
          </w:p>
        </w:tc>
        <w:tc>
          <w:tcPr>
            <w:tcW w:w="3780" w:type="dxa"/>
            <w:vAlign w:val="top"/>
          </w:tcPr>
          <w:p>
            <w:pPr>
              <w:pStyle w:val="TableText"/>
              <w:ind w:left="285"/>
              <w:spacing w:before="99" w:line="220" w:lineRule="auto"/>
              <w:rPr/>
            </w:pPr>
            <w:r>
              <w:rPr>
                <w:spacing w:val="1"/>
              </w:rPr>
              <w:t>●评审记录</w:t>
            </w:r>
          </w:p>
          <w:p>
            <w:pPr>
              <w:pStyle w:val="TableText"/>
              <w:ind w:left="285"/>
              <w:spacing w:before="109" w:line="219" w:lineRule="auto"/>
              <w:rPr/>
            </w:pPr>
            <w:r>
              <w:rPr/>
              <w:t>●服务水平协议模板</w:t>
            </w:r>
          </w:p>
          <w:p>
            <w:pPr>
              <w:pStyle w:val="TableText"/>
              <w:ind w:left="285"/>
              <w:spacing w:before="82" w:line="219" w:lineRule="auto"/>
              <w:rPr/>
            </w:pPr>
            <w:r>
              <w:rPr/>
              <w:t>●与提供者签订的服务水平协议</w:t>
            </w:r>
          </w:p>
        </w:tc>
      </w:tr>
    </w:tbl>
    <w:p>
      <w:pPr>
        <w:ind w:left="310"/>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25" w:right="202" w:firstLine="390"/>
        <w:spacing w:before="70" w:line="255" w:lineRule="auto"/>
        <w:rPr>
          <w:rFonts w:ascii="SimSun" w:hAnsi="SimSun" w:eastAsia="SimSun" w:cs="SimSun"/>
          <w:sz w:val="21"/>
          <w:szCs w:val="21"/>
        </w:rPr>
      </w:pPr>
      <w:r>
        <w:rPr>
          <w:rFonts w:ascii="SimSun" w:hAnsi="SimSun" w:eastAsia="SimSun" w:cs="SimSun"/>
          <w:sz w:val="21"/>
          <w:szCs w:val="21"/>
          <w:spacing w:val="3"/>
        </w:rPr>
        <w:t>组织可根据自身实际情况，按照固定周期组</w:t>
      </w:r>
      <w:r>
        <w:rPr>
          <w:rFonts w:ascii="SimSun" w:hAnsi="SimSun" w:eastAsia="SimSun" w:cs="SimSun"/>
          <w:sz w:val="21"/>
          <w:szCs w:val="21"/>
          <w:spacing w:val="2"/>
        </w:rPr>
        <w:t>织相关方对服务水平协议进行评审</w:t>
      </w:r>
      <w:r>
        <w:rPr>
          <w:rFonts w:ascii="SimSun" w:hAnsi="SimSun" w:eastAsia="SimSun" w:cs="SimSun"/>
          <w:sz w:val="21"/>
          <w:szCs w:val="21"/>
        </w:rPr>
        <w:t xml:space="preserve"> </w:t>
      </w:r>
      <w:r>
        <w:rPr>
          <w:rFonts w:ascii="SimSun" w:hAnsi="SimSun" w:eastAsia="SimSun" w:cs="SimSun"/>
          <w:sz w:val="21"/>
          <w:szCs w:val="21"/>
          <w:spacing w:val="1"/>
        </w:rPr>
        <w:t>并记录，从而最大程度地减少多种的以及有些时候相互抵触的需求，以达到持续改</w:t>
      </w:r>
      <w:r>
        <w:rPr>
          <w:rFonts w:ascii="SimSun" w:hAnsi="SimSun" w:eastAsia="SimSun" w:cs="SimSun"/>
          <w:sz w:val="21"/>
          <w:szCs w:val="21"/>
          <w:spacing w:val="12"/>
        </w:rPr>
        <w:t xml:space="preserve"> </w:t>
      </w:r>
      <w:r>
        <w:rPr>
          <w:rFonts w:ascii="SimSun" w:hAnsi="SimSun" w:eastAsia="SimSun" w:cs="SimSun"/>
          <w:sz w:val="21"/>
          <w:szCs w:val="21"/>
          <w:spacing w:val="-2"/>
        </w:rPr>
        <w:t>进的目的，确保满足业务目标和相关需求。</w:t>
      </w:r>
    </w:p>
    <w:p>
      <w:pPr>
        <w:spacing w:line="137" w:lineRule="exact"/>
        <w:rPr/>
      </w:pPr>
      <w:r/>
    </w:p>
    <w:tbl>
      <w:tblPr>
        <w:tblStyle w:val="TableNormal"/>
        <w:tblW w:w="765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63" w:hRule="atLeast"/>
        </w:trPr>
        <w:tc>
          <w:tcPr>
            <w:tcW w:w="734" w:type="dxa"/>
            <w:vAlign w:val="top"/>
          </w:tcPr>
          <w:p>
            <w:pPr>
              <w:pStyle w:val="TableText"/>
              <w:ind w:left="204"/>
              <w:spacing w:before="111" w:line="221" w:lineRule="auto"/>
              <w:rPr/>
            </w:pPr>
            <w:r>
              <w:rPr>
                <w:spacing w:val="-2"/>
              </w:rPr>
              <w:t>序号</w:t>
            </w:r>
          </w:p>
        </w:tc>
        <w:tc>
          <w:tcPr>
            <w:tcW w:w="3155" w:type="dxa"/>
            <w:vAlign w:val="top"/>
          </w:tcPr>
          <w:p>
            <w:pPr>
              <w:pStyle w:val="TableText"/>
              <w:ind w:left="116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11" w:line="220" w:lineRule="auto"/>
              <w:rPr/>
            </w:pPr>
            <w:r>
              <w:rPr>
                <w:spacing w:val="-5"/>
              </w:rPr>
              <w:t>实</w:t>
            </w:r>
            <w:r>
              <w:rPr>
                <w:spacing w:val="1"/>
              </w:rPr>
              <w:t xml:space="preserve">   </w:t>
            </w:r>
            <w:r>
              <w:rPr>
                <w:spacing w:val="-5"/>
              </w:rPr>
              <w:t>例</w:t>
            </w:r>
          </w:p>
        </w:tc>
      </w:tr>
      <w:tr>
        <w:trPr>
          <w:trHeight w:val="2276" w:hRule="atLeast"/>
        </w:trPr>
        <w:tc>
          <w:tcPr>
            <w:tcW w:w="734" w:type="dxa"/>
            <w:vAlign w:val="top"/>
          </w:tcPr>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244"/>
              <w:spacing w:before="49" w:line="183" w:lineRule="auto"/>
              <w:rPr/>
            </w:pPr>
            <w:r>
              <w:rPr>
                <w:spacing w:val="-2"/>
              </w:rPr>
              <w:t>3.6</w:t>
            </w:r>
          </w:p>
        </w:tc>
        <w:tc>
          <w:tcPr>
            <w:tcW w:w="3155" w:type="dxa"/>
            <w:vAlign w:val="top"/>
          </w:tcPr>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pStyle w:val="TableText"/>
              <w:ind w:left="120" w:right="3" w:firstLine="149"/>
              <w:spacing w:before="49" w:line="276" w:lineRule="auto"/>
              <w:rPr/>
            </w:pPr>
            <w:r>
              <w:rPr>
                <w:spacing w:val="1"/>
              </w:rPr>
              <w:t>定期和数据提供者举行会议，评审对数据内</w:t>
            </w:r>
            <w:r>
              <w:rPr/>
              <w:t xml:space="preserve"> </w:t>
            </w:r>
            <w:r>
              <w:rPr>
                <w:spacing w:val="-1"/>
              </w:rPr>
              <w:t>容、过程、格式和质量等的计划变更</w:t>
            </w:r>
          </w:p>
        </w:tc>
        <w:tc>
          <w:tcPr>
            <w:tcW w:w="3770" w:type="dxa"/>
            <w:vAlign w:val="top"/>
          </w:tcPr>
          <w:p>
            <w:pPr>
              <w:pStyle w:val="TableText"/>
              <w:ind w:left="285"/>
              <w:spacing w:before="97" w:line="219" w:lineRule="auto"/>
              <w:rPr/>
            </w:pPr>
            <w:r>
              <w:rPr/>
              <w:t>●标准数据采购过程</w:t>
            </w:r>
          </w:p>
          <w:p>
            <w:pPr>
              <w:pStyle w:val="TableText"/>
              <w:ind w:left="285"/>
              <w:spacing w:before="101" w:line="219" w:lineRule="auto"/>
              <w:rPr/>
            </w:pPr>
            <w:r>
              <w:rPr>
                <w:spacing w:val="1"/>
              </w:rPr>
              <w:t>●已定义的数据采购质量准则</w:t>
            </w:r>
          </w:p>
          <w:p>
            <w:pPr>
              <w:pStyle w:val="TableText"/>
              <w:ind w:left="265"/>
              <w:spacing w:before="92" w:line="219" w:lineRule="auto"/>
              <w:rPr/>
            </w:pPr>
            <w:r>
              <w:rPr/>
              <w:t>●已定义的数据采购度量项</w:t>
            </w:r>
          </w:p>
          <w:p>
            <w:pPr>
              <w:pStyle w:val="TableText"/>
              <w:ind w:left="275"/>
              <w:spacing w:before="102" w:line="219" w:lineRule="auto"/>
              <w:rPr/>
            </w:pPr>
            <w:r>
              <w:rPr/>
              <w:t>●根据相关方的反馈和最佳方案对数据采购过程进</w:t>
            </w:r>
          </w:p>
          <w:p>
            <w:pPr>
              <w:pStyle w:val="TableText"/>
              <w:ind w:left="105"/>
              <w:spacing w:before="123" w:line="220" w:lineRule="auto"/>
              <w:rPr/>
            </w:pPr>
            <w:r>
              <w:rPr>
                <w:spacing w:val="-2"/>
              </w:rPr>
              <w:t>行的更新</w:t>
            </w:r>
          </w:p>
          <w:p>
            <w:pPr>
              <w:pStyle w:val="TableText"/>
              <w:ind w:left="265"/>
              <w:spacing w:before="91" w:line="220" w:lineRule="auto"/>
              <w:rPr/>
            </w:pPr>
            <w:r>
              <w:rPr/>
              <w:t>●标准、流程、方针和工作流程图</w:t>
            </w:r>
          </w:p>
          <w:p>
            <w:pPr>
              <w:pStyle w:val="TableText"/>
              <w:ind w:left="285"/>
              <w:spacing w:before="99" w:line="219" w:lineRule="auto"/>
              <w:rPr/>
            </w:pPr>
            <w:r>
              <w:rPr/>
              <w:t>●数据提供者的会议纪要</w:t>
            </w:r>
          </w:p>
          <w:p>
            <w:pPr>
              <w:pStyle w:val="TableText"/>
              <w:ind w:left="285"/>
              <w:spacing w:before="102" w:line="218" w:lineRule="auto"/>
              <w:rPr/>
            </w:pPr>
            <w:r>
              <w:rPr/>
              <w:t>●与外部数据提供者相关的行业审计报告</w:t>
            </w:r>
          </w:p>
        </w:tc>
      </w:tr>
    </w:tbl>
    <w:p>
      <w:pPr>
        <w:ind w:left="310"/>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25" w:right="184" w:firstLine="390"/>
        <w:spacing w:before="60" w:line="255" w:lineRule="auto"/>
        <w:rPr>
          <w:rFonts w:ascii="SimSun" w:hAnsi="SimSun" w:eastAsia="SimSun" w:cs="SimSun"/>
          <w:sz w:val="21"/>
          <w:szCs w:val="21"/>
        </w:rPr>
      </w:pPr>
      <w:r>
        <w:rPr>
          <w:rFonts w:ascii="SimSun" w:hAnsi="SimSun" w:eastAsia="SimSun" w:cs="SimSun"/>
          <w:sz w:val="21"/>
          <w:szCs w:val="21"/>
          <w:spacing w:val="2"/>
        </w:rPr>
        <w:t>组织可根据自身实际情况，按照固定周期与数据提供者</w:t>
      </w:r>
      <w:r>
        <w:rPr>
          <w:rFonts w:ascii="SimSun" w:hAnsi="SimSun" w:eastAsia="SimSun" w:cs="SimSun"/>
          <w:sz w:val="21"/>
          <w:szCs w:val="21"/>
          <w:spacing w:val="1"/>
        </w:rPr>
        <w:t>对数据内容、过程、格</w:t>
      </w:r>
      <w:r>
        <w:rPr>
          <w:rFonts w:ascii="SimSun" w:hAnsi="SimSun" w:eastAsia="SimSun" w:cs="SimSun"/>
          <w:sz w:val="21"/>
          <w:szCs w:val="21"/>
        </w:rPr>
        <w:t xml:space="preserve"> </w:t>
      </w:r>
      <w:r>
        <w:rPr>
          <w:rFonts w:ascii="SimSun" w:hAnsi="SimSun" w:eastAsia="SimSun" w:cs="SimSun"/>
          <w:sz w:val="21"/>
          <w:szCs w:val="21"/>
          <w:spacing w:val="2"/>
        </w:rPr>
        <w:t>式和质量等的计划变更进行评审并记录，从而避免计划实施后与预期产生不一致的</w:t>
      </w:r>
      <w:r>
        <w:rPr>
          <w:rFonts w:ascii="SimSun" w:hAnsi="SimSun" w:eastAsia="SimSun" w:cs="SimSun"/>
          <w:sz w:val="21"/>
          <w:szCs w:val="21"/>
          <w:spacing w:val="3"/>
        </w:rPr>
        <w:t xml:space="preserve"> </w:t>
      </w:r>
      <w:r>
        <w:rPr>
          <w:rFonts w:ascii="SimSun" w:hAnsi="SimSun" w:eastAsia="SimSun" w:cs="SimSun"/>
          <w:sz w:val="21"/>
          <w:szCs w:val="21"/>
          <w:spacing w:val="-1"/>
        </w:rPr>
        <w:t>情况，以达到持续改进的目的，确保满足业务目标和相关需求。</w:t>
      </w:r>
    </w:p>
    <w:p>
      <w:pPr>
        <w:spacing w:line="255" w:lineRule="auto"/>
        <w:sectPr>
          <w:footerReference w:type="default" r:id="rId308"/>
          <w:pgSz w:w="8870" w:h="13400"/>
          <w:pgMar w:top="400" w:right="728" w:bottom="528" w:left="294" w:header="0" w:footer="319" w:gutter="0"/>
        </w:sectPr>
        <w:rPr>
          <w:rFonts w:ascii="SimSun" w:hAnsi="SimSun" w:eastAsia="SimSun" w:cs="SimSun"/>
          <w:sz w:val="21"/>
          <w:szCs w:val="21"/>
        </w:rPr>
      </w:pPr>
    </w:p>
    <w:p>
      <w:pPr>
        <w:ind w:left="90"/>
        <w:spacing w:before="22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208" name="IM 208"/>
            <wp:cNvGraphicFramePr/>
            <a:graphic>
              <a:graphicData uri="http://schemas.openxmlformats.org/drawingml/2006/picture">
                <pic:pic>
                  <pic:nvPicPr>
                    <pic:cNvPr id="208" name="IM 208"/>
                    <pic:cNvPicPr/>
                  </pic:nvPicPr>
                  <pic:blipFill>
                    <a:blip r:embed="rId310"/>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673"/>
        <w:spacing w:before="293" w:line="221" w:lineRule="auto"/>
        <w:rPr>
          <w:rFonts w:ascii="SimHei" w:hAnsi="SimHei" w:eastAsia="SimHei" w:cs="SimHei"/>
          <w:sz w:val="22"/>
          <w:szCs w:val="22"/>
        </w:rPr>
      </w:pPr>
      <w:r>
        <w:rPr>
          <w:rFonts w:ascii="SimSun" w:hAnsi="SimSun" w:eastAsia="SimSun" w:cs="SimSun"/>
          <w:sz w:val="22"/>
          <w:szCs w:val="22"/>
          <w:b/>
          <w:bCs/>
          <w:spacing w:val="-5"/>
        </w:rPr>
        <w:t>Level</w:t>
      </w:r>
      <w:r>
        <w:rPr>
          <w:rFonts w:ascii="SimSun" w:hAnsi="SimSun" w:eastAsia="SimSun" w:cs="SimSun"/>
          <w:sz w:val="22"/>
          <w:szCs w:val="22"/>
          <w:spacing w:val="-5"/>
        </w:rPr>
        <w:t xml:space="preserve"> </w:t>
      </w:r>
      <w:r>
        <w:rPr>
          <w:rFonts w:ascii="SimSun" w:hAnsi="SimSun" w:eastAsia="SimSun" w:cs="SimSun"/>
          <w:sz w:val="22"/>
          <w:szCs w:val="22"/>
          <w:b/>
          <w:bCs/>
          <w:spacing w:val="-5"/>
        </w:rPr>
        <w:t>4:</w:t>
      </w:r>
      <w:r>
        <w:rPr>
          <w:rFonts w:ascii="SimHei" w:hAnsi="SimHei" w:eastAsia="SimHei" w:cs="SimHei"/>
          <w:sz w:val="22"/>
          <w:szCs w:val="22"/>
          <w:b/>
          <w:bCs/>
          <w:spacing w:val="-5"/>
        </w:rPr>
        <w:t>量化级</w:t>
      </w:r>
    </w:p>
    <w:p>
      <w:pPr>
        <w:spacing w:line="107" w:lineRule="exact"/>
        <w:rPr/>
      </w:pPr>
      <w:r/>
    </w:p>
    <w:tbl>
      <w:tblPr>
        <w:tblStyle w:val="TableNormal"/>
        <w:tblW w:w="7650" w:type="dxa"/>
        <w:tblInd w:w="2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50"/>
      </w:tblGrid>
      <w:tr>
        <w:trPr>
          <w:trHeight w:val="353" w:hRule="atLeast"/>
        </w:trPr>
        <w:tc>
          <w:tcPr>
            <w:tcW w:w="734" w:type="dxa"/>
            <w:vAlign w:val="top"/>
          </w:tcPr>
          <w:p>
            <w:pPr>
              <w:pStyle w:val="TableText"/>
              <w:ind w:left="205"/>
              <w:spacing w:before="102" w:line="221" w:lineRule="auto"/>
              <w:rPr/>
            </w:pPr>
            <w:r>
              <w:rPr>
                <w:spacing w:val="-2"/>
              </w:rPr>
              <w:t>序号</w:t>
            </w:r>
          </w:p>
        </w:tc>
        <w:tc>
          <w:tcPr>
            <w:tcW w:w="316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1167" w:hRule="atLeast"/>
        </w:trPr>
        <w:tc>
          <w:tcPr>
            <w:tcW w:w="734" w:type="dxa"/>
            <w:vAlign w:val="top"/>
          </w:tcPr>
          <w:p>
            <w:pPr>
              <w:spacing w:line="247" w:lineRule="auto"/>
              <w:rPr>
                <w:rFonts w:ascii="Arial"/>
                <w:sz w:val="21"/>
              </w:rPr>
            </w:pPr>
            <w:r/>
          </w:p>
          <w:p>
            <w:pPr>
              <w:spacing w:line="247" w:lineRule="auto"/>
              <w:rPr>
                <w:rFonts w:ascii="Arial"/>
                <w:sz w:val="21"/>
              </w:rPr>
            </w:pPr>
            <w:r/>
          </w:p>
          <w:p>
            <w:pPr>
              <w:pStyle w:val="TableText"/>
              <w:ind w:left="245"/>
              <w:spacing w:before="49" w:line="184" w:lineRule="auto"/>
              <w:rPr/>
            </w:pPr>
            <w:r>
              <w:rPr>
                <w:spacing w:val="-2"/>
              </w:rPr>
              <w:t>4.1</w:t>
            </w:r>
          </w:p>
        </w:tc>
        <w:tc>
          <w:tcPr>
            <w:tcW w:w="3166" w:type="dxa"/>
            <w:vAlign w:val="top"/>
          </w:tcPr>
          <w:p>
            <w:pPr>
              <w:pStyle w:val="TableText"/>
              <w:ind w:left="71" w:right="90" w:firstLine="149"/>
              <w:spacing w:before="236" w:line="304" w:lineRule="auto"/>
              <w:rPr/>
            </w:pPr>
            <w:r>
              <w:rPr/>
              <w:t>依据度量项评估数据需求定义是否满足了  </w:t>
            </w:r>
            <w:r>
              <w:rPr>
                <w:spacing w:val="-1"/>
              </w:rPr>
              <w:t>业务目标，并对无法满足业务需求的数据需求</w:t>
            </w:r>
            <w:r>
              <w:rPr>
                <w:spacing w:val="13"/>
              </w:rPr>
              <w:t xml:space="preserve"> </w:t>
            </w:r>
            <w:r>
              <w:rPr>
                <w:spacing w:val="5"/>
              </w:rPr>
              <w:t>定义进行纠正</w:t>
            </w:r>
          </w:p>
        </w:tc>
        <w:tc>
          <w:tcPr>
            <w:tcW w:w="3750" w:type="dxa"/>
            <w:vAlign w:val="top"/>
          </w:tcPr>
          <w:p>
            <w:pPr>
              <w:pStyle w:val="TableText"/>
              <w:ind w:left="95" w:right="178" w:firstLine="160"/>
              <w:spacing w:before="88" w:line="288" w:lineRule="auto"/>
              <w:rPr/>
            </w:pPr>
            <w:r>
              <w:rPr/>
              <w:t>●维护业务需求和数据需求间映射和可追溯性的标</w:t>
            </w:r>
            <w:r>
              <w:rPr>
                <w:spacing w:val="5"/>
              </w:rPr>
              <w:t xml:space="preserve"> </w:t>
            </w:r>
            <w:r>
              <w:rPr>
                <w:spacing w:val="-2"/>
              </w:rPr>
              <w:t>准工具集</w:t>
            </w:r>
          </w:p>
          <w:p>
            <w:pPr>
              <w:pStyle w:val="TableText"/>
              <w:ind w:left="95" w:right="178" w:firstLine="160"/>
              <w:spacing w:before="101" w:line="289" w:lineRule="auto"/>
              <w:rPr/>
            </w:pPr>
            <w:r>
              <w:rPr/>
              <w:t>●数据需求定义框架所采用的行业最佳实践的选择</w:t>
            </w:r>
            <w:r>
              <w:rPr>
                <w:spacing w:val="5"/>
              </w:rPr>
              <w:t xml:space="preserve"> </w:t>
            </w:r>
            <w:r>
              <w:rPr>
                <w:spacing w:val="-2"/>
              </w:rPr>
              <w:t>标准</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60" w:right="75" w:firstLine="409"/>
        <w:spacing w:before="60" w:line="245" w:lineRule="auto"/>
        <w:rPr>
          <w:rFonts w:ascii="SimSun" w:hAnsi="SimSun" w:eastAsia="SimSun" w:cs="SimSun"/>
          <w:sz w:val="22"/>
          <w:szCs w:val="22"/>
        </w:rPr>
      </w:pPr>
      <w:r>
        <w:rPr>
          <w:rFonts w:ascii="SimSun" w:hAnsi="SimSun" w:eastAsia="SimSun" w:cs="SimSun"/>
          <w:sz w:val="22"/>
          <w:szCs w:val="22"/>
          <w:spacing w:val="-8"/>
        </w:rPr>
        <w:t>组织开展云端数据治理的目的是要提高数据管理能力，</w:t>
      </w:r>
      <w:r>
        <w:rPr>
          <w:rFonts w:ascii="SimSun" w:hAnsi="SimSun" w:eastAsia="SimSun" w:cs="SimSun"/>
          <w:sz w:val="22"/>
          <w:szCs w:val="22"/>
          <w:spacing w:val="-9"/>
        </w:rPr>
        <w:t>实现业务目标。数据源</w:t>
      </w:r>
      <w:r>
        <w:rPr>
          <w:rFonts w:ascii="SimSun" w:hAnsi="SimSun" w:eastAsia="SimSun" w:cs="SimSun"/>
          <w:sz w:val="22"/>
          <w:szCs w:val="22"/>
        </w:rPr>
        <w:t xml:space="preserve"> </w:t>
      </w:r>
      <w:r>
        <w:rPr>
          <w:rFonts w:ascii="SimSun" w:hAnsi="SimSun" w:eastAsia="SimSun" w:cs="SimSun"/>
          <w:sz w:val="22"/>
          <w:szCs w:val="22"/>
          <w:spacing w:val="-9"/>
        </w:rPr>
        <w:t>是数据治理的重要内容，良好的数据有助于提高组织决策水平，而差的数据可能影</w:t>
      </w:r>
      <w:r>
        <w:rPr>
          <w:rFonts w:ascii="SimSun" w:hAnsi="SimSun" w:eastAsia="SimSun" w:cs="SimSun"/>
          <w:sz w:val="22"/>
          <w:szCs w:val="22"/>
          <w:spacing w:val="12"/>
        </w:rPr>
        <w:t xml:space="preserve"> </w:t>
      </w:r>
      <w:r>
        <w:rPr>
          <w:rFonts w:ascii="SimSun" w:hAnsi="SimSun" w:eastAsia="SimSun" w:cs="SimSun"/>
          <w:sz w:val="22"/>
          <w:szCs w:val="22"/>
          <w:spacing w:val="-9"/>
        </w:rPr>
        <w:t>响组织决策。在对数据需求进行定义时，要充分考虑到业务目标，例如提高客户满</w:t>
      </w:r>
      <w:r>
        <w:rPr>
          <w:rFonts w:ascii="SimSun" w:hAnsi="SimSun" w:eastAsia="SimSun" w:cs="SimSun"/>
          <w:sz w:val="22"/>
          <w:szCs w:val="22"/>
          <w:spacing w:val="12"/>
        </w:rPr>
        <w:t xml:space="preserve"> </w:t>
      </w:r>
      <w:r>
        <w:rPr>
          <w:rFonts w:ascii="SimSun" w:hAnsi="SimSun" w:eastAsia="SimSun" w:cs="SimSun"/>
          <w:sz w:val="22"/>
          <w:szCs w:val="22"/>
          <w:spacing w:val="-9"/>
        </w:rPr>
        <w:t>意度、提高产品质量、增强售后服务、开发精准营销等，组织应当针对不同目标采</w:t>
      </w:r>
      <w:r>
        <w:rPr>
          <w:rFonts w:ascii="SimSun" w:hAnsi="SimSun" w:eastAsia="SimSun" w:cs="SimSun"/>
          <w:sz w:val="22"/>
          <w:szCs w:val="22"/>
          <w:spacing w:val="12"/>
        </w:rPr>
        <w:t xml:space="preserve"> </w:t>
      </w:r>
      <w:r>
        <w:rPr>
          <w:rFonts w:ascii="SimSun" w:hAnsi="SimSun" w:eastAsia="SimSun" w:cs="SimSun"/>
          <w:sz w:val="22"/>
          <w:szCs w:val="22"/>
          <w:spacing w:val="-15"/>
        </w:rPr>
        <w:t>取最合适的数据。</w:t>
      </w:r>
    </w:p>
    <w:p>
      <w:pPr>
        <w:spacing w:line="145" w:lineRule="exact"/>
        <w:rPr/>
      </w:pPr>
      <w:r/>
    </w:p>
    <w:tbl>
      <w:tblPr>
        <w:tblStyle w:val="TableNormal"/>
        <w:tblW w:w="7650" w:type="dxa"/>
        <w:tblInd w:w="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50"/>
      </w:tblGrid>
      <w:tr>
        <w:trPr>
          <w:trHeight w:val="362" w:hRule="atLeast"/>
        </w:trPr>
        <w:tc>
          <w:tcPr>
            <w:tcW w:w="734" w:type="dxa"/>
            <w:vAlign w:val="top"/>
          </w:tcPr>
          <w:p>
            <w:pPr>
              <w:pStyle w:val="TableText"/>
              <w:ind w:left="204"/>
              <w:spacing w:before="112" w:line="221" w:lineRule="auto"/>
              <w:rPr/>
            </w:pPr>
            <w:r>
              <w:rPr>
                <w:spacing w:val="-2"/>
              </w:rPr>
              <w:t>序号</w:t>
            </w:r>
          </w:p>
        </w:tc>
        <w:tc>
          <w:tcPr>
            <w:tcW w:w="3166" w:type="dxa"/>
            <w:vAlign w:val="top"/>
          </w:tcPr>
          <w:p>
            <w:pPr>
              <w:pStyle w:val="TableText"/>
              <w:ind w:left="115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4"/>
              <w:spacing w:before="111" w:line="220" w:lineRule="auto"/>
              <w:rPr/>
            </w:pPr>
            <w:r>
              <w:rPr>
                <w:spacing w:val="-5"/>
              </w:rPr>
              <w:t>实</w:t>
            </w:r>
            <w:r>
              <w:rPr>
                <w:spacing w:val="6"/>
              </w:rPr>
              <w:t xml:space="preserve">    </w:t>
            </w:r>
            <w:r>
              <w:rPr>
                <w:spacing w:val="-5"/>
              </w:rPr>
              <w:t>例</w:t>
            </w:r>
          </w:p>
        </w:tc>
      </w:tr>
      <w:tr>
        <w:trPr>
          <w:trHeight w:val="878" w:hRule="atLeast"/>
        </w:trPr>
        <w:tc>
          <w:tcPr>
            <w:tcW w:w="734" w:type="dxa"/>
            <w:vAlign w:val="top"/>
          </w:tcPr>
          <w:p>
            <w:pPr>
              <w:spacing w:line="356" w:lineRule="auto"/>
              <w:rPr>
                <w:rFonts w:ascii="Arial"/>
                <w:sz w:val="21"/>
              </w:rPr>
            </w:pPr>
            <w:r/>
          </w:p>
          <w:p>
            <w:pPr>
              <w:pStyle w:val="TableText"/>
              <w:ind w:left="244"/>
              <w:spacing w:before="49" w:line="183" w:lineRule="auto"/>
              <w:rPr/>
            </w:pPr>
            <w:r>
              <w:rPr>
                <w:spacing w:val="-2"/>
              </w:rPr>
              <w:t>4.2</w:t>
            </w:r>
          </w:p>
        </w:tc>
        <w:tc>
          <w:tcPr>
            <w:tcW w:w="3166" w:type="dxa"/>
            <w:vAlign w:val="top"/>
          </w:tcPr>
          <w:p>
            <w:pPr>
              <w:pStyle w:val="TableText"/>
              <w:ind w:left="221"/>
              <w:spacing w:before="99" w:line="219" w:lineRule="auto"/>
              <w:rPr/>
            </w:pPr>
            <w:r>
              <w:rPr>
                <w:spacing w:val="-1"/>
              </w:rPr>
              <w:t>使用统计和其他量化方法对与服务水平协</w:t>
            </w:r>
          </w:p>
          <w:p>
            <w:pPr>
              <w:pStyle w:val="TableText"/>
              <w:ind w:left="100" w:right="92" w:hanging="29"/>
              <w:spacing w:before="102" w:line="288" w:lineRule="auto"/>
              <w:rPr/>
            </w:pPr>
            <w:r>
              <w:rPr>
                <w:spacing w:val="-1"/>
              </w:rPr>
              <w:t>议相关的关键性能度量项进行分析和评审，并</w:t>
            </w:r>
            <w:r>
              <w:rPr>
                <w:spacing w:val="11"/>
              </w:rPr>
              <w:t xml:space="preserve"> </w:t>
            </w:r>
            <w:r>
              <w:rPr>
                <w:spacing w:val="-1"/>
              </w:rPr>
              <w:t>使用这些度量项来识别和解决问题</w:t>
            </w:r>
          </w:p>
        </w:tc>
        <w:tc>
          <w:tcPr>
            <w:tcW w:w="3750" w:type="dxa"/>
            <w:vAlign w:val="top"/>
          </w:tcPr>
          <w:p>
            <w:pPr>
              <w:spacing w:line="318" w:lineRule="auto"/>
              <w:rPr>
                <w:rFonts w:ascii="Arial"/>
                <w:sz w:val="21"/>
              </w:rPr>
            </w:pPr>
            <w:r/>
          </w:p>
          <w:p>
            <w:pPr>
              <w:pStyle w:val="TableText"/>
              <w:ind w:left="264"/>
              <w:spacing w:before="49" w:line="219" w:lineRule="auto"/>
              <w:rPr/>
            </w:pPr>
            <w:r>
              <w:rPr/>
              <w:t>●服务水平协议评审记录</w:t>
            </w:r>
          </w:p>
        </w:tc>
      </w:tr>
    </w:tbl>
    <w:p>
      <w:pPr>
        <w:ind w:left="560"/>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60" w:right="75" w:firstLine="409"/>
        <w:spacing w:before="57" w:line="241" w:lineRule="auto"/>
        <w:rPr>
          <w:rFonts w:ascii="SimSun" w:hAnsi="SimSun" w:eastAsia="SimSun" w:cs="SimSun"/>
          <w:sz w:val="22"/>
          <w:szCs w:val="22"/>
        </w:rPr>
      </w:pPr>
      <w:r>
        <w:rPr>
          <w:rFonts w:ascii="SimSun" w:hAnsi="SimSun" w:eastAsia="SimSun" w:cs="SimSun"/>
          <w:sz w:val="22"/>
          <w:szCs w:val="22"/>
          <w:spacing w:val="-8"/>
        </w:rPr>
        <w:t>对与服务水平协议相关的关键性能度量不再仅仅依靠定性</w:t>
      </w:r>
      <w:r>
        <w:rPr>
          <w:rFonts w:ascii="SimSun" w:hAnsi="SimSun" w:eastAsia="SimSun" w:cs="SimSun"/>
          <w:sz w:val="22"/>
          <w:szCs w:val="22"/>
          <w:spacing w:val="-9"/>
        </w:rPr>
        <w:t>评价，而是增加了统</w:t>
      </w:r>
      <w:r>
        <w:rPr>
          <w:rFonts w:ascii="SimSun" w:hAnsi="SimSun" w:eastAsia="SimSun" w:cs="SimSun"/>
          <w:sz w:val="22"/>
          <w:szCs w:val="22"/>
        </w:rPr>
        <w:t xml:space="preserve"> </w:t>
      </w:r>
      <w:r>
        <w:rPr>
          <w:rFonts w:ascii="SimSun" w:hAnsi="SimSun" w:eastAsia="SimSun" w:cs="SimSun"/>
          <w:sz w:val="22"/>
          <w:szCs w:val="22"/>
          <w:spacing w:val="-9"/>
        </w:rPr>
        <w:t>计学或其他专业度量手段来衡量，全面透彻分析其对组织业务的作用影响。关键性</w:t>
      </w:r>
      <w:r>
        <w:rPr>
          <w:rFonts w:ascii="SimSun" w:hAnsi="SimSun" w:eastAsia="SimSun" w:cs="SimSun"/>
          <w:sz w:val="22"/>
          <w:szCs w:val="22"/>
          <w:spacing w:val="11"/>
        </w:rPr>
        <w:t xml:space="preserve"> </w:t>
      </w:r>
      <w:r>
        <w:rPr>
          <w:rFonts w:ascii="SimSun" w:hAnsi="SimSun" w:eastAsia="SimSun" w:cs="SimSun"/>
          <w:sz w:val="22"/>
          <w:szCs w:val="22"/>
          <w:spacing w:val="-9"/>
        </w:rPr>
        <w:t>能度量项可以从成本、实施风险和维护等方面来考虑选取。</w:t>
      </w:r>
    </w:p>
    <w:p>
      <w:pPr>
        <w:spacing w:line="127" w:lineRule="exact"/>
        <w:rPr/>
      </w:pPr>
      <w:r/>
    </w:p>
    <w:tbl>
      <w:tblPr>
        <w:tblStyle w:val="TableNormal"/>
        <w:tblW w:w="7660"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60"/>
      </w:tblGrid>
      <w:tr>
        <w:trPr>
          <w:trHeight w:val="363" w:hRule="atLeast"/>
        </w:trPr>
        <w:tc>
          <w:tcPr>
            <w:tcW w:w="734" w:type="dxa"/>
            <w:vAlign w:val="top"/>
          </w:tcPr>
          <w:p>
            <w:pPr>
              <w:pStyle w:val="TableText"/>
              <w:ind w:left="205"/>
              <w:spacing w:before="111" w:line="221" w:lineRule="auto"/>
              <w:rPr/>
            </w:pPr>
            <w:r>
              <w:rPr>
                <w:spacing w:val="-2"/>
              </w:rPr>
              <w:t>序号</w:t>
            </w:r>
          </w:p>
        </w:tc>
        <w:tc>
          <w:tcPr>
            <w:tcW w:w="3166" w:type="dxa"/>
            <w:vAlign w:val="top"/>
          </w:tcPr>
          <w:p>
            <w:pPr>
              <w:pStyle w:val="TableText"/>
              <w:ind w:left="116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5"/>
              <w:spacing w:before="111" w:line="220" w:lineRule="auto"/>
              <w:rPr/>
            </w:pPr>
            <w:r>
              <w:rPr>
                <w:spacing w:val="-5"/>
              </w:rPr>
              <w:t>实</w:t>
            </w:r>
            <w:r>
              <w:rPr>
                <w:spacing w:val="1"/>
              </w:rPr>
              <w:t xml:space="preserve">   </w:t>
            </w:r>
            <w:r>
              <w:rPr>
                <w:spacing w:val="-5"/>
              </w:rPr>
              <w:t>例</w:t>
            </w:r>
          </w:p>
        </w:tc>
      </w:tr>
      <w:tr>
        <w:trPr>
          <w:trHeight w:val="1157" w:hRule="atLeast"/>
        </w:trPr>
        <w:tc>
          <w:tcPr>
            <w:tcW w:w="734" w:type="dxa"/>
            <w:vAlign w:val="top"/>
          </w:tcPr>
          <w:p>
            <w:pPr>
              <w:spacing w:line="247" w:lineRule="auto"/>
              <w:rPr>
                <w:rFonts w:ascii="Arial"/>
                <w:sz w:val="21"/>
              </w:rPr>
            </w:pPr>
            <w:r/>
          </w:p>
          <w:p>
            <w:pPr>
              <w:spacing w:line="248" w:lineRule="auto"/>
              <w:rPr>
                <w:rFonts w:ascii="Arial"/>
                <w:sz w:val="21"/>
              </w:rPr>
            </w:pPr>
            <w:r/>
          </w:p>
          <w:p>
            <w:pPr>
              <w:pStyle w:val="TableText"/>
              <w:ind w:left="245"/>
              <w:spacing w:before="48" w:line="183" w:lineRule="auto"/>
              <w:rPr/>
            </w:pPr>
            <w:r>
              <w:rPr>
                <w:spacing w:val="-2"/>
              </w:rPr>
              <w:t>4.3</w:t>
            </w:r>
          </w:p>
        </w:tc>
        <w:tc>
          <w:tcPr>
            <w:tcW w:w="3166" w:type="dxa"/>
            <w:vAlign w:val="top"/>
          </w:tcPr>
          <w:p>
            <w:pPr>
              <w:spacing w:line="326" w:lineRule="auto"/>
              <w:rPr>
                <w:rFonts w:ascii="Arial"/>
                <w:sz w:val="21"/>
              </w:rPr>
            </w:pPr>
            <w:r/>
          </w:p>
          <w:p>
            <w:pPr>
              <w:pStyle w:val="TableText"/>
              <w:ind w:left="130" w:right="40" w:firstLine="140"/>
              <w:spacing w:before="48" w:line="282" w:lineRule="auto"/>
              <w:rPr/>
            </w:pPr>
            <w:r>
              <w:rPr>
                <w:spacing w:val="-1"/>
              </w:rPr>
              <w:t>根据提供者的评估结果和预期的数据需求，</w:t>
            </w:r>
            <w:r>
              <w:rPr>
                <w:spacing w:val="12"/>
              </w:rPr>
              <w:t xml:space="preserve"> </w:t>
            </w:r>
            <w:r>
              <w:rPr/>
              <w:t>与已选择的外部提供者建立伙伴关系</w:t>
            </w:r>
          </w:p>
        </w:tc>
        <w:tc>
          <w:tcPr>
            <w:tcW w:w="3760" w:type="dxa"/>
            <w:vAlign w:val="top"/>
          </w:tcPr>
          <w:p>
            <w:pPr>
              <w:pStyle w:val="TableText"/>
              <w:ind w:left="255"/>
              <w:spacing w:before="96" w:line="218" w:lineRule="auto"/>
              <w:rPr/>
            </w:pPr>
            <w:r>
              <w:rPr/>
              <w:t>●性能报告、仪表板、记分卡和热图</w:t>
            </w:r>
          </w:p>
          <w:p>
            <w:pPr>
              <w:pStyle w:val="TableText"/>
              <w:ind w:left="255"/>
              <w:spacing w:before="103" w:line="219" w:lineRule="auto"/>
              <w:rPr/>
            </w:pPr>
            <w:r>
              <w:rPr>
                <w:spacing w:val="1"/>
              </w:rPr>
              <w:t>●对数据提供者打分的准则</w:t>
            </w:r>
          </w:p>
          <w:p>
            <w:pPr>
              <w:pStyle w:val="TableText"/>
              <w:ind w:left="255"/>
              <w:spacing w:before="101" w:line="218" w:lineRule="auto"/>
              <w:rPr/>
            </w:pPr>
            <w:r>
              <w:rPr/>
              <w:t>●提供者绩效的分析报告</w:t>
            </w:r>
          </w:p>
          <w:p>
            <w:pPr>
              <w:pStyle w:val="TableText"/>
              <w:ind w:left="255"/>
              <w:spacing w:before="103" w:line="219" w:lineRule="auto"/>
              <w:rPr/>
            </w:pPr>
            <w:r>
              <w:rPr/>
              <w:t>●对提供者服务水平协议进行变更的建议</w:t>
            </w:r>
          </w:p>
        </w:tc>
      </w:tr>
    </w:tbl>
    <w:p>
      <w:pPr>
        <w:ind w:left="56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60" w:right="96" w:firstLine="409"/>
        <w:spacing w:before="57" w:line="236" w:lineRule="auto"/>
        <w:rPr>
          <w:rFonts w:ascii="SimSun" w:hAnsi="SimSun" w:eastAsia="SimSun" w:cs="SimSun"/>
          <w:sz w:val="22"/>
          <w:szCs w:val="22"/>
        </w:rPr>
      </w:pPr>
      <w:r>
        <w:rPr>
          <w:rFonts w:ascii="SimSun" w:hAnsi="SimSun" w:eastAsia="SimSun" w:cs="SimSun"/>
          <w:sz w:val="22"/>
          <w:szCs w:val="22"/>
          <w:spacing w:val="-9"/>
        </w:rPr>
        <w:t>组织根据预估数据需求对数据提供者进行评估，并追溯到潜在的数据源，建立</w:t>
      </w:r>
      <w:r>
        <w:rPr>
          <w:rFonts w:ascii="SimSun" w:hAnsi="SimSun" w:eastAsia="SimSun" w:cs="SimSun"/>
          <w:sz w:val="22"/>
          <w:szCs w:val="22"/>
          <w:spacing w:val="3"/>
        </w:rPr>
        <w:t xml:space="preserve"> </w:t>
      </w:r>
      <w:r>
        <w:rPr>
          <w:rFonts w:ascii="SimSun" w:hAnsi="SimSun" w:eastAsia="SimSun" w:cs="SimSun"/>
          <w:sz w:val="22"/>
          <w:szCs w:val="22"/>
          <w:spacing w:val="-12"/>
        </w:rPr>
        <w:t>合作关系，以确保达到业务目标。</w:t>
      </w:r>
    </w:p>
    <w:p>
      <w:pPr>
        <w:ind w:left="670"/>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30"/>
          <w:w w:val="101"/>
        </w:rPr>
        <w:t xml:space="preserve"> </w:t>
      </w: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4"/>
        </w:rPr>
        <w:t>优化级</w:t>
      </w:r>
    </w:p>
    <w:p>
      <w:pPr>
        <w:spacing w:line="128" w:lineRule="exact"/>
        <w:rPr/>
      </w:pPr>
      <w:r/>
    </w:p>
    <w:tbl>
      <w:tblPr>
        <w:tblStyle w:val="TableNormal"/>
        <w:tblW w:w="7650"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50"/>
      </w:tblGrid>
      <w:tr>
        <w:trPr>
          <w:trHeight w:val="353" w:hRule="atLeast"/>
        </w:trPr>
        <w:tc>
          <w:tcPr>
            <w:tcW w:w="734" w:type="dxa"/>
            <w:vAlign w:val="top"/>
          </w:tcPr>
          <w:p>
            <w:pPr>
              <w:pStyle w:val="TableText"/>
              <w:ind w:left="204"/>
              <w:spacing w:before="102" w:line="221" w:lineRule="auto"/>
              <w:rPr/>
            </w:pPr>
            <w:r>
              <w:rPr>
                <w:spacing w:val="-2"/>
              </w:rPr>
              <w:t>序号</w:t>
            </w:r>
          </w:p>
        </w:tc>
        <w:tc>
          <w:tcPr>
            <w:tcW w:w="3166"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64"/>
              <w:spacing w:before="101" w:line="220" w:lineRule="auto"/>
              <w:rPr/>
            </w:pPr>
            <w:r>
              <w:rPr>
                <w:spacing w:val="-5"/>
              </w:rPr>
              <w:t>实</w:t>
            </w:r>
            <w:r>
              <w:rPr>
                <w:spacing w:val="1"/>
              </w:rPr>
              <w:t xml:space="preserve">   </w:t>
            </w:r>
            <w:r>
              <w:rPr>
                <w:spacing w:val="-5"/>
              </w:rPr>
              <w:t>例</w:t>
            </w:r>
          </w:p>
        </w:tc>
      </w:tr>
      <w:tr>
        <w:trPr>
          <w:trHeight w:val="602" w:hRule="atLeast"/>
        </w:trPr>
        <w:tc>
          <w:tcPr>
            <w:tcW w:w="734" w:type="dxa"/>
            <w:vAlign w:val="top"/>
            <w:tcBorders>
              <w:bottom w:val="single" w:color="000000" w:sz="2" w:space="0"/>
            </w:tcBorders>
          </w:tcPr>
          <w:p>
            <w:pPr>
              <w:pStyle w:val="TableText"/>
              <w:ind w:left="244"/>
              <w:spacing w:before="266" w:line="184" w:lineRule="auto"/>
              <w:rPr/>
            </w:pPr>
            <w:r>
              <w:rPr>
                <w:spacing w:val="-2"/>
              </w:rPr>
              <w:t>5.1</w:t>
            </w:r>
          </w:p>
        </w:tc>
        <w:tc>
          <w:tcPr>
            <w:tcW w:w="3166" w:type="dxa"/>
            <w:vAlign w:val="top"/>
            <w:tcBorders>
              <w:bottom w:val="single" w:color="000000" w:sz="2" w:space="0"/>
            </w:tcBorders>
          </w:tcPr>
          <w:p>
            <w:pPr>
              <w:pStyle w:val="TableText"/>
              <w:ind w:left="120" w:right="201" w:firstLine="140"/>
              <w:spacing w:before="97" w:line="282" w:lineRule="auto"/>
              <w:rPr/>
            </w:pPr>
            <w:r>
              <w:rPr>
                <w:spacing w:val="-1"/>
              </w:rPr>
              <w:t>使用提供者过程的统计和量化分析来改进</w:t>
            </w:r>
            <w:r>
              <w:rPr>
                <w:spacing w:val="10"/>
              </w:rPr>
              <w:t xml:space="preserve"> </w:t>
            </w:r>
            <w:r>
              <w:rPr>
                <w:spacing w:val="-1"/>
              </w:rPr>
              <w:t>过程并保证业务目标得到充分支持</w:t>
            </w:r>
          </w:p>
        </w:tc>
        <w:tc>
          <w:tcPr>
            <w:tcW w:w="3750" w:type="dxa"/>
            <w:vAlign w:val="top"/>
            <w:tcBorders>
              <w:bottom w:val="single" w:color="000000" w:sz="2" w:space="0"/>
            </w:tcBorders>
          </w:tcPr>
          <w:p>
            <w:pPr>
              <w:pStyle w:val="TableText"/>
              <w:ind w:left="274"/>
              <w:spacing w:before="227" w:line="219" w:lineRule="auto"/>
              <w:rPr/>
            </w:pPr>
            <w:r>
              <w:rPr/>
              <w:t>●数据提供者过程记录</w:t>
            </w:r>
          </w:p>
        </w:tc>
      </w:tr>
    </w:tbl>
    <w:p>
      <w:pPr>
        <w:pStyle w:val="BodyText"/>
        <w:rPr/>
      </w:pPr>
      <w:r/>
    </w:p>
    <w:p>
      <w:pPr>
        <w:sectPr>
          <w:footerReference w:type="default" r:id="rId309"/>
          <w:pgSz w:w="8870" w:h="13400"/>
          <w:pgMar w:top="400" w:right="324" w:bottom="455" w:left="599" w:header="0" w:footer="236" w:gutter="0"/>
        </w:sectPr>
        <w:rPr/>
      </w:pPr>
    </w:p>
    <w:p>
      <w:pPr>
        <w:ind w:left="5508"/>
        <w:spacing w:before="134" w:line="219" w:lineRule="auto"/>
        <w:rPr>
          <w:rFonts w:ascii="SimSun" w:hAnsi="SimSun" w:eastAsia="SimSun" w:cs="SimSun"/>
          <w:sz w:val="22"/>
          <w:szCs w:val="22"/>
        </w:rPr>
      </w:pPr>
      <w:r>
        <w:rPr>
          <w:rFonts w:ascii="SimSun" w:hAnsi="SimSun" w:eastAsia="SimSun" w:cs="SimSun"/>
          <w:sz w:val="22"/>
          <w:szCs w:val="22"/>
          <w:b/>
          <w:bCs/>
          <w:spacing w:val="5"/>
        </w:rPr>
        <w:t>第7章■云端数据操作</w:t>
      </w:r>
    </w:p>
    <w:p>
      <w:pPr>
        <w:pStyle w:val="BodyText"/>
        <w:rPr/>
      </w:pPr>
      <w:r/>
    </w:p>
    <w:p>
      <w:pPr>
        <w:ind w:left="305"/>
        <w:spacing w:before="72"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5" w:right="245" w:firstLine="400"/>
        <w:spacing w:before="38" w:line="248" w:lineRule="auto"/>
        <w:rPr>
          <w:rFonts w:ascii="SimSun" w:hAnsi="SimSun" w:eastAsia="SimSun" w:cs="SimSun"/>
          <w:sz w:val="22"/>
          <w:szCs w:val="22"/>
        </w:rPr>
      </w:pPr>
      <w:r>
        <w:rPr>
          <w:rFonts w:ascii="SimSun" w:hAnsi="SimSun" w:eastAsia="SimSun" w:cs="SimSun"/>
          <w:sz w:val="22"/>
          <w:szCs w:val="22"/>
          <w:spacing w:val="-8"/>
        </w:rPr>
        <w:t>组织对数据提供者过程的统计结果进行分析，找出存在</w:t>
      </w:r>
      <w:r>
        <w:rPr>
          <w:rFonts w:ascii="SimSun" w:hAnsi="SimSun" w:eastAsia="SimSun" w:cs="SimSun"/>
          <w:sz w:val="22"/>
          <w:szCs w:val="22"/>
          <w:spacing w:val="-9"/>
        </w:rPr>
        <w:t>的不足并制订相应的改</w:t>
      </w:r>
      <w:r>
        <w:rPr>
          <w:rFonts w:ascii="SimSun" w:hAnsi="SimSun" w:eastAsia="SimSun" w:cs="SimSun"/>
          <w:sz w:val="22"/>
          <w:szCs w:val="22"/>
        </w:rPr>
        <w:t xml:space="preserve"> </w:t>
      </w:r>
      <w:r>
        <w:rPr>
          <w:rFonts w:ascii="SimSun" w:hAnsi="SimSun" w:eastAsia="SimSun" w:cs="SimSun"/>
          <w:sz w:val="22"/>
          <w:szCs w:val="22"/>
          <w:spacing w:val="-12"/>
        </w:rPr>
        <w:t>进措施来确保对业务目标的支撑及实现。</w:t>
      </w:r>
    </w:p>
    <w:p>
      <w:pPr>
        <w:spacing w:line="114" w:lineRule="exact"/>
        <w:rPr/>
      </w:pPr>
      <w:r/>
    </w:p>
    <w:tbl>
      <w:tblPr>
        <w:tblStyle w:val="TableNormal"/>
        <w:tblW w:w="76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46"/>
        <w:gridCol w:w="3770"/>
      </w:tblGrid>
      <w:tr>
        <w:trPr>
          <w:trHeight w:val="363" w:hRule="atLeast"/>
        </w:trPr>
        <w:tc>
          <w:tcPr>
            <w:tcW w:w="734" w:type="dxa"/>
            <w:vAlign w:val="top"/>
          </w:tcPr>
          <w:p>
            <w:pPr>
              <w:pStyle w:val="TableText"/>
              <w:ind w:left="205"/>
              <w:spacing w:before="111" w:line="221" w:lineRule="auto"/>
              <w:rPr/>
            </w:pPr>
            <w:r>
              <w:rPr>
                <w:spacing w:val="-2"/>
              </w:rPr>
              <w:t>序号</w:t>
            </w:r>
          </w:p>
        </w:tc>
        <w:tc>
          <w:tcPr>
            <w:tcW w:w="3146" w:type="dxa"/>
            <w:vAlign w:val="top"/>
          </w:tcPr>
          <w:p>
            <w:pPr>
              <w:pStyle w:val="TableText"/>
              <w:ind w:left="115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75"/>
              <w:spacing w:before="111" w:line="220" w:lineRule="auto"/>
              <w:rPr/>
            </w:pPr>
            <w:r>
              <w:rPr>
                <w:spacing w:val="-5"/>
              </w:rPr>
              <w:t>实</w:t>
            </w:r>
            <w:r>
              <w:rPr>
                <w:spacing w:val="1"/>
              </w:rPr>
              <w:t xml:space="preserve">   </w:t>
            </w:r>
            <w:r>
              <w:rPr>
                <w:spacing w:val="-5"/>
              </w:rPr>
              <w:t>例</w:t>
            </w:r>
          </w:p>
        </w:tc>
      </w:tr>
      <w:tr>
        <w:trPr>
          <w:trHeight w:val="1147" w:hRule="atLeast"/>
        </w:trPr>
        <w:tc>
          <w:tcPr>
            <w:tcW w:w="734" w:type="dxa"/>
            <w:vAlign w:val="top"/>
          </w:tcPr>
          <w:p>
            <w:pPr>
              <w:spacing w:line="242" w:lineRule="auto"/>
              <w:rPr>
                <w:rFonts w:ascii="Arial"/>
                <w:sz w:val="21"/>
              </w:rPr>
            </w:pPr>
            <w:r/>
          </w:p>
          <w:p>
            <w:pPr>
              <w:spacing w:line="243" w:lineRule="auto"/>
              <w:rPr>
                <w:rFonts w:ascii="Arial"/>
                <w:sz w:val="21"/>
              </w:rPr>
            </w:pPr>
            <w:r/>
          </w:p>
          <w:p>
            <w:pPr>
              <w:pStyle w:val="TableText"/>
              <w:ind w:left="245"/>
              <w:spacing w:before="48" w:line="183" w:lineRule="auto"/>
              <w:rPr/>
            </w:pPr>
            <w:r>
              <w:rPr>
                <w:spacing w:val="-2"/>
              </w:rPr>
              <w:t>5.2</w:t>
            </w:r>
          </w:p>
        </w:tc>
        <w:tc>
          <w:tcPr>
            <w:tcW w:w="3146" w:type="dxa"/>
            <w:vAlign w:val="top"/>
          </w:tcPr>
          <w:p>
            <w:pPr>
              <w:spacing w:line="336" w:lineRule="auto"/>
              <w:rPr>
                <w:rFonts w:ascii="Arial"/>
                <w:sz w:val="21"/>
              </w:rPr>
            </w:pPr>
            <w:r/>
          </w:p>
          <w:p>
            <w:pPr>
              <w:pStyle w:val="TableText"/>
              <w:ind w:left="101" w:right="163" w:firstLine="179"/>
              <w:spacing w:before="48" w:line="282" w:lineRule="auto"/>
              <w:rPr/>
            </w:pPr>
            <w:r>
              <w:rPr>
                <w:spacing w:val="-1"/>
              </w:rPr>
              <w:t>与同行分享数据提供者管理经验以及改进</w:t>
            </w:r>
            <w:r>
              <w:rPr>
                <w:spacing w:val="8"/>
              </w:rPr>
              <w:t xml:space="preserve"> </w:t>
            </w:r>
            <w:r>
              <w:rPr>
                <w:spacing w:val="-1"/>
              </w:rPr>
              <w:t>后的最佳实践</w:t>
            </w:r>
          </w:p>
        </w:tc>
        <w:tc>
          <w:tcPr>
            <w:tcW w:w="3770" w:type="dxa"/>
            <w:vAlign w:val="top"/>
          </w:tcPr>
          <w:p>
            <w:pPr>
              <w:pStyle w:val="TableText"/>
              <w:ind w:left="265"/>
              <w:spacing w:before="88" w:line="220" w:lineRule="auto"/>
              <w:rPr/>
            </w:pPr>
            <w:r>
              <w:rPr>
                <w:spacing w:val="1"/>
              </w:rPr>
              <w:t>●分析结果</w:t>
            </w:r>
          </w:p>
          <w:p>
            <w:pPr>
              <w:pStyle w:val="TableText"/>
              <w:ind w:left="265"/>
              <w:spacing w:before="109" w:line="219" w:lineRule="auto"/>
              <w:rPr/>
            </w:pPr>
            <w:r>
              <w:rPr/>
              <w:t>●与数据采购绩效相关的建议</w:t>
            </w:r>
          </w:p>
          <w:p>
            <w:pPr>
              <w:pStyle w:val="TableText"/>
              <w:ind w:left="265"/>
              <w:spacing w:before="112" w:line="219" w:lineRule="auto"/>
              <w:rPr/>
            </w:pPr>
            <w:r>
              <w:rPr/>
              <w:t>●数据源与业务目标相符的机制</w:t>
            </w:r>
          </w:p>
          <w:p>
            <w:pPr>
              <w:pStyle w:val="TableText"/>
              <w:ind w:left="265"/>
              <w:spacing w:before="82" w:line="219" w:lineRule="auto"/>
              <w:rPr/>
            </w:pPr>
            <w:r>
              <w:rPr/>
              <w:t>●演示、文章和白皮书</w:t>
            </w:r>
          </w:p>
        </w:tc>
      </w:tr>
    </w:tbl>
    <w:p>
      <w:pPr>
        <w:ind w:left="305"/>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5" w:right="244" w:firstLine="379"/>
        <w:spacing w:before="37" w:line="244" w:lineRule="auto"/>
        <w:rPr>
          <w:rFonts w:ascii="SimSun" w:hAnsi="SimSun" w:eastAsia="SimSun" w:cs="SimSun"/>
          <w:sz w:val="22"/>
          <w:szCs w:val="22"/>
        </w:rPr>
      </w:pPr>
      <w:r>
        <w:rPr>
          <w:rFonts w:ascii="SimSun" w:hAnsi="SimSun" w:eastAsia="SimSun" w:cs="SimSun"/>
          <w:sz w:val="22"/>
          <w:szCs w:val="22"/>
          <w:spacing w:val="-8"/>
        </w:rPr>
        <w:t>组织在相关活动上应该积极分享实践成功经验，例如对外</w:t>
      </w:r>
      <w:r>
        <w:rPr>
          <w:rFonts w:ascii="SimSun" w:hAnsi="SimSun" w:eastAsia="SimSun" w:cs="SimSun"/>
          <w:sz w:val="22"/>
          <w:szCs w:val="22"/>
          <w:spacing w:val="-9"/>
        </w:rPr>
        <w:t>发布白皮书、行业最</w:t>
      </w:r>
      <w:r>
        <w:rPr>
          <w:rFonts w:ascii="SimSun" w:hAnsi="SimSun" w:eastAsia="SimSun" w:cs="SimSun"/>
          <w:sz w:val="22"/>
          <w:szCs w:val="22"/>
        </w:rPr>
        <w:t xml:space="preserve"> </w:t>
      </w:r>
      <w:r>
        <w:rPr>
          <w:rFonts w:ascii="SimSun" w:hAnsi="SimSun" w:eastAsia="SimSun" w:cs="SimSun"/>
          <w:sz w:val="22"/>
          <w:szCs w:val="22"/>
          <w:spacing w:val="-11"/>
        </w:rPr>
        <w:t>佳实践、论文等资料，为行业最佳实践做贡献。</w:t>
      </w:r>
    </w:p>
    <w:p>
      <w:pPr>
        <w:ind w:left="418"/>
        <w:spacing w:before="226" w:line="222" w:lineRule="auto"/>
        <w:outlineLvl w:val="4"/>
        <w:rPr>
          <w:rFonts w:ascii="SimHei" w:hAnsi="SimHei" w:eastAsia="SimHei" w:cs="SimHei"/>
          <w:sz w:val="22"/>
          <w:szCs w:val="22"/>
        </w:rPr>
      </w:pPr>
      <w:r>
        <w:rPr>
          <w:rFonts w:ascii="SimHei" w:hAnsi="SimHei" w:eastAsia="SimHei" w:cs="SimHei"/>
          <w:sz w:val="22"/>
          <w:szCs w:val="22"/>
          <w:b/>
          <w:bCs/>
          <w:spacing w:val="-3"/>
        </w:rPr>
        <w:t>4.</w:t>
      </w:r>
      <w:r>
        <w:rPr>
          <w:rFonts w:ascii="SimHei" w:hAnsi="SimHei" w:eastAsia="SimHei" w:cs="SimHei"/>
          <w:sz w:val="22"/>
          <w:szCs w:val="22"/>
          <w:spacing w:val="-3"/>
        </w:rPr>
        <w:t xml:space="preserve"> </w:t>
      </w:r>
      <w:r>
        <w:rPr>
          <w:rFonts w:ascii="SimHei" w:hAnsi="SimHei" w:eastAsia="SimHei" w:cs="SimHei"/>
          <w:sz w:val="22"/>
          <w:szCs w:val="22"/>
          <w:b/>
          <w:bCs/>
          <w:spacing w:val="-3"/>
        </w:rPr>
        <w:t>实施案例</w:t>
      </w:r>
    </w:p>
    <w:p>
      <w:pPr>
        <w:ind w:left="415"/>
        <w:spacing w:before="200" w:line="219" w:lineRule="auto"/>
        <w:rPr>
          <w:rFonts w:ascii="SimSun" w:hAnsi="SimSun" w:eastAsia="SimSun" w:cs="SimSun"/>
          <w:sz w:val="22"/>
          <w:szCs w:val="22"/>
        </w:rPr>
      </w:pPr>
      <w:r>
        <w:rPr>
          <w:rFonts w:ascii="SimSun" w:hAnsi="SimSun" w:eastAsia="SimSun" w:cs="SimSun"/>
          <w:sz w:val="22"/>
          <w:szCs w:val="22"/>
        </w:rPr>
        <w:t>(1)文件名称列表</w:t>
      </w:r>
    </w:p>
    <w:p>
      <w:pPr>
        <w:ind w:left="305"/>
        <w:spacing w:before="48" w:line="311" w:lineRule="exact"/>
        <w:rPr>
          <w:rFonts w:ascii="SimSun" w:hAnsi="SimSun" w:eastAsia="SimSun" w:cs="SimSun"/>
          <w:sz w:val="22"/>
          <w:szCs w:val="22"/>
        </w:rPr>
      </w:pPr>
      <w:r>
        <w:rPr>
          <w:rFonts w:ascii="SimSun" w:hAnsi="SimSun" w:eastAsia="SimSun" w:cs="SimSun"/>
          <w:sz w:val="22"/>
          <w:szCs w:val="22"/>
          <w:spacing w:val="-11"/>
          <w:position w:val="6"/>
        </w:rPr>
        <w:t>《数据采集需求说明书》</w:t>
      </w:r>
    </w:p>
    <w:p>
      <w:pPr>
        <w:ind w:left="415"/>
        <w:spacing w:line="219" w:lineRule="auto"/>
        <w:rPr>
          <w:rFonts w:ascii="SimSun" w:hAnsi="SimSun" w:eastAsia="SimSun" w:cs="SimSun"/>
          <w:sz w:val="22"/>
          <w:szCs w:val="22"/>
        </w:rPr>
      </w:pPr>
      <w:r>
        <w:rPr>
          <w:rFonts w:ascii="SimSun" w:hAnsi="SimSun" w:eastAsia="SimSun" w:cs="SimSun"/>
          <w:sz w:val="22"/>
          <w:szCs w:val="22"/>
        </w:rPr>
        <w:t>(2)记录文件列表</w:t>
      </w:r>
    </w:p>
    <w:p>
      <w:pPr>
        <w:ind w:left="305"/>
        <w:spacing w:before="57" w:line="313" w:lineRule="exact"/>
        <w:rPr>
          <w:rFonts w:ascii="SimSun" w:hAnsi="SimSun" w:eastAsia="SimSun" w:cs="SimSun"/>
          <w:sz w:val="22"/>
          <w:szCs w:val="22"/>
        </w:rPr>
      </w:pPr>
      <w:r>
        <w:rPr>
          <w:rFonts w:ascii="SimSun" w:hAnsi="SimSun" w:eastAsia="SimSun" w:cs="SimSun"/>
          <w:sz w:val="22"/>
          <w:szCs w:val="22"/>
          <w:spacing w:val="-11"/>
          <w:position w:val="6"/>
        </w:rPr>
        <w:t>《数据反馈评估报告》</w:t>
      </w:r>
    </w:p>
    <w:p>
      <w:pPr>
        <w:ind w:left="415"/>
        <w:spacing w:line="220" w:lineRule="auto"/>
        <w:rPr>
          <w:rFonts w:ascii="SimSun" w:hAnsi="SimSun" w:eastAsia="SimSun" w:cs="SimSun"/>
          <w:sz w:val="22"/>
          <w:szCs w:val="22"/>
        </w:rPr>
      </w:pPr>
      <w:r>
        <w:rPr>
          <w:rFonts w:ascii="SimSun" w:hAnsi="SimSun" w:eastAsia="SimSun" w:cs="SimSun"/>
          <w:sz w:val="22"/>
          <w:szCs w:val="22"/>
          <w:spacing w:val="6"/>
        </w:rPr>
        <w:t>(3)实施案例</w:t>
      </w:r>
    </w:p>
    <w:p>
      <w:pPr>
        <w:ind w:left="415"/>
        <w:spacing w:before="46" w:line="219" w:lineRule="auto"/>
        <w:rPr>
          <w:rFonts w:ascii="SimSun" w:hAnsi="SimSun" w:eastAsia="SimSun" w:cs="SimSun"/>
          <w:sz w:val="22"/>
          <w:szCs w:val="22"/>
        </w:rPr>
      </w:pPr>
      <w:r>
        <w:rPr>
          <w:rFonts w:ascii="SimSun" w:hAnsi="SimSun" w:eastAsia="SimSun" w:cs="SimSun"/>
          <w:sz w:val="22"/>
          <w:szCs w:val="22"/>
          <w:spacing w:val="-12"/>
        </w:rPr>
        <w:t>下表展示了数据采购需求的样例，仅供参考。</w:t>
      </w:r>
    </w:p>
    <w:p>
      <w:pPr>
        <w:spacing w:line="126" w:lineRule="exact"/>
        <w:rPr/>
      </w:pPr>
      <w:r/>
    </w:p>
    <w:tbl>
      <w:tblPr>
        <w:tblStyle w:val="TableNormal"/>
        <w:tblW w:w="7650" w:type="dxa"/>
        <w:tblInd w:w="45"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4779" w:hRule="atLeast"/>
        </w:trPr>
        <w:tc>
          <w:tcPr>
            <w:tcW w:w="7650" w:type="dxa"/>
            <w:vAlign w:val="top"/>
          </w:tcPr>
          <w:p>
            <w:pPr>
              <w:pStyle w:val="TableText"/>
              <w:ind w:left="3145"/>
              <w:spacing w:before="80" w:line="219" w:lineRule="auto"/>
              <w:rPr/>
            </w:pPr>
            <w:r>
              <w:rPr>
                <w:spacing w:val="-1"/>
              </w:rPr>
              <w:t>数据采集需求说明书</w:t>
            </w:r>
          </w:p>
          <w:p>
            <w:pPr>
              <w:pStyle w:val="TableText"/>
              <w:ind w:left="245"/>
              <w:spacing w:before="93" w:line="221" w:lineRule="auto"/>
              <w:rPr/>
            </w:pPr>
            <w:r>
              <w:rPr>
                <w:spacing w:val="-12"/>
              </w:rPr>
              <w:t>1</w:t>
            </w:r>
            <w:r>
              <w:rPr>
                <w:spacing w:val="39"/>
              </w:rPr>
              <w:t xml:space="preserve"> </w:t>
            </w:r>
            <w:r>
              <w:rPr>
                <w:spacing w:val="-12"/>
              </w:rPr>
              <w:t>引</w:t>
            </w:r>
            <w:r>
              <w:rPr>
                <w:spacing w:val="34"/>
              </w:rPr>
              <w:t xml:space="preserve"> </w:t>
            </w:r>
            <w:r>
              <w:rPr>
                <w:spacing w:val="-12"/>
              </w:rPr>
              <w:t>言</w:t>
            </w:r>
          </w:p>
          <w:p>
            <w:pPr>
              <w:pStyle w:val="TableText"/>
              <w:ind w:left="245"/>
              <w:spacing w:before="129" w:line="219" w:lineRule="auto"/>
              <w:rPr/>
            </w:pPr>
            <w:r>
              <w:rPr/>
              <w:t>1.1编写目的</w:t>
            </w:r>
          </w:p>
          <w:p>
            <w:pPr>
              <w:pStyle w:val="TableText"/>
              <w:ind w:left="245"/>
              <w:spacing w:before="80" w:line="219" w:lineRule="auto"/>
              <w:rPr/>
            </w:pPr>
            <w:r>
              <w:rPr/>
              <w:t>这部分说明文档编写目的，描述本系统特点及使用数据仓库技术实现</w:t>
            </w:r>
            <w:r>
              <w:rPr>
                <w:spacing w:val="-1"/>
              </w:rPr>
              <w:t>的业务目标。</w:t>
            </w:r>
          </w:p>
          <w:p>
            <w:pPr>
              <w:pStyle w:val="TableText"/>
              <w:ind w:left="245"/>
              <w:spacing w:before="123" w:line="219" w:lineRule="auto"/>
              <w:rPr/>
            </w:pPr>
            <w:r>
              <w:rPr>
                <w:spacing w:val="-4"/>
              </w:rPr>
              <w:t>1.2背景</w:t>
            </w:r>
          </w:p>
          <w:p>
            <w:pPr>
              <w:pStyle w:val="TableText"/>
              <w:ind w:left="245"/>
              <w:spacing w:before="92" w:line="219" w:lineRule="auto"/>
              <w:rPr/>
            </w:pPr>
            <w:r>
              <w:rPr>
                <w:spacing w:val="-1"/>
              </w:rPr>
              <w:t>这部分是项目背景描述。</w:t>
            </w:r>
          </w:p>
          <w:p>
            <w:pPr>
              <w:pStyle w:val="TableText"/>
              <w:ind w:left="245"/>
              <w:spacing w:before="102" w:line="219" w:lineRule="auto"/>
              <w:rPr/>
            </w:pPr>
            <w:r>
              <w:rPr>
                <w:spacing w:val="-3"/>
              </w:rPr>
              <w:t>1.3参考资料</w:t>
            </w:r>
          </w:p>
          <w:p>
            <w:pPr>
              <w:pStyle w:val="TableText"/>
              <w:ind w:left="245"/>
              <w:spacing w:before="102" w:line="219" w:lineRule="auto"/>
              <w:rPr/>
            </w:pPr>
            <w:r>
              <w:rPr/>
              <w:t>这部分列出本文档引用资料的名称，并说明文档</w:t>
            </w:r>
            <w:r>
              <w:rPr>
                <w:spacing w:val="-1"/>
              </w:rPr>
              <w:t>上下级关系。</w:t>
            </w:r>
          </w:p>
          <w:p>
            <w:pPr>
              <w:pStyle w:val="TableText"/>
              <w:ind w:left="245"/>
              <w:spacing w:before="93" w:line="219" w:lineRule="auto"/>
              <w:rPr/>
            </w:pPr>
            <w:r>
              <w:rPr>
                <w:spacing w:val="1"/>
              </w:rPr>
              <w:t>1.4术语定义及说明</w:t>
            </w:r>
          </w:p>
          <w:p>
            <w:pPr>
              <w:pStyle w:val="TableText"/>
              <w:ind w:left="245"/>
              <w:spacing w:before="91" w:line="219" w:lineRule="auto"/>
              <w:rPr/>
            </w:pPr>
            <w:r>
              <w:rPr>
                <w:spacing w:val="-1"/>
              </w:rPr>
              <w:t>这部分列出本文档中使用的术语定义、缩写及其全名。</w:t>
            </w:r>
          </w:p>
          <w:p>
            <w:pPr>
              <w:pStyle w:val="TableText"/>
              <w:ind w:left="245"/>
              <w:spacing w:before="123" w:line="219" w:lineRule="auto"/>
              <w:rPr/>
            </w:pPr>
            <w:r>
              <w:rPr>
                <w:spacing w:val="-3"/>
              </w:rPr>
              <w:t>1.5一般约束</w:t>
            </w:r>
          </w:p>
          <w:p>
            <w:pPr>
              <w:pStyle w:val="TableText"/>
              <w:ind w:left="245"/>
              <w:spacing w:before="91" w:line="301" w:lineRule="exact"/>
              <w:rPr/>
            </w:pPr>
            <w:r>
              <w:rPr>
                <w:position w:val="11"/>
              </w:rPr>
              <w:t>这部分描述本系统开发过程中的各种可预见的约束条件，例如工具性能约束、开发技术支持</w:t>
            </w:r>
            <w:r>
              <w:rPr>
                <w:spacing w:val="-1"/>
                <w:position w:val="11"/>
              </w:rPr>
              <w:t>约束、软件范围约</w:t>
            </w:r>
          </w:p>
          <w:p>
            <w:pPr>
              <w:pStyle w:val="TableText"/>
              <w:ind w:left="85"/>
              <w:spacing w:line="219" w:lineRule="auto"/>
              <w:rPr/>
            </w:pPr>
            <w:r>
              <w:rPr>
                <w:spacing w:val="-2"/>
              </w:rPr>
              <w:t>束等。</w:t>
            </w:r>
          </w:p>
          <w:p>
            <w:pPr>
              <w:pStyle w:val="TableText"/>
              <w:ind w:left="245"/>
              <w:spacing w:before="112" w:line="219" w:lineRule="auto"/>
              <w:rPr/>
            </w:pPr>
            <w:r>
              <w:rPr>
                <w:spacing w:val="-6"/>
              </w:rPr>
              <w:t>2</w:t>
            </w:r>
            <w:r>
              <w:rPr>
                <w:spacing w:val="-28"/>
              </w:rPr>
              <w:t xml:space="preserve"> </w:t>
            </w:r>
            <w:r>
              <w:rPr>
                <w:spacing w:val="-6"/>
              </w:rPr>
              <w:t>数</w:t>
            </w:r>
            <w:r>
              <w:rPr>
                <w:spacing w:val="-32"/>
              </w:rPr>
              <w:t xml:space="preserve"> </w:t>
            </w:r>
            <w:r>
              <w:rPr>
                <w:spacing w:val="-6"/>
              </w:rPr>
              <w:t>据</w:t>
            </w:r>
            <w:r>
              <w:rPr>
                <w:spacing w:val="-32"/>
              </w:rPr>
              <w:t xml:space="preserve"> </w:t>
            </w:r>
            <w:r>
              <w:rPr>
                <w:spacing w:val="-6"/>
              </w:rPr>
              <w:t>源</w:t>
            </w:r>
            <w:r>
              <w:rPr>
                <w:spacing w:val="-30"/>
              </w:rPr>
              <w:t xml:space="preserve"> </w:t>
            </w:r>
            <w:r>
              <w:rPr>
                <w:spacing w:val="-6"/>
              </w:rPr>
              <w:t>分</w:t>
            </w:r>
            <w:r>
              <w:rPr>
                <w:spacing w:val="-30"/>
              </w:rPr>
              <w:t xml:space="preserve"> </w:t>
            </w:r>
            <w:r>
              <w:rPr>
                <w:spacing w:val="-6"/>
              </w:rPr>
              <w:t>析</w:t>
            </w:r>
          </w:p>
          <w:p>
            <w:pPr>
              <w:pStyle w:val="TableText"/>
              <w:ind w:left="245"/>
              <w:spacing w:before="92" w:line="219" w:lineRule="auto"/>
              <w:rPr/>
            </w:pPr>
            <w:r>
              <w:rPr>
                <w:spacing w:val="-1"/>
              </w:rPr>
              <w:t>2.1  数据源概述</w:t>
            </w:r>
          </w:p>
          <w:p>
            <w:pPr>
              <w:pStyle w:val="TableText"/>
              <w:ind w:left="235"/>
              <w:spacing w:before="81" w:line="301" w:lineRule="exact"/>
              <w:rPr/>
            </w:pPr>
            <w:r>
              <w:rPr>
                <w:position w:val="11"/>
              </w:rPr>
              <w:t>这部分将对本项目中涉及的数据源名称及其业务功能做出简单描述，如果多个数据源之间有</w:t>
            </w:r>
            <w:r>
              <w:rPr>
                <w:spacing w:val="-1"/>
                <w:position w:val="11"/>
              </w:rPr>
              <w:t>关联，那么需要说</w:t>
            </w:r>
          </w:p>
          <w:p>
            <w:pPr>
              <w:pStyle w:val="TableText"/>
              <w:ind w:left="115"/>
              <w:spacing w:line="219" w:lineRule="auto"/>
              <w:rPr/>
            </w:pPr>
            <w:r>
              <w:rPr>
                <w:spacing w:val="-1"/>
              </w:rPr>
              <w:t>明他们之间的关联关系。</w:t>
            </w:r>
          </w:p>
        </w:tc>
      </w:tr>
    </w:tbl>
    <w:p>
      <w:pPr>
        <w:pStyle w:val="BodyText"/>
        <w:rPr/>
      </w:pPr>
      <w:r/>
    </w:p>
    <w:p>
      <w:pPr>
        <w:sectPr>
          <w:footerReference w:type="default" r:id="rId311"/>
          <w:pgSz w:w="8870" w:h="13400"/>
          <w:pgMar w:top="400" w:right="764" w:bottom="605" w:left="244" w:header="0" w:footer="386" w:gutter="0"/>
        </w:sectPr>
        <w:rPr/>
      </w:pPr>
    </w:p>
    <w:p>
      <w:pPr>
        <w:ind w:left="110"/>
        <w:spacing w:before="149"/>
        <w:rPr>
          <w:rFonts w:ascii="SimSun" w:hAnsi="SimSun" w:eastAsia="SimSun" w:cs="SimSun"/>
          <w:sz w:val="22"/>
          <w:szCs w:val="22"/>
        </w:rPr>
      </w:pPr>
      <w:r>
        <w:rPr>
          <w:rFonts w:ascii="SimSun" w:hAnsi="SimSun" w:eastAsia="SimSun" w:cs="SimSun"/>
          <w:sz w:val="22"/>
          <w:szCs w:val="22"/>
          <w:position w:val="-8"/>
        </w:rPr>
        <w:drawing>
          <wp:inline distT="0" distB="0" distL="0" distR="0">
            <wp:extent cx="6308" cy="222255"/>
            <wp:effectExtent l="0" t="0" r="0" b="0"/>
            <wp:docPr id="210" name="IM 210"/>
            <wp:cNvGraphicFramePr/>
            <a:graphic>
              <a:graphicData uri="http://schemas.openxmlformats.org/drawingml/2006/picture">
                <pic:pic>
                  <pic:nvPicPr>
                    <pic:cNvPr id="210" name="IM 210"/>
                    <pic:cNvPicPr/>
                  </pic:nvPicPr>
                  <pic:blipFill>
                    <a:blip r:embed="rId313"/>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17"/>
        </w:rPr>
        <w:t xml:space="preserve"> </w:t>
      </w:r>
      <w:r>
        <w:rPr>
          <w:rFonts w:ascii="SimSun" w:hAnsi="SimSun" w:eastAsia="SimSun" w:cs="SimSun"/>
          <w:sz w:val="22"/>
          <w:szCs w:val="22"/>
          <w:b/>
          <w:bCs/>
          <w:spacing w:val="-17"/>
        </w:rPr>
        <w:t>■云端数据治理</w:t>
      </w:r>
    </w:p>
    <w:p>
      <w:pPr>
        <w:pStyle w:val="BodyText"/>
        <w:spacing w:line="310" w:lineRule="auto"/>
        <w:rPr/>
      </w:pPr>
      <w:r/>
    </w:p>
    <w:p>
      <w:pPr>
        <w:ind w:left="7170"/>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660" w:type="dxa"/>
        <w:tblInd w:w="270" w:type="dxa"/>
        <w:tblLayout w:type="fixed"/>
        <w:tblBorders>
          <w:left w:val="single" w:color="000000" w:sz="4" w:space="0"/>
          <w:bottom w:val="single" w:color="000000" w:sz="4" w:space="0"/>
          <w:right w:val="single" w:color="000000" w:sz="4" w:space="0"/>
          <w:top w:val="single" w:color="000000" w:sz="4" w:space="0"/>
        </w:tblBorders>
      </w:tblPr>
      <w:tblGrid>
        <w:gridCol w:w="7660"/>
      </w:tblGrid>
      <w:tr>
        <w:trPr>
          <w:trHeight w:val="10959" w:hRule="atLeast"/>
        </w:trPr>
        <w:tc>
          <w:tcPr>
            <w:tcW w:w="7660" w:type="dxa"/>
            <w:vAlign w:val="top"/>
          </w:tcPr>
          <w:p>
            <w:pPr>
              <w:pStyle w:val="TableText"/>
              <w:ind w:left="255"/>
              <w:spacing w:before="80" w:line="281" w:lineRule="exact"/>
              <w:rPr/>
            </w:pPr>
            <w:r>
              <w:rPr>
                <w:spacing w:val="-1"/>
                <w:position w:val="9"/>
              </w:rPr>
              <w:t>2.2数据源物理环境描述</w:t>
            </w:r>
          </w:p>
          <w:p>
            <w:pPr>
              <w:pStyle w:val="TableText"/>
              <w:ind w:left="255"/>
              <w:spacing w:line="219" w:lineRule="auto"/>
              <w:rPr/>
            </w:pPr>
            <w:r>
              <w:rPr/>
              <w:t>(1)&lt;硬件平台&gt;</w:t>
            </w:r>
          </w:p>
          <w:p>
            <w:pPr>
              <w:pStyle w:val="TableText"/>
              <w:ind w:left="255"/>
              <w:spacing w:before="92" w:line="219" w:lineRule="auto"/>
              <w:rPr/>
            </w:pPr>
            <w:r>
              <w:rPr>
                <w:spacing w:val="-1"/>
              </w:rPr>
              <w:t>这部分记录所有数据源程序运行环境需要的硬件平台，包括</w:t>
            </w:r>
          </w:p>
          <w:p>
            <w:pPr>
              <w:pStyle w:val="TableText"/>
              <w:ind w:left="255"/>
              <w:spacing w:before="101" w:line="219" w:lineRule="auto"/>
              <w:rPr/>
            </w:pPr>
            <w:r>
              <w:rPr/>
              <w:t>●每一个数据源所在的硬件平台环境</w:t>
            </w:r>
          </w:p>
          <w:p>
            <w:pPr>
              <w:pStyle w:val="TableText"/>
              <w:ind w:left="255"/>
              <w:spacing w:before="112" w:line="219" w:lineRule="auto"/>
              <w:rPr/>
            </w:pPr>
            <w:r>
              <w:rPr/>
              <w:t>●数据源服务器所在的硬件平台环境</w:t>
            </w:r>
          </w:p>
          <w:p>
            <w:pPr>
              <w:pStyle w:val="TableText"/>
              <w:ind w:left="255"/>
              <w:spacing w:before="112" w:line="219" w:lineRule="auto"/>
              <w:rPr/>
            </w:pPr>
            <w:r>
              <w:rPr/>
              <w:t>●数据仓库服务器的硬件平台环境</w:t>
            </w:r>
          </w:p>
          <w:p>
            <w:pPr>
              <w:pStyle w:val="TableText"/>
              <w:ind w:left="255"/>
              <w:spacing w:before="112" w:line="219" w:lineRule="auto"/>
              <w:rPr/>
            </w:pPr>
            <w:r>
              <w:rPr/>
              <w:t>●数据源程序运行监控硬件平台环境</w:t>
            </w:r>
          </w:p>
          <w:p>
            <w:pPr>
              <w:pStyle w:val="TableText"/>
              <w:ind w:left="255"/>
              <w:spacing w:before="91" w:line="280" w:lineRule="exact"/>
              <w:rPr/>
            </w:pPr>
            <w:r>
              <w:rPr>
                <w:position w:val="10"/>
              </w:rPr>
              <w:t>这里的硬件环境包括机器的型号、硬盘的容量及其速度以</w:t>
            </w:r>
            <w:r>
              <w:rPr>
                <w:spacing w:val="-1"/>
                <w:position w:val="10"/>
              </w:rPr>
              <w:t>及网络环境等。</w:t>
            </w:r>
          </w:p>
          <w:p>
            <w:pPr>
              <w:pStyle w:val="TableText"/>
              <w:ind w:left="255"/>
              <w:spacing w:line="219" w:lineRule="auto"/>
              <w:rPr/>
            </w:pPr>
            <w:r>
              <w:rPr/>
              <w:t>(2)&lt;软件平台&gt;</w:t>
            </w:r>
          </w:p>
          <w:p>
            <w:pPr>
              <w:pStyle w:val="TableText"/>
              <w:ind w:left="255"/>
              <w:spacing w:before="102" w:line="219" w:lineRule="auto"/>
              <w:rPr/>
            </w:pPr>
            <w:r>
              <w:rPr/>
              <w:t>这部分内容是记录所有与数据源程序相关的软件</w:t>
            </w:r>
            <w:r>
              <w:rPr>
                <w:spacing w:val="-1"/>
              </w:rPr>
              <w:t>平台，包括：</w:t>
            </w:r>
          </w:p>
          <w:p>
            <w:pPr>
              <w:pStyle w:val="TableText"/>
              <w:ind w:left="255"/>
              <w:spacing w:before="112" w:line="219" w:lineRule="auto"/>
              <w:rPr/>
            </w:pPr>
            <w:r>
              <w:rPr/>
              <w:t>●每一个数据源所在的软件平台环境</w:t>
            </w:r>
          </w:p>
          <w:p>
            <w:pPr>
              <w:pStyle w:val="TableText"/>
              <w:ind w:left="255"/>
              <w:spacing w:before="92" w:line="219" w:lineRule="auto"/>
              <w:rPr/>
            </w:pPr>
            <w:r>
              <w:rPr/>
              <w:t>●数据源服务器所在的软件平台环境</w:t>
            </w:r>
          </w:p>
          <w:p>
            <w:pPr>
              <w:pStyle w:val="TableText"/>
              <w:ind w:left="255"/>
              <w:spacing w:before="102" w:line="219" w:lineRule="auto"/>
              <w:rPr/>
            </w:pPr>
            <w:r>
              <w:rPr/>
              <w:t>●数据仓库服务器的软件平台环境</w:t>
            </w:r>
          </w:p>
          <w:p>
            <w:pPr>
              <w:pStyle w:val="TableText"/>
              <w:ind w:left="255"/>
              <w:spacing w:before="102" w:line="219" w:lineRule="auto"/>
              <w:rPr/>
            </w:pPr>
            <w:r>
              <w:rPr/>
              <w:t>●数据源程序运行监控软件平台环境</w:t>
            </w:r>
          </w:p>
          <w:p>
            <w:pPr>
              <w:pStyle w:val="TableText"/>
              <w:ind w:left="255" w:right="499"/>
              <w:spacing w:before="111" w:line="291" w:lineRule="auto"/>
              <w:rPr/>
            </w:pPr>
            <w:r>
              <w:rPr/>
              <w:t>这里的软件环境包括操作系统的种类和版本、数据库的种类和版本等，对监控平台还要关注</w:t>
            </w:r>
            <w:r>
              <w:rPr>
                <w:spacing w:val="-1"/>
              </w:rPr>
              <w:t>其应用软件。</w:t>
            </w:r>
            <w:r>
              <w:rPr/>
              <w:t xml:space="preserve"> </w:t>
            </w:r>
            <w:r>
              <w:rPr/>
              <w:t>(3)&lt;网络平台&gt;</w:t>
            </w:r>
          </w:p>
          <w:p>
            <w:pPr>
              <w:pStyle w:val="TableText"/>
              <w:ind w:left="255"/>
              <w:spacing w:before="98" w:line="270" w:lineRule="exact"/>
              <w:rPr/>
            </w:pPr>
            <w:r>
              <w:rPr>
                <w:position w:val="9"/>
              </w:rPr>
              <w:t>这部分记录与数据采集程序有关的所有网络</w:t>
            </w:r>
            <w:r>
              <w:rPr>
                <w:spacing w:val="-1"/>
                <w:position w:val="9"/>
              </w:rPr>
              <w:t>环境的定义。</w:t>
            </w:r>
          </w:p>
          <w:p>
            <w:pPr>
              <w:pStyle w:val="TableText"/>
              <w:ind w:left="255"/>
              <w:spacing w:before="1" w:line="219" w:lineRule="auto"/>
              <w:rPr/>
            </w:pPr>
            <w:r>
              <w:rPr>
                <w:spacing w:val="-1"/>
              </w:rPr>
              <w:t>2.3数据源数据更新特征</w:t>
            </w:r>
          </w:p>
          <w:p>
            <w:pPr>
              <w:pStyle w:val="TableText"/>
              <w:ind w:left="115" w:right="201" w:firstLine="140"/>
              <w:spacing w:before="110" w:line="282" w:lineRule="auto"/>
              <w:rPr/>
            </w:pPr>
            <w:r>
              <w:rPr/>
              <w:t>这部分对每一个数据源中本次项目中涉及的主表的数据更新状态进行分析，例如是日更新还</w:t>
            </w:r>
            <w:r>
              <w:rPr>
                <w:spacing w:val="-1"/>
              </w:rPr>
              <w:t>是月更新以及更新</w:t>
            </w:r>
            <w:r>
              <w:rPr/>
              <w:t xml:space="preserve"> </w:t>
            </w:r>
            <w:r>
              <w:rPr>
                <w:spacing w:val="-1"/>
              </w:rPr>
              <w:t>的标志，以作为以后编写增量采集程序的基础。</w:t>
            </w:r>
          </w:p>
          <w:p>
            <w:pPr>
              <w:pStyle w:val="TableText"/>
              <w:ind w:left="255"/>
              <w:spacing w:before="92" w:line="219" w:lineRule="auto"/>
              <w:rPr/>
            </w:pPr>
            <w:r>
              <w:rPr>
                <w:spacing w:val="-1"/>
              </w:rPr>
              <w:t>2.4数据源可以提供的文件格式</w:t>
            </w:r>
          </w:p>
          <w:p>
            <w:pPr>
              <w:pStyle w:val="TableText"/>
              <w:ind w:left="255"/>
              <w:spacing w:before="103" w:line="280" w:lineRule="exact"/>
              <w:rPr/>
            </w:pPr>
            <w:r>
              <w:rPr>
                <w:position w:val="10"/>
              </w:rPr>
              <w:t>这部分对本项目中涉及的数据源可以提供的数据格式进行记录，供确认</w:t>
            </w:r>
            <w:r>
              <w:rPr>
                <w:spacing w:val="-1"/>
                <w:position w:val="10"/>
              </w:rPr>
              <w:t>采集需求使用。</w:t>
            </w:r>
          </w:p>
          <w:p>
            <w:pPr>
              <w:pStyle w:val="TableText"/>
              <w:ind w:left="255"/>
              <w:spacing w:before="1" w:line="219" w:lineRule="auto"/>
              <w:rPr/>
            </w:pPr>
            <w:r>
              <w:rPr>
                <w:spacing w:val="-1"/>
              </w:rPr>
              <w:t>3数据仓库环境分析</w:t>
            </w:r>
          </w:p>
          <w:p>
            <w:pPr>
              <w:pStyle w:val="TableText"/>
              <w:ind w:left="255"/>
              <w:spacing w:before="110" w:line="218" w:lineRule="auto"/>
              <w:rPr/>
            </w:pPr>
            <w:r>
              <w:rPr>
                <w:spacing w:val="-1"/>
              </w:rPr>
              <w:t>3.1数据仓库数据量预估</w:t>
            </w:r>
          </w:p>
          <w:p>
            <w:pPr>
              <w:pStyle w:val="TableText"/>
              <w:ind w:left="115" w:right="201" w:firstLine="140"/>
              <w:spacing w:before="104" w:line="287" w:lineRule="auto"/>
              <w:rPr/>
            </w:pPr>
            <w:r>
              <w:rPr/>
              <w:t>这部分评估本次项目中所有与数据量有关的参数，包括数据源历史数据量、数据源日增量、</w:t>
            </w:r>
            <w:r>
              <w:rPr>
                <w:spacing w:val="-1"/>
              </w:rPr>
              <w:t>数据仓库历史存储</w:t>
            </w:r>
            <w:r>
              <w:rPr/>
              <w:t xml:space="preserve"> </w:t>
            </w:r>
            <w:r>
              <w:rPr/>
              <w:t>时间，并根据这些参数估算本次项目中需要向数据仓库</w:t>
            </w:r>
            <w:r>
              <w:rPr>
                <w:spacing w:val="-1"/>
              </w:rPr>
              <w:t>增加的数据量。</w:t>
            </w:r>
          </w:p>
          <w:p>
            <w:pPr>
              <w:pStyle w:val="TableText"/>
              <w:ind w:left="255"/>
              <w:spacing w:before="104" w:line="219" w:lineRule="auto"/>
              <w:rPr/>
            </w:pPr>
            <w:r>
              <w:rPr>
                <w:spacing w:val="-1"/>
              </w:rPr>
              <w:t>3.2数据仓库粒度定义</w:t>
            </w:r>
          </w:p>
          <w:p>
            <w:pPr>
              <w:pStyle w:val="TableText"/>
              <w:ind w:left="105" w:right="201" w:firstLine="149"/>
              <w:spacing w:before="101" w:line="282" w:lineRule="auto"/>
              <w:rPr/>
            </w:pPr>
            <w:r>
              <w:rPr/>
              <w:t>这部分根据业务需求和数据源数据分析确定本次项目中涉及的业务实体的粒度。这里讨论这</w:t>
            </w:r>
            <w:r>
              <w:rPr>
                <w:spacing w:val="-1"/>
              </w:rPr>
              <w:t>个问题，是因为粒</w:t>
            </w:r>
            <w:r>
              <w:rPr/>
              <w:t xml:space="preserve"> </w:t>
            </w:r>
            <w:r>
              <w:rPr>
                <w:spacing w:val="-1"/>
              </w:rPr>
              <w:t>度的高低关系到数据采集的难度。</w:t>
            </w:r>
          </w:p>
          <w:p>
            <w:pPr>
              <w:pStyle w:val="TableText"/>
              <w:ind w:left="255"/>
              <w:spacing w:before="113" w:line="270" w:lineRule="exact"/>
              <w:rPr/>
            </w:pPr>
            <w:r>
              <w:rPr>
                <w:spacing w:val="-1"/>
                <w:position w:val="9"/>
              </w:rPr>
              <w:t>3.3数据仓库运行环境描述</w:t>
            </w:r>
          </w:p>
          <w:p>
            <w:pPr>
              <w:pStyle w:val="TableText"/>
              <w:ind w:left="255"/>
              <w:spacing w:line="219" w:lineRule="auto"/>
              <w:rPr/>
            </w:pPr>
            <w:r>
              <w:rPr/>
              <w:t>(1)&lt;硬件平台&gt;</w:t>
            </w:r>
          </w:p>
          <w:p>
            <w:pPr>
              <w:pStyle w:val="TableText"/>
              <w:ind w:left="255"/>
              <w:spacing w:before="92" w:line="219" w:lineRule="auto"/>
              <w:rPr/>
            </w:pPr>
            <w:r>
              <w:rPr/>
              <w:t>这部分记录所有数据源程序运行环境需要的硬件</w:t>
            </w:r>
            <w:r>
              <w:rPr>
                <w:spacing w:val="-1"/>
              </w:rPr>
              <w:t>平台，包括：</w:t>
            </w:r>
          </w:p>
          <w:p>
            <w:pPr>
              <w:pStyle w:val="TableText"/>
              <w:ind w:left="255"/>
              <w:spacing w:before="112" w:line="219" w:lineRule="auto"/>
              <w:rPr/>
            </w:pPr>
            <w:r>
              <w:rPr/>
              <w:t>●每一个数据源所在的硬件平台环境</w:t>
            </w:r>
          </w:p>
          <w:p>
            <w:pPr>
              <w:pStyle w:val="TableText"/>
              <w:ind w:left="255"/>
              <w:spacing w:before="102" w:line="219" w:lineRule="auto"/>
              <w:rPr/>
            </w:pPr>
            <w:r>
              <w:rPr/>
              <w:t>●数据源服务器所在的硬件平台环境</w:t>
            </w:r>
          </w:p>
          <w:p>
            <w:pPr>
              <w:pStyle w:val="TableText"/>
              <w:ind w:left="255"/>
              <w:spacing w:before="112" w:line="219" w:lineRule="auto"/>
              <w:rPr/>
            </w:pPr>
            <w:r>
              <w:rPr/>
              <w:t>●数据仓库服务器的硬件平台环境</w:t>
            </w:r>
          </w:p>
          <w:p>
            <w:pPr>
              <w:pStyle w:val="TableText"/>
              <w:ind w:left="255"/>
              <w:spacing w:before="92" w:line="219" w:lineRule="auto"/>
              <w:rPr/>
            </w:pPr>
            <w:r>
              <w:rPr/>
              <w:t>●数据源程序运行监控硬件平台环境</w:t>
            </w:r>
          </w:p>
          <w:p>
            <w:pPr>
              <w:pStyle w:val="TableText"/>
              <w:ind w:left="255"/>
              <w:spacing w:before="102" w:line="290" w:lineRule="exact"/>
              <w:rPr/>
            </w:pPr>
            <w:r>
              <w:rPr>
                <w:position w:val="10"/>
              </w:rPr>
              <w:t>这里的硬件环境包括机器的型号、硬盘的容量及其速度以</w:t>
            </w:r>
            <w:r>
              <w:rPr>
                <w:spacing w:val="-1"/>
                <w:position w:val="10"/>
              </w:rPr>
              <w:t>及网络环境等。</w:t>
            </w:r>
          </w:p>
          <w:p>
            <w:pPr>
              <w:pStyle w:val="TableText"/>
              <w:ind w:left="255"/>
              <w:spacing w:line="219" w:lineRule="auto"/>
              <w:rPr/>
            </w:pPr>
            <w:r>
              <w:rPr/>
              <w:t>(2)&lt;软件平台&gt;</w:t>
            </w:r>
          </w:p>
          <w:p>
            <w:pPr>
              <w:pStyle w:val="TableText"/>
              <w:ind w:left="255"/>
              <w:spacing w:before="102" w:line="219" w:lineRule="auto"/>
              <w:rPr/>
            </w:pPr>
            <w:r>
              <w:rPr>
                <w:spacing w:val="-1"/>
              </w:rPr>
              <w:t>这部分记录所有与数据源程序相关的软件平台，包括：</w:t>
            </w:r>
          </w:p>
        </w:tc>
      </w:tr>
    </w:tbl>
    <w:p>
      <w:pPr>
        <w:pStyle w:val="BodyText"/>
        <w:rPr/>
      </w:pPr>
      <w:r/>
    </w:p>
    <w:p>
      <w:pPr>
        <w:sectPr>
          <w:footerReference w:type="default" r:id="rId312"/>
          <w:pgSz w:w="8870" w:h="13400"/>
          <w:pgMar w:top="400" w:right="374" w:bottom="525" w:left="559" w:header="0" w:footer="306" w:gutter="0"/>
        </w:sectPr>
        <w:rPr/>
      </w:pPr>
    </w:p>
    <w:p>
      <w:pPr>
        <w:ind w:left="5478"/>
        <w:spacing w:before="224" w:line="219" w:lineRule="auto"/>
        <w:rPr>
          <w:rFonts w:ascii="SimSun" w:hAnsi="SimSun" w:eastAsia="SimSun" w:cs="SimSun"/>
          <w:sz w:val="23"/>
          <w:szCs w:val="23"/>
        </w:rPr>
      </w:pPr>
      <w:r>
        <w:rPr>
          <w:rFonts w:ascii="SimSun" w:hAnsi="SimSun" w:eastAsia="SimSun" w:cs="SimSun"/>
          <w:sz w:val="23"/>
          <w:szCs w:val="23"/>
          <w:b/>
          <w:bCs/>
          <w:spacing w:val="-4"/>
        </w:rPr>
        <w:t>第7章■云端数据操作</w:t>
      </w:r>
    </w:p>
    <w:p>
      <w:pPr>
        <w:pStyle w:val="BodyText"/>
        <w:spacing w:line="302" w:lineRule="auto"/>
        <w:rPr/>
      </w:pPr>
      <w:r/>
    </w:p>
    <w:p>
      <w:pPr>
        <w:ind w:left="6895"/>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66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60"/>
      </w:tblGrid>
      <w:tr>
        <w:trPr>
          <w:trHeight w:val="10829" w:hRule="atLeast"/>
        </w:trPr>
        <w:tc>
          <w:tcPr>
            <w:tcW w:w="7660" w:type="dxa"/>
            <w:vAlign w:val="top"/>
          </w:tcPr>
          <w:p>
            <w:pPr>
              <w:pStyle w:val="TableText"/>
              <w:ind w:left="265"/>
              <w:spacing w:before="71" w:line="219" w:lineRule="auto"/>
              <w:rPr/>
            </w:pPr>
            <w:r>
              <w:rPr/>
              <w:t>●每一个数据源所在的软件平台环境</w:t>
            </w:r>
          </w:p>
          <w:p>
            <w:pPr>
              <w:pStyle w:val="TableText"/>
              <w:ind w:left="265"/>
              <w:spacing w:before="91" w:line="219" w:lineRule="auto"/>
              <w:rPr/>
            </w:pPr>
            <w:r>
              <w:rPr/>
              <w:t>●数据源服务器所在的软件平台环境</w:t>
            </w:r>
          </w:p>
          <w:p>
            <w:pPr>
              <w:pStyle w:val="TableText"/>
              <w:ind w:left="265"/>
              <w:spacing w:before="82" w:line="219" w:lineRule="auto"/>
              <w:rPr/>
            </w:pPr>
            <w:r>
              <w:rPr/>
              <w:t>●数据仓库服务器的软件平台环境</w:t>
            </w:r>
          </w:p>
          <w:p>
            <w:pPr>
              <w:pStyle w:val="TableText"/>
              <w:ind w:left="265"/>
              <w:spacing w:before="101" w:line="219" w:lineRule="auto"/>
              <w:rPr/>
            </w:pPr>
            <w:r>
              <w:rPr/>
              <w:t>●数据源程序运行监控软件平台环境</w:t>
            </w:r>
          </w:p>
          <w:p>
            <w:pPr>
              <w:pStyle w:val="TableText"/>
              <w:ind w:left="265" w:right="791"/>
              <w:spacing w:before="71" w:line="291" w:lineRule="auto"/>
              <w:rPr/>
            </w:pPr>
            <w:r>
              <w:rPr/>
              <w:t>这里的软件环境包括操作系统的种类和版本、数据库的种类和版本等，对监控平台</w:t>
            </w:r>
            <w:r>
              <w:rPr>
                <w:spacing w:val="-1"/>
              </w:rPr>
              <w:t>还要关注应用软件</w:t>
            </w:r>
            <w:r>
              <w:rPr/>
              <w:t xml:space="preserve"> </w:t>
            </w:r>
            <w:r>
              <w:rPr/>
              <w:t>(3)&lt;网络平台&gt;</w:t>
            </w:r>
          </w:p>
          <w:p>
            <w:pPr>
              <w:pStyle w:val="TableText"/>
              <w:ind w:left="265"/>
              <w:spacing w:before="97" w:line="261" w:lineRule="exact"/>
              <w:rPr/>
            </w:pPr>
            <w:r>
              <w:rPr>
                <w:position w:val="8"/>
              </w:rPr>
              <w:t>这部分记录与数据采集程序有关的所有网络</w:t>
            </w:r>
            <w:r>
              <w:rPr>
                <w:spacing w:val="-1"/>
                <w:position w:val="8"/>
              </w:rPr>
              <w:t>环境的定义。</w:t>
            </w:r>
          </w:p>
          <w:p>
            <w:pPr>
              <w:pStyle w:val="TableText"/>
              <w:ind w:left="265"/>
              <w:spacing w:line="219" w:lineRule="auto"/>
              <w:rPr/>
            </w:pPr>
            <w:r>
              <w:rPr/>
              <w:t>(4)&lt;数据仓库工具平台&gt;</w:t>
            </w:r>
          </w:p>
          <w:p>
            <w:pPr>
              <w:pStyle w:val="TableText"/>
              <w:ind w:left="265" w:right="39"/>
              <w:spacing w:before="82" w:line="269" w:lineRule="auto"/>
              <w:rPr/>
            </w:pPr>
            <w:r>
              <w:rPr/>
              <w:t>在这里介绍数据仓库工具的使用限定，包括工具的版本信息、使用模块的名称及其作用、在本文中</w:t>
            </w:r>
            <w:r>
              <w:rPr>
                <w:spacing w:val="-1"/>
              </w:rPr>
              <w:t>的缩略语等。</w:t>
            </w:r>
            <w:r>
              <w:rPr/>
              <w:t xml:space="preserve"> </w:t>
            </w:r>
            <w:r>
              <w:rPr/>
              <w:t>(5)&lt;产品供应商支持能力描述&gt;</w:t>
            </w:r>
          </w:p>
          <w:p>
            <w:pPr>
              <w:pStyle w:val="TableText"/>
              <w:ind w:left="265"/>
              <w:spacing w:before="92" w:line="219" w:lineRule="auto"/>
              <w:rPr/>
            </w:pPr>
            <w:r>
              <w:rPr/>
              <w:t>这部分详细记录产品供应商提供的技术支持承诺内容、指定的技术支持人员及</w:t>
            </w:r>
            <w:r>
              <w:rPr>
                <w:spacing w:val="-1"/>
              </w:rPr>
              <w:t>其联系方式。</w:t>
            </w:r>
          </w:p>
          <w:p>
            <w:pPr>
              <w:pStyle w:val="TableText"/>
              <w:ind w:left="265"/>
              <w:spacing w:before="123" w:line="219" w:lineRule="auto"/>
              <w:rPr/>
            </w:pPr>
            <w:r>
              <w:rPr/>
              <w:t>(6)&lt;数据仓库工具测试记录&gt;</w:t>
            </w:r>
          </w:p>
          <w:p>
            <w:pPr>
              <w:pStyle w:val="TableText"/>
              <w:ind w:left="265" w:right="1390"/>
              <w:spacing w:before="73" w:line="287" w:lineRule="auto"/>
              <w:rPr/>
            </w:pPr>
            <w:r>
              <w:rPr/>
              <w:t>如果在“软件需求分析”阶段实施了数据仓库工具测试，那么这里将测试的</w:t>
            </w:r>
            <w:r>
              <w:rPr>
                <w:spacing w:val="-1"/>
              </w:rPr>
              <w:t>结果记录下来。</w:t>
            </w:r>
            <w:r>
              <w:rPr/>
              <w:t xml:space="preserve"> </w:t>
            </w:r>
            <w:r>
              <w:rPr>
                <w:spacing w:val="-1"/>
              </w:rPr>
              <w:t>4数据采集程序需求分析</w:t>
            </w:r>
          </w:p>
          <w:p>
            <w:pPr>
              <w:pStyle w:val="TableText"/>
              <w:ind w:left="265"/>
              <w:spacing w:before="112" w:line="261" w:lineRule="exact"/>
              <w:rPr/>
            </w:pPr>
            <w:r>
              <w:rPr>
                <w:spacing w:val="-1"/>
                <w:position w:val="8"/>
              </w:rPr>
              <w:t>4.1数据采集程序运行平台描述</w:t>
            </w:r>
          </w:p>
          <w:p>
            <w:pPr>
              <w:pStyle w:val="TableText"/>
              <w:ind w:left="265"/>
              <w:spacing w:line="219" w:lineRule="auto"/>
              <w:rPr/>
            </w:pPr>
            <w:r>
              <w:rPr/>
              <w:t>(1)&lt;硬件平台&gt;</w:t>
            </w:r>
          </w:p>
          <w:p>
            <w:pPr>
              <w:pStyle w:val="TableText"/>
              <w:ind w:left="265"/>
              <w:spacing w:before="72" w:line="219" w:lineRule="auto"/>
              <w:rPr/>
            </w:pPr>
            <w:r>
              <w:rPr/>
              <w:t>这部分记录所有数据源程序运行环境需要的硬件</w:t>
            </w:r>
            <w:r>
              <w:rPr>
                <w:spacing w:val="-1"/>
              </w:rPr>
              <w:t>平台，包括：</w:t>
            </w:r>
          </w:p>
          <w:p>
            <w:pPr>
              <w:pStyle w:val="TableText"/>
              <w:ind w:left="265"/>
              <w:spacing w:before="112" w:line="219" w:lineRule="auto"/>
              <w:rPr/>
            </w:pPr>
            <w:r>
              <w:rPr/>
              <w:t>●每一个数据源所在的硬件平台环境</w:t>
            </w:r>
          </w:p>
          <w:p>
            <w:pPr>
              <w:pStyle w:val="TableText"/>
              <w:ind w:left="265"/>
              <w:spacing w:before="82" w:line="219" w:lineRule="auto"/>
              <w:rPr/>
            </w:pPr>
            <w:r>
              <w:rPr/>
              <w:t>●数据源服务器所在的硬件平台环境</w:t>
            </w:r>
          </w:p>
          <w:p>
            <w:pPr>
              <w:pStyle w:val="TableText"/>
              <w:ind w:left="265"/>
              <w:spacing w:before="92" w:line="219" w:lineRule="auto"/>
              <w:rPr/>
            </w:pPr>
            <w:r>
              <w:rPr>
                <w:spacing w:val="-1"/>
              </w:rPr>
              <w:t>●数据仓库服务器的硬件平台环境-</w:t>
            </w:r>
          </w:p>
          <w:p>
            <w:pPr>
              <w:pStyle w:val="TableText"/>
              <w:ind w:left="265"/>
              <w:spacing w:before="92" w:line="219" w:lineRule="auto"/>
              <w:rPr/>
            </w:pPr>
            <w:r>
              <w:rPr/>
              <w:t>●数据源程序运行监控硬件平台环境</w:t>
            </w:r>
          </w:p>
          <w:p>
            <w:pPr>
              <w:pStyle w:val="TableText"/>
              <w:ind w:left="265"/>
              <w:spacing w:before="81" w:line="281" w:lineRule="exact"/>
              <w:rPr/>
            </w:pPr>
            <w:r>
              <w:rPr>
                <w:position w:val="10"/>
              </w:rPr>
              <w:t>这里的硬件环境包括机器的型号、硬盘的容量及其速度以</w:t>
            </w:r>
            <w:r>
              <w:rPr>
                <w:spacing w:val="-1"/>
                <w:position w:val="10"/>
              </w:rPr>
              <w:t>及网络环境等。</w:t>
            </w:r>
          </w:p>
          <w:p>
            <w:pPr>
              <w:pStyle w:val="TableText"/>
              <w:ind w:left="265"/>
              <w:spacing w:line="219" w:lineRule="auto"/>
              <w:rPr/>
            </w:pPr>
            <w:r>
              <w:rPr/>
              <w:t>(2)&lt;软件平台&gt;</w:t>
            </w:r>
          </w:p>
          <w:p>
            <w:pPr>
              <w:pStyle w:val="TableText"/>
              <w:ind w:left="265"/>
              <w:spacing w:before="92" w:line="219" w:lineRule="auto"/>
              <w:rPr/>
            </w:pPr>
            <w:r>
              <w:rPr>
                <w:spacing w:val="-1"/>
              </w:rPr>
              <w:t>这部分记录所有与数据源程序相关的软件平台，包括：</w:t>
            </w:r>
          </w:p>
          <w:p>
            <w:pPr>
              <w:pStyle w:val="TableText"/>
              <w:ind w:left="265"/>
              <w:spacing w:before="122" w:line="219" w:lineRule="auto"/>
              <w:rPr/>
            </w:pPr>
            <w:r>
              <w:rPr/>
              <w:t>●每一个数据源所在的软件平台环境</w:t>
            </w:r>
          </w:p>
          <w:p>
            <w:pPr>
              <w:pStyle w:val="TableText"/>
              <w:ind w:left="265"/>
              <w:spacing w:before="92" w:line="219" w:lineRule="auto"/>
              <w:rPr/>
            </w:pPr>
            <w:r>
              <w:rPr/>
              <w:t>●数据源服务器所在的软件平台环境</w:t>
            </w:r>
          </w:p>
          <w:p>
            <w:pPr>
              <w:pStyle w:val="TableText"/>
              <w:ind w:left="265"/>
              <w:spacing w:before="92" w:line="219" w:lineRule="auto"/>
              <w:rPr/>
            </w:pPr>
            <w:r>
              <w:rPr/>
              <w:t>●数据仓库服务器的软件平台环境</w:t>
            </w:r>
          </w:p>
          <w:p>
            <w:pPr>
              <w:pStyle w:val="TableText"/>
              <w:ind w:left="265"/>
              <w:spacing w:before="82" w:line="219" w:lineRule="auto"/>
              <w:rPr/>
            </w:pPr>
            <w:r>
              <w:rPr/>
              <w:t>●数据源程序运行监控软件平台环境</w:t>
            </w:r>
          </w:p>
          <w:p>
            <w:pPr>
              <w:pStyle w:val="TableText"/>
              <w:ind w:left="265"/>
              <w:spacing w:before="61" w:line="219" w:lineRule="auto"/>
              <w:rPr/>
            </w:pPr>
            <w:r>
              <w:rPr/>
              <w:t>这里的软件环境包括操作系统的种类和版本、数据库的种类和版本等，对监控平台还要</w:t>
            </w:r>
            <w:r>
              <w:rPr>
                <w:spacing w:val="-1"/>
              </w:rPr>
              <w:t>关注应用软件。</w:t>
            </w:r>
          </w:p>
          <w:p>
            <w:pPr>
              <w:pStyle w:val="TableText"/>
              <w:ind w:left="265"/>
              <w:spacing w:before="126" w:line="221" w:lineRule="auto"/>
              <w:rPr/>
            </w:pPr>
            <w:r>
              <w:rPr/>
              <w:t>(3)&lt;网络平台&gt;</w:t>
            </w:r>
          </w:p>
          <w:p>
            <w:pPr>
              <w:pStyle w:val="TableText"/>
              <w:ind w:left="265"/>
              <w:spacing w:before="67" w:line="219" w:lineRule="auto"/>
              <w:rPr/>
            </w:pPr>
            <w:r>
              <w:rPr/>
              <w:t>这部分记录与数据采集程序有关的所有网络</w:t>
            </w:r>
            <w:r>
              <w:rPr>
                <w:spacing w:val="-1"/>
              </w:rPr>
              <w:t>环境的定义。</w:t>
            </w:r>
          </w:p>
          <w:p>
            <w:pPr>
              <w:pStyle w:val="TableText"/>
              <w:ind w:left="265"/>
              <w:spacing w:before="113" w:line="219" w:lineRule="auto"/>
              <w:rPr/>
            </w:pPr>
            <w:r>
              <w:rPr/>
              <w:t>(4)&lt;数据仓库工具平台&gt;</w:t>
            </w:r>
          </w:p>
          <w:p>
            <w:pPr>
              <w:pStyle w:val="TableText"/>
              <w:ind w:left="265"/>
              <w:spacing w:before="71" w:line="219" w:lineRule="auto"/>
              <w:rPr/>
            </w:pPr>
            <w:r>
              <w:rPr/>
              <w:t>在这里介绍数据仓库工具的使用限定，包括工具的版本信息、使用模块的名称及其作用、在本文中</w:t>
            </w:r>
            <w:r>
              <w:rPr>
                <w:spacing w:val="-1"/>
              </w:rPr>
              <w:t>的缩略语等。</w:t>
            </w:r>
          </w:p>
          <w:p>
            <w:pPr>
              <w:pStyle w:val="TableText"/>
              <w:ind w:left="265"/>
              <w:spacing w:before="112" w:line="219" w:lineRule="auto"/>
              <w:rPr/>
            </w:pPr>
            <w:r>
              <w:rPr/>
              <w:t>(5)&lt;产品供应商支持能力描述&gt;</w:t>
            </w:r>
          </w:p>
          <w:p>
            <w:pPr>
              <w:pStyle w:val="TableText"/>
              <w:ind w:left="265"/>
              <w:spacing w:before="82" w:line="219" w:lineRule="auto"/>
              <w:rPr/>
            </w:pPr>
            <w:r>
              <w:rPr/>
              <w:t>这部分详细记录产品供应商提供的技术支持承诺内容、指定的技术支持人员及</w:t>
            </w:r>
            <w:r>
              <w:rPr>
                <w:spacing w:val="-1"/>
              </w:rPr>
              <w:t>其联系方式。</w:t>
            </w:r>
          </w:p>
          <w:p>
            <w:pPr>
              <w:pStyle w:val="TableText"/>
              <w:ind w:left="265"/>
              <w:spacing w:before="113" w:line="219" w:lineRule="auto"/>
              <w:rPr/>
            </w:pPr>
            <w:r>
              <w:rPr/>
              <w:t>(6)&lt;数据仓库工具测试记录&gt;</w:t>
            </w:r>
          </w:p>
          <w:p>
            <w:pPr>
              <w:pStyle w:val="TableText"/>
              <w:ind w:left="265"/>
              <w:spacing w:before="72" w:line="219" w:lineRule="auto"/>
              <w:rPr/>
            </w:pPr>
            <w:r>
              <w:rPr/>
              <w:t>如果在“软件需求分析”阶段实施了数据仓库工具测试，那么这里将测试的结</w:t>
            </w:r>
            <w:r>
              <w:rPr>
                <w:spacing w:val="-1"/>
              </w:rPr>
              <w:t>果记录下来。</w:t>
            </w:r>
          </w:p>
          <w:p>
            <w:pPr>
              <w:pStyle w:val="TableText"/>
              <w:ind w:left="265"/>
              <w:spacing w:before="111" w:line="219" w:lineRule="auto"/>
              <w:rPr/>
            </w:pPr>
            <w:r>
              <w:rPr>
                <w:spacing w:val="-1"/>
              </w:rPr>
              <w:t>4.2数据采集程序性能要求</w:t>
            </w:r>
          </w:p>
          <w:p>
            <w:pPr>
              <w:pStyle w:val="TableText"/>
              <w:ind w:left="125" w:right="191" w:firstLine="139"/>
              <w:spacing w:before="84" w:line="275" w:lineRule="auto"/>
              <w:rPr/>
            </w:pPr>
            <w:r>
              <w:rPr/>
              <w:t>这部分描述数据采集程序运行时的各种性能要求和管理要求，例如计划多少时间完成数据采</w:t>
            </w:r>
            <w:r>
              <w:rPr>
                <w:spacing w:val="-1"/>
              </w:rPr>
              <w:t>集程序的运行、对</w:t>
            </w:r>
            <w:r>
              <w:rPr/>
              <w:t xml:space="preserve"> </w:t>
            </w:r>
            <w:r>
              <w:rPr/>
              <w:t>数据采集程序的各个组成部分怎样定义、需要对数据采集程序提供怎样的维护和</w:t>
            </w:r>
            <w:r>
              <w:rPr>
                <w:spacing w:val="-1"/>
              </w:rPr>
              <w:t>管理手段等。</w:t>
            </w:r>
          </w:p>
        </w:tc>
      </w:tr>
    </w:tbl>
    <w:p>
      <w:pPr>
        <w:pStyle w:val="BodyText"/>
        <w:rPr/>
      </w:pPr>
      <w:r/>
    </w:p>
    <w:p>
      <w:pPr>
        <w:sectPr>
          <w:footerReference w:type="default" r:id="rId314"/>
          <w:pgSz w:w="8870" w:h="13400"/>
          <w:pgMar w:top="400" w:right="581" w:bottom="532" w:left="404" w:header="0" w:footer="303" w:gutter="0"/>
        </w:sectPr>
        <w:rPr/>
      </w:pPr>
    </w:p>
    <w:p>
      <w:pPr>
        <w:ind w:left="80"/>
        <w:spacing w:before="190"/>
        <w:rPr>
          <w:rFonts w:ascii="SimSun" w:hAnsi="SimSun" w:eastAsia="SimSun" w:cs="SimSun"/>
          <w:sz w:val="22"/>
          <w:szCs w:val="22"/>
        </w:rPr>
      </w:pPr>
      <w:bookmarkStart w:name="bookmark64" w:id="59"/>
      <w:bookmarkEnd w:id="59"/>
      <w:r>
        <w:rPr>
          <w:rFonts w:ascii="SimSun" w:hAnsi="SimSun" w:eastAsia="SimSun" w:cs="SimSun"/>
          <w:sz w:val="22"/>
          <w:szCs w:val="22"/>
          <w:position w:val="-9"/>
        </w:rPr>
        <w:drawing>
          <wp:inline distT="0" distB="0" distL="0" distR="0">
            <wp:extent cx="6365" cy="222255"/>
            <wp:effectExtent l="0" t="0" r="0" b="0"/>
            <wp:docPr id="212" name="IM 212"/>
            <wp:cNvGraphicFramePr/>
            <a:graphic>
              <a:graphicData uri="http://schemas.openxmlformats.org/drawingml/2006/picture">
                <pic:pic>
                  <pic:nvPicPr>
                    <pic:cNvPr id="212" name="IM 212"/>
                    <pic:cNvPicPr/>
                  </pic:nvPicPr>
                  <pic:blipFill>
                    <a:blip r:embed="rId316"/>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7152"/>
        <w:spacing w:before="296" w:line="204" w:lineRule="auto"/>
        <w:rPr>
          <w:rFonts w:ascii="SimHei" w:hAnsi="SimHei" w:eastAsia="SimHei" w:cs="SimHei"/>
          <w:sz w:val="22"/>
          <w:szCs w:val="22"/>
        </w:rPr>
      </w:pPr>
      <w:r>
        <w:rPr>
          <w:rFonts w:ascii="SimHei" w:hAnsi="SimHei" w:eastAsia="SimHei" w:cs="SimHei"/>
          <w:sz w:val="22"/>
          <w:szCs w:val="22"/>
          <w:b/>
          <w:bCs/>
          <w:spacing w:val="-14"/>
          <w:w w:val="97"/>
        </w:rPr>
        <w:t>续表</w:t>
      </w:r>
    </w:p>
    <w:tbl>
      <w:tblPr>
        <w:tblStyle w:val="TableNormal"/>
        <w:tblW w:w="7689" w:type="dxa"/>
        <w:tblInd w:w="205" w:type="dxa"/>
        <w:tblLayout w:type="fixed"/>
        <w:tblBorders>
          <w:left w:val="single" w:color="000000" w:sz="4" w:space="0"/>
          <w:bottom w:val="single" w:color="000000" w:sz="2" w:space="0"/>
          <w:right w:val="single" w:color="000000" w:sz="4" w:space="0"/>
          <w:top w:val="single" w:color="000000" w:sz="4" w:space="0"/>
        </w:tblBorders>
      </w:tblPr>
      <w:tblGrid>
        <w:gridCol w:w="7689"/>
      </w:tblGrid>
      <w:tr>
        <w:trPr>
          <w:trHeight w:val="1165" w:hRule="atLeast"/>
        </w:trPr>
        <w:tc>
          <w:tcPr>
            <w:tcW w:w="7689" w:type="dxa"/>
            <w:vAlign w:val="top"/>
          </w:tcPr>
          <w:p>
            <w:pPr>
              <w:pStyle w:val="TableText"/>
              <w:ind w:left="269"/>
              <w:spacing w:before="75" w:line="219" w:lineRule="auto"/>
              <w:rPr>
                <w:sz w:val="16"/>
                <w:szCs w:val="16"/>
              </w:rPr>
            </w:pPr>
            <w:r>
              <w:rPr>
                <w:sz w:val="16"/>
                <w:szCs w:val="16"/>
                <w:spacing w:val="-10"/>
              </w:rPr>
              <w:t>4.3</w:t>
            </w:r>
            <w:r>
              <w:rPr>
                <w:sz w:val="16"/>
                <w:szCs w:val="16"/>
                <w:spacing w:val="70"/>
              </w:rPr>
              <w:t xml:space="preserve"> </w:t>
            </w:r>
            <w:r>
              <w:rPr>
                <w:sz w:val="16"/>
                <w:szCs w:val="16"/>
                <w:spacing w:val="-10"/>
              </w:rPr>
              <w:t>数据采集程序组件命名规则</w:t>
            </w:r>
          </w:p>
          <w:p>
            <w:pPr>
              <w:pStyle w:val="TableText"/>
              <w:ind w:left="269" w:right="329"/>
              <w:spacing w:before="101" w:line="259" w:lineRule="auto"/>
              <w:rPr>
                <w:sz w:val="16"/>
                <w:szCs w:val="16"/>
              </w:rPr>
            </w:pPr>
            <w:r>
              <w:rPr>
                <w:sz w:val="16"/>
                <w:szCs w:val="16"/>
                <w:spacing w:val="-9"/>
              </w:rPr>
              <w:t>这部分详尽说明数据采集程序的每一个组件的命名规则，集体内容</w:t>
            </w:r>
            <w:r>
              <w:rPr>
                <w:sz w:val="16"/>
                <w:szCs w:val="16"/>
                <w:spacing w:val="-10"/>
              </w:rPr>
              <w:t>因数据采集程序运行方式的不同而不同。</w:t>
            </w:r>
            <w:r>
              <w:rPr>
                <w:sz w:val="16"/>
                <w:szCs w:val="16"/>
              </w:rPr>
              <w:t xml:space="preserve"> </w:t>
            </w:r>
            <w:r>
              <w:rPr>
                <w:sz w:val="16"/>
                <w:szCs w:val="16"/>
                <w:spacing w:val="-7"/>
              </w:rPr>
              <w:t>5</w:t>
            </w:r>
            <w:r>
              <w:rPr>
                <w:sz w:val="16"/>
                <w:szCs w:val="16"/>
                <w:spacing w:val="70"/>
              </w:rPr>
              <w:t xml:space="preserve"> </w:t>
            </w:r>
            <w:r>
              <w:rPr>
                <w:sz w:val="16"/>
                <w:szCs w:val="16"/>
                <w:spacing w:val="-7"/>
              </w:rPr>
              <w:t>附件</w:t>
            </w:r>
          </w:p>
          <w:p>
            <w:pPr>
              <w:pStyle w:val="TableText"/>
              <w:ind w:left="269"/>
              <w:spacing w:before="110" w:line="219" w:lineRule="auto"/>
              <w:rPr>
                <w:sz w:val="16"/>
                <w:szCs w:val="16"/>
              </w:rPr>
            </w:pPr>
            <w:r>
              <w:rPr>
                <w:sz w:val="16"/>
                <w:szCs w:val="16"/>
                <w:spacing w:val="-10"/>
              </w:rPr>
              <w:t>这部分将与本系统相关的数据源字典列在此处。</w:t>
            </w:r>
          </w:p>
        </w:tc>
      </w:tr>
    </w:tbl>
    <w:p>
      <w:pPr>
        <w:pStyle w:val="BodyText"/>
        <w:spacing w:line="318" w:lineRule="auto"/>
        <w:rPr/>
      </w:pPr>
      <w:r/>
    </w:p>
    <w:p>
      <w:pPr>
        <w:ind w:left="184"/>
        <w:spacing w:before="94" w:line="221" w:lineRule="auto"/>
        <w:outlineLvl w:val="3"/>
        <w:rPr>
          <w:rFonts w:ascii="YouYuan" w:hAnsi="YouYuan" w:eastAsia="YouYuan" w:cs="YouYuan"/>
          <w:sz w:val="29"/>
          <w:szCs w:val="29"/>
        </w:rPr>
      </w:pPr>
      <w:r>
        <w:rPr>
          <w:rFonts w:ascii="YouYuan" w:hAnsi="YouYuan" w:eastAsia="YouYuan" w:cs="YouYuan"/>
          <w:sz w:val="29"/>
          <w:szCs w:val="29"/>
          <w:b/>
          <w:bCs/>
          <w:spacing w:val="-9"/>
        </w:rPr>
        <w:t>7.2.2</w:t>
      </w:r>
      <w:r>
        <w:rPr>
          <w:rFonts w:ascii="YouYuan" w:hAnsi="YouYuan" w:eastAsia="YouYuan" w:cs="YouYuan"/>
          <w:sz w:val="29"/>
          <w:szCs w:val="29"/>
          <w:spacing w:val="120"/>
        </w:rPr>
        <w:t xml:space="preserve"> </w:t>
      </w:r>
      <w:r>
        <w:rPr>
          <w:rFonts w:ascii="YouYuan" w:hAnsi="YouYuan" w:eastAsia="YouYuan" w:cs="YouYuan"/>
          <w:sz w:val="29"/>
          <w:szCs w:val="29"/>
          <w:b/>
          <w:bCs/>
          <w:spacing w:val="-9"/>
        </w:rPr>
        <w:t>数据集成与互操作</w:t>
      </w:r>
    </w:p>
    <w:p>
      <w:pPr>
        <w:pStyle w:val="BodyText"/>
        <w:spacing w:line="256" w:lineRule="auto"/>
        <w:rPr/>
      </w:pPr>
      <w:r/>
    </w:p>
    <w:p>
      <w:pPr>
        <w:ind w:left="673"/>
        <w:spacing w:before="72" w:line="224" w:lineRule="auto"/>
        <w:outlineLvl w:val="4"/>
        <w:rPr>
          <w:rFonts w:ascii="YouYuan" w:hAnsi="YouYuan" w:eastAsia="YouYuan" w:cs="YouYuan"/>
          <w:sz w:val="22"/>
          <w:szCs w:val="22"/>
        </w:rPr>
      </w:pPr>
      <w:r>
        <w:rPr>
          <w:rFonts w:ascii="YouYuan" w:hAnsi="YouYuan" w:eastAsia="YouYuan" w:cs="YouYuan"/>
          <w:sz w:val="22"/>
          <w:szCs w:val="22"/>
          <w:b/>
          <w:bCs/>
          <w:spacing w:val="-2"/>
        </w:rPr>
        <w:t>1.</w:t>
      </w:r>
      <w:r>
        <w:rPr>
          <w:rFonts w:ascii="YouYuan" w:hAnsi="YouYuan" w:eastAsia="YouYuan" w:cs="YouYuan"/>
          <w:sz w:val="22"/>
          <w:szCs w:val="22"/>
          <w:spacing w:val="-15"/>
        </w:rPr>
        <w:t xml:space="preserve"> </w:t>
      </w:r>
      <w:r>
        <w:rPr>
          <w:rFonts w:ascii="YouYuan" w:hAnsi="YouYuan" w:eastAsia="YouYuan" w:cs="YouYuan"/>
          <w:sz w:val="22"/>
          <w:szCs w:val="22"/>
          <w:b/>
          <w:bCs/>
          <w:spacing w:val="-2"/>
        </w:rPr>
        <w:t>简介</w:t>
      </w:r>
    </w:p>
    <w:p>
      <w:pPr>
        <w:ind w:left="669"/>
        <w:spacing w:before="206" w:line="232" w:lineRule="auto"/>
        <w:rPr>
          <w:rFonts w:ascii="KaiTi" w:hAnsi="KaiTi" w:eastAsia="KaiTi" w:cs="KaiTi"/>
          <w:sz w:val="22"/>
          <w:szCs w:val="22"/>
        </w:rPr>
      </w:pPr>
      <w:r>
        <w:rPr>
          <w:rFonts w:ascii="KaiTi" w:hAnsi="KaiTi" w:eastAsia="KaiTi" w:cs="KaiTi"/>
          <w:sz w:val="22"/>
          <w:szCs w:val="22"/>
          <w:spacing w:val="15"/>
        </w:rPr>
        <w:t>1)目的</w:t>
      </w:r>
    </w:p>
    <w:p>
      <w:pPr>
        <w:ind w:left="179" w:right="32" w:firstLine="489"/>
        <w:spacing w:before="28" w:line="246" w:lineRule="auto"/>
        <w:rPr>
          <w:rFonts w:ascii="SimSun" w:hAnsi="SimSun" w:eastAsia="SimSun" w:cs="SimSun"/>
          <w:sz w:val="22"/>
          <w:szCs w:val="22"/>
        </w:rPr>
      </w:pPr>
      <w:r>
        <w:rPr>
          <w:rFonts w:ascii="SimSun" w:hAnsi="SimSun" w:eastAsia="SimSun" w:cs="SimSun"/>
          <w:sz w:val="22"/>
          <w:szCs w:val="22"/>
          <w:spacing w:val="-8"/>
        </w:rPr>
        <w:t>减少组织从多个来源获取数据的需要，提高数据在</w:t>
      </w:r>
      <w:r>
        <w:rPr>
          <w:rFonts w:ascii="SimSun" w:hAnsi="SimSun" w:eastAsia="SimSun" w:cs="SimSun"/>
          <w:sz w:val="22"/>
          <w:szCs w:val="22"/>
          <w:spacing w:val="-9"/>
        </w:rPr>
        <w:t>需要整合和聚合的业务过程</w:t>
      </w:r>
      <w:r>
        <w:rPr>
          <w:rFonts w:ascii="SimSun" w:hAnsi="SimSun" w:eastAsia="SimSun" w:cs="SimSun"/>
          <w:sz w:val="22"/>
          <w:szCs w:val="22"/>
        </w:rPr>
        <w:t xml:space="preserve"> </w:t>
      </w:r>
      <w:r>
        <w:rPr>
          <w:rFonts w:ascii="SimSun" w:hAnsi="SimSun" w:eastAsia="SimSun" w:cs="SimSun"/>
          <w:sz w:val="22"/>
          <w:szCs w:val="22"/>
          <w:spacing w:val="-9"/>
        </w:rPr>
        <w:t>中的可用性，并确保数据在不同业务过程或云服务器间的互操作性。数据集成可带 </w:t>
      </w:r>
      <w:r>
        <w:rPr>
          <w:rFonts w:ascii="SimSun" w:hAnsi="SimSun" w:eastAsia="SimSun" w:cs="SimSun"/>
          <w:sz w:val="22"/>
          <w:szCs w:val="22"/>
          <w:spacing w:val="-10"/>
        </w:rPr>
        <w:t>来源数据的优化，通过集中来实现成本节约，并提高数据质量。</w:t>
      </w:r>
    </w:p>
    <w:p>
      <w:pPr>
        <w:ind w:left="669"/>
        <w:spacing w:before="69" w:line="219" w:lineRule="auto"/>
        <w:rPr>
          <w:rFonts w:ascii="SimSun" w:hAnsi="SimSun" w:eastAsia="SimSun" w:cs="SimSun"/>
          <w:sz w:val="22"/>
          <w:szCs w:val="22"/>
        </w:rPr>
      </w:pPr>
      <w:r>
        <w:rPr>
          <w:rFonts w:ascii="SimSun" w:hAnsi="SimSun" w:eastAsia="SimSun" w:cs="SimSun"/>
          <w:sz w:val="22"/>
          <w:szCs w:val="22"/>
          <w:spacing w:val="14"/>
        </w:rPr>
        <w:t>2)介绍</w:t>
      </w:r>
    </w:p>
    <w:p>
      <w:pPr>
        <w:ind w:left="179" w:right="10" w:firstLine="489"/>
        <w:spacing w:before="69" w:line="235" w:lineRule="auto"/>
        <w:rPr>
          <w:rFonts w:ascii="SimSun" w:hAnsi="SimSun" w:eastAsia="SimSun" w:cs="SimSun"/>
          <w:sz w:val="22"/>
          <w:szCs w:val="22"/>
        </w:rPr>
      </w:pPr>
      <w:r>
        <w:rPr>
          <w:rFonts w:ascii="SimSun" w:hAnsi="SimSun" w:eastAsia="SimSun" w:cs="SimSun"/>
          <w:sz w:val="22"/>
          <w:szCs w:val="22"/>
          <w:spacing w:val="-8"/>
        </w:rPr>
        <w:t>数据集成与互操作是把不同来源、格式、特点性质的数据</w:t>
      </w:r>
      <w:r>
        <w:rPr>
          <w:rFonts w:ascii="SimSun" w:hAnsi="SimSun" w:eastAsia="SimSun" w:cs="SimSun"/>
          <w:sz w:val="22"/>
          <w:szCs w:val="22"/>
          <w:spacing w:val="-9"/>
        </w:rPr>
        <w:t>在逻辑上或物理上有</w:t>
      </w:r>
      <w:r>
        <w:rPr>
          <w:rFonts w:ascii="SimSun" w:hAnsi="SimSun" w:eastAsia="SimSun" w:cs="SimSun"/>
          <w:sz w:val="22"/>
          <w:szCs w:val="22"/>
        </w:rPr>
        <w:t xml:space="preserve"> </w:t>
      </w:r>
      <w:r>
        <w:rPr>
          <w:rFonts w:ascii="SimSun" w:hAnsi="SimSun" w:eastAsia="SimSun" w:cs="SimSun"/>
          <w:sz w:val="22"/>
          <w:szCs w:val="22"/>
          <w:spacing w:val="-12"/>
        </w:rPr>
        <w:t>机地集中，从而为组织提供全面的数据共享，并确保数据在云服务器间的互操作性。</w:t>
      </w:r>
    </w:p>
    <w:p>
      <w:pPr>
        <w:ind w:left="179" w:right="10" w:firstLine="489"/>
        <w:spacing w:before="2" w:line="263" w:lineRule="auto"/>
        <w:rPr>
          <w:rFonts w:ascii="SimSun" w:hAnsi="SimSun" w:eastAsia="SimSun" w:cs="SimSun"/>
          <w:sz w:val="22"/>
          <w:szCs w:val="22"/>
        </w:rPr>
      </w:pPr>
      <w:r>
        <w:rPr>
          <w:rFonts w:ascii="SimSun" w:hAnsi="SimSun" w:eastAsia="SimSun" w:cs="SimSun"/>
          <w:sz w:val="22"/>
          <w:szCs w:val="22"/>
          <w:spacing w:val="-5"/>
        </w:rPr>
        <w:t>数据集成说明了从多个源到目标环境的数据传输和处理(连接、结合、重复数</w:t>
      </w:r>
      <w:r>
        <w:rPr>
          <w:rFonts w:ascii="SimSun" w:hAnsi="SimSun" w:eastAsia="SimSun" w:cs="SimSun"/>
          <w:sz w:val="22"/>
          <w:szCs w:val="22"/>
          <w:spacing w:val="18"/>
        </w:rPr>
        <w:t xml:space="preserve"> </w:t>
      </w:r>
      <w:r>
        <w:rPr>
          <w:rFonts w:ascii="SimSun" w:hAnsi="SimSun" w:eastAsia="SimSun" w:cs="SimSun"/>
          <w:sz w:val="22"/>
          <w:szCs w:val="22"/>
          <w:spacing w:val="-11"/>
        </w:rPr>
        <w:t>据删除等)。数据集成处理的主要内容包括多个来源的不同的数据</w:t>
      </w:r>
      <w:r>
        <w:rPr>
          <w:rFonts w:ascii="SimSun" w:hAnsi="SimSun" w:eastAsia="SimSun" w:cs="SimSun"/>
          <w:sz w:val="22"/>
          <w:szCs w:val="22"/>
          <w:spacing w:val="-12"/>
        </w:rPr>
        <w:t>表示、业务含义的</w:t>
      </w:r>
      <w:r>
        <w:rPr>
          <w:rFonts w:ascii="SimSun" w:hAnsi="SimSun" w:eastAsia="SimSun" w:cs="SimSun"/>
          <w:sz w:val="22"/>
          <w:szCs w:val="22"/>
        </w:rPr>
        <w:t xml:space="preserve">  </w:t>
      </w:r>
      <w:r>
        <w:rPr>
          <w:rFonts w:ascii="SimSun" w:hAnsi="SimSun" w:eastAsia="SimSun" w:cs="SimSun"/>
          <w:sz w:val="22"/>
          <w:szCs w:val="22"/>
          <w:spacing w:val="-12"/>
        </w:rPr>
        <w:t>合理化以及转换逻辑的复杂性。</w:t>
      </w:r>
    </w:p>
    <w:p>
      <w:pPr>
        <w:ind w:left="179" w:right="30" w:firstLine="489"/>
        <w:spacing w:before="28" w:line="256" w:lineRule="auto"/>
        <w:rPr>
          <w:rFonts w:ascii="SimSun" w:hAnsi="SimSun" w:eastAsia="SimSun" w:cs="SimSun"/>
          <w:sz w:val="22"/>
          <w:szCs w:val="22"/>
        </w:rPr>
      </w:pPr>
      <w:r>
        <w:rPr>
          <w:rFonts w:ascii="SimSun" w:hAnsi="SimSun" w:eastAsia="SimSun" w:cs="SimSun"/>
          <w:sz w:val="22"/>
          <w:szCs w:val="22"/>
          <w:spacing w:val="-8"/>
        </w:rPr>
        <w:t>通常情况下，数据集成关注于应用程序之间的数据传输</w:t>
      </w:r>
      <w:r>
        <w:rPr>
          <w:rFonts w:ascii="SimSun" w:hAnsi="SimSun" w:eastAsia="SimSun" w:cs="SimSun"/>
          <w:sz w:val="22"/>
          <w:szCs w:val="22"/>
          <w:spacing w:val="-9"/>
        </w:rPr>
        <w:t>和整合，以及数据从交</w:t>
      </w:r>
      <w:r>
        <w:rPr>
          <w:rFonts w:ascii="SimSun" w:hAnsi="SimSun" w:eastAsia="SimSun" w:cs="SimSun"/>
          <w:sz w:val="22"/>
          <w:szCs w:val="22"/>
        </w:rPr>
        <w:t xml:space="preserve"> </w:t>
      </w:r>
      <w:r>
        <w:rPr>
          <w:rFonts w:ascii="SimSun" w:hAnsi="SimSun" w:eastAsia="SimSun" w:cs="SimSun"/>
          <w:sz w:val="22"/>
          <w:szCs w:val="22"/>
          <w:spacing w:val="-9"/>
        </w:rPr>
        <w:t>易系统或外部来源集成到共享存储库。数据集成的范围广泛而且详细。利益相关方 </w:t>
      </w:r>
      <w:r>
        <w:rPr>
          <w:rFonts w:ascii="SimSun" w:hAnsi="SimSun" w:eastAsia="SimSun" w:cs="SimSun"/>
          <w:sz w:val="22"/>
          <w:szCs w:val="22"/>
          <w:spacing w:val="-8"/>
        </w:rPr>
        <w:t>需要了解项目交付的组件和依赖性，以及所计划的集成工作的迭代阶段。业</w:t>
      </w:r>
      <w:r>
        <w:rPr>
          <w:rFonts w:ascii="SimSun" w:hAnsi="SimSun" w:eastAsia="SimSun" w:cs="SimSun"/>
          <w:sz w:val="22"/>
          <w:szCs w:val="22"/>
          <w:spacing w:val="-9"/>
        </w:rPr>
        <w:t>务利益</w:t>
      </w:r>
      <w:r>
        <w:rPr>
          <w:rFonts w:ascii="SimSun" w:hAnsi="SimSun" w:eastAsia="SimSun" w:cs="SimSun"/>
          <w:sz w:val="22"/>
          <w:szCs w:val="22"/>
        </w:rPr>
        <w:t xml:space="preserve"> </w:t>
      </w:r>
      <w:r>
        <w:rPr>
          <w:rFonts w:ascii="SimSun" w:hAnsi="SimSun" w:eastAsia="SimSun" w:cs="SimSun"/>
          <w:sz w:val="22"/>
          <w:szCs w:val="22"/>
          <w:spacing w:val="-9"/>
        </w:rPr>
        <w:t>相关方需要采取长远的视角，这意味着处理集成障碍的灵活性。</w:t>
      </w:r>
    </w:p>
    <w:p>
      <w:pPr>
        <w:ind w:left="179" w:right="30" w:firstLine="489"/>
        <w:spacing w:before="40" w:line="252" w:lineRule="auto"/>
        <w:rPr>
          <w:rFonts w:ascii="SimSun" w:hAnsi="SimSun" w:eastAsia="SimSun" w:cs="SimSun"/>
          <w:sz w:val="22"/>
          <w:szCs w:val="22"/>
        </w:rPr>
      </w:pPr>
      <w:r>
        <w:rPr>
          <w:rFonts w:ascii="SimSun" w:hAnsi="SimSun" w:eastAsia="SimSun" w:cs="SimSun"/>
          <w:sz w:val="22"/>
          <w:szCs w:val="22"/>
          <w:spacing w:val="-8"/>
        </w:rPr>
        <w:t>成功的集成努力取决于持续的合作。业务用户需要确定</w:t>
      </w:r>
      <w:r>
        <w:rPr>
          <w:rFonts w:ascii="SimSun" w:hAnsi="SimSun" w:eastAsia="SimSun" w:cs="SimSun"/>
          <w:sz w:val="22"/>
          <w:szCs w:val="22"/>
          <w:spacing w:val="-9"/>
        </w:rPr>
        <w:t>并验证用于转化或整合</w:t>
      </w:r>
      <w:r>
        <w:rPr>
          <w:rFonts w:ascii="SimSun" w:hAnsi="SimSun" w:eastAsia="SimSun" w:cs="SimSun"/>
          <w:sz w:val="22"/>
          <w:szCs w:val="22"/>
        </w:rPr>
        <w:t xml:space="preserve"> </w:t>
      </w:r>
      <w:r>
        <w:rPr>
          <w:rFonts w:ascii="SimSun" w:hAnsi="SimSun" w:eastAsia="SimSun" w:cs="SimSun"/>
          <w:sz w:val="22"/>
          <w:szCs w:val="22"/>
          <w:spacing w:val="-9"/>
        </w:rPr>
        <w:t>的业务规则，并且</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9"/>
        </w:rPr>
        <w:t>需要了解预期的业务使用，</w:t>
      </w:r>
      <w:r>
        <w:rPr>
          <w:rFonts w:ascii="SimSun" w:hAnsi="SimSun" w:eastAsia="SimSun" w:cs="SimSun"/>
          <w:sz w:val="22"/>
          <w:szCs w:val="22"/>
          <w:spacing w:val="-10"/>
        </w:rPr>
        <w:t>并在组织的集成和数据标准范围内</w:t>
      </w:r>
      <w:r>
        <w:rPr>
          <w:rFonts w:ascii="SimSun" w:hAnsi="SimSun" w:eastAsia="SimSun" w:cs="SimSun"/>
          <w:sz w:val="22"/>
          <w:szCs w:val="22"/>
        </w:rPr>
        <w:t xml:space="preserve"> </w:t>
      </w:r>
      <w:r>
        <w:rPr>
          <w:rFonts w:ascii="SimSun" w:hAnsi="SimSun" w:eastAsia="SimSun" w:cs="SimSun"/>
          <w:sz w:val="22"/>
          <w:szCs w:val="22"/>
          <w:spacing w:val="-9"/>
        </w:rPr>
        <w:t>实施业务规则。这还涉及到数据管理职能、标准应用的表现一致性、业务术语表的 </w:t>
      </w:r>
      <w:r>
        <w:rPr>
          <w:rFonts w:ascii="SimSun" w:hAnsi="SimSun" w:eastAsia="SimSun" w:cs="SimSun"/>
          <w:sz w:val="22"/>
          <w:szCs w:val="22"/>
          <w:spacing w:val="-8"/>
        </w:rPr>
        <w:t>更新以及其他组织范围内的考虑事项。由于不断变化的业务需求，应定期评</w:t>
      </w:r>
      <w:r>
        <w:rPr>
          <w:rFonts w:ascii="SimSun" w:hAnsi="SimSun" w:eastAsia="SimSun" w:cs="SimSun"/>
          <w:sz w:val="22"/>
          <w:szCs w:val="22"/>
          <w:spacing w:val="-9"/>
        </w:rPr>
        <w:t>审现有</w:t>
      </w:r>
      <w:r>
        <w:rPr>
          <w:rFonts w:ascii="SimSun" w:hAnsi="SimSun" w:eastAsia="SimSun" w:cs="SimSun"/>
          <w:sz w:val="22"/>
          <w:szCs w:val="22"/>
        </w:rPr>
        <w:t xml:space="preserve"> </w:t>
      </w:r>
      <w:r>
        <w:rPr>
          <w:rFonts w:ascii="SimSun" w:hAnsi="SimSun" w:eastAsia="SimSun" w:cs="SimSun"/>
          <w:sz w:val="22"/>
          <w:szCs w:val="22"/>
          <w:spacing w:val="-10"/>
        </w:rPr>
        <w:t>集成环境的表现一致性及其与业务要求的一致性。</w:t>
      </w:r>
    </w:p>
    <w:p>
      <w:pPr>
        <w:ind w:left="179" w:right="52" w:firstLine="489"/>
        <w:spacing w:before="48" w:line="257" w:lineRule="auto"/>
        <w:rPr>
          <w:rFonts w:ascii="SimSun" w:hAnsi="SimSun" w:eastAsia="SimSun" w:cs="SimSun"/>
          <w:sz w:val="22"/>
          <w:szCs w:val="22"/>
        </w:rPr>
      </w:pPr>
      <w:r>
        <w:rPr>
          <w:rFonts w:ascii="SimSun" w:hAnsi="SimSun" w:eastAsia="SimSun" w:cs="SimSun"/>
          <w:sz w:val="22"/>
          <w:szCs w:val="22"/>
          <w:spacing w:val="-14"/>
        </w:rPr>
        <w:t>互操作性又称互用性，</w:t>
      </w:r>
      <w:r>
        <w:rPr>
          <w:rFonts w:ascii="SimSun" w:hAnsi="SimSun" w:eastAsia="SimSun" w:cs="SimSun"/>
          <w:sz w:val="22"/>
          <w:szCs w:val="22"/>
          <w:spacing w:val="62"/>
        </w:rPr>
        <w:t xml:space="preserve"> </w:t>
      </w:r>
      <w:r>
        <w:rPr>
          <w:rFonts w:ascii="SimSun" w:hAnsi="SimSun" w:eastAsia="SimSun" w:cs="SimSun"/>
          <w:sz w:val="22"/>
          <w:szCs w:val="22"/>
          <w:spacing w:val="-14"/>
        </w:rPr>
        <w:t>一般是指不同的计算机系统、网络、操作系统和应用程</w:t>
      </w:r>
      <w:r>
        <w:rPr>
          <w:rFonts w:ascii="SimSun" w:hAnsi="SimSun" w:eastAsia="SimSun" w:cs="SimSun"/>
          <w:sz w:val="22"/>
          <w:szCs w:val="22"/>
        </w:rPr>
        <w:t xml:space="preserve"> </w:t>
      </w:r>
      <w:r>
        <w:rPr>
          <w:rFonts w:ascii="SimSun" w:hAnsi="SimSun" w:eastAsia="SimSun" w:cs="SimSun"/>
          <w:sz w:val="22"/>
          <w:szCs w:val="22"/>
          <w:spacing w:val="-8"/>
        </w:rPr>
        <w:t>序一起工作并共享信息的能力。对于数据治理活动中，数据互操作性正是基于数据</w:t>
      </w:r>
      <w:r>
        <w:rPr>
          <w:rFonts w:ascii="SimSun" w:hAnsi="SimSun" w:eastAsia="SimSun" w:cs="SimSun"/>
          <w:sz w:val="22"/>
          <w:szCs w:val="22"/>
        </w:rPr>
        <w:t xml:space="preserve"> </w:t>
      </w:r>
      <w:r>
        <w:rPr>
          <w:rFonts w:ascii="SimSun" w:hAnsi="SimSun" w:eastAsia="SimSun" w:cs="SimSun"/>
          <w:sz w:val="22"/>
          <w:szCs w:val="22"/>
          <w:spacing w:val="-8"/>
        </w:rPr>
        <w:t>来源广泛、数据格式复杂、数据处理平台差异化等特点的考虑，保证数据在</w:t>
      </w:r>
      <w:r>
        <w:rPr>
          <w:rFonts w:ascii="SimSun" w:hAnsi="SimSun" w:eastAsia="SimSun" w:cs="SimSun"/>
          <w:sz w:val="22"/>
          <w:szCs w:val="22"/>
          <w:spacing w:val="-9"/>
        </w:rPr>
        <w:t>不同平</w:t>
      </w:r>
      <w:r>
        <w:rPr>
          <w:rFonts w:ascii="SimSun" w:hAnsi="SimSun" w:eastAsia="SimSun" w:cs="SimSun"/>
          <w:sz w:val="22"/>
          <w:szCs w:val="22"/>
        </w:rPr>
        <w:t xml:space="preserve"> </w:t>
      </w:r>
      <w:r>
        <w:rPr>
          <w:rFonts w:ascii="SimSun" w:hAnsi="SimSun" w:eastAsia="SimSun" w:cs="SimSun"/>
          <w:sz w:val="22"/>
          <w:szCs w:val="22"/>
          <w:spacing w:val="-14"/>
        </w:rPr>
        <w:t>台间的可用性。</w:t>
      </w:r>
    </w:p>
    <w:p>
      <w:pPr>
        <w:ind w:left="669"/>
        <w:spacing w:before="49" w:line="229" w:lineRule="auto"/>
        <w:rPr>
          <w:rFonts w:ascii="KaiTi" w:hAnsi="KaiTi" w:eastAsia="KaiTi" w:cs="KaiTi"/>
          <w:sz w:val="22"/>
          <w:szCs w:val="22"/>
        </w:rPr>
      </w:pPr>
      <w:r>
        <w:rPr>
          <w:rFonts w:ascii="KaiTi" w:hAnsi="KaiTi" w:eastAsia="KaiTi" w:cs="KaiTi"/>
          <w:sz w:val="22"/>
          <w:szCs w:val="22"/>
          <w:spacing w:val="5"/>
        </w:rPr>
        <w:t>3)相关过程领域</w:t>
      </w:r>
    </w:p>
    <w:p>
      <w:pPr>
        <w:ind w:left="669"/>
        <w:spacing w:before="32" w:line="219" w:lineRule="auto"/>
        <w:rPr>
          <w:rFonts w:ascii="SimSun" w:hAnsi="SimSun" w:eastAsia="SimSun" w:cs="SimSun"/>
          <w:sz w:val="22"/>
          <w:szCs w:val="22"/>
        </w:rPr>
      </w:pPr>
      <w:r>
        <w:rPr>
          <w:rFonts w:ascii="SimSun" w:hAnsi="SimSun" w:eastAsia="SimSun" w:cs="SimSun"/>
          <w:sz w:val="22"/>
          <w:szCs w:val="22"/>
          <w:spacing w:val="-10"/>
        </w:rPr>
        <w:t>数据质量策略过程域能够提供数据集成期望和标准方面的指导。</w:t>
      </w:r>
    </w:p>
    <w:p>
      <w:pPr>
        <w:spacing w:line="219" w:lineRule="auto"/>
        <w:sectPr>
          <w:footerReference w:type="default" r:id="rId315"/>
          <w:pgSz w:w="8870" w:h="13400"/>
          <w:pgMar w:top="400" w:right="390" w:bottom="495" w:left="580" w:header="0" w:footer="276" w:gutter="0"/>
        </w:sectPr>
        <w:rPr>
          <w:rFonts w:ascii="SimSun" w:hAnsi="SimSun" w:eastAsia="SimSun" w:cs="SimSun"/>
          <w:sz w:val="22"/>
          <w:szCs w:val="22"/>
        </w:rPr>
      </w:pPr>
    </w:p>
    <w:p>
      <w:pPr>
        <w:ind w:left="5482"/>
        <w:spacing w:before="294" w:line="219" w:lineRule="auto"/>
        <w:rPr>
          <w:rFonts w:ascii="SimSun" w:hAnsi="SimSun" w:eastAsia="SimSun" w:cs="SimSun"/>
          <w:sz w:val="21"/>
          <w:szCs w:val="21"/>
        </w:rPr>
      </w:pPr>
      <w:r>
        <w:rPr>
          <w:rFonts w:ascii="SimSun" w:hAnsi="SimSun" w:eastAsia="SimSun" w:cs="SimSun"/>
          <w:sz w:val="21"/>
          <w:szCs w:val="21"/>
          <w:b/>
          <w:bCs/>
          <w:spacing w:val="-3"/>
        </w:rPr>
        <w:t>第7章■云端数据操作■</w:t>
      </w:r>
    </w:p>
    <w:p>
      <w:pPr>
        <w:pStyle w:val="BodyText"/>
        <w:spacing w:line="254" w:lineRule="auto"/>
        <w:rPr/>
      </w:pPr>
      <w:r/>
    </w:p>
    <w:p>
      <w:pPr>
        <w:ind w:right="186" w:firstLine="419"/>
        <w:spacing w:before="68" w:line="255" w:lineRule="auto"/>
        <w:rPr>
          <w:rFonts w:ascii="SimSun" w:hAnsi="SimSun" w:eastAsia="SimSun" w:cs="SimSun"/>
          <w:sz w:val="21"/>
          <w:szCs w:val="21"/>
        </w:rPr>
      </w:pPr>
      <w:r>
        <w:rPr>
          <w:rFonts w:ascii="SimSun" w:hAnsi="SimSun" w:eastAsia="SimSun" w:cs="SimSun"/>
          <w:sz w:val="21"/>
          <w:szCs w:val="21"/>
          <w:spacing w:val="1"/>
        </w:rPr>
        <w:t>元数据管理过程域提供了关于过程和基础设施建立的更多信息，以指定和扩展</w:t>
      </w:r>
      <w:r>
        <w:rPr>
          <w:rFonts w:ascii="SimSun" w:hAnsi="SimSun" w:eastAsia="SimSun" w:cs="SimSun"/>
          <w:sz w:val="21"/>
          <w:szCs w:val="21"/>
          <w:spacing w:val="16"/>
        </w:rPr>
        <w:t xml:space="preserve"> </w:t>
      </w:r>
      <w:r>
        <w:rPr>
          <w:rFonts w:ascii="SimSun" w:hAnsi="SimSun" w:eastAsia="SimSun" w:cs="SimSun"/>
          <w:sz w:val="21"/>
          <w:szCs w:val="21"/>
          <w:spacing w:val="-3"/>
        </w:rPr>
        <w:t>关于所管理的数据资产的有组织的明确信息，增加数据共享，确保数据的合规使用，</w:t>
      </w:r>
      <w:r>
        <w:rPr>
          <w:rFonts w:ascii="SimSun" w:hAnsi="SimSun" w:eastAsia="SimSun" w:cs="SimSun"/>
          <w:sz w:val="21"/>
          <w:szCs w:val="21"/>
          <w:spacing w:val="15"/>
        </w:rPr>
        <w:t xml:space="preserve"> </w:t>
      </w:r>
      <w:r>
        <w:rPr>
          <w:rFonts w:ascii="SimSun" w:hAnsi="SimSun" w:eastAsia="SimSun" w:cs="SimSun"/>
          <w:sz w:val="21"/>
          <w:szCs w:val="21"/>
          <w:spacing w:val="-2"/>
        </w:rPr>
        <w:t>提高对业务变化的响应，并减少数据相关的风险。</w:t>
      </w:r>
    </w:p>
    <w:p>
      <w:pPr>
        <w:ind w:right="251" w:firstLine="419"/>
        <w:spacing w:before="69" w:line="261" w:lineRule="auto"/>
        <w:rPr>
          <w:rFonts w:ascii="SimSun" w:hAnsi="SimSun" w:eastAsia="SimSun" w:cs="SimSun"/>
          <w:sz w:val="21"/>
          <w:szCs w:val="21"/>
        </w:rPr>
      </w:pPr>
      <w:r>
        <w:rPr>
          <w:rFonts w:ascii="SimSun" w:hAnsi="SimSun" w:eastAsia="SimSun" w:cs="SimSun"/>
          <w:sz w:val="21"/>
          <w:szCs w:val="21"/>
          <w:spacing w:val="1"/>
        </w:rPr>
        <w:t>架构标准过程域给出了关于提供一组经批准的预期的更多信息，以管理关于经</w:t>
      </w:r>
      <w:r>
        <w:rPr>
          <w:rFonts w:ascii="SimSun" w:hAnsi="SimSun" w:eastAsia="SimSun" w:cs="SimSun"/>
          <w:sz w:val="21"/>
          <w:szCs w:val="21"/>
          <w:spacing w:val="14"/>
        </w:rPr>
        <w:t xml:space="preserve"> </w:t>
      </w:r>
      <w:r>
        <w:rPr>
          <w:rFonts w:ascii="SimSun" w:hAnsi="SimSun" w:eastAsia="SimSun" w:cs="SimSun"/>
          <w:sz w:val="21"/>
          <w:szCs w:val="21"/>
          <w:spacing w:val="1"/>
        </w:rPr>
        <w:t>批准的数据表示、数据访问、数据集成和数据分发的架构元素，这对于数据资产控</w:t>
      </w:r>
      <w:r>
        <w:rPr>
          <w:rFonts w:ascii="SimSun" w:hAnsi="SimSun" w:eastAsia="SimSun" w:cs="SimSun"/>
          <w:sz w:val="21"/>
          <w:szCs w:val="21"/>
          <w:spacing w:val="12"/>
        </w:rPr>
        <w:t xml:space="preserve"> </w:t>
      </w:r>
      <w:r>
        <w:rPr>
          <w:rFonts w:ascii="SimSun" w:hAnsi="SimSun" w:eastAsia="SimSun" w:cs="SimSun"/>
          <w:sz w:val="21"/>
          <w:szCs w:val="21"/>
          <w:spacing w:val="-3"/>
        </w:rPr>
        <w:t>制和信息的有效利用和交流至关重要。</w:t>
      </w:r>
    </w:p>
    <w:p>
      <w:pPr>
        <w:ind w:left="419"/>
        <w:spacing w:before="49" w:line="219" w:lineRule="auto"/>
        <w:rPr>
          <w:rFonts w:ascii="SimSun" w:hAnsi="SimSun" w:eastAsia="SimSun" w:cs="SimSun"/>
          <w:sz w:val="21"/>
          <w:szCs w:val="21"/>
        </w:rPr>
      </w:pPr>
      <w:r>
        <w:rPr>
          <w:rFonts w:ascii="SimSun" w:hAnsi="SimSun" w:eastAsia="SimSun" w:cs="SimSun"/>
          <w:sz w:val="21"/>
          <w:szCs w:val="21"/>
          <w:spacing w:val="1"/>
        </w:rPr>
        <w:t>数据生命周期管理过程域提供了关于整个组织内的数</w:t>
      </w:r>
      <w:r>
        <w:rPr>
          <w:rFonts w:ascii="SimSun" w:hAnsi="SimSun" w:eastAsia="SimSun" w:cs="SimSun"/>
          <w:sz w:val="21"/>
          <w:szCs w:val="21"/>
        </w:rPr>
        <w:t>据使用和需求的信息。</w:t>
      </w:r>
    </w:p>
    <w:p>
      <w:pPr>
        <w:ind w:right="251" w:firstLine="419"/>
        <w:spacing w:before="61" w:line="246" w:lineRule="auto"/>
        <w:rPr>
          <w:rFonts w:ascii="SimSun" w:hAnsi="SimSun" w:eastAsia="SimSun" w:cs="SimSun"/>
          <w:sz w:val="21"/>
          <w:szCs w:val="21"/>
        </w:rPr>
      </w:pPr>
      <w:r>
        <w:rPr>
          <w:rFonts w:ascii="SimSun" w:hAnsi="SimSun" w:eastAsia="SimSun" w:cs="SimSun"/>
          <w:sz w:val="21"/>
          <w:szCs w:val="21"/>
          <w:spacing w:val="1"/>
        </w:rPr>
        <w:t>数据概要分析过程域提供了关于理解所管理的一组指定数据的内容和质量的更</w:t>
      </w:r>
      <w:r>
        <w:rPr>
          <w:rFonts w:ascii="SimSun" w:hAnsi="SimSun" w:eastAsia="SimSun" w:cs="SimSun"/>
          <w:sz w:val="21"/>
          <w:szCs w:val="21"/>
          <w:spacing w:val="15"/>
        </w:rPr>
        <w:t xml:space="preserve"> </w:t>
      </w:r>
      <w:r>
        <w:rPr>
          <w:rFonts w:ascii="SimSun" w:hAnsi="SimSun" w:eastAsia="SimSun" w:cs="SimSun"/>
          <w:sz w:val="21"/>
          <w:szCs w:val="21"/>
          <w:spacing w:val="-10"/>
        </w:rPr>
        <w:t>多信息。</w:t>
      </w:r>
    </w:p>
    <w:p>
      <w:pPr>
        <w:pStyle w:val="BodyText"/>
        <w:ind w:left="419"/>
        <w:spacing w:before="228" w:line="223" w:lineRule="auto"/>
        <w:outlineLvl w:val="4"/>
        <w:rPr>
          <w:rFonts w:ascii="SimHei" w:hAnsi="SimHei" w:eastAsia="SimHei" w:cs="SimHei"/>
        </w:rPr>
      </w:pPr>
      <w:r>
        <w:rPr>
          <w:b/>
          <w:bCs/>
          <w:spacing w:val="-2"/>
        </w:rPr>
        <w:t>2.GQM</w:t>
      </w:r>
      <w:r>
        <w:rPr>
          <w:b/>
          <w:bCs/>
          <w:spacing w:val="5"/>
        </w:rPr>
        <w:t xml:space="preserve">    </w:t>
      </w:r>
      <w:r>
        <w:rPr>
          <w:rFonts w:ascii="SimHei" w:hAnsi="SimHei" w:eastAsia="SimHei" w:cs="SimHei"/>
          <w:b/>
          <w:bCs/>
          <w:spacing w:val="-2"/>
        </w:rPr>
        <w:t>表</w:t>
      </w:r>
    </w:p>
    <w:p>
      <w:pPr>
        <w:spacing w:before="44"/>
        <w:rPr/>
      </w:pPr>
      <w:r/>
    </w:p>
    <w:tbl>
      <w:tblPr>
        <w:tblStyle w:val="TableNormal"/>
        <w:tblW w:w="765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83"/>
        <w:gridCol w:w="2417"/>
        <w:gridCol w:w="1518"/>
        <w:gridCol w:w="2432"/>
      </w:tblGrid>
      <w:tr>
        <w:trPr>
          <w:trHeight w:val="355" w:hRule="atLeast"/>
        </w:trPr>
        <w:tc>
          <w:tcPr>
            <w:tcW w:w="1283" w:type="dxa"/>
            <w:vAlign w:val="top"/>
          </w:tcPr>
          <w:p>
            <w:pPr>
              <w:pStyle w:val="TableText"/>
              <w:ind w:left="365"/>
              <w:spacing w:before="101" w:line="220" w:lineRule="auto"/>
              <w:rPr/>
            </w:pPr>
            <w:r>
              <w:rPr>
                <w:spacing w:val="-18"/>
              </w:rPr>
              <w:t>目</w:t>
            </w:r>
            <w:r>
              <w:rPr>
                <w:spacing w:val="17"/>
              </w:rPr>
              <w:t xml:space="preserve">   </w:t>
            </w:r>
            <w:r>
              <w:rPr>
                <w:spacing w:val="-18"/>
              </w:rPr>
              <w:t>标</w:t>
            </w:r>
          </w:p>
        </w:tc>
        <w:tc>
          <w:tcPr>
            <w:tcW w:w="2417" w:type="dxa"/>
            <w:vAlign w:val="top"/>
          </w:tcPr>
          <w:p>
            <w:pPr>
              <w:pStyle w:val="TableText"/>
              <w:ind w:left="902"/>
              <w:spacing w:before="103" w:line="221" w:lineRule="auto"/>
              <w:rPr/>
            </w:pPr>
            <w:r>
              <w:rPr>
                <w:spacing w:val="-12"/>
              </w:rPr>
              <w:t>问</w:t>
            </w:r>
            <w:r>
              <w:rPr>
                <w:spacing w:val="10"/>
              </w:rPr>
              <w:t xml:space="preserve">   </w:t>
            </w:r>
            <w:r>
              <w:rPr>
                <w:spacing w:val="-12"/>
              </w:rPr>
              <w:t>题</w:t>
            </w:r>
          </w:p>
        </w:tc>
        <w:tc>
          <w:tcPr>
            <w:tcW w:w="1518" w:type="dxa"/>
            <w:vAlign w:val="top"/>
          </w:tcPr>
          <w:p>
            <w:pPr>
              <w:pStyle w:val="TableText"/>
              <w:ind w:left="385"/>
              <w:spacing w:before="10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432" w:type="dxa"/>
            <w:vAlign w:val="top"/>
          </w:tcPr>
          <w:p>
            <w:pPr>
              <w:pStyle w:val="TableText"/>
              <w:ind w:left="847"/>
              <w:spacing w:before="101" w:line="219" w:lineRule="auto"/>
              <w:rPr/>
            </w:pPr>
            <w:r>
              <w:rPr>
                <w:spacing w:val="3"/>
              </w:rPr>
              <w:t>度量项说明</w:t>
            </w:r>
          </w:p>
        </w:tc>
      </w:tr>
      <w:tr>
        <w:trPr>
          <w:trHeight w:val="349" w:hRule="atLeast"/>
        </w:trPr>
        <w:tc>
          <w:tcPr>
            <w:tcW w:w="1283" w:type="dxa"/>
            <w:vAlign w:val="top"/>
            <w:vMerge w:val="restart"/>
            <w:tcBorders>
              <w:bottom w:val="nil"/>
            </w:tcBorders>
          </w:tcPr>
          <w:p>
            <w:pPr>
              <w:spacing w:line="246" w:lineRule="auto"/>
              <w:rPr>
                <w:rFonts w:ascii="Arial"/>
                <w:sz w:val="21"/>
              </w:rPr>
            </w:pPr>
            <w:r/>
          </w:p>
          <w:p>
            <w:pPr>
              <w:pStyle w:val="TableText"/>
              <w:ind w:left="215"/>
              <w:spacing w:before="48" w:line="219" w:lineRule="auto"/>
              <w:rPr/>
            </w:pPr>
            <w:r>
              <w:rPr>
                <w:spacing w:val="-1"/>
              </w:rPr>
              <w:t>G1:建立并遵</w:t>
            </w:r>
          </w:p>
          <w:p>
            <w:pPr>
              <w:pStyle w:val="TableText"/>
              <w:ind w:left="104" w:right="109" w:firstLine="80"/>
              <w:spacing w:before="92" w:line="310" w:lineRule="auto"/>
              <w:rPr/>
            </w:pPr>
            <w:r>
              <w:rPr>
                <w:spacing w:val="-1"/>
              </w:rPr>
              <w:t>循一致的过程</w:t>
            </w:r>
            <w:r>
              <w:rPr/>
              <w:t xml:space="preserve">  </w:t>
            </w:r>
            <w:r>
              <w:rPr>
                <w:spacing w:val="1"/>
              </w:rPr>
              <w:t>以确保用于数据</w:t>
            </w:r>
            <w:r>
              <w:rPr/>
              <w:t xml:space="preserve"> </w:t>
            </w:r>
            <w:r>
              <w:rPr>
                <w:spacing w:val="-1"/>
              </w:rPr>
              <w:t>集成的业务和技</w:t>
            </w:r>
            <w:r>
              <w:rPr/>
              <w:t xml:space="preserve"> </w:t>
            </w:r>
            <w:r>
              <w:rPr>
                <w:spacing w:val="-2"/>
              </w:rPr>
              <w:t>术的持续一致性</w:t>
            </w:r>
          </w:p>
        </w:tc>
        <w:tc>
          <w:tcPr>
            <w:tcW w:w="2417" w:type="dxa"/>
            <w:vAlign w:val="top"/>
          </w:tcPr>
          <w:p>
            <w:pPr>
              <w:pStyle w:val="TableText"/>
              <w:ind w:left="252"/>
              <w:spacing w:before="94" w:line="218" w:lineRule="auto"/>
              <w:rPr/>
            </w:pPr>
            <w:r>
              <w:rPr>
                <w:spacing w:val="-1"/>
              </w:rPr>
              <w:t>Q1:如何评估数据整合需要</w:t>
            </w:r>
          </w:p>
        </w:tc>
        <w:tc>
          <w:tcPr>
            <w:tcW w:w="1518" w:type="dxa"/>
            <w:vAlign w:val="top"/>
          </w:tcPr>
          <w:p>
            <w:pPr>
              <w:pStyle w:val="TableText"/>
              <w:ind w:left="255"/>
              <w:spacing w:before="96" w:line="219" w:lineRule="auto"/>
              <w:rPr/>
            </w:pPr>
            <w:r>
              <w:rPr>
                <w:spacing w:val="-10"/>
              </w:rPr>
              <w:t>M</w:t>
            </w:r>
            <w:r>
              <w:rPr>
                <w:spacing w:val="-18"/>
              </w:rPr>
              <w:t xml:space="preserve"> </w:t>
            </w:r>
            <w:r>
              <w:rPr>
                <w:spacing w:val="-10"/>
              </w:rPr>
              <w:t>1 :</w:t>
            </w:r>
            <w:r>
              <w:rPr>
                <w:spacing w:val="-28"/>
              </w:rPr>
              <w:t xml:space="preserve"> </w:t>
            </w:r>
            <w:r>
              <w:rPr>
                <w:spacing w:val="-10"/>
              </w:rPr>
              <w:t>文</w:t>
            </w:r>
            <w:r>
              <w:rPr>
                <w:spacing w:val="-29"/>
              </w:rPr>
              <w:t xml:space="preserve"> </w:t>
            </w:r>
            <w:r>
              <w:rPr>
                <w:spacing w:val="-10"/>
              </w:rPr>
              <w:t>件</w:t>
            </w:r>
          </w:p>
        </w:tc>
        <w:tc>
          <w:tcPr>
            <w:tcW w:w="2432" w:type="dxa"/>
            <w:vAlign w:val="top"/>
          </w:tcPr>
          <w:p>
            <w:pPr>
              <w:pStyle w:val="TableText"/>
              <w:ind w:left="257"/>
              <w:spacing w:before="96" w:line="219" w:lineRule="auto"/>
              <w:rPr/>
            </w:pPr>
            <w:r>
              <w:rPr>
                <w:spacing w:val="-1"/>
              </w:rPr>
              <w:t>将数据集成计划形成文件</w:t>
            </w:r>
          </w:p>
        </w:tc>
      </w:tr>
      <w:tr>
        <w:trPr>
          <w:trHeight w:val="599" w:hRule="atLeast"/>
        </w:trPr>
        <w:tc>
          <w:tcPr>
            <w:tcW w:w="1283" w:type="dxa"/>
            <w:vAlign w:val="top"/>
            <w:vMerge w:val="continue"/>
            <w:tcBorders>
              <w:top w:val="nil"/>
              <w:bottom w:val="nil"/>
            </w:tcBorders>
          </w:tcPr>
          <w:p>
            <w:pPr>
              <w:rPr>
                <w:rFonts w:ascii="Arial"/>
                <w:sz w:val="21"/>
              </w:rPr>
            </w:pPr>
            <w:r/>
          </w:p>
        </w:tc>
        <w:tc>
          <w:tcPr>
            <w:tcW w:w="2417" w:type="dxa"/>
            <w:vAlign w:val="top"/>
          </w:tcPr>
          <w:p>
            <w:pPr>
              <w:pStyle w:val="TableText"/>
              <w:ind w:left="91" w:right="284" w:firstLine="160"/>
              <w:spacing w:before="96" w:line="276" w:lineRule="auto"/>
              <w:rPr/>
            </w:pPr>
            <w:r>
              <w:rPr>
                <w:spacing w:val="-1"/>
              </w:rPr>
              <w:t>Q2:如何在最大程度上减少未</w:t>
            </w:r>
            <w:r>
              <w:rPr>
                <w:spacing w:val="8"/>
              </w:rPr>
              <w:t xml:space="preserve"> </w:t>
            </w:r>
            <w:r>
              <w:rPr>
                <w:spacing w:val="-2"/>
              </w:rPr>
              <w:t>来冗余</w:t>
            </w:r>
          </w:p>
        </w:tc>
        <w:tc>
          <w:tcPr>
            <w:tcW w:w="1518" w:type="dxa"/>
            <w:vAlign w:val="top"/>
          </w:tcPr>
          <w:p>
            <w:pPr>
              <w:pStyle w:val="TableText"/>
              <w:ind w:left="105" w:right="279" w:firstLine="149"/>
              <w:spacing w:before="96" w:line="276" w:lineRule="auto"/>
              <w:rPr/>
            </w:pPr>
            <w:r>
              <w:rPr>
                <w:spacing w:val="-1"/>
              </w:rPr>
              <w:t>M2:数据集成性</w:t>
            </w:r>
            <w:r>
              <w:rPr>
                <w:spacing w:val="5"/>
              </w:rPr>
              <w:t xml:space="preserve"> </w:t>
            </w:r>
            <w:r>
              <w:rPr>
                <w:spacing w:val="3"/>
              </w:rPr>
              <w:t>能模型</w:t>
            </w:r>
          </w:p>
        </w:tc>
        <w:tc>
          <w:tcPr>
            <w:tcW w:w="2432" w:type="dxa"/>
            <w:vAlign w:val="top"/>
          </w:tcPr>
          <w:p>
            <w:pPr>
              <w:pStyle w:val="TableText"/>
              <w:ind w:left="106" w:right="54" w:firstLine="170"/>
              <w:spacing w:before="97" w:line="282" w:lineRule="auto"/>
              <w:rPr/>
            </w:pPr>
            <w:r>
              <w:rPr>
                <w:spacing w:val="-1"/>
              </w:rPr>
              <w:t>定期评审数据集成性能模型，并</w:t>
            </w:r>
            <w:r>
              <w:rPr>
                <w:spacing w:val="3"/>
              </w:rPr>
              <w:t xml:space="preserve"> </w:t>
            </w:r>
            <w:r>
              <w:rPr>
                <w:spacing w:val="-1"/>
              </w:rPr>
              <w:t>将其作为改进的信息输入</w:t>
            </w:r>
          </w:p>
        </w:tc>
      </w:tr>
      <w:tr>
        <w:trPr>
          <w:trHeight w:val="869" w:hRule="atLeast"/>
        </w:trPr>
        <w:tc>
          <w:tcPr>
            <w:tcW w:w="1283" w:type="dxa"/>
            <w:vAlign w:val="top"/>
            <w:vMerge w:val="continue"/>
            <w:tcBorders>
              <w:top w:val="nil"/>
            </w:tcBorders>
          </w:tcPr>
          <w:p>
            <w:pPr>
              <w:rPr>
                <w:rFonts w:ascii="Arial"/>
                <w:sz w:val="21"/>
              </w:rPr>
            </w:pPr>
            <w:r/>
          </w:p>
        </w:tc>
        <w:tc>
          <w:tcPr>
            <w:tcW w:w="2417" w:type="dxa"/>
            <w:vAlign w:val="top"/>
          </w:tcPr>
          <w:p>
            <w:pPr>
              <w:pStyle w:val="TableText"/>
              <w:ind w:left="232"/>
              <w:spacing w:before="208" w:line="300" w:lineRule="exact"/>
              <w:rPr/>
            </w:pPr>
            <w:r>
              <w:rPr>
                <w:spacing w:val="-1"/>
                <w:position w:val="11"/>
              </w:rPr>
              <w:t>Q3:在存在冗余的情况下，组</w:t>
            </w:r>
          </w:p>
          <w:p>
            <w:pPr>
              <w:pStyle w:val="TableText"/>
              <w:ind w:left="102"/>
              <w:spacing w:line="219" w:lineRule="auto"/>
              <w:rPr/>
            </w:pPr>
            <w:r>
              <w:rPr>
                <w:spacing w:val="-1"/>
              </w:rPr>
              <w:t>织如何有效整理数据</w:t>
            </w:r>
          </w:p>
        </w:tc>
        <w:tc>
          <w:tcPr>
            <w:tcW w:w="1518" w:type="dxa"/>
            <w:vAlign w:val="top"/>
          </w:tcPr>
          <w:p>
            <w:pPr>
              <w:spacing w:line="307" w:lineRule="auto"/>
              <w:rPr>
                <w:rFonts w:ascii="Arial"/>
                <w:sz w:val="21"/>
              </w:rPr>
            </w:pPr>
            <w:r/>
          </w:p>
          <w:p>
            <w:pPr>
              <w:pStyle w:val="TableText"/>
              <w:ind w:left="255"/>
              <w:spacing w:before="49" w:line="219" w:lineRule="auto"/>
              <w:rPr/>
            </w:pPr>
            <w:r>
              <w:rPr>
                <w:spacing w:val="-1"/>
              </w:rPr>
              <w:t>M3:管理数据</w:t>
            </w:r>
          </w:p>
        </w:tc>
        <w:tc>
          <w:tcPr>
            <w:tcW w:w="2432" w:type="dxa"/>
            <w:vAlign w:val="top"/>
          </w:tcPr>
          <w:p>
            <w:pPr>
              <w:pStyle w:val="TableText"/>
              <w:ind w:left="266"/>
              <w:spacing w:before="88" w:line="219" w:lineRule="auto"/>
              <w:rPr/>
            </w:pPr>
            <w:r>
              <w:rPr>
                <w:spacing w:val="-1"/>
              </w:rPr>
              <w:t>完全整合并集中管理所选的高</w:t>
            </w:r>
          </w:p>
          <w:p>
            <w:pPr>
              <w:pStyle w:val="TableText"/>
              <w:ind w:left="106" w:right="60" w:firstLine="10"/>
              <w:spacing w:before="101" w:line="276" w:lineRule="auto"/>
              <w:rPr/>
            </w:pPr>
            <w:r>
              <w:rPr>
                <w:spacing w:val="-1"/>
              </w:rPr>
              <w:t>度共享的数据，并根据需要将其传</w:t>
            </w:r>
            <w:r>
              <w:rPr>
                <w:spacing w:val="8"/>
              </w:rPr>
              <w:t xml:space="preserve"> </w:t>
            </w:r>
            <w:r>
              <w:rPr>
                <w:spacing w:val="-1"/>
              </w:rPr>
              <w:t>输至集成数据存储区</w:t>
            </w:r>
          </w:p>
        </w:tc>
      </w:tr>
      <w:tr>
        <w:trPr>
          <w:trHeight w:val="889" w:hRule="atLeast"/>
        </w:trPr>
        <w:tc>
          <w:tcPr>
            <w:tcW w:w="1283" w:type="dxa"/>
            <w:vAlign w:val="top"/>
            <w:vMerge w:val="restart"/>
            <w:tcBorders>
              <w:bottom w:val="nil"/>
            </w:tcBorders>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TableText"/>
              <w:ind w:left="95" w:right="124" w:firstLine="120"/>
              <w:spacing w:before="49" w:line="322" w:lineRule="auto"/>
              <w:rPr/>
            </w:pPr>
            <w:r>
              <w:rPr>
                <w:spacing w:val="2"/>
              </w:rPr>
              <w:t>G2:利用可确</w:t>
            </w:r>
            <w:r>
              <w:rPr/>
              <w:t xml:space="preserve">  </w:t>
            </w:r>
            <w:r>
              <w:rPr/>
              <w:t>保遵循数据架构</w:t>
            </w:r>
            <w:r>
              <w:rPr>
                <w:spacing w:val="2"/>
              </w:rPr>
              <w:t xml:space="preserve"> </w:t>
            </w:r>
            <w:r>
              <w:rPr/>
              <w:t>标准和数据质量</w:t>
            </w:r>
            <w:r>
              <w:rPr>
                <w:spacing w:val="2"/>
              </w:rPr>
              <w:t xml:space="preserve"> </w:t>
            </w:r>
            <w:r>
              <w:rPr/>
              <w:t>要求的标准过程</w:t>
            </w:r>
            <w:r>
              <w:rPr>
                <w:spacing w:val="2"/>
              </w:rPr>
              <w:t xml:space="preserve"> </w:t>
            </w:r>
            <w:r>
              <w:rPr/>
              <w:t>和工具集，进行</w:t>
            </w:r>
            <w:r>
              <w:rPr>
                <w:spacing w:val="2"/>
              </w:rPr>
              <w:t xml:space="preserve"> </w:t>
            </w:r>
            <w:r>
              <w:rPr>
                <w:spacing w:val="-2"/>
              </w:rPr>
              <w:t>数据集成</w:t>
            </w:r>
          </w:p>
        </w:tc>
        <w:tc>
          <w:tcPr>
            <w:tcW w:w="2417" w:type="dxa"/>
            <w:vAlign w:val="top"/>
          </w:tcPr>
          <w:p>
            <w:pPr>
              <w:pStyle w:val="TableText"/>
              <w:ind w:left="241"/>
              <w:spacing w:before="99" w:line="219" w:lineRule="auto"/>
              <w:rPr/>
            </w:pPr>
            <w:r>
              <w:rPr/>
              <w:t>Q4:是否存在数据集成标准，</w:t>
            </w:r>
          </w:p>
          <w:p>
            <w:pPr>
              <w:pStyle w:val="TableText"/>
              <w:ind w:left="91"/>
              <w:spacing w:before="92" w:line="300" w:lineRule="exact"/>
              <w:rPr/>
            </w:pPr>
            <w:r>
              <w:rPr>
                <w:spacing w:val="-1"/>
                <w:position w:val="11"/>
              </w:rPr>
              <w:t>是否对其进行了评审、监督、批准</w:t>
            </w:r>
          </w:p>
          <w:p>
            <w:pPr>
              <w:pStyle w:val="TableText"/>
              <w:ind w:left="91"/>
              <w:spacing w:line="220" w:lineRule="auto"/>
              <w:rPr/>
            </w:pPr>
            <w:r>
              <w:rPr>
                <w:spacing w:val="-2"/>
              </w:rPr>
              <w:t>和实施</w:t>
            </w:r>
          </w:p>
        </w:tc>
        <w:tc>
          <w:tcPr>
            <w:tcW w:w="1518" w:type="dxa"/>
            <w:vAlign w:val="top"/>
          </w:tcPr>
          <w:p>
            <w:pPr>
              <w:spacing w:line="318" w:lineRule="auto"/>
              <w:rPr>
                <w:rFonts w:ascii="Arial"/>
                <w:sz w:val="21"/>
              </w:rPr>
            </w:pPr>
            <w:r/>
          </w:p>
          <w:p>
            <w:pPr>
              <w:pStyle w:val="TableText"/>
              <w:ind w:left="255"/>
              <w:spacing w:before="49" w:line="219" w:lineRule="auto"/>
              <w:rPr/>
            </w:pPr>
            <w:r>
              <w:rPr>
                <w:spacing w:val="-1"/>
              </w:rPr>
              <w:t>M4:集成验证</w:t>
            </w:r>
          </w:p>
        </w:tc>
        <w:tc>
          <w:tcPr>
            <w:tcW w:w="2432" w:type="dxa"/>
            <w:vAlign w:val="top"/>
          </w:tcPr>
          <w:p>
            <w:pPr>
              <w:pStyle w:val="TableText"/>
              <w:ind w:left="117" w:right="50" w:firstLine="160"/>
              <w:spacing w:before="88" w:line="307" w:lineRule="auto"/>
              <w:jc w:val="both"/>
              <w:rPr/>
            </w:pPr>
            <w:r>
              <w:rPr>
                <w:spacing w:val="-1"/>
              </w:rPr>
              <w:t>执行集成验证，以确保将架构和</w:t>
            </w:r>
            <w:r>
              <w:rPr>
                <w:spacing w:val="7"/>
              </w:rPr>
              <w:t xml:space="preserve"> </w:t>
            </w:r>
            <w:r>
              <w:rPr>
                <w:spacing w:val="-1"/>
              </w:rPr>
              <w:t>接口规范形成文件，并在发布生产</w:t>
            </w:r>
            <w:r>
              <w:rPr>
                <w:spacing w:val="8"/>
              </w:rPr>
              <w:t xml:space="preserve"> </w:t>
            </w:r>
            <w:r>
              <w:rPr>
                <w:spacing w:val="-1"/>
              </w:rPr>
              <w:t>之前满足这些规范</w:t>
            </w:r>
          </w:p>
        </w:tc>
      </w:tr>
      <w:tr>
        <w:trPr>
          <w:trHeight w:val="589" w:hRule="atLeast"/>
        </w:trPr>
        <w:tc>
          <w:tcPr>
            <w:tcW w:w="1283" w:type="dxa"/>
            <w:vAlign w:val="top"/>
            <w:vMerge w:val="continue"/>
            <w:tcBorders>
              <w:top w:val="nil"/>
              <w:bottom w:val="nil"/>
            </w:tcBorders>
          </w:tcPr>
          <w:p>
            <w:pPr>
              <w:rPr>
                <w:rFonts w:ascii="Arial"/>
                <w:sz w:val="21"/>
              </w:rPr>
            </w:pPr>
            <w:r/>
          </w:p>
        </w:tc>
        <w:tc>
          <w:tcPr>
            <w:tcW w:w="2417" w:type="dxa"/>
            <w:vAlign w:val="top"/>
            <w:vMerge w:val="restart"/>
            <w:tcBorders>
              <w:bottom w:val="nil"/>
            </w:tcBorders>
          </w:tcPr>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TableText"/>
              <w:ind w:left="112" w:right="274" w:firstLine="149"/>
              <w:spacing w:before="49" w:line="270" w:lineRule="auto"/>
              <w:rPr/>
            </w:pPr>
            <w:r>
              <w:rPr>
                <w:spacing w:val="-1"/>
              </w:rPr>
              <w:t>Q5:描述用来实施集成标准的</w:t>
            </w:r>
            <w:r>
              <w:rPr>
                <w:spacing w:val="8"/>
              </w:rPr>
              <w:t xml:space="preserve"> </w:t>
            </w:r>
            <w:r>
              <w:rPr>
                <w:spacing w:val="-2"/>
              </w:rPr>
              <w:t>合规过程</w:t>
            </w:r>
          </w:p>
        </w:tc>
        <w:tc>
          <w:tcPr>
            <w:tcW w:w="1518" w:type="dxa"/>
            <w:vAlign w:val="top"/>
          </w:tcPr>
          <w:p>
            <w:pPr>
              <w:pStyle w:val="TableText"/>
              <w:ind w:left="244"/>
              <w:spacing w:before="220" w:line="220" w:lineRule="auto"/>
              <w:rPr/>
            </w:pPr>
            <w:r>
              <w:rPr>
                <w:spacing w:val="-9"/>
              </w:rPr>
              <w:t>M</w:t>
            </w:r>
            <w:r>
              <w:rPr>
                <w:spacing w:val="-20"/>
              </w:rPr>
              <w:t xml:space="preserve"> </w:t>
            </w:r>
            <w:r>
              <w:rPr>
                <w:spacing w:val="-9"/>
              </w:rPr>
              <w:t>5 :</w:t>
            </w:r>
            <w:r>
              <w:rPr>
                <w:spacing w:val="-26"/>
              </w:rPr>
              <w:t xml:space="preserve"> </w:t>
            </w:r>
            <w:r>
              <w:rPr>
                <w:spacing w:val="-9"/>
              </w:rPr>
              <w:t>规</w:t>
            </w:r>
            <w:r>
              <w:rPr>
                <w:spacing w:val="-24"/>
              </w:rPr>
              <w:t xml:space="preserve"> </w:t>
            </w:r>
            <w:r>
              <w:rPr>
                <w:spacing w:val="-9"/>
              </w:rPr>
              <w:t>则</w:t>
            </w:r>
          </w:p>
        </w:tc>
        <w:tc>
          <w:tcPr>
            <w:tcW w:w="2432" w:type="dxa"/>
            <w:vAlign w:val="top"/>
          </w:tcPr>
          <w:p>
            <w:pPr>
              <w:pStyle w:val="TableText"/>
              <w:ind w:left="117" w:right="202" w:firstLine="160"/>
              <w:spacing w:before="99" w:line="282" w:lineRule="auto"/>
              <w:rPr/>
            </w:pPr>
            <w:r>
              <w:rPr>
                <w:spacing w:val="-1"/>
              </w:rPr>
              <w:t>组织遵循一套标准的惯例和规</w:t>
            </w:r>
            <w:r>
              <w:rPr>
                <w:spacing w:val="4"/>
              </w:rPr>
              <w:t xml:space="preserve"> </w:t>
            </w:r>
            <w:r>
              <w:rPr>
                <w:spacing w:val="-1"/>
              </w:rPr>
              <w:t>则进行数据集成活动</w:t>
            </w:r>
          </w:p>
        </w:tc>
      </w:tr>
      <w:tr>
        <w:trPr>
          <w:trHeight w:val="1428" w:hRule="atLeast"/>
        </w:trPr>
        <w:tc>
          <w:tcPr>
            <w:tcW w:w="1283" w:type="dxa"/>
            <w:vAlign w:val="top"/>
            <w:vMerge w:val="continue"/>
            <w:tcBorders>
              <w:top w:val="nil"/>
              <w:bottom w:val="nil"/>
            </w:tcBorders>
          </w:tcPr>
          <w:p>
            <w:pPr>
              <w:rPr>
                <w:rFonts w:ascii="Arial"/>
                <w:sz w:val="21"/>
              </w:rPr>
            </w:pPr>
            <w:r/>
          </w:p>
        </w:tc>
        <w:tc>
          <w:tcPr>
            <w:tcW w:w="2417" w:type="dxa"/>
            <w:vAlign w:val="top"/>
            <w:vMerge w:val="continue"/>
            <w:tcBorders>
              <w:top w:val="nil"/>
              <w:bottom w:val="nil"/>
            </w:tcBorders>
          </w:tcPr>
          <w:p>
            <w:pPr>
              <w:rPr>
                <w:rFonts w:ascii="Arial"/>
                <w:sz w:val="21"/>
              </w:rPr>
            </w:pPr>
            <w:r/>
          </w:p>
        </w:tc>
        <w:tc>
          <w:tcPr>
            <w:tcW w:w="1518" w:type="dxa"/>
            <w:vAlign w:val="top"/>
          </w:tcPr>
          <w:p>
            <w:pPr>
              <w:spacing w:line="458" w:lineRule="auto"/>
              <w:rPr>
                <w:rFonts w:ascii="Arial"/>
                <w:sz w:val="21"/>
              </w:rPr>
            </w:pPr>
            <w:r/>
          </w:p>
          <w:p>
            <w:pPr>
              <w:pStyle w:val="TableText"/>
              <w:ind w:left="105" w:right="279" w:firstLine="149"/>
              <w:spacing w:before="49" w:line="277" w:lineRule="auto"/>
              <w:rPr/>
            </w:pPr>
            <w:r>
              <w:rPr>
                <w:spacing w:val="-1"/>
              </w:rPr>
              <w:t>M6:数据集成原</w:t>
            </w:r>
            <w:r>
              <w:rPr>
                <w:spacing w:val="5"/>
              </w:rPr>
              <w:t xml:space="preserve"> </w:t>
            </w:r>
            <w:r>
              <w:rPr>
                <w:spacing w:val="-2"/>
              </w:rPr>
              <w:t>则和工具</w:t>
            </w:r>
          </w:p>
        </w:tc>
        <w:tc>
          <w:tcPr>
            <w:tcW w:w="2432" w:type="dxa"/>
            <w:vAlign w:val="top"/>
          </w:tcPr>
          <w:p>
            <w:pPr>
              <w:pStyle w:val="TableText"/>
              <w:ind w:left="266"/>
              <w:spacing w:before="101" w:line="219" w:lineRule="auto"/>
              <w:rPr/>
            </w:pPr>
            <w:r>
              <w:rPr>
                <w:spacing w:val="-1"/>
              </w:rPr>
              <w:t>组织所使用的一套数据集成原</w:t>
            </w:r>
          </w:p>
          <w:p>
            <w:pPr>
              <w:pStyle w:val="TableText"/>
              <w:ind w:left="117" w:right="60"/>
              <w:spacing w:before="92" w:line="313" w:lineRule="auto"/>
              <w:rPr/>
            </w:pPr>
            <w:r>
              <w:rPr/>
              <w:t>则和工具提供了成批数据传输和</w:t>
            </w:r>
            <w:r>
              <w:rPr>
                <w:spacing w:val="3"/>
              </w:rPr>
              <w:t xml:space="preserve">   </w:t>
            </w:r>
            <w:r>
              <w:rPr>
                <w:spacing w:val="-1"/>
              </w:rPr>
              <w:t>载入、变更数据采集、版本控制和</w:t>
            </w:r>
            <w:r>
              <w:rPr>
                <w:spacing w:val="7"/>
              </w:rPr>
              <w:t xml:space="preserve"> </w:t>
            </w:r>
            <w:r>
              <w:rPr>
                <w:spacing w:val="-1"/>
              </w:rPr>
              <w:t>配置、元数据采集和管理以及在线</w:t>
            </w:r>
            <w:r>
              <w:rPr>
                <w:spacing w:val="8"/>
              </w:rPr>
              <w:t xml:space="preserve"> </w:t>
            </w:r>
            <w:r>
              <w:rPr>
                <w:spacing w:val="-1"/>
              </w:rPr>
              <w:t>数据质量检查和控制</w:t>
            </w:r>
          </w:p>
        </w:tc>
      </w:tr>
      <w:tr>
        <w:trPr>
          <w:trHeight w:val="1168" w:hRule="atLeast"/>
        </w:trPr>
        <w:tc>
          <w:tcPr>
            <w:tcW w:w="1283" w:type="dxa"/>
            <w:vAlign w:val="top"/>
            <w:vMerge w:val="continue"/>
            <w:tcBorders>
              <w:top w:val="nil"/>
              <w:bottom w:val="nil"/>
            </w:tcBorders>
          </w:tcPr>
          <w:p>
            <w:pPr>
              <w:rPr>
                <w:rFonts w:ascii="Arial"/>
                <w:sz w:val="21"/>
              </w:rPr>
            </w:pPr>
            <w:r/>
          </w:p>
        </w:tc>
        <w:tc>
          <w:tcPr>
            <w:tcW w:w="2417" w:type="dxa"/>
            <w:vAlign w:val="top"/>
            <w:vMerge w:val="continue"/>
            <w:tcBorders>
              <w:top w:val="nil"/>
              <w:bottom w:val="nil"/>
            </w:tcBorders>
          </w:tcPr>
          <w:p>
            <w:pPr>
              <w:rPr>
                <w:rFonts w:ascii="Arial"/>
                <w:sz w:val="21"/>
              </w:rPr>
            </w:pPr>
            <w:r/>
          </w:p>
        </w:tc>
        <w:tc>
          <w:tcPr>
            <w:tcW w:w="1518" w:type="dxa"/>
            <w:vAlign w:val="top"/>
          </w:tcPr>
          <w:p>
            <w:pPr>
              <w:spacing w:line="342" w:lineRule="auto"/>
              <w:rPr>
                <w:rFonts w:ascii="Arial"/>
                <w:sz w:val="21"/>
              </w:rPr>
            </w:pPr>
            <w:r/>
          </w:p>
          <w:p>
            <w:pPr>
              <w:pStyle w:val="TableText"/>
              <w:ind w:left="94" w:right="279" w:firstLine="160"/>
              <w:spacing w:before="49" w:line="270" w:lineRule="auto"/>
              <w:rPr/>
            </w:pPr>
            <w:r>
              <w:rPr>
                <w:spacing w:val="-1"/>
              </w:rPr>
              <w:t>M7:数据优先级</w:t>
            </w:r>
            <w:r>
              <w:rPr>
                <w:spacing w:val="5"/>
              </w:rPr>
              <w:t xml:space="preserve"> </w:t>
            </w:r>
            <w:r>
              <w:rPr>
                <w:spacing w:val="-2"/>
              </w:rPr>
              <w:t>规则</w:t>
            </w:r>
          </w:p>
        </w:tc>
        <w:tc>
          <w:tcPr>
            <w:tcW w:w="2432" w:type="dxa"/>
            <w:vAlign w:val="top"/>
          </w:tcPr>
          <w:p>
            <w:pPr>
              <w:pStyle w:val="TableText"/>
              <w:ind w:right="42"/>
              <w:spacing w:before="93" w:line="300" w:lineRule="exact"/>
              <w:jc w:val="right"/>
              <w:rPr/>
            </w:pPr>
            <w:r>
              <w:rPr>
                <w:spacing w:val="-1"/>
                <w:position w:val="11"/>
              </w:rPr>
              <w:t>建立并遵循标准的过程，以基于</w:t>
            </w:r>
          </w:p>
          <w:p>
            <w:pPr>
              <w:pStyle w:val="TableText"/>
              <w:ind w:left="127"/>
              <w:spacing w:line="219" w:lineRule="auto"/>
              <w:rPr/>
            </w:pPr>
            <w:r>
              <w:rPr>
                <w:spacing w:val="1"/>
              </w:rPr>
              <w:t>使用情况、要求和选择的触发因</w:t>
            </w:r>
          </w:p>
          <w:p>
            <w:pPr>
              <w:pStyle w:val="TableText"/>
              <w:ind w:left="106" w:right="42" w:firstLine="30"/>
              <w:spacing w:before="101" w:line="282" w:lineRule="auto"/>
              <w:rPr/>
            </w:pPr>
            <w:r>
              <w:rPr>
                <w:spacing w:val="-1"/>
              </w:rPr>
              <w:t>素，与业务用户一起创建并验证数</w:t>
            </w:r>
            <w:r>
              <w:rPr>
                <w:spacing w:val="6"/>
              </w:rPr>
              <w:t xml:space="preserve"> </w:t>
            </w:r>
            <w:r>
              <w:rPr>
                <w:spacing w:val="-1"/>
              </w:rPr>
              <w:t>据优先级规则</w:t>
            </w:r>
          </w:p>
        </w:tc>
      </w:tr>
      <w:tr>
        <w:trPr>
          <w:trHeight w:val="584" w:hRule="atLeast"/>
        </w:trPr>
        <w:tc>
          <w:tcPr>
            <w:tcW w:w="1283" w:type="dxa"/>
            <w:vAlign w:val="top"/>
            <w:vMerge w:val="continue"/>
            <w:tcBorders>
              <w:top w:val="nil"/>
            </w:tcBorders>
          </w:tcPr>
          <w:p>
            <w:pPr>
              <w:rPr>
                <w:rFonts w:ascii="Arial"/>
                <w:sz w:val="21"/>
              </w:rPr>
            </w:pPr>
            <w:r/>
          </w:p>
        </w:tc>
        <w:tc>
          <w:tcPr>
            <w:tcW w:w="2417" w:type="dxa"/>
            <w:vAlign w:val="top"/>
            <w:vMerge w:val="continue"/>
            <w:tcBorders>
              <w:top w:val="nil"/>
            </w:tcBorders>
          </w:tcPr>
          <w:p>
            <w:pPr>
              <w:rPr>
                <w:rFonts w:ascii="Arial"/>
                <w:sz w:val="21"/>
              </w:rPr>
            </w:pPr>
            <w:r/>
          </w:p>
        </w:tc>
        <w:tc>
          <w:tcPr>
            <w:tcW w:w="1518" w:type="dxa"/>
            <w:vAlign w:val="top"/>
          </w:tcPr>
          <w:p>
            <w:pPr>
              <w:pStyle w:val="TableText"/>
              <w:ind w:left="244"/>
              <w:spacing w:before="225" w:line="220" w:lineRule="auto"/>
              <w:rPr/>
            </w:pPr>
            <w:r>
              <w:rPr>
                <w:spacing w:val="26"/>
              </w:rPr>
              <w:t>M8:架构标准</w:t>
            </w:r>
          </w:p>
        </w:tc>
        <w:tc>
          <w:tcPr>
            <w:tcW w:w="2432" w:type="dxa"/>
            <w:vAlign w:val="top"/>
          </w:tcPr>
          <w:p>
            <w:pPr>
              <w:pStyle w:val="TableText"/>
              <w:ind w:left="127" w:right="39" w:firstLine="160"/>
              <w:spacing w:before="94" w:line="276" w:lineRule="auto"/>
              <w:rPr/>
            </w:pPr>
            <w:r>
              <w:rPr>
                <w:spacing w:val="-1"/>
              </w:rPr>
              <w:t>根据支持重复使用的架构标准，</w:t>
            </w:r>
            <w:r>
              <w:rPr>
                <w:spacing w:val="8"/>
              </w:rPr>
              <w:t xml:space="preserve"> </w:t>
            </w:r>
            <w:r>
              <w:rPr>
                <w:spacing w:val="-1"/>
              </w:rPr>
              <w:t>指定集成接口的开发和部署</w:t>
            </w:r>
          </w:p>
        </w:tc>
      </w:tr>
    </w:tbl>
    <w:p>
      <w:pPr>
        <w:pStyle w:val="BodyText"/>
        <w:rPr/>
      </w:pPr>
      <w:r/>
    </w:p>
    <w:p>
      <w:pPr>
        <w:sectPr>
          <w:footerReference w:type="default" r:id="rId317"/>
          <w:pgSz w:w="8870" w:h="13400"/>
          <w:pgMar w:top="400" w:right="548" w:bottom="457" w:left="459" w:header="0" w:footer="248" w:gutter="0"/>
        </w:sectPr>
        <w:rPr/>
      </w:pPr>
    </w:p>
    <w:p>
      <w:pPr>
        <w:ind w:left="99"/>
        <w:spacing w:before="25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214" name="IM 214"/>
            <wp:cNvGraphicFramePr/>
            <a:graphic>
              <a:graphicData uri="http://schemas.openxmlformats.org/drawingml/2006/picture">
                <pic:pic>
                  <pic:nvPicPr>
                    <pic:cNvPr id="214" name="IM 214"/>
                    <pic:cNvPicPr/>
                  </pic:nvPicPr>
                  <pic:blipFill>
                    <a:blip r:embed="rId319"/>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29"/>
          <w:w w:val="97"/>
        </w:rPr>
        <w:t>■云端数据治理■</w:t>
      </w:r>
    </w:p>
    <w:p>
      <w:pPr>
        <w:pStyle w:val="BodyText"/>
        <w:spacing w:line="290" w:lineRule="auto"/>
        <w:rPr/>
      </w:pPr>
      <w:r/>
    </w:p>
    <w:p>
      <w:pPr>
        <w:ind w:left="7099"/>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650" w:type="dxa"/>
        <w:tblInd w:w="2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2427"/>
        <w:gridCol w:w="1518"/>
        <w:gridCol w:w="2412"/>
      </w:tblGrid>
      <w:tr>
        <w:trPr>
          <w:trHeight w:val="344" w:hRule="atLeast"/>
        </w:trPr>
        <w:tc>
          <w:tcPr>
            <w:tcW w:w="1293" w:type="dxa"/>
            <w:vAlign w:val="top"/>
          </w:tcPr>
          <w:p>
            <w:pPr>
              <w:pStyle w:val="TableText"/>
              <w:ind w:left="335"/>
              <w:spacing w:before="101" w:line="220" w:lineRule="auto"/>
              <w:rPr/>
            </w:pPr>
            <w:r>
              <w:rPr>
                <w:spacing w:val="-18"/>
              </w:rPr>
              <w:t>目</w:t>
            </w:r>
            <w:r>
              <w:rPr>
                <w:spacing w:val="11"/>
              </w:rPr>
              <w:t xml:space="preserve">    </w:t>
            </w:r>
            <w:r>
              <w:rPr>
                <w:spacing w:val="-18"/>
              </w:rPr>
              <w:t>标</w:t>
            </w:r>
          </w:p>
        </w:tc>
        <w:tc>
          <w:tcPr>
            <w:tcW w:w="2427" w:type="dxa"/>
            <w:vAlign w:val="top"/>
          </w:tcPr>
          <w:p>
            <w:pPr>
              <w:pStyle w:val="TableText"/>
              <w:ind w:left="922"/>
              <w:spacing w:before="103" w:line="221" w:lineRule="auto"/>
              <w:rPr/>
            </w:pPr>
            <w:r>
              <w:rPr>
                <w:spacing w:val="-12"/>
              </w:rPr>
              <w:t>问</w:t>
            </w:r>
            <w:r>
              <w:rPr>
                <w:spacing w:val="9"/>
              </w:rPr>
              <w:t xml:space="preserve">    </w:t>
            </w:r>
            <w:r>
              <w:rPr>
                <w:spacing w:val="-12"/>
              </w:rPr>
              <w:t>题</w:t>
            </w:r>
          </w:p>
        </w:tc>
        <w:tc>
          <w:tcPr>
            <w:tcW w:w="1518" w:type="dxa"/>
            <w:vAlign w:val="top"/>
          </w:tcPr>
          <w:p>
            <w:pPr>
              <w:pStyle w:val="TableText"/>
              <w:ind w:left="385"/>
              <w:spacing w:before="101" w:line="220" w:lineRule="auto"/>
              <w:rPr/>
            </w:pPr>
            <w:r>
              <w:rPr>
                <w:spacing w:val="-4"/>
              </w:rPr>
              <w:t>度</w:t>
            </w:r>
            <w:r>
              <w:rPr>
                <w:spacing w:val="2"/>
              </w:rPr>
              <w:t xml:space="preserve">  </w:t>
            </w:r>
            <w:r>
              <w:rPr>
                <w:spacing w:val="-4"/>
              </w:rPr>
              <w:t>量</w:t>
            </w:r>
            <w:r>
              <w:rPr>
                <w:spacing w:val="5"/>
              </w:rPr>
              <w:t xml:space="preserve">  </w:t>
            </w:r>
            <w:r>
              <w:rPr>
                <w:spacing w:val="-4"/>
              </w:rPr>
              <w:t>项</w:t>
            </w:r>
          </w:p>
        </w:tc>
        <w:tc>
          <w:tcPr>
            <w:tcW w:w="2412" w:type="dxa"/>
            <w:vAlign w:val="top"/>
          </w:tcPr>
          <w:p>
            <w:pPr>
              <w:pStyle w:val="TableText"/>
              <w:ind w:left="837"/>
              <w:spacing w:before="101" w:line="219" w:lineRule="auto"/>
              <w:rPr/>
            </w:pPr>
            <w:r>
              <w:rPr>
                <w:spacing w:val="3"/>
              </w:rPr>
              <w:t>度量项说明</w:t>
            </w:r>
          </w:p>
        </w:tc>
      </w:tr>
      <w:tr>
        <w:trPr>
          <w:trHeight w:val="879" w:hRule="atLeast"/>
        </w:trPr>
        <w:tc>
          <w:tcPr>
            <w:tcW w:w="1293" w:type="dxa"/>
            <w:vAlign w:val="top"/>
            <w:vMerge w:val="restart"/>
            <w:tcBorders>
              <w:bottom w:val="nil"/>
            </w:tcBorders>
          </w:tcPr>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224"/>
              <w:spacing w:before="49" w:line="219" w:lineRule="auto"/>
              <w:rPr/>
            </w:pPr>
            <w:r>
              <w:rPr>
                <w:spacing w:val="-1"/>
              </w:rPr>
              <w:t>G3:主动研究</w:t>
            </w:r>
          </w:p>
          <w:p>
            <w:pPr>
              <w:pStyle w:val="TableText"/>
              <w:ind w:left="105"/>
              <w:spacing w:before="101" w:line="218" w:lineRule="auto"/>
              <w:rPr/>
            </w:pPr>
            <w:r>
              <w:rPr>
                <w:spacing w:val="-2"/>
              </w:rPr>
              <w:t>并评估集成技</w:t>
            </w:r>
          </w:p>
          <w:p>
            <w:pPr>
              <w:pStyle w:val="TableText"/>
              <w:ind w:left="95" w:right="99" w:firstLine="19"/>
              <w:spacing w:before="104" w:line="275" w:lineRule="auto"/>
              <w:rPr/>
            </w:pPr>
            <w:r>
              <w:rPr>
                <w:spacing w:val="2"/>
              </w:rPr>
              <w:t>术，以进行应用</w:t>
            </w:r>
            <w:r>
              <w:rPr>
                <w:spacing w:val="3"/>
              </w:rPr>
              <w:t xml:space="preserve"> </w:t>
            </w:r>
            <w:r>
              <w:rPr>
                <w:spacing w:val="-2"/>
              </w:rPr>
              <w:t>和采纳</w:t>
            </w:r>
          </w:p>
        </w:tc>
        <w:tc>
          <w:tcPr>
            <w:tcW w:w="2427" w:type="dxa"/>
            <w:vAlign w:val="top"/>
            <w:vMerge w:val="restart"/>
            <w:tcBorders>
              <w:bottom w:val="nil"/>
            </w:tcBorders>
          </w:tcPr>
          <w:p>
            <w:pPr>
              <w:spacing w:line="345" w:lineRule="auto"/>
              <w:rPr>
                <w:rFonts w:ascii="Arial"/>
                <w:sz w:val="21"/>
              </w:rPr>
            </w:pPr>
            <w:r/>
          </w:p>
          <w:p>
            <w:pPr>
              <w:pStyle w:val="TableText"/>
              <w:ind w:left="102" w:right="213" w:firstLine="160"/>
              <w:spacing w:before="49" w:line="303" w:lineRule="auto"/>
              <w:jc w:val="both"/>
              <w:rPr/>
            </w:pPr>
            <w:r>
              <w:rPr>
                <w:spacing w:val="-1"/>
              </w:rPr>
              <w:t>Q6:在数据获取和整合时，如</w:t>
            </w:r>
            <w:r>
              <w:rPr>
                <w:spacing w:val="4"/>
              </w:rPr>
              <w:t xml:space="preserve">  </w:t>
            </w:r>
            <w:r>
              <w:rPr/>
              <w:t>何将数据质量阈值和目标应用于 </w:t>
            </w:r>
            <w:r>
              <w:rPr>
                <w:spacing w:val="-2"/>
              </w:rPr>
              <w:t>数据源</w:t>
            </w:r>
          </w:p>
        </w:tc>
        <w:tc>
          <w:tcPr>
            <w:tcW w:w="1518" w:type="dxa"/>
            <w:vAlign w:val="top"/>
          </w:tcPr>
          <w:p>
            <w:pPr>
              <w:spacing w:line="316" w:lineRule="auto"/>
              <w:rPr>
                <w:rFonts w:ascii="Arial"/>
                <w:sz w:val="21"/>
              </w:rPr>
            </w:pPr>
            <w:r/>
          </w:p>
          <w:p>
            <w:pPr>
              <w:pStyle w:val="TableText"/>
              <w:ind w:left="235"/>
              <w:spacing w:before="49" w:line="219" w:lineRule="auto"/>
              <w:rPr/>
            </w:pPr>
            <w:r>
              <w:rPr>
                <w:spacing w:val="26"/>
              </w:rPr>
              <w:t>M9:质量检查</w:t>
            </w:r>
          </w:p>
        </w:tc>
        <w:tc>
          <w:tcPr>
            <w:tcW w:w="2412" w:type="dxa"/>
            <w:vAlign w:val="top"/>
          </w:tcPr>
          <w:p>
            <w:pPr>
              <w:pStyle w:val="TableText"/>
              <w:ind w:left="257"/>
              <w:spacing w:before="87" w:line="219" w:lineRule="auto"/>
              <w:rPr/>
            </w:pPr>
            <w:r>
              <w:rPr>
                <w:spacing w:val="-1"/>
              </w:rPr>
              <w:t>质量检查被定义为组织集成标</w:t>
            </w:r>
          </w:p>
          <w:p>
            <w:pPr>
              <w:pStyle w:val="TableText"/>
              <w:ind w:left="107" w:right="41" w:firstLine="10"/>
              <w:spacing w:before="101" w:line="282" w:lineRule="auto"/>
              <w:rPr/>
            </w:pPr>
            <w:r>
              <w:rPr>
                <w:spacing w:val="-1"/>
              </w:rPr>
              <w:t>准的一部分，并作为数据集成过程</w:t>
            </w:r>
            <w:r>
              <w:rPr>
                <w:spacing w:val="6"/>
              </w:rPr>
              <w:t xml:space="preserve"> </w:t>
            </w:r>
            <w:r>
              <w:rPr>
                <w:spacing w:val="1"/>
              </w:rPr>
              <w:t>的一部分执行</w:t>
            </w:r>
          </w:p>
        </w:tc>
      </w:tr>
      <w:tr>
        <w:trPr>
          <w:trHeight w:val="599" w:hRule="atLeast"/>
        </w:trPr>
        <w:tc>
          <w:tcPr>
            <w:tcW w:w="1293" w:type="dxa"/>
            <w:vAlign w:val="top"/>
            <w:vMerge w:val="continue"/>
            <w:tcBorders>
              <w:top w:val="nil"/>
              <w:bottom w:val="nil"/>
            </w:tcBorders>
          </w:tcPr>
          <w:p>
            <w:pPr>
              <w:rPr>
                <w:rFonts w:ascii="Arial"/>
                <w:sz w:val="21"/>
              </w:rPr>
            </w:pPr>
            <w:r/>
          </w:p>
        </w:tc>
        <w:tc>
          <w:tcPr>
            <w:tcW w:w="2427" w:type="dxa"/>
            <w:vAlign w:val="top"/>
            <w:vMerge w:val="continue"/>
            <w:tcBorders>
              <w:top w:val="nil"/>
            </w:tcBorders>
          </w:tcPr>
          <w:p>
            <w:pPr>
              <w:rPr>
                <w:rFonts w:ascii="Arial"/>
                <w:sz w:val="21"/>
              </w:rPr>
            </w:pPr>
            <w:r/>
          </w:p>
        </w:tc>
        <w:tc>
          <w:tcPr>
            <w:tcW w:w="1518" w:type="dxa"/>
            <w:vAlign w:val="top"/>
          </w:tcPr>
          <w:p>
            <w:pPr>
              <w:pStyle w:val="TableText"/>
              <w:ind w:left="255"/>
              <w:spacing w:before="228" w:line="220" w:lineRule="auto"/>
              <w:rPr/>
            </w:pPr>
            <w:r>
              <w:rPr>
                <w:spacing w:val="-1"/>
              </w:rPr>
              <w:t>M10:统计分析</w:t>
            </w:r>
          </w:p>
        </w:tc>
        <w:tc>
          <w:tcPr>
            <w:tcW w:w="2412" w:type="dxa"/>
            <w:vAlign w:val="top"/>
          </w:tcPr>
          <w:p>
            <w:pPr>
              <w:pStyle w:val="TableText"/>
              <w:ind w:left="137" w:right="200" w:firstLine="120"/>
              <w:spacing w:before="98" w:line="288" w:lineRule="auto"/>
              <w:rPr/>
            </w:pPr>
            <w:r>
              <w:rPr>
                <w:spacing w:val="-1"/>
              </w:rPr>
              <w:t>集成测量指标的统计分析指导</w:t>
            </w:r>
            <w:r>
              <w:rPr>
                <w:spacing w:val="6"/>
              </w:rPr>
              <w:t xml:space="preserve"> </w:t>
            </w:r>
            <w:r>
              <w:rPr/>
              <w:t>了接口和集成变更的决策</w:t>
            </w:r>
          </w:p>
        </w:tc>
      </w:tr>
      <w:tr>
        <w:trPr>
          <w:trHeight w:val="879" w:hRule="atLeast"/>
        </w:trPr>
        <w:tc>
          <w:tcPr>
            <w:tcW w:w="1293" w:type="dxa"/>
            <w:vAlign w:val="top"/>
            <w:vMerge w:val="continue"/>
            <w:tcBorders>
              <w:top w:val="nil"/>
              <w:bottom w:val="nil"/>
            </w:tcBorders>
          </w:tcPr>
          <w:p>
            <w:pPr>
              <w:rPr>
                <w:rFonts w:ascii="Arial"/>
                <w:sz w:val="21"/>
              </w:rPr>
            </w:pPr>
            <w:r/>
          </w:p>
        </w:tc>
        <w:tc>
          <w:tcPr>
            <w:tcW w:w="2427" w:type="dxa"/>
            <w:vAlign w:val="top"/>
            <w:vMerge w:val="restart"/>
            <w:tcBorders>
              <w:bottom w:val="nil"/>
            </w:tcBorders>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262"/>
              <w:spacing w:before="49" w:line="219" w:lineRule="auto"/>
              <w:rPr/>
            </w:pPr>
            <w:r>
              <w:rPr>
                <w:spacing w:val="-1"/>
              </w:rPr>
              <w:t>Q7:识别丢失数据的过程是否</w:t>
            </w:r>
          </w:p>
          <w:p>
            <w:pPr>
              <w:pStyle w:val="TableText"/>
              <w:ind w:left="112" w:right="62"/>
              <w:spacing w:before="83" w:line="275" w:lineRule="auto"/>
              <w:rPr/>
            </w:pPr>
            <w:r>
              <w:rPr>
                <w:spacing w:val="-1"/>
              </w:rPr>
              <w:t>为自动过程，对缺陷或差距的跟踪</w:t>
            </w:r>
            <w:r>
              <w:rPr>
                <w:spacing w:val="6"/>
              </w:rPr>
              <w:t xml:space="preserve"> </w:t>
            </w:r>
            <w:r>
              <w:rPr>
                <w:spacing w:val="-2"/>
              </w:rPr>
              <w:t>是否支持修复</w:t>
            </w:r>
          </w:p>
        </w:tc>
        <w:tc>
          <w:tcPr>
            <w:tcW w:w="1518" w:type="dxa"/>
            <w:vAlign w:val="top"/>
          </w:tcPr>
          <w:p>
            <w:pPr>
              <w:pStyle w:val="TableText"/>
              <w:ind w:left="105" w:right="204" w:firstLine="149"/>
              <w:spacing w:before="238" w:line="289" w:lineRule="auto"/>
              <w:rPr/>
            </w:pPr>
            <w:r>
              <w:rPr>
                <w:spacing w:val="-1"/>
              </w:rPr>
              <w:t>M11:接口和集成</w:t>
            </w:r>
            <w:r>
              <w:rPr>
                <w:spacing w:val="6"/>
              </w:rPr>
              <w:t xml:space="preserve"> </w:t>
            </w:r>
            <w:r>
              <w:rPr>
                <w:spacing w:val="-2"/>
              </w:rPr>
              <w:t>性能测量指标</w:t>
            </w:r>
          </w:p>
        </w:tc>
        <w:tc>
          <w:tcPr>
            <w:tcW w:w="2412" w:type="dxa"/>
            <w:vAlign w:val="top"/>
          </w:tcPr>
          <w:p>
            <w:pPr>
              <w:pStyle w:val="TableText"/>
              <w:ind w:left="107" w:right="40" w:firstLine="160"/>
              <w:spacing w:before="100" w:line="307" w:lineRule="auto"/>
              <w:rPr/>
            </w:pPr>
            <w:r>
              <w:rPr/>
              <w:t>收集并分析接口和集成性能测</w:t>
            </w:r>
            <w:r>
              <w:rPr>
                <w:spacing w:val="3"/>
              </w:rPr>
              <w:t xml:space="preserve">   </w:t>
            </w:r>
            <w:r>
              <w:rPr/>
              <w:t>量指标，以确定不符合标准和指标</w:t>
            </w:r>
            <w:r>
              <w:rPr>
                <w:spacing w:val="3"/>
              </w:rPr>
              <w:t xml:space="preserve"> </w:t>
            </w:r>
            <w:r>
              <w:rPr>
                <w:spacing w:val="2"/>
              </w:rPr>
              <w:t>的情况</w:t>
            </w:r>
          </w:p>
        </w:tc>
      </w:tr>
      <w:tr>
        <w:trPr>
          <w:trHeight w:val="868" w:hRule="atLeast"/>
        </w:trPr>
        <w:tc>
          <w:tcPr>
            <w:tcW w:w="1293" w:type="dxa"/>
            <w:vAlign w:val="top"/>
            <w:vMerge w:val="continue"/>
            <w:tcBorders>
              <w:top w:val="nil"/>
              <w:bottom w:val="nil"/>
            </w:tcBorders>
          </w:tcPr>
          <w:p>
            <w:pPr>
              <w:rPr>
                <w:rFonts w:ascii="Arial"/>
                <w:sz w:val="21"/>
              </w:rPr>
            </w:pPr>
            <w:r/>
          </w:p>
        </w:tc>
        <w:tc>
          <w:tcPr>
            <w:tcW w:w="2427" w:type="dxa"/>
            <w:vAlign w:val="top"/>
            <w:vMerge w:val="continue"/>
            <w:tcBorders>
              <w:top w:val="nil"/>
              <w:bottom w:val="nil"/>
            </w:tcBorders>
          </w:tcPr>
          <w:p>
            <w:pPr>
              <w:rPr>
                <w:rFonts w:ascii="Arial"/>
                <w:sz w:val="21"/>
              </w:rPr>
            </w:pPr>
            <w:r/>
          </w:p>
        </w:tc>
        <w:tc>
          <w:tcPr>
            <w:tcW w:w="1518" w:type="dxa"/>
            <w:vAlign w:val="top"/>
          </w:tcPr>
          <w:p>
            <w:pPr>
              <w:pStyle w:val="TableText"/>
              <w:ind w:left="85" w:right="204" w:firstLine="170"/>
              <w:spacing w:before="240" w:line="276" w:lineRule="auto"/>
              <w:rPr/>
            </w:pPr>
            <w:r>
              <w:rPr>
                <w:spacing w:val="-1"/>
              </w:rPr>
              <w:t>M12:变化控制过</w:t>
            </w:r>
            <w:r>
              <w:rPr>
                <w:spacing w:val="6"/>
              </w:rPr>
              <w:t xml:space="preserve"> </w:t>
            </w:r>
            <w:r>
              <w:rPr/>
              <w:t>程</w:t>
            </w:r>
          </w:p>
        </w:tc>
        <w:tc>
          <w:tcPr>
            <w:tcW w:w="2412" w:type="dxa"/>
            <w:vAlign w:val="top"/>
          </w:tcPr>
          <w:p>
            <w:pPr>
              <w:pStyle w:val="TableText"/>
              <w:ind w:left="107" w:right="32" w:firstLine="170"/>
              <w:spacing w:before="100" w:line="299" w:lineRule="auto"/>
              <w:jc w:val="both"/>
              <w:rPr/>
            </w:pPr>
            <w:r>
              <w:rPr>
                <w:spacing w:val="-1"/>
              </w:rPr>
              <w:t>建立并遵循变化控制过程，以确</w:t>
            </w:r>
            <w:r>
              <w:rPr>
                <w:spacing w:val="5"/>
              </w:rPr>
              <w:t xml:space="preserve"> </w:t>
            </w:r>
            <w:r>
              <w:rPr/>
              <w:t>保控制和协调集成环境的变化，包</w:t>
            </w:r>
            <w:r>
              <w:rPr>
                <w:spacing w:val="2"/>
              </w:rPr>
              <w:t xml:space="preserve"> </w:t>
            </w:r>
            <w:r>
              <w:rPr>
                <w:spacing w:val="-1"/>
              </w:rPr>
              <w:t>括上游资源和下游目标</w:t>
            </w:r>
          </w:p>
        </w:tc>
      </w:tr>
      <w:tr>
        <w:trPr>
          <w:trHeight w:val="599" w:hRule="atLeast"/>
        </w:trPr>
        <w:tc>
          <w:tcPr>
            <w:tcW w:w="1293" w:type="dxa"/>
            <w:vAlign w:val="top"/>
            <w:vMerge w:val="continue"/>
            <w:tcBorders>
              <w:top w:val="nil"/>
            </w:tcBorders>
          </w:tcPr>
          <w:p>
            <w:pPr>
              <w:rPr>
                <w:rFonts w:ascii="Arial"/>
                <w:sz w:val="21"/>
              </w:rPr>
            </w:pPr>
            <w:r/>
          </w:p>
        </w:tc>
        <w:tc>
          <w:tcPr>
            <w:tcW w:w="2427" w:type="dxa"/>
            <w:vAlign w:val="top"/>
            <w:vMerge w:val="continue"/>
            <w:tcBorders>
              <w:top w:val="nil"/>
            </w:tcBorders>
          </w:tcPr>
          <w:p>
            <w:pPr>
              <w:rPr>
                <w:rFonts w:ascii="Arial"/>
                <w:sz w:val="21"/>
              </w:rPr>
            </w:pPr>
            <w:r/>
          </w:p>
        </w:tc>
        <w:tc>
          <w:tcPr>
            <w:tcW w:w="1518" w:type="dxa"/>
            <w:vAlign w:val="top"/>
          </w:tcPr>
          <w:p>
            <w:pPr>
              <w:pStyle w:val="TableText"/>
              <w:ind w:left="245"/>
              <w:spacing w:before="232" w:line="219" w:lineRule="auto"/>
              <w:rPr/>
            </w:pPr>
            <w:r>
              <w:rPr>
                <w:spacing w:val="-1"/>
              </w:rPr>
              <w:t>M13:修复过程</w:t>
            </w:r>
          </w:p>
        </w:tc>
        <w:tc>
          <w:tcPr>
            <w:tcW w:w="2412" w:type="dxa"/>
            <w:vAlign w:val="top"/>
          </w:tcPr>
          <w:p>
            <w:pPr>
              <w:pStyle w:val="TableText"/>
              <w:ind w:left="107" w:right="32" w:firstLine="170"/>
              <w:spacing w:before="102" w:line="288" w:lineRule="auto"/>
              <w:rPr/>
            </w:pPr>
            <w:r>
              <w:rPr>
                <w:spacing w:val="-1"/>
              </w:rPr>
              <w:t>建立并遵循修复过程，以解决选</w:t>
            </w:r>
            <w:r>
              <w:rPr>
                <w:spacing w:val="5"/>
              </w:rPr>
              <w:t xml:space="preserve"> </w:t>
            </w:r>
            <w:r>
              <w:rPr>
                <w:spacing w:val="-2"/>
              </w:rPr>
              <w:t>定的异常情况</w:t>
            </w:r>
          </w:p>
        </w:tc>
      </w:tr>
      <w:tr>
        <w:trPr>
          <w:trHeight w:val="589" w:hRule="atLeast"/>
        </w:trPr>
        <w:tc>
          <w:tcPr>
            <w:tcW w:w="1293" w:type="dxa"/>
            <w:vAlign w:val="top"/>
            <w:vMerge w:val="restart"/>
            <w:tcBorders>
              <w:bottom w:val="nil"/>
            </w:tcBorders>
          </w:tcPr>
          <w:p>
            <w:pPr>
              <w:pStyle w:val="TableText"/>
              <w:ind w:left="95" w:right="82" w:firstLine="129"/>
              <w:spacing w:before="104" w:line="325" w:lineRule="auto"/>
              <w:rPr/>
            </w:pPr>
            <w:r>
              <w:rPr>
                <w:spacing w:val="-1"/>
              </w:rPr>
              <w:t>G4:建立并管</w:t>
            </w:r>
            <w:r>
              <w:rPr/>
              <w:t xml:space="preserve">   </w:t>
            </w:r>
            <w:r>
              <w:rPr>
                <w:spacing w:val="1"/>
              </w:rPr>
              <w:t>理数据转换、转</w:t>
            </w:r>
            <w:r>
              <w:rPr>
                <w:spacing w:val="4"/>
              </w:rPr>
              <w:t xml:space="preserve"> </w:t>
            </w:r>
            <w:r>
              <w:rPr>
                <w:spacing w:val="7"/>
              </w:rPr>
              <w:t>化和充实规定，</w:t>
            </w:r>
            <w:r>
              <w:rPr>
                <w:spacing w:val="5"/>
              </w:rPr>
              <w:t xml:space="preserve"> </w:t>
            </w:r>
            <w:r>
              <w:rPr>
                <w:spacing w:val="3"/>
              </w:rPr>
              <w:t>以便使数据在进 </w:t>
            </w:r>
            <w:r>
              <w:rPr>
                <w:spacing w:val="2"/>
              </w:rPr>
              <w:t>入集成环境之前</w:t>
            </w:r>
            <w:r>
              <w:rPr/>
              <w:t xml:space="preserve"> </w:t>
            </w:r>
            <w:r>
              <w:rPr>
                <w:spacing w:val="1"/>
              </w:rPr>
              <w:t>得到全面处理并</w:t>
            </w:r>
            <w:r>
              <w:rPr>
                <w:spacing w:val="5"/>
              </w:rPr>
              <w:t xml:space="preserve"> </w:t>
            </w:r>
            <w:r>
              <w:rPr>
                <w:spacing w:val="-1"/>
              </w:rPr>
              <w:t>达到质量标准</w:t>
            </w:r>
          </w:p>
        </w:tc>
        <w:tc>
          <w:tcPr>
            <w:tcW w:w="2427" w:type="dxa"/>
            <w:vAlign w:val="top"/>
            <w:vMerge w:val="restart"/>
            <w:tcBorders>
              <w:bottom w:val="nil"/>
            </w:tcBorders>
          </w:tcPr>
          <w:p>
            <w:pPr>
              <w:spacing w:line="300" w:lineRule="auto"/>
              <w:rPr>
                <w:rFonts w:ascii="Arial"/>
                <w:sz w:val="21"/>
              </w:rPr>
            </w:pPr>
            <w:r/>
          </w:p>
          <w:p>
            <w:pPr>
              <w:spacing w:line="301" w:lineRule="auto"/>
              <w:rPr>
                <w:rFonts w:ascii="Arial"/>
                <w:sz w:val="21"/>
              </w:rPr>
            </w:pPr>
            <w:r/>
          </w:p>
          <w:p>
            <w:pPr>
              <w:pStyle w:val="TableText"/>
              <w:ind w:left="252"/>
              <w:spacing w:before="48" w:line="220" w:lineRule="auto"/>
              <w:rPr/>
            </w:pPr>
            <w:r>
              <w:rPr>
                <w:spacing w:val="1"/>
              </w:rPr>
              <w:t>Q8:如何确保足够的工作人员</w:t>
            </w:r>
          </w:p>
          <w:p>
            <w:pPr>
              <w:pStyle w:val="TableText"/>
              <w:ind w:left="102" w:right="61" w:firstLine="10"/>
              <w:spacing w:before="100" w:line="282" w:lineRule="auto"/>
              <w:rPr/>
            </w:pPr>
            <w:r>
              <w:rPr>
                <w:spacing w:val="-1"/>
              </w:rPr>
              <w:t>来监测、管理和维持数据质量，以</w:t>
            </w:r>
            <w:r>
              <w:rPr>
                <w:spacing w:val="7"/>
              </w:rPr>
              <w:t xml:space="preserve"> </w:t>
            </w:r>
            <w:r>
              <w:rPr>
                <w:spacing w:val="-1"/>
              </w:rPr>
              <w:t>进行获取和集成</w:t>
            </w:r>
          </w:p>
        </w:tc>
        <w:tc>
          <w:tcPr>
            <w:tcW w:w="1518" w:type="dxa"/>
            <w:vAlign w:val="top"/>
          </w:tcPr>
          <w:p>
            <w:pPr>
              <w:pStyle w:val="TableText"/>
              <w:ind w:left="235"/>
              <w:spacing w:before="73" w:line="309" w:lineRule="exact"/>
              <w:rPr/>
            </w:pPr>
            <w:r>
              <w:rPr>
                <w:spacing w:val="-1"/>
                <w:position w:val="12"/>
              </w:rPr>
              <w:t>M14:数据集成性</w:t>
            </w:r>
          </w:p>
          <w:p>
            <w:pPr>
              <w:pStyle w:val="TableText"/>
              <w:ind w:left="95"/>
              <w:spacing w:line="219" w:lineRule="auto"/>
              <w:rPr/>
            </w:pPr>
            <w:r>
              <w:rPr>
                <w:spacing w:val="3"/>
              </w:rPr>
              <w:t>能模型</w:t>
            </w:r>
          </w:p>
        </w:tc>
        <w:tc>
          <w:tcPr>
            <w:tcW w:w="2412" w:type="dxa"/>
            <w:vAlign w:val="top"/>
          </w:tcPr>
          <w:p>
            <w:pPr>
              <w:pStyle w:val="TableText"/>
              <w:ind w:left="117" w:right="34" w:firstLine="160"/>
              <w:spacing w:before="102" w:line="282" w:lineRule="auto"/>
              <w:rPr/>
            </w:pPr>
            <w:r>
              <w:rPr>
                <w:spacing w:val="-1"/>
              </w:rPr>
              <w:t>定期评审数据集成性能模型，并</w:t>
            </w:r>
            <w:r>
              <w:rPr>
                <w:spacing w:val="3"/>
              </w:rPr>
              <w:t xml:space="preserve"> </w:t>
            </w:r>
            <w:r>
              <w:rPr>
                <w:spacing w:val="-1"/>
              </w:rPr>
              <w:t>将其作为改进的信息输入</w:t>
            </w:r>
          </w:p>
        </w:tc>
      </w:tr>
      <w:tr>
        <w:trPr>
          <w:trHeight w:val="599" w:hRule="atLeast"/>
        </w:trPr>
        <w:tc>
          <w:tcPr>
            <w:tcW w:w="1293" w:type="dxa"/>
            <w:vAlign w:val="top"/>
            <w:vMerge w:val="continue"/>
            <w:tcBorders>
              <w:top w:val="nil"/>
              <w:bottom w:val="nil"/>
            </w:tcBorders>
          </w:tcPr>
          <w:p>
            <w:pPr>
              <w:rPr>
                <w:rFonts w:ascii="Arial"/>
                <w:sz w:val="21"/>
              </w:rPr>
            </w:pPr>
            <w:r/>
          </w:p>
        </w:tc>
        <w:tc>
          <w:tcPr>
            <w:tcW w:w="2427" w:type="dxa"/>
            <w:vAlign w:val="top"/>
            <w:vMerge w:val="continue"/>
            <w:tcBorders>
              <w:top w:val="nil"/>
              <w:bottom w:val="nil"/>
            </w:tcBorders>
          </w:tcPr>
          <w:p>
            <w:pPr>
              <w:rPr>
                <w:rFonts w:ascii="Arial"/>
                <w:sz w:val="21"/>
              </w:rPr>
            </w:pPr>
            <w:r/>
          </w:p>
        </w:tc>
        <w:tc>
          <w:tcPr>
            <w:tcW w:w="1518" w:type="dxa"/>
            <w:vAlign w:val="top"/>
          </w:tcPr>
          <w:p>
            <w:pPr>
              <w:pStyle w:val="TableText"/>
              <w:ind w:left="255"/>
              <w:spacing w:before="233" w:line="219" w:lineRule="auto"/>
              <w:rPr/>
            </w:pPr>
            <w:r>
              <w:rPr>
                <w:spacing w:val="23"/>
              </w:rPr>
              <w:t>M15:最佳实践</w:t>
            </w:r>
          </w:p>
        </w:tc>
        <w:tc>
          <w:tcPr>
            <w:tcW w:w="2412" w:type="dxa"/>
            <w:vAlign w:val="top"/>
          </w:tcPr>
          <w:p>
            <w:pPr>
              <w:pStyle w:val="TableText"/>
              <w:ind w:left="107" w:right="183" w:firstLine="170"/>
              <w:spacing w:before="114" w:line="275" w:lineRule="auto"/>
              <w:rPr/>
            </w:pPr>
            <w:r>
              <w:rPr>
                <w:spacing w:val="-1"/>
              </w:rPr>
              <w:t>该组织在其行业内发布并分享</w:t>
            </w:r>
            <w:r>
              <w:rPr>
                <w:spacing w:val="3"/>
              </w:rPr>
              <w:t xml:space="preserve"> </w:t>
            </w:r>
            <w:r>
              <w:rPr>
                <w:spacing w:val="-1"/>
              </w:rPr>
              <w:t>整合最佳实践</w:t>
            </w:r>
          </w:p>
        </w:tc>
      </w:tr>
      <w:tr>
        <w:trPr>
          <w:trHeight w:val="784" w:hRule="atLeast"/>
        </w:trPr>
        <w:tc>
          <w:tcPr>
            <w:tcW w:w="1293" w:type="dxa"/>
            <w:vAlign w:val="top"/>
            <w:vMerge w:val="continue"/>
            <w:tcBorders>
              <w:top w:val="nil"/>
            </w:tcBorders>
          </w:tcPr>
          <w:p>
            <w:pPr>
              <w:rPr>
                <w:rFonts w:ascii="Arial"/>
                <w:sz w:val="21"/>
              </w:rPr>
            </w:pPr>
            <w:r/>
          </w:p>
        </w:tc>
        <w:tc>
          <w:tcPr>
            <w:tcW w:w="2427" w:type="dxa"/>
            <w:vAlign w:val="top"/>
            <w:vMerge w:val="continue"/>
            <w:tcBorders>
              <w:top w:val="nil"/>
            </w:tcBorders>
          </w:tcPr>
          <w:p>
            <w:pPr>
              <w:rPr>
                <w:rFonts w:ascii="Arial"/>
                <w:sz w:val="21"/>
              </w:rPr>
            </w:pPr>
            <w:r/>
          </w:p>
        </w:tc>
        <w:tc>
          <w:tcPr>
            <w:tcW w:w="1518" w:type="dxa"/>
            <w:vAlign w:val="top"/>
          </w:tcPr>
          <w:p>
            <w:pPr>
              <w:pStyle w:val="TableText"/>
              <w:ind w:left="95" w:right="184" w:firstLine="149"/>
              <w:spacing w:before="205" w:line="277" w:lineRule="auto"/>
              <w:rPr/>
            </w:pPr>
            <w:r>
              <w:rPr>
                <w:spacing w:val="3"/>
              </w:rPr>
              <w:t>M16:数据源和目</w:t>
            </w:r>
            <w:r>
              <w:rPr/>
              <w:t xml:space="preserve"> </w:t>
            </w:r>
            <w:r>
              <w:rPr>
                <w:spacing w:val="1"/>
              </w:rPr>
              <w:t>的地变更</w:t>
            </w:r>
          </w:p>
        </w:tc>
        <w:tc>
          <w:tcPr>
            <w:tcW w:w="2412" w:type="dxa"/>
            <w:vAlign w:val="top"/>
          </w:tcPr>
          <w:p>
            <w:pPr>
              <w:pStyle w:val="TableText"/>
              <w:ind w:left="117" w:right="42" w:firstLine="149"/>
              <w:spacing w:before="204" w:line="276" w:lineRule="auto"/>
              <w:rPr/>
            </w:pPr>
            <w:r>
              <w:rPr>
                <w:spacing w:val="-1"/>
              </w:rPr>
              <w:t>组织通过数据治理过程，来记录</w:t>
            </w:r>
            <w:r>
              <w:rPr>
                <w:spacing w:val="5"/>
              </w:rPr>
              <w:t xml:space="preserve"> </w:t>
            </w:r>
            <w:r>
              <w:rPr>
                <w:spacing w:val="-1"/>
              </w:rPr>
              <w:t>并管理数据源和目的地变更</w:t>
            </w:r>
          </w:p>
        </w:tc>
      </w:tr>
    </w:tbl>
    <w:p>
      <w:pPr>
        <w:pStyle w:val="BodyText"/>
        <w:spacing w:line="273" w:lineRule="auto"/>
        <w:rPr/>
      </w:pPr>
      <w:r/>
    </w:p>
    <w:p>
      <w:pPr>
        <w:ind w:left="193"/>
        <w:spacing w:before="72" w:line="473" w:lineRule="exact"/>
        <w:rPr>
          <w:rFonts w:ascii="YouYuan" w:hAnsi="YouYuan" w:eastAsia="YouYuan" w:cs="YouYuan"/>
          <w:sz w:val="22"/>
          <w:szCs w:val="22"/>
        </w:rPr>
      </w:pPr>
      <w:r>
        <w:rPr>
          <w:rFonts w:ascii="YouYuan" w:hAnsi="YouYuan" w:eastAsia="YouYuan" w:cs="YouYuan"/>
          <w:sz w:val="22"/>
          <w:szCs w:val="22"/>
          <w:b/>
          <w:bCs/>
          <w:spacing w:val="-9"/>
          <w:position w:val="19"/>
        </w:rPr>
        <w:t>3.</w:t>
      </w:r>
      <w:r>
        <w:rPr>
          <w:rFonts w:ascii="YouYuan" w:hAnsi="YouYuan" w:eastAsia="YouYuan" w:cs="YouYuan"/>
          <w:sz w:val="22"/>
          <w:szCs w:val="22"/>
          <w:spacing w:val="45"/>
          <w:position w:val="19"/>
        </w:rPr>
        <w:t xml:space="preserve"> </w:t>
      </w:r>
      <w:r>
        <w:rPr>
          <w:rFonts w:ascii="YouYuan" w:hAnsi="YouYuan" w:eastAsia="YouYuan" w:cs="YouYuan"/>
          <w:sz w:val="22"/>
          <w:szCs w:val="22"/>
          <w:b/>
          <w:bCs/>
          <w:spacing w:val="-9"/>
          <w:position w:val="19"/>
        </w:rPr>
        <w:t>成熟度等级介绍</w:t>
      </w:r>
    </w:p>
    <w:p>
      <w:pPr>
        <w:ind w:left="189"/>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17"/>
        </w:rPr>
        <w:t xml:space="preserve">  </w:t>
      </w:r>
      <w:r>
        <w:rPr>
          <w:rFonts w:ascii="Times New Roman" w:hAnsi="Times New Roman" w:eastAsia="Times New Roman" w:cs="Times New Roman"/>
          <w:sz w:val="22"/>
          <w:szCs w:val="22"/>
          <w:b/>
          <w:bCs/>
          <w:spacing w:val="-6"/>
        </w:rPr>
        <w:t>1: </w:t>
      </w:r>
      <w:r>
        <w:rPr>
          <w:rFonts w:ascii="SimHei" w:hAnsi="SimHei" w:eastAsia="SimHei" w:cs="SimHei"/>
          <w:sz w:val="22"/>
          <w:szCs w:val="22"/>
          <w:b/>
          <w:bCs/>
          <w:spacing w:val="-6"/>
        </w:rPr>
        <w:t>初始级</w:t>
      </w:r>
    </w:p>
    <w:p>
      <w:pPr>
        <w:spacing w:line="127" w:lineRule="exact"/>
        <w:rPr/>
      </w:pPr>
      <w:r/>
    </w:p>
    <w:tbl>
      <w:tblPr>
        <w:tblStyle w:val="TableNormal"/>
        <w:tblW w:w="765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5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50"/>
              <w:spacing w:before="101" w:line="219" w:lineRule="auto"/>
              <w:rPr>
                <w:sz w:val="16"/>
                <w:szCs w:val="16"/>
              </w:rPr>
            </w:pPr>
            <w:r>
              <w:rPr>
                <w:sz w:val="16"/>
                <w:szCs w:val="16"/>
                <w:spacing w:val="-4"/>
              </w:rPr>
              <w:t>等 级 要 求</w:t>
            </w:r>
          </w:p>
        </w:tc>
        <w:tc>
          <w:tcPr>
            <w:tcW w:w="375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44" w:type="dxa"/>
            <w:vAlign w:val="top"/>
          </w:tcPr>
          <w:p>
            <w:pPr>
              <w:pStyle w:val="TableText"/>
              <w:ind w:left="244"/>
              <w:spacing w:before="260" w:line="184" w:lineRule="auto"/>
              <w:rPr>
                <w:sz w:val="16"/>
                <w:szCs w:val="16"/>
              </w:rPr>
            </w:pPr>
            <w:r>
              <w:rPr>
                <w:sz w:val="16"/>
                <w:szCs w:val="16"/>
                <w:spacing w:val="-5"/>
              </w:rPr>
              <w:t>1.1</w:t>
            </w:r>
          </w:p>
        </w:tc>
        <w:tc>
          <w:tcPr>
            <w:tcW w:w="3156" w:type="dxa"/>
            <w:vAlign w:val="top"/>
          </w:tcPr>
          <w:p>
            <w:pPr>
              <w:pStyle w:val="TableText"/>
              <w:ind w:left="211"/>
              <w:spacing w:before="220" w:line="219" w:lineRule="auto"/>
              <w:rPr>
                <w:sz w:val="16"/>
                <w:szCs w:val="16"/>
              </w:rPr>
            </w:pPr>
            <w:r>
              <w:rPr>
                <w:sz w:val="16"/>
                <w:szCs w:val="16"/>
                <w:spacing w:val="-1"/>
              </w:rPr>
              <w:t>对不同系统之间的数据进行了集成操作</w:t>
            </w:r>
          </w:p>
        </w:tc>
        <w:tc>
          <w:tcPr>
            <w:tcW w:w="3750" w:type="dxa"/>
            <w:vAlign w:val="top"/>
          </w:tcPr>
          <w:p>
            <w:pPr>
              <w:pStyle w:val="TableText"/>
              <w:ind w:left="264"/>
              <w:spacing w:before="89" w:line="219" w:lineRule="auto"/>
              <w:rPr>
                <w:sz w:val="16"/>
                <w:szCs w:val="16"/>
              </w:rPr>
            </w:pPr>
            <w:r>
              <w:rPr>
                <w:sz w:val="16"/>
                <w:szCs w:val="16"/>
                <w:spacing w:val="1"/>
              </w:rPr>
              <w:t>●数据集成脚本</w:t>
            </w:r>
          </w:p>
          <w:p>
            <w:pPr>
              <w:pStyle w:val="TableText"/>
              <w:ind w:left="264"/>
              <w:spacing w:before="91" w:line="219" w:lineRule="auto"/>
              <w:rPr>
                <w:sz w:val="16"/>
                <w:szCs w:val="16"/>
              </w:rPr>
            </w:pPr>
            <w:r>
              <w:rPr>
                <w:sz w:val="16"/>
                <w:szCs w:val="16"/>
                <w:spacing w:val="1"/>
              </w:rPr>
              <w:t>●来源的集成序列</w:t>
            </w:r>
          </w:p>
        </w:tc>
      </w:tr>
    </w:tbl>
    <w:p>
      <w:pPr>
        <w:ind w:left="7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89" w:firstLine="430"/>
        <w:spacing w:before="41" w:line="253" w:lineRule="auto"/>
        <w:jc w:val="both"/>
        <w:rPr>
          <w:rFonts w:ascii="SimSun" w:hAnsi="SimSun" w:eastAsia="SimSun" w:cs="SimSun"/>
          <w:sz w:val="22"/>
          <w:szCs w:val="22"/>
        </w:rPr>
      </w:pPr>
      <w:r>
        <w:rPr>
          <w:rFonts w:ascii="SimSun" w:hAnsi="SimSun" w:eastAsia="SimSun" w:cs="SimSun"/>
          <w:sz w:val="22"/>
          <w:szCs w:val="22"/>
          <w:spacing w:val="-2"/>
        </w:rPr>
        <w:t>数据集成是将组织内不同来源与格式的数据从逻辑上或物理</w:t>
      </w:r>
      <w:r>
        <w:rPr>
          <w:rFonts w:ascii="SimSun" w:hAnsi="SimSun" w:eastAsia="SimSun" w:cs="SimSun"/>
          <w:sz w:val="22"/>
          <w:szCs w:val="22"/>
          <w:spacing w:val="-3"/>
        </w:rPr>
        <w:t>上进行集成的过</w:t>
      </w:r>
      <w:r>
        <w:rPr>
          <w:rFonts w:ascii="SimSun" w:hAnsi="SimSun" w:eastAsia="SimSun" w:cs="SimSun"/>
          <w:sz w:val="22"/>
          <w:szCs w:val="22"/>
        </w:rPr>
        <w:t xml:space="preserve"> </w:t>
      </w:r>
      <w:r>
        <w:rPr>
          <w:rFonts w:ascii="SimSun" w:hAnsi="SimSun" w:eastAsia="SimSun" w:cs="SimSun"/>
          <w:sz w:val="22"/>
          <w:szCs w:val="22"/>
          <w:spacing w:val="-8"/>
        </w:rPr>
        <w:t>程。传统上，数据集成可以分为两大类方法，即</w:t>
      </w:r>
      <w:r>
        <w:rPr>
          <w:rFonts w:ascii="SimSun" w:hAnsi="SimSun" w:eastAsia="SimSun" w:cs="SimSun"/>
          <w:sz w:val="22"/>
          <w:szCs w:val="22"/>
          <w:spacing w:val="-9"/>
        </w:rPr>
        <w:t>数据仓库和联邦数据库。数据库仓</w:t>
      </w:r>
      <w:r>
        <w:rPr>
          <w:rFonts w:ascii="SimSun" w:hAnsi="SimSun" w:eastAsia="SimSun" w:cs="SimSun"/>
          <w:sz w:val="22"/>
          <w:szCs w:val="22"/>
        </w:rPr>
        <w:t xml:space="preserve"> </w:t>
      </w:r>
      <w:r>
        <w:rPr>
          <w:rFonts w:ascii="SimSun" w:hAnsi="SimSun" w:eastAsia="SimSun" w:cs="SimSun"/>
          <w:sz w:val="22"/>
          <w:szCs w:val="22"/>
          <w:spacing w:val="-8"/>
        </w:rPr>
        <w:t>库技术在物理上将分布在多个数据源的数据统一集</w:t>
      </w:r>
      <w:r>
        <w:rPr>
          <w:rFonts w:ascii="SimSun" w:hAnsi="SimSun" w:eastAsia="SimSun" w:cs="SimSun"/>
          <w:sz w:val="22"/>
          <w:szCs w:val="22"/>
          <w:spacing w:val="-9"/>
        </w:rPr>
        <w:t>中到一个中央数据库中；而联邦</w:t>
      </w:r>
      <w:r>
        <w:rPr>
          <w:rFonts w:ascii="SimSun" w:hAnsi="SimSun" w:eastAsia="SimSun" w:cs="SimSun"/>
          <w:sz w:val="22"/>
          <w:szCs w:val="22"/>
        </w:rPr>
        <w:t xml:space="preserve"> </w:t>
      </w:r>
      <w:r>
        <w:rPr>
          <w:rFonts w:ascii="SimSun" w:hAnsi="SimSun" w:eastAsia="SimSun" w:cs="SimSun"/>
          <w:sz w:val="22"/>
          <w:szCs w:val="22"/>
          <w:spacing w:val="-8"/>
        </w:rPr>
        <w:t>数据库则仅通过将用户查询翻译为数据源查询来进行</w:t>
      </w:r>
      <w:r>
        <w:rPr>
          <w:rFonts w:ascii="SimSun" w:hAnsi="SimSun" w:eastAsia="SimSun" w:cs="SimSun"/>
          <w:sz w:val="22"/>
          <w:szCs w:val="22"/>
          <w:spacing w:val="-9"/>
        </w:rPr>
        <w:t>逻辑上的数据集成。例如，生</w:t>
      </w:r>
      <w:r>
        <w:rPr>
          <w:rFonts w:ascii="SimSun" w:hAnsi="SimSun" w:eastAsia="SimSun" w:cs="SimSun"/>
          <w:sz w:val="22"/>
          <w:szCs w:val="22"/>
        </w:rPr>
        <w:t xml:space="preserve"> </w:t>
      </w:r>
      <w:r>
        <w:rPr>
          <w:rFonts w:ascii="SimSun" w:hAnsi="SimSun" w:eastAsia="SimSun" w:cs="SimSun"/>
          <w:sz w:val="22"/>
          <w:szCs w:val="22"/>
          <w:spacing w:val="-6"/>
        </w:rPr>
        <w:t>产数据库管理员</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6"/>
        </w:rPr>
        <w:t>(DBA)   </w:t>
      </w:r>
      <w:r>
        <w:rPr>
          <w:rFonts w:ascii="SimSun" w:hAnsi="SimSun" w:eastAsia="SimSun" w:cs="SimSun"/>
          <w:sz w:val="22"/>
          <w:szCs w:val="22"/>
          <w:spacing w:val="-6"/>
        </w:rPr>
        <w:t>按预定顺序手动启动多个集</w:t>
      </w:r>
      <w:r>
        <w:rPr>
          <w:rFonts w:ascii="SimSun" w:hAnsi="SimSun" w:eastAsia="SimSun" w:cs="SimSun"/>
          <w:sz w:val="22"/>
          <w:szCs w:val="22"/>
          <w:spacing w:val="-7"/>
        </w:rPr>
        <w:t>成脚本，或进行手动更改来纠</w:t>
      </w:r>
      <w:r>
        <w:rPr>
          <w:rFonts w:ascii="SimSun" w:hAnsi="SimSun" w:eastAsia="SimSun" w:cs="SimSun"/>
          <w:sz w:val="22"/>
          <w:szCs w:val="22"/>
        </w:rPr>
        <w:t xml:space="preserve"> </w:t>
      </w:r>
      <w:r>
        <w:rPr>
          <w:rFonts w:ascii="SimSun" w:hAnsi="SimSun" w:eastAsia="SimSun" w:cs="SimSun"/>
          <w:sz w:val="22"/>
          <w:szCs w:val="22"/>
          <w:spacing w:val="-17"/>
        </w:rPr>
        <w:t>正缺陷数据。</w:t>
      </w:r>
    </w:p>
    <w:p>
      <w:pPr>
        <w:spacing w:line="253" w:lineRule="auto"/>
        <w:sectPr>
          <w:footerReference w:type="default" r:id="rId318"/>
          <w:pgSz w:w="8870" w:h="13400"/>
          <w:pgMar w:top="400" w:right="364" w:bottom="415" w:left="580" w:header="0" w:footer="196" w:gutter="0"/>
        </w:sectPr>
        <w:rPr>
          <w:rFonts w:ascii="SimSun" w:hAnsi="SimSun" w:eastAsia="SimSun" w:cs="SimSun"/>
          <w:sz w:val="22"/>
          <w:szCs w:val="22"/>
        </w:rPr>
      </w:pPr>
    </w:p>
    <w:p>
      <w:pPr>
        <w:ind w:left="5508"/>
        <w:spacing w:before="194" w:line="219" w:lineRule="auto"/>
        <w:rPr>
          <w:rFonts w:ascii="SimSun" w:hAnsi="SimSun" w:eastAsia="SimSun" w:cs="SimSun"/>
          <w:sz w:val="21"/>
          <w:szCs w:val="21"/>
        </w:rPr>
      </w:pPr>
      <w:r>
        <w:rPr>
          <w:rFonts w:ascii="SimSun" w:hAnsi="SimSun" w:eastAsia="SimSun" w:cs="SimSun"/>
          <w:sz w:val="21"/>
          <w:szCs w:val="21"/>
          <w:b/>
          <w:bCs/>
          <w:spacing w:val="15"/>
        </w:rPr>
        <w:t>第7章■云端数据操作</w:t>
      </w:r>
    </w:p>
    <w:p>
      <w:pPr>
        <w:pStyle w:val="BodyText"/>
        <w:spacing w:line="250" w:lineRule="auto"/>
        <w:rPr/>
      </w:pPr>
      <w:r/>
    </w:p>
    <w:p>
      <w:pPr>
        <w:ind w:left="435"/>
        <w:spacing w:before="68"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24"/>
        </w:rPr>
        <w:t xml:space="preserve">  </w:t>
      </w:r>
      <w:r>
        <w:rPr>
          <w:rFonts w:ascii="Times New Roman" w:hAnsi="Times New Roman" w:eastAsia="Times New Roman" w:cs="Times New Roman"/>
          <w:sz w:val="21"/>
          <w:szCs w:val="21"/>
          <w:b/>
          <w:bCs/>
          <w:spacing w:val="-2"/>
        </w:rPr>
        <w:t>2: </w:t>
      </w:r>
      <w:r>
        <w:rPr>
          <w:rFonts w:ascii="SimHei" w:hAnsi="SimHei" w:eastAsia="SimHei" w:cs="SimHei"/>
          <w:sz w:val="21"/>
          <w:szCs w:val="21"/>
          <w:b/>
          <w:bCs/>
          <w:spacing w:val="-2"/>
        </w:rPr>
        <w:t>管理级</w:t>
      </w:r>
    </w:p>
    <w:p>
      <w:pPr>
        <w:spacing w:line="119" w:lineRule="exact"/>
        <w:rPr/>
      </w:pPr>
      <w:r/>
    </w:p>
    <w:tbl>
      <w:tblPr>
        <w:tblStyle w:val="TableNormal"/>
        <w:tblW w:w="76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66"/>
        <w:gridCol w:w="3770"/>
      </w:tblGrid>
      <w:tr>
        <w:trPr>
          <w:trHeight w:val="324" w:hRule="atLeast"/>
        </w:trPr>
        <w:tc>
          <w:tcPr>
            <w:tcW w:w="724" w:type="dxa"/>
            <w:vAlign w:val="top"/>
          </w:tcPr>
          <w:p>
            <w:pPr>
              <w:pStyle w:val="TableText"/>
              <w:ind w:left="205"/>
              <w:spacing w:before="92" w:line="221" w:lineRule="auto"/>
              <w:rPr/>
            </w:pPr>
            <w:r>
              <w:rPr>
                <w:spacing w:val="-2"/>
              </w:rPr>
              <w:t>序号</w:t>
            </w:r>
          </w:p>
        </w:tc>
        <w:tc>
          <w:tcPr>
            <w:tcW w:w="3166" w:type="dxa"/>
            <w:vAlign w:val="top"/>
          </w:tcPr>
          <w:p>
            <w:pPr>
              <w:pStyle w:val="TableText"/>
              <w:ind w:left="1171"/>
              <w:spacing w:before="9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4"/>
              <w:spacing w:before="91" w:line="220" w:lineRule="auto"/>
              <w:rPr/>
            </w:pPr>
            <w:r>
              <w:rPr>
                <w:spacing w:val="-5"/>
              </w:rPr>
              <w:t>实</w:t>
            </w:r>
            <w:r>
              <w:rPr>
                <w:spacing w:val="1"/>
              </w:rPr>
              <w:t xml:space="preserve">   </w:t>
            </w:r>
            <w:r>
              <w:rPr>
                <w:spacing w:val="-5"/>
              </w:rPr>
              <w:t>例</w:t>
            </w:r>
          </w:p>
        </w:tc>
      </w:tr>
      <w:tr>
        <w:trPr>
          <w:trHeight w:val="4625" w:hRule="atLeast"/>
        </w:trPr>
        <w:tc>
          <w:tcPr>
            <w:tcW w:w="724" w:type="dxa"/>
            <w:vAlign w:val="top"/>
          </w:tcPr>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235"/>
              <w:spacing w:before="49" w:line="184" w:lineRule="auto"/>
              <w:rPr/>
            </w:pPr>
            <w:r>
              <w:rPr>
                <w:spacing w:val="-2"/>
              </w:rPr>
              <w:t>2.1</w:t>
            </w:r>
          </w:p>
        </w:tc>
        <w:tc>
          <w:tcPr>
            <w:tcW w:w="3166"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60"/>
              <w:spacing w:before="48" w:line="219" w:lineRule="auto"/>
              <w:rPr/>
            </w:pPr>
            <w:r>
              <w:rPr>
                <w:spacing w:val="-1"/>
              </w:rPr>
              <w:t>将数据集成计划形成文件</w:t>
            </w:r>
          </w:p>
        </w:tc>
        <w:tc>
          <w:tcPr>
            <w:tcW w:w="3770" w:type="dxa"/>
            <w:vAlign w:val="top"/>
          </w:tcPr>
          <w:p>
            <w:pPr>
              <w:pStyle w:val="TableText"/>
              <w:ind w:left="265"/>
              <w:spacing w:before="87" w:line="219" w:lineRule="auto"/>
              <w:rPr/>
            </w:pPr>
            <w:r>
              <w:rPr>
                <w:spacing w:val="1"/>
              </w:rPr>
              <w:t>●数据范围的识别</w:t>
            </w:r>
          </w:p>
          <w:p>
            <w:pPr>
              <w:pStyle w:val="TableText"/>
              <w:ind w:left="265"/>
              <w:spacing w:before="91" w:line="219" w:lineRule="auto"/>
              <w:rPr/>
            </w:pPr>
            <w:r>
              <w:rPr>
                <w:spacing w:val="1"/>
              </w:rPr>
              <w:t>●供应商和源系统识别(以及</w:t>
            </w:r>
            <w:r>
              <w:rPr/>
              <w:t>SLA</w:t>
            </w:r>
            <w:r>
              <w:rPr>
                <w:spacing w:val="1"/>
              </w:rPr>
              <w:t>)</w:t>
            </w:r>
          </w:p>
          <w:p>
            <w:pPr>
              <w:pStyle w:val="TableText"/>
              <w:ind w:left="265"/>
              <w:spacing w:before="103" w:line="219" w:lineRule="auto"/>
              <w:rPr/>
            </w:pPr>
            <w:r>
              <w:rPr/>
              <w:t>●数据增长和数据保留期限的识别</w:t>
            </w:r>
          </w:p>
          <w:p>
            <w:pPr>
              <w:pStyle w:val="TableText"/>
              <w:ind w:left="265"/>
              <w:spacing w:before="92" w:line="219" w:lineRule="auto"/>
              <w:rPr/>
            </w:pPr>
            <w:r>
              <w:rPr>
                <w:spacing w:val="1"/>
              </w:rPr>
              <w:t>●适用的数据标准的识别</w:t>
            </w:r>
          </w:p>
          <w:p>
            <w:pPr>
              <w:pStyle w:val="TableText"/>
              <w:ind w:left="265"/>
              <w:spacing w:before="92" w:line="219" w:lineRule="auto"/>
              <w:rPr/>
            </w:pPr>
            <w:r>
              <w:rPr>
                <w:spacing w:val="1"/>
              </w:rPr>
              <w:t>●来源的集成序列</w:t>
            </w:r>
          </w:p>
          <w:p>
            <w:pPr>
              <w:pStyle w:val="TableText"/>
              <w:ind w:left="265"/>
              <w:spacing w:before="82" w:line="219" w:lineRule="auto"/>
              <w:rPr/>
            </w:pPr>
            <w:r>
              <w:rPr/>
              <w:t>●与数据信任相关的决策指导</w:t>
            </w:r>
          </w:p>
          <w:p>
            <w:pPr>
              <w:pStyle w:val="TableText"/>
              <w:ind w:left="265"/>
              <w:spacing w:before="92" w:line="219" w:lineRule="auto"/>
              <w:rPr/>
            </w:pPr>
            <w:r>
              <w:rPr/>
              <w:t>●使用质量维度的分析</w:t>
            </w:r>
          </w:p>
          <w:p>
            <w:pPr>
              <w:pStyle w:val="TableText"/>
              <w:ind w:left="265"/>
              <w:spacing w:before="100" w:line="219" w:lineRule="auto"/>
              <w:rPr/>
            </w:pPr>
            <w:r>
              <w:rPr>
                <w:spacing w:val="1"/>
              </w:rPr>
              <w:t>●变更数据采集规则</w:t>
            </w:r>
          </w:p>
          <w:p>
            <w:pPr>
              <w:pStyle w:val="TableText"/>
              <w:ind w:left="265"/>
              <w:spacing w:before="83" w:line="220" w:lineRule="auto"/>
              <w:rPr/>
            </w:pPr>
            <w:r>
              <w:rPr>
                <w:spacing w:val="1"/>
              </w:rPr>
              <w:t>●分析指导</w:t>
            </w:r>
          </w:p>
          <w:p>
            <w:pPr>
              <w:pStyle w:val="TableText"/>
              <w:ind w:left="265"/>
              <w:spacing w:before="91" w:line="220" w:lineRule="auto"/>
              <w:rPr/>
            </w:pPr>
            <w:r>
              <w:rPr>
                <w:spacing w:val="1"/>
              </w:rPr>
              <w:t>●一致性及转换规则</w:t>
            </w:r>
          </w:p>
          <w:p>
            <w:pPr>
              <w:pStyle w:val="TableText"/>
              <w:ind w:left="265"/>
              <w:spacing w:before="91" w:line="219" w:lineRule="auto"/>
              <w:rPr/>
            </w:pPr>
            <w:r>
              <w:rPr/>
              <w:t>●导入异常处理</w:t>
            </w:r>
          </w:p>
          <w:p>
            <w:pPr>
              <w:pStyle w:val="TableText"/>
              <w:ind w:left="265"/>
              <w:spacing w:before="91" w:line="219" w:lineRule="auto"/>
              <w:rPr/>
            </w:pPr>
            <w:r>
              <w:rPr/>
              <w:t>●利益相关方和数据管理人员角色和责任</w:t>
            </w:r>
          </w:p>
          <w:p>
            <w:pPr>
              <w:pStyle w:val="TableText"/>
              <w:ind w:left="265"/>
              <w:spacing w:before="103" w:line="219" w:lineRule="auto"/>
              <w:rPr/>
            </w:pPr>
            <w:r>
              <w:rPr/>
              <w:t>●针对业务要求的验证</w:t>
            </w:r>
          </w:p>
          <w:p>
            <w:pPr>
              <w:pStyle w:val="TableText"/>
              <w:ind w:left="265"/>
              <w:spacing w:before="102" w:line="219" w:lineRule="auto"/>
              <w:rPr/>
            </w:pPr>
            <w:r>
              <w:rPr/>
              <w:t>●数据备份和恢复的风险缓解规划</w:t>
            </w:r>
          </w:p>
          <w:p>
            <w:pPr>
              <w:pStyle w:val="TableText"/>
              <w:ind w:left="265"/>
              <w:spacing w:before="92" w:line="219" w:lineRule="auto"/>
              <w:rPr/>
            </w:pPr>
            <w:r>
              <w:rPr/>
              <w:t>●数据归档过程</w:t>
            </w:r>
          </w:p>
          <w:p>
            <w:pPr>
              <w:pStyle w:val="TableText"/>
              <w:ind w:left="265"/>
              <w:spacing w:before="82" w:line="219" w:lineRule="auto"/>
              <w:rPr/>
            </w:pPr>
            <w:r>
              <w:rPr>
                <w:spacing w:val="1"/>
              </w:rPr>
              <w:t>●数据隐私保护</w:t>
            </w:r>
          </w:p>
          <w:p>
            <w:pPr>
              <w:pStyle w:val="TableText"/>
              <w:ind w:left="265"/>
              <w:spacing w:before="82" w:line="219" w:lineRule="auto"/>
              <w:rPr/>
            </w:pPr>
            <w:r>
              <w:rPr/>
              <w:t>●用于不同用户组的数据访问矩阵</w:t>
            </w:r>
          </w:p>
        </w:tc>
      </w:tr>
    </w:tbl>
    <w:p>
      <w:pPr>
        <w:ind w:left="330"/>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45" w:right="201" w:firstLine="390"/>
        <w:spacing w:before="60" w:line="255" w:lineRule="auto"/>
        <w:rPr>
          <w:rFonts w:ascii="SimSun" w:hAnsi="SimSun" w:eastAsia="SimSun" w:cs="SimSun"/>
          <w:sz w:val="21"/>
          <w:szCs w:val="21"/>
        </w:rPr>
      </w:pPr>
      <w:r>
        <w:rPr>
          <w:rFonts w:ascii="SimSun" w:hAnsi="SimSun" w:eastAsia="SimSun" w:cs="SimSun"/>
          <w:sz w:val="21"/>
          <w:szCs w:val="21"/>
          <w:spacing w:val="2"/>
        </w:rPr>
        <w:t>组织需要将数据集成的相关内容的格式予以明确规定，并形成统</w:t>
      </w:r>
      <w:r>
        <w:rPr>
          <w:rFonts w:ascii="SimSun" w:hAnsi="SimSun" w:eastAsia="SimSun" w:cs="SimSun"/>
          <w:sz w:val="21"/>
          <w:szCs w:val="21"/>
          <w:spacing w:val="1"/>
        </w:rPr>
        <w:t>一文件，并作</w:t>
      </w:r>
      <w:r>
        <w:rPr>
          <w:rFonts w:ascii="SimSun" w:hAnsi="SimSun" w:eastAsia="SimSun" w:cs="SimSun"/>
          <w:sz w:val="21"/>
          <w:szCs w:val="21"/>
        </w:rPr>
        <w:t xml:space="preserve"> </w:t>
      </w:r>
      <w:r>
        <w:rPr>
          <w:rFonts w:ascii="SimSun" w:hAnsi="SimSun" w:eastAsia="SimSun" w:cs="SimSun"/>
          <w:sz w:val="21"/>
          <w:szCs w:val="21"/>
          <w:spacing w:val="2"/>
        </w:rPr>
        <w:t>为未来实施的依据，数据集成计划可包括对组织数据现状的概述、需求分</w:t>
      </w:r>
      <w:r>
        <w:rPr>
          <w:rFonts w:ascii="SimSun" w:hAnsi="SimSun" w:eastAsia="SimSun" w:cs="SimSun"/>
          <w:sz w:val="21"/>
          <w:szCs w:val="21"/>
          <w:spacing w:val="1"/>
        </w:rPr>
        <w:t>析、集成</w:t>
      </w:r>
      <w:r>
        <w:rPr>
          <w:rFonts w:ascii="SimSun" w:hAnsi="SimSun" w:eastAsia="SimSun" w:cs="SimSun"/>
          <w:sz w:val="21"/>
          <w:szCs w:val="21"/>
        </w:rPr>
        <w:t xml:space="preserve"> </w:t>
      </w:r>
      <w:r>
        <w:rPr>
          <w:rFonts w:ascii="SimSun" w:hAnsi="SimSun" w:eastAsia="SimSun" w:cs="SimSun"/>
          <w:sz w:val="21"/>
          <w:szCs w:val="21"/>
          <w:spacing w:val="-7"/>
        </w:rPr>
        <w:t>目标、实施方案等内容。</w:t>
      </w:r>
    </w:p>
    <w:p>
      <w:pPr>
        <w:spacing w:line="137" w:lineRule="exact"/>
        <w:rPr/>
      </w:pPr>
      <w:r/>
    </w:p>
    <w:tbl>
      <w:tblPr>
        <w:tblStyle w:val="TableNormal"/>
        <w:tblW w:w="766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70"/>
      </w:tblGrid>
      <w:tr>
        <w:trPr>
          <w:trHeight w:val="352" w:hRule="atLeast"/>
        </w:trPr>
        <w:tc>
          <w:tcPr>
            <w:tcW w:w="734" w:type="dxa"/>
            <w:vAlign w:val="top"/>
          </w:tcPr>
          <w:p>
            <w:pPr>
              <w:pStyle w:val="TableText"/>
              <w:ind w:left="205"/>
              <w:spacing w:before="102" w:line="221" w:lineRule="auto"/>
              <w:rPr/>
            </w:pPr>
            <w:r>
              <w:rPr>
                <w:spacing w:val="-2"/>
              </w:rPr>
              <w:t>序号</w:t>
            </w:r>
          </w:p>
        </w:tc>
        <w:tc>
          <w:tcPr>
            <w:tcW w:w="315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1147" w:hRule="atLeast"/>
        </w:trPr>
        <w:tc>
          <w:tcPr>
            <w:tcW w:w="734" w:type="dxa"/>
            <w:vAlign w:val="top"/>
          </w:tcPr>
          <w:p>
            <w:pPr>
              <w:spacing w:line="243" w:lineRule="auto"/>
              <w:rPr>
                <w:rFonts w:ascii="Arial"/>
                <w:sz w:val="21"/>
              </w:rPr>
            </w:pPr>
            <w:r/>
          </w:p>
          <w:p>
            <w:pPr>
              <w:spacing w:line="243" w:lineRule="auto"/>
              <w:rPr>
                <w:rFonts w:ascii="Arial"/>
                <w:sz w:val="21"/>
              </w:rPr>
            </w:pPr>
            <w:r/>
          </w:p>
          <w:p>
            <w:pPr>
              <w:pStyle w:val="TableText"/>
              <w:ind w:left="245"/>
              <w:spacing w:before="48" w:line="183" w:lineRule="auto"/>
              <w:rPr/>
            </w:pPr>
            <w:r>
              <w:rPr>
                <w:spacing w:val="-2"/>
              </w:rPr>
              <w:t>2.2</w:t>
            </w:r>
          </w:p>
        </w:tc>
        <w:tc>
          <w:tcPr>
            <w:tcW w:w="3156" w:type="dxa"/>
            <w:vAlign w:val="top"/>
          </w:tcPr>
          <w:p>
            <w:pPr>
              <w:pStyle w:val="TableText"/>
              <w:ind w:left="220"/>
              <w:spacing w:before="99" w:line="219" w:lineRule="auto"/>
              <w:rPr/>
            </w:pPr>
            <w:r>
              <w:rPr>
                <w:spacing w:val="1"/>
              </w:rPr>
              <w:t>组织所使用的数据集成规则和工具规定了</w:t>
            </w:r>
          </w:p>
          <w:p>
            <w:pPr>
              <w:pStyle w:val="TableText"/>
              <w:ind w:left="71" w:right="57"/>
              <w:spacing w:before="91" w:line="303" w:lineRule="auto"/>
              <w:rPr/>
            </w:pPr>
            <w:r>
              <w:rPr>
                <w:spacing w:val="-1"/>
              </w:rPr>
              <w:t>批量数据传输和载入、变更数据采集、版本控</w:t>
            </w:r>
            <w:r>
              <w:rPr>
                <w:spacing w:val="13"/>
              </w:rPr>
              <w:t xml:space="preserve"> </w:t>
            </w:r>
            <w:r>
              <w:rPr/>
              <w:t>制和配置、元数据采集和管理以及在线数据质</w:t>
            </w:r>
            <w:r>
              <w:rPr>
                <w:spacing w:val="16"/>
              </w:rPr>
              <w:t xml:space="preserve"> </w:t>
            </w:r>
            <w:r>
              <w:rPr>
                <w:spacing w:val="7"/>
              </w:rPr>
              <w:t>量检查和控制</w:t>
            </w:r>
          </w:p>
        </w:tc>
        <w:tc>
          <w:tcPr>
            <w:tcW w:w="3770" w:type="dxa"/>
            <w:vAlign w:val="top"/>
          </w:tcPr>
          <w:p>
            <w:pPr>
              <w:pStyle w:val="TableText"/>
              <w:ind w:left="265"/>
              <w:spacing w:before="99" w:line="219" w:lineRule="auto"/>
              <w:rPr/>
            </w:pPr>
            <w:r>
              <w:rPr>
                <w:spacing w:val="1"/>
              </w:rPr>
              <w:t>●数据集成规则</w:t>
            </w:r>
          </w:p>
          <w:p>
            <w:pPr>
              <w:pStyle w:val="TableText"/>
              <w:ind w:left="265"/>
              <w:spacing w:before="102" w:line="220" w:lineRule="auto"/>
              <w:rPr/>
            </w:pPr>
            <w:r>
              <w:rPr>
                <w:spacing w:val="1"/>
              </w:rPr>
              <w:t>●一致性及转换规则</w:t>
            </w:r>
          </w:p>
          <w:p>
            <w:pPr>
              <w:pStyle w:val="TableText"/>
              <w:ind w:left="265"/>
              <w:spacing w:before="99" w:line="219" w:lineRule="auto"/>
              <w:rPr/>
            </w:pPr>
            <w:r>
              <w:rPr>
                <w:spacing w:val="1"/>
              </w:rPr>
              <w:t>●变更数据采集规则</w:t>
            </w:r>
          </w:p>
          <w:p>
            <w:pPr>
              <w:pStyle w:val="TableText"/>
              <w:ind w:left="265"/>
              <w:spacing w:before="93" w:line="219" w:lineRule="auto"/>
              <w:rPr/>
            </w:pPr>
            <w:r>
              <w:rPr/>
              <w:t>●使用质量维度的分析</w:t>
            </w:r>
          </w:p>
        </w:tc>
      </w:tr>
    </w:tbl>
    <w:p>
      <w:pPr>
        <w:ind w:left="330"/>
        <w:spacing w:before="204"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45" w:right="240" w:firstLine="390"/>
        <w:spacing w:before="50" w:line="259" w:lineRule="auto"/>
        <w:rPr>
          <w:rFonts w:ascii="SimSun" w:hAnsi="SimSun" w:eastAsia="SimSun" w:cs="SimSun"/>
          <w:sz w:val="21"/>
          <w:szCs w:val="21"/>
        </w:rPr>
      </w:pPr>
      <w:r>
        <w:rPr>
          <w:rFonts w:ascii="SimSun" w:hAnsi="SimSun" w:eastAsia="SimSun" w:cs="SimSun"/>
          <w:sz w:val="21"/>
          <w:szCs w:val="21"/>
          <w:spacing w:val="2"/>
        </w:rPr>
        <w:t>从来源到目标的数据传输通常需要复杂的规则、数据转换</w:t>
      </w:r>
      <w:r>
        <w:rPr>
          <w:rFonts w:ascii="SimSun" w:hAnsi="SimSun" w:eastAsia="SimSun" w:cs="SimSun"/>
          <w:sz w:val="21"/>
          <w:szCs w:val="21"/>
          <w:spacing w:val="1"/>
        </w:rPr>
        <w:t>和标准化。为了以最</w:t>
      </w:r>
      <w:r>
        <w:rPr>
          <w:rFonts w:ascii="SimSun" w:hAnsi="SimSun" w:eastAsia="SimSun" w:cs="SimSun"/>
          <w:sz w:val="21"/>
          <w:szCs w:val="21"/>
        </w:rPr>
        <w:t xml:space="preserve"> </w:t>
      </w:r>
      <w:r>
        <w:rPr>
          <w:rFonts w:ascii="SimSun" w:hAnsi="SimSun" w:eastAsia="SimSun" w:cs="SimSun"/>
          <w:sz w:val="21"/>
          <w:szCs w:val="21"/>
          <w:spacing w:val="1"/>
        </w:rPr>
        <w:t>小的风险持续完成这些任务，组织应使用可支持移动数据采集</w:t>
      </w:r>
      <w:r>
        <w:rPr>
          <w:rFonts w:ascii="SimSun" w:hAnsi="SimSun" w:eastAsia="SimSun" w:cs="SimSun"/>
          <w:sz w:val="21"/>
          <w:szCs w:val="21"/>
        </w:rPr>
        <w:t>的专用工具，并且这 </w:t>
      </w:r>
      <w:r>
        <w:rPr>
          <w:rFonts w:ascii="SimSun" w:hAnsi="SimSun" w:eastAsia="SimSun" w:cs="SimSun"/>
          <w:sz w:val="21"/>
          <w:szCs w:val="21"/>
          <w:spacing w:val="1"/>
        </w:rPr>
        <w:t>些工具也可以用于数据和转换的基本分析。组织使用这些工具促进了</w:t>
      </w:r>
      <w:r>
        <w:rPr>
          <w:rFonts w:ascii="SimSun" w:hAnsi="SimSun" w:eastAsia="SimSun" w:cs="SimSun"/>
          <w:sz w:val="21"/>
          <w:szCs w:val="21"/>
        </w:rPr>
        <w:t>与ETL 过程相 </w:t>
      </w:r>
      <w:r>
        <w:rPr>
          <w:rFonts w:ascii="SimSun" w:hAnsi="SimSun" w:eastAsia="SimSun" w:cs="SimSun"/>
          <w:sz w:val="21"/>
          <w:szCs w:val="21"/>
          <w:spacing w:val="-2"/>
        </w:rPr>
        <w:t>关的元数据的维护，并提供了以受控的方式进行变更的方法。</w:t>
      </w:r>
    </w:p>
    <w:p>
      <w:pPr>
        <w:spacing w:line="159" w:lineRule="exact"/>
        <w:rPr/>
      </w:pPr>
      <w:r/>
    </w:p>
    <w:tbl>
      <w:tblPr>
        <w:tblStyle w:val="TableNormal"/>
        <w:tblW w:w="7650"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46"/>
        <w:gridCol w:w="3770"/>
      </w:tblGrid>
      <w:tr>
        <w:trPr>
          <w:trHeight w:val="341" w:hRule="atLeast"/>
        </w:trPr>
        <w:tc>
          <w:tcPr>
            <w:tcW w:w="734" w:type="dxa"/>
            <w:vAlign w:val="top"/>
          </w:tcPr>
          <w:p>
            <w:pPr>
              <w:pStyle w:val="TableText"/>
              <w:ind w:left="204"/>
              <w:spacing w:before="102" w:line="221" w:lineRule="auto"/>
              <w:rPr/>
            </w:pPr>
            <w:r>
              <w:rPr>
                <w:spacing w:val="-2"/>
              </w:rPr>
              <w:t>序号</w:t>
            </w:r>
          </w:p>
        </w:tc>
        <w:tc>
          <w:tcPr>
            <w:tcW w:w="3146"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4"/>
              <w:spacing w:before="101" w:line="220" w:lineRule="auto"/>
              <w:rPr/>
            </w:pPr>
            <w:r>
              <w:rPr>
                <w:spacing w:val="-5"/>
              </w:rPr>
              <w:t>实</w:t>
            </w:r>
            <w:r>
              <w:rPr>
                <w:spacing w:val="1"/>
              </w:rPr>
              <w:t xml:space="preserve">   </w:t>
            </w:r>
            <w:r>
              <w:rPr>
                <w:spacing w:val="-5"/>
              </w:rPr>
              <w:t>例</w:t>
            </w:r>
          </w:p>
        </w:tc>
      </w:tr>
      <w:tr>
        <w:trPr>
          <w:trHeight w:val="609" w:hRule="atLeast"/>
        </w:trPr>
        <w:tc>
          <w:tcPr>
            <w:tcW w:w="734" w:type="dxa"/>
            <w:vAlign w:val="top"/>
          </w:tcPr>
          <w:p>
            <w:pPr>
              <w:pStyle w:val="TableText"/>
              <w:ind w:left="244"/>
              <w:spacing w:before="268" w:line="183" w:lineRule="auto"/>
              <w:rPr/>
            </w:pPr>
            <w:r>
              <w:rPr>
                <w:spacing w:val="-2"/>
              </w:rPr>
              <w:t>2.3</w:t>
            </w:r>
          </w:p>
        </w:tc>
        <w:tc>
          <w:tcPr>
            <w:tcW w:w="3146" w:type="dxa"/>
            <w:vAlign w:val="top"/>
          </w:tcPr>
          <w:p>
            <w:pPr>
              <w:pStyle w:val="TableText"/>
              <w:ind w:left="100" w:right="22" w:firstLine="169"/>
              <w:spacing w:before="100" w:line="288" w:lineRule="auto"/>
              <w:rPr/>
            </w:pPr>
            <w:r>
              <w:rPr>
                <w:spacing w:val="-1"/>
              </w:rPr>
              <w:t>建立并遵守变更管理过程，以确保协调和控</w:t>
            </w:r>
            <w:r>
              <w:rPr>
                <w:spacing w:val="10"/>
              </w:rPr>
              <w:t xml:space="preserve"> </w:t>
            </w:r>
            <w:r>
              <w:rPr>
                <w:spacing w:val="-1"/>
              </w:rPr>
              <w:t>制集成环境的变化，包括母资源和子目标</w:t>
            </w:r>
          </w:p>
        </w:tc>
        <w:tc>
          <w:tcPr>
            <w:tcW w:w="3770" w:type="dxa"/>
            <w:vAlign w:val="top"/>
          </w:tcPr>
          <w:p>
            <w:pPr>
              <w:pStyle w:val="TableText"/>
              <w:ind w:left="265"/>
              <w:spacing w:before="100" w:line="219" w:lineRule="auto"/>
              <w:rPr/>
            </w:pPr>
            <w:r>
              <w:rPr>
                <w:spacing w:val="1"/>
              </w:rPr>
              <w:t>●变更管理规则</w:t>
            </w:r>
          </w:p>
          <w:p>
            <w:pPr>
              <w:pStyle w:val="TableText"/>
              <w:ind w:left="265"/>
              <w:spacing w:before="112" w:line="219" w:lineRule="auto"/>
              <w:rPr/>
            </w:pPr>
            <w:r>
              <w:rPr/>
              <w:t>●数据集成资源清单</w:t>
            </w:r>
          </w:p>
        </w:tc>
      </w:tr>
    </w:tbl>
    <w:p>
      <w:pPr>
        <w:pStyle w:val="BodyText"/>
        <w:rPr/>
      </w:pPr>
      <w:r/>
    </w:p>
    <w:p>
      <w:pPr>
        <w:sectPr>
          <w:footerReference w:type="default" r:id="rId320"/>
          <w:pgSz w:w="8870" w:h="13400"/>
          <w:pgMar w:top="400" w:right="578" w:bottom="578" w:left="414" w:header="0" w:footer="369" w:gutter="0"/>
        </w:sectPr>
        <w:rPr/>
      </w:pPr>
    </w:p>
    <w:p>
      <w:pPr>
        <w:ind w:left="120"/>
        <w:spacing w:before="149"/>
        <w:rPr>
          <w:rFonts w:ascii="SimSun" w:hAnsi="SimSun" w:eastAsia="SimSun" w:cs="SimSun"/>
          <w:sz w:val="21"/>
          <w:szCs w:val="21"/>
        </w:rPr>
      </w:pPr>
      <w:r>
        <w:rPr>
          <w:rFonts w:ascii="SimSun" w:hAnsi="SimSun" w:eastAsia="SimSun" w:cs="SimSun"/>
          <w:sz w:val="21"/>
          <w:szCs w:val="21"/>
          <w:position w:val="-9"/>
        </w:rPr>
        <w:drawing>
          <wp:inline distT="0" distB="0" distL="0" distR="0">
            <wp:extent cx="6365" cy="222255"/>
            <wp:effectExtent l="0" t="0" r="0" b="0"/>
            <wp:docPr id="216" name="IM 216"/>
            <wp:cNvGraphicFramePr/>
            <a:graphic>
              <a:graphicData uri="http://schemas.openxmlformats.org/drawingml/2006/picture">
                <pic:pic>
                  <pic:nvPicPr>
                    <pic:cNvPr id="216" name="IM 216"/>
                    <pic:cNvPicPr/>
                  </pic:nvPicPr>
                  <pic:blipFill>
                    <a:blip r:embed="rId322"/>
                    <a:stretch>
                      <a:fillRect/>
                    </a:stretch>
                  </pic:blipFill>
                  <pic:spPr>
                    <a:xfrm rot="0">
                      <a:off x="0" y="0"/>
                      <a:ext cx="6365" cy="222255"/>
                    </a:xfrm>
                    <a:prstGeom prst="rect">
                      <a:avLst/>
                    </a:prstGeom>
                  </pic:spPr>
                </pic:pic>
              </a:graphicData>
            </a:graphic>
          </wp:inline>
        </w:drawing>
      </w:r>
      <w:r>
        <w:rPr>
          <w:rFonts w:ascii="SimSun" w:hAnsi="SimSun" w:eastAsia="SimSun" w:cs="SimSun"/>
          <w:sz w:val="21"/>
          <w:szCs w:val="21"/>
          <w:spacing w:val="-17"/>
        </w:rPr>
        <w:t xml:space="preserve"> </w:t>
      </w:r>
      <w:r>
        <w:rPr>
          <w:rFonts w:ascii="SimSun" w:hAnsi="SimSun" w:eastAsia="SimSun" w:cs="SimSun"/>
          <w:sz w:val="21"/>
          <w:szCs w:val="21"/>
          <w:b/>
          <w:bCs/>
          <w:spacing w:val="-27"/>
        </w:rPr>
        <w:t>■云端数据治理■</w:t>
      </w:r>
    </w:p>
    <w:p>
      <w:pPr>
        <w:ind w:left="565"/>
        <w:spacing w:before="298" w:line="219" w:lineRule="auto"/>
        <w:rPr>
          <w:rFonts w:ascii="SimSun" w:hAnsi="SimSun" w:eastAsia="SimSun" w:cs="SimSun"/>
          <w:sz w:val="21"/>
          <w:szCs w:val="21"/>
        </w:rPr>
      </w:pPr>
      <w:r>
        <w:rPr>
          <w:rFonts w:ascii="SimSun" w:hAnsi="SimSun" w:eastAsia="SimSun" w:cs="SimSun"/>
          <w:sz w:val="21"/>
          <w:szCs w:val="21"/>
        </w:rPr>
        <w:t>【成熟度等级说明】</w:t>
      </w:r>
    </w:p>
    <w:p>
      <w:pPr>
        <w:ind w:left="250" w:right="74" w:firstLine="419"/>
        <w:spacing w:before="90" w:line="249" w:lineRule="auto"/>
        <w:rPr>
          <w:rFonts w:ascii="SimSun" w:hAnsi="SimSun" w:eastAsia="SimSun" w:cs="SimSun"/>
          <w:sz w:val="21"/>
          <w:szCs w:val="21"/>
        </w:rPr>
      </w:pPr>
      <w:r>
        <w:rPr>
          <w:rFonts w:ascii="SimSun" w:hAnsi="SimSun" w:eastAsia="SimSun" w:cs="SimSun"/>
          <w:sz w:val="21"/>
          <w:szCs w:val="21"/>
          <w:spacing w:val="1"/>
        </w:rPr>
        <w:t>操作系统的变更通常对系统存储或管理的数据和其他子系统使用的数据有着直</w:t>
      </w:r>
      <w:r>
        <w:rPr>
          <w:rFonts w:ascii="SimSun" w:hAnsi="SimSun" w:eastAsia="SimSun" w:cs="SimSun"/>
          <w:sz w:val="21"/>
          <w:szCs w:val="21"/>
          <w:spacing w:val="15"/>
        </w:rPr>
        <w:t xml:space="preserve"> </w:t>
      </w:r>
      <w:r>
        <w:rPr>
          <w:rFonts w:ascii="SimSun" w:hAnsi="SimSun" w:eastAsia="SimSun" w:cs="SimSun"/>
          <w:sz w:val="21"/>
          <w:szCs w:val="21"/>
          <w:spacing w:val="8"/>
        </w:rPr>
        <w:t>接影响。子系统的实例包括依赖于源系统数据的数据库(例如数据仓库)和其他操</w:t>
      </w:r>
      <w:r>
        <w:rPr>
          <w:rFonts w:ascii="SimSun" w:hAnsi="SimSun" w:eastAsia="SimSun" w:cs="SimSun"/>
          <w:sz w:val="21"/>
          <w:szCs w:val="21"/>
          <w:spacing w:val="11"/>
        </w:rPr>
        <w:t xml:space="preserve"> </w:t>
      </w:r>
      <w:r>
        <w:rPr>
          <w:rFonts w:ascii="SimSun" w:hAnsi="SimSun" w:eastAsia="SimSun" w:cs="SimSun"/>
          <w:sz w:val="21"/>
          <w:szCs w:val="21"/>
        </w:rPr>
        <w:t>作系统。组织应根据自身业务需求建立变更管理</w:t>
      </w:r>
      <w:r>
        <w:rPr>
          <w:rFonts w:ascii="SimSun" w:hAnsi="SimSun" w:eastAsia="SimSun" w:cs="SimSun"/>
          <w:sz w:val="21"/>
          <w:szCs w:val="21"/>
          <w:spacing w:val="-1"/>
        </w:rPr>
        <w:t>过程并执行。</w:t>
      </w:r>
    </w:p>
    <w:p>
      <w:pPr>
        <w:spacing w:line="127" w:lineRule="exact"/>
        <w:rPr/>
      </w:pPr>
      <w:r/>
    </w:p>
    <w:tbl>
      <w:tblPr>
        <w:tblStyle w:val="TableNormal"/>
        <w:tblW w:w="7659" w:type="dxa"/>
        <w:tblInd w:w="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75"/>
        <w:gridCol w:w="3750"/>
      </w:tblGrid>
      <w:tr>
        <w:trPr>
          <w:trHeight w:val="351" w:hRule="atLeast"/>
        </w:trPr>
        <w:tc>
          <w:tcPr>
            <w:tcW w:w="734" w:type="dxa"/>
            <w:vAlign w:val="top"/>
          </w:tcPr>
          <w:p>
            <w:pPr>
              <w:pStyle w:val="TableText"/>
              <w:ind w:left="204"/>
              <w:spacing w:before="102" w:line="221" w:lineRule="auto"/>
              <w:rPr/>
            </w:pPr>
            <w:r>
              <w:rPr>
                <w:spacing w:val="-2"/>
              </w:rPr>
              <w:t>序号</w:t>
            </w:r>
          </w:p>
        </w:tc>
        <w:tc>
          <w:tcPr>
            <w:tcW w:w="3175" w:type="dxa"/>
            <w:vAlign w:val="top"/>
          </w:tcPr>
          <w:p>
            <w:pPr>
              <w:pStyle w:val="TableText"/>
              <w:ind w:left="1280"/>
              <w:spacing w:before="101" w:line="219" w:lineRule="auto"/>
              <w:rPr/>
            </w:pPr>
            <w:r>
              <w:rPr>
                <w:spacing w:val="-2"/>
              </w:rPr>
              <w:t>等级要求</w:t>
            </w:r>
          </w:p>
        </w:tc>
        <w:tc>
          <w:tcPr>
            <w:tcW w:w="3750" w:type="dxa"/>
            <w:vAlign w:val="top"/>
          </w:tcPr>
          <w:p>
            <w:pPr>
              <w:pStyle w:val="TableText"/>
              <w:ind w:left="1725"/>
              <w:spacing w:before="101" w:line="220" w:lineRule="auto"/>
              <w:rPr/>
            </w:pPr>
            <w:r>
              <w:rPr>
                <w:spacing w:val="6"/>
              </w:rPr>
              <w:t>实例</w:t>
            </w:r>
          </w:p>
        </w:tc>
      </w:tr>
      <w:tr>
        <w:trPr>
          <w:trHeight w:val="599" w:hRule="atLeast"/>
        </w:trPr>
        <w:tc>
          <w:tcPr>
            <w:tcW w:w="734" w:type="dxa"/>
            <w:vAlign w:val="top"/>
          </w:tcPr>
          <w:p>
            <w:pPr>
              <w:pStyle w:val="TableText"/>
              <w:ind w:left="244"/>
              <w:spacing w:before="268" w:line="183" w:lineRule="auto"/>
              <w:rPr/>
            </w:pPr>
            <w:r>
              <w:rPr>
                <w:spacing w:val="-2"/>
              </w:rPr>
              <w:t>2.4</w:t>
            </w:r>
          </w:p>
        </w:tc>
        <w:tc>
          <w:tcPr>
            <w:tcW w:w="3175" w:type="dxa"/>
            <w:vAlign w:val="top"/>
          </w:tcPr>
          <w:p>
            <w:pPr>
              <w:pStyle w:val="TableText"/>
              <w:ind w:left="301"/>
              <w:spacing w:before="230" w:line="219" w:lineRule="auto"/>
              <w:rPr/>
            </w:pPr>
            <w:r>
              <w:rPr>
                <w:spacing w:val="-1"/>
              </w:rPr>
              <w:t>建立并遵循处置过程，以解决异常情况</w:t>
            </w:r>
          </w:p>
        </w:tc>
        <w:tc>
          <w:tcPr>
            <w:tcW w:w="3750" w:type="dxa"/>
            <w:vAlign w:val="top"/>
          </w:tcPr>
          <w:p>
            <w:pPr>
              <w:pStyle w:val="TableText"/>
              <w:ind w:left="265"/>
              <w:spacing w:before="110" w:line="220" w:lineRule="auto"/>
              <w:rPr/>
            </w:pPr>
            <w:r>
              <w:rPr>
                <w:spacing w:val="1"/>
              </w:rPr>
              <w:t>●风险处置计划</w:t>
            </w:r>
          </w:p>
          <w:p>
            <w:pPr>
              <w:pStyle w:val="TableText"/>
              <w:ind w:left="265"/>
              <w:spacing w:before="90" w:line="219" w:lineRule="auto"/>
              <w:rPr/>
            </w:pPr>
            <w:r>
              <w:rPr/>
              <w:t>●数据备份和恢复的风险缓解规划</w:t>
            </w:r>
          </w:p>
        </w:tc>
      </w:tr>
    </w:tbl>
    <w:p>
      <w:pPr>
        <w:ind w:left="565"/>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250" w:right="75" w:firstLine="419"/>
        <w:spacing w:before="70" w:line="242" w:lineRule="auto"/>
        <w:rPr>
          <w:rFonts w:ascii="SimSun" w:hAnsi="SimSun" w:eastAsia="SimSun" w:cs="SimSun"/>
          <w:sz w:val="21"/>
          <w:szCs w:val="21"/>
        </w:rPr>
      </w:pPr>
      <w:r>
        <w:rPr>
          <w:rFonts w:ascii="SimSun" w:hAnsi="SimSun" w:eastAsia="SimSun" w:cs="SimSun"/>
          <w:sz w:val="21"/>
          <w:szCs w:val="21"/>
          <w:spacing w:val="6"/>
        </w:rPr>
        <w:t>组织需要有信心对其系统进行有效管理，通过实施风</w:t>
      </w:r>
      <w:r>
        <w:rPr>
          <w:rFonts w:ascii="SimSun" w:hAnsi="SimSun" w:eastAsia="SimSun" w:cs="SimSun"/>
          <w:sz w:val="21"/>
          <w:szCs w:val="21"/>
          <w:spacing w:val="5"/>
        </w:rPr>
        <w:t>险事件(包括负载中断或</w:t>
      </w:r>
      <w:r>
        <w:rPr>
          <w:rFonts w:ascii="SimSun" w:hAnsi="SimSun" w:eastAsia="SimSun" w:cs="SimSun"/>
          <w:sz w:val="21"/>
          <w:szCs w:val="21"/>
        </w:rPr>
        <w:t xml:space="preserve"> </w:t>
      </w:r>
      <w:r>
        <w:rPr>
          <w:rFonts w:ascii="SimSun" w:hAnsi="SimSun" w:eastAsia="SimSun" w:cs="SimSun"/>
          <w:sz w:val="21"/>
          <w:szCs w:val="21"/>
          <w:spacing w:val="4"/>
        </w:rPr>
        <w:t>数据验证失败等)处置计划来保持数据的可用性和完整性。</w:t>
      </w:r>
    </w:p>
    <w:p>
      <w:pPr>
        <w:spacing w:line="127" w:lineRule="exact"/>
        <w:rPr/>
      </w:pPr>
      <w:r/>
    </w:p>
    <w:tbl>
      <w:tblPr>
        <w:tblStyle w:val="TableNormal"/>
        <w:tblW w:w="766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60"/>
      </w:tblGrid>
      <w:tr>
        <w:trPr>
          <w:trHeight w:val="353" w:hRule="atLeast"/>
        </w:trPr>
        <w:tc>
          <w:tcPr>
            <w:tcW w:w="734" w:type="dxa"/>
            <w:vAlign w:val="top"/>
          </w:tcPr>
          <w:p>
            <w:pPr>
              <w:pStyle w:val="TableText"/>
              <w:ind w:left="205"/>
              <w:spacing w:before="102" w:line="221" w:lineRule="auto"/>
              <w:rPr/>
            </w:pPr>
            <w:r>
              <w:rPr>
                <w:spacing w:val="-2"/>
              </w:rPr>
              <w:t>序号</w:t>
            </w:r>
          </w:p>
        </w:tc>
        <w:tc>
          <w:tcPr>
            <w:tcW w:w="3166" w:type="dxa"/>
            <w:vAlign w:val="top"/>
          </w:tcPr>
          <w:p>
            <w:pPr>
              <w:pStyle w:val="TableText"/>
              <w:ind w:left="118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1446" w:hRule="atLeast"/>
        </w:trPr>
        <w:tc>
          <w:tcPr>
            <w:tcW w:w="734" w:type="dxa"/>
            <w:vAlign w:val="top"/>
          </w:tcPr>
          <w:p>
            <w:pPr>
              <w:spacing w:line="317" w:lineRule="auto"/>
              <w:rPr>
                <w:rFonts w:ascii="Arial"/>
                <w:sz w:val="21"/>
              </w:rPr>
            </w:pPr>
            <w:r/>
          </w:p>
          <w:p>
            <w:pPr>
              <w:spacing w:line="317" w:lineRule="auto"/>
              <w:rPr>
                <w:rFonts w:ascii="Arial"/>
                <w:sz w:val="21"/>
              </w:rPr>
            </w:pPr>
            <w:r/>
          </w:p>
          <w:p>
            <w:pPr>
              <w:pStyle w:val="TableText"/>
              <w:ind w:left="245"/>
              <w:spacing w:before="49" w:line="183" w:lineRule="auto"/>
              <w:rPr/>
            </w:pPr>
            <w:r>
              <w:rPr>
                <w:spacing w:val="-2"/>
              </w:rPr>
              <w:t>2.5</w:t>
            </w:r>
          </w:p>
        </w:tc>
        <w:tc>
          <w:tcPr>
            <w:tcW w:w="3166" w:type="dxa"/>
            <w:vAlign w:val="top"/>
          </w:tcPr>
          <w:p>
            <w:pPr>
              <w:spacing w:line="476" w:lineRule="auto"/>
              <w:rPr>
                <w:rFonts w:ascii="Arial"/>
                <w:sz w:val="21"/>
              </w:rPr>
            </w:pPr>
            <w:r/>
          </w:p>
          <w:p>
            <w:pPr>
              <w:pStyle w:val="TableText"/>
              <w:ind w:left="121" w:right="194" w:firstLine="149"/>
              <w:spacing w:before="49" w:line="281" w:lineRule="auto"/>
              <w:rPr/>
            </w:pPr>
            <w:r>
              <w:rPr>
                <w:spacing w:val="-1"/>
              </w:rPr>
              <w:t>实施集成验证并确保将架构和接口规格要</w:t>
            </w:r>
            <w:r>
              <w:rPr>
                <w:spacing w:val="7"/>
              </w:rPr>
              <w:t xml:space="preserve"> </w:t>
            </w:r>
            <w:r>
              <w:rPr>
                <w:spacing w:val="-1"/>
              </w:rPr>
              <w:t>求形成文件，并在发布之前满足这些规范</w:t>
            </w:r>
          </w:p>
        </w:tc>
        <w:tc>
          <w:tcPr>
            <w:tcW w:w="3760" w:type="dxa"/>
            <w:vAlign w:val="top"/>
          </w:tcPr>
          <w:p>
            <w:pPr>
              <w:pStyle w:val="TableText"/>
              <w:ind w:left="265"/>
              <w:spacing w:before="98" w:line="219" w:lineRule="auto"/>
              <w:rPr/>
            </w:pPr>
            <w:r>
              <w:rPr>
                <w:spacing w:val="1"/>
              </w:rPr>
              <w:t>●数据集成标准</w:t>
            </w:r>
          </w:p>
          <w:p>
            <w:pPr>
              <w:pStyle w:val="TableText"/>
              <w:ind w:left="265"/>
              <w:spacing w:before="112" w:line="220" w:lineRule="auto"/>
              <w:rPr/>
            </w:pPr>
            <w:r>
              <w:rPr>
                <w:spacing w:val="1"/>
              </w:rPr>
              <w:t>●验证与确认计划</w:t>
            </w:r>
          </w:p>
          <w:p>
            <w:pPr>
              <w:pStyle w:val="TableText"/>
              <w:ind w:left="265"/>
              <w:spacing w:before="110" w:line="219" w:lineRule="auto"/>
              <w:rPr/>
            </w:pPr>
            <w:r>
              <w:rPr/>
              <w:t>●集成测试环境</w:t>
            </w:r>
          </w:p>
          <w:p>
            <w:pPr>
              <w:pStyle w:val="TableText"/>
              <w:ind w:left="265"/>
              <w:spacing w:before="101" w:line="219" w:lineRule="auto"/>
              <w:rPr/>
            </w:pPr>
            <w:r>
              <w:rPr>
                <w:spacing w:val="2"/>
              </w:rPr>
              <w:t>●应用程序编程接口</w:t>
            </w:r>
          </w:p>
          <w:p>
            <w:pPr>
              <w:pStyle w:val="TableText"/>
              <w:ind w:left="265"/>
              <w:spacing w:before="102" w:line="219" w:lineRule="auto"/>
              <w:rPr/>
            </w:pPr>
            <w:r>
              <w:rPr/>
              <w:t>●数据集成政策</w:t>
            </w:r>
          </w:p>
        </w:tc>
      </w:tr>
    </w:tbl>
    <w:p>
      <w:pPr>
        <w:ind w:left="565"/>
        <w:spacing w:before="184" w:line="219" w:lineRule="auto"/>
        <w:rPr>
          <w:rFonts w:ascii="SimSun" w:hAnsi="SimSun" w:eastAsia="SimSun" w:cs="SimSun"/>
          <w:sz w:val="21"/>
          <w:szCs w:val="21"/>
        </w:rPr>
      </w:pPr>
      <w:r>
        <w:rPr>
          <w:rFonts w:ascii="SimSun" w:hAnsi="SimSun" w:eastAsia="SimSun" w:cs="SimSun"/>
          <w:sz w:val="21"/>
          <w:szCs w:val="21"/>
          <w:spacing w:val="2"/>
        </w:rPr>
        <w:t>【成熟度等级说明】</w:t>
      </w:r>
    </w:p>
    <w:p>
      <w:pPr>
        <w:ind w:left="299" w:right="51" w:firstLine="370"/>
        <w:spacing w:before="48" w:line="267" w:lineRule="auto"/>
        <w:rPr>
          <w:rFonts w:ascii="SimSun" w:hAnsi="SimSun" w:eastAsia="SimSun" w:cs="SimSun"/>
          <w:sz w:val="21"/>
          <w:szCs w:val="21"/>
        </w:rPr>
      </w:pP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Programming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Interface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应用程序编程接口)是一些预先定义</w:t>
      </w:r>
      <w:r>
        <w:rPr>
          <w:rFonts w:ascii="SimSun" w:hAnsi="SimSun" w:eastAsia="SimSun" w:cs="SimSun"/>
          <w:sz w:val="21"/>
          <w:szCs w:val="21"/>
        </w:rPr>
        <w:t xml:space="preserve"> </w:t>
      </w:r>
      <w:r>
        <w:rPr>
          <w:rFonts w:ascii="SimSun" w:hAnsi="SimSun" w:eastAsia="SimSun" w:cs="SimSun"/>
          <w:sz w:val="21"/>
          <w:szCs w:val="21"/>
          <w:spacing w:val="1"/>
        </w:rPr>
        <w:t>的函数，目的是提供应用程序与开发人员基于某软件或硬件的以访问一组例程的能</w:t>
      </w:r>
      <w:r>
        <w:rPr>
          <w:rFonts w:ascii="SimSun" w:hAnsi="SimSun" w:eastAsia="SimSun" w:cs="SimSun"/>
          <w:sz w:val="21"/>
          <w:szCs w:val="21"/>
          <w:spacing w:val="4"/>
        </w:rPr>
        <w:t xml:space="preserve"> </w:t>
      </w:r>
      <w:r>
        <w:rPr>
          <w:rFonts w:ascii="SimSun" w:hAnsi="SimSun" w:eastAsia="SimSun" w:cs="SimSun"/>
          <w:sz w:val="21"/>
          <w:szCs w:val="21"/>
          <w:spacing w:val="1"/>
        </w:rPr>
        <w:t>力，而又无须访问源码，或理解内部工作机制的细节。</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本身是抽象的，它仅定</w:t>
      </w:r>
      <w:r>
        <w:rPr>
          <w:rFonts w:ascii="SimSun" w:hAnsi="SimSun" w:eastAsia="SimSun" w:cs="SimSun"/>
          <w:sz w:val="21"/>
          <w:szCs w:val="21"/>
          <w:spacing w:val="3"/>
        </w:rPr>
        <w:t xml:space="preserve"> </w:t>
      </w:r>
      <w:r>
        <w:rPr>
          <w:rFonts w:ascii="SimSun" w:hAnsi="SimSun" w:eastAsia="SimSun" w:cs="SimSun"/>
          <w:sz w:val="21"/>
          <w:szCs w:val="21"/>
          <w:spacing w:val="-1"/>
        </w:rPr>
        <w:t>义了一个接口，而不涉及应用程序如何实现的细节。API 文档则是对</w:t>
      </w:r>
      <w:r>
        <w:rPr>
          <w:rFonts w:ascii="SimSun" w:hAnsi="SimSun" w:eastAsia="SimSun" w:cs="SimSun"/>
          <w:sz w:val="21"/>
          <w:szCs w:val="21"/>
          <w:spacing w:val="-32"/>
        </w:rPr>
        <w:t xml:space="preserve"> </w:t>
      </w:r>
      <w:r>
        <w:rPr>
          <w:rFonts w:ascii="SimSun" w:hAnsi="SimSun" w:eastAsia="SimSun" w:cs="SimSun"/>
          <w:sz w:val="21"/>
          <w:szCs w:val="21"/>
          <w:spacing w:val="-1"/>
        </w:rPr>
        <w:t>API 的详细说</w:t>
      </w:r>
      <w:r>
        <w:rPr>
          <w:rFonts w:ascii="SimSun" w:hAnsi="SimSun" w:eastAsia="SimSun" w:cs="SimSun"/>
          <w:sz w:val="21"/>
          <w:szCs w:val="21"/>
        </w:rPr>
        <w:t xml:space="preserve"> </w:t>
      </w:r>
      <w:r>
        <w:rPr>
          <w:rFonts w:ascii="SimSun" w:hAnsi="SimSun" w:eastAsia="SimSun" w:cs="SimSun"/>
          <w:sz w:val="21"/>
          <w:szCs w:val="21"/>
          <w:spacing w:val="2"/>
        </w:rPr>
        <w:t>明，用于用户的二次开发，或者运行维护。组织</w:t>
      </w:r>
      <w:r>
        <w:rPr>
          <w:rFonts w:ascii="SimSun" w:hAnsi="SimSun" w:eastAsia="SimSun" w:cs="SimSun"/>
          <w:sz w:val="21"/>
          <w:szCs w:val="21"/>
          <w:spacing w:val="1"/>
        </w:rPr>
        <w:t>应建立数据集成的技术文档，通过</w:t>
      </w:r>
      <w:r>
        <w:rPr>
          <w:rFonts w:ascii="SimSun" w:hAnsi="SimSun" w:eastAsia="SimSun" w:cs="SimSun"/>
          <w:sz w:val="21"/>
          <w:szCs w:val="21"/>
        </w:rPr>
        <w:t xml:space="preserve"> </w:t>
      </w:r>
      <w:r>
        <w:rPr>
          <w:rFonts w:ascii="SimSun" w:hAnsi="SimSun" w:eastAsia="SimSun" w:cs="SimSun"/>
          <w:sz w:val="21"/>
          <w:szCs w:val="21"/>
          <w:spacing w:val="-3"/>
        </w:rPr>
        <w:t>实施数据集成验证确保达到规范要求。</w:t>
      </w:r>
    </w:p>
    <w:p>
      <w:pPr>
        <w:ind w:left="670"/>
        <w:spacing w:before="75"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3: </w:t>
      </w:r>
      <w:r>
        <w:rPr>
          <w:rFonts w:ascii="SimHei" w:hAnsi="SimHei" w:eastAsia="SimHei" w:cs="SimHei"/>
          <w:sz w:val="21"/>
          <w:szCs w:val="21"/>
          <w:b/>
          <w:bCs/>
          <w:spacing w:val="-2"/>
        </w:rPr>
        <w:t>定义级</w:t>
      </w:r>
    </w:p>
    <w:p>
      <w:pPr>
        <w:spacing w:line="120" w:lineRule="exact"/>
        <w:rPr/>
      </w:pPr>
      <w:r/>
    </w:p>
    <w:tbl>
      <w:tblPr>
        <w:tblStyle w:val="TableNormal"/>
        <w:tblW w:w="765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5"/>
        <w:gridCol w:w="3760"/>
      </w:tblGrid>
      <w:tr>
        <w:trPr>
          <w:trHeight w:val="341" w:hRule="atLeast"/>
        </w:trPr>
        <w:tc>
          <w:tcPr>
            <w:tcW w:w="734" w:type="dxa"/>
            <w:vAlign w:val="top"/>
          </w:tcPr>
          <w:p>
            <w:pPr>
              <w:pStyle w:val="TableText"/>
              <w:ind w:left="204"/>
              <w:spacing w:before="102" w:line="221" w:lineRule="auto"/>
              <w:rPr/>
            </w:pPr>
            <w:r>
              <w:rPr>
                <w:spacing w:val="-2"/>
              </w:rPr>
              <w:t>序号</w:t>
            </w:r>
          </w:p>
        </w:tc>
        <w:tc>
          <w:tcPr>
            <w:tcW w:w="3165" w:type="dxa"/>
            <w:vAlign w:val="top"/>
          </w:tcPr>
          <w:p>
            <w:pPr>
              <w:pStyle w:val="TableText"/>
              <w:ind w:left="118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98" w:hRule="atLeast"/>
        </w:trPr>
        <w:tc>
          <w:tcPr>
            <w:tcW w:w="734" w:type="dxa"/>
            <w:vAlign w:val="top"/>
          </w:tcPr>
          <w:p>
            <w:pPr>
              <w:pStyle w:val="TableText"/>
              <w:ind w:left="244"/>
              <w:spacing w:before="268" w:line="184" w:lineRule="auto"/>
              <w:rPr/>
            </w:pPr>
            <w:r>
              <w:rPr>
                <w:spacing w:val="-2"/>
              </w:rPr>
              <w:t>3.1</w:t>
            </w:r>
          </w:p>
        </w:tc>
        <w:tc>
          <w:tcPr>
            <w:tcW w:w="3165" w:type="dxa"/>
            <w:vAlign w:val="top"/>
          </w:tcPr>
          <w:p>
            <w:pPr>
              <w:pStyle w:val="TableText"/>
              <w:ind w:left="111" w:right="191" w:firstLine="159"/>
              <w:spacing w:before="99" w:line="282" w:lineRule="auto"/>
              <w:rPr/>
            </w:pPr>
            <w:r>
              <w:rPr>
                <w:spacing w:val="-1"/>
              </w:rPr>
              <w:t>组织应遵循一套标准的实践方法和规则进</w:t>
            </w:r>
            <w:r>
              <w:rPr>
                <w:spacing w:val="9"/>
              </w:rPr>
              <w:t xml:space="preserve"> </w:t>
            </w:r>
            <w:r>
              <w:rPr>
                <w:spacing w:val="-2"/>
              </w:rPr>
              <w:t>行数据集成活动</w:t>
            </w:r>
          </w:p>
        </w:tc>
        <w:tc>
          <w:tcPr>
            <w:tcW w:w="3760" w:type="dxa"/>
            <w:vAlign w:val="top"/>
          </w:tcPr>
          <w:p>
            <w:pPr>
              <w:pStyle w:val="TableText"/>
              <w:ind w:left="275"/>
              <w:spacing w:before="100" w:line="219" w:lineRule="auto"/>
              <w:rPr/>
            </w:pPr>
            <w:r>
              <w:rPr>
                <w:spacing w:val="1"/>
              </w:rPr>
              <w:t>●数据集成标准</w:t>
            </w:r>
          </w:p>
          <w:p>
            <w:pPr>
              <w:pStyle w:val="TableText"/>
              <w:ind w:left="275"/>
              <w:spacing w:before="101" w:line="219" w:lineRule="auto"/>
              <w:rPr/>
            </w:pPr>
            <w:r>
              <w:rPr/>
              <w:t>●数据集成实践方法</w:t>
            </w:r>
          </w:p>
        </w:tc>
      </w:tr>
    </w:tbl>
    <w:p>
      <w:pPr>
        <w:ind w:left="565"/>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99" w:right="108" w:firstLine="370"/>
        <w:spacing w:before="61" w:line="250" w:lineRule="auto"/>
        <w:rPr>
          <w:rFonts w:ascii="SimSun" w:hAnsi="SimSun" w:eastAsia="SimSun" w:cs="SimSun"/>
          <w:sz w:val="21"/>
          <w:szCs w:val="21"/>
        </w:rPr>
      </w:pPr>
      <w:r>
        <w:rPr>
          <w:rFonts w:ascii="SimSun" w:hAnsi="SimSun" w:eastAsia="SimSun" w:cs="SimSun"/>
          <w:sz w:val="21"/>
          <w:szCs w:val="21"/>
          <w:spacing w:val="2"/>
        </w:rPr>
        <w:t>在建立了数据集成的相关实践方法，比如对集成</w:t>
      </w:r>
      <w:r>
        <w:rPr>
          <w:rFonts w:ascii="SimSun" w:hAnsi="SimSun" w:eastAsia="SimSun" w:cs="SimSun"/>
          <w:sz w:val="21"/>
          <w:szCs w:val="21"/>
          <w:spacing w:val="1"/>
        </w:rPr>
        <w:t>模式、集成建模、集成架构的</w:t>
      </w:r>
      <w:r>
        <w:rPr>
          <w:rFonts w:ascii="SimSun" w:hAnsi="SimSun" w:eastAsia="SimSun" w:cs="SimSun"/>
          <w:sz w:val="21"/>
          <w:szCs w:val="21"/>
        </w:rPr>
        <w:t xml:space="preserve"> </w:t>
      </w:r>
      <w:r>
        <w:rPr>
          <w:rFonts w:ascii="SimSun" w:hAnsi="SimSun" w:eastAsia="SimSun" w:cs="SimSun"/>
          <w:sz w:val="21"/>
          <w:szCs w:val="21"/>
          <w:spacing w:val="-1"/>
        </w:rPr>
        <w:t>标准化操作模式和规则后，组织应按要求执行，以确保达到业务目标。</w:t>
      </w:r>
    </w:p>
    <w:p>
      <w:pPr>
        <w:spacing w:line="117" w:lineRule="exact"/>
        <w:rPr/>
      </w:pPr>
      <w:r/>
    </w:p>
    <w:tbl>
      <w:tblPr>
        <w:tblStyle w:val="TableNormal"/>
        <w:tblW w:w="7650"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50"/>
      </w:tblGrid>
      <w:tr>
        <w:trPr>
          <w:trHeight w:val="341" w:hRule="atLeast"/>
        </w:trPr>
        <w:tc>
          <w:tcPr>
            <w:tcW w:w="734" w:type="dxa"/>
            <w:vAlign w:val="top"/>
          </w:tcPr>
          <w:p>
            <w:pPr>
              <w:pStyle w:val="TableText"/>
              <w:ind w:left="204"/>
              <w:spacing w:before="102" w:line="221" w:lineRule="auto"/>
              <w:rPr/>
            </w:pPr>
            <w:r>
              <w:rPr>
                <w:spacing w:val="-2"/>
              </w:rPr>
              <w:t>序号</w:t>
            </w:r>
          </w:p>
        </w:tc>
        <w:tc>
          <w:tcPr>
            <w:tcW w:w="3166" w:type="dxa"/>
            <w:vAlign w:val="top"/>
          </w:tcPr>
          <w:p>
            <w:pPr>
              <w:pStyle w:val="TableText"/>
              <w:ind w:left="117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609" w:hRule="atLeast"/>
        </w:trPr>
        <w:tc>
          <w:tcPr>
            <w:tcW w:w="734" w:type="dxa"/>
            <w:vAlign w:val="top"/>
          </w:tcPr>
          <w:p>
            <w:pPr>
              <w:pStyle w:val="TableText"/>
              <w:ind w:left="244"/>
              <w:spacing w:before="268" w:line="183" w:lineRule="auto"/>
              <w:rPr/>
            </w:pPr>
            <w:r>
              <w:rPr>
                <w:spacing w:val="-2"/>
              </w:rPr>
              <w:t>3.2</w:t>
            </w:r>
          </w:p>
        </w:tc>
        <w:tc>
          <w:tcPr>
            <w:tcW w:w="3166" w:type="dxa"/>
            <w:vAlign w:val="top"/>
          </w:tcPr>
          <w:p>
            <w:pPr>
              <w:pStyle w:val="TableText"/>
              <w:ind w:left="121" w:right="59" w:firstLine="129"/>
              <w:spacing w:before="110" w:line="288" w:lineRule="auto"/>
              <w:rPr/>
            </w:pPr>
            <w:r>
              <w:rPr>
                <w:spacing w:val="-1"/>
              </w:rPr>
              <w:t>质量检查被定义为组织集成标准的一部分，</w:t>
            </w:r>
            <w:r>
              <w:rPr>
                <w:spacing w:val="13"/>
              </w:rPr>
              <w:t xml:space="preserve"> </w:t>
            </w:r>
            <w:r>
              <w:rPr>
                <w:spacing w:val="-1"/>
              </w:rPr>
              <w:t>并作为数据集成过程的一部分执行</w:t>
            </w:r>
          </w:p>
        </w:tc>
        <w:tc>
          <w:tcPr>
            <w:tcW w:w="3750" w:type="dxa"/>
            <w:vAlign w:val="top"/>
          </w:tcPr>
          <w:p>
            <w:pPr>
              <w:pStyle w:val="TableText"/>
              <w:ind w:left="255"/>
              <w:spacing w:before="110" w:line="219" w:lineRule="auto"/>
              <w:rPr/>
            </w:pPr>
            <w:r>
              <w:rPr>
                <w:spacing w:val="1"/>
              </w:rPr>
              <w:t>●数据集成标准</w:t>
            </w:r>
          </w:p>
          <w:p>
            <w:pPr>
              <w:pStyle w:val="TableText"/>
              <w:ind w:left="255"/>
              <w:spacing w:before="102" w:line="219" w:lineRule="auto"/>
              <w:rPr/>
            </w:pPr>
            <w:r>
              <w:rPr/>
              <w:t>●质量检查目标</w:t>
            </w:r>
          </w:p>
        </w:tc>
      </w:tr>
    </w:tbl>
    <w:p>
      <w:pPr>
        <w:pStyle w:val="BodyText"/>
        <w:rPr/>
      </w:pPr>
      <w:r/>
    </w:p>
    <w:p>
      <w:pPr>
        <w:sectPr>
          <w:footerReference w:type="default" r:id="rId321"/>
          <w:pgSz w:w="8870" w:h="13400"/>
          <w:pgMar w:top="400" w:right="404" w:bottom="528" w:left="489" w:header="0" w:footer="319" w:gutter="0"/>
        </w:sectPr>
        <w:rPr/>
      </w:pPr>
    </w:p>
    <w:p>
      <w:pPr>
        <w:ind w:left="5503"/>
        <w:spacing w:before="234" w:line="219" w:lineRule="auto"/>
        <w:rPr>
          <w:rFonts w:ascii="SimSun" w:hAnsi="SimSun" w:eastAsia="SimSun" w:cs="SimSun"/>
          <w:sz w:val="21"/>
          <w:szCs w:val="21"/>
        </w:rPr>
      </w:pPr>
      <w:r>
        <w:rPr>
          <w:rFonts w:ascii="SimSun" w:hAnsi="SimSun" w:eastAsia="SimSun" w:cs="SimSun"/>
          <w:sz w:val="21"/>
          <w:szCs w:val="21"/>
          <w:b/>
          <w:bCs/>
          <w:spacing w:val="-3"/>
        </w:rPr>
        <w:t>第7章■云端数据操作■</w:t>
      </w:r>
    </w:p>
    <w:p>
      <w:pPr>
        <w:pStyle w:val="BodyText"/>
        <w:spacing w:line="384" w:lineRule="auto"/>
        <w:rPr/>
      </w:pPr>
      <w:r/>
    </w:p>
    <w:p>
      <w:pPr>
        <w:ind w:left="314"/>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right="229" w:firstLine="419"/>
        <w:spacing w:before="59" w:line="255" w:lineRule="auto"/>
        <w:rPr>
          <w:rFonts w:ascii="SimSun" w:hAnsi="SimSun" w:eastAsia="SimSun" w:cs="SimSun"/>
          <w:sz w:val="21"/>
          <w:szCs w:val="21"/>
        </w:rPr>
      </w:pPr>
      <w:r>
        <w:rPr>
          <w:rFonts w:ascii="SimSun" w:hAnsi="SimSun" w:eastAsia="SimSun" w:cs="SimSun"/>
          <w:sz w:val="21"/>
          <w:szCs w:val="21"/>
          <w:spacing w:val="-2"/>
        </w:rPr>
        <w:t>质量检查是数据集成过程中的重要环节。例如，</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ETL  </w:t>
      </w:r>
      <w:r>
        <w:rPr>
          <w:rFonts w:ascii="SimSun" w:hAnsi="SimSun" w:eastAsia="SimSun" w:cs="SimSun"/>
          <w:sz w:val="21"/>
          <w:szCs w:val="21"/>
          <w:spacing w:val="-3"/>
        </w:rPr>
        <w:t>过程应执行基本级别的质</w:t>
      </w:r>
      <w:r>
        <w:rPr>
          <w:rFonts w:ascii="SimSun" w:hAnsi="SimSun" w:eastAsia="SimSun" w:cs="SimSun"/>
          <w:sz w:val="21"/>
          <w:szCs w:val="21"/>
        </w:rPr>
        <w:t xml:space="preserve"> </w:t>
      </w:r>
      <w:r>
        <w:rPr>
          <w:rFonts w:ascii="SimSun" w:hAnsi="SimSun" w:eastAsia="SimSun" w:cs="SimSun"/>
          <w:sz w:val="21"/>
          <w:szCs w:val="21"/>
          <w:spacing w:val="2"/>
        </w:rPr>
        <w:t>量控制检查，特别是对于后续的变更数据采集载入，以确保集成的数据满足由</w:t>
      </w:r>
      <w:r>
        <w:rPr>
          <w:rFonts w:ascii="SimSun" w:hAnsi="SimSun" w:eastAsia="SimSun" w:cs="SimSun"/>
          <w:sz w:val="21"/>
          <w:szCs w:val="21"/>
          <w:spacing w:val="1"/>
        </w:rPr>
        <w:t>组织</w:t>
      </w:r>
      <w:r>
        <w:rPr>
          <w:rFonts w:ascii="SimSun" w:hAnsi="SimSun" w:eastAsia="SimSun" w:cs="SimSun"/>
          <w:sz w:val="21"/>
          <w:szCs w:val="21"/>
        </w:rPr>
        <w:t xml:space="preserve"> </w:t>
      </w:r>
      <w:r>
        <w:rPr>
          <w:rFonts w:ascii="SimSun" w:hAnsi="SimSun" w:eastAsia="SimSun" w:cs="SimSun"/>
          <w:sz w:val="21"/>
          <w:szCs w:val="21"/>
          <w:spacing w:val="1"/>
        </w:rPr>
        <w:t>定义的质量属性。这些检查应定义在异常状态下数据</w:t>
      </w:r>
      <w:r>
        <w:rPr>
          <w:rFonts w:ascii="SimSun" w:hAnsi="SimSun" w:eastAsia="SimSun" w:cs="SimSun"/>
          <w:sz w:val="21"/>
          <w:szCs w:val="21"/>
        </w:rPr>
        <w:t>被拒绝、标记或排序的标准。</w:t>
      </w:r>
    </w:p>
    <w:p>
      <w:pPr>
        <w:ind w:right="224" w:firstLine="419"/>
        <w:spacing w:before="70" w:line="255" w:lineRule="auto"/>
        <w:rPr>
          <w:rFonts w:ascii="SimSun" w:hAnsi="SimSun" w:eastAsia="SimSun" w:cs="SimSun"/>
          <w:sz w:val="21"/>
          <w:szCs w:val="21"/>
        </w:rPr>
      </w:pPr>
      <w:r>
        <w:rPr>
          <w:rFonts w:ascii="SimSun" w:hAnsi="SimSun" w:eastAsia="SimSun" w:cs="SimSun"/>
          <w:sz w:val="21"/>
          <w:szCs w:val="21"/>
          <w:spacing w:val="2"/>
        </w:rPr>
        <w:t>在集成时未能执行检查，可能会导致数据长时间未知并在后续需要执行更多的</w:t>
      </w:r>
      <w:r>
        <w:rPr>
          <w:rFonts w:ascii="SimSun" w:hAnsi="SimSun" w:eastAsia="SimSun" w:cs="SimSun"/>
          <w:sz w:val="21"/>
          <w:szCs w:val="21"/>
          <w:spacing w:val="7"/>
        </w:rPr>
        <w:t xml:space="preserve"> </w:t>
      </w:r>
      <w:r>
        <w:rPr>
          <w:rFonts w:ascii="SimSun" w:hAnsi="SimSun" w:eastAsia="SimSun" w:cs="SimSun"/>
          <w:sz w:val="21"/>
          <w:szCs w:val="21"/>
          <w:spacing w:val="-2"/>
        </w:rPr>
        <w:t>清理工作问题。组织可能执行验证以下任务。</w:t>
      </w:r>
    </w:p>
    <w:p>
      <w:pPr>
        <w:ind w:left="419"/>
        <w:spacing w:before="50" w:line="219" w:lineRule="auto"/>
        <w:rPr>
          <w:rFonts w:ascii="SimSun" w:hAnsi="SimSun" w:eastAsia="SimSun" w:cs="SimSun"/>
          <w:sz w:val="21"/>
          <w:szCs w:val="21"/>
        </w:rPr>
      </w:pPr>
      <w:r>
        <w:rPr>
          <w:rFonts w:ascii="SimSun" w:hAnsi="SimSun" w:eastAsia="SimSun" w:cs="SimSun"/>
          <w:sz w:val="21"/>
          <w:szCs w:val="21"/>
          <w:spacing w:val="-2"/>
        </w:rPr>
        <w:t>●数据是被分析的；</w:t>
      </w:r>
    </w:p>
    <w:p>
      <w:pPr>
        <w:ind w:left="419"/>
        <w:spacing w:before="61" w:line="219" w:lineRule="auto"/>
        <w:rPr>
          <w:rFonts w:ascii="SimSun" w:hAnsi="SimSun" w:eastAsia="SimSun" w:cs="SimSun"/>
          <w:sz w:val="21"/>
          <w:szCs w:val="21"/>
        </w:rPr>
      </w:pPr>
      <w:r>
        <w:rPr>
          <w:rFonts w:ascii="SimSun" w:hAnsi="SimSun" w:eastAsia="SimSun" w:cs="SimSun"/>
          <w:sz w:val="21"/>
          <w:szCs w:val="21"/>
          <w:spacing w:val="-1"/>
        </w:rPr>
        <w:t>●根据属性，数据是完整和准确的；</w:t>
      </w:r>
    </w:p>
    <w:p>
      <w:pPr>
        <w:ind w:left="419"/>
        <w:spacing w:before="51" w:line="219" w:lineRule="auto"/>
        <w:rPr>
          <w:rFonts w:ascii="SimSun" w:hAnsi="SimSun" w:eastAsia="SimSun" w:cs="SimSun"/>
          <w:sz w:val="21"/>
          <w:szCs w:val="21"/>
        </w:rPr>
      </w:pPr>
      <w:r>
        <w:rPr>
          <w:rFonts w:ascii="SimSun" w:hAnsi="SimSun" w:eastAsia="SimSun" w:cs="SimSun"/>
          <w:sz w:val="21"/>
          <w:szCs w:val="21"/>
          <w:spacing w:val="1"/>
        </w:rPr>
        <w:t>●数据丢失处理的逻辑是建立的；</w:t>
      </w:r>
    </w:p>
    <w:p>
      <w:pPr>
        <w:ind w:left="419"/>
        <w:spacing w:before="81" w:line="219" w:lineRule="auto"/>
        <w:rPr>
          <w:rFonts w:ascii="SimSun" w:hAnsi="SimSun" w:eastAsia="SimSun" w:cs="SimSun"/>
          <w:sz w:val="21"/>
          <w:szCs w:val="21"/>
        </w:rPr>
      </w:pPr>
      <w:r>
        <w:rPr>
          <w:rFonts w:ascii="SimSun" w:hAnsi="SimSun" w:eastAsia="SimSun" w:cs="SimSun"/>
          <w:sz w:val="21"/>
          <w:szCs w:val="21"/>
        </w:rPr>
        <w:t>●如果数据不能从首选来源处获取，存在着其他来源；</w:t>
      </w:r>
    </w:p>
    <w:p>
      <w:pPr>
        <w:ind w:left="419"/>
        <w:spacing w:before="69" w:line="218" w:lineRule="auto"/>
        <w:rPr>
          <w:rFonts w:ascii="SimSun" w:hAnsi="SimSun" w:eastAsia="SimSun" w:cs="SimSun"/>
          <w:sz w:val="21"/>
          <w:szCs w:val="21"/>
        </w:rPr>
      </w:pPr>
      <w:r>
        <w:rPr>
          <w:rFonts w:ascii="SimSun" w:hAnsi="SimSun" w:eastAsia="SimSun" w:cs="SimSun"/>
          <w:sz w:val="21"/>
          <w:szCs w:val="21"/>
        </w:rPr>
        <w:t>●生成并监控了数据质量和错误处理报告。</w:t>
      </w:r>
    </w:p>
    <w:p>
      <w:pPr>
        <w:spacing w:line="120" w:lineRule="exact"/>
        <w:rPr/>
      </w:pPr>
      <w:r/>
    </w:p>
    <w:tbl>
      <w:tblPr>
        <w:tblStyle w:val="TableNormal"/>
        <w:tblW w:w="766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5"/>
        <w:gridCol w:w="3770"/>
      </w:tblGrid>
      <w:tr>
        <w:trPr>
          <w:trHeight w:val="352" w:hRule="atLeast"/>
        </w:trPr>
        <w:tc>
          <w:tcPr>
            <w:tcW w:w="734" w:type="dxa"/>
            <w:vAlign w:val="top"/>
          </w:tcPr>
          <w:p>
            <w:pPr>
              <w:pStyle w:val="TableText"/>
              <w:ind w:left="205"/>
              <w:spacing w:before="102" w:line="221" w:lineRule="auto"/>
              <w:rPr/>
            </w:pPr>
            <w:r>
              <w:rPr>
                <w:spacing w:val="-2"/>
              </w:rPr>
              <w:t>序号</w:t>
            </w:r>
          </w:p>
        </w:tc>
        <w:tc>
          <w:tcPr>
            <w:tcW w:w="3165"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888" w:hRule="atLeast"/>
        </w:trPr>
        <w:tc>
          <w:tcPr>
            <w:tcW w:w="734" w:type="dxa"/>
            <w:vAlign w:val="top"/>
          </w:tcPr>
          <w:p>
            <w:pPr>
              <w:spacing w:line="356" w:lineRule="auto"/>
              <w:rPr>
                <w:rFonts w:ascii="Arial"/>
                <w:sz w:val="21"/>
              </w:rPr>
            </w:pPr>
            <w:r/>
          </w:p>
          <w:p>
            <w:pPr>
              <w:pStyle w:val="TableText"/>
              <w:ind w:left="245"/>
              <w:spacing w:before="49" w:line="183" w:lineRule="auto"/>
              <w:rPr/>
            </w:pPr>
            <w:r>
              <w:rPr>
                <w:spacing w:val="-2"/>
              </w:rPr>
              <w:t>3.3</w:t>
            </w:r>
          </w:p>
        </w:tc>
        <w:tc>
          <w:tcPr>
            <w:tcW w:w="3165" w:type="dxa"/>
            <w:vAlign w:val="top"/>
          </w:tcPr>
          <w:p>
            <w:pPr>
              <w:pStyle w:val="TableText"/>
              <w:ind w:left="71" w:firstLine="197"/>
              <w:spacing w:before="89" w:line="311" w:lineRule="auto"/>
              <w:jc w:val="both"/>
              <w:rPr/>
            </w:pPr>
            <w:r>
              <w:rPr>
                <w:spacing w:val="1"/>
              </w:rPr>
              <w:t>建立并遵循标准的过程，以基于使用情况、</w:t>
            </w:r>
            <w:r>
              <w:rPr>
                <w:spacing w:val="16"/>
              </w:rPr>
              <w:t xml:space="preserve"> </w:t>
            </w:r>
            <w:r>
              <w:rPr>
                <w:spacing w:val="-3"/>
              </w:rPr>
              <w:t>要求和选择的触发因素，与业务伙伴一起创建</w:t>
            </w:r>
            <w:r>
              <w:rPr>
                <w:spacing w:val="6"/>
              </w:rPr>
              <w:t xml:space="preserve">  </w:t>
            </w:r>
            <w:r>
              <w:rPr>
                <w:spacing w:val="2"/>
              </w:rPr>
              <w:t>并验证数据优先级规则</w:t>
            </w:r>
          </w:p>
        </w:tc>
        <w:tc>
          <w:tcPr>
            <w:tcW w:w="3770" w:type="dxa"/>
            <w:vAlign w:val="top"/>
          </w:tcPr>
          <w:p>
            <w:pPr>
              <w:spacing w:line="318" w:lineRule="auto"/>
              <w:rPr>
                <w:rFonts w:ascii="Arial"/>
                <w:sz w:val="21"/>
              </w:rPr>
            </w:pPr>
            <w:r/>
          </w:p>
          <w:p>
            <w:pPr>
              <w:pStyle w:val="TableText"/>
              <w:ind w:left="265"/>
              <w:spacing w:before="49" w:line="219" w:lineRule="auto"/>
              <w:rPr/>
            </w:pPr>
            <w:r>
              <w:rPr>
                <w:spacing w:val="1"/>
              </w:rPr>
              <w:t>●数据优先级规则</w:t>
            </w:r>
          </w:p>
        </w:tc>
      </w:tr>
    </w:tbl>
    <w:p>
      <w:pPr>
        <w:ind w:left="314"/>
        <w:spacing w:before="174" w:line="219" w:lineRule="auto"/>
        <w:rPr>
          <w:rFonts w:ascii="SimSun" w:hAnsi="SimSun" w:eastAsia="SimSun" w:cs="SimSun"/>
          <w:sz w:val="21"/>
          <w:szCs w:val="21"/>
        </w:rPr>
      </w:pPr>
      <w:r>
        <w:rPr>
          <w:rFonts w:ascii="SimSun" w:hAnsi="SimSun" w:eastAsia="SimSun" w:cs="SimSun"/>
          <w:sz w:val="21"/>
          <w:szCs w:val="21"/>
        </w:rPr>
        <w:t>【成熟度等级说明】</w:t>
      </w:r>
    </w:p>
    <w:p>
      <w:pPr>
        <w:ind w:right="212" w:firstLine="419"/>
        <w:spacing w:before="60" w:line="269" w:lineRule="auto"/>
        <w:rPr>
          <w:rFonts w:ascii="SimSun" w:hAnsi="SimSun" w:eastAsia="SimSun" w:cs="SimSun"/>
          <w:sz w:val="21"/>
          <w:szCs w:val="21"/>
        </w:rPr>
      </w:pPr>
      <w:r>
        <w:rPr>
          <w:rFonts w:ascii="SimSun" w:hAnsi="SimSun" w:eastAsia="SimSun" w:cs="SimSun"/>
          <w:sz w:val="21"/>
          <w:szCs w:val="21"/>
          <w:spacing w:val="2"/>
        </w:rPr>
        <w:t>通常情况下，多来源有助于组织的数据集成到一个单一的逻辑目的地，比如有 </w:t>
      </w:r>
      <w:r>
        <w:rPr>
          <w:rFonts w:ascii="SimSun" w:hAnsi="SimSun" w:eastAsia="SimSun" w:cs="SimSun"/>
          <w:sz w:val="21"/>
          <w:szCs w:val="21"/>
          <w:spacing w:val="2"/>
        </w:rPr>
        <w:t>助于数据仓库所归属的操作系统。在这些情况下，可以预估一个以上</w:t>
      </w:r>
      <w:r>
        <w:rPr>
          <w:rFonts w:ascii="SimSun" w:hAnsi="SimSun" w:eastAsia="SimSun" w:cs="SimSun"/>
          <w:sz w:val="21"/>
          <w:szCs w:val="21"/>
          <w:spacing w:val="1"/>
        </w:rPr>
        <w:t>的数据来源所</w:t>
      </w:r>
      <w:r>
        <w:rPr>
          <w:rFonts w:ascii="SimSun" w:hAnsi="SimSun" w:eastAsia="SimSun" w:cs="SimSun"/>
          <w:sz w:val="21"/>
          <w:szCs w:val="21"/>
        </w:rPr>
        <w:t xml:space="preserve"> </w:t>
      </w:r>
      <w:r>
        <w:rPr>
          <w:rFonts w:ascii="SimSun" w:hAnsi="SimSun" w:eastAsia="SimSun" w:cs="SimSun"/>
          <w:sz w:val="21"/>
          <w:szCs w:val="21"/>
          <w:spacing w:val="2"/>
        </w:rPr>
        <w:t>提供的数据可能会与来自组织其他来源的数据相同或类似。在实践中，在提供单个</w:t>
      </w:r>
      <w:r>
        <w:rPr>
          <w:rFonts w:ascii="SimSun" w:hAnsi="SimSun" w:eastAsia="SimSun" w:cs="SimSun"/>
          <w:sz w:val="21"/>
          <w:szCs w:val="21"/>
          <w:spacing w:val="15"/>
        </w:rPr>
        <w:t xml:space="preserve"> </w:t>
      </w:r>
      <w:r>
        <w:rPr>
          <w:rFonts w:ascii="SimSun" w:hAnsi="SimSun" w:eastAsia="SimSun" w:cs="SimSun"/>
          <w:sz w:val="21"/>
          <w:szCs w:val="21"/>
        </w:rPr>
        <w:t>存储库的最终</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ETL </w:t>
      </w:r>
      <w:r>
        <w:rPr>
          <w:rFonts w:ascii="SimSun" w:hAnsi="SimSun" w:eastAsia="SimSun" w:cs="SimSun"/>
          <w:sz w:val="21"/>
          <w:szCs w:val="21"/>
        </w:rPr>
        <w:t>过程中，有必要建立和使用优先级和一致性规则，以指导最终的 </w:t>
      </w:r>
      <w:r>
        <w:rPr>
          <w:rFonts w:ascii="SimSun" w:hAnsi="SimSun" w:eastAsia="SimSun" w:cs="SimSun"/>
          <w:sz w:val="21"/>
          <w:szCs w:val="21"/>
          <w:spacing w:val="-9"/>
        </w:rPr>
        <w:t>集成。</w:t>
      </w:r>
    </w:p>
    <w:p>
      <w:pPr>
        <w:spacing w:line="117" w:lineRule="exact"/>
        <w:rPr/>
      </w:pPr>
      <w:r/>
    </w:p>
    <w:tbl>
      <w:tblPr>
        <w:tblStyle w:val="TableNormal"/>
        <w:tblW w:w="766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70"/>
      </w:tblGrid>
      <w:tr>
        <w:trPr>
          <w:trHeight w:val="351" w:hRule="atLeast"/>
        </w:trPr>
        <w:tc>
          <w:tcPr>
            <w:tcW w:w="734" w:type="dxa"/>
            <w:vAlign w:val="top"/>
          </w:tcPr>
          <w:p>
            <w:pPr>
              <w:pStyle w:val="TableText"/>
              <w:ind w:left="205"/>
              <w:spacing w:before="102" w:line="221" w:lineRule="auto"/>
              <w:rPr/>
            </w:pPr>
            <w:r>
              <w:rPr>
                <w:spacing w:val="-2"/>
              </w:rPr>
              <w:t>序号</w:t>
            </w:r>
          </w:p>
        </w:tc>
        <w:tc>
          <w:tcPr>
            <w:tcW w:w="315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4"/>
              <w:spacing w:before="101" w:line="220" w:lineRule="auto"/>
              <w:rPr/>
            </w:pPr>
            <w:r>
              <w:rPr>
                <w:spacing w:val="-5"/>
              </w:rPr>
              <w:t>实</w:t>
            </w:r>
            <w:r>
              <w:rPr>
                <w:spacing w:val="1"/>
              </w:rPr>
              <w:t xml:space="preserve">   </w:t>
            </w:r>
            <w:r>
              <w:rPr>
                <w:spacing w:val="-5"/>
              </w:rPr>
              <w:t>例</w:t>
            </w:r>
          </w:p>
        </w:tc>
      </w:tr>
      <w:tr>
        <w:trPr>
          <w:trHeight w:val="579" w:hRule="atLeast"/>
        </w:trPr>
        <w:tc>
          <w:tcPr>
            <w:tcW w:w="734" w:type="dxa"/>
            <w:vAlign w:val="top"/>
          </w:tcPr>
          <w:p>
            <w:pPr>
              <w:pStyle w:val="TableText"/>
              <w:ind w:left="245"/>
              <w:spacing w:before="258" w:line="183" w:lineRule="auto"/>
              <w:rPr/>
            </w:pPr>
            <w:r>
              <w:rPr>
                <w:spacing w:val="-2"/>
              </w:rPr>
              <w:t>3.4</w:t>
            </w:r>
          </w:p>
        </w:tc>
        <w:tc>
          <w:tcPr>
            <w:tcW w:w="3156" w:type="dxa"/>
            <w:vAlign w:val="top"/>
          </w:tcPr>
          <w:p>
            <w:pPr>
              <w:pStyle w:val="TableText"/>
              <w:ind w:left="121" w:right="40" w:firstLine="139"/>
              <w:spacing w:before="89" w:line="276" w:lineRule="auto"/>
              <w:rPr/>
            </w:pPr>
            <w:r>
              <w:rPr>
                <w:spacing w:val="-1"/>
              </w:rPr>
              <w:t>根据支持重复使用的架构标准，指定集成接</w:t>
            </w:r>
            <w:r>
              <w:rPr>
                <w:spacing w:val="12"/>
              </w:rPr>
              <w:t xml:space="preserve"> </w:t>
            </w:r>
            <w:r>
              <w:rPr>
                <w:spacing w:val="1"/>
              </w:rPr>
              <w:t>口的开发和部署</w:t>
            </w:r>
          </w:p>
        </w:tc>
        <w:tc>
          <w:tcPr>
            <w:tcW w:w="3770" w:type="dxa"/>
            <w:vAlign w:val="top"/>
          </w:tcPr>
          <w:p>
            <w:pPr>
              <w:pStyle w:val="TableText"/>
              <w:ind w:left="265"/>
              <w:spacing w:before="220" w:line="219" w:lineRule="auto"/>
              <w:rPr/>
            </w:pPr>
            <w:r>
              <w:rPr>
                <w:spacing w:val="-1"/>
              </w:rPr>
              <w:t>数据集成架构标准</w:t>
            </w:r>
          </w:p>
        </w:tc>
      </w:tr>
    </w:tbl>
    <w:p>
      <w:pPr>
        <w:ind w:left="314"/>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right="229" w:firstLine="419"/>
        <w:spacing w:before="62" w:line="256" w:lineRule="auto"/>
        <w:rPr>
          <w:rFonts w:ascii="SimSun" w:hAnsi="SimSun" w:eastAsia="SimSun" w:cs="SimSun"/>
          <w:sz w:val="21"/>
          <w:szCs w:val="21"/>
        </w:rPr>
      </w:pPr>
      <w:r>
        <w:rPr>
          <w:rFonts w:ascii="SimSun" w:hAnsi="SimSun" w:eastAsia="SimSun" w:cs="SimSun"/>
          <w:sz w:val="21"/>
          <w:szCs w:val="21"/>
          <w:spacing w:val="2"/>
        </w:rPr>
        <w:t>组织应将接口纳入完整的数据包内，并根据组织的配置管理过程和标准进行管 </w:t>
      </w:r>
      <w:r>
        <w:rPr>
          <w:rFonts w:ascii="SimSun" w:hAnsi="SimSun" w:eastAsia="SimSun" w:cs="SimSun"/>
          <w:sz w:val="21"/>
          <w:szCs w:val="21"/>
          <w:spacing w:val="2"/>
        </w:rPr>
        <w:t>理。实践中，包括接口集成和公用数据服务，组织需要明确规定数据集</w:t>
      </w:r>
      <w:r>
        <w:rPr>
          <w:rFonts w:ascii="SimSun" w:hAnsi="SimSun" w:eastAsia="SimSun" w:cs="SimSun"/>
          <w:sz w:val="21"/>
          <w:szCs w:val="21"/>
          <w:spacing w:val="1"/>
        </w:rPr>
        <w:t>成规则和性</w:t>
      </w:r>
      <w:r>
        <w:rPr>
          <w:rFonts w:ascii="SimSun" w:hAnsi="SimSun" w:eastAsia="SimSun" w:cs="SimSun"/>
          <w:sz w:val="21"/>
          <w:szCs w:val="21"/>
        </w:rPr>
        <w:t xml:space="preserve"> </w:t>
      </w:r>
      <w:r>
        <w:rPr>
          <w:rFonts w:ascii="SimSun" w:hAnsi="SimSun" w:eastAsia="SimSun" w:cs="SimSun"/>
          <w:sz w:val="21"/>
          <w:szCs w:val="21"/>
          <w:spacing w:val="1"/>
        </w:rPr>
        <w:t>能要求。组织应记录系统之间的接口，以支持未来的变化，并提供适合集成到另外</w:t>
      </w:r>
      <w:r>
        <w:rPr>
          <w:rFonts w:ascii="SimSun" w:hAnsi="SimSun" w:eastAsia="SimSun" w:cs="SimSun"/>
          <w:sz w:val="21"/>
          <w:szCs w:val="21"/>
          <w:spacing w:val="15"/>
        </w:rPr>
        <w:t xml:space="preserve"> </w:t>
      </w:r>
      <w:r>
        <w:rPr>
          <w:rFonts w:ascii="SimSun" w:hAnsi="SimSun" w:eastAsia="SimSun" w:cs="SimSun"/>
          <w:sz w:val="21"/>
          <w:szCs w:val="21"/>
          <w:spacing w:val="2"/>
        </w:rPr>
        <w:t>的系统或在另外的系统进行集成的方法。这些接口的开发应遵循用于定义</w:t>
      </w:r>
      <w:r>
        <w:rPr>
          <w:rFonts w:ascii="SimSun" w:hAnsi="SimSun" w:eastAsia="SimSun" w:cs="SimSun"/>
          <w:sz w:val="21"/>
          <w:szCs w:val="21"/>
          <w:spacing w:val="1"/>
        </w:rPr>
        <w:t>和记录应</w:t>
      </w:r>
      <w:r>
        <w:rPr>
          <w:rFonts w:ascii="SimSun" w:hAnsi="SimSun" w:eastAsia="SimSun" w:cs="SimSun"/>
          <w:sz w:val="21"/>
          <w:szCs w:val="21"/>
        </w:rPr>
        <w:t xml:space="preserve"> </w:t>
      </w:r>
      <w:r>
        <w:rPr>
          <w:rFonts w:ascii="SimSun" w:hAnsi="SimSun" w:eastAsia="SimSun" w:cs="SimSun"/>
          <w:sz w:val="21"/>
          <w:szCs w:val="21"/>
          <w:spacing w:val="1"/>
        </w:rPr>
        <w:t>用程序编程接口</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
        </w:rPr>
        <w:t>的通用编程实践标准。</w:t>
      </w:r>
    </w:p>
    <w:p>
      <w:pPr>
        <w:spacing w:line="179" w:lineRule="exact"/>
        <w:rPr/>
      </w:pPr>
      <w:r/>
    </w:p>
    <w:tbl>
      <w:tblPr>
        <w:tblStyle w:val="TableNormal"/>
        <w:tblW w:w="765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41" w:hRule="atLeast"/>
        </w:trPr>
        <w:tc>
          <w:tcPr>
            <w:tcW w:w="734" w:type="dxa"/>
            <w:vAlign w:val="top"/>
          </w:tcPr>
          <w:p>
            <w:pPr>
              <w:pStyle w:val="TableText"/>
              <w:ind w:left="204"/>
              <w:spacing w:before="102" w:line="221" w:lineRule="auto"/>
              <w:rPr/>
            </w:pPr>
            <w:r>
              <w:rPr>
                <w:spacing w:val="-2"/>
              </w:rPr>
              <w:t>序号</w:t>
            </w:r>
          </w:p>
        </w:tc>
        <w:tc>
          <w:tcPr>
            <w:tcW w:w="3155" w:type="dxa"/>
            <w:vAlign w:val="top"/>
          </w:tcPr>
          <w:p>
            <w:pPr>
              <w:pStyle w:val="TableText"/>
              <w:ind w:left="117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598" w:hRule="atLeast"/>
        </w:trPr>
        <w:tc>
          <w:tcPr>
            <w:tcW w:w="734" w:type="dxa"/>
            <w:vAlign w:val="top"/>
          </w:tcPr>
          <w:p>
            <w:pPr>
              <w:pStyle w:val="TableText"/>
              <w:ind w:left="244"/>
              <w:spacing w:before="268" w:line="183" w:lineRule="auto"/>
              <w:rPr/>
            </w:pPr>
            <w:r>
              <w:rPr>
                <w:spacing w:val="-2"/>
              </w:rPr>
              <w:t>3.5</w:t>
            </w:r>
          </w:p>
        </w:tc>
        <w:tc>
          <w:tcPr>
            <w:tcW w:w="3155" w:type="dxa"/>
            <w:vAlign w:val="top"/>
          </w:tcPr>
          <w:p>
            <w:pPr>
              <w:pStyle w:val="TableText"/>
              <w:ind w:left="111" w:right="34" w:firstLine="139"/>
              <w:spacing w:before="99" w:line="282" w:lineRule="auto"/>
              <w:rPr/>
            </w:pPr>
            <w:r>
              <w:rPr/>
              <w:t>收集并分析集成接口性能测量指标，以确定</w:t>
            </w:r>
            <w:r>
              <w:rPr>
                <w:spacing w:val="8"/>
              </w:rPr>
              <w:t xml:space="preserve"> </w:t>
            </w:r>
            <w:r>
              <w:rPr>
                <w:spacing w:val="-1"/>
              </w:rPr>
              <w:t>不符合标准和指标的情况</w:t>
            </w:r>
          </w:p>
        </w:tc>
        <w:tc>
          <w:tcPr>
            <w:tcW w:w="3770" w:type="dxa"/>
            <w:vAlign w:val="top"/>
          </w:tcPr>
          <w:p>
            <w:pPr>
              <w:pStyle w:val="TableText"/>
              <w:ind w:left="265"/>
              <w:spacing w:before="228" w:line="218" w:lineRule="auto"/>
              <w:rPr/>
            </w:pPr>
            <w:r>
              <w:rPr>
                <w:spacing w:val="1"/>
              </w:rPr>
              <w:t>●数据集成报告</w:t>
            </w:r>
          </w:p>
        </w:tc>
      </w:tr>
    </w:tbl>
    <w:p>
      <w:pPr>
        <w:pStyle w:val="BodyText"/>
        <w:rPr/>
      </w:pPr>
      <w:r/>
    </w:p>
    <w:p>
      <w:pPr>
        <w:sectPr>
          <w:footerReference w:type="default" r:id="rId323"/>
          <w:pgSz w:w="8870" w:h="13400"/>
          <w:pgMar w:top="400" w:right="558" w:bottom="518" w:left="449" w:header="0" w:footer="308" w:gutter="0"/>
        </w:sectPr>
        <w:rPr/>
      </w:pPr>
    </w:p>
    <w:p>
      <w:pPr>
        <w:ind w:left="90"/>
        <w:spacing w:before="200"/>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218" name="IM 218"/>
            <wp:cNvGraphicFramePr/>
            <a:graphic>
              <a:graphicData uri="http://schemas.openxmlformats.org/drawingml/2006/picture">
                <pic:pic>
                  <pic:nvPicPr>
                    <pic:cNvPr id="218" name="IM 218"/>
                    <pic:cNvPicPr/>
                  </pic:nvPicPr>
                  <pic:blipFill>
                    <a:blip r:embed="rId325"/>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5"/>
        </w:rPr>
        <w:t xml:space="preserve"> </w:t>
      </w:r>
      <w:r>
        <w:rPr>
          <w:rFonts w:ascii="SimSun" w:hAnsi="SimSun" w:eastAsia="SimSun" w:cs="SimSun"/>
          <w:sz w:val="22"/>
          <w:szCs w:val="22"/>
          <w:b/>
          <w:bCs/>
          <w:spacing w:val="-29"/>
          <w:w w:val="97"/>
        </w:rPr>
        <w:t>■云端数据治理■</w:t>
      </w:r>
    </w:p>
    <w:p>
      <w:pPr>
        <w:ind w:left="539"/>
        <w:spacing w:before="289"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114" w:firstLine="459"/>
        <w:spacing w:before="69" w:line="231" w:lineRule="auto"/>
        <w:rPr>
          <w:rFonts w:ascii="SimSun" w:hAnsi="SimSun" w:eastAsia="SimSun" w:cs="SimSun"/>
          <w:sz w:val="22"/>
          <w:szCs w:val="22"/>
        </w:rPr>
      </w:pPr>
      <w:r>
        <w:rPr>
          <w:rFonts w:ascii="SimSun" w:hAnsi="SimSun" w:eastAsia="SimSun" w:cs="SimSun"/>
          <w:sz w:val="22"/>
          <w:szCs w:val="22"/>
          <w:spacing w:val="-9"/>
        </w:rPr>
        <w:t>组织应根据业务需求收集接口相应指标并进</w:t>
      </w:r>
      <w:r>
        <w:rPr>
          <w:rFonts w:ascii="SimSun" w:hAnsi="SimSun" w:eastAsia="SimSun" w:cs="SimSun"/>
          <w:sz w:val="22"/>
          <w:szCs w:val="22"/>
          <w:spacing w:val="-10"/>
        </w:rPr>
        <w:t>行分析，并对分析结果进行统计。</w:t>
      </w:r>
      <w:r>
        <w:rPr>
          <w:rFonts w:ascii="SimSun" w:hAnsi="SimSun" w:eastAsia="SimSun" w:cs="SimSun"/>
          <w:sz w:val="22"/>
          <w:szCs w:val="22"/>
        </w:rPr>
        <w:t xml:space="preserve"> </w:t>
      </w:r>
      <w:r>
        <w:rPr>
          <w:rFonts w:ascii="SimSun" w:hAnsi="SimSun" w:eastAsia="SimSun" w:cs="SimSun"/>
          <w:sz w:val="22"/>
          <w:szCs w:val="22"/>
          <w:spacing w:val="-9"/>
        </w:rPr>
        <w:t>例如，执行缺陷跟踪，以监测缺陷严重程度、原因、统计发生和</w:t>
      </w:r>
      <w:r>
        <w:rPr>
          <w:rFonts w:ascii="SimSun" w:hAnsi="SimSun" w:eastAsia="SimSun" w:cs="SimSun"/>
          <w:sz w:val="22"/>
          <w:szCs w:val="22"/>
          <w:spacing w:val="-10"/>
        </w:rPr>
        <w:t>计划决议。</w:t>
      </w:r>
    </w:p>
    <w:p>
      <w:pPr>
        <w:spacing w:line="124" w:lineRule="exact"/>
        <w:rPr/>
      </w:pPr>
      <w:r/>
    </w:p>
    <w:tbl>
      <w:tblPr>
        <w:tblStyle w:val="TableNormal"/>
        <w:tblW w:w="7660" w:type="dxa"/>
        <w:tblInd w:w="2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60"/>
      </w:tblGrid>
      <w:tr>
        <w:trPr>
          <w:trHeight w:val="344" w:hRule="atLeast"/>
        </w:trPr>
        <w:tc>
          <w:tcPr>
            <w:tcW w:w="734" w:type="dxa"/>
            <w:vAlign w:val="top"/>
          </w:tcPr>
          <w:p>
            <w:pPr>
              <w:pStyle w:val="TableText"/>
              <w:ind w:left="205"/>
              <w:spacing w:before="102" w:line="221" w:lineRule="auto"/>
              <w:rPr/>
            </w:pPr>
            <w:r>
              <w:rPr>
                <w:spacing w:val="-2"/>
              </w:rPr>
              <w:t>序号</w:t>
            </w:r>
          </w:p>
        </w:tc>
        <w:tc>
          <w:tcPr>
            <w:tcW w:w="316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55"/>
              <w:spacing w:before="101" w:line="220" w:lineRule="auto"/>
              <w:rPr/>
            </w:pPr>
            <w:r>
              <w:rPr>
                <w:spacing w:val="-5"/>
              </w:rPr>
              <w:t>实</w:t>
            </w:r>
            <w:r>
              <w:rPr>
                <w:spacing w:val="1"/>
              </w:rPr>
              <w:t xml:space="preserve">   </w:t>
            </w:r>
            <w:r>
              <w:rPr>
                <w:spacing w:val="-5"/>
              </w:rPr>
              <w:t>例</w:t>
            </w:r>
          </w:p>
        </w:tc>
      </w:tr>
      <w:tr>
        <w:trPr>
          <w:trHeight w:val="2566" w:hRule="atLeast"/>
        </w:trPr>
        <w:tc>
          <w:tcPr>
            <w:tcW w:w="734" w:type="dxa"/>
            <w:vAlign w:val="top"/>
          </w:tcPr>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pStyle w:val="TableText"/>
              <w:ind w:left="244"/>
              <w:spacing w:before="49" w:line="183" w:lineRule="auto"/>
              <w:rPr/>
            </w:pPr>
            <w:r>
              <w:rPr>
                <w:spacing w:val="-2"/>
              </w:rPr>
              <w:t>3.6</w:t>
            </w:r>
          </w:p>
        </w:tc>
        <w:tc>
          <w:tcPr>
            <w:tcW w:w="3166" w:type="dxa"/>
            <w:vAlign w:val="top"/>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111" w:right="52" w:firstLine="149"/>
              <w:spacing w:before="49" w:line="283" w:lineRule="auto"/>
              <w:rPr/>
            </w:pPr>
            <w:r>
              <w:rPr>
                <w:spacing w:val="-1"/>
              </w:rPr>
              <w:t>组织通过数据治理过程，来记录并管理数据</w:t>
            </w:r>
            <w:r>
              <w:rPr>
                <w:spacing w:val="10"/>
              </w:rPr>
              <w:t xml:space="preserve"> </w:t>
            </w:r>
            <w:r>
              <w:rPr>
                <w:spacing w:val="-1"/>
              </w:rPr>
              <w:t>源和目的地变更</w:t>
            </w:r>
          </w:p>
        </w:tc>
        <w:tc>
          <w:tcPr>
            <w:tcW w:w="3760" w:type="dxa"/>
            <w:vAlign w:val="top"/>
          </w:tcPr>
          <w:p>
            <w:pPr>
              <w:pStyle w:val="TableText"/>
              <w:ind w:left="255"/>
              <w:spacing w:before="107" w:line="220" w:lineRule="auto"/>
              <w:rPr/>
            </w:pPr>
            <w:r>
              <w:rPr>
                <w:spacing w:val="1"/>
              </w:rPr>
              <w:t>●验证和确认结果</w:t>
            </w:r>
          </w:p>
          <w:p>
            <w:pPr>
              <w:pStyle w:val="TableText"/>
              <w:ind w:left="255"/>
              <w:spacing w:before="101" w:line="221" w:lineRule="auto"/>
              <w:rPr/>
            </w:pPr>
            <w:r>
              <w:rPr>
                <w:spacing w:val="1"/>
              </w:rPr>
              <w:t>●性能要求</w:t>
            </w:r>
          </w:p>
          <w:p>
            <w:pPr>
              <w:pStyle w:val="TableText"/>
              <w:ind w:left="255"/>
              <w:spacing w:before="110" w:line="220" w:lineRule="auto"/>
              <w:rPr/>
            </w:pPr>
            <w:r>
              <w:rPr/>
              <w:t>●性能测量指标和分析结果</w:t>
            </w:r>
          </w:p>
          <w:p>
            <w:pPr>
              <w:pStyle w:val="TableText"/>
              <w:ind w:left="255"/>
              <w:spacing w:before="90" w:line="219" w:lineRule="auto"/>
              <w:rPr/>
            </w:pPr>
            <w:r>
              <w:rPr/>
              <w:t>●数据质量持续改善的措施和测量指标</w:t>
            </w:r>
          </w:p>
          <w:p>
            <w:pPr>
              <w:pStyle w:val="TableText"/>
              <w:ind w:left="255"/>
              <w:spacing w:before="101" w:line="219" w:lineRule="auto"/>
              <w:rPr/>
            </w:pPr>
            <w:r>
              <w:rPr>
                <w:spacing w:val="-2"/>
              </w:rPr>
              <w:t>●数据传输策略和SLA</w:t>
            </w:r>
          </w:p>
          <w:p>
            <w:pPr>
              <w:pStyle w:val="TableText"/>
              <w:ind w:left="255"/>
              <w:spacing w:before="113" w:line="219" w:lineRule="auto"/>
              <w:rPr/>
            </w:pPr>
            <w:r>
              <w:rPr>
                <w:spacing w:val="1"/>
              </w:rPr>
              <w:t>●集成方法标准</w:t>
            </w:r>
          </w:p>
          <w:p>
            <w:pPr>
              <w:pStyle w:val="TableText"/>
              <w:ind w:left="255"/>
              <w:spacing w:before="81" w:line="219" w:lineRule="auto"/>
              <w:rPr/>
            </w:pPr>
            <w:r>
              <w:rPr>
                <w:spacing w:val="1"/>
              </w:rPr>
              <w:t>●集成最佳实践指导</w:t>
            </w:r>
          </w:p>
          <w:p>
            <w:pPr>
              <w:pStyle w:val="TableText"/>
              <w:ind w:left="255"/>
              <w:spacing w:before="103" w:line="220" w:lineRule="auto"/>
              <w:rPr/>
            </w:pPr>
            <w:r>
              <w:rPr>
                <w:spacing w:val="1"/>
              </w:rPr>
              <w:t>●标准接口规范</w:t>
            </w:r>
          </w:p>
          <w:p>
            <w:pPr>
              <w:pStyle w:val="TableText"/>
              <w:ind w:left="255"/>
              <w:spacing w:before="111" w:line="219" w:lineRule="auto"/>
              <w:rPr/>
            </w:pPr>
            <w:r>
              <w:rPr/>
              <w:t>●集成环境变更管理过程</w:t>
            </w:r>
          </w:p>
        </w:tc>
      </w:tr>
    </w:tbl>
    <w:p>
      <w:pPr>
        <w:ind w:left="53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75" w:firstLine="459"/>
        <w:spacing w:before="67" w:line="247" w:lineRule="auto"/>
        <w:rPr>
          <w:rFonts w:ascii="SimSun" w:hAnsi="SimSun" w:eastAsia="SimSun" w:cs="SimSun"/>
          <w:sz w:val="22"/>
          <w:szCs w:val="22"/>
        </w:rPr>
      </w:pPr>
      <w:r>
        <w:rPr>
          <w:rFonts w:ascii="SimSun" w:hAnsi="SimSun" w:eastAsia="SimSun" w:cs="SimSun"/>
          <w:sz w:val="22"/>
          <w:szCs w:val="22"/>
          <w:spacing w:val="-8"/>
        </w:rPr>
        <w:t>组织在数据治理过程中，应对变更管理加强监督，记录</w:t>
      </w:r>
      <w:r>
        <w:rPr>
          <w:rFonts w:ascii="SimSun" w:hAnsi="SimSun" w:eastAsia="SimSun" w:cs="SimSun"/>
          <w:sz w:val="22"/>
          <w:szCs w:val="22"/>
          <w:spacing w:val="-9"/>
        </w:rPr>
        <w:t>相关数据，包括数据源</w:t>
      </w:r>
      <w:r>
        <w:rPr>
          <w:rFonts w:ascii="SimSun" w:hAnsi="SimSun" w:eastAsia="SimSun" w:cs="SimSun"/>
          <w:sz w:val="22"/>
          <w:szCs w:val="22"/>
        </w:rPr>
        <w:t xml:space="preserve"> </w:t>
      </w:r>
      <w:r>
        <w:rPr>
          <w:rFonts w:ascii="SimSun" w:hAnsi="SimSun" w:eastAsia="SimSun" w:cs="SimSun"/>
          <w:sz w:val="22"/>
          <w:szCs w:val="22"/>
          <w:spacing w:val="-8"/>
        </w:rPr>
        <w:t>和目的地变更。组织需要建立变更管理策略，在对</w:t>
      </w:r>
      <w:r>
        <w:rPr>
          <w:rFonts w:ascii="SimSun" w:hAnsi="SimSun" w:eastAsia="SimSun" w:cs="SimSun"/>
          <w:sz w:val="22"/>
          <w:szCs w:val="22"/>
          <w:spacing w:val="-9"/>
        </w:rPr>
        <w:t>数据源和目的地进行变更时要遵</w:t>
      </w:r>
      <w:r>
        <w:rPr>
          <w:rFonts w:ascii="SimSun" w:hAnsi="SimSun" w:eastAsia="SimSun" w:cs="SimSun"/>
          <w:sz w:val="22"/>
          <w:szCs w:val="22"/>
        </w:rPr>
        <w:t xml:space="preserve"> </w:t>
      </w:r>
      <w:r>
        <w:rPr>
          <w:rFonts w:ascii="SimSun" w:hAnsi="SimSun" w:eastAsia="SimSun" w:cs="SimSun"/>
          <w:sz w:val="22"/>
          <w:szCs w:val="22"/>
          <w:spacing w:val="-10"/>
        </w:rPr>
        <w:t>循相应策略，取得授权，按着规划操作，并予以记录。</w:t>
      </w:r>
    </w:p>
    <w:p>
      <w:pPr>
        <w:spacing w:line="124" w:lineRule="exact"/>
        <w:rPr/>
      </w:pPr>
      <w:r/>
    </w:p>
    <w:tbl>
      <w:tblPr>
        <w:tblStyle w:val="TableNormal"/>
        <w:tblW w:w="7669" w:type="dxa"/>
        <w:tblInd w:w="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60"/>
      </w:tblGrid>
      <w:tr>
        <w:trPr>
          <w:trHeight w:val="351"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5"/>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3" w:lineRule="auto"/>
              <w:rPr/>
            </w:pPr>
            <w:r>
              <w:rPr>
                <w:spacing w:val="-2"/>
              </w:rPr>
              <w:t>3.7</w:t>
            </w:r>
          </w:p>
        </w:tc>
        <w:tc>
          <w:tcPr>
            <w:tcW w:w="3165" w:type="dxa"/>
            <w:vAlign w:val="top"/>
          </w:tcPr>
          <w:p>
            <w:pPr>
              <w:pStyle w:val="TableText"/>
              <w:ind w:left="150" w:right="161" w:firstLine="69"/>
              <w:spacing w:before="99" w:line="282" w:lineRule="auto"/>
              <w:rPr/>
            </w:pPr>
            <w:r>
              <w:rPr/>
              <w:t>所有结构化和非结构化数据应对其他平台</w:t>
            </w:r>
            <w:r>
              <w:rPr>
                <w:spacing w:val="7"/>
              </w:rPr>
              <w:t xml:space="preserve">  </w:t>
            </w:r>
            <w:r>
              <w:rPr>
                <w:spacing w:val="-1"/>
              </w:rPr>
              <w:t>可用，确保不同平台间能够对数据进行处理</w:t>
            </w:r>
          </w:p>
        </w:tc>
        <w:tc>
          <w:tcPr>
            <w:tcW w:w="3760" w:type="dxa"/>
            <w:vAlign w:val="top"/>
          </w:tcPr>
          <w:p>
            <w:pPr>
              <w:pStyle w:val="TableText"/>
              <w:ind w:left="265"/>
              <w:spacing w:before="230" w:line="219" w:lineRule="auto"/>
              <w:rPr/>
            </w:pPr>
            <w:r>
              <w:rPr/>
              <w:t>●数据互操性要求</w:t>
            </w:r>
          </w:p>
        </w:tc>
      </w:tr>
    </w:tbl>
    <w:p>
      <w:pPr>
        <w:ind w:left="539"/>
        <w:spacing w:before="16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89" w:right="88" w:firstLine="459"/>
        <w:spacing w:before="59" w:line="244" w:lineRule="auto"/>
        <w:rPr>
          <w:rFonts w:ascii="SimSun" w:hAnsi="SimSun" w:eastAsia="SimSun" w:cs="SimSun"/>
          <w:sz w:val="22"/>
          <w:szCs w:val="22"/>
        </w:rPr>
      </w:pPr>
      <w:r>
        <w:rPr>
          <w:rFonts w:ascii="SimSun" w:hAnsi="SimSun" w:eastAsia="SimSun" w:cs="SimSun"/>
          <w:sz w:val="22"/>
          <w:szCs w:val="22"/>
          <w:spacing w:val="-5"/>
        </w:rPr>
        <w:t>非结构化数据包括文本、交互数据(例如用</w:t>
      </w:r>
      <w:r>
        <w:rPr>
          <w:rFonts w:ascii="SimSun" w:hAnsi="SimSun" w:eastAsia="SimSun" w:cs="SimSun"/>
          <w:sz w:val="22"/>
          <w:szCs w:val="22"/>
          <w:spacing w:val="-6"/>
        </w:rPr>
        <w:t>户行为记录，表达的对人、产品的</w:t>
      </w:r>
      <w:r>
        <w:rPr>
          <w:rFonts w:ascii="SimSun" w:hAnsi="SimSun" w:eastAsia="SimSun" w:cs="SimSun"/>
          <w:sz w:val="22"/>
          <w:szCs w:val="22"/>
        </w:rPr>
        <w:t xml:space="preserve"> </w:t>
      </w:r>
      <w:r>
        <w:rPr>
          <w:rFonts w:ascii="SimSun" w:hAnsi="SimSun" w:eastAsia="SimSun" w:cs="SimSun"/>
          <w:sz w:val="22"/>
          <w:szCs w:val="22"/>
          <w:spacing w:val="-5"/>
        </w:rPr>
        <w:t>看法和观点)图像、视频、音频等。</w:t>
      </w:r>
    </w:p>
    <w:p>
      <w:pPr>
        <w:ind w:left="189" w:right="15" w:firstLine="459"/>
        <w:spacing w:before="39" w:line="255" w:lineRule="auto"/>
        <w:rPr>
          <w:rFonts w:ascii="SimSun" w:hAnsi="SimSun" w:eastAsia="SimSun" w:cs="SimSun"/>
          <w:sz w:val="22"/>
          <w:szCs w:val="22"/>
        </w:rPr>
      </w:pPr>
      <w:r>
        <w:rPr>
          <w:rFonts w:ascii="SimSun" w:hAnsi="SimSun" w:eastAsia="SimSun" w:cs="SimSun"/>
          <w:sz w:val="22"/>
          <w:szCs w:val="22"/>
          <w:spacing w:val="-13"/>
        </w:rPr>
        <w:t>数据创造的主体包括组织和用户个体，而个体所产生的绝大部分数据均为图片、</w:t>
      </w:r>
      <w:r>
        <w:rPr>
          <w:rFonts w:ascii="SimSun" w:hAnsi="SimSun" w:eastAsia="SimSun" w:cs="SimSun"/>
          <w:sz w:val="22"/>
          <w:szCs w:val="22"/>
          <w:spacing w:val="13"/>
        </w:rPr>
        <w:t xml:space="preserve"> </w:t>
      </w:r>
      <w:r>
        <w:rPr>
          <w:rFonts w:ascii="SimSun" w:hAnsi="SimSun" w:eastAsia="SimSun" w:cs="SimSun"/>
          <w:sz w:val="22"/>
          <w:szCs w:val="22"/>
          <w:spacing w:val="-8"/>
        </w:rPr>
        <w:t>文档、视频等非结构化数据；另一方面，信息化技</w:t>
      </w:r>
      <w:r>
        <w:rPr>
          <w:rFonts w:ascii="SimSun" w:hAnsi="SimSun" w:eastAsia="SimSun" w:cs="SimSun"/>
          <w:sz w:val="22"/>
          <w:szCs w:val="22"/>
          <w:spacing w:val="-9"/>
        </w:rPr>
        <w:t>术的普及使得组织更多的办公流</w:t>
      </w:r>
      <w:r>
        <w:rPr>
          <w:rFonts w:ascii="SimSun" w:hAnsi="SimSun" w:eastAsia="SimSun" w:cs="SimSun"/>
          <w:sz w:val="22"/>
          <w:szCs w:val="22"/>
        </w:rPr>
        <w:t xml:space="preserve">  </w:t>
      </w:r>
      <w:r>
        <w:rPr>
          <w:rFonts w:ascii="SimSun" w:hAnsi="SimSun" w:eastAsia="SimSun" w:cs="SimSun"/>
          <w:sz w:val="22"/>
          <w:szCs w:val="22"/>
          <w:spacing w:val="-8"/>
        </w:rPr>
        <w:t>程通过网络得以实现，以往纸质的表单、票据等</w:t>
      </w:r>
      <w:r>
        <w:rPr>
          <w:rFonts w:ascii="SimSun" w:hAnsi="SimSun" w:eastAsia="SimSun" w:cs="SimSun"/>
          <w:sz w:val="22"/>
          <w:szCs w:val="22"/>
          <w:spacing w:val="-9"/>
        </w:rPr>
        <w:t>现在都实现了数字化存档，而这方</w:t>
      </w:r>
      <w:r>
        <w:rPr>
          <w:rFonts w:ascii="SimSun" w:hAnsi="SimSun" w:eastAsia="SimSun" w:cs="SimSun"/>
          <w:sz w:val="22"/>
          <w:szCs w:val="22"/>
        </w:rPr>
        <w:t xml:space="preserve">  </w:t>
      </w:r>
      <w:r>
        <w:rPr>
          <w:rFonts w:ascii="SimSun" w:hAnsi="SimSun" w:eastAsia="SimSun" w:cs="SimSun"/>
          <w:sz w:val="22"/>
          <w:szCs w:val="22"/>
          <w:spacing w:val="-8"/>
        </w:rPr>
        <w:t>面产生的数据也以非结构化数据为主，非结构化数据也在客户关系管理</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8"/>
        </w:rPr>
        <w:t>(CRM)</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系</w:t>
      </w:r>
      <w:r>
        <w:rPr>
          <w:rFonts w:ascii="SimSun" w:hAnsi="SimSun" w:eastAsia="SimSun" w:cs="SimSun"/>
          <w:sz w:val="22"/>
          <w:szCs w:val="22"/>
        </w:rPr>
        <w:t xml:space="preserve">  </w:t>
      </w:r>
      <w:r>
        <w:rPr>
          <w:rFonts w:ascii="SimSun" w:hAnsi="SimSun" w:eastAsia="SimSun" w:cs="SimSun"/>
          <w:sz w:val="22"/>
          <w:szCs w:val="22"/>
          <w:spacing w:val="-15"/>
        </w:rPr>
        <w:t>统中普遍存在，特别是客户服务代表和呼叫中心的工作人员的笔记记录。再例如</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5"/>
        </w:rPr>
        <w:t>Web</w:t>
      </w:r>
      <w:r>
        <w:rPr>
          <w:rFonts w:ascii="Times New Roman" w:hAnsi="Times New Roman" w:eastAsia="Times New Roman" w:cs="Times New Roman"/>
          <w:sz w:val="22"/>
          <w:szCs w:val="22"/>
        </w:rPr>
        <w:t xml:space="preserve">   </w:t>
      </w:r>
      <w:r>
        <w:rPr>
          <w:rFonts w:ascii="SimSun" w:hAnsi="SimSun" w:eastAsia="SimSun" w:cs="SimSun"/>
          <w:sz w:val="22"/>
          <w:szCs w:val="22"/>
          <w:spacing w:val="-2"/>
        </w:rPr>
        <w:t>页面，它通常被认为是一个典型的非结构化</w:t>
      </w:r>
      <w:r>
        <w:rPr>
          <w:rFonts w:ascii="SimSun" w:hAnsi="SimSun" w:eastAsia="SimSun" w:cs="SimSun"/>
          <w:sz w:val="22"/>
          <w:szCs w:val="22"/>
          <w:spacing w:val="-3"/>
        </w:rPr>
        <w:t>数据。尽管基本上所有的网页都是由</w:t>
      </w:r>
      <w:r>
        <w:rPr>
          <w:rFonts w:ascii="SimSun" w:hAnsi="SimSun" w:eastAsia="SimSun" w:cs="SimSun"/>
          <w:sz w:val="22"/>
          <w:szCs w:val="22"/>
        </w:rPr>
        <w:t xml:space="preserve">  </w:t>
      </w:r>
      <w:r>
        <w:rPr>
          <w:rFonts w:ascii="SimSun" w:hAnsi="SimSun" w:eastAsia="SimSun" w:cs="SimSun"/>
          <w:sz w:val="22"/>
          <w:szCs w:val="22"/>
          <w:spacing w:val="-7"/>
        </w:rPr>
        <w:t>HTML</w:t>
      </w:r>
      <w:r>
        <w:rPr>
          <w:rFonts w:ascii="SimSun" w:hAnsi="SimSun" w:eastAsia="SimSun" w:cs="SimSun"/>
          <w:sz w:val="22"/>
          <w:szCs w:val="22"/>
          <w:spacing w:val="88"/>
        </w:rPr>
        <w:t xml:space="preserve"> </w:t>
      </w:r>
      <w:r>
        <w:rPr>
          <w:rFonts w:ascii="SimSun" w:hAnsi="SimSun" w:eastAsia="SimSun" w:cs="SimSun"/>
          <w:sz w:val="22"/>
          <w:szCs w:val="22"/>
          <w:spacing w:val="-7"/>
        </w:rPr>
        <w:t>语言组成的，具备丰富的结构定义。但是Web 页面还包含链接和引用外部的</w:t>
      </w:r>
      <w:r>
        <w:rPr>
          <w:rFonts w:ascii="SimSun" w:hAnsi="SimSun" w:eastAsia="SimSun" w:cs="SimSun"/>
          <w:sz w:val="22"/>
          <w:szCs w:val="22"/>
        </w:rPr>
        <w:t xml:space="preserve">  </w:t>
      </w:r>
      <w:r>
        <w:rPr>
          <w:rFonts w:ascii="SimSun" w:hAnsi="SimSun" w:eastAsia="SimSun" w:cs="SimSun"/>
          <w:sz w:val="22"/>
          <w:szCs w:val="22"/>
          <w:spacing w:val="-11"/>
        </w:rPr>
        <w:t>内容，而这些内容往往是非结构化的内容，如图像、</w:t>
      </w:r>
      <w:r>
        <w:rPr>
          <w:rFonts w:ascii="Times New Roman" w:hAnsi="Times New Roman" w:eastAsia="Times New Roman" w:cs="Times New Roman"/>
          <w:sz w:val="22"/>
          <w:szCs w:val="22"/>
          <w:spacing w:val="-11"/>
        </w:rPr>
        <w:t>XML</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1"/>
        </w:rPr>
        <w:t>文件、动画等。</w:t>
      </w:r>
    </w:p>
    <w:p>
      <w:pPr>
        <w:ind w:left="189" w:right="96" w:firstLine="459"/>
        <w:spacing w:before="96" w:line="247" w:lineRule="auto"/>
        <w:rPr>
          <w:rFonts w:ascii="SimSun" w:hAnsi="SimSun" w:eastAsia="SimSun" w:cs="SimSun"/>
          <w:sz w:val="22"/>
          <w:szCs w:val="22"/>
        </w:rPr>
      </w:pPr>
      <w:r>
        <w:rPr>
          <w:rFonts w:ascii="SimSun" w:hAnsi="SimSun" w:eastAsia="SimSun" w:cs="SimSun"/>
          <w:sz w:val="22"/>
          <w:szCs w:val="22"/>
          <w:spacing w:val="-9"/>
        </w:rPr>
        <w:t>对于结构化数据，要想实现互操作性通常比较容易。非结构化数据的来源包括</w:t>
      </w:r>
      <w:r>
        <w:rPr>
          <w:rFonts w:ascii="SimSun" w:hAnsi="SimSun" w:eastAsia="SimSun" w:cs="SimSun"/>
          <w:sz w:val="22"/>
          <w:szCs w:val="22"/>
          <w:spacing w:val="3"/>
        </w:rPr>
        <w:t xml:space="preserve"> </w:t>
      </w:r>
      <w:r>
        <w:rPr>
          <w:rFonts w:ascii="SimSun" w:hAnsi="SimSun" w:eastAsia="SimSun" w:cs="SimSun"/>
          <w:sz w:val="22"/>
          <w:szCs w:val="22"/>
          <w:spacing w:val="-9"/>
        </w:rPr>
        <w:t>用户使用云服务过程中产生的非结构化数据、存放在云平台上的</w:t>
      </w:r>
      <w:r>
        <w:rPr>
          <w:rFonts w:ascii="SimSun" w:hAnsi="SimSun" w:eastAsia="SimSun" w:cs="SimSun"/>
          <w:sz w:val="22"/>
          <w:szCs w:val="22"/>
          <w:spacing w:val="-10"/>
        </w:rPr>
        <w:t>非机构化数据等，</w:t>
      </w:r>
      <w:r>
        <w:rPr>
          <w:rFonts w:ascii="SimSun" w:hAnsi="SimSun" w:eastAsia="SimSun" w:cs="SimSun"/>
          <w:sz w:val="22"/>
          <w:szCs w:val="22"/>
        </w:rPr>
        <w:t xml:space="preserve"> </w:t>
      </w:r>
      <w:r>
        <w:rPr>
          <w:rFonts w:ascii="SimSun" w:hAnsi="SimSun" w:eastAsia="SimSun" w:cs="SimSun"/>
          <w:sz w:val="22"/>
          <w:szCs w:val="22"/>
          <w:spacing w:val="-9"/>
        </w:rPr>
        <w:t>数据格式差异较大，在不同的云平台间处理，需要制订互操作性要求，通过预处理</w:t>
      </w:r>
    </w:p>
    <w:p>
      <w:pPr>
        <w:spacing w:line="247" w:lineRule="auto"/>
        <w:sectPr>
          <w:footerReference w:type="default" r:id="rId324"/>
          <w:pgSz w:w="8870" w:h="13400"/>
          <w:pgMar w:top="400" w:right="454" w:bottom="485" w:left="489" w:header="0" w:footer="266" w:gutter="0"/>
        </w:sectPr>
        <w:rPr>
          <w:rFonts w:ascii="SimSun" w:hAnsi="SimSun" w:eastAsia="SimSun" w:cs="SimSun"/>
          <w:sz w:val="22"/>
          <w:szCs w:val="22"/>
        </w:rPr>
      </w:pPr>
    </w:p>
    <w:p>
      <w:pPr>
        <w:ind w:left="5518"/>
        <w:spacing w:before="244" w:line="219" w:lineRule="auto"/>
        <w:rPr>
          <w:rFonts w:ascii="SimSun" w:hAnsi="SimSun" w:eastAsia="SimSun" w:cs="SimSun"/>
          <w:sz w:val="21"/>
          <w:szCs w:val="21"/>
        </w:rPr>
      </w:pPr>
      <w:r>
        <w:rPr>
          <w:rFonts w:ascii="SimSun" w:hAnsi="SimSun" w:eastAsia="SimSun" w:cs="SimSun"/>
          <w:sz w:val="21"/>
          <w:szCs w:val="21"/>
          <w:b/>
          <w:bCs/>
          <w:spacing w:val="16"/>
        </w:rPr>
        <w:t>第7章■云端数据操作</w:t>
      </w:r>
    </w:p>
    <w:p>
      <w:pPr>
        <w:pStyle w:val="BodyText"/>
        <w:spacing w:line="255" w:lineRule="auto"/>
        <w:rPr/>
      </w:pPr>
      <w:r/>
    </w:p>
    <w:p>
      <w:pPr>
        <w:ind w:left="15"/>
        <w:spacing w:before="68" w:line="219" w:lineRule="auto"/>
        <w:rPr>
          <w:rFonts w:ascii="SimSun" w:hAnsi="SimSun" w:eastAsia="SimSun" w:cs="SimSun"/>
          <w:sz w:val="21"/>
          <w:szCs w:val="21"/>
        </w:rPr>
      </w:pPr>
      <w:r>
        <w:rPr>
          <w:rFonts w:ascii="SimSun" w:hAnsi="SimSun" w:eastAsia="SimSun" w:cs="SimSun"/>
          <w:sz w:val="21"/>
          <w:szCs w:val="21"/>
          <w:spacing w:val="-5"/>
        </w:rPr>
        <w:t>实现数据的大体一致。</w:t>
      </w:r>
    </w:p>
    <w:p>
      <w:pPr>
        <w:ind w:left="427"/>
        <w:spacing w:before="65" w:line="221" w:lineRule="auto"/>
        <w:rPr>
          <w:rFonts w:ascii="SimHei" w:hAnsi="SimHei" w:eastAsia="SimHei" w:cs="SimHei"/>
          <w:sz w:val="21"/>
          <w:szCs w:val="21"/>
        </w:rPr>
      </w:pPr>
      <w:r>
        <w:rPr>
          <w:rFonts w:ascii="SimSun" w:hAnsi="SimSun" w:eastAsia="SimSun" w:cs="SimSun"/>
          <w:sz w:val="21"/>
          <w:szCs w:val="21"/>
          <w:b/>
          <w:bCs/>
          <w:spacing w:val="-2"/>
        </w:rPr>
        <w:t>Level</w:t>
      </w:r>
      <w:r>
        <w:rPr>
          <w:rFonts w:ascii="SimSun" w:hAnsi="SimSun" w:eastAsia="SimSun" w:cs="SimSun"/>
          <w:sz w:val="21"/>
          <w:szCs w:val="21"/>
          <w:spacing w:val="-2"/>
        </w:rPr>
        <w:t xml:space="preserve"> </w:t>
      </w:r>
      <w:r>
        <w:rPr>
          <w:rFonts w:ascii="SimSun" w:hAnsi="SimSun" w:eastAsia="SimSun" w:cs="SimSun"/>
          <w:sz w:val="21"/>
          <w:szCs w:val="21"/>
          <w:b/>
          <w:bCs/>
          <w:spacing w:val="-2"/>
        </w:rPr>
        <w:t>4:</w:t>
      </w:r>
      <w:r>
        <w:rPr>
          <w:rFonts w:ascii="SimHei" w:hAnsi="SimHei" w:eastAsia="SimHei" w:cs="SimHei"/>
          <w:sz w:val="21"/>
          <w:szCs w:val="21"/>
          <w:b/>
          <w:bCs/>
          <w:spacing w:val="-2"/>
        </w:rPr>
        <w:t>量化级</w:t>
      </w:r>
    </w:p>
    <w:p>
      <w:pPr>
        <w:spacing w:line="119" w:lineRule="exact"/>
        <w:rPr/>
      </w:pPr>
      <w:r/>
    </w:p>
    <w:tbl>
      <w:tblPr>
        <w:tblStyle w:val="TableNormal"/>
        <w:tblW w:w="76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3156"/>
        <w:gridCol w:w="3780"/>
      </w:tblGrid>
      <w:tr>
        <w:trPr>
          <w:trHeight w:val="351" w:hRule="atLeast"/>
        </w:trPr>
        <w:tc>
          <w:tcPr>
            <w:tcW w:w="724" w:type="dxa"/>
            <w:vAlign w:val="top"/>
          </w:tcPr>
          <w:p>
            <w:pPr>
              <w:pStyle w:val="TableText"/>
              <w:ind w:left="195"/>
              <w:spacing w:before="102" w:line="221" w:lineRule="auto"/>
              <w:rPr>
                <w:sz w:val="16"/>
                <w:szCs w:val="16"/>
              </w:rPr>
            </w:pPr>
            <w:r>
              <w:rPr>
                <w:sz w:val="16"/>
                <w:szCs w:val="16"/>
                <w:spacing w:val="-2"/>
              </w:rPr>
              <w:t>序号</w:t>
            </w:r>
          </w:p>
        </w:tc>
        <w:tc>
          <w:tcPr>
            <w:tcW w:w="3156" w:type="dxa"/>
            <w:vAlign w:val="top"/>
          </w:tcPr>
          <w:p>
            <w:pPr>
              <w:pStyle w:val="TableText"/>
              <w:ind w:left="1171"/>
              <w:spacing w:before="101" w:line="219" w:lineRule="auto"/>
              <w:rPr>
                <w:sz w:val="16"/>
                <w:szCs w:val="16"/>
              </w:rPr>
            </w:pPr>
            <w:r>
              <w:rPr>
                <w:sz w:val="16"/>
                <w:szCs w:val="16"/>
                <w:spacing w:val="-4"/>
              </w:rPr>
              <w:t>等 级 要 求</w:t>
            </w:r>
          </w:p>
        </w:tc>
        <w:tc>
          <w:tcPr>
            <w:tcW w:w="378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8" w:hRule="atLeast"/>
        </w:trPr>
        <w:tc>
          <w:tcPr>
            <w:tcW w:w="724" w:type="dxa"/>
            <w:vAlign w:val="top"/>
          </w:tcPr>
          <w:p>
            <w:pPr>
              <w:pStyle w:val="TableText"/>
              <w:ind w:left="235"/>
              <w:spacing w:before="271" w:line="184" w:lineRule="auto"/>
              <w:rPr>
                <w:sz w:val="16"/>
                <w:szCs w:val="16"/>
              </w:rPr>
            </w:pPr>
            <w:r>
              <w:rPr>
                <w:sz w:val="16"/>
                <w:szCs w:val="16"/>
                <w:spacing w:val="-2"/>
              </w:rPr>
              <w:t>4.1</w:t>
            </w:r>
          </w:p>
        </w:tc>
        <w:tc>
          <w:tcPr>
            <w:tcW w:w="3156" w:type="dxa"/>
            <w:vAlign w:val="top"/>
          </w:tcPr>
          <w:p>
            <w:pPr>
              <w:pStyle w:val="TableText"/>
              <w:ind w:left="91" w:right="21" w:firstLine="160"/>
              <w:spacing w:before="100" w:line="271" w:lineRule="auto"/>
              <w:rPr>
                <w:sz w:val="16"/>
                <w:szCs w:val="16"/>
              </w:rPr>
            </w:pPr>
            <w:r>
              <w:rPr>
                <w:sz w:val="16"/>
                <w:szCs w:val="16"/>
                <w:spacing w:val="-1"/>
              </w:rPr>
              <w:t>集成度量的统计分析影响集成接口更改的</w:t>
            </w:r>
            <w:r>
              <w:rPr>
                <w:sz w:val="16"/>
                <w:szCs w:val="16"/>
                <w:spacing w:val="10"/>
              </w:rPr>
              <w:t xml:space="preserve"> </w:t>
            </w:r>
            <w:r>
              <w:rPr>
                <w:sz w:val="16"/>
                <w:szCs w:val="16"/>
                <w:spacing w:val="-3"/>
              </w:rPr>
              <w:t>决策</w:t>
            </w:r>
          </w:p>
        </w:tc>
        <w:tc>
          <w:tcPr>
            <w:tcW w:w="3780" w:type="dxa"/>
            <w:vAlign w:val="top"/>
          </w:tcPr>
          <w:p>
            <w:pPr>
              <w:pStyle w:val="TableText"/>
              <w:ind w:left="275"/>
              <w:spacing w:before="231" w:line="220" w:lineRule="auto"/>
              <w:rPr>
                <w:sz w:val="16"/>
                <w:szCs w:val="16"/>
              </w:rPr>
            </w:pPr>
            <w:r>
              <w:rPr>
                <w:sz w:val="16"/>
                <w:szCs w:val="16"/>
                <w:spacing w:val="1"/>
              </w:rPr>
              <w:t>●变更标准</w:t>
            </w:r>
          </w:p>
        </w:tc>
      </w:tr>
    </w:tbl>
    <w:p>
      <w:pPr>
        <w:ind w:left="31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20" w:firstLine="409"/>
        <w:spacing w:before="51" w:line="250" w:lineRule="auto"/>
        <w:rPr>
          <w:rFonts w:ascii="SimSun" w:hAnsi="SimSun" w:eastAsia="SimSun" w:cs="SimSun"/>
          <w:sz w:val="21"/>
          <w:szCs w:val="21"/>
        </w:rPr>
      </w:pPr>
      <w:r>
        <w:rPr>
          <w:rFonts w:ascii="SimSun" w:hAnsi="SimSun" w:eastAsia="SimSun" w:cs="SimSun"/>
          <w:sz w:val="21"/>
          <w:szCs w:val="21"/>
          <w:spacing w:val="2"/>
        </w:rPr>
        <w:t>组织应在接口性能分析中指定并使用变更标准(即容差极限)。例如，数据概要</w:t>
      </w:r>
      <w:r>
        <w:rPr>
          <w:rFonts w:ascii="SimSun" w:hAnsi="SimSun" w:eastAsia="SimSun" w:cs="SimSun"/>
          <w:sz w:val="21"/>
          <w:szCs w:val="21"/>
          <w:spacing w:val="9"/>
        </w:rPr>
        <w:t xml:space="preserve"> </w:t>
      </w:r>
      <w:r>
        <w:rPr>
          <w:rFonts w:ascii="SimSun" w:hAnsi="SimSun" w:eastAsia="SimSun" w:cs="SimSun"/>
          <w:sz w:val="21"/>
          <w:szCs w:val="21"/>
        </w:rPr>
        <w:t>分析结果可表明与集成相关的缺陷量在可接受的</w:t>
      </w:r>
      <w:r>
        <w:rPr>
          <w:rFonts w:ascii="SimSun" w:hAnsi="SimSun" w:eastAsia="SimSun" w:cs="SimSun"/>
          <w:sz w:val="21"/>
          <w:szCs w:val="21"/>
          <w:spacing w:val="-1"/>
        </w:rPr>
        <w:t>容差范围内。</w:t>
      </w:r>
    </w:p>
    <w:p>
      <w:pPr>
        <w:spacing w:line="127" w:lineRule="exact"/>
        <w:rPr/>
      </w:pPr>
      <w:r/>
    </w:p>
    <w:tbl>
      <w:tblPr>
        <w:tblStyle w:val="TableNormal"/>
        <w:tblW w:w="765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45"/>
        <w:gridCol w:w="3780"/>
      </w:tblGrid>
      <w:tr>
        <w:trPr>
          <w:trHeight w:val="342" w:hRule="atLeast"/>
        </w:trPr>
        <w:tc>
          <w:tcPr>
            <w:tcW w:w="734" w:type="dxa"/>
            <w:vAlign w:val="top"/>
          </w:tcPr>
          <w:p>
            <w:pPr>
              <w:pStyle w:val="TableText"/>
              <w:ind w:left="204"/>
              <w:spacing w:before="102" w:line="221" w:lineRule="auto"/>
              <w:rPr/>
            </w:pPr>
            <w:r>
              <w:rPr>
                <w:spacing w:val="-2"/>
              </w:rPr>
              <w:t>序号</w:t>
            </w:r>
          </w:p>
        </w:tc>
        <w:tc>
          <w:tcPr>
            <w:tcW w:w="3145" w:type="dxa"/>
            <w:vAlign w:val="top"/>
          </w:tcPr>
          <w:p>
            <w:pPr>
              <w:pStyle w:val="TableText"/>
              <w:ind w:left="114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898" w:hRule="atLeast"/>
        </w:trPr>
        <w:tc>
          <w:tcPr>
            <w:tcW w:w="734" w:type="dxa"/>
            <w:vAlign w:val="top"/>
          </w:tcPr>
          <w:p>
            <w:pPr>
              <w:spacing w:line="366" w:lineRule="auto"/>
              <w:rPr>
                <w:rFonts w:ascii="Arial"/>
                <w:sz w:val="21"/>
              </w:rPr>
            </w:pPr>
            <w:r/>
          </w:p>
          <w:p>
            <w:pPr>
              <w:pStyle w:val="TableText"/>
              <w:ind w:left="244"/>
              <w:spacing w:before="49" w:line="183" w:lineRule="auto"/>
              <w:rPr/>
            </w:pPr>
            <w:r>
              <w:rPr>
                <w:spacing w:val="-2"/>
              </w:rPr>
              <w:t>4.2</w:t>
            </w:r>
          </w:p>
        </w:tc>
        <w:tc>
          <w:tcPr>
            <w:tcW w:w="3145" w:type="dxa"/>
            <w:vAlign w:val="top"/>
          </w:tcPr>
          <w:p>
            <w:pPr>
              <w:pStyle w:val="TableText"/>
              <w:ind w:left="140" w:right="149" w:firstLine="69"/>
              <w:spacing w:before="248" w:line="288" w:lineRule="auto"/>
              <w:rPr/>
            </w:pPr>
            <w:r>
              <w:rPr>
                <w:spacing w:val="-1"/>
              </w:rPr>
              <w:t>完全整合并集中管理所选的高度共享的数</w:t>
            </w:r>
            <w:r>
              <w:rPr>
                <w:spacing w:val="4"/>
              </w:rPr>
              <w:t xml:space="preserve">  </w:t>
            </w:r>
            <w:r>
              <w:rPr>
                <w:spacing w:val="-1"/>
              </w:rPr>
              <w:t>据，并根据需要将其传输至集成数据存储区</w:t>
            </w:r>
          </w:p>
        </w:tc>
        <w:tc>
          <w:tcPr>
            <w:tcW w:w="3780" w:type="dxa"/>
            <w:vAlign w:val="top"/>
          </w:tcPr>
          <w:p>
            <w:pPr>
              <w:pStyle w:val="TableText"/>
              <w:ind w:left="276"/>
              <w:spacing w:before="119" w:line="220" w:lineRule="auto"/>
              <w:rPr/>
            </w:pPr>
            <w:r>
              <w:rPr>
                <w:spacing w:val="1"/>
              </w:rPr>
              <w:t>●统计分析结果</w:t>
            </w:r>
          </w:p>
          <w:p>
            <w:pPr>
              <w:pStyle w:val="TableText"/>
              <w:ind w:left="276"/>
              <w:spacing w:before="100" w:line="219" w:lineRule="auto"/>
              <w:rPr/>
            </w:pPr>
            <w:r>
              <w:rPr/>
              <w:t>●数据概要分析</w:t>
            </w:r>
          </w:p>
          <w:p>
            <w:pPr>
              <w:pStyle w:val="TableText"/>
              <w:ind w:left="276"/>
              <w:spacing w:before="101" w:line="219" w:lineRule="auto"/>
              <w:rPr/>
            </w:pPr>
            <w:r>
              <w:rPr/>
              <w:t>●集成高度共享的数据并持续改进</w:t>
            </w:r>
          </w:p>
        </w:tc>
      </w:tr>
    </w:tbl>
    <w:p>
      <w:pPr>
        <w:ind w:left="319"/>
        <w:spacing w:before="194" w:line="219" w:lineRule="auto"/>
        <w:rPr>
          <w:rFonts w:ascii="SimSun" w:hAnsi="SimSun" w:eastAsia="SimSun" w:cs="SimSun"/>
          <w:sz w:val="21"/>
          <w:szCs w:val="21"/>
        </w:rPr>
      </w:pPr>
      <w:r>
        <w:rPr>
          <w:rFonts w:ascii="SimSun" w:hAnsi="SimSun" w:eastAsia="SimSun" w:cs="SimSun"/>
          <w:sz w:val="21"/>
          <w:szCs w:val="21"/>
          <w:spacing w:val="2"/>
        </w:rPr>
        <w:t>【成熟度等级说明】</w:t>
      </w:r>
    </w:p>
    <w:p>
      <w:pPr>
        <w:ind w:left="15" w:right="228" w:firstLine="409"/>
        <w:spacing w:before="82" w:line="252" w:lineRule="auto"/>
        <w:rPr>
          <w:rFonts w:ascii="SimSun" w:hAnsi="SimSun" w:eastAsia="SimSun" w:cs="SimSun"/>
          <w:sz w:val="21"/>
          <w:szCs w:val="21"/>
        </w:rPr>
      </w:pPr>
      <w:r>
        <w:rPr>
          <w:rFonts w:ascii="SimSun" w:hAnsi="SimSun" w:eastAsia="SimSun" w:cs="SimSun"/>
          <w:sz w:val="21"/>
          <w:szCs w:val="21"/>
          <w:spacing w:val="8"/>
        </w:rPr>
        <w:t>对于依赖于高度共享的数据(例如参考数据、主数据等)的组织业务</w:t>
      </w:r>
      <w:r>
        <w:rPr>
          <w:rFonts w:ascii="SimSun" w:hAnsi="SimSun" w:eastAsia="SimSun" w:cs="SimSun"/>
          <w:sz w:val="21"/>
          <w:szCs w:val="21"/>
          <w:spacing w:val="7"/>
        </w:rPr>
        <w:t>过程，关</w:t>
      </w:r>
      <w:r>
        <w:rPr>
          <w:rFonts w:ascii="SimSun" w:hAnsi="SimSun" w:eastAsia="SimSun" w:cs="SimSun"/>
          <w:sz w:val="21"/>
          <w:szCs w:val="21"/>
        </w:rPr>
        <w:t xml:space="preserve"> </w:t>
      </w:r>
      <w:r>
        <w:rPr>
          <w:rFonts w:ascii="SimSun" w:hAnsi="SimSun" w:eastAsia="SimSun" w:cs="SimSun"/>
          <w:sz w:val="21"/>
          <w:szCs w:val="21"/>
          <w:spacing w:val="10"/>
        </w:rPr>
        <w:t>键实体类型(例如客户、帐户、产品、组织等)的重要信息差异(时效性、代表性</w:t>
      </w:r>
      <w:r>
        <w:rPr>
          <w:rFonts w:ascii="SimSun" w:hAnsi="SimSun" w:eastAsia="SimSun" w:cs="SimSun"/>
          <w:sz w:val="21"/>
          <w:szCs w:val="21"/>
          <w:spacing w:val="1"/>
        </w:rPr>
        <w:t xml:space="preserve"> </w:t>
      </w:r>
      <w:r>
        <w:rPr>
          <w:rFonts w:ascii="SimSun" w:hAnsi="SimSun" w:eastAsia="SimSun" w:cs="SimSun"/>
          <w:sz w:val="21"/>
          <w:szCs w:val="21"/>
          <w:spacing w:val="5"/>
        </w:rPr>
        <w:t>和价值方面的差异)会带来很大影响。数据集成的具</w:t>
      </w:r>
      <w:r>
        <w:rPr>
          <w:rFonts w:ascii="SimSun" w:hAnsi="SimSun" w:eastAsia="SimSun" w:cs="SimSun"/>
          <w:sz w:val="21"/>
          <w:szCs w:val="21"/>
          <w:spacing w:val="4"/>
        </w:rPr>
        <w:t>体目标是简化、标准化、集中</w:t>
      </w:r>
      <w:r>
        <w:rPr>
          <w:rFonts w:ascii="SimSun" w:hAnsi="SimSun" w:eastAsia="SimSun" w:cs="SimSun"/>
          <w:sz w:val="21"/>
          <w:szCs w:val="21"/>
        </w:rPr>
        <w:t xml:space="preserve"> </w:t>
      </w:r>
      <w:r>
        <w:rPr>
          <w:rFonts w:ascii="SimSun" w:hAnsi="SimSun" w:eastAsia="SimSun" w:cs="SimSun"/>
          <w:sz w:val="21"/>
          <w:szCs w:val="21"/>
          <w:spacing w:val="-2"/>
        </w:rPr>
        <w:t>化提供多种业务和多个业务目标的共享数据。</w:t>
      </w:r>
    </w:p>
    <w:p>
      <w:pPr>
        <w:ind w:left="427"/>
        <w:spacing w:before="78" w:line="221" w:lineRule="auto"/>
        <w:rPr>
          <w:rFonts w:ascii="SimHei" w:hAnsi="SimHei" w:eastAsia="SimHei" w:cs="SimHei"/>
          <w:sz w:val="21"/>
          <w:szCs w:val="21"/>
        </w:rPr>
      </w:pPr>
      <w:r>
        <w:rPr>
          <w:rFonts w:ascii="SimSun" w:hAnsi="SimSun" w:eastAsia="SimSun" w:cs="SimSun"/>
          <w:sz w:val="21"/>
          <w:szCs w:val="21"/>
          <w:b/>
          <w:bCs/>
          <w:spacing w:val="-8"/>
        </w:rPr>
        <w:t>Level</w:t>
      </w:r>
      <w:r>
        <w:rPr>
          <w:rFonts w:ascii="SimSun" w:hAnsi="SimSun" w:eastAsia="SimSun" w:cs="SimSun"/>
          <w:sz w:val="21"/>
          <w:szCs w:val="21"/>
          <w:spacing w:val="-8"/>
        </w:rPr>
        <w:t xml:space="preserve"> </w:t>
      </w:r>
      <w:r>
        <w:rPr>
          <w:rFonts w:ascii="SimSun" w:hAnsi="SimSun" w:eastAsia="SimSun" w:cs="SimSun"/>
          <w:sz w:val="21"/>
          <w:szCs w:val="21"/>
          <w:b/>
          <w:bCs/>
          <w:spacing w:val="-8"/>
        </w:rPr>
        <w:t>5:</w:t>
      </w:r>
      <w:r>
        <w:rPr>
          <w:rFonts w:ascii="SimSun" w:hAnsi="SimSun" w:eastAsia="SimSun" w:cs="SimSun"/>
          <w:sz w:val="21"/>
          <w:szCs w:val="21"/>
          <w:spacing w:val="-35"/>
        </w:rPr>
        <w:t xml:space="preserve"> </w:t>
      </w:r>
      <w:r>
        <w:rPr>
          <w:rFonts w:ascii="SimHei" w:hAnsi="SimHei" w:eastAsia="SimHei" w:cs="SimHei"/>
          <w:sz w:val="21"/>
          <w:szCs w:val="21"/>
          <w:b/>
          <w:bCs/>
          <w:spacing w:val="-8"/>
        </w:rPr>
        <w:t>优化级</w:t>
      </w:r>
    </w:p>
    <w:p>
      <w:pPr>
        <w:spacing w:line="129" w:lineRule="exact"/>
        <w:rPr/>
      </w:pPr>
      <w:r/>
    </w:p>
    <w:tbl>
      <w:tblPr>
        <w:tblStyle w:val="TableNormal"/>
        <w:tblW w:w="767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80"/>
      </w:tblGrid>
      <w:tr>
        <w:trPr>
          <w:trHeight w:val="351" w:hRule="atLeast"/>
        </w:trPr>
        <w:tc>
          <w:tcPr>
            <w:tcW w:w="734" w:type="dxa"/>
            <w:vAlign w:val="top"/>
          </w:tcPr>
          <w:p>
            <w:pPr>
              <w:pStyle w:val="TableText"/>
              <w:ind w:left="85"/>
              <w:spacing w:before="101" w:line="221" w:lineRule="auto"/>
              <w:rPr/>
            </w:pPr>
            <w:r>
              <w:rPr>
                <w:spacing w:val="-2"/>
              </w:rPr>
              <w:t>序号</w:t>
            </w:r>
          </w:p>
        </w:tc>
        <w:tc>
          <w:tcPr>
            <w:tcW w:w="315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605"/>
              <w:spacing w:before="101" w:line="220" w:lineRule="auto"/>
              <w:rPr/>
            </w:pPr>
            <w:r>
              <w:rPr>
                <w:spacing w:val="-5"/>
              </w:rPr>
              <w:t>实</w:t>
            </w:r>
            <w:r>
              <w:rPr>
                <w:spacing w:val="1"/>
              </w:rPr>
              <w:t xml:space="preserve">   </w:t>
            </w:r>
            <w:r>
              <w:rPr>
                <w:spacing w:val="-5"/>
              </w:rPr>
              <w:t>例</w:t>
            </w:r>
          </w:p>
        </w:tc>
      </w:tr>
      <w:tr>
        <w:trPr>
          <w:trHeight w:val="608" w:hRule="atLeast"/>
        </w:trPr>
        <w:tc>
          <w:tcPr>
            <w:tcW w:w="734" w:type="dxa"/>
            <w:vAlign w:val="top"/>
          </w:tcPr>
          <w:p>
            <w:pPr>
              <w:pStyle w:val="TableText"/>
              <w:ind w:left="85"/>
              <w:spacing w:before="268" w:line="184" w:lineRule="auto"/>
              <w:rPr/>
            </w:pPr>
            <w:r>
              <w:rPr>
                <w:spacing w:val="-2"/>
              </w:rPr>
              <w:t>5.1</w:t>
            </w:r>
          </w:p>
        </w:tc>
        <w:tc>
          <w:tcPr>
            <w:tcW w:w="3156" w:type="dxa"/>
            <w:vAlign w:val="top"/>
          </w:tcPr>
          <w:p>
            <w:pPr>
              <w:pStyle w:val="TableText"/>
              <w:ind w:left="121" w:right="23" w:firstLine="139"/>
              <w:spacing w:before="109" w:line="282" w:lineRule="auto"/>
              <w:rPr/>
            </w:pPr>
            <w:r>
              <w:rPr/>
              <w:t>定期评审数据集成模型，并将其作为改进的</w:t>
            </w:r>
            <w:r>
              <w:rPr>
                <w:spacing w:val="10"/>
              </w:rPr>
              <w:t xml:space="preserve"> </w:t>
            </w:r>
            <w:r>
              <w:rPr>
                <w:spacing w:val="-2"/>
              </w:rPr>
              <w:t>信息输入</w:t>
            </w:r>
          </w:p>
        </w:tc>
        <w:tc>
          <w:tcPr>
            <w:tcW w:w="3780" w:type="dxa"/>
            <w:vAlign w:val="top"/>
          </w:tcPr>
          <w:p>
            <w:pPr>
              <w:pStyle w:val="TableText"/>
              <w:ind w:left="255"/>
              <w:spacing w:before="100" w:line="219" w:lineRule="auto"/>
              <w:rPr/>
            </w:pPr>
            <w:r>
              <w:rPr>
                <w:spacing w:val="1"/>
              </w:rPr>
              <w:t>●数据集成模型</w:t>
            </w:r>
          </w:p>
          <w:p>
            <w:pPr>
              <w:pStyle w:val="TableText"/>
              <w:ind w:left="255"/>
              <w:spacing w:before="101" w:line="219" w:lineRule="auto"/>
              <w:rPr/>
            </w:pPr>
            <w:r>
              <w:rPr>
                <w:spacing w:val="1"/>
              </w:rPr>
              <w:t>●数据改进方案</w:t>
            </w:r>
          </w:p>
        </w:tc>
      </w:tr>
    </w:tbl>
    <w:p>
      <w:pPr>
        <w:ind w:left="31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176" w:firstLine="409"/>
        <w:spacing w:before="41" w:line="250" w:lineRule="auto"/>
        <w:rPr>
          <w:rFonts w:ascii="SimSun" w:hAnsi="SimSun" w:eastAsia="SimSun" w:cs="SimSun"/>
          <w:sz w:val="21"/>
          <w:szCs w:val="21"/>
        </w:rPr>
      </w:pPr>
      <w:r>
        <w:rPr>
          <w:rFonts w:ascii="SimSun" w:hAnsi="SimSun" w:eastAsia="SimSun" w:cs="SimSun"/>
          <w:sz w:val="21"/>
          <w:szCs w:val="21"/>
          <w:spacing w:val="-2"/>
        </w:rPr>
        <w:t>组织可根据自身实际情况，按照固定周期组</w:t>
      </w:r>
      <w:r>
        <w:rPr>
          <w:rFonts w:ascii="SimSun" w:hAnsi="SimSun" w:eastAsia="SimSun" w:cs="SimSun"/>
          <w:sz w:val="21"/>
          <w:szCs w:val="21"/>
          <w:spacing w:val="-3"/>
        </w:rPr>
        <w:t>织相关方对数据集成模型进行评审，</w:t>
      </w:r>
      <w:r>
        <w:rPr>
          <w:rFonts w:ascii="SimSun" w:hAnsi="SimSun" w:eastAsia="SimSun" w:cs="SimSun"/>
          <w:sz w:val="21"/>
          <w:szCs w:val="21"/>
        </w:rPr>
        <w:t xml:space="preserve"> </w:t>
      </w:r>
      <w:r>
        <w:rPr>
          <w:rFonts w:ascii="SimSun" w:hAnsi="SimSun" w:eastAsia="SimSun" w:cs="SimSun"/>
          <w:sz w:val="21"/>
          <w:szCs w:val="21"/>
          <w:spacing w:val="-2"/>
        </w:rPr>
        <w:t>以达到持续改进的目的，确保满足业务目标和相关需求。</w:t>
      </w:r>
    </w:p>
    <w:p>
      <w:pPr>
        <w:spacing w:line="138" w:lineRule="exact"/>
        <w:rPr/>
      </w:pPr>
      <w:r/>
    </w:p>
    <w:tbl>
      <w:tblPr>
        <w:tblStyle w:val="TableNormal"/>
        <w:tblW w:w="766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70"/>
      </w:tblGrid>
      <w:tr>
        <w:trPr>
          <w:trHeight w:val="353" w:hRule="atLeast"/>
        </w:trPr>
        <w:tc>
          <w:tcPr>
            <w:tcW w:w="734" w:type="dxa"/>
            <w:vAlign w:val="top"/>
          </w:tcPr>
          <w:p>
            <w:pPr>
              <w:pStyle w:val="TableText"/>
              <w:ind w:left="105"/>
              <w:spacing w:before="102" w:line="221" w:lineRule="auto"/>
              <w:rPr/>
            </w:pPr>
            <w:r>
              <w:rPr>
                <w:spacing w:val="-2"/>
              </w:rPr>
              <w:t>序号</w:t>
            </w:r>
          </w:p>
        </w:tc>
        <w:tc>
          <w:tcPr>
            <w:tcW w:w="315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1167" w:hRule="atLeast"/>
        </w:trPr>
        <w:tc>
          <w:tcPr>
            <w:tcW w:w="734" w:type="dxa"/>
            <w:vAlign w:val="top"/>
          </w:tcPr>
          <w:p>
            <w:pPr>
              <w:spacing w:line="247" w:lineRule="auto"/>
              <w:rPr>
                <w:rFonts w:ascii="Arial"/>
                <w:sz w:val="21"/>
              </w:rPr>
            </w:pPr>
            <w:r/>
          </w:p>
          <w:p>
            <w:pPr>
              <w:spacing w:line="248" w:lineRule="auto"/>
              <w:rPr>
                <w:rFonts w:ascii="Arial"/>
                <w:sz w:val="21"/>
              </w:rPr>
            </w:pPr>
            <w:r/>
          </w:p>
          <w:p>
            <w:pPr>
              <w:pStyle w:val="TableText"/>
              <w:ind w:left="105"/>
              <w:spacing w:before="48" w:line="183" w:lineRule="auto"/>
              <w:rPr/>
            </w:pPr>
            <w:r>
              <w:rPr>
                <w:spacing w:val="-2"/>
              </w:rPr>
              <w:t>5.2</w:t>
            </w:r>
          </w:p>
        </w:tc>
        <w:tc>
          <w:tcPr>
            <w:tcW w:w="3156" w:type="dxa"/>
            <w:vAlign w:val="top"/>
          </w:tcPr>
          <w:p>
            <w:pPr>
              <w:spacing w:line="455" w:lineRule="auto"/>
              <w:rPr>
                <w:rFonts w:ascii="Arial"/>
                <w:sz w:val="21"/>
              </w:rPr>
            </w:pPr>
            <w:r/>
          </w:p>
          <w:p>
            <w:pPr>
              <w:pStyle w:val="TableText"/>
              <w:ind w:left="221"/>
              <w:spacing w:before="49" w:line="219" w:lineRule="auto"/>
              <w:rPr/>
            </w:pPr>
            <w:r>
              <w:rPr>
                <w:spacing w:val="-1"/>
              </w:rPr>
              <w:t>组织在其行业内发布并分享整合最佳实践</w:t>
            </w:r>
          </w:p>
        </w:tc>
        <w:tc>
          <w:tcPr>
            <w:tcW w:w="3770" w:type="dxa"/>
            <w:vAlign w:val="top"/>
          </w:tcPr>
          <w:p>
            <w:pPr>
              <w:pStyle w:val="TableText"/>
              <w:ind w:left="265"/>
              <w:spacing w:before="88" w:line="219" w:lineRule="auto"/>
              <w:rPr/>
            </w:pPr>
            <w:r>
              <w:rPr>
                <w:spacing w:val="1"/>
              </w:rPr>
              <w:t>●定量模型</w:t>
            </w:r>
          </w:p>
          <w:p>
            <w:pPr>
              <w:pStyle w:val="TableText"/>
              <w:ind w:left="265"/>
              <w:spacing w:before="112" w:line="219" w:lineRule="auto"/>
              <w:rPr/>
            </w:pPr>
            <w:r>
              <w:rPr/>
              <w:t>●性能触发因素和阈值</w:t>
            </w:r>
          </w:p>
          <w:p>
            <w:pPr>
              <w:pStyle w:val="TableText"/>
              <w:ind w:left="265"/>
              <w:spacing w:before="111" w:line="219" w:lineRule="auto"/>
              <w:rPr/>
            </w:pPr>
            <w:r>
              <w:rPr/>
              <w:t>●根本原因分析结果</w:t>
            </w:r>
          </w:p>
          <w:p>
            <w:pPr>
              <w:pStyle w:val="TableText"/>
              <w:ind w:left="265"/>
              <w:spacing w:before="112" w:line="219" w:lineRule="auto"/>
              <w:rPr/>
            </w:pPr>
            <w:r>
              <w:rPr/>
              <w:t>●演示材料、白皮书或发表的文章</w:t>
            </w:r>
          </w:p>
        </w:tc>
      </w:tr>
    </w:tbl>
    <w:p>
      <w:pPr>
        <w:ind w:left="319"/>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42" w:firstLine="409"/>
        <w:spacing w:before="70" w:line="238" w:lineRule="auto"/>
        <w:rPr>
          <w:rFonts w:ascii="SimSun" w:hAnsi="SimSun" w:eastAsia="SimSun" w:cs="SimSun"/>
          <w:sz w:val="21"/>
          <w:szCs w:val="21"/>
        </w:rPr>
      </w:pPr>
      <w:r>
        <w:rPr>
          <w:rFonts w:ascii="SimSun" w:hAnsi="SimSun" w:eastAsia="SimSun" w:cs="SimSun"/>
          <w:sz w:val="21"/>
          <w:szCs w:val="21"/>
          <w:spacing w:val="15"/>
        </w:rPr>
        <w:t>组织在数据集成活动上应该积极分享实践成功经验，为行业最佳实践</w:t>
      </w:r>
      <w:r>
        <w:rPr>
          <w:rFonts w:ascii="SimSun" w:hAnsi="SimSun" w:eastAsia="SimSun" w:cs="SimSun"/>
          <w:sz w:val="21"/>
          <w:szCs w:val="21"/>
          <w:spacing w:val="14"/>
        </w:rPr>
        <w:t>做贡</w:t>
      </w:r>
      <w:r>
        <w:rPr>
          <w:rFonts w:ascii="SimSun" w:hAnsi="SimSun" w:eastAsia="SimSun" w:cs="SimSun"/>
          <w:sz w:val="21"/>
          <w:szCs w:val="21"/>
        </w:rPr>
        <w:t xml:space="preserve"> </w:t>
      </w:r>
      <w:r>
        <w:rPr>
          <w:rFonts w:ascii="SimSun" w:hAnsi="SimSun" w:eastAsia="SimSun" w:cs="SimSun"/>
          <w:sz w:val="21"/>
          <w:szCs w:val="21"/>
          <w:spacing w:val="-4"/>
        </w:rPr>
        <w:t>献。</w:t>
      </w:r>
    </w:p>
    <w:p>
      <w:pPr>
        <w:spacing w:line="238" w:lineRule="auto"/>
        <w:sectPr>
          <w:footerReference w:type="default" r:id="rId326"/>
          <w:pgSz w:w="8870" w:h="13400"/>
          <w:pgMar w:top="400" w:right="708" w:bottom="498" w:left="294" w:header="0" w:footer="289" w:gutter="0"/>
        </w:sectPr>
        <w:rPr>
          <w:rFonts w:ascii="SimSun" w:hAnsi="SimSun" w:eastAsia="SimSun" w:cs="SimSun"/>
          <w:sz w:val="21"/>
          <w:szCs w:val="21"/>
        </w:rPr>
      </w:pPr>
    </w:p>
    <w:p>
      <w:pPr>
        <w:ind w:left="99"/>
        <w:spacing w:before="23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20" name="IM 220"/>
            <wp:cNvGraphicFramePr/>
            <a:graphic>
              <a:graphicData uri="http://schemas.openxmlformats.org/drawingml/2006/picture">
                <pic:pic>
                  <pic:nvPicPr>
                    <pic:cNvPr id="220" name="IM 220"/>
                    <pic:cNvPicPr/>
                  </pic:nvPicPr>
                  <pic:blipFill>
                    <a:blip r:embed="rId328"/>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pStyle w:val="BodyText"/>
        <w:spacing w:line="357" w:lineRule="auto"/>
        <w:rPr/>
      </w:pPr>
      <w:r/>
    </w:p>
    <w:p>
      <w:pPr>
        <w:ind w:left="673"/>
        <w:spacing w:before="72" w:line="224" w:lineRule="auto"/>
        <w:outlineLvl w:val="4"/>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1"/>
        </w:rPr>
        <w:t xml:space="preserve"> </w:t>
      </w:r>
      <w:r>
        <w:rPr>
          <w:rFonts w:ascii="YouYuan" w:hAnsi="YouYuan" w:eastAsia="YouYuan" w:cs="YouYuan"/>
          <w:sz w:val="22"/>
          <w:szCs w:val="22"/>
          <w:b/>
          <w:bCs/>
          <w:spacing w:val="-1"/>
        </w:rPr>
        <w:t>实施案例</w:t>
      </w:r>
    </w:p>
    <w:p>
      <w:pPr>
        <w:ind w:left="669"/>
        <w:spacing w:before="200" w:line="320" w:lineRule="exact"/>
        <w:rPr>
          <w:rFonts w:ascii="SimSun" w:hAnsi="SimSun" w:eastAsia="SimSun" w:cs="SimSun"/>
          <w:sz w:val="22"/>
          <w:szCs w:val="22"/>
        </w:rPr>
      </w:pPr>
      <w:r>
        <w:rPr>
          <w:rFonts w:ascii="SimSun" w:hAnsi="SimSun" w:eastAsia="SimSun" w:cs="SimSun"/>
          <w:sz w:val="22"/>
          <w:szCs w:val="22"/>
          <w:spacing w:val="1"/>
          <w:position w:val="7"/>
        </w:rPr>
        <w:t>(1)文件名称列表</w:t>
      </w:r>
    </w:p>
    <w:p>
      <w:pPr>
        <w:ind w:left="559"/>
        <w:spacing w:line="219" w:lineRule="auto"/>
        <w:rPr>
          <w:rFonts w:ascii="SimSun" w:hAnsi="SimSun" w:eastAsia="SimSun" w:cs="SimSun"/>
          <w:sz w:val="22"/>
          <w:szCs w:val="22"/>
        </w:rPr>
      </w:pPr>
      <w:r>
        <w:rPr>
          <w:rFonts w:ascii="SimSun" w:hAnsi="SimSun" w:eastAsia="SimSun" w:cs="SimSun"/>
          <w:sz w:val="22"/>
          <w:szCs w:val="22"/>
          <w:spacing w:val="-11"/>
        </w:rPr>
        <w:t>《数据集成标准》</w:t>
      </w:r>
    </w:p>
    <w:p>
      <w:pPr>
        <w:ind w:left="669"/>
        <w:spacing w:before="48" w:line="339" w:lineRule="exact"/>
        <w:rPr>
          <w:rFonts w:ascii="SimSun" w:hAnsi="SimSun" w:eastAsia="SimSun" w:cs="SimSun"/>
          <w:sz w:val="22"/>
          <w:szCs w:val="22"/>
        </w:rPr>
      </w:pPr>
      <w:r>
        <w:rPr>
          <w:rFonts w:ascii="SimSun" w:hAnsi="SimSun" w:eastAsia="SimSun" w:cs="SimSun"/>
          <w:sz w:val="22"/>
          <w:szCs w:val="22"/>
          <w:spacing w:val="1"/>
          <w:position w:val="8"/>
        </w:rPr>
        <w:t>(2)记录文件列表</w:t>
      </w:r>
    </w:p>
    <w:p>
      <w:pPr>
        <w:ind w:left="559"/>
        <w:spacing w:before="1" w:line="217" w:lineRule="auto"/>
        <w:rPr>
          <w:rFonts w:ascii="SimSun" w:hAnsi="SimSun" w:eastAsia="SimSun" w:cs="SimSun"/>
          <w:sz w:val="22"/>
          <w:szCs w:val="22"/>
        </w:rPr>
      </w:pPr>
      <w:r>
        <w:rPr>
          <w:rFonts w:ascii="SimSun" w:hAnsi="SimSun" w:eastAsia="SimSun" w:cs="SimSun"/>
          <w:sz w:val="22"/>
          <w:szCs w:val="22"/>
          <w:spacing w:val="-8"/>
        </w:rPr>
        <w:t>《数据测试报告》</w:t>
      </w:r>
    </w:p>
    <w:p>
      <w:pPr>
        <w:ind w:left="669"/>
        <w:spacing w:before="63" w:line="220" w:lineRule="auto"/>
        <w:rPr>
          <w:rFonts w:ascii="SimSun" w:hAnsi="SimSun" w:eastAsia="SimSun" w:cs="SimSun"/>
          <w:sz w:val="22"/>
          <w:szCs w:val="22"/>
        </w:rPr>
      </w:pPr>
      <w:r>
        <w:rPr>
          <w:rFonts w:ascii="SimSun" w:hAnsi="SimSun" w:eastAsia="SimSun" w:cs="SimSun"/>
          <w:sz w:val="22"/>
          <w:szCs w:val="22"/>
          <w:spacing w:val="8"/>
        </w:rPr>
        <w:t>(3)实施案例</w:t>
      </w:r>
    </w:p>
    <w:p>
      <w:pPr>
        <w:spacing w:line="113" w:lineRule="exact"/>
        <w:rPr/>
      </w:pPr>
      <w:r/>
    </w:p>
    <w:tbl>
      <w:tblPr>
        <w:tblStyle w:val="TableNormal"/>
        <w:tblW w:w="7719" w:type="dxa"/>
        <w:tblInd w:w="280" w:type="dxa"/>
        <w:tblLayout w:type="fixed"/>
        <w:tblBorders>
          <w:left w:val="single" w:color="000000" w:sz="4" w:space="0"/>
          <w:bottom w:val="single" w:color="000000" w:sz="4" w:space="0"/>
          <w:right w:val="single" w:color="000000" w:sz="4" w:space="0"/>
          <w:top w:val="single" w:color="000000" w:sz="4" w:space="0"/>
        </w:tblBorders>
      </w:tblPr>
      <w:tblGrid>
        <w:gridCol w:w="7719"/>
      </w:tblGrid>
      <w:tr>
        <w:trPr>
          <w:trHeight w:val="8730" w:hRule="atLeast"/>
        </w:trPr>
        <w:tc>
          <w:tcPr>
            <w:tcW w:w="7719" w:type="dxa"/>
            <w:vAlign w:val="top"/>
          </w:tcPr>
          <w:p>
            <w:pPr>
              <w:pStyle w:val="TableText"/>
              <w:ind w:left="3024"/>
              <w:spacing w:before="91" w:line="219" w:lineRule="auto"/>
              <w:rPr/>
            </w:pPr>
            <w:r>
              <w:rPr>
                <w:spacing w:val="-1"/>
              </w:rPr>
              <w:t>数据跨域互操作技术规范</w:t>
            </w:r>
          </w:p>
          <w:p>
            <w:pPr>
              <w:pStyle w:val="TableText"/>
              <w:ind w:left="254"/>
              <w:spacing w:before="92" w:line="220" w:lineRule="auto"/>
              <w:rPr/>
            </w:pPr>
            <w:r>
              <w:rPr>
                <w:spacing w:val="-7"/>
              </w:rPr>
              <w:t>1</w:t>
            </w:r>
            <w:r>
              <w:rPr>
                <w:spacing w:val="15"/>
              </w:rPr>
              <w:t xml:space="preserve">  </w:t>
            </w:r>
            <w:r>
              <w:rPr>
                <w:spacing w:val="-7"/>
              </w:rPr>
              <w:t>范围</w:t>
            </w:r>
          </w:p>
          <w:p>
            <w:pPr>
              <w:pStyle w:val="TableText"/>
              <w:ind w:left="254"/>
              <w:spacing w:before="119" w:line="219" w:lineRule="auto"/>
              <w:rPr/>
            </w:pPr>
            <w:r>
              <w:rPr/>
              <w:t>本规范规定了××项目内数据跨域互操作接口采用的协议、连接方式、调用参数以及数</w:t>
            </w:r>
            <w:r>
              <w:rPr>
                <w:spacing w:val="-1"/>
              </w:rPr>
              <w:t>据的返回格式。</w:t>
            </w:r>
          </w:p>
          <w:p>
            <w:pPr>
              <w:pStyle w:val="TableText"/>
              <w:ind w:left="254"/>
              <w:spacing w:before="83" w:line="219" w:lineRule="auto"/>
              <w:rPr/>
            </w:pPr>
            <w:r>
              <w:rPr>
                <w:spacing w:val="-1"/>
              </w:rPr>
              <w:t>2规范性引用文件</w:t>
            </w:r>
          </w:p>
          <w:p>
            <w:pPr>
              <w:pStyle w:val="TableText"/>
              <w:ind w:left="124" w:right="244" w:firstLine="149"/>
              <w:spacing w:before="100" w:line="282" w:lineRule="auto"/>
              <w:rPr/>
            </w:pPr>
            <w:r>
              <w:rPr/>
              <w:t>下列文件对于本文件的应用是必不可少的。凡是注日期的引用文件，仅所注日期的</w:t>
            </w:r>
            <w:r>
              <w:rPr>
                <w:spacing w:val="-1"/>
              </w:rPr>
              <w:t>版本适用于本文件。凡是不</w:t>
            </w:r>
            <w:r>
              <w:rPr/>
              <w:t xml:space="preserve"> </w:t>
            </w:r>
            <w:r>
              <w:rPr/>
              <w:t>注日期的引用文件，其最新版本(包括所有的修改单)适</w:t>
            </w:r>
            <w:r>
              <w:rPr>
                <w:spacing w:val="-1"/>
              </w:rPr>
              <w:t>用于本文件。</w:t>
            </w:r>
          </w:p>
          <w:p>
            <w:pPr>
              <w:pStyle w:val="TableText"/>
              <w:ind w:left="254"/>
              <w:spacing w:before="113" w:line="219" w:lineRule="auto"/>
              <w:rPr/>
            </w:pPr>
            <w:r>
              <w:rPr>
                <w:spacing w:val="-1"/>
              </w:rPr>
              <w:t>GB 18030—2005信息技术中文编码字符集</w:t>
            </w:r>
          </w:p>
          <w:p>
            <w:pPr>
              <w:pStyle w:val="TableText"/>
              <w:ind w:left="254"/>
              <w:spacing w:before="112" w:line="219" w:lineRule="auto"/>
              <w:rPr/>
            </w:pPr>
            <w:r>
              <w:rPr>
                <w:spacing w:val="-7"/>
              </w:rPr>
              <w:t>3</w:t>
            </w:r>
            <w:r>
              <w:rPr>
                <w:spacing w:val="-27"/>
              </w:rPr>
              <w:t xml:space="preserve"> </w:t>
            </w:r>
            <w:r>
              <w:rPr>
                <w:spacing w:val="-7"/>
              </w:rPr>
              <w:t>术</w:t>
            </w:r>
            <w:r>
              <w:rPr>
                <w:spacing w:val="-31"/>
              </w:rPr>
              <w:t xml:space="preserve"> </w:t>
            </w:r>
            <w:r>
              <w:rPr>
                <w:spacing w:val="-7"/>
              </w:rPr>
              <w:t>语</w:t>
            </w:r>
            <w:r>
              <w:rPr>
                <w:spacing w:val="-30"/>
              </w:rPr>
              <w:t xml:space="preserve"> </w:t>
            </w:r>
            <w:r>
              <w:rPr>
                <w:spacing w:val="-7"/>
              </w:rPr>
              <w:t>和</w:t>
            </w:r>
            <w:r>
              <w:rPr>
                <w:spacing w:val="-27"/>
              </w:rPr>
              <w:t xml:space="preserve"> </w:t>
            </w:r>
            <w:r>
              <w:rPr>
                <w:spacing w:val="-7"/>
              </w:rPr>
              <w:t>定</w:t>
            </w:r>
            <w:r>
              <w:rPr>
                <w:spacing w:val="-29"/>
              </w:rPr>
              <w:t xml:space="preserve"> </w:t>
            </w:r>
            <w:r>
              <w:rPr>
                <w:spacing w:val="-7"/>
              </w:rPr>
              <w:t>义</w:t>
            </w:r>
          </w:p>
          <w:p>
            <w:pPr>
              <w:pStyle w:val="TableText"/>
              <w:ind w:left="254"/>
              <w:spacing w:before="81" w:line="219" w:lineRule="auto"/>
              <w:rPr/>
            </w:pPr>
            <w:r>
              <w:rPr>
                <w:spacing w:val="-1"/>
              </w:rPr>
              <w:t>下列术语和定义适用于本规范。</w:t>
            </w:r>
          </w:p>
          <w:p>
            <w:pPr>
              <w:pStyle w:val="TableText"/>
              <w:ind w:left="254"/>
              <w:spacing w:before="134" w:line="221" w:lineRule="auto"/>
              <w:rPr/>
            </w:pPr>
            <w:r>
              <w:rPr>
                <w:spacing w:val="3"/>
              </w:rPr>
              <w:t>(1)资源(</w:t>
            </w:r>
            <w:r>
              <w:rPr/>
              <w:t>resource</w:t>
            </w:r>
            <w:r>
              <w:rPr>
                <w:spacing w:val="3"/>
              </w:rPr>
              <w:t>)</w:t>
            </w:r>
          </w:p>
          <w:p>
            <w:pPr>
              <w:pStyle w:val="TableText"/>
              <w:ind w:left="254"/>
              <w:spacing w:before="90" w:line="219" w:lineRule="auto"/>
              <w:rPr/>
            </w:pPr>
            <w:r>
              <w:rPr>
                <w:spacing w:val="-1"/>
              </w:rPr>
              <w:t>可以被标识的实体对象或服务。</w:t>
            </w:r>
          </w:p>
          <w:p>
            <w:pPr>
              <w:pStyle w:val="TableText"/>
              <w:ind w:left="254"/>
              <w:spacing w:before="111" w:line="219" w:lineRule="auto"/>
              <w:rPr/>
            </w:pPr>
            <w:r>
              <w:rPr>
                <w:spacing w:val="-1"/>
              </w:rPr>
              <w:t>在本规范准中，特指可被标识的数据集、数据或服务。</w:t>
            </w:r>
          </w:p>
          <w:p>
            <w:pPr>
              <w:pStyle w:val="TableText"/>
              <w:ind w:left="254"/>
              <w:spacing w:before="103" w:line="219" w:lineRule="auto"/>
              <w:rPr/>
            </w:pPr>
            <w:r>
              <w:rPr>
                <w:spacing w:val="4"/>
              </w:rPr>
              <w:t>(2)数据集(</w:t>
            </w:r>
            <w:r>
              <w:rPr/>
              <w:t>dataset</w:t>
            </w:r>
            <w:r>
              <w:rPr>
                <w:spacing w:val="4"/>
              </w:rPr>
              <w:t>)</w:t>
            </w:r>
          </w:p>
          <w:p>
            <w:pPr>
              <w:pStyle w:val="TableText"/>
              <w:ind w:left="124" w:right="227" w:firstLine="149"/>
              <w:spacing w:before="92" w:line="281" w:lineRule="auto"/>
              <w:rPr/>
            </w:pPr>
            <w:r>
              <w:rPr>
                <w:spacing w:val="-2"/>
              </w:rPr>
              <w:t>由相关数据组成的可标识集合。</w:t>
            </w:r>
            <w:r>
              <w:rPr>
                <w:spacing w:val="31"/>
              </w:rPr>
              <w:t xml:space="preserve"> </w:t>
            </w:r>
            <w:r>
              <w:rPr>
                <w:spacing w:val="-2"/>
              </w:rPr>
              <w:t>一个数据集可能是一个较小的数据集合，在物理上或逻辑上位于一</w:t>
            </w:r>
            <w:r>
              <w:rPr>
                <w:spacing w:val="-3"/>
              </w:rPr>
              <w:t>个较大的数</w:t>
            </w:r>
            <w:r>
              <w:rPr/>
              <w:t xml:space="preserve"> </w:t>
            </w:r>
            <w:r>
              <w:rPr>
                <w:spacing w:val="-3"/>
              </w:rPr>
              <w:t>据集之内；反之，</w:t>
            </w:r>
            <w:r>
              <w:rPr>
                <w:spacing w:val="42"/>
              </w:rPr>
              <w:t xml:space="preserve"> </w:t>
            </w:r>
            <w:r>
              <w:rPr>
                <w:spacing w:val="-3"/>
              </w:rPr>
              <w:t>一个数据集也可能由若干数据集组成，是这些子</w:t>
            </w:r>
            <w:r>
              <w:rPr>
                <w:spacing w:val="-4"/>
              </w:rPr>
              <w:t>数据集的父数据集。</w:t>
            </w:r>
          </w:p>
          <w:p>
            <w:pPr>
              <w:pStyle w:val="TableText"/>
              <w:ind w:left="254"/>
              <w:spacing w:before="102" w:line="219" w:lineRule="auto"/>
              <w:rPr/>
            </w:pPr>
            <w:r>
              <w:rPr/>
              <w:t>本规范中，数据集指XX项目的主题数据库、参考数据库、专题数据库、专业数据库及</w:t>
            </w:r>
            <w:r>
              <w:rPr>
                <w:spacing w:val="-1"/>
              </w:rPr>
              <w:t>其各级子库。</w:t>
            </w:r>
          </w:p>
          <w:p>
            <w:pPr>
              <w:pStyle w:val="TableText"/>
              <w:ind w:left="254"/>
              <w:spacing w:before="113" w:line="219" w:lineRule="auto"/>
              <w:rPr/>
            </w:pPr>
            <w:r>
              <w:rPr>
                <w:spacing w:val="3"/>
              </w:rPr>
              <w:t>(3)数据(</w:t>
            </w:r>
            <w:r>
              <w:rPr/>
              <w:t>data</w:t>
            </w:r>
            <w:r>
              <w:rPr>
                <w:spacing w:val="3"/>
              </w:rPr>
              <w:t>)</w:t>
            </w:r>
          </w:p>
          <w:p>
            <w:pPr>
              <w:pStyle w:val="TableText"/>
              <w:ind w:left="254"/>
              <w:spacing w:before="101" w:line="219" w:lineRule="auto"/>
              <w:rPr/>
            </w:pPr>
            <w:r>
              <w:rPr/>
              <w:t>对事实、概念或指令的一种形式化表示，适用于以人工或自动方式进行通信、</w:t>
            </w:r>
            <w:r>
              <w:rPr>
                <w:spacing w:val="-1"/>
              </w:rPr>
              <w:t>解释或处理。</w:t>
            </w:r>
          </w:p>
          <w:p>
            <w:pPr>
              <w:pStyle w:val="TableText"/>
              <w:ind w:left="115" w:right="260" w:firstLine="139"/>
              <w:spacing w:before="113" w:line="275" w:lineRule="auto"/>
              <w:rPr/>
            </w:pPr>
            <w:r>
              <w:rPr/>
              <w:t>本规范中，数据是指所有能输入到计算机并被计算机程序处理的符号介质的总称，是用于输</w:t>
            </w:r>
            <w:r>
              <w:rPr>
                <w:spacing w:val="-1"/>
              </w:rPr>
              <w:t>入电子计算机进行</w:t>
            </w:r>
            <w:r>
              <w:rPr/>
              <w:t xml:space="preserve"> </w:t>
            </w:r>
            <w:r>
              <w:rPr/>
              <w:t>处理，具有一定意义的数字、字母、符号和模</w:t>
            </w:r>
            <w:r>
              <w:rPr>
                <w:spacing w:val="-1"/>
              </w:rPr>
              <w:t>拟量等的通称。</w:t>
            </w:r>
          </w:p>
          <w:p>
            <w:pPr>
              <w:pStyle w:val="TableText"/>
              <w:ind w:left="254"/>
              <w:spacing w:before="104" w:line="219" w:lineRule="auto"/>
              <w:rPr/>
            </w:pPr>
            <w:r>
              <w:rPr>
                <w:spacing w:val="4"/>
              </w:rPr>
              <w:t>(4)服务(</w:t>
            </w:r>
            <w:r>
              <w:rPr/>
              <w:t>service</w:t>
            </w:r>
            <w:r>
              <w:rPr>
                <w:spacing w:val="4"/>
              </w:rPr>
              <w:t>)</w:t>
            </w:r>
          </w:p>
          <w:p>
            <w:pPr>
              <w:pStyle w:val="TableText"/>
              <w:spacing w:before="111" w:line="219" w:lineRule="auto"/>
              <w:jc w:val="right"/>
              <w:rPr/>
            </w:pPr>
            <w:r>
              <w:rPr>
                <w:spacing w:val="-1"/>
              </w:rPr>
              <w:t>本规范中，服务是指××项目中数据集满足应用系统或者人的需要时，与之</w:t>
            </w:r>
            <w:r>
              <w:rPr>
                <w:spacing w:val="-2"/>
              </w:rPr>
              <w:t>发生的“直接”接触行为及有关结果。</w:t>
            </w:r>
          </w:p>
          <w:p>
            <w:pPr>
              <w:pStyle w:val="TableText"/>
              <w:ind w:left="254"/>
              <w:spacing w:before="103" w:line="219" w:lineRule="auto"/>
              <w:rPr/>
            </w:pPr>
            <w:r>
              <w:rPr>
                <w:spacing w:val="3"/>
              </w:rPr>
              <w:t>(5)标识符(</w:t>
            </w:r>
            <w:r>
              <w:rPr/>
              <w:t>identifier</w:t>
            </w:r>
            <w:r>
              <w:rPr>
                <w:spacing w:val="3"/>
              </w:rPr>
              <w:t>)</w:t>
            </w:r>
          </w:p>
          <w:p>
            <w:pPr>
              <w:pStyle w:val="TableText"/>
              <w:ind w:left="254"/>
              <w:spacing w:before="92" w:line="219" w:lineRule="auto"/>
              <w:rPr/>
            </w:pPr>
            <w:r>
              <w:rPr>
                <w:spacing w:val="-1"/>
              </w:rPr>
              <w:t>用于标识数据对象或服务项目的一组字符。</w:t>
            </w:r>
          </w:p>
          <w:p>
            <w:pPr>
              <w:pStyle w:val="TableText"/>
              <w:ind w:left="254"/>
              <w:spacing w:before="111" w:line="219" w:lineRule="auto"/>
              <w:rPr/>
            </w:pPr>
            <w:r>
              <w:rPr>
                <w:spacing w:val="-1"/>
              </w:rPr>
              <w:t>4符号与缩略语</w:t>
            </w:r>
          </w:p>
          <w:p>
            <w:pPr>
              <w:pStyle w:val="TableText"/>
              <w:ind w:left="254"/>
              <w:spacing w:before="113" w:line="219" w:lineRule="auto"/>
              <w:rPr/>
            </w:pPr>
            <w:r>
              <w:rPr>
                <w:spacing w:val="1"/>
              </w:rPr>
              <w:t>(1)</w:t>
            </w:r>
            <w:r>
              <w:rPr/>
              <w:t>URI</w:t>
            </w:r>
            <w:r>
              <w:rPr>
                <w:spacing w:val="1"/>
              </w:rPr>
              <w:t>统一资源标识符(</w:t>
            </w:r>
            <w:r>
              <w:rPr/>
              <w:t>Uniform</w:t>
            </w:r>
            <w:r>
              <w:rPr>
                <w:spacing w:val="1"/>
              </w:rPr>
              <w:t xml:space="preserve"> </w:t>
            </w:r>
            <w:r>
              <w:rPr/>
              <w:t>Resource</w:t>
            </w:r>
            <w:r>
              <w:rPr>
                <w:spacing w:val="1"/>
              </w:rPr>
              <w:t xml:space="preserve"> </w:t>
            </w:r>
            <w:r>
              <w:rPr/>
              <w:t>Identifier</w:t>
            </w:r>
            <w:r>
              <w:rPr>
                <w:spacing w:val="1"/>
              </w:rPr>
              <w:t>)</w:t>
            </w:r>
          </w:p>
          <w:p>
            <w:pPr>
              <w:pStyle w:val="TableText"/>
              <w:ind w:left="254"/>
              <w:spacing w:before="102" w:line="219" w:lineRule="auto"/>
              <w:rPr/>
            </w:pPr>
            <w:r>
              <w:rPr>
                <w:spacing w:val="2"/>
              </w:rPr>
              <w:t>(2)</w:t>
            </w:r>
            <w:r>
              <w:rPr/>
              <w:t>URL</w:t>
            </w:r>
            <w:r>
              <w:rPr>
                <w:spacing w:val="2"/>
              </w:rPr>
              <w:t>统一资源定位符(</w:t>
            </w:r>
            <w:r>
              <w:rPr/>
              <w:t>Uniform</w:t>
            </w:r>
            <w:r>
              <w:rPr>
                <w:spacing w:val="2"/>
              </w:rPr>
              <w:t xml:space="preserve"> </w:t>
            </w:r>
            <w:r>
              <w:rPr/>
              <w:t>Resource</w:t>
            </w:r>
            <w:r>
              <w:rPr>
                <w:spacing w:val="2"/>
              </w:rPr>
              <w:t xml:space="preserve"> </w:t>
            </w:r>
            <w:r>
              <w:rPr/>
              <w:t>Locator</w:t>
            </w:r>
            <w:r>
              <w:rPr>
                <w:spacing w:val="2"/>
              </w:rPr>
              <w:t>)</w:t>
            </w:r>
          </w:p>
          <w:p>
            <w:pPr>
              <w:pStyle w:val="TableText"/>
              <w:ind w:left="254"/>
              <w:spacing w:before="77" w:line="214" w:lineRule="auto"/>
              <w:rPr/>
            </w:pPr>
            <w:r>
              <w:rPr>
                <w:spacing w:val="2"/>
              </w:rPr>
              <w:t>(3)</w:t>
            </w:r>
            <w:r>
              <w:rPr/>
              <w:t>XML</w:t>
            </w:r>
            <w:r>
              <w:rPr>
                <w:spacing w:val="2"/>
              </w:rPr>
              <w:t>可扩展标记语言(</w:t>
            </w:r>
            <w:r>
              <w:rPr/>
              <w:t>Extensible</w:t>
            </w:r>
            <w:r>
              <w:rPr>
                <w:spacing w:val="2"/>
              </w:rPr>
              <w:t xml:space="preserve"> </w:t>
            </w:r>
            <w:r>
              <w:rPr/>
              <w:t>Markup</w:t>
            </w:r>
            <w:r>
              <w:rPr>
                <w:spacing w:val="2"/>
              </w:rPr>
              <w:t xml:space="preserve"> </w:t>
            </w:r>
            <w:r>
              <w:rPr/>
              <w:t>Language</w:t>
            </w:r>
            <w:r>
              <w:rPr>
                <w:spacing w:val="2"/>
              </w:rPr>
              <w:t>)</w:t>
            </w:r>
          </w:p>
          <w:p>
            <w:pPr>
              <w:pStyle w:val="TableText"/>
              <w:ind w:left="254"/>
              <w:spacing w:before="131" w:line="219" w:lineRule="auto"/>
              <w:rPr/>
            </w:pPr>
            <w:r>
              <w:rPr>
                <w:spacing w:val="-1"/>
              </w:rPr>
              <w:t>5  数据格式定义</w:t>
            </w:r>
          </w:p>
          <w:p>
            <w:pPr>
              <w:pStyle w:val="TableText"/>
              <w:ind w:left="254"/>
              <w:spacing w:before="82" w:line="219" w:lineRule="auto"/>
              <w:rPr/>
            </w:pPr>
            <w:r>
              <w:rPr/>
              <w:t>1)接口的编码方式及响应格式</w:t>
            </w:r>
          </w:p>
          <w:p>
            <w:pPr>
              <w:pStyle w:val="TableText"/>
              <w:ind w:left="254"/>
              <w:spacing w:before="122" w:line="219" w:lineRule="auto"/>
              <w:rPr/>
            </w:pPr>
            <w:r>
              <w:rPr/>
              <w:t>(1)接口编码及响应方式</w:t>
            </w:r>
          </w:p>
        </w:tc>
      </w:tr>
    </w:tbl>
    <w:p>
      <w:pPr>
        <w:pStyle w:val="BodyText"/>
        <w:rPr/>
      </w:pPr>
      <w:r/>
    </w:p>
    <w:p>
      <w:pPr>
        <w:sectPr>
          <w:footerReference w:type="default" r:id="rId327"/>
          <w:pgSz w:w="8870" w:h="13400"/>
          <w:pgMar w:top="400" w:right="325" w:bottom="435" w:left="540" w:header="0" w:footer="216" w:gutter="0"/>
        </w:sectPr>
        <w:rPr/>
      </w:pPr>
    </w:p>
    <w:p>
      <w:pPr>
        <w:ind w:left="5533"/>
        <w:spacing w:before="154" w:line="219" w:lineRule="auto"/>
        <w:rPr>
          <w:rFonts w:ascii="SimSun" w:hAnsi="SimSun" w:eastAsia="SimSun" w:cs="SimSun"/>
          <w:sz w:val="22"/>
          <w:szCs w:val="22"/>
        </w:rPr>
      </w:pPr>
      <w:r>
        <w:rPr>
          <w:rFonts w:ascii="SimSun" w:hAnsi="SimSun" w:eastAsia="SimSun" w:cs="SimSun"/>
          <w:sz w:val="22"/>
          <w:szCs w:val="22"/>
          <w:b/>
          <w:bCs/>
          <w:spacing w:val="6"/>
        </w:rPr>
        <w:t>第7章■云端数据操作</w:t>
      </w:r>
    </w:p>
    <w:p>
      <w:pPr>
        <w:pStyle w:val="BodyText"/>
        <w:spacing w:line="251" w:lineRule="auto"/>
        <w:rPr/>
      </w:pPr>
      <w:r/>
    </w:p>
    <w:p>
      <w:pPr>
        <w:spacing w:before="71" w:line="223" w:lineRule="auto"/>
        <w:tabs>
          <w:tab w:val="left" w:pos="6939"/>
        </w:tabs>
        <w:rPr>
          <w:rFonts w:ascii="SimHei" w:hAnsi="SimHei" w:eastAsia="SimHei" w:cs="SimHei"/>
          <w:sz w:val="22"/>
          <w:szCs w:val="22"/>
        </w:rPr>
      </w:pPr>
      <w:r>
        <w:rPr>
          <w:rFonts w:ascii="SimHei" w:hAnsi="SimHei" w:eastAsia="SimHei" w:cs="SimHei"/>
          <w:sz w:val="22"/>
          <w:szCs w:val="22"/>
          <w:u w:val="single" w:color="auto"/>
        </w:rPr>
        <w:tab/>
      </w:r>
      <w:r>
        <w:rPr>
          <w:rFonts w:ascii="SimHei" w:hAnsi="SimHei" w:eastAsia="SimHei" w:cs="SimHei"/>
          <w:sz w:val="22"/>
          <w:szCs w:val="22"/>
          <w:u w:val="single" w:color="auto"/>
          <w:spacing w:val="-13"/>
          <w:w w:val="91"/>
        </w:rPr>
        <w:t>续表</w:t>
      </w:r>
      <w:r>
        <w:rPr>
          <w:rFonts w:ascii="SimHei" w:hAnsi="SimHei" w:eastAsia="SimHei" w:cs="SimHei"/>
          <w:sz w:val="22"/>
          <w:szCs w:val="22"/>
          <w:u w:val="single" w:color="auto"/>
        </w:rPr>
        <w:t xml:space="preserve">    </w:t>
      </w:r>
    </w:p>
    <w:p>
      <w:pPr>
        <w:ind w:left="120" w:right="295" w:firstLine="149"/>
        <w:spacing w:before="59" w:line="275" w:lineRule="auto"/>
        <w:rPr>
          <w:rFonts w:ascii="SimSun" w:hAnsi="SimSun" w:eastAsia="SimSun" w:cs="SimSun"/>
          <w:sz w:val="16"/>
          <w:szCs w:val="16"/>
        </w:rPr>
      </w:pPr>
      <w:r>
        <w:rPr>
          <w:rFonts w:ascii="SimSun" w:hAnsi="SimSun" w:eastAsia="SimSun" w:cs="SimSun"/>
          <w:sz w:val="16"/>
          <w:szCs w:val="16"/>
          <w:spacing w:val="-12"/>
        </w:rPr>
        <w:t>接口响应的数据基于</w:t>
      </w:r>
      <w:r>
        <w:rPr>
          <w:rFonts w:ascii="Times New Roman" w:hAnsi="Times New Roman" w:eastAsia="Times New Roman" w:cs="Times New Roman"/>
          <w:sz w:val="16"/>
          <w:szCs w:val="16"/>
          <w:spacing w:val="-12"/>
        </w:rPr>
        <w:t>xml </w:t>
      </w:r>
      <w:r>
        <w:rPr>
          <w:rFonts w:ascii="SimSun" w:hAnsi="SimSun" w:eastAsia="SimSun" w:cs="SimSun"/>
          <w:sz w:val="16"/>
          <w:szCs w:val="16"/>
          <w:spacing w:val="-12"/>
        </w:rPr>
        <w:t>语言格式，编码方式采用自定义编码的方</w:t>
      </w:r>
      <w:r>
        <w:rPr>
          <w:rFonts w:ascii="SimSun" w:hAnsi="SimSun" w:eastAsia="SimSun" w:cs="SimSun"/>
          <w:sz w:val="16"/>
          <w:szCs w:val="16"/>
          <w:spacing w:val="-13"/>
        </w:rPr>
        <w:t>式(常用编码方式包括：</w:t>
      </w:r>
      <w:r>
        <w:rPr>
          <w:rFonts w:ascii="Times New Roman" w:hAnsi="Times New Roman" w:eastAsia="Times New Roman" w:cs="Times New Roman"/>
          <w:sz w:val="16"/>
          <w:szCs w:val="16"/>
          <w:spacing w:val="-13"/>
        </w:rPr>
        <w:t>UTF-8</w:t>
      </w:r>
      <w:r>
        <w:rPr>
          <w:rFonts w:ascii="SimSun" w:hAnsi="SimSun" w:eastAsia="SimSun" w:cs="SimSun"/>
          <w:sz w:val="16"/>
          <w:szCs w:val="16"/>
          <w:spacing w:val="-13"/>
        </w:rPr>
        <w:t>、</w:t>
      </w:r>
      <w:r>
        <w:rPr>
          <w:rFonts w:ascii="Times New Roman" w:hAnsi="Times New Roman" w:eastAsia="Times New Roman" w:cs="Times New Roman"/>
          <w:sz w:val="16"/>
          <w:szCs w:val="16"/>
          <w:spacing w:val="-13"/>
        </w:rPr>
        <w:t>GBK</w:t>
      </w:r>
      <w:r>
        <w:rPr>
          <w:rFonts w:ascii="SimSun" w:hAnsi="SimSun" w:eastAsia="SimSun" w:cs="SimSun"/>
          <w:sz w:val="16"/>
          <w:szCs w:val="16"/>
          <w:spacing w:val="-13"/>
        </w:rPr>
        <w:t>、</w:t>
      </w:r>
      <w:r>
        <w:rPr>
          <w:rFonts w:ascii="Times New Roman" w:hAnsi="Times New Roman" w:eastAsia="Times New Roman" w:cs="Times New Roman"/>
          <w:sz w:val="16"/>
          <w:szCs w:val="16"/>
          <w:spacing w:val="-13"/>
        </w:rPr>
        <w:t>GB2312</w:t>
      </w:r>
      <w:r>
        <w:rPr>
          <w:rFonts w:ascii="SimSun" w:hAnsi="SimSun" w:eastAsia="SimSun" w:cs="SimSun"/>
          <w:sz w:val="16"/>
          <w:szCs w:val="16"/>
          <w:spacing w:val="-13"/>
        </w:rPr>
        <w:t>、</w:t>
      </w:r>
      <w:r>
        <w:rPr>
          <w:rFonts w:ascii="SimSun" w:hAnsi="SimSun" w:eastAsia="SimSun" w:cs="SimSun"/>
          <w:sz w:val="16"/>
          <w:szCs w:val="16"/>
        </w:rPr>
        <w:t xml:space="preserve"> </w:t>
      </w:r>
      <w:r>
        <w:rPr>
          <w:rFonts w:ascii="SimSun" w:hAnsi="SimSun" w:eastAsia="SimSun" w:cs="SimSun"/>
          <w:sz w:val="16"/>
          <w:szCs w:val="16"/>
          <w:spacing w:val="-3"/>
        </w:rPr>
        <w:t>ISO-8859-1等),接口响应数据所使用的编码方式必须在返回</w:t>
      </w:r>
      <w:r>
        <w:rPr>
          <w:rFonts w:ascii="Times New Roman" w:hAnsi="Times New Roman" w:eastAsia="Times New Roman" w:cs="Times New Roman"/>
          <w:sz w:val="16"/>
          <w:szCs w:val="16"/>
          <w:spacing w:val="-3"/>
        </w:rPr>
        <w:t>XML</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3"/>
        </w:rPr>
        <w:t>头信息的</w:t>
      </w:r>
      <w:r>
        <w:rPr>
          <w:rFonts w:ascii="Times New Roman" w:hAnsi="Times New Roman" w:eastAsia="Times New Roman" w:cs="Times New Roman"/>
          <w:sz w:val="16"/>
          <w:szCs w:val="16"/>
          <w:spacing w:val="-3"/>
        </w:rPr>
        <w:t>en</w:t>
      </w:r>
      <w:r>
        <w:rPr>
          <w:rFonts w:ascii="Times New Roman" w:hAnsi="Times New Roman" w:eastAsia="Times New Roman" w:cs="Times New Roman"/>
          <w:sz w:val="16"/>
          <w:szCs w:val="16"/>
          <w:spacing w:val="-4"/>
        </w:rPr>
        <w:t>coding</w:t>
      </w:r>
      <w:r>
        <w:rPr>
          <w:rFonts w:ascii="SimSun" w:hAnsi="SimSun" w:eastAsia="SimSun" w:cs="SimSun"/>
          <w:sz w:val="16"/>
          <w:szCs w:val="16"/>
          <w:spacing w:val="-4"/>
        </w:rPr>
        <w:t>属性中说明。</w:t>
      </w:r>
    </w:p>
    <w:p>
      <w:pPr>
        <w:ind w:left="270"/>
        <w:spacing w:before="94" w:line="219" w:lineRule="auto"/>
        <w:rPr>
          <w:rFonts w:ascii="SimSun" w:hAnsi="SimSun" w:eastAsia="SimSun" w:cs="SimSun"/>
          <w:sz w:val="16"/>
          <w:szCs w:val="16"/>
        </w:rPr>
      </w:pPr>
      <w:r>
        <w:rPr>
          <w:rFonts w:ascii="SimSun" w:hAnsi="SimSun" w:eastAsia="SimSun" w:cs="SimSun"/>
          <w:sz w:val="16"/>
          <w:szCs w:val="16"/>
          <w:spacing w:val="-3"/>
        </w:rPr>
        <w:t>(2)接口响应请求状态码</w:t>
      </w:r>
    </w:p>
    <w:p>
      <w:pPr>
        <w:ind w:left="270"/>
        <w:spacing w:before="100" w:line="219" w:lineRule="auto"/>
        <w:rPr>
          <w:rFonts w:ascii="SimSun" w:hAnsi="SimSun" w:eastAsia="SimSun" w:cs="SimSun"/>
          <w:sz w:val="16"/>
          <w:szCs w:val="16"/>
        </w:rPr>
      </w:pPr>
      <w:r>
        <w:rPr>
          <w:rFonts w:ascii="SimSun" w:hAnsi="SimSun" w:eastAsia="SimSun" w:cs="SimSun"/>
          <w:sz w:val="16"/>
          <w:szCs w:val="16"/>
          <w:spacing w:val="-9"/>
        </w:rPr>
        <w:t>以下状态码只列出接口中遇到的普遍问题，可根据数据库建库规</w:t>
      </w:r>
      <w:r>
        <w:rPr>
          <w:rFonts w:ascii="SimSun" w:hAnsi="SimSun" w:eastAsia="SimSun" w:cs="SimSun"/>
          <w:sz w:val="16"/>
          <w:szCs w:val="16"/>
          <w:spacing w:val="-10"/>
        </w:rPr>
        <w:t>范中规定的范围增加。</w:t>
      </w:r>
    </w:p>
    <w:p>
      <w:pPr>
        <w:spacing w:line="149" w:lineRule="exact"/>
        <w:rPr/>
      </w:pPr>
      <w:r/>
    </w:p>
    <w:tbl>
      <w:tblPr>
        <w:tblStyle w:val="TableNormal"/>
        <w:tblW w:w="713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3"/>
        <w:gridCol w:w="1957"/>
        <w:gridCol w:w="3719"/>
      </w:tblGrid>
      <w:tr>
        <w:trPr>
          <w:trHeight w:val="323" w:hRule="atLeast"/>
        </w:trPr>
        <w:tc>
          <w:tcPr>
            <w:tcW w:w="1463" w:type="dxa"/>
            <w:vAlign w:val="top"/>
          </w:tcPr>
          <w:p>
            <w:pPr>
              <w:pStyle w:val="TableText"/>
              <w:ind w:left="454"/>
              <w:spacing w:before="92" w:line="221" w:lineRule="auto"/>
              <w:rPr/>
            </w:pPr>
            <w:r>
              <w:rPr>
                <w:spacing w:val="-3"/>
              </w:rPr>
              <w:t>序</w:t>
            </w:r>
            <w:r>
              <w:rPr>
                <w:spacing w:val="3"/>
              </w:rPr>
              <w:t xml:space="preserve">   </w:t>
            </w:r>
            <w:r>
              <w:rPr>
                <w:spacing w:val="-3"/>
              </w:rPr>
              <w:t>号</w:t>
            </w:r>
          </w:p>
        </w:tc>
        <w:tc>
          <w:tcPr>
            <w:tcW w:w="1957" w:type="dxa"/>
            <w:vAlign w:val="top"/>
          </w:tcPr>
          <w:p>
            <w:pPr>
              <w:pStyle w:val="TableText"/>
              <w:ind w:left="592"/>
              <w:spacing w:before="91" w:line="219" w:lineRule="auto"/>
              <w:rPr/>
            </w:pPr>
            <w:r>
              <w:rPr>
                <w:spacing w:val="-1"/>
              </w:rPr>
              <w:t>通用状态码</w:t>
            </w:r>
          </w:p>
        </w:tc>
        <w:tc>
          <w:tcPr>
            <w:tcW w:w="3719" w:type="dxa"/>
            <w:vAlign w:val="top"/>
          </w:tcPr>
          <w:p>
            <w:pPr>
              <w:pStyle w:val="TableText"/>
              <w:ind w:left="1435"/>
              <w:spacing w:before="91" w:line="219" w:lineRule="auto"/>
              <w:rPr/>
            </w:pPr>
            <w:r>
              <w:rPr>
                <w:spacing w:val="-6"/>
              </w:rPr>
              <w:t>相</w:t>
            </w:r>
            <w:r>
              <w:rPr>
                <w:spacing w:val="21"/>
                <w:w w:val="101"/>
              </w:rPr>
              <w:t xml:space="preserve"> </w:t>
            </w:r>
            <w:r>
              <w:rPr>
                <w:spacing w:val="-6"/>
              </w:rPr>
              <w:t>关</w:t>
            </w:r>
            <w:r>
              <w:rPr>
                <w:spacing w:val="20"/>
              </w:rPr>
              <w:t xml:space="preserve"> </w:t>
            </w:r>
            <w:r>
              <w:rPr>
                <w:spacing w:val="-6"/>
              </w:rPr>
              <w:t>说</w:t>
            </w:r>
            <w:r>
              <w:rPr>
                <w:spacing w:val="32"/>
              </w:rPr>
              <w:t xml:space="preserve"> </w:t>
            </w:r>
            <w:r>
              <w:rPr>
                <w:spacing w:val="-6"/>
              </w:rPr>
              <w:t>明</w:t>
            </w:r>
          </w:p>
        </w:tc>
      </w:tr>
      <w:tr>
        <w:trPr>
          <w:trHeight w:val="319" w:hRule="atLeast"/>
        </w:trPr>
        <w:tc>
          <w:tcPr>
            <w:tcW w:w="1463" w:type="dxa"/>
            <w:vAlign w:val="top"/>
          </w:tcPr>
          <w:p>
            <w:pPr>
              <w:pStyle w:val="TableText"/>
              <w:ind w:left="684"/>
              <w:spacing w:before="126" w:line="184" w:lineRule="auto"/>
              <w:rPr/>
            </w:pPr>
            <w:r>
              <w:rPr/>
              <w:t>1</w:t>
            </w:r>
          </w:p>
        </w:tc>
        <w:tc>
          <w:tcPr>
            <w:tcW w:w="1957" w:type="dxa"/>
            <w:vAlign w:val="top"/>
          </w:tcPr>
          <w:p>
            <w:pPr>
              <w:pStyle w:val="TableText"/>
              <w:ind w:left="852"/>
              <w:spacing w:before="126" w:line="183" w:lineRule="auto"/>
              <w:rPr/>
            </w:pPr>
            <w:r>
              <w:rPr>
                <w:spacing w:val="-2"/>
              </w:rPr>
              <w:t>200</w:t>
            </w:r>
          </w:p>
        </w:tc>
        <w:tc>
          <w:tcPr>
            <w:tcW w:w="3719" w:type="dxa"/>
            <w:vAlign w:val="top"/>
          </w:tcPr>
          <w:p>
            <w:pPr>
              <w:pStyle w:val="TableText"/>
              <w:ind w:left="1404"/>
              <w:spacing w:before="88" w:line="219" w:lineRule="auto"/>
              <w:rPr/>
            </w:pPr>
            <w:r>
              <w:rPr>
                <w:spacing w:val="-1"/>
              </w:rPr>
              <w:t>服务调用成功</w:t>
            </w:r>
          </w:p>
        </w:tc>
      </w:tr>
      <w:tr>
        <w:trPr>
          <w:trHeight w:val="309" w:hRule="atLeast"/>
        </w:trPr>
        <w:tc>
          <w:tcPr>
            <w:tcW w:w="1463" w:type="dxa"/>
            <w:vAlign w:val="top"/>
          </w:tcPr>
          <w:p>
            <w:pPr>
              <w:pStyle w:val="TableText"/>
              <w:ind w:left="684"/>
              <w:spacing w:before="117" w:line="183" w:lineRule="auto"/>
              <w:rPr/>
            </w:pPr>
            <w:r>
              <w:rPr/>
              <w:t>2</w:t>
            </w:r>
          </w:p>
        </w:tc>
        <w:tc>
          <w:tcPr>
            <w:tcW w:w="1957" w:type="dxa"/>
            <w:vAlign w:val="top"/>
          </w:tcPr>
          <w:p>
            <w:pPr>
              <w:pStyle w:val="TableText"/>
              <w:ind w:left="852"/>
              <w:spacing w:before="117" w:line="183" w:lineRule="auto"/>
              <w:rPr/>
            </w:pPr>
            <w:r>
              <w:rPr>
                <w:spacing w:val="-2"/>
              </w:rPr>
              <w:t>400</w:t>
            </w:r>
          </w:p>
        </w:tc>
        <w:tc>
          <w:tcPr>
            <w:tcW w:w="3719" w:type="dxa"/>
            <w:vAlign w:val="top"/>
          </w:tcPr>
          <w:p>
            <w:pPr>
              <w:pStyle w:val="TableText"/>
              <w:ind w:left="1404"/>
              <w:spacing w:before="79" w:line="219" w:lineRule="auto"/>
              <w:rPr/>
            </w:pPr>
            <w:r>
              <w:rPr>
                <w:spacing w:val="-1"/>
              </w:rPr>
              <w:t>请求格式错误</w:t>
            </w:r>
          </w:p>
        </w:tc>
      </w:tr>
      <w:tr>
        <w:trPr>
          <w:trHeight w:val="309" w:hRule="atLeast"/>
        </w:trPr>
        <w:tc>
          <w:tcPr>
            <w:tcW w:w="1463" w:type="dxa"/>
            <w:vAlign w:val="top"/>
          </w:tcPr>
          <w:p>
            <w:pPr>
              <w:pStyle w:val="TableText"/>
              <w:ind w:left="684"/>
              <w:spacing w:before="118" w:line="183" w:lineRule="auto"/>
              <w:rPr/>
            </w:pPr>
            <w:r>
              <w:rPr/>
              <w:t>3</w:t>
            </w:r>
          </w:p>
        </w:tc>
        <w:tc>
          <w:tcPr>
            <w:tcW w:w="1957" w:type="dxa"/>
            <w:vAlign w:val="top"/>
          </w:tcPr>
          <w:p>
            <w:pPr>
              <w:pStyle w:val="TableText"/>
              <w:ind w:left="852"/>
              <w:spacing w:before="118" w:line="184" w:lineRule="auto"/>
              <w:rPr/>
            </w:pPr>
            <w:r>
              <w:rPr>
                <w:spacing w:val="-2"/>
              </w:rPr>
              <w:t>401</w:t>
            </w:r>
          </w:p>
        </w:tc>
        <w:tc>
          <w:tcPr>
            <w:tcW w:w="3719" w:type="dxa"/>
            <w:vAlign w:val="top"/>
          </w:tcPr>
          <w:p>
            <w:pPr>
              <w:pStyle w:val="TableText"/>
              <w:ind w:left="1475"/>
              <w:spacing w:before="80" w:line="219" w:lineRule="auto"/>
              <w:rPr/>
            </w:pPr>
            <w:r>
              <w:rPr>
                <w:spacing w:val="3"/>
              </w:rPr>
              <w:t>未授权访问</w:t>
            </w:r>
          </w:p>
        </w:tc>
      </w:tr>
      <w:tr>
        <w:trPr>
          <w:trHeight w:val="309" w:hRule="atLeast"/>
        </w:trPr>
        <w:tc>
          <w:tcPr>
            <w:tcW w:w="1463" w:type="dxa"/>
            <w:vAlign w:val="top"/>
          </w:tcPr>
          <w:p>
            <w:pPr>
              <w:pStyle w:val="TableText"/>
              <w:ind w:left="684"/>
              <w:spacing w:before="119" w:line="183" w:lineRule="auto"/>
              <w:rPr/>
            </w:pPr>
            <w:r>
              <w:rPr/>
              <w:t>4</w:t>
            </w:r>
          </w:p>
        </w:tc>
        <w:tc>
          <w:tcPr>
            <w:tcW w:w="1957" w:type="dxa"/>
            <w:vAlign w:val="top"/>
          </w:tcPr>
          <w:p>
            <w:pPr>
              <w:pStyle w:val="TableText"/>
              <w:ind w:left="852"/>
              <w:spacing w:before="119" w:line="183" w:lineRule="auto"/>
              <w:rPr/>
            </w:pPr>
            <w:r>
              <w:rPr>
                <w:spacing w:val="-2"/>
              </w:rPr>
              <w:t>402</w:t>
            </w:r>
          </w:p>
        </w:tc>
        <w:tc>
          <w:tcPr>
            <w:tcW w:w="3719" w:type="dxa"/>
            <w:vAlign w:val="top"/>
          </w:tcPr>
          <w:p>
            <w:pPr>
              <w:pStyle w:val="TableText"/>
              <w:ind w:left="1325"/>
              <w:spacing w:before="81" w:line="220" w:lineRule="auto"/>
              <w:rPr/>
            </w:pPr>
            <w:r>
              <w:rPr>
                <w:spacing w:val="-1"/>
              </w:rPr>
              <w:t>不可识别的verb</w:t>
            </w:r>
          </w:p>
        </w:tc>
      </w:tr>
      <w:tr>
        <w:trPr>
          <w:trHeight w:val="319" w:hRule="atLeast"/>
        </w:trPr>
        <w:tc>
          <w:tcPr>
            <w:tcW w:w="1463" w:type="dxa"/>
            <w:vAlign w:val="top"/>
          </w:tcPr>
          <w:p>
            <w:pPr>
              <w:pStyle w:val="TableText"/>
              <w:ind w:left="684"/>
              <w:spacing w:before="131" w:line="182" w:lineRule="auto"/>
              <w:rPr/>
            </w:pPr>
            <w:r>
              <w:rPr/>
              <w:t>5</w:t>
            </w:r>
          </w:p>
        </w:tc>
        <w:tc>
          <w:tcPr>
            <w:tcW w:w="1957" w:type="dxa"/>
            <w:vAlign w:val="top"/>
          </w:tcPr>
          <w:p>
            <w:pPr>
              <w:pStyle w:val="TableText"/>
              <w:ind w:left="852"/>
              <w:spacing w:before="130" w:line="183" w:lineRule="auto"/>
              <w:rPr/>
            </w:pPr>
            <w:r>
              <w:rPr>
                <w:spacing w:val="-2"/>
              </w:rPr>
              <w:t>403</w:t>
            </w:r>
          </w:p>
        </w:tc>
        <w:tc>
          <w:tcPr>
            <w:tcW w:w="3719" w:type="dxa"/>
            <w:vAlign w:val="top"/>
          </w:tcPr>
          <w:p>
            <w:pPr>
              <w:pStyle w:val="TableText"/>
              <w:ind w:left="1325"/>
              <w:spacing w:before="92" w:line="219" w:lineRule="auto"/>
              <w:rPr/>
            </w:pPr>
            <w:r>
              <w:rPr>
                <w:spacing w:val="2"/>
              </w:rPr>
              <w:t>服务器拒绝访问</w:t>
            </w:r>
          </w:p>
        </w:tc>
      </w:tr>
      <w:tr>
        <w:trPr>
          <w:trHeight w:val="318" w:hRule="atLeast"/>
        </w:trPr>
        <w:tc>
          <w:tcPr>
            <w:tcW w:w="1463" w:type="dxa"/>
            <w:vAlign w:val="top"/>
          </w:tcPr>
          <w:p>
            <w:pPr>
              <w:pStyle w:val="TableText"/>
              <w:ind w:left="684"/>
              <w:spacing w:before="131" w:line="183" w:lineRule="auto"/>
              <w:rPr/>
            </w:pPr>
            <w:r>
              <w:rPr/>
              <w:t>6</w:t>
            </w:r>
          </w:p>
        </w:tc>
        <w:tc>
          <w:tcPr>
            <w:tcW w:w="1957" w:type="dxa"/>
            <w:vAlign w:val="top"/>
          </w:tcPr>
          <w:p>
            <w:pPr>
              <w:pStyle w:val="TableText"/>
              <w:ind w:left="852"/>
              <w:spacing w:before="131" w:line="183" w:lineRule="auto"/>
              <w:rPr/>
            </w:pPr>
            <w:r>
              <w:rPr>
                <w:spacing w:val="-2"/>
              </w:rPr>
              <w:t>404</w:t>
            </w:r>
          </w:p>
        </w:tc>
        <w:tc>
          <w:tcPr>
            <w:tcW w:w="3719" w:type="dxa"/>
            <w:vAlign w:val="top"/>
          </w:tcPr>
          <w:p>
            <w:pPr>
              <w:pStyle w:val="TableText"/>
              <w:ind w:left="1254"/>
              <w:spacing w:before="93" w:line="220" w:lineRule="auto"/>
              <w:rPr/>
            </w:pPr>
            <w:r>
              <w:rPr>
                <w:spacing w:val="-1"/>
              </w:rPr>
              <w:t>指定的资源未找到</w:t>
            </w:r>
          </w:p>
        </w:tc>
      </w:tr>
      <w:tr>
        <w:trPr>
          <w:trHeight w:val="324" w:hRule="atLeast"/>
        </w:trPr>
        <w:tc>
          <w:tcPr>
            <w:tcW w:w="1463" w:type="dxa"/>
            <w:vAlign w:val="top"/>
          </w:tcPr>
          <w:p>
            <w:pPr>
              <w:pStyle w:val="TableText"/>
              <w:ind w:left="684"/>
              <w:spacing w:before="134" w:line="182" w:lineRule="auto"/>
              <w:rPr/>
            </w:pPr>
            <w:r>
              <w:rPr/>
              <w:t>7</w:t>
            </w:r>
          </w:p>
        </w:tc>
        <w:tc>
          <w:tcPr>
            <w:tcW w:w="1957" w:type="dxa"/>
            <w:vAlign w:val="top"/>
          </w:tcPr>
          <w:p>
            <w:pPr>
              <w:pStyle w:val="TableText"/>
              <w:ind w:left="852"/>
              <w:spacing w:before="133" w:line="183" w:lineRule="auto"/>
              <w:rPr/>
            </w:pPr>
            <w:r>
              <w:rPr>
                <w:spacing w:val="-2"/>
              </w:rPr>
              <w:t>408</w:t>
            </w:r>
          </w:p>
        </w:tc>
        <w:tc>
          <w:tcPr>
            <w:tcW w:w="3719" w:type="dxa"/>
            <w:vAlign w:val="top"/>
          </w:tcPr>
          <w:p>
            <w:pPr>
              <w:pStyle w:val="TableText"/>
              <w:ind w:left="1555"/>
              <w:spacing w:before="95" w:line="220" w:lineRule="auto"/>
              <w:rPr/>
            </w:pPr>
            <w:r>
              <w:rPr>
                <w:spacing w:val="-1"/>
              </w:rPr>
              <w:t>请求超时</w:t>
            </w:r>
          </w:p>
        </w:tc>
      </w:tr>
    </w:tbl>
    <w:p>
      <w:pPr>
        <w:ind w:left="270"/>
        <w:spacing w:before="191" w:line="219" w:lineRule="auto"/>
        <w:rPr>
          <w:rFonts w:ascii="SimSun" w:hAnsi="SimSun" w:eastAsia="SimSun" w:cs="SimSun"/>
          <w:sz w:val="16"/>
          <w:szCs w:val="16"/>
        </w:rPr>
      </w:pPr>
      <w:r>
        <w:drawing>
          <wp:anchor distT="0" distB="0" distL="0" distR="0" simplePos="0" relativeHeight="255976448" behindDoc="1" locked="0" layoutInCell="1" allowOverlap="1">
            <wp:simplePos x="0" y="0"/>
            <wp:positionH relativeFrom="column">
              <wp:posOffset>25402</wp:posOffset>
            </wp:positionH>
            <wp:positionV relativeFrom="paragraph">
              <wp:posOffset>-2492610</wp:posOffset>
            </wp:positionV>
            <wp:extent cx="4895837" cy="6864381"/>
            <wp:effectExtent l="0" t="0" r="0" b="0"/>
            <wp:wrapNone/>
            <wp:docPr id="222" name="IM 222"/>
            <wp:cNvGraphicFramePr/>
            <a:graphic>
              <a:graphicData uri="http://schemas.openxmlformats.org/drawingml/2006/picture">
                <pic:pic>
                  <pic:nvPicPr>
                    <pic:cNvPr id="222" name="IM 222"/>
                    <pic:cNvPicPr/>
                  </pic:nvPicPr>
                  <pic:blipFill>
                    <a:blip r:embed="rId330"/>
                    <a:stretch>
                      <a:fillRect/>
                    </a:stretch>
                  </pic:blipFill>
                  <pic:spPr>
                    <a:xfrm rot="0">
                      <a:off x="0" y="0"/>
                      <a:ext cx="4895837" cy="6864381"/>
                    </a:xfrm>
                    <a:prstGeom prst="rect">
                      <a:avLst/>
                    </a:prstGeom>
                  </pic:spPr>
                </pic:pic>
              </a:graphicData>
            </a:graphic>
          </wp:anchor>
        </w:drawing>
      </w:r>
      <w:r>
        <w:rPr>
          <w:rFonts w:ascii="SimSun" w:hAnsi="SimSun" w:eastAsia="SimSun" w:cs="SimSun"/>
          <w:sz w:val="16"/>
          <w:szCs w:val="16"/>
          <w:spacing w:val="-4"/>
        </w:rPr>
        <w:t>2)科学数据交换格式</w:t>
      </w:r>
    </w:p>
    <w:p>
      <w:pPr>
        <w:ind w:left="270"/>
        <w:spacing w:before="90" w:line="219" w:lineRule="auto"/>
        <w:rPr>
          <w:rFonts w:ascii="SimSun" w:hAnsi="SimSun" w:eastAsia="SimSun" w:cs="SimSun"/>
          <w:sz w:val="16"/>
          <w:szCs w:val="16"/>
        </w:rPr>
      </w:pPr>
      <w:r>
        <w:rPr>
          <w:rFonts w:ascii="SimSun" w:hAnsi="SimSun" w:eastAsia="SimSun" w:cs="SimSun"/>
          <w:sz w:val="16"/>
          <w:szCs w:val="16"/>
          <w:spacing w:val="-3"/>
        </w:rPr>
        <w:t>(1)科学数据交换格式定义</w:t>
      </w:r>
    </w:p>
    <w:p>
      <w:pPr>
        <w:ind w:left="120" w:right="398" w:firstLine="149"/>
        <w:spacing w:before="63" w:line="275" w:lineRule="auto"/>
        <w:rPr>
          <w:rFonts w:ascii="SimSun" w:hAnsi="SimSun" w:eastAsia="SimSun" w:cs="SimSun"/>
          <w:sz w:val="16"/>
          <w:szCs w:val="16"/>
        </w:rPr>
      </w:pPr>
      <w:r>
        <w:rPr>
          <w:rFonts w:ascii="SimSun" w:hAnsi="SimSun" w:eastAsia="SimSun" w:cs="SimSun"/>
          <w:sz w:val="16"/>
          <w:szCs w:val="16"/>
          <w:spacing w:val="-4"/>
        </w:rPr>
        <w:t>科学数据交换格式：</w:t>
      </w:r>
      <w:r>
        <w:rPr>
          <w:rFonts w:ascii="Times New Roman" w:hAnsi="Times New Roman" w:eastAsia="Times New Roman" w:cs="Times New Roman"/>
          <w:sz w:val="16"/>
          <w:szCs w:val="16"/>
          <w:spacing w:val="-4"/>
        </w:rPr>
        <w:t>SDEF(Scientific</w:t>
      </w:r>
      <w:r>
        <w:rPr>
          <w:rFonts w:ascii="Times New Roman" w:hAnsi="Times New Roman" w:eastAsia="Times New Roman" w:cs="Times New Roman"/>
          <w:sz w:val="16"/>
          <w:szCs w:val="16"/>
          <w:spacing w:val="37"/>
        </w:rPr>
        <w:t xml:space="preserve"> </w:t>
      </w:r>
      <w:r>
        <w:rPr>
          <w:rFonts w:ascii="Times New Roman" w:hAnsi="Times New Roman" w:eastAsia="Times New Roman" w:cs="Times New Roman"/>
          <w:sz w:val="16"/>
          <w:szCs w:val="16"/>
          <w:spacing w:val="-4"/>
        </w:rPr>
        <w:t>Data  Exchange  Format),SDEF </w:t>
      </w:r>
      <w:r>
        <w:rPr>
          <w:rFonts w:ascii="SimSun" w:hAnsi="SimSun" w:eastAsia="SimSun" w:cs="SimSun"/>
          <w:sz w:val="16"/>
          <w:szCs w:val="16"/>
          <w:spacing w:val="-4"/>
        </w:rPr>
        <w:t>使用统一的格式对数据进行封</w:t>
      </w:r>
      <w:r>
        <w:rPr>
          <w:rFonts w:ascii="SimSun" w:hAnsi="SimSun" w:eastAsia="SimSun" w:cs="SimSun"/>
          <w:sz w:val="16"/>
          <w:szCs w:val="16"/>
          <w:spacing w:val="-5"/>
        </w:rPr>
        <w:t>装，为资源</w:t>
      </w:r>
      <w:r>
        <w:rPr>
          <w:rFonts w:ascii="SimSun" w:hAnsi="SimSun" w:eastAsia="SimSun" w:cs="SimSun"/>
          <w:sz w:val="16"/>
          <w:szCs w:val="16"/>
        </w:rPr>
        <w:t xml:space="preserve"> </w:t>
      </w:r>
      <w:r>
        <w:rPr>
          <w:rFonts w:ascii="SimSun" w:hAnsi="SimSun" w:eastAsia="SimSun" w:cs="SimSun"/>
          <w:sz w:val="16"/>
          <w:szCs w:val="16"/>
          <w:spacing w:val="-10"/>
        </w:rPr>
        <w:t>共享与透明访问提供保障。</w:t>
      </w:r>
    </w:p>
    <w:p>
      <w:pPr>
        <w:ind w:left="270"/>
        <w:spacing w:before="120" w:line="219" w:lineRule="auto"/>
        <w:rPr>
          <w:rFonts w:ascii="SimSun" w:hAnsi="SimSun" w:eastAsia="SimSun" w:cs="SimSun"/>
          <w:sz w:val="16"/>
          <w:szCs w:val="16"/>
        </w:rPr>
      </w:pPr>
      <w:r>
        <w:rPr>
          <w:rFonts w:ascii="SimSun" w:hAnsi="SimSun" w:eastAsia="SimSun" w:cs="SimSun"/>
          <w:sz w:val="16"/>
          <w:szCs w:val="16"/>
          <w:spacing w:val="-5"/>
        </w:rPr>
        <w:t>(2)科学数据交换格式支持的数据类型</w:t>
      </w:r>
    </w:p>
    <w:p>
      <w:pPr>
        <w:ind w:left="270"/>
        <w:spacing w:before="72" w:line="219" w:lineRule="auto"/>
        <w:rPr>
          <w:rFonts w:ascii="SimSun" w:hAnsi="SimSun" w:eastAsia="SimSun" w:cs="SimSun"/>
          <w:sz w:val="16"/>
          <w:szCs w:val="16"/>
        </w:rPr>
      </w:pPr>
      <w:r>
        <w:rPr>
          <w:rFonts w:ascii="Times New Roman" w:hAnsi="Times New Roman" w:eastAsia="Times New Roman" w:cs="Times New Roman"/>
          <w:sz w:val="16"/>
          <w:szCs w:val="16"/>
          <w:spacing w:val="-8"/>
        </w:rPr>
        <w:t>&lt;value&gt;</w:t>
      </w:r>
      <w:r>
        <w:rPr>
          <w:rFonts w:ascii="SimSun" w:hAnsi="SimSun" w:eastAsia="SimSun" w:cs="SimSun"/>
          <w:sz w:val="16"/>
          <w:szCs w:val="16"/>
          <w:spacing w:val="-8"/>
        </w:rPr>
        <w:t>元素与</w:t>
      </w:r>
      <w:r>
        <w:rPr>
          <w:rFonts w:ascii="Times New Roman" w:hAnsi="Times New Roman" w:eastAsia="Times New Roman" w:cs="Times New Roman"/>
          <w:sz w:val="16"/>
          <w:szCs w:val="16"/>
          <w:spacing w:val="-8"/>
        </w:rPr>
        <w:t>&lt;title&gt;</w:t>
      </w:r>
      <w:r>
        <w:rPr>
          <w:rFonts w:ascii="SimSun" w:hAnsi="SimSun" w:eastAsia="SimSun" w:cs="SimSun"/>
          <w:sz w:val="16"/>
          <w:szCs w:val="16"/>
          <w:spacing w:val="-8"/>
        </w:rPr>
        <w:t>元素中的数据值相同， </w:t>
      </w:r>
      <w:r>
        <w:rPr>
          <w:rFonts w:ascii="Times New Roman" w:hAnsi="Times New Roman" w:eastAsia="Times New Roman" w:cs="Times New Roman"/>
          <w:sz w:val="16"/>
          <w:szCs w:val="16"/>
          <w:spacing w:val="-8"/>
        </w:rPr>
        <w:t>&lt;ti</w:t>
      </w:r>
      <w:r>
        <w:rPr>
          <w:rFonts w:ascii="Times New Roman" w:hAnsi="Times New Roman" w:eastAsia="Times New Roman" w:cs="Times New Roman"/>
          <w:sz w:val="16"/>
          <w:szCs w:val="16"/>
          <w:spacing w:val="-9"/>
        </w:rPr>
        <w:t>le&gt; </w:t>
      </w:r>
      <w:r>
        <w:rPr>
          <w:rFonts w:ascii="SimSun" w:hAnsi="SimSun" w:eastAsia="SimSun" w:cs="SimSun"/>
          <w:sz w:val="16"/>
          <w:szCs w:val="16"/>
          <w:spacing w:val="-9"/>
        </w:rPr>
        <w:t>元素可省略。</w:t>
      </w:r>
    </w:p>
    <w:p>
      <w:pPr>
        <w:ind w:left="270"/>
        <w:spacing w:before="99" w:line="219" w:lineRule="auto"/>
        <w:rPr>
          <w:rFonts w:ascii="SimSun" w:hAnsi="SimSun" w:eastAsia="SimSun" w:cs="SimSun"/>
          <w:sz w:val="16"/>
          <w:szCs w:val="16"/>
        </w:rPr>
      </w:pPr>
      <w:r>
        <w:rPr>
          <w:rFonts w:ascii="SimSun" w:hAnsi="SimSun" w:eastAsia="SimSun" w:cs="SimSun"/>
          <w:sz w:val="16"/>
          <w:szCs w:val="16"/>
          <w:spacing w:val="-3"/>
        </w:rPr>
        <w:t>6</w:t>
      </w:r>
      <w:r>
        <w:rPr>
          <w:rFonts w:ascii="SimSun" w:hAnsi="SimSun" w:eastAsia="SimSun" w:cs="SimSun"/>
          <w:sz w:val="16"/>
          <w:szCs w:val="16"/>
          <w:spacing w:val="49"/>
          <w:w w:val="101"/>
        </w:rPr>
        <w:t xml:space="preserve"> </w:t>
      </w:r>
      <w:r>
        <w:rPr>
          <w:rFonts w:ascii="SimSun" w:hAnsi="SimSun" w:eastAsia="SimSun" w:cs="SimSun"/>
          <w:sz w:val="16"/>
          <w:szCs w:val="16"/>
          <w:spacing w:val="-3"/>
        </w:rPr>
        <w:t>采用协议</w:t>
      </w:r>
    </w:p>
    <w:p>
      <w:pPr>
        <w:ind w:left="270"/>
        <w:spacing w:before="63" w:line="212" w:lineRule="auto"/>
        <w:rPr>
          <w:rFonts w:ascii="SimSun" w:hAnsi="SimSun" w:eastAsia="SimSun" w:cs="SimSun"/>
          <w:sz w:val="16"/>
          <w:szCs w:val="16"/>
        </w:rPr>
      </w:pPr>
      <w:r>
        <w:rPr>
          <w:rFonts w:ascii="Times New Roman" w:hAnsi="Times New Roman" w:eastAsia="Times New Roman" w:cs="Times New Roman"/>
          <w:sz w:val="16"/>
          <w:szCs w:val="16"/>
          <w:spacing w:val="-3"/>
        </w:rPr>
        <w:t>1)HTTP1.1   </w:t>
      </w:r>
      <w:r>
        <w:rPr>
          <w:rFonts w:ascii="SimSun" w:hAnsi="SimSun" w:eastAsia="SimSun" w:cs="SimSun"/>
          <w:sz w:val="16"/>
          <w:szCs w:val="16"/>
          <w:spacing w:val="-3"/>
        </w:rPr>
        <w:t>(超文本传输协议)</w:t>
      </w:r>
    </w:p>
    <w:p>
      <w:pPr>
        <w:ind w:left="270"/>
        <w:spacing w:before="106" w:line="212" w:lineRule="auto"/>
        <w:rPr>
          <w:rFonts w:ascii="SimSun" w:hAnsi="SimSun" w:eastAsia="SimSun" w:cs="SimSun"/>
          <w:sz w:val="16"/>
          <w:szCs w:val="16"/>
        </w:rPr>
      </w:pPr>
      <w:r>
        <w:rPr>
          <w:rFonts w:ascii="SimSun" w:hAnsi="SimSun" w:eastAsia="SimSun" w:cs="SimSun"/>
          <w:sz w:val="16"/>
          <w:szCs w:val="16"/>
          <w:spacing w:val="-6"/>
        </w:rPr>
        <w:t>超文本传输协议</w:t>
      </w:r>
      <w:r>
        <w:rPr>
          <w:rFonts w:ascii="SimSun" w:hAnsi="SimSun" w:eastAsia="SimSun" w:cs="SimSun"/>
          <w:sz w:val="16"/>
          <w:szCs w:val="16"/>
          <w:spacing w:val="-28"/>
        </w:rPr>
        <w:t xml:space="preserve"> </w:t>
      </w:r>
      <w:r>
        <w:rPr>
          <w:rFonts w:ascii="Times New Roman" w:hAnsi="Times New Roman" w:eastAsia="Times New Roman" w:cs="Times New Roman"/>
          <w:sz w:val="16"/>
          <w:szCs w:val="16"/>
          <w:spacing w:val="-6"/>
        </w:rPr>
        <w:t>(HTTP)</w:t>
      </w:r>
      <w:r>
        <w:rPr>
          <w:rFonts w:ascii="Times New Roman" w:hAnsi="Times New Roman" w:eastAsia="Times New Roman" w:cs="Times New Roman"/>
          <w:sz w:val="16"/>
          <w:szCs w:val="16"/>
          <w:spacing w:val="15"/>
        </w:rPr>
        <w:t xml:space="preserve">  </w:t>
      </w:r>
      <w:r>
        <w:rPr>
          <w:rFonts w:ascii="SimSun" w:hAnsi="SimSun" w:eastAsia="SimSun" w:cs="SimSun"/>
          <w:sz w:val="16"/>
          <w:szCs w:val="16"/>
          <w:spacing w:val="-6"/>
        </w:rPr>
        <w:t>是一种分布式、合作式、超媒体信息系统。它是一种通用的、无状态</w:t>
      </w:r>
      <w:r>
        <w:rPr>
          <w:rFonts w:ascii="SimSun" w:hAnsi="SimSun" w:eastAsia="SimSun" w:cs="SimSun"/>
          <w:sz w:val="16"/>
          <w:szCs w:val="16"/>
          <w:spacing w:val="-28"/>
        </w:rPr>
        <w:t xml:space="preserve"> </w:t>
      </w:r>
      <w:r>
        <w:rPr>
          <w:rFonts w:ascii="Times New Roman" w:hAnsi="Times New Roman" w:eastAsia="Times New Roman" w:cs="Times New Roman"/>
          <w:sz w:val="16"/>
          <w:szCs w:val="16"/>
          <w:spacing w:val="-6"/>
        </w:rPr>
        <w:t>(stateless)</w:t>
      </w:r>
      <w:r>
        <w:rPr>
          <w:rFonts w:ascii="Times New Roman" w:hAnsi="Times New Roman" w:eastAsia="Times New Roman" w:cs="Times New Roman"/>
          <w:sz w:val="16"/>
          <w:szCs w:val="16"/>
          <w:spacing w:val="9"/>
        </w:rPr>
        <w:t xml:space="preserve">  </w:t>
      </w:r>
      <w:r>
        <w:rPr>
          <w:rFonts w:ascii="SimSun" w:hAnsi="SimSun" w:eastAsia="SimSun" w:cs="SimSun"/>
          <w:sz w:val="16"/>
          <w:szCs w:val="16"/>
          <w:spacing w:val="-6"/>
        </w:rPr>
        <w:t>的</w:t>
      </w:r>
    </w:p>
    <w:p>
      <w:pPr>
        <w:ind w:left="120"/>
        <w:spacing w:before="113" w:line="219" w:lineRule="auto"/>
        <w:rPr>
          <w:rFonts w:ascii="SimSun" w:hAnsi="SimSun" w:eastAsia="SimSun" w:cs="SimSun"/>
          <w:sz w:val="16"/>
          <w:szCs w:val="16"/>
        </w:rPr>
      </w:pPr>
      <w:r>
        <w:rPr>
          <w:rFonts w:ascii="SimSun" w:hAnsi="SimSun" w:eastAsia="SimSun" w:cs="SimSun"/>
          <w:sz w:val="16"/>
          <w:szCs w:val="16"/>
          <w:spacing w:val="-9"/>
        </w:rPr>
        <w:t>协议，除了应用于超文本传输外，它也可以应用于诸如名称服务器和分布对象</w:t>
      </w:r>
      <w:r>
        <w:rPr>
          <w:rFonts w:ascii="SimSun" w:hAnsi="SimSun" w:eastAsia="SimSun" w:cs="SimSun"/>
          <w:sz w:val="16"/>
          <w:szCs w:val="16"/>
          <w:spacing w:val="-10"/>
        </w:rPr>
        <w:t>管理系统之类的系统，这可以通过</w:t>
      </w:r>
    </w:p>
    <w:p>
      <w:pPr>
        <w:ind w:left="120" w:right="365"/>
        <w:spacing w:before="91" w:line="271" w:lineRule="auto"/>
        <w:rPr>
          <w:rFonts w:ascii="SimSun" w:hAnsi="SimSun" w:eastAsia="SimSun" w:cs="SimSun"/>
          <w:sz w:val="16"/>
          <w:szCs w:val="16"/>
        </w:rPr>
      </w:pPr>
      <w:r>
        <w:rPr>
          <w:rFonts w:ascii="SimSun" w:hAnsi="SimSun" w:eastAsia="SimSun" w:cs="SimSun"/>
          <w:sz w:val="16"/>
          <w:szCs w:val="16"/>
          <w:spacing w:val="-10"/>
        </w:rPr>
        <w:t>扩展它的请求方法、错误代码和报头来实现。</w:t>
      </w:r>
      <w:r>
        <w:rPr>
          <w:rFonts w:ascii="Times New Roman" w:hAnsi="Times New Roman" w:eastAsia="Times New Roman" w:cs="Times New Roman"/>
          <w:sz w:val="16"/>
          <w:szCs w:val="16"/>
          <w:spacing w:val="-10"/>
        </w:rPr>
        <w:t>HTTP</w:t>
      </w:r>
      <w:r>
        <w:rPr>
          <w:rFonts w:ascii="SimSun" w:hAnsi="SimSun" w:eastAsia="SimSun" w:cs="SimSun"/>
          <w:sz w:val="16"/>
          <w:szCs w:val="16"/>
          <w:spacing w:val="-10"/>
        </w:rPr>
        <w:t>的一个特点是数据表现形式是可输入的和可协商性的，这就允</w:t>
      </w:r>
      <w:r>
        <w:rPr>
          <w:rFonts w:ascii="SimSun" w:hAnsi="SimSun" w:eastAsia="SimSun" w:cs="SimSun"/>
          <w:sz w:val="16"/>
          <w:szCs w:val="16"/>
          <w:spacing w:val="18"/>
        </w:rPr>
        <w:t xml:space="preserve"> </w:t>
      </w:r>
      <w:r>
        <w:rPr>
          <w:rFonts w:ascii="SimSun" w:hAnsi="SimSun" w:eastAsia="SimSun" w:cs="SimSun"/>
          <w:sz w:val="16"/>
          <w:szCs w:val="16"/>
          <w:spacing w:val="-10"/>
        </w:rPr>
        <w:t>许系统能被建立而独立于数据传输。</w:t>
      </w:r>
    </w:p>
    <w:p>
      <w:pPr>
        <w:ind w:left="120" w:right="358" w:firstLine="149"/>
        <w:spacing w:before="92" w:line="294" w:lineRule="auto"/>
        <w:rPr>
          <w:rFonts w:ascii="SimSun" w:hAnsi="SimSun" w:eastAsia="SimSun" w:cs="SimSun"/>
          <w:sz w:val="16"/>
          <w:szCs w:val="16"/>
        </w:rPr>
      </w:pPr>
      <w:r>
        <w:rPr>
          <w:rFonts w:ascii="Times New Roman" w:hAnsi="Times New Roman" w:eastAsia="Times New Roman" w:cs="Times New Roman"/>
          <w:sz w:val="16"/>
          <w:szCs w:val="16"/>
          <w:spacing w:val="-9"/>
        </w:rPr>
        <w:t>HTTP </w:t>
      </w:r>
      <w:r>
        <w:rPr>
          <w:rFonts w:ascii="SimSun" w:hAnsi="SimSun" w:eastAsia="SimSun" w:cs="SimSun"/>
          <w:sz w:val="16"/>
          <w:szCs w:val="16"/>
          <w:spacing w:val="-9"/>
        </w:rPr>
        <w:t>是一个客户端和服务器端请求和应答的标准</w:t>
      </w:r>
      <w:r>
        <w:rPr>
          <w:rFonts w:ascii="Times New Roman" w:hAnsi="Times New Roman" w:eastAsia="Times New Roman" w:cs="Times New Roman"/>
          <w:sz w:val="16"/>
          <w:szCs w:val="16"/>
          <w:spacing w:val="-9"/>
        </w:rPr>
        <w:t>(TCP)</w:t>
      </w:r>
      <w:r>
        <w:rPr>
          <w:rFonts w:ascii="SimSun" w:hAnsi="SimSun" w:eastAsia="SimSun" w:cs="SimSun"/>
          <w:sz w:val="16"/>
          <w:szCs w:val="16"/>
          <w:spacing w:val="-9"/>
        </w:rPr>
        <w:t>。客户端是终</w:t>
      </w:r>
      <w:r>
        <w:rPr>
          <w:rFonts w:ascii="SimSun" w:hAnsi="SimSun" w:eastAsia="SimSun" w:cs="SimSun"/>
          <w:sz w:val="16"/>
          <w:szCs w:val="16"/>
          <w:spacing w:val="-10"/>
        </w:rPr>
        <w:t>端用户，服务器端是网站。通常，由</w:t>
      </w:r>
      <w:r>
        <w:rPr>
          <w:rFonts w:ascii="Times New Roman" w:hAnsi="Times New Roman" w:eastAsia="Times New Roman" w:cs="Times New Roman"/>
          <w:sz w:val="16"/>
          <w:szCs w:val="16"/>
          <w:spacing w:val="-10"/>
        </w:rPr>
        <w:t>HTTP</w:t>
      </w:r>
      <w:r>
        <w:rPr>
          <w:rFonts w:ascii="Times New Roman" w:hAnsi="Times New Roman" w:eastAsia="Times New Roman" w:cs="Times New Roman"/>
          <w:sz w:val="16"/>
          <w:szCs w:val="16"/>
        </w:rPr>
        <w:t xml:space="preserve"> </w:t>
      </w:r>
      <w:r>
        <w:rPr>
          <w:rFonts w:ascii="SimSun" w:hAnsi="SimSun" w:eastAsia="SimSun" w:cs="SimSun"/>
          <w:sz w:val="16"/>
          <w:szCs w:val="16"/>
          <w:spacing w:val="-4"/>
        </w:rPr>
        <w:t>客户端发起一个请求，建立一个到服务器指定端口(默认是80端口)的</w:t>
      </w:r>
      <w:r>
        <w:rPr>
          <w:rFonts w:ascii="Times New Roman" w:hAnsi="Times New Roman" w:eastAsia="Times New Roman" w:cs="Times New Roman"/>
          <w:sz w:val="16"/>
          <w:szCs w:val="16"/>
          <w:spacing w:val="-4"/>
        </w:rPr>
        <w:t>TCP </w:t>
      </w:r>
      <w:r>
        <w:rPr>
          <w:rFonts w:ascii="SimSun" w:hAnsi="SimSun" w:eastAsia="SimSun" w:cs="SimSun"/>
          <w:sz w:val="16"/>
          <w:szCs w:val="16"/>
          <w:spacing w:val="-4"/>
        </w:rPr>
        <w:t>连接。</w:t>
      </w:r>
      <w:r>
        <w:rPr>
          <w:rFonts w:ascii="Times New Roman" w:hAnsi="Times New Roman" w:eastAsia="Times New Roman" w:cs="Times New Roman"/>
          <w:sz w:val="16"/>
          <w:szCs w:val="16"/>
          <w:spacing w:val="-4"/>
        </w:rPr>
        <w:t>HTT</w:t>
      </w:r>
      <w:r>
        <w:rPr>
          <w:rFonts w:ascii="Times New Roman" w:hAnsi="Times New Roman" w:eastAsia="Times New Roman" w:cs="Times New Roman"/>
          <w:sz w:val="16"/>
          <w:szCs w:val="16"/>
          <w:spacing w:val="-5"/>
        </w:rPr>
        <w:t>P </w:t>
      </w:r>
      <w:r>
        <w:rPr>
          <w:rFonts w:ascii="SimSun" w:hAnsi="SimSun" w:eastAsia="SimSun" w:cs="SimSun"/>
          <w:sz w:val="16"/>
          <w:szCs w:val="16"/>
          <w:spacing w:val="-5"/>
        </w:rPr>
        <w:t>服务器则在那个端口监</w:t>
      </w:r>
      <w:r>
        <w:rPr>
          <w:rFonts w:ascii="SimSun" w:hAnsi="SimSun" w:eastAsia="SimSun" w:cs="SimSun"/>
          <w:sz w:val="16"/>
          <w:szCs w:val="16"/>
        </w:rPr>
        <w:t xml:space="preserve"> </w:t>
      </w:r>
      <w:r>
        <w:rPr>
          <w:rFonts w:ascii="SimSun" w:hAnsi="SimSun" w:eastAsia="SimSun" w:cs="SimSun"/>
          <w:sz w:val="16"/>
          <w:szCs w:val="16"/>
          <w:spacing w:val="-5"/>
        </w:rPr>
        <w:t>听客户端发送过来的请求。</w:t>
      </w:r>
      <w:r>
        <w:rPr>
          <w:rFonts w:ascii="SimSun" w:hAnsi="SimSun" w:eastAsia="SimSun" w:cs="SimSun"/>
          <w:sz w:val="16"/>
          <w:szCs w:val="16"/>
          <w:spacing w:val="28"/>
          <w:w w:val="101"/>
        </w:rPr>
        <w:t xml:space="preserve"> </w:t>
      </w:r>
      <w:r>
        <w:rPr>
          <w:rFonts w:ascii="SimSun" w:hAnsi="SimSun" w:eastAsia="SimSun" w:cs="SimSun"/>
          <w:sz w:val="16"/>
          <w:szCs w:val="16"/>
          <w:spacing w:val="-5"/>
        </w:rPr>
        <w:t>一旦收到请求，服务器(向客户端)发回一</w:t>
      </w:r>
      <w:r>
        <w:rPr>
          <w:rFonts w:ascii="SimSun" w:hAnsi="SimSun" w:eastAsia="SimSun" w:cs="SimSun"/>
          <w:sz w:val="16"/>
          <w:szCs w:val="16"/>
          <w:spacing w:val="-6"/>
        </w:rPr>
        <w:t>个状态行，比如</w:t>
      </w:r>
      <w:r>
        <w:rPr>
          <w:rFonts w:ascii="SimSun" w:hAnsi="SimSun" w:eastAsia="SimSun" w:cs="SimSun"/>
          <w:sz w:val="16"/>
          <w:szCs w:val="16"/>
          <w:spacing w:val="-42"/>
        </w:rPr>
        <w:t xml:space="preserve"> </w:t>
      </w:r>
      <w:r>
        <w:rPr>
          <w:rFonts w:ascii="Times New Roman" w:hAnsi="Times New Roman" w:eastAsia="Times New Roman" w:cs="Times New Roman"/>
          <w:sz w:val="16"/>
          <w:szCs w:val="16"/>
          <w:spacing w:val="-6"/>
        </w:rPr>
        <w:t>“HTTP/1.1200OK”,    </w:t>
      </w:r>
      <w:r>
        <w:rPr>
          <w:rFonts w:ascii="SimSun" w:hAnsi="SimSun" w:eastAsia="SimSun" w:cs="SimSun"/>
          <w:sz w:val="16"/>
          <w:szCs w:val="16"/>
          <w:spacing w:val="-6"/>
        </w:rPr>
        <w:t>和</w:t>
      </w:r>
      <w:r>
        <w:rPr>
          <w:rFonts w:ascii="SimSun" w:hAnsi="SimSun" w:eastAsia="SimSun" w:cs="SimSun"/>
          <w:sz w:val="16"/>
          <w:szCs w:val="16"/>
        </w:rPr>
        <w:t xml:space="preserve">  </w:t>
      </w:r>
      <w:r>
        <w:rPr>
          <w:rFonts w:ascii="SimSun" w:hAnsi="SimSun" w:eastAsia="SimSun" w:cs="SimSun"/>
          <w:sz w:val="16"/>
          <w:szCs w:val="16"/>
          <w:spacing w:val="-8"/>
        </w:rPr>
        <w:t>(响应的)消息，消息的消息体可能是请求的文件、错误消息、或者其他一些信息。</w:t>
      </w:r>
    </w:p>
    <w:p>
      <w:pPr>
        <w:ind w:left="270"/>
        <w:spacing w:before="91" w:line="221" w:lineRule="auto"/>
        <w:rPr>
          <w:rFonts w:ascii="SimSun" w:hAnsi="SimSun" w:eastAsia="SimSun" w:cs="SimSun"/>
          <w:sz w:val="16"/>
          <w:szCs w:val="16"/>
        </w:rPr>
      </w:pPr>
      <w:r>
        <w:rPr>
          <w:rFonts w:ascii="SimSun" w:hAnsi="SimSun" w:eastAsia="SimSun" w:cs="SimSun"/>
          <w:sz w:val="16"/>
          <w:szCs w:val="16"/>
          <w:spacing w:val="4"/>
        </w:rPr>
        <w:t>2)接口安全</w:t>
      </w:r>
    </w:p>
    <w:p>
      <w:pPr>
        <w:ind w:left="270"/>
        <w:spacing w:before="79" w:line="212" w:lineRule="auto"/>
        <w:rPr>
          <w:rFonts w:ascii="SimSun" w:hAnsi="SimSun" w:eastAsia="SimSun" w:cs="SimSun"/>
          <w:sz w:val="16"/>
          <w:szCs w:val="16"/>
        </w:rPr>
      </w:pPr>
      <w:r>
        <w:rPr>
          <w:rFonts w:ascii="SimSun" w:hAnsi="SimSun" w:eastAsia="SimSun" w:cs="SimSun"/>
          <w:sz w:val="16"/>
          <w:szCs w:val="16"/>
          <w:spacing w:val="-8"/>
        </w:rPr>
        <w:t>采用基于</w:t>
      </w:r>
      <w:r>
        <w:rPr>
          <w:rFonts w:ascii="Times New Roman" w:hAnsi="Times New Roman" w:eastAsia="Times New Roman" w:cs="Times New Roman"/>
          <w:sz w:val="16"/>
          <w:szCs w:val="16"/>
          <w:spacing w:val="-8"/>
        </w:rPr>
        <w:t>IP </w:t>
      </w:r>
      <w:r>
        <w:rPr>
          <w:rFonts w:ascii="SimSun" w:hAnsi="SimSun" w:eastAsia="SimSun" w:cs="SimSun"/>
          <w:sz w:val="16"/>
          <w:szCs w:val="16"/>
          <w:spacing w:val="-8"/>
        </w:rPr>
        <w:t>地址的身份验证方式。在服务调用的过程中，服务提供者获取调用者的</w:t>
      </w:r>
      <w:r>
        <w:rPr>
          <w:rFonts w:ascii="Times New Roman" w:hAnsi="Times New Roman" w:eastAsia="Times New Roman" w:cs="Times New Roman"/>
          <w:sz w:val="16"/>
          <w:szCs w:val="16"/>
          <w:spacing w:val="-8"/>
        </w:rPr>
        <w:t>ip</w:t>
      </w:r>
      <w:r>
        <w:rPr>
          <w:rFonts w:ascii="Times New Roman" w:hAnsi="Times New Roman" w:eastAsia="Times New Roman" w:cs="Times New Roman"/>
          <w:sz w:val="16"/>
          <w:szCs w:val="16"/>
          <w:spacing w:val="4"/>
        </w:rPr>
        <w:t xml:space="preserve"> </w:t>
      </w:r>
      <w:r>
        <w:rPr>
          <w:rFonts w:ascii="SimSun" w:hAnsi="SimSun" w:eastAsia="SimSun" w:cs="SimSun"/>
          <w:sz w:val="16"/>
          <w:szCs w:val="16"/>
          <w:spacing w:val="-8"/>
        </w:rPr>
        <w:t>地址，在本地保存的授权</w:t>
      </w:r>
    </w:p>
    <w:p>
      <w:pPr>
        <w:ind w:left="120"/>
        <w:spacing w:before="126" w:line="269" w:lineRule="exact"/>
        <w:rPr>
          <w:rFonts w:ascii="SimSun" w:hAnsi="SimSun" w:eastAsia="SimSun" w:cs="SimSun"/>
          <w:sz w:val="16"/>
          <w:szCs w:val="16"/>
        </w:rPr>
      </w:pPr>
      <w:r>
        <w:rPr>
          <w:rFonts w:ascii="SimSun" w:hAnsi="SimSun" w:eastAsia="SimSun" w:cs="SimSun"/>
          <w:sz w:val="16"/>
          <w:szCs w:val="16"/>
          <w:spacing w:val="-9"/>
          <w:position w:val="8"/>
        </w:rPr>
        <w:t>访问</w:t>
      </w:r>
      <w:r>
        <w:rPr>
          <w:rFonts w:ascii="SimSun" w:hAnsi="SimSun" w:eastAsia="SimSun" w:cs="SimSun"/>
          <w:sz w:val="16"/>
          <w:szCs w:val="16"/>
          <w:spacing w:val="-41"/>
          <w:position w:val="8"/>
        </w:rPr>
        <w:t xml:space="preserve"> </w:t>
      </w:r>
      <w:r>
        <w:rPr>
          <w:rFonts w:ascii="Times New Roman" w:hAnsi="Times New Roman" w:eastAsia="Times New Roman" w:cs="Times New Roman"/>
          <w:sz w:val="16"/>
          <w:szCs w:val="16"/>
          <w:spacing w:val="-9"/>
          <w:position w:val="8"/>
        </w:rPr>
        <w:t>ip</w:t>
      </w:r>
      <w:r>
        <w:rPr>
          <w:rFonts w:ascii="Times New Roman" w:hAnsi="Times New Roman" w:eastAsia="Times New Roman" w:cs="Times New Roman"/>
          <w:sz w:val="16"/>
          <w:szCs w:val="16"/>
          <w:spacing w:val="-10"/>
          <w:position w:val="8"/>
        </w:rPr>
        <w:t xml:space="preserve"> </w:t>
      </w:r>
      <w:r>
        <w:rPr>
          <w:rFonts w:ascii="SimSun" w:hAnsi="SimSun" w:eastAsia="SimSun" w:cs="SimSun"/>
          <w:sz w:val="16"/>
          <w:szCs w:val="16"/>
          <w:spacing w:val="-9"/>
          <w:position w:val="8"/>
        </w:rPr>
        <w:t>地址列表中查询，认证通过执行服务返回数据，不通过则拒绝服务。</w:t>
      </w:r>
    </w:p>
    <w:p>
      <w:pPr>
        <w:ind w:left="270"/>
        <w:spacing w:before="1" w:line="220" w:lineRule="auto"/>
        <w:rPr>
          <w:rFonts w:ascii="SimSun" w:hAnsi="SimSun" w:eastAsia="SimSun" w:cs="SimSun"/>
          <w:sz w:val="16"/>
          <w:szCs w:val="16"/>
        </w:rPr>
      </w:pPr>
      <w:r>
        <w:rPr>
          <w:rFonts w:ascii="SimSun" w:hAnsi="SimSun" w:eastAsia="SimSun" w:cs="SimSun"/>
          <w:sz w:val="16"/>
          <w:szCs w:val="16"/>
          <w:spacing w:val="4"/>
        </w:rPr>
        <w:t>3)连接方式</w:t>
      </w:r>
    </w:p>
    <w:p>
      <w:pPr>
        <w:ind w:left="270"/>
        <w:spacing w:before="80" w:line="212" w:lineRule="auto"/>
        <w:rPr>
          <w:rFonts w:ascii="SimSun" w:hAnsi="SimSun" w:eastAsia="SimSun" w:cs="SimSun"/>
          <w:sz w:val="16"/>
          <w:szCs w:val="16"/>
        </w:rPr>
      </w:pPr>
      <w:r>
        <w:rPr>
          <w:rFonts w:ascii="Times New Roman" w:hAnsi="Times New Roman" w:eastAsia="Times New Roman" w:cs="Times New Roman"/>
          <w:sz w:val="16"/>
          <w:szCs w:val="16"/>
          <w:spacing w:val="1"/>
        </w:rPr>
        <w:t>(1)</w:t>
      </w:r>
      <w:r>
        <w:rPr>
          <w:rFonts w:ascii="Times New Roman" w:hAnsi="Times New Roman" w:eastAsia="Times New Roman" w:cs="Times New Roman"/>
          <w:sz w:val="16"/>
          <w:szCs w:val="16"/>
        </w:rPr>
        <w:t>POST</w:t>
      </w:r>
      <w:r>
        <w:rPr>
          <w:rFonts w:ascii="Times New Roman" w:hAnsi="Times New Roman" w:eastAsia="Times New Roman" w:cs="Times New Roman"/>
          <w:sz w:val="16"/>
          <w:szCs w:val="16"/>
          <w:spacing w:val="15"/>
          <w:w w:val="101"/>
        </w:rPr>
        <w:t xml:space="preserve">  </w:t>
      </w:r>
      <w:r>
        <w:rPr>
          <w:rFonts w:ascii="SimSun" w:hAnsi="SimSun" w:eastAsia="SimSun" w:cs="SimSun"/>
          <w:sz w:val="16"/>
          <w:szCs w:val="16"/>
          <w:spacing w:val="1"/>
        </w:rPr>
        <w:t>方式(必须实现):</w:t>
      </w:r>
    </w:p>
    <w:p>
      <w:pPr>
        <w:ind w:left="270"/>
        <w:spacing w:before="114" w:line="219" w:lineRule="auto"/>
        <w:rPr>
          <w:rFonts w:ascii="SimSun" w:hAnsi="SimSun" w:eastAsia="SimSun" w:cs="SimSun"/>
          <w:sz w:val="16"/>
          <w:szCs w:val="16"/>
        </w:rPr>
      </w:pPr>
      <w:r>
        <w:rPr>
          <w:rFonts w:ascii="Times New Roman" w:hAnsi="Times New Roman" w:eastAsia="Times New Roman" w:cs="Times New Roman"/>
          <w:sz w:val="16"/>
          <w:szCs w:val="16"/>
          <w:spacing w:val="-9"/>
        </w:rPr>
        <w:t>POST</w:t>
      </w:r>
      <w:r>
        <w:rPr>
          <w:rFonts w:ascii="Times New Roman" w:hAnsi="Times New Roman" w:eastAsia="Times New Roman" w:cs="Times New Roman"/>
          <w:sz w:val="16"/>
          <w:szCs w:val="16"/>
          <w:spacing w:val="30"/>
          <w:w w:val="101"/>
        </w:rPr>
        <w:t xml:space="preserve"> </w:t>
      </w:r>
      <w:r>
        <w:rPr>
          <w:rFonts w:ascii="SimSun" w:hAnsi="SimSun" w:eastAsia="SimSun" w:cs="SimSun"/>
          <w:sz w:val="16"/>
          <w:szCs w:val="16"/>
          <w:spacing w:val="-9"/>
        </w:rPr>
        <w:t>方法被用于请求源服务器接受请求中的实体作为请求资源的一个新的从属物。</w:t>
      </w:r>
    </w:p>
    <w:p>
      <w:pPr>
        <w:ind w:left="120" w:right="460" w:firstLine="149"/>
        <w:spacing w:before="72" w:line="275" w:lineRule="auto"/>
        <w:rPr>
          <w:rFonts w:ascii="SimSun" w:hAnsi="SimSun" w:eastAsia="SimSun" w:cs="SimSun"/>
          <w:sz w:val="16"/>
          <w:szCs w:val="16"/>
        </w:rPr>
      </w:pPr>
      <w:r>
        <w:rPr>
          <w:rFonts w:ascii="Times New Roman" w:hAnsi="Times New Roman" w:eastAsia="Times New Roman" w:cs="Times New Roman"/>
          <w:sz w:val="16"/>
          <w:szCs w:val="16"/>
          <w:spacing w:val="-9"/>
        </w:rPr>
        <w:t>POST</w:t>
      </w:r>
      <w:r>
        <w:rPr>
          <w:rFonts w:ascii="SimSun" w:hAnsi="SimSun" w:eastAsia="SimSun" w:cs="SimSun"/>
          <w:sz w:val="16"/>
          <w:szCs w:val="16"/>
          <w:spacing w:val="-9"/>
        </w:rPr>
        <w:t>方法的实际功能是由服务器决定的，并且经常依赖于请求</w:t>
      </w:r>
      <w:r>
        <w:rPr>
          <w:rFonts w:ascii="Times New Roman" w:hAnsi="Times New Roman" w:eastAsia="Times New Roman" w:cs="Times New Roman"/>
          <w:sz w:val="16"/>
          <w:szCs w:val="16"/>
          <w:spacing w:val="-9"/>
        </w:rPr>
        <w:t>URI(Request-URI)</w:t>
      </w:r>
      <w:r>
        <w:rPr>
          <w:rFonts w:ascii="Times New Roman" w:hAnsi="Times New Roman" w:eastAsia="Times New Roman" w:cs="Times New Roman"/>
          <w:sz w:val="16"/>
          <w:szCs w:val="16"/>
          <w:spacing w:val="-18"/>
        </w:rPr>
        <w:t xml:space="preserve"> </w:t>
      </w:r>
      <w:r>
        <w:rPr>
          <w:rFonts w:ascii="SimSun" w:hAnsi="SimSun" w:eastAsia="SimSun" w:cs="SimSun"/>
          <w:sz w:val="16"/>
          <w:szCs w:val="16"/>
          <w:spacing w:val="-9"/>
        </w:rPr>
        <w:t>。</w:t>
      </w:r>
      <w:r>
        <w:rPr>
          <w:rFonts w:ascii="Times New Roman" w:hAnsi="Times New Roman" w:eastAsia="Times New Roman" w:cs="Times New Roman"/>
          <w:sz w:val="16"/>
          <w:szCs w:val="16"/>
          <w:spacing w:val="-9"/>
        </w:rPr>
        <w:t>P</w:t>
      </w:r>
      <w:r>
        <w:rPr>
          <w:rFonts w:ascii="Times New Roman" w:hAnsi="Times New Roman" w:eastAsia="Times New Roman" w:cs="Times New Roman"/>
          <w:sz w:val="16"/>
          <w:szCs w:val="16"/>
          <w:spacing w:val="-10"/>
        </w:rPr>
        <w:t>OST</w:t>
      </w:r>
      <w:r>
        <w:rPr>
          <w:rFonts w:ascii="SimSun" w:hAnsi="SimSun" w:eastAsia="SimSun" w:cs="SimSun"/>
          <w:sz w:val="16"/>
          <w:szCs w:val="16"/>
          <w:spacing w:val="-10"/>
        </w:rPr>
        <w:t>提交的实体是请求</w:t>
      </w:r>
      <w:r>
        <w:rPr>
          <w:rFonts w:ascii="Times New Roman" w:hAnsi="Times New Roman" w:eastAsia="Times New Roman" w:cs="Times New Roman"/>
          <w:sz w:val="16"/>
          <w:szCs w:val="16"/>
          <w:spacing w:val="-10"/>
        </w:rPr>
        <w:t>URI</w:t>
      </w:r>
      <w:r>
        <w:rPr>
          <w:rFonts w:ascii="Times New Roman" w:hAnsi="Times New Roman" w:eastAsia="Times New Roman" w:cs="Times New Roman"/>
          <w:sz w:val="16"/>
          <w:szCs w:val="16"/>
        </w:rPr>
        <w:t xml:space="preserve"> </w:t>
      </w:r>
      <w:r>
        <w:rPr>
          <w:rFonts w:ascii="SimSun" w:hAnsi="SimSun" w:eastAsia="SimSun" w:cs="SimSun"/>
          <w:sz w:val="16"/>
          <w:szCs w:val="16"/>
          <w:spacing w:val="-18"/>
        </w:rPr>
        <w:t>的从属物，就好像一个文件从属于一个目录， 一篇新闻文章</w:t>
      </w:r>
      <w:r>
        <w:rPr>
          <w:rFonts w:ascii="SimSun" w:hAnsi="SimSun" w:eastAsia="SimSun" w:cs="SimSun"/>
          <w:sz w:val="16"/>
          <w:szCs w:val="16"/>
          <w:spacing w:val="-19"/>
        </w:rPr>
        <w:t>从属于一个新闻组，或者一条记录从属于一个数据库。</w:t>
      </w:r>
    </w:p>
    <w:p>
      <w:pPr>
        <w:spacing w:line="275" w:lineRule="auto"/>
        <w:sectPr>
          <w:footerReference w:type="default" r:id="rId329"/>
          <w:pgSz w:w="8870" w:h="13400"/>
          <w:pgMar w:top="400" w:right="524" w:bottom="595" w:left="430" w:header="0" w:footer="376" w:gutter="0"/>
        </w:sectPr>
        <w:rPr>
          <w:rFonts w:ascii="SimSun" w:hAnsi="SimSun" w:eastAsia="SimSun" w:cs="SimSun"/>
          <w:sz w:val="16"/>
          <w:szCs w:val="16"/>
        </w:rPr>
      </w:pPr>
    </w:p>
    <w:p>
      <w:pPr>
        <w:ind w:left="129"/>
        <w:spacing w:before="14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224" name="IM 224"/>
            <wp:cNvGraphicFramePr/>
            <a:graphic>
              <a:graphicData uri="http://schemas.openxmlformats.org/drawingml/2006/picture">
                <pic:pic>
                  <pic:nvPicPr>
                    <pic:cNvPr id="224" name="IM 224"/>
                    <pic:cNvPicPr/>
                  </pic:nvPicPr>
                  <pic:blipFill>
                    <a:blip r:embed="rId33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6"/>
        </w:rPr>
        <w:t xml:space="preserve"> </w:t>
      </w:r>
      <w:r>
        <w:rPr>
          <w:rFonts w:ascii="SimSun" w:hAnsi="SimSun" w:eastAsia="SimSun" w:cs="SimSun"/>
          <w:sz w:val="22"/>
          <w:szCs w:val="22"/>
          <w:b/>
          <w:bCs/>
          <w:spacing w:val="-16"/>
        </w:rPr>
        <w:t>■云端数据治理</w:t>
      </w:r>
    </w:p>
    <w:p>
      <w:pPr>
        <w:pStyle w:val="BodyText"/>
        <w:spacing w:line="310" w:lineRule="auto"/>
        <w:rPr/>
      </w:pPr>
      <w:r/>
    </w:p>
    <w:p>
      <w:pPr>
        <w:ind w:left="7199"/>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669" w:type="dxa"/>
        <w:tblInd w:w="259" w:type="dxa"/>
        <w:tblLayout w:type="fixed"/>
        <w:tblBorders>
          <w:left w:val="single" w:color="000000" w:sz="4" w:space="0"/>
          <w:bottom w:val="single" w:color="000000" w:sz="4" w:space="0"/>
          <w:right w:val="single" w:color="000000" w:sz="4" w:space="0"/>
          <w:top w:val="single" w:color="000000" w:sz="4" w:space="0"/>
        </w:tblBorders>
      </w:tblPr>
      <w:tblGrid>
        <w:gridCol w:w="7669"/>
      </w:tblGrid>
      <w:tr>
        <w:trPr>
          <w:trHeight w:val="2249" w:hRule="atLeast"/>
        </w:trPr>
        <w:tc>
          <w:tcPr>
            <w:tcW w:w="7669" w:type="dxa"/>
            <w:vAlign w:val="top"/>
          </w:tcPr>
          <w:p>
            <w:pPr>
              <w:pStyle w:val="TableText"/>
              <w:ind w:left="265"/>
              <w:spacing w:before="81" w:line="219" w:lineRule="auto"/>
              <w:rPr>
                <w:sz w:val="16"/>
                <w:szCs w:val="16"/>
              </w:rPr>
            </w:pPr>
            <w:r>
              <w:rPr>
                <w:sz w:val="16"/>
                <w:szCs w:val="16"/>
              </w:rPr>
              <w:t>POST方法的响应是可缓存的。</w:t>
            </w:r>
          </w:p>
          <w:p>
            <w:pPr>
              <w:pStyle w:val="TableText"/>
              <w:ind w:left="265"/>
              <w:spacing w:before="90" w:line="221" w:lineRule="auto"/>
              <w:rPr>
                <w:sz w:val="16"/>
                <w:szCs w:val="16"/>
              </w:rPr>
            </w:pPr>
            <w:r>
              <w:rPr>
                <w:sz w:val="16"/>
                <w:szCs w:val="16"/>
                <w:spacing w:val="3"/>
              </w:rPr>
              <w:t>(2)</w:t>
            </w:r>
            <w:r>
              <w:rPr>
                <w:sz w:val="16"/>
                <w:szCs w:val="16"/>
              </w:rPr>
              <w:t>GET</w:t>
            </w:r>
            <w:r>
              <w:rPr>
                <w:sz w:val="16"/>
                <w:szCs w:val="16"/>
                <w:spacing w:val="3"/>
              </w:rPr>
              <w:t>方式(可选):</w:t>
            </w:r>
          </w:p>
          <w:p>
            <w:pPr>
              <w:pStyle w:val="TableText"/>
              <w:ind w:left="265"/>
              <w:spacing w:before="83" w:line="214" w:lineRule="auto"/>
              <w:rPr>
                <w:sz w:val="16"/>
                <w:szCs w:val="16"/>
              </w:rPr>
            </w:pPr>
            <w:r>
              <w:rPr>
                <w:sz w:val="16"/>
                <w:szCs w:val="16"/>
              </w:rPr>
              <w:t>GET方法意思是获取被请求URI(Request-URI)指定的信息(以实体的格式)。如果请求URI涉</w:t>
            </w:r>
            <w:r>
              <w:rPr>
                <w:sz w:val="16"/>
                <w:szCs w:val="16"/>
                <w:spacing w:val="-1"/>
              </w:rPr>
              <w:t>及到一个数据</w:t>
            </w:r>
          </w:p>
          <w:p>
            <w:pPr>
              <w:pStyle w:val="TableText"/>
              <w:ind w:left="125"/>
              <w:spacing w:before="78" w:line="283" w:lineRule="auto"/>
              <w:rPr>
                <w:sz w:val="16"/>
                <w:szCs w:val="16"/>
              </w:rPr>
            </w:pPr>
            <w:r>
              <w:rPr>
                <w:sz w:val="16"/>
                <w:szCs w:val="16"/>
                <w:spacing w:val="-6"/>
              </w:rPr>
              <w:t>生成过程，那么这个生成的数据应该被作为实体在响应中返回，但这并不是过程</w:t>
            </w:r>
            <w:r>
              <w:rPr>
                <w:sz w:val="16"/>
                <w:szCs w:val="16"/>
                <w:spacing w:val="-7"/>
              </w:rPr>
              <w:t>的资源文本，除非资源文本恰好</w:t>
            </w:r>
            <w:r>
              <w:rPr>
                <w:sz w:val="16"/>
                <w:szCs w:val="16"/>
              </w:rPr>
              <w:t xml:space="preserve"> </w:t>
            </w:r>
            <w:r>
              <w:rPr>
                <w:sz w:val="16"/>
                <w:szCs w:val="16"/>
                <w:spacing w:val="-1"/>
              </w:rPr>
              <w:t>是过程的输出。</w:t>
            </w:r>
          </w:p>
          <w:p>
            <w:pPr>
              <w:pStyle w:val="TableText"/>
              <w:ind w:left="265"/>
              <w:spacing w:before="110" w:line="219" w:lineRule="auto"/>
              <w:rPr>
                <w:sz w:val="16"/>
                <w:szCs w:val="16"/>
              </w:rPr>
            </w:pPr>
            <w:r>
              <w:rPr>
                <w:sz w:val="16"/>
                <w:szCs w:val="16"/>
              </w:rPr>
              <w:t>GET请求的响应是可缓存的。</w:t>
            </w:r>
          </w:p>
          <w:p>
            <w:pPr>
              <w:pStyle w:val="TableText"/>
              <w:ind w:left="265"/>
              <w:spacing w:before="90" w:line="219" w:lineRule="auto"/>
              <w:rPr>
                <w:sz w:val="16"/>
                <w:szCs w:val="16"/>
              </w:rPr>
            </w:pPr>
            <w:r>
              <w:rPr>
                <w:sz w:val="16"/>
                <w:szCs w:val="16"/>
                <w:spacing w:val="-1"/>
              </w:rPr>
              <w:t>4)技术实现</w:t>
            </w:r>
          </w:p>
          <w:p>
            <w:pPr>
              <w:pStyle w:val="TableText"/>
              <w:ind w:left="275"/>
              <w:spacing w:before="86" w:line="210" w:lineRule="auto"/>
              <w:rPr>
                <w:sz w:val="16"/>
                <w:szCs w:val="16"/>
              </w:rPr>
            </w:pPr>
            <w:r>
              <w:rPr>
                <w:sz w:val="16"/>
                <w:szCs w:val="16"/>
              </w:rPr>
              <w:t>接口采用OpenURL技术实现。</w:t>
            </w:r>
          </w:p>
        </w:tc>
      </w:tr>
    </w:tbl>
    <w:p>
      <w:pPr>
        <w:pStyle w:val="BodyText"/>
        <w:spacing w:line="330" w:lineRule="auto"/>
        <w:rPr/>
      </w:pPr>
      <w:r/>
    </w:p>
    <w:p>
      <w:pPr>
        <w:ind w:left="244"/>
        <w:spacing w:before="94" w:line="225" w:lineRule="auto"/>
        <w:outlineLvl w:val="3"/>
        <w:rPr>
          <w:rFonts w:ascii="YouYuan" w:hAnsi="YouYuan" w:eastAsia="YouYuan" w:cs="YouYuan"/>
          <w:sz w:val="29"/>
          <w:szCs w:val="29"/>
        </w:rPr>
      </w:pPr>
      <w:r>
        <w:rPr>
          <w:rFonts w:ascii="YouYuan" w:hAnsi="YouYuan" w:eastAsia="YouYuan" w:cs="YouYuan"/>
          <w:sz w:val="29"/>
          <w:szCs w:val="29"/>
          <w:b/>
          <w:bCs/>
          <w:spacing w:val="-8"/>
        </w:rPr>
        <w:t>7.2.3</w:t>
      </w:r>
      <w:r>
        <w:rPr>
          <w:rFonts w:ascii="YouYuan" w:hAnsi="YouYuan" w:eastAsia="YouYuan" w:cs="YouYuan"/>
          <w:sz w:val="29"/>
          <w:szCs w:val="29"/>
          <w:spacing w:val="-8"/>
        </w:rPr>
        <w:t xml:space="preserve">  </w:t>
      </w:r>
      <w:r>
        <w:rPr>
          <w:rFonts w:ascii="YouYuan" w:hAnsi="YouYuan" w:eastAsia="YouYuan" w:cs="YouYuan"/>
          <w:sz w:val="29"/>
          <w:szCs w:val="29"/>
          <w:b/>
          <w:bCs/>
          <w:spacing w:val="-8"/>
        </w:rPr>
        <w:t>数据生命周期管理</w:t>
      </w:r>
    </w:p>
    <w:p>
      <w:pPr>
        <w:ind w:left="693"/>
        <w:spacing w:before="286" w:line="224" w:lineRule="auto"/>
        <w:outlineLvl w:val="4"/>
        <w:rPr>
          <w:rFonts w:ascii="YouYuan" w:hAnsi="YouYuan" w:eastAsia="YouYuan" w:cs="YouYuan"/>
          <w:sz w:val="22"/>
          <w:szCs w:val="22"/>
        </w:rPr>
      </w:pPr>
      <w:r>
        <w:rPr>
          <w:rFonts w:ascii="YouYuan" w:hAnsi="YouYuan" w:eastAsia="YouYuan" w:cs="YouYuan"/>
          <w:sz w:val="22"/>
          <w:szCs w:val="22"/>
          <w:b/>
          <w:bCs/>
          <w:spacing w:val="-13"/>
        </w:rPr>
        <w:t>1.</w:t>
      </w:r>
      <w:r>
        <w:rPr>
          <w:rFonts w:ascii="YouYuan" w:hAnsi="YouYuan" w:eastAsia="YouYuan" w:cs="YouYuan"/>
          <w:sz w:val="22"/>
          <w:szCs w:val="22"/>
          <w:spacing w:val="25"/>
        </w:rPr>
        <w:t xml:space="preserve"> </w:t>
      </w:r>
      <w:r>
        <w:rPr>
          <w:rFonts w:ascii="YouYuan" w:hAnsi="YouYuan" w:eastAsia="YouYuan" w:cs="YouYuan"/>
          <w:sz w:val="22"/>
          <w:szCs w:val="22"/>
          <w:b/>
          <w:bCs/>
          <w:spacing w:val="-13"/>
        </w:rPr>
        <w:t>简介</w:t>
      </w:r>
    </w:p>
    <w:p>
      <w:pPr>
        <w:ind w:left="689"/>
        <w:spacing w:before="217" w:line="232" w:lineRule="auto"/>
        <w:rPr>
          <w:rFonts w:ascii="KaiTi" w:hAnsi="KaiTi" w:eastAsia="KaiTi" w:cs="KaiTi"/>
          <w:sz w:val="22"/>
          <w:szCs w:val="22"/>
        </w:rPr>
      </w:pPr>
      <w:r>
        <w:rPr>
          <w:rFonts w:ascii="KaiTi" w:hAnsi="KaiTi" w:eastAsia="KaiTi" w:cs="KaiTi"/>
          <w:sz w:val="22"/>
          <w:szCs w:val="22"/>
          <w:spacing w:val="15"/>
        </w:rPr>
        <w:t>1)目的</w:t>
      </w:r>
    </w:p>
    <w:p>
      <w:pPr>
        <w:ind w:left="239" w:right="29" w:firstLine="450"/>
        <w:spacing w:before="65" w:line="250" w:lineRule="auto"/>
        <w:rPr>
          <w:rFonts w:ascii="SimSun" w:hAnsi="SimSun" w:eastAsia="SimSun" w:cs="SimSun"/>
          <w:sz w:val="22"/>
          <w:szCs w:val="22"/>
        </w:rPr>
      </w:pPr>
      <w:r>
        <w:rPr>
          <w:rFonts w:ascii="SimSun" w:hAnsi="SimSun" w:eastAsia="SimSun" w:cs="SimSun"/>
          <w:sz w:val="22"/>
          <w:szCs w:val="22"/>
          <w:spacing w:val="-8"/>
        </w:rPr>
        <w:t>确保从创建或采购到有效删除的整个数据生命周期中，组织理解、映射、清算</w:t>
      </w:r>
      <w:r>
        <w:rPr>
          <w:rFonts w:ascii="SimSun" w:hAnsi="SimSun" w:eastAsia="SimSun" w:cs="SimSun"/>
          <w:sz w:val="22"/>
          <w:szCs w:val="22"/>
          <w:spacing w:val="11"/>
        </w:rPr>
        <w:t xml:space="preserve"> </w:t>
      </w:r>
      <w:r>
        <w:rPr>
          <w:rFonts w:ascii="SimSun" w:hAnsi="SimSun" w:eastAsia="SimSun" w:cs="SimSun"/>
          <w:sz w:val="22"/>
          <w:szCs w:val="22"/>
          <w:spacing w:val="-8"/>
        </w:rPr>
        <w:t>以及控制业务过程中的数据流。数据生命周期管理能够更好地帮助组织对</w:t>
      </w:r>
      <w:r>
        <w:rPr>
          <w:rFonts w:ascii="SimSun" w:hAnsi="SimSun" w:eastAsia="SimSun" w:cs="SimSun"/>
          <w:sz w:val="22"/>
          <w:szCs w:val="22"/>
          <w:spacing w:val="-9"/>
        </w:rPr>
        <w:t>数据风险</w:t>
      </w:r>
      <w:r>
        <w:rPr>
          <w:rFonts w:ascii="SimSun" w:hAnsi="SimSun" w:eastAsia="SimSun" w:cs="SimSun"/>
          <w:sz w:val="22"/>
          <w:szCs w:val="22"/>
        </w:rPr>
        <w:t xml:space="preserve"> </w:t>
      </w:r>
      <w:r>
        <w:rPr>
          <w:rFonts w:ascii="SimSun" w:hAnsi="SimSun" w:eastAsia="SimSun" w:cs="SimSun"/>
          <w:sz w:val="22"/>
          <w:szCs w:val="22"/>
          <w:spacing w:val="-8"/>
        </w:rPr>
        <w:t>的管理以及支持数据质量改进，特别是当涉及到大量数据、高速的云端数据迁移以</w:t>
      </w:r>
      <w:r>
        <w:rPr>
          <w:rFonts w:ascii="SimSun" w:hAnsi="SimSun" w:eastAsia="SimSun" w:cs="SimSun"/>
          <w:sz w:val="22"/>
          <w:szCs w:val="22"/>
          <w:spacing w:val="6"/>
        </w:rPr>
        <w:t xml:space="preserve"> </w:t>
      </w:r>
      <w:r>
        <w:rPr>
          <w:rFonts w:ascii="SimSun" w:hAnsi="SimSun" w:eastAsia="SimSun" w:cs="SimSun"/>
          <w:sz w:val="22"/>
          <w:szCs w:val="22"/>
          <w:spacing w:val="-12"/>
        </w:rPr>
        <w:t>及复杂又相互依赖的数据分享过程时。</w:t>
      </w:r>
    </w:p>
    <w:p>
      <w:pPr>
        <w:ind w:left="689"/>
        <w:spacing w:before="35" w:line="222" w:lineRule="auto"/>
        <w:rPr>
          <w:rFonts w:ascii="KaiTi" w:hAnsi="KaiTi" w:eastAsia="KaiTi" w:cs="KaiTi"/>
          <w:sz w:val="22"/>
          <w:szCs w:val="22"/>
        </w:rPr>
      </w:pPr>
      <w:r>
        <w:rPr>
          <w:rFonts w:ascii="KaiTi" w:hAnsi="KaiTi" w:eastAsia="KaiTi" w:cs="KaiTi"/>
          <w:sz w:val="22"/>
          <w:szCs w:val="22"/>
          <w:spacing w:val="20"/>
        </w:rPr>
        <w:t>2)介绍</w:t>
      </w:r>
    </w:p>
    <w:p>
      <w:pPr>
        <w:ind w:left="239" w:right="61" w:firstLine="450"/>
        <w:spacing w:before="64" w:line="255" w:lineRule="auto"/>
        <w:rPr>
          <w:rFonts w:ascii="SimSun" w:hAnsi="SimSun" w:eastAsia="SimSun" w:cs="SimSun"/>
          <w:sz w:val="22"/>
          <w:szCs w:val="22"/>
        </w:rPr>
      </w:pPr>
      <w:r>
        <w:rPr>
          <w:rFonts w:ascii="SimSun" w:hAnsi="SimSun" w:eastAsia="SimSun" w:cs="SimSun"/>
          <w:sz w:val="22"/>
          <w:szCs w:val="22"/>
          <w:spacing w:val="4"/>
        </w:rPr>
        <w:t>数据是流动的，在其存储空间流进和流出，并被包装在信息产品中交付使</w:t>
      </w:r>
      <w:r>
        <w:rPr>
          <w:rFonts w:ascii="SimSun" w:hAnsi="SimSun" w:eastAsia="SimSun" w:cs="SimSun"/>
          <w:sz w:val="22"/>
          <w:szCs w:val="22"/>
          <w:spacing w:val="11"/>
        </w:rPr>
        <w:t xml:space="preserve"> </w:t>
      </w:r>
      <w:r>
        <w:rPr>
          <w:rFonts w:ascii="SimSun" w:hAnsi="SimSun" w:eastAsia="SimSun" w:cs="SimSun"/>
          <w:sz w:val="22"/>
          <w:szCs w:val="22"/>
          <w:spacing w:val="4"/>
        </w:rPr>
        <w:t>用。数据本身存在着从产生到消除的生命周期，在数据的生命周期中，数据流</w:t>
      </w:r>
      <w:r>
        <w:rPr>
          <w:rFonts w:ascii="SimSun" w:hAnsi="SimSun" w:eastAsia="SimSun" w:cs="SimSun"/>
          <w:sz w:val="22"/>
          <w:szCs w:val="22"/>
          <w:spacing w:val="12"/>
        </w:rPr>
        <w:t xml:space="preserve"> </w:t>
      </w:r>
      <w:r>
        <w:rPr>
          <w:rFonts w:ascii="SimSun" w:hAnsi="SimSun" w:eastAsia="SimSun" w:cs="SimSun"/>
          <w:sz w:val="22"/>
          <w:szCs w:val="22"/>
          <w:spacing w:val="5"/>
        </w:rPr>
        <w:t>转才能产生价值，而且在不同阶段数据的价值会</w:t>
      </w:r>
      <w:r>
        <w:rPr>
          <w:rFonts w:ascii="SimSun" w:hAnsi="SimSun" w:eastAsia="SimSun" w:cs="SimSun"/>
          <w:sz w:val="22"/>
          <w:szCs w:val="22"/>
          <w:spacing w:val="4"/>
        </w:rPr>
        <w:t>发生变化，数据的采集粒度与</w:t>
      </w:r>
      <w:r>
        <w:rPr>
          <w:rFonts w:ascii="SimSun" w:hAnsi="SimSun" w:eastAsia="SimSun" w:cs="SimSun"/>
          <w:sz w:val="22"/>
          <w:szCs w:val="22"/>
        </w:rPr>
        <w:t xml:space="preserve"> </w:t>
      </w:r>
      <w:r>
        <w:rPr>
          <w:rFonts w:ascii="SimSun" w:hAnsi="SimSun" w:eastAsia="SimSun" w:cs="SimSun"/>
          <w:sz w:val="22"/>
          <w:szCs w:val="22"/>
          <w:spacing w:val="3"/>
        </w:rPr>
        <w:t>时效性、传输过程、存储方式、数据处理、数据分享等都会对数据的价值体现</w:t>
      </w:r>
      <w:r>
        <w:rPr>
          <w:rFonts w:ascii="SimSun" w:hAnsi="SimSun" w:eastAsia="SimSun" w:cs="SimSun"/>
          <w:sz w:val="22"/>
          <w:szCs w:val="22"/>
          <w:spacing w:val="15"/>
        </w:rPr>
        <w:t xml:space="preserve"> </w:t>
      </w:r>
      <w:r>
        <w:rPr>
          <w:rFonts w:ascii="SimSun" w:hAnsi="SimSun" w:eastAsia="SimSun" w:cs="SimSun"/>
          <w:sz w:val="22"/>
          <w:szCs w:val="22"/>
          <w:spacing w:val="4"/>
        </w:rPr>
        <w:t>产生影响。云端数据生命周期管理是依据不同数据在不同阶段</w:t>
      </w:r>
      <w:r>
        <w:rPr>
          <w:rFonts w:ascii="SimSun" w:hAnsi="SimSun" w:eastAsia="SimSun" w:cs="SimSun"/>
          <w:sz w:val="22"/>
          <w:szCs w:val="22"/>
          <w:spacing w:val="3"/>
        </w:rPr>
        <w:t>的价值实施不同</w:t>
      </w:r>
      <w:r>
        <w:rPr>
          <w:rFonts w:ascii="SimSun" w:hAnsi="SimSun" w:eastAsia="SimSun" w:cs="SimSun"/>
          <w:sz w:val="22"/>
          <w:szCs w:val="22"/>
        </w:rPr>
        <w:t xml:space="preserve"> </w:t>
      </w:r>
      <w:r>
        <w:rPr>
          <w:rFonts w:ascii="SimSun" w:hAnsi="SimSun" w:eastAsia="SimSun" w:cs="SimSun"/>
          <w:sz w:val="22"/>
          <w:szCs w:val="22"/>
          <w:spacing w:val="3"/>
        </w:rPr>
        <w:t>的管理策略，以用于管理数据在整个生命周期内的流动。数据生命周期管理是</w:t>
      </w:r>
      <w:r>
        <w:rPr>
          <w:rFonts w:ascii="SimSun" w:hAnsi="SimSun" w:eastAsia="SimSun" w:cs="SimSun"/>
          <w:sz w:val="22"/>
          <w:szCs w:val="22"/>
          <w:spacing w:val="18"/>
        </w:rPr>
        <w:t xml:space="preserve"> </w:t>
      </w:r>
      <w:r>
        <w:rPr>
          <w:rFonts w:ascii="SimSun" w:hAnsi="SimSun" w:eastAsia="SimSun" w:cs="SimSun"/>
          <w:sz w:val="22"/>
          <w:szCs w:val="22"/>
          <w:spacing w:val="3"/>
        </w:rPr>
        <w:t>一种信息管理模式，通过它可以有效控制云端数据规模，提高数据访</w:t>
      </w:r>
      <w:r>
        <w:rPr>
          <w:rFonts w:ascii="SimSun" w:hAnsi="SimSun" w:eastAsia="SimSun" w:cs="SimSun"/>
          <w:sz w:val="22"/>
          <w:szCs w:val="22"/>
          <w:spacing w:val="2"/>
        </w:rPr>
        <w:t>问效率，</w:t>
      </w:r>
      <w:r>
        <w:rPr>
          <w:rFonts w:ascii="SimSun" w:hAnsi="SimSun" w:eastAsia="SimSun" w:cs="SimSun"/>
          <w:sz w:val="22"/>
          <w:szCs w:val="22"/>
        </w:rPr>
        <w:t xml:space="preserve"> </w:t>
      </w:r>
      <w:r>
        <w:rPr>
          <w:rFonts w:ascii="SimSun" w:hAnsi="SimSun" w:eastAsia="SimSun" w:cs="SimSun"/>
          <w:sz w:val="22"/>
          <w:szCs w:val="22"/>
          <w:spacing w:val="3"/>
        </w:rPr>
        <w:t>从而提高系统运行的整体效率，帮助组织在数据生命的各个阶段以最低的成本</w:t>
      </w:r>
      <w:r>
        <w:rPr>
          <w:rFonts w:ascii="SimSun" w:hAnsi="SimSun" w:eastAsia="SimSun" w:cs="SimSun"/>
          <w:sz w:val="22"/>
          <w:szCs w:val="22"/>
          <w:spacing w:val="17"/>
        </w:rPr>
        <w:t xml:space="preserve"> </w:t>
      </w:r>
      <w:r>
        <w:rPr>
          <w:rFonts w:ascii="SimSun" w:hAnsi="SimSun" w:eastAsia="SimSun" w:cs="SimSun"/>
          <w:sz w:val="22"/>
          <w:szCs w:val="22"/>
          <w:spacing w:val="-5"/>
        </w:rPr>
        <w:t>获得最大的价值。</w:t>
      </w:r>
    </w:p>
    <w:p>
      <w:pPr>
        <w:ind w:left="239" w:firstLine="450"/>
        <w:spacing w:before="82" w:line="252" w:lineRule="auto"/>
        <w:rPr>
          <w:rFonts w:ascii="SimSun" w:hAnsi="SimSun" w:eastAsia="SimSun" w:cs="SimSun"/>
          <w:sz w:val="22"/>
          <w:szCs w:val="22"/>
        </w:rPr>
      </w:pPr>
      <w:r>
        <w:rPr>
          <w:rFonts w:ascii="SimSun" w:hAnsi="SimSun" w:eastAsia="SimSun" w:cs="SimSun"/>
          <w:sz w:val="22"/>
          <w:szCs w:val="22"/>
          <w:spacing w:val="-2"/>
        </w:rPr>
        <w:t>数据生命周期中数据的生命过程没有统一的顺序规定，尤其是在数据流转更</w:t>
      </w:r>
      <w:r>
        <w:rPr>
          <w:rFonts w:ascii="SimSun" w:hAnsi="SimSun" w:eastAsia="SimSun" w:cs="SimSun"/>
          <w:sz w:val="22"/>
          <w:szCs w:val="22"/>
          <w:spacing w:val="5"/>
        </w:rPr>
        <w:t xml:space="preserve"> </w:t>
      </w:r>
      <w:r>
        <w:rPr>
          <w:rFonts w:ascii="SimSun" w:hAnsi="SimSun" w:eastAsia="SimSun" w:cs="SimSun"/>
          <w:sz w:val="22"/>
          <w:szCs w:val="22"/>
          <w:spacing w:val="-3"/>
        </w:rPr>
        <w:t>加复杂多变的大环境下，数据不再单纯地遵循一个固定的顺序过程。在整个生命</w:t>
      </w:r>
      <w:r>
        <w:rPr>
          <w:rFonts w:ascii="SimSun" w:hAnsi="SimSun" w:eastAsia="SimSun" w:cs="SimSun"/>
          <w:sz w:val="22"/>
          <w:szCs w:val="22"/>
          <w:spacing w:val="1"/>
        </w:rPr>
        <w:t xml:space="preserve">  </w:t>
      </w:r>
      <w:r>
        <w:rPr>
          <w:rFonts w:ascii="SimSun" w:hAnsi="SimSun" w:eastAsia="SimSun" w:cs="SimSun"/>
          <w:sz w:val="22"/>
          <w:szCs w:val="22"/>
          <w:spacing w:val="-6"/>
        </w:rPr>
        <w:t>过程中，数据可能被提取、导入、迁移、验证、编辑、更新、转型、转</w:t>
      </w:r>
      <w:r>
        <w:rPr>
          <w:rFonts w:ascii="SimSun" w:hAnsi="SimSun" w:eastAsia="SimSun" w:cs="SimSun"/>
          <w:sz w:val="22"/>
          <w:szCs w:val="22"/>
          <w:spacing w:val="-7"/>
        </w:rPr>
        <w:t>换、整合、</w:t>
      </w:r>
      <w:r>
        <w:rPr>
          <w:rFonts w:ascii="SimSun" w:hAnsi="SimSun" w:eastAsia="SimSun" w:cs="SimSun"/>
          <w:sz w:val="22"/>
          <w:szCs w:val="22"/>
        </w:rPr>
        <w:t xml:space="preserve"> </w:t>
      </w:r>
      <w:r>
        <w:rPr>
          <w:rFonts w:ascii="SimSun" w:hAnsi="SimSun" w:eastAsia="SimSun" w:cs="SimSun"/>
          <w:sz w:val="22"/>
          <w:szCs w:val="22"/>
          <w:spacing w:val="-3"/>
        </w:rPr>
        <w:t>隔离、汇聚、引用、评审、报告、分析、挖掘、备份、恢复、归档和检索，最后</w:t>
      </w:r>
      <w:r>
        <w:rPr>
          <w:rFonts w:ascii="SimSun" w:hAnsi="SimSun" w:eastAsia="SimSun" w:cs="SimSun"/>
          <w:sz w:val="22"/>
          <w:szCs w:val="22"/>
          <w:spacing w:val="5"/>
        </w:rPr>
        <w:t xml:space="preserve">  </w:t>
      </w:r>
      <w:r>
        <w:rPr>
          <w:rFonts w:ascii="SimSun" w:hAnsi="SimSun" w:eastAsia="SimSun" w:cs="SimSun"/>
          <w:sz w:val="22"/>
          <w:szCs w:val="22"/>
          <w:spacing w:val="-8"/>
        </w:rPr>
        <w:t>被删除。</w:t>
      </w:r>
    </w:p>
    <w:p>
      <w:pPr>
        <w:ind w:left="239" w:firstLine="450"/>
        <w:spacing w:before="67" w:line="247" w:lineRule="auto"/>
        <w:rPr>
          <w:rFonts w:ascii="SimSun" w:hAnsi="SimSun" w:eastAsia="SimSun" w:cs="SimSun"/>
          <w:sz w:val="22"/>
          <w:szCs w:val="22"/>
        </w:rPr>
      </w:pPr>
      <w:r>
        <w:rPr>
          <w:rFonts w:ascii="SimSun" w:hAnsi="SimSun" w:eastAsia="SimSun" w:cs="SimSun"/>
          <w:sz w:val="22"/>
          <w:szCs w:val="22"/>
          <w:spacing w:val="-13"/>
        </w:rPr>
        <w:t>通过将数据处理过程归类，可以将数据生命周期划分为六个主要阶段，即产生、</w:t>
      </w:r>
      <w:r>
        <w:rPr>
          <w:rFonts w:ascii="SimSun" w:hAnsi="SimSun" w:eastAsia="SimSun" w:cs="SimSun"/>
          <w:sz w:val="22"/>
          <w:szCs w:val="22"/>
          <w:spacing w:val="3"/>
        </w:rPr>
        <w:t xml:space="preserve"> </w:t>
      </w:r>
      <w:r>
        <w:rPr>
          <w:rFonts w:ascii="SimSun" w:hAnsi="SimSun" w:eastAsia="SimSun" w:cs="SimSun"/>
          <w:sz w:val="22"/>
          <w:szCs w:val="22"/>
          <w:spacing w:val="-9"/>
        </w:rPr>
        <w:t>存储、使用、传输、共享和销毁组成。需要指出的是，并非所有的数据都会经历生</w:t>
      </w:r>
      <w:r>
        <w:rPr>
          <w:rFonts w:ascii="SimSun" w:hAnsi="SimSun" w:eastAsia="SimSun" w:cs="SimSun"/>
          <w:sz w:val="22"/>
          <w:szCs w:val="22"/>
          <w:spacing w:val="1"/>
        </w:rPr>
        <w:t xml:space="preserve">  </w:t>
      </w:r>
      <w:r>
        <w:rPr>
          <w:rFonts w:ascii="SimSun" w:hAnsi="SimSun" w:eastAsia="SimSun" w:cs="SimSun"/>
          <w:sz w:val="22"/>
          <w:szCs w:val="22"/>
          <w:spacing w:val="-11"/>
        </w:rPr>
        <w:t>命周期的每一个阶段。各阶段的定义如下。</w:t>
      </w:r>
    </w:p>
    <w:p>
      <w:pPr>
        <w:spacing w:line="247" w:lineRule="auto"/>
        <w:sectPr>
          <w:footerReference w:type="default" r:id="rId331"/>
          <w:pgSz w:w="8870" w:h="13400"/>
          <w:pgMar w:top="400" w:right="420" w:bottom="525" w:left="510" w:header="0" w:footer="306" w:gutter="0"/>
        </w:sectPr>
        <w:rPr>
          <w:rFonts w:ascii="SimSun" w:hAnsi="SimSun" w:eastAsia="SimSun" w:cs="SimSun"/>
          <w:sz w:val="22"/>
          <w:szCs w:val="22"/>
        </w:rPr>
      </w:pPr>
    </w:p>
    <w:p>
      <w:pPr>
        <w:ind w:left="5522"/>
        <w:spacing w:before="154" w:line="219" w:lineRule="auto"/>
        <w:rPr>
          <w:rFonts w:ascii="SimSun" w:hAnsi="SimSun" w:eastAsia="SimSun" w:cs="SimSun"/>
          <w:sz w:val="22"/>
          <w:szCs w:val="22"/>
        </w:rPr>
      </w:pPr>
      <w:r>
        <w:rPr>
          <w:rFonts w:ascii="SimSun" w:hAnsi="SimSun" w:eastAsia="SimSun" w:cs="SimSun"/>
          <w:sz w:val="22"/>
          <w:szCs w:val="22"/>
          <w:b/>
          <w:bCs/>
          <w:spacing w:val="-12"/>
        </w:rPr>
        <w:t>第7章■云端数据操作■</w:t>
      </w:r>
    </w:p>
    <w:p>
      <w:pPr>
        <w:pStyle w:val="BodyText"/>
        <w:spacing w:line="250" w:lineRule="auto"/>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7"/>
        </w:rPr>
        <w:t>(1)数据产生：指新的数据产生或现有数据内容发生显著改变或更新的阶段；</w:t>
      </w:r>
    </w:p>
    <w:p>
      <w:pPr>
        <w:ind w:left="419"/>
        <w:spacing w:before="48" w:line="219" w:lineRule="auto"/>
        <w:rPr>
          <w:rFonts w:ascii="SimSun" w:hAnsi="SimSun" w:eastAsia="SimSun" w:cs="SimSun"/>
          <w:sz w:val="22"/>
          <w:szCs w:val="22"/>
        </w:rPr>
      </w:pPr>
      <w:r>
        <w:rPr>
          <w:rFonts w:ascii="SimSun" w:hAnsi="SimSun" w:eastAsia="SimSun" w:cs="SimSun"/>
          <w:sz w:val="22"/>
          <w:szCs w:val="22"/>
          <w:spacing w:val="-7"/>
        </w:rPr>
        <w:t>(2)数据存储：指非动态数据以任何数字格式进行物理存储的阶段；</w:t>
      </w:r>
    </w:p>
    <w:p>
      <w:pPr>
        <w:ind w:left="419"/>
        <w:spacing w:before="48" w:line="219" w:lineRule="auto"/>
        <w:rPr>
          <w:rFonts w:ascii="SimSun" w:hAnsi="SimSun" w:eastAsia="SimSun" w:cs="SimSun"/>
          <w:sz w:val="22"/>
          <w:szCs w:val="22"/>
        </w:rPr>
      </w:pPr>
      <w:r>
        <w:rPr>
          <w:rFonts w:ascii="SimSun" w:hAnsi="SimSun" w:eastAsia="SimSun" w:cs="SimSun"/>
          <w:sz w:val="22"/>
          <w:szCs w:val="22"/>
          <w:spacing w:val="-9"/>
        </w:rPr>
        <w:t>(3)数据使用：指数据被查看、处理以及不包括修改在内的其他各种使用方式；</w:t>
      </w:r>
    </w:p>
    <w:p>
      <w:pPr>
        <w:ind w:right="207" w:firstLine="419"/>
        <w:spacing w:before="38" w:line="241" w:lineRule="auto"/>
        <w:rPr>
          <w:rFonts w:ascii="SimSun" w:hAnsi="SimSun" w:eastAsia="SimSun" w:cs="SimSun"/>
          <w:sz w:val="22"/>
          <w:szCs w:val="22"/>
        </w:rPr>
      </w:pPr>
      <w:r>
        <w:rPr>
          <w:rFonts w:ascii="SimSun" w:hAnsi="SimSun" w:eastAsia="SimSun" w:cs="SimSun"/>
          <w:sz w:val="22"/>
          <w:szCs w:val="22"/>
          <w:spacing w:val="2"/>
        </w:rPr>
        <w:t>(4)数据传输：指数据从一个实体通过网络或其他途径流动到另一个实体的</w:t>
      </w:r>
      <w:r>
        <w:rPr>
          <w:rFonts w:ascii="SimSun" w:hAnsi="SimSun" w:eastAsia="SimSun" w:cs="SimSun"/>
          <w:sz w:val="22"/>
          <w:szCs w:val="22"/>
          <w:spacing w:val="8"/>
        </w:rPr>
        <w:t xml:space="preserve"> </w:t>
      </w:r>
      <w:r>
        <w:rPr>
          <w:rFonts w:ascii="SimSun" w:hAnsi="SimSun" w:eastAsia="SimSun" w:cs="SimSun"/>
          <w:sz w:val="22"/>
          <w:szCs w:val="22"/>
          <w:spacing w:val="-14"/>
        </w:rPr>
        <w:t>过程；</w:t>
      </w:r>
    </w:p>
    <w:p>
      <w:pPr>
        <w:ind w:left="419"/>
        <w:spacing w:before="77" w:line="219" w:lineRule="auto"/>
        <w:rPr>
          <w:rFonts w:ascii="SimSun" w:hAnsi="SimSun" w:eastAsia="SimSun" w:cs="SimSun"/>
          <w:sz w:val="22"/>
          <w:szCs w:val="22"/>
        </w:rPr>
      </w:pPr>
      <w:r>
        <w:rPr>
          <w:rFonts w:ascii="SimSun" w:hAnsi="SimSun" w:eastAsia="SimSun" w:cs="SimSun"/>
          <w:sz w:val="22"/>
          <w:szCs w:val="22"/>
          <w:spacing w:val="-7"/>
        </w:rPr>
        <w:t>(5)数据共享：指数据在不同实体之间发生交互的阶段；</w:t>
      </w:r>
    </w:p>
    <w:p>
      <w:pPr>
        <w:ind w:left="419"/>
        <w:spacing w:before="49" w:line="219" w:lineRule="auto"/>
        <w:rPr>
          <w:rFonts w:ascii="SimSun" w:hAnsi="SimSun" w:eastAsia="SimSun" w:cs="SimSun"/>
          <w:sz w:val="22"/>
          <w:szCs w:val="22"/>
        </w:rPr>
      </w:pPr>
      <w:r>
        <w:rPr>
          <w:rFonts w:ascii="SimSun" w:hAnsi="SimSun" w:eastAsia="SimSun" w:cs="SimSun"/>
          <w:sz w:val="22"/>
          <w:szCs w:val="22"/>
          <w:spacing w:val="-6"/>
        </w:rPr>
        <w:t>(6)数据销毁：指利用物理或者技术手段使</w:t>
      </w:r>
      <w:r>
        <w:rPr>
          <w:rFonts w:ascii="SimSun" w:hAnsi="SimSun" w:eastAsia="SimSun" w:cs="SimSun"/>
          <w:sz w:val="22"/>
          <w:szCs w:val="22"/>
          <w:spacing w:val="-7"/>
        </w:rPr>
        <w:t>数据永久或临时性不可用的过程。</w:t>
      </w:r>
    </w:p>
    <w:p>
      <w:pPr>
        <w:ind w:right="226" w:firstLine="419"/>
        <w:spacing w:before="37" w:line="252" w:lineRule="auto"/>
        <w:rPr>
          <w:rFonts w:ascii="SimSun" w:hAnsi="SimSun" w:eastAsia="SimSun" w:cs="SimSun"/>
          <w:sz w:val="22"/>
          <w:szCs w:val="22"/>
        </w:rPr>
      </w:pPr>
      <w:r>
        <w:rPr>
          <w:rFonts w:ascii="SimSun" w:hAnsi="SimSun" w:eastAsia="SimSun" w:cs="SimSun"/>
          <w:sz w:val="22"/>
          <w:szCs w:val="22"/>
          <w:spacing w:val="-8"/>
        </w:rPr>
        <w:t>数据是组织的一项重要资产，对提高组织决策水平起到重要作</w:t>
      </w:r>
      <w:r>
        <w:rPr>
          <w:rFonts w:ascii="SimSun" w:hAnsi="SimSun" w:eastAsia="SimSun" w:cs="SimSun"/>
          <w:sz w:val="22"/>
          <w:szCs w:val="22"/>
          <w:spacing w:val="-9"/>
        </w:rPr>
        <w:t>用。但是随着时</w:t>
      </w:r>
      <w:r>
        <w:rPr>
          <w:rFonts w:ascii="SimSun" w:hAnsi="SimSun" w:eastAsia="SimSun" w:cs="SimSun"/>
          <w:sz w:val="22"/>
          <w:szCs w:val="22"/>
        </w:rPr>
        <w:t xml:space="preserve"> </w:t>
      </w:r>
      <w:r>
        <w:rPr>
          <w:rFonts w:ascii="SimSun" w:hAnsi="SimSun" w:eastAsia="SimSun" w:cs="SimSun"/>
          <w:sz w:val="22"/>
          <w:szCs w:val="22"/>
          <w:spacing w:val="-12"/>
        </w:rPr>
        <w:t>间的推移，数据规模日益庞大，给系统存储</w:t>
      </w:r>
      <w:r>
        <w:rPr>
          <w:rFonts w:ascii="SimSun" w:hAnsi="SimSun" w:eastAsia="SimSun" w:cs="SimSun"/>
          <w:sz w:val="22"/>
          <w:szCs w:val="22"/>
          <w:spacing w:val="-13"/>
        </w:rPr>
        <w:t>、访问效率造成了越来越大的压力。</w:t>
      </w:r>
      <w:r>
        <w:rPr>
          <w:rFonts w:ascii="SimSun" w:hAnsi="SimSun" w:eastAsia="SimSun" w:cs="SimSun"/>
          <w:sz w:val="22"/>
          <w:szCs w:val="22"/>
          <w:spacing w:val="39"/>
        </w:rPr>
        <w:t xml:space="preserve"> </w:t>
      </w:r>
      <w:r>
        <w:rPr>
          <w:rFonts w:ascii="SimSun" w:hAnsi="SimSun" w:eastAsia="SimSun" w:cs="SimSun"/>
          <w:sz w:val="22"/>
          <w:szCs w:val="22"/>
          <w:spacing w:val="-13"/>
        </w:rPr>
        <w:t>一</w:t>
      </w:r>
      <w:r>
        <w:rPr>
          <w:rFonts w:ascii="SimSun" w:hAnsi="SimSun" w:eastAsia="SimSun" w:cs="SimSun"/>
          <w:sz w:val="22"/>
          <w:szCs w:val="22"/>
        </w:rPr>
        <w:t xml:space="preserve"> </w:t>
      </w:r>
      <w:r>
        <w:rPr>
          <w:rFonts w:ascii="SimSun" w:hAnsi="SimSun" w:eastAsia="SimSun" w:cs="SimSun"/>
          <w:sz w:val="22"/>
          <w:szCs w:val="22"/>
          <w:spacing w:val="-9"/>
        </w:rPr>
        <w:t>般情况下，数据生成时间越长，其获得的访问频率则越低。尤其是在大数据时代，</w:t>
      </w:r>
      <w:r>
        <w:rPr>
          <w:rFonts w:ascii="SimSun" w:hAnsi="SimSun" w:eastAsia="SimSun" w:cs="SimSun"/>
          <w:sz w:val="22"/>
          <w:szCs w:val="22"/>
          <w:spacing w:val="13"/>
        </w:rPr>
        <w:t xml:space="preserve"> </w:t>
      </w:r>
      <w:r>
        <w:rPr>
          <w:rFonts w:ascii="SimSun" w:hAnsi="SimSun" w:eastAsia="SimSun" w:cs="SimSun"/>
          <w:sz w:val="22"/>
          <w:szCs w:val="22"/>
          <w:spacing w:val="-8"/>
        </w:rPr>
        <w:t>数据体量非常之大，数据访问效率会变得更低。如果将不活跃的数据进行</w:t>
      </w:r>
      <w:r>
        <w:rPr>
          <w:rFonts w:ascii="SimSun" w:hAnsi="SimSun" w:eastAsia="SimSun" w:cs="SimSun"/>
          <w:sz w:val="22"/>
          <w:szCs w:val="22"/>
          <w:spacing w:val="-9"/>
        </w:rPr>
        <w:t>迁移，则</w:t>
      </w:r>
      <w:r>
        <w:rPr>
          <w:rFonts w:ascii="SimSun" w:hAnsi="SimSun" w:eastAsia="SimSun" w:cs="SimSun"/>
          <w:sz w:val="22"/>
          <w:szCs w:val="22"/>
        </w:rPr>
        <w:t xml:space="preserve"> </w:t>
      </w:r>
      <w:r>
        <w:rPr>
          <w:rFonts w:ascii="SimSun" w:hAnsi="SimSun" w:eastAsia="SimSun" w:cs="SimSun"/>
          <w:sz w:val="22"/>
          <w:szCs w:val="22"/>
          <w:spacing w:val="-15"/>
        </w:rPr>
        <w:t>可以降低组织的拥有成本。</w:t>
      </w:r>
    </w:p>
    <w:p>
      <w:pPr>
        <w:ind w:right="226" w:firstLine="419"/>
        <w:spacing w:before="48" w:line="252" w:lineRule="auto"/>
        <w:rPr>
          <w:rFonts w:ascii="SimSun" w:hAnsi="SimSun" w:eastAsia="SimSun" w:cs="SimSun"/>
          <w:sz w:val="22"/>
          <w:szCs w:val="22"/>
        </w:rPr>
      </w:pPr>
      <w:r>
        <w:rPr>
          <w:rFonts w:ascii="SimSun" w:hAnsi="SimSun" w:eastAsia="SimSun" w:cs="SimSun"/>
          <w:sz w:val="22"/>
          <w:szCs w:val="22"/>
          <w:spacing w:val="-8"/>
        </w:rPr>
        <w:t>数据生命周期是以成本与数据不断变化的价值相对应的办法，从数</w:t>
      </w:r>
      <w:r>
        <w:rPr>
          <w:rFonts w:ascii="SimSun" w:hAnsi="SimSun" w:eastAsia="SimSun" w:cs="SimSun"/>
          <w:sz w:val="22"/>
          <w:szCs w:val="22"/>
          <w:spacing w:val="-9"/>
        </w:rPr>
        <w:t>据的创建到</w:t>
      </w:r>
      <w:r>
        <w:rPr>
          <w:rFonts w:ascii="SimSun" w:hAnsi="SimSun" w:eastAsia="SimSun" w:cs="SimSun"/>
          <w:sz w:val="22"/>
          <w:szCs w:val="22"/>
        </w:rPr>
        <w:t xml:space="preserve"> </w:t>
      </w:r>
      <w:r>
        <w:rPr>
          <w:rFonts w:ascii="SimSun" w:hAnsi="SimSun" w:eastAsia="SimSun" w:cs="SimSun"/>
          <w:sz w:val="22"/>
          <w:szCs w:val="22"/>
          <w:spacing w:val="-8"/>
        </w:rPr>
        <w:t>最终销毁进行全程的管理，从而允许组织在满足业务需求以及法律法规</w:t>
      </w:r>
      <w:r>
        <w:rPr>
          <w:rFonts w:ascii="SimSun" w:hAnsi="SimSun" w:eastAsia="SimSun" w:cs="SimSun"/>
          <w:sz w:val="22"/>
          <w:szCs w:val="22"/>
          <w:spacing w:val="-9"/>
        </w:rPr>
        <w:t>的前提下制</w:t>
      </w:r>
      <w:r>
        <w:rPr>
          <w:rFonts w:ascii="SimSun" w:hAnsi="SimSun" w:eastAsia="SimSun" w:cs="SimSun"/>
          <w:sz w:val="22"/>
          <w:szCs w:val="22"/>
        </w:rPr>
        <w:t xml:space="preserve"> </w:t>
      </w:r>
      <w:r>
        <w:rPr>
          <w:rFonts w:ascii="SimSun" w:hAnsi="SimSun" w:eastAsia="SimSun" w:cs="SimSun"/>
          <w:sz w:val="22"/>
          <w:szCs w:val="22"/>
          <w:spacing w:val="-8"/>
        </w:rPr>
        <w:t>订明确的保留时间表，对实时云端数据进行管理识别</w:t>
      </w:r>
      <w:r>
        <w:rPr>
          <w:rFonts w:ascii="SimSun" w:hAnsi="SimSun" w:eastAsia="SimSun" w:cs="SimSun"/>
          <w:sz w:val="22"/>
          <w:szCs w:val="22"/>
          <w:spacing w:val="-9"/>
        </w:rPr>
        <w:t>出哪些数据是有价值的，哪些</w:t>
      </w:r>
      <w:r>
        <w:rPr>
          <w:rFonts w:ascii="SimSun" w:hAnsi="SimSun" w:eastAsia="SimSun" w:cs="SimSun"/>
          <w:sz w:val="22"/>
          <w:szCs w:val="22"/>
        </w:rPr>
        <w:t xml:space="preserve"> </w:t>
      </w:r>
      <w:r>
        <w:rPr>
          <w:rFonts w:ascii="SimSun" w:hAnsi="SimSun" w:eastAsia="SimSun" w:cs="SimSun"/>
          <w:sz w:val="22"/>
          <w:szCs w:val="22"/>
          <w:spacing w:val="-8"/>
        </w:rPr>
        <w:t>数据需要被永久保存，有效控制数据在线规模，不</w:t>
      </w:r>
      <w:r>
        <w:rPr>
          <w:rFonts w:ascii="SimSun" w:hAnsi="SimSun" w:eastAsia="SimSun" w:cs="SimSun"/>
          <w:sz w:val="22"/>
          <w:szCs w:val="22"/>
          <w:spacing w:val="-9"/>
        </w:rPr>
        <w:t>断提高数据的访问效率，降低存</w:t>
      </w:r>
      <w:r>
        <w:rPr>
          <w:rFonts w:ascii="SimSun" w:hAnsi="SimSun" w:eastAsia="SimSun" w:cs="SimSun"/>
          <w:sz w:val="22"/>
          <w:szCs w:val="22"/>
        </w:rPr>
        <w:t xml:space="preserve"> </w:t>
      </w:r>
      <w:r>
        <w:rPr>
          <w:rFonts w:ascii="SimSun" w:hAnsi="SimSun" w:eastAsia="SimSun" w:cs="SimSun"/>
          <w:sz w:val="22"/>
          <w:szCs w:val="22"/>
          <w:spacing w:val="-17"/>
        </w:rPr>
        <w:t>储成本。</w:t>
      </w:r>
    </w:p>
    <w:p>
      <w:pPr>
        <w:ind w:left="419"/>
        <w:spacing w:before="74" w:line="229" w:lineRule="auto"/>
        <w:rPr>
          <w:rFonts w:ascii="KaiTi" w:hAnsi="KaiTi" w:eastAsia="KaiTi" w:cs="KaiTi"/>
          <w:sz w:val="22"/>
          <w:szCs w:val="22"/>
        </w:rPr>
      </w:pPr>
      <w:r>
        <w:rPr>
          <w:rFonts w:ascii="KaiTi" w:hAnsi="KaiTi" w:eastAsia="KaiTi" w:cs="KaiTi"/>
          <w:sz w:val="22"/>
          <w:szCs w:val="22"/>
          <w:spacing w:val="4"/>
        </w:rPr>
        <w:t>3)相关过程域</w:t>
      </w:r>
    </w:p>
    <w:p>
      <w:pPr>
        <w:ind w:left="419"/>
        <w:spacing w:before="32" w:line="219" w:lineRule="auto"/>
        <w:rPr>
          <w:rFonts w:ascii="SimSun" w:hAnsi="SimSun" w:eastAsia="SimSun" w:cs="SimSun"/>
          <w:sz w:val="22"/>
          <w:szCs w:val="22"/>
        </w:rPr>
      </w:pPr>
      <w:r>
        <w:rPr>
          <w:rFonts w:ascii="SimSun" w:hAnsi="SimSun" w:eastAsia="SimSun" w:cs="SimSun"/>
          <w:sz w:val="22"/>
          <w:szCs w:val="22"/>
          <w:spacing w:val="-10"/>
        </w:rPr>
        <w:t>数据提供者管理过程域提供了从各个层面上定义数据需求的相关信息；</w:t>
      </w:r>
    </w:p>
    <w:p>
      <w:pPr>
        <w:ind w:left="419"/>
        <w:spacing w:before="50" w:line="219" w:lineRule="auto"/>
        <w:rPr>
          <w:rFonts w:ascii="SimSun" w:hAnsi="SimSun" w:eastAsia="SimSun" w:cs="SimSun"/>
          <w:sz w:val="22"/>
          <w:szCs w:val="22"/>
        </w:rPr>
      </w:pPr>
      <w:r>
        <w:rPr>
          <w:rFonts w:ascii="SimSun" w:hAnsi="SimSun" w:eastAsia="SimSun" w:cs="SimSun"/>
          <w:sz w:val="22"/>
          <w:szCs w:val="22"/>
          <w:spacing w:val="-11"/>
        </w:rPr>
        <w:t>数据质量战略过程域为指导哪些数据需要特别管理提供了依</w:t>
      </w:r>
      <w:r>
        <w:rPr>
          <w:rFonts w:ascii="SimSun" w:hAnsi="SimSun" w:eastAsia="SimSun" w:cs="SimSun"/>
          <w:sz w:val="22"/>
          <w:szCs w:val="22"/>
          <w:spacing w:val="-12"/>
        </w:rPr>
        <w:t>据；</w:t>
      </w:r>
    </w:p>
    <w:p>
      <w:pPr>
        <w:ind w:left="419"/>
        <w:spacing w:before="49" w:line="219" w:lineRule="auto"/>
        <w:rPr>
          <w:rFonts w:ascii="SimSun" w:hAnsi="SimSun" w:eastAsia="SimSun" w:cs="SimSun"/>
          <w:sz w:val="22"/>
          <w:szCs w:val="22"/>
        </w:rPr>
      </w:pPr>
      <w:r>
        <w:rPr>
          <w:rFonts w:ascii="SimSun" w:hAnsi="SimSun" w:eastAsia="SimSun" w:cs="SimSun"/>
          <w:sz w:val="22"/>
          <w:szCs w:val="22"/>
          <w:spacing w:val="-11"/>
        </w:rPr>
        <w:t>主数据管理过程域提供了数据生命周期管理的范围与重点。</w:t>
      </w:r>
    </w:p>
    <w:p>
      <w:pPr>
        <w:pStyle w:val="BodyText"/>
        <w:ind w:left="419"/>
        <w:spacing w:before="217" w:line="223" w:lineRule="auto"/>
        <w:outlineLvl w:val="4"/>
        <w:rPr>
          <w:rFonts w:ascii="SimHei" w:hAnsi="SimHei" w:eastAsia="SimHei" w:cs="SimHei"/>
          <w:sz w:val="22"/>
          <w:szCs w:val="22"/>
        </w:rPr>
      </w:pPr>
      <w:r>
        <w:rPr>
          <w:sz w:val="22"/>
          <w:szCs w:val="22"/>
          <w:b/>
          <w:bCs/>
          <w:spacing w:val="-2"/>
        </w:rPr>
        <w:t>2.GQM</w:t>
      </w:r>
      <w:r>
        <w:rPr>
          <w:sz w:val="22"/>
          <w:szCs w:val="22"/>
          <w:b/>
          <w:bCs/>
          <w:spacing w:val="9"/>
        </w:rPr>
        <w:t xml:space="preserve">   </w:t>
      </w:r>
      <w:r>
        <w:rPr>
          <w:rFonts w:ascii="SimHei" w:hAnsi="SimHei" w:eastAsia="SimHei" w:cs="SimHei"/>
          <w:sz w:val="22"/>
          <w:szCs w:val="22"/>
          <w:b/>
          <w:bCs/>
          <w:spacing w:val="-2"/>
        </w:rPr>
        <w:t>表</w:t>
      </w:r>
    </w:p>
    <w:p>
      <w:pPr>
        <w:spacing w:before="42"/>
        <w:rPr/>
      </w:pPr>
      <w:r/>
    </w:p>
    <w:tbl>
      <w:tblPr>
        <w:tblStyle w:val="TableNormal"/>
        <w:tblW w:w="76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3"/>
        <w:gridCol w:w="1618"/>
        <w:gridCol w:w="1838"/>
        <w:gridCol w:w="2741"/>
      </w:tblGrid>
      <w:tr>
        <w:trPr>
          <w:trHeight w:val="354" w:hRule="atLeast"/>
        </w:trPr>
        <w:tc>
          <w:tcPr>
            <w:tcW w:w="1463" w:type="dxa"/>
            <w:vAlign w:val="top"/>
          </w:tcPr>
          <w:p>
            <w:pPr>
              <w:pStyle w:val="TableText"/>
              <w:ind w:left="454"/>
              <w:spacing w:before="101" w:line="220" w:lineRule="auto"/>
              <w:rPr/>
            </w:pPr>
            <w:r>
              <w:rPr>
                <w:spacing w:val="-18"/>
              </w:rPr>
              <w:t>目</w:t>
            </w:r>
            <w:r>
              <w:rPr>
                <w:spacing w:val="17"/>
              </w:rPr>
              <w:t xml:space="preserve">   </w:t>
            </w:r>
            <w:r>
              <w:rPr>
                <w:spacing w:val="-18"/>
              </w:rPr>
              <w:t>标</w:t>
            </w:r>
          </w:p>
        </w:tc>
        <w:tc>
          <w:tcPr>
            <w:tcW w:w="1618" w:type="dxa"/>
            <w:vAlign w:val="top"/>
          </w:tcPr>
          <w:p>
            <w:pPr>
              <w:pStyle w:val="TableText"/>
              <w:ind w:left="502"/>
              <w:spacing w:before="103" w:line="221" w:lineRule="auto"/>
              <w:rPr/>
            </w:pPr>
            <w:r>
              <w:rPr>
                <w:spacing w:val="-12"/>
              </w:rPr>
              <w:t>问</w:t>
            </w:r>
            <w:r>
              <w:rPr>
                <w:spacing w:val="9"/>
              </w:rPr>
              <w:t xml:space="preserve">    </w:t>
            </w:r>
            <w:r>
              <w:rPr>
                <w:spacing w:val="-12"/>
              </w:rPr>
              <w:t>题</w:t>
            </w:r>
          </w:p>
        </w:tc>
        <w:tc>
          <w:tcPr>
            <w:tcW w:w="1838" w:type="dxa"/>
            <w:vAlign w:val="top"/>
          </w:tcPr>
          <w:p>
            <w:pPr>
              <w:pStyle w:val="TableText"/>
              <w:ind w:left="574"/>
              <w:spacing w:before="101" w:line="220" w:lineRule="auto"/>
              <w:rPr/>
            </w:pPr>
            <w:r>
              <w:rPr>
                <w:spacing w:val="-4"/>
              </w:rPr>
              <w:t>度</w:t>
            </w:r>
            <w:r>
              <w:rPr>
                <w:spacing w:val="2"/>
              </w:rPr>
              <w:t xml:space="preserve">  </w:t>
            </w:r>
            <w:r>
              <w:rPr>
                <w:spacing w:val="-4"/>
              </w:rPr>
              <w:t>量</w:t>
            </w:r>
            <w:r>
              <w:rPr>
                <w:spacing w:val="9"/>
              </w:rPr>
              <w:t xml:space="preserve"> </w:t>
            </w:r>
            <w:r>
              <w:rPr>
                <w:spacing w:val="-4"/>
              </w:rPr>
              <w:t>项</w:t>
            </w:r>
          </w:p>
        </w:tc>
        <w:tc>
          <w:tcPr>
            <w:tcW w:w="2741" w:type="dxa"/>
            <w:vAlign w:val="top"/>
          </w:tcPr>
          <w:p>
            <w:pPr>
              <w:pStyle w:val="TableText"/>
              <w:ind w:left="996"/>
              <w:spacing w:before="101" w:line="219" w:lineRule="auto"/>
              <w:rPr/>
            </w:pPr>
            <w:r>
              <w:rPr>
                <w:spacing w:val="3"/>
              </w:rPr>
              <w:t>度量项说明</w:t>
            </w:r>
          </w:p>
        </w:tc>
      </w:tr>
      <w:tr>
        <w:trPr>
          <w:trHeight w:val="588" w:hRule="atLeast"/>
        </w:trPr>
        <w:tc>
          <w:tcPr>
            <w:tcW w:w="1463" w:type="dxa"/>
            <w:vAlign w:val="top"/>
            <w:vMerge w:val="restart"/>
            <w:tcBorders>
              <w:bottom w:val="nil"/>
            </w:tcBorders>
          </w:tcPr>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pStyle w:val="TableText"/>
              <w:ind w:left="115" w:right="115" w:firstLine="120"/>
              <w:spacing w:before="49" w:line="317" w:lineRule="auto"/>
              <w:rPr/>
            </w:pPr>
            <w:r>
              <w:rPr>
                <w:spacing w:val="-1"/>
              </w:rPr>
              <w:t>G1:定义和维护</w:t>
            </w:r>
            <w:r>
              <w:rPr/>
              <w:t xml:space="preserve">   </w:t>
            </w:r>
            <w:r>
              <w:rPr>
                <w:spacing w:val="2"/>
              </w:rPr>
              <w:t>与所选业务过程相</w:t>
            </w:r>
            <w:r>
              <w:rPr>
                <w:spacing w:val="5"/>
              </w:rPr>
              <w:t xml:space="preserve"> </w:t>
            </w:r>
            <w:r>
              <w:rPr/>
              <w:t>关的数据生命周期 </w:t>
            </w:r>
            <w:r>
              <w:rPr>
                <w:spacing w:val="1"/>
              </w:rPr>
              <w:t>以反映变更</w:t>
            </w:r>
          </w:p>
        </w:tc>
        <w:tc>
          <w:tcPr>
            <w:tcW w:w="1618"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TableText"/>
              <w:ind w:left="232"/>
              <w:spacing w:before="49" w:line="219" w:lineRule="auto"/>
              <w:rPr/>
            </w:pPr>
            <w:r>
              <w:rPr>
                <w:spacing w:val="-1"/>
              </w:rPr>
              <w:t>Q1:从业务过程映</w:t>
            </w:r>
          </w:p>
          <w:p>
            <w:pPr>
              <w:pStyle w:val="TableText"/>
              <w:ind w:left="52" w:firstLine="69"/>
              <w:spacing w:before="103" w:line="316" w:lineRule="auto"/>
              <w:rPr/>
            </w:pPr>
            <w:r>
              <w:rPr>
                <w:spacing w:val="-3"/>
              </w:rPr>
              <w:t>射到为支持这些过程</w:t>
            </w:r>
            <w:r>
              <w:rPr>
                <w:spacing w:val="1"/>
              </w:rPr>
              <w:t xml:space="preserve">   </w:t>
            </w:r>
            <w:r>
              <w:rPr>
                <w:spacing w:val="5"/>
              </w:rPr>
              <w:t>而创建和维护的数据</w:t>
            </w:r>
            <w:r>
              <w:rPr/>
              <w:t xml:space="preserve">   </w:t>
            </w:r>
            <w:r>
              <w:rPr>
                <w:spacing w:val="5"/>
              </w:rPr>
              <w:t>时，定义了什么活动、</w:t>
            </w:r>
            <w:r>
              <w:rPr>
                <w:spacing w:val="4"/>
              </w:rPr>
              <w:t xml:space="preserve"> </w:t>
            </w:r>
            <w:r>
              <w:rPr>
                <w:spacing w:val="8"/>
              </w:rPr>
              <w:t>里程碑还有产品</w:t>
            </w:r>
          </w:p>
        </w:tc>
        <w:tc>
          <w:tcPr>
            <w:tcW w:w="1838" w:type="dxa"/>
            <w:vAlign w:val="top"/>
          </w:tcPr>
          <w:p>
            <w:pPr>
              <w:pStyle w:val="TableText"/>
              <w:ind w:left="344"/>
              <w:spacing w:before="217" w:line="219" w:lineRule="auto"/>
              <w:rPr/>
            </w:pPr>
            <w:r>
              <w:rPr>
                <w:spacing w:val="-1"/>
              </w:rPr>
              <w:t>M1:数据生命周期</w:t>
            </w:r>
          </w:p>
        </w:tc>
        <w:tc>
          <w:tcPr>
            <w:tcW w:w="2741" w:type="dxa"/>
            <w:vAlign w:val="top"/>
          </w:tcPr>
          <w:p>
            <w:pPr>
              <w:pStyle w:val="TableText"/>
              <w:ind w:left="116" w:right="193" w:firstLine="160"/>
              <w:spacing w:before="96" w:line="276" w:lineRule="auto"/>
              <w:rPr/>
            </w:pPr>
            <w:r>
              <w:rPr/>
              <w:t>定义和维护与所选业务过程相关的</w:t>
            </w:r>
            <w:r>
              <w:rPr>
                <w:spacing w:val="10"/>
              </w:rPr>
              <w:t xml:space="preserve"> </w:t>
            </w:r>
            <w:r>
              <w:rPr>
                <w:spacing w:val="-1"/>
              </w:rPr>
              <w:t>数据生命周期以反映变更</w:t>
            </w:r>
          </w:p>
        </w:tc>
      </w:tr>
      <w:tr>
        <w:trPr>
          <w:trHeight w:val="867" w:hRule="atLeast"/>
        </w:trPr>
        <w:tc>
          <w:tcPr>
            <w:tcW w:w="1463" w:type="dxa"/>
            <w:vAlign w:val="top"/>
            <w:vMerge w:val="continue"/>
            <w:tcBorders>
              <w:top w:val="nil"/>
              <w:bottom w:val="nil"/>
            </w:tcBorders>
          </w:tcPr>
          <w:p>
            <w:pPr>
              <w:rPr>
                <w:rFonts w:ascii="Arial"/>
                <w:sz w:val="21"/>
              </w:rPr>
            </w:pPr>
            <w:r/>
          </w:p>
        </w:tc>
        <w:tc>
          <w:tcPr>
            <w:tcW w:w="1618" w:type="dxa"/>
            <w:vAlign w:val="top"/>
            <w:vMerge w:val="continue"/>
            <w:tcBorders>
              <w:top w:val="nil"/>
              <w:bottom w:val="nil"/>
            </w:tcBorders>
          </w:tcPr>
          <w:p>
            <w:pPr>
              <w:rPr>
                <w:rFonts w:ascii="Arial"/>
                <w:sz w:val="21"/>
              </w:rPr>
            </w:pPr>
            <w:r/>
          </w:p>
        </w:tc>
        <w:tc>
          <w:tcPr>
            <w:tcW w:w="1838" w:type="dxa"/>
            <w:vAlign w:val="top"/>
          </w:tcPr>
          <w:p>
            <w:pPr>
              <w:spacing w:line="308" w:lineRule="auto"/>
              <w:rPr>
                <w:rFonts w:ascii="Arial"/>
                <w:sz w:val="21"/>
              </w:rPr>
            </w:pPr>
            <w:r/>
          </w:p>
          <w:p>
            <w:pPr>
              <w:pStyle w:val="TableText"/>
              <w:ind w:left="344"/>
              <w:spacing w:before="49" w:line="220" w:lineRule="auto"/>
              <w:rPr/>
            </w:pPr>
            <w:r>
              <w:rPr>
                <w:spacing w:val="-1"/>
              </w:rPr>
              <w:t>M2:度量和度量项</w:t>
            </w:r>
          </w:p>
        </w:tc>
        <w:tc>
          <w:tcPr>
            <w:tcW w:w="2741" w:type="dxa"/>
            <w:vAlign w:val="top"/>
          </w:tcPr>
          <w:p>
            <w:pPr>
              <w:pStyle w:val="TableText"/>
              <w:ind w:left="116" w:right="41" w:firstLine="160"/>
              <w:spacing w:before="98" w:line="281" w:lineRule="auto"/>
              <w:rPr/>
            </w:pPr>
            <w:r>
              <w:rPr/>
              <w:t>定义度量和度量项，收集相关信息以</w:t>
            </w:r>
            <w:r>
              <w:rPr>
                <w:spacing w:val="12"/>
              </w:rPr>
              <w:t xml:space="preserve"> </w:t>
            </w:r>
            <w:r>
              <w:rPr>
                <w:spacing w:val="-1"/>
              </w:rPr>
              <w:t>评估过程到数据映射的进度以及对权</w:t>
            </w:r>
          </w:p>
          <w:p>
            <w:pPr>
              <w:pStyle w:val="TableText"/>
              <w:ind w:left="126"/>
              <w:spacing w:before="103" w:line="219" w:lineRule="auto"/>
              <w:rPr/>
            </w:pPr>
            <w:r>
              <w:rPr>
                <w:spacing w:val="-1"/>
              </w:rPr>
              <w:t>威数据来源的采纳</w:t>
            </w:r>
          </w:p>
        </w:tc>
      </w:tr>
      <w:tr>
        <w:trPr>
          <w:trHeight w:val="887" w:hRule="atLeast"/>
        </w:trPr>
        <w:tc>
          <w:tcPr>
            <w:tcW w:w="1463" w:type="dxa"/>
            <w:vAlign w:val="top"/>
            <w:vMerge w:val="continue"/>
            <w:tcBorders>
              <w:top w:val="nil"/>
              <w:bottom w:val="nil"/>
            </w:tcBorders>
          </w:tcPr>
          <w:p>
            <w:pPr>
              <w:rPr>
                <w:rFonts w:ascii="Arial"/>
                <w:sz w:val="21"/>
              </w:rPr>
            </w:pPr>
            <w:r/>
          </w:p>
        </w:tc>
        <w:tc>
          <w:tcPr>
            <w:tcW w:w="1618" w:type="dxa"/>
            <w:vAlign w:val="top"/>
            <w:vMerge w:val="continue"/>
            <w:tcBorders>
              <w:top w:val="nil"/>
              <w:bottom w:val="nil"/>
            </w:tcBorders>
          </w:tcPr>
          <w:p>
            <w:pPr>
              <w:rPr>
                <w:rFonts w:ascii="Arial"/>
                <w:sz w:val="21"/>
              </w:rPr>
            </w:pPr>
            <w:r/>
          </w:p>
        </w:tc>
        <w:tc>
          <w:tcPr>
            <w:tcW w:w="1838" w:type="dxa"/>
            <w:vAlign w:val="top"/>
          </w:tcPr>
          <w:p>
            <w:pPr>
              <w:pStyle w:val="TableText"/>
              <w:ind w:left="274"/>
              <w:spacing w:before="241" w:line="301" w:lineRule="exact"/>
              <w:rPr/>
            </w:pPr>
            <w:r>
              <w:rPr>
                <w:spacing w:val="-1"/>
                <w:position w:val="11"/>
              </w:rPr>
              <w:t>M3:数据生命周期管</w:t>
            </w:r>
          </w:p>
          <w:p>
            <w:pPr>
              <w:pStyle w:val="TableText"/>
              <w:ind w:left="104"/>
              <w:spacing w:line="220" w:lineRule="auto"/>
              <w:rPr/>
            </w:pPr>
            <w:r>
              <w:rPr>
                <w:spacing w:val="-2"/>
              </w:rPr>
              <w:t>理过程</w:t>
            </w:r>
          </w:p>
        </w:tc>
        <w:tc>
          <w:tcPr>
            <w:tcW w:w="2741" w:type="dxa"/>
            <w:vAlign w:val="top"/>
          </w:tcPr>
          <w:p>
            <w:pPr>
              <w:pStyle w:val="TableText"/>
              <w:ind w:left="105" w:right="42" w:firstLine="170"/>
              <w:spacing w:before="101" w:line="303" w:lineRule="auto"/>
              <w:jc w:val="both"/>
              <w:rPr/>
            </w:pPr>
            <w:r>
              <w:rPr/>
              <w:t>定义数据生命周期管理过程，并由相</w:t>
            </w:r>
            <w:r>
              <w:rPr>
                <w:spacing w:val="11"/>
              </w:rPr>
              <w:t xml:space="preserve"> </w:t>
            </w:r>
            <w:r>
              <w:rPr/>
              <w:t>关者评审、由数据治理主体和过程进行</w:t>
            </w:r>
            <w:r>
              <w:rPr>
                <w:spacing w:val="10"/>
              </w:rPr>
              <w:t xml:space="preserve"> </w:t>
            </w:r>
            <w:r>
              <w:rPr>
                <w:spacing w:val="-3"/>
              </w:rPr>
              <w:t>管理</w:t>
            </w:r>
          </w:p>
        </w:tc>
      </w:tr>
      <w:tr>
        <w:trPr>
          <w:trHeight w:val="593" w:hRule="atLeast"/>
        </w:trPr>
        <w:tc>
          <w:tcPr>
            <w:tcW w:w="1463" w:type="dxa"/>
            <w:vAlign w:val="top"/>
            <w:vMerge w:val="continue"/>
            <w:tcBorders>
              <w:top w:val="nil"/>
            </w:tcBorders>
          </w:tcPr>
          <w:p>
            <w:pPr>
              <w:rPr>
                <w:rFonts w:ascii="Arial"/>
                <w:sz w:val="21"/>
              </w:rPr>
            </w:pPr>
            <w:r/>
          </w:p>
        </w:tc>
        <w:tc>
          <w:tcPr>
            <w:tcW w:w="1618" w:type="dxa"/>
            <w:vAlign w:val="top"/>
            <w:vMerge w:val="continue"/>
            <w:tcBorders>
              <w:top w:val="nil"/>
            </w:tcBorders>
          </w:tcPr>
          <w:p>
            <w:pPr>
              <w:rPr>
                <w:rFonts w:ascii="Arial"/>
                <w:sz w:val="21"/>
              </w:rPr>
            </w:pPr>
            <w:r/>
          </w:p>
        </w:tc>
        <w:tc>
          <w:tcPr>
            <w:tcW w:w="1838" w:type="dxa"/>
            <w:vAlign w:val="top"/>
          </w:tcPr>
          <w:p>
            <w:pPr>
              <w:pStyle w:val="TableText"/>
              <w:ind w:left="253"/>
              <w:spacing w:before="225" w:line="219" w:lineRule="auto"/>
              <w:rPr/>
            </w:pPr>
            <w:r>
              <w:rPr>
                <w:spacing w:val="17"/>
                <w:w w:val="110"/>
              </w:rPr>
              <w:t>M4:符合性</w:t>
            </w:r>
          </w:p>
        </w:tc>
        <w:tc>
          <w:tcPr>
            <w:tcW w:w="2741" w:type="dxa"/>
            <w:vAlign w:val="top"/>
          </w:tcPr>
          <w:p>
            <w:pPr>
              <w:pStyle w:val="TableText"/>
              <w:ind w:left="126" w:right="224" w:firstLine="139"/>
              <w:spacing w:before="104" w:line="276" w:lineRule="auto"/>
              <w:rPr/>
            </w:pPr>
            <w:r>
              <w:rPr>
                <w:spacing w:val="-1"/>
              </w:rPr>
              <w:t>定义和维护业务过程到数据的映射</w:t>
            </w:r>
            <w:r>
              <w:rPr>
                <w:spacing w:val="4"/>
              </w:rPr>
              <w:t xml:space="preserve"> </w:t>
            </w:r>
            <w:r>
              <w:rPr>
                <w:spacing w:val="-2"/>
              </w:rPr>
              <w:t>并定期评审符合性</w:t>
            </w:r>
          </w:p>
        </w:tc>
      </w:tr>
    </w:tbl>
    <w:p>
      <w:pPr>
        <w:pStyle w:val="BodyText"/>
        <w:rPr/>
      </w:pPr>
      <w:r/>
    </w:p>
    <w:p>
      <w:pPr>
        <w:sectPr>
          <w:footerReference w:type="default" r:id="rId333"/>
          <w:pgSz w:w="8870" w:h="13400"/>
          <w:pgMar w:top="400" w:right="474" w:bottom="615" w:left="540" w:header="0" w:footer="396" w:gutter="0"/>
        </w:sectPr>
        <w:rPr/>
      </w:pPr>
    </w:p>
    <w:p>
      <w:pPr>
        <w:ind w:left="120"/>
        <w:spacing w:before="129"/>
        <w:rPr>
          <w:rFonts w:ascii="SimSun" w:hAnsi="SimSun" w:eastAsia="SimSun" w:cs="SimSun"/>
          <w:sz w:val="23"/>
          <w:szCs w:val="23"/>
        </w:rPr>
      </w:pPr>
      <w:bookmarkStart w:name="bookmark66" w:id="60"/>
      <w:bookmarkEnd w:id="60"/>
      <w:bookmarkStart w:name="bookmark67" w:id="61"/>
      <w:bookmarkEnd w:id="61"/>
      <w:bookmarkStart w:name="bookmark65" w:id="62"/>
      <w:bookmarkEnd w:id="62"/>
      <w:r>
        <w:rPr>
          <w:rFonts w:ascii="SimSun" w:hAnsi="SimSun" w:eastAsia="SimSun" w:cs="SimSun"/>
          <w:sz w:val="23"/>
          <w:szCs w:val="23"/>
          <w:position w:val="-10"/>
        </w:rPr>
        <w:drawing>
          <wp:inline distT="0" distB="0" distL="0" distR="0">
            <wp:extent cx="6365" cy="215958"/>
            <wp:effectExtent l="0" t="0" r="0" b="0"/>
            <wp:docPr id="226" name="IM 226"/>
            <wp:cNvGraphicFramePr/>
            <a:graphic>
              <a:graphicData uri="http://schemas.openxmlformats.org/drawingml/2006/picture">
                <pic:pic>
                  <pic:nvPicPr>
                    <pic:cNvPr id="226" name="IM 226"/>
                    <pic:cNvPicPr/>
                  </pic:nvPicPr>
                  <pic:blipFill>
                    <a:blip r:embed="rId335"/>
                    <a:stretch>
                      <a:fillRect/>
                    </a:stretch>
                  </pic:blipFill>
                  <pic:spPr>
                    <a:xfrm rot="0">
                      <a:off x="0" y="0"/>
                      <a:ext cx="6365" cy="215958"/>
                    </a:xfrm>
                    <a:prstGeom prst="rect">
                      <a:avLst/>
                    </a:prstGeom>
                  </pic:spPr>
                </pic:pic>
              </a:graphicData>
            </a:graphic>
          </wp:inline>
        </w:drawing>
      </w:r>
      <w:r>
        <w:rPr>
          <w:rFonts w:ascii="SimSun" w:hAnsi="SimSun" w:eastAsia="SimSun" w:cs="SimSun"/>
          <w:sz w:val="23"/>
          <w:szCs w:val="23"/>
          <w:spacing w:val="-27"/>
        </w:rPr>
        <w:t xml:space="preserve"> </w:t>
      </w:r>
      <w:r>
        <w:rPr>
          <w:rFonts w:ascii="SimSun" w:hAnsi="SimSun" w:eastAsia="SimSun" w:cs="SimSun"/>
          <w:sz w:val="23"/>
          <w:szCs w:val="23"/>
          <w:b/>
          <w:bCs/>
          <w:spacing w:val="-24"/>
        </w:rPr>
        <w:t>■云端数据治理</w:t>
      </w:r>
    </w:p>
    <w:p>
      <w:pPr>
        <w:pStyle w:val="BodyText"/>
        <w:spacing w:line="278" w:lineRule="auto"/>
        <w:rPr/>
      </w:pPr>
      <w:r/>
    </w:p>
    <w:p>
      <w:pPr>
        <w:ind w:left="713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65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73"/>
        <w:gridCol w:w="1628"/>
        <w:gridCol w:w="1828"/>
        <w:gridCol w:w="2721"/>
      </w:tblGrid>
      <w:tr>
        <w:trPr>
          <w:trHeight w:val="355" w:hRule="atLeast"/>
        </w:trPr>
        <w:tc>
          <w:tcPr>
            <w:tcW w:w="1473" w:type="dxa"/>
            <w:vAlign w:val="top"/>
          </w:tcPr>
          <w:p>
            <w:pPr>
              <w:pStyle w:val="TableText"/>
              <w:ind w:left="465"/>
              <w:spacing w:before="101" w:line="220" w:lineRule="auto"/>
              <w:rPr/>
            </w:pPr>
            <w:r>
              <w:rPr>
                <w:spacing w:val="-12"/>
              </w:rPr>
              <w:t>目    标</w:t>
            </w:r>
          </w:p>
        </w:tc>
        <w:tc>
          <w:tcPr>
            <w:tcW w:w="1628" w:type="dxa"/>
            <w:vAlign w:val="top"/>
          </w:tcPr>
          <w:p>
            <w:pPr>
              <w:pStyle w:val="TableText"/>
              <w:ind w:left="542"/>
              <w:spacing w:before="103" w:line="221" w:lineRule="auto"/>
              <w:rPr/>
            </w:pPr>
            <w:r>
              <w:rPr>
                <w:spacing w:val="-12"/>
              </w:rPr>
              <w:t>问</w:t>
            </w:r>
            <w:r>
              <w:rPr>
                <w:spacing w:val="10"/>
              </w:rPr>
              <w:t xml:space="preserve">   </w:t>
            </w:r>
            <w:r>
              <w:rPr>
                <w:spacing w:val="-12"/>
              </w:rPr>
              <w:t>题</w:t>
            </w:r>
          </w:p>
        </w:tc>
        <w:tc>
          <w:tcPr>
            <w:tcW w:w="1828" w:type="dxa"/>
            <w:vAlign w:val="top"/>
          </w:tcPr>
          <w:p>
            <w:pPr>
              <w:pStyle w:val="TableText"/>
              <w:ind w:left="544"/>
              <w:spacing w:before="10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2721" w:type="dxa"/>
            <w:vAlign w:val="top"/>
          </w:tcPr>
          <w:p>
            <w:pPr>
              <w:pStyle w:val="TableText"/>
              <w:ind w:left="996"/>
              <w:spacing w:before="101" w:line="219" w:lineRule="auto"/>
              <w:rPr/>
            </w:pPr>
            <w:r>
              <w:rPr>
                <w:spacing w:val="3"/>
              </w:rPr>
              <w:t>度量项说明</w:t>
            </w:r>
          </w:p>
        </w:tc>
      </w:tr>
      <w:tr>
        <w:trPr>
          <w:trHeight w:val="589" w:hRule="atLeast"/>
        </w:trPr>
        <w:tc>
          <w:tcPr>
            <w:tcW w:w="1473" w:type="dxa"/>
            <w:vAlign w:val="top"/>
            <w:vMerge w:val="restart"/>
            <w:tcBorders>
              <w:bottom w:val="nil"/>
            </w:tcBorders>
          </w:tcPr>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95" w:right="143" w:firstLine="139"/>
              <w:spacing w:before="48" w:line="331" w:lineRule="auto"/>
              <w:rPr/>
            </w:pPr>
            <w:r>
              <w:rPr>
                <w:spacing w:val="-1"/>
              </w:rPr>
              <w:t>G2:基于一个识</w:t>
            </w:r>
            <w:r>
              <w:rPr>
                <w:spacing w:val="1"/>
              </w:rPr>
              <w:t xml:space="preserve">  </w:t>
            </w:r>
            <w:r>
              <w:rPr>
                <w:spacing w:val="2"/>
              </w:rPr>
              <w:t>别共享数据流并对</w:t>
            </w:r>
            <w:r>
              <w:rPr>
                <w:spacing w:val="5"/>
              </w:rPr>
              <w:t xml:space="preserve"> </w:t>
            </w:r>
            <w:r>
              <w:rPr>
                <w:spacing w:val="2"/>
              </w:rPr>
              <w:t>数据流进行优先次</w:t>
            </w:r>
            <w:r>
              <w:rPr>
                <w:spacing w:val="5"/>
              </w:rPr>
              <w:t xml:space="preserve"> </w:t>
            </w:r>
            <w:r>
              <w:rPr>
                <w:spacing w:val="3"/>
              </w:rPr>
              <w:t>序排列的框架，将</w:t>
            </w:r>
            <w:r>
              <w:rPr/>
              <w:t xml:space="preserve"> </w:t>
            </w:r>
            <w:r>
              <w:rPr>
                <w:spacing w:val="3"/>
              </w:rPr>
              <w:t>业务过程映射到数</w:t>
            </w:r>
            <w:r>
              <w:rPr/>
              <w:t xml:space="preserve"> </w:t>
            </w:r>
            <w:r>
              <w:rPr>
                <w:spacing w:val="3"/>
              </w:rPr>
              <w:t>据流，这种映射在</w:t>
            </w:r>
            <w:r>
              <w:rPr/>
              <w:t xml:space="preserve"> </w:t>
            </w:r>
            <w:r>
              <w:rPr>
                <w:spacing w:val="3"/>
              </w:rPr>
              <w:t>特性层面延伸到整</w:t>
            </w:r>
            <w:r>
              <w:rPr/>
              <w:t xml:space="preserve"> </w:t>
            </w:r>
            <w:r>
              <w:rPr>
                <w:spacing w:val="-1"/>
              </w:rPr>
              <w:t>个数据生命周期</w:t>
            </w:r>
          </w:p>
        </w:tc>
        <w:tc>
          <w:tcPr>
            <w:tcW w:w="1628"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22" w:right="127" w:firstLine="120"/>
              <w:spacing w:before="49" w:line="316" w:lineRule="auto"/>
              <w:rPr/>
            </w:pPr>
            <w:r>
              <w:rPr>
                <w:spacing w:val="-1"/>
              </w:rPr>
              <w:t>Q2:组织是否建立  </w:t>
            </w:r>
            <w:r>
              <w:rPr>
                <w:spacing w:val="2"/>
              </w:rPr>
              <w:t>了清晰的角色与分工</w:t>
            </w:r>
            <w:r>
              <w:rPr/>
              <w:t xml:space="preserve"> </w:t>
            </w:r>
            <w:r>
              <w:rPr>
                <w:spacing w:val="1"/>
              </w:rPr>
              <w:t>以创建和维护业务过</w:t>
            </w:r>
            <w:r>
              <w:rPr>
                <w:spacing w:val="5"/>
              </w:rPr>
              <w:t xml:space="preserve"> </w:t>
            </w:r>
            <w:r>
              <w:rPr>
                <w:spacing w:val="-1"/>
              </w:rPr>
              <w:t>程到数据的映射</w:t>
            </w:r>
          </w:p>
        </w:tc>
        <w:tc>
          <w:tcPr>
            <w:tcW w:w="1828" w:type="dxa"/>
            <w:vAlign w:val="top"/>
          </w:tcPr>
          <w:p>
            <w:pPr>
              <w:pStyle w:val="TableText"/>
              <w:ind w:left="244"/>
              <w:spacing w:before="216" w:line="220" w:lineRule="auto"/>
              <w:rPr/>
            </w:pPr>
            <w:r>
              <w:rPr>
                <w:spacing w:val="-10"/>
              </w:rPr>
              <w:t>M</w:t>
            </w:r>
            <w:r>
              <w:rPr>
                <w:spacing w:val="-25"/>
              </w:rPr>
              <w:t xml:space="preserve"> </w:t>
            </w:r>
            <w:r>
              <w:rPr>
                <w:spacing w:val="-10"/>
              </w:rPr>
              <w:t>5 :</w:t>
            </w:r>
            <w:r>
              <w:rPr>
                <w:spacing w:val="-20"/>
              </w:rPr>
              <w:t xml:space="preserve"> </w:t>
            </w:r>
            <w:r>
              <w:rPr>
                <w:spacing w:val="-10"/>
              </w:rPr>
              <w:t>需</w:t>
            </w:r>
            <w:r>
              <w:rPr>
                <w:spacing w:val="-27"/>
              </w:rPr>
              <w:t xml:space="preserve"> </w:t>
            </w:r>
            <w:r>
              <w:rPr>
                <w:spacing w:val="-10"/>
              </w:rPr>
              <w:t>求</w:t>
            </w:r>
          </w:p>
        </w:tc>
        <w:tc>
          <w:tcPr>
            <w:tcW w:w="2721" w:type="dxa"/>
            <w:vAlign w:val="top"/>
          </w:tcPr>
          <w:p>
            <w:pPr>
              <w:pStyle w:val="TableText"/>
              <w:ind w:left="116" w:right="202" w:firstLine="149"/>
              <w:spacing w:before="95" w:line="283" w:lineRule="auto"/>
              <w:rPr/>
            </w:pPr>
            <w:r>
              <w:rPr>
                <w:spacing w:val="-1"/>
              </w:rPr>
              <w:t>数据生成者和使用者的需求得到映</w:t>
            </w:r>
            <w:r>
              <w:rPr>
                <w:spacing w:val="6"/>
              </w:rPr>
              <w:t xml:space="preserve"> </w:t>
            </w:r>
            <w:r>
              <w:rPr>
                <w:spacing w:val="-2"/>
              </w:rPr>
              <w:t>射和调准</w:t>
            </w:r>
          </w:p>
        </w:tc>
      </w:tr>
      <w:tr>
        <w:trPr>
          <w:trHeight w:val="115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spacing w:line="456" w:lineRule="auto"/>
              <w:rPr>
                <w:rFonts w:ascii="Arial"/>
                <w:sz w:val="21"/>
              </w:rPr>
            </w:pPr>
            <w:r/>
          </w:p>
          <w:p>
            <w:pPr>
              <w:pStyle w:val="TableText"/>
              <w:ind w:left="244"/>
              <w:spacing w:before="48" w:line="220" w:lineRule="auto"/>
              <w:rPr/>
            </w:pPr>
            <w:r>
              <w:rPr>
                <w:spacing w:val="-10"/>
              </w:rPr>
              <w:t>M</w:t>
            </w:r>
            <w:r>
              <w:rPr>
                <w:spacing w:val="-26"/>
              </w:rPr>
              <w:t xml:space="preserve"> </w:t>
            </w:r>
            <w:r>
              <w:rPr>
                <w:spacing w:val="-10"/>
              </w:rPr>
              <w:t>6 :</w:t>
            </w:r>
            <w:r>
              <w:rPr>
                <w:spacing w:val="-20"/>
              </w:rPr>
              <w:t xml:space="preserve"> </w:t>
            </w:r>
            <w:r>
              <w:rPr>
                <w:spacing w:val="-10"/>
              </w:rPr>
              <w:t>映</w:t>
            </w:r>
            <w:r>
              <w:rPr>
                <w:spacing w:val="-29"/>
              </w:rPr>
              <w:t xml:space="preserve"> </w:t>
            </w:r>
            <w:r>
              <w:rPr>
                <w:spacing w:val="-10"/>
              </w:rPr>
              <w:t>射</w:t>
            </w:r>
          </w:p>
        </w:tc>
        <w:tc>
          <w:tcPr>
            <w:tcW w:w="2721" w:type="dxa"/>
            <w:vAlign w:val="top"/>
          </w:tcPr>
          <w:p>
            <w:pPr>
              <w:pStyle w:val="TableText"/>
              <w:ind w:left="286"/>
              <w:spacing w:before="97" w:line="219" w:lineRule="auto"/>
              <w:rPr/>
            </w:pPr>
            <w:r>
              <w:rPr>
                <w:spacing w:val="-1"/>
              </w:rPr>
              <w:t>基于一个识别共享数据流并对数据</w:t>
            </w:r>
          </w:p>
          <w:p>
            <w:pPr>
              <w:pStyle w:val="TableText"/>
              <w:ind w:left="116" w:right="40"/>
              <w:spacing w:before="111" w:line="303" w:lineRule="auto"/>
              <w:rPr/>
            </w:pPr>
            <w:r>
              <w:rPr>
                <w:spacing w:val="-1"/>
              </w:rPr>
              <w:t>流进行优先次序排列的框架，将业务过</w:t>
            </w:r>
            <w:r>
              <w:rPr>
                <w:spacing w:val="9"/>
              </w:rPr>
              <w:t xml:space="preserve"> </w:t>
            </w:r>
            <w:r>
              <w:rPr/>
              <w:t>程映射到数据流，这种映射在特性层面</w:t>
            </w:r>
            <w:r>
              <w:rPr>
                <w:spacing w:val="3"/>
              </w:rPr>
              <w:t xml:space="preserve"> </w:t>
            </w:r>
            <w:r>
              <w:rPr>
                <w:spacing w:val="-1"/>
              </w:rPr>
              <w:t>延伸到整个数据生命周期</w:t>
            </w:r>
          </w:p>
        </w:tc>
      </w:tr>
      <w:tr>
        <w:trPr>
          <w:trHeight w:val="59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pStyle w:val="TableText"/>
              <w:ind w:left="244"/>
              <w:spacing w:before="228" w:line="219" w:lineRule="auto"/>
              <w:rPr/>
            </w:pPr>
            <w:r>
              <w:rPr>
                <w:spacing w:val="-10"/>
              </w:rPr>
              <w:t>M</w:t>
            </w:r>
            <w:r>
              <w:rPr>
                <w:spacing w:val="-23"/>
              </w:rPr>
              <w:t xml:space="preserve"> </w:t>
            </w:r>
            <w:r>
              <w:rPr>
                <w:spacing w:val="-10"/>
              </w:rPr>
              <w:t>7 :</w:t>
            </w:r>
            <w:r>
              <w:rPr>
                <w:spacing w:val="-23"/>
              </w:rPr>
              <w:t xml:space="preserve"> </w:t>
            </w:r>
            <w:r>
              <w:rPr>
                <w:spacing w:val="-10"/>
              </w:rPr>
              <w:t>改</w:t>
            </w:r>
            <w:r>
              <w:rPr>
                <w:spacing w:val="-30"/>
              </w:rPr>
              <w:t xml:space="preserve"> </w:t>
            </w:r>
            <w:r>
              <w:rPr>
                <w:spacing w:val="-10"/>
              </w:rPr>
              <w:t>进</w:t>
            </w:r>
          </w:p>
        </w:tc>
        <w:tc>
          <w:tcPr>
            <w:tcW w:w="2721" w:type="dxa"/>
            <w:vAlign w:val="top"/>
          </w:tcPr>
          <w:p>
            <w:pPr>
              <w:pStyle w:val="TableText"/>
              <w:ind w:left="116" w:right="74" w:firstLine="130"/>
              <w:spacing w:before="79" w:line="293" w:lineRule="auto"/>
              <w:rPr/>
            </w:pPr>
            <w:r>
              <w:rPr>
                <w:spacing w:val="-1"/>
              </w:rPr>
              <w:t>定期分析度量项和相关者的反馈，从</w:t>
            </w:r>
            <w:r>
              <w:rPr>
                <w:spacing w:val="5"/>
              </w:rPr>
              <w:t xml:space="preserve"> </w:t>
            </w:r>
            <w:r>
              <w:rPr>
                <w:spacing w:val="1"/>
              </w:rPr>
              <w:t>而将改进引入到数据依赖的管理中</w:t>
            </w:r>
          </w:p>
        </w:tc>
      </w:tr>
      <w:tr>
        <w:trPr>
          <w:trHeight w:val="56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pStyle w:val="TableText"/>
              <w:ind w:left="244"/>
              <w:spacing w:before="209" w:line="219" w:lineRule="auto"/>
              <w:rPr/>
            </w:pPr>
            <w:r>
              <w:rPr>
                <w:spacing w:val="-1"/>
              </w:rPr>
              <w:t>M8:权威数据源</w:t>
            </w:r>
          </w:p>
        </w:tc>
        <w:tc>
          <w:tcPr>
            <w:tcW w:w="2721" w:type="dxa"/>
            <w:vAlign w:val="top"/>
          </w:tcPr>
          <w:p>
            <w:pPr>
              <w:pStyle w:val="TableText"/>
              <w:ind w:left="116" w:right="177" w:firstLine="160"/>
              <w:spacing w:before="98" w:line="276" w:lineRule="auto"/>
              <w:rPr/>
            </w:pPr>
            <w:r>
              <w:rPr/>
              <w:t>由数据治理人员来评审和审批权威</w:t>
            </w:r>
            <w:r>
              <w:rPr>
                <w:spacing w:val="6"/>
              </w:rPr>
              <w:t xml:space="preserve"> </w:t>
            </w:r>
            <w:r>
              <w:rPr>
                <w:spacing w:val="-1"/>
              </w:rPr>
              <w:t>数据源的指定</w:t>
            </w:r>
          </w:p>
        </w:tc>
      </w:tr>
      <w:tr>
        <w:trPr>
          <w:trHeight w:val="89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spacing w:line="329" w:lineRule="auto"/>
              <w:rPr>
                <w:rFonts w:ascii="Arial"/>
                <w:sz w:val="21"/>
              </w:rPr>
            </w:pPr>
            <w:r/>
          </w:p>
          <w:p>
            <w:pPr>
              <w:pStyle w:val="TableText"/>
              <w:ind w:left="244"/>
              <w:spacing w:before="49" w:line="219" w:lineRule="auto"/>
              <w:rPr/>
            </w:pPr>
            <w:r>
              <w:rPr>
                <w:spacing w:val="-1"/>
              </w:rPr>
              <w:t>M9:数据流映射</w:t>
            </w:r>
          </w:p>
        </w:tc>
        <w:tc>
          <w:tcPr>
            <w:tcW w:w="2721" w:type="dxa"/>
            <w:vAlign w:val="top"/>
          </w:tcPr>
          <w:p>
            <w:pPr>
              <w:pStyle w:val="TableText"/>
              <w:ind w:left="116" w:right="50" w:firstLine="149"/>
              <w:spacing w:before="110" w:line="303" w:lineRule="auto"/>
              <w:jc w:val="both"/>
              <w:rPr/>
            </w:pPr>
            <w:r>
              <w:rPr>
                <w:spacing w:val="-1"/>
              </w:rPr>
              <w:t>在组织级别上，针对每个主要业务过</w:t>
            </w:r>
            <w:r>
              <w:rPr>
                <w:spacing w:val="9"/>
              </w:rPr>
              <w:t xml:space="preserve"> </w:t>
            </w:r>
            <w:r>
              <w:rPr>
                <w:spacing w:val="-1"/>
              </w:rPr>
              <w:t>程，为共享数据实施数据流和完整数据</w:t>
            </w:r>
            <w:r>
              <w:rPr>
                <w:spacing w:val="10"/>
              </w:rPr>
              <w:t xml:space="preserve"> </w:t>
            </w:r>
            <w:r>
              <w:rPr>
                <w:spacing w:val="-1"/>
              </w:rPr>
              <w:t>到过程生命周期的映射</w:t>
            </w:r>
          </w:p>
        </w:tc>
      </w:tr>
      <w:tr>
        <w:trPr>
          <w:trHeight w:val="115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spacing w:line="460" w:lineRule="auto"/>
              <w:rPr>
                <w:rFonts w:ascii="Arial"/>
                <w:sz w:val="21"/>
              </w:rPr>
            </w:pPr>
            <w:r/>
          </w:p>
          <w:p>
            <w:pPr>
              <w:pStyle w:val="TableText"/>
              <w:ind w:left="244"/>
              <w:spacing w:before="49" w:line="221" w:lineRule="auto"/>
              <w:rPr/>
            </w:pPr>
            <w:r>
              <w:rPr>
                <w:spacing w:val="22"/>
                <w:w w:val="106"/>
              </w:rPr>
              <w:t>M10:职责</w:t>
            </w:r>
          </w:p>
        </w:tc>
        <w:tc>
          <w:tcPr>
            <w:tcW w:w="2721" w:type="dxa"/>
            <w:vAlign w:val="top"/>
          </w:tcPr>
          <w:p>
            <w:pPr>
              <w:pStyle w:val="TableText"/>
              <w:ind w:left="266"/>
              <w:spacing w:before="111" w:line="220" w:lineRule="auto"/>
              <w:rPr/>
            </w:pPr>
            <w:r>
              <w:rPr>
                <w:spacing w:val="-1"/>
              </w:rPr>
              <w:t>项目在系统开发生命周期活动上的</w:t>
            </w:r>
          </w:p>
          <w:p>
            <w:pPr>
              <w:pStyle w:val="TableText"/>
              <w:ind w:left="126"/>
              <w:spacing w:before="90" w:line="219" w:lineRule="auto"/>
              <w:rPr/>
            </w:pPr>
            <w:r>
              <w:rPr>
                <w:spacing w:val="-1"/>
              </w:rPr>
              <w:t>职责包括将数据特性映射到对组织重</w:t>
            </w:r>
          </w:p>
          <w:p>
            <w:pPr>
              <w:pStyle w:val="TableText"/>
              <w:ind w:left="126" w:right="41"/>
              <w:spacing w:before="101" w:line="282" w:lineRule="auto"/>
              <w:rPr/>
            </w:pPr>
            <w:r>
              <w:rPr>
                <w:spacing w:val="-1"/>
              </w:rPr>
              <w:t>要的业务过程、共享数据集、来源以及</w:t>
            </w:r>
            <w:r>
              <w:rPr>
                <w:spacing w:val="9"/>
              </w:rPr>
              <w:t xml:space="preserve"> </w:t>
            </w:r>
            <w:r>
              <w:rPr>
                <w:spacing w:val="1"/>
              </w:rPr>
              <w:t>目标数据集上</w:t>
            </w:r>
          </w:p>
        </w:tc>
      </w:tr>
      <w:tr>
        <w:trPr>
          <w:trHeight w:val="86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828" w:type="dxa"/>
            <w:vAlign w:val="top"/>
          </w:tcPr>
          <w:p>
            <w:pPr>
              <w:spacing w:line="311" w:lineRule="auto"/>
              <w:rPr>
                <w:rFonts w:ascii="Arial"/>
                <w:sz w:val="21"/>
              </w:rPr>
            </w:pPr>
            <w:r/>
          </w:p>
          <w:p>
            <w:pPr>
              <w:pStyle w:val="TableText"/>
              <w:ind w:left="254"/>
              <w:spacing w:before="49" w:line="219" w:lineRule="auto"/>
              <w:rPr/>
            </w:pPr>
            <w:r>
              <w:rPr>
                <w:spacing w:val="-1"/>
              </w:rPr>
              <w:t>M11:共享数据表示法</w:t>
            </w:r>
          </w:p>
        </w:tc>
        <w:tc>
          <w:tcPr>
            <w:tcW w:w="2721" w:type="dxa"/>
            <w:vAlign w:val="top"/>
          </w:tcPr>
          <w:p>
            <w:pPr>
              <w:pStyle w:val="TableText"/>
              <w:ind w:left="256"/>
              <w:spacing w:before="92" w:line="220" w:lineRule="auto"/>
              <w:rPr/>
            </w:pPr>
            <w:r>
              <w:rPr>
                <w:spacing w:val="-1"/>
              </w:rPr>
              <w:t>M11:系统开发生命周期过程要求有</w:t>
            </w:r>
          </w:p>
          <w:p>
            <w:pPr>
              <w:pStyle w:val="TableText"/>
              <w:ind w:left="126" w:right="41" w:hanging="20"/>
              <w:spacing w:before="100" w:line="282" w:lineRule="auto"/>
              <w:rPr/>
            </w:pPr>
            <w:r>
              <w:rPr/>
              <w:t>参考、采用经认可的共享数据表示法以</w:t>
            </w:r>
            <w:r>
              <w:rPr>
                <w:spacing w:val="12"/>
              </w:rPr>
              <w:t xml:space="preserve"> </w:t>
            </w:r>
            <w:r>
              <w:rPr>
                <w:spacing w:val="-1"/>
              </w:rPr>
              <w:t>及从权威来源处获取数据</w:t>
            </w:r>
          </w:p>
        </w:tc>
      </w:tr>
      <w:tr>
        <w:trPr>
          <w:trHeight w:val="879" w:hRule="atLeast"/>
        </w:trPr>
        <w:tc>
          <w:tcPr>
            <w:tcW w:w="1473" w:type="dxa"/>
            <w:vAlign w:val="top"/>
            <w:vMerge w:val="continue"/>
            <w:tcBorders>
              <w:top w:val="nil"/>
              <w:bottom w:val="nil"/>
            </w:tcBorders>
          </w:tcPr>
          <w:p>
            <w:pPr>
              <w:rPr>
                <w:rFonts w:ascii="Arial"/>
                <w:sz w:val="21"/>
              </w:rPr>
            </w:pPr>
            <w:r/>
          </w:p>
        </w:tc>
        <w:tc>
          <w:tcPr>
            <w:tcW w:w="1628" w:type="dxa"/>
            <w:vAlign w:val="top"/>
            <w:vMerge w:val="restart"/>
            <w:tcBorders>
              <w:bottom w:val="nil"/>
            </w:tcBorders>
          </w:tcPr>
          <w:p>
            <w:pPr>
              <w:pStyle w:val="TableText"/>
              <w:ind w:left="112" w:right="142" w:firstLine="130"/>
              <w:spacing w:before="254" w:line="316" w:lineRule="auto"/>
              <w:rPr/>
            </w:pPr>
            <w:r>
              <w:rPr>
                <w:spacing w:val="-1"/>
              </w:rPr>
              <w:t>Q3:是否使用了标</w:t>
            </w:r>
            <w:r>
              <w:rPr>
                <w:spacing w:val="1"/>
              </w:rPr>
              <w:t xml:space="preserve">  </w:t>
            </w:r>
            <w:r>
              <w:rPr>
                <w:spacing w:val="1"/>
              </w:rPr>
              <w:t>准的过程建模方法和</w:t>
            </w:r>
            <w:r>
              <w:rPr>
                <w:spacing w:val="2"/>
              </w:rPr>
              <w:t xml:space="preserve"> </w:t>
            </w:r>
            <w:r>
              <w:rPr>
                <w:spacing w:val="1"/>
              </w:rPr>
              <w:t>工具来为业务过程进</w:t>
            </w:r>
            <w:r>
              <w:rPr>
                <w:spacing w:val="2"/>
              </w:rPr>
              <w:t xml:space="preserve"> </w:t>
            </w:r>
            <w:r>
              <w:rPr>
                <w:spacing w:val="-2"/>
              </w:rPr>
              <w:t>行定义和建模</w:t>
            </w:r>
          </w:p>
        </w:tc>
        <w:tc>
          <w:tcPr>
            <w:tcW w:w="1828" w:type="dxa"/>
            <w:vAlign w:val="top"/>
          </w:tcPr>
          <w:p>
            <w:pPr>
              <w:spacing w:line="322" w:lineRule="auto"/>
              <w:rPr>
                <w:rFonts w:ascii="Arial"/>
                <w:sz w:val="21"/>
              </w:rPr>
            </w:pPr>
            <w:r/>
          </w:p>
          <w:p>
            <w:pPr>
              <w:pStyle w:val="TableText"/>
              <w:ind w:left="244"/>
              <w:spacing w:before="49" w:line="220" w:lineRule="auto"/>
              <w:rPr/>
            </w:pPr>
            <w:r>
              <w:rPr>
                <w:spacing w:val="-1"/>
              </w:rPr>
              <w:t>M12:标准过程</w:t>
            </w:r>
          </w:p>
        </w:tc>
        <w:tc>
          <w:tcPr>
            <w:tcW w:w="2721" w:type="dxa"/>
            <w:vAlign w:val="top"/>
          </w:tcPr>
          <w:p>
            <w:pPr>
              <w:pStyle w:val="TableText"/>
              <w:ind w:left="276"/>
              <w:spacing w:before="92" w:line="219" w:lineRule="auto"/>
              <w:rPr/>
            </w:pPr>
            <w:r>
              <w:rPr>
                <w:spacing w:val="-1"/>
              </w:rPr>
              <w:t>在组织里采用标准过程进行数据生</w:t>
            </w:r>
          </w:p>
          <w:p>
            <w:pPr>
              <w:pStyle w:val="TableText"/>
              <w:ind w:left="116"/>
              <w:spacing w:before="101" w:line="301" w:lineRule="exact"/>
              <w:rPr/>
            </w:pPr>
            <w:r>
              <w:rPr>
                <w:spacing w:val="1"/>
                <w:position w:val="11"/>
              </w:rPr>
              <w:t>命周期的影响分析，以识别和预估接口</w:t>
            </w:r>
          </w:p>
          <w:p>
            <w:pPr>
              <w:pStyle w:val="TableText"/>
              <w:ind w:left="106"/>
              <w:spacing w:line="219" w:lineRule="auto"/>
              <w:rPr/>
            </w:pPr>
            <w:r>
              <w:rPr>
                <w:spacing w:val="-1"/>
              </w:rPr>
              <w:t>和数据集的变更，并为其进行进度安排</w:t>
            </w:r>
          </w:p>
        </w:tc>
      </w:tr>
      <w:tr>
        <w:trPr>
          <w:trHeight w:val="600" w:hRule="atLeast"/>
        </w:trPr>
        <w:tc>
          <w:tcPr>
            <w:tcW w:w="1473" w:type="dxa"/>
            <w:vAlign w:val="top"/>
            <w:vMerge w:val="continue"/>
            <w:tcBorders>
              <w:top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828" w:type="dxa"/>
            <w:vAlign w:val="top"/>
          </w:tcPr>
          <w:p>
            <w:pPr>
              <w:pStyle w:val="TableText"/>
              <w:ind w:left="244"/>
              <w:spacing w:before="234" w:line="220" w:lineRule="auto"/>
              <w:rPr/>
            </w:pPr>
            <w:r>
              <w:rPr>
                <w:spacing w:val="22"/>
              </w:rPr>
              <w:t>M13:度量项</w:t>
            </w:r>
          </w:p>
        </w:tc>
        <w:tc>
          <w:tcPr>
            <w:tcW w:w="2721" w:type="dxa"/>
            <w:vAlign w:val="top"/>
          </w:tcPr>
          <w:p>
            <w:pPr>
              <w:pStyle w:val="TableText"/>
              <w:ind w:left="116" w:right="211" w:firstLine="139"/>
              <w:spacing w:before="104" w:line="288" w:lineRule="auto"/>
              <w:rPr/>
            </w:pPr>
            <w:r>
              <w:rPr>
                <w:spacing w:val="-1"/>
              </w:rPr>
              <w:t>使用度量项来扩充经认可的共享数</w:t>
            </w:r>
            <w:r>
              <w:rPr>
                <w:spacing w:val="7"/>
              </w:rPr>
              <w:t xml:space="preserve"> </w:t>
            </w:r>
            <w:r>
              <w:rPr>
                <w:spacing w:val="-1"/>
              </w:rPr>
              <w:t>据的重用并消除过程的冗余</w:t>
            </w:r>
          </w:p>
        </w:tc>
      </w:tr>
      <w:tr>
        <w:trPr>
          <w:trHeight w:val="859" w:hRule="atLeast"/>
        </w:trPr>
        <w:tc>
          <w:tcPr>
            <w:tcW w:w="1473" w:type="dxa"/>
            <w:vAlign w:val="top"/>
            <w:vMerge w:val="restart"/>
            <w:tcBorders>
              <w:bottom w:val="nil"/>
            </w:tcBorders>
          </w:tcPr>
          <w:p>
            <w:pPr>
              <w:spacing w:line="321" w:lineRule="auto"/>
              <w:rPr>
                <w:rFonts w:ascii="Arial"/>
                <w:sz w:val="21"/>
              </w:rPr>
            </w:pPr>
            <w:r/>
          </w:p>
          <w:p>
            <w:pPr>
              <w:spacing w:line="321" w:lineRule="auto"/>
              <w:rPr>
                <w:rFonts w:ascii="Arial"/>
                <w:sz w:val="21"/>
              </w:rPr>
            </w:pPr>
            <w:r/>
          </w:p>
          <w:p>
            <w:pPr>
              <w:pStyle w:val="TableText"/>
              <w:ind w:left="105" w:right="124" w:firstLine="129"/>
              <w:spacing w:before="48" w:line="298" w:lineRule="auto"/>
              <w:rPr/>
            </w:pPr>
            <w:r>
              <w:rPr>
                <w:spacing w:val="2"/>
              </w:rPr>
              <w:t>G3:定义和维护</w:t>
            </w:r>
            <w:r>
              <w:rPr/>
              <w:t xml:space="preserve">  </w:t>
            </w:r>
            <w:r>
              <w:rPr>
                <w:spacing w:val="4"/>
              </w:rPr>
              <w:t>数据影响、依赖以</w:t>
            </w:r>
            <w:r>
              <w:rPr/>
              <w:t xml:space="preserve"> </w:t>
            </w:r>
            <w:r>
              <w:rPr>
                <w:spacing w:val="-1"/>
              </w:rPr>
              <w:t>及相互依赖</w:t>
            </w:r>
          </w:p>
        </w:tc>
        <w:tc>
          <w:tcPr>
            <w:tcW w:w="1628" w:type="dxa"/>
            <w:vAlign w:val="top"/>
            <w:vMerge w:val="restart"/>
            <w:tcBorders>
              <w:bottom w:val="nil"/>
            </w:tcBorders>
          </w:tcPr>
          <w:p>
            <w:pPr>
              <w:spacing w:line="372" w:lineRule="auto"/>
              <w:rPr>
                <w:rFonts w:ascii="Arial"/>
                <w:sz w:val="21"/>
              </w:rPr>
            </w:pPr>
            <w:r/>
          </w:p>
          <w:p>
            <w:pPr>
              <w:pStyle w:val="TableText"/>
              <w:ind w:left="112" w:right="126" w:firstLine="130"/>
              <w:spacing w:before="49" w:line="320" w:lineRule="auto"/>
              <w:rPr/>
            </w:pPr>
            <w:r>
              <w:rPr>
                <w:spacing w:val="-1"/>
              </w:rPr>
              <w:t>Q4:治理人员是否  </w:t>
            </w:r>
            <w:r>
              <w:rPr>
                <w:spacing w:val="3"/>
              </w:rPr>
              <w:t>负责业务过程数据需</w:t>
            </w:r>
            <w:r>
              <w:rPr>
                <w:spacing w:val="1"/>
              </w:rPr>
              <w:t xml:space="preserve"> </w:t>
            </w:r>
            <w:r>
              <w:rPr>
                <w:spacing w:val="1"/>
              </w:rPr>
              <w:t>求、映射和优先次序</w:t>
            </w:r>
            <w:r>
              <w:rPr>
                <w:spacing w:val="2"/>
              </w:rPr>
              <w:t xml:space="preserve"> </w:t>
            </w:r>
            <w:r>
              <w:rPr>
                <w:spacing w:val="1"/>
              </w:rPr>
              <w:t>排列的管理和它们之</w:t>
            </w:r>
            <w:r>
              <w:rPr>
                <w:spacing w:val="4"/>
              </w:rPr>
              <w:t xml:space="preserve"> </w:t>
            </w:r>
            <w:r>
              <w:rPr>
                <w:spacing w:val="3"/>
              </w:rPr>
              <w:t>间的协调</w:t>
            </w:r>
          </w:p>
        </w:tc>
        <w:tc>
          <w:tcPr>
            <w:tcW w:w="1828" w:type="dxa"/>
            <w:vAlign w:val="top"/>
          </w:tcPr>
          <w:p>
            <w:pPr>
              <w:spacing w:line="314" w:lineRule="auto"/>
              <w:rPr>
                <w:rFonts w:ascii="Arial"/>
                <w:sz w:val="21"/>
              </w:rPr>
            </w:pPr>
            <w:r/>
          </w:p>
          <w:p>
            <w:pPr>
              <w:pStyle w:val="TableText"/>
              <w:ind w:left="244"/>
              <w:spacing w:before="49" w:line="221" w:lineRule="auto"/>
              <w:rPr/>
            </w:pPr>
            <w:r>
              <w:rPr>
                <w:spacing w:val="21"/>
                <w:w w:val="106"/>
              </w:rPr>
              <w:t>M14:变更</w:t>
            </w:r>
          </w:p>
        </w:tc>
        <w:tc>
          <w:tcPr>
            <w:tcW w:w="2721" w:type="dxa"/>
            <w:vAlign w:val="top"/>
          </w:tcPr>
          <w:p>
            <w:pPr>
              <w:pStyle w:val="TableText"/>
              <w:ind w:left="116" w:right="167" w:firstLine="170"/>
              <w:spacing w:before="103" w:line="303" w:lineRule="auto"/>
              <w:jc w:val="both"/>
              <w:rPr/>
            </w:pPr>
            <w:r>
              <w:rPr/>
              <w:t>由数据治理机构来管理为特定业务</w:t>
            </w:r>
            <w:r>
              <w:rPr>
                <w:spacing w:val="6"/>
              </w:rPr>
              <w:t xml:space="preserve"> </w:t>
            </w:r>
            <w:r>
              <w:rPr/>
              <w:t>目标实施的共享数据集或目标数据集</w:t>
            </w:r>
            <w:r>
              <w:rPr>
                <w:spacing w:val="14"/>
              </w:rPr>
              <w:t xml:space="preserve"> </w:t>
            </w:r>
            <w:r>
              <w:rPr/>
              <w:t>的变更，并需要内部相关者的参与</w:t>
            </w:r>
          </w:p>
        </w:tc>
      </w:tr>
      <w:tr>
        <w:trPr>
          <w:trHeight w:val="599" w:hRule="atLeast"/>
        </w:trPr>
        <w:tc>
          <w:tcPr>
            <w:tcW w:w="147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828" w:type="dxa"/>
            <w:vAlign w:val="top"/>
          </w:tcPr>
          <w:p>
            <w:pPr>
              <w:pStyle w:val="TableText"/>
              <w:ind w:left="244" w:right="225"/>
              <w:spacing w:before="115" w:line="270" w:lineRule="auto"/>
              <w:rPr/>
            </w:pPr>
            <w:r>
              <w:rPr>
                <w:spacing w:val="-1"/>
              </w:rPr>
              <w:t>M15:数据生命周期度</w:t>
            </w:r>
            <w:r>
              <w:rPr>
                <w:spacing w:val="8"/>
              </w:rPr>
              <w:t xml:space="preserve"> </w:t>
            </w:r>
            <w:r>
              <w:rPr>
                <w:spacing w:val="-2"/>
              </w:rPr>
              <w:t>量项</w:t>
            </w:r>
          </w:p>
        </w:tc>
        <w:tc>
          <w:tcPr>
            <w:tcW w:w="2721" w:type="dxa"/>
            <w:vAlign w:val="top"/>
          </w:tcPr>
          <w:p>
            <w:pPr>
              <w:pStyle w:val="TableText"/>
              <w:ind w:left="106" w:right="167" w:firstLine="170"/>
              <w:spacing w:before="114" w:line="282" w:lineRule="auto"/>
              <w:rPr/>
            </w:pPr>
            <w:r>
              <w:rPr>
                <w:spacing w:val="1"/>
              </w:rPr>
              <w:t>定期完善数据生命周期度量项并由 </w:t>
            </w:r>
            <w:r>
              <w:rPr>
                <w:spacing w:val="2"/>
              </w:rPr>
              <w:t>高管进行评审</w:t>
            </w:r>
          </w:p>
        </w:tc>
      </w:tr>
      <w:tr>
        <w:trPr>
          <w:trHeight w:val="614" w:hRule="atLeast"/>
        </w:trPr>
        <w:tc>
          <w:tcPr>
            <w:tcW w:w="1473" w:type="dxa"/>
            <w:vAlign w:val="top"/>
            <w:vMerge w:val="continue"/>
            <w:tcBorders>
              <w:top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828" w:type="dxa"/>
            <w:vAlign w:val="top"/>
          </w:tcPr>
          <w:p>
            <w:pPr>
              <w:pStyle w:val="TableText"/>
              <w:ind w:left="244"/>
              <w:spacing w:before="240" w:line="224" w:lineRule="auto"/>
              <w:rPr/>
            </w:pPr>
            <w:r>
              <w:rPr>
                <w:spacing w:val="21"/>
                <w:w w:val="106"/>
              </w:rPr>
              <w:t>M16:经验</w:t>
            </w:r>
          </w:p>
        </w:tc>
        <w:tc>
          <w:tcPr>
            <w:tcW w:w="2721" w:type="dxa"/>
            <w:vAlign w:val="top"/>
          </w:tcPr>
          <w:p>
            <w:pPr>
              <w:pStyle w:val="TableText"/>
              <w:ind w:left="126" w:right="182" w:firstLine="160"/>
              <w:spacing w:before="116" w:line="288" w:lineRule="auto"/>
              <w:rPr/>
            </w:pPr>
            <w:r>
              <w:rPr>
                <w:spacing w:val="-1"/>
              </w:rPr>
              <w:t>组织就数据管理生命周期过程与行</w:t>
            </w:r>
            <w:r>
              <w:rPr>
                <w:spacing w:val="6"/>
              </w:rPr>
              <w:t xml:space="preserve"> </w:t>
            </w:r>
            <w:r>
              <w:rPr>
                <w:spacing w:val="-1"/>
              </w:rPr>
              <w:t>业和同行分享经验</w:t>
            </w:r>
          </w:p>
        </w:tc>
      </w:tr>
    </w:tbl>
    <w:p>
      <w:pPr>
        <w:pStyle w:val="BodyText"/>
        <w:rPr/>
      </w:pPr>
      <w:r/>
    </w:p>
    <w:p>
      <w:pPr>
        <w:sectPr>
          <w:footerReference w:type="default" r:id="rId334"/>
          <w:pgSz w:w="8870" w:h="13400"/>
          <w:pgMar w:top="400" w:right="465" w:bottom="581" w:left="459" w:header="0" w:footer="353" w:gutter="0"/>
        </w:sectPr>
        <w:rPr/>
      </w:pPr>
    </w:p>
    <w:p>
      <w:pPr>
        <w:ind w:left="5498"/>
        <w:spacing w:before="214" w:line="219" w:lineRule="auto"/>
        <w:rPr>
          <w:rFonts w:ascii="SimSun" w:hAnsi="SimSun" w:eastAsia="SimSun" w:cs="SimSun"/>
          <w:sz w:val="21"/>
          <w:szCs w:val="21"/>
        </w:rPr>
      </w:pPr>
      <w:bookmarkStart w:name="bookmark68" w:id="63"/>
      <w:bookmarkEnd w:id="63"/>
      <w:bookmarkStart w:name="bookmark69" w:id="64"/>
      <w:bookmarkEnd w:id="64"/>
      <w:bookmarkStart w:name="bookmark70" w:id="65"/>
      <w:bookmarkEnd w:id="65"/>
      <w:r>
        <w:rPr>
          <w:rFonts w:ascii="SimSun" w:hAnsi="SimSun" w:eastAsia="SimSun" w:cs="SimSun"/>
          <w:sz w:val="21"/>
          <w:szCs w:val="21"/>
          <w:b/>
          <w:bCs/>
          <w:spacing w:val="15"/>
        </w:rPr>
        <w:t>第7章■云端数据操作</w:t>
      </w:r>
    </w:p>
    <w:p>
      <w:pPr>
        <w:pStyle w:val="BodyText"/>
        <w:spacing w:line="408" w:lineRule="auto"/>
        <w:rPr/>
      </w:pPr>
      <w:r/>
    </w:p>
    <w:p>
      <w:pPr>
        <w:ind w:left="438"/>
        <w:spacing w:before="68" w:line="472" w:lineRule="exact"/>
        <w:rPr>
          <w:rFonts w:ascii="YouYuan" w:hAnsi="YouYuan" w:eastAsia="YouYuan" w:cs="YouYuan"/>
          <w:sz w:val="21"/>
          <w:szCs w:val="21"/>
        </w:rPr>
      </w:pPr>
      <w:r>
        <w:rPr>
          <w:rFonts w:ascii="YouYuan" w:hAnsi="YouYuan" w:eastAsia="YouYuan" w:cs="YouYuan"/>
          <w:sz w:val="21"/>
          <w:szCs w:val="21"/>
          <w:b/>
          <w:bCs/>
          <w:spacing w:val="3"/>
          <w:position w:val="19"/>
        </w:rPr>
        <w:t>3.</w:t>
      </w:r>
      <w:r>
        <w:rPr>
          <w:rFonts w:ascii="YouYuan" w:hAnsi="YouYuan" w:eastAsia="YouYuan" w:cs="YouYuan"/>
          <w:sz w:val="21"/>
          <w:szCs w:val="21"/>
          <w:spacing w:val="3"/>
          <w:position w:val="19"/>
        </w:rPr>
        <w:t xml:space="preserve"> </w:t>
      </w:r>
      <w:r>
        <w:rPr>
          <w:rFonts w:ascii="YouYuan" w:hAnsi="YouYuan" w:eastAsia="YouYuan" w:cs="YouYuan"/>
          <w:sz w:val="21"/>
          <w:szCs w:val="21"/>
          <w:b/>
          <w:bCs/>
          <w:spacing w:val="3"/>
          <w:position w:val="19"/>
        </w:rPr>
        <w:t>成熟度等级介绍</w:t>
      </w:r>
    </w:p>
    <w:p>
      <w:pPr>
        <w:ind w:left="435"/>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2"/>
        </w:rPr>
        <w:t>Level   1: </w:t>
      </w:r>
      <w:r>
        <w:rPr>
          <w:rFonts w:ascii="SimHei" w:hAnsi="SimHei" w:eastAsia="SimHei" w:cs="SimHei"/>
          <w:sz w:val="21"/>
          <w:szCs w:val="21"/>
          <w:b/>
          <w:bCs/>
          <w:spacing w:val="-2"/>
        </w:rPr>
        <w:t>初始级</w:t>
      </w:r>
    </w:p>
    <w:p>
      <w:pPr>
        <w:spacing w:before="78"/>
        <w:rPr/>
      </w:pPr>
      <w:r/>
    </w:p>
    <w:tbl>
      <w:tblPr>
        <w:tblStyle w:val="TableNormal"/>
        <w:tblW w:w="765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70"/>
      </w:tblGrid>
      <w:tr>
        <w:trPr>
          <w:trHeight w:val="361" w:hRule="atLeast"/>
        </w:trPr>
        <w:tc>
          <w:tcPr>
            <w:tcW w:w="744" w:type="dxa"/>
            <w:vAlign w:val="top"/>
          </w:tcPr>
          <w:p>
            <w:pPr>
              <w:pStyle w:val="TableText"/>
              <w:ind w:left="214"/>
              <w:spacing w:before="111" w:line="221" w:lineRule="auto"/>
              <w:rPr/>
            </w:pPr>
            <w:r>
              <w:rPr>
                <w:spacing w:val="-2"/>
              </w:rPr>
              <w:t>序号</w:t>
            </w:r>
          </w:p>
        </w:tc>
        <w:tc>
          <w:tcPr>
            <w:tcW w:w="3145" w:type="dxa"/>
            <w:vAlign w:val="top"/>
          </w:tcPr>
          <w:p>
            <w:pPr>
              <w:pStyle w:val="TableText"/>
              <w:ind w:left="116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1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4"/>
              <w:spacing w:before="268" w:line="184" w:lineRule="auto"/>
              <w:rPr/>
            </w:pPr>
            <w:r>
              <w:rPr>
                <w:spacing w:val="-4"/>
              </w:rPr>
              <w:t>1.1</w:t>
            </w:r>
          </w:p>
        </w:tc>
        <w:tc>
          <w:tcPr>
            <w:tcW w:w="3145" w:type="dxa"/>
            <w:vAlign w:val="top"/>
          </w:tcPr>
          <w:p>
            <w:pPr>
              <w:pStyle w:val="TableText"/>
              <w:ind w:left="120" w:right="183" w:firstLine="139"/>
              <w:spacing w:before="99" w:line="282" w:lineRule="auto"/>
              <w:rPr/>
            </w:pPr>
            <w:r>
              <w:rPr>
                <w:spacing w:val="-1"/>
              </w:rPr>
              <w:t>定义了业务过程中的数据生命周期，并实</w:t>
            </w:r>
            <w:r>
              <w:rPr>
                <w:spacing w:val="7"/>
              </w:rPr>
              <w:t xml:space="preserve"> </w:t>
            </w:r>
            <w:r>
              <w:rPr>
                <w:spacing w:val="-1"/>
              </w:rPr>
              <w:t>施了数据生命周期管理</w:t>
            </w:r>
          </w:p>
        </w:tc>
        <w:tc>
          <w:tcPr>
            <w:tcW w:w="3770" w:type="dxa"/>
            <w:vAlign w:val="top"/>
          </w:tcPr>
          <w:p>
            <w:pPr>
              <w:pStyle w:val="TableText"/>
              <w:ind w:left="265"/>
              <w:spacing w:before="229" w:line="219" w:lineRule="auto"/>
              <w:rPr/>
            </w:pPr>
            <w:r>
              <w:rPr/>
              <w:t>●数据生命周期划分依据</w:t>
            </w:r>
          </w:p>
        </w:tc>
      </w:tr>
    </w:tbl>
    <w:p>
      <w:pPr>
        <w:ind w:left="330"/>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15" w:firstLine="410"/>
        <w:spacing w:before="79" w:line="242" w:lineRule="auto"/>
        <w:rPr>
          <w:rFonts w:ascii="SimSun" w:hAnsi="SimSun" w:eastAsia="SimSun" w:cs="SimSun"/>
          <w:sz w:val="21"/>
          <w:szCs w:val="21"/>
        </w:rPr>
      </w:pPr>
      <w:r>
        <w:rPr>
          <w:rFonts w:ascii="SimSun" w:hAnsi="SimSun" w:eastAsia="SimSun" w:cs="SimSun"/>
          <w:sz w:val="21"/>
          <w:szCs w:val="21"/>
          <w:spacing w:val="2"/>
        </w:rPr>
        <w:t>为更好地管理数据，组织应定义业务过程中的数据生命周期。定义包含了从元</w:t>
      </w:r>
      <w:r>
        <w:rPr>
          <w:rFonts w:ascii="SimSun" w:hAnsi="SimSun" w:eastAsia="SimSun" w:cs="SimSun"/>
          <w:sz w:val="21"/>
          <w:szCs w:val="21"/>
        </w:rPr>
        <w:t xml:space="preserve"> </w:t>
      </w:r>
      <w:r>
        <w:rPr>
          <w:rFonts w:ascii="SimSun" w:hAnsi="SimSun" w:eastAsia="SimSun" w:cs="SimSun"/>
          <w:sz w:val="21"/>
          <w:szCs w:val="21"/>
          <w:spacing w:val="-2"/>
        </w:rPr>
        <w:t>数据创建或获取到转换再到完成目标的可追溯性。</w:t>
      </w:r>
    </w:p>
    <w:p>
      <w:pPr>
        <w:spacing w:line="118" w:lineRule="exact"/>
        <w:rPr/>
      </w:pPr>
      <w:r/>
    </w:p>
    <w:tbl>
      <w:tblPr>
        <w:tblStyle w:val="TableNormal"/>
        <w:tblW w:w="7660" w:type="dxa"/>
        <w:tblInd w:w="1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6"/>
        <w:gridCol w:w="3770"/>
      </w:tblGrid>
      <w:tr>
        <w:trPr>
          <w:trHeight w:val="352" w:hRule="atLeast"/>
        </w:trPr>
        <w:tc>
          <w:tcPr>
            <w:tcW w:w="744" w:type="dxa"/>
            <w:vAlign w:val="top"/>
          </w:tcPr>
          <w:p>
            <w:pPr>
              <w:pStyle w:val="TableText"/>
              <w:ind w:left="215"/>
              <w:spacing w:before="102" w:line="221" w:lineRule="auto"/>
              <w:rPr/>
            </w:pPr>
            <w:r>
              <w:rPr>
                <w:spacing w:val="-2"/>
              </w:rPr>
              <w:t>序号</w:t>
            </w:r>
          </w:p>
        </w:tc>
        <w:tc>
          <w:tcPr>
            <w:tcW w:w="314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888" w:hRule="atLeast"/>
        </w:trPr>
        <w:tc>
          <w:tcPr>
            <w:tcW w:w="744" w:type="dxa"/>
            <w:vAlign w:val="top"/>
          </w:tcPr>
          <w:p>
            <w:pPr>
              <w:spacing w:line="356" w:lineRule="auto"/>
              <w:rPr>
                <w:rFonts w:ascii="Arial"/>
                <w:sz w:val="21"/>
              </w:rPr>
            </w:pPr>
            <w:r/>
          </w:p>
          <w:p>
            <w:pPr>
              <w:pStyle w:val="TableText"/>
              <w:ind w:left="245"/>
              <w:spacing w:before="48" w:line="184" w:lineRule="auto"/>
              <w:rPr/>
            </w:pPr>
            <w:r>
              <w:rPr>
                <w:spacing w:val="-4"/>
              </w:rPr>
              <w:t>1.2</w:t>
            </w:r>
          </w:p>
        </w:tc>
        <w:tc>
          <w:tcPr>
            <w:tcW w:w="3146" w:type="dxa"/>
            <w:vAlign w:val="top"/>
          </w:tcPr>
          <w:p>
            <w:pPr>
              <w:pStyle w:val="TableText"/>
              <w:ind w:left="121" w:right="155" w:firstLine="139"/>
              <w:spacing w:before="249" w:line="288" w:lineRule="auto"/>
              <w:rPr/>
            </w:pPr>
            <w:r>
              <w:rPr>
                <w:spacing w:val="1"/>
              </w:rPr>
              <w:t>识别了数据生态中数据流通途径，定义了</w:t>
            </w:r>
            <w:r>
              <w:rPr/>
              <w:t xml:space="preserve"> </w:t>
            </w:r>
            <w:r>
              <w:rPr>
                <w:spacing w:val="-1"/>
              </w:rPr>
              <w:t>数据产生者和数据消费者</w:t>
            </w:r>
          </w:p>
        </w:tc>
        <w:tc>
          <w:tcPr>
            <w:tcW w:w="3770" w:type="dxa"/>
            <w:vAlign w:val="top"/>
          </w:tcPr>
          <w:p>
            <w:pPr>
              <w:pStyle w:val="TableText"/>
              <w:ind w:left="275"/>
              <w:spacing w:before="99" w:line="219" w:lineRule="auto"/>
              <w:rPr/>
            </w:pPr>
            <w:r>
              <w:rPr>
                <w:spacing w:val="1"/>
              </w:rPr>
              <w:t>●数据产生者</w:t>
            </w:r>
          </w:p>
          <w:p>
            <w:pPr>
              <w:pStyle w:val="TableText"/>
              <w:ind w:left="275"/>
              <w:spacing w:before="102" w:line="219" w:lineRule="auto"/>
              <w:rPr/>
            </w:pPr>
            <w:r>
              <w:rPr>
                <w:spacing w:val="1"/>
              </w:rPr>
              <w:t>●数据消费者</w:t>
            </w:r>
          </w:p>
          <w:p>
            <w:pPr>
              <w:pStyle w:val="TableText"/>
              <w:ind w:left="275"/>
              <w:spacing w:before="112" w:line="219" w:lineRule="auto"/>
              <w:rPr/>
            </w:pPr>
            <w:r>
              <w:rPr/>
              <w:t>●数据生产者与数据消费者框架图</w:t>
            </w:r>
          </w:p>
        </w:tc>
      </w:tr>
    </w:tbl>
    <w:p>
      <w:pPr>
        <w:ind w:left="330"/>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24" w:right="195" w:firstLine="410"/>
        <w:spacing w:before="50" w:line="261" w:lineRule="auto"/>
        <w:rPr>
          <w:rFonts w:ascii="SimSun" w:hAnsi="SimSun" w:eastAsia="SimSun" w:cs="SimSun"/>
          <w:sz w:val="21"/>
          <w:szCs w:val="21"/>
        </w:rPr>
      </w:pPr>
      <w:r>
        <w:rPr>
          <w:rFonts w:ascii="SimSun" w:hAnsi="SimSun" w:eastAsia="SimSun" w:cs="SimSun"/>
          <w:sz w:val="21"/>
          <w:szCs w:val="21"/>
          <w:spacing w:val="2"/>
        </w:rPr>
        <w:t>数据是流动的，从数据产生到数据消费经过多个角色，如数据产生者、数据服</w:t>
      </w:r>
      <w:r>
        <w:rPr>
          <w:rFonts w:ascii="SimSun" w:hAnsi="SimSun" w:eastAsia="SimSun" w:cs="SimSun"/>
          <w:sz w:val="21"/>
          <w:szCs w:val="21"/>
        </w:rPr>
        <w:t xml:space="preserve"> </w:t>
      </w:r>
      <w:r>
        <w:rPr>
          <w:rFonts w:ascii="SimSun" w:hAnsi="SimSun" w:eastAsia="SimSun" w:cs="SimSun"/>
          <w:sz w:val="21"/>
          <w:szCs w:val="21"/>
          <w:spacing w:val="2"/>
        </w:rPr>
        <w:t>务提供者、数据框架提供者和数据消费者等。组织在进行数据生命周期管理前，应</w:t>
      </w:r>
      <w:r>
        <w:rPr>
          <w:rFonts w:ascii="SimSun" w:hAnsi="SimSun" w:eastAsia="SimSun" w:cs="SimSun"/>
          <w:sz w:val="21"/>
          <w:szCs w:val="21"/>
          <w:spacing w:val="6"/>
        </w:rPr>
        <w:t xml:space="preserve"> </w:t>
      </w:r>
      <w:r>
        <w:rPr>
          <w:rFonts w:ascii="SimSun" w:hAnsi="SimSun" w:eastAsia="SimSun" w:cs="SimSun"/>
          <w:sz w:val="21"/>
          <w:szCs w:val="21"/>
          <w:spacing w:val="-2"/>
        </w:rPr>
        <w:t>该识别数据的流通途径，区分数据产生者和数据消费者。</w:t>
      </w:r>
    </w:p>
    <w:p>
      <w:pPr>
        <w:spacing w:line="117" w:lineRule="exact"/>
        <w:rPr/>
      </w:pPr>
      <w:r/>
    </w:p>
    <w:tbl>
      <w:tblPr>
        <w:tblStyle w:val="TableNormal"/>
        <w:tblW w:w="7659"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35"/>
        <w:gridCol w:w="3780"/>
      </w:tblGrid>
      <w:tr>
        <w:trPr>
          <w:trHeight w:val="351" w:hRule="atLeast"/>
        </w:trPr>
        <w:tc>
          <w:tcPr>
            <w:tcW w:w="744" w:type="dxa"/>
            <w:vAlign w:val="top"/>
          </w:tcPr>
          <w:p>
            <w:pPr>
              <w:pStyle w:val="TableText"/>
              <w:ind w:left="214"/>
              <w:spacing w:before="102" w:line="221" w:lineRule="auto"/>
              <w:rPr/>
            </w:pPr>
            <w:r>
              <w:rPr>
                <w:spacing w:val="-2"/>
              </w:rPr>
              <w:t>序号</w:t>
            </w:r>
          </w:p>
        </w:tc>
        <w:tc>
          <w:tcPr>
            <w:tcW w:w="313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609" w:hRule="atLeast"/>
        </w:trPr>
        <w:tc>
          <w:tcPr>
            <w:tcW w:w="744" w:type="dxa"/>
            <w:vAlign w:val="top"/>
          </w:tcPr>
          <w:p>
            <w:pPr>
              <w:pStyle w:val="TableText"/>
              <w:ind w:left="244"/>
              <w:spacing w:before="268" w:line="184" w:lineRule="auto"/>
              <w:rPr/>
            </w:pPr>
            <w:r>
              <w:rPr>
                <w:spacing w:val="-4"/>
              </w:rPr>
              <w:t>1.3</w:t>
            </w:r>
          </w:p>
        </w:tc>
        <w:tc>
          <w:tcPr>
            <w:tcW w:w="3135" w:type="dxa"/>
            <w:vAlign w:val="top"/>
          </w:tcPr>
          <w:p>
            <w:pPr>
              <w:pStyle w:val="TableText"/>
              <w:ind w:left="130" w:right="170" w:firstLine="130"/>
              <w:spacing w:before="99" w:line="282" w:lineRule="auto"/>
              <w:rPr/>
            </w:pPr>
            <w:r>
              <w:rPr>
                <w:spacing w:val="-1"/>
              </w:rPr>
              <w:t>利益相关方在数据元素的范围以及权威的</w:t>
            </w:r>
            <w:r>
              <w:rPr>
                <w:spacing w:val="10"/>
              </w:rPr>
              <w:t xml:space="preserve"> </w:t>
            </w:r>
            <w:r>
              <w:rPr>
                <w:spacing w:val="-1"/>
              </w:rPr>
              <w:t>数据来源上都达成一致意见</w:t>
            </w:r>
          </w:p>
        </w:tc>
        <w:tc>
          <w:tcPr>
            <w:tcW w:w="3780" w:type="dxa"/>
            <w:vAlign w:val="top"/>
          </w:tcPr>
          <w:p>
            <w:pPr>
              <w:pStyle w:val="TableText"/>
              <w:ind w:left="285"/>
              <w:spacing w:before="100" w:line="219" w:lineRule="auto"/>
              <w:rPr/>
            </w:pPr>
            <w:r>
              <w:rPr/>
              <w:t>●数据生命周期框架和项目计划</w:t>
            </w:r>
          </w:p>
          <w:p>
            <w:pPr>
              <w:pStyle w:val="TableText"/>
              <w:ind w:left="285"/>
              <w:spacing w:before="112" w:line="219" w:lineRule="auto"/>
              <w:rPr/>
            </w:pPr>
            <w:r>
              <w:rPr/>
              <w:t>●数据集的权威数据源和已批准属性的列表</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4" w:right="139" w:firstLine="410"/>
        <w:spacing w:before="70" w:line="237" w:lineRule="auto"/>
        <w:rPr>
          <w:rFonts w:ascii="SimSun" w:hAnsi="SimSun" w:eastAsia="SimSun" w:cs="SimSun"/>
          <w:sz w:val="21"/>
          <w:szCs w:val="21"/>
        </w:rPr>
      </w:pPr>
      <w:r>
        <w:rPr>
          <w:rFonts w:ascii="SimSun" w:hAnsi="SimSun" w:eastAsia="SimSun" w:cs="SimSun"/>
          <w:sz w:val="21"/>
          <w:szCs w:val="21"/>
          <w:spacing w:val="1"/>
        </w:rPr>
        <w:t>组织应该至少在一个关键的共享实体或对业务很重要的数据集(例如使用实体、</w:t>
      </w:r>
      <w:r>
        <w:rPr>
          <w:rFonts w:ascii="SimSun" w:hAnsi="SimSun" w:eastAsia="SimSun" w:cs="SimSun"/>
          <w:sz w:val="21"/>
          <w:szCs w:val="21"/>
          <w:spacing w:val="3"/>
        </w:rPr>
        <w:t xml:space="preserve"> </w:t>
      </w:r>
      <w:r>
        <w:rPr>
          <w:rFonts w:ascii="SimSun" w:hAnsi="SimSun" w:eastAsia="SimSun" w:cs="SimSun"/>
          <w:sz w:val="21"/>
          <w:szCs w:val="21"/>
          <w:spacing w:val="3"/>
        </w:rPr>
        <w:t>交易历史等)上定义范围和权威来源。</w:t>
      </w:r>
    </w:p>
    <w:p>
      <w:pPr>
        <w:ind w:left="435"/>
        <w:spacing w:before="66" w:line="221"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26"/>
          <w:w w:val="101"/>
        </w:rPr>
        <w:t xml:space="preserve">  </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b/>
          <w:bCs/>
          <w:spacing w:val="13"/>
        </w:rPr>
        <w:t xml:space="preserve"> </w:t>
      </w:r>
      <w:r>
        <w:rPr>
          <w:rFonts w:ascii="SimHei" w:hAnsi="SimHei" w:eastAsia="SimHei" w:cs="SimHei"/>
          <w:sz w:val="21"/>
          <w:szCs w:val="21"/>
          <w:b/>
          <w:bCs/>
          <w:spacing w:val="-3"/>
        </w:rPr>
        <w:t>管理级</w:t>
      </w:r>
    </w:p>
    <w:p>
      <w:pPr>
        <w:spacing w:line="120" w:lineRule="exact"/>
        <w:rPr/>
      </w:pPr>
      <w:r/>
    </w:p>
    <w:tbl>
      <w:tblPr>
        <w:tblStyle w:val="TableNormal"/>
        <w:tblW w:w="7659"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51" w:hRule="atLeast"/>
        </w:trPr>
        <w:tc>
          <w:tcPr>
            <w:tcW w:w="734" w:type="dxa"/>
            <w:vAlign w:val="top"/>
          </w:tcPr>
          <w:p>
            <w:pPr>
              <w:pStyle w:val="TableText"/>
              <w:ind w:left="294"/>
              <w:spacing w:before="102" w:line="221" w:lineRule="auto"/>
              <w:rPr>
                <w:sz w:val="16"/>
                <w:szCs w:val="16"/>
              </w:rPr>
            </w:pPr>
            <w:r>
              <w:rPr>
                <w:sz w:val="16"/>
                <w:szCs w:val="16"/>
                <w:spacing w:val="-2"/>
              </w:rPr>
              <w:t>序号</w:t>
            </w:r>
          </w:p>
        </w:tc>
        <w:tc>
          <w:tcPr>
            <w:tcW w:w="3155" w:type="dxa"/>
            <w:vAlign w:val="top"/>
          </w:tcPr>
          <w:p>
            <w:pPr>
              <w:pStyle w:val="TableText"/>
              <w:ind w:left="1150"/>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8" w:hRule="atLeast"/>
        </w:trPr>
        <w:tc>
          <w:tcPr>
            <w:tcW w:w="734" w:type="dxa"/>
            <w:vAlign w:val="top"/>
          </w:tcPr>
          <w:p>
            <w:pPr>
              <w:pStyle w:val="TableText"/>
              <w:ind w:left="374"/>
              <w:spacing w:before="271" w:line="184" w:lineRule="auto"/>
              <w:rPr>
                <w:sz w:val="16"/>
                <w:szCs w:val="16"/>
              </w:rPr>
            </w:pPr>
            <w:r>
              <w:rPr>
                <w:sz w:val="16"/>
                <w:szCs w:val="16"/>
                <w:spacing w:val="-2"/>
              </w:rPr>
              <w:t>2.1</w:t>
            </w:r>
          </w:p>
        </w:tc>
        <w:tc>
          <w:tcPr>
            <w:tcW w:w="3155" w:type="dxa"/>
            <w:vAlign w:val="top"/>
          </w:tcPr>
          <w:p>
            <w:pPr>
              <w:pStyle w:val="TableText"/>
              <w:ind w:left="210"/>
              <w:spacing w:before="229" w:line="219" w:lineRule="auto"/>
              <w:rPr>
                <w:sz w:val="16"/>
                <w:szCs w:val="16"/>
              </w:rPr>
            </w:pPr>
            <w:r>
              <w:rPr>
                <w:sz w:val="16"/>
                <w:szCs w:val="16"/>
                <w:spacing w:val="-1"/>
              </w:rPr>
              <w:t>依据数据消费者需求，定义数据源需求</w:t>
            </w:r>
          </w:p>
        </w:tc>
        <w:tc>
          <w:tcPr>
            <w:tcW w:w="3770" w:type="dxa"/>
            <w:vAlign w:val="top"/>
          </w:tcPr>
          <w:p>
            <w:pPr>
              <w:pStyle w:val="TableText"/>
              <w:ind w:left="275"/>
              <w:spacing w:before="110" w:line="219" w:lineRule="auto"/>
              <w:rPr>
                <w:sz w:val="16"/>
                <w:szCs w:val="16"/>
              </w:rPr>
            </w:pPr>
            <w:r>
              <w:rPr>
                <w:sz w:val="16"/>
                <w:szCs w:val="16"/>
              </w:rPr>
              <w:t>●数据消费者需求列表</w:t>
            </w:r>
          </w:p>
          <w:p>
            <w:pPr>
              <w:pStyle w:val="TableText"/>
              <w:ind w:left="275"/>
              <w:spacing w:before="80" w:line="219" w:lineRule="auto"/>
              <w:rPr>
                <w:sz w:val="16"/>
                <w:szCs w:val="16"/>
              </w:rPr>
            </w:pPr>
            <w:r>
              <w:rPr>
                <w:sz w:val="16"/>
                <w:szCs w:val="16"/>
              </w:rPr>
              <w:t>●数据源需求列表</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11" w:firstLine="410"/>
        <w:spacing w:before="81" w:line="237" w:lineRule="auto"/>
        <w:rPr>
          <w:rFonts w:ascii="SimSun" w:hAnsi="SimSun" w:eastAsia="SimSun" w:cs="SimSun"/>
          <w:sz w:val="21"/>
          <w:szCs w:val="21"/>
        </w:rPr>
      </w:pPr>
      <w:r>
        <w:rPr>
          <w:rFonts w:ascii="SimSun" w:hAnsi="SimSun" w:eastAsia="SimSun" w:cs="SimSun"/>
          <w:sz w:val="21"/>
          <w:szCs w:val="21"/>
          <w:spacing w:val="2"/>
        </w:rPr>
        <w:t>组织应建立一个能够准备快速识别数据消费者需求的机制和过程，从而将数据</w:t>
      </w:r>
      <w:r>
        <w:rPr>
          <w:rFonts w:ascii="SimSun" w:hAnsi="SimSun" w:eastAsia="SimSun" w:cs="SimSun"/>
          <w:sz w:val="21"/>
          <w:szCs w:val="21"/>
          <w:spacing w:val="3"/>
        </w:rPr>
        <w:t xml:space="preserve"> </w:t>
      </w:r>
      <w:r>
        <w:rPr>
          <w:rFonts w:ascii="SimSun" w:hAnsi="SimSun" w:eastAsia="SimSun" w:cs="SimSun"/>
          <w:sz w:val="21"/>
          <w:szCs w:val="21"/>
          <w:spacing w:val="-1"/>
        </w:rPr>
        <w:t>消费者需求映射到数据源上，有针对性地对数据进行管理。</w:t>
      </w:r>
    </w:p>
    <w:p>
      <w:pPr>
        <w:spacing w:line="237" w:lineRule="auto"/>
        <w:sectPr>
          <w:footerReference w:type="default" r:id="rId336"/>
          <w:pgSz w:w="8870" w:h="13400"/>
          <w:pgMar w:top="400" w:right="505" w:bottom="537" w:left="505" w:header="0" w:footer="328" w:gutter="0"/>
        </w:sectPr>
        <w:rPr>
          <w:rFonts w:ascii="SimSun" w:hAnsi="SimSun" w:eastAsia="SimSun" w:cs="SimSun"/>
          <w:sz w:val="21"/>
          <w:szCs w:val="21"/>
        </w:rPr>
      </w:pPr>
    </w:p>
    <w:p>
      <w:pPr>
        <w:ind w:left="283"/>
        <w:spacing w:before="256" w:line="219" w:lineRule="auto"/>
        <w:rPr>
          <w:rFonts w:ascii="SimSun" w:hAnsi="SimSun" w:eastAsia="SimSun" w:cs="SimSun"/>
          <w:sz w:val="22"/>
          <w:szCs w:val="22"/>
        </w:rPr>
      </w:pPr>
      <w:r>
        <w:drawing>
          <wp:anchor distT="0" distB="0" distL="0" distR="0" simplePos="0" relativeHeight="256090112" behindDoc="0" locked="0" layoutInCell="0" allowOverlap="1">
            <wp:simplePos x="0" y="0"/>
            <wp:positionH relativeFrom="page">
              <wp:posOffset>393708</wp:posOffset>
            </wp:positionH>
            <wp:positionV relativeFrom="page">
              <wp:posOffset>368268</wp:posOffset>
            </wp:positionV>
            <wp:extent cx="6365" cy="222255"/>
            <wp:effectExtent l="0" t="0" r="0" b="0"/>
            <wp:wrapNone/>
            <wp:docPr id="228" name="IM 228"/>
            <wp:cNvGraphicFramePr/>
            <a:graphic>
              <a:graphicData uri="http://schemas.openxmlformats.org/drawingml/2006/picture">
                <pic:pic>
                  <pic:nvPicPr>
                    <pic:cNvPr id="228" name="IM 228"/>
                    <pic:cNvPicPr/>
                  </pic:nvPicPr>
                  <pic:blipFill>
                    <a:blip r:embed="rId338"/>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
        </w:rPr>
        <w:t>云端数据治理</w:t>
      </w:r>
    </w:p>
    <w:p>
      <w:pPr>
        <w:spacing w:before="136"/>
        <w:rPr/>
      </w:pPr>
      <w:r/>
    </w:p>
    <w:tbl>
      <w:tblPr>
        <w:tblStyle w:val="TableNormal"/>
        <w:tblW w:w="766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6"/>
        <w:gridCol w:w="3760"/>
      </w:tblGrid>
      <w:tr>
        <w:trPr>
          <w:trHeight w:val="352" w:hRule="atLeast"/>
        </w:trPr>
        <w:tc>
          <w:tcPr>
            <w:tcW w:w="734" w:type="dxa"/>
            <w:vAlign w:val="top"/>
          </w:tcPr>
          <w:p>
            <w:pPr>
              <w:pStyle w:val="TableText"/>
              <w:ind w:left="205"/>
              <w:spacing w:before="102" w:line="221" w:lineRule="auto"/>
              <w:rPr/>
            </w:pPr>
            <w:r>
              <w:rPr>
                <w:spacing w:val="-2"/>
              </w:rPr>
              <w:t>序号</w:t>
            </w:r>
          </w:p>
        </w:tc>
        <w:tc>
          <w:tcPr>
            <w:tcW w:w="3166" w:type="dxa"/>
            <w:vAlign w:val="top"/>
          </w:tcPr>
          <w:p>
            <w:pPr>
              <w:pStyle w:val="TableText"/>
              <w:ind w:left="118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4"/>
              <w:spacing w:before="101" w:line="220" w:lineRule="auto"/>
              <w:rPr/>
            </w:pPr>
            <w:r>
              <w:rPr>
                <w:spacing w:val="-5"/>
              </w:rPr>
              <w:t>实</w:t>
            </w:r>
            <w:r>
              <w:rPr>
                <w:spacing w:val="1"/>
              </w:rPr>
              <w:t xml:space="preserve">   </w:t>
            </w:r>
            <w:r>
              <w:rPr>
                <w:spacing w:val="-5"/>
              </w:rPr>
              <w:t>例</w:t>
            </w:r>
          </w:p>
        </w:tc>
      </w:tr>
      <w:tr>
        <w:trPr>
          <w:trHeight w:val="878" w:hRule="atLeast"/>
        </w:trPr>
        <w:tc>
          <w:tcPr>
            <w:tcW w:w="734" w:type="dxa"/>
            <w:vAlign w:val="top"/>
          </w:tcPr>
          <w:p>
            <w:pPr>
              <w:spacing w:line="357" w:lineRule="auto"/>
              <w:rPr>
                <w:rFonts w:ascii="Arial"/>
                <w:sz w:val="21"/>
              </w:rPr>
            </w:pPr>
            <w:r/>
          </w:p>
          <w:p>
            <w:pPr>
              <w:pStyle w:val="TableText"/>
              <w:ind w:left="245"/>
              <w:spacing w:before="48" w:line="183" w:lineRule="auto"/>
              <w:rPr/>
            </w:pPr>
            <w:r>
              <w:rPr>
                <w:spacing w:val="-2"/>
              </w:rPr>
              <w:t>2.2</w:t>
            </w:r>
          </w:p>
        </w:tc>
        <w:tc>
          <w:tcPr>
            <w:tcW w:w="3166" w:type="dxa"/>
            <w:vAlign w:val="top"/>
          </w:tcPr>
          <w:p>
            <w:pPr>
              <w:pStyle w:val="TableText"/>
              <w:ind w:left="121" w:right="44" w:firstLine="149"/>
              <w:spacing w:before="239" w:line="282" w:lineRule="auto"/>
              <w:rPr/>
            </w:pPr>
            <w:r>
              <w:rPr>
                <w:spacing w:val="-1"/>
              </w:rPr>
              <w:t>定义和维护业务过程到数据的映射，并定期</w:t>
            </w:r>
            <w:r>
              <w:rPr>
                <w:spacing w:val="8"/>
              </w:rPr>
              <w:t xml:space="preserve"> </w:t>
            </w:r>
            <w:r>
              <w:rPr>
                <w:spacing w:val="-1"/>
              </w:rPr>
              <w:t>评审符合性</w:t>
            </w:r>
          </w:p>
        </w:tc>
        <w:tc>
          <w:tcPr>
            <w:tcW w:w="3760" w:type="dxa"/>
            <w:vAlign w:val="top"/>
          </w:tcPr>
          <w:p>
            <w:pPr>
              <w:pStyle w:val="TableText"/>
              <w:ind w:left="274"/>
              <w:spacing w:before="99" w:line="219" w:lineRule="auto"/>
              <w:rPr/>
            </w:pPr>
            <w:r>
              <w:rPr/>
              <w:t>●业务过程数据映射</w:t>
            </w:r>
          </w:p>
          <w:p>
            <w:pPr>
              <w:pStyle w:val="TableText"/>
              <w:ind w:left="274"/>
              <w:spacing w:before="101" w:line="219" w:lineRule="auto"/>
              <w:rPr/>
            </w:pPr>
            <w:r>
              <w:rPr/>
              <w:t>●数据产生者和消费者间的映射</w:t>
            </w:r>
          </w:p>
          <w:p>
            <w:pPr>
              <w:pStyle w:val="TableText"/>
              <w:ind w:left="274"/>
              <w:spacing w:before="112" w:line="219" w:lineRule="auto"/>
              <w:rPr/>
            </w:pPr>
            <w:r>
              <w:rPr/>
              <w:t>●分享特性的业务过程目录和映射图</w:t>
            </w:r>
          </w:p>
        </w:tc>
      </w:tr>
    </w:tbl>
    <w:p>
      <w:pPr>
        <w:ind w:left="590"/>
        <w:spacing w:before="20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80" w:right="50" w:firstLine="419"/>
        <w:spacing w:before="39" w:line="252" w:lineRule="auto"/>
        <w:rPr>
          <w:rFonts w:ascii="SimSun" w:hAnsi="SimSun" w:eastAsia="SimSun" w:cs="SimSun"/>
          <w:sz w:val="22"/>
          <w:szCs w:val="22"/>
        </w:rPr>
      </w:pPr>
      <w:r>
        <w:rPr>
          <w:rFonts w:ascii="SimSun" w:hAnsi="SimSun" w:eastAsia="SimSun" w:cs="SimSun"/>
          <w:sz w:val="22"/>
          <w:szCs w:val="22"/>
          <w:spacing w:val="-8"/>
        </w:rPr>
        <w:t>组织应根据业务需求定义业务过程到数据的映射并不断改进。组织</w:t>
      </w:r>
      <w:r>
        <w:rPr>
          <w:rFonts w:ascii="SimSun" w:hAnsi="SimSun" w:eastAsia="SimSun" w:cs="SimSun"/>
          <w:sz w:val="22"/>
          <w:szCs w:val="22"/>
          <w:spacing w:val="-9"/>
        </w:rPr>
        <w:t>应在固定周</w:t>
      </w:r>
      <w:r>
        <w:rPr>
          <w:rFonts w:ascii="SimSun" w:hAnsi="SimSun" w:eastAsia="SimSun" w:cs="SimSun"/>
          <w:sz w:val="22"/>
          <w:szCs w:val="22"/>
        </w:rPr>
        <w:t xml:space="preserve"> </w:t>
      </w:r>
      <w:r>
        <w:rPr>
          <w:rFonts w:ascii="SimSun" w:hAnsi="SimSun" w:eastAsia="SimSun" w:cs="SimSun"/>
          <w:sz w:val="22"/>
          <w:szCs w:val="22"/>
          <w:spacing w:val="-9"/>
        </w:rPr>
        <w:t>期内对数据映射进行评审，以保证达到业务目标。使用有效的工具包括元数据库、</w:t>
      </w:r>
      <w:r>
        <w:rPr>
          <w:rFonts w:ascii="SimSun" w:hAnsi="SimSun" w:eastAsia="SimSun" w:cs="SimSun"/>
          <w:sz w:val="22"/>
          <w:szCs w:val="22"/>
          <w:spacing w:val="12"/>
        </w:rPr>
        <w:t xml:space="preserve"> </w:t>
      </w:r>
      <w:r>
        <w:rPr>
          <w:rFonts w:ascii="SimSun" w:hAnsi="SimSun" w:eastAsia="SimSun" w:cs="SimSun"/>
          <w:sz w:val="22"/>
          <w:szCs w:val="22"/>
          <w:spacing w:val="-10"/>
        </w:rPr>
        <w:t>数据建模工具、业务过程建模工具，以及他们相关的组件和模型。</w:t>
      </w:r>
    </w:p>
    <w:p>
      <w:pPr>
        <w:spacing w:line="104" w:lineRule="exact"/>
        <w:rPr/>
      </w:pPr>
      <w:r/>
    </w:p>
    <w:tbl>
      <w:tblPr>
        <w:tblStyle w:val="TableNormal"/>
        <w:tblW w:w="765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5"/>
        <w:gridCol w:w="3760"/>
      </w:tblGrid>
      <w:tr>
        <w:trPr>
          <w:trHeight w:val="352" w:hRule="atLeast"/>
        </w:trPr>
        <w:tc>
          <w:tcPr>
            <w:tcW w:w="734" w:type="dxa"/>
            <w:vAlign w:val="top"/>
          </w:tcPr>
          <w:p>
            <w:pPr>
              <w:pStyle w:val="TableText"/>
              <w:ind w:left="204"/>
              <w:spacing w:before="102" w:line="221" w:lineRule="auto"/>
              <w:rPr/>
            </w:pPr>
            <w:r>
              <w:rPr>
                <w:spacing w:val="-2"/>
              </w:rPr>
              <w:t>序号</w:t>
            </w:r>
          </w:p>
        </w:tc>
        <w:tc>
          <w:tcPr>
            <w:tcW w:w="3165" w:type="dxa"/>
            <w:vAlign w:val="top"/>
          </w:tcPr>
          <w:p>
            <w:pPr>
              <w:pStyle w:val="TableText"/>
              <w:ind w:left="118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868" w:hRule="atLeast"/>
        </w:trPr>
        <w:tc>
          <w:tcPr>
            <w:tcW w:w="734" w:type="dxa"/>
            <w:vAlign w:val="top"/>
          </w:tcPr>
          <w:p>
            <w:pPr>
              <w:spacing w:line="347" w:lineRule="auto"/>
              <w:rPr>
                <w:rFonts w:ascii="Arial"/>
                <w:sz w:val="21"/>
              </w:rPr>
            </w:pPr>
            <w:r/>
          </w:p>
          <w:p>
            <w:pPr>
              <w:pStyle w:val="TableText"/>
              <w:ind w:left="244"/>
              <w:spacing w:before="48" w:line="183" w:lineRule="auto"/>
              <w:rPr/>
            </w:pPr>
            <w:r>
              <w:rPr>
                <w:spacing w:val="-2"/>
              </w:rPr>
              <w:t>2.3</w:t>
            </w:r>
          </w:p>
        </w:tc>
        <w:tc>
          <w:tcPr>
            <w:tcW w:w="3165" w:type="dxa"/>
            <w:vAlign w:val="top"/>
          </w:tcPr>
          <w:p>
            <w:pPr>
              <w:pStyle w:val="TableText"/>
              <w:ind w:left="111" w:right="39" w:firstLine="160"/>
              <w:spacing w:before="228" w:line="282" w:lineRule="auto"/>
              <w:rPr/>
            </w:pPr>
            <w:r>
              <w:rPr>
                <w:spacing w:val="-1"/>
              </w:rPr>
              <w:t>在项目级别上，制订数据生命周期的变更控</w:t>
            </w:r>
            <w:r>
              <w:rPr>
                <w:spacing w:val="12"/>
              </w:rPr>
              <w:t xml:space="preserve"> </w:t>
            </w:r>
            <w:r>
              <w:rPr>
                <w:spacing w:val="-1"/>
              </w:rPr>
              <w:t>制和管理流程</w:t>
            </w:r>
          </w:p>
        </w:tc>
        <w:tc>
          <w:tcPr>
            <w:tcW w:w="3760" w:type="dxa"/>
            <w:vAlign w:val="top"/>
          </w:tcPr>
          <w:p>
            <w:pPr>
              <w:pStyle w:val="TableText"/>
              <w:ind w:left="275"/>
              <w:spacing w:before="89" w:line="219" w:lineRule="auto"/>
              <w:rPr/>
            </w:pPr>
            <w:r>
              <w:rPr/>
              <w:t>●数据生命周期管理流程</w:t>
            </w:r>
          </w:p>
          <w:p>
            <w:pPr>
              <w:pStyle w:val="TableText"/>
              <w:ind w:left="275"/>
              <w:spacing w:before="101" w:line="219" w:lineRule="auto"/>
              <w:rPr/>
            </w:pPr>
            <w:r>
              <w:rPr/>
              <w:t>●数据生命周期变更控制策略</w:t>
            </w:r>
          </w:p>
          <w:p>
            <w:pPr>
              <w:pStyle w:val="TableText"/>
              <w:ind w:left="275"/>
              <w:spacing w:before="102" w:line="219" w:lineRule="auto"/>
              <w:rPr/>
            </w:pPr>
            <w:r>
              <w:rPr>
                <w:spacing w:val="1"/>
              </w:rPr>
              <w:t>●数据变更管理过程文档</w:t>
            </w:r>
          </w:p>
        </w:tc>
      </w:tr>
    </w:tbl>
    <w:p>
      <w:pPr>
        <w:ind w:left="590"/>
        <w:spacing w:before="20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80" w:right="46" w:firstLine="419"/>
        <w:spacing w:before="44" w:line="255" w:lineRule="auto"/>
        <w:rPr>
          <w:rFonts w:ascii="SimSun" w:hAnsi="SimSun" w:eastAsia="SimSun" w:cs="SimSun"/>
          <w:sz w:val="22"/>
          <w:szCs w:val="22"/>
        </w:rPr>
      </w:pPr>
      <w:r>
        <w:rPr>
          <w:rFonts w:ascii="SimSun" w:hAnsi="SimSun" w:eastAsia="SimSun" w:cs="SimSun"/>
          <w:sz w:val="22"/>
          <w:szCs w:val="22"/>
          <w:spacing w:val="-9"/>
        </w:rPr>
        <w:t>数据生命周期过程管理是数据管理活动的集合，数据在不同阶段需要的管理方</w:t>
      </w:r>
      <w:r>
        <w:rPr>
          <w:rFonts w:ascii="SimSun" w:hAnsi="SimSun" w:eastAsia="SimSun" w:cs="SimSun"/>
          <w:sz w:val="22"/>
          <w:szCs w:val="22"/>
          <w:spacing w:val="13"/>
        </w:rPr>
        <w:t xml:space="preserve"> </w:t>
      </w:r>
      <w:r>
        <w:rPr>
          <w:rFonts w:ascii="SimSun" w:hAnsi="SimSun" w:eastAsia="SimSun" w:cs="SimSun"/>
          <w:sz w:val="22"/>
          <w:szCs w:val="22"/>
          <w:spacing w:val="-8"/>
        </w:rPr>
        <w:t>式存在差别。在数据产生阶段，管理的主要</w:t>
      </w:r>
      <w:r>
        <w:rPr>
          <w:rFonts w:ascii="SimSun" w:hAnsi="SimSun" w:eastAsia="SimSun" w:cs="SimSun"/>
          <w:sz w:val="22"/>
          <w:szCs w:val="22"/>
          <w:spacing w:val="-9"/>
        </w:rPr>
        <w:t>目的是确保能够收集到符合业务目标的</w:t>
      </w:r>
      <w:r>
        <w:rPr>
          <w:rFonts w:ascii="SimSun" w:hAnsi="SimSun" w:eastAsia="SimSun" w:cs="SimSun"/>
          <w:sz w:val="22"/>
          <w:szCs w:val="22"/>
        </w:rPr>
        <w:t xml:space="preserve"> </w:t>
      </w:r>
      <w:r>
        <w:rPr>
          <w:rFonts w:ascii="SimSun" w:hAnsi="SimSun" w:eastAsia="SimSun" w:cs="SimSun"/>
          <w:sz w:val="22"/>
          <w:szCs w:val="22"/>
          <w:spacing w:val="-8"/>
        </w:rPr>
        <w:t>数据集，在处理阶段数据管理的主要目的是提高数据质量。在数据归档</w:t>
      </w:r>
      <w:r>
        <w:rPr>
          <w:rFonts w:ascii="SimSun" w:hAnsi="SimSun" w:eastAsia="SimSun" w:cs="SimSun"/>
          <w:sz w:val="22"/>
          <w:szCs w:val="22"/>
          <w:spacing w:val="-9"/>
        </w:rPr>
        <w:t>和销毁阶段</w:t>
      </w:r>
      <w:r>
        <w:rPr>
          <w:rFonts w:ascii="SimSun" w:hAnsi="SimSun" w:eastAsia="SimSun" w:cs="SimSun"/>
          <w:sz w:val="22"/>
          <w:szCs w:val="22"/>
        </w:rPr>
        <w:t xml:space="preserve"> </w:t>
      </w:r>
      <w:r>
        <w:rPr>
          <w:rFonts w:ascii="SimSun" w:hAnsi="SimSun" w:eastAsia="SimSun" w:cs="SimSun"/>
          <w:sz w:val="22"/>
          <w:szCs w:val="22"/>
          <w:spacing w:val="-8"/>
        </w:rPr>
        <w:t>除了要满足业务需求外更多地关注合规要求。而在</w:t>
      </w:r>
      <w:r>
        <w:rPr>
          <w:rFonts w:ascii="SimSun" w:hAnsi="SimSun" w:eastAsia="SimSun" w:cs="SimSun"/>
          <w:sz w:val="22"/>
          <w:szCs w:val="22"/>
          <w:spacing w:val="-9"/>
        </w:rPr>
        <w:t>相同的数据生命周期阶段，不同</w:t>
      </w:r>
      <w:r>
        <w:rPr>
          <w:rFonts w:ascii="SimSun" w:hAnsi="SimSun" w:eastAsia="SimSun" w:cs="SimSun"/>
          <w:sz w:val="22"/>
          <w:szCs w:val="22"/>
        </w:rPr>
        <w:t xml:space="preserve"> </w:t>
      </w:r>
      <w:r>
        <w:rPr>
          <w:rFonts w:ascii="SimSun" w:hAnsi="SimSun" w:eastAsia="SimSun" w:cs="SimSun"/>
          <w:sz w:val="22"/>
          <w:szCs w:val="22"/>
          <w:spacing w:val="-8"/>
        </w:rPr>
        <w:t>类型的数据管理方式也存在很大差别。针对各式各样的数据，组织需要</w:t>
      </w:r>
      <w:r>
        <w:rPr>
          <w:rFonts w:ascii="SimSun" w:hAnsi="SimSun" w:eastAsia="SimSun" w:cs="SimSun"/>
          <w:sz w:val="22"/>
          <w:szCs w:val="22"/>
          <w:spacing w:val="-9"/>
        </w:rPr>
        <w:t>建立普遍适</w:t>
      </w:r>
      <w:r>
        <w:rPr>
          <w:rFonts w:ascii="SimSun" w:hAnsi="SimSun" w:eastAsia="SimSun" w:cs="SimSun"/>
          <w:sz w:val="22"/>
          <w:szCs w:val="22"/>
        </w:rPr>
        <w:t xml:space="preserve"> </w:t>
      </w:r>
      <w:r>
        <w:rPr>
          <w:rFonts w:ascii="SimSun" w:hAnsi="SimSun" w:eastAsia="SimSun" w:cs="SimSun"/>
          <w:sz w:val="22"/>
          <w:szCs w:val="22"/>
          <w:spacing w:val="-8"/>
        </w:rPr>
        <w:t>用的管理策略，并且能够基于不同需求调整数</w:t>
      </w:r>
      <w:r>
        <w:rPr>
          <w:rFonts w:ascii="SimSun" w:hAnsi="SimSun" w:eastAsia="SimSun" w:cs="SimSun"/>
          <w:sz w:val="22"/>
          <w:szCs w:val="22"/>
          <w:spacing w:val="-9"/>
        </w:rPr>
        <w:t>据生命周期管理流程，但应当制订相</w:t>
      </w:r>
      <w:r>
        <w:rPr>
          <w:rFonts w:ascii="SimSun" w:hAnsi="SimSun" w:eastAsia="SimSun" w:cs="SimSun"/>
          <w:sz w:val="22"/>
          <w:szCs w:val="22"/>
        </w:rPr>
        <w:t xml:space="preserve"> </w:t>
      </w:r>
      <w:r>
        <w:rPr>
          <w:rFonts w:ascii="SimSun" w:hAnsi="SimSun" w:eastAsia="SimSun" w:cs="SimSun"/>
          <w:sz w:val="22"/>
          <w:szCs w:val="22"/>
          <w:spacing w:val="-13"/>
        </w:rPr>
        <w:t>应的变更控制措施。</w:t>
      </w:r>
    </w:p>
    <w:p>
      <w:pPr>
        <w:ind w:left="700"/>
        <w:spacing w:before="72" w:line="221" w:lineRule="auto"/>
        <w:rPr>
          <w:rFonts w:ascii="SimHei" w:hAnsi="SimHei" w:eastAsia="SimHei" w:cs="SimHei"/>
          <w:sz w:val="22"/>
          <w:szCs w:val="22"/>
        </w:rPr>
      </w:pPr>
      <w:r>
        <w:rPr>
          <w:rFonts w:ascii="Times New Roman" w:hAnsi="Times New Roman" w:eastAsia="Times New Roman" w:cs="Times New Roman"/>
          <w:sz w:val="22"/>
          <w:szCs w:val="22"/>
          <w:b/>
          <w:bCs/>
          <w:spacing w:val="-2"/>
        </w:rPr>
        <w:t>Level</w:t>
      </w:r>
      <w:r>
        <w:rPr>
          <w:rFonts w:ascii="Times New Roman" w:hAnsi="Times New Roman" w:eastAsia="Times New Roman" w:cs="Times New Roman"/>
          <w:sz w:val="22"/>
          <w:szCs w:val="22"/>
          <w:b/>
          <w:bCs/>
          <w:spacing w:val="45"/>
          <w:w w:val="101"/>
        </w:rPr>
        <w:t xml:space="preserve"> </w:t>
      </w: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2"/>
        </w:rPr>
        <w:t>定义级</w:t>
      </w:r>
    </w:p>
    <w:p>
      <w:pPr>
        <w:spacing w:line="118" w:lineRule="exact"/>
        <w:rPr/>
      </w:pPr>
      <w:r/>
    </w:p>
    <w:tbl>
      <w:tblPr>
        <w:tblStyle w:val="TableNormal"/>
        <w:tblW w:w="766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50"/>
      </w:tblGrid>
      <w:tr>
        <w:trPr>
          <w:trHeight w:val="342" w:hRule="atLeast"/>
        </w:trPr>
        <w:tc>
          <w:tcPr>
            <w:tcW w:w="744" w:type="dxa"/>
            <w:vAlign w:val="top"/>
          </w:tcPr>
          <w:p>
            <w:pPr>
              <w:pStyle w:val="TableText"/>
              <w:ind w:left="215"/>
              <w:spacing w:before="102" w:line="221" w:lineRule="auto"/>
              <w:rPr/>
            </w:pPr>
            <w:r>
              <w:rPr>
                <w:spacing w:val="-2"/>
              </w:rPr>
              <w:t>序号</w:t>
            </w:r>
          </w:p>
        </w:tc>
        <w:tc>
          <w:tcPr>
            <w:tcW w:w="316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888" w:hRule="atLeast"/>
        </w:trPr>
        <w:tc>
          <w:tcPr>
            <w:tcW w:w="744" w:type="dxa"/>
            <w:vAlign w:val="top"/>
          </w:tcPr>
          <w:p>
            <w:pPr>
              <w:spacing w:line="356" w:lineRule="auto"/>
              <w:rPr>
                <w:rFonts w:ascii="Arial"/>
                <w:sz w:val="21"/>
              </w:rPr>
            </w:pPr>
            <w:r/>
          </w:p>
          <w:p>
            <w:pPr>
              <w:pStyle w:val="TableText"/>
              <w:ind w:left="245"/>
              <w:spacing w:before="48" w:line="184" w:lineRule="auto"/>
              <w:rPr/>
            </w:pPr>
            <w:r>
              <w:rPr>
                <w:spacing w:val="-2"/>
              </w:rPr>
              <w:t>3.1</w:t>
            </w:r>
          </w:p>
        </w:tc>
        <w:tc>
          <w:tcPr>
            <w:tcW w:w="3166" w:type="dxa"/>
            <w:vAlign w:val="top"/>
          </w:tcPr>
          <w:p>
            <w:pPr>
              <w:pStyle w:val="TableText"/>
              <w:ind w:left="121" w:right="54" w:firstLine="139"/>
              <w:spacing w:before="249" w:line="282" w:lineRule="auto"/>
              <w:rPr/>
            </w:pPr>
            <w:r>
              <w:rPr>
                <w:spacing w:val="-1"/>
              </w:rPr>
              <w:t>定义数据生命周期管理策略，并由相关方评</w:t>
            </w:r>
            <w:r>
              <w:rPr>
                <w:spacing w:val="8"/>
              </w:rPr>
              <w:t xml:space="preserve"> </w:t>
            </w:r>
            <w:r>
              <w:rPr>
                <w:spacing w:val="-1"/>
              </w:rPr>
              <w:t>审，由数据治理主体对其进行管理</w:t>
            </w:r>
          </w:p>
        </w:tc>
        <w:tc>
          <w:tcPr>
            <w:tcW w:w="3750" w:type="dxa"/>
            <w:vAlign w:val="top"/>
          </w:tcPr>
          <w:p>
            <w:pPr>
              <w:pStyle w:val="TableText"/>
              <w:ind w:left="265"/>
              <w:spacing w:before="109" w:line="219" w:lineRule="auto"/>
              <w:rPr/>
            </w:pPr>
            <w:r>
              <w:rPr/>
              <w:t>●数据生命周期管理策略</w:t>
            </w:r>
          </w:p>
          <w:p>
            <w:pPr>
              <w:pStyle w:val="TableText"/>
              <w:ind w:left="265"/>
              <w:spacing w:before="112" w:line="219" w:lineRule="auto"/>
              <w:rPr/>
            </w:pPr>
            <w:r>
              <w:rPr/>
              <w:t>●数据生命周期管理策略评审记录</w:t>
            </w:r>
          </w:p>
          <w:p>
            <w:pPr>
              <w:pStyle w:val="TableText"/>
              <w:ind w:left="265"/>
              <w:spacing w:before="92" w:line="219" w:lineRule="auto"/>
              <w:rPr/>
            </w:pPr>
            <w:r>
              <w:rPr/>
              <w:t>●数据生命周期管理策略维护记录</w:t>
            </w:r>
          </w:p>
        </w:tc>
      </w:tr>
    </w:tbl>
    <w:p>
      <w:pPr>
        <w:ind w:left="59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80" w:right="65" w:firstLine="419"/>
        <w:spacing w:before="65" w:line="254" w:lineRule="auto"/>
        <w:rPr>
          <w:rFonts w:ascii="SimSun" w:hAnsi="SimSun" w:eastAsia="SimSun" w:cs="SimSun"/>
          <w:sz w:val="22"/>
          <w:szCs w:val="22"/>
        </w:rPr>
      </w:pPr>
      <w:r>
        <w:rPr>
          <w:rFonts w:ascii="SimSun" w:hAnsi="SimSun" w:eastAsia="SimSun" w:cs="SimSun"/>
          <w:sz w:val="22"/>
          <w:szCs w:val="22"/>
          <w:spacing w:val="5"/>
        </w:rPr>
        <w:t>数据生命周期管理是依据不同数据在不同阶段</w:t>
      </w:r>
      <w:r>
        <w:rPr>
          <w:rFonts w:ascii="SimSun" w:hAnsi="SimSun" w:eastAsia="SimSun" w:cs="SimSun"/>
          <w:sz w:val="22"/>
          <w:szCs w:val="22"/>
          <w:spacing w:val="4"/>
        </w:rPr>
        <w:t>的价值实施不同的管理策略</w:t>
      </w:r>
      <w:r>
        <w:rPr>
          <w:rFonts w:ascii="SimSun" w:hAnsi="SimSun" w:eastAsia="SimSun" w:cs="SimSun"/>
          <w:sz w:val="22"/>
          <w:szCs w:val="22"/>
        </w:rPr>
        <w:t xml:space="preserve"> </w:t>
      </w:r>
      <w:r>
        <w:rPr>
          <w:rFonts w:ascii="SimSun" w:hAnsi="SimSun" w:eastAsia="SimSun" w:cs="SimSun"/>
          <w:sz w:val="22"/>
          <w:szCs w:val="22"/>
          <w:spacing w:val="4"/>
        </w:rPr>
        <w:t>的，以简单、可靠、经济、有效的方式使企业获取数据的最</w:t>
      </w:r>
      <w:r>
        <w:rPr>
          <w:rFonts w:ascii="SimSun" w:hAnsi="SimSun" w:eastAsia="SimSun" w:cs="SimSun"/>
          <w:sz w:val="22"/>
          <w:szCs w:val="22"/>
          <w:spacing w:val="3"/>
        </w:rPr>
        <w:t>大价值，从而有效</w:t>
      </w:r>
      <w:r>
        <w:rPr>
          <w:rFonts w:ascii="SimSun" w:hAnsi="SimSun" w:eastAsia="SimSun" w:cs="SimSun"/>
          <w:sz w:val="22"/>
          <w:szCs w:val="22"/>
        </w:rPr>
        <w:t xml:space="preserve"> </w:t>
      </w:r>
      <w:r>
        <w:rPr>
          <w:rFonts w:ascii="SimSun" w:hAnsi="SimSun" w:eastAsia="SimSun" w:cs="SimSun"/>
          <w:sz w:val="22"/>
          <w:szCs w:val="22"/>
        </w:rPr>
        <w:t>降低组织</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rPr>
        <w:t>的总体拥有成本。数据生命周期管理是一种数据管理模型，即对数 </w:t>
      </w:r>
      <w:r>
        <w:rPr>
          <w:rFonts w:ascii="SimSun" w:hAnsi="SimSun" w:eastAsia="SimSun" w:cs="SimSun"/>
          <w:sz w:val="22"/>
          <w:szCs w:val="22"/>
          <w:spacing w:val="4"/>
        </w:rPr>
        <w:t>据进行贯穿其整个生命周期的管理，从创建和使用到归档和</w:t>
      </w:r>
      <w:r>
        <w:rPr>
          <w:rFonts w:ascii="SimSun" w:hAnsi="SimSun" w:eastAsia="SimSun" w:cs="SimSun"/>
          <w:sz w:val="22"/>
          <w:szCs w:val="22"/>
          <w:spacing w:val="3"/>
        </w:rPr>
        <w:t>处理，它是一种针</w:t>
      </w:r>
      <w:r>
        <w:rPr>
          <w:rFonts w:ascii="SimSun" w:hAnsi="SimSun" w:eastAsia="SimSun" w:cs="SimSun"/>
          <w:sz w:val="22"/>
          <w:szCs w:val="22"/>
        </w:rPr>
        <w:t xml:space="preserve"> </w:t>
      </w:r>
      <w:r>
        <w:rPr>
          <w:rFonts w:ascii="SimSun" w:hAnsi="SimSun" w:eastAsia="SimSun" w:cs="SimSun"/>
          <w:sz w:val="22"/>
          <w:szCs w:val="22"/>
          <w:spacing w:val="4"/>
        </w:rPr>
        <w:t>对数据进行主动管理的过程策略，组织应根据自身需求</w:t>
      </w:r>
      <w:r>
        <w:rPr>
          <w:rFonts w:ascii="SimSun" w:hAnsi="SimSun" w:eastAsia="SimSun" w:cs="SimSun"/>
          <w:sz w:val="22"/>
          <w:szCs w:val="22"/>
          <w:spacing w:val="3"/>
        </w:rPr>
        <w:t>定义数据生命周期管理</w:t>
      </w:r>
      <w:r>
        <w:rPr>
          <w:rFonts w:ascii="SimSun" w:hAnsi="SimSun" w:eastAsia="SimSun" w:cs="SimSun"/>
          <w:sz w:val="22"/>
          <w:szCs w:val="22"/>
        </w:rPr>
        <w:t xml:space="preserve"> </w:t>
      </w:r>
      <w:r>
        <w:rPr>
          <w:rFonts w:ascii="SimSun" w:hAnsi="SimSun" w:eastAsia="SimSun" w:cs="SimSun"/>
          <w:sz w:val="22"/>
          <w:szCs w:val="22"/>
          <w:spacing w:val="-10"/>
        </w:rPr>
        <w:t>过程。</w:t>
      </w:r>
    </w:p>
    <w:p>
      <w:pPr>
        <w:spacing w:line="254" w:lineRule="auto"/>
        <w:sectPr>
          <w:footerReference w:type="default" r:id="rId337"/>
          <w:pgSz w:w="8870" w:h="13400"/>
          <w:pgMar w:top="400" w:right="414" w:bottom="494" w:left="500" w:header="0" w:footer="276" w:gutter="0"/>
        </w:sectPr>
        <w:rPr>
          <w:rFonts w:ascii="SimSun" w:hAnsi="SimSun" w:eastAsia="SimSun" w:cs="SimSun"/>
          <w:sz w:val="22"/>
          <w:szCs w:val="22"/>
        </w:rPr>
      </w:pPr>
    </w:p>
    <w:p>
      <w:pPr>
        <w:ind w:left="5518"/>
        <w:spacing w:before="224" w:line="219" w:lineRule="auto"/>
        <w:rPr>
          <w:rFonts w:ascii="SimSun" w:hAnsi="SimSun" w:eastAsia="SimSun" w:cs="SimSun"/>
          <w:sz w:val="21"/>
          <w:szCs w:val="21"/>
        </w:rPr>
      </w:pPr>
      <w:r>
        <w:rPr>
          <w:rFonts w:ascii="SimSun" w:hAnsi="SimSun" w:eastAsia="SimSun" w:cs="SimSun"/>
          <w:sz w:val="21"/>
          <w:szCs w:val="21"/>
          <w:b/>
          <w:bCs/>
          <w:spacing w:val="-5"/>
        </w:rPr>
        <w:t>第7章■云端数据操作■</w:t>
      </w:r>
    </w:p>
    <w:p>
      <w:pPr>
        <w:spacing w:before="140"/>
        <w:rPr/>
      </w:pPr>
      <w:r/>
    </w:p>
    <w:tbl>
      <w:tblPr>
        <w:tblStyle w:val="TableNormal"/>
        <w:tblW w:w="76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80"/>
      </w:tblGrid>
      <w:tr>
        <w:trPr>
          <w:trHeight w:val="352" w:hRule="atLeast"/>
        </w:trPr>
        <w:tc>
          <w:tcPr>
            <w:tcW w:w="734" w:type="dxa"/>
            <w:vAlign w:val="top"/>
          </w:tcPr>
          <w:p>
            <w:pPr>
              <w:pStyle w:val="TableText"/>
              <w:ind w:left="205"/>
              <w:spacing w:before="102" w:line="221" w:lineRule="auto"/>
              <w:rPr/>
            </w:pPr>
            <w:r>
              <w:rPr>
                <w:spacing w:val="-2"/>
              </w:rPr>
              <w:t>序号</w:t>
            </w:r>
          </w:p>
        </w:tc>
        <w:tc>
          <w:tcPr>
            <w:tcW w:w="315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877" w:hRule="atLeast"/>
        </w:trPr>
        <w:tc>
          <w:tcPr>
            <w:tcW w:w="734" w:type="dxa"/>
            <w:vAlign w:val="top"/>
          </w:tcPr>
          <w:p>
            <w:pPr>
              <w:spacing w:line="356" w:lineRule="auto"/>
              <w:rPr>
                <w:rFonts w:ascii="Arial"/>
                <w:sz w:val="21"/>
              </w:rPr>
            </w:pPr>
            <w:r/>
          </w:p>
          <w:p>
            <w:pPr>
              <w:pStyle w:val="TableText"/>
              <w:ind w:left="245"/>
              <w:spacing w:before="49" w:line="183" w:lineRule="auto"/>
              <w:rPr/>
            </w:pPr>
            <w:r>
              <w:rPr>
                <w:spacing w:val="-2"/>
              </w:rPr>
              <w:t>3.2</w:t>
            </w:r>
          </w:p>
        </w:tc>
        <w:tc>
          <w:tcPr>
            <w:tcW w:w="3156" w:type="dxa"/>
            <w:vAlign w:val="top"/>
          </w:tcPr>
          <w:p>
            <w:pPr>
              <w:pStyle w:val="TableText"/>
              <w:ind w:left="101" w:right="30" w:firstLine="169"/>
              <w:spacing w:before="239" w:line="288" w:lineRule="auto"/>
              <w:rPr/>
            </w:pPr>
            <w:r>
              <w:rPr>
                <w:spacing w:val="-1"/>
              </w:rPr>
              <w:t>在组织级，建立和维护全数据生命周期的变</w:t>
            </w:r>
            <w:r>
              <w:rPr>
                <w:spacing w:val="12"/>
              </w:rPr>
              <w:t xml:space="preserve"> </w:t>
            </w:r>
            <w:r>
              <w:rPr>
                <w:spacing w:val="-2"/>
              </w:rPr>
              <w:t>更管理过程</w:t>
            </w:r>
          </w:p>
        </w:tc>
        <w:tc>
          <w:tcPr>
            <w:tcW w:w="3780" w:type="dxa"/>
            <w:vAlign w:val="top"/>
          </w:tcPr>
          <w:p>
            <w:pPr>
              <w:pStyle w:val="TableText"/>
              <w:ind w:left="265"/>
              <w:spacing w:before="99" w:line="219" w:lineRule="auto"/>
              <w:rPr/>
            </w:pPr>
            <w:r>
              <w:rPr/>
              <w:t>●数据生命周期管理策略</w:t>
            </w:r>
          </w:p>
          <w:p>
            <w:pPr>
              <w:pStyle w:val="TableText"/>
              <w:ind w:left="265"/>
              <w:spacing w:before="102" w:line="219" w:lineRule="auto"/>
              <w:rPr/>
            </w:pPr>
            <w:r>
              <w:rPr/>
              <w:t>●数据生命周期管理策略评审记录</w:t>
            </w:r>
          </w:p>
          <w:p>
            <w:pPr>
              <w:pStyle w:val="TableText"/>
              <w:ind w:left="265"/>
              <w:spacing w:before="92" w:line="219" w:lineRule="auto"/>
              <w:rPr/>
            </w:pPr>
            <w:r>
              <w:rPr/>
              <w:t>●数据生命周期管理策略维护记录</w:t>
            </w:r>
          </w:p>
        </w:tc>
      </w:tr>
    </w:tbl>
    <w:p>
      <w:pPr>
        <w:ind w:left="330"/>
        <w:spacing w:before="83"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11" w:firstLine="419"/>
        <w:spacing w:before="59" w:line="255" w:lineRule="auto"/>
        <w:rPr>
          <w:rFonts w:ascii="SimSun" w:hAnsi="SimSun" w:eastAsia="SimSun" w:cs="SimSun"/>
          <w:sz w:val="21"/>
          <w:szCs w:val="21"/>
        </w:rPr>
      </w:pPr>
      <w:r>
        <w:rPr>
          <w:rFonts w:ascii="SimSun" w:hAnsi="SimSun" w:eastAsia="SimSun" w:cs="SimSun"/>
          <w:sz w:val="21"/>
          <w:szCs w:val="21"/>
          <w:spacing w:val="2"/>
        </w:rPr>
        <w:t>组织应建立全数据生命周期变更管理过程并保持不断改</w:t>
      </w:r>
      <w:r>
        <w:rPr>
          <w:rFonts w:ascii="SimSun" w:hAnsi="SimSun" w:eastAsia="SimSun" w:cs="SimSun"/>
          <w:sz w:val="21"/>
          <w:szCs w:val="21"/>
          <w:spacing w:val="1"/>
        </w:rPr>
        <w:t>进。举例来说，保管人</w:t>
      </w:r>
      <w:r>
        <w:rPr>
          <w:rFonts w:ascii="SimSun" w:hAnsi="SimSun" w:eastAsia="SimSun" w:cs="SimSun"/>
          <w:sz w:val="21"/>
          <w:szCs w:val="21"/>
        </w:rPr>
        <w:t xml:space="preserve"> </w:t>
      </w:r>
      <w:r>
        <w:rPr>
          <w:rFonts w:ascii="SimSun" w:hAnsi="SimSun" w:eastAsia="SimSun" w:cs="SimSun"/>
          <w:sz w:val="21"/>
          <w:szCs w:val="21"/>
          <w:spacing w:val="7"/>
        </w:rPr>
        <w:t>(物理的)和数据管理员(逻辑的)使用一种标准的评估和影响分析过程来处理数据</w:t>
      </w:r>
      <w:r>
        <w:rPr>
          <w:rFonts w:ascii="SimSun" w:hAnsi="SimSun" w:eastAsia="SimSun" w:cs="SimSun"/>
          <w:sz w:val="21"/>
          <w:szCs w:val="21"/>
          <w:spacing w:val="12"/>
        </w:rPr>
        <w:t xml:space="preserve"> </w:t>
      </w:r>
      <w:r>
        <w:rPr>
          <w:rFonts w:ascii="SimSun" w:hAnsi="SimSun" w:eastAsia="SimSun" w:cs="SimSun"/>
          <w:sz w:val="21"/>
          <w:szCs w:val="21"/>
        </w:rPr>
        <w:t>元素的变更——添加、删除和修正。对源到目标的映射也进行相应变更。</w:t>
      </w:r>
    </w:p>
    <w:p>
      <w:pPr>
        <w:spacing w:before="75"/>
        <w:rPr/>
      </w:pPr>
      <w:r/>
    </w:p>
    <w:tbl>
      <w:tblPr>
        <w:tblStyle w:val="TableNormal"/>
        <w:tblW w:w="7660"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46"/>
        <w:gridCol w:w="3780"/>
      </w:tblGrid>
      <w:tr>
        <w:trPr>
          <w:trHeight w:val="351" w:hRule="atLeast"/>
        </w:trPr>
        <w:tc>
          <w:tcPr>
            <w:tcW w:w="734" w:type="dxa"/>
            <w:vAlign w:val="top"/>
          </w:tcPr>
          <w:p>
            <w:pPr>
              <w:pStyle w:val="TableText"/>
              <w:ind w:left="205"/>
              <w:spacing w:before="102" w:line="221" w:lineRule="auto"/>
              <w:rPr/>
            </w:pPr>
            <w:r>
              <w:rPr>
                <w:spacing w:val="-2"/>
              </w:rPr>
              <w:t>序号</w:t>
            </w:r>
          </w:p>
        </w:tc>
        <w:tc>
          <w:tcPr>
            <w:tcW w:w="314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599" w:hRule="atLeast"/>
        </w:trPr>
        <w:tc>
          <w:tcPr>
            <w:tcW w:w="734" w:type="dxa"/>
            <w:vAlign w:val="top"/>
          </w:tcPr>
          <w:p>
            <w:pPr>
              <w:pStyle w:val="TableText"/>
              <w:ind w:left="245"/>
              <w:spacing w:before="268" w:line="183" w:lineRule="auto"/>
              <w:rPr/>
            </w:pPr>
            <w:r>
              <w:rPr>
                <w:spacing w:val="-2"/>
              </w:rPr>
              <w:t>3.3</w:t>
            </w:r>
          </w:p>
        </w:tc>
        <w:tc>
          <w:tcPr>
            <w:tcW w:w="3146" w:type="dxa"/>
            <w:vAlign w:val="top"/>
          </w:tcPr>
          <w:p>
            <w:pPr>
              <w:pStyle w:val="TableText"/>
              <w:ind w:left="271"/>
              <w:spacing w:before="229" w:line="219" w:lineRule="auto"/>
              <w:rPr/>
            </w:pPr>
            <w:r>
              <w:rPr/>
              <w:t>明确定义的数据生命周期管理角色和职责</w:t>
            </w:r>
          </w:p>
        </w:tc>
        <w:tc>
          <w:tcPr>
            <w:tcW w:w="3780" w:type="dxa"/>
            <w:vAlign w:val="top"/>
          </w:tcPr>
          <w:p>
            <w:pPr>
              <w:pStyle w:val="TableText"/>
              <w:ind w:left="275"/>
              <w:spacing w:before="89" w:line="219" w:lineRule="auto"/>
              <w:rPr/>
            </w:pPr>
            <w:r>
              <w:rPr/>
              <w:t>●数据生命周期管理角色和职责</w:t>
            </w:r>
          </w:p>
          <w:p>
            <w:pPr>
              <w:pStyle w:val="TableText"/>
              <w:ind w:left="275"/>
              <w:spacing w:before="112" w:line="219" w:lineRule="auto"/>
              <w:rPr/>
            </w:pPr>
            <w:r>
              <w:rPr/>
              <w:t>●数据生命周期管理角色培训计划</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08" w:firstLine="419"/>
        <w:spacing w:before="89" w:line="243" w:lineRule="auto"/>
        <w:rPr>
          <w:rFonts w:ascii="SimSun" w:hAnsi="SimSun" w:eastAsia="SimSun" w:cs="SimSun"/>
          <w:sz w:val="21"/>
          <w:szCs w:val="21"/>
        </w:rPr>
      </w:pPr>
      <w:r>
        <w:rPr>
          <w:rFonts w:ascii="SimSun" w:hAnsi="SimSun" w:eastAsia="SimSun" w:cs="SimSun"/>
          <w:sz w:val="21"/>
          <w:szCs w:val="21"/>
          <w:spacing w:val="2"/>
        </w:rPr>
        <w:t>组织已经配备了专门的人员负责数据生命周期管理工作，明确</w:t>
      </w:r>
      <w:r>
        <w:rPr>
          <w:rFonts w:ascii="SimSun" w:hAnsi="SimSun" w:eastAsia="SimSun" w:cs="SimSun"/>
          <w:sz w:val="21"/>
          <w:szCs w:val="21"/>
          <w:spacing w:val="1"/>
        </w:rPr>
        <w:t>定义了其职责范</w:t>
      </w:r>
      <w:r>
        <w:rPr>
          <w:rFonts w:ascii="SimSun" w:hAnsi="SimSun" w:eastAsia="SimSun" w:cs="SimSun"/>
          <w:sz w:val="21"/>
          <w:szCs w:val="21"/>
        </w:rPr>
        <w:t xml:space="preserve"> </w:t>
      </w:r>
      <w:r>
        <w:rPr>
          <w:rFonts w:ascii="SimSun" w:hAnsi="SimSun" w:eastAsia="SimSun" w:cs="SimSun"/>
          <w:sz w:val="21"/>
          <w:szCs w:val="21"/>
          <w:spacing w:val="2"/>
        </w:rPr>
        <w:t>围。组织应采取措施保证人员能力能够持续满足数据生命周期管</w:t>
      </w:r>
      <w:r>
        <w:rPr>
          <w:rFonts w:ascii="SimSun" w:hAnsi="SimSun" w:eastAsia="SimSun" w:cs="SimSun"/>
          <w:sz w:val="21"/>
          <w:szCs w:val="21"/>
          <w:spacing w:val="1"/>
        </w:rPr>
        <w:t>理职位需求，例如</w:t>
      </w:r>
      <w:r>
        <w:rPr>
          <w:rFonts w:ascii="SimSun" w:hAnsi="SimSun" w:eastAsia="SimSun" w:cs="SimSun"/>
          <w:sz w:val="21"/>
          <w:szCs w:val="21"/>
        </w:rPr>
        <w:t xml:space="preserve"> </w:t>
      </w:r>
      <w:r>
        <w:rPr>
          <w:rFonts w:ascii="SimSun" w:hAnsi="SimSun" w:eastAsia="SimSun" w:cs="SimSun"/>
          <w:sz w:val="21"/>
          <w:szCs w:val="21"/>
          <w:spacing w:val="-3"/>
        </w:rPr>
        <w:t>采用培训教育、经验交流等方式。</w:t>
      </w:r>
    </w:p>
    <w:p>
      <w:pPr>
        <w:spacing w:line="139" w:lineRule="exact"/>
        <w:rPr/>
      </w:pPr>
      <w:r/>
    </w:p>
    <w:tbl>
      <w:tblPr>
        <w:tblStyle w:val="TableNormal"/>
        <w:tblW w:w="765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42" w:hRule="atLeast"/>
        </w:trPr>
        <w:tc>
          <w:tcPr>
            <w:tcW w:w="734" w:type="dxa"/>
            <w:vAlign w:val="top"/>
          </w:tcPr>
          <w:p>
            <w:pPr>
              <w:pStyle w:val="TableText"/>
              <w:ind w:left="205"/>
              <w:spacing w:before="102" w:line="221" w:lineRule="auto"/>
              <w:rPr/>
            </w:pPr>
            <w:r>
              <w:rPr>
                <w:spacing w:val="-2"/>
              </w:rPr>
              <w:t>序号</w:t>
            </w:r>
          </w:p>
        </w:tc>
        <w:tc>
          <w:tcPr>
            <w:tcW w:w="3155"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887" w:hRule="atLeast"/>
        </w:trPr>
        <w:tc>
          <w:tcPr>
            <w:tcW w:w="734" w:type="dxa"/>
            <w:vAlign w:val="top"/>
          </w:tcPr>
          <w:p>
            <w:pPr>
              <w:spacing w:line="357" w:lineRule="auto"/>
              <w:rPr>
                <w:rFonts w:ascii="Arial"/>
                <w:sz w:val="21"/>
              </w:rPr>
            </w:pPr>
            <w:r/>
          </w:p>
          <w:p>
            <w:pPr>
              <w:pStyle w:val="TableText"/>
              <w:ind w:left="244"/>
              <w:spacing w:before="48" w:line="183" w:lineRule="auto"/>
              <w:rPr/>
            </w:pPr>
            <w:r>
              <w:rPr>
                <w:spacing w:val="-2"/>
              </w:rPr>
              <w:t>3.4</w:t>
            </w:r>
          </w:p>
        </w:tc>
        <w:tc>
          <w:tcPr>
            <w:tcW w:w="3155" w:type="dxa"/>
            <w:vAlign w:val="top"/>
          </w:tcPr>
          <w:p>
            <w:pPr>
              <w:pStyle w:val="TableText"/>
              <w:ind w:left="100" w:right="39" w:firstLine="160"/>
              <w:spacing w:before="99" w:line="303" w:lineRule="auto"/>
              <w:rPr/>
            </w:pPr>
            <w:r>
              <w:rPr>
                <w:spacing w:val="-1"/>
              </w:rPr>
              <w:t>在组织级别上，针对主要业务过程，实施从</w:t>
            </w:r>
            <w:r>
              <w:rPr>
                <w:spacing w:val="12"/>
              </w:rPr>
              <w:t xml:space="preserve"> </w:t>
            </w:r>
            <w:r>
              <w:rPr>
                <w:spacing w:val="1"/>
              </w:rPr>
              <w:t>数据流和完整数据到共享数据的全生命周期  </w:t>
            </w:r>
            <w:r>
              <w:rPr>
                <w:spacing w:val="-2"/>
              </w:rPr>
              <w:t>过程的映射</w:t>
            </w:r>
          </w:p>
        </w:tc>
        <w:tc>
          <w:tcPr>
            <w:tcW w:w="3770" w:type="dxa"/>
            <w:vAlign w:val="top"/>
          </w:tcPr>
          <w:p>
            <w:pPr>
              <w:pStyle w:val="TableText"/>
              <w:ind w:left="245"/>
              <w:spacing w:before="98" w:line="219" w:lineRule="auto"/>
              <w:rPr/>
            </w:pPr>
            <w:r>
              <w:rPr/>
              <w:t>●过程到数据映射的模板</w:t>
            </w:r>
          </w:p>
          <w:p>
            <w:pPr>
              <w:pStyle w:val="TableText"/>
              <w:ind w:left="245"/>
              <w:spacing w:before="93" w:line="219" w:lineRule="auto"/>
              <w:rPr/>
            </w:pPr>
            <w:r>
              <w:rPr>
                <w:spacing w:val="1"/>
              </w:rPr>
              <w:t>●数据映射的项目计划</w:t>
            </w:r>
          </w:p>
          <w:p>
            <w:pPr>
              <w:pStyle w:val="TableText"/>
              <w:ind w:left="245"/>
              <w:spacing w:before="121" w:line="219" w:lineRule="auto"/>
              <w:rPr/>
            </w:pPr>
            <w:r>
              <w:rPr/>
              <w:t>●关键业务过程的生命周期数据映射</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435"/>
        <w:spacing w:before="70" w:line="219" w:lineRule="auto"/>
        <w:rPr>
          <w:rFonts w:ascii="SimSun" w:hAnsi="SimSun" w:eastAsia="SimSun" w:cs="SimSun"/>
          <w:sz w:val="21"/>
          <w:szCs w:val="21"/>
        </w:rPr>
      </w:pPr>
      <w:r>
        <w:rPr>
          <w:rFonts w:ascii="SimSun" w:hAnsi="SimSun" w:eastAsia="SimSun" w:cs="SimSun"/>
          <w:sz w:val="21"/>
          <w:szCs w:val="21"/>
        </w:rPr>
        <w:t>组织在主要业务过程中，实施从全数据到共享数据的全生命周期</w:t>
      </w:r>
      <w:r>
        <w:rPr>
          <w:rFonts w:ascii="SimSun" w:hAnsi="SimSun" w:eastAsia="SimSun" w:cs="SimSun"/>
          <w:sz w:val="21"/>
          <w:szCs w:val="21"/>
          <w:spacing w:val="-1"/>
        </w:rPr>
        <w:t>过程的映射。</w:t>
      </w:r>
    </w:p>
    <w:p>
      <w:pPr>
        <w:spacing w:line="128" w:lineRule="exact"/>
        <w:rPr/>
      </w:pPr>
      <w:r/>
    </w:p>
    <w:tbl>
      <w:tblPr>
        <w:tblStyle w:val="TableNormal"/>
        <w:tblW w:w="7659"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42" w:hRule="atLeast"/>
        </w:trPr>
        <w:tc>
          <w:tcPr>
            <w:tcW w:w="734" w:type="dxa"/>
            <w:vAlign w:val="top"/>
          </w:tcPr>
          <w:p>
            <w:pPr>
              <w:pStyle w:val="TableText"/>
              <w:ind w:left="204"/>
              <w:spacing w:before="101" w:line="221" w:lineRule="auto"/>
              <w:rPr/>
            </w:pPr>
            <w:r>
              <w:rPr>
                <w:spacing w:val="-2"/>
              </w:rPr>
              <w:t>序号</w:t>
            </w:r>
          </w:p>
        </w:tc>
        <w:tc>
          <w:tcPr>
            <w:tcW w:w="315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66"/>
              <w:spacing w:before="101" w:line="220" w:lineRule="auto"/>
              <w:rPr/>
            </w:pPr>
            <w:r>
              <w:rPr>
                <w:spacing w:val="-5"/>
              </w:rPr>
              <w:t>实</w:t>
            </w:r>
            <w:r>
              <w:rPr>
                <w:spacing w:val="1"/>
              </w:rPr>
              <w:t xml:space="preserve">   </w:t>
            </w:r>
            <w:r>
              <w:rPr>
                <w:spacing w:val="-5"/>
              </w:rPr>
              <w:t>例</w:t>
            </w:r>
          </w:p>
        </w:tc>
      </w:tr>
      <w:tr>
        <w:trPr>
          <w:trHeight w:val="877" w:hRule="atLeast"/>
        </w:trPr>
        <w:tc>
          <w:tcPr>
            <w:tcW w:w="734" w:type="dxa"/>
            <w:vAlign w:val="top"/>
          </w:tcPr>
          <w:p>
            <w:pPr>
              <w:spacing w:line="356" w:lineRule="auto"/>
              <w:rPr>
                <w:rFonts w:ascii="Arial"/>
                <w:sz w:val="21"/>
              </w:rPr>
            </w:pPr>
            <w:r/>
          </w:p>
          <w:p>
            <w:pPr>
              <w:pStyle w:val="TableText"/>
              <w:ind w:left="244"/>
              <w:spacing w:before="49" w:line="183" w:lineRule="auto"/>
              <w:rPr/>
            </w:pPr>
            <w:r>
              <w:rPr>
                <w:spacing w:val="-2"/>
              </w:rPr>
              <w:t>3.5</w:t>
            </w:r>
          </w:p>
        </w:tc>
        <w:tc>
          <w:tcPr>
            <w:tcW w:w="3155" w:type="dxa"/>
            <w:vAlign w:val="top"/>
          </w:tcPr>
          <w:p>
            <w:pPr>
              <w:pStyle w:val="TableText"/>
              <w:ind w:left="221"/>
              <w:spacing w:before="98" w:line="219" w:lineRule="auto"/>
              <w:rPr/>
            </w:pPr>
            <w:r>
              <w:rPr/>
              <w:t>由数据治理机制来管理为特定业务目标实</w:t>
            </w:r>
          </w:p>
          <w:p>
            <w:pPr>
              <w:pStyle w:val="TableText"/>
              <w:ind w:left="100" w:right="79" w:hanging="29"/>
              <w:spacing w:before="102" w:line="282" w:lineRule="auto"/>
              <w:rPr/>
            </w:pPr>
            <w:r>
              <w:rPr>
                <w:spacing w:val="-1"/>
              </w:rPr>
              <w:t>施的共享数据集或目标数据集的变更，并需要</w:t>
            </w:r>
            <w:r>
              <w:rPr>
                <w:spacing w:val="13"/>
              </w:rPr>
              <w:t xml:space="preserve"> </w:t>
            </w:r>
            <w:r>
              <w:rPr>
                <w:spacing w:val="-1"/>
              </w:rPr>
              <w:t>相关方和内部人员的参与</w:t>
            </w:r>
          </w:p>
        </w:tc>
        <w:tc>
          <w:tcPr>
            <w:tcW w:w="3770" w:type="dxa"/>
            <w:vAlign w:val="top"/>
          </w:tcPr>
          <w:p>
            <w:pPr>
              <w:pStyle w:val="TableText"/>
              <w:ind w:left="275"/>
              <w:spacing w:before="99" w:line="219" w:lineRule="auto"/>
              <w:rPr/>
            </w:pPr>
            <w:r>
              <w:rPr>
                <w:spacing w:val="1"/>
              </w:rPr>
              <w:t>●数据变更需求</w:t>
            </w:r>
          </w:p>
          <w:p>
            <w:pPr>
              <w:pStyle w:val="TableText"/>
              <w:ind w:left="275"/>
              <w:spacing w:before="112" w:line="219" w:lineRule="auto"/>
              <w:rPr/>
            </w:pPr>
            <w:r>
              <w:rPr/>
              <w:t>●已识别的数据特性源</w:t>
            </w:r>
          </w:p>
          <w:p>
            <w:pPr>
              <w:pStyle w:val="TableText"/>
              <w:ind w:left="275"/>
              <w:spacing w:before="92" w:line="219" w:lineRule="auto"/>
              <w:rPr/>
            </w:pPr>
            <w:r>
              <w:rPr/>
              <w:t>●数据特性的权威数据源</w:t>
            </w:r>
          </w:p>
        </w:tc>
      </w:tr>
    </w:tbl>
    <w:p>
      <w:pPr>
        <w:ind w:left="330"/>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174" w:firstLine="419"/>
        <w:spacing w:before="58" w:line="260" w:lineRule="auto"/>
        <w:rPr>
          <w:rFonts w:ascii="SimSun" w:hAnsi="SimSun" w:eastAsia="SimSun" w:cs="SimSun"/>
          <w:sz w:val="21"/>
          <w:szCs w:val="21"/>
        </w:rPr>
      </w:pPr>
      <w:r>
        <w:rPr>
          <w:rFonts w:ascii="SimSun" w:hAnsi="SimSun" w:eastAsia="SimSun" w:cs="SimSun"/>
          <w:sz w:val="21"/>
          <w:szCs w:val="21"/>
          <w:spacing w:val="6"/>
        </w:rPr>
        <w:t>组织应通过数据治理机制，组织相关方(包括内部人员),管理</w:t>
      </w:r>
      <w:r>
        <w:rPr>
          <w:rFonts w:ascii="SimSun" w:hAnsi="SimSun" w:eastAsia="SimSun" w:cs="SimSun"/>
          <w:sz w:val="21"/>
          <w:szCs w:val="21"/>
          <w:spacing w:val="5"/>
        </w:rPr>
        <w:t>为达成特定业务</w:t>
      </w:r>
      <w:r>
        <w:rPr>
          <w:rFonts w:ascii="SimSun" w:hAnsi="SimSun" w:eastAsia="SimSun" w:cs="SimSun"/>
          <w:sz w:val="21"/>
          <w:szCs w:val="21"/>
        </w:rPr>
        <w:t xml:space="preserve"> </w:t>
      </w:r>
      <w:r>
        <w:rPr>
          <w:rFonts w:ascii="SimSun" w:hAnsi="SimSun" w:eastAsia="SimSun" w:cs="SimSun"/>
          <w:sz w:val="21"/>
          <w:szCs w:val="21"/>
          <w:spacing w:val="-4"/>
        </w:rPr>
        <w:t>目标而实施的对共享数据集或目标数据集的变更。</w:t>
      </w:r>
    </w:p>
    <w:p>
      <w:pPr>
        <w:spacing w:line="117" w:lineRule="exact"/>
        <w:rPr/>
      </w:pPr>
      <w:r/>
    </w:p>
    <w:tbl>
      <w:tblPr>
        <w:tblStyle w:val="TableNormal"/>
        <w:tblW w:w="7660"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6"/>
        <w:gridCol w:w="3770"/>
      </w:tblGrid>
      <w:tr>
        <w:trPr>
          <w:trHeight w:val="341" w:hRule="atLeast"/>
        </w:trPr>
        <w:tc>
          <w:tcPr>
            <w:tcW w:w="734" w:type="dxa"/>
            <w:vAlign w:val="top"/>
          </w:tcPr>
          <w:p>
            <w:pPr>
              <w:pStyle w:val="TableText"/>
              <w:ind w:left="205"/>
              <w:spacing w:before="102" w:line="221" w:lineRule="auto"/>
              <w:rPr/>
            </w:pPr>
            <w:r>
              <w:rPr>
                <w:spacing w:val="-2"/>
              </w:rPr>
              <w:t>序号</w:t>
            </w:r>
          </w:p>
        </w:tc>
        <w:tc>
          <w:tcPr>
            <w:tcW w:w="3156" w:type="dxa"/>
            <w:vAlign w:val="top"/>
          </w:tcPr>
          <w:p>
            <w:pPr>
              <w:pStyle w:val="TableText"/>
              <w:ind w:left="117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4"/>
              <w:spacing w:before="101" w:line="220" w:lineRule="auto"/>
              <w:rPr/>
            </w:pPr>
            <w:r>
              <w:rPr>
                <w:spacing w:val="-5"/>
              </w:rPr>
              <w:t>实</w:t>
            </w:r>
            <w:r>
              <w:rPr>
                <w:spacing w:val="1"/>
              </w:rPr>
              <w:t xml:space="preserve">   </w:t>
            </w:r>
            <w:r>
              <w:rPr>
                <w:spacing w:val="-5"/>
              </w:rPr>
              <w:t>例</w:t>
            </w:r>
          </w:p>
        </w:tc>
      </w:tr>
      <w:tr>
        <w:trPr>
          <w:trHeight w:val="598" w:hRule="atLeast"/>
        </w:trPr>
        <w:tc>
          <w:tcPr>
            <w:tcW w:w="734" w:type="dxa"/>
            <w:vAlign w:val="top"/>
          </w:tcPr>
          <w:p>
            <w:pPr>
              <w:pStyle w:val="TableText"/>
              <w:ind w:left="245"/>
              <w:spacing w:before="268" w:line="183" w:lineRule="auto"/>
              <w:rPr/>
            </w:pPr>
            <w:r>
              <w:rPr>
                <w:spacing w:val="-2"/>
              </w:rPr>
              <w:t>3.6</w:t>
            </w:r>
          </w:p>
        </w:tc>
        <w:tc>
          <w:tcPr>
            <w:tcW w:w="3156" w:type="dxa"/>
            <w:vAlign w:val="top"/>
          </w:tcPr>
          <w:p>
            <w:pPr>
              <w:pStyle w:val="TableText"/>
              <w:ind w:left="121" w:right="26" w:firstLine="129"/>
              <w:spacing w:before="90" w:line="282" w:lineRule="auto"/>
              <w:rPr/>
            </w:pPr>
            <w:r>
              <w:rPr/>
              <w:t>定义数据生命周期管理过程的度量项，并用</w:t>
            </w:r>
            <w:r>
              <w:rPr>
                <w:spacing w:val="17"/>
              </w:rPr>
              <w:t xml:space="preserve"> </w:t>
            </w:r>
            <w:r>
              <w:rPr>
                <w:spacing w:val="-1"/>
              </w:rPr>
              <w:t>来指导管理过程</w:t>
            </w:r>
          </w:p>
        </w:tc>
        <w:tc>
          <w:tcPr>
            <w:tcW w:w="3770" w:type="dxa"/>
            <w:vAlign w:val="top"/>
          </w:tcPr>
          <w:p>
            <w:pPr>
              <w:pStyle w:val="TableText"/>
              <w:ind w:left="265"/>
              <w:spacing w:before="230" w:line="219" w:lineRule="auto"/>
              <w:rPr/>
            </w:pPr>
            <w:r>
              <w:rPr/>
              <w:t>●数据生命周期管理度量项</w:t>
            </w:r>
          </w:p>
        </w:tc>
      </w:tr>
    </w:tbl>
    <w:p>
      <w:pPr>
        <w:pStyle w:val="BodyText"/>
        <w:rPr/>
      </w:pPr>
      <w:r/>
    </w:p>
    <w:p>
      <w:pPr>
        <w:sectPr>
          <w:footerReference w:type="default" r:id="rId339"/>
          <w:pgSz w:w="8870" w:h="13400"/>
          <w:pgMar w:top="400" w:right="545" w:bottom="507" w:left="474" w:header="0" w:footer="299" w:gutter="0"/>
        </w:sectPr>
        <w:rPr/>
      </w:pPr>
    </w:p>
    <w:p>
      <w:pPr>
        <w:ind w:left="213"/>
        <w:spacing w:before="285" w:line="219" w:lineRule="auto"/>
        <w:rPr>
          <w:rFonts w:ascii="SimSun" w:hAnsi="SimSun" w:eastAsia="SimSun" w:cs="SimSun"/>
          <w:sz w:val="22"/>
          <w:szCs w:val="22"/>
        </w:rPr>
      </w:pPr>
      <w:r>
        <w:rPr>
          <w:rFonts w:ascii="SimSun" w:hAnsi="SimSun" w:eastAsia="SimSun" w:cs="SimSun"/>
          <w:sz w:val="22"/>
          <w:szCs w:val="22"/>
          <w:b/>
          <w:bCs/>
          <w:spacing w:val="-14"/>
        </w:rPr>
        <w:t>■云端数据治理</w:t>
      </w:r>
    </w:p>
    <w:p>
      <w:pPr>
        <w:ind w:left="570"/>
        <w:spacing w:before="302"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60" w:right="87" w:firstLine="419"/>
        <w:spacing w:before="47"/>
        <w:rPr>
          <w:rFonts w:ascii="SimSun" w:hAnsi="SimSun" w:eastAsia="SimSun" w:cs="SimSun"/>
          <w:sz w:val="22"/>
          <w:szCs w:val="22"/>
        </w:rPr>
      </w:pPr>
      <w:r>
        <w:rPr>
          <w:rFonts w:ascii="SimSun" w:hAnsi="SimSun" w:eastAsia="SimSun" w:cs="SimSun"/>
          <w:sz w:val="22"/>
          <w:szCs w:val="22"/>
          <w:spacing w:val="-2"/>
        </w:rPr>
        <w:t>组织应当根据自身需求制订一些度量指标来衡量数据生命周期管理的规范程</w:t>
      </w:r>
      <w:r>
        <w:rPr>
          <w:rFonts w:ascii="SimSun" w:hAnsi="SimSun" w:eastAsia="SimSun" w:cs="SimSun"/>
          <w:sz w:val="22"/>
          <w:szCs w:val="22"/>
          <w:spacing w:val="2"/>
        </w:rPr>
        <w:t xml:space="preserve"> </w:t>
      </w:r>
      <w:r>
        <w:rPr>
          <w:rFonts w:ascii="SimSun" w:hAnsi="SimSun" w:eastAsia="SimSun" w:cs="SimSun"/>
          <w:sz w:val="22"/>
          <w:szCs w:val="22"/>
          <w:spacing w:val="-10"/>
        </w:rPr>
        <w:t>度，并根据这些度量项指导数据生命周期管理过程。</w:t>
      </w:r>
    </w:p>
    <w:p>
      <w:pPr>
        <w:pStyle w:val="BodyText"/>
        <w:ind w:left="680"/>
        <w:spacing w:before="53" w:line="221" w:lineRule="auto"/>
        <w:rPr>
          <w:rFonts w:ascii="SimHei" w:hAnsi="SimHei" w:eastAsia="SimHei" w:cs="SimHei"/>
          <w:sz w:val="22"/>
          <w:szCs w:val="22"/>
        </w:rPr>
      </w:pPr>
      <w:r>
        <w:rPr>
          <w:sz w:val="22"/>
          <w:szCs w:val="22"/>
          <w:b/>
          <w:bCs/>
          <w:spacing w:val="-8"/>
        </w:rPr>
        <w:t>Level 4:  </w:t>
      </w:r>
      <w:r>
        <w:rPr>
          <w:rFonts w:ascii="SimHei" w:hAnsi="SimHei" w:eastAsia="SimHei" w:cs="SimHei"/>
          <w:sz w:val="22"/>
          <w:szCs w:val="22"/>
          <w:b/>
          <w:bCs/>
          <w:spacing w:val="-8"/>
        </w:rPr>
        <w:t>量化级</w:t>
      </w:r>
    </w:p>
    <w:p>
      <w:pPr>
        <w:spacing w:line="118" w:lineRule="exact"/>
        <w:rPr/>
      </w:pPr>
      <w:r/>
    </w:p>
    <w:tbl>
      <w:tblPr>
        <w:tblStyle w:val="TableNormal"/>
        <w:tblW w:w="7659" w:type="dxa"/>
        <w:tblInd w:w="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75"/>
        <w:gridCol w:w="3750"/>
      </w:tblGrid>
      <w:tr>
        <w:trPr>
          <w:trHeight w:val="361" w:hRule="atLeast"/>
        </w:trPr>
        <w:tc>
          <w:tcPr>
            <w:tcW w:w="734" w:type="dxa"/>
            <w:vAlign w:val="top"/>
          </w:tcPr>
          <w:p>
            <w:pPr>
              <w:pStyle w:val="TableText"/>
              <w:ind w:left="204"/>
              <w:spacing w:before="111" w:line="221" w:lineRule="auto"/>
              <w:rPr/>
            </w:pPr>
            <w:r>
              <w:rPr>
                <w:spacing w:val="-2"/>
              </w:rPr>
              <w:t>序号</w:t>
            </w:r>
          </w:p>
        </w:tc>
        <w:tc>
          <w:tcPr>
            <w:tcW w:w="3175" w:type="dxa"/>
            <w:vAlign w:val="top"/>
          </w:tcPr>
          <w:p>
            <w:pPr>
              <w:pStyle w:val="TableText"/>
              <w:ind w:left="118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6"/>
              <w:spacing w:before="111" w:line="220" w:lineRule="auto"/>
              <w:rPr/>
            </w:pPr>
            <w:r>
              <w:rPr>
                <w:spacing w:val="-5"/>
              </w:rPr>
              <w:t>实</w:t>
            </w:r>
            <w:r>
              <w:rPr>
                <w:spacing w:val="1"/>
              </w:rPr>
              <w:t xml:space="preserve">   </w:t>
            </w:r>
            <w:r>
              <w:rPr>
                <w:spacing w:val="-5"/>
              </w:rPr>
              <w:t>例</w:t>
            </w:r>
          </w:p>
        </w:tc>
      </w:tr>
      <w:tr>
        <w:trPr>
          <w:trHeight w:val="589" w:hRule="atLeast"/>
        </w:trPr>
        <w:tc>
          <w:tcPr>
            <w:tcW w:w="734" w:type="dxa"/>
            <w:vAlign w:val="top"/>
          </w:tcPr>
          <w:p>
            <w:pPr>
              <w:pStyle w:val="TableText"/>
              <w:ind w:left="244"/>
              <w:spacing w:before="258" w:line="184" w:lineRule="auto"/>
              <w:rPr/>
            </w:pPr>
            <w:r>
              <w:rPr>
                <w:spacing w:val="-2"/>
              </w:rPr>
              <w:t>4.1</w:t>
            </w:r>
          </w:p>
        </w:tc>
        <w:tc>
          <w:tcPr>
            <w:tcW w:w="3175" w:type="dxa"/>
            <w:vAlign w:val="top"/>
          </w:tcPr>
          <w:p>
            <w:pPr>
              <w:pStyle w:val="TableText"/>
              <w:ind w:left="121" w:right="63" w:firstLine="139"/>
              <w:spacing w:before="99" w:line="276" w:lineRule="auto"/>
              <w:rPr/>
            </w:pPr>
            <w:r>
              <w:rPr>
                <w:spacing w:val="-1"/>
              </w:rPr>
              <w:t>定义目标和指标，并用来提高数据生命周期</w:t>
            </w:r>
            <w:r>
              <w:rPr>
                <w:spacing w:val="8"/>
              </w:rPr>
              <w:t xml:space="preserve"> </w:t>
            </w:r>
            <w:r>
              <w:rPr>
                <w:spacing w:val="-2"/>
              </w:rPr>
              <w:t>管理过程的有效性</w:t>
            </w:r>
          </w:p>
        </w:tc>
        <w:tc>
          <w:tcPr>
            <w:tcW w:w="3750" w:type="dxa"/>
            <w:vAlign w:val="top"/>
          </w:tcPr>
          <w:p>
            <w:pPr>
              <w:pStyle w:val="TableText"/>
              <w:ind w:left="265"/>
              <w:spacing w:before="220" w:line="219" w:lineRule="auto"/>
              <w:rPr/>
            </w:pPr>
            <w:r>
              <w:rPr/>
              <w:t>●数据生命周期分析标准</w:t>
            </w:r>
          </w:p>
        </w:tc>
      </w:tr>
    </w:tbl>
    <w:p>
      <w:pPr>
        <w:ind w:left="570"/>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60" w:right="85" w:firstLine="419"/>
        <w:spacing w:before="69" w:line="230" w:lineRule="auto"/>
        <w:rPr>
          <w:rFonts w:ascii="SimSun" w:hAnsi="SimSun" w:eastAsia="SimSun" w:cs="SimSun"/>
          <w:sz w:val="22"/>
          <w:szCs w:val="22"/>
        </w:rPr>
      </w:pPr>
      <w:r>
        <w:rPr>
          <w:rFonts w:ascii="SimSun" w:hAnsi="SimSun" w:eastAsia="SimSun" w:cs="SimSun"/>
          <w:sz w:val="22"/>
          <w:szCs w:val="22"/>
          <w:spacing w:val="-8"/>
        </w:rPr>
        <w:t>为确保对数据生命周期的管理有效，组织应使用标准的</w:t>
      </w:r>
      <w:r>
        <w:rPr>
          <w:rFonts w:ascii="SimSun" w:hAnsi="SimSun" w:eastAsia="SimSun" w:cs="SimSun"/>
          <w:sz w:val="22"/>
          <w:szCs w:val="22"/>
          <w:spacing w:val="-9"/>
        </w:rPr>
        <w:t>过程方法，包括编写影</w:t>
      </w:r>
      <w:r>
        <w:rPr>
          <w:rFonts w:ascii="SimSun" w:hAnsi="SimSun" w:eastAsia="SimSun" w:cs="SimSun"/>
          <w:sz w:val="22"/>
          <w:szCs w:val="22"/>
        </w:rPr>
        <w:t xml:space="preserve"> </w:t>
      </w:r>
      <w:r>
        <w:rPr>
          <w:rFonts w:ascii="SimSun" w:hAnsi="SimSun" w:eastAsia="SimSun" w:cs="SimSun"/>
          <w:sz w:val="22"/>
          <w:szCs w:val="22"/>
          <w:spacing w:val="-10"/>
        </w:rPr>
        <w:t>响分析报告，并根据分析结果实施针对接口和数据集变更的相应措施。</w:t>
      </w:r>
    </w:p>
    <w:p>
      <w:pPr>
        <w:spacing w:line="128" w:lineRule="exact"/>
        <w:rPr/>
      </w:pPr>
      <w:r/>
    </w:p>
    <w:tbl>
      <w:tblPr>
        <w:tblStyle w:val="TableNormal"/>
        <w:tblW w:w="766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50"/>
      </w:tblGrid>
      <w:tr>
        <w:trPr>
          <w:trHeight w:val="362" w:hRule="atLeast"/>
        </w:trPr>
        <w:tc>
          <w:tcPr>
            <w:tcW w:w="744" w:type="dxa"/>
            <w:vAlign w:val="top"/>
          </w:tcPr>
          <w:p>
            <w:pPr>
              <w:pStyle w:val="TableText"/>
              <w:ind w:left="215"/>
              <w:spacing w:before="111" w:line="221" w:lineRule="auto"/>
              <w:rPr/>
            </w:pPr>
            <w:r>
              <w:rPr>
                <w:spacing w:val="-2"/>
              </w:rPr>
              <w:t>序号</w:t>
            </w:r>
          </w:p>
        </w:tc>
        <w:tc>
          <w:tcPr>
            <w:tcW w:w="3166" w:type="dxa"/>
            <w:vAlign w:val="top"/>
          </w:tcPr>
          <w:p>
            <w:pPr>
              <w:pStyle w:val="TableText"/>
              <w:ind w:left="1171"/>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4"/>
              <w:spacing w:before="111" w:line="220" w:lineRule="auto"/>
              <w:rPr/>
            </w:pPr>
            <w:r>
              <w:rPr>
                <w:spacing w:val="-5"/>
              </w:rPr>
              <w:t>实</w:t>
            </w:r>
            <w:r>
              <w:rPr>
                <w:spacing w:val="1"/>
              </w:rPr>
              <w:t xml:space="preserve">   </w:t>
            </w:r>
            <w:r>
              <w:rPr>
                <w:spacing w:val="-5"/>
              </w:rPr>
              <w:t>例</w:t>
            </w:r>
          </w:p>
        </w:tc>
      </w:tr>
      <w:tr>
        <w:trPr>
          <w:trHeight w:val="1167" w:hRule="atLeast"/>
        </w:trPr>
        <w:tc>
          <w:tcPr>
            <w:tcW w:w="744" w:type="dxa"/>
            <w:vAlign w:val="top"/>
          </w:tcPr>
          <w:p>
            <w:pPr>
              <w:spacing w:line="248" w:lineRule="auto"/>
              <w:rPr>
                <w:rFonts w:ascii="Arial"/>
                <w:sz w:val="21"/>
              </w:rPr>
            </w:pPr>
            <w:r/>
          </w:p>
          <w:p>
            <w:pPr>
              <w:spacing w:line="248" w:lineRule="auto"/>
              <w:rPr>
                <w:rFonts w:ascii="Arial"/>
                <w:sz w:val="21"/>
              </w:rPr>
            </w:pPr>
            <w:r/>
          </w:p>
          <w:p>
            <w:pPr>
              <w:pStyle w:val="TableText"/>
              <w:ind w:left="245"/>
              <w:spacing w:before="48" w:line="183" w:lineRule="auto"/>
              <w:rPr/>
            </w:pPr>
            <w:r>
              <w:rPr>
                <w:spacing w:val="-2"/>
              </w:rPr>
              <w:t>4.2</w:t>
            </w:r>
          </w:p>
        </w:tc>
        <w:tc>
          <w:tcPr>
            <w:tcW w:w="3166" w:type="dxa"/>
            <w:vAlign w:val="top"/>
          </w:tcPr>
          <w:p>
            <w:pPr>
              <w:spacing w:line="338" w:lineRule="auto"/>
              <w:rPr>
                <w:rFonts w:ascii="Arial"/>
                <w:sz w:val="21"/>
              </w:rPr>
            </w:pPr>
            <w:r/>
          </w:p>
          <w:p>
            <w:pPr>
              <w:pStyle w:val="TableText"/>
              <w:ind w:left="111" w:right="54" w:firstLine="149"/>
              <w:spacing w:before="49" w:line="288" w:lineRule="auto"/>
              <w:rPr/>
            </w:pPr>
            <w:r>
              <w:rPr>
                <w:spacing w:val="-1"/>
              </w:rPr>
              <w:t>定义度量项，并采用统计学方法分析数据生</w:t>
            </w:r>
            <w:r>
              <w:rPr>
                <w:spacing w:val="8"/>
              </w:rPr>
              <w:t xml:space="preserve"> </w:t>
            </w:r>
            <w:r>
              <w:rPr>
                <w:spacing w:val="-1"/>
              </w:rPr>
              <w:t>命周期管理</w:t>
            </w:r>
          </w:p>
        </w:tc>
        <w:tc>
          <w:tcPr>
            <w:tcW w:w="3750" w:type="dxa"/>
            <w:vAlign w:val="top"/>
          </w:tcPr>
          <w:p>
            <w:pPr>
              <w:pStyle w:val="TableText"/>
              <w:ind w:left="245"/>
              <w:spacing w:before="109" w:line="219" w:lineRule="auto"/>
              <w:rPr/>
            </w:pPr>
            <w:r>
              <w:rPr/>
              <w:t>●数据生命周期管理度量项</w:t>
            </w:r>
          </w:p>
          <w:p>
            <w:pPr>
              <w:pStyle w:val="TableText"/>
              <w:ind w:left="245"/>
              <w:spacing w:before="102" w:line="220" w:lineRule="auto"/>
              <w:rPr/>
            </w:pPr>
            <w:r>
              <w:rPr/>
              <w:t>●度量项的记录和结果</w:t>
            </w:r>
          </w:p>
          <w:p>
            <w:pPr>
              <w:pStyle w:val="TableText"/>
              <w:ind w:left="245"/>
              <w:spacing w:before="110" w:line="219" w:lineRule="auto"/>
              <w:rPr/>
            </w:pPr>
            <w:r>
              <w:rPr/>
              <w:t>●数据生命周期管理改进计划</w:t>
            </w:r>
          </w:p>
          <w:p>
            <w:pPr>
              <w:pStyle w:val="TableText"/>
              <w:ind w:left="245"/>
              <w:spacing w:before="102" w:line="219" w:lineRule="auto"/>
              <w:rPr/>
            </w:pPr>
            <w:r>
              <w:rPr/>
              <w:t>●数据生命周期管理改进过程记录</w:t>
            </w:r>
          </w:p>
        </w:tc>
      </w:tr>
    </w:tbl>
    <w:p>
      <w:pPr>
        <w:ind w:left="570"/>
        <w:spacing w:before="17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60" w:right="86" w:firstLine="419"/>
        <w:spacing w:before="50" w:line="243" w:lineRule="auto"/>
        <w:rPr>
          <w:rFonts w:ascii="SimSun" w:hAnsi="SimSun" w:eastAsia="SimSun" w:cs="SimSun"/>
          <w:sz w:val="22"/>
          <w:szCs w:val="22"/>
        </w:rPr>
      </w:pPr>
      <w:r>
        <w:rPr>
          <w:rFonts w:ascii="SimSun" w:hAnsi="SimSun" w:eastAsia="SimSun" w:cs="SimSun"/>
          <w:sz w:val="22"/>
          <w:szCs w:val="22"/>
          <w:spacing w:val="-8"/>
        </w:rPr>
        <w:t>组织应根据自身业务实际情况，使用度量项来改进共</w:t>
      </w:r>
      <w:r>
        <w:rPr>
          <w:rFonts w:ascii="SimSun" w:hAnsi="SimSun" w:eastAsia="SimSun" w:cs="SimSun"/>
          <w:sz w:val="22"/>
          <w:szCs w:val="22"/>
          <w:spacing w:val="-9"/>
        </w:rPr>
        <w:t>享数据在使用过程中出现</w:t>
      </w:r>
      <w:r>
        <w:rPr>
          <w:rFonts w:ascii="SimSun" w:hAnsi="SimSun" w:eastAsia="SimSun" w:cs="SimSun"/>
          <w:sz w:val="22"/>
          <w:szCs w:val="22"/>
        </w:rPr>
        <w:t xml:space="preserve"> </w:t>
      </w:r>
      <w:r>
        <w:rPr>
          <w:rFonts w:ascii="SimSun" w:hAnsi="SimSun" w:eastAsia="SimSun" w:cs="SimSun"/>
          <w:sz w:val="22"/>
          <w:szCs w:val="22"/>
          <w:spacing w:val="-10"/>
        </w:rPr>
        <w:t>的冗余情况，降低数据拥有成本，提高数据访问效率。</w:t>
      </w:r>
    </w:p>
    <w:p>
      <w:pPr>
        <w:ind w:left="680"/>
        <w:spacing w:before="35"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30"/>
          <w:w w:val="101"/>
        </w:rPr>
        <w:t xml:space="preserve"> </w:t>
      </w: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4"/>
        </w:rPr>
        <w:t>优化级</w:t>
      </w:r>
    </w:p>
    <w:p>
      <w:pPr>
        <w:spacing w:line="118" w:lineRule="exact"/>
        <w:rPr/>
      </w:pPr>
      <w:r/>
    </w:p>
    <w:tbl>
      <w:tblPr>
        <w:tblStyle w:val="TableNormal"/>
        <w:tblW w:w="765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50"/>
      </w:tblGrid>
      <w:tr>
        <w:trPr>
          <w:trHeight w:val="353"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1167" w:hRule="atLeast"/>
        </w:trPr>
        <w:tc>
          <w:tcPr>
            <w:tcW w:w="744" w:type="dxa"/>
            <w:vAlign w:val="top"/>
          </w:tcPr>
          <w:p>
            <w:pPr>
              <w:spacing w:line="247" w:lineRule="auto"/>
              <w:rPr>
                <w:rFonts w:ascii="Arial"/>
                <w:sz w:val="21"/>
              </w:rPr>
            </w:pPr>
            <w:r/>
          </w:p>
          <w:p>
            <w:pPr>
              <w:spacing w:line="247" w:lineRule="auto"/>
              <w:rPr>
                <w:rFonts w:ascii="Arial"/>
                <w:sz w:val="21"/>
              </w:rPr>
            </w:pPr>
            <w:r/>
          </w:p>
          <w:p>
            <w:pPr>
              <w:pStyle w:val="TableText"/>
              <w:ind w:left="244"/>
              <w:spacing w:before="49" w:line="184" w:lineRule="auto"/>
              <w:rPr/>
            </w:pPr>
            <w:r>
              <w:rPr>
                <w:spacing w:val="-2"/>
              </w:rPr>
              <w:t>5.1</w:t>
            </w:r>
          </w:p>
        </w:tc>
        <w:tc>
          <w:tcPr>
            <w:tcW w:w="3165" w:type="dxa"/>
            <w:vAlign w:val="top"/>
          </w:tcPr>
          <w:p>
            <w:pPr>
              <w:spacing w:line="337" w:lineRule="auto"/>
              <w:rPr>
                <w:rFonts w:ascii="Arial"/>
                <w:sz w:val="21"/>
              </w:rPr>
            </w:pPr>
            <w:r/>
          </w:p>
          <w:p>
            <w:pPr>
              <w:pStyle w:val="TableText"/>
              <w:ind w:left="90" w:right="43" w:firstLine="179"/>
              <w:spacing w:before="49" w:line="263" w:lineRule="auto"/>
              <w:rPr/>
            </w:pPr>
            <w:r>
              <w:rPr>
                <w:spacing w:val="-1"/>
              </w:rPr>
              <w:t>定期分析度量项和相关方的反馈，从而改进</w:t>
            </w:r>
            <w:r>
              <w:rPr>
                <w:spacing w:val="8"/>
              </w:rPr>
              <w:t xml:space="preserve"> </w:t>
            </w:r>
            <w:r>
              <w:rPr>
                <w:spacing w:val="-1"/>
              </w:rPr>
              <w:t>数据生命周期管理</w:t>
            </w:r>
          </w:p>
        </w:tc>
        <w:tc>
          <w:tcPr>
            <w:tcW w:w="3750" w:type="dxa"/>
            <w:vAlign w:val="top"/>
          </w:tcPr>
          <w:p>
            <w:pPr>
              <w:pStyle w:val="TableText"/>
              <w:ind w:left="255"/>
              <w:spacing w:before="98" w:line="219" w:lineRule="auto"/>
              <w:rPr/>
            </w:pPr>
            <w:r>
              <w:rPr/>
              <w:t>●数据生命周期度量项</w:t>
            </w:r>
          </w:p>
          <w:p>
            <w:pPr>
              <w:pStyle w:val="TableText"/>
              <w:ind w:left="255"/>
              <w:spacing w:before="102" w:line="220" w:lineRule="auto"/>
              <w:rPr/>
            </w:pPr>
            <w:r>
              <w:rPr/>
              <w:t>●相关方反馈</w:t>
            </w:r>
          </w:p>
          <w:p>
            <w:pPr>
              <w:pStyle w:val="TableText"/>
              <w:ind w:left="255"/>
              <w:spacing w:before="110" w:line="219" w:lineRule="auto"/>
              <w:rPr/>
            </w:pPr>
            <w:r>
              <w:rPr/>
              <w:t>●数据生命周期管理改进计划</w:t>
            </w:r>
          </w:p>
          <w:p>
            <w:pPr>
              <w:pStyle w:val="TableText"/>
              <w:ind w:left="255"/>
              <w:spacing w:before="102" w:line="219" w:lineRule="auto"/>
              <w:rPr/>
            </w:pPr>
            <w:r>
              <w:rPr/>
              <w:t>●数据生命周期管理改进过程记录</w:t>
            </w:r>
          </w:p>
        </w:tc>
      </w:tr>
    </w:tbl>
    <w:p>
      <w:pPr>
        <w:ind w:left="570"/>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60" w:right="84" w:firstLine="419"/>
        <w:spacing w:before="48"/>
        <w:rPr>
          <w:rFonts w:ascii="SimSun" w:hAnsi="SimSun" w:eastAsia="SimSun" w:cs="SimSun"/>
          <w:sz w:val="22"/>
          <w:szCs w:val="22"/>
        </w:rPr>
      </w:pPr>
      <w:r>
        <w:rPr>
          <w:rFonts w:ascii="SimSun" w:hAnsi="SimSun" w:eastAsia="SimSun" w:cs="SimSun"/>
          <w:sz w:val="22"/>
          <w:szCs w:val="22"/>
          <w:spacing w:val="-8"/>
        </w:rPr>
        <w:t>组织应根据自身业务实际情况，按照固定周期将数据生</w:t>
      </w:r>
      <w:r>
        <w:rPr>
          <w:rFonts w:ascii="SimSun" w:hAnsi="SimSun" w:eastAsia="SimSun" w:cs="SimSun"/>
          <w:sz w:val="22"/>
          <w:szCs w:val="22"/>
          <w:spacing w:val="-9"/>
        </w:rPr>
        <w:t>命周期的度量项和相关</w:t>
      </w:r>
      <w:r>
        <w:rPr>
          <w:rFonts w:ascii="SimSun" w:hAnsi="SimSun" w:eastAsia="SimSun" w:cs="SimSun"/>
          <w:sz w:val="22"/>
          <w:szCs w:val="22"/>
        </w:rPr>
        <w:t xml:space="preserve"> </w:t>
      </w:r>
      <w:r>
        <w:rPr>
          <w:rFonts w:ascii="SimSun" w:hAnsi="SimSun" w:eastAsia="SimSun" w:cs="SimSun"/>
          <w:sz w:val="22"/>
          <w:szCs w:val="22"/>
          <w:spacing w:val="-12"/>
        </w:rPr>
        <w:t>方反馈作为输入内容进行分析评审。</w:t>
      </w:r>
    </w:p>
    <w:p>
      <w:pPr>
        <w:spacing w:line="125" w:lineRule="exact"/>
        <w:rPr/>
      </w:pPr>
      <w:r/>
    </w:p>
    <w:tbl>
      <w:tblPr>
        <w:tblStyle w:val="TableNormal"/>
        <w:tblW w:w="765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75"/>
        <w:gridCol w:w="3750"/>
      </w:tblGrid>
      <w:tr>
        <w:trPr>
          <w:trHeight w:val="351" w:hRule="atLeast"/>
        </w:trPr>
        <w:tc>
          <w:tcPr>
            <w:tcW w:w="734" w:type="dxa"/>
            <w:vAlign w:val="top"/>
          </w:tcPr>
          <w:p>
            <w:pPr>
              <w:pStyle w:val="TableText"/>
              <w:ind w:left="204"/>
              <w:spacing w:before="101" w:line="221" w:lineRule="auto"/>
              <w:rPr/>
            </w:pPr>
            <w:r>
              <w:rPr>
                <w:spacing w:val="-2"/>
              </w:rPr>
              <w:t>序号</w:t>
            </w:r>
          </w:p>
        </w:tc>
        <w:tc>
          <w:tcPr>
            <w:tcW w:w="3175" w:type="dxa"/>
            <w:vAlign w:val="top"/>
          </w:tcPr>
          <w:p>
            <w:pPr>
              <w:pStyle w:val="TableText"/>
              <w:ind w:left="118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9" w:hRule="atLeast"/>
        </w:trPr>
        <w:tc>
          <w:tcPr>
            <w:tcW w:w="734" w:type="dxa"/>
            <w:vAlign w:val="top"/>
          </w:tcPr>
          <w:p>
            <w:pPr>
              <w:pStyle w:val="TableText"/>
              <w:ind w:left="244"/>
              <w:spacing w:before="268" w:line="183" w:lineRule="auto"/>
              <w:rPr/>
            </w:pPr>
            <w:r>
              <w:rPr>
                <w:spacing w:val="-2"/>
              </w:rPr>
              <w:t>5.2</w:t>
            </w:r>
          </w:p>
        </w:tc>
        <w:tc>
          <w:tcPr>
            <w:tcW w:w="3175" w:type="dxa"/>
            <w:vAlign w:val="top"/>
          </w:tcPr>
          <w:p>
            <w:pPr>
              <w:pStyle w:val="TableText"/>
              <w:ind w:left="90" w:right="203" w:firstLine="179"/>
              <w:spacing w:before="99" w:line="277" w:lineRule="auto"/>
              <w:rPr/>
            </w:pPr>
            <w:r>
              <w:rPr>
                <w:spacing w:val="-1"/>
              </w:rPr>
              <w:t>定期完善数据生命周期度量项并由高管进</w:t>
            </w:r>
            <w:r>
              <w:rPr>
                <w:spacing w:val="7"/>
              </w:rPr>
              <w:t xml:space="preserve"> </w:t>
            </w:r>
            <w:r>
              <w:rPr>
                <w:spacing w:val="4"/>
              </w:rPr>
              <w:t>行评审</w:t>
            </w:r>
          </w:p>
        </w:tc>
        <w:tc>
          <w:tcPr>
            <w:tcW w:w="3750" w:type="dxa"/>
            <w:vAlign w:val="top"/>
          </w:tcPr>
          <w:p>
            <w:pPr>
              <w:pStyle w:val="TableText"/>
              <w:ind w:left="265"/>
              <w:spacing w:before="110" w:line="219" w:lineRule="auto"/>
              <w:rPr/>
            </w:pPr>
            <w:r>
              <w:rPr/>
              <w:t>●数据生命周期度量项</w:t>
            </w:r>
          </w:p>
          <w:p>
            <w:pPr>
              <w:pStyle w:val="TableText"/>
              <w:ind w:left="265"/>
              <w:spacing w:before="71" w:line="219" w:lineRule="auto"/>
              <w:rPr/>
            </w:pPr>
            <w:r>
              <w:rPr/>
              <w:t>●根据统计分析结果向高管进行汇报</w:t>
            </w:r>
          </w:p>
        </w:tc>
      </w:tr>
    </w:tbl>
    <w:p>
      <w:pPr>
        <w:ind w:left="570"/>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680"/>
        <w:spacing w:before="49" w:line="219" w:lineRule="auto"/>
        <w:rPr>
          <w:rFonts w:ascii="SimSun" w:hAnsi="SimSun" w:eastAsia="SimSun" w:cs="SimSun"/>
          <w:sz w:val="22"/>
          <w:szCs w:val="22"/>
        </w:rPr>
      </w:pPr>
      <w:r>
        <w:rPr>
          <w:rFonts w:ascii="SimSun" w:hAnsi="SimSun" w:eastAsia="SimSun" w:cs="SimSun"/>
          <w:sz w:val="22"/>
          <w:szCs w:val="22"/>
          <w:spacing w:val="-8"/>
        </w:rPr>
        <w:t>组织根据自身实际情况，按照固定周期不断更新完善数据生命周期度量项。此</w:t>
      </w:r>
    </w:p>
    <w:p>
      <w:pPr>
        <w:spacing w:line="219" w:lineRule="auto"/>
        <w:sectPr>
          <w:footerReference w:type="default" r:id="rId340"/>
          <w:pgSz w:w="8870" w:h="13400"/>
          <w:pgMar w:top="400" w:right="385" w:bottom="474" w:left="519" w:header="0" w:footer="256" w:gutter="0"/>
        </w:sectPr>
        <w:rPr>
          <w:rFonts w:ascii="SimSun" w:hAnsi="SimSun" w:eastAsia="SimSun" w:cs="SimSun"/>
          <w:sz w:val="22"/>
          <w:szCs w:val="22"/>
        </w:rPr>
      </w:pPr>
    </w:p>
    <w:p>
      <w:pPr>
        <w:ind w:left="5497"/>
        <w:spacing w:before="174" w:line="219" w:lineRule="auto"/>
        <w:rPr>
          <w:rFonts w:ascii="SimSun" w:hAnsi="SimSun" w:eastAsia="SimSun" w:cs="SimSun"/>
          <w:sz w:val="22"/>
          <w:szCs w:val="22"/>
        </w:rPr>
      </w:pPr>
      <w:r>
        <w:rPr>
          <w:rFonts w:ascii="SimSun" w:hAnsi="SimSun" w:eastAsia="SimSun" w:cs="SimSun"/>
          <w:sz w:val="22"/>
          <w:szCs w:val="22"/>
          <w:b/>
          <w:bCs/>
          <w:spacing w:val="-12"/>
        </w:rPr>
        <w:t>第7章■云端数据操作■</w:t>
      </w:r>
    </w:p>
    <w:p>
      <w:pPr>
        <w:ind w:left="15" w:right="228"/>
        <w:spacing w:before="304" w:line="235" w:lineRule="auto"/>
        <w:rPr>
          <w:rFonts w:ascii="SimSun" w:hAnsi="SimSun" w:eastAsia="SimSun" w:cs="SimSun"/>
          <w:sz w:val="22"/>
          <w:szCs w:val="22"/>
        </w:rPr>
      </w:pPr>
      <w:r>
        <w:rPr>
          <w:rFonts w:ascii="SimSun" w:hAnsi="SimSun" w:eastAsia="SimSun" w:cs="SimSun"/>
          <w:sz w:val="22"/>
          <w:szCs w:val="22"/>
          <w:spacing w:val="-8"/>
        </w:rPr>
        <w:t>过程需要组织高层亲自参与评审，以确保符合组织自身实际情况，并与数据</w:t>
      </w:r>
      <w:r>
        <w:rPr>
          <w:rFonts w:ascii="SimSun" w:hAnsi="SimSun" w:eastAsia="SimSun" w:cs="SimSun"/>
          <w:sz w:val="22"/>
          <w:szCs w:val="22"/>
          <w:spacing w:val="-9"/>
        </w:rPr>
        <w:t>管理目</w:t>
      </w:r>
      <w:r>
        <w:rPr>
          <w:rFonts w:ascii="SimSun" w:hAnsi="SimSun" w:eastAsia="SimSun" w:cs="SimSun"/>
          <w:sz w:val="22"/>
          <w:szCs w:val="22"/>
        </w:rPr>
        <w:t xml:space="preserve"> </w:t>
      </w:r>
      <w:r>
        <w:rPr>
          <w:rFonts w:ascii="SimSun" w:hAnsi="SimSun" w:eastAsia="SimSun" w:cs="SimSun"/>
          <w:sz w:val="22"/>
          <w:szCs w:val="22"/>
          <w:spacing w:val="-14"/>
        </w:rPr>
        <w:t>标相一致，最终实现业务目标。</w:t>
      </w:r>
    </w:p>
    <w:p>
      <w:pPr>
        <w:spacing w:line="114" w:lineRule="exact"/>
        <w:rPr/>
      </w:pPr>
      <w:r/>
    </w:p>
    <w:tbl>
      <w:tblPr>
        <w:tblStyle w:val="TableNormal"/>
        <w:tblW w:w="766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65"/>
        <w:gridCol w:w="3770"/>
      </w:tblGrid>
      <w:tr>
        <w:trPr>
          <w:trHeight w:val="361" w:hRule="atLeast"/>
        </w:trPr>
        <w:tc>
          <w:tcPr>
            <w:tcW w:w="734" w:type="dxa"/>
            <w:vAlign w:val="top"/>
          </w:tcPr>
          <w:p>
            <w:pPr>
              <w:pStyle w:val="TableText"/>
              <w:ind w:left="195"/>
              <w:spacing w:before="102" w:line="221" w:lineRule="auto"/>
              <w:rPr>
                <w:sz w:val="16"/>
                <w:szCs w:val="16"/>
              </w:rPr>
            </w:pPr>
            <w:r>
              <w:rPr>
                <w:sz w:val="16"/>
                <w:szCs w:val="16"/>
                <w:spacing w:val="-2"/>
              </w:rPr>
              <w:t>序号</w:t>
            </w:r>
          </w:p>
        </w:tc>
        <w:tc>
          <w:tcPr>
            <w:tcW w:w="3165" w:type="dxa"/>
            <w:vAlign w:val="top"/>
          </w:tcPr>
          <w:p>
            <w:pPr>
              <w:pStyle w:val="TableText"/>
              <w:ind w:left="1170"/>
              <w:spacing w:before="101" w:line="219" w:lineRule="auto"/>
              <w:rPr>
                <w:sz w:val="16"/>
                <w:szCs w:val="16"/>
              </w:rPr>
            </w:pPr>
            <w:r>
              <w:rPr>
                <w:sz w:val="16"/>
                <w:szCs w:val="16"/>
                <w:spacing w:val="-4"/>
              </w:rPr>
              <w:t>等 级 要 求</w:t>
            </w:r>
          </w:p>
        </w:tc>
        <w:tc>
          <w:tcPr>
            <w:tcW w:w="3770" w:type="dxa"/>
            <w:vAlign w:val="top"/>
          </w:tcPr>
          <w:p>
            <w:pPr>
              <w:pStyle w:val="TableText"/>
              <w:ind w:left="157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34" w:type="dxa"/>
            <w:vAlign w:val="top"/>
          </w:tcPr>
          <w:p>
            <w:pPr>
              <w:pStyle w:val="TableText"/>
              <w:ind w:left="235"/>
              <w:spacing w:before="261" w:line="183" w:lineRule="auto"/>
              <w:rPr>
                <w:sz w:val="16"/>
                <w:szCs w:val="16"/>
              </w:rPr>
            </w:pPr>
            <w:r>
              <w:rPr>
                <w:sz w:val="16"/>
                <w:szCs w:val="16"/>
                <w:spacing w:val="-3"/>
              </w:rPr>
              <w:t>5.3</w:t>
            </w:r>
          </w:p>
        </w:tc>
        <w:tc>
          <w:tcPr>
            <w:tcW w:w="3165" w:type="dxa"/>
            <w:vAlign w:val="top"/>
          </w:tcPr>
          <w:p>
            <w:pPr>
              <w:pStyle w:val="TableText"/>
              <w:ind w:left="100" w:firstLine="159"/>
              <w:spacing w:before="91" w:line="265" w:lineRule="auto"/>
              <w:rPr>
                <w:sz w:val="16"/>
                <w:szCs w:val="16"/>
              </w:rPr>
            </w:pPr>
            <w:r>
              <w:rPr>
                <w:sz w:val="16"/>
                <w:szCs w:val="16"/>
              </w:rPr>
              <w:t>组织就数据管理生命周期过程与行业和同</w:t>
            </w:r>
            <w:r>
              <w:rPr>
                <w:sz w:val="16"/>
                <w:szCs w:val="16"/>
                <w:spacing w:val="13"/>
              </w:rPr>
              <w:t xml:space="preserve"> </w:t>
            </w:r>
            <w:r>
              <w:rPr>
                <w:sz w:val="16"/>
                <w:szCs w:val="16"/>
                <w:spacing w:val="-2"/>
              </w:rPr>
              <w:t>行分享经验</w:t>
            </w:r>
          </w:p>
        </w:tc>
        <w:tc>
          <w:tcPr>
            <w:tcW w:w="3770" w:type="dxa"/>
            <w:vAlign w:val="top"/>
          </w:tcPr>
          <w:p>
            <w:pPr>
              <w:pStyle w:val="TableText"/>
              <w:ind w:left="125" w:firstLine="139"/>
              <w:spacing w:before="100" w:line="270" w:lineRule="auto"/>
              <w:rPr>
                <w:sz w:val="16"/>
                <w:szCs w:val="16"/>
              </w:rPr>
            </w:pPr>
            <w:r>
              <w:rPr>
                <w:sz w:val="16"/>
                <w:szCs w:val="16"/>
                <w:spacing w:val="-2"/>
              </w:rPr>
              <w:t>●交流数据生命周期管理过程经验的公共展示、白</w:t>
            </w:r>
            <w:r>
              <w:rPr>
                <w:sz w:val="16"/>
                <w:szCs w:val="16"/>
                <w:spacing w:val="17"/>
              </w:rPr>
              <w:t xml:space="preserve"> </w:t>
            </w:r>
            <w:r>
              <w:rPr>
                <w:sz w:val="16"/>
                <w:szCs w:val="16"/>
                <w:spacing w:val="1"/>
              </w:rPr>
              <w:t>皮书或相似的报告</w:t>
            </w:r>
          </w:p>
        </w:tc>
      </w:tr>
    </w:tbl>
    <w:p>
      <w:pPr>
        <w:ind w:left="325"/>
        <w:spacing w:before="184" w:line="219" w:lineRule="auto"/>
        <w:rPr>
          <w:rFonts w:ascii="SimSun" w:hAnsi="SimSun" w:eastAsia="SimSun" w:cs="SimSun"/>
          <w:sz w:val="22"/>
          <w:szCs w:val="22"/>
        </w:rPr>
      </w:pPr>
      <w:r>
        <w:rPr>
          <w:rFonts w:ascii="SimSun" w:hAnsi="SimSun" w:eastAsia="SimSun" w:cs="SimSun"/>
          <w:sz w:val="22"/>
          <w:szCs w:val="22"/>
          <w:spacing w:val="-10"/>
        </w:rPr>
        <w:t>【成熟度等级说明】</w:t>
      </w:r>
    </w:p>
    <w:p>
      <w:pPr>
        <w:ind w:left="15" w:right="237" w:firstLine="419"/>
        <w:spacing w:before="47" w:line="241" w:lineRule="auto"/>
        <w:rPr>
          <w:rFonts w:ascii="SimSun" w:hAnsi="SimSun" w:eastAsia="SimSun" w:cs="SimSun"/>
          <w:sz w:val="22"/>
          <w:szCs w:val="22"/>
        </w:rPr>
      </w:pPr>
      <w:r>
        <w:rPr>
          <w:rFonts w:ascii="SimSun" w:hAnsi="SimSun" w:eastAsia="SimSun" w:cs="SimSun"/>
          <w:sz w:val="22"/>
          <w:szCs w:val="22"/>
          <w:spacing w:val="-2"/>
        </w:rPr>
        <w:t>组织在数据生命周期活动上应该积极分享实践成功经验，为行业最佳实践做</w:t>
      </w:r>
      <w:r>
        <w:rPr>
          <w:rFonts w:ascii="SimSun" w:hAnsi="SimSun" w:eastAsia="SimSun" w:cs="SimSun"/>
          <w:sz w:val="22"/>
          <w:szCs w:val="22"/>
          <w:spacing w:val="6"/>
        </w:rPr>
        <w:t xml:space="preserve"> </w:t>
      </w:r>
      <w:r>
        <w:rPr>
          <w:rFonts w:ascii="SimSun" w:hAnsi="SimSun" w:eastAsia="SimSun" w:cs="SimSun"/>
          <w:sz w:val="22"/>
          <w:szCs w:val="22"/>
          <w:spacing w:val="-10"/>
        </w:rPr>
        <w:t>贡献。</w:t>
      </w:r>
    </w:p>
    <w:p>
      <w:pPr>
        <w:ind w:left="438"/>
        <w:spacing w:before="202" w:line="222" w:lineRule="auto"/>
        <w:outlineLvl w:val="4"/>
        <w:rPr>
          <w:rFonts w:ascii="SimHei" w:hAnsi="SimHei" w:eastAsia="SimHei" w:cs="SimHei"/>
          <w:sz w:val="22"/>
          <w:szCs w:val="22"/>
        </w:rPr>
      </w:pPr>
      <w:r>
        <w:rPr>
          <w:rFonts w:ascii="SimHei" w:hAnsi="SimHei" w:eastAsia="SimHei" w:cs="SimHei"/>
          <w:sz w:val="22"/>
          <w:szCs w:val="22"/>
          <w:b/>
          <w:bCs/>
        </w:rPr>
        <w:t>4.</w:t>
      </w:r>
      <w:r>
        <w:rPr>
          <w:rFonts w:ascii="SimHei" w:hAnsi="SimHei" w:eastAsia="SimHei" w:cs="SimHei"/>
          <w:sz w:val="22"/>
          <w:szCs w:val="22"/>
          <w:spacing w:val="-26"/>
        </w:rPr>
        <w:t xml:space="preserve"> </w:t>
      </w:r>
      <w:r>
        <w:rPr>
          <w:rFonts w:ascii="SimHei" w:hAnsi="SimHei" w:eastAsia="SimHei" w:cs="SimHei"/>
          <w:sz w:val="22"/>
          <w:szCs w:val="22"/>
          <w:b/>
          <w:bCs/>
        </w:rPr>
        <w:t>实施案例</w:t>
      </w:r>
    </w:p>
    <w:p>
      <w:pPr>
        <w:ind w:left="435"/>
        <w:spacing w:before="211" w:line="219" w:lineRule="auto"/>
        <w:rPr>
          <w:rFonts w:ascii="SimSun" w:hAnsi="SimSun" w:eastAsia="SimSun" w:cs="SimSun"/>
          <w:sz w:val="22"/>
          <w:szCs w:val="22"/>
        </w:rPr>
      </w:pPr>
      <w:r>
        <w:rPr>
          <w:rFonts w:ascii="SimSun" w:hAnsi="SimSun" w:eastAsia="SimSun" w:cs="SimSun"/>
          <w:sz w:val="22"/>
          <w:szCs w:val="22"/>
          <w:spacing w:val="2"/>
        </w:rPr>
        <w:t>(1)文件名称列表</w:t>
      </w:r>
    </w:p>
    <w:p>
      <w:pPr>
        <w:ind w:left="325"/>
        <w:spacing w:before="49" w:line="219" w:lineRule="auto"/>
        <w:rPr>
          <w:rFonts w:ascii="SimSun" w:hAnsi="SimSun" w:eastAsia="SimSun" w:cs="SimSun"/>
          <w:sz w:val="22"/>
          <w:szCs w:val="22"/>
        </w:rPr>
      </w:pPr>
      <w:r>
        <w:rPr>
          <w:rFonts w:ascii="SimSun" w:hAnsi="SimSun" w:eastAsia="SimSun" w:cs="SimSun"/>
          <w:sz w:val="22"/>
          <w:szCs w:val="22"/>
          <w:spacing w:val="-10"/>
        </w:rPr>
        <w:t>《数据备份与恢复管理制度》</w:t>
      </w:r>
    </w:p>
    <w:p>
      <w:pPr>
        <w:ind w:left="435"/>
        <w:spacing w:before="68" w:line="309" w:lineRule="exact"/>
        <w:rPr>
          <w:rFonts w:ascii="SimSun" w:hAnsi="SimSun" w:eastAsia="SimSun" w:cs="SimSun"/>
          <w:sz w:val="22"/>
          <w:szCs w:val="22"/>
        </w:rPr>
      </w:pPr>
      <w:r>
        <w:rPr>
          <w:rFonts w:ascii="SimSun" w:hAnsi="SimSun" w:eastAsia="SimSun" w:cs="SimSun"/>
          <w:sz w:val="22"/>
          <w:szCs w:val="22"/>
          <w:spacing w:val="2"/>
          <w:position w:val="6"/>
        </w:rPr>
        <w:t>(2)记录文件列表</w:t>
      </w:r>
    </w:p>
    <w:p>
      <w:pPr>
        <w:ind w:left="325"/>
        <w:spacing w:before="1" w:line="217" w:lineRule="auto"/>
        <w:rPr>
          <w:rFonts w:ascii="SimSun" w:hAnsi="SimSun" w:eastAsia="SimSun" w:cs="SimSun"/>
          <w:sz w:val="22"/>
          <w:szCs w:val="22"/>
        </w:rPr>
      </w:pPr>
      <w:r>
        <w:rPr>
          <w:rFonts w:ascii="SimSun" w:hAnsi="SimSun" w:eastAsia="SimSun" w:cs="SimSun"/>
          <w:sz w:val="22"/>
          <w:szCs w:val="22"/>
          <w:spacing w:val="-11"/>
        </w:rPr>
        <w:t>《数据依赖报告》</w:t>
      </w:r>
    </w:p>
    <w:p>
      <w:pPr>
        <w:ind w:left="435"/>
        <w:spacing w:before="53" w:line="220" w:lineRule="auto"/>
        <w:rPr>
          <w:rFonts w:ascii="SimSun" w:hAnsi="SimSun" w:eastAsia="SimSun" w:cs="SimSun"/>
          <w:sz w:val="22"/>
          <w:szCs w:val="22"/>
        </w:rPr>
      </w:pPr>
      <w:r>
        <w:rPr>
          <w:rFonts w:ascii="SimSun" w:hAnsi="SimSun" w:eastAsia="SimSun" w:cs="SimSun"/>
          <w:sz w:val="22"/>
          <w:szCs w:val="22"/>
          <w:spacing w:val="4"/>
        </w:rPr>
        <w:t>(3)实施案例</w:t>
      </w:r>
    </w:p>
    <w:p>
      <w:pPr>
        <w:spacing w:line="103" w:lineRule="exact"/>
        <w:rPr/>
      </w:pPr>
      <w:r/>
    </w:p>
    <w:tbl>
      <w:tblPr>
        <w:tblStyle w:val="TableNormal"/>
        <w:tblW w:w="765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5910" w:hRule="atLeast"/>
        </w:trPr>
        <w:tc>
          <w:tcPr>
            <w:tcW w:w="7659" w:type="dxa"/>
            <w:vAlign w:val="top"/>
          </w:tcPr>
          <w:p>
            <w:pPr>
              <w:pStyle w:val="TableText"/>
              <w:ind w:left="2994"/>
              <w:spacing w:before="81" w:line="219" w:lineRule="auto"/>
              <w:rPr/>
            </w:pPr>
            <w:r>
              <w:rPr>
                <w:spacing w:val="-1"/>
              </w:rPr>
              <w:t>数据备份与恢复管理制度</w:t>
            </w:r>
          </w:p>
          <w:p>
            <w:pPr>
              <w:pStyle w:val="TableText"/>
              <w:ind w:left="265"/>
              <w:spacing w:before="92" w:line="220" w:lineRule="auto"/>
              <w:rPr/>
            </w:pPr>
            <w:r>
              <w:rPr>
                <w:spacing w:val="-9"/>
              </w:rPr>
              <w:t>1</w:t>
            </w:r>
            <w:r>
              <w:rPr>
                <w:spacing w:val="42"/>
              </w:rPr>
              <w:t xml:space="preserve"> </w:t>
            </w:r>
            <w:r>
              <w:rPr>
                <w:spacing w:val="-9"/>
              </w:rPr>
              <w:t>总</w:t>
            </w:r>
            <w:r>
              <w:rPr>
                <w:spacing w:val="41"/>
              </w:rPr>
              <w:t xml:space="preserve"> </w:t>
            </w:r>
            <w:r>
              <w:rPr>
                <w:spacing w:val="-9"/>
              </w:rPr>
              <w:t>则</w:t>
            </w:r>
          </w:p>
          <w:p>
            <w:pPr>
              <w:pStyle w:val="TableText"/>
              <w:ind w:left="265"/>
              <w:spacing w:before="123" w:line="222" w:lineRule="auto"/>
              <w:rPr/>
            </w:pPr>
            <w:r>
              <w:rPr>
                <w:spacing w:val="-5"/>
              </w:rPr>
              <w:t>1.1</w:t>
            </w:r>
            <w:r>
              <w:rPr>
                <w:spacing w:val="23"/>
              </w:rPr>
              <w:t xml:space="preserve">  </w:t>
            </w:r>
            <w:r>
              <w:rPr>
                <w:spacing w:val="-5"/>
              </w:rPr>
              <w:t>目的</w:t>
            </w:r>
          </w:p>
          <w:p>
            <w:pPr>
              <w:pStyle w:val="TableText"/>
              <w:ind w:left="114" w:right="191" w:firstLine="150"/>
              <w:spacing w:before="87" w:line="281" w:lineRule="auto"/>
              <w:rPr/>
            </w:pPr>
            <w:r>
              <w:rPr/>
              <w:t>为了规范公司数据备份清单的建立、备份的职责、备份的检查、以及系统受到破坏后的恢</w:t>
            </w:r>
            <w:r>
              <w:rPr>
                <w:spacing w:val="-1"/>
              </w:rPr>
              <w:t>复工作，合理防范计</w:t>
            </w:r>
            <w:r>
              <w:rPr/>
              <w:t xml:space="preserve"> </w:t>
            </w:r>
            <w:r>
              <w:rPr>
                <w:spacing w:val="-1"/>
              </w:rPr>
              <w:t>算机及信息系统使用过程中的风险，特制订本制度。</w:t>
            </w:r>
          </w:p>
          <w:p>
            <w:pPr>
              <w:pStyle w:val="TableText"/>
              <w:ind w:left="265"/>
              <w:spacing w:before="113" w:line="220" w:lineRule="auto"/>
              <w:rPr/>
            </w:pPr>
            <w:r>
              <w:rPr>
                <w:spacing w:val="1"/>
              </w:rPr>
              <w:t>1.2适用范围</w:t>
            </w:r>
          </w:p>
          <w:p>
            <w:pPr>
              <w:pStyle w:val="TableText"/>
              <w:ind w:left="265"/>
              <w:spacing w:before="109" w:line="219" w:lineRule="auto"/>
              <w:rPr/>
            </w:pPr>
            <w:r>
              <w:rPr/>
              <w:t>本制度适用范围为公司总部及下属所有分(子)公司所有数据的备份与</w:t>
            </w:r>
            <w:r>
              <w:rPr>
                <w:spacing w:val="-1"/>
              </w:rPr>
              <w:t>恢复管理工作。</w:t>
            </w:r>
          </w:p>
          <w:p>
            <w:pPr>
              <w:pStyle w:val="TableText"/>
              <w:ind w:left="265"/>
              <w:spacing w:before="114" w:line="220" w:lineRule="auto"/>
              <w:rPr/>
            </w:pPr>
            <w:r>
              <w:rPr>
                <w:spacing w:val="-7"/>
              </w:rPr>
              <w:t>2</w:t>
            </w:r>
            <w:r>
              <w:rPr>
                <w:spacing w:val="-23"/>
              </w:rPr>
              <w:t xml:space="preserve"> </w:t>
            </w:r>
            <w:r>
              <w:rPr>
                <w:spacing w:val="-7"/>
              </w:rPr>
              <w:t>职</w:t>
            </w:r>
            <w:r>
              <w:rPr>
                <w:spacing w:val="-18"/>
              </w:rPr>
              <w:t xml:space="preserve"> </w:t>
            </w:r>
            <w:r>
              <w:rPr>
                <w:spacing w:val="-7"/>
              </w:rPr>
              <w:t>责</w:t>
            </w:r>
            <w:r>
              <w:rPr>
                <w:spacing w:val="-22"/>
              </w:rPr>
              <w:t xml:space="preserve"> </w:t>
            </w:r>
            <w:r>
              <w:rPr>
                <w:spacing w:val="-7"/>
              </w:rPr>
              <w:t>分</w:t>
            </w:r>
            <w:r>
              <w:rPr>
                <w:spacing w:val="-23"/>
              </w:rPr>
              <w:t xml:space="preserve"> </w:t>
            </w:r>
            <w:r>
              <w:rPr>
                <w:spacing w:val="-7"/>
              </w:rPr>
              <w:t>工</w:t>
            </w:r>
          </w:p>
          <w:p>
            <w:pPr>
              <w:pStyle w:val="TableText"/>
              <w:ind w:left="265"/>
              <w:spacing w:before="101" w:line="219" w:lineRule="auto"/>
              <w:rPr/>
            </w:pPr>
            <w:r>
              <w:rPr/>
              <w:t>2.1  信息管理室是公司信息备份的归口管理部门，负责公司所有重要信息备份的管理和协</w:t>
            </w:r>
            <w:r>
              <w:rPr>
                <w:spacing w:val="-1"/>
              </w:rPr>
              <w:t>调。</w:t>
            </w:r>
          </w:p>
          <w:p>
            <w:pPr>
              <w:pStyle w:val="TableText"/>
              <w:ind w:left="104" w:right="266" w:firstLine="160"/>
              <w:spacing w:before="92" w:line="282" w:lineRule="auto"/>
              <w:rPr/>
            </w:pPr>
            <w:r>
              <w:rPr/>
              <w:t>2.2各部门负责人是确定本部门重要备份数据的责任人，部门负责人应定期向信息管理室</w:t>
            </w:r>
            <w:r>
              <w:rPr>
                <w:spacing w:val="-1"/>
              </w:rPr>
              <w:t>提供本部门重要数据</w:t>
            </w:r>
            <w:r>
              <w:rPr/>
              <w:t xml:space="preserve"> </w:t>
            </w:r>
            <w:r>
              <w:rPr>
                <w:spacing w:val="-1"/>
              </w:rPr>
              <w:t>的备份或最新的备份。</w:t>
            </w:r>
          </w:p>
          <w:p>
            <w:pPr>
              <w:pStyle w:val="TableText"/>
              <w:ind w:left="265"/>
              <w:spacing w:before="101" w:line="219" w:lineRule="auto"/>
              <w:rPr/>
            </w:pPr>
            <w:r>
              <w:rPr>
                <w:spacing w:val="-1"/>
              </w:rPr>
              <w:t>3备份清单建立和备份方式</w:t>
            </w:r>
          </w:p>
          <w:p>
            <w:pPr>
              <w:pStyle w:val="TableText"/>
              <w:ind w:left="124" w:right="117" w:firstLine="140"/>
              <w:spacing w:before="103" w:line="279" w:lineRule="auto"/>
              <w:rPr/>
            </w:pPr>
            <w:r>
              <w:rPr/>
              <w:t>3.1  各部门人员将需要备份的数据清单填到《部门数据备份清单》中，然后提交到信息</w:t>
            </w:r>
            <w:r>
              <w:rPr>
                <w:spacing w:val="-1"/>
              </w:rPr>
              <w:t>管理室。信息管理室汇</w:t>
            </w:r>
            <w:r>
              <w:rPr/>
              <w:t xml:space="preserve"> </w:t>
            </w:r>
            <w:r>
              <w:rPr/>
              <w:t>总各部门上报的《部门数据备份清单》,并核对网络上的存储数据，形成《公司数据备份清单》。</w:t>
            </w:r>
          </w:p>
          <w:p>
            <w:pPr>
              <w:pStyle w:val="TableText"/>
              <w:ind w:left="265"/>
              <w:spacing w:before="86" w:line="219" w:lineRule="auto"/>
              <w:rPr/>
            </w:pPr>
            <w:r>
              <w:rPr/>
              <w:t>3.2根据公司情况和《公司数据备份清单》将数据分为一般数据和重要数据两种。</w:t>
            </w:r>
          </w:p>
          <w:p>
            <w:pPr>
              <w:pStyle w:val="TableText"/>
              <w:ind w:left="265"/>
              <w:spacing w:before="131" w:line="219" w:lineRule="auto"/>
              <w:rPr/>
            </w:pPr>
            <w:r>
              <w:rPr/>
              <w:t>3.2.1一般数据主要指：个人或部门的各种信息及办公文档、电子邮件、人事档案、考勤管理、监控数据</w:t>
            </w:r>
            <w:r>
              <w:rPr>
                <w:spacing w:val="-1"/>
              </w:rPr>
              <w:t>等。</w:t>
            </w:r>
          </w:p>
          <w:p>
            <w:pPr>
              <w:pStyle w:val="TableText"/>
              <w:ind w:left="265"/>
              <w:spacing w:before="102" w:line="219" w:lineRule="auto"/>
              <w:rPr/>
            </w:pPr>
            <w:r>
              <w:rPr/>
              <w:t>3.2.2重要数据主要包括：各部门日常表单记录、生产数据、财务数据、技术部门图纸、标书、合同等。</w:t>
            </w:r>
          </w:p>
          <w:p>
            <w:pPr>
              <w:pStyle w:val="TableText"/>
              <w:ind w:left="124" w:right="127" w:firstLine="130"/>
              <w:spacing w:before="103" w:line="282" w:lineRule="auto"/>
              <w:rPr/>
            </w:pPr>
            <w:r>
              <w:rPr/>
              <w:t>3.3  备份方式：信息管理室负责根据数据的重要性及保存期限等情况，为各类数据设定</w:t>
            </w:r>
            <w:r>
              <w:rPr>
                <w:spacing w:val="-1"/>
              </w:rPr>
              <w:t>适当的备份方式。备份</w:t>
            </w:r>
            <w:r>
              <w:rPr/>
              <w:t xml:space="preserve"> </w:t>
            </w:r>
            <w:r>
              <w:rPr>
                <w:spacing w:val="-1"/>
              </w:rPr>
              <w:t>方式有服务器备份、在线备份、光盘自动归档备份等。</w:t>
            </w:r>
          </w:p>
          <w:p>
            <w:pPr>
              <w:pStyle w:val="TableText"/>
              <w:ind w:left="114" w:right="267" w:firstLine="150"/>
              <w:spacing w:before="102" w:line="282" w:lineRule="auto"/>
              <w:rPr/>
            </w:pPr>
            <w:r>
              <w:rPr/>
              <w:t>3.4一般数据由各部门每月自行备份，部门负责人整理归档后刻盘，信息管理员每半年</w:t>
            </w:r>
            <w:r>
              <w:rPr>
                <w:spacing w:val="-1"/>
              </w:rPr>
              <w:t>对一般数据资料进行选</w:t>
            </w:r>
            <w:r>
              <w:rPr/>
              <w:t xml:space="preserve"> </w:t>
            </w:r>
            <w:r>
              <w:rPr>
                <w:spacing w:val="-1"/>
              </w:rPr>
              <w:t>择性收集归档。</w:t>
            </w:r>
          </w:p>
        </w:tc>
      </w:tr>
    </w:tbl>
    <w:p>
      <w:pPr>
        <w:pStyle w:val="BodyText"/>
        <w:rPr/>
      </w:pPr>
      <w:r/>
    </w:p>
    <w:p>
      <w:pPr>
        <w:sectPr>
          <w:footerReference w:type="default" r:id="rId341"/>
          <w:pgSz w:w="8870" w:h="13400"/>
          <w:pgMar w:top="400" w:right="581" w:bottom="604" w:left="414" w:header="0" w:footer="386" w:gutter="0"/>
        </w:sectPr>
        <w:rPr/>
      </w:pPr>
    </w:p>
    <w:p>
      <w:pPr>
        <w:ind w:left="139"/>
        <w:spacing w:before="140"/>
        <w:rPr>
          <w:rFonts w:ascii="SimSun" w:hAnsi="SimSun" w:eastAsia="SimSun" w:cs="SimSun"/>
          <w:sz w:val="20"/>
          <w:szCs w:val="20"/>
        </w:rPr>
      </w:pPr>
      <w:r>
        <w:rPr>
          <w:rFonts w:ascii="SimSun" w:hAnsi="SimSun" w:eastAsia="SimSun" w:cs="SimSun"/>
          <w:sz w:val="20"/>
          <w:szCs w:val="20"/>
          <w:position w:val="-9"/>
        </w:rPr>
        <w:drawing>
          <wp:inline distT="0" distB="0" distL="0" distR="0">
            <wp:extent cx="6365" cy="222255"/>
            <wp:effectExtent l="0" t="0" r="0" b="0"/>
            <wp:docPr id="230" name="IM 230"/>
            <wp:cNvGraphicFramePr/>
            <a:graphic>
              <a:graphicData uri="http://schemas.openxmlformats.org/drawingml/2006/picture">
                <pic:pic>
                  <pic:nvPicPr>
                    <pic:cNvPr id="230" name="IM 230"/>
                    <pic:cNvPicPr/>
                  </pic:nvPicPr>
                  <pic:blipFill>
                    <a:blip r:embed="rId343"/>
                    <a:stretch>
                      <a:fillRect/>
                    </a:stretch>
                  </pic:blipFill>
                  <pic:spPr>
                    <a:xfrm rot="0">
                      <a:off x="0" y="0"/>
                      <a:ext cx="6365" cy="222255"/>
                    </a:xfrm>
                    <a:prstGeom prst="rect">
                      <a:avLst/>
                    </a:prstGeom>
                  </pic:spPr>
                </pic:pic>
              </a:graphicData>
            </a:graphic>
          </wp:inline>
        </w:drawing>
      </w:r>
      <w:r>
        <w:rPr>
          <w:rFonts w:ascii="SimSun" w:hAnsi="SimSun" w:eastAsia="SimSun" w:cs="SimSun"/>
          <w:sz w:val="20"/>
          <w:szCs w:val="20"/>
          <w:spacing w:val="-2"/>
        </w:rPr>
        <w:t xml:space="preserve"> </w:t>
      </w:r>
      <w:r>
        <w:rPr>
          <w:rFonts w:ascii="SimSun" w:hAnsi="SimSun" w:eastAsia="SimSun" w:cs="SimSun"/>
          <w:sz w:val="20"/>
          <w:szCs w:val="20"/>
          <w:b/>
          <w:bCs/>
          <w:spacing w:val="-17"/>
        </w:rPr>
        <w:t>■云端数据治理■</w:t>
      </w:r>
    </w:p>
    <w:p>
      <w:pPr>
        <w:pStyle w:val="BodyText"/>
        <w:spacing w:line="242" w:lineRule="auto"/>
        <w:rPr/>
      </w:pPr>
      <w:r/>
    </w:p>
    <w:p>
      <w:pPr>
        <w:ind w:left="7199"/>
        <w:spacing w:before="65" w:line="204" w:lineRule="auto"/>
        <w:rPr>
          <w:rFonts w:ascii="SimHei" w:hAnsi="SimHei" w:eastAsia="SimHei" w:cs="SimHei"/>
          <w:sz w:val="20"/>
          <w:szCs w:val="20"/>
        </w:rPr>
      </w:pPr>
      <w:r>
        <w:rPr>
          <w:rFonts w:ascii="SimHei" w:hAnsi="SimHei" w:eastAsia="SimHei" w:cs="SimHei"/>
          <w:sz w:val="20"/>
          <w:szCs w:val="20"/>
          <w:spacing w:val="-2"/>
        </w:rPr>
        <w:t>续表</w:t>
      </w:r>
    </w:p>
    <w:tbl>
      <w:tblPr>
        <w:tblStyle w:val="TableNormal"/>
        <w:tblW w:w="7750" w:type="dxa"/>
        <w:tblInd w:w="259" w:type="dxa"/>
        <w:tblLayout w:type="fixed"/>
        <w:tblBorders>
          <w:left w:val="single" w:color="000000" w:sz="8" w:space="0"/>
          <w:bottom w:val="single" w:color="000000" w:sz="4" w:space="0"/>
          <w:top w:val="single" w:color="000000" w:sz="4" w:space="0"/>
        </w:tblBorders>
      </w:tblPr>
      <w:tblGrid>
        <w:gridCol w:w="7750"/>
      </w:tblGrid>
      <w:tr>
        <w:trPr>
          <w:trHeight w:val="10989" w:hRule="atLeast"/>
        </w:trPr>
        <w:tc>
          <w:tcPr>
            <w:tcW w:w="7750" w:type="dxa"/>
            <w:vAlign w:val="top"/>
          </w:tcPr>
          <w:p>
            <w:pPr>
              <w:pStyle w:val="TableText"/>
              <w:ind w:left="120" w:right="199" w:firstLine="129"/>
              <w:spacing w:before="85" w:line="289" w:lineRule="auto"/>
              <w:rPr>
                <w:sz w:val="16"/>
                <w:szCs w:val="16"/>
              </w:rPr>
            </w:pPr>
            <w:r>
              <w:rPr>
                <w:sz w:val="16"/>
                <w:szCs w:val="16"/>
                <w:spacing w:val="-6"/>
              </w:rPr>
              <w:t>3.5</w:t>
            </w:r>
            <w:r>
              <w:rPr>
                <w:sz w:val="16"/>
                <w:szCs w:val="16"/>
                <w:spacing w:val="69"/>
                <w:w w:val="101"/>
              </w:rPr>
              <w:t xml:space="preserve"> </w:t>
            </w:r>
            <w:r>
              <w:rPr>
                <w:sz w:val="16"/>
                <w:szCs w:val="16"/>
                <w:spacing w:val="-6"/>
              </w:rPr>
              <w:t>重要数据由各部门和信息管理室共同负责，实行双重备份和异地备份机制，重要数据每日0:00进行自动</w:t>
            </w:r>
            <w:r>
              <w:rPr>
                <w:sz w:val="16"/>
                <w:szCs w:val="16"/>
              </w:rPr>
              <w:t xml:space="preserve"> </w:t>
            </w:r>
            <w:r>
              <w:rPr>
                <w:sz w:val="16"/>
                <w:szCs w:val="16"/>
                <w:spacing w:val="-9"/>
              </w:rPr>
              <w:t>备份。服务器的数据库由信息管理员在服务</w:t>
            </w:r>
            <w:r>
              <w:rPr>
                <w:sz w:val="16"/>
                <w:szCs w:val="16"/>
                <w:spacing w:val="-10"/>
              </w:rPr>
              <w:t>器硬盘每周做软件备份。当服务器、交换机及其他系统主要设备配置 </w:t>
            </w:r>
            <w:r>
              <w:rPr>
                <w:sz w:val="16"/>
                <w:szCs w:val="16"/>
                <w:spacing w:val="-9"/>
              </w:rPr>
              <w:t>更新变动，以及服务器应用系统、软件修改后均要在改动当天进</w:t>
            </w:r>
            <w:r>
              <w:rPr>
                <w:sz w:val="16"/>
                <w:szCs w:val="16"/>
                <w:spacing w:val="-10"/>
              </w:rPr>
              <w:t>行备份。</w:t>
            </w:r>
          </w:p>
          <w:p>
            <w:pPr>
              <w:pStyle w:val="TableText"/>
              <w:ind w:left="120" w:right="195" w:firstLine="129"/>
              <w:spacing w:before="80" w:line="276" w:lineRule="auto"/>
              <w:rPr>
                <w:sz w:val="16"/>
                <w:szCs w:val="16"/>
              </w:rPr>
            </w:pPr>
            <w:r>
              <w:rPr>
                <w:sz w:val="16"/>
                <w:szCs w:val="16"/>
                <w:spacing w:val="-4"/>
              </w:rPr>
              <w:t>3.6</w:t>
            </w:r>
            <w:r>
              <w:rPr>
                <w:sz w:val="16"/>
                <w:szCs w:val="16"/>
                <w:spacing w:val="54"/>
              </w:rPr>
              <w:t xml:space="preserve"> </w:t>
            </w:r>
            <w:r>
              <w:rPr>
                <w:sz w:val="16"/>
                <w:szCs w:val="16"/>
                <w:spacing w:val="-4"/>
              </w:rPr>
              <w:t>为了加大数据备份的相对安全信息管理室应定期(每年至少1次)通过服务器或光盘做永久性</w:t>
            </w:r>
            <w:r>
              <w:rPr>
                <w:sz w:val="16"/>
                <w:szCs w:val="16"/>
                <w:spacing w:val="-5"/>
              </w:rPr>
              <w:t>备份。不同</w:t>
            </w:r>
            <w:r>
              <w:rPr>
                <w:sz w:val="16"/>
                <w:szCs w:val="16"/>
              </w:rPr>
              <w:t xml:space="preserve"> </w:t>
            </w:r>
            <w:r>
              <w:rPr>
                <w:sz w:val="16"/>
                <w:szCs w:val="16"/>
                <w:spacing w:val="-9"/>
              </w:rPr>
              <w:t>时期的各备份介质做好相应的编号及相关说明，并移交公司档案</w:t>
            </w:r>
            <w:r>
              <w:rPr>
                <w:sz w:val="16"/>
                <w:szCs w:val="16"/>
                <w:spacing w:val="-10"/>
              </w:rPr>
              <w:t>室存档。</w:t>
            </w:r>
          </w:p>
          <w:p>
            <w:pPr>
              <w:pStyle w:val="TableText"/>
              <w:ind w:left="120" w:right="209" w:firstLine="129"/>
              <w:spacing w:before="100" w:line="271" w:lineRule="auto"/>
              <w:rPr>
                <w:sz w:val="16"/>
                <w:szCs w:val="16"/>
              </w:rPr>
            </w:pPr>
            <w:r>
              <w:rPr>
                <w:sz w:val="16"/>
                <w:szCs w:val="16"/>
                <w:spacing w:val="-9"/>
              </w:rPr>
              <w:t>3.7  自动备份失败情况下设定邮件通知，并采取手工备份或</w:t>
            </w:r>
            <w:r>
              <w:rPr>
                <w:sz w:val="16"/>
                <w:szCs w:val="16"/>
                <w:spacing w:val="-10"/>
              </w:rPr>
              <w:t>其他方式及时备份；定期对备份日志的进行检查，</w:t>
            </w:r>
            <w:r>
              <w:rPr>
                <w:sz w:val="16"/>
                <w:szCs w:val="16"/>
              </w:rPr>
              <w:t xml:space="preserve"> </w:t>
            </w:r>
            <w:r>
              <w:rPr>
                <w:sz w:val="16"/>
                <w:szCs w:val="16"/>
                <w:spacing w:val="-6"/>
              </w:rPr>
              <w:t>对重要数据实现异地备份(或备份介质异地存放)。</w:t>
            </w:r>
          </w:p>
          <w:p>
            <w:pPr>
              <w:pStyle w:val="TableText"/>
              <w:ind w:left="250"/>
              <w:spacing w:before="90" w:line="219" w:lineRule="auto"/>
              <w:rPr>
                <w:sz w:val="16"/>
                <w:szCs w:val="16"/>
              </w:rPr>
            </w:pPr>
            <w:r>
              <w:rPr>
                <w:sz w:val="16"/>
                <w:szCs w:val="16"/>
                <w:spacing w:val="-5"/>
              </w:rPr>
              <w:t>4</w:t>
            </w:r>
            <w:r>
              <w:rPr>
                <w:sz w:val="16"/>
                <w:szCs w:val="16"/>
                <w:spacing w:val="55"/>
              </w:rPr>
              <w:t xml:space="preserve"> </w:t>
            </w:r>
            <w:r>
              <w:rPr>
                <w:sz w:val="16"/>
                <w:szCs w:val="16"/>
                <w:spacing w:val="-5"/>
              </w:rPr>
              <w:t>备份介质的存放和管理</w:t>
            </w:r>
          </w:p>
          <w:p>
            <w:pPr>
              <w:pStyle w:val="TableText"/>
              <w:ind w:left="120" w:right="180" w:firstLine="129"/>
              <w:spacing w:before="89" w:line="272" w:lineRule="auto"/>
              <w:rPr>
                <w:sz w:val="16"/>
                <w:szCs w:val="16"/>
              </w:rPr>
            </w:pPr>
            <w:r>
              <w:rPr>
                <w:sz w:val="16"/>
                <w:szCs w:val="16"/>
                <w:spacing w:val="-9"/>
              </w:rPr>
              <w:t>4.1  备份介质的保存：备份介质应统一保存在安全可靠的地方，保存地点应能防火、防盗、防潮。备</w:t>
            </w:r>
            <w:r>
              <w:rPr>
                <w:rFonts w:ascii="FangSong" w:hAnsi="FangSong" w:eastAsia="FangSong" w:cs="FangSong"/>
                <w:sz w:val="16"/>
                <w:szCs w:val="16"/>
                <w:spacing w:val="-9"/>
              </w:rPr>
              <w:t>份介质必</w:t>
            </w:r>
            <w:r>
              <w:rPr>
                <w:rFonts w:ascii="FangSong" w:hAnsi="FangSong" w:eastAsia="FangSong" w:cs="FangSong"/>
                <w:sz w:val="16"/>
                <w:szCs w:val="16"/>
                <w:spacing w:val="7"/>
              </w:rPr>
              <w:t xml:space="preserve"> </w:t>
            </w:r>
            <w:r>
              <w:rPr>
                <w:sz w:val="16"/>
                <w:szCs w:val="16"/>
                <w:spacing w:val="-10"/>
              </w:rPr>
              <w:t>须有由专人负责进行存取，其他人员未经批准不能操作。</w:t>
            </w:r>
          </w:p>
          <w:p>
            <w:pPr>
              <w:pStyle w:val="TableText"/>
              <w:ind w:left="120" w:right="197" w:firstLine="129"/>
              <w:spacing w:before="99" w:line="281" w:lineRule="auto"/>
              <w:rPr>
                <w:sz w:val="16"/>
                <w:szCs w:val="16"/>
              </w:rPr>
            </w:pPr>
            <w:r>
              <w:rPr>
                <w:sz w:val="16"/>
                <w:szCs w:val="16"/>
                <w:spacing w:val="-4"/>
              </w:rPr>
              <w:t>4.2</w:t>
            </w:r>
            <w:r>
              <w:rPr>
                <w:sz w:val="16"/>
                <w:szCs w:val="16"/>
                <w:spacing w:val="52"/>
              </w:rPr>
              <w:t xml:space="preserve"> </w:t>
            </w:r>
            <w:r>
              <w:rPr>
                <w:sz w:val="16"/>
                <w:szCs w:val="16"/>
                <w:spacing w:val="-4"/>
              </w:rPr>
              <w:t>备份介质的检查：信息管理室应定期(每年至少1次)检查各类备份资料的情况，及时更新或</w:t>
            </w:r>
            <w:r>
              <w:rPr>
                <w:sz w:val="16"/>
                <w:szCs w:val="16"/>
                <w:spacing w:val="-5"/>
              </w:rPr>
              <w:t>销毁过期的</w:t>
            </w:r>
            <w:r>
              <w:rPr>
                <w:sz w:val="16"/>
                <w:szCs w:val="16"/>
              </w:rPr>
              <w:t xml:space="preserve"> </w:t>
            </w:r>
            <w:r>
              <w:rPr>
                <w:sz w:val="16"/>
                <w:szCs w:val="16"/>
                <w:spacing w:val="-9"/>
              </w:rPr>
              <w:t>资料，并做好检查记录；对损毁的备份资料，要及时与使用部门联系，共同研究补救措施和方法；对</w:t>
            </w:r>
            <w:r>
              <w:rPr>
                <w:sz w:val="16"/>
                <w:szCs w:val="16"/>
                <w:spacing w:val="-10"/>
              </w:rPr>
              <w:t>于到达资料</w:t>
            </w:r>
            <w:r>
              <w:rPr>
                <w:sz w:val="16"/>
                <w:szCs w:val="16"/>
              </w:rPr>
              <w:t xml:space="preserve"> </w:t>
            </w:r>
            <w:r>
              <w:rPr>
                <w:sz w:val="16"/>
                <w:szCs w:val="16"/>
                <w:spacing w:val="-10"/>
              </w:rPr>
              <w:t>保存期限的备份资料，应在得到相应部门负责人批准后及时销毁。</w:t>
            </w:r>
          </w:p>
          <w:p>
            <w:pPr>
              <w:pStyle w:val="TableText"/>
              <w:ind w:left="120" w:right="191" w:firstLine="129"/>
              <w:spacing w:before="90" w:line="288" w:lineRule="auto"/>
              <w:rPr>
                <w:sz w:val="16"/>
                <w:szCs w:val="16"/>
              </w:rPr>
            </w:pPr>
            <w:r>
              <w:rPr>
                <w:sz w:val="16"/>
                <w:szCs w:val="16"/>
                <w:spacing w:val="-9"/>
              </w:rPr>
              <w:t>4.3</w:t>
            </w:r>
            <w:r>
              <w:rPr>
                <w:sz w:val="16"/>
                <w:szCs w:val="16"/>
                <w:spacing w:val="47"/>
              </w:rPr>
              <w:t xml:space="preserve"> </w:t>
            </w:r>
            <w:r>
              <w:rPr>
                <w:sz w:val="16"/>
                <w:szCs w:val="16"/>
                <w:spacing w:val="-9"/>
              </w:rPr>
              <w:t>所有备份介质一律不准外借，不准流出公司，任何人员不得擅自取用，若要取用须经分管领导批准，并填</w:t>
            </w:r>
            <w:r>
              <w:rPr>
                <w:sz w:val="16"/>
                <w:szCs w:val="16"/>
              </w:rPr>
              <w:t xml:space="preserve"> </w:t>
            </w:r>
            <w:r>
              <w:rPr>
                <w:sz w:val="16"/>
                <w:szCs w:val="16"/>
                <w:spacing w:val="-11"/>
              </w:rPr>
              <w:t>写《备份介质借用登记表》。借用人员使用完后，应立即归还</w:t>
            </w:r>
            <w:r>
              <w:rPr>
                <w:sz w:val="16"/>
                <w:szCs w:val="16"/>
                <w:spacing w:val="-12"/>
              </w:rPr>
              <w:t>。由信息管理员检查，确认完好。信息管理员及借用</w:t>
            </w:r>
            <w:r>
              <w:rPr>
                <w:sz w:val="16"/>
                <w:szCs w:val="16"/>
              </w:rPr>
              <w:t xml:space="preserve"> </w:t>
            </w:r>
            <w:r>
              <w:rPr>
                <w:sz w:val="16"/>
                <w:szCs w:val="16"/>
                <w:spacing w:val="-10"/>
              </w:rPr>
              <w:t>人员须分别在《备份介质借用登记表》上签字确认介质归还。</w:t>
            </w:r>
          </w:p>
          <w:p>
            <w:pPr>
              <w:pStyle w:val="TableText"/>
              <w:ind w:left="120" w:right="203" w:firstLine="129"/>
              <w:spacing w:before="100" w:line="277" w:lineRule="auto"/>
              <w:rPr>
                <w:sz w:val="16"/>
                <w:szCs w:val="16"/>
              </w:rPr>
            </w:pPr>
            <w:r>
              <w:rPr>
                <w:sz w:val="16"/>
                <w:szCs w:val="16"/>
                <w:spacing w:val="-9"/>
              </w:rPr>
              <w:t>4.4</w:t>
            </w:r>
            <w:r>
              <w:rPr>
                <w:sz w:val="16"/>
                <w:szCs w:val="16"/>
                <w:spacing w:val="66"/>
              </w:rPr>
              <w:t xml:space="preserve"> </w:t>
            </w:r>
            <w:r>
              <w:rPr>
                <w:sz w:val="16"/>
                <w:szCs w:val="16"/>
                <w:spacing w:val="-9"/>
              </w:rPr>
              <w:t>长期保存的备份介质，必须按照制造厂商确定的存储寿命定</w:t>
            </w:r>
            <w:r>
              <w:rPr>
                <w:sz w:val="16"/>
                <w:szCs w:val="16"/>
                <w:spacing w:val="-10"/>
              </w:rPr>
              <w:t>期转储。需要长期保存的数据，应在介质有效</w:t>
            </w:r>
            <w:r>
              <w:rPr>
                <w:sz w:val="16"/>
                <w:szCs w:val="16"/>
              </w:rPr>
              <w:t xml:space="preserve"> </w:t>
            </w:r>
            <w:r>
              <w:rPr>
                <w:sz w:val="16"/>
                <w:szCs w:val="16"/>
                <w:spacing w:val="-10"/>
              </w:rPr>
              <w:t>期内进行转存，防止存储介质过期失效。</w:t>
            </w:r>
          </w:p>
          <w:p>
            <w:pPr>
              <w:pStyle w:val="TableText"/>
              <w:ind w:left="120" w:right="202" w:firstLine="129"/>
              <w:spacing w:before="79" w:line="272" w:lineRule="auto"/>
              <w:rPr>
                <w:sz w:val="16"/>
                <w:szCs w:val="16"/>
              </w:rPr>
            </w:pPr>
            <w:r>
              <w:rPr>
                <w:sz w:val="16"/>
                <w:szCs w:val="16"/>
                <w:spacing w:val="-9"/>
              </w:rPr>
              <w:t>4.5</w:t>
            </w:r>
            <w:r>
              <w:rPr>
                <w:sz w:val="16"/>
                <w:szCs w:val="16"/>
                <w:spacing w:val="62"/>
              </w:rPr>
              <w:t xml:space="preserve"> </w:t>
            </w:r>
            <w:r>
              <w:rPr>
                <w:sz w:val="16"/>
                <w:szCs w:val="16"/>
                <w:spacing w:val="-9"/>
              </w:rPr>
              <w:t>存放备份数据的介质必须具有明确的标识；标识必须使用统一的命名规</w:t>
            </w:r>
            <w:r>
              <w:rPr>
                <w:sz w:val="16"/>
                <w:szCs w:val="16"/>
                <w:spacing w:val="-10"/>
              </w:rPr>
              <w:t>范，注明介质编号、备份内容、备</w:t>
            </w:r>
            <w:r>
              <w:rPr>
                <w:sz w:val="16"/>
                <w:szCs w:val="16"/>
              </w:rPr>
              <w:t xml:space="preserve"> </w:t>
            </w:r>
            <w:r>
              <w:rPr>
                <w:sz w:val="16"/>
                <w:szCs w:val="16"/>
                <w:spacing w:val="-10"/>
              </w:rPr>
              <w:t>份日期、备份时间、保留期限等重要信息。</w:t>
            </w:r>
          </w:p>
          <w:p>
            <w:pPr>
              <w:pStyle w:val="TableText"/>
              <w:ind w:left="250"/>
              <w:spacing w:before="89" w:line="219" w:lineRule="auto"/>
              <w:rPr>
                <w:sz w:val="16"/>
                <w:szCs w:val="16"/>
              </w:rPr>
            </w:pPr>
            <w:r>
              <w:rPr>
                <w:sz w:val="16"/>
                <w:szCs w:val="16"/>
                <w:spacing w:val="-7"/>
              </w:rPr>
              <w:t>4.6  恢复性测试：对于备份系统，应至少每年测试一次(模拟灾害发生</w:t>
            </w:r>
            <w:r>
              <w:rPr>
                <w:sz w:val="16"/>
                <w:szCs w:val="16"/>
                <w:spacing w:val="-8"/>
              </w:rPr>
              <w:t>时进行演练)。</w:t>
            </w:r>
          </w:p>
          <w:p>
            <w:pPr>
              <w:pStyle w:val="TableText"/>
              <w:ind w:left="250"/>
              <w:spacing w:before="82" w:line="220" w:lineRule="auto"/>
              <w:rPr>
                <w:sz w:val="16"/>
                <w:szCs w:val="16"/>
              </w:rPr>
            </w:pPr>
            <w:r>
              <w:rPr>
                <w:sz w:val="16"/>
                <w:szCs w:val="16"/>
                <w:spacing w:val="-4"/>
              </w:rPr>
              <w:t>5</w:t>
            </w:r>
            <w:r>
              <w:rPr>
                <w:sz w:val="16"/>
                <w:szCs w:val="16"/>
                <w:spacing w:val="71"/>
              </w:rPr>
              <w:t xml:space="preserve"> </w:t>
            </w:r>
            <w:r>
              <w:rPr>
                <w:sz w:val="16"/>
                <w:szCs w:val="16"/>
                <w:spacing w:val="-4"/>
              </w:rPr>
              <w:t>灾害恢复</w:t>
            </w:r>
          </w:p>
          <w:p>
            <w:pPr>
              <w:pStyle w:val="TableText"/>
              <w:ind w:left="120" w:right="200" w:firstLine="129"/>
              <w:spacing w:before="90" w:line="308" w:lineRule="auto"/>
              <w:rPr>
                <w:sz w:val="16"/>
                <w:szCs w:val="16"/>
              </w:rPr>
            </w:pPr>
            <w:r>
              <w:rPr>
                <w:sz w:val="16"/>
                <w:szCs w:val="16"/>
                <w:spacing w:val="-9"/>
              </w:rPr>
              <w:t>5.1</w:t>
            </w:r>
            <w:r>
              <w:rPr>
                <w:sz w:val="16"/>
                <w:szCs w:val="16"/>
                <w:spacing w:val="66"/>
              </w:rPr>
              <w:t xml:space="preserve"> </w:t>
            </w:r>
            <w:r>
              <w:rPr>
                <w:sz w:val="16"/>
                <w:szCs w:val="16"/>
                <w:spacing w:val="-9"/>
              </w:rPr>
              <w:t>硬件的灾害恢复：信息管理室应保存公司所有计算机、服务器</w:t>
            </w:r>
            <w:r>
              <w:rPr>
                <w:sz w:val="16"/>
                <w:szCs w:val="16"/>
                <w:spacing w:val="-10"/>
              </w:rPr>
              <w:t>及其辅助设备清单；信息管理室应保留所有</w:t>
            </w:r>
            <w:r>
              <w:rPr>
                <w:sz w:val="16"/>
                <w:szCs w:val="16"/>
              </w:rPr>
              <w:t xml:space="preserve"> </w:t>
            </w:r>
            <w:r>
              <w:rPr>
                <w:sz w:val="16"/>
                <w:szCs w:val="16"/>
                <w:spacing w:val="-11"/>
              </w:rPr>
              <w:t>硬件的供应商目录及详细资料。</w:t>
            </w:r>
            <w:r>
              <w:rPr>
                <w:sz w:val="16"/>
                <w:szCs w:val="16"/>
                <w:spacing w:val="26"/>
              </w:rPr>
              <w:t xml:space="preserve"> </w:t>
            </w:r>
            <w:r>
              <w:rPr>
                <w:sz w:val="16"/>
                <w:szCs w:val="16"/>
                <w:spacing w:val="-11"/>
              </w:rPr>
              <w:t>一旦发生灾害，供应商在接到公司的通知后应在两个工作</w:t>
            </w:r>
            <w:r>
              <w:rPr>
                <w:sz w:val="16"/>
                <w:szCs w:val="16"/>
                <w:spacing w:val="-12"/>
              </w:rPr>
              <w:t>日将设备配备到位；在</w:t>
            </w:r>
            <w:r>
              <w:rPr>
                <w:sz w:val="16"/>
                <w:szCs w:val="16"/>
              </w:rPr>
              <w:t xml:space="preserve"> </w:t>
            </w:r>
            <w:r>
              <w:rPr>
                <w:sz w:val="16"/>
                <w:szCs w:val="16"/>
                <w:spacing w:val="-9"/>
              </w:rPr>
              <w:t>与信息系统供应商签定的采购合同中，必须有相关备份、灾害恢复与技术支持条款，并要求供应商出具安全保密</w:t>
            </w:r>
            <w:r>
              <w:rPr>
                <w:sz w:val="16"/>
                <w:szCs w:val="16"/>
              </w:rPr>
              <w:t xml:space="preserve"> </w:t>
            </w:r>
            <w:r>
              <w:rPr>
                <w:sz w:val="16"/>
                <w:szCs w:val="16"/>
                <w:spacing w:val="-8"/>
              </w:rPr>
              <w:t>承诺书；计算机系统硬件受到破坏，使得系</w:t>
            </w:r>
            <w:r>
              <w:rPr>
                <w:sz w:val="16"/>
                <w:szCs w:val="16"/>
                <w:spacing w:val="-9"/>
              </w:rPr>
              <w:t>统无法正常工作时，各部门应及时将情况反馈给信息管理室，并协助</w:t>
            </w:r>
            <w:r>
              <w:rPr>
                <w:sz w:val="16"/>
                <w:szCs w:val="16"/>
              </w:rPr>
              <w:t xml:space="preserve"> </w:t>
            </w:r>
            <w:r>
              <w:rPr>
                <w:sz w:val="16"/>
                <w:szCs w:val="16"/>
                <w:spacing w:val="-9"/>
              </w:rPr>
              <w:t>信息管理室做好原因调查工作，属于设备供应商问题的，应追究设备供应商的赔偿责任；同时，信息管理室及时</w:t>
            </w:r>
            <w:r>
              <w:rPr>
                <w:sz w:val="16"/>
                <w:szCs w:val="16"/>
                <w:spacing w:val="18"/>
              </w:rPr>
              <w:t xml:space="preserve"> </w:t>
            </w:r>
            <w:r>
              <w:rPr>
                <w:sz w:val="16"/>
                <w:szCs w:val="16"/>
                <w:spacing w:val="-9"/>
              </w:rPr>
              <w:t>提出所需设备的采购申请，并将这些设备安装到公司事先指定备用办公地点或依据当时情况指定临时地点</w:t>
            </w:r>
            <w:r>
              <w:rPr>
                <w:sz w:val="16"/>
                <w:szCs w:val="16"/>
                <w:spacing w:val="-10"/>
              </w:rPr>
              <w:t>，以便</w:t>
            </w:r>
            <w:r>
              <w:rPr>
                <w:sz w:val="16"/>
                <w:szCs w:val="16"/>
              </w:rPr>
              <w:t xml:space="preserve"> </w:t>
            </w:r>
            <w:r>
              <w:rPr>
                <w:sz w:val="16"/>
                <w:szCs w:val="16"/>
                <w:spacing w:val="-10"/>
              </w:rPr>
              <w:t>尽快恢复正常业务。</w:t>
            </w:r>
          </w:p>
          <w:p>
            <w:pPr>
              <w:pStyle w:val="TableText"/>
              <w:ind w:left="120" w:right="201" w:firstLine="129"/>
              <w:spacing w:before="108" w:line="297" w:lineRule="auto"/>
              <w:rPr>
                <w:sz w:val="16"/>
                <w:szCs w:val="16"/>
              </w:rPr>
            </w:pPr>
            <w:r>
              <w:rPr>
                <w:sz w:val="16"/>
                <w:szCs w:val="16"/>
                <w:spacing w:val="-11"/>
              </w:rPr>
              <w:t>5.2</w:t>
            </w:r>
            <w:r>
              <w:rPr>
                <w:sz w:val="16"/>
                <w:szCs w:val="16"/>
                <w:spacing w:val="41"/>
              </w:rPr>
              <w:t xml:space="preserve"> </w:t>
            </w:r>
            <w:r>
              <w:rPr>
                <w:sz w:val="16"/>
                <w:szCs w:val="16"/>
                <w:spacing w:val="-11"/>
              </w:rPr>
              <w:t>软件的灾害恢复：公司信息系统及计算机所使用的软件及数据备份的保</w:t>
            </w:r>
            <w:r>
              <w:rPr>
                <w:sz w:val="16"/>
                <w:szCs w:val="16"/>
                <w:spacing w:val="-12"/>
              </w:rPr>
              <w:t>存按数据备份的要求进行，</w:t>
            </w:r>
            <w:r>
              <w:rPr>
                <w:sz w:val="16"/>
                <w:szCs w:val="16"/>
                <w:spacing w:val="38"/>
              </w:rPr>
              <w:t xml:space="preserve"> </w:t>
            </w:r>
            <w:r>
              <w:rPr>
                <w:sz w:val="16"/>
                <w:szCs w:val="16"/>
                <w:spacing w:val="-12"/>
              </w:rPr>
              <w:t>一旦发</w:t>
            </w:r>
            <w:r>
              <w:rPr>
                <w:sz w:val="16"/>
                <w:szCs w:val="16"/>
              </w:rPr>
              <w:t xml:space="preserve"> </w:t>
            </w:r>
            <w:r>
              <w:rPr>
                <w:sz w:val="16"/>
                <w:szCs w:val="16"/>
                <w:spacing w:val="-9"/>
              </w:rPr>
              <w:t>生系统灾害，负责系统管理的人员通过灾害发生前或其他信息系统所保存的各种备份介质，依据备份标记进行目</w:t>
            </w:r>
            <w:r>
              <w:rPr>
                <w:sz w:val="16"/>
                <w:szCs w:val="16"/>
                <w:spacing w:val="18"/>
              </w:rPr>
              <w:t xml:space="preserve"> </w:t>
            </w:r>
            <w:r>
              <w:rPr>
                <w:sz w:val="16"/>
                <w:szCs w:val="16"/>
                <w:spacing w:val="-9"/>
              </w:rPr>
              <w:t>的性的恢复；对所有发生的硬件和软件灾害，必须对灾害发生及恢复情况进行书面记录；对于重大灾害，应立即</w:t>
            </w:r>
            <w:r>
              <w:rPr>
                <w:sz w:val="16"/>
                <w:szCs w:val="16"/>
                <w:spacing w:val="5"/>
              </w:rPr>
              <w:t xml:space="preserve"> </w:t>
            </w:r>
            <w:r>
              <w:rPr>
                <w:sz w:val="16"/>
                <w:szCs w:val="16"/>
                <w:spacing w:val="-10"/>
              </w:rPr>
              <w:t>报告分管副总和总经理。</w:t>
            </w:r>
          </w:p>
          <w:p>
            <w:pPr>
              <w:pStyle w:val="TableText"/>
              <w:ind w:left="250"/>
              <w:spacing w:before="93" w:line="219" w:lineRule="auto"/>
              <w:rPr>
                <w:sz w:val="16"/>
                <w:szCs w:val="16"/>
              </w:rPr>
            </w:pPr>
            <w:r>
              <w:rPr>
                <w:sz w:val="16"/>
                <w:szCs w:val="16"/>
                <w:spacing w:val="-6"/>
              </w:rPr>
              <w:t>5.3</w:t>
            </w:r>
            <w:r>
              <w:rPr>
                <w:sz w:val="16"/>
                <w:szCs w:val="16"/>
                <w:spacing w:val="52"/>
                <w:w w:val="101"/>
              </w:rPr>
              <w:t xml:space="preserve"> </w:t>
            </w:r>
            <w:r>
              <w:rPr>
                <w:sz w:val="16"/>
                <w:szCs w:val="16"/>
                <w:spacing w:val="-6"/>
              </w:rPr>
              <w:t>一般数据发生灾害时能恢复到上月最后一天，重要数据发生灾害时能恢复到前一天0:00。</w:t>
            </w:r>
          </w:p>
          <w:p>
            <w:pPr>
              <w:pStyle w:val="TableText"/>
              <w:ind w:left="120" w:right="203" w:firstLine="129"/>
              <w:spacing w:before="89" w:line="276" w:lineRule="auto"/>
              <w:rPr>
                <w:sz w:val="16"/>
                <w:szCs w:val="16"/>
              </w:rPr>
            </w:pPr>
            <w:r>
              <w:rPr>
                <w:sz w:val="16"/>
                <w:szCs w:val="16"/>
                <w:spacing w:val="-4"/>
              </w:rPr>
              <w:t>5.4</w:t>
            </w:r>
            <w:r>
              <w:rPr>
                <w:sz w:val="16"/>
                <w:szCs w:val="16"/>
                <w:spacing w:val="66"/>
              </w:rPr>
              <w:t xml:space="preserve"> </w:t>
            </w:r>
            <w:r>
              <w:rPr>
                <w:sz w:val="16"/>
                <w:szCs w:val="16"/>
                <w:spacing w:val="-4"/>
              </w:rPr>
              <w:t>公司应定期(每年至少1次)对公司信息系统的</w:t>
            </w:r>
            <w:r>
              <w:rPr>
                <w:sz w:val="16"/>
                <w:szCs w:val="16"/>
                <w:spacing w:val="-5"/>
              </w:rPr>
              <w:t>相关风险，及所采取的风险管理实施是否充分适当进行评</w:t>
            </w:r>
            <w:r>
              <w:rPr>
                <w:sz w:val="16"/>
                <w:szCs w:val="16"/>
              </w:rPr>
              <w:t xml:space="preserve"> </w:t>
            </w:r>
            <w:r>
              <w:rPr>
                <w:sz w:val="16"/>
                <w:szCs w:val="16"/>
                <w:spacing w:val="-10"/>
              </w:rPr>
              <w:t>估，该项工作由信息管理室牵头，各部门相关人员参加。</w:t>
            </w:r>
          </w:p>
          <w:p>
            <w:pPr>
              <w:ind w:left="250"/>
              <w:spacing w:before="81" w:line="222" w:lineRule="auto"/>
              <w:rPr>
                <w:rFonts w:ascii="SimHei" w:hAnsi="SimHei" w:eastAsia="SimHei" w:cs="SimHei"/>
                <w:sz w:val="16"/>
                <w:szCs w:val="16"/>
              </w:rPr>
            </w:pPr>
            <w:r>
              <w:rPr>
                <w:rFonts w:ascii="SimHei" w:hAnsi="SimHei" w:eastAsia="SimHei" w:cs="SimHei"/>
                <w:sz w:val="16"/>
                <w:szCs w:val="16"/>
                <w:spacing w:val="-4"/>
              </w:rPr>
              <w:t>6</w:t>
            </w:r>
            <w:r>
              <w:rPr>
                <w:rFonts w:ascii="SimHei" w:hAnsi="SimHei" w:eastAsia="SimHei" w:cs="SimHei"/>
                <w:sz w:val="16"/>
                <w:szCs w:val="16"/>
                <w:spacing w:val="-4"/>
              </w:rPr>
              <w:t xml:space="preserve">  </w:t>
            </w:r>
            <w:r>
              <w:rPr>
                <w:rFonts w:ascii="SimHei" w:hAnsi="SimHei" w:eastAsia="SimHei" w:cs="SimHei"/>
                <w:sz w:val="16"/>
                <w:szCs w:val="16"/>
                <w:spacing w:val="-4"/>
              </w:rPr>
              <w:t>附则</w:t>
            </w:r>
          </w:p>
          <w:p>
            <w:pPr>
              <w:pStyle w:val="TableText"/>
              <w:ind w:left="250"/>
              <w:spacing w:before="98" w:line="219" w:lineRule="auto"/>
              <w:rPr>
                <w:sz w:val="16"/>
                <w:szCs w:val="16"/>
              </w:rPr>
            </w:pPr>
            <w:r>
              <w:rPr>
                <w:sz w:val="16"/>
                <w:szCs w:val="16"/>
                <w:spacing w:val="-10"/>
              </w:rPr>
              <w:t>6.1</w:t>
            </w:r>
            <w:r>
              <w:rPr>
                <w:sz w:val="16"/>
                <w:szCs w:val="16"/>
                <w:spacing w:val="68"/>
              </w:rPr>
              <w:t xml:space="preserve"> </w:t>
            </w:r>
            <w:r>
              <w:rPr>
                <w:sz w:val="16"/>
                <w:szCs w:val="16"/>
                <w:spacing w:val="-10"/>
              </w:rPr>
              <w:t>本制度由公司总部信息管理室负责解释和修订。</w:t>
            </w:r>
          </w:p>
          <w:p>
            <w:pPr>
              <w:pStyle w:val="TableText"/>
              <w:ind w:left="250"/>
              <w:spacing w:before="90" w:line="219" w:lineRule="auto"/>
              <w:rPr>
                <w:sz w:val="16"/>
                <w:szCs w:val="16"/>
              </w:rPr>
            </w:pPr>
            <w:r>
              <w:rPr>
                <w:sz w:val="16"/>
                <w:szCs w:val="16"/>
                <w:spacing w:val="-10"/>
              </w:rPr>
              <w:t>6.2</w:t>
            </w:r>
            <w:r>
              <w:rPr>
                <w:sz w:val="16"/>
                <w:szCs w:val="16"/>
                <w:spacing w:val="67"/>
              </w:rPr>
              <w:t xml:space="preserve"> </w:t>
            </w:r>
            <w:r>
              <w:rPr>
                <w:sz w:val="16"/>
                <w:szCs w:val="16"/>
                <w:spacing w:val="-10"/>
              </w:rPr>
              <w:t>本制度自发布之日起开始执行。</w:t>
            </w:r>
          </w:p>
        </w:tc>
      </w:tr>
    </w:tbl>
    <w:p>
      <w:pPr>
        <w:pStyle w:val="BodyText"/>
        <w:rPr/>
      </w:pPr>
      <w:r/>
    </w:p>
    <w:p>
      <w:pPr>
        <w:sectPr>
          <w:footerReference w:type="default" r:id="rId342"/>
          <w:pgSz w:w="8870" w:h="13400"/>
          <w:pgMar w:top="400" w:right="350" w:bottom="550" w:left="510" w:header="0" w:footer="351" w:gutter="0"/>
        </w:sectPr>
        <w:rPr/>
      </w:pPr>
    </w:p>
    <w:p>
      <w:pPr>
        <w:ind w:left="5488"/>
        <w:spacing w:before="244" w:line="219" w:lineRule="auto"/>
        <w:rPr>
          <w:rFonts w:ascii="SimSun" w:hAnsi="SimSun" w:eastAsia="SimSun" w:cs="SimSun"/>
          <w:sz w:val="22"/>
          <w:szCs w:val="22"/>
        </w:rPr>
      </w:pPr>
      <w:r>
        <w:rPr>
          <w:rFonts w:ascii="SimSun" w:hAnsi="SimSun" w:eastAsia="SimSun" w:cs="SimSun"/>
          <w:sz w:val="22"/>
          <w:szCs w:val="22"/>
          <w:b/>
          <w:bCs/>
          <w:spacing w:val="5"/>
        </w:rPr>
        <w:t>第7章■云端数据操作</w:t>
      </w:r>
    </w:p>
    <w:p>
      <w:pPr>
        <w:pStyle w:val="BodyText"/>
        <w:spacing w:line="294" w:lineRule="auto"/>
        <w:rPr/>
      </w:pPr>
      <w:r/>
    </w:p>
    <w:p>
      <w:pPr>
        <w:ind w:left="6904"/>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659" w:type="dxa"/>
        <w:tblInd w:w="5" w:type="dxa"/>
        <w:shd w:val="clear" w:fill="A5A5A5"/>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10959" w:hRule="atLeast"/>
        </w:trPr>
        <w:tc>
          <w:tcPr>
            <w:shd w:val="clear" w:fill="A5A5A5"/>
            <w:tcW w:w="7659" w:type="dxa"/>
            <w:vAlign w:val="top"/>
          </w:tcPr>
          <w:p>
            <w:pPr>
              <w:pStyle w:val="TableText"/>
              <w:ind w:left="3364"/>
              <w:spacing w:before="81" w:line="219" w:lineRule="auto"/>
              <w:rPr/>
            </w:pPr>
            <w:r>
              <w:rPr>
                <w:color w:val="FFFFFF"/>
                <w:spacing w:val="-1"/>
              </w:rPr>
              <w:t>数据管理办法</w:t>
            </w:r>
          </w:p>
          <w:p>
            <w:pPr>
              <w:pStyle w:val="TableText"/>
              <w:ind w:left="214"/>
              <w:spacing w:before="82" w:line="220" w:lineRule="auto"/>
              <w:rPr/>
            </w:pPr>
            <w:r>
              <w:rPr>
                <w:color w:val="FFFFFF"/>
                <w:spacing w:val="-7"/>
              </w:rPr>
              <w:t>1</w:t>
            </w:r>
            <w:r>
              <w:rPr>
                <w:color w:val="FFFFFF"/>
                <w:spacing w:val="15"/>
              </w:rPr>
              <w:t xml:space="preserve">  </w:t>
            </w:r>
            <w:r>
              <w:rPr>
                <w:color w:val="FFFFFF"/>
                <w:spacing w:val="-7"/>
              </w:rPr>
              <w:t>总则</w:t>
            </w:r>
          </w:p>
          <w:p>
            <w:pPr>
              <w:pStyle w:val="TableText"/>
              <w:ind w:left="115" w:right="189" w:firstLine="149"/>
              <w:spacing w:before="119" w:line="307" w:lineRule="auto"/>
              <w:rPr/>
            </w:pPr>
            <w:r>
              <w:rPr>
                <w:color w:val="FFFFFF"/>
              </w:rPr>
              <w:t>1.1为适应集团信息化发展要求，充分利用数据资源为生产、经营、</w:t>
            </w:r>
            <w:r>
              <w:rPr>
                <w:color w:val="FFFFFF"/>
                <w:spacing w:val="-1"/>
              </w:rPr>
              <w:t>管理和决策服务，保证各类信息合理、有</w:t>
            </w:r>
            <w:r>
              <w:rPr>
                <w:color w:val="FFFFFF"/>
              </w:rPr>
              <w:t xml:space="preserve">  </w:t>
            </w:r>
            <w:r>
              <w:rPr>
                <w:color w:val="FFFFFF"/>
              </w:rPr>
              <w:t>序流动和信息安全，确保集团信息化建设快速协调有序安全发展，根据国家有关法律法规以及《</w:t>
            </w:r>
            <w:r>
              <w:rPr>
                <w:color w:val="FFFFFF"/>
                <w:spacing w:val="-1"/>
              </w:rPr>
              <w:t>集团信息安全管</w:t>
            </w:r>
            <w:r>
              <w:rPr>
                <w:color w:val="FFFFFF"/>
              </w:rPr>
              <w:t xml:space="preserve"> </w:t>
            </w:r>
            <w:r>
              <w:rPr>
                <w:color w:val="FFFFFF"/>
                <w:spacing w:val="-1"/>
              </w:rPr>
              <w:t>理办法》等规定，特制订本管理办法。</w:t>
            </w:r>
          </w:p>
          <w:p>
            <w:pPr>
              <w:pStyle w:val="TableText"/>
              <w:ind w:left="115" w:right="314" w:firstLine="159"/>
              <w:spacing w:before="102" w:line="288" w:lineRule="auto"/>
              <w:rPr/>
            </w:pPr>
            <w:r>
              <w:rPr/>
              <w:t>1</w:t>
            </w:r>
            <w:r>
              <w:rPr>
                <w:color w:val="FFFFFF"/>
              </w:rPr>
              <w:t>.2本办法适用于集团各职能部室、直属和特设机构、专业化公司、事业部、区域公司及其所属各单位(以下</w:t>
            </w:r>
            <w:r>
              <w:rPr>
                <w:color w:val="FFFFFF"/>
                <w:spacing w:val="8"/>
              </w:rPr>
              <w:t xml:space="preserve"> </w:t>
            </w:r>
            <w:r>
              <w:rPr>
                <w:color w:val="FFFFFF"/>
              </w:rPr>
              <w:t>简称各单位)。</w:t>
            </w:r>
          </w:p>
          <w:p>
            <w:pPr>
              <w:pStyle w:val="TableText"/>
              <w:ind w:left="244"/>
              <w:spacing w:before="83" w:line="219" w:lineRule="auto"/>
              <w:rPr/>
            </w:pPr>
            <w:r>
              <w:rPr>
                <w:color w:val="FFFFFF"/>
                <w:spacing w:val="-7"/>
              </w:rPr>
              <w:t>2</w:t>
            </w:r>
            <w:r>
              <w:rPr>
                <w:color w:val="FFFFFF"/>
                <w:spacing w:val="-19"/>
              </w:rPr>
              <w:t xml:space="preserve"> </w:t>
            </w:r>
            <w:r>
              <w:rPr>
                <w:color w:val="FFFFFF"/>
                <w:spacing w:val="-7"/>
              </w:rPr>
              <w:t>管</w:t>
            </w:r>
            <w:r>
              <w:rPr>
                <w:color w:val="FFFFFF"/>
                <w:spacing w:val="-21"/>
              </w:rPr>
              <w:t xml:space="preserve"> </w:t>
            </w:r>
            <w:r>
              <w:rPr>
                <w:color w:val="FFFFFF"/>
                <w:spacing w:val="-7"/>
              </w:rPr>
              <w:t>理</w:t>
            </w:r>
            <w:r>
              <w:rPr>
                <w:color w:val="FFFFFF"/>
                <w:spacing w:val="-19"/>
              </w:rPr>
              <w:t xml:space="preserve"> </w:t>
            </w:r>
            <w:r>
              <w:rPr>
                <w:color w:val="FFFFFF"/>
                <w:spacing w:val="-7"/>
              </w:rPr>
              <w:t>范</w:t>
            </w:r>
            <w:r>
              <w:rPr>
                <w:color w:val="FFFFFF"/>
                <w:spacing w:val="-9"/>
              </w:rPr>
              <w:t xml:space="preserve"> </w:t>
            </w:r>
            <w:r>
              <w:rPr>
                <w:color w:val="FFFFFF"/>
                <w:spacing w:val="-7"/>
              </w:rPr>
              <w:t>围</w:t>
            </w:r>
          </w:p>
          <w:p>
            <w:pPr>
              <w:pStyle w:val="TableText"/>
              <w:ind w:left="115" w:right="180" w:firstLine="159"/>
              <w:spacing w:before="111" w:line="276" w:lineRule="auto"/>
              <w:rPr/>
            </w:pPr>
            <w:r>
              <w:rPr>
                <w:color w:val="FFFFFF"/>
              </w:rPr>
              <w:t>本办法管理范围包括：各单位与生产、经营、办公、安全等相关的应用系统和数据，以及为</w:t>
            </w:r>
            <w:r>
              <w:rPr>
                <w:color w:val="FFFFFF"/>
                <w:spacing w:val="-1"/>
              </w:rPr>
              <w:t>其提供支撑的基础</w:t>
            </w:r>
            <w:r>
              <w:rPr>
                <w:color w:val="FFFFFF"/>
              </w:rPr>
              <w:t xml:space="preserve"> </w:t>
            </w:r>
            <w:r>
              <w:rPr>
                <w:color w:val="FFFFFF"/>
                <w:spacing w:val="-1"/>
              </w:rPr>
              <w:t>设施资源、计算存储资源和办公终端资源等。</w:t>
            </w:r>
          </w:p>
          <w:p>
            <w:pPr>
              <w:pStyle w:val="TableText"/>
              <w:ind w:left="244"/>
              <w:spacing w:before="111" w:line="219" w:lineRule="auto"/>
              <w:rPr/>
            </w:pPr>
            <w:r>
              <w:rPr>
                <w:color w:val="FFFFFF"/>
                <w:spacing w:val="-1"/>
              </w:rPr>
              <w:t>3组织机构和工作机制</w:t>
            </w:r>
          </w:p>
          <w:p>
            <w:pPr>
              <w:pStyle w:val="TableText"/>
              <w:ind w:left="115" w:right="302" w:firstLine="149"/>
              <w:spacing w:before="102" w:line="270" w:lineRule="auto"/>
              <w:rPr/>
            </w:pPr>
            <w:r>
              <w:rPr>
                <w:color w:val="FFFFFF"/>
                <w:spacing w:val="-1"/>
              </w:rPr>
              <w:t>3</w:t>
            </w:r>
            <w:r>
              <w:rPr>
                <w:spacing w:val="-1"/>
              </w:rPr>
              <w:t>.</w:t>
            </w:r>
            <w:r>
              <w:rPr>
                <w:color w:val="FFFFFF"/>
                <w:spacing w:val="-1"/>
              </w:rPr>
              <w:t>1集团信息化领导小组是集团数据资源管理体系的最高层，负责审定集团有关数据资源管理的规章、制度</w:t>
            </w:r>
            <w:r>
              <w:rPr>
                <w:spacing w:val="-1"/>
              </w:rPr>
              <w:t>、</w:t>
            </w:r>
            <w:r>
              <w:rPr>
                <w:spacing w:val="4"/>
              </w:rPr>
              <w:t xml:space="preserve"> </w:t>
            </w:r>
            <w:r>
              <w:rPr>
                <w:color w:val="FFFFFF"/>
                <w:spacing w:val="-4"/>
              </w:rPr>
              <w:t>办法，负责审核有关标准、规范、重要需求等</w:t>
            </w:r>
            <w:r>
              <w:rPr>
                <w:spacing w:val="-4"/>
              </w:rPr>
              <w:t>。</w:t>
            </w:r>
          </w:p>
          <w:p>
            <w:pPr>
              <w:pStyle w:val="TableText"/>
              <w:ind w:left="265"/>
              <w:spacing w:before="141" w:line="219" w:lineRule="auto"/>
              <w:rPr/>
            </w:pPr>
            <w:r>
              <w:rPr>
                <w:color w:val="FFFFFF"/>
              </w:rPr>
              <w:t>3.2集团信息化领导小组办公室(以下简称集团信息办)负责集团数据管理的监督、检</w:t>
            </w:r>
            <w:r>
              <w:rPr>
                <w:color w:val="FFFFFF"/>
                <w:spacing w:val="-1"/>
              </w:rPr>
              <w:t>查和考核，指导集团数</w:t>
            </w:r>
          </w:p>
          <w:p>
            <w:pPr>
              <w:pStyle w:val="TableText"/>
              <w:ind w:left="115" w:right="189"/>
              <w:spacing w:before="101" w:line="271" w:lineRule="auto"/>
              <w:rPr/>
            </w:pPr>
            <w:r>
              <w:rPr>
                <w:color w:val="FFFFFF"/>
              </w:rPr>
              <w:t>据管理工作，查处危害集团数据安全的事件。各单位负责本单位数据的采集、传输、使用、安防</w:t>
            </w:r>
            <w:r>
              <w:rPr>
                <w:color w:val="FFFFFF"/>
                <w:spacing w:val="-1"/>
              </w:rPr>
              <w:t>、备份等管理工</w:t>
            </w:r>
            <w:r>
              <w:rPr>
                <w:color w:val="FFFFFF"/>
              </w:rPr>
              <w:t xml:space="preserve"> </w:t>
            </w:r>
            <w:r>
              <w:rPr>
                <w:color w:val="FFFFFF"/>
                <w:spacing w:val="-2"/>
              </w:rPr>
              <w:t>作。</w:t>
            </w:r>
          </w:p>
          <w:p>
            <w:pPr>
              <w:pStyle w:val="TableText"/>
              <w:ind w:left="235"/>
              <w:spacing w:before="121" w:line="219" w:lineRule="auto"/>
              <w:rPr/>
            </w:pPr>
            <w:r>
              <w:rPr>
                <w:color w:val="FFFFFF"/>
                <w:spacing w:val="27"/>
              </w:rPr>
              <w:t>4数据分级管理</w:t>
            </w:r>
          </w:p>
          <w:p>
            <w:pPr>
              <w:pStyle w:val="TableText"/>
              <w:ind w:left="115" w:right="245" w:firstLine="149"/>
              <w:spacing w:before="92" w:line="282" w:lineRule="auto"/>
              <w:rPr/>
            </w:pPr>
            <w:r>
              <w:rPr>
                <w:color w:val="FFFFFF"/>
              </w:rPr>
              <w:t>4</w:t>
            </w:r>
            <w:r>
              <w:rPr/>
              <w:t>.</w:t>
            </w:r>
            <w:r>
              <w:rPr>
                <w:color w:val="FFFFFF"/>
              </w:rPr>
              <w:t>1根据数据在生产、经营和管理中的重要性，结合有关保密规定，按照集团级应用系统和数据、厂矿级应用</w:t>
            </w:r>
            <w:r>
              <w:rPr>
                <w:color w:val="FFFFFF"/>
                <w:spacing w:val="12"/>
              </w:rPr>
              <w:t xml:space="preserve"> </w:t>
            </w:r>
            <w:r>
              <w:rPr>
                <w:color w:val="FFFFFF"/>
              </w:rPr>
              <w:t>系统和数据、区队(车间)级应用系统和数据分别制</w:t>
            </w:r>
            <w:r>
              <w:rPr>
                <w:color w:val="FFFFFF"/>
                <w:spacing w:val="-1"/>
              </w:rPr>
              <w:t>订管理标准。</w:t>
            </w:r>
          </w:p>
          <w:p>
            <w:pPr>
              <w:pStyle w:val="TableText"/>
              <w:ind w:left="115" w:right="153" w:firstLine="139"/>
              <w:spacing w:before="111" w:line="299" w:lineRule="auto"/>
              <w:rPr/>
            </w:pPr>
            <w:r>
              <w:rPr>
                <w:color w:val="FFFFFF"/>
              </w:rPr>
              <w:t>4.2  集团级应用系统和数据，技术管理由集团信息办负责，业务管理由相关业</w:t>
            </w:r>
            <w:r>
              <w:rPr>
                <w:color w:val="FFFFFF"/>
                <w:spacing w:val="-1"/>
              </w:rPr>
              <w:t>务处室负责，运维管理由XX公  </w:t>
            </w:r>
            <w:r>
              <w:rPr>
                <w:color w:val="FFFFFF"/>
                <w:spacing w:val="1"/>
              </w:rPr>
              <w:t>司负责。厂矿级应用系统和数据由各单位信息管理部门管理，集团</w:t>
            </w:r>
            <w:r>
              <w:rPr>
                <w:color w:val="FFFFFF"/>
              </w:rPr>
              <w:t>需要利用的管理数据和生产数据要同步上传到 </w:t>
            </w:r>
            <w:r>
              <w:rPr>
                <w:color w:val="FFFFFF"/>
              </w:rPr>
              <w:t>集团数据中心。区队(车间)级应用系统和数据由各单位信息管理部</w:t>
            </w:r>
            <w:r>
              <w:rPr>
                <w:color w:val="FFFFFF"/>
                <w:spacing w:val="-1"/>
              </w:rPr>
              <w:t>门管理和维护。</w:t>
            </w:r>
          </w:p>
          <w:p>
            <w:pPr>
              <w:pStyle w:val="TableText"/>
              <w:ind w:left="254"/>
              <w:spacing w:before="112" w:line="219" w:lineRule="auto"/>
              <w:rPr/>
            </w:pPr>
            <w:r>
              <w:rPr>
                <w:color w:val="FFFFFF"/>
                <w:spacing w:val="-2"/>
              </w:rPr>
              <w:t>5数据标准管理</w:t>
            </w:r>
          </w:p>
          <w:p>
            <w:pPr>
              <w:pStyle w:val="TableText"/>
              <w:ind w:left="115" w:right="191" w:firstLine="139"/>
              <w:spacing w:before="82" w:line="363" w:lineRule="auto"/>
              <w:rPr/>
            </w:pPr>
            <w:r>
              <w:rPr>
                <w:color w:val="FFFFFF"/>
              </w:rPr>
              <w:t>5</w:t>
            </w:r>
            <w:r>
              <w:rPr/>
              <w:t>.</w:t>
            </w:r>
            <w:r>
              <w:rPr>
                <w:color w:val="FFFFFF"/>
              </w:rPr>
              <w:t>1集团信息办负责集团数据编码和接口标准的统一规划和标准制订，负责对集团及各单位应用系统的数据标  </w:t>
            </w:r>
            <w:r>
              <w:rPr>
                <w:color w:val="FFFFFF"/>
              </w:rPr>
              <w:t>准管理进行引导和考核。各单位新建应用系统应严格执行集团下发的数据编码和接口标准，</w:t>
            </w:r>
            <w:r>
              <w:rPr>
                <w:color w:val="FFFFFF"/>
                <w:spacing w:val="-1"/>
              </w:rPr>
              <w:t>应用系统应根据自身</w:t>
            </w:r>
          </w:p>
          <w:p>
            <w:pPr>
              <w:pStyle w:val="TableText"/>
              <w:ind w:left="115"/>
              <w:spacing w:before="1" w:line="219" w:lineRule="auto"/>
              <w:rPr/>
            </w:pPr>
            <w:r>
              <w:rPr>
                <w:color w:val="FFFFFF"/>
                <w:spacing w:val="-1"/>
              </w:rPr>
              <w:t>实际逐步按照集团标准进行完善。</w:t>
            </w:r>
          </w:p>
          <w:p>
            <w:pPr>
              <w:pStyle w:val="TableText"/>
              <w:ind w:left="265"/>
              <w:spacing w:before="91" w:line="219" w:lineRule="auto"/>
              <w:rPr/>
            </w:pPr>
            <w:r>
              <w:rPr>
                <w:color w:val="FFFFFF"/>
                <w:spacing w:val="-1"/>
              </w:rPr>
              <w:t>5.2数据编码和接口标准应符合以下要求</w:t>
            </w:r>
          </w:p>
          <w:p>
            <w:pPr>
              <w:pStyle w:val="TableText"/>
              <w:ind w:left="265"/>
              <w:spacing w:before="103" w:line="219" w:lineRule="auto"/>
              <w:rPr/>
            </w:pPr>
            <w:r>
              <w:rPr>
                <w:color w:val="FFFFFF"/>
              </w:rPr>
              <w:t>(1)数据编码应能够保证同一个对象编码的唯一性及上下游管理规范的一致性</w:t>
            </w:r>
          </w:p>
          <w:p>
            <w:pPr>
              <w:pStyle w:val="TableText"/>
              <w:ind w:left="274" w:right="167" w:hanging="9"/>
              <w:spacing w:before="100" w:line="282" w:lineRule="auto"/>
              <w:rPr/>
            </w:pPr>
            <w:r>
              <w:rPr>
                <w:spacing w:val="-1"/>
              </w:rPr>
              <w:t>(</w:t>
            </w:r>
            <w:r>
              <w:rPr>
                <w:color w:val="FFFFFF"/>
                <w:spacing w:val="-1"/>
              </w:rPr>
              <w:t>2)接口应实现对外部系统的接入提供企业级的支持，在系统的高并发和大容量的基础上</w:t>
            </w:r>
            <w:r>
              <w:rPr>
                <w:color w:val="FFFFFF"/>
                <w:spacing w:val="-2"/>
              </w:rPr>
              <w:t>提供安全可靠的接入</w:t>
            </w:r>
            <w:r>
              <w:rPr>
                <w:spacing w:val="-2"/>
              </w:rPr>
              <w:t>；</w:t>
            </w:r>
            <w:r>
              <w:rPr/>
              <w:t xml:space="preserve"> </w:t>
            </w:r>
            <w:r>
              <w:rPr/>
              <w:t>(</w:t>
            </w:r>
            <w:r>
              <w:rPr>
                <w:color w:val="FFFFFF"/>
              </w:rPr>
              <w:t>3)提供完善的数据安全机制，以实现对数据的全面保护，保证系统的正常运行，防止大量访问，以及大量占</w:t>
            </w:r>
          </w:p>
          <w:p>
            <w:pPr>
              <w:pStyle w:val="TableText"/>
              <w:ind w:left="115"/>
              <w:spacing w:before="93" w:line="219" w:lineRule="auto"/>
              <w:rPr/>
            </w:pPr>
            <w:r>
              <w:rPr>
                <w:color w:val="FFFFFF"/>
                <w:spacing w:val="4"/>
              </w:rPr>
              <w:t>用资源的情况发生，保证系统的健壮性；</w:t>
            </w:r>
          </w:p>
          <w:p>
            <w:pPr>
              <w:pStyle w:val="TableText"/>
              <w:ind w:left="265"/>
              <w:spacing w:before="111" w:line="219" w:lineRule="auto"/>
              <w:rPr/>
            </w:pPr>
            <w:r>
              <w:rPr>
                <w:color w:val="FFFFFF"/>
                <w:spacing w:val="2"/>
              </w:rPr>
              <w:t>(4)提供有效的系统可监控机制，使得接口的运行情况可</w:t>
            </w:r>
            <w:r>
              <w:rPr>
                <w:color w:val="FFFFFF"/>
                <w:spacing w:val="1"/>
              </w:rPr>
              <w:t>监控，便于及时发现错误并排除故障；</w:t>
            </w:r>
          </w:p>
          <w:p>
            <w:pPr>
              <w:pStyle w:val="TableText"/>
              <w:ind w:left="254"/>
              <w:spacing w:before="93" w:line="219" w:lineRule="auto"/>
              <w:rPr/>
            </w:pPr>
            <w:r>
              <w:rPr>
                <w:color w:val="FFFFFF"/>
              </w:rPr>
              <w:t>(5)保证在充分利用系统资源的前提下，实现系统平滑的移植和扩展，同时在系统并发增加时提供系统资源的</w:t>
            </w:r>
          </w:p>
          <w:p>
            <w:pPr>
              <w:pStyle w:val="TableText"/>
              <w:ind w:left="115"/>
              <w:spacing w:before="143" w:line="219" w:lineRule="auto"/>
              <w:rPr/>
            </w:pPr>
            <w:r>
              <w:rPr>
                <w:color w:val="FFFFFF"/>
                <w:spacing w:val="4"/>
              </w:rPr>
              <w:t>动态扩展，以保证系统的稳定性；</w:t>
            </w:r>
          </w:p>
          <w:p>
            <w:pPr>
              <w:pStyle w:val="TableText"/>
              <w:ind w:left="254"/>
              <w:spacing w:before="71" w:line="219" w:lineRule="auto"/>
              <w:rPr/>
            </w:pPr>
            <w:r>
              <w:rPr>
                <w:color w:val="FFFFFF"/>
              </w:rPr>
              <w:t>(6)在进行扩容、新业务扩展时，应能提供快速、方便和准确的实现方式。</w:t>
            </w:r>
          </w:p>
          <w:p>
            <w:pPr>
              <w:pStyle w:val="TableText"/>
              <w:ind w:left="265"/>
              <w:spacing w:before="123" w:line="219" w:lineRule="auto"/>
              <w:rPr/>
            </w:pPr>
            <w:r>
              <w:rPr>
                <w:color w:val="FFFFFF"/>
                <w:spacing w:val="-1"/>
              </w:rPr>
              <w:t>6数据资源管理</w:t>
            </w:r>
          </w:p>
          <w:p>
            <w:pPr>
              <w:pStyle w:val="TableText"/>
              <w:ind w:left="115" w:right="266" w:firstLine="149"/>
              <w:spacing w:before="91" w:line="282" w:lineRule="auto"/>
              <w:rPr/>
            </w:pPr>
            <w:r>
              <w:rPr>
                <w:color w:val="FFFFFF"/>
              </w:rPr>
              <w:t>6.1基础设施资源集中管理。为了避免信息机房等基础设施资源重复投资建设，造成资金</w:t>
            </w:r>
            <w:r>
              <w:rPr>
                <w:color w:val="FFFFFF"/>
                <w:spacing w:val="-1"/>
              </w:rPr>
              <w:t>浪费、设施利用率低</w:t>
            </w:r>
            <w:r>
              <w:rPr>
                <w:color w:val="FFFFFF"/>
              </w:rPr>
              <w:t xml:space="preserve"> </w:t>
            </w:r>
            <w:r>
              <w:rPr>
                <w:color w:val="FFFFFF"/>
              </w:rPr>
              <w:t>等问题，各单位应充分利用集团数据中心资源，集团信息办负责统一协调集团及各单位的基</w:t>
            </w:r>
            <w:r>
              <w:rPr>
                <w:color w:val="FFFFFF"/>
                <w:spacing w:val="-1"/>
              </w:rPr>
              <w:t>础设施资源。</w:t>
            </w:r>
          </w:p>
          <w:p>
            <w:pPr>
              <w:pStyle w:val="TableText"/>
              <w:ind w:left="274"/>
              <w:spacing w:before="111" w:line="219" w:lineRule="auto"/>
              <w:rPr/>
            </w:pPr>
            <w:r>
              <w:rPr>
                <w:color w:val="FFFFFF"/>
              </w:rPr>
              <w:t>(1)各单位未经集团批准不得私自新建、改建、扩建信息机房。</w:t>
            </w:r>
          </w:p>
        </w:tc>
      </w:tr>
    </w:tbl>
    <w:p>
      <w:pPr>
        <w:pStyle w:val="BodyText"/>
        <w:rPr/>
      </w:pPr>
      <w:r/>
    </w:p>
    <w:p>
      <w:pPr>
        <w:sectPr>
          <w:footerReference w:type="default" r:id="rId344"/>
          <w:pgSz w:w="8870" w:h="13400"/>
          <w:pgMar w:top="400" w:right="551" w:bottom="504" w:left="465" w:header="0" w:footer="286" w:gutter="0"/>
        </w:sectPr>
        <w:rPr/>
      </w:pPr>
    </w:p>
    <w:p>
      <w:pPr>
        <w:ind w:left="212"/>
        <w:spacing w:before="276" w:line="219" w:lineRule="auto"/>
        <w:rPr>
          <w:rFonts w:ascii="SimSun" w:hAnsi="SimSun" w:eastAsia="SimSun" w:cs="SimSun"/>
          <w:sz w:val="24"/>
          <w:szCs w:val="24"/>
        </w:rPr>
      </w:pPr>
      <w:r>
        <w:drawing>
          <wp:anchor distT="0" distB="0" distL="0" distR="0" simplePos="0" relativeHeight="256226304" behindDoc="0" locked="0" layoutInCell="0" allowOverlap="1">
            <wp:simplePos x="0" y="0"/>
            <wp:positionH relativeFrom="page">
              <wp:posOffset>412746</wp:posOffset>
            </wp:positionH>
            <wp:positionV relativeFrom="page">
              <wp:posOffset>400008</wp:posOffset>
            </wp:positionV>
            <wp:extent cx="6365" cy="228637"/>
            <wp:effectExtent l="0" t="0" r="0" b="0"/>
            <wp:wrapNone/>
            <wp:docPr id="232" name="IM 232"/>
            <wp:cNvGraphicFramePr/>
            <a:graphic>
              <a:graphicData uri="http://schemas.openxmlformats.org/drawingml/2006/picture">
                <pic:pic>
                  <pic:nvPicPr>
                    <pic:cNvPr id="232" name="IM 232"/>
                    <pic:cNvPicPr/>
                  </pic:nvPicPr>
                  <pic:blipFill>
                    <a:blip r:embed="rId346"/>
                    <a:stretch>
                      <a:fillRect/>
                    </a:stretch>
                  </pic:blipFill>
                  <pic:spPr>
                    <a:xfrm rot="0">
                      <a:off x="0" y="0"/>
                      <a:ext cx="6365" cy="228637"/>
                    </a:xfrm>
                    <a:prstGeom prst="rect">
                      <a:avLst/>
                    </a:prstGeom>
                  </pic:spPr>
                </pic:pic>
              </a:graphicData>
            </a:graphic>
          </wp:anchor>
        </w:drawing>
      </w:r>
      <w:r>
        <w:rPr>
          <w:rFonts w:ascii="SimSun" w:hAnsi="SimSun" w:eastAsia="SimSun" w:cs="SimSun"/>
          <w:sz w:val="24"/>
          <w:szCs w:val="24"/>
          <w:b/>
          <w:bCs/>
          <w:spacing w:val="-27"/>
          <w:w w:val="97"/>
        </w:rPr>
        <w:t>■云端数据治理</w:t>
      </w:r>
    </w:p>
    <w:p>
      <w:pPr>
        <w:pStyle w:val="BodyText"/>
        <w:spacing w:line="260" w:lineRule="auto"/>
        <w:rPr/>
      </w:pPr>
      <w:r/>
    </w:p>
    <w:p>
      <w:pPr>
        <w:ind w:left="7169"/>
        <w:spacing w:before="65" w:line="223" w:lineRule="auto"/>
        <w:rPr>
          <w:rFonts w:ascii="SimHei" w:hAnsi="SimHei" w:eastAsia="SimHei" w:cs="SimHei"/>
          <w:sz w:val="20"/>
          <w:szCs w:val="20"/>
        </w:rPr>
      </w:pPr>
      <w:r>
        <w:drawing>
          <wp:anchor distT="0" distB="0" distL="0" distR="0" simplePos="0" relativeHeight="256225280" behindDoc="1" locked="0" layoutInCell="1" allowOverlap="1">
            <wp:simplePos x="0" y="0"/>
            <wp:positionH relativeFrom="column">
              <wp:posOffset>139685</wp:posOffset>
            </wp:positionH>
            <wp:positionV relativeFrom="paragraph">
              <wp:posOffset>175963</wp:posOffset>
            </wp:positionV>
            <wp:extent cx="4933969" cy="6819878"/>
            <wp:effectExtent l="0" t="0" r="0" b="0"/>
            <wp:wrapNone/>
            <wp:docPr id="234" name="IM 234"/>
            <wp:cNvGraphicFramePr/>
            <a:graphic>
              <a:graphicData uri="http://schemas.openxmlformats.org/drawingml/2006/picture">
                <pic:pic>
                  <pic:nvPicPr>
                    <pic:cNvPr id="234" name="IM 234"/>
                    <pic:cNvPicPr/>
                  </pic:nvPicPr>
                  <pic:blipFill>
                    <a:blip r:embed="rId347"/>
                    <a:stretch>
                      <a:fillRect/>
                    </a:stretch>
                  </pic:blipFill>
                  <pic:spPr>
                    <a:xfrm rot="0">
                      <a:off x="0" y="0"/>
                      <a:ext cx="4933969" cy="6819878"/>
                    </a:xfrm>
                    <a:prstGeom prst="rect">
                      <a:avLst/>
                    </a:prstGeom>
                  </pic:spPr>
                </pic:pic>
              </a:graphicData>
            </a:graphic>
          </wp:anchor>
        </w:drawing>
      </w:r>
      <w:r>
        <w:rPr>
          <w:rFonts w:ascii="SimHei" w:hAnsi="SimHei" w:eastAsia="SimHei" w:cs="SimHei"/>
          <w:sz w:val="20"/>
          <w:szCs w:val="20"/>
          <w:spacing w:val="-2"/>
        </w:rPr>
        <w:t>续表</w:t>
      </w:r>
    </w:p>
    <w:p>
      <w:pPr>
        <w:ind w:left="510"/>
        <w:spacing w:before="65" w:line="219" w:lineRule="auto"/>
        <w:rPr>
          <w:rFonts w:ascii="SimSun" w:hAnsi="SimSun" w:eastAsia="SimSun" w:cs="SimSun"/>
          <w:sz w:val="16"/>
          <w:szCs w:val="16"/>
        </w:rPr>
      </w:pPr>
      <w:r>
        <w:rPr>
          <w:rFonts w:ascii="SimSun" w:hAnsi="SimSun" w:eastAsia="SimSun" w:cs="SimSun"/>
          <w:sz w:val="16"/>
          <w:szCs w:val="16"/>
          <w:spacing w:val="-7"/>
        </w:rPr>
        <w:t>(2)集团数据中心要按照《集团机房建设技术规范》建设，满足各单位应用系统及数据统一到集</w:t>
      </w:r>
      <w:r>
        <w:rPr>
          <w:rFonts w:ascii="SimSun" w:hAnsi="SimSun" w:eastAsia="SimSun" w:cs="SimSun"/>
          <w:sz w:val="16"/>
          <w:szCs w:val="16"/>
          <w:spacing w:val="-8"/>
        </w:rPr>
        <w:t>团数据中心所</w:t>
      </w:r>
    </w:p>
    <w:p>
      <w:pPr>
        <w:ind w:left="369"/>
        <w:spacing w:before="91" w:line="219" w:lineRule="auto"/>
        <w:rPr>
          <w:rFonts w:ascii="SimSun" w:hAnsi="SimSun" w:eastAsia="SimSun" w:cs="SimSun"/>
          <w:sz w:val="16"/>
          <w:szCs w:val="16"/>
        </w:rPr>
      </w:pPr>
      <w:r>
        <w:rPr>
          <w:rFonts w:ascii="SimSun" w:hAnsi="SimSun" w:eastAsia="SimSun" w:cs="SimSun"/>
          <w:sz w:val="16"/>
          <w:szCs w:val="16"/>
          <w:spacing w:val="-11"/>
        </w:rPr>
        <w:t>需的各项使用要求。</w:t>
      </w:r>
    </w:p>
    <w:p>
      <w:pPr>
        <w:ind w:left="510"/>
        <w:spacing w:before="89" w:line="219" w:lineRule="auto"/>
        <w:rPr>
          <w:rFonts w:ascii="SimSun" w:hAnsi="SimSun" w:eastAsia="SimSun" w:cs="SimSun"/>
          <w:sz w:val="16"/>
          <w:szCs w:val="16"/>
        </w:rPr>
      </w:pPr>
      <w:r>
        <w:rPr>
          <w:rFonts w:ascii="SimSun" w:hAnsi="SimSun" w:eastAsia="SimSun" w:cs="SimSun"/>
          <w:sz w:val="16"/>
          <w:szCs w:val="16"/>
          <w:spacing w:val="-7"/>
        </w:rPr>
        <w:t>(3)各单位现有机房自行管理、统一管控。各级信息管理部门作为主要责任部门，要保证信息机房各项运</w:t>
      </w:r>
      <w:r>
        <w:rPr>
          <w:rFonts w:ascii="SimSun" w:hAnsi="SimSun" w:eastAsia="SimSun" w:cs="SimSun"/>
          <w:sz w:val="16"/>
          <w:szCs w:val="16"/>
          <w:spacing w:val="-8"/>
        </w:rPr>
        <w:t>行指</w:t>
      </w:r>
    </w:p>
    <w:p>
      <w:pPr>
        <w:ind w:left="369"/>
        <w:spacing w:before="91" w:line="219" w:lineRule="auto"/>
        <w:rPr>
          <w:rFonts w:ascii="SimSun" w:hAnsi="SimSun" w:eastAsia="SimSun" w:cs="SimSun"/>
          <w:sz w:val="16"/>
          <w:szCs w:val="16"/>
        </w:rPr>
      </w:pPr>
      <w:r>
        <w:rPr>
          <w:rFonts w:ascii="SimSun" w:hAnsi="SimSun" w:eastAsia="SimSun" w:cs="SimSun"/>
          <w:sz w:val="16"/>
          <w:szCs w:val="16"/>
          <w:spacing w:val="-10"/>
        </w:rPr>
        <w:t>标达到集团要求。</w:t>
      </w:r>
    </w:p>
    <w:p>
      <w:pPr>
        <w:ind w:left="510"/>
        <w:spacing w:before="100" w:line="219" w:lineRule="auto"/>
        <w:rPr>
          <w:rFonts w:ascii="SimSun" w:hAnsi="SimSun" w:eastAsia="SimSun" w:cs="SimSun"/>
          <w:sz w:val="16"/>
          <w:szCs w:val="16"/>
        </w:rPr>
      </w:pPr>
      <w:r>
        <w:rPr>
          <w:rFonts w:ascii="SimSun" w:hAnsi="SimSun" w:eastAsia="SimSun" w:cs="SimSun"/>
          <w:sz w:val="16"/>
          <w:szCs w:val="16"/>
          <w:spacing w:val="-8"/>
        </w:rPr>
        <w:t>6.2</w:t>
      </w:r>
      <w:r>
        <w:rPr>
          <w:rFonts w:ascii="SimSun" w:hAnsi="SimSun" w:eastAsia="SimSun" w:cs="SimSun"/>
          <w:sz w:val="16"/>
          <w:szCs w:val="16"/>
          <w:spacing w:val="53"/>
          <w:w w:val="101"/>
        </w:rPr>
        <w:t xml:space="preserve"> </w:t>
      </w:r>
      <w:r>
        <w:rPr>
          <w:rFonts w:ascii="SimSun" w:hAnsi="SimSun" w:eastAsia="SimSun" w:cs="SimSun"/>
          <w:sz w:val="16"/>
          <w:szCs w:val="16"/>
          <w:spacing w:val="-8"/>
        </w:rPr>
        <w:t>计算存储资源集中管理</w:t>
      </w:r>
    </w:p>
    <w:p>
      <w:pPr>
        <w:ind w:left="510"/>
        <w:spacing w:before="88" w:line="216" w:lineRule="auto"/>
        <w:rPr>
          <w:rFonts w:ascii="SimSun" w:hAnsi="SimSun" w:eastAsia="SimSun" w:cs="SimSun"/>
          <w:sz w:val="16"/>
          <w:szCs w:val="16"/>
        </w:rPr>
      </w:pPr>
      <w:r>
        <w:rPr>
          <w:rFonts w:ascii="SimSun" w:hAnsi="SimSun" w:eastAsia="SimSun" w:cs="SimSun"/>
          <w:sz w:val="16"/>
          <w:szCs w:val="16"/>
          <w:spacing w:val="-10"/>
        </w:rPr>
        <w:t>为了消除“信息孤岛”,实现集团数据共享和集成，提升数据安全防护等级，各单位所需计算和存储资源，要统</w:t>
      </w:r>
    </w:p>
    <w:p>
      <w:pPr>
        <w:ind w:left="449"/>
        <w:spacing w:before="105" w:line="219" w:lineRule="auto"/>
        <w:rPr>
          <w:rFonts w:ascii="SimSun" w:hAnsi="SimSun" w:eastAsia="SimSun" w:cs="SimSun"/>
          <w:sz w:val="16"/>
          <w:szCs w:val="16"/>
        </w:rPr>
      </w:pPr>
      <w:r>
        <w:rPr>
          <w:rFonts w:ascii="SimSun" w:hAnsi="SimSun" w:eastAsia="SimSun" w:cs="SimSun"/>
          <w:sz w:val="16"/>
          <w:szCs w:val="16"/>
          <w:spacing w:val="-12"/>
        </w:rPr>
        <w:t>一使用集团数据中心的云计算资源，做到资源集中、高效利用。</w:t>
      </w:r>
    </w:p>
    <w:p>
      <w:pPr>
        <w:ind w:left="369" w:right="183" w:firstLine="140"/>
        <w:spacing w:before="79" w:line="271" w:lineRule="auto"/>
        <w:rPr>
          <w:rFonts w:ascii="SimSun" w:hAnsi="SimSun" w:eastAsia="SimSun" w:cs="SimSun"/>
          <w:sz w:val="16"/>
          <w:szCs w:val="16"/>
        </w:rPr>
      </w:pPr>
      <w:r>
        <w:rPr>
          <w:rFonts w:ascii="SimSun" w:hAnsi="SimSun" w:eastAsia="SimSun" w:cs="SimSun"/>
          <w:sz w:val="16"/>
          <w:szCs w:val="16"/>
          <w:spacing w:val="-4"/>
        </w:rPr>
        <w:t>(1)现有的集团级应用系统及数据(安全监测系统除外</w:t>
      </w:r>
      <w:r>
        <w:rPr>
          <w:rFonts w:ascii="SimSun" w:hAnsi="SimSun" w:eastAsia="SimSun" w:cs="SimSun"/>
          <w:sz w:val="16"/>
          <w:szCs w:val="16"/>
          <w:spacing w:val="-5"/>
        </w:rPr>
        <w:t>)、各单位应用系统及数据(直接用于生产安全、自动化</w:t>
      </w:r>
      <w:r>
        <w:rPr>
          <w:rFonts w:ascii="SimSun" w:hAnsi="SimSun" w:eastAsia="SimSun" w:cs="SimSun"/>
          <w:sz w:val="16"/>
          <w:szCs w:val="16"/>
        </w:rPr>
        <w:t xml:space="preserve"> </w:t>
      </w:r>
      <w:r>
        <w:rPr>
          <w:rFonts w:ascii="SimSun" w:hAnsi="SimSun" w:eastAsia="SimSun" w:cs="SimSun"/>
          <w:sz w:val="16"/>
          <w:szCs w:val="16"/>
          <w:spacing w:val="-7"/>
        </w:rPr>
        <w:t>控制和监测监控的系统除外)要按照在用服务器、存储的服务年</w:t>
      </w:r>
      <w:r>
        <w:rPr>
          <w:rFonts w:ascii="SimSun" w:hAnsi="SimSun" w:eastAsia="SimSun" w:cs="SimSun"/>
          <w:sz w:val="16"/>
          <w:szCs w:val="16"/>
          <w:spacing w:val="-8"/>
        </w:rPr>
        <w:t>限和系统生命周期科学制订迁移到集团数据中心</w:t>
      </w:r>
    </w:p>
    <w:p>
      <w:pPr>
        <w:ind w:left="369"/>
        <w:spacing w:before="92" w:line="219" w:lineRule="auto"/>
        <w:rPr>
          <w:rFonts w:ascii="SimSun" w:hAnsi="SimSun" w:eastAsia="SimSun" w:cs="SimSun"/>
          <w:sz w:val="16"/>
          <w:szCs w:val="16"/>
        </w:rPr>
      </w:pPr>
      <w:r>
        <w:rPr>
          <w:rFonts w:ascii="SimSun" w:hAnsi="SimSun" w:eastAsia="SimSun" w:cs="SimSun"/>
          <w:sz w:val="16"/>
          <w:szCs w:val="16"/>
          <w:spacing w:val="-10"/>
        </w:rPr>
        <w:t>的计划和方案，并报集团信息办批准后实施。</w:t>
      </w:r>
    </w:p>
    <w:p>
      <w:pPr>
        <w:ind w:left="369" w:right="139" w:firstLine="140"/>
        <w:spacing w:before="89" w:line="271" w:lineRule="auto"/>
        <w:rPr>
          <w:rFonts w:ascii="SimSun" w:hAnsi="SimSun" w:eastAsia="SimSun" w:cs="SimSun"/>
          <w:sz w:val="16"/>
          <w:szCs w:val="16"/>
        </w:rPr>
      </w:pPr>
      <w:r>
        <w:rPr>
          <w:rFonts w:ascii="SimSun" w:hAnsi="SimSun" w:eastAsia="SimSun" w:cs="SimSun"/>
          <w:sz w:val="16"/>
          <w:szCs w:val="16"/>
          <w:spacing w:val="-8"/>
        </w:rPr>
        <w:t>(2)新建应用系统原则上不再购置新的服务器和存储，所需计算</w:t>
      </w:r>
      <w:r>
        <w:rPr>
          <w:rFonts w:ascii="SimSun" w:hAnsi="SimSun" w:eastAsia="SimSun" w:cs="SimSun"/>
          <w:sz w:val="16"/>
          <w:szCs w:val="16"/>
          <w:spacing w:val="-9"/>
        </w:rPr>
        <w:t>和存储资源应使用集团数据中心的云计算资源。</w:t>
      </w:r>
      <w:r>
        <w:rPr>
          <w:rFonts w:ascii="SimSun" w:hAnsi="SimSun" w:eastAsia="SimSun" w:cs="SimSun"/>
          <w:sz w:val="16"/>
          <w:szCs w:val="16"/>
        </w:rPr>
        <w:t xml:space="preserve"> </w:t>
      </w:r>
      <w:r>
        <w:rPr>
          <w:rFonts w:ascii="SimSun" w:hAnsi="SimSun" w:eastAsia="SimSun" w:cs="SimSun"/>
          <w:sz w:val="16"/>
          <w:szCs w:val="16"/>
          <w:spacing w:val="-9"/>
        </w:rPr>
        <w:t>各单位如有特殊生产要求，需要购置服务器或存储的，应报请集团领导批准，由集团信息办备案后，按</w:t>
      </w:r>
      <w:r>
        <w:rPr>
          <w:rFonts w:ascii="SimSun" w:hAnsi="SimSun" w:eastAsia="SimSun" w:cs="SimSun"/>
          <w:sz w:val="16"/>
          <w:szCs w:val="16"/>
          <w:spacing w:val="-10"/>
        </w:rPr>
        <w:t>集团采购</w:t>
      </w:r>
    </w:p>
    <w:p>
      <w:pPr>
        <w:ind w:left="369"/>
        <w:spacing w:before="91" w:line="219" w:lineRule="auto"/>
        <w:rPr>
          <w:rFonts w:ascii="SimSun" w:hAnsi="SimSun" w:eastAsia="SimSun" w:cs="SimSun"/>
          <w:sz w:val="16"/>
          <w:szCs w:val="16"/>
        </w:rPr>
      </w:pPr>
      <w:r>
        <w:rPr>
          <w:rFonts w:ascii="SimSun" w:hAnsi="SimSun" w:eastAsia="SimSun" w:cs="SimSun"/>
          <w:sz w:val="16"/>
          <w:szCs w:val="16"/>
          <w:spacing w:val="-9"/>
        </w:rPr>
        <w:t>管理相关规定执行。</w:t>
      </w:r>
    </w:p>
    <w:p>
      <w:pPr>
        <w:ind w:left="510"/>
        <w:spacing w:before="90" w:line="219" w:lineRule="auto"/>
        <w:rPr>
          <w:rFonts w:ascii="SimSun" w:hAnsi="SimSun" w:eastAsia="SimSun" w:cs="SimSun"/>
          <w:sz w:val="16"/>
          <w:szCs w:val="16"/>
        </w:rPr>
      </w:pPr>
      <w:r>
        <w:rPr>
          <w:rFonts w:ascii="SimSun" w:hAnsi="SimSun" w:eastAsia="SimSun" w:cs="SimSun"/>
          <w:sz w:val="16"/>
          <w:szCs w:val="16"/>
          <w:spacing w:val="-7"/>
        </w:rPr>
        <w:t>(3)对于当前集团网络不具备实施条件的单位，可向集团提出申请建设集团区域性数据分中心，并</w:t>
      </w:r>
      <w:r>
        <w:rPr>
          <w:rFonts w:ascii="SimSun" w:hAnsi="SimSun" w:eastAsia="SimSun" w:cs="SimSun"/>
          <w:sz w:val="16"/>
          <w:szCs w:val="16"/>
          <w:spacing w:val="-8"/>
        </w:rPr>
        <w:t>根据建设进</w:t>
      </w:r>
    </w:p>
    <w:p>
      <w:pPr>
        <w:ind w:left="369"/>
        <w:spacing w:before="100" w:line="219" w:lineRule="auto"/>
        <w:rPr>
          <w:rFonts w:ascii="SimSun" w:hAnsi="SimSun" w:eastAsia="SimSun" w:cs="SimSun"/>
          <w:sz w:val="16"/>
          <w:szCs w:val="16"/>
        </w:rPr>
      </w:pPr>
      <w:r>
        <w:rPr>
          <w:rFonts w:ascii="SimSun" w:hAnsi="SimSun" w:eastAsia="SimSun" w:cs="SimSun"/>
          <w:sz w:val="16"/>
          <w:szCs w:val="16"/>
          <w:spacing w:val="-9"/>
        </w:rPr>
        <w:t>度制订应用系统和数据迁移计划。集团区域性数据分中心建成后，新建系统需要集中部署、分级管理。</w:t>
      </w:r>
    </w:p>
    <w:p>
      <w:pPr>
        <w:ind w:left="510"/>
        <w:spacing w:before="89" w:line="219" w:lineRule="auto"/>
        <w:rPr>
          <w:rFonts w:ascii="SimSun" w:hAnsi="SimSun" w:eastAsia="SimSun" w:cs="SimSun"/>
          <w:sz w:val="16"/>
          <w:szCs w:val="16"/>
        </w:rPr>
      </w:pPr>
      <w:r>
        <w:rPr>
          <w:rFonts w:ascii="SimSun" w:hAnsi="SimSun" w:eastAsia="SimSun" w:cs="SimSun"/>
          <w:sz w:val="16"/>
          <w:szCs w:val="16"/>
          <w:spacing w:val="-9"/>
        </w:rPr>
        <w:t>6.3</w:t>
      </w:r>
      <w:r>
        <w:rPr>
          <w:rFonts w:ascii="SimSun" w:hAnsi="SimSun" w:eastAsia="SimSun" w:cs="SimSun"/>
          <w:sz w:val="16"/>
          <w:szCs w:val="16"/>
          <w:spacing w:val="62"/>
        </w:rPr>
        <w:t xml:space="preserve"> </w:t>
      </w:r>
      <w:r>
        <w:rPr>
          <w:rFonts w:ascii="SimSun" w:hAnsi="SimSun" w:eastAsia="SimSun" w:cs="SimSun"/>
          <w:sz w:val="16"/>
          <w:szCs w:val="16"/>
          <w:spacing w:val="-9"/>
        </w:rPr>
        <w:t>办公终端资源集中管理。为了提高办公效率、降低办公成本、实现节能</w:t>
      </w:r>
      <w:r>
        <w:rPr>
          <w:rFonts w:ascii="SimSun" w:hAnsi="SimSun" w:eastAsia="SimSun" w:cs="SimSun"/>
          <w:sz w:val="16"/>
          <w:szCs w:val="16"/>
          <w:spacing w:val="-10"/>
        </w:rPr>
        <w:t>降耗，集团级应用系统要统一使用</w:t>
      </w:r>
    </w:p>
    <w:p>
      <w:pPr>
        <w:ind w:left="369"/>
        <w:spacing w:before="92" w:line="279" w:lineRule="exact"/>
        <w:rPr>
          <w:rFonts w:ascii="SimSun" w:hAnsi="SimSun" w:eastAsia="SimSun" w:cs="SimSun"/>
          <w:sz w:val="16"/>
          <w:szCs w:val="16"/>
        </w:rPr>
      </w:pPr>
      <w:r>
        <w:rPr>
          <w:rFonts w:ascii="SimSun" w:hAnsi="SimSun" w:eastAsia="SimSun" w:cs="SimSun"/>
          <w:sz w:val="16"/>
          <w:szCs w:val="16"/>
          <w:spacing w:val="-4"/>
          <w:position w:val="9"/>
        </w:rPr>
        <w:t>集团数据中心云桌面，并在厂矿和区队(车间)级应</w:t>
      </w:r>
      <w:r>
        <w:rPr>
          <w:rFonts w:ascii="SimSun" w:hAnsi="SimSun" w:eastAsia="SimSun" w:cs="SimSun"/>
          <w:sz w:val="16"/>
          <w:szCs w:val="16"/>
          <w:spacing w:val="-5"/>
          <w:position w:val="9"/>
        </w:rPr>
        <w:t>用系统中逐步实现全面使用。</w:t>
      </w:r>
    </w:p>
    <w:p>
      <w:pPr>
        <w:ind w:left="510"/>
        <w:spacing w:before="1" w:line="218" w:lineRule="auto"/>
        <w:rPr>
          <w:rFonts w:ascii="SimSun" w:hAnsi="SimSun" w:eastAsia="SimSun" w:cs="SimSun"/>
          <w:sz w:val="16"/>
          <w:szCs w:val="16"/>
        </w:rPr>
      </w:pPr>
      <w:r>
        <w:rPr>
          <w:rFonts w:ascii="SimSun" w:hAnsi="SimSun" w:eastAsia="SimSun" w:cs="SimSun"/>
          <w:sz w:val="16"/>
          <w:szCs w:val="16"/>
          <w:spacing w:val="-6"/>
        </w:rPr>
        <w:t>(1)各单位新建系统所需计算机和新增办公用计算机</w:t>
      </w:r>
      <w:r>
        <w:rPr>
          <w:rFonts w:ascii="SimSun" w:hAnsi="SimSun" w:eastAsia="SimSun" w:cs="SimSun"/>
          <w:sz w:val="16"/>
          <w:szCs w:val="16"/>
          <w:spacing w:val="-7"/>
        </w:rPr>
        <w:t>要使用集团数据中心云桌面。</w:t>
      </w:r>
    </w:p>
    <w:p>
      <w:pPr>
        <w:ind w:left="510"/>
        <w:spacing w:before="90" w:line="219" w:lineRule="auto"/>
        <w:rPr>
          <w:rFonts w:ascii="SimSun" w:hAnsi="SimSun" w:eastAsia="SimSun" w:cs="SimSun"/>
          <w:sz w:val="16"/>
          <w:szCs w:val="16"/>
        </w:rPr>
      </w:pPr>
      <w:r>
        <w:rPr>
          <w:rFonts w:ascii="SimSun" w:hAnsi="SimSun" w:eastAsia="SimSun" w:cs="SimSun"/>
          <w:sz w:val="16"/>
          <w:szCs w:val="16"/>
          <w:spacing w:val="-7"/>
        </w:rPr>
        <w:t>(2)原有集团推广的应用系统所使用的计算机，以及各单位在用的计算机，分别由应用系统主管部</w:t>
      </w:r>
      <w:r>
        <w:rPr>
          <w:rFonts w:ascii="SimSun" w:hAnsi="SimSun" w:eastAsia="SimSun" w:cs="SimSun"/>
          <w:sz w:val="16"/>
          <w:szCs w:val="16"/>
          <w:spacing w:val="-8"/>
        </w:rPr>
        <w:t>门和各单位</w:t>
      </w:r>
    </w:p>
    <w:p>
      <w:pPr>
        <w:ind w:left="369"/>
        <w:spacing w:before="101" w:line="219" w:lineRule="auto"/>
        <w:rPr>
          <w:rFonts w:ascii="SimSun" w:hAnsi="SimSun" w:eastAsia="SimSun" w:cs="SimSun"/>
          <w:sz w:val="16"/>
          <w:szCs w:val="16"/>
        </w:rPr>
      </w:pPr>
      <w:r>
        <w:rPr>
          <w:rFonts w:ascii="SimSun" w:hAnsi="SimSun" w:eastAsia="SimSun" w:cs="SimSun"/>
          <w:sz w:val="16"/>
          <w:szCs w:val="16"/>
          <w:spacing w:val="-9"/>
        </w:rPr>
        <w:t>按年度提出云桌面更换计划，逐步完成云桌面更换工作；集团信息办负责协调和监督。</w:t>
      </w:r>
    </w:p>
    <w:p>
      <w:pPr>
        <w:ind w:left="369" w:right="222" w:firstLine="140"/>
        <w:spacing w:before="90" w:line="259" w:lineRule="auto"/>
        <w:rPr>
          <w:rFonts w:ascii="SimSun" w:hAnsi="SimSun" w:eastAsia="SimSun" w:cs="SimSun"/>
          <w:sz w:val="16"/>
          <w:szCs w:val="16"/>
        </w:rPr>
      </w:pPr>
      <w:r>
        <w:rPr>
          <w:rFonts w:ascii="SimSun" w:hAnsi="SimSun" w:eastAsia="SimSun" w:cs="SimSun"/>
          <w:sz w:val="16"/>
          <w:szCs w:val="16"/>
          <w:spacing w:val="-7"/>
        </w:rPr>
        <w:t>(3)各单位申请云桌面使用，应与××公司签订租用协议，由××公司负责云桌面运维，各单位信息管理部门</w:t>
      </w:r>
      <w:r>
        <w:rPr>
          <w:rFonts w:ascii="SimSun" w:hAnsi="SimSun" w:eastAsia="SimSun" w:cs="SimSun"/>
          <w:sz w:val="16"/>
          <w:szCs w:val="16"/>
        </w:rPr>
        <w:t xml:space="preserve"> </w:t>
      </w:r>
      <w:r>
        <w:rPr>
          <w:rFonts w:ascii="SimSun" w:hAnsi="SimSun" w:eastAsia="SimSun" w:cs="SimSun"/>
          <w:sz w:val="16"/>
          <w:szCs w:val="16"/>
          <w:spacing w:val="-10"/>
        </w:rPr>
        <w:t>负责本单位云桌面管理。</w:t>
      </w:r>
    </w:p>
    <w:p>
      <w:pPr>
        <w:ind w:left="369" w:right="233" w:firstLine="140"/>
        <w:spacing w:before="112" w:line="265" w:lineRule="auto"/>
        <w:rPr>
          <w:rFonts w:ascii="SimSun" w:hAnsi="SimSun" w:eastAsia="SimSun" w:cs="SimSun"/>
          <w:sz w:val="16"/>
          <w:szCs w:val="16"/>
        </w:rPr>
      </w:pPr>
      <w:r>
        <w:rPr>
          <w:rFonts w:ascii="SimSun" w:hAnsi="SimSun" w:eastAsia="SimSun" w:cs="SimSun"/>
          <w:sz w:val="16"/>
          <w:szCs w:val="16"/>
          <w:spacing w:val="-7"/>
        </w:rPr>
        <w:t>(4)对于当前集团网络不具备实施云桌面替换条件的单位，应协同集团相关部门接</w:t>
      </w:r>
      <w:r>
        <w:rPr>
          <w:rFonts w:ascii="SimSun" w:hAnsi="SimSun" w:eastAsia="SimSun" w:cs="SimSun"/>
          <w:sz w:val="16"/>
          <w:szCs w:val="16"/>
          <w:spacing w:val="-8"/>
        </w:rPr>
        <w:t>入集团网络或建设集团区域</w:t>
      </w:r>
      <w:r>
        <w:rPr>
          <w:rFonts w:ascii="SimSun" w:hAnsi="SimSun" w:eastAsia="SimSun" w:cs="SimSun"/>
          <w:sz w:val="16"/>
          <w:szCs w:val="16"/>
        </w:rPr>
        <w:t xml:space="preserve"> </w:t>
      </w:r>
      <w:r>
        <w:rPr>
          <w:rFonts w:ascii="SimSun" w:hAnsi="SimSun" w:eastAsia="SimSun" w:cs="SimSun"/>
          <w:sz w:val="16"/>
          <w:szCs w:val="16"/>
          <w:spacing w:val="-9"/>
        </w:rPr>
        <w:t>性数据分中心。在网络接入后或集团区域性数据分中心建成后，按计划完成云桌面的部署工作。</w:t>
      </w:r>
    </w:p>
    <w:p>
      <w:pPr>
        <w:ind w:left="510" w:right="4120"/>
        <w:spacing w:before="100" w:line="271" w:lineRule="auto"/>
        <w:rPr>
          <w:rFonts w:ascii="SimSun" w:hAnsi="SimSun" w:eastAsia="SimSun" w:cs="SimSun"/>
          <w:sz w:val="16"/>
          <w:szCs w:val="16"/>
        </w:rPr>
      </w:pPr>
      <w:r>
        <w:rPr>
          <w:rFonts w:ascii="SimSun" w:hAnsi="SimSun" w:eastAsia="SimSun" w:cs="SimSun"/>
          <w:sz w:val="16"/>
          <w:szCs w:val="16"/>
          <w:spacing w:val="-10"/>
        </w:rPr>
        <w:t>6.4  各单位使用资源应按集团规定支付相关费用。</w:t>
      </w:r>
      <w:r>
        <w:rPr>
          <w:rFonts w:ascii="SimSun" w:hAnsi="SimSun" w:eastAsia="SimSun" w:cs="SimSun"/>
          <w:sz w:val="16"/>
          <w:szCs w:val="16"/>
          <w:spacing w:val="8"/>
        </w:rPr>
        <w:t xml:space="preserve"> </w:t>
      </w:r>
      <w:r>
        <w:rPr>
          <w:rFonts w:ascii="SimSun" w:hAnsi="SimSun" w:eastAsia="SimSun" w:cs="SimSun"/>
          <w:sz w:val="16"/>
          <w:szCs w:val="16"/>
          <w:spacing w:val="-7"/>
        </w:rPr>
        <w:t>7</w:t>
      </w:r>
      <w:r>
        <w:rPr>
          <w:rFonts w:ascii="SimSun" w:hAnsi="SimSun" w:eastAsia="SimSun" w:cs="SimSun"/>
          <w:sz w:val="16"/>
          <w:szCs w:val="16"/>
          <w:spacing w:val="70"/>
        </w:rPr>
        <w:t xml:space="preserve"> </w:t>
      </w:r>
      <w:r>
        <w:rPr>
          <w:rFonts w:ascii="SimSun" w:hAnsi="SimSun" w:eastAsia="SimSun" w:cs="SimSun"/>
          <w:sz w:val="16"/>
          <w:szCs w:val="16"/>
          <w:spacing w:val="-7"/>
        </w:rPr>
        <w:t>数据分析管理</w:t>
      </w:r>
    </w:p>
    <w:p>
      <w:pPr>
        <w:ind w:left="510"/>
        <w:spacing w:before="89" w:line="219" w:lineRule="auto"/>
        <w:rPr>
          <w:rFonts w:ascii="SimSun" w:hAnsi="SimSun" w:eastAsia="SimSun" w:cs="SimSun"/>
          <w:sz w:val="16"/>
          <w:szCs w:val="16"/>
        </w:rPr>
      </w:pPr>
      <w:r>
        <w:rPr>
          <w:rFonts w:ascii="SimSun" w:hAnsi="SimSun" w:eastAsia="SimSun" w:cs="SimSun"/>
          <w:sz w:val="16"/>
          <w:szCs w:val="16"/>
          <w:spacing w:val="-7"/>
        </w:rPr>
        <w:t>(1)数据分析是采取科学合理的方法，利用现代信息技术手段，对计算机应用系统生成的数据进行分</w:t>
      </w:r>
      <w:r>
        <w:rPr>
          <w:rFonts w:ascii="SimSun" w:hAnsi="SimSun" w:eastAsia="SimSun" w:cs="SimSun"/>
          <w:sz w:val="16"/>
          <w:szCs w:val="16"/>
          <w:spacing w:val="-8"/>
        </w:rPr>
        <w:t>析，充分</w:t>
      </w:r>
    </w:p>
    <w:p>
      <w:pPr>
        <w:ind w:left="369"/>
        <w:spacing w:before="90" w:line="219" w:lineRule="auto"/>
        <w:rPr>
          <w:rFonts w:ascii="SimSun" w:hAnsi="SimSun" w:eastAsia="SimSun" w:cs="SimSun"/>
          <w:sz w:val="16"/>
          <w:szCs w:val="16"/>
        </w:rPr>
      </w:pPr>
      <w:r>
        <w:rPr>
          <w:rFonts w:ascii="SimSun" w:hAnsi="SimSun" w:eastAsia="SimSun" w:cs="SimSun"/>
          <w:sz w:val="16"/>
          <w:szCs w:val="16"/>
          <w:spacing w:val="-9"/>
        </w:rPr>
        <w:t>发掘数据中蕴含的信息，用数据描述现状，预测趋势，规范生产行为，优化管理流程，加强经营监管</w:t>
      </w:r>
      <w:r>
        <w:rPr>
          <w:rFonts w:ascii="SimSun" w:hAnsi="SimSun" w:eastAsia="SimSun" w:cs="SimSun"/>
          <w:sz w:val="16"/>
          <w:szCs w:val="16"/>
          <w:spacing w:val="-10"/>
        </w:rPr>
        <w:t>，提供决策</w:t>
      </w:r>
    </w:p>
    <w:p>
      <w:pPr>
        <w:ind w:left="369"/>
        <w:spacing w:before="92" w:line="219" w:lineRule="auto"/>
        <w:rPr>
          <w:rFonts w:ascii="SimSun" w:hAnsi="SimSun" w:eastAsia="SimSun" w:cs="SimSun"/>
          <w:sz w:val="16"/>
          <w:szCs w:val="16"/>
        </w:rPr>
      </w:pPr>
      <w:r>
        <w:rPr>
          <w:rFonts w:ascii="SimSun" w:hAnsi="SimSun" w:eastAsia="SimSun" w:cs="SimSun"/>
          <w:sz w:val="16"/>
          <w:szCs w:val="16"/>
          <w:spacing w:val="-7"/>
        </w:rPr>
        <w:t>支持。</w:t>
      </w:r>
    </w:p>
    <w:p>
      <w:pPr>
        <w:ind w:left="510"/>
        <w:spacing w:before="90" w:line="219" w:lineRule="auto"/>
        <w:rPr>
          <w:rFonts w:ascii="SimSun" w:hAnsi="SimSun" w:eastAsia="SimSun" w:cs="SimSun"/>
          <w:sz w:val="16"/>
          <w:szCs w:val="16"/>
        </w:rPr>
      </w:pPr>
      <w:r>
        <w:rPr>
          <w:rFonts w:ascii="SimSun" w:hAnsi="SimSun" w:eastAsia="SimSun" w:cs="SimSun"/>
          <w:sz w:val="16"/>
          <w:szCs w:val="16"/>
          <w:spacing w:val="-7"/>
        </w:rPr>
        <w:t>(2)集团信息化领导小组应加强对各单位数据分析的指导，鼓励各单位结合自身实际，充分利用“大数据”技</w:t>
      </w:r>
    </w:p>
    <w:p>
      <w:pPr>
        <w:ind w:left="369"/>
        <w:spacing w:before="90" w:line="219" w:lineRule="auto"/>
        <w:rPr>
          <w:rFonts w:ascii="SimSun" w:hAnsi="SimSun" w:eastAsia="SimSun" w:cs="SimSun"/>
          <w:sz w:val="16"/>
          <w:szCs w:val="16"/>
        </w:rPr>
      </w:pPr>
      <w:r>
        <w:rPr>
          <w:rFonts w:ascii="SimSun" w:hAnsi="SimSun" w:eastAsia="SimSun" w:cs="SimSun"/>
          <w:sz w:val="16"/>
          <w:szCs w:val="16"/>
          <w:spacing w:val="-9"/>
        </w:rPr>
        <w:t>术，自行组织开发业务选题和数据模型，组织经验交流，提高分析水平。集团信息办要做好数据分</w:t>
      </w:r>
      <w:r>
        <w:rPr>
          <w:rFonts w:ascii="SimSun" w:hAnsi="SimSun" w:eastAsia="SimSun" w:cs="SimSun"/>
          <w:sz w:val="16"/>
          <w:szCs w:val="16"/>
          <w:spacing w:val="-10"/>
        </w:rPr>
        <w:t>析引导和管理</w:t>
      </w:r>
    </w:p>
    <w:p>
      <w:pPr>
        <w:ind w:left="369" w:right="231"/>
        <w:spacing w:before="89" w:line="271" w:lineRule="auto"/>
        <w:rPr>
          <w:rFonts w:ascii="SimSun" w:hAnsi="SimSun" w:eastAsia="SimSun" w:cs="SimSun"/>
          <w:sz w:val="16"/>
          <w:szCs w:val="16"/>
        </w:rPr>
      </w:pPr>
      <w:r>
        <w:rPr>
          <w:rFonts w:ascii="SimSun" w:hAnsi="SimSun" w:eastAsia="SimSun" w:cs="SimSun"/>
          <w:sz w:val="16"/>
          <w:szCs w:val="16"/>
          <w:spacing w:val="-9"/>
        </w:rPr>
        <w:t>工作，为集团安全生产、经营管理工作服务。基层各单位要充分挖掘和利用现有数据</w:t>
      </w:r>
      <w:r>
        <w:rPr>
          <w:rFonts w:ascii="SimSun" w:hAnsi="SimSun" w:eastAsia="SimSun" w:cs="SimSun"/>
          <w:sz w:val="16"/>
          <w:szCs w:val="16"/>
          <w:spacing w:val="-10"/>
        </w:rPr>
        <w:t>资源，不断探索和创新数据</w:t>
      </w:r>
      <w:r>
        <w:rPr>
          <w:rFonts w:ascii="SimSun" w:hAnsi="SimSun" w:eastAsia="SimSun" w:cs="SimSun"/>
          <w:sz w:val="16"/>
          <w:szCs w:val="16"/>
        </w:rPr>
        <w:t xml:space="preserve"> </w:t>
      </w:r>
      <w:r>
        <w:rPr>
          <w:rFonts w:ascii="SimSun" w:hAnsi="SimSun" w:eastAsia="SimSun" w:cs="SimSun"/>
          <w:sz w:val="16"/>
          <w:szCs w:val="16"/>
          <w:spacing w:val="-9"/>
        </w:rPr>
        <w:t>分析方法，规范数据分析程序，提高数据分析质量，做好本单位</w:t>
      </w:r>
      <w:r>
        <w:rPr>
          <w:rFonts w:ascii="SimSun" w:hAnsi="SimSun" w:eastAsia="SimSun" w:cs="SimSun"/>
          <w:sz w:val="16"/>
          <w:szCs w:val="16"/>
          <w:spacing w:val="-10"/>
        </w:rPr>
        <w:t>各项应用的数据分析工作。</w:t>
      </w:r>
    </w:p>
    <w:p>
      <w:pPr>
        <w:ind w:left="510"/>
        <w:spacing w:before="92" w:line="219" w:lineRule="auto"/>
        <w:rPr>
          <w:rFonts w:ascii="SimSun" w:hAnsi="SimSun" w:eastAsia="SimSun" w:cs="SimSun"/>
          <w:sz w:val="16"/>
          <w:szCs w:val="16"/>
        </w:rPr>
      </w:pPr>
      <w:r>
        <w:rPr>
          <w:rFonts w:ascii="SimSun" w:hAnsi="SimSun" w:eastAsia="SimSun" w:cs="SimSun"/>
          <w:sz w:val="16"/>
          <w:szCs w:val="16"/>
          <w:spacing w:val="-7"/>
        </w:rPr>
        <w:t>(3)集团级数据分析、处室级数据分析和厂矿级数据分析分别由集团信息办、相关业务处室和各基层单位负责</w:t>
      </w:r>
    </w:p>
    <w:p>
      <w:pPr>
        <w:ind w:left="369"/>
        <w:spacing w:before="90" w:line="219" w:lineRule="auto"/>
        <w:rPr>
          <w:rFonts w:ascii="SimSun" w:hAnsi="SimSun" w:eastAsia="SimSun" w:cs="SimSun"/>
          <w:sz w:val="16"/>
          <w:szCs w:val="16"/>
        </w:rPr>
      </w:pPr>
      <w:r>
        <w:rPr>
          <w:rFonts w:ascii="SimSun" w:hAnsi="SimSun" w:eastAsia="SimSun" w:cs="SimSun"/>
          <w:sz w:val="16"/>
          <w:szCs w:val="16"/>
          <w:spacing w:val="-9"/>
        </w:rPr>
        <w:t>策划和实施，集团信息化领导小组负责监督和考核。</w:t>
      </w:r>
    </w:p>
    <w:p>
      <w:pPr>
        <w:ind w:left="510"/>
        <w:spacing w:before="100" w:line="219" w:lineRule="auto"/>
        <w:rPr>
          <w:rFonts w:ascii="SimSun" w:hAnsi="SimSun" w:eastAsia="SimSun" w:cs="SimSun"/>
          <w:sz w:val="16"/>
          <w:szCs w:val="16"/>
        </w:rPr>
      </w:pPr>
      <w:r>
        <w:rPr>
          <w:rFonts w:ascii="SimSun" w:hAnsi="SimSun" w:eastAsia="SimSun" w:cs="SimSun"/>
          <w:sz w:val="16"/>
          <w:szCs w:val="16"/>
          <w:spacing w:val="-6"/>
        </w:rPr>
        <w:t>8</w:t>
      </w:r>
      <w:r>
        <w:rPr>
          <w:rFonts w:ascii="SimSun" w:hAnsi="SimSun" w:eastAsia="SimSun" w:cs="SimSun"/>
          <w:sz w:val="16"/>
          <w:szCs w:val="16"/>
          <w:spacing w:val="62"/>
        </w:rPr>
        <w:t xml:space="preserve"> </w:t>
      </w:r>
      <w:r>
        <w:rPr>
          <w:rFonts w:ascii="SimSun" w:hAnsi="SimSun" w:eastAsia="SimSun" w:cs="SimSun"/>
          <w:sz w:val="16"/>
          <w:szCs w:val="16"/>
          <w:spacing w:val="-6"/>
        </w:rPr>
        <w:t>数据应用管理</w:t>
      </w:r>
    </w:p>
    <w:p>
      <w:pPr>
        <w:ind w:left="510"/>
        <w:spacing w:before="79" w:line="218" w:lineRule="auto"/>
        <w:rPr>
          <w:rFonts w:ascii="SimSun" w:hAnsi="SimSun" w:eastAsia="SimSun" w:cs="SimSun"/>
          <w:sz w:val="16"/>
          <w:szCs w:val="16"/>
        </w:rPr>
      </w:pPr>
      <w:r>
        <w:rPr>
          <w:rFonts w:ascii="SimSun" w:hAnsi="SimSun" w:eastAsia="SimSun" w:cs="SimSun"/>
          <w:sz w:val="16"/>
          <w:szCs w:val="16"/>
          <w:spacing w:val="-7"/>
        </w:rPr>
        <w:t>(1)数据应用是指利用数据分析的成果，查找存在问题，开展业务运转状况评估，提出改进措施，提</w:t>
      </w:r>
      <w:r>
        <w:rPr>
          <w:rFonts w:ascii="SimSun" w:hAnsi="SimSun" w:eastAsia="SimSun" w:cs="SimSun"/>
          <w:sz w:val="16"/>
          <w:szCs w:val="16"/>
          <w:spacing w:val="-8"/>
        </w:rPr>
        <w:t>高管理水</w:t>
      </w:r>
    </w:p>
    <w:p>
      <w:pPr>
        <w:ind w:left="369"/>
        <w:spacing w:before="102" w:line="219" w:lineRule="auto"/>
        <w:rPr>
          <w:rFonts w:ascii="SimSun" w:hAnsi="SimSun" w:eastAsia="SimSun" w:cs="SimSun"/>
          <w:sz w:val="16"/>
          <w:szCs w:val="16"/>
        </w:rPr>
      </w:pPr>
      <w:r>
        <w:rPr>
          <w:rFonts w:ascii="SimSun" w:hAnsi="SimSun" w:eastAsia="SimSun" w:cs="SimSun"/>
          <w:sz w:val="16"/>
          <w:szCs w:val="16"/>
          <w:spacing w:val="-9"/>
        </w:rPr>
        <w:t>平，规避管理风险。</w:t>
      </w:r>
    </w:p>
    <w:p>
      <w:pPr>
        <w:spacing w:line="219" w:lineRule="auto"/>
        <w:sectPr>
          <w:footerReference w:type="default" r:id="rId345"/>
          <w:pgSz w:w="8870" w:h="13400"/>
          <w:pgMar w:top="400" w:right="339" w:bottom="460" w:left="540" w:header="0" w:footer="261" w:gutter="0"/>
        </w:sectPr>
        <w:rPr>
          <w:rFonts w:ascii="SimSun" w:hAnsi="SimSun" w:eastAsia="SimSun" w:cs="SimSun"/>
          <w:sz w:val="16"/>
          <w:szCs w:val="16"/>
        </w:rPr>
      </w:pPr>
    </w:p>
    <w:p>
      <w:pPr>
        <w:ind w:left="5518"/>
        <w:spacing w:before="155" w:line="219" w:lineRule="auto"/>
        <w:rPr>
          <w:rFonts w:ascii="SimSun" w:hAnsi="SimSun" w:eastAsia="SimSun" w:cs="SimSun"/>
          <w:sz w:val="24"/>
          <w:szCs w:val="24"/>
        </w:rPr>
      </w:pPr>
      <w:r>
        <w:rPr>
          <w:rFonts w:ascii="SimSun" w:hAnsi="SimSun" w:eastAsia="SimSun" w:cs="SimSun"/>
          <w:sz w:val="24"/>
          <w:szCs w:val="24"/>
          <w:b/>
          <w:bCs/>
          <w:spacing w:val="-12"/>
        </w:rPr>
        <w:t>第7章■云端数据操作</w:t>
      </w:r>
    </w:p>
    <w:p>
      <w:pPr>
        <w:pStyle w:val="BodyText"/>
        <w:spacing w:line="321" w:lineRule="auto"/>
        <w:rPr/>
      </w:pPr>
      <w:r/>
    </w:p>
    <w:p>
      <w:pPr>
        <w:ind w:left="6935"/>
        <w:spacing w:before="55" w:line="214" w:lineRule="auto"/>
        <w:rPr>
          <w:rFonts w:ascii="SimSun" w:hAnsi="SimSun" w:eastAsia="SimSun" w:cs="SimSun"/>
          <w:sz w:val="17"/>
          <w:szCs w:val="17"/>
        </w:rPr>
      </w:pPr>
      <w:r>
        <w:rPr>
          <w:rFonts w:ascii="SimSun" w:hAnsi="SimSun" w:eastAsia="SimSun" w:cs="SimSun"/>
          <w:sz w:val="17"/>
          <w:szCs w:val="17"/>
          <w:spacing w:val="-3"/>
        </w:rPr>
        <w:t>续表</w:t>
      </w:r>
    </w:p>
    <w:tbl>
      <w:tblPr>
        <w:tblStyle w:val="TableNormal"/>
        <w:tblW w:w="767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70"/>
      </w:tblGrid>
      <w:tr>
        <w:trPr>
          <w:trHeight w:val="5410" w:hRule="atLeast"/>
        </w:trPr>
        <w:tc>
          <w:tcPr>
            <w:tcW w:w="7670" w:type="dxa"/>
            <w:vAlign w:val="top"/>
          </w:tcPr>
          <w:p>
            <w:pPr>
              <w:pStyle w:val="TableText"/>
              <w:ind w:left="125" w:right="190" w:firstLine="139"/>
              <w:spacing w:before="119" w:line="307" w:lineRule="auto"/>
              <w:rPr/>
            </w:pPr>
            <w:r>
              <w:rPr/>
              <w:t>(2)各级信息管理部门应加强数据应用。集团信息办负责代表集团对各单位以及单位之间数据共享应用的统一</w:t>
            </w:r>
            <w:r>
              <w:rPr>
                <w:spacing w:val="1"/>
              </w:rPr>
              <w:t xml:space="preserve">  </w:t>
            </w:r>
            <w:r>
              <w:rPr/>
              <w:t>规划并制订标准。各单位要严格按部门、按层级落实数据应用工作，对数据进行科学统计、分析</w:t>
            </w:r>
            <w:r>
              <w:rPr>
                <w:spacing w:val="-1"/>
              </w:rPr>
              <w:t>、挖掘和应用，</w:t>
            </w:r>
            <w:r>
              <w:rPr/>
              <w:t xml:space="preserve"> </w:t>
            </w:r>
            <w:r>
              <w:rPr>
                <w:spacing w:val="-1"/>
              </w:rPr>
              <w:t>为各级领导决策提供依据。</w:t>
            </w:r>
          </w:p>
          <w:p>
            <w:pPr>
              <w:pStyle w:val="TableText"/>
              <w:ind w:left="245"/>
              <w:spacing w:before="83" w:line="219" w:lineRule="auto"/>
              <w:rPr/>
            </w:pPr>
            <w:r>
              <w:rPr>
                <w:spacing w:val="-1"/>
              </w:rPr>
              <w:t>9数据安全管理</w:t>
            </w:r>
          </w:p>
          <w:p>
            <w:pPr>
              <w:pStyle w:val="TableText"/>
              <w:ind w:left="125" w:right="278" w:firstLine="130"/>
              <w:spacing w:before="131" w:line="276" w:lineRule="auto"/>
              <w:rPr/>
            </w:pPr>
            <w:r>
              <w:rPr/>
              <w:t>(1)各级信息管理部门应建立数据安全管理制度及相关措施，主要包括：数据访问的身份验证、权限管理及数 </w:t>
            </w:r>
            <w:r>
              <w:rPr>
                <w:spacing w:val="-1"/>
              </w:rPr>
              <w:t>据的加密、保密、日志管理、网络安全、容灾备份等。</w:t>
            </w:r>
          </w:p>
          <w:p>
            <w:pPr>
              <w:pStyle w:val="TableText"/>
              <w:ind w:left="125" w:right="268" w:firstLine="139"/>
              <w:spacing w:before="112" w:line="276" w:lineRule="auto"/>
              <w:rPr/>
            </w:pPr>
            <w:r>
              <w:rPr/>
              <w:t>(2)为统一规范操作权限，各单位应明确工作人员的录入权限、访问权限及维护权限的管理部门，任何人不得 </w:t>
            </w:r>
            <w:r>
              <w:rPr>
                <w:spacing w:val="-1"/>
              </w:rPr>
              <w:t>擅自设立、变更和注销。</w:t>
            </w:r>
          </w:p>
          <w:p>
            <w:pPr>
              <w:pStyle w:val="TableText"/>
              <w:ind w:left="125" w:right="277" w:firstLine="130"/>
              <w:spacing w:before="80" w:line="276" w:lineRule="auto"/>
              <w:rPr/>
            </w:pPr>
            <w:r>
              <w:rPr/>
              <w:t>(3)各级信息管理部门要指定专人负责系统数据及介质资料的安全管理工作。要加强数据库的安全管理，制订</w:t>
            </w:r>
            <w:r>
              <w:rPr>
                <w:spacing w:val="1"/>
              </w:rPr>
              <w:t xml:space="preserve"> </w:t>
            </w:r>
            <w:r>
              <w:rPr>
                <w:spacing w:val="-1"/>
              </w:rPr>
              <w:t>和明确管理员用户和数据查询用户的操作权限及规程。</w:t>
            </w:r>
          </w:p>
          <w:p>
            <w:pPr>
              <w:pStyle w:val="TableText"/>
              <w:ind w:left="125" w:right="110" w:firstLine="149"/>
              <w:spacing w:before="132" w:line="282" w:lineRule="auto"/>
              <w:rPr/>
            </w:pPr>
            <w:r>
              <w:rPr/>
              <w:t>(4)对数据的各项操作至少要建立运行日志，严格监控操作过程，对发现的数据安全问题，要及时处理和上</w:t>
            </w:r>
            <w:r>
              <w:rPr>
                <w:spacing w:val="-1"/>
              </w:rPr>
              <w:t>报。</w:t>
            </w:r>
            <w:r>
              <w:rPr/>
              <w:t xml:space="preserve"> </w:t>
            </w:r>
            <w:r>
              <w:rPr/>
              <w:t>管理员应掌握和运用数据库访问审计技术，实现对数据库操作的</w:t>
            </w:r>
            <w:r>
              <w:rPr>
                <w:spacing w:val="-1"/>
              </w:rPr>
              <w:t>监测和追溯。</w:t>
            </w:r>
          </w:p>
          <w:p>
            <w:pPr>
              <w:pStyle w:val="TableText"/>
              <w:ind w:left="125" w:right="258" w:firstLine="149"/>
              <w:spacing w:before="112" w:line="275" w:lineRule="auto"/>
              <w:rPr/>
            </w:pPr>
            <w:r>
              <w:rPr/>
              <w:t>(5)各级信息管理部门要加强用户身份验证管理、网络安全管理，采取严格措施，做好计算机病毒的预防、检 </w:t>
            </w:r>
            <w:r>
              <w:rPr/>
              <w:t>测、清除工作，建立针对网络攻击的防范措施，保证数据传</w:t>
            </w:r>
            <w:r>
              <w:rPr>
                <w:spacing w:val="-1"/>
              </w:rPr>
              <w:t>输和存储安全。</w:t>
            </w:r>
          </w:p>
          <w:p>
            <w:pPr>
              <w:pStyle w:val="TableText"/>
              <w:ind w:left="125"/>
              <w:spacing w:before="112" w:line="219" w:lineRule="auto"/>
              <w:rPr/>
            </w:pPr>
            <w:r>
              <w:rPr/>
              <w:t>(6)各级信息管理部门要加强数据的容灾备份工作，建立数据容灾备份机制，保障系统应急恢复和数据溯</w:t>
            </w:r>
            <w:r>
              <w:rPr>
                <w:spacing w:val="-1"/>
              </w:rPr>
              <w:t>源。</w:t>
            </w:r>
          </w:p>
          <w:p>
            <w:pPr>
              <w:pStyle w:val="TableText"/>
              <w:ind w:left="125"/>
              <w:spacing w:before="102" w:line="280" w:lineRule="exact"/>
              <w:rPr/>
            </w:pPr>
            <w:r>
              <w:rPr>
                <w:spacing w:val="-1"/>
                <w:position w:val="10"/>
              </w:rPr>
              <w:t>重要数据要上传至集团数据中心备份。</w:t>
            </w:r>
          </w:p>
          <w:p>
            <w:pPr>
              <w:pStyle w:val="TableText"/>
              <w:ind w:left="265"/>
              <w:spacing w:before="1" w:line="218" w:lineRule="auto"/>
              <w:rPr/>
            </w:pPr>
            <w:r>
              <w:rPr>
                <w:spacing w:val="-5"/>
              </w:rPr>
              <w:t>10</w:t>
            </w:r>
            <w:r>
              <w:rPr>
                <w:spacing w:val="19"/>
              </w:rPr>
              <w:t xml:space="preserve">  </w:t>
            </w:r>
            <w:r>
              <w:rPr>
                <w:spacing w:val="-5"/>
              </w:rPr>
              <w:t>附则</w:t>
            </w:r>
          </w:p>
          <w:p>
            <w:pPr>
              <w:pStyle w:val="TableText"/>
              <w:ind w:left="245"/>
              <w:spacing w:before="72" w:line="219" w:lineRule="auto"/>
              <w:rPr/>
            </w:pPr>
            <w:r>
              <w:rPr>
                <w:spacing w:val="-1"/>
              </w:rPr>
              <w:t>(1)本办法解释权归集团。</w:t>
            </w:r>
          </w:p>
          <w:p>
            <w:pPr>
              <w:pStyle w:val="TableText"/>
              <w:ind w:left="265"/>
              <w:spacing w:before="132" w:line="219" w:lineRule="auto"/>
              <w:rPr/>
            </w:pPr>
            <w:r>
              <w:rPr/>
              <w:t>(2)本办法自本文印发之日起执行。</w:t>
            </w:r>
          </w:p>
        </w:tc>
      </w:tr>
    </w:tbl>
    <w:p>
      <w:pPr>
        <w:pStyle w:val="BodyText"/>
        <w:rPr/>
      </w:pPr>
      <w:r/>
    </w:p>
    <w:p>
      <w:pPr>
        <w:sectPr>
          <w:footerReference w:type="default" r:id="rId348"/>
          <w:pgSz w:w="8870" w:h="13400"/>
          <w:pgMar w:top="400" w:right="640" w:bottom="570" w:left="364" w:header="0" w:footer="371" w:gutter="0"/>
        </w:sectPr>
        <w:rPr/>
      </w:pP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ind w:left="2075"/>
        <w:spacing w:before="133" w:line="221" w:lineRule="auto"/>
        <w:rPr>
          <w:rFonts w:ascii="SimHei" w:hAnsi="SimHei" w:eastAsia="SimHei" w:cs="SimHei"/>
          <w:sz w:val="41"/>
          <w:szCs w:val="41"/>
        </w:rPr>
      </w:pPr>
      <w:r>
        <w:rPr>
          <w:rFonts w:ascii="SimHei" w:hAnsi="SimHei" w:eastAsia="SimHei" w:cs="SimHei"/>
          <w:sz w:val="41"/>
          <w:szCs w:val="41"/>
          <w:b/>
          <w:bCs/>
          <w:spacing w:val="-12"/>
        </w:rPr>
        <w:t>第</w:t>
      </w:r>
      <w:r>
        <w:rPr>
          <w:rFonts w:ascii="SimHei" w:hAnsi="SimHei" w:eastAsia="SimHei" w:cs="SimHei"/>
          <w:sz w:val="41"/>
          <w:szCs w:val="41"/>
          <w:spacing w:val="-81"/>
        </w:rPr>
        <w:t xml:space="preserve"> </w:t>
      </w:r>
      <w:r>
        <w:rPr>
          <w:rFonts w:ascii="SimHei" w:hAnsi="SimHei" w:eastAsia="SimHei" w:cs="SimHei"/>
          <w:sz w:val="41"/>
          <w:szCs w:val="41"/>
          <w:b/>
          <w:bCs/>
          <w:spacing w:val="-12"/>
        </w:rPr>
        <w:t>8</w:t>
      </w:r>
      <w:r>
        <w:rPr>
          <w:rFonts w:ascii="SimHei" w:hAnsi="SimHei" w:eastAsia="SimHei" w:cs="SimHei"/>
          <w:sz w:val="41"/>
          <w:szCs w:val="41"/>
          <w:spacing w:val="-75"/>
        </w:rPr>
        <w:t xml:space="preserve"> </w:t>
      </w:r>
      <w:r>
        <w:rPr>
          <w:rFonts w:ascii="SimHei" w:hAnsi="SimHei" w:eastAsia="SimHei" w:cs="SimHei"/>
          <w:sz w:val="41"/>
          <w:szCs w:val="41"/>
          <w:b/>
          <w:bCs/>
          <w:spacing w:val="-12"/>
        </w:rPr>
        <w:t>章</w:t>
      </w:r>
      <w:r>
        <w:rPr>
          <w:rFonts w:ascii="SimHei" w:hAnsi="SimHei" w:eastAsia="SimHei" w:cs="SimHei"/>
          <w:sz w:val="41"/>
          <w:szCs w:val="41"/>
          <w:spacing w:val="191"/>
        </w:rPr>
        <w:t xml:space="preserve"> </w:t>
      </w:r>
      <w:r>
        <w:rPr>
          <w:rFonts w:ascii="SimHei" w:hAnsi="SimHei" w:eastAsia="SimHei" w:cs="SimHei"/>
          <w:sz w:val="41"/>
          <w:szCs w:val="41"/>
          <w:b/>
          <w:bCs/>
          <w:spacing w:val="-12"/>
        </w:rPr>
        <w:t>云端数据架构</w:t>
      </w:r>
    </w:p>
    <w:p>
      <w:pPr>
        <w:pStyle w:val="BodyText"/>
        <w:spacing w:line="255" w:lineRule="auto"/>
        <w:rPr/>
      </w:pPr>
      <w:r/>
    </w:p>
    <w:p>
      <w:pPr>
        <w:pStyle w:val="BodyText"/>
        <w:spacing w:line="256" w:lineRule="auto"/>
        <w:rPr/>
      </w:pPr>
      <w:r/>
    </w:p>
    <w:p>
      <w:pPr>
        <w:ind w:left="285"/>
        <w:spacing w:before="114" w:line="221" w:lineRule="auto"/>
        <w:outlineLvl w:val="2"/>
        <w:rPr>
          <w:rFonts w:ascii="SimHei" w:hAnsi="SimHei" w:eastAsia="SimHei" w:cs="SimHei"/>
          <w:sz w:val="35"/>
          <w:szCs w:val="35"/>
        </w:rPr>
      </w:pPr>
      <w:r>
        <w:rPr>
          <w:rFonts w:ascii="SimHei" w:hAnsi="SimHei" w:eastAsia="SimHei" w:cs="SimHei"/>
          <w:sz w:val="35"/>
          <w:szCs w:val="35"/>
          <w:b/>
          <w:bCs/>
          <w:spacing w:val="-10"/>
        </w:rPr>
        <w:t>8.1</w:t>
      </w:r>
      <w:r>
        <w:rPr>
          <w:rFonts w:ascii="SimHei" w:hAnsi="SimHei" w:eastAsia="SimHei" w:cs="SimHei"/>
          <w:sz w:val="35"/>
          <w:szCs w:val="35"/>
          <w:spacing w:val="121"/>
        </w:rPr>
        <w:t xml:space="preserve"> </w:t>
      </w:r>
      <w:r>
        <w:rPr>
          <w:rFonts w:ascii="SimHei" w:hAnsi="SimHei" w:eastAsia="SimHei" w:cs="SimHei"/>
          <w:sz w:val="35"/>
          <w:szCs w:val="35"/>
          <w:b/>
          <w:bCs/>
          <w:spacing w:val="-10"/>
        </w:rPr>
        <w:t>概述</w:t>
      </w:r>
    </w:p>
    <w:p>
      <w:pPr>
        <w:pStyle w:val="BodyText"/>
        <w:spacing w:line="253" w:lineRule="auto"/>
        <w:rPr/>
      </w:pPr>
      <w:r/>
    </w:p>
    <w:p>
      <w:pPr>
        <w:ind w:left="283"/>
        <w:spacing w:before="94" w:line="221" w:lineRule="auto"/>
        <w:outlineLvl w:val="3"/>
        <w:rPr>
          <w:rFonts w:ascii="YouYuan" w:hAnsi="YouYuan" w:eastAsia="YouYuan" w:cs="YouYuan"/>
          <w:sz w:val="29"/>
          <w:szCs w:val="29"/>
        </w:rPr>
      </w:pPr>
      <w:r>
        <w:rPr>
          <w:rFonts w:ascii="YouYuan" w:hAnsi="YouYuan" w:eastAsia="YouYuan" w:cs="YouYuan"/>
          <w:sz w:val="29"/>
          <w:szCs w:val="29"/>
          <w:b/>
          <w:bCs/>
          <w:spacing w:val="-9"/>
        </w:rPr>
        <w:t>8.1.1</w:t>
      </w:r>
      <w:r>
        <w:rPr>
          <w:rFonts w:ascii="YouYuan" w:hAnsi="YouYuan" w:eastAsia="YouYuan" w:cs="YouYuan"/>
          <w:sz w:val="29"/>
          <w:szCs w:val="29"/>
          <w:spacing w:val="-9"/>
        </w:rPr>
        <w:t xml:space="preserve">  </w:t>
      </w:r>
      <w:r>
        <w:rPr>
          <w:rFonts w:ascii="YouYuan" w:hAnsi="YouYuan" w:eastAsia="YouYuan" w:cs="YouYuan"/>
          <w:sz w:val="29"/>
          <w:szCs w:val="29"/>
          <w:b/>
          <w:bCs/>
          <w:spacing w:val="-9"/>
        </w:rPr>
        <w:t>目的和意义</w:t>
      </w:r>
    </w:p>
    <w:p>
      <w:pPr>
        <w:pStyle w:val="BodyText"/>
        <w:spacing w:line="264" w:lineRule="auto"/>
        <w:rPr/>
      </w:pPr>
      <w:r/>
    </w:p>
    <w:p>
      <w:pPr>
        <w:ind w:left="280" w:right="36" w:firstLine="439"/>
        <w:spacing w:before="68" w:line="264" w:lineRule="auto"/>
        <w:jc w:val="both"/>
        <w:rPr>
          <w:rFonts w:ascii="SimSun" w:hAnsi="SimSun" w:eastAsia="SimSun" w:cs="SimSun"/>
          <w:sz w:val="21"/>
          <w:szCs w:val="21"/>
        </w:rPr>
      </w:pPr>
      <w:r>
        <w:rPr>
          <w:rFonts w:ascii="Times New Roman" w:hAnsi="Times New Roman" w:eastAsia="Times New Roman" w:cs="Times New Roman"/>
          <w:sz w:val="21"/>
          <w:szCs w:val="21"/>
          <w:spacing w:val="-1"/>
        </w:rPr>
        <w:t>IT </w:t>
      </w:r>
      <w:r>
        <w:rPr>
          <w:rFonts w:ascii="SimSun" w:hAnsi="SimSun" w:eastAsia="SimSun" w:cs="SimSun"/>
          <w:sz w:val="21"/>
          <w:szCs w:val="21"/>
          <w:spacing w:val="-1"/>
        </w:rPr>
        <w:t>架构是由数据架构、应用架构和技术架构共同构成的。其中，数据架构是组 </w:t>
      </w:r>
      <w:r>
        <w:rPr>
          <w:rFonts w:ascii="SimSun" w:hAnsi="SimSun" w:eastAsia="SimSun" w:cs="SimSun"/>
          <w:sz w:val="21"/>
          <w:szCs w:val="21"/>
        </w:rPr>
        <w:t>织</w:t>
      </w:r>
      <w:r>
        <w:rPr>
          <w:rFonts w:ascii="Times New Roman" w:hAnsi="Times New Roman" w:eastAsia="Times New Roman" w:cs="Times New Roman"/>
          <w:sz w:val="21"/>
          <w:szCs w:val="21"/>
        </w:rPr>
        <w:t>IT </w:t>
      </w:r>
      <w:r>
        <w:rPr>
          <w:rFonts w:ascii="SimSun" w:hAnsi="SimSun" w:eastAsia="SimSun" w:cs="SimSun"/>
          <w:sz w:val="21"/>
          <w:szCs w:val="21"/>
        </w:rPr>
        <w:t>架构的核心，因为信息系统支撑下的组织业务运作状况，是通过信息系统中的</w:t>
      </w:r>
      <w:r>
        <w:rPr>
          <w:rFonts w:ascii="SimSun" w:hAnsi="SimSun" w:eastAsia="SimSun" w:cs="SimSun"/>
          <w:sz w:val="21"/>
          <w:szCs w:val="21"/>
          <w:spacing w:val="9"/>
        </w:rPr>
        <w:t xml:space="preserve"> </w:t>
      </w:r>
      <w:r>
        <w:rPr>
          <w:rFonts w:ascii="SimSun" w:hAnsi="SimSun" w:eastAsia="SimSun" w:cs="SimSun"/>
          <w:sz w:val="21"/>
          <w:szCs w:val="21"/>
          <w:spacing w:val="1"/>
        </w:rPr>
        <w:t>数据反映出来的，数据是信息系统管理的重</w:t>
      </w:r>
      <w:r>
        <w:rPr>
          <w:rFonts w:ascii="SimSun" w:hAnsi="SimSun" w:eastAsia="SimSun" w:cs="SimSun"/>
          <w:sz w:val="21"/>
          <w:szCs w:val="21"/>
        </w:rPr>
        <w:t>要资源。因此构建组织</w:t>
      </w:r>
      <w:r>
        <w:rPr>
          <w:rFonts w:ascii="Times New Roman" w:hAnsi="Times New Roman" w:eastAsia="Times New Roman" w:cs="Times New Roman"/>
          <w:sz w:val="21"/>
          <w:szCs w:val="21"/>
        </w:rPr>
        <w:t>IT </w:t>
      </w:r>
      <w:r>
        <w:rPr>
          <w:rFonts w:ascii="SimSun" w:hAnsi="SimSun" w:eastAsia="SimSun" w:cs="SimSun"/>
          <w:sz w:val="21"/>
          <w:szCs w:val="21"/>
        </w:rPr>
        <w:t>架构时，首先 </w:t>
      </w:r>
      <w:r>
        <w:rPr>
          <w:rFonts w:ascii="SimSun" w:hAnsi="SimSun" w:eastAsia="SimSun" w:cs="SimSun"/>
          <w:sz w:val="21"/>
          <w:szCs w:val="21"/>
        </w:rPr>
        <w:t>要考虑数据架构对当前业务的支持。理想的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架构规划逻辑是数据驱动的，即：首 </w:t>
      </w:r>
      <w:r>
        <w:rPr>
          <w:rFonts w:ascii="SimSun" w:hAnsi="SimSun" w:eastAsia="SimSun" w:cs="SimSun"/>
          <w:sz w:val="21"/>
          <w:szCs w:val="21"/>
          <w:spacing w:val="-3"/>
        </w:rPr>
        <w:t>先根据业务架构分析定义数据架构；然后根据数据架构结合业务功能定义应用架构；</w:t>
      </w:r>
      <w:r>
        <w:rPr>
          <w:rFonts w:ascii="SimSun" w:hAnsi="SimSun" w:eastAsia="SimSun" w:cs="SimSun"/>
          <w:sz w:val="21"/>
          <w:szCs w:val="21"/>
          <w:spacing w:val="15"/>
        </w:rPr>
        <w:t xml:space="preserve"> </w:t>
      </w:r>
      <w:r>
        <w:rPr>
          <w:rFonts w:ascii="SimSun" w:hAnsi="SimSun" w:eastAsia="SimSun" w:cs="SimSun"/>
          <w:sz w:val="21"/>
          <w:szCs w:val="21"/>
          <w:spacing w:val="-2"/>
        </w:rPr>
        <w:t>最后根据数据架构与数据定义，来设计技术架构。</w:t>
      </w:r>
    </w:p>
    <w:p>
      <w:pPr>
        <w:ind w:left="722"/>
        <w:spacing w:before="66" w:line="222" w:lineRule="auto"/>
        <w:rPr>
          <w:rFonts w:ascii="SimHei" w:hAnsi="SimHei" w:eastAsia="SimHei" w:cs="SimHei"/>
          <w:sz w:val="21"/>
          <w:szCs w:val="21"/>
        </w:rPr>
      </w:pPr>
      <w:r>
        <w:rPr>
          <w:rFonts w:ascii="SimHei" w:hAnsi="SimHei" w:eastAsia="SimHei" w:cs="SimHei"/>
          <w:sz w:val="21"/>
          <w:szCs w:val="21"/>
          <w:b/>
          <w:bCs/>
          <w:spacing w:val="6"/>
        </w:rPr>
        <w:t>例子1:数据架构研究程序与数据库的关系</w:t>
      </w:r>
    </w:p>
    <w:p>
      <w:pPr>
        <w:ind w:left="280" w:right="86" w:firstLine="439"/>
        <w:spacing w:before="60" w:line="262" w:lineRule="auto"/>
        <w:jc w:val="both"/>
        <w:rPr>
          <w:rFonts w:ascii="SimSun" w:hAnsi="SimSun" w:eastAsia="SimSun" w:cs="SimSun"/>
          <w:sz w:val="21"/>
          <w:szCs w:val="21"/>
        </w:rPr>
      </w:pPr>
      <w:r>
        <w:rPr>
          <w:rFonts w:ascii="SimSun" w:hAnsi="SimSun" w:eastAsia="SimSun" w:cs="SimSun"/>
          <w:sz w:val="21"/>
          <w:szCs w:val="21"/>
          <w:spacing w:val="1"/>
        </w:rPr>
        <w:t>随着信息技术的发展，银行信息系统越来越多，各种数据库越来越多，访问某</w:t>
      </w:r>
      <w:r>
        <w:rPr>
          <w:rFonts w:ascii="SimSun" w:hAnsi="SimSun" w:eastAsia="SimSun" w:cs="SimSun"/>
          <w:sz w:val="21"/>
          <w:szCs w:val="21"/>
          <w:spacing w:val="5"/>
        </w:rPr>
        <w:t xml:space="preserve"> </w:t>
      </w:r>
      <w:r>
        <w:rPr>
          <w:rFonts w:ascii="SimSun" w:hAnsi="SimSun" w:eastAsia="SimSun" w:cs="SimSun"/>
          <w:sz w:val="21"/>
          <w:szCs w:val="21"/>
          <w:spacing w:val="8"/>
        </w:rPr>
        <w:t>个数据库的应用(程序)也越来越多。如国</w:t>
      </w:r>
      <w:r>
        <w:rPr>
          <w:rFonts w:ascii="SimSun" w:hAnsi="SimSun" w:eastAsia="SimSun" w:cs="SimSun"/>
          <w:sz w:val="21"/>
          <w:szCs w:val="21"/>
          <w:spacing w:val="7"/>
        </w:rPr>
        <w:t>内一些大型银行，信息系统主机侧的核</w:t>
      </w:r>
      <w:r>
        <w:rPr>
          <w:rFonts w:ascii="SimSun" w:hAnsi="SimSun" w:eastAsia="SimSun" w:cs="SimSun"/>
          <w:sz w:val="21"/>
          <w:szCs w:val="21"/>
        </w:rPr>
        <w:t xml:space="preserve"> </w:t>
      </w:r>
      <w:r>
        <w:rPr>
          <w:rFonts w:ascii="SimSun" w:hAnsi="SimSun" w:eastAsia="SimSun" w:cs="SimSun"/>
          <w:sz w:val="21"/>
          <w:szCs w:val="21"/>
          <w:spacing w:val="2"/>
        </w:rPr>
        <w:t>心银行应用系统，数据库表有数千个，文件近万个，程序数近</w:t>
      </w:r>
      <w:r>
        <w:rPr>
          <w:rFonts w:ascii="SimSun" w:hAnsi="SimSun" w:eastAsia="SimSun" w:cs="SimSun"/>
          <w:sz w:val="21"/>
          <w:szCs w:val="21"/>
          <w:spacing w:val="1"/>
        </w:rPr>
        <w:t>万个。如此巨量的信</w:t>
      </w:r>
      <w:r>
        <w:rPr>
          <w:rFonts w:ascii="SimSun" w:hAnsi="SimSun" w:eastAsia="SimSun" w:cs="SimSun"/>
          <w:sz w:val="21"/>
          <w:szCs w:val="21"/>
        </w:rPr>
        <w:t xml:space="preserve"> </w:t>
      </w:r>
      <w:r>
        <w:rPr>
          <w:rFonts w:ascii="SimSun" w:hAnsi="SimSun" w:eastAsia="SimSun" w:cs="SimSun"/>
          <w:sz w:val="21"/>
          <w:szCs w:val="21"/>
          <w:spacing w:val="2"/>
        </w:rPr>
        <w:t>息系统数据资源，如何配置，如何管理，程序与数</w:t>
      </w:r>
      <w:r>
        <w:rPr>
          <w:rFonts w:ascii="SimSun" w:hAnsi="SimSun" w:eastAsia="SimSun" w:cs="SimSun"/>
          <w:sz w:val="21"/>
          <w:szCs w:val="21"/>
          <w:spacing w:val="1"/>
        </w:rPr>
        <w:t>据库的关系又是如何，是一个数</w:t>
      </w:r>
      <w:r>
        <w:rPr>
          <w:rFonts w:ascii="SimSun" w:hAnsi="SimSun" w:eastAsia="SimSun" w:cs="SimSun"/>
          <w:sz w:val="21"/>
          <w:szCs w:val="21"/>
        </w:rPr>
        <w:t xml:space="preserve"> </w:t>
      </w:r>
      <w:r>
        <w:rPr>
          <w:rFonts w:ascii="SimSun" w:hAnsi="SimSun" w:eastAsia="SimSun" w:cs="SimSun"/>
          <w:sz w:val="21"/>
          <w:szCs w:val="21"/>
          <w:spacing w:val="-4"/>
        </w:rPr>
        <w:t>据架构研究的问题。</w:t>
      </w:r>
    </w:p>
    <w:p>
      <w:pPr>
        <w:ind w:left="722"/>
        <w:spacing w:before="77" w:line="221" w:lineRule="auto"/>
        <w:rPr>
          <w:rFonts w:ascii="SimHei" w:hAnsi="SimHei" w:eastAsia="SimHei" w:cs="SimHei"/>
          <w:sz w:val="21"/>
          <w:szCs w:val="21"/>
        </w:rPr>
      </w:pPr>
      <w:r>
        <w:rPr>
          <w:rFonts w:ascii="SimHei" w:hAnsi="SimHei" w:eastAsia="SimHei" w:cs="SimHei"/>
          <w:sz w:val="21"/>
          <w:szCs w:val="21"/>
          <w:b/>
          <w:bCs/>
          <w:spacing w:val="6"/>
        </w:rPr>
        <w:t>例子2:数据架构的修改影响应用架构、流程架构</w:t>
      </w:r>
    </w:p>
    <w:p>
      <w:pPr>
        <w:ind w:left="280" w:firstLine="439"/>
        <w:spacing w:before="61" w:line="259" w:lineRule="auto"/>
        <w:jc w:val="both"/>
        <w:rPr>
          <w:rFonts w:ascii="SimSun" w:hAnsi="SimSun" w:eastAsia="SimSun" w:cs="SimSun"/>
          <w:sz w:val="21"/>
          <w:szCs w:val="21"/>
        </w:rPr>
      </w:pPr>
      <w:r>
        <w:rPr>
          <w:rFonts w:ascii="SimSun" w:hAnsi="SimSun" w:eastAsia="SimSun" w:cs="SimSun"/>
          <w:sz w:val="21"/>
          <w:szCs w:val="21"/>
          <w:spacing w:val="1"/>
        </w:rPr>
        <w:t>信息系统设计通常可分为应用架构设计、数据架构设计和流程架构设计等。其 </w:t>
      </w:r>
      <w:r>
        <w:rPr>
          <w:rFonts w:ascii="SimSun" w:hAnsi="SimSun" w:eastAsia="SimSun" w:cs="SimSun"/>
          <w:sz w:val="21"/>
          <w:szCs w:val="21"/>
          <w:spacing w:val="-2"/>
        </w:rPr>
        <w:t>中最关键的设计是数据架构的设计，数据架构一经定下，应用架构基本也能定下来。</w:t>
      </w:r>
      <w:r>
        <w:rPr>
          <w:rFonts w:ascii="SimSun" w:hAnsi="SimSun" w:eastAsia="SimSun" w:cs="SimSun"/>
          <w:sz w:val="21"/>
          <w:szCs w:val="21"/>
          <w:spacing w:val="14"/>
        </w:rPr>
        <w:t xml:space="preserve"> </w:t>
      </w:r>
      <w:r>
        <w:rPr>
          <w:rFonts w:ascii="SimSun" w:hAnsi="SimSun" w:eastAsia="SimSun" w:cs="SimSun"/>
          <w:sz w:val="21"/>
          <w:szCs w:val="21"/>
          <w:spacing w:val="2"/>
        </w:rPr>
        <w:t>对于信息系统，最不希望的是对数据架构的修改。</w:t>
      </w:r>
      <w:r>
        <w:rPr>
          <w:rFonts w:ascii="SimSun" w:hAnsi="SimSun" w:eastAsia="SimSun" w:cs="SimSun"/>
          <w:sz w:val="21"/>
          <w:szCs w:val="21"/>
          <w:spacing w:val="1"/>
        </w:rPr>
        <w:t>因为数据架构的修改几乎肯定会</w:t>
      </w:r>
      <w:r>
        <w:rPr>
          <w:rFonts w:ascii="SimSun" w:hAnsi="SimSun" w:eastAsia="SimSun" w:cs="SimSun"/>
          <w:sz w:val="21"/>
          <w:szCs w:val="21"/>
        </w:rPr>
        <w:t xml:space="preserve">  </w:t>
      </w:r>
      <w:r>
        <w:rPr>
          <w:rFonts w:ascii="SimSun" w:hAnsi="SimSun" w:eastAsia="SimSun" w:cs="SimSun"/>
          <w:sz w:val="21"/>
          <w:szCs w:val="21"/>
          <w:spacing w:val="-3"/>
        </w:rPr>
        <w:t>涉及其他两方面架构的修改，代价巨大。</w:t>
      </w:r>
    </w:p>
    <w:p>
      <w:pPr>
        <w:ind w:left="280" w:right="70" w:firstLine="439"/>
        <w:spacing w:before="83" w:line="266" w:lineRule="auto"/>
        <w:jc w:val="both"/>
        <w:rPr>
          <w:rFonts w:ascii="SimSun" w:hAnsi="SimSun" w:eastAsia="SimSun" w:cs="SimSun"/>
          <w:sz w:val="21"/>
          <w:szCs w:val="21"/>
        </w:rPr>
      </w:pPr>
      <w:r>
        <w:rPr>
          <w:rFonts w:ascii="SimSun" w:hAnsi="SimSun" w:eastAsia="SimSun" w:cs="SimSun"/>
          <w:sz w:val="21"/>
          <w:szCs w:val="21"/>
          <w:spacing w:val="2"/>
        </w:rPr>
        <w:t>现实中，通常信息系统的数据架构和流程架构都没能得到系</w:t>
      </w:r>
      <w:r>
        <w:rPr>
          <w:rFonts w:ascii="SimSun" w:hAnsi="SimSun" w:eastAsia="SimSun" w:cs="SimSun"/>
          <w:sz w:val="21"/>
          <w:szCs w:val="21"/>
          <w:spacing w:val="1"/>
        </w:rPr>
        <w:t>统设计人员的足够</w:t>
      </w:r>
      <w:r>
        <w:rPr>
          <w:rFonts w:ascii="SimSun" w:hAnsi="SimSun" w:eastAsia="SimSun" w:cs="SimSun"/>
          <w:sz w:val="21"/>
          <w:szCs w:val="21"/>
        </w:rPr>
        <w:t xml:space="preserve"> </w:t>
      </w:r>
      <w:r>
        <w:rPr>
          <w:rFonts w:ascii="SimSun" w:hAnsi="SimSun" w:eastAsia="SimSun" w:cs="SimSun"/>
          <w:sz w:val="21"/>
          <w:szCs w:val="21"/>
          <w:spacing w:val="2"/>
        </w:rPr>
        <w:t>重视。实际上，没有一个好的数据架构，就没有</w:t>
      </w:r>
      <w:r>
        <w:rPr>
          <w:rFonts w:ascii="SimSun" w:hAnsi="SimSun" w:eastAsia="SimSun" w:cs="SimSun"/>
          <w:sz w:val="21"/>
          <w:szCs w:val="21"/>
          <w:spacing w:val="1"/>
        </w:rPr>
        <w:t>一个好的应用架构。数据的松耦合</w:t>
      </w:r>
      <w:r>
        <w:rPr>
          <w:rFonts w:ascii="SimSun" w:hAnsi="SimSun" w:eastAsia="SimSun" w:cs="SimSun"/>
          <w:sz w:val="21"/>
          <w:szCs w:val="21"/>
        </w:rPr>
        <w:t xml:space="preserve"> </w:t>
      </w:r>
      <w:r>
        <w:rPr>
          <w:rFonts w:ascii="SimSun" w:hAnsi="SimSun" w:eastAsia="SimSun" w:cs="SimSun"/>
          <w:sz w:val="21"/>
          <w:szCs w:val="21"/>
          <w:spacing w:val="2"/>
        </w:rPr>
        <w:t>是应用松耦合的基础和前提。如国内的一些大型银行，程序</w:t>
      </w:r>
      <w:r>
        <w:rPr>
          <w:rFonts w:ascii="SimSun" w:hAnsi="SimSun" w:eastAsia="SimSun" w:cs="SimSun"/>
          <w:sz w:val="21"/>
          <w:szCs w:val="21"/>
          <w:spacing w:val="1"/>
        </w:rPr>
        <w:t>与数据库的数量都是万</w:t>
      </w:r>
      <w:r>
        <w:rPr>
          <w:rFonts w:ascii="SimSun" w:hAnsi="SimSun" w:eastAsia="SimSun" w:cs="SimSun"/>
          <w:sz w:val="21"/>
          <w:szCs w:val="21"/>
        </w:rPr>
        <w:t xml:space="preserve"> </w:t>
      </w:r>
      <w:r>
        <w:rPr>
          <w:rFonts w:ascii="SimSun" w:hAnsi="SimSun" w:eastAsia="SimSun" w:cs="SimSun"/>
          <w:sz w:val="21"/>
          <w:szCs w:val="21"/>
          <w:spacing w:val="2"/>
        </w:rPr>
        <w:t>级的。如果程序与数据库是多对多的关系，那么其关系的数量就是上百万</w:t>
      </w:r>
      <w:r>
        <w:rPr>
          <w:rFonts w:ascii="SimSun" w:hAnsi="SimSun" w:eastAsia="SimSun" w:cs="SimSun"/>
          <w:sz w:val="21"/>
          <w:szCs w:val="21"/>
          <w:spacing w:val="1"/>
        </w:rPr>
        <w:t>的。在系</w:t>
      </w:r>
      <w:r>
        <w:rPr>
          <w:rFonts w:ascii="SimSun" w:hAnsi="SimSun" w:eastAsia="SimSun" w:cs="SimSun"/>
          <w:sz w:val="21"/>
          <w:szCs w:val="21"/>
        </w:rPr>
        <w:t xml:space="preserve"> </w:t>
      </w:r>
      <w:r>
        <w:rPr>
          <w:rFonts w:ascii="SimSun" w:hAnsi="SimSun" w:eastAsia="SimSun" w:cs="SimSun"/>
          <w:sz w:val="21"/>
          <w:szCs w:val="21"/>
          <w:spacing w:val="2"/>
        </w:rPr>
        <w:t>统维护中，要管理和维护好这种数量级的关系，</w:t>
      </w:r>
      <w:r>
        <w:rPr>
          <w:rFonts w:ascii="SimSun" w:hAnsi="SimSun" w:eastAsia="SimSun" w:cs="SimSun"/>
          <w:sz w:val="21"/>
          <w:szCs w:val="21"/>
          <w:spacing w:val="1"/>
        </w:rPr>
        <w:t>无论投入多少成本，可以说基本上</w:t>
      </w:r>
      <w:r>
        <w:rPr>
          <w:rFonts w:ascii="SimSun" w:hAnsi="SimSun" w:eastAsia="SimSun" w:cs="SimSun"/>
          <w:sz w:val="21"/>
          <w:szCs w:val="21"/>
        </w:rPr>
        <w:t xml:space="preserve"> </w:t>
      </w:r>
      <w:r>
        <w:rPr>
          <w:rFonts w:ascii="SimSun" w:hAnsi="SimSun" w:eastAsia="SimSun" w:cs="SimSun"/>
          <w:sz w:val="21"/>
          <w:szCs w:val="21"/>
          <w:spacing w:val="5"/>
        </w:rPr>
        <w:t>是不可能的。正因为这样，系统的修改、升</w:t>
      </w:r>
      <w:r>
        <w:rPr>
          <w:rFonts w:ascii="SimSun" w:hAnsi="SimSun" w:eastAsia="SimSun" w:cs="SimSun"/>
          <w:sz w:val="21"/>
          <w:szCs w:val="21"/>
          <w:spacing w:val="4"/>
        </w:rPr>
        <w:t>级往往千虑一失。由于考虑不周(实际</w:t>
      </w:r>
      <w:r>
        <w:rPr>
          <w:rFonts w:ascii="SimSun" w:hAnsi="SimSun" w:eastAsia="SimSun" w:cs="SimSun"/>
          <w:sz w:val="21"/>
          <w:szCs w:val="21"/>
        </w:rPr>
        <w:t xml:space="preserve"> </w:t>
      </w:r>
      <w:r>
        <w:rPr>
          <w:rFonts w:ascii="SimSun" w:hAnsi="SimSun" w:eastAsia="SimSun" w:cs="SimSun"/>
          <w:sz w:val="21"/>
          <w:szCs w:val="21"/>
          <w:spacing w:val="-3"/>
        </w:rPr>
        <w:t>上是不可能考虑周到),结果是千里之堤毁于</w:t>
      </w:r>
      <w:r>
        <w:rPr>
          <w:rFonts w:ascii="SimSun" w:hAnsi="SimSun" w:eastAsia="SimSun" w:cs="SimSun"/>
          <w:sz w:val="21"/>
          <w:szCs w:val="21"/>
          <w:spacing w:val="-4"/>
        </w:rPr>
        <w:t>蚁穴，</w:t>
      </w:r>
      <w:r>
        <w:rPr>
          <w:rFonts w:ascii="SimSun" w:hAnsi="SimSun" w:eastAsia="SimSun" w:cs="SimSun"/>
          <w:sz w:val="21"/>
          <w:szCs w:val="21"/>
          <w:spacing w:val="60"/>
        </w:rPr>
        <w:t xml:space="preserve"> </w:t>
      </w:r>
      <w:r>
        <w:rPr>
          <w:rFonts w:ascii="SimSun" w:hAnsi="SimSun" w:eastAsia="SimSun" w:cs="SimSun"/>
          <w:sz w:val="21"/>
          <w:szCs w:val="21"/>
          <w:spacing w:val="-4"/>
        </w:rPr>
        <w:t>一丝疏忽，造成重大故障，给服</w:t>
      </w:r>
      <w:r>
        <w:rPr>
          <w:rFonts w:ascii="SimSun" w:hAnsi="SimSun" w:eastAsia="SimSun" w:cs="SimSun"/>
          <w:sz w:val="21"/>
          <w:szCs w:val="21"/>
        </w:rPr>
        <w:t xml:space="preserve"> </w:t>
      </w:r>
      <w:r>
        <w:rPr>
          <w:rFonts w:ascii="SimSun" w:hAnsi="SimSun" w:eastAsia="SimSun" w:cs="SimSun"/>
          <w:sz w:val="21"/>
          <w:szCs w:val="21"/>
          <w:spacing w:val="-5"/>
        </w:rPr>
        <w:t>务带来重大损失。</w:t>
      </w:r>
    </w:p>
    <w:p>
      <w:pPr>
        <w:spacing w:line="266" w:lineRule="auto"/>
        <w:sectPr>
          <w:footerReference w:type="default" r:id="rId349"/>
          <w:pgSz w:w="8870" w:h="13400"/>
          <w:pgMar w:top="400" w:right="388" w:bottom="537" w:left="489" w:header="0" w:footer="328" w:gutter="0"/>
        </w:sectPr>
        <w:rPr>
          <w:rFonts w:ascii="SimSun" w:hAnsi="SimSun" w:eastAsia="SimSun" w:cs="SimSun"/>
          <w:sz w:val="21"/>
          <w:szCs w:val="21"/>
        </w:rPr>
      </w:pPr>
    </w:p>
    <w:p>
      <w:pPr>
        <w:ind w:left="5512"/>
        <w:spacing w:before="213" w:line="219" w:lineRule="auto"/>
        <w:rPr>
          <w:rFonts w:ascii="SimSun" w:hAnsi="SimSun" w:eastAsia="SimSun" w:cs="SimSun"/>
          <w:sz w:val="19"/>
          <w:szCs w:val="19"/>
        </w:rPr>
      </w:pPr>
      <w:r>
        <w:rPr>
          <w:rFonts w:ascii="SimSun" w:hAnsi="SimSun" w:eastAsia="SimSun" w:cs="SimSun"/>
          <w:sz w:val="19"/>
          <w:szCs w:val="19"/>
          <w:b/>
          <w:bCs/>
          <w:spacing w:val="35"/>
        </w:rPr>
        <w:t>第8章■云端数据架构</w:t>
      </w:r>
    </w:p>
    <w:p>
      <w:pPr>
        <w:pStyle w:val="BodyText"/>
        <w:spacing w:line="243" w:lineRule="auto"/>
        <w:rPr/>
      </w:pPr>
      <w:r/>
    </w:p>
    <w:p>
      <w:pPr>
        <w:ind w:right="190" w:firstLine="410"/>
        <w:spacing w:before="61" w:line="293" w:lineRule="auto"/>
        <w:jc w:val="both"/>
        <w:rPr>
          <w:rFonts w:ascii="SimSun" w:hAnsi="SimSun" w:eastAsia="SimSun" w:cs="SimSun"/>
          <w:sz w:val="19"/>
          <w:szCs w:val="19"/>
        </w:rPr>
      </w:pPr>
      <w:r>
        <w:rPr>
          <w:rFonts w:ascii="SimSun" w:hAnsi="SimSun" w:eastAsia="SimSun" w:cs="SimSun"/>
          <w:sz w:val="19"/>
          <w:szCs w:val="19"/>
          <w:spacing w:val="20"/>
        </w:rPr>
        <w:t>数据架构是组织重要的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资产。组织需要建立一套相</w:t>
      </w:r>
      <w:r>
        <w:rPr>
          <w:rFonts w:ascii="SimSun" w:hAnsi="SimSun" w:eastAsia="SimSun" w:cs="SimSun"/>
          <w:sz w:val="19"/>
          <w:szCs w:val="19"/>
          <w:spacing w:val="19"/>
        </w:rPr>
        <w:t>对完整的架构管理机制，</w:t>
      </w:r>
      <w:r>
        <w:rPr>
          <w:rFonts w:ascii="SimSun" w:hAnsi="SimSun" w:eastAsia="SimSun" w:cs="SimSun"/>
          <w:sz w:val="19"/>
          <w:szCs w:val="19"/>
        </w:rPr>
        <w:t xml:space="preserve"> </w:t>
      </w:r>
      <w:r>
        <w:rPr>
          <w:rFonts w:ascii="SimSun" w:hAnsi="SimSun" w:eastAsia="SimSun" w:cs="SimSun"/>
          <w:sz w:val="19"/>
          <w:szCs w:val="19"/>
          <w:spacing w:val="22"/>
        </w:rPr>
        <w:t>实现数据架构标准化、规范化，得到持续更新，并推</w:t>
      </w:r>
      <w:r>
        <w:rPr>
          <w:rFonts w:ascii="SimSun" w:hAnsi="SimSun" w:eastAsia="SimSun" w:cs="SimSun"/>
          <w:sz w:val="19"/>
          <w:szCs w:val="19"/>
          <w:spacing w:val="21"/>
        </w:rPr>
        <w:t>动架构标准在系统建设过程中</w:t>
      </w:r>
      <w:r>
        <w:rPr>
          <w:rFonts w:ascii="SimSun" w:hAnsi="SimSun" w:eastAsia="SimSun" w:cs="SimSun"/>
          <w:sz w:val="19"/>
          <w:szCs w:val="19"/>
        </w:rPr>
        <w:t xml:space="preserve"> </w:t>
      </w:r>
      <w:r>
        <w:rPr>
          <w:rFonts w:ascii="SimSun" w:hAnsi="SimSun" w:eastAsia="SimSun" w:cs="SimSun"/>
          <w:sz w:val="19"/>
          <w:szCs w:val="19"/>
          <w:spacing w:val="21"/>
        </w:rPr>
        <w:t>得到应用和遵从。当系统更新、整合、扩充时，能够准确而快速地找出系统、数据</w:t>
      </w:r>
      <w:r>
        <w:rPr>
          <w:rFonts w:ascii="SimSun" w:hAnsi="SimSun" w:eastAsia="SimSun" w:cs="SimSun"/>
          <w:sz w:val="19"/>
          <w:szCs w:val="19"/>
          <w:spacing w:val="13"/>
        </w:rPr>
        <w:t xml:space="preserve"> </w:t>
      </w:r>
      <w:r>
        <w:rPr>
          <w:rFonts w:ascii="SimSun" w:hAnsi="SimSun" w:eastAsia="SimSun" w:cs="SimSun"/>
          <w:sz w:val="19"/>
          <w:szCs w:val="19"/>
          <w:spacing w:val="22"/>
        </w:rPr>
        <w:t>库、平台等相关点，确定各变化的关联关系，是保证架构延续性、系统</w:t>
      </w:r>
      <w:r>
        <w:rPr>
          <w:rFonts w:ascii="SimSun" w:hAnsi="SimSun" w:eastAsia="SimSun" w:cs="SimSun"/>
          <w:sz w:val="19"/>
          <w:szCs w:val="19"/>
          <w:spacing w:val="21"/>
        </w:rPr>
        <w:t>稳定性、应</w:t>
      </w:r>
      <w:r>
        <w:rPr>
          <w:rFonts w:ascii="SimSun" w:hAnsi="SimSun" w:eastAsia="SimSun" w:cs="SimSun"/>
          <w:sz w:val="19"/>
          <w:szCs w:val="19"/>
        </w:rPr>
        <w:t xml:space="preserve"> </w:t>
      </w:r>
      <w:r>
        <w:rPr>
          <w:rFonts w:ascii="SimSun" w:hAnsi="SimSun" w:eastAsia="SimSun" w:cs="SimSun"/>
          <w:sz w:val="19"/>
          <w:szCs w:val="19"/>
          <w:spacing w:val="16"/>
        </w:rPr>
        <w:t>对系统频繁变动带来高风险的重要手段。</w:t>
      </w:r>
    </w:p>
    <w:p>
      <w:pPr>
        <w:pStyle w:val="BodyText"/>
        <w:spacing w:line="247" w:lineRule="auto"/>
        <w:rPr/>
      </w:pPr>
      <w:r/>
    </w:p>
    <w:p>
      <w:pPr>
        <w:ind w:left="3"/>
        <w:spacing w:before="87" w:line="224" w:lineRule="auto"/>
        <w:outlineLvl w:val="3"/>
        <w:rPr>
          <w:rFonts w:ascii="YouYuan" w:hAnsi="YouYuan" w:eastAsia="YouYuan" w:cs="YouYuan"/>
          <w:sz w:val="27"/>
          <w:szCs w:val="27"/>
        </w:rPr>
      </w:pPr>
      <w:r>
        <w:rPr>
          <w:rFonts w:ascii="YouYuan" w:hAnsi="YouYuan" w:eastAsia="YouYuan" w:cs="YouYuan"/>
          <w:sz w:val="27"/>
          <w:szCs w:val="27"/>
          <w:b/>
          <w:bCs/>
          <w:spacing w:val="3"/>
        </w:rPr>
        <w:t>8.1.2</w:t>
      </w:r>
      <w:r>
        <w:rPr>
          <w:rFonts w:ascii="YouYuan" w:hAnsi="YouYuan" w:eastAsia="YouYuan" w:cs="YouYuan"/>
          <w:sz w:val="27"/>
          <w:szCs w:val="27"/>
          <w:spacing w:val="19"/>
        </w:rPr>
        <w:t xml:space="preserve">  </w:t>
      </w:r>
      <w:r>
        <w:rPr>
          <w:rFonts w:ascii="YouYuan" w:hAnsi="YouYuan" w:eastAsia="YouYuan" w:cs="YouYuan"/>
          <w:sz w:val="27"/>
          <w:szCs w:val="27"/>
          <w:b/>
          <w:bCs/>
          <w:spacing w:val="3"/>
        </w:rPr>
        <w:t>内容与关联性</w:t>
      </w:r>
    </w:p>
    <w:p>
      <w:pPr>
        <w:pStyle w:val="BodyText"/>
        <w:spacing w:line="257" w:lineRule="auto"/>
        <w:rPr/>
      </w:pPr>
      <w:r/>
    </w:p>
    <w:p>
      <w:pPr>
        <w:ind w:right="207" w:firstLine="410"/>
        <w:spacing w:before="62" w:line="288" w:lineRule="auto"/>
        <w:jc w:val="both"/>
        <w:rPr>
          <w:rFonts w:ascii="SimSun" w:hAnsi="SimSun" w:eastAsia="SimSun" w:cs="SimSun"/>
          <w:sz w:val="19"/>
          <w:szCs w:val="19"/>
        </w:rPr>
      </w:pPr>
      <w:r>
        <w:rPr>
          <w:rFonts w:ascii="SimSun" w:hAnsi="SimSun" w:eastAsia="SimSun" w:cs="SimSun"/>
          <w:sz w:val="19"/>
          <w:szCs w:val="19"/>
          <w:spacing w:val="16"/>
        </w:rPr>
        <w:t>云端数据架构职能域包含的过程域有：架构方法、架构标准</w:t>
      </w:r>
      <w:r>
        <w:rPr>
          <w:rFonts w:ascii="SimSun" w:hAnsi="SimSun" w:eastAsia="SimSun" w:cs="SimSun"/>
          <w:sz w:val="19"/>
          <w:szCs w:val="19"/>
          <w:spacing w:val="15"/>
        </w:rPr>
        <w:t>、数据管理平台、历</w:t>
      </w:r>
      <w:r>
        <w:rPr>
          <w:rFonts w:ascii="SimSun" w:hAnsi="SimSun" w:eastAsia="SimSun" w:cs="SimSun"/>
          <w:sz w:val="19"/>
          <w:szCs w:val="19"/>
        </w:rPr>
        <w:t xml:space="preserve"> </w:t>
      </w:r>
      <w:r>
        <w:rPr>
          <w:rFonts w:ascii="SimSun" w:hAnsi="SimSun" w:eastAsia="SimSun" w:cs="SimSun"/>
          <w:sz w:val="19"/>
          <w:szCs w:val="19"/>
          <w:spacing w:val="16"/>
        </w:rPr>
        <w:t>史数据管理四个过程域。数据架构所包含的过程域能够帮</w:t>
      </w:r>
      <w:r>
        <w:rPr>
          <w:rFonts w:ascii="SimSun" w:hAnsi="SimSun" w:eastAsia="SimSun" w:cs="SimSun"/>
          <w:sz w:val="19"/>
          <w:szCs w:val="19"/>
          <w:spacing w:val="15"/>
        </w:rPr>
        <w:t>助组织设计一个最佳的数据</w:t>
      </w:r>
      <w:r>
        <w:rPr>
          <w:rFonts w:ascii="SimSun" w:hAnsi="SimSun" w:eastAsia="SimSun" w:cs="SimSun"/>
          <w:sz w:val="19"/>
          <w:szCs w:val="19"/>
        </w:rPr>
        <w:t xml:space="preserve"> </w:t>
      </w:r>
      <w:r>
        <w:rPr>
          <w:rFonts w:ascii="SimSun" w:hAnsi="SimSun" w:eastAsia="SimSun" w:cs="SimSun"/>
          <w:sz w:val="19"/>
          <w:szCs w:val="19"/>
          <w:spacing w:val="16"/>
        </w:rPr>
        <w:t>层来满足当前和未来的业务目标；建立和实施经审批的可执行标准；选择平台和支持</w:t>
      </w:r>
      <w:r>
        <w:rPr>
          <w:rFonts w:ascii="SimSun" w:hAnsi="SimSun" w:eastAsia="SimSun" w:cs="SimSun"/>
          <w:sz w:val="19"/>
          <w:szCs w:val="19"/>
          <w:spacing w:val="4"/>
        </w:rPr>
        <w:t xml:space="preserve"> </w:t>
      </w:r>
      <w:r>
        <w:rPr>
          <w:rFonts w:ascii="SimSun" w:hAnsi="SimSun" w:eastAsia="SimSun" w:cs="SimSun"/>
          <w:sz w:val="19"/>
          <w:szCs w:val="19"/>
          <w:spacing w:val="16"/>
        </w:rPr>
        <w:t>技术来满足范围和性能需求；集成不同的信</w:t>
      </w:r>
      <w:r>
        <w:rPr>
          <w:rFonts w:ascii="SimSun" w:hAnsi="SimSun" w:eastAsia="SimSun" w:cs="SimSun"/>
          <w:sz w:val="19"/>
          <w:szCs w:val="19"/>
          <w:spacing w:val="15"/>
        </w:rPr>
        <w:t>息源并有效管理历史数据和旧数据。</w:t>
      </w:r>
    </w:p>
    <w:p>
      <w:pPr>
        <w:ind w:right="224" w:firstLine="410"/>
        <w:spacing w:before="63" w:line="285" w:lineRule="auto"/>
        <w:jc w:val="both"/>
        <w:rPr>
          <w:rFonts w:ascii="SimSun" w:hAnsi="SimSun" w:eastAsia="SimSun" w:cs="SimSun"/>
          <w:sz w:val="19"/>
          <w:szCs w:val="19"/>
        </w:rPr>
      </w:pPr>
      <w:r>
        <w:rPr>
          <w:rFonts w:ascii="SimSun" w:hAnsi="SimSun" w:eastAsia="SimSun" w:cs="SimSun"/>
          <w:sz w:val="19"/>
          <w:szCs w:val="19"/>
          <w:spacing w:val="22"/>
        </w:rPr>
        <w:t>架构方法帮助组织开发一个经审批的方法来审视和设</w:t>
      </w:r>
      <w:r>
        <w:rPr>
          <w:rFonts w:ascii="SimSun" w:hAnsi="SimSun" w:eastAsia="SimSun" w:cs="SimSun"/>
          <w:sz w:val="19"/>
          <w:szCs w:val="19"/>
          <w:spacing w:val="21"/>
        </w:rPr>
        <w:t>计一个可使用的数据和技</w:t>
      </w:r>
      <w:r>
        <w:rPr>
          <w:rFonts w:ascii="SimSun" w:hAnsi="SimSun" w:eastAsia="SimSun" w:cs="SimSun"/>
          <w:sz w:val="19"/>
          <w:szCs w:val="19"/>
        </w:rPr>
        <w:t xml:space="preserve"> </w:t>
      </w:r>
      <w:r>
        <w:rPr>
          <w:rFonts w:ascii="SimSun" w:hAnsi="SimSun" w:eastAsia="SimSun" w:cs="SimSun"/>
          <w:sz w:val="19"/>
          <w:szCs w:val="19"/>
          <w:spacing w:val="21"/>
        </w:rPr>
        <w:t>术架构，这个架构强调要减少重复数据并将数据分享最大化。架构标准论述了数据</w:t>
      </w:r>
      <w:r>
        <w:rPr>
          <w:rFonts w:ascii="SimSun" w:hAnsi="SimSun" w:eastAsia="SimSun" w:cs="SimSun"/>
          <w:sz w:val="19"/>
          <w:szCs w:val="19"/>
          <w:spacing w:val="13"/>
        </w:rPr>
        <w:t xml:space="preserve"> </w:t>
      </w:r>
      <w:r>
        <w:rPr>
          <w:rFonts w:ascii="SimSun" w:hAnsi="SimSun" w:eastAsia="SimSun" w:cs="SimSun"/>
          <w:sz w:val="19"/>
          <w:szCs w:val="19"/>
          <w:spacing w:val="21"/>
        </w:rPr>
        <w:t>表示、数据存取和数据分布标准的制订和评审。数据管理平台强调利益相关方要参</w:t>
      </w:r>
      <w:r>
        <w:rPr>
          <w:rFonts w:ascii="SimSun" w:hAnsi="SimSun" w:eastAsia="SimSun" w:cs="SimSun"/>
          <w:sz w:val="19"/>
          <w:szCs w:val="19"/>
          <w:spacing w:val="11"/>
        </w:rPr>
        <w:t xml:space="preserve"> </w:t>
      </w:r>
      <w:r>
        <w:rPr>
          <w:rFonts w:ascii="SimSun" w:hAnsi="SimSun" w:eastAsia="SimSun" w:cs="SimSun"/>
          <w:sz w:val="19"/>
          <w:szCs w:val="19"/>
          <w:spacing w:val="21"/>
        </w:rPr>
        <w:t>与并且治理影响平台选择和实施的决策。历史数据管理解决了版本控制、记录保存</w:t>
      </w:r>
      <w:r>
        <w:rPr>
          <w:rFonts w:ascii="SimSun" w:hAnsi="SimSun" w:eastAsia="SimSun" w:cs="SimSun"/>
          <w:sz w:val="19"/>
          <w:szCs w:val="19"/>
          <w:spacing w:val="10"/>
        </w:rPr>
        <w:t xml:space="preserve"> </w:t>
      </w:r>
      <w:r>
        <w:rPr>
          <w:rFonts w:ascii="SimSun" w:hAnsi="SimSun" w:eastAsia="SimSun" w:cs="SimSun"/>
          <w:sz w:val="19"/>
          <w:szCs w:val="19"/>
          <w:spacing w:val="20"/>
        </w:rPr>
        <w:t>和归档问题，确保了数据满足适用的可用性、业务需求</w:t>
      </w:r>
      <w:r>
        <w:rPr>
          <w:rFonts w:ascii="SimSun" w:hAnsi="SimSun" w:eastAsia="SimSun" w:cs="SimSun"/>
          <w:sz w:val="19"/>
          <w:szCs w:val="19"/>
          <w:spacing w:val="19"/>
        </w:rPr>
        <w:t>和管理需求。</w:t>
      </w:r>
    </w:p>
    <w:p>
      <w:pPr>
        <w:pStyle w:val="BodyText"/>
        <w:spacing w:line="446" w:lineRule="auto"/>
        <w:rPr/>
      </w:pPr>
      <w:r/>
    </w:p>
    <w:p>
      <w:pPr>
        <w:ind w:left="4"/>
        <w:spacing w:before="105" w:line="222" w:lineRule="auto"/>
        <w:outlineLvl w:val="3"/>
        <w:rPr>
          <w:rFonts w:ascii="SimHei" w:hAnsi="SimHei" w:eastAsia="SimHei" w:cs="SimHei"/>
          <w:sz w:val="32"/>
          <w:szCs w:val="32"/>
        </w:rPr>
      </w:pPr>
      <w:r>
        <w:rPr>
          <w:rFonts w:ascii="SimHei" w:hAnsi="SimHei" w:eastAsia="SimHei" w:cs="SimHei"/>
          <w:sz w:val="32"/>
          <w:szCs w:val="32"/>
          <w:b/>
          <w:bCs/>
        </w:rPr>
        <w:t>8.2</w:t>
      </w:r>
      <w:r>
        <w:rPr>
          <w:rFonts w:ascii="SimHei" w:hAnsi="SimHei" w:eastAsia="SimHei" w:cs="SimHei"/>
          <w:sz w:val="32"/>
          <w:szCs w:val="32"/>
          <w:spacing w:val="35"/>
        </w:rPr>
        <w:t xml:space="preserve">  </w:t>
      </w:r>
      <w:r>
        <w:rPr>
          <w:rFonts w:ascii="SimHei" w:hAnsi="SimHei" w:eastAsia="SimHei" w:cs="SimHei"/>
          <w:sz w:val="32"/>
          <w:szCs w:val="32"/>
          <w:b/>
          <w:bCs/>
        </w:rPr>
        <w:t>活动及要求</w:t>
      </w:r>
    </w:p>
    <w:p>
      <w:pPr>
        <w:pStyle w:val="BodyText"/>
        <w:spacing w:line="288" w:lineRule="auto"/>
        <w:rPr/>
      </w:pPr>
      <w:r/>
    </w:p>
    <w:p>
      <w:pPr>
        <w:ind w:left="3"/>
        <w:spacing w:before="88" w:line="224" w:lineRule="auto"/>
        <w:outlineLvl w:val="4"/>
        <w:rPr>
          <w:rFonts w:ascii="YouYuan" w:hAnsi="YouYuan" w:eastAsia="YouYuan" w:cs="YouYuan"/>
          <w:sz w:val="27"/>
          <w:szCs w:val="27"/>
        </w:rPr>
      </w:pPr>
      <w:r>
        <w:rPr>
          <w:rFonts w:ascii="YouYuan" w:hAnsi="YouYuan" w:eastAsia="YouYuan" w:cs="YouYuan"/>
          <w:sz w:val="27"/>
          <w:szCs w:val="27"/>
          <w:b/>
          <w:bCs/>
          <w:spacing w:val="2"/>
        </w:rPr>
        <w:t>8.2.1</w:t>
      </w:r>
      <w:r>
        <w:rPr>
          <w:rFonts w:ascii="YouYuan" w:hAnsi="YouYuan" w:eastAsia="YouYuan" w:cs="YouYuan"/>
          <w:sz w:val="27"/>
          <w:szCs w:val="27"/>
          <w:spacing w:val="19"/>
        </w:rPr>
        <w:t xml:space="preserve">  </w:t>
      </w:r>
      <w:r>
        <w:rPr>
          <w:rFonts w:ascii="YouYuan" w:hAnsi="YouYuan" w:eastAsia="YouYuan" w:cs="YouYuan"/>
          <w:sz w:val="27"/>
          <w:szCs w:val="27"/>
          <w:b/>
          <w:bCs/>
          <w:spacing w:val="2"/>
        </w:rPr>
        <w:t>架构方法</w:t>
      </w:r>
    </w:p>
    <w:p>
      <w:pPr>
        <w:pStyle w:val="BodyText"/>
        <w:spacing w:line="281" w:lineRule="auto"/>
        <w:rPr/>
      </w:pPr>
      <w:r/>
    </w:p>
    <w:p>
      <w:pPr>
        <w:ind w:left="412"/>
        <w:spacing w:before="63" w:line="224" w:lineRule="auto"/>
        <w:outlineLvl w:val="5"/>
        <w:rPr>
          <w:rFonts w:ascii="YouYuan" w:hAnsi="YouYuan" w:eastAsia="YouYuan" w:cs="YouYuan"/>
          <w:sz w:val="19"/>
          <w:szCs w:val="19"/>
        </w:rPr>
      </w:pPr>
      <w:r>
        <w:rPr>
          <w:rFonts w:ascii="YouYuan" w:hAnsi="YouYuan" w:eastAsia="YouYuan" w:cs="YouYuan"/>
          <w:sz w:val="19"/>
          <w:szCs w:val="19"/>
          <w:b/>
          <w:bCs/>
          <w:spacing w:val="-10"/>
        </w:rPr>
        <w:t>1.</w:t>
      </w:r>
      <w:r>
        <w:rPr>
          <w:rFonts w:ascii="YouYuan" w:hAnsi="YouYuan" w:eastAsia="YouYuan" w:cs="YouYuan"/>
          <w:sz w:val="19"/>
          <w:szCs w:val="19"/>
          <w:spacing w:val="40"/>
        </w:rPr>
        <w:t xml:space="preserve"> </w:t>
      </w:r>
      <w:r>
        <w:rPr>
          <w:rFonts w:ascii="YouYuan" w:hAnsi="YouYuan" w:eastAsia="YouYuan" w:cs="YouYuan"/>
          <w:sz w:val="19"/>
          <w:szCs w:val="19"/>
          <w:b/>
          <w:bCs/>
          <w:spacing w:val="-10"/>
        </w:rPr>
        <w:t>简</w:t>
      </w:r>
      <w:r>
        <w:rPr>
          <w:rFonts w:ascii="YouYuan" w:hAnsi="YouYuan" w:eastAsia="YouYuan" w:cs="YouYuan"/>
          <w:sz w:val="19"/>
          <w:szCs w:val="19"/>
          <w:spacing w:val="-10"/>
        </w:rPr>
        <w:t xml:space="preserve"> </w:t>
      </w:r>
      <w:r>
        <w:rPr>
          <w:rFonts w:ascii="YouYuan" w:hAnsi="YouYuan" w:eastAsia="YouYuan" w:cs="YouYuan"/>
          <w:sz w:val="19"/>
          <w:szCs w:val="19"/>
          <w:b/>
          <w:bCs/>
          <w:spacing w:val="-10"/>
        </w:rPr>
        <w:t>介</w:t>
      </w:r>
    </w:p>
    <w:p>
      <w:pPr>
        <w:ind w:left="410"/>
        <w:spacing w:before="250" w:line="232" w:lineRule="auto"/>
        <w:rPr>
          <w:rFonts w:ascii="KaiTi" w:hAnsi="KaiTi" w:eastAsia="KaiTi" w:cs="KaiTi"/>
          <w:sz w:val="19"/>
          <w:szCs w:val="19"/>
        </w:rPr>
      </w:pPr>
      <w:r>
        <w:rPr>
          <w:rFonts w:ascii="KaiTi" w:hAnsi="KaiTi" w:eastAsia="KaiTi" w:cs="KaiTi"/>
          <w:sz w:val="19"/>
          <w:szCs w:val="19"/>
          <w:spacing w:val="-18"/>
        </w:rPr>
        <w:t>1</w:t>
      </w:r>
      <w:r>
        <w:rPr>
          <w:rFonts w:ascii="KaiTi" w:hAnsi="KaiTi" w:eastAsia="KaiTi" w:cs="KaiTi"/>
          <w:sz w:val="19"/>
          <w:szCs w:val="19"/>
          <w:spacing w:val="-35"/>
        </w:rPr>
        <w:t xml:space="preserve"> </w:t>
      </w:r>
      <w:r>
        <w:rPr>
          <w:rFonts w:ascii="KaiTi" w:hAnsi="KaiTi" w:eastAsia="KaiTi" w:cs="KaiTi"/>
          <w:sz w:val="19"/>
          <w:szCs w:val="19"/>
          <w:spacing w:val="-18"/>
        </w:rPr>
        <w:t>)</w:t>
      </w:r>
      <w:r>
        <w:rPr>
          <w:rFonts w:ascii="KaiTi" w:hAnsi="KaiTi" w:eastAsia="KaiTi" w:cs="KaiTi"/>
          <w:sz w:val="19"/>
          <w:szCs w:val="19"/>
          <w:spacing w:val="9"/>
        </w:rPr>
        <w:t xml:space="preserve"> </w:t>
      </w:r>
      <w:r>
        <w:rPr>
          <w:rFonts w:ascii="KaiTi" w:hAnsi="KaiTi" w:eastAsia="KaiTi" w:cs="KaiTi"/>
          <w:sz w:val="19"/>
          <w:szCs w:val="19"/>
          <w:spacing w:val="-18"/>
        </w:rPr>
        <w:t>目</w:t>
      </w:r>
      <w:r>
        <w:rPr>
          <w:rFonts w:ascii="KaiTi" w:hAnsi="KaiTi" w:eastAsia="KaiTi" w:cs="KaiTi"/>
          <w:sz w:val="19"/>
          <w:szCs w:val="19"/>
          <w:spacing w:val="-21"/>
        </w:rPr>
        <w:t xml:space="preserve"> </w:t>
      </w:r>
      <w:r>
        <w:rPr>
          <w:rFonts w:ascii="KaiTi" w:hAnsi="KaiTi" w:eastAsia="KaiTi" w:cs="KaiTi"/>
          <w:sz w:val="19"/>
          <w:szCs w:val="19"/>
          <w:spacing w:val="-18"/>
        </w:rPr>
        <w:t>的</w:t>
      </w:r>
    </w:p>
    <w:p>
      <w:pPr>
        <w:ind w:right="190" w:firstLine="410"/>
        <w:spacing w:before="45" w:line="275" w:lineRule="auto"/>
        <w:rPr>
          <w:rFonts w:ascii="SimSun" w:hAnsi="SimSun" w:eastAsia="SimSun" w:cs="SimSun"/>
          <w:sz w:val="19"/>
          <w:szCs w:val="19"/>
        </w:rPr>
      </w:pPr>
      <w:r>
        <w:rPr>
          <w:rFonts w:ascii="SimSun" w:hAnsi="SimSun" w:eastAsia="SimSun" w:cs="SimSun"/>
          <w:sz w:val="19"/>
          <w:szCs w:val="19"/>
          <w:spacing w:val="17"/>
        </w:rPr>
        <w:t>设计并实施一个最佳的数据层来推动云端数据的采集、</w:t>
      </w:r>
      <w:r>
        <w:rPr>
          <w:rFonts w:ascii="SimSun" w:hAnsi="SimSun" w:eastAsia="SimSun" w:cs="SimSun"/>
          <w:sz w:val="19"/>
          <w:szCs w:val="19"/>
          <w:spacing w:val="16"/>
        </w:rPr>
        <w:t>储存、控制和交付活动，</w:t>
      </w:r>
      <w:r>
        <w:rPr>
          <w:rFonts w:ascii="SimSun" w:hAnsi="SimSun" w:eastAsia="SimSun" w:cs="SimSun"/>
          <w:sz w:val="19"/>
          <w:szCs w:val="19"/>
        </w:rPr>
        <w:t xml:space="preserve"> </w:t>
      </w:r>
      <w:r>
        <w:rPr>
          <w:rFonts w:ascii="SimSun" w:hAnsi="SimSun" w:eastAsia="SimSun" w:cs="SimSun"/>
          <w:sz w:val="19"/>
          <w:szCs w:val="19"/>
          <w:spacing w:val="14"/>
        </w:rPr>
        <w:t>以达成业务和技术目标。</w:t>
      </w:r>
    </w:p>
    <w:p>
      <w:pPr>
        <w:ind w:left="410"/>
        <w:spacing w:before="80" w:line="222" w:lineRule="auto"/>
        <w:rPr>
          <w:rFonts w:ascii="KaiTi" w:hAnsi="KaiTi" w:eastAsia="KaiTi" w:cs="KaiTi"/>
          <w:sz w:val="19"/>
          <w:szCs w:val="19"/>
        </w:rPr>
      </w:pPr>
      <w:r>
        <w:rPr>
          <w:rFonts w:ascii="KaiTi" w:hAnsi="KaiTi" w:eastAsia="KaiTi" w:cs="KaiTi"/>
          <w:sz w:val="19"/>
          <w:szCs w:val="19"/>
          <w:spacing w:val="-3"/>
        </w:rPr>
        <w:t>2</w:t>
      </w:r>
      <w:r>
        <w:rPr>
          <w:rFonts w:ascii="KaiTi" w:hAnsi="KaiTi" w:eastAsia="KaiTi" w:cs="KaiTi"/>
          <w:sz w:val="19"/>
          <w:szCs w:val="19"/>
          <w:spacing w:val="-38"/>
        </w:rPr>
        <w:t xml:space="preserve"> </w:t>
      </w:r>
      <w:r>
        <w:rPr>
          <w:rFonts w:ascii="KaiTi" w:hAnsi="KaiTi" w:eastAsia="KaiTi" w:cs="KaiTi"/>
          <w:sz w:val="19"/>
          <w:szCs w:val="19"/>
          <w:spacing w:val="-3"/>
        </w:rPr>
        <w:t>)</w:t>
      </w:r>
      <w:r>
        <w:rPr>
          <w:rFonts w:ascii="KaiTi" w:hAnsi="KaiTi" w:eastAsia="KaiTi" w:cs="KaiTi"/>
          <w:sz w:val="19"/>
          <w:szCs w:val="19"/>
          <w:spacing w:val="-43"/>
        </w:rPr>
        <w:t xml:space="preserve"> </w:t>
      </w:r>
      <w:r>
        <w:rPr>
          <w:rFonts w:ascii="KaiTi" w:hAnsi="KaiTi" w:eastAsia="KaiTi" w:cs="KaiTi"/>
          <w:sz w:val="19"/>
          <w:szCs w:val="19"/>
          <w:spacing w:val="-3"/>
        </w:rPr>
        <w:t>介</w:t>
      </w:r>
      <w:r>
        <w:rPr>
          <w:rFonts w:ascii="KaiTi" w:hAnsi="KaiTi" w:eastAsia="KaiTi" w:cs="KaiTi"/>
          <w:sz w:val="19"/>
          <w:szCs w:val="19"/>
          <w:spacing w:val="-27"/>
        </w:rPr>
        <w:t xml:space="preserve"> </w:t>
      </w:r>
      <w:r>
        <w:rPr>
          <w:rFonts w:ascii="KaiTi" w:hAnsi="KaiTi" w:eastAsia="KaiTi" w:cs="KaiTi"/>
          <w:sz w:val="19"/>
          <w:szCs w:val="19"/>
          <w:spacing w:val="-3"/>
        </w:rPr>
        <w:t>绍</w:t>
      </w:r>
    </w:p>
    <w:p>
      <w:pPr>
        <w:ind w:right="212" w:firstLine="410"/>
        <w:spacing w:before="63" w:line="290" w:lineRule="auto"/>
        <w:rPr>
          <w:rFonts w:ascii="SimSun" w:hAnsi="SimSun" w:eastAsia="SimSun" w:cs="SimSun"/>
          <w:sz w:val="19"/>
          <w:szCs w:val="19"/>
        </w:rPr>
      </w:pPr>
      <w:r>
        <w:rPr>
          <w:rFonts w:ascii="SimSun" w:hAnsi="SimSun" w:eastAsia="SimSun" w:cs="SimSun"/>
          <w:sz w:val="19"/>
          <w:szCs w:val="19"/>
          <w:spacing w:val="22"/>
        </w:rPr>
        <w:t>架构方法对于设计一个良好的目标数据架构是十分关</w:t>
      </w:r>
      <w:r>
        <w:rPr>
          <w:rFonts w:ascii="SimSun" w:hAnsi="SimSun" w:eastAsia="SimSun" w:cs="SimSun"/>
          <w:sz w:val="19"/>
          <w:szCs w:val="19"/>
          <w:spacing w:val="21"/>
        </w:rPr>
        <w:t>键的，良好的架构可以满</w:t>
      </w:r>
      <w:r>
        <w:rPr>
          <w:rFonts w:ascii="SimSun" w:hAnsi="SimSun" w:eastAsia="SimSun" w:cs="SimSun"/>
          <w:sz w:val="19"/>
          <w:szCs w:val="19"/>
        </w:rPr>
        <w:t xml:space="preserve"> </w:t>
      </w:r>
      <w:r>
        <w:rPr>
          <w:rFonts w:ascii="SimSun" w:hAnsi="SimSun" w:eastAsia="SimSun" w:cs="SimSun"/>
          <w:sz w:val="19"/>
          <w:szCs w:val="19"/>
          <w:spacing w:val="21"/>
        </w:rPr>
        <w:t>足当前和未来的业务目标。数据模型是数据架构规划中最重要的内容，定义良好的</w:t>
      </w:r>
      <w:r>
        <w:rPr>
          <w:rFonts w:ascii="SimSun" w:hAnsi="SimSun" w:eastAsia="SimSun" w:cs="SimSun"/>
          <w:sz w:val="19"/>
          <w:szCs w:val="19"/>
          <w:spacing w:val="17"/>
        </w:rPr>
        <w:t xml:space="preserve"> </w:t>
      </w:r>
      <w:r>
        <w:rPr>
          <w:rFonts w:ascii="SimSun" w:hAnsi="SimSun" w:eastAsia="SimSun" w:cs="SimSun"/>
          <w:sz w:val="19"/>
          <w:szCs w:val="19"/>
          <w:spacing w:val="17"/>
        </w:rPr>
        <w:t>数据模型可以反映业务模式的本质，确保数据架构为业务需求提供全面、</w:t>
      </w:r>
      <w:r>
        <w:rPr>
          <w:rFonts w:ascii="SimSun" w:hAnsi="SimSun" w:eastAsia="SimSun" w:cs="SimSun"/>
          <w:sz w:val="19"/>
          <w:szCs w:val="19"/>
          <w:spacing w:val="61"/>
        </w:rPr>
        <w:t xml:space="preserve"> </w:t>
      </w:r>
      <w:r>
        <w:rPr>
          <w:rFonts w:ascii="SimSun" w:hAnsi="SimSun" w:eastAsia="SimSun" w:cs="SimSun"/>
          <w:sz w:val="19"/>
          <w:szCs w:val="19"/>
          <w:spacing w:val="17"/>
        </w:rPr>
        <w:t>一致、完</w:t>
      </w:r>
      <w:r>
        <w:rPr>
          <w:rFonts w:ascii="SimSun" w:hAnsi="SimSun" w:eastAsia="SimSun" w:cs="SimSun"/>
          <w:sz w:val="19"/>
          <w:szCs w:val="19"/>
        </w:rPr>
        <w:t xml:space="preserve"> </w:t>
      </w:r>
      <w:r>
        <w:rPr>
          <w:rFonts w:ascii="SimSun" w:hAnsi="SimSun" w:eastAsia="SimSun" w:cs="SimSun"/>
          <w:sz w:val="19"/>
          <w:szCs w:val="19"/>
          <w:spacing w:val="21"/>
        </w:rPr>
        <w:t>整的高质量数据，且为划分应用系统边界，明确数据引用关系，定义应用系统间的</w:t>
      </w:r>
      <w:r>
        <w:rPr>
          <w:rFonts w:ascii="SimSun" w:hAnsi="SimSun" w:eastAsia="SimSun" w:cs="SimSun"/>
          <w:sz w:val="19"/>
          <w:szCs w:val="19"/>
          <w:spacing w:val="18"/>
        </w:rPr>
        <w:t xml:space="preserve"> </w:t>
      </w:r>
      <w:r>
        <w:rPr>
          <w:rFonts w:ascii="SimSun" w:hAnsi="SimSun" w:eastAsia="SimSun" w:cs="SimSun"/>
          <w:sz w:val="19"/>
          <w:szCs w:val="19"/>
          <w:spacing w:val="20"/>
        </w:rPr>
        <w:t>集成接口，提供分析依据。良好的数据建模与数据标准的制订才是实现数据共享、</w:t>
      </w:r>
      <w:r>
        <w:rPr>
          <w:rFonts w:ascii="SimSun" w:hAnsi="SimSun" w:eastAsia="SimSun" w:cs="SimSun"/>
          <w:sz w:val="19"/>
          <w:szCs w:val="19"/>
          <w:spacing w:val="4"/>
        </w:rPr>
        <w:t xml:space="preserve"> </w:t>
      </w:r>
      <w:r>
        <w:rPr>
          <w:rFonts w:ascii="SimSun" w:hAnsi="SimSun" w:eastAsia="SimSun" w:cs="SimSun"/>
          <w:sz w:val="19"/>
          <w:szCs w:val="19"/>
          <w:spacing w:val="22"/>
        </w:rPr>
        <w:t>保证一致性、完整性与准确性的基础。有了这一基础，企</w:t>
      </w:r>
      <w:r>
        <w:rPr>
          <w:rFonts w:ascii="SimSun" w:hAnsi="SimSun" w:eastAsia="SimSun" w:cs="SimSun"/>
          <w:sz w:val="19"/>
          <w:szCs w:val="19"/>
          <w:spacing w:val="21"/>
        </w:rPr>
        <w:t>业才能通过信息系统应用</w:t>
      </w:r>
      <w:r>
        <w:rPr>
          <w:rFonts w:ascii="SimSun" w:hAnsi="SimSun" w:eastAsia="SimSun" w:cs="SimSun"/>
          <w:sz w:val="19"/>
          <w:szCs w:val="19"/>
        </w:rPr>
        <w:t xml:space="preserve"> </w:t>
      </w:r>
      <w:r>
        <w:rPr>
          <w:rFonts w:ascii="SimSun" w:hAnsi="SimSun" w:eastAsia="SimSun" w:cs="SimSun"/>
          <w:sz w:val="19"/>
          <w:szCs w:val="19"/>
          <w:spacing w:val="17"/>
        </w:rPr>
        <w:t>逐步深入，最终实现基于数据的管理决策。</w:t>
      </w:r>
    </w:p>
    <w:p>
      <w:pPr>
        <w:spacing w:line="290" w:lineRule="auto"/>
        <w:sectPr>
          <w:footerReference w:type="default" r:id="rId350"/>
          <w:pgSz w:w="8870" w:h="13400"/>
          <w:pgMar w:top="400" w:right="584" w:bottom="583" w:left="449" w:header="0" w:footer="394" w:gutter="0"/>
        </w:sectPr>
        <w:rPr>
          <w:rFonts w:ascii="SimSun" w:hAnsi="SimSun" w:eastAsia="SimSun" w:cs="SimSun"/>
          <w:sz w:val="19"/>
          <w:szCs w:val="19"/>
        </w:rPr>
      </w:pPr>
    </w:p>
    <w:p>
      <w:pPr>
        <w:ind w:left="99"/>
        <w:spacing w:before="140"/>
        <w:rPr>
          <w:rFonts w:ascii="SimSun" w:hAnsi="SimSun" w:eastAsia="SimSun" w:cs="SimSun"/>
          <w:sz w:val="22"/>
          <w:szCs w:val="22"/>
        </w:rPr>
      </w:pPr>
      <w:bookmarkStart w:name="bookmark71" w:id="66"/>
      <w:bookmarkEnd w:id="66"/>
      <w:r>
        <w:rPr>
          <w:rFonts w:ascii="SimSun" w:hAnsi="SimSun" w:eastAsia="SimSun" w:cs="SimSun"/>
          <w:sz w:val="22"/>
          <w:szCs w:val="22"/>
          <w:position w:val="-10"/>
        </w:rPr>
        <w:drawing>
          <wp:inline distT="0" distB="0" distL="0" distR="0">
            <wp:extent cx="6365" cy="222255"/>
            <wp:effectExtent l="0" t="0" r="0" b="0"/>
            <wp:docPr id="236" name="IM 236"/>
            <wp:cNvGraphicFramePr/>
            <a:graphic>
              <a:graphicData uri="http://schemas.openxmlformats.org/drawingml/2006/picture">
                <pic:pic>
                  <pic:nvPicPr>
                    <pic:cNvPr id="236" name="IM 236"/>
                    <pic:cNvPicPr/>
                  </pic:nvPicPr>
                  <pic:blipFill>
                    <a:blip r:embed="rId35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249" w:right="76" w:firstLine="419"/>
        <w:spacing w:before="287" w:line="247" w:lineRule="auto"/>
        <w:rPr>
          <w:rFonts w:ascii="SimSun" w:hAnsi="SimSun" w:eastAsia="SimSun" w:cs="SimSun"/>
          <w:sz w:val="22"/>
          <w:szCs w:val="22"/>
        </w:rPr>
      </w:pPr>
      <w:r>
        <w:rPr>
          <w:rFonts w:ascii="SimSun" w:hAnsi="SimSun" w:eastAsia="SimSun" w:cs="SimSun"/>
          <w:sz w:val="22"/>
          <w:szCs w:val="22"/>
          <w:spacing w:val="-7"/>
        </w:rPr>
        <w:t>为实现关键业务数据的分享，应对数据架构</w:t>
      </w:r>
      <w:r>
        <w:rPr>
          <w:rFonts w:ascii="SimSun" w:hAnsi="SimSun" w:eastAsia="SimSun" w:cs="SimSun"/>
          <w:sz w:val="22"/>
          <w:szCs w:val="22"/>
          <w:spacing w:val="-8"/>
        </w:rPr>
        <w:t>进行精简、减少数据冗余、通过接</w:t>
      </w:r>
      <w:r>
        <w:rPr>
          <w:rFonts w:ascii="SimSun" w:hAnsi="SimSun" w:eastAsia="SimSun" w:cs="SimSun"/>
          <w:sz w:val="22"/>
          <w:szCs w:val="22"/>
        </w:rPr>
        <w:t xml:space="preserve"> </w:t>
      </w:r>
      <w:r>
        <w:rPr>
          <w:rFonts w:ascii="SimSun" w:hAnsi="SimSun" w:eastAsia="SimSun" w:cs="SimSun"/>
          <w:sz w:val="22"/>
          <w:szCs w:val="22"/>
          <w:spacing w:val="-8"/>
        </w:rPr>
        <w:t>口和数据服务来改进数据的集成。目标架构应支</w:t>
      </w:r>
      <w:r>
        <w:rPr>
          <w:rFonts w:ascii="SimSun" w:hAnsi="SimSun" w:eastAsia="SimSun" w:cs="SimSun"/>
          <w:sz w:val="22"/>
          <w:szCs w:val="22"/>
          <w:spacing w:val="-9"/>
        </w:rPr>
        <w:t>持数据质量目标，保证使用高质量</w:t>
      </w:r>
      <w:r>
        <w:rPr>
          <w:rFonts w:ascii="SimSun" w:hAnsi="SimSun" w:eastAsia="SimSun" w:cs="SimSun"/>
          <w:sz w:val="22"/>
          <w:szCs w:val="22"/>
        </w:rPr>
        <w:t xml:space="preserve"> </w:t>
      </w:r>
      <w:r>
        <w:rPr>
          <w:rFonts w:ascii="SimSun" w:hAnsi="SimSun" w:eastAsia="SimSun" w:cs="SimSun"/>
          <w:sz w:val="22"/>
          <w:szCs w:val="22"/>
          <w:spacing w:val="-10"/>
        </w:rPr>
        <w:t>且可信任的数据来满足关键业务目标，并且需要的数据协调最少。</w:t>
      </w:r>
    </w:p>
    <w:p>
      <w:pPr>
        <w:ind w:left="249" w:right="95" w:firstLine="419"/>
        <w:spacing w:before="48" w:line="244" w:lineRule="auto"/>
        <w:rPr>
          <w:rFonts w:ascii="SimSun" w:hAnsi="SimSun" w:eastAsia="SimSun" w:cs="SimSun"/>
          <w:sz w:val="22"/>
          <w:szCs w:val="22"/>
        </w:rPr>
      </w:pPr>
      <w:r>
        <w:rPr>
          <w:rFonts w:ascii="SimSun" w:hAnsi="SimSun" w:eastAsia="SimSun" w:cs="SimSun"/>
          <w:sz w:val="22"/>
          <w:szCs w:val="22"/>
          <w:spacing w:val="-8"/>
        </w:rPr>
        <w:t>架构方法应考虑可扩展性，以保证组件、服务和代码库等形式的资源性能可以</w:t>
      </w:r>
      <w:r>
        <w:rPr>
          <w:rFonts w:ascii="SimSun" w:hAnsi="SimSun" w:eastAsia="SimSun" w:cs="SimSun"/>
          <w:sz w:val="22"/>
          <w:szCs w:val="22"/>
        </w:rPr>
        <w:t xml:space="preserve"> </w:t>
      </w:r>
      <w:r>
        <w:rPr>
          <w:rFonts w:ascii="SimSun" w:hAnsi="SimSun" w:eastAsia="SimSun" w:cs="SimSun"/>
          <w:sz w:val="22"/>
          <w:szCs w:val="22"/>
          <w:spacing w:val="-13"/>
        </w:rPr>
        <w:t>伴随着数据加载得到提升。</w:t>
      </w:r>
    </w:p>
    <w:p>
      <w:pPr>
        <w:ind w:left="249" w:right="98" w:firstLine="419"/>
        <w:spacing w:before="58"/>
        <w:rPr>
          <w:rFonts w:ascii="SimSun" w:hAnsi="SimSun" w:eastAsia="SimSun" w:cs="SimSun"/>
          <w:sz w:val="22"/>
          <w:szCs w:val="22"/>
        </w:rPr>
      </w:pPr>
      <w:r>
        <w:rPr>
          <w:rFonts w:ascii="SimSun" w:hAnsi="SimSun" w:eastAsia="SimSun" w:cs="SimSun"/>
          <w:sz w:val="22"/>
          <w:szCs w:val="22"/>
          <w:spacing w:val="-8"/>
        </w:rPr>
        <w:t>架构方法应考虑弹性原则，以确保系统具备容错能力及从反常使用或毁</w:t>
      </w:r>
      <w:r>
        <w:rPr>
          <w:rFonts w:ascii="SimSun" w:hAnsi="SimSun" w:eastAsia="SimSun" w:cs="SimSun"/>
          <w:sz w:val="22"/>
          <w:szCs w:val="22"/>
          <w:spacing w:val="-9"/>
        </w:rPr>
        <w:t>坏中的</w:t>
      </w:r>
      <w:r>
        <w:rPr>
          <w:rFonts w:ascii="SimSun" w:hAnsi="SimSun" w:eastAsia="SimSun" w:cs="SimSun"/>
          <w:sz w:val="22"/>
          <w:szCs w:val="22"/>
        </w:rPr>
        <w:t xml:space="preserve"> </w:t>
      </w:r>
      <w:r>
        <w:rPr>
          <w:rFonts w:ascii="SimSun" w:hAnsi="SimSun" w:eastAsia="SimSun" w:cs="SimSun"/>
          <w:sz w:val="22"/>
          <w:szCs w:val="22"/>
          <w:spacing w:val="-7"/>
        </w:rPr>
        <w:t>数据恢复。</w:t>
      </w:r>
    </w:p>
    <w:p>
      <w:pPr>
        <w:ind w:left="249" w:right="103" w:firstLine="419"/>
        <w:spacing w:before="67" w:line="232" w:lineRule="auto"/>
        <w:rPr>
          <w:rFonts w:ascii="SimSun" w:hAnsi="SimSun" w:eastAsia="SimSun" w:cs="SimSun"/>
          <w:sz w:val="22"/>
          <w:szCs w:val="22"/>
        </w:rPr>
      </w:pPr>
      <w:r>
        <w:rPr>
          <w:rFonts w:ascii="SimSun" w:hAnsi="SimSun" w:eastAsia="SimSun" w:cs="SimSun"/>
          <w:sz w:val="22"/>
          <w:szCs w:val="22"/>
          <w:spacing w:val="-8"/>
        </w:rPr>
        <w:t>架构方法应考虑安全需求，对公司数据和个人信息进行保护</w:t>
      </w:r>
      <w:r>
        <w:rPr>
          <w:rFonts w:ascii="SimSun" w:hAnsi="SimSun" w:eastAsia="SimSun" w:cs="SimSun"/>
          <w:sz w:val="22"/>
          <w:szCs w:val="22"/>
          <w:spacing w:val="-9"/>
        </w:rPr>
        <w:t>，同时能够保证架</w:t>
      </w:r>
      <w:r>
        <w:rPr>
          <w:rFonts w:ascii="SimSun" w:hAnsi="SimSun" w:eastAsia="SimSun" w:cs="SimSun"/>
          <w:sz w:val="22"/>
          <w:szCs w:val="22"/>
        </w:rPr>
        <w:t xml:space="preserve"> </w:t>
      </w:r>
      <w:r>
        <w:rPr>
          <w:rFonts w:ascii="SimSun" w:hAnsi="SimSun" w:eastAsia="SimSun" w:cs="SimSun"/>
          <w:sz w:val="22"/>
          <w:szCs w:val="22"/>
          <w:spacing w:val="-10"/>
        </w:rPr>
        <w:t>构适当反映已识别的法律要求和管理要求。</w:t>
      </w:r>
    </w:p>
    <w:p>
      <w:pPr>
        <w:ind w:left="249" w:right="77" w:firstLine="419"/>
        <w:spacing w:before="56" w:line="244" w:lineRule="auto"/>
        <w:rPr>
          <w:rFonts w:ascii="SimSun" w:hAnsi="SimSun" w:eastAsia="SimSun" w:cs="SimSun"/>
          <w:sz w:val="22"/>
          <w:szCs w:val="22"/>
        </w:rPr>
      </w:pPr>
      <w:r>
        <w:rPr>
          <w:rFonts w:ascii="SimSun" w:hAnsi="SimSun" w:eastAsia="SimSun" w:cs="SimSun"/>
          <w:sz w:val="22"/>
          <w:szCs w:val="22"/>
          <w:spacing w:val="-15"/>
        </w:rPr>
        <w:t>目标架构要求要有一个从现状到未来式的转换计划：</w:t>
      </w:r>
      <w:r>
        <w:rPr>
          <w:rFonts w:ascii="SimSun" w:hAnsi="SimSun" w:eastAsia="SimSun" w:cs="SimSun"/>
          <w:sz w:val="22"/>
          <w:szCs w:val="22"/>
          <w:spacing w:val="56"/>
        </w:rPr>
        <w:t xml:space="preserve"> </w:t>
      </w:r>
      <w:r>
        <w:rPr>
          <w:rFonts w:ascii="SimSun" w:hAnsi="SimSun" w:eastAsia="SimSun" w:cs="SimSun"/>
          <w:sz w:val="22"/>
          <w:szCs w:val="22"/>
          <w:spacing w:val="-15"/>
        </w:rPr>
        <w:t>一个</w:t>
      </w:r>
      <w:r>
        <w:rPr>
          <w:rFonts w:ascii="Times New Roman" w:hAnsi="Times New Roman" w:eastAsia="Times New Roman" w:cs="Times New Roman"/>
          <w:sz w:val="22"/>
          <w:szCs w:val="22"/>
          <w:spacing w:val="-15"/>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5"/>
        </w:rPr>
        <w:t>的实施计</w:t>
      </w:r>
      <w:r>
        <w:rPr>
          <w:rFonts w:ascii="SimSun" w:hAnsi="SimSun" w:eastAsia="SimSun" w:cs="SimSun"/>
          <w:sz w:val="22"/>
          <w:szCs w:val="22"/>
          <w:spacing w:val="-16"/>
        </w:rPr>
        <w:t>划，并定</w:t>
      </w:r>
      <w:r>
        <w:rPr>
          <w:rFonts w:ascii="SimSun" w:hAnsi="SimSun" w:eastAsia="SimSun" w:cs="SimSun"/>
          <w:sz w:val="22"/>
          <w:szCs w:val="22"/>
        </w:rPr>
        <w:t xml:space="preserve"> </w:t>
      </w:r>
      <w:r>
        <w:rPr>
          <w:rFonts w:ascii="SimSun" w:hAnsi="SimSun" w:eastAsia="SimSun" w:cs="SimSun"/>
          <w:sz w:val="22"/>
          <w:szCs w:val="22"/>
          <w:spacing w:val="-8"/>
        </w:rPr>
        <w:t>义度量架构蓝图及组件有效性的度量项和关键</w:t>
      </w:r>
      <w:r>
        <w:rPr>
          <w:rFonts w:ascii="SimSun" w:hAnsi="SimSun" w:eastAsia="SimSun" w:cs="SimSun"/>
          <w:sz w:val="22"/>
          <w:szCs w:val="22"/>
          <w:spacing w:val="-9"/>
        </w:rPr>
        <w:t>绩效指标。度量项可能包括新数据组</w:t>
      </w:r>
      <w:r>
        <w:rPr>
          <w:rFonts w:ascii="SimSun" w:hAnsi="SimSun" w:eastAsia="SimSun" w:cs="SimSun"/>
          <w:sz w:val="22"/>
          <w:szCs w:val="22"/>
        </w:rPr>
        <w:t xml:space="preserve"> </w:t>
      </w:r>
      <w:r>
        <w:rPr>
          <w:rFonts w:ascii="SimSun" w:hAnsi="SimSun" w:eastAsia="SimSun" w:cs="SimSun"/>
          <w:sz w:val="22"/>
          <w:szCs w:val="22"/>
          <w:spacing w:val="-8"/>
        </w:rPr>
        <w:t>件或服务的采用数量、采用率、设计新组件对特定业务需求的满足、在设计之前解</w:t>
      </w:r>
      <w:r>
        <w:rPr>
          <w:rFonts w:ascii="SimSun" w:hAnsi="SimSun" w:eastAsia="SimSun" w:cs="SimSun"/>
          <w:sz w:val="22"/>
          <w:szCs w:val="22"/>
          <w:spacing w:val="14"/>
        </w:rPr>
        <w:t xml:space="preserve"> </w:t>
      </w:r>
      <w:r>
        <w:rPr>
          <w:rFonts w:ascii="SimSun" w:hAnsi="SimSun" w:eastAsia="SimSun" w:cs="SimSun"/>
          <w:sz w:val="22"/>
          <w:szCs w:val="22"/>
          <w:spacing w:val="-13"/>
        </w:rPr>
        <w:t>决数据质量问题的数量等。</w:t>
      </w:r>
    </w:p>
    <w:p>
      <w:pPr>
        <w:ind w:left="249" w:right="104" w:firstLine="419"/>
        <w:spacing w:before="69" w:line="252" w:lineRule="auto"/>
        <w:rPr>
          <w:rFonts w:ascii="SimSun" w:hAnsi="SimSun" w:eastAsia="SimSun" w:cs="SimSun"/>
          <w:sz w:val="22"/>
          <w:szCs w:val="22"/>
        </w:rPr>
      </w:pPr>
      <w:r>
        <w:rPr>
          <w:rFonts w:ascii="SimSun" w:hAnsi="SimSun" w:eastAsia="SimSun" w:cs="SimSun"/>
          <w:sz w:val="22"/>
          <w:szCs w:val="22"/>
          <w:spacing w:val="-8"/>
        </w:rPr>
        <w:t>架构方法必须足够灵活，以应对不断发展的新技术的组织</w:t>
      </w:r>
      <w:r>
        <w:rPr>
          <w:rFonts w:ascii="SimSun" w:hAnsi="SimSun" w:eastAsia="SimSun" w:cs="SimSun"/>
          <w:sz w:val="22"/>
          <w:szCs w:val="22"/>
          <w:spacing w:val="-9"/>
        </w:rPr>
        <w:t>和过程需求，且必须</w:t>
      </w:r>
      <w:r>
        <w:rPr>
          <w:rFonts w:ascii="SimSun" w:hAnsi="SimSun" w:eastAsia="SimSun" w:cs="SimSun"/>
          <w:sz w:val="22"/>
          <w:szCs w:val="22"/>
        </w:rPr>
        <w:t xml:space="preserve"> </w:t>
      </w:r>
      <w:r>
        <w:rPr>
          <w:rFonts w:ascii="SimSun" w:hAnsi="SimSun" w:eastAsia="SimSun" w:cs="SimSun"/>
          <w:sz w:val="22"/>
          <w:szCs w:val="22"/>
          <w:spacing w:val="-8"/>
        </w:rPr>
        <w:t>阐述数据迁移的内容，确保数据治理和利益相</w:t>
      </w:r>
      <w:r>
        <w:rPr>
          <w:rFonts w:ascii="SimSun" w:hAnsi="SimSun" w:eastAsia="SimSun" w:cs="SimSun"/>
          <w:sz w:val="22"/>
          <w:szCs w:val="22"/>
          <w:spacing w:val="-9"/>
        </w:rPr>
        <w:t>关方采用转换计划以及构架的目标组</w:t>
      </w:r>
      <w:r>
        <w:rPr>
          <w:rFonts w:ascii="SimSun" w:hAnsi="SimSun" w:eastAsia="SimSun" w:cs="SimSun"/>
          <w:sz w:val="22"/>
          <w:szCs w:val="22"/>
        </w:rPr>
        <w:t xml:space="preserve"> </w:t>
      </w:r>
      <w:r>
        <w:rPr>
          <w:rFonts w:ascii="SimSun" w:hAnsi="SimSun" w:eastAsia="SimSun" w:cs="SimSun"/>
          <w:sz w:val="22"/>
          <w:szCs w:val="22"/>
          <w:spacing w:val="-10"/>
        </w:rPr>
        <w:t>件，确认业务运营受到影响的程度达到最低。</w:t>
      </w:r>
    </w:p>
    <w:p>
      <w:pPr>
        <w:ind w:left="249" w:right="75" w:firstLine="419"/>
        <w:spacing w:before="59" w:line="252" w:lineRule="auto"/>
        <w:rPr>
          <w:rFonts w:ascii="SimSun" w:hAnsi="SimSun" w:eastAsia="SimSun" w:cs="SimSun"/>
          <w:sz w:val="22"/>
          <w:szCs w:val="22"/>
        </w:rPr>
      </w:pPr>
      <w:r>
        <w:rPr>
          <w:rFonts w:ascii="SimSun" w:hAnsi="SimSun" w:eastAsia="SimSun" w:cs="SimSun"/>
          <w:sz w:val="22"/>
          <w:szCs w:val="22"/>
          <w:spacing w:val="-8"/>
        </w:rPr>
        <w:t>在进行设计和实施之前，应当对架构方法进行评审和审批以确认</w:t>
      </w:r>
      <w:r>
        <w:rPr>
          <w:rFonts w:ascii="SimSun" w:hAnsi="SimSun" w:eastAsia="SimSun" w:cs="SimSun"/>
          <w:sz w:val="22"/>
          <w:szCs w:val="22"/>
          <w:spacing w:val="-9"/>
        </w:rPr>
        <w:t>它满足业务需</w:t>
      </w:r>
      <w:r>
        <w:rPr>
          <w:rFonts w:ascii="SimSun" w:hAnsi="SimSun" w:eastAsia="SimSun" w:cs="SimSun"/>
          <w:sz w:val="22"/>
          <w:szCs w:val="22"/>
        </w:rPr>
        <w:t xml:space="preserve"> </w:t>
      </w:r>
      <w:r>
        <w:rPr>
          <w:rFonts w:ascii="SimSun" w:hAnsi="SimSun" w:eastAsia="SimSun" w:cs="SimSun"/>
          <w:sz w:val="22"/>
          <w:szCs w:val="22"/>
          <w:spacing w:val="-8"/>
        </w:rPr>
        <w:t>求。因为架构方法属于长期的指导活动，所以应当根据变化的业务需求和组织环境</w:t>
      </w:r>
      <w:r>
        <w:rPr>
          <w:rFonts w:ascii="SimSun" w:hAnsi="SimSun" w:eastAsia="SimSun" w:cs="SimSun"/>
          <w:sz w:val="22"/>
          <w:szCs w:val="22"/>
          <w:spacing w:val="16"/>
        </w:rPr>
        <w:t xml:space="preserve"> </w:t>
      </w:r>
      <w:r>
        <w:rPr>
          <w:rFonts w:ascii="SimSun" w:hAnsi="SimSun" w:eastAsia="SimSun" w:cs="SimSun"/>
          <w:sz w:val="22"/>
          <w:szCs w:val="22"/>
          <w:spacing w:val="-12"/>
        </w:rPr>
        <w:t>对其进行维护和修正。</w:t>
      </w:r>
    </w:p>
    <w:p>
      <w:pPr>
        <w:ind w:left="669"/>
        <w:spacing w:before="21" w:line="229" w:lineRule="auto"/>
        <w:rPr>
          <w:rFonts w:ascii="KaiTi" w:hAnsi="KaiTi" w:eastAsia="KaiTi" w:cs="KaiTi"/>
          <w:sz w:val="22"/>
          <w:szCs w:val="22"/>
        </w:rPr>
      </w:pPr>
      <w:r>
        <w:rPr>
          <w:rFonts w:ascii="KaiTi" w:hAnsi="KaiTi" w:eastAsia="KaiTi" w:cs="KaiTi"/>
          <w:sz w:val="22"/>
          <w:szCs w:val="22"/>
          <w:spacing w:val="7"/>
        </w:rPr>
        <w:t>3)相关过程域</w:t>
      </w:r>
    </w:p>
    <w:p>
      <w:pPr>
        <w:ind w:left="968" w:right="106" w:hanging="299"/>
        <w:spacing w:before="25" w:line="252" w:lineRule="auto"/>
        <w:rPr>
          <w:rFonts w:ascii="SimSun" w:hAnsi="SimSun" w:eastAsia="SimSun" w:cs="SimSun"/>
          <w:sz w:val="22"/>
          <w:szCs w:val="22"/>
        </w:rPr>
      </w:pPr>
      <w:r>
        <w:rPr>
          <w:rFonts w:ascii="SimSun" w:hAnsi="SimSun" w:eastAsia="SimSun" w:cs="SimSun"/>
          <w:sz w:val="22"/>
          <w:szCs w:val="22"/>
          <w:spacing w:val="-2"/>
        </w:rPr>
        <w:t>●参考主数据管理过程域了解业务目标与数据管理方案和架构活动保持相符</w:t>
      </w:r>
      <w:r>
        <w:rPr>
          <w:rFonts w:ascii="SimSun" w:hAnsi="SimSun" w:eastAsia="SimSun" w:cs="SimSun"/>
          <w:sz w:val="22"/>
          <w:szCs w:val="22"/>
          <w:spacing w:val="3"/>
        </w:rPr>
        <w:t xml:space="preserve"> </w:t>
      </w:r>
      <w:r>
        <w:rPr>
          <w:rFonts w:ascii="SimSun" w:hAnsi="SimSun" w:eastAsia="SimSun" w:cs="SimSun"/>
          <w:sz w:val="22"/>
          <w:szCs w:val="22"/>
          <w:spacing w:val="-14"/>
        </w:rPr>
        <w:t>的相关信息；</w:t>
      </w:r>
    </w:p>
    <w:p>
      <w:pPr>
        <w:ind w:left="669"/>
        <w:spacing w:before="59" w:line="219" w:lineRule="auto"/>
        <w:rPr>
          <w:rFonts w:ascii="SimSun" w:hAnsi="SimSun" w:eastAsia="SimSun" w:cs="SimSun"/>
          <w:sz w:val="22"/>
          <w:szCs w:val="22"/>
        </w:rPr>
      </w:pPr>
      <w:r>
        <w:rPr>
          <w:rFonts w:ascii="SimSun" w:hAnsi="SimSun" w:eastAsia="SimSun" w:cs="SimSun"/>
          <w:sz w:val="22"/>
          <w:szCs w:val="22"/>
          <w:spacing w:val="-8"/>
        </w:rPr>
        <w:t>●参考战略过程域了解协作的一致意见和组织对数据资产的控制；</w:t>
      </w:r>
    </w:p>
    <w:p>
      <w:pPr>
        <w:ind w:left="669"/>
        <w:spacing w:before="59" w:line="219" w:lineRule="auto"/>
        <w:rPr>
          <w:rFonts w:ascii="SimSun" w:hAnsi="SimSun" w:eastAsia="SimSun" w:cs="SimSun"/>
          <w:sz w:val="22"/>
          <w:szCs w:val="22"/>
        </w:rPr>
      </w:pPr>
      <w:r>
        <w:rPr>
          <w:rFonts w:ascii="SimSun" w:hAnsi="SimSun" w:eastAsia="SimSun" w:cs="SimSun"/>
          <w:sz w:val="22"/>
          <w:szCs w:val="22"/>
          <w:spacing w:val="-8"/>
        </w:rPr>
        <w:t>●架构标准过程域包含了适用于架构方法的</w:t>
      </w:r>
      <w:r>
        <w:rPr>
          <w:rFonts w:ascii="SimSun" w:hAnsi="SimSun" w:eastAsia="SimSun" w:cs="SimSun"/>
          <w:sz w:val="22"/>
          <w:szCs w:val="22"/>
          <w:spacing w:val="-9"/>
        </w:rPr>
        <w:t>标准的相关信息；</w:t>
      </w:r>
    </w:p>
    <w:p>
      <w:pPr>
        <w:ind w:left="968" w:right="72" w:hanging="299"/>
        <w:spacing w:before="29" w:line="248" w:lineRule="auto"/>
        <w:rPr>
          <w:rFonts w:ascii="SimSun" w:hAnsi="SimSun" w:eastAsia="SimSun" w:cs="SimSun"/>
          <w:sz w:val="22"/>
          <w:szCs w:val="22"/>
        </w:rPr>
      </w:pPr>
      <w:r>
        <w:rPr>
          <w:rFonts w:ascii="SimSun" w:hAnsi="SimSun" w:eastAsia="SimSun" w:cs="SimSun"/>
          <w:sz w:val="22"/>
          <w:szCs w:val="22"/>
          <w:spacing w:val="-1"/>
        </w:rPr>
        <w:t>●数据概要分析过程域包含了在任何架构中设计和合并之前应当执行的概要</w:t>
      </w:r>
      <w:r>
        <w:rPr>
          <w:rFonts w:ascii="SimSun" w:hAnsi="SimSun" w:eastAsia="SimSun" w:cs="SimSun"/>
          <w:sz w:val="22"/>
          <w:szCs w:val="22"/>
          <w:spacing w:val="4"/>
        </w:rPr>
        <w:t xml:space="preserve"> </w:t>
      </w:r>
      <w:r>
        <w:rPr>
          <w:rFonts w:ascii="SimSun" w:hAnsi="SimSun" w:eastAsia="SimSun" w:cs="SimSun"/>
          <w:sz w:val="22"/>
          <w:szCs w:val="22"/>
          <w:spacing w:val="-10"/>
        </w:rPr>
        <w:t>分析活动的信息。</w:t>
      </w:r>
    </w:p>
    <w:p>
      <w:pPr>
        <w:pStyle w:val="BodyText"/>
        <w:ind w:left="669"/>
        <w:spacing w:before="196" w:line="223" w:lineRule="auto"/>
        <w:outlineLvl w:val="5"/>
        <w:rPr>
          <w:rFonts w:ascii="SimHei" w:hAnsi="SimHei" w:eastAsia="SimHei" w:cs="SimHei"/>
          <w:sz w:val="22"/>
          <w:szCs w:val="22"/>
        </w:rPr>
      </w:pPr>
      <w:r>
        <w:rPr>
          <w:sz w:val="22"/>
          <w:szCs w:val="22"/>
          <w:b/>
          <w:bCs/>
          <w:spacing w:val="-2"/>
        </w:rPr>
        <w:t>2.GQM</w:t>
      </w:r>
      <w:r>
        <w:rPr>
          <w:sz w:val="22"/>
          <w:szCs w:val="22"/>
          <w:b/>
          <w:bCs/>
          <w:spacing w:val="13"/>
        </w:rPr>
        <w:t xml:space="preserve">   </w:t>
      </w:r>
      <w:r>
        <w:rPr>
          <w:rFonts w:ascii="SimHei" w:hAnsi="SimHei" w:eastAsia="SimHei" w:cs="SimHei"/>
          <w:sz w:val="22"/>
          <w:szCs w:val="22"/>
          <w:b/>
          <w:bCs/>
          <w:spacing w:val="-2"/>
        </w:rPr>
        <w:t>表</w:t>
      </w:r>
    </w:p>
    <w:p>
      <w:pPr>
        <w:spacing w:before="31"/>
        <w:rPr/>
      </w:pPr>
      <w:r/>
    </w:p>
    <w:tbl>
      <w:tblPr>
        <w:tblStyle w:val="TableNormal"/>
        <w:tblW w:w="765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618"/>
        <w:gridCol w:w="1967"/>
        <w:gridCol w:w="2711"/>
      </w:tblGrid>
      <w:tr>
        <w:trPr>
          <w:trHeight w:val="343" w:hRule="atLeast"/>
        </w:trPr>
        <w:tc>
          <w:tcPr>
            <w:tcW w:w="1363" w:type="dxa"/>
            <w:vAlign w:val="top"/>
          </w:tcPr>
          <w:p>
            <w:pPr>
              <w:pStyle w:val="TableText"/>
              <w:ind w:left="404"/>
              <w:spacing w:before="101" w:line="220" w:lineRule="auto"/>
              <w:rPr/>
            </w:pPr>
            <w:r>
              <w:rPr>
                <w:spacing w:val="-18"/>
              </w:rPr>
              <w:t>目</w:t>
            </w:r>
            <w:r>
              <w:rPr>
                <w:spacing w:val="17"/>
              </w:rPr>
              <w:t xml:space="preserve">   </w:t>
            </w:r>
            <w:r>
              <w:rPr>
                <w:spacing w:val="-18"/>
              </w:rPr>
              <w:t>标</w:t>
            </w:r>
          </w:p>
        </w:tc>
        <w:tc>
          <w:tcPr>
            <w:tcW w:w="1618" w:type="dxa"/>
            <w:vAlign w:val="top"/>
          </w:tcPr>
          <w:p>
            <w:pPr>
              <w:pStyle w:val="TableText"/>
              <w:ind w:left="501"/>
              <w:spacing w:before="103" w:line="221" w:lineRule="auto"/>
              <w:rPr/>
            </w:pPr>
            <w:r>
              <w:rPr>
                <w:spacing w:val="-12"/>
              </w:rPr>
              <w:t>问</w:t>
            </w:r>
            <w:r>
              <w:rPr>
                <w:spacing w:val="10"/>
              </w:rPr>
              <w:t xml:space="preserve">   </w:t>
            </w:r>
            <w:r>
              <w:rPr>
                <w:spacing w:val="-12"/>
              </w:rPr>
              <w:t>题</w:t>
            </w:r>
          </w:p>
        </w:tc>
        <w:tc>
          <w:tcPr>
            <w:tcW w:w="1967" w:type="dxa"/>
            <w:vAlign w:val="top"/>
          </w:tcPr>
          <w:p>
            <w:pPr>
              <w:pStyle w:val="TableText"/>
              <w:ind w:left="613"/>
              <w:spacing w:before="101" w:line="220" w:lineRule="auto"/>
              <w:rPr/>
            </w:pPr>
            <w:r>
              <w:rPr>
                <w:spacing w:val="-4"/>
              </w:rPr>
              <w:t>度</w:t>
            </w:r>
            <w:r>
              <w:rPr>
                <w:spacing w:val="11"/>
              </w:rPr>
              <w:t xml:space="preserve">   </w:t>
            </w:r>
            <w:r>
              <w:rPr>
                <w:spacing w:val="-4"/>
              </w:rPr>
              <w:t>量</w:t>
            </w:r>
            <w:r>
              <w:rPr>
                <w:spacing w:val="25"/>
              </w:rPr>
              <w:t xml:space="preserve"> </w:t>
            </w:r>
            <w:r>
              <w:rPr>
                <w:spacing w:val="-4"/>
              </w:rPr>
              <w:t>项</w:t>
            </w:r>
          </w:p>
        </w:tc>
        <w:tc>
          <w:tcPr>
            <w:tcW w:w="2711" w:type="dxa"/>
            <w:vAlign w:val="top"/>
          </w:tcPr>
          <w:p>
            <w:pPr>
              <w:pStyle w:val="TableText"/>
              <w:ind w:left="986"/>
              <w:spacing w:before="101" w:line="219" w:lineRule="auto"/>
              <w:rPr/>
            </w:pPr>
            <w:r>
              <w:rPr>
                <w:spacing w:val="3"/>
              </w:rPr>
              <w:t>度量项说明</w:t>
            </w:r>
          </w:p>
        </w:tc>
      </w:tr>
      <w:tr>
        <w:trPr>
          <w:trHeight w:val="607" w:hRule="atLeast"/>
        </w:trPr>
        <w:tc>
          <w:tcPr>
            <w:tcW w:w="1363" w:type="dxa"/>
            <w:vAlign w:val="top"/>
            <w:vMerge w:val="restart"/>
            <w:tcBorders>
              <w:bottom w:val="nil"/>
            </w:tcBorders>
          </w:tcPr>
          <w:p>
            <w:pPr>
              <w:spacing w:line="347" w:lineRule="auto"/>
              <w:rPr>
                <w:rFonts w:ascii="Arial"/>
                <w:sz w:val="21"/>
              </w:rPr>
            </w:pPr>
            <w:r/>
          </w:p>
          <w:p>
            <w:pPr>
              <w:pStyle w:val="TableText"/>
              <w:ind w:left="254"/>
              <w:spacing w:before="49" w:line="220" w:lineRule="auto"/>
              <w:rPr/>
            </w:pPr>
            <w:r>
              <w:rPr>
                <w:spacing w:val="2"/>
              </w:rPr>
              <w:t>G1:经审批的</w:t>
            </w:r>
          </w:p>
          <w:p>
            <w:pPr>
              <w:pStyle w:val="TableText"/>
              <w:ind w:left="75" w:right="92" w:firstLine="69"/>
              <w:spacing w:before="90" w:line="307" w:lineRule="auto"/>
              <w:rPr/>
            </w:pPr>
            <w:r>
              <w:rPr>
                <w:spacing w:val="-1"/>
              </w:rPr>
              <w:t>架构方法与业务</w:t>
            </w:r>
            <w:r>
              <w:rPr/>
              <w:t xml:space="preserve">  </w:t>
            </w:r>
            <w:r>
              <w:rPr>
                <w:spacing w:val="-2"/>
              </w:rPr>
              <w:t>需求、架构标准保</w:t>
            </w:r>
            <w:r>
              <w:rPr/>
              <w:t xml:space="preserve"> </w:t>
            </w:r>
            <w:r>
              <w:rPr>
                <w:spacing w:val="7"/>
              </w:rPr>
              <w:t>持一致</w:t>
            </w:r>
          </w:p>
        </w:tc>
        <w:tc>
          <w:tcPr>
            <w:tcW w:w="1618" w:type="dxa"/>
            <w:vAlign w:val="top"/>
            <w:vMerge w:val="restart"/>
            <w:tcBorders>
              <w:bottom w:val="nil"/>
            </w:tcBorders>
          </w:tcPr>
          <w:p>
            <w:pPr>
              <w:spacing w:line="312" w:lineRule="auto"/>
              <w:rPr>
                <w:rFonts w:ascii="Arial"/>
                <w:sz w:val="21"/>
              </w:rPr>
            </w:pPr>
            <w:r/>
          </w:p>
          <w:p>
            <w:pPr>
              <w:spacing w:line="313" w:lineRule="auto"/>
              <w:rPr>
                <w:rFonts w:ascii="Arial"/>
                <w:sz w:val="21"/>
              </w:rPr>
            </w:pPr>
            <w:r/>
          </w:p>
          <w:p>
            <w:pPr>
              <w:pStyle w:val="TableText"/>
              <w:ind w:left="101" w:right="235" w:firstLine="149"/>
              <w:spacing w:before="48" w:line="276" w:lineRule="auto"/>
              <w:rPr/>
            </w:pPr>
            <w:r>
              <w:rPr>
                <w:spacing w:val="-1"/>
              </w:rPr>
              <w:t>Q1:业务信息需求</w:t>
            </w:r>
            <w:r>
              <w:rPr>
                <w:spacing w:val="3"/>
              </w:rPr>
              <w:t xml:space="preserve"> </w:t>
            </w:r>
            <w:r>
              <w:rPr>
                <w:spacing w:val="-2"/>
              </w:rPr>
              <w:t>是否真实、完整</w:t>
            </w:r>
          </w:p>
        </w:tc>
        <w:tc>
          <w:tcPr>
            <w:tcW w:w="1967" w:type="dxa"/>
            <w:vAlign w:val="top"/>
          </w:tcPr>
          <w:p>
            <w:pPr>
              <w:pStyle w:val="TableText"/>
              <w:ind w:left="263"/>
              <w:spacing w:before="228" w:line="220" w:lineRule="auto"/>
              <w:rPr/>
            </w:pPr>
            <w:r>
              <w:rPr>
                <w:spacing w:val="23"/>
              </w:rPr>
              <w:t>M1:定义需求</w:t>
            </w:r>
          </w:p>
        </w:tc>
        <w:tc>
          <w:tcPr>
            <w:tcW w:w="2711" w:type="dxa"/>
            <w:vAlign w:val="top"/>
          </w:tcPr>
          <w:p>
            <w:pPr>
              <w:pStyle w:val="TableText"/>
              <w:ind w:right="31"/>
              <w:spacing w:before="98" w:line="300" w:lineRule="exact"/>
              <w:jc w:val="right"/>
              <w:rPr/>
            </w:pPr>
            <w:r>
              <w:rPr>
                <w:spacing w:val="-1"/>
                <w:position w:val="11"/>
              </w:rPr>
              <w:t>为创建企业数据架构，企业应首先定</w:t>
            </w:r>
          </w:p>
          <w:p>
            <w:pPr>
              <w:pStyle w:val="TableText"/>
              <w:ind w:left="117"/>
              <w:spacing w:line="219" w:lineRule="auto"/>
              <w:rPr/>
            </w:pPr>
            <w:r>
              <w:rPr>
                <w:spacing w:val="-2"/>
              </w:rPr>
              <w:t>义其信息需求</w:t>
            </w:r>
          </w:p>
        </w:tc>
      </w:tr>
      <w:tr>
        <w:trPr>
          <w:trHeight w:val="1160" w:hRule="atLeast"/>
        </w:trPr>
        <w:tc>
          <w:tcPr>
            <w:tcW w:w="1363" w:type="dxa"/>
            <w:vAlign w:val="top"/>
            <w:vMerge w:val="continue"/>
            <w:tcBorders>
              <w:top w:val="nil"/>
            </w:tcBorders>
          </w:tcPr>
          <w:p>
            <w:pPr>
              <w:rPr>
                <w:rFonts w:ascii="Arial"/>
                <w:sz w:val="21"/>
              </w:rPr>
            </w:pPr>
            <w:r/>
          </w:p>
        </w:tc>
        <w:tc>
          <w:tcPr>
            <w:tcW w:w="1618" w:type="dxa"/>
            <w:vAlign w:val="top"/>
            <w:vMerge w:val="continue"/>
            <w:tcBorders>
              <w:top w:val="nil"/>
            </w:tcBorders>
          </w:tcPr>
          <w:p>
            <w:pPr>
              <w:rPr>
                <w:rFonts w:ascii="Arial"/>
                <w:sz w:val="21"/>
              </w:rPr>
            </w:pPr>
            <w:r/>
          </w:p>
        </w:tc>
        <w:tc>
          <w:tcPr>
            <w:tcW w:w="1967" w:type="dxa"/>
            <w:vAlign w:val="top"/>
          </w:tcPr>
          <w:p>
            <w:pPr>
              <w:spacing w:line="460" w:lineRule="auto"/>
              <w:rPr>
                <w:rFonts w:ascii="Arial"/>
                <w:sz w:val="21"/>
              </w:rPr>
            </w:pPr>
            <w:r/>
          </w:p>
          <w:p>
            <w:pPr>
              <w:pStyle w:val="TableText"/>
              <w:ind w:left="263"/>
              <w:spacing w:before="48" w:line="220" w:lineRule="auto"/>
              <w:rPr/>
            </w:pPr>
            <w:r>
              <w:rPr>
                <w:spacing w:val="-1"/>
              </w:rPr>
              <w:t>M2:架构方法</w:t>
            </w:r>
          </w:p>
        </w:tc>
        <w:tc>
          <w:tcPr>
            <w:tcW w:w="2711" w:type="dxa"/>
            <w:vAlign w:val="top"/>
          </w:tcPr>
          <w:p>
            <w:pPr>
              <w:pStyle w:val="TableText"/>
              <w:ind w:left="276"/>
              <w:spacing w:before="99" w:line="218" w:lineRule="auto"/>
              <w:rPr/>
            </w:pPr>
            <w:r>
              <w:rPr>
                <w:spacing w:val="-1"/>
              </w:rPr>
              <w:t>一个信息系统存在的价值就看它是</w:t>
            </w:r>
          </w:p>
          <w:p>
            <w:pPr>
              <w:pStyle w:val="TableText"/>
              <w:ind w:left="117" w:right="24" w:firstLine="19"/>
              <w:spacing w:before="103" w:line="276" w:lineRule="auto"/>
              <w:rPr/>
            </w:pPr>
            <w:r>
              <w:rPr>
                <w:spacing w:val="-1"/>
              </w:rPr>
              <w:t>否能满足业务系统的各种需求，组织应</w:t>
            </w:r>
            <w:r>
              <w:rPr>
                <w:spacing w:val="5"/>
              </w:rPr>
              <w:t xml:space="preserve"> </w:t>
            </w:r>
            <w:r>
              <w:rPr>
                <w:spacing w:val="-1"/>
              </w:rPr>
              <w:t>建立并遵循一个使IT架构满足业务需</w:t>
            </w:r>
          </w:p>
          <w:p>
            <w:pPr>
              <w:pStyle w:val="TableText"/>
              <w:ind w:left="117"/>
              <w:spacing w:before="112" w:line="220" w:lineRule="auto"/>
              <w:rPr/>
            </w:pPr>
            <w:r>
              <w:rPr>
                <w:spacing w:val="-1"/>
              </w:rPr>
              <w:t>求的架构方法</w:t>
            </w:r>
          </w:p>
        </w:tc>
      </w:tr>
    </w:tbl>
    <w:p>
      <w:pPr>
        <w:pStyle w:val="BodyText"/>
        <w:rPr/>
      </w:pPr>
      <w:r/>
    </w:p>
    <w:p>
      <w:pPr>
        <w:sectPr>
          <w:footerReference w:type="default" r:id="rId351"/>
          <w:pgSz w:w="8870" w:h="13400"/>
          <w:pgMar w:top="400" w:right="425" w:bottom="565" w:left="470" w:header="0" w:footer="346" w:gutter="0"/>
        </w:sectPr>
        <w:rPr/>
      </w:pPr>
    </w:p>
    <w:p>
      <w:pPr>
        <w:ind w:left="5488"/>
        <w:spacing w:before="245" w:line="599" w:lineRule="exact"/>
        <w:rPr>
          <w:rFonts w:ascii="SimSun" w:hAnsi="SimSun" w:eastAsia="SimSun" w:cs="SimSun"/>
          <w:sz w:val="23"/>
          <w:szCs w:val="23"/>
        </w:rPr>
      </w:pPr>
      <w:r>
        <w:rPr>
          <w:rFonts w:ascii="SimSun" w:hAnsi="SimSun" w:eastAsia="SimSun" w:cs="SimSun"/>
          <w:sz w:val="23"/>
          <w:szCs w:val="23"/>
          <w:b/>
          <w:bCs/>
          <w:spacing w:val="-4"/>
          <w:position w:val="28"/>
        </w:rPr>
        <w:t>第8章■云端数据架构</w:t>
      </w:r>
    </w:p>
    <w:p>
      <w:pPr>
        <w:ind w:left="690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27" w:lineRule="exact"/>
        <w:rPr/>
      </w:pPr>
      <w:r/>
    </w:p>
    <w:tbl>
      <w:tblPr>
        <w:tblStyle w:val="TableNormal"/>
        <w:tblW w:w="763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43"/>
        <w:gridCol w:w="1618"/>
        <w:gridCol w:w="1957"/>
        <w:gridCol w:w="2721"/>
      </w:tblGrid>
      <w:tr>
        <w:trPr>
          <w:trHeight w:val="334" w:hRule="atLeast"/>
        </w:trPr>
        <w:tc>
          <w:tcPr>
            <w:tcW w:w="1343" w:type="dxa"/>
            <w:vAlign w:val="top"/>
          </w:tcPr>
          <w:p>
            <w:pPr>
              <w:pStyle w:val="TableText"/>
              <w:ind w:left="394"/>
              <w:spacing w:before="91" w:line="220" w:lineRule="auto"/>
              <w:rPr/>
            </w:pPr>
            <w:r>
              <w:rPr>
                <w:spacing w:val="-18"/>
              </w:rPr>
              <w:t>目</w:t>
            </w:r>
            <w:r>
              <w:rPr>
                <w:spacing w:val="17"/>
              </w:rPr>
              <w:t xml:space="preserve">   </w:t>
            </w:r>
            <w:r>
              <w:rPr>
                <w:spacing w:val="-18"/>
              </w:rPr>
              <w:t>标</w:t>
            </w:r>
          </w:p>
        </w:tc>
        <w:tc>
          <w:tcPr>
            <w:tcW w:w="1618" w:type="dxa"/>
            <w:vAlign w:val="top"/>
          </w:tcPr>
          <w:p>
            <w:pPr>
              <w:pStyle w:val="TableText"/>
              <w:ind w:left="531"/>
              <w:spacing w:before="93" w:line="221" w:lineRule="auto"/>
              <w:rPr/>
            </w:pPr>
            <w:r>
              <w:rPr>
                <w:spacing w:val="-12"/>
              </w:rPr>
              <w:t>问</w:t>
            </w:r>
            <w:r>
              <w:rPr>
                <w:spacing w:val="13"/>
              </w:rPr>
              <w:t xml:space="preserve">   </w:t>
            </w:r>
            <w:r>
              <w:rPr>
                <w:spacing w:val="-12"/>
              </w:rPr>
              <w:t>题</w:t>
            </w:r>
          </w:p>
        </w:tc>
        <w:tc>
          <w:tcPr>
            <w:tcW w:w="1957" w:type="dxa"/>
            <w:vAlign w:val="top"/>
          </w:tcPr>
          <w:p>
            <w:pPr>
              <w:pStyle w:val="TableText"/>
              <w:ind w:left="603"/>
              <w:spacing w:before="9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721" w:type="dxa"/>
            <w:vAlign w:val="top"/>
          </w:tcPr>
          <w:p>
            <w:pPr>
              <w:pStyle w:val="TableText"/>
              <w:ind w:left="976"/>
              <w:spacing w:before="91" w:line="219" w:lineRule="auto"/>
              <w:rPr/>
            </w:pPr>
            <w:r>
              <w:rPr>
                <w:spacing w:val="3"/>
              </w:rPr>
              <w:t>度量项说明</w:t>
            </w:r>
          </w:p>
        </w:tc>
      </w:tr>
      <w:tr>
        <w:trPr>
          <w:trHeight w:val="1179" w:hRule="atLeast"/>
        </w:trPr>
        <w:tc>
          <w:tcPr>
            <w:tcW w:w="1343" w:type="dxa"/>
            <w:vAlign w:val="top"/>
            <w:vMerge w:val="restart"/>
            <w:tcBorders>
              <w:bottom w:val="nil"/>
            </w:tcBorders>
          </w:tcPr>
          <w:p>
            <w:pPr>
              <w:spacing w:line="356" w:lineRule="auto"/>
              <w:rPr>
                <w:rFonts w:ascii="Arial"/>
                <w:sz w:val="21"/>
              </w:rPr>
            </w:pPr>
            <w:r/>
          </w:p>
          <w:p>
            <w:pPr>
              <w:pStyle w:val="TableText"/>
              <w:ind w:left="244"/>
              <w:spacing w:before="49" w:line="220" w:lineRule="auto"/>
              <w:rPr/>
            </w:pPr>
            <w:r>
              <w:rPr>
                <w:spacing w:val="2"/>
              </w:rPr>
              <w:t>G1:经审批的</w:t>
            </w:r>
          </w:p>
          <w:p>
            <w:pPr>
              <w:pStyle w:val="TableText"/>
              <w:ind w:left="64" w:right="82" w:firstLine="69"/>
              <w:spacing w:before="100" w:line="307" w:lineRule="auto"/>
              <w:rPr/>
            </w:pPr>
            <w:r>
              <w:rPr>
                <w:spacing w:val="-1"/>
              </w:rPr>
              <w:t>架构方法与业务</w:t>
            </w:r>
            <w:r>
              <w:rPr/>
              <w:t xml:space="preserve">  </w:t>
            </w:r>
            <w:r>
              <w:rPr>
                <w:spacing w:val="-2"/>
              </w:rPr>
              <w:t>需求、架构标准保</w:t>
            </w:r>
            <w:r>
              <w:rPr/>
              <w:t xml:space="preserve"> </w:t>
            </w:r>
            <w:r>
              <w:rPr>
                <w:spacing w:val="7"/>
              </w:rPr>
              <w:t>持一致</w:t>
            </w:r>
          </w:p>
        </w:tc>
        <w:tc>
          <w:tcPr>
            <w:tcW w:w="1618" w:type="dxa"/>
            <w:vAlign w:val="top"/>
          </w:tcPr>
          <w:p>
            <w:pPr>
              <w:spacing w:line="355" w:lineRule="auto"/>
              <w:rPr>
                <w:rFonts w:ascii="Arial"/>
                <w:sz w:val="21"/>
              </w:rPr>
            </w:pPr>
            <w:r/>
          </w:p>
          <w:p>
            <w:pPr>
              <w:pStyle w:val="TableText"/>
              <w:ind w:left="112" w:right="255" w:firstLine="120"/>
              <w:spacing w:before="49" w:line="276" w:lineRule="auto"/>
              <w:rPr/>
            </w:pPr>
            <w:r>
              <w:rPr>
                <w:spacing w:val="-1"/>
              </w:rPr>
              <w:t>Q1:业务信息需求</w:t>
            </w:r>
            <w:r>
              <w:rPr>
                <w:spacing w:val="3"/>
              </w:rPr>
              <w:t xml:space="preserve"> </w:t>
            </w:r>
            <w:r>
              <w:rPr>
                <w:spacing w:val="-2"/>
              </w:rPr>
              <w:t>是否真实、完整</w:t>
            </w:r>
          </w:p>
        </w:tc>
        <w:tc>
          <w:tcPr>
            <w:tcW w:w="1957" w:type="dxa"/>
            <w:vAlign w:val="top"/>
          </w:tcPr>
          <w:p>
            <w:pPr>
              <w:spacing w:line="464" w:lineRule="auto"/>
              <w:rPr>
                <w:rFonts w:ascii="Arial"/>
                <w:sz w:val="21"/>
              </w:rPr>
            </w:pPr>
            <w:r/>
          </w:p>
          <w:p>
            <w:pPr>
              <w:pStyle w:val="TableText"/>
              <w:ind w:left="253"/>
              <w:spacing w:before="48" w:line="218" w:lineRule="auto"/>
              <w:rPr/>
            </w:pPr>
            <w:r>
              <w:rPr>
                <w:spacing w:val="-1"/>
              </w:rPr>
              <w:t>M3:评估计划</w:t>
            </w:r>
          </w:p>
        </w:tc>
        <w:tc>
          <w:tcPr>
            <w:tcW w:w="2721" w:type="dxa"/>
            <w:vAlign w:val="top"/>
          </w:tcPr>
          <w:p>
            <w:pPr>
              <w:pStyle w:val="TableText"/>
              <w:ind w:left="77" w:right="51" w:firstLine="189"/>
              <w:spacing w:before="115" w:line="311" w:lineRule="auto"/>
              <w:jc w:val="both"/>
              <w:rPr/>
            </w:pPr>
            <w:r>
              <w:rPr>
                <w:spacing w:val="-1"/>
              </w:rPr>
              <w:t>数据架构应得到有效的执行，并定期</w:t>
            </w:r>
            <w:r>
              <w:rPr>
                <w:spacing w:val="7"/>
              </w:rPr>
              <w:t xml:space="preserve"> </w:t>
            </w:r>
            <w:r>
              <w:rPr>
                <w:spacing w:val="-1"/>
              </w:rPr>
              <w:t>进行评估。应特别注意企业数据模型与</w:t>
            </w:r>
            <w:r>
              <w:rPr>
                <w:spacing w:val="11"/>
              </w:rPr>
              <w:t xml:space="preserve"> </w:t>
            </w:r>
            <w:r>
              <w:rPr>
                <w:spacing w:val="-1"/>
              </w:rPr>
              <w:t>关键业务战略、流程、组织和系统保持</w:t>
            </w:r>
            <w:r>
              <w:rPr>
                <w:spacing w:val="7"/>
              </w:rPr>
              <w:t xml:space="preserve"> </w:t>
            </w:r>
            <w:r>
              <w:rPr>
                <w:spacing w:val="7"/>
              </w:rPr>
              <w:t>一致性</w:t>
            </w:r>
          </w:p>
        </w:tc>
      </w:tr>
      <w:tr>
        <w:trPr>
          <w:trHeight w:val="589" w:hRule="atLeast"/>
        </w:trPr>
        <w:tc>
          <w:tcPr>
            <w:tcW w:w="1343" w:type="dxa"/>
            <w:vAlign w:val="top"/>
            <w:vMerge w:val="continue"/>
            <w:tcBorders>
              <w:top w:val="nil"/>
            </w:tcBorders>
          </w:tcPr>
          <w:p>
            <w:pPr>
              <w:rPr>
                <w:rFonts w:ascii="Arial"/>
                <w:sz w:val="21"/>
              </w:rPr>
            </w:pPr>
            <w:r/>
          </w:p>
        </w:tc>
        <w:tc>
          <w:tcPr>
            <w:tcW w:w="1618" w:type="dxa"/>
            <w:vAlign w:val="top"/>
          </w:tcPr>
          <w:p>
            <w:pPr>
              <w:pStyle w:val="TableText"/>
              <w:ind w:left="112" w:right="255" w:firstLine="120"/>
              <w:spacing w:before="99" w:line="282" w:lineRule="auto"/>
              <w:rPr/>
            </w:pPr>
            <w:r>
              <w:rPr>
                <w:spacing w:val="-1"/>
              </w:rPr>
              <w:t>Q2:架构标准的具</w:t>
            </w:r>
            <w:r>
              <w:rPr>
                <w:spacing w:val="3"/>
              </w:rPr>
              <w:t xml:space="preserve"> </w:t>
            </w:r>
            <w:r>
              <w:rPr>
                <w:spacing w:val="-1"/>
              </w:rPr>
              <w:t>体要求有哪些</w:t>
            </w:r>
          </w:p>
        </w:tc>
        <w:tc>
          <w:tcPr>
            <w:tcW w:w="1957" w:type="dxa"/>
            <w:vAlign w:val="top"/>
          </w:tcPr>
          <w:p>
            <w:pPr>
              <w:pStyle w:val="TableText"/>
              <w:ind w:left="264"/>
              <w:spacing w:before="216" w:line="218" w:lineRule="auto"/>
              <w:rPr/>
            </w:pPr>
            <w:r>
              <w:rPr>
                <w:spacing w:val="-1"/>
              </w:rPr>
              <w:t>M4:数据标准评估</w:t>
            </w:r>
          </w:p>
        </w:tc>
        <w:tc>
          <w:tcPr>
            <w:tcW w:w="2721" w:type="dxa"/>
            <w:vAlign w:val="top"/>
          </w:tcPr>
          <w:p>
            <w:pPr>
              <w:pStyle w:val="TableText"/>
              <w:ind w:left="106" w:right="240" w:firstLine="120"/>
              <w:spacing w:before="88" w:line="281" w:lineRule="auto"/>
              <w:rPr/>
            </w:pPr>
            <w:r>
              <w:rPr>
                <w:spacing w:val="-1"/>
              </w:rPr>
              <w:t>架构蓝图的制订和组件的设计应考</w:t>
            </w:r>
            <w:r>
              <w:rPr>
                <w:spacing w:val="7"/>
              </w:rPr>
              <w:t xml:space="preserve"> </w:t>
            </w:r>
            <w:r>
              <w:rPr>
                <w:spacing w:val="-1"/>
              </w:rPr>
              <w:t>虑已经存在的数据标准和数据模型</w:t>
            </w:r>
          </w:p>
        </w:tc>
      </w:tr>
      <w:tr>
        <w:trPr>
          <w:trHeight w:val="1149" w:hRule="atLeast"/>
        </w:trPr>
        <w:tc>
          <w:tcPr>
            <w:tcW w:w="1343" w:type="dxa"/>
            <w:vAlign w:val="top"/>
            <w:vMerge w:val="restart"/>
            <w:tcBorders>
              <w:bottom w:val="nil"/>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244"/>
              <w:spacing w:before="49" w:line="219" w:lineRule="auto"/>
              <w:rPr/>
            </w:pPr>
            <w:r>
              <w:rPr>
                <w:spacing w:val="-1"/>
              </w:rPr>
              <w:t>G2:持续监督</w:t>
            </w:r>
          </w:p>
          <w:p>
            <w:pPr>
              <w:pStyle w:val="TableText"/>
              <w:ind w:left="64" w:right="39"/>
              <w:spacing w:before="93" w:line="324" w:lineRule="auto"/>
              <w:rPr/>
            </w:pPr>
            <w:r>
              <w:rPr>
                <w:spacing w:val="-1"/>
              </w:rPr>
              <w:t>从“原样”到“未</w:t>
            </w:r>
            <w:r>
              <w:rPr/>
              <w:t xml:space="preserve"> </w:t>
            </w:r>
            <w:r>
              <w:rPr>
                <w:spacing w:val="-1"/>
              </w:rPr>
              <w:t>来式”的转换方案</w:t>
            </w:r>
            <w:r>
              <w:rPr/>
              <w:t xml:space="preserve"> </w:t>
            </w:r>
            <w:r>
              <w:rPr>
                <w:spacing w:val="3"/>
              </w:rPr>
              <w:t>的执行，确保项目 </w:t>
            </w:r>
            <w:r>
              <w:rPr>
                <w:spacing w:val="8"/>
              </w:rPr>
              <w:t>与长期目标保持</w:t>
            </w:r>
            <w:r>
              <w:rPr>
                <w:spacing w:val="2"/>
              </w:rPr>
              <w:t xml:space="preserve">  </w:t>
            </w:r>
            <w:r>
              <w:rPr>
                <w:spacing w:val="7"/>
              </w:rPr>
              <w:t>相符</w:t>
            </w:r>
          </w:p>
        </w:tc>
        <w:tc>
          <w:tcPr>
            <w:tcW w:w="1618" w:type="dxa"/>
            <w:vAlign w:val="top"/>
            <w:vMerge w:val="restart"/>
            <w:tcBorders>
              <w:bottom w:val="nil"/>
            </w:tcBorders>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TableText"/>
              <w:ind w:left="121" w:right="141" w:firstLine="110"/>
              <w:spacing w:before="49" w:line="307" w:lineRule="auto"/>
              <w:rPr/>
            </w:pPr>
            <w:r>
              <w:rPr>
                <w:spacing w:val="-1"/>
              </w:rPr>
              <w:t>Q3:同步、合并或</w:t>
            </w:r>
            <w:r>
              <w:rPr>
                <w:spacing w:val="1"/>
              </w:rPr>
              <w:t xml:space="preserve">  </w:t>
            </w:r>
            <w:r>
              <w:rPr>
                <w:spacing w:val="-1"/>
              </w:rPr>
              <w:t>清除复制的数据时使</w:t>
            </w:r>
            <w:r>
              <w:rPr>
                <w:spacing w:val="2"/>
              </w:rPr>
              <w:t xml:space="preserve"> </w:t>
            </w:r>
            <w:r>
              <w:rPr>
                <w:spacing w:val="-1"/>
              </w:rPr>
              <w:t>用了什么合理化方法</w:t>
            </w:r>
          </w:p>
        </w:tc>
        <w:tc>
          <w:tcPr>
            <w:tcW w:w="1957" w:type="dxa"/>
            <w:vAlign w:val="top"/>
          </w:tcPr>
          <w:p>
            <w:pPr>
              <w:spacing w:line="317" w:lineRule="auto"/>
              <w:rPr>
                <w:rFonts w:ascii="Arial"/>
                <w:sz w:val="21"/>
              </w:rPr>
            </w:pPr>
            <w:r/>
          </w:p>
          <w:p>
            <w:pPr>
              <w:pStyle w:val="TableText"/>
              <w:ind w:left="93" w:right="259" w:firstLine="170"/>
              <w:spacing w:before="49" w:line="283" w:lineRule="auto"/>
              <w:rPr/>
            </w:pPr>
            <w:r>
              <w:rPr>
                <w:spacing w:val="-1"/>
              </w:rPr>
              <w:t>M5:建立并执行合规流</w:t>
            </w:r>
            <w:r>
              <w:rPr>
                <w:spacing w:val="8"/>
              </w:rPr>
              <w:t xml:space="preserve"> </w:t>
            </w:r>
            <w:r>
              <w:rPr/>
              <w:t>程</w:t>
            </w:r>
          </w:p>
        </w:tc>
        <w:tc>
          <w:tcPr>
            <w:tcW w:w="2721" w:type="dxa"/>
            <w:vAlign w:val="top"/>
          </w:tcPr>
          <w:p>
            <w:pPr>
              <w:pStyle w:val="TableText"/>
              <w:ind w:left="227"/>
              <w:spacing w:before="89" w:line="219" w:lineRule="auto"/>
              <w:rPr/>
            </w:pPr>
            <w:r>
              <w:rPr>
                <w:spacing w:val="-1"/>
              </w:rPr>
              <w:t>建立流程对各项目的数据架构进行</w:t>
            </w:r>
          </w:p>
          <w:p>
            <w:pPr>
              <w:pStyle w:val="TableText"/>
              <w:ind w:left="77" w:right="89"/>
              <w:spacing w:before="100" w:line="304" w:lineRule="auto"/>
              <w:rPr/>
            </w:pPr>
            <w:r>
              <w:rPr>
                <w:spacing w:val="-1"/>
              </w:rPr>
              <w:t>评估，确保概念、逻辑和物理数据模型</w:t>
            </w:r>
            <w:r>
              <w:rPr>
                <w:spacing w:val="10"/>
              </w:rPr>
              <w:t xml:space="preserve"> </w:t>
            </w:r>
            <w:r>
              <w:rPr>
                <w:spacing w:val="-1"/>
              </w:rPr>
              <w:t>一致，并对组织数据架构的长期实施有</w:t>
            </w:r>
            <w:r>
              <w:rPr>
                <w:spacing w:val="7"/>
              </w:rPr>
              <w:t xml:space="preserve"> </w:t>
            </w:r>
            <w:r>
              <w:rPr>
                <w:spacing w:val="8"/>
              </w:rPr>
              <w:t>所贡献</w:t>
            </w:r>
          </w:p>
        </w:tc>
      </w:tr>
      <w:tr>
        <w:trPr>
          <w:trHeight w:val="1439" w:hRule="atLeast"/>
        </w:trPr>
        <w:tc>
          <w:tcPr>
            <w:tcW w:w="1343" w:type="dxa"/>
            <w:vAlign w:val="top"/>
            <w:vMerge w:val="continue"/>
            <w:tcBorders>
              <w:top w:val="nil"/>
              <w:bottom w:val="nil"/>
            </w:tcBorders>
          </w:tcPr>
          <w:p>
            <w:pPr>
              <w:rPr>
                <w:rFonts w:ascii="Arial"/>
                <w:sz w:val="21"/>
              </w:rPr>
            </w:pPr>
            <w:r/>
          </w:p>
        </w:tc>
        <w:tc>
          <w:tcPr>
            <w:tcW w:w="1618" w:type="dxa"/>
            <w:vAlign w:val="top"/>
            <w:vMerge w:val="continue"/>
            <w:tcBorders>
              <w:top w:val="nil"/>
              <w:bottom w:val="nil"/>
            </w:tcBorders>
          </w:tcPr>
          <w:p>
            <w:pPr>
              <w:rPr>
                <w:rFonts w:ascii="Arial"/>
                <w:sz w:val="21"/>
              </w:rPr>
            </w:pPr>
            <w:r/>
          </w:p>
        </w:tc>
        <w:tc>
          <w:tcPr>
            <w:tcW w:w="1957" w:type="dxa"/>
            <w:vAlign w:val="top"/>
          </w:tcPr>
          <w:p>
            <w:pPr>
              <w:spacing w:line="298" w:lineRule="auto"/>
              <w:rPr>
                <w:rFonts w:ascii="Arial"/>
                <w:sz w:val="21"/>
              </w:rPr>
            </w:pPr>
            <w:r/>
          </w:p>
          <w:p>
            <w:pPr>
              <w:spacing w:line="299" w:lineRule="auto"/>
              <w:rPr>
                <w:rFonts w:ascii="Arial"/>
                <w:sz w:val="21"/>
              </w:rPr>
            </w:pPr>
            <w:r/>
          </w:p>
          <w:p>
            <w:pPr>
              <w:pStyle w:val="TableText"/>
              <w:ind w:left="243"/>
              <w:spacing w:before="49" w:line="219" w:lineRule="auto"/>
              <w:rPr/>
            </w:pPr>
            <w:r>
              <w:rPr>
                <w:spacing w:val="-1"/>
              </w:rPr>
              <w:t>M6:进行数据质量分析</w:t>
            </w:r>
          </w:p>
        </w:tc>
        <w:tc>
          <w:tcPr>
            <w:tcW w:w="2721" w:type="dxa"/>
            <w:vAlign w:val="top"/>
          </w:tcPr>
          <w:p>
            <w:pPr>
              <w:pStyle w:val="TableText"/>
              <w:ind w:left="227"/>
              <w:spacing w:before="90" w:line="219" w:lineRule="auto"/>
              <w:rPr/>
            </w:pPr>
            <w:r>
              <w:rPr/>
              <w:t>由于大约一半的数据质量问题为结</w:t>
            </w:r>
          </w:p>
          <w:p>
            <w:pPr>
              <w:pStyle w:val="TableText"/>
              <w:ind w:left="77"/>
              <w:spacing w:before="102" w:line="219" w:lineRule="auto"/>
              <w:rPr/>
            </w:pPr>
            <w:r>
              <w:rPr>
                <w:spacing w:val="-1"/>
              </w:rPr>
              <w:t>构性问题，全面的分析频繁表明了新的</w:t>
            </w:r>
          </w:p>
          <w:p>
            <w:pPr>
              <w:pStyle w:val="TableText"/>
              <w:ind w:left="156"/>
              <w:spacing w:before="121" w:line="219" w:lineRule="auto"/>
              <w:rPr/>
            </w:pPr>
            <w:r>
              <w:rPr>
                <w:spacing w:val="-1"/>
              </w:rPr>
              <w:t>数据存储区中具有可以修复的设计缺</w:t>
            </w:r>
          </w:p>
          <w:p>
            <w:pPr>
              <w:pStyle w:val="TableText"/>
              <w:ind w:left="77"/>
              <w:spacing w:before="102" w:line="219" w:lineRule="auto"/>
              <w:rPr/>
            </w:pPr>
            <w:r>
              <w:rPr/>
              <w:t>陷。当一个组织着手于一项重要的重新</w:t>
            </w:r>
          </w:p>
          <w:p>
            <w:pPr>
              <w:pStyle w:val="TableText"/>
              <w:ind w:left="156"/>
              <w:spacing w:before="102" w:line="219" w:lineRule="auto"/>
              <w:rPr/>
            </w:pPr>
            <w:r>
              <w:rPr>
                <w:spacing w:val="-1"/>
              </w:rPr>
              <w:t>设计或合并时，宜进行数据质量分析</w:t>
            </w:r>
          </w:p>
        </w:tc>
      </w:tr>
      <w:tr>
        <w:trPr>
          <w:trHeight w:val="1428" w:hRule="atLeast"/>
        </w:trPr>
        <w:tc>
          <w:tcPr>
            <w:tcW w:w="1343" w:type="dxa"/>
            <w:vAlign w:val="top"/>
            <w:vMerge w:val="continue"/>
            <w:tcBorders>
              <w:top w:val="nil"/>
              <w:bottom w:val="nil"/>
            </w:tcBorders>
          </w:tcPr>
          <w:p>
            <w:pPr>
              <w:rPr>
                <w:rFonts w:ascii="Arial"/>
                <w:sz w:val="21"/>
              </w:rPr>
            </w:pPr>
            <w:r/>
          </w:p>
        </w:tc>
        <w:tc>
          <w:tcPr>
            <w:tcW w:w="1618" w:type="dxa"/>
            <w:vAlign w:val="top"/>
            <w:vMerge w:val="continue"/>
            <w:tcBorders>
              <w:top w:val="nil"/>
              <w:bottom w:val="nil"/>
            </w:tcBorders>
          </w:tcPr>
          <w:p>
            <w:pPr>
              <w:rPr>
                <w:rFonts w:ascii="Arial"/>
                <w:sz w:val="21"/>
              </w:rPr>
            </w:pPr>
            <w:r/>
          </w:p>
        </w:tc>
        <w:tc>
          <w:tcPr>
            <w:tcW w:w="1957" w:type="dxa"/>
            <w:vAlign w:val="top"/>
          </w:tcPr>
          <w:p>
            <w:pPr>
              <w:spacing w:line="294" w:lineRule="auto"/>
              <w:rPr>
                <w:rFonts w:ascii="Arial"/>
                <w:sz w:val="21"/>
              </w:rPr>
            </w:pPr>
            <w:r/>
          </w:p>
          <w:p>
            <w:pPr>
              <w:spacing w:line="294" w:lineRule="auto"/>
              <w:rPr>
                <w:rFonts w:ascii="Arial"/>
                <w:sz w:val="21"/>
              </w:rPr>
            </w:pPr>
            <w:r/>
          </w:p>
          <w:p>
            <w:pPr>
              <w:pStyle w:val="TableText"/>
              <w:ind w:left="253"/>
              <w:spacing w:before="49" w:line="219" w:lineRule="auto"/>
              <w:rPr/>
            </w:pPr>
            <w:r>
              <w:rPr>
                <w:spacing w:val="-1"/>
              </w:rPr>
              <w:t>M7:数据接口规格追溯</w:t>
            </w:r>
          </w:p>
        </w:tc>
        <w:tc>
          <w:tcPr>
            <w:tcW w:w="2721" w:type="dxa"/>
            <w:vAlign w:val="top"/>
          </w:tcPr>
          <w:p>
            <w:pPr>
              <w:pStyle w:val="TableText"/>
              <w:ind w:left="227"/>
              <w:spacing w:before="91" w:line="219" w:lineRule="auto"/>
              <w:rPr/>
            </w:pPr>
            <w:r>
              <w:rPr>
                <w:spacing w:val="-1"/>
              </w:rPr>
              <w:t>整合接口和公用数据服务的接口的</w:t>
            </w:r>
          </w:p>
          <w:p>
            <w:pPr>
              <w:pStyle w:val="TableText"/>
              <w:ind w:left="77" w:right="89"/>
              <w:spacing w:before="112" w:line="316" w:lineRule="auto"/>
              <w:rPr/>
            </w:pPr>
            <w:r>
              <w:rPr>
                <w:spacing w:val="-1"/>
              </w:rPr>
              <w:t>开发应遵循通用编程惯例，应提供指导</w:t>
            </w:r>
            <w:r>
              <w:rPr>
                <w:spacing w:val="9"/>
              </w:rPr>
              <w:t xml:space="preserve"> </w:t>
            </w:r>
            <w:r>
              <w:rPr>
                <w:spacing w:val="-1"/>
              </w:rPr>
              <w:t>这些活动的组织标准，还应将接口包括</w:t>
            </w:r>
            <w:r>
              <w:rPr>
                <w:spacing w:val="9"/>
              </w:rPr>
              <w:t xml:space="preserve"> </w:t>
            </w:r>
            <w:r>
              <w:rPr>
                <w:spacing w:val="-1"/>
              </w:rPr>
              <w:t>在完整的技术数据包内，并根据组织的</w:t>
            </w:r>
            <w:r>
              <w:rPr>
                <w:spacing w:val="10"/>
              </w:rPr>
              <w:t xml:space="preserve"> </w:t>
            </w:r>
            <w:r>
              <w:rPr>
                <w:spacing w:val="1"/>
              </w:rPr>
              <w:t>配置管理过程和标准进行管理</w:t>
            </w:r>
          </w:p>
        </w:tc>
      </w:tr>
      <w:tr>
        <w:trPr>
          <w:trHeight w:val="1439" w:hRule="atLeast"/>
        </w:trPr>
        <w:tc>
          <w:tcPr>
            <w:tcW w:w="1343" w:type="dxa"/>
            <w:vAlign w:val="top"/>
            <w:vMerge w:val="continue"/>
            <w:tcBorders>
              <w:top w:val="nil"/>
              <w:bottom w:val="nil"/>
            </w:tcBorders>
          </w:tcPr>
          <w:p>
            <w:pPr>
              <w:rPr>
                <w:rFonts w:ascii="Arial"/>
                <w:sz w:val="21"/>
              </w:rPr>
            </w:pPr>
            <w:r/>
          </w:p>
        </w:tc>
        <w:tc>
          <w:tcPr>
            <w:tcW w:w="1618" w:type="dxa"/>
            <w:vAlign w:val="top"/>
            <w:vMerge w:val="continue"/>
            <w:tcBorders>
              <w:top w:val="nil"/>
              <w:bottom w:val="nil"/>
            </w:tcBorders>
          </w:tcPr>
          <w:p>
            <w:pPr>
              <w:rPr>
                <w:rFonts w:ascii="Arial"/>
                <w:sz w:val="21"/>
              </w:rPr>
            </w:pPr>
            <w:r/>
          </w:p>
        </w:tc>
        <w:tc>
          <w:tcPr>
            <w:tcW w:w="1957" w:type="dxa"/>
            <w:vAlign w:val="top"/>
          </w:tcPr>
          <w:p>
            <w:pPr>
              <w:spacing w:line="300" w:lineRule="auto"/>
              <w:rPr>
                <w:rFonts w:ascii="Arial"/>
                <w:sz w:val="21"/>
              </w:rPr>
            </w:pPr>
            <w:r/>
          </w:p>
          <w:p>
            <w:pPr>
              <w:spacing w:line="301" w:lineRule="auto"/>
              <w:rPr>
                <w:rFonts w:ascii="Arial"/>
                <w:sz w:val="21"/>
              </w:rPr>
            </w:pPr>
            <w:r/>
          </w:p>
          <w:p>
            <w:pPr>
              <w:pStyle w:val="TableText"/>
              <w:ind w:left="253"/>
              <w:spacing w:before="49" w:line="221" w:lineRule="auto"/>
              <w:rPr/>
            </w:pPr>
            <w:r>
              <w:rPr>
                <w:spacing w:val="-1"/>
              </w:rPr>
              <w:t>M8:公用接口设计</w:t>
            </w:r>
          </w:p>
        </w:tc>
        <w:tc>
          <w:tcPr>
            <w:tcW w:w="2721" w:type="dxa"/>
            <w:vAlign w:val="top"/>
          </w:tcPr>
          <w:p>
            <w:pPr>
              <w:pStyle w:val="TableText"/>
              <w:ind w:left="227"/>
              <w:spacing w:before="113" w:line="219" w:lineRule="auto"/>
              <w:rPr/>
            </w:pPr>
            <w:r>
              <w:rPr>
                <w:spacing w:val="-1"/>
              </w:rPr>
              <w:t>定义目标并识别在未来可以进行合</w:t>
            </w:r>
          </w:p>
          <w:p>
            <w:pPr>
              <w:pStyle w:val="TableText"/>
              <w:ind w:left="77" w:right="9"/>
              <w:spacing w:before="112" w:line="310" w:lineRule="auto"/>
              <w:rPr/>
            </w:pPr>
            <w:r>
              <w:rPr/>
              <w:t>并、提取、消除或替代的接口，考虑的</w:t>
            </w:r>
            <w:r>
              <w:rPr>
                <w:spacing w:val="5"/>
              </w:rPr>
              <w:t xml:space="preserve">  </w:t>
            </w:r>
            <w:r>
              <w:rPr>
                <w:spacing w:val="4"/>
              </w:rPr>
              <w:t>内容包括数据迁移、统一的导入机制、</w:t>
            </w:r>
            <w:r>
              <w:rPr>
                <w:spacing w:val="5"/>
              </w:rPr>
              <w:t xml:space="preserve"> </w:t>
            </w:r>
            <w:r>
              <w:rPr>
                <w:spacing w:val="-1"/>
              </w:rPr>
              <w:t>数据表示的标准化、数据发布方法、合</w:t>
            </w:r>
            <w:r>
              <w:rPr>
                <w:spacing w:val="4"/>
              </w:rPr>
              <w:t xml:space="preserve">  </w:t>
            </w:r>
            <w:r>
              <w:rPr>
                <w:spacing w:val="2"/>
              </w:rPr>
              <w:t>并视图、候选的公用数据服务等</w:t>
            </w:r>
          </w:p>
        </w:tc>
      </w:tr>
      <w:tr>
        <w:trPr>
          <w:trHeight w:val="1439" w:hRule="atLeast"/>
        </w:trPr>
        <w:tc>
          <w:tcPr>
            <w:tcW w:w="1343" w:type="dxa"/>
            <w:vAlign w:val="top"/>
            <w:vMerge w:val="continue"/>
            <w:tcBorders>
              <w:top w:val="nil"/>
              <w:bottom w:val="nil"/>
            </w:tcBorders>
          </w:tcPr>
          <w:p>
            <w:pPr>
              <w:rPr>
                <w:rFonts w:ascii="Arial"/>
                <w:sz w:val="21"/>
              </w:rPr>
            </w:pPr>
            <w:r/>
          </w:p>
        </w:tc>
        <w:tc>
          <w:tcPr>
            <w:tcW w:w="1618" w:type="dxa"/>
            <w:vAlign w:val="top"/>
            <w:vMerge w:val="continue"/>
            <w:tcBorders>
              <w:top w:val="nil"/>
            </w:tcBorders>
          </w:tcPr>
          <w:p>
            <w:pPr>
              <w:rPr>
                <w:rFonts w:ascii="Arial"/>
                <w:sz w:val="21"/>
              </w:rPr>
            </w:pPr>
            <w:r/>
          </w:p>
        </w:tc>
        <w:tc>
          <w:tcPr>
            <w:tcW w:w="1957" w:type="dxa"/>
            <w:vAlign w:val="top"/>
          </w:tcPr>
          <w:p>
            <w:pPr>
              <w:spacing w:line="471" w:lineRule="auto"/>
              <w:rPr>
                <w:rFonts w:ascii="Arial"/>
                <w:sz w:val="21"/>
              </w:rPr>
            </w:pPr>
            <w:r/>
          </w:p>
          <w:p>
            <w:pPr>
              <w:pStyle w:val="TableText"/>
              <w:ind w:left="103" w:right="269" w:firstLine="149"/>
              <w:spacing w:before="49" w:line="277" w:lineRule="auto"/>
              <w:rPr/>
            </w:pPr>
            <w:r>
              <w:rPr>
                <w:spacing w:val="-1"/>
              </w:rPr>
              <w:t>M9;执行数据存储的合</w:t>
            </w:r>
            <w:r>
              <w:rPr>
                <w:spacing w:val="8"/>
              </w:rPr>
              <w:t xml:space="preserve"> </w:t>
            </w:r>
            <w:r>
              <w:rPr>
                <w:spacing w:val="-2"/>
              </w:rPr>
              <w:t>理化过程</w:t>
            </w:r>
          </w:p>
        </w:tc>
        <w:tc>
          <w:tcPr>
            <w:tcW w:w="2721" w:type="dxa"/>
            <w:vAlign w:val="top"/>
          </w:tcPr>
          <w:p>
            <w:pPr>
              <w:pStyle w:val="TableText"/>
              <w:ind w:left="227"/>
              <w:spacing w:before="102" w:line="218" w:lineRule="auto"/>
              <w:rPr/>
            </w:pPr>
            <w:r>
              <w:rPr>
                <w:spacing w:val="-1"/>
              </w:rPr>
              <w:t>合理化过程评估确保新数据组件开</w:t>
            </w:r>
          </w:p>
          <w:p>
            <w:pPr>
              <w:pStyle w:val="TableText"/>
              <w:ind w:left="77" w:right="66"/>
              <w:spacing w:before="104" w:line="313" w:lineRule="auto"/>
              <w:rPr/>
            </w:pPr>
            <w:r>
              <w:rPr>
                <w:spacing w:val="-1"/>
              </w:rPr>
              <w:t>发方向的信息需求之前未被提及，合理</w:t>
            </w:r>
            <w:r>
              <w:rPr>
                <w:spacing w:val="7"/>
              </w:rPr>
              <w:t xml:space="preserve"> </w:t>
            </w:r>
            <w:r>
              <w:rPr>
                <w:spacing w:val="-1"/>
              </w:rPr>
              <w:t>化过程应评估现有的数据资产、冗余级</w:t>
            </w:r>
            <w:r>
              <w:rPr>
                <w:spacing w:val="9"/>
              </w:rPr>
              <w:t xml:space="preserve"> </w:t>
            </w:r>
            <w:r>
              <w:rPr>
                <w:spacing w:val="1"/>
              </w:rPr>
              <w:t>别、现有业务需求的满足程度、所使用</w:t>
            </w:r>
            <w:r>
              <w:rPr/>
              <w:t xml:space="preserve"> </w:t>
            </w:r>
            <w:r>
              <w:rPr>
                <w:spacing w:val="6"/>
              </w:rPr>
              <w:t>的平台和技术</w:t>
            </w:r>
          </w:p>
        </w:tc>
      </w:tr>
      <w:tr>
        <w:trPr>
          <w:trHeight w:val="1443" w:hRule="atLeast"/>
        </w:trPr>
        <w:tc>
          <w:tcPr>
            <w:tcW w:w="1343" w:type="dxa"/>
            <w:vAlign w:val="top"/>
            <w:vMerge w:val="continue"/>
            <w:tcBorders>
              <w:top w:val="nil"/>
            </w:tcBorders>
          </w:tcPr>
          <w:p>
            <w:pPr>
              <w:rPr>
                <w:rFonts w:ascii="Arial"/>
                <w:sz w:val="21"/>
              </w:rPr>
            </w:pPr>
            <w:r/>
          </w:p>
        </w:tc>
        <w:tc>
          <w:tcPr>
            <w:tcW w:w="1618" w:type="dxa"/>
            <w:vAlign w:val="top"/>
          </w:tcPr>
          <w:p>
            <w:pPr>
              <w:pStyle w:val="TableText"/>
              <w:ind w:left="121" w:right="142" w:firstLine="110"/>
              <w:spacing w:before="114" w:line="320" w:lineRule="auto"/>
              <w:rPr/>
            </w:pPr>
            <w:r>
              <w:rPr>
                <w:spacing w:val="8"/>
              </w:rPr>
              <w:t>Q4:在截至日期、</w:t>
            </w:r>
            <w:r>
              <w:rPr>
                <w:spacing w:val="7"/>
              </w:rPr>
              <w:t xml:space="preserve"> </w:t>
            </w:r>
            <w:r>
              <w:rPr>
                <w:spacing w:val="-2"/>
              </w:rPr>
              <w:t>紧凑的日程以及其他</w:t>
            </w:r>
            <w:r>
              <w:rPr>
                <w:spacing w:val="7"/>
              </w:rPr>
              <w:t xml:space="preserve"> </w:t>
            </w:r>
            <w:r>
              <w:rPr>
                <w:spacing w:val="-1"/>
              </w:rPr>
              <w:t>压力状况下，组织如</w:t>
            </w:r>
            <w:r>
              <w:rPr>
                <w:spacing w:val="1"/>
              </w:rPr>
              <w:t xml:space="preserve"> </w:t>
            </w:r>
            <w:r>
              <w:rPr>
                <w:spacing w:val="-1"/>
              </w:rPr>
              <w:t>何保证转换到目标状</w:t>
            </w:r>
            <w:r>
              <w:rPr/>
              <w:t xml:space="preserve"> </w:t>
            </w:r>
            <w:r>
              <w:rPr>
                <w:spacing w:val="-1"/>
              </w:rPr>
              <w:t>态的计划进展正常</w:t>
            </w:r>
          </w:p>
        </w:tc>
        <w:tc>
          <w:tcPr>
            <w:tcW w:w="1957" w:type="dxa"/>
            <w:vAlign w:val="top"/>
          </w:tcPr>
          <w:p>
            <w:pPr>
              <w:spacing w:line="301" w:lineRule="auto"/>
              <w:rPr>
                <w:rFonts w:ascii="Arial"/>
                <w:sz w:val="21"/>
              </w:rPr>
            </w:pPr>
            <w:r/>
          </w:p>
          <w:p>
            <w:pPr>
              <w:spacing w:line="301" w:lineRule="auto"/>
              <w:rPr>
                <w:rFonts w:ascii="Arial"/>
                <w:sz w:val="21"/>
              </w:rPr>
            </w:pPr>
            <w:r/>
          </w:p>
          <w:p>
            <w:pPr>
              <w:pStyle w:val="TableText"/>
              <w:ind w:left="253"/>
              <w:spacing w:before="49" w:line="219" w:lineRule="auto"/>
              <w:rPr/>
            </w:pPr>
            <w:r>
              <w:rPr>
                <w:spacing w:val="-1"/>
              </w:rPr>
              <w:t>M10:架构层转换计划</w:t>
            </w:r>
          </w:p>
        </w:tc>
        <w:tc>
          <w:tcPr>
            <w:tcW w:w="2721" w:type="dxa"/>
            <w:vAlign w:val="top"/>
          </w:tcPr>
          <w:p>
            <w:pPr>
              <w:pStyle w:val="TableText"/>
              <w:ind w:left="227"/>
              <w:spacing w:before="255" w:line="219" w:lineRule="auto"/>
              <w:rPr/>
            </w:pPr>
            <w:r>
              <w:rPr>
                <w:spacing w:val="-1"/>
              </w:rPr>
              <w:t>转换计划应包含现有的数据存储状</w:t>
            </w:r>
          </w:p>
          <w:p>
            <w:pPr>
              <w:pStyle w:val="TableText"/>
              <w:ind w:left="77" w:right="63"/>
              <w:spacing w:before="101" w:line="303" w:lineRule="auto"/>
              <w:rPr/>
            </w:pPr>
            <w:r>
              <w:rPr>
                <w:spacing w:val="1"/>
              </w:rPr>
              <w:t>态、退役以及重设计的目标日期、人员</w:t>
            </w:r>
            <w:r>
              <w:rPr>
                <w:spacing w:val="2"/>
              </w:rPr>
              <w:t xml:space="preserve"> </w:t>
            </w:r>
            <w:r>
              <w:rPr>
                <w:spacing w:val="-1"/>
              </w:rPr>
              <w:t>计划、新技术的培训计划以及未来组件</w:t>
            </w:r>
            <w:r>
              <w:rPr>
                <w:spacing w:val="10"/>
              </w:rPr>
              <w:t xml:space="preserve"> </w:t>
            </w:r>
            <w:r>
              <w:rPr>
                <w:spacing w:val="5"/>
              </w:rPr>
              <w:t>实施的目标日期等</w:t>
            </w:r>
          </w:p>
        </w:tc>
      </w:tr>
    </w:tbl>
    <w:p>
      <w:pPr>
        <w:pStyle w:val="BodyText"/>
        <w:rPr/>
      </w:pPr>
      <w:r/>
    </w:p>
    <w:p>
      <w:pPr>
        <w:sectPr>
          <w:footerReference w:type="default" r:id="rId353"/>
          <w:pgSz w:w="8870" w:h="13400"/>
          <w:pgMar w:top="400" w:right="556" w:bottom="522" w:left="465" w:header="0" w:footer="293" w:gutter="0"/>
        </w:sectPr>
        <w:rPr/>
      </w:pPr>
    </w:p>
    <w:p>
      <w:pPr>
        <w:ind w:left="99"/>
        <w:spacing w:before="209"/>
        <w:rPr>
          <w:rFonts w:ascii="SimSun" w:hAnsi="SimSun" w:eastAsia="SimSun" w:cs="SimSun"/>
          <w:sz w:val="22"/>
          <w:szCs w:val="22"/>
        </w:rPr>
      </w:pPr>
      <w:r>
        <w:rPr>
          <w:rFonts w:ascii="SimSun" w:hAnsi="SimSun" w:eastAsia="SimSun" w:cs="SimSun"/>
          <w:sz w:val="22"/>
          <w:szCs w:val="22"/>
          <w:position w:val="-11"/>
        </w:rPr>
        <w:drawing>
          <wp:inline distT="0" distB="0" distL="0" distR="0">
            <wp:extent cx="6365" cy="228637"/>
            <wp:effectExtent l="0" t="0" r="0" b="0"/>
            <wp:docPr id="238" name="IM 238"/>
            <wp:cNvGraphicFramePr/>
            <a:graphic>
              <a:graphicData uri="http://schemas.openxmlformats.org/drawingml/2006/picture">
                <pic:pic>
                  <pic:nvPicPr>
                    <pic:cNvPr id="238" name="IM 238"/>
                    <pic:cNvPicPr/>
                  </pic:nvPicPr>
                  <pic:blipFill>
                    <a:blip r:embed="rId355"/>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6"/>
        </w:rPr>
        <w:t xml:space="preserve"> </w:t>
      </w:r>
      <w:r>
        <w:rPr>
          <w:rFonts w:ascii="SimSun" w:hAnsi="SimSun" w:eastAsia="SimSun" w:cs="SimSun"/>
          <w:sz w:val="22"/>
          <w:szCs w:val="22"/>
          <w:b/>
          <w:bCs/>
          <w:spacing w:val="-16"/>
        </w:rPr>
        <w:t>■云端数据治理</w:t>
      </w:r>
    </w:p>
    <w:p>
      <w:pPr>
        <w:pStyle w:val="BodyText"/>
        <w:spacing w:line="278" w:lineRule="auto"/>
        <w:rPr/>
      </w:pPr>
      <w:r/>
    </w:p>
    <w:p>
      <w:pPr>
        <w:ind w:left="717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63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628"/>
        <w:gridCol w:w="1957"/>
        <w:gridCol w:w="2701"/>
      </w:tblGrid>
      <w:tr>
        <w:trPr>
          <w:trHeight w:val="345" w:hRule="atLeast"/>
        </w:trPr>
        <w:tc>
          <w:tcPr>
            <w:tcW w:w="1353" w:type="dxa"/>
            <w:vAlign w:val="top"/>
          </w:tcPr>
          <w:p>
            <w:pPr>
              <w:pStyle w:val="TableText"/>
              <w:ind w:left="404"/>
              <w:spacing w:before="101" w:line="220" w:lineRule="auto"/>
              <w:rPr/>
            </w:pPr>
            <w:r>
              <w:rPr>
                <w:spacing w:val="-12"/>
              </w:rPr>
              <w:t>目    标</w:t>
            </w:r>
          </w:p>
        </w:tc>
        <w:tc>
          <w:tcPr>
            <w:tcW w:w="1628" w:type="dxa"/>
            <w:vAlign w:val="top"/>
          </w:tcPr>
          <w:p>
            <w:pPr>
              <w:pStyle w:val="TableText"/>
              <w:ind w:left="541"/>
              <w:spacing w:before="103" w:line="221" w:lineRule="auto"/>
              <w:rPr/>
            </w:pPr>
            <w:r>
              <w:rPr>
                <w:spacing w:val="-12"/>
              </w:rPr>
              <w:t>问</w:t>
            </w:r>
            <w:r>
              <w:rPr>
                <w:spacing w:val="10"/>
              </w:rPr>
              <w:t xml:space="preserve">   </w:t>
            </w:r>
            <w:r>
              <w:rPr>
                <w:spacing w:val="-12"/>
              </w:rPr>
              <w:t>题</w:t>
            </w:r>
          </w:p>
        </w:tc>
        <w:tc>
          <w:tcPr>
            <w:tcW w:w="1957" w:type="dxa"/>
            <w:vAlign w:val="top"/>
          </w:tcPr>
          <w:p>
            <w:pPr>
              <w:pStyle w:val="TableText"/>
              <w:ind w:left="613"/>
              <w:spacing w:before="101" w:line="220" w:lineRule="auto"/>
              <w:rPr/>
            </w:pPr>
            <w:r>
              <w:rPr>
                <w:spacing w:val="-4"/>
              </w:rPr>
              <w:t>度</w:t>
            </w:r>
            <w:r>
              <w:rPr>
                <w:spacing w:val="2"/>
              </w:rPr>
              <w:t xml:space="preserve">  </w:t>
            </w:r>
            <w:r>
              <w:rPr>
                <w:spacing w:val="-4"/>
              </w:rPr>
              <w:t>量</w:t>
            </w:r>
            <w:r>
              <w:rPr>
                <w:spacing w:val="4"/>
              </w:rPr>
              <w:t xml:space="preserve">  </w:t>
            </w:r>
            <w:r>
              <w:rPr>
                <w:spacing w:val="-4"/>
              </w:rPr>
              <w:t>项</w:t>
            </w:r>
          </w:p>
        </w:tc>
        <w:tc>
          <w:tcPr>
            <w:tcW w:w="2701" w:type="dxa"/>
            <w:vAlign w:val="top"/>
          </w:tcPr>
          <w:p>
            <w:pPr>
              <w:pStyle w:val="TableText"/>
              <w:ind w:left="966"/>
              <w:spacing w:before="101" w:line="219" w:lineRule="auto"/>
              <w:rPr/>
            </w:pPr>
            <w:r>
              <w:rPr>
                <w:spacing w:val="3"/>
              </w:rPr>
              <w:t>度量项说明</w:t>
            </w:r>
          </w:p>
        </w:tc>
      </w:tr>
      <w:tr>
        <w:trPr>
          <w:trHeight w:val="819" w:hRule="atLeast"/>
        </w:trPr>
        <w:tc>
          <w:tcPr>
            <w:tcW w:w="1353" w:type="dxa"/>
            <w:vAlign w:val="top"/>
            <w:vMerge w:val="restart"/>
            <w:tcBorders>
              <w:bottom w:val="nil"/>
            </w:tcBorders>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pStyle w:val="TableText"/>
              <w:ind w:left="254"/>
              <w:spacing w:before="49" w:line="219" w:lineRule="auto"/>
              <w:rPr/>
            </w:pPr>
            <w:r>
              <w:rPr>
                <w:spacing w:val="-1"/>
              </w:rPr>
              <w:t>G3:所有内部</w:t>
            </w:r>
          </w:p>
          <w:p>
            <w:pPr>
              <w:pStyle w:val="TableText"/>
              <w:ind w:left="115" w:right="128" w:firstLine="29"/>
              <w:spacing w:before="71" w:line="287" w:lineRule="auto"/>
              <w:rPr/>
            </w:pPr>
            <w:r>
              <w:rPr>
                <w:spacing w:val="-1"/>
              </w:rPr>
              <w:t>利益相关方都参</w:t>
            </w:r>
            <w:r>
              <w:rPr/>
              <w:t xml:space="preserve"> </w:t>
            </w:r>
            <w:r>
              <w:rPr>
                <w:spacing w:val="7"/>
              </w:rPr>
              <w:t>与审批并采纳了</w:t>
            </w:r>
            <w:r>
              <w:rPr/>
              <w:t xml:space="preserve"> </w:t>
            </w:r>
            <w:r>
              <w:rPr>
                <w:spacing w:val="-2"/>
              </w:rPr>
              <w:t>架构方法</w:t>
            </w:r>
          </w:p>
        </w:tc>
        <w:tc>
          <w:tcPr>
            <w:tcW w:w="1628" w:type="dxa"/>
            <w:vAlign w:val="top"/>
            <w:vMerge w:val="restart"/>
            <w:tcBorders>
              <w:bottom w:val="nil"/>
            </w:tcBorders>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131" w:right="141" w:firstLine="109"/>
              <w:spacing w:before="49" w:line="292" w:lineRule="auto"/>
              <w:rPr/>
            </w:pPr>
            <w:r>
              <w:rPr>
                <w:spacing w:val="-1"/>
              </w:rPr>
              <w:t>Q5:架构方法是否</w:t>
            </w:r>
            <w:r>
              <w:rPr>
                <w:spacing w:val="1"/>
              </w:rPr>
              <w:t xml:space="preserve">  </w:t>
            </w:r>
            <w:r>
              <w:rPr>
                <w:spacing w:val="-1"/>
              </w:rPr>
              <w:t>得到一致的遵循，并</w:t>
            </w:r>
            <w:r>
              <w:rPr>
                <w:spacing w:val="1"/>
              </w:rPr>
              <w:t xml:space="preserve"> </w:t>
            </w:r>
            <w:r>
              <w:rPr>
                <w:spacing w:val="-1"/>
              </w:rPr>
              <w:t>且项目级别的决策是</w:t>
            </w:r>
            <w:r>
              <w:rPr>
                <w:spacing w:val="2"/>
              </w:rPr>
              <w:t xml:space="preserve"> </w:t>
            </w:r>
            <w:r>
              <w:rPr>
                <w:spacing w:val="-2"/>
              </w:rPr>
              <w:t>否与这方法相符</w:t>
            </w:r>
          </w:p>
        </w:tc>
        <w:tc>
          <w:tcPr>
            <w:tcW w:w="1957" w:type="dxa"/>
            <w:vAlign w:val="top"/>
          </w:tcPr>
          <w:p>
            <w:pPr>
              <w:pStyle w:val="TableText"/>
              <w:ind w:left="113" w:right="184" w:firstLine="149"/>
              <w:spacing w:before="207" w:line="269" w:lineRule="auto"/>
              <w:rPr/>
            </w:pPr>
            <w:r>
              <w:rPr>
                <w:spacing w:val="-1"/>
              </w:rPr>
              <w:t>M11:利益相关方参与到</w:t>
            </w:r>
            <w:r>
              <w:rPr>
                <w:spacing w:val="9"/>
              </w:rPr>
              <w:t xml:space="preserve"> </w:t>
            </w:r>
            <w:r>
              <w:rPr>
                <w:spacing w:val="2"/>
              </w:rPr>
              <w:t>架构决策当中</w:t>
            </w:r>
          </w:p>
        </w:tc>
        <w:tc>
          <w:tcPr>
            <w:tcW w:w="2701" w:type="dxa"/>
            <w:vAlign w:val="top"/>
          </w:tcPr>
          <w:p>
            <w:pPr>
              <w:pStyle w:val="TableText"/>
              <w:ind w:left="216"/>
              <w:spacing w:before="66" w:line="219" w:lineRule="auto"/>
              <w:rPr/>
            </w:pPr>
            <w:r>
              <w:rPr>
                <w:spacing w:val="-1"/>
              </w:rPr>
              <w:t>为了让信息系统能真正满足业务需</w:t>
            </w:r>
          </w:p>
          <w:p>
            <w:pPr>
              <w:pStyle w:val="TableText"/>
              <w:ind w:left="66"/>
              <w:spacing w:before="91" w:line="219" w:lineRule="auto"/>
              <w:rPr/>
            </w:pPr>
            <w:r>
              <w:rPr>
                <w:spacing w:val="-1"/>
              </w:rPr>
              <w:t>求，数据治理委员会、企业数据架构师</w:t>
            </w:r>
          </w:p>
          <w:p>
            <w:pPr>
              <w:pStyle w:val="TableText"/>
              <w:ind w:left="146"/>
              <w:spacing w:before="93" w:line="219" w:lineRule="auto"/>
              <w:rPr/>
            </w:pPr>
            <w:r>
              <w:rPr>
                <w:spacing w:val="1"/>
              </w:rPr>
              <w:t>业务专家等应积极参与到架构决策中</w:t>
            </w:r>
          </w:p>
        </w:tc>
      </w:tr>
      <w:tr>
        <w:trPr>
          <w:trHeight w:val="1079" w:hRule="atLeast"/>
        </w:trPr>
        <w:tc>
          <w:tcPr>
            <w:tcW w:w="135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957" w:type="dxa"/>
            <w:vAlign w:val="top"/>
          </w:tcPr>
          <w:p>
            <w:pPr>
              <w:pStyle w:val="TableText"/>
              <w:ind w:left="244"/>
              <w:spacing w:before="217" w:line="219" w:lineRule="auto"/>
              <w:rPr/>
            </w:pPr>
            <w:r>
              <w:rPr>
                <w:spacing w:val="-1"/>
              </w:rPr>
              <w:t>M12:业务单元、IT和</w:t>
            </w:r>
          </w:p>
          <w:p>
            <w:pPr>
              <w:pStyle w:val="TableText"/>
              <w:ind w:left="103" w:right="190" w:firstLine="10"/>
              <w:spacing w:before="81" w:line="270" w:lineRule="auto"/>
              <w:rPr/>
            </w:pPr>
            <w:r>
              <w:rPr>
                <w:spacing w:val="-1"/>
              </w:rPr>
              <w:t>数据治理协作开发目标架</w:t>
            </w:r>
            <w:r>
              <w:rPr>
                <w:spacing w:val="2"/>
              </w:rPr>
              <w:t xml:space="preserve"> </w:t>
            </w:r>
            <w:r>
              <w:rPr>
                <w:spacing w:val="-1"/>
              </w:rPr>
              <w:t>构并对其进行审批</w:t>
            </w:r>
          </w:p>
        </w:tc>
        <w:tc>
          <w:tcPr>
            <w:tcW w:w="2701" w:type="dxa"/>
            <w:vAlign w:val="top"/>
          </w:tcPr>
          <w:p>
            <w:pPr>
              <w:pStyle w:val="TableText"/>
              <w:ind w:left="216"/>
              <w:spacing w:before="87" w:line="219" w:lineRule="auto"/>
              <w:rPr/>
            </w:pPr>
            <w:r>
              <w:rPr/>
              <w:t>组织设计数据层以解决业务需求和</w:t>
            </w:r>
          </w:p>
          <w:p>
            <w:pPr>
              <w:pStyle w:val="TableText"/>
              <w:ind w:left="66"/>
              <w:spacing w:before="81" w:line="219" w:lineRule="auto"/>
              <w:rPr/>
            </w:pPr>
            <w:r>
              <w:rPr>
                <w:spacing w:val="1"/>
              </w:rPr>
              <w:t>阐述最佳实践是十分重要的，让所有内</w:t>
            </w:r>
          </w:p>
          <w:p>
            <w:pPr>
              <w:pStyle w:val="TableText"/>
              <w:ind w:left="106" w:right="151" w:firstLine="40"/>
              <w:spacing w:before="82" w:line="270" w:lineRule="auto"/>
              <w:rPr/>
            </w:pPr>
            <w:r>
              <w:rPr>
                <w:spacing w:val="-1"/>
              </w:rPr>
              <w:t>部利益相关方参与是采用以及维持长</w:t>
            </w:r>
            <w:r>
              <w:rPr>
                <w:spacing w:val="7"/>
              </w:rPr>
              <w:t xml:space="preserve"> </w:t>
            </w:r>
            <w:r>
              <w:rPr>
                <w:spacing w:val="-2"/>
              </w:rPr>
              <w:t>期支持的关键</w:t>
            </w:r>
          </w:p>
        </w:tc>
      </w:tr>
      <w:tr>
        <w:trPr>
          <w:trHeight w:val="2388" w:hRule="atLeast"/>
        </w:trPr>
        <w:tc>
          <w:tcPr>
            <w:tcW w:w="1353" w:type="dxa"/>
            <w:vAlign w:val="top"/>
            <w:vMerge w:val="continue"/>
            <w:tcBorders>
              <w:top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957" w:type="dxa"/>
            <w:vAlign w:val="top"/>
          </w:tcPr>
          <w:p>
            <w:pPr>
              <w:spacing w:line="311" w:lineRule="auto"/>
              <w:rPr>
                <w:rFonts w:ascii="Arial"/>
                <w:sz w:val="21"/>
              </w:rPr>
            </w:pPr>
            <w:r/>
          </w:p>
          <w:p>
            <w:pPr>
              <w:spacing w:line="311" w:lineRule="auto"/>
              <w:rPr>
                <w:rFonts w:ascii="Arial"/>
                <w:sz w:val="21"/>
              </w:rPr>
            </w:pPr>
            <w:r/>
          </w:p>
          <w:p>
            <w:pPr>
              <w:spacing w:line="312" w:lineRule="auto"/>
              <w:rPr>
                <w:rFonts w:ascii="Arial"/>
                <w:sz w:val="21"/>
              </w:rPr>
            </w:pPr>
            <w:r/>
          </w:p>
          <w:p>
            <w:pPr>
              <w:pStyle w:val="TableText"/>
              <w:ind w:left="113" w:right="194" w:firstLine="139"/>
              <w:spacing w:before="48" w:line="270" w:lineRule="auto"/>
              <w:rPr/>
            </w:pPr>
            <w:r>
              <w:rPr>
                <w:spacing w:val="-1"/>
              </w:rPr>
              <w:t>M13:建立并遵循治理过</w:t>
            </w:r>
            <w:r>
              <w:rPr>
                <w:spacing w:val="9"/>
              </w:rPr>
              <w:t xml:space="preserve"> </w:t>
            </w:r>
            <w:r>
              <w:rPr/>
              <w:t>程</w:t>
            </w:r>
          </w:p>
        </w:tc>
        <w:tc>
          <w:tcPr>
            <w:tcW w:w="2701" w:type="dxa"/>
            <w:vAlign w:val="top"/>
          </w:tcPr>
          <w:p>
            <w:pPr>
              <w:pStyle w:val="TableText"/>
              <w:ind w:left="216"/>
              <w:spacing w:before="78" w:line="219" w:lineRule="auto"/>
              <w:rPr/>
            </w:pPr>
            <w:r>
              <w:rPr>
                <w:spacing w:val="-1"/>
              </w:rPr>
              <w:t>合理化活动确保目标数据架构能解</w:t>
            </w:r>
          </w:p>
          <w:p>
            <w:pPr>
              <w:pStyle w:val="TableText"/>
              <w:ind w:left="66" w:right="53"/>
              <w:spacing w:before="82" w:line="282" w:lineRule="auto"/>
              <w:rPr/>
            </w:pPr>
            <w:r>
              <w:rPr>
                <w:spacing w:val="1"/>
              </w:rPr>
              <w:t>决数据资产当前和未来的需求，活动内</w:t>
            </w:r>
            <w:r>
              <w:rPr>
                <w:spacing w:val="2"/>
              </w:rPr>
              <w:t xml:space="preserve"> </w:t>
            </w:r>
            <w:r>
              <w:rPr>
                <w:spacing w:val="-1"/>
              </w:rPr>
              <w:t>容通常包括：多个的数据模型、冲突的</w:t>
            </w:r>
            <w:r>
              <w:rPr>
                <w:spacing w:val="8"/>
              </w:rPr>
              <w:t xml:space="preserve"> </w:t>
            </w:r>
            <w:r>
              <w:rPr>
                <w:spacing w:val="-1"/>
              </w:rPr>
              <w:t>业务术语定义、值的相似性和差异、未</w:t>
            </w:r>
          </w:p>
          <w:p>
            <w:pPr>
              <w:pStyle w:val="TableText"/>
              <w:ind w:left="66" w:right="59" w:firstLine="109"/>
              <w:spacing w:before="80" w:line="295" w:lineRule="auto"/>
              <w:rPr/>
            </w:pPr>
            <w:r>
              <w:rPr>
                <w:spacing w:val="-1"/>
              </w:rPr>
              <w:t>记录的业务逻辑、多样的ETL与重复</w:t>
            </w:r>
            <w:r>
              <w:rPr>
                <w:spacing w:val="3"/>
              </w:rPr>
              <w:t xml:space="preserve">   </w:t>
            </w:r>
            <w:r>
              <w:rPr/>
              <w:t>的数据内容映射、多个数据存储中的多</w:t>
            </w:r>
            <w:r>
              <w:rPr>
                <w:spacing w:val="13"/>
              </w:rPr>
              <w:t xml:space="preserve"> </w:t>
            </w:r>
            <w:r>
              <w:rPr>
                <w:spacing w:val="-1"/>
              </w:rPr>
              <w:t>余数据、普通数据使用的例外情况、业</w:t>
            </w:r>
          </w:p>
          <w:p>
            <w:pPr>
              <w:pStyle w:val="TableText"/>
              <w:ind w:left="116" w:right="151" w:firstLine="29"/>
              <w:spacing w:before="81" w:line="270" w:lineRule="auto"/>
              <w:rPr/>
            </w:pPr>
            <w:r>
              <w:rPr>
                <w:spacing w:val="-1"/>
              </w:rPr>
              <w:t>务对特定数据存储的依赖程度以及计</w:t>
            </w:r>
            <w:r>
              <w:rPr>
                <w:spacing w:val="7"/>
              </w:rPr>
              <w:t xml:space="preserve"> </w:t>
            </w:r>
            <w:r>
              <w:rPr>
                <w:spacing w:val="-1"/>
              </w:rPr>
              <w:t>划的应用合并工作等</w:t>
            </w:r>
          </w:p>
        </w:tc>
      </w:tr>
      <w:tr>
        <w:trPr>
          <w:trHeight w:val="809" w:hRule="atLeast"/>
        </w:trPr>
        <w:tc>
          <w:tcPr>
            <w:tcW w:w="1353" w:type="dxa"/>
            <w:vAlign w:val="top"/>
            <w:vMerge w:val="restart"/>
            <w:tcBorders>
              <w:bottom w:val="nil"/>
            </w:tcBorders>
          </w:tcPr>
          <w:p>
            <w:pPr>
              <w:spacing w:line="440" w:lineRule="auto"/>
              <w:rPr>
                <w:rFonts w:ascii="Arial"/>
                <w:sz w:val="21"/>
              </w:rPr>
            </w:pPr>
            <w:r/>
          </w:p>
          <w:p>
            <w:pPr>
              <w:pStyle w:val="TableText"/>
              <w:ind w:left="174"/>
              <w:spacing w:before="49" w:line="221" w:lineRule="auto"/>
              <w:rPr/>
            </w:pPr>
            <w:r>
              <w:rPr>
                <w:spacing w:val="9"/>
              </w:rPr>
              <w:t>G4:基础平台、</w:t>
            </w:r>
          </w:p>
          <w:p>
            <w:pPr>
              <w:pStyle w:val="TableText"/>
              <w:ind w:left="64" w:right="84" w:firstLine="80"/>
              <w:spacing w:before="67" w:line="270" w:lineRule="auto"/>
              <w:rPr/>
            </w:pPr>
            <w:r>
              <w:rPr>
                <w:spacing w:val="-1"/>
              </w:rPr>
              <w:t>技术需求与架构</w:t>
            </w:r>
            <w:r>
              <w:rPr/>
              <w:t xml:space="preserve">  </w:t>
            </w:r>
            <w:r>
              <w:rPr>
                <w:spacing w:val="-1"/>
              </w:rPr>
              <w:t>方法保持相符，并</w:t>
            </w:r>
          </w:p>
          <w:p>
            <w:pPr>
              <w:pStyle w:val="TableText"/>
              <w:ind w:left="115" w:right="155" w:firstLine="29"/>
              <w:spacing w:before="72" w:line="270" w:lineRule="auto"/>
              <w:rPr/>
            </w:pPr>
            <w:r>
              <w:rPr>
                <w:spacing w:val="-2"/>
              </w:rPr>
              <w:t>经过了利益相关</w:t>
            </w:r>
            <w:r>
              <w:rPr>
                <w:spacing w:val="5"/>
              </w:rPr>
              <w:t xml:space="preserve"> </w:t>
            </w:r>
            <w:r>
              <w:rPr>
                <w:spacing w:val="-2"/>
              </w:rPr>
              <w:t>方的审批</w:t>
            </w:r>
          </w:p>
        </w:tc>
        <w:tc>
          <w:tcPr>
            <w:tcW w:w="1628" w:type="dxa"/>
            <w:vAlign w:val="top"/>
            <w:vMerge w:val="restart"/>
            <w:tcBorders>
              <w:bottom w:val="nil"/>
            </w:tcBorders>
          </w:tcPr>
          <w:p>
            <w:pPr>
              <w:spacing w:line="283" w:lineRule="auto"/>
              <w:rPr>
                <w:rFonts w:ascii="Arial"/>
                <w:sz w:val="21"/>
              </w:rPr>
            </w:pPr>
            <w:r/>
          </w:p>
          <w:p>
            <w:pPr>
              <w:spacing w:line="283" w:lineRule="auto"/>
              <w:rPr>
                <w:rFonts w:ascii="Arial"/>
                <w:sz w:val="21"/>
              </w:rPr>
            </w:pPr>
            <w:r/>
          </w:p>
          <w:p>
            <w:pPr>
              <w:pStyle w:val="TableText"/>
              <w:ind w:left="111" w:right="143" w:firstLine="130"/>
              <w:spacing w:before="49" w:line="289" w:lineRule="auto"/>
              <w:rPr/>
            </w:pPr>
            <w:r>
              <w:rPr>
                <w:spacing w:val="-1"/>
              </w:rPr>
              <w:t>Q6:组织是否记录</w:t>
            </w:r>
            <w:r>
              <w:rPr>
                <w:spacing w:val="1"/>
              </w:rPr>
              <w:t xml:space="preserve">  </w:t>
            </w:r>
            <w:r>
              <w:rPr>
                <w:spacing w:val="1"/>
              </w:rPr>
              <w:t>并审批技术能力和需</w:t>
            </w:r>
            <w:r>
              <w:rPr/>
              <w:t xml:space="preserve"> </w:t>
            </w:r>
            <w:r>
              <w:rPr>
                <w:spacing w:val="1"/>
              </w:rPr>
              <w:t>求以满足经营业务的</w:t>
            </w:r>
            <w:r>
              <w:rPr>
                <w:spacing w:val="2"/>
              </w:rPr>
              <w:t xml:space="preserve"> </w:t>
            </w:r>
            <w:r>
              <w:rPr>
                <w:spacing w:val="-2"/>
              </w:rPr>
              <w:t>持续性</w:t>
            </w:r>
          </w:p>
        </w:tc>
        <w:tc>
          <w:tcPr>
            <w:tcW w:w="1957" w:type="dxa"/>
            <w:vAlign w:val="top"/>
          </w:tcPr>
          <w:p>
            <w:pPr>
              <w:pStyle w:val="TableText"/>
              <w:ind w:left="103" w:right="184" w:firstLine="160"/>
              <w:spacing w:before="219" w:line="264" w:lineRule="auto"/>
              <w:rPr/>
            </w:pPr>
            <w:r>
              <w:rPr>
                <w:spacing w:val="-1"/>
              </w:rPr>
              <w:t>M14:目标数据架构与数</w:t>
            </w:r>
            <w:r>
              <w:rPr>
                <w:spacing w:val="9"/>
              </w:rPr>
              <w:t xml:space="preserve"> </w:t>
            </w:r>
            <w:r>
              <w:rPr>
                <w:spacing w:val="-1"/>
              </w:rPr>
              <w:t>据战略一致性</w:t>
            </w:r>
          </w:p>
        </w:tc>
        <w:tc>
          <w:tcPr>
            <w:tcW w:w="2701" w:type="dxa"/>
            <w:vAlign w:val="top"/>
          </w:tcPr>
          <w:p>
            <w:pPr>
              <w:pStyle w:val="TableText"/>
              <w:ind w:left="66" w:right="82" w:firstLine="149"/>
              <w:spacing w:before="81" w:line="286" w:lineRule="auto"/>
              <w:rPr/>
            </w:pPr>
            <w:r>
              <w:rPr/>
              <w:t>定义数据架构的决定是数据战略的  </w:t>
            </w:r>
            <w:r>
              <w:rPr>
                <w:spacing w:val="-1"/>
              </w:rPr>
              <w:t>一部分，实施数据架构组件的决策是战</w:t>
            </w:r>
            <w:r>
              <w:rPr>
                <w:spacing w:val="7"/>
              </w:rPr>
              <w:t xml:space="preserve"> </w:t>
            </w:r>
            <w:r>
              <w:rPr>
                <w:spacing w:val="3"/>
              </w:rPr>
              <w:t>略决策，架构必须支持战略</w:t>
            </w:r>
          </w:p>
        </w:tc>
      </w:tr>
      <w:tr>
        <w:trPr>
          <w:trHeight w:val="1339" w:hRule="atLeast"/>
        </w:trPr>
        <w:tc>
          <w:tcPr>
            <w:tcW w:w="1353" w:type="dxa"/>
            <w:vAlign w:val="top"/>
            <w:vMerge w:val="continue"/>
            <w:tcBorders>
              <w:top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957" w:type="dxa"/>
            <w:vAlign w:val="top"/>
          </w:tcPr>
          <w:p>
            <w:pPr>
              <w:spacing w:line="280" w:lineRule="auto"/>
              <w:rPr>
                <w:rFonts w:ascii="Arial"/>
                <w:sz w:val="21"/>
              </w:rPr>
            </w:pPr>
            <w:r/>
          </w:p>
          <w:p>
            <w:pPr>
              <w:pStyle w:val="TableText"/>
              <w:ind w:left="123" w:right="178" w:firstLine="129"/>
              <w:spacing w:before="48" w:line="283" w:lineRule="auto"/>
              <w:jc w:val="both"/>
              <w:rPr/>
            </w:pPr>
            <w:r>
              <w:rPr>
                <w:spacing w:val="-1"/>
              </w:rPr>
              <w:t>M15:架构、技术需求以</w:t>
            </w:r>
            <w:r>
              <w:rPr>
                <w:spacing w:val="9"/>
              </w:rPr>
              <w:t xml:space="preserve"> </w:t>
            </w:r>
            <w:r>
              <w:rPr>
                <w:spacing w:val="-1"/>
              </w:rPr>
              <w:t>及支持性的基础设施能力</w:t>
            </w:r>
            <w:r>
              <w:rPr>
                <w:spacing w:val="4"/>
              </w:rPr>
              <w:t xml:space="preserve"> </w:t>
            </w:r>
            <w:r>
              <w:rPr>
                <w:spacing w:val="1"/>
              </w:rPr>
              <w:t>的一致性</w:t>
            </w:r>
          </w:p>
        </w:tc>
        <w:tc>
          <w:tcPr>
            <w:tcW w:w="2701" w:type="dxa"/>
            <w:vAlign w:val="top"/>
          </w:tcPr>
          <w:p>
            <w:pPr>
              <w:pStyle w:val="TableText"/>
              <w:ind w:left="216"/>
              <w:spacing w:before="71" w:line="220" w:lineRule="auto"/>
              <w:rPr/>
            </w:pPr>
            <w:r>
              <w:rPr>
                <w:spacing w:val="-1"/>
              </w:rPr>
              <w:t>架构设计应当与组织预期的目标基</w:t>
            </w:r>
          </w:p>
          <w:p>
            <w:pPr>
              <w:pStyle w:val="TableText"/>
              <w:ind w:left="66" w:right="79"/>
              <w:spacing w:before="70" w:line="301" w:lineRule="auto"/>
              <w:rPr/>
            </w:pPr>
            <w:r>
              <w:rPr>
                <w:spacing w:val="-1"/>
              </w:rPr>
              <w:t>础设施相符。组织需要决定如何管理数</w:t>
            </w:r>
            <w:r>
              <w:rPr>
                <w:spacing w:val="10"/>
              </w:rPr>
              <w:t xml:space="preserve"> </w:t>
            </w:r>
            <w:r>
              <w:rPr>
                <w:spacing w:val="-1"/>
              </w:rPr>
              <w:t>据迁移、数据集成、数据质量和数据安</w:t>
            </w:r>
            <w:r>
              <w:rPr>
                <w:spacing w:val="10"/>
              </w:rPr>
              <w:t xml:space="preserve"> </w:t>
            </w:r>
            <w:r>
              <w:rPr>
                <w:spacing w:val="-1"/>
              </w:rPr>
              <w:t>全，以达到在可扩展性、性能、可靠性</w:t>
            </w:r>
            <w:r>
              <w:rPr>
                <w:spacing w:val="10"/>
              </w:rPr>
              <w:t xml:space="preserve"> </w:t>
            </w:r>
            <w:r>
              <w:rPr>
                <w:spacing w:val="7"/>
              </w:rPr>
              <w:t>等方面的目标</w:t>
            </w:r>
          </w:p>
        </w:tc>
      </w:tr>
      <w:tr>
        <w:trPr>
          <w:trHeight w:val="1588" w:hRule="atLeast"/>
        </w:trPr>
        <w:tc>
          <w:tcPr>
            <w:tcW w:w="1353" w:type="dxa"/>
            <w:vAlign w:val="top"/>
            <w:vMerge w:val="restart"/>
            <w:tcBorders>
              <w:bottom w:val="nil"/>
            </w:tcBorders>
          </w:tcPr>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pStyle w:val="TableText"/>
              <w:ind w:left="104" w:right="140" w:firstLine="59"/>
              <w:spacing w:before="49" w:line="301" w:lineRule="auto"/>
              <w:jc w:val="both"/>
              <w:rPr/>
            </w:pPr>
            <w:r>
              <w:rPr>
                <w:spacing w:val="30"/>
              </w:rPr>
              <w:t>G5:业务和</w:t>
            </w:r>
            <w:r>
              <w:rPr/>
              <w:t>IT </w:t>
            </w:r>
            <w:r>
              <w:rPr>
                <w:spacing w:val="6"/>
              </w:rPr>
              <w:t>的利益相关方使</w:t>
            </w:r>
            <w:r>
              <w:rPr>
                <w:spacing w:val="4"/>
              </w:rPr>
              <w:t xml:space="preserve"> </w:t>
            </w:r>
            <w:r>
              <w:rPr>
                <w:spacing w:val="4"/>
              </w:rPr>
              <w:t>用了度量架构蓝</w:t>
            </w:r>
            <w:r>
              <w:rPr>
                <w:spacing w:val="3"/>
              </w:rPr>
              <w:t xml:space="preserve"> </w:t>
            </w:r>
            <w:r>
              <w:rPr>
                <w:spacing w:val="6"/>
              </w:rPr>
              <w:t>图及其组件有效</w:t>
            </w:r>
            <w:r>
              <w:rPr>
                <w:spacing w:val="3"/>
              </w:rPr>
              <w:t xml:space="preserve"> </w:t>
            </w:r>
            <w:r>
              <w:rPr>
                <w:spacing w:val="4"/>
              </w:rPr>
              <w:t>性的度量项和关</w:t>
            </w:r>
            <w:r>
              <w:rPr>
                <w:spacing w:val="3"/>
              </w:rPr>
              <w:t xml:space="preserve"> </w:t>
            </w:r>
            <w:r>
              <w:rPr>
                <w:spacing w:val="-1"/>
              </w:rPr>
              <w:t>键绩效指标</w:t>
            </w:r>
          </w:p>
        </w:tc>
        <w:tc>
          <w:tcPr>
            <w:tcW w:w="1628" w:type="dxa"/>
            <w:vAlign w:val="top"/>
            <w:vMerge w:val="restart"/>
            <w:tcBorders>
              <w:bottom w:val="nil"/>
            </w:tcBorders>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111" w:right="143" w:firstLine="130"/>
              <w:spacing w:before="49" w:line="280" w:lineRule="auto"/>
              <w:rPr/>
            </w:pPr>
            <w:r>
              <w:rPr>
                <w:spacing w:val="-1"/>
              </w:rPr>
              <w:t>Q7:组织是如何制</w:t>
            </w:r>
            <w:r>
              <w:rPr>
                <w:spacing w:val="1"/>
              </w:rPr>
              <w:t xml:space="preserve">  </w:t>
            </w:r>
            <w:r>
              <w:rPr>
                <w:spacing w:val="1"/>
              </w:rPr>
              <w:t>订度量项和度量指标</w:t>
            </w:r>
            <w:r>
              <w:rPr>
                <w:spacing w:val="2"/>
              </w:rPr>
              <w:t xml:space="preserve"> </w:t>
            </w:r>
            <w:r>
              <w:rPr/>
              <w:t>的</w:t>
            </w:r>
          </w:p>
        </w:tc>
        <w:tc>
          <w:tcPr>
            <w:tcW w:w="1957" w:type="dxa"/>
            <w:vAlign w:val="top"/>
          </w:tcPr>
          <w:p>
            <w:pPr>
              <w:spacing w:line="421" w:lineRule="auto"/>
              <w:rPr>
                <w:rFonts w:ascii="Arial"/>
                <w:sz w:val="21"/>
              </w:rPr>
            </w:pPr>
            <w:r/>
          </w:p>
          <w:p>
            <w:pPr>
              <w:pStyle w:val="TableText"/>
              <w:ind w:left="103" w:right="184" w:firstLine="160"/>
              <w:spacing w:before="49" w:line="282" w:lineRule="auto"/>
              <w:jc w:val="both"/>
              <w:rPr/>
            </w:pPr>
            <w:r>
              <w:rPr>
                <w:spacing w:val="-1"/>
              </w:rPr>
              <w:t>M16:性能统计分析和数</w:t>
            </w:r>
            <w:r>
              <w:rPr>
                <w:spacing w:val="9"/>
              </w:rPr>
              <w:t xml:space="preserve"> </w:t>
            </w:r>
            <w:r>
              <w:rPr>
                <w:spacing w:val="-1"/>
              </w:rPr>
              <w:t>据质量改善在架构设计过</w:t>
            </w:r>
            <w:r>
              <w:rPr>
                <w:spacing w:val="4"/>
              </w:rPr>
              <w:t xml:space="preserve"> </w:t>
            </w:r>
            <w:r>
              <w:rPr/>
              <w:t>程中被用作输入信息</w:t>
            </w:r>
          </w:p>
        </w:tc>
        <w:tc>
          <w:tcPr>
            <w:tcW w:w="2701" w:type="dxa"/>
            <w:vAlign w:val="top"/>
          </w:tcPr>
          <w:p>
            <w:pPr>
              <w:pStyle w:val="TableText"/>
              <w:ind w:left="66" w:right="30" w:firstLine="200"/>
              <w:spacing w:before="81" w:line="292" w:lineRule="auto"/>
              <w:jc w:val="both"/>
              <w:rPr/>
            </w:pPr>
            <w:r>
              <w:rPr>
                <w:spacing w:val="-1"/>
              </w:rPr>
              <w:t>新架构组件的性能测量指标、成本效</w:t>
            </w:r>
            <w:r>
              <w:rPr>
                <w:spacing w:val="8"/>
              </w:rPr>
              <w:t xml:space="preserve"> </w:t>
            </w:r>
            <w:r>
              <w:rPr>
                <w:spacing w:val="-1"/>
              </w:rPr>
              <w:t>益分析是架构设计决策的输入信息。识 </w:t>
            </w:r>
            <w:r>
              <w:rPr>
                <w:spacing w:val="-1"/>
              </w:rPr>
              <w:t>别并跟踪现有架构的限制，并将其用于 </w:t>
            </w:r>
            <w:r>
              <w:rPr>
                <w:spacing w:val="-1"/>
              </w:rPr>
              <w:t>未来架构计划的输入信息。新架构组件</w:t>
            </w:r>
          </w:p>
          <w:p>
            <w:pPr>
              <w:pStyle w:val="TableText"/>
              <w:ind w:left="127" w:right="138" w:firstLine="19"/>
              <w:spacing w:before="81" w:line="270" w:lineRule="auto"/>
              <w:rPr/>
            </w:pPr>
            <w:r>
              <w:rPr/>
              <w:t>的测量指标也被用于评估是否达到业</w:t>
            </w:r>
            <w:r>
              <w:rPr>
                <w:spacing w:val="4"/>
              </w:rPr>
              <w:t xml:space="preserve"> </w:t>
            </w:r>
            <w:r>
              <w:rPr>
                <w:spacing w:val="-1"/>
              </w:rPr>
              <w:t>务目标和数据质量目标</w:t>
            </w:r>
          </w:p>
        </w:tc>
      </w:tr>
      <w:tr>
        <w:trPr>
          <w:trHeight w:val="1079" w:hRule="atLeast"/>
        </w:trPr>
        <w:tc>
          <w:tcPr>
            <w:tcW w:w="1353" w:type="dxa"/>
            <w:vAlign w:val="top"/>
            <w:vMerge w:val="continue"/>
            <w:tcBorders>
              <w:top w:val="nil"/>
              <w:bottom w:val="nil"/>
            </w:tcBorders>
          </w:tcPr>
          <w:p>
            <w:pPr>
              <w:rPr>
                <w:rFonts w:ascii="Arial"/>
                <w:sz w:val="21"/>
              </w:rPr>
            </w:pPr>
            <w:r/>
          </w:p>
        </w:tc>
        <w:tc>
          <w:tcPr>
            <w:tcW w:w="1628" w:type="dxa"/>
            <w:vAlign w:val="top"/>
            <w:vMerge w:val="continue"/>
            <w:tcBorders>
              <w:top w:val="nil"/>
              <w:bottom w:val="nil"/>
            </w:tcBorders>
          </w:tcPr>
          <w:p>
            <w:pPr>
              <w:rPr>
                <w:rFonts w:ascii="Arial"/>
                <w:sz w:val="21"/>
              </w:rPr>
            </w:pPr>
            <w:r/>
          </w:p>
        </w:tc>
        <w:tc>
          <w:tcPr>
            <w:tcW w:w="1957" w:type="dxa"/>
            <w:vAlign w:val="top"/>
          </w:tcPr>
          <w:p>
            <w:pPr>
              <w:spacing w:line="293" w:lineRule="auto"/>
              <w:rPr>
                <w:rFonts w:ascii="Arial"/>
                <w:sz w:val="21"/>
              </w:rPr>
            </w:pPr>
            <w:r/>
          </w:p>
          <w:p>
            <w:pPr>
              <w:pStyle w:val="TableText"/>
              <w:ind w:left="103" w:right="184" w:firstLine="160"/>
              <w:spacing w:before="48" w:line="266" w:lineRule="auto"/>
              <w:rPr/>
            </w:pPr>
            <w:r>
              <w:rPr>
                <w:spacing w:val="-1"/>
              </w:rPr>
              <w:t>M17:架构评估与改进计</w:t>
            </w:r>
            <w:r>
              <w:rPr>
                <w:spacing w:val="9"/>
              </w:rPr>
              <w:t xml:space="preserve"> </w:t>
            </w:r>
            <w:r>
              <w:rPr/>
              <w:t>划</w:t>
            </w:r>
          </w:p>
        </w:tc>
        <w:tc>
          <w:tcPr>
            <w:tcW w:w="2701" w:type="dxa"/>
            <w:vAlign w:val="top"/>
          </w:tcPr>
          <w:p>
            <w:pPr>
              <w:pStyle w:val="TableText"/>
              <w:ind w:left="216"/>
              <w:spacing w:before="74" w:line="219" w:lineRule="auto"/>
              <w:rPr/>
            </w:pPr>
            <w:r>
              <w:rPr>
                <w:spacing w:val="-1"/>
              </w:rPr>
              <w:t>架构转换的度量项使主要项目在里</w:t>
            </w:r>
          </w:p>
          <w:p>
            <w:pPr>
              <w:pStyle w:val="TableText"/>
              <w:ind w:left="66" w:right="79" w:firstLine="80"/>
              <w:spacing w:before="80" w:line="295" w:lineRule="auto"/>
              <w:rPr/>
            </w:pPr>
            <w:r>
              <w:rPr>
                <w:spacing w:val="-1"/>
              </w:rPr>
              <w:t>程碑成果的汇报上能准确展示在架构</w:t>
            </w:r>
            <w:r>
              <w:rPr>
                <w:spacing w:val="4"/>
              </w:rPr>
              <w:t xml:space="preserve">  </w:t>
            </w:r>
            <w:r>
              <w:rPr>
                <w:spacing w:val="-1"/>
              </w:rPr>
              <w:t>采用上的进度，并强调从新组件和已修</w:t>
            </w:r>
            <w:r>
              <w:rPr>
                <w:spacing w:val="10"/>
              </w:rPr>
              <w:t xml:space="preserve"> </w:t>
            </w:r>
            <w:r>
              <w:rPr>
                <w:spacing w:val="5"/>
              </w:rPr>
              <w:t>正组件中实现的能力改进</w:t>
            </w:r>
          </w:p>
        </w:tc>
      </w:tr>
      <w:tr>
        <w:trPr>
          <w:trHeight w:val="1084" w:hRule="atLeast"/>
        </w:trPr>
        <w:tc>
          <w:tcPr>
            <w:tcW w:w="1353" w:type="dxa"/>
            <w:vAlign w:val="top"/>
            <w:vMerge w:val="continue"/>
            <w:tcBorders>
              <w:top w:val="nil"/>
            </w:tcBorders>
          </w:tcPr>
          <w:p>
            <w:pPr>
              <w:rPr>
                <w:rFonts w:ascii="Arial"/>
                <w:sz w:val="21"/>
              </w:rPr>
            </w:pPr>
            <w:r/>
          </w:p>
        </w:tc>
        <w:tc>
          <w:tcPr>
            <w:tcW w:w="1628" w:type="dxa"/>
            <w:vAlign w:val="top"/>
            <w:vMerge w:val="continue"/>
            <w:tcBorders>
              <w:top w:val="nil"/>
            </w:tcBorders>
          </w:tcPr>
          <w:p>
            <w:pPr>
              <w:rPr>
                <w:rFonts w:ascii="Arial"/>
                <w:sz w:val="21"/>
              </w:rPr>
            </w:pPr>
            <w:r/>
          </w:p>
        </w:tc>
        <w:tc>
          <w:tcPr>
            <w:tcW w:w="1957" w:type="dxa"/>
            <w:vAlign w:val="top"/>
          </w:tcPr>
          <w:p>
            <w:pPr>
              <w:spacing w:line="424" w:lineRule="auto"/>
              <w:rPr>
                <w:rFonts w:ascii="Arial"/>
                <w:sz w:val="21"/>
              </w:rPr>
            </w:pPr>
            <w:r/>
          </w:p>
          <w:p>
            <w:pPr>
              <w:pStyle w:val="TableText"/>
              <w:ind w:left="244"/>
              <w:spacing w:before="49" w:line="220" w:lineRule="auto"/>
              <w:rPr/>
            </w:pPr>
            <w:r>
              <w:rPr>
                <w:spacing w:val="25"/>
              </w:rPr>
              <w:t>M18:出版物</w:t>
            </w:r>
          </w:p>
        </w:tc>
        <w:tc>
          <w:tcPr>
            <w:tcW w:w="2701" w:type="dxa"/>
            <w:vAlign w:val="top"/>
          </w:tcPr>
          <w:p>
            <w:pPr>
              <w:pStyle w:val="TableText"/>
              <w:ind w:left="66" w:right="16" w:firstLine="200"/>
              <w:spacing w:before="83" w:line="295" w:lineRule="auto"/>
              <w:jc w:val="both"/>
              <w:rPr/>
            </w:pPr>
            <w:r>
              <w:rPr/>
              <w:t>随着数据架构管理的进步，组织需要</w:t>
            </w:r>
            <w:r>
              <w:rPr>
                <w:spacing w:val="6"/>
              </w:rPr>
              <w:t xml:space="preserve"> </w:t>
            </w:r>
            <w:r>
              <w:rPr/>
              <w:t>与各种数据管理组织保持密切接触，以 </w:t>
            </w:r>
            <w:r>
              <w:rPr/>
              <w:t>了解、学习目前业内的最佳实践，持续 </w:t>
            </w:r>
            <w:r>
              <w:rPr>
                <w:spacing w:val="3"/>
              </w:rPr>
              <w:t>的更新数据架构活动中的最佳实践</w:t>
            </w:r>
          </w:p>
        </w:tc>
      </w:tr>
    </w:tbl>
    <w:p>
      <w:pPr>
        <w:pStyle w:val="BodyText"/>
        <w:rPr/>
      </w:pPr>
      <w:r/>
    </w:p>
    <w:p>
      <w:pPr>
        <w:sectPr>
          <w:footerReference w:type="default" r:id="rId354"/>
          <w:pgSz w:w="8870" w:h="13400"/>
          <w:pgMar w:top="400" w:right="444" w:bottom="475" w:left="510" w:header="0" w:footer="256" w:gutter="0"/>
        </w:sectPr>
        <w:rPr/>
      </w:pPr>
    </w:p>
    <w:p>
      <w:pPr>
        <w:ind w:left="5517"/>
        <w:spacing w:before="184" w:line="219" w:lineRule="auto"/>
        <w:rPr>
          <w:rFonts w:ascii="SimSun" w:hAnsi="SimSun" w:eastAsia="SimSun" w:cs="SimSun"/>
          <w:sz w:val="21"/>
          <w:szCs w:val="21"/>
        </w:rPr>
      </w:pPr>
      <w:r>
        <w:rPr>
          <w:rFonts w:ascii="SimSun" w:hAnsi="SimSun" w:eastAsia="SimSun" w:cs="SimSun"/>
          <w:sz w:val="21"/>
          <w:szCs w:val="21"/>
          <w:b/>
          <w:bCs/>
          <w:spacing w:val="15"/>
        </w:rPr>
        <w:t>第8章■云端数据架构</w:t>
      </w:r>
    </w:p>
    <w:p>
      <w:pPr>
        <w:pStyle w:val="BodyText"/>
        <w:spacing w:line="398" w:lineRule="auto"/>
        <w:rPr/>
      </w:pPr>
      <w:r/>
    </w:p>
    <w:p>
      <w:pPr>
        <w:ind w:left="427"/>
        <w:spacing w:before="68" w:line="471" w:lineRule="exact"/>
        <w:rPr>
          <w:rFonts w:ascii="YouYuan" w:hAnsi="YouYuan" w:eastAsia="YouYuan" w:cs="YouYuan"/>
          <w:sz w:val="21"/>
          <w:szCs w:val="21"/>
        </w:rPr>
      </w:pPr>
      <w:r>
        <w:rPr>
          <w:rFonts w:ascii="YouYuan" w:hAnsi="YouYuan" w:eastAsia="YouYuan" w:cs="YouYuan"/>
          <w:sz w:val="21"/>
          <w:szCs w:val="21"/>
          <w:b/>
          <w:bCs/>
          <w:spacing w:val="5"/>
          <w:position w:val="19"/>
        </w:rPr>
        <w:t>3.</w:t>
      </w:r>
      <w:r>
        <w:rPr>
          <w:rFonts w:ascii="YouYuan" w:hAnsi="YouYuan" w:eastAsia="YouYuan" w:cs="YouYuan"/>
          <w:sz w:val="21"/>
          <w:szCs w:val="21"/>
          <w:spacing w:val="5"/>
          <w:position w:val="19"/>
        </w:rPr>
        <w:t xml:space="preserve"> </w:t>
      </w:r>
      <w:r>
        <w:rPr>
          <w:rFonts w:ascii="YouYuan" w:hAnsi="YouYuan" w:eastAsia="YouYuan" w:cs="YouYuan"/>
          <w:sz w:val="21"/>
          <w:szCs w:val="21"/>
          <w:b/>
          <w:bCs/>
          <w:spacing w:val="5"/>
          <w:position w:val="19"/>
        </w:rPr>
        <w:t>成熟度等级介绍</w:t>
      </w:r>
    </w:p>
    <w:p>
      <w:pPr>
        <w:ind w:left="424"/>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4"/>
        </w:rPr>
        <w:t xml:space="preserve">   </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b/>
          <w:bCs/>
          <w:spacing w:val="-16"/>
        </w:rPr>
        <w:t xml:space="preserve"> </w:t>
      </w:r>
      <w:r>
        <w:rPr>
          <w:rFonts w:ascii="SimHei" w:hAnsi="SimHei" w:eastAsia="SimHei" w:cs="SimHei"/>
          <w:sz w:val="21"/>
          <w:szCs w:val="21"/>
          <w:b/>
          <w:bCs/>
          <w:spacing w:val="-3"/>
        </w:rPr>
        <w:t>初始级</w:t>
      </w:r>
    </w:p>
    <w:p>
      <w:pPr>
        <w:spacing w:line="120" w:lineRule="exact"/>
        <w:rPr/>
      </w:pPr>
      <w:r/>
    </w:p>
    <w:tbl>
      <w:tblPr>
        <w:tblStyle w:val="TableNormal"/>
        <w:tblW w:w="76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1" w:hRule="atLeast"/>
        </w:trPr>
        <w:tc>
          <w:tcPr>
            <w:tcW w:w="744" w:type="dxa"/>
            <w:vAlign w:val="top"/>
          </w:tcPr>
          <w:p>
            <w:pPr>
              <w:pStyle w:val="TableText"/>
              <w:ind w:left="204"/>
              <w:spacing w:before="92" w:line="221" w:lineRule="auto"/>
              <w:rPr>
                <w:sz w:val="16"/>
                <w:szCs w:val="16"/>
              </w:rPr>
            </w:pPr>
            <w:r>
              <w:rPr>
                <w:sz w:val="16"/>
                <w:szCs w:val="16"/>
                <w:spacing w:val="-2"/>
              </w:rPr>
              <w:t>序号</w:t>
            </w:r>
          </w:p>
        </w:tc>
        <w:tc>
          <w:tcPr>
            <w:tcW w:w="3156" w:type="dxa"/>
            <w:vAlign w:val="top"/>
          </w:tcPr>
          <w:p>
            <w:pPr>
              <w:pStyle w:val="TableText"/>
              <w:ind w:left="1160"/>
              <w:spacing w:before="91" w:line="219" w:lineRule="auto"/>
              <w:rPr>
                <w:sz w:val="16"/>
                <w:szCs w:val="16"/>
              </w:rPr>
            </w:pPr>
            <w:r>
              <w:rPr>
                <w:sz w:val="16"/>
                <w:szCs w:val="16"/>
                <w:spacing w:val="-6"/>
              </w:rPr>
              <w:t>等</w:t>
            </w:r>
            <w:r>
              <w:rPr>
                <w:sz w:val="16"/>
                <w:szCs w:val="16"/>
                <w:spacing w:val="7"/>
              </w:rPr>
              <w:t xml:space="preserve"> </w:t>
            </w:r>
            <w:r>
              <w:rPr>
                <w:sz w:val="16"/>
                <w:szCs w:val="16"/>
                <w:spacing w:val="-6"/>
              </w:rPr>
              <w:t>级</w:t>
            </w:r>
            <w:r>
              <w:rPr>
                <w:sz w:val="16"/>
                <w:szCs w:val="16"/>
                <w:spacing w:val="5"/>
              </w:rPr>
              <w:t xml:space="preserve"> </w:t>
            </w:r>
            <w:r>
              <w:rPr>
                <w:sz w:val="16"/>
                <w:szCs w:val="16"/>
                <w:spacing w:val="-6"/>
              </w:rPr>
              <w:t>要</w:t>
            </w:r>
            <w:r>
              <w:rPr>
                <w:sz w:val="16"/>
                <w:szCs w:val="16"/>
                <w:spacing w:val="5"/>
              </w:rPr>
              <w:t xml:space="preserve"> </w:t>
            </w:r>
            <w:r>
              <w:rPr>
                <w:sz w:val="16"/>
                <w:szCs w:val="16"/>
                <w:spacing w:val="-6"/>
              </w:rPr>
              <w:t>求</w:t>
            </w:r>
          </w:p>
        </w:tc>
        <w:tc>
          <w:tcPr>
            <w:tcW w:w="3780" w:type="dxa"/>
            <w:vAlign w:val="top"/>
          </w:tcPr>
          <w:p>
            <w:pPr>
              <w:pStyle w:val="TableText"/>
              <w:ind w:left="1594"/>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44" w:type="dxa"/>
            <w:vAlign w:val="top"/>
          </w:tcPr>
          <w:p>
            <w:pPr>
              <w:pStyle w:val="TableText"/>
              <w:ind w:left="244"/>
              <w:spacing w:before="270" w:line="184" w:lineRule="auto"/>
              <w:rPr>
                <w:sz w:val="16"/>
                <w:szCs w:val="16"/>
              </w:rPr>
            </w:pPr>
            <w:r>
              <w:rPr>
                <w:sz w:val="16"/>
                <w:szCs w:val="16"/>
                <w:spacing w:val="-5"/>
              </w:rPr>
              <w:t>1.1</w:t>
            </w:r>
          </w:p>
        </w:tc>
        <w:tc>
          <w:tcPr>
            <w:tcW w:w="3156" w:type="dxa"/>
            <w:vAlign w:val="top"/>
          </w:tcPr>
          <w:p>
            <w:pPr>
              <w:pStyle w:val="TableText"/>
              <w:ind w:left="90" w:firstLine="169"/>
              <w:spacing w:before="100" w:line="266" w:lineRule="auto"/>
              <w:rPr>
                <w:sz w:val="16"/>
                <w:szCs w:val="16"/>
              </w:rPr>
            </w:pPr>
            <w:r>
              <w:rPr>
                <w:sz w:val="16"/>
                <w:szCs w:val="16"/>
              </w:rPr>
              <w:t>建立并遵循一个使IT架构满足业务需求的</w:t>
            </w:r>
            <w:r>
              <w:rPr>
                <w:sz w:val="16"/>
                <w:szCs w:val="16"/>
                <w:spacing w:val="4"/>
              </w:rPr>
              <w:t xml:space="preserve"> </w:t>
            </w:r>
            <w:r>
              <w:rPr>
                <w:sz w:val="16"/>
                <w:szCs w:val="16"/>
                <w:spacing w:val="-2"/>
              </w:rPr>
              <w:t>架构方法</w:t>
            </w:r>
          </w:p>
        </w:tc>
        <w:tc>
          <w:tcPr>
            <w:tcW w:w="3780" w:type="dxa"/>
            <w:vAlign w:val="top"/>
          </w:tcPr>
          <w:p>
            <w:pPr>
              <w:pStyle w:val="TableText"/>
              <w:ind w:left="264"/>
              <w:spacing w:before="231" w:line="220" w:lineRule="auto"/>
              <w:rPr>
                <w:sz w:val="16"/>
                <w:szCs w:val="16"/>
              </w:rPr>
            </w:pPr>
            <w:r>
              <w:rPr>
                <w:sz w:val="16"/>
                <w:szCs w:val="16"/>
              </w:rPr>
              <w:t>●用于实施的架构设计</w:t>
            </w:r>
          </w:p>
        </w:tc>
      </w:tr>
    </w:tbl>
    <w:p>
      <w:pPr>
        <w:ind w:left="319"/>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34" w:right="204" w:firstLine="390"/>
        <w:spacing w:before="80" w:line="255" w:lineRule="auto"/>
        <w:rPr>
          <w:rFonts w:ascii="SimSun" w:hAnsi="SimSun" w:eastAsia="SimSun" w:cs="SimSun"/>
          <w:sz w:val="21"/>
          <w:szCs w:val="21"/>
        </w:rPr>
      </w:pPr>
      <w:r>
        <w:rPr>
          <w:rFonts w:ascii="SimSun" w:hAnsi="SimSun" w:eastAsia="SimSun" w:cs="SimSun"/>
          <w:sz w:val="21"/>
          <w:szCs w:val="21"/>
          <w:spacing w:val="2"/>
        </w:rPr>
        <w:t>一个信息系统存在的价值在于它是否能满足所面对的业务</w:t>
      </w:r>
      <w:r>
        <w:rPr>
          <w:rFonts w:ascii="SimSun" w:hAnsi="SimSun" w:eastAsia="SimSun" w:cs="SimSun"/>
          <w:sz w:val="21"/>
          <w:szCs w:val="21"/>
          <w:spacing w:val="1"/>
        </w:rPr>
        <w:t>系统的各种需求。为</w:t>
      </w:r>
      <w:r>
        <w:rPr>
          <w:rFonts w:ascii="SimSun" w:hAnsi="SimSun" w:eastAsia="SimSun" w:cs="SimSun"/>
          <w:sz w:val="21"/>
          <w:szCs w:val="21"/>
        </w:rPr>
        <w:t xml:space="preserve"> </w:t>
      </w:r>
      <w:r>
        <w:rPr>
          <w:rFonts w:ascii="SimSun" w:hAnsi="SimSun" w:eastAsia="SimSun" w:cs="SimSun"/>
          <w:sz w:val="21"/>
          <w:szCs w:val="21"/>
          <w:spacing w:val="1"/>
        </w:rPr>
        <w:t>了这个目标，首先要把业务系统的一些需要计算机处理的主要内容，在概念上从计</w:t>
      </w:r>
      <w:r>
        <w:rPr>
          <w:rFonts w:ascii="SimSun" w:hAnsi="SimSun" w:eastAsia="SimSun" w:cs="SimSun"/>
          <w:sz w:val="21"/>
          <w:szCs w:val="21"/>
          <w:spacing w:val="12"/>
        </w:rPr>
        <w:t xml:space="preserve"> </w:t>
      </w:r>
      <w:r>
        <w:rPr>
          <w:rFonts w:ascii="SimSun" w:hAnsi="SimSun" w:eastAsia="SimSun" w:cs="SimSun"/>
          <w:sz w:val="21"/>
          <w:szCs w:val="21"/>
          <w:spacing w:val="2"/>
        </w:rPr>
        <w:t>算机处理的角度来归纳和分析，以对其加深了解，才有可能满足其需求。对信息系</w:t>
      </w:r>
      <w:r>
        <w:rPr>
          <w:rFonts w:ascii="SimSun" w:hAnsi="SimSun" w:eastAsia="SimSun" w:cs="SimSun"/>
          <w:sz w:val="21"/>
          <w:szCs w:val="21"/>
          <w:spacing w:val="6"/>
        </w:rPr>
        <w:t xml:space="preserve"> </w:t>
      </w:r>
      <w:r>
        <w:rPr>
          <w:rFonts w:ascii="SimSun" w:hAnsi="SimSun" w:eastAsia="SimSun" w:cs="SimSun"/>
          <w:sz w:val="21"/>
          <w:szCs w:val="21"/>
          <w:spacing w:val="2"/>
        </w:rPr>
        <w:t>统涉及的各种主要的业务内容在概念上进行研究并准确定义，是建立数据处</w:t>
      </w:r>
      <w:r>
        <w:rPr>
          <w:rFonts w:ascii="SimSun" w:hAnsi="SimSun" w:eastAsia="SimSun" w:cs="SimSun"/>
          <w:sz w:val="21"/>
          <w:szCs w:val="21"/>
          <w:spacing w:val="1"/>
        </w:rPr>
        <w:t>理系统</w:t>
      </w:r>
      <w:r>
        <w:rPr>
          <w:rFonts w:ascii="SimSun" w:hAnsi="SimSun" w:eastAsia="SimSun" w:cs="SimSun"/>
          <w:sz w:val="21"/>
          <w:szCs w:val="21"/>
        </w:rPr>
        <w:t xml:space="preserve"> </w:t>
      </w:r>
      <w:r>
        <w:rPr>
          <w:rFonts w:ascii="SimSun" w:hAnsi="SimSun" w:eastAsia="SimSun" w:cs="SimSun"/>
          <w:sz w:val="21"/>
          <w:szCs w:val="21"/>
          <w:spacing w:val="-1"/>
        </w:rPr>
        <w:t>的数据库、数据仓库的数据主题、数据模型、数据架构的基础。</w:t>
      </w:r>
    </w:p>
    <w:p>
      <w:pPr>
        <w:spacing w:line="157" w:lineRule="exact"/>
        <w:rPr/>
      </w:pPr>
      <w:r/>
    </w:p>
    <w:tbl>
      <w:tblPr>
        <w:tblStyle w:val="TableNormal"/>
        <w:tblW w:w="7680"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6" w:type="dxa"/>
            <w:vAlign w:val="top"/>
          </w:tcPr>
          <w:p>
            <w:pPr>
              <w:pStyle w:val="TableText"/>
              <w:ind w:left="1160"/>
              <w:spacing w:before="91" w:line="219" w:lineRule="auto"/>
              <w:rPr>
                <w:sz w:val="16"/>
                <w:szCs w:val="16"/>
              </w:rPr>
            </w:pPr>
            <w:r>
              <w:rPr>
                <w:sz w:val="16"/>
                <w:szCs w:val="16"/>
                <w:spacing w:val="-4"/>
              </w:rPr>
              <w:t>等 级 要 求</w:t>
            </w:r>
          </w:p>
        </w:tc>
        <w:tc>
          <w:tcPr>
            <w:tcW w:w="3780" w:type="dxa"/>
            <w:vAlign w:val="top"/>
          </w:tcPr>
          <w:p>
            <w:pPr>
              <w:pStyle w:val="TableText"/>
              <w:ind w:left="1584"/>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44" w:type="dxa"/>
            <w:vAlign w:val="top"/>
          </w:tcPr>
          <w:p>
            <w:pPr>
              <w:pStyle w:val="TableText"/>
              <w:ind w:left="245"/>
              <w:spacing w:before="260" w:line="184" w:lineRule="auto"/>
              <w:rPr>
                <w:sz w:val="16"/>
                <w:szCs w:val="16"/>
              </w:rPr>
            </w:pPr>
            <w:r>
              <w:rPr>
                <w:sz w:val="16"/>
                <w:szCs w:val="16"/>
                <w:spacing w:val="-5"/>
              </w:rPr>
              <w:t>1.2</w:t>
            </w:r>
          </w:p>
        </w:tc>
        <w:tc>
          <w:tcPr>
            <w:tcW w:w="3156" w:type="dxa"/>
            <w:vAlign w:val="top"/>
          </w:tcPr>
          <w:p>
            <w:pPr>
              <w:pStyle w:val="TableText"/>
              <w:ind w:left="101" w:right="12" w:firstLine="160"/>
              <w:spacing w:before="110" w:line="271" w:lineRule="auto"/>
              <w:rPr>
                <w:sz w:val="16"/>
                <w:szCs w:val="16"/>
              </w:rPr>
            </w:pPr>
            <w:r>
              <w:rPr>
                <w:sz w:val="16"/>
                <w:szCs w:val="16"/>
                <w:spacing w:val="-1"/>
              </w:rPr>
              <w:t>识别业务和IT利益相关方，并且利益相关</w:t>
            </w:r>
            <w:r>
              <w:rPr>
                <w:sz w:val="16"/>
                <w:szCs w:val="16"/>
                <w:spacing w:val="10"/>
              </w:rPr>
              <w:t xml:space="preserve"> </w:t>
            </w:r>
            <w:r>
              <w:rPr>
                <w:sz w:val="16"/>
                <w:szCs w:val="16"/>
                <w:spacing w:val="1"/>
              </w:rPr>
              <w:t>方参与到架构决策当中</w:t>
            </w:r>
          </w:p>
        </w:tc>
        <w:tc>
          <w:tcPr>
            <w:tcW w:w="3780" w:type="dxa"/>
            <w:vAlign w:val="top"/>
          </w:tcPr>
          <w:p>
            <w:pPr>
              <w:pStyle w:val="TableText"/>
              <w:ind w:left="274"/>
              <w:spacing w:before="101" w:line="220" w:lineRule="auto"/>
              <w:rPr>
                <w:sz w:val="16"/>
                <w:szCs w:val="16"/>
              </w:rPr>
            </w:pPr>
            <w:r>
              <w:rPr>
                <w:sz w:val="16"/>
                <w:szCs w:val="16"/>
              </w:rPr>
              <w:t>●架构审批的相关者清单</w:t>
            </w:r>
          </w:p>
          <w:p>
            <w:pPr>
              <w:pStyle w:val="TableText"/>
              <w:ind w:left="274"/>
              <w:spacing w:before="88" w:line="219" w:lineRule="auto"/>
              <w:rPr>
                <w:sz w:val="16"/>
                <w:szCs w:val="16"/>
              </w:rPr>
            </w:pPr>
            <w:r>
              <w:rPr>
                <w:sz w:val="16"/>
                <w:szCs w:val="16"/>
              </w:rPr>
              <w:t>●针对架构的业务和技术审批</w:t>
            </w:r>
          </w:p>
        </w:tc>
      </w:tr>
    </w:tbl>
    <w:p>
      <w:pPr>
        <w:ind w:left="31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34" w:right="206" w:firstLine="390"/>
        <w:spacing w:before="80" w:line="262" w:lineRule="auto"/>
        <w:rPr>
          <w:rFonts w:ascii="SimSun" w:hAnsi="SimSun" w:eastAsia="SimSun" w:cs="SimSun"/>
          <w:sz w:val="21"/>
          <w:szCs w:val="21"/>
        </w:rPr>
      </w:pPr>
      <w:r>
        <w:rPr>
          <w:rFonts w:ascii="SimSun" w:hAnsi="SimSun" w:eastAsia="SimSun" w:cs="SimSun"/>
          <w:sz w:val="21"/>
          <w:szCs w:val="21"/>
          <w:spacing w:val="1"/>
        </w:rPr>
        <w:t>信息系统支撑下的企业业务运作状况，是通过信息系统中的数据反映出来的。</w:t>
      </w:r>
      <w:r>
        <w:rPr>
          <w:rFonts w:ascii="SimSun" w:hAnsi="SimSun" w:eastAsia="SimSun" w:cs="SimSun"/>
          <w:sz w:val="21"/>
          <w:szCs w:val="21"/>
          <w:spacing w:val="10"/>
        </w:rPr>
        <w:t xml:space="preserve"> </w:t>
      </w:r>
      <w:r>
        <w:rPr>
          <w:rFonts w:ascii="SimSun" w:hAnsi="SimSun" w:eastAsia="SimSun" w:cs="SimSun"/>
          <w:sz w:val="21"/>
          <w:szCs w:val="21"/>
        </w:rPr>
        <w:t>数据是信息系统管理的重要资源，数据架构是企业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架构的核心。为了让信息系统 </w:t>
      </w:r>
      <w:r>
        <w:rPr>
          <w:rFonts w:ascii="SimSun" w:hAnsi="SimSun" w:eastAsia="SimSun" w:cs="SimSun"/>
          <w:sz w:val="21"/>
          <w:szCs w:val="21"/>
          <w:spacing w:val="2"/>
        </w:rPr>
        <w:t>能真正满足业务需求，数据治理委员会、企业数据架构师、业务专家等应积极参与</w:t>
      </w:r>
      <w:r>
        <w:rPr>
          <w:rFonts w:ascii="SimSun" w:hAnsi="SimSun" w:eastAsia="SimSun" w:cs="SimSun"/>
          <w:sz w:val="21"/>
          <w:szCs w:val="21"/>
          <w:spacing w:val="4"/>
        </w:rPr>
        <w:t xml:space="preserve"> </w:t>
      </w:r>
      <w:r>
        <w:rPr>
          <w:rFonts w:ascii="SimSun" w:hAnsi="SimSun" w:eastAsia="SimSun" w:cs="SimSun"/>
          <w:sz w:val="21"/>
          <w:szCs w:val="21"/>
          <w:spacing w:val="2"/>
        </w:rPr>
        <w:t>到架构决策中。企业可以通过定期举行培训课程、研讨沙龙以及聘请外部专家做相</w:t>
      </w:r>
      <w:r>
        <w:rPr>
          <w:rFonts w:ascii="SimSun" w:hAnsi="SimSun" w:eastAsia="SimSun" w:cs="SimSun"/>
          <w:sz w:val="21"/>
          <w:szCs w:val="21"/>
          <w:spacing w:val="4"/>
        </w:rPr>
        <w:t xml:space="preserve"> </w:t>
      </w:r>
      <w:r>
        <w:rPr>
          <w:rFonts w:ascii="SimSun" w:hAnsi="SimSun" w:eastAsia="SimSun" w:cs="SimSun"/>
          <w:sz w:val="21"/>
          <w:szCs w:val="21"/>
          <w:spacing w:val="-3"/>
        </w:rPr>
        <w:t>关分享，来不断培养员工的数据分析能力。</w:t>
      </w:r>
    </w:p>
    <w:p>
      <w:pPr>
        <w:spacing w:line="117" w:lineRule="exact"/>
        <w:rPr/>
      </w:pPr>
      <w:r/>
    </w:p>
    <w:tbl>
      <w:tblPr>
        <w:tblStyle w:val="TableNormal"/>
        <w:tblW w:w="7669"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80"/>
      </w:tblGrid>
      <w:tr>
        <w:trPr>
          <w:trHeight w:val="350" w:hRule="atLeast"/>
        </w:trPr>
        <w:tc>
          <w:tcPr>
            <w:tcW w:w="734" w:type="dxa"/>
            <w:vAlign w:val="top"/>
          </w:tcPr>
          <w:p>
            <w:pPr>
              <w:pStyle w:val="TableText"/>
              <w:ind w:left="194"/>
              <w:spacing w:before="102" w:line="221" w:lineRule="auto"/>
              <w:rPr>
                <w:sz w:val="16"/>
                <w:szCs w:val="16"/>
              </w:rPr>
            </w:pPr>
            <w:r>
              <w:rPr>
                <w:sz w:val="16"/>
                <w:szCs w:val="16"/>
                <w:spacing w:val="-2"/>
              </w:rPr>
              <w:t>序号</w:t>
            </w:r>
          </w:p>
        </w:tc>
        <w:tc>
          <w:tcPr>
            <w:tcW w:w="3155"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7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40" w:hRule="atLeast"/>
        </w:trPr>
        <w:tc>
          <w:tcPr>
            <w:tcW w:w="734" w:type="dxa"/>
            <w:vAlign w:val="top"/>
          </w:tcPr>
          <w:p>
            <w:pPr>
              <w:pStyle w:val="TableText"/>
              <w:ind w:left="234"/>
              <w:spacing w:before="131" w:line="184" w:lineRule="auto"/>
              <w:rPr>
                <w:sz w:val="16"/>
                <w:szCs w:val="16"/>
              </w:rPr>
            </w:pPr>
            <w:r>
              <w:rPr>
                <w:sz w:val="16"/>
                <w:szCs w:val="16"/>
                <w:spacing w:val="-5"/>
              </w:rPr>
              <w:t>1.3</w:t>
            </w:r>
          </w:p>
        </w:tc>
        <w:tc>
          <w:tcPr>
            <w:tcW w:w="3155" w:type="dxa"/>
            <w:vAlign w:val="top"/>
          </w:tcPr>
          <w:p>
            <w:pPr>
              <w:pStyle w:val="TableText"/>
              <w:ind w:left="261"/>
              <w:spacing w:before="92" w:line="220" w:lineRule="auto"/>
              <w:rPr>
                <w:sz w:val="16"/>
                <w:szCs w:val="16"/>
              </w:rPr>
            </w:pPr>
            <w:r>
              <w:rPr>
                <w:sz w:val="16"/>
                <w:szCs w:val="16"/>
                <w:spacing w:val="-1"/>
              </w:rPr>
              <w:t>定义需求以指导实施</w:t>
            </w:r>
          </w:p>
        </w:tc>
        <w:tc>
          <w:tcPr>
            <w:tcW w:w="3780" w:type="dxa"/>
            <w:vAlign w:val="top"/>
          </w:tcPr>
          <w:p>
            <w:pPr>
              <w:pStyle w:val="TableText"/>
              <w:ind w:left="275"/>
              <w:spacing w:before="91" w:line="219" w:lineRule="auto"/>
              <w:rPr>
                <w:sz w:val="16"/>
                <w:szCs w:val="16"/>
              </w:rPr>
            </w:pPr>
            <w:r>
              <w:rPr>
                <w:sz w:val="16"/>
                <w:szCs w:val="16"/>
                <w:spacing w:val="1"/>
              </w:rPr>
              <w:t>●数据架构需求文档</w:t>
            </w:r>
          </w:p>
        </w:tc>
      </w:tr>
    </w:tbl>
    <w:p>
      <w:pPr>
        <w:ind w:left="319"/>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34" w:right="184" w:firstLine="390"/>
        <w:spacing w:before="80" w:line="259" w:lineRule="auto"/>
        <w:rPr>
          <w:rFonts w:ascii="SimSun" w:hAnsi="SimSun" w:eastAsia="SimSun" w:cs="SimSun"/>
          <w:sz w:val="21"/>
          <w:szCs w:val="21"/>
        </w:rPr>
      </w:pPr>
      <w:r>
        <w:rPr>
          <w:rFonts w:ascii="SimSun" w:hAnsi="SimSun" w:eastAsia="SimSun" w:cs="SimSun"/>
          <w:sz w:val="21"/>
          <w:szCs w:val="21"/>
          <w:spacing w:val="1"/>
        </w:rPr>
        <w:t>为创建企业数据架构，企业应首先定义其信息需求。确定企业信息需求的一个 </w:t>
      </w:r>
      <w:r>
        <w:rPr>
          <w:rFonts w:ascii="SimSun" w:hAnsi="SimSun" w:eastAsia="SimSun" w:cs="SimSun"/>
          <w:sz w:val="21"/>
          <w:szCs w:val="21"/>
          <w:spacing w:val="3"/>
        </w:rPr>
        <w:t>方法是基于组织内部和外部目标评估目前组织所需要的输入</w:t>
      </w:r>
      <w:r>
        <w:rPr>
          <w:rFonts w:ascii="SimSun" w:hAnsi="SimSun" w:eastAsia="SimSun" w:cs="SimSun"/>
          <w:sz w:val="21"/>
          <w:szCs w:val="21"/>
          <w:spacing w:val="2"/>
        </w:rPr>
        <w:t>和输出。利用真实的系</w:t>
      </w:r>
      <w:r>
        <w:rPr>
          <w:rFonts w:ascii="SimSun" w:hAnsi="SimSun" w:eastAsia="SimSun" w:cs="SimSun"/>
          <w:sz w:val="21"/>
          <w:szCs w:val="21"/>
        </w:rPr>
        <w:t xml:space="preserve"> </w:t>
      </w:r>
      <w:r>
        <w:rPr>
          <w:rFonts w:ascii="SimSun" w:hAnsi="SimSun" w:eastAsia="SimSun" w:cs="SimSun"/>
          <w:sz w:val="21"/>
          <w:szCs w:val="21"/>
          <w:spacing w:val="2"/>
        </w:rPr>
        <w:t>统文档和报告采访参与者，形成数据材料这一材料提供重要的数据实</w:t>
      </w:r>
      <w:r>
        <w:rPr>
          <w:rFonts w:ascii="SimSun" w:hAnsi="SimSun" w:eastAsia="SimSun" w:cs="SimSun"/>
          <w:sz w:val="21"/>
          <w:szCs w:val="21"/>
          <w:spacing w:val="1"/>
        </w:rPr>
        <w:t>体、数据属性</w:t>
      </w:r>
      <w:r>
        <w:rPr>
          <w:rFonts w:ascii="SimSun" w:hAnsi="SimSun" w:eastAsia="SimSun" w:cs="SimSun"/>
          <w:sz w:val="21"/>
          <w:szCs w:val="21"/>
        </w:rPr>
        <w:t xml:space="preserve"> </w:t>
      </w:r>
      <w:r>
        <w:rPr>
          <w:rFonts w:ascii="SimSun" w:hAnsi="SimSun" w:eastAsia="SimSun" w:cs="SimSun"/>
          <w:sz w:val="21"/>
          <w:szCs w:val="21"/>
          <w:spacing w:val="-1"/>
        </w:rPr>
        <w:t>和数据计算的一览表，该材料就成为企业数据模型的基本需求。</w:t>
      </w:r>
    </w:p>
    <w:p>
      <w:pPr>
        <w:ind w:left="424"/>
        <w:spacing w:before="57"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   2: </w:t>
      </w:r>
      <w:r>
        <w:rPr>
          <w:rFonts w:ascii="SimHei" w:hAnsi="SimHei" w:eastAsia="SimHei" w:cs="SimHei"/>
          <w:sz w:val="21"/>
          <w:szCs w:val="21"/>
          <w:b/>
          <w:bCs/>
          <w:spacing w:val="-2"/>
        </w:rPr>
        <w:t>管理级</w:t>
      </w:r>
    </w:p>
    <w:p>
      <w:pPr>
        <w:spacing w:line="120" w:lineRule="exact"/>
        <w:rPr/>
      </w:pPr>
      <w:r/>
    </w:p>
    <w:tbl>
      <w:tblPr>
        <w:tblStyle w:val="TableNormal"/>
        <w:tblW w:w="7670" w:type="dxa"/>
        <w:tblInd w:w="5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7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6" w:type="dxa"/>
            <w:vAlign w:val="top"/>
          </w:tcPr>
          <w:p>
            <w:pPr>
              <w:pStyle w:val="TableText"/>
              <w:ind w:left="1170"/>
              <w:spacing w:before="91" w:line="219" w:lineRule="auto"/>
              <w:rPr>
                <w:sz w:val="16"/>
                <w:szCs w:val="16"/>
              </w:rPr>
            </w:pPr>
            <w:r>
              <w:rPr>
                <w:sz w:val="16"/>
                <w:szCs w:val="16"/>
                <w:spacing w:val="-4"/>
              </w:rPr>
              <w:t>等 级 要 求</w:t>
            </w:r>
          </w:p>
        </w:tc>
        <w:tc>
          <w:tcPr>
            <w:tcW w:w="3770" w:type="dxa"/>
            <w:vAlign w:val="top"/>
          </w:tcPr>
          <w:p>
            <w:pPr>
              <w:pStyle w:val="TableText"/>
              <w:ind w:left="157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5"/>
              <w:spacing w:before="261" w:line="184" w:lineRule="auto"/>
              <w:rPr>
                <w:sz w:val="16"/>
                <w:szCs w:val="16"/>
              </w:rPr>
            </w:pPr>
            <w:r>
              <w:rPr>
                <w:sz w:val="16"/>
                <w:szCs w:val="16"/>
                <w:spacing w:val="-2"/>
              </w:rPr>
              <w:t>2.1</w:t>
            </w:r>
          </w:p>
        </w:tc>
        <w:tc>
          <w:tcPr>
            <w:tcW w:w="3156" w:type="dxa"/>
            <w:vAlign w:val="top"/>
          </w:tcPr>
          <w:p>
            <w:pPr>
              <w:pStyle w:val="TableText"/>
              <w:ind w:left="101" w:firstLine="179"/>
              <w:spacing w:before="90" w:line="272" w:lineRule="auto"/>
              <w:rPr>
                <w:sz w:val="16"/>
                <w:szCs w:val="16"/>
              </w:rPr>
            </w:pPr>
            <w:r>
              <w:rPr>
                <w:sz w:val="16"/>
                <w:szCs w:val="16"/>
                <w:spacing w:val="-1"/>
              </w:rPr>
              <w:t>目标数据架构与数据战略相符，并对其进</w:t>
            </w:r>
            <w:r>
              <w:rPr>
                <w:sz w:val="16"/>
                <w:szCs w:val="16"/>
                <w:spacing w:val="2"/>
              </w:rPr>
              <w:t xml:space="preserve"> </w:t>
            </w:r>
            <w:r>
              <w:rPr>
                <w:sz w:val="16"/>
                <w:szCs w:val="16"/>
                <w:spacing w:val="-3"/>
              </w:rPr>
              <w:t>行补充</w:t>
            </w:r>
          </w:p>
        </w:tc>
        <w:tc>
          <w:tcPr>
            <w:tcW w:w="3770" w:type="dxa"/>
            <w:vAlign w:val="top"/>
          </w:tcPr>
          <w:p>
            <w:pPr>
              <w:pStyle w:val="TableText"/>
              <w:ind w:left="265"/>
              <w:spacing w:before="220" w:line="219" w:lineRule="auto"/>
              <w:rPr>
                <w:sz w:val="16"/>
                <w:szCs w:val="16"/>
              </w:rPr>
            </w:pPr>
            <w:r>
              <w:rPr>
                <w:sz w:val="16"/>
                <w:szCs w:val="16"/>
                <w:spacing w:val="1"/>
              </w:rPr>
              <w:t>●定义目标数据架构</w:t>
            </w:r>
          </w:p>
        </w:tc>
      </w:tr>
    </w:tbl>
    <w:p>
      <w:pPr>
        <w:pStyle w:val="BodyText"/>
        <w:rPr/>
      </w:pPr>
      <w:r/>
    </w:p>
    <w:p>
      <w:pPr>
        <w:sectPr>
          <w:footerReference w:type="default" r:id="rId356"/>
          <w:pgSz w:w="8870" w:h="13400"/>
          <w:pgMar w:top="400" w:right="635" w:bottom="617" w:left="355" w:header="0" w:footer="408" w:gutter="0"/>
        </w:sectPr>
        <w:rPr/>
      </w:pPr>
    </w:p>
    <w:p>
      <w:pPr>
        <w:ind w:left="212"/>
        <w:spacing w:before="246" w:line="219" w:lineRule="auto"/>
        <w:rPr>
          <w:rFonts w:ascii="SimSun" w:hAnsi="SimSun" w:eastAsia="SimSun" w:cs="SimSun"/>
          <w:sz w:val="22"/>
          <w:szCs w:val="22"/>
        </w:rPr>
      </w:pPr>
      <w:r>
        <w:pict>
          <v:rect id="_x0000_s404" style="position:absolute;margin-left:33.0008pt;margin-top:28.5018pt;mso-position-vertical-relative:page;mso-position-horizontal-relative:page;width:0.55pt;height:17.55pt;z-index:256406528;" o:allowincell="f" fillcolor="#000000" filled="true" stroked="false"/>
        </w:pict>
      </w:r>
      <w:r>
        <w:rPr>
          <w:rFonts w:ascii="SimSun" w:hAnsi="SimSun" w:eastAsia="SimSun" w:cs="SimSun"/>
          <w:sz w:val="22"/>
          <w:szCs w:val="22"/>
          <w:b/>
          <w:bCs/>
          <w:spacing w:val="-14"/>
        </w:rPr>
        <w:t>■云端数据治理</w:t>
      </w:r>
    </w:p>
    <w:p>
      <w:pPr>
        <w:ind w:left="569"/>
        <w:spacing w:before="302"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09" w:right="101" w:firstLine="470"/>
        <w:spacing w:before="69" w:line="231" w:lineRule="auto"/>
        <w:rPr>
          <w:rFonts w:ascii="SimSun" w:hAnsi="SimSun" w:eastAsia="SimSun" w:cs="SimSun"/>
          <w:sz w:val="22"/>
          <w:szCs w:val="22"/>
        </w:rPr>
      </w:pPr>
      <w:r>
        <w:rPr>
          <w:rFonts w:ascii="SimSun" w:hAnsi="SimSun" w:eastAsia="SimSun" w:cs="SimSun"/>
          <w:sz w:val="22"/>
          <w:szCs w:val="22"/>
          <w:spacing w:val="-8"/>
        </w:rPr>
        <w:t>定义数据架构的决定是数据战略的一部分，实施数据</w:t>
      </w:r>
      <w:r>
        <w:rPr>
          <w:rFonts w:ascii="SimSun" w:hAnsi="SimSun" w:eastAsia="SimSun" w:cs="SimSun"/>
          <w:sz w:val="22"/>
          <w:szCs w:val="22"/>
          <w:spacing w:val="-9"/>
        </w:rPr>
        <w:t>架构组件的决策是战略决</w:t>
      </w:r>
      <w:r>
        <w:rPr>
          <w:rFonts w:ascii="SimSun" w:hAnsi="SimSun" w:eastAsia="SimSun" w:cs="SimSun"/>
          <w:sz w:val="22"/>
          <w:szCs w:val="22"/>
        </w:rPr>
        <w:t xml:space="preserve"> </w:t>
      </w:r>
      <w:r>
        <w:rPr>
          <w:rFonts w:ascii="SimSun" w:hAnsi="SimSun" w:eastAsia="SimSun" w:cs="SimSun"/>
          <w:sz w:val="22"/>
          <w:szCs w:val="22"/>
          <w:spacing w:val="-13"/>
        </w:rPr>
        <w:t>策。架构必须支持战略。</w:t>
      </w:r>
    </w:p>
    <w:p>
      <w:pPr>
        <w:ind w:left="209" w:right="97" w:firstLine="470"/>
        <w:spacing w:before="66" w:line="247" w:lineRule="auto"/>
        <w:rPr>
          <w:rFonts w:ascii="SimSun" w:hAnsi="SimSun" w:eastAsia="SimSun" w:cs="SimSun"/>
          <w:sz w:val="22"/>
          <w:szCs w:val="22"/>
        </w:rPr>
      </w:pPr>
      <w:r>
        <w:rPr>
          <w:rFonts w:ascii="SimSun" w:hAnsi="SimSun" w:eastAsia="SimSun" w:cs="SimSun"/>
          <w:sz w:val="22"/>
          <w:szCs w:val="22"/>
          <w:spacing w:val="-8"/>
        </w:rPr>
        <w:t>由于战略是自上向下制订的，因此它描述了经广泛认可的愿景</w:t>
      </w:r>
      <w:r>
        <w:rPr>
          <w:rFonts w:ascii="SimSun" w:hAnsi="SimSun" w:eastAsia="SimSun" w:cs="SimSun"/>
          <w:sz w:val="22"/>
          <w:szCs w:val="22"/>
          <w:spacing w:val="-9"/>
        </w:rPr>
        <w:t>、战略目标、战</w:t>
      </w:r>
      <w:r>
        <w:rPr>
          <w:rFonts w:ascii="SimSun" w:hAnsi="SimSun" w:eastAsia="SimSun" w:cs="SimSun"/>
          <w:sz w:val="22"/>
          <w:szCs w:val="22"/>
        </w:rPr>
        <w:t xml:space="preserve"> </w:t>
      </w:r>
      <w:r>
        <w:rPr>
          <w:rFonts w:ascii="SimSun" w:hAnsi="SimSun" w:eastAsia="SimSun" w:cs="SimSun"/>
          <w:sz w:val="22"/>
          <w:szCs w:val="22"/>
          <w:spacing w:val="-8"/>
        </w:rPr>
        <w:t>术目标以及组织级数据资产的重点。目标数据构架应使用经广泛认可的愿景</w:t>
      </w:r>
      <w:r>
        <w:rPr>
          <w:rFonts w:ascii="SimSun" w:hAnsi="SimSun" w:eastAsia="SimSun" w:cs="SimSun"/>
          <w:sz w:val="22"/>
          <w:szCs w:val="22"/>
          <w:spacing w:val="-9"/>
        </w:rPr>
        <w:t>作为重</w:t>
      </w:r>
      <w:r>
        <w:rPr>
          <w:rFonts w:ascii="SimSun" w:hAnsi="SimSun" w:eastAsia="SimSun" w:cs="SimSun"/>
          <w:sz w:val="22"/>
          <w:szCs w:val="22"/>
        </w:rPr>
        <w:t xml:space="preserve"> </w:t>
      </w:r>
      <w:r>
        <w:rPr>
          <w:rFonts w:ascii="SimSun" w:hAnsi="SimSun" w:eastAsia="SimSun" w:cs="SimSun"/>
          <w:sz w:val="22"/>
          <w:szCs w:val="22"/>
          <w:spacing w:val="-9"/>
        </w:rPr>
        <w:t>要的输入信息，使用数据战略中的高级别需求来构建和制订未来状态的蓝图。</w:t>
      </w:r>
    </w:p>
    <w:p>
      <w:pPr>
        <w:spacing w:line="124" w:lineRule="exact"/>
        <w:rPr/>
      </w:pPr>
      <w:r/>
    </w:p>
    <w:tbl>
      <w:tblPr>
        <w:tblStyle w:val="TableNormal"/>
        <w:tblW w:w="7669"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5"/>
        <w:gridCol w:w="3760"/>
      </w:tblGrid>
      <w:tr>
        <w:trPr>
          <w:trHeight w:val="352" w:hRule="atLeast"/>
        </w:trPr>
        <w:tc>
          <w:tcPr>
            <w:tcW w:w="754" w:type="dxa"/>
            <w:vAlign w:val="top"/>
          </w:tcPr>
          <w:p>
            <w:pPr>
              <w:pStyle w:val="TableText"/>
              <w:ind w:left="214"/>
              <w:spacing w:before="101" w:line="221" w:lineRule="auto"/>
              <w:rPr/>
            </w:pPr>
            <w:r>
              <w:rPr>
                <w:spacing w:val="-2"/>
              </w:rPr>
              <w:t>序号</w:t>
            </w:r>
          </w:p>
        </w:tc>
        <w:tc>
          <w:tcPr>
            <w:tcW w:w="3155" w:type="dxa"/>
            <w:vAlign w:val="top"/>
          </w:tcPr>
          <w:p>
            <w:pPr>
              <w:pStyle w:val="TableText"/>
              <w:ind w:left="1161"/>
              <w:spacing w:before="101" w:line="219" w:lineRule="auto"/>
              <w:rPr/>
            </w:pPr>
            <w:r>
              <w:rPr>
                <w:spacing w:val="-6"/>
              </w:rPr>
              <w:t>等</w:t>
            </w:r>
            <w:r>
              <w:rPr>
                <w:spacing w:val="12"/>
              </w:rPr>
              <w:t xml:space="preserve"> </w:t>
            </w:r>
            <w:r>
              <w:rPr>
                <w:spacing w:val="-6"/>
              </w:rPr>
              <w:t>级</w:t>
            </w:r>
            <w:r>
              <w:rPr>
                <w:spacing w:val="10"/>
              </w:rPr>
              <w:t xml:space="preserve"> </w:t>
            </w:r>
            <w:r>
              <w:rPr>
                <w:spacing w:val="-6"/>
              </w:rPr>
              <w:t>要</w:t>
            </w:r>
            <w:r>
              <w:rPr>
                <w:spacing w:val="10"/>
              </w:rPr>
              <w:t xml:space="preserve"> </w:t>
            </w:r>
            <w:r>
              <w:rPr>
                <w:spacing w:val="-6"/>
              </w:rPr>
              <w:t>求</w:t>
            </w:r>
          </w:p>
        </w:tc>
        <w:tc>
          <w:tcPr>
            <w:tcW w:w="3760" w:type="dxa"/>
            <w:vAlign w:val="top"/>
          </w:tcPr>
          <w:p>
            <w:pPr>
              <w:pStyle w:val="TableText"/>
              <w:ind w:left="1586"/>
              <w:spacing w:before="101" w:line="220" w:lineRule="auto"/>
              <w:rPr/>
            </w:pPr>
            <w:r>
              <w:rPr>
                <w:spacing w:val="-5"/>
              </w:rPr>
              <w:t>实</w:t>
            </w:r>
            <w:r>
              <w:rPr>
                <w:spacing w:val="1"/>
              </w:rPr>
              <w:t xml:space="preserve">   </w:t>
            </w:r>
            <w:r>
              <w:rPr>
                <w:spacing w:val="-5"/>
              </w:rPr>
              <w:t>例</w:t>
            </w:r>
          </w:p>
        </w:tc>
      </w:tr>
      <w:tr>
        <w:trPr>
          <w:trHeight w:val="867" w:hRule="atLeast"/>
        </w:trPr>
        <w:tc>
          <w:tcPr>
            <w:tcW w:w="754" w:type="dxa"/>
            <w:vAlign w:val="top"/>
          </w:tcPr>
          <w:p>
            <w:pPr>
              <w:spacing w:line="346" w:lineRule="auto"/>
              <w:rPr>
                <w:rFonts w:ascii="Arial"/>
                <w:sz w:val="21"/>
              </w:rPr>
            </w:pPr>
            <w:r/>
          </w:p>
          <w:p>
            <w:pPr>
              <w:pStyle w:val="TableText"/>
              <w:ind w:left="254"/>
              <w:spacing w:before="49" w:line="183" w:lineRule="auto"/>
              <w:rPr/>
            </w:pPr>
            <w:r>
              <w:rPr>
                <w:spacing w:val="-2"/>
              </w:rPr>
              <w:t>2.2</w:t>
            </w:r>
          </w:p>
        </w:tc>
        <w:tc>
          <w:tcPr>
            <w:tcW w:w="3155" w:type="dxa"/>
            <w:vAlign w:val="top"/>
          </w:tcPr>
          <w:p>
            <w:pPr>
              <w:pStyle w:val="TableText"/>
              <w:ind w:left="110" w:right="160" w:firstLine="109"/>
              <w:spacing w:before="98" w:line="299" w:lineRule="auto"/>
              <w:jc w:val="both"/>
              <w:rPr/>
            </w:pPr>
            <w:r>
              <w:rPr>
                <w:spacing w:val="-1"/>
              </w:rPr>
              <w:t>建立并遵循一个治理过程以确保目标数据</w:t>
            </w:r>
            <w:r>
              <w:rPr>
                <w:spacing w:val="4"/>
              </w:rPr>
              <w:t xml:space="preserve">  </w:t>
            </w:r>
            <w:r>
              <w:rPr>
                <w:spacing w:val="1"/>
              </w:rPr>
              <w:t>架构由业务和</w:t>
            </w:r>
            <w:r>
              <w:rPr/>
              <w:t>IT</w:t>
            </w:r>
            <w:r>
              <w:rPr>
                <w:spacing w:val="1"/>
              </w:rPr>
              <w:t>利益相关方共同进行合理化</w:t>
            </w:r>
            <w:r>
              <w:rPr>
                <w:spacing w:val="4"/>
              </w:rPr>
              <w:t xml:space="preserve"> </w:t>
            </w:r>
            <w:r>
              <w:rPr>
                <w:spacing w:val="-3"/>
              </w:rPr>
              <w:t>并审批</w:t>
            </w:r>
          </w:p>
        </w:tc>
        <w:tc>
          <w:tcPr>
            <w:tcW w:w="3760" w:type="dxa"/>
            <w:vAlign w:val="top"/>
          </w:tcPr>
          <w:p>
            <w:pPr>
              <w:spacing w:line="308" w:lineRule="auto"/>
              <w:rPr>
                <w:rFonts w:ascii="Arial"/>
                <w:sz w:val="21"/>
              </w:rPr>
            </w:pPr>
            <w:r/>
          </w:p>
          <w:p>
            <w:pPr>
              <w:pStyle w:val="TableText"/>
              <w:ind w:left="276"/>
              <w:spacing w:before="49" w:line="220" w:lineRule="auto"/>
              <w:rPr/>
            </w:pPr>
            <w:r>
              <w:rPr/>
              <w:t>●对架构设计的合理化活动及审批过程</w:t>
            </w:r>
          </w:p>
        </w:tc>
      </w:tr>
    </w:tbl>
    <w:p>
      <w:pPr>
        <w:ind w:left="569"/>
        <w:spacing w:before="17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09" w:right="93" w:firstLine="470"/>
        <w:spacing w:before="51" w:line="253" w:lineRule="auto"/>
        <w:rPr>
          <w:rFonts w:ascii="SimSun" w:hAnsi="SimSun" w:eastAsia="SimSun" w:cs="SimSun"/>
          <w:sz w:val="22"/>
          <w:szCs w:val="22"/>
        </w:rPr>
      </w:pPr>
      <w:r>
        <w:rPr>
          <w:rFonts w:ascii="SimSun" w:hAnsi="SimSun" w:eastAsia="SimSun" w:cs="SimSun"/>
          <w:sz w:val="22"/>
          <w:szCs w:val="22"/>
          <w:spacing w:val="-8"/>
        </w:rPr>
        <w:t>合理化活动确保目标数据架构能解决数据资产当前和未来的需求。逻辑</w:t>
      </w:r>
      <w:r>
        <w:rPr>
          <w:rFonts w:ascii="SimSun" w:hAnsi="SimSun" w:eastAsia="SimSun" w:cs="SimSun"/>
          <w:sz w:val="22"/>
          <w:szCs w:val="22"/>
          <w:spacing w:val="-9"/>
        </w:rPr>
        <w:t>层面的</w:t>
      </w:r>
      <w:r>
        <w:rPr>
          <w:rFonts w:ascii="SimSun" w:hAnsi="SimSun" w:eastAsia="SimSun" w:cs="SimSun"/>
          <w:sz w:val="22"/>
          <w:szCs w:val="22"/>
        </w:rPr>
        <w:t xml:space="preserve"> </w:t>
      </w:r>
      <w:r>
        <w:rPr>
          <w:rFonts w:ascii="SimSun" w:hAnsi="SimSun" w:eastAsia="SimSun" w:cs="SimSun"/>
          <w:sz w:val="22"/>
          <w:szCs w:val="22"/>
          <w:spacing w:val="-8"/>
        </w:rPr>
        <w:t>考虑内容通常包括：多个的数据模型(有可能不同)、冲突的业务术语定义、值的相</w:t>
      </w:r>
      <w:r>
        <w:rPr>
          <w:rFonts w:ascii="SimSun" w:hAnsi="SimSun" w:eastAsia="SimSun" w:cs="SimSun"/>
          <w:sz w:val="22"/>
          <w:szCs w:val="22"/>
          <w:spacing w:val="12"/>
        </w:rPr>
        <w:t xml:space="preserve"> </w:t>
      </w:r>
      <w:r>
        <w:rPr>
          <w:rFonts w:ascii="SimSun" w:hAnsi="SimSun" w:eastAsia="SimSun" w:cs="SimSun"/>
          <w:sz w:val="22"/>
          <w:szCs w:val="22"/>
          <w:spacing w:val="-8"/>
        </w:rPr>
        <w:t>似性和差异、未记录的业务逻辑、多样的ETL</w:t>
      </w:r>
      <w:r>
        <w:rPr>
          <w:rFonts w:ascii="SimSun" w:hAnsi="SimSun" w:eastAsia="SimSun" w:cs="SimSun"/>
          <w:sz w:val="22"/>
          <w:szCs w:val="22"/>
          <w:spacing w:val="26"/>
        </w:rPr>
        <w:t xml:space="preserve"> </w:t>
      </w:r>
      <w:r>
        <w:rPr>
          <w:rFonts w:ascii="SimSun" w:hAnsi="SimSun" w:eastAsia="SimSun" w:cs="SimSun"/>
          <w:sz w:val="22"/>
          <w:szCs w:val="22"/>
          <w:spacing w:val="-8"/>
        </w:rPr>
        <w:t>与重</w:t>
      </w:r>
      <w:r>
        <w:rPr>
          <w:rFonts w:ascii="SimSun" w:hAnsi="SimSun" w:eastAsia="SimSun" w:cs="SimSun"/>
          <w:sz w:val="22"/>
          <w:szCs w:val="22"/>
          <w:spacing w:val="-9"/>
        </w:rPr>
        <w:t>复的数据内容映射等。物理级别</w:t>
      </w:r>
      <w:r>
        <w:rPr>
          <w:rFonts w:ascii="SimSun" w:hAnsi="SimSun" w:eastAsia="SimSun" w:cs="SimSun"/>
          <w:sz w:val="22"/>
          <w:szCs w:val="22"/>
        </w:rPr>
        <w:t xml:space="preserve"> </w:t>
      </w:r>
      <w:r>
        <w:rPr>
          <w:rFonts w:ascii="SimSun" w:hAnsi="SimSun" w:eastAsia="SimSun" w:cs="SimSun"/>
          <w:sz w:val="22"/>
          <w:szCs w:val="22"/>
          <w:spacing w:val="-8"/>
        </w:rPr>
        <w:t>映射和评估包括：多个数据存储中的多余数据、普通数据使用的例外情况</w:t>
      </w:r>
      <w:r>
        <w:rPr>
          <w:rFonts w:ascii="SimSun" w:hAnsi="SimSun" w:eastAsia="SimSun" w:cs="SimSun"/>
          <w:sz w:val="22"/>
          <w:szCs w:val="22"/>
          <w:spacing w:val="-9"/>
        </w:rPr>
        <w:t>、业务对</w:t>
      </w:r>
      <w:r>
        <w:rPr>
          <w:rFonts w:ascii="SimSun" w:hAnsi="SimSun" w:eastAsia="SimSun" w:cs="SimSun"/>
          <w:sz w:val="22"/>
          <w:szCs w:val="22"/>
        </w:rPr>
        <w:t xml:space="preserve"> </w:t>
      </w:r>
      <w:r>
        <w:rPr>
          <w:rFonts w:ascii="SimSun" w:hAnsi="SimSun" w:eastAsia="SimSun" w:cs="SimSun"/>
          <w:sz w:val="22"/>
          <w:szCs w:val="22"/>
          <w:spacing w:val="-8"/>
        </w:rPr>
        <w:t>特定数据存储的依赖程度以及计划的应用合并工作。在架构层面参与数据的合理化</w:t>
      </w:r>
      <w:r>
        <w:rPr>
          <w:rFonts w:ascii="SimSun" w:hAnsi="SimSun" w:eastAsia="SimSun" w:cs="SimSun"/>
          <w:sz w:val="22"/>
          <w:szCs w:val="22"/>
          <w:spacing w:val="16"/>
        </w:rPr>
        <w:t xml:space="preserve"> </w:t>
      </w:r>
      <w:r>
        <w:rPr>
          <w:rFonts w:ascii="SimSun" w:hAnsi="SimSun" w:eastAsia="SimSun" w:cs="SimSun"/>
          <w:sz w:val="22"/>
          <w:szCs w:val="22"/>
          <w:spacing w:val="-9"/>
        </w:rPr>
        <w:t>工作使组织能够完整地描述现有的架构，从而支持未来状态蓝图</w:t>
      </w:r>
      <w:r>
        <w:rPr>
          <w:rFonts w:ascii="SimSun" w:hAnsi="SimSun" w:eastAsia="SimSun" w:cs="SimSun"/>
          <w:sz w:val="22"/>
          <w:szCs w:val="22"/>
          <w:spacing w:val="-10"/>
        </w:rPr>
        <w:t>的制订。</w:t>
      </w:r>
    </w:p>
    <w:p>
      <w:pPr>
        <w:spacing w:line="135" w:lineRule="exact"/>
        <w:rPr/>
      </w:pPr>
      <w:r/>
    </w:p>
    <w:tbl>
      <w:tblPr>
        <w:tblStyle w:val="TableNormal"/>
        <w:tblW w:w="7670"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50"/>
      </w:tblGrid>
      <w:tr>
        <w:trPr>
          <w:trHeight w:val="351" w:hRule="atLeast"/>
        </w:trPr>
        <w:tc>
          <w:tcPr>
            <w:tcW w:w="754" w:type="dxa"/>
            <w:vAlign w:val="top"/>
          </w:tcPr>
          <w:p>
            <w:pPr>
              <w:pStyle w:val="TableText"/>
              <w:ind w:left="205"/>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50" w:type="dxa"/>
            <w:vAlign w:val="top"/>
          </w:tcPr>
          <w:p>
            <w:pPr>
              <w:pStyle w:val="TableText"/>
              <w:ind w:left="157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9" w:hRule="atLeast"/>
        </w:trPr>
        <w:tc>
          <w:tcPr>
            <w:tcW w:w="754" w:type="dxa"/>
            <w:vAlign w:val="top"/>
          </w:tcPr>
          <w:p>
            <w:pPr>
              <w:pStyle w:val="TableText"/>
              <w:ind w:left="245"/>
              <w:spacing w:before="261" w:line="183" w:lineRule="auto"/>
              <w:rPr>
                <w:sz w:val="16"/>
                <w:szCs w:val="16"/>
              </w:rPr>
            </w:pPr>
            <w:r>
              <w:rPr>
                <w:sz w:val="16"/>
                <w:szCs w:val="16"/>
                <w:spacing w:val="-2"/>
              </w:rPr>
              <w:t>2.3</w:t>
            </w:r>
          </w:p>
        </w:tc>
        <w:tc>
          <w:tcPr>
            <w:tcW w:w="3166" w:type="dxa"/>
            <w:vAlign w:val="top"/>
          </w:tcPr>
          <w:p>
            <w:pPr>
              <w:pStyle w:val="TableText"/>
              <w:ind w:left="111" w:right="11" w:firstLine="160"/>
              <w:spacing w:before="101" w:line="265" w:lineRule="auto"/>
              <w:rPr>
                <w:sz w:val="16"/>
                <w:szCs w:val="16"/>
              </w:rPr>
            </w:pPr>
            <w:r>
              <w:rPr>
                <w:sz w:val="16"/>
                <w:szCs w:val="16"/>
                <w:spacing w:val="-1"/>
              </w:rPr>
              <w:t>根据现有数据层组件和未来状态蓝图建立</w:t>
            </w:r>
            <w:r>
              <w:rPr>
                <w:sz w:val="16"/>
                <w:szCs w:val="16"/>
                <w:spacing w:val="10"/>
              </w:rPr>
              <w:t xml:space="preserve"> </w:t>
            </w:r>
            <w:r>
              <w:rPr>
                <w:sz w:val="16"/>
                <w:szCs w:val="16"/>
                <w:spacing w:val="-1"/>
              </w:rPr>
              <w:t>架构层的转换计划</w:t>
            </w:r>
          </w:p>
        </w:tc>
        <w:tc>
          <w:tcPr>
            <w:tcW w:w="3750" w:type="dxa"/>
            <w:vAlign w:val="top"/>
          </w:tcPr>
          <w:p>
            <w:pPr>
              <w:pStyle w:val="TableText"/>
              <w:ind w:left="265"/>
              <w:spacing w:before="220" w:line="219" w:lineRule="auto"/>
              <w:rPr>
                <w:sz w:val="16"/>
                <w:szCs w:val="16"/>
              </w:rPr>
            </w:pPr>
            <w:r>
              <w:rPr>
                <w:sz w:val="16"/>
                <w:szCs w:val="16"/>
                <w:spacing w:val="1"/>
              </w:rPr>
              <w:t>●数据架构层转换计划</w:t>
            </w:r>
          </w:p>
        </w:tc>
      </w:tr>
    </w:tbl>
    <w:p>
      <w:pPr>
        <w:ind w:left="569"/>
        <w:spacing w:before="21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09" w:firstLine="470"/>
        <w:spacing w:before="38"/>
        <w:rPr>
          <w:rFonts w:ascii="SimSun" w:hAnsi="SimSun" w:eastAsia="SimSun" w:cs="SimSun"/>
          <w:sz w:val="22"/>
          <w:szCs w:val="22"/>
        </w:rPr>
      </w:pPr>
      <w:r>
        <w:rPr>
          <w:rFonts w:ascii="SimSun" w:hAnsi="SimSun" w:eastAsia="SimSun" w:cs="SimSun"/>
          <w:sz w:val="22"/>
          <w:szCs w:val="22"/>
          <w:spacing w:val="-11"/>
        </w:rPr>
        <w:t>转换计划包含了现有的数据存储状态、退役</w:t>
      </w:r>
      <w:r>
        <w:rPr>
          <w:rFonts w:ascii="SimSun" w:hAnsi="SimSun" w:eastAsia="SimSun" w:cs="SimSun"/>
          <w:sz w:val="22"/>
          <w:szCs w:val="22"/>
          <w:spacing w:val="-12"/>
        </w:rPr>
        <w:t>以及重设计的目标日期、人员计划、</w:t>
      </w:r>
      <w:r>
        <w:rPr>
          <w:rFonts w:ascii="SimSun" w:hAnsi="SimSun" w:eastAsia="SimSun" w:cs="SimSun"/>
          <w:sz w:val="22"/>
          <w:szCs w:val="22"/>
        </w:rPr>
        <w:t xml:space="preserve"> </w:t>
      </w:r>
      <w:r>
        <w:rPr>
          <w:rFonts w:ascii="SimSun" w:hAnsi="SimSun" w:eastAsia="SimSun" w:cs="SimSun"/>
          <w:sz w:val="22"/>
          <w:szCs w:val="22"/>
          <w:spacing w:val="-10"/>
        </w:rPr>
        <w:t>新技术的培训计划以及未来组件实施的目标日期等。</w:t>
      </w:r>
    </w:p>
    <w:p>
      <w:pPr>
        <w:spacing w:line="125" w:lineRule="exact"/>
        <w:rPr/>
      </w:pPr>
      <w:r/>
    </w:p>
    <w:tbl>
      <w:tblPr>
        <w:tblStyle w:val="TableNormal"/>
        <w:tblW w:w="766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60"/>
      </w:tblGrid>
      <w:tr>
        <w:trPr>
          <w:trHeight w:val="352"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868" w:hRule="atLeast"/>
        </w:trPr>
        <w:tc>
          <w:tcPr>
            <w:tcW w:w="744" w:type="dxa"/>
            <w:vAlign w:val="top"/>
          </w:tcPr>
          <w:p>
            <w:pPr>
              <w:spacing w:line="347" w:lineRule="auto"/>
              <w:rPr>
                <w:rFonts w:ascii="Arial"/>
                <w:sz w:val="21"/>
              </w:rPr>
            </w:pPr>
            <w:r/>
          </w:p>
          <w:p>
            <w:pPr>
              <w:pStyle w:val="TableText"/>
              <w:ind w:left="244"/>
              <w:spacing w:before="48" w:line="183" w:lineRule="auto"/>
              <w:rPr/>
            </w:pPr>
            <w:r>
              <w:rPr>
                <w:spacing w:val="-2"/>
              </w:rPr>
              <w:t>2.4</w:t>
            </w:r>
          </w:p>
        </w:tc>
        <w:tc>
          <w:tcPr>
            <w:tcW w:w="3165" w:type="dxa"/>
            <w:vAlign w:val="top"/>
          </w:tcPr>
          <w:p>
            <w:pPr>
              <w:pStyle w:val="TableText"/>
              <w:ind w:left="120" w:right="146" w:firstLine="100"/>
              <w:spacing w:before="88" w:line="303" w:lineRule="auto"/>
              <w:rPr/>
            </w:pPr>
            <w:r>
              <w:rPr>
                <w:spacing w:val="-1"/>
              </w:rPr>
              <w:t>建立和遵循过程以确保共享数据的数据接</w:t>
            </w:r>
            <w:r>
              <w:rPr>
                <w:spacing w:val="4"/>
              </w:rPr>
              <w:t xml:space="preserve">  </w:t>
            </w:r>
            <w:r>
              <w:rPr>
                <w:spacing w:val="1"/>
              </w:rPr>
              <w:t>口规格得到文件化记录，并且可以对所有使</w:t>
            </w:r>
            <w:r>
              <w:rPr>
                <w:spacing w:val="17"/>
              </w:rPr>
              <w:t xml:space="preserve"> </w:t>
            </w:r>
            <w:r>
              <w:rPr>
                <w:spacing w:val="-1"/>
              </w:rPr>
              <w:t>用接口的行为进行端到端追溯</w:t>
            </w:r>
          </w:p>
        </w:tc>
        <w:tc>
          <w:tcPr>
            <w:tcW w:w="3760" w:type="dxa"/>
            <w:vAlign w:val="top"/>
          </w:tcPr>
          <w:p>
            <w:pPr>
              <w:spacing w:line="308" w:lineRule="auto"/>
              <w:rPr>
                <w:rFonts w:ascii="Arial"/>
                <w:sz w:val="21"/>
              </w:rPr>
            </w:pPr>
            <w:r/>
          </w:p>
          <w:p>
            <w:pPr>
              <w:pStyle w:val="TableText"/>
              <w:ind w:left="276"/>
              <w:spacing w:before="49" w:line="219" w:lineRule="auto"/>
              <w:rPr/>
            </w:pPr>
            <w:r>
              <w:rPr/>
              <w:t>●共享数据接口的可追溯性图</w:t>
            </w:r>
          </w:p>
        </w:tc>
      </w:tr>
    </w:tbl>
    <w:p>
      <w:pPr>
        <w:ind w:left="56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09" w:right="100" w:firstLine="470"/>
        <w:spacing w:before="59" w:line="250" w:lineRule="auto"/>
        <w:rPr>
          <w:rFonts w:ascii="SimSun" w:hAnsi="SimSun" w:eastAsia="SimSun" w:cs="SimSun"/>
          <w:sz w:val="22"/>
          <w:szCs w:val="22"/>
        </w:rPr>
      </w:pPr>
      <w:r>
        <w:rPr>
          <w:rFonts w:ascii="SimSun" w:hAnsi="SimSun" w:eastAsia="SimSun" w:cs="SimSun"/>
          <w:sz w:val="22"/>
          <w:szCs w:val="22"/>
          <w:spacing w:val="-8"/>
        </w:rPr>
        <w:t>包含整合接口和公用数据服务的实例应明确规定数据集</w:t>
      </w:r>
      <w:r>
        <w:rPr>
          <w:rFonts w:ascii="SimSun" w:hAnsi="SimSun" w:eastAsia="SimSun" w:cs="SimSun"/>
          <w:sz w:val="22"/>
          <w:szCs w:val="22"/>
          <w:spacing w:val="-9"/>
        </w:rPr>
        <w:t>成规则和性能要求，应</w:t>
      </w:r>
      <w:r>
        <w:rPr>
          <w:rFonts w:ascii="SimSun" w:hAnsi="SimSun" w:eastAsia="SimSun" w:cs="SimSun"/>
          <w:sz w:val="22"/>
          <w:szCs w:val="22"/>
        </w:rPr>
        <w:t xml:space="preserve"> </w:t>
      </w:r>
      <w:r>
        <w:rPr>
          <w:rFonts w:ascii="SimSun" w:hAnsi="SimSun" w:eastAsia="SimSun" w:cs="SimSun"/>
          <w:sz w:val="22"/>
          <w:szCs w:val="22"/>
          <w:spacing w:val="-8"/>
        </w:rPr>
        <w:t>记录系统之间的接口，以支持未来的变化，并提供适合系统间集成的方</w:t>
      </w:r>
      <w:r>
        <w:rPr>
          <w:rFonts w:ascii="SimSun" w:hAnsi="SimSun" w:eastAsia="SimSun" w:cs="SimSun"/>
          <w:sz w:val="22"/>
          <w:szCs w:val="22"/>
          <w:spacing w:val="-9"/>
        </w:rPr>
        <w:t>法。这些接</w:t>
      </w:r>
      <w:r>
        <w:rPr>
          <w:rFonts w:ascii="SimSun" w:hAnsi="SimSun" w:eastAsia="SimSun" w:cs="SimSun"/>
          <w:sz w:val="22"/>
          <w:szCs w:val="22"/>
        </w:rPr>
        <w:t xml:space="preserve"> </w:t>
      </w:r>
      <w:r>
        <w:rPr>
          <w:rFonts w:ascii="SimSun" w:hAnsi="SimSun" w:eastAsia="SimSun" w:cs="SimSun"/>
          <w:sz w:val="22"/>
          <w:szCs w:val="22"/>
          <w:spacing w:val="-8"/>
        </w:rPr>
        <w:t>口的开发应遵循通用编程惯例，应提供指导接口开发的组织标准，还应</w:t>
      </w:r>
      <w:r>
        <w:rPr>
          <w:rFonts w:ascii="SimSun" w:hAnsi="SimSun" w:eastAsia="SimSun" w:cs="SimSun"/>
          <w:sz w:val="22"/>
          <w:szCs w:val="22"/>
          <w:spacing w:val="-9"/>
        </w:rPr>
        <w:t>将接口包括</w:t>
      </w:r>
      <w:r>
        <w:rPr>
          <w:rFonts w:ascii="SimSun" w:hAnsi="SimSun" w:eastAsia="SimSun" w:cs="SimSun"/>
          <w:sz w:val="22"/>
          <w:szCs w:val="22"/>
        </w:rPr>
        <w:t xml:space="preserve"> </w:t>
      </w:r>
      <w:r>
        <w:rPr>
          <w:rFonts w:ascii="SimSun" w:hAnsi="SimSun" w:eastAsia="SimSun" w:cs="SimSun"/>
          <w:sz w:val="22"/>
          <w:szCs w:val="22"/>
          <w:spacing w:val="-10"/>
        </w:rPr>
        <w:t>在完整的技术数据包内，并根据组织的配置管理过程和标准进行管理。</w:t>
      </w:r>
    </w:p>
    <w:p>
      <w:pPr>
        <w:spacing w:line="250" w:lineRule="auto"/>
        <w:sectPr>
          <w:footerReference w:type="default" r:id="rId357"/>
          <w:pgSz w:w="8870" w:h="13400"/>
          <w:pgMar w:top="400" w:right="339" w:bottom="545" w:left="550" w:header="0" w:footer="326" w:gutter="0"/>
        </w:sectPr>
        <w:rPr>
          <w:rFonts w:ascii="SimSun" w:hAnsi="SimSun" w:eastAsia="SimSun" w:cs="SimSun"/>
          <w:sz w:val="22"/>
          <w:szCs w:val="22"/>
        </w:rPr>
      </w:pPr>
    </w:p>
    <w:p>
      <w:pPr>
        <w:ind w:left="5538"/>
        <w:spacing w:before="184" w:line="219" w:lineRule="auto"/>
        <w:rPr>
          <w:rFonts w:ascii="SimSun" w:hAnsi="SimSun" w:eastAsia="SimSun" w:cs="SimSun"/>
          <w:sz w:val="21"/>
          <w:szCs w:val="21"/>
        </w:rPr>
      </w:pPr>
      <w:r>
        <w:rPr>
          <w:rFonts w:ascii="SimSun" w:hAnsi="SimSun" w:eastAsia="SimSun" w:cs="SimSun"/>
          <w:sz w:val="21"/>
          <w:szCs w:val="21"/>
          <w:b/>
          <w:bCs/>
          <w:spacing w:val="13"/>
        </w:rPr>
        <w:t>第8章■云端数据架构</w:t>
      </w:r>
    </w:p>
    <w:p>
      <w:pPr>
        <w:spacing w:before="20"/>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90"/>
      </w:tblGrid>
      <w:tr>
        <w:trPr>
          <w:trHeight w:val="341" w:hRule="atLeast"/>
        </w:trPr>
        <w:tc>
          <w:tcPr>
            <w:tcW w:w="744" w:type="dxa"/>
            <w:vAlign w:val="top"/>
          </w:tcPr>
          <w:p>
            <w:pPr>
              <w:pStyle w:val="TableText"/>
              <w:ind w:left="215"/>
              <w:spacing w:before="102" w:line="221" w:lineRule="auto"/>
              <w:rPr/>
            </w:pPr>
            <w:r>
              <w:rPr>
                <w:spacing w:val="-2"/>
              </w:rPr>
              <w:t>序号</w:t>
            </w:r>
          </w:p>
        </w:tc>
        <w:tc>
          <w:tcPr>
            <w:tcW w:w="3145"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90" w:type="dxa"/>
            <w:vAlign w:val="top"/>
          </w:tcPr>
          <w:p>
            <w:pPr>
              <w:pStyle w:val="TableText"/>
              <w:ind w:left="1606"/>
              <w:spacing w:before="101" w:line="220" w:lineRule="auto"/>
              <w:rPr/>
            </w:pPr>
            <w:r>
              <w:rPr>
                <w:spacing w:val="-5"/>
              </w:rPr>
              <w:t>实</w:t>
            </w:r>
            <w:r>
              <w:rPr>
                <w:spacing w:val="1"/>
              </w:rPr>
              <w:t xml:space="preserve">   </w:t>
            </w:r>
            <w:r>
              <w:rPr>
                <w:spacing w:val="-5"/>
              </w:rPr>
              <w:t>例</w:t>
            </w:r>
          </w:p>
        </w:tc>
      </w:tr>
      <w:tr>
        <w:trPr>
          <w:trHeight w:val="609" w:hRule="atLeast"/>
        </w:trPr>
        <w:tc>
          <w:tcPr>
            <w:tcW w:w="744" w:type="dxa"/>
            <w:vAlign w:val="top"/>
          </w:tcPr>
          <w:p>
            <w:pPr>
              <w:pStyle w:val="TableText"/>
              <w:ind w:left="245"/>
              <w:spacing w:before="268" w:line="183" w:lineRule="auto"/>
              <w:rPr/>
            </w:pPr>
            <w:r>
              <w:rPr>
                <w:spacing w:val="-2"/>
              </w:rPr>
              <w:t>2.5</w:t>
            </w:r>
          </w:p>
        </w:tc>
        <w:tc>
          <w:tcPr>
            <w:tcW w:w="3145" w:type="dxa"/>
            <w:vAlign w:val="top"/>
          </w:tcPr>
          <w:p>
            <w:pPr>
              <w:pStyle w:val="TableText"/>
              <w:ind w:left="90" w:right="155" w:firstLine="170"/>
              <w:spacing w:before="99" w:line="289" w:lineRule="auto"/>
              <w:rPr/>
            </w:pPr>
            <w:r>
              <w:rPr>
                <w:spacing w:val="1"/>
              </w:rPr>
              <w:t>建立并执行合规流程确保项目参考并使用</w:t>
            </w:r>
            <w:r>
              <w:rPr/>
              <w:t xml:space="preserve"> </w:t>
            </w:r>
            <w:r>
              <w:rPr>
                <w:spacing w:val="-1"/>
              </w:rPr>
              <w:t>经认可的目标架构</w:t>
            </w:r>
          </w:p>
        </w:tc>
        <w:tc>
          <w:tcPr>
            <w:tcW w:w="3790" w:type="dxa"/>
            <w:vAlign w:val="top"/>
          </w:tcPr>
          <w:p>
            <w:pPr>
              <w:pStyle w:val="TableText"/>
              <w:ind w:left="286"/>
              <w:spacing w:before="230" w:line="220" w:lineRule="auto"/>
              <w:rPr/>
            </w:pPr>
            <w:r>
              <w:rPr/>
              <w:t>●关于实施与目标架构一致性的记录</w:t>
            </w:r>
          </w:p>
        </w:tc>
      </w:tr>
    </w:tbl>
    <w:p>
      <w:pPr>
        <w:ind w:left="340"/>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15" w:right="136" w:firstLine="430"/>
        <w:spacing w:before="49" w:line="261" w:lineRule="auto"/>
        <w:rPr>
          <w:rFonts w:ascii="SimSun" w:hAnsi="SimSun" w:eastAsia="SimSun" w:cs="SimSun"/>
          <w:sz w:val="21"/>
          <w:szCs w:val="21"/>
        </w:rPr>
      </w:pPr>
      <w:r>
        <w:rPr>
          <w:rFonts w:ascii="SimSun" w:hAnsi="SimSun" w:eastAsia="SimSun" w:cs="SimSun"/>
          <w:sz w:val="21"/>
          <w:szCs w:val="21"/>
          <w:spacing w:val="-1"/>
        </w:rPr>
        <w:t>企业数据架构提供个别项目的企业数据需求，加速这些需求的</w:t>
      </w:r>
      <w:r>
        <w:rPr>
          <w:rFonts w:ascii="SimSun" w:hAnsi="SimSun" w:eastAsia="SimSun" w:cs="SimSun"/>
          <w:sz w:val="21"/>
          <w:szCs w:val="21"/>
          <w:spacing w:val="-2"/>
        </w:rPr>
        <w:t>识别和定义过程。</w:t>
      </w:r>
      <w:r>
        <w:rPr>
          <w:rFonts w:ascii="SimSun" w:hAnsi="SimSun" w:eastAsia="SimSun" w:cs="SimSun"/>
          <w:sz w:val="21"/>
          <w:szCs w:val="21"/>
        </w:rPr>
        <w:t xml:space="preserve"> </w:t>
      </w:r>
      <w:r>
        <w:rPr>
          <w:rFonts w:ascii="SimSun" w:hAnsi="SimSun" w:eastAsia="SimSun" w:cs="SimSun"/>
          <w:sz w:val="21"/>
          <w:szCs w:val="21"/>
          <w:spacing w:val="2"/>
        </w:rPr>
        <w:t>对项目的数据设计进行评估，可确保概念、逻辑和物理数据模型一致，并对企业数 </w:t>
      </w:r>
      <w:r>
        <w:rPr>
          <w:rFonts w:ascii="SimSun" w:hAnsi="SimSun" w:eastAsia="SimSun" w:cs="SimSun"/>
          <w:sz w:val="21"/>
          <w:szCs w:val="21"/>
          <w:spacing w:val="-3"/>
        </w:rPr>
        <w:t>据架构的长期实施有所贡献。</w:t>
      </w:r>
    </w:p>
    <w:p>
      <w:pPr>
        <w:ind w:left="445"/>
        <w:spacing w:before="55"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25"/>
          <w:w w:val="101"/>
        </w:rPr>
        <w:t xml:space="preserve">  </w:t>
      </w:r>
      <w:r>
        <w:rPr>
          <w:rFonts w:ascii="Times New Roman" w:hAnsi="Times New Roman" w:eastAsia="Times New Roman" w:cs="Times New Roman"/>
          <w:sz w:val="21"/>
          <w:szCs w:val="21"/>
          <w:b/>
          <w:bCs/>
          <w:spacing w:val="-2"/>
        </w:rPr>
        <w:t>3: </w:t>
      </w:r>
      <w:r>
        <w:rPr>
          <w:rFonts w:ascii="SimHei" w:hAnsi="SimHei" w:eastAsia="SimHei" w:cs="SimHei"/>
          <w:sz w:val="21"/>
          <w:szCs w:val="21"/>
          <w:b/>
          <w:bCs/>
          <w:spacing w:val="-2"/>
        </w:rPr>
        <w:t>定义级</w:t>
      </w:r>
    </w:p>
    <w:p>
      <w:pPr>
        <w:spacing w:line="130" w:lineRule="exact"/>
        <w:rPr/>
      </w:pPr>
      <w:r/>
    </w:p>
    <w:tbl>
      <w:tblPr>
        <w:tblStyle w:val="TableNormal"/>
        <w:tblW w:w="766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80"/>
      </w:tblGrid>
      <w:tr>
        <w:trPr>
          <w:trHeight w:val="351" w:hRule="atLeast"/>
        </w:trPr>
        <w:tc>
          <w:tcPr>
            <w:tcW w:w="744" w:type="dxa"/>
            <w:vAlign w:val="top"/>
          </w:tcPr>
          <w:p>
            <w:pPr>
              <w:pStyle w:val="TableText"/>
              <w:ind w:left="214"/>
              <w:spacing w:before="102" w:line="221" w:lineRule="auto"/>
              <w:rPr/>
            </w:pPr>
            <w:r>
              <w:rPr>
                <w:spacing w:val="-2"/>
              </w:rPr>
              <w:t>序号</w:t>
            </w:r>
          </w:p>
        </w:tc>
        <w:tc>
          <w:tcPr>
            <w:tcW w:w="314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4" w:lineRule="auto"/>
              <w:rPr/>
            </w:pPr>
            <w:r>
              <w:rPr>
                <w:spacing w:val="-2"/>
              </w:rPr>
              <w:t>3.1</w:t>
            </w:r>
          </w:p>
        </w:tc>
        <w:tc>
          <w:tcPr>
            <w:tcW w:w="3145" w:type="dxa"/>
            <w:vAlign w:val="top"/>
          </w:tcPr>
          <w:p>
            <w:pPr>
              <w:pStyle w:val="TableText"/>
              <w:ind w:left="101" w:right="190" w:firstLine="149"/>
              <w:spacing w:before="99" w:line="283" w:lineRule="auto"/>
              <w:rPr/>
            </w:pPr>
            <w:r>
              <w:rPr>
                <w:spacing w:val="-1"/>
              </w:rPr>
              <w:t>整个组织遵守为实现目标数据架构而制订</w:t>
            </w:r>
            <w:r>
              <w:rPr>
                <w:spacing w:val="10"/>
              </w:rPr>
              <w:t xml:space="preserve"> </w:t>
            </w:r>
            <w:r>
              <w:rPr>
                <w:spacing w:val="1"/>
              </w:rPr>
              <w:t>的架构方法</w:t>
            </w:r>
          </w:p>
        </w:tc>
        <w:tc>
          <w:tcPr>
            <w:tcW w:w="3780" w:type="dxa"/>
            <w:vAlign w:val="top"/>
          </w:tcPr>
          <w:p>
            <w:pPr>
              <w:pStyle w:val="TableText"/>
              <w:ind w:left="285"/>
              <w:spacing w:before="230" w:line="219" w:lineRule="auto"/>
              <w:rPr/>
            </w:pPr>
            <w:r>
              <w:rPr/>
              <w:t>●关于数据相关的架构方法的标准文件</w:t>
            </w:r>
          </w:p>
        </w:tc>
      </w:tr>
    </w:tbl>
    <w:p>
      <w:pPr>
        <w:ind w:left="340"/>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03" w:firstLine="430"/>
        <w:spacing w:before="58" w:line="262" w:lineRule="auto"/>
        <w:rPr>
          <w:rFonts w:ascii="SimSun" w:hAnsi="SimSun" w:eastAsia="SimSun" w:cs="SimSun"/>
          <w:sz w:val="21"/>
          <w:szCs w:val="21"/>
        </w:rPr>
      </w:pPr>
      <w:r>
        <w:rPr>
          <w:rFonts w:ascii="SimSun" w:hAnsi="SimSun" w:eastAsia="SimSun" w:cs="SimSun"/>
          <w:sz w:val="21"/>
          <w:szCs w:val="21"/>
          <w:spacing w:val="2"/>
        </w:rPr>
        <w:t>组织要贯彻目标架构的一致性是有难度的，因为一些短期的、事件驱动的重点</w:t>
      </w:r>
      <w:r>
        <w:rPr>
          <w:rFonts w:ascii="SimSun" w:hAnsi="SimSun" w:eastAsia="SimSun" w:cs="SimSun"/>
          <w:sz w:val="21"/>
          <w:szCs w:val="21"/>
          <w:spacing w:val="10"/>
        </w:rPr>
        <w:t xml:space="preserve"> </w:t>
      </w:r>
      <w:r>
        <w:rPr>
          <w:rFonts w:ascii="SimSun" w:hAnsi="SimSun" w:eastAsia="SimSun" w:cs="SimSun"/>
          <w:sz w:val="21"/>
          <w:szCs w:val="21"/>
          <w:spacing w:val="3"/>
        </w:rPr>
        <w:t>可能会导致一些例外情况的发生。这些例外情况会造成长期的影响后果，导致在实</w:t>
      </w:r>
      <w:r>
        <w:rPr>
          <w:rFonts w:ascii="SimSun" w:hAnsi="SimSun" w:eastAsia="SimSun" w:cs="SimSun"/>
          <w:sz w:val="21"/>
          <w:szCs w:val="21"/>
          <w:spacing w:val="1"/>
        </w:rPr>
        <w:t xml:space="preserve"> </w:t>
      </w:r>
      <w:r>
        <w:rPr>
          <w:rFonts w:ascii="SimSun" w:hAnsi="SimSun" w:eastAsia="SimSun" w:cs="SimSun"/>
          <w:sz w:val="21"/>
          <w:szCs w:val="21"/>
          <w:spacing w:val="2"/>
        </w:rPr>
        <w:t>现目标架构上相关复杂性、成本以及返工的增加。清晰、明确的偏离例外过程有助</w:t>
      </w:r>
      <w:r>
        <w:rPr>
          <w:rFonts w:ascii="SimSun" w:hAnsi="SimSun" w:eastAsia="SimSun" w:cs="SimSun"/>
          <w:sz w:val="21"/>
          <w:szCs w:val="21"/>
          <w:spacing w:val="10"/>
        </w:rPr>
        <w:t xml:space="preserve"> </w:t>
      </w:r>
      <w:r>
        <w:rPr>
          <w:rFonts w:ascii="SimSun" w:hAnsi="SimSun" w:eastAsia="SimSun" w:cs="SimSun"/>
          <w:sz w:val="21"/>
          <w:szCs w:val="21"/>
          <w:spacing w:val="2"/>
        </w:rPr>
        <w:t>于合规性，因为项目团队有时会以计划或预算为理由，抵制使用</w:t>
      </w:r>
      <w:r>
        <w:rPr>
          <w:rFonts w:ascii="SimSun" w:hAnsi="SimSun" w:eastAsia="SimSun" w:cs="SimSun"/>
          <w:sz w:val="21"/>
          <w:szCs w:val="21"/>
          <w:spacing w:val="1"/>
        </w:rPr>
        <w:t>架构标准。通过利</w:t>
      </w:r>
      <w:r>
        <w:rPr>
          <w:rFonts w:ascii="SimSun" w:hAnsi="SimSun" w:eastAsia="SimSun" w:cs="SimSun"/>
          <w:sz w:val="21"/>
          <w:szCs w:val="21"/>
        </w:rPr>
        <w:t xml:space="preserve"> </w:t>
      </w:r>
      <w:r>
        <w:rPr>
          <w:rFonts w:ascii="SimSun" w:hAnsi="SimSun" w:eastAsia="SimSun" w:cs="SimSun"/>
          <w:sz w:val="21"/>
          <w:szCs w:val="21"/>
          <w:spacing w:val="-2"/>
        </w:rPr>
        <w:t>用数据治理监督，架构评审委员会应裁定偏离例外情况。</w:t>
      </w:r>
    </w:p>
    <w:p>
      <w:pPr>
        <w:spacing w:line="128" w:lineRule="exact"/>
        <w:rPr/>
      </w:pPr>
      <w:r/>
    </w:p>
    <w:tbl>
      <w:tblPr>
        <w:tblStyle w:val="TableNormal"/>
        <w:tblW w:w="7670"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70"/>
      </w:tblGrid>
      <w:tr>
        <w:trPr>
          <w:trHeight w:val="350"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61"/>
              <w:spacing w:before="101" w:line="219" w:lineRule="auto"/>
              <w:rPr>
                <w:sz w:val="16"/>
                <w:szCs w:val="16"/>
              </w:rPr>
            </w:pPr>
            <w:r>
              <w:rPr>
                <w:sz w:val="16"/>
                <w:szCs w:val="16"/>
                <w:spacing w:val="-4"/>
              </w:rPr>
              <w:t>等 级 要 求</w:t>
            </w:r>
          </w:p>
        </w:tc>
        <w:tc>
          <w:tcPr>
            <w:tcW w:w="377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49" w:hRule="atLeast"/>
        </w:trPr>
        <w:tc>
          <w:tcPr>
            <w:tcW w:w="744" w:type="dxa"/>
            <w:vAlign w:val="top"/>
          </w:tcPr>
          <w:p>
            <w:pPr>
              <w:pStyle w:val="TableText"/>
              <w:ind w:left="245"/>
              <w:spacing w:before="142" w:line="183" w:lineRule="auto"/>
              <w:rPr>
                <w:sz w:val="16"/>
                <w:szCs w:val="16"/>
              </w:rPr>
            </w:pPr>
            <w:r>
              <w:rPr>
                <w:sz w:val="16"/>
                <w:szCs w:val="16"/>
                <w:spacing w:val="-3"/>
              </w:rPr>
              <w:t>3.2</w:t>
            </w:r>
          </w:p>
        </w:tc>
        <w:tc>
          <w:tcPr>
            <w:tcW w:w="3156" w:type="dxa"/>
            <w:vAlign w:val="top"/>
          </w:tcPr>
          <w:p>
            <w:pPr>
              <w:pStyle w:val="TableText"/>
              <w:ind w:left="261"/>
              <w:spacing w:before="101" w:line="219" w:lineRule="auto"/>
              <w:rPr>
                <w:sz w:val="16"/>
                <w:szCs w:val="16"/>
              </w:rPr>
            </w:pPr>
            <w:r>
              <w:rPr>
                <w:sz w:val="16"/>
                <w:szCs w:val="16"/>
                <w:spacing w:val="-1"/>
              </w:rPr>
              <w:t>执行数据存储的合理化过程</w:t>
            </w:r>
          </w:p>
        </w:tc>
        <w:tc>
          <w:tcPr>
            <w:tcW w:w="3770" w:type="dxa"/>
            <w:vAlign w:val="top"/>
          </w:tcPr>
          <w:p>
            <w:pPr>
              <w:pStyle w:val="TableText"/>
              <w:ind w:left="265"/>
              <w:spacing w:before="100" w:line="218" w:lineRule="auto"/>
              <w:rPr>
                <w:sz w:val="16"/>
                <w:szCs w:val="16"/>
              </w:rPr>
            </w:pPr>
            <w:r>
              <w:rPr>
                <w:sz w:val="16"/>
                <w:szCs w:val="16"/>
              </w:rPr>
              <w:t>●数据资产合理化过程评估报告</w:t>
            </w:r>
          </w:p>
        </w:tc>
      </w:tr>
    </w:tbl>
    <w:p>
      <w:pPr>
        <w:ind w:left="340"/>
        <w:spacing w:before="22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159" w:firstLine="430"/>
        <w:spacing w:before="60" w:line="260" w:lineRule="auto"/>
        <w:rPr>
          <w:rFonts w:ascii="SimSun" w:hAnsi="SimSun" w:eastAsia="SimSun" w:cs="SimSun"/>
          <w:sz w:val="21"/>
          <w:szCs w:val="21"/>
        </w:rPr>
      </w:pPr>
      <w:r>
        <w:rPr>
          <w:rFonts w:ascii="SimSun" w:hAnsi="SimSun" w:eastAsia="SimSun" w:cs="SimSun"/>
          <w:sz w:val="21"/>
          <w:szCs w:val="21"/>
          <w:spacing w:val="-2"/>
        </w:rPr>
        <w:t>组织需要合理化地评估现有的数据资产、冗余级别、现有业务需求的满足程度、</w:t>
      </w:r>
      <w:r>
        <w:rPr>
          <w:rFonts w:ascii="SimSun" w:hAnsi="SimSun" w:eastAsia="SimSun" w:cs="SimSun"/>
          <w:sz w:val="21"/>
          <w:szCs w:val="21"/>
          <w:spacing w:val="3"/>
        </w:rPr>
        <w:t xml:space="preserve"> </w:t>
      </w:r>
      <w:r>
        <w:rPr>
          <w:rFonts w:ascii="SimSun" w:hAnsi="SimSun" w:eastAsia="SimSun" w:cs="SimSun"/>
          <w:sz w:val="21"/>
          <w:szCs w:val="21"/>
          <w:spacing w:val="2"/>
        </w:rPr>
        <w:t>所使用的平台和技术。合理化过程评估确保新数据组件开发方向的信息需</w:t>
      </w:r>
      <w:r>
        <w:rPr>
          <w:rFonts w:ascii="SimSun" w:hAnsi="SimSun" w:eastAsia="SimSun" w:cs="SimSun"/>
          <w:sz w:val="21"/>
          <w:szCs w:val="21"/>
          <w:spacing w:val="1"/>
        </w:rPr>
        <w:t>求之前未 </w:t>
      </w:r>
      <w:r>
        <w:rPr>
          <w:rFonts w:ascii="SimSun" w:hAnsi="SimSun" w:eastAsia="SimSun" w:cs="SimSun"/>
          <w:sz w:val="21"/>
          <w:szCs w:val="21"/>
          <w:spacing w:val="9"/>
        </w:rPr>
        <w:t>被组织里的其他数据存储所提及。现有的数据存储可以通过添加抽象层(例如，</w:t>
      </w:r>
      <w:r>
        <w:rPr>
          <w:rFonts w:ascii="SimSun" w:hAnsi="SimSun" w:eastAsia="SimSun" w:cs="SimSun"/>
          <w:sz w:val="21"/>
          <w:szCs w:val="21"/>
          <w:spacing w:val="6"/>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w:t>
      </w:r>
      <w:r>
        <w:rPr>
          <w:rFonts w:ascii="SimSun" w:hAnsi="SimSun" w:eastAsia="SimSun" w:cs="SimSun"/>
          <w:sz w:val="21"/>
          <w:szCs w:val="21"/>
          <w:spacing w:val="2"/>
        </w:rPr>
        <w:t>或提高数据质量过程来达成长期的架构</w:t>
      </w:r>
      <w:r>
        <w:rPr>
          <w:rFonts w:ascii="SimSun" w:hAnsi="SimSun" w:eastAsia="SimSun" w:cs="SimSun"/>
          <w:sz w:val="21"/>
          <w:szCs w:val="21"/>
          <w:spacing w:val="1"/>
        </w:rPr>
        <w:t>目标。合理化过程的结果为架构转换 </w:t>
      </w:r>
      <w:r>
        <w:rPr>
          <w:rFonts w:ascii="SimSun" w:hAnsi="SimSun" w:eastAsia="SimSun" w:cs="SimSun"/>
          <w:sz w:val="21"/>
          <w:szCs w:val="21"/>
          <w:spacing w:val="-5"/>
        </w:rPr>
        <w:t>计划提供了关键的输入信息。</w:t>
      </w:r>
    </w:p>
    <w:p>
      <w:pPr>
        <w:spacing w:line="129" w:lineRule="exact"/>
        <w:rPr/>
      </w:pPr>
      <w:r/>
    </w:p>
    <w:tbl>
      <w:tblPr>
        <w:tblStyle w:val="TableNormal"/>
        <w:tblW w:w="7659" w:type="dxa"/>
        <w:tblInd w:w="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51" w:hRule="atLeast"/>
        </w:trPr>
        <w:tc>
          <w:tcPr>
            <w:tcW w:w="734" w:type="dxa"/>
            <w:vAlign w:val="top"/>
          </w:tcPr>
          <w:p>
            <w:pPr>
              <w:pStyle w:val="TableText"/>
              <w:ind w:left="195"/>
              <w:spacing w:before="102" w:line="221" w:lineRule="auto"/>
              <w:rPr>
                <w:sz w:val="16"/>
                <w:szCs w:val="16"/>
              </w:rPr>
            </w:pPr>
            <w:r>
              <w:rPr>
                <w:sz w:val="16"/>
                <w:szCs w:val="16"/>
                <w:spacing w:val="-2"/>
              </w:rPr>
              <w:t>序号</w:t>
            </w:r>
          </w:p>
        </w:tc>
        <w:tc>
          <w:tcPr>
            <w:tcW w:w="3155" w:type="dxa"/>
            <w:vAlign w:val="top"/>
          </w:tcPr>
          <w:p>
            <w:pPr>
              <w:pStyle w:val="TableText"/>
              <w:ind w:left="1170"/>
              <w:spacing w:before="101" w:line="219" w:lineRule="auto"/>
              <w:rPr>
                <w:sz w:val="16"/>
                <w:szCs w:val="16"/>
              </w:rPr>
            </w:pPr>
            <w:r>
              <w:rPr>
                <w:sz w:val="16"/>
                <w:szCs w:val="16"/>
                <w:spacing w:val="-4"/>
              </w:rPr>
              <w:t>等 级 要 求</w:t>
            </w:r>
          </w:p>
        </w:tc>
        <w:tc>
          <w:tcPr>
            <w:tcW w:w="3770" w:type="dxa"/>
            <w:vAlign w:val="top"/>
          </w:tcPr>
          <w:p>
            <w:pPr>
              <w:pStyle w:val="TableText"/>
              <w:ind w:left="157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34" w:type="dxa"/>
            <w:vAlign w:val="top"/>
          </w:tcPr>
          <w:p>
            <w:pPr>
              <w:pStyle w:val="TableText"/>
              <w:ind w:left="235"/>
              <w:spacing w:before="261" w:line="183" w:lineRule="auto"/>
              <w:rPr>
                <w:sz w:val="16"/>
                <w:szCs w:val="16"/>
              </w:rPr>
            </w:pPr>
            <w:r>
              <w:rPr>
                <w:sz w:val="16"/>
                <w:szCs w:val="16"/>
                <w:spacing w:val="-3"/>
              </w:rPr>
              <w:t>3.3</w:t>
            </w:r>
          </w:p>
        </w:tc>
        <w:tc>
          <w:tcPr>
            <w:tcW w:w="3155" w:type="dxa"/>
            <w:vAlign w:val="top"/>
          </w:tcPr>
          <w:p>
            <w:pPr>
              <w:pStyle w:val="TableText"/>
              <w:ind w:left="120" w:firstLine="149"/>
              <w:spacing w:before="90" w:line="277" w:lineRule="auto"/>
              <w:rPr>
                <w:sz w:val="16"/>
                <w:szCs w:val="16"/>
              </w:rPr>
            </w:pPr>
            <w:r>
              <w:rPr>
                <w:sz w:val="16"/>
                <w:szCs w:val="16"/>
                <w:spacing w:val="-1"/>
              </w:rPr>
              <w:t>业务单元、IT和数据治理协作开发目标架</w:t>
            </w:r>
            <w:r>
              <w:rPr>
                <w:sz w:val="16"/>
                <w:szCs w:val="16"/>
                <w:spacing w:val="12"/>
              </w:rPr>
              <w:t xml:space="preserve"> </w:t>
            </w:r>
            <w:r>
              <w:rPr>
                <w:sz w:val="16"/>
                <w:szCs w:val="16"/>
                <w:spacing w:val="-1"/>
              </w:rPr>
              <w:t>构并对其进行审批</w:t>
            </w:r>
          </w:p>
        </w:tc>
        <w:tc>
          <w:tcPr>
            <w:tcW w:w="3770" w:type="dxa"/>
            <w:vAlign w:val="top"/>
          </w:tcPr>
          <w:p>
            <w:pPr>
              <w:pStyle w:val="TableText"/>
              <w:ind w:left="265"/>
              <w:spacing w:before="220" w:line="219" w:lineRule="auto"/>
              <w:rPr>
                <w:sz w:val="16"/>
                <w:szCs w:val="16"/>
              </w:rPr>
            </w:pPr>
            <w:r>
              <w:rPr>
                <w:sz w:val="16"/>
                <w:szCs w:val="16"/>
                <w:spacing w:val="1"/>
              </w:rPr>
              <w:t>●数据架构开发规范</w:t>
            </w:r>
          </w:p>
        </w:tc>
      </w:tr>
    </w:tbl>
    <w:p>
      <w:pPr>
        <w:ind w:left="340"/>
        <w:spacing w:before="203" w:line="219" w:lineRule="auto"/>
        <w:rPr>
          <w:rFonts w:ascii="SimSun" w:hAnsi="SimSun" w:eastAsia="SimSun" w:cs="SimSun"/>
          <w:sz w:val="21"/>
          <w:szCs w:val="21"/>
        </w:rPr>
      </w:pPr>
      <w:r>
        <w:rPr>
          <w:rFonts w:ascii="SimSun" w:hAnsi="SimSun" w:eastAsia="SimSun" w:cs="SimSun"/>
          <w:sz w:val="21"/>
          <w:szCs w:val="21"/>
          <w:spacing w:val="4"/>
        </w:rPr>
        <w:t>【成熟度等级说明】</w:t>
      </w:r>
    </w:p>
    <w:p>
      <w:pPr>
        <w:ind w:left="15" w:right="235" w:firstLine="430"/>
        <w:spacing w:before="69" w:line="255" w:lineRule="auto"/>
        <w:rPr>
          <w:rFonts w:ascii="SimSun" w:hAnsi="SimSun" w:eastAsia="SimSun" w:cs="SimSun"/>
          <w:sz w:val="21"/>
          <w:szCs w:val="21"/>
        </w:rPr>
      </w:pPr>
      <w:r>
        <w:rPr>
          <w:rFonts w:ascii="SimSun" w:hAnsi="SimSun" w:eastAsia="SimSun" w:cs="SimSun"/>
          <w:sz w:val="21"/>
          <w:szCs w:val="21"/>
          <w:spacing w:val="2"/>
        </w:rPr>
        <w:t>组织设计数据层以解决业务需求和阐述最佳实践是十分重要的。组织应当避免</w:t>
      </w:r>
      <w:r>
        <w:rPr>
          <w:rFonts w:ascii="SimSun" w:hAnsi="SimSun" w:eastAsia="SimSun" w:cs="SimSun"/>
          <w:sz w:val="21"/>
          <w:szCs w:val="21"/>
        </w:rPr>
        <w:t xml:space="preserve"> </w:t>
      </w:r>
      <w:r>
        <w:rPr>
          <w:rFonts w:ascii="SimSun" w:hAnsi="SimSun" w:eastAsia="SimSun" w:cs="SimSun"/>
          <w:sz w:val="21"/>
          <w:szCs w:val="21"/>
        </w:rPr>
        <w:t>仅把它授权给</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IT,   </w:t>
      </w:r>
      <w:r>
        <w:rPr>
          <w:rFonts w:ascii="SimSun" w:hAnsi="SimSun" w:eastAsia="SimSun" w:cs="SimSun"/>
          <w:sz w:val="21"/>
          <w:szCs w:val="21"/>
        </w:rPr>
        <w:t>因为这样会导致业务的抵触。例如，没有参与其中的业务发起人 </w:t>
      </w:r>
      <w:r>
        <w:rPr>
          <w:rFonts w:ascii="SimSun" w:hAnsi="SimSun" w:eastAsia="SimSun" w:cs="SimSun"/>
          <w:sz w:val="21"/>
          <w:szCs w:val="21"/>
          <w:spacing w:val="1"/>
        </w:rPr>
        <w:t>可能并没有收到精简计划以将他们的数据存储转换到目标状态的相关信息。让所有</w:t>
      </w:r>
    </w:p>
    <w:p>
      <w:pPr>
        <w:spacing w:line="255" w:lineRule="auto"/>
        <w:sectPr>
          <w:footerReference w:type="default" r:id="rId358"/>
          <w:pgSz w:w="8870" w:h="13400"/>
          <w:pgMar w:top="400" w:right="615" w:bottom="598" w:left="364" w:header="0" w:footer="388" w:gutter="0"/>
        </w:sectPr>
        <w:rPr>
          <w:rFonts w:ascii="SimSun" w:hAnsi="SimSun" w:eastAsia="SimSun" w:cs="SimSun"/>
          <w:sz w:val="21"/>
          <w:szCs w:val="21"/>
        </w:rPr>
      </w:pPr>
    </w:p>
    <w:p>
      <w:pPr>
        <w:ind w:left="233"/>
        <w:spacing w:before="246" w:line="219" w:lineRule="auto"/>
        <w:rPr>
          <w:rFonts w:ascii="SimSun" w:hAnsi="SimSun" w:eastAsia="SimSun" w:cs="SimSun"/>
          <w:sz w:val="22"/>
          <w:szCs w:val="22"/>
        </w:rPr>
      </w:pPr>
      <w:r>
        <w:pict>
          <v:rect id="_x0000_s406" style="position:absolute;margin-left:33.502pt;margin-top:28.5018pt;mso-position-vertical-relative:page;mso-position-horizontal-relative:page;width:0.5pt;height:18pt;z-index:256451584;" o:allowincell="f" fillcolor="#000000" filled="true" stroked="false"/>
        </w:pict>
      </w:r>
      <w:r>
        <w:rPr>
          <w:rFonts w:ascii="SimSun" w:hAnsi="SimSun" w:eastAsia="SimSun" w:cs="SimSun"/>
          <w:sz w:val="22"/>
          <w:szCs w:val="22"/>
          <w:b/>
          <w:bCs/>
          <w:spacing w:val="-14"/>
        </w:rPr>
        <w:t>■云端数据治理</w:t>
      </w:r>
    </w:p>
    <w:p>
      <w:pPr>
        <w:ind w:left="229"/>
        <w:spacing w:before="310" w:line="219" w:lineRule="auto"/>
        <w:rPr>
          <w:rFonts w:ascii="SimSun" w:hAnsi="SimSun" w:eastAsia="SimSun" w:cs="SimSun"/>
          <w:sz w:val="22"/>
          <w:szCs w:val="22"/>
        </w:rPr>
      </w:pPr>
      <w:r>
        <w:rPr>
          <w:rFonts w:ascii="SimSun" w:hAnsi="SimSun" w:eastAsia="SimSun" w:cs="SimSun"/>
          <w:sz w:val="22"/>
          <w:szCs w:val="22"/>
          <w:spacing w:val="-10"/>
        </w:rPr>
        <w:t>内部利益相关方参与开发架构是采用以及维持长期支持的关键。</w:t>
      </w:r>
    </w:p>
    <w:p>
      <w:pPr>
        <w:ind w:left="229" w:right="55" w:firstLine="469"/>
        <w:spacing w:before="39" w:line="250" w:lineRule="auto"/>
        <w:jc w:val="both"/>
        <w:rPr>
          <w:rFonts w:ascii="SimSun" w:hAnsi="SimSun" w:eastAsia="SimSun" w:cs="SimSun"/>
          <w:sz w:val="22"/>
          <w:szCs w:val="22"/>
        </w:rPr>
      </w:pPr>
      <w:r>
        <w:rPr>
          <w:rFonts w:ascii="SimSun" w:hAnsi="SimSun" w:eastAsia="SimSun" w:cs="SimSun"/>
          <w:sz w:val="22"/>
          <w:szCs w:val="22"/>
          <w:spacing w:val="-7"/>
        </w:rPr>
        <w:t>我们建议使用协作的方法来开发架构。如果能</w:t>
      </w:r>
      <w:r>
        <w:rPr>
          <w:rFonts w:ascii="SimSun" w:hAnsi="SimSun" w:eastAsia="SimSun" w:cs="SimSun"/>
          <w:sz w:val="22"/>
          <w:szCs w:val="22"/>
          <w:spacing w:val="-8"/>
        </w:rPr>
        <w:t>确保集体参与，架构收益将比预</w:t>
      </w:r>
      <w:r>
        <w:rPr>
          <w:rFonts w:ascii="SimSun" w:hAnsi="SimSun" w:eastAsia="SimSun" w:cs="SimSun"/>
          <w:sz w:val="22"/>
          <w:szCs w:val="22"/>
        </w:rPr>
        <w:t xml:space="preserve"> </w:t>
      </w:r>
      <w:r>
        <w:rPr>
          <w:rFonts w:ascii="SimSun" w:hAnsi="SimSun" w:eastAsia="SimSun" w:cs="SimSun"/>
          <w:sz w:val="22"/>
          <w:szCs w:val="22"/>
          <w:spacing w:val="-8"/>
        </w:rPr>
        <w:t>期时间更长。随着转换计划的执行，有可能每个主要业务发起者所拥有的一个或多</w:t>
      </w:r>
      <w:r>
        <w:rPr>
          <w:rFonts w:ascii="SimSun" w:hAnsi="SimSun" w:eastAsia="SimSun" w:cs="SimSun"/>
          <w:sz w:val="22"/>
          <w:szCs w:val="22"/>
          <w:spacing w:val="6"/>
        </w:rPr>
        <w:t xml:space="preserve"> </w:t>
      </w:r>
      <w:r>
        <w:rPr>
          <w:rFonts w:ascii="SimSun" w:hAnsi="SimSun" w:eastAsia="SimSun" w:cs="SimSun"/>
          <w:sz w:val="22"/>
          <w:szCs w:val="22"/>
          <w:spacing w:val="-8"/>
        </w:rPr>
        <w:t>个数据储存最后都会受到影响。随着数据存储进</w:t>
      </w:r>
      <w:r>
        <w:rPr>
          <w:rFonts w:ascii="SimSun" w:hAnsi="SimSun" w:eastAsia="SimSun" w:cs="SimSun"/>
          <w:sz w:val="22"/>
          <w:szCs w:val="22"/>
          <w:spacing w:val="-9"/>
        </w:rPr>
        <w:t>行重新设计、合并或替代，意见上 </w:t>
      </w:r>
      <w:r>
        <w:rPr>
          <w:rFonts w:ascii="SimSun" w:hAnsi="SimSun" w:eastAsia="SimSun" w:cs="SimSun"/>
          <w:sz w:val="22"/>
          <w:szCs w:val="22"/>
          <w:spacing w:val="-10"/>
        </w:rPr>
        <w:t>的一致接受能推动决策的制订并减少阻碍。</w:t>
      </w:r>
    </w:p>
    <w:p>
      <w:pPr>
        <w:spacing w:line="134" w:lineRule="exact"/>
        <w:rPr/>
      </w:pPr>
      <w:r/>
    </w:p>
    <w:tbl>
      <w:tblPr>
        <w:tblStyle w:val="TableNormal"/>
        <w:tblW w:w="768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1"/>
              <w:spacing w:before="101" w:line="219" w:lineRule="auto"/>
              <w:rPr>
                <w:sz w:val="16"/>
                <w:szCs w:val="16"/>
              </w:rPr>
            </w:pPr>
            <w:r>
              <w:rPr>
                <w:sz w:val="16"/>
                <w:szCs w:val="16"/>
                <w:spacing w:val="-4"/>
              </w:rPr>
              <w:t>等 级 要 求</w:t>
            </w:r>
          </w:p>
        </w:tc>
        <w:tc>
          <w:tcPr>
            <w:tcW w:w="3780" w:type="dxa"/>
            <w:vAlign w:val="top"/>
          </w:tcPr>
          <w:p>
            <w:pPr>
              <w:pStyle w:val="TableText"/>
              <w:ind w:left="159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44" w:type="dxa"/>
            <w:vAlign w:val="top"/>
          </w:tcPr>
          <w:p>
            <w:pPr>
              <w:pStyle w:val="TableText"/>
              <w:ind w:left="244"/>
              <w:spacing w:before="261" w:line="183" w:lineRule="auto"/>
              <w:rPr>
                <w:sz w:val="16"/>
                <w:szCs w:val="16"/>
              </w:rPr>
            </w:pPr>
            <w:r>
              <w:rPr>
                <w:sz w:val="16"/>
                <w:szCs w:val="16"/>
                <w:spacing w:val="-3"/>
              </w:rPr>
              <w:t>3.4</w:t>
            </w:r>
          </w:p>
        </w:tc>
        <w:tc>
          <w:tcPr>
            <w:tcW w:w="3156" w:type="dxa"/>
            <w:vAlign w:val="top"/>
          </w:tcPr>
          <w:p>
            <w:pPr>
              <w:pStyle w:val="TableText"/>
              <w:ind w:left="101" w:firstLine="168"/>
              <w:spacing w:before="98" w:line="267" w:lineRule="auto"/>
              <w:rPr>
                <w:sz w:val="16"/>
                <w:szCs w:val="16"/>
              </w:rPr>
            </w:pPr>
            <w:r>
              <w:rPr>
                <w:sz w:val="16"/>
                <w:szCs w:val="16"/>
                <w:spacing w:val="-1"/>
              </w:rPr>
              <w:t>组织创建并维护度量项以评估状态转换的</w:t>
            </w:r>
            <w:r>
              <w:rPr>
                <w:sz w:val="16"/>
                <w:szCs w:val="16"/>
                <w:spacing w:val="13"/>
              </w:rPr>
              <w:t xml:space="preserve"> </w:t>
            </w:r>
            <w:r>
              <w:rPr>
                <w:sz w:val="16"/>
                <w:szCs w:val="16"/>
                <w:spacing w:val="-2"/>
              </w:rPr>
              <w:t>进度</w:t>
            </w:r>
          </w:p>
        </w:tc>
        <w:tc>
          <w:tcPr>
            <w:tcW w:w="3780" w:type="dxa"/>
            <w:vAlign w:val="top"/>
          </w:tcPr>
          <w:p>
            <w:pPr>
              <w:pStyle w:val="TableText"/>
              <w:ind w:left="285"/>
              <w:spacing w:before="221" w:line="220" w:lineRule="auto"/>
              <w:rPr>
                <w:sz w:val="16"/>
                <w:szCs w:val="16"/>
              </w:rPr>
            </w:pPr>
            <w:r>
              <w:rPr>
                <w:sz w:val="16"/>
                <w:szCs w:val="16"/>
              </w:rPr>
              <w:t>●架构转换度量项及指标</w:t>
            </w:r>
          </w:p>
        </w:tc>
      </w:tr>
    </w:tbl>
    <w:p>
      <w:pPr>
        <w:ind w:left="589"/>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48" w:firstLine="469"/>
        <w:spacing w:before="49" w:line="252" w:lineRule="auto"/>
        <w:rPr>
          <w:rFonts w:ascii="SimSun" w:hAnsi="SimSun" w:eastAsia="SimSun" w:cs="SimSun"/>
          <w:sz w:val="22"/>
          <w:szCs w:val="22"/>
        </w:rPr>
      </w:pPr>
      <w:r>
        <w:rPr>
          <w:rFonts w:ascii="SimSun" w:hAnsi="SimSun" w:eastAsia="SimSun" w:cs="SimSun"/>
          <w:sz w:val="22"/>
          <w:szCs w:val="22"/>
          <w:spacing w:val="-7"/>
        </w:rPr>
        <w:t>架构转换的度量项使主要项目在里程碑成果的汇报上能准确展</w:t>
      </w:r>
      <w:r>
        <w:rPr>
          <w:rFonts w:ascii="SimSun" w:hAnsi="SimSun" w:eastAsia="SimSun" w:cs="SimSun"/>
          <w:sz w:val="22"/>
          <w:szCs w:val="22"/>
          <w:spacing w:val="-8"/>
        </w:rPr>
        <w:t>示架构采用上的</w:t>
      </w:r>
      <w:r>
        <w:rPr>
          <w:rFonts w:ascii="SimSun" w:hAnsi="SimSun" w:eastAsia="SimSun" w:cs="SimSun"/>
          <w:sz w:val="22"/>
          <w:szCs w:val="22"/>
        </w:rPr>
        <w:t xml:space="preserve"> </w:t>
      </w:r>
      <w:r>
        <w:rPr>
          <w:rFonts w:ascii="SimSun" w:hAnsi="SimSun" w:eastAsia="SimSun" w:cs="SimSun"/>
          <w:sz w:val="22"/>
          <w:szCs w:val="22"/>
          <w:spacing w:val="-8"/>
        </w:rPr>
        <w:t>进度，并强调从新组件和已修正组件中实现的能力改进。例如，</w:t>
      </w:r>
      <w:r>
        <w:rPr>
          <w:rFonts w:ascii="SimSun" w:hAnsi="SimSun" w:eastAsia="SimSun" w:cs="SimSun"/>
          <w:sz w:val="22"/>
          <w:szCs w:val="22"/>
          <w:spacing w:val="-9"/>
        </w:rPr>
        <w:t>关于改进的业务反 </w:t>
      </w:r>
      <w:r>
        <w:rPr>
          <w:rFonts w:ascii="SimSun" w:hAnsi="SimSun" w:eastAsia="SimSun" w:cs="SimSun"/>
          <w:sz w:val="22"/>
          <w:szCs w:val="22"/>
          <w:spacing w:val="-8"/>
        </w:rPr>
        <w:t>馈能够以数据信心指数的方式进行表示，这个指数与目标架构达成业务目标的情况</w:t>
      </w:r>
      <w:r>
        <w:rPr>
          <w:rFonts w:ascii="SimSun" w:hAnsi="SimSun" w:eastAsia="SimSun" w:cs="SimSun"/>
          <w:sz w:val="22"/>
          <w:szCs w:val="22"/>
          <w:spacing w:val="16"/>
        </w:rPr>
        <w:t xml:space="preserve"> </w:t>
      </w:r>
      <w:r>
        <w:rPr>
          <w:rFonts w:ascii="SimSun" w:hAnsi="SimSun" w:eastAsia="SimSun" w:cs="SimSun"/>
          <w:sz w:val="22"/>
          <w:szCs w:val="22"/>
          <w:spacing w:val="-8"/>
        </w:rPr>
        <w:t>成正相关。制订并监督可追溯图以评估开展的实施满足业务需求</w:t>
      </w:r>
      <w:r>
        <w:rPr>
          <w:rFonts w:ascii="SimSun" w:hAnsi="SimSun" w:eastAsia="SimSun" w:cs="SimSun"/>
          <w:sz w:val="22"/>
          <w:szCs w:val="22"/>
          <w:spacing w:val="-9"/>
        </w:rPr>
        <w:t>的程度，并确认现 </w:t>
      </w:r>
      <w:r>
        <w:rPr>
          <w:rFonts w:ascii="SimSun" w:hAnsi="SimSun" w:eastAsia="SimSun" w:cs="SimSun"/>
          <w:sz w:val="22"/>
          <w:szCs w:val="22"/>
          <w:spacing w:val="-12"/>
        </w:rPr>
        <w:t>有数据源按计划进行了成功的转换。</w:t>
      </w:r>
    </w:p>
    <w:p>
      <w:pPr>
        <w:spacing w:line="135" w:lineRule="exact"/>
        <w:rPr/>
      </w:pPr>
      <w:r/>
    </w:p>
    <w:tbl>
      <w:tblPr>
        <w:tblStyle w:val="TableNormal"/>
        <w:tblW w:w="766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5"/>
        <w:gridCol w:w="3760"/>
      </w:tblGrid>
      <w:tr>
        <w:trPr>
          <w:trHeight w:val="352" w:hRule="atLeast"/>
        </w:trPr>
        <w:tc>
          <w:tcPr>
            <w:tcW w:w="754" w:type="dxa"/>
            <w:vAlign w:val="top"/>
          </w:tcPr>
          <w:p>
            <w:pPr>
              <w:pStyle w:val="TableText"/>
              <w:ind w:left="214"/>
              <w:spacing w:before="102" w:line="221" w:lineRule="auto"/>
              <w:rPr/>
            </w:pPr>
            <w:r>
              <w:rPr>
                <w:spacing w:val="-2"/>
              </w:rPr>
              <w:t>序号</w:t>
            </w:r>
          </w:p>
        </w:tc>
        <w:tc>
          <w:tcPr>
            <w:tcW w:w="3155" w:type="dxa"/>
            <w:vAlign w:val="top"/>
          </w:tcPr>
          <w:p>
            <w:pPr>
              <w:pStyle w:val="TableText"/>
              <w:ind w:left="1160"/>
              <w:spacing w:before="101" w:line="219" w:lineRule="auto"/>
              <w:rPr/>
            </w:pPr>
            <w:r>
              <w:rPr>
                <w:spacing w:val="-6"/>
              </w:rPr>
              <w:t>等</w:t>
            </w:r>
            <w:r>
              <w:rPr>
                <w:spacing w:val="12"/>
              </w:rPr>
              <w:t xml:space="preserve"> </w:t>
            </w:r>
            <w:r>
              <w:rPr>
                <w:spacing w:val="-6"/>
              </w:rPr>
              <w:t>级</w:t>
            </w:r>
            <w:r>
              <w:rPr>
                <w:spacing w:val="10"/>
              </w:rPr>
              <w:t xml:space="preserve"> </w:t>
            </w:r>
            <w:r>
              <w:rPr>
                <w:spacing w:val="-6"/>
              </w:rPr>
              <w:t>要</w:t>
            </w:r>
            <w:r>
              <w:rPr>
                <w:spacing w:val="10"/>
              </w:rPr>
              <w:t xml:space="preserve"> </w:t>
            </w:r>
            <w:r>
              <w:rPr>
                <w:spacing w:val="-6"/>
              </w:rPr>
              <w:t>求</w:t>
            </w:r>
          </w:p>
        </w:tc>
        <w:tc>
          <w:tcPr>
            <w:tcW w:w="3760" w:type="dxa"/>
            <w:vAlign w:val="top"/>
          </w:tcPr>
          <w:p>
            <w:pPr>
              <w:pStyle w:val="TableText"/>
              <w:ind w:left="1586"/>
              <w:spacing w:before="101" w:line="220" w:lineRule="auto"/>
              <w:rPr/>
            </w:pPr>
            <w:r>
              <w:rPr>
                <w:spacing w:val="-5"/>
              </w:rPr>
              <w:t>实</w:t>
            </w:r>
            <w:r>
              <w:rPr>
                <w:spacing w:val="1"/>
              </w:rPr>
              <w:t xml:space="preserve">   </w:t>
            </w:r>
            <w:r>
              <w:rPr>
                <w:spacing w:val="-5"/>
              </w:rPr>
              <w:t>例</w:t>
            </w:r>
          </w:p>
        </w:tc>
      </w:tr>
      <w:tr>
        <w:trPr>
          <w:trHeight w:val="868" w:hRule="atLeast"/>
        </w:trPr>
        <w:tc>
          <w:tcPr>
            <w:tcW w:w="754" w:type="dxa"/>
            <w:vAlign w:val="top"/>
          </w:tcPr>
          <w:p>
            <w:pPr>
              <w:spacing w:line="347" w:lineRule="auto"/>
              <w:rPr>
                <w:rFonts w:ascii="Arial"/>
                <w:sz w:val="21"/>
              </w:rPr>
            </w:pPr>
            <w:r/>
          </w:p>
          <w:p>
            <w:pPr>
              <w:pStyle w:val="TableText"/>
              <w:ind w:left="254"/>
              <w:spacing w:before="48" w:line="183" w:lineRule="auto"/>
              <w:rPr/>
            </w:pPr>
            <w:r>
              <w:rPr>
                <w:spacing w:val="-2"/>
              </w:rPr>
              <w:t>3.5</w:t>
            </w:r>
          </w:p>
        </w:tc>
        <w:tc>
          <w:tcPr>
            <w:tcW w:w="3155" w:type="dxa"/>
            <w:vAlign w:val="top"/>
          </w:tcPr>
          <w:p>
            <w:pPr>
              <w:pStyle w:val="TableText"/>
              <w:ind w:left="291"/>
              <w:spacing w:before="99" w:line="219" w:lineRule="auto"/>
              <w:rPr/>
            </w:pPr>
            <w:r>
              <w:rPr>
                <w:spacing w:val="-1"/>
              </w:rPr>
              <w:t>对内部和经选择的外部数据标准进行评</w:t>
            </w:r>
          </w:p>
          <w:p>
            <w:pPr>
              <w:pStyle w:val="TableText"/>
              <w:ind w:left="110" w:right="159" w:firstLine="30"/>
              <w:spacing w:before="100" w:line="278" w:lineRule="auto"/>
              <w:rPr/>
            </w:pPr>
            <w:r>
              <w:rPr>
                <w:spacing w:val="-1"/>
              </w:rPr>
              <w:t>估，并将它们应用于架构蓝图的制订和组件</w:t>
            </w:r>
            <w:r>
              <w:rPr>
                <w:spacing w:val="12"/>
              </w:rPr>
              <w:t xml:space="preserve"> </w:t>
            </w:r>
            <w:r>
              <w:rPr>
                <w:spacing w:val="1"/>
              </w:rPr>
              <w:t>的设计上</w:t>
            </w:r>
          </w:p>
        </w:tc>
        <w:tc>
          <w:tcPr>
            <w:tcW w:w="3760" w:type="dxa"/>
            <w:vAlign w:val="top"/>
          </w:tcPr>
          <w:p>
            <w:pPr>
              <w:pStyle w:val="TableText"/>
              <w:ind w:left="265"/>
              <w:spacing w:before="237" w:line="218" w:lineRule="auto"/>
              <w:rPr/>
            </w:pPr>
            <w:r>
              <w:rPr/>
              <w:t>●外部数据标准评估报告</w:t>
            </w:r>
          </w:p>
          <w:p>
            <w:pPr>
              <w:pStyle w:val="TableText"/>
              <w:ind w:left="265"/>
              <w:spacing w:before="104" w:line="219" w:lineRule="auto"/>
              <w:rPr/>
            </w:pPr>
            <w:r>
              <w:rPr/>
              <w:t>●外部数据标准应用建议</w:t>
            </w:r>
          </w:p>
        </w:tc>
      </w:tr>
    </w:tbl>
    <w:p>
      <w:pPr>
        <w:ind w:left="58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75" w:firstLine="469"/>
        <w:spacing w:before="61" w:line="253" w:lineRule="auto"/>
        <w:rPr>
          <w:rFonts w:ascii="SimSun" w:hAnsi="SimSun" w:eastAsia="SimSun" w:cs="SimSun"/>
          <w:sz w:val="22"/>
          <w:szCs w:val="22"/>
        </w:rPr>
      </w:pPr>
      <w:r>
        <w:rPr>
          <w:rFonts w:ascii="SimSun" w:hAnsi="SimSun" w:eastAsia="SimSun" w:cs="SimSun"/>
          <w:sz w:val="22"/>
          <w:szCs w:val="22"/>
          <w:spacing w:val="-8"/>
        </w:rPr>
        <w:t>尽管转换到目标数据层是一项长期的活动，但只要在一开始的时候遵守标准就</w:t>
      </w:r>
      <w:r>
        <w:rPr>
          <w:rFonts w:ascii="SimSun" w:hAnsi="SimSun" w:eastAsia="SimSun" w:cs="SimSun"/>
          <w:sz w:val="22"/>
          <w:szCs w:val="22"/>
          <w:spacing w:val="1"/>
        </w:rPr>
        <w:t xml:space="preserve"> </w:t>
      </w:r>
      <w:r>
        <w:rPr>
          <w:rFonts w:ascii="SimSun" w:hAnsi="SimSun" w:eastAsia="SimSun" w:cs="SimSun"/>
          <w:sz w:val="22"/>
          <w:szCs w:val="22"/>
          <w:spacing w:val="-5"/>
        </w:rPr>
        <w:t>能够防止返工并避免其带来的成本消耗。在许多组织里，数据标准和数据模型(例</w:t>
      </w:r>
      <w:r>
        <w:rPr>
          <w:rFonts w:ascii="SimSun" w:hAnsi="SimSun" w:eastAsia="SimSun" w:cs="SimSun"/>
          <w:sz w:val="22"/>
          <w:szCs w:val="22"/>
          <w:spacing w:val="6"/>
        </w:rPr>
        <w:t xml:space="preserve"> </w:t>
      </w:r>
      <w:r>
        <w:rPr>
          <w:rFonts w:ascii="SimSun" w:hAnsi="SimSun" w:eastAsia="SimSun" w:cs="SimSun"/>
          <w:sz w:val="22"/>
          <w:szCs w:val="22"/>
          <w:spacing w:val="-5"/>
        </w:rPr>
        <w:t>如，企业数据模型、共享的存储数据模型等)是已经存在的，且属于目标数据架构</w:t>
      </w:r>
      <w:r>
        <w:rPr>
          <w:rFonts w:ascii="SimSun" w:hAnsi="SimSun" w:eastAsia="SimSun" w:cs="SimSun"/>
          <w:sz w:val="22"/>
          <w:szCs w:val="22"/>
          <w:spacing w:val="3"/>
        </w:rPr>
        <w:t xml:space="preserve"> </w:t>
      </w:r>
      <w:r>
        <w:rPr>
          <w:rFonts w:ascii="SimSun" w:hAnsi="SimSun" w:eastAsia="SimSun" w:cs="SimSun"/>
          <w:sz w:val="22"/>
          <w:szCs w:val="22"/>
          <w:spacing w:val="-8"/>
        </w:rPr>
        <w:t>开发前的符合性过程的一部分。如果这些构件不存在、不完整或没有被遵循，那么</w:t>
      </w:r>
      <w:r>
        <w:rPr>
          <w:rFonts w:ascii="SimSun" w:hAnsi="SimSun" w:eastAsia="SimSun" w:cs="SimSun"/>
          <w:sz w:val="22"/>
          <w:szCs w:val="22"/>
          <w:spacing w:val="15"/>
        </w:rPr>
        <w:t xml:space="preserve"> </w:t>
      </w:r>
      <w:r>
        <w:rPr>
          <w:rFonts w:ascii="SimSun" w:hAnsi="SimSun" w:eastAsia="SimSun" w:cs="SimSun"/>
          <w:sz w:val="22"/>
          <w:szCs w:val="22"/>
          <w:spacing w:val="-9"/>
        </w:rPr>
        <w:t>目标数据层的构建工作刚好提供一个机会去创建这些构件并制订符合性过程。不断 </w:t>
      </w:r>
      <w:r>
        <w:rPr>
          <w:rFonts w:ascii="SimSun" w:hAnsi="SimSun" w:eastAsia="SimSun" w:cs="SimSun"/>
          <w:sz w:val="22"/>
          <w:szCs w:val="22"/>
          <w:spacing w:val="-9"/>
        </w:rPr>
        <w:t>发展的技术能力以及行业内的交流创造了对新标准的需求。</w:t>
      </w:r>
    </w:p>
    <w:p>
      <w:pPr>
        <w:spacing w:line="125" w:lineRule="exact"/>
        <w:rPr/>
      </w:pPr>
      <w:r/>
    </w:p>
    <w:tbl>
      <w:tblPr>
        <w:tblStyle w:val="TableNormal"/>
        <w:tblW w:w="766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5"/>
        <w:gridCol w:w="3750"/>
      </w:tblGrid>
      <w:tr>
        <w:trPr>
          <w:trHeight w:val="351" w:hRule="atLeast"/>
        </w:trPr>
        <w:tc>
          <w:tcPr>
            <w:tcW w:w="754" w:type="dxa"/>
            <w:vAlign w:val="top"/>
          </w:tcPr>
          <w:p>
            <w:pPr>
              <w:pStyle w:val="TableText"/>
              <w:ind w:left="214"/>
              <w:spacing w:before="102" w:line="221" w:lineRule="auto"/>
              <w:rPr/>
            </w:pPr>
            <w:r>
              <w:rPr>
                <w:spacing w:val="-2"/>
              </w:rPr>
              <w:t>序号</w:t>
            </w:r>
          </w:p>
        </w:tc>
        <w:tc>
          <w:tcPr>
            <w:tcW w:w="3165" w:type="dxa"/>
            <w:vAlign w:val="top"/>
          </w:tcPr>
          <w:p>
            <w:pPr>
              <w:pStyle w:val="TableText"/>
              <w:ind w:left="117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55"/>
              <w:spacing w:before="101" w:line="220" w:lineRule="auto"/>
              <w:rPr/>
            </w:pPr>
            <w:r>
              <w:rPr>
                <w:spacing w:val="-5"/>
              </w:rPr>
              <w:t>实</w:t>
            </w:r>
            <w:r>
              <w:rPr>
                <w:spacing w:val="6"/>
              </w:rPr>
              <w:t xml:space="preserve">    </w:t>
            </w:r>
            <w:r>
              <w:rPr>
                <w:spacing w:val="-5"/>
              </w:rPr>
              <w:t>例</w:t>
            </w:r>
          </w:p>
        </w:tc>
      </w:tr>
      <w:tr>
        <w:trPr>
          <w:trHeight w:val="599" w:hRule="atLeast"/>
        </w:trPr>
        <w:tc>
          <w:tcPr>
            <w:tcW w:w="754" w:type="dxa"/>
            <w:vAlign w:val="top"/>
          </w:tcPr>
          <w:p>
            <w:pPr>
              <w:pStyle w:val="TableText"/>
              <w:ind w:left="254"/>
              <w:spacing w:before="268" w:line="183" w:lineRule="auto"/>
              <w:rPr/>
            </w:pPr>
            <w:r>
              <w:rPr>
                <w:spacing w:val="-2"/>
              </w:rPr>
              <w:t>3.6</w:t>
            </w:r>
          </w:p>
        </w:tc>
        <w:tc>
          <w:tcPr>
            <w:tcW w:w="3165" w:type="dxa"/>
            <w:vAlign w:val="top"/>
          </w:tcPr>
          <w:p>
            <w:pPr>
              <w:pStyle w:val="TableText"/>
              <w:ind w:left="110" w:right="200" w:firstLine="149"/>
              <w:spacing w:before="100" w:line="276" w:lineRule="auto"/>
              <w:rPr/>
            </w:pPr>
            <w:r>
              <w:rPr>
                <w:spacing w:val="-1"/>
              </w:rPr>
              <w:t>架构、技术需求与支持性的基础设施能力</w:t>
            </w:r>
            <w:r>
              <w:rPr>
                <w:spacing w:val="10"/>
              </w:rPr>
              <w:t xml:space="preserve"> </w:t>
            </w:r>
            <w:r>
              <w:rPr>
                <w:spacing w:val="-3"/>
              </w:rPr>
              <w:t>是一致的</w:t>
            </w:r>
          </w:p>
        </w:tc>
        <w:tc>
          <w:tcPr>
            <w:tcW w:w="3750" w:type="dxa"/>
            <w:vAlign w:val="top"/>
          </w:tcPr>
          <w:p>
            <w:pPr>
              <w:pStyle w:val="TableText"/>
              <w:ind w:left="255"/>
              <w:spacing w:before="230" w:line="219" w:lineRule="auto"/>
              <w:rPr/>
            </w:pPr>
            <w:r>
              <w:rPr/>
              <w:t>●云端数据基础设施需求列表</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77" w:firstLine="469"/>
        <w:spacing w:before="48" w:line="250" w:lineRule="auto"/>
        <w:rPr>
          <w:rFonts w:ascii="SimSun" w:hAnsi="SimSun" w:eastAsia="SimSun" w:cs="SimSun"/>
          <w:sz w:val="22"/>
          <w:szCs w:val="22"/>
        </w:rPr>
      </w:pPr>
      <w:r>
        <w:rPr>
          <w:rFonts w:ascii="SimSun" w:hAnsi="SimSun" w:eastAsia="SimSun" w:cs="SimSun"/>
          <w:sz w:val="22"/>
          <w:szCs w:val="22"/>
          <w:spacing w:val="-8"/>
        </w:rPr>
        <w:t>架构设计应当与组织预期的目标基础设施相符。组织可能已有一个合适的</w:t>
      </w:r>
      <w:r>
        <w:rPr>
          <w:rFonts w:ascii="SimSun" w:hAnsi="SimSun" w:eastAsia="SimSun" w:cs="SimSun"/>
          <w:sz w:val="22"/>
          <w:szCs w:val="22"/>
          <w:spacing w:val="-9"/>
        </w:rPr>
        <w:t>企业</w:t>
      </w:r>
      <w:r>
        <w:rPr>
          <w:rFonts w:ascii="SimSun" w:hAnsi="SimSun" w:eastAsia="SimSun" w:cs="SimSun"/>
          <w:sz w:val="22"/>
          <w:szCs w:val="22"/>
        </w:rPr>
        <w:t xml:space="preserve"> </w:t>
      </w:r>
      <w:r>
        <w:rPr>
          <w:rFonts w:ascii="SimSun" w:hAnsi="SimSun" w:eastAsia="SimSun" w:cs="SimSun"/>
          <w:sz w:val="22"/>
          <w:szCs w:val="22"/>
          <w:spacing w:val="-8"/>
        </w:rPr>
        <w:t>架构、关于平台和技术的决策以及对相应的产品进行审批。如果缺乏这些，</w:t>
      </w:r>
      <w:r>
        <w:rPr>
          <w:rFonts w:ascii="SimSun" w:hAnsi="SimSun" w:eastAsia="SimSun" w:cs="SimSun"/>
          <w:sz w:val="22"/>
          <w:szCs w:val="22"/>
          <w:spacing w:val="-9"/>
        </w:rPr>
        <w:t>恰好为</w:t>
      </w:r>
      <w:r>
        <w:rPr>
          <w:rFonts w:ascii="SimSun" w:hAnsi="SimSun" w:eastAsia="SimSun" w:cs="SimSun"/>
          <w:sz w:val="22"/>
          <w:szCs w:val="22"/>
        </w:rPr>
        <w:t xml:space="preserve"> </w:t>
      </w:r>
      <w:r>
        <w:rPr>
          <w:rFonts w:ascii="SimSun" w:hAnsi="SimSun" w:eastAsia="SimSun" w:cs="SimSun"/>
          <w:sz w:val="22"/>
          <w:szCs w:val="22"/>
          <w:spacing w:val="-8"/>
        </w:rPr>
        <w:t>开发数据层架构方法的工作提供了一个机会，以进一步推动组织层面在</w:t>
      </w:r>
      <w:r>
        <w:rPr>
          <w:rFonts w:ascii="SimSun" w:hAnsi="SimSun" w:eastAsia="SimSun" w:cs="SimSun"/>
          <w:sz w:val="22"/>
          <w:szCs w:val="22"/>
          <w:spacing w:val="-9"/>
        </w:rPr>
        <w:t>这方面的进</w:t>
      </w:r>
      <w:r>
        <w:rPr>
          <w:rFonts w:ascii="SimSun" w:hAnsi="SimSun" w:eastAsia="SimSun" w:cs="SimSun"/>
          <w:sz w:val="22"/>
          <w:szCs w:val="22"/>
        </w:rPr>
        <w:t xml:space="preserve"> </w:t>
      </w:r>
      <w:r>
        <w:rPr>
          <w:rFonts w:ascii="SimSun" w:hAnsi="SimSun" w:eastAsia="SimSun" w:cs="SimSun"/>
          <w:sz w:val="22"/>
          <w:szCs w:val="22"/>
          <w:spacing w:val="-8"/>
        </w:rPr>
        <w:t>度。组织需要决定如何管理数据迁移、数据集成、数据质量和数据安全，以达到在</w:t>
      </w:r>
    </w:p>
    <w:p>
      <w:pPr>
        <w:spacing w:line="250" w:lineRule="auto"/>
        <w:sectPr>
          <w:footerReference w:type="default" r:id="rId359"/>
          <w:pgSz w:w="8870" w:h="13400"/>
          <w:pgMar w:top="400" w:right="334" w:bottom="545" w:left="550" w:header="0" w:footer="326" w:gutter="0"/>
        </w:sectPr>
        <w:rPr>
          <w:rFonts w:ascii="SimSun" w:hAnsi="SimSun" w:eastAsia="SimSun" w:cs="SimSun"/>
          <w:sz w:val="22"/>
          <w:szCs w:val="22"/>
        </w:rPr>
      </w:pPr>
    </w:p>
    <w:p>
      <w:pPr>
        <w:ind w:left="5517"/>
        <w:spacing w:before="244" w:line="219" w:lineRule="auto"/>
        <w:rPr>
          <w:rFonts w:ascii="SimSun" w:hAnsi="SimSun" w:eastAsia="SimSun" w:cs="SimSun"/>
          <w:sz w:val="21"/>
          <w:szCs w:val="21"/>
        </w:rPr>
      </w:pPr>
      <w:r>
        <w:rPr>
          <w:rFonts w:ascii="SimSun" w:hAnsi="SimSun" w:eastAsia="SimSun" w:cs="SimSun"/>
          <w:sz w:val="21"/>
          <w:szCs w:val="21"/>
          <w:b/>
          <w:bCs/>
          <w:spacing w:val="17"/>
        </w:rPr>
        <w:t>第8章■云端数据架构</w:t>
      </w:r>
    </w:p>
    <w:p>
      <w:pPr>
        <w:pStyle w:val="BodyText"/>
        <w:spacing w:line="245" w:lineRule="auto"/>
        <w:rPr/>
      </w:pPr>
      <w:r/>
    </w:p>
    <w:p>
      <w:pPr>
        <w:ind w:left="14"/>
        <w:spacing w:before="68" w:line="219" w:lineRule="auto"/>
        <w:rPr>
          <w:rFonts w:ascii="SimSun" w:hAnsi="SimSun" w:eastAsia="SimSun" w:cs="SimSun"/>
          <w:sz w:val="21"/>
          <w:szCs w:val="21"/>
        </w:rPr>
      </w:pPr>
      <w:r>
        <w:rPr>
          <w:rFonts w:ascii="SimSun" w:hAnsi="SimSun" w:eastAsia="SimSun" w:cs="SimSun"/>
          <w:sz w:val="21"/>
          <w:szCs w:val="21"/>
          <w:spacing w:val="-3"/>
        </w:rPr>
        <w:t>可扩展性、性能、可靠性等方面的目标。</w:t>
      </w:r>
    </w:p>
    <w:p>
      <w:pPr>
        <w:spacing w:line="127" w:lineRule="exact"/>
        <w:rPr/>
      </w:pPr>
      <w:r/>
    </w:p>
    <w:tbl>
      <w:tblPr>
        <w:tblStyle w:val="TableNormal"/>
        <w:tblW w:w="76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0" w:hRule="atLeast"/>
        </w:trPr>
        <w:tc>
          <w:tcPr>
            <w:tcW w:w="744" w:type="dxa"/>
            <w:vAlign w:val="top"/>
          </w:tcPr>
          <w:p>
            <w:pPr>
              <w:pStyle w:val="TableText"/>
              <w:ind w:left="204"/>
              <w:spacing w:before="92" w:line="221" w:lineRule="auto"/>
              <w:rPr>
                <w:sz w:val="16"/>
                <w:szCs w:val="16"/>
              </w:rPr>
            </w:pPr>
            <w:r>
              <w:rPr>
                <w:sz w:val="16"/>
                <w:szCs w:val="16"/>
                <w:spacing w:val="-2"/>
              </w:rPr>
              <w:t>序号</w:t>
            </w:r>
          </w:p>
        </w:tc>
        <w:tc>
          <w:tcPr>
            <w:tcW w:w="3156" w:type="dxa"/>
            <w:vAlign w:val="top"/>
          </w:tcPr>
          <w:p>
            <w:pPr>
              <w:pStyle w:val="TableText"/>
              <w:ind w:left="1170"/>
              <w:spacing w:before="91" w:line="219" w:lineRule="auto"/>
              <w:rPr>
                <w:sz w:val="16"/>
                <w:szCs w:val="16"/>
              </w:rPr>
            </w:pPr>
            <w:r>
              <w:rPr>
                <w:sz w:val="16"/>
                <w:szCs w:val="16"/>
                <w:spacing w:val="-6"/>
              </w:rPr>
              <w:t>等 级</w:t>
            </w:r>
            <w:r>
              <w:rPr>
                <w:sz w:val="16"/>
                <w:szCs w:val="16"/>
                <w:spacing w:val="-9"/>
              </w:rPr>
              <w:t xml:space="preserve"> </w:t>
            </w:r>
            <w:r>
              <w:rPr>
                <w:sz w:val="16"/>
                <w:szCs w:val="16"/>
                <w:spacing w:val="-6"/>
              </w:rPr>
              <w:t>要</w:t>
            </w:r>
            <w:r>
              <w:rPr>
                <w:sz w:val="16"/>
                <w:szCs w:val="16"/>
                <w:spacing w:val="-7"/>
              </w:rPr>
              <w:t xml:space="preserve"> </w:t>
            </w:r>
            <w:r>
              <w:rPr>
                <w:sz w:val="16"/>
                <w:szCs w:val="16"/>
                <w:spacing w:val="-6"/>
              </w:rPr>
              <w:t>求</w:t>
            </w:r>
          </w:p>
        </w:tc>
        <w:tc>
          <w:tcPr>
            <w:tcW w:w="3780" w:type="dxa"/>
            <w:vAlign w:val="top"/>
          </w:tcPr>
          <w:p>
            <w:pPr>
              <w:pStyle w:val="TableText"/>
              <w:ind w:left="1584"/>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49" w:hRule="atLeast"/>
        </w:trPr>
        <w:tc>
          <w:tcPr>
            <w:tcW w:w="744" w:type="dxa"/>
            <w:vAlign w:val="top"/>
          </w:tcPr>
          <w:p>
            <w:pPr>
              <w:pStyle w:val="TableText"/>
              <w:ind w:left="244"/>
              <w:spacing w:before="142" w:line="183" w:lineRule="auto"/>
              <w:rPr>
                <w:sz w:val="16"/>
                <w:szCs w:val="16"/>
              </w:rPr>
            </w:pPr>
            <w:r>
              <w:rPr>
                <w:sz w:val="16"/>
                <w:szCs w:val="16"/>
                <w:spacing w:val="-3"/>
              </w:rPr>
              <w:t>3.7</w:t>
            </w:r>
          </w:p>
        </w:tc>
        <w:tc>
          <w:tcPr>
            <w:tcW w:w="3156" w:type="dxa"/>
            <w:vAlign w:val="top"/>
          </w:tcPr>
          <w:p>
            <w:pPr>
              <w:pStyle w:val="TableText"/>
              <w:ind w:left="260"/>
              <w:spacing w:before="101" w:line="219" w:lineRule="auto"/>
              <w:rPr>
                <w:sz w:val="16"/>
                <w:szCs w:val="16"/>
              </w:rPr>
            </w:pPr>
            <w:r>
              <w:rPr>
                <w:sz w:val="16"/>
                <w:szCs w:val="16"/>
                <w:spacing w:val="-1"/>
              </w:rPr>
              <w:t>架构包含公用接口设计</w:t>
            </w:r>
          </w:p>
        </w:tc>
        <w:tc>
          <w:tcPr>
            <w:tcW w:w="3780" w:type="dxa"/>
            <w:vAlign w:val="top"/>
          </w:tcPr>
          <w:p>
            <w:pPr>
              <w:pStyle w:val="TableText"/>
              <w:ind w:left="264"/>
              <w:spacing w:before="102" w:line="221" w:lineRule="auto"/>
              <w:rPr>
                <w:sz w:val="16"/>
                <w:szCs w:val="16"/>
              </w:rPr>
            </w:pPr>
            <w:r>
              <w:rPr>
                <w:sz w:val="16"/>
                <w:szCs w:val="16"/>
                <w:spacing w:val="1"/>
              </w:rPr>
              <w:t>●公用接口设计规范</w:t>
            </w:r>
          </w:p>
        </w:tc>
      </w:tr>
    </w:tbl>
    <w:p>
      <w:pPr>
        <w:ind w:left="339"/>
        <w:spacing w:before="213" w:line="219" w:lineRule="auto"/>
        <w:rPr>
          <w:rFonts w:ascii="SimSun" w:hAnsi="SimSun" w:eastAsia="SimSun" w:cs="SimSun"/>
          <w:sz w:val="21"/>
          <w:szCs w:val="21"/>
        </w:rPr>
      </w:pPr>
      <w:r>
        <w:rPr>
          <w:rFonts w:ascii="SimSun" w:hAnsi="SimSun" w:eastAsia="SimSun" w:cs="SimSun"/>
          <w:sz w:val="21"/>
          <w:szCs w:val="21"/>
        </w:rPr>
        <w:t>【成熟度等级说明】</w:t>
      </w:r>
    </w:p>
    <w:p>
      <w:pPr>
        <w:ind w:left="14" w:right="206" w:firstLine="430"/>
        <w:spacing w:before="48" w:line="262" w:lineRule="auto"/>
        <w:rPr>
          <w:rFonts w:ascii="SimSun" w:hAnsi="SimSun" w:eastAsia="SimSun" w:cs="SimSun"/>
          <w:sz w:val="21"/>
          <w:szCs w:val="21"/>
        </w:rPr>
      </w:pPr>
      <w:r>
        <w:rPr>
          <w:rFonts w:ascii="SimSun" w:hAnsi="SimSun" w:eastAsia="SimSun" w:cs="SimSun"/>
          <w:sz w:val="21"/>
          <w:szCs w:val="21"/>
          <w:spacing w:val="2"/>
        </w:rPr>
        <w:t>一些组织体验过在数十年里因接口增加而带来的高复杂性和成本负担。为现有</w:t>
      </w:r>
      <w:r>
        <w:rPr>
          <w:rFonts w:ascii="SimSun" w:hAnsi="SimSun" w:eastAsia="SimSun" w:cs="SimSun"/>
          <w:sz w:val="21"/>
          <w:szCs w:val="21"/>
          <w:spacing w:val="1"/>
        </w:rPr>
        <w:t xml:space="preserve"> </w:t>
      </w:r>
      <w:r>
        <w:rPr>
          <w:rFonts w:ascii="SimSun" w:hAnsi="SimSun" w:eastAsia="SimSun" w:cs="SimSun"/>
          <w:sz w:val="21"/>
          <w:szCs w:val="21"/>
          <w:spacing w:val="3"/>
        </w:rPr>
        <w:t>接口的总体维护费用统计出一个准确的数字是十分困难的，但对一些典型的情况进</w:t>
      </w:r>
      <w:r>
        <w:rPr>
          <w:rFonts w:ascii="SimSun" w:hAnsi="SimSun" w:eastAsia="SimSun" w:cs="SimSun"/>
          <w:sz w:val="21"/>
          <w:szCs w:val="21"/>
        </w:rPr>
        <w:t xml:space="preserve"> </w:t>
      </w:r>
      <w:r>
        <w:rPr>
          <w:rFonts w:ascii="SimSun" w:hAnsi="SimSun" w:eastAsia="SimSun" w:cs="SimSun"/>
          <w:sz w:val="21"/>
          <w:szCs w:val="21"/>
          <w:spacing w:val="2"/>
        </w:rPr>
        <w:t>行总结反思也是次优的方法，例如每次主要的应用发布中所执行的集成测试的次数</w:t>
      </w:r>
      <w:r>
        <w:rPr>
          <w:rFonts w:ascii="SimSun" w:hAnsi="SimSun" w:eastAsia="SimSun" w:cs="SimSun"/>
          <w:sz w:val="21"/>
          <w:szCs w:val="21"/>
          <w:spacing w:val="5"/>
        </w:rPr>
        <w:t xml:space="preserve"> </w:t>
      </w:r>
      <w:r>
        <w:rPr>
          <w:rFonts w:ascii="SimSun" w:hAnsi="SimSun" w:eastAsia="SimSun" w:cs="SimSun"/>
          <w:sz w:val="21"/>
          <w:szCs w:val="21"/>
          <w:spacing w:val="1"/>
        </w:rPr>
        <w:t>以及每年所创建的点到点接口的数量。许多组织相</w:t>
      </w:r>
      <w:r>
        <w:rPr>
          <w:rFonts w:ascii="SimSun" w:hAnsi="SimSun" w:eastAsia="SimSun" w:cs="SimSun"/>
          <w:sz w:val="21"/>
          <w:szCs w:val="21"/>
        </w:rPr>
        <w:t>对比较少关注这个长期的负担， </w:t>
      </w:r>
      <w:r>
        <w:rPr>
          <w:rFonts w:ascii="SimSun" w:hAnsi="SimSun" w:eastAsia="SimSun" w:cs="SimSun"/>
          <w:sz w:val="21"/>
          <w:szCs w:val="21"/>
        </w:rPr>
        <w:t>因为这方面的成本通常都被分配在了项目的进度</w:t>
      </w:r>
      <w:r>
        <w:rPr>
          <w:rFonts w:ascii="SimSun" w:hAnsi="SimSun" w:eastAsia="SimSun" w:cs="SimSun"/>
          <w:sz w:val="21"/>
          <w:szCs w:val="21"/>
          <w:spacing w:val="-1"/>
        </w:rPr>
        <w:t>和预算之中。</w:t>
      </w:r>
    </w:p>
    <w:p>
      <w:pPr>
        <w:ind w:left="14" w:right="231" w:firstLine="430"/>
        <w:spacing w:before="83" w:line="254" w:lineRule="auto"/>
        <w:rPr>
          <w:rFonts w:ascii="SimSun" w:hAnsi="SimSun" w:eastAsia="SimSun" w:cs="SimSun"/>
          <w:sz w:val="21"/>
          <w:szCs w:val="21"/>
        </w:rPr>
      </w:pPr>
      <w:r>
        <w:rPr>
          <w:rFonts w:ascii="SimSun" w:hAnsi="SimSun" w:eastAsia="SimSun" w:cs="SimSun"/>
          <w:sz w:val="21"/>
          <w:szCs w:val="21"/>
          <w:spacing w:val="2"/>
        </w:rPr>
        <w:t>在谈及架构方法的情况下，很有利的做法是定义目标并识别在未来可以进行合</w:t>
      </w:r>
      <w:r>
        <w:rPr>
          <w:rFonts w:ascii="SimSun" w:hAnsi="SimSun" w:eastAsia="SimSun" w:cs="SimSun"/>
          <w:sz w:val="21"/>
          <w:szCs w:val="21"/>
        </w:rPr>
        <w:t xml:space="preserve"> </w:t>
      </w:r>
      <w:r>
        <w:rPr>
          <w:rFonts w:ascii="SimSun" w:hAnsi="SimSun" w:eastAsia="SimSun" w:cs="SimSun"/>
          <w:sz w:val="21"/>
          <w:szCs w:val="21"/>
          <w:spacing w:val="2"/>
        </w:rPr>
        <w:t>并、提取、消除或替代的接口。考虑的内容包括数据迁移、统一的导入机制、数据</w:t>
      </w:r>
      <w:r>
        <w:rPr>
          <w:rFonts w:ascii="SimSun" w:hAnsi="SimSun" w:eastAsia="SimSun" w:cs="SimSun"/>
          <w:sz w:val="21"/>
          <w:szCs w:val="21"/>
          <w:spacing w:val="9"/>
        </w:rPr>
        <w:t xml:space="preserve"> </w:t>
      </w:r>
      <w:r>
        <w:rPr>
          <w:rFonts w:ascii="SimSun" w:hAnsi="SimSun" w:eastAsia="SimSun" w:cs="SimSun"/>
          <w:sz w:val="21"/>
          <w:szCs w:val="21"/>
        </w:rPr>
        <w:t>表示的标准化、数据发布方法、合并视图、候选的公用数据服务等。</w:t>
      </w:r>
    </w:p>
    <w:p>
      <w:pPr>
        <w:ind w:left="14" w:right="197" w:firstLine="430"/>
        <w:spacing w:before="61" w:line="261" w:lineRule="auto"/>
        <w:rPr>
          <w:rFonts w:ascii="SimSun" w:hAnsi="SimSun" w:eastAsia="SimSun" w:cs="SimSun"/>
          <w:sz w:val="21"/>
          <w:szCs w:val="21"/>
        </w:rPr>
      </w:pPr>
      <w:r>
        <w:rPr>
          <w:rFonts w:ascii="SimSun" w:hAnsi="SimSun" w:eastAsia="SimSun" w:cs="SimSun"/>
          <w:sz w:val="21"/>
          <w:szCs w:val="21"/>
          <w:spacing w:val="2"/>
        </w:rPr>
        <w:t>许多组织对他们所选择的数据，包括其来源和质量都缺乏全面的认识。收集并</w:t>
      </w:r>
      <w:r>
        <w:rPr>
          <w:rFonts w:ascii="SimSun" w:hAnsi="SimSun" w:eastAsia="SimSun" w:cs="SimSun"/>
          <w:sz w:val="21"/>
          <w:szCs w:val="21"/>
        </w:rPr>
        <w:t xml:space="preserve"> </w:t>
      </w:r>
      <w:r>
        <w:rPr>
          <w:rFonts w:ascii="SimSun" w:hAnsi="SimSun" w:eastAsia="SimSun" w:cs="SimSun"/>
          <w:sz w:val="21"/>
          <w:szCs w:val="21"/>
          <w:spacing w:val="3"/>
        </w:rPr>
        <w:t>分析接口和集成性能测量指标，以确定不符合标准和指标的情况。例如，执行缺陷</w:t>
      </w:r>
      <w:r>
        <w:rPr>
          <w:rFonts w:ascii="SimSun" w:hAnsi="SimSun" w:eastAsia="SimSun" w:cs="SimSun"/>
          <w:sz w:val="21"/>
          <w:szCs w:val="21"/>
          <w:spacing w:val="7"/>
        </w:rPr>
        <w:t xml:space="preserve"> </w:t>
      </w:r>
      <w:r>
        <w:rPr>
          <w:rFonts w:ascii="SimSun" w:hAnsi="SimSun" w:eastAsia="SimSun" w:cs="SimSun"/>
          <w:sz w:val="21"/>
          <w:szCs w:val="21"/>
        </w:rPr>
        <w:t>跟踪，以监测缺陷严重程度、原因、统计发生和计划决议。</w:t>
      </w:r>
    </w:p>
    <w:p>
      <w:pPr>
        <w:spacing w:line="107" w:lineRule="exact"/>
        <w:rPr/>
      </w:pPr>
      <w:r/>
    </w:p>
    <w:tbl>
      <w:tblPr>
        <w:tblStyle w:val="TableNormal"/>
        <w:tblW w:w="7679"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1" w:hRule="atLeast"/>
        </w:trPr>
        <w:tc>
          <w:tcPr>
            <w:tcW w:w="744" w:type="dxa"/>
            <w:vAlign w:val="top"/>
          </w:tcPr>
          <w:p>
            <w:pPr>
              <w:pStyle w:val="TableText"/>
              <w:ind w:left="214"/>
              <w:spacing w:before="102" w:line="221" w:lineRule="auto"/>
              <w:rPr/>
            </w:pPr>
            <w:r>
              <w:rPr>
                <w:spacing w:val="-2"/>
              </w:rPr>
              <w:t>序号</w:t>
            </w:r>
          </w:p>
        </w:tc>
        <w:tc>
          <w:tcPr>
            <w:tcW w:w="315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4"/>
              <w:spacing w:before="268" w:line="183" w:lineRule="auto"/>
              <w:rPr/>
            </w:pPr>
            <w:r>
              <w:rPr>
                <w:spacing w:val="-2"/>
              </w:rPr>
              <w:t>3.8</w:t>
            </w:r>
          </w:p>
        </w:tc>
        <w:tc>
          <w:tcPr>
            <w:tcW w:w="3155" w:type="dxa"/>
            <w:vAlign w:val="top"/>
          </w:tcPr>
          <w:p>
            <w:pPr>
              <w:pStyle w:val="TableText"/>
              <w:ind w:left="101" w:right="189" w:firstLine="159"/>
              <w:spacing w:before="99" w:line="276" w:lineRule="auto"/>
              <w:rPr/>
            </w:pPr>
            <w:r>
              <w:rPr>
                <w:spacing w:val="-1"/>
              </w:rPr>
              <w:t>在进行数据存储区组件设计之前，进行数</w:t>
            </w:r>
            <w:r>
              <w:rPr>
                <w:spacing w:val="11"/>
              </w:rPr>
              <w:t xml:space="preserve"> </w:t>
            </w:r>
            <w:r>
              <w:rPr>
                <w:spacing w:val="-1"/>
              </w:rPr>
              <w:t>据质量分析</w:t>
            </w:r>
          </w:p>
        </w:tc>
        <w:tc>
          <w:tcPr>
            <w:tcW w:w="3780" w:type="dxa"/>
            <w:vAlign w:val="top"/>
          </w:tcPr>
          <w:p>
            <w:pPr>
              <w:pStyle w:val="TableText"/>
              <w:ind w:left="265"/>
              <w:spacing w:before="228" w:line="218" w:lineRule="auto"/>
              <w:rPr/>
            </w:pPr>
            <w:r>
              <w:rPr/>
              <w:t>●应用于设计的数据质量分析报告</w:t>
            </w:r>
          </w:p>
        </w:tc>
      </w:tr>
    </w:tbl>
    <w:p>
      <w:pPr>
        <w:ind w:left="33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14" w:right="230" w:firstLine="430"/>
        <w:spacing w:before="60" w:line="259" w:lineRule="auto"/>
        <w:rPr>
          <w:rFonts w:ascii="SimSun" w:hAnsi="SimSun" w:eastAsia="SimSun" w:cs="SimSun"/>
          <w:sz w:val="21"/>
          <w:szCs w:val="21"/>
        </w:rPr>
      </w:pPr>
      <w:r>
        <w:rPr>
          <w:rFonts w:ascii="SimSun" w:hAnsi="SimSun" w:eastAsia="SimSun" w:cs="SimSun"/>
          <w:sz w:val="21"/>
          <w:szCs w:val="21"/>
          <w:spacing w:val="2"/>
        </w:rPr>
        <w:t>当一个组织着手于一项重要的重新设计或合并时，宜进行数据质量分析，以作</w:t>
      </w:r>
      <w:r>
        <w:rPr>
          <w:rFonts w:ascii="SimSun" w:hAnsi="SimSun" w:eastAsia="SimSun" w:cs="SimSun"/>
          <w:sz w:val="21"/>
          <w:szCs w:val="21"/>
          <w:spacing w:val="4"/>
        </w:rPr>
        <w:t xml:space="preserve"> </w:t>
      </w:r>
      <w:r>
        <w:rPr>
          <w:rFonts w:ascii="SimSun" w:hAnsi="SimSun" w:eastAsia="SimSun" w:cs="SimSun"/>
          <w:sz w:val="21"/>
          <w:szCs w:val="21"/>
          <w:spacing w:val="2"/>
        </w:rPr>
        <w:t>为初步措施。由于大约一半的数据质量问题为结构性问题，全面的分析有助于发现</w:t>
      </w:r>
      <w:r>
        <w:rPr>
          <w:rFonts w:ascii="SimSun" w:hAnsi="SimSun" w:eastAsia="SimSun" w:cs="SimSun"/>
          <w:sz w:val="21"/>
          <w:szCs w:val="21"/>
          <w:spacing w:val="5"/>
        </w:rPr>
        <w:t xml:space="preserve"> </w:t>
      </w:r>
      <w:r>
        <w:rPr>
          <w:rFonts w:ascii="SimSun" w:hAnsi="SimSun" w:eastAsia="SimSun" w:cs="SimSun"/>
          <w:sz w:val="21"/>
          <w:szCs w:val="21"/>
          <w:spacing w:val="2"/>
        </w:rPr>
        <w:t>新的数据存储区中具有可以修复的设计缺陷。该组织应对标准进行定义，以便在架</w:t>
      </w:r>
      <w:r>
        <w:rPr>
          <w:rFonts w:ascii="SimSun" w:hAnsi="SimSun" w:eastAsia="SimSun" w:cs="SimSun"/>
          <w:sz w:val="21"/>
          <w:szCs w:val="21"/>
          <w:spacing w:val="8"/>
        </w:rPr>
        <w:t xml:space="preserve"> </w:t>
      </w:r>
      <w:r>
        <w:rPr>
          <w:rFonts w:ascii="SimSun" w:hAnsi="SimSun" w:eastAsia="SimSun" w:cs="SimSun"/>
          <w:sz w:val="21"/>
          <w:szCs w:val="21"/>
          <w:spacing w:val="-2"/>
        </w:rPr>
        <w:t>构更改之前，为何时需要进行分析提供决策指导。</w:t>
      </w:r>
    </w:p>
    <w:p>
      <w:pPr>
        <w:ind w:left="447"/>
        <w:spacing w:before="77" w:line="221" w:lineRule="auto"/>
        <w:rPr>
          <w:rFonts w:ascii="SimHei" w:hAnsi="SimHei" w:eastAsia="SimHei" w:cs="SimHei"/>
          <w:sz w:val="21"/>
          <w:szCs w:val="21"/>
        </w:rPr>
      </w:pPr>
      <w:r>
        <w:rPr>
          <w:rFonts w:ascii="SimSun" w:hAnsi="SimSun" w:eastAsia="SimSun" w:cs="SimSun"/>
          <w:sz w:val="21"/>
          <w:szCs w:val="21"/>
          <w:b/>
          <w:bCs/>
          <w:spacing w:val="-8"/>
        </w:rPr>
        <w:t>Level</w:t>
      </w:r>
      <w:r>
        <w:rPr>
          <w:rFonts w:ascii="SimSun" w:hAnsi="SimSun" w:eastAsia="SimSun" w:cs="SimSun"/>
          <w:sz w:val="21"/>
          <w:szCs w:val="21"/>
          <w:spacing w:val="-8"/>
        </w:rPr>
        <w:t xml:space="preserve"> </w:t>
      </w:r>
      <w:r>
        <w:rPr>
          <w:rFonts w:ascii="SimSun" w:hAnsi="SimSun" w:eastAsia="SimSun" w:cs="SimSun"/>
          <w:sz w:val="21"/>
          <w:szCs w:val="21"/>
          <w:b/>
          <w:bCs/>
          <w:spacing w:val="-8"/>
        </w:rPr>
        <w:t>4:</w:t>
      </w:r>
      <w:r>
        <w:rPr>
          <w:rFonts w:ascii="SimSun" w:hAnsi="SimSun" w:eastAsia="SimSun" w:cs="SimSun"/>
          <w:sz w:val="21"/>
          <w:szCs w:val="21"/>
          <w:spacing w:val="-27"/>
        </w:rPr>
        <w:t xml:space="preserve"> </w:t>
      </w:r>
      <w:r>
        <w:rPr>
          <w:rFonts w:ascii="SimHei" w:hAnsi="SimHei" w:eastAsia="SimHei" w:cs="SimHei"/>
          <w:sz w:val="21"/>
          <w:szCs w:val="21"/>
          <w:b/>
          <w:bCs/>
          <w:spacing w:val="-8"/>
        </w:rPr>
        <w:t>量化级</w:t>
      </w:r>
    </w:p>
    <w:p>
      <w:pPr>
        <w:spacing w:line="120" w:lineRule="exact"/>
        <w:rPr/>
      </w:pPr>
      <w:r/>
    </w:p>
    <w:tbl>
      <w:tblPr>
        <w:tblStyle w:val="TableNormal"/>
        <w:tblW w:w="7679" w:type="dxa"/>
        <w:tblInd w:w="6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51" w:hRule="atLeast"/>
        </w:trPr>
        <w:tc>
          <w:tcPr>
            <w:tcW w:w="744" w:type="dxa"/>
            <w:vAlign w:val="top"/>
          </w:tcPr>
          <w:p>
            <w:pPr>
              <w:pStyle w:val="TableText"/>
              <w:ind w:left="214"/>
              <w:spacing w:before="101" w:line="221" w:lineRule="auto"/>
              <w:rPr/>
            </w:pPr>
            <w:r>
              <w:rPr>
                <w:spacing w:val="-2"/>
              </w:rPr>
              <w:t>序号</w:t>
            </w:r>
          </w:p>
        </w:tc>
        <w:tc>
          <w:tcPr>
            <w:tcW w:w="315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88" w:hRule="atLeast"/>
        </w:trPr>
        <w:tc>
          <w:tcPr>
            <w:tcW w:w="744" w:type="dxa"/>
            <w:vAlign w:val="top"/>
          </w:tcPr>
          <w:p>
            <w:pPr>
              <w:pStyle w:val="TableText"/>
              <w:ind w:left="245"/>
              <w:spacing w:before="257" w:line="184" w:lineRule="auto"/>
              <w:rPr/>
            </w:pPr>
            <w:r>
              <w:rPr>
                <w:spacing w:val="-2"/>
              </w:rPr>
              <w:t>4.1</w:t>
            </w:r>
          </w:p>
        </w:tc>
        <w:tc>
          <w:tcPr>
            <w:tcW w:w="3155" w:type="dxa"/>
            <w:vAlign w:val="top"/>
          </w:tcPr>
          <w:p>
            <w:pPr>
              <w:pStyle w:val="TableText"/>
              <w:ind w:left="120" w:right="191" w:firstLine="140"/>
              <w:spacing w:before="89" w:line="282" w:lineRule="auto"/>
              <w:rPr/>
            </w:pPr>
            <w:r>
              <w:rPr>
                <w:spacing w:val="-1"/>
              </w:rPr>
              <w:t>性能的统计分析和数据质量改善在架构设</w:t>
            </w:r>
            <w:r>
              <w:rPr>
                <w:spacing w:val="9"/>
              </w:rPr>
              <w:t xml:space="preserve"> </w:t>
            </w:r>
            <w:r>
              <w:rPr>
                <w:spacing w:val="-1"/>
              </w:rPr>
              <w:t>计过程中被用作输入信息</w:t>
            </w:r>
          </w:p>
        </w:tc>
        <w:tc>
          <w:tcPr>
            <w:tcW w:w="3780" w:type="dxa"/>
            <w:vAlign w:val="top"/>
          </w:tcPr>
          <w:p>
            <w:pPr>
              <w:pStyle w:val="TableText"/>
              <w:ind w:left="246"/>
              <w:spacing w:before="100" w:line="219" w:lineRule="auto"/>
              <w:rPr/>
            </w:pPr>
            <w:r>
              <w:rPr/>
              <w:t>●设计的组件的定量性能标准</w:t>
            </w:r>
          </w:p>
          <w:p>
            <w:pPr>
              <w:pStyle w:val="TableText"/>
              <w:ind w:left="246"/>
              <w:spacing w:before="90" w:line="218" w:lineRule="auto"/>
              <w:rPr/>
            </w:pPr>
            <w:r>
              <w:rPr/>
              <w:t>●可量化的架构评估指标</w:t>
            </w:r>
          </w:p>
        </w:tc>
      </w:tr>
    </w:tbl>
    <w:p>
      <w:pPr>
        <w:ind w:left="339"/>
        <w:spacing w:before="204" w:line="219" w:lineRule="auto"/>
        <w:rPr>
          <w:rFonts w:ascii="SimSun" w:hAnsi="SimSun" w:eastAsia="SimSun" w:cs="SimSun"/>
          <w:sz w:val="21"/>
          <w:szCs w:val="21"/>
        </w:rPr>
      </w:pPr>
      <w:r>
        <w:rPr>
          <w:rFonts w:ascii="SimSun" w:hAnsi="SimSun" w:eastAsia="SimSun" w:cs="SimSun"/>
          <w:sz w:val="21"/>
          <w:szCs w:val="21"/>
          <w:spacing w:val="3"/>
        </w:rPr>
        <w:t>【成熟度等级说明】</w:t>
      </w:r>
    </w:p>
    <w:p>
      <w:pPr>
        <w:ind w:left="14" w:right="229" w:firstLine="430"/>
        <w:spacing w:before="60" w:line="262" w:lineRule="auto"/>
        <w:rPr>
          <w:rFonts w:ascii="SimSun" w:hAnsi="SimSun" w:eastAsia="SimSun" w:cs="SimSun"/>
          <w:sz w:val="21"/>
          <w:szCs w:val="21"/>
        </w:rPr>
      </w:pPr>
      <w:r>
        <w:rPr>
          <w:rFonts w:ascii="SimSun" w:hAnsi="SimSun" w:eastAsia="SimSun" w:cs="SimSun"/>
          <w:sz w:val="21"/>
          <w:szCs w:val="21"/>
          <w:spacing w:val="2"/>
        </w:rPr>
        <w:t>新架构组件的性能测量指标(针对定义的业务目标)、成本效益分析是架构</w:t>
      </w:r>
      <w:r>
        <w:rPr>
          <w:rFonts w:ascii="SimSun" w:hAnsi="SimSun" w:eastAsia="SimSun" w:cs="SimSun"/>
          <w:sz w:val="21"/>
          <w:szCs w:val="21"/>
          <w:spacing w:val="1"/>
        </w:rPr>
        <w:t>设计</w:t>
      </w:r>
      <w:r>
        <w:rPr>
          <w:rFonts w:ascii="SimSun" w:hAnsi="SimSun" w:eastAsia="SimSun" w:cs="SimSun"/>
          <w:sz w:val="21"/>
          <w:szCs w:val="21"/>
        </w:rPr>
        <w:t xml:space="preserve"> </w:t>
      </w:r>
      <w:r>
        <w:rPr>
          <w:rFonts w:ascii="SimSun" w:hAnsi="SimSun" w:eastAsia="SimSun" w:cs="SimSun"/>
          <w:sz w:val="21"/>
          <w:szCs w:val="21"/>
          <w:spacing w:val="2"/>
        </w:rPr>
        <w:t>决策的输入信息。识别并跟踪现有架构的限制，并将其用于未来架构计划的输入信</w:t>
      </w:r>
      <w:r>
        <w:rPr>
          <w:rFonts w:ascii="SimSun" w:hAnsi="SimSun" w:eastAsia="SimSun" w:cs="SimSun"/>
          <w:sz w:val="21"/>
          <w:szCs w:val="21"/>
          <w:spacing w:val="11"/>
        </w:rPr>
        <w:t xml:space="preserve"> </w:t>
      </w:r>
      <w:r>
        <w:rPr>
          <w:rFonts w:ascii="SimSun" w:hAnsi="SimSun" w:eastAsia="SimSun" w:cs="SimSun"/>
          <w:sz w:val="21"/>
          <w:szCs w:val="21"/>
          <w:spacing w:val="2"/>
        </w:rPr>
        <w:t>息。同样，随着时间的推移，架构方法的优化包括前瞻性规划，以确保将来可有效</w:t>
      </w:r>
      <w:r>
        <w:rPr>
          <w:rFonts w:ascii="SimSun" w:hAnsi="SimSun" w:eastAsia="SimSun" w:cs="SimSun"/>
          <w:sz w:val="21"/>
          <w:szCs w:val="21"/>
          <w:spacing w:val="6"/>
        </w:rPr>
        <w:t xml:space="preserve"> </w:t>
      </w:r>
      <w:r>
        <w:rPr>
          <w:rFonts w:ascii="SimSun" w:hAnsi="SimSun" w:eastAsia="SimSun" w:cs="SimSun"/>
          <w:sz w:val="21"/>
          <w:szCs w:val="21"/>
          <w:spacing w:val="2"/>
        </w:rPr>
        <w:t>实现下一代的能力。新架构组件的测量指标也被用于评估</w:t>
      </w:r>
      <w:r>
        <w:rPr>
          <w:rFonts w:ascii="SimSun" w:hAnsi="SimSun" w:eastAsia="SimSun" w:cs="SimSun"/>
          <w:sz w:val="21"/>
          <w:szCs w:val="21"/>
          <w:spacing w:val="1"/>
        </w:rPr>
        <w:t>是否达到业务目标和数据</w:t>
      </w:r>
      <w:r>
        <w:rPr>
          <w:rFonts w:ascii="SimSun" w:hAnsi="SimSun" w:eastAsia="SimSun" w:cs="SimSun"/>
          <w:sz w:val="21"/>
          <w:szCs w:val="21"/>
        </w:rPr>
        <w:t xml:space="preserve"> </w:t>
      </w:r>
      <w:r>
        <w:rPr>
          <w:rFonts w:ascii="SimSun" w:hAnsi="SimSun" w:eastAsia="SimSun" w:cs="SimSun"/>
          <w:sz w:val="21"/>
          <w:szCs w:val="21"/>
          <w:spacing w:val="1"/>
        </w:rPr>
        <w:t>质量目标。这可能包括影响业务的</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指标，通常包括以下</w:t>
      </w:r>
      <w:r>
        <w:rPr>
          <w:rFonts w:ascii="SimSun" w:hAnsi="SimSun" w:eastAsia="SimSun" w:cs="SimSun"/>
          <w:sz w:val="21"/>
          <w:szCs w:val="21"/>
        </w:rPr>
        <w:t>指标：</w:t>
      </w:r>
    </w:p>
    <w:p>
      <w:pPr>
        <w:spacing w:line="262" w:lineRule="auto"/>
        <w:sectPr>
          <w:footerReference w:type="default" r:id="rId360"/>
          <w:pgSz w:w="8870" w:h="13400"/>
          <w:pgMar w:top="400" w:right="585" w:bottom="568" w:left="395" w:header="0" w:footer="358" w:gutter="0"/>
        </w:sectPr>
        <w:rPr>
          <w:rFonts w:ascii="SimSun" w:hAnsi="SimSun" w:eastAsia="SimSun" w:cs="SimSun"/>
          <w:sz w:val="21"/>
          <w:szCs w:val="21"/>
        </w:rPr>
      </w:pPr>
    </w:p>
    <w:p>
      <w:pPr>
        <w:ind w:left="120"/>
        <w:spacing w:before="17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40" name="IM 240"/>
            <wp:cNvGraphicFramePr/>
            <a:graphic>
              <a:graphicData uri="http://schemas.openxmlformats.org/drawingml/2006/picture">
                <pic:pic>
                  <pic:nvPicPr>
                    <pic:cNvPr id="240" name="IM 240"/>
                    <pic:cNvPicPr/>
                  </pic:nvPicPr>
                  <pic:blipFill>
                    <a:blip r:embed="rId36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2"/>
        </w:rPr>
        <w:t xml:space="preserve"> </w:t>
      </w:r>
      <w:r>
        <w:rPr>
          <w:rFonts w:ascii="SimSun" w:hAnsi="SimSun" w:eastAsia="SimSun" w:cs="SimSun"/>
          <w:sz w:val="22"/>
          <w:szCs w:val="22"/>
          <w:b/>
          <w:bCs/>
          <w:spacing w:val="-19"/>
        </w:rPr>
        <w:t>■云端数据治理</w:t>
      </w:r>
    </w:p>
    <w:p>
      <w:pPr>
        <w:ind w:left="700"/>
        <w:spacing w:before="292" w:line="221" w:lineRule="auto"/>
        <w:rPr>
          <w:rFonts w:ascii="SimSun" w:hAnsi="SimSun" w:eastAsia="SimSun" w:cs="SimSun"/>
          <w:sz w:val="22"/>
          <w:szCs w:val="22"/>
        </w:rPr>
      </w:pPr>
      <w:r>
        <w:rPr>
          <w:rFonts w:ascii="SimSun" w:hAnsi="SimSun" w:eastAsia="SimSun" w:cs="SimSun"/>
          <w:sz w:val="22"/>
          <w:szCs w:val="22"/>
          <w:spacing w:val="-6"/>
        </w:rPr>
        <w:t>●</w:t>
      </w:r>
      <w:r>
        <w:rPr>
          <w:rFonts w:ascii="SimSun" w:hAnsi="SimSun" w:eastAsia="SimSun" w:cs="SimSun"/>
          <w:sz w:val="22"/>
          <w:szCs w:val="22"/>
          <w:spacing w:val="-62"/>
        </w:rPr>
        <w:t xml:space="preserve"> </w:t>
      </w:r>
      <w:r>
        <w:rPr>
          <w:rFonts w:ascii="SimSun" w:hAnsi="SimSun" w:eastAsia="SimSun" w:cs="SimSun"/>
          <w:sz w:val="22"/>
          <w:szCs w:val="22"/>
          <w:spacing w:val="-6"/>
        </w:rPr>
        <w:t>时间</w:t>
      </w:r>
    </w:p>
    <w:p>
      <w:pPr>
        <w:ind w:left="700"/>
        <w:spacing w:before="33" w:line="219" w:lineRule="auto"/>
        <w:rPr>
          <w:rFonts w:ascii="SimSun" w:hAnsi="SimSun" w:eastAsia="SimSun" w:cs="SimSun"/>
          <w:sz w:val="22"/>
          <w:szCs w:val="22"/>
        </w:rPr>
      </w:pPr>
      <w:r>
        <w:rPr>
          <w:rFonts w:ascii="SimSun" w:hAnsi="SimSun" w:eastAsia="SimSun" w:cs="SimSun"/>
          <w:sz w:val="22"/>
          <w:szCs w:val="22"/>
          <w:spacing w:val="-7"/>
        </w:rPr>
        <w:t>●由于较少的数据修复所带来的金钱节省</w:t>
      </w:r>
    </w:p>
    <w:p>
      <w:pPr>
        <w:ind w:left="700"/>
        <w:spacing w:before="49" w:line="219" w:lineRule="auto"/>
        <w:rPr>
          <w:rFonts w:ascii="SimSun" w:hAnsi="SimSun" w:eastAsia="SimSun" w:cs="SimSun"/>
          <w:sz w:val="22"/>
          <w:szCs w:val="22"/>
        </w:rPr>
      </w:pPr>
      <w:r>
        <w:rPr>
          <w:rFonts w:ascii="SimSun" w:hAnsi="SimSun" w:eastAsia="SimSun" w:cs="SimSun"/>
          <w:sz w:val="22"/>
          <w:szCs w:val="22"/>
          <w:spacing w:val="-5"/>
        </w:rPr>
        <w:t>●增加的收入</w:t>
      </w:r>
    </w:p>
    <w:p>
      <w:pPr>
        <w:ind w:left="700"/>
        <w:spacing w:before="59" w:line="219" w:lineRule="auto"/>
        <w:rPr>
          <w:rFonts w:ascii="SimSun" w:hAnsi="SimSun" w:eastAsia="SimSun" w:cs="SimSun"/>
          <w:sz w:val="22"/>
          <w:szCs w:val="22"/>
        </w:rPr>
      </w:pPr>
      <w:r>
        <w:rPr>
          <w:rFonts w:ascii="SimSun" w:hAnsi="SimSun" w:eastAsia="SimSun" w:cs="SimSun"/>
          <w:sz w:val="22"/>
          <w:szCs w:val="22"/>
          <w:spacing w:val="-4"/>
        </w:rPr>
        <w:t>●改善的客户满意度</w:t>
      </w:r>
    </w:p>
    <w:p>
      <w:pPr>
        <w:ind w:left="700"/>
        <w:spacing w:before="48" w:line="219" w:lineRule="auto"/>
        <w:rPr>
          <w:rFonts w:ascii="SimSun" w:hAnsi="SimSun" w:eastAsia="SimSun" w:cs="SimSun"/>
          <w:sz w:val="22"/>
          <w:szCs w:val="22"/>
        </w:rPr>
      </w:pPr>
      <w:r>
        <w:rPr>
          <w:rFonts w:ascii="SimSun" w:hAnsi="SimSun" w:eastAsia="SimSun" w:cs="SimSun"/>
          <w:sz w:val="22"/>
          <w:szCs w:val="22"/>
          <w:spacing w:val="-5"/>
        </w:rPr>
        <w:t>●节省的时间</w:t>
      </w:r>
    </w:p>
    <w:p>
      <w:pPr>
        <w:ind w:left="700"/>
        <w:spacing w:before="69" w:line="219" w:lineRule="auto"/>
        <w:rPr>
          <w:rFonts w:ascii="SimSun" w:hAnsi="SimSun" w:eastAsia="SimSun" w:cs="SimSun"/>
          <w:sz w:val="22"/>
          <w:szCs w:val="22"/>
        </w:rPr>
      </w:pPr>
      <w:r>
        <w:rPr>
          <w:rFonts w:ascii="SimSun" w:hAnsi="SimSun" w:eastAsia="SimSun" w:cs="SimSun"/>
          <w:sz w:val="22"/>
          <w:szCs w:val="22"/>
          <w:spacing w:val="-2"/>
        </w:rPr>
        <w:t>●改进的数据</w:t>
      </w:r>
    </w:p>
    <w:p>
      <w:pPr>
        <w:ind w:left="700"/>
        <w:spacing w:before="50" w:line="220" w:lineRule="auto"/>
        <w:rPr>
          <w:rFonts w:ascii="SimSun" w:hAnsi="SimSun" w:eastAsia="SimSun" w:cs="SimSun"/>
          <w:sz w:val="22"/>
          <w:szCs w:val="22"/>
        </w:rPr>
      </w:pPr>
      <w:r>
        <w:rPr>
          <w:rFonts w:ascii="SimSun" w:hAnsi="SimSun" w:eastAsia="SimSun" w:cs="SimSun"/>
          <w:sz w:val="22"/>
          <w:szCs w:val="22"/>
          <w:spacing w:val="-5"/>
        </w:rPr>
        <w:t>●增强的分析</w:t>
      </w:r>
    </w:p>
    <w:p>
      <w:pPr>
        <w:ind w:left="702"/>
        <w:spacing w:before="42" w:line="221" w:lineRule="auto"/>
        <w:rPr>
          <w:rFonts w:ascii="SimHei" w:hAnsi="SimHei" w:eastAsia="SimHei" w:cs="SimHei"/>
          <w:sz w:val="22"/>
          <w:szCs w:val="22"/>
        </w:rPr>
      </w:pPr>
      <w:r>
        <w:rPr>
          <w:rFonts w:ascii="SimSun" w:hAnsi="SimSun" w:eastAsia="SimSun" w:cs="SimSun"/>
          <w:sz w:val="22"/>
          <w:szCs w:val="22"/>
          <w:b/>
          <w:bCs/>
          <w:spacing w:val="-13"/>
        </w:rPr>
        <w:t>Level</w:t>
      </w:r>
      <w:r>
        <w:rPr>
          <w:rFonts w:ascii="SimSun" w:hAnsi="SimSun" w:eastAsia="SimSun" w:cs="SimSun"/>
          <w:sz w:val="22"/>
          <w:szCs w:val="22"/>
          <w:spacing w:val="-13"/>
        </w:rPr>
        <w:t xml:space="preserve"> </w:t>
      </w:r>
      <w:r>
        <w:rPr>
          <w:rFonts w:ascii="SimSun" w:hAnsi="SimSun" w:eastAsia="SimSun" w:cs="SimSun"/>
          <w:sz w:val="22"/>
          <w:szCs w:val="22"/>
          <w:b/>
          <w:bCs/>
          <w:spacing w:val="-13"/>
        </w:rPr>
        <w:t>5:</w:t>
      </w:r>
      <w:r>
        <w:rPr>
          <w:rFonts w:ascii="SimSun" w:hAnsi="SimSun" w:eastAsia="SimSun" w:cs="SimSun"/>
          <w:sz w:val="22"/>
          <w:szCs w:val="22"/>
          <w:spacing w:val="-30"/>
        </w:rPr>
        <w:t xml:space="preserve"> </w:t>
      </w:r>
      <w:r>
        <w:rPr>
          <w:rFonts w:ascii="SimHei" w:hAnsi="SimHei" w:eastAsia="SimHei" w:cs="SimHei"/>
          <w:sz w:val="22"/>
          <w:szCs w:val="22"/>
          <w:b/>
          <w:bCs/>
          <w:spacing w:val="-13"/>
        </w:rPr>
        <w:t>优化级</w:t>
      </w:r>
    </w:p>
    <w:p>
      <w:pPr>
        <w:spacing w:line="118" w:lineRule="exact"/>
        <w:rPr/>
      </w:pPr>
      <w:r/>
    </w:p>
    <w:tbl>
      <w:tblPr>
        <w:tblStyle w:val="TableNormal"/>
        <w:tblW w:w="766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60"/>
      </w:tblGrid>
      <w:tr>
        <w:trPr>
          <w:trHeight w:val="362"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5" w:type="dxa"/>
            <w:vAlign w:val="top"/>
          </w:tcPr>
          <w:p>
            <w:pPr>
              <w:pStyle w:val="TableText"/>
              <w:ind w:left="1171"/>
              <w:spacing w:before="101" w:line="219" w:lineRule="auto"/>
              <w:rPr>
                <w:sz w:val="16"/>
                <w:szCs w:val="16"/>
              </w:rPr>
            </w:pPr>
            <w:r>
              <w:rPr>
                <w:sz w:val="16"/>
                <w:szCs w:val="16"/>
                <w:spacing w:val="-4"/>
              </w:rPr>
              <w:t>等 级 要 求</w:t>
            </w:r>
          </w:p>
        </w:tc>
        <w:tc>
          <w:tcPr>
            <w:tcW w:w="3760" w:type="dxa"/>
            <w:vAlign w:val="top"/>
          </w:tcPr>
          <w:p>
            <w:pPr>
              <w:pStyle w:val="TableText"/>
              <w:ind w:left="156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57" w:hRule="atLeast"/>
        </w:trPr>
        <w:tc>
          <w:tcPr>
            <w:tcW w:w="744" w:type="dxa"/>
            <w:vAlign w:val="top"/>
          </w:tcPr>
          <w:p>
            <w:pPr>
              <w:spacing w:line="335" w:lineRule="auto"/>
              <w:rPr>
                <w:rFonts w:ascii="Arial"/>
                <w:sz w:val="21"/>
              </w:rPr>
            </w:pPr>
            <w:r/>
          </w:p>
          <w:p>
            <w:pPr>
              <w:pStyle w:val="TableText"/>
              <w:ind w:left="245"/>
              <w:spacing w:before="52" w:line="184" w:lineRule="auto"/>
              <w:rPr>
                <w:sz w:val="16"/>
                <w:szCs w:val="16"/>
              </w:rPr>
            </w:pPr>
            <w:r>
              <w:rPr>
                <w:sz w:val="16"/>
                <w:szCs w:val="16"/>
                <w:spacing w:val="-3"/>
              </w:rPr>
              <w:t>5.1</w:t>
            </w:r>
          </w:p>
        </w:tc>
        <w:tc>
          <w:tcPr>
            <w:tcW w:w="3165" w:type="dxa"/>
            <w:vAlign w:val="top"/>
          </w:tcPr>
          <w:p>
            <w:pPr>
              <w:spacing w:line="294" w:lineRule="auto"/>
              <w:rPr>
                <w:rFonts w:ascii="Arial"/>
                <w:sz w:val="21"/>
              </w:rPr>
            </w:pPr>
            <w:r/>
          </w:p>
          <w:p>
            <w:pPr>
              <w:pStyle w:val="TableText"/>
              <w:ind w:left="121"/>
              <w:spacing w:before="52" w:line="218" w:lineRule="auto"/>
              <w:rPr>
                <w:sz w:val="16"/>
                <w:szCs w:val="16"/>
              </w:rPr>
            </w:pPr>
            <w:r>
              <w:rPr>
                <w:sz w:val="16"/>
                <w:szCs w:val="16"/>
                <w:spacing w:val="-1"/>
              </w:rPr>
              <w:t>定期对目标模型进行评估，按需进行调整</w:t>
            </w:r>
          </w:p>
        </w:tc>
        <w:tc>
          <w:tcPr>
            <w:tcW w:w="3760" w:type="dxa"/>
            <w:vAlign w:val="top"/>
          </w:tcPr>
          <w:p>
            <w:pPr>
              <w:pStyle w:val="TableText"/>
              <w:ind w:left="265"/>
              <w:spacing w:before="89" w:line="219" w:lineRule="auto"/>
              <w:rPr>
                <w:sz w:val="16"/>
                <w:szCs w:val="16"/>
              </w:rPr>
            </w:pPr>
            <w:r>
              <w:rPr>
                <w:sz w:val="16"/>
                <w:szCs w:val="16"/>
              </w:rPr>
              <w:t>●架构方法修改提议及反馈</w:t>
            </w:r>
          </w:p>
          <w:p>
            <w:pPr>
              <w:pStyle w:val="TableText"/>
              <w:ind w:left="265"/>
              <w:spacing w:before="80" w:line="266" w:lineRule="auto"/>
              <w:rPr>
                <w:sz w:val="16"/>
                <w:szCs w:val="16"/>
              </w:rPr>
            </w:pPr>
            <w:r>
              <w:rPr>
                <w:sz w:val="16"/>
                <w:szCs w:val="16"/>
                <w:spacing w:val="-2"/>
              </w:rPr>
              <w:t>●说明了实际性能与预测性能之间的相关性数据集</w:t>
            </w:r>
            <w:r>
              <w:rPr>
                <w:sz w:val="16"/>
                <w:szCs w:val="16"/>
                <w:spacing w:val="7"/>
              </w:rPr>
              <w:t xml:space="preserve"> </w:t>
            </w:r>
            <w:r>
              <w:rPr>
                <w:sz w:val="16"/>
                <w:szCs w:val="16"/>
                <w:spacing w:val="1"/>
              </w:rPr>
              <w:t>的分析</w:t>
            </w:r>
          </w:p>
        </w:tc>
      </w:tr>
    </w:tbl>
    <w:p>
      <w:pPr>
        <w:ind w:left="590"/>
        <w:spacing w:before="194" w:line="219" w:lineRule="auto"/>
        <w:rPr>
          <w:rFonts w:ascii="SimSun" w:hAnsi="SimSun" w:eastAsia="SimSun" w:cs="SimSun"/>
          <w:sz w:val="22"/>
          <w:szCs w:val="22"/>
        </w:rPr>
      </w:pPr>
      <w:r>
        <w:rPr>
          <w:rFonts w:ascii="SimSun" w:hAnsi="SimSun" w:eastAsia="SimSun" w:cs="SimSun"/>
          <w:sz w:val="22"/>
          <w:szCs w:val="22"/>
          <w:spacing w:val="-5"/>
        </w:rPr>
        <w:t>【成熟度等级说明】</w:t>
      </w:r>
    </w:p>
    <w:p>
      <w:pPr>
        <w:ind w:left="310" w:right="87" w:firstLine="390"/>
        <w:spacing w:before="37" w:line="249" w:lineRule="auto"/>
        <w:rPr>
          <w:rFonts w:ascii="SimSun" w:hAnsi="SimSun" w:eastAsia="SimSun" w:cs="SimSun"/>
          <w:sz w:val="22"/>
          <w:szCs w:val="22"/>
        </w:rPr>
      </w:pPr>
      <w:r>
        <w:rPr>
          <w:rFonts w:ascii="SimSun" w:hAnsi="SimSun" w:eastAsia="SimSun" w:cs="SimSun"/>
          <w:sz w:val="22"/>
          <w:szCs w:val="22"/>
          <w:spacing w:val="-8"/>
        </w:rPr>
        <w:t>数据架构必须得到有效的执行，并定期进行评估。应特别注意企业数据模</w:t>
      </w:r>
      <w:r>
        <w:rPr>
          <w:rFonts w:ascii="SimSun" w:hAnsi="SimSun" w:eastAsia="SimSun" w:cs="SimSun"/>
          <w:sz w:val="22"/>
          <w:szCs w:val="22"/>
          <w:spacing w:val="-9"/>
        </w:rPr>
        <w:t>型与</w:t>
      </w:r>
      <w:r>
        <w:rPr>
          <w:rFonts w:ascii="SimSun" w:hAnsi="SimSun" w:eastAsia="SimSun" w:cs="SimSun"/>
          <w:sz w:val="22"/>
          <w:szCs w:val="22"/>
        </w:rPr>
        <w:t xml:space="preserve"> </w:t>
      </w:r>
      <w:r>
        <w:rPr>
          <w:rFonts w:ascii="SimSun" w:hAnsi="SimSun" w:eastAsia="SimSun" w:cs="SimSun"/>
          <w:sz w:val="22"/>
          <w:szCs w:val="22"/>
          <w:spacing w:val="-10"/>
        </w:rPr>
        <w:t>关键业务战略、流程、组织和系统保持一致性。</w:t>
      </w:r>
    </w:p>
    <w:p>
      <w:pPr>
        <w:spacing w:line="114" w:lineRule="exact"/>
        <w:rPr/>
      </w:pPr>
      <w:r/>
    </w:p>
    <w:tbl>
      <w:tblPr>
        <w:tblStyle w:val="TableNormal"/>
        <w:tblW w:w="7680"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51" w:hRule="atLeast"/>
        </w:trPr>
        <w:tc>
          <w:tcPr>
            <w:tcW w:w="754" w:type="dxa"/>
            <w:vAlign w:val="top"/>
          </w:tcPr>
          <w:p>
            <w:pPr>
              <w:pStyle w:val="TableText"/>
              <w:ind w:left="214"/>
              <w:spacing w:before="102" w:line="221" w:lineRule="auto"/>
              <w:rPr/>
            </w:pPr>
            <w:r>
              <w:rPr>
                <w:spacing w:val="-2"/>
              </w:rPr>
              <w:t>序号</w:t>
            </w:r>
          </w:p>
        </w:tc>
        <w:tc>
          <w:tcPr>
            <w:tcW w:w="316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79" w:hRule="atLeast"/>
        </w:trPr>
        <w:tc>
          <w:tcPr>
            <w:tcW w:w="754" w:type="dxa"/>
            <w:vAlign w:val="top"/>
          </w:tcPr>
          <w:p>
            <w:pPr>
              <w:pStyle w:val="TableText"/>
              <w:ind w:left="254"/>
              <w:spacing w:before="258" w:line="183" w:lineRule="auto"/>
              <w:rPr/>
            </w:pPr>
            <w:r>
              <w:rPr>
                <w:spacing w:val="-2"/>
              </w:rPr>
              <w:t>5.2</w:t>
            </w:r>
          </w:p>
        </w:tc>
        <w:tc>
          <w:tcPr>
            <w:tcW w:w="3166" w:type="dxa"/>
            <w:vAlign w:val="top"/>
          </w:tcPr>
          <w:p>
            <w:pPr>
              <w:pStyle w:val="TableText"/>
              <w:ind w:left="101" w:right="193" w:firstLine="169"/>
              <w:spacing w:before="89" w:line="276" w:lineRule="auto"/>
              <w:rPr/>
            </w:pPr>
            <w:r>
              <w:rPr>
                <w:spacing w:val="-1"/>
              </w:rPr>
              <w:t>该组织通过出版物和会议分享、学习架构</w:t>
            </w:r>
            <w:r>
              <w:rPr>
                <w:spacing w:val="8"/>
              </w:rPr>
              <w:t xml:space="preserve"> </w:t>
            </w:r>
            <w:r>
              <w:rPr>
                <w:spacing w:val="2"/>
              </w:rPr>
              <w:t>方面的经验教训</w:t>
            </w:r>
          </w:p>
        </w:tc>
        <w:tc>
          <w:tcPr>
            <w:tcW w:w="3760" w:type="dxa"/>
            <w:vAlign w:val="top"/>
          </w:tcPr>
          <w:p>
            <w:pPr>
              <w:pStyle w:val="TableText"/>
              <w:ind w:left="265"/>
              <w:spacing w:before="219" w:line="219" w:lineRule="auto"/>
              <w:rPr/>
            </w:pPr>
            <w:r>
              <w:rPr/>
              <w:t>●关于该组织的架构方法的演示材料或出版物</w:t>
            </w:r>
          </w:p>
        </w:tc>
      </w:tr>
    </w:tbl>
    <w:p>
      <w:pPr>
        <w:ind w:left="590"/>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80" w:right="76" w:firstLine="419"/>
        <w:spacing w:before="38" w:line="252" w:lineRule="auto"/>
        <w:rPr>
          <w:rFonts w:ascii="SimSun" w:hAnsi="SimSun" w:eastAsia="SimSun" w:cs="SimSun"/>
          <w:sz w:val="22"/>
          <w:szCs w:val="22"/>
        </w:rPr>
      </w:pPr>
      <w:r>
        <w:rPr>
          <w:rFonts w:ascii="SimSun" w:hAnsi="SimSun" w:eastAsia="SimSun" w:cs="SimSun"/>
          <w:sz w:val="22"/>
          <w:szCs w:val="22"/>
          <w:spacing w:val="-8"/>
        </w:rPr>
        <w:t>随着数据架构管理的进步，组织需要与各种数据管理组织保持密切接触，以了</w:t>
      </w:r>
      <w:r>
        <w:rPr>
          <w:rFonts w:ascii="SimSun" w:hAnsi="SimSun" w:eastAsia="SimSun" w:cs="SimSun"/>
          <w:sz w:val="22"/>
          <w:szCs w:val="22"/>
          <w:spacing w:val="9"/>
        </w:rPr>
        <w:t xml:space="preserve"> </w:t>
      </w:r>
      <w:r>
        <w:rPr>
          <w:rFonts w:ascii="SimSun" w:hAnsi="SimSun" w:eastAsia="SimSun" w:cs="SimSun"/>
          <w:sz w:val="22"/>
          <w:szCs w:val="22"/>
          <w:spacing w:val="-9"/>
        </w:rPr>
        <w:t>解、学习目前业内的最佳实践，持续地更新数据架构活动中的最佳实践。</w:t>
      </w:r>
    </w:p>
    <w:p>
      <w:pPr>
        <w:ind w:left="703"/>
        <w:spacing w:before="173" w:line="224" w:lineRule="auto"/>
        <w:outlineLvl w:val="5"/>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9"/>
        </w:rPr>
        <w:t xml:space="preserve"> </w:t>
      </w:r>
      <w:r>
        <w:rPr>
          <w:rFonts w:ascii="YouYuan" w:hAnsi="YouYuan" w:eastAsia="YouYuan" w:cs="YouYuan"/>
          <w:sz w:val="22"/>
          <w:szCs w:val="22"/>
          <w:b/>
          <w:bCs/>
          <w:spacing w:val="1"/>
        </w:rPr>
        <w:t>实施案例</w:t>
      </w:r>
    </w:p>
    <w:p>
      <w:pPr>
        <w:ind w:left="700"/>
        <w:spacing w:before="221" w:line="219" w:lineRule="auto"/>
        <w:rPr>
          <w:rFonts w:ascii="SimSun" w:hAnsi="SimSun" w:eastAsia="SimSun" w:cs="SimSun"/>
          <w:sz w:val="22"/>
          <w:szCs w:val="22"/>
        </w:rPr>
      </w:pPr>
      <w:r>
        <w:rPr>
          <w:rFonts w:ascii="SimSun" w:hAnsi="SimSun" w:eastAsia="SimSun" w:cs="SimSun"/>
          <w:sz w:val="22"/>
          <w:szCs w:val="22"/>
          <w:spacing w:val="-10"/>
        </w:rPr>
        <w:t>下表为某集团关于关系数据模型建模方法的说明示例。</w:t>
      </w:r>
    </w:p>
    <w:p>
      <w:pPr>
        <w:spacing w:line="125" w:lineRule="exact"/>
        <w:rPr/>
      </w:pPr>
      <w:r/>
    </w:p>
    <w:tbl>
      <w:tblPr>
        <w:tblStyle w:val="TableNormal"/>
        <w:tblW w:w="7679" w:type="dxa"/>
        <w:tblInd w:w="310" w:type="dxa"/>
        <w:tblLayout w:type="fixed"/>
        <w:tblBorders>
          <w:left w:val="single" w:color="000000" w:sz="4" w:space="0"/>
          <w:bottom w:val="single" w:color="000000" w:sz="4" w:space="0"/>
          <w:right w:val="single" w:color="000000" w:sz="4" w:space="0"/>
          <w:top w:val="single" w:color="000000" w:sz="4" w:space="0"/>
        </w:tblBorders>
      </w:tblPr>
      <w:tblGrid>
        <w:gridCol w:w="7679"/>
      </w:tblGrid>
      <w:tr>
        <w:trPr>
          <w:trHeight w:val="2560" w:hRule="atLeast"/>
        </w:trPr>
        <w:tc>
          <w:tcPr>
            <w:tcW w:w="7679" w:type="dxa"/>
            <w:vAlign w:val="top"/>
          </w:tcPr>
          <w:p>
            <w:pPr>
              <w:pStyle w:val="TableText"/>
              <w:ind w:left="2785"/>
              <w:spacing w:before="111" w:line="219" w:lineRule="auto"/>
              <w:rPr>
                <w:sz w:val="16"/>
                <w:szCs w:val="16"/>
              </w:rPr>
            </w:pPr>
            <w:r>
              <w:rPr>
                <w:sz w:val="16"/>
                <w:szCs w:val="16"/>
                <w:spacing w:val="1"/>
              </w:rPr>
              <w:t>集团关系数据模型建模方法说明</w:t>
            </w:r>
          </w:p>
          <w:p>
            <w:pPr>
              <w:pStyle w:val="TableText"/>
              <w:ind w:left="245"/>
              <w:spacing w:before="80" w:line="220" w:lineRule="auto"/>
              <w:rPr>
                <w:sz w:val="16"/>
                <w:szCs w:val="16"/>
              </w:rPr>
            </w:pPr>
            <w:r>
              <w:rPr>
                <w:sz w:val="16"/>
                <w:szCs w:val="16"/>
                <w:spacing w:val="-12"/>
              </w:rPr>
              <w:t>1</w:t>
            </w:r>
            <w:r>
              <w:rPr>
                <w:sz w:val="16"/>
                <w:szCs w:val="16"/>
                <w:spacing w:val="28"/>
              </w:rPr>
              <w:t xml:space="preserve">  </w:t>
            </w:r>
            <w:r>
              <w:rPr>
                <w:sz w:val="16"/>
                <w:szCs w:val="16"/>
                <w:spacing w:val="-12"/>
              </w:rPr>
              <w:t>目标</w:t>
            </w:r>
          </w:p>
          <w:p>
            <w:pPr>
              <w:pStyle w:val="TableText"/>
              <w:ind w:left="135" w:firstLine="109"/>
              <w:spacing w:before="67" w:line="266" w:lineRule="auto"/>
              <w:rPr>
                <w:sz w:val="16"/>
                <w:szCs w:val="16"/>
              </w:rPr>
            </w:pPr>
            <w:r>
              <w:rPr>
                <w:sz w:val="16"/>
                <w:szCs w:val="16"/>
                <w:spacing w:val="-5"/>
              </w:rPr>
              <w:t>形成一套统一的建模方法论，指导各子公司在此基础上完善和扩展逻</w:t>
            </w:r>
            <w:r>
              <w:rPr>
                <w:sz w:val="16"/>
                <w:szCs w:val="16"/>
                <w:spacing w:val="-6"/>
              </w:rPr>
              <w:t>辑数据模型，为公司信息系统建设提供进</w:t>
            </w:r>
            <w:r>
              <w:rPr>
                <w:sz w:val="16"/>
                <w:szCs w:val="16"/>
              </w:rPr>
              <w:t xml:space="preserve"> </w:t>
            </w:r>
            <w:r>
              <w:rPr>
                <w:sz w:val="16"/>
                <w:szCs w:val="16"/>
              </w:rPr>
              <w:t>一步有力保障；通过统一建模及模型的管理，规范和增强公司信息系统的数据</w:t>
            </w:r>
            <w:r>
              <w:rPr>
                <w:sz w:val="16"/>
                <w:szCs w:val="16"/>
                <w:spacing w:val="-1"/>
              </w:rPr>
              <w:t>管理。</w:t>
            </w:r>
          </w:p>
          <w:p>
            <w:pPr>
              <w:pStyle w:val="TableText"/>
              <w:ind w:left="245"/>
              <w:spacing w:before="120" w:line="220" w:lineRule="auto"/>
              <w:rPr>
                <w:sz w:val="16"/>
                <w:szCs w:val="16"/>
              </w:rPr>
            </w:pPr>
            <w:r>
              <w:rPr>
                <w:sz w:val="16"/>
                <w:szCs w:val="16"/>
                <w:spacing w:val="-7"/>
              </w:rPr>
              <w:t>2</w:t>
            </w:r>
            <w:r>
              <w:rPr>
                <w:sz w:val="16"/>
                <w:szCs w:val="16"/>
                <w:spacing w:val="23"/>
              </w:rPr>
              <w:t xml:space="preserve"> </w:t>
            </w:r>
            <w:r>
              <w:rPr>
                <w:sz w:val="16"/>
                <w:szCs w:val="16"/>
                <w:spacing w:val="-7"/>
              </w:rPr>
              <w:t>原</w:t>
            </w:r>
            <w:r>
              <w:rPr>
                <w:sz w:val="16"/>
                <w:szCs w:val="16"/>
                <w:spacing w:val="20"/>
              </w:rPr>
              <w:t xml:space="preserve"> </w:t>
            </w:r>
            <w:r>
              <w:rPr>
                <w:sz w:val="16"/>
                <w:szCs w:val="16"/>
                <w:spacing w:val="-7"/>
              </w:rPr>
              <w:t>则</w:t>
            </w:r>
          </w:p>
          <w:p>
            <w:pPr>
              <w:pStyle w:val="TableText"/>
              <w:ind w:left="135" w:firstLine="129"/>
              <w:spacing w:before="79" w:line="277" w:lineRule="auto"/>
              <w:rPr>
                <w:sz w:val="16"/>
                <w:szCs w:val="16"/>
              </w:rPr>
            </w:pPr>
            <w:r>
              <w:rPr>
                <w:sz w:val="16"/>
                <w:szCs w:val="16"/>
                <w:spacing w:val="-6"/>
              </w:rPr>
              <w:t>建模过程中以业务运营支撑系统为主要参照数据源，遵照第三范式分主题进行实体关系模型的设计，客观、抽</w:t>
            </w:r>
            <w:r>
              <w:rPr>
                <w:sz w:val="16"/>
                <w:szCs w:val="16"/>
                <w:spacing w:val="11"/>
              </w:rPr>
              <w:t xml:space="preserve"> </w:t>
            </w:r>
            <w:r>
              <w:rPr>
                <w:sz w:val="16"/>
                <w:szCs w:val="16"/>
              </w:rPr>
              <w:t>象、清晰、较全面地反映各子公司的业务及其系统的实际，并在此基础上逐步加</w:t>
            </w:r>
            <w:r>
              <w:rPr>
                <w:sz w:val="16"/>
                <w:szCs w:val="16"/>
                <w:spacing w:val="-1"/>
              </w:rPr>
              <w:t>强系统的数据管理。</w:t>
            </w:r>
          </w:p>
          <w:p>
            <w:pPr>
              <w:pStyle w:val="TableText"/>
              <w:ind w:left="245"/>
              <w:spacing w:before="90" w:line="220" w:lineRule="auto"/>
              <w:rPr>
                <w:sz w:val="16"/>
                <w:szCs w:val="16"/>
              </w:rPr>
            </w:pPr>
            <w:r>
              <w:rPr>
                <w:sz w:val="16"/>
                <w:szCs w:val="16"/>
                <w:spacing w:val="3"/>
              </w:rPr>
              <w:t>3适用范围</w:t>
            </w:r>
          </w:p>
          <w:p>
            <w:pPr>
              <w:pStyle w:val="TableText"/>
              <w:ind w:left="245"/>
              <w:spacing w:before="78" w:line="219" w:lineRule="auto"/>
              <w:rPr>
                <w:sz w:val="16"/>
                <w:szCs w:val="16"/>
              </w:rPr>
            </w:pPr>
            <w:r>
              <w:rPr>
                <w:sz w:val="16"/>
                <w:szCs w:val="16"/>
              </w:rPr>
              <w:t>本规范适用于各子公司关系型数据库。</w:t>
            </w:r>
          </w:p>
        </w:tc>
      </w:tr>
    </w:tbl>
    <w:p>
      <w:pPr>
        <w:pStyle w:val="BodyText"/>
        <w:rPr/>
      </w:pPr>
      <w:r/>
    </w:p>
    <w:p>
      <w:pPr>
        <w:sectPr>
          <w:footerReference w:type="default" r:id="rId361"/>
          <w:pgSz w:w="8870" w:h="13400"/>
          <w:pgMar w:top="400" w:right="395" w:bottom="544" w:left="479" w:header="0" w:footer="326" w:gutter="0"/>
        </w:sectPr>
        <w:rPr/>
      </w:pPr>
    </w:p>
    <w:p>
      <w:pPr>
        <w:ind w:left="5553"/>
        <w:spacing w:before="214" w:line="219" w:lineRule="auto"/>
        <w:rPr>
          <w:rFonts w:ascii="SimSun" w:hAnsi="SimSun" w:eastAsia="SimSun" w:cs="SimSun"/>
          <w:sz w:val="24"/>
          <w:szCs w:val="24"/>
        </w:rPr>
      </w:pPr>
      <w:r>
        <w:rPr>
          <w:rFonts w:ascii="SimSun" w:hAnsi="SimSun" w:eastAsia="SimSun" w:cs="SimSun"/>
          <w:sz w:val="24"/>
          <w:szCs w:val="24"/>
          <w:b/>
          <w:bCs/>
          <w:spacing w:val="-12"/>
        </w:rPr>
        <w:t>第8章■云端数据架构</w:t>
      </w:r>
    </w:p>
    <w:p>
      <w:pPr>
        <w:pStyle w:val="BodyText"/>
        <w:spacing w:line="259" w:lineRule="auto"/>
        <w:rPr/>
      </w:pPr>
      <w:r/>
    </w:p>
    <w:p>
      <w:pPr>
        <w:ind w:left="6962"/>
        <w:spacing w:before="65" w:line="198" w:lineRule="auto"/>
        <w:rPr>
          <w:rFonts w:ascii="SimHei" w:hAnsi="SimHei" w:eastAsia="SimHei" w:cs="SimHei"/>
          <w:sz w:val="20"/>
          <w:szCs w:val="20"/>
        </w:rPr>
      </w:pPr>
      <w:r>
        <w:rPr>
          <w:rFonts w:ascii="SimHei" w:hAnsi="SimHei" w:eastAsia="SimHei" w:cs="SimHei"/>
          <w:sz w:val="20"/>
          <w:szCs w:val="20"/>
          <w:b/>
          <w:bCs/>
          <w:spacing w:val="-10"/>
        </w:rPr>
        <w:t>续表</w:t>
      </w:r>
    </w:p>
    <w:tbl>
      <w:tblPr>
        <w:tblStyle w:val="TableNormal"/>
        <w:tblW w:w="7770" w:type="dxa"/>
        <w:tblInd w:w="10" w:type="dxa"/>
        <w:tblLayout w:type="fixed"/>
        <w:tblBorders>
          <w:left w:val="single" w:color="000000" w:sz="8" w:space="0"/>
          <w:bottom w:val="single" w:color="000000" w:sz="2" w:space="0"/>
          <w:top w:val="single" w:color="000000" w:sz="4" w:space="0"/>
        </w:tblBorders>
      </w:tblPr>
      <w:tblGrid>
        <w:gridCol w:w="7770"/>
      </w:tblGrid>
      <w:tr>
        <w:trPr>
          <w:trHeight w:val="10695" w:hRule="atLeast"/>
        </w:trPr>
        <w:tc>
          <w:tcPr>
            <w:tcW w:w="7770" w:type="dxa"/>
            <w:vAlign w:val="top"/>
          </w:tcPr>
          <w:p>
            <w:pPr>
              <w:ind w:left="242"/>
              <w:spacing w:before="82" w:line="221" w:lineRule="auto"/>
              <w:rPr>
                <w:rFonts w:ascii="SimHei" w:hAnsi="SimHei" w:eastAsia="SimHei" w:cs="SimHei"/>
                <w:sz w:val="16"/>
                <w:szCs w:val="16"/>
              </w:rPr>
            </w:pPr>
            <w:r>
              <w:rPr>
                <w:rFonts w:ascii="SimHei" w:hAnsi="SimHei" w:eastAsia="SimHei" w:cs="SimHei"/>
                <w:sz w:val="16"/>
                <w:szCs w:val="16"/>
                <w:b/>
                <w:bCs/>
                <w:spacing w:val="-7"/>
              </w:rPr>
              <w:t>4</w:t>
            </w:r>
            <w:r>
              <w:rPr>
                <w:rFonts w:ascii="SimHei" w:hAnsi="SimHei" w:eastAsia="SimHei" w:cs="SimHei"/>
                <w:sz w:val="16"/>
                <w:szCs w:val="16"/>
                <w:spacing w:val="73"/>
                <w:w w:val="101"/>
              </w:rPr>
              <w:t xml:space="preserve"> </w:t>
            </w:r>
            <w:r>
              <w:rPr>
                <w:rFonts w:ascii="SimHei" w:hAnsi="SimHei" w:eastAsia="SimHei" w:cs="SimHei"/>
                <w:sz w:val="16"/>
                <w:szCs w:val="16"/>
                <w:b/>
                <w:bCs/>
                <w:spacing w:val="-7"/>
              </w:rPr>
              <w:t>建模概述</w:t>
            </w:r>
          </w:p>
          <w:p>
            <w:pPr>
              <w:pStyle w:val="TableText"/>
              <w:ind w:left="110" w:right="243" w:firstLine="129"/>
              <w:spacing w:before="82" w:line="288" w:lineRule="auto"/>
              <w:rPr>
                <w:sz w:val="16"/>
                <w:szCs w:val="16"/>
              </w:rPr>
            </w:pPr>
            <w:r>
              <w:rPr>
                <w:sz w:val="16"/>
                <w:szCs w:val="16"/>
                <w:spacing w:val="-9"/>
              </w:rPr>
              <w:t>数据模型是对客观事物及其联系的数据描述，包括层次数据模型、网络数据模型、关系数据模型、基于逻辑的</w:t>
            </w:r>
            <w:r>
              <w:rPr>
                <w:sz w:val="16"/>
                <w:szCs w:val="16"/>
                <w:spacing w:val="12"/>
              </w:rPr>
              <w:t xml:space="preserve"> </w:t>
            </w:r>
            <w:r>
              <w:rPr>
                <w:sz w:val="16"/>
                <w:szCs w:val="16"/>
                <w:spacing w:val="-9"/>
              </w:rPr>
              <w:t>数据模型、多维数据模型等。公司信息系统底层细节数据的存储采用关系数据模型，即关系数据库。除非特别说</w:t>
            </w:r>
            <w:r>
              <w:rPr>
                <w:sz w:val="16"/>
                <w:szCs w:val="16"/>
                <w:spacing w:val="6"/>
              </w:rPr>
              <w:t xml:space="preserve"> </w:t>
            </w:r>
            <w:r>
              <w:rPr>
                <w:sz w:val="16"/>
                <w:szCs w:val="16"/>
                <w:spacing w:val="-9"/>
              </w:rPr>
              <w:t>明，本文所指的数据模型将特指关系数据模型，数据仓库将特指系统的底层关系数据库。</w:t>
            </w:r>
          </w:p>
          <w:p>
            <w:pPr>
              <w:pStyle w:val="TableText"/>
              <w:ind w:left="239"/>
              <w:spacing w:before="101" w:line="219" w:lineRule="auto"/>
              <w:rPr>
                <w:sz w:val="16"/>
                <w:szCs w:val="16"/>
              </w:rPr>
            </w:pPr>
            <w:r>
              <w:rPr>
                <w:sz w:val="16"/>
                <w:szCs w:val="16"/>
                <w:spacing w:val="-8"/>
              </w:rPr>
              <w:t>4.1</w:t>
            </w:r>
            <w:r>
              <w:rPr>
                <w:sz w:val="16"/>
                <w:szCs w:val="16"/>
                <w:spacing w:val="70"/>
              </w:rPr>
              <w:t xml:space="preserve"> </w:t>
            </w:r>
            <w:r>
              <w:rPr>
                <w:sz w:val="16"/>
                <w:szCs w:val="16"/>
                <w:spacing w:val="-8"/>
              </w:rPr>
              <w:t>第三范式</w:t>
            </w:r>
          </w:p>
          <w:p>
            <w:pPr>
              <w:pStyle w:val="TableText"/>
              <w:ind w:left="110" w:right="222" w:firstLine="129"/>
              <w:spacing w:before="89" w:line="281" w:lineRule="auto"/>
              <w:rPr>
                <w:sz w:val="16"/>
                <w:szCs w:val="16"/>
              </w:rPr>
            </w:pPr>
            <w:r>
              <w:rPr>
                <w:sz w:val="16"/>
                <w:szCs w:val="16"/>
                <w:spacing w:val="-9"/>
              </w:rPr>
              <w:t>范式理论是关系数据模型设计的基础，关系数据模型可以从第一范式到第五范式进行无损分解，该过程也称为</w:t>
            </w:r>
            <w:r>
              <w:rPr>
                <w:sz w:val="16"/>
                <w:szCs w:val="16"/>
                <w:spacing w:val="8"/>
              </w:rPr>
              <w:t xml:space="preserve"> </w:t>
            </w:r>
            <w:r>
              <w:rPr>
                <w:sz w:val="16"/>
                <w:szCs w:val="16"/>
                <w:spacing w:val="-8"/>
              </w:rPr>
              <w:t>规范化。规范化的基本思想是逐步消除数据依赖中不合适的部</w:t>
            </w:r>
            <w:r>
              <w:rPr>
                <w:sz w:val="16"/>
                <w:szCs w:val="16"/>
                <w:spacing w:val="-9"/>
              </w:rPr>
              <w:t>分，使各关系模式达到某种程度的分离，即“一事</w:t>
            </w:r>
            <w:r>
              <w:rPr>
                <w:sz w:val="16"/>
                <w:szCs w:val="16"/>
              </w:rPr>
              <w:t xml:space="preserve"> </w:t>
            </w:r>
            <w:r>
              <w:rPr>
                <w:sz w:val="16"/>
                <w:szCs w:val="16"/>
                <w:spacing w:val="-10"/>
              </w:rPr>
              <w:t>一地”的设计原则，它有非常严格的数学定义。</w:t>
            </w:r>
          </w:p>
          <w:p>
            <w:pPr>
              <w:pStyle w:val="TableText"/>
              <w:ind w:left="239"/>
              <w:spacing w:before="99" w:line="219" w:lineRule="auto"/>
              <w:rPr>
                <w:sz w:val="16"/>
                <w:szCs w:val="16"/>
              </w:rPr>
            </w:pPr>
            <w:r>
              <w:rPr>
                <w:sz w:val="16"/>
                <w:szCs w:val="16"/>
                <w:spacing w:val="-7"/>
              </w:rPr>
              <w:t>规范化为数据库的设计和实施、应用程序的开发提供了诸多好处，其主要优点体现在以下4</w:t>
            </w:r>
            <w:r>
              <w:rPr>
                <w:sz w:val="16"/>
                <w:szCs w:val="16"/>
                <w:spacing w:val="-8"/>
              </w:rPr>
              <w:t>方面。</w:t>
            </w:r>
          </w:p>
          <w:p>
            <w:pPr>
              <w:pStyle w:val="TableText"/>
              <w:ind w:left="239"/>
              <w:spacing w:before="91" w:line="219" w:lineRule="auto"/>
              <w:rPr>
                <w:sz w:val="16"/>
                <w:szCs w:val="16"/>
              </w:rPr>
            </w:pPr>
            <w:r>
              <w:rPr>
                <w:sz w:val="16"/>
                <w:szCs w:val="16"/>
                <w:spacing w:val="-5"/>
              </w:rPr>
              <w:t>(1)可以得到更全面的数据组织；</w:t>
            </w:r>
          </w:p>
          <w:p>
            <w:pPr>
              <w:pStyle w:val="TableText"/>
              <w:ind w:left="239"/>
              <w:spacing w:before="72" w:line="212" w:lineRule="auto"/>
              <w:rPr>
                <w:sz w:val="16"/>
                <w:szCs w:val="16"/>
              </w:rPr>
            </w:pPr>
            <w:r>
              <w:rPr>
                <w:rFonts w:ascii="Arial" w:hAnsi="Arial" w:eastAsia="Arial" w:cs="Arial"/>
                <w:sz w:val="16"/>
                <w:szCs w:val="16"/>
                <w:spacing w:val="-5"/>
              </w:rPr>
              <w:t>(2)  </w:t>
            </w:r>
            <w:r>
              <w:rPr>
                <w:sz w:val="16"/>
                <w:szCs w:val="16"/>
                <w:spacing w:val="-5"/>
              </w:rPr>
              <w:t>减少不必要的数据冗余；</w:t>
            </w:r>
          </w:p>
          <w:p>
            <w:pPr>
              <w:pStyle w:val="TableText"/>
              <w:ind w:left="239"/>
              <w:spacing w:before="124" w:line="219" w:lineRule="auto"/>
              <w:rPr>
                <w:sz w:val="16"/>
                <w:szCs w:val="16"/>
              </w:rPr>
            </w:pPr>
            <w:r>
              <w:rPr>
                <w:sz w:val="16"/>
                <w:szCs w:val="16"/>
                <w:spacing w:val="-5"/>
              </w:rPr>
              <w:t>(3)易于维护数据的完整性：</w:t>
            </w:r>
          </w:p>
          <w:p>
            <w:pPr>
              <w:pStyle w:val="TableText"/>
              <w:ind w:left="239"/>
              <w:spacing w:before="90" w:line="219" w:lineRule="auto"/>
              <w:rPr>
                <w:sz w:val="16"/>
                <w:szCs w:val="16"/>
              </w:rPr>
            </w:pPr>
            <w:r>
              <w:rPr>
                <w:sz w:val="16"/>
                <w:szCs w:val="16"/>
                <w:spacing w:val="-5"/>
              </w:rPr>
              <w:t>(4)模型设计更灵活，便于系统今后的扩展数据库.</w:t>
            </w:r>
          </w:p>
          <w:p>
            <w:pPr>
              <w:pStyle w:val="TableText"/>
              <w:ind w:left="239"/>
              <w:spacing w:before="89" w:line="219" w:lineRule="auto"/>
              <w:rPr>
                <w:sz w:val="16"/>
                <w:szCs w:val="16"/>
              </w:rPr>
            </w:pPr>
            <w:r>
              <w:rPr>
                <w:sz w:val="16"/>
                <w:szCs w:val="16"/>
                <w:spacing w:val="-11"/>
              </w:rPr>
              <w:t>数据库设计一般采用第三范式，从所表达的含义看，</w:t>
            </w:r>
            <w:r>
              <w:rPr>
                <w:sz w:val="16"/>
                <w:szCs w:val="16"/>
                <w:spacing w:val="38"/>
                <w:w w:val="101"/>
              </w:rPr>
              <w:t xml:space="preserve"> </w:t>
            </w:r>
            <w:r>
              <w:rPr>
                <w:sz w:val="16"/>
                <w:szCs w:val="16"/>
                <w:spacing w:val="-11"/>
              </w:rPr>
              <w:t>一个符合第三范式的关系必须满足以</w:t>
            </w:r>
            <w:r>
              <w:rPr>
                <w:sz w:val="16"/>
                <w:szCs w:val="16"/>
                <w:spacing w:val="-12"/>
              </w:rPr>
              <w:t>下三个条件。</w:t>
            </w:r>
          </w:p>
          <w:p>
            <w:pPr>
              <w:pStyle w:val="TableText"/>
              <w:ind w:left="239"/>
              <w:spacing w:before="92" w:line="219" w:lineRule="auto"/>
              <w:rPr>
                <w:sz w:val="16"/>
                <w:szCs w:val="16"/>
              </w:rPr>
            </w:pPr>
            <w:r>
              <w:rPr>
                <w:sz w:val="16"/>
                <w:szCs w:val="16"/>
                <w:spacing w:val="-6"/>
              </w:rPr>
              <w:t>(1)每个属性的值唯一，不具有多义性；</w:t>
            </w:r>
          </w:p>
          <w:p>
            <w:pPr>
              <w:pStyle w:val="TableText"/>
              <w:ind w:left="239"/>
              <w:spacing w:before="99" w:line="219" w:lineRule="auto"/>
              <w:rPr>
                <w:sz w:val="16"/>
                <w:szCs w:val="16"/>
              </w:rPr>
            </w:pPr>
            <w:r>
              <w:rPr>
                <w:sz w:val="16"/>
                <w:szCs w:val="16"/>
                <w:spacing w:val="-7"/>
              </w:rPr>
              <w:t>(2)每个非主属性必须完全依赖于整个主键，而非主键的一部分；</w:t>
            </w:r>
          </w:p>
          <w:p>
            <w:pPr>
              <w:pStyle w:val="TableText"/>
              <w:ind w:left="239"/>
              <w:spacing w:before="80" w:line="219" w:lineRule="auto"/>
              <w:rPr>
                <w:sz w:val="16"/>
                <w:szCs w:val="16"/>
              </w:rPr>
            </w:pPr>
            <w:r>
              <w:rPr>
                <w:sz w:val="16"/>
                <w:szCs w:val="16"/>
                <w:spacing w:val="-5"/>
              </w:rPr>
              <w:t>(3)关系模式中不存在传递依赖。</w:t>
            </w:r>
          </w:p>
          <w:p>
            <w:pPr>
              <w:pStyle w:val="TableText"/>
              <w:ind w:left="110" w:right="262" w:firstLine="129"/>
              <w:spacing w:before="80" w:line="273" w:lineRule="auto"/>
              <w:rPr>
                <w:sz w:val="16"/>
                <w:szCs w:val="16"/>
              </w:rPr>
            </w:pPr>
            <w:r>
              <w:rPr>
                <w:sz w:val="16"/>
                <w:szCs w:val="16"/>
                <w:spacing w:val="-9"/>
              </w:rPr>
              <w:t>考虑到底层关系数据库的可扩展能力、投资成本和易于管理等多种因素，逻辑数据模型应遵照第三范式进行设</w:t>
            </w:r>
            <w:r>
              <w:rPr>
                <w:sz w:val="16"/>
                <w:szCs w:val="16"/>
                <w:spacing w:val="8"/>
              </w:rPr>
              <w:t xml:space="preserve"> </w:t>
            </w:r>
            <w:r>
              <w:rPr>
                <w:sz w:val="16"/>
                <w:szCs w:val="16"/>
                <w:spacing w:val="-8"/>
              </w:rPr>
              <w:t>计。</w:t>
            </w:r>
          </w:p>
          <w:p>
            <w:pPr>
              <w:pStyle w:val="TableText"/>
              <w:ind w:left="239"/>
              <w:spacing w:before="98" w:line="219" w:lineRule="auto"/>
              <w:rPr>
                <w:sz w:val="16"/>
                <w:szCs w:val="16"/>
              </w:rPr>
            </w:pPr>
            <w:r>
              <w:rPr>
                <w:sz w:val="16"/>
                <w:szCs w:val="16"/>
                <w:spacing w:val="-11"/>
              </w:rPr>
              <w:t>4.2</w:t>
            </w:r>
            <w:r>
              <w:rPr>
                <w:sz w:val="16"/>
                <w:szCs w:val="16"/>
                <w:spacing w:val="66"/>
              </w:rPr>
              <w:t xml:space="preserve"> </w:t>
            </w:r>
            <w:r>
              <w:rPr>
                <w:sz w:val="16"/>
                <w:szCs w:val="16"/>
                <w:spacing w:val="-11"/>
              </w:rPr>
              <w:t>实体—关系模型</w:t>
            </w:r>
          </w:p>
          <w:p>
            <w:pPr>
              <w:pStyle w:val="TableText"/>
              <w:ind w:left="110" w:right="183" w:firstLine="129"/>
              <w:spacing w:before="80" w:line="302" w:lineRule="auto"/>
              <w:rPr>
                <w:sz w:val="16"/>
                <w:szCs w:val="16"/>
              </w:rPr>
            </w:pPr>
            <w:r>
              <w:rPr>
                <w:sz w:val="16"/>
                <w:szCs w:val="16"/>
                <w:spacing w:val="-5"/>
              </w:rPr>
              <w:t>实体—关系方法是一种具有代表性的语义数据建模方法</w:t>
            </w:r>
            <w:r>
              <w:rPr>
                <w:sz w:val="16"/>
                <w:szCs w:val="16"/>
                <w:spacing w:val="-6"/>
              </w:rPr>
              <w:t>，其图形化表示称为实体一关系图(简称</w:t>
            </w:r>
            <w:r>
              <w:rPr>
                <w:sz w:val="16"/>
                <w:szCs w:val="16"/>
                <w:spacing w:val="-48"/>
              </w:rPr>
              <w:t xml:space="preserve"> </w:t>
            </w:r>
            <w:r>
              <w:rPr>
                <w:rFonts w:ascii="Times New Roman" w:hAnsi="Times New Roman" w:eastAsia="Times New Roman" w:cs="Times New Roman"/>
                <w:sz w:val="16"/>
                <w:szCs w:val="16"/>
                <w:spacing w:val="-6"/>
              </w:rPr>
              <w:t>ER</w:t>
            </w:r>
            <w:r>
              <w:rPr>
                <w:sz w:val="16"/>
                <w:szCs w:val="16"/>
                <w:spacing w:val="-6"/>
              </w:rPr>
              <w:t>图)。按照</w:t>
            </w:r>
            <w:r>
              <w:rPr>
                <w:sz w:val="16"/>
                <w:szCs w:val="16"/>
              </w:rPr>
              <w:t xml:space="preserve"> </w:t>
            </w:r>
            <w:r>
              <w:rPr>
                <w:sz w:val="16"/>
                <w:szCs w:val="16"/>
                <w:spacing w:val="-4"/>
              </w:rPr>
              <w:t>实体一关系方法建立的系统数据模型称为实体一关系模型</w:t>
            </w:r>
            <w:r>
              <w:rPr>
                <w:sz w:val="16"/>
                <w:szCs w:val="16"/>
                <w:spacing w:val="-30"/>
              </w:rPr>
              <w:t xml:space="preserve"> </w:t>
            </w:r>
            <w:r>
              <w:rPr>
                <w:rFonts w:ascii="Times New Roman" w:hAnsi="Times New Roman" w:eastAsia="Times New Roman" w:cs="Times New Roman"/>
                <w:sz w:val="16"/>
                <w:szCs w:val="16"/>
                <w:spacing w:val="-4"/>
              </w:rPr>
              <w:t>(Entity</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4"/>
              </w:rPr>
              <w:t>Relationshi</w:t>
            </w:r>
            <w:r>
              <w:rPr>
                <w:rFonts w:ascii="Times New Roman" w:hAnsi="Times New Roman" w:eastAsia="Times New Roman" w:cs="Times New Roman"/>
                <w:sz w:val="16"/>
                <w:szCs w:val="16"/>
                <w:spacing w:val="-5"/>
              </w:rPr>
              <w:t>p</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5"/>
              </w:rPr>
              <w:t>Model,</w:t>
            </w:r>
            <w:r>
              <w:rPr>
                <w:sz w:val="16"/>
                <w:szCs w:val="16"/>
                <w:spacing w:val="-5"/>
              </w:rPr>
              <w:t>简称</w:t>
            </w:r>
            <w:r>
              <w:rPr>
                <w:sz w:val="16"/>
                <w:szCs w:val="16"/>
                <w:spacing w:val="-31"/>
              </w:rPr>
              <w:t xml:space="preserve"> </w:t>
            </w:r>
            <w:r>
              <w:rPr>
                <w:rFonts w:ascii="Times New Roman" w:hAnsi="Times New Roman" w:eastAsia="Times New Roman" w:cs="Times New Roman"/>
                <w:sz w:val="16"/>
                <w:szCs w:val="16"/>
                <w:spacing w:val="-5"/>
              </w:rPr>
              <w:t>ER</w:t>
            </w:r>
            <w:r>
              <w:rPr>
                <w:sz w:val="16"/>
                <w:szCs w:val="16"/>
                <w:spacing w:val="-5"/>
              </w:rPr>
              <w:t>模型)。</w:t>
            </w:r>
            <w:r>
              <w:rPr>
                <w:rFonts w:ascii="Times New Roman" w:hAnsi="Times New Roman" w:eastAsia="Times New Roman" w:cs="Times New Roman"/>
                <w:sz w:val="16"/>
                <w:szCs w:val="16"/>
                <w:spacing w:val="-5"/>
              </w:rPr>
              <w:t>ER </w:t>
            </w:r>
            <w:r>
              <w:rPr>
                <w:sz w:val="16"/>
                <w:szCs w:val="16"/>
                <w:spacing w:val="-5"/>
              </w:rPr>
              <w:t>模型经</w:t>
            </w:r>
            <w:r>
              <w:rPr>
                <w:sz w:val="16"/>
                <w:szCs w:val="16"/>
              </w:rPr>
              <w:t xml:space="preserve"> </w:t>
            </w:r>
            <w:r>
              <w:rPr>
                <w:sz w:val="16"/>
                <w:szCs w:val="16"/>
                <w:spacing w:val="-9"/>
              </w:rPr>
              <w:t>过多年的发展完善，逐渐形成了完整、统一的建模标准，同时许多工具软件支持用</w:t>
            </w:r>
            <w:r>
              <w:rPr>
                <w:rFonts w:ascii="Times New Roman" w:hAnsi="Times New Roman" w:eastAsia="Times New Roman" w:cs="Times New Roman"/>
                <w:sz w:val="16"/>
                <w:szCs w:val="16"/>
                <w:spacing w:val="-9"/>
              </w:rPr>
              <w:t>ER</w:t>
            </w:r>
            <w:r>
              <w:rPr>
                <w:rFonts w:ascii="Times New Roman" w:hAnsi="Times New Roman" w:eastAsia="Times New Roman" w:cs="Times New Roman"/>
                <w:sz w:val="16"/>
                <w:szCs w:val="16"/>
                <w:spacing w:val="-10"/>
              </w:rPr>
              <w:t xml:space="preserve"> </w:t>
            </w:r>
            <w:r>
              <w:rPr>
                <w:sz w:val="16"/>
                <w:szCs w:val="16"/>
                <w:spacing w:val="-9"/>
              </w:rPr>
              <w:t>模型完成数据库的概念、逻</w:t>
            </w:r>
            <w:r>
              <w:rPr>
                <w:sz w:val="16"/>
                <w:szCs w:val="16"/>
              </w:rPr>
              <w:t xml:space="preserve"> </w:t>
            </w:r>
            <w:r>
              <w:rPr>
                <w:sz w:val="16"/>
                <w:szCs w:val="16"/>
                <w:spacing w:val="-7"/>
              </w:rPr>
              <w:t>辑和物理建模过程。</w:t>
            </w:r>
            <w:r>
              <w:rPr>
                <w:rFonts w:ascii="Times New Roman" w:hAnsi="Times New Roman" w:eastAsia="Times New Roman" w:cs="Times New Roman"/>
                <w:sz w:val="16"/>
                <w:szCs w:val="16"/>
                <w:spacing w:val="-7"/>
              </w:rPr>
              <w:t>IE</w:t>
            </w:r>
            <w:r>
              <w:rPr>
                <w:rFonts w:ascii="Times New Roman" w:hAnsi="Times New Roman" w:eastAsia="Times New Roman" w:cs="Times New Roman"/>
                <w:sz w:val="16"/>
                <w:szCs w:val="16"/>
                <w:spacing w:val="26"/>
                <w:w w:val="102"/>
              </w:rPr>
              <w:t xml:space="preserve"> </w:t>
            </w:r>
            <w:r>
              <w:rPr>
                <w:sz w:val="16"/>
                <w:szCs w:val="16"/>
                <w:spacing w:val="-7"/>
              </w:rPr>
              <w:t>和</w:t>
            </w:r>
            <w:r>
              <w:rPr>
                <w:rFonts w:ascii="Times New Roman" w:hAnsi="Times New Roman" w:eastAsia="Times New Roman" w:cs="Times New Roman"/>
                <w:sz w:val="16"/>
                <w:szCs w:val="16"/>
                <w:spacing w:val="-7"/>
              </w:rPr>
              <w:t>IDEF1X</w:t>
            </w:r>
            <w:r>
              <w:rPr>
                <w:sz w:val="16"/>
                <w:szCs w:val="16"/>
                <w:spacing w:val="-7"/>
              </w:rPr>
              <w:t>是两种常见的基于实体一关系模型的图形化建模方法及符号体系，它们所表达</w:t>
            </w:r>
            <w:r>
              <w:rPr>
                <w:sz w:val="16"/>
                <w:szCs w:val="16"/>
              </w:rPr>
              <w:t xml:space="preserve"> </w:t>
            </w:r>
            <w:r>
              <w:rPr>
                <w:sz w:val="16"/>
                <w:szCs w:val="16"/>
                <w:spacing w:val="-8"/>
              </w:rPr>
              <w:t>的概念都基本相同。底层关系数据库逻辑数据模型应是一个采用</w:t>
            </w:r>
            <w:r>
              <w:rPr>
                <w:rFonts w:ascii="Times New Roman" w:hAnsi="Times New Roman" w:eastAsia="Times New Roman" w:cs="Times New Roman"/>
                <w:sz w:val="16"/>
                <w:szCs w:val="16"/>
                <w:spacing w:val="-8"/>
              </w:rPr>
              <w:t>IE</w:t>
            </w:r>
            <w:r>
              <w:rPr>
                <w:rFonts w:ascii="Times New Roman" w:hAnsi="Times New Roman" w:eastAsia="Times New Roman" w:cs="Times New Roman"/>
                <w:sz w:val="16"/>
                <w:szCs w:val="16"/>
                <w:spacing w:val="32"/>
              </w:rPr>
              <w:t xml:space="preserve"> </w:t>
            </w:r>
            <w:r>
              <w:rPr>
                <w:sz w:val="16"/>
                <w:szCs w:val="16"/>
                <w:spacing w:val="-8"/>
              </w:rPr>
              <w:t>符号体系的实体—关系模型。</w:t>
            </w:r>
          </w:p>
          <w:p>
            <w:pPr>
              <w:pStyle w:val="TableText"/>
              <w:ind w:left="239"/>
              <w:spacing w:before="112" w:line="219" w:lineRule="auto"/>
              <w:rPr>
                <w:sz w:val="16"/>
                <w:szCs w:val="16"/>
              </w:rPr>
            </w:pPr>
            <w:r>
              <w:rPr>
                <w:sz w:val="16"/>
                <w:szCs w:val="16"/>
                <w:spacing w:val="-9"/>
              </w:rPr>
              <w:t>4.3  建模的三个阶段</w:t>
            </w:r>
          </w:p>
          <w:p>
            <w:pPr>
              <w:pStyle w:val="TableText"/>
              <w:ind w:left="239"/>
              <w:spacing w:before="89" w:line="219" w:lineRule="auto"/>
              <w:rPr>
                <w:sz w:val="16"/>
                <w:szCs w:val="16"/>
              </w:rPr>
            </w:pPr>
            <w:r>
              <w:rPr>
                <w:sz w:val="16"/>
                <w:szCs w:val="16"/>
                <w:spacing w:val="-9"/>
              </w:rPr>
              <w:t>建模时通常采用“自顶向下、逐步求精”的方法，因此建模从设计过程上可以分为以下三个阶段。</w:t>
            </w:r>
          </w:p>
          <w:p>
            <w:pPr>
              <w:pStyle w:val="TableText"/>
              <w:ind w:left="110" w:right="243" w:firstLine="129"/>
              <w:spacing w:before="51" w:line="296" w:lineRule="auto"/>
              <w:rPr>
                <w:sz w:val="16"/>
                <w:szCs w:val="16"/>
              </w:rPr>
            </w:pPr>
            <w:r>
              <w:rPr>
                <w:sz w:val="16"/>
                <w:szCs w:val="16"/>
                <w:spacing w:val="-3"/>
              </w:rPr>
              <w:t>(1)概念模型设计</w:t>
            </w:r>
            <w:r>
              <w:rPr>
                <w:sz w:val="16"/>
                <w:szCs w:val="16"/>
                <w:spacing w:val="-36"/>
              </w:rPr>
              <w:t xml:space="preserve"> </w:t>
            </w:r>
            <w:r>
              <w:rPr>
                <w:rFonts w:ascii="Times New Roman" w:hAnsi="Times New Roman" w:eastAsia="Times New Roman" w:cs="Times New Roman"/>
                <w:sz w:val="16"/>
                <w:szCs w:val="16"/>
                <w:spacing w:val="-3"/>
              </w:rPr>
              <w:t>(Concept</w:t>
            </w:r>
            <w:r>
              <w:rPr>
                <w:rFonts w:ascii="Times New Roman" w:hAnsi="Times New Roman" w:eastAsia="Times New Roman" w:cs="Times New Roman"/>
                <w:sz w:val="16"/>
                <w:szCs w:val="16"/>
                <w:spacing w:val="28"/>
                <w:w w:val="102"/>
              </w:rPr>
              <w:t xml:space="preserve"> </w:t>
            </w:r>
            <w:r>
              <w:rPr>
                <w:rFonts w:ascii="Times New Roman" w:hAnsi="Times New Roman" w:eastAsia="Times New Roman" w:cs="Times New Roman"/>
                <w:sz w:val="16"/>
                <w:szCs w:val="16"/>
                <w:spacing w:val="-3"/>
              </w:rPr>
              <w:t>Data</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3"/>
              </w:rPr>
              <w:t>Modeling):</w:t>
            </w:r>
            <w:r>
              <w:rPr>
                <w:sz w:val="16"/>
                <w:szCs w:val="16"/>
                <w:spacing w:val="-3"/>
              </w:rPr>
              <w:t>这一阶段之前的首要</w:t>
            </w:r>
            <w:r>
              <w:rPr>
                <w:sz w:val="16"/>
                <w:szCs w:val="16"/>
                <w:spacing w:val="-4"/>
              </w:rPr>
              <w:t>工作是通过需求分析，明确需求所涵盖的业</w:t>
            </w:r>
            <w:r>
              <w:rPr>
                <w:sz w:val="16"/>
                <w:szCs w:val="16"/>
              </w:rPr>
              <w:t xml:space="preserve"> </w:t>
            </w:r>
            <w:r>
              <w:rPr>
                <w:sz w:val="16"/>
                <w:szCs w:val="16"/>
                <w:spacing w:val="-9"/>
              </w:rPr>
              <w:t>务范围。然后再对需求范围内的业务及其间关系进行高度概括性的描述，把密切相关业务对象进行归类，即划分</w:t>
            </w:r>
            <w:r>
              <w:rPr>
                <w:sz w:val="16"/>
                <w:szCs w:val="16"/>
                <w:spacing w:val="6"/>
              </w:rPr>
              <w:t xml:space="preserve"> </w:t>
            </w:r>
            <w:r>
              <w:rPr>
                <w:sz w:val="16"/>
                <w:szCs w:val="16"/>
                <w:spacing w:val="-9"/>
              </w:rPr>
              <w:t>主题域。概念模型的设计是为逻辑模型的设计做准备的，它没有统一的标准，主要根据设计者的经验完成。</w:t>
            </w:r>
          </w:p>
          <w:p>
            <w:pPr>
              <w:pStyle w:val="TableText"/>
              <w:ind w:left="110" w:right="181" w:firstLine="129"/>
              <w:spacing w:before="73" w:line="302" w:lineRule="auto"/>
              <w:rPr>
                <w:sz w:val="16"/>
                <w:szCs w:val="16"/>
              </w:rPr>
            </w:pPr>
            <w:r>
              <w:rPr>
                <w:sz w:val="16"/>
                <w:szCs w:val="16"/>
                <w:spacing w:val="-3"/>
              </w:rPr>
              <w:t>(2)逻辑模型设计</w:t>
            </w:r>
            <w:r>
              <w:rPr>
                <w:sz w:val="16"/>
                <w:szCs w:val="16"/>
                <w:spacing w:val="-25"/>
              </w:rPr>
              <w:t xml:space="preserve"> </w:t>
            </w:r>
            <w:r>
              <w:rPr>
                <w:rFonts w:ascii="Times New Roman" w:hAnsi="Times New Roman" w:eastAsia="Times New Roman" w:cs="Times New Roman"/>
                <w:sz w:val="16"/>
                <w:szCs w:val="16"/>
                <w:spacing w:val="-3"/>
              </w:rPr>
              <w:t>(Logical</w:t>
            </w:r>
            <w:r>
              <w:rPr>
                <w:rFonts w:ascii="Times New Roman" w:hAnsi="Times New Roman" w:eastAsia="Times New Roman" w:cs="Times New Roman"/>
                <w:sz w:val="16"/>
                <w:szCs w:val="16"/>
                <w:spacing w:val="27"/>
              </w:rPr>
              <w:t xml:space="preserve"> </w:t>
            </w:r>
            <w:r>
              <w:rPr>
                <w:rFonts w:ascii="Times New Roman" w:hAnsi="Times New Roman" w:eastAsia="Times New Roman" w:cs="Times New Roman"/>
                <w:sz w:val="16"/>
                <w:szCs w:val="16"/>
                <w:spacing w:val="-3"/>
              </w:rPr>
              <w:t>Data</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spacing w:val="-3"/>
              </w:rPr>
              <w:t>Modeling):</w:t>
            </w:r>
            <w:r>
              <w:rPr>
                <w:sz w:val="16"/>
                <w:szCs w:val="16"/>
                <w:spacing w:val="-3"/>
              </w:rPr>
              <w:t>分别对概念模型的各个主题进行细化，根据业务定义、分类和规</w:t>
            </w:r>
            <w:r>
              <w:rPr>
                <w:sz w:val="16"/>
                <w:szCs w:val="16"/>
              </w:rPr>
              <w:t xml:space="preserve">  </w:t>
            </w:r>
            <w:r>
              <w:rPr>
                <w:sz w:val="16"/>
                <w:szCs w:val="16"/>
                <w:spacing w:val="-6"/>
              </w:rPr>
              <w:t>则，定义其中的实体并描述实体之间的关系，并</w:t>
            </w:r>
            <w:r>
              <w:rPr>
                <w:sz w:val="16"/>
                <w:szCs w:val="16"/>
                <w:spacing w:val="-7"/>
              </w:rPr>
              <w:t>产生实体关系图</w:t>
            </w:r>
            <w:r>
              <w:rPr>
                <w:sz w:val="16"/>
                <w:szCs w:val="16"/>
                <w:spacing w:val="-43"/>
              </w:rPr>
              <w:t xml:space="preserve"> </w:t>
            </w:r>
            <w:r>
              <w:rPr>
                <w:rFonts w:ascii="Times New Roman" w:hAnsi="Times New Roman" w:eastAsia="Times New Roman" w:cs="Times New Roman"/>
                <w:sz w:val="16"/>
                <w:szCs w:val="16"/>
                <w:spacing w:val="-7"/>
              </w:rPr>
              <w:t>(ERD),   </w:t>
            </w:r>
            <w:r>
              <w:rPr>
                <w:sz w:val="16"/>
                <w:szCs w:val="16"/>
                <w:spacing w:val="-7"/>
              </w:rPr>
              <w:t>然后遵照规范化思想在实体关系的基础</w:t>
            </w:r>
            <w:r>
              <w:rPr>
                <w:sz w:val="16"/>
                <w:szCs w:val="16"/>
              </w:rPr>
              <w:t xml:space="preserve"> </w:t>
            </w:r>
            <w:r>
              <w:rPr>
                <w:sz w:val="16"/>
                <w:szCs w:val="16"/>
                <w:spacing w:val="-9"/>
              </w:rPr>
              <w:t>上明确各个实体的属性。实体产生于公司开展的业务、服务及其涉及的对象(如</w:t>
            </w:r>
            <w:r>
              <w:rPr>
                <w:sz w:val="16"/>
                <w:szCs w:val="16"/>
                <w:spacing w:val="-10"/>
              </w:rPr>
              <w:t>客户、帐户、员工、机构、资源),</w:t>
            </w:r>
            <w:r>
              <w:rPr>
                <w:sz w:val="16"/>
                <w:szCs w:val="16"/>
              </w:rPr>
              <w:t xml:space="preserve"> </w:t>
            </w:r>
            <w:r>
              <w:rPr>
                <w:sz w:val="16"/>
                <w:szCs w:val="16"/>
                <w:spacing w:val="-9"/>
              </w:rPr>
              <w:t>实体间的对应、约束关系则来自于各业务过程中的规则。可以说，这一阶段面对的是业务。</w:t>
            </w:r>
          </w:p>
          <w:p>
            <w:pPr>
              <w:pStyle w:val="TableText"/>
              <w:ind w:left="110" w:right="257" w:firstLine="129"/>
              <w:spacing w:before="82" w:line="303" w:lineRule="auto"/>
              <w:rPr>
                <w:sz w:val="16"/>
                <w:szCs w:val="16"/>
              </w:rPr>
            </w:pPr>
            <w:r>
              <w:rPr>
                <w:sz w:val="16"/>
                <w:szCs w:val="16"/>
              </w:rPr>
              <w:t>(3)物理模型设计</w:t>
            </w:r>
            <w:r>
              <w:rPr>
                <w:sz w:val="16"/>
                <w:szCs w:val="16"/>
                <w:spacing w:val="-17"/>
              </w:rPr>
              <w:t xml:space="preserve"> </w:t>
            </w:r>
            <w:r>
              <w:rPr>
                <w:rFonts w:ascii="Times New Roman" w:hAnsi="Times New Roman" w:eastAsia="Times New Roman" w:cs="Times New Roman"/>
                <w:sz w:val="16"/>
                <w:szCs w:val="16"/>
              </w:rPr>
              <w:t>(Physical  Data  Modeling):  </w:t>
            </w:r>
            <w:r>
              <w:rPr>
                <w:sz w:val="16"/>
                <w:szCs w:val="16"/>
              </w:rPr>
              <w:t>主</w:t>
            </w:r>
            <w:r>
              <w:rPr>
                <w:sz w:val="16"/>
                <w:szCs w:val="16"/>
                <w:spacing w:val="-1"/>
              </w:rPr>
              <w:t>要依据逻辑模型针对具体的分析需求和物理平台采取相应</w:t>
            </w:r>
            <w:r>
              <w:rPr>
                <w:sz w:val="16"/>
                <w:szCs w:val="16"/>
              </w:rPr>
              <w:t xml:space="preserve"> </w:t>
            </w:r>
            <w:r>
              <w:rPr>
                <w:sz w:val="16"/>
                <w:szCs w:val="16"/>
                <w:spacing w:val="-3"/>
              </w:rPr>
              <w:t>的优化策略。此时会在一定程度上增加数据冗余或者隐藏实体之间的关系，是一种反规范化的处理，目的是</w:t>
            </w:r>
            <w:r>
              <w:rPr>
                <w:sz w:val="16"/>
                <w:szCs w:val="16"/>
                <w:spacing w:val="8"/>
              </w:rPr>
              <w:t xml:space="preserve"> </w:t>
            </w:r>
            <w:r>
              <w:rPr>
                <w:sz w:val="16"/>
                <w:szCs w:val="16"/>
                <w:spacing w:val="-3"/>
              </w:rPr>
              <w:t>提高数据分析的速度，适应具体数据库的容量、性能等限制。可以说，这一阶段面对的是具体软硬件平台和</w:t>
            </w:r>
            <w:r>
              <w:rPr>
                <w:sz w:val="16"/>
                <w:szCs w:val="16"/>
                <w:spacing w:val="12"/>
              </w:rPr>
              <w:t xml:space="preserve"> </w:t>
            </w:r>
            <w:r>
              <w:rPr>
                <w:sz w:val="16"/>
                <w:szCs w:val="16"/>
                <w:spacing w:val="-6"/>
              </w:rPr>
              <w:t>性能要求。</w:t>
            </w:r>
          </w:p>
        </w:tc>
      </w:tr>
    </w:tbl>
    <w:p>
      <w:pPr>
        <w:pStyle w:val="BodyText"/>
        <w:rPr/>
      </w:pPr>
      <w:r/>
    </w:p>
    <w:p>
      <w:pPr>
        <w:sectPr>
          <w:footerReference w:type="default" r:id="rId363"/>
          <w:pgSz w:w="8870" w:h="13400"/>
          <w:pgMar w:top="400" w:right="690" w:bottom="571" w:left="299" w:header="0" w:footer="371" w:gutter="0"/>
        </w:sectPr>
        <w:rPr/>
      </w:pPr>
    </w:p>
    <w:p>
      <w:pPr>
        <w:ind w:left="130"/>
        <w:spacing w:before="190"/>
        <w:rPr>
          <w:rFonts w:ascii="SimSun" w:hAnsi="SimSun" w:eastAsia="SimSun" w:cs="SimSun"/>
          <w:sz w:val="22"/>
          <w:szCs w:val="22"/>
        </w:rPr>
      </w:pPr>
      <w:r>
        <w:rPr>
          <w:rFonts w:ascii="SimSun" w:hAnsi="SimSun" w:eastAsia="SimSun" w:cs="SimSun"/>
          <w:sz w:val="22"/>
          <w:szCs w:val="22"/>
          <w:position w:val="-8"/>
        </w:rPr>
        <w:drawing>
          <wp:inline distT="0" distB="0" distL="0" distR="0">
            <wp:extent cx="6308" cy="222255"/>
            <wp:effectExtent l="0" t="0" r="0" b="0"/>
            <wp:docPr id="242" name="IM 242"/>
            <wp:cNvGraphicFramePr/>
            <a:graphic>
              <a:graphicData uri="http://schemas.openxmlformats.org/drawingml/2006/picture">
                <pic:pic>
                  <pic:nvPicPr>
                    <pic:cNvPr id="242" name="IM 242"/>
                    <pic:cNvPicPr/>
                  </pic:nvPicPr>
                  <pic:blipFill>
                    <a:blip r:embed="rId365"/>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12"/>
        </w:rPr>
        <w:t xml:space="preserve"> </w:t>
      </w:r>
      <w:r>
        <w:rPr>
          <w:rFonts w:ascii="SimSun" w:hAnsi="SimSun" w:eastAsia="SimSun" w:cs="SimSun"/>
          <w:sz w:val="22"/>
          <w:szCs w:val="22"/>
          <w:b/>
          <w:bCs/>
          <w:spacing w:val="-19"/>
        </w:rPr>
        <w:t>■云端数据治理</w:t>
      </w:r>
    </w:p>
    <w:p>
      <w:pPr>
        <w:pStyle w:val="BodyText"/>
        <w:spacing w:line="275" w:lineRule="auto"/>
        <w:rPr/>
      </w:pPr>
      <w:r/>
    </w:p>
    <w:p>
      <w:pPr>
        <w:ind w:left="7222"/>
        <w:spacing w:before="58" w:line="220" w:lineRule="auto"/>
        <w:rPr>
          <w:rFonts w:ascii="SimSun" w:hAnsi="SimSun" w:eastAsia="SimSun" w:cs="SimSun"/>
          <w:sz w:val="18"/>
          <w:szCs w:val="18"/>
        </w:rPr>
      </w:pPr>
      <w:r>
        <w:rPr>
          <w:rFonts w:ascii="SimSun" w:hAnsi="SimSun" w:eastAsia="SimSun" w:cs="SimSun"/>
          <w:sz w:val="18"/>
          <w:szCs w:val="18"/>
          <w:b/>
          <w:bCs/>
          <w:spacing w:val="-5"/>
        </w:rPr>
        <w:t>续表</w:t>
      </w:r>
    </w:p>
    <w:p>
      <w:pPr>
        <w:spacing w:line="53" w:lineRule="auto"/>
        <w:rPr>
          <w:rFonts w:ascii="Arial"/>
          <w:sz w:val="2"/>
        </w:rPr>
      </w:pPr>
      <w:r>
        <w:rPr>
          <w:rFonts w:ascii="Arial"/>
          <w:sz w:val="2"/>
        </w:rPr>
      </w:r>
    </w:p>
    <w:tbl>
      <w:tblPr>
        <w:tblStyle w:val="TableNormal"/>
        <w:tblW w:w="7679" w:type="dxa"/>
        <w:tblInd w:w="289" w:type="dxa"/>
        <w:tblLayout w:type="fixed"/>
        <w:tblBorders>
          <w:left w:val="single" w:color="000000" w:sz="4" w:space="0"/>
          <w:bottom w:val="single" w:color="000000" w:sz="4" w:space="0"/>
          <w:right w:val="single" w:color="000000" w:sz="4" w:space="0"/>
          <w:top w:val="single" w:color="000000" w:sz="4" w:space="0"/>
        </w:tblBorders>
      </w:tblPr>
      <w:tblGrid>
        <w:gridCol w:w="7679"/>
      </w:tblGrid>
      <w:tr>
        <w:trPr>
          <w:trHeight w:val="8129" w:hRule="atLeast"/>
        </w:trPr>
        <w:tc>
          <w:tcPr>
            <w:tcW w:w="7679" w:type="dxa"/>
            <w:vAlign w:val="top"/>
          </w:tcPr>
          <w:p>
            <w:pPr>
              <w:pStyle w:val="TableText"/>
              <w:ind w:left="105" w:right="200" w:firstLine="149"/>
              <w:spacing w:before="60" w:line="357" w:lineRule="auto"/>
              <w:rPr/>
            </w:pPr>
            <w:r>
              <w:rPr/>
              <w:t>一旦逻辑模型到位，物理模型就有了可参照的依据，开发工作内容也同时得到明确。鉴</w:t>
            </w:r>
            <w:r>
              <w:rPr>
                <w:spacing w:val="-1"/>
              </w:rPr>
              <w:t>于各子公司信息系统可</w:t>
            </w:r>
            <w:r>
              <w:rPr/>
              <w:t xml:space="preserve"> </w:t>
            </w:r>
            <w:r>
              <w:rPr/>
              <w:t>能采用不同的数据库平台、不同的配置方案并具有不同的分析需求侧重点，各子公司可进行本地化补充并经集团</w:t>
            </w:r>
          </w:p>
          <w:p>
            <w:pPr>
              <w:pStyle w:val="TableText"/>
              <w:ind w:left="115"/>
              <w:spacing w:line="219" w:lineRule="auto"/>
              <w:rPr/>
            </w:pPr>
            <w:r>
              <w:rPr>
                <w:spacing w:val="-1"/>
              </w:rPr>
              <w:t>公司审批之后自行进行物理模型的设计。</w:t>
            </w:r>
          </w:p>
          <w:p>
            <w:pPr>
              <w:pStyle w:val="TableText"/>
              <w:ind w:left="265"/>
              <w:spacing w:before="100" w:line="219" w:lineRule="auto"/>
              <w:rPr/>
            </w:pPr>
            <w:r>
              <w:rPr>
                <w:spacing w:val="-1"/>
              </w:rPr>
              <w:t>5  建模中所考虑的关键问题</w:t>
            </w:r>
          </w:p>
          <w:p>
            <w:pPr>
              <w:pStyle w:val="TableText"/>
              <w:ind w:left="255"/>
              <w:spacing w:before="103" w:line="219" w:lineRule="auto"/>
              <w:rPr/>
            </w:pPr>
            <w:r>
              <w:rPr>
                <w:spacing w:val="-1"/>
              </w:rPr>
              <w:t>5.1  逻辑模型和业务的关系</w:t>
            </w:r>
          </w:p>
          <w:p>
            <w:pPr>
              <w:pStyle w:val="TableText"/>
              <w:ind w:left="105" w:right="189" w:firstLine="179"/>
              <w:spacing w:before="112" w:line="307" w:lineRule="auto"/>
              <w:rPr/>
            </w:pPr>
            <w:r>
              <w:rPr/>
              <w:t>业务是指公司开展或参与的与市场、客户、合作伙伴等相关的各种服务活动，它是逻辑模型设</w:t>
            </w:r>
            <w:r>
              <w:rPr>
                <w:spacing w:val="-1"/>
              </w:rPr>
              <w:t>计的出发点和依</w:t>
            </w:r>
            <w:r>
              <w:rPr/>
              <w:t xml:space="preserve"> </w:t>
            </w:r>
            <w:r>
              <w:rPr/>
              <w:t>据。按照实体—关系方法设计的逻辑数据模型就是业务的数据逻辑视图，图形化的结果就是实体</w:t>
            </w:r>
            <w:r>
              <w:rPr>
                <w:spacing w:val="-1"/>
              </w:rPr>
              <w:t>关系图。业务过</w:t>
            </w:r>
            <w:r>
              <w:rPr/>
              <w:t xml:space="preserve"> </w:t>
            </w:r>
            <w:r>
              <w:rPr/>
              <w:t>程中涉及的对象表现为实体或属性，业务过程中的规则表现为实体间的关系，而后者通过实体的主外键引用体现</w:t>
            </w:r>
            <w:r>
              <w:rPr>
                <w:spacing w:val="13"/>
              </w:rPr>
              <w:t xml:space="preserve"> </w:t>
            </w:r>
            <w:r>
              <w:rPr>
                <w:spacing w:val="-2"/>
              </w:rPr>
              <w:t>出来。</w:t>
            </w:r>
          </w:p>
          <w:p>
            <w:pPr>
              <w:pStyle w:val="TableText"/>
              <w:ind w:left="265"/>
              <w:spacing w:before="102" w:line="219" w:lineRule="auto"/>
              <w:rPr/>
            </w:pPr>
            <w:r>
              <w:rPr/>
              <w:t>建立逻辑数据模型的第一步就是要进行业务分析，这一过程参与的人员主要是业务人员(</w:t>
            </w:r>
            <w:r>
              <w:rPr>
                <w:spacing w:val="-1"/>
              </w:rPr>
              <w:t>或者是熟悉业务的技</w:t>
            </w:r>
          </w:p>
          <w:p>
            <w:pPr>
              <w:pStyle w:val="TableText"/>
              <w:ind w:left="105" w:right="126" w:firstLine="19"/>
              <w:spacing w:before="111" w:line="345" w:lineRule="auto"/>
              <w:rPr/>
            </w:pPr>
            <w:r>
              <w:rPr/>
              <w:t>术人员)。在划定需求要求的业务范围之后，业务分析首先要弄清楚企业主要开展或参与哪些</w:t>
            </w:r>
            <w:r>
              <w:rPr>
                <w:spacing w:val="-1"/>
              </w:rPr>
              <w:t>活动，每项活动涉及</w:t>
            </w:r>
            <w:r>
              <w:rPr/>
              <w:t xml:space="preserve"> </w:t>
            </w:r>
            <w:r>
              <w:rPr/>
              <w:t>哪些对象和资源，为了开展这些活动需要哪些相关活动等。通过分析这些情况，识别</w:t>
            </w:r>
            <w:r>
              <w:rPr>
                <w:spacing w:val="-1"/>
              </w:rPr>
              <w:t>并列出业务活动中涉及的每</w:t>
            </w:r>
          </w:p>
          <w:p>
            <w:pPr>
              <w:pStyle w:val="TableText"/>
              <w:ind w:left="135"/>
              <w:spacing w:before="1" w:line="219" w:lineRule="auto"/>
              <w:rPr/>
            </w:pPr>
            <w:r>
              <w:rPr>
                <w:spacing w:val="-1"/>
              </w:rPr>
              <w:t>一个实体及其主要属性，并逐步完善其属性。</w:t>
            </w:r>
          </w:p>
          <w:p>
            <w:pPr>
              <w:pStyle w:val="TableText"/>
              <w:ind w:left="265"/>
              <w:spacing w:before="81" w:line="300" w:lineRule="exact"/>
              <w:rPr/>
            </w:pPr>
            <w:r>
              <w:rPr>
                <w:position w:val="11"/>
              </w:rPr>
              <w:t>设计出逻辑数据模型的大致框架后，可以在概念模型主题域划分的基础上对实体再次进</w:t>
            </w:r>
            <w:r>
              <w:rPr>
                <w:spacing w:val="-1"/>
                <w:position w:val="11"/>
              </w:rPr>
              <w:t>行归类，以便将来理解</w:t>
            </w:r>
          </w:p>
          <w:p>
            <w:pPr>
              <w:pStyle w:val="TableText"/>
              <w:ind w:left="105"/>
              <w:spacing w:before="1" w:line="219" w:lineRule="auto"/>
              <w:rPr/>
            </w:pPr>
            <w:r>
              <w:rPr>
                <w:spacing w:val="-1"/>
              </w:rPr>
              <w:t>和改善逻辑数据模型。</w:t>
            </w:r>
          </w:p>
          <w:p>
            <w:pPr>
              <w:pStyle w:val="TableText"/>
              <w:ind w:left="275"/>
              <w:spacing w:before="112" w:line="219" w:lineRule="auto"/>
              <w:rPr/>
            </w:pPr>
            <w:r>
              <w:rPr>
                <w:spacing w:val="-1"/>
              </w:rPr>
              <w:t>5.2逻辑模型和需求的关系</w:t>
            </w:r>
          </w:p>
          <w:p>
            <w:pPr>
              <w:pStyle w:val="TableText"/>
              <w:ind w:left="115" w:right="192" w:firstLine="170"/>
              <w:spacing w:before="112" w:line="269" w:lineRule="auto"/>
              <w:rPr/>
            </w:pPr>
            <w:r>
              <w:rPr/>
              <w:t>首先，确定需求的范围可以从“水平”上划定逻辑模型的设计范围，决定了建模时要考</w:t>
            </w:r>
            <w:r>
              <w:rPr>
                <w:spacing w:val="-1"/>
              </w:rPr>
              <w:t>虑已有的哪些业务、不</w:t>
            </w:r>
            <w:r>
              <w:rPr/>
              <w:t xml:space="preserve"> </w:t>
            </w:r>
            <w:r>
              <w:rPr/>
              <w:t>需考虑哪些业务。这样就可以不漏掉数据建模时应该分析的业务，同时可以避免在非关键业务</w:t>
            </w:r>
            <w:r>
              <w:rPr>
                <w:spacing w:val="-1"/>
              </w:rPr>
              <w:t>上浪费精力。</w:t>
            </w:r>
          </w:p>
          <w:p>
            <w:pPr>
              <w:pStyle w:val="TableText"/>
              <w:ind w:left="125" w:right="190" w:firstLine="160"/>
              <w:spacing w:before="112" w:line="303" w:lineRule="auto"/>
              <w:rPr/>
            </w:pPr>
            <w:r>
              <w:rPr/>
              <w:t>其次，需求分析可以从“深度”上明确数据逻辑模型设计时要把握的数据最细粒度是多少。</w:t>
            </w:r>
            <w:r>
              <w:rPr>
                <w:spacing w:val="-1"/>
              </w:rPr>
              <w:t>由于底层细节数据</w:t>
            </w:r>
            <w:r>
              <w:rPr/>
              <w:t xml:space="preserve"> </w:t>
            </w:r>
            <w:r>
              <w:rPr/>
              <w:t>决定了将来经营分析系统可以分析到的最细程度，因此其逻辑模型设计阶段要根据当前及近期可能的最细分</w:t>
            </w:r>
            <w:r>
              <w:rPr>
                <w:spacing w:val="-1"/>
              </w:rPr>
              <w:t>析程</w:t>
            </w:r>
            <w:r>
              <w:rPr/>
              <w:t xml:space="preserve"> </w:t>
            </w:r>
            <w:r>
              <w:rPr>
                <w:spacing w:val="-1"/>
              </w:rPr>
              <w:t>度决定其实体或属性的最细粒度。</w:t>
            </w:r>
          </w:p>
          <w:p>
            <w:pPr>
              <w:pStyle w:val="TableText"/>
              <w:ind w:left="235"/>
              <w:spacing w:before="82" w:line="219" w:lineRule="auto"/>
              <w:rPr/>
            </w:pPr>
            <w:r>
              <w:rPr>
                <w:spacing w:val="-1"/>
              </w:rPr>
              <w:t>5.3  逻辑模型设计的难点</w:t>
            </w:r>
          </w:p>
          <w:p>
            <w:pPr>
              <w:pStyle w:val="TableText"/>
              <w:ind w:left="125" w:right="201" w:firstLine="149"/>
              <w:spacing w:before="122" w:line="282" w:lineRule="auto"/>
              <w:rPr/>
            </w:pPr>
            <w:r>
              <w:rPr/>
              <w:t>为避免在业务定义上的歧义，应建立公认的标准定义。同时，逻辑数据模型必须具有扩展</w:t>
            </w:r>
            <w:r>
              <w:rPr>
                <w:spacing w:val="-1"/>
              </w:rPr>
              <w:t>性，能够灵活适应未</w:t>
            </w:r>
            <w:r>
              <w:rPr/>
              <w:t xml:space="preserve"> </w:t>
            </w:r>
            <w:r>
              <w:rPr/>
              <w:t>来业务模式的变化。因此，逻辑模型不应该完全受原有业务系统对业务理解和</w:t>
            </w:r>
            <w:r>
              <w:rPr>
                <w:spacing w:val="-1"/>
              </w:rPr>
              <w:t>实现的限制。</w:t>
            </w:r>
          </w:p>
          <w:p>
            <w:pPr>
              <w:pStyle w:val="TableText"/>
              <w:ind w:left="255"/>
              <w:spacing w:before="102" w:line="219" w:lineRule="auto"/>
              <w:rPr/>
            </w:pPr>
            <w:r>
              <w:rPr>
                <w:spacing w:val="-1"/>
              </w:rPr>
              <w:t>6建模工具软件说明</w:t>
            </w:r>
          </w:p>
          <w:p>
            <w:pPr>
              <w:pStyle w:val="TableText"/>
              <w:ind w:left="125" w:right="41" w:firstLine="160"/>
              <w:spacing w:before="112" w:line="282" w:lineRule="auto"/>
              <w:rPr/>
            </w:pPr>
            <w:r>
              <w:rPr/>
              <w:t>建模工作采用冠群公司的Erwin Data Modeler。该工具是目前较流行的数据模型建模工具，</w:t>
            </w:r>
            <w:r>
              <w:rPr>
                <w:spacing w:val="-1"/>
              </w:rPr>
              <w:t>支持第三范式和星型</w:t>
            </w:r>
            <w:r>
              <w:rPr/>
              <w:t xml:space="preserve"> </w:t>
            </w:r>
            <w:r>
              <w:rPr/>
              <w:t>模型，支持逻辑数据模型和物理模型的设计，支持不同目标数据库之间物理模型的转换。在逻辑数</w:t>
            </w:r>
            <w:r>
              <w:rPr>
                <w:spacing w:val="-1"/>
              </w:rPr>
              <w:t>据模型设计中，</w:t>
            </w:r>
          </w:p>
          <w:p>
            <w:pPr>
              <w:pStyle w:val="TableText"/>
              <w:ind w:left="125" w:right="733" w:hanging="10"/>
              <w:spacing w:before="77" w:line="290" w:lineRule="auto"/>
              <w:rPr/>
            </w:pPr>
            <w:r>
              <w:rPr/>
              <w:t>ERWin支持两种IDEFIX和IE两种逻辑建模符号体系，支持IDEF1X、IE和DM(Dimensional Modeli</w:t>
            </w:r>
            <w:r>
              <w:rPr>
                <w:spacing w:val="-1"/>
              </w:rPr>
              <w:t>ng,多维建</w:t>
            </w:r>
            <w:r>
              <w:rPr/>
              <w:t xml:space="preserve"> </w:t>
            </w:r>
            <w:r>
              <w:rPr/>
              <w:t>模)三种物理建模符号体系，其中DM符号体系用于星型模型的设计。建议统一采用IE建模符号体系。</w:t>
            </w:r>
          </w:p>
        </w:tc>
      </w:tr>
    </w:tbl>
    <w:p>
      <w:pPr>
        <w:pStyle w:val="BodyText"/>
        <w:spacing w:line="326" w:lineRule="auto"/>
        <w:rPr/>
      </w:pPr>
      <w:r/>
    </w:p>
    <w:p>
      <w:pPr>
        <w:ind w:left="334"/>
        <w:spacing w:before="94" w:line="222" w:lineRule="auto"/>
        <w:outlineLvl w:val="4"/>
        <w:rPr>
          <w:rFonts w:ascii="YouYuan" w:hAnsi="YouYuan" w:eastAsia="YouYuan" w:cs="YouYuan"/>
          <w:sz w:val="29"/>
          <w:szCs w:val="29"/>
        </w:rPr>
      </w:pPr>
      <w:r>
        <w:rPr>
          <w:rFonts w:ascii="YouYuan" w:hAnsi="YouYuan" w:eastAsia="YouYuan" w:cs="YouYuan"/>
          <w:sz w:val="29"/>
          <w:szCs w:val="29"/>
          <w:b/>
          <w:bCs/>
          <w:spacing w:val="-6"/>
        </w:rPr>
        <w:t>8.2.2</w:t>
      </w:r>
      <w:r>
        <w:rPr>
          <w:rFonts w:ascii="YouYuan" w:hAnsi="YouYuan" w:eastAsia="YouYuan" w:cs="YouYuan"/>
          <w:sz w:val="29"/>
          <w:szCs w:val="29"/>
          <w:spacing w:val="118"/>
        </w:rPr>
        <w:t xml:space="preserve"> </w:t>
      </w:r>
      <w:r>
        <w:rPr>
          <w:rFonts w:ascii="YouYuan" w:hAnsi="YouYuan" w:eastAsia="YouYuan" w:cs="YouYuan"/>
          <w:sz w:val="29"/>
          <w:szCs w:val="29"/>
          <w:b/>
          <w:bCs/>
          <w:spacing w:val="-6"/>
        </w:rPr>
        <w:t>架构标准</w:t>
      </w:r>
    </w:p>
    <w:p>
      <w:pPr>
        <w:pStyle w:val="BodyText"/>
        <w:spacing w:line="252" w:lineRule="auto"/>
        <w:rPr/>
      </w:pPr>
      <w:r/>
    </w:p>
    <w:p>
      <w:pPr>
        <w:ind w:left="753"/>
        <w:spacing w:before="71" w:line="224" w:lineRule="auto"/>
        <w:outlineLvl w:val="5"/>
        <w:rPr>
          <w:rFonts w:ascii="YouYuan" w:hAnsi="YouYuan" w:eastAsia="YouYuan" w:cs="YouYuan"/>
          <w:sz w:val="22"/>
          <w:szCs w:val="22"/>
        </w:rPr>
      </w:pPr>
      <w:r>
        <w:rPr>
          <w:rFonts w:ascii="YouYuan" w:hAnsi="YouYuan" w:eastAsia="YouYuan" w:cs="YouYuan"/>
          <w:sz w:val="22"/>
          <w:szCs w:val="22"/>
          <w:b/>
          <w:bCs/>
          <w:spacing w:val="-1"/>
        </w:rPr>
        <w:t>1.</w:t>
      </w:r>
      <w:r>
        <w:rPr>
          <w:rFonts w:ascii="YouYuan" w:hAnsi="YouYuan" w:eastAsia="YouYuan" w:cs="YouYuan"/>
          <w:sz w:val="22"/>
          <w:szCs w:val="22"/>
          <w:spacing w:val="-1"/>
        </w:rPr>
        <w:t xml:space="preserve"> </w:t>
      </w:r>
      <w:r>
        <w:rPr>
          <w:rFonts w:ascii="YouYuan" w:hAnsi="YouYuan" w:eastAsia="YouYuan" w:cs="YouYuan"/>
          <w:sz w:val="22"/>
          <w:szCs w:val="22"/>
          <w:b/>
          <w:bCs/>
          <w:spacing w:val="-1"/>
        </w:rPr>
        <w:t>简介</w:t>
      </w:r>
    </w:p>
    <w:p>
      <w:pPr>
        <w:ind w:left="749"/>
        <w:spacing w:before="206" w:line="232" w:lineRule="auto"/>
        <w:rPr>
          <w:rFonts w:ascii="KaiTi" w:hAnsi="KaiTi" w:eastAsia="KaiTi" w:cs="KaiTi"/>
          <w:sz w:val="22"/>
          <w:szCs w:val="22"/>
        </w:rPr>
      </w:pPr>
      <w:r>
        <w:rPr>
          <w:rFonts w:ascii="KaiTi" w:hAnsi="KaiTi" w:eastAsia="KaiTi" w:cs="KaiTi"/>
          <w:sz w:val="22"/>
          <w:szCs w:val="22"/>
          <w:spacing w:val="15"/>
        </w:rPr>
        <w:t>1)目的</w:t>
      </w:r>
    </w:p>
    <w:p>
      <w:pPr>
        <w:ind w:left="339" w:right="22" w:firstLine="409"/>
        <w:spacing w:before="37"/>
        <w:rPr>
          <w:rFonts w:ascii="SimSun" w:hAnsi="SimSun" w:eastAsia="SimSun" w:cs="SimSun"/>
          <w:sz w:val="22"/>
          <w:szCs w:val="22"/>
        </w:rPr>
      </w:pPr>
      <w:r>
        <w:rPr>
          <w:rFonts w:ascii="SimSun" w:hAnsi="SimSun" w:eastAsia="SimSun" w:cs="SimSun"/>
          <w:sz w:val="22"/>
          <w:szCs w:val="22"/>
          <w:spacing w:val="-8"/>
        </w:rPr>
        <w:t>提供一套经批准的数据表示、数据访问和数据分发标准，以利</w:t>
      </w:r>
      <w:r>
        <w:rPr>
          <w:rFonts w:ascii="SimSun" w:hAnsi="SimSun" w:eastAsia="SimSun" w:cs="SimSun"/>
          <w:sz w:val="22"/>
          <w:szCs w:val="22"/>
          <w:spacing w:val="-9"/>
        </w:rPr>
        <w:t>于实现云端数据</w:t>
      </w:r>
      <w:r>
        <w:rPr>
          <w:rFonts w:ascii="SimSun" w:hAnsi="SimSun" w:eastAsia="SimSun" w:cs="SimSun"/>
          <w:sz w:val="22"/>
          <w:szCs w:val="22"/>
        </w:rPr>
        <w:t xml:space="preserve"> </w:t>
      </w:r>
      <w:r>
        <w:rPr>
          <w:rFonts w:ascii="SimSun" w:hAnsi="SimSun" w:eastAsia="SimSun" w:cs="SimSun"/>
          <w:sz w:val="22"/>
          <w:szCs w:val="22"/>
          <w:spacing w:val="-11"/>
        </w:rPr>
        <w:t>共享、保证一致性、完整性与准确性。</w:t>
      </w:r>
    </w:p>
    <w:p>
      <w:pPr>
        <w:sectPr>
          <w:footerReference w:type="default" r:id="rId364"/>
          <w:pgSz w:w="8870" w:h="13400"/>
          <w:pgMar w:top="400" w:right="395" w:bottom="534" w:left="500" w:header="0" w:footer="316" w:gutter="0"/>
        </w:sectPr>
        <w:rPr>
          <w:rFonts w:ascii="SimSun" w:hAnsi="SimSun" w:eastAsia="SimSun" w:cs="SimSun"/>
          <w:sz w:val="22"/>
          <w:szCs w:val="22"/>
        </w:rPr>
      </w:pPr>
    </w:p>
    <w:p>
      <w:pPr>
        <w:ind w:left="5493"/>
        <w:spacing w:before="264" w:line="219" w:lineRule="auto"/>
        <w:rPr>
          <w:rFonts w:ascii="SimSun" w:hAnsi="SimSun" w:eastAsia="SimSun" w:cs="SimSun"/>
          <w:sz w:val="21"/>
          <w:szCs w:val="21"/>
        </w:rPr>
      </w:pPr>
      <w:r>
        <w:rPr>
          <w:rFonts w:ascii="SimSun" w:hAnsi="SimSun" w:eastAsia="SimSun" w:cs="SimSun"/>
          <w:sz w:val="21"/>
          <w:szCs w:val="21"/>
          <w:b/>
          <w:bCs/>
          <w:spacing w:val="17"/>
        </w:rPr>
        <w:t>第8章■云端数据架构</w:t>
      </w:r>
    </w:p>
    <w:p>
      <w:pPr>
        <w:pStyle w:val="BodyText"/>
        <w:spacing w:line="253" w:lineRule="auto"/>
        <w:rPr/>
      </w:pPr>
      <w:r/>
    </w:p>
    <w:p>
      <w:pPr>
        <w:ind w:left="390"/>
        <w:spacing w:before="69" w:line="219" w:lineRule="auto"/>
        <w:rPr>
          <w:rFonts w:ascii="SimSun" w:hAnsi="SimSun" w:eastAsia="SimSun" w:cs="SimSun"/>
          <w:sz w:val="21"/>
          <w:szCs w:val="21"/>
        </w:rPr>
      </w:pPr>
      <w:r>
        <w:rPr>
          <w:rFonts w:ascii="SimSun" w:hAnsi="SimSun" w:eastAsia="SimSun" w:cs="SimSun"/>
          <w:sz w:val="21"/>
          <w:szCs w:val="21"/>
          <w:spacing w:val="24"/>
        </w:rPr>
        <w:t>2)介绍</w:t>
      </w:r>
    </w:p>
    <w:p>
      <w:pPr>
        <w:ind w:right="185" w:firstLine="390"/>
        <w:spacing w:before="61" w:line="247" w:lineRule="auto"/>
        <w:rPr>
          <w:rFonts w:ascii="SimSun" w:hAnsi="SimSun" w:eastAsia="SimSun" w:cs="SimSun"/>
          <w:sz w:val="21"/>
          <w:szCs w:val="21"/>
        </w:rPr>
      </w:pPr>
      <w:r>
        <w:rPr>
          <w:rFonts w:ascii="SimSun" w:hAnsi="SimSun" w:eastAsia="SimSun" w:cs="SimSun"/>
          <w:sz w:val="21"/>
          <w:szCs w:val="21"/>
          <w:spacing w:val="3"/>
        </w:rPr>
        <w:t>架构标准定义了制订、批准以及遵从数据表示、数据访问和数据分发标准，其</w:t>
      </w:r>
      <w:r>
        <w:rPr>
          <w:rFonts w:ascii="SimSun" w:hAnsi="SimSun" w:eastAsia="SimSun" w:cs="SimSun"/>
          <w:sz w:val="21"/>
          <w:szCs w:val="21"/>
          <w:spacing w:val="16"/>
        </w:rPr>
        <w:t xml:space="preserve"> </w:t>
      </w:r>
      <w:r>
        <w:rPr>
          <w:rFonts w:ascii="SimSun" w:hAnsi="SimSun" w:eastAsia="SimSun" w:cs="SimSun"/>
          <w:sz w:val="21"/>
          <w:szCs w:val="21"/>
          <w:spacing w:val="-5"/>
        </w:rPr>
        <w:t>可能包括以下方面的标准：</w:t>
      </w:r>
    </w:p>
    <w:p>
      <w:pPr>
        <w:ind w:left="390"/>
        <w:spacing w:before="59" w:line="219" w:lineRule="auto"/>
        <w:rPr>
          <w:rFonts w:ascii="SimSun" w:hAnsi="SimSun" w:eastAsia="SimSun" w:cs="SimSun"/>
          <w:sz w:val="21"/>
          <w:szCs w:val="21"/>
        </w:rPr>
      </w:pPr>
      <w:r>
        <w:rPr>
          <w:rFonts w:ascii="SimSun" w:hAnsi="SimSun" w:eastAsia="SimSun" w:cs="SimSun"/>
          <w:sz w:val="21"/>
          <w:szCs w:val="21"/>
          <w:spacing w:val="3"/>
        </w:rPr>
        <w:t>(1)数据表示，包括业务词汇、逻辑、物理、</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、建模</w:t>
      </w:r>
      <w:r>
        <w:rPr>
          <w:rFonts w:ascii="SimSun" w:hAnsi="SimSun" w:eastAsia="SimSun" w:cs="SimSun"/>
          <w:sz w:val="21"/>
          <w:szCs w:val="21"/>
          <w:spacing w:val="2"/>
        </w:rPr>
        <w:t>标准、模型管理等。</w:t>
      </w:r>
    </w:p>
    <w:p>
      <w:pPr>
        <w:ind w:right="249" w:firstLine="390"/>
        <w:spacing w:before="70" w:line="246" w:lineRule="auto"/>
        <w:rPr>
          <w:rFonts w:ascii="SimSun" w:hAnsi="SimSun" w:eastAsia="SimSun" w:cs="SimSun"/>
          <w:sz w:val="21"/>
          <w:szCs w:val="21"/>
        </w:rPr>
      </w:pPr>
      <w:r>
        <w:rPr>
          <w:rFonts w:ascii="SimSun" w:hAnsi="SimSun" w:eastAsia="SimSun" w:cs="SimSun"/>
          <w:sz w:val="21"/>
          <w:szCs w:val="21"/>
          <w:spacing w:val="4"/>
        </w:rPr>
        <w:t>(2)数据访问，包括普通数据业务、适用的信息交换标准、点到点数据中转、</w:t>
      </w:r>
      <w:r>
        <w:rPr>
          <w:rFonts w:ascii="SimSun" w:hAnsi="SimSun" w:eastAsia="SimSun" w:cs="SimSun"/>
          <w:sz w:val="21"/>
          <w:szCs w:val="21"/>
          <w:spacing w:val="18"/>
        </w:rPr>
        <w:t xml:space="preserve"> </w:t>
      </w:r>
      <w:r>
        <w:rPr>
          <w:rFonts w:ascii="SimSun" w:hAnsi="SimSun" w:eastAsia="SimSun" w:cs="SimSun"/>
          <w:sz w:val="21"/>
          <w:szCs w:val="21"/>
          <w:spacing w:val="-3"/>
        </w:rPr>
        <w:t>批量数据移动和数据集成的标准</w:t>
      </w:r>
    </w:p>
    <w:p>
      <w:pPr>
        <w:ind w:right="210" w:firstLine="390"/>
        <w:spacing w:before="59" w:line="255" w:lineRule="auto"/>
        <w:rPr>
          <w:rFonts w:ascii="SimSun" w:hAnsi="SimSun" w:eastAsia="SimSun" w:cs="SimSun"/>
          <w:sz w:val="21"/>
          <w:szCs w:val="21"/>
        </w:rPr>
      </w:pPr>
      <w:r>
        <w:rPr>
          <w:rFonts w:ascii="SimSun" w:hAnsi="SimSun" w:eastAsia="SimSun" w:cs="SimSun"/>
          <w:sz w:val="21"/>
          <w:szCs w:val="21"/>
          <w:spacing w:val="12"/>
        </w:rPr>
        <w:t>(3)数据分发，包括内部和外部数据供应：</w:t>
      </w:r>
      <w:r>
        <w:rPr>
          <w:rFonts w:ascii="SimSun" w:hAnsi="SimSun" w:eastAsia="SimSun" w:cs="SimSun"/>
          <w:sz w:val="21"/>
          <w:szCs w:val="21"/>
          <w:spacing w:val="11"/>
        </w:rPr>
        <w:t>分发控制和管理、请求及批准访</w:t>
      </w:r>
      <w:r>
        <w:rPr>
          <w:rFonts w:ascii="SimSun" w:hAnsi="SimSun" w:eastAsia="SimSun" w:cs="SimSun"/>
          <w:sz w:val="21"/>
          <w:szCs w:val="21"/>
        </w:rPr>
        <w:t xml:space="preserve"> </w:t>
      </w:r>
      <w:r>
        <w:rPr>
          <w:rFonts w:ascii="SimSun" w:hAnsi="SimSun" w:eastAsia="SimSun" w:cs="SimSun"/>
          <w:sz w:val="21"/>
          <w:szCs w:val="21"/>
          <w:spacing w:val="10"/>
        </w:rPr>
        <w:t>问、访问限制、分发模型(例如推/拉、发布和订阅)、所有权和权限、监管部门</w:t>
      </w:r>
      <w:r>
        <w:rPr>
          <w:rFonts w:ascii="SimSun" w:hAnsi="SimSun" w:eastAsia="SimSun" w:cs="SimSun"/>
          <w:sz w:val="21"/>
          <w:szCs w:val="21"/>
          <w:spacing w:val="17"/>
        </w:rPr>
        <w:t xml:space="preserve"> </w:t>
      </w:r>
      <w:r>
        <w:rPr>
          <w:rFonts w:ascii="SimSun" w:hAnsi="SimSun" w:eastAsia="SimSun" w:cs="SimSun"/>
          <w:sz w:val="21"/>
          <w:szCs w:val="21"/>
          <w:spacing w:val="1"/>
        </w:rPr>
        <w:t>和审核等。</w:t>
      </w:r>
    </w:p>
    <w:p>
      <w:pPr>
        <w:ind w:right="102" w:firstLine="390"/>
        <w:spacing w:before="60" w:line="265" w:lineRule="auto"/>
        <w:rPr>
          <w:rFonts w:ascii="SimSun" w:hAnsi="SimSun" w:eastAsia="SimSun" w:cs="SimSun"/>
          <w:sz w:val="21"/>
          <w:szCs w:val="21"/>
        </w:rPr>
      </w:pPr>
      <w:r>
        <w:rPr>
          <w:rFonts w:ascii="SimSun" w:hAnsi="SimSun" w:eastAsia="SimSun" w:cs="SimSun"/>
          <w:sz w:val="21"/>
          <w:szCs w:val="21"/>
          <w:spacing w:val="2"/>
        </w:rPr>
        <w:t>标准的制订是必要的。业务部门在评估和审批标准以及区分目标优先次序方面</w:t>
      </w:r>
      <w:r>
        <w:rPr>
          <w:rFonts w:ascii="SimSun" w:hAnsi="SimSun" w:eastAsia="SimSun" w:cs="SimSun"/>
          <w:sz w:val="21"/>
          <w:szCs w:val="21"/>
          <w:spacing w:val="4"/>
        </w:rPr>
        <w:t xml:space="preserve">  </w:t>
      </w:r>
      <w:r>
        <w:rPr>
          <w:rFonts w:ascii="SimSun" w:hAnsi="SimSun" w:eastAsia="SimSun" w:cs="SimSun"/>
          <w:sz w:val="21"/>
          <w:szCs w:val="21"/>
        </w:rPr>
        <w:t>应发挥积极的作用，最好的方式是在业务部门和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8"/>
        </w:rPr>
        <w:t xml:space="preserve"> </w:t>
      </w:r>
      <w:r>
        <w:rPr>
          <w:rFonts w:ascii="SimSun" w:hAnsi="SimSun" w:eastAsia="SimSun" w:cs="SimSun"/>
          <w:sz w:val="21"/>
          <w:szCs w:val="21"/>
        </w:rPr>
        <w:t>之间实施一种协作方法，以建立  </w:t>
      </w:r>
      <w:r>
        <w:rPr>
          <w:rFonts w:ascii="SimSun" w:hAnsi="SimSun" w:eastAsia="SimSun" w:cs="SimSun"/>
          <w:sz w:val="21"/>
          <w:szCs w:val="21"/>
          <w:spacing w:val="3"/>
        </w:rPr>
        <w:t>一个系统的、受管理的方法来制订、发布并实施可同时满足业务需求和该组织的架</w:t>
      </w:r>
      <w:r>
        <w:rPr>
          <w:rFonts w:ascii="SimSun" w:hAnsi="SimSun" w:eastAsia="SimSun" w:cs="SimSun"/>
          <w:sz w:val="21"/>
          <w:szCs w:val="21"/>
        </w:rPr>
        <w:t xml:space="preserve"> </w:t>
      </w:r>
      <w:r>
        <w:rPr>
          <w:rFonts w:ascii="SimSun" w:hAnsi="SimSun" w:eastAsia="SimSun" w:cs="SimSun"/>
          <w:sz w:val="21"/>
          <w:szCs w:val="21"/>
          <w:spacing w:val="-2"/>
        </w:rPr>
        <w:t>构方法的标准。</w:t>
      </w:r>
      <w:r>
        <w:rPr>
          <w:rFonts w:ascii="SimSun" w:hAnsi="SimSun" w:eastAsia="SimSun" w:cs="SimSun"/>
          <w:sz w:val="21"/>
          <w:szCs w:val="21"/>
          <w:spacing w:val="45"/>
        </w:rPr>
        <w:t xml:space="preserve"> </w:t>
      </w:r>
      <w:r>
        <w:rPr>
          <w:rFonts w:ascii="SimSun" w:hAnsi="SimSun" w:eastAsia="SimSun" w:cs="SimSun"/>
          <w:sz w:val="21"/>
          <w:szCs w:val="21"/>
          <w:spacing w:val="-2"/>
        </w:rPr>
        <w:t>一旦在整个组织范围内制订标准，则标准应</w:t>
      </w:r>
      <w:r>
        <w:rPr>
          <w:rFonts w:ascii="SimSun" w:hAnsi="SimSun" w:eastAsia="SimSun" w:cs="SimSun"/>
          <w:sz w:val="21"/>
          <w:szCs w:val="21"/>
          <w:spacing w:val="-3"/>
        </w:rPr>
        <w:t>支持整个组织向目标数</w:t>
      </w:r>
      <w:r>
        <w:rPr>
          <w:rFonts w:ascii="SimSun" w:hAnsi="SimSun" w:eastAsia="SimSun" w:cs="SimSun"/>
          <w:sz w:val="21"/>
          <w:szCs w:val="21"/>
        </w:rPr>
        <w:t xml:space="preserve">  </w:t>
      </w:r>
      <w:r>
        <w:rPr>
          <w:rFonts w:ascii="SimSun" w:hAnsi="SimSun" w:eastAsia="SimSun" w:cs="SimSun"/>
          <w:sz w:val="21"/>
          <w:szCs w:val="21"/>
          <w:spacing w:val="-1"/>
        </w:rPr>
        <w:t>据架构的演变，以实现数据资产的技术堆栈的选择和部署的改进、开发周期的简</w:t>
      </w:r>
      <w:r>
        <w:rPr>
          <w:rFonts w:ascii="SimSun" w:hAnsi="SimSun" w:eastAsia="SimSun" w:cs="SimSun"/>
          <w:sz w:val="21"/>
          <w:szCs w:val="21"/>
          <w:spacing w:val="-2"/>
        </w:rPr>
        <w:t>化。</w:t>
      </w:r>
      <w:r>
        <w:rPr>
          <w:rFonts w:ascii="SimSun" w:hAnsi="SimSun" w:eastAsia="SimSun" w:cs="SimSun"/>
          <w:sz w:val="21"/>
          <w:szCs w:val="21"/>
        </w:rPr>
        <w:t xml:space="preserve"> </w:t>
      </w:r>
      <w:r>
        <w:rPr>
          <w:rFonts w:ascii="SimSun" w:hAnsi="SimSun" w:eastAsia="SimSun" w:cs="SimSun"/>
          <w:sz w:val="21"/>
          <w:szCs w:val="21"/>
          <w:spacing w:val="-1"/>
        </w:rPr>
        <w:t>通过尽可能减少项目人员的不一致工作，并通过组件的重新利用等方法来减少</w:t>
      </w:r>
      <w:r>
        <w:rPr>
          <w:rFonts w:ascii="SimSun" w:hAnsi="SimSun" w:eastAsia="SimSun" w:cs="SimSun"/>
          <w:sz w:val="21"/>
          <w:szCs w:val="21"/>
          <w:spacing w:val="-2"/>
        </w:rPr>
        <w:t>成本。</w:t>
      </w:r>
      <w:r>
        <w:rPr>
          <w:rFonts w:ascii="SimSun" w:hAnsi="SimSun" w:eastAsia="SimSun" w:cs="SimSun"/>
          <w:sz w:val="21"/>
          <w:szCs w:val="21"/>
        </w:rPr>
        <w:t xml:space="preserve"> </w:t>
      </w:r>
      <w:r>
        <w:rPr>
          <w:rFonts w:ascii="SimSun" w:hAnsi="SimSun" w:eastAsia="SimSun" w:cs="SimSun"/>
          <w:sz w:val="21"/>
          <w:szCs w:val="21"/>
          <w:spacing w:val="-1"/>
        </w:rPr>
        <w:t>为了实现这些目标，有效和积极的架构管理是必需的。</w:t>
      </w:r>
    </w:p>
    <w:p>
      <w:pPr>
        <w:ind w:left="390"/>
        <w:spacing w:before="91" w:line="219" w:lineRule="auto"/>
        <w:rPr>
          <w:rFonts w:ascii="SimSun" w:hAnsi="SimSun" w:eastAsia="SimSun" w:cs="SimSun"/>
          <w:sz w:val="21"/>
          <w:szCs w:val="21"/>
        </w:rPr>
      </w:pPr>
      <w:r>
        <w:rPr>
          <w:rFonts w:ascii="SimSun" w:hAnsi="SimSun" w:eastAsia="SimSun" w:cs="SimSun"/>
          <w:sz w:val="21"/>
          <w:szCs w:val="21"/>
          <w:spacing w:val="-2"/>
        </w:rPr>
        <w:t>把数据架构管理融入一个组织要遵循以下指导原则：</w:t>
      </w:r>
    </w:p>
    <w:p>
      <w:pPr>
        <w:ind w:right="249" w:firstLine="390"/>
        <w:spacing w:before="69" w:line="242" w:lineRule="auto"/>
        <w:rPr>
          <w:rFonts w:ascii="SimSun" w:hAnsi="SimSun" w:eastAsia="SimSun" w:cs="SimSun"/>
          <w:sz w:val="21"/>
          <w:szCs w:val="21"/>
        </w:rPr>
      </w:pPr>
      <w:r>
        <w:rPr>
          <w:rFonts w:ascii="SimSun" w:hAnsi="SimSun" w:eastAsia="SimSun" w:cs="SimSun"/>
          <w:sz w:val="21"/>
          <w:szCs w:val="21"/>
          <w:spacing w:val="4"/>
        </w:rPr>
        <w:t>(1)数据架构是一系列规范架构的整合，用于定义数据需求、制订数据整合、</w:t>
      </w:r>
      <w:r>
        <w:rPr>
          <w:rFonts w:ascii="SimSun" w:hAnsi="SimSun" w:eastAsia="SimSun" w:cs="SimSun"/>
          <w:sz w:val="21"/>
          <w:szCs w:val="21"/>
          <w:spacing w:val="18"/>
        </w:rPr>
        <w:t xml:space="preserve"> </w:t>
      </w:r>
      <w:r>
        <w:rPr>
          <w:rFonts w:ascii="SimSun" w:hAnsi="SimSun" w:eastAsia="SimSun" w:cs="SimSun"/>
          <w:sz w:val="21"/>
          <w:szCs w:val="21"/>
          <w:spacing w:val="-2"/>
        </w:rPr>
        <w:t>控制数据资产，是数据投资与业务战略相一致。</w:t>
      </w:r>
    </w:p>
    <w:p>
      <w:pPr>
        <w:ind w:right="225" w:firstLine="390"/>
        <w:spacing w:before="51" w:line="250" w:lineRule="auto"/>
        <w:rPr>
          <w:rFonts w:ascii="SimSun" w:hAnsi="SimSun" w:eastAsia="SimSun" w:cs="SimSun"/>
          <w:sz w:val="21"/>
          <w:szCs w:val="21"/>
        </w:rPr>
      </w:pPr>
      <w:r>
        <w:rPr>
          <w:rFonts w:ascii="SimSun" w:hAnsi="SimSun" w:eastAsia="SimSun" w:cs="SimSun"/>
          <w:sz w:val="21"/>
          <w:szCs w:val="21"/>
          <w:spacing w:val="5"/>
        </w:rPr>
        <w:t>(2)企业数据架构与流程架构、业务架构、系统架构和技术架构一起，是整个</w:t>
      </w:r>
      <w:r>
        <w:rPr>
          <w:rFonts w:ascii="SimSun" w:hAnsi="SimSun" w:eastAsia="SimSun" w:cs="SimSun"/>
          <w:sz w:val="21"/>
          <w:szCs w:val="21"/>
          <w:spacing w:val="8"/>
        </w:rPr>
        <w:t xml:space="preserve"> </w:t>
      </w:r>
      <w:r>
        <w:rPr>
          <w:rFonts w:ascii="SimSun" w:hAnsi="SimSun" w:eastAsia="SimSun" w:cs="SimSun"/>
          <w:sz w:val="21"/>
          <w:szCs w:val="21"/>
          <w:spacing w:val="-4"/>
        </w:rPr>
        <w:t>企业架构的一部分。</w:t>
      </w:r>
    </w:p>
    <w:p>
      <w:pPr>
        <w:ind w:left="390"/>
        <w:spacing w:before="60" w:line="219" w:lineRule="auto"/>
        <w:rPr>
          <w:rFonts w:ascii="SimSun" w:hAnsi="SimSun" w:eastAsia="SimSun" w:cs="SimSun"/>
          <w:sz w:val="21"/>
          <w:szCs w:val="21"/>
        </w:rPr>
      </w:pPr>
      <w:r>
        <w:rPr>
          <w:rFonts w:ascii="SimSun" w:hAnsi="SimSun" w:eastAsia="SimSun" w:cs="SimSun"/>
          <w:sz w:val="21"/>
          <w:szCs w:val="21"/>
          <w:spacing w:val="-3"/>
        </w:rPr>
        <w:t>(3)企业数据架构不仅仅涉及数据，还采用通用的业务术语来建立</w:t>
      </w:r>
      <w:r>
        <w:rPr>
          <w:rFonts w:ascii="SimSun" w:hAnsi="SimSun" w:eastAsia="SimSun" w:cs="SimSun"/>
          <w:sz w:val="21"/>
          <w:szCs w:val="21"/>
          <w:spacing w:val="-4"/>
        </w:rPr>
        <w:t>企业内的语义。</w:t>
      </w:r>
    </w:p>
    <w:p>
      <w:pPr>
        <w:ind w:right="225" w:firstLine="390"/>
        <w:spacing w:before="70" w:line="251" w:lineRule="auto"/>
        <w:rPr>
          <w:rFonts w:ascii="SimSun" w:hAnsi="SimSun" w:eastAsia="SimSun" w:cs="SimSun"/>
          <w:sz w:val="21"/>
          <w:szCs w:val="21"/>
        </w:rPr>
      </w:pPr>
      <w:r>
        <w:rPr>
          <w:rFonts w:ascii="SimSun" w:hAnsi="SimSun" w:eastAsia="SimSun" w:cs="SimSun"/>
          <w:sz w:val="21"/>
          <w:szCs w:val="21"/>
          <w:spacing w:val="8"/>
        </w:rPr>
        <w:t>(4)企业数据架构包括3个主要的规范：企业数据模型、信息价值链分析和数</w:t>
      </w:r>
      <w:r>
        <w:rPr>
          <w:rFonts w:ascii="SimSun" w:hAnsi="SimSun" w:eastAsia="SimSun" w:cs="SimSun"/>
          <w:sz w:val="21"/>
          <w:szCs w:val="21"/>
          <w:spacing w:val="7"/>
        </w:rPr>
        <w:t xml:space="preserve"> </w:t>
      </w:r>
      <w:r>
        <w:rPr>
          <w:rFonts w:ascii="SimSun" w:hAnsi="SimSun" w:eastAsia="SimSun" w:cs="SimSun"/>
          <w:sz w:val="21"/>
          <w:szCs w:val="21"/>
        </w:rPr>
        <w:t>据交付架构。</w:t>
      </w:r>
    </w:p>
    <w:p>
      <w:pPr>
        <w:ind w:right="225" w:firstLine="390"/>
        <w:spacing w:before="51" w:line="250" w:lineRule="auto"/>
        <w:rPr>
          <w:rFonts w:ascii="SimSun" w:hAnsi="SimSun" w:eastAsia="SimSun" w:cs="SimSun"/>
          <w:sz w:val="21"/>
          <w:szCs w:val="21"/>
        </w:rPr>
      </w:pPr>
      <w:r>
        <w:rPr>
          <w:rFonts w:ascii="SimSun" w:hAnsi="SimSun" w:eastAsia="SimSun" w:cs="SimSun"/>
          <w:sz w:val="21"/>
          <w:szCs w:val="21"/>
          <w:spacing w:val="5"/>
        </w:rPr>
        <w:t>(5)企业数据模型是整合的面向主题的数据模型，定义了跨越整个组织的关键</w:t>
      </w:r>
      <w:r>
        <w:rPr>
          <w:rFonts w:ascii="SimSun" w:hAnsi="SimSun" w:eastAsia="SimSun" w:cs="SimSun"/>
          <w:sz w:val="21"/>
          <w:szCs w:val="21"/>
          <w:spacing w:val="7"/>
        </w:rPr>
        <w:t xml:space="preserve"> </w:t>
      </w:r>
      <w:r>
        <w:rPr>
          <w:rFonts w:ascii="SimSun" w:hAnsi="SimSun" w:eastAsia="SimSun" w:cs="SimSun"/>
          <w:sz w:val="21"/>
          <w:szCs w:val="21"/>
          <w:spacing w:val="-9"/>
        </w:rPr>
        <w:t>数据。</w:t>
      </w:r>
    </w:p>
    <w:p>
      <w:pPr>
        <w:ind w:right="224" w:firstLine="390"/>
        <w:spacing w:before="50" w:line="247" w:lineRule="auto"/>
        <w:rPr>
          <w:rFonts w:ascii="SimSun" w:hAnsi="SimSun" w:eastAsia="SimSun" w:cs="SimSun"/>
          <w:sz w:val="21"/>
          <w:szCs w:val="21"/>
        </w:rPr>
      </w:pPr>
      <w:r>
        <w:rPr>
          <w:rFonts w:ascii="SimSun" w:hAnsi="SimSun" w:eastAsia="SimSun" w:cs="SimSun"/>
          <w:sz w:val="21"/>
          <w:szCs w:val="21"/>
          <w:spacing w:val="5"/>
        </w:rPr>
        <w:t>(6)信息价值链分析定义数据、流程、角色、机构以及其他企业元素之间的关</w:t>
      </w:r>
      <w:r>
        <w:rPr>
          <w:rFonts w:ascii="SimSun" w:hAnsi="SimSun" w:eastAsia="SimSun" w:cs="SimSun"/>
          <w:sz w:val="21"/>
          <w:szCs w:val="21"/>
          <w:spacing w:val="8"/>
        </w:rPr>
        <w:t xml:space="preserve"> </w:t>
      </w:r>
      <w:r>
        <w:rPr>
          <w:rFonts w:ascii="SimSun" w:hAnsi="SimSun" w:eastAsia="SimSun" w:cs="SimSun"/>
          <w:sz w:val="21"/>
          <w:szCs w:val="21"/>
          <w:spacing w:val="-8"/>
        </w:rPr>
        <w:t>键关系。</w:t>
      </w:r>
    </w:p>
    <w:p>
      <w:pPr>
        <w:ind w:right="225" w:firstLine="390"/>
        <w:spacing w:before="59" w:line="249" w:lineRule="auto"/>
        <w:rPr>
          <w:rFonts w:ascii="SimSun" w:hAnsi="SimSun" w:eastAsia="SimSun" w:cs="SimSun"/>
          <w:sz w:val="21"/>
          <w:szCs w:val="21"/>
        </w:rPr>
      </w:pPr>
      <w:r>
        <w:rPr>
          <w:rFonts w:ascii="SimSun" w:hAnsi="SimSun" w:eastAsia="SimSun" w:cs="SimSun"/>
          <w:sz w:val="21"/>
          <w:szCs w:val="21"/>
          <w:spacing w:val="5"/>
        </w:rPr>
        <w:t>(7)数据交付架构定义数据如何在数据库和应用之间流转的主蓝图。它保障数</w:t>
      </w:r>
      <w:r>
        <w:rPr>
          <w:rFonts w:ascii="SimSun" w:hAnsi="SimSun" w:eastAsia="SimSun" w:cs="SimSun"/>
          <w:sz w:val="21"/>
          <w:szCs w:val="21"/>
          <w:spacing w:val="8"/>
        </w:rPr>
        <w:t xml:space="preserve"> </w:t>
      </w:r>
      <w:r>
        <w:rPr>
          <w:rFonts w:ascii="SimSun" w:hAnsi="SimSun" w:eastAsia="SimSun" w:cs="SimSun"/>
          <w:sz w:val="21"/>
          <w:szCs w:val="21"/>
          <w:spacing w:val="-1"/>
        </w:rPr>
        <w:t>据质量和完善性，以支持事务的业务处理和商务智能报告分析。</w:t>
      </w:r>
    </w:p>
    <w:p>
      <w:pPr>
        <w:ind w:right="169" w:firstLine="390"/>
        <w:spacing w:before="63" w:line="255" w:lineRule="auto"/>
        <w:rPr>
          <w:rFonts w:ascii="SimSun" w:hAnsi="SimSun" w:eastAsia="SimSun" w:cs="SimSun"/>
          <w:sz w:val="21"/>
          <w:szCs w:val="21"/>
        </w:rPr>
      </w:pPr>
      <w:r>
        <w:rPr>
          <w:rFonts w:ascii="SimSun" w:hAnsi="SimSun" w:eastAsia="SimSun" w:cs="SimSun"/>
          <w:sz w:val="21"/>
          <w:szCs w:val="21"/>
          <w:spacing w:val="1"/>
        </w:rPr>
        <w:t>(8)业务部门在评估审批标准以及对目标优先次序制订方面应</w:t>
      </w:r>
      <w:r>
        <w:rPr>
          <w:rFonts w:ascii="SimSun" w:hAnsi="SimSun" w:eastAsia="SimSun" w:cs="SimSun"/>
          <w:sz w:val="21"/>
          <w:szCs w:val="21"/>
        </w:rPr>
        <w:t>发挥积极的作用， </w:t>
      </w:r>
      <w:r>
        <w:rPr>
          <w:rFonts w:ascii="SimSun" w:hAnsi="SimSun" w:eastAsia="SimSun" w:cs="SimSun"/>
          <w:sz w:val="21"/>
          <w:szCs w:val="21"/>
          <w:spacing w:val="1"/>
        </w:rPr>
        <w:t>在业务部门和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之间实施一种协作方法，以建立一</w:t>
      </w:r>
      <w:r>
        <w:rPr>
          <w:rFonts w:ascii="SimSun" w:hAnsi="SimSun" w:eastAsia="SimSun" w:cs="SimSun"/>
          <w:sz w:val="21"/>
          <w:szCs w:val="21"/>
        </w:rPr>
        <w:t>个系统的过程来制订、发布并制 </w:t>
      </w:r>
      <w:r>
        <w:rPr>
          <w:rFonts w:ascii="SimSun" w:hAnsi="SimSun" w:eastAsia="SimSun" w:cs="SimSun"/>
          <w:sz w:val="21"/>
          <w:szCs w:val="21"/>
        </w:rPr>
        <w:t>度化实施可同时满足业务需求和该组织架构</w:t>
      </w:r>
      <w:r>
        <w:rPr>
          <w:rFonts w:ascii="SimSun" w:hAnsi="SimSun" w:eastAsia="SimSun" w:cs="SimSun"/>
          <w:sz w:val="21"/>
          <w:szCs w:val="21"/>
          <w:spacing w:val="-1"/>
        </w:rPr>
        <w:t>方法的标准。</w:t>
      </w:r>
    </w:p>
    <w:p>
      <w:pPr>
        <w:ind w:left="390"/>
        <w:spacing w:before="73" w:line="229" w:lineRule="auto"/>
        <w:rPr>
          <w:rFonts w:ascii="KaiTi" w:hAnsi="KaiTi" w:eastAsia="KaiTi" w:cs="KaiTi"/>
          <w:sz w:val="21"/>
          <w:szCs w:val="21"/>
        </w:rPr>
      </w:pPr>
      <w:r>
        <w:rPr>
          <w:rFonts w:ascii="KaiTi" w:hAnsi="KaiTi" w:eastAsia="KaiTi" w:cs="KaiTi"/>
          <w:sz w:val="21"/>
          <w:szCs w:val="21"/>
          <w:spacing w:val="11"/>
        </w:rPr>
        <w:t>3)相关过程域</w:t>
      </w:r>
    </w:p>
    <w:p>
      <w:pPr>
        <w:ind w:left="729" w:right="226" w:hanging="339"/>
        <w:spacing w:before="47" w:line="246" w:lineRule="auto"/>
        <w:rPr>
          <w:rFonts w:ascii="SimSun" w:hAnsi="SimSun" w:eastAsia="SimSun" w:cs="SimSun"/>
          <w:sz w:val="21"/>
          <w:szCs w:val="21"/>
        </w:rPr>
      </w:pPr>
      <w:r>
        <w:rPr>
          <w:rFonts w:ascii="SimSun" w:hAnsi="SimSun" w:eastAsia="SimSun" w:cs="SimSun"/>
          <w:sz w:val="21"/>
          <w:szCs w:val="21"/>
          <w:spacing w:val="2"/>
        </w:rPr>
        <w:t>●战略过程域和数据质量战略过程域是标准定义过程的重要考虑因素，以确保</w:t>
      </w:r>
      <w:r>
        <w:rPr>
          <w:rFonts w:ascii="SimSun" w:hAnsi="SimSun" w:eastAsia="SimSun" w:cs="SimSun"/>
          <w:sz w:val="21"/>
          <w:szCs w:val="21"/>
          <w:spacing w:val="8"/>
        </w:rPr>
        <w:t xml:space="preserve"> </w:t>
      </w:r>
      <w:r>
        <w:rPr>
          <w:rFonts w:ascii="SimSun" w:hAnsi="SimSun" w:eastAsia="SimSun" w:cs="SimSun"/>
          <w:sz w:val="21"/>
          <w:szCs w:val="21"/>
          <w:spacing w:val="-5"/>
        </w:rPr>
        <w:t>实现的架构将支持业务目标；</w:t>
      </w:r>
    </w:p>
    <w:p>
      <w:pPr>
        <w:spacing w:line="246" w:lineRule="auto"/>
        <w:sectPr>
          <w:footerReference w:type="default" r:id="rId366"/>
          <w:pgSz w:w="8870" w:h="13400"/>
          <w:pgMar w:top="400" w:right="565" w:bottom="547" w:left="470" w:header="0" w:footer="338" w:gutter="0"/>
        </w:sectPr>
        <w:rPr>
          <w:rFonts w:ascii="SimSun" w:hAnsi="SimSun" w:eastAsia="SimSun" w:cs="SimSun"/>
          <w:sz w:val="21"/>
          <w:szCs w:val="21"/>
        </w:rPr>
      </w:pPr>
    </w:p>
    <w:p>
      <w:pPr>
        <w:ind w:left="130"/>
        <w:spacing w:before="190"/>
        <w:rPr>
          <w:rFonts w:ascii="SimSun" w:hAnsi="SimSun" w:eastAsia="SimSun" w:cs="SimSun"/>
          <w:sz w:val="22"/>
          <w:szCs w:val="22"/>
        </w:rPr>
      </w:pPr>
      <w:bookmarkStart w:name="bookmark72" w:id="67"/>
      <w:bookmarkEnd w:id="67"/>
      <w:r>
        <w:rPr>
          <w:rFonts w:ascii="SimSun" w:hAnsi="SimSun" w:eastAsia="SimSun" w:cs="SimSun"/>
          <w:sz w:val="22"/>
          <w:szCs w:val="22"/>
          <w:position w:val="-8"/>
        </w:rPr>
        <w:drawing>
          <wp:inline distT="0" distB="0" distL="0" distR="0">
            <wp:extent cx="6308" cy="222255"/>
            <wp:effectExtent l="0" t="0" r="0" b="0"/>
            <wp:docPr id="244" name="IM 244"/>
            <wp:cNvGraphicFramePr/>
            <a:graphic>
              <a:graphicData uri="http://schemas.openxmlformats.org/drawingml/2006/picture">
                <pic:pic>
                  <pic:nvPicPr>
                    <pic:cNvPr id="244" name="IM 244"/>
                    <pic:cNvPicPr/>
                  </pic:nvPicPr>
                  <pic:blipFill>
                    <a:blip r:embed="rId368"/>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ind w:left="959" w:right="65" w:hanging="270"/>
        <w:spacing w:before="307" w:line="232" w:lineRule="auto"/>
        <w:rPr>
          <w:rFonts w:ascii="SimSun" w:hAnsi="SimSun" w:eastAsia="SimSun" w:cs="SimSun"/>
          <w:sz w:val="22"/>
          <w:szCs w:val="22"/>
        </w:rPr>
      </w:pPr>
      <w:r>
        <w:rPr>
          <w:rFonts w:ascii="SimSun" w:hAnsi="SimSun" w:eastAsia="SimSun" w:cs="SimSun"/>
          <w:sz w:val="22"/>
          <w:szCs w:val="22"/>
          <w:spacing w:val="-8"/>
        </w:rPr>
        <w:t>●数据提供者管理过程域提供了关于要求的信息，这将会影响组织的标准，尤</w:t>
      </w:r>
      <w:r>
        <w:rPr>
          <w:rFonts w:ascii="SimSun" w:hAnsi="SimSun" w:eastAsia="SimSun" w:cs="SimSun"/>
          <w:sz w:val="22"/>
          <w:szCs w:val="22"/>
          <w:spacing w:val="10"/>
        </w:rPr>
        <w:t xml:space="preserve"> </w:t>
      </w:r>
      <w:r>
        <w:rPr>
          <w:rFonts w:ascii="SimSun" w:hAnsi="SimSun" w:eastAsia="SimSun" w:cs="SimSun"/>
          <w:sz w:val="22"/>
          <w:szCs w:val="22"/>
          <w:spacing w:val="-10"/>
        </w:rPr>
        <w:t>其是诸如安全要求等事宜，在各种平台之间必须持续满足这些事宜；</w:t>
      </w:r>
    </w:p>
    <w:p>
      <w:pPr>
        <w:ind w:left="689"/>
        <w:spacing w:before="39" w:line="219" w:lineRule="auto"/>
        <w:rPr>
          <w:rFonts w:ascii="SimSun" w:hAnsi="SimSun" w:eastAsia="SimSun" w:cs="SimSun"/>
          <w:sz w:val="22"/>
          <w:szCs w:val="22"/>
        </w:rPr>
      </w:pPr>
      <w:r>
        <w:rPr>
          <w:rFonts w:ascii="SimSun" w:hAnsi="SimSun" w:eastAsia="SimSun" w:cs="SimSun"/>
          <w:sz w:val="22"/>
          <w:szCs w:val="22"/>
          <w:spacing w:val="-9"/>
        </w:rPr>
        <w:t>●业务词汇表过程域包含有关业务术语标准的信息；</w:t>
      </w:r>
    </w:p>
    <w:p>
      <w:pPr>
        <w:ind w:left="689"/>
        <w:spacing w:before="59" w:line="219" w:lineRule="auto"/>
        <w:rPr>
          <w:rFonts w:ascii="SimSun" w:hAnsi="SimSun" w:eastAsia="SimSun" w:cs="SimSun"/>
          <w:sz w:val="22"/>
          <w:szCs w:val="22"/>
        </w:rPr>
      </w:pPr>
      <w:r>
        <w:rPr>
          <w:rFonts w:ascii="SimSun" w:hAnsi="SimSun" w:eastAsia="SimSun" w:cs="SimSun"/>
          <w:sz w:val="22"/>
          <w:szCs w:val="22"/>
          <w:spacing w:val="-8"/>
        </w:rPr>
        <w:t>●元数据管理过程域包含有关利用元数据标准的信息。</w:t>
      </w:r>
    </w:p>
    <w:p>
      <w:pPr>
        <w:pStyle w:val="BodyText"/>
        <w:ind w:left="689"/>
        <w:spacing w:before="206" w:line="223" w:lineRule="auto"/>
        <w:outlineLvl w:val="5"/>
        <w:rPr>
          <w:rFonts w:ascii="SimHei" w:hAnsi="SimHei" w:eastAsia="SimHei" w:cs="SimHei"/>
          <w:sz w:val="22"/>
          <w:szCs w:val="22"/>
        </w:rPr>
      </w:pPr>
      <w:r>
        <w:rPr>
          <w:sz w:val="22"/>
          <w:szCs w:val="22"/>
          <w:b/>
          <w:bCs/>
          <w:spacing w:val="-2"/>
        </w:rPr>
        <w:t>2.GOM</w:t>
      </w:r>
      <w:r>
        <w:rPr>
          <w:sz w:val="22"/>
          <w:szCs w:val="22"/>
          <w:b/>
          <w:bCs/>
          <w:spacing w:val="16"/>
        </w:rPr>
        <w:t xml:space="preserve">   </w:t>
      </w:r>
      <w:r>
        <w:rPr>
          <w:rFonts w:ascii="SimHei" w:hAnsi="SimHei" w:eastAsia="SimHei" w:cs="SimHei"/>
          <w:sz w:val="22"/>
          <w:szCs w:val="22"/>
          <w:b/>
          <w:bCs/>
          <w:spacing w:val="-2"/>
        </w:rPr>
        <w:t>表</w:t>
      </w:r>
    </w:p>
    <w:p>
      <w:pPr>
        <w:spacing w:before="31"/>
        <w:rPr/>
      </w:pPr>
      <w:r/>
    </w:p>
    <w:tbl>
      <w:tblPr>
        <w:tblStyle w:val="TableNormal"/>
        <w:tblW w:w="766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608"/>
        <w:gridCol w:w="1867"/>
        <w:gridCol w:w="2831"/>
      </w:tblGrid>
      <w:tr>
        <w:trPr>
          <w:trHeight w:val="354" w:hRule="atLeast"/>
        </w:trPr>
        <w:tc>
          <w:tcPr>
            <w:tcW w:w="1363" w:type="dxa"/>
            <w:vAlign w:val="top"/>
          </w:tcPr>
          <w:p>
            <w:pPr>
              <w:pStyle w:val="TableText"/>
              <w:ind w:left="404"/>
              <w:spacing w:before="101" w:line="220" w:lineRule="auto"/>
              <w:rPr/>
            </w:pPr>
            <w:r>
              <w:rPr>
                <w:spacing w:val="-18"/>
              </w:rPr>
              <w:t>目</w:t>
            </w:r>
            <w:r>
              <w:rPr>
                <w:spacing w:val="17"/>
              </w:rPr>
              <w:t xml:space="preserve">   </w:t>
            </w:r>
            <w:r>
              <w:rPr>
                <w:spacing w:val="-18"/>
              </w:rPr>
              <w:t>标</w:t>
            </w:r>
          </w:p>
        </w:tc>
        <w:tc>
          <w:tcPr>
            <w:tcW w:w="1608" w:type="dxa"/>
            <w:vAlign w:val="top"/>
          </w:tcPr>
          <w:p>
            <w:pPr>
              <w:pStyle w:val="TableText"/>
              <w:ind w:left="532"/>
              <w:spacing w:before="103" w:line="221" w:lineRule="auto"/>
              <w:rPr/>
            </w:pPr>
            <w:r>
              <w:rPr>
                <w:spacing w:val="-12"/>
              </w:rPr>
              <w:t>问</w:t>
            </w:r>
            <w:r>
              <w:rPr>
                <w:spacing w:val="10"/>
              </w:rPr>
              <w:t xml:space="preserve">   </w:t>
            </w:r>
            <w:r>
              <w:rPr>
                <w:spacing w:val="-12"/>
              </w:rPr>
              <w:t>题</w:t>
            </w:r>
          </w:p>
        </w:tc>
        <w:tc>
          <w:tcPr>
            <w:tcW w:w="1867" w:type="dxa"/>
            <w:vAlign w:val="top"/>
          </w:tcPr>
          <w:p>
            <w:pPr>
              <w:pStyle w:val="TableText"/>
              <w:ind w:left="564"/>
              <w:spacing w:before="10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831" w:type="dxa"/>
            <w:vAlign w:val="top"/>
          </w:tcPr>
          <w:p>
            <w:pPr>
              <w:pStyle w:val="TableText"/>
              <w:ind w:left="1037"/>
              <w:spacing w:before="101" w:line="219" w:lineRule="auto"/>
              <w:rPr/>
            </w:pPr>
            <w:r>
              <w:rPr>
                <w:spacing w:val="3"/>
              </w:rPr>
              <w:t>度量项说明</w:t>
            </w:r>
          </w:p>
        </w:tc>
      </w:tr>
      <w:tr>
        <w:trPr>
          <w:trHeight w:val="599" w:hRule="atLeast"/>
        </w:trPr>
        <w:tc>
          <w:tcPr>
            <w:tcW w:w="1363"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TableText"/>
              <w:ind w:left="144" w:right="164" w:firstLine="109"/>
              <w:spacing w:before="48" w:line="316" w:lineRule="auto"/>
              <w:rPr/>
            </w:pPr>
            <w:r>
              <w:rPr>
                <w:spacing w:val="-1"/>
              </w:rPr>
              <w:t>G1:制订一整</w:t>
            </w:r>
            <w:r>
              <w:rPr/>
              <w:t xml:space="preserve">  </w:t>
            </w:r>
            <w:r>
              <w:rPr>
                <w:spacing w:val="-1"/>
              </w:rPr>
              <w:t>套与架构方法和</w:t>
            </w:r>
            <w:r>
              <w:rPr/>
              <w:t xml:space="preserve"> </w:t>
            </w:r>
            <w:r>
              <w:rPr>
                <w:spacing w:val="-2"/>
              </w:rPr>
              <w:t>数据管理策略相</w:t>
            </w:r>
            <w:r>
              <w:rPr>
                <w:spacing w:val="5"/>
              </w:rPr>
              <w:t xml:space="preserve"> </w:t>
            </w:r>
            <w:r>
              <w:rPr>
                <w:spacing w:val="-2"/>
              </w:rPr>
              <w:t>一致的数据标准</w:t>
            </w:r>
          </w:p>
        </w:tc>
        <w:tc>
          <w:tcPr>
            <w:tcW w:w="1608"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TableText"/>
              <w:ind w:left="112" w:right="133" w:firstLine="119"/>
              <w:spacing w:before="48" w:line="316" w:lineRule="auto"/>
              <w:rPr/>
            </w:pPr>
            <w:r>
              <w:rPr>
                <w:spacing w:val="-1"/>
              </w:rPr>
              <w:t>Q1:该组织的目标</w:t>
            </w:r>
            <w:r>
              <w:rPr>
                <w:spacing w:val="1"/>
              </w:rPr>
              <w:t xml:space="preserve">  </w:t>
            </w:r>
            <w:r>
              <w:rPr/>
              <w:t>数据架构需要哪些标</w:t>
            </w:r>
            <w:r>
              <w:rPr>
                <w:spacing w:val="1"/>
              </w:rPr>
              <w:t xml:space="preserve"> </w:t>
            </w:r>
            <w:r>
              <w:rPr/>
              <w:t>准类别，以及如何确</w:t>
            </w:r>
            <w:r>
              <w:rPr>
                <w:spacing w:val="1"/>
              </w:rPr>
              <w:t xml:space="preserve"> </w:t>
            </w:r>
            <w:r>
              <w:rPr>
                <w:spacing w:val="-2"/>
              </w:rPr>
              <w:t>定其范围并定义</w:t>
            </w:r>
          </w:p>
        </w:tc>
        <w:tc>
          <w:tcPr>
            <w:tcW w:w="1867" w:type="dxa"/>
            <w:vAlign w:val="top"/>
          </w:tcPr>
          <w:p>
            <w:pPr>
              <w:pStyle w:val="TableText"/>
              <w:ind w:left="93"/>
              <w:spacing w:before="227" w:line="220" w:lineRule="auto"/>
              <w:rPr/>
            </w:pPr>
            <w:r>
              <w:rPr>
                <w:spacing w:val="-1"/>
              </w:rPr>
              <w:t>M1:架构标准</w:t>
            </w:r>
          </w:p>
        </w:tc>
        <w:tc>
          <w:tcPr>
            <w:tcW w:w="2831" w:type="dxa"/>
            <w:vAlign w:val="top"/>
          </w:tcPr>
          <w:p>
            <w:pPr>
              <w:pStyle w:val="TableText"/>
              <w:ind w:left="106" w:right="220" w:firstLine="100"/>
              <w:spacing w:before="97" w:line="287" w:lineRule="auto"/>
              <w:rPr/>
            </w:pPr>
            <w:r>
              <w:rPr>
                <w:spacing w:val="-1"/>
              </w:rPr>
              <w:t>架构标准包括：数据表示、安全、数</w:t>
            </w:r>
            <w:r>
              <w:rPr>
                <w:spacing w:val="8"/>
              </w:rPr>
              <w:t xml:space="preserve"> </w:t>
            </w:r>
            <w:r>
              <w:rPr>
                <w:spacing w:val="-1"/>
              </w:rPr>
              <w:t>据访问和数据供应</w:t>
            </w:r>
          </w:p>
        </w:tc>
      </w:tr>
      <w:tr>
        <w:trPr>
          <w:trHeight w:val="1129" w:hRule="atLeast"/>
        </w:trPr>
        <w:tc>
          <w:tcPr>
            <w:tcW w:w="136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pStyle w:val="TableText"/>
              <w:ind w:left="93" w:right="199" w:firstLine="140"/>
              <w:spacing w:before="228" w:line="299" w:lineRule="auto"/>
              <w:jc w:val="both"/>
              <w:rPr/>
            </w:pPr>
            <w:r>
              <w:rPr>
                <w:spacing w:val="-1"/>
              </w:rPr>
              <w:t>M2:架构方法、蓝图和</w:t>
            </w:r>
            <w:r>
              <w:rPr>
                <w:spacing w:val="8"/>
              </w:rPr>
              <w:t xml:space="preserve"> </w:t>
            </w:r>
            <w:r>
              <w:rPr>
                <w:spacing w:val="-1"/>
              </w:rPr>
              <w:t>组件设计与所选的标准</w:t>
            </w:r>
            <w:r>
              <w:rPr/>
              <w:t xml:space="preserve">  </w:t>
            </w:r>
            <w:r>
              <w:rPr>
                <w:spacing w:val="-3"/>
              </w:rPr>
              <w:t>一致性</w:t>
            </w:r>
          </w:p>
        </w:tc>
        <w:tc>
          <w:tcPr>
            <w:tcW w:w="2831" w:type="dxa"/>
            <w:vAlign w:val="top"/>
          </w:tcPr>
          <w:p>
            <w:pPr>
              <w:pStyle w:val="TableText"/>
              <w:ind w:left="207" w:right="219" w:firstLine="80"/>
              <w:spacing w:before="87" w:line="299" w:lineRule="auto"/>
              <w:jc w:val="both"/>
              <w:rPr/>
            </w:pPr>
            <w:r>
              <w:rPr>
                <w:spacing w:val="-1"/>
              </w:rPr>
              <w:t>在标准被认可和通过之后，应在整</w:t>
            </w:r>
            <w:r>
              <w:rPr>
                <w:spacing w:val="4"/>
              </w:rPr>
              <w:t xml:space="preserve">  </w:t>
            </w:r>
            <w:r>
              <w:rPr>
                <w:spacing w:val="-1"/>
              </w:rPr>
              <w:t>个组织内进行宣传和发布，以确保在</w:t>
            </w:r>
            <w:r>
              <w:rPr>
                <w:spacing w:val="9"/>
              </w:rPr>
              <w:t xml:space="preserve"> </w:t>
            </w:r>
            <w:r>
              <w:rPr>
                <w:spacing w:val="-1"/>
              </w:rPr>
              <w:t>设计、工具选择等方面使用新的或改</w:t>
            </w:r>
          </w:p>
          <w:p>
            <w:pPr>
              <w:pStyle w:val="TableText"/>
              <w:ind w:left="106"/>
              <w:spacing w:before="102" w:line="220" w:lineRule="auto"/>
              <w:rPr/>
            </w:pPr>
            <w:r>
              <w:rPr>
                <w:spacing w:val="-1"/>
              </w:rPr>
              <w:t>进的标准</w:t>
            </w:r>
          </w:p>
        </w:tc>
      </w:tr>
      <w:tr>
        <w:trPr>
          <w:trHeight w:val="1169" w:hRule="atLeast"/>
        </w:trPr>
        <w:tc>
          <w:tcPr>
            <w:tcW w:w="136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spacing w:line="338" w:lineRule="auto"/>
              <w:rPr>
                <w:rFonts w:ascii="Arial"/>
                <w:sz w:val="21"/>
              </w:rPr>
            </w:pPr>
            <w:r/>
          </w:p>
          <w:p>
            <w:pPr>
              <w:pStyle w:val="TableText"/>
              <w:ind w:left="93" w:right="179" w:firstLine="160"/>
              <w:spacing w:before="48" w:line="282" w:lineRule="auto"/>
              <w:rPr/>
            </w:pPr>
            <w:r>
              <w:rPr>
                <w:spacing w:val="-1"/>
              </w:rPr>
              <w:t>M3:数据架构标准对外</w:t>
            </w:r>
            <w:r>
              <w:rPr>
                <w:spacing w:val="8"/>
              </w:rPr>
              <w:t xml:space="preserve"> </w:t>
            </w:r>
            <w:r>
              <w:rPr>
                <w:spacing w:val="-1"/>
              </w:rPr>
              <w:t>部要求的适应性</w:t>
            </w:r>
          </w:p>
        </w:tc>
        <w:tc>
          <w:tcPr>
            <w:tcW w:w="2831" w:type="dxa"/>
            <w:vAlign w:val="top"/>
          </w:tcPr>
          <w:p>
            <w:pPr>
              <w:pStyle w:val="TableText"/>
              <w:ind w:left="127" w:right="140" w:firstLine="80"/>
              <w:spacing w:before="117" w:line="314" w:lineRule="auto"/>
              <w:rPr/>
            </w:pPr>
            <w:r>
              <w:rPr>
                <w:spacing w:val="-1"/>
              </w:rPr>
              <w:t>外部要求用于监管报告、信息交换或</w:t>
            </w:r>
            <w:r>
              <w:rPr>
                <w:spacing w:val="3"/>
              </w:rPr>
              <w:t xml:space="preserve">  </w:t>
            </w:r>
            <w:r>
              <w:rPr/>
              <w:t>合规性目的。组织应根据业务需求采纳</w:t>
            </w:r>
            <w:r>
              <w:rPr>
                <w:spacing w:val="2"/>
              </w:rPr>
              <w:t xml:space="preserve"> </w:t>
            </w:r>
            <w:r>
              <w:rPr>
                <w:spacing w:val="3"/>
              </w:rPr>
              <w:t>或调整由外部要求(例如监管机构、行</w:t>
            </w:r>
            <w:r>
              <w:rPr/>
              <w:t xml:space="preserve"> </w:t>
            </w:r>
            <w:r>
              <w:rPr>
                <w:spacing w:val="-1"/>
              </w:rPr>
              <w:t>业交换标准)推动的标准</w:t>
            </w:r>
          </w:p>
        </w:tc>
      </w:tr>
      <w:tr>
        <w:trPr>
          <w:trHeight w:val="589" w:hRule="atLeast"/>
        </w:trPr>
        <w:tc>
          <w:tcPr>
            <w:tcW w:w="1363" w:type="dxa"/>
            <w:vAlign w:val="top"/>
            <w:vMerge w:val="continue"/>
            <w:tcBorders>
              <w:top w:val="nil"/>
            </w:tcBorders>
          </w:tcPr>
          <w:p>
            <w:pPr>
              <w:rPr>
                <w:rFonts w:ascii="Arial"/>
                <w:sz w:val="21"/>
              </w:rPr>
            </w:pPr>
            <w:r/>
          </w:p>
        </w:tc>
        <w:tc>
          <w:tcPr>
            <w:tcW w:w="1608" w:type="dxa"/>
            <w:vAlign w:val="top"/>
            <w:vMerge w:val="continue"/>
            <w:tcBorders>
              <w:top w:val="nil"/>
            </w:tcBorders>
          </w:tcPr>
          <w:p>
            <w:pPr>
              <w:rPr>
                <w:rFonts w:ascii="Arial"/>
                <w:sz w:val="21"/>
              </w:rPr>
            </w:pPr>
            <w:r/>
          </w:p>
        </w:tc>
        <w:tc>
          <w:tcPr>
            <w:tcW w:w="1867" w:type="dxa"/>
            <w:vAlign w:val="top"/>
          </w:tcPr>
          <w:p>
            <w:pPr>
              <w:pStyle w:val="TableText"/>
              <w:ind w:left="93" w:right="189" w:firstLine="149"/>
              <w:spacing w:before="100" w:line="284" w:lineRule="auto"/>
              <w:rPr/>
            </w:pPr>
            <w:r>
              <w:rPr>
                <w:spacing w:val="-1"/>
              </w:rPr>
              <w:t>M4:架构标准评审与审</w:t>
            </w:r>
            <w:r>
              <w:rPr>
                <w:spacing w:val="8"/>
              </w:rPr>
              <w:t xml:space="preserve"> </w:t>
            </w:r>
            <w:r>
              <w:rPr/>
              <w:t>批</w:t>
            </w:r>
          </w:p>
        </w:tc>
        <w:tc>
          <w:tcPr>
            <w:tcW w:w="2831" w:type="dxa"/>
            <w:vAlign w:val="top"/>
          </w:tcPr>
          <w:p>
            <w:pPr>
              <w:pStyle w:val="TableText"/>
              <w:ind w:left="136" w:right="138" w:firstLine="70"/>
              <w:spacing w:before="99" w:line="282" w:lineRule="auto"/>
              <w:rPr/>
            </w:pPr>
            <w:r>
              <w:rPr>
                <w:spacing w:val="4"/>
              </w:rPr>
              <w:t>数据治理委员会、企业数据架构师、</w:t>
            </w:r>
            <w:r>
              <w:rPr>
                <w:spacing w:val="10"/>
              </w:rPr>
              <w:t xml:space="preserve"> </w:t>
            </w:r>
            <w:r>
              <w:rPr>
                <w:spacing w:val="-1"/>
              </w:rPr>
              <w:t>业务专家等应积极参与评审和批准标准</w:t>
            </w:r>
          </w:p>
        </w:tc>
      </w:tr>
      <w:tr>
        <w:trPr>
          <w:trHeight w:val="869" w:hRule="atLeast"/>
        </w:trPr>
        <w:tc>
          <w:tcPr>
            <w:tcW w:w="1363" w:type="dxa"/>
            <w:vAlign w:val="top"/>
            <w:vMerge w:val="restart"/>
            <w:tcBorders>
              <w:bottom w:val="nil"/>
            </w:tcBorders>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pStyle w:val="TableText"/>
              <w:ind w:left="95" w:right="151" w:firstLine="159"/>
              <w:spacing w:before="49" w:line="320" w:lineRule="auto"/>
              <w:rPr/>
            </w:pPr>
            <w:r>
              <w:rPr>
                <w:spacing w:val="-1"/>
              </w:rPr>
              <w:t>G2:实施涉及  </w:t>
            </w:r>
            <w:r>
              <w:rPr>
                <w:spacing w:val="6"/>
              </w:rPr>
              <w:t>到业务和</w:t>
            </w:r>
            <w:r>
              <w:rPr/>
              <w:t>IT</w:t>
            </w:r>
            <w:r>
              <w:rPr>
                <w:spacing w:val="6"/>
              </w:rPr>
              <w:t>利益</w:t>
            </w:r>
            <w:r>
              <w:rPr>
                <w:spacing w:val="3"/>
              </w:rPr>
              <w:t xml:space="preserve"> </w:t>
            </w:r>
            <w:r>
              <w:rPr>
                <w:spacing w:val="6"/>
              </w:rPr>
              <w:t>相关方的可持续</w:t>
            </w:r>
            <w:r>
              <w:rPr>
                <w:spacing w:val="1"/>
              </w:rPr>
              <w:t xml:space="preserve"> </w:t>
            </w:r>
            <w:r>
              <w:rPr>
                <w:spacing w:val="8"/>
              </w:rPr>
              <w:t>的标准制订和维</w:t>
            </w:r>
            <w:r>
              <w:rPr/>
              <w:t xml:space="preserve"> </w:t>
            </w:r>
            <w:r>
              <w:rPr>
                <w:spacing w:val="-2"/>
              </w:rPr>
              <w:t>护过程</w:t>
            </w:r>
          </w:p>
        </w:tc>
        <w:tc>
          <w:tcPr>
            <w:tcW w:w="1608" w:type="dxa"/>
            <w:vAlign w:val="top"/>
            <w:vMerge w:val="restart"/>
            <w:tcBorders>
              <w:bottom w:val="nil"/>
            </w:tcBorders>
          </w:tcPr>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TableText"/>
              <w:ind w:left="102" w:right="113" w:firstLine="129"/>
              <w:spacing w:before="49" w:line="306" w:lineRule="auto"/>
              <w:rPr/>
            </w:pPr>
            <w:r>
              <w:rPr>
                <w:spacing w:val="-1"/>
              </w:rPr>
              <w:t>Q2:如何对数据模</w:t>
            </w:r>
            <w:r>
              <w:rPr>
                <w:spacing w:val="1"/>
              </w:rPr>
              <w:t xml:space="preserve">   </w:t>
            </w:r>
            <w:r>
              <w:rPr>
                <w:spacing w:val="3"/>
              </w:rPr>
              <w:t>型进行批准、维护和</w:t>
            </w:r>
            <w:r>
              <w:rPr>
                <w:spacing w:val="4"/>
              </w:rPr>
              <w:t xml:space="preserve"> </w:t>
            </w:r>
            <w:r>
              <w:rPr>
                <w:spacing w:val="-3"/>
              </w:rPr>
              <w:t>治理</w:t>
            </w:r>
          </w:p>
        </w:tc>
        <w:tc>
          <w:tcPr>
            <w:tcW w:w="1867" w:type="dxa"/>
            <w:vAlign w:val="top"/>
          </w:tcPr>
          <w:p>
            <w:pPr>
              <w:spacing w:line="311" w:lineRule="auto"/>
              <w:rPr>
                <w:rFonts w:ascii="Arial"/>
                <w:sz w:val="21"/>
              </w:rPr>
            </w:pPr>
            <w:r/>
          </w:p>
          <w:p>
            <w:pPr>
              <w:pStyle w:val="TableText"/>
              <w:ind w:left="254"/>
              <w:spacing w:before="48" w:line="220" w:lineRule="auto"/>
              <w:rPr/>
            </w:pPr>
            <w:r>
              <w:rPr>
                <w:spacing w:val="-1"/>
              </w:rPr>
              <w:t>M5:架构标准实施效果</w:t>
            </w:r>
          </w:p>
        </w:tc>
        <w:tc>
          <w:tcPr>
            <w:tcW w:w="2831" w:type="dxa"/>
            <w:vAlign w:val="top"/>
          </w:tcPr>
          <w:p>
            <w:pPr>
              <w:pStyle w:val="TableText"/>
              <w:ind w:left="117" w:right="125" w:firstLine="90"/>
              <w:spacing w:before="100" w:line="303" w:lineRule="auto"/>
              <w:rPr/>
            </w:pPr>
            <w:r>
              <w:rPr>
                <w:spacing w:val="-1"/>
              </w:rPr>
              <w:t>在整个组织内遵循架构标准，包括新</w:t>
            </w:r>
            <w:r>
              <w:rPr>
                <w:spacing w:val="4"/>
              </w:rPr>
              <w:t xml:space="preserve">  </w:t>
            </w:r>
            <w:r>
              <w:rPr>
                <w:spacing w:val="1"/>
              </w:rPr>
              <w:t>的开发、重新设计、整合以及现有数据</w:t>
            </w:r>
            <w:r>
              <w:rPr>
                <w:spacing w:val="10"/>
              </w:rPr>
              <w:t xml:space="preserve"> </w:t>
            </w:r>
            <w:r>
              <w:rPr>
                <w:spacing w:val="-1"/>
              </w:rPr>
              <w:t>存储区的改进等活动</w:t>
            </w:r>
          </w:p>
        </w:tc>
      </w:tr>
      <w:tr>
        <w:trPr>
          <w:trHeight w:val="879" w:hRule="atLeast"/>
        </w:trPr>
        <w:tc>
          <w:tcPr>
            <w:tcW w:w="136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spacing w:line="320" w:lineRule="auto"/>
              <w:rPr>
                <w:rFonts w:ascii="Arial"/>
                <w:sz w:val="21"/>
              </w:rPr>
            </w:pPr>
            <w:r/>
          </w:p>
          <w:p>
            <w:pPr>
              <w:pStyle w:val="TableText"/>
              <w:ind w:left="93"/>
              <w:spacing w:before="49" w:line="219" w:lineRule="auto"/>
              <w:rPr/>
            </w:pPr>
            <w:r>
              <w:rPr>
                <w:spacing w:val="-1"/>
              </w:rPr>
              <w:t>M6:角色和职责</w:t>
            </w:r>
          </w:p>
        </w:tc>
        <w:tc>
          <w:tcPr>
            <w:tcW w:w="2831" w:type="dxa"/>
            <w:vAlign w:val="top"/>
          </w:tcPr>
          <w:p>
            <w:pPr>
              <w:pStyle w:val="TableText"/>
              <w:ind w:left="287"/>
              <w:spacing w:before="111" w:line="219" w:lineRule="auto"/>
              <w:rPr/>
            </w:pPr>
            <w:r>
              <w:rPr/>
              <w:t>明确架构标准制订过程的角色和职</w:t>
            </w:r>
          </w:p>
          <w:p>
            <w:pPr>
              <w:pStyle w:val="TableText"/>
              <w:ind w:left="117" w:right="59" w:firstLine="19"/>
              <w:spacing w:before="103" w:line="288" w:lineRule="auto"/>
              <w:rPr/>
            </w:pPr>
            <w:r>
              <w:rPr>
                <w:spacing w:val="4"/>
              </w:rPr>
              <w:t>责，包括根据需要制订、维护、测量、</w:t>
            </w:r>
            <w:r>
              <w:rPr>
                <w:spacing w:val="5"/>
              </w:rPr>
              <w:t xml:space="preserve"> </w:t>
            </w:r>
            <w:r>
              <w:rPr>
                <w:spacing w:val="-2"/>
              </w:rPr>
              <w:t>审核并修订标准等过程</w:t>
            </w:r>
          </w:p>
        </w:tc>
      </w:tr>
      <w:tr>
        <w:trPr>
          <w:trHeight w:val="879" w:hRule="atLeast"/>
        </w:trPr>
        <w:tc>
          <w:tcPr>
            <w:tcW w:w="136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pStyle w:val="TableText"/>
              <w:ind w:left="93" w:right="189" w:firstLine="149"/>
              <w:spacing w:before="252" w:line="289" w:lineRule="auto"/>
              <w:rPr/>
            </w:pPr>
            <w:r>
              <w:rPr>
                <w:spacing w:val="-1"/>
              </w:rPr>
              <w:t>M7:架构标准与业务需</w:t>
            </w:r>
            <w:r>
              <w:rPr>
                <w:spacing w:val="8"/>
              </w:rPr>
              <w:t xml:space="preserve"> </w:t>
            </w:r>
            <w:r>
              <w:rPr>
                <w:spacing w:val="-2"/>
              </w:rPr>
              <w:t>求一致性</w:t>
            </w:r>
          </w:p>
        </w:tc>
        <w:tc>
          <w:tcPr>
            <w:tcW w:w="2831" w:type="dxa"/>
            <w:vAlign w:val="top"/>
          </w:tcPr>
          <w:p>
            <w:pPr>
              <w:pStyle w:val="TableText"/>
              <w:ind w:left="117" w:right="141" w:firstLine="90"/>
              <w:spacing w:before="102" w:line="307" w:lineRule="auto"/>
              <w:rPr/>
            </w:pPr>
            <w:r>
              <w:rPr>
                <w:spacing w:val="-1"/>
              </w:rPr>
              <w:t>应由数据治理部门评审和批准架构标</w:t>
            </w:r>
            <w:r>
              <w:rPr>
                <w:spacing w:val="4"/>
              </w:rPr>
              <w:t xml:space="preserve">  </w:t>
            </w:r>
            <w:r>
              <w:rPr/>
              <w:t>准的制订及修订，以确保架构标准与业</w:t>
            </w:r>
            <w:r>
              <w:rPr>
                <w:spacing w:val="11"/>
              </w:rPr>
              <w:t xml:space="preserve"> </w:t>
            </w:r>
            <w:r>
              <w:rPr>
                <w:spacing w:val="-2"/>
              </w:rPr>
              <w:t>务需求保持一致</w:t>
            </w:r>
          </w:p>
        </w:tc>
      </w:tr>
      <w:tr>
        <w:trPr>
          <w:trHeight w:val="1159" w:hRule="atLeast"/>
        </w:trPr>
        <w:tc>
          <w:tcPr>
            <w:tcW w:w="136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spacing w:line="341" w:lineRule="auto"/>
              <w:rPr>
                <w:rFonts w:ascii="Arial"/>
                <w:sz w:val="21"/>
              </w:rPr>
            </w:pPr>
            <w:r/>
          </w:p>
          <w:p>
            <w:pPr>
              <w:pStyle w:val="TableText"/>
              <w:ind w:left="93" w:right="179" w:firstLine="160"/>
              <w:spacing w:before="49" w:line="265" w:lineRule="auto"/>
              <w:rPr/>
            </w:pPr>
            <w:r>
              <w:rPr>
                <w:spacing w:val="-1"/>
              </w:rPr>
              <w:t>M8:架构标准的采用和</w:t>
            </w:r>
            <w:r>
              <w:rPr>
                <w:spacing w:val="8"/>
              </w:rPr>
              <w:t xml:space="preserve"> </w:t>
            </w:r>
            <w:r>
              <w:rPr>
                <w:spacing w:val="-1"/>
              </w:rPr>
              <w:t>合规性的测量指标</w:t>
            </w:r>
          </w:p>
        </w:tc>
        <w:tc>
          <w:tcPr>
            <w:tcW w:w="2831" w:type="dxa"/>
            <w:vAlign w:val="top"/>
          </w:tcPr>
          <w:p>
            <w:pPr>
              <w:pStyle w:val="TableText"/>
              <w:ind w:left="117" w:right="122" w:firstLine="90"/>
              <w:spacing w:before="92" w:line="314" w:lineRule="auto"/>
              <w:rPr/>
            </w:pPr>
            <w:r>
              <w:rPr>
                <w:spacing w:val="-1"/>
              </w:rPr>
              <w:t>测量指标可以协助各个项目团队评估</w:t>
            </w:r>
            <w:r>
              <w:rPr>
                <w:spacing w:val="4"/>
              </w:rPr>
              <w:t xml:space="preserve">  </w:t>
            </w:r>
            <w:r>
              <w:rPr/>
              <w:t>其对数据资产的质量和结构的贡献；同</w:t>
            </w:r>
            <w:r>
              <w:rPr>
                <w:spacing w:val="12"/>
              </w:rPr>
              <w:t xml:space="preserve"> </w:t>
            </w:r>
            <w:r>
              <w:rPr>
                <w:spacing w:val="1"/>
              </w:rPr>
              <w:t>时，合规性指标可以向组织表明标准的</w:t>
            </w:r>
            <w:r>
              <w:rPr>
                <w:spacing w:val="13"/>
              </w:rPr>
              <w:t xml:space="preserve"> </w:t>
            </w:r>
            <w:r>
              <w:rPr>
                <w:spacing w:val="-1"/>
              </w:rPr>
              <w:t>覆盖面和有效性</w:t>
            </w:r>
          </w:p>
        </w:tc>
      </w:tr>
      <w:tr>
        <w:trPr>
          <w:trHeight w:val="1153" w:hRule="atLeast"/>
        </w:trPr>
        <w:tc>
          <w:tcPr>
            <w:tcW w:w="1363" w:type="dxa"/>
            <w:vAlign w:val="top"/>
            <w:vMerge w:val="continue"/>
            <w:tcBorders>
              <w:top w:val="nil"/>
            </w:tcBorders>
          </w:tcPr>
          <w:p>
            <w:pPr>
              <w:rPr>
                <w:rFonts w:ascii="Arial"/>
                <w:sz w:val="21"/>
              </w:rPr>
            </w:pPr>
            <w:r/>
          </w:p>
        </w:tc>
        <w:tc>
          <w:tcPr>
            <w:tcW w:w="1608" w:type="dxa"/>
            <w:vAlign w:val="top"/>
            <w:vMerge w:val="continue"/>
            <w:tcBorders>
              <w:top w:val="nil"/>
            </w:tcBorders>
          </w:tcPr>
          <w:p>
            <w:pPr>
              <w:rPr>
                <w:rFonts w:ascii="Arial"/>
                <w:sz w:val="21"/>
              </w:rPr>
            </w:pPr>
            <w:r/>
          </w:p>
        </w:tc>
        <w:tc>
          <w:tcPr>
            <w:tcW w:w="1867" w:type="dxa"/>
            <w:vAlign w:val="top"/>
          </w:tcPr>
          <w:p>
            <w:pPr>
              <w:spacing w:line="324" w:lineRule="auto"/>
              <w:rPr>
                <w:rFonts w:ascii="Arial"/>
                <w:sz w:val="21"/>
              </w:rPr>
            </w:pPr>
            <w:r/>
          </w:p>
          <w:p>
            <w:pPr>
              <w:pStyle w:val="TableText"/>
              <w:ind w:left="93" w:right="189" w:firstLine="149"/>
              <w:spacing w:before="49" w:line="274" w:lineRule="auto"/>
              <w:rPr/>
            </w:pPr>
            <w:r>
              <w:rPr>
                <w:spacing w:val="-1"/>
              </w:rPr>
              <w:t>M9:架构标准的合规性</w:t>
            </w:r>
            <w:r>
              <w:rPr>
                <w:spacing w:val="8"/>
              </w:rPr>
              <w:t xml:space="preserve"> </w:t>
            </w:r>
            <w:r>
              <w:rPr>
                <w:spacing w:val="-2"/>
              </w:rPr>
              <w:t>评估</w:t>
            </w:r>
          </w:p>
        </w:tc>
        <w:tc>
          <w:tcPr>
            <w:tcW w:w="2831" w:type="dxa"/>
            <w:vAlign w:val="top"/>
          </w:tcPr>
          <w:p>
            <w:pPr>
              <w:pStyle w:val="TableText"/>
              <w:ind w:left="127" w:right="139" w:firstLine="80"/>
              <w:spacing w:before="104" w:line="310" w:lineRule="auto"/>
              <w:rPr/>
            </w:pPr>
            <w:r>
              <w:rPr>
                <w:spacing w:val="-1"/>
              </w:rPr>
              <w:t>用于支持标准制订和管理的“使能技</w:t>
            </w:r>
            <w:r>
              <w:rPr>
                <w:spacing w:val="3"/>
              </w:rPr>
              <w:t xml:space="preserve">  </w:t>
            </w:r>
            <w:r>
              <w:rPr/>
              <w:t>术”的清单包括数据建模工具、用于评</w:t>
            </w:r>
            <w:r>
              <w:rPr>
                <w:spacing w:val="1"/>
              </w:rPr>
              <w:t xml:space="preserve"> </w:t>
            </w:r>
            <w:r>
              <w:rPr/>
              <w:t>估合规性或偏离的数据发现工具，以及</w:t>
            </w:r>
            <w:r>
              <w:rPr>
                <w:spacing w:val="3"/>
              </w:rPr>
              <w:t xml:space="preserve"> </w:t>
            </w:r>
            <w:r>
              <w:rPr>
                <w:spacing w:val="-1"/>
              </w:rPr>
              <w:t>必要的外部转换脚本等</w:t>
            </w:r>
          </w:p>
        </w:tc>
      </w:tr>
    </w:tbl>
    <w:p>
      <w:pPr>
        <w:pStyle w:val="BodyText"/>
        <w:rPr/>
      </w:pPr>
      <w:r/>
    </w:p>
    <w:p>
      <w:pPr>
        <w:sectPr>
          <w:footerReference w:type="default" r:id="rId367"/>
          <w:pgSz w:w="8870" w:h="13400"/>
          <w:pgMar w:top="400" w:right="395" w:bottom="544" w:left="500" w:header="0" w:footer="326" w:gutter="0"/>
        </w:sectPr>
        <w:rPr/>
      </w:pPr>
    </w:p>
    <w:p>
      <w:pPr>
        <w:ind w:left="5508"/>
        <w:spacing w:before="244" w:line="219" w:lineRule="auto"/>
        <w:rPr>
          <w:rFonts w:ascii="SimSun" w:hAnsi="SimSun" w:eastAsia="SimSun" w:cs="SimSun"/>
          <w:sz w:val="22"/>
          <w:szCs w:val="22"/>
        </w:rPr>
      </w:pPr>
      <w:r>
        <w:rPr>
          <w:rFonts w:ascii="SimSun" w:hAnsi="SimSun" w:eastAsia="SimSun" w:cs="SimSun"/>
          <w:sz w:val="22"/>
          <w:szCs w:val="22"/>
          <w:b/>
          <w:bCs/>
          <w:spacing w:val="5"/>
        </w:rPr>
        <w:t>第8章■云端数据架构</w:t>
      </w:r>
    </w:p>
    <w:p>
      <w:pPr>
        <w:pStyle w:val="BodyText"/>
        <w:spacing w:line="279" w:lineRule="auto"/>
        <w:rPr/>
      </w:pPr>
      <w:r/>
    </w:p>
    <w:p>
      <w:pPr>
        <w:ind w:left="6877"/>
        <w:spacing w:before="59" w:line="220" w:lineRule="auto"/>
        <w:rPr>
          <w:rFonts w:ascii="SimSun" w:hAnsi="SimSun" w:eastAsia="SimSun" w:cs="SimSun"/>
          <w:sz w:val="18"/>
          <w:szCs w:val="18"/>
        </w:rPr>
      </w:pPr>
      <w:r>
        <w:rPr>
          <w:rFonts w:ascii="SimSun" w:hAnsi="SimSun" w:eastAsia="SimSun" w:cs="SimSun"/>
          <w:sz w:val="18"/>
          <w:szCs w:val="18"/>
          <w:b/>
          <w:bCs/>
          <w:spacing w:val="-5"/>
        </w:rPr>
        <w:t>续表</w:t>
      </w:r>
    </w:p>
    <w:p>
      <w:pPr>
        <w:spacing w:line="53" w:lineRule="auto"/>
        <w:rPr>
          <w:rFonts w:ascii="Arial"/>
          <w:sz w:val="2"/>
        </w:rPr>
      </w:pPr>
      <w:r>
        <w:rPr>
          <w:rFonts w:ascii="Arial"/>
          <w:sz w:val="2"/>
        </w:r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608"/>
        <w:gridCol w:w="1867"/>
        <w:gridCol w:w="2851"/>
      </w:tblGrid>
      <w:tr>
        <w:trPr>
          <w:trHeight w:val="364" w:hRule="atLeast"/>
        </w:trPr>
        <w:tc>
          <w:tcPr>
            <w:tcW w:w="1353" w:type="dxa"/>
            <w:vAlign w:val="top"/>
          </w:tcPr>
          <w:p>
            <w:pPr>
              <w:pStyle w:val="TableText"/>
              <w:ind w:left="405"/>
              <w:spacing w:before="111" w:line="220" w:lineRule="auto"/>
              <w:rPr/>
            </w:pPr>
            <w:r>
              <w:rPr>
                <w:spacing w:val="-12"/>
              </w:rPr>
              <w:t>目    标</w:t>
            </w:r>
          </w:p>
        </w:tc>
        <w:tc>
          <w:tcPr>
            <w:tcW w:w="1608" w:type="dxa"/>
            <w:vAlign w:val="top"/>
          </w:tcPr>
          <w:p>
            <w:pPr>
              <w:pStyle w:val="TableText"/>
              <w:ind w:left="532"/>
              <w:spacing w:before="113" w:line="221" w:lineRule="auto"/>
              <w:rPr/>
            </w:pPr>
            <w:r>
              <w:rPr>
                <w:spacing w:val="-12"/>
              </w:rPr>
              <w:t>问</w:t>
            </w:r>
            <w:r>
              <w:rPr>
                <w:spacing w:val="10"/>
              </w:rPr>
              <w:t xml:space="preserve">   </w:t>
            </w:r>
            <w:r>
              <w:rPr>
                <w:spacing w:val="-12"/>
              </w:rPr>
              <w:t>题</w:t>
            </w:r>
          </w:p>
        </w:tc>
        <w:tc>
          <w:tcPr>
            <w:tcW w:w="1867" w:type="dxa"/>
            <w:vAlign w:val="top"/>
          </w:tcPr>
          <w:p>
            <w:pPr>
              <w:pStyle w:val="TableText"/>
              <w:ind w:left="584"/>
              <w:spacing w:before="111" w:line="220" w:lineRule="auto"/>
              <w:rPr/>
            </w:pPr>
            <w:r>
              <w:rPr>
                <w:spacing w:val="-4"/>
              </w:rPr>
              <w:t>度</w:t>
            </w:r>
            <w:r>
              <w:rPr>
                <w:spacing w:val="2"/>
              </w:rPr>
              <w:t xml:space="preserve">  </w:t>
            </w:r>
            <w:r>
              <w:rPr>
                <w:spacing w:val="-4"/>
              </w:rPr>
              <w:t>量</w:t>
            </w:r>
            <w:r>
              <w:rPr>
                <w:spacing w:val="9"/>
              </w:rPr>
              <w:t xml:space="preserve"> </w:t>
            </w:r>
            <w:r>
              <w:rPr>
                <w:spacing w:val="-4"/>
              </w:rPr>
              <w:t>项</w:t>
            </w:r>
          </w:p>
        </w:tc>
        <w:tc>
          <w:tcPr>
            <w:tcW w:w="2851" w:type="dxa"/>
            <w:vAlign w:val="top"/>
          </w:tcPr>
          <w:p>
            <w:pPr>
              <w:pStyle w:val="TableText"/>
              <w:ind w:left="1047"/>
              <w:spacing w:before="111" w:line="219" w:lineRule="auto"/>
              <w:rPr/>
            </w:pPr>
            <w:r>
              <w:rPr>
                <w:spacing w:val="3"/>
              </w:rPr>
              <w:t>度量项说明</w:t>
            </w:r>
          </w:p>
        </w:tc>
      </w:tr>
      <w:tr>
        <w:trPr>
          <w:trHeight w:val="1147" w:hRule="atLeast"/>
        </w:trPr>
        <w:tc>
          <w:tcPr>
            <w:tcW w:w="1353"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05" w:right="135" w:firstLine="149"/>
              <w:spacing w:before="49" w:line="313" w:lineRule="auto"/>
              <w:rPr/>
            </w:pPr>
            <w:r>
              <w:rPr>
                <w:spacing w:val="-1"/>
              </w:rPr>
              <w:t>G3:建立标准</w:t>
            </w:r>
            <w:r>
              <w:rPr/>
              <w:t xml:space="preserve">   </w:t>
            </w:r>
            <w:r>
              <w:rPr>
                <w:spacing w:val="4"/>
              </w:rPr>
              <w:t>遵守和例外情况</w:t>
            </w:r>
            <w:r>
              <w:rPr>
                <w:spacing w:val="5"/>
              </w:rPr>
              <w:t xml:space="preserve"> </w:t>
            </w:r>
            <w:r>
              <w:rPr>
                <w:spacing w:val="7"/>
              </w:rPr>
              <w:t>的有效的治理和</w:t>
            </w:r>
            <w:r>
              <w:rPr>
                <w:spacing w:val="2"/>
              </w:rPr>
              <w:t xml:space="preserve"> </w:t>
            </w:r>
            <w:r>
              <w:rPr>
                <w:spacing w:val="-3"/>
              </w:rPr>
              <w:t>审核过程</w:t>
            </w:r>
          </w:p>
        </w:tc>
        <w:tc>
          <w:tcPr>
            <w:tcW w:w="1608" w:type="dxa"/>
            <w:vAlign w:val="top"/>
            <w:vMerge w:val="restart"/>
            <w:tcBorders>
              <w:bottom w:val="nil"/>
            </w:tcBorders>
          </w:tcPr>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pStyle w:val="TableText"/>
              <w:ind w:left="102" w:right="120" w:firstLine="130"/>
              <w:spacing w:before="49" w:line="320" w:lineRule="auto"/>
              <w:rPr/>
            </w:pPr>
            <w:r>
              <w:rPr>
                <w:spacing w:val="-1"/>
              </w:rPr>
              <w:t>Q3:为了确定哪些  </w:t>
            </w:r>
            <w:r>
              <w:rPr>
                <w:spacing w:val="1"/>
              </w:rPr>
              <w:t>方法适用，该组织是</w:t>
            </w:r>
            <w:r>
              <w:rPr>
                <w:spacing w:val="3"/>
              </w:rPr>
              <w:t xml:space="preserve"> </w:t>
            </w:r>
            <w:r>
              <w:rPr>
                <w:spacing w:val="1"/>
              </w:rPr>
              <w:t>否定义了与架构一致</w:t>
            </w:r>
            <w:r>
              <w:rPr/>
              <w:t xml:space="preserve"> </w:t>
            </w:r>
            <w:r>
              <w:rPr>
                <w:spacing w:val="2"/>
              </w:rPr>
              <w:t>的标准数据访问方法</w:t>
            </w:r>
            <w:r>
              <w:rPr>
                <w:spacing w:val="6"/>
              </w:rPr>
              <w:t xml:space="preserve"> </w:t>
            </w:r>
            <w:r>
              <w:rPr>
                <w:spacing w:val="-2"/>
              </w:rPr>
              <w:t>和标准</w:t>
            </w:r>
          </w:p>
        </w:tc>
        <w:tc>
          <w:tcPr>
            <w:tcW w:w="1867" w:type="dxa"/>
            <w:vAlign w:val="top"/>
          </w:tcPr>
          <w:p>
            <w:pPr>
              <w:spacing w:line="316" w:lineRule="auto"/>
              <w:rPr>
                <w:rFonts w:ascii="Arial"/>
                <w:sz w:val="21"/>
              </w:rPr>
            </w:pPr>
            <w:r/>
          </w:p>
          <w:p>
            <w:pPr>
              <w:pStyle w:val="TableText"/>
              <w:ind w:left="174" w:right="189" w:firstLine="80"/>
              <w:spacing w:before="49" w:line="288" w:lineRule="auto"/>
              <w:rPr/>
            </w:pPr>
            <w:r>
              <w:rPr>
                <w:spacing w:val="-1"/>
              </w:rPr>
              <w:t>M10:架构标准偏离请</w:t>
            </w:r>
            <w:r>
              <w:rPr>
                <w:spacing w:val="4"/>
              </w:rPr>
              <w:t xml:space="preserve">  </w:t>
            </w:r>
            <w:r>
              <w:rPr>
                <w:spacing w:val="-1"/>
              </w:rPr>
              <w:t>求、批准和管理的过程</w:t>
            </w:r>
          </w:p>
        </w:tc>
        <w:tc>
          <w:tcPr>
            <w:tcW w:w="2851" w:type="dxa"/>
            <w:vAlign w:val="top"/>
          </w:tcPr>
          <w:p>
            <w:pPr>
              <w:pStyle w:val="TableText"/>
              <w:ind w:left="117" w:right="134" w:firstLine="99"/>
              <w:spacing w:before="88" w:line="317" w:lineRule="auto"/>
              <w:rPr/>
            </w:pPr>
            <w:r>
              <w:rPr>
                <w:spacing w:val="-1"/>
              </w:rPr>
              <w:t>应对由事件驱动的新标准、现有标准</w:t>
            </w:r>
            <w:r>
              <w:rPr>
                <w:spacing w:val="4"/>
              </w:rPr>
              <w:t xml:space="preserve">  </w:t>
            </w:r>
            <w:r>
              <w:rPr>
                <w:spacing w:val="2"/>
              </w:rPr>
              <w:t>的增加和更改的请求，进行协调、同意</w:t>
            </w:r>
            <w:r>
              <w:rPr>
                <w:spacing w:val="4"/>
              </w:rPr>
              <w:t xml:space="preserve"> </w:t>
            </w:r>
            <w:r>
              <w:rPr>
                <w:spacing w:val="1"/>
              </w:rPr>
              <w:t>并批准，以确保朝向长期架构目标的进</w:t>
            </w:r>
            <w:r>
              <w:rPr>
                <w:spacing w:val="2"/>
              </w:rPr>
              <w:t xml:space="preserve"> </w:t>
            </w:r>
            <w:r>
              <w:rPr>
                <w:spacing w:val="-2"/>
              </w:rPr>
              <w:t>展不受影响</w:t>
            </w:r>
          </w:p>
        </w:tc>
      </w:tr>
      <w:tr>
        <w:trPr>
          <w:trHeight w:val="1706" w:hRule="atLeast"/>
        </w:trPr>
        <w:tc>
          <w:tcPr>
            <w:tcW w:w="1353" w:type="dxa"/>
            <w:vAlign w:val="top"/>
            <w:vMerge w:val="continue"/>
            <w:tcBorders>
              <w:top w:val="nil"/>
              <w:bottom w:val="nil"/>
            </w:tcBorders>
          </w:tcPr>
          <w:p>
            <w:pPr>
              <w:rPr>
                <w:rFonts w:ascii="Arial"/>
                <w:sz w:val="21"/>
              </w:rPr>
            </w:pPr>
            <w:r/>
          </w:p>
        </w:tc>
        <w:tc>
          <w:tcPr>
            <w:tcW w:w="1608" w:type="dxa"/>
            <w:vAlign w:val="top"/>
            <w:vMerge w:val="continue"/>
            <w:tcBorders>
              <w:top w:val="nil"/>
              <w:bottom w:val="nil"/>
            </w:tcBorders>
          </w:tcPr>
          <w:p>
            <w:pPr>
              <w:rPr>
                <w:rFonts w:ascii="Arial"/>
                <w:sz w:val="21"/>
              </w:rPr>
            </w:pPr>
            <w:r/>
          </w:p>
        </w:tc>
        <w:tc>
          <w:tcPr>
            <w:tcW w:w="1867" w:type="dxa"/>
            <w:vAlign w:val="top"/>
          </w:tcPr>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324"/>
              <w:spacing w:before="48" w:line="219" w:lineRule="auto"/>
              <w:rPr/>
            </w:pPr>
            <w:r>
              <w:rPr>
                <w:spacing w:val="-1"/>
              </w:rPr>
              <w:t>M11:架构标准改进</w:t>
            </w:r>
          </w:p>
        </w:tc>
        <w:tc>
          <w:tcPr>
            <w:tcW w:w="2851" w:type="dxa"/>
            <w:vAlign w:val="top"/>
          </w:tcPr>
          <w:p>
            <w:pPr>
              <w:pStyle w:val="TableText"/>
              <w:ind w:left="107" w:right="132" w:firstLine="109"/>
              <w:spacing w:before="88" w:line="320" w:lineRule="auto"/>
              <w:rPr/>
            </w:pPr>
            <w:r>
              <w:rPr>
                <w:spacing w:val="-1"/>
              </w:rPr>
              <w:t>组织应根据合规性评估、数据偏离发</w:t>
            </w:r>
            <w:r>
              <w:rPr>
                <w:spacing w:val="3"/>
              </w:rPr>
              <w:t xml:space="preserve">  </w:t>
            </w:r>
            <w:r>
              <w:rPr>
                <w:spacing w:val="1"/>
              </w:rPr>
              <w:t>现工具及各数据资产测量指标结果，决</w:t>
            </w:r>
            <w:r>
              <w:rPr>
                <w:spacing w:val="14"/>
              </w:rPr>
              <w:t xml:space="preserve"> </w:t>
            </w:r>
            <w:r>
              <w:rPr>
                <w:spacing w:val="3"/>
              </w:rPr>
              <w:t>定是否需要变更数据架构标准，或增加</w:t>
            </w:r>
            <w:r>
              <w:rPr/>
              <w:t xml:space="preserve"> </w:t>
            </w:r>
            <w:r>
              <w:rPr>
                <w:spacing w:val="2"/>
              </w:rPr>
              <w:t>对数据管理专员、软件开发工程师、项</w:t>
            </w:r>
            <w:r>
              <w:rPr/>
              <w:t xml:space="preserve"> </w:t>
            </w:r>
            <w:r>
              <w:rPr>
                <w:spacing w:val="3"/>
              </w:rPr>
              <w:t>目经理等利益相关方的有关数据架构的</w:t>
            </w:r>
            <w:r>
              <w:rPr/>
              <w:t xml:space="preserve"> </w:t>
            </w:r>
            <w:r>
              <w:rPr>
                <w:spacing w:val="4"/>
              </w:rPr>
              <w:t>使用培训</w:t>
            </w:r>
          </w:p>
        </w:tc>
      </w:tr>
      <w:tr>
        <w:trPr>
          <w:trHeight w:val="892" w:hRule="atLeast"/>
        </w:trPr>
        <w:tc>
          <w:tcPr>
            <w:tcW w:w="1353" w:type="dxa"/>
            <w:vAlign w:val="top"/>
            <w:vMerge w:val="continue"/>
            <w:tcBorders>
              <w:top w:val="nil"/>
            </w:tcBorders>
          </w:tcPr>
          <w:p>
            <w:pPr>
              <w:rPr>
                <w:rFonts w:ascii="Arial"/>
                <w:sz w:val="21"/>
              </w:rPr>
            </w:pPr>
            <w:r/>
          </w:p>
        </w:tc>
        <w:tc>
          <w:tcPr>
            <w:tcW w:w="1608" w:type="dxa"/>
            <w:vAlign w:val="top"/>
            <w:vMerge w:val="continue"/>
            <w:tcBorders>
              <w:top w:val="nil"/>
            </w:tcBorders>
          </w:tcPr>
          <w:p>
            <w:pPr>
              <w:rPr>
                <w:rFonts w:ascii="Arial"/>
                <w:sz w:val="21"/>
              </w:rPr>
            </w:pPr>
            <w:r/>
          </w:p>
        </w:tc>
        <w:tc>
          <w:tcPr>
            <w:tcW w:w="1867" w:type="dxa"/>
            <w:vAlign w:val="top"/>
          </w:tcPr>
          <w:p>
            <w:pPr>
              <w:spacing w:line="323" w:lineRule="auto"/>
              <w:rPr>
                <w:rFonts w:ascii="Arial"/>
                <w:sz w:val="21"/>
              </w:rPr>
            </w:pPr>
            <w:r/>
          </w:p>
          <w:p>
            <w:pPr>
              <w:pStyle w:val="TableText"/>
              <w:ind w:left="324"/>
              <w:spacing w:before="49" w:line="220" w:lineRule="auto"/>
              <w:rPr/>
            </w:pPr>
            <w:r>
              <w:rPr>
                <w:spacing w:val="-1"/>
              </w:rPr>
              <w:t>M12:架构标准变更</w:t>
            </w:r>
          </w:p>
        </w:tc>
        <w:tc>
          <w:tcPr>
            <w:tcW w:w="2851" w:type="dxa"/>
            <w:vAlign w:val="top"/>
          </w:tcPr>
          <w:p>
            <w:pPr>
              <w:pStyle w:val="TableText"/>
              <w:ind w:left="107" w:right="150" w:firstLine="109"/>
              <w:spacing w:before="94" w:line="314" w:lineRule="auto"/>
              <w:rPr/>
            </w:pPr>
            <w:r>
              <w:rPr>
                <w:spacing w:val="-1"/>
              </w:rPr>
              <w:t>组织应基于测量指标和风险因素，形</w:t>
            </w:r>
            <w:r>
              <w:rPr>
                <w:spacing w:val="3"/>
              </w:rPr>
              <w:t xml:space="preserve">  </w:t>
            </w:r>
            <w:r>
              <w:rPr>
                <w:spacing w:val="1"/>
              </w:rPr>
              <w:t>成对提议的标准修改的影响进行分析评</w:t>
            </w:r>
            <w:r>
              <w:rPr>
                <w:spacing w:val="14"/>
              </w:rPr>
              <w:t xml:space="preserve"> </w:t>
            </w:r>
            <w:r>
              <w:rPr/>
              <w:t>估</w:t>
            </w:r>
          </w:p>
        </w:tc>
      </w:tr>
    </w:tbl>
    <w:p>
      <w:pPr>
        <w:pStyle w:val="BodyText"/>
        <w:spacing w:line="253" w:lineRule="auto"/>
        <w:rPr/>
      </w:pPr>
      <w:r/>
    </w:p>
    <w:p>
      <w:pPr>
        <w:ind w:left="448"/>
        <w:spacing w:before="72" w:line="472" w:lineRule="exact"/>
        <w:rPr>
          <w:rFonts w:ascii="YouYuan" w:hAnsi="YouYuan" w:eastAsia="YouYuan" w:cs="YouYuan"/>
          <w:sz w:val="22"/>
          <w:szCs w:val="22"/>
        </w:rPr>
      </w:pPr>
      <w:r>
        <w:rPr>
          <w:rFonts w:ascii="YouYuan" w:hAnsi="YouYuan" w:eastAsia="YouYuan" w:cs="YouYuan"/>
          <w:sz w:val="22"/>
          <w:szCs w:val="22"/>
          <w:b/>
          <w:bCs/>
          <w:spacing w:val="-2"/>
          <w:position w:val="19"/>
        </w:rPr>
        <w:t>3.</w:t>
      </w:r>
      <w:r>
        <w:rPr>
          <w:rFonts w:ascii="YouYuan" w:hAnsi="YouYuan" w:eastAsia="YouYuan" w:cs="YouYuan"/>
          <w:sz w:val="22"/>
          <w:szCs w:val="22"/>
          <w:spacing w:val="-25"/>
          <w:position w:val="19"/>
        </w:rPr>
        <w:t xml:space="preserve"> </w:t>
      </w:r>
      <w:r>
        <w:rPr>
          <w:rFonts w:ascii="YouYuan" w:hAnsi="YouYuan" w:eastAsia="YouYuan" w:cs="YouYuan"/>
          <w:sz w:val="22"/>
          <w:szCs w:val="22"/>
          <w:b/>
          <w:bCs/>
          <w:spacing w:val="-2"/>
          <w:position w:val="19"/>
        </w:rPr>
        <w:t>成熟度等级介绍</w:t>
      </w:r>
    </w:p>
    <w:p>
      <w:pPr>
        <w:ind w:left="445"/>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0"/>
          <w:w w:val="101"/>
        </w:rPr>
        <w:t xml:space="preserve"> </w:t>
      </w: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5"/>
        </w:rPr>
        <w:t>初始级</w:t>
      </w:r>
    </w:p>
    <w:p>
      <w:pPr>
        <w:spacing w:line="117" w:lineRule="exact"/>
        <w:rPr/>
      </w:pPr>
      <w:r/>
    </w:p>
    <w:tbl>
      <w:tblPr>
        <w:tblStyle w:val="TableNormal"/>
        <w:tblW w:w="7680"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6" w:type="dxa"/>
            <w:vAlign w:val="top"/>
          </w:tcPr>
          <w:p>
            <w:pPr>
              <w:pStyle w:val="TableText"/>
              <w:ind w:left="1171"/>
              <w:spacing w:before="91" w:line="219" w:lineRule="auto"/>
              <w:rPr>
                <w:sz w:val="16"/>
                <w:szCs w:val="16"/>
              </w:rPr>
            </w:pPr>
            <w:r>
              <w:rPr>
                <w:sz w:val="16"/>
                <w:szCs w:val="16"/>
                <w:spacing w:val="-4"/>
              </w:rPr>
              <w:t>等 级 要 求</w:t>
            </w:r>
          </w:p>
        </w:tc>
        <w:tc>
          <w:tcPr>
            <w:tcW w:w="3780" w:type="dxa"/>
            <w:vAlign w:val="top"/>
          </w:tcPr>
          <w:p>
            <w:pPr>
              <w:pStyle w:val="TableText"/>
              <w:ind w:left="159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44" w:type="dxa"/>
            <w:vAlign w:val="top"/>
          </w:tcPr>
          <w:p>
            <w:pPr>
              <w:pStyle w:val="TableText"/>
              <w:ind w:left="245"/>
              <w:spacing w:before="261" w:line="184" w:lineRule="auto"/>
              <w:rPr>
                <w:sz w:val="16"/>
                <w:szCs w:val="16"/>
              </w:rPr>
            </w:pPr>
            <w:r>
              <w:rPr>
                <w:sz w:val="16"/>
                <w:szCs w:val="16"/>
                <w:spacing w:val="-5"/>
              </w:rPr>
              <w:t>1.1</w:t>
            </w:r>
          </w:p>
        </w:tc>
        <w:tc>
          <w:tcPr>
            <w:tcW w:w="3156" w:type="dxa"/>
            <w:vAlign w:val="top"/>
          </w:tcPr>
          <w:p>
            <w:pPr>
              <w:pStyle w:val="TableText"/>
              <w:ind w:left="101" w:right="5" w:firstLine="170"/>
              <w:spacing w:before="100" w:line="271" w:lineRule="auto"/>
              <w:rPr>
                <w:sz w:val="16"/>
                <w:szCs w:val="16"/>
              </w:rPr>
            </w:pPr>
            <w:r>
              <w:rPr>
                <w:sz w:val="16"/>
                <w:szCs w:val="16"/>
                <w:spacing w:val="-1"/>
              </w:rPr>
              <w:t>定义了数据架构部分标准，但并未全部或</w:t>
            </w:r>
            <w:r>
              <w:rPr>
                <w:sz w:val="16"/>
                <w:szCs w:val="16"/>
                <w:spacing w:val="6"/>
              </w:rPr>
              <w:t xml:space="preserve"> </w:t>
            </w:r>
            <w:r>
              <w:rPr>
                <w:sz w:val="16"/>
                <w:szCs w:val="16"/>
                <w:spacing w:val="-1"/>
              </w:rPr>
              <w:t>全程得到遵循</w:t>
            </w:r>
          </w:p>
        </w:tc>
        <w:tc>
          <w:tcPr>
            <w:tcW w:w="3780" w:type="dxa"/>
            <w:vAlign w:val="top"/>
          </w:tcPr>
          <w:p>
            <w:pPr>
              <w:pStyle w:val="TableText"/>
              <w:ind w:left="265"/>
              <w:spacing w:before="220" w:line="219" w:lineRule="auto"/>
              <w:rPr>
                <w:sz w:val="16"/>
                <w:szCs w:val="16"/>
              </w:rPr>
            </w:pPr>
            <w:r>
              <w:rPr>
                <w:sz w:val="16"/>
                <w:szCs w:val="16"/>
                <w:spacing w:val="1"/>
              </w:rPr>
              <w:t>●数据架构标准</w:t>
            </w:r>
          </w:p>
        </w:tc>
      </w:tr>
    </w:tbl>
    <w:p>
      <w:pPr>
        <w:ind w:left="335"/>
        <w:spacing w:before="21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25" w:right="209" w:firstLine="419"/>
        <w:spacing w:before="39" w:line="246" w:lineRule="auto"/>
        <w:rPr>
          <w:rFonts w:ascii="SimSun" w:hAnsi="SimSun" w:eastAsia="SimSun" w:cs="SimSun"/>
          <w:sz w:val="22"/>
          <w:szCs w:val="22"/>
        </w:rPr>
      </w:pPr>
      <w:r>
        <w:rPr>
          <w:rFonts w:ascii="SimSun" w:hAnsi="SimSun" w:eastAsia="SimSun" w:cs="SimSun"/>
          <w:sz w:val="22"/>
          <w:szCs w:val="22"/>
          <w:spacing w:val="-8"/>
        </w:rPr>
        <w:t>通常情况下，组织会制订架构标准，但其可能并不会始</w:t>
      </w:r>
      <w:r>
        <w:rPr>
          <w:rFonts w:ascii="SimSun" w:hAnsi="SimSun" w:eastAsia="SimSun" w:cs="SimSun"/>
          <w:sz w:val="22"/>
          <w:szCs w:val="22"/>
          <w:spacing w:val="-9"/>
        </w:rPr>
        <w:t>终如一地实施。例如，</w:t>
      </w:r>
      <w:r>
        <w:rPr>
          <w:rFonts w:ascii="SimSun" w:hAnsi="SimSun" w:eastAsia="SimSun" w:cs="SimSun"/>
          <w:sz w:val="22"/>
          <w:szCs w:val="22"/>
        </w:rPr>
        <w:t xml:space="preserve"> </w:t>
      </w:r>
      <w:r>
        <w:rPr>
          <w:rFonts w:ascii="SimSun" w:hAnsi="SimSun" w:eastAsia="SimSun" w:cs="SimSun"/>
          <w:sz w:val="22"/>
          <w:szCs w:val="22"/>
          <w:spacing w:val="-8"/>
        </w:rPr>
        <w:t>在数据仓库环境中可能会严格遵循标准，但对于操作数据存储区，标准未得到严格</w:t>
      </w:r>
      <w:r>
        <w:rPr>
          <w:rFonts w:ascii="SimSun" w:hAnsi="SimSun" w:eastAsia="SimSun" w:cs="SimSun"/>
          <w:sz w:val="22"/>
          <w:szCs w:val="22"/>
          <w:spacing w:val="16"/>
        </w:rPr>
        <w:t xml:space="preserve"> </w:t>
      </w:r>
      <w:r>
        <w:rPr>
          <w:rFonts w:ascii="SimSun" w:hAnsi="SimSun" w:eastAsia="SimSun" w:cs="SimSun"/>
          <w:sz w:val="22"/>
          <w:szCs w:val="22"/>
          <w:spacing w:val="-10"/>
        </w:rPr>
        <w:t>遵循，或者一些业务部门并未采用和实施。</w:t>
      </w:r>
    </w:p>
    <w:p>
      <w:pPr>
        <w:ind w:left="445"/>
        <w:spacing w:before="45"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13"/>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10"/>
        </w:rPr>
        <w:t xml:space="preserve"> </w:t>
      </w:r>
      <w:r>
        <w:rPr>
          <w:rFonts w:ascii="SimHei" w:hAnsi="SimHei" w:eastAsia="SimHei" w:cs="SimHei"/>
          <w:sz w:val="22"/>
          <w:szCs w:val="22"/>
          <w:b/>
          <w:bCs/>
          <w:spacing w:val="-3"/>
        </w:rPr>
        <w:t>管理级</w:t>
      </w:r>
    </w:p>
    <w:p>
      <w:pPr>
        <w:spacing w:line="128" w:lineRule="exact"/>
        <w:rPr/>
      </w:pPr>
      <w:r/>
    </w:p>
    <w:tbl>
      <w:tblPr>
        <w:tblStyle w:val="TableNormal"/>
        <w:tblW w:w="767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51" w:hRule="atLeast"/>
        </w:trPr>
        <w:tc>
          <w:tcPr>
            <w:tcW w:w="744" w:type="dxa"/>
            <w:vAlign w:val="top"/>
          </w:tcPr>
          <w:p>
            <w:pPr>
              <w:pStyle w:val="TableText"/>
              <w:ind w:left="214"/>
              <w:spacing w:before="102" w:line="221" w:lineRule="auto"/>
              <w:rPr/>
            </w:pPr>
            <w:r>
              <w:rPr>
                <w:spacing w:val="-2"/>
              </w:rPr>
              <w:t>序号</w:t>
            </w:r>
          </w:p>
        </w:tc>
        <w:tc>
          <w:tcPr>
            <w:tcW w:w="3155"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6"/>
              </w:rPr>
              <w:t xml:space="preserve">    </w:t>
            </w:r>
            <w:r>
              <w:rPr>
                <w:spacing w:val="-5"/>
              </w:rPr>
              <w:t>例</w:t>
            </w:r>
          </w:p>
        </w:tc>
      </w:tr>
      <w:tr>
        <w:trPr>
          <w:trHeight w:val="599" w:hRule="atLeast"/>
        </w:trPr>
        <w:tc>
          <w:tcPr>
            <w:tcW w:w="744" w:type="dxa"/>
            <w:vAlign w:val="top"/>
          </w:tcPr>
          <w:p>
            <w:pPr>
              <w:pStyle w:val="TableText"/>
              <w:ind w:left="244"/>
              <w:spacing w:before="268" w:line="184" w:lineRule="auto"/>
              <w:rPr/>
            </w:pPr>
            <w:r>
              <w:rPr>
                <w:spacing w:val="-2"/>
              </w:rPr>
              <w:t>2.1</w:t>
            </w:r>
          </w:p>
        </w:tc>
        <w:tc>
          <w:tcPr>
            <w:tcW w:w="3155" w:type="dxa"/>
            <w:vAlign w:val="top"/>
          </w:tcPr>
          <w:p>
            <w:pPr>
              <w:pStyle w:val="TableText"/>
              <w:ind w:left="111" w:right="183" w:firstLine="159"/>
              <w:spacing w:before="100" w:line="281" w:lineRule="auto"/>
              <w:rPr/>
            </w:pPr>
            <w:r>
              <w:rPr>
                <w:spacing w:val="-1"/>
              </w:rPr>
              <w:t>定义并遵循架构标准，包括数据表示、安</w:t>
            </w:r>
            <w:r>
              <w:rPr>
                <w:spacing w:val="7"/>
              </w:rPr>
              <w:t xml:space="preserve"> </w:t>
            </w:r>
            <w:r>
              <w:rPr>
                <w:spacing w:val="-1"/>
              </w:rPr>
              <w:t>全、数据访问和数据供应</w:t>
            </w:r>
          </w:p>
        </w:tc>
        <w:tc>
          <w:tcPr>
            <w:tcW w:w="3780" w:type="dxa"/>
            <w:vAlign w:val="top"/>
          </w:tcPr>
          <w:p>
            <w:pPr>
              <w:pStyle w:val="TableText"/>
              <w:ind w:left="125" w:right="187" w:firstLine="149"/>
              <w:spacing w:before="100" w:line="288" w:lineRule="auto"/>
              <w:rPr/>
            </w:pPr>
            <w:r>
              <w:rPr/>
              <w:t>●包括数据表示、安全、数据访问及数据供应的数</w:t>
            </w:r>
            <w:r>
              <w:rPr>
                <w:spacing w:val="5"/>
              </w:rPr>
              <w:t xml:space="preserve"> </w:t>
            </w:r>
            <w:r>
              <w:rPr>
                <w:spacing w:val="-1"/>
              </w:rPr>
              <w:t>据架构标准</w:t>
            </w:r>
          </w:p>
        </w:tc>
      </w:tr>
    </w:tbl>
    <w:p>
      <w:pPr>
        <w:ind w:left="335"/>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5" w:right="206" w:firstLine="419"/>
        <w:spacing w:before="48" w:line="250" w:lineRule="auto"/>
        <w:rPr>
          <w:rFonts w:ascii="SimSun" w:hAnsi="SimSun" w:eastAsia="SimSun" w:cs="SimSun"/>
          <w:sz w:val="22"/>
          <w:szCs w:val="22"/>
        </w:rPr>
      </w:pPr>
      <w:r>
        <w:rPr>
          <w:rFonts w:ascii="SimSun" w:hAnsi="SimSun" w:eastAsia="SimSun" w:cs="SimSun"/>
          <w:sz w:val="22"/>
          <w:szCs w:val="22"/>
          <w:spacing w:val="-7"/>
        </w:rPr>
        <w:t>数据架构标准的主体通常会基于更广泛的架构活动进</w:t>
      </w:r>
      <w:r>
        <w:rPr>
          <w:rFonts w:ascii="SimSun" w:hAnsi="SimSun" w:eastAsia="SimSun" w:cs="SimSun"/>
          <w:sz w:val="22"/>
          <w:szCs w:val="22"/>
          <w:spacing w:val="-8"/>
        </w:rPr>
        <w:t>行演变，例如整个组织范</w:t>
      </w:r>
      <w:r>
        <w:rPr>
          <w:rFonts w:ascii="SimSun" w:hAnsi="SimSun" w:eastAsia="SimSun" w:cs="SimSun"/>
          <w:sz w:val="22"/>
          <w:szCs w:val="22"/>
        </w:rPr>
        <w:t xml:space="preserve"> </w:t>
      </w:r>
      <w:r>
        <w:rPr>
          <w:rFonts w:ascii="SimSun" w:hAnsi="SimSun" w:eastAsia="SimSun" w:cs="SimSun"/>
          <w:sz w:val="22"/>
          <w:szCs w:val="22"/>
          <w:spacing w:val="-8"/>
        </w:rPr>
        <w:t>围内的应用程序或技术架构的转换、重要的应用集成等。制订一套有效的标准需要</w:t>
      </w:r>
      <w:r>
        <w:rPr>
          <w:rFonts w:ascii="SimSun" w:hAnsi="SimSun" w:eastAsia="SimSun" w:cs="SimSun"/>
          <w:sz w:val="22"/>
          <w:szCs w:val="22"/>
          <w:spacing w:val="17"/>
        </w:rPr>
        <w:t xml:space="preserve"> </w:t>
      </w:r>
      <w:r>
        <w:rPr>
          <w:rFonts w:ascii="SimSun" w:hAnsi="SimSun" w:eastAsia="SimSun" w:cs="SimSun"/>
          <w:sz w:val="22"/>
          <w:szCs w:val="22"/>
          <w:spacing w:val="-7"/>
        </w:rPr>
        <w:t>时间和努力，根据资源和预算因素，建议扩</w:t>
      </w:r>
      <w:r>
        <w:rPr>
          <w:rFonts w:ascii="SimSun" w:hAnsi="SimSun" w:eastAsia="SimSun" w:cs="SimSun"/>
          <w:sz w:val="22"/>
          <w:szCs w:val="22"/>
          <w:spacing w:val="-8"/>
        </w:rPr>
        <w:t>展标准基础，以覆盖影响组织的数据层</w:t>
      </w:r>
      <w:r>
        <w:rPr>
          <w:rFonts w:ascii="SimSun" w:hAnsi="SimSun" w:eastAsia="SimSun" w:cs="SimSun"/>
          <w:sz w:val="22"/>
          <w:szCs w:val="22"/>
        </w:rPr>
        <w:t xml:space="preserve"> </w:t>
      </w:r>
      <w:r>
        <w:rPr>
          <w:rFonts w:ascii="SimSun" w:hAnsi="SimSun" w:eastAsia="SimSun" w:cs="SimSun"/>
          <w:sz w:val="22"/>
          <w:szCs w:val="22"/>
          <w:spacing w:val="-14"/>
        </w:rPr>
        <w:t>的各个方面。</w:t>
      </w:r>
    </w:p>
    <w:p>
      <w:pPr>
        <w:spacing w:line="250" w:lineRule="auto"/>
        <w:sectPr>
          <w:footerReference w:type="default" r:id="rId369"/>
          <w:pgSz w:w="8870" w:h="13400"/>
          <w:pgMar w:top="400" w:right="511" w:bottom="564" w:left="474" w:header="0" w:footer="346" w:gutter="0"/>
        </w:sectPr>
        <w:rPr>
          <w:rFonts w:ascii="SimSun" w:hAnsi="SimSun" w:eastAsia="SimSun" w:cs="SimSun"/>
          <w:sz w:val="22"/>
          <w:szCs w:val="22"/>
        </w:rPr>
      </w:pPr>
    </w:p>
    <w:p>
      <w:pPr>
        <w:ind w:left="232"/>
        <w:spacing w:before="256" w:line="219" w:lineRule="auto"/>
        <w:rPr>
          <w:rFonts w:ascii="SimSun" w:hAnsi="SimSun" w:eastAsia="SimSun" w:cs="SimSun"/>
          <w:sz w:val="22"/>
          <w:szCs w:val="22"/>
        </w:rPr>
      </w:pPr>
      <w:r>
        <w:drawing>
          <wp:anchor distT="0" distB="0" distL="0" distR="0" simplePos="0" relativeHeight="256631808" behindDoc="0" locked="0" layoutInCell="0" allowOverlap="1">
            <wp:simplePos x="0" y="0"/>
            <wp:positionH relativeFrom="page">
              <wp:posOffset>336538</wp:posOffset>
            </wp:positionH>
            <wp:positionV relativeFrom="page">
              <wp:posOffset>374650</wp:posOffset>
            </wp:positionV>
            <wp:extent cx="6365" cy="228637"/>
            <wp:effectExtent l="0" t="0" r="0" b="0"/>
            <wp:wrapNone/>
            <wp:docPr id="246" name="IM 246"/>
            <wp:cNvGraphicFramePr/>
            <a:graphic>
              <a:graphicData uri="http://schemas.openxmlformats.org/drawingml/2006/picture">
                <pic:pic>
                  <pic:nvPicPr>
                    <pic:cNvPr id="246" name="IM 246"/>
                    <pic:cNvPicPr/>
                  </pic:nvPicPr>
                  <pic:blipFill>
                    <a:blip r:embed="rId371"/>
                    <a:stretch>
                      <a:fillRect/>
                    </a:stretch>
                  </pic:blipFill>
                  <pic:spPr>
                    <a:xfrm rot="0">
                      <a:off x="0" y="0"/>
                      <a:ext cx="6365" cy="228637"/>
                    </a:xfrm>
                    <a:prstGeom prst="rect">
                      <a:avLst/>
                    </a:prstGeom>
                  </pic:spPr>
                </pic:pic>
              </a:graphicData>
            </a:graphic>
          </wp:anchor>
        </w:drawing>
      </w:r>
      <w:r>
        <w:rPr>
          <w:rFonts w:ascii="SimSun" w:hAnsi="SimSun" w:eastAsia="SimSun" w:cs="SimSun"/>
          <w:sz w:val="22"/>
          <w:szCs w:val="22"/>
          <w:b/>
          <w:bCs/>
          <w:spacing w:val="-19"/>
        </w:rPr>
        <w:t>■云端数据治理</w:t>
      </w:r>
    </w:p>
    <w:p>
      <w:pPr>
        <w:spacing w:before="6"/>
        <w:rPr/>
      </w:pPr>
      <w:r/>
    </w:p>
    <w:tbl>
      <w:tblPr>
        <w:tblStyle w:val="TableNormal"/>
        <w:tblW w:w="768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51"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9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9" w:hRule="atLeast"/>
        </w:trPr>
        <w:tc>
          <w:tcPr>
            <w:tcW w:w="754" w:type="dxa"/>
            <w:vAlign w:val="top"/>
          </w:tcPr>
          <w:p>
            <w:pPr>
              <w:pStyle w:val="TableText"/>
              <w:ind w:left="244"/>
              <w:spacing w:before="261" w:line="183" w:lineRule="auto"/>
              <w:rPr>
                <w:sz w:val="16"/>
                <w:szCs w:val="16"/>
              </w:rPr>
            </w:pPr>
            <w:r>
              <w:rPr>
                <w:sz w:val="16"/>
                <w:szCs w:val="16"/>
                <w:spacing w:val="-2"/>
              </w:rPr>
              <w:t>2.2</w:t>
            </w:r>
          </w:p>
        </w:tc>
        <w:tc>
          <w:tcPr>
            <w:tcW w:w="3156" w:type="dxa"/>
            <w:vAlign w:val="top"/>
          </w:tcPr>
          <w:p>
            <w:pPr>
              <w:pStyle w:val="TableText"/>
              <w:ind w:left="110" w:firstLine="169"/>
              <w:spacing w:before="101" w:line="265" w:lineRule="auto"/>
              <w:rPr>
                <w:sz w:val="16"/>
                <w:szCs w:val="16"/>
              </w:rPr>
            </w:pPr>
            <w:r>
              <w:rPr>
                <w:sz w:val="16"/>
                <w:szCs w:val="16"/>
                <w:spacing w:val="-1"/>
              </w:rPr>
              <w:t>与业务利益相关方一起评审架构标准，并</w:t>
            </w:r>
            <w:r>
              <w:rPr>
                <w:sz w:val="16"/>
                <w:szCs w:val="16"/>
                <w:spacing w:val="2"/>
              </w:rPr>
              <w:t xml:space="preserve"> </w:t>
            </w:r>
            <w:r>
              <w:rPr>
                <w:sz w:val="16"/>
                <w:szCs w:val="16"/>
                <w:spacing w:val="-1"/>
              </w:rPr>
              <w:t>通过数据治理进行批准</w:t>
            </w:r>
          </w:p>
        </w:tc>
        <w:tc>
          <w:tcPr>
            <w:tcW w:w="3770" w:type="dxa"/>
            <w:vAlign w:val="top"/>
          </w:tcPr>
          <w:p>
            <w:pPr>
              <w:pStyle w:val="TableText"/>
              <w:ind w:left="275"/>
              <w:spacing w:before="220" w:line="219" w:lineRule="auto"/>
              <w:rPr>
                <w:sz w:val="16"/>
                <w:szCs w:val="16"/>
              </w:rPr>
            </w:pPr>
            <w:r>
              <w:rPr>
                <w:sz w:val="16"/>
                <w:szCs w:val="16"/>
              </w:rPr>
              <w:t>●数据架构标准审批记录</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85" w:firstLine="469"/>
        <w:spacing w:before="56" w:line="247" w:lineRule="auto"/>
        <w:rPr>
          <w:rFonts w:ascii="SimSun" w:hAnsi="SimSun" w:eastAsia="SimSun" w:cs="SimSun"/>
          <w:sz w:val="22"/>
          <w:szCs w:val="22"/>
        </w:rPr>
      </w:pPr>
      <w:r>
        <w:rPr>
          <w:rFonts w:ascii="SimSun" w:hAnsi="SimSun" w:eastAsia="SimSun" w:cs="SimSun"/>
          <w:sz w:val="22"/>
          <w:szCs w:val="22"/>
          <w:spacing w:val="-9"/>
        </w:rPr>
        <w:t>数据架构标准的制订通常由</w:t>
      </w:r>
      <w:r>
        <w:rPr>
          <w:rFonts w:ascii="Times New Roman" w:hAnsi="Times New Roman" w:eastAsia="Times New Roman" w:cs="Times New Roman"/>
          <w:sz w:val="22"/>
          <w:szCs w:val="22"/>
          <w:spacing w:val="-9"/>
        </w:rPr>
        <w:t>IT </w:t>
      </w:r>
      <w:r>
        <w:rPr>
          <w:rFonts w:ascii="SimSun" w:hAnsi="SimSun" w:eastAsia="SimSun" w:cs="SimSun"/>
          <w:sz w:val="22"/>
          <w:szCs w:val="22"/>
          <w:spacing w:val="-9"/>
        </w:rPr>
        <w:t>发起，并使用数据需求作为输入信息。业务相关</w:t>
      </w:r>
      <w:r>
        <w:rPr>
          <w:rFonts w:ascii="SimSun" w:hAnsi="SimSun" w:eastAsia="SimSun" w:cs="SimSun"/>
          <w:sz w:val="22"/>
          <w:szCs w:val="22"/>
          <w:spacing w:val="10"/>
        </w:rPr>
        <w:t xml:space="preserve"> </w:t>
      </w:r>
      <w:r>
        <w:rPr>
          <w:rFonts w:ascii="SimSun" w:hAnsi="SimSun" w:eastAsia="SimSun" w:cs="SimSun"/>
          <w:sz w:val="22"/>
          <w:szCs w:val="22"/>
          <w:spacing w:val="-8"/>
        </w:rPr>
        <w:t>人应通过数据治理来参与评审和批准标准。经批准的标准通常由数据管理职能进行</w:t>
      </w:r>
      <w:r>
        <w:rPr>
          <w:rFonts w:ascii="SimSun" w:hAnsi="SimSun" w:eastAsia="SimSun" w:cs="SimSun"/>
          <w:sz w:val="22"/>
          <w:szCs w:val="22"/>
          <w:spacing w:val="7"/>
        </w:rPr>
        <w:t xml:space="preserve"> </w:t>
      </w:r>
      <w:r>
        <w:rPr>
          <w:rFonts w:ascii="SimSun" w:hAnsi="SimSun" w:eastAsia="SimSun" w:cs="SimSun"/>
          <w:sz w:val="22"/>
          <w:szCs w:val="22"/>
          <w:spacing w:val="-10"/>
        </w:rPr>
        <w:t>维护，并使用业务战略和数据战略作为输入信息。</w:t>
      </w:r>
    </w:p>
    <w:p>
      <w:pPr>
        <w:spacing w:line="124" w:lineRule="exact"/>
        <w:rPr/>
      </w:pPr>
      <w:r/>
    </w:p>
    <w:tbl>
      <w:tblPr>
        <w:tblStyle w:val="TableNormal"/>
        <w:tblW w:w="767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5"/>
        <w:gridCol w:w="3770"/>
      </w:tblGrid>
      <w:tr>
        <w:trPr>
          <w:trHeight w:val="351" w:hRule="atLeast"/>
        </w:trPr>
        <w:tc>
          <w:tcPr>
            <w:tcW w:w="754" w:type="dxa"/>
            <w:vAlign w:val="top"/>
          </w:tcPr>
          <w:p>
            <w:pPr>
              <w:pStyle w:val="TableText"/>
              <w:ind w:left="205"/>
              <w:spacing w:before="102" w:line="221" w:lineRule="auto"/>
              <w:rPr>
                <w:sz w:val="16"/>
                <w:szCs w:val="16"/>
              </w:rPr>
            </w:pPr>
            <w:r>
              <w:rPr>
                <w:sz w:val="16"/>
                <w:szCs w:val="16"/>
                <w:spacing w:val="-2"/>
              </w:rPr>
              <w:t>序号</w:t>
            </w:r>
          </w:p>
        </w:tc>
        <w:tc>
          <w:tcPr>
            <w:tcW w:w="3155" w:type="dxa"/>
            <w:vAlign w:val="top"/>
          </w:tcPr>
          <w:p>
            <w:pPr>
              <w:pStyle w:val="TableText"/>
              <w:ind w:left="1160"/>
              <w:spacing w:before="101" w:line="219" w:lineRule="auto"/>
              <w:rPr>
                <w:sz w:val="16"/>
                <w:szCs w:val="16"/>
              </w:rPr>
            </w:pPr>
            <w:r>
              <w:rPr>
                <w:sz w:val="16"/>
                <w:szCs w:val="16"/>
                <w:spacing w:val="-4"/>
              </w:rPr>
              <w:t>等 级 要 求</w:t>
            </w:r>
          </w:p>
        </w:tc>
        <w:tc>
          <w:tcPr>
            <w:tcW w:w="3770" w:type="dxa"/>
            <w:vAlign w:val="top"/>
          </w:tcPr>
          <w:p>
            <w:pPr>
              <w:pStyle w:val="TableText"/>
              <w:ind w:left="158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9" w:hRule="atLeast"/>
        </w:trPr>
        <w:tc>
          <w:tcPr>
            <w:tcW w:w="754" w:type="dxa"/>
            <w:vAlign w:val="top"/>
          </w:tcPr>
          <w:p>
            <w:pPr>
              <w:pStyle w:val="TableText"/>
              <w:ind w:left="245"/>
              <w:spacing w:before="261" w:line="183" w:lineRule="auto"/>
              <w:rPr>
                <w:sz w:val="16"/>
                <w:szCs w:val="16"/>
              </w:rPr>
            </w:pPr>
            <w:r>
              <w:rPr>
                <w:sz w:val="16"/>
                <w:szCs w:val="16"/>
                <w:spacing w:val="-2"/>
              </w:rPr>
              <w:t>2.3</w:t>
            </w:r>
          </w:p>
        </w:tc>
        <w:tc>
          <w:tcPr>
            <w:tcW w:w="3155" w:type="dxa"/>
            <w:vAlign w:val="top"/>
          </w:tcPr>
          <w:p>
            <w:pPr>
              <w:pStyle w:val="TableText"/>
              <w:ind w:left="110" w:right="4" w:firstLine="160"/>
              <w:spacing w:before="101" w:line="265" w:lineRule="auto"/>
              <w:rPr>
                <w:sz w:val="16"/>
                <w:szCs w:val="16"/>
              </w:rPr>
            </w:pPr>
            <w:r>
              <w:rPr>
                <w:sz w:val="16"/>
                <w:szCs w:val="16"/>
                <w:spacing w:val="-1"/>
              </w:rPr>
              <w:t>定义并遵循适用于架构标准偏离请求、批</w:t>
            </w:r>
            <w:r>
              <w:rPr>
                <w:sz w:val="16"/>
                <w:szCs w:val="16"/>
                <w:spacing w:val="6"/>
              </w:rPr>
              <w:t xml:space="preserve"> </w:t>
            </w:r>
            <w:r>
              <w:rPr>
                <w:sz w:val="16"/>
                <w:szCs w:val="16"/>
                <w:spacing w:val="-1"/>
              </w:rPr>
              <w:t>准和管理的过程</w:t>
            </w:r>
          </w:p>
        </w:tc>
        <w:tc>
          <w:tcPr>
            <w:tcW w:w="3770" w:type="dxa"/>
            <w:vAlign w:val="top"/>
          </w:tcPr>
          <w:p>
            <w:pPr>
              <w:pStyle w:val="TableText"/>
              <w:ind w:left="345"/>
              <w:spacing w:before="221" w:line="220" w:lineRule="auto"/>
              <w:rPr>
                <w:sz w:val="16"/>
                <w:szCs w:val="16"/>
              </w:rPr>
            </w:pPr>
            <w:r>
              <w:rPr>
                <w:sz w:val="16"/>
                <w:szCs w:val="16"/>
                <w:spacing w:val="-1"/>
              </w:rPr>
              <w:t>架构变更审批记录</w:t>
            </w:r>
          </w:p>
        </w:tc>
      </w:tr>
    </w:tbl>
    <w:p>
      <w:pPr>
        <w:ind w:left="58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125" w:firstLine="469"/>
        <w:spacing w:before="49" w:line="252" w:lineRule="auto"/>
        <w:rPr>
          <w:rFonts w:ascii="SimSun" w:hAnsi="SimSun" w:eastAsia="SimSun" w:cs="SimSun"/>
          <w:sz w:val="22"/>
          <w:szCs w:val="22"/>
        </w:rPr>
      </w:pPr>
      <w:r>
        <w:rPr>
          <w:rFonts w:ascii="SimSun" w:hAnsi="SimSun" w:eastAsia="SimSun" w:cs="SimSun"/>
          <w:sz w:val="22"/>
          <w:szCs w:val="22"/>
          <w:spacing w:val="-9"/>
        </w:rPr>
        <w:t>由于标准的主体不断演变，最终会影响整个数据层和所采用的数</w:t>
      </w:r>
      <w:r>
        <w:rPr>
          <w:rFonts w:ascii="SimSun" w:hAnsi="SimSun" w:eastAsia="SimSun" w:cs="SimSun"/>
          <w:sz w:val="22"/>
          <w:szCs w:val="22"/>
          <w:spacing w:val="-10"/>
        </w:rPr>
        <w:t>据访问机制，</w:t>
      </w:r>
      <w:r>
        <w:rPr>
          <w:rFonts w:ascii="SimSun" w:hAnsi="SimSun" w:eastAsia="SimSun" w:cs="SimSun"/>
          <w:sz w:val="22"/>
          <w:szCs w:val="22"/>
        </w:rPr>
        <w:t xml:space="preserve"> </w:t>
      </w:r>
      <w:r>
        <w:rPr>
          <w:rFonts w:ascii="SimSun" w:hAnsi="SimSun" w:eastAsia="SimSun" w:cs="SimSun"/>
          <w:sz w:val="22"/>
          <w:szCs w:val="22"/>
          <w:spacing w:val="-8"/>
        </w:rPr>
        <w:t>对于由事件驱动的新标准、现有标准的增加和更改的请求，必须认真协调、同意并</w:t>
      </w:r>
      <w:r>
        <w:rPr>
          <w:rFonts w:ascii="SimSun" w:hAnsi="SimSun" w:eastAsia="SimSun" w:cs="SimSun"/>
          <w:sz w:val="22"/>
          <w:szCs w:val="22"/>
          <w:spacing w:val="6"/>
        </w:rPr>
        <w:t xml:space="preserve"> </w:t>
      </w:r>
      <w:r>
        <w:rPr>
          <w:rFonts w:ascii="SimSun" w:hAnsi="SimSun" w:eastAsia="SimSun" w:cs="SimSun"/>
          <w:sz w:val="22"/>
          <w:szCs w:val="22"/>
          <w:spacing w:val="-10"/>
        </w:rPr>
        <w:t>批准，以确保朝向长期架构目标的进展不受影响。</w:t>
      </w:r>
    </w:p>
    <w:p>
      <w:pPr>
        <w:spacing w:line="105" w:lineRule="exact"/>
        <w:rPr/>
      </w:pPr>
      <w:r/>
    </w:p>
    <w:tbl>
      <w:tblPr>
        <w:tblStyle w:val="TableNormal"/>
        <w:tblW w:w="766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75"/>
        <w:gridCol w:w="3750"/>
      </w:tblGrid>
      <w:tr>
        <w:trPr>
          <w:trHeight w:val="36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75" w:type="dxa"/>
            <w:vAlign w:val="top"/>
          </w:tcPr>
          <w:p>
            <w:pPr>
              <w:pStyle w:val="TableText"/>
              <w:ind w:left="1181"/>
              <w:spacing w:before="101" w:line="219" w:lineRule="auto"/>
              <w:rPr>
                <w:sz w:val="16"/>
                <w:szCs w:val="16"/>
              </w:rPr>
            </w:pPr>
            <w:r>
              <w:rPr>
                <w:sz w:val="16"/>
                <w:szCs w:val="16"/>
                <w:spacing w:val="-4"/>
              </w:rPr>
              <w:t>等 级 要 求</w:t>
            </w:r>
          </w:p>
        </w:tc>
        <w:tc>
          <w:tcPr>
            <w:tcW w:w="3750" w:type="dxa"/>
            <w:vAlign w:val="top"/>
          </w:tcPr>
          <w:p>
            <w:pPr>
              <w:pStyle w:val="TableText"/>
              <w:ind w:left="156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9" w:hRule="atLeast"/>
        </w:trPr>
        <w:tc>
          <w:tcPr>
            <w:tcW w:w="744" w:type="dxa"/>
            <w:vAlign w:val="top"/>
          </w:tcPr>
          <w:p>
            <w:pPr>
              <w:pStyle w:val="TableText"/>
              <w:ind w:left="244"/>
              <w:spacing w:before="261" w:line="183" w:lineRule="auto"/>
              <w:rPr>
                <w:sz w:val="16"/>
                <w:szCs w:val="16"/>
              </w:rPr>
            </w:pPr>
            <w:r>
              <w:rPr>
                <w:sz w:val="16"/>
                <w:szCs w:val="16"/>
                <w:spacing w:val="-2"/>
              </w:rPr>
              <w:t>2.4</w:t>
            </w:r>
          </w:p>
        </w:tc>
        <w:tc>
          <w:tcPr>
            <w:tcW w:w="3175" w:type="dxa"/>
            <w:vAlign w:val="top"/>
          </w:tcPr>
          <w:p>
            <w:pPr>
              <w:pStyle w:val="TableText"/>
              <w:ind w:left="110" w:right="20" w:firstLine="160"/>
              <w:spacing w:before="90" w:line="277" w:lineRule="auto"/>
              <w:rPr>
                <w:sz w:val="16"/>
                <w:szCs w:val="16"/>
              </w:rPr>
            </w:pPr>
            <w:r>
              <w:rPr>
                <w:sz w:val="16"/>
                <w:szCs w:val="16"/>
                <w:spacing w:val="-1"/>
              </w:rPr>
              <w:t>架构方法、蓝图和组件设计与所选的标准</w:t>
            </w:r>
            <w:r>
              <w:rPr>
                <w:sz w:val="16"/>
                <w:szCs w:val="16"/>
                <w:spacing w:val="10"/>
              </w:rPr>
              <w:t xml:space="preserve"> </w:t>
            </w:r>
            <w:r>
              <w:rPr>
                <w:sz w:val="16"/>
                <w:szCs w:val="16"/>
                <w:spacing w:val="-2"/>
              </w:rPr>
              <w:t>保持一致</w:t>
            </w:r>
          </w:p>
        </w:tc>
        <w:tc>
          <w:tcPr>
            <w:tcW w:w="3750" w:type="dxa"/>
            <w:vAlign w:val="top"/>
          </w:tcPr>
          <w:p>
            <w:pPr>
              <w:pStyle w:val="TableText"/>
              <w:ind w:left="266"/>
              <w:spacing w:before="221" w:line="220" w:lineRule="auto"/>
              <w:rPr>
                <w:sz w:val="16"/>
                <w:szCs w:val="16"/>
              </w:rPr>
            </w:pPr>
            <w:r>
              <w:rPr>
                <w:sz w:val="16"/>
                <w:szCs w:val="16"/>
                <w:spacing w:val="1"/>
              </w:rPr>
              <w:t>●新项目引入标准架构</w:t>
            </w:r>
          </w:p>
        </w:tc>
      </w:tr>
    </w:tbl>
    <w:p>
      <w:pPr>
        <w:ind w:left="58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82" w:firstLine="469"/>
        <w:spacing w:before="47" w:line="247" w:lineRule="auto"/>
        <w:rPr>
          <w:rFonts w:ascii="SimSun" w:hAnsi="SimSun" w:eastAsia="SimSun" w:cs="SimSun"/>
          <w:sz w:val="22"/>
          <w:szCs w:val="22"/>
        </w:rPr>
      </w:pPr>
      <w:r>
        <w:rPr>
          <w:rFonts w:ascii="SimSun" w:hAnsi="SimSun" w:eastAsia="SimSun" w:cs="SimSun"/>
          <w:sz w:val="22"/>
          <w:szCs w:val="22"/>
          <w:spacing w:val="-8"/>
        </w:rPr>
        <w:t>在标准被批准之后，在整个组织内进行宣传和发布是一项挑战。如果目标数据</w:t>
      </w:r>
      <w:r>
        <w:rPr>
          <w:rFonts w:ascii="SimSun" w:hAnsi="SimSun" w:eastAsia="SimSun" w:cs="SimSun"/>
          <w:sz w:val="22"/>
          <w:szCs w:val="22"/>
          <w:spacing w:val="3"/>
        </w:rPr>
        <w:t xml:space="preserve"> </w:t>
      </w:r>
      <w:r>
        <w:rPr>
          <w:rFonts w:ascii="SimSun" w:hAnsi="SimSun" w:eastAsia="SimSun" w:cs="SimSun"/>
          <w:sz w:val="22"/>
          <w:szCs w:val="22"/>
          <w:spacing w:val="-8"/>
        </w:rPr>
        <w:t>架构正处于开发之中，这将会需要关注和努力，以确保在设计、工具选择等方面使</w:t>
      </w:r>
      <w:r>
        <w:rPr>
          <w:rFonts w:ascii="SimSun" w:hAnsi="SimSun" w:eastAsia="SimSun" w:cs="SimSun"/>
          <w:sz w:val="22"/>
          <w:szCs w:val="22"/>
          <w:spacing w:val="7"/>
        </w:rPr>
        <w:t xml:space="preserve"> </w:t>
      </w:r>
      <w:r>
        <w:rPr>
          <w:rFonts w:ascii="SimSun" w:hAnsi="SimSun" w:eastAsia="SimSun" w:cs="SimSun"/>
          <w:sz w:val="22"/>
          <w:szCs w:val="22"/>
          <w:spacing w:val="-14"/>
        </w:rPr>
        <w:t>用新的或改进的标准。</w:t>
      </w:r>
    </w:p>
    <w:p>
      <w:pPr>
        <w:ind w:left="699"/>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2"/>
        </w:rPr>
        <w:t>Level</w:t>
      </w:r>
      <w:r>
        <w:rPr>
          <w:rFonts w:ascii="Times New Roman" w:hAnsi="Times New Roman" w:eastAsia="Times New Roman" w:cs="Times New Roman"/>
          <w:sz w:val="22"/>
          <w:szCs w:val="22"/>
          <w:b/>
          <w:bCs/>
          <w:spacing w:val="45"/>
          <w:w w:val="101"/>
        </w:rPr>
        <w:t xml:space="preserve"> </w:t>
      </w: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b/>
          <w:bCs/>
          <w:spacing w:val="29"/>
        </w:rPr>
        <w:t xml:space="preserve"> </w:t>
      </w:r>
      <w:r>
        <w:rPr>
          <w:rFonts w:ascii="SimHei" w:hAnsi="SimHei" w:eastAsia="SimHei" w:cs="SimHei"/>
          <w:sz w:val="22"/>
          <w:szCs w:val="22"/>
          <w:b/>
          <w:bCs/>
          <w:spacing w:val="-2"/>
        </w:rPr>
        <w:t>定义级</w:t>
      </w:r>
    </w:p>
    <w:p>
      <w:pPr>
        <w:spacing w:line="118" w:lineRule="exact"/>
        <w:rPr/>
      </w:pPr>
      <w:r/>
    </w:p>
    <w:tbl>
      <w:tblPr>
        <w:tblStyle w:val="TableNormal"/>
        <w:tblW w:w="767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6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6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5"/>
              <w:spacing w:before="261" w:line="184" w:lineRule="auto"/>
              <w:rPr>
                <w:sz w:val="16"/>
                <w:szCs w:val="16"/>
              </w:rPr>
            </w:pPr>
            <w:r>
              <w:rPr>
                <w:sz w:val="16"/>
                <w:szCs w:val="16"/>
                <w:spacing w:val="-3"/>
              </w:rPr>
              <w:t>3.1</w:t>
            </w:r>
          </w:p>
        </w:tc>
        <w:tc>
          <w:tcPr>
            <w:tcW w:w="3166" w:type="dxa"/>
            <w:vAlign w:val="top"/>
          </w:tcPr>
          <w:p>
            <w:pPr>
              <w:pStyle w:val="TableText"/>
              <w:ind w:left="271"/>
              <w:spacing w:before="220" w:line="219" w:lineRule="auto"/>
              <w:rPr>
                <w:sz w:val="16"/>
                <w:szCs w:val="16"/>
              </w:rPr>
            </w:pPr>
            <w:r>
              <w:rPr>
                <w:sz w:val="16"/>
                <w:szCs w:val="16"/>
                <w:spacing w:val="-1"/>
              </w:rPr>
              <w:t>在整个组织内遵循架构标准</w:t>
            </w:r>
          </w:p>
        </w:tc>
        <w:tc>
          <w:tcPr>
            <w:tcW w:w="3760" w:type="dxa"/>
            <w:vAlign w:val="top"/>
          </w:tcPr>
          <w:p>
            <w:pPr>
              <w:pStyle w:val="TableText"/>
              <w:ind w:left="275"/>
              <w:spacing w:before="109" w:line="218" w:lineRule="auto"/>
              <w:rPr>
                <w:sz w:val="16"/>
                <w:szCs w:val="16"/>
              </w:rPr>
            </w:pPr>
            <w:r>
              <w:rPr>
                <w:sz w:val="16"/>
                <w:szCs w:val="16"/>
              </w:rPr>
              <w:t>●架构标准合规性或监管报告</w:t>
            </w:r>
          </w:p>
          <w:p>
            <w:pPr>
              <w:pStyle w:val="TableText"/>
              <w:ind w:left="275"/>
              <w:spacing w:before="82" w:line="220" w:lineRule="auto"/>
              <w:rPr>
                <w:sz w:val="16"/>
                <w:szCs w:val="16"/>
              </w:rPr>
            </w:pPr>
            <w:r>
              <w:rPr>
                <w:sz w:val="16"/>
                <w:szCs w:val="16"/>
              </w:rPr>
              <w:t>●架构标准例外规程</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29" w:right="86" w:firstLine="469"/>
        <w:spacing w:before="47" w:line="252" w:lineRule="auto"/>
        <w:rPr>
          <w:rFonts w:ascii="SimSun" w:hAnsi="SimSun" w:eastAsia="SimSun" w:cs="SimSun"/>
          <w:sz w:val="22"/>
          <w:szCs w:val="22"/>
        </w:rPr>
      </w:pPr>
      <w:r>
        <w:rPr>
          <w:rFonts w:ascii="SimSun" w:hAnsi="SimSun" w:eastAsia="SimSun" w:cs="SimSun"/>
          <w:sz w:val="22"/>
          <w:szCs w:val="22"/>
          <w:spacing w:val="-8"/>
        </w:rPr>
        <w:t>将标准应用于新的开发、重新设计、整合以及现有数据存储区的改进，这通过</w:t>
      </w:r>
      <w:r>
        <w:rPr>
          <w:rFonts w:ascii="SimSun" w:hAnsi="SimSun" w:eastAsia="SimSun" w:cs="SimSun"/>
          <w:sz w:val="22"/>
          <w:szCs w:val="22"/>
        </w:rPr>
        <w:t xml:space="preserve"> </w:t>
      </w:r>
      <w:r>
        <w:rPr>
          <w:rFonts w:ascii="SimSun" w:hAnsi="SimSun" w:eastAsia="SimSun" w:cs="SimSun"/>
          <w:sz w:val="22"/>
          <w:szCs w:val="22"/>
          <w:spacing w:val="-2"/>
        </w:rPr>
        <w:t>整个生命周期(从建模到任何正常的生产变更或发布)表现出来。承诺创建和实施</w:t>
      </w:r>
      <w:r>
        <w:rPr>
          <w:rFonts w:ascii="SimSun" w:hAnsi="SimSun" w:eastAsia="SimSun" w:cs="SimSun"/>
          <w:sz w:val="22"/>
          <w:szCs w:val="22"/>
          <w:spacing w:val="11"/>
        </w:rPr>
        <w:t xml:space="preserve"> </w:t>
      </w:r>
      <w:r>
        <w:rPr>
          <w:rFonts w:ascii="SimSun" w:hAnsi="SimSun" w:eastAsia="SimSun" w:cs="SimSun"/>
          <w:sz w:val="22"/>
          <w:szCs w:val="22"/>
          <w:spacing w:val="-7"/>
        </w:rPr>
        <w:t>标准是一项原则，会随着时间的推移带来回报</w:t>
      </w:r>
      <w:r>
        <w:rPr>
          <w:rFonts w:ascii="SimSun" w:hAnsi="SimSun" w:eastAsia="SimSun" w:cs="SimSun"/>
          <w:sz w:val="22"/>
          <w:szCs w:val="22"/>
          <w:spacing w:val="-8"/>
        </w:rPr>
        <w:t>；遵守标准是必不可少的。清晰、明</w:t>
      </w:r>
      <w:r>
        <w:rPr>
          <w:rFonts w:ascii="SimSun" w:hAnsi="SimSun" w:eastAsia="SimSun" w:cs="SimSun"/>
          <w:sz w:val="22"/>
          <w:szCs w:val="22"/>
        </w:rPr>
        <w:t xml:space="preserve"> </w:t>
      </w:r>
      <w:r>
        <w:rPr>
          <w:rFonts w:ascii="SimSun" w:hAnsi="SimSun" w:eastAsia="SimSun" w:cs="SimSun"/>
          <w:sz w:val="22"/>
          <w:szCs w:val="22"/>
          <w:spacing w:val="-7"/>
        </w:rPr>
        <w:t>确的例外过程有助于合规性，因为项目团队有时会</w:t>
      </w:r>
      <w:r>
        <w:rPr>
          <w:rFonts w:ascii="SimSun" w:hAnsi="SimSun" w:eastAsia="SimSun" w:cs="SimSun"/>
          <w:sz w:val="22"/>
          <w:szCs w:val="22"/>
          <w:spacing w:val="-8"/>
        </w:rPr>
        <w:t>以计划或预算为理由，抵制使用</w:t>
      </w:r>
      <w:r>
        <w:rPr>
          <w:rFonts w:ascii="SimSun" w:hAnsi="SimSun" w:eastAsia="SimSun" w:cs="SimSun"/>
          <w:sz w:val="22"/>
          <w:szCs w:val="22"/>
        </w:rPr>
        <w:t xml:space="preserve"> </w:t>
      </w:r>
      <w:r>
        <w:rPr>
          <w:rFonts w:ascii="SimSun" w:hAnsi="SimSun" w:eastAsia="SimSun" w:cs="SimSun"/>
          <w:sz w:val="22"/>
          <w:szCs w:val="22"/>
          <w:spacing w:val="-10"/>
        </w:rPr>
        <w:t>架构标准。通过利用数据治理监督，架构评审委员会应裁定例外情况。</w:t>
      </w:r>
    </w:p>
    <w:p>
      <w:pPr>
        <w:spacing w:line="252" w:lineRule="auto"/>
        <w:sectPr>
          <w:footerReference w:type="default" r:id="rId370"/>
          <w:pgSz w:w="8870" w:h="13400"/>
          <w:pgMar w:top="400" w:right="474" w:bottom="534" w:left="400" w:header="0" w:footer="316" w:gutter="0"/>
        </w:sectPr>
        <w:rPr>
          <w:rFonts w:ascii="SimSun" w:hAnsi="SimSun" w:eastAsia="SimSun" w:cs="SimSun"/>
          <w:sz w:val="22"/>
          <w:szCs w:val="22"/>
        </w:rPr>
      </w:pPr>
    </w:p>
    <w:p>
      <w:pPr>
        <w:ind w:left="5518"/>
        <w:spacing w:before="234" w:line="219" w:lineRule="auto"/>
        <w:rPr>
          <w:rFonts w:ascii="SimSun" w:hAnsi="SimSun" w:eastAsia="SimSun" w:cs="SimSun"/>
          <w:sz w:val="21"/>
          <w:szCs w:val="21"/>
        </w:rPr>
      </w:pPr>
      <w:r>
        <w:rPr>
          <w:rFonts w:ascii="SimSun" w:hAnsi="SimSun" w:eastAsia="SimSun" w:cs="SimSun"/>
          <w:sz w:val="21"/>
          <w:szCs w:val="21"/>
          <w:b/>
          <w:bCs/>
          <w:spacing w:val="16"/>
        </w:rPr>
        <w:t>第8章■云端数据架构</w:t>
      </w:r>
    </w:p>
    <w:p>
      <w:pPr>
        <w:spacing w:before="140"/>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55" w:type="dxa"/>
            <w:vAlign w:val="top"/>
          </w:tcPr>
          <w:p>
            <w:pPr>
              <w:pStyle w:val="TableText"/>
              <w:ind w:left="1151"/>
              <w:spacing w:before="101" w:line="219" w:lineRule="auto"/>
              <w:rPr>
                <w:sz w:val="16"/>
                <w:szCs w:val="16"/>
              </w:rPr>
            </w:pPr>
            <w:r>
              <w:rPr>
                <w:sz w:val="16"/>
                <w:szCs w:val="16"/>
                <w:spacing w:val="-4"/>
              </w:rPr>
              <w:t>等 级 要 求</w:t>
            </w:r>
          </w:p>
        </w:tc>
        <w:tc>
          <w:tcPr>
            <w:tcW w:w="3780" w:type="dxa"/>
            <w:vAlign w:val="top"/>
          </w:tcPr>
          <w:p>
            <w:pPr>
              <w:pStyle w:val="TableText"/>
              <w:ind w:left="157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44" w:type="dxa"/>
            <w:vAlign w:val="top"/>
          </w:tcPr>
          <w:p>
            <w:pPr>
              <w:pStyle w:val="TableText"/>
              <w:ind w:left="245"/>
              <w:spacing w:before="261" w:line="183" w:lineRule="auto"/>
              <w:rPr>
                <w:sz w:val="16"/>
                <w:szCs w:val="16"/>
              </w:rPr>
            </w:pPr>
            <w:r>
              <w:rPr>
                <w:sz w:val="16"/>
                <w:szCs w:val="16"/>
                <w:spacing w:val="-3"/>
              </w:rPr>
              <w:t>3.2</w:t>
            </w:r>
          </w:p>
        </w:tc>
        <w:tc>
          <w:tcPr>
            <w:tcW w:w="3155" w:type="dxa"/>
            <w:vAlign w:val="top"/>
          </w:tcPr>
          <w:p>
            <w:pPr>
              <w:pStyle w:val="TableText"/>
              <w:ind w:left="101" w:right="11" w:firstLine="160"/>
              <w:spacing w:before="91" w:line="265" w:lineRule="auto"/>
              <w:rPr>
                <w:sz w:val="16"/>
                <w:szCs w:val="16"/>
              </w:rPr>
            </w:pPr>
            <w:r>
              <w:rPr>
                <w:sz w:val="16"/>
                <w:szCs w:val="16"/>
                <w:spacing w:val="-1"/>
              </w:rPr>
              <w:t>数据架构标准的制订应包括适用于组织的</w:t>
            </w:r>
            <w:r>
              <w:rPr>
                <w:sz w:val="16"/>
                <w:szCs w:val="16"/>
                <w:spacing w:val="9"/>
              </w:rPr>
              <w:t xml:space="preserve"> </w:t>
            </w:r>
            <w:r>
              <w:rPr>
                <w:sz w:val="16"/>
                <w:szCs w:val="16"/>
                <w:spacing w:val="-2"/>
              </w:rPr>
              <w:t>外部要求</w:t>
            </w:r>
          </w:p>
        </w:tc>
        <w:tc>
          <w:tcPr>
            <w:tcW w:w="3780" w:type="dxa"/>
            <w:vAlign w:val="top"/>
          </w:tcPr>
          <w:p>
            <w:pPr>
              <w:pStyle w:val="TableText"/>
              <w:ind w:left="266"/>
              <w:spacing w:before="220" w:line="219" w:lineRule="auto"/>
              <w:rPr>
                <w:sz w:val="16"/>
                <w:szCs w:val="16"/>
              </w:rPr>
            </w:pPr>
            <w:r>
              <w:rPr>
                <w:sz w:val="16"/>
                <w:szCs w:val="16"/>
              </w:rPr>
              <w:t>●架构标准使用法律法规列表</w:t>
            </w:r>
          </w:p>
        </w:tc>
      </w:tr>
    </w:tbl>
    <w:p>
      <w:pPr>
        <w:ind w:left="330"/>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35" w:right="224" w:firstLine="399"/>
        <w:spacing w:before="49" w:line="255" w:lineRule="auto"/>
        <w:rPr>
          <w:rFonts w:ascii="SimSun" w:hAnsi="SimSun" w:eastAsia="SimSun" w:cs="SimSun"/>
          <w:sz w:val="21"/>
          <w:szCs w:val="21"/>
        </w:rPr>
      </w:pPr>
      <w:r>
        <w:rPr>
          <w:rFonts w:ascii="SimSun" w:hAnsi="SimSun" w:eastAsia="SimSun" w:cs="SimSun"/>
          <w:sz w:val="21"/>
          <w:szCs w:val="21"/>
          <w:spacing w:val="2"/>
        </w:rPr>
        <w:t>外部要求可用于监管报告、信息交换或合规性目的。根据组织的业务需求采纳</w:t>
      </w:r>
      <w:r>
        <w:rPr>
          <w:rFonts w:ascii="SimSun" w:hAnsi="SimSun" w:eastAsia="SimSun" w:cs="SimSun"/>
          <w:sz w:val="21"/>
          <w:szCs w:val="21"/>
          <w:spacing w:val="14"/>
        </w:rPr>
        <w:t xml:space="preserve"> </w:t>
      </w:r>
      <w:r>
        <w:rPr>
          <w:rFonts w:ascii="SimSun" w:hAnsi="SimSun" w:eastAsia="SimSun" w:cs="SimSun"/>
          <w:sz w:val="21"/>
          <w:szCs w:val="21"/>
          <w:spacing w:val="8"/>
        </w:rPr>
        <w:t>或调整由外部要求(例如监管机构、行业交换标准)推动的标准，标准采用和集成</w:t>
      </w:r>
      <w:r>
        <w:rPr>
          <w:rFonts w:ascii="SimSun" w:hAnsi="SimSun" w:eastAsia="SimSun" w:cs="SimSun"/>
          <w:sz w:val="21"/>
          <w:szCs w:val="21"/>
        </w:rPr>
        <w:t xml:space="preserve"> </w:t>
      </w:r>
      <w:r>
        <w:rPr>
          <w:rFonts w:ascii="SimSun" w:hAnsi="SimSun" w:eastAsia="SimSun" w:cs="SimSun"/>
          <w:sz w:val="21"/>
          <w:szCs w:val="21"/>
          <w:spacing w:val="-4"/>
        </w:rPr>
        <w:t>的方法可以利用以下任何一项：</w:t>
      </w:r>
    </w:p>
    <w:p>
      <w:pPr>
        <w:ind w:left="435"/>
        <w:spacing w:before="69" w:line="219" w:lineRule="auto"/>
        <w:rPr>
          <w:rFonts w:ascii="SimSun" w:hAnsi="SimSun" w:eastAsia="SimSun" w:cs="SimSun"/>
          <w:sz w:val="21"/>
          <w:szCs w:val="21"/>
        </w:rPr>
      </w:pPr>
      <w:r>
        <w:rPr>
          <w:rFonts w:ascii="SimSun" w:hAnsi="SimSun" w:eastAsia="SimSun" w:cs="SimSun"/>
          <w:sz w:val="21"/>
          <w:szCs w:val="21"/>
        </w:rPr>
        <w:t>●当不矛盾时，纳入到内部制订的标准；</w:t>
      </w:r>
    </w:p>
    <w:p>
      <w:pPr>
        <w:ind w:left="715" w:right="237" w:hanging="280"/>
        <w:spacing w:before="51" w:line="252" w:lineRule="auto"/>
        <w:rPr>
          <w:rFonts w:ascii="SimSun" w:hAnsi="SimSun" w:eastAsia="SimSun" w:cs="SimSun"/>
          <w:sz w:val="21"/>
          <w:szCs w:val="21"/>
        </w:rPr>
      </w:pPr>
      <w:r>
        <w:rPr>
          <w:rFonts w:ascii="SimSun" w:hAnsi="SimSun" w:eastAsia="SimSun" w:cs="SimSun"/>
          <w:sz w:val="21"/>
          <w:szCs w:val="21"/>
          <w:spacing w:val="2"/>
        </w:rPr>
        <w:t>●创建面向外部的转变，以满足由评审委员会和相关治理部门所定义并批准的</w:t>
      </w:r>
      <w:r>
        <w:rPr>
          <w:rFonts w:ascii="SimSun" w:hAnsi="SimSun" w:eastAsia="SimSun" w:cs="SimSun"/>
          <w:sz w:val="21"/>
          <w:szCs w:val="21"/>
          <w:spacing w:val="17"/>
        </w:rPr>
        <w:t xml:space="preserve"> </w:t>
      </w:r>
      <w:r>
        <w:rPr>
          <w:rFonts w:ascii="SimSun" w:hAnsi="SimSun" w:eastAsia="SimSun" w:cs="SimSun"/>
          <w:sz w:val="21"/>
          <w:szCs w:val="21"/>
          <w:spacing w:val="-9"/>
        </w:rPr>
        <w:t>要求。</w:t>
      </w:r>
    </w:p>
    <w:p>
      <w:pPr>
        <w:spacing w:line="134" w:lineRule="exact"/>
        <w:rPr/>
      </w:pPr>
      <w:r/>
    </w:p>
    <w:tbl>
      <w:tblPr>
        <w:tblStyle w:val="TableNormal"/>
        <w:tblW w:w="767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51" w:hRule="atLeast"/>
        </w:trPr>
        <w:tc>
          <w:tcPr>
            <w:tcW w:w="744" w:type="dxa"/>
            <w:vAlign w:val="top"/>
          </w:tcPr>
          <w:p>
            <w:pPr>
              <w:pStyle w:val="TableText"/>
              <w:ind w:left="214"/>
              <w:spacing w:before="102" w:line="221" w:lineRule="auto"/>
              <w:rPr/>
            </w:pPr>
            <w:r>
              <w:rPr>
                <w:spacing w:val="-2"/>
              </w:rPr>
              <w:t>序号</w:t>
            </w:r>
          </w:p>
        </w:tc>
        <w:tc>
          <w:tcPr>
            <w:tcW w:w="315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3" w:lineRule="auto"/>
              <w:rPr/>
            </w:pPr>
            <w:r>
              <w:rPr>
                <w:spacing w:val="-2"/>
              </w:rPr>
              <w:t>3.3</w:t>
            </w:r>
          </w:p>
        </w:tc>
        <w:tc>
          <w:tcPr>
            <w:tcW w:w="3155" w:type="dxa"/>
            <w:vAlign w:val="top"/>
          </w:tcPr>
          <w:p>
            <w:pPr>
              <w:pStyle w:val="TableText"/>
              <w:ind w:left="120" w:right="161" w:firstLine="149"/>
              <w:spacing w:before="89" w:line="282" w:lineRule="auto"/>
              <w:rPr/>
            </w:pPr>
            <w:r>
              <w:rPr/>
              <w:t>明确利益相关方在架构标准方面的角色和</w:t>
            </w:r>
            <w:r>
              <w:rPr>
                <w:spacing w:val="11"/>
              </w:rPr>
              <w:t xml:space="preserve"> </w:t>
            </w:r>
            <w:r>
              <w:rPr>
                <w:spacing w:val="-1"/>
              </w:rPr>
              <w:t>职责，包括合规性责任、所有权和培训等</w:t>
            </w:r>
          </w:p>
        </w:tc>
        <w:tc>
          <w:tcPr>
            <w:tcW w:w="3780" w:type="dxa"/>
            <w:vAlign w:val="top"/>
          </w:tcPr>
          <w:p>
            <w:pPr>
              <w:pStyle w:val="TableText"/>
              <w:ind w:left="115" w:right="187" w:firstLine="160"/>
              <w:spacing w:before="99" w:line="282" w:lineRule="auto"/>
              <w:rPr/>
            </w:pPr>
            <w:r>
              <w:rPr/>
              <w:t>●标准制订规程包括制订、维护、测量、审核、修</w:t>
            </w:r>
            <w:r>
              <w:rPr>
                <w:spacing w:val="5"/>
              </w:rPr>
              <w:t xml:space="preserve"> </w:t>
            </w:r>
            <w:r>
              <w:rPr>
                <w:spacing w:val="-2"/>
              </w:rPr>
              <w:t>订标准等内容</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35" w:right="239" w:firstLine="399"/>
        <w:spacing w:before="61" w:line="245" w:lineRule="auto"/>
        <w:rPr>
          <w:rFonts w:ascii="SimSun" w:hAnsi="SimSun" w:eastAsia="SimSun" w:cs="SimSun"/>
          <w:sz w:val="21"/>
          <w:szCs w:val="21"/>
        </w:rPr>
      </w:pPr>
      <w:r>
        <w:rPr>
          <w:rFonts w:ascii="SimSun" w:hAnsi="SimSun" w:eastAsia="SimSun" w:cs="SimSun"/>
          <w:sz w:val="21"/>
          <w:szCs w:val="21"/>
          <w:spacing w:val="2"/>
        </w:rPr>
        <w:t>完整的标准制订过程包括根据需要制订、维护、测量、审核并修订标准的活动</w:t>
      </w:r>
      <w:r>
        <w:rPr>
          <w:rFonts w:ascii="SimSun" w:hAnsi="SimSun" w:eastAsia="SimSun" w:cs="SimSun"/>
          <w:sz w:val="21"/>
          <w:szCs w:val="21"/>
          <w:spacing w:val="15"/>
        </w:rPr>
        <w:t xml:space="preserve"> </w:t>
      </w:r>
      <w:r>
        <w:rPr>
          <w:rFonts w:ascii="SimSun" w:hAnsi="SimSun" w:eastAsia="SimSun" w:cs="SimSun"/>
          <w:sz w:val="21"/>
          <w:szCs w:val="21"/>
          <w:spacing w:val="-2"/>
        </w:rPr>
        <w:t>步骤、里程碑、明确的角色和职责以及治理结构。</w:t>
      </w:r>
    </w:p>
    <w:p>
      <w:pPr>
        <w:spacing w:line="119" w:lineRule="exact"/>
        <w:rPr/>
      </w:pPr>
      <w:r/>
    </w:p>
    <w:tbl>
      <w:tblPr>
        <w:tblStyle w:val="TableNormal"/>
        <w:tblW w:w="7680"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2"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51"/>
              <w:spacing w:before="101" w:line="219" w:lineRule="auto"/>
              <w:rPr>
                <w:sz w:val="16"/>
                <w:szCs w:val="16"/>
              </w:rPr>
            </w:pPr>
            <w:r>
              <w:rPr>
                <w:sz w:val="16"/>
                <w:szCs w:val="16"/>
                <w:spacing w:val="-4"/>
              </w:rPr>
              <w:t>等 级 要 求</w:t>
            </w:r>
          </w:p>
        </w:tc>
        <w:tc>
          <w:tcPr>
            <w:tcW w:w="378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78" w:hRule="atLeast"/>
        </w:trPr>
        <w:tc>
          <w:tcPr>
            <w:tcW w:w="744" w:type="dxa"/>
            <w:vAlign w:val="top"/>
          </w:tcPr>
          <w:p>
            <w:pPr>
              <w:spacing w:line="346" w:lineRule="auto"/>
              <w:rPr>
                <w:rFonts w:ascii="Arial"/>
                <w:sz w:val="21"/>
              </w:rPr>
            </w:pPr>
            <w:r/>
          </w:p>
          <w:p>
            <w:pPr>
              <w:pStyle w:val="TableText"/>
              <w:ind w:left="245"/>
              <w:spacing w:before="52" w:line="183" w:lineRule="auto"/>
              <w:rPr>
                <w:sz w:val="16"/>
                <w:szCs w:val="16"/>
              </w:rPr>
            </w:pPr>
            <w:r>
              <w:rPr>
                <w:sz w:val="16"/>
                <w:szCs w:val="16"/>
                <w:spacing w:val="-3"/>
              </w:rPr>
              <w:t>3.4</w:t>
            </w:r>
          </w:p>
        </w:tc>
        <w:tc>
          <w:tcPr>
            <w:tcW w:w="3156" w:type="dxa"/>
            <w:vAlign w:val="top"/>
          </w:tcPr>
          <w:p>
            <w:pPr>
              <w:pStyle w:val="TableText"/>
              <w:ind w:left="211"/>
              <w:spacing w:before="99" w:line="219" w:lineRule="auto"/>
              <w:rPr>
                <w:sz w:val="16"/>
                <w:szCs w:val="16"/>
              </w:rPr>
            </w:pPr>
            <w:r>
              <w:rPr>
                <w:sz w:val="16"/>
                <w:szCs w:val="16"/>
                <w:spacing w:val="-1"/>
              </w:rPr>
              <w:t>数据治理确保架构标准与业务需求保持</w:t>
            </w:r>
          </w:p>
          <w:p>
            <w:pPr>
              <w:pStyle w:val="TableText"/>
              <w:ind w:left="79" w:right="63" w:hanging="29"/>
              <w:spacing w:before="89" w:line="272" w:lineRule="auto"/>
              <w:rPr>
                <w:sz w:val="16"/>
                <w:szCs w:val="16"/>
              </w:rPr>
            </w:pPr>
            <w:r>
              <w:rPr>
                <w:sz w:val="16"/>
                <w:szCs w:val="16"/>
                <w:spacing w:val="-1"/>
              </w:rPr>
              <w:t>一致，并与该组织的高级架构治理部门保持</w:t>
            </w:r>
            <w:r>
              <w:rPr>
                <w:sz w:val="16"/>
                <w:szCs w:val="16"/>
                <w:spacing w:val="9"/>
              </w:rPr>
              <w:t xml:space="preserve"> </w:t>
            </w:r>
            <w:r>
              <w:rPr>
                <w:sz w:val="16"/>
                <w:szCs w:val="16"/>
                <w:spacing w:val="-5"/>
              </w:rPr>
              <w:t>一致</w:t>
            </w:r>
          </w:p>
        </w:tc>
        <w:tc>
          <w:tcPr>
            <w:tcW w:w="3780" w:type="dxa"/>
            <w:vAlign w:val="top"/>
          </w:tcPr>
          <w:p>
            <w:pPr>
              <w:spacing w:line="304" w:lineRule="auto"/>
              <w:rPr>
                <w:rFonts w:ascii="Arial"/>
                <w:sz w:val="21"/>
              </w:rPr>
            </w:pPr>
            <w:r/>
          </w:p>
          <w:p>
            <w:pPr>
              <w:pStyle w:val="TableText"/>
              <w:ind w:left="264"/>
              <w:spacing w:before="52" w:line="219" w:lineRule="auto"/>
              <w:rPr>
                <w:sz w:val="16"/>
                <w:szCs w:val="16"/>
              </w:rPr>
            </w:pPr>
            <w:r>
              <w:rPr>
                <w:sz w:val="16"/>
                <w:szCs w:val="16"/>
              </w:rPr>
              <w:t>●架构评审委员会会议记录</w:t>
            </w:r>
          </w:p>
        </w:tc>
      </w:tr>
    </w:tbl>
    <w:p>
      <w:pPr>
        <w:ind w:left="330"/>
        <w:spacing w:before="203" w:line="219" w:lineRule="auto"/>
        <w:rPr>
          <w:rFonts w:ascii="SimSun" w:hAnsi="SimSun" w:eastAsia="SimSun" w:cs="SimSun"/>
          <w:sz w:val="21"/>
          <w:szCs w:val="21"/>
        </w:rPr>
      </w:pPr>
      <w:r>
        <w:rPr>
          <w:rFonts w:ascii="SimSun" w:hAnsi="SimSun" w:eastAsia="SimSun" w:cs="SimSun"/>
          <w:sz w:val="21"/>
          <w:szCs w:val="21"/>
        </w:rPr>
        <w:t>【成熟度等级说明】</w:t>
      </w:r>
    </w:p>
    <w:p>
      <w:pPr>
        <w:ind w:left="35" w:right="232" w:firstLine="399"/>
        <w:spacing w:before="52" w:line="259" w:lineRule="auto"/>
        <w:rPr>
          <w:rFonts w:ascii="SimSun" w:hAnsi="SimSun" w:eastAsia="SimSun" w:cs="SimSun"/>
          <w:sz w:val="21"/>
          <w:szCs w:val="21"/>
        </w:rPr>
      </w:pPr>
      <w:r>
        <w:rPr>
          <w:rFonts w:ascii="SimSun" w:hAnsi="SimSun" w:eastAsia="SimSun" w:cs="SimSun"/>
          <w:sz w:val="21"/>
          <w:szCs w:val="21"/>
        </w:rPr>
        <w:t>提出并制订标准的过程通常由数据管理职能或</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rPr>
        <w:t>领导，例如</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或业务架</w:t>
      </w:r>
      <w:r>
        <w:rPr>
          <w:rFonts w:ascii="SimSun" w:hAnsi="SimSun" w:eastAsia="SimSun" w:cs="SimSun"/>
          <w:sz w:val="21"/>
          <w:szCs w:val="21"/>
          <w:spacing w:val="-1"/>
        </w:rPr>
        <w:t>构通</w:t>
      </w:r>
      <w:r>
        <w:rPr>
          <w:rFonts w:ascii="SimSun" w:hAnsi="SimSun" w:eastAsia="SimSun" w:cs="SimSun"/>
          <w:sz w:val="21"/>
          <w:szCs w:val="21"/>
        </w:rPr>
        <w:t xml:space="preserve"> </w:t>
      </w:r>
      <w:r>
        <w:rPr>
          <w:rFonts w:ascii="SimSun" w:hAnsi="SimSun" w:eastAsia="SimSun" w:cs="SimSun"/>
          <w:sz w:val="21"/>
          <w:szCs w:val="21"/>
          <w:spacing w:val="2"/>
        </w:rPr>
        <w:t>常制订数据访问标准，数据管理职能经常领导制订关于业务数据以及将业务考</w:t>
      </w:r>
      <w:r>
        <w:rPr>
          <w:rFonts w:ascii="SimSun" w:hAnsi="SimSun" w:eastAsia="SimSun" w:cs="SimSun"/>
          <w:sz w:val="21"/>
          <w:szCs w:val="21"/>
          <w:spacing w:val="1"/>
        </w:rPr>
        <w:t>虑因</w:t>
      </w:r>
      <w:r>
        <w:rPr>
          <w:rFonts w:ascii="SimSun" w:hAnsi="SimSun" w:eastAsia="SimSun" w:cs="SimSun"/>
          <w:sz w:val="21"/>
          <w:szCs w:val="21"/>
        </w:rPr>
        <w:t xml:space="preserve"> </w:t>
      </w:r>
      <w:r>
        <w:rPr>
          <w:rFonts w:ascii="SimSun" w:hAnsi="SimSun" w:eastAsia="SimSun" w:cs="SimSun"/>
          <w:sz w:val="21"/>
          <w:szCs w:val="21"/>
          <w:spacing w:val="-3"/>
        </w:rPr>
        <w:t>素纳入到</w:t>
      </w:r>
      <w:r>
        <w:rPr>
          <w:rFonts w:ascii="Times New Roman" w:hAnsi="Times New Roman" w:eastAsia="Times New Roman" w:cs="Times New Roman"/>
          <w:sz w:val="21"/>
          <w:szCs w:val="21"/>
          <w:spacing w:val="-3"/>
        </w:rPr>
        <w:t>IT </w:t>
      </w:r>
      <w:r>
        <w:rPr>
          <w:rFonts w:ascii="SimSun" w:hAnsi="SimSun" w:eastAsia="SimSun" w:cs="SimSun"/>
          <w:sz w:val="21"/>
          <w:szCs w:val="21"/>
          <w:spacing w:val="-3"/>
        </w:rPr>
        <w:t>环境中的标准，例如数据建模标准。</w:t>
      </w:r>
      <w:r>
        <w:rPr>
          <w:rFonts w:ascii="SimSun" w:hAnsi="SimSun" w:eastAsia="SimSun" w:cs="SimSun"/>
          <w:sz w:val="21"/>
          <w:szCs w:val="21"/>
          <w:spacing w:val="44"/>
        </w:rPr>
        <w:t xml:space="preserve"> </w:t>
      </w:r>
      <w:r>
        <w:rPr>
          <w:rFonts w:ascii="SimSun" w:hAnsi="SimSun" w:eastAsia="SimSun" w:cs="SimSun"/>
          <w:sz w:val="21"/>
          <w:szCs w:val="21"/>
          <w:spacing w:val="-3"/>
        </w:rPr>
        <w:t>一旦制订，应</w:t>
      </w:r>
      <w:r>
        <w:rPr>
          <w:rFonts w:ascii="SimSun" w:hAnsi="SimSun" w:eastAsia="SimSun" w:cs="SimSun"/>
          <w:sz w:val="21"/>
          <w:szCs w:val="21"/>
          <w:spacing w:val="-4"/>
        </w:rPr>
        <w:t>由数据治理部门评审</w:t>
      </w:r>
      <w:r>
        <w:rPr>
          <w:rFonts w:ascii="SimSun" w:hAnsi="SimSun" w:eastAsia="SimSun" w:cs="SimSun"/>
          <w:sz w:val="21"/>
          <w:szCs w:val="21"/>
        </w:rPr>
        <w:t xml:space="preserve"> </w:t>
      </w:r>
      <w:r>
        <w:rPr>
          <w:rFonts w:ascii="SimSun" w:hAnsi="SimSun" w:eastAsia="SimSun" w:cs="SimSun"/>
          <w:sz w:val="21"/>
          <w:szCs w:val="21"/>
          <w:spacing w:val="-5"/>
        </w:rPr>
        <w:t>和批准其补充和修订内容。</w:t>
      </w:r>
    </w:p>
    <w:p>
      <w:pPr>
        <w:spacing w:line="137" w:lineRule="exact"/>
        <w:rPr/>
      </w:pPr>
      <w:r/>
    </w:p>
    <w:tbl>
      <w:tblPr>
        <w:tblStyle w:val="TableNormal"/>
        <w:tblW w:w="7669" w:type="dxa"/>
        <w:tblInd w:w="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51" w:hRule="atLeast"/>
        </w:trPr>
        <w:tc>
          <w:tcPr>
            <w:tcW w:w="744" w:type="dxa"/>
            <w:vAlign w:val="top"/>
          </w:tcPr>
          <w:p>
            <w:pPr>
              <w:pStyle w:val="TableText"/>
              <w:ind w:left="214"/>
              <w:spacing w:before="102" w:line="221" w:lineRule="auto"/>
              <w:rPr/>
            </w:pPr>
            <w:r>
              <w:rPr>
                <w:spacing w:val="-2"/>
              </w:rPr>
              <w:t>序号</w:t>
            </w:r>
          </w:p>
        </w:tc>
        <w:tc>
          <w:tcPr>
            <w:tcW w:w="3155" w:type="dxa"/>
            <w:vAlign w:val="top"/>
          </w:tcPr>
          <w:p>
            <w:pPr>
              <w:pStyle w:val="TableText"/>
              <w:ind w:left="1170"/>
              <w:spacing w:before="101" w:line="219" w:lineRule="auto"/>
              <w:rPr/>
            </w:pPr>
            <w:r>
              <w:rPr>
                <w:spacing w:val="-6"/>
              </w:rPr>
              <w:t>等</w:t>
            </w:r>
            <w:r>
              <w:rPr>
                <w:spacing w:val="12"/>
              </w:rPr>
              <w:t xml:space="preserve"> </w:t>
            </w:r>
            <w:r>
              <w:rPr>
                <w:spacing w:val="-6"/>
              </w:rPr>
              <w:t>级</w:t>
            </w:r>
            <w:r>
              <w:rPr>
                <w:spacing w:val="9"/>
              </w:rPr>
              <w:t xml:space="preserve"> </w:t>
            </w:r>
            <w:r>
              <w:rPr>
                <w:spacing w:val="-6"/>
              </w:rPr>
              <w:t>要</w:t>
            </w:r>
            <w:r>
              <w:rPr>
                <w:spacing w:val="11"/>
              </w:rPr>
              <w:t xml:space="preserve"> </w:t>
            </w:r>
            <w:r>
              <w:rPr>
                <w:spacing w:val="-6"/>
              </w:rPr>
              <w:t>求</w:t>
            </w:r>
          </w:p>
        </w:tc>
        <w:tc>
          <w:tcPr>
            <w:tcW w:w="377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3" w:lineRule="auto"/>
              <w:rPr/>
            </w:pPr>
            <w:r>
              <w:rPr>
                <w:spacing w:val="-2"/>
              </w:rPr>
              <w:t>3.5</w:t>
            </w:r>
          </w:p>
        </w:tc>
        <w:tc>
          <w:tcPr>
            <w:tcW w:w="3155" w:type="dxa"/>
            <w:vAlign w:val="top"/>
          </w:tcPr>
          <w:p>
            <w:pPr>
              <w:pStyle w:val="TableText"/>
              <w:ind w:left="120" w:right="183" w:firstLine="149"/>
              <w:spacing w:before="89" w:line="289" w:lineRule="auto"/>
              <w:rPr/>
            </w:pPr>
            <w:r>
              <w:rPr>
                <w:spacing w:val="-1"/>
              </w:rPr>
              <w:t>定义并实现用于监督和控制架构标准的采</w:t>
            </w:r>
            <w:r>
              <w:rPr>
                <w:spacing w:val="7"/>
              </w:rPr>
              <w:t xml:space="preserve"> </w:t>
            </w:r>
            <w:r>
              <w:rPr>
                <w:spacing w:val="-1"/>
              </w:rPr>
              <w:t>用和合规性的测量指标</w:t>
            </w:r>
          </w:p>
        </w:tc>
        <w:tc>
          <w:tcPr>
            <w:tcW w:w="3770" w:type="dxa"/>
            <w:vAlign w:val="top"/>
          </w:tcPr>
          <w:p>
            <w:pPr>
              <w:pStyle w:val="TableText"/>
              <w:ind w:left="255"/>
              <w:spacing w:before="90" w:line="220" w:lineRule="auto"/>
              <w:rPr/>
            </w:pPr>
            <w:r>
              <w:rPr/>
              <w:t>●架构标准测量指标</w:t>
            </w:r>
          </w:p>
          <w:p>
            <w:pPr>
              <w:pStyle w:val="TableText"/>
              <w:ind w:left="255"/>
              <w:spacing w:before="100" w:line="219" w:lineRule="auto"/>
              <w:rPr/>
            </w:pPr>
            <w:r>
              <w:rPr/>
              <w:t>●架构标准开发和改进过程记录</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35" w:right="205" w:firstLine="399"/>
        <w:spacing w:before="39" w:line="260" w:lineRule="auto"/>
        <w:rPr>
          <w:rFonts w:ascii="SimSun" w:hAnsi="SimSun" w:eastAsia="SimSun" w:cs="SimSun"/>
          <w:sz w:val="21"/>
          <w:szCs w:val="21"/>
        </w:rPr>
      </w:pPr>
      <w:r>
        <w:rPr>
          <w:rFonts w:ascii="SimSun" w:hAnsi="SimSun" w:eastAsia="SimSun" w:cs="SimSun"/>
          <w:sz w:val="21"/>
          <w:szCs w:val="21"/>
          <w:spacing w:val="2"/>
        </w:rPr>
        <w:t>标准的一致性和对标准的正确使用可以为设计实践，以及应对复杂性日益增加</w:t>
      </w:r>
      <w:r>
        <w:rPr>
          <w:rFonts w:ascii="SimSun" w:hAnsi="SimSun" w:eastAsia="SimSun" w:cs="SimSun"/>
          <w:sz w:val="21"/>
          <w:szCs w:val="21"/>
          <w:spacing w:val="17"/>
        </w:rPr>
        <w:t xml:space="preserve"> </w:t>
      </w:r>
      <w:r>
        <w:rPr>
          <w:rFonts w:ascii="SimSun" w:hAnsi="SimSun" w:eastAsia="SimSun" w:cs="SimSun"/>
          <w:sz w:val="21"/>
          <w:szCs w:val="21"/>
          <w:spacing w:val="3"/>
        </w:rPr>
        <w:t>的主动防御系统提供大力支持，因此有效的合规性方案是必</w:t>
      </w:r>
      <w:r>
        <w:rPr>
          <w:rFonts w:ascii="SimSun" w:hAnsi="SimSun" w:eastAsia="SimSun" w:cs="SimSun"/>
          <w:sz w:val="21"/>
          <w:szCs w:val="21"/>
          <w:spacing w:val="2"/>
        </w:rPr>
        <w:t>不可少的。测量指标可</w:t>
      </w:r>
      <w:r>
        <w:rPr>
          <w:rFonts w:ascii="SimSun" w:hAnsi="SimSun" w:eastAsia="SimSun" w:cs="SimSun"/>
          <w:sz w:val="21"/>
          <w:szCs w:val="21"/>
        </w:rPr>
        <w:t xml:space="preserve"> </w:t>
      </w:r>
      <w:r>
        <w:rPr>
          <w:rFonts w:ascii="SimSun" w:hAnsi="SimSun" w:eastAsia="SimSun" w:cs="SimSun"/>
          <w:sz w:val="21"/>
          <w:szCs w:val="21"/>
          <w:spacing w:val="1"/>
        </w:rPr>
        <w:t>以协助项目团队评估标准对数据资产质量的提高和结</w:t>
      </w:r>
      <w:r>
        <w:rPr>
          <w:rFonts w:ascii="SimSun" w:hAnsi="SimSun" w:eastAsia="SimSun" w:cs="SimSun"/>
          <w:sz w:val="21"/>
          <w:szCs w:val="21"/>
        </w:rPr>
        <w:t>构的优化所做的贡献；同时，</w:t>
      </w:r>
    </w:p>
    <w:p>
      <w:pPr>
        <w:spacing w:line="260" w:lineRule="auto"/>
        <w:sectPr>
          <w:footerReference w:type="default" r:id="rId372"/>
          <w:pgSz w:w="8870" w:h="13400"/>
          <w:pgMar w:top="400" w:right="605" w:bottom="577" w:left="364" w:header="0" w:footer="369" w:gutter="0"/>
        </w:sectPr>
        <w:rPr>
          <w:rFonts w:ascii="SimSun" w:hAnsi="SimSun" w:eastAsia="SimSun" w:cs="SimSun"/>
          <w:sz w:val="21"/>
          <w:szCs w:val="21"/>
        </w:rPr>
      </w:pPr>
    </w:p>
    <w:p>
      <w:pPr>
        <w:ind w:left="120"/>
        <w:spacing w:before="20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8637"/>
            <wp:effectExtent l="0" t="0" r="0" b="0"/>
            <wp:docPr id="248" name="IM 248"/>
            <wp:cNvGraphicFramePr/>
            <a:graphic>
              <a:graphicData uri="http://schemas.openxmlformats.org/drawingml/2006/picture">
                <pic:pic>
                  <pic:nvPicPr>
                    <pic:cNvPr id="248" name="IM 248"/>
                    <pic:cNvPicPr/>
                  </pic:nvPicPr>
                  <pic:blipFill>
                    <a:blip r:embed="rId374"/>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27"/>
        </w:rPr>
        <w:t xml:space="preserve"> </w:t>
      </w:r>
      <w:r>
        <w:rPr>
          <w:rFonts w:ascii="SimSun" w:hAnsi="SimSun" w:eastAsia="SimSun" w:cs="SimSun"/>
          <w:sz w:val="22"/>
          <w:szCs w:val="22"/>
          <w:b/>
          <w:bCs/>
          <w:spacing w:val="-12"/>
        </w:rPr>
        <w:t>■云端数据治理</w:t>
      </w:r>
    </w:p>
    <w:p>
      <w:pPr>
        <w:ind w:left="270"/>
        <w:spacing w:before="289" w:line="219" w:lineRule="auto"/>
        <w:rPr>
          <w:rFonts w:ascii="SimSun" w:hAnsi="SimSun" w:eastAsia="SimSun" w:cs="SimSun"/>
          <w:sz w:val="22"/>
          <w:szCs w:val="22"/>
        </w:rPr>
      </w:pPr>
      <w:r>
        <w:rPr>
          <w:rFonts w:ascii="SimSun" w:hAnsi="SimSun" w:eastAsia="SimSun" w:cs="SimSun"/>
          <w:sz w:val="22"/>
          <w:szCs w:val="22"/>
          <w:spacing w:val="-10"/>
        </w:rPr>
        <w:t>合规性指标可以向组织表明标准的覆盖面和有效性。</w:t>
      </w:r>
    </w:p>
    <w:p>
      <w:pPr>
        <w:spacing w:line="104" w:lineRule="exact"/>
        <w:rPr/>
      </w:pPr>
      <w:r/>
    </w:p>
    <w:tbl>
      <w:tblPr>
        <w:tblStyle w:val="TableNormal"/>
        <w:tblW w:w="7680" w:type="dxa"/>
        <w:tblInd w:w="2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46"/>
        <w:gridCol w:w="3770"/>
      </w:tblGrid>
      <w:tr>
        <w:trPr>
          <w:trHeight w:val="341" w:hRule="atLeast"/>
        </w:trPr>
        <w:tc>
          <w:tcPr>
            <w:tcW w:w="764" w:type="dxa"/>
            <w:vAlign w:val="top"/>
          </w:tcPr>
          <w:p>
            <w:pPr>
              <w:pStyle w:val="TableText"/>
              <w:ind w:left="224"/>
              <w:spacing w:before="102" w:line="221" w:lineRule="auto"/>
              <w:rPr/>
            </w:pPr>
            <w:r>
              <w:rPr>
                <w:spacing w:val="-2"/>
              </w:rPr>
              <w:t>序号</w:t>
            </w:r>
          </w:p>
        </w:tc>
        <w:tc>
          <w:tcPr>
            <w:tcW w:w="3146"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609" w:hRule="atLeast"/>
        </w:trPr>
        <w:tc>
          <w:tcPr>
            <w:tcW w:w="764" w:type="dxa"/>
            <w:vAlign w:val="top"/>
          </w:tcPr>
          <w:p>
            <w:pPr>
              <w:pStyle w:val="TableText"/>
              <w:ind w:left="254"/>
              <w:spacing w:before="268" w:line="183" w:lineRule="auto"/>
              <w:rPr/>
            </w:pPr>
            <w:r>
              <w:rPr>
                <w:spacing w:val="-2"/>
              </w:rPr>
              <w:t>3.6</w:t>
            </w:r>
          </w:p>
        </w:tc>
        <w:tc>
          <w:tcPr>
            <w:tcW w:w="3146" w:type="dxa"/>
            <w:vAlign w:val="top"/>
          </w:tcPr>
          <w:p>
            <w:pPr>
              <w:pStyle w:val="TableText"/>
              <w:ind w:left="100" w:right="181" w:firstLine="160"/>
              <w:spacing w:before="99" w:line="283" w:lineRule="auto"/>
              <w:rPr/>
            </w:pPr>
            <w:r>
              <w:rPr>
                <w:spacing w:val="-1"/>
              </w:rPr>
              <w:t>制订、记录并实施审核程序，以评估对于</w:t>
            </w:r>
            <w:r>
              <w:rPr>
                <w:spacing w:val="10"/>
              </w:rPr>
              <w:t xml:space="preserve"> </w:t>
            </w:r>
            <w:r>
              <w:rPr>
                <w:spacing w:val="-1"/>
              </w:rPr>
              <w:t>架构标准的合规性</w:t>
            </w:r>
          </w:p>
        </w:tc>
        <w:tc>
          <w:tcPr>
            <w:tcW w:w="3770" w:type="dxa"/>
            <w:vAlign w:val="top"/>
          </w:tcPr>
          <w:p>
            <w:pPr>
              <w:pStyle w:val="TableText"/>
              <w:ind w:left="275"/>
              <w:spacing w:before="110" w:line="220" w:lineRule="auto"/>
              <w:rPr/>
            </w:pPr>
            <w:r>
              <w:rPr/>
              <w:t>●架构标准审核程序</w:t>
            </w:r>
          </w:p>
          <w:p>
            <w:pPr>
              <w:pStyle w:val="TableText"/>
              <w:ind w:left="275"/>
              <w:spacing w:before="101" w:line="220" w:lineRule="auto"/>
              <w:rPr/>
            </w:pPr>
            <w:r>
              <w:rPr/>
              <w:t>●架构标准审核记录</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82" w:firstLine="419"/>
        <w:spacing w:before="39" w:line="246" w:lineRule="auto"/>
        <w:rPr>
          <w:rFonts w:ascii="SimSun" w:hAnsi="SimSun" w:eastAsia="SimSun" w:cs="SimSun"/>
          <w:sz w:val="22"/>
          <w:szCs w:val="22"/>
        </w:rPr>
      </w:pPr>
      <w:r>
        <w:rPr>
          <w:rFonts w:ascii="SimSun" w:hAnsi="SimSun" w:eastAsia="SimSun" w:cs="SimSun"/>
          <w:sz w:val="22"/>
          <w:szCs w:val="22"/>
          <w:spacing w:val="-8"/>
        </w:rPr>
        <w:t>用于支持标准制订和管理的“使能技术”的清单可以包括数据建模工具、用于</w:t>
      </w:r>
      <w:r>
        <w:rPr>
          <w:rFonts w:ascii="SimSun" w:hAnsi="SimSun" w:eastAsia="SimSun" w:cs="SimSun"/>
          <w:sz w:val="22"/>
          <w:szCs w:val="22"/>
          <w:spacing w:val="3"/>
        </w:rPr>
        <w:t xml:space="preserve"> </w:t>
      </w:r>
      <w:r>
        <w:rPr>
          <w:rFonts w:ascii="SimSun" w:hAnsi="SimSun" w:eastAsia="SimSun" w:cs="SimSun"/>
          <w:sz w:val="22"/>
          <w:szCs w:val="22"/>
          <w:spacing w:val="-2"/>
        </w:rPr>
        <w:t>评估合规性或偏离(作为审核活动的一部分)的数据发现工具，以及必要的外部转</w:t>
      </w:r>
      <w:r>
        <w:rPr>
          <w:rFonts w:ascii="SimSun" w:hAnsi="SimSun" w:eastAsia="SimSun" w:cs="SimSun"/>
          <w:sz w:val="22"/>
          <w:szCs w:val="22"/>
        </w:rPr>
        <w:t xml:space="preserve"> </w:t>
      </w:r>
      <w:r>
        <w:rPr>
          <w:rFonts w:ascii="SimSun" w:hAnsi="SimSun" w:eastAsia="SimSun" w:cs="SimSun"/>
          <w:sz w:val="22"/>
          <w:szCs w:val="22"/>
          <w:spacing w:val="-14"/>
        </w:rPr>
        <w:t>换脚本。</w:t>
      </w:r>
    </w:p>
    <w:p>
      <w:pPr>
        <w:ind w:left="270" w:right="85" w:firstLine="419"/>
        <w:spacing w:before="49" w:line="245" w:lineRule="auto"/>
        <w:rPr>
          <w:rFonts w:ascii="SimSun" w:hAnsi="SimSun" w:eastAsia="SimSun" w:cs="SimSun"/>
          <w:sz w:val="22"/>
          <w:szCs w:val="22"/>
        </w:rPr>
      </w:pPr>
      <w:r>
        <w:rPr>
          <w:rFonts w:ascii="SimSun" w:hAnsi="SimSun" w:eastAsia="SimSun" w:cs="SimSun"/>
          <w:sz w:val="22"/>
          <w:szCs w:val="22"/>
          <w:spacing w:val="-8"/>
        </w:rPr>
        <w:t>在系统开发生命周期内，数据模型、数据访问方法和数据分发设计的审核应基</w:t>
      </w:r>
      <w:r>
        <w:rPr>
          <w:rFonts w:ascii="SimSun" w:hAnsi="SimSun" w:eastAsia="SimSun" w:cs="SimSun"/>
          <w:sz w:val="22"/>
          <w:szCs w:val="22"/>
        </w:rPr>
        <w:t xml:space="preserve"> </w:t>
      </w:r>
      <w:r>
        <w:rPr>
          <w:rFonts w:ascii="SimSun" w:hAnsi="SimSun" w:eastAsia="SimSun" w:cs="SimSun"/>
          <w:sz w:val="22"/>
          <w:szCs w:val="22"/>
          <w:spacing w:val="-13"/>
        </w:rPr>
        <w:t>于统一适用的标准。</w:t>
      </w:r>
    </w:p>
    <w:p>
      <w:pPr>
        <w:ind w:left="692"/>
        <w:spacing w:before="42" w:line="221" w:lineRule="auto"/>
        <w:rPr>
          <w:rFonts w:ascii="SimHei" w:hAnsi="SimHei" w:eastAsia="SimHei" w:cs="SimHei"/>
          <w:sz w:val="22"/>
          <w:szCs w:val="22"/>
        </w:rPr>
      </w:pPr>
      <w:r>
        <w:rPr>
          <w:rFonts w:ascii="SimSun" w:hAnsi="SimSun" w:eastAsia="SimSun" w:cs="SimSun"/>
          <w:sz w:val="22"/>
          <w:szCs w:val="22"/>
          <w:b/>
          <w:bCs/>
          <w:spacing w:val="-14"/>
        </w:rPr>
        <w:t>Level</w:t>
      </w:r>
      <w:r>
        <w:rPr>
          <w:rFonts w:ascii="SimSun" w:hAnsi="SimSun" w:eastAsia="SimSun" w:cs="SimSun"/>
          <w:sz w:val="22"/>
          <w:szCs w:val="22"/>
          <w:spacing w:val="-14"/>
        </w:rPr>
        <w:t xml:space="preserve"> </w:t>
      </w:r>
      <w:r>
        <w:rPr>
          <w:rFonts w:ascii="SimSun" w:hAnsi="SimSun" w:eastAsia="SimSun" w:cs="SimSun"/>
          <w:sz w:val="22"/>
          <w:szCs w:val="22"/>
          <w:b/>
          <w:bCs/>
          <w:spacing w:val="-14"/>
        </w:rPr>
        <w:t>4:</w:t>
      </w:r>
      <w:r>
        <w:rPr>
          <w:rFonts w:ascii="SimSun" w:hAnsi="SimSun" w:eastAsia="SimSun" w:cs="SimSun"/>
          <w:sz w:val="22"/>
          <w:szCs w:val="22"/>
          <w:spacing w:val="-16"/>
        </w:rPr>
        <w:t xml:space="preserve"> </w:t>
      </w:r>
      <w:r>
        <w:rPr>
          <w:rFonts w:ascii="SimHei" w:hAnsi="SimHei" w:eastAsia="SimHei" w:cs="SimHei"/>
          <w:sz w:val="22"/>
          <w:szCs w:val="22"/>
          <w:b/>
          <w:bCs/>
          <w:spacing w:val="-14"/>
        </w:rPr>
        <w:t>量化级</w:t>
      </w:r>
    </w:p>
    <w:p>
      <w:pPr>
        <w:spacing w:line="118" w:lineRule="exact"/>
        <w:rPr/>
      </w:pPr>
      <w:r/>
    </w:p>
    <w:tbl>
      <w:tblPr>
        <w:tblStyle w:val="TableNormal"/>
        <w:tblW w:w="766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62" w:hRule="atLeast"/>
        </w:trPr>
        <w:tc>
          <w:tcPr>
            <w:tcW w:w="744" w:type="dxa"/>
            <w:vAlign w:val="top"/>
          </w:tcPr>
          <w:p>
            <w:pPr>
              <w:pStyle w:val="TableText"/>
              <w:ind w:left="214"/>
              <w:spacing w:before="111" w:line="221" w:lineRule="auto"/>
              <w:rPr/>
            </w:pPr>
            <w:r>
              <w:rPr>
                <w:spacing w:val="-2"/>
              </w:rPr>
              <w:t>序号</w:t>
            </w:r>
          </w:p>
        </w:tc>
        <w:tc>
          <w:tcPr>
            <w:tcW w:w="3155" w:type="dxa"/>
            <w:vAlign w:val="top"/>
          </w:tcPr>
          <w:p>
            <w:pPr>
              <w:pStyle w:val="TableText"/>
              <w:ind w:left="115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605"/>
              <w:spacing w:before="111" w:line="220" w:lineRule="auto"/>
              <w:rPr/>
            </w:pPr>
            <w:r>
              <w:rPr>
                <w:spacing w:val="-5"/>
              </w:rPr>
              <w:t>实</w:t>
            </w:r>
            <w:r>
              <w:rPr>
                <w:spacing w:val="1"/>
              </w:rPr>
              <w:t xml:space="preserve">   </w:t>
            </w:r>
            <w:r>
              <w:rPr>
                <w:spacing w:val="-5"/>
              </w:rPr>
              <w:t>例</w:t>
            </w:r>
          </w:p>
        </w:tc>
      </w:tr>
      <w:tr>
        <w:trPr>
          <w:trHeight w:val="878" w:hRule="atLeast"/>
        </w:trPr>
        <w:tc>
          <w:tcPr>
            <w:tcW w:w="744" w:type="dxa"/>
            <w:vAlign w:val="top"/>
          </w:tcPr>
          <w:p>
            <w:pPr>
              <w:spacing w:line="356" w:lineRule="auto"/>
              <w:rPr>
                <w:rFonts w:ascii="Arial"/>
                <w:sz w:val="21"/>
              </w:rPr>
            </w:pPr>
            <w:r/>
          </w:p>
          <w:p>
            <w:pPr>
              <w:pStyle w:val="TableText"/>
              <w:ind w:left="244"/>
              <w:spacing w:before="48" w:line="184" w:lineRule="auto"/>
              <w:rPr/>
            </w:pPr>
            <w:r>
              <w:rPr>
                <w:spacing w:val="-2"/>
              </w:rPr>
              <w:t>4.1</w:t>
            </w:r>
          </w:p>
        </w:tc>
        <w:tc>
          <w:tcPr>
            <w:tcW w:w="3155" w:type="dxa"/>
            <w:vAlign w:val="top"/>
          </w:tcPr>
          <w:p>
            <w:pPr>
              <w:pStyle w:val="TableText"/>
              <w:ind w:left="101" w:right="147" w:firstLine="120"/>
              <w:spacing w:before="98" w:line="304" w:lineRule="auto"/>
              <w:jc w:val="both"/>
              <w:rPr/>
            </w:pPr>
            <w:r>
              <w:rPr/>
              <w:t>审核结果、测量指标和内部偏离模式表明</w:t>
            </w:r>
            <w:r>
              <w:rPr>
                <w:spacing w:val="7"/>
              </w:rPr>
              <w:t xml:space="preserve">  </w:t>
            </w:r>
            <w:r>
              <w:rPr>
                <w:spacing w:val="2"/>
              </w:rPr>
              <w:t>了何时需要变更数据结构标准以及增强标准</w:t>
            </w:r>
            <w:r>
              <w:rPr>
                <w:spacing w:val="7"/>
              </w:rPr>
              <w:t xml:space="preserve"> </w:t>
            </w:r>
            <w:r>
              <w:rPr>
                <w:spacing w:val="-2"/>
              </w:rPr>
              <w:t>应用指导</w:t>
            </w:r>
          </w:p>
        </w:tc>
        <w:tc>
          <w:tcPr>
            <w:tcW w:w="3770" w:type="dxa"/>
            <w:vAlign w:val="top"/>
          </w:tcPr>
          <w:p>
            <w:pPr>
              <w:pStyle w:val="TableText"/>
              <w:ind w:left="275"/>
              <w:spacing w:before="249" w:line="220" w:lineRule="auto"/>
              <w:rPr/>
            </w:pPr>
            <w:r>
              <w:rPr>
                <w:spacing w:val="1"/>
              </w:rPr>
              <w:t>●标准评审记录</w:t>
            </w:r>
          </w:p>
          <w:p>
            <w:pPr>
              <w:pStyle w:val="TableText"/>
              <w:ind w:left="275"/>
              <w:spacing w:before="100" w:line="219" w:lineRule="auto"/>
              <w:rPr/>
            </w:pPr>
            <w:r>
              <w:rPr/>
              <w:t>●架构标准符合性测量指标</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80" w:firstLine="419"/>
        <w:spacing w:before="48" w:line="241" w:lineRule="auto"/>
        <w:rPr>
          <w:rFonts w:ascii="SimSun" w:hAnsi="SimSun" w:eastAsia="SimSun" w:cs="SimSun"/>
          <w:sz w:val="22"/>
          <w:szCs w:val="22"/>
        </w:rPr>
      </w:pPr>
      <w:r>
        <w:rPr>
          <w:rFonts w:ascii="SimSun" w:hAnsi="SimSun" w:eastAsia="SimSun" w:cs="SimSun"/>
          <w:sz w:val="22"/>
          <w:szCs w:val="22"/>
          <w:spacing w:val="-8"/>
        </w:rPr>
        <w:t>组织应根据合规性评估、数据偏离发现工具及各数据资产测量指标结果，决定</w:t>
      </w:r>
      <w:r>
        <w:rPr>
          <w:rFonts w:ascii="SimSun" w:hAnsi="SimSun" w:eastAsia="SimSun" w:cs="SimSun"/>
          <w:sz w:val="22"/>
          <w:szCs w:val="22"/>
          <w:spacing w:val="5"/>
        </w:rPr>
        <w:t xml:space="preserve"> </w:t>
      </w:r>
      <w:r>
        <w:rPr>
          <w:rFonts w:ascii="SimSun" w:hAnsi="SimSun" w:eastAsia="SimSun" w:cs="SimSun"/>
          <w:sz w:val="22"/>
          <w:szCs w:val="22"/>
          <w:spacing w:val="-8"/>
        </w:rPr>
        <w:t>是否需要变更数据架构标准，或增加对数据管理专员、软件开发工程</w:t>
      </w:r>
      <w:r>
        <w:rPr>
          <w:rFonts w:ascii="SimSun" w:hAnsi="SimSun" w:eastAsia="SimSun" w:cs="SimSun"/>
          <w:sz w:val="22"/>
          <w:szCs w:val="22"/>
          <w:spacing w:val="-9"/>
        </w:rPr>
        <w:t>师、项目经理</w:t>
      </w:r>
      <w:r>
        <w:rPr>
          <w:rFonts w:ascii="SimSun" w:hAnsi="SimSun" w:eastAsia="SimSun" w:cs="SimSun"/>
          <w:sz w:val="22"/>
          <w:szCs w:val="22"/>
        </w:rPr>
        <w:t xml:space="preserve"> </w:t>
      </w:r>
      <w:r>
        <w:rPr>
          <w:rFonts w:ascii="SimSun" w:hAnsi="SimSun" w:eastAsia="SimSun" w:cs="SimSun"/>
          <w:sz w:val="22"/>
          <w:szCs w:val="22"/>
          <w:spacing w:val="-10"/>
        </w:rPr>
        <w:t>等利益相关方的有关数据架构的使用培训。</w:t>
      </w:r>
    </w:p>
    <w:p>
      <w:pPr>
        <w:spacing w:line="135" w:lineRule="exact"/>
        <w:rPr/>
      </w:pPr>
      <w:r/>
    </w:p>
    <w:tbl>
      <w:tblPr>
        <w:tblStyle w:val="TableNormal"/>
        <w:tblW w:w="7680"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61"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0"/>
              <w:spacing w:before="101" w:line="219" w:lineRule="auto"/>
              <w:rPr>
                <w:sz w:val="16"/>
                <w:szCs w:val="16"/>
              </w:rPr>
            </w:pPr>
            <w:r>
              <w:rPr>
                <w:sz w:val="16"/>
                <w:szCs w:val="16"/>
                <w:spacing w:val="-4"/>
              </w:rPr>
              <w:t>等 级 要 求</w:t>
            </w:r>
          </w:p>
        </w:tc>
        <w:tc>
          <w:tcPr>
            <w:tcW w:w="377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54" w:type="dxa"/>
            <w:vAlign w:val="top"/>
          </w:tcPr>
          <w:p>
            <w:pPr>
              <w:pStyle w:val="TableText"/>
              <w:ind w:left="244"/>
              <w:spacing w:before="261" w:line="183" w:lineRule="auto"/>
              <w:rPr>
                <w:sz w:val="16"/>
                <w:szCs w:val="16"/>
              </w:rPr>
            </w:pPr>
            <w:r>
              <w:rPr>
                <w:sz w:val="16"/>
                <w:szCs w:val="16"/>
                <w:spacing w:val="-2"/>
              </w:rPr>
              <w:t>4.2</w:t>
            </w:r>
          </w:p>
        </w:tc>
        <w:tc>
          <w:tcPr>
            <w:tcW w:w="3156" w:type="dxa"/>
            <w:vAlign w:val="top"/>
          </w:tcPr>
          <w:p>
            <w:pPr>
              <w:pStyle w:val="TableText"/>
              <w:ind w:left="91" w:firstLine="178"/>
              <w:spacing w:before="100" w:line="272" w:lineRule="auto"/>
              <w:rPr>
                <w:sz w:val="16"/>
                <w:szCs w:val="16"/>
              </w:rPr>
            </w:pPr>
            <w:r>
              <w:rPr>
                <w:sz w:val="16"/>
                <w:szCs w:val="16"/>
                <w:spacing w:val="-1"/>
              </w:rPr>
              <w:t>组织对数据架构标准提议进行基于风险的</w:t>
            </w:r>
            <w:r>
              <w:rPr>
                <w:sz w:val="16"/>
                <w:szCs w:val="16"/>
                <w:spacing w:val="13"/>
              </w:rPr>
              <w:t xml:space="preserve"> </w:t>
            </w:r>
            <w:r>
              <w:rPr>
                <w:sz w:val="16"/>
                <w:szCs w:val="16"/>
                <w:spacing w:val="-2"/>
              </w:rPr>
              <w:t>影响分析</w:t>
            </w:r>
          </w:p>
        </w:tc>
        <w:tc>
          <w:tcPr>
            <w:tcW w:w="3770" w:type="dxa"/>
            <w:vAlign w:val="top"/>
          </w:tcPr>
          <w:p>
            <w:pPr>
              <w:pStyle w:val="TableText"/>
              <w:ind w:left="275"/>
              <w:spacing w:before="220" w:line="219" w:lineRule="auto"/>
              <w:rPr>
                <w:sz w:val="16"/>
                <w:szCs w:val="16"/>
              </w:rPr>
            </w:pPr>
            <w:r>
              <w:rPr>
                <w:sz w:val="16"/>
                <w:szCs w:val="16"/>
              </w:rPr>
              <w:t>●关于提议的标准修改的影响分析</w:t>
            </w:r>
          </w:p>
        </w:tc>
      </w:tr>
    </w:tbl>
    <w:p>
      <w:pPr>
        <w:ind w:left="57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78" w:firstLine="419"/>
        <w:spacing w:before="59" w:line="234" w:lineRule="auto"/>
        <w:rPr>
          <w:rFonts w:ascii="SimSun" w:hAnsi="SimSun" w:eastAsia="SimSun" w:cs="SimSun"/>
          <w:sz w:val="22"/>
          <w:szCs w:val="22"/>
        </w:rPr>
      </w:pPr>
      <w:r>
        <w:rPr>
          <w:rFonts w:ascii="SimSun" w:hAnsi="SimSun" w:eastAsia="SimSun" w:cs="SimSun"/>
          <w:sz w:val="22"/>
          <w:szCs w:val="22"/>
          <w:spacing w:val="-8"/>
        </w:rPr>
        <w:t>该组织中负责领导标准制订的小组应基于测量指标和风险因素，形成对标准的</w:t>
      </w:r>
      <w:r>
        <w:rPr>
          <w:rFonts w:ascii="SimSun" w:hAnsi="SimSun" w:eastAsia="SimSun" w:cs="SimSun"/>
          <w:sz w:val="22"/>
          <w:szCs w:val="22"/>
          <w:spacing w:val="7"/>
        </w:rPr>
        <w:t xml:space="preserve"> </w:t>
      </w:r>
      <w:r>
        <w:rPr>
          <w:rFonts w:ascii="SimSun" w:hAnsi="SimSun" w:eastAsia="SimSun" w:cs="SimSun"/>
          <w:sz w:val="22"/>
          <w:szCs w:val="22"/>
          <w:spacing w:val="-10"/>
        </w:rPr>
        <w:t>修改提议，并对这一修改的影响进行分析评估。</w:t>
      </w:r>
    </w:p>
    <w:p>
      <w:pPr>
        <w:ind w:left="692"/>
        <w:spacing w:before="47" w:line="221" w:lineRule="auto"/>
        <w:rPr>
          <w:rFonts w:ascii="SimHei" w:hAnsi="SimHei" w:eastAsia="SimHei" w:cs="SimHei"/>
          <w:sz w:val="22"/>
          <w:szCs w:val="22"/>
        </w:rPr>
      </w:pPr>
      <w:r>
        <w:rPr>
          <w:rFonts w:ascii="SimSun" w:hAnsi="SimSun" w:eastAsia="SimSun" w:cs="SimSun"/>
          <w:sz w:val="22"/>
          <w:szCs w:val="22"/>
          <w:b/>
          <w:bCs/>
          <w:spacing w:val="-15"/>
        </w:rPr>
        <w:t>Level</w:t>
      </w:r>
      <w:r>
        <w:rPr>
          <w:rFonts w:ascii="SimSun" w:hAnsi="SimSun" w:eastAsia="SimSun" w:cs="SimSun"/>
          <w:sz w:val="22"/>
          <w:szCs w:val="22"/>
          <w:spacing w:val="-15"/>
        </w:rPr>
        <w:t xml:space="preserve"> </w:t>
      </w:r>
      <w:r>
        <w:rPr>
          <w:rFonts w:ascii="SimSun" w:hAnsi="SimSun" w:eastAsia="SimSun" w:cs="SimSun"/>
          <w:sz w:val="22"/>
          <w:szCs w:val="22"/>
          <w:b/>
          <w:bCs/>
          <w:spacing w:val="-15"/>
        </w:rPr>
        <w:t>5:</w:t>
      </w:r>
      <w:r>
        <w:rPr>
          <w:rFonts w:ascii="SimSun" w:hAnsi="SimSun" w:eastAsia="SimSun" w:cs="SimSun"/>
          <w:sz w:val="22"/>
          <w:szCs w:val="22"/>
          <w:spacing w:val="-15"/>
        </w:rPr>
        <w:t xml:space="preserve"> </w:t>
      </w:r>
      <w:r>
        <w:rPr>
          <w:rFonts w:ascii="SimHei" w:hAnsi="SimHei" w:eastAsia="SimHei" w:cs="SimHei"/>
          <w:sz w:val="22"/>
          <w:szCs w:val="22"/>
          <w:b/>
          <w:bCs/>
          <w:spacing w:val="-15"/>
        </w:rPr>
        <w:t>优化级</w:t>
      </w:r>
    </w:p>
    <w:p>
      <w:pPr>
        <w:spacing w:line="118" w:lineRule="exact"/>
        <w:rPr/>
      </w:pPr>
      <w:r/>
    </w:p>
    <w:tbl>
      <w:tblPr>
        <w:tblStyle w:val="TableNormal"/>
        <w:tblW w:w="766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5"/>
        <w:gridCol w:w="3760"/>
      </w:tblGrid>
      <w:tr>
        <w:trPr>
          <w:trHeight w:val="361" w:hRule="atLeast"/>
        </w:trPr>
        <w:tc>
          <w:tcPr>
            <w:tcW w:w="754" w:type="dxa"/>
            <w:vAlign w:val="top"/>
          </w:tcPr>
          <w:p>
            <w:pPr>
              <w:pStyle w:val="TableText"/>
              <w:ind w:left="214"/>
              <w:spacing w:before="111" w:line="221" w:lineRule="auto"/>
              <w:rPr/>
            </w:pPr>
            <w:r>
              <w:rPr>
                <w:spacing w:val="-2"/>
              </w:rPr>
              <w:t>序号</w:t>
            </w:r>
          </w:p>
        </w:tc>
        <w:tc>
          <w:tcPr>
            <w:tcW w:w="3155" w:type="dxa"/>
            <w:vAlign w:val="top"/>
          </w:tcPr>
          <w:p>
            <w:pPr>
              <w:pStyle w:val="TableText"/>
              <w:ind w:left="1160"/>
              <w:spacing w:before="11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5"/>
              <w:spacing w:before="111" w:line="220" w:lineRule="auto"/>
              <w:rPr/>
            </w:pPr>
            <w:r>
              <w:rPr>
                <w:spacing w:val="-5"/>
              </w:rPr>
              <w:t>实</w:t>
            </w:r>
            <w:r>
              <w:rPr>
                <w:spacing w:val="1"/>
              </w:rPr>
              <w:t xml:space="preserve">   </w:t>
            </w:r>
            <w:r>
              <w:rPr>
                <w:spacing w:val="-5"/>
              </w:rPr>
              <w:t>例</w:t>
            </w:r>
          </w:p>
        </w:tc>
      </w:tr>
      <w:tr>
        <w:trPr>
          <w:trHeight w:val="589" w:hRule="atLeast"/>
        </w:trPr>
        <w:tc>
          <w:tcPr>
            <w:tcW w:w="754" w:type="dxa"/>
            <w:vAlign w:val="top"/>
          </w:tcPr>
          <w:p>
            <w:pPr>
              <w:pStyle w:val="TableText"/>
              <w:ind w:left="254"/>
              <w:spacing w:before="258" w:line="184" w:lineRule="auto"/>
              <w:rPr/>
            </w:pPr>
            <w:r>
              <w:rPr>
                <w:spacing w:val="-2"/>
              </w:rPr>
              <w:t>5.1</w:t>
            </w:r>
          </w:p>
        </w:tc>
        <w:tc>
          <w:tcPr>
            <w:tcW w:w="3155" w:type="dxa"/>
            <w:vAlign w:val="top"/>
          </w:tcPr>
          <w:p>
            <w:pPr>
              <w:pStyle w:val="TableText"/>
              <w:ind w:left="131" w:right="179" w:firstLine="139"/>
              <w:spacing w:before="90" w:line="281" w:lineRule="auto"/>
              <w:rPr/>
            </w:pPr>
            <w:r>
              <w:rPr>
                <w:spacing w:val="-1"/>
              </w:rPr>
              <w:t>对于新的或提议的数据标准更改，向外部</w:t>
            </w:r>
            <w:r>
              <w:rPr>
                <w:spacing w:val="11"/>
              </w:rPr>
              <w:t xml:space="preserve"> </w:t>
            </w:r>
            <w:r>
              <w:rPr>
                <w:spacing w:val="-1"/>
              </w:rPr>
              <w:t>利益相关方提供反馈</w:t>
            </w:r>
          </w:p>
        </w:tc>
        <w:tc>
          <w:tcPr>
            <w:tcW w:w="3760" w:type="dxa"/>
            <w:vAlign w:val="top"/>
          </w:tcPr>
          <w:p>
            <w:pPr>
              <w:pStyle w:val="TableText"/>
              <w:ind w:left="276"/>
              <w:spacing w:before="219" w:line="219" w:lineRule="auto"/>
              <w:rPr/>
            </w:pPr>
            <w:r>
              <w:rPr/>
              <w:t>●外部标准机构参与的证据</w:t>
            </w:r>
          </w:p>
        </w:tc>
      </w:tr>
    </w:tbl>
    <w:p>
      <w:pPr>
        <w:ind w:left="57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70" w:right="85" w:firstLine="419"/>
        <w:spacing w:before="38" w:line="248" w:lineRule="auto"/>
        <w:rPr>
          <w:rFonts w:ascii="SimSun" w:hAnsi="SimSun" w:eastAsia="SimSun" w:cs="SimSun"/>
          <w:sz w:val="22"/>
          <w:szCs w:val="22"/>
        </w:rPr>
      </w:pPr>
      <w:r>
        <w:rPr>
          <w:rFonts w:ascii="SimSun" w:hAnsi="SimSun" w:eastAsia="SimSun" w:cs="SimSun"/>
          <w:sz w:val="22"/>
          <w:szCs w:val="22"/>
          <w:spacing w:val="-8"/>
        </w:rPr>
        <w:t>例如，监管机构可能会提供用于评审的新要求。该组织将评估这些要求，并提</w:t>
      </w:r>
      <w:r>
        <w:rPr>
          <w:rFonts w:ascii="SimSun" w:hAnsi="SimSun" w:eastAsia="SimSun" w:cs="SimSun"/>
          <w:sz w:val="22"/>
          <w:szCs w:val="22"/>
        </w:rPr>
        <w:t xml:space="preserve"> </w:t>
      </w:r>
      <w:r>
        <w:rPr>
          <w:rFonts w:ascii="SimSun" w:hAnsi="SimSun" w:eastAsia="SimSun" w:cs="SimSun"/>
          <w:sz w:val="22"/>
          <w:szCs w:val="22"/>
          <w:spacing w:val="-10"/>
        </w:rPr>
        <w:t>供可行性和责任信息输入，提出修改建议。</w:t>
      </w:r>
    </w:p>
    <w:p>
      <w:pPr>
        <w:spacing w:line="248" w:lineRule="auto"/>
        <w:sectPr>
          <w:footerReference w:type="default" r:id="rId373"/>
          <w:pgSz w:w="8870" w:h="13400"/>
          <w:pgMar w:top="400" w:right="395" w:bottom="504" w:left="489" w:header="0" w:footer="286" w:gutter="0"/>
        </w:sectPr>
        <w:rPr>
          <w:rFonts w:ascii="SimSun" w:hAnsi="SimSun" w:eastAsia="SimSun" w:cs="SimSun"/>
          <w:sz w:val="22"/>
          <w:szCs w:val="22"/>
        </w:rPr>
      </w:pPr>
    </w:p>
    <w:p>
      <w:pPr>
        <w:ind w:left="5518"/>
        <w:spacing w:before="224" w:line="219" w:lineRule="auto"/>
        <w:rPr>
          <w:rFonts w:ascii="SimSun" w:hAnsi="SimSun" w:eastAsia="SimSun" w:cs="SimSun"/>
          <w:sz w:val="22"/>
          <w:szCs w:val="22"/>
        </w:rPr>
      </w:pPr>
      <w:r>
        <w:rPr>
          <w:rFonts w:ascii="SimSun" w:hAnsi="SimSun" w:eastAsia="SimSun" w:cs="SimSun"/>
          <w:sz w:val="22"/>
          <w:szCs w:val="22"/>
          <w:b/>
          <w:bCs/>
          <w:spacing w:val="6"/>
        </w:rPr>
        <w:t>第8章■云端数据架构</w:t>
      </w:r>
    </w:p>
    <w:p>
      <w:pPr>
        <w:spacing w:before="127"/>
        <w:rPr/>
      </w:pPr>
      <w:r/>
    </w:p>
    <w:tbl>
      <w:tblPr>
        <w:tblStyle w:val="TableNormal"/>
        <w:tblW w:w="76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70"/>
      </w:tblGrid>
      <w:tr>
        <w:trPr>
          <w:trHeight w:val="350" w:hRule="atLeast"/>
        </w:trPr>
        <w:tc>
          <w:tcPr>
            <w:tcW w:w="744" w:type="dxa"/>
            <w:vAlign w:val="top"/>
          </w:tcPr>
          <w:p>
            <w:pPr>
              <w:pStyle w:val="TableText"/>
              <w:ind w:left="215"/>
              <w:spacing w:before="102" w:line="221" w:lineRule="auto"/>
              <w:rPr/>
            </w:pPr>
            <w:r>
              <w:rPr>
                <w:spacing w:val="-2"/>
              </w:rPr>
              <w:t>序号</w:t>
            </w:r>
          </w:p>
        </w:tc>
        <w:tc>
          <w:tcPr>
            <w:tcW w:w="315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5"/>
              <w:spacing w:before="101" w:line="220" w:lineRule="auto"/>
              <w:rPr/>
            </w:pPr>
            <w:r>
              <w:rPr>
                <w:spacing w:val="-5"/>
              </w:rPr>
              <w:t>实</w:t>
            </w:r>
            <w:r>
              <w:rPr>
                <w:spacing w:val="1"/>
              </w:rPr>
              <w:t xml:space="preserve">   </w:t>
            </w:r>
            <w:r>
              <w:rPr>
                <w:spacing w:val="-5"/>
              </w:rPr>
              <w:t>例</w:t>
            </w:r>
          </w:p>
        </w:tc>
      </w:tr>
      <w:tr>
        <w:trPr>
          <w:trHeight w:val="349" w:hRule="atLeast"/>
        </w:trPr>
        <w:tc>
          <w:tcPr>
            <w:tcW w:w="744" w:type="dxa"/>
            <w:vAlign w:val="top"/>
          </w:tcPr>
          <w:p>
            <w:pPr>
              <w:pStyle w:val="TableText"/>
              <w:ind w:left="245"/>
              <w:spacing w:before="139" w:line="183" w:lineRule="auto"/>
              <w:rPr/>
            </w:pPr>
            <w:r>
              <w:rPr>
                <w:spacing w:val="-2"/>
              </w:rPr>
              <w:t>5.2</w:t>
            </w:r>
          </w:p>
        </w:tc>
        <w:tc>
          <w:tcPr>
            <w:tcW w:w="3156" w:type="dxa"/>
            <w:vAlign w:val="top"/>
          </w:tcPr>
          <w:p>
            <w:pPr>
              <w:pStyle w:val="TableText"/>
              <w:ind w:left="291"/>
              <w:spacing w:before="100" w:line="219" w:lineRule="auto"/>
              <w:rPr/>
            </w:pPr>
            <w:r>
              <w:rPr>
                <w:spacing w:val="-1"/>
              </w:rPr>
              <w:t>该组织在其行业内推进数据架构标准举措</w:t>
            </w:r>
          </w:p>
        </w:tc>
        <w:tc>
          <w:tcPr>
            <w:tcW w:w="3770" w:type="dxa"/>
            <w:vAlign w:val="top"/>
          </w:tcPr>
          <w:p>
            <w:pPr>
              <w:pStyle w:val="TableText"/>
              <w:ind w:left="265"/>
              <w:spacing w:before="100" w:line="219" w:lineRule="auto"/>
              <w:rPr/>
            </w:pPr>
            <w:r>
              <w:rPr/>
              <w:t>●可能被采用的未来技术的提议标准</w:t>
            </w:r>
          </w:p>
        </w:tc>
      </w:tr>
    </w:tbl>
    <w:p>
      <w:pPr>
        <w:ind w:left="314"/>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 w:right="249" w:firstLine="399"/>
        <w:spacing w:before="56" w:line="244" w:lineRule="auto"/>
        <w:rPr>
          <w:rFonts w:ascii="SimSun" w:hAnsi="SimSun" w:eastAsia="SimSun" w:cs="SimSun"/>
          <w:sz w:val="22"/>
          <w:szCs w:val="22"/>
        </w:rPr>
      </w:pPr>
      <w:r>
        <w:rPr>
          <w:rFonts w:ascii="SimSun" w:hAnsi="SimSun" w:eastAsia="SimSun" w:cs="SimSun"/>
          <w:sz w:val="22"/>
          <w:szCs w:val="22"/>
          <w:spacing w:val="-8"/>
        </w:rPr>
        <w:t>组织加入国际性或行业性的数据管理协会，积极参加各种数据管理研讨会，以</w:t>
      </w:r>
      <w:r>
        <w:rPr>
          <w:rFonts w:ascii="SimSun" w:hAnsi="SimSun" w:eastAsia="SimSun" w:cs="SimSun"/>
          <w:sz w:val="22"/>
          <w:szCs w:val="22"/>
          <w:spacing w:val="10"/>
        </w:rPr>
        <w:t xml:space="preserve"> </w:t>
      </w:r>
      <w:r>
        <w:rPr>
          <w:rFonts w:ascii="SimSun" w:hAnsi="SimSun" w:eastAsia="SimSun" w:cs="SimSun"/>
          <w:sz w:val="22"/>
          <w:szCs w:val="22"/>
          <w:spacing w:val="-10"/>
        </w:rPr>
        <w:t>演讲人身份介绍数据架构标准相关主题。</w:t>
      </w:r>
    </w:p>
    <w:p>
      <w:pPr>
        <w:spacing w:line="107" w:lineRule="exact"/>
        <w:rPr/>
      </w:pPr>
      <w:r/>
    </w:p>
    <w:tbl>
      <w:tblPr>
        <w:tblStyle w:val="TableNormal"/>
        <w:tblW w:w="766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80"/>
      </w:tblGrid>
      <w:tr>
        <w:trPr>
          <w:trHeight w:val="352" w:hRule="atLeast"/>
        </w:trPr>
        <w:tc>
          <w:tcPr>
            <w:tcW w:w="744" w:type="dxa"/>
            <w:vAlign w:val="top"/>
          </w:tcPr>
          <w:p>
            <w:pPr>
              <w:pStyle w:val="TableText"/>
              <w:ind w:left="214"/>
              <w:spacing w:before="101" w:line="221" w:lineRule="auto"/>
              <w:rPr/>
            </w:pPr>
            <w:r>
              <w:rPr>
                <w:spacing w:val="-2"/>
              </w:rPr>
              <w:t>序号</w:t>
            </w:r>
          </w:p>
        </w:tc>
        <w:tc>
          <w:tcPr>
            <w:tcW w:w="3145" w:type="dxa"/>
            <w:vAlign w:val="top"/>
          </w:tcPr>
          <w:p>
            <w:pPr>
              <w:pStyle w:val="TableText"/>
              <w:ind w:left="114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877" w:hRule="atLeast"/>
        </w:trPr>
        <w:tc>
          <w:tcPr>
            <w:tcW w:w="744" w:type="dxa"/>
            <w:vAlign w:val="top"/>
          </w:tcPr>
          <w:p>
            <w:pPr>
              <w:spacing w:line="356" w:lineRule="auto"/>
              <w:rPr>
                <w:rFonts w:ascii="Arial"/>
                <w:sz w:val="21"/>
              </w:rPr>
            </w:pPr>
            <w:r/>
          </w:p>
          <w:p>
            <w:pPr>
              <w:pStyle w:val="TableText"/>
              <w:ind w:left="245"/>
              <w:spacing w:before="49" w:line="183" w:lineRule="auto"/>
              <w:rPr/>
            </w:pPr>
            <w:r>
              <w:rPr>
                <w:spacing w:val="-2"/>
              </w:rPr>
              <w:t>5.3</w:t>
            </w:r>
          </w:p>
        </w:tc>
        <w:tc>
          <w:tcPr>
            <w:tcW w:w="3145" w:type="dxa"/>
            <w:vAlign w:val="top"/>
          </w:tcPr>
          <w:p>
            <w:pPr>
              <w:pStyle w:val="TableText"/>
              <w:ind w:left="101" w:right="150" w:firstLine="109"/>
              <w:spacing w:before="97" w:line="304" w:lineRule="auto"/>
              <w:rPr/>
            </w:pPr>
            <w:r>
              <w:rPr>
                <w:spacing w:val="-1"/>
              </w:rPr>
              <w:t>该组织对潜在采用的创新的数据技术和方</w:t>
            </w:r>
            <w:r>
              <w:rPr>
                <w:spacing w:val="4"/>
              </w:rPr>
              <w:t xml:space="preserve">  </w:t>
            </w:r>
            <w:r>
              <w:rPr>
                <w:spacing w:val="1"/>
              </w:rPr>
              <w:t>法进行研究，并为所采用的这些技术和方法</w:t>
            </w:r>
            <w:r>
              <w:rPr>
                <w:spacing w:val="13"/>
              </w:rPr>
              <w:t xml:space="preserve"> </w:t>
            </w:r>
            <w:r>
              <w:rPr>
                <w:spacing w:val="-1"/>
              </w:rPr>
              <w:t>制订适当的新标准</w:t>
            </w:r>
          </w:p>
        </w:tc>
        <w:tc>
          <w:tcPr>
            <w:tcW w:w="3780" w:type="dxa"/>
            <w:vAlign w:val="top"/>
          </w:tcPr>
          <w:p>
            <w:pPr>
              <w:spacing w:line="317" w:lineRule="auto"/>
              <w:rPr>
                <w:rFonts w:ascii="Arial"/>
                <w:sz w:val="21"/>
              </w:rPr>
            </w:pPr>
            <w:r/>
          </w:p>
          <w:p>
            <w:pPr>
              <w:pStyle w:val="TableText"/>
              <w:ind w:left="275"/>
              <w:spacing w:before="49" w:line="219" w:lineRule="auto"/>
              <w:rPr/>
            </w:pPr>
            <w:r>
              <w:rPr>
                <w:spacing w:val="1"/>
              </w:rPr>
              <w:t>●新兴技术的研究</w:t>
            </w:r>
          </w:p>
        </w:tc>
      </w:tr>
    </w:tbl>
    <w:p>
      <w:pPr>
        <w:ind w:left="31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5" w:right="227" w:firstLine="399"/>
        <w:spacing w:before="49" w:line="252" w:lineRule="auto"/>
        <w:rPr>
          <w:rFonts w:ascii="SimSun" w:hAnsi="SimSun" w:eastAsia="SimSun" w:cs="SimSun"/>
          <w:sz w:val="22"/>
          <w:szCs w:val="22"/>
        </w:rPr>
      </w:pPr>
      <w:r>
        <w:rPr>
          <w:rFonts w:ascii="SimSun" w:hAnsi="SimSun" w:eastAsia="SimSun" w:cs="SimSun"/>
          <w:sz w:val="22"/>
          <w:szCs w:val="22"/>
          <w:spacing w:val="5"/>
        </w:rPr>
        <w:t>组织数据管理专员需要在业务工作中保持业务知识更新，加入数据管理组</w:t>
      </w:r>
      <w:r>
        <w:rPr>
          <w:rFonts w:ascii="SimSun" w:hAnsi="SimSun" w:eastAsia="SimSun" w:cs="SimSun"/>
          <w:sz w:val="22"/>
          <w:szCs w:val="22"/>
          <w:spacing w:val="6"/>
        </w:rPr>
        <w:t xml:space="preserve"> </w:t>
      </w:r>
      <w:r>
        <w:rPr>
          <w:rFonts w:ascii="SimSun" w:hAnsi="SimSun" w:eastAsia="SimSun" w:cs="SimSun"/>
          <w:sz w:val="22"/>
          <w:szCs w:val="22"/>
          <w:spacing w:val="-2"/>
        </w:rPr>
        <w:t>织，接受持续的教育，积极学习、研究新的数据管理技术，为组织采用新技术做</w:t>
      </w:r>
      <w:r>
        <w:rPr>
          <w:rFonts w:ascii="SimSun" w:hAnsi="SimSun" w:eastAsia="SimSun" w:cs="SimSun"/>
          <w:sz w:val="22"/>
          <w:szCs w:val="22"/>
          <w:spacing w:val="10"/>
        </w:rPr>
        <w:t xml:space="preserve"> </w:t>
      </w:r>
      <w:r>
        <w:rPr>
          <w:rFonts w:ascii="SimSun" w:hAnsi="SimSun" w:eastAsia="SimSun" w:cs="SimSun"/>
          <w:sz w:val="22"/>
          <w:szCs w:val="22"/>
          <w:spacing w:val="-8"/>
        </w:rPr>
        <w:t>好准备。</w:t>
      </w:r>
    </w:p>
    <w:p>
      <w:pPr>
        <w:spacing w:line="115" w:lineRule="exact"/>
        <w:rPr/>
      </w:pPr>
      <w:r/>
    </w:p>
    <w:tbl>
      <w:tblPr>
        <w:tblStyle w:val="TableNormal"/>
        <w:tblW w:w="7659"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4"/>
        <w:gridCol w:w="3155"/>
        <w:gridCol w:w="3770"/>
      </w:tblGrid>
      <w:tr>
        <w:trPr>
          <w:trHeight w:val="351" w:hRule="atLeast"/>
        </w:trPr>
        <w:tc>
          <w:tcPr>
            <w:tcW w:w="734" w:type="dxa"/>
            <w:vAlign w:val="top"/>
          </w:tcPr>
          <w:p>
            <w:pPr>
              <w:pStyle w:val="TableText"/>
              <w:ind w:left="204"/>
              <w:spacing w:before="102" w:line="221" w:lineRule="auto"/>
              <w:rPr/>
            </w:pPr>
            <w:r>
              <w:rPr>
                <w:spacing w:val="-2"/>
              </w:rPr>
              <w:t>序号</w:t>
            </w:r>
          </w:p>
        </w:tc>
        <w:tc>
          <w:tcPr>
            <w:tcW w:w="315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01" w:line="220" w:lineRule="auto"/>
              <w:rPr/>
            </w:pPr>
            <w:r>
              <w:rPr>
                <w:spacing w:val="-5"/>
              </w:rPr>
              <w:t>实</w:t>
            </w:r>
            <w:r>
              <w:rPr>
                <w:spacing w:val="6"/>
              </w:rPr>
              <w:t xml:space="preserve">    </w:t>
            </w:r>
            <w:r>
              <w:rPr>
                <w:spacing w:val="-5"/>
              </w:rPr>
              <w:t>例</w:t>
            </w:r>
          </w:p>
        </w:tc>
      </w:tr>
      <w:tr>
        <w:trPr>
          <w:trHeight w:val="589" w:hRule="atLeast"/>
        </w:trPr>
        <w:tc>
          <w:tcPr>
            <w:tcW w:w="734" w:type="dxa"/>
            <w:vAlign w:val="top"/>
          </w:tcPr>
          <w:p>
            <w:pPr>
              <w:pStyle w:val="TableText"/>
              <w:ind w:left="244"/>
              <w:spacing w:before="258" w:line="183" w:lineRule="auto"/>
              <w:rPr/>
            </w:pPr>
            <w:r>
              <w:rPr>
                <w:spacing w:val="-2"/>
              </w:rPr>
              <w:t>5.4</w:t>
            </w:r>
          </w:p>
        </w:tc>
        <w:tc>
          <w:tcPr>
            <w:tcW w:w="3155" w:type="dxa"/>
            <w:vAlign w:val="top"/>
          </w:tcPr>
          <w:p>
            <w:pPr>
              <w:pStyle w:val="TableText"/>
              <w:ind w:left="120" w:right="182" w:firstLine="149"/>
              <w:spacing w:before="89" w:line="282" w:lineRule="auto"/>
              <w:rPr/>
            </w:pPr>
            <w:r>
              <w:rPr>
                <w:spacing w:val="-1"/>
              </w:rPr>
              <w:t>该组织通过出版物、会议和白皮书分享所</w:t>
            </w:r>
            <w:r>
              <w:rPr>
                <w:spacing w:val="8"/>
              </w:rPr>
              <w:t xml:space="preserve"> </w:t>
            </w:r>
            <w:r>
              <w:rPr>
                <w:spacing w:val="1"/>
              </w:rPr>
              <w:t>获得的最佳标准实践和经验教训</w:t>
            </w:r>
          </w:p>
        </w:tc>
        <w:tc>
          <w:tcPr>
            <w:tcW w:w="3770" w:type="dxa"/>
            <w:vAlign w:val="top"/>
          </w:tcPr>
          <w:p>
            <w:pPr>
              <w:pStyle w:val="TableText"/>
              <w:ind w:left="275"/>
              <w:spacing w:before="219" w:line="219" w:lineRule="auto"/>
              <w:rPr/>
            </w:pPr>
            <w:r>
              <w:rPr/>
              <w:t>●与数据标准相关的演示材料和其他作品</w:t>
            </w:r>
          </w:p>
        </w:tc>
      </w:tr>
    </w:tbl>
    <w:p>
      <w:pPr>
        <w:ind w:left="31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74" w:right="259" w:firstLine="350"/>
        <w:spacing w:before="60" w:line="235" w:lineRule="auto"/>
        <w:rPr>
          <w:rFonts w:ascii="SimSun" w:hAnsi="SimSun" w:eastAsia="SimSun" w:cs="SimSun"/>
          <w:sz w:val="22"/>
          <w:szCs w:val="22"/>
        </w:rPr>
      </w:pPr>
      <w:r>
        <w:rPr>
          <w:rFonts w:ascii="SimSun" w:hAnsi="SimSun" w:eastAsia="SimSun" w:cs="SimSun"/>
          <w:sz w:val="22"/>
          <w:szCs w:val="22"/>
          <w:spacing w:val="-8"/>
        </w:rPr>
        <w:t>组织数据管理专业人士应订阅专业杂志并通过网上各种论坛、专业讨论群分享</w:t>
      </w:r>
      <w:r>
        <w:rPr>
          <w:rFonts w:ascii="SimSun" w:hAnsi="SimSun" w:eastAsia="SimSun" w:cs="SimSun"/>
          <w:sz w:val="22"/>
          <w:szCs w:val="22"/>
        </w:rPr>
        <w:t xml:space="preserve"> </w:t>
      </w:r>
      <w:r>
        <w:rPr>
          <w:rFonts w:ascii="SimSun" w:hAnsi="SimSun" w:eastAsia="SimSun" w:cs="SimSun"/>
          <w:sz w:val="22"/>
          <w:szCs w:val="22"/>
          <w:spacing w:val="-15"/>
        </w:rPr>
        <w:t>数据架构管理相关主题。</w:t>
      </w:r>
    </w:p>
    <w:p>
      <w:pPr>
        <w:ind w:left="428"/>
        <w:spacing w:before="224" w:line="222" w:lineRule="auto"/>
        <w:outlineLvl w:val="5"/>
        <w:rPr>
          <w:rFonts w:ascii="SimHei" w:hAnsi="SimHei" w:eastAsia="SimHei" w:cs="SimHei"/>
          <w:sz w:val="22"/>
          <w:szCs w:val="22"/>
        </w:rPr>
      </w:pPr>
      <w:r>
        <w:rPr>
          <w:rFonts w:ascii="SimHei" w:hAnsi="SimHei" w:eastAsia="SimHei" w:cs="SimHei"/>
          <w:sz w:val="22"/>
          <w:szCs w:val="22"/>
          <w:b/>
          <w:bCs/>
          <w:spacing w:val="2"/>
        </w:rPr>
        <w:t>4.</w:t>
      </w:r>
      <w:r>
        <w:rPr>
          <w:rFonts w:ascii="SimHei" w:hAnsi="SimHei" w:eastAsia="SimHei" w:cs="SimHei"/>
          <w:sz w:val="22"/>
          <w:szCs w:val="22"/>
          <w:spacing w:val="-18"/>
        </w:rPr>
        <w:t xml:space="preserve"> </w:t>
      </w:r>
      <w:r>
        <w:rPr>
          <w:rFonts w:ascii="SimHei" w:hAnsi="SimHei" w:eastAsia="SimHei" w:cs="SimHei"/>
          <w:sz w:val="22"/>
          <w:szCs w:val="22"/>
          <w:b/>
          <w:bCs/>
          <w:spacing w:val="2"/>
        </w:rPr>
        <w:t>实施案例</w:t>
      </w:r>
    </w:p>
    <w:p>
      <w:pPr>
        <w:ind w:left="424"/>
        <w:spacing w:before="210" w:line="219" w:lineRule="auto"/>
        <w:rPr>
          <w:rFonts w:ascii="SimSun" w:hAnsi="SimSun" w:eastAsia="SimSun" w:cs="SimSun"/>
          <w:sz w:val="22"/>
          <w:szCs w:val="22"/>
        </w:rPr>
      </w:pPr>
      <w:r>
        <w:rPr>
          <w:rFonts w:ascii="SimSun" w:hAnsi="SimSun" w:eastAsia="SimSun" w:cs="SimSun"/>
          <w:sz w:val="22"/>
          <w:szCs w:val="22"/>
          <w:spacing w:val="-13"/>
        </w:rPr>
        <w:t>某运营商数据分类规范示例。</w:t>
      </w:r>
    </w:p>
    <w:p>
      <w:pPr>
        <w:spacing w:line="105" w:lineRule="exact"/>
        <w:rPr/>
      </w:pPr>
      <w:r/>
    </w:p>
    <w:tbl>
      <w:tblPr>
        <w:tblStyle w:val="TableNormal"/>
        <w:tblW w:w="7669" w:type="dxa"/>
        <w:tblInd w:w="65" w:type="dxa"/>
        <w:tblLayout w:type="fixed"/>
        <w:tblBorders>
          <w:left w:val="single" w:color="000000" w:sz="4" w:space="0"/>
          <w:bottom w:val="single" w:color="000000" w:sz="4" w:space="0"/>
          <w:right w:val="single" w:color="000000" w:sz="4" w:space="0"/>
          <w:top w:val="single" w:color="000000" w:sz="4" w:space="0"/>
        </w:tblBorders>
      </w:tblPr>
      <w:tblGrid>
        <w:gridCol w:w="7669"/>
      </w:tblGrid>
      <w:tr>
        <w:trPr>
          <w:trHeight w:val="2829" w:hRule="atLeast"/>
        </w:trPr>
        <w:tc>
          <w:tcPr>
            <w:tcW w:w="7669" w:type="dxa"/>
            <w:vAlign w:val="top"/>
          </w:tcPr>
          <w:p>
            <w:pPr>
              <w:pStyle w:val="TableText"/>
              <w:ind w:left="3084"/>
              <w:spacing w:before="241" w:line="219" w:lineRule="auto"/>
              <w:rPr/>
            </w:pPr>
            <w:r>
              <w:rPr>
                <w:spacing w:val="-1"/>
              </w:rPr>
              <w:t>某运营商数据分类规范</w:t>
            </w:r>
          </w:p>
          <w:p>
            <w:pPr>
              <w:pStyle w:val="TableText"/>
              <w:ind w:left="274"/>
              <w:spacing w:before="102" w:line="219" w:lineRule="auto"/>
              <w:rPr/>
            </w:pPr>
            <w:r>
              <w:rPr/>
              <w:t>企业数据分类是企业数据标准的一个组成部分，即全部企业数据执行同一个数据分类标</w:t>
            </w:r>
            <w:r>
              <w:rPr>
                <w:spacing w:val="-1"/>
              </w:rPr>
              <w:t>准。企业数据分类需要</w:t>
            </w:r>
          </w:p>
          <w:p>
            <w:pPr>
              <w:pStyle w:val="TableText"/>
              <w:ind w:left="94" w:right="59" w:firstLine="160"/>
              <w:spacing w:before="91" w:line="283" w:lineRule="auto"/>
              <w:rPr/>
            </w:pPr>
            <w:r>
              <w:rPr/>
              <w:t>满足各种数据需求对数据组织的要求，并独立于具体的数据模型和数据分布。企业数据分类还要</w:t>
            </w:r>
            <w:r>
              <w:rPr>
                <w:spacing w:val="-1"/>
              </w:rPr>
              <w:t>有利于数据的维</w:t>
            </w:r>
            <w:r>
              <w:rPr/>
              <w:t xml:space="preserve"> </w:t>
            </w:r>
            <w:r>
              <w:rPr>
                <w:spacing w:val="-1"/>
              </w:rPr>
              <w:t>护和扩充。</w:t>
            </w:r>
          </w:p>
          <w:p>
            <w:pPr>
              <w:pStyle w:val="TableText"/>
              <w:ind w:left="254"/>
              <w:spacing w:before="100" w:line="219" w:lineRule="auto"/>
              <w:rPr/>
            </w:pPr>
            <w:r>
              <w:rPr>
                <w:spacing w:val="-1"/>
              </w:rPr>
              <w:t>公司企业数据根据以下指导原则进行分类。</w:t>
            </w:r>
          </w:p>
          <w:p>
            <w:pPr>
              <w:pStyle w:val="TableText"/>
              <w:ind w:left="254"/>
              <w:spacing w:before="112" w:line="219" w:lineRule="auto"/>
              <w:rPr/>
            </w:pPr>
            <w:r>
              <w:rPr/>
              <w:t>●国际电信管理论坛(TMF)的SID分类框架</w:t>
            </w:r>
          </w:p>
          <w:p>
            <w:pPr>
              <w:pStyle w:val="TableText"/>
              <w:ind w:left="254"/>
              <w:spacing w:before="102" w:line="220" w:lineRule="auto"/>
              <w:rPr/>
            </w:pPr>
            <w:r>
              <w:rPr/>
              <w:t>●与IT目标架构相互配合</w:t>
            </w:r>
          </w:p>
          <w:p>
            <w:pPr>
              <w:pStyle w:val="TableText"/>
              <w:ind w:left="254"/>
              <w:spacing w:before="110" w:line="219" w:lineRule="auto"/>
              <w:rPr/>
            </w:pPr>
            <w:r>
              <w:rPr/>
              <w:t>●公司实际情况，具体的数据分类可灵活处理</w:t>
            </w:r>
          </w:p>
          <w:p>
            <w:pPr>
              <w:pStyle w:val="TableText"/>
              <w:ind w:left="254"/>
              <w:spacing w:before="92" w:line="219" w:lineRule="auto"/>
              <w:rPr/>
            </w:pPr>
            <w:r>
              <w:rPr/>
              <w:t>公司数据分为客户、产品、服务、资源、市场营销、合作伙伴和企业管理等七类数据，</w:t>
            </w:r>
            <w:r>
              <w:rPr>
                <w:spacing w:val="-1"/>
              </w:rPr>
              <w:t>具体分类如下：</w:t>
            </w:r>
          </w:p>
        </w:tc>
      </w:tr>
    </w:tbl>
    <w:p>
      <w:pPr>
        <w:pStyle w:val="BodyText"/>
        <w:rPr/>
      </w:pPr>
      <w:r/>
    </w:p>
    <w:p>
      <w:pPr>
        <w:sectPr>
          <w:footerReference w:type="default" r:id="rId375"/>
          <w:pgSz w:w="8870" w:h="13400"/>
          <w:pgMar w:top="400" w:right="571" w:bottom="564" w:left="404" w:header="0" w:footer="346" w:gutter="0"/>
        </w:sectPr>
        <w:rPr/>
      </w:pPr>
    </w:p>
    <w:p>
      <w:pPr>
        <w:ind w:left="233"/>
        <w:spacing w:before="246" w:line="219" w:lineRule="auto"/>
        <w:rPr>
          <w:rFonts w:ascii="SimSun" w:hAnsi="SimSun" w:eastAsia="SimSun" w:cs="SimSun"/>
          <w:sz w:val="22"/>
          <w:szCs w:val="22"/>
        </w:rPr>
      </w:pPr>
      <w:r>
        <mc:AlternateContent xmlns:mc="http://schemas.openxmlformats.org/markup-compatibility/2006">
          <mc:Choice Requires="wps">
            <w:drawing>
              <wp:anchor distT="0" distB="0" distL="0" distR="0" simplePos="0" relativeHeight="256721920" behindDoc="1" locked="0" layoutInCell="0" allowOverlap="1">
                <wp:simplePos x="0" y="0"/>
                <wp:positionH relativeFrom="page">
                  <wp:posOffset>539757</wp:posOffset>
                </wp:positionH>
                <wp:positionV relativeFrom="page">
                  <wp:posOffset>7867676</wp:posOffset>
                </wp:positionV>
                <wp:extent cx="4895850" cy="6350"/>
                <wp:effectExtent l="0" t="0" r="0" b="0"/>
                <wp:wrapNone/>
                <wp:docPr id="250" name="Rect 250"/>
                <wp:cNvGraphicFramePr/>
                <a:graphic>
                  <a:graphicData uri="http://schemas.microsoft.com/office/word/2010/wordprocessingShape">
                    <wps:wsp>
                      <wps:cNvPr id="250" name="Rect 250"/>
                      <wps:cNvSpPr/>
                      <wps:spPr>
                        <a:xfrm>
                          <a:off x="539757" y="7867676"/>
                          <a:ext cx="4895850"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8" style="position:absolute;margin-left:42.5006pt;margin-top:619.502pt;mso-position-vertical-relative:page;mso-position-horizontal-relative:page;width:385.5pt;height:0.5pt;z-index:-246594560;" o:allowincell="f" fillcolor="#000000" filled="true" stroked="false"/>
            </w:pict>
          </mc:Fallback>
        </mc:AlternateContent>
      </w:r>
      <w:r>
        <w:drawing>
          <wp:anchor distT="0" distB="0" distL="0" distR="0" simplePos="0" relativeHeight="256745472" behindDoc="0" locked="0" layoutInCell="0" allowOverlap="1">
            <wp:simplePos x="0" y="0"/>
            <wp:positionH relativeFrom="page">
              <wp:posOffset>444512</wp:posOffset>
            </wp:positionH>
            <wp:positionV relativeFrom="page">
              <wp:posOffset>361972</wp:posOffset>
            </wp:positionV>
            <wp:extent cx="6365" cy="222255"/>
            <wp:effectExtent l="0" t="0" r="0" b="0"/>
            <wp:wrapNone/>
            <wp:docPr id="252" name="IM 252"/>
            <wp:cNvGraphicFramePr/>
            <a:graphic>
              <a:graphicData uri="http://schemas.openxmlformats.org/drawingml/2006/picture">
                <pic:pic>
                  <pic:nvPicPr>
                    <pic:cNvPr id="252" name="IM 252"/>
                    <pic:cNvPicPr/>
                  </pic:nvPicPr>
                  <pic:blipFill>
                    <a:blip r:embed="rId377"/>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5"/>
        </w:rPr>
        <w:t>■云端数据治理</w:t>
      </w:r>
    </w:p>
    <w:p>
      <w:pPr>
        <w:pStyle w:val="BodyText"/>
        <w:spacing w:line="249" w:lineRule="auto"/>
        <w:rPr/>
      </w:pPr>
      <w:r/>
    </w:p>
    <w:p>
      <w:pPr>
        <w:ind w:left="7209"/>
        <w:spacing w:before="72" w:line="223" w:lineRule="auto"/>
        <w:rPr>
          <w:rFonts w:ascii="SimHei" w:hAnsi="SimHei" w:eastAsia="SimHei" w:cs="SimHei"/>
          <w:sz w:val="22"/>
          <w:szCs w:val="22"/>
        </w:rPr>
      </w:pPr>
      <w:r>
        <w:rPr>
          <w:rFonts w:ascii="SimHei" w:hAnsi="SimHei" w:eastAsia="SimHei" w:cs="SimHei"/>
          <w:sz w:val="22"/>
          <w:szCs w:val="22"/>
          <w:spacing w:val="-15"/>
          <w:w w:val="99"/>
        </w:rPr>
        <w:t>续表</w:t>
      </w:r>
    </w:p>
    <w:p>
      <w:pPr>
        <w:ind w:left="540"/>
        <w:spacing w:before="212" w:line="220" w:lineRule="auto"/>
        <w:rPr>
          <w:rFonts w:ascii="SimSun" w:hAnsi="SimSun" w:eastAsia="SimSun" w:cs="SimSun"/>
          <w:sz w:val="18"/>
          <w:szCs w:val="18"/>
        </w:rPr>
      </w:pPr>
      <w:r>
        <w:drawing>
          <wp:anchor distT="0" distB="0" distL="0" distR="0" simplePos="0" relativeHeight="256722944" behindDoc="1" locked="0" layoutInCell="1" allowOverlap="1">
            <wp:simplePos x="0" y="0"/>
            <wp:positionH relativeFrom="column">
              <wp:posOffset>152413</wp:posOffset>
            </wp:positionH>
            <wp:positionV relativeFrom="paragraph">
              <wp:posOffset>-22403</wp:posOffset>
            </wp:positionV>
            <wp:extent cx="4902202" cy="6959597"/>
            <wp:effectExtent l="0" t="0" r="0" b="0"/>
            <wp:wrapNone/>
            <wp:docPr id="254" name="IM 254"/>
            <wp:cNvGraphicFramePr/>
            <a:graphic>
              <a:graphicData uri="http://schemas.openxmlformats.org/drawingml/2006/picture">
                <pic:pic>
                  <pic:nvPicPr>
                    <pic:cNvPr id="254" name="IM 254"/>
                    <pic:cNvPicPr/>
                  </pic:nvPicPr>
                  <pic:blipFill>
                    <a:blip r:embed="rId378"/>
                    <a:stretch>
                      <a:fillRect/>
                    </a:stretch>
                  </pic:blipFill>
                  <pic:spPr>
                    <a:xfrm rot="0">
                      <a:off x="0" y="0"/>
                      <a:ext cx="4902202" cy="6959597"/>
                    </a:xfrm>
                    <a:prstGeom prst="rect">
                      <a:avLst/>
                    </a:prstGeom>
                  </pic:spPr>
                </pic:pic>
              </a:graphicData>
            </a:graphic>
          </wp:anchor>
        </w:drawing>
      </w:r>
      <w:r>
        <w:rPr>
          <w:rFonts w:ascii="SimSun" w:hAnsi="SimSun" w:eastAsia="SimSun" w:cs="SimSun"/>
          <w:sz w:val="18"/>
          <w:szCs w:val="18"/>
          <w:spacing w:val="1"/>
        </w:rPr>
        <w:t>1客户主题域</w:t>
      </w:r>
    </w:p>
    <w:p>
      <w:pPr>
        <w:ind w:left="3230"/>
        <w:spacing w:before="113" w:line="219" w:lineRule="auto"/>
        <w:rPr>
          <w:rFonts w:ascii="SimSun" w:hAnsi="SimSun" w:eastAsia="SimSun" w:cs="SimSun"/>
          <w:sz w:val="15"/>
          <w:szCs w:val="15"/>
        </w:rPr>
      </w:pPr>
      <w:r>
        <w:pict>
          <v:shape id="_x0000_s410" style="position:absolute;margin-left:50.0025pt;margin-top:4.6912pt;mso-position-vertical-relative:text;mso-position-horizontal-relative:text;width:44.35pt;height:10.95pt;z-index:2567383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5"/>
                    </w:rPr>
                    <w:t>数</w:t>
                  </w:r>
                  <w:r>
                    <w:rPr>
                      <w:rFonts w:ascii="SimSun" w:hAnsi="SimSun" w:eastAsia="SimSun" w:cs="SimSun"/>
                      <w:sz w:val="15"/>
                      <w:szCs w:val="15"/>
                      <w:spacing w:val="14"/>
                    </w:rPr>
                    <w:t xml:space="preserve"> </w:t>
                  </w:r>
                  <w:r>
                    <w:rPr>
                      <w:rFonts w:ascii="SimSun" w:hAnsi="SimSun" w:eastAsia="SimSun" w:cs="SimSun"/>
                      <w:sz w:val="15"/>
                      <w:szCs w:val="15"/>
                      <w:spacing w:val="-5"/>
                    </w:rPr>
                    <w:t>据</w:t>
                  </w:r>
                  <w:r>
                    <w:rPr>
                      <w:rFonts w:ascii="SimSun" w:hAnsi="SimSun" w:eastAsia="SimSun" w:cs="SimSun"/>
                      <w:sz w:val="15"/>
                      <w:szCs w:val="15"/>
                      <w:spacing w:val="17"/>
                    </w:rPr>
                    <w:t xml:space="preserve"> </w:t>
                  </w:r>
                  <w:r>
                    <w:rPr>
                      <w:rFonts w:ascii="SimSun" w:hAnsi="SimSun" w:eastAsia="SimSun" w:cs="SimSun"/>
                      <w:sz w:val="15"/>
                      <w:szCs w:val="15"/>
                      <w:spacing w:val="-5"/>
                    </w:rPr>
                    <w:t>分</w:t>
                  </w:r>
                  <w:r>
                    <w:rPr>
                      <w:rFonts w:ascii="SimSun" w:hAnsi="SimSun" w:eastAsia="SimSun" w:cs="SimSun"/>
                      <w:sz w:val="15"/>
                      <w:szCs w:val="15"/>
                      <w:spacing w:val="15"/>
                    </w:rPr>
                    <w:t xml:space="preserve"> </w:t>
                  </w:r>
                  <w:r>
                    <w:rPr>
                      <w:rFonts w:ascii="SimSun" w:hAnsi="SimSun" w:eastAsia="SimSun" w:cs="SimSun"/>
                      <w:sz w:val="15"/>
                      <w:szCs w:val="15"/>
                      <w:spacing w:val="-5"/>
                    </w:rPr>
                    <w:t>类</w:t>
                  </w:r>
                </w:p>
              </w:txbxContent>
            </v:textbox>
          </v:shape>
        </w:pict>
      </w:r>
      <w:r>
        <w:pict>
          <v:shape id="_x0000_s412" style="position:absolute;margin-left:276.502pt;margin-top:4.6912pt;mso-position-vertical-relative:text;mso-position-horizontal-relative:text;width:80.5pt;height:10.95pt;z-index:2567352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所覆盖的主要实体/数据</w:t>
                  </w:r>
                </w:p>
              </w:txbxContent>
            </v:textbox>
          </v:shape>
        </w:pict>
      </w:r>
      <w:r>
        <w:rPr>
          <w:rFonts w:ascii="SimSun" w:hAnsi="SimSun" w:eastAsia="SimSun" w:cs="SimSun"/>
          <w:sz w:val="15"/>
          <w:szCs w:val="15"/>
          <w:spacing w:val="-5"/>
        </w:rPr>
        <w:t>详</w:t>
      </w:r>
      <w:r>
        <w:rPr>
          <w:rFonts w:ascii="SimSun" w:hAnsi="SimSun" w:eastAsia="SimSun" w:cs="SimSun"/>
          <w:sz w:val="15"/>
          <w:szCs w:val="15"/>
          <w:spacing w:val="9"/>
        </w:rPr>
        <w:t xml:space="preserve"> </w:t>
      </w:r>
      <w:r>
        <w:rPr>
          <w:rFonts w:ascii="SimSun" w:hAnsi="SimSun" w:eastAsia="SimSun" w:cs="SimSun"/>
          <w:sz w:val="15"/>
          <w:szCs w:val="15"/>
          <w:spacing w:val="-5"/>
        </w:rPr>
        <w:t>细</w:t>
      </w:r>
      <w:r>
        <w:rPr>
          <w:rFonts w:ascii="SimSun" w:hAnsi="SimSun" w:eastAsia="SimSun" w:cs="SimSun"/>
          <w:sz w:val="15"/>
          <w:szCs w:val="15"/>
          <w:spacing w:val="9"/>
        </w:rPr>
        <w:t xml:space="preserve"> </w:t>
      </w:r>
      <w:r>
        <w:rPr>
          <w:rFonts w:ascii="SimSun" w:hAnsi="SimSun" w:eastAsia="SimSun" w:cs="SimSun"/>
          <w:sz w:val="15"/>
          <w:szCs w:val="15"/>
          <w:spacing w:val="-5"/>
        </w:rPr>
        <w:t>注</w:t>
      </w:r>
      <w:r>
        <w:rPr>
          <w:rFonts w:ascii="SimSun" w:hAnsi="SimSun" w:eastAsia="SimSun" w:cs="SimSun"/>
          <w:sz w:val="15"/>
          <w:szCs w:val="15"/>
          <w:spacing w:val="8"/>
        </w:rPr>
        <w:t xml:space="preserve"> </w:t>
      </w:r>
      <w:r>
        <w:rPr>
          <w:rFonts w:ascii="SimSun" w:hAnsi="SimSun" w:eastAsia="SimSun" w:cs="SimSun"/>
          <w:sz w:val="15"/>
          <w:szCs w:val="15"/>
          <w:spacing w:val="-5"/>
        </w:rPr>
        <w:t>释</w:t>
      </w:r>
    </w:p>
    <w:p>
      <w:pPr>
        <w:ind w:left="2580"/>
        <w:spacing w:before="181" w:line="219" w:lineRule="auto"/>
        <w:rPr>
          <w:rFonts w:ascii="SimSun" w:hAnsi="SimSun" w:eastAsia="SimSun" w:cs="SimSun"/>
          <w:sz w:val="15"/>
          <w:szCs w:val="15"/>
        </w:rPr>
      </w:pPr>
      <w:r>
        <w:rPr>
          <w:rFonts w:ascii="SimSun" w:hAnsi="SimSun" w:eastAsia="SimSun" w:cs="SimSun"/>
          <w:sz w:val="15"/>
          <w:szCs w:val="15"/>
          <w:spacing w:val="-1"/>
        </w:rPr>
        <w:t>客户是指已经购买或使用公司及</w:t>
      </w:r>
    </w:p>
    <w:p>
      <w:pPr>
        <w:ind w:left="2440"/>
        <w:spacing w:before="111" w:line="161" w:lineRule="auto"/>
        <w:rPr>
          <w:rFonts w:ascii="SimSun" w:hAnsi="SimSun" w:eastAsia="SimSun" w:cs="SimSun"/>
          <w:sz w:val="15"/>
          <w:szCs w:val="15"/>
        </w:rPr>
      </w:pPr>
      <w:r>
        <w:pict>
          <v:shape id="_x0000_s414" style="position:absolute;margin-left:259.002pt;margin-top:4.05221pt;mso-position-vertical-relative:text;mso-position-horizontal-relative:text;width:121.75pt;height:10.9pt;z-index:25673113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
                    </w:rPr>
                    <w:t>基本客户信息、集团客户资料、个人</w:t>
                  </w:r>
                </w:p>
              </w:txbxContent>
            </v:textbox>
          </v:shape>
        </w:pict>
      </w:r>
      <w:r>
        <w:rPr>
          <w:rFonts w:ascii="SimSun" w:hAnsi="SimSun" w:eastAsia="SimSun" w:cs="SimSun"/>
          <w:sz w:val="15"/>
          <w:szCs w:val="15"/>
          <w:spacing w:val="-1"/>
        </w:rPr>
        <w:t>业务合作伙伴所提供的产品的个人</w:t>
      </w:r>
    </w:p>
    <w:p>
      <w:pPr>
        <w:ind w:left="1580"/>
        <w:spacing w:before="1" w:line="184" w:lineRule="auto"/>
        <w:rPr>
          <w:rFonts w:ascii="SimSun" w:hAnsi="SimSun" w:eastAsia="SimSun" w:cs="SimSun"/>
          <w:sz w:val="15"/>
          <w:szCs w:val="15"/>
        </w:rPr>
      </w:pPr>
      <w:r>
        <w:rPr>
          <w:rFonts w:ascii="SimSun" w:hAnsi="SimSun" w:eastAsia="SimSun" w:cs="SimSun"/>
          <w:sz w:val="15"/>
          <w:szCs w:val="15"/>
          <w:spacing w:val="10"/>
        </w:rPr>
        <w:t>客户</w:t>
      </w:r>
    </w:p>
    <w:p>
      <w:pPr>
        <w:ind w:left="2440"/>
        <w:spacing w:line="219" w:lineRule="auto"/>
        <w:rPr>
          <w:rFonts w:ascii="SimSun" w:hAnsi="SimSun" w:eastAsia="SimSun" w:cs="SimSun"/>
          <w:sz w:val="15"/>
          <w:szCs w:val="15"/>
        </w:rPr>
      </w:pPr>
      <w:r>
        <w:pict>
          <v:shape id="_x0000_s416" style="position:absolute;margin-left:252.5pt;margin-top:-0.986414pt;mso-position-vertical-relative:text;mso-position-horizontal-relative:text;width:121.65pt;height:10.95pt;z-index:256732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客户资料、客户关系、客户文档资料</w:t>
                  </w:r>
                </w:p>
              </w:txbxContent>
            </v:textbox>
          </v:shape>
        </w:pict>
      </w:r>
      <w:r>
        <w:rPr>
          <w:rFonts w:ascii="SimSun" w:hAnsi="SimSun" w:eastAsia="SimSun" w:cs="SimSun"/>
          <w:sz w:val="15"/>
          <w:szCs w:val="15"/>
          <w:spacing w:val="-1"/>
        </w:rPr>
        <w:t>或组织。客户还包括使用公司产品的</w:t>
      </w:r>
    </w:p>
    <w:p>
      <w:pPr>
        <w:ind w:left="2430"/>
        <w:spacing w:before="92" w:line="219" w:lineRule="auto"/>
        <w:rPr>
          <w:rFonts w:ascii="SimSun" w:hAnsi="SimSun" w:eastAsia="SimSun" w:cs="SimSun"/>
          <w:sz w:val="15"/>
          <w:szCs w:val="15"/>
        </w:rPr>
      </w:pPr>
      <w:r>
        <w:rPr>
          <w:rFonts w:ascii="SimSun" w:hAnsi="SimSun" w:eastAsia="SimSun" w:cs="SimSun"/>
          <w:sz w:val="15"/>
          <w:szCs w:val="15"/>
          <w:spacing w:val="2"/>
        </w:rPr>
        <w:t>潜在个人或组织用户</w:t>
      </w:r>
    </w:p>
    <w:p>
      <w:pPr>
        <w:ind w:left="2590"/>
        <w:spacing w:before="152" w:line="260" w:lineRule="exact"/>
        <w:rPr>
          <w:rFonts w:ascii="SimSun" w:hAnsi="SimSun" w:eastAsia="SimSun" w:cs="SimSun"/>
          <w:sz w:val="15"/>
          <w:szCs w:val="15"/>
        </w:rPr>
      </w:pPr>
      <w:r>
        <w:pict>
          <v:shape id="_x0000_s418" style="position:absolute;margin-left:70.5011pt;margin-top:12.6182pt;mso-position-vertical-relative:text;mso-position-horizontal-relative:text;width:31.65pt;height:10.95pt;z-index:25674137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客户订单</w:t>
                  </w:r>
                </w:p>
              </w:txbxContent>
            </v:textbox>
          </v:shape>
        </w:pict>
      </w:r>
      <w:r>
        <w:pict>
          <v:shape id="_x0000_s420" style="position:absolute;margin-left:259.499pt;margin-top:12.6182pt;mso-position-vertical-relative:text;mso-position-horizontal-relative:text;width:46.65pt;height:10.95pt;z-index:25673625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订单及其处理</w:t>
                  </w:r>
                </w:p>
              </w:txbxContent>
            </v:textbox>
          </v:shape>
        </w:pict>
      </w:r>
      <w:r>
        <w:rPr>
          <w:rFonts w:ascii="SimSun" w:hAnsi="SimSun" w:eastAsia="SimSun" w:cs="SimSun"/>
          <w:sz w:val="15"/>
          <w:szCs w:val="15"/>
          <w:spacing w:val="-1"/>
          <w:position w:val="8"/>
        </w:rPr>
        <w:t>客户与公司签订的对某些(种)产</w:t>
      </w:r>
    </w:p>
    <w:p>
      <w:pPr>
        <w:ind w:left="2440"/>
        <w:spacing w:line="220" w:lineRule="auto"/>
        <w:rPr>
          <w:rFonts w:ascii="SimSun" w:hAnsi="SimSun" w:eastAsia="SimSun" w:cs="SimSun"/>
          <w:sz w:val="15"/>
          <w:szCs w:val="15"/>
        </w:rPr>
      </w:pPr>
      <w:r>
        <w:rPr>
          <w:rFonts w:ascii="SimSun" w:hAnsi="SimSun" w:eastAsia="SimSun" w:cs="SimSun"/>
          <w:sz w:val="15"/>
          <w:szCs w:val="15"/>
          <w:spacing w:val="2"/>
        </w:rPr>
        <w:t>品的购买意向</w:t>
      </w:r>
    </w:p>
    <w:p>
      <w:pPr>
        <w:ind w:left="2590"/>
        <w:spacing w:before="161" w:line="166" w:lineRule="auto"/>
        <w:rPr>
          <w:rFonts w:ascii="SimSun" w:hAnsi="SimSun" w:eastAsia="SimSun" w:cs="SimSun"/>
          <w:sz w:val="15"/>
          <w:szCs w:val="15"/>
        </w:rPr>
      </w:pPr>
      <w:r>
        <w:rPr>
          <w:rFonts w:ascii="SimSun" w:hAnsi="SimSun" w:eastAsia="SimSun" w:cs="SimSun"/>
          <w:sz w:val="15"/>
          <w:szCs w:val="15"/>
          <w:spacing w:val="1"/>
        </w:rPr>
        <w:t>客户由于所购买或使用的产品出</w:t>
      </w:r>
    </w:p>
    <w:p>
      <w:pPr>
        <w:ind w:left="5209"/>
        <w:spacing w:line="166" w:lineRule="auto"/>
        <w:rPr>
          <w:rFonts w:ascii="SimSun" w:hAnsi="SimSun" w:eastAsia="SimSun" w:cs="SimSun"/>
          <w:sz w:val="15"/>
          <w:szCs w:val="15"/>
        </w:rPr>
      </w:pPr>
      <w:r>
        <w:pict>
          <v:shape id="_x0000_s422" style="position:absolute;margin-left:70.5011pt;margin-top:-1.72315pt;mso-position-vertical-relative:text;mso-position-horizontal-relative:text;width:32.75pt;height:40.9pt;z-index:2567290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客户问题</w:t>
                  </w:r>
                </w:p>
                <w:p>
                  <w:pPr>
                    <w:pStyle w:val="BodyText"/>
                    <w:spacing w:line="369" w:lineRule="auto"/>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3"/>
                    </w:rPr>
                    <w:t>客户优惠</w:t>
                  </w:r>
                </w:p>
              </w:txbxContent>
            </v:textbox>
          </v:shape>
        </w:pict>
      </w:r>
      <w:r>
        <w:rPr>
          <w:rFonts w:ascii="SimSun" w:hAnsi="SimSun" w:eastAsia="SimSun" w:cs="SimSun"/>
          <w:sz w:val="15"/>
          <w:szCs w:val="15"/>
          <w:spacing w:val="-1"/>
        </w:rPr>
        <w:t>客户问题单及其处理</w:t>
      </w:r>
    </w:p>
    <w:p>
      <w:pPr>
        <w:ind w:left="2440"/>
        <w:spacing w:line="219" w:lineRule="auto"/>
        <w:rPr>
          <w:rFonts w:ascii="SimSun" w:hAnsi="SimSun" w:eastAsia="SimSun" w:cs="SimSun"/>
          <w:sz w:val="15"/>
          <w:szCs w:val="15"/>
        </w:rPr>
      </w:pPr>
      <w:r>
        <w:rPr>
          <w:rFonts w:ascii="SimSun" w:hAnsi="SimSun" w:eastAsia="SimSun" w:cs="SimSun"/>
          <w:sz w:val="15"/>
          <w:szCs w:val="15"/>
          <w:spacing w:val="-1"/>
        </w:rPr>
        <w:t>现问题，而向公司反映所产生的信息</w:t>
      </w:r>
    </w:p>
    <w:p>
      <w:pPr>
        <w:ind w:left="2590"/>
        <w:spacing w:before="152" w:line="166" w:lineRule="auto"/>
        <w:rPr>
          <w:rFonts w:ascii="SimSun" w:hAnsi="SimSun" w:eastAsia="SimSun" w:cs="SimSun"/>
          <w:sz w:val="15"/>
          <w:szCs w:val="15"/>
        </w:rPr>
      </w:pPr>
      <w:r>
        <w:rPr>
          <w:rFonts w:ascii="SimSun" w:hAnsi="SimSun" w:eastAsia="SimSun" w:cs="SimSun"/>
          <w:sz w:val="15"/>
          <w:szCs w:val="15"/>
          <w:spacing w:val="-1"/>
        </w:rPr>
        <w:t>在产品资费的基础上，对客户所进</w:t>
      </w:r>
    </w:p>
    <w:p>
      <w:pPr>
        <w:ind w:left="5219"/>
        <w:spacing w:before="1" w:line="166" w:lineRule="auto"/>
        <w:rPr>
          <w:rFonts w:ascii="SimSun" w:hAnsi="SimSun" w:eastAsia="SimSun" w:cs="SimSun"/>
          <w:sz w:val="15"/>
          <w:szCs w:val="15"/>
        </w:rPr>
      </w:pPr>
      <w:r>
        <w:rPr>
          <w:rFonts w:ascii="SimSun" w:hAnsi="SimSun" w:eastAsia="SimSun" w:cs="SimSun"/>
          <w:sz w:val="15"/>
          <w:szCs w:val="15"/>
          <w:spacing w:val="-1"/>
        </w:rPr>
        <w:t>客户/账户级费率</w:t>
      </w:r>
    </w:p>
    <w:p>
      <w:pPr>
        <w:ind w:left="2440"/>
        <w:spacing w:line="219" w:lineRule="auto"/>
        <w:rPr>
          <w:rFonts w:ascii="SimSun" w:hAnsi="SimSun" w:eastAsia="SimSun" w:cs="SimSun"/>
          <w:sz w:val="15"/>
          <w:szCs w:val="15"/>
        </w:rPr>
      </w:pPr>
      <w:r>
        <w:rPr>
          <w:rFonts w:ascii="SimSun" w:hAnsi="SimSun" w:eastAsia="SimSun" w:cs="SimSun"/>
          <w:sz w:val="15"/>
          <w:szCs w:val="15"/>
          <w:spacing w:val="3"/>
        </w:rPr>
        <w:t>行的优惠</w:t>
      </w:r>
    </w:p>
    <w:p>
      <w:pPr>
        <w:ind w:left="2580"/>
        <w:spacing w:before="162" w:line="166" w:lineRule="auto"/>
        <w:rPr>
          <w:rFonts w:ascii="SimSun" w:hAnsi="SimSun" w:eastAsia="SimSun" w:cs="SimSun"/>
          <w:sz w:val="15"/>
          <w:szCs w:val="15"/>
        </w:rPr>
      </w:pPr>
      <w:r>
        <w:pict>
          <v:shape id="_x0000_s424" style="position:absolute;margin-left:32.9987pt;margin-top:6.12326pt;mso-position-vertical-relative:text;mso-position-horizontal-relative:text;width:18.05pt;height:10.95pt;z-index:2567424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0"/>
                    </w:rPr>
                    <w:t>客户</w:t>
                  </w:r>
                </w:p>
              </w:txbxContent>
            </v:textbox>
          </v:shape>
        </w:pict>
      </w:r>
      <w:r>
        <w:rPr>
          <w:rFonts w:ascii="SimSun" w:hAnsi="SimSun" w:eastAsia="SimSun" w:cs="SimSun"/>
          <w:sz w:val="15"/>
          <w:szCs w:val="15"/>
          <w:spacing w:val="-1"/>
        </w:rPr>
        <w:t>通过各种渠道，与客户进行联系而</w:t>
      </w:r>
    </w:p>
    <w:p>
      <w:pPr>
        <w:ind w:left="5190"/>
        <w:spacing w:line="178" w:lineRule="auto"/>
        <w:rPr>
          <w:rFonts w:ascii="SimSun" w:hAnsi="SimSun" w:eastAsia="SimSun" w:cs="SimSun"/>
          <w:sz w:val="15"/>
          <w:szCs w:val="15"/>
        </w:rPr>
      </w:pPr>
      <w:r>
        <w:pict>
          <v:shape id="_x0000_s426" style="position:absolute;margin-left:67.0019pt;margin-top:-1.69072pt;mso-position-vertical-relative:text;mso-position-horizontal-relative:text;width:39.15pt;height:48.5pt;z-index:256728064;" filled="false" stroked="false" type="#_x0000_t202">
            <v:fill on="false"/>
            <v:stroke on="false"/>
            <v:path/>
            <v:imagedata o:title=""/>
            <o:lock v:ext="edit" aspectratio="false"/>
            <v:textbox inset="0mm,0mm,0mm,0mm">
              <w:txbxContent>
                <w:p>
                  <w:pPr>
                    <w:ind w:left="89"/>
                    <w:spacing w:before="20" w:line="220" w:lineRule="auto"/>
                    <w:rPr>
                      <w:rFonts w:ascii="SimSun" w:hAnsi="SimSun" w:eastAsia="SimSun" w:cs="SimSun"/>
                      <w:sz w:val="15"/>
                      <w:szCs w:val="15"/>
                    </w:rPr>
                  </w:pPr>
                  <w:r>
                    <w:rPr>
                      <w:rFonts w:ascii="SimSun" w:hAnsi="SimSun" w:eastAsia="SimSun" w:cs="SimSun"/>
                      <w:sz w:val="15"/>
                      <w:szCs w:val="15"/>
                      <w:spacing w:val="-2"/>
                    </w:rPr>
                    <w:t>客户交互</w:t>
                  </w:r>
                </w:p>
                <w:p>
                  <w:pPr>
                    <w:pStyle w:val="BodyText"/>
                    <w:spacing w:line="249" w:lineRule="auto"/>
                    <w:rPr/>
                  </w:pPr>
                  <w:r/>
                </w:p>
                <w:p>
                  <w:pPr>
                    <w:ind w:left="20"/>
                    <w:spacing w:before="48" w:line="218" w:lineRule="auto"/>
                    <w:rPr>
                      <w:rFonts w:ascii="SimSun" w:hAnsi="SimSun" w:eastAsia="SimSun" w:cs="SimSun"/>
                      <w:sz w:val="15"/>
                      <w:szCs w:val="15"/>
                    </w:rPr>
                  </w:pPr>
                  <w:r>
                    <w:rPr>
                      <w:rFonts w:ascii="SimSun" w:hAnsi="SimSun" w:eastAsia="SimSun" w:cs="SimSun"/>
                      <w:sz w:val="15"/>
                      <w:szCs w:val="15"/>
                      <w:spacing w:val="-2"/>
                    </w:rPr>
                    <w:t>客户评估与</w:t>
                  </w:r>
                </w:p>
                <w:p>
                  <w:pPr>
                    <w:ind w:left="239"/>
                    <w:spacing w:before="95" w:line="221" w:lineRule="auto"/>
                    <w:rPr>
                      <w:rFonts w:ascii="SimSun" w:hAnsi="SimSun" w:eastAsia="SimSun" w:cs="SimSun"/>
                      <w:sz w:val="15"/>
                      <w:szCs w:val="15"/>
                    </w:rPr>
                  </w:pPr>
                  <w:r>
                    <w:rPr>
                      <w:rFonts w:ascii="SimSun" w:hAnsi="SimSun" w:eastAsia="SimSun" w:cs="SimSun"/>
                      <w:sz w:val="15"/>
                      <w:szCs w:val="15"/>
                      <w:spacing w:val="-3"/>
                    </w:rPr>
                    <w:t>统计</w:t>
                  </w:r>
                </w:p>
              </w:txbxContent>
            </v:textbox>
          </v:shape>
        </w:pict>
      </w:r>
      <w:r>
        <w:rPr>
          <w:rFonts w:ascii="SimSun" w:hAnsi="SimSun" w:eastAsia="SimSun" w:cs="SimSun"/>
          <w:sz w:val="15"/>
          <w:szCs w:val="15"/>
          <w:spacing w:val="-1"/>
        </w:rPr>
        <w:t>客户交互事件</w:t>
      </w:r>
    </w:p>
    <w:p>
      <w:pPr>
        <w:ind w:left="2430"/>
        <w:spacing w:line="219" w:lineRule="auto"/>
        <w:rPr>
          <w:rFonts w:ascii="SimSun" w:hAnsi="SimSun" w:eastAsia="SimSun" w:cs="SimSun"/>
          <w:sz w:val="15"/>
          <w:szCs w:val="15"/>
        </w:rPr>
      </w:pPr>
      <w:r>
        <w:rPr>
          <w:rFonts w:ascii="SimSun" w:hAnsi="SimSun" w:eastAsia="SimSun" w:cs="SimSun"/>
          <w:sz w:val="15"/>
          <w:szCs w:val="15"/>
          <w:spacing w:val="-1"/>
        </w:rPr>
        <w:t>产生的所有信息</w:t>
      </w:r>
    </w:p>
    <w:p>
      <w:pPr>
        <w:ind w:left="2580"/>
        <w:spacing w:before="142" w:line="219" w:lineRule="auto"/>
        <w:rPr>
          <w:rFonts w:ascii="SimSun" w:hAnsi="SimSun" w:eastAsia="SimSun" w:cs="SimSun"/>
          <w:sz w:val="15"/>
          <w:szCs w:val="15"/>
        </w:rPr>
      </w:pPr>
      <w:r>
        <w:pict>
          <v:shape id="_x0000_s428" style="position:absolute;margin-left:251.999pt;margin-top:6.13273pt;mso-position-vertical-relative:text;mso-position-horizontal-relative:text;width:133.4pt;height:41.4pt;z-index:256724992;" filled="false" stroked="false" type="#_x0000_t202">
            <v:fill on="false"/>
            <v:stroke on="false"/>
            <v:path/>
            <v:imagedata o:title=""/>
            <o:lock v:ext="edit" aspectratio="false"/>
            <v:textbox inset="0mm,0mm,0mm,0mm">
              <w:txbxContent>
                <w:p>
                  <w:pPr>
                    <w:ind w:right="16"/>
                    <w:spacing w:before="20" w:line="220" w:lineRule="auto"/>
                    <w:jc w:val="right"/>
                    <w:rPr>
                      <w:rFonts w:ascii="SimSun" w:hAnsi="SimSun" w:eastAsia="SimSun" w:cs="SimSun"/>
                      <w:sz w:val="15"/>
                      <w:szCs w:val="15"/>
                    </w:rPr>
                  </w:pPr>
                  <w:r>
                    <w:rPr>
                      <w:rFonts w:ascii="SimSun" w:hAnsi="SimSun" w:eastAsia="SimSun" w:cs="SimSun"/>
                      <w:sz w:val="15"/>
                      <w:szCs w:val="15"/>
                      <w:spacing w:val="-4"/>
                    </w:rPr>
                    <w:t>黑名单、客户分级、客户离网预测、购</w:t>
                  </w:r>
                </w:p>
                <w:p>
                  <w:pPr>
                    <w:ind w:left="20"/>
                    <w:spacing w:before="109" w:line="218" w:lineRule="auto"/>
                    <w:rPr>
                      <w:rFonts w:ascii="SimSun" w:hAnsi="SimSun" w:eastAsia="SimSun" w:cs="SimSun"/>
                      <w:sz w:val="15"/>
                      <w:szCs w:val="15"/>
                    </w:rPr>
                  </w:pPr>
                  <w:r>
                    <w:rPr>
                      <w:rFonts w:ascii="SimSun" w:hAnsi="SimSun" w:eastAsia="SimSun" w:cs="SimSun"/>
                      <w:sz w:val="15"/>
                      <w:szCs w:val="15"/>
                      <w:spacing w:val="-1"/>
                    </w:rPr>
                    <w:t>买倾向、客户价值、客户生命周期统计</w:t>
                  </w:r>
                </w:p>
                <w:p>
                  <w:pPr>
                    <w:ind w:left="169"/>
                    <w:spacing w:before="144" w:line="219" w:lineRule="auto"/>
                    <w:rPr>
                      <w:rFonts w:ascii="SimSun" w:hAnsi="SimSun" w:eastAsia="SimSun" w:cs="SimSun"/>
                      <w:sz w:val="15"/>
                      <w:szCs w:val="15"/>
                    </w:rPr>
                  </w:pPr>
                  <w:r>
                    <w:rPr>
                      <w:rFonts w:ascii="SimSun" w:hAnsi="SimSun" w:eastAsia="SimSun" w:cs="SimSun"/>
                      <w:sz w:val="15"/>
                      <w:szCs w:val="15"/>
                      <w:spacing w:val="-1"/>
                    </w:rPr>
                    <w:t>客户服务水平协议/客户层面服务的</w:t>
                  </w:r>
                </w:p>
              </w:txbxContent>
            </v:textbox>
          </v:shape>
        </w:pict>
      </w:r>
      <w:r>
        <w:rPr>
          <w:rFonts w:ascii="SimSun" w:hAnsi="SimSun" w:eastAsia="SimSun" w:cs="SimSun"/>
          <w:sz w:val="15"/>
          <w:szCs w:val="15"/>
        </w:rPr>
        <w:t>对客户相关信息收集、处理、分析、</w:t>
      </w:r>
    </w:p>
    <w:p>
      <w:pPr>
        <w:ind w:left="2430"/>
        <w:spacing w:before="102" w:line="219" w:lineRule="auto"/>
        <w:rPr>
          <w:rFonts w:ascii="SimSun" w:hAnsi="SimSun" w:eastAsia="SimSun" w:cs="SimSun"/>
          <w:sz w:val="15"/>
          <w:szCs w:val="15"/>
        </w:rPr>
      </w:pPr>
      <w:r>
        <w:rPr>
          <w:rFonts w:ascii="SimSun" w:hAnsi="SimSun" w:eastAsia="SimSun" w:cs="SimSun"/>
          <w:sz w:val="15"/>
          <w:szCs w:val="15"/>
          <w:spacing w:val="-1"/>
        </w:rPr>
        <w:t>加工得到的结果</w:t>
      </w:r>
    </w:p>
    <w:p>
      <w:pPr>
        <w:ind w:left="2590"/>
        <w:spacing w:before="152" w:line="172" w:lineRule="auto"/>
        <w:rPr>
          <w:rFonts w:ascii="SimSun" w:hAnsi="SimSun" w:eastAsia="SimSun" w:cs="SimSun"/>
          <w:sz w:val="15"/>
          <w:szCs w:val="15"/>
        </w:rPr>
      </w:pPr>
      <w:r>
        <w:rPr>
          <w:rFonts w:ascii="SimSun" w:hAnsi="SimSun" w:eastAsia="SimSun" w:cs="SimSun"/>
          <w:sz w:val="15"/>
          <w:szCs w:val="15"/>
          <w:spacing w:val="-1"/>
        </w:rPr>
        <w:t>客户与公司达成的关于购买和使</w:t>
      </w:r>
    </w:p>
    <w:p>
      <w:pPr>
        <w:ind w:left="1430"/>
        <w:spacing w:before="1" w:line="172" w:lineRule="auto"/>
        <w:rPr>
          <w:rFonts w:ascii="SimSun" w:hAnsi="SimSun" w:eastAsia="SimSun" w:cs="SimSun"/>
          <w:sz w:val="15"/>
          <w:szCs w:val="15"/>
        </w:rPr>
      </w:pPr>
      <w:r>
        <w:rPr>
          <w:rFonts w:ascii="SimSun" w:hAnsi="SimSun" w:eastAsia="SimSun" w:cs="SimSun"/>
          <w:sz w:val="15"/>
          <w:szCs w:val="15"/>
          <w:spacing w:val="-2"/>
        </w:rPr>
        <w:t>客户服务</w:t>
      </w:r>
    </w:p>
    <w:p>
      <w:pPr>
        <w:ind w:left="2430"/>
        <w:spacing w:line="219" w:lineRule="auto"/>
        <w:rPr>
          <w:rFonts w:ascii="SimSun" w:hAnsi="SimSun" w:eastAsia="SimSun" w:cs="SimSun"/>
          <w:sz w:val="15"/>
          <w:szCs w:val="15"/>
        </w:rPr>
      </w:pPr>
      <w:r>
        <w:pict>
          <v:shape id="_x0000_s430" style="position:absolute;margin-left:251.502pt;margin-top:-0.986414pt;mso-position-vertical-relative:text;mso-position-horizontal-relative:text;width:31.7pt;height:10.95pt;z-index:2567403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使用记录</w:t>
                  </w:r>
                </w:p>
              </w:txbxContent>
            </v:textbox>
          </v:shape>
        </w:pict>
      </w:r>
      <w:r>
        <w:rPr>
          <w:rFonts w:ascii="SimSun" w:hAnsi="SimSun" w:eastAsia="SimSun" w:cs="SimSun"/>
          <w:sz w:val="15"/>
          <w:szCs w:val="15"/>
          <w:spacing w:val="-1"/>
        </w:rPr>
        <w:t>用产品的权利和义务</w:t>
      </w:r>
    </w:p>
    <w:p>
      <w:pPr>
        <w:ind w:left="5200"/>
        <w:spacing w:before="142" w:line="178" w:lineRule="auto"/>
        <w:rPr>
          <w:rFonts w:ascii="SimSun" w:hAnsi="SimSun" w:eastAsia="SimSun" w:cs="SimSun"/>
          <w:sz w:val="15"/>
          <w:szCs w:val="15"/>
        </w:rPr>
      </w:pPr>
      <w:r>
        <w:rPr>
          <w:rFonts w:ascii="SimSun" w:hAnsi="SimSun" w:eastAsia="SimSun" w:cs="SimSun"/>
          <w:sz w:val="15"/>
          <w:szCs w:val="15"/>
          <w:spacing w:val="-1"/>
        </w:rPr>
        <w:t>欠费数据、催缴处理、账务争议、调</w:t>
      </w:r>
    </w:p>
    <w:p>
      <w:pPr>
        <w:ind w:left="2590"/>
        <w:spacing w:before="1" w:line="172" w:lineRule="auto"/>
        <w:rPr>
          <w:rFonts w:ascii="SimSun" w:hAnsi="SimSun" w:eastAsia="SimSun" w:cs="SimSun"/>
          <w:sz w:val="15"/>
          <w:szCs w:val="15"/>
        </w:rPr>
      </w:pPr>
      <w:r>
        <w:pict>
          <v:shape id="_x0000_s432" style="position:absolute;margin-left:63.0015pt;margin-top:-1.21653pt;mso-position-vertical-relative:text;mso-position-horizontal-relative:text;width:46.65pt;height:25.3pt;z-index:2567301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客户异常账务</w:t>
                  </w:r>
                </w:p>
                <w:p>
                  <w:pPr>
                    <w:ind w:left="319"/>
                    <w:spacing w:before="105" w:line="224" w:lineRule="auto"/>
                    <w:rPr>
                      <w:rFonts w:ascii="SimSun" w:hAnsi="SimSun" w:eastAsia="SimSun" w:cs="SimSun"/>
                      <w:sz w:val="15"/>
                      <w:szCs w:val="15"/>
                    </w:rPr>
                  </w:pPr>
                  <w:r>
                    <w:rPr>
                      <w:rFonts w:ascii="SimSun" w:hAnsi="SimSun" w:eastAsia="SimSun" w:cs="SimSun"/>
                      <w:sz w:val="15"/>
                      <w:szCs w:val="15"/>
                      <w:spacing w:val="-3"/>
                    </w:rPr>
                    <w:t>处理</w:t>
                  </w:r>
                </w:p>
              </w:txbxContent>
            </v:textbox>
          </v:shape>
        </w:pict>
      </w:r>
      <w:r>
        <w:rPr>
          <w:rFonts w:ascii="SimSun" w:hAnsi="SimSun" w:eastAsia="SimSun" w:cs="SimSun"/>
          <w:sz w:val="15"/>
          <w:szCs w:val="15"/>
          <w:spacing w:val="-1"/>
        </w:rPr>
        <w:t>对客户异常账务场景处理及其结</w:t>
      </w:r>
    </w:p>
    <w:p>
      <w:pPr>
        <w:ind w:left="5059"/>
        <w:spacing w:line="172" w:lineRule="auto"/>
        <w:rPr>
          <w:rFonts w:ascii="SimSun" w:hAnsi="SimSun" w:eastAsia="SimSun" w:cs="SimSun"/>
          <w:sz w:val="15"/>
          <w:szCs w:val="15"/>
        </w:rPr>
      </w:pPr>
      <w:r>
        <w:rPr>
          <w:rFonts w:ascii="SimSun" w:hAnsi="SimSun" w:eastAsia="SimSun" w:cs="SimSun"/>
          <w:sz w:val="15"/>
          <w:szCs w:val="15"/>
          <w:spacing w:val="-1"/>
        </w:rPr>
        <w:t>账处理、错单、无主账单、无局向账单、</w:t>
      </w:r>
    </w:p>
    <w:p>
      <w:pPr>
        <w:ind w:left="2430"/>
        <w:spacing w:before="1" w:line="177" w:lineRule="auto"/>
        <w:rPr>
          <w:rFonts w:ascii="SimSun" w:hAnsi="SimSun" w:eastAsia="SimSun" w:cs="SimSun"/>
          <w:sz w:val="15"/>
          <w:szCs w:val="15"/>
        </w:rPr>
      </w:pPr>
      <w:r>
        <w:rPr>
          <w:rFonts w:ascii="SimSun" w:hAnsi="SimSun" w:eastAsia="SimSun" w:cs="SimSun"/>
          <w:sz w:val="15"/>
          <w:szCs w:val="15"/>
        </w:rPr>
        <w:t>果</w:t>
      </w:r>
    </w:p>
    <w:p>
      <w:pPr>
        <w:ind w:left="5040"/>
        <w:spacing w:line="216" w:lineRule="auto"/>
        <w:rPr>
          <w:rFonts w:ascii="SimSun" w:hAnsi="SimSun" w:eastAsia="SimSun" w:cs="SimSun"/>
          <w:sz w:val="15"/>
          <w:szCs w:val="15"/>
        </w:rPr>
      </w:pPr>
      <w:r>
        <w:rPr>
          <w:rFonts w:ascii="SimSun" w:hAnsi="SimSun" w:eastAsia="SimSun" w:cs="SimSun"/>
          <w:sz w:val="15"/>
          <w:szCs w:val="15"/>
          <w:spacing w:val="-1"/>
        </w:rPr>
        <w:t>欺诈报告</w:t>
      </w:r>
    </w:p>
    <w:p>
      <w:pPr>
        <w:ind w:left="5190"/>
        <w:spacing w:before="144" w:line="172" w:lineRule="auto"/>
        <w:rPr>
          <w:rFonts w:ascii="SimSun" w:hAnsi="SimSun" w:eastAsia="SimSun" w:cs="SimSun"/>
          <w:sz w:val="15"/>
          <w:szCs w:val="15"/>
        </w:rPr>
      </w:pPr>
      <w:r>
        <w:pict>
          <v:shape id="_x0000_s434" style="position:absolute;margin-left:120.501pt;margin-top:6.72222pt;mso-position-vertical-relative:text;mso-position-horizontal-relative:text;width:126.85pt;height:24.9pt;z-index:256726016;" filled="false" stroked="false" type="#_x0000_t202">
            <v:fill on="false"/>
            <v:stroke on="false"/>
            <v:path/>
            <v:imagedata o:title=""/>
            <o:lock v:ext="edit" aspectratio="false"/>
            <v:textbox inset="0mm,0mm,0mm,0mm">
              <w:txbxContent>
                <w:p>
                  <w:pPr>
                    <w:ind w:right="17"/>
                    <w:spacing w:before="20" w:line="219" w:lineRule="auto"/>
                    <w:jc w:val="right"/>
                    <w:rPr>
                      <w:rFonts w:ascii="SimSun" w:hAnsi="SimSun" w:eastAsia="SimSun" w:cs="SimSun"/>
                      <w:sz w:val="15"/>
                      <w:szCs w:val="15"/>
                    </w:rPr>
                  </w:pPr>
                  <w:r>
                    <w:rPr>
                      <w:rFonts w:ascii="SimSun" w:hAnsi="SimSun" w:eastAsia="SimSun" w:cs="SimSun"/>
                      <w:sz w:val="15"/>
                      <w:szCs w:val="15"/>
                      <w:spacing w:val="-3"/>
                    </w:rPr>
                    <w:t>客户因购买或使用公司及合作伙伴提</w:t>
                  </w:r>
                </w:p>
                <w:p>
                  <w:pPr>
                    <w:ind w:left="20"/>
                    <w:spacing w:before="100" w:line="219" w:lineRule="auto"/>
                    <w:rPr>
                      <w:rFonts w:ascii="SimSun" w:hAnsi="SimSun" w:eastAsia="SimSun" w:cs="SimSun"/>
                      <w:sz w:val="15"/>
                      <w:szCs w:val="15"/>
                    </w:rPr>
                  </w:pPr>
                  <w:r>
                    <w:rPr>
                      <w:rFonts w:ascii="SimSun" w:hAnsi="SimSun" w:eastAsia="SimSun" w:cs="SimSun"/>
                      <w:sz w:val="15"/>
                      <w:szCs w:val="15"/>
                      <w:spacing w:val="-1"/>
                    </w:rPr>
                    <w:t>供的产品而产生或关联的财务信息</w:t>
                  </w:r>
                </w:p>
              </w:txbxContent>
            </v:textbox>
          </v:shape>
        </w:pict>
      </w:r>
      <w:r>
        <w:rPr>
          <w:rFonts w:ascii="SimSun" w:hAnsi="SimSun" w:eastAsia="SimSun" w:cs="SimSun"/>
          <w:sz w:val="15"/>
          <w:szCs w:val="15"/>
          <w:spacing w:val="-1"/>
        </w:rPr>
        <w:t>基本账户信息、账户关系、账单及其</w:t>
      </w:r>
    </w:p>
    <w:p>
      <w:pPr>
        <w:ind w:left="1430"/>
        <w:spacing w:before="1" w:line="172" w:lineRule="auto"/>
        <w:rPr>
          <w:rFonts w:ascii="SimSun" w:hAnsi="SimSun" w:eastAsia="SimSun" w:cs="SimSun"/>
          <w:sz w:val="15"/>
          <w:szCs w:val="15"/>
        </w:rPr>
      </w:pPr>
      <w:r>
        <w:rPr>
          <w:rFonts w:ascii="SimSun" w:hAnsi="SimSun" w:eastAsia="SimSun" w:cs="SimSun"/>
          <w:sz w:val="15"/>
          <w:szCs w:val="15"/>
          <w:spacing w:val="-2"/>
        </w:rPr>
        <w:t>客户账务</w:t>
      </w:r>
    </w:p>
    <w:p>
      <w:pPr>
        <w:ind w:left="5059"/>
        <w:spacing w:line="219" w:lineRule="auto"/>
        <w:rPr>
          <w:rFonts w:ascii="SimSun" w:hAnsi="SimSun" w:eastAsia="SimSun" w:cs="SimSun"/>
          <w:sz w:val="15"/>
          <w:szCs w:val="15"/>
        </w:rPr>
      </w:pPr>
      <w:r>
        <w:rPr>
          <w:rFonts w:ascii="SimSun" w:hAnsi="SimSun" w:eastAsia="SimSun" w:cs="SimSun"/>
          <w:sz w:val="15"/>
          <w:szCs w:val="15"/>
          <w:spacing w:val="-1"/>
        </w:rPr>
        <w:t>处理、详单、收费处理、发票、押金</w:t>
      </w:r>
    </w:p>
    <w:p>
      <w:pPr>
        <w:ind w:left="540"/>
        <w:spacing w:before="253" w:line="219" w:lineRule="auto"/>
        <w:rPr>
          <w:rFonts w:ascii="SimSun" w:hAnsi="SimSun" w:eastAsia="SimSun" w:cs="SimSun"/>
          <w:sz w:val="16"/>
          <w:szCs w:val="16"/>
        </w:rPr>
      </w:pPr>
      <w:r>
        <w:rPr>
          <w:rFonts w:ascii="Times New Roman" w:hAnsi="Times New Roman" w:eastAsia="Times New Roman" w:cs="Times New Roman"/>
          <w:sz w:val="16"/>
          <w:szCs w:val="16"/>
          <w:spacing w:val="-2"/>
        </w:rPr>
        <w:t>2</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产品主题域</w:t>
      </w:r>
    </w:p>
    <w:p>
      <w:pPr>
        <w:ind w:left="1060"/>
        <w:spacing w:before="259" w:line="219" w:lineRule="auto"/>
        <w:rPr>
          <w:rFonts w:ascii="SimSun" w:hAnsi="SimSun" w:eastAsia="SimSun" w:cs="SimSun"/>
          <w:sz w:val="15"/>
          <w:szCs w:val="15"/>
        </w:rPr>
      </w:pPr>
      <w:r>
        <w:pict>
          <v:shape id="_x0000_s436" style="position:absolute;margin-left:161.503pt;margin-top:11.9919pt;mso-position-vertical-relative:text;mso-position-horizontal-relative:text;width:44.4pt;height:10.95pt;z-index:2567372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5"/>
                    </w:rPr>
                    <w:t>详</w:t>
                  </w:r>
                  <w:r>
                    <w:rPr>
                      <w:rFonts w:ascii="SimSun" w:hAnsi="SimSun" w:eastAsia="SimSun" w:cs="SimSun"/>
                      <w:sz w:val="15"/>
                      <w:szCs w:val="15"/>
                      <w:spacing w:val="16"/>
                    </w:rPr>
                    <w:t xml:space="preserve"> </w:t>
                  </w:r>
                  <w:r>
                    <w:rPr>
                      <w:rFonts w:ascii="SimSun" w:hAnsi="SimSun" w:eastAsia="SimSun" w:cs="SimSun"/>
                      <w:sz w:val="15"/>
                      <w:szCs w:val="15"/>
                      <w:spacing w:val="-5"/>
                    </w:rPr>
                    <w:t>细</w:t>
                  </w:r>
                  <w:r>
                    <w:rPr>
                      <w:rFonts w:ascii="SimSun" w:hAnsi="SimSun" w:eastAsia="SimSun" w:cs="SimSun"/>
                      <w:sz w:val="15"/>
                      <w:szCs w:val="15"/>
                      <w:spacing w:val="15"/>
                    </w:rPr>
                    <w:t xml:space="preserve"> </w:t>
                  </w:r>
                  <w:r>
                    <w:rPr>
                      <w:rFonts w:ascii="SimSun" w:hAnsi="SimSun" w:eastAsia="SimSun" w:cs="SimSun"/>
                      <w:sz w:val="15"/>
                      <w:szCs w:val="15"/>
                      <w:spacing w:val="-5"/>
                    </w:rPr>
                    <w:t>注</w:t>
                  </w:r>
                  <w:r>
                    <w:rPr>
                      <w:rFonts w:ascii="SimSun" w:hAnsi="SimSun" w:eastAsia="SimSun" w:cs="SimSun"/>
                      <w:sz w:val="15"/>
                      <w:szCs w:val="15"/>
                      <w:spacing w:val="15"/>
                    </w:rPr>
                    <w:t xml:space="preserve"> </w:t>
                  </w:r>
                  <w:r>
                    <w:rPr>
                      <w:rFonts w:ascii="SimSun" w:hAnsi="SimSun" w:eastAsia="SimSun" w:cs="SimSun"/>
                      <w:sz w:val="15"/>
                      <w:szCs w:val="15"/>
                      <w:spacing w:val="-5"/>
                    </w:rPr>
                    <w:t>释</w:t>
                  </w:r>
                </w:p>
              </w:txbxContent>
            </v:textbox>
          </v:shape>
        </w:pict>
      </w:r>
      <w:r>
        <w:pict>
          <v:shape id="_x0000_s438" style="position:absolute;margin-left:278.503pt;margin-top:11.9919pt;mso-position-vertical-relative:text;mso-position-horizontal-relative:text;width:80.5pt;height:10.95pt;z-index:2567342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所覆盖的主要实体/数据</w:t>
                  </w:r>
                </w:p>
              </w:txbxContent>
            </v:textbox>
          </v:shape>
        </w:pict>
      </w:r>
      <w:r>
        <w:rPr>
          <w:rFonts w:ascii="SimSun" w:hAnsi="SimSun" w:eastAsia="SimSun" w:cs="SimSun"/>
          <w:sz w:val="15"/>
          <w:szCs w:val="15"/>
          <w:spacing w:val="-5"/>
        </w:rPr>
        <w:t>数</w:t>
      </w:r>
      <w:r>
        <w:rPr>
          <w:rFonts w:ascii="SimSun" w:hAnsi="SimSun" w:eastAsia="SimSun" w:cs="SimSun"/>
          <w:sz w:val="15"/>
          <w:szCs w:val="15"/>
          <w:spacing w:val="14"/>
        </w:rPr>
        <w:t xml:space="preserve"> </w:t>
      </w:r>
      <w:r>
        <w:rPr>
          <w:rFonts w:ascii="SimSun" w:hAnsi="SimSun" w:eastAsia="SimSun" w:cs="SimSun"/>
          <w:sz w:val="15"/>
          <w:szCs w:val="15"/>
          <w:spacing w:val="-5"/>
        </w:rPr>
        <w:t>据</w:t>
      </w:r>
      <w:r>
        <w:rPr>
          <w:rFonts w:ascii="SimSun" w:hAnsi="SimSun" w:eastAsia="SimSun" w:cs="SimSun"/>
          <w:sz w:val="15"/>
          <w:szCs w:val="15"/>
          <w:spacing w:val="17"/>
        </w:rPr>
        <w:t xml:space="preserve"> </w:t>
      </w:r>
      <w:r>
        <w:rPr>
          <w:rFonts w:ascii="SimSun" w:hAnsi="SimSun" w:eastAsia="SimSun" w:cs="SimSun"/>
          <w:sz w:val="15"/>
          <w:szCs w:val="15"/>
          <w:spacing w:val="-5"/>
        </w:rPr>
        <w:t>分</w:t>
      </w:r>
      <w:r>
        <w:rPr>
          <w:rFonts w:ascii="SimSun" w:hAnsi="SimSun" w:eastAsia="SimSun" w:cs="SimSun"/>
          <w:sz w:val="15"/>
          <w:szCs w:val="15"/>
          <w:spacing w:val="15"/>
        </w:rPr>
        <w:t xml:space="preserve"> </w:t>
      </w:r>
      <w:r>
        <w:rPr>
          <w:rFonts w:ascii="SimSun" w:hAnsi="SimSun" w:eastAsia="SimSun" w:cs="SimSun"/>
          <w:sz w:val="15"/>
          <w:szCs w:val="15"/>
          <w:spacing w:val="-5"/>
        </w:rPr>
        <w:t>类</w:t>
      </w:r>
    </w:p>
    <w:p>
      <w:pPr>
        <w:ind w:left="2620"/>
        <w:spacing w:before="153" w:line="219" w:lineRule="auto"/>
        <w:rPr>
          <w:rFonts w:ascii="SimSun" w:hAnsi="SimSun" w:eastAsia="SimSun" w:cs="SimSun"/>
          <w:sz w:val="15"/>
          <w:szCs w:val="15"/>
        </w:rPr>
      </w:pPr>
      <w:r>
        <w:rPr>
          <w:rFonts w:ascii="SimSun" w:hAnsi="SimSun" w:eastAsia="SimSun" w:cs="SimSun"/>
          <w:sz w:val="15"/>
          <w:szCs w:val="15"/>
          <w:spacing w:val="-1"/>
        </w:rPr>
        <w:t>业务实例就是客户购买或使用产</w:t>
      </w:r>
    </w:p>
    <w:p>
      <w:pPr>
        <w:ind w:left="1470"/>
        <w:spacing w:before="212" w:line="219" w:lineRule="auto"/>
        <w:rPr>
          <w:rFonts w:ascii="SimSun" w:hAnsi="SimSun" w:eastAsia="SimSun" w:cs="SimSun"/>
          <w:sz w:val="15"/>
          <w:szCs w:val="15"/>
        </w:rPr>
      </w:pPr>
      <w:r>
        <w:pict>
          <v:shape id="_x0000_s440" style="position:absolute;margin-left:122.501pt;margin-top:3.58112pt;mso-position-vertical-relative:text;mso-position-horizontal-relative:text;width:122.55pt;height:23.45pt;z-index:256727040;" filled="false" stroked="false" type="#_x0000_t202">
            <v:fill on="false"/>
            <v:stroke on="false"/>
            <v:path/>
            <v:imagedata o:title=""/>
            <o:lock v:ext="edit" aspectratio="false"/>
            <v:textbox inset="0mm,0mm,0mm,0mm">
              <w:txbxContent>
                <w:p>
                  <w:pPr>
                    <w:ind w:left="20" w:right="20"/>
                    <w:spacing w:before="19" w:line="264" w:lineRule="auto"/>
                    <w:rPr>
                      <w:rFonts w:ascii="SimSun" w:hAnsi="SimSun" w:eastAsia="SimSun" w:cs="SimSun"/>
                      <w:sz w:val="15"/>
                      <w:szCs w:val="15"/>
                    </w:rPr>
                  </w:pPr>
                  <w:r>
                    <w:rPr>
                      <w:rFonts w:ascii="SimSun" w:hAnsi="SimSun" w:eastAsia="SimSun" w:cs="SimSun"/>
                      <w:sz w:val="15"/>
                      <w:szCs w:val="15"/>
                    </w:rPr>
                    <w:t>品后，电信运营商提供相应的业务资</w:t>
                  </w:r>
                  <w:r>
                    <w:rPr>
                      <w:rFonts w:ascii="SimSun" w:hAnsi="SimSun" w:eastAsia="SimSun" w:cs="SimSun"/>
                      <w:sz w:val="15"/>
                      <w:szCs w:val="15"/>
                      <w:spacing w:val="9"/>
                    </w:rPr>
                    <w:t xml:space="preserve"> </w:t>
                  </w:r>
                  <w:r>
                    <w:rPr>
                      <w:rFonts w:ascii="SimSun" w:hAnsi="SimSun" w:eastAsia="SimSun" w:cs="SimSun"/>
                      <w:sz w:val="15"/>
                      <w:szCs w:val="15"/>
                      <w:spacing w:val="-1"/>
                    </w:rPr>
                    <w:t>源支撑，业务开通后形成的实例。客</w:t>
                  </w:r>
                </w:p>
              </w:txbxContent>
            </v:textbox>
          </v:shape>
        </w:pict>
      </w:r>
      <w:r>
        <w:pict>
          <v:shape id="_x0000_s442" style="position:absolute;margin-left:262pt;margin-top:9.60012pt;mso-position-vertical-relative:text;mso-position-horizontal-relative:text;width:31.75pt;height:10.95pt;z-index:2567393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业务实例</w:t>
                  </w:r>
                </w:p>
              </w:txbxContent>
            </v:textbox>
          </v:shape>
        </w:pict>
      </w:r>
      <w:r>
        <w:rPr>
          <w:rFonts w:ascii="SimSun" w:hAnsi="SimSun" w:eastAsia="SimSun" w:cs="SimSun"/>
          <w:sz w:val="15"/>
          <w:szCs w:val="15"/>
          <w:spacing w:val="-1"/>
        </w:rPr>
        <w:t>业务实例</w:t>
      </w:r>
    </w:p>
    <w:p>
      <w:pPr>
        <w:ind w:left="2550"/>
        <w:spacing w:before="222" w:line="219" w:lineRule="auto"/>
        <w:rPr>
          <w:rFonts w:ascii="SimSun" w:hAnsi="SimSun" w:eastAsia="SimSun" w:cs="SimSun"/>
          <w:sz w:val="15"/>
          <w:szCs w:val="15"/>
        </w:rPr>
      </w:pPr>
      <w:r>
        <w:rPr>
          <w:rFonts w:ascii="SimSun" w:hAnsi="SimSun" w:eastAsia="SimSun" w:cs="SimSun"/>
          <w:sz w:val="15"/>
          <w:szCs w:val="15"/>
          <w:spacing w:val="-1"/>
        </w:rPr>
        <w:t>户可以通过该实例获得相应的功能</w:t>
      </w:r>
    </w:p>
    <w:p>
      <w:pPr>
        <w:ind w:left="2620"/>
        <w:spacing w:before="112" w:line="219" w:lineRule="auto"/>
        <w:rPr>
          <w:rFonts w:ascii="SimSun" w:hAnsi="SimSun" w:eastAsia="SimSun" w:cs="SimSun"/>
          <w:sz w:val="15"/>
          <w:szCs w:val="15"/>
        </w:rPr>
      </w:pPr>
      <w:r>
        <w:rPr>
          <w:rFonts w:ascii="SimSun" w:hAnsi="SimSun" w:eastAsia="SimSun" w:cs="SimSun"/>
          <w:sz w:val="15"/>
          <w:szCs w:val="15"/>
          <w:spacing w:val="-1"/>
        </w:rPr>
        <w:t>业务是指公司利用自身或者第三</w:t>
      </w:r>
    </w:p>
    <w:p>
      <w:pPr>
        <w:ind w:left="2470"/>
        <w:spacing w:before="90" w:line="251" w:lineRule="exact"/>
        <w:rPr>
          <w:rFonts w:ascii="SimSun" w:hAnsi="SimSun" w:eastAsia="SimSun" w:cs="SimSun"/>
          <w:sz w:val="15"/>
          <w:szCs w:val="15"/>
        </w:rPr>
      </w:pPr>
      <w:r>
        <w:pict>
          <v:shape id="_x0000_s444" style="position:absolute;margin-left:34.9989pt;margin-top:-2.90898pt;mso-position-vertical-relative:text;mso-position-horizontal-relative:text;width:17.8pt;height:10.95pt;z-index:2567434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7"/>
                    </w:rPr>
                    <w:t>产品</w:t>
                  </w:r>
                </w:p>
              </w:txbxContent>
            </v:textbox>
          </v:shape>
        </w:pict>
      </w:r>
      <w:r>
        <w:pict>
          <v:shape id="_x0000_s446" style="position:absolute;margin-left:253.502pt;margin-top:-2.93147pt;mso-position-vertical-relative:text;mso-position-horizontal-relative:text;width:136.65pt;height:71.65pt;z-index:256723968;" filled="false" stroked="false" type="#_x0000_t202">
            <v:fill on="false"/>
            <v:stroke on="false"/>
            <v:path/>
            <v:imagedata o:title=""/>
            <o:lock v:ext="edit" aspectratio="false"/>
            <v:textbox inset="0mm,0mm,0mm,0mm">
              <w:txbxContent>
                <w:p>
                  <w:pPr>
                    <w:ind w:left="29" w:right="20" w:firstLine="160"/>
                    <w:spacing w:before="19" w:line="264" w:lineRule="auto"/>
                    <w:rPr>
                      <w:rFonts w:ascii="SimSun" w:hAnsi="SimSun" w:eastAsia="SimSun" w:cs="SimSun"/>
                      <w:sz w:val="15"/>
                      <w:szCs w:val="15"/>
                    </w:rPr>
                  </w:pPr>
                  <w:r>
                    <w:rPr>
                      <w:rFonts w:ascii="SimSun" w:hAnsi="SimSun" w:eastAsia="SimSun" w:cs="SimSun"/>
                      <w:sz w:val="15"/>
                      <w:szCs w:val="15"/>
                      <w:spacing w:val="-2"/>
                    </w:rPr>
                    <w:t>业务基本信息、业务成本、业务关系、</w:t>
                  </w:r>
                  <w:r>
                    <w:rPr>
                      <w:rFonts w:ascii="SimSun" w:hAnsi="SimSun" w:eastAsia="SimSun" w:cs="SimSun"/>
                      <w:sz w:val="15"/>
                      <w:szCs w:val="15"/>
                      <w:spacing w:val="5"/>
                    </w:rPr>
                    <w:t xml:space="preserve"> </w:t>
                  </w:r>
                  <w:r>
                    <w:rPr>
                      <w:rFonts w:ascii="SimSun" w:hAnsi="SimSun" w:eastAsia="SimSun" w:cs="SimSun"/>
                      <w:sz w:val="15"/>
                      <w:szCs w:val="15"/>
                      <w:spacing w:val="-1"/>
                    </w:rPr>
                    <w:t>业务特征</w:t>
                  </w:r>
                </w:p>
                <w:p>
                  <w:pPr>
                    <w:ind w:left="20" w:right="20" w:firstLine="169"/>
                    <w:spacing w:before="271" w:line="284" w:lineRule="auto"/>
                    <w:jc w:val="both"/>
                    <w:rPr>
                      <w:rFonts w:ascii="SimSun" w:hAnsi="SimSun" w:eastAsia="SimSun" w:cs="SimSun"/>
                      <w:sz w:val="15"/>
                      <w:szCs w:val="15"/>
                    </w:rPr>
                  </w:pPr>
                  <w:r>
                    <w:rPr>
                      <w:rFonts w:ascii="SimSun" w:hAnsi="SimSun" w:eastAsia="SimSun" w:cs="SimSun"/>
                      <w:sz w:val="15"/>
                      <w:szCs w:val="15"/>
                      <w:spacing w:val="-2"/>
                    </w:rPr>
                    <w:t>业务/产品战略、业务/产品组合管理、</w:t>
                  </w:r>
                  <w:r>
                    <w:rPr>
                      <w:rFonts w:ascii="SimSun" w:hAnsi="SimSun" w:eastAsia="SimSun" w:cs="SimSun"/>
                      <w:sz w:val="15"/>
                      <w:szCs w:val="15"/>
                      <w:spacing w:val="7"/>
                    </w:rPr>
                    <w:t xml:space="preserve"> </w:t>
                  </w:r>
                  <w:r>
                    <w:rPr>
                      <w:rFonts w:ascii="SimSun" w:hAnsi="SimSun" w:eastAsia="SimSun" w:cs="SimSun"/>
                      <w:sz w:val="15"/>
                      <w:szCs w:val="15"/>
                      <w:spacing w:val="2"/>
                    </w:rPr>
                    <w:t>业务/产品生命周期管理、业务/产品目</w:t>
                  </w:r>
                  <w:r>
                    <w:rPr>
                      <w:rFonts w:ascii="SimSun" w:hAnsi="SimSun" w:eastAsia="SimSun" w:cs="SimSun"/>
                      <w:sz w:val="15"/>
                      <w:szCs w:val="15"/>
                      <w:spacing w:val="5"/>
                    </w:rPr>
                    <w:t xml:space="preserve">  </w:t>
                  </w:r>
                  <w:r>
                    <w:rPr>
                      <w:rFonts w:ascii="SimSun" w:hAnsi="SimSun" w:eastAsia="SimSun" w:cs="SimSun"/>
                      <w:sz w:val="15"/>
                      <w:szCs w:val="15"/>
                    </w:rPr>
                    <w:t>录</w:t>
                  </w:r>
                </w:p>
              </w:txbxContent>
            </v:textbox>
          </v:shape>
        </w:pict>
      </w:r>
      <w:r>
        <w:pict>
          <v:shape id="_x0000_s448" style="position:absolute;margin-left:80.0009pt;margin-top:3.59003pt;mso-position-vertical-relative:text;mso-position-horizontal-relative:text;width:16.75pt;height:10.95pt;z-index:2567444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业务</w:t>
                  </w:r>
                </w:p>
              </w:txbxContent>
            </v:textbox>
          </v:shape>
        </w:pict>
      </w:r>
      <w:r>
        <w:rPr>
          <w:rFonts w:ascii="SimSun" w:hAnsi="SimSun" w:eastAsia="SimSun" w:cs="SimSun"/>
          <w:sz w:val="15"/>
          <w:szCs w:val="15"/>
          <w:spacing w:val="-1"/>
          <w:position w:val="7"/>
        </w:rPr>
        <w:t>方资源，为客户提供具有市场价值的</w:t>
      </w:r>
    </w:p>
    <w:p>
      <w:pPr>
        <w:ind w:left="2480"/>
        <w:spacing w:line="218" w:lineRule="auto"/>
        <w:rPr>
          <w:rFonts w:ascii="SimSun" w:hAnsi="SimSun" w:eastAsia="SimSun" w:cs="SimSun"/>
          <w:sz w:val="15"/>
          <w:szCs w:val="15"/>
        </w:rPr>
      </w:pPr>
      <w:r>
        <w:rPr>
          <w:rFonts w:ascii="SimSun" w:hAnsi="SimSun" w:eastAsia="SimSun" w:cs="SimSun"/>
          <w:sz w:val="15"/>
          <w:szCs w:val="15"/>
          <w:spacing w:val="-2"/>
        </w:rPr>
        <w:t>基本元素</w:t>
      </w:r>
    </w:p>
    <w:p>
      <w:pPr>
        <w:ind w:left="2580"/>
        <w:spacing w:before="133" w:line="260" w:lineRule="exact"/>
        <w:rPr>
          <w:rFonts w:ascii="SimSun" w:hAnsi="SimSun" w:eastAsia="SimSun" w:cs="SimSun"/>
          <w:sz w:val="15"/>
          <w:szCs w:val="15"/>
        </w:rPr>
      </w:pPr>
      <w:r>
        <w:pict>
          <v:shape id="_x0000_s450" style="position:absolute;margin-left:69.002pt;margin-top:12.1441pt;mso-position-vertical-relative:text;mso-position-horizontal-relative:text;width:39.25pt;height:23.55pt;z-index:256733184;" filled="false" stroked="false" type="#_x0000_t202">
            <v:fill on="false"/>
            <v:stroke on="false"/>
            <v:path/>
            <v:imagedata o:title=""/>
            <o:lock v:ext="edit" aspectratio="false"/>
            <v:textbox inset="0mm,0mm,0mm,0mm">
              <w:txbxContent>
                <w:p>
                  <w:pPr>
                    <w:ind w:left="238" w:right="20" w:hanging="219"/>
                    <w:spacing w:before="19" w:line="265" w:lineRule="auto"/>
                    <w:rPr>
                      <w:rFonts w:ascii="SimSun" w:hAnsi="SimSun" w:eastAsia="SimSun" w:cs="SimSun"/>
                      <w:sz w:val="15"/>
                      <w:szCs w:val="15"/>
                    </w:rPr>
                  </w:pPr>
                  <w:r>
                    <w:rPr>
                      <w:rFonts w:ascii="SimSun" w:hAnsi="SimSun" w:eastAsia="SimSun" w:cs="SimSun"/>
                      <w:sz w:val="15"/>
                      <w:szCs w:val="15"/>
                      <w:spacing w:val="-2"/>
                    </w:rPr>
                    <w:t>产品战略与</w:t>
                  </w:r>
                  <w:r>
                    <w:rPr>
                      <w:rFonts w:ascii="SimSun" w:hAnsi="SimSun" w:eastAsia="SimSun" w:cs="SimSun"/>
                      <w:sz w:val="15"/>
                      <w:szCs w:val="15"/>
                      <w:spacing w:val="3"/>
                    </w:rPr>
                    <w:t xml:space="preserve"> </w:t>
                  </w:r>
                  <w:r>
                    <w:rPr>
                      <w:rFonts w:ascii="SimSun" w:hAnsi="SimSun" w:eastAsia="SimSun" w:cs="SimSun"/>
                      <w:sz w:val="15"/>
                      <w:szCs w:val="15"/>
                      <w:spacing w:val="-2"/>
                    </w:rPr>
                    <w:t>计划</w:t>
                  </w:r>
                </w:p>
              </w:txbxContent>
            </v:textbox>
          </v:shape>
        </w:pict>
      </w:r>
      <w:r>
        <w:rPr>
          <w:rFonts w:ascii="SimSun" w:hAnsi="SimSun" w:eastAsia="SimSun" w:cs="SimSun"/>
          <w:sz w:val="15"/>
          <w:szCs w:val="15"/>
          <w:spacing w:val="-1"/>
          <w:position w:val="8"/>
        </w:rPr>
        <w:t>它是指向每个细分市场提供产品/</w:t>
      </w:r>
    </w:p>
    <w:p>
      <w:pPr>
        <w:ind w:left="2510"/>
        <w:spacing w:before="1" w:line="219" w:lineRule="auto"/>
        <w:rPr>
          <w:rFonts w:ascii="SimSun" w:hAnsi="SimSun" w:eastAsia="SimSun" w:cs="SimSun"/>
          <w:sz w:val="15"/>
          <w:szCs w:val="15"/>
        </w:rPr>
      </w:pPr>
      <w:r>
        <w:rPr>
          <w:rFonts w:ascii="SimSun" w:hAnsi="SimSun" w:eastAsia="SimSun" w:cs="SimSun"/>
          <w:sz w:val="15"/>
          <w:szCs w:val="15"/>
          <w:spacing w:val="-1"/>
        </w:rPr>
        <w:t>业务的计划，开发和部署产品/业务</w:t>
      </w:r>
    </w:p>
    <w:p>
      <w:pPr>
        <w:ind w:left="2510"/>
        <w:spacing w:before="82" w:line="219" w:lineRule="auto"/>
        <w:rPr>
          <w:rFonts w:ascii="SimSun" w:hAnsi="SimSun" w:eastAsia="SimSun" w:cs="SimSun"/>
          <w:sz w:val="15"/>
          <w:szCs w:val="15"/>
        </w:rPr>
      </w:pPr>
      <w:r>
        <w:rPr>
          <w:rFonts w:ascii="SimSun" w:hAnsi="SimSun" w:eastAsia="SimSun" w:cs="SimSun"/>
          <w:sz w:val="15"/>
          <w:szCs w:val="15"/>
        </w:rPr>
        <w:t>的计划，以及产品/业务淘汰的计划</w:t>
      </w:r>
    </w:p>
    <w:p>
      <w:pPr>
        <w:spacing w:line="219" w:lineRule="auto"/>
        <w:sectPr>
          <w:footerReference w:type="default" r:id="rId376"/>
          <w:pgSz w:w="8870" w:h="13400"/>
          <w:pgMar w:top="400" w:right="310" w:bottom="534" w:left="569" w:header="0" w:footer="316" w:gutter="0"/>
        </w:sectPr>
        <w:rPr>
          <w:rFonts w:ascii="SimSun" w:hAnsi="SimSun" w:eastAsia="SimSun" w:cs="SimSun"/>
          <w:sz w:val="15"/>
          <w:szCs w:val="15"/>
        </w:rPr>
      </w:pPr>
    </w:p>
    <w:p>
      <w:pPr>
        <w:ind w:left="5563"/>
        <w:spacing w:before="214" w:line="219" w:lineRule="auto"/>
        <w:rPr>
          <w:rFonts w:ascii="SimSun" w:hAnsi="SimSun" w:eastAsia="SimSun" w:cs="SimSun"/>
          <w:sz w:val="24"/>
          <w:szCs w:val="24"/>
        </w:rPr>
      </w:pPr>
      <w:r>
        <w:pict>
          <v:rect id="_x0000_s452" style="position:absolute;margin-left:413.001pt;margin-top:27.9993pt;mso-position-vertical-relative:page;mso-position-horizontal-relative:page;width:0.55pt;height:17.55pt;z-index:256747520;" o:allowincell="f" fillcolor="#000000" filled="true" stroked="false"/>
        </w:pict>
      </w:r>
      <w:r>
        <mc:AlternateContent xmlns:mc="http://schemas.openxmlformats.org/markup-compatibility/2006">
          <mc:Choice Requires="wps">
            <w:drawing>
              <wp:anchor distT="0" distB="0" distL="0" distR="0" simplePos="0" relativeHeight="256746496" behindDoc="1" locked="0" layoutInCell="0" allowOverlap="1">
                <wp:simplePos x="0" y="0"/>
                <wp:positionH relativeFrom="page">
                  <wp:posOffset>317501</wp:posOffset>
                </wp:positionH>
                <wp:positionV relativeFrom="page">
                  <wp:posOffset>7346925</wp:posOffset>
                </wp:positionV>
                <wp:extent cx="4902834" cy="6985"/>
                <wp:effectExtent l="0" t="0" r="0" b="0"/>
                <wp:wrapNone/>
                <wp:docPr id="256" name="Rect 256"/>
                <wp:cNvGraphicFramePr/>
                <a:graphic>
                  <a:graphicData uri="http://schemas.microsoft.com/office/word/2010/wordprocessingShape">
                    <wps:wsp>
                      <wps:cNvPr id="256" name="Rect 256"/>
                      <wps:cNvSpPr/>
                      <wps:spPr>
                        <a:xfrm>
                          <a:off x="317501" y="7346925"/>
                          <a:ext cx="4902834" cy="698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4" style="position:absolute;margin-left:25.0001pt;margin-top:578.498pt;mso-position-vertical-relative:page;mso-position-horizontal-relative:page;width:386.05pt;height:0.55pt;z-index:-246569984;" o:allowincell="f" fillcolor="#000000" filled="true" stroked="false"/>
            </w:pict>
          </mc:Fallback>
        </mc:AlternateContent>
      </w:r>
      <w:r>
        <w:rPr>
          <w:rFonts w:ascii="SimSun" w:hAnsi="SimSun" w:eastAsia="SimSun" w:cs="SimSun"/>
          <w:sz w:val="24"/>
          <w:szCs w:val="24"/>
          <w:b/>
          <w:bCs/>
          <w:spacing w:val="-13"/>
        </w:rPr>
        <w:t>第8章■云端数据架构</w:t>
      </w:r>
    </w:p>
    <w:p>
      <w:pPr>
        <w:pStyle w:val="BodyText"/>
        <w:spacing w:line="252" w:lineRule="auto"/>
        <w:rPr/>
      </w:pPr>
      <w:r/>
    </w:p>
    <w:p>
      <w:pPr>
        <w:ind w:left="6969"/>
        <w:spacing w:before="65" w:line="195" w:lineRule="auto"/>
        <w:rPr>
          <w:rFonts w:ascii="SimHei" w:hAnsi="SimHei" w:eastAsia="SimHei" w:cs="SimHei"/>
          <w:sz w:val="20"/>
          <w:szCs w:val="20"/>
        </w:rPr>
      </w:pPr>
      <w:r>
        <w:rPr>
          <w:rFonts w:ascii="SimHei" w:hAnsi="SimHei" w:eastAsia="SimHei" w:cs="SimHei"/>
          <w:sz w:val="20"/>
          <w:szCs w:val="20"/>
          <w:spacing w:val="-2"/>
        </w:rPr>
        <w:t>续表</w:t>
      </w:r>
    </w:p>
    <w:tbl>
      <w:tblPr>
        <w:tblStyle w:val="TableNormal"/>
        <w:tblW w:w="7719" w:type="dxa"/>
        <w:tblInd w:w="10" w:type="dxa"/>
        <w:tblLayout w:type="fixed"/>
        <w:tblBorders>
          <w:left w:val="single" w:color="000000" w:sz="8" w:space="0"/>
          <w:right w:val="single" w:color="000000" w:sz="8" w:space="0"/>
          <w:top w:val="single" w:color="000000" w:sz="4" w:space="0"/>
        </w:tblBorders>
      </w:tblPr>
      <w:tblGrid>
        <w:gridCol w:w="7719"/>
      </w:tblGrid>
      <w:tr>
        <w:trPr>
          <w:trHeight w:val="10169" w:hRule="atLeast"/>
        </w:trPr>
        <w:tc>
          <w:tcPr>
            <w:tcW w:w="7719" w:type="dxa"/>
            <w:vAlign w:val="top"/>
          </w:tcPr>
          <w:p>
            <w:pPr>
              <w:pStyle w:val="TableText"/>
              <w:ind w:left="6819"/>
              <w:spacing w:before="166" w:line="219" w:lineRule="auto"/>
              <w:rPr/>
            </w:pPr>
            <w:r>
              <w:rPr>
                <w:spacing w:val="-2"/>
              </w:rPr>
              <w:t>续表</w:t>
            </w:r>
          </w:p>
          <w:tbl>
            <w:tblPr>
              <w:tblStyle w:val="TableNormal"/>
              <w:tblW w:w="7159"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4"/>
              <w:gridCol w:w="1188"/>
              <w:gridCol w:w="2606"/>
              <w:gridCol w:w="2761"/>
            </w:tblGrid>
            <w:tr>
              <w:trPr>
                <w:trHeight w:val="343" w:hRule="atLeast"/>
              </w:trPr>
              <w:tc>
                <w:tcPr>
                  <w:tcW w:w="1792" w:type="dxa"/>
                  <w:vAlign w:val="top"/>
                  <w:gridSpan w:val="2"/>
                </w:tcPr>
                <w:p>
                  <w:pPr>
                    <w:pStyle w:val="TableText"/>
                    <w:ind w:left="484"/>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606" w:type="dxa"/>
                  <w:vAlign w:val="top"/>
                </w:tcPr>
                <w:p>
                  <w:pPr>
                    <w:pStyle w:val="TableText"/>
                    <w:ind w:left="893"/>
                    <w:spacing w:before="10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61" w:type="dxa"/>
                  <w:vAlign w:val="top"/>
                </w:tcPr>
                <w:p>
                  <w:pPr>
                    <w:pStyle w:val="TableText"/>
                    <w:ind w:left="616"/>
                    <w:spacing w:before="101" w:line="219" w:lineRule="auto"/>
                    <w:rPr/>
                  </w:pPr>
                  <w:r>
                    <w:rPr>
                      <w:spacing w:val="-1"/>
                    </w:rPr>
                    <w:t>所覆盖的主要实体/数据</w:t>
                  </w:r>
                </w:p>
              </w:tc>
            </w:tr>
            <w:tr>
              <w:trPr>
                <w:trHeight w:val="1165" w:hRule="atLeast"/>
              </w:trPr>
              <w:tc>
                <w:tcPr>
                  <w:tcW w:w="604" w:type="dxa"/>
                  <w:vAlign w:val="top"/>
                  <w:vMerge w:val="restart"/>
                  <w:tcBorders>
                    <w:bottom w:val="nil"/>
                  </w:tcBorders>
                </w:tcPr>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pStyle w:val="TableText"/>
                    <w:ind w:left="134"/>
                    <w:spacing w:before="49" w:line="219" w:lineRule="auto"/>
                    <w:rPr/>
                  </w:pPr>
                  <w:r>
                    <w:rPr>
                      <w:spacing w:val="7"/>
                    </w:rPr>
                    <w:t>产品</w:t>
                  </w:r>
                </w:p>
              </w:tc>
              <w:tc>
                <w:tcPr>
                  <w:tcW w:w="1188" w:type="dxa"/>
                  <w:vAlign w:val="top"/>
                </w:tcPr>
                <w:p>
                  <w:pPr>
                    <w:spacing w:line="456" w:lineRule="auto"/>
                    <w:rPr>
                      <w:rFonts w:ascii="Arial"/>
                      <w:sz w:val="21"/>
                    </w:rPr>
                  </w:pPr>
                  <w:r/>
                </w:p>
                <w:p>
                  <w:pPr>
                    <w:pStyle w:val="TableText"/>
                    <w:ind w:left="431"/>
                    <w:spacing w:before="49" w:line="219" w:lineRule="auto"/>
                    <w:rPr/>
                  </w:pPr>
                  <w:r>
                    <w:rPr>
                      <w:spacing w:val="7"/>
                    </w:rPr>
                    <w:t>产品</w:t>
                  </w:r>
                </w:p>
              </w:tc>
              <w:tc>
                <w:tcPr>
                  <w:tcW w:w="2606" w:type="dxa"/>
                  <w:vAlign w:val="top"/>
                </w:tcPr>
                <w:p>
                  <w:pPr>
                    <w:pStyle w:val="TableText"/>
                    <w:ind w:left="112" w:right="17" w:firstLine="139"/>
                    <w:spacing w:before="108" w:line="313" w:lineRule="auto"/>
                    <w:jc w:val="both"/>
                    <w:rPr/>
                  </w:pPr>
                  <w:r>
                    <w:rPr>
                      <w:spacing w:val="5"/>
                    </w:rPr>
                    <w:t>产品是公司针对不同的营销渠道、</w:t>
                  </w:r>
                  <w:r>
                    <w:rPr/>
                    <w:t xml:space="preserve"> </w:t>
                  </w:r>
                  <w:r>
                    <w:rPr>
                      <w:spacing w:val="-1"/>
                    </w:rPr>
                    <w:t>客户细分、地域细分和销售目标，对</w:t>
                  </w:r>
                  <w:r>
                    <w:rPr>
                      <w:spacing w:val="3"/>
                    </w:rPr>
                    <w:t xml:space="preserve">  </w:t>
                  </w:r>
                  <w:r>
                    <w:rPr>
                      <w:spacing w:val="-1"/>
                    </w:rPr>
                    <w:t>业务、资费计划进行必要的组合、包</w:t>
                  </w:r>
                  <w:r>
                    <w:rPr>
                      <w:spacing w:val="4"/>
                    </w:rPr>
                    <w:t xml:space="preserve">  </w:t>
                  </w:r>
                  <w:r>
                    <w:rPr/>
                    <w:t>装后的产物</w:t>
                  </w:r>
                </w:p>
              </w:tc>
              <w:tc>
                <w:tcPr>
                  <w:tcW w:w="2761" w:type="dxa"/>
                  <w:vAlign w:val="top"/>
                </w:tcPr>
                <w:p>
                  <w:pPr>
                    <w:spacing w:line="327" w:lineRule="auto"/>
                    <w:rPr>
                      <w:rFonts w:ascii="Arial"/>
                      <w:sz w:val="21"/>
                    </w:rPr>
                  </w:pPr>
                  <w:r/>
                </w:p>
                <w:p>
                  <w:pPr>
                    <w:pStyle w:val="TableText"/>
                    <w:ind w:left="126" w:firstLine="156"/>
                    <w:spacing w:before="48" w:line="282" w:lineRule="auto"/>
                    <w:rPr/>
                  </w:pPr>
                  <w:r>
                    <w:rPr>
                      <w:spacing w:val="-5"/>
                    </w:rPr>
                    <w:t>产品基本信息、产品特征、产品关系、</w:t>
                  </w:r>
                  <w:r>
                    <w:rPr>
                      <w:spacing w:val="1"/>
                    </w:rPr>
                    <w:t xml:space="preserve"> </w:t>
                  </w:r>
                  <w:r>
                    <w:rPr>
                      <w:spacing w:val="-2"/>
                    </w:rPr>
                    <w:t>资费计划、产品优惠</w:t>
                  </w:r>
                </w:p>
              </w:tc>
            </w:tr>
            <w:tr>
              <w:trPr>
                <w:trHeight w:val="582" w:hRule="atLeast"/>
              </w:trPr>
              <w:tc>
                <w:tcPr>
                  <w:tcW w:w="604" w:type="dxa"/>
                  <w:vAlign w:val="top"/>
                  <w:vMerge w:val="continue"/>
                  <w:tcBorders>
                    <w:top w:val="nil"/>
                  </w:tcBorders>
                </w:tcPr>
                <w:p>
                  <w:pPr>
                    <w:rPr>
                      <w:rFonts w:ascii="Arial"/>
                      <w:sz w:val="21"/>
                    </w:rPr>
                  </w:pPr>
                  <w:r/>
                </w:p>
              </w:tc>
              <w:tc>
                <w:tcPr>
                  <w:tcW w:w="1188" w:type="dxa"/>
                  <w:vAlign w:val="top"/>
                </w:tcPr>
                <w:p>
                  <w:pPr>
                    <w:pStyle w:val="TableText"/>
                    <w:ind w:left="430" w:right="222" w:hanging="220"/>
                    <w:spacing w:before="91" w:line="272" w:lineRule="auto"/>
                    <w:rPr/>
                  </w:pPr>
                  <w:r>
                    <w:rPr>
                      <w:spacing w:val="-2"/>
                    </w:rPr>
                    <w:t>产品评估和</w:t>
                  </w:r>
                  <w:r>
                    <w:rPr>
                      <w:spacing w:val="3"/>
                    </w:rPr>
                    <w:t xml:space="preserve"> </w:t>
                  </w:r>
                  <w:r>
                    <w:rPr>
                      <w:spacing w:val="-3"/>
                    </w:rPr>
                    <w:t>统计</w:t>
                  </w:r>
                </w:p>
              </w:tc>
              <w:tc>
                <w:tcPr>
                  <w:tcW w:w="2606" w:type="dxa"/>
                  <w:vAlign w:val="top"/>
                </w:tcPr>
                <w:p>
                  <w:pPr>
                    <w:pStyle w:val="TableText"/>
                    <w:ind w:left="123" w:firstLine="136"/>
                    <w:spacing w:before="102" w:line="276" w:lineRule="auto"/>
                    <w:rPr/>
                  </w:pPr>
                  <w:r>
                    <w:rPr/>
                    <w:t>对业务/产品相关信息收集、处理、</w:t>
                  </w:r>
                  <w:r>
                    <w:rPr>
                      <w:spacing w:val="10"/>
                    </w:rPr>
                    <w:t xml:space="preserve"> </w:t>
                  </w:r>
                  <w:r>
                    <w:rPr>
                      <w:spacing w:val="-4"/>
                    </w:rPr>
                    <w:t>分析、加工得到的结果</w:t>
                  </w:r>
                </w:p>
              </w:tc>
              <w:tc>
                <w:tcPr>
                  <w:tcW w:w="2761" w:type="dxa"/>
                  <w:vAlign w:val="top"/>
                </w:tcPr>
                <w:p>
                  <w:pPr>
                    <w:pStyle w:val="TableText"/>
                    <w:ind w:left="126" w:firstLine="146"/>
                    <w:spacing w:before="93" w:line="275" w:lineRule="auto"/>
                    <w:rPr/>
                  </w:pPr>
                  <w:r>
                    <w:rPr/>
                    <w:t>业务/产品的用户统计、使用量统计、</w:t>
                  </w:r>
                  <w:r>
                    <w:rPr>
                      <w:spacing w:val="1"/>
                    </w:rPr>
                    <w:t xml:space="preserve"> </w:t>
                  </w:r>
                  <w:r>
                    <w:rPr>
                      <w:spacing w:val="-5"/>
                    </w:rPr>
                    <w:t>成本收益分析、产品域汇总数据</w:t>
                  </w:r>
                </w:p>
              </w:tc>
            </w:tr>
          </w:tbl>
          <w:p>
            <w:pPr>
              <w:pStyle w:val="TableText"/>
              <w:ind w:left="269"/>
              <w:spacing w:before="191" w:line="219" w:lineRule="auto"/>
              <w:rPr>
                <w:sz w:val="16"/>
                <w:szCs w:val="16"/>
              </w:rPr>
            </w:pPr>
            <w:r>
              <w:rPr>
                <w:sz w:val="16"/>
                <w:szCs w:val="16"/>
                <w:spacing w:val="-6"/>
              </w:rPr>
              <w:t>3</w:t>
            </w:r>
            <w:r>
              <w:rPr>
                <w:sz w:val="16"/>
                <w:szCs w:val="16"/>
                <w:spacing w:val="69"/>
                <w:w w:val="101"/>
              </w:rPr>
              <w:t xml:space="preserve"> </w:t>
            </w:r>
            <w:r>
              <w:rPr>
                <w:sz w:val="16"/>
                <w:szCs w:val="16"/>
                <w:spacing w:val="-6"/>
              </w:rPr>
              <w:t>合作伙伴主题域</w:t>
            </w:r>
          </w:p>
          <w:p>
            <w:pPr>
              <w:spacing w:line="158" w:lineRule="exact"/>
              <w:rPr/>
            </w:pPr>
            <w:r/>
          </w:p>
          <w:tbl>
            <w:tblPr>
              <w:tblStyle w:val="TableNormal"/>
              <w:tblW w:w="715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4"/>
              <w:gridCol w:w="1198"/>
              <w:gridCol w:w="2597"/>
              <w:gridCol w:w="2751"/>
            </w:tblGrid>
            <w:tr>
              <w:trPr>
                <w:trHeight w:val="354" w:hRule="atLeast"/>
              </w:trPr>
              <w:tc>
                <w:tcPr>
                  <w:tcW w:w="1802" w:type="dxa"/>
                  <w:vAlign w:val="top"/>
                  <w:gridSpan w:val="2"/>
                </w:tcPr>
                <w:p>
                  <w:pPr>
                    <w:pStyle w:val="TableText"/>
                    <w:ind w:left="484"/>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597" w:type="dxa"/>
                  <w:vAlign w:val="top"/>
                </w:tcPr>
                <w:p>
                  <w:pPr>
                    <w:pStyle w:val="TableText"/>
                    <w:ind w:left="903"/>
                    <w:spacing w:before="101" w:line="219" w:lineRule="auto"/>
                    <w:rPr/>
                  </w:pPr>
                  <w:r>
                    <w:rPr>
                      <w:spacing w:val="-5"/>
                    </w:rPr>
                    <w:t>详</w:t>
                  </w:r>
                  <w:r>
                    <w:rPr>
                      <w:spacing w:val="9"/>
                    </w:rPr>
                    <w:t xml:space="preserve"> </w:t>
                  </w:r>
                  <w:r>
                    <w:rPr>
                      <w:spacing w:val="-5"/>
                    </w:rPr>
                    <w:t>细</w:t>
                  </w:r>
                  <w:r>
                    <w:rPr>
                      <w:spacing w:val="9"/>
                    </w:rPr>
                    <w:t xml:space="preserve"> </w:t>
                  </w:r>
                  <w:r>
                    <w:rPr>
                      <w:spacing w:val="-5"/>
                    </w:rPr>
                    <w:t>注</w:t>
                  </w:r>
                  <w:r>
                    <w:rPr>
                      <w:spacing w:val="8"/>
                    </w:rPr>
                    <w:t xml:space="preserve"> </w:t>
                  </w:r>
                  <w:r>
                    <w:rPr>
                      <w:spacing w:val="-5"/>
                    </w:rPr>
                    <w:t>释</w:t>
                  </w:r>
                </w:p>
              </w:tc>
              <w:tc>
                <w:tcPr>
                  <w:tcW w:w="2751" w:type="dxa"/>
                  <w:vAlign w:val="top"/>
                </w:tcPr>
                <w:p>
                  <w:pPr>
                    <w:pStyle w:val="TableText"/>
                    <w:ind w:left="606"/>
                    <w:spacing w:before="101" w:line="219" w:lineRule="auto"/>
                    <w:rPr/>
                  </w:pPr>
                  <w:r>
                    <w:rPr>
                      <w:spacing w:val="-1"/>
                    </w:rPr>
                    <w:t>所覆盖的主要实体/数据</w:t>
                  </w:r>
                </w:p>
              </w:tc>
            </w:tr>
            <w:tr>
              <w:trPr>
                <w:trHeight w:val="599" w:hRule="atLeast"/>
              </w:trPr>
              <w:tc>
                <w:tcPr>
                  <w:tcW w:w="604" w:type="dxa"/>
                  <w:vAlign w:val="top"/>
                  <w:vMerge w:val="restart"/>
                  <w:tcBorders>
                    <w:bottom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TableText"/>
                    <w:ind w:left="144"/>
                    <w:spacing w:before="48" w:line="290" w:lineRule="exact"/>
                    <w:rPr/>
                  </w:pPr>
                  <w:r>
                    <w:rPr>
                      <w:spacing w:val="-2"/>
                      <w:position w:val="10"/>
                    </w:rPr>
                    <w:t>合作</w:t>
                  </w:r>
                </w:p>
                <w:p>
                  <w:pPr>
                    <w:pStyle w:val="TableText"/>
                    <w:ind w:left="144"/>
                    <w:spacing w:line="219" w:lineRule="auto"/>
                    <w:rPr/>
                  </w:pPr>
                  <w:r>
                    <w:rPr>
                      <w:spacing w:val="-2"/>
                    </w:rPr>
                    <w:t>伙伴</w:t>
                  </w:r>
                </w:p>
              </w:tc>
              <w:tc>
                <w:tcPr>
                  <w:tcW w:w="1198" w:type="dxa"/>
                  <w:vAlign w:val="top"/>
                </w:tcPr>
                <w:p>
                  <w:pPr>
                    <w:pStyle w:val="TableText"/>
                    <w:ind w:left="291"/>
                    <w:spacing w:before="227" w:line="219" w:lineRule="auto"/>
                    <w:rPr/>
                  </w:pPr>
                  <w:r>
                    <w:rPr>
                      <w:spacing w:val="-2"/>
                    </w:rPr>
                    <w:t>合作伙伴</w:t>
                  </w:r>
                </w:p>
              </w:tc>
              <w:tc>
                <w:tcPr>
                  <w:tcW w:w="2597" w:type="dxa"/>
                  <w:vAlign w:val="top"/>
                </w:tcPr>
                <w:p>
                  <w:pPr>
                    <w:pStyle w:val="TableText"/>
                    <w:ind w:left="112" w:right="230" w:firstLine="149"/>
                    <w:spacing w:before="96" w:line="277" w:lineRule="auto"/>
                    <w:rPr/>
                  </w:pPr>
                  <w:r>
                    <w:rPr>
                      <w:spacing w:val="-1"/>
                    </w:rPr>
                    <w:t>合作伙伴是指和公司存在伙伴关</w:t>
                  </w:r>
                  <w:r>
                    <w:rPr>
                      <w:spacing w:val="6"/>
                    </w:rPr>
                    <w:t xml:space="preserve"> </w:t>
                  </w:r>
                  <w:r>
                    <w:rPr>
                      <w:spacing w:val="-2"/>
                    </w:rPr>
                    <w:t>系的实体</w:t>
                  </w:r>
                </w:p>
              </w:tc>
              <w:tc>
                <w:tcPr>
                  <w:tcW w:w="2751" w:type="dxa"/>
                  <w:vAlign w:val="top"/>
                </w:tcPr>
                <w:p>
                  <w:pPr>
                    <w:pStyle w:val="TableText"/>
                    <w:ind w:left="125" w:firstLine="149"/>
                    <w:spacing w:before="96" w:line="282" w:lineRule="auto"/>
                    <w:rPr/>
                  </w:pPr>
                  <w:r>
                    <w:rPr>
                      <w:spacing w:val="4"/>
                    </w:rPr>
                    <w:t>基本合作伙伴信息、合作伙伴关系、</w:t>
                  </w:r>
                  <w:r>
                    <w:rPr/>
                    <w:t xml:space="preserve"> </w:t>
                  </w:r>
                  <w:r>
                    <w:rPr>
                      <w:spacing w:val="-1"/>
                    </w:rPr>
                    <w:t>合作伙伴文档资料、合作伙伴识别信息</w:t>
                  </w:r>
                </w:p>
              </w:tc>
            </w:tr>
            <w:tr>
              <w:trPr>
                <w:trHeight w:val="58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360" w:right="153" w:hanging="219"/>
                    <w:spacing w:before="108" w:line="277" w:lineRule="auto"/>
                    <w:rPr/>
                  </w:pPr>
                  <w:r>
                    <w:rPr>
                      <w:spacing w:val="-2"/>
                    </w:rPr>
                    <w:t>合作伙伴战略</w:t>
                  </w:r>
                  <w:r>
                    <w:rPr>
                      <w:spacing w:val="4"/>
                    </w:rPr>
                    <w:t xml:space="preserve"> </w:t>
                  </w:r>
                  <w:r>
                    <w:rPr>
                      <w:spacing w:val="-2"/>
                    </w:rPr>
                    <w:t>和计划</w:t>
                  </w:r>
                </w:p>
              </w:tc>
              <w:tc>
                <w:tcPr>
                  <w:tcW w:w="2597" w:type="dxa"/>
                  <w:vAlign w:val="top"/>
                </w:tcPr>
                <w:p>
                  <w:pPr>
                    <w:pStyle w:val="TableText"/>
                    <w:ind w:left="102" w:right="221" w:firstLine="150"/>
                    <w:spacing w:before="107" w:line="272" w:lineRule="auto"/>
                    <w:rPr/>
                  </w:pPr>
                  <w:r>
                    <w:rPr/>
                    <w:t>同合作伙伴商业联系中的战略和</w:t>
                  </w:r>
                  <w:r>
                    <w:rPr>
                      <w:spacing w:val="11"/>
                    </w:rPr>
                    <w:t xml:space="preserve"> </w:t>
                  </w:r>
                  <w:r>
                    <w:rPr>
                      <w:spacing w:val="-2"/>
                    </w:rPr>
                    <w:t>规划</w:t>
                  </w:r>
                </w:p>
              </w:tc>
              <w:tc>
                <w:tcPr>
                  <w:tcW w:w="2751" w:type="dxa"/>
                  <w:vAlign w:val="top"/>
                </w:tcPr>
                <w:p>
                  <w:pPr>
                    <w:pStyle w:val="TableText"/>
                    <w:ind w:left="136" w:right="71" w:firstLine="139"/>
                    <w:spacing w:before="97" w:line="282" w:lineRule="auto"/>
                    <w:rPr/>
                  </w:pPr>
                  <w:r>
                    <w:rPr>
                      <w:spacing w:val="-1"/>
                    </w:rPr>
                    <w:t>合作伙伴战略、合作伙伴计划、合作</w:t>
                  </w:r>
                  <w:r>
                    <w:rPr>
                      <w:spacing w:val="8"/>
                    </w:rPr>
                    <w:t xml:space="preserve"> </w:t>
                  </w:r>
                  <w:r>
                    <w:rPr>
                      <w:spacing w:val="-1"/>
                    </w:rPr>
                    <w:t>伙伴生命周期管理</w:t>
                  </w:r>
                </w:p>
              </w:tc>
            </w:tr>
            <w:tr>
              <w:trPr>
                <w:trHeight w:val="58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141"/>
                    <w:spacing w:before="219" w:line="219" w:lineRule="auto"/>
                    <w:rPr/>
                  </w:pPr>
                  <w:r>
                    <w:rPr>
                      <w:spacing w:val="-1"/>
                    </w:rPr>
                    <w:t>合作伙伴交互</w:t>
                  </w:r>
                </w:p>
              </w:tc>
              <w:tc>
                <w:tcPr>
                  <w:tcW w:w="2597" w:type="dxa"/>
                  <w:vAlign w:val="top"/>
                </w:tcPr>
                <w:p>
                  <w:pPr>
                    <w:pStyle w:val="TableText"/>
                    <w:ind w:left="113" w:right="244" w:firstLine="140"/>
                    <w:spacing w:before="108" w:line="276" w:lineRule="auto"/>
                    <w:rPr/>
                  </w:pPr>
                  <w:r>
                    <w:rPr>
                      <w:spacing w:val="-1"/>
                    </w:rPr>
                    <w:t>公司通过各种渠道与合作伙伴进</w:t>
                  </w:r>
                  <w:r>
                    <w:rPr>
                      <w:spacing w:val="2"/>
                    </w:rPr>
                    <w:t xml:space="preserve"> </w:t>
                  </w:r>
                  <w:r>
                    <w:rPr>
                      <w:spacing w:val="-1"/>
                    </w:rPr>
                    <w:t>行联系而产生的所有信息</w:t>
                  </w:r>
                </w:p>
              </w:tc>
              <w:tc>
                <w:tcPr>
                  <w:tcW w:w="2751" w:type="dxa"/>
                  <w:vAlign w:val="top"/>
                </w:tcPr>
                <w:p>
                  <w:pPr>
                    <w:pStyle w:val="TableText"/>
                    <w:ind w:left="286"/>
                    <w:spacing w:before="219" w:line="219" w:lineRule="auto"/>
                    <w:rPr/>
                  </w:pPr>
                  <w:r>
                    <w:rPr>
                      <w:spacing w:val="-1"/>
                    </w:rPr>
                    <w:t>合作伙伴联系事件</w:t>
                  </w:r>
                </w:p>
              </w:tc>
            </w:tr>
            <w:tr>
              <w:trPr>
                <w:trHeight w:val="58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141"/>
                    <w:spacing w:before="220" w:line="219" w:lineRule="auto"/>
                    <w:rPr/>
                  </w:pPr>
                  <w:r>
                    <w:rPr>
                      <w:spacing w:val="-1"/>
                    </w:rPr>
                    <w:t>合作伙伴业务</w:t>
                  </w:r>
                </w:p>
              </w:tc>
              <w:tc>
                <w:tcPr>
                  <w:tcW w:w="2597" w:type="dxa"/>
                  <w:vAlign w:val="top"/>
                </w:tcPr>
                <w:p>
                  <w:pPr>
                    <w:pStyle w:val="TableText"/>
                    <w:ind w:left="102" w:right="239" w:firstLine="150"/>
                    <w:spacing w:before="99" w:line="282" w:lineRule="auto"/>
                    <w:rPr/>
                  </w:pPr>
                  <w:r>
                    <w:rPr>
                      <w:spacing w:val="-1"/>
                    </w:rPr>
                    <w:t>表示公司可以向合作伙伴定购的</w:t>
                  </w:r>
                  <w:r>
                    <w:rPr>
                      <w:spacing w:val="7"/>
                    </w:rPr>
                    <w:t xml:space="preserve"> </w:t>
                  </w:r>
                  <w:r>
                    <w:rPr>
                      <w:spacing w:val="-2"/>
                    </w:rPr>
                    <w:t>业务</w:t>
                  </w:r>
                </w:p>
              </w:tc>
              <w:tc>
                <w:tcPr>
                  <w:tcW w:w="2751" w:type="dxa"/>
                  <w:vAlign w:val="top"/>
                </w:tcPr>
                <w:p>
                  <w:pPr>
                    <w:pStyle w:val="TableText"/>
                    <w:ind w:left="125" w:firstLine="136"/>
                    <w:spacing w:before="99" w:line="282" w:lineRule="auto"/>
                    <w:rPr/>
                  </w:pPr>
                  <w:r>
                    <w:rPr>
                      <w:spacing w:val="-5"/>
                    </w:rPr>
                    <w:t>基本业务信息、业务关系、业务目录、</w:t>
                  </w:r>
                  <w:r>
                    <w:rPr>
                      <w:spacing w:val="12"/>
                    </w:rPr>
                    <w:t xml:space="preserve"> </w:t>
                  </w:r>
                  <w:r>
                    <w:rPr>
                      <w:spacing w:val="-4"/>
                    </w:rPr>
                    <w:t>业务特征、资费计划</w:t>
                  </w:r>
                </w:p>
              </w:tc>
            </w:tr>
            <w:tr>
              <w:trPr>
                <w:trHeight w:val="59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141"/>
                    <w:spacing w:before="231" w:line="219" w:lineRule="auto"/>
                    <w:rPr/>
                  </w:pPr>
                  <w:r>
                    <w:rPr>
                      <w:spacing w:val="-1"/>
                    </w:rPr>
                    <w:t>合作伙伴订单</w:t>
                  </w:r>
                </w:p>
              </w:tc>
              <w:tc>
                <w:tcPr>
                  <w:tcW w:w="2597" w:type="dxa"/>
                  <w:vAlign w:val="top"/>
                </w:tcPr>
                <w:p>
                  <w:pPr>
                    <w:pStyle w:val="TableText"/>
                    <w:ind w:left="93" w:right="208" w:firstLine="169"/>
                    <w:spacing w:before="101" w:line="283" w:lineRule="auto"/>
                    <w:rPr/>
                  </w:pPr>
                  <w:r>
                    <w:rPr>
                      <w:spacing w:val="1"/>
                    </w:rPr>
                    <w:t>公司与合作伙伴签订的购买产品</w:t>
                  </w:r>
                  <w:r>
                    <w:rPr/>
                    <w:t xml:space="preserve"> </w:t>
                  </w:r>
                  <w:r>
                    <w:rPr>
                      <w:spacing w:val="5"/>
                    </w:rPr>
                    <w:t>的意向</w:t>
                  </w:r>
                </w:p>
              </w:tc>
              <w:tc>
                <w:tcPr>
                  <w:tcW w:w="2751" w:type="dxa"/>
                  <w:vAlign w:val="top"/>
                </w:tcPr>
                <w:p>
                  <w:pPr>
                    <w:pStyle w:val="TableText"/>
                    <w:ind w:left="286"/>
                    <w:spacing w:before="230" w:line="219" w:lineRule="auto"/>
                    <w:rPr/>
                  </w:pPr>
                  <w:r>
                    <w:rPr/>
                    <w:t>订单及其处理、采购招标、交易合同</w:t>
                  </w:r>
                </w:p>
              </w:tc>
            </w:tr>
            <w:tr>
              <w:trPr>
                <w:trHeight w:val="60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141"/>
                    <w:spacing w:before="232" w:line="219" w:lineRule="auto"/>
                    <w:rPr/>
                  </w:pPr>
                  <w:r>
                    <w:rPr>
                      <w:spacing w:val="-1"/>
                    </w:rPr>
                    <w:t>合作伙伴服务</w:t>
                  </w:r>
                </w:p>
              </w:tc>
              <w:tc>
                <w:tcPr>
                  <w:tcW w:w="2597" w:type="dxa"/>
                  <w:vAlign w:val="top"/>
                </w:tcPr>
                <w:p>
                  <w:pPr>
                    <w:pStyle w:val="TableText"/>
                    <w:ind w:left="113" w:right="244" w:firstLine="140"/>
                    <w:spacing w:before="102" w:line="288" w:lineRule="auto"/>
                    <w:rPr/>
                  </w:pPr>
                  <w:r>
                    <w:rPr>
                      <w:spacing w:val="-1"/>
                    </w:rPr>
                    <w:t>公司与合作伙伴达成的关于购买</w:t>
                  </w:r>
                  <w:r>
                    <w:rPr>
                      <w:spacing w:val="2"/>
                    </w:rPr>
                    <w:t xml:space="preserve"> </w:t>
                  </w:r>
                  <w:r>
                    <w:rPr>
                      <w:spacing w:val="-1"/>
                    </w:rPr>
                    <w:t>和使用产品的权利和义务</w:t>
                  </w:r>
                </w:p>
              </w:tc>
              <w:tc>
                <w:tcPr>
                  <w:tcW w:w="2751" w:type="dxa"/>
                  <w:vAlign w:val="top"/>
                </w:tcPr>
                <w:p>
                  <w:pPr>
                    <w:pStyle w:val="TableText"/>
                    <w:ind w:left="266"/>
                    <w:spacing w:before="232" w:line="219" w:lineRule="auto"/>
                    <w:rPr/>
                  </w:pPr>
                  <w:r>
                    <w:rPr>
                      <w:spacing w:val="-1"/>
                    </w:rPr>
                    <w:t>合作伙伴服务水平协议</w:t>
                  </w:r>
                </w:p>
              </w:tc>
            </w:tr>
            <w:tr>
              <w:trPr>
                <w:trHeight w:val="57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360" w:right="153" w:hanging="219"/>
                    <w:spacing w:before="101" w:line="278" w:lineRule="auto"/>
                    <w:rPr/>
                  </w:pPr>
                  <w:r>
                    <w:rPr>
                      <w:spacing w:val="-2"/>
                    </w:rPr>
                    <w:t>合作伙伴评估</w:t>
                  </w:r>
                  <w:r>
                    <w:rPr>
                      <w:spacing w:val="4"/>
                    </w:rPr>
                    <w:t xml:space="preserve"> </w:t>
                  </w:r>
                  <w:r>
                    <w:rPr>
                      <w:spacing w:val="-2"/>
                    </w:rPr>
                    <w:t>与统计</w:t>
                  </w:r>
                </w:p>
              </w:tc>
              <w:tc>
                <w:tcPr>
                  <w:tcW w:w="2597" w:type="dxa"/>
                  <w:vAlign w:val="top"/>
                </w:tcPr>
                <w:p>
                  <w:pPr>
                    <w:pStyle w:val="TableText"/>
                    <w:ind w:left="102" w:right="82" w:firstLine="160"/>
                    <w:spacing w:before="112" w:line="277" w:lineRule="auto"/>
                    <w:rPr/>
                  </w:pPr>
                  <w:r>
                    <w:rPr>
                      <w:spacing w:val="-1"/>
                    </w:rPr>
                    <w:t>是对合作伙伴相关信息的收集、处</w:t>
                  </w:r>
                  <w:r>
                    <w:rPr>
                      <w:spacing w:val="5"/>
                    </w:rPr>
                    <w:t xml:space="preserve"> </w:t>
                  </w:r>
                  <w:r>
                    <w:rPr>
                      <w:spacing w:val="-1"/>
                    </w:rPr>
                    <w:t>理、分析和加工的结果</w:t>
                  </w:r>
                </w:p>
              </w:tc>
              <w:tc>
                <w:tcPr>
                  <w:tcW w:w="2751" w:type="dxa"/>
                  <w:vAlign w:val="top"/>
                </w:tcPr>
                <w:p>
                  <w:pPr>
                    <w:pStyle w:val="TableText"/>
                    <w:ind w:left="125" w:right="64" w:firstLine="160"/>
                    <w:spacing w:before="102" w:line="281" w:lineRule="auto"/>
                    <w:rPr/>
                  </w:pPr>
                  <w:r>
                    <w:rPr>
                      <w:spacing w:val="-1"/>
                    </w:rPr>
                    <w:t>黑名单，合作伙伴信用度、分级、价</w:t>
                  </w:r>
                  <w:r>
                    <w:rPr>
                      <w:spacing w:val="5"/>
                    </w:rPr>
                    <w:t xml:space="preserve"> </w:t>
                  </w:r>
                  <w:r>
                    <w:rPr>
                      <w:spacing w:val="-1"/>
                    </w:rPr>
                    <w:t>值，合作伙伴绩效评估，绩效警报</w:t>
                  </w:r>
                </w:p>
              </w:tc>
            </w:tr>
            <w:tr>
              <w:trPr>
                <w:trHeight w:val="58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141"/>
                    <w:spacing w:before="224" w:line="219" w:lineRule="auto"/>
                    <w:rPr/>
                  </w:pPr>
                  <w:r>
                    <w:rPr>
                      <w:spacing w:val="-1"/>
                    </w:rPr>
                    <w:t>合作伙伴问题</w:t>
                  </w:r>
                </w:p>
              </w:tc>
              <w:tc>
                <w:tcPr>
                  <w:tcW w:w="2597" w:type="dxa"/>
                  <w:vAlign w:val="top"/>
                </w:tcPr>
                <w:p>
                  <w:pPr>
                    <w:pStyle w:val="TableText"/>
                    <w:ind w:left="102" w:right="232" w:firstLine="160"/>
                    <w:spacing w:before="104" w:line="277" w:lineRule="auto"/>
                    <w:rPr/>
                  </w:pPr>
                  <w:r>
                    <w:rPr>
                      <w:spacing w:val="-1"/>
                    </w:rPr>
                    <w:t>该域处理和合作伙伴相关的问题</w:t>
                  </w:r>
                  <w:r>
                    <w:rPr>
                      <w:spacing w:val="4"/>
                    </w:rPr>
                    <w:t xml:space="preserve"> </w:t>
                  </w:r>
                  <w:r>
                    <w:rPr>
                      <w:spacing w:val="8"/>
                    </w:rPr>
                    <w:t>(双向)</w:t>
                  </w:r>
                </w:p>
              </w:tc>
              <w:tc>
                <w:tcPr>
                  <w:tcW w:w="2751" w:type="dxa"/>
                  <w:vAlign w:val="top"/>
                </w:tcPr>
                <w:p>
                  <w:pPr>
                    <w:pStyle w:val="TableText"/>
                    <w:ind w:left="136" w:firstLine="148"/>
                    <w:spacing w:before="103" w:line="282" w:lineRule="auto"/>
                    <w:rPr/>
                  </w:pPr>
                  <w:r>
                    <w:rPr>
                      <w:spacing w:val="3"/>
                    </w:rPr>
                    <w:t>合作伙伴对公司的故障通知和投诉、</w:t>
                  </w:r>
                  <w:r>
                    <w:rPr>
                      <w:spacing w:val="7"/>
                    </w:rPr>
                    <w:t xml:space="preserve"> </w:t>
                  </w:r>
                  <w:r>
                    <w:rPr>
                      <w:spacing w:val="-2"/>
                    </w:rPr>
                    <w:t>公司向合作伙伴的故障通知和投诉</w:t>
                  </w:r>
                </w:p>
              </w:tc>
            </w:tr>
            <w:tr>
              <w:trPr>
                <w:trHeight w:val="879" w:hRule="atLeast"/>
              </w:trPr>
              <w:tc>
                <w:tcPr>
                  <w:tcW w:w="604" w:type="dxa"/>
                  <w:vAlign w:val="top"/>
                  <w:vMerge w:val="continue"/>
                  <w:tcBorders>
                    <w:top w:val="nil"/>
                    <w:bottom w:val="nil"/>
                  </w:tcBorders>
                </w:tcPr>
                <w:p>
                  <w:pPr>
                    <w:rPr>
                      <w:rFonts w:ascii="Arial"/>
                      <w:sz w:val="21"/>
                    </w:rPr>
                  </w:pPr>
                  <w:r/>
                </w:p>
              </w:tc>
              <w:tc>
                <w:tcPr>
                  <w:tcW w:w="1198" w:type="dxa"/>
                  <w:vAlign w:val="top"/>
                </w:tcPr>
                <w:p>
                  <w:pPr>
                    <w:spacing w:line="324" w:lineRule="auto"/>
                    <w:rPr>
                      <w:rFonts w:ascii="Arial"/>
                      <w:sz w:val="21"/>
                    </w:rPr>
                  </w:pPr>
                  <w:r/>
                </w:p>
                <w:p>
                  <w:pPr>
                    <w:pStyle w:val="TableText"/>
                    <w:ind w:left="141"/>
                    <w:spacing w:before="49" w:line="219" w:lineRule="auto"/>
                    <w:rPr/>
                  </w:pPr>
                  <w:r>
                    <w:rPr>
                      <w:spacing w:val="-1"/>
                    </w:rPr>
                    <w:t>合作伙伴账务</w:t>
                  </w:r>
                </w:p>
              </w:tc>
              <w:tc>
                <w:tcPr>
                  <w:tcW w:w="2597" w:type="dxa"/>
                  <w:vAlign w:val="top"/>
                </w:tcPr>
                <w:p>
                  <w:pPr>
                    <w:pStyle w:val="TableText"/>
                    <w:ind w:left="102" w:right="234" w:firstLine="160"/>
                    <w:spacing w:before="244" w:line="282" w:lineRule="auto"/>
                    <w:rPr/>
                  </w:pPr>
                  <w:r>
                    <w:rPr>
                      <w:spacing w:val="-1"/>
                    </w:rPr>
                    <w:t>公司和合作伙伴之间产生或关联</w:t>
                  </w:r>
                  <w:r>
                    <w:rPr>
                      <w:spacing w:val="2"/>
                    </w:rPr>
                    <w:t xml:space="preserve"> </w:t>
                  </w:r>
                  <w:r>
                    <w:rPr>
                      <w:spacing w:val="2"/>
                    </w:rPr>
                    <w:t>的财务信息</w:t>
                  </w:r>
                </w:p>
              </w:tc>
              <w:tc>
                <w:tcPr>
                  <w:tcW w:w="2751" w:type="dxa"/>
                  <w:vAlign w:val="top"/>
                </w:tcPr>
                <w:p>
                  <w:pPr>
                    <w:pStyle w:val="TableText"/>
                    <w:ind w:left="125" w:right="60" w:firstLine="160"/>
                    <w:spacing w:before="104" w:line="303" w:lineRule="auto"/>
                    <w:jc w:val="both"/>
                    <w:rPr/>
                  </w:pPr>
                  <w:r>
                    <w:rPr>
                      <w:spacing w:val="-1"/>
                    </w:rPr>
                    <w:t>基本账户信息、账户关系、账单及其</w:t>
                  </w:r>
                  <w:r>
                    <w:rPr>
                      <w:spacing w:val="9"/>
                    </w:rPr>
                    <w:t xml:space="preserve"> </w:t>
                  </w:r>
                  <w:r>
                    <w:rPr>
                      <w:spacing w:val="-1"/>
                    </w:rPr>
                    <w:t>处理、账务查询、收费付费处理、保证</w:t>
                  </w:r>
                  <w:r>
                    <w:rPr>
                      <w:spacing w:val="7"/>
                    </w:rPr>
                    <w:t xml:space="preserve"> </w:t>
                  </w:r>
                  <w:r>
                    <w:rPr>
                      <w:spacing w:val="1"/>
                    </w:rPr>
                    <w:t>金、押金、佣金</w:t>
                  </w:r>
                </w:p>
              </w:tc>
            </w:tr>
            <w:tr>
              <w:trPr>
                <w:trHeight w:val="604" w:hRule="atLeast"/>
              </w:trPr>
              <w:tc>
                <w:tcPr>
                  <w:tcW w:w="604" w:type="dxa"/>
                  <w:vAlign w:val="top"/>
                  <w:vMerge w:val="continue"/>
                  <w:tcBorders>
                    <w:top w:val="nil"/>
                  </w:tcBorders>
                </w:tcPr>
                <w:p>
                  <w:pPr>
                    <w:rPr>
                      <w:rFonts w:ascii="Arial"/>
                      <w:sz w:val="21"/>
                    </w:rPr>
                  </w:pPr>
                  <w:r/>
                </w:p>
              </w:tc>
              <w:tc>
                <w:tcPr>
                  <w:tcW w:w="1198" w:type="dxa"/>
                  <w:vAlign w:val="top"/>
                </w:tcPr>
                <w:p>
                  <w:pPr>
                    <w:pStyle w:val="TableText"/>
                    <w:ind w:left="290" w:right="153" w:hanging="149"/>
                    <w:spacing w:before="105" w:line="282" w:lineRule="auto"/>
                    <w:rPr/>
                  </w:pPr>
                  <w:r>
                    <w:rPr>
                      <w:spacing w:val="-2"/>
                    </w:rPr>
                    <w:t>合作伙伴异常</w:t>
                  </w:r>
                  <w:r>
                    <w:rPr>
                      <w:spacing w:val="4"/>
                    </w:rPr>
                    <w:t xml:space="preserve"> </w:t>
                  </w:r>
                  <w:r>
                    <w:rPr>
                      <w:spacing w:val="-2"/>
                    </w:rPr>
                    <w:t>账务处理</w:t>
                  </w:r>
                </w:p>
              </w:tc>
              <w:tc>
                <w:tcPr>
                  <w:tcW w:w="2597" w:type="dxa"/>
                  <w:vAlign w:val="top"/>
                </w:tcPr>
                <w:p>
                  <w:pPr>
                    <w:pStyle w:val="TableText"/>
                    <w:ind w:left="112" w:right="185" w:firstLine="170"/>
                    <w:spacing w:before="115" w:line="282" w:lineRule="auto"/>
                    <w:rPr/>
                  </w:pPr>
                  <w:r>
                    <w:rPr>
                      <w:spacing w:val="1"/>
                    </w:rPr>
                    <w:t>是指对和合作伙伴相关账务中出</w:t>
                  </w:r>
                  <w:r>
                    <w:rPr>
                      <w:spacing w:val="3"/>
                    </w:rPr>
                    <w:t xml:space="preserve"> </w:t>
                  </w:r>
                  <w:r>
                    <w:rPr>
                      <w:spacing w:val="-1"/>
                    </w:rPr>
                    <w:t>现的异常及进行的处理</w:t>
                  </w:r>
                </w:p>
              </w:tc>
              <w:tc>
                <w:tcPr>
                  <w:tcW w:w="2751" w:type="dxa"/>
                  <w:vAlign w:val="top"/>
                </w:tcPr>
                <w:p>
                  <w:pPr>
                    <w:pStyle w:val="TableText"/>
                    <w:ind w:left="125" w:right="81" w:firstLine="140"/>
                    <w:spacing w:before="115" w:line="281" w:lineRule="auto"/>
                    <w:rPr/>
                  </w:pPr>
                  <w:r>
                    <w:rPr>
                      <w:spacing w:val="-1"/>
                    </w:rPr>
                    <w:t>欠费数据、催缴处理、账务争议、调</w:t>
                  </w:r>
                  <w:r>
                    <w:rPr>
                      <w:spacing w:val="8"/>
                    </w:rPr>
                    <w:t xml:space="preserve"> </w:t>
                  </w:r>
                  <w:r>
                    <w:rPr>
                      <w:spacing w:val="-1"/>
                    </w:rPr>
                    <w:t>账处理、欺诈报告</w:t>
                  </w:r>
                </w:p>
              </w:tc>
            </w:tr>
          </w:tbl>
          <w:p>
            <w:pPr>
              <w:rPr>
                <w:rFonts w:ascii="Arial"/>
                <w:sz w:val="21"/>
              </w:rPr>
            </w:pPr>
            <w:r/>
          </w:p>
        </w:tc>
      </w:tr>
    </w:tbl>
    <w:p>
      <w:pPr>
        <w:pStyle w:val="BodyText"/>
        <w:rPr/>
      </w:pPr>
      <w:r/>
    </w:p>
    <w:p>
      <w:pPr>
        <w:sectPr>
          <w:footerReference w:type="default" r:id="rId379"/>
          <w:pgSz w:w="8870" w:h="13400"/>
          <w:pgMar w:top="400" w:right="550" w:bottom="551" w:left="440" w:header="0" w:footer="351" w:gutter="0"/>
        </w:sectPr>
        <w:rPr/>
      </w:pPr>
    </w:p>
    <w:p>
      <w:pPr>
        <w:ind w:left="100"/>
        <w:spacing w:before="159"/>
        <w:rPr>
          <w:rFonts w:ascii="SimSun" w:hAnsi="SimSun" w:eastAsia="SimSun" w:cs="SimSun"/>
          <w:sz w:val="21"/>
          <w:szCs w:val="21"/>
        </w:rPr>
      </w:pPr>
      <w:r>
        <w:rPr>
          <w:rFonts w:ascii="SimSun" w:hAnsi="SimSun" w:eastAsia="SimSun" w:cs="SimSun"/>
          <w:sz w:val="21"/>
          <w:szCs w:val="21"/>
          <w:position w:val="-8"/>
        </w:rPr>
        <w:drawing>
          <wp:inline distT="0" distB="0" distL="0" distR="0">
            <wp:extent cx="6308" cy="222255"/>
            <wp:effectExtent l="0" t="0" r="0" b="0"/>
            <wp:docPr id="258" name="IM 258"/>
            <wp:cNvGraphicFramePr/>
            <a:graphic>
              <a:graphicData uri="http://schemas.openxmlformats.org/drawingml/2006/picture">
                <pic:pic>
                  <pic:nvPicPr>
                    <pic:cNvPr id="258" name="IM 258"/>
                    <pic:cNvPicPr/>
                  </pic:nvPicPr>
                  <pic:blipFill>
                    <a:blip r:embed="rId381"/>
                    <a:stretch>
                      <a:fillRect/>
                    </a:stretch>
                  </pic:blipFill>
                  <pic:spPr>
                    <a:xfrm rot="0">
                      <a:off x="0" y="0"/>
                      <a:ext cx="6308" cy="222255"/>
                    </a:xfrm>
                    <a:prstGeom prst="rect">
                      <a:avLst/>
                    </a:prstGeom>
                  </pic:spPr>
                </pic:pic>
              </a:graphicData>
            </a:graphic>
          </wp:inline>
        </w:drawing>
      </w:r>
      <w:r>
        <w:rPr>
          <w:rFonts w:ascii="SimSun" w:hAnsi="SimSun" w:eastAsia="SimSun" w:cs="SimSun"/>
          <w:sz w:val="21"/>
          <w:szCs w:val="21"/>
          <w:spacing w:val="-9"/>
        </w:rPr>
        <w:t xml:space="preserve"> </w:t>
      </w:r>
      <w:r>
        <w:rPr>
          <w:rFonts w:ascii="SimSun" w:hAnsi="SimSun" w:eastAsia="SimSun" w:cs="SimSun"/>
          <w:sz w:val="21"/>
          <w:szCs w:val="21"/>
          <w:b/>
          <w:bCs/>
          <w:spacing w:val="-10"/>
        </w:rPr>
        <w:t>■云端数据治理</w:t>
      </w:r>
    </w:p>
    <w:p>
      <w:pPr>
        <w:ind w:left="7179"/>
        <w:spacing w:before="299" w:line="194" w:lineRule="auto"/>
        <w:rPr>
          <w:rFonts w:ascii="SimHei" w:hAnsi="SimHei" w:eastAsia="SimHei" w:cs="SimHei"/>
          <w:sz w:val="21"/>
          <w:szCs w:val="21"/>
        </w:rPr>
      </w:pPr>
      <w:r>
        <w:rPr>
          <w:rFonts w:ascii="SimHei" w:hAnsi="SimHei" w:eastAsia="SimHei" w:cs="SimHei"/>
          <w:sz w:val="21"/>
          <w:szCs w:val="21"/>
          <w:spacing w:val="-11"/>
        </w:rPr>
        <w:t>续表</w:t>
      </w:r>
    </w:p>
    <w:tbl>
      <w:tblPr>
        <w:tblStyle w:val="TableNormal"/>
        <w:tblW w:w="7782" w:type="dxa"/>
        <w:tblInd w:w="210" w:type="dxa"/>
        <w:tblLayout w:type="fixed"/>
        <w:tblBorders>
          <w:bottom w:val="single" w:color="000000" w:sz="8" w:space="0"/>
          <w:right w:val="single" w:color="000000" w:sz="6" w:space="0"/>
          <w:top w:val="single" w:color="000000" w:sz="6" w:space="0"/>
        </w:tblBorders>
      </w:tblPr>
      <w:tblGrid>
        <w:gridCol w:w="7782"/>
      </w:tblGrid>
      <w:tr>
        <w:trPr>
          <w:trHeight w:val="10864" w:hRule="atLeast"/>
        </w:trPr>
        <w:tc>
          <w:tcPr>
            <w:tcW w:w="7782" w:type="dxa"/>
            <w:vAlign w:val="top"/>
          </w:tcPr>
          <w:p>
            <w:pPr>
              <w:pStyle w:val="TableText"/>
              <w:ind w:left="289"/>
              <w:spacing w:before="272" w:line="219" w:lineRule="auto"/>
              <w:rPr>
                <w:sz w:val="17"/>
                <w:szCs w:val="17"/>
              </w:rPr>
            </w:pPr>
            <w:r>
              <w:rPr>
                <w:sz w:val="17"/>
                <w:szCs w:val="17"/>
                <w:spacing w:val="-1"/>
              </w:rPr>
              <w:t>4服务主题域</w:t>
            </w:r>
          </w:p>
          <w:p>
            <w:pPr>
              <w:spacing w:line="126" w:lineRule="exact"/>
              <w:rPr/>
            </w:pPr>
            <w:r/>
          </w:p>
          <w:tbl>
            <w:tblPr>
              <w:tblStyle w:val="TableNormal"/>
              <w:tblW w:w="715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14"/>
              <w:gridCol w:w="1188"/>
              <w:gridCol w:w="2617"/>
              <w:gridCol w:w="2731"/>
            </w:tblGrid>
            <w:tr>
              <w:trPr>
                <w:trHeight w:val="354" w:hRule="atLeast"/>
              </w:trPr>
              <w:tc>
                <w:tcPr>
                  <w:tcW w:w="1802" w:type="dxa"/>
                  <w:vAlign w:val="top"/>
                  <w:gridSpan w:val="2"/>
                </w:tcPr>
                <w:p>
                  <w:pPr>
                    <w:pStyle w:val="TableText"/>
                    <w:ind w:left="484"/>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617" w:type="dxa"/>
                  <w:vAlign w:val="top"/>
                </w:tcPr>
                <w:p>
                  <w:pPr>
                    <w:pStyle w:val="TableText"/>
                    <w:ind w:left="902"/>
                    <w:spacing w:before="10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31" w:type="dxa"/>
                  <w:vAlign w:val="top"/>
                </w:tcPr>
                <w:p>
                  <w:pPr>
                    <w:pStyle w:val="TableText"/>
                    <w:ind w:left="605"/>
                    <w:spacing w:before="101" w:line="219" w:lineRule="auto"/>
                    <w:rPr/>
                  </w:pPr>
                  <w:r>
                    <w:rPr>
                      <w:spacing w:val="-1"/>
                    </w:rPr>
                    <w:t>所覆盖的主要实体/数据</w:t>
                  </w:r>
                </w:p>
              </w:tc>
            </w:tr>
            <w:tr>
              <w:trPr>
                <w:trHeight w:val="819" w:hRule="atLeast"/>
              </w:trPr>
              <w:tc>
                <w:tcPr>
                  <w:tcW w:w="614"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34"/>
                    <w:spacing w:before="49" w:line="219" w:lineRule="auto"/>
                    <w:rPr/>
                  </w:pPr>
                  <w:r>
                    <w:rPr>
                      <w:spacing w:val="-2"/>
                    </w:rPr>
                    <w:t>服务</w:t>
                  </w:r>
                </w:p>
              </w:tc>
              <w:tc>
                <w:tcPr>
                  <w:tcW w:w="1188" w:type="dxa"/>
                  <w:vAlign w:val="top"/>
                </w:tcPr>
                <w:p>
                  <w:pPr>
                    <w:spacing w:line="286" w:lineRule="auto"/>
                    <w:rPr>
                      <w:rFonts w:ascii="Arial"/>
                      <w:sz w:val="21"/>
                    </w:rPr>
                  </w:pPr>
                  <w:r/>
                </w:p>
                <w:p>
                  <w:pPr>
                    <w:pStyle w:val="TableText"/>
                    <w:ind w:left="430"/>
                    <w:spacing w:before="49" w:line="219" w:lineRule="auto"/>
                    <w:rPr/>
                  </w:pPr>
                  <w:r>
                    <w:rPr>
                      <w:spacing w:val="-2"/>
                    </w:rPr>
                    <w:t>服务</w:t>
                  </w:r>
                </w:p>
              </w:tc>
              <w:tc>
                <w:tcPr>
                  <w:tcW w:w="2617" w:type="dxa"/>
                  <w:vAlign w:val="top"/>
                </w:tcPr>
                <w:p>
                  <w:pPr>
                    <w:pStyle w:val="TableText"/>
                    <w:ind w:left="92" w:right="109" w:firstLine="180"/>
                    <w:spacing w:before="76" w:line="287" w:lineRule="auto"/>
                    <w:rPr/>
                  </w:pPr>
                  <w:r>
                    <w:rPr>
                      <w:spacing w:val="-1"/>
                    </w:rPr>
                    <w:t>服务是对利用资源向业务提供支</w:t>
                  </w:r>
                  <w:r>
                    <w:rPr>
                      <w:spacing w:val="2"/>
                    </w:rPr>
                    <w:t xml:space="preserve">   </w:t>
                  </w:r>
                  <w:r>
                    <w:rPr/>
                    <w:t>撑的某一实体。这些实体是服务的实</w:t>
                  </w:r>
                  <w:r>
                    <w:rPr>
                      <w:spacing w:val="3"/>
                    </w:rPr>
                    <w:t xml:space="preserve"> </w:t>
                  </w:r>
                  <w:r>
                    <w:rPr>
                      <w:spacing w:val="-2"/>
                    </w:rPr>
                    <w:t>例化结果</w:t>
                  </w:r>
                </w:p>
              </w:tc>
              <w:tc>
                <w:tcPr>
                  <w:tcW w:w="2731" w:type="dxa"/>
                  <w:vAlign w:val="top"/>
                </w:tcPr>
                <w:p>
                  <w:pPr>
                    <w:spacing w:line="286" w:lineRule="auto"/>
                    <w:rPr>
                      <w:rFonts w:ascii="Arial"/>
                      <w:sz w:val="21"/>
                    </w:rPr>
                  </w:pPr>
                  <w:r/>
                </w:p>
                <w:p>
                  <w:pPr>
                    <w:pStyle w:val="TableText"/>
                    <w:ind w:left="125"/>
                    <w:spacing w:before="49" w:line="219" w:lineRule="auto"/>
                    <w:rPr/>
                  </w:pPr>
                  <w:r>
                    <w:rPr>
                      <w:spacing w:val="-2"/>
                    </w:rPr>
                    <w:t>服务</w:t>
                  </w:r>
                </w:p>
              </w:tc>
            </w:tr>
            <w:tr>
              <w:trPr>
                <w:trHeight w:val="1068" w:hRule="atLeast"/>
              </w:trPr>
              <w:tc>
                <w:tcPr>
                  <w:tcW w:w="614" w:type="dxa"/>
                  <w:vAlign w:val="top"/>
                  <w:vMerge w:val="continue"/>
                  <w:tcBorders>
                    <w:top w:val="nil"/>
                    <w:bottom w:val="nil"/>
                  </w:tcBorders>
                </w:tcPr>
                <w:p>
                  <w:pPr>
                    <w:rPr>
                      <w:rFonts w:ascii="Arial"/>
                      <w:sz w:val="21"/>
                    </w:rPr>
                  </w:pPr>
                  <w:r/>
                </w:p>
              </w:tc>
              <w:tc>
                <w:tcPr>
                  <w:tcW w:w="1188" w:type="dxa"/>
                  <w:vAlign w:val="top"/>
                </w:tcPr>
                <w:p>
                  <w:pPr>
                    <w:spacing w:line="406" w:lineRule="auto"/>
                    <w:rPr>
                      <w:rFonts w:ascii="Arial"/>
                      <w:sz w:val="21"/>
                    </w:rPr>
                  </w:pPr>
                  <w:r/>
                </w:p>
                <w:p>
                  <w:pPr>
                    <w:pStyle w:val="TableText"/>
                    <w:ind w:left="280"/>
                    <w:spacing w:before="49" w:line="219" w:lineRule="auto"/>
                    <w:rPr/>
                  </w:pPr>
                  <w:r>
                    <w:rPr>
                      <w:spacing w:val="-2"/>
                    </w:rPr>
                    <w:t>服务规格</w:t>
                  </w:r>
                </w:p>
              </w:tc>
              <w:tc>
                <w:tcPr>
                  <w:tcW w:w="2617" w:type="dxa"/>
                  <w:vAlign w:val="top"/>
                </w:tcPr>
                <w:p>
                  <w:pPr>
                    <w:pStyle w:val="TableText"/>
                    <w:ind w:left="273"/>
                    <w:spacing w:before="78" w:line="219" w:lineRule="auto"/>
                    <w:rPr/>
                  </w:pPr>
                  <w:r>
                    <w:rPr>
                      <w:spacing w:val="-1"/>
                    </w:rPr>
                    <w:t>服务规格是一组服务的不变特性</w:t>
                  </w:r>
                </w:p>
                <w:p>
                  <w:pPr>
                    <w:pStyle w:val="TableText"/>
                    <w:ind w:left="122" w:right="80" w:firstLine="10"/>
                    <w:spacing w:before="82" w:line="282" w:lineRule="auto"/>
                    <w:rPr/>
                  </w:pPr>
                  <w:r>
                    <w:rPr>
                      <w:spacing w:val="-5"/>
                    </w:rPr>
                    <w:t>和行为。 一个服务可实例化为多个服</w:t>
                  </w:r>
                  <w:r>
                    <w:rPr>
                      <w:spacing w:val="2"/>
                    </w:rPr>
                    <w:t xml:space="preserve"> </w:t>
                  </w:r>
                  <w:r>
                    <w:rPr>
                      <w:spacing w:val="-1"/>
                    </w:rPr>
                    <w:t>务，每个服务使用服务中定义的不变</w:t>
                  </w:r>
                  <w:r>
                    <w:rPr>
                      <w:spacing w:val="7"/>
                    </w:rPr>
                    <w:t xml:space="preserve"> </w:t>
                  </w:r>
                  <w:r>
                    <w:rPr>
                      <w:spacing w:val="-1"/>
                    </w:rPr>
                    <w:t>特性和行为</w:t>
                  </w:r>
                </w:p>
              </w:tc>
              <w:tc>
                <w:tcPr>
                  <w:tcW w:w="2731" w:type="dxa"/>
                  <w:vAlign w:val="top"/>
                </w:tcPr>
                <w:p>
                  <w:pPr>
                    <w:spacing w:line="406" w:lineRule="auto"/>
                    <w:rPr>
                      <w:rFonts w:ascii="Arial"/>
                      <w:sz w:val="21"/>
                    </w:rPr>
                  </w:pPr>
                  <w:r/>
                </w:p>
                <w:p>
                  <w:pPr>
                    <w:pStyle w:val="TableText"/>
                    <w:ind w:left="125"/>
                    <w:spacing w:before="49" w:line="219" w:lineRule="auto"/>
                    <w:rPr/>
                  </w:pPr>
                  <w:r>
                    <w:rPr>
                      <w:spacing w:val="-1"/>
                    </w:rPr>
                    <w:t>服务规格、服务规格特征</w:t>
                  </w:r>
                </w:p>
              </w:tc>
            </w:tr>
            <w:tr>
              <w:trPr>
                <w:trHeight w:val="808" w:hRule="atLeast"/>
              </w:trPr>
              <w:tc>
                <w:tcPr>
                  <w:tcW w:w="614" w:type="dxa"/>
                  <w:vAlign w:val="top"/>
                  <w:vMerge w:val="continue"/>
                  <w:tcBorders>
                    <w:top w:val="nil"/>
                    <w:bottom w:val="nil"/>
                  </w:tcBorders>
                </w:tcPr>
                <w:p>
                  <w:pPr>
                    <w:rPr>
                      <w:rFonts w:ascii="Arial"/>
                      <w:sz w:val="21"/>
                    </w:rPr>
                  </w:pPr>
                  <w:r/>
                </w:p>
              </w:tc>
              <w:tc>
                <w:tcPr>
                  <w:tcW w:w="1188" w:type="dxa"/>
                  <w:vAlign w:val="top"/>
                </w:tcPr>
                <w:p>
                  <w:pPr>
                    <w:spacing w:line="279" w:lineRule="auto"/>
                    <w:rPr>
                      <w:rFonts w:ascii="Arial"/>
                      <w:sz w:val="21"/>
                    </w:rPr>
                  </w:pPr>
                  <w:r/>
                </w:p>
                <w:p>
                  <w:pPr>
                    <w:pStyle w:val="TableText"/>
                    <w:ind w:left="280"/>
                    <w:spacing w:before="49" w:line="219" w:lineRule="auto"/>
                    <w:rPr/>
                  </w:pPr>
                  <w:r>
                    <w:rPr>
                      <w:spacing w:val="-2"/>
                    </w:rPr>
                    <w:t>服务配置</w:t>
                  </w:r>
                </w:p>
              </w:tc>
              <w:tc>
                <w:tcPr>
                  <w:tcW w:w="2617" w:type="dxa"/>
                  <w:vAlign w:val="top"/>
                </w:tcPr>
                <w:p>
                  <w:pPr>
                    <w:pStyle w:val="TableText"/>
                    <w:ind w:left="112" w:right="89" w:firstLine="160"/>
                    <w:spacing w:before="80" w:line="274" w:lineRule="auto"/>
                    <w:jc w:val="both"/>
                    <w:rPr/>
                  </w:pPr>
                  <w:r>
                    <w:rPr>
                      <w:spacing w:val="-1"/>
                    </w:rPr>
                    <w:t>服务/服务规格、资源规格/资源及</w:t>
                  </w:r>
                  <w:r>
                    <w:rPr>
                      <w:spacing w:val="9"/>
                    </w:rPr>
                    <w:t xml:space="preserve"> </w:t>
                  </w:r>
                  <w:r>
                    <w:rPr>
                      <w:spacing w:val="-1"/>
                    </w:rPr>
                    <w:t>参数之间的依赖关系。它同时包括配</w:t>
                  </w:r>
                  <w:r>
                    <w:rPr>
                      <w:spacing w:val="7"/>
                    </w:rPr>
                    <w:t xml:space="preserve"> </w:t>
                  </w:r>
                  <w:r>
                    <w:rPr>
                      <w:spacing w:val="-1"/>
                    </w:rPr>
                    <w:t>置变更的信息</w:t>
                  </w:r>
                </w:p>
              </w:tc>
              <w:tc>
                <w:tcPr>
                  <w:tcW w:w="2731" w:type="dxa"/>
                  <w:vAlign w:val="top"/>
                </w:tcPr>
                <w:p>
                  <w:pPr>
                    <w:pStyle w:val="TableText"/>
                    <w:ind w:left="125" w:right="70" w:firstLine="130"/>
                    <w:spacing w:before="209" w:line="264" w:lineRule="auto"/>
                    <w:rPr/>
                  </w:pPr>
                  <w:r>
                    <w:rPr>
                      <w:spacing w:val="-1"/>
                    </w:rPr>
                    <w:t>服务工单/服务规格配置/资源规格配</w:t>
                  </w:r>
                  <w:r>
                    <w:rPr>
                      <w:spacing w:val="10"/>
                    </w:rPr>
                    <w:t xml:space="preserve"> </w:t>
                  </w:r>
                  <w:r>
                    <w:rPr>
                      <w:spacing w:val="-1"/>
                    </w:rPr>
                    <w:t>置/服务配置/资源配置</w:t>
                  </w:r>
                </w:p>
              </w:tc>
            </w:tr>
            <w:tr>
              <w:trPr>
                <w:trHeight w:val="829" w:hRule="atLeast"/>
              </w:trPr>
              <w:tc>
                <w:tcPr>
                  <w:tcW w:w="614" w:type="dxa"/>
                  <w:vAlign w:val="top"/>
                  <w:vMerge w:val="continue"/>
                  <w:tcBorders>
                    <w:top w:val="nil"/>
                    <w:bottom w:val="nil"/>
                  </w:tcBorders>
                </w:tcPr>
                <w:p>
                  <w:pPr>
                    <w:rPr>
                      <w:rFonts w:ascii="Arial"/>
                      <w:sz w:val="21"/>
                    </w:rPr>
                  </w:pPr>
                  <w:r/>
                </w:p>
              </w:tc>
              <w:tc>
                <w:tcPr>
                  <w:tcW w:w="1188" w:type="dxa"/>
                  <w:vAlign w:val="top"/>
                </w:tcPr>
                <w:p>
                  <w:pPr>
                    <w:pStyle w:val="TableText"/>
                    <w:ind w:left="429" w:right="222" w:hanging="219"/>
                    <w:spacing w:before="220" w:line="266" w:lineRule="auto"/>
                    <w:rPr/>
                  </w:pPr>
                  <w:r>
                    <w:rPr>
                      <w:spacing w:val="-2"/>
                    </w:rPr>
                    <w:t>服务评估与</w:t>
                  </w:r>
                  <w:r>
                    <w:rPr>
                      <w:spacing w:val="3"/>
                    </w:rPr>
                    <w:t xml:space="preserve"> </w:t>
                  </w:r>
                  <w:r>
                    <w:rPr>
                      <w:spacing w:val="-3"/>
                    </w:rPr>
                    <w:t>统计</w:t>
                  </w:r>
                </w:p>
              </w:tc>
              <w:tc>
                <w:tcPr>
                  <w:tcW w:w="2617" w:type="dxa"/>
                  <w:vAlign w:val="top"/>
                </w:tcPr>
                <w:p>
                  <w:pPr>
                    <w:pStyle w:val="TableText"/>
                    <w:ind w:left="112" w:right="99" w:firstLine="149"/>
                    <w:spacing w:before="80" w:line="283" w:lineRule="auto"/>
                    <w:rPr/>
                  </w:pPr>
                  <w:r>
                    <w:rPr>
                      <w:spacing w:val="-1"/>
                    </w:rPr>
                    <w:t>服务评估是指收集、处理、分析和</w:t>
                  </w:r>
                  <w:r>
                    <w:rPr>
                      <w:spacing w:val="8"/>
                    </w:rPr>
                    <w:t xml:space="preserve"> </w:t>
                  </w:r>
                  <w:r>
                    <w:rPr>
                      <w:spacing w:val="-1"/>
                    </w:rPr>
                    <w:t>加工各种服务绩效统计数据和运营</w:t>
                  </w:r>
                </w:p>
                <w:p>
                  <w:pPr>
                    <w:pStyle w:val="TableText"/>
                    <w:ind w:left="122"/>
                    <w:spacing w:before="62" w:line="219" w:lineRule="auto"/>
                    <w:rPr/>
                  </w:pPr>
                  <w:r>
                    <w:rPr>
                      <w:spacing w:val="-1"/>
                    </w:rPr>
                    <w:t>特征的结果</w:t>
                  </w:r>
                </w:p>
              </w:tc>
              <w:tc>
                <w:tcPr>
                  <w:tcW w:w="2731" w:type="dxa"/>
                  <w:vAlign w:val="top"/>
                </w:tcPr>
                <w:p>
                  <w:pPr>
                    <w:pStyle w:val="TableText"/>
                    <w:ind w:left="125" w:right="220" w:firstLine="130"/>
                    <w:spacing w:before="221" w:line="276" w:lineRule="auto"/>
                    <w:rPr/>
                  </w:pPr>
                  <w:r>
                    <w:rPr>
                      <w:spacing w:val="-1"/>
                    </w:rPr>
                    <w:t>服务使用量的统计、服务的质量统</w:t>
                  </w:r>
                  <w:r>
                    <w:rPr>
                      <w:spacing w:val="8"/>
                    </w:rPr>
                    <w:t xml:space="preserve"> </w:t>
                  </w:r>
                  <w:r>
                    <w:rPr>
                      <w:spacing w:val="-1"/>
                    </w:rPr>
                    <w:t>计、服务域汇总数据</w:t>
                  </w:r>
                </w:p>
              </w:tc>
            </w:tr>
            <w:tr>
              <w:trPr>
                <w:trHeight w:val="559" w:hRule="atLeast"/>
              </w:trPr>
              <w:tc>
                <w:tcPr>
                  <w:tcW w:w="614" w:type="dxa"/>
                  <w:vAlign w:val="top"/>
                  <w:vMerge w:val="continue"/>
                  <w:tcBorders>
                    <w:top w:val="nil"/>
                    <w:bottom w:val="nil"/>
                  </w:tcBorders>
                </w:tcPr>
                <w:p>
                  <w:pPr>
                    <w:rPr>
                      <w:rFonts w:ascii="Arial"/>
                      <w:sz w:val="21"/>
                    </w:rPr>
                  </w:pPr>
                  <w:r/>
                </w:p>
              </w:tc>
              <w:tc>
                <w:tcPr>
                  <w:tcW w:w="1188" w:type="dxa"/>
                  <w:vAlign w:val="top"/>
                </w:tcPr>
                <w:p>
                  <w:pPr>
                    <w:pStyle w:val="TableText"/>
                    <w:ind w:left="280"/>
                    <w:spacing w:before="213" w:line="219" w:lineRule="auto"/>
                    <w:rPr/>
                  </w:pPr>
                  <w:r>
                    <w:rPr>
                      <w:spacing w:val="4"/>
                    </w:rPr>
                    <w:t>服务使用</w:t>
                  </w:r>
                </w:p>
              </w:tc>
              <w:tc>
                <w:tcPr>
                  <w:tcW w:w="2617" w:type="dxa"/>
                  <w:vAlign w:val="top"/>
                </w:tcPr>
                <w:p>
                  <w:pPr>
                    <w:pStyle w:val="TableText"/>
                    <w:ind w:left="273"/>
                    <w:spacing w:before="213" w:line="219" w:lineRule="auto"/>
                    <w:rPr/>
                  </w:pPr>
                  <w:r>
                    <w:rPr>
                      <w:spacing w:val="-1"/>
                    </w:rPr>
                    <w:t>服务使用的记录及其性能信息。</w:t>
                  </w:r>
                </w:p>
              </w:tc>
              <w:tc>
                <w:tcPr>
                  <w:tcW w:w="2731" w:type="dxa"/>
                  <w:vAlign w:val="top"/>
                </w:tcPr>
                <w:p>
                  <w:pPr>
                    <w:pStyle w:val="TableText"/>
                    <w:ind w:left="125" w:firstLine="138"/>
                    <w:spacing w:before="83" w:line="270" w:lineRule="auto"/>
                    <w:rPr/>
                  </w:pPr>
                  <w:r>
                    <w:rPr>
                      <w:spacing w:val="3"/>
                    </w:rPr>
                    <w:t>通信服务使用记录、服务性能数据、</w:t>
                  </w:r>
                  <w:r>
                    <w:rPr>
                      <w:spacing w:val="7"/>
                    </w:rPr>
                    <w:t xml:space="preserve"> </w:t>
                  </w:r>
                  <w:r>
                    <w:rPr>
                      <w:spacing w:val="1"/>
                    </w:rPr>
                    <w:t>预处理规则</w:t>
                  </w:r>
                </w:p>
              </w:tc>
            </w:tr>
            <w:tr>
              <w:trPr>
                <w:trHeight w:val="539" w:hRule="atLeast"/>
              </w:trPr>
              <w:tc>
                <w:tcPr>
                  <w:tcW w:w="614" w:type="dxa"/>
                  <w:vAlign w:val="top"/>
                  <w:vMerge w:val="continue"/>
                  <w:tcBorders>
                    <w:top w:val="nil"/>
                    <w:bottom w:val="nil"/>
                  </w:tcBorders>
                </w:tcPr>
                <w:p>
                  <w:pPr>
                    <w:rPr>
                      <w:rFonts w:ascii="Arial"/>
                      <w:sz w:val="21"/>
                    </w:rPr>
                  </w:pPr>
                  <w:r/>
                </w:p>
              </w:tc>
              <w:tc>
                <w:tcPr>
                  <w:tcW w:w="1188" w:type="dxa"/>
                  <w:vAlign w:val="top"/>
                </w:tcPr>
                <w:p>
                  <w:pPr>
                    <w:pStyle w:val="TableText"/>
                    <w:ind w:left="429" w:right="222" w:hanging="219"/>
                    <w:spacing w:before="83" w:line="265" w:lineRule="auto"/>
                    <w:rPr/>
                  </w:pPr>
                  <w:r>
                    <w:rPr>
                      <w:spacing w:val="-2"/>
                    </w:rPr>
                    <w:t>服务战略和</w:t>
                  </w:r>
                  <w:r>
                    <w:rPr>
                      <w:spacing w:val="3"/>
                    </w:rPr>
                    <w:t xml:space="preserve"> </w:t>
                  </w:r>
                  <w:r>
                    <w:rPr>
                      <w:spacing w:val="-2"/>
                    </w:rPr>
                    <w:t>计划</w:t>
                  </w:r>
                </w:p>
              </w:tc>
              <w:tc>
                <w:tcPr>
                  <w:tcW w:w="2617" w:type="dxa"/>
                  <w:vAlign w:val="top"/>
                </w:tcPr>
                <w:p>
                  <w:pPr>
                    <w:pStyle w:val="TableText"/>
                    <w:ind w:left="132" w:right="82" w:firstLine="149"/>
                    <w:spacing w:before="83" w:line="264" w:lineRule="auto"/>
                    <w:rPr/>
                  </w:pPr>
                  <w:r>
                    <w:rPr>
                      <w:spacing w:val="-1"/>
                    </w:rPr>
                    <w:t>它定义了优化现有服务、推出新服</w:t>
                  </w:r>
                  <w:r>
                    <w:rPr>
                      <w:spacing w:val="5"/>
                    </w:rPr>
                    <w:t xml:space="preserve"> </w:t>
                  </w:r>
                  <w:r>
                    <w:rPr>
                      <w:spacing w:val="-1"/>
                    </w:rPr>
                    <w:t>务，淘汰旧服务的战略和计划</w:t>
                  </w:r>
                </w:p>
              </w:tc>
              <w:tc>
                <w:tcPr>
                  <w:tcW w:w="2731" w:type="dxa"/>
                  <w:vAlign w:val="top"/>
                </w:tcPr>
                <w:p>
                  <w:pPr>
                    <w:pStyle w:val="TableText"/>
                    <w:ind w:left="125" w:right="90" w:firstLine="109"/>
                    <w:spacing w:before="83" w:line="270" w:lineRule="auto"/>
                    <w:rPr/>
                  </w:pPr>
                  <w:r>
                    <w:rPr>
                      <w:spacing w:val="-1"/>
                    </w:rPr>
                    <w:t>服务战略、服务计划、服务生命周期</w:t>
                  </w:r>
                  <w:r>
                    <w:rPr>
                      <w:spacing w:val="9"/>
                    </w:rPr>
                    <w:t xml:space="preserve"> </w:t>
                  </w:r>
                  <w:r>
                    <w:rPr>
                      <w:spacing w:val="-2"/>
                    </w:rPr>
                    <w:t>管理、服务目录</w:t>
                  </w:r>
                </w:p>
              </w:tc>
            </w:tr>
            <w:tr>
              <w:trPr>
                <w:trHeight w:val="549" w:hRule="atLeast"/>
              </w:trPr>
              <w:tc>
                <w:tcPr>
                  <w:tcW w:w="614" w:type="dxa"/>
                  <w:vAlign w:val="top"/>
                  <w:vMerge w:val="continue"/>
                  <w:tcBorders>
                    <w:top w:val="nil"/>
                    <w:bottom w:val="nil"/>
                  </w:tcBorders>
                </w:tcPr>
                <w:p>
                  <w:pPr>
                    <w:rPr>
                      <w:rFonts w:ascii="Arial"/>
                      <w:sz w:val="21"/>
                    </w:rPr>
                  </w:pPr>
                  <w:r/>
                </w:p>
              </w:tc>
              <w:tc>
                <w:tcPr>
                  <w:tcW w:w="1188" w:type="dxa"/>
                  <w:vAlign w:val="top"/>
                </w:tcPr>
                <w:p>
                  <w:pPr>
                    <w:pStyle w:val="TableText"/>
                    <w:ind w:left="280"/>
                    <w:spacing w:before="205" w:line="219" w:lineRule="auto"/>
                    <w:rPr/>
                  </w:pPr>
                  <w:r>
                    <w:rPr>
                      <w:spacing w:val="-2"/>
                    </w:rPr>
                    <w:t>服务故障</w:t>
                  </w:r>
                </w:p>
              </w:tc>
              <w:tc>
                <w:tcPr>
                  <w:tcW w:w="2617" w:type="dxa"/>
                  <w:vAlign w:val="top"/>
                </w:tcPr>
                <w:p>
                  <w:pPr>
                    <w:pStyle w:val="TableText"/>
                    <w:ind w:left="273"/>
                    <w:spacing w:before="203" w:line="218" w:lineRule="auto"/>
                    <w:rPr/>
                  </w:pPr>
                  <w:r>
                    <w:rPr>
                      <w:spacing w:val="-1"/>
                    </w:rPr>
                    <w:t>服务的警告、中断和服务缺陷数据</w:t>
                  </w:r>
                </w:p>
              </w:tc>
              <w:tc>
                <w:tcPr>
                  <w:tcW w:w="2731" w:type="dxa"/>
                  <w:vAlign w:val="top"/>
                </w:tcPr>
                <w:p>
                  <w:pPr>
                    <w:pStyle w:val="TableText"/>
                    <w:ind w:left="125" w:right="145" w:firstLine="130"/>
                    <w:spacing w:before="84" w:line="280" w:lineRule="auto"/>
                    <w:rPr/>
                  </w:pPr>
                  <w:r>
                    <w:rPr>
                      <w:spacing w:val="-1"/>
                    </w:rPr>
                    <w:t>服务告警、服务故障/故障单及其处</w:t>
                  </w:r>
                  <w:r>
                    <w:rPr>
                      <w:spacing w:val="9"/>
                    </w:rPr>
                    <w:t xml:space="preserve"> </w:t>
                  </w:r>
                  <w:r>
                    <w:rPr/>
                    <w:t>理</w:t>
                  </w:r>
                </w:p>
              </w:tc>
            </w:tr>
            <w:tr>
              <w:trPr>
                <w:trHeight w:val="834" w:hRule="atLeast"/>
              </w:trPr>
              <w:tc>
                <w:tcPr>
                  <w:tcW w:w="614" w:type="dxa"/>
                  <w:vAlign w:val="top"/>
                  <w:vMerge w:val="continue"/>
                  <w:tcBorders>
                    <w:top w:val="nil"/>
                  </w:tcBorders>
                </w:tcPr>
                <w:p>
                  <w:pPr>
                    <w:rPr>
                      <w:rFonts w:ascii="Arial"/>
                      <w:sz w:val="21"/>
                    </w:rPr>
                  </w:pPr>
                  <w:r/>
                </w:p>
              </w:tc>
              <w:tc>
                <w:tcPr>
                  <w:tcW w:w="1188" w:type="dxa"/>
                  <w:vAlign w:val="top"/>
                </w:tcPr>
                <w:p>
                  <w:pPr>
                    <w:spacing w:line="295" w:lineRule="auto"/>
                    <w:rPr>
                      <w:rFonts w:ascii="Arial"/>
                      <w:sz w:val="21"/>
                    </w:rPr>
                  </w:pPr>
                  <w:r/>
                </w:p>
                <w:p>
                  <w:pPr>
                    <w:pStyle w:val="TableText"/>
                    <w:ind w:left="280"/>
                    <w:spacing w:before="49" w:line="219" w:lineRule="auto"/>
                    <w:rPr/>
                  </w:pPr>
                  <w:r>
                    <w:rPr>
                      <w:spacing w:val="-2"/>
                    </w:rPr>
                    <w:t>服务测试</w:t>
                  </w:r>
                </w:p>
              </w:tc>
              <w:tc>
                <w:tcPr>
                  <w:tcW w:w="2617" w:type="dxa"/>
                  <w:vAlign w:val="top"/>
                </w:tcPr>
                <w:p>
                  <w:pPr>
                    <w:pStyle w:val="TableText"/>
                    <w:ind w:left="112" w:right="99" w:firstLine="149"/>
                    <w:spacing w:before="97" w:line="286" w:lineRule="auto"/>
                    <w:jc w:val="both"/>
                    <w:rPr/>
                  </w:pPr>
                  <w:r>
                    <w:rPr>
                      <w:spacing w:val="-1"/>
                    </w:rPr>
                    <w:t>服务测试用来在服务创建过程中，</w:t>
                  </w:r>
                  <w:r>
                    <w:rPr>
                      <w:spacing w:val="8"/>
                    </w:rPr>
                    <w:t xml:space="preserve"> </w:t>
                  </w:r>
                  <w:r>
                    <w:rPr/>
                    <w:t>故障诊断或故障修复后检测资源的  </w:t>
                  </w:r>
                  <w:r>
                    <w:rPr>
                      <w:spacing w:val="-2"/>
                    </w:rPr>
                    <w:t>运行特性</w:t>
                  </w:r>
                </w:p>
              </w:tc>
              <w:tc>
                <w:tcPr>
                  <w:tcW w:w="2731" w:type="dxa"/>
                  <w:vAlign w:val="top"/>
                </w:tcPr>
                <w:p>
                  <w:pPr>
                    <w:spacing w:line="295" w:lineRule="auto"/>
                    <w:rPr>
                      <w:rFonts w:ascii="Arial"/>
                      <w:sz w:val="21"/>
                    </w:rPr>
                  </w:pPr>
                  <w:r/>
                </w:p>
                <w:p>
                  <w:pPr>
                    <w:pStyle w:val="TableText"/>
                    <w:ind w:left="125"/>
                    <w:spacing w:before="49" w:line="219" w:lineRule="auto"/>
                    <w:rPr/>
                  </w:pPr>
                  <w:r>
                    <w:rPr>
                      <w:spacing w:val="-1"/>
                    </w:rPr>
                    <w:t>服务测试信息</w:t>
                  </w:r>
                </w:p>
              </w:tc>
            </w:tr>
          </w:tbl>
          <w:p>
            <w:pPr>
              <w:pStyle w:val="TableText"/>
              <w:ind w:left="339"/>
              <w:spacing w:before="192" w:line="220" w:lineRule="auto"/>
              <w:rPr>
                <w:sz w:val="16"/>
                <w:szCs w:val="16"/>
              </w:rPr>
            </w:pPr>
            <w:r>
              <w:rPr>
                <w:sz w:val="16"/>
                <w:szCs w:val="16"/>
                <w:spacing w:val="-4"/>
              </w:rPr>
              <w:t>5</w:t>
            </w:r>
            <w:r>
              <w:rPr>
                <w:sz w:val="16"/>
                <w:szCs w:val="16"/>
                <w:spacing w:val="72"/>
              </w:rPr>
              <w:t xml:space="preserve"> </w:t>
            </w:r>
            <w:r>
              <w:rPr>
                <w:sz w:val="16"/>
                <w:szCs w:val="16"/>
                <w:spacing w:val="-4"/>
              </w:rPr>
              <w:t>资源主题域</w:t>
            </w:r>
          </w:p>
          <w:p>
            <w:pPr>
              <w:spacing w:line="157" w:lineRule="exact"/>
              <w:rPr/>
            </w:pPr>
            <w:r/>
          </w:p>
          <w:tbl>
            <w:tblPr>
              <w:tblStyle w:val="TableNormal"/>
              <w:tblW w:w="7150" w:type="dxa"/>
              <w:tblInd w:w="3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4"/>
              <w:gridCol w:w="1199"/>
              <w:gridCol w:w="2626"/>
              <w:gridCol w:w="2721"/>
            </w:tblGrid>
            <w:tr>
              <w:trPr>
                <w:trHeight w:val="354" w:hRule="atLeast"/>
              </w:trPr>
              <w:tc>
                <w:tcPr>
                  <w:tcW w:w="1803" w:type="dxa"/>
                  <w:vAlign w:val="top"/>
                  <w:gridSpan w:val="2"/>
                </w:tcPr>
                <w:p>
                  <w:pPr>
                    <w:pStyle w:val="TableText"/>
                    <w:ind w:left="485"/>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626" w:type="dxa"/>
                  <w:vAlign w:val="top"/>
                </w:tcPr>
                <w:p>
                  <w:pPr>
                    <w:pStyle w:val="TableText"/>
                    <w:ind w:left="892"/>
                    <w:spacing w:before="10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21" w:type="dxa"/>
                  <w:vAlign w:val="top"/>
                </w:tcPr>
                <w:p>
                  <w:pPr>
                    <w:pStyle w:val="TableText"/>
                    <w:ind w:left="586"/>
                    <w:spacing w:before="101" w:line="219" w:lineRule="auto"/>
                    <w:rPr/>
                  </w:pPr>
                  <w:r>
                    <w:rPr>
                      <w:spacing w:val="-1"/>
                    </w:rPr>
                    <w:t>所覆盖的主要实体/数据</w:t>
                  </w:r>
                </w:p>
              </w:tc>
            </w:tr>
            <w:tr>
              <w:trPr>
                <w:trHeight w:val="857" w:hRule="atLeast"/>
              </w:trPr>
              <w:tc>
                <w:tcPr>
                  <w:tcW w:w="604"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145"/>
                    <w:spacing w:before="49" w:line="221" w:lineRule="auto"/>
                    <w:rPr/>
                  </w:pPr>
                  <w:r>
                    <w:rPr>
                      <w:spacing w:val="-4"/>
                    </w:rPr>
                    <w:t>资源</w:t>
                  </w:r>
                </w:p>
              </w:tc>
              <w:tc>
                <w:tcPr>
                  <w:tcW w:w="1199" w:type="dxa"/>
                  <w:vAlign w:val="top"/>
                </w:tcPr>
                <w:p>
                  <w:pPr>
                    <w:spacing w:line="307" w:lineRule="auto"/>
                    <w:rPr>
                      <w:rFonts w:ascii="Arial"/>
                      <w:sz w:val="21"/>
                    </w:rPr>
                  </w:pPr>
                  <w:r/>
                </w:p>
                <w:p>
                  <w:pPr>
                    <w:pStyle w:val="TableText"/>
                    <w:ind w:left="441"/>
                    <w:spacing w:before="49" w:line="221" w:lineRule="auto"/>
                    <w:rPr/>
                  </w:pPr>
                  <w:r>
                    <w:rPr>
                      <w:spacing w:val="-4"/>
                    </w:rPr>
                    <w:t>资源</w:t>
                  </w:r>
                </w:p>
              </w:tc>
              <w:tc>
                <w:tcPr>
                  <w:tcW w:w="2626" w:type="dxa"/>
                  <w:vAlign w:val="top"/>
                </w:tcPr>
                <w:p>
                  <w:pPr>
                    <w:pStyle w:val="TableText"/>
                    <w:ind w:left="111" w:right="111" w:firstLine="150"/>
                    <w:spacing w:before="226" w:line="276" w:lineRule="auto"/>
                    <w:rPr/>
                  </w:pPr>
                  <w:r>
                    <w:rPr>
                      <w:spacing w:val="-1"/>
                    </w:rPr>
                    <w:t>为业务和服务提供支撑的、具有价</w:t>
                  </w:r>
                  <w:r>
                    <w:rPr>
                      <w:spacing w:val="6"/>
                    </w:rPr>
                    <w:t xml:space="preserve"> </w:t>
                  </w:r>
                  <w:r>
                    <w:rPr>
                      <w:spacing w:val="-1"/>
                    </w:rPr>
                    <w:t>值的、有形或无形的物件</w:t>
                  </w:r>
                </w:p>
              </w:tc>
              <w:tc>
                <w:tcPr>
                  <w:tcW w:w="2721" w:type="dxa"/>
                  <w:vAlign w:val="top"/>
                </w:tcPr>
                <w:p>
                  <w:pPr>
                    <w:pStyle w:val="TableText"/>
                    <w:ind w:left="116" w:right="52" w:firstLine="149"/>
                    <w:spacing w:before="87" w:line="275" w:lineRule="auto"/>
                    <w:rPr/>
                  </w:pPr>
                  <w:r>
                    <w:rPr>
                      <w:spacing w:val="-1"/>
                    </w:rPr>
                    <w:t>纯逻辑资源，号码、逻辑连接等；纯</w:t>
                  </w:r>
                  <w:r>
                    <w:rPr>
                      <w:spacing w:val="7"/>
                    </w:rPr>
                    <w:t xml:space="preserve"> </w:t>
                  </w:r>
                  <w:r>
                    <w:rPr>
                      <w:spacing w:val="-1"/>
                    </w:rPr>
                    <w:t>物理资源，局站/机房、配线设备、线</w:t>
                  </w:r>
                </w:p>
                <w:p>
                  <w:pPr>
                    <w:pStyle w:val="TableText"/>
                    <w:ind w:left="266"/>
                    <w:spacing w:before="103" w:line="219" w:lineRule="auto"/>
                    <w:rPr/>
                  </w:pPr>
                  <w:r>
                    <w:rPr>
                      <w:spacing w:val="-1"/>
                    </w:rPr>
                    <w:t>缆、局外设施等</w:t>
                  </w:r>
                </w:p>
              </w:tc>
            </w:tr>
            <w:tr>
              <w:trPr>
                <w:trHeight w:val="608" w:hRule="atLeast"/>
              </w:trPr>
              <w:tc>
                <w:tcPr>
                  <w:tcW w:w="604" w:type="dxa"/>
                  <w:vAlign w:val="top"/>
                  <w:vMerge w:val="continue"/>
                  <w:tcBorders>
                    <w:top w:val="nil"/>
                    <w:bottom w:val="nil"/>
                  </w:tcBorders>
                </w:tcPr>
                <w:p>
                  <w:pPr>
                    <w:rPr>
                      <w:rFonts w:ascii="Arial"/>
                      <w:sz w:val="21"/>
                    </w:rPr>
                  </w:pPr>
                  <w:r/>
                </w:p>
              </w:tc>
              <w:tc>
                <w:tcPr>
                  <w:tcW w:w="1199" w:type="dxa"/>
                  <w:vAlign w:val="top"/>
                </w:tcPr>
                <w:p>
                  <w:pPr>
                    <w:pStyle w:val="TableText"/>
                    <w:ind w:left="291"/>
                    <w:spacing w:before="230" w:line="219" w:lineRule="auto"/>
                    <w:rPr/>
                  </w:pPr>
                  <w:r>
                    <w:rPr>
                      <w:spacing w:val="-3"/>
                    </w:rPr>
                    <w:t>资源规格</w:t>
                  </w:r>
                </w:p>
              </w:tc>
              <w:tc>
                <w:tcPr>
                  <w:tcW w:w="2626" w:type="dxa"/>
                  <w:vAlign w:val="top"/>
                </w:tcPr>
                <w:p>
                  <w:pPr>
                    <w:pStyle w:val="TableText"/>
                    <w:ind w:left="111" w:right="256" w:firstLine="160"/>
                    <w:spacing w:before="90" w:line="288" w:lineRule="auto"/>
                    <w:rPr/>
                  </w:pPr>
                  <w:r>
                    <w:rPr>
                      <w:spacing w:val="-1"/>
                    </w:rPr>
                    <w:t>资源规格定义了一组资源的不变</w:t>
                  </w:r>
                  <w:r>
                    <w:rPr/>
                    <w:t xml:space="preserve"> </w:t>
                  </w:r>
                  <w:r>
                    <w:rPr>
                      <w:spacing w:val="-1"/>
                    </w:rPr>
                    <w:t>特性和行为</w:t>
                  </w:r>
                </w:p>
              </w:tc>
              <w:tc>
                <w:tcPr>
                  <w:tcW w:w="2721" w:type="dxa"/>
                  <w:vAlign w:val="top"/>
                </w:tcPr>
                <w:p>
                  <w:pPr>
                    <w:pStyle w:val="TableText"/>
                    <w:ind w:left="266"/>
                    <w:spacing w:before="230" w:line="219" w:lineRule="auto"/>
                    <w:rPr/>
                  </w:pPr>
                  <w:r>
                    <w:rPr>
                      <w:spacing w:val="1"/>
                    </w:rPr>
                    <w:t>资源规格、资源规格关系</w:t>
                  </w:r>
                </w:p>
              </w:tc>
            </w:tr>
            <w:tr>
              <w:trPr>
                <w:trHeight w:val="588" w:hRule="atLeast"/>
              </w:trPr>
              <w:tc>
                <w:tcPr>
                  <w:tcW w:w="604" w:type="dxa"/>
                  <w:vAlign w:val="top"/>
                  <w:vMerge w:val="continue"/>
                  <w:tcBorders>
                    <w:top w:val="nil"/>
                    <w:bottom w:val="nil"/>
                  </w:tcBorders>
                </w:tcPr>
                <w:p>
                  <w:pPr>
                    <w:rPr>
                      <w:rFonts w:ascii="Arial"/>
                      <w:sz w:val="21"/>
                    </w:rPr>
                  </w:pPr>
                  <w:r/>
                </w:p>
              </w:tc>
              <w:tc>
                <w:tcPr>
                  <w:tcW w:w="1199" w:type="dxa"/>
                  <w:vAlign w:val="top"/>
                </w:tcPr>
                <w:p>
                  <w:pPr>
                    <w:pStyle w:val="TableText"/>
                    <w:ind w:left="291"/>
                    <w:spacing w:before="222" w:line="220" w:lineRule="auto"/>
                    <w:rPr/>
                  </w:pPr>
                  <w:r>
                    <w:rPr>
                      <w:spacing w:val="2"/>
                    </w:rPr>
                    <w:t>资源拓扑</w:t>
                  </w:r>
                </w:p>
              </w:tc>
              <w:tc>
                <w:tcPr>
                  <w:tcW w:w="2626" w:type="dxa"/>
                  <w:vAlign w:val="top"/>
                </w:tcPr>
                <w:p>
                  <w:pPr>
                    <w:pStyle w:val="TableText"/>
                    <w:ind w:left="111" w:right="116" w:firstLine="150"/>
                    <w:spacing w:before="92" w:line="288" w:lineRule="auto"/>
                    <w:rPr/>
                  </w:pPr>
                  <w:r>
                    <w:rPr>
                      <w:spacing w:val="-1"/>
                    </w:rPr>
                    <w:t>资源拓扑定义了物理、逻辑和网络</w:t>
                  </w:r>
                  <w:r>
                    <w:rPr>
                      <w:spacing w:val="1"/>
                    </w:rPr>
                    <w:t xml:space="preserve"> </w:t>
                  </w:r>
                  <w:r>
                    <w:rPr>
                      <w:spacing w:val="-2"/>
                    </w:rPr>
                    <w:t>拓扑信息</w:t>
                  </w:r>
                </w:p>
              </w:tc>
              <w:tc>
                <w:tcPr>
                  <w:tcW w:w="2721" w:type="dxa"/>
                  <w:vAlign w:val="top"/>
                </w:tcPr>
                <w:p>
                  <w:pPr>
                    <w:pStyle w:val="TableText"/>
                    <w:ind w:left="266"/>
                    <w:spacing w:before="222" w:line="219" w:lineRule="auto"/>
                    <w:rPr/>
                  </w:pPr>
                  <w:r>
                    <w:rPr>
                      <w:spacing w:val="1"/>
                    </w:rPr>
                    <w:t>以上资源的拓扑信息</w:t>
                  </w:r>
                </w:p>
              </w:tc>
            </w:tr>
            <w:tr>
              <w:trPr>
                <w:trHeight w:val="593" w:hRule="atLeast"/>
              </w:trPr>
              <w:tc>
                <w:tcPr>
                  <w:tcW w:w="604" w:type="dxa"/>
                  <w:vAlign w:val="top"/>
                  <w:vMerge w:val="continue"/>
                  <w:tcBorders>
                    <w:top w:val="nil"/>
                  </w:tcBorders>
                </w:tcPr>
                <w:p>
                  <w:pPr>
                    <w:rPr>
                      <w:rFonts w:ascii="Arial"/>
                      <w:sz w:val="21"/>
                    </w:rPr>
                  </w:pPr>
                  <w:r/>
                </w:p>
              </w:tc>
              <w:tc>
                <w:tcPr>
                  <w:tcW w:w="1199" w:type="dxa"/>
                  <w:vAlign w:val="top"/>
                </w:tcPr>
                <w:p>
                  <w:pPr>
                    <w:pStyle w:val="TableText"/>
                    <w:ind w:left="440" w:right="219" w:hanging="229"/>
                    <w:spacing w:before="93" w:line="284" w:lineRule="auto"/>
                    <w:rPr/>
                  </w:pPr>
                  <w:r>
                    <w:rPr>
                      <w:spacing w:val="1"/>
                    </w:rPr>
                    <w:t>资源评估及</w:t>
                  </w:r>
                  <w:r>
                    <w:rPr>
                      <w:spacing w:val="2"/>
                    </w:rPr>
                    <w:t xml:space="preserve"> </w:t>
                  </w:r>
                  <w:r>
                    <w:rPr>
                      <w:spacing w:val="-3"/>
                    </w:rPr>
                    <w:t>统计</w:t>
                  </w:r>
                </w:p>
              </w:tc>
              <w:tc>
                <w:tcPr>
                  <w:tcW w:w="2626" w:type="dxa"/>
                  <w:vAlign w:val="top"/>
                </w:tcPr>
                <w:p>
                  <w:pPr>
                    <w:pStyle w:val="TableText"/>
                    <w:ind w:left="122" w:right="125" w:firstLine="130"/>
                    <w:spacing w:before="93" w:line="282" w:lineRule="auto"/>
                    <w:rPr/>
                  </w:pPr>
                  <w:r>
                    <w:rPr>
                      <w:spacing w:val="-1"/>
                    </w:rPr>
                    <w:t>收集、处理、分析和加工资源相关</w:t>
                  </w:r>
                  <w:r>
                    <w:rPr>
                      <w:spacing w:val="2"/>
                    </w:rPr>
                    <w:t xml:space="preserve"> </w:t>
                  </w:r>
                  <w:r>
                    <w:rPr>
                      <w:spacing w:val="-1"/>
                    </w:rPr>
                    <w:t>数据得到的结果</w:t>
                  </w:r>
                </w:p>
              </w:tc>
              <w:tc>
                <w:tcPr>
                  <w:tcW w:w="2721" w:type="dxa"/>
                  <w:vAlign w:val="top"/>
                </w:tcPr>
                <w:p>
                  <w:pPr>
                    <w:pStyle w:val="TableText"/>
                    <w:ind w:left="266" w:right="197" w:firstLine="10"/>
                    <w:spacing w:before="94" w:line="288" w:lineRule="auto"/>
                    <w:rPr/>
                  </w:pPr>
                  <w:r>
                    <w:rPr>
                      <w:spacing w:val="-1"/>
                    </w:rPr>
                    <w:t>资源的使用量统计、资源的性能统</w:t>
                  </w:r>
                  <w:r>
                    <w:rPr>
                      <w:spacing w:val="1"/>
                    </w:rPr>
                    <w:t xml:space="preserve"> </w:t>
                  </w:r>
                  <w:r>
                    <w:rPr>
                      <w:spacing w:val="-1"/>
                    </w:rPr>
                    <w:t>计、资源域汇总数据</w:t>
                  </w:r>
                </w:p>
              </w:tc>
            </w:tr>
          </w:tbl>
          <w:p>
            <w:pPr>
              <w:spacing w:line="193" w:lineRule="exact"/>
              <w:rPr>
                <w:rFonts w:ascii="Arial"/>
                <w:sz w:val="16"/>
              </w:rPr>
            </w:pPr>
            <w:r/>
          </w:p>
        </w:tc>
      </w:tr>
    </w:tbl>
    <w:p>
      <w:pPr>
        <w:pStyle w:val="BodyText"/>
        <w:rPr/>
      </w:pPr>
      <w:r/>
    </w:p>
    <w:p>
      <w:pPr>
        <w:sectPr>
          <w:footerReference w:type="default" r:id="rId380"/>
          <w:pgSz w:w="8870" w:h="13400"/>
          <w:pgMar w:top="400" w:right="419" w:bottom="547" w:left="449" w:header="0" w:footer="338" w:gutter="0"/>
        </w:sectPr>
        <w:rPr/>
      </w:pPr>
    </w:p>
    <w:p>
      <w:pPr>
        <w:ind w:left="5533"/>
        <w:spacing w:before="170"/>
        <w:rPr>
          <w:sz w:val="24"/>
          <w:szCs w:val="24"/>
        </w:rPr>
      </w:pPr>
      <w:r>
        <w:pict>
          <v:rect id="_x0000_s456" style="position:absolute;margin-left:406.002pt;margin-top:71.9982pt;mso-position-vertical-relative:page;mso-position-horizontal-relative:page;width:1pt;height:509.55pt;z-index:256792576;" o:allowincell="f" fillcolor="#000000" filled="true" stroked="false"/>
        </w:pict>
      </w:r>
      <w:bookmarkStart w:name="bookmark73" w:id="68"/>
      <w:bookmarkEnd w:id="68"/>
      <w:r>
        <w:rPr>
          <w:rFonts w:ascii="SimSun" w:hAnsi="SimSun" w:eastAsia="SimSun" w:cs="SimSun"/>
          <w:sz w:val="24"/>
          <w:szCs w:val="24"/>
          <w:b/>
          <w:bCs/>
          <w:spacing w:val="-12"/>
        </w:rPr>
        <w:t>第8章■云端数据架构</w:t>
      </w:r>
      <w:r>
        <w:rPr>
          <w:rFonts w:ascii="SimSun" w:hAnsi="SimSun" w:eastAsia="SimSun" w:cs="SimSun"/>
          <w:sz w:val="24"/>
          <w:szCs w:val="24"/>
          <w:spacing w:val="-30"/>
        </w:rPr>
        <w:t xml:space="preserve"> </w:t>
      </w:r>
      <w:r>
        <w:rPr>
          <w:sz w:val="24"/>
          <w:szCs w:val="24"/>
          <w:position w:val="-7"/>
        </w:rPr>
        <w:drawing>
          <wp:inline distT="0" distB="0" distL="0" distR="0">
            <wp:extent cx="6363" cy="222255"/>
            <wp:effectExtent l="0" t="0" r="0" b="0"/>
            <wp:docPr id="260" name="IM 260"/>
            <wp:cNvGraphicFramePr/>
            <a:graphic>
              <a:graphicData uri="http://schemas.openxmlformats.org/drawingml/2006/picture">
                <pic:pic>
                  <pic:nvPicPr>
                    <pic:cNvPr id="260" name="IM 260"/>
                    <pic:cNvPicPr/>
                  </pic:nvPicPr>
                  <pic:blipFill>
                    <a:blip r:embed="rId383"/>
                    <a:stretch>
                      <a:fillRect/>
                    </a:stretch>
                  </pic:blipFill>
                  <pic:spPr>
                    <a:xfrm rot="0">
                      <a:off x="0" y="0"/>
                      <a:ext cx="6363" cy="222255"/>
                    </a:xfrm>
                    <a:prstGeom prst="rect">
                      <a:avLst/>
                    </a:prstGeom>
                  </pic:spPr>
                </pic:pic>
              </a:graphicData>
            </a:graphic>
          </wp:inline>
        </w:drawing>
      </w:r>
    </w:p>
    <w:p>
      <w:pPr>
        <w:pStyle w:val="BodyText"/>
        <w:spacing w:line="252" w:lineRule="auto"/>
        <w:rPr/>
      </w:pPr>
      <w:r/>
    </w:p>
    <w:p>
      <w:pPr>
        <w:spacing w:before="65" w:line="441" w:lineRule="auto"/>
        <w:tabs>
          <w:tab w:val="left" w:pos="6959"/>
        </w:tabs>
        <w:rPr>
          <w:rFonts w:ascii="SimHei" w:hAnsi="SimHei" w:eastAsia="SimHei" w:cs="SimHei"/>
          <w:sz w:val="20"/>
          <w:szCs w:val="20"/>
        </w:rPr>
      </w:pPr>
      <w:r>
        <w:pict>
          <v:rect id="_x0000_s458" style="position:absolute;margin-left:2.0001pt;margin-top:13.8236pt;mso-position-vertical-relative:text;mso-position-horizontal-relative:text;width:1pt;height:509.55pt;z-index:256793600;" fillcolor="#000000" filled="true" stroked="false"/>
        </w:pict>
      </w:r>
      <w:r>
        <w:rPr>
          <w:rFonts w:ascii="SimHei" w:hAnsi="SimHei" w:eastAsia="SimHei" w:cs="SimHei"/>
          <w:sz w:val="20"/>
          <w:szCs w:val="20"/>
          <w:u w:val="single" w:color="auto"/>
        </w:rPr>
        <w:tab/>
      </w:r>
      <w:r>
        <w:rPr>
          <w:rFonts w:ascii="SimHei" w:hAnsi="SimHei" w:eastAsia="SimHei" w:cs="SimHei"/>
          <w:sz w:val="20"/>
          <w:szCs w:val="20"/>
          <w:u w:val="single" w:color="auto"/>
          <w:spacing w:val="-3"/>
        </w:rPr>
        <w:t>续表</w:t>
      </w:r>
      <w:r>
        <w:rPr>
          <w:rFonts w:ascii="SimHei" w:hAnsi="SimHei" w:eastAsia="SimHei" w:cs="SimHei"/>
          <w:sz w:val="20"/>
          <w:szCs w:val="20"/>
          <w:u w:val="single" w:color="auto"/>
        </w:rPr>
        <w:t xml:space="preserve">    </w:t>
      </w:r>
    </w:p>
    <w:p>
      <w:pPr>
        <w:ind w:left="6899"/>
        <w:spacing w:line="219" w:lineRule="auto"/>
        <w:rPr>
          <w:rFonts w:ascii="SimSun" w:hAnsi="SimSun" w:eastAsia="SimSun" w:cs="SimSun"/>
          <w:sz w:val="15"/>
          <w:szCs w:val="15"/>
        </w:rPr>
      </w:pPr>
      <w:r>
        <w:rPr>
          <w:rFonts w:ascii="SimSun" w:hAnsi="SimSun" w:eastAsia="SimSun" w:cs="SimSun"/>
          <w:sz w:val="15"/>
          <w:szCs w:val="15"/>
          <w:spacing w:val="-2"/>
        </w:rPr>
        <w:t>续表</w:t>
      </w:r>
    </w:p>
    <w:tbl>
      <w:tblPr>
        <w:tblStyle w:val="TableNormal"/>
        <w:tblW w:w="715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94"/>
        <w:gridCol w:w="1198"/>
        <w:gridCol w:w="2616"/>
        <w:gridCol w:w="2751"/>
      </w:tblGrid>
      <w:tr>
        <w:trPr>
          <w:trHeight w:val="354" w:hRule="atLeast"/>
        </w:trPr>
        <w:tc>
          <w:tcPr>
            <w:tcW w:w="1792" w:type="dxa"/>
            <w:vAlign w:val="top"/>
            <w:gridSpan w:val="2"/>
          </w:tcPr>
          <w:p>
            <w:pPr>
              <w:pStyle w:val="TableText"/>
              <w:ind w:left="474"/>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616" w:type="dxa"/>
            <w:vAlign w:val="top"/>
          </w:tcPr>
          <w:p>
            <w:pPr>
              <w:pStyle w:val="TableText"/>
              <w:ind w:left="882"/>
              <w:spacing w:before="10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51" w:type="dxa"/>
            <w:vAlign w:val="top"/>
          </w:tcPr>
          <w:p>
            <w:pPr>
              <w:pStyle w:val="TableText"/>
              <w:ind w:left="606"/>
              <w:spacing w:before="101" w:line="219" w:lineRule="auto"/>
              <w:rPr/>
            </w:pPr>
            <w:r>
              <w:rPr>
                <w:spacing w:val="-1"/>
              </w:rPr>
              <w:t>所覆盖的主要实体/数据</w:t>
            </w:r>
          </w:p>
        </w:tc>
      </w:tr>
      <w:tr>
        <w:trPr>
          <w:trHeight w:val="1236" w:hRule="atLeast"/>
        </w:trPr>
        <w:tc>
          <w:tcPr>
            <w:tcW w:w="594"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pStyle w:val="TableText"/>
              <w:ind w:left="144"/>
              <w:spacing w:before="48" w:line="221" w:lineRule="auto"/>
              <w:rPr/>
            </w:pPr>
            <w:r>
              <w:rPr>
                <w:spacing w:val="-4"/>
              </w:rPr>
              <w:t>资源</w:t>
            </w:r>
          </w:p>
        </w:tc>
        <w:tc>
          <w:tcPr>
            <w:tcW w:w="1198" w:type="dxa"/>
            <w:vAlign w:val="top"/>
          </w:tcPr>
          <w:p>
            <w:pPr>
              <w:spacing w:line="367" w:lineRule="auto"/>
              <w:rPr>
                <w:rFonts w:ascii="Arial"/>
                <w:sz w:val="21"/>
              </w:rPr>
            </w:pPr>
            <w:r/>
          </w:p>
          <w:p>
            <w:pPr>
              <w:pStyle w:val="TableText"/>
              <w:ind w:left="440" w:right="214" w:hanging="229"/>
              <w:spacing w:before="48" w:line="289" w:lineRule="auto"/>
              <w:rPr/>
            </w:pPr>
            <w:r>
              <w:rPr>
                <w:spacing w:val="2"/>
              </w:rPr>
              <w:t>资源战略和</w:t>
            </w:r>
            <w:r>
              <w:rPr>
                <w:spacing w:val="1"/>
              </w:rPr>
              <w:t xml:space="preserve"> </w:t>
            </w:r>
            <w:r>
              <w:rPr>
                <w:spacing w:val="-2"/>
              </w:rPr>
              <w:t>计划</w:t>
            </w:r>
          </w:p>
        </w:tc>
        <w:tc>
          <w:tcPr>
            <w:tcW w:w="2616" w:type="dxa"/>
            <w:vAlign w:val="top"/>
          </w:tcPr>
          <w:p>
            <w:pPr>
              <w:pStyle w:val="TableText"/>
              <w:ind w:left="102" w:right="108" w:firstLine="149"/>
              <w:spacing w:before="118" w:line="369" w:lineRule="auto"/>
              <w:rPr/>
            </w:pPr>
            <w:r>
              <w:rPr/>
              <w:t>资源战略和计划负责规划初始和</w:t>
            </w:r>
            <w:r>
              <w:rPr>
                <w:spacing w:val="3"/>
              </w:rPr>
              <w:t xml:space="preserve">   </w:t>
            </w:r>
            <w:r>
              <w:rPr>
                <w:spacing w:val="-1"/>
              </w:rPr>
              <w:t>适应未来增长的网络和资源元素，协</w:t>
            </w:r>
            <w:r>
              <w:rPr>
                <w:spacing w:val="9"/>
              </w:rPr>
              <w:t xml:space="preserve"> </w:t>
            </w:r>
            <w:r>
              <w:rPr>
                <w:spacing w:val="4"/>
              </w:rPr>
              <w:t>调逻辑和物理资源的增长以及管理</w:t>
            </w:r>
          </w:p>
          <w:p>
            <w:pPr>
              <w:pStyle w:val="TableText"/>
              <w:ind w:left="123"/>
              <w:spacing w:line="220" w:lineRule="auto"/>
              <w:rPr/>
            </w:pPr>
            <w:r>
              <w:rPr>
                <w:spacing w:val="-1"/>
              </w:rPr>
              <w:t>逻辑和物理资源的生命周期</w:t>
            </w:r>
          </w:p>
        </w:tc>
        <w:tc>
          <w:tcPr>
            <w:tcW w:w="2751" w:type="dxa"/>
            <w:vAlign w:val="top"/>
          </w:tcPr>
          <w:p>
            <w:pPr>
              <w:spacing w:line="366" w:lineRule="auto"/>
              <w:rPr>
                <w:rFonts w:ascii="Arial"/>
                <w:sz w:val="21"/>
              </w:rPr>
            </w:pPr>
            <w:r/>
          </w:p>
          <w:p>
            <w:pPr>
              <w:pStyle w:val="TableText"/>
              <w:ind w:left="286" w:right="36"/>
              <w:spacing w:before="49" w:line="288" w:lineRule="auto"/>
              <w:rPr/>
            </w:pPr>
            <w:r>
              <w:rPr>
                <w:spacing w:val="1"/>
              </w:rPr>
              <w:t>资源的战略、资源计划、资源生命周</w:t>
            </w:r>
            <w:r>
              <w:rPr/>
              <w:t xml:space="preserve"> </w:t>
            </w:r>
            <w:r>
              <w:rPr>
                <w:spacing w:val="-2"/>
              </w:rPr>
              <w:t>期管理</w:t>
            </w:r>
          </w:p>
        </w:tc>
      </w:tr>
      <w:tr>
        <w:trPr>
          <w:trHeight w:val="339" w:hRule="atLeast"/>
        </w:trPr>
        <w:tc>
          <w:tcPr>
            <w:tcW w:w="594" w:type="dxa"/>
            <w:vAlign w:val="top"/>
            <w:vMerge w:val="continue"/>
            <w:tcBorders>
              <w:top w:val="nil"/>
              <w:bottom w:val="nil"/>
            </w:tcBorders>
          </w:tcPr>
          <w:p>
            <w:pPr>
              <w:rPr>
                <w:rFonts w:ascii="Arial"/>
                <w:sz w:val="21"/>
              </w:rPr>
            </w:pPr>
            <w:r/>
          </w:p>
        </w:tc>
        <w:tc>
          <w:tcPr>
            <w:tcW w:w="1198" w:type="dxa"/>
            <w:vAlign w:val="top"/>
          </w:tcPr>
          <w:p>
            <w:pPr>
              <w:pStyle w:val="TableText"/>
              <w:ind w:left="291"/>
              <w:spacing w:before="101" w:line="219" w:lineRule="auto"/>
              <w:rPr/>
            </w:pPr>
            <w:r>
              <w:rPr>
                <w:spacing w:val="4"/>
              </w:rPr>
              <w:t>资源使用</w:t>
            </w:r>
          </w:p>
        </w:tc>
        <w:tc>
          <w:tcPr>
            <w:tcW w:w="2616" w:type="dxa"/>
            <w:vAlign w:val="top"/>
          </w:tcPr>
          <w:p>
            <w:pPr>
              <w:pStyle w:val="TableText"/>
              <w:ind w:left="272"/>
              <w:spacing w:before="101" w:line="219" w:lineRule="auto"/>
              <w:rPr/>
            </w:pPr>
            <w:r>
              <w:rPr/>
              <w:t>资源使用记录及其性能信息</w:t>
            </w:r>
          </w:p>
        </w:tc>
        <w:tc>
          <w:tcPr>
            <w:tcW w:w="2751" w:type="dxa"/>
            <w:vAlign w:val="top"/>
          </w:tcPr>
          <w:p>
            <w:pPr>
              <w:pStyle w:val="TableText"/>
              <w:ind w:left="286"/>
              <w:spacing w:before="101" w:line="219" w:lineRule="auto"/>
              <w:rPr/>
            </w:pPr>
            <w:r>
              <w:rPr/>
              <w:t>资源使用状态、资源性能数据</w:t>
            </w:r>
          </w:p>
        </w:tc>
      </w:tr>
      <w:tr>
        <w:trPr>
          <w:trHeight w:val="338" w:hRule="atLeast"/>
        </w:trPr>
        <w:tc>
          <w:tcPr>
            <w:tcW w:w="594" w:type="dxa"/>
            <w:vAlign w:val="top"/>
            <w:vMerge w:val="continue"/>
            <w:tcBorders>
              <w:top w:val="nil"/>
              <w:bottom w:val="nil"/>
            </w:tcBorders>
          </w:tcPr>
          <w:p>
            <w:pPr>
              <w:rPr>
                <w:rFonts w:ascii="Arial"/>
                <w:sz w:val="21"/>
              </w:rPr>
            </w:pPr>
            <w:r/>
          </w:p>
        </w:tc>
        <w:tc>
          <w:tcPr>
            <w:tcW w:w="1198" w:type="dxa"/>
            <w:vAlign w:val="top"/>
          </w:tcPr>
          <w:p>
            <w:pPr>
              <w:pStyle w:val="TableText"/>
              <w:ind w:left="291"/>
              <w:spacing w:before="102" w:line="219" w:lineRule="auto"/>
              <w:rPr/>
            </w:pPr>
            <w:r>
              <w:rPr>
                <w:spacing w:val="-3"/>
              </w:rPr>
              <w:t>资源故障</w:t>
            </w:r>
          </w:p>
        </w:tc>
        <w:tc>
          <w:tcPr>
            <w:tcW w:w="2616" w:type="dxa"/>
            <w:vAlign w:val="top"/>
          </w:tcPr>
          <w:p>
            <w:pPr>
              <w:pStyle w:val="TableText"/>
              <w:ind w:left="262"/>
              <w:spacing w:before="100" w:line="218" w:lineRule="auto"/>
              <w:rPr/>
            </w:pPr>
            <w:r>
              <w:rPr/>
              <w:t>资源的告警、中断及资源缺陷数据</w:t>
            </w:r>
          </w:p>
        </w:tc>
        <w:tc>
          <w:tcPr>
            <w:tcW w:w="2751" w:type="dxa"/>
            <w:vAlign w:val="top"/>
          </w:tcPr>
          <w:p>
            <w:pPr>
              <w:pStyle w:val="TableText"/>
              <w:ind w:left="286"/>
              <w:spacing w:before="102" w:line="219" w:lineRule="auto"/>
              <w:rPr/>
            </w:pPr>
            <w:r>
              <w:rPr>
                <w:spacing w:val="-1"/>
              </w:rPr>
              <w:t>资源故障/资源故障单及其处理</w:t>
            </w:r>
          </w:p>
        </w:tc>
      </w:tr>
      <w:tr>
        <w:trPr>
          <w:trHeight w:val="942" w:hRule="atLeast"/>
        </w:trPr>
        <w:tc>
          <w:tcPr>
            <w:tcW w:w="594" w:type="dxa"/>
            <w:vAlign w:val="top"/>
            <w:vMerge w:val="continue"/>
            <w:tcBorders>
              <w:top w:val="nil"/>
            </w:tcBorders>
          </w:tcPr>
          <w:p>
            <w:pPr>
              <w:rPr>
                <w:rFonts w:ascii="Arial"/>
                <w:sz w:val="21"/>
              </w:rPr>
            </w:pPr>
            <w:r/>
          </w:p>
        </w:tc>
        <w:tc>
          <w:tcPr>
            <w:tcW w:w="1198" w:type="dxa"/>
            <w:vAlign w:val="top"/>
          </w:tcPr>
          <w:p>
            <w:pPr>
              <w:spacing w:line="354" w:lineRule="auto"/>
              <w:rPr>
                <w:rFonts w:ascii="Arial"/>
                <w:sz w:val="21"/>
              </w:rPr>
            </w:pPr>
            <w:r/>
          </w:p>
          <w:p>
            <w:pPr>
              <w:pStyle w:val="TableText"/>
              <w:ind w:left="291"/>
              <w:spacing w:before="48" w:line="221" w:lineRule="auto"/>
              <w:rPr/>
            </w:pPr>
            <w:r>
              <w:rPr>
                <w:spacing w:val="-3"/>
              </w:rPr>
              <w:t>资源测试</w:t>
            </w:r>
          </w:p>
        </w:tc>
        <w:tc>
          <w:tcPr>
            <w:tcW w:w="2616" w:type="dxa"/>
            <w:vAlign w:val="top"/>
          </w:tcPr>
          <w:p>
            <w:pPr>
              <w:pStyle w:val="TableText"/>
              <w:ind w:left="172" w:right="95" w:firstLine="100"/>
              <w:spacing w:before="134" w:line="363" w:lineRule="auto"/>
              <w:rPr/>
            </w:pPr>
            <w:r>
              <w:rPr>
                <w:spacing w:val="-1"/>
              </w:rPr>
              <w:t>资源测试用来在安装过程中，故障</w:t>
            </w:r>
            <w:r>
              <w:rPr>
                <w:spacing w:val="1"/>
              </w:rPr>
              <w:t xml:space="preserve"> </w:t>
            </w:r>
            <w:r>
              <w:rPr>
                <w:spacing w:val="-1"/>
              </w:rPr>
              <w:t>诊断或故障修复后检测资源的运行</w:t>
            </w:r>
          </w:p>
          <w:p>
            <w:pPr>
              <w:pStyle w:val="TableText"/>
              <w:ind w:left="102"/>
              <w:spacing w:line="219" w:lineRule="auto"/>
              <w:rPr/>
            </w:pPr>
            <w:r>
              <w:rPr>
                <w:spacing w:val="-2"/>
              </w:rPr>
              <w:t>特性</w:t>
            </w:r>
          </w:p>
        </w:tc>
        <w:tc>
          <w:tcPr>
            <w:tcW w:w="2751" w:type="dxa"/>
            <w:vAlign w:val="top"/>
          </w:tcPr>
          <w:p>
            <w:pPr>
              <w:spacing w:line="353" w:lineRule="auto"/>
              <w:rPr>
                <w:rFonts w:ascii="Arial"/>
                <w:sz w:val="21"/>
              </w:rPr>
            </w:pPr>
            <w:r/>
          </w:p>
          <w:p>
            <w:pPr>
              <w:pStyle w:val="TableText"/>
              <w:ind w:left="286"/>
              <w:spacing w:before="49" w:line="219" w:lineRule="auto"/>
              <w:rPr/>
            </w:pPr>
            <w:r>
              <w:rPr>
                <w:spacing w:val="1"/>
              </w:rPr>
              <w:t>资源测试信息</w:t>
            </w:r>
          </w:p>
        </w:tc>
      </w:tr>
    </w:tbl>
    <w:p>
      <w:pPr>
        <w:ind w:left="319"/>
        <w:spacing w:before="211" w:line="219" w:lineRule="auto"/>
        <w:rPr>
          <w:rFonts w:ascii="SimSun" w:hAnsi="SimSun" w:eastAsia="SimSun" w:cs="SimSun"/>
          <w:sz w:val="16"/>
          <w:szCs w:val="16"/>
        </w:rPr>
      </w:pPr>
      <w:r>
        <w:rPr>
          <w:rFonts w:ascii="SimSun" w:hAnsi="SimSun" w:eastAsia="SimSun" w:cs="SimSun"/>
          <w:sz w:val="16"/>
          <w:szCs w:val="16"/>
          <w:spacing w:val="-6"/>
        </w:rPr>
        <w:t>6</w:t>
      </w:r>
      <w:r>
        <w:rPr>
          <w:rFonts w:ascii="SimSun" w:hAnsi="SimSun" w:eastAsia="SimSun" w:cs="SimSun"/>
          <w:sz w:val="16"/>
          <w:szCs w:val="16"/>
          <w:spacing w:val="49"/>
          <w:w w:val="101"/>
        </w:rPr>
        <w:t xml:space="preserve"> </w:t>
      </w:r>
      <w:r>
        <w:rPr>
          <w:rFonts w:ascii="SimSun" w:hAnsi="SimSun" w:eastAsia="SimSun" w:cs="SimSun"/>
          <w:sz w:val="16"/>
          <w:szCs w:val="16"/>
          <w:spacing w:val="-6"/>
        </w:rPr>
        <w:t>市场营销主题域</w:t>
      </w:r>
    </w:p>
    <w:p>
      <w:pPr>
        <w:spacing w:line="148" w:lineRule="exact"/>
        <w:rPr/>
      </w:pPr>
      <w:r/>
    </w:p>
    <w:tbl>
      <w:tblPr>
        <w:tblStyle w:val="TableNormal"/>
        <w:tblW w:w="7160"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4"/>
        <w:gridCol w:w="1198"/>
        <w:gridCol w:w="2617"/>
        <w:gridCol w:w="2741"/>
      </w:tblGrid>
      <w:tr>
        <w:trPr>
          <w:trHeight w:val="354" w:hRule="atLeast"/>
        </w:trPr>
        <w:tc>
          <w:tcPr>
            <w:tcW w:w="1802" w:type="dxa"/>
            <w:vAlign w:val="top"/>
            <w:gridSpan w:val="2"/>
          </w:tcPr>
          <w:p>
            <w:pPr>
              <w:pStyle w:val="TableText"/>
              <w:ind w:left="484"/>
              <w:spacing w:before="10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617" w:type="dxa"/>
            <w:vAlign w:val="top"/>
          </w:tcPr>
          <w:p>
            <w:pPr>
              <w:pStyle w:val="TableText"/>
              <w:ind w:left="883"/>
              <w:spacing w:before="10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41" w:type="dxa"/>
            <w:vAlign w:val="top"/>
          </w:tcPr>
          <w:p>
            <w:pPr>
              <w:pStyle w:val="TableText"/>
              <w:ind w:left="605"/>
              <w:spacing w:before="101" w:line="219" w:lineRule="auto"/>
              <w:rPr/>
            </w:pPr>
            <w:r>
              <w:rPr>
                <w:spacing w:val="-1"/>
              </w:rPr>
              <w:t>所覆盖的主要实体/数据</w:t>
            </w:r>
          </w:p>
        </w:tc>
      </w:tr>
      <w:tr>
        <w:trPr>
          <w:trHeight w:val="619" w:hRule="atLeast"/>
        </w:trPr>
        <w:tc>
          <w:tcPr>
            <w:tcW w:w="604" w:type="dxa"/>
            <w:vAlign w:val="top"/>
            <w:vMerge w:val="restart"/>
            <w:tcBorders>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44"/>
              <w:spacing w:before="49" w:line="300" w:lineRule="exact"/>
              <w:rPr/>
            </w:pPr>
            <w:r>
              <w:rPr>
                <w:spacing w:val="-3"/>
                <w:position w:val="11"/>
              </w:rPr>
              <w:t>市场</w:t>
            </w:r>
          </w:p>
          <w:p>
            <w:pPr>
              <w:pStyle w:val="TableText"/>
              <w:ind w:left="144"/>
              <w:spacing w:line="220" w:lineRule="auto"/>
              <w:rPr/>
            </w:pPr>
            <w:r>
              <w:rPr>
                <w:spacing w:val="5"/>
              </w:rPr>
              <w:t>营销</w:t>
            </w:r>
          </w:p>
        </w:tc>
        <w:tc>
          <w:tcPr>
            <w:tcW w:w="1198" w:type="dxa"/>
            <w:vAlign w:val="top"/>
          </w:tcPr>
          <w:p>
            <w:pPr>
              <w:pStyle w:val="TableText"/>
              <w:ind w:left="440" w:right="214" w:hanging="229"/>
              <w:spacing w:before="117" w:line="283" w:lineRule="auto"/>
              <w:rPr/>
            </w:pPr>
            <w:r>
              <w:rPr>
                <w:spacing w:val="2"/>
              </w:rPr>
              <w:t>市场战略和</w:t>
            </w:r>
            <w:r>
              <w:rPr>
                <w:spacing w:val="1"/>
              </w:rPr>
              <w:t xml:space="preserve"> </w:t>
            </w:r>
            <w:r>
              <w:rPr>
                <w:spacing w:val="-2"/>
              </w:rPr>
              <w:t>计划</w:t>
            </w:r>
          </w:p>
        </w:tc>
        <w:tc>
          <w:tcPr>
            <w:tcW w:w="2617" w:type="dxa"/>
            <w:vAlign w:val="top"/>
          </w:tcPr>
          <w:p>
            <w:pPr>
              <w:pStyle w:val="TableText"/>
              <w:ind w:left="123" w:right="262" w:firstLine="130"/>
              <w:spacing w:before="107" w:line="288" w:lineRule="auto"/>
              <w:rPr/>
            </w:pPr>
            <w:r>
              <w:rPr>
                <w:spacing w:val="-1"/>
              </w:rPr>
              <w:t>是指为了一定的市场目标而制订</w:t>
            </w:r>
            <w:r>
              <w:rPr>
                <w:spacing w:val="4"/>
              </w:rPr>
              <w:t xml:space="preserve"> </w:t>
            </w:r>
            <w:r>
              <w:rPr/>
              <w:t>的一系列市场战役</w:t>
            </w:r>
          </w:p>
        </w:tc>
        <w:tc>
          <w:tcPr>
            <w:tcW w:w="2741" w:type="dxa"/>
            <w:vAlign w:val="top"/>
          </w:tcPr>
          <w:p>
            <w:pPr>
              <w:pStyle w:val="TableText"/>
              <w:ind w:left="276"/>
              <w:spacing w:before="237" w:line="219" w:lineRule="auto"/>
              <w:rPr/>
            </w:pPr>
            <w:r>
              <w:rPr>
                <w:spacing w:val="-1"/>
              </w:rPr>
              <w:t>市场战略、市场计划、品牌</w:t>
            </w:r>
          </w:p>
        </w:tc>
      </w:tr>
      <w:tr>
        <w:trPr>
          <w:trHeight w:val="63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291"/>
              <w:spacing w:before="248" w:line="219" w:lineRule="auto"/>
              <w:rPr/>
            </w:pPr>
            <w:r>
              <w:rPr>
                <w:spacing w:val="-2"/>
              </w:rPr>
              <w:t>市场细分</w:t>
            </w:r>
          </w:p>
        </w:tc>
        <w:tc>
          <w:tcPr>
            <w:tcW w:w="2617" w:type="dxa"/>
            <w:vAlign w:val="top"/>
          </w:tcPr>
          <w:p>
            <w:pPr>
              <w:pStyle w:val="TableText"/>
              <w:ind w:left="253"/>
              <w:spacing w:before="118" w:line="309" w:lineRule="exact"/>
              <w:rPr/>
            </w:pPr>
            <w:r>
              <w:rPr>
                <w:spacing w:val="-1"/>
                <w:position w:val="12"/>
              </w:rPr>
              <w:t>市场细分是指满足某些要求或具</w:t>
            </w:r>
          </w:p>
          <w:p>
            <w:pPr>
              <w:pStyle w:val="TableText"/>
              <w:ind w:left="113"/>
              <w:spacing w:line="219" w:lineRule="auto"/>
              <w:rPr/>
            </w:pPr>
            <w:r>
              <w:rPr>
                <w:spacing w:val="-1"/>
              </w:rPr>
              <w:t>备某些特征的市场子集</w:t>
            </w:r>
          </w:p>
        </w:tc>
        <w:tc>
          <w:tcPr>
            <w:tcW w:w="2741" w:type="dxa"/>
            <w:vAlign w:val="top"/>
          </w:tcPr>
          <w:p>
            <w:pPr>
              <w:pStyle w:val="TableText"/>
              <w:ind w:right="40"/>
              <w:spacing w:before="118" w:line="300" w:lineRule="exact"/>
              <w:jc w:val="right"/>
              <w:rPr/>
            </w:pPr>
            <w:r>
              <w:rPr>
                <w:position w:val="11"/>
              </w:rPr>
              <w:t>市场细分、客户分群相关信息、维系</w:t>
            </w:r>
          </w:p>
          <w:p>
            <w:pPr>
              <w:pStyle w:val="TableText"/>
              <w:ind w:left="126"/>
              <w:spacing w:line="220" w:lineRule="auto"/>
              <w:rPr/>
            </w:pPr>
            <w:r>
              <w:rPr>
                <w:spacing w:val="-1"/>
              </w:rPr>
              <w:t>挽留计划</w:t>
            </w:r>
          </w:p>
        </w:tc>
      </w:tr>
      <w:tr>
        <w:trPr>
          <w:trHeight w:val="938" w:hRule="atLeast"/>
        </w:trPr>
        <w:tc>
          <w:tcPr>
            <w:tcW w:w="604" w:type="dxa"/>
            <w:vAlign w:val="top"/>
            <w:vMerge w:val="continue"/>
            <w:tcBorders>
              <w:top w:val="nil"/>
              <w:bottom w:val="nil"/>
            </w:tcBorders>
          </w:tcPr>
          <w:p>
            <w:pPr>
              <w:rPr>
                <w:rFonts w:ascii="Arial"/>
                <w:sz w:val="21"/>
              </w:rPr>
            </w:pPr>
            <w:r/>
          </w:p>
        </w:tc>
        <w:tc>
          <w:tcPr>
            <w:tcW w:w="1198" w:type="dxa"/>
            <w:vAlign w:val="top"/>
          </w:tcPr>
          <w:p>
            <w:pPr>
              <w:spacing w:line="348" w:lineRule="auto"/>
              <w:rPr>
                <w:rFonts w:ascii="Arial"/>
                <w:sz w:val="21"/>
              </w:rPr>
            </w:pPr>
            <w:r/>
          </w:p>
          <w:p>
            <w:pPr>
              <w:pStyle w:val="TableText"/>
              <w:ind w:left="291"/>
              <w:spacing w:before="49" w:line="219" w:lineRule="auto"/>
              <w:rPr/>
            </w:pPr>
            <w:r>
              <w:rPr>
                <w:spacing w:val="2"/>
              </w:rPr>
              <w:t>市场活动</w:t>
            </w:r>
          </w:p>
        </w:tc>
        <w:tc>
          <w:tcPr>
            <w:tcW w:w="2617" w:type="dxa"/>
            <w:vAlign w:val="top"/>
          </w:tcPr>
          <w:p>
            <w:pPr>
              <w:pStyle w:val="TableText"/>
              <w:ind w:left="173" w:right="192" w:firstLine="80"/>
              <w:spacing w:before="128" w:line="357" w:lineRule="auto"/>
              <w:jc w:val="both"/>
              <w:rPr/>
            </w:pPr>
            <w:r>
              <w:rPr>
                <w:spacing w:val="-1"/>
              </w:rPr>
              <w:t>是指为了完成市场目标而进行的</w:t>
            </w:r>
            <w:r>
              <w:rPr>
                <w:spacing w:val="2"/>
              </w:rPr>
              <w:t xml:space="preserve">  </w:t>
            </w:r>
            <w:r>
              <w:rPr>
                <w:spacing w:val="-1"/>
              </w:rPr>
              <w:t>一组有明确市场针对性的市场活动</w:t>
            </w:r>
          </w:p>
          <w:p>
            <w:pPr>
              <w:pStyle w:val="TableText"/>
              <w:ind w:left="112"/>
              <w:spacing w:line="219" w:lineRule="auto"/>
              <w:rPr/>
            </w:pPr>
            <w:r>
              <w:rPr>
                <w:spacing w:val="-2"/>
              </w:rPr>
              <w:t>集合</w:t>
            </w:r>
          </w:p>
        </w:tc>
        <w:tc>
          <w:tcPr>
            <w:tcW w:w="2741" w:type="dxa"/>
            <w:vAlign w:val="top"/>
          </w:tcPr>
          <w:p>
            <w:pPr>
              <w:pStyle w:val="TableText"/>
              <w:ind w:left="96" w:firstLine="178"/>
              <w:spacing w:before="268" w:line="290" w:lineRule="auto"/>
              <w:rPr/>
            </w:pPr>
            <w:r>
              <w:rPr>
                <w:spacing w:val="3"/>
              </w:rPr>
              <w:t>市场活动，包括广告、调查、促销、</w:t>
            </w:r>
            <w:r>
              <w:rPr>
                <w:spacing w:val="7"/>
              </w:rPr>
              <w:t xml:space="preserve"> </w:t>
            </w:r>
            <w:r>
              <w:rPr>
                <w:spacing w:val="-3"/>
              </w:rPr>
              <w:t>测试</w:t>
            </w:r>
          </w:p>
        </w:tc>
      </w:tr>
      <w:tr>
        <w:trPr>
          <w:trHeight w:val="62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361"/>
              <w:spacing w:before="241" w:line="219" w:lineRule="auto"/>
              <w:rPr/>
            </w:pPr>
            <w:r>
              <w:rPr>
                <w:spacing w:val="-2"/>
              </w:rPr>
              <w:t>竞争者</w:t>
            </w:r>
          </w:p>
        </w:tc>
        <w:tc>
          <w:tcPr>
            <w:tcW w:w="2617" w:type="dxa"/>
            <w:vAlign w:val="top"/>
          </w:tcPr>
          <w:p>
            <w:pPr>
              <w:pStyle w:val="TableText"/>
              <w:ind w:left="253"/>
              <w:spacing w:before="120" w:line="301" w:lineRule="exact"/>
              <w:rPr/>
            </w:pPr>
            <w:r>
              <w:rPr>
                <w:spacing w:val="1"/>
                <w:position w:val="11"/>
              </w:rPr>
              <w:t>竞争者指向市场提供替代性产品</w:t>
            </w:r>
          </w:p>
          <w:p>
            <w:pPr>
              <w:pStyle w:val="TableText"/>
              <w:ind w:left="103"/>
              <w:spacing w:line="220" w:lineRule="auto"/>
              <w:rPr/>
            </w:pPr>
            <w:r>
              <w:rPr>
                <w:spacing w:val="-1"/>
              </w:rPr>
              <w:t>的实体。</w:t>
            </w:r>
          </w:p>
        </w:tc>
        <w:tc>
          <w:tcPr>
            <w:tcW w:w="2741" w:type="dxa"/>
            <w:vAlign w:val="top"/>
          </w:tcPr>
          <w:p>
            <w:pPr>
              <w:pStyle w:val="TableText"/>
              <w:ind w:left="286"/>
              <w:spacing w:before="241" w:line="219" w:lineRule="auto"/>
              <w:rPr/>
            </w:pPr>
            <w:r>
              <w:rPr/>
              <w:t>市场竞争信息、竞争者信息</w:t>
            </w:r>
          </w:p>
        </w:tc>
      </w:tr>
      <w:tr>
        <w:trPr>
          <w:trHeight w:val="928" w:hRule="atLeast"/>
        </w:trPr>
        <w:tc>
          <w:tcPr>
            <w:tcW w:w="604" w:type="dxa"/>
            <w:vAlign w:val="top"/>
            <w:vMerge w:val="continue"/>
            <w:tcBorders>
              <w:top w:val="nil"/>
              <w:bottom w:val="nil"/>
            </w:tcBorders>
          </w:tcPr>
          <w:p>
            <w:pPr>
              <w:rPr>
                <w:rFonts w:ascii="Arial"/>
                <w:sz w:val="21"/>
              </w:rPr>
            </w:pPr>
            <w:r/>
          </w:p>
        </w:tc>
        <w:tc>
          <w:tcPr>
            <w:tcW w:w="1198" w:type="dxa"/>
            <w:vAlign w:val="top"/>
          </w:tcPr>
          <w:p>
            <w:pPr>
              <w:spacing w:line="340" w:lineRule="auto"/>
              <w:rPr>
                <w:rFonts w:ascii="Arial"/>
                <w:sz w:val="21"/>
              </w:rPr>
            </w:pPr>
            <w:r/>
          </w:p>
          <w:p>
            <w:pPr>
              <w:pStyle w:val="TableText"/>
              <w:ind w:left="291"/>
              <w:spacing w:before="49" w:line="219" w:lineRule="auto"/>
              <w:rPr/>
            </w:pPr>
            <w:r>
              <w:rPr>
                <w:spacing w:val="-2"/>
              </w:rPr>
              <w:t>销售机会</w:t>
            </w:r>
          </w:p>
        </w:tc>
        <w:tc>
          <w:tcPr>
            <w:tcW w:w="2617" w:type="dxa"/>
            <w:vAlign w:val="top"/>
          </w:tcPr>
          <w:p>
            <w:pPr>
              <w:pStyle w:val="TableText"/>
              <w:ind w:left="253"/>
              <w:spacing w:before="121" w:line="219" w:lineRule="auto"/>
              <w:rPr/>
            </w:pPr>
            <w:r>
              <w:rPr>
                <w:spacing w:val="-1"/>
              </w:rPr>
              <w:t>销售机会是对客户购买意向的评</w:t>
            </w:r>
          </w:p>
          <w:p>
            <w:pPr>
              <w:pStyle w:val="TableText"/>
              <w:ind w:left="112" w:right="109" w:hanging="9"/>
              <w:spacing w:before="111" w:line="288" w:lineRule="auto"/>
              <w:rPr/>
            </w:pPr>
            <w:r>
              <w:rPr>
                <w:spacing w:val="-1"/>
              </w:rPr>
              <w:t>估，该域具备跟踪整个生命周期销售</w:t>
            </w:r>
            <w:r>
              <w:rPr>
                <w:spacing w:val="9"/>
              </w:rPr>
              <w:t xml:space="preserve"> </w:t>
            </w:r>
            <w:r>
              <w:rPr>
                <w:spacing w:val="-1"/>
              </w:rPr>
              <w:t>机会的能力</w:t>
            </w:r>
          </w:p>
        </w:tc>
        <w:tc>
          <w:tcPr>
            <w:tcW w:w="2741" w:type="dxa"/>
            <w:vAlign w:val="top"/>
          </w:tcPr>
          <w:p>
            <w:pPr>
              <w:pStyle w:val="TableText"/>
              <w:ind w:left="116" w:right="61" w:firstLine="160"/>
              <w:spacing w:before="262" w:line="288" w:lineRule="auto"/>
              <w:rPr/>
            </w:pPr>
            <w:r>
              <w:rPr>
                <w:spacing w:val="-1"/>
              </w:rPr>
              <w:t>销售机会信息及其联系方式，以及进</w:t>
            </w:r>
            <w:r>
              <w:rPr>
                <w:spacing w:val="8"/>
              </w:rPr>
              <w:t xml:space="preserve"> </w:t>
            </w:r>
            <w:r>
              <w:rPr>
                <w:spacing w:val="-2"/>
              </w:rPr>
              <w:t>展监控信息</w:t>
            </w:r>
          </w:p>
        </w:tc>
      </w:tr>
      <w:tr>
        <w:trPr>
          <w:trHeight w:val="639" w:hRule="atLeast"/>
        </w:trPr>
        <w:tc>
          <w:tcPr>
            <w:tcW w:w="604" w:type="dxa"/>
            <w:vAlign w:val="top"/>
            <w:vMerge w:val="continue"/>
            <w:tcBorders>
              <w:top w:val="nil"/>
              <w:bottom w:val="nil"/>
            </w:tcBorders>
          </w:tcPr>
          <w:p>
            <w:pPr>
              <w:rPr>
                <w:rFonts w:ascii="Arial"/>
                <w:sz w:val="21"/>
              </w:rPr>
            </w:pPr>
            <w:r/>
          </w:p>
        </w:tc>
        <w:tc>
          <w:tcPr>
            <w:tcW w:w="1198" w:type="dxa"/>
            <w:vAlign w:val="top"/>
          </w:tcPr>
          <w:p>
            <w:pPr>
              <w:pStyle w:val="TableText"/>
              <w:ind w:left="211"/>
              <w:spacing w:before="122" w:line="303" w:lineRule="exact"/>
              <w:rPr/>
            </w:pPr>
            <w:r>
              <w:rPr>
                <w:spacing w:val="2"/>
                <w:position w:val="11"/>
              </w:rPr>
              <w:t>营销评估与</w:t>
            </w:r>
          </w:p>
          <w:p>
            <w:pPr>
              <w:pStyle w:val="TableText"/>
              <w:ind w:left="441"/>
              <w:spacing w:line="220" w:lineRule="auto"/>
              <w:rPr/>
            </w:pPr>
            <w:r>
              <w:rPr>
                <w:spacing w:val="-3"/>
              </w:rPr>
              <w:t>统计</w:t>
            </w:r>
          </w:p>
        </w:tc>
        <w:tc>
          <w:tcPr>
            <w:tcW w:w="2617" w:type="dxa"/>
            <w:vAlign w:val="top"/>
          </w:tcPr>
          <w:p>
            <w:pPr>
              <w:pStyle w:val="TableText"/>
              <w:spacing w:before="123" w:line="300" w:lineRule="exact"/>
              <w:jc w:val="right"/>
              <w:rPr/>
            </w:pPr>
            <w:r>
              <w:rPr>
                <w:spacing w:val="-4"/>
                <w:position w:val="11"/>
              </w:rPr>
              <w:t>对营销相关信息收集、处理、分析、</w:t>
            </w:r>
          </w:p>
          <w:p>
            <w:pPr>
              <w:pStyle w:val="TableText"/>
              <w:ind w:left="112"/>
              <w:spacing w:line="219" w:lineRule="auto"/>
              <w:rPr/>
            </w:pPr>
            <w:r>
              <w:rPr>
                <w:spacing w:val="-5"/>
              </w:rPr>
              <w:t>加工得到的结果。</w:t>
            </w:r>
          </w:p>
        </w:tc>
        <w:tc>
          <w:tcPr>
            <w:tcW w:w="2741" w:type="dxa"/>
            <w:vAlign w:val="top"/>
          </w:tcPr>
          <w:p>
            <w:pPr>
              <w:pStyle w:val="TableText"/>
              <w:ind w:left="126" w:right="149" w:firstLine="139"/>
              <w:spacing w:before="123" w:line="293" w:lineRule="auto"/>
              <w:rPr/>
            </w:pPr>
            <w:r>
              <w:rPr>
                <w:spacing w:val="-1"/>
              </w:rPr>
              <w:t>市场活动/销售渠道的预测、绩效评</w:t>
            </w:r>
            <w:r>
              <w:rPr>
                <w:spacing w:val="5"/>
              </w:rPr>
              <w:t xml:space="preserve"> </w:t>
            </w:r>
            <w:r>
              <w:rPr>
                <w:spacing w:val="-1"/>
              </w:rPr>
              <w:t>估、统计分析、市场营销域汇总数据</w:t>
            </w:r>
          </w:p>
        </w:tc>
      </w:tr>
      <w:tr>
        <w:trPr>
          <w:trHeight w:val="953" w:hRule="atLeast"/>
        </w:trPr>
        <w:tc>
          <w:tcPr>
            <w:tcW w:w="604" w:type="dxa"/>
            <w:vAlign w:val="top"/>
            <w:vMerge w:val="continue"/>
            <w:tcBorders>
              <w:top w:val="nil"/>
            </w:tcBorders>
          </w:tcPr>
          <w:p>
            <w:pPr>
              <w:rPr>
                <w:rFonts w:ascii="Arial"/>
                <w:sz w:val="21"/>
              </w:rPr>
            </w:pPr>
            <w:r/>
          </w:p>
        </w:tc>
        <w:tc>
          <w:tcPr>
            <w:tcW w:w="1198" w:type="dxa"/>
            <w:vAlign w:val="top"/>
          </w:tcPr>
          <w:p>
            <w:pPr>
              <w:spacing w:line="354" w:lineRule="auto"/>
              <w:rPr>
                <w:rFonts w:ascii="Arial"/>
                <w:sz w:val="21"/>
              </w:rPr>
            </w:pPr>
            <w:r/>
          </w:p>
          <w:p>
            <w:pPr>
              <w:pStyle w:val="TableText"/>
              <w:ind w:left="291"/>
              <w:spacing w:before="49" w:line="219" w:lineRule="auto"/>
              <w:rPr/>
            </w:pPr>
            <w:r>
              <w:rPr>
                <w:spacing w:val="-2"/>
              </w:rPr>
              <w:t>销售渠道</w:t>
            </w:r>
          </w:p>
        </w:tc>
        <w:tc>
          <w:tcPr>
            <w:tcW w:w="2617" w:type="dxa"/>
            <w:vAlign w:val="top"/>
          </w:tcPr>
          <w:p>
            <w:pPr>
              <w:pStyle w:val="TableText"/>
              <w:ind w:left="253"/>
              <w:spacing w:before="135" w:line="219" w:lineRule="auto"/>
              <w:rPr/>
            </w:pPr>
            <w:r>
              <w:rPr>
                <w:spacing w:val="-1"/>
              </w:rPr>
              <w:t>销售渠道是客户购买公司电信业</w:t>
            </w:r>
          </w:p>
          <w:p>
            <w:pPr>
              <w:pStyle w:val="TableText"/>
              <w:ind w:left="103"/>
              <w:spacing w:before="111" w:line="306" w:lineRule="exact"/>
              <w:rPr/>
            </w:pPr>
            <w:r>
              <w:rPr>
                <w:spacing w:val="-1"/>
                <w:position w:val="12"/>
              </w:rPr>
              <w:t>务的场所，包括自有渠道和第三方渠</w:t>
            </w:r>
          </w:p>
          <w:p>
            <w:pPr>
              <w:pStyle w:val="TableText"/>
              <w:ind w:left="123"/>
              <w:spacing w:line="225" w:lineRule="auto"/>
              <w:rPr/>
            </w:pPr>
            <w:r>
              <w:rPr/>
              <w:t>道</w:t>
            </w:r>
          </w:p>
        </w:tc>
        <w:tc>
          <w:tcPr>
            <w:tcW w:w="2741" w:type="dxa"/>
            <w:vAlign w:val="top"/>
          </w:tcPr>
          <w:p>
            <w:pPr>
              <w:pStyle w:val="TableText"/>
              <w:ind w:left="116" w:firstLine="158"/>
              <w:spacing w:before="125" w:line="375" w:lineRule="auto"/>
              <w:jc w:val="both"/>
              <w:rPr/>
            </w:pPr>
            <w:r>
              <w:rPr>
                <w:spacing w:val="3"/>
              </w:rPr>
              <w:t>销售渠道整体视图、渠道管理规则、</w:t>
            </w:r>
            <w:r>
              <w:rPr>
                <w:spacing w:val="7"/>
              </w:rPr>
              <w:t xml:space="preserve"> </w:t>
            </w:r>
            <w:r>
              <w:rPr>
                <w:spacing w:val="-2"/>
              </w:rPr>
              <w:t>销售活动管理、渠道绩效、外部渠道结</w:t>
            </w:r>
          </w:p>
          <w:p>
            <w:pPr>
              <w:pStyle w:val="TableText"/>
              <w:ind w:left="116"/>
              <w:spacing w:line="219" w:lineRule="auto"/>
              <w:rPr/>
            </w:pPr>
            <w:r>
              <w:rPr>
                <w:spacing w:val="-3"/>
              </w:rPr>
              <w:t>算等</w:t>
            </w:r>
          </w:p>
        </w:tc>
      </w:tr>
    </w:tbl>
    <w:p>
      <w:pPr>
        <w:pStyle w:val="BodyText"/>
        <w:rPr/>
      </w:pPr>
      <w:r/>
    </w:p>
    <w:p>
      <w:pPr>
        <w:sectPr>
          <w:footerReference w:type="default" r:id="rId382"/>
          <w:pgSz w:w="8870" w:h="13400"/>
          <w:pgMar w:top="400" w:right="570" w:bottom="530" w:left="400" w:header="0" w:footer="331" w:gutter="0"/>
        </w:sectPr>
        <w:rPr/>
      </w:pPr>
    </w:p>
    <w:p>
      <w:pPr>
        <w:ind w:left="212"/>
        <w:spacing w:before="266" w:line="219" w:lineRule="auto"/>
        <w:rPr>
          <w:rFonts w:ascii="SimSun" w:hAnsi="SimSun" w:eastAsia="SimSun" w:cs="SimSun"/>
          <w:sz w:val="22"/>
          <w:szCs w:val="22"/>
        </w:rPr>
      </w:pPr>
      <w:r>
        <w:drawing>
          <wp:anchor distT="0" distB="0" distL="0" distR="0" simplePos="0" relativeHeight="256815104" behindDoc="0" locked="0" layoutInCell="0" allowOverlap="1">
            <wp:simplePos x="0" y="0"/>
            <wp:positionH relativeFrom="page">
              <wp:posOffset>368306</wp:posOffset>
            </wp:positionH>
            <wp:positionV relativeFrom="page">
              <wp:posOffset>374650</wp:posOffset>
            </wp:positionV>
            <wp:extent cx="6365" cy="222255"/>
            <wp:effectExtent l="0" t="0" r="0" b="0"/>
            <wp:wrapNone/>
            <wp:docPr id="262" name="IM 262"/>
            <wp:cNvGraphicFramePr/>
            <a:graphic>
              <a:graphicData uri="http://schemas.openxmlformats.org/drawingml/2006/picture">
                <pic:pic>
                  <pic:nvPicPr>
                    <pic:cNvPr id="262" name="IM 262"/>
                    <pic:cNvPicPr/>
                  </pic:nvPicPr>
                  <pic:blipFill>
                    <a:blip r:embed="rId385"/>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29"/>
          <w:w w:val="97"/>
        </w:rPr>
        <w:t>■云端数据治理■</w:t>
      </w:r>
    </w:p>
    <w:p>
      <w:pPr>
        <w:ind w:left="7129"/>
        <w:spacing w:before="303" w:line="193" w:lineRule="auto"/>
        <w:rPr>
          <w:rFonts w:ascii="SimHei" w:hAnsi="SimHei" w:eastAsia="SimHei" w:cs="SimHei"/>
          <w:sz w:val="22"/>
          <w:szCs w:val="22"/>
        </w:rPr>
      </w:pPr>
      <w:r>
        <w:rPr>
          <w:rFonts w:ascii="SimHei" w:hAnsi="SimHei" w:eastAsia="SimHei" w:cs="SimHei"/>
          <w:sz w:val="22"/>
          <w:szCs w:val="22"/>
          <w:spacing w:val="-15"/>
          <w:w w:val="99"/>
        </w:rPr>
        <w:t>续表</w:t>
      </w:r>
    </w:p>
    <w:tbl>
      <w:tblPr>
        <w:tblStyle w:val="TableNormal"/>
        <w:tblW w:w="7760" w:type="dxa"/>
        <w:tblInd w:w="224" w:type="dxa"/>
        <w:tblLayout w:type="fixed"/>
        <w:tblBorders>
          <w:left w:val="single" w:color="000000" w:sz="4" w:space="0"/>
          <w:bottom w:val="single" w:color="000000" w:sz="4" w:space="0"/>
          <w:right w:val="single" w:color="000000" w:sz="4" w:space="0"/>
          <w:top w:val="single" w:color="000000" w:sz="4" w:space="0"/>
        </w:tblBorders>
      </w:tblPr>
      <w:tblGrid>
        <w:gridCol w:w="7760"/>
      </w:tblGrid>
      <w:tr>
        <w:trPr>
          <w:trHeight w:val="7189" w:hRule="atLeast"/>
        </w:trPr>
        <w:tc>
          <w:tcPr>
            <w:tcW w:w="7760" w:type="dxa"/>
            <w:vAlign w:val="top"/>
          </w:tcPr>
          <w:p>
            <w:pPr>
              <w:spacing w:line="322" w:lineRule="auto"/>
              <w:rPr>
                <w:rFonts w:ascii="Arial"/>
                <w:sz w:val="21"/>
              </w:rPr>
            </w:pPr>
            <w:r/>
          </w:p>
          <w:p>
            <w:pPr>
              <w:pStyle w:val="TableText"/>
              <w:ind w:left="279"/>
              <w:spacing w:before="52" w:line="219" w:lineRule="auto"/>
              <w:rPr>
                <w:sz w:val="16"/>
                <w:szCs w:val="16"/>
              </w:rPr>
            </w:pPr>
            <w:r>
              <w:rPr>
                <w:sz w:val="16"/>
                <w:szCs w:val="16"/>
                <w:spacing w:val="-5"/>
              </w:rPr>
              <w:t>7</w:t>
            </w:r>
            <w:r>
              <w:rPr>
                <w:sz w:val="16"/>
                <w:szCs w:val="16"/>
                <w:spacing w:val="60"/>
              </w:rPr>
              <w:t xml:space="preserve"> </w:t>
            </w:r>
            <w:r>
              <w:rPr>
                <w:sz w:val="16"/>
                <w:szCs w:val="16"/>
                <w:spacing w:val="-5"/>
              </w:rPr>
              <w:t>企业管理主题域</w:t>
            </w:r>
          </w:p>
          <w:p>
            <w:pPr>
              <w:spacing w:line="168" w:lineRule="exact"/>
              <w:rPr/>
            </w:pPr>
            <w:r/>
          </w:p>
          <w:tbl>
            <w:tblPr>
              <w:tblStyle w:val="TableNormal"/>
              <w:tblW w:w="714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4"/>
              <w:gridCol w:w="1208"/>
              <w:gridCol w:w="2586"/>
              <w:gridCol w:w="2751"/>
            </w:tblGrid>
            <w:tr>
              <w:trPr>
                <w:trHeight w:val="334" w:hRule="atLeast"/>
              </w:trPr>
              <w:tc>
                <w:tcPr>
                  <w:tcW w:w="1812" w:type="dxa"/>
                  <w:vAlign w:val="top"/>
                  <w:gridSpan w:val="2"/>
                </w:tcPr>
                <w:p>
                  <w:pPr>
                    <w:pStyle w:val="TableText"/>
                    <w:ind w:left="484"/>
                    <w:spacing w:before="91" w:line="219" w:lineRule="auto"/>
                    <w:rPr/>
                  </w:pPr>
                  <w:r>
                    <w:rPr>
                      <w:spacing w:val="-5"/>
                    </w:rPr>
                    <w:t>数</w:t>
                  </w:r>
                  <w:r>
                    <w:rPr>
                      <w:spacing w:val="14"/>
                    </w:rPr>
                    <w:t xml:space="preserve"> </w:t>
                  </w:r>
                  <w:r>
                    <w:rPr>
                      <w:spacing w:val="-5"/>
                    </w:rPr>
                    <w:t>据</w:t>
                  </w:r>
                  <w:r>
                    <w:rPr>
                      <w:spacing w:val="17"/>
                    </w:rPr>
                    <w:t xml:space="preserve"> </w:t>
                  </w:r>
                  <w:r>
                    <w:rPr>
                      <w:spacing w:val="-5"/>
                    </w:rPr>
                    <w:t>分</w:t>
                  </w:r>
                  <w:r>
                    <w:rPr>
                      <w:spacing w:val="15"/>
                    </w:rPr>
                    <w:t xml:space="preserve"> </w:t>
                  </w:r>
                  <w:r>
                    <w:rPr>
                      <w:spacing w:val="-5"/>
                    </w:rPr>
                    <w:t>类</w:t>
                  </w:r>
                </w:p>
              </w:tc>
              <w:tc>
                <w:tcPr>
                  <w:tcW w:w="2586" w:type="dxa"/>
                  <w:vAlign w:val="top"/>
                </w:tcPr>
                <w:p>
                  <w:pPr>
                    <w:pStyle w:val="TableText"/>
                    <w:ind w:left="882"/>
                    <w:spacing w:before="91" w:line="219" w:lineRule="auto"/>
                    <w:rPr/>
                  </w:pPr>
                  <w:r>
                    <w:rPr>
                      <w:spacing w:val="-5"/>
                    </w:rPr>
                    <w:t>详</w:t>
                  </w:r>
                  <w:r>
                    <w:rPr>
                      <w:spacing w:val="16"/>
                    </w:rPr>
                    <w:t xml:space="preserve"> </w:t>
                  </w:r>
                  <w:r>
                    <w:rPr>
                      <w:spacing w:val="-5"/>
                    </w:rPr>
                    <w:t>细</w:t>
                  </w:r>
                  <w:r>
                    <w:rPr>
                      <w:spacing w:val="15"/>
                    </w:rPr>
                    <w:t xml:space="preserve"> </w:t>
                  </w:r>
                  <w:r>
                    <w:rPr>
                      <w:spacing w:val="-5"/>
                    </w:rPr>
                    <w:t>注</w:t>
                  </w:r>
                  <w:r>
                    <w:rPr>
                      <w:spacing w:val="15"/>
                    </w:rPr>
                    <w:t xml:space="preserve"> </w:t>
                  </w:r>
                  <w:r>
                    <w:rPr>
                      <w:spacing w:val="-5"/>
                    </w:rPr>
                    <w:t>释</w:t>
                  </w:r>
                </w:p>
              </w:tc>
              <w:tc>
                <w:tcPr>
                  <w:tcW w:w="2751" w:type="dxa"/>
                  <w:vAlign w:val="top"/>
                </w:tcPr>
                <w:p>
                  <w:pPr>
                    <w:pStyle w:val="TableText"/>
                    <w:ind w:left="606"/>
                    <w:spacing w:before="91" w:line="219" w:lineRule="auto"/>
                    <w:rPr/>
                  </w:pPr>
                  <w:r>
                    <w:rPr>
                      <w:spacing w:val="-1"/>
                    </w:rPr>
                    <w:t>所覆盖的主要实体/数据</w:t>
                  </w:r>
                </w:p>
              </w:tc>
            </w:tr>
            <w:tr>
              <w:trPr>
                <w:trHeight w:val="818" w:hRule="atLeast"/>
              </w:trPr>
              <w:tc>
                <w:tcPr>
                  <w:tcW w:w="604" w:type="dxa"/>
                  <w:vAlign w:val="top"/>
                  <w:vMerge w:val="restart"/>
                  <w:tcBorders>
                    <w:bottom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TableText"/>
                    <w:ind w:left="144"/>
                    <w:spacing w:before="49" w:line="271" w:lineRule="exact"/>
                    <w:rPr/>
                  </w:pPr>
                  <w:r>
                    <w:rPr>
                      <w:spacing w:val="-3"/>
                      <w:position w:val="8"/>
                    </w:rPr>
                    <w:t>企业</w:t>
                  </w:r>
                </w:p>
                <w:p>
                  <w:pPr>
                    <w:pStyle w:val="TableText"/>
                    <w:ind w:left="144"/>
                    <w:spacing w:line="219" w:lineRule="auto"/>
                    <w:rPr/>
                  </w:pPr>
                  <w:r>
                    <w:rPr>
                      <w:spacing w:val="-3"/>
                    </w:rPr>
                    <w:t>管理</w:t>
                  </w:r>
                </w:p>
              </w:tc>
              <w:tc>
                <w:tcPr>
                  <w:tcW w:w="1208" w:type="dxa"/>
                  <w:vAlign w:val="top"/>
                </w:tcPr>
                <w:p>
                  <w:pPr>
                    <w:spacing w:line="286" w:lineRule="auto"/>
                    <w:rPr>
                      <w:rFonts w:ascii="Arial"/>
                      <w:sz w:val="21"/>
                    </w:rPr>
                  </w:pPr>
                  <w:r/>
                </w:p>
                <w:p>
                  <w:pPr>
                    <w:pStyle w:val="TableText"/>
                    <w:ind w:left="290"/>
                    <w:spacing w:before="49" w:line="219" w:lineRule="auto"/>
                    <w:rPr/>
                  </w:pPr>
                  <w:r>
                    <w:rPr>
                      <w:spacing w:val="-2"/>
                    </w:rPr>
                    <w:t>人力资源</w:t>
                  </w:r>
                </w:p>
              </w:tc>
              <w:tc>
                <w:tcPr>
                  <w:tcW w:w="2586" w:type="dxa"/>
                  <w:vAlign w:val="top"/>
                </w:tcPr>
                <w:p>
                  <w:pPr>
                    <w:pStyle w:val="TableText"/>
                    <w:ind w:left="92" w:right="220" w:firstLine="170"/>
                    <w:spacing w:before="216" w:line="264" w:lineRule="auto"/>
                    <w:rPr/>
                  </w:pPr>
                  <w:r>
                    <w:rPr>
                      <w:spacing w:val="-1"/>
                    </w:rPr>
                    <w:t>人力资源管理所涉及的各方面数</w:t>
                  </w:r>
                  <w:r>
                    <w:rPr>
                      <w:spacing w:val="5"/>
                    </w:rPr>
                    <w:t xml:space="preserve"> </w:t>
                  </w:r>
                  <w:r>
                    <w:rPr>
                      <w:spacing w:val="-2"/>
                    </w:rPr>
                    <w:t>据。</w:t>
                  </w:r>
                </w:p>
              </w:tc>
              <w:tc>
                <w:tcPr>
                  <w:tcW w:w="2751" w:type="dxa"/>
                  <w:vAlign w:val="top"/>
                </w:tcPr>
                <w:p>
                  <w:pPr>
                    <w:pStyle w:val="TableText"/>
                    <w:ind w:left="116" w:right="63" w:firstLine="139"/>
                    <w:spacing w:before="56" w:line="299" w:lineRule="auto"/>
                    <w:jc w:val="both"/>
                    <w:rPr/>
                  </w:pPr>
                  <w:r>
                    <w:rPr>
                      <w:spacing w:val="1"/>
                    </w:rPr>
                    <w:t>组织结构、岗位信息、员工信息、员</w:t>
                  </w:r>
                  <w:r>
                    <w:rPr>
                      <w:spacing w:val="3"/>
                    </w:rPr>
                    <w:t xml:space="preserve"> </w:t>
                  </w:r>
                  <w:r>
                    <w:rPr>
                      <w:spacing w:val="-1"/>
                    </w:rPr>
                    <w:t>工管理、绩效、薪酬福利、培训、成本</w:t>
                  </w:r>
                  <w:r>
                    <w:rPr>
                      <w:spacing w:val="8"/>
                    </w:rPr>
                    <w:t xml:space="preserve"> </w:t>
                  </w:r>
                  <w:r>
                    <w:rPr/>
                    <w:t>核算、人力资源汇总数据</w:t>
                  </w:r>
                </w:p>
              </w:tc>
            </w:tr>
            <w:tr>
              <w:trPr>
                <w:trHeight w:val="819" w:hRule="atLeast"/>
              </w:trPr>
              <w:tc>
                <w:tcPr>
                  <w:tcW w:w="604" w:type="dxa"/>
                  <w:vAlign w:val="top"/>
                  <w:vMerge w:val="continue"/>
                  <w:tcBorders>
                    <w:top w:val="nil"/>
                    <w:bottom w:val="nil"/>
                  </w:tcBorders>
                </w:tcPr>
                <w:p>
                  <w:pPr>
                    <w:rPr>
                      <w:rFonts w:ascii="Arial"/>
                      <w:sz w:val="21"/>
                    </w:rPr>
                  </w:pPr>
                  <w:r/>
                </w:p>
              </w:tc>
              <w:tc>
                <w:tcPr>
                  <w:tcW w:w="1208" w:type="dxa"/>
                  <w:vAlign w:val="top"/>
                </w:tcPr>
                <w:p>
                  <w:pPr>
                    <w:spacing w:line="289" w:lineRule="auto"/>
                    <w:rPr>
                      <w:rFonts w:ascii="Arial"/>
                      <w:sz w:val="21"/>
                    </w:rPr>
                  </w:pPr>
                  <w:r/>
                </w:p>
                <w:p>
                  <w:pPr>
                    <w:pStyle w:val="TableText"/>
                    <w:ind w:left="290"/>
                    <w:spacing w:before="48" w:line="220" w:lineRule="auto"/>
                    <w:rPr/>
                  </w:pPr>
                  <w:r>
                    <w:rPr>
                      <w:spacing w:val="7"/>
                    </w:rPr>
                    <w:t>工程项目</w:t>
                  </w:r>
                </w:p>
              </w:tc>
              <w:tc>
                <w:tcPr>
                  <w:tcW w:w="2586" w:type="dxa"/>
                  <w:vAlign w:val="top"/>
                </w:tcPr>
                <w:p>
                  <w:pPr>
                    <w:pStyle w:val="TableText"/>
                    <w:ind w:left="103" w:right="80" w:firstLine="149"/>
                    <w:spacing w:before="77" w:line="287" w:lineRule="auto"/>
                    <w:rPr/>
                  </w:pPr>
                  <w:r>
                    <w:rPr>
                      <w:spacing w:val="-1"/>
                    </w:rPr>
                    <w:t>从规划、立项、设计、采购、施工</w:t>
                  </w:r>
                  <w:r>
                    <w:rPr>
                      <w:spacing w:val="6"/>
                    </w:rPr>
                    <w:t xml:space="preserve"> </w:t>
                  </w:r>
                  <w:r>
                    <w:rPr/>
                    <w:t>到竣工验收的整个项目生命周期的  </w:t>
                  </w:r>
                  <w:r>
                    <w:rPr>
                      <w:spacing w:val="-1"/>
                    </w:rPr>
                    <w:t>相关信息。</w:t>
                  </w:r>
                </w:p>
              </w:tc>
              <w:tc>
                <w:tcPr>
                  <w:tcW w:w="2751" w:type="dxa"/>
                  <w:vAlign w:val="top"/>
                </w:tcPr>
                <w:p>
                  <w:pPr>
                    <w:pStyle w:val="TableText"/>
                    <w:ind w:left="116" w:right="55" w:firstLine="149"/>
                    <w:spacing w:before="79" w:line="282" w:lineRule="auto"/>
                    <w:jc w:val="both"/>
                    <w:rPr/>
                  </w:pPr>
                  <w:r>
                    <w:rPr>
                      <w:spacing w:val="-1"/>
                    </w:rPr>
                    <w:t>立项管理、工作分解、进度计划、项</w:t>
                  </w:r>
                  <w:r>
                    <w:rPr>
                      <w:spacing w:val="9"/>
                    </w:rPr>
                    <w:t xml:space="preserve"> </w:t>
                  </w:r>
                  <w:r>
                    <w:rPr>
                      <w:spacing w:val="1"/>
                    </w:rPr>
                    <w:t>目文档、项目预算、项目资源、成本核</w:t>
                  </w:r>
                  <w:r>
                    <w:rPr/>
                    <w:t xml:space="preserve"> </w:t>
                  </w:r>
                  <w:r>
                    <w:rPr>
                      <w:spacing w:val="-1"/>
                    </w:rPr>
                    <w:t>算、工程项目汇总数据</w:t>
                  </w:r>
                </w:p>
              </w:tc>
            </w:tr>
            <w:tr>
              <w:trPr>
                <w:trHeight w:val="799" w:hRule="atLeast"/>
              </w:trPr>
              <w:tc>
                <w:tcPr>
                  <w:tcW w:w="604" w:type="dxa"/>
                  <w:vAlign w:val="top"/>
                  <w:vMerge w:val="continue"/>
                  <w:tcBorders>
                    <w:top w:val="nil"/>
                    <w:bottom w:val="nil"/>
                  </w:tcBorders>
                </w:tcPr>
                <w:p>
                  <w:pPr>
                    <w:rPr>
                      <w:rFonts w:ascii="Arial"/>
                      <w:sz w:val="21"/>
                    </w:rPr>
                  </w:pPr>
                  <w:r/>
                </w:p>
              </w:tc>
              <w:tc>
                <w:tcPr>
                  <w:tcW w:w="1208" w:type="dxa"/>
                  <w:vAlign w:val="top"/>
                </w:tcPr>
                <w:p>
                  <w:pPr>
                    <w:spacing w:line="278" w:lineRule="auto"/>
                    <w:rPr>
                      <w:rFonts w:ascii="Arial"/>
                      <w:sz w:val="21"/>
                    </w:rPr>
                  </w:pPr>
                  <w:r/>
                </w:p>
                <w:p>
                  <w:pPr>
                    <w:pStyle w:val="TableText"/>
                    <w:ind w:left="220"/>
                    <w:spacing w:before="49" w:line="219" w:lineRule="auto"/>
                    <w:rPr/>
                  </w:pPr>
                  <w:r>
                    <w:rPr>
                      <w:spacing w:val="-1"/>
                    </w:rPr>
                    <w:t>采购和库存</w:t>
                  </w:r>
                </w:p>
              </w:tc>
              <w:tc>
                <w:tcPr>
                  <w:tcW w:w="2586" w:type="dxa"/>
                  <w:vAlign w:val="top"/>
                </w:tcPr>
                <w:p>
                  <w:pPr>
                    <w:spacing w:line="279" w:lineRule="auto"/>
                    <w:rPr>
                      <w:rFonts w:ascii="Arial"/>
                      <w:sz w:val="21"/>
                    </w:rPr>
                  </w:pPr>
                  <w:r/>
                </w:p>
                <w:p>
                  <w:pPr>
                    <w:pStyle w:val="TableText"/>
                    <w:ind w:left="232"/>
                    <w:spacing w:before="49" w:line="219" w:lineRule="auto"/>
                    <w:rPr/>
                  </w:pPr>
                  <w:r>
                    <w:rPr>
                      <w:spacing w:val="-1"/>
                    </w:rPr>
                    <w:t>库存管理相关的信息。</w:t>
                  </w:r>
                </w:p>
              </w:tc>
              <w:tc>
                <w:tcPr>
                  <w:tcW w:w="2751" w:type="dxa"/>
                  <w:vAlign w:val="top"/>
                </w:tcPr>
                <w:p>
                  <w:pPr>
                    <w:pStyle w:val="TableText"/>
                    <w:ind w:left="116" w:firstLine="149"/>
                    <w:spacing w:before="69" w:line="282" w:lineRule="auto"/>
                    <w:jc w:val="both"/>
                    <w:rPr/>
                  </w:pPr>
                  <w:r>
                    <w:rPr>
                      <w:spacing w:val="-1"/>
                    </w:rPr>
                    <w:t>采购需求、采购计划、采购合同、入</w:t>
                  </w:r>
                  <w:r>
                    <w:rPr>
                      <w:spacing w:val="4"/>
                    </w:rPr>
                    <w:t xml:space="preserve">  </w:t>
                  </w:r>
                  <w:r>
                    <w:rPr>
                      <w:spacing w:val="4"/>
                    </w:rPr>
                    <w:t>库信息、出库信息、库位、库存状态、</w:t>
                  </w:r>
                  <w:r>
                    <w:rPr>
                      <w:spacing w:val="5"/>
                    </w:rPr>
                    <w:t xml:space="preserve"> </w:t>
                  </w:r>
                  <w:r>
                    <w:rPr/>
                    <w:t>调拨、库存盘点、采购和库存汇总数据</w:t>
                  </w:r>
                </w:p>
              </w:tc>
            </w:tr>
            <w:tr>
              <w:trPr>
                <w:trHeight w:val="828" w:hRule="atLeast"/>
              </w:trPr>
              <w:tc>
                <w:tcPr>
                  <w:tcW w:w="604" w:type="dxa"/>
                  <w:vAlign w:val="top"/>
                  <w:vMerge w:val="continue"/>
                  <w:tcBorders>
                    <w:top w:val="nil"/>
                    <w:bottom w:val="nil"/>
                  </w:tcBorders>
                </w:tcPr>
                <w:p>
                  <w:pPr>
                    <w:rPr>
                      <w:rFonts w:ascii="Arial"/>
                      <w:sz w:val="21"/>
                    </w:rPr>
                  </w:pPr>
                  <w:r/>
                </w:p>
              </w:tc>
              <w:tc>
                <w:tcPr>
                  <w:tcW w:w="1208" w:type="dxa"/>
                  <w:vAlign w:val="top"/>
                </w:tcPr>
                <w:p>
                  <w:pPr>
                    <w:spacing w:line="290" w:lineRule="auto"/>
                    <w:rPr>
                      <w:rFonts w:ascii="Arial"/>
                      <w:sz w:val="21"/>
                    </w:rPr>
                  </w:pPr>
                  <w:r/>
                </w:p>
                <w:p>
                  <w:pPr>
                    <w:pStyle w:val="TableText"/>
                    <w:ind w:left="140"/>
                    <w:spacing w:before="49" w:line="219" w:lineRule="auto"/>
                    <w:rPr/>
                  </w:pPr>
                  <w:r>
                    <w:rPr>
                      <w:spacing w:val="1"/>
                    </w:rPr>
                    <w:t>决策支持信息</w:t>
                  </w:r>
                </w:p>
              </w:tc>
              <w:tc>
                <w:tcPr>
                  <w:tcW w:w="2586" w:type="dxa"/>
                  <w:vAlign w:val="top"/>
                </w:tcPr>
                <w:p>
                  <w:pPr>
                    <w:pStyle w:val="TableText"/>
                    <w:ind w:left="112" w:right="61" w:firstLine="160"/>
                    <w:spacing w:before="70" w:line="295" w:lineRule="auto"/>
                    <w:jc w:val="both"/>
                    <w:rPr/>
                  </w:pPr>
                  <w:r>
                    <w:rPr>
                      <w:spacing w:val="-1"/>
                    </w:rPr>
                    <w:t>一系列系统和能力再次组织，使得</w:t>
                  </w:r>
                  <w:r>
                    <w:rPr>
                      <w:spacing w:val="5"/>
                    </w:rPr>
                    <w:t xml:space="preserve"> </w:t>
                  </w:r>
                  <w:r>
                    <w:rPr>
                      <w:spacing w:val="-1"/>
                    </w:rPr>
                    <w:t>高级管理层能够在合适的时间、合适</w:t>
                  </w:r>
                  <w:r>
                    <w:rPr>
                      <w:spacing w:val="5"/>
                    </w:rPr>
                    <w:t xml:space="preserve"> </w:t>
                  </w:r>
                  <w:r>
                    <w:rPr>
                      <w:spacing w:val="-1"/>
                    </w:rPr>
                    <w:t>的地点接触和分析关键的公司信息。</w:t>
                  </w:r>
                </w:p>
              </w:tc>
              <w:tc>
                <w:tcPr>
                  <w:tcW w:w="2751" w:type="dxa"/>
                  <w:vAlign w:val="top"/>
                </w:tcPr>
                <w:p>
                  <w:pPr>
                    <w:pStyle w:val="TableText"/>
                    <w:ind w:left="116" w:right="63" w:firstLine="149"/>
                    <w:spacing w:before="210" w:line="282" w:lineRule="auto"/>
                    <w:rPr/>
                  </w:pPr>
                  <w:r>
                    <w:rPr/>
                    <w:t>营销决策支持信息、运维决策支持信</w:t>
                  </w:r>
                  <w:r>
                    <w:rPr>
                      <w:spacing w:val="9"/>
                    </w:rPr>
                    <w:t xml:space="preserve"> </w:t>
                  </w:r>
                  <w:r>
                    <w:rPr>
                      <w:spacing w:val="1"/>
                    </w:rPr>
                    <w:t>息、计划决策支持信息</w:t>
                  </w:r>
                </w:p>
              </w:tc>
            </w:tr>
            <w:tr>
              <w:trPr>
                <w:trHeight w:val="809" w:hRule="atLeast"/>
              </w:trPr>
              <w:tc>
                <w:tcPr>
                  <w:tcW w:w="604" w:type="dxa"/>
                  <w:vAlign w:val="top"/>
                  <w:vMerge w:val="continue"/>
                  <w:tcBorders>
                    <w:top w:val="nil"/>
                    <w:bottom w:val="nil"/>
                  </w:tcBorders>
                </w:tcPr>
                <w:p>
                  <w:pPr>
                    <w:rPr>
                      <w:rFonts w:ascii="Arial"/>
                      <w:sz w:val="21"/>
                    </w:rPr>
                  </w:pPr>
                  <w:r/>
                </w:p>
              </w:tc>
              <w:tc>
                <w:tcPr>
                  <w:tcW w:w="1208" w:type="dxa"/>
                  <w:vAlign w:val="top"/>
                </w:tcPr>
                <w:p>
                  <w:pPr>
                    <w:spacing w:line="281" w:lineRule="auto"/>
                    <w:rPr>
                      <w:rFonts w:ascii="Arial"/>
                      <w:sz w:val="21"/>
                    </w:rPr>
                  </w:pPr>
                  <w:r/>
                </w:p>
                <w:p>
                  <w:pPr>
                    <w:pStyle w:val="TableText"/>
                    <w:ind w:left="220"/>
                    <w:spacing w:before="49" w:line="219" w:lineRule="auto"/>
                    <w:rPr/>
                  </w:pPr>
                  <w:r>
                    <w:rPr>
                      <w:spacing w:val="-2"/>
                    </w:rPr>
                    <w:t>财务和会计</w:t>
                  </w:r>
                </w:p>
              </w:tc>
              <w:tc>
                <w:tcPr>
                  <w:tcW w:w="2586" w:type="dxa"/>
                  <w:vAlign w:val="top"/>
                </w:tcPr>
                <w:p>
                  <w:pPr>
                    <w:pStyle w:val="TableText"/>
                    <w:ind w:left="103" w:right="58" w:firstLine="169"/>
                    <w:spacing w:before="83" w:line="270" w:lineRule="auto"/>
                    <w:rPr/>
                  </w:pPr>
                  <w:r>
                    <w:rPr>
                      <w:spacing w:val="-1"/>
                    </w:rPr>
                    <w:t>记录、核算、反映和分析资金在公</w:t>
                  </w:r>
                  <w:r>
                    <w:rPr>
                      <w:spacing w:val="8"/>
                    </w:rPr>
                    <w:t xml:space="preserve"> </w:t>
                  </w:r>
                  <w:r>
                    <w:rPr/>
                    <w:t>司运行活动中的变动过程及其结果</w:t>
                  </w:r>
                </w:p>
                <w:p>
                  <w:pPr>
                    <w:pStyle w:val="TableText"/>
                    <w:ind w:left="92"/>
                    <w:spacing w:before="70" w:line="219" w:lineRule="auto"/>
                    <w:rPr/>
                  </w:pPr>
                  <w:r>
                    <w:rPr>
                      <w:spacing w:val="-1"/>
                    </w:rPr>
                    <w:t>的相应信息。</w:t>
                  </w:r>
                </w:p>
              </w:tc>
              <w:tc>
                <w:tcPr>
                  <w:tcW w:w="2751" w:type="dxa"/>
                  <w:vAlign w:val="top"/>
                </w:tcPr>
                <w:p>
                  <w:pPr>
                    <w:pStyle w:val="TableText"/>
                    <w:ind w:left="116" w:firstLine="156"/>
                    <w:spacing w:before="83" w:line="286" w:lineRule="auto"/>
                    <w:jc w:val="both"/>
                    <w:rPr/>
                  </w:pPr>
                  <w:r>
                    <w:rPr>
                      <w:spacing w:val="-5"/>
                    </w:rPr>
                    <w:t>总账、应收账、应付账、现金、资产、</w:t>
                  </w:r>
                  <w:r>
                    <w:rPr>
                      <w:spacing w:val="1"/>
                    </w:rPr>
                    <w:t xml:space="preserve"> </w:t>
                  </w:r>
                  <w:r>
                    <w:rPr>
                      <w:spacing w:val="-4"/>
                    </w:rPr>
                    <w:t>利润、成本、预算、财务报表、财会汇</w:t>
                  </w:r>
                  <w:r>
                    <w:rPr>
                      <w:spacing w:val="2"/>
                    </w:rPr>
                    <w:t xml:space="preserve">   </w:t>
                  </w:r>
                  <w:r>
                    <w:rPr>
                      <w:spacing w:val="-5"/>
                    </w:rPr>
                    <w:t>总数据</w:t>
                  </w:r>
                </w:p>
              </w:tc>
            </w:tr>
            <w:tr>
              <w:trPr>
                <w:trHeight w:val="1068" w:hRule="atLeast"/>
              </w:trPr>
              <w:tc>
                <w:tcPr>
                  <w:tcW w:w="604" w:type="dxa"/>
                  <w:vAlign w:val="top"/>
                  <w:vMerge w:val="continue"/>
                  <w:tcBorders>
                    <w:top w:val="nil"/>
                    <w:bottom w:val="nil"/>
                  </w:tcBorders>
                </w:tcPr>
                <w:p>
                  <w:pPr>
                    <w:rPr>
                      <w:rFonts w:ascii="Arial"/>
                      <w:sz w:val="21"/>
                    </w:rPr>
                  </w:pPr>
                  <w:r/>
                </w:p>
              </w:tc>
              <w:tc>
                <w:tcPr>
                  <w:tcW w:w="1208" w:type="dxa"/>
                  <w:vAlign w:val="top"/>
                </w:tcPr>
                <w:p>
                  <w:pPr>
                    <w:spacing w:line="413" w:lineRule="auto"/>
                    <w:rPr>
                      <w:rFonts w:ascii="Arial"/>
                      <w:sz w:val="21"/>
                    </w:rPr>
                  </w:pPr>
                  <w:r/>
                </w:p>
                <w:p>
                  <w:pPr>
                    <w:pStyle w:val="TableText"/>
                    <w:ind w:left="290"/>
                    <w:spacing w:before="49" w:line="220" w:lineRule="auto"/>
                    <w:rPr/>
                  </w:pPr>
                  <w:r>
                    <w:rPr>
                      <w:spacing w:val="3"/>
                    </w:rPr>
                    <w:t>企业协同</w:t>
                  </w:r>
                </w:p>
              </w:tc>
              <w:tc>
                <w:tcPr>
                  <w:tcW w:w="2586" w:type="dxa"/>
                  <w:vAlign w:val="top"/>
                </w:tcPr>
                <w:p>
                  <w:pPr>
                    <w:spacing w:line="282" w:lineRule="auto"/>
                    <w:rPr>
                      <w:rFonts w:ascii="Arial"/>
                      <w:sz w:val="21"/>
                    </w:rPr>
                  </w:pPr>
                  <w:r/>
                </w:p>
                <w:p>
                  <w:pPr>
                    <w:pStyle w:val="TableText"/>
                    <w:ind w:left="103" w:right="221" w:firstLine="160"/>
                    <w:spacing w:before="49" w:line="270" w:lineRule="auto"/>
                    <w:rPr/>
                  </w:pPr>
                  <w:r>
                    <w:rPr>
                      <w:spacing w:val="-1"/>
                    </w:rPr>
                    <w:t>企业内部各个部门的协作办公及</w:t>
                  </w:r>
                  <w:r>
                    <w:rPr>
                      <w:spacing w:val="4"/>
                    </w:rPr>
                    <w:t xml:space="preserve"> </w:t>
                  </w:r>
                  <w:r>
                    <w:rPr>
                      <w:spacing w:val="-1"/>
                    </w:rPr>
                    <w:t>知识管理所涉及的信息。</w:t>
                  </w:r>
                </w:p>
              </w:tc>
              <w:tc>
                <w:tcPr>
                  <w:tcW w:w="2751" w:type="dxa"/>
                  <w:vAlign w:val="top"/>
                </w:tcPr>
                <w:p>
                  <w:pPr>
                    <w:pStyle w:val="TableText"/>
                    <w:ind w:left="106" w:firstLine="165"/>
                    <w:spacing w:before="83" w:line="292" w:lineRule="auto"/>
                    <w:jc w:val="both"/>
                    <w:rPr/>
                  </w:pPr>
                  <w:r>
                    <w:rPr>
                      <w:spacing w:val="-5"/>
                    </w:rPr>
                    <w:t>文档流转信息、个人事务管理、工作</w:t>
                  </w:r>
                  <w:r>
                    <w:rPr>
                      <w:spacing w:val="3"/>
                    </w:rPr>
                    <w:t xml:space="preserve">   </w:t>
                  </w:r>
                  <w:r>
                    <w:rPr>
                      <w:spacing w:val="-4"/>
                    </w:rPr>
                    <w:t>计划及分配、发布信息、通信服务信息、</w:t>
                  </w:r>
                  <w:r>
                    <w:rPr>
                      <w:spacing w:val="5"/>
                    </w:rPr>
                    <w:t xml:space="preserve"> </w:t>
                  </w:r>
                  <w:r>
                    <w:rPr>
                      <w:spacing w:val="-3"/>
                    </w:rPr>
                    <w:t>日常事务管理信息、知识、知识生命周  </w:t>
                  </w:r>
                  <w:r>
                    <w:rPr>
                      <w:spacing w:val="-5"/>
                    </w:rPr>
                    <w:t>期管理信息</w:t>
                  </w:r>
                </w:p>
              </w:tc>
            </w:tr>
            <w:tr>
              <w:trPr>
                <w:trHeight w:val="574" w:hRule="atLeast"/>
              </w:trPr>
              <w:tc>
                <w:tcPr>
                  <w:tcW w:w="604" w:type="dxa"/>
                  <w:vAlign w:val="top"/>
                  <w:vMerge w:val="continue"/>
                  <w:tcBorders>
                    <w:top w:val="nil"/>
                  </w:tcBorders>
                </w:tcPr>
                <w:p>
                  <w:pPr>
                    <w:rPr>
                      <w:rFonts w:ascii="Arial"/>
                      <w:sz w:val="21"/>
                    </w:rPr>
                  </w:pPr>
                  <w:r/>
                </w:p>
              </w:tc>
              <w:tc>
                <w:tcPr>
                  <w:tcW w:w="1208" w:type="dxa"/>
                  <w:vAlign w:val="top"/>
                </w:tcPr>
                <w:p>
                  <w:pPr>
                    <w:pStyle w:val="TableText"/>
                    <w:ind w:left="140"/>
                    <w:spacing w:before="216" w:line="219" w:lineRule="auto"/>
                    <w:rPr/>
                  </w:pPr>
                  <w:r>
                    <w:rPr>
                      <w:spacing w:val="-1"/>
                    </w:rPr>
                    <w:t>通用接入服务</w:t>
                  </w:r>
                </w:p>
              </w:tc>
              <w:tc>
                <w:tcPr>
                  <w:tcW w:w="2586" w:type="dxa"/>
                  <w:vAlign w:val="top"/>
                </w:tcPr>
                <w:p>
                  <w:pPr>
                    <w:pStyle w:val="TableText"/>
                    <w:ind w:left="263"/>
                    <w:spacing w:before="216" w:line="219" w:lineRule="auto"/>
                    <w:rPr/>
                  </w:pPr>
                  <w:r>
                    <w:rPr>
                      <w:spacing w:val="-1"/>
                    </w:rPr>
                    <w:t>通用接入服务所涉及的数据</w:t>
                  </w:r>
                </w:p>
              </w:tc>
              <w:tc>
                <w:tcPr>
                  <w:tcW w:w="2751" w:type="dxa"/>
                  <w:vAlign w:val="top"/>
                </w:tcPr>
                <w:p>
                  <w:pPr>
                    <w:pStyle w:val="TableText"/>
                    <w:ind w:left="106" w:right="72" w:firstLine="170"/>
                    <w:spacing w:before="85" w:line="270" w:lineRule="auto"/>
                    <w:rPr/>
                  </w:pPr>
                  <w:r>
                    <w:rPr>
                      <w:spacing w:val="-1"/>
                    </w:rPr>
                    <w:t>系统用户鉴权数据、系统用户个性化</w:t>
                  </w:r>
                  <w:r>
                    <w:rPr>
                      <w:spacing w:val="6"/>
                    </w:rPr>
                    <w:t xml:space="preserve"> </w:t>
                  </w:r>
                  <w:r>
                    <w:rPr>
                      <w:spacing w:val="-2"/>
                    </w:rPr>
                    <w:t>数据</w:t>
                  </w:r>
                </w:p>
              </w:tc>
            </w:tr>
          </w:tbl>
          <w:p>
            <w:pPr>
              <w:rPr>
                <w:rFonts w:ascii="Arial"/>
                <w:sz w:val="21"/>
              </w:rPr>
            </w:pPr>
            <w:r/>
          </w:p>
        </w:tc>
      </w:tr>
    </w:tbl>
    <w:p>
      <w:pPr>
        <w:pStyle w:val="BodyText"/>
        <w:spacing w:line="325" w:lineRule="auto"/>
        <w:rPr/>
      </w:pPr>
      <w:r/>
    </w:p>
    <w:p>
      <w:pPr>
        <w:ind w:left="214"/>
        <w:spacing w:before="95" w:line="225" w:lineRule="auto"/>
        <w:outlineLvl w:val="4"/>
        <w:rPr>
          <w:rFonts w:ascii="YouYuan" w:hAnsi="YouYuan" w:eastAsia="YouYuan" w:cs="YouYuan"/>
          <w:sz w:val="29"/>
          <w:szCs w:val="29"/>
        </w:rPr>
      </w:pPr>
      <w:r>
        <w:rPr>
          <w:rFonts w:ascii="YouYuan" w:hAnsi="YouYuan" w:eastAsia="YouYuan" w:cs="YouYuan"/>
          <w:sz w:val="29"/>
          <w:szCs w:val="29"/>
          <w:b/>
          <w:bCs/>
          <w:spacing w:val="-5"/>
        </w:rPr>
        <w:t>8.2.3</w:t>
      </w:r>
      <w:r>
        <w:rPr>
          <w:rFonts w:ascii="YouYuan" w:hAnsi="YouYuan" w:eastAsia="YouYuan" w:cs="YouYuan"/>
          <w:sz w:val="29"/>
          <w:szCs w:val="29"/>
          <w:spacing w:val="30"/>
        </w:rPr>
        <w:t xml:space="preserve">  </w:t>
      </w:r>
      <w:r>
        <w:rPr>
          <w:rFonts w:ascii="YouYuan" w:hAnsi="YouYuan" w:eastAsia="YouYuan" w:cs="YouYuan"/>
          <w:sz w:val="29"/>
          <w:szCs w:val="29"/>
          <w:b/>
          <w:bCs/>
          <w:spacing w:val="-5"/>
        </w:rPr>
        <w:t>数据管理平台</w:t>
      </w:r>
    </w:p>
    <w:p>
      <w:pPr>
        <w:ind w:left="723"/>
        <w:spacing w:before="296" w:line="224" w:lineRule="auto"/>
        <w:outlineLvl w:val="5"/>
        <w:rPr>
          <w:rFonts w:ascii="YouYuan" w:hAnsi="YouYuan" w:eastAsia="YouYuan" w:cs="YouYuan"/>
          <w:sz w:val="22"/>
          <w:szCs w:val="22"/>
        </w:rPr>
      </w:pPr>
      <w:r>
        <w:rPr>
          <w:rFonts w:ascii="YouYuan" w:hAnsi="YouYuan" w:eastAsia="YouYuan" w:cs="YouYuan"/>
          <w:sz w:val="22"/>
          <w:szCs w:val="22"/>
          <w:b/>
          <w:bCs/>
          <w:spacing w:val="-10"/>
        </w:rPr>
        <w:t>1.</w:t>
      </w:r>
      <w:r>
        <w:rPr>
          <w:rFonts w:ascii="YouYuan" w:hAnsi="YouYuan" w:eastAsia="YouYuan" w:cs="YouYuan"/>
          <w:sz w:val="22"/>
          <w:szCs w:val="22"/>
          <w:spacing w:val="15"/>
        </w:rPr>
        <w:t xml:space="preserve"> </w:t>
      </w:r>
      <w:r>
        <w:rPr>
          <w:rFonts w:ascii="YouYuan" w:hAnsi="YouYuan" w:eastAsia="YouYuan" w:cs="YouYuan"/>
          <w:sz w:val="22"/>
          <w:szCs w:val="22"/>
          <w:b/>
          <w:bCs/>
          <w:spacing w:val="-10"/>
        </w:rPr>
        <w:t>简介</w:t>
      </w:r>
    </w:p>
    <w:p>
      <w:pPr>
        <w:ind w:left="719"/>
        <w:spacing w:before="196" w:line="232" w:lineRule="auto"/>
        <w:rPr>
          <w:rFonts w:ascii="KaiTi" w:hAnsi="KaiTi" w:eastAsia="KaiTi" w:cs="KaiTi"/>
          <w:sz w:val="22"/>
          <w:szCs w:val="22"/>
        </w:rPr>
      </w:pPr>
      <w:r>
        <w:rPr>
          <w:rFonts w:ascii="KaiTi" w:hAnsi="KaiTi" w:eastAsia="KaiTi" w:cs="KaiTi"/>
          <w:sz w:val="22"/>
          <w:szCs w:val="22"/>
          <w:spacing w:val="15"/>
        </w:rPr>
        <w:t>1)目的</w:t>
      </w:r>
    </w:p>
    <w:p>
      <w:pPr>
        <w:ind w:left="719"/>
        <w:spacing w:before="57" w:line="219" w:lineRule="auto"/>
        <w:rPr>
          <w:rFonts w:ascii="SimSun" w:hAnsi="SimSun" w:eastAsia="SimSun" w:cs="SimSun"/>
          <w:sz w:val="22"/>
          <w:szCs w:val="22"/>
        </w:rPr>
      </w:pPr>
      <w:r>
        <w:rPr>
          <w:rFonts w:ascii="SimSun" w:hAnsi="SimSun" w:eastAsia="SimSun" w:cs="SimSun"/>
          <w:sz w:val="22"/>
          <w:szCs w:val="22"/>
          <w:spacing w:val="-9"/>
        </w:rPr>
        <w:t>实施和管理一个有效的云端数据管理平台，以满足业务需求。</w:t>
      </w:r>
    </w:p>
    <w:p>
      <w:pPr>
        <w:ind w:left="719"/>
        <w:spacing w:before="47" w:line="219" w:lineRule="auto"/>
        <w:rPr>
          <w:rFonts w:ascii="SimSun" w:hAnsi="SimSun" w:eastAsia="SimSun" w:cs="SimSun"/>
          <w:sz w:val="22"/>
          <w:szCs w:val="22"/>
        </w:rPr>
      </w:pPr>
      <w:r>
        <w:rPr>
          <w:rFonts w:ascii="SimSun" w:hAnsi="SimSun" w:eastAsia="SimSun" w:cs="SimSun"/>
          <w:sz w:val="22"/>
          <w:szCs w:val="22"/>
          <w:spacing w:val="24"/>
        </w:rPr>
        <w:t>2)介绍</w:t>
      </w:r>
    </w:p>
    <w:p>
      <w:pPr>
        <w:ind w:left="209" w:right="54" w:firstLine="510"/>
        <w:spacing w:before="49" w:line="241" w:lineRule="auto"/>
        <w:rPr>
          <w:rFonts w:ascii="SimSun" w:hAnsi="SimSun" w:eastAsia="SimSun" w:cs="SimSun"/>
          <w:sz w:val="22"/>
          <w:szCs w:val="22"/>
        </w:rPr>
      </w:pPr>
      <w:r>
        <w:rPr>
          <w:rFonts w:ascii="SimSun" w:hAnsi="SimSun" w:eastAsia="SimSun" w:cs="SimSun"/>
          <w:sz w:val="22"/>
          <w:szCs w:val="22"/>
          <w:spacing w:val="-8"/>
        </w:rPr>
        <w:t>数据管理平台作为权威的数据源，通常包括用于数据分发、转换和集成到应用</w:t>
      </w:r>
      <w:r>
        <w:rPr>
          <w:rFonts w:ascii="SimSun" w:hAnsi="SimSun" w:eastAsia="SimSun" w:cs="SimSun"/>
          <w:sz w:val="22"/>
          <w:szCs w:val="22"/>
          <w:spacing w:val="6"/>
        </w:rPr>
        <w:t xml:space="preserve"> </w:t>
      </w:r>
      <w:r>
        <w:rPr>
          <w:rFonts w:ascii="SimSun" w:hAnsi="SimSun" w:eastAsia="SimSun" w:cs="SimSun"/>
          <w:sz w:val="22"/>
          <w:szCs w:val="22"/>
          <w:spacing w:val="-8"/>
        </w:rPr>
        <w:t>程序的资产。尽管通常存在多个物理平台，但组织应将数据管理平台视为整体技术 </w:t>
      </w:r>
      <w:r>
        <w:rPr>
          <w:rFonts w:ascii="SimSun" w:hAnsi="SimSun" w:eastAsia="SimSun" w:cs="SimSun"/>
          <w:sz w:val="22"/>
          <w:szCs w:val="22"/>
          <w:spacing w:val="-5"/>
        </w:rPr>
        <w:t>生态系统，并在共同授权下管理(人员、小组、标准、</w:t>
      </w:r>
      <w:r>
        <w:rPr>
          <w:rFonts w:ascii="Times New Roman" w:hAnsi="Times New Roman" w:eastAsia="Times New Roman" w:cs="Times New Roman"/>
          <w:sz w:val="22"/>
          <w:szCs w:val="22"/>
          <w:spacing w:val="-5"/>
        </w:rPr>
        <w:t>SLA</w:t>
      </w:r>
      <w:r>
        <w:rPr>
          <w:rFonts w:ascii="SimSun" w:hAnsi="SimSun" w:eastAsia="SimSun" w:cs="SimSun"/>
          <w:sz w:val="22"/>
          <w:szCs w:val="22"/>
          <w:spacing w:val="-5"/>
        </w:rPr>
        <w:t>、政策)。</w:t>
      </w:r>
    </w:p>
    <w:p>
      <w:pPr>
        <w:ind w:left="719"/>
        <w:spacing w:before="80" w:line="219" w:lineRule="auto"/>
        <w:rPr>
          <w:rFonts w:ascii="SimSun" w:hAnsi="SimSun" w:eastAsia="SimSun" w:cs="SimSun"/>
          <w:sz w:val="22"/>
          <w:szCs w:val="22"/>
        </w:rPr>
      </w:pPr>
      <w:r>
        <w:rPr>
          <w:rFonts w:ascii="SimSun" w:hAnsi="SimSun" w:eastAsia="SimSun" w:cs="SimSun"/>
          <w:sz w:val="22"/>
          <w:szCs w:val="22"/>
          <w:spacing w:val="-8"/>
        </w:rPr>
        <w:t>一个组织应拥有一套应用程序和技术实现跨业务部门的数据管理，并实现数据</w:t>
      </w:r>
    </w:p>
    <w:p>
      <w:pPr>
        <w:spacing w:line="219" w:lineRule="auto"/>
        <w:sectPr>
          <w:footerReference w:type="default" r:id="rId384"/>
          <w:pgSz w:w="8870" w:h="13400"/>
          <w:pgMar w:top="400" w:right="409" w:bottom="514" w:left="470" w:header="0" w:footer="296" w:gutter="0"/>
        </w:sectPr>
        <w:rPr>
          <w:rFonts w:ascii="SimSun" w:hAnsi="SimSun" w:eastAsia="SimSun" w:cs="SimSun"/>
          <w:sz w:val="22"/>
          <w:szCs w:val="22"/>
        </w:rPr>
      </w:pPr>
    </w:p>
    <w:p>
      <w:pPr>
        <w:ind w:left="5512"/>
        <w:spacing w:before="224" w:line="219" w:lineRule="auto"/>
        <w:rPr>
          <w:rFonts w:ascii="SimSun" w:hAnsi="SimSun" w:eastAsia="SimSun" w:cs="SimSun"/>
          <w:sz w:val="21"/>
          <w:szCs w:val="21"/>
        </w:rPr>
      </w:pPr>
      <w:r>
        <w:rPr>
          <w:rFonts w:ascii="SimSun" w:hAnsi="SimSun" w:eastAsia="SimSun" w:cs="SimSun"/>
          <w:sz w:val="21"/>
          <w:szCs w:val="21"/>
          <w:b/>
          <w:bCs/>
          <w:spacing w:val="17"/>
        </w:rPr>
        <w:t>第8章■云端数据架构</w:t>
      </w:r>
    </w:p>
    <w:p>
      <w:pPr>
        <w:pStyle w:val="BodyText"/>
        <w:spacing w:line="243" w:lineRule="auto"/>
        <w:rPr/>
      </w:pPr>
      <w:r/>
    </w:p>
    <w:p>
      <w:pPr>
        <w:ind w:right="246"/>
        <w:spacing w:before="68" w:line="251" w:lineRule="auto"/>
        <w:rPr>
          <w:rFonts w:ascii="SimSun" w:hAnsi="SimSun" w:eastAsia="SimSun" w:cs="SimSun"/>
          <w:sz w:val="21"/>
          <w:szCs w:val="21"/>
        </w:rPr>
      </w:pPr>
      <w:r>
        <w:rPr>
          <w:rFonts w:ascii="SimSun" w:hAnsi="SimSun" w:eastAsia="SimSun" w:cs="SimSun"/>
          <w:sz w:val="21"/>
          <w:szCs w:val="21"/>
          <w:spacing w:val="2"/>
        </w:rPr>
        <w:t>管理目标。数据管理平台会显著影响数据管理性能。因此，数据管理平台选择过程</w:t>
      </w:r>
      <w:r>
        <w:rPr>
          <w:rFonts w:ascii="SimSun" w:hAnsi="SimSun" w:eastAsia="SimSun" w:cs="SimSun"/>
          <w:sz w:val="21"/>
          <w:szCs w:val="21"/>
          <w:spacing w:val="14"/>
        </w:rPr>
        <w:t xml:space="preserve"> </w:t>
      </w:r>
      <w:r>
        <w:rPr>
          <w:rFonts w:ascii="SimSun" w:hAnsi="SimSun" w:eastAsia="SimSun" w:cs="SimSun"/>
          <w:sz w:val="21"/>
          <w:szCs w:val="21"/>
          <w:spacing w:val="1"/>
        </w:rPr>
        <w:t>应与数据管理和数据质量策略一致，以确保所需要的</w:t>
      </w:r>
      <w:r>
        <w:rPr>
          <w:rFonts w:ascii="SimSun" w:hAnsi="SimSun" w:eastAsia="SimSun" w:cs="SimSun"/>
          <w:sz w:val="21"/>
          <w:szCs w:val="21"/>
        </w:rPr>
        <w:t>特点和能力将得到满足。</w:t>
      </w:r>
    </w:p>
    <w:p>
      <w:pPr>
        <w:ind w:right="244" w:firstLine="439"/>
        <w:spacing w:before="69" w:line="255" w:lineRule="auto"/>
        <w:rPr>
          <w:rFonts w:ascii="SimSun" w:hAnsi="SimSun" w:eastAsia="SimSun" w:cs="SimSun"/>
          <w:sz w:val="21"/>
          <w:szCs w:val="21"/>
        </w:rPr>
      </w:pPr>
      <w:r>
        <w:rPr>
          <w:rFonts w:ascii="SimSun" w:hAnsi="SimSun" w:eastAsia="SimSun" w:cs="SimSun"/>
          <w:sz w:val="21"/>
          <w:szCs w:val="21"/>
          <w:spacing w:val="2"/>
        </w:rPr>
        <w:t>为了支持“自建或购买”的决策，应足够详细地对现有系统和能力进行差距分</w:t>
      </w:r>
      <w:r>
        <w:rPr>
          <w:rFonts w:ascii="SimSun" w:hAnsi="SimSun" w:eastAsia="SimSun" w:cs="SimSun"/>
          <w:sz w:val="21"/>
          <w:szCs w:val="21"/>
        </w:rPr>
        <w:t xml:space="preserve"> </w:t>
      </w:r>
      <w:r>
        <w:rPr>
          <w:rFonts w:ascii="SimSun" w:hAnsi="SimSun" w:eastAsia="SimSun" w:cs="SimSun"/>
          <w:sz w:val="21"/>
          <w:szCs w:val="21"/>
          <w:spacing w:val="2"/>
        </w:rPr>
        <w:t>析、考虑扩展现有平台的使用。此外，为遵循组织标准和蓝图，组织应计划在较长</w:t>
      </w:r>
      <w:r>
        <w:rPr>
          <w:rFonts w:ascii="SimSun" w:hAnsi="SimSun" w:eastAsia="SimSun" w:cs="SimSun"/>
          <w:sz w:val="21"/>
          <w:szCs w:val="21"/>
          <w:spacing w:val="16"/>
        </w:rPr>
        <w:t xml:space="preserve"> </w:t>
      </w:r>
      <w:r>
        <w:rPr>
          <w:rFonts w:ascii="SimSun" w:hAnsi="SimSun" w:eastAsia="SimSun" w:cs="SimSun"/>
          <w:sz w:val="21"/>
          <w:szCs w:val="21"/>
          <w:spacing w:val="-4"/>
        </w:rPr>
        <w:t>时间内分阶段进行实施目标平台。</w:t>
      </w:r>
    </w:p>
    <w:p>
      <w:pPr>
        <w:ind w:right="183" w:firstLine="439"/>
        <w:spacing w:before="49" w:line="264" w:lineRule="auto"/>
        <w:rPr>
          <w:rFonts w:ascii="SimSun" w:hAnsi="SimSun" w:eastAsia="SimSun" w:cs="SimSun"/>
          <w:sz w:val="21"/>
          <w:szCs w:val="21"/>
        </w:rPr>
      </w:pPr>
      <w:r>
        <w:rPr>
          <w:rFonts w:ascii="SimSun" w:hAnsi="SimSun" w:eastAsia="SimSun" w:cs="SimSun"/>
          <w:sz w:val="21"/>
          <w:szCs w:val="21"/>
          <w:spacing w:val="2"/>
        </w:rPr>
        <w:t>建立良好的数据架构就是为了能实现应用的松耦合。数据库分类分层是数据架 </w:t>
      </w:r>
      <w:r>
        <w:rPr>
          <w:rFonts w:ascii="SimSun" w:hAnsi="SimSun" w:eastAsia="SimSun" w:cs="SimSun"/>
          <w:sz w:val="21"/>
          <w:szCs w:val="21"/>
          <w:spacing w:val="-2"/>
        </w:rPr>
        <w:t>构最重要的规划，也是与应用架构关系最密切的系统规划。数据库分层分类的原则：</w:t>
      </w:r>
      <w:r>
        <w:rPr>
          <w:rFonts w:ascii="SimSun" w:hAnsi="SimSun" w:eastAsia="SimSun" w:cs="SimSun"/>
          <w:sz w:val="21"/>
          <w:szCs w:val="21"/>
          <w:spacing w:val="13"/>
        </w:rPr>
        <w:t xml:space="preserve"> </w:t>
      </w:r>
      <w:r>
        <w:rPr>
          <w:rFonts w:ascii="SimSun" w:hAnsi="SimSun" w:eastAsia="SimSun" w:cs="SimSun"/>
          <w:sz w:val="21"/>
          <w:szCs w:val="21"/>
          <w:spacing w:val="2"/>
        </w:rPr>
        <w:t>该数据库应该由哪一层的哪一个程序的集合访问，就把该数据</w:t>
      </w:r>
      <w:r>
        <w:rPr>
          <w:rFonts w:ascii="SimSun" w:hAnsi="SimSun" w:eastAsia="SimSun" w:cs="SimSun"/>
          <w:sz w:val="21"/>
          <w:szCs w:val="21"/>
          <w:spacing w:val="1"/>
        </w:rPr>
        <w:t>库配置在相应程序集 </w:t>
      </w:r>
      <w:r>
        <w:rPr>
          <w:rFonts w:ascii="SimSun" w:hAnsi="SimSun" w:eastAsia="SimSun" w:cs="SimSun"/>
          <w:sz w:val="21"/>
          <w:szCs w:val="21"/>
          <w:spacing w:val="2"/>
        </w:rPr>
        <w:t>合中，而且只能由封装自己的相应程序访问，其他程序不能跨</w:t>
      </w:r>
      <w:r>
        <w:rPr>
          <w:rFonts w:ascii="SimSun" w:hAnsi="SimSun" w:eastAsia="SimSun" w:cs="SimSun"/>
          <w:sz w:val="21"/>
          <w:szCs w:val="21"/>
          <w:spacing w:val="1"/>
        </w:rPr>
        <w:t>界访问。在数据封装 </w:t>
      </w:r>
      <w:r>
        <w:rPr>
          <w:rFonts w:ascii="SimSun" w:hAnsi="SimSun" w:eastAsia="SimSun" w:cs="SimSun"/>
          <w:sz w:val="21"/>
          <w:szCs w:val="21"/>
          <w:spacing w:val="3"/>
        </w:rPr>
        <w:t>的前提下，通过适当的数据冗余来保证数据流转与共享的效</w:t>
      </w:r>
      <w:r>
        <w:rPr>
          <w:rFonts w:ascii="SimSun" w:hAnsi="SimSun" w:eastAsia="SimSun" w:cs="SimSun"/>
          <w:sz w:val="21"/>
          <w:szCs w:val="21"/>
          <w:spacing w:val="2"/>
        </w:rPr>
        <w:t>率。数据冗余要遵循以</w:t>
      </w:r>
      <w:r>
        <w:rPr>
          <w:rFonts w:ascii="SimSun" w:hAnsi="SimSun" w:eastAsia="SimSun" w:cs="SimSun"/>
          <w:sz w:val="21"/>
          <w:szCs w:val="21"/>
        </w:rPr>
        <w:t xml:space="preserve"> </w:t>
      </w:r>
      <w:r>
        <w:rPr>
          <w:rFonts w:ascii="SimSun" w:hAnsi="SimSun" w:eastAsia="SimSun" w:cs="SimSun"/>
          <w:sz w:val="21"/>
          <w:szCs w:val="21"/>
          <w:spacing w:val="-9"/>
        </w:rPr>
        <w:t>下原则。</w:t>
      </w:r>
    </w:p>
    <w:p>
      <w:pPr>
        <w:ind w:left="439"/>
        <w:spacing w:before="90" w:line="219" w:lineRule="auto"/>
        <w:rPr>
          <w:rFonts w:ascii="SimSun" w:hAnsi="SimSun" w:eastAsia="SimSun" w:cs="SimSun"/>
          <w:sz w:val="21"/>
          <w:szCs w:val="21"/>
        </w:rPr>
      </w:pPr>
      <w:r>
        <w:rPr>
          <w:rFonts w:ascii="SimSun" w:hAnsi="SimSun" w:eastAsia="SimSun" w:cs="SimSun"/>
          <w:sz w:val="21"/>
          <w:szCs w:val="21"/>
          <w:spacing w:val="13"/>
        </w:rPr>
        <w:t>(1)兼顾效率</w:t>
      </w:r>
    </w:p>
    <w:p>
      <w:pPr>
        <w:ind w:right="244" w:firstLine="439"/>
        <w:spacing w:before="71" w:line="250" w:lineRule="auto"/>
        <w:rPr>
          <w:rFonts w:ascii="SimSun" w:hAnsi="SimSun" w:eastAsia="SimSun" w:cs="SimSun"/>
          <w:sz w:val="21"/>
          <w:szCs w:val="21"/>
        </w:rPr>
      </w:pPr>
      <w:r>
        <w:rPr>
          <w:rFonts w:ascii="SimSun" w:hAnsi="SimSun" w:eastAsia="SimSun" w:cs="SimSun"/>
          <w:sz w:val="21"/>
          <w:szCs w:val="21"/>
          <w:spacing w:val="2"/>
        </w:rPr>
        <w:t>数据冗余可以提高效率，但数据冗余增加了系统的复杂度，带来额外的空间开</w:t>
      </w:r>
      <w:r>
        <w:rPr>
          <w:rFonts w:ascii="SimSun" w:hAnsi="SimSun" w:eastAsia="SimSun" w:cs="SimSun"/>
          <w:sz w:val="21"/>
          <w:szCs w:val="21"/>
        </w:rPr>
        <w:t xml:space="preserve"> </w:t>
      </w:r>
      <w:r>
        <w:rPr>
          <w:rFonts w:ascii="SimSun" w:hAnsi="SimSun" w:eastAsia="SimSun" w:cs="SimSun"/>
          <w:sz w:val="21"/>
          <w:szCs w:val="21"/>
        </w:rPr>
        <w:t>销和管理维护开销，不应该滥用。在兼顾效率时要平衡效率与复杂度的关系。</w:t>
      </w:r>
    </w:p>
    <w:p>
      <w:pPr>
        <w:ind w:left="439"/>
        <w:spacing w:before="61" w:line="219" w:lineRule="auto"/>
        <w:rPr>
          <w:rFonts w:ascii="SimSun" w:hAnsi="SimSun" w:eastAsia="SimSun" w:cs="SimSun"/>
          <w:sz w:val="21"/>
          <w:szCs w:val="21"/>
        </w:rPr>
      </w:pPr>
      <w:r>
        <w:rPr>
          <w:rFonts w:ascii="SimSun" w:hAnsi="SimSun" w:eastAsia="SimSun" w:cs="SimSun"/>
          <w:sz w:val="21"/>
          <w:szCs w:val="21"/>
          <w:spacing w:val="13"/>
        </w:rPr>
        <w:t>(2)数据同步</w:t>
      </w:r>
    </w:p>
    <w:p>
      <w:pPr>
        <w:ind w:right="236" w:firstLine="439"/>
        <w:spacing w:before="40" w:line="255" w:lineRule="auto"/>
        <w:rPr>
          <w:rFonts w:ascii="SimSun" w:hAnsi="SimSun" w:eastAsia="SimSun" w:cs="SimSun"/>
          <w:sz w:val="21"/>
          <w:szCs w:val="21"/>
        </w:rPr>
      </w:pPr>
      <w:r>
        <w:rPr>
          <w:rFonts w:ascii="SimSun" w:hAnsi="SimSun" w:eastAsia="SimSun" w:cs="SimSun"/>
          <w:sz w:val="21"/>
          <w:szCs w:val="21"/>
          <w:spacing w:val="2"/>
        </w:rPr>
        <w:t>源数据的增、删、改的权限在源数据归属的应用。当源数据发生变化时，辅数</w:t>
      </w:r>
      <w:r>
        <w:rPr>
          <w:rFonts w:ascii="SimSun" w:hAnsi="SimSun" w:eastAsia="SimSun" w:cs="SimSun"/>
          <w:sz w:val="21"/>
          <w:szCs w:val="21"/>
        </w:rPr>
        <w:t xml:space="preserve"> </w:t>
      </w:r>
      <w:r>
        <w:rPr>
          <w:rFonts w:ascii="SimSun" w:hAnsi="SimSun" w:eastAsia="SimSun" w:cs="SimSun"/>
          <w:sz w:val="21"/>
          <w:szCs w:val="21"/>
        </w:rPr>
        <w:t>据要及时同步变化。以保证数据的一致性和准确性。至于怎么样</w:t>
      </w:r>
      <w:r>
        <w:rPr>
          <w:rFonts w:ascii="SimSun" w:hAnsi="SimSun" w:eastAsia="SimSun" w:cs="SimSun"/>
          <w:sz w:val="21"/>
          <w:szCs w:val="21"/>
          <w:spacing w:val="-1"/>
        </w:rPr>
        <w:t>算“及时”,用什么</w:t>
      </w:r>
      <w:r>
        <w:rPr>
          <w:rFonts w:ascii="SimSun" w:hAnsi="SimSun" w:eastAsia="SimSun" w:cs="SimSun"/>
          <w:sz w:val="21"/>
          <w:szCs w:val="21"/>
        </w:rPr>
        <w:t xml:space="preserve"> </w:t>
      </w:r>
      <w:r>
        <w:rPr>
          <w:rFonts w:ascii="SimSun" w:hAnsi="SimSun" w:eastAsia="SimSun" w:cs="SimSun"/>
          <w:sz w:val="21"/>
          <w:szCs w:val="21"/>
          <w:spacing w:val="-1"/>
        </w:rPr>
        <w:t>手段进行数据同步，要视具体冗余数据的性质而定。</w:t>
      </w:r>
    </w:p>
    <w:p>
      <w:pPr>
        <w:ind w:left="439"/>
        <w:spacing w:before="70" w:line="219" w:lineRule="auto"/>
        <w:rPr>
          <w:rFonts w:ascii="SimSun" w:hAnsi="SimSun" w:eastAsia="SimSun" w:cs="SimSun"/>
          <w:sz w:val="21"/>
          <w:szCs w:val="21"/>
        </w:rPr>
      </w:pPr>
      <w:r>
        <w:rPr>
          <w:rFonts w:ascii="SimSun" w:hAnsi="SimSun" w:eastAsia="SimSun" w:cs="SimSun"/>
          <w:sz w:val="21"/>
          <w:szCs w:val="21"/>
          <w:spacing w:val="8"/>
        </w:rPr>
        <w:t>(3)冗余数据的选择</w:t>
      </w:r>
    </w:p>
    <w:p>
      <w:pPr>
        <w:ind w:right="244" w:firstLine="439"/>
        <w:spacing w:before="51" w:line="254" w:lineRule="auto"/>
        <w:rPr>
          <w:rFonts w:ascii="SimSun" w:hAnsi="SimSun" w:eastAsia="SimSun" w:cs="SimSun"/>
          <w:sz w:val="21"/>
          <w:szCs w:val="21"/>
        </w:rPr>
      </w:pPr>
      <w:r>
        <w:rPr>
          <w:rFonts w:ascii="SimSun" w:hAnsi="SimSun" w:eastAsia="SimSun" w:cs="SimSun"/>
          <w:sz w:val="21"/>
          <w:szCs w:val="21"/>
          <w:spacing w:val="2"/>
        </w:rPr>
        <w:t>由于存在数据同步的管理，为了减少同步的频繁度和复杂度，冗余数据通常应</w:t>
      </w:r>
      <w:r>
        <w:rPr>
          <w:rFonts w:ascii="SimSun" w:hAnsi="SimSun" w:eastAsia="SimSun" w:cs="SimSun"/>
          <w:sz w:val="21"/>
          <w:szCs w:val="21"/>
        </w:rPr>
        <w:t xml:space="preserve"> </w:t>
      </w:r>
      <w:r>
        <w:rPr>
          <w:rFonts w:ascii="SimSun" w:hAnsi="SimSun" w:eastAsia="SimSun" w:cs="SimSun"/>
          <w:sz w:val="21"/>
          <w:szCs w:val="21"/>
          <w:spacing w:val="-2"/>
        </w:rPr>
        <w:t>该是一些静态数据或者同步实时性要求不高的数据。</w:t>
      </w:r>
    </w:p>
    <w:p>
      <w:pPr>
        <w:ind w:left="439"/>
        <w:spacing w:before="65" w:line="229" w:lineRule="auto"/>
        <w:rPr>
          <w:rFonts w:ascii="KaiTi" w:hAnsi="KaiTi" w:eastAsia="KaiTi" w:cs="KaiTi"/>
          <w:sz w:val="21"/>
          <w:szCs w:val="21"/>
        </w:rPr>
      </w:pPr>
      <w:r>
        <w:rPr>
          <w:rFonts w:ascii="KaiTi" w:hAnsi="KaiTi" w:eastAsia="KaiTi" w:cs="KaiTi"/>
          <w:sz w:val="21"/>
          <w:szCs w:val="21"/>
          <w:spacing w:val="11"/>
        </w:rPr>
        <w:t>3)相关过程域</w:t>
      </w:r>
    </w:p>
    <w:p>
      <w:pPr>
        <w:ind w:left="439"/>
        <w:spacing w:before="57" w:line="219" w:lineRule="auto"/>
        <w:rPr>
          <w:rFonts w:ascii="SimSun" w:hAnsi="SimSun" w:eastAsia="SimSun" w:cs="SimSun"/>
          <w:sz w:val="21"/>
          <w:szCs w:val="21"/>
        </w:rPr>
      </w:pPr>
      <w:r>
        <w:rPr>
          <w:rFonts w:ascii="SimSun" w:hAnsi="SimSun" w:eastAsia="SimSun" w:cs="SimSun"/>
          <w:sz w:val="21"/>
          <w:szCs w:val="21"/>
          <w:spacing w:val="-5"/>
        </w:rPr>
        <w:t>战略过程域中的实践执行结果；</w:t>
      </w:r>
    </w:p>
    <w:p>
      <w:pPr>
        <w:ind w:left="439"/>
        <w:spacing w:before="50" w:line="219" w:lineRule="auto"/>
        <w:rPr>
          <w:rFonts w:ascii="SimSun" w:hAnsi="SimSun" w:eastAsia="SimSun" w:cs="SimSun"/>
          <w:sz w:val="21"/>
          <w:szCs w:val="21"/>
        </w:rPr>
      </w:pPr>
      <w:r>
        <w:rPr>
          <w:rFonts w:ascii="SimSun" w:hAnsi="SimSun" w:eastAsia="SimSun" w:cs="SimSun"/>
          <w:sz w:val="21"/>
          <w:szCs w:val="21"/>
          <w:spacing w:val="-12"/>
        </w:rPr>
        <w:t>业务词汇表过程域和元数据管理过程域提供了该类型信息的识</w:t>
      </w:r>
      <w:r>
        <w:rPr>
          <w:rFonts w:ascii="SimSun" w:hAnsi="SimSun" w:eastAsia="SimSun" w:cs="SimSun"/>
          <w:sz w:val="21"/>
          <w:szCs w:val="21"/>
          <w:spacing w:val="-13"/>
        </w:rPr>
        <w:t>别、分类和管理指导；</w:t>
      </w:r>
    </w:p>
    <w:p>
      <w:pPr>
        <w:ind w:left="439"/>
        <w:spacing w:before="80" w:line="219" w:lineRule="auto"/>
        <w:rPr>
          <w:rFonts w:ascii="SimSun" w:hAnsi="SimSun" w:eastAsia="SimSun" w:cs="SimSun"/>
          <w:sz w:val="21"/>
          <w:szCs w:val="21"/>
        </w:rPr>
      </w:pPr>
      <w:r>
        <w:rPr>
          <w:rFonts w:ascii="SimSun" w:hAnsi="SimSun" w:eastAsia="SimSun" w:cs="SimSun"/>
          <w:sz w:val="21"/>
          <w:szCs w:val="21"/>
          <w:spacing w:val="-1"/>
        </w:rPr>
        <w:t>数据生命周期管理过程域提供了关于数据用于何处的信息；</w:t>
      </w:r>
    </w:p>
    <w:p>
      <w:pPr>
        <w:ind w:left="439"/>
        <w:spacing w:before="61" w:line="219" w:lineRule="auto"/>
        <w:rPr>
          <w:rFonts w:ascii="SimSun" w:hAnsi="SimSun" w:eastAsia="SimSun" w:cs="SimSun"/>
          <w:sz w:val="21"/>
          <w:szCs w:val="21"/>
        </w:rPr>
      </w:pPr>
      <w:r>
        <w:rPr>
          <w:rFonts w:ascii="SimSun" w:hAnsi="SimSun" w:eastAsia="SimSun" w:cs="SimSun"/>
          <w:sz w:val="21"/>
          <w:szCs w:val="21"/>
          <w:spacing w:val="-2"/>
        </w:rPr>
        <w:t>数据质量策略过程域提供了有关质量方面的信息。</w:t>
      </w:r>
    </w:p>
    <w:p>
      <w:pPr>
        <w:pStyle w:val="BodyText"/>
        <w:ind w:left="439"/>
        <w:spacing w:before="210" w:line="223" w:lineRule="auto"/>
        <w:outlineLvl w:val="5"/>
        <w:rPr>
          <w:rFonts w:ascii="SimHei" w:hAnsi="SimHei" w:eastAsia="SimHei" w:cs="SimHei"/>
        </w:rPr>
      </w:pPr>
      <w:r>
        <w:rPr>
          <w:b/>
          <w:bCs/>
          <w:spacing w:val="-2"/>
        </w:rPr>
        <w:t>2.GQM</w:t>
      </w:r>
      <w:r>
        <w:rPr>
          <w:b/>
          <w:bCs/>
          <w:spacing w:val="5"/>
        </w:rPr>
        <w:t xml:space="preserve">    </w:t>
      </w:r>
      <w:r>
        <w:rPr>
          <w:rFonts w:ascii="SimHei" w:hAnsi="SimHei" w:eastAsia="SimHei" w:cs="SimHei"/>
          <w:b/>
          <w:bCs/>
          <w:spacing w:val="-2"/>
        </w:rPr>
        <w:t>表</w:t>
      </w:r>
    </w:p>
    <w:p>
      <w:pPr>
        <w:spacing w:line="155" w:lineRule="exact"/>
        <w:rPr/>
      </w:pPr>
      <w:r/>
    </w:p>
    <w:tbl>
      <w:tblPr>
        <w:tblStyle w:val="TableNormal"/>
        <w:tblW w:w="7669"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508"/>
        <w:gridCol w:w="1907"/>
        <w:gridCol w:w="2901"/>
      </w:tblGrid>
      <w:tr>
        <w:trPr>
          <w:trHeight w:val="314" w:hRule="atLeast"/>
        </w:trPr>
        <w:tc>
          <w:tcPr>
            <w:tcW w:w="1353" w:type="dxa"/>
            <w:vAlign w:val="top"/>
          </w:tcPr>
          <w:p>
            <w:pPr>
              <w:pStyle w:val="TableText"/>
              <w:ind w:left="404"/>
              <w:spacing w:before="81" w:line="220" w:lineRule="auto"/>
              <w:rPr/>
            </w:pPr>
            <w:r>
              <w:rPr>
                <w:spacing w:val="-12"/>
              </w:rPr>
              <w:t>目    标</w:t>
            </w:r>
          </w:p>
        </w:tc>
        <w:tc>
          <w:tcPr>
            <w:tcW w:w="1508" w:type="dxa"/>
            <w:vAlign w:val="top"/>
          </w:tcPr>
          <w:p>
            <w:pPr>
              <w:pStyle w:val="TableText"/>
              <w:ind w:left="481"/>
              <w:spacing w:before="83" w:line="221" w:lineRule="auto"/>
              <w:rPr/>
            </w:pPr>
            <w:r>
              <w:rPr>
                <w:spacing w:val="-12"/>
              </w:rPr>
              <w:t>问</w:t>
            </w:r>
            <w:r>
              <w:rPr>
                <w:spacing w:val="10"/>
              </w:rPr>
              <w:t xml:space="preserve">   </w:t>
            </w:r>
            <w:r>
              <w:rPr>
                <w:spacing w:val="-12"/>
              </w:rPr>
              <w:t>题</w:t>
            </w:r>
          </w:p>
        </w:tc>
        <w:tc>
          <w:tcPr>
            <w:tcW w:w="1907" w:type="dxa"/>
            <w:vAlign w:val="top"/>
          </w:tcPr>
          <w:p>
            <w:pPr>
              <w:pStyle w:val="TableText"/>
              <w:ind w:left="583"/>
              <w:spacing w:before="81" w:line="220" w:lineRule="auto"/>
              <w:rPr/>
            </w:pPr>
            <w:r>
              <w:rPr>
                <w:spacing w:val="-4"/>
              </w:rPr>
              <w:t>度</w:t>
            </w:r>
            <w:r>
              <w:rPr>
                <w:spacing w:val="2"/>
              </w:rPr>
              <w:t xml:space="preserve">  </w:t>
            </w:r>
            <w:r>
              <w:rPr>
                <w:spacing w:val="-4"/>
              </w:rPr>
              <w:t>量</w:t>
            </w:r>
            <w:r>
              <w:rPr>
                <w:spacing w:val="9"/>
              </w:rPr>
              <w:t xml:space="preserve"> </w:t>
            </w:r>
            <w:r>
              <w:rPr>
                <w:spacing w:val="-4"/>
              </w:rPr>
              <w:t>项</w:t>
            </w:r>
          </w:p>
        </w:tc>
        <w:tc>
          <w:tcPr>
            <w:tcW w:w="2901" w:type="dxa"/>
            <w:vAlign w:val="top"/>
          </w:tcPr>
          <w:p>
            <w:pPr>
              <w:pStyle w:val="TableText"/>
              <w:ind w:left="1067"/>
              <w:spacing w:before="81" w:line="219" w:lineRule="auto"/>
              <w:rPr/>
            </w:pPr>
            <w:r>
              <w:rPr>
                <w:spacing w:val="3"/>
              </w:rPr>
              <w:t>度量项说明</w:t>
            </w:r>
          </w:p>
        </w:tc>
      </w:tr>
      <w:tr>
        <w:trPr>
          <w:trHeight w:val="827" w:hRule="atLeast"/>
        </w:trPr>
        <w:tc>
          <w:tcPr>
            <w:tcW w:w="1353" w:type="dxa"/>
            <w:vAlign w:val="top"/>
            <w:vMerge w:val="restart"/>
            <w:tcBorders>
              <w:bottom w:val="nil"/>
            </w:tcBorders>
          </w:tcPr>
          <w:p>
            <w:pPr>
              <w:spacing w:line="346" w:lineRule="auto"/>
              <w:rPr>
                <w:rFonts w:ascii="Arial"/>
                <w:sz w:val="21"/>
              </w:rPr>
            </w:pPr>
            <w:r/>
          </w:p>
          <w:p>
            <w:pPr>
              <w:spacing w:line="347" w:lineRule="auto"/>
              <w:rPr>
                <w:rFonts w:ascii="Arial"/>
                <w:sz w:val="21"/>
              </w:rPr>
            </w:pPr>
            <w:r/>
          </w:p>
          <w:p>
            <w:pPr>
              <w:pStyle w:val="TableText"/>
              <w:ind w:left="94" w:right="155" w:firstLine="160"/>
              <w:spacing w:before="49" w:line="283" w:lineRule="auto"/>
              <w:rPr/>
            </w:pPr>
            <w:r>
              <w:rPr>
                <w:spacing w:val="-1"/>
              </w:rPr>
              <w:t>G1:平台满足</w:t>
            </w:r>
            <w:r>
              <w:rPr/>
              <w:t xml:space="preserve">  </w:t>
            </w:r>
            <w:r>
              <w:rPr>
                <w:spacing w:val="6"/>
              </w:rPr>
              <w:t>经批准的要求和</w:t>
            </w:r>
            <w:r>
              <w:rPr/>
              <w:t xml:space="preserve"> </w:t>
            </w:r>
            <w:r>
              <w:rPr>
                <w:spacing w:val="-2"/>
              </w:rPr>
              <w:t>架构</w:t>
            </w:r>
          </w:p>
        </w:tc>
        <w:tc>
          <w:tcPr>
            <w:tcW w:w="1508" w:type="dxa"/>
            <w:vAlign w:val="top"/>
            <w:vMerge w:val="restart"/>
            <w:tcBorders>
              <w:bottom w:val="nil"/>
            </w:tcBorders>
          </w:tcPr>
          <w:p>
            <w:pPr>
              <w:spacing w:line="436" w:lineRule="auto"/>
              <w:rPr>
                <w:rFonts w:ascii="Arial"/>
                <w:sz w:val="21"/>
              </w:rPr>
            </w:pPr>
            <w:r/>
          </w:p>
          <w:p>
            <w:pPr>
              <w:pStyle w:val="TableText"/>
              <w:ind w:left="251"/>
              <w:spacing w:before="49" w:line="221" w:lineRule="auto"/>
              <w:rPr/>
            </w:pPr>
            <w:r>
              <w:rPr>
                <w:spacing w:val="-1"/>
              </w:rPr>
              <w:t>Q1:平台是“建</w:t>
            </w:r>
          </w:p>
          <w:p>
            <w:pPr>
              <w:pStyle w:val="TableText"/>
              <w:ind w:left="111" w:right="69" w:hanging="9"/>
              <w:spacing w:before="77" w:line="307" w:lineRule="auto"/>
              <w:rPr>
                <w:sz w:val="11"/>
                <w:szCs w:val="11"/>
              </w:rPr>
            </w:pPr>
            <w:r>
              <w:rPr>
                <w:spacing w:val="5"/>
              </w:rPr>
              <w:t>构”还是“购买”, </w:t>
            </w:r>
            <w:r>
              <w:rPr>
                <w:spacing w:val="2"/>
              </w:rPr>
              <w:t>支持什么形式的数</w:t>
            </w:r>
            <w:r>
              <w:rPr>
                <w:spacing w:val="3"/>
              </w:rPr>
              <w:t xml:space="preserve">  </w:t>
            </w:r>
            <w:r>
              <w:rPr>
                <w:spacing w:val="3"/>
              </w:rPr>
              <w:t>据、数据交换和接</w:t>
            </w:r>
            <w:r>
              <w:rPr/>
              <w:t xml:space="preserve">  </w:t>
            </w:r>
            <w:r>
              <w:rPr>
                <w:sz w:val="11"/>
                <w:szCs w:val="11"/>
              </w:rPr>
              <w:t>口</w:t>
            </w:r>
          </w:p>
        </w:tc>
        <w:tc>
          <w:tcPr>
            <w:tcW w:w="1907" w:type="dxa"/>
            <w:vAlign w:val="top"/>
          </w:tcPr>
          <w:p>
            <w:pPr>
              <w:pStyle w:val="TableText"/>
              <w:ind w:left="113" w:right="229" w:firstLine="130"/>
              <w:spacing w:before="206" w:line="276" w:lineRule="auto"/>
              <w:rPr/>
            </w:pPr>
            <w:r>
              <w:rPr>
                <w:spacing w:val="-1"/>
              </w:rPr>
              <w:t>M1:数据管理平台策略</w:t>
            </w:r>
            <w:r>
              <w:rPr>
                <w:spacing w:val="8"/>
              </w:rPr>
              <w:t xml:space="preserve"> </w:t>
            </w:r>
            <w:r>
              <w:rPr>
                <w:spacing w:val="-1"/>
              </w:rPr>
              <w:t>对数据治理目标的支持</w:t>
            </w:r>
          </w:p>
        </w:tc>
        <w:tc>
          <w:tcPr>
            <w:tcW w:w="2901" w:type="dxa"/>
            <w:vAlign w:val="top"/>
          </w:tcPr>
          <w:p>
            <w:pPr>
              <w:pStyle w:val="TableText"/>
              <w:ind w:left="246"/>
              <w:spacing w:before="77" w:line="219" w:lineRule="auto"/>
              <w:rPr/>
            </w:pPr>
            <w:r>
              <w:rPr>
                <w:spacing w:val="-1"/>
              </w:rPr>
              <w:t>数据管理平台策略的目标应包括性能</w:t>
            </w:r>
          </w:p>
          <w:p>
            <w:pPr>
              <w:pStyle w:val="TableText"/>
              <w:ind w:left="125" w:right="101" w:hanging="29"/>
              <w:spacing w:before="91" w:line="270" w:lineRule="auto"/>
              <w:rPr/>
            </w:pPr>
            <w:r>
              <w:rPr>
                <w:spacing w:val="-1"/>
              </w:rPr>
              <w:t>指标、可扩展性要求、可维护性要求、数</w:t>
            </w:r>
            <w:r>
              <w:rPr>
                <w:spacing w:val="9"/>
              </w:rPr>
              <w:t xml:space="preserve"> </w:t>
            </w:r>
            <w:r>
              <w:rPr>
                <w:spacing w:val="-1"/>
              </w:rPr>
              <w:t>据质量要求、安全要求等内容</w:t>
            </w:r>
          </w:p>
        </w:tc>
      </w:tr>
      <w:tr>
        <w:trPr>
          <w:trHeight w:val="1329" w:hRule="atLeast"/>
        </w:trPr>
        <w:tc>
          <w:tcPr>
            <w:tcW w:w="1353" w:type="dxa"/>
            <w:vAlign w:val="top"/>
            <w:vMerge w:val="continue"/>
            <w:tcBorders>
              <w:top w:val="nil"/>
            </w:tcBorders>
          </w:tcPr>
          <w:p>
            <w:pPr>
              <w:rPr>
                <w:rFonts w:ascii="Arial"/>
                <w:sz w:val="21"/>
              </w:rPr>
            </w:pPr>
            <w:r/>
          </w:p>
        </w:tc>
        <w:tc>
          <w:tcPr>
            <w:tcW w:w="1508" w:type="dxa"/>
            <w:vAlign w:val="top"/>
            <w:vMerge w:val="continue"/>
            <w:tcBorders>
              <w:top w:val="nil"/>
            </w:tcBorders>
          </w:tcPr>
          <w:p>
            <w:pPr>
              <w:rPr>
                <w:rFonts w:ascii="Arial"/>
                <w:sz w:val="21"/>
              </w:rPr>
            </w:pPr>
            <w:r/>
          </w:p>
        </w:tc>
        <w:tc>
          <w:tcPr>
            <w:tcW w:w="1907" w:type="dxa"/>
            <w:vAlign w:val="top"/>
          </w:tcPr>
          <w:p>
            <w:pPr>
              <w:spacing w:line="419" w:lineRule="auto"/>
              <w:rPr>
                <w:rFonts w:ascii="Arial"/>
                <w:sz w:val="21"/>
              </w:rPr>
            </w:pPr>
            <w:r/>
          </w:p>
          <w:p>
            <w:pPr>
              <w:pStyle w:val="TableText"/>
              <w:ind w:left="103" w:right="209" w:firstLine="160"/>
              <w:spacing w:before="48" w:line="264" w:lineRule="auto"/>
              <w:rPr/>
            </w:pPr>
            <w:r>
              <w:rPr>
                <w:spacing w:val="-1"/>
              </w:rPr>
              <w:t>M2:数据管理平台具有</w:t>
            </w:r>
            <w:r>
              <w:rPr>
                <w:spacing w:val="8"/>
              </w:rPr>
              <w:t xml:space="preserve"> </w:t>
            </w:r>
            <w:r>
              <w:rPr>
                <w:spacing w:val="-1"/>
              </w:rPr>
              <w:t>选择过程</w:t>
            </w:r>
          </w:p>
        </w:tc>
        <w:tc>
          <w:tcPr>
            <w:tcW w:w="2901" w:type="dxa"/>
            <w:vAlign w:val="top"/>
          </w:tcPr>
          <w:p>
            <w:pPr>
              <w:pStyle w:val="TableText"/>
              <w:ind w:left="16" w:right="29" w:firstLine="149"/>
              <w:spacing w:before="79" w:line="270" w:lineRule="auto"/>
              <w:rPr/>
            </w:pPr>
            <w:r>
              <w:rPr/>
              <w:t>数据管理平台的选择需要数据管理专员  </w:t>
            </w:r>
            <w:r>
              <w:rPr>
                <w:spacing w:val="-1"/>
              </w:rPr>
              <w:t>及相关领域的专家积极参与，软件项目经理</w:t>
            </w:r>
          </w:p>
          <w:p>
            <w:pPr>
              <w:pStyle w:val="TableText"/>
              <w:ind w:left="16" w:right="29" w:firstLine="80"/>
              <w:spacing w:before="81" w:line="263" w:lineRule="auto"/>
              <w:rPr/>
            </w:pPr>
            <w:r>
              <w:rPr/>
              <w:t>也应投入足够的时间参与到持续不断的沟 </w:t>
            </w:r>
            <w:r>
              <w:rPr>
                <w:spacing w:val="-1"/>
              </w:rPr>
              <w:t>通中，以确保“建构或购买”决策会考虑到</w:t>
            </w:r>
          </w:p>
          <w:p>
            <w:pPr>
              <w:pStyle w:val="TableText"/>
              <w:ind w:left="136"/>
              <w:spacing w:before="83" w:line="219" w:lineRule="auto"/>
              <w:rPr/>
            </w:pPr>
            <w:r>
              <w:rPr/>
              <w:t>目标数据架构并支持数据管理策略</w:t>
            </w:r>
          </w:p>
        </w:tc>
      </w:tr>
    </w:tbl>
    <w:p>
      <w:pPr>
        <w:pStyle w:val="BodyText"/>
        <w:rPr/>
      </w:pPr>
      <w:r/>
    </w:p>
    <w:p>
      <w:pPr>
        <w:sectPr>
          <w:footerReference w:type="default" r:id="rId386"/>
          <w:pgSz w:w="8870" w:h="13400"/>
          <w:pgMar w:top="400" w:right="575" w:bottom="557" w:left="400" w:header="0" w:footer="349" w:gutter="0"/>
        </w:sectPr>
        <w:rPr/>
      </w:pPr>
    </w:p>
    <w:p>
      <w:pPr>
        <w:ind w:left="140"/>
        <w:spacing w:before="209"/>
        <w:rPr>
          <w:rFonts w:ascii="SimSun" w:hAnsi="SimSun" w:eastAsia="SimSun" w:cs="SimSun"/>
          <w:sz w:val="22"/>
          <w:szCs w:val="22"/>
        </w:rPr>
      </w:pPr>
      <w:r>
        <w:rPr>
          <w:rFonts w:ascii="SimSun" w:hAnsi="SimSun" w:eastAsia="SimSun" w:cs="SimSun"/>
          <w:sz w:val="22"/>
          <w:szCs w:val="22"/>
          <w:position w:val="-10"/>
        </w:rPr>
        <w:drawing>
          <wp:inline distT="0" distB="0" distL="0" distR="0">
            <wp:extent cx="6308" cy="228637"/>
            <wp:effectExtent l="0" t="0" r="0" b="0"/>
            <wp:docPr id="264" name="IM 264"/>
            <wp:cNvGraphicFramePr/>
            <a:graphic>
              <a:graphicData uri="http://schemas.openxmlformats.org/drawingml/2006/picture">
                <pic:pic>
                  <pic:nvPicPr>
                    <pic:cNvPr id="264" name="IM 264"/>
                    <pic:cNvPicPr/>
                  </pic:nvPicPr>
                  <pic:blipFill>
                    <a:blip r:embed="rId388"/>
                    <a:stretch>
                      <a:fillRect/>
                    </a:stretch>
                  </pic:blipFill>
                  <pic:spPr>
                    <a:xfrm rot="0">
                      <a:off x="0" y="0"/>
                      <a:ext cx="6308" cy="228637"/>
                    </a:xfrm>
                    <a:prstGeom prst="rect">
                      <a:avLst/>
                    </a:prstGeom>
                  </pic:spPr>
                </pic:pic>
              </a:graphicData>
            </a:graphic>
          </wp:inline>
        </w:drawing>
      </w:r>
      <w:r>
        <w:rPr>
          <w:rFonts w:ascii="SimSun" w:hAnsi="SimSun" w:eastAsia="SimSun" w:cs="SimSun"/>
          <w:sz w:val="22"/>
          <w:szCs w:val="22"/>
          <w:spacing w:val="-7"/>
        </w:rPr>
        <w:t xml:space="preserve"> </w:t>
      </w:r>
      <w:r>
        <w:rPr>
          <w:rFonts w:ascii="SimSun" w:hAnsi="SimSun" w:eastAsia="SimSun" w:cs="SimSun"/>
          <w:sz w:val="22"/>
          <w:szCs w:val="22"/>
          <w:b/>
          <w:bCs/>
          <w:spacing w:val="-17"/>
        </w:rPr>
        <w:t>■云端数据治理</w:t>
      </w:r>
    </w:p>
    <w:p>
      <w:pPr>
        <w:pStyle w:val="BodyText"/>
        <w:spacing w:line="265" w:lineRule="auto"/>
        <w:rPr/>
      </w:pPr>
      <w:r/>
    </w:p>
    <w:p>
      <w:pPr>
        <w:ind w:left="7232"/>
        <w:spacing w:before="58" w:line="215" w:lineRule="auto"/>
        <w:rPr>
          <w:rFonts w:ascii="SimSun" w:hAnsi="SimSun" w:eastAsia="SimSun" w:cs="SimSun"/>
          <w:sz w:val="18"/>
          <w:szCs w:val="18"/>
        </w:rPr>
      </w:pPr>
      <w:r>
        <w:rPr>
          <w:rFonts w:ascii="SimSun" w:hAnsi="SimSun" w:eastAsia="SimSun" w:cs="SimSun"/>
          <w:sz w:val="18"/>
          <w:szCs w:val="18"/>
          <w:b/>
          <w:bCs/>
          <w:spacing w:val="-5"/>
        </w:rPr>
        <w:t>续表</w:t>
      </w:r>
    </w:p>
    <w:tbl>
      <w:tblPr>
        <w:tblStyle w:val="TableNormal"/>
        <w:tblW w:w="766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508"/>
        <w:gridCol w:w="1917"/>
        <w:gridCol w:w="2891"/>
      </w:tblGrid>
      <w:tr>
        <w:trPr>
          <w:trHeight w:val="315" w:hRule="atLeast"/>
        </w:trPr>
        <w:tc>
          <w:tcPr>
            <w:tcW w:w="1353" w:type="dxa"/>
            <w:vAlign w:val="top"/>
          </w:tcPr>
          <w:p>
            <w:pPr>
              <w:pStyle w:val="TableText"/>
              <w:ind w:left="385"/>
              <w:spacing w:before="81" w:line="220" w:lineRule="auto"/>
              <w:rPr/>
            </w:pPr>
            <w:r>
              <w:rPr>
                <w:spacing w:val="-12"/>
              </w:rPr>
              <w:t>目    标</w:t>
            </w:r>
          </w:p>
        </w:tc>
        <w:tc>
          <w:tcPr>
            <w:tcW w:w="1508" w:type="dxa"/>
            <w:vAlign w:val="top"/>
          </w:tcPr>
          <w:p>
            <w:pPr>
              <w:pStyle w:val="TableText"/>
              <w:ind w:left="441"/>
              <w:spacing w:before="83" w:line="221" w:lineRule="auto"/>
              <w:rPr/>
            </w:pPr>
            <w:r>
              <w:rPr>
                <w:spacing w:val="-12"/>
              </w:rPr>
              <w:t>问</w:t>
            </w:r>
            <w:r>
              <w:rPr>
                <w:spacing w:val="9"/>
              </w:rPr>
              <w:t xml:space="preserve">    </w:t>
            </w:r>
            <w:r>
              <w:rPr>
                <w:spacing w:val="-12"/>
              </w:rPr>
              <w:t>题</w:t>
            </w:r>
          </w:p>
        </w:tc>
        <w:tc>
          <w:tcPr>
            <w:tcW w:w="1917" w:type="dxa"/>
            <w:vAlign w:val="top"/>
          </w:tcPr>
          <w:p>
            <w:pPr>
              <w:pStyle w:val="TableText"/>
              <w:ind w:left="583"/>
              <w:spacing w:before="81" w:line="220" w:lineRule="auto"/>
              <w:rPr/>
            </w:pPr>
            <w:r>
              <w:rPr>
                <w:spacing w:val="-4"/>
              </w:rPr>
              <w:t>度</w:t>
            </w:r>
            <w:r>
              <w:rPr>
                <w:spacing w:val="14"/>
              </w:rPr>
              <w:t xml:space="preserve">  </w:t>
            </w:r>
            <w:r>
              <w:rPr>
                <w:spacing w:val="-4"/>
              </w:rPr>
              <w:t>量</w:t>
            </w:r>
            <w:r>
              <w:rPr>
                <w:spacing w:val="15"/>
              </w:rPr>
              <w:t xml:space="preserve">  </w:t>
            </w:r>
            <w:r>
              <w:rPr>
                <w:spacing w:val="-4"/>
              </w:rPr>
              <w:t>项</w:t>
            </w:r>
          </w:p>
        </w:tc>
        <w:tc>
          <w:tcPr>
            <w:tcW w:w="2891" w:type="dxa"/>
            <w:vAlign w:val="top"/>
          </w:tcPr>
          <w:p>
            <w:pPr>
              <w:pStyle w:val="TableText"/>
              <w:ind w:left="1067"/>
              <w:spacing w:before="81" w:line="219" w:lineRule="auto"/>
              <w:rPr/>
            </w:pPr>
            <w:r>
              <w:rPr>
                <w:spacing w:val="3"/>
              </w:rPr>
              <w:t>度量项说明</w:t>
            </w:r>
          </w:p>
        </w:tc>
      </w:tr>
      <w:tr>
        <w:trPr>
          <w:trHeight w:val="1438" w:hRule="atLeast"/>
        </w:trPr>
        <w:tc>
          <w:tcPr>
            <w:tcW w:w="1353" w:type="dxa"/>
            <w:vAlign w:val="top"/>
          </w:tcPr>
          <w:p>
            <w:pPr>
              <w:spacing w:line="336" w:lineRule="auto"/>
              <w:rPr>
                <w:rFonts w:ascii="Arial"/>
                <w:sz w:val="21"/>
              </w:rPr>
            </w:pPr>
            <w:r/>
          </w:p>
          <w:p>
            <w:pPr>
              <w:pStyle w:val="TableText"/>
              <w:ind w:left="85" w:right="81" w:firstLine="169"/>
              <w:spacing w:before="48" w:line="303" w:lineRule="auto"/>
              <w:rPr/>
            </w:pPr>
            <w:r>
              <w:rPr>
                <w:spacing w:val="25"/>
              </w:rPr>
              <w:t>G1:平台满足</w:t>
            </w:r>
            <w:r>
              <w:rPr>
                <w:spacing w:val="5"/>
              </w:rPr>
              <w:t xml:space="preserve"> </w:t>
            </w:r>
            <w:r>
              <w:rPr>
                <w:spacing w:val="-2"/>
              </w:rPr>
              <w:t>经批准的要求和</w:t>
            </w:r>
            <w:r>
              <w:rPr>
                <w:spacing w:val="1"/>
              </w:rPr>
              <w:t xml:space="preserve">   </w:t>
            </w:r>
            <w:r>
              <w:rPr>
                <w:spacing w:val="1"/>
              </w:rPr>
              <w:t>架构</w:t>
            </w:r>
          </w:p>
        </w:tc>
        <w:tc>
          <w:tcPr>
            <w:tcW w:w="1508" w:type="dxa"/>
            <w:vAlign w:val="top"/>
          </w:tcPr>
          <w:p>
            <w:pPr>
              <w:pStyle w:val="TableText"/>
              <w:ind w:left="251"/>
              <w:spacing w:before="106" w:line="221" w:lineRule="auto"/>
              <w:rPr/>
            </w:pPr>
            <w:r>
              <w:rPr>
                <w:spacing w:val="-1"/>
              </w:rPr>
              <w:t>Q1:平台是“建</w:t>
            </w:r>
          </w:p>
          <w:p>
            <w:pPr>
              <w:pStyle w:val="TableText"/>
              <w:ind w:left="142" w:right="69" w:hanging="40"/>
              <w:spacing w:before="96" w:line="296" w:lineRule="auto"/>
              <w:rPr/>
            </w:pPr>
            <w:r>
              <w:rPr>
                <w:spacing w:val="5"/>
              </w:rPr>
              <w:t>构”还是“购买”, </w:t>
            </w:r>
            <w:r>
              <w:rPr>
                <w:spacing w:val="-1"/>
              </w:rPr>
              <w:t>支持什么形式的数</w:t>
            </w:r>
            <w:r>
              <w:rPr/>
              <w:t xml:space="preserve">  </w:t>
            </w:r>
            <w:r>
              <w:rPr>
                <w:spacing w:val="-1"/>
              </w:rPr>
              <w:t>据、数据交换和接</w:t>
            </w:r>
          </w:p>
          <w:p>
            <w:pPr>
              <w:pStyle w:val="TableText"/>
              <w:ind w:left="122"/>
              <w:spacing w:before="136" w:line="231" w:lineRule="auto"/>
              <w:rPr/>
            </w:pPr>
            <w:r>
              <w:rPr/>
              <w:t>口</w:t>
            </w:r>
          </w:p>
        </w:tc>
        <w:tc>
          <w:tcPr>
            <w:tcW w:w="1917" w:type="dxa"/>
            <w:vAlign w:val="top"/>
          </w:tcPr>
          <w:p>
            <w:pPr>
              <w:spacing w:line="473" w:lineRule="auto"/>
              <w:rPr>
                <w:rFonts w:ascii="Arial"/>
                <w:sz w:val="21"/>
              </w:rPr>
            </w:pPr>
            <w:r/>
          </w:p>
          <w:p>
            <w:pPr>
              <w:pStyle w:val="TableText"/>
              <w:ind w:left="123" w:right="219" w:firstLine="140"/>
              <w:spacing w:before="49" w:line="283" w:lineRule="auto"/>
              <w:rPr/>
            </w:pPr>
            <w:r>
              <w:rPr>
                <w:spacing w:val="-1"/>
              </w:rPr>
              <w:t>M3:数据管理平台具备</w:t>
            </w:r>
            <w:r>
              <w:rPr>
                <w:spacing w:val="8"/>
              </w:rPr>
              <w:t xml:space="preserve"> </w:t>
            </w:r>
            <w:r>
              <w:rPr>
                <w:spacing w:val="-1"/>
              </w:rPr>
              <w:t>可扩展性、灵活性</w:t>
            </w:r>
          </w:p>
        </w:tc>
        <w:tc>
          <w:tcPr>
            <w:tcW w:w="2891" w:type="dxa"/>
            <w:vAlign w:val="top"/>
          </w:tcPr>
          <w:p>
            <w:pPr>
              <w:spacing w:line="325" w:lineRule="auto"/>
              <w:rPr>
                <w:rFonts w:ascii="Arial"/>
                <w:sz w:val="21"/>
              </w:rPr>
            </w:pPr>
            <w:r/>
          </w:p>
          <w:p>
            <w:pPr>
              <w:pStyle w:val="TableText"/>
              <w:ind w:left="86" w:firstLine="197"/>
              <w:spacing w:before="49" w:line="311" w:lineRule="auto"/>
              <w:jc w:val="both"/>
              <w:rPr/>
            </w:pPr>
            <w:r>
              <w:rPr>
                <w:spacing w:val="2"/>
              </w:rPr>
              <w:t>数据管理平台解决了所需的可扩展性、</w:t>
            </w:r>
            <w:r>
              <w:rPr>
                <w:spacing w:val="11"/>
              </w:rPr>
              <w:t xml:space="preserve"> </w:t>
            </w:r>
            <w:r>
              <w:rPr>
                <w:spacing w:val="-3"/>
              </w:rPr>
              <w:t>灵活性，能适应预期复杂性的变化以及数</w:t>
            </w:r>
            <w:r>
              <w:rPr>
                <w:spacing w:val="5"/>
              </w:rPr>
              <w:t xml:space="preserve">   </w:t>
            </w:r>
            <w:r>
              <w:rPr>
                <w:spacing w:val="1"/>
              </w:rPr>
              <w:t>据量和用户数量</w:t>
            </w:r>
          </w:p>
        </w:tc>
      </w:tr>
      <w:tr>
        <w:trPr>
          <w:trHeight w:val="1159" w:hRule="atLeast"/>
        </w:trPr>
        <w:tc>
          <w:tcPr>
            <w:tcW w:w="1353"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254"/>
              <w:spacing w:before="49" w:line="219" w:lineRule="auto"/>
              <w:rPr/>
            </w:pPr>
            <w:r>
              <w:rPr>
                <w:spacing w:val="-1"/>
              </w:rPr>
              <w:t>G2:存在并遵</w:t>
            </w:r>
          </w:p>
          <w:p>
            <w:pPr>
              <w:pStyle w:val="TableText"/>
              <w:ind w:left="104"/>
              <w:spacing w:before="102" w:line="219" w:lineRule="auto"/>
              <w:rPr/>
            </w:pPr>
            <w:r>
              <w:rPr>
                <w:spacing w:val="-1"/>
              </w:rPr>
              <w:t>循有效的平台管</w:t>
            </w:r>
          </w:p>
          <w:p>
            <w:pPr>
              <w:pStyle w:val="TableText"/>
              <w:ind w:left="114" w:right="55" w:hanging="19"/>
              <w:spacing w:before="111" w:line="276" w:lineRule="auto"/>
              <w:rPr/>
            </w:pPr>
            <w:r>
              <w:rPr>
                <w:spacing w:val="-1"/>
              </w:rPr>
              <w:t>理过程，以满足业</w:t>
            </w:r>
            <w:r>
              <w:rPr/>
              <w:t xml:space="preserve"> </w:t>
            </w:r>
            <w:r>
              <w:rPr>
                <w:spacing w:val="-2"/>
              </w:rPr>
              <w:t>务需求</w:t>
            </w:r>
          </w:p>
        </w:tc>
        <w:tc>
          <w:tcPr>
            <w:tcW w:w="1508" w:type="dxa"/>
            <w:vAlign w:val="top"/>
            <w:vMerge w:val="restart"/>
            <w:tcBorders>
              <w:bottom w:val="nil"/>
            </w:tcBorders>
          </w:tcPr>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122" w:right="161" w:firstLine="129"/>
              <w:spacing w:before="49" w:line="322" w:lineRule="auto"/>
              <w:rPr/>
            </w:pPr>
            <w:r>
              <w:rPr>
                <w:spacing w:val="-1"/>
              </w:rPr>
              <w:t>Q2:该组织如何</w:t>
            </w:r>
            <w:r>
              <w:rPr>
                <w:spacing w:val="1"/>
              </w:rPr>
              <w:t xml:space="preserve">  </w:t>
            </w:r>
            <w:r>
              <w:rPr>
                <w:spacing w:val="1"/>
              </w:rPr>
              <w:t>根据数据、用户以</w:t>
            </w:r>
            <w:r>
              <w:rPr>
                <w:spacing w:val="5"/>
              </w:rPr>
              <w:t xml:space="preserve"> </w:t>
            </w:r>
            <w:r>
              <w:rPr>
                <w:spacing w:val="1"/>
              </w:rPr>
              <w:t>及整体复杂性的预</w:t>
            </w:r>
            <w:r>
              <w:rPr>
                <w:spacing w:val="5"/>
              </w:rPr>
              <w:t xml:space="preserve"> </w:t>
            </w:r>
            <w:r>
              <w:rPr>
                <w:spacing w:val="1"/>
              </w:rPr>
              <w:t>期增长解决平台的</w:t>
            </w:r>
            <w:r>
              <w:rPr>
                <w:spacing w:val="3"/>
              </w:rPr>
              <w:t xml:space="preserve"> </w:t>
            </w:r>
            <w:r>
              <w:rPr>
                <w:spacing w:val="1"/>
              </w:rPr>
              <w:t>可扩展性、安全性</w:t>
            </w:r>
            <w:r>
              <w:rPr>
                <w:spacing w:val="3"/>
              </w:rPr>
              <w:t xml:space="preserve"> </w:t>
            </w:r>
            <w:r>
              <w:rPr>
                <w:spacing w:val="-2"/>
              </w:rPr>
              <w:t>和灵活性</w:t>
            </w:r>
          </w:p>
        </w:tc>
        <w:tc>
          <w:tcPr>
            <w:tcW w:w="1917" w:type="dxa"/>
            <w:vAlign w:val="top"/>
          </w:tcPr>
          <w:p>
            <w:pPr>
              <w:spacing w:line="336" w:lineRule="auto"/>
              <w:rPr>
                <w:rFonts w:ascii="Arial"/>
                <w:sz w:val="21"/>
              </w:rPr>
            </w:pPr>
            <w:r/>
          </w:p>
          <w:p>
            <w:pPr>
              <w:pStyle w:val="TableText"/>
              <w:ind w:left="114" w:right="219" w:firstLine="149"/>
              <w:spacing w:before="49" w:line="283" w:lineRule="auto"/>
              <w:rPr/>
            </w:pPr>
            <w:r>
              <w:rPr>
                <w:spacing w:val="-1"/>
              </w:rPr>
              <w:t>M4:平台支持该组织的</w:t>
            </w:r>
            <w:r>
              <w:rPr>
                <w:spacing w:val="8"/>
              </w:rPr>
              <w:t xml:space="preserve"> </w:t>
            </w:r>
            <w:r>
              <w:rPr>
                <w:spacing w:val="-1"/>
              </w:rPr>
              <w:t>安全性和访问要求</w:t>
            </w:r>
          </w:p>
        </w:tc>
        <w:tc>
          <w:tcPr>
            <w:tcW w:w="2891" w:type="dxa"/>
            <w:vAlign w:val="top"/>
          </w:tcPr>
          <w:p>
            <w:pPr>
              <w:pStyle w:val="TableText"/>
              <w:ind w:left="86" w:firstLine="188"/>
              <w:spacing w:before="98" w:line="287" w:lineRule="auto"/>
              <w:rPr/>
            </w:pPr>
            <w:r>
              <w:rPr>
                <w:spacing w:val="3"/>
              </w:rPr>
              <w:t>安全性要求包括数据安全、认证安全、 </w:t>
            </w:r>
            <w:r>
              <w:rPr>
                <w:spacing w:val="-1"/>
              </w:rPr>
              <w:t>系统安全、网络安全等内容，平台应采用</w:t>
            </w:r>
          </w:p>
          <w:p>
            <w:pPr>
              <w:pStyle w:val="TableText"/>
              <w:ind w:left="126" w:right="151" w:firstLine="40"/>
              <w:spacing w:before="102" w:line="276" w:lineRule="auto"/>
              <w:rPr/>
            </w:pPr>
            <w:r>
              <w:rPr/>
              <w:t>由各个业务部门推动并在职责划分的原</w:t>
            </w:r>
            <w:r>
              <w:rPr>
                <w:spacing w:val="11"/>
              </w:rPr>
              <w:t xml:space="preserve"> </w:t>
            </w:r>
            <w:r>
              <w:rPr/>
              <w:t>则下进行多级别访问管理及访问限制</w:t>
            </w:r>
          </w:p>
        </w:tc>
      </w:tr>
      <w:tr>
        <w:trPr>
          <w:trHeight w:val="869" w:hRule="atLeast"/>
        </w:trPr>
        <w:tc>
          <w:tcPr>
            <w:tcW w:w="1353" w:type="dxa"/>
            <w:vAlign w:val="top"/>
            <w:vMerge w:val="continue"/>
            <w:tcBorders>
              <w:top w:val="nil"/>
              <w:bottom w:val="nil"/>
            </w:tcBorders>
          </w:tcPr>
          <w:p>
            <w:pPr>
              <w:rPr>
                <w:rFonts w:ascii="Arial"/>
                <w:sz w:val="21"/>
              </w:rPr>
            </w:pPr>
            <w:r/>
          </w:p>
        </w:tc>
        <w:tc>
          <w:tcPr>
            <w:tcW w:w="1508" w:type="dxa"/>
            <w:vAlign w:val="top"/>
            <w:vMerge w:val="continue"/>
            <w:tcBorders>
              <w:top w:val="nil"/>
              <w:bottom w:val="nil"/>
            </w:tcBorders>
          </w:tcPr>
          <w:p>
            <w:pPr>
              <w:rPr>
                <w:rFonts w:ascii="Arial"/>
                <w:sz w:val="21"/>
              </w:rPr>
            </w:pPr>
            <w:r/>
          </w:p>
        </w:tc>
        <w:tc>
          <w:tcPr>
            <w:tcW w:w="1917" w:type="dxa"/>
            <w:vAlign w:val="top"/>
          </w:tcPr>
          <w:p>
            <w:pPr>
              <w:pStyle w:val="TableText"/>
              <w:ind w:left="94" w:right="219" w:firstLine="170"/>
              <w:spacing w:before="228" w:line="290" w:lineRule="auto"/>
              <w:rPr/>
            </w:pPr>
            <w:r>
              <w:rPr>
                <w:spacing w:val="-1"/>
              </w:rPr>
              <w:t>M5;工作流程和服务水</w:t>
            </w:r>
            <w:r>
              <w:rPr>
                <w:spacing w:val="8"/>
              </w:rPr>
              <w:t xml:space="preserve"> </w:t>
            </w:r>
            <w:r>
              <w:rPr>
                <w:spacing w:val="-2"/>
              </w:rPr>
              <w:t>平要求</w:t>
            </w:r>
          </w:p>
        </w:tc>
        <w:tc>
          <w:tcPr>
            <w:tcW w:w="2891" w:type="dxa"/>
            <w:vAlign w:val="top"/>
          </w:tcPr>
          <w:p>
            <w:pPr>
              <w:pStyle w:val="TableText"/>
              <w:ind w:left="236"/>
              <w:spacing w:before="89" w:line="219" w:lineRule="auto"/>
              <w:rPr/>
            </w:pPr>
            <w:r>
              <w:rPr>
                <w:spacing w:val="-1"/>
              </w:rPr>
              <w:t>组织应识别工作流程和服务水平要求</w:t>
            </w:r>
          </w:p>
          <w:p>
            <w:pPr>
              <w:pStyle w:val="TableText"/>
              <w:ind w:left="126" w:right="100" w:hanging="40"/>
              <w:spacing w:before="101" w:line="282" w:lineRule="auto"/>
              <w:rPr/>
            </w:pPr>
            <w:r>
              <w:rPr>
                <w:spacing w:val="-1"/>
              </w:rPr>
              <w:t>然后确认并访谈适当的业务人员，记录他</w:t>
            </w:r>
            <w:r>
              <w:rPr>
                <w:spacing w:val="10"/>
              </w:rPr>
              <w:t xml:space="preserve"> </w:t>
            </w:r>
            <w:r>
              <w:rPr>
                <w:spacing w:val="-1"/>
              </w:rPr>
              <w:t>们提出的具体问题，并进行分析</w:t>
            </w:r>
          </w:p>
        </w:tc>
      </w:tr>
      <w:tr>
        <w:trPr>
          <w:trHeight w:val="869" w:hRule="atLeast"/>
        </w:trPr>
        <w:tc>
          <w:tcPr>
            <w:tcW w:w="1353" w:type="dxa"/>
            <w:vAlign w:val="top"/>
            <w:vMerge w:val="continue"/>
            <w:tcBorders>
              <w:top w:val="nil"/>
              <w:bottom w:val="nil"/>
            </w:tcBorders>
          </w:tcPr>
          <w:p>
            <w:pPr>
              <w:rPr>
                <w:rFonts w:ascii="Arial"/>
                <w:sz w:val="21"/>
              </w:rPr>
            </w:pPr>
            <w:r/>
          </w:p>
        </w:tc>
        <w:tc>
          <w:tcPr>
            <w:tcW w:w="1508" w:type="dxa"/>
            <w:vAlign w:val="top"/>
            <w:vMerge w:val="continue"/>
            <w:tcBorders>
              <w:top w:val="nil"/>
              <w:bottom w:val="nil"/>
            </w:tcBorders>
          </w:tcPr>
          <w:p>
            <w:pPr>
              <w:rPr>
                <w:rFonts w:ascii="Arial"/>
                <w:sz w:val="21"/>
              </w:rPr>
            </w:pPr>
            <w:r/>
          </w:p>
        </w:tc>
        <w:tc>
          <w:tcPr>
            <w:tcW w:w="1917" w:type="dxa"/>
            <w:vAlign w:val="top"/>
          </w:tcPr>
          <w:p>
            <w:pPr>
              <w:pStyle w:val="TableText"/>
              <w:ind w:left="104" w:right="130" w:firstLine="160"/>
              <w:spacing w:before="110" w:line="299" w:lineRule="auto"/>
              <w:rPr/>
            </w:pPr>
            <w:r>
              <w:rPr>
                <w:spacing w:val="-1"/>
              </w:rPr>
              <w:t>M6:平台性能数据与业</w:t>
            </w:r>
            <w:r>
              <w:rPr>
                <w:spacing w:val="4"/>
              </w:rPr>
              <w:t xml:space="preserve">  </w:t>
            </w:r>
            <w:r>
              <w:rPr>
                <w:spacing w:val="2"/>
              </w:rPr>
              <w:t>务绩效需要和容量要求的</w:t>
            </w:r>
            <w:r>
              <w:rPr/>
              <w:t xml:space="preserve"> </w:t>
            </w:r>
            <w:r>
              <w:rPr>
                <w:spacing w:val="-3"/>
              </w:rPr>
              <w:t>关联</w:t>
            </w:r>
          </w:p>
        </w:tc>
        <w:tc>
          <w:tcPr>
            <w:tcW w:w="2891" w:type="dxa"/>
            <w:vAlign w:val="top"/>
          </w:tcPr>
          <w:p>
            <w:pPr>
              <w:pStyle w:val="TableText"/>
              <w:ind w:left="236"/>
              <w:spacing w:before="110" w:line="219" w:lineRule="auto"/>
              <w:rPr/>
            </w:pPr>
            <w:r>
              <w:rPr>
                <w:spacing w:val="-1"/>
              </w:rPr>
              <w:t>数据交付活动的状态数据包括平均查</w:t>
            </w:r>
          </w:p>
          <w:p>
            <w:pPr>
              <w:pStyle w:val="TableText"/>
              <w:ind w:left="126" w:right="77" w:hanging="40"/>
              <w:spacing w:before="101" w:line="276" w:lineRule="auto"/>
              <w:rPr/>
            </w:pPr>
            <w:r>
              <w:rPr/>
              <w:t>询响应时间、每天访问的用户数量、平台</w:t>
            </w:r>
            <w:r>
              <w:rPr>
                <w:spacing w:val="15"/>
              </w:rPr>
              <w:t xml:space="preserve"> </w:t>
            </w:r>
            <w:r>
              <w:rPr>
                <w:spacing w:val="-1"/>
              </w:rPr>
              <w:t>用户的反馈等</w:t>
            </w:r>
          </w:p>
        </w:tc>
      </w:tr>
      <w:tr>
        <w:trPr>
          <w:trHeight w:val="1159" w:hRule="atLeast"/>
        </w:trPr>
        <w:tc>
          <w:tcPr>
            <w:tcW w:w="1353" w:type="dxa"/>
            <w:vAlign w:val="top"/>
            <w:vMerge w:val="continue"/>
            <w:tcBorders>
              <w:top w:val="nil"/>
              <w:bottom w:val="nil"/>
            </w:tcBorders>
          </w:tcPr>
          <w:p>
            <w:pPr>
              <w:rPr>
                <w:rFonts w:ascii="Arial"/>
                <w:sz w:val="21"/>
              </w:rPr>
            </w:pPr>
            <w:r/>
          </w:p>
        </w:tc>
        <w:tc>
          <w:tcPr>
            <w:tcW w:w="1508" w:type="dxa"/>
            <w:vAlign w:val="top"/>
            <w:vMerge w:val="continue"/>
            <w:tcBorders>
              <w:top w:val="nil"/>
              <w:bottom w:val="nil"/>
            </w:tcBorders>
          </w:tcPr>
          <w:p>
            <w:pPr>
              <w:rPr>
                <w:rFonts w:ascii="Arial"/>
                <w:sz w:val="21"/>
              </w:rPr>
            </w:pPr>
            <w:r/>
          </w:p>
        </w:tc>
        <w:tc>
          <w:tcPr>
            <w:tcW w:w="1917" w:type="dxa"/>
            <w:vAlign w:val="top"/>
          </w:tcPr>
          <w:p>
            <w:pPr>
              <w:spacing w:line="460" w:lineRule="auto"/>
              <w:rPr>
                <w:rFonts w:ascii="Arial"/>
                <w:sz w:val="21"/>
              </w:rPr>
            </w:pPr>
            <w:r/>
          </w:p>
          <w:p>
            <w:pPr>
              <w:pStyle w:val="TableText"/>
              <w:ind w:left="264"/>
              <w:spacing w:before="48" w:line="220" w:lineRule="auto"/>
              <w:rPr/>
            </w:pPr>
            <w:r>
              <w:rPr>
                <w:spacing w:val="-1"/>
              </w:rPr>
              <w:t>M7:平台变更控制</w:t>
            </w:r>
          </w:p>
        </w:tc>
        <w:tc>
          <w:tcPr>
            <w:tcW w:w="2891" w:type="dxa"/>
            <w:vAlign w:val="top"/>
          </w:tcPr>
          <w:p>
            <w:pPr>
              <w:pStyle w:val="TableText"/>
              <w:ind w:left="86" w:right="32" w:firstLine="200"/>
              <w:spacing w:before="111" w:line="313" w:lineRule="auto"/>
              <w:rPr/>
            </w:pPr>
            <w:r>
              <w:rPr/>
              <w:t>统计数据包括数据、查询、报表活动的</w:t>
            </w:r>
            <w:r>
              <w:rPr>
                <w:spacing w:val="10"/>
              </w:rPr>
              <w:t xml:space="preserve"> </w:t>
            </w:r>
            <w:r>
              <w:rPr>
                <w:spacing w:val="-1"/>
              </w:rPr>
              <w:t>频率和资源占用情况等，组织应对数据管</w:t>
            </w:r>
            <w:r>
              <w:rPr>
                <w:spacing w:val="5"/>
              </w:rPr>
              <w:t xml:space="preserve">  </w:t>
            </w:r>
            <w:r>
              <w:rPr>
                <w:spacing w:val="1"/>
              </w:rPr>
              <w:t>理平台的定性和定量性能指标进行分析，</w:t>
            </w:r>
            <w:r>
              <w:rPr>
                <w:spacing w:val="15"/>
              </w:rPr>
              <w:t xml:space="preserve"> </w:t>
            </w:r>
            <w:r>
              <w:rPr>
                <w:spacing w:val="5"/>
              </w:rPr>
              <w:t>以支持平台变更决定</w:t>
            </w:r>
          </w:p>
        </w:tc>
      </w:tr>
      <w:tr>
        <w:trPr>
          <w:trHeight w:val="879" w:hRule="atLeast"/>
        </w:trPr>
        <w:tc>
          <w:tcPr>
            <w:tcW w:w="1353" w:type="dxa"/>
            <w:vAlign w:val="top"/>
            <w:vMerge w:val="continue"/>
            <w:tcBorders>
              <w:top w:val="nil"/>
            </w:tcBorders>
          </w:tcPr>
          <w:p>
            <w:pPr>
              <w:rPr>
                <w:rFonts w:ascii="Arial"/>
                <w:sz w:val="21"/>
              </w:rPr>
            </w:pPr>
            <w:r/>
          </w:p>
        </w:tc>
        <w:tc>
          <w:tcPr>
            <w:tcW w:w="1508" w:type="dxa"/>
            <w:vAlign w:val="top"/>
            <w:vMerge w:val="continue"/>
            <w:tcBorders>
              <w:top w:val="nil"/>
            </w:tcBorders>
          </w:tcPr>
          <w:p>
            <w:pPr>
              <w:rPr>
                <w:rFonts w:ascii="Arial"/>
                <w:sz w:val="21"/>
              </w:rPr>
            </w:pPr>
            <w:r/>
          </w:p>
        </w:tc>
        <w:tc>
          <w:tcPr>
            <w:tcW w:w="1917" w:type="dxa"/>
            <w:vAlign w:val="top"/>
          </w:tcPr>
          <w:p>
            <w:pPr>
              <w:spacing w:line="322" w:lineRule="auto"/>
              <w:rPr>
                <w:rFonts w:ascii="Arial"/>
                <w:sz w:val="21"/>
              </w:rPr>
            </w:pPr>
            <w:r/>
          </w:p>
          <w:p>
            <w:pPr>
              <w:pStyle w:val="TableText"/>
              <w:ind w:left="254"/>
              <w:spacing w:before="48" w:line="221" w:lineRule="auto"/>
              <w:rPr/>
            </w:pPr>
            <w:r>
              <w:rPr>
                <w:spacing w:val="-1"/>
              </w:rPr>
              <w:t>M8:统计学方法</w:t>
            </w:r>
          </w:p>
        </w:tc>
        <w:tc>
          <w:tcPr>
            <w:tcW w:w="2891" w:type="dxa"/>
            <w:vAlign w:val="top"/>
          </w:tcPr>
          <w:p>
            <w:pPr>
              <w:pStyle w:val="TableText"/>
              <w:ind w:left="236"/>
              <w:spacing w:before="102" w:line="219" w:lineRule="auto"/>
              <w:rPr/>
            </w:pPr>
            <w:r>
              <w:rPr>
                <w:spacing w:val="-1"/>
              </w:rPr>
              <w:t>组织应将平台变化的影响与预测模型</w:t>
            </w:r>
          </w:p>
          <w:p>
            <w:pPr>
              <w:pStyle w:val="TableText"/>
              <w:ind w:left="136" w:right="98" w:hanging="50"/>
              <w:spacing w:before="102" w:line="288" w:lineRule="auto"/>
              <w:rPr/>
            </w:pPr>
            <w:r>
              <w:rPr>
                <w:spacing w:val="-1"/>
              </w:rPr>
              <w:t>进行比较并分析，以改进预测模型，提高</w:t>
            </w:r>
            <w:r>
              <w:rPr>
                <w:spacing w:val="12"/>
              </w:rPr>
              <w:t xml:space="preserve"> </w:t>
            </w:r>
            <w:r>
              <w:rPr>
                <w:spacing w:val="-1"/>
              </w:rPr>
              <w:t>预测模型的有效性，实现预纠错</w:t>
            </w:r>
          </w:p>
        </w:tc>
      </w:tr>
      <w:tr>
        <w:trPr>
          <w:trHeight w:val="869" w:hRule="atLeast"/>
        </w:trPr>
        <w:tc>
          <w:tcPr>
            <w:tcW w:w="1353"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245"/>
              <w:spacing w:before="49" w:line="289" w:lineRule="exact"/>
              <w:rPr/>
            </w:pPr>
            <w:r>
              <w:rPr>
                <w:spacing w:val="-1"/>
                <w:position w:val="10"/>
              </w:rPr>
              <w:t>G3:该平台提</w:t>
            </w:r>
          </w:p>
          <w:p>
            <w:pPr>
              <w:pStyle w:val="TableText"/>
              <w:ind w:left="115"/>
              <w:spacing w:line="218" w:lineRule="auto"/>
              <w:rPr/>
            </w:pPr>
            <w:r>
              <w:rPr>
                <w:spacing w:val="-1"/>
              </w:rPr>
              <w:t>供可信的数据</w:t>
            </w:r>
          </w:p>
        </w:tc>
        <w:tc>
          <w:tcPr>
            <w:tcW w:w="1508" w:type="dxa"/>
            <w:vAlign w:val="top"/>
            <w:vMerge w:val="restart"/>
            <w:tcBorders>
              <w:bottom w:val="nil"/>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pStyle w:val="TableText"/>
              <w:ind w:left="251"/>
              <w:spacing w:before="49" w:line="220" w:lineRule="auto"/>
              <w:rPr/>
            </w:pPr>
            <w:r>
              <w:rPr>
                <w:spacing w:val="10"/>
              </w:rPr>
              <w:t>Q3:如何定义、</w:t>
            </w:r>
          </w:p>
          <w:p>
            <w:pPr>
              <w:pStyle w:val="TableText"/>
              <w:ind w:left="142" w:right="120" w:firstLine="40"/>
              <w:spacing w:before="90" w:line="288" w:lineRule="auto"/>
              <w:rPr/>
            </w:pPr>
            <w:r>
              <w:rPr>
                <w:spacing w:val="-1"/>
              </w:rPr>
              <w:t>选择权威数据源，</w:t>
            </w:r>
            <w:r>
              <w:rPr>
                <w:spacing w:val="2"/>
              </w:rPr>
              <w:t xml:space="preserve"> </w:t>
            </w:r>
            <w:r>
              <w:rPr>
                <w:spacing w:val="2"/>
              </w:rPr>
              <w:t>并将其集成到平台</w:t>
            </w:r>
          </w:p>
          <w:p>
            <w:pPr>
              <w:pStyle w:val="TableText"/>
              <w:ind w:left="102" w:right="209" w:firstLine="80"/>
              <w:spacing w:before="111" w:line="282" w:lineRule="auto"/>
              <w:rPr/>
            </w:pPr>
            <w:r>
              <w:rPr>
                <w:spacing w:val="-3"/>
              </w:rPr>
              <w:t>的特定部分?如何</w:t>
            </w:r>
            <w:r>
              <w:rPr>
                <w:spacing w:val="4"/>
              </w:rPr>
              <w:t xml:space="preserve"> </w:t>
            </w:r>
            <w:r>
              <w:rPr>
                <w:spacing w:val="-1"/>
              </w:rPr>
              <w:t>解决数据重复</w:t>
            </w:r>
          </w:p>
        </w:tc>
        <w:tc>
          <w:tcPr>
            <w:tcW w:w="1917" w:type="dxa"/>
            <w:vAlign w:val="top"/>
          </w:tcPr>
          <w:p>
            <w:pPr>
              <w:spacing w:line="312" w:lineRule="auto"/>
              <w:rPr>
                <w:rFonts w:ascii="Arial"/>
                <w:sz w:val="21"/>
              </w:rPr>
            </w:pPr>
            <w:r/>
          </w:p>
          <w:p>
            <w:pPr>
              <w:pStyle w:val="TableText"/>
              <w:ind w:left="243"/>
              <w:spacing w:before="49" w:line="219" w:lineRule="auto"/>
              <w:rPr/>
            </w:pPr>
            <w:r>
              <w:rPr>
                <w:spacing w:val="-1"/>
              </w:rPr>
              <w:t>M9:关键元数据</w:t>
            </w:r>
          </w:p>
        </w:tc>
        <w:tc>
          <w:tcPr>
            <w:tcW w:w="2891" w:type="dxa"/>
            <w:vAlign w:val="top"/>
          </w:tcPr>
          <w:p>
            <w:pPr>
              <w:pStyle w:val="TableText"/>
              <w:ind w:left="236"/>
              <w:spacing w:before="103" w:line="219" w:lineRule="auto"/>
              <w:rPr/>
            </w:pPr>
            <w:r>
              <w:rPr>
                <w:spacing w:val="-1"/>
              </w:rPr>
              <w:t>数据管理平台是关键数据元素的权威</w:t>
            </w:r>
          </w:p>
          <w:p>
            <w:pPr>
              <w:pStyle w:val="TableText"/>
              <w:ind w:left="116" w:right="99" w:hanging="30"/>
              <w:spacing w:before="112" w:line="281" w:lineRule="auto"/>
              <w:rPr/>
            </w:pPr>
            <w:r>
              <w:rPr>
                <w:spacing w:val="-1"/>
              </w:rPr>
              <w:t>源和记录系统，组织应将关键元数据形成</w:t>
            </w:r>
            <w:r>
              <w:rPr>
                <w:spacing w:val="11"/>
              </w:rPr>
              <w:t xml:space="preserve"> </w:t>
            </w:r>
            <w:r>
              <w:rPr>
                <w:spacing w:val="-2"/>
              </w:rPr>
              <w:t>书面文件</w:t>
            </w:r>
          </w:p>
        </w:tc>
      </w:tr>
      <w:tr>
        <w:trPr>
          <w:trHeight w:val="1159" w:hRule="atLeast"/>
        </w:trPr>
        <w:tc>
          <w:tcPr>
            <w:tcW w:w="1353" w:type="dxa"/>
            <w:vAlign w:val="top"/>
            <w:vMerge w:val="continue"/>
            <w:tcBorders>
              <w:top w:val="nil"/>
              <w:bottom w:val="nil"/>
            </w:tcBorders>
          </w:tcPr>
          <w:p>
            <w:pPr>
              <w:rPr>
                <w:rFonts w:ascii="Arial"/>
                <w:sz w:val="21"/>
              </w:rPr>
            </w:pPr>
            <w:r/>
          </w:p>
        </w:tc>
        <w:tc>
          <w:tcPr>
            <w:tcW w:w="1508" w:type="dxa"/>
            <w:vAlign w:val="top"/>
            <w:vMerge w:val="continue"/>
            <w:tcBorders>
              <w:top w:val="nil"/>
              <w:bottom w:val="nil"/>
            </w:tcBorders>
          </w:tcPr>
          <w:p>
            <w:pPr>
              <w:rPr>
                <w:rFonts w:ascii="Arial"/>
                <w:sz w:val="21"/>
              </w:rPr>
            </w:pPr>
            <w:r/>
          </w:p>
        </w:tc>
        <w:tc>
          <w:tcPr>
            <w:tcW w:w="1917" w:type="dxa"/>
            <w:vAlign w:val="top"/>
          </w:tcPr>
          <w:p>
            <w:pPr>
              <w:spacing w:line="462" w:lineRule="auto"/>
              <w:rPr>
                <w:rFonts w:ascii="Arial"/>
                <w:sz w:val="21"/>
              </w:rPr>
            </w:pPr>
            <w:r/>
          </w:p>
          <w:p>
            <w:pPr>
              <w:pStyle w:val="TableText"/>
              <w:ind w:left="264"/>
              <w:spacing w:before="49" w:line="219" w:lineRule="auto"/>
              <w:rPr/>
            </w:pPr>
            <w:r>
              <w:rPr>
                <w:spacing w:val="-1"/>
              </w:rPr>
              <w:t>M10:数据重复记录</w:t>
            </w:r>
          </w:p>
        </w:tc>
        <w:tc>
          <w:tcPr>
            <w:tcW w:w="2891" w:type="dxa"/>
            <w:vAlign w:val="top"/>
          </w:tcPr>
          <w:p>
            <w:pPr>
              <w:pStyle w:val="TableText"/>
              <w:ind w:left="17" w:firstLine="249"/>
              <w:spacing w:before="114" w:line="310" w:lineRule="auto"/>
              <w:rPr/>
            </w:pPr>
            <w:r>
              <w:rPr>
                <w:spacing w:val="-5"/>
              </w:rPr>
              <w:t>组织在特意采用数据重复的情况下，应将</w:t>
            </w:r>
            <w:r>
              <w:rPr>
                <w:spacing w:val="3"/>
              </w:rPr>
              <w:t xml:space="preserve"> </w:t>
            </w:r>
            <w:r>
              <w:rPr>
                <w:spacing w:val="3"/>
              </w:rPr>
              <w:t>其形成文件，并且应针对该组织的预期收</w:t>
            </w:r>
            <w:r>
              <w:rPr>
                <w:spacing w:val="2"/>
              </w:rPr>
              <w:t xml:space="preserve">  </w:t>
            </w:r>
            <w:r>
              <w:rPr>
                <w:spacing w:val="-1"/>
              </w:rPr>
              <w:t>益，说明保持重复源同步有关的成本的合理</w:t>
            </w:r>
            <w:r>
              <w:rPr>
                <w:spacing w:val="8"/>
              </w:rPr>
              <w:t xml:space="preserve"> </w:t>
            </w:r>
            <w:r>
              <w:rPr>
                <w:spacing w:val="5"/>
              </w:rPr>
              <w:t>性(包括数据不能保持同步的情况的影响)</w:t>
            </w:r>
          </w:p>
        </w:tc>
      </w:tr>
      <w:tr>
        <w:trPr>
          <w:trHeight w:val="2003" w:hRule="atLeast"/>
        </w:trPr>
        <w:tc>
          <w:tcPr>
            <w:tcW w:w="1353" w:type="dxa"/>
            <w:vAlign w:val="top"/>
            <w:vMerge w:val="continue"/>
            <w:tcBorders>
              <w:top w:val="nil"/>
            </w:tcBorders>
          </w:tcPr>
          <w:p>
            <w:pPr>
              <w:rPr>
                <w:rFonts w:ascii="Arial"/>
                <w:sz w:val="21"/>
              </w:rPr>
            </w:pPr>
            <w:r/>
          </w:p>
        </w:tc>
        <w:tc>
          <w:tcPr>
            <w:tcW w:w="1508" w:type="dxa"/>
            <w:vAlign w:val="top"/>
            <w:vMerge w:val="continue"/>
            <w:tcBorders>
              <w:top w:val="nil"/>
            </w:tcBorders>
          </w:tcPr>
          <w:p>
            <w:pPr>
              <w:rPr>
                <w:rFonts w:ascii="Arial"/>
                <w:sz w:val="21"/>
              </w:rPr>
            </w:pPr>
            <w:r/>
          </w:p>
        </w:tc>
        <w:tc>
          <w:tcPr>
            <w:tcW w:w="1917" w:type="dxa"/>
            <w:vAlign w:val="top"/>
          </w:tcPr>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pStyle w:val="TableText"/>
              <w:ind w:left="104" w:right="304" w:firstLine="149"/>
              <w:spacing w:before="48" w:line="276" w:lineRule="auto"/>
              <w:rPr/>
            </w:pPr>
            <w:r>
              <w:rPr>
                <w:spacing w:val="-1"/>
              </w:rPr>
              <w:t>M11:平台元数据对组</w:t>
            </w:r>
            <w:r>
              <w:rPr>
                <w:spacing w:val="8"/>
              </w:rPr>
              <w:t xml:space="preserve"> </w:t>
            </w:r>
            <w:r>
              <w:rPr>
                <w:spacing w:val="-1"/>
              </w:rPr>
              <w:t>织元数据存储库的支持</w:t>
            </w:r>
          </w:p>
        </w:tc>
        <w:tc>
          <w:tcPr>
            <w:tcW w:w="2891" w:type="dxa"/>
            <w:vAlign w:val="top"/>
          </w:tcPr>
          <w:p>
            <w:pPr>
              <w:pStyle w:val="TableText"/>
              <w:ind w:left="196"/>
              <w:spacing w:before="105" w:line="219" w:lineRule="auto"/>
              <w:rPr/>
            </w:pPr>
            <w:r>
              <w:rPr/>
              <w:t>数据治理成功的关键在于元数据管理，</w:t>
            </w:r>
          </w:p>
          <w:p>
            <w:pPr>
              <w:pStyle w:val="TableText"/>
              <w:ind w:left="46" w:firstLine="119"/>
              <w:spacing w:before="111" w:line="282" w:lineRule="auto"/>
              <w:rPr/>
            </w:pPr>
            <w:r>
              <w:rPr>
                <w:spacing w:val="-3"/>
              </w:rPr>
              <w:t>元数据管理组织应监视复杂数据集成环   </w:t>
            </w:r>
            <w:r>
              <w:rPr>
                <w:spacing w:val="-1"/>
              </w:rPr>
              <w:t>境中的变化，同时交付可信、安全的数据。</w:t>
            </w:r>
          </w:p>
          <w:p>
            <w:pPr>
              <w:pStyle w:val="TableText"/>
              <w:ind w:left="86" w:right="101" w:firstLine="80"/>
              <w:spacing w:before="102" w:line="302" w:lineRule="auto"/>
              <w:rPr/>
            </w:pPr>
            <w:r>
              <w:rPr>
                <w:spacing w:val="-1"/>
              </w:rPr>
              <w:t>元数据存储库作为对象存储体系的一个</w:t>
            </w:r>
            <w:r>
              <w:rPr>
                <w:spacing w:val="4"/>
              </w:rPr>
              <w:t xml:space="preserve">  </w:t>
            </w:r>
            <w:r>
              <w:rPr>
                <w:spacing w:val="-1"/>
              </w:rPr>
              <w:t>核心部分，是实现分布式对象分布存储的</w:t>
            </w:r>
            <w:r>
              <w:rPr>
                <w:spacing w:val="9"/>
              </w:rPr>
              <w:t xml:space="preserve"> </w:t>
            </w:r>
            <w:r>
              <w:rPr>
                <w:spacing w:val="-1"/>
              </w:rPr>
              <w:t>关键。平台应将其元数据提供给该组织的</w:t>
            </w:r>
          </w:p>
          <w:p>
            <w:pPr>
              <w:pStyle w:val="TableText"/>
              <w:ind w:left="126"/>
              <w:spacing w:before="103" w:line="219" w:lineRule="auto"/>
              <w:rPr/>
            </w:pPr>
            <w:r>
              <w:rPr>
                <w:spacing w:val="-1"/>
              </w:rPr>
              <w:t>元数据存储库</w:t>
            </w:r>
          </w:p>
        </w:tc>
      </w:tr>
    </w:tbl>
    <w:p>
      <w:pPr>
        <w:pStyle w:val="BodyText"/>
        <w:rPr/>
      </w:pPr>
      <w:r/>
    </w:p>
    <w:p>
      <w:pPr>
        <w:sectPr>
          <w:footerReference w:type="default" r:id="rId387"/>
          <w:pgSz w:w="8870" w:h="13400"/>
          <w:pgMar w:top="400" w:right="395" w:bottom="504" w:left="489" w:header="0" w:footer="286" w:gutter="0"/>
        </w:sectPr>
        <w:rPr/>
      </w:pPr>
    </w:p>
    <w:p>
      <w:pPr>
        <w:ind w:left="5527"/>
        <w:spacing w:before="234" w:line="219" w:lineRule="auto"/>
        <w:rPr>
          <w:rFonts w:ascii="SimSun" w:hAnsi="SimSun" w:eastAsia="SimSun" w:cs="SimSun"/>
          <w:sz w:val="21"/>
          <w:szCs w:val="21"/>
        </w:rPr>
      </w:pPr>
      <w:r>
        <w:rPr>
          <w:rFonts w:ascii="SimSun" w:hAnsi="SimSun" w:eastAsia="SimSun" w:cs="SimSun"/>
          <w:sz w:val="21"/>
          <w:szCs w:val="21"/>
          <w:b/>
          <w:bCs/>
          <w:spacing w:val="18"/>
        </w:rPr>
        <w:t>第8章■云端数据架构</w:t>
      </w:r>
    </w:p>
    <w:p>
      <w:pPr>
        <w:pStyle w:val="BodyText"/>
        <w:spacing w:line="388" w:lineRule="auto"/>
        <w:rPr/>
      </w:pPr>
      <w:r/>
    </w:p>
    <w:p>
      <w:pPr>
        <w:ind w:left="437"/>
        <w:spacing w:before="68" w:line="482" w:lineRule="exact"/>
        <w:rPr>
          <w:rFonts w:ascii="YouYuan" w:hAnsi="YouYuan" w:eastAsia="YouYuan" w:cs="YouYuan"/>
          <w:sz w:val="21"/>
          <w:szCs w:val="21"/>
        </w:rPr>
      </w:pPr>
      <w:r>
        <w:rPr>
          <w:rFonts w:ascii="YouYuan" w:hAnsi="YouYuan" w:eastAsia="YouYuan" w:cs="YouYuan"/>
          <w:sz w:val="21"/>
          <w:szCs w:val="21"/>
          <w:b/>
          <w:bCs/>
          <w:spacing w:val="5"/>
          <w:position w:val="20"/>
        </w:rPr>
        <w:t>3.</w:t>
      </w:r>
      <w:r>
        <w:rPr>
          <w:rFonts w:ascii="YouYuan" w:hAnsi="YouYuan" w:eastAsia="YouYuan" w:cs="YouYuan"/>
          <w:sz w:val="21"/>
          <w:szCs w:val="21"/>
          <w:spacing w:val="-13"/>
          <w:position w:val="20"/>
        </w:rPr>
        <w:t xml:space="preserve"> </w:t>
      </w:r>
      <w:r>
        <w:rPr>
          <w:rFonts w:ascii="YouYuan" w:hAnsi="YouYuan" w:eastAsia="YouYuan" w:cs="YouYuan"/>
          <w:sz w:val="21"/>
          <w:szCs w:val="21"/>
          <w:b/>
          <w:bCs/>
          <w:spacing w:val="5"/>
          <w:position w:val="20"/>
        </w:rPr>
        <w:t>成熟度等级介绍</w:t>
      </w:r>
    </w:p>
    <w:p>
      <w:pPr>
        <w:ind w:left="434"/>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4"/>
        </w:rPr>
        <w:t xml:space="preserve">   </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b/>
          <w:bCs/>
          <w:spacing w:val="-16"/>
        </w:rPr>
        <w:t xml:space="preserve"> </w:t>
      </w:r>
      <w:r>
        <w:rPr>
          <w:rFonts w:ascii="SimHei" w:hAnsi="SimHei" w:eastAsia="SimHei" w:cs="SimHei"/>
          <w:sz w:val="21"/>
          <w:szCs w:val="21"/>
          <w:b/>
          <w:bCs/>
          <w:spacing w:val="-3"/>
        </w:rPr>
        <w:t>初始级</w:t>
      </w:r>
    </w:p>
    <w:p>
      <w:pPr>
        <w:spacing w:line="119" w:lineRule="exact"/>
        <w:rPr/>
      </w:pPr>
      <w:r/>
    </w:p>
    <w:tbl>
      <w:tblPr>
        <w:tblStyle w:val="TableNormal"/>
        <w:tblW w:w="76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9"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9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4"/>
              <w:spacing w:before="143" w:line="184" w:lineRule="auto"/>
              <w:rPr>
                <w:sz w:val="16"/>
                <w:szCs w:val="16"/>
              </w:rPr>
            </w:pPr>
            <w:r>
              <w:rPr>
                <w:sz w:val="16"/>
                <w:szCs w:val="16"/>
                <w:spacing w:val="-5"/>
              </w:rPr>
              <w:t>1.1</w:t>
            </w:r>
          </w:p>
        </w:tc>
        <w:tc>
          <w:tcPr>
            <w:tcW w:w="3156" w:type="dxa"/>
            <w:vAlign w:val="top"/>
          </w:tcPr>
          <w:p>
            <w:pPr>
              <w:pStyle w:val="TableText"/>
              <w:ind w:left="270"/>
              <w:spacing w:before="102" w:line="219" w:lineRule="auto"/>
              <w:rPr>
                <w:sz w:val="16"/>
                <w:szCs w:val="16"/>
              </w:rPr>
            </w:pPr>
            <w:r>
              <w:rPr>
                <w:sz w:val="16"/>
                <w:szCs w:val="16"/>
                <w:spacing w:val="-1"/>
              </w:rPr>
              <w:t>将数据管理平台和组件记录下来</w:t>
            </w:r>
          </w:p>
        </w:tc>
        <w:tc>
          <w:tcPr>
            <w:tcW w:w="3780" w:type="dxa"/>
            <w:vAlign w:val="top"/>
          </w:tcPr>
          <w:p>
            <w:pPr>
              <w:pStyle w:val="TableText"/>
              <w:ind w:left="284"/>
              <w:spacing w:before="102" w:line="219" w:lineRule="auto"/>
              <w:rPr>
                <w:sz w:val="16"/>
                <w:szCs w:val="16"/>
              </w:rPr>
            </w:pPr>
            <w:r>
              <w:rPr>
                <w:sz w:val="16"/>
                <w:szCs w:val="16"/>
              </w:rPr>
              <w:t>●数据管理平台及组件列表</w:t>
            </w:r>
          </w:p>
        </w:tc>
      </w:tr>
    </w:tbl>
    <w:p>
      <w:pPr>
        <w:ind w:left="32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36" w:firstLine="409"/>
        <w:spacing w:before="49" w:line="261" w:lineRule="auto"/>
        <w:rPr>
          <w:rFonts w:ascii="SimSun" w:hAnsi="SimSun" w:eastAsia="SimSun" w:cs="SimSun"/>
          <w:sz w:val="21"/>
          <w:szCs w:val="21"/>
        </w:rPr>
      </w:pPr>
      <w:r>
        <w:rPr>
          <w:rFonts w:ascii="SimSun" w:hAnsi="SimSun" w:eastAsia="SimSun" w:cs="SimSun"/>
          <w:sz w:val="21"/>
          <w:szCs w:val="21"/>
          <w:spacing w:val="-6"/>
        </w:rPr>
        <w:t>目前，云端数据管理平台主要有</w:t>
      </w:r>
      <w:r>
        <w:rPr>
          <w:rFonts w:ascii="SimSun" w:hAnsi="SimSun" w:eastAsia="SimSun" w:cs="SimSun"/>
          <w:sz w:val="21"/>
          <w:szCs w:val="21"/>
          <w:spacing w:val="-36"/>
        </w:rPr>
        <w:t xml:space="preserve"> </w:t>
      </w:r>
      <w:r>
        <w:rPr>
          <w:rFonts w:ascii="SimSun" w:hAnsi="SimSun" w:eastAsia="SimSun" w:cs="SimSun"/>
          <w:sz w:val="21"/>
          <w:szCs w:val="21"/>
          <w:spacing w:val="-6"/>
        </w:rPr>
        <w:t>SQL、N</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6"/>
        </w:rPr>
        <w:t>oSQ</w:t>
      </w:r>
      <w:r>
        <w:rPr>
          <w:rFonts w:ascii="Times New Roman" w:hAnsi="Times New Roman" w:eastAsia="Times New Roman" w:cs="Times New Roman"/>
          <w:sz w:val="21"/>
          <w:szCs w:val="21"/>
          <w:spacing w:val="-7"/>
        </w:rPr>
        <w:t>L</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NewSQL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7"/>
        </w:rPr>
        <w:t>三种。其中，</w:t>
      </w:r>
      <w:r>
        <w:rPr>
          <w:rFonts w:ascii="Times New Roman" w:hAnsi="Times New Roman" w:eastAsia="Times New Roman" w:cs="Times New Roman"/>
          <w:sz w:val="21"/>
          <w:szCs w:val="21"/>
          <w:spacing w:val="-7"/>
        </w:rPr>
        <w:t>NewSQL</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具有海量数据的存储管理能力，还支持</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等特性。应记录云端数据管理</w:t>
      </w:r>
      <w:r>
        <w:rPr>
          <w:rFonts w:ascii="SimSun" w:hAnsi="SimSun" w:eastAsia="SimSun" w:cs="SimSun"/>
          <w:sz w:val="21"/>
          <w:szCs w:val="21"/>
        </w:rPr>
        <w:t xml:space="preserve"> </w:t>
      </w:r>
      <w:r>
        <w:rPr>
          <w:rFonts w:ascii="SimSun" w:hAnsi="SimSun" w:eastAsia="SimSun" w:cs="SimSun"/>
          <w:sz w:val="21"/>
          <w:szCs w:val="21"/>
          <w:spacing w:val="1"/>
        </w:rPr>
        <w:t>平台和组件。例如，确定并记录在项目中用于管理关键</w:t>
      </w:r>
      <w:r>
        <w:rPr>
          <w:rFonts w:ascii="SimSun" w:hAnsi="SimSun" w:eastAsia="SimSun" w:cs="SimSun"/>
          <w:sz w:val="21"/>
          <w:szCs w:val="21"/>
        </w:rPr>
        <w:t>数据的自动化系统和技术。</w:t>
      </w:r>
    </w:p>
    <w:p>
      <w:pPr>
        <w:ind w:left="434"/>
        <w:spacing w:before="46" w:line="221" w:lineRule="auto"/>
        <w:rPr>
          <w:rFonts w:ascii="SimHei" w:hAnsi="SimHei" w:eastAsia="SimHei" w:cs="SimHei"/>
          <w:sz w:val="21"/>
          <w:szCs w:val="21"/>
        </w:rPr>
      </w:pPr>
      <w:r>
        <w:rPr>
          <w:rFonts w:ascii="Times New Roman" w:hAnsi="Times New Roman" w:eastAsia="Times New Roman" w:cs="Times New Roman"/>
          <w:sz w:val="21"/>
          <w:szCs w:val="21"/>
          <w:b/>
          <w:bCs/>
        </w:rPr>
        <w:t>Level  2:  </w:t>
      </w:r>
      <w:r>
        <w:rPr>
          <w:rFonts w:ascii="SimHei" w:hAnsi="SimHei" w:eastAsia="SimHei" w:cs="SimHei"/>
          <w:sz w:val="21"/>
          <w:szCs w:val="21"/>
          <w:b/>
          <w:bCs/>
        </w:rPr>
        <w:t>管理级</w:t>
      </w:r>
    </w:p>
    <w:p>
      <w:pPr>
        <w:spacing w:line="140" w:lineRule="exact"/>
        <w:rPr/>
      </w:pPr>
      <w:r/>
    </w:p>
    <w:tbl>
      <w:tblPr>
        <w:tblStyle w:val="TableNormal"/>
        <w:tblW w:w="7680"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14"/>
              <w:spacing w:before="101" w:line="221" w:lineRule="auto"/>
              <w:rPr/>
            </w:pPr>
            <w:r>
              <w:rPr>
                <w:spacing w:val="-2"/>
              </w:rPr>
              <w:t>序号</w:t>
            </w:r>
          </w:p>
        </w:tc>
        <w:tc>
          <w:tcPr>
            <w:tcW w:w="315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65"/>
              <w:spacing w:before="101" w:line="220" w:lineRule="auto"/>
              <w:rPr/>
            </w:pPr>
            <w:r>
              <w:rPr>
                <w:spacing w:val="-5"/>
              </w:rPr>
              <w:t>实</w:t>
            </w:r>
            <w:r>
              <w:rPr>
                <w:spacing w:val="6"/>
              </w:rPr>
              <w:t xml:space="preserve">    </w:t>
            </w:r>
            <w:r>
              <w:rPr>
                <w:spacing w:val="-5"/>
              </w:rPr>
              <w:t>例</w:t>
            </w:r>
          </w:p>
        </w:tc>
      </w:tr>
      <w:tr>
        <w:trPr>
          <w:trHeight w:val="599" w:hRule="atLeast"/>
        </w:trPr>
        <w:tc>
          <w:tcPr>
            <w:tcW w:w="744" w:type="dxa"/>
            <w:vAlign w:val="top"/>
          </w:tcPr>
          <w:p>
            <w:pPr>
              <w:pStyle w:val="TableText"/>
              <w:ind w:left="245"/>
              <w:spacing w:before="268" w:line="184" w:lineRule="auto"/>
              <w:rPr/>
            </w:pPr>
            <w:r>
              <w:rPr>
                <w:spacing w:val="-2"/>
              </w:rPr>
              <w:t>2.1</w:t>
            </w:r>
          </w:p>
        </w:tc>
        <w:tc>
          <w:tcPr>
            <w:tcW w:w="3156" w:type="dxa"/>
            <w:vAlign w:val="top"/>
          </w:tcPr>
          <w:p>
            <w:pPr>
              <w:pStyle w:val="TableText"/>
              <w:ind w:left="261"/>
              <w:spacing w:before="89" w:line="300" w:lineRule="exact"/>
              <w:rPr/>
            </w:pPr>
            <w:r>
              <w:rPr>
                <w:spacing w:val="-1"/>
                <w:position w:val="11"/>
              </w:rPr>
              <w:t>数据管理策略中列出的指标和目标通过平</w:t>
            </w:r>
          </w:p>
          <w:p>
            <w:pPr>
              <w:pStyle w:val="TableText"/>
              <w:ind w:left="111"/>
              <w:spacing w:line="219" w:lineRule="auto"/>
              <w:rPr/>
            </w:pPr>
            <w:r>
              <w:rPr/>
              <w:t>台实施来支持</w:t>
            </w:r>
          </w:p>
        </w:tc>
        <w:tc>
          <w:tcPr>
            <w:tcW w:w="3780" w:type="dxa"/>
            <w:vAlign w:val="top"/>
          </w:tcPr>
          <w:p>
            <w:pPr>
              <w:pStyle w:val="TableText"/>
              <w:ind w:left="274"/>
              <w:spacing w:before="230" w:line="219" w:lineRule="auto"/>
              <w:rPr/>
            </w:pPr>
            <w:r>
              <w:rPr/>
              <w:t>●数据管理策略</w:t>
            </w:r>
          </w:p>
        </w:tc>
      </w:tr>
    </w:tbl>
    <w:p>
      <w:pPr>
        <w:ind w:left="329"/>
        <w:spacing w:before="183"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41" w:firstLine="409"/>
        <w:spacing w:before="62" w:line="255" w:lineRule="auto"/>
        <w:rPr>
          <w:rFonts w:ascii="SimSun" w:hAnsi="SimSun" w:eastAsia="SimSun" w:cs="SimSun"/>
          <w:sz w:val="21"/>
          <w:szCs w:val="21"/>
        </w:rPr>
      </w:pPr>
      <w:r>
        <w:rPr>
          <w:rFonts w:ascii="SimSun" w:hAnsi="SimSun" w:eastAsia="SimSun" w:cs="SimSun"/>
          <w:sz w:val="21"/>
          <w:szCs w:val="21"/>
          <w:spacing w:val="2"/>
        </w:rPr>
        <w:t>数据管理策略的目标一般包括性能指标、可扩展性要求、可维护性要求、数据</w:t>
      </w:r>
      <w:r>
        <w:rPr>
          <w:rFonts w:ascii="SimSun" w:hAnsi="SimSun" w:eastAsia="SimSun" w:cs="SimSun"/>
          <w:sz w:val="21"/>
          <w:szCs w:val="21"/>
          <w:spacing w:val="13"/>
        </w:rPr>
        <w:t xml:space="preserve"> </w:t>
      </w:r>
      <w:r>
        <w:rPr>
          <w:rFonts w:ascii="SimSun" w:hAnsi="SimSun" w:eastAsia="SimSun" w:cs="SimSun"/>
          <w:sz w:val="21"/>
          <w:szCs w:val="21"/>
          <w:spacing w:val="2"/>
        </w:rPr>
        <w:t>质量要求、安全要求等内容。在平台开发期间以及发布之前，根据数据管理策略中</w:t>
      </w:r>
      <w:r>
        <w:rPr>
          <w:rFonts w:ascii="SimSun" w:hAnsi="SimSun" w:eastAsia="SimSun" w:cs="SimSun"/>
          <w:sz w:val="21"/>
          <w:szCs w:val="21"/>
          <w:spacing w:val="9"/>
        </w:rPr>
        <w:t xml:space="preserve"> </w:t>
      </w:r>
      <w:r>
        <w:rPr>
          <w:rFonts w:ascii="SimSun" w:hAnsi="SimSun" w:eastAsia="SimSun" w:cs="SimSun"/>
          <w:sz w:val="21"/>
          <w:szCs w:val="21"/>
          <w:spacing w:val="-3"/>
        </w:rPr>
        <w:t>指定的目标对平台进行验证和确认。</w:t>
      </w:r>
    </w:p>
    <w:p>
      <w:pPr>
        <w:spacing w:line="125" w:lineRule="exact"/>
        <w:rPr/>
      </w:pPr>
      <w:r/>
    </w:p>
    <w:tbl>
      <w:tblPr>
        <w:tblStyle w:val="TableNormal"/>
        <w:tblW w:w="7680"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9"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4"/>
              <w:spacing w:before="143" w:line="183" w:lineRule="auto"/>
              <w:rPr>
                <w:sz w:val="16"/>
                <w:szCs w:val="16"/>
              </w:rPr>
            </w:pPr>
            <w:r>
              <w:rPr>
                <w:sz w:val="16"/>
                <w:szCs w:val="16"/>
                <w:spacing w:val="-2"/>
              </w:rPr>
              <w:t>2.2</w:t>
            </w:r>
          </w:p>
        </w:tc>
        <w:tc>
          <w:tcPr>
            <w:tcW w:w="3156" w:type="dxa"/>
            <w:vAlign w:val="top"/>
          </w:tcPr>
          <w:p>
            <w:pPr>
              <w:pStyle w:val="TableText"/>
              <w:ind w:left="260"/>
              <w:spacing w:before="102" w:line="219" w:lineRule="auto"/>
              <w:rPr>
                <w:sz w:val="16"/>
                <w:szCs w:val="16"/>
              </w:rPr>
            </w:pPr>
            <w:r>
              <w:rPr>
                <w:sz w:val="16"/>
                <w:szCs w:val="16"/>
                <w:spacing w:val="-1"/>
              </w:rPr>
              <w:t>数据管理平台具有选择过程</w:t>
            </w:r>
          </w:p>
        </w:tc>
        <w:tc>
          <w:tcPr>
            <w:tcW w:w="3780" w:type="dxa"/>
            <w:vAlign w:val="top"/>
          </w:tcPr>
          <w:p>
            <w:pPr>
              <w:pStyle w:val="TableText"/>
              <w:ind w:left="274"/>
              <w:spacing w:before="102" w:line="219" w:lineRule="auto"/>
              <w:rPr>
                <w:sz w:val="16"/>
                <w:szCs w:val="16"/>
              </w:rPr>
            </w:pPr>
            <w:r>
              <w:rPr>
                <w:sz w:val="16"/>
                <w:szCs w:val="16"/>
              </w:rPr>
              <w:t>●数据管理平台技术实现管理程序</w:t>
            </w:r>
          </w:p>
        </w:tc>
      </w:tr>
    </w:tbl>
    <w:p>
      <w:pPr>
        <w:ind w:left="329"/>
        <w:spacing w:before="214"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24" w:firstLine="409"/>
        <w:spacing w:before="52" w:line="248" w:lineRule="auto"/>
        <w:rPr>
          <w:rFonts w:ascii="SimSun" w:hAnsi="SimSun" w:eastAsia="SimSun" w:cs="SimSun"/>
          <w:sz w:val="21"/>
          <w:szCs w:val="21"/>
        </w:rPr>
      </w:pPr>
      <w:r>
        <w:rPr>
          <w:rFonts w:ascii="SimSun" w:hAnsi="SimSun" w:eastAsia="SimSun" w:cs="SimSun"/>
          <w:sz w:val="21"/>
          <w:szCs w:val="21"/>
          <w:spacing w:val="3"/>
        </w:rPr>
        <w:t>数据管理平台的选择需要数据管理专员及相关领域的专家积极参与，软件项目</w:t>
      </w:r>
      <w:r>
        <w:rPr>
          <w:rFonts w:ascii="SimSun" w:hAnsi="SimSun" w:eastAsia="SimSun" w:cs="SimSun"/>
          <w:sz w:val="21"/>
          <w:szCs w:val="21"/>
          <w:spacing w:val="7"/>
        </w:rPr>
        <w:t xml:space="preserve"> </w:t>
      </w:r>
      <w:r>
        <w:rPr>
          <w:rFonts w:ascii="SimSun" w:hAnsi="SimSun" w:eastAsia="SimSun" w:cs="SimSun"/>
          <w:sz w:val="21"/>
          <w:szCs w:val="21"/>
          <w:spacing w:val="2"/>
        </w:rPr>
        <w:t>经理也应投入足够的时间参与到持续不断的沟通中，以确保“建构或购买</w:t>
      </w:r>
      <w:r>
        <w:rPr>
          <w:rFonts w:ascii="SimSun" w:hAnsi="SimSun" w:eastAsia="SimSun" w:cs="SimSun"/>
          <w:sz w:val="21"/>
          <w:szCs w:val="21"/>
          <w:spacing w:val="1"/>
        </w:rPr>
        <w:t>”决策会</w:t>
      </w:r>
      <w:r>
        <w:rPr>
          <w:rFonts w:ascii="SimSun" w:hAnsi="SimSun" w:eastAsia="SimSun" w:cs="SimSun"/>
          <w:sz w:val="21"/>
          <w:szCs w:val="21"/>
        </w:rPr>
        <w:t xml:space="preserve"> </w:t>
      </w:r>
      <w:r>
        <w:rPr>
          <w:rFonts w:ascii="SimSun" w:hAnsi="SimSun" w:eastAsia="SimSun" w:cs="SimSun"/>
          <w:sz w:val="21"/>
          <w:szCs w:val="21"/>
          <w:spacing w:val="-2"/>
        </w:rPr>
        <w:t>考虑到目标数据架构并支持数据管理策略。</w:t>
      </w:r>
    </w:p>
    <w:p>
      <w:pPr>
        <w:spacing w:line="139" w:lineRule="exact"/>
        <w:rPr/>
      </w:pPr>
      <w:r/>
    </w:p>
    <w:tbl>
      <w:tblPr>
        <w:tblStyle w:val="TableNormal"/>
        <w:tblW w:w="7669" w:type="dxa"/>
        <w:tblInd w:w="6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40"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5" w:type="dxa"/>
            <w:vAlign w:val="top"/>
          </w:tcPr>
          <w:p>
            <w:pPr>
              <w:pStyle w:val="TableText"/>
              <w:ind w:left="1171"/>
              <w:spacing w:before="91" w:line="219" w:lineRule="auto"/>
              <w:rPr>
                <w:sz w:val="16"/>
                <w:szCs w:val="16"/>
              </w:rPr>
            </w:pPr>
            <w:r>
              <w:rPr>
                <w:sz w:val="16"/>
                <w:szCs w:val="16"/>
                <w:spacing w:val="-4"/>
              </w:rPr>
              <w:t>等 级 要 求</w:t>
            </w:r>
          </w:p>
        </w:tc>
        <w:tc>
          <w:tcPr>
            <w:tcW w:w="3770" w:type="dxa"/>
            <w:vAlign w:val="top"/>
          </w:tcPr>
          <w:p>
            <w:pPr>
              <w:pStyle w:val="TableText"/>
              <w:ind w:left="1596"/>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5"/>
              <w:spacing w:before="142" w:line="183" w:lineRule="auto"/>
              <w:rPr>
                <w:sz w:val="16"/>
                <w:szCs w:val="16"/>
              </w:rPr>
            </w:pPr>
            <w:r>
              <w:rPr>
                <w:sz w:val="16"/>
                <w:szCs w:val="16"/>
                <w:spacing w:val="-2"/>
              </w:rPr>
              <w:t>2.3</w:t>
            </w:r>
          </w:p>
        </w:tc>
        <w:tc>
          <w:tcPr>
            <w:tcW w:w="3155" w:type="dxa"/>
            <w:vAlign w:val="top"/>
          </w:tcPr>
          <w:p>
            <w:pPr>
              <w:pStyle w:val="TableText"/>
              <w:ind w:left="270"/>
              <w:spacing w:before="101" w:line="219" w:lineRule="auto"/>
              <w:rPr>
                <w:sz w:val="16"/>
                <w:szCs w:val="16"/>
              </w:rPr>
            </w:pPr>
            <w:r>
              <w:rPr>
                <w:sz w:val="16"/>
                <w:szCs w:val="16"/>
                <w:spacing w:val="-1"/>
              </w:rPr>
              <w:t>平台支持该组织的安全性和访问要求</w:t>
            </w:r>
          </w:p>
        </w:tc>
        <w:tc>
          <w:tcPr>
            <w:tcW w:w="3770" w:type="dxa"/>
            <w:vAlign w:val="top"/>
          </w:tcPr>
          <w:p>
            <w:pPr>
              <w:pStyle w:val="TableText"/>
              <w:ind w:left="265"/>
              <w:spacing w:before="101" w:line="219" w:lineRule="auto"/>
              <w:rPr>
                <w:sz w:val="16"/>
                <w:szCs w:val="16"/>
              </w:rPr>
            </w:pPr>
            <w:r>
              <w:rPr>
                <w:sz w:val="16"/>
                <w:szCs w:val="16"/>
              </w:rPr>
              <w:t>●数据管理平台访问控制程序</w:t>
            </w:r>
          </w:p>
        </w:tc>
      </w:tr>
    </w:tbl>
    <w:p>
      <w:pPr>
        <w:ind w:left="329"/>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24" w:right="248" w:firstLine="409"/>
        <w:spacing w:before="60" w:line="259" w:lineRule="auto"/>
        <w:rPr>
          <w:rFonts w:ascii="SimSun" w:hAnsi="SimSun" w:eastAsia="SimSun" w:cs="SimSun"/>
          <w:sz w:val="21"/>
          <w:szCs w:val="21"/>
        </w:rPr>
      </w:pPr>
      <w:r>
        <w:rPr>
          <w:rFonts w:ascii="SimSun" w:hAnsi="SimSun" w:eastAsia="SimSun" w:cs="SimSun"/>
          <w:sz w:val="21"/>
          <w:szCs w:val="21"/>
          <w:spacing w:val="2"/>
        </w:rPr>
        <w:t>安全性要求包括数据安全、认证安全、系统安全、网络安全等内容，平台应采</w:t>
      </w:r>
      <w:r>
        <w:rPr>
          <w:rFonts w:ascii="SimSun" w:hAnsi="SimSun" w:eastAsia="SimSun" w:cs="SimSun"/>
          <w:sz w:val="21"/>
          <w:szCs w:val="21"/>
          <w:spacing w:val="10"/>
        </w:rPr>
        <w:t xml:space="preserve"> </w:t>
      </w:r>
      <w:r>
        <w:rPr>
          <w:rFonts w:ascii="SimSun" w:hAnsi="SimSun" w:eastAsia="SimSun" w:cs="SimSun"/>
          <w:sz w:val="21"/>
          <w:szCs w:val="21"/>
          <w:spacing w:val="2"/>
        </w:rPr>
        <w:t>用由各个业务部门推动并在职责划分的原则下进行多级别访问管理及访问限制。如 </w:t>
      </w:r>
      <w:r>
        <w:rPr>
          <w:rFonts w:ascii="SimSun" w:hAnsi="SimSun" w:eastAsia="SimSun" w:cs="SimSun"/>
          <w:sz w:val="21"/>
          <w:szCs w:val="21"/>
          <w:spacing w:val="-2"/>
        </w:rPr>
        <w:t>对数据管理平台与应用系统之间的信息通讯进行加密</w:t>
      </w:r>
      <w:r>
        <w:rPr>
          <w:rFonts w:ascii="SimSun" w:hAnsi="SimSun" w:eastAsia="SimSun" w:cs="SimSun"/>
          <w:sz w:val="21"/>
          <w:szCs w:val="21"/>
          <w:spacing w:val="-3"/>
        </w:rPr>
        <w:t>，使用基于</w:t>
      </w:r>
      <w:r>
        <w:rPr>
          <w:rFonts w:ascii="Times New Roman" w:hAnsi="Times New Roman" w:eastAsia="Times New Roman" w:cs="Times New Roman"/>
          <w:sz w:val="21"/>
          <w:szCs w:val="21"/>
          <w:spacing w:val="-3"/>
        </w:rPr>
        <w:t>SSL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3"/>
        </w:rPr>
        <w:t>https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的加密</w:t>
      </w:r>
      <w:r>
        <w:rPr>
          <w:rFonts w:ascii="SimSun" w:hAnsi="SimSun" w:eastAsia="SimSun" w:cs="SimSun"/>
          <w:sz w:val="21"/>
          <w:szCs w:val="21"/>
        </w:rPr>
        <w:t xml:space="preserve"> </w:t>
      </w:r>
      <w:r>
        <w:rPr>
          <w:rFonts w:ascii="SimSun" w:hAnsi="SimSun" w:eastAsia="SimSun" w:cs="SimSun"/>
          <w:sz w:val="21"/>
          <w:szCs w:val="21"/>
          <w:spacing w:val="-7"/>
        </w:rPr>
        <w:t>传输等。</w:t>
      </w:r>
    </w:p>
    <w:p>
      <w:pPr>
        <w:spacing w:line="259" w:lineRule="auto"/>
        <w:sectPr>
          <w:footerReference w:type="default" r:id="rId389"/>
          <w:pgSz w:w="8870" w:h="13400"/>
          <w:pgMar w:top="400" w:right="565" w:bottom="577" w:left="395" w:header="0" w:footer="369" w:gutter="0"/>
        </w:sectPr>
        <w:rPr>
          <w:rFonts w:ascii="SimSun" w:hAnsi="SimSun" w:eastAsia="SimSun" w:cs="SimSun"/>
          <w:sz w:val="21"/>
          <w:szCs w:val="21"/>
        </w:rPr>
      </w:pPr>
    </w:p>
    <w:p>
      <w:pPr>
        <w:ind w:left="243"/>
        <w:spacing w:before="285" w:line="219" w:lineRule="auto"/>
        <w:rPr>
          <w:rFonts w:ascii="SimSun" w:hAnsi="SimSun" w:eastAsia="SimSun" w:cs="SimSun"/>
          <w:sz w:val="22"/>
          <w:szCs w:val="22"/>
        </w:rPr>
      </w:pPr>
      <w:r>
        <w:drawing>
          <wp:anchor distT="0" distB="0" distL="0" distR="0" simplePos="0" relativeHeight="256905216" behindDoc="0" locked="0" layoutInCell="0" allowOverlap="1">
            <wp:simplePos x="0" y="0"/>
            <wp:positionH relativeFrom="page">
              <wp:posOffset>406380</wp:posOffset>
            </wp:positionH>
            <wp:positionV relativeFrom="page">
              <wp:posOffset>381031</wp:posOffset>
            </wp:positionV>
            <wp:extent cx="6365" cy="222255"/>
            <wp:effectExtent l="0" t="0" r="0" b="0"/>
            <wp:wrapNone/>
            <wp:docPr id="266" name="IM 266"/>
            <wp:cNvGraphicFramePr/>
            <a:graphic>
              <a:graphicData uri="http://schemas.openxmlformats.org/drawingml/2006/picture">
                <pic:pic>
                  <pic:nvPicPr>
                    <pic:cNvPr id="266" name="IM 266"/>
                    <pic:cNvPicPr/>
                  </pic:nvPicPr>
                  <pic:blipFill>
                    <a:blip r:embed="rId391"/>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4"/>
        </w:rPr>
        <w:t>■云端数据治理</w:t>
      </w:r>
    </w:p>
    <w:p>
      <w:pPr>
        <w:spacing w:before="126"/>
        <w:rPr/>
      </w:pPr>
      <w:r/>
    </w:p>
    <w:tbl>
      <w:tblPr>
        <w:tblStyle w:val="TableNormal"/>
        <w:tblW w:w="7680"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51"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66" w:type="dxa"/>
            <w:vAlign w:val="top"/>
          </w:tcPr>
          <w:p>
            <w:pPr>
              <w:pStyle w:val="TableText"/>
              <w:ind w:left="1170"/>
              <w:spacing w:before="101" w:line="219" w:lineRule="auto"/>
              <w:rPr>
                <w:sz w:val="16"/>
                <w:szCs w:val="16"/>
              </w:rPr>
            </w:pPr>
            <w:r>
              <w:rPr>
                <w:sz w:val="16"/>
                <w:szCs w:val="16"/>
                <w:spacing w:val="-4"/>
              </w:rPr>
              <w:t>等 级 要 求</w:t>
            </w:r>
          </w:p>
        </w:tc>
        <w:tc>
          <w:tcPr>
            <w:tcW w:w="376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54" w:type="dxa"/>
            <w:vAlign w:val="top"/>
          </w:tcPr>
          <w:p>
            <w:pPr>
              <w:pStyle w:val="TableText"/>
              <w:ind w:left="244"/>
              <w:spacing w:before="261" w:line="183" w:lineRule="auto"/>
              <w:rPr>
                <w:sz w:val="16"/>
                <w:szCs w:val="16"/>
              </w:rPr>
            </w:pPr>
            <w:r>
              <w:rPr>
                <w:sz w:val="16"/>
                <w:szCs w:val="16"/>
                <w:spacing w:val="-2"/>
              </w:rPr>
              <w:t>2.4</w:t>
            </w:r>
          </w:p>
        </w:tc>
        <w:tc>
          <w:tcPr>
            <w:tcW w:w="3166" w:type="dxa"/>
            <w:vAlign w:val="top"/>
          </w:tcPr>
          <w:p>
            <w:pPr>
              <w:pStyle w:val="TableText"/>
              <w:ind w:left="100" w:firstLine="178"/>
              <w:spacing w:before="100" w:line="271" w:lineRule="auto"/>
              <w:rPr>
                <w:sz w:val="16"/>
                <w:szCs w:val="16"/>
              </w:rPr>
            </w:pPr>
            <w:r>
              <w:rPr>
                <w:sz w:val="16"/>
                <w:szCs w:val="16"/>
                <w:spacing w:val="-1"/>
              </w:rPr>
              <w:t>数据治理机构提供建议并同意重大的平台</w:t>
            </w:r>
            <w:r>
              <w:rPr>
                <w:sz w:val="16"/>
                <w:szCs w:val="16"/>
                <w:spacing w:val="13"/>
              </w:rPr>
              <w:t xml:space="preserve"> </w:t>
            </w:r>
            <w:r>
              <w:rPr>
                <w:sz w:val="16"/>
                <w:szCs w:val="16"/>
                <w:spacing w:val="-4"/>
              </w:rPr>
              <w:t>决策</w:t>
            </w:r>
          </w:p>
        </w:tc>
        <w:tc>
          <w:tcPr>
            <w:tcW w:w="3760" w:type="dxa"/>
            <w:vAlign w:val="top"/>
          </w:tcPr>
          <w:p>
            <w:pPr>
              <w:pStyle w:val="TableText"/>
              <w:ind w:left="254"/>
              <w:spacing w:before="220" w:line="219" w:lineRule="auto"/>
              <w:rPr>
                <w:sz w:val="16"/>
                <w:szCs w:val="16"/>
              </w:rPr>
            </w:pPr>
            <w:r>
              <w:rPr>
                <w:sz w:val="16"/>
                <w:szCs w:val="16"/>
              </w:rPr>
              <w:t>●数据管理平台决策标准</w:t>
            </w:r>
          </w:p>
        </w:tc>
      </w:tr>
    </w:tbl>
    <w:p>
      <w:pPr>
        <w:ind w:left="59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10" w:right="41" w:firstLine="399"/>
        <w:spacing w:before="48" w:line="250" w:lineRule="auto"/>
        <w:rPr>
          <w:rFonts w:ascii="SimSun" w:hAnsi="SimSun" w:eastAsia="SimSun" w:cs="SimSun"/>
          <w:sz w:val="22"/>
          <w:szCs w:val="22"/>
        </w:rPr>
      </w:pPr>
      <w:r>
        <w:rPr>
          <w:rFonts w:ascii="SimSun" w:hAnsi="SimSun" w:eastAsia="SimSun" w:cs="SimSun"/>
          <w:sz w:val="22"/>
          <w:szCs w:val="22"/>
          <w:spacing w:val="-7"/>
        </w:rPr>
        <w:t>通常情况下，治理使用一个框架以记录并评</w:t>
      </w:r>
      <w:r>
        <w:rPr>
          <w:rFonts w:ascii="SimSun" w:hAnsi="SimSun" w:eastAsia="SimSun" w:cs="SimSun"/>
          <w:sz w:val="22"/>
          <w:szCs w:val="22"/>
          <w:spacing w:val="-8"/>
        </w:rPr>
        <w:t>估具有竞争性的平台解决方案和选</w:t>
      </w:r>
      <w:r>
        <w:rPr>
          <w:rFonts w:ascii="SimSun" w:hAnsi="SimSun" w:eastAsia="SimSun" w:cs="SimSun"/>
          <w:sz w:val="22"/>
          <w:szCs w:val="22"/>
        </w:rPr>
        <w:t xml:space="preserve"> </w:t>
      </w:r>
      <w:r>
        <w:rPr>
          <w:rFonts w:ascii="SimSun" w:hAnsi="SimSun" w:eastAsia="SimSun" w:cs="SimSun"/>
          <w:sz w:val="22"/>
          <w:szCs w:val="22"/>
          <w:spacing w:val="-8"/>
        </w:rPr>
        <w:t>项。该框架应包括数据库架构、数据仓库、稳定和内容架构以及元数据架构的指导</w:t>
      </w:r>
      <w:r>
        <w:rPr>
          <w:rFonts w:ascii="SimSun" w:hAnsi="SimSun" w:eastAsia="SimSun" w:cs="SimSun"/>
          <w:sz w:val="22"/>
          <w:szCs w:val="22"/>
        </w:rPr>
        <w:t xml:space="preserve"> </w:t>
      </w:r>
      <w:r>
        <w:rPr>
          <w:rFonts w:ascii="SimSun" w:hAnsi="SimSun" w:eastAsia="SimSun" w:cs="SimSun"/>
          <w:sz w:val="22"/>
          <w:szCs w:val="22"/>
          <w:spacing w:val="-9"/>
        </w:rPr>
        <w:t>决策的标准。组织制订数据管理平台决策标准时应考虑组织未来业务的发展需求、</w:t>
      </w:r>
      <w:r>
        <w:rPr>
          <w:rFonts w:ascii="SimSun" w:hAnsi="SimSun" w:eastAsia="SimSun" w:cs="SimSun"/>
          <w:sz w:val="22"/>
          <w:szCs w:val="22"/>
          <w:spacing w:val="13"/>
        </w:rPr>
        <w:t xml:space="preserve"> </w:t>
      </w:r>
      <w:r>
        <w:rPr>
          <w:rFonts w:ascii="SimSun" w:hAnsi="SimSun" w:eastAsia="SimSun" w:cs="SimSun"/>
          <w:sz w:val="22"/>
          <w:szCs w:val="22"/>
          <w:spacing w:val="-11"/>
        </w:rPr>
        <w:t>技术水平、研发人员、资金投入等情况。</w:t>
      </w:r>
    </w:p>
    <w:p>
      <w:pPr>
        <w:ind w:left="709"/>
        <w:spacing w:before="53"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44"/>
        </w:rPr>
        <w:t xml:space="preserve"> </w:t>
      </w: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5"/>
        </w:rPr>
        <w:t>定义级</w:t>
      </w:r>
    </w:p>
    <w:p>
      <w:pPr>
        <w:spacing w:line="118" w:lineRule="exact"/>
        <w:rPr/>
      </w:pPr>
      <w:r/>
    </w:p>
    <w:tbl>
      <w:tblPr>
        <w:tblStyle w:val="TableNormal"/>
        <w:tblW w:w="767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6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6" w:type="dxa"/>
            <w:vAlign w:val="top"/>
          </w:tcPr>
          <w:p>
            <w:pPr>
              <w:pStyle w:val="TableText"/>
              <w:ind w:left="1151"/>
              <w:spacing w:before="101" w:line="219" w:lineRule="auto"/>
              <w:rPr>
                <w:sz w:val="16"/>
                <w:szCs w:val="16"/>
              </w:rPr>
            </w:pPr>
            <w:r>
              <w:rPr>
                <w:sz w:val="16"/>
                <w:szCs w:val="16"/>
                <w:spacing w:val="-4"/>
              </w:rPr>
              <w:t>等 级 要 求</w:t>
            </w:r>
          </w:p>
        </w:tc>
        <w:tc>
          <w:tcPr>
            <w:tcW w:w="376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5"/>
              <w:spacing w:before="260" w:line="184" w:lineRule="auto"/>
              <w:rPr>
                <w:sz w:val="16"/>
                <w:szCs w:val="16"/>
              </w:rPr>
            </w:pPr>
            <w:r>
              <w:rPr>
                <w:sz w:val="16"/>
                <w:szCs w:val="16"/>
                <w:spacing w:val="-3"/>
              </w:rPr>
              <w:t>3.1</w:t>
            </w:r>
          </w:p>
        </w:tc>
        <w:tc>
          <w:tcPr>
            <w:tcW w:w="3166" w:type="dxa"/>
            <w:vAlign w:val="top"/>
          </w:tcPr>
          <w:p>
            <w:pPr>
              <w:pStyle w:val="TableText"/>
              <w:ind w:left="101" w:right="104" w:firstLine="69"/>
              <w:spacing w:before="101" w:line="265" w:lineRule="auto"/>
              <w:rPr>
                <w:sz w:val="16"/>
                <w:szCs w:val="16"/>
              </w:rPr>
            </w:pPr>
            <w:r>
              <w:rPr>
                <w:sz w:val="16"/>
                <w:szCs w:val="16"/>
              </w:rPr>
              <w:t>对跨系统的重复数据集进行记录和计划， </w:t>
            </w:r>
            <w:r>
              <w:rPr>
                <w:sz w:val="16"/>
                <w:szCs w:val="16"/>
                <w:spacing w:val="3"/>
              </w:rPr>
              <w:t>并说明理由</w:t>
            </w:r>
          </w:p>
        </w:tc>
        <w:tc>
          <w:tcPr>
            <w:tcW w:w="3760" w:type="dxa"/>
            <w:vAlign w:val="top"/>
          </w:tcPr>
          <w:p>
            <w:pPr>
              <w:pStyle w:val="TableText"/>
              <w:ind w:left="265"/>
              <w:spacing w:before="220" w:line="219" w:lineRule="auto"/>
              <w:rPr>
                <w:sz w:val="16"/>
                <w:szCs w:val="16"/>
              </w:rPr>
            </w:pPr>
            <w:r>
              <w:rPr>
                <w:sz w:val="16"/>
                <w:szCs w:val="16"/>
              </w:rPr>
              <w:t>●数据重复统计记录</w:t>
            </w:r>
          </w:p>
        </w:tc>
      </w:tr>
    </w:tbl>
    <w:p>
      <w:pPr>
        <w:ind w:left="599"/>
        <w:spacing w:before="19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10" w:right="38" w:firstLine="399"/>
        <w:spacing w:before="56" w:line="254" w:lineRule="auto"/>
        <w:rPr>
          <w:rFonts w:ascii="SimSun" w:hAnsi="SimSun" w:eastAsia="SimSun" w:cs="SimSun"/>
          <w:sz w:val="22"/>
          <w:szCs w:val="22"/>
        </w:rPr>
      </w:pPr>
      <w:r>
        <w:rPr>
          <w:rFonts w:ascii="SimSun" w:hAnsi="SimSun" w:eastAsia="SimSun" w:cs="SimSun"/>
          <w:sz w:val="22"/>
          <w:szCs w:val="22"/>
          <w:spacing w:val="-8"/>
        </w:rPr>
        <w:t>数据冗余会让用户产生困惑，对业务操作产生负面影响，带来更高的代价，并</w:t>
      </w:r>
      <w:r>
        <w:rPr>
          <w:rFonts w:ascii="SimSun" w:hAnsi="SimSun" w:eastAsia="SimSun" w:cs="SimSun"/>
          <w:sz w:val="22"/>
          <w:szCs w:val="22"/>
        </w:rPr>
        <w:t xml:space="preserve"> </w:t>
      </w:r>
      <w:r>
        <w:rPr>
          <w:rFonts w:ascii="SimSun" w:hAnsi="SimSun" w:eastAsia="SimSun" w:cs="SimSun"/>
          <w:sz w:val="22"/>
          <w:szCs w:val="22"/>
          <w:spacing w:val="-8"/>
        </w:rPr>
        <w:t>显著增加数据管理环境的复杂性。然而，数据重复具有合理的理由，以满足特定的</w:t>
      </w:r>
      <w:r>
        <w:rPr>
          <w:rFonts w:ascii="SimSun" w:hAnsi="SimSun" w:eastAsia="SimSun" w:cs="SimSun"/>
          <w:sz w:val="22"/>
          <w:szCs w:val="22"/>
          <w:spacing w:val="3"/>
        </w:rPr>
        <w:t xml:space="preserve"> </w:t>
      </w:r>
      <w:r>
        <w:rPr>
          <w:rFonts w:ascii="SimSun" w:hAnsi="SimSun" w:eastAsia="SimSun" w:cs="SimSun"/>
          <w:sz w:val="22"/>
          <w:szCs w:val="22"/>
          <w:spacing w:val="-8"/>
        </w:rPr>
        <w:t>功能性和性能要求。例如，为数据挖掘应用程序和数据仓库预处理大型数据集</w:t>
      </w:r>
      <w:r>
        <w:rPr>
          <w:rFonts w:ascii="SimSun" w:hAnsi="SimSun" w:eastAsia="SimSun" w:cs="SimSun"/>
          <w:sz w:val="22"/>
          <w:szCs w:val="22"/>
          <w:spacing w:val="-9"/>
        </w:rPr>
        <w:t>。在</w:t>
      </w:r>
      <w:r>
        <w:rPr>
          <w:rFonts w:ascii="SimSun" w:hAnsi="SimSun" w:eastAsia="SimSun" w:cs="SimSun"/>
          <w:sz w:val="22"/>
          <w:szCs w:val="22"/>
        </w:rPr>
        <w:t xml:space="preserve"> </w:t>
      </w:r>
      <w:r>
        <w:rPr>
          <w:rFonts w:ascii="SimSun" w:hAnsi="SimSun" w:eastAsia="SimSun" w:cs="SimSun"/>
          <w:sz w:val="22"/>
          <w:szCs w:val="22"/>
          <w:spacing w:val="-8"/>
        </w:rPr>
        <w:t>特意采用数据重复的情况下，应将其形成文件，并且在各种情况下，应针对该</w:t>
      </w:r>
      <w:r>
        <w:rPr>
          <w:rFonts w:ascii="SimSun" w:hAnsi="SimSun" w:eastAsia="SimSun" w:cs="SimSun"/>
          <w:sz w:val="22"/>
          <w:szCs w:val="22"/>
          <w:spacing w:val="-9"/>
        </w:rPr>
        <w:t>组织</w:t>
      </w:r>
      <w:r>
        <w:rPr>
          <w:rFonts w:ascii="SimSun" w:hAnsi="SimSun" w:eastAsia="SimSun" w:cs="SimSun"/>
          <w:sz w:val="22"/>
          <w:szCs w:val="22"/>
        </w:rPr>
        <w:t xml:space="preserve"> </w:t>
      </w:r>
      <w:r>
        <w:rPr>
          <w:rFonts w:ascii="SimSun" w:hAnsi="SimSun" w:eastAsia="SimSun" w:cs="SimSun"/>
          <w:sz w:val="22"/>
          <w:szCs w:val="22"/>
          <w:spacing w:val="-5"/>
        </w:rPr>
        <w:t>的预期收益，说明保持重复源同步有关的成本的合理性(包括数据不能保持同步的</w:t>
      </w:r>
      <w:r>
        <w:rPr>
          <w:rFonts w:ascii="SimSun" w:hAnsi="SimSun" w:eastAsia="SimSun" w:cs="SimSun"/>
          <w:sz w:val="22"/>
          <w:szCs w:val="22"/>
          <w:spacing w:val="5"/>
        </w:rPr>
        <w:t xml:space="preserve"> </w:t>
      </w:r>
      <w:r>
        <w:rPr>
          <w:rFonts w:ascii="SimSun" w:hAnsi="SimSun" w:eastAsia="SimSun" w:cs="SimSun"/>
          <w:sz w:val="22"/>
          <w:szCs w:val="22"/>
          <w:spacing w:val="-10"/>
        </w:rPr>
        <w:t>情况的影响)。</w:t>
      </w:r>
    </w:p>
    <w:p>
      <w:pPr>
        <w:spacing w:line="113" w:lineRule="exact"/>
        <w:rPr/>
      </w:pPr>
      <w:r/>
    </w:p>
    <w:tbl>
      <w:tblPr>
        <w:tblStyle w:val="TableNormal"/>
        <w:tblW w:w="766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50"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5"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9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4"/>
              <w:spacing w:before="142" w:line="183" w:lineRule="auto"/>
              <w:rPr>
                <w:sz w:val="16"/>
                <w:szCs w:val="16"/>
              </w:rPr>
            </w:pPr>
            <w:r>
              <w:rPr>
                <w:sz w:val="16"/>
                <w:szCs w:val="16"/>
                <w:spacing w:val="-3"/>
              </w:rPr>
              <w:t>3.2</w:t>
            </w:r>
          </w:p>
        </w:tc>
        <w:tc>
          <w:tcPr>
            <w:tcW w:w="3155" w:type="dxa"/>
            <w:vAlign w:val="top"/>
          </w:tcPr>
          <w:p>
            <w:pPr>
              <w:pStyle w:val="TableText"/>
              <w:ind w:left="261"/>
              <w:spacing w:before="102" w:line="220" w:lineRule="auto"/>
              <w:rPr>
                <w:sz w:val="16"/>
                <w:szCs w:val="16"/>
              </w:rPr>
            </w:pPr>
            <w:r>
              <w:rPr>
                <w:sz w:val="16"/>
                <w:szCs w:val="16"/>
                <w:spacing w:val="-1"/>
              </w:rPr>
              <w:t>制订平台实施计划</w:t>
            </w:r>
          </w:p>
        </w:tc>
        <w:tc>
          <w:tcPr>
            <w:tcW w:w="3770" w:type="dxa"/>
            <w:vAlign w:val="top"/>
          </w:tcPr>
          <w:p>
            <w:pPr>
              <w:pStyle w:val="TableText"/>
              <w:ind w:left="286"/>
              <w:spacing w:before="102" w:line="220" w:lineRule="auto"/>
              <w:rPr>
                <w:sz w:val="16"/>
                <w:szCs w:val="16"/>
              </w:rPr>
            </w:pPr>
            <w:r>
              <w:rPr>
                <w:sz w:val="16"/>
                <w:szCs w:val="16"/>
                <w:spacing w:val="1"/>
              </w:rPr>
              <w:t>●平台实施计划</w:t>
            </w:r>
          </w:p>
        </w:tc>
      </w:tr>
    </w:tbl>
    <w:p>
      <w:pPr>
        <w:ind w:left="59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10" w:right="38" w:firstLine="399"/>
        <w:spacing w:before="47" w:line="247" w:lineRule="auto"/>
        <w:rPr>
          <w:rFonts w:ascii="SimSun" w:hAnsi="SimSun" w:eastAsia="SimSun" w:cs="SimSun"/>
          <w:sz w:val="22"/>
          <w:szCs w:val="22"/>
        </w:rPr>
      </w:pPr>
      <w:r>
        <w:rPr>
          <w:rFonts w:ascii="SimSun" w:hAnsi="SimSun" w:eastAsia="SimSun" w:cs="SimSun"/>
          <w:sz w:val="22"/>
          <w:szCs w:val="22"/>
          <w:spacing w:val="-8"/>
        </w:rPr>
        <w:t>平台实施计划应考虑所需的可扩展性、灵活性和安全性，以适应预期复杂性的</w:t>
      </w:r>
      <w:r>
        <w:rPr>
          <w:rFonts w:ascii="SimSun" w:hAnsi="SimSun" w:eastAsia="SimSun" w:cs="SimSun"/>
          <w:sz w:val="22"/>
          <w:szCs w:val="22"/>
          <w:spacing w:val="7"/>
        </w:rPr>
        <w:t xml:space="preserve"> </w:t>
      </w:r>
      <w:r>
        <w:rPr>
          <w:rFonts w:ascii="SimSun" w:hAnsi="SimSun" w:eastAsia="SimSun" w:cs="SimSun"/>
          <w:sz w:val="22"/>
          <w:szCs w:val="22"/>
          <w:spacing w:val="-8"/>
        </w:rPr>
        <w:t>变化以及数据量和用户数量。实施计划应包含一系列支持系统建设、测试及部署的</w:t>
      </w:r>
      <w:r>
        <w:rPr>
          <w:rFonts w:ascii="SimSun" w:hAnsi="SimSun" w:eastAsia="SimSun" w:cs="SimSun"/>
          <w:sz w:val="22"/>
          <w:szCs w:val="22"/>
          <w:spacing w:val="3"/>
        </w:rPr>
        <w:t xml:space="preserve"> </w:t>
      </w:r>
      <w:r>
        <w:rPr>
          <w:rFonts w:ascii="SimSun" w:hAnsi="SimSun" w:eastAsia="SimSun" w:cs="SimSun"/>
          <w:sz w:val="22"/>
          <w:szCs w:val="22"/>
          <w:spacing w:val="-16"/>
        </w:rPr>
        <w:t>管理活动，包括：</w:t>
      </w:r>
    </w:p>
    <w:p>
      <w:pPr>
        <w:ind w:left="709"/>
        <w:spacing w:before="49" w:line="219" w:lineRule="auto"/>
        <w:rPr>
          <w:rFonts w:ascii="SimSun" w:hAnsi="SimSun" w:eastAsia="SimSun" w:cs="SimSun"/>
          <w:sz w:val="22"/>
          <w:szCs w:val="22"/>
        </w:rPr>
      </w:pPr>
      <w:r>
        <w:rPr>
          <w:rFonts w:ascii="SimSun" w:hAnsi="SimSun" w:eastAsia="SimSun" w:cs="SimSun"/>
          <w:sz w:val="22"/>
          <w:szCs w:val="22"/>
          <w:spacing w:val="-8"/>
        </w:rPr>
        <w:t>●管理平台实施及在开发、测试环境中的变更管理；</w:t>
      </w:r>
    </w:p>
    <w:p>
      <w:pPr>
        <w:ind w:left="709"/>
        <w:spacing w:before="59" w:line="219" w:lineRule="auto"/>
        <w:rPr>
          <w:rFonts w:ascii="SimSun" w:hAnsi="SimSun" w:eastAsia="SimSun" w:cs="SimSun"/>
          <w:sz w:val="22"/>
          <w:szCs w:val="22"/>
        </w:rPr>
      </w:pPr>
      <w:r>
        <w:rPr>
          <w:rFonts w:ascii="SimSun" w:hAnsi="SimSun" w:eastAsia="SimSun" w:cs="SimSun"/>
          <w:sz w:val="22"/>
          <w:szCs w:val="22"/>
          <w:spacing w:val="-8"/>
        </w:rPr>
        <w:t>●创建测试数据，包括必要的安全程序，如数据脱敏；</w:t>
      </w:r>
    </w:p>
    <w:p>
      <w:pPr>
        <w:ind w:left="709"/>
        <w:spacing w:before="59" w:line="219" w:lineRule="auto"/>
        <w:rPr>
          <w:rFonts w:ascii="SimSun" w:hAnsi="SimSun" w:eastAsia="SimSun" w:cs="SimSun"/>
          <w:sz w:val="22"/>
          <w:szCs w:val="22"/>
        </w:rPr>
      </w:pPr>
      <w:r>
        <w:rPr>
          <w:rFonts w:ascii="SimSun" w:hAnsi="SimSun" w:eastAsia="SimSun" w:cs="SimSun"/>
          <w:sz w:val="22"/>
          <w:szCs w:val="22"/>
          <w:spacing w:val="-6"/>
        </w:rPr>
        <w:t>●开发数据迁移及转换程序；</w:t>
      </w:r>
    </w:p>
    <w:p>
      <w:pPr>
        <w:ind w:left="709"/>
        <w:spacing w:before="49" w:line="219" w:lineRule="auto"/>
        <w:rPr>
          <w:rFonts w:ascii="SimSun" w:hAnsi="SimSun" w:eastAsia="SimSun" w:cs="SimSun"/>
          <w:sz w:val="22"/>
          <w:szCs w:val="22"/>
        </w:rPr>
      </w:pPr>
      <w:r>
        <w:rPr>
          <w:rFonts w:ascii="SimSun" w:hAnsi="SimSun" w:eastAsia="SimSun" w:cs="SimSun"/>
          <w:sz w:val="22"/>
          <w:szCs w:val="22"/>
          <w:spacing w:val="-10"/>
        </w:rPr>
        <w:t>●数据质量需求验证；</w:t>
      </w:r>
    </w:p>
    <w:p>
      <w:pPr>
        <w:ind w:left="709"/>
        <w:spacing w:before="46"/>
        <w:rPr>
          <w:rFonts w:ascii="SimSun" w:hAnsi="SimSun" w:eastAsia="SimSun" w:cs="SimSun"/>
          <w:sz w:val="22"/>
          <w:szCs w:val="22"/>
        </w:rPr>
      </w:pPr>
      <w:r>
        <w:rPr>
          <w:rFonts w:ascii="STXingkai" w:hAnsi="STXingkai" w:eastAsia="STXingkai" w:cs="STXingkai"/>
          <w:sz w:val="22"/>
          <w:szCs w:val="22"/>
          <w:spacing w:val="-17"/>
        </w:rPr>
        <w:t>●</w:t>
      </w:r>
      <w:r>
        <w:rPr>
          <w:rFonts w:ascii="STXingkai" w:hAnsi="STXingkai" w:eastAsia="STXingkai" w:cs="STXingkai"/>
          <w:sz w:val="22"/>
          <w:szCs w:val="22"/>
          <w:spacing w:val="41"/>
        </w:rPr>
        <w:t xml:space="preserve"> </w:t>
      </w:r>
      <w:r>
        <w:rPr>
          <w:rFonts w:ascii="SimSun" w:hAnsi="SimSun" w:eastAsia="SimSun" w:cs="SimSun"/>
          <w:sz w:val="22"/>
          <w:szCs w:val="22"/>
          <w:spacing w:val="-17"/>
        </w:rPr>
        <w:t>用户培训的建立及交付；</w:t>
      </w:r>
    </w:p>
    <w:p>
      <w:pPr>
        <w:ind w:left="709"/>
        <w:spacing w:line="325" w:lineRule="exact"/>
        <w:rPr>
          <w:rFonts w:ascii="SimSun" w:hAnsi="SimSun" w:eastAsia="SimSun" w:cs="SimSun"/>
          <w:sz w:val="22"/>
          <w:szCs w:val="22"/>
        </w:rPr>
      </w:pPr>
      <w:r>
        <w:rPr>
          <w:rFonts w:ascii="STXingkai" w:hAnsi="STXingkai" w:eastAsia="STXingkai" w:cs="STXingkai"/>
          <w:sz w:val="22"/>
          <w:szCs w:val="22"/>
          <w:spacing w:val="-16"/>
          <w:position w:val="2"/>
        </w:rPr>
        <w:t>●</w:t>
      </w:r>
      <w:r>
        <w:rPr>
          <w:rFonts w:ascii="STXingkai" w:hAnsi="STXingkai" w:eastAsia="STXingkai" w:cs="STXingkai"/>
          <w:sz w:val="22"/>
          <w:szCs w:val="22"/>
          <w:spacing w:val="38"/>
          <w:position w:val="2"/>
        </w:rPr>
        <w:t xml:space="preserve"> </w:t>
      </w:r>
      <w:r>
        <w:rPr>
          <w:rFonts w:ascii="SimSun" w:hAnsi="SimSun" w:eastAsia="SimSun" w:cs="SimSun"/>
          <w:sz w:val="22"/>
          <w:szCs w:val="22"/>
          <w:spacing w:val="-16"/>
          <w:position w:val="2"/>
        </w:rPr>
        <w:t>有效文档的开发。</w:t>
      </w:r>
    </w:p>
    <w:p>
      <w:pPr>
        <w:spacing w:line="325" w:lineRule="exact"/>
        <w:sectPr>
          <w:footerReference w:type="default" r:id="rId390"/>
          <w:pgSz w:w="8870" w:h="13400"/>
          <w:pgMar w:top="400" w:right="385" w:bottom="514" w:left="500" w:header="0" w:footer="296" w:gutter="0"/>
        </w:sectPr>
        <w:rPr>
          <w:rFonts w:ascii="SimSun" w:hAnsi="SimSun" w:eastAsia="SimSun" w:cs="SimSun"/>
          <w:sz w:val="22"/>
          <w:szCs w:val="22"/>
        </w:rPr>
      </w:pPr>
    </w:p>
    <w:p>
      <w:pPr>
        <w:ind w:left="5538"/>
        <w:spacing w:before="204" w:line="219" w:lineRule="auto"/>
        <w:rPr>
          <w:rFonts w:ascii="SimSun" w:hAnsi="SimSun" w:eastAsia="SimSun" w:cs="SimSun"/>
          <w:sz w:val="21"/>
          <w:szCs w:val="21"/>
        </w:rPr>
      </w:pPr>
      <w:r>
        <w:rPr>
          <w:rFonts w:ascii="SimSun" w:hAnsi="SimSun" w:eastAsia="SimSun" w:cs="SimSun"/>
          <w:sz w:val="21"/>
          <w:szCs w:val="21"/>
          <w:b/>
          <w:bCs/>
          <w:spacing w:val="15"/>
        </w:rPr>
        <w:t>第8章■云端数据架构</w:t>
      </w:r>
    </w:p>
    <w:p>
      <w:pPr>
        <w:spacing w:before="130"/>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5" w:type="dxa"/>
            <w:vAlign w:val="top"/>
          </w:tcPr>
          <w:p>
            <w:pPr>
              <w:pStyle w:val="TableText"/>
              <w:ind w:left="1161"/>
              <w:spacing w:before="91" w:line="219" w:lineRule="auto"/>
              <w:rPr>
                <w:sz w:val="16"/>
                <w:szCs w:val="16"/>
              </w:rPr>
            </w:pPr>
            <w:r>
              <w:rPr>
                <w:sz w:val="16"/>
                <w:szCs w:val="16"/>
                <w:spacing w:val="-4"/>
              </w:rPr>
              <w:t>等 级 要 求</w:t>
            </w:r>
          </w:p>
        </w:tc>
        <w:tc>
          <w:tcPr>
            <w:tcW w:w="3780" w:type="dxa"/>
            <w:vAlign w:val="top"/>
          </w:tcPr>
          <w:p>
            <w:pPr>
              <w:pStyle w:val="TableText"/>
              <w:ind w:left="158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44" w:type="dxa"/>
            <w:vAlign w:val="top"/>
          </w:tcPr>
          <w:p>
            <w:pPr>
              <w:pStyle w:val="TableText"/>
              <w:ind w:left="245"/>
              <w:spacing w:before="261" w:line="183" w:lineRule="auto"/>
              <w:rPr>
                <w:sz w:val="16"/>
                <w:szCs w:val="16"/>
              </w:rPr>
            </w:pPr>
            <w:r>
              <w:rPr>
                <w:sz w:val="16"/>
                <w:szCs w:val="16"/>
                <w:spacing w:val="-3"/>
              </w:rPr>
              <w:t>3.3</w:t>
            </w:r>
          </w:p>
        </w:tc>
        <w:tc>
          <w:tcPr>
            <w:tcW w:w="3155" w:type="dxa"/>
            <w:vAlign w:val="top"/>
          </w:tcPr>
          <w:p>
            <w:pPr>
              <w:pStyle w:val="TableText"/>
              <w:ind w:left="101" w:right="9" w:firstLine="160"/>
              <w:spacing w:before="100" w:line="271" w:lineRule="auto"/>
              <w:rPr>
                <w:sz w:val="16"/>
                <w:szCs w:val="16"/>
              </w:rPr>
            </w:pPr>
            <w:r>
              <w:rPr>
                <w:sz w:val="16"/>
                <w:szCs w:val="16"/>
                <w:spacing w:val="-1"/>
              </w:rPr>
              <w:t>平台设计和平台能力应确保可满足工作流</w:t>
            </w:r>
            <w:r>
              <w:rPr>
                <w:sz w:val="16"/>
                <w:szCs w:val="16"/>
                <w:spacing w:val="11"/>
              </w:rPr>
              <w:t xml:space="preserve"> </w:t>
            </w:r>
            <w:r>
              <w:rPr>
                <w:sz w:val="16"/>
                <w:szCs w:val="16"/>
                <w:spacing w:val="-1"/>
              </w:rPr>
              <w:t>程和服务水平要求</w:t>
            </w:r>
          </w:p>
        </w:tc>
        <w:tc>
          <w:tcPr>
            <w:tcW w:w="3780" w:type="dxa"/>
            <w:vAlign w:val="top"/>
          </w:tcPr>
          <w:p>
            <w:pPr>
              <w:pStyle w:val="TableText"/>
              <w:ind w:left="275"/>
              <w:spacing w:before="220" w:line="219" w:lineRule="auto"/>
              <w:rPr>
                <w:sz w:val="16"/>
                <w:szCs w:val="16"/>
              </w:rPr>
            </w:pPr>
            <w:r>
              <w:rPr>
                <w:sz w:val="16"/>
                <w:szCs w:val="16"/>
              </w:rPr>
              <w:t>●工作流程和服务水平要求</w:t>
            </w:r>
          </w:p>
        </w:tc>
      </w:tr>
    </w:tbl>
    <w:p>
      <w:pPr>
        <w:ind w:left="330"/>
        <w:spacing w:before="193"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05" w:firstLine="419"/>
        <w:spacing w:before="72" w:line="260" w:lineRule="auto"/>
        <w:rPr>
          <w:rFonts w:ascii="SimSun" w:hAnsi="SimSun" w:eastAsia="SimSun" w:cs="SimSun"/>
          <w:sz w:val="21"/>
          <w:szCs w:val="21"/>
        </w:rPr>
      </w:pPr>
      <w:r>
        <w:rPr>
          <w:rFonts w:ascii="SimSun" w:hAnsi="SimSun" w:eastAsia="SimSun" w:cs="SimSun"/>
          <w:sz w:val="21"/>
          <w:szCs w:val="21"/>
          <w:spacing w:val="2"/>
        </w:rPr>
        <w:t>项目一般是由项目需求驱动的，项目需求包括</w:t>
      </w:r>
      <w:r>
        <w:rPr>
          <w:rFonts w:ascii="SimSun" w:hAnsi="SimSun" w:eastAsia="SimSun" w:cs="SimSun"/>
          <w:sz w:val="21"/>
          <w:szCs w:val="21"/>
          <w:spacing w:val="1"/>
        </w:rPr>
        <w:t>项目需求的引导、组织、记录、</w:t>
      </w:r>
      <w:r>
        <w:rPr>
          <w:rFonts w:ascii="SimSun" w:hAnsi="SimSun" w:eastAsia="SimSun" w:cs="SimSun"/>
          <w:sz w:val="21"/>
          <w:szCs w:val="21"/>
        </w:rPr>
        <w:t xml:space="preserve"> </w:t>
      </w:r>
      <w:r>
        <w:rPr>
          <w:rFonts w:ascii="SimSun" w:hAnsi="SimSun" w:eastAsia="SimSun" w:cs="SimSun"/>
          <w:sz w:val="21"/>
          <w:szCs w:val="21"/>
          <w:spacing w:val="3"/>
        </w:rPr>
        <w:t>评审、完善、批准和变更控制。需求可以同时使用文字和图形来表述。概念数据模</w:t>
      </w:r>
      <w:r>
        <w:rPr>
          <w:rFonts w:ascii="SimSun" w:hAnsi="SimSun" w:eastAsia="SimSun" w:cs="SimSun"/>
          <w:sz w:val="21"/>
          <w:szCs w:val="21"/>
        </w:rPr>
        <w:t xml:space="preserve"> </w:t>
      </w:r>
      <w:r>
        <w:rPr>
          <w:rFonts w:ascii="SimSun" w:hAnsi="SimSun" w:eastAsia="SimSun" w:cs="SimSun"/>
          <w:sz w:val="21"/>
          <w:szCs w:val="21"/>
          <w:spacing w:val="1"/>
        </w:rPr>
        <w:t>型主体域是一个很好的工具，它可以反映与业务流程</w:t>
      </w:r>
      <w:r>
        <w:rPr>
          <w:rFonts w:ascii="SimSun" w:hAnsi="SimSun" w:eastAsia="SimSun" w:cs="SimSun"/>
          <w:sz w:val="21"/>
          <w:szCs w:val="21"/>
        </w:rPr>
        <w:t>和应用功能相关联的数据。</w:t>
      </w:r>
    </w:p>
    <w:p>
      <w:pPr>
        <w:ind w:left="15" w:right="238" w:firstLine="419"/>
        <w:spacing w:before="60" w:line="237" w:lineRule="auto"/>
        <w:rPr>
          <w:rFonts w:ascii="SimSun" w:hAnsi="SimSun" w:eastAsia="SimSun" w:cs="SimSun"/>
          <w:sz w:val="21"/>
          <w:szCs w:val="21"/>
        </w:rPr>
      </w:pPr>
      <w:r>
        <w:rPr>
          <w:rFonts w:ascii="SimSun" w:hAnsi="SimSun" w:eastAsia="SimSun" w:cs="SimSun"/>
          <w:sz w:val="21"/>
          <w:szCs w:val="21"/>
          <w:spacing w:val="2"/>
        </w:rPr>
        <w:t>应识别工作流程和服务水平要求，然后确认并访谈适当的业务人员，记录他们</w:t>
      </w:r>
      <w:r>
        <w:rPr>
          <w:rFonts w:ascii="SimSun" w:hAnsi="SimSun" w:eastAsia="SimSun" w:cs="SimSun"/>
          <w:sz w:val="21"/>
          <w:szCs w:val="21"/>
          <w:spacing w:val="6"/>
        </w:rPr>
        <w:t xml:space="preserve"> </w:t>
      </w:r>
      <w:r>
        <w:rPr>
          <w:rFonts w:ascii="SimSun" w:hAnsi="SimSun" w:eastAsia="SimSun" w:cs="SimSun"/>
          <w:sz w:val="21"/>
          <w:szCs w:val="21"/>
          <w:spacing w:val="-3"/>
        </w:rPr>
        <w:t>提出的具体问题，并进行分析。</w:t>
      </w:r>
    </w:p>
    <w:p>
      <w:pPr>
        <w:spacing w:line="127" w:lineRule="exact"/>
        <w:rPr/>
      </w:pPr>
      <w:r/>
    </w:p>
    <w:tbl>
      <w:tblPr>
        <w:tblStyle w:val="TableNormal"/>
        <w:tblW w:w="7680"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6" w:type="dxa"/>
            <w:vAlign w:val="top"/>
          </w:tcPr>
          <w:p>
            <w:pPr>
              <w:pStyle w:val="TableText"/>
              <w:ind w:left="1151"/>
              <w:spacing w:before="91" w:line="219" w:lineRule="auto"/>
              <w:rPr>
                <w:sz w:val="16"/>
                <w:szCs w:val="16"/>
              </w:rPr>
            </w:pPr>
            <w:r>
              <w:rPr>
                <w:sz w:val="16"/>
                <w:szCs w:val="16"/>
                <w:spacing w:val="-4"/>
              </w:rPr>
              <w:t>等 级 要 求</w:t>
            </w:r>
          </w:p>
        </w:tc>
        <w:tc>
          <w:tcPr>
            <w:tcW w:w="3780" w:type="dxa"/>
            <w:vAlign w:val="top"/>
          </w:tcPr>
          <w:p>
            <w:pPr>
              <w:pStyle w:val="TableText"/>
              <w:ind w:left="1574"/>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44" w:type="dxa"/>
            <w:vAlign w:val="top"/>
          </w:tcPr>
          <w:p>
            <w:pPr>
              <w:pStyle w:val="TableText"/>
              <w:ind w:left="245"/>
              <w:spacing w:before="271" w:line="183" w:lineRule="auto"/>
              <w:rPr>
                <w:sz w:val="16"/>
                <w:szCs w:val="16"/>
              </w:rPr>
            </w:pPr>
            <w:r>
              <w:rPr>
                <w:sz w:val="16"/>
                <w:szCs w:val="16"/>
                <w:spacing w:val="-3"/>
              </w:rPr>
              <w:t>3.4</w:t>
            </w:r>
          </w:p>
        </w:tc>
        <w:tc>
          <w:tcPr>
            <w:tcW w:w="3156" w:type="dxa"/>
            <w:vAlign w:val="top"/>
          </w:tcPr>
          <w:p>
            <w:pPr>
              <w:pStyle w:val="TableText"/>
              <w:ind w:left="120" w:right="16" w:firstLine="140"/>
              <w:spacing w:before="100" w:line="271" w:lineRule="auto"/>
              <w:rPr>
                <w:sz w:val="16"/>
                <w:szCs w:val="16"/>
              </w:rPr>
            </w:pPr>
            <w:r>
              <w:rPr>
                <w:sz w:val="16"/>
                <w:szCs w:val="16"/>
                <w:spacing w:val="-1"/>
              </w:rPr>
              <w:t>收集、存储并使用平台性能数据，以验证</w:t>
            </w:r>
            <w:r>
              <w:rPr>
                <w:sz w:val="16"/>
                <w:szCs w:val="16"/>
                <w:spacing w:val="5"/>
              </w:rPr>
              <w:t xml:space="preserve"> </w:t>
            </w:r>
            <w:r>
              <w:rPr>
                <w:sz w:val="16"/>
                <w:szCs w:val="16"/>
                <w:spacing w:val="-1"/>
              </w:rPr>
              <w:t>该平台符合业务绩效需要和容量要求</w:t>
            </w:r>
          </w:p>
        </w:tc>
        <w:tc>
          <w:tcPr>
            <w:tcW w:w="3780" w:type="dxa"/>
            <w:vAlign w:val="top"/>
          </w:tcPr>
          <w:p>
            <w:pPr>
              <w:pStyle w:val="TableText"/>
              <w:ind w:left="274"/>
              <w:spacing w:before="230" w:line="219" w:lineRule="auto"/>
              <w:rPr>
                <w:sz w:val="16"/>
                <w:szCs w:val="16"/>
              </w:rPr>
            </w:pPr>
            <w:r>
              <w:rPr>
                <w:sz w:val="16"/>
                <w:szCs w:val="16"/>
              </w:rPr>
              <w:t>●平台性能数据列表</w:t>
            </w:r>
          </w:p>
        </w:tc>
      </w:tr>
    </w:tbl>
    <w:p>
      <w:pPr>
        <w:ind w:left="330"/>
        <w:spacing w:before="20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224" w:firstLine="419"/>
        <w:spacing w:before="59" w:line="260" w:lineRule="auto"/>
        <w:rPr>
          <w:rFonts w:ascii="SimSun" w:hAnsi="SimSun" w:eastAsia="SimSun" w:cs="SimSun"/>
          <w:sz w:val="21"/>
          <w:szCs w:val="21"/>
        </w:rPr>
      </w:pPr>
      <w:r>
        <w:rPr>
          <w:rFonts w:ascii="SimSun" w:hAnsi="SimSun" w:eastAsia="SimSun" w:cs="SimSun"/>
          <w:sz w:val="21"/>
          <w:szCs w:val="21"/>
          <w:spacing w:val="3"/>
        </w:rPr>
        <w:t>透明性和可见性是数据管理平台监控的关键原</w:t>
      </w:r>
      <w:r>
        <w:rPr>
          <w:rFonts w:ascii="SimSun" w:hAnsi="SimSun" w:eastAsia="SimSun" w:cs="SimSun"/>
          <w:sz w:val="21"/>
          <w:szCs w:val="21"/>
          <w:spacing w:val="2"/>
        </w:rPr>
        <w:t>则，监控的一种最佳实践是仪表</w:t>
      </w:r>
      <w:r>
        <w:rPr>
          <w:rFonts w:ascii="SimSun" w:hAnsi="SimSun" w:eastAsia="SimSun" w:cs="SimSun"/>
          <w:sz w:val="21"/>
          <w:szCs w:val="21"/>
        </w:rPr>
        <w:t xml:space="preserve"> </w:t>
      </w:r>
      <w:r>
        <w:rPr>
          <w:rFonts w:ascii="SimSun" w:hAnsi="SimSun" w:eastAsia="SimSun" w:cs="SimSun"/>
          <w:sz w:val="21"/>
          <w:szCs w:val="21"/>
          <w:spacing w:val="2"/>
        </w:rPr>
        <w:t>盘，仪表盘可以展示数据交付活动的状态，让相关方看见并理解数据管理工作，比</w:t>
      </w:r>
      <w:r>
        <w:rPr>
          <w:rFonts w:ascii="SimSun" w:hAnsi="SimSun" w:eastAsia="SimSun" w:cs="SimSun"/>
          <w:sz w:val="21"/>
          <w:szCs w:val="21"/>
        </w:rPr>
        <w:t xml:space="preserve"> </w:t>
      </w:r>
      <w:r>
        <w:rPr>
          <w:rFonts w:ascii="SimSun" w:hAnsi="SimSun" w:eastAsia="SimSun" w:cs="SimSun"/>
          <w:sz w:val="21"/>
          <w:szCs w:val="21"/>
          <w:spacing w:val="2"/>
        </w:rPr>
        <w:t>如，监控平均查询响应时间、每天访问的用户数量。另外定期收集平台</w:t>
      </w:r>
      <w:r>
        <w:rPr>
          <w:rFonts w:ascii="SimSun" w:hAnsi="SimSun" w:eastAsia="SimSun" w:cs="SimSun"/>
          <w:sz w:val="21"/>
          <w:szCs w:val="21"/>
          <w:spacing w:val="1"/>
        </w:rPr>
        <w:t>用户的反馈</w:t>
      </w:r>
      <w:r>
        <w:rPr>
          <w:rFonts w:ascii="SimSun" w:hAnsi="SimSun" w:eastAsia="SimSun" w:cs="SimSun"/>
          <w:sz w:val="21"/>
          <w:szCs w:val="21"/>
        </w:rPr>
        <w:t xml:space="preserve"> </w:t>
      </w:r>
      <w:r>
        <w:rPr>
          <w:rFonts w:ascii="SimSun" w:hAnsi="SimSun" w:eastAsia="SimSun" w:cs="SimSun"/>
          <w:sz w:val="21"/>
          <w:szCs w:val="21"/>
          <w:spacing w:val="-7"/>
        </w:rPr>
        <w:t>也很有效。</w:t>
      </w:r>
    </w:p>
    <w:p>
      <w:pPr>
        <w:ind w:left="435"/>
        <w:spacing w:before="54"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Level</w:t>
      </w:r>
      <w:r>
        <w:rPr>
          <w:rFonts w:ascii="Times New Roman" w:hAnsi="Times New Roman" w:eastAsia="Times New Roman" w:cs="Times New Roman"/>
          <w:sz w:val="21"/>
          <w:szCs w:val="21"/>
          <w:b/>
          <w:bCs/>
          <w:spacing w:val="55"/>
        </w:rPr>
        <w:t xml:space="preserve"> </w:t>
      </w: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b/>
          <w:bCs/>
          <w:spacing w:val="42"/>
          <w:w w:val="101"/>
        </w:rPr>
        <w:t xml:space="preserve"> </w:t>
      </w:r>
      <w:r>
        <w:rPr>
          <w:rFonts w:ascii="SimHei" w:hAnsi="SimHei" w:eastAsia="SimHei" w:cs="SimHei"/>
          <w:sz w:val="21"/>
          <w:szCs w:val="21"/>
          <w:b/>
          <w:bCs/>
          <w:spacing w:val="-1"/>
        </w:rPr>
        <w:t>量化级</w:t>
      </w:r>
    </w:p>
    <w:p>
      <w:pPr>
        <w:spacing w:line="120" w:lineRule="exact"/>
        <w:rPr/>
      </w:pPr>
      <w:r/>
    </w:p>
    <w:tbl>
      <w:tblPr>
        <w:tblStyle w:val="TableNormal"/>
        <w:tblW w:w="7680" w:type="dxa"/>
        <w:tblInd w:w="3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41" w:hRule="atLeast"/>
        </w:trPr>
        <w:tc>
          <w:tcPr>
            <w:tcW w:w="744" w:type="dxa"/>
            <w:vAlign w:val="top"/>
          </w:tcPr>
          <w:p>
            <w:pPr>
              <w:pStyle w:val="TableText"/>
              <w:ind w:left="204"/>
              <w:spacing w:before="92" w:line="221" w:lineRule="auto"/>
              <w:rPr>
                <w:sz w:val="16"/>
                <w:szCs w:val="16"/>
              </w:rPr>
            </w:pPr>
            <w:r>
              <w:rPr>
                <w:sz w:val="16"/>
                <w:szCs w:val="16"/>
                <w:spacing w:val="-2"/>
              </w:rPr>
              <w:t>序号</w:t>
            </w:r>
          </w:p>
        </w:tc>
        <w:tc>
          <w:tcPr>
            <w:tcW w:w="3156" w:type="dxa"/>
            <w:vAlign w:val="top"/>
          </w:tcPr>
          <w:p>
            <w:pPr>
              <w:pStyle w:val="TableText"/>
              <w:ind w:left="1171"/>
              <w:spacing w:before="91" w:line="219" w:lineRule="auto"/>
              <w:rPr>
                <w:sz w:val="16"/>
                <w:szCs w:val="16"/>
              </w:rPr>
            </w:pPr>
            <w:r>
              <w:rPr>
                <w:sz w:val="16"/>
                <w:szCs w:val="16"/>
                <w:spacing w:val="-4"/>
              </w:rPr>
              <w:t>等 级 要 求</w:t>
            </w:r>
          </w:p>
        </w:tc>
        <w:tc>
          <w:tcPr>
            <w:tcW w:w="3780" w:type="dxa"/>
            <w:vAlign w:val="top"/>
          </w:tcPr>
          <w:p>
            <w:pPr>
              <w:pStyle w:val="TableText"/>
              <w:ind w:left="1584"/>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18" w:hRule="atLeast"/>
        </w:trPr>
        <w:tc>
          <w:tcPr>
            <w:tcW w:w="744" w:type="dxa"/>
            <w:vAlign w:val="top"/>
          </w:tcPr>
          <w:p>
            <w:pPr>
              <w:pStyle w:val="TableText"/>
              <w:ind w:left="244"/>
              <w:spacing w:before="270" w:line="184" w:lineRule="auto"/>
              <w:rPr>
                <w:sz w:val="16"/>
                <w:szCs w:val="16"/>
              </w:rPr>
            </w:pPr>
            <w:r>
              <w:rPr>
                <w:sz w:val="16"/>
                <w:szCs w:val="16"/>
                <w:spacing w:val="-2"/>
              </w:rPr>
              <w:t>4.1</w:t>
            </w:r>
          </w:p>
        </w:tc>
        <w:tc>
          <w:tcPr>
            <w:tcW w:w="3156" w:type="dxa"/>
            <w:vAlign w:val="top"/>
          </w:tcPr>
          <w:p>
            <w:pPr>
              <w:pStyle w:val="TableText"/>
              <w:ind w:left="100" w:right="10" w:firstLine="160"/>
              <w:spacing w:before="109" w:line="278" w:lineRule="auto"/>
              <w:rPr>
                <w:sz w:val="16"/>
                <w:szCs w:val="16"/>
              </w:rPr>
            </w:pPr>
            <w:r>
              <w:rPr>
                <w:sz w:val="16"/>
                <w:szCs w:val="16"/>
                <w:spacing w:val="-1"/>
              </w:rPr>
              <w:t>对数据管理平台的定性和定量性能指标进</w:t>
            </w:r>
            <w:r>
              <w:rPr>
                <w:sz w:val="16"/>
                <w:szCs w:val="16"/>
                <w:spacing w:val="11"/>
              </w:rPr>
              <w:t xml:space="preserve"> </w:t>
            </w:r>
            <w:r>
              <w:rPr>
                <w:sz w:val="16"/>
                <w:szCs w:val="16"/>
                <w:spacing w:val="-2"/>
              </w:rPr>
              <w:t>行分析</w:t>
            </w:r>
          </w:p>
        </w:tc>
        <w:tc>
          <w:tcPr>
            <w:tcW w:w="3780" w:type="dxa"/>
            <w:vAlign w:val="top"/>
          </w:tcPr>
          <w:p>
            <w:pPr>
              <w:pStyle w:val="TableText"/>
              <w:ind w:left="274"/>
              <w:spacing w:before="230" w:line="219" w:lineRule="auto"/>
              <w:rPr>
                <w:sz w:val="16"/>
                <w:szCs w:val="16"/>
              </w:rPr>
            </w:pPr>
            <w:r>
              <w:rPr>
                <w:sz w:val="16"/>
                <w:szCs w:val="16"/>
              </w:rPr>
              <w:t>●数据管理平台性能指标分析记录</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15" w:right="142" w:firstLine="419"/>
        <w:spacing w:before="70" w:line="246" w:lineRule="auto"/>
        <w:rPr>
          <w:rFonts w:ascii="SimSun" w:hAnsi="SimSun" w:eastAsia="SimSun" w:cs="SimSun"/>
          <w:sz w:val="21"/>
          <w:szCs w:val="21"/>
        </w:rPr>
      </w:pPr>
      <w:r>
        <w:rPr>
          <w:rFonts w:ascii="SimSun" w:hAnsi="SimSun" w:eastAsia="SimSun" w:cs="SimSun"/>
          <w:sz w:val="21"/>
          <w:szCs w:val="21"/>
          <w:spacing w:val="-1"/>
        </w:rPr>
        <w:t>对使用情况的统计数据和使用模式进行定期分析是至关重要的。对数据</w:t>
      </w:r>
      <w:r>
        <w:rPr>
          <w:rFonts w:ascii="SimSun" w:hAnsi="SimSun" w:eastAsia="SimSun" w:cs="SimSun"/>
          <w:sz w:val="21"/>
          <w:szCs w:val="21"/>
          <w:spacing w:val="-2"/>
        </w:rPr>
        <w:t>、查询、</w:t>
      </w:r>
      <w:r>
        <w:rPr>
          <w:rFonts w:ascii="SimSun" w:hAnsi="SimSun" w:eastAsia="SimSun" w:cs="SimSun"/>
          <w:sz w:val="21"/>
          <w:szCs w:val="21"/>
        </w:rPr>
        <w:t xml:space="preserve"> </w:t>
      </w:r>
      <w:r>
        <w:rPr>
          <w:rFonts w:ascii="SimSun" w:hAnsi="SimSun" w:eastAsia="SimSun" w:cs="SimSun"/>
          <w:sz w:val="21"/>
          <w:szCs w:val="21"/>
        </w:rPr>
        <w:t>报表活动的频率和资源占用情况进行统计分析，有助于对性能进行优化。</w:t>
      </w:r>
    </w:p>
    <w:p>
      <w:pPr>
        <w:ind w:left="15" w:right="159" w:firstLine="419"/>
        <w:spacing w:before="50" w:line="246" w:lineRule="auto"/>
        <w:rPr>
          <w:rFonts w:ascii="SimSun" w:hAnsi="SimSun" w:eastAsia="SimSun" w:cs="SimSun"/>
          <w:sz w:val="21"/>
          <w:szCs w:val="21"/>
        </w:rPr>
      </w:pPr>
      <w:r>
        <w:rPr>
          <w:rFonts w:ascii="SimSun" w:hAnsi="SimSun" w:eastAsia="SimSun" w:cs="SimSun"/>
          <w:sz w:val="21"/>
          <w:szCs w:val="21"/>
          <w:spacing w:val="-2"/>
        </w:rPr>
        <w:t>应使用统计和其他定量技术，对数据管理平台的定性和定量性能指标进行分析，</w:t>
      </w:r>
      <w:r>
        <w:rPr>
          <w:rFonts w:ascii="SimSun" w:hAnsi="SimSun" w:eastAsia="SimSun" w:cs="SimSun"/>
          <w:sz w:val="21"/>
          <w:szCs w:val="21"/>
          <w:spacing w:val="13"/>
        </w:rPr>
        <w:t xml:space="preserve"> </w:t>
      </w:r>
      <w:r>
        <w:rPr>
          <w:rFonts w:ascii="SimSun" w:hAnsi="SimSun" w:eastAsia="SimSun" w:cs="SimSun"/>
          <w:sz w:val="21"/>
          <w:szCs w:val="21"/>
          <w:spacing w:val="-8"/>
        </w:rPr>
        <w:t>以支持平台变更决定。</w:t>
      </w:r>
    </w:p>
    <w:p>
      <w:pPr>
        <w:ind w:left="437"/>
        <w:spacing w:before="66" w:line="221" w:lineRule="auto"/>
        <w:rPr>
          <w:rFonts w:ascii="SimHei" w:hAnsi="SimHei" w:eastAsia="SimHei" w:cs="SimHei"/>
          <w:sz w:val="21"/>
          <w:szCs w:val="21"/>
        </w:rPr>
      </w:pPr>
      <w:r>
        <w:rPr>
          <w:rFonts w:ascii="SimSun" w:hAnsi="SimSun" w:eastAsia="SimSun" w:cs="SimSun"/>
          <w:sz w:val="21"/>
          <w:szCs w:val="21"/>
          <w:b/>
          <w:bCs/>
          <w:spacing w:val="-9"/>
        </w:rPr>
        <w:t>Level</w:t>
      </w:r>
      <w:r>
        <w:rPr>
          <w:rFonts w:ascii="SimSun" w:hAnsi="SimSun" w:eastAsia="SimSun" w:cs="SimSun"/>
          <w:sz w:val="21"/>
          <w:szCs w:val="21"/>
          <w:spacing w:val="-9"/>
        </w:rPr>
        <w:t xml:space="preserve"> </w:t>
      </w:r>
      <w:r>
        <w:rPr>
          <w:rFonts w:ascii="SimSun" w:hAnsi="SimSun" w:eastAsia="SimSun" w:cs="SimSun"/>
          <w:sz w:val="21"/>
          <w:szCs w:val="21"/>
          <w:b/>
          <w:bCs/>
          <w:spacing w:val="-9"/>
        </w:rPr>
        <w:t>5:</w:t>
      </w:r>
      <w:r>
        <w:rPr>
          <w:rFonts w:ascii="SimSun" w:hAnsi="SimSun" w:eastAsia="SimSun" w:cs="SimSun"/>
          <w:sz w:val="21"/>
          <w:szCs w:val="21"/>
          <w:spacing w:val="-24"/>
        </w:rPr>
        <w:t xml:space="preserve"> </w:t>
      </w:r>
      <w:r>
        <w:rPr>
          <w:rFonts w:ascii="SimHei" w:hAnsi="SimHei" w:eastAsia="SimHei" w:cs="SimHei"/>
          <w:sz w:val="21"/>
          <w:szCs w:val="21"/>
          <w:b/>
          <w:bCs/>
          <w:spacing w:val="-9"/>
        </w:rPr>
        <w:t>优化级</w:t>
      </w:r>
    </w:p>
    <w:p>
      <w:pPr>
        <w:spacing w:line="110" w:lineRule="exact"/>
        <w:rPr/>
      </w:pPr>
      <w:r/>
    </w:p>
    <w:tbl>
      <w:tblPr>
        <w:tblStyle w:val="TableNormal"/>
        <w:tblW w:w="7680" w:type="dxa"/>
        <w:tblInd w:w="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6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0"/>
              <w:spacing w:before="101" w:line="219" w:lineRule="auto"/>
              <w:rPr>
                <w:sz w:val="16"/>
                <w:szCs w:val="16"/>
              </w:rPr>
            </w:pPr>
            <w:r>
              <w:rPr>
                <w:sz w:val="16"/>
                <w:szCs w:val="16"/>
                <w:spacing w:val="-4"/>
              </w:rPr>
              <w:t>等 级 要 求</w:t>
            </w:r>
          </w:p>
        </w:tc>
        <w:tc>
          <w:tcPr>
            <w:tcW w:w="378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4"/>
              <w:spacing w:before="261" w:line="184" w:lineRule="auto"/>
              <w:rPr>
                <w:sz w:val="16"/>
                <w:szCs w:val="16"/>
              </w:rPr>
            </w:pPr>
            <w:r>
              <w:rPr>
                <w:sz w:val="16"/>
                <w:szCs w:val="16"/>
                <w:spacing w:val="-3"/>
              </w:rPr>
              <w:t>5.1</w:t>
            </w:r>
          </w:p>
        </w:tc>
        <w:tc>
          <w:tcPr>
            <w:tcW w:w="3156" w:type="dxa"/>
            <w:vAlign w:val="top"/>
          </w:tcPr>
          <w:p>
            <w:pPr>
              <w:pStyle w:val="TableText"/>
              <w:ind w:left="90" w:right="9" w:firstLine="189"/>
              <w:spacing w:before="109" w:line="273" w:lineRule="auto"/>
              <w:rPr>
                <w:sz w:val="16"/>
                <w:szCs w:val="16"/>
              </w:rPr>
            </w:pPr>
            <w:r>
              <w:rPr>
                <w:sz w:val="16"/>
                <w:szCs w:val="16"/>
                <w:spacing w:val="-2"/>
              </w:rPr>
              <w:t>以定量方式表达平台改进目标，并通过治</w:t>
            </w:r>
            <w:r>
              <w:rPr>
                <w:sz w:val="16"/>
                <w:szCs w:val="16"/>
                <w:spacing w:val="10"/>
              </w:rPr>
              <w:t xml:space="preserve"> </w:t>
            </w:r>
            <w:r>
              <w:rPr>
                <w:sz w:val="16"/>
                <w:szCs w:val="16"/>
                <w:spacing w:val="-2"/>
              </w:rPr>
              <w:t>理批准</w:t>
            </w:r>
          </w:p>
        </w:tc>
        <w:tc>
          <w:tcPr>
            <w:tcW w:w="3780" w:type="dxa"/>
            <w:vAlign w:val="top"/>
          </w:tcPr>
          <w:p>
            <w:pPr>
              <w:pStyle w:val="TableText"/>
              <w:ind w:left="254"/>
              <w:spacing w:before="220" w:line="219" w:lineRule="auto"/>
              <w:rPr>
                <w:sz w:val="16"/>
                <w:szCs w:val="16"/>
              </w:rPr>
            </w:pPr>
            <w:r>
              <w:rPr>
                <w:sz w:val="16"/>
                <w:szCs w:val="16"/>
              </w:rPr>
              <w:t>●资源占用、响应时间统计报表</w:t>
            </w:r>
          </w:p>
        </w:tc>
      </w:tr>
    </w:tbl>
    <w:p>
      <w:pPr>
        <w:ind w:left="330"/>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435"/>
        <w:spacing w:before="69" w:line="219" w:lineRule="auto"/>
        <w:rPr>
          <w:rFonts w:ascii="SimSun" w:hAnsi="SimSun" w:eastAsia="SimSun" w:cs="SimSun"/>
          <w:sz w:val="21"/>
          <w:szCs w:val="21"/>
        </w:rPr>
      </w:pPr>
      <w:r>
        <w:rPr>
          <w:rFonts w:ascii="SimSun" w:hAnsi="SimSun" w:eastAsia="SimSun" w:cs="SimSun"/>
          <w:sz w:val="21"/>
          <w:szCs w:val="21"/>
        </w:rPr>
        <w:t>基于使用模式和统计数据而创建索引和聚集是最佳</w:t>
      </w:r>
      <w:r>
        <w:rPr>
          <w:rFonts w:ascii="SimSun" w:hAnsi="SimSun" w:eastAsia="SimSun" w:cs="SimSun"/>
          <w:sz w:val="21"/>
          <w:szCs w:val="21"/>
          <w:spacing w:val="-1"/>
        </w:rPr>
        <w:t>的优化手段。</w:t>
      </w:r>
    </w:p>
    <w:p>
      <w:pPr>
        <w:spacing w:line="219" w:lineRule="auto"/>
        <w:sectPr>
          <w:footerReference w:type="default" r:id="rId392"/>
          <w:pgSz w:w="8870" w:h="13400"/>
          <w:pgMar w:top="400" w:right="575" w:bottom="607" w:left="404" w:header="0" w:footer="399" w:gutter="0"/>
        </w:sectPr>
        <w:rPr>
          <w:rFonts w:ascii="SimSun" w:hAnsi="SimSun" w:eastAsia="SimSun" w:cs="SimSun"/>
          <w:sz w:val="21"/>
          <w:szCs w:val="21"/>
        </w:rPr>
      </w:pPr>
    </w:p>
    <w:p>
      <w:pPr>
        <w:ind w:left="139"/>
        <w:spacing w:before="19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8637"/>
            <wp:effectExtent l="0" t="0" r="0" b="0"/>
            <wp:docPr id="268" name="IM 268"/>
            <wp:cNvGraphicFramePr/>
            <a:graphic>
              <a:graphicData uri="http://schemas.openxmlformats.org/drawingml/2006/picture">
                <pic:pic>
                  <pic:nvPicPr>
                    <pic:cNvPr id="268" name="IM 268"/>
                    <pic:cNvPicPr/>
                  </pic:nvPicPr>
                  <pic:blipFill>
                    <a:blip r:embed="rId394"/>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ind w:left="299" w:right="60" w:firstLine="419"/>
        <w:spacing w:before="280" w:line="239" w:lineRule="auto"/>
        <w:rPr>
          <w:rFonts w:ascii="SimSun" w:hAnsi="SimSun" w:eastAsia="SimSun" w:cs="SimSun"/>
          <w:sz w:val="22"/>
          <w:szCs w:val="22"/>
        </w:rPr>
      </w:pPr>
      <w:r>
        <w:rPr>
          <w:rFonts w:ascii="SimSun" w:hAnsi="SimSun" w:eastAsia="SimSun" w:cs="SimSun"/>
          <w:sz w:val="22"/>
          <w:szCs w:val="22"/>
          <w:spacing w:val="-8"/>
        </w:rPr>
        <w:t>应通过对资源占用情况、响应时间进行统计分析，了解瓶颈在哪里，应该在哪</w:t>
      </w:r>
      <w:r>
        <w:rPr>
          <w:rFonts w:ascii="SimSun" w:hAnsi="SimSun" w:eastAsia="SimSun" w:cs="SimSun"/>
          <w:sz w:val="22"/>
          <w:szCs w:val="22"/>
          <w:spacing w:val="15"/>
        </w:rPr>
        <w:t xml:space="preserve"> </w:t>
      </w:r>
      <w:r>
        <w:rPr>
          <w:rFonts w:ascii="SimSun" w:hAnsi="SimSun" w:eastAsia="SimSun" w:cs="SimSun"/>
          <w:sz w:val="22"/>
          <w:szCs w:val="22"/>
          <w:spacing w:val="-10"/>
        </w:rPr>
        <w:t>里进行优化，并经领导批准，形成优化方案。</w:t>
      </w:r>
    </w:p>
    <w:p>
      <w:pPr>
        <w:spacing w:line="114" w:lineRule="exact"/>
        <w:rPr/>
      </w:pPr>
      <w:r/>
    </w:p>
    <w:tbl>
      <w:tblPr>
        <w:tblStyle w:val="TableNormal"/>
        <w:tblW w:w="7679"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70"/>
      </w:tblGrid>
      <w:tr>
        <w:trPr>
          <w:trHeight w:val="352"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5"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9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88" w:hRule="atLeast"/>
        </w:trPr>
        <w:tc>
          <w:tcPr>
            <w:tcW w:w="744" w:type="dxa"/>
            <w:vAlign w:val="top"/>
          </w:tcPr>
          <w:p>
            <w:pPr>
              <w:spacing w:line="356" w:lineRule="auto"/>
              <w:rPr>
                <w:rFonts w:ascii="Arial"/>
                <w:sz w:val="21"/>
              </w:rPr>
            </w:pPr>
            <w:r/>
          </w:p>
          <w:p>
            <w:pPr>
              <w:pStyle w:val="TableText"/>
              <w:ind w:left="245"/>
              <w:spacing w:before="52" w:line="183" w:lineRule="auto"/>
              <w:rPr>
                <w:sz w:val="16"/>
                <w:szCs w:val="16"/>
              </w:rPr>
            </w:pPr>
            <w:r>
              <w:rPr>
                <w:sz w:val="16"/>
                <w:szCs w:val="16"/>
                <w:spacing w:val="-3"/>
              </w:rPr>
              <w:t>5.2</w:t>
            </w:r>
          </w:p>
        </w:tc>
        <w:tc>
          <w:tcPr>
            <w:tcW w:w="3165" w:type="dxa"/>
            <w:vAlign w:val="top"/>
          </w:tcPr>
          <w:p>
            <w:pPr>
              <w:pStyle w:val="TableText"/>
              <w:ind w:left="111" w:right="12" w:firstLine="160"/>
              <w:spacing w:before="249" w:line="271" w:lineRule="auto"/>
              <w:rPr>
                <w:sz w:val="16"/>
                <w:szCs w:val="16"/>
              </w:rPr>
            </w:pPr>
            <w:r>
              <w:rPr>
                <w:sz w:val="16"/>
                <w:szCs w:val="16"/>
                <w:spacing w:val="-1"/>
              </w:rPr>
              <w:t>组织基于统计性能数据和因果分析持续改</w:t>
            </w:r>
            <w:r>
              <w:rPr>
                <w:sz w:val="16"/>
                <w:szCs w:val="16"/>
                <w:spacing w:val="8"/>
              </w:rPr>
              <w:t xml:space="preserve"> </w:t>
            </w:r>
            <w:r>
              <w:rPr>
                <w:sz w:val="16"/>
                <w:szCs w:val="16"/>
                <w:spacing w:val="-1"/>
              </w:rPr>
              <w:t>进平台，同时改进预测模型</w:t>
            </w:r>
          </w:p>
        </w:tc>
        <w:tc>
          <w:tcPr>
            <w:tcW w:w="3770" w:type="dxa"/>
            <w:vAlign w:val="top"/>
          </w:tcPr>
          <w:p>
            <w:pPr>
              <w:pStyle w:val="TableText"/>
              <w:ind w:left="276"/>
              <w:spacing w:before="89" w:line="219" w:lineRule="auto"/>
              <w:rPr>
                <w:sz w:val="16"/>
                <w:szCs w:val="16"/>
              </w:rPr>
            </w:pPr>
            <w:r>
              <w:rPr>
                <w:sz w:val="16"/>
                <w:szCs w:val="16"/>
                <w:spacing w:val="1"/>
              </w:rPr>
              <w:t>●性能预测模型</w:t>
            </w:r>
          </w:p>
          <w:p>
            <w:pPr>
              <w:pStyle w:val="TableText"/>
              <w:ind w:left="276"/>
              <w:spacing w:before="110" w:line="219" w:lineRule="auto"/>
              <w:rPr>
                <w:sz w:val="16"/>
                <w:szCs w:val="16"/>
              </w:rPr>
            </w:pPr>
            <w:r>
              <w:rPr>
                <w:sz w:val="16"/>
                <w:szCs w:val="16"/>
              </w:rPr>
              <w:t>●预测模型改进措施</w:t>
            </w:r>
          </w:p>
          <w:p>
            <w:pPr>
              <w:pStyle w:val="TableText"/>
              <w:ind w:left="276"/>
              <w:spacing w:before="90" w:line="219" w:lineRule="auto"/>
              <w:rPr>
                <w:sz w:val="16"/>
                <w:szCs w:val="16"/>
              </w:rPr>
            </w:pPr>
            <w:r>
              <w:rPr>
                <w:sz w:val="16"/>
                <w:szCs w:val="16"/>
              </w:rPr>
              <w:t>●预测模型改进过程记录</w:t>
            </w:r>
          </w:p>
        </w:tc>
      </w:tr>
    </w:tbl>
    <w:p>
      <w:pPr>
        <w:ind w:left="60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99" w:right="64" w:firstLine="419"/>
        <w:spacing w:before="36" w:line="250" w:lineRule="auto"/>
        <w:rPr>
          <w:rFonts w:ascii="SimSun" w:hAnsi="SimSun" w:eastAsia="SimSun" w:cs="SimSun"/>
          <w:sz w:val="22"/>
          <w:szCs w:val="22"/>
        </w:rPr>
      </w:pPr>
      <w:r>
        <w:rPr>
          <w:rFonts w:ascii="SimSun" w:hAnsi="SimSun" w:eastAsia="SimSun" w:cs="SimSun"/>
          <w:sz w:val="22"/>
          <w:szCs w:val="22"/>
          <w:spacing w:val="-8"/>
        </w:rPr>
        <w:t>通过使用性能预测模型，对数据管理平台进行优化。运行中的数据管理平台，</w:t>
      </w:r>
      <w:r>
        <w:rPr>
          <w:rFonts w:ascii="SimSun" w:hAnsi="SimSun" w:eastAsia="SimSun" w:cs="SimSun"/>
          <w:sz w:val="22"/>
          <w:szCs w:val="22"/>
          <w:spacing w:val="1"/>
        </w:rPr>
        <w:t xml:space="preserve"> </w:t>
      </w:r>
      <w:r>
        <w:rPr>
          <w:rFonts w:ascii="SimSun" w:hAnsi="SimSun" w:eastAsia="SimSun" w:cs="SimSun"/>
          <w:sz w:val="22"/>
          <w:szCs w:val="22"/>
          <w:spacing w:val="-9"/>
        </w:rPr>
        <w:t>由于受系统环境的制约，其性能会慢慢下降，可利用</w:t>
      </w:r>
      <w:r>
        <w:rPr>
          <w:rFonts w:ascii="Times New Roman" w:hAnsi="Times New Roman" w:eastAsia="Times New Roman" w:cs="Times New Roman"/>
          <w:sz w:val="22"/>
          <w:szCs w:val="22"/>
          <w:spacing w:val="-9"/>
        </w:rPr>
        <w:t>kalman </w:t>
      </w:r>
      <w:r>
        <w:rPr>
          <w:rFonts w:ascii="SimSun" w:hAnsi="SimSun" w:eastAsia="SimSun" w:cs="SimSun"/>
          <w:sz w:val="22"/>
          <w:szCs w:val="22"/>
          <w:spacing w:val="-9"/>
        </w:rPr>
        <w:t>等原理预测数据库的性</w:t>
      </w:r>
      <w:r>
        <w:rPr>
          <w:rFonts w:ascii="SimSun" w:hAnsi="SimSun" w:eastAsia="SimSun" w:cs="SimSun"/>
          <w:sz w:val="22"/>
          <w:szCs w:val="22"/>
          <w:spacing w:val="14"/>
        </w:rPr>
        <w:t xml:space="preserve"> </w:t>
      </w:r>
      <w:r>
        <w:rPr>
          <w:rFonts w:ascii="SimSun" w:hAnsi="SimSun" w:eastAsia="SimSun" w:cs="SimSun"/>
          <w:sz w:val="22"/>
          <w:szCs w:val="22"/>
          <w:spacing w:val="-8"/>
        </w:rPr>
        <w:t>能。实际应用时应调整网络、服务器等相互依存的组成部分，使其性能同步达到最</w:t>
      </w:r>
      <w:r>
        <w:rPr>
          <w:rFonts w:ascii="SimSun" w:hAnsi="SimSun" w:eastAsia="SimSun" w:cs="SimSun"/>
          <w:sz w:val="22"/>
          <w:szCs w:val="22"/>
          <w:spacing w:val="7"/>
        </w:rPr>
        <w:t xml:space="preserve"> </w:t>
      </w:r>
      <w:r>
        <w:rPr>
          <w:rFonts w:ascii="SimSun" w:hAnsi="SimSun" w:eastAsia="SimSun" w:cs="SimSun"/>
          <w:sz w:val="22"/>
          <w:szCs w:val="22"/>
          <w:spacing w:val="-10"/>
        </w:rPr>
        <w:t>佳。同时，应考虑在提高数据库性能的同时，兼顾安全的平衡。</w:t>
      </w:r>
    </w:p>
    <w:p>
      <w:pPr>
        <w:ind w:left="299" w:right="65" w:firstLine="419"/>
        <w:spacing w:before="50" w:line="253" w:lineRule="auto"/>
        <w:rPr>
          <w:rFonts w:ascii="SimSun" w:hAnsi="SimSun" w:eastAsia="SimSun" w:cs="SimSun"/>
          <w:sz w:val="22"/>
          <w:szCs w:val="22"/>
        </w:rPr>
      </w:pPr>
      <w:r>
        <w:rPr>
          <w:rFonts w:ascii="SimSun" w:hAnsi="SimSun" w:eastAsia="SimSun" w:cs="SimSun"/>
          <w:sz w:val="22"/>
          <w:szCs w:val="22"/>
          <w:spacing w:val="-8"/>
        </w:rPr>
        <w:t>将平台变化的影响与预测模型进行比较并分析，以改进预测模型，提高预测模</w:t>
      </w:r>
      <w:r>
        <w:rPr>
          <w:rFonts w:ascii="SimSun" w:hAnsi="SimSun" w:eastAsia="SimSun" w:cs="SimSun"/>
          <w:sz w:val="22"/>
          <w:szCs w:val="22"/>
          <w:spacing w:val="10"/>
        </w:rPr>
        <w:t xml:space="preserve"> </w:t>
      </w:r>
      <w:r>
        <w:rPr>
          <w:rFonts w:ascii="SimSun" w:hAnsi="SimSun" w:eastAsia="SimSun" w:cs="SimSun"/>
          <w:sz w:val="22"/>
          <w:szCs w:val="22"/>
          <w:spacing w:val="-13"/>
        </w:rPr>
        <w:t>型的有效性，实现预纠错。</w:t>
      </w:r>
    </w:p>
    <w:p>
      <w:pPr>
        <w:spacing w:line="113" w:lineRule="exact"/>
        <w:rPr/>
      </w:pPr>
      <w:r/>
    </w:p>
    <w:tbl>
      <w:tblPr>
        <w:tblStyle w:val="TableNormal"/>
        <w:tblW w:w="768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56"/>
        <w:gridCol w:w="3760"/>
      </w:tblGrid>
      <w:tr>
        <w:trPr>
          <w:trHeight w:val="351" w:hRule="atLeast"/>
        </w:trPr>
        <w:tc>
          <w:tcPr>
            <w:tcW w:w="764" w:type="dxa"/>
            <w:vAlign w:val="top"/>
          </w:tcPr>
          <w:p>
            <w:pPr>
              <w:pStyle w:val="TableText"/>
              <w:ind w:left="224"/>
              <w:spacing w:before="102" w:line="221" w:lineRule="auto"/>
              <w:rPr/>
            </w:pPr>
            <w:r>
              <w:rPr>
                <w:spacing w:val="-2"/>
              </w:rPr>
              <w:t>序号</w:t>
            </w:r>
          </w:p>
        </w:tc>
        <w:tc>
          <w:tcPr>
            <w:tcW w:w="315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94"/>
              <w:spacing w:before="101" w:line="220" w:lineRule="auto"/>
              <w:rPr/>
            </w:pPr>
            <w:r>
              <w:rPr>
                <w:spacing w:val="-5"/>
              </w:rPr>
              <w:t>实</w:t>
            </w:r>
            <w:r>
              <w:rPr>
                <w:spacing w:val="1"/>
              </w:rPr>
              <w:t xml:space="preserve">   </w:t>
            </w:r>
            <w:r>
              <w:rPr>
                <w:spacing w:val="-5"/>
              </w:rPr>
              <w:t>例</w:t>
            </w:r>
          </w:p>
        </w:tc>
      </w:tr>
      <w:tr>
        <w:trPr>
          <w:trHeight w:val="588" w:hRule="atLeast"/>
        </w:trPr>
        <w:tc>
          <w:tcPr>
            <w:tcW w:w="764" w:type="dxa"/>
            <w:vAlign w:val="top"/>
          </w:tcPr>
          <w:p>
            <w:pPr>
              <w:pStyle w:val="TableText"/>
              <w:ind w:left="254"/>
              <w:spacing w:before="258" w:line="183" w:lineRule="auto"/>
              <w:rPr/>
            </w:pPr>
            <w:r>
              <w:rPr>
                <w:spacing w:val="-2"/>
              </w:rPr>
              <w:t>5.3</w:t>
            </w:r>
          </w:p>
        </w:tc>
        <w:tc>
          <w:tcPr>
            <w:tcW w:w="3156" w:type="dxa"/>
            <w:vAlign w:val="top"/>
          </w:tcPr>
          <w:p>
            <w:pPr>
              <w:pStyle w:val="TableText"/>
              <w:ind w:left="101" w:right="192" w:firstLine="159"/>
              <w:spacing w:before="90" w:line="263" w:lineRule="auto"/>
              <w:rPr/>
            </w:pPr>
            <w:r>
              <w:rPr>
                <w:spacing w:val="-1"/>
              </w:rPr>
              <w:t>组织在其所在的行业内分享与数据管理平</w:t>
            </w:r>
            <w:r>
              <w:rPr>
                <w:spacing w:val="9"/>
              </w:rPr>
              <w:t xml:space="preserve"> </w:t>
            </w:r>
            <w:r>
              <w:rPr/>
              <w:t>台的设计、开发、部署和运作相关的经验</w:t>
            </w:r>
          </w:p>
        </w:tc>
        <w:tc>
          <w:tcPr>
            <w:tcW w:w="3760" w:type="dxa"/>
            <w:vAlign w:val="top"/>
          </w:tcPr>
          <w:p>
            <w:pPr>
              <w:pStyle w:val="TableText"/>
              <w:ind w:left="275"/>
              <w:spacing w:before="220" w:line="219" w:lineRule="auto"/>
              <w:rPr/>
            </w:pPr>
            <w:r>
              <w:rPr>
                <w:spacing w:val="1"/>
              </w:rPr>
              <w:t>●与数据管理平台相关的发表作品</w:t>
            </w:r>
          </w:p>
        </w:tc>
      </w:tr>
    </w:tbl>
    <w:p>
      <w:pPr>
        <w:ind w:left="60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99" w:right="64" w:firstLine="419"/>
        <w:spacing w:before="57" w:line="241" w:lineRule="auto"/>
        <w:rPr>
          <w:rFonts w:ascii="SimSun" w:hAnsi="SimSun" w:eastAsia="SimSun" w:cs="SimSun"/>
          <w:sz w:val="22"/>
          <w:szCs w:val="22"/>
        </w:rPr>
      </w:pPr>
      <w:r>
        <w:rPr>
          <w:rFonts w:ascii="SimSun" w:hAnsi="SimSun" w:eastAsia="SimSun" w:cs="SimSun"/>
          <w:sz w:val="22"/>
          <w:szCs w:val="22"/>
          <w:spacing w:val="-8"/>
        </w:rPr>
        <w:t>组织数据管理专业人士应订阅专业杂志，加入网上各种论坛、专业讨论群，分</w:t>
      </w:r>
      <w:r>
        <w:rPr>
          <w:rFonts w:ascii="SimSun" w:hAnsi="SimSun" w:eastAsia="SimSun" w:cs="SimSun"/>
          <w:sz w:val="22"/>
          <w:szCs w:val="22"/>
          <w:spacing w:val="10"/>
        </w:rPr>
        <w:t xml:space="preserve"> </w:t>
      </w:r>
      <w:r>
        <w:rPr>
          <w:rFonts w:ascii="SimSun" w:hAnsi="SimSun" w:eastAsia="SimSun" w:cs="SimSun"/>
          <w:sz w:val="22"/>
          <w:szCs w:val="22"/>
          <w:spacing w:val="-8"/>
        </w:rPr>
        <w:t>享或阅读数据管理平台相关主题的文章。还可以公开发布白皮书、论文、论著、最</w:t>
      </w:r>
      <w:r>
        <w:rPr>
          <w:rFonts w:ascii="SimSun" w:hAnsi="SimSun" w:eastAsia="SimSun" w:cs="SimSun"/>
          <w:sz w:val="22"/>
          <w:szCs w:val="22"/>
          <w:spacing w:val="7"/>
        </w:rPr>
        <w:t xml:space="preserve"> </w:t>
      </w:r>
      <w:r>
        <w:rPr>
          <w:rFonts w:ascii="SimSun" w:hAnsi="SimSun" w:eastAsia="SimSun" w:cs="SimSun"/>
          <w:sz w:val="22"/>
          <w:szCs w:val="22"/>
          <w:spacing w:val="-13"/>
        </w:rPr>
        <w:t>佳实践等。</w:t>
      </w:r>
    </w:p>
    <w:p>
      <w:pPr>
        <w:ind w:left="723"/>
        <w:spacing w:before="203" w:line="224" w:lineRule="auto"/>
        <w:outlineLvl w:val="5"/>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1"/>
        </w:rPr>
        <w:t xml:space="preserve"> </w:t>
      </w:r>
      <w:r>
        <w:rPr>
          <w:rFonts w:ascii="YouYuan" w:hAnsi="YouYuan" w:eastAsia="YouYuan" w:cs="YouYuan"/>
          <w:sz w:val="22"/>
          <w:szCs w:val="22"/>
          <w:b/>
          <w:bCs/>
          <w:spacing w:val="1"/>
        </w:rPr>
        <w:t>实施案例</w:t>
      </w:r>
    </w:p>
    <w:p>
      <w:pPr>
        <w:ind w:left="789"/>
        <w:spacing w:before="221" w:line="219" w:lineRule="auto"/>
        <w:rPr>
          <w:rFonts w:ascii="SimSun" w:hAnsi="SimSun" w:eastAsia="SimSun" w:cs="SimSun"/>
          <w:sz w:val="22"/>
          <w:szCs w:val="22"/>
        </w:rPr>
      </w:pPr>
      <w:r>
        <w:rPr>
          <w:rFonts w:ascii="SimSun" w:hAnsi="SimSun" w:eastAsia="SimSun" w:cs="SimSun"/>
          <w:sz w:val="22"/>
          <w:szCs w:val="22"/>
          <w:spacing w:val="-11"/>
        </w:rPr>
        <w:t>下表为某集团用户数据库管理规范示例。</w:t>
      </w:r>
    </w:p>
    <w:p>
      <w:pPr>
        <w:spacing w:line="125" w:lineRule="exact"/>
        <w:rPr/>
      </w:pPr>
      <w:r/>
    </w:p>
    <w:tbl>
      <w:tblPr>
        <w:tblStyle w:val="TableNormal"/>
        <w:tblW w:w="7680" w:type="dxa"/>
        <w:tblInd w:w="319"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3100" w:hRule="atLeast"/>
        </w:trPr>
        <w:tc>
          <w:tcPr>
            <w:tcW w:w="7680" w:type="dxa"/>
            <w:vAlign w:val="top"/>
          </w:tcPr>
          <w:p>
            <w:pPr>
              <w:pStyle w:val="TableText"/>
              <w:ind w:left="2955"/>
              <w:spacing w:before="91" w:line="219" w:lineRule="auto"/>
              <w:rPr/>
            </w:pPr>
            <w:r>
              <w:rPr>
                <w:spacing w:val="-1"/>
              </w:rPr>
              <w:t>某集团用户数据库管理规范</w:t>
            </w:r>
          </w:p>
          <w:p>
            <w:pPr>
              <w:pStyle w:val="TableText"/>
              <w:ind w:left="245"/>
              <w:spacing w:before="72" w:line="220" w:lineRule="auto"/>
              <w:rPr/>
            </w:pPr>
            <w:r>
              <w:rPr>
                <w:spacing w:val="-2"/>
              </w:rPr>
              <w:t>1</w:t>
            </w:r>
            <w:r>
              <w:rPr>
                <w:spacing w:val="9"/>
              </w:rPr>
              <w:t xml:space="preserve">  </w:t>
            </w:r>
            <w:r>
              <w:rPr>
                <w:spacing w:val="-2"/>
              </w:rPr>
              <w:t>适用范围</w:t>
            </w:r>
          </w:p>
          <w:p>
            <w:pPr>
              <w:pStyle w:val="TableText"/>
              <w:ind w:left="125" w:right="426" w:firstLine="149"/>
              <w:spacing w:before="120" w:line="282" w:lineRule="auto"/>
              <w:rPr/>
            </w:pPr>
            <w:r>
              <w:rPr/>
              <w:t>本规范规定了用户数据库(UDB)进行基础用户数据进行集中管理、应用、开放的功能、接</w:t>
            </w:r>
            <w:r>
              <w:rPr>
                <w:spacing w:val="-1"/>
              </w:rPr>
              <w:t>口、流程、集成方</w:t>
            </w:r>
            <w:r>
              <w:rPr/>
              <w:t xml:space="preserve"> </w:t>
            </w:r>
            <w:r>
              <w:rPr>
                <w:spacing w:val="-1"/>
              </w:rPr>
              <w:t>面内容。</w:t>
            </w:r>
          </w:p>
          <w:p>
            <w:pPr>
              <w:pStyle w:val="TableText"/>
              <w:ind w:left="265"/>
              <w:spacing w:before="91" w:line="219" w:lineRule="auto"/>
              <w:rPr/>
            </w:pPr>
            <w:r>
              <w:rPr/>
              <w:t>本规范适用于集团针对个人基础用户帐户进行宽带接入、业务网络使用、外</w:t>
            </w:r>
            <w:r>
              <w:rPr>
                <w:spacing w:val="-1"/>
              </w:rPr>
              <w:t>网服务使用。</w:t>
            </w:r>
          </w:p>
          <w:p>
            <w:pPr>
              <w:pStyle w:val="TableText"/>
              <w:ind w:left="125" w:firstLine="139"/>
              <w:spacing w:before="122" w:line="276" w:lineRule="auto"/>
              <w:rPr/>
            </w:pPr>
            <w:r>
              <w:rPr>
                <w:spacing w:val="-2"/>
              </w:rPr>
              <w:t>本规范设计与开发过程应保持“松耦合、模块化、可配置”原则，对于统一版本应在模块和代码中予以标识，对于</w:t>
            </w:r>
            <w:r>
              <w:rPr>
                <w:spacing w:val="4"/>
              </w:rPr>
              <w:t xml:space="preserve"> </w:t>
            </w:r>
            <w:r>
              <w:rPr/>
              <w:t>各子公司定制开发部分，应在程序名称、模块区隔中提前设计明确位置，并在自开发文档</w:t>
            </w:r>
            <w:r>
              <w:rPr>
                <w:spacing w:val="-1"/>
              </w:rPr>
              <w:t>说明中给出明确标识。</w:t>
            </w:r>
          </w:p>
          <w:p>
            <w:pPr>
              <w:pStyle w:val="TableText"/>
              <w:ind w:left="265"/>
              <w:spacing w:before="112" w:line="219" w:lineRule="auto"/>
              <w:rPr/>
            </w:pPr>
            <w:r>
              <w:rPr>
                <w:spacing w:val="-8"/>
              </w:rPr>
              <w:t>2</w:t>
            </w:r>
            <w:r>
              <w:rPr>
                <w:spacing w:val="-16"/>
              </w:rPr>
              <w:t xml:space="preserve"> </w:t>
            </w:r>
            <w:r>
              <w:rPr>
                <w:spacing w:val="-8"/>
              </w:rPr>
              <w:t>需</w:t>
            </w:r>
            <w:r>
              <w:rPr>
                <w:spacing w:val="-22"/>
              </w:rPr>
              <w:t xml:space="preserve"> </w:t>
            </w:r>
            <w:r>
              <w:rPr>
                <w:spacing w:val="-8"/>
              </w:rPr>
              <w:t>求</w:t>
            </w:r>
            <w:r>
              <w:rPr>
                <w:spacing w:val="-21"/>
              </w:rPr>
              <w:t xml:space="preserve"> </w:t>
            </w:r>
            <w:r>
              <w:rPr>
                <w:spacing w:val="-8"/>
              </w:rPr>
              <w:t>约</w:t>
            </w:r>
            <w:r>
              <w:rPr>
                <w:spacing w:val="-23"/>
              </w:rPr>
              <w:t xml:space="preserve"> </w:t>
            </w:r>
            <w:r>
              <w:rPr>
                <w:spacing w:val="-8"/>
              </w:rPr>
              <w:t>束</w:t>
            </w:r>
          </w:p>
          <w:p>
            <w:pPr>
              <w:pStyle w:val="TableText"/>
              <w:ind w:left="265"/>
              <w:spacing w:before="111" w:line="219" w:lineRule="auto"/>
              <w:rPr/>
            </w:pPr>
            <w:r>
              <w:rPr>
                <w:spacing w:val="3"/>
              </w:rPr>
              <w:t>(1)此规范作为架构人员设计架构的依据；</w:t>
            </w:r>
          </w:p>
          <w:p>
            <w:pPr>
              <w:pStyle w:val="TableText"/>
              <w:ind w:left="265"/>
              <w:spacing w:before="82" w:line="219" w:lineRule="auto"/>
              <w:rPr/>
            </w:pPr>
            <w:r>
              <w:rPr>
                <w:spacing w:val="2"/>
              </w:rPr>
              <w:t>(2)系统提供验证映射帐户的接口，可以通过配置是否启用该功能；</w:t>
            </w:r>
          </w:p>
          <w:p>
            <w:pPr>
              <w:pStyle w:val="TableText"/>
              <w:ind w:left="275"/>
              <w:spacing w:before="122" w:line="219" w:lineRule="auto"/>
              <w:rPr/>
            </w:pPr>
            <w:r>
              <w:rPr/>
              <w:t>(3)系统采用开放式的设计思路，对服务方法，协议适配采用插件的方式，以方便后续的扩</w:t>
            </w:r>
            <w:r>
              <w:rPr>
                <w:spacing w:val="-1"/>
              </w:rPr>
              <w:t>展。</w:t>
            </w:r>
          </w:p>
        </w:tc>
      </w:tr>
    </w:tbl>
    <w:p>
      <w:pPr>
        <w:pStyle w:val="BodyText"/>
        <w:rPr/>
      </w:pPr>
      <w:r/>
    </w:p>
    <w:p>
      <w:pPr>
        <w:sectPr>
          <w:footerReference w:type="default" r:id="rId393"/>
          <w:pgSz w:w="8870" w:h="13400"/>
          <w:pgMar w:top="400" w:right="355" w:bottom="534" w:left="510" w:header="0" w:footer="316" w:gutter="0"/>
        </w:sectPr>
        <w:rPr/>
      </w:pPr>
    </w:p>
    <w:p>
      <w:pPr>
        <w:ind w:left="5508"/>
        <w:spacing w:before="164" w:line="219" w:lineRule="auto"/>
        <w:rPr>
          <w:rFonts w:ascii="SimSun" w:hAnsi="SimSun" w:eastAsia="SimSun" w:cs="SimSun"/>
          <w:sz w:val="24"/>
          <w:szCs w:val="24"/>
        </w:rPr>
      </w:pPr>
      <w:bookmarkStart w:name="bookmark74" w:id="69"/>
      <w:bookmarkEnd w:id="69"/>
      <w:bookmarkStart w:name="bookmark75" w:id="70"/>
      <w:bookmarkEnd w:id="70"/>
      <w:bookmarkStart w:name="bookmark76" w:id="71"/>
      <w:bookmarkEnd w:id="71"/>
      <w:bookmarkStart w:name="bookmark77" w:id="72"/>
      <w:bookmarkEnd w:id="72"/>
      <w:r>
        <w:rPr>
          <w:rFonts w:ascii="SimSun" w:hAnsi="SimSun" w:eastAsia="SimSun" w:cs="SimSun"/>
          <w:sz w:val="24"/>
          <w:szCs w:val="24"/>
          <w:b/>
          <w:bCs/>
          <w:spacing w:val="-12"/>
        </w:rPr>
        <w:t>第8章■云端数据架构</w:t>
      </w:r>
    </w:p>
    <w:p>
      <w:pPr>
        <w:pStyle w:val="BodyText"/>
        <w:spacing w:line="280" w:lineRule="auto"/>
        <w:rPr/>
      </w:pPr>
      <w:r/>
    </w:p>
    <w:p>
      <w:pPr>
        <w:ind w:left="6914"/>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68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10649" w:hRule="atLeast"/>
        </w:trPr>
        <w:tc>
          <w:tcPr>
            <w:tcW w:w="7680" w:type="dxa"/>
            <w:vAlign w:val="top"/>
          </w:tcPr>
          <w:p>
            <w:pPr>
              <w:pStyle w:val="TableText"/>
              <w:ind w:left="245"/>
              <w:spacing w:before="91" w:line="220" w:lineRule="auto"/>
              <w:rPr/>
            </w:pPr>
            <w:r>
              <w:rPr>
                <w:spacing w:val="27"/>
              </w:rPr>
              <w:t>3</w:t>
            </w:r>
            <w:r>
              <w:rPr>
                <w:spacing w:val="67"/>
              </w:rPr>
              <w:t xml:space="preserve"> </w:t>
            </w:r>
            <w:r>
              <w:rPr/>
              <w:t>UD</w:t>
            </w:r>
            <w:r>
              <w:rPr>
                <w:spacing w:val="-42"/>
              </w:rPr>
              <w:t xml:space="preserve"> </w:t>
            </w:r>
            <w:r>
              <w:rPr/>
              <w:t>B</w:t>
            </w:r>
            <w:r>
              <w:rPr>
                <w:spacing w:val="27"/>
              </w:rPr>
              <w:t>发展规划</w:t>
            </w:r>
          </w:p>
          <w:p>
            <w:pPr>
              <w:pStyle w:val="TableText"/>
              <w:ind w:left="245"/>
              <w:spacing w:before="90" w:line="280" w:lineRule="exact"/>
              <w:rPr/>
            </w:pPr>
            <w:r>
              <w:rPr>
                <w:position w:val="9"/>
              </w:rPr>
              <w:t>用户数据库(UDB)定义：集团统一账号数据的安全状态服务平台。</w:t>
            </w:r>
          </w:p>
          <w:p>
            <w:pPr>
              <w:pStyle w:val="TableText"/>
              <w:ind w:left="245"/>
              <w:spacing w:line="219" w:lineRule="auto"/>
              <w:rPr/>
            </w:pPr>
            <w:r>
              <w:rPr/>
              <w:t>1)第一阶段</w:t>
            </w:r>
          </w:p>
          <w:p>
            <w:pPr>
              <w:pStyle w:val="TableText"/>
              <w:ind w:left="245"/>
              <w:spacing w:before="102" w:line="219" w:lineRule="auto"/>
              <w:rPr/>
            </w:pPr>
            <w:r>
              <w:rPr/>
              <w:t>用户数据库(UDB)主要数据：用户号码数据、状态数据、密码数据、配置数</w:t>
            </w:r>
            <w:r>
              <w:rPr>
                <w:spacing w:val="-1"/>
              </w:rPr>
              <w:t>据。</w:t>
            </w:r>
          </w:p>
          <w:p>
            <w:pPr>
              <w:pStyle w:val="TableText"/>
              <w:ind w:left="125" w:right="457" w:firstLine="120"/>
              <w:spacing w:before="91" w:line="288" w:lineRule="auto"/>
              <w:rPr/>
            </w:pPr>
            <w:r>
              <w:rPr/>
              <w:t>用户数据库(UDB)主要功能：对于业务系统的管理平台进行用户数据安全及状态寄存服</w:t>
            </w:r>
            <w:r>
              <w:rPr>
                <w:spacing w:val="-1"/>
              </w:rPr>
              <w:t>务，账号逻辑层面将</w:t>
            </w:r>
            <w:r>
              <w:rPr/>
              <w:t xml:space="preserve"> </w:t>
            </w:r>
            <w:r>
              <w:rPr/>
              <w:t>号码落实到个人，业务层面拓展到接入和应用</w:t>
            </w:r>
            <w:r>
              <w:rPr>
                <w:spacing w:val="-1"/>
              </w:rPr>
              <w:t>多层面全业务。</w:t>
            </w:r>
          </w:p>
          <w:p>
            <w:pPr>
              <w:pStyle w:val="TableText"/>
              <w:ind w:left="95" w:right="512" w:firstLine="169"/>
              <w:spacing w:before="112" w:line="271" w:lineRule="auto"/>
              <w:rPr/>
            </w:pPr>
            <w:r>
              <w:rPr/>
              <w:t>用户数据库(UDB)后台支撑：UDB统一产生一次性密码，并经两种渠道下发：短信一次</w:t>
            </w:r>
            <w:r>
              <w:rPr>
                <w:spacing w:val="-1"/>
              </w:rPr>
              <w:t>性密码方式和令牌方</w:t>
            </w:r>
            <w:r>
              <w:rPr/>
              <w:t xml:space="preserve"> </w:t>
            </w:r>
            <w:r>
              <w:rPr>
                <w:spacing w:val="-2"/>
              </w:rPr>
              <w:t>式。</w:t>
            </w:r>
          </w:p>
          <w:p>
            <w:pPr>
              <w:pStyle w:val="TableText"/>
              <w:ind w:left="245"/>
              <w:spacing w:before="110" w:line="219" w:lineRule="auto"/>
              <w:rPr/>
            </w:pPr>
            <w:r>
              <w:rPr>
                <w:spacing w:val="-1"/>
              </w:rPr>
              <w:t>2)第二阶段扩展</w:t>
            </w:r>
          </w:p>
          <w:p>
            <w:pPr>
              <w:pStyle w:val="TableText"/>
              <w:ind w:left="255"/>
              <w:spacing w:before="82" w:line="300" w:lineRule="exact"/>
              <w:rPr/>
            </w:pPr>
            <w:r>
              <w:rPr>
                <w:position w:val="11"/>
              </w:rPr>
              <w:t>在功能上，拓展群组管理，并增加个人通信录、自服务等用户能力，与支付、门户等业务能力</w:t>
            </w:r>
            <w:r>
              <w:rPr>
                <w:spacing w:val="-1"/>
                <w:position w:val="11"/>
              </w:rPr>
              <w:t>进行集成，针对</w:t>
            </w:r>
          </w:p>
          <w:p>
            <w:pPr>
              <w:pStyle w:val="TableText"/>
              <w:ind w:left="115"/>
              <w:spacing w:line="220" w:lineRule="auto"/>
              <w:rPr/>
            </w:pPr>
            <w:r>
              <w:rPr>
                <w:spacing w:val="-1"/>
              </w:rPr>
              <w:t>用户验证工作进行细化和拓展。</w:t>
            </w:r>
          </w:p>
          <w:p>
            <w:pPr>
              <w:pStyle w:val="TableText"/>
              <w:ind w:left="245"/>
              <w:spacing w:before="80" w:line="219" w:lineRule="auto"/>
              <w:rPr/>
            </w:pPr>
            <w:r>
              <w:rPr/>
              <w:t>在架构上，逐步发展成为业务层和接入层提供核心号码及密码的安全和状态服务的</w:t>
            </w:r>
            <w:r>
              <w:rPr>
                <w:spacing w:val="-1"/>
              </w:rPr>
              <w:t>综合认证平台。</w:t>
            </w:r>
          </w:p>
          <w:p>
            <w:pPr>
              <w:pStyle w:val="TableText"/>
              <w:ind w:left="245"/>
              <w:spacing w:before="134" w:line="221" w:lineRule="auto"/>
              <w:rPr/>
            </w:pPr>
            <w:r>
              <w:rPr>
                <w:spacing w:val="27"/>
              </w:rPr>
              <w:t>4</w:t>
            </w:r>
            <w:r>
              <w:rPr>
                <w:spacing w:val="62"/>
                <w:w w:val="101"/>
              </w:rPr>
              <w:t xml:space="preserve"> </w:t>
            </w:r>
            <w:r>
              <w:rPr/>
              <w:t>UD</w:t>
            </w:r>
            <w:r>
              <w:rPr>
                <w:spacing w:val="-43"/>
              </w:rPr>
              <w:t xml:space="preserve"> </w:t>
            </w:r>
            <w:r>
              <w:rPr/>
              <w:t>B</w:t>
            </w:r>
            <w:r>
              <w:rPr>
                <w:spacing w:val="27"/>
              </w:rPr>
              <w:t>功能描述</w:t>
            </w:r>
          </w:p>
          <w:p>
            <w:pPr>
              <w:pStyle w:val="TableText"/>
              <w:ind w:left="275"/>
              <w:spacing w:before="100" w:line="219" w:lineRule="auto"/>
              <w:rPr/>
            </w:pPr>
            <w:r>
              <w:rPr/>
              <w:t>UDB系统的主要工作是完成用户统一账户(172账户)的集中服务。它维护各个业务系统的账户到用</w:t>
            </w:r>
            <w:r>
              <w:rPr>
                <w:spacing w:val="-1"/>
              </w:rPr>
              <w:t>户统一账</w:t>
            </w:r>
          </w:p>
          <w:p>
            <w:pPr>
              <w:pStyle w:val="TableText"/>
              <w:ind w:left="115" w:right="229" w:firstLine="130"/>
              <w:spacing w:before="102" w:line="288" w:lineRule="auto"/>
              <w:rPr/>
            </w:pPr>
            <w:r>
              <w:rPr/>
              <w:t>户的映射关系，将各个独立的业务整合成以172账号为中心的一个大的平台，用户只需要一个172</w:t>
            </w:r>
            <w:r>
              <w:rPr>
                <w:spacing w:val="-1"/>
              </w:rPr>
              <w:t>账号和密码，</w:t>
            </w:r>
            <w:r>
              <w:rPr/>
              <w:t xml:space="preserve"> </w:t>
            </w:r>
            <w:r>
              <w:rPr>
                <w:spacing w:val="-1"/>
              </w:rPr>
              <w:t>即可使用诸各种业务。</w:t>
            </w:r>
          </w:p>
          <w:p>
            <w:pPr>
              <w:pStyle w:val="TableText"/>
              <w:ind w:left="245"/>
              <w:spacing w:before="102" w:line="219" w:lineRule="auto"/>
              <w:rPr/>
            </w:pPr>
            <w:r>
              <w:rPr/>
              <w:t>我们将UDB系统划分为四大部分，即：协议适配，服务，后台管理，基础数</w:t>
            </w:r>
            <w:r>
              <w:rPr>
                <w:spacing w:val="-1"/>
              </w:rPr>
              <w:t>据。</w:t>
            </w:r>
          </w:p>
          <w:p>
            <w:pPr>
              <w:pStyle w:val="TableText"/>
              <w:ind w:left="245" w:right="278" w:firstLine="19"/>
              <w:spacing w:before="91" w:line="276" w:lineRule="auto"/>
              <w:rPr/>
            </w:pPr>
            <w:r>
              <w:rPr/>
              <w:t>(1)协议适配：该部分的组件主要用来和各种业务系统进行交互，从不同网络类型中接收不同的种类的协议封 </w:t>
            </w:r>
            <w:r>
              <w:rPr/>
              <w:t>装的数据，统一转换成UDB可以识别的格式。当服务等操作完成后，又将数据封装成特定的协</w:t>
            </w:r>
            <w:r>
              <w:rPr>
                <w:spacing w:val="-1"/>
              </w:rPr>
              <w:t>议，通过不同的</w:t>
            </w:r>
          </w:p>
          <w:p>
            <w:pPr>
              <w:pStyle w:val="TableText"/>
              <w:ind w:left="105"/>
              <w:spacing w:before="112" w:line="219" w:lineRule="auto"/>
              <w:rPr/>
            </w:pPr>
            <w:r>
              <w:rPr>
                <w:spacing w:val="-1"/>
              </w:rPr>
              <w:t>网络类型返回给各应用系统。</w:t>
            </w:r>
          </w:p>
          <w:p>
            <w:pPr>
              <w:pStyle w:val="TableText"/>
              <w:ind w:left="245"/>
              <w:spacing w:before="102" w:line="219" w:lineRule="auto"/>
              <w:rPr/>
            </w:pPr>
            <w:r>
              <w:rPr/>
              <w:t>(2)服务：该部分是UDB系统的核心部分，它对各种业务系统的服务请求进行服务。这部分可以执行严谨的</w:t>
            </w:r>
          </w:p>
          <w:p>
            <w:pPr>
              <w:pStyle w:val="TableText"/>
              <w:ind w:left="115"/>
              <w:spacing w:before="102" w:line="219" w:lineRule="auto"/>
              <w:rPr/>
            </w:pPr>
            <w:r>
              <w:rPr>
                <w:spacing w:val="-1"/>
              </w:rPr>
              <w:t>服务策略，可以实现多种服务方式。</w:t>
            </w:r>
          </w:p>
          <w:p>
            <w:pPr>
              <w:pStyle w:val="TableText"/>
              <w:ind w:left="245"/>
              <w:spacing w:before="92" w:line="219" w:lineRule="auto"/>
              <w:rPr/>
            </w:pPr>
            <w:r>
              <w:rPr/>
              <w:t>(3)后台管理：该部分包括系统管理，和CRM系统的接口封装，用户管理，登录审计</w:t>
            </w:r>
            <w:r>
              <w:rPr>
                <w:spacing w:val="-1"/>
              </w:rPr>
              <w:t>等多种操作。</w:t>
            </w:r>
          </w:p>
          <w:p>
            <w:pPr>
              <w:pStyle w:val="TableText"/>
              <w:ind w:left="115" w:right="289" w:firstLine="140"/>
              <w:spacing w:before="112" w:line="288" w:lineRule="auto"/>
              <w:rPr/>
            </w:pPr>
            <w:r>
              <w:rPr/>
              <w:t>(4)基础数据：该部分是服务和用户管理联系的桥梁，用户管理部分所操作的服务策略、操作日志记录等都保 </w:t>
            </w:r>
            <w:r>
              <w:rPr>
                <w:spacing w:val="-1"/>
              </w:rPr>
              <w:t>存到数据库中。服务部分需要使用这部分的数据。</w:t>
            </w:r>
          </w:p>
          <w:p>
            <w:pPr>
              <w:pStyle w:val="TableText"/>
              <w:ind w:left="245"/>
              <w:spacing w:before="93" w:line="221" w:lineRule="auto"/>
              <w:rPr/>
            </w:pPr>
            <w:r>
              <w:rPr>
                <w:spacing w:val="25"/>
              </w:rPr>
              <w:t>5</w:t>
            </w:r>
            <w:r>
              <w:rPr>
                <w:spacing w:val="59"/>
              </w:rPr>
              <w:t xml:space="preserve"> </w:t>
            </w:r>
            <w:r>
              <w:rPr/>
              <w:t>UD</w:t>
            </w:r>
            <w:r>
              <w:rPr>
                <w:spacing w:val="-45"/>
              </w:rPr>
              <w:t xml:space="preserve"> </w:t>
            </w:r>
            <w:r>
              <w:rPr/>
              <w:t>B</w:t>
            </w:r>
            <w:r>
              <w:rPr>
                <w:spacing w:val="25"/>
              </w:rPr>
              <w:t>接口及描述</w:t>
            </w:r>
          </w:p>
          <w:p>
            <w:pPr>
              <w:pStyle w:val="TableText"/>
              <w:ind w:left="245"/>
              <w:spacing w:before="110" w:line="220" w:lineRule="auto"/>
              <w:rPr/>
            </w:pPr>
            <w:r>
              <w:rPr/>
              <w:t>UDB和周边系统接口如下：</w:t>
            </w:r>
          </w:p>
          <w:p>
            <w:pPr>
              <w:pStyle w:val="TableText"/>
              <w:ind w:left="105" w:right="509" w:firstLine="159"/>
              <w:spacing w:before="91" w:line="282" w:lineRule="auto"/>
              <w:rPr/>
            </w:pPr>
            <w:r>
              <w:rPr>
                <w:spacing w:val="2"/>
              </w:rPr>
              <w:t>(1)子公司</w:t>
            </w:r>
            <w:r>
              <w:rPr/>
              <w:t>UDB</w:t>
            </w:r>
            <w:r>
              <w:rPr>
                <w:spacing w:val="2"/>
              </w:rPr>
              <w:t>与业务支撑系统之间的接口：包括与归属地</w:t>
            </w:r>
            <w:r>
              <w:rPr/>
              <w:t>CRM</w:t>
            </w:r>
            <w:r>
              <w:rPr>
                <w:spacing w:val="1"/>
              </w:rPr>
              <w:t>之间的接口，涉及业务受理时的账号开通、</w:t>
            </w:r>
            <w:r>
              <w:rPr/>
              <w:t xml:space="preserve"> </w:t>
            </w:r>
            <w:r>
              <w:rPr>
                <w:spacing w:val="-1"/>
              </w:rPr>
              <w:t>用户账号信息更新的通知等。</w:t>
            </w:r>
          </w:p>
          <w:p>
            <w:pPr>
              <w:pStyle w:val="TableText"/>
              <w:ind w:left="125" w:right="864" w:firstLine="149"/>
              <w:spacing w:before="111" w:line="276" w:lineRule="auto"/>
              <w:rPr/>
            </w:pPr>
            <w:r>
              <w:rPr/>
              <w:t>(2)子公司UDB与集团UDB之间的接口：包括集团UDB到子公司UDB的账号信息查询、相互维护的账号信</w:t>
            </w:r>
            <w:r>
              <w:rPr>
                <w:spacing w:val="4"/>
              </w:rPr>
              <w:t xml:space="preserve"> </w:t>
            </w:r>
            <w:r>
              <w:rPr/>
              <w:t>息更新；集团UDB平台做漫游认证的转发等服</w:t>
            </w:r>
            <w:r>
              <w:rPr>
                <w:spacing w:val="-1"/>
              </w:rPr>
              <w:t>务。</w:t>
            </w:r>
          </w:p>
          <w:p>
            <w:pPr>
              <w:pStyle w:val="TableText"/>
              <w:ind w:left="115" w:right="347" w:firstLine="149"/>
              <w:spacing w:before="102" w:line="282" w:lineRule="auto"/>
              <w:rPr/>
            </w:pPr>
            <w:r>
              <w:rPr/>
              <w:t>(3)UDB与业务系统之间的接口，主要是账号认证、用户业务注册和上线状态通知、业务密码设置、短信密码</w:t>
            </w:r>
            <w:r>
              <w:rPr>
                <w:spacing w:val="6"/>
              </w:rPr>
              <w:t xml:space="preserve"> </w:t>
            </w:r>
            <w:r>
              <w:rPr>
                <w:spacing w:val="-1"/>
              </w:rPr>
              <w:t>获取请求等消息交互。</w:t>
            </w:r>
          </w:p>
          <w:p>
            <w:pPr>
              <w:pStyle w:val="TableText"/>
              <w:ind w:left="105" w:right="564" w:firstLine="169"/>
              <w:spacing w:before="112" w:line="288" w:lineRule="auto"/>
              <w:rPr/>
            </w:pPr>
            <w:r>
              <w:rPr/>
              <w:t>(4)UDB自身管理配置的接口：主要传递系统管理操作员的登录认证，以及对UDB的配置、统计、管理维护</w:t>
            </w:r>
            <w:r>
              <w:rPr>
                <w:spacing w:val="4"/>
              </w:rPr>
              <w:t xml:space="preserve"> </w:t>
            </w:r>
            <w:r>
              <w:rPr>
                <w:spacing w:val="-1"/>
              </w:rPr>
              <w:t>操作信息交互。</w:t>
            </w:r>
          </w:p>
          <w:p>
            <w:pPr>
              <w:pStyle w:val="TableText"/>
              <w:ind w:left="245"/>
              <w:spacing w:before="102" w:line="219" w:lineRule="auto"/>
              <w:rPr/>
            </w:pPr>
            <w:r>
              <w:rPr>
                <w:spacing w:val="-1"/>
              </w:rPr>
              <w:t>6 UDB接口通信实现框架</w:t>
            </w:r>
          </w:p>
          <w:p>
            <w:pPr>
              <w:pStyle w:val="TableText"/>
              <w:ind w:left="95" w:right="950" w:firstLine="179"/>
              <w:spacing w:before="81" w:line="286" w:lineRule="auto"/>
              <w:rPr/>
            </w:pPr>
            <w:r>
              <w:rPr/>
              <w:t>通信协议层包括：Socket、FTP、HTTP等。支持RADIUS和SAML协议族，并通过UDB协</w:t>
            </w:r>
            <w:r>
              <w:rPr>
                <w:spacing w:val="-1"/>
              </w:rPr>
              <w:t>议适配组件进行</w:t>
            </w:r>
            <w:r>
              <w:rPr/>
              <w:t xml:space="preserve"> </w:t>
            </w:r>
            <w:r>
              <w:rPr>
                <w:spacing w:val="-2"/>
              </w:rPr>
              <w:t>适配。</w:t>
            </w:r>
          </w:p>
        </w:tc>
      </w:tr>
    </w:tbl>
    <w:p>
      <w:pPr>
        <w:pStyle w:val="BodyText"/>
        <w:rPr/>
      </w:pPr>
      <w:r/>
    </w:p>
    <w:p>
      <w:pPr>
        <w:sectPr>
          <w:footerReference w:type="default" r:id="rId395"/>
          <w:pgSz w:w="8870" w:h="13400"/>
          <w:pgMar w:top="400" w:right="700" w:bottom="610" w:left="324" w:header="0" w:footer="411" w:gutter="0"/>
        </w:sectPr>
        <w:rPr/>
      </w:pPr>
    </w:p>
    <w:p>
      <w:pPr>
        <w:ind w:left="130"/>
        <w:spacing w:before="17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270" name="IM 270"/>
            <wp:cNvGraphicFramePr/>
            <a:graphic>
              <a:graphicData uri="http://schemas.openxmlformats.org/drawingml/2006/picture">
                <pic:pic>
                  <pic:nvPicPr>
                    <pic:cNvPr id="270" name="IM 270"/>
                    <pic:cNvPicPr/>
                  </pic:nvPicPr>
                  <pic:blipFill>
                    <a:blip r:embed="rId397"/>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6"/>
        </w:rPr>
        <w:t xml:space="preserve"> </w:t>
      </w:r>
      <w:r>
        <w:rPr>
          <w:rFonts w:ascii="SimSun" w:hAnsi="SimSun" w:eastAsia="SimSun" w:cs="SimSun"/>
          <w:sz w:val="22"/>
          <w:szCs w:val="22"/>
          <w:b/>
          <w:bCs/>
          <w:spacing w:val="-16"/>
        </w:rPr>
        <w:t>■云端数据治理</w:t>
      </w:r>
    </w:p>
    <w:p>
      <w:pPr>
        <w:pStyle w:val="BodyText"/>
        <w:spacing w:line="280" w:lineRule="auto"/>
        <w:rPr/>
      </w:pPr>
      <w:r/>
    </w:p>
    <w:p>
      <w:pPr>
        <w:ind w:left="7210"/>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744" w:type="dxa"/>
        <w:tblInd w:w="300" w:type="dxa"/>
        <w:tblLayout w:type="fixed"/>
        <w:tblBorders>
          <w:left w:val="single" w:color="000000" w:sz="4" w:space="0"/>
          <w:bottom w:val="single" w:color="000000" w:sz="4" w:space="0"/>
          <w:right w:val="single" w:color="000000" w:sz="4" w:space="0"/>
          <w:top w:val="single" w:color="000000" w:sz="4" w:space="0"/>
        </w:tblBorders>
      </w:tblPr>
      <w:tblGrid>
        <w:gridCol w:w="7744"/>
      </w:tblGrid>
      <w:tr>
        <w:trPr>
          <w:trHeight w:val="10649" w:hRule="atLeast"/>
        </w:trPr>
        <w:tc>
          <w:tcPr>
            <w:tcW w:w="7744" w:type="dxa"/>
            <w:vAlign w:val="top"/>
          </w:tcPr>
          <w:p>
            <w:pPr>
              <w:pStyle w:val="TableText"/>
              <w:ind w:left="155" w:right="61" w:firstLine="119"/>
              <w:spacing w:before="61" w:line="282" w:lineRule="auto"/>
              <w:rPr>
                <w:sz w:val="16"/>
                <w:szCs w:val="16"/>
              </w:rPr>
            </w:pPr>
            <w:r>
              <w:rPr>
                <w:sz w:val="16"/>
                <w:szCs w:val="16"/>
                <w:spacing w:val="-8"/>
              </w:rPr>
              <w:t>消息处理层包括两种情况：</w:t>
            </w:r>
            <w:r>
              <w:rPr>
                <w:sz w:val="16"/>
                <w:szCs w:val="16"/>
                <w:spacing w:val="41"/>
                <w:w w:val="101"/>
              </w:rPr>
              <w:t xml:space="preserve"> </w:t>
            </w:r>
            <w:r>
              <w:rPr>
                <w:sz w:val="16"/>
                <w:szCs w:val="16"/>
                <w:spacing w:val="-8"/>
              </w:rPr>
              <w:t>一种是对通信协议交互关系的处理</w:t>
            </w:r>
            <w:r>
              <w:rPr>
                <w:sz w:val="16"/>
                <w:szCs w:val="16"/>
                <w:spacing w:val="-9"/>
              </w:rPr>
              <w:t>；另一种是对应用数据提供基本的解析机制。为</w:t>
            </w:r>
            <w:r>
              <w:rPr>
                <w:sz w:val="16"/>
                <w:szCs w:val="16"/>
              </w:rPr>
              <w:t xml:space="preserve"> </w:t>
            </w:r>
            <w:r>
              <w:rPr>
                <w:sz w:val="16"/>
                <w:szCs w:val="16"/>
              </w:rPr>
              <w:t>了提高系统的可扩展性，消息数据采取XML格式进行封</w:t>
            </w:r>
            <w:r>
              <w:rPr>
                <w:sz w:val="16"/>
                <w:szCs w:val="16"/>
                <w:spacing w:val="-1"/>
              </w:rPr>
              <w:t>装。</w:t>
            </w:r>
          </w:p>
          <w:p>
            <w:pPr>
              <w:pStyle w:val="TableText"/>
              <w:ind w:left="254"/>
              <w:spacing w:before="60" w:line="311" w:lineRule="exact"/>
              <w:rPr>
                <w:sz w:val="16"/>
                <w:szCs w:val="16"/>
              </w:rPr>
            </w:pPr>
            <w:r>
              <w:rPr>
                <w:sz w:val="16"/>
                <w:szCs w:val="16"/>
                <w:position w:val="11"/>
              </w:rPr>
              <w:t>应用层：提供应用语义处理，实现各自接口的业务逻</w:t>
            </w:r>
            <w:r>
              <w:rPr>
                <w:sz w:val="16"/>
                <w:szCs w:val="16"/>
                <w:spacing w:val="-1"/>
                <w:position w:val="11"/>
              </w:rPr>
              <w:t>辑。</w:t>
            </w:r>
          </w:p>
          <w:p>
            <w:pPr>
              <w:pStyle w:val="TableText"/>
              <w:ind w:left="254"/>
              <w:spacing w:line="220" w:lineRule="auto"/>
              <w:rPr>
                <w:sz w:val="16"/>
                <w:szCs w:val="16"/>
              </w:rPr>
            </w:pPr>
            <w:r>
              <w:rPr>
                <w:sz w:val="16"/>
                <w:szCs w:val="16"/>
                <w:spacing w:val="-1"/>
              </w:rPr>
              <w:t>7 UDB接口安全方案</w:t>
            </w:r>
          </w:p>
          <w:p>
            <w:pPr>
              <w:pStyle w:val="TableText"/>
              <w:ind w:left="144" w:right="92" w:firstLine="129"/>
              <w:spacing w:before="97" w:line="271" w:lineRule="auto"/>
              <w:rPr>
                <w:sz w:val="16"/>
                <w:szCs w:val="16"/>
              </w:rPr>
            </w:pPr>
            <w:r>
              <w:rPr>
                <w:sz w:val="16"/>
                <w:szCs w:val="16"/>
              </w:rPr>
              <w:t>由于UDB系统需要和互联网业务相连接，我们需要从多个层次来保护UDB系统的安全性。我们从传输层、会</w:t>
            </w:r>
            <w:r>
              <w:rPr>
                <w:sz w:val="16"/>
                <w:szCs w:val="16"/>
                <w:spacing w:val="6"/>
              </w:rPr>
              <w:t xml:space="preserve"> </w:t>
            </w:r>
            <w:r>
              <w:rPr>
                <w:sz w:val="16"/>
                <w:szCs w:val="16"/>
              </w:rPr>
              <w:t>话层、应用层三个层面来考虑系统的安全性。</w:t>
            </w:r>
          </w:p>
          <w:p>
            <w:pPr>
              <w:pStyle w:val="TableText"/>
              <w:ind w:left="254"/>
              <w:spacing w:before="90" w:line="219" w:lineRule="auto"/>
              <w:rPr>
                <w:sz w:val="16"/>
                <w:szCs w:val="16"/>
              </w:rPr>
            </w:pPr>
            <w:r>
              <w:rPr>
                <w:sz w:val="16"/>
                <w:szCs w:val="16"/>
                <w:spacing w:val="-1"/>
              </w:rPr>
              <w:t>(1)传输层：</w:t>
            </w:r>
          </w:p>
          <w:p>
            <w:pPr>
              <w:pStyle w:val="TableText"/>
              <w:ind w:left="254"/>
              <w:spacing w:before="80" w:line="260" w:lineRule="exact"/>
              <w:rPr>
                <w:sz w:val="16"/>
                <w:szCs w:val="16"/>
              </w:rPr>
            </w:pPr>
            <w:r>
              <w:rPr>
                <w:sz w:val="16"/>
                <w:szCs w:val="16"/>
                <w:position w:val="7"/>
              </w:rPr>
              <w:t>在传输层我们可以考虑使用如下的一种或者多种方法的组合：</w:t>
            </w:r>
          </w:p>
          <w:p>
            <w:pPr>
              <w:pStyle w:val="TableText"/>
              <w:ind w:left="254"/>
              <w:spacing w:before="1" w:line="218" w:lineRule="auto"/>
              <w:rPr>
                <w:sz w:val="16"/>
                <w:szCs w:val="16"/>
              </w:rPr>
            </w:pPr>
            <w:r>
              <w:rPr>
                <w:sz w:val="16"/>
                <w:szCs w:val="16"/>
              </w:rPr>
              <w:t>a)考虑通过专线连接外网SP登录服务器与</w:t>
            </w:r>
            <w:r>
              <w:rPr>
                <w:sz w:val="16"/>
                <w:szCs w:val="16"/>
                <w:spacing w:val="-1"/>
              </w:rPr>
              <w:t>内网UDB服务器</w:t>
            </w:r>
          </w:p>
          <w:p>
            <w:pPr>
              <w:pStyle w:val="TableText"/>
              <w:ind w:left="115" w:right="42" w:firstLine="139"/>
              <w:spacing w:before="98" w:line="284" w:lineRule="auto"/>
              <w:rPr>
                <w:sz w:val="16"/>
                <w:szCs w:val="16"/>
              </w:rPr>
            </w:pPr>
            <w:r>
              <w:rPr>
                <w:sz w:val="16"/>
                <w:szCs w:val="16"/>
              </w:rPr>
              <w:t>b)不采用专线，连接通过intermet,但系统不直接暴露在intemet上，而是放到受防火墙保护的DM</w:t>
            </w:r>
            <w:r>
              <w:rPr>
                <w:sz w:val="16"/>
                <w:szCs w:val="16"/>
                <w:spacing w:val="-1"/>
              </w:rPr>
              <w:t>Z区域，在</w:t>
            </w:r>
            <w:r>
              <w:rPr>
                <w:sz w:val="16"/>
                <w:szCs w:val="16"/>
              </w:rPr>
              <w:t xml:space="preserve"> </w:t>
            </w:r>
            <w:r>
              <w:rPr>
                <w:sz w:val="16"/>
                <w:szCs w:val="16"/>
                <w:spacing w:val="3"/>
              </w:rPr>
              <w:t>防火墙本身设置策略，只是允许指定的</w:t>
            </w:r>
            <w:r>
              <w:rPr>
                <w:sz w:val="16"/>
                <w:szCs w:val="16"/>
              </w:rPr>
              <w:t>SP</w:t>
            </w:r>
            <w:r>
              <w:rPr>
                <w:sz w:val="16"/>
                <w:szCs w:val="16"/>
                <w:spacing w:val="3"/>
              </w:rPr>
              <w:t>服务</w:t>
            </w:r>
            <w:r>
              <w:rPr>
                <w:sz w:val="16"/>
                <w:szCs w:val="16"/>
                <w:spacing w:val="2"/>
              </w:rPr>
              <w:t>器的</w:t>
            </w:r>
            <w:r>
              <w:rPr>
                <w:sz w:val="16"/>
                <w:szCs w:val="16"/>
              </w:rPr>
              <w:t>IP</w:t>
            </w:r>
            <w:r>
              <w:rPr>
                <w:sz w:val="16"/>
                <w:szCs w:val="16"/>
                <w:spacing w:val="2"/>
              </w:rPr>
              <w:t>和</w:t>
            </w:r>
            <w:r>
              <w:rPr>
                <w:sz w:val="16"/>
                <w:szCs w:val="16"/>
              </w:rPr>
              <w:t>PORT</w:t>
            </w:r>
            <w:r>
              <w:rPr>
                <w:sz w:val="16"/>
                <w:szCs w:val="16"/>
                <w:spacing w:val="2"/>
              </w:rPr>
              <w:t>连接到</w:t>
            </w:r>
            <w:r>
              <w:rPr>
                <w:sz w:val="16"/>
                <w:szCs w:val="16"/>
              </w:rPr>
              <w:t>UDB</w:t>
            </w:r>
            <w:r>
              <w:rPr>
                <w:sz w:val="16"/>
                <w:szCs w:val="16"/>
                <w:spacing w:val="2"/>
              </w:rPr>
              <w:t>的指定端口；</w:t>
            </w:r>
          </w:p>
          <w:p>
            <w:pPr>
              <w:pStyle w:val="TableText"/>
              <w:ind w:left="254"/>
              <w:spacing w:before="80" w:line="280" w:lineRule="exact"/>
              <w:rPr>
                <w:sz w:val="16"/>
                <w:szCs w:val="16"/>
              </w:rPr>
            </w:pPr>
            <w:r>
              <w:rPr>
                <w:sz w:val="16"/>
                <w:szCs w:val="16"/>
                <w:position w:val="9"/>
              </w:rPr>
              <w:t>c)在各业务系统和UDB的连接中采用隧道加密形式。</w:t>
            </w:r>
          </w:p>
          <w:p>
            <w:pPr>
              <w:pStyle w:val="TableText"/>
              <w:ind w:left="254"/>
              <w:spacing w:before="1" w:line="218" w:lineRule="auto"/>
              <w:rPr>
                <w:sz w:val="16"/>
                <w:szCs w:val="16"/>
              </w:rPr>
            </w:pPr>
            <w:r>
              <w:rPr>
                <w:sz w:val="16"/>
                <w:szCs w:val="16"/>
                <w:spacing w:val="-1"/>
              </w:rPr>
              <w:t>(2)会话层：</w:t>
            </w:r>
          </w:p>
          <w:p>
            <w:pPr>
              <w:pStyle w:val="TableText"/>
              <w:ind w:left="254"/>
              <w:spacing w:before="100" w:line="219" w:lineRule="auto"/>
              <w:rPr>
                <w:sz w:val="16"/>
                <w:szCs w:val="16"/>
              </w:rPr>
            </w:pPr>
            <w:r>
              <w:rPr>
                <w:sz w:val="16"/>
                <w:szCs w:val="16"/>
              </w:rPr>
              <w:t>在会话层我们可以考虑使用如下的一种或者多种方法的组合：</w:t>
            </w:r>
          </w:p>
          <w:p>
            <w:pPr>
              <w:pStyle w:val="TableText"/>
              <w:ind w:left="254"/>
              <w:spacing w:before="90" w:line="219" w:lineRule="auto"/>
              <w:rPr>
                <w:sz w:val="16"/>
                <w:szCs w:val="16"/>
              </w:rPr>
            </w:pPr>
            <w:r>
              <w:rPr>
                <w:sz w:val="16"/>
                <w:szCs w:val="16"/>
                <w:spacing w:val="1"/>
              </w:rPr>
              <w:t>a)</w:t>
            </w:r>
            <w:r>
              <w:rPr>
                <w:sz w:val="16"/>
                <w:szCs w:val="16"/>
              </w:rPr>
              <w:t>UDB</w:t>
            </w:r>
            <w:r>
              <w:rPr>
                <w:sz w:val="16"/>
                <w:szCs w:val="16"/>
                <w:spacing w:val="1"/>
              </w:rPr>
              <w:t>系统和外围系统的数据交互，建议采用加密协议进行(如</w:t>
            </w:r>
            <w:r>
              <w:rPr>
                <w:sz w:val="16"/>
                <w:szCs w:val="16"/>
              </w:rPr>
              <w:t>SSL</w:t>
            </w:r>
            <w:r>
              <w:rPr>
                <w:sz w:val="16"/>
                <w:szCs w:val="16"/>
                <w:spacing w:val="1"/>
              </w:rPr>
              <w:t>加密):</w:t>
            </w:r>
          </w:p>
          <w:p>
            <w:pPr>
              <w:pStyle w:val="TableText"/>
              <w:ind w:left="115" w:right="442" w:firstLine="139"/>
              <w:spacing w:before="91" w:line="271" w:lineRule="auto"/>
              <w:rPr>
                <w:sz w:val="16"/>
                <w:szCs w:val="16"/>
              </w:rPr>
            </w:pPr>
            <w:r>
              <w:rPr>
                <w:sz w:val="16"/>
                <w:szCs w:val="16"/>
              </w:rPr>
              <w:t>b)SP的业务系统连接UDB系统的时候采用双向数字证书服务。确保正确的SP服务器连接到正确</w:t>
            </w:r>
            <w:r>
              <w:rPr>
                <w:sz w:val="16"/>
                <w:szCs w:val="16"/>
                <w:spacing w:val="-1"/>
              </w:rPr>
              <w:t>的UDB服</w:t>
            </w:r>
            <w:r>
              <w:rPr>
                <w:sz w:val="16"/>
                <w:szCs w:val="16"/>
              </w:rPr>
              <w:t xml:space="preserve"> </w:t>
            </w:r>
            <w:r>
              <w:rPr>
                <w:sz w:val="16"/>
                <w:szCs w:val="16"/>
                <w:spacing w:val="-1"/>
              </w:rPr>
              <w:t>务器。</w:t>
            </w:r>
          </w:p>
          <w:p>
            <w:pPr>
              <w:pStyle w:val="TableText"/>
              <w:ind w:left="254"/>
              <w:spacing w:before="91" w:line="219" w:lineRule="auto"/>
              <w:rPr>
                <w:sz w:val="16"/>
                <w:szCs w:val="16"/>
              </w:rPr>
            </w:pPr>
            <w:r>
              <w:rPr>
                <w:sz w:val="16"/>
                <w:szCs w:val="16"/>
                <w:spacing w:val="1"/>
              </w:rPr>
              <w:t>(3)应用层</w:t>
            </w:r>
          </w:p>
          <w:p>
            <w:pPr>
              <w:pStyle w:val="TableText"/>
              <w:ind w:left="254"/>
              <w:spacing w:before="89" w:line="291" w:lineRule="exact"/>
              <w:rPr>
                <w:sz w:val="16"/>
                <w:szCs w:val="16"/>
              </w:rPr>
            </w:pPr>
            <w:r>
              <w:rPr>
                <w:sz w:val="16"/>
                <w:szCs w:val="16"/>
                <w:position w:val="10"/>
              </w:rPr>
              <w:t>在应用层我们可以考虑使用如下的一种或者多种方法的组合。</w:t>
            </w:r>
          </w:p>
          <w:p>
            <w:pPr>
              <w:pStyle w:val="TableText"/>
              <w:ind w:left="254"/>
              <w:spacing w:line="219" w:lineRule="auto"/>
              <w:rPr>
                <w:sz w:val="16"/>
                <w:szCs w:val="16"/>
              </w:rPr>
            </w:pPr>
            <w:r>
              <w:rPr>
                <w:sz w:val="16"/>
                <w:szCs w:val="16"/>
                <w:spacing w:val="3"/>
              </w:rPr>
              <w:t>a)数据中账户的密码全部加密保存到数据库中；</w:t>
            </w:r>
          </w:p>
          <w:p>
            <w:pPr>
              <w:pStyle w:val="TableText"/>
              <w:ind w:left="254"/>
              <w:spacing w:before="76" w:line="214" w:lineRule="auto"/>
              <w:rPr>
                <w:sz w:val="16"/>
                <w:szCs w:val="16"/>
              </w:rPr>
            </w:pPr>
            <w:r>
              <w:rPr>
                <w:sz w:val="16"/>
                <w:szCs w:val="16"/>
                <w:spacing w:val="1"/>
              </w:rPr>
              <w:t>b)由于</w:t>
            </w:r>
            <w:r>
              <w:rPr>
                <w:sz w:val="16"/>
                <w:szCs w:val="16"/>
              </w:rPr>
              <w:t>internet</w:t>
            </w:r>
            <w:r>
              <w:rPr>
                <w:sz w:val="16"/>
                <w:szCs w:val="16"/>
                <w:spacing w:val="1"/>
              </w:rPr>
              <w:t>上的业务很容易受到攻击，所以对外网业务使用</w:t>
            </w:r>
            <w:r>
              <w:rPr>
                <w:sz w:val="16"/>
                <w:szCs w:val="16"/>
              </w:rPr>
              <w:t>OTP</w:t>
            </w:r>
            <w:r>
              <w:rPr>
                <w:sz w:val="16"/>
                <w:szCs w:val="16"/>
                <w:spacing w:val="1"/>
              </w:rPr>
              <w:t>(</w:t>
            </w:r>
            <w:r>
              <w:rPr>
                <w:sz w:val="16"/>
                <w:szCs w:val="16"/>
              </w:rPr>
              <w:t>one</w:t>
            </w:r>
            <w:r>
              <w:rPr>
                <w:sz w:val="16"/>
                <w:szCs w:val="16"/>
                <w:spacing w:val="1"/>
              </w:rPr>
              <w:t xml:space="preserve"> </w:t>
            </w:r>
            <w:r>
              <w:rPr>
                <w:sz w:val="16"/>
                <w:szCs w:val="16"/>
              </w:rPr>
              <w:t>time</w:t>
            </w:r>
            <w:r>
              <w:rPr>
                <w:sz w:val="16"/>
                <w:szCs w:val="16"/>
                <w:spacing w:val="1"/>
              </w:rPr>
              <w:t xml:space="preserve"> </w:t>
            </w:r>
            <w:r>
              <w:rPr>
                <w:sz w:val="16"/>
                <w:szCs w:val="16"/>
              </w:rPr>
              <w:t>password</w:t>
            </w:r>
            <w:r>
              <w:rPr>
                <w:sz w:val="16"/>
                <w:szCs w:val="16"/>
                <w:spacing w:val="1"/>
              </w:rPr>
              <w:t>);</w:t>
            </w:r>
          </w:p>
          <w:p>
            <w:pPr>
              <w:pStyle w:val="TableText"/>
              <w:ind w:left="155" w:right="62" w:firstLine="129"/>
              <w:spacing w:before="97" w:line="272" w:lineRule="auto"/>
              <w:rPr>
                <w:sz w:val="16"/>
                <w:szCs w:val="16"/>
              </w:rPr>
            </w:pPr>
            <w:r>
              <w:rPr>
                <w:sz w:val="16"/>
                <w:szCs w:val="16"/>
                <w:spacing w:val="-6"/>
              </w:rPr>
              <w:t>c)对用户提供的密码实行强密码验证，系统管理员可以设置强密码规则。如：密码必须由字母、数字、特殊符</w:t>
            </w:r>
            <w:r>
              <w:rPr>
                <w:sz w:val="16"/>
                <w:szCs w:val="16"/>
              </w:rPr>
              <w:t xml:space="preserve"> </w:t>
            </w:r>
            <w:r>
              <w:rPr>
                <w:sz w:val="16"/>
                <w:szCs w:val="16"/>
                <w:spacing w:val="4"/>
              </w:rPr>
              <w:t>号组成，密码位数在8～18位之间等；</w:t>
            </w:r>
          </w:p>
          <w:p>
            <w:pPr>
              <w:pStyle w:val="TableText"/>
              <w:ind w:left="124" w:firstLine="159"/>
              <w:spacing w:before="90" w:line="271" w:lineRule="auto"/>
              <w:rPr>
                <w:sz w:val="16"/>
                <w:szCs w:val="16"/>
              </w:rPr>
            </w:pPr>
            <w:r>
              <w:rPr>
                <w:sz w:val="16"/>
                <w:szCs w:val="16"/>
                <w:spacing w:val="-7"/>
              </w:rPr>
              <w:t>d)对用户服务，系统管理员的操作都记录详细的操作</w:t>
            </w:r>
            <w:r>
              <w:rPr>
                <w:sz w:val="16"/>
                <w:szCs w:val="16"/>
                <w:spacing w:val="-8"/>
              </w:rPr>
              <w:t>日志，记录访问人、访问时间、访问原始IP、访问目标IP、</w:t>
            </w:r>
            <w:r>
              <w:rPr>
                <w:sz w:val="16"/>
                <w:szCs w:val="16"/>
              </w:rPr>
              <w:t xml:space="preserve"> </w:t>
            </w:r>
            <w:r>
              <w:rPr>
                <w:sz w:val="16"/>
                <w:szCs w:val="16"/>
                <w:spacing w:val="-1"/>
              </w:rPr>
              <w:t>访问的动作、访问的结果等。</w:t>
            </w:r>
          </w:p>
          <w:p>
            <w:pPr>
              <w:pStyle w:val="TableText"/>
              <w:ind w:left="254"/>
              <w:spacing w:before="100" w:line="270" w:lineRule="exact"/>
              <w:rPr>
                <w:sz w:val="16"/>
                <w:szCs w:val="16"/>
              </w:rPr>
            </w:pPr>
            <w:r>
              <w:rPr>
                <w:sz w:val="16"/>
                <w:szCs w:val="16"/>
                <w:spacing w:val="3"/>
                <w:position w:val="8"/>
              </w:rPr>
              <w:t>8数据编码规范(略)</w:t>
            </w:r>
          </w:p>
          <w:p>
            <w:pPr>
              <w:pStyle w:val="TableText"/>
              <w:ind w:left="254"/>
              <w:spacing w:line="219" w:lineRule="auto"/>
              <w:rPr>
                <w:sz w:val="16"/>
                <w:szCs w:val="16"/>
              </w:rPr>
            </w:pPr>
            <w:r>
              <w:rPr>
                <w:sz w:val="16"/>
                <w:szCs w:val="16"/>
                <w:spacing w:val="-6"/>
              </w:rPr>
              <w:t>9</w:t>
            </w:r>
            <w:r>
              <w:rPr>
                <w:sz w:val="16"/>
                <w:szCs w:val="16"/>
                <w:spacing w:val="-33"/>
              </w:rPr>
              <w:t xml:space="preserve"> </w:t>
            </w:r>
            <w:r>
              <w:rPr>
                <w:sz w:val="16"/>
                <w:szCs w:val="16"/>
                <w:spacing w:val="-6"/>
              </w:rPr>
              <w:t>业</w:t>
            </w:r>
            <w:r>
              <w:rPr>
                <w:sz w:val="16"/>
                <w:szCs w:val="16"/>
                <w:spacing w:val="-33"/>
              </w:rPr>
              <w:t xml:space="preserve"> </w:t>
            </w:r>
            <w:r>
              <w:rPr>
                <w:sz w:val="16"/>
                <w:szCs w:val="16"/>
                <w:spacing w:val="-6"/>
              </w:rPr>
              <w:t>务</w:t>
            </w:r>
            <w:r>
              <w:rPr>
                <w:sz w:val="16"/>
                <w:szCs w:val="16"/>
                <w:spacing w:val="-36"/>
              </w:rPr>
              <w:t xml:space="preserve"> </w:t>
            </w:r>
            <w:r>
              <w:rPr>
                <w:sz w:val="16"/>
                <w:szCs w:val="16"/>
                <w:spacing w:val="-6"/>
              </w:rPr>
              <w:t>场</w:t>
            </w:r>
            <w:r>
              <w:rPr>
                <w:sz w:val="16"/>
                <w:szCs w:val="16"/>
                <w:spacing w:val="-33"/>
              </w:rPr>
              <w:t xml:space="preserve"> </w:t>
            </w:r>
            <w:r>
              <w:rPr>
                <w:sz w:val="16"/>
                <w:szCs w:val="16"/>
                <w:spacing w:val="-6"/>
              </w:rPr>
              <w:t>景</w:t>
            </w:r>
          </w:p>
          <w:p>
            <w:pPr>
              <w:pStyle w:val="TableText"/>
              <w:ind w:left="254"/>
              <w:spacing w:before="91" w:line="219" w:lineRule="auto"/>
              <w:rPr>
                <w:sz w:val="16"/>
                <w:szCs w:val="16"/>
              </w:rPr>
            </w:pPr>
            <w:r>
              <w:rPr>
                <w:sz w:val="16"/>
                <w:szCs w:val="16"/>
              </w:rPr>
              <w:t>(1)账号申请流程</w:t>
            </w:r>
          </w:p>
          <w:p>
            <w:pPr>
              <w:pStyle w:val="TableText"/>
              <w:ind w:left="254" w:right="56" w:firstLine="29"/>
              <w:spacing w:before="99" w:line="260" w:lineRule="auto"/>
              <w:rPr>
                <w:sz w:val="16"/>
                <w:szCs w:val="16"/>
              </w:rPr>
            </w:pPr>
            <w:r>
              <w:rPr>
                <w:sz w:val="16"/>
                <w:szCs w:val="16"/>
              </w:rPr>
              <w:t>在UDB中需要维护账户和其他业务系统账户的关联关系，以172账号作为主ID账号，其他业</w:t>
            </w:r>
            <w:r>
              <w:rPr>
                <w:sz w:val="16"/>
                <w:szCs w:val="16"/>
                <w:spacing w:val="-1"/>
              </w:rPr>
              <w:t>务系统账号和这</w:t>
            </w:r>
            <w:r>
              <w:rPr>
                <w:sz w:val="16"/>
                <w:szCs w:val="16"/>
              </w:rPr>
              <w:t xml:space="preserve"> </w:t>
            </w:r>
            <w:r>
              <w:rPr>
                <w:sz w:val="16"/>
                <w:szCs w:val="16"/>
                <w:spacing w:val="-5"/>
              </w:rPr>
              <w:t>个主ID进行关联。对于新开通172账号的用户，可能还没有或者部分拥有其他服务账号，可以在开通172业务的</w:t>
            </w:r>
          </w:p>
          <w:p>
            <w:pPr>
              <w:pStyle w:val="TableText"/>
              <w:ind w:left="254" w:right="1458" w:hanging="139"/>
              <w:spacing w:before="101" w:line="265" w:lineRule="auto"/>
              <w:rPr>
                <w:sz w:val="16"/>
                <w:szCs w:val="16"/>
              </w:rPr>
            </w:pPr>
            <w:r>
              <w:rPr>
                <w:sz w:val="16"/>
                <w:szCs w:val="16"/>
                <w:spacing w:val="-2"/>
              </w:rPr>
              <w:t>时候， 一起开通其他业务系统账号，所以在新开172账户的时候可以能有如下两种情况：</w:t>
            </w:r>
            <w:r>
              <w:rPr>
                <w:sz w:val="16"/>
                <w:szCs w:val="16"/>
                <w:spacing w:val="1"/>
              </w:rPr>
              <w:t xml:space="preserve"> </w:t>
            </w:r>
            <w:r>
              <w:rPr>
                <w:sz w:val="16"/>
                <w:szCs w:val="16"/>
                <w:spacing w:val="-1"/>
              </w:rPr>
              <w:t>a)用户已经有其他业务系统账号</w:t>
            </w:r>
          </w:p>
          <w:p>
            <w:pPr>
              <w:pStyle w:val="TableText"/>
              <w:ind w:left="284"/>
              <w:spacing w:before="79" w:line="219" w:lineRule="auto"/>
              <w:rPr>
                <w:sz w:val="16"/>
                <w:szCs w:val="16"/>
              </w:rPr>
            </w:pPr>
            <w:r>
              <w:rPr>
                <w:sz w:val="16"/>
                <w:szCs w:val="16"/>
              </w:rPr>
              <w:t>在开通172账号的时候，用户提供其他业务系统的账号和密码。为了防止虚假信息，在绑</w:t>
            </w:r>
            <w:r>
              <w:rPr>
                <w:sz w:val="16"/>
                <w:szCs w:val="16"/>
                <w:spacing w:val="-1"/>
              </w:rPr>
              <w:t>定业务系统的账</w:t>
            </w:r>
          </w:p>
          <w:p>
            <w:pPr>
              <w:pStyle w:val="TableText"/>
              <w:ind w:left="115" w:right="60" w:firstLine="139"/>
              <w:spacing w:before="100" w:line="278" w:lineRule="auto"/>
              <w:rPr>
                <w:sz w:val="16"/>
                <w:szCs w:val="16"/>
              </w:rPr>
            </w:pPr>
            <w:r>
              <w:rPr>
                <w:sz w:val="16"/>
                <w:szCs w:val="16"/>
                <w:spacing w:val="-2"/>
              </w:rPr>
              <w:t>号的时候，需要将用户提供的业务系统的账号和密码交给各个业务系统进行验证，只有</w:t>
            </w:r>
            <w:r>
              <w:rPr>
                <w:sz w:val="16"/>
                <w:szCs w:val="16"/>
                <w:spacing w:val="-3"/>
              </w:rPr>
              <w:t>验证通过了才可以实</w:t>
            </w:r>
            <w:r>
              <w:rPr>
                <w:sz w:val="16"/>
                <w:szCs w:val="16"/>
              </w:rPr>
              <w:t xml:space="preserve"> </w:t>
            </w:r>
            <w:r>
              <w:rPr>
                <w:sz w:val="16"/>
                <w:szCs w:val="16"/>
                <w:spacing w:val="-1"/>
              </w:rPr>
              <w:t>施绑定。</w:t>
            </w:r>
          </w:p>
          <w:p>
            <w:pPr>
              <w:pStyle w:val="TableText"/>
              <w:ind w:left="254"/>
              <w:spacing w:before="99" w:line="219" w:lineRule="auto"/>
              <w:rPr>
                <w:sz w:val="16"/>
                <w:szCs w:val="16"/>
              </w:rPr>
            </w:pPr>
            <w:r>
              <w:rPr>
                <w:sz w:val="16"/>
                <w:szCs w:val="16"/>
                <w:spacing w:val="-1"/>
              </w:rPr>
              <w:t>b)用户没有其他用户业务系统账号</w:t>
            </w:r>
          </w:p>
          <w:p>
            <w:pPr>
              <w:pStyle w:val="TableText"/>
              <w:ind w:left="134" w:right="62" w:firstLine="149"/>
              <w:spacing w:before="80" w:line="270" w:lineRule="auto"/>
              <w:rPr>
                <w:sz w:val="16"/>
                <w:szCs w:val="16"/>
              </w:rPr>
            </w:pPr>
            <w:r>
              <w:rPr>
                <w:sz w:val="16"/>
                <w:szCs w:val="16"/>
                <w:spacing w:val="-3"/>
              </w:rPr>
              <w:t>如果开通172账户的时候，用户没有开通其他业务系统账户，可以在开通172账户的同时选择为用户开通其他</w:t>
            </w:r>
            <w:r>
              <w:rPr>
                <w:sz w:val="16"/>
                <w:szCs w:val="16"/>
                <w:spacing w:val="15"/>
              </w:rPr>
              <w:t xml:space="preserve"> </w:t>
            </w:r>
            <w:r>
              <w:rPr>
                <w:sz w:val="16"/>
                <w:szCs w:val="16"/>
              </w:rPr>
              <w:t>业务系统账号。系统将实现账号间的映射关系。</w:t>
            </w:r>
          </w:p>
        </w:tc>
      </w:tr>
    </w:tbl>
    <w:p>
      <w:pPr>
        <w:pStyle w:val="BodyText"/>
        <w:rPr/>
      </w:pPr>
      <w:r/>
    </w:p>
    <w:p>
      <w:pPr>
        <w:sectPr>
          <w:footerReference w:type="default" r:id="rId396"/>
          <w:pgSz w:w="8870" w:h="13400"/>
          <w:pgMar w:top="400" w:right="339" w:bottom="564" w:left="479" w:header="0" w:footer="346" w:gutter="0"/>
        </w:sectPr>
        <w:rPr/>
      </w:pPr>
    </w:p>
    <w:p>
      <w:pPr>
        <w:ind w:left="5508"/>
        <w:spacing w:before="194" w:line="219" w:lineRule="auto"/>
        <w:rPr>
          <w:rFonts w:ascii="SimSun" w:hAnsi="SimSun" w:eastAsia="SimSun" w:cs="SimSun"/>
          <w:sz w:val="22"/>
          <w:szCs w:val="22"/>
        </w:rPr>
      </w:pPr>
      <w:bookmarkStart w:name="bookmark78" w:id="73"/>
      <w:bookmarkEnd w:id="73"/>
      <w:bookmarkStart w:name="bookmark79" w:id="74"/>
      <w:bookmarkEnd w:id="74"/>
      <w:r>
        <w:rPr>
          <w:rFonts w:ascii="SimSun" w:hAnsi="SimSun" w:eastAsia="SimSun" w:cs="SimSun"/>
          <w:sz w:val="22"/>
          <w:szCs w:val="22"/>
          <w:b/>
          <w:bCs/>
          <w:spacing w:val="7"/>
        </w:rPr>
        <w:t>第8章■云端数据架构</w:t>
      </w:r>
    </w:p>
    <w:p>
      <w:pPr>
        <w:pStyle w:val="BodyText"/>
        <w:spacing w:line="284" w:lineRule="auto"/>
        <w:rPr/>
      </w:pPr>
      <w:r/>
    </w:p>
    <w:p>
      <w:pPr>
        <w:ind w:left="6944"/>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68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5049" w:hRule="atLeast"/>
        </w:trPr>
        <w:tc>
          <w:tcPr>
            <w:tcW w:w="7680" w:type="dxa"/>
            <w:vAlign w:val="top"/>
          </w:tcPr>
          <w:p>
            <w:pPr>
              <w:pStyle w:val="TableText"/>
              <w:ind w:left="254"/>
              <w:spacing w:before="81" w:line="220" w:lineRule="auto"/>
              <w:rPr/>
            </w:pPr>
            <w:r>
              <w:rPr/>
              <w:t>(2)账号绑定流程</w:t>
            </w:r>
          </w:p>
          <w:p>
            <w:pPr>
              <w:pStyle w:val="TableText"/>
              <w:ind w:left="64" w:right="307" w:firstLine="180"/>
              <w:spacing w:before="101" w:line="270" w:lineRule="auto"/>
              <w:rPr/>
            </w:pPr>
            <w:r>
              <w:rPr/>
              <w:t>用户可以在开通172账户的时候选择同时开通相关的业务系统账户，也可以在后续自己来</w:t>
            </w:r>
            <w:r>
              <w:rPr>
                <w:spacing w:val="-1"/>
              </w:rPr>
              <w:t>绑定业务系统相关的</w:t>
            </w:r>
            <w:r>
              <w:rPr/>
              <w:t xml:space="preserve"> </w:t>
            </w:r>
            <w:r>
              <w:rPr>
                <w:spacing w:val="-2"/>
              </w:rPr>
              <w:t>账户。</w:t>
            </w:r>
          </w:p>
          <w:p>
            <w:pPr>
              <w:pStyle w:val="TableText"/>
              <w:ind w:left="254"/>
              <w:spacing w:before="121" w:line="220" w:lineRule="auto"/>
              <w:rPr/>
            </w:pPr>
            <w:r>
              <w:rPr/>
              <w:t>(3)账号解绑流程</w:t>
            </w:r>
          </w:p>
          <w:p>
            <w:pPr>
              <w:pStyle w:val="TableText"/>
              <w:ind w:left="104" w:right="372" w:firstLine="149"/>
              <w:spacing w:before="100" w:line="282" w:lineRule="auto"/>
              <w:rPr/>
            </w:pPr>
            <w:r>
              <w:rPr/>
              <w:t>用户可以自己解除业务系统账号和172账号的绑定关系，如果解除了绑定关系，用户将不能</w:t>
            </w:r>
            <w:r>
              <w:rPr>
                <w:spacing w:val="-1"/>
              </w:rPr>
              <w:t>使用172账户登录</w:t>
            </w:r>
            <w:r>
              <w:rPr/>
              <w:t xml:space="preserve"> </w:t>
            </w:r>
            <w:r>
              <w:rPr>
                <w:spacing w:val="-1"/>
              </w:rPr>
              <w:t>相应的业务系统。</w:t>
            </w:r>
          </w:p>
          <w:p>
            <w:pPr>
              <w:pStyle w:val="TableText"/>
              <w:ind w:left="254"/>
              <w:spacing w:before="112" w:line="219" w:lineRule="auto"/>
              <w:rPr/>
            </w:pPr>
            <w:r>
              <w:rPr/>
              <w:t>(4)密码修改流程</w:t>
            </w:r>
          </w:p>
          <w:p>
            <w:pPr>
              <w:pStyle w:val="TableText"/>
              <w:ind w:left="254"/>
              <w:spacing w:before="72" w:line="219" w:lineRule="auto"/>
              <w:rPr/>
            </w:pPr>
            <w:r>
              <w:rPr/>
              <w:t>用户可以登陆UDB系统修改密码，也可拨打集团客户电话修改密</w:t>
            </w:r>
            <w:r>
              <w:rPr>
                <w:spacing w:val="-1"/>
              </w:rPr>
              <w:t>码。</w:t>
            </w:r>
          </w:p>
          <w:p>
            <w:pPr>
              <w:pStyle w:val="TableText"/>
              <w:ind w:left="254"/>
              <w:spacing w:before="122" w:line="220" w:lineRule="auto"/>
              <w:rPr/>
            </w:pPr>
            <w:r>
              <w:rPr/>
              <w:t>(5)账号升级流程</w:t>
            </w:r>
          </w:p>
          <w:p>
            <w:pPr>
              <w:pStyle w:val="TableText"/>
              <w:ind w:left="254"/>
              <w:spacing w:before="101" w:line="219" w:lineRule="auto"/>
              <w:rPr/>
            </w:pPr>
            <w:r>
              <w:rPr/>
              <w:t>172账户是可以作为通讯号码和服务号码的。UDB需要维护172账户的这种状态。当一个172用户从服务号码</w:t>
            </w:r>
          </w:p>
          <w:p>
            <w:pPr>
              <w:pStyle w:val="TableText"/>
              <w:ind w:left="254"/>
              <w:spacing w:before="102" w:line="219" w:lineRule="auto"/>
              <w:rPr/>
            </w:pPr>
            <w:r>
              <w:rPr/>
              <w:t>升级成通讯号码的时候，UDB需要更新此状态信息。维护此状态的好处是：通过该识别，U</w:t>
            </w:r>
            <w:r>
              <w:rPr>
                <w:spacing w:val="-1"/>
              </w:rPr>
              <w:t>DB可以判断是否可</w:t>
            </w:r>
          </w:p>
          <w:p>
            <w:pPr>
              <w:pStyle w:val="TableText"/>
              <w:ind w:left="254"/>
              <w:spacing w:before="111" w:line="219" w:lineRule="auto"/>
              <w:rPr/>
            </w:pPr>
            <w:r>
              <w:rPr/>
              <w:t>以将信息发送到用户的手机。账号升级的过程很简单，更新172用户在UDB数据库中的一个状态字段即可。为</w:t>
            </w:r>
          </w:p>
          <w:p>
            <w:pPr>
              <w:pStyle w:val="TableText"/>
              <w:ind w:left="115" w:right="182" w:firstLine="139"/>
              <w:spacing w:before="103" w:line="275" w:lineRule="auto"/>
              <w:rPr/>
            </w:pPr>
            <w:r>
              <w:rPr>
                <w:spacing w:val="1"/>
              </w:rPr>
              <w:t>了保证账号和密码的安全性，我们在服务方法上做了一个约定：外网服</w:t>
            </w:r>
            <w:r>
              <w:rPr/>
              <w:t>务的必须通过OTP(One Time Password) </w:t>
            </w:r>
            <w:r>
              <w:rPr/>
              <w:t>进行服务，如果是内网服务可以通过OTP、用户的固定密码、手机短消息发送动态密码的方式进行服务。</w:t>
            </w:r>
          </w:p>
          <w:p>
            <w:pPr>
              <w:pStyle w:val="TableText"/>
              <w:ind w:left="254"/>
              <w:spacing w:before="113" w:line="219" w:lineRule="auto"/>
              <w:rPr/>
            </w:pPr>
            <w:r>
              <w:rPr/>
              <w:t>(6)用户使用基础账户登录业务系统流程</w:t>
            </w:r>
          </w:p>
          <w:p>
            <w:pPr>
              <w:pStyle w:val="TableText"/>
              <w:ind w:left="254"/>
              <w:spacing w:before="112" w:line="219" w:lineRule="auto"/>
              <w:rPr/>
            </w:pPr>
            <w:r>
              <w:rPr/>
              <w:t>用户使用172账号登录业务系统，业务系统识别出172用户，并且把用户服务发送给UDB系</w:t>
            </w:r>
            <w:r>
              <w:rPr>
                <w:spacing w:val="-1"/>
              </w:rPr>
              <w:t>统进行服务，UDB</w:t>
            </w:r>
          </w:p>
          <w:p>
            <w:pPr>
              <w:pStyle w:val="TableText"/>
              <w:ind w:left="115" w:right="445" w:firstLine="139"/>
              <w:spacing w:before="90" w:line="283" w:lineRule="auto"/>
              <w:rPr/>
            </w:pPr>
            <w:r>
              <w:rPr/>
              <w:t>服务用户，将服务结果(172账户关联的业务系统账号传送给业务系统),业务系统认证UDB服</w:t>
            </w:r>
            <w:r>
              <w:rPr>
                <w:spacing w:val="-1"/>
              </w:rPr>
              <w:t>务后，用户按照</w:t>
            </w:r>
            <w:r>
              <w:rPr/>
              <w:t xml:space="preserve"> </w:t>
            </w:r>
            <w:r>
              <w:rPr>
                <w:spacing w:val="-1"/>
              </w:rPr>
              <w:t>原来的情况使用业务系统。</w:t>
            </w:r>
          </w:p>
        </w:tc>
      </w:tr>
    </w:tbl>
    <w:p>
      <w:pPr>
        <w:pStyle w:val="BodyText"/>
        <w:spacing w:line="330" w:lineRule="auto"/>
        <w:rPr/>
      </w:pPr>
      <w:r/>
    </w:p>
    <w:p>
      <w:pPr>
        <w:ind w:left="29"/>
        <w:spacing w:before="94" w:line="225" w:lineRule="auto"/>
        <w:outlineLvl w:val="4"/>
        <w:rPr>
          <w:rFonts w:ascii="YouYuan" w:hAnsi="YouYuan" w:eastAsia="YouYuan" w:cs="YouYuan"/>
          <w:sz w:val="29"/>
          <w:szCs w:val="29"/>
        </w:rPr>
      </w:pPr>
      <w:r>
        <w:rPr>
          <w:rFonts w:ascii="YouYuan" w:hAnsi="YouYuan" w:eastAsia="YouYuan" w:cs="YouYuan"/>
          <w:sz w:val="29"/>
          <w:szCs w:val="29"/>
          <w:b/>
          <w:bCs/>
          <w:spacing w:val="-8"/>
        </w:rPr>
        <w:t>8.2.4</w:t>
      </w:r>
      <w:r>
        <w:rPr>
          <w:rFonts w:ascii="YouYuan" w:hAnsi="YouYuan" w:eastAsia="YouYuan" w:cs="YouYuan"/>
          <w:sz w:val="29"/>
          <w:szCs w:val="29"/>
          <w:spacing w:val="117"/>
        </w:rPr>
        <w:t xml:space="preserve"> </w:t>
      </w:r>
      <w:r>
        <w:rPr>
          <w:rFonts w:ascii="YouYuan" w:hAnsi="YouYuan" w:eastAsia="YouYuan" w:cs="YouYuan"/>
          <w:sz w:val="29"/>
          <w:szCs w:val="29"/>
          <w:b/>
          <w:bCs/>
          <w:spacing w:val="-8"/>
        </w:rPr>
        <w:t>历史数据管理</w:t>
      </w:r>
    </w:p>
    <w:p>
      <w:pPr>
        <w:ind w:left="458"/>
        <w:spacing w:before="306" w:line="224" w:lineRule="auto"/>
        <w:outlineLvl w:val="5"/>
        <w:rPr>
          <w:rFonts w:ascii="YouYuan" w:hAnsi="YouYuan" w:eastAsia="YouYuan" w:cs="YouYuan"/>
          <w:sz w:val="22"/>
          <w:szCs w:val="22"/>
        </w:rPr>
      </w:pPr>
      <w:r>
        <w:rPr>
          <w:rFonts w:ascii="YouYuan" w:hAnsi="YouYuan" w:eastAsia="YouYuan" w:cs="YouYuan"/>
          <w:sz w:val="22"/>
          <w:szCs w:val="22"/>
          <w:b/>
          <w:bCs/>
          <w:spacing w:val="-2"/>
        </w:rPr>
        <w:t>1.</w:t>
      </w:r>
      <w:r>
        <w:rPr>
          <w:rFonts w:ascii="YouYuan" w:hAnsi="YouYuan" w:eastAsia="YouYuan" w:cs="YouYuan"/>
          <w:sz w:val="22"/>
          <w:szCs w:val="22"/>
          <w:spacing w:val="-15"/>
        </w:rPr>
        <w:t xml:space="preserve"> </w:t>
      </w:r>
      <w:r>
        <w:rPr>
          <w:rFonts w:ascii="YouYuan" w:hAnsi="YouYuan" w:eastAsia="YouYuan" w:cs="YouYuan"/>
          <w:sz w:val="22"/>
          <w:szCs w:val="22"/>
          <w:b/>
          <w:bCs/>
          <w:spacing w:val="-2"/>
        </w:rPr>
        <w:t>简介</w:t>
      </w:r>
    </w:p>
    <w:p>
      <w:pPr>
        <w:ind w:left="454"/>
        <w:spacing w:before="227" w:line="232" w:lineRule="auto"/>
        <w:rPr>
          <w:rFonts w:ascii="KaiTi" w:hAnsi="KaiTi" w:eastAsia="KaiTi" w:cs="KaiTi"/>
          <w:sz w:val="22"/>
          <w:szCs w:val="22"/>
        </w:rPr>
      </w:pPr>
      <w:r>
        <w:rPr>
          <w:rFonts w:ascii="KaiTi" w:hAnsi="KaiTi" w:eastAsia="KaiTi" w:cs="KaiTi"/>
          <w:sz w:val="22"/>
          <w:szCs w:val="22"/>
          <w:spacing w:val="10"/>
        </w:rPr>
        <w:t>1)目的</w:t>
      </w:r>
    </w:p>
    <w:p>
      <w:pPr>
        <w:ind w:left="25" w:right="233" w:firstLine="429"/>
        <w:spacing w:before="47"/>
        <w:rPr>
          <w:rFonts w:ascii="SimSun" w:hAnsi="SimSun" w:eastAsia="SimSun" w:cs="SimSun"/>
          <w:sz w:val="22"/>
          <w:szCs w:val="22"/>
        </w:rPr>
      </w:pPr>
      <w:r>
        <w:rPr>
          <w:rFonts w:ascii="SimSun" w:hAnsi="SimSun" w:eastAsia="SimSun" w:cs="SimSun"/>
          <w:sz w:val="22"/>
          <w:szCs w:val="22"/>
          <w:spacing w:val="-8"/>
        </w:rPr>
        <w:t>确保数据保存满足组织和监管对历史数据可用性的要求，并确保数据归档和销</w:t>
      </w:r>
      <w:r>
        <w:rPr>
          <w:rFonts w:ascii="SimSun" w:hAnsi="SimSun" w:eastAsia="SimSun" w:cs="SimSun"/>
          <w:sz w:val="22"/>
          <w:szCs w:val="22"/>
          <w:spacing w:val="6"/>
        </w:rPr>
        <w:t xml:space="preserve"> </w:t>
      </w:r>
      <w:r>
        <w:rPr>
          <w:rFonts w:ascii="SimSun" w:hAnsi="SimSun" w:eastAsia="SimSun" w:cs="SimSun"/>
          <w:sz w:val="22"/>
          <w:szCs w:val="22"/>
          <w:spacing w:val="-13"/>
        </w:rPr>
        <w:t>毁满足法律和监管要求。</w:t>
      </w:r>
    </w:p>
    <w:p>
      <w:pPr>
        <w:ind w:left="454"/>
        <w:spacing w:before="32" w:line="222" w:lineRule="auto"/>
        <w:rPr>
          <w:rFonts w:ascii="KaiTi" w:hAnsi="KaiTi" w:eastAsia="KaiTi" w:cs="KaiTi"/>
          <w:sz w:val="22"/>
          <w:szCs w:val="22"/>
        </w:rPr>
      </w:pPr>
      <w:r>
        <w:rPr>
          <w:rFonts w:ascii="KaiTi" w:hAnsi="KaiTi" w:eastAsia="KaiTi" w:cs="KaiTi"/>
          <w:sz w:val="22"/>
          <w:szCs w:val="22"/>
          <w:spacing w:val="18"/>
        </w:rPr>
        <w:t>2)介绍</w:t>
      </w:r>
    </w:p>
    <w:p>
      <w:pPr>
        <w:ind w:left="25" w:right="220" w:firstLine="429"/>
        <w:spacing w:before="63" w:line="254" w:lineRule="auto"/>
        <w:rPr>
          <w:rFonts w:ascii="SimSun" w:hAnsi="SimSun" w:eastAsia="SimSun" w:cs="SimSun"/>
          <w:sz w:val="22"/>
          <w:szCs w:val="22"/>
        </w:rPr>
      </w:pPr>
      <w:r>
        <w:rPr>
          <w:rFonts w:ascii="SimSun" w:hAnsi="SimSun" w:eastAsia="SimSun" w:cs="SimSun"/>
          <w:sz w:val="22"/>
          <w:szCs w:val="22"/>
          <w:spacing w:val="-8"/>
        </w:rPr>
        <w:t>云计算环境下数据本身发生了很多变化，最明显的特征是数据体量暴增，组织</w:t>
      </w:r>
      <w:r>
        <w:rPr>
          <w:rFonts w:ascii="SimSun" w:hAnsi="SimSun" w:eastAsia="SimSun" w:cs="SimSun"/>
          <w:sz w:val="22"/>
          <w:szCs w:val="22"/>
          <w:spacing w:val="2"/>
        </w:rPr>
        <w:t xml:space="preserve"> </w:t>
      </w:r>
      <w:r>
        <w:rPr>
          <w:rFonts w:ascii="SimSun" w:hAnsi="SimSun" w:eastAsia="SimSun" w:cs="SimSun"/>
          <w:sz w:val="22"/>
          <w:szCs w:val="22"/>
          <w:spacing w:val="-8"/>
        </w:rPr>
        <w:t>面对大体量的数据越来越多地使用云计算技术。例如租赁云存储空间以保存组织数</w:t>
      </w:r>
      <w:r>
        <w:rPr>
          <w:rFonts w:ascii="SimSun" w:hAnsi="SimSun" w:eastAsia="SimSun" w:cs="SimSun"/>
          <w:sz w:val="22"/>
          <w:szCs w:val="22"/>
          <w:spacing w:val="6"/>
        </w:rPr>
        <w:t xml:space="preserve"> </w:t>
      </w:r>
      <w:r>
        <w:rPr>
          <w:rFonts w:ascii="SimSun" w:hAnsi="SimSun" w:eastAsia="SimSun" w:cs="SimSun"/>
          <w:sz w:val="22"/>
          <w:szCs w:val="22"/>
          <w:spacing w:val="-8"/>
        </w:rPr>
        <w:t>据，租赁云主机对组织数据进行处理等。云计算资源的租赁会占用组织成本，因此</w:t>
      </w:r>
      <w:r>
        <w:rPr>
          <w:rFonts w:ascii="SimSun" w:hAnsi="SimSun" w:eastAsia="SimSun" w:cs="SimSun"/>
          <w:sz w:val="22"/>
          <w:szCs w:val="22"/>
          <w:spacing w:val="5"/>
        </w:rPr>
        <w:t xml:space="preserve"> </w:t>
      </w:r>
      <w:r>
        <w:rPr>
          <w:rFonts w:ascii="SimSun" w:hAnsi="SimSun" w:eastAsia="SimSun" w:cs="SimSun"/>
          <w:sz w:val="22"/>
          <w:szCs w:val="22"/>
          <w:spacing w:val="-8"/>
        </w:rPr>
        <w:t>组织必然会在意云计算资源的使用效率，其中云储存空间的高效合理使用就是重要</w:t>
      </w:r>
      <w:r>
        <w:rPr>
          <w:rFonts w:ascii="SimSun" w:hAnsi="SimSun" w:eastAsia="SimSun" w:cs="SimSun"/>
          <w:sz w:val="22"/>
          <w:szCs w:val="22"/>
          <w:spacing w:val="7"/>
        </w:rPr>
        <w:t xml:space="preserve"> </w:t>
      </w:r>
      <w:r>
        <w:rPr>
          <w:rFonts w:ascii="SimSun" w:hAnsi="SimSun" w:eastAsia="SimSun" w:cs="SimSun"/>
          <w:sz w:val="22"/>
          <w:szCs w:val="22"/>
          <w:spacing w:val="-8"/>
        </w:rPr>
        <w:t>的一项内容。为了提高存储空间的利用率，降低组</w:t>
      </w:r>
      <w:r>
        <w:rPr>
          <w:rFonts w:ascii="SimSun" w:hAnsi="SimSun" w:eastAsia="SimSun" w:cs="SimSun"/>
          <w:sz w:val="22"/>
          <w:szCs w:val="22"/>
          <w:spacing w:val="-9"/>
        </w:rPr>
        <w:t>织因存储和处理将要过时或不再</w:t>
      </w:r>
      <w:r>
        <w:rPr>
          <w:rFonts w:ascii="SimSun" w:hAnsi="SimSun" w:eastAsia="SimSun" w:cs="SimSun"/>
          <w:sz w:val="22"/>
          <w:szCs w:val="22"/>
        </w:rPr>
        <w:t xml:space="preserve"> </w:t>
      </w:r>
      <w:r>
        <w:rPr>
          <w:rFonts w:ascii="SimSun" w:hAnsi="SimSun" w:eastAsia="SimSun" w:cs="SimSun"/>
          <w:sz w:val="22"/>
          <w:szCs w:val="22"/>
          <w:spacing w:val="-7"/>
        </w:rPr>
        <w:t>产生价值的数据而消耗的成本，那么对历史数据的正确管</w:t>
      </w:r>
      <w:r>
        <w:rPr>
          <w:rFonts w:ascii="SimSun" w:hAnsi="SimSun" w:eastAsia="SimSun" w:cs="SimSun"/>
          <w:sz w:val="22"/>
          <w:szCs w:val="22"/>
          <w:spacing w:val="-8"/>
        </w:rPr>
        <w:t>理是必须要开展的。除了</w:t>
      </w:r>
      <w:r>
        <w:rPr>
          <w:rFonts w:ascii="SimSun" w:hAnsi="SimSun" w:eastAsia="SimSun" w:cs="SimSun"/>
          <w:sz w:val="22"/>
          <w:szCs w:val="22"/>
        </w:rPr>
        <w:t xml:space="preserve"> </w:t>
      </w:r>
      <w:r>
        <w:rPr>
          <w:rFonts w:ascii="SimSun" w:hAnsi="SimSun" w:eastAsia="SimSun" w:cs="SimSun"/>
          <w:sz w:val="22"/>
          <w:szCs w:val="22"/>
          <w:spacing w:val="-10"/>
        </w:rPr>
        <w:t>节约成本的原因，外部监管对历史数据的处理要求也是一个非常重要的原因。</w:t>
      </w:r>
    </w:p>
    <w:p>
      <w:pPr>
        <w:ind w:left="25" w:right="239" w:firstLine="429"/>
        <w:spacing w:before="49"/>
        <w:rPr>
          <w:rFonts w:ascii="SimSun" w:hAnsi="SimSun" w:eastAsia="SimSun" w:cs="SimSun"/>
          <w:sz w:val="22"/>
          <w:szCs w:val="22"/>
        </w:rPr>
      </w:pPr>
      <w:r>
        <w:rPr>
          <w:rFonts w:ascii="SimSun" w:hAnsi="SimSun" w:eastAsia="SimSun" w:cs="SimSun"/>
          <w:sz w:val="22"/>
          <w:szCs w:val="22"/>
          <w:spacing w:val="-2"/>
        </w:rPr>
        <w:t>历史数据管理定义了如何管理历史数据(例如数据变更、版本控制)以及生命</w:t>
      </w:r>
      <w:r>
        <w:rPr>
          <w:rFonts w:ascii="SimSun" w:hAnsi="SimSun" w:eastAsia="SimSun" w:cs="SimSun"/>
          <w:sz w:val="22"/>
          <w:szCs w:val="22"/>
          <w:spacing w:val="16"/>
        </w:rPr>
        <w:t xml:space="preserve"> </w:t>
      </w:r>
      <w:r>
        <w:rPr>
          <w:rFonts w:ascii="SimSun" w:hAnsi="SimSun" w:eastAsia="SimSun" w:cs="SimSun"/>
          <w:sz w:val="22"/>
          <w:szCs w:val="22"/>
          <w:spacing w:val="-11"/>
        </w:rPr>
        <w:t>周期后期阶段的数据管理，包括如下内容。</w:t>
      </w:r>
    </w:p>
    <w:p>
      <w:pPr>
        <w:ind w:left="454"/>
        <w:spacing w:before="59" w:line="219" w:lineRule="auto"/>
        <w:rPr>
          <w:rFonts w:ascii="SimSun" w:hAnsi="SimSun" w:eastAsia="SimSun" w:cs="SimSun"/>
          <w:sz w:val="22"/>
          <w:szCs w:val="22"/>
        </w:rPr>
      </w:pPr>
      <w:r>
        <w:rPr>
          <w:rFonts w:ascii="SimSun" w:hAnsi="SimSun" w:eastAsia="SimSun" w:cs="SimSun"/>
          <w:sz w:val="22"/>
          <w:szCs w:val="22"/>
          <w:spacing w:val="-5"/>
        </w:rPr>
        <w:t>(1)数据保存和归档；</w:t>
      </w:r>
    </w:p>
    <w:p>
      <w:pPr>
        <w:spacing w:line="219" w:lineRule="auto"/>
        <w:sectPr>
          <w:footerReference w:type="default" r:id="rId398"/>
          <w:pgSz w:w="8870" w:h="13400"/>
          <w:pgMar w:top="400" w:right="591" w:bottom="604" w:left="374" w:header="0" w:footer="386" w:gutter="0"/>
        </w:sectPr>
        <w:rPr>
          <w:rFonts w:ascii="SimSun" w:hAnsi="SimSun" w:eastAsia="SimSun" w:cs="SimSun"/>
          <w:sz w:val="22"/>
          <w:szCs w:val="22"/>
        </w:rPr>
      </w:pPr>
    </w:p>
    <w:p>
      <w:pPr>
        <w:ind w:left="140"/>
        <w:spacing w:before="149"/>
        <w:rPr>
          <w:rFonts w:ascii="SimSun" w:hAnsi="SimSun" w:eastAsia="SimSun" w:cs="SimSun"/>
          <w:sz w:val="22"/>
          <w:szCs w:val="22"/>
        </w:rPr>
      </w:pPr>
      <w:r>
        <w:rPr>
          <w:rFonts w:ascii="SimSun" w:hAnsi="SimSun" w:eastAsia="SimSun" w:cs="SimSun"/>
          <w:sz w:val="22"/>
          <w:szCs w:val="22"/>
          <w:position w:val="-11"/>
        </w:rPr>
        <w:drawing>
          <wp:inline distT="0" distB="0" distL="0" distR="0">
            <wp:extent cx="6365" cy="228637"/>
            <wp:effectExtent l="0" t="0" r="0" b="0"/>
            <wp:docPr id="272" name="IM 272"/>
            <wp:cNvGraphicFramePr/>
            <a:graphic>
              <a:graphicData uri="http://schemas.openxmlformats.org/drawingml/2006/picture">
                <pic:pic>
                  <pic:nvPicPr>
                    <pic:cNvPr id="272" name="IM 272"/>
                    <pic:cNvPicPr/>
                  </pic:nvPicPr>
                  <pic:blipFill>
                    <a:blip r:embed="rId400"/>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29"/>
          <w:w w:val="97"/>
        </w:rPr>
        <w:t>■云端数据治理■</w:t>
      </w:r>
    </w:p>
    <w:p>
      <w:pPr>
        <w:ind w:left="720"/>
        <w:spacing w:before="287" w:line="219" w:lineRule="auto"/>
        <w:rPr>
          <w:rFonts w:ascii="SimSun" w:hAnsi="SimSun" w:eastAsia="SimSun" w:cs="SimSun"/>
          <w:sz w:val="22"/>
          <w:szCs w:val="22"/>
        </w:rPr>
      </w:pPr>
      <w:r>
        <w:rPr>
          <w:rFonts w:ascii="SimSun" w:hAnsi="SimSun" w:eastAsia="SimSun" w:cs="SimSun"/>
          <w:sz w:val="22"/>
          <w:szCs w:val="22"/>
          <w:spacing w:val="-6"/>
        </w:rPr>
        <w:t>(2)压缩数据存储空间，提高利用率，降低存储成本；</w:t>
      </w:r>
    </w:p>
    <w:p>
      <w:pPr>
        <w:ind w:left="720"/>
        <w:spacing w:before="40" w:line="219" w:lineRule="auto"/>
        <w:rPr>
          <w:rFonts w:ascii="SimSun" w:hAnsi="SimSun" w:eastAsia="SimSun" w:cs="SimSun"/>
          <w:sz w:val="22"/>
          <w:szCs w:val="22"/>
        </w:rPr>
      </w:pPr>
      <w:r>
        <w:rPr>
          <w:rFonts w:ascii="SimSun" w:hAnsi="SimSun" w:eastAsia="SimSun" w:cs="SimSun"/>
          <w:sz w:val="22"/>
          <w:szCs w:val="22"/>
          <w:spacing w:val="-6"/>
        </w:rPr>
        <w:t>(3)恢复数据到某个时间点的状态；</w:t>
      </w:r>
    </w:p>
    <w:p>
      <w:pPr>
        <w:ind w:left="720"/>
        <w:spacing w:before="49" w:line="219" w:lineRule="auto"/>
        <w:rPr>
          <w:rFonts w:ascii="SimSun" w:hAnsi="SimSun" w:eastAsia="SimSun" w:cs="SimSun"/>
          <w:sz w:val="22"/>
          <w:szCs w:val="22"/>
        </w:rPr>
      </w:pPr>
      <w:r>
        <w:rPr>
          <w:rFonts w:ascii="SimSun" w:hAnsi="SimSun" w:eastAsia="SimSun" w:cs="SimSun"/>
          <w:sz w:val="22"/>
          <w:szCs w:val="22"/>
          <w:spacing w:val="-4"/>
        </w:rPr>
        <w:t>(4)保证内部和外部存放要求得到满足。</w:t>
      </w:r>
    </w:p>
    <w:p>
      <w:pPr>
        <w:ind w:left="290" w:right="63" w:firstLine="430"/>
        <w:spacing w:before="51" w:line="254" w:lineRule="auto"/>
        <w:rPr>
          <w:rFonts w:ascii="SimSun" w:hAnsi="SimSun" w:eastAsia="SimSun" w:cs="SimSun"/>
          <w:sz w:val="22"/>
          <w:szCs w:val="22"/>
        </w:rPr>
      </w:pPr>
      <w:r>
        <w:rPr>
          <w:rFonts w:ascii="SimSun" w:hAnsi="SimSun" w:eastAsia="SimSun" w:cs="SimSun"/>
          <w:sz w:val="22"/>
          <w:szCs w:val="22"/>
          <w:spacing w:val="-8"/>
        </w:rPr>
        <w:t>历史数据管理的主要目标是确保历史数据由组织以一致</w:t>
      </w:r>
      <w:r>
        <w:rPr>
          <w:rFonts w:ascii="SimSun" w:hAnsi="SimSun" w:eastAsia="SimSun" w:cs="SimSun"/>
          <w:sz w:val="22"/>
          <w:szCs w:val="22"/>
          <w:spacing w:val="-9"/>
        </w:rPr>
        <w:t>的方式进行管理，以满</w:t>
      </w:r>
      <w:r>
        <w:rPr>
          <w:rFonts w:ascii="SimSun" w:hAnsi="SimSun" w:eastAsia="SimSun" w:cs="SimSun"/>
          <w:sz w:val="22"/>
          <w:szCs w:val="22"/>
        </w:rPr>
        <w:t xml:space="preserve"> </w:t>
      </w:r>
      <w:r>
        <w:rPr>
          <w:rFonts w:ascii="SimSun" w:hAnsi="SimSun" w:eastAsia="SimSun" w:cs="SimSun"/>
          <w:sz w:val="22"/>
          <w:szCs w:val="22"/>
          <w:spacing w:val="-8"/>
        </w:rPr>
        <w:t>足业务需求。要做到这一点，组织需要定义数据保存标准，以及用于数</w:t>
      </w:r>
      <w:r>
        <w:rPr>
          <w:rFonts w:ascii="SimSun" w:hAnsi="SimSun" w:eastAsia="SimSun" w:cs="SimSun"/>
          <w:sz w:val="22"/>
          <w:szCs w:val="22"/>
          <w:spacing w:val="-9"/>
        </w:rPr>
        <w:t>据归档的标</w:t>
      </w:r>
      <w:r>
        <w:rPr>
          <w:rFonts w:ascii="SimSun" w:hAnsi="SimSun" w:eastAsia="SimSun" w:cs="SimSun"/>
          <w:sz w:val="22"/>
          <w:szCs w:val="22"/>
        </w:rPr>
        <w:t xml:space="preserve"> </w:t>
      </w:r>
      <w:r>
        <w:rPr>
          <w:rFonts w:ascii="SimSun" w:hAnsi="SimSun" w:eastAsia="SimSun" w:cs="SimSun"/>
          <w:sz w:val="22"/>
          <w:szCs w:val="22"/>
          <w:spacing w:val="-8"/>
        </w:rPr>
        <w:t>准过程和一套准则。通常情况下，监管要求推动着这些准则的制订和完善，以规定</w:t>
      </w:r>
      <w:r>
        <w:rPr>
          <w:rFonts w:ascii="SimSun" w:hAnsi="SimSun" w:eastAsia="SimSun" w:cs="SimSun"/>
          <w:sz w:val="22"/>
          <w:szCs w:val="22"/>
          <w:spacing w:val="1"/>
        </w:rPr>
        <w:t xml:space="preserve"> </w:t>
      </w:r>
      <w:r>
        <w:rPr>
          <w:rFonts w:ascii="SimSun" w:hAnsi="SimSun" w:eastAsia="SimSun" w:cs="SimSun"/>
          <w:sz w:val="22"/>
          <w:szCs w:val="22"/>
          <w:spacing w:val="-7"/>
        </w:rPr>
        <w:t>存档数据的保存期限、保存方式、加密方式等。这些准则也体现了组织内部和外部</w:t>
      </w:r>
      <w:r>
        <w:rPr>
          <w:rFonts w:ascii="SimSun" w:hAnsi="SimSun" w:eastAsia="SimSun" w:cs="SimSun"/>
          <w:sz w:val="22"/>
          <w:szCs w:val="22"/>
          <w:spacing w:val="2"/>
        </w:rPr>
        <w:t xml:space="preserve"> </w:t>
      </w:r>
      <w:r>
        <w:rPr>
          <w:rFonts w:ascii="SimSun" w:hAnsi="SimSun" w:eastAsia="SimSun" w:cs="SimSun"/>
          <w:sz w:val="22"/>
          <w:szCs w:val="22"/>
          <w:spacing w:val="-8"/>
        </w:rPr>
        <w:t>对其数据保存的要求，这通常结合了监管和业务要求。对于现有的数据存</w:t>
      </w:r>
      <w:r>
        <w:rPr>
          <w:rFonts w:ascii="SimSun" w:hAnsi="SimSun" w:eastAsia="SimSun" w:cs="SimSun"/>
          <w:sz w:val="22"/>
          <w:szCs w:val="22"/>
          <w:spacing w:val="-9"/>
        </w:rPr>
        <w:t>储区和计</w:t>
      </w:r>
      <w:r>
        <w:rPr>
          <w:rFonts w:ascii="SimSun" w:hAnsi="SimSun" w:eastAsia="SimSun" w:cs="SimSun"/>
          <w:sz w:val="22"/>
          <w:szCs w:val="22"/>
        </w:rPr>
        <w:t xml:space="preserve"> </w:t>
      </w:r>
      <w:r>
        <w:rPr>
          <w:rFonts w:ascii="SimSun" w:hAnsi="SimSun" w:eastAsia="SimSun" w:cs="SimSun"/>
          <w:sz w:val="22"/>
          <w:szCs w:val="22"/>
          <w:spacing w:val="-8"/>
        </w:rPr>
        <w:t>划的举措，明智的做法是确保各个业务部门了解并明确定义其当前保存要求。这是</w:t>
      </w:r>
      <w:r>
        <w:rPr>
          <w:rFonts w:ascii="SimSun" w:hAnsi="SimSun" w:eastAsia="SimSun" w:cs="SimSun"/>
          <w:sz w:val="22"/>
          <w:szCs w:val="22"/>
          <w:spacing w:val="17"/>
        </w:rPr>
        <w:t xml:space="preserve"> </w:t>
      </w:r>
      <w:r>
        <w:rPr>
          <w:rFonts w:ascii="SimSun" w:hAnsi="SimSun" w:eastAsia="SimSun" w:cs="SimSun"/>
          <w:sz w:val="22"/>
          <w:szCs w:val="22"/>
          <w:spacing w:val="-10"/>
        </w:rPr>
        <w:t>制订归档政策和策略的先导。</w:t>
      </w:r>
    </w:p>
    <w:p>
      <w:pPr>
        <w:ind w:left="290" w:right="84" w:firstLine="430"/>
        <w:spacing w:before="48" w:line="252" w:lineRule="auto"/>
        <w:rPr>
          <w:rFonts w:ascii="SimSun" w:hAnsi="SimSun" w:eastAsia="SimSun" w:cs="SimSun"/>
          <w:sz w:val="22"/>
          <w:szCs w:val="22"/>
        </w:rPr>
      </w:pPr>
      <w:r>
        <w:rPr>
          <w:rFonts w:ascii="SimSun" w:hAnsi="SimSun" w:eastAsia="SimSun" w:cs="SimSun"/>
          <w:sz w:val="22"/>
          <w:szCs w:val="22"/>
          <w:spacing w:val="-8"/>
        </w:rPr>
        <w:t>历史数据可以在两大模式下进行保存：在线可访问或归档。建议组织定义一套</w:t>
      </w:r>
      <w:r>
        <w:rPr>
          <w:rFonts w:ascii="SimSun" w:hAnsi="SimSun" w:eastAsia="SimSun" w:cs="SimSun"/>
          <w:sz w:val="22"/>
          <w:szCs w:val="22"/>
          <w:spacing w:val="11"/>
        </w:rPr>
        <w:t xml:space="preserve"> </w:t>
      </w:r>
      <w:r>
        <w:rPr>
          <w:rFonts w:ascii="SimSun" w:hAnsi="SimSun" w:eastAsia="SimSun" w:cs="SimSun"/>
          <w:sz w:val="22"/>
          <w:szCs w:val="22"/>
          <w:spacing w:val="-5"/>
        </w:rPr>
        <w:t>用于说明和实施数据历史的核心规则(例如数据建模规则、历史更新等),在符合删</w:t>
      </w:r>
      <w:r>
        <w:rPr>
          <w:rFonts w:ascii="SimSun" w:hAnsi="SimSun" w:eastAsia="SimSun" w:cs="SimSun"/>
          <w:sz w:val="22"/>
          <w:szCs w:val="22"/>
          <w:spacing w:val="8"/>
        </w:rPr>
        <w:t xml:space="preserve"> </w:t>
      </w:r>
      <w:r>
        <w:rPr>
          <w:rFonts w:ascii="SimSun" w:hAnsi="SimSun" w:eastAsia="SimSun" w:cs="SimSun"/>
          <w:sz w:val="22"/>
          <w:szCs w:val="22"/>
          <w:spacing w:val="-8"/>
        </w:rPr>
        <w:t>减要求的情况下，随着时间对数据进行处理来获得效率。组织应收集、发现并评审</w:t>
      </w:r>
      <w:r>
        <w:rPr>
          <w:rFonts w:ascii="SimSun" w:hAnsi="SimSun" w:eastAsia="SimSun" w:cs="SimSun"/>
          <w:sz w:val="22"/>
          <w:szCs w:val="22"/>
          <w:spacing w:val="5"/>
        </w:rPr>
        <w:t xml:space="preserve"> </w:t>
      </w:r>
      <w:r>
        <w:rPr>
          <w:rFonts w:ascii="SimSun" w:hAnsi="SimSun" w:eastAsia="SimSun" w:cs="SimSun"/>
          <w:sz w:val="22"/>
          <w:szCs w:val="22"/>
          <w:spacing w:val="-2"/>
        </w:rPr>
        <w:t>历史业务过程(例如预测、报告和操作过程)以及合规性的主要要求，以指导对历</w:t>
      </w:r>
      <w:r>
        <w:rPr>
          <w:rFonts w:ascii="SimSun" w:hAnsi="SimSun" w:eastAsia="SimSun" w:cs="SimSun"/>
          <w:sz w:val="22"/>
          <w:szCs w:val="22"/>
          <w:spacing w:val="5"/>
        </w:rPr>
        <w:t xml:space="preserve"> </w:t>
      </w:r>
      <w:r>
        <w:rPr>
          <w:rFonts w:ascii="SimSun" w:hAnsi="SimSun" w:eastAsia="SimSun" w:cs="SimSun"/>
          <w:sz w:val="22"/>
          <w:szCs w:val="22"/>
          <w:spacing w:val="-15"/>
        </w:rPr>
        <w:t>史数据的有效管理。</w:t>
      </w:r>
    </w:p>
    <w:p>
      <w:pPr>
        <w:ind w:left="290" w:right="5" w:firstLine="430"/>
        <w:spacing w:before="67" w:line="252" w:lineRule="auto"/>
        <w:rPr>
          <w:rFonts w:ascii="SimSun" w:hAnsi="SimSun" w:eastAsia="SimSun" w:cs="SimSun"/>
          <w:sz w:val="22"/>
          <w:szCs w:val="22"/>
        </w:rPr>
      </w:pPr>
      <w:r>
        <w:rPr>
          <w:rFonts w:ascii="SimSun" w:hAnsi="SimSun" w:eastAsia="SimSun" w:cs="SimSun"/>
          <w:sz w:val="22"/>
          <w:szCs w:val="22"/>
          <w:spacing w:val="-8"/>
        </w:rPr>
        <w:t>所定义的归档过程应制订适用的业务规则，确定何时归档数据以及如何存储、</w:t>
      </w:r>
      <w:r>
        <w:rPr>
          <w:rFonts w:ascii="SimSun" w:hAnsi="SimSun" w:eastAsia="SimSun" w:cs="SimSun"/>
          <w:sz w:val="22"/>
          <w:szCs w:val="22"/>
        </w:rPr>
        <w:t xml:space="preserve">  </w:t>
      </w:r>
      <w:r>
        <w:rPr>
          <w:rFonts w:ascii="SimSun" w:hAnsi="SimSun" w:eastAsia="SimSun" w:cs="SimSun"/>
          <w:sz w:val="22"/>
          <w:szCs w:val="22"/>
          <w:spacing w:val="-8"/>
        </w:rPr>
        <w:t>访问或恢复数据。为了确定哪些记录满足该标准，应定期监测归档记录的</w:t>
      </w:r>
      <w:r>
        <w:rPr>
          <w:rFonts w:ascii="SimSun" w:hAnsi="SimSun" w:eastAsia="SimSun" w:cs="SimSun"/>
          <w:sz w:val="22"/>
          <w:szCs w:val="22"/>
          <w:spacing w:val="-9"/>
        </w:rPr>
        <w:t>数据存储</w:t>
      </w:r>
      <w:r>
        <w:rPr>
          <w:rFonts w:ascii="SimSun" w:hAnsi="SimSun" w:eastAsia="SimSun" w:cs="SimSun"/>
          <w:sz w:val="22"/>
          <w:szCs w:val="22"/>
        </w:rPr>
        <w:t xml:space="preserve">  </w:t>
      </w:r>
      <w:r>
        <w:rPr>
          <w:rFonts w:ascii="SimSun" w:hAnsi="SimSun" w:eastAsia="SimSun" w:cs="SimSun"/>
          <w:sz w:val="22"/>
          <w:szCs w:val="22"/>
          <w:spacing w:val="-8"/>
        </w:rPr>
        <w:t>区。最后，性能改进很可能会通过旧数据的存档得到支持。对数据归档时，应先确</w:t>
      </w:r>
      <w:r>
        <w:rPr>
          <w:rFonts w:ascii="SimSun" w:hAnsi="SimSun" w:eastAsia="SimSun" w:cs="SimSun"/>
          <w:sz w:val="22"/>
          <w:szCs w:val="22"/>
          <w:spacing w:val="1"/>
        </w:rPr>
        <w:t xml:space="preserve">  </w:t>
      </w:r>
      <w:r>
        <w:rPr>
          <w:rFonts w:ascii="SimSun" w:hAnsi="SimSun" w:eastAsia="SimSun" w:cs="SimSun"/>
          <w:sz w:val="22"/>
          <w:szCs w:val="22"/>
          <w:spacing w:val="-5"/>
        </w:rPr>
        <w:t>定旧数据的权威来源，还应确定数据是否可以采用可写模式(相对于只读模式),并</w:t>
      </w:r>
      <w:r>
        <w:rPr>
          <w:rFonts w:ascii="SimSun" w:hAnsi="SimSun" w:eastAsia="SimSun" w:cs="SimSun"/>
          <w:sz w:val="22"/>
          <w:szCs w:val="22"/>
          <w:spacing w:val="1"/>
        </w:rPr>
        <w:t xml:space="preserve">  </w:t>
      </w:r>
      <w:r>
        <w:rPr>
          <w:rFonts w:ascii="SimSun" w:hAnsi="SimSun" w:eastAsia="SimSun" w:cs="SimSun"/>
          <w:sz w:val="22"/>
          <w:szCs w:val="22"/>
          <w:spacing w:val="-5"/>
        </w:rPr>
        <w:t>按照数据优先性和使用方式(例如近线与远程等)以及其他安全规则考</w:t>
      </w:r>
      <w:r>
        <w:rPr>
          <w:rFonts w:ascii="SimSun" w:hAnsi="SimSun" w:eastAsia="SimSun" w:cs="SimSun"/>
          <w:sz w:val="22"/>
          <w:szCs w:val="22"/>
          <w:spacing w:val="-6"/>
        </w:rPr>
        <w:t>虑可访问性。</w:t>
      </w:r>
    </w:p>
    <w:p>
      <w:pPr>
        <w:ind w:left="720"/>
        <w:spacing w:before="64" w:line="229" w:lineRule="auto"/>
        <w:rPr>
          <w:rFonts w:ascii="KaiTi" w:hAnsi="KaiTi" w:eastAsia="KaiTi" w:cs="KaiTi"/>
          <w:sz w:val="22"/>
          <w:szCs w:val="22"/>
        </w:rPr>
      </w:pPr>
      <w:r>
        <w:rPr>
          <w:rFonts w:ascii="KaiTi" w:hAnsi="KaiTi" w:eastAsia="KaiTi" w:cs="KaiTi"/>
          <w:sz w:val="22"/>
          <w:szCs w:val="22"/>
          <w:spacing w:val="5"/>
        </w:rPr>
        <w:t>3)相关过程域</w:t>
      </w:r>
    </w:p>
    <w:p>
      <w:pPr>
        <w:ind w:left="720"/>
        <w:spacing w:before="23" w:line="219" w:lineRule="auto"/>
        <w:rPr>
          <w:rFonts w:ascii="SimSun" w:hAnsi="SimSun" w:eastAsia="SimSun" w:cs="SimSun"/>
          <w:sz w:val="22"/>
          <w:szCs w:val="22"/>
        </w:rPr>
      </w:pPr>
      <w:r>
        <w:rPr>
          <w:rFonts w:ascii="SimSun" w:hAnsi="SimSun" w:eastAsia="SimSun" w:cs="SimSun"/>
          <w:sz w:val="22"/>
          <w:szCs w:val="22"/>
          <w:spacing w:val="-10"/>
        </w:rPr>
        <w:t>数据提供者管理过程域定义提供了关于收集和说明数据要求的信息；</w:t>
      </w:r>
    </w:p>
    <w:p>
      <w:pPr>
        <w:ind w:left="720"/>
        <w:spacing w:before="80" w:line="219" w:lineRule="auto"/>
        <w:rPr>
          <w:rFonts w:ascii="SimSun" w:hAnsi="SimSun" w:eastAsia="SimSun" w:cs="SimSun"/>
          <w:sz w:val="22"/>
          <w:szCs w:val="22"/>
        </w:rPr>
      </w:pPr>
      <w:r>
        <w:rPr>
          <w:rFonts w:ascii="SimSun" w:hAnsi="SimSun" w:eastAsia="SimSun" w:cs="SimSun"/>
          <w:sz w:val="22"/>
          <w:szCs w:val="22"/>
          <w:spacing w:val="-10"/>
        </w:rPr>
        <w:t>架构方法过程域包含了关于定义数据资产和能力的高层次的业务要求信息。</w:t>
      </w:r>
    </w:p>
    <w:p>
      <w:pPr>
        <w:pStyle w:val="BodyText"/>
        <w:ind w:left="720"/>
        <w:spacing w:before="196" w:line="223" w:lineRule="auto"/>
        <w:outlineLvl w:val="5"/>
        <w:rPr>
          <w:rFonts w:ascii="SimHei" w:hAnsi="SimHei" w:eastAsia="SimHei" w:cs="SimHei"/>
          <w:sz w:val="22"/>
          <w:szCs w:val="22"/>
        </w:rPr>
      </w:pPr>
      <w:r>
        <w:rPr>
          <w:sz w:val="22"/>
          <w:szCs w:val="22"/>
          <w:b/>
          <w:bCs/>
          <w:spacing w:val="-2"/>
        </w:rPr>
        <w:t>2.GQM</w:t>
      </w:r>
      <w:r>
        <w:rPr>
          <w:sz w:val="22"/>
          <w:szCs w:val="22"/>
          <w:b/>
          <w:bCs/>
          <w:spacing w:val="13"/>
        </w:rPr>
        <w:t xml:space="preserve">   </w:t>
      </w:r>
      <w:r>
        <w:rPr>
          <w:rFonts w:ascii="SimHei" w:hAnsi="SimHei" w:eastAsia="SimHei" w:cs="SimHei"/>
          <w:sz w:val="22"/>
          <w:szCs w:val="22"/>
          <w:b/>
          <w:bCs/>
          <w:spacing w:val="-2"/>
        </w:rPr>
        <w:t>表</w:t>
      </w:r>
    </w:p>
    <w:p>
      <w:pPr>
        <w:spacing w:before="22"/>
        <w:rPr/>
      </w:pPr>
      <w:r/>
    </w:p>
    <w:tbl>
      <w:tblPr>
        <w:tblStyle w:val="TableNormal"/>
        <w:tblW w:w="7680" w:type="dxa"/>
        <w:tblInd w:w="3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67"/>
        <w:gridCol w:w="1638"/>
        <w:gridCol w:w="2712"/>
      </w:tblGrid>
      <w:tr>
        <w:trPr>
          <w:trHeight w:val="364" w:hRule="atLeast"/>
        </w:trPr>
        <w:tc>
          <w:tcPr>
            <w:tcW w:w="1363" w:type="dxa"/>
            <w:vAlign w:val="top"/>
          </w:tcPr>
          <w:p>
            <w:pPr>
              <w:pStyle w:val="TableText"/>
              <w:ind w:left="404"/>
              <w:spacing w:before="111" w:line="220" w:lineRule="auto"/>
              <w:rPr/>
            </w:pPr>
            <w:r>
              <w:rPr>
                <w:spacing w:val="-18"/>
              </w:rPr>
              <w:t>目</w:t>
            </w:r>
            <w:r>
              <w:rPr>
                <w:spacing w:val="17"/>
              </w:rPr>
              <w:t xml:space="preserve">   </w:t>
            </w:r>
            <w:r>
              <w:rPr>
                <w:spacing w:val="-18"/>
              </w:rPr>
              <w:t>标</w:t>
            </w:r>
          </w:p>
        </w:tc>
        <w:tc>
          <w:tcPr>
            <w:tcW w:w="1967" w:type="dxa"/>
            <w:vAlign w:val="top"/>
          </w:tcPr>
          <w:p>
            <w:pPr>
              <w:pStyle w:val="TableText"/>
              <w:ind w:left="672"/>
              <w:spacing w:before="113" w:line="221" w:lineRule="auto"/>
              <w:rPr/>
            </w:pPr>
            <w:r>
              <w:rPr>
                <w:spacing w:val="-12"/>
              </w:rPr>
              <w:t>问</w:t>
            </w:r>
            <w:r>
              <w:rPr>
                <w:spacing w:val="9"/>
              </w:rPr>
              <w:t xml:space="preserve">    </w:t>
            </w:r>
            <w:r>
              <w:rPr>
                <w:spacing w:val="-12"/>
              </w:rPr>
              <w:t>题</w:t>
            </w:r>
          </w:p>
        </w:tc>
        <w:tc>
          <w:tcPr>
            <w:tcW w:w="1638" w:type="dxa"/>
            <w:vAlign w:val="top"/>
          </w:tcPr>
          <w:p>
            <w:pPr>
              <w:pStyle w:val="TableText"/>
              <w:ind w:left="444"/>
              <w:spacing w:before="11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712" w:type="dxa"/>
            <w:vAlign w:val="top"/>
          </w:tcPr>
          <w:p>
            <w:pPr>
              <w:pStyle w:val="TableText"/>
              <w:ind w:left="976"/>
              <w:spacing w:before="111" w:line="219" w:lineRule="auto"/>
              <w:rPr/>
            </w:pPr>
            <w:r>
              <w:rPr>
                <w:spacing w:val="3"/>
              </w:rPr>
              <w:t>度量项说明</w:t>
            </w:r>
          </w:p>
        </w:tc>
      </w:tr>
      <w:tr>
        <w:trPr>
          <w:trHeight w:val="1136" w:hRule="atLeast"/>
        </w:trPr>
        <w:tc>
          <w:tcPr>
            <w:tcW w:w="1363" w:type="dxa"/>
            <w:vAlign w:val="top"/>
          </w:tcPr>
          <w:p>
            <w:pPr>
              <w:pStyle w:val="TableText"/>
              <w:ind w:left="254"/>
              <w:spacing w:before="228" w:line="221" w:lineRule="auto"/>
              <w:rPr/>
            </w:pPr>
            <w:r>
              <w:rPr>
                <w:spacing w:val="3"/>
              </w:rPr>
              <w:t>G1:利用通用</w:t>
            </w:r>
          </w:p>
          <w:p>
            <w:pPr>
              <w:pStyle w:val="TableText"/>
              <w:ind w:left="144" w:right="84" w:hanging="69"/>
              <w:spacing w:before="99" w:line="282" w:lineRule="auto"/>
              <w:rPr/>
            </w:pPr>
            <w:r>
              <w:rPr>
                <w:spacing w:val="-1"/>
              </w:rPr>
              <w:t>标准，对历史数据</w:t>
            </w:r>
            <w:r>
              <w:rPr/>
              <w:t xml:space="preserve"> </w:t>
            </w:r>
            <w:r>
              <w:rPr>
                <w:spacing w:val="-1"/>
              </w:rPr>
              <w:t>进行一致的管理</w:t>
            </w:r>
          </w:p>
        </w:tc>
        <w:tc>
          <w:tcPr>
            <w:tcW w:w="1967" w:type="dxa"/>
            <w:vAlign w:val="top"/>
          </w:tcPr>
          <w:p>
            <w:pPr>
              <w:pStyle w:val="TableText"/>
              <w:ind w:left="261"/>
              <w:spacing w:before="77" w:line="219" w:lineRule="auto"/>
              <w:rPr/>
            </w:pPr>
            <w:r>
              <w:rPr>
                <w:spacing w:val="-1"/>
              </w:rPr>
              <w:t>Q1:适用于历史数据管</w:t>
            </w:r>
          </w:p>
          <w:p>
            <w:pPr>
              <w:pStyle w:val="TableText"/>
              <w:ind w:left="101" w:right="128" w:firstLine="50"/>
              <w:spacing w:before="101" w:line="303" w:lineRule="auto"/>
              <w:rPr/>
            </w:pPr>
            <w:r>
              <w:rPr>
                <w:spacing w:val="-1"/>
              </w:rPr>
              <w:t>理的架构标准和最佳实践</w:t>
            </w:r>
            <w:r>
              <w:rPr>
                <w:spacing w:val="2"/>
              </w:rPr>
              <w:t xml:space="preserve"> </w:t>
            </w:r>
            <w:r>
              <w:rPr/>
              <w:t>是什么,如何定义和治理相 </w:t>
            </w:r>
            <w:r>
              <w:rPr>
                <w:spacing w:val="-1"/>
              </w:rPr>
              <w:t>应的业务规则</w:t>
            </w:r>
          </w:p>
        </w:tc>
        <w:tc>
          <w:tcPr>
            <w:tcW w:w="1638" w:type="dxa"/>
            <w:vAlign w:val="top"/>
          </w:tcPr>
          <w:p>
            <w:pPr>
              <w:spacing w:line="315" w:lineRule="auto"/>
              <w:rPr>
                <w:rFonts w:ascii="Arial"/>
                <w:sz w:val="21"/>
              </w:rPr>
            </w:pPr>
            <w:r/>
          </w:p>
          <w:p>
            <w:pPr>
              <w:pStyle w:val="TableText"/>
              <w:ind w:left="94" w:right="239" w:firstLine="170"/>
              <w:spacing w:before="49" w:line="277" w:lineRule="auto"/>
              <w:rPr/>
            </w:pPr>
            <w:r>
              <w:rPr>
                <w:spacing w:val="-1"/>
              </w:rPr>
              <w:t>M1:历史数据管理</w:t>
            </w:r>
            <w:r>
              <w:rPr>
                <w:spacing w:val="6"/>
              </w:rPr>
              <w:t xml:space="preserve"> </w:t>
            </w:r>
            <w:r>
              <w:rPr>
                <w:spacing w:val="-2"/>
              </w:rPr>
              <w:t>策略</w:t>
            </w:r>
          </w:p>
        </w:tc>
        <w:tc>
          <w:tcPr>
            <w:tcW w:w="2712" w:type="dxa"/>
            <w:vAlign w:val="top"/>
          </w:tcPr>
          <w:p>
            <w:pPr>
              <w:pStyle w:val="TableText"/>
              <w:ind w:left="116" w:right="160" w:firstLine="139"/>
              <w:spacing w:before="87" w:line="313" w:lineRule="auto"/>
              <w:rPr/>
            </w:pPr>
            <w:r>
              <w:rPr/>
              <w:t>组织应公布并遵守数据保存策略，</w:t>
            </w:r>
            <w:r>
              <w:rPr>
                <w:spacing w:val="4"/>
              </w:rPr>
              <w:t xml:space="preserve"> </w:t>
            </w:r>
            <w:r>
              <w:rPr>
                <w:spacing w:val="1"/>
              </w:rPr>
              <w:t>所定义的归档过程应要求指定适用的</w:t>
            </w:r>
            <w:r>
              <w:rPr>
                <w:spacing w:val="7"/>
              </w:rPr>
              <w:t xml:space="preserve"> </w:t>
            </w:r>
            <w:r>
              <w:rPr>
                <w:spacing w:val="1"/>
              </w:rPr>
              <w:t>业务规则，以确定何时归档数据以及</w:t>
            </w:r>
            <w:r>
              <w:rPr>
                <w:spacing w:val="7"/>
              </w:rPr>
              <w:t xml:space="preserve"> </w:t>
            </w:r>
            <w:r>
              <w:rPr>
                <w:spacing w:val="-1"/>
              </w:rPr>
              <w:t>如何存储和访问或恢复数据</w:t>
            </w:r>
          </w:p>
        </w:tc>
      </w:tr>
      <w:tr>
        <w:trPr>
          <w:trHeight w:val="1720" w:hRule="atLeast"/>
        </w:trPr>
        <w:tc>
          <w:tcPr>
            <w:tcW w:w="1363" w:type="dxa"/>
            <w:vAlign w:val="top"/>
          </w:tcPr>
          <w:p>
            <w:pPr>
              <w:spacing w:line="340" w:lineRule="auto"/>
              <w:rPr>
                <w:rFonts w:ascii="Arial"/>
                <w:sz w:val="21"/>
              </w:rPr>
            </w:pPr>
            <w:r/>
          </w:p>
          <w:p>
            <w:pPr>
              <w:pStyle w:val="TableText"/>
              <w:ind w:left="104" w:right="151" w:firstLine="149"/>
              <w:spacing w:before="49" w:line="310" w:lineRule="auto"/>
              <w:rPr/>
            </w:pPr>
            <w:r>
              <w:rPr>
                <w:spacing w:val="-1"/>
              </w:rPr>
              <w:t>G2:满足收集  </w:t>
            </w:r>
            <w:r>
              <w:rPr>
                <w:spacing w:val="4"/>
              </w:rPr>
              <w:t>和存储历史数据 </w:t>
            </w:r>
            <w:r>
              <w:rPr>
                <w:spacing w:val="6"/>
              </w:rPr>
              <w:t>的业务需求和监</w:t>
            </w:r>
            <w:r>
              <w:rPr>
                <w:spacing w:val="3"/>
              </w:rPr>
              <w:t xml:space="preserve"> </w:t>
            </w:r>
            <w:r>
              <w:rPr>
                <w:spacing w:val="-3"/>
              </w:rPr>
              <w:t>管需求</w:t>
            </w:r>
          </w:p>
        </w:tc>
        <w:tc>
          <w:tcPr>
            <w:tcW w:w="1967" w:type="dxa"/>
            <w:vAlign w:val="top"/>
          </w:tcPr>
          <w:p>
            <w:pPr>
              <w:spacing w:line="309" w:lineRule="auto"/>
              <w:rPr>
                <w:rFonts w:ascii="Arial"/>
                <w:sz w:val="21"/>
              </w:rPr>
            </w:pPr>
            <w:r/>
          </w:p>
          <w:p>
            <w:pPr>
              <w:spacing w:line="309" w:lineRule="auto"/>
              <w:rPr>
                <w:rFonts w:ascii="Arial"/>
                <w:sz w:val="21"/>
              </w:rPr>
            </w:pPr>
            <w:r/>
          </w:p>
          <w:p>
            <w:pPr>
              <w:pStyle w:val="TableText"/>
              <w:ind w:left="111" w:right="274" w:firstLine="149"/>
              <w:spacing w:before="48" w:line="283" w:lineRule="auto"/>
              <w:rPr/>
            </w:pPr>
            <w:r>
              <w:rPr>
                <w:spacing w:val="-1"/>
              </w:rPr>
              <w:t>Q2:如何保证数据保存</w:t>
            </w:r>
            <w:r>
              <w:rPr>
                <w:spacing w:val="5"/>
              </w:rPr>
              <w:t xml:space="preserve"> </w:t>
            </w:r>
            <w:r>
              <w:rPr>
                <w:spacing w:val="-1"/>
              </w:rPr>
              <w:t>达到所要求的时长</w:t>
            </w:r>
          </w:p>
        </w:tc>
        <w:tc>
          <w:tcPr>
            <w:tcW w:w="1638" w:type="dxa"/>
            <w:vAlign w:val="top"/>
          </w:tcPr>
          <w:p>
            <w:pPr>
              <w:spacing w:line="308" w:lineRule="auto"/>
              <w:rPr>
                <w:rFonts w:ascii="Arial"/>
                <w:sz w:val="21"/>
              </w:rPr>
            </w:pPr>
            <w:r/>
          </w:p>
          <w:p>
            <w:pPr>
              <w:spacing w:line="309" w:lineRule="auto"/>
              <w:rPr>
                <w:rFonts w:ascii="Arial"/>
                <w:sz w:val="21"/>
              </w:rPr>
            </w:pPr>
            <w:r/>
          </w:p>
          <w:p>
            <w:pPr>
              <w:pStyle w:val="TableText"/>
              <w:ind w:left="104" w:right="249" w:firstLine="149"/>
              <w:spacing w:before="49" w:line="277" w:lineRule="auto"/>
              <w:rPr/>
            </w:pPr>
            <w:r>
              <w:rPr>
                <w:spacing w:val="-1"/>
              </w:rPr>
              <w:t>M2:历史数据访问</w:t>
            </w:r>
            <w:r>
              <w:rPr>
                <w:spacing w:val="6"/>
              </w:rPr>
              <w:t xml:space="preserve"> </w:t>
            </w:r>
            <w:r>
              <w:rPr>
                <w:spacing w:val="-2"/>
              </w:rPr>
              <w:t>策略</w:t>
            </w:r>
          </w:p>
        </w:tc>
        <w:tc>
          <w:tcPr>
            <w:tcW w:w="2712" w:type="dxa"/>
            <w:vAlign w:val="top"/>
          </w:tcPr>
          <w:p>
            <w:pPr>
              <w:pStyle w:val="TableText"/>
              <w:ind w:left="226"/>
              <w:spacing w:before="101" w:line="219" w:lineRule="auto"/>
              <w:rPr/>
            </w:pPr>
            <w:r>
              <w:rPr/>
              <w:t>组织应基于业务需求和技术策略制</w:t>
            </w:r>
          </w:p>
          <w:p>
            <w:pPr>
              <w:pStyle w:val="TableText"/>
              <w:ind w:left="76" w:right="57"/>
              <w:spacing w:before="113" w:line="319" w:lineRule="auto"/>
              <w:rPr/>
            </w:pPr>
            <w:r>
              <w:rPr>
                <w:spacing w:val="-1"/>
              </w:rPr>
              <w:t>订历史数据使用管理办法。不同的数据</w:t>
            </w:r>
            <w:r>
              <w:rPr>
                <w:spacing w:val="8"/>
              </w:rPr>
              <w:t xml:space="preserve"> </w:t>
            </w:r>
            <w:r>
              <w:rPr>
                <w:spacing w:val="-1"/>
              </w:rPr>
              <w:t>有不同的归档场景，制订数据归档策略</w:t>
            </w:r>
            <w:r>
              <w:rPr>
                <w:spacing w:val="9"/>
              </w:rPr>
              <w:t xml:space="preserve"> </w:t>
            </w:r>
            <w:r>
              <w:rPr>
                <w:spacing w:val="-1"/>
              </w:rPr>
              <w:t>时，应对数据使用的需求进行分析，根</w:t>
            </w:r>
            <w:r>
              <w:rPr>
                <w:spacing w:val="3"/>
              </w:rPr>
              <w:t xml:space="preserve"> </w:t>
            </w:r>
            <w:r>
              <w:rPr>
                <w:spacing w:val="1"/>
              </w:rPr>
              <w:t>据分析的结果，结合法规、技术、访问</w:t>
            </w:r>
            <w:r>
              <w:rPr/>
              <w:t xml:space="preserve"> </w:t>
            </w:r>
            <w:r>
              <w:rPr>
                <w:spacing w:val="2"/>
              </w:rPr>
              <w:t>成本等，梳理数据的归档场景</w:t>
            </w:r>
          </w:p>
        </w:tc>
      </w:tr>
    </w:tbl>
    <w:p>
      <w:pPr>
        <w:pStyle w:val="BodyText"/>
        <w:rPr/>
      </w:pPr>
      <w:r/>
    </w:p>
    <w:p>
      <w:pPr>
        <w:sectPr>
          <w:footerReference w:type="default" r:id="rId399"/>
          <w:pgSz w:w="8870" w:h="13400"/>
          <w:pgMar w:top="400" w:right="364" w:bottom="594" w:left="479" w:header="0" w:footer="376" w:gutter="0"/>
        </w:sectPr>
        <w:rPr/>
      </w:pPr>
    </w:p>
    <w:p>
      <w:pPr>
        <w:ind w:left="5518"/>
        <w:spacing w:before="194" w:line="219" w:lineRule="auto"/>
        <w:rPr>
          <w:rFonts w:ascii="SimSun" w:hAnsi="SimSun" w:eastAsia="SimSun" w:cs="SimSun"/>
          <w:sz w:val="21"/>
          <w:szCs w:val="21"/>
        </w:rPr>
      </w:pPr>
      <w:r>
        <w:rPr>
          <w:rFonts w:ascii="SimSun" w:hAnsi="SimSun" w:eastAsia="SimSun" w:cs="SimSun"/>
          <w:sz w:val="21"/>
          <w:szCs w:val="21"/>
          <w:b/>
          <w:bCs/>
          <w:spacing w:val="16"/>
        </w:rPr>
        <w:t>第8章·云端数据架构</w:t>
      </w:r>
    </w:p>
    <w:p>
      <w:pPr>
        <w:pStyle w:val="BodyText"/>
        <w:spacing w:line="277" w:lineRule="auto"/>
        <w:rPr/>
      </w:pPr>
      <w:r/>
    </w:p>
    <w:p>
      <w:pPr>
        <w:ind w:left="6954"/>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14" w:lineRule="exact"/>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967"/>
        <w:gridCol w:w="1638"/>
        <w:gridCol w:w="2721"/>
      </w:tblGrid>
      <w:tr>
        <w:trPr>
          <w:trHeight w:val="364" w:hRule="atLeast"/>
        </w:trPr>
        <w:tc>
          <w:tcPr>
            <w:tcW w:w="1353" w:type="dxa"/>
            <w:vAlign w:val="top"/>
          </w:tcPr>
          <w:p>
            <w:pPr>
              <w:pStyle w:val="TableText"/>
              <w:ind w:left="404"/>
              <w:spacing w:before="111" w:line="220" w:lineRule="auto"/>
              <w:rPr/>
            </w:pPr>
            <w:r>
              <w:rPr>
                <w:spacing w:val="-12"/>
              </w:rPr>
              <w:t>目    标</w:t>
            </w:r>
          </w:p>
        </w:tc>
        <w:tc>
          <w:tcPr>
            <w:tcW w:w="1967" w:type="dxa"/>
            <w:vAlign w:val="top"/>
          </w:tcPr>
          <w:p>
            <w:pPr>
              <w:pStyle w:val="TableText"/>
              <w:ind w:left="682"/>
              <w:spacing w:before="113" w:line="221" w:lineRule="auto"/>
              <w:rPr/>
            </w:pPr>
            <w:r>
              <w:rPr>
                <w:spacing w:val="-12"/>
              </w:rPr>
              <w:t>问</w:t>
            </w:r>
            <w:r>
              <w:rPr>
                <w:spacing w:val="10"/>
              </w:rPr>
              <w:t xml:space="preserve">   </w:t>
            </w:r>
            <w:r>
              <w:rPr>
                <w:spacing w:val="-12"/>
              </w:rPr>
              <w:t>题</w:t>
            </w:r>
          </w:p>
        </w:tc>
        <w:tc>
          <w:tcPr>
            <w:tcW w:w="1638" w:type="dxa"/>
            <w:vAlign w:val="top"/>
          </w:tcPr>
          <w:p>
            <w:pPr>
              <w:pStyle w:val="TableText"/>
              <w:ind w:left="445"/>
              <w:spacing w:before="11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721" w:type="dxa"/>
            <w:vAlign w:val="top"/>
          </w:tcPr>
          <w:p>
            <w:pPr>
              <w:pStyle w:val="TableText"/>
              <w:ind w:left="976"/>
              <w:spacing w:before="111" w:line="219" w:lineRule="auto"/>
              <w:rPr/>
            </w:pPr>
            <w:r>
              <w:rPr>
                <w:spacing w:val="3"/>
              </w:rPr>
              <w:t>度量项说明</w:t>
            </w:r>
          </w:p>
        </w:tc>
      </w:tr>
      <w:tr>
        <w:trPr>
          <w:trHeight w:val="858" w:hRule="atLeast"/>
        </w:trPr>
        <w:tc>
          <w:tcPr>
            <w:tcW w:w="1353" w:type="dxa"/>
            <w:vAlign w:val="top"/>
            <w:vMerge w:val="restart"/>
            <w:tcBorders>
              <w:bottom w:val="nil"/>
            </w:tcBorders>
          </w:tcPr>
          <w:p>
            <w:pPr>
              <w:spacing w:line="455" w:lineRule="auto"/>
              <w:rPr>
                <w:rFonts w:ascii="Arial"/>
                <w:sz w:val="21"/>
              </w:rPr>
            </w:pPr>
            <w:r/>
          </w:p>
          <w:p>
            <w:pPr>
              <w:pStyle w:val="TableText"/>
              <w:ind w:left="85" w:right="141" w:firstLine="169"/>
              <w:spacing w:before="49" w:line="307" w:lineRule="auto"/>
              <w:rPr/>
            </w:pPr>
            <w:r>
              <w:rPr>
                <w:spacing w:val="-1"/>
              </w:rPr>
              <w:t>G2:满足收集  </w:t>
            </w:r>
            <w:r>
              <w:rPr>
                <w:spacing w:val="7"/>
              </w:rPr>
              <w:t>和存储历史数据</w:t>
            </w:r>
            <w:r>
              <w:rPr>
                <w:spacing w:val="3"/>
              </w:rPr>
              <w:t xml:space="preserve"> </w:t>
            </w:r>
            <w:r>
              <w:rPr>
                <w:spacing w:val="9"/>
              </w:rPr>
              <w:t>的业务需求和监</w:t>
            </w:r>
            <w:r>
              <w:rPr>
                <w:spacing w:val="2"/>
              </w:rPr>
              <w:t xml:space="preserve"> </w:t>
            </w:r>
            <w:r>
              <w:rPr>
                <w:spacing w:val="-3"/>
              </w:rPr>
              <w:t>管需求</w:t>
            </w:r>
          </w:p>
        </w:tc>
        <w:tc>
          <w:tcPr>
            <w:tcW w:w="1967" w:type="dxa"/>
            <w:vAlign w:val="top"/>
          </w:tcPr>
          <w:p>
            <w:pPr>
              <w:pStyle w:val="TableText"/>
              <w:ind w:left="112" w:right="294" w:firstLine="129"/>
              <w:spacing w:before="236" w:line="277" w:lineRule="auto"/>
              <w:rPr/>
            </w:pPr>
            <w:r>
              <w:rPr>
                <w:spacing w:val="-1"/>
              </w:rPr>
              <w:t>Q2:如何保证数据保存</w:t>
            </w:r>
            <w:r>
              <w:rPr>
                <w:spacing w:val="5"/>
              </w:rPr>
              <w:t xml:space="preserve"> </w:t>
            </w:r>
            <w:r>
              <w:rPr>
                <w:spacing w:val="-1"/>
              </w:rPr>
              <w:t>达到所要求的时长</w:t>
            </w:r>
          </w:p>
        </w:tc>
        <w:tc>
          <w:tcPr>
            <w:tcW w:w="1638" w:type="dxa"/>
            <w:vAlign w:val="top"/>
          </w:tcPr>
          <w:p>
            <w:pPr>
              <w:spacing w:line="306" w:lineRule="auto"/>
              <w:rPr>
                <w:rFonts w:ascii="Arial"/>
                <w:sz w:val="21"/>
              </w:rPr>
            </w:pPr>
            <w:r/>
          </w:p>
          <w:p>
            <w:pPr>
              <w:pStyle w:val="TableText"/>
              <w:ind w:left="255"/>
              <w:spacing w:before="49" w:line="219" w:lineRule="auto"/>
              <w:rPr/>
            </w:pPr>
            <w:r>
              <w:rPr>
                <w:spacing w:val="-1"/>
              </w:rPr>
              <w:t>M3:历史数据存储</w:t>
            </w:r>
          </w:p>
        </w:tc>
        <w:tc>
          <w:tcPr>
            <w:tcW w:w="2721" w:type="dxa"/>
            <w:vAlign w:val="top"/>
          </w:tcPr>
          <w:p>
            <w:pPr>
              <w:pStyle w:val="TableText"/>
              <w:ind w:left="107" w:right="161" w:firstLine="120"/>
              <w:spacing w:before="87" w:line="299" w:lineRule="auto"/>
              <w:rPr/>
            </w:pPr>
            <w:r>
              <w:rPr>
                <w:spacing w:val="-1"/>
              </w:rPr>
              <w:t>组织应具有规定的数据仓库，提供</w:t>
            </w:r>
            <w:r>
              <w:rPr>
                <w:spacing w:val="3"/>
              </w:rPr>
              <w:t xml:space="preserve">  </w:t>
            </w:r>
            <w:r>
              <w:rPr>
                <w:spacing w:val="2"/>
              </w:rPr>
              <w:t>历史数据访问，以支持业务过程的分</w:t>
            </w:r>
            <w:r>
              <w:rPr>
                <w:spacing w:val="9"/>
              </w:rPr>
              <w:t xml:space="preserve"> </w:t>
            </w:r>
            <w:r>
              <w:rPr>
                <w:spacing w:val="-2"/>
              </w:rPr>
              <w:t>析需求</w:t>
            </w:r>
          </w:p>
        </w:tc>
      </w:tr>
      <w:tr>
        <w:trPr>
          <w:trHeight w:val="1148" w:hRule="atLeast"/>
        </w:trPr>
        <w:tc>
          <w:tcPr>
            <w:tcW w:w="1353" w:type="dxa"/>
            <w:vAlign w:val="top"/>
            <w:vMerge w:val="continue"/>
            <w:tcBorders>
              <w:top w:val="nil"/>
            </w:tcBorders>
          </w:tcPr>
          <w:p>
            <w:pPr>
              <w:rPr>
                <w:rFonts w:ascii="Arial"/>
                <w:sz w:val="21"/>
              </w:rPr>
            </w:pPr>
            <w:r/>
          </w:p>
        </w:tc>
        <w:tc>
          <w:tcPr>
            <w:tcW w:w="1967" w:type="dxa"/>
            <w:vAlign w:val="top"/>
          </w:tcPr>
          <w:p>
            <w:pPr>
              <w:spacing w:line="347" w:lineRule="auto"/>
              <w:rPr>
                <w:rFonts w:ascii="Arial"/>
                <w:sz w:val="21"/>
              </w:rPr>
            </w:pPr>
            <w:r/>
          </w:p>
          <w:p>
            <w:pPr>
              <w:pStyle w:val="TableText"/>
              <w:ind w:left="112" w:right="274" w:firstLine="149"/>
              <w:spacing w:before="49" w:line="270" w:lineRule="auto"/>
              <w:rPr/>
            </w:pPr>
            <w:r>
              <w:rPr>
                <w:spacing w:val="-1"/>
              </w:rPr>
              <w:t>Q3:如何保持归档的数</w:t>
            </w:r>
            <w:r>
              <w:rPr>
                <w:spacing w:val="5"/>
              </w:rPr>
              <w:t xml:space="preserve"> </w:t>
            </w:r>
            <w:r>
              <w:rPr>
                <w:spacing w:val="-1"/>
              </w:rPr>
              <w:t>据的完整性</w:t>
            </w:r>
          </w:p>
        </w:tc>
        <w:tc>
          <w:tcPr>
            <w:tcW w:w="1638" w:type="dxa"/>
            <w:vAlign w:val="top"/>
          </w:tcPr>
          <w:p>
            <w:pPr>
              <w:spacing w:line="348" w:lineRule="auto"/>
              <w:rPr>
                <w:rFonts w:ascii="Arial"/>
                <w:sz w:val="21"/>
              </w:rPr>
            </w:pPr>
            <w:r/>
          </w:p>
          <w:p>
            <w:pPr>
              <w:pStyle w:val="TableText"/>
              <w:ind w:left="105" w:right="249" w:firstLine="149"/>
              <w:spacing w:before="48" w:line="271" w:lineRule="auto"/>
              <w:rPr/>
            </w:pPr>
            <w:r>
              <w:rPr>
                <w:spacing w:val="-1"/>
              </w:rPr>
              <w:t>M4:历史数据恢复</w:t>
            </w:r>
            <w:r>
              <w:rPr>
                <w:spacing w:val="6"/>
              </w:rPr>
              <w:t xml:space="preserve"> </w:t>
            </w:r>
            <w:r>
              <w:rPr>
                <w:spacing w:val="-2"/>
              </w:rPr>
              <w:t>指南</w:t>
            </w:r>
          </w:p>
        </w:tc>
        <w:tc>
          <w:tcPr>
            <w:tcW w:w="2721" w:type="dxa"/>
            <w:vAlign w:val="top"/>
          </w:tcPr>
          <w:p>
            <w:pPr>
              <w:pStyle w:val="TableText"/>
              <w:ind w:left="307"/>
              <w:spacing w:before="99" w:line="219" w:lineRule="auto"/>
              <w:rPr/>
            </w:pPr>
            <w:r>
              <w:rPr>
                <w:spacing w:val="-1"/>
              </w:rPr>
              <w:t>组织应制订备份和恢复功能的指</w:t>
            </w:r>
          </w:p>
          <w:p>
            <w:pPr>
              <w:pStyle w:val="TableText"/>
              <w:ind w:left="157" w:right="160" w:firstLine="69"/>
              <w:spacing w:before="120" w:line="270" w:lineRule="auto"/>
              <w:rPr/>
            </w:pPr>
            <w:r>
              <w:rPr>
                <w:spacing w:val="-1"/>
              </w:rPr>
              <w:t>南，明确恢复时间目标(RTO),以确</w:t>
            </w:r>
            <w:r>
              <w:rPr>
                <w:spacing w:val="4"/>
              </w:rPr>
              <w:t xml:space="preserve">  </w:t>
            </w:r>
            <w:r>
              <w:rPr>
                <w:spacing w:val="-1"/>
              </w:rPr>
              <w:t>保任何具体时间点的数据文本可以被</w:t>
            </w:r>
          </w:p>
          <w:p>
            <w:pPr>
              <w:pStyle w:val="TableText"/>
              <w:ind w:left="117"/>
              <w:spacing w:before="103" w:line="220" w:lineRule="auto"/>
              <w:rPr/>
            </w:pPr>
            <w:r>
              <w:rPr>
                <w:spacing w:val="-2"/>
              </w:rPr>
              <w:t>重新创建</w:t>
            </w:r>
          </w:p>
        </w:tc>
      </w:tr>
      <w:tr>
        <w:trPr>
          <w:trHeight w:val="599" w:hRule="atLeast"/>
        </w:trPr>
        <w:tc>
          <w:tcPr>
            <w:tcW w:w="1353" w:type="dxa"/>
            <w:vAlign w:val="top"/>
            <w:vMerge w:val="restart"/>
            <w:tcBorders>
              <w:bottom w:val="nil"/>
            </w:tcBorders>
          </w:tcPr>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pStyle w:val="TableText"/>
              <w:ind w:left="95" w:right="153" w:firstLine="159"/>
              <w:spacing w:before="49" w:line="303" w:lineRule="auto"/>
              <w:rPr/>
            </w:pPr>
            <w:r>
              <w:rPr>
                <w:spacing w:val="-1"/>
              </w:rPr>
              <w:t>G3:数据归档</w:t>
            </w:r>
            <w:r>
              <w:rPr/>
              <w:t xml:space="preserve">  </w:t>
            </w:r>
            <w:r>
              <w:rPr>
                <w:spacing w:val="6"/>
              </w:rPr>
              <w:t>满足了组织和监</w:t>
            </w:r>
            <w:r>
              <w:rPr>
                <w:spacing w:val="1"/>
              </w:rPr>
              <w:t xml:space="preserve"> </w:t>
            </w:r>
            <w:r>
              <w:rPr>
                <w:spacing w:val="-3"/>
              </w:rPr>
              <w:t>管要求</w:t>
            </w:r>
          </w:p>
        </w:tc>
        <w:tc>
          <w:tcPr>
            <w:tcW w:w="1967" w:type="dxa"/>
            <w:vAlign w:val="top"/>
            <w:vMerge w:val="restart"/>
            <w:tcBorders>
              <w:bottom w:val="nil"/>
            </w:tcBorders>
          </w:tcPr>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pStyle w:val="TableText"/>
              <w:ind w:left="102" w:right="210" w:firstLine="149"/>
              <w:spacing w:before="48" w:line="299" w:lineRule="auto"/>
              <w:jc w:val="both"/>
              <w:rPr/>
            </w:pPr>
            <w:r>
              <w:rPr>
                <w:spacing w:val="-1"/>
              </w:rPr>
              <w:t>Q4:用于确定何时可以</w:t>
            </w:r>
            <w:r>
              <w:rPr>
                <w:spacing w:val="2"/>
              </w:rPr>
              <w:t xml:space="preserve">  </w:t>
            </w:r>
            <w:r>
              <w:rPr>
                <w:spacing w:val="-1"/>
              </w:rPr>
              <w:t>删除存档数据的考虑因素</w:t>
            </w:r>
            <w:r>
              <w:rPr>
                <w:spacing w:val="4"/>
              </w:rPr>
              <w:t xml:space="preserve"> </w:t>
            </w:r>
            <w:r>
              <w:rPr>
                <w:spacing w:val="1"/>
              </w:rPr>
              <w:t>有哪些</w:t>
            </w:r>
          </w:p>
        </w:tc>
        <w:tc>
          <w:tcPr>
            <w:tcW w:w="1638" w:type="dxa"/>
            <w:vAlign w:val="top"/>
          </w:tcPr>
          <w:p>
            <w:pPr>
              <w:pStyle w:val="TableText"/>
              <w:ind w:left="95" w:right="249" w:firstLine="160"/>
              <w:spacing w:before="101" w:line="283" w:lineRule="auto"/>
              <w:rPr/>
            </w:pPr>
            <w:r>
              <w:rPr>
                <w:spacing w:val="-1"/>
              </w:rPr>
              <w:t>M5:归档数据恢复</w:t>
            </w:r>
            <w:r>
              <w:rPr>
                <w:spacing w:val="6"/>
              </w:rPr>
              <w:t xml:space="preserve"> </w:t>
            </w:r>
            <w:r>
              <w:rPr>
                <w:spacing w:val="-2"/>
              </w:rPr>
              <w:t>测试</w:t>
            </w:r>
          </w:p>
        </w:tc>
        <w:tc>
          <w:tcPr>
            <w:tcW w:w="2721" w:type="dxa"/>
            <w:vAlign w:val="top"/>
          </w:tcPr>
          <w:p>
            <w:pPr>
              <w:pStyle w:val="TableText"/>
              <w:ind w:left="127" w:right="198" w:firstLine="139"/>
              <w:spacing w:before="100" w:line="282" w:lineRule="auto"/>
              <w:rPr/>
            </w:pPr>
            <w:r>
              <w:rPr>
                <w:spacing w:val="-1"/>
              </w:rPr>
              <w:t>组织应建立一套定期测试的策略，</w:t>
            </w:r>
            <w:r>
              <w:rPr>
                <w:spacing w:val="9"/>
              </w:rPr>
              <w:t xml:space="preserve"> </w:t>
            </w:r>
            <w:r>
              <w:rPr/>
              <w:t>以确保数据恢复程序准确性</w:t>
            </w:r>
          </w:p>
        </w:tc>
      </w:tr>
      <w:tr>
        <w:trPr>
          <w:trHeight w:val="1167" w:hRule="atLeast"/>
        </w:trPr>
        <w:tc>
          <w:tcPr>
            <w:tcW w:w="1353" w:type="dxa"/>
            <w:vAlign w:val="top"/>
            <w:vMerge w:val="continue"/>
            <w:tcBorders>
              <w:top w:val="nil"/>
              <w:bottom w:val="nil"/>
            </w:tcBorders>
          </w:tcPr>
          <w:p>
            <w:pPr>
              <w:rPr>
                <w:rFonts w:ascii="Arial"/>
                <w:sz w:val="21"/>
              </w:rPr>
            </w:pPr>
            <w:r/>
          </w:p>
        </w:tc>
        <w:tc>
          <w:tcPr>
            <w:tcW w:w="1967" w:type="dxa"/>
            <w:vAlign w:val="top"/>
            <w:vMerge w:val="continue"/>
            <w:tcBorders>
              <w:top w:val="nil"/>
              <w:bottom w:val="nil"/>
            </w:tcBorders>
          </w:tcPr>
          <w:p>
            <w:pPr>
              <w:rPr>
                <w:rFonts w:ascii="Arial"/>
                <w:sz w:val="21"/>
              </w:rPr>
            </w:pPr>
            <w:r/>
          </w:p>
        </w:tc>
        <w:tc>
          <w:tcPr>
            <w:tcW w:w="1638" w:type="dxa"/>
            <w:vAlign w:val="top"/>
          </w:tcPr>
          <w:p>
            <w:pPr>
              <w:spacing w:line="461" w:lineRule="auto"/>
              <w:rPr>
                <w:rFonts w:ascii="Arial"/>
                <w:sz w:val="21"/>
              </w:rPr>
            </w:pPr>
            <w:r/>
          </w:p>
          <w:p>
            <w:pPr>
              <w:pStyle w:val="TableText"/>
              <w:ind w:left="244"/>
              <w:spacing w:before="48" w:line="220" w:lineRule="auto"/>
              <w:rPr/>
            </w:pPr>
            <w:r>
              <w:rPr>
                <w:spacing w:val="-1"/>
              </w:rPr>
              <w:t>M6:方案审核</w:t>
            </w:r>
          </w:p>
        </w:tc>
        <w:tc>
          <w:tcPr>
            <w:tcW w:w="2721" w:type="dxa"/>
            <w:vAlign w:val="top"/>
          </w:tcPr>
          <w:p>
            <w:pPr>
              <w:pStyle w:val="TableText"/>
              <w:ind w:left="117" w:right="135" w:firstLine="109"/>
              <w:spacing w:before="103" w:line="316" w:lineRule="auto"/>
              <w:rPr/>
            </w:pPr>
            <w:r>
              <w:rPr>
                <w:spacing w:val="-1"/>
              </w:rPr>
              <w:t>方案应包括保存于各个特定时期的</w:t>
            </w:r>
            <w:r>
              <w:rPr>
                <w:spacing w:val="3"/>
              </w:rPr>
              <w:t xml:space="preserve">  </w:t>
            </w:r>
            <w:r>
              <w:rPr>
                <w:spacing w:val="2"/>
              </w:rPr>
              <w:t>数据或日志类型的备份和归档的恢复</w:t>
            </w:r>
            <w:r>
              <w:rPr/>
              <w:t xml:space="preserve"> </w:t>
            </w:r>
            <w:r>
              <w:rPr>
                <w:spacing w:val="3"/>
              </w:rPr>
              <w:t>测试方案，访问归档数据的技术使用</w:t>
            </w:r>
            <w:r>
              <w:rPr>
                <w:spacing w:val="9"/>
              </w:rPr>
              <w:t xml:space="preserve"> </w:t>
            </w:r>
            <w:r>
              <w:rPr>
                <w:spacing w:val="-1"/>
              </w:rPr>
              <w:t>方法和维护方法等内容</w:t>
            </w:r>
          </w:p>
        </w:tc>
      </w:tr>
      <w:tr>
        <w:trPr>
          <w:trHeight w:val="863" w:hRule="atLeast"/>
        </w:trPr>
        <w:tc>
          <w:tcPr>
            <w:tcW w:w="1353" w:type="dxa"/>
            <w:vAlign w:val="top"/>
            <w:vMerge w:val="continue"/>
            <w:tcBorders>
              <w:top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1638" w:type="dxa"/>
            <w:vAlign w:val="top"/>
          </w:tcPr>
          <w:p>
            <w:pPr>
              <w:pStyle w:val="TableText"/>
              <w:ind w:left="115" w:right="249" w:firstLine="139"/>
              <w:spacing w:before="244" w:line="276" w:lineRule="auto"/>
              <w:rPr/>
            </w:pPr>
            <w:r>
              <w:rPr>
                <w:spacing w:val="-1"/>
              </w:rPr>
              <w:t>M7:历史数据归档</w:t>
            </w:r>
            <w:r>
              <w:rPr>
                <w:spacing w:val="6"/>
              </w:rPr>
              <w:t xml:space="preserve"> </w:t>
            </w:r>
            <w:r>
              <w:rPr>
                <w:spacing w:val="-1"/>
              </w:rPr>
              <w:t>策略改进与优化</w:t>
            </w:r>
          </w:p>
        </w:tc>
        <w:tc>
          <w:tcPr>
            <w:tcW w:w="2721" w:type="dxa"/>
            <w:vAlign w:val="top"/>
          </w:tcPr>
          <w:p>
            <w:pPr>
              <w:pStyle w:val="TableText"/>
              <w:ind w:left="127" w:right="160" w:firstLine="99"/>
              <w:spacing w:before="94" w:line="303" w:lineRule="auto"/>
              <w:rPr/>
            </w:pPr>
            <w:r>
              <w:rPr>
                <w:spacing w:val="-1"/>
              </w:rPr>
              <w:t>组织应制订面向用户的满意度调查</w:t>
            </w:r>
            <w:r>
              <w:rPr>
                <w:spacing w:val="3"/>
              </w:rPr>
              <w:t xml:space="preserve">  </w:t>
            </w:r>
            <w:r>
              <w:rPr>
                <w:spacing w:val="1"/>
              </w:rPr>
              <w:t>制度，定期收集相关方的反馈，以作</w:t>
            </w:r>
            <w:r>
              <w:rPr>
                <w:spacing w:val="6"/>
              </w:rPr>
              <w:t xml:space="preserve"> </w:t>
            </w:r>
            <w:r>
              <w:rPr>
                <w:spacing w:val="-1"/>
              </w:rPr>
              <w:t>为优化归档策略的根据</w:t>
            </w:r>
          </w:p>
        </w:tc>
      </w:tr>
    </w:tbl>
    <w:p>
      <w:pPr>
        <w:pStyle w:val="BodyText"/>
        <w:spacing w:line="277" w:lineRule="auto"/>
        <w:rPr/>
      </w:pPr>
      <w:r/>
    </w:p>
    <w:p>
      <w:pPr>
        <w:ind w:left="457"/>
        <w:spacing w:before="68" w:line="472" w:lineRule="exact"/>
        <w:rPr>
          <w:rFonts w:ascii="YouYuan" w:hAnsi="YouYuan" w:eastAsia="YouYuan" w:cs="YouYuan"/>
          <w:sz w:val="21"/>
          <w:szCs w:val="21"/>
        </w:rPr>
      </w:pPr>
      <w:r>
        <w:rPr>
          <w:rFonts w:ascii="YouYuan" w:hAnsi="YouYuan" w:eastAsia="YouYuan" w:cs="YouYuan"/>
          <w:sz w:val="21"/>
          <w:szCs w:val="21"/>
          <w:b/>
          <w:bCs/>
          <w:spacing w:val="4"/>
          <w:position w:val="19"/>
        </w:rPr>
        <w:t>3.</w:t>
      </w:r>
      <w:r>
        <w:rPr>
          <w:rFonts w:ascii="YouYuan" w:hAnsi="YouYuan" w:eastAsia="YouYuan" w:cs="YouYuan"/>
          <w:sz w:val="21"/>
          <w:szCs w:val="21"/>
          <w:spacing w:val="4"/>
          <w:position w:val="19"/>
        </w:rPr>
        <w:t xml:space="preserve"> </w:t>
      </w:r>
      <w:r>
        <w:rPr>
          <w:rFonts w:ascii="YouYuan" w:hAnsi="YouYuan" w:eastAsia="YouYuan" w:cs="YouYuan"/>
          <w:sz w:val="21"/>
          <w:szCs w:val="21"/>
          <w:b/>
          <w:bCs/>
          <w:spacing w:val="4"/>
          <w:position w:val="19"/>
        </w:rPr>
        <w:t>成熟度等级介绍</w:t>
      </w:r>
    </w:p>
    <w:p>
      <w:pPr>
        <w:ind w:left="454"/>
        <w:spacing w:line="220" w:lineRule="auto"/>
        <w:rPr>
          <w:rFonts w:ascii="SimHei" w:hAnsi="SimHei" w:eastAsia="SimHei" w:cs="SimHei"/>
          <w:sz w:val="21"/>
          <w:szCs w:val="21"/>
        </w:rPr>
      </w:pPr>
      <w:r>
        <w:rPr>
          <w:rFonts w:ascii="Times New Roman" w:hAnsi="Times New Roman" w:eastAsia="Times New Roman" w:cs="Times New Roman"/>
          <w:sz w:val="21"/>
          <w:szCs w:val="21"/>
          <w:b/>
          <w:bCs/>
          <w:spacing w:val="-4"/>
        </w:rPr>
        <w:t>Level</w:t>
      </w:r>
      <w:r>
        <w:rPr>
          <w:rFonts w:ascii="Times New Roman" w:hAnsi="Times New Roman" w:eastAsia="Times New Roman" w:cs="Times New Roman"/>
          <w:sz w:val="21"/>
          <w:szCs w:val="21"/>
          <w:b/>
          <w:bCs/>
          <w:spacing w:val="6"/>
        </w:rPr>
        <w:t xml:space="preserve">   </w:t>
      </w:r>
      <w:r>
        <w:rPr>
          <w:rFonts w:ascii="Times New Roman" w:hAnsi="Times New Roman" w:eastAsia="Times New Roman" w:cs="Times New Roman"/>
          <w:sz w:val="21"/>
          <w:szCs w:val="21"/>
          <w:b/>
          <w:bCs/>
          <w:spacing w:val="-4"/>
        </w:rPr>
        <w:t>1: </w:t>
      </w:r>
      <w:r>
        <w:rPr>
          <w:rFonts w:ascii="SimHei" w:hAnsi="SimHei" w:eastAsia="SimHei" w:cs="SimHei"/>
          <w:sz w:val="21"/>
          <w:szCs w:val="21"/>
          <w:b/>
          <w:bCs/>
          <w:spacing w:val="-4"/>
        </w:rPr>
        <w:t>初始级</w:t>
      </w:r>
    </w:p>
    <w:p>
      <w:pPr>
        <w:spacing w:line="130" w:lineRule="exact"/>
        <w:rPr/>
      </w:pPr>
      <w:r/>
    </w:p>
    <w:tbl>
      <w:tblPr>
        <w:tblStyle w:val="TableNormal"/>
        <w:tblW w:w="767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7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6" w:type="dxa"/>
            <w:vAlign w:val="top"/>
          </w:tcPr>
          <w:p>
            <w:pPr>
              <w:pStyle w:val="TableText"/>
              <w:ind w:left="1161"/>
              <w:spacing w:before="91" w:line="219" w:lineRule="auto"/>
              <w:rPr>
                <w:sz w:val="16"/>
                <w:szCs w:val="16"/>
              </w:rPr>
            </w:pPr>
            <w:r>
              <w:rPr>
                <w:sz w:val="16"/>
                <w:szCs w:val="16"/>
                <w:spacing w:val="-4"/>
              </w:rPr>
              <w:t>等 级 要 求</w:t>
            </w:r>
          </w:p>
        </w:tc>
        <w:tc>
          <w:tcPr>
            <w:tcW w:w="3770" w:type="dxa"/>
            <w:vAlign w:val="top"/>
          </w:tcPr>
          <w:p>
            <w:pPr>
              <w:pStyle w:val="TableText"/>
              <w:ind w:left="1575"/>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44" w:type="dxa"/>
            <w:vAlign w:val="top"/>
          </w:tcPr>
          <w:p>
            <w:pPr>
              <w:pStyle w:val="TableText"/>
              <w:ind w:left="245"/>
              <w:spacing w:before="270" w:line="184" w:lineRule="auto"/>
              <w:rPr>
                <w:sz w:val="16"/>
                <w:szCs w:val="16"/>
              </w:rPr>
            </w:pPr>
            <w:r>
              <w:rPr>
                <w:sz w:val="16"/>
                <w:szCs w:val="16"/>
                <w:spacing w:val="-5"/>
              </w:rPr>
              <w:t>1.1</w:t>
            </w:r>
          </w:p>
        </w:tc>
        <w:tc>
          <w:tcPr>
            <w:tcW w:w="3156" w:type="dxa"/>
            <w:vAlign w:val="top"/>
          </w:tcPr>
          <w:p>
            <w:pPr>
              <w:pStyle w:val="TableText"/>
              <w:ind w:left="111"/>
              <w:spacing w:before="230" w:line="219" w:lineRule="auto"/>
              <w:rPr>
                <w:sz w:val="16"/>
                <w:szCs w:val="16"/>
              </w:rPr>
            </w:pPr>
            <w:r>
              <w:rPr>
                <w:sz w:val="16"/>
                <w:szCs w:val="16"/>
                <w:spacing w:val="-1"/>
              </w:rPr>
              <w:t>历史数据应是可用的，能够支撑业务决策</w:t>
            </w:r>
          </w:p>
        </w:tc>
        <w:tc>
          <w:tcPr>
            <w:tcW w:w="3770" w:type="dxa"/>
            <w:vAlign w:val="top"/>
          </w:tcPr>
          <w:p>
            <w:pPr>
              <w:pStyle w:val="TableText"/>
              <w:ind w:left="255"/>
              <w:spacing w:before="110" w:line="219" w:lineRule="auto"/>
              <w:rPr>
                <w:sz w:val="16"/>
                <w:szCs w:val="16"/>
              </w:rPr>
            </w:pPr>
            <w:r>
              <w:rPr>
                <w:sz w:val="16"/>
                <w:szCs w:val="16"/>
                <w:spacing w:val="1"/>
              </w:rPr>
              <w:t>●归档程序</w:t>
            </w:r>
          </w:p>
          <w:p>
            <w:pPr>
              <w:pStyle w:val="TableText"/>
              <w:ind w:left="255"/>
              <w:spacing w:before="90" w:line="219" w:lineRule="auto"/>
              <w:rPr>
                <w:sz w:val="16"/>
                <w:szCs w:val="16"/>
              </w:rPr>
            </w:pPr>
            <w:r>
              <w:rPr>
                <w:sz w:val="16"/>
                <w:szCs w:val="16"/>
              </w:rPr>
              <w:t>●历史数据清单</w:t>
            </w:r>
          </w:p>
        </w:tc>
      </w:tr>
    </w:tbl>
    <w:p>
      <w:pPr>
        <w:ind w:left="34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65" w:right="171" w:firstLine="389"/>
        <w:spacing w:before="43" w:line="267" w:lineRule="auto"/>
        <w:rPr>
          <w:rFonts w:ascii="SimSun" w:hAnsi="SimSun" w:eastAsia="SimSun" w:cs="SimSun"/>
          <w:sz w:val="21"/>
          <w:szCs w:val="21"/>
        </w:rPr>
      </w:pPr>
      <w:r>
        <w:rPr>
          <w:rFonts w:ascii="SimSun" w:hAnsi="SimSun" w:eastAsia="SimSun" w:cs="SimSun"/>
          <w:sz w:val="21"/>
          <w:szCs w:val="21"/>
          <w:spacing w:val="3"/>
        </w:rPr>
        <w:t>组织对历史数据的管理不是简单地将其删除，而是在降低成本的</w:t>
      </w:r>
      <w:r>
        <w:rPr>
          <w:rFonts w:ascii="SimSun" w:hAnsi="SimSun" w:eastAsia="SimSun" w:cs="SimSun"/>
          <w:sz w:val="21"/>
          <w:szCs w:val="21"/>
          <w:spacing w:val="2"/>
        </w:rPr>
        <w:t>目标下还要保</w:t>
      </w:r>
      <w:r>
        <w:rPr>
          <w:rFonts w:ascii="SimSun" w:hAnsi="SimSun" w:eastAsia="SimSun" w:cs="SimSun"/>
          <w:sz w:val="21"/>
          <w:szCs w:val="21"/>
        </w:rPr>
        <w:t xml:space="preserve"> </w:t>
      </w:r>
      <w:r>
        <w:rPr>
          <w:rFonts w:ascii="SimSun" w:hAnsi="SimSun" w:eastAsia="SimSun" w:cs="SimSun"/>
          <w:sz w:val="21"/>
          <w:szCs w:val="21"/>
          <w:spacing w:val="2"/>
        </w:rPr>
        <w:t>证历史数据在被需要时能够及时获取得到。随着组织业务的进行，较早</w:t>
      </w:r>
      <w:r>
        <w:rPr>
          <w:rFonts w:ascii="SimSun" w:hAnsi="SimSun" w:eastAsia="SimSun" w:cs="SimSun"/>
          <w:sz w:val="21"/>
          <w:szCs w:val="21"/>
          <w:spacing w:val="1"/>
        </w:rPr>
        <w:t>前的数据可</w:t>
      </w:r>
      <w:r>
        <w:rPr>
          <w:rFonts w:ascii="SimSun" w:hAnsi="SimSun" w:eastAsia="SimSun" w:cs="SimSun"/>
          <w:sz w:val="21"/>
          <w:szCs w:val="21"/>
        </w:rPr>
        <w:t xml:space="preserve"> </w:t>
      </w:r>
      <w:r>
        <w:rPr>
          <w:rFonts w:ascii="SimSun" w:hAnsi="SimSun" w:eastAsia="SimSun" w:cs="SimSun"/>
          <w:sz w:val="21"/>
          <w:szCs w:val="21"/>
          <w:spacing w:val="2"/>
        </w:rPr>
        <w:t>能无须直接使用，组织需要对这些早期数据进行处理，以腾出空间给需要</w:t>
      </w:r>
      <w:r>
        <w:rPr>
          <w:rFonts w:ascii="SimSun" w:hAnsi="SimSun" w:eastAsia="SimSun" w:cs="SimSun"/>
          <w:sz w:val="21"/>
          <w:szCs w:val="21"/>
          <w:spacing w:val="1"/>
        </w:rPr>
        <w:t>处理的数</w:t>
      </w:r>
      <w:r>
        <w:rPr>
          <w:rFonts w:ascii="SimSun" w:hAnsi="SimSun" w:eastAsia="SimSun" w:cs="SimSun"/>
          <w:sz w:val="21"/>
          <w:szCs w:val="21"/>
        </w:rPr>
        <w:t xml:space="preserve"> </w:t>
      </w:r>
      <w:r>
        <w:rPr>
          <w:rFonts w:ascii="SimSun" w:hAnsi="SimSun" w:eastAsia="SimSun" w:cs="SimSun"/>
          <w:sz w:val="21"/>
          <w:szCs w:val="21"/>
          <w:spacing w:val="2"/>
        </w:rPr>
        <w:t>据。例如，通常情况下，组织的发展历程数据一般不是业务需要的，但是当组织需</w:t>
      </w:r>
      <w:r>
        <w:rPr>
          <w:rFonts w:ascii="SimSun" w:hAnsi="SimSun" w:eastAsia="SimSun" w:cs="SimSun"/>
          <w:sz w:val="21"/>
          <w:szCs w:val="21"/>
        </w:rPr>
        <w:t xml:space="preserve"> </w:t>
      </w:r>
      <w:r>
        <w:rPr>
          <w:rFonts w:ascii="SimSun" w:hAnsi="SimSun" w:eastAsia="SimSun" w:cs="SimSun"/>
          <w:sz w:val="21"/>
          <w:szCs w:val="21"/>
          <w:spacing w:val="2"/>
        </w:rPr>
        <w:t>要对组织的发展历程进行梳理或者举办庆祝活动时，历史数据就是非常</w:t>
      </w:r>
      <w:r>
        <w:rPr>
          <w:rFonts w:ascii="SimSun" w:hAnsi="SimSun" w:eastAsia="SimSun" w:cs="SimSun"/>
          <w:sz w:val="21"/>
          <w:szCs w:val="21"/>
          <w:spacing w:val="1"/>
        </w:rPr>
        <w:t>有价值的数</w:t>
      </w:r>
      <w:r>
        <w:rPr>
          <w:rFonts w:ascii="SimSun" w:hAnsi="SimSun" w:eastAsia="SimSun" w:cs="SimSun"/>
          <w:sz w:val="21"/>
          <w:szCs w:val="21"/>
        </w:rPr>
        <w:t xml:space="preserve"> </w:t>
      </w:r>
      <w:r>
        <w:rPr>
          <w:rFonts w:ascii="SimSun" w:hAnsi="SimSun" w:eastAsia="SimSun" w:cs="SimSun"/>
          <w:sz w:val="21"/>
          <w:szCs w:val="21"/>
          <w:spacing w:val="-3"/>
        </w:rPr>
        <w:t>据。再例如，执法部门可能会拥有大量的视频监控材料，</w:t>
      </w:r>
      <w:r>
        <w:rPr>
          <w:rFonts w:ascii="SimSun" w:hAnsi="SimSun" w:eastAsia="SimSun" w:cs="SimSun"/>
          <w:sz w:val="21"/>
          <w:szCs w:val="21"/>
          <w:spacing w:val="72"/>
        </w:rPr>
        <w:t xml:space="preserve"> </w:t>
      </w:r>
      <w:r>
        <w:rPr>
          <w:rFonts w:ascii="SimSun" w:hAnsi="SimSun" w:eastAsia="SimSun" w:cs="SimSun"/>
          <w:sz w:val="21"/>
          <w:szCs w:val="21"/>
          <w:spacing w:val="-3"/>
        </w:rPr>
        <w:t>一般情况下这些数据可能</w:t>
      </w:r>
      <w:r>
        <w:rPr>
          <w:rFonts w:ascii="SimSun" w:hAnsi="SimSun" w:eastAsia="SimSun" w:cs="SimSun"/>
          <w:sz w:val="21"/>
          <w:szCs w:val="21"/>
        </w:rPr>
        <w:t xml:space="preserve"> </w:t>
      </w:r>
      <w:r>
        <w:rPr>
          <w:rFonts w:ascii="SimSun" w:hAnsi="SimSun" w:eastAsia="SimSun" w:cs="SimSun"/>
          <w:sz w:val="21"/>
          <w:szCs w:val="21"/>
          <w:spacing w:val="2"/>
        </w:rPr>
        <w:t>不会产生价值，但当需要对视频材料进行回顾以发现某些可用线索时</w:t>
      </w:r>
      <w:r>
        <w:rPr>
          <w:rFonts w:ascii="SimSun" w:hAnsi="SimSun" w:eastAsia="SimSun" w:cs="SimSun"/>
          <w:sz w:val="21"/>
          <w:szCs w:val="21"/>
          <w:spacing w:val="1"/>
        </w:rPr>
        <w:t>，这些视频材</w:t>
      </w:r>
      <w:r>
        <w:rPr>
          <w:rFonts w:ascii="SimSun" w:hAnsi="SimSun" w:eastAsia="SimSun" w:cs="SimSun"/>
          <w:sz w:val="21"/>
          <w:szCs w:val="21"/>
        </w:rPr>
        <w:t xml:space="preserve"> </w:t>
      </w:r>
      <w:r>
        <w:rPr>
          <w:rFonts w:ascii="SimSun" w:hAnsi="SimSun" w:eastAsia="SimSun" w:cs="SimSun"/>
          <w:sz w:val="21"/>
          <w:szCs w:val="21"/>
          <w:spacing w:val="2"/>
        </w:rPr>
        <w:t>料又会变得很有价值。因此一些数据的价值不是立马体现的，组织需要对这种数据</w:t>
      </w:r>
      <w:r>
        <w:rPr>
          <w:rFonts w:ascii="SimSun" w:hAnsi="SimSun" w:eastAsia="SimSun" w:cs="SimSun"/>
          <w:sz w:val="21"/>
          <w:szCs w:val="21"/>
        </w:rPr>
        <w:t xml:space="preserve"> </w:t>
      </w:r>
      <w:r>
        <w:rPr>
          <w:rFonts w:ascii="SimSun" w:hAnsi="SimSun" w:eastAsia="SimSun" w:cs="SimSun"/>
          <w:sz w:val="21"/>
          <w:szCs w:val="21"/>
          <w:spacing w:val="2"/>
        </w:rPr>
        <w:t>进行处理，以降低维护成本。但同时也得保证在组织需要这些数据时这些数</w:t>
      </w:r>
      <w:r>
        <w:rPr>
          <w:rFonts w:ascii="SimSun" w:hAnsi="SimSun" w:eastAsia="SimSun" w:cs="SimSun"/>
          <w:sz w:val="21"/>
          <w:szCs w:val="21"/>
          <w:spacing w:val="1"/>
        </w:rPr>
        <w:t>据还是</w:t>
      </w:r>
      <w:r>
        <w:rPr>
          <w:rFonts w:ascii="SimSun" w:hAnsi="SimSun" w:eastAsia="SimSun" w:cs="SimSun"/>
          <w:sz w:val="21"/>
          <w:szCs w:val="21"/>
        </w:rPr>
        <w:t xml:space="preserve"> </w:t>
      </w:r>
      <w:r>
        <w:rPr>
          <w:rFonts w:ascii="SimSun" w:hAnsi="SimSun" w:eastAsia="SimSun" w:cs="SimSun"/>
          <w:sz w:val="21"/>
          <w:szCs w:val="21"/>
          <w:spacing w:val="-4"/>
        </w:rPr>
        <w:t>可用的，以帮助组织做出业务决策。</w:t>
      </w:r>
    </w:p>
    <w:p>
      <w:pPr>
        <w:spacing w:line="267" w:lineRule="auto"/>
        <w:sectPr>
          <w:footerReference w:type="default" r:id="rId401"/>
          <w:pgSz w:w="8870" w:h="13400"/>
          <w:pgMar w:top="400" w:right="665" w:bottom="627" w:left="334" w:header="0" w:footer="418" w:gutter="0"/>
        </w:sectPr>
        <w:rPr>
          <w:rFonts w:ascii="SimSun" w:hAnsi="SimSun" w:eastAsia="SimSun" w:cs="SimSun"/>
          <w:sz w:val="21"/>
          <w:szCs w:val="21"/>
        </w:rPr>
      </w:pPr>
    </w:p>
    <w:p>
      <w:pPr>
        <w:ind w:left="232"/>
        <w:spacing w:before="226" w:line="219" w:lineRule="auto"/>
        <w:rPr>
          <w:rFonts w:ascii="SimSun" w:hAnsi="SimSun" w:eastAsia="SimSun" w:cs="SimSun"/>
          <w:sz w:val="22"/>
          <w:szCs w:val="22"/>
        </w:rPr>
      </w:pPr>
      <w:r>
        <w:drawing>
          <wp:anchor distT="0" distB="0" distL="0" distR="0" simplePos="0" relativeHeight="257085440" behindDoc="0" locked="0" layoutInCell="0" allowOverlap="1">
            <wp:simplePos x="0" y="0"/>
            <wp:positionH relativeFrom="page">
              <wp:posOffset>400051</wp:posOffset>
            </wp:positionH>
            <wp:positionV relativeFrom="page">
              <wp:posOffset>355591</wp:posOffset>
            </wp:positionV>
            <wp:extent cx="6350" cy="228637"/>
            <wp:effectExtent l="0" t="0" r="0" b="0"/>
            <wp:wrapNone/>
            <wp:docPr id="274" name="IM 274"/>
            <wp:cNvGraphicFramePr/>
            <a:graphic>
              <a:graphicData uri="http://schemas.openxmlformats.org/drawingml/2006/picture">
                <pic:pic>
                  <pic:nvPicPr>
                    <pic:cNvPr id="274" name="IM 274"/>
                    <pic:cNvPicPr/>
                  </pic:nvPicPr>
                  <pic:blipFill>
                    <a:blip r:embed="rId403"/>
                    <a:stretch>
                      <a:fillRect/>
                    </a:stretch>
                  </pic:blipFill>
                  <pic:spPr>
                    <a:xfrm rot="0">
                      <a:off x="0" y="0"/>
                      <a:ext cx="6350" cy="228637"/>
                    </a:xfrm>
                    <a:prstGeom prst="rect">
                      <a:avLst/>
                    </a:prstGeom>
                  </pic:spPr>
                </pic:pic>
              </a:graphicData>
            </a:graphic>
          </wp:anchor>
        </w:drawing>
      </w:r>
      <w:r>
        <w:rPr>
          <w:rFonts w:ascii="SimSun" w:hAnsi="SimSun" w:eastAsia="SimSun" w:cs="SimSun"/>
          <w:sz w:val="22"/>
          <w:szCs w:val="22"/>
          <w:b/>
          <w:bCs/>
          <w:spacing w:val="-17"/>
        </w:rPr>
        <w:t>■云端数据治理</w:t>
      </w:r>
    </w:p>
    <w:p>
      <w:pPr>
        <w:spacing w:before="6"/>
        <w:rPr/>
      </w:pPr>
      <w:r/>
    </w:p>
    <w:tbl>
      <w:tblPr>
        <w:tblStyle w:val="TableNormal"/>
        <w:tblW w:w="7669"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6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5" w:type="dxa"/>
            <w:vAlign w:val="top"/>
          </w:tcPr>
          <w:p>
            <w:pPr>
              <w:pStyle w:val="TableText"/>
              <w:ind w:left="1181"/>
              <w:spacing w:before="101" w:line="219" w:lineRule="auto"/>
              <w:rPr>
                <w:sz w:val="16"/>
                <w:szCs w:val="16"/>
              </w:rPr>
            </w:pPr>
            <w:r>
              <w:rPr>
                <w:sz w:val="16"/>
                <w:szCs w:val="16"/>
                <w:spacing w:val="-4"/>
              </w:rPr>
              <w:t>等 级 要 求</w:t>
            </w:r>
          </w:p>
        </w:tc>
        <w:tc>
          <w:tcPr>
            <w:tcW w:w="3770" w:type="dxa"/>
            <w:vAlign w:val="top"/>
          </w:tcPr>
          <w:p>
            <w:pPr>
              <w:pStyle w:val="TableText"/>
              <w:ind w:left="160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79" w:hRule="atLeast"/>
        </w:trPr>
        <w:tc>
          <w:tcPr>
            <w:tcW w:w="744" w:type="dxa"/>
            <w:vAlign w:val="top"/>
          </w:tcPr>
          <w:p>
            <w:pPr>
              <w:pStyle w:val="TableText"/>
              <w:ind w:left="244"/>
              <w:spacing w:before="251" w:line="184" w:lineRule="auto"/>
              <w:rPr>
                <w:sz w:val="16"/>
                <w:szCs w:val="16"/>
              </w:rPr>
            </w:pPr>
            <w:r>
              <w:rPr>
                <w:sz w:val="16"/>
                <w:szCs w:val="16"/>
                <w:spacing w:val="-5"/>
              </w:rPr>
              <w:t>1.2</w:t>
            </w:r>
          </w:p>
        </w:tc>
        <w:tc>
          <w:tcPr>
            <w:tcW w:w="3155" w:type="dxa"/>
            <w:vAlign w:val="top"/>
          </w:tcPr>
          <w:p>
            <w:pPr>
              <w:pStyle w:val="TableText"/>
              <w:ind w:left="101" w:firstLine="169"/>
              <w:spacing w:before="90" w:line="271" w:lineRule="auto"/>
              <w:rPr>
                <w:sz w:val="16"/>
                <w:szCs w:val="16"/>
              </w:rPr>
            </w:pPr>
            <w:r>
              <w:rPr>
                <w:sz w:val="16"/>
                <w:szCs w:val="16"/>
                <w:spacing w:val="-1"/>
              </w:rPr>
              <w:t>对所有的数据存储进行备份，并且按照策</w:t>
            </w:r>
            <w:r>
              <w:rPr>
                <w:sz w:val="16"/>
                <w:szCs w:val="16"/>
                <w:spacing w:val="11"/>
              </w:rPr>
              <w:t xml:space="preserve"> </w:t>
            </w:r>
            <w:r>
              <w:rPr>
                <w:sz w:val="16"/>
                <w:szCs w:val="16"/>
                <w:spacing w:val="1"/>
              </w:rPr>
              <w:t>略规定进行数据归档</w:t>
            </w:r>
          </w:p>
        </w:tc>
        <w:tc>
          <w:tcPr>
            <w:tcW w:w="3770" w:type="dxa"/>
            <w:vAlign w:val="top"/>
          </w:tcPr>
          <w:p>
            <w:pPr>
              <w:pStyle w:val="TableText"/>
              <w:ind w:left="286"/>
              <w:spacing w:before="210" w:line="219" w:lineRule="auto"/>
              <w:rPr>
                <w:sz w:val="16"/>
                <w:szCs w:val="16"/>
              </w:rPr>
            </w:pPr>
            <w:r>
              <w:rPr>
                <w:sz w:val="16"/>
                <w:szCs w:val="16"/>
              </w:rPr>
              <w:t>●数据归档或销毁程序</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29" w:right="75" w:firstLine="469"/>
        <w:spacing w:before="47" w:line="247" w:lineRule="auto"/>
        <w:rPr>
          <w:rFonts w:ascii="SimSun" w:hAnsi="SimSun" w:eastAsia="SimSun" w:cs="SimSun"/>
          <w:sz w:val="22"/>
          <w:szCs w:val="22"/>
        </w:rPr>
      </w:pPr>
      <w:r>
        <w:rPr>
          <w:rFonts w:ascii="SimSun" w:hAnsi="SimSun" w:eastAsia="SimSun" w:cs="SimSun"/>
          <w:sz w:val="22"/>
          <w:szCs w:val="22"/>
          <w:spacing w:val="-12"/>
        </w:rPr>
        <w:t>基于策略和连续性运行的要求，</w:t>
      </w:r>
      <w:r>
        <w:rPr>
          <w:rFonts w:ascii="SimSun" w:hAnsi="SimSun" w:eastAsia="SimSun" w:cs="SimSun"/>
          <w:sz w:val="22"/>
          <w:szCs w:val="22"/>
          <w:spacing w:val="56"/>
        </w:rPr>
        <w:t xml:space="preserve"> </w:t>
      </w:r>
      <w:r>
        <w:rPr>
          <w:rFonts w:ascii="SimSun" w:hAnsi="SimSun" w:eastAsia="SimSun" w:cs="SimSun"/>
          <w:sz w:val="22"/>
          <w:szCs w:val="22"/>
          <w:spacing w:val="-12"/>
        </w:rPr>
        <w:t>一些数据备份可以存储</w:t>
      </w:r>
      <w:r>
        <w:rPr>
          <w:rFonts w:ascii="SimSun" w:hAnsi="SimSun" w:eastAsia="SimSun" w:cs="SimSun"/>
          <w:sz w:val="22"/>
          <w:szCs w:val="22"/>
          <w:spacing w:val="-13"/>
        </w:rPr>
        <w:t>在一个独立的位置，以</w:t>
      </w:r>
      <w:r>
        <w:rPr>
          <w:rFonts w:ascii="SimSun" w:hAnsi="SimSun" w:eastAsia="SimSun" w:cs="SimSun"/>
          <w:sz w:val="22"/>
          <w:szCs w:val="22"/>
        </w:rPr>
        <w:t xml:space="preserve"> </w:t>
      </w:r>
      <w:r>
        <w:rPr>
          <w:rFonts w:ascii="SimSun" w:hAnsi="SimSun" w:eastAsia="SimSun" w:cs="SimSun"/>
          <w:sz w:val="22"/>
          <w:szCs w:val="22"/>
          <w:spacing w:val="-8"/>
        </w:rPr>
        <w:t>减轻与主数据位置相关的风险。此外，根据备份指南备份数据变更日志也很重要。</w:t>
      </w:r>
      <w:r>
        <w:rPr>
          <w:rFonts w:ascii="SimSun" w:hAnsi="SimSun" w:eastAsia="SimSun" w:cs="SimSun"/>
          <w:sz w:val="22"/>
          <w:szCs w:val="22"/>
          <w:spacing w:val="6"/>
        </w:rPr>
        <w:t xml:space="preserve"> </w:t>
      </w:r>
      <w:r>
        <w:rPr>
          <w:rFonts w:ascii="SimSun" w:hAnsi="SimSun" w:eastAsia="SimSun" w:cs="SimSun"/>
          <w:sz w:val="22"/>
          <w:szCs w:val="22"/>
          <w:spacing w:val="-8"/>
        </w:rPr>
        <w:t>数据变更日志应收集变更用户或过程的</w:t>
      </w:r>
      <w:r>
        <w:rPr>
          <w:rFonts w:ascii="Times New Roman" w:hAnsi="Times New Roman" w:eastAsia="Times New Roman" w:cs="Times New Roman"/>
          <w:sz w:val="22"/>
          <w:szCs w:val="22"/>
          <w:spacing w:val="-8"/>
        </w:rPr>
        <w:t>ID</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8"/>
        </w:rPr>
        <w:t>以及变更时间等事项。</w:t>
      </w:r>
    </w:p>
    <w:p>
      <w:pPr>
        <w:ind w:left="699"/>
        <w:spacing w:before="53"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5"/>
        </w:rPr>
        <w:t>管理级</w:t>
      </w:r>
    </w:p>
    <w:p>
      <w:pPr>
        <w:spacing w:line="127" w:lineRule="exact"/>
        <w:rPr/>
      </w:pPr>
      <w:r/>
    </w:p>
    <w:tbl>
      <w:tblPr>
        <w:tblStyle w:val="TableNormal"/>
        <w:tblW w:w="7670"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60"/>
      </w:tblGrid>
      <w:tr>
        <w:trPr>
          <w:trHeight w:val="350"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6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30" w:hRule="atLeast"/>
        </w:trPr>
        <w:tc>
          <w:tcPr>
            <w:tcW w:w="744" w:type="dxa"/>
            <w:vAlign w:val="top"/>
          </w:tcPr>
          <w:p>
            <w:pPr>
              <w:pStyle w:val="TableText"/>
              <w:ind w:left="245"/>
              <w:spacing w:before="131" w:line="184" w:lineRule="auto"/>
              <w:rPr>
                <w:sz w:val="16"/>
                <w:szCs w:val="16"/>
              </w:rPr>
            </w:pPr>
            <w:r>
              <w:rPr>
                <w:sz w:val="16"/>
                <w:szCs w:val="16"/>
                <w:spacing w:val="-2"/>
              </w:rPr>
              <w:t>2.1</w:t>
            </w:r>
          </w:p>
        </w:tc>
        <w:tc>
          <w:tcPr>
            <w:tcW w:w="3166" w:type="dxa"/>
            <w:vAlign w:val="top"/>
          </w:tcPr>
          <w:p>
            <w:pPr>
              <w:pStyle w:val="TableText"/>
              <w:ind w:left="271"/>
              <w:spacing w:before="91" w:line="219" w:lineRule="auto"/>
              <w:rPr>
                <w:sz w:val="16"/>
                <w:szCs w:val="16"/>
              </w:rPr>
            </w:pPr>
            <w:r>
              <w:rPr>
                <w:sz w:val="16"/>
                <w:szCs w:val="16"/>
                <w:spacing w:val="-1"/>
              </w:rPr>
              <w:t>制订历史数据的管理策略</w:t>
            </w:r>
          </w:p>
        </w:tc>
        <w:tc>
          <w:tcPr>
            <w:tcW w:w="3760" w:type="dxa"/>
            <w:vAlign w:val="top"/>
          </w:tcPr>
          <w:p>
            <w:pPr>
              <w:pStyle w:val="TableText"/>
              <w:ind w:left="275"/>
              <w:spacing w:before="91" w:line="219" w:lineRule="auto"/>
              <w:rPr>
                <w:sz w:val="16"/>
                <w:szCs w:val="16"/>
              </w:rPr>
            </w:pPr>
            <w:r>
              <w:rPr>
                <w:sz w:val="16"/>
                <w:szCs w:val="16"/>
              </w:rPr>
              <w:t>●历史数据管理策略</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29" w:right="84" w:firstLine="469"/>
        <w:spacing w:before="17" w:line="258" w:lineRule="auto"/>
        <w:rPr>
          <w:rFonts w:ascii="SimSun" w:hAnsi="SimSun" w:eastAsia="SimSun" w:cs="SimSun"/>
          <w:sz w:val="22"/>
          <w:szCs w:val="22"/>
        </w:rPr>
      </w:pPr>
      <w:r>
        <w:rPr>
          <w:rFonts w:ascii="SimSun" w:hAnsi="SimSun" w:eastAsia="SimSun" w:cs="SimSun"/>
          <w:sz w:val="22"/>
          <w:szCs w:val="22"/>
          <w:spacing w:val="-8"/>
        </w:rPr>
        <w:t>制订历史数据的管理策略，包括保存、恢复、销毁和审核跟踪等要求。在制订</w:t>
      </w:r>
      <w:r>
        <w:rPr>
          <w:rFonts w:ascii="SimSun" w:hAnsi="SimSun" w:eastAsia="SimSun" w:cs="SimSun"/>
          <w:sz w:val="22"/>
          <w:szCs w:val="22"/>
          <w:spacing w:val="11"/>
        </w:rPr>
        <w:t xml:space="preserve"> </w:t>
      </w:r>
      <w:r>
        <w:rPr>
          <w:rFonts w:ascii="SimSun" w:hAnsi="SimSun" w:eastAsia="SimSun" w:cs="SimSun"/>
          <w:sz w:val="22"/>
          <w:szCs w:val="22"/>
          <w:spacing w:val="-8"/>
        </w:rPr>
        <w:t>管理策略是应特别注意：在云计算时代，数据急剧增长，与传统的数据备份、数据</w:t>
      </w:r>
      <w:r>
        <w:rPr>
          <w:rFonts w:ascii="SimSun" w:hAnsi="SimSun" w:eastAsia="SimSun" w:cs="SimSun"/>
          <w:sz w:val="22"/>
          <w:szCs w:val="22"/>
        </w:rPr>
        <w:t xml:space="preserve"> </w:t>
      </w:r>
      <w:r>
        <w:rPr>
          <w:rFonts w:ascii="SimSun" w:hAnsi="SimSun" w:eastAsia="SimSun" w:cs="SimSun"/>
          <w:sz w:val="22"/>
          <w:szCs w:val="22"/>
          <w:spacing w:val="-10"/>
        </w:rPr>
        <w:t>归档不同，云端数据的归档更需要关注数据选择性恢复的功能。</w:t>
      </w:r>
    </w:p>
    <w:p>
      <w:pPr>
        <w:spacing w:line="115" w:lineRule="exact"/>
        <w:rPr/>
      </w:pPr>
      <w:r/>
    </w:p>
    <w:tbl>
      <w:tblPr>
        <w:tblStyle w:val="TableNormal"/>
        <w:tblW w:w="767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7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65" w:type="dxa"/>
            <w:vAlign w:val="top"/>
          </w:tcPr>
          <w:p>
            <w:pPr>
              <w:pStyle w:val="TableText"/>
              <w:ind w:left="1170"/>
              <w:spacing w:before="101" w:line="219" w:lineRule="auto"/>
              <w:rPr>
                <w:sz w:val="16"/>
                <w:szCs w:val="16"/>
              </w:rPr>
            </w:pPr>
            <w:r>
              <w:rPr>
                <w:sz w:val="16"/>
                <w:szCs w:val="16"/>
                <w:spacing w:val="-4"/>
              </w:rPr>
              <w:t>等 级 要 求</w:t>
            </w:r>
          </w:p>
        </w:tc>
        <w:tc>
          <w:tcPr>
            <w:tcW w:w="3770" w:type="dxa"/>
            <w:vAlign w:val="top"/>
          </w:tcPr>
          <w:p>
            <w:pPr>
              <w:pStyle w:val="TableText"/>
              <w:ind w:left="158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44" w:type="dxa"/>
            <w:vAlign w:val="top"/>
          </w:tcPr>
          <w:p>
            <w:pPr>
              <w:pStyle w:val="TableText"/>
              <w:ind w:left="245"/>
              <w:spacing w:before="261" w:line="183" w:lineRule="auto"/>
              <w:rPr>
                <w:sz w:val="16"/>
                <w:szCs w:val="16"/>
              </w:rPr>
            </w:pPr>
            <w:r>
              <w:rPr>
                <w:sz w:val="16"/>
                <w:szCs w:val="16"/>
                <w:spacing w:val="-2"/>
              </w:rPr>
              <w:t>2.2</w:t>
            </w:r>
          </w:p>
        </w:tc>
        <w:tc>
          <w:tcPr>
            <w:tcW w:w="3165" w:type="dxa"/>
            <w:vAlign w:val="top"/>
          </w:tcPr>
          <w:p>
            <w:pPr>
              <w:pStyle w:val="TableText"/>
              <w:ind w:left="111" w:right="14" w:firstLine="160"/>
              <w:spacing w:before="111" w:line="260" w:lineRule="auto"/>
              <w:rPr>
                <w:sz w:val="16"/>
                <w:szCs w:val="16"/>
              </w:rPr>
            </w:pPr>
            <w:r>
              <w:rPr>
                <w:sz w:val="16"/>
                <w:szCs w:val="16"/>
                <w:spacing w:val="-1"/>
              </w:rPr>
              <w:t>定义方法以确保业务需要时能对历史数据</w:t>
            </w:r>
            <w:r>
              <w:rPr>
                <w:sz w:val="16"/>
                <w:szCs w:val="16"/>
                <w:spacing w:val="6"/>
              </w:rPr>
              <w:t xml:space="preserve"> </w:t>
            </w:r>
            <w:r>
              <w:rPr>
                <w:sz w:val="16"/>
                <w:szCs w:val="16"/>
                <w:spacing w:val="2"/>
              </w:rPr>
              <w:t>进行必要的访问</w:t>
            </w:r>
          </w:p>
        </w:tc>
        <w:tc>
          <w:tcPr>
            <w:tcW w:w="3770" w:type="dxa"/>
            <w:vAlign w:val="top"/>
          </w:tcPr>
          <w:p>
            <w:pPr>
              <w:pStyle w:val="TableText"/>
              <w:ind w:left="286"/>
              <w:spacing w:before="220" w:line="219" w:lineRule="auto"/>
              <w:rPr>
                <w:sz w:val="16"/>
                <w:szCs w:val="16"/>
              </w:rPr>
            </w:pPr>
            <w:r>
              <w:rPr>
                <w:sz w:val="16"/>
                <w:szCs w:val="16"/>
              </w:rPr>
              <w:t>●历史数据使用管理办法</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29" w:right="86" w:firstLine="469"/>
        <w:spacing w:before="57" w:line="247" w:lineRule="auto"/>
        <w:rPr>
          <w:rFonts w:ascii="SimSun" w:hAnsi="SimSun" w:eastAsia="SimSun" w:cs="SimSun"/>
          <w:sz w:val="22"/>
          <w:szCs w:val="22"/>
        </w:rPr>
      </w:pPr>
      <w:r>
        <w:rPr>
          <w:rFonts w:ascii="SimSun" w:hAnsi="SimSun" w:eastAsia="SimSun" w:cs="SimSun"/>
          <w:sz w:val="22"/>
          <w:szCs w:val="22"/>
          <w:spacing w:val="-8"/>
        </w:rPr>
        <w:t>不同的数据有不同的归档场景，制订数据归档策略时，应对数据使用的需求进</w:t>
      </w:r>
      <w:r>
        <w:rPr>
          <w:rFonts w:ascii="SimSun" w:hAnsi="SimSun" w:eastAsia="SimSun" w:cs="SimSun"/>
          <w:sz w:val="22"/>
          <w:szCs w:val="22"/>
          <w:spacing w:val="9"/>
        </w:rPr>
        <w:t xml:space="preserve"> </w:t>
      </w:r>
      <w:r>
        <w:rPr>
          <w:rFonts w:ascii="SimSun" w:hAnsi="SimSun" w:eastAsia="SimSun" w:cs="SimSun"/>
          <w:sz w:val="22"/>
          <w:szCs w:val="22"/>
          <w:spacing w:val="-8"/>
        </w:rPr>
        <w:t>行分析，根据分析的结果，结合法规、技术、访问成本等，梳理数据的归档场景。</w:t>
      </w:r>
      <w:r>
        <w:rPr>
          <w:rFonts w:ascii="SimSun" w:hAnsi="SimSun" w:eastAsia="SimSun" w:cs="SimSun"/>
          <w:sz w:val="22"/>
          <w:szCs w:val="22"/>
          <w:spacing w:val="6"/>
        </w:rPr>
        <w:t xml:space="preserve"> </w:t>
      </w:r>
      <w:r>
        <w:rPr>
          <w:rFonts w:ascii="SimSun" w:hAnsi="SimSun" w:eastAsia="SimSun" w:cs="SimSun"/>
          <w:sz w:val="22"/>
          <w:szCs w:val="22"/>
          <w:spacing w:val="-10"/>
        </w:rPr>
        <w:t>基于业务需求和技术策略制订历史数据使用管理办法。</w:t>
      </w:r>
    </w:p>
    <w:p>
      <w:pPr>
        <w:spacing w:line="125" w:lineRule="exact"/>
        <w:rPr/>
      </w:pPr>
      <w:r/>
    </w:p>
    <w:tbl>
      <w:tblPr>
        <w:tblStyle w:val="TableNormal"/>
        <w:tblW w:w="768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50"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66" w:type="dxa"/>
            <w:vAlign w:val="top"/>
          </w:tcPr>
          <w:p>
            <w:pPr>
              <w:pStyle w:val="TableText"/>
              <w:ind w:left="1171"/>
              <w:spacing w:before="101" w:line="219" w:lineRule="auto"/>
              <w:rPr>
                <w:sz w:val="16"/>
                <w:szCs w:val="16"/>
              </w:rPr>
            </w:pPr>
            <w:r>
              <w:rPr>
                <w:sz w:val="16"/>
                <w:szCs w:val="16"/>
                <w:spacing w:val="-4"/>
              </w:rPr>
              <w:t>等 级 要 求</w:t>
            </w:r>
          </w:p>
        </w:tc>
        <w:tc>
          <w:tcPr>
            <w:tcW w:w="376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40" w:hRule="atLeast"/>
        </w:trPr>
        <w:tc>
          <w:tcPr>
            <w:tcW w:w="754" w:type="dxa"/>
            <w:vAlign w:val="top"/>
          </w:tcPr>
          <w:p>
            <w:pPr>
              <w:pStyle w:val="TableText"/>
              <w:ind w:left="244"/>
              <w:spacing w:before="132" w:line="183" w:lineRule="auto"/>
              <w:rPr>
                <w:sz w:val="16"/>
                <w:szCs w:val="16"/>
              </w:rPr>
            </w:pPr>
            <w:r>
              <w:rPr>
                <w:sz w:val="16"/>
                <w:szCs w:val="16"/>
                <w:spacing w:val="-2"/>
              </w:rPr>
              <w:t>2.3</w:t>
            </w:r>
          </w:p>
        </w:tc>
        <w:tc>
          <w:tcPr>
            <w:tcW w:w="3166" w:type="dxa"/>
            <w:vAlign w:val="top"/>
          </w:tcPr>
          <w:p>
            <w:pPr>
              <w:pStyle w:val="TableText"/>
              <w:ind w:left="270"/>
              <w:spacing w:before="91" w:line="219" w:lineRule="auto"/>
              <w:rPr>
                <w:sz w:val="16"/>
                <w:szCs w:val="16"/>
              </w:rPr>
            </w:pPr>
            <w:r>
              <w:rPr>
                <w:sz w:val="16"/>
                <w:szCs w:val="16"/>
                <w:spacing w:val="-1"/>
              </w:rPr>
              <w:t>对选定的归档数据进行恢复测试</w:t>
            </w:r>
          </w:p>
        </w:tc>
        <w:tc>
          <w:tcPr>
            <w:tcW w:w="3760" w:type="dxa"/>
            <w:vAlign w:val="top"/>
          </w:tcPr>
          <w:p>
            <w:pPr>
              <w:pStyle w:val="TableText"/>
              <w:ind w:left="275"/>
              <w:spacing w:before="91" w:line="219" w:lineRule="auto"/>
              <w:rPr>
                <w:sz w:val="16"/>
                <w:szCs w:val="16"/>
              </w:rPr>
            </w:pPr>
            <w:r>
              <w:rPr>
                <w:sz w:val="16"/>
                <w:szCs w:val="16"/>
              </w:rPr>
              <w:t>●归档数据恢复管理程序</w:t>
            </w:r>
          </w:p>
        </w:tc>
      </w:tr>
    </w:tbl>
    <w:p>
      <w:pPr>
        <w:ind w:left="58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29" w:right="80" w:firstLine="469"/>
        <w:spacing w:before="47" w:line="247" w:lineRule="auto"/>
        <w:rPr>
          <w:rFonts w:ascii="SimSun" w:hAnsi="SimSun" w:eastAsia="SimSun" w:cs="SimSun"/>
          <w:sz w:val="22"/>
          <w:szCs w:val="22"/>
        </w:rPr>
      </w:pPr>
      <w:r>
        <w:rPr>
          <w:rFonts w:ascii="SimSun" w:hAnsi="SimSun" w:eastAsia="SimSun" w:cs="SimSun"/>
          <w:sz w:val="22"/>
          <w:szCs w:val="22"/>
          <w:spacing w:val="-8"/>
        </w:rPr>
        <w:t>一般情况下，不需要对所有归档和备份的数据进行恢复，但需要建立一套定期</w:t>
      </w:r>
      <w:r>
        <w:rPr>
          <w:rFonts w:ascii="SimSun" w:hAnsi="SimSun" w:eastAsia="SimSun" w:cs="SimSun"/>
          <w:sz w:val="22"/>
          <w:szCs w:val="22"/>
          <w:spacing w:val="15"/>
        </w:rPr>
        <w:t xml:space="preserve"> </w:t>
      </w:r>
      <w:r>
        <w:rPr>
          <w:rFonts w:ascii="SimSun" w:hAnsi="SimSun" w:eastAsia="SimSun" w:cs="SimSun"/>
          <w:sz w:val="22"/>
          <w:szCs w:val="22"/>
          <w:spacing w:val="-8"/>
        </w:rPr>
        <w:t>测试的策略，以确保数据恢复程序准确性。恢复测试应按照由组织实际使</w:t>
      </w:r>
      <w:r>
        <w:rPr>
          <w:rFonts w:ascii="SimSun" w:hAnsi="SimSun" w:eastAsia="SimSun" w:cs="SimSun"/>
          <w:sz w:val="22"/>
          <w:szCs w:val="22"/>
          <w:spacing w:val="-9"/>
        </w:rPr>
        <w:t>用的技术</w:t>
      </w:r>
      <w:r>
        <w:rPr>
          <w:rFonts w:ascii="SimSun" w:hAnsi="SimSun" w:eastAsia="SimSun" w:cs="SimSun"/>
          <w:sz w:val="22"/>
          <w:szCs w:val="22"/>
        </w:rPr>
        <w:t xml:space="preserve"> </w:t>
      </w:r>
      <w:r>
        <w:rPr>
          <w:rFonts w:ascii="SimSun" w:hAnsi="SimSun" w:eastAsia="SimSun" w:cs="SimSun"/>
          <w:sz w:val="22"/>
          <w:szCs w:val="22"/>
          <w:spacing w:val="-16"/>
        </w:rPr>
        <w:t>类型来执行。</w:t>
      </w:r>
    </w:p>
    <w:p>
      <w:pPr>
        <w:ind w:left="699"/>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5"/>
        </w:rPr>
        <w:t>定义级</w:t>
      </w:r>
    </w:p>
    <w:p>
      <w:pPr>
        <w:spacing w:line="108" w:lineRule="exact"/>
        <w:rPr/>
      </w:pPr>
      <w:r/>
    </w:p>
    <w:tbl>
      <w:tblPr>
        <w:tblStyle w:val="TableNormal"/>
        <w:tblW w:w="7679" w:type="dxa"/>
        <w:tblInd w:w="3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75"/>
        <w:gridCol w:w="3760"/>
      </w:tblGrid>
      <w:tr>
        <w:trPr>
          <w:trHeight w:val="349"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75" w:type="dxa"/>
            <w:vAlign w:val="top"/>
          </w:tcPr>
          <w:p>
            <w:pPr>
              <w:pStyle w:val="TableText"/>
              <w:ind w:left="1181"/>
              <w:spacing w:before="101" w:line="219" w:lineRule="auto"/>
              <w:rPr>
                <w:sz w:val="16"/>
                <w:szCs w:val="16"/>
              </w:rPr>
            </w:pPr>
            <w:r>
              <w:rPr>
                <w:sz w:val="16"/>
                <w:szCs w:val="16"/>
                <w:spacing w:val="-4"/>
              </w:rPr>
              <w:t>等 级 要 求</w:t>
            </w:r>
          </w:p>
        </w:tc>
        <w:tc>
          <w:tcPr>
            <w:tcW w:w="3760" w:type="dxa"/>
            <w:vAlign w:val="top"/>
          </w:tcPr>
          <w:p>
            <w:pPr>
              <w:pStyle w:val="TableText"/>
              <w:ind w:left="1576"/>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5"/>
              <w:spacing w:before="143" w:line="184" w:lineRule="auto"/>
              <w:rPr>
                <w:sz w:val="16"/>
                <w:szCs w:val="16"/>
              </w:rPr>
            </w:pPr>
            <w:r>
              <w:rPr>
                <w:sz w:val="16"/>
                <w:szCs w:val="16"/>
                <w:spacing w:val="-3"/>
              </w:rPr>
              <w:t>3.1</w:t>
            </w:r>
          </w:p>
        </w:tc>
        <w:tc>
          <w:tcPr>
            <w:tcW w:w="3175" w:type="dxa"/>
            <w:vAlign w:val="top"/>
          </w:tcPr>
          <w:p>
            <w:pPr>
              <w:pStyle w:val="TableText"/>
              <w:ind w:left="281"/>
              <w:spacing w:before="102" w:line="219" w:lineRule="auto"/>
              <w:rPr>
                <w:sz w:val="16"/>
                <w:szCs w:val="16"/>
              </w:rPr>
            </w:pPr>
            <w:r>
              <w:rPr>
                <w:sz w:val="16"/>
                <w:szCs w:val="16"/>
                <w:spacing w:val="-1"/>
              </w:rPr>
              <w:t>设立合适的数据仓库</w:t>
            </w:r>
          </w:p>
        </w:tc>
        <w:tc>
          <w:tcPr>
            <w:tcW w:w="3760" w:type="dxa"/>
            <w:vAlign w:val="top"/>
          </w:tcPr>
          <w:p>
            <w:pPr>
              <w:pStyle w:val="TableText"/>
              <w:ind w:left="266"/>
              <w:spacing w:before="102" w:line="219" w:lineRule="auto"/>
              <w:rPr>
                <w:sz w:val="16"/>
                <w:szCs w:val="16"/>
              </w:rPr>
            </w:pPr>
            <w:r>
              <w:rPr>
                <w:sz w:val="16"/>
                <w:szCs w:val="16"/>
              </w:rPr>
              <w:t>●支持历史数据访问的数据仓库</w:t>
            </w:r>
          </w:p>
        </w:tc>
      </w:tr>
    </w:tbl>
    <w:p>
      <w:pPr>
        <w:pStyle w:val="BodyText"/>
        <w:rPr/>
      </w:pPr>
      <w:r/>
    </w:p>
    <w:p>
      <w:pPr>
        <w:sectPr>
          <w:footerReference w:type="default" r:id="rId402"/>
          <w:pgSz w:w="8870" w:h="13400"/>
          <w:pgMar w:top="400" w:right="355" w:bottom="574" w:left="510" w:header="0" w:footer="356" w:gutter="0"/>
        </w:sectPr>
        <w:rPr/>
      </w:pPr>
    </w:p>
    <w:p>
      <w:pPr>
        <w:ind w:left="5518"/>
        <w:spacing w:before="274" w:line="219" w:lineRule="auto"/>
        <w:rPr>
          <w:rFonts w:ascii="SimSun" w:hAnsi="SimSun" w:eastAsia="SimSun" w:cs="SimSun"/>
          <w:sz w:val="22"/>
          <w:szCs w:val="22"/>
        </w:rPr>
      </w:pPr>
      <w:r>
        <w:rPr>
          <w:rFonts w:ascii="SimSun" w:hAnsi="SimSun" w:eastAsia="SimSun" w:cs="SimSun"/>
          <w:sz w:val="22"/>
          <w:szCs w:val="22"/>
          <w:b/>
          <w:bCs/>
          <w:spacing w:val="7"/>
        </w:rPr>
        <w:t>第8章■云端数据架构</w:t>
      </w:r>
    </w:p>
    <w:p>
      <w:pPr>
        <w:ind w:left="304"/>
        <w:spacing w:before="303"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 w:right="240" w:firstLine="409"/>
        <w:spacing w:before="40" w:line="250" w:lineRule="auto"/>
        <w:rPr>
          <w:rFonts w:ascii="SimSun" w:hAnsi="SimSun" w:eastAsia="SimSun" w:cs="SimSun"/>
          <w:sz w:val="22"/>
          <w:szCs w:val="22"/>
        </w:rPr>
      </w:pPr>
      <w:r>
        <w:rPr>
          <w:rFonts w:ascii="SimSun" w:hAnsi="SimSun" w:eastAsia="SimSun" w:cs="SimSun"/>
          <w:sz w:val="22"/>
          <w:szCs w:val="22"/>
          <w:spacing w:val="-7"/>
        </w:rPr>
        <w:t>数据仓库中的每一条数据在某个时间点都是准确的，</w:t>
      </w:r>
      <w:r>
        <w:rPr>
          <w:rFonts w:ascii="SimSun" w:hAnsi="SimSun" w:eastAsia="SimSun" w:cs="SimSun"/>
          <w:sz w:val="22"/>
          <w:szCs w:val="22"/>
          <w:spacing w:val="-8"/>
        </w:rPr>
        <w:t>并常常在其结构中体现时</w:t>
      </w:r>
      <w:r>
        <w:rPr>
          <w:rFonts w:ascii="SimSun" w:hAnsi="SimSun" w:eastAsia="SimSun" w:cs="SimSun"/>
          <w:sz w:val="22"/>
          <w:szCs w:val="22"/>
        </w:rPr>
        <w:t xml:space="preserve"> </w:t>
      </w:r>
      <w:r>
        <w:rPr>
          <w:rFonts w:ascii="SimSun" w:hAnsi="SimSun" w:eastAsia="SimSun" w:cs="SimSun"/>
          <w:sz w:val="22"/>
          <w:szCs w:val="22"/>
          <w:spacing w:val="-8"/>
        </w:rPr>
        <w:t>间元素。因此，可以将数据仓库想象为数据快照的历史记录，在每一快照对应的时</w:t>
      </w:r>
      <w:r>
        <w:rPr>
          <w:rFonts w:ascii="SimSun" w:hAnsi="SimSun" w:eastAsia="SimSun" w:cs="SimSun"/>
          <w:sz w:val="22"/>
          <w:szCs w:val="22"/>
          <w:spacing w:val="9"/>
        </w:rPr>
        <w:t xml:space="preserve"> </w:t>
      </w:r>
      <w:r>
        <w:rPr>
          <w:rFonts w:ascii="SimSun" w:hAnsi="SimSun" w:eastAsia="SimSun" w:cs="SimSun"/>
          <w:sz w:val="22"/>
          <w:szCs w:val="22"/>
          <w:spacing w:val="-7"/>
        </w:rPr>
        <w:t>间点上进行记录。组织应具有规定的数据仓库，提供历史数据访问，以支持业务过</w:t>
      </w:r>
      <w:r>
        <w:rPr>
          <w:rFonts w:ascii="SimSun" w:hAnsi="SimSun" w:eastAsia="SimSun" w:cs="SimSun"/>
          <w:sz w:val="22"/>
          <w:szCs w:val="22"/>
        </w:rPr>
        <w:t xml:space="preserve"> </w:t>
      </w:r>
      <w:r>
        <w:rPr>
          <w:rFonts w:ascii="SimSun" w:hAnsi="SimSun" w:eastAsia="SimSun" w:cs="SimSun"/>
          <w:sz w:val="22"/>
          <w:szCs w:val="22"/>
          <w:spacing w:val="-12"/>
        </w:rPr>
        <w:t>程的分析需求。</w:t>
      </w:r>
    </w:p>
    <w:p>
      <w:pPr>
        <w:spacing w:line="143" w:lineRule="exact"/>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9" w:hRule="atLeast"/>
        </w:trPr>
        <w:tc>
          <w:tcPr>
            <w:tcW w:w="744" w:type="dxa"/>
            <w:vAlign w:val="top"/>
          </w:tcPr>
          <w:p>
            <w:pPr>
              <w:pStyle w:val="TableText"/>
              <w:ind w:left="214"/>
              <w:spacing w:before="101" w:line="221" w:lineRule="auto"/>
              <w:rPr/>
            </w:pPr>
            <w:r>
              <w:rPr>
                <w:spacing w:val="-2"/>
              </w:rPr>
              <w:t>序号</w:t>
            </w:r>
          </w:p>
        </w:tc>
        <w:tc>
          <w:tcPr>
            <w:tcW w:w="315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350" w:hRule="atLeast"/>
        </w:trPr>
        <w:tc>
          <w:tcPr>
            <w:tcW w:w="744" w:type="dxa"/>
            <w:vAlign w:val="top"/>
          </w:tcPr>
          <w:p>
            <w:pPr>
              <w:pStyle w:val="TableText"/>
              <w:ind w:left="245"/>
              <w:spacing w:before="140" w:line="183" w:lineRule="auto"/>
              <w:rPr/>
            </w:pPr>
            <w:r>
              <w:rPr>
                <w:spacing w:val="-2"/>
              </w:rPr>
              <w:t>3.2</w:t>
            </w:r>
          </w:p>
        </w:tc>
        <w:tc>
          <w:tcPr>
            <w:tcW w:w="3155" w:type="dxa"/>
            <w:vAlign w:val="top"/>
          </w:tcPr>
          <w:p>
            <w:pPr>
              <w:pStyle w:val="TableText"/>
              <w:ind w:left="141"/>
              <w:spacing w:before="101" w:line="219" w:lineRule="auto"/>
              <w:rPr/>
            </w:pPr>
            <w:r>
              <w:rPr>
                <w:spacing w:val="-1"/>
              </w:rPr>
              <w:t>任何具体时间点的数据文本可以被重新创建</w:t>
            </w:r>
          </w:p>
        </w:tc>
        <w:tc>
          <w:tcPr>
            <w:tcW w:w="3780" w:type="dxa"/>
            <w:vAlign w:val="top"/>
          </w:tcPr>
          <w:p>
            <w:pPr>
              <w:pStyle w:val="TableText"/>
              <w:ind w:left="275"/>
              <w:spacing w:before="102" w:line="219" w:lineRule="auto"/>
              <w:rPr/>
            </w:pPr>
            <w:r>
              <w:rPr>
                <w:spacing w:val="1"/>
              </w:rPr>
              <w:t>●数据恢复指南</w:t>
            </w:r>
          </w:p>
        </w:tc>
      </w:tr>
    </w:tbl>
    <w:p>
      <w:pPr>
        <w:ind w:left="304"/>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 w:right="261" w:firstLine="409"/>
        <w:spacing w:before="37" w:line="243" w:lineRule="auto"/>
        <w:rPr>
          <w:rFonts w:ascii="SimSun" w:hAnsi="SimSun" w:eastAsia="SimSun" w:cs="SimSun"/>
          <w:sz w:val="22"/>
          <w:szCs w:val="22"/>
        </w:rPr>
      </w:pPr>
      <w:r>
        <w:rPr>
          <w:rFonts w:ascii="SimSun" w:hAnsi="SimSun" w:eastAsia="SimSun" w:cs="SimSun"/>
          <w:sz w:val="22"/>
          <w:szCs w:val="22"/>
          <w:spacing w:val="-7"/>
        </w:rPr>
        <w:t>定义目标有助于指导资源和任务的合理分配，制订必要的战略，</w:t>
      </w:r>
      <w:r>
        <w:rPr>
          <w:rFonts w:ascii="SimSun" w:hAnsi="SimSun" w:eastAsia="SimSun" w:cs="SimSun"/>
          <w:sz w:val="22"/>
          <w:szCs w:val="22"/>
          <w:spacing w:val="-8"/>
        </w:rPr>
        <w:t>以及对计划和</w:t>
      </w:r>
      <w:r>
        <w:rPr>
          <w:rFonts w:ascii="SimSun" w:hAnsi="SimSun" w:eastAsia="SimSun" w:cs="SimSun"/>
          <w:sz w:val="22"/>
          <w:szCs w:val="22"/>
        </w:rPr>
        <w:t xml:space="preserve"> </w:t>
      </w:r>
      <w:r>
        <w:rPr>
          <w:rFonts w:ascii="SimSun" w:hAnsi="SimSun" w:eastAsia="SimSun" w:cs="SimSun"/>
          <w:sz w:val="22"/>
          <w:szCs w:val="22"/>
          <w:spacing w:val="-12"/>
        </w:rPr>
        <w:t>程序的整体经济性做出合理判断。</w:t>
      </w:r>
      <w:r>
        <w:rPr>
          <w:rFonts w:ascii="SimSun" w:hAnsi="SimSun" w:eastAsia="SimSun" w:cs="SimSun"/>
          <w:sz w:val="22"/>
          <w:szCs w:val="22"/>
          <w:spacing w:val="38"/>
        </w:rPr>
        <w:t xml:space="preserve"> </w:t>
      </w:r>
      <w:r>
        <w:rPr>
          <w:rFonts w:ascii="SimSun" w:hAnsi="SimSun" w:eastAsia="SimSun" w:cs="SimSun"/>
          <w:sz w:val="22"/>
          <w:szCs w:val="22"/>
          <w:spacing w:val="-12"/>
        </w:rPr>
        <w:t>一旦设定目标，就能为计划的实际制订过程提供</w:t>
      </w:r>
      <w:r>
        <w:rPr>
          <w:rFonts w:ascii="SimSun" w:hAnsi="SimSun" w:eastAsia="SimSun" w:cs="SimSun"/>
          <w:sz w:val="22"/>
          <w:szCs w:val="22"/>
        </w:rPr>
        <w:t xml:space="preserve"> </w:t>
      </w:r>
      <w:r>
        <w:rPr>
          <w:rFonts w:ascii="SimSun" w:hAnsi="SimSun" w:eastAsia="SimSun" w:cs="SimSun"/>
          <w:sz w:val="22"/>
          <w:szCs w:val="22"/>
          <w:spacing w:val="-8"/>
        </w:rPr>
        <w:t>指导。因此，当制订备份和恢复功能的指南时，组织应明确恢复时间目标</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8"/>
        </w:rPr>
        <w:t>(RTO)</w:t>
      </w:r>
      <w:r>
        <w:rPr>
          <w:rFonts w:ascii="SimSun" w:hAnsi="SimSun" w:eastAsia="SimSun" w:cs="SimSun"/>
          <w:sz w:val="22"/>
          <w:szCs w:val="22"/>
          <w:spacing w:val="-8"/>
        </w:rPr>
        <w:t>。</w:t>
      </w:r>
    </w:p>
    <w:p>
      <w:pPr>
        <w:spacing w:line="158" w:lineRule="exact"/>
        <w:rPr/>
      </w:pPr>
      <w:r/>
    </w:p>
    <w:tbl>
      <w:tblPr>
        <w:tblStyle w:val="TableNormal"/>
        <w:tblW w:w="768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14"/>
              <w:spacing w:before="102" w:line="221" w:lineRule="auto"/>
              <w:rPr/>
            </w:pPr>
            <w:r>
              <w:rPr>
                <w:spacing w:val="-2"/>
              </w:rPr>
              <w:t>序号</w:t>
            </w:r>
          </w:p>
        </w:tc>
        <w:tc>
          <w:tcPr>
            <w:tcW w:w="3156"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3" w:lineRule="auto"/>
              <w:rPr/>
            </w:pPr>
            <w:r>
              <w:rPr>
                <w:spacing w:val="-2"/>
              </w:rPr>
              <w:t>3.3</w:t>
            </w:r>
          </w:p>
        </w:tc>
        <w:tc>
          <w:tcPr>
            <w:tcW w:w="3156" w:type="dxa"/>
            <w:vAlign w:val="top"/>
          </w:tcPr>
          <w:p>
            <w:pPr>
              <w:pStyle w:val="TableText"/>
              <w:ind w:left="140" w:right="40" w:firstLine="120"/>
              <w:spacing w:before="99" w:line="282" w:lineRule="auto"/>
              <w:rPr/>
            </w:pPr>
            <w:r>
              <w:rPr>
                <w:spacing w:val="-1"/>
              </w:rPr>
              <w:t>通过数据治理来定义和批准政策，并在要求</w:t>
            </w:r>
            <w:r>
              <w:rPr>
                <w:spacing w:val="12"/>
              </w:rPr>
              <w:t xml:space="preserve"> </w:t>
            </w:r>
            <w:r>
              <w:rPr>
                <w:spacing w:val="-1"/>
              </w:rPr>
              <w:t>数据更改记录和日志保存的组织层面上实施</w:t>
            </w:r>
          </w:p>
        </w:tc>
        <w:tc>
          <w:tcPr>
            <w:tcW w:w="3780" w:type="dxa"/>
            <w:vAlign w:val="top"/>
          </w:tcPr>
          <w:p>
            <w:pPr>
              <w:pStyle w:val="TableText"/>
              <w:ind w:left="264"/>
              <w:spacing w:before="230" w:line="219" w:lineRule="auto"/>
              <w:rPr/>
            </w:pPr>
            <w:r>
              <w:rPr/>
              <w:t>●数据记录政策</w:t>
            </w:r>
          </w:p>
        </w:tc>
      </w:tr>
    </w:tbl>
    <w:p>
      <w:pPr>
        <w:ind w:left="30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 w:right="266" w:firstLine="409"/>
        <w:spacing w:before="27" w:line="247" w:lineRule="auto"/>
        <w:rPr>
          <w:rFonts w:ascii="SimSun" w:hAnsi="SimSun" w:eastAsia="SimSun" w:cs="SimSun"/>
          <w:sz w:val="22"/>
          <w:szCs w:val="22"/>
        </w:rPr>
      </w:pPr>
      <w:r>
        <w:rPr>
          <w:rFonts w:ascii="SimSun" w:hAnsi="SimSun" w:eastAsia="SimSun" w:cs="SimSun"/>
          <w:sz w:val="22"/>
          <w:szCs w:val="22"/>
          <w:spacing w:val="-7"/>
        </w:rPr>
        <w:t>哪些数据需要归档，主要与监管要求及企业战</w:t>
      </w:r>
      <w:r>
        <w:rPr>
          <w:rFonts w:ascii="SimSun" w:hAnsi="SimSun" w:eastAsia="SimSun" w:cs="SimSun"/>
          <w:sz w:val="22"/>
          <w:szCs w:val="22"/>
          <w:spacing w:val="-8"/>
        </w:rPr>
        <w:t>略有关。组织根据监管要求和企</w:t>
      </w:r>
      <w:r>
        <w:rPr>
          <w:rFonts w:ascii="SimSun" w:hAnsi="SimSun" w:eastAsia="SimSun" w:cs="SimSun"/>
          <w:sz w:val="22"/>
          <w:szCs w:val="22"/>
        </w:rPr>
        <w:t xml:space="preserve"> </w:t>
      </w:r>
      <w:r>
        <w:rPr>
          <w:rFonts w:ascii="SimSun" w:hAnsi="SimSun" w:eastAsia="SimSun" w:cs="SimSun"/>
          <w:sz w:val="22"/>
          <w:szCs w:val="22"/>
          <w:spacing w:val="-8"/>
        </w:rPr>
        <w:t>业战略，明确热数据、温数据和冷数据之间的界限，确定数据的归档政策，并根据</w:t>
      </w:r>
      <w:r>
        <w:rPr>
          <w:rFonts w:ascii="SimSun" w:hAnsi="SimSun" w:eastAsia="SimSun" w:cs="SimSun"/>
          <w:sz w:val="22"/>
          <w:szCs w:val="22"/>
          <w:spacing w:val="9"/>
        </w:rPr>
        <w:t xml:space="preserve"> </w:t>
      </w:r>
      <w:r>
        <w:rPr>
          <w:rFonts w:ascii="SimSun" w:hAnsi="SimSun" w:eastAsia="SimSun" w:cs="SimSun"/>
          <w:sz w:val="22"/>
          <w:szCs w:val="22"/>
          <w:spacing w:val="-9"/>
        </w:rPr>
        <w:t>归档政策进行归档。因此，组织的数据保存和归档政策应与监管要求</w:t>
      </w:r>
      <w:r>
        <w:rPr>
          <w:rFonts w:ascii="SimSun" w:hAnsi="SimSun" w:eastAsia="SimSun" w:cs="SimSun"/>
          <w:sz w:val="22"/>
          <w:szCs w:val="22"/>
          <w:spacing w:val="-10"/>
        </w:rPr>
        <w:t>保持一致。</w:t>
      </w:r>
    </w:p>
    <w:p>
      <w:pPr>
        <w:spacing w:line="145" w:lineRule="exact"/>
        <w:rPr/>
      </w:pPr>
      <w:r/>
    </w:p>
    <w:tbl>
      <w:tblPr>
        <w:tblStyle w:val="TableNormal"/>
        <w:tblW w:w="7669"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8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45" w:type="dxa"/>
            <w:vAlign w:val="top"/>
          </w:tcPr>
          <w:p>
            <w:pPr>
              <w:pStyle w:val="TableText"/>
              <w:ind w:left="1151"/>
              <w:spacing w:before="101" w:line="219" w:lineRule="auto"/>
              <w:rPr>
                <w:sz w:val="16"/>
                <w:szCs w:val="16"/>
              </w:rPr>
            </w:pPr>
            <w:r>
              <w:rPr>
                <w:sz w:val="16"/>
                <w:szCs w:val="16"/>
                <w:spacing w:val="-4"/>
              </w:rPr>
              <w:t>等 级 要 求</w:t>
            </w:r>
          </w:p>
        </w:tc>
        <w:tc>
          <w:tcPr>
            <w:tcW w:w="378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8" w:hRule="atLeast"/>
        </w:trPr>
        <w:tc>
          <w:tcPr>
            <w:tcW w:w="744" w:type="dxa"/>
            <w:vAlign w:val="top"/>
          </w:tcPr>
          <w:p>
            <w:pPr>
              <w:pStyle w:val="TableText"/>
              <w:ind w:left="245"/>
              <w:spacing w:before="271" w:line="183" w:lineRule="auto"/>
              <w:rPr>
                <w:sz w:val="16"/>
                <w:szCs w:val="16"/>
              </w:rPr>
            </w:pPr>
            <w:r>
              <w:rPr>
                <w:sz w:val="16"/>
                <w:szCs w:val="16"/>
                <w:spacing w:val="-3"/>
              </w:rPr>
              <w:t>3.4</w:t>
            </w:r>
          </w:p>
        </w:tc>
        <w:tc>
          <w:tcPr>
            <w:tcW w:w="3145" w:type="dxa"/>
            <w:vAlign w:val="top"/>
          </w:tcPr>
          <w:p>
            <w:pPr>
              <w:pStyle w:val="TableText"/>
              <w:ind w:left="90" w:firstLine="179"/>
              <w:spacing w:before="100" w:line="277" w:lineRule="auto"/>
              <w:rPr>
                <w:sz w:val="16"/>
                <w:szCs w:val="16"/>
              </w:rPr>
            </w:pPr>
            <w:r>
              <w:rPr>
                <w:sz w:val="16"/>
                <w:szCs w:val="16"/>
                <w:spacing w:val="-1"/>
              </w:rPr>
              <w:t>审核方案应确保符合组织的数据记录、保</w:t>
            </w:r>
            <w:r>
              <w:rPr>
                <w:sz w:val="16"/>
                <w:szCs w:val="16"/>
                <w:spacing w:val="1"/>
              </w:rPr>
              <w:t xml:space="preserve"> </w:t>
            </w:r>
            <w:r>
              <w:rPr>
                <w:sz w:val="16"/>
                <w:szCs w:val="16"/>
                <w:spacing w:val="-1"/>
              </w:rPr>
              <w:t>存和归档策略</w:t>
            </w:r>
          </w:p>
        </w:tc>
        <w:tc>
          <w:tcPr>
            <w:tcW w:w="3780" w:type="dxa"/>
            <w:vAlign w:val="top"/>
          </w:tcPr>
          <w:p>
            <w:pPr>
              <w:pStyle w:val="TableText"/>
              <w:ind w:left="276"/>
              <w:spacing w:before="231" w:line="220" w:lineRule="auto"/>
              <w:rPr>
                <w:sz w:val="16"/>
                <w:szCs w:val="16"/>
              </w:rPr>
            </w:pPr>
            <w:r>
              <w:rPr>
                <w:sz w:val="16"/>
                <w:szCs w:val="16"/>
                <w:spacing w:val="1"/>
              </w:rPr>
              <w:t>●审核记录</w:t>
            </w:r>
          </w:p>
        </w:tc>
      </w:tr>
    </w:tbl>
    <w:p>
      <w:pPr>
        <w:ind w:left="30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 w:right="270" w:firstLine="409"/>
        <w:spacing w:before="29" w:line="248" w:lineRule="auto"/>
        <w:rPr>
          <w:rFonts w:ascii="SimSun" w:hAnsi="SimSun" w:eastAsia="SimSun" w:cs="SimSun"/>
          <w:sz w:val="22"/>
          <w:szCs w:val="22"/>
        </w:rPr>
      </w:pPr>
      <w:r>
        <w:rPr>
          <w:rFonts w:ascii="SimSun" w:hAnsi="SimSun" w:eastAsia="SimSun" w:cs="SimSun"/>
          <w:sz w:val="22"/>
          <w:szCs w:val="22"/>
          <w:spacing w:val="-7"/>
        </w:rPr>
        <w:t>该方案应包括保存于各个特定时期的数据或</w:t>
      </w:r>
      <w:r>
        <w:rPr>
          <w:rFonts w:ascii="SimSun" w:hAnsi="SimSun" w:eastAsia="SimSun" w:cs="SimSun"/>
          <w:sz w:val="22"/>
          <w:szCs w:val="22"/>
          <w:spacing w:val="-8"/>
        </w:rPr>
        <w:t>日志类型的备份和归档的恢复测试</w:t>
      </w:r>
      <w:r>
        <w:rPr>
          <w:rFonts w:ascii="SimSun" w:hAnsi="SimSun" w:eastAsia="SimSun" w:cs="SimSun"/>
          <w:sz w:val="22"/>
          <w:szCs w:val="22"/>
        </w:rPr>
        <w:t xml:space="preserve"> </w:t>
      </w:r>
      <w:r>
        <w:rPr>
          <w:rFonts w:ascii="SimSun" w:hAnsi="SimSun" w:eastAsia="SimSun" w:cs="SimSun"/>
          <w:sz w:val="22"/>
          <w:szCs w:val="22"/>
          <w:spacing w:val="-11"/>
        </w:rPr>
        <w:t>方案，访问归档数据技术的使用方法和维护方法等内容。</w:t>
      </w:r>
    </w:p>
    <w:p>
      <w:pPr>
        <w:spacing w:line="115" w:lineRule="exact"/>
        <w:rPr/>
      </w:pPr>
      <w:r/>
    </w:p>
    <w:tbl>
      <w:tblPr>
        <w:tblStyle w:val="TableNormal"/>
        <w:tblW w:w="7669"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8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45"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4"/>
              <w:spacing w:before="261" w:line="183" w:lineRule="auto"/>
              <w:rPr>
                <w:sz w:val="16"/>
                <w:szCs w:val="16"/>
              </w:rPr>
            </w:pPr>
            <w:r>
              <w:rPr>
                <w:sz w:val="16"/>
                <w:szCs w:val="16"/>
                <w:spacing w:val="-3"/>
              </w:rPr>
              <w:t>3.5</w:t>
            </w:r>
          </w:p>
        </w:tc>
        <w:tc>
          <w:tcPr>
            <w:tcW w:w="3145" w:type="dxa"/>
            <w:vAlign w:val="top"/>
          </w:tcPr>
          <w:p>
            <w:pPr>
              <w:pStyle w:val="TableText"/>
              <w:ind w:left="90" w:right="3" w:firstLine="329"/>
              <w:spacing w:before="100" w:line="265" w:lineRule="auto"/>
              <w:rPr>
                <w:sz w:val="16"/>
                <w:szCs w:val="16"/>
              </w:rPr>
            </w:pPr>
            <w:r>
              <w:rPr>
                <w:sz w:val="16"/>
                <w:szCs w:val="16"/>
                <w:spacing w:val="-1"/>
              </w:rPr>
              <w:t>与数据利益相关者保持沟通，建立意见</w:t>
            </w:r>
            <w:r>
              <w:rPr>
                <w:sz w:val="16"/>
                <w:szCs w:val="16"/>
                <w:spacing w:val="6"/>
              </w:rPr>
              <w:t xml:space="preserve"> </w:t>
            </w:r>
            <w:r>
              <w:rPr>
                <w:sz w:val="16"/>
                <w:szCs w:val="16"/>
                <w:spacing w:val="3"/>
              </w:rPr>
              <w:t>反馈机制</w:t>
            </w:r>
          </w:p>
        </w:tc>
        <w:tc>
          <w:tcPr>
            <w:tcW w:w="3780" w:type="dxa"/>
            <w:vAlign w:val="top"/>
          </w:tcPr>
          <w:p>
            <w:pPr>
              <w:pStyle w:val="TableText"/>
              <w:ind w:left="416"/>
              <w:spacing w:before="101" w:line="220" w:lineRule="auto"/>
              <w:rPr>
                <w:sz w:val="16"/>
                <w:szCs w:val="16"/>
              </w:rPr>
            </w:pPr>
            <w:r>
              <w:rPr>
                <w:sz w:val="16"/>
                <w:szCs w:val="16"/>
                <w:spacing w:val="1"/>
              </w:rPr>
              <w:t>●沟通策略</w:t>
            </w:r>
          </w:p>
          <w:p>
            <w:pPr>
              <w:pStyle w:val="TableText"/>
              <w:ind w:left="416"/>
              <w:spacing w:before="87" w:line="219" w:lineRule="auto"/>
              <w:rPr>
                <w:sz w:val="16"/>
                <w:szCs w:val="16"/>
              </w:rPr>
            </w:pPr>
            <w:r>
              <w:rPr>
                <w:sz w:val="16"/>
                <w:szCs w:val="16"/>
                <w:spacing w:val="2"/>
              </w:rPr>
              <w:t>●反馈机制</w:t>
            </w:r>
          </w:p>
        </w:tc>
      </w:tr>
    </w:tbl>
    <w:p>
      <w:pPr>
        <w:ind w:left="30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 w:right="271" w:firstLine="409"/>
        <w:spacing w:before="48"/>
        <w:rPr>
          <w:rFonts w:ascii="SimSun" w:hAnsi="SimSun" w:eastAsia="SimSun" w:cs="SimSun"/>
          <w:sz w:val="22"/>
          <w:szCs w:val="22"/>
        </w:rPr>
      </w:pPr>
      <w:r>
        <w:rPr>
          <w:rFonts w:ascii="SimSun" w:hAnsi="SimSun" w:eastAsia="SimSun" w:cs="SimSun"/>
          <w:sz w:val="22"/>
          <w:szCs w:val="22"/>
          <w:spacing w:val="-8"/>
        </w:rPr>
        <w:t>提高利益相关方的认可及参与程度，加强问题管理，将有效提高历史数据管理</w:t>
      </w:r>
      <w:r>
        <w:rPr>
          <w:rFonts w:ascii="SimSun" w:hAnsi="SimSun" w:eastAsia="SimSun" w:cs="SimSun"/>
          <w:sz w:val="22"/>
          <w:szCs w:val="22"/>
          <w:spacing w:val="18"/>
        </w:rPr>
        <w:t xml:space="preserve"> </w:t>
      </w:r>
      <w:r>
        <w:rPr>
          <w:rFonts w:ascii="SimSun" w:hAnsi="SimSun" w:eastAsia="SimSun" w:cs="SimSun"/>
          <w:sz w:val="22"/>
          <w:szCs w:val="22"/>
          <w:spacing w:val="-9"/>
        </w:rPr>
        <w:t>的成功率。组织可以通过如下方法加强与利益相关方的沟通。</w:t>
      </w:r>
    </w:p>
    <w:p>
      <w:pPr>
        <w:ind w:left="414"/>
        <w:spacing w:before="49" w:line="219" w:lineRule="auto"/>
        <w:rPr>
          <w:rFonts w:ascii="SimSun" w:hAnsi="SimSun" w:eastAsia="SimSun" w:cs="SimSun"/>
          <w:sz w:val="22"/>
          <w:szCs w:val="22"/>
        </w:rPr>
      </w:pPr>
      <w:r>
        <w:rPr>
          <w:rFonts w:ascii="SimSun" w:hAnsi="SimSun" w:eastAsia="SimSun" w:cs="SimSun"/>
          <w:sz w:val="22"/>
          <w:szCs w:val="22"/>
          <w:spacing w:val="-9"/>
        </w:rPr>
        <w:t>●为数据管理项目维护一个内部网站；</w:t>
      </w:r>
    </w:p>
    <w:p>
      <w:pPr>
        <w:ind w:left="414"/>
        <w:spacing w:before="46" w:line="326" w:lineRule="exact"/>
        <w:rPr>
          <w:rFonts w:ascii="SimSun" w:hAnsi="SimSun" w:eastAsia="SimSun" w:cs="SimSun"/>
          <w:sz w:val="22"/>
          <w:szCs w:val="22"/>
        </w:rPr>
      </w:pPr>
      <w:r>
        <w:rPr>
          <w:rFonts w:ascii="STXingkai" w:hAnsi="STXingkai" w:eastAsia="STXingkai" w:cs="STXingkai"/>
          <w:sz w:val="22"/>
          <w:szCs w:val="22"/>
          <w:spacing w:val="-10"/>
          <w:position w:val="2"/>
        </w:rPr>
        <w:t>●</w:t>
      </w:r>
      <w:r>
        <w:rPr>
          <w:rFonts w:ascii="STXingkai" w:hAnsi="STXingkai" w:eastAsia="STXingkai" w:cs="STXingkai"/>
          <w:sz w:val="22"/>
          <w:szCs w:val="22"/>
          <w:spacing w:val="30"/>
          <w:position w:val="2"/>
        </w:rPr>
        <w:t xml:space="preserve"> </w:t>
      </w:r>
      <w:r>
        <w:rPr>
          <w:rFonts w:ascii="SimSun" w:hAnsi="SimSun" w:eastAsia="SimSun" w:cs="SimSun"/>
          <w:sz w:val="22"/>
          <w:szCs w:val="22"/>
          <w:spacing w:val="-10"/>
          <w:position w:val="2"/>
        </w:rPr>
        <w:t>在企业内部门户发布公告；</w:t>
      </w:r>
    </w:p>
    <w:p>
      <w:pPr>
        <w:spacing w:line="326" w:lineRule="exact"/>
        <w:sectPr>
          <w:footerReference w:type="default" r:id="rId404"/>
          <w:pgSz w:w="8870" w:h="13400"/>
          <w:pgMar w:top="400" w:right="621" w:bottom="524" w:left="334" w:header="0" w:footer="306" w:gutter="0"/>
        </w:sectPr>
        <w:rPr>
          <w:rFonts w:ascii="SimSun" w:hAnsi="SimSun" w:eastAsia="SimSun" w:cs="SimSun"/>
          <w:sz w:val="22"/>
          <w:szCs w:val="22"/>
        </w:rPr>
      </w:pPr>
    </w:p>
    <w:p>
      <w:pPr>
        <w:ind w:left="120"/>
        <w:spacing w:before="229"/>
        <w:rPr>
          <w:rFonts w:ascii="SimSun" w:hAnsi="SimSun" w:eastAsia="SimSun" w:cs="SimSun"/>
          <w:sz w:val="22"/>
          <w:szCs w:val="22"/>
        </w:rPr>
      </w:pPr>
      <w:r>
        <w:rPr>
          <w:rFonts w:ascii="SimSun" w:hAnsi="SimSun" w:eastAsia="SimSun" w:cs="SimSun"/>
          <w:sz w:val="22"/>
          <w:szCs w:val="22"/>
          <w:position w:val="-9"/>
        </w:rPr>
        <w:drawing>
          <wp:inline distT="0" distB="0" distL="0" distR="0">
            <wp:extent cx="6308" cy="228637"/>
            <wp:effectExtent l="0" t="0" r="0" b="0"/>
            <wp:docPr id="276" name="IM 276"/>
            <wp:cNvGraphicFramePr/>
            <a:graphic>
              <a:graphicData uri="http://schemas.openxmlformats.org/drawingml/2006/picture">
                <pic:pic>
                  <pic:nvPicPr>
                    <pic:cNvPr id="276" name="IM 276"/>
                    <pic:cNvPicPr/>
                  </pic:nvPicPr>
                  <pic:blipFill>
                    <a:blip r:embed="rId406"/>
                    <a:stretch>
                      <a:fillRect/>
                    </a:stretch>
                  </pic:blipFill>
                  <pic:spPr>
                    <a:xfrm rot="0">
                      <a:off x="0" y="0"/>
                      <a:ext cx="6308" cy="228637"/>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ind w:left="699"/>
        <w:spacing w:before="277" w:line="219" w:lineRule="auto"/>
        <w:rPr>
          <w:rFonts w:ascii="SimSun" w:hAnsi="SimSun" w:eastAsia="SimSun" w:cs="SimSun"/>
          <w:sz w:val="22"/>
          <w:szCs w:val="22"/>
        </w:rPr>
      </w:pPr>
      <w:r>
        <w:rPr>
          <w:rFonts w:ascii="SimSun" w:hAnsi="SimSun" w:eastAsia="SimSun" w:cs="SimSun"/>
          <w:sz w:val="22"/>
          <w:szCs w:val="22"/>
          <w:spacing w:val="-8"/>
        </w:rPr>
        <w:t>●出版简讯或电子邮件分发。</w:t>
      </w:r>
    </w:p>
    <w:p>
      <w:pPr>
        <w:ind w:left="219" w:right="85" w:firstLine="479"/>
        <w:spacing w:before="39"/>
        <w:rPr>
          <w:rFonts w:ascii="SimSun" w:hAnsi="SimSun" w:eastAsia="SimSun" w:cs="SimSun"/>
          <w:sz w:val="22"/>
          <w:szCs w:val="22"/>
        </w:rPr>
      </w:pPr>
      <w:r>
        <w:rPr>
          <w:rFonts w:ascii="SimSun" w:hAnsi="SimSun" w:eastAsia="SimSun" w:cs="SimSun"/>
          <w:sz w:val="22"/>
          <w:szCs w:val="22"/>
          <w:spacing w:val="-8"/>
        </w:rPr>
        <w:t>应积极利用已建立的沟通渠道，接受利益相关方的反馈，以确认现有数据保存</w:t>
      </w:r>
      <w:r>
        <w:rPr>
          <w:rFonts w:ascii="SimSun" w:hAnsi="SimSun" w:eastAsia="SimSun" w:cs="SimSun"/>
          <w:sz w:val="22"/>
          <w:szCs w:val="22"/>
        </w:rPr>
        <w:t xml:space="preserve"> </w:t>
      </w:r>
      <w:r>
        <w:rPr>
          <w:rFonts w:ascii="SimSun" w:hAnsi="SimSun" w:eastAsia="SimSun" w:cs="SimSun"/>
          <w:sz w:val="22"/>
          <w:szCs w:val="22"/>
          <w:spacing w:val="-13"/>
        </w:rPr>
        <w:t>和归档策略的效果。</w:t>
      </w:r>
    </w:p>
    <w:p>
      <w:pPr>
        <w:ind w:left="702"/>
        <w:spacing w:before="53" w:line="221" w:lineRule="auto"/>
        <w:rPr>
          <w:rFonts w:ascii="SimHei" w:hAnsi="SimHei" w:eastAsia="SimHei" w:cs="SimHei"/>
          <w:sz w:val="22"/>
          <w:szCs w:val="22"/>
        </w:rPr>
      </w:pPr>
      <w:r>
        <w:rPr>
          <w:rFonts w:ascii="SimSun" w:hAnsi="SimSun" w:eastAsia="SimSun" w:cs="SimSun"/>
          <w:sz w:val="22"/>
          <w:szCs w:val="22"/>
          <w:b/>
          <w:bCs/>
          <w:spacing w:val="-14"/>
        </w:rPr>
        <w:t>Level</w:t>
      </w:r>
      <w:r>
        <w:rPr>
          <w:rFonts w:ascii="SimSun" w:hAnsi="SimSun" w:eastAsia="SimSun" w:cs="SimSun"/>
          <w:sz w:val="22"/>
          <w:szCs w:val="22"/>
          <w:spacing w:val="-14"/>
        </w:rPr>
        <w:t xml:space="preserve"> </w:t>
      </w:r>
      <w:r>
        <w:rPr>
          <w:rFonts w:ascii="SimSun" w:hAnsi="SimSun" w:eastAsia="SimSun" w:cs="SimSun"/>
          <w:sz w:val="22"/>
          <w:szCs w:val="22"/>
          <w:b/>
          <w:bCs/>
          <w:spacing w:val="-14"/>
        </w:rPr>
        <w:t>4:</w:t>
      </w:r>
      <w:r>
        <w:rPr>
          <w:rFonts w:ascii="SimSun" w:hAnsi="SimSun" w:eastAsia="SimSun" w:cs="SimSun"/>
          <w:sz w:val="22"/>
          <w:szCs w:val="22"/>
          <w:spacing w:val="-16"/>
        </w:rPr>
        <w:t xml:space="preserve"> </w:t>
      </w:r>
      <w:r>
        <w:rPr>
          <w:rFonts w:ascii="SimHei" w:hAnsi="SimHei" w:eastAsia="SimHei" w:cs="SimHei"/>
          <w:sz w:val="22"/>
          <w:szCs w:val="22"/>
          <w:b/>
          <w:bCs/>
          <w:spacing w:val="-14"/>
        </w:rPr>
        <w:t>量化级</w:t>
      </w:r>
    </w:p>
    <w:p>
      <w:pPr>
        <w:spacing w:line="128" w:lineRule="exact"/>
        <w:rPr/>
      </w:pPr>
      <w:r/>
    </w:p>
    <w:tbl>
      <w:tblPr>
        <w:tblStyle w:val="TableNormal"/>
        <w:tblW w:w="768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61"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9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9" w:hRule="atLeast"/>
        </w:trPr>
        <w:tc>
          <w:tcPr>
            <w:tcW w:w="754" w:type="dxa"/>
            <w:vAlign w:val="top"/>
          </w:tcPr>
          <w:p>
            <w:pPr>
              <w:pStyle w:val="TableText"/>
              <w:ind w:left="244"/>
              <w:spacing w:before="261" w:line="184" w:lineRule="auto"/>
              <w:rPr>
                <w:sz w:val="16"/>
                <w:szCs w:val="16"/>
              </w:rPr>
            </w:pPr>
            <w:r>
              <w:rPr>
                <w:sz w:val="16"/>
                <w:szCs w:val="16"/>
                <w:spacing w:val="-2"/>
              </w:rPr>
              <w:t>4.1</w:t>
            </w:r>
          </w:p>
        </w:tc>
        <w:tc>
          <w:tcPr>
            <w:tcW w:w="3156" w:type="dxa"/>
            <w:vAlign w:val="top"/>
          </w:tcPr>
          <w:p>
            <w:pPr>
              <w:pStyle w:val="TableText"/>
              <w:ind w:left="100" w:right="1" w:firstLine="170"/>
              <w:spacing w:before="101" w:line="260" w:lineRule="auto"/>
              <w:rPr>
                <w:sz w:val="16"/>
                <w:szCs w:val="16"/>
              </w:rPr>
            </w:pPr>
            <w:r>
              <w:rPr>
                <w:sz w:val="16"/>
                <w:szCs w:val="16"/>
                <w:spacing w:val="-1"/>
              </w:rPr>
              <w:t>使用定量分析技术或指标，对历史数据进</w:t>
            </w:r>
            <w:r>
              <w:rPr>
                <w:sz w:val="16"/>
                <w:szCs w:val="16"/>
                <w:spacing w:val="10"/>
              </w:rPr>
              <w:t xml:space="preserve"> </w:t>
            </w:r>
            <w:r>
              <w:rPr>
                <w:sz w:val="16"/>
                <w:szCs w:val="16"/>
                <w:spacing w:val="-2"/>
              </w:rPr>
              <w:t>行分析</w:t>
            </w:r>
          </w:p>
        </w:tc>
        <w:tc>
          <w:tcPr>
            <w:tcW w:w="3770" w:type="dxa"/>
            <w:vAlign w:val="top"/>
          </w:tcPr>
          <w:p>
            <w:pPr>
              <w:pStyle w:val="TableText"/>
              <w:ind w:left="275"/>
              <w:spacing w:before="220" w:line="219" w:lineRule="auto"/>
              <w:rPr>
                <w:sz w:val="16"/>
                <w:szCs w:val="16"/>
              </w:rPr>
            </w:pPr>
            <w:r>
              <w:rPr>
                <w:sz w:val="16"/>
                <w:szCs w:val="16"/>
              </w:rPr>
              <w:t>●历史数据分析记录</w:t>
            </w:r>
          </w:p>
        </w:tc>
      </w:tr>
    </w:tbl>
    <w:p>
      <w:pPr>
        <w:ind w:left="58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9" w:right="83" w:firstLine="479"/>
        <w:spacing w:before="47" w:line="247" w:lineRule="auto"/>
        <w:rPr>
          <w:rFonts w:ascii="SimSun" w:hAnsi="SimSun" w:eastAsia="SimSun" w:cs="SimSun"/>
          <w:sz w:val="22"/>
          <w:szCs w:val="22"/>
        </w:rPr>
      </w:pPr>
      <w:r>
        <w:rPr>
          <w:rFonts w:ascii="SimSun" w:hAnsi="SimSun" w:eastAsia="SimSun" w:cs="SimSun"/>
          <w:sz w:val="22"/>
          <w:szCs w:val="22"/>
          <w:spacing w:val="-2"/>
        </w:rPr>
        <w:t>对使用情况的统计数据和使用模式进行定期分析是至关重要的。对数据、查</w:t>
      </w:r>
      <w:r>
        <w:rPr>
          <w:rFonts w:ascii="SimSun" w:hAnsi="SimSun" w:eastAsia="SimSun" w:cs="SimSun"/>
          <w:sz w:val="22"/>
          <w:szCs w:val="22"/>
          <w:spacing w:val="16"/>
        </w:rPr>
        <w:t xml:space="preserve"> </w:t>
      </w:r>
      <w:r>
        <w:rPr>
          <w:rFonts w:ascii="SimSun" w:hAnsi="SimSun" w:eastAsia="SimSun" w:cs="SimSun"/>
          <w:sz w:val="22"/>
          <w:szCs w:val="22"/>
          <w:spacing w:val="-2"/>
        </w:rPr>
        <w:t>询、报表活动的频率和资源占用情况进行统计分析，有助</w:t>
      </w:r>
      <w:r>
        <w:rPr>
          <w:rFonts w:ascii="SimSun" w:hAnsi="SimSun" w:eastAsia="SimSun" w:cs="SimSun"/>
          <w:sz w:val="22"/>
          <w:szCs w:val="22"/>
          <w:spacing w:val="-3"/>
        </w:rPr>
        <w:t>于对历史数据管理效能</w:t>
      </w:r>
      <w:r>
        <w:rPr>
          <w:rFonts w:ascii="SimSun" w:hAnsi="SimSun" w:eastAsia="SimSun" w:cs="SimSun"/>
          <w:sz w:val="22"/>
          <w:szCs w:val="22"/>
        </w:rPr>
        <w:t xml:space="preserve"> </w:t>
      </w:r>
      <w:r>
        <w:rPr>
          <w:rFonts w:ascii="SimSun" w:hAnsi="SimSun" w:eastAsia="SimSun" w:cs="SimSun"/>
          <w:sz w:val="22"/>
          <w:szCs w:val="22"/>
          <w:spacing w:val="-7"/>
        </w:rPr>
        <w:t>进行优化。</w:t>
      </w:r>
    </w:p>
    <w:p>
      <w:pPr>
        <w:ind w:left="219" w:right="84" w:firstLine="479"/>
        <w:spacing w:before="50" w:line="252" w:lineRule="auto"/>
        <w:rPr>
          <w:rFonts w:ascii="SimSun" w:hAnsi="SimSun" w:eastAsia="SimSun" w:cs="SimSun"/>
          <w:sz w:val="22"/>
          <w:szCs w:val="22"/>
        </w:rPr>
      </w:pPr>
      <w:r>
        <w:rPr>
          <w:rFonts w:ascii="SimSun" w:hAnsi="SimSun" w:eastAsia="SimSun" w:cs="SimSun"/>
          <w:sz w:val="22"/>
          <w:szCs w:val="22"/>
          <w:spacing w:val="-8"/>
        </w:rPr>
        <w:t>使用统计方法学等定量技术分析历史数据，以改善数据质量，同时有助于加强</w:t>
      </w:r>
      <w:r>
        <w:rPr>
          <w:rFonts w:ascii="SimSun" w:hAnsi="SimSun" w:eastAsia="SimSun" w:cs="SimSun"/>
          <w:sz w:val="22"/>
          <w:szCs w:val="22"/>
          <w:spacing w:val="1"/>
        </w:rPr>
        <w:t xml:space="preserve"> </w:t>
      </w:r>
      <w:r>
        <w:rPr>
          <w:rFonts w:ascii="SimSun" w:hAnsi="SimSun" w:eastAsia="SimSun" w:cs="SimSun"/>
          <w:sz w:val="22"/>
          <w:szCs w:val="22"/>
          <w:spacing w:val="-8"/>
        </w:rPr>
        <w:t>对历史数据的管理。</w:t>
      </w:r>
    </w:p>
    <w:p>
      <w:pPr>
        <w:spacing w:line="104" w:lineRule="exact"/>
        <w:rPr/>
      </w:pPr>
      <w:r/>
    </w:p>
    <w:tbl>
      <w:tblPr>
        <w:tblStyle w:val="TableNormal"/>
        <w:tblW w:w="768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51" w:hRule="atLeast"/>
        </w:trPr>
        <w:tc>
          <w:tcPr>
            <w:tcW w:w="754" w:type="dxa"/>
            <w:vAlign w:val="top"/>
          </w:tcPr>
          <w:p>
            <w:pPr>
              <w:pStyle w:val="TableText"/>
              <w:ind w:left="214"/>
              <w:spacing w:before="102" w:line="221" w:lineRule="auto"/>
              <w:rPr/>
            </w:pPr>
            <w:r>
              <w:rPr>
                <w:spacing w:val="-2"/>
              </w:rPr>
              <w:t>序号</w:t>
            </w:r>
          </w:p>
        </w:tc>
        <w:tc>
          <w:tcPr>
            <w:tcW w:w="3166"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9" w:hRule="atLeast"/>
        </w:trPr>
        <w:tc>
          <w:tcPr>
            <w:tcW w:w="754" w:type="dxa"/>
            <w:vAlign w:val="top"/>
          </w:tcPr>
          <w:p>
            <w:pPr>
              <w:pStyle w:val="TableText"/>
              <w:ind w:left="254"/>
              <w:spacing w:before="268" w:line="183" w:lineRule="auto"/>
              <w:rPr/>
            </w:pPr>
            <w:r>
              <w:rPr>
                <w:spacing w:val="-2"/>
              </w:rPr>
              <w:t>4.2</w:t>
            </w:r>
          </w:p>
        </w:tc>
        <w:tc>
          <w:tcPr>
            <w:tcW w:w="3166" w:type="dxa"/>
            <w:vAlign w:val="top"/>
          </w:tcPr>
          <w:p>
            <w:pPr>
              <w:pStyle w:val="TableText"/>
              <w:ind w:left="101" w:right="200" w:firstLine="160"/>
              <w:spacing w:before="90" w:line="288" w:lineRule="auto"/>
              <w:rPr/>
            </w:pPr>
            <w:r>
              <w:rPr>
                <w:spacing w:val="-1"/>
              </w:rPr>
              <w:t>利用测量指标结果和利益相关方的反馈，</w:t>
            </w:r>
            <w:r>
              <w:rPr>
                <w:spacing w:val="11"/>
              </w:rPr>
              <w:t xml:space="preserve"> </w:t>
            </w:r>
            <w:r>
              <w:rPr>
                <w:spacing w:val="-1"/>
              </w:rPr>
              <w:t>来改进数据归档策略</w:t>
            </w:r>
          </w:p>
        </w:tc>
        <w:tc>
          <w:tcPr>
            <w:tcW w:w="3760" w:type="dxa"/>
            <w:vAlign w:val="top"/>
          </w:tcPr>
          <w:p>
            <w:pPr>
              <w:pStyle w:val="TableText"/>
              <w:ind w:left="254"/>
              <w:spacing w:before="90" w:line="219" w:lineRule="auto"/>
              <w:rPr/>
            </w:pPr>
            <w:r>
              <w:rPr/>
              <w:t>●用户满意度调查表</w:t>
            </w:r>
          </w:p>
          <w:p>
            <w:pPr>
              <w:pStyle w:val="TableText"/>
              <w:ind w:left="254"/>
              <w:spacing w:before="112" w:line="219" w:lineRule="auto"/>
              <w:rPr/>
            </w:pPr>
            <w:r>
              <w:rPr/>
              <w:t>●历史数据信息测试记录</w:t>
            </w:r>
          </w:p>
        </w:tc>
      </w:tr>
    </w:tbl>
    <w:p>
      <w:pPr>
        <w:ind w:left="589"/>
        <w:spacing w:before="18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9" w:right="85" w:firstLine="479"/>
        <w:spacing w:before="39" w:line="249" w:lineRule="auto"/>
        <w:rPr>
          <w:rFonts w:ascii="SimSun" w:hAnsi="SimSun" w:eastAsia="SimSun" w:cs="SimSun"/>
          <w:sz w:val="22"/>
          <w:szCs w:val="22"/>
        </w:rPr>
      </w:pPr>
      <w:r>
        <w:rPr>
          <w:rFonts w:ascii="SimSun" w:hAnsi="SimSun" w:eastAsia="SimSun" w:cs="SimSun"/>
          <w:sz w:val="22"/>
          <w:szCs w:val="22"/>
          <w:spacing w:val="-8"/>
        </w:rPr>
        <w:t>制订面向用户的满意度调查制度，定期收集相关方的反馈，以作为优化归档策</w:t>
      </w:r>
      <w:r>
        <w:rPr>
          <w:rFonts w:ascii="SimSun" w:hAnsi="SimSun" w:eastAsia="SimSun" w:cs="SimSun"/>
          <w:sz w:val="22"/>
          <w:szCs w:val="22"/>
        </w:rPr>
        <w:t xml:space="preserve"> </w:t>
      </w:r>
      <w:r>
        <w:rPr>
          <w:rFonts w:ascii="SimSun" w:hAnsi="SimSun" w:eastAsia="SimSun" w:cs="SimSun"/>
          <w:sz w:val="22"/>
          <w:szCs w:val="22"/>
          <w:spacing w:val="-8"/>
        </w:rPr>
        <w:t>略的根据。满意度调查可利用互联网技术，建立满意度调查问卷的模板，客户只需</w:t>
      </w:r>
      <w:r>
        <w:rPr>
          <w:rFonts w:ascii="SimSun" w:hAnsi="SimSun" w:eastAsia="SimSun" w:cs="SimSun"/>
          <w:sz w:val="22"/>
          <w:szCs w:val="22"/>
          <w:spacing w:val="10"/>
        </w:rPr>
        <w:t xml:space="preserve"> </w:t>
      </w:r>
      <w:r>
        <w:rPr>
          <w:rFonts w:ascii="SimSun" w:hAnsi="SimSun" w:eastAsia="SimSun" w:cs="SimSun"/>
          <w:sz w:val="22"/>
          <w:szCs w:val="22"/>
          <w:spacing w:val="-8"/>
        </w:rPr>
        <w:t>要将问卷稍作调整便可以直接使用。对于满意度的结果，系统自动生成调</w:t>
      </w:r>
      <w:r>
        <w:rPr>
          <w:rFonts w:ascii="SimSun" w:hAnsi="SimSun" w:eastAsia="SimSun" w:cs="SimSun"/>
          <w:sz w:val="22"/>
          <w:szCs w:val="22"/>
          <w:spacing w:val="-9"/>
        </w:rPr>
        <w:t>查结果。</w:t>
      </w:r>
      <w:r>
        <w:rPr>
          <w:rFonts w:ascii="SimSun" w:hAnsi="SimSun" w:eastAsia="SimSun" w:cs="SimSun"/>
          <w:sz w:val="22"/>
          <w:szCs w:val="22"/>
        </w:rPr>
        <w:t xml:space="preserve"> </w:t>
      </w:r>
      <w:r>
        <w:rPr>
          <w:rFonts w:ascii="SimSun" w:hAnsi="SimSun" w:eastAsia="SimSun" w:cs="SimSun"/>
          <w:sz w:val="22"/>
          <w:szCs w:val="22"/>
          <w:spacing w:val="-10"/>
        </w:rPr>
        <w:t>为了便于对比，可以对历届数据自动对比，生成简单的统计分析报告。</w:t>
      </w:r>
    </w:p>
    <w:p>
      <w:pPr>
        <w:ind w:left="699"/>
        <w:spacing w:before="68"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12"/>
        </w:rPr>
        <w:t xml:space="preserve">  </w:t>
      </w: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b/>
          <w:bCs/>
          <w:spacing w:val="-9"/>
        </w:rPr>
        <w:t xml:space="preserve"> </w:t>
      </w:r>
      <w:r>
        <w:rPr>
          <w:rFonts w:ascii="SimHei" w:hAnsi="SimHei" w:eastAsia="SimHei" w:cs="SimHei"/>
          <w:sz w:val="22"/>
          <w:szCs w:val="22"/>
          <w:b/>
          <w:bCs/>
          <w:spacing w:val="-4"/>
        </w:rPr>
        <w:t>优化级</w:t>
      </w:r>
    </w:p>
    <w:p>
      <w:pPr>
        <w:spacing w:line="117" w:lineRule="exact"/>
        <w:rPr/>
      </w:pPr>
      <w:r/>
    </w:p>
    <w:tbl>
      <w:tblPr>
        <w:tblStyle w:val="TableNormal"/>
        <w:tblW w:w="768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51" w:hRule="atLeast"/>
        </w:trPr>
        <w:tc>
          <w:tcPr>
            <w:tcW w:w="754" w:type="dxa"/>
            <w:vAlign w:val="top"/>
          </w:tcPr>
          <w:p>
            <w:pPr>
              <w:pStyle w:val="TableText"/>
              <w:ind w:left="214"/>
              <w:spacing w:before="101" w:line="221" w:lineRule="auto"/>
              <w:rPr/>
            </w:pPr>
            <w:r>
              <w:rPr>
                <w:spacing w:val="-2"/>
              </w:rPr>
              <w:t>序号</w:t>
            </w:r>
          </w:p>
        </w:tc>
        <w:tc>
          <w:tcPr>
            <w:tcW w:w="3166" w:type="dxa"/>
            <w:vAlign w:val="top"/>
          </w:tcPr>
          <w:p>
            <w:pPr>
              <w:pStyle w:val="TableText"/>
              <w:ind w:left="117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605"/>
              <w:spacing w:before="101" w:line="220" w:lineRule="auto"/>
              <w:rPr/>
            </w:pPr>
            <w:r>
              <w:rPr>
                <w:spacing w:val="-5"/>
              </w:rPr>
              <w:t>实</w:t>
            </w:r>
            <w:r>
              <w:rPr>
                <w:spacing w:val="10"/>
              </w:rPr>
              <w:t xml:space="preserve">   </w:t>
            </w:r>
            <w:r>
              <w:rPr>
                <w:spacing w:val="-5"/>
              </w:rPr>
              <w:t>例</w:t>
            </w:r>
          </w:p>
        </w:tc>
      </w:tr>
      <w:tr>
        <w:trPr>
          <w:trHeight w:val="598" w:hRule="atLeast"/>
        </w:trPr>
        <w:tc>
          <w:tcPr>
            <w:tcW w:w="754" w:type="dxa"/>
            <w:vAlign w:val="top"/>
          </w:tcPr>
          <w:p>
            <w:pPr>
              <w:pStyle w:val="TableText"/>
              <w:ind w:left="254"/>
              <w:spacing w:before="268" w:line="184" w:lineRule="auto"/>
              <w:rPr/>
            </w:pPr>
            <w:r>
              <w:rPr>
                <w:spacing w:val="-2"/>
              </w:rPr>
              <w:t>5.1</w:t>
            </w:r>
          </w:p>
        </w:tc>
        <w:tc>
          <w:tcPr>
            <w:tcW w:w="3166" w:type="dxa"/>
            <w:vAlign w:val="top"/>
          </w:tcPr>
          <w:p>
            <w:pPr>
              <w:pStyle w:val="TableText"/>
              <w:ind w:left="120" w:right="181" w:firstLine="139"/>
              <w:spacing w:before="100" w:line="281" w:lineRule="auto"/>
              <w:rPr/>
            </w:pPr>
            <w:r>
              <w:rPr/>
              <w:t>组织应在其行业内分享关于历史数据和归</w:t>
            </w:r>
            <w:r>
              <w:rPr>
                <w:spacing w:val="12"/>
              </w:rPr>
              <w:t xml:space="preserve"> </w:t>
            </w:r>
            <w:r>
              <w:rPr>
                <w:spacing w:val="-1"/>
              </w:rPr>
              <w:t>档的经验和最佳实践</w:t>
            </w:r>
          </w:p>
        </w:tc>
        <w:tc>
          <w:tcPr>
            <w:tcW w:w="3760" w:type="dxa"/>
            <w:vAlign w:val="top"/>
          </w:tcPr>
          <w:p>
            <w:pPr>
              <w:pStyle w:val="TableText"/>
              <w:ind w:left="294"/>
              <w:spacing w:before="229" w:line="219" w:lineRule="auto"/>
              <w:rPr/>
            </w:pPr>
            <w:r>
              <w:rPr/>
              <w:t>●与历史数据相关的演示材料和其他发表的作品</w:t>
            </w:r>
          </w:p>
        </w:tc>
      </w:tr>
    </w:tbl>
    <w:p>
      <w:pPr>
        <w:ind w:left="589"/>
        <w:spacing w:before="18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19" w:right="85" w:firstLine="479"/>
        <w:spacing w:before="47" w:line="252" w:lineRule="auto"/>
        <w:rPr>
          <w:rFonts w:ascii="SimSun" w:hAnsi="SimSun" w:eastAsia="SimSun" w:cs="SimSun"/>
          <w:sz w:val="22"/>
          <w:szCs w:val="22"/>
        </w:rPr>
      </w:pPr>
      <w:r>
        <w:rPr>
          <w:rFonts w:ascii="SimSun" w:hAnsi="SimSun" w:eastAsia="SimSun" w:cs="SimSun"/>
          <w:sz w:val="22"/>
          <w:szCs w:val="22"/>
          <w:spacing w:val="-8"/>
        </w:rPr>
        <w:t>组织负责数据管理的专业人士应订阅专业杂志，加入网上相关论坛、专业讨论</w:t>
      </w:r>
      <w:r>
        <w:rPr>
          <w:rFonts w:ascii="SimSun" w:hAnsi="SimSun" w:eastAsia="SimSun" w:cs="SimSun"/>
          <w:sz w:val="22"/>
          <w:szCs w:val="22"/>
          <w:spacing w:val="1"/>
        </w:rPr>
        <w:t xml:space="preserve"> </w:t>
      </w:r>
      <w:r>
        <w:rPr>
          <w:rFonts w:ascii="SimSun" w:hAnsi="SimSun" w:eastAsia="SimSun" w:cs="SimSun"/>
          <w:sz w:val="22"/>
          <w:szCs w:val="22"/>
          <w:spacing w:val="-8"/>
        </w:rPr>
        <w:t>群，分享或阅读历史数据管理相关主题的文章。组织应当发布历史数据管理的最佳</w:t>
      </w:r>
      <w:r>
        <w:rPr>
          <w:rFonts w:ascii="SimSun" w:hAnsi="SimSun" w:eastAsia="SimSun" w:cs="SimSun"/>
          <w:sz w:val="22"/>
          <w:szCs w:val="22"/>
          <w:spacing w:val="5"/>
        </w:rPr>
        <w:t xml:space="preserve"> </w:t>
      </w:r>
      <w:r>
        <w:rPr>
          <w:rFonts w:ascii="SimSun" w:hAnsi="SimSun" w:eastAsia="SimSun" w:cs="SimSun"/>
          <w:sz w:val="22"/>
          <w:szCs w:val="22"/>
          <w:spacing w:val="-10"/>
        </w:rPr>
        <w:t>实践，或发表论文、专著、白皮书等出版物为其他组织提供参考。</w:t>
      </w:r>
    </w:p>
    <w:p>
      <w:pPr>
        <w:ind w:left="703"/>
        <w:spacing w:before="196" w:line="222" w:lineRule="auto"/>
        <w:outlineLvl w:val="5"/>
        <w:rPr>
          <w:rFonts w:ascii="SimHei" w:hAnsi="SimHei" w:eastAsia="SimHei" w:cs="SimHei"/>
          <w:sz w:val="22"/>
          <w:szCs w:val="22"/>
        </w:rPr>
      </w:pPr>
      <w:r>
        <w:rPr>
          <w:rFonts w:ascii="SimHei" w:hAnsi="SimHei" w:eastAsia="SimHei" w:cs="SimHei"/>
          <w:sz w:val="22"/>
          <w:szCs w:val="22"/>
          <w:b/>
          <w:bCs/>
        </w:rPr>
        <w:t>4.</w:t>
      </w:r>
      <w:r>
        <w:rPr>
          <w:rFonts w:ascii="SimHei" w:hAnsi="SimHei" w:eastAsia="SimHei" w:cs="SimHei"/>
          <w:sz w:val="22"/>
          <w:szCs w:val="22"/>
        </w:rPr>
        <w:t xml:space="preserve"> </w:t>
      </w:r>
      <w:r>
        <w:rPr>
          <w:rFonts w:ascii="SimHei" w:hAnsi="SimHei" w:eastAsia="SimHei" w:cs="SimHei"/>
          <w:sz w:val="22"/>
          <w:szCs w:val="22"/>
          <w:b/>
          <w:bCs/>
        </w:rPr>
        <w:t>实施案例</w:t>
      </w:r>
    </w:p>
    <w:p>
      <w:pPr>
        <w:ind w:left="219" w:right="85" w:firstLine="479"/>
        <w:spacing w:before="209"/>
        <w:rPr>
          <w:rFonts w:ascii="SimSun" w:hAnsi="SimSun" w:eastAsia="SimSun" w:cs="SimSun"/>
          <w:sz w:val="22"/>
          <w:szCs w:val="22"/>
        </w:rPr>
      </w:pPr>
      <w:r>
        <w:rPr>
          <w:rFonts w:ascii="SimSun" w:hAnsi="SimSun" w:eastAsia="SimSun" w:cs="SimSun"/>
          <w:sz w:val="22"/>
          <w:szCs w:val="22"/>
          <w:spacing w:val="-8"/>
        </w:rPr>
        <w:t>组织应了解业务对历史数据归档、保存、删除和检索等要求，并通过制订历史</w:t>
      </w:r>
      <w:r>
        <w:rPr>
          <w:rFonts w:ascii="SimSun" w:hAnsi="SimSun" w:eastAsia="SimSun" w:cs="SimSun"/>
          <w:sz w:val="22"/>
          <w:szCs w:val="22"/>
        </w:rPr>
        <w:t xml:space="preserve"> </w:t>
      </w:r>
      <w:r>
        <w:rPr>
          <w:rFonts w:ascii="SimSun" w:hAnsi="SimSun" w:eastAsia="SimSun" w:cs="SimSun"/>
          <w:sz w:val="22"/>
          <w:szCs w:val="22"/>
          <w:spacing w:val="-8"/>
        </w:rPr>
        <w:t>数据管理政策、标准以其满足业务及监管的要求，并对实施过程进行一致性监测。</w:t>
      </w:r>
    </w:p>
    <w:p>
      <w:pPr>
        <w:sectPr>
          <w:footerReference w:type="default" r:id="rId405"/>
          <w:pgSz w:w="8870" w:h="13400"/>
          <w:pgMar w:top="400" w:right="284" w:bottom="474" w:left="590" w:header="0" w:footer="256" w:gutter="0"/>
        </w:sectPr>
        <w:rPr>
          <w:rFonts w:ascii="SimSun" w:hAnsi="SimSun" w:eastAsia="SimSun" w:cs="SimSun"/>
          <w:sz w:val="22"/>
          <w:szCs w:val="22"/>
        </w:rPr>
      </w:pPr>
    </w:p>
    <w:p>
      <w:pPr>
        <w:ind w:left="5522"/>
        <w:spacing w:before="164" w:line="219" w:lineRule="auto"/>
        <w:rPr>
          <w:rFonts w:ascii="SimSun" w:hAnsi="SimSun" w:eastAsia="SimSun" w:cs="SimSun"/>
          <w:sz w:val="21"/>
          <w:szCs w:val="21"/>
        </w:rPr>
      </w:pPr>
      <w:r>
        <w:rPr>
          <w:rFonts w:ascii="SimSun" w:hAnsi="SimSun" w:eastAsia="SimSun" w:cs="SimSun"/>
          <w:sz w:val="21"/>
          <w:szCs w:val="21"/>
          <w:b/>
          <w:bCs/>
          <w:spacing w:val="-3"/>
        </w:rPr>
        <w:t>第8章■云端数据架构■</w:t>
      </w:r>
    </w:p>
    <w:p>
      <w:pPr>
        <w:ind w:left="20" w:right="213" w:hanging="20"/>
        <w:spacing w:before="303" w:line="251" w:lineRule="auto"/>
        <w:rPr>
          <w:rFonts w:ascii="SimSun" w:hAnsi="SimSun" w:eastAsia="SimSun" w:cs="SimSun"/>
          <w:sz w:val="21"/>
          <w:szCs w:val="21"/>
        </w:rPr>
      </w:pPr>
      <w:r>
        <w:rPr>
          <w:rFonts w:ascii="SimSun" w:hAnsi="SimSun" w:eastAsia="SimSun" w:cs="SimSun"/>
          <w:sz w:val="21"/>
          <w:szCs w:val="21"/>
          <w:spacing w:val="3"/>
        </w:rPr>
        <w:t>实施过程中可借助物理数据控制、存储检索方法、数据归档和</w:t>
      </w:r>
      <w:r>
        <w:rPr>
          <w:rFonts w:ascii="SimSun" w:hAnsi="SimSun" w:eastAsia="SimSun" w:cs="SimSun"/>
          <w:sz w:val="21"/>
          <w:szCs w:val="21"/>
          <w:spacing w:val="2"/>
        </w:rPr>
        <w:t>检索的自动化工具实</w:t>
      </w:r>
      <w:r>
        <w:rPr>
          <w:rFonts w:ascii="SimSun" w:hAnsi="SimSun" w:eastAsia="SimSun" w:cs="SimSun"/>
          <w:sz w:val="21"/>
          <w:szCs w:val="21"/>
        </w:rPr>
        <w:t xml:space="preserve"> </w:t>
      </w:r>
      <w:r>
        <w:rPr>
          <w:rFonts w:ascii="SimSun" w:hAnsi="SimSun" w:eastAsia="SimSun" w:cs="SimSun"/>
          <w:sz w:val="21"/>
          <w:szCs w:val="21"/>
          <w:spacing w:val="-5"/>
        </w:rPr>
        <w:t>现历史数据归档管理的标准化。</w:t>
      </w:r>
    </w:p>
    <w:p>
      <w:pPr>
        <w:ind w:left="480"/>
        <w:spacing w:before="59" w:line="219" w:lineRule="auto"/>
        <w:rPr>
          <w:rFonts w:ascii="SimSun" w:hAnsi="SimSun" w:eastAsia="SimSun" w:cs="SimSun"/>
          <w:sz w:val="21"/>
          <w:szCs w:val="21"/>
        </w:rPr>
      </w:pPr>
      <w:r>
        <w:rPr>
          <w:rFonts w:ascii="SimSun" w:hAnsi="SimSun" w:eastAsia="SimSun" w:cs="SimSun"/>
          <w:sz w:val="21"/>
          <w:szCs w:val="21"/>
          <w:spacing w:val="-2"/>
        </w:rPr>
        <w:t>下面以</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SAP </w:t>
      </w:r>
      <w:r>
        <w:rPr>
          <w:rFonts w:ascii="SimSun" w:hAnsi="SimSun" w:eastAsia="SimSun" w:cs="SimSun"/>
          <w:sz w:val="21"/>
          <w:szCs w:val="21"/>
          <w:spacing w:val="-2"/>
        </w:rPr>
        <w:t>系统提供的归档功能为例，介</w:t>
      </w:r>
      <w:r>
        <w:rPr>
          <w:rFonts w:ascii="SimSun" w:hAnsi="SimSun" w:eastAsia="SimSun" w:cs="SimSun"/>
          <w:sz w:val="21"/>
          <w:szCs w:val="21"/>
          <w:spacing w:val="-3"/>
        </w:rPr>
        <w:t>绍其数据归档流程。</w:t>
      </w:r>
    </w:p>
    <w:p>
      <w:pPr>
        <w:spacing w:line="118" w:lineRule="exact"/>
        <w:rPr/>
      </w:pPr>
      <w:r/>
    </w:p>
    <w:tbl>
      <w:tblPr>
        <w:tblStyle w:val="TableNormal"/>
        <w:tblW w:w="7669" w:type="dxa"/>
        <w:tblInd w:w="40" w:type="dxa"/>
        <w:tblLayout w:type="fixed"/>
        <w:tblBorders>
          <w:left w:val="single" w:color="000000" w:sz="4" w:space="0"/>
          <w:bottom w:val="single" w:color="000000" w:sz="4" w:space="0"/>
          <w:right w:val="single" w:color="000000" w:sz="4" w:space="0"/>
          <w:top w:val="single" w:color="000000" w:sz="4" w:space="0"/>
        </w:tblBorders>
      </w:tblPr>
      <w:tblGrid>
        <w:gridCol w:w="7669"/>
      </w:tblGrid>
      <w:tr>
        <w:trPr>
          <w:trHeight w:val="9830" w:hRule="atLeast"/>
        </w:trPr>
        <w:tc>
          <w:tcPr>
            <w:tcW w:w="7669" w:type="dxa"/>
            <w:vAlign w:val="top"/>
          </w:tcPr>
          <w:p>
            <w:pPr>
              <w:pStyle w:val="TableText"/>
              <w:ind w:left="2955"/>
              <w:spacing w:before="70" w:line="219" w:lineRule="auto"/>
              <w:rPr/>
            </w:pPr>
            <w:r>
              <w:rPr>
                <w:spacing w:val="-1"/>
              </w:rPr>
              <w:t>SAP系统提供的归档功能</w:t>
            </w:r>
          </w:p>
          <w:p>
            <w:pPr>
              <w:pStyle w:val="TableText"/>
              <w:ind w:left="254"/>
              <w:spacing w:before="93" w:line="219" w:lineRule="auto"/>
              <w:rPr/>
            </w:pPr>
            <w:r>
              <w:rPr/>
              <w:t>SAP数据归档流程分为三个阶段：</w:t>
            </w:r>
          </w:p>
          <w:p>
            <w:pPr>
              <w:pStyle w:val="TableText"/>
              <w:ind w:left="254"/>
              <w:spacing w:before="121" w:line="219" w:lineRule="auto"/>
              <w:rPr/>
            </w:pPr>
            <w:r>
              <w:rPr/>
              <w:t>●创建存档文档——归档程序将R/3数据库的归档数据写到归档文</w:t>
            </w:r>
            <w:r>
              <w:rPr>
                <w:spacing w:val="-1"/>
              </w:rPr>
              <w:t>档。</w:t>
            </w:r>
          </w:p>
          <w:p>
            <w:pPr>
              <w:pStyle w:val="TableText"/>
              <w:ind w:left="254"/>
              <w:spacing w:before="111" w:line="219" w:lineRule="auto"/>
              <w:rPr/>
            </w:pPr>
            <w:r>
              <w:rPr>
                <w:spacing w:val="-1"/>
              </w:rPr>
              <w:t>●转移归档文档——将归档文档移至第三方存储介质。</w:t>
            </w:r>
          </w:p>
          <w:p>
            <w:pPr>
              <w:pStyle w:val="TableText"/>
              <w:ind w:left="254"/>
              <w:spacing w:before="103" w:line="219" w:lineRule="auto"/>
              <w:rPr/>
            </w:pPr>
            <w:r>
              <w:rPr/>
              <w:t>●删除数据——删除程序先从归档文档中读取数据，再从</w:t>
            </w:r>
            <w:r>
              <w:rPr>
                <w:spacing w:val="-1"/>
              </w:rPr>
              <w:t>数据库删除它。</w:t>
            </w:r>
          </w:p>
          <w:p>
            <w:pPr>
              <w:pStyle w:val="TableText"/>
              <w:ind w:left="94" w:right="499" w:firstLine="170"/>
              <w:spacing w:before="91" w:line="276" w:lineRule="auto"/>
              <w:rPr/>
            </w:pPr>
            <w:r>
              <w:rPr/>
              <w:t>通常而言，仅完成以上三个阶段完成并不足够，归档文档还需要被安全存储和管理，以便</w:t>
            </w:r>
            <w:r>
              <w:rPr>
                <w:spacing w:val="-1"/>
              </w:rPr>
              <w:t>日后需要的时候</w:t>
            </w:r>
            <w:r>
              <w:rPr/>
              <w:t xml:space="preserve"> </w:t>
            </w:r>
            <w:r>
              <w:rPr>
                <w:spacing w:val="-2"/>
              </w:rPr>
              <w:t>读取。</w:t>
            </w:r>
          </w:p>
          <w:p>
            <w:pPr>
              <w:pStyle w:val="TableText"/>
              <w:ind w:left="254"/>
              <w:spacing w:before="122" w:line="219" w:lineRule="auto"/>
              <w:rPr/>
            </w:pPr>
            <w:r>
              <w:rPr>
                <w:spacing w:val="-2"/>
              </w:rPr>
              <w:t>1</w:t>
            </w:r>
            <w:r>
              <w:rPr>
                <w:spacing w:val="8"/>
              </w:rPr>
              <w:t xml:space="preserve">  </w:t>
            </w:r>
            <w:r>
              <w:rPr>
                <w:spacing w:val="-2"/>
              </w:rPr>
              <w:t>归档步骤一：归档数据</w:t>
            </w:r>
          </w:p>
          <w:p>
            <w:pPr>
              <w:pStyle w:val="TableText"/>
              <w:ind w:left="125" w:right="210" w:firstLine="129"/>
              <w:spacing w:before="92" w:line="288" w:lineRule="auto"/>
              <w:rPr/>
            </w:pPr>
            <w:r>
              <w:rPr/>
              <w:t>开始归档活动前，可以选择是否运行预处理程序。在第一步中，归档程序创建一个归档文档</w:t>
            </w:r>
            <w:r>
              <w:rPr>
                <w:spacing w:val="-1"/>
              </w:rPr>
              <w:t>。将被归档的数据</w:t>
            </w:r>
            <w:r>
              <w:rPr/>
              <w:t xml:space="preserve"> </w:t>
            </w:r>
            <w:r>
              <w:rPr/>
              <w:t>从数据库中后台读取并且写入归档文档。这个过程持续到以</w:t>
            </w:r>
            <w:r>
              <w:rPr>
                <w:spacing w:val="-1"/>
              </w:rPr>
              <w:t>下结果发生：</w:t>
            </w:r>
          </w:p>
          <w:p>
            <w:pPr>
              <w:pStyle w:val="TableText"/>
              <w:ind w:left="254"/>
              <w:spacing w:before="102" w:line="219" w:lineRule="auto"/>
              <w:rPr/>
            </w:pPr>
            <w:r>
              <w:rPr/>
              <w:t>(1)归档完成：所有选择数据被读取和写入。</w:t>
            </w:r>
          </w:p>
          <w:p>
            <w:pPr>
              <w:pStyle w:val="TableText"/>
              <w:ind w:left="254"/>
              <w:spacing w:before="102" w:line="219" w:lineRule="auto"/>
              <w:rPr/>
            </w:pPr>
            <w:r>
              <w:rPr/>
              <w:t>(2)归档还未完成，但是归档文档内容已满。</w:t>
            </w:r>
          </w:p>
          <w:p>
            <w:pPr>
              <w:pStyle w:val="TableText"/>
              <w:ind w:left="254"/>
              <w:spacing w:before="122" w:line="270" w:lineRule="exact"/>
              <w:rPr/>
            </w:pPr>
            <w:r>
              <w:rPr>
                <w:position w:val="9"/>
              </w:rPr>
              <w:t>(3)归档还未完成，但是归档文档包含客户定制的特定对象数</w:t>
            </w:r>
            <w:r>
              <w:rPr>
                <w:spacing w:val="-1"/>
                <w:position w:val="9"/>
              </w:rPr>
              <w:t>量。</w:t>
            </w:r>
          </w:p>
          <w:p>
            <w:pPr>
              <w:pStyle w:val="TableText"/>
              <w:ind w:left="254"/>
              <w:spacing w:line="219" w:lineRule="auto"/>
              <w:rPr/>
            </w:pPr>
            <w:r>
              <w:rPr/>
              <w:t>只有来自完结了的业务流程的数据和所选财年的数据</w:t>
            </w:r>
            <w:r>
              <w:rPr>
                <w:spacing w:val="-1"/>
              </w:rPr>
              <w:t>可以被归档。</w:t>
            </w:r>
          </w:p>
          <w:p>
            <w:pPr>
              <w:pStyle w:val="TableText"/>
              <w:ind w:left="254"/>
              <w:spacing w:before="101" w:line="309" w:lineRule="exact"/>
              <w:rPr/>
            </w:pPr>
            <w:r>
              <w:rPr>
                <w:spacing w:val="-2"/>
                <w:position w:val="12"/>
              </w:rPr>
              <w:t>主数据只有在被标记了删除标记后才能被归档。</w:t>
            </w:r>
            <w:r>
              <w:rPr>
                <w:spacing w:val="30"/>
                <w:w w:val="101"/>
                <w:position w:val="12"/>
              </w:rPr>
              <w:t xml:space="preserve"> </w:t>
            </w:r>
            <w:r>
              <w:rPr>
                <w:spacing w:val="-2"/>
                <w:position w:val="12"/>
              </w:rPr>
              <w:t>一些归</w:t>
            </w:r>
            <w:r>
              <w:rPr>
                <w:spacing w:val="-3"/>
                <w:position w:val="12"/>
              </w:rPr>
              <w:t>档对象在一个特殊流程程序设置了删除标记，例如</w:t>
            </w:r>
          </w:p>
          <w:p>
            <w:pPr>
              <w:pStyle w:val="TableText"/>
              <w:ind w:left="104"/>
              <w:spacing w:before="1" w:line="182" w:lineRule="auto"/>
              <w:rPr/>
            </w:pPr>
            <w:r>
              <w:rPr>
                <w:spacing w:val="-3"/>
              </w:rPr>
              <w:t>CO_ORDER。</w:t>
            </w:r>
          </w:p>
          <w:p>
            <w:pPr>
              <w:pStyle w:val="TableText"/>
              <w:ind w:left="254"/>
              <w:spacing w:before="103" w:line="219" w:lineRule="auto"/>
              <w:rPr/>
            </w:pPr>
            <w:r>
              <w:rPr>
                <w:spacing w:val="-1"/>
              </w:rPr>
              <w:t>2  归档步骤二：转移归档</w:t>
            </w:r>
          </w:p>
          <w:p>
            <w:pPr>
              <w:pStyle w:val="TableText"/>
              <w:ind w:left="104" w:right="183" w:firstLine="149"/>
              <w:spacing w:before="91" w:line="284" w:lineRule="auto"/>
              <w:rPr/>
            </w:pPr>
            <w:r>
              <w:rPr>
                <w:spacing w:val="1"/>
              </w:rPr>
              <w:t>对于归档文档在第三方介质上的存储和管理</w:t>
            </w:r>
            <w:r>
              <w:rPr/>
              <w:t>有许多解决方案。你可以在归档管理中决定归档文档现在放在什么 </w:t>
            </w:r>
            <w:r>
              <w:rPr>
                <w:spacing w:val="-2"/>
              </w:rPr>
              <w:t>位置。</w:t>
            </w:r>
          </w:p>
          <w:p>
            <w:pPr>
              <w:pStyle w:val="TableText"/>
              <w:ind w:left="254"/>
              <w:spacing w:before="108" w:line="219" w:lineRule="auto"/>
              <w:rPr/>
            </w:pPr>
            <w:r>
              <w:rPr/>
              <w:t>连接到分级存储管理系统(HSM):一个HSM系统模拟一个无限大的文件系统。归档文档在</w:t>
            </w:r>
            <w:r>
              <w:rPr>
                <w:spacing w:val="-1"/>
              </w:rPr>
              <w:t>HSM系统中，数</w:t>
            </w:r>
          </w:p>
          <w:p>
            <w:pPr>
              <w:pStyle w:val="TableText"/>
              <w:ind w:left="254"/>
              <w:spacing w:before="93" w:line="300" w:lineRule="exact"/>
              <w:rPr/>
            </w:pPr>
            <w:r>
              <w:rPr>
                <w:position w:val="11"/>
              </w:rPr>
              <w:t>据归档被存储时立即创建一个归档文档。在客户定制时，足以为归档对象指定HSM文件系统的路</w:t>
            </w:r>
            <w:r>
              <w:rPr>
                <w:spacing w:val="-1"/>
                <w:position w:val="11"/>
              </w:rPr>
              <w:t>径，也就是归档</w:t>
            </w:r>
          </w:p>
          <w:p>
            <w:pPr>
              <w:pStyle w:val="TableText"/>
              <w:ind w:left="115"/>
              <w:spacing w:before="1" w:line="219" w:lineRule="auto"/>
              <w:rPr/>
            </w:pPr>
            <w:r>
              <w:rPr>
                <w:spacing w:val="-1"/>
              </w:rPr>
              <w:t>文档的目标路径。</w:t>
            </w:r>
          </w:p>
          <w:p>
            <w:pPr>
              <w:pStyle w:val="TableText"/>
              <w:ind w:left="115" w:right="434" w:firstLine="139"/>
              <w:spacing w:before="102" w:line="288" w:lineRule="auto"/>
              <w:rPr/>
            </w:pPr>
            <w:r>
              <w:rPr/>
              <w:t>手动管理：如果你不想将归档文档存储在一个外部存储系统或者HSM系统，IT部通过在磁带</w:t>
            </w:r>
            <w:r>
              <w:rPr>
                <w:spacing w:val="-1"/>
              </w:rPr>
              <w:t>或者本地制作的</w:t>
            </w:r>
            <w:r>
              <w:rPr/>
              <w:t xml:space="preserve"> </w:t>
            </w:r>
            <w:r>
              <w:rPr/>
              <w:t>CD管理文档，因此它们没有对SAPR/3系</w:t>
            </w:r>
            <w:r>
              <w:rPr>
                <w:spacing w:val="-1"/>
              </w:rPr>
              <w:t>统的接口。</w:t>
            </w:r>
          </w:p>
          <w:p>
            <w:pPr>
              <w:pStyle w:val="TableText"/>
              <w:ind w:left="254"/>
              <w:spacing w:before="91" w:line="219" w:lineRule="auto"/>
              <w:rPr/>
            </w:pPr>
            <w:r>
              <w:rPr/>
              <w:t>确保你为所选择的第三方存储介质遵循了恰当的备份策略。几年后，也许将这些CD和WORM</w:t>
            </w:r>
            <w:r>
              <w:rPr>
                <w:spacing w:val="-1"/>
              </w:rPr>
              <w:t>上的存储内容再</w:t>
            </w:r>
          </w:p>
          <w:p>
            <w:pPr>
              <w:pStyle w:val="TableText"/>
              <w:ind w:left="115"/>
              <w:spacing w:before="93" w:line="219" w:lineRule="auto"/>
              <w:rPr/>
            </w:pPr>
            <w:r>
              <w:rPr>
                <w:spacing w:val="43"/>
              </w:rPr>
              <w:t>次拷贝到新的</w:t>
            </w:r>
            <w:r>
              <w:rPr/>
              <w:t>CD</w:t>
            </w:r>
            <w:r>
              <w:rPr>
                <w:spacing w:val="43"/>
              </w:rPr>
              <w:t>和</w:t>
            </w:r>
            <w:r>
              <w:rPr/>
              <w:t>WORM</w:t>
            </w:r>
            <w:r>
              <w:rPr>
                <w:spacing w:val="43"/>
              </w:rPr>
              <w:t>上。</w:t>
            </w:r>
          </w:p>
          <w:p>
            <w:pPr>
              <w:pStyle w:val="TableText"/>
              <w:ind w:left="254"/>
              <w:spacing w:before="112" w:line="219" w:lineRule="auto"/>
              <w:rPr/>
            </w:pPr>
            <w:r>
              <w:rPr>
                <w:spacing w:val="-1"/>
              </w:rPr>
              <w:t>3归档步骤三：删除数据</w:t>
            </w:r>
          </w:p>
          <w:p>
            <w:pPr>
              <w:pStyle w:val="TableText"/>
              <w:ind w:left="254"/>
              <w:spacing w:before="112" w:line="219" w:lineRule="auto"/>
              <w:rPr/>
            </w:pPr>
            <w:r>
              <w:rPr>
                <w:spacing w:val="-1"/>
              </w:rPr>
              <w:t>(1)方式一：归档和删除任务同时运行</w:t>
            </w:r>
          </w:p>
          <w:p>
            <w:pPr>
              <w:pStyle w:val="TableText"/>
              <w:ind w:left="254"/>
              <w:spacing w:before="92" w:line="219" w:lineRule="auto"/>
              <w:rPr/>
            </w:pPr>
            <w:r>
              <w:rPr/>
              <w:t>删除工作在归档文档关闭是自动开始。前提是归档对象在技术定制选择了“</w:t>
            </w:r>
            <w:r>
              <w:rPr>
                <w:spacing w:val="-1"/>
              </w:rPr>
              <w:t>自动开始”。</w:t>
            </w:r>
          </w:p>
          <w:p>
            <w:pPr>
              <w:pStyle w:val="TableText"/>
              <w:ind w:left="275"/>
              <w:spacing w:before="102" w:line="219" w:lineRule="auto"/>
              <w:rPr/>
            </w:pPr>
            <w:r>
              <w:rPr/>
              <w:t>关闭归档文档后，ADK打开一个新文件，继续开始归档过程。删除程序则同时开始，</w:t>
            </w:r>
            <w:r>
              <w:rPr>
                <w:spacing w:val="-1"/>
              </w:rPr>
              <w:t>它从关闭了的归档文档</w:t>
            </w:r>
          </w:p>
          <w:p>
            <w:pPr>
              <w:pStyle w:val="TableText"/>
              <w:ind w:left="254"/>
              <w:spacing w:before="102" w:line="219" w:lineRule="auto"/>
              <w:rPr/>
            </w:pPr>
            <w:r>
              <w:rPr/>
              <w:t>读取数据，然后删除数据库中的数据记录。这一场景，归档和删除程序同时进行。每个归档文</w:t>
            </w:r>
            <w:r>
              <w:rPr>
                <w:spacing w:val="-1"/>
              </w:rPr>
              <w:t>档都有一个删除</w:t>
            </w:r>
          </w:p>
          <w:p>
            <w:pPr>
              <w:pStyle w:val="TableText"/>
              <w:ind w:left="94"/>
              <w:spacing w:before="102" w:line="220" w:lineRule="auto"/>
              <w:rPr/>
            </w:pPr>
            <w:r>
              <w:rPr>
                <w:spacing w:val="-2"/>
              </w:rPr>
              <w:t>过程。</w:t>
            </w:r>
          </w:p>
          <w:p>
            <w:pPr>
              <w:pStyle w:val="TableText"/>
              <w:ind w:left="254"/>
              <w:spacing w:before="111" w:line="219" w:lineRule="auto"/>
              <w:rPr/>
            </w:pPr>
            <w:r>
              <w:rPr/>
              <w:t>(2)方式二：手动开始删除任务</w:t>
            </w:r>
          </w:p>
          <w:p>
            <w:pPr>
              <w:pStyle w:val="TableText"/>
              <w:ind w:left="104" w:right="375" w:firstLine="139"/>
              <w:spacing w:before="103" w:line="282" w:lineRule="auto"/>
              <w:rPr/>
            </w:pPr>
            <w:r>
              <w:rPr/>
              <w:t>归档任务完成后，管理员开始使用数据归档事务手动执行删除任务。前提是归</w:t>
            </w:r>
            <w:r>
              <w:rPr>
                <w:spacing w:val="-1"/>
              </w:rPr>
              <w:t>档对象的技术定制选择了“没</w:t>
            </w:r>
            <w:r>
              <w:rPr/>
              <w:t xml:space="preserve"> </w:t>
            </w:r>
            <w:r>
              <w:rPr>
                <w:spacing w:val="-1"/>
              </w:rPr>
              <w:t>安排”。</w:t>
            </w:r>
          </w:p>
        </w:tc>
      </w:tr>
    </w:tbl>
    <w:p>
      <w:pPr>
        <w:pStyle w:val="BodyText"/>
        <w:rPr/>
      </w:pPr>
      <w:r/>
    </w:p>
    <w:p>
      <w:pPr>
        <w:sectPr>
          <w:footerReference w:type="default" r:id="rId407"/>
          <w:pgSz w:w="8870" w:h="13400"/>
          <w:pgMar w:top="400" w:right="805" w:bottom="617" w:left="189" w:header="0" w:footer="408" w:gutter="0"/>
        </w:sectPr>
        <w:rPr/>
      </w:pPr>
    </w:p>
    <w:p>
      <w:pPr>
        <w:ind w:left="99"/>
        <w:spacing w:before="140"/>
        <w:rPr>
          <w:rFonts w:ascii="SimSun" w:hAnsi="SimSun" w:eastAsia="SimSun" w:cs="SimSun"/>
          <w:sz w:val="23"/>
          <w:szCs w:val="23"/>
        </w:rPr>
      </w:pPr>
      <w:r>
        <w:rPr>
          <w:rFonts w:ascii="SimSun" w:hAnsi="SimSun" w:eastAsia="SimSun" w:cs="SimSun"/>
          <w:sz w:val="23"/>
          <w:szCs w:val="23"/>
          <w:position w:val="-8"/>
        </w:rPr>
        <w:drawing>
          <wp:inline distT="0" distB="0" distL="0" distR="0">
            <wp:extent cx="6365" cy="222255"/>
            <wp:effectExtent l="0" t="0" r="0" b="0"/>
            <wp:docPr id="278" name="IM 278"/>
            <wp:cNvGraphicFramePr/>
            <a:graphic>
              <a:graphicData uri="http://schemas.openxmlformats.org/drawingml/2006/picture">
                <pic:pic>
                  <pic:nvPicPr>
                    <pic:cNvPr id="278" name="IM 278"/>
                    <pic:cNvPicPr/>
                  </pic:nvPicPr>
                  <pic:blipFill>
                    <a:blip r:embed="rId409"/>
                    <a:stretch>
                      <a:fillRect/>
                    </a:stretch>
                  </pic:blipFill>
                  <pic:spPr>
                    <a:xfrm rot="0">
                      <a:off x="0" y="0"/>
                      <a:ext cx="6365" cy="222255"/>
                    </a:xfrm>
                    <a:prstGeom prst="rect">
                      <a:avLst/>
                    </a:prstGeom>
                  </pic:spPr>
                </pic:pic>
              </a:graphicData>
            </a:graphic>
          </wp:inline>
        </w:drawing>
      </w:r>
      <w:r>
        <w:rPr>
          <w:rFonts w:ascii="SimSun" w:hAnsi="SimSun" w:eastAsia="SimSun" w:cs="SimSun"/>
          <w:sz w:val="23"/>
          <w:szCs w:val="23"/>
          <w:spacing w:val="-7"/>
        </w:rPr>
        <w:t xml:space="preserve"> </w:t>
      </w:r>
      <w:r>
        <w:rPr>
          <w:rFonts w:ascii="SimSun" w:hAnsi="SimSun" w:eastAsia="SimSun" w:cs="SimSun"/>
          <w:sz w:val="23"/>
          <w:szCs w:val="23"/>
          <w:b/>
          <w:bCs/>
          <w:spacing w:val="-24"/>
        </w:rPr>
        <w:t>■云端数据治理</w:t>
      </w:r>
    </w:p>
    <w:p>
      <w:pPr>
        <w:pStyle w:val="BodyText"/>
        <w:spacing w:line="290" w:lineRule="auto"/>
        <w:rPr/>
      </w:pPr>
      <w:r/>
    </w:p>
    <w:p>
      <w:pPr>
        <w:ind w:left="7199"/>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680" w:type="dxa"/>
        <w:tblInd w:w="249"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1689" w:hRule="atLeast"/>
        </w:trPr>
        <w:tc>
          <w:tcPr>
            <w:tcW w:w="7680" w:type="dxa"/>
            <w:vAlign w:val="top"/>
          </w:tcPr>
          <w:p>
            <w:pPr>
              <w:pStyle w:val="TableText"/>
              <w:ind w:left="105" w:right="360" w:firstLine="159"/>
              <w:spacing w:before="60" w:line="283" w:lineRule="auto"/>
              <w:rPr/>
            </w:pPr>
            <w:r>
              <w:rPr/>
              <w:t>所有的归档文档关闭后，管理员开始手动删除程序。归档任务一旦完成就关闭。每个归档文</w:t>
            </w:r>
            <w:r>
              <w:rPr>
                <w:spacing w:val="-1"/>
              </w:rPr>
              <w:t>档都有一个删除</w:t>
            </w:r>
            <w:r>
              <w:rPr/>
              <w:t xml:space="preserve"> </w:t>
            </w:r>
            <w:r>
              <w:rPr>
                <w:spacing w:val="-2"/>
              </w:rPr>
              <w:t>过程。</w:t>
            </w:r>
          </w:p>
          <w:p>
            <w:pPr>
              <w:pStyle w:val="TableText"/>
              <w:ind w:left="265"/>
              <w:spacing w:before="120" w:line="219" w:lineRule="auto"/>
              <w:rPr/>
            </w:pPr>
            <w:r>
              <w:rPr/>
              <w:t>(3)方式三：自动开始删除任务</w:t>
            </w:r>
          </w:p>
          <w:p>
            <w:pPr>
              <w:pStyle w:val="TableText"/>
              <w:ind w:left="265"/>
              <w:spacing w:before="80" w:line="218" w:lineRule="auto"/>
              <w:rPr/>
            </w:pPr>
            <w:r>
              <w:rPr/>
              <w:t>归档任务完成后，删除任务自动开始。前提是“结束后开始”在事务AOBJ的归档对象定义</w:t>
            </w:r>
            <w:r>
              <w:rPr>
                <w:spacing w:val="-1"/>
              </w:rPr>
              <w:t>中被标记。</w:t>
            </w:r>
          </w:p>
          <w:p>
            <w:pPr>
              <w:pStyle w:val="TableText"/>
              <w:ind w:left="105" w:right="210" w:firstLine="159"/>
              <w:spacing w:before="113" w:line="289" w:lineRule="auto"/>
              <w:rPr/>
            </w:pPr>
            <w:r>
              <w:rPr/>
              <w:t>所有的归档文档关闭后，删除程序按照计划自动开始。归档任务一旦完成就关闭。每个归档文</w:t>
            </w:r>
            <w:r>
              <w:rPr>
                <w:spacing w:val="-1"/>
              </w:rPr>
              <w:t>档都有一个删除</w:t>
            </w:r>
            <w:r>
              <w:rPr/>
              <w:t xml:space="preserve"> </w:t>
            </w:r>
            <w:r>
              <w:rPr>
                <w:spacing w:val="-2"/>
              </w:rPr>
              <w:t>过程。</w:t>
            </w:r>
          </w:p>
        </w:tc>
      </w:tr>
    </w:tbl>
    <w:p>
      <w:pPr>
        <w:pStyle w:val="BodyText"/>
        <w:rPr/>
      </w:pPr>
      <w:r/>
    </w:p>
    <w:p>
      <w:pPr>
        <w:sectPr>
          <w:footerReference w:type="default" r:id="rId408"/>
          <w:pgSz w:w="8870" w:h="13400"/>
          <w:pgMar w:top="400" w:right="355" w:bottom="561" w:left="580" w:header="0" w:footer="333" w:gutter="0"/>
        </w:sectPr>
        <w:rPr/>
      </w:pP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6" w:lineRule="auto"/>
        <w:rPr/>
      </w:pPr>
      <w:r/>
    </w:p>
    <w:p>
      <w:pPr>
        <w:ind w:left="1995"/>
        <w:spacing w:before="133" w:line="222" w:lineRule="auto"/>
        <w:rPr>
          <w:rFonts w:ascii="SimHei" w:hAnsi="SimHei" w:eastAsia="SimHei" w:cs="SimHei"/>
          <w:sz w:val="41"/>
          <w:szCs w:val="41"/>
        </w:rPr>
      </w:pPr>
      <w:r>
        <w:rPr>
          <w:rFonts w:ascii="SimHei" w:hAnsi="SimHei" w:eastAsia="SimHei" w:cs="SimHei"/>
          <w:sz w:val="41"/>
          <w:szCs w:val="41"/>
          <w:b/>
          <w:bCs/>
          <w:spacing w:val="-13"/>
        </w:rPr>
        <w:t>第</w:t>
      </w:r>
      <w:r>
        <w:rPr>
          <w:rFonts w:ascii="SimHei" w:hAnsi="SimHei" w:eastAsia="SimHei" w:cs="SimHei"/>
          <w:sz w:val="41"/>
          <w:szCs w:val="41"/>
          <w:spacing w:val="-84"/>
        </w:rPr>
        <w:t xml:space="preserve"> </w:t>
      </w:r>
      <w:r>
        <w:rPr>
          <w:rFonts w:ascii="SimHei" w:hAnsi="SimHei" w:eastAsia="SimHei" w:cs="SimHei"/>
          <w:sz w:val="41"/>
          <w:szCs w:val="41"/>
          <w:b/>
          <w:bCs/>
          <w:spacing w:val="-13"/>
        </w:rPr>
        <w:t>9</w:t>
      </w:r>
      <w:r>
        <w:rPr>
          <w:rFonts w:ascii="SimHei" w:hAnsi="SimHei" w:eastAsia="SimHei" w:cs="SimHei"/>
          <w:sz w:val="41"/>
          <w:szCs w:val="41"/>
          <w:spacing w:val="-74"/>
        </w:rPr>
        <w:t xml:space="preserve"> </w:t>
      </w:r>
      <w:r>
        <w:rPr>
          <w:rFonts w:ascii="SimHei" w:hAnsi="SimHei" w:eastAsia="SimHei" w:cs="SimHei"/>
          <w:sz w:val="41"/>
          <w:szCs w:val="41"/>
          <w:b/>
          <w:bCs/>
          <w:spacing w:val="-13"/>
        </w:rPr>
        <w:t>章</w:t>
      </w:r>
      <w:r>
        <w:rPr>
          <w:rFonts w:ascii="SimHei" w:hAnsi="SimHei" w:eastAsia="SimHei" w:cs="SimHei"/>
          <w:sz w:val="41"/>
          <w:szCs w:val="41"/>
          <w:spacing w:val="190"/>
        </w:rPr>
        <w:t xml:space="preserve"> </w:t>
      </w:r>
      <w:r>
        <w:rPr>
          <w:rFonts w:ascii="SimHei" w:hAnsi="SimHei" w:eastAsia="SimHei" w:cs="SimHei"/>
          <w:sz w:val="41"/>
          <w:szCs w:val="41"/>
          <w:b/>
          <w:bCs/>
          <w:spacing w:val="-13"/>
        </w:rPr>
        <w:t>安全与隐私</w:t>
      </w:r>
    </w:p>
    <w:p>
      <w:pPr>
        <w:pStyle w:val="BodyText"/>
        <w:spacing w:line="263" w:lineRule="auto"/>
        <w:rPr/>
      </w:pPr>
      <w:r/>
    </w:p>
    <w:p>
      <w:pPr>
        <w:pStyle w:val="BodyText"/>
        <w:spacing w:line="264" w:lineRule="auto"/>
        <w:rPr/>
      </w:pPr>
      <w:r/>
    </w:p>
    <w:p>
      <w:pPr>
        <w:ind w:left="5"/>
        <w:spacing w:before="114" w:line="221" w:lineRule="auto"/>
        <w:outlineLvl w:val="2"/>
        <w:rPr>
          <w:rFonts w:ascii="SimHei" w:hAnsi="SimHei" w:eastAsia="SimHei" w:cs="SimHei"/>
          <w:sz w:val="35"/>
          <w:szCs w:val="35"/>
        </w:rPr>
      </w:pPr>
      <w:r>
        <w:rPr>
          <w:rFonts w:ascii="SimHei" w:hAnsi="SimHei" w:eastAsia="SimHei" w:cs="SimHei"/>
          <w:sz w:val="35"/>
          <w:szCs w:val="35"/>
          <w:b/>
          <w:bCs/>
          <w:spacing w:val="-9"/>
        </w:rPr>
        <w:t>9.1</w:t>
      </w:r>
      <w:r>
        <w:rPr>
          <w:rFonts w:ascii="SimHei" w:hAnsi="SimHei" w:eastAsia="SimHei" w:cs="SimHei"/>
          <w:sz w:val="35"/>
          <w:szCs w:val="35"/>
          <w:spacing w:val="116"/>
        </w:rPr>
        <w:t xml:space="preserve"> </w:t>
      </w:r>
      <w:r>
        <w:rPr>
          <w:rFonts w:ascii="SimHei" w:hAnsi="SimHei" w:eastAsia="SimHei" w:cs="SimHei"/>
          <w:sz w:val="35"/>
          <w:szCs w:val="35"/>
          <w:b/>
          <w:bCs/>
          <w:spacing w:val="-9"/>
        </w:rPr>
        <w:t>概述</w:t>
      </w:r>
    </w:p>
    <w:p>
      <w:pPr>
        <w:ind w:left="3"/>
        <w:spacing w:before="329" w:line="221" w:lineRule="auto"/>
        <w:outlineLvl w:val="3"/>
        <w:rPr>
          <w:rFonts w:ascii="YouYuan" w:hAnsi="YouYuan" w:eastAsia="YouYuan" w:cs="YouYuan"/>
          <w:sz w:val="29"/>
          <w:szCs w:val="29"/>
        </w:rPr>
      </w:pPr>
      <w:r>
        <w:rPr>
          <w:rFonts w:ascii="YouYuan" w:hAnsi="YouYuan" w:eastAsia="YouYuan" w:cs="YouYuan"/>
          <w:sz w:val="29"/>
          <w:szCs w:val="29"/>
          <w:b/>
          <w:bCs/>
          <w:spacing w:val="-9"/>
        </w:rPr>
        <w:t>9.1.1</w:t>
      </w:r>
      <w:r>
        <w:rPr>
          <w:rFonts w:ascii="YouYuan" w:hAnsi="YouYuan" w:eastAsia="YouYuan" w:cs="YouYuan"/>
          <w:sz w:val="29"/>
          <w:szCs w:val="29"/>
          <w:spacing w:val="-9"/>
        </w:rPr>
        <w:t xml:space="preserve">  </w:t>
      </w:r>
      <w:r>
        <w:rPr>
          <w:rFonts w:ascii="YouYuan" w:hAnsi="YouYuan" w:eastAsia="YouYuan" w:cs="YouYuan"/>
          <w:sz w:val="29"/>
          <w:szCs w:val="29"/>
          <w:b/>
          <w:bCs/>
          <w:spacing w:val="-9"/>
        </w:rPr>
        <w:t>目的和意义</w:t>
      </w:r>
    </w:p>
    <w:p>
      <w:pPr>
        <w:pStyle w:val="BodyText"/>
        <w:spacing w:line="256" w:lineRule="auto"/>
        <w:rPr/>
      </w:pPr>
      <w:r/>
    </w:p>
    <w:p>
      <w:pPr>
        <w:ind w:right="218" w:firstLine="470"/>
        <w:spacing w:before="71" w:line="253" w:lineRule="auto"/>
        <w:rPr>
          <w:rFonts w:ascii="SimSun" w:hAnsi="SimSun" w:eastAsia="SimSun" w:cs="SimSun"/>
          <w:sz w:val="22"/>
          <w:szCs w:val="22"/>
        </w:rPr>
      </w:pPr>
      <w:r>
        <w:rPr>
          <w:rFonts w:ascii="SimSun" w:hAnsi="SimSun" w:eastAsia="SimSun" w:cs="SimSun"/>
          <w:sz w:val="22"/>
          <w:szCs w:val="22"/>
          <w:spacing w:val="-8"/>
        </w:rPr>
        <w:t>安全应从战略、战术、操作角度来解决问题，并集成到</w:t>
      </w:r>
      <w:r>
        <w:rPr>
          <w:rFonts w:ascii="SimSun" w:hAnsi="SimSun" w:eastAsia="SimSun" w:cs="SimSun"/>
          <w:sz w:val="22"/>
          <w:szCs w:val="22"/>
          <w:spacing w:val="-9"/>
        </w:rPr>
        <w:t>组织的每个层次。安全</w:t>
      </w:r>
      <w:r>
        <w:rPr>
          <w:rFonts w:ascii="SimSun" w:hAnsi="SimSun" w:eastAsia="SimSun" w:cs="SimSun"/>
          <w:sz w:val="22"/>
          <w:szCs w:val="22"/>
        </w:rPr>
        <w:t xml:space="preserve"> </w:t>
      </w:r>
      <w:r>
        <w:rPr>
          <w:rFonts w:ascii="SimSun" w:hAnsi="SimSun" w:eastAsia="SimSun" w:cs="SimSun"/>
          <w:sz w:val="22"/>
          <w:szCs w:val="22"/>
          <w:spacing w:val="-9"/>
        </w:rPr>
        <w:t>管理涵盖了组织安全开发、风险管理、合理的对策选择与实现、治理和绩效考核。</w:t>
      </w:r>
      <w:r>
        <w:rPr>
          <w:rFonts w:ascii="SimSun" w:hAnsi="SimSun" w:eastAsia="SimSun" w:cs="SimSun"/>
          <w:sz w:val="22"/>
          <w:szCs w:val="22"/>
          <w:spacing w:val="13"/>
        </w:rPr>
        <w:t xml:space="preserve"> </w:t>
      </w:r>
      <w:r>
        <w:rPr>
          <w:rFonts w:ascii="SimSun" w:hAnsi="SimSun" w:eastAsia="SimSun" w:cs="SimSun"/>
          <w:sz w:val="22"/>
          <w:szCs w:val="22"/>
          <w:spacing w:val="-8"/>
        </w:rPr>
        <w:t>云端数据安全管理包括计划、制订、执行相关安全策略和规程，</w:t>
      </w:r>
      <w:r>
        <w:rPr>
          <w:rFonts w:ascii="SimSun" w:hAnsi="SimSun" w:eastAsia="SimSun" w:cs="SimSun"/>
          <w:sz w:val="22"/>
          <w:szCs w:val="22"/>
          <w:spacing w:val="-9"/>
        </w:rPr>
        <w:t>确保数据和信息资</w:t>
      </w:r>
      <w:r>
        <w:rPr>
          <w:rFonts w:ascii="SimSun" w:hAnsi="SimSun" w:eastAsia="SimSun" w:cs="SimSun"/>
          <w:sz w:val="22"/>
          <w:szCs w:val="22"/>
        </w:rPr>
        <w:t xml:space="preserve"> </w:t>
      </w:r>
      <w:r>
        <w:rPr>
          <w:rFonts w:ascii="SimSun" w:hAnsi="SimSun" w:eastAsia="SimSun" w:cs="SimSun"/>
          <w:sz w:val="22"/>
          <w:szCs w:val="22"/>
          <w:spacing w:val="-8"/>
        </w:rPr>
        <w:t>产在使用过程中有合适的认证、授权、访问和审计等措施。有效的数据安全策略和</w:t>
      </w:r>
      <w:r>
        <w:rPr>
          <w:rFonts w:ascii="SimSun" w:hAnsi="SimSun" w:eastAsia="SimSun" w:cs="SimSun"/>
          <w:sz w:val="22"/>
          <w:szCs w:val="22"/>
          <w:spacing w:val="14"/>
        </w:rPr>
        <w:t xml:space="preserve"> </w:t>
      </w:r>
      <w:r>
        <w:rPr>
          <w:rFonts w:ascii="SimSun" w:hAnsi="SimSun" w:eastAsia="SimSun" w:cs="SimSun"/>
          <w:sz w:val="22"/>
          <w:szCs w:val="22"/>
          <w:spacing w:val="-8"/>
        </w:rPr>
        <w:t>规程须确保合适的人以正确的方式使用和更新数据</w:t>
      </w:r>
      <w:r>
        <w:rPr>
          <w:rFonts w:ascii="SimSun" w:hAnsi="SimSun" w:eastAsia="SimSun" w:cs="SimSun"/>
          <w:sz w:val="22"/>
          <w:szCs w:val="22"/>
          <w:spacing w:val="-9"/>
        </w:rPr>
        <w:t>，并限制所有不适当的访问和更</w:t>
      </w:r>
      <w:r>
        <w:rPr>
          <w:rFonts w:ascii="SimSun" w:hAnsi="SimSun" w:eastAsia="SimSun" w:cs="SimSun"/>
          <w:sz w:val="22"/>
          <w:szCs w:val="22"/>
        </w:rPr>
        <w:t xml:space="preserve"> </w:t>
      </w:r>
      <w:r>
        <w:rPr>
          <w:rFonts w:ascii="SimSun" w:hAnsi="SimSun" w:eastAsia="SimSun" w:cs="SimSun"/>
          <w:sz w:val="22"/>
          <w:szCs w:val="22"/>
          <w:spacing w:val="-8"/>
        </w:rPr>
        <w:t>新数据。</w:t>
      </w:r>
    </w:p>
    <w:p>
      <w:pPr>
        <w:ind w:right="215" w:firstLine="470"/>
        <w:spacing w:before="60" w:line="250" w:lineRule="auto"/>
        <w:rPr>
          <w:rFonts w:ascii="SimSun" w:hAnsi="SimSun" w:eastAsia="SimSun" w:cs="SimSun"/>
          <w:sz w:val="22"/>
          <w:szCs w:val="22"/>
        </w:rPr>
      </w:pPr>
      <w:r>
        <w:rPr>
          <w:rFonts w:ascii="SimSun" w:hAnsi="SimSun" w:eastAsia="SimSun" w:cs="SimSun"/>
          <w:sz w:val="22"/>
          <w:szCs w:val="22"/>
          <w:spacing w:val="-2"/>
        </w:rPr>
        <w:t>隐私和合规是信息安全非常重要的部分。理解并符合所有利益相关者的隐私</w:t>
      </w:r>
      <w:r>
        <w:rPr>
          <w:rFonts w:ascii="SimSun" w:hAnsi="SimSun" w:eastAsia="SimSun" w:cs="SimSun"/>
          <w:sz w:val="22"/>
          <w:szCs w:val="22"/>
          <w:spacing w:val="7"/>
        </w:rPr>
        <w:t xml:space="preserve"> </w:t>
      </w:r>
      <w:r>
        <w:rPr>
          <w:rFonts w:ascii="SimSun" w:hAnsi="SimSun" w:eastAsia="SimSun" w:cs="SimSun"/>
          <w:sz w:val="22"/>
          <w:szCs w:val="22"/>
          <w:spacing w:val="-2"/>
        </w:rPr>
        <w:t>及保密需求，是任何组织的最佳利益所在。组织安</w:t>
      </w:r>
      <w:r>
        <w:rPr>
          <w:rFonts w:ascii="SimSun" w:hAnsi="SimSun" w:eastAsia="SimSun" w:cs="SimSun"/>
          <w:sz w:val="22"/>
          <w:szCs w:val="22"/>
          <w:spacing w:val="-3"/>
        </w:rPr>
        <w:t>全人员应该知晓数据安全法律</w:t>
      </w:r>
      <w:r>
        <w:rPr>
          <w:rFonts w:ascii="SimSun" w:hAnsi="SimSun" w:eastAsia="SimSun" w:cs="SimSun"/>
          <w:sz w:val="22"/>
          <w:szCs w:val="22"/>
        </w:rPr>
        <w:t xml:space="preserve"> </w:t>
      </w:r>
      <w:r>
        <w:rPr>
          <w:rFonts w:ascii="SimSun" w:hAnsi="SimSun" w:eastAsia="SimSun" w:cs="SimSun"/>
          <w:sz w:val="22"/>
          <w:szCs w:val="22"/>
          <w:spacing w:val="-2"/>
        </w:rPr>
        <w:t>法规，这样他们才可以把预期的责任告知管理层等利益相关者，同时指</w:t>
      </w:r>
      <w:r>
        <w:rPr>
          <w:rFonts w:ascii="SimSun" w:hAnsi="SimSun" w:eastAsia="SimSun" w:cs="SimSun"/>
          <w:sz w:val="22"/>
          <w:szCs w:val="22"/>
          <w:spacing w:val="-3"/>
        </w:rPr>
        <w:t>导自己的</w:t>
      </w:r>
      <w:r>
        <w:rPr>
          <w:rFonts w:ascii="SimSun" w:hAnsi="SimSun" w:eastAsia="SimSun" w:cs="SimSun"/>
          <w:sz w:val="22"/>
          <w:szCs w:val="22"/>
        </w:rPr>
        <w:t xml:space="preserve"> </w:t>
      </w:r>
      <w:r>
        <w:rPr>
          <w:rFonts w:ascii="SimSun" w:hAnsi="SimSun" w:eastAsia="SimSun" w:cs="SimSun"/>
          <w:sz w:val="22"/>
          <w:szCs w:val="22"/>
          <w:spacing w:val="-10"/>
        </w:rPr>
        <w:t>工作。</w:t>
      </w:r>
    </w:p>
    <w:p>
      <w:pPr>
        <w:ind w:right="218" w:firstLine="470"/>
        <w:spacing w:before="58" w:line="249" w:lineRule="auto"/>
        <w:rPr>
          <w:rFonts w:ascii="SimSun" w:hAnsi="SimSun" w:eastAsia="SimSun" w:cs="SimSun"/>
          <w:sz w:val="22"/>
          <w:szCs w:val="22"/>
        </w:rPr>
      </w:pPr>
      <w:r>
        <w:rPr>
          <w:rFonts w:ascii="SimSun" w:hAnsi="SimSun" w:eastAsia="SimSun" w:cs="SimSun"/>
          <w:sz w:val="22"/>
          <w:szCs w:val="22"/>
          <w:spacing w:val="-8"/>
        </w:rPr>
        <w:t>数据安全与隐私保护不仅仅是一个业务问题，应该作为组</w:t>
      </w:r>
      <w:r>
        <w:rPr>
          <w:rFonts w:ascii="SimSun" w:hAnsi="SimSun" w:eastAsia="SimSun" w:cs="SimSun"/>
          <w:sz w:val="22"/>
          <w:szCs w:val="22"/>
          <w:spacing w:val="-9"/>
        </w:rPr>
        <w:t>织的一项责任和义务</w:t>
      </w:r>
      <w:r>
        <w:rPr>
          <w:rFonts w:ascii="SimSun" w:hAnsi="SimSun" w:eastAsia="SimSun" w:cs="SimSun"/>
          <w:sz w:val="22"/>
          <w:szCs w:val="22"/>
        </w:rPr>
        <w:t xml:space="preserve"> </w:t>
      </w:r>
      <w:r>
        <w:rPr>
          <w:rFonts w:ascii="SimSun" w:hAnsi="SimSun" w:eastAsia="SimSun" w:cs="SimSun"/>
          <w:sz w:val="22"/>
          <w:szCs w:val="22"/>
          <w:spacing w:val="-8"/>
        </w:rPr>
        <w:t>被正确对待。由于安全管理依赖于组织资源的投入</w:t>
      </w:r>
      <w:r>
        <w:rPr>
          <w:rFonts w:ascii="SimSun" w:hAnsi="SimSun" w:eastAsia="SimSun" w:cs="SimSun"/>
          <w:sz w:val="22"/>
          <w:szCs w:val="22"/>
          <w:spacing w:val="-9"/>
        </w:rPr>
        <w:t>，因此，安全必须被合理地融入</w:t>
      </w:r>
      <w:r>
        <w:rPr>
          <w:rFonts w:ascii="SimSun" w:hAnsi="SimSun" w:eastAsia="SimSun" w:cs="SimSun"/>
          <w:sz w:val="22"/>
          <w:szCs w:val="22"/>
        </w:rPr>
        <w:t xml:space="preserve"> </w:t>
      </w:r>
      <w:r>
        <w:rPr>
          <w:rFonts w:ascii="SimSun" w:hAnsi="SimSun" w:eastAsia="SimSun" w:cs="SimSun"/>
          <w:sz w:val="22"/>
          <w:szCs w:val="22"/>
          <w:spacing w:val="-8"/>
        </w:rPr>
        <w:t>组织的整体业务目标。实际中，有越来越多的组织因为没</w:t>
      </w:r>
      <w:r>
        <w:rPr>
          <w:rFonts w:ascii="SimSun" w:hAnsi="SimSun" w:eastAsia="SimSun" w:cs="SimSun"/>
          <w:sz w:val="22"/>
          <w:szCs w:val="22"/>
          <w:spacing w:val="-9"/>
        </w:rPr>
        <w:t>有对安全及隐私问题给予</w:t>
      </w:r>
      <w:r>
        <w:rPr>
          <w:rFonts w:ascii="SimSun" w:hAnsi="SimSun" w:eastAsia="SimSun" w:cs="SimSun"/>
          <w:sz w:val="22"/>
          <w:szCs w:val="22"/>
        </w:rPr>
        <w:t xml:space="preserve"> </w:t>
      </w:r>
      <w:r>
        <w:rPr>
          <w:rFonts w:ascii="SimSun" w:hAnsi="SimSun" w:eastAsia="SimSun" w:cs="SimSun"/>
          <w:sz w:val="22"/>
          <w:szCs w:val="22"/>
          <w:spacing w:val="-11"/>
        </w:rPr>
        <w:t>足够的重视、支持和投资而付出了惨痛代价。</w:t>
      </w:r>
    </w:p>
    <w:p>
      <w:pPr>
        <w:ind w:right="220" w:firstLine="470"/>
        <w:spacing w:before="62" w:line="250" w:lineRule="auto"/>
        <w:rPr>
          <w:rFonts w:ascii="SimSun" w:hAnsi="SimSun" w:eastAsia="SimSun" w:cs="SimSun"/>
          <w:sz w:val="22"/>
          <w:szCs w:val="22"/>
        </w:rPr>
      </w:pPr>
      <w:r>
        <w:rPr>
          <w:rFonts w:ascii="SimSun" w:hAnsi="SimSun" w:eastAsia="SimSun" w:cs="SimSun"/>
          <w:sz w:val="22"/>
          <w:szCs w:val="22"/>
          <w:spacing w:val="-8"/>
        </w:rPr>
        <w:t>隐私保护涉及的方面很多，如果组织想处理好隐私问</w:t>
      </w:r>
      <w:r>
        <w:rPr>
          <w:rFonts w:ascii="SimSun" w:hAnsi="SimSun" w:eastAsia="SimSun" w:cs="SimSun"/>
          <w:sz w:val="22"/>
          <w:szCs w:val="22"/>
          <w:spacing w:val="-9"/>
        </w:rPr>
        <w:t>题，应该清楚相关的法律</w:t>
      </w:r>
      <w:r>
        <w:rPr>
          <w:rFonts w:ascii="SimSun" w:hAnsi="SimSun" w:eastAsia="SimSun" w:cs="SimSun"/>
          <w:sz w:val="22"/>
          <w:szCs w:val="22"/>
        </w:rPr>
        <w:t xml:space="preserve"> </w:t>
      </w:r>
      <w:r>
        <w:rPr>
          <w:rFonts w:ascii="SimSun" w:hAnsi="SimSun" w:eastAsia="SimSun" w:cs="SimSun"/>
          <w:sz w:val="22"/>
          <w:szCs w:val="22"/>
          <w:spacing w:val="-5"/>
        </w:rPr>
        <w:t>法规，确认自己可以做什么不可以做什么,确保自己的行为是合法的。</w:t>
      </w:r>
      <w:r>
        <w:rPr>
          <w:rFonts w:ascii="SimSun" w:hAnsi="SimSun" w:eastAsia="SimSun" w:cs="SimSun"/>
          <w:sz w:val="22"/>
          <w:szCs w:val="22"/>
          <w:spacing w:val="-6"/>
        </w:rPr>
        <w:t>组织应告知</w:t>
      </w:r>
      <w:r>
        <w:rPr>
          <w:rFonts w:ascii="SimSun" w:hAnsi="SimSun" w:eastAsia="SimSun" w:cs="SimSun"/>
          <w:sz w:val="22"/>
          <w:szCs w:val="22"/>
        </w:rPr>
        <w:t xml:space="preserve"> </w:t>
      </w:r>
      <w:r>
        <w:rPr>
          <w:rFonts w:ascii="SimSun" w:hAnsi="SimSun" w:eastAsia="SimSun" w:cs="SimSun"/>
          <w:sz w:val="22"/>
          <w:szCs w:val="22"/>
          <w:spacing w:val="-8"/>
        </w:rPr>
        <w:t>员工什么行为是可接受的，可能会遭遇到什么样的监控，不满</w:t>
      </w:r>
      <w:r>
        <w:rPr>
          <w:rFonts w:ascii="SimSun" w:hAnsi="SimSun" w:eastAsia="SimSun" w:cs="SimSun"/>
          <w:sz w:val="22"/>
          <w:szCs w:val="22"/>
          <w:spacing w:val="-9"/>
        </w:rPr>
        <w:t>足这些要求可能会导</w:t>
      </w:r>
      <w:r>
        <w:rPr>
          <w:rFonts w:ascii="SimSun" w:hAnsi="SimSun" w:eastAsia="SimSun" w:cs="SimSun"/>
          <w:sz w:val="22"/>
          <w:szCs w:val="22"/>
        </w:rPr>
        <w:t xml:space="preserve"> </w:t>
      </w:r>
      <w:r>
        <w:rPr>
          <w:rFonts w:ascii="SimSun" w:hAnsi="SimSun" w:eastAsia="SimSun" w:cs="SimSun"/>
          <w:sz w:val="22"/>
          <w:szCs w:val="22"/>
          <w:spacing w:val="-10"/>
        </w:rPr>
        <w:t>致什么样的后果。组织应通过策略、标准和安全培训清楚说明这些问题。</w:t>
      </w:r>
    </w:p>
    <w:p>
      <w:pPr>
        <w:ind w:left="4"/>
        <w:spacing w:before="289" w:line="224" w:lineRule="auto"/>
        <w:outlineLvl w:val="3"/>
        <w:rPr>
          <w:rFonts w:ascii="YouYuan" w:hAnsi="YouYuan" w:eastAsia="YouYuan" w:cs="YouYuan"/>
          <w:sz w:val="29"/>
          <w:szCs w:val="29"/>
        </w:rPr>
      </w:pPr>
      <w:r>
        <w:rPr>
          <w:rFonts w:ascii="YouYuan" w:hAnsi="YouYuan" w:eastAsia="YouYuan" w:cs="YouYuan"/>
          <w:sz w:val="29"/>
          <w:szCs w:val="29"/>
          <w:b/>
          <w:bCs/>
          <w:spacing w:val="-5"/>
        </w:rPr>
        <w:t>9.1.2</w:t>
      </w:r>
      <w:r>
        <w:rPr>
          <w:rFonts w:ascii="YouYuan" w:hAnsi="YouYuan" w:eastAsia="YouYuan" w:cs="YouYuan"/>
          <w:sz w:val="29"/>
          <w:szCs w:val="29"/>
          <w:spacing w:val="-5"/>
        </w:rPr>
        <w:t xml:space="preserve">  </w:t>
      </w:r>
      <w:r>
        <w:rPr>
          <w:rFonts w:ascii="YouYuan" w:hAnsi="YouYuan" w:eastAsia="YouYuan" w:cs="YouYuan"/>
          <w:sz w:val="29"/>
          <w:szCs w:val="29"/>
          <w:b/>
          <w:bCs/>
          <w:spacing w:val="-5"/>
        </w:rPr>
        <w:t>内容与关联性</w:t>
      </w:r>
    </w:p>
    <w:p>
      <w:pPr>
        <w:pStyle w:val="BodyText"/>
        <w:spacing w:line="264" w:lineRule="auto"/>
        <w:rPr/>
      </w:pPr>
      <w:r/>
    </w:p>
    <w:p>
      <w:pPr>
        <w:ind w:right="215" w:firstLine="470"/>
        <w:spacing w:before="72" w:line="250" w:lineRule="auto"/>
        <w:jc w:val="both"/>
        <w:rPr>
          <w:rFonts w:ascii="SimSun" w:hAnsi="SimSun" w:eastAsia="SimSun" w:cs="SimSun"/>
          <w:sz w:val="22"/>
          <w:szCs w:val="22"/>
        </w:rPr>
      </w:pPr>
      <w:r>
        <w:rPr>
          <w:rFonts w:ascii="SimSun" w:hAnsi="SimSun" w:eastAsia="SimSun" w:cs="SimSun"/>
          <w:sz w:val="22"/>
          <w:szCs w:val="22"/>
          <w:spacing w:val="-8"/>
        </w:rPr>
        <w:t>数据安全管理的最终目标是在符合隐私保护及法规要求的前提下</w:t>
      </w:r>
      <w:r>
        <w:rPr>
          <w:rFonts w:ascii="SimSun" w:hAnsi="SimSun" w:eastAsia="SimSun" w:cs="SimSun"/>
          <w:sz w:val="22"/>
          <w:szCs w:val="22"/>
          <w:spacing w:val="-9"/>
        </w:rPr>
        <w:t>，满足业务需</w:t>
      </w:r>
      <w:r>
        <w:rPr>
          <w:rFonts w:ascii="SimSun" w:hAnsi="SimSun" w:eastAsia="SimSun" w:cs="SimSun"/>
          <w:sz w:val="22"/>
          <w:szCs w:val="22"/>
        </w:rPr>
        <w:t xml:space="preserve"> </w:t>
      </w:r>
      <w:r>
        <w:rPr>
          <w:rFonts w:ascii="SimSun" w:hAnsi="SimSun" w:eastAsia="SimSun" w:cs="SimSun"/>
          <w:sz w:val="22"/>
          <w:szCs w:val="22"/>
          <w:spacing w:val="-8"/>
        </w:rPr>
        <w:t>求。组织必须认识到客户、供应商、合作伙伴等利益相关者的隐</w:t>
      </w:r>
      <w:r>
        <w:rPr>
          <w:rFonts w:ascii="SimSun" w:hAnsi="SimSun" w:eastAsia="SimSun" w:cs="SimSun"/>
          <w:sz w:val="22"/>
          <w:szCs w:val="22"/>
          <w:spacing w:val="-9"/>
        </w:rPr>
        <w:t>私及保密需要，利</w:t>
      </w:r>
      <w:r>
        <w:rPr>
          <w:rFonts w:ascii="SimSun" w:hAnsi="SimSun" w:eastAsia="SimSun" w:cs="SimSun"/>
          <w:sz w:val="22"/>
          <w:szCs w:val="22"/>
        </w:rPr>
        <w:t xml:space="preserve"> </w:t>
      </w:r>
      <w:r>
        <w:rPr>
          <w:rFonts w:ascii="SimSun" w:hAnsi="SimSun" w:eastAsia="SimSun" w:cs="SimSun"/>
          <w:sz w:val="22"/>
          <w:szCs w:val="22"/>
          <w:spacing w:val="-8"/>
        </w:rPr>
        <w:t>益相关者是其数据的最终拥有者，组织是数据的托管人。政府会制订一</w:t>
      </w:r>
      <w:r>
        <w:rPr>
          <w:rFonts w:ascii="SimSun" w:hAnsi="SimSun" w:eastAsia="SimSun" w:cs="SimSun"/>
          <w:sz w:val="22"/>
          <w:szCs w:val="22"/>
          <w:spacing w:val="-9"/>
        </w:rPr>
        <w:t>些法规限制</w:t>
      </w:r>
      <w:r>
        <w:rPr>
          <w:rFonts w:ascii="SimSun" w:hAnsi="SimSun" w:eastAsia="SimSun" w:cs="SimSun"/>
          <w:sz w:val="22"/>
          <w:szCs w:val="22"/>
        </w:rPr>
        <w:t xml:space="preserve"> </w:t>
      </w:r>
      <w:r>
        <w:rPr>
          <w:rFonts w:ascii="SimSun" w:hAnsi="SimSun" w:eastAsia="SimSun" w:cs="SimSun"/>
          <w:sz w:val="22"/>
          <w:szCs w:val="22"/>
          <w:spacing w:val="-8"/>
        </w:rPr>
        <w:t>对相关信息的使用，以保护利益相关者的安全权益，同时明确组织的责任。</w:t>
      </w:r>
      <w:r>
        <w:rPr>
          <w:rFonts w:ascii="SimSun" w:hAnsi="SimSun" w:eastAsia="SimSun" w:cs="SimSun"/>
          <w:sz w:val="22"/>
          <w:szCs w:val="22"/>
          <w:spacing w:val="-9"/>
        </w:rPr>
        <w:t>数据安</w:t>
      </w:r>
    </w:p>
    <w:p>
      <w:pPr>
        <w:spacing w:line="250" w:lineRule="auto"/>
        <w:sectPr>
          <w:footerReference w:type="default" r:id="rId410"/>
          <w:pgSz w:w="8870" w:h="13400"/>
          <w:pgMar w:top="400" w:right="691" w:bottom="585" w:left="289" w:header="0" w:footer="366" w:gutter="0"/>
        </w:sectPr>
        <w:rPr>
          <w:rFonts w:ascii="SimSun" w:hAnsi="SimSun" w:eastAsia="SimSun" w:cs="SimSun"/>
          <w:sz w:val="22"/>
          <w:szCs w:val="22"/>
        </w:rPr>
      </w:pPr>
    </w:p>
    <w:p>
      <w:pPr>
        <w:ind w:left="233"/>
        <w:spacing w:before="256" w:line="219" w:lineRule="auto"/>
        <w:rPr>
          <w:rFonts w:ascii="SimSun" w:hAnsi="SimSun" w:eastAsia="SimSun" w:cs="SimSun"/>
          <w:sz w:val="22"/>
          <w:szCs w:val="22"/>
        </w:rPr>
      </w:pPr>
      <w:r>
        <w:pict>
          <v:rect id="_x0000_s460" style="position:absolute;margin-left:33.502pt;margin-top:28.9976pt;mso-position-vertical-relative:page;mso-position-horizontal-relative:page;width:0.5pt;height:18.05pt;z-index:257220608;" o:allowincell="f" fillcolor="#000000" filled="true" stroked="false"/>
        </w:pict>
      </w:r>
      <w:r>
        <w:rPr>
          <w:rFonts w:ascii="SimSun" w:hAnsi="SimSun" w:eastAsia="SimSun" w:cs="SimSun"/>
          <w:sz w:val="22"/>
          <w:szCs w:val="22"/>
          <w:b/>
          <w:bCs/>
          <w:spacing w:val="-15"/>
        </w:rPr>
        <w:t>■云端数据治理</w:t>
      </w:r>
    </w:p>
    <w:p>
      <w:pPr>
        <w:ind w:left="229"/>
        <w:spacing w:before="312" w:line="219" w:lineRule="auto"/>
        <w:rPr>
          <w:rFonts w:ascii="SimSun" w:hAnsi="SimSun" w:eastAsia="SimSun" w:cs="SimSun"/>
          <w:sz w:val="22"/>
          <w:szCs w:val="22"/>
        </w:rPr>
      </w:pPr>
      <w:r>
        <w:rPr>
          <w:rFonts w:ascii="SimSun" w:hAnsi="SimSun" w:eastAsia="SimSun" w:cs="SimSun"/>
          <w:sz w:val="22"/>
          <w:szCs w:val="22"/>
          <w:spacing w:val="-15"/>
        </w:rPr>
        <w:t>全管理的主要活动如下：</w:t>
      </w:r>
    </w:p>
    <w:p>
      <w:pPr>
        <w:ind w:left="700"/>
        <w:spacing w:before="39" w:line="219" w:lineRule="auto"/>
        <w:rPr>
          <w:rFonts w:ascii="SimSun" w:hAnsi="SimSun" w:eastAsia="SimSun" w:cs="SimSun"/>
          <w:sz w:val="22"/>
          <w:szCs w:val="22"/>
        </w:rPr>
      </w:pPr>
      <w:r>
        <w:rPr>
          <w:rFonts w:ascii="SimSun" w:hAnsi="SimSun" w:eastAsia="SimSun" w:cs="SimSun"/>
          <w:sz w:val="22"/>
          <w:szCs w:val="22"/>
          <w:spacing w:val="-3"/>
        </w:rPr>
        <w:t>(1)理解数据安全需求和监管要求</w:t>
      </w:r>
    </w:p>
    <w:p>
      <w:pPr>
        <w:ind w:left="229" w:right="100" w:firstLine="470"/>
        <w:spacing w:before="48" w:line="247" w:lineRule="auto"/>
        <w:rPr>
          <w:rFonts w:ascii="SimSun" w:hAnsi="SimSun" w:eastAsia="SimSun" w:cs="SimSun"/>
          <w:sz w:val="22"/>
          <w:szCs w:val="22"/>
        </w:rPr>
      </w:pPr>
      <w:r>
        <w:rPr>
          <w:rFonts w:ascii="SimSun" w:hAnsi="SimSun" w:eastAsia="SimSun" w:cs="SimSun"/>
          <w:sz w:val="22"/>
          <w:szCs w:val="22"/>
          <w:spacing w:val="-2"/>
        </w:rPr>
        <w:t>实现组织内部数据安全应对业务要求和需求进行透彻的了解，并在系统开发</w:t>
      </w:r>
      <w:r>
        <w:rPr>
          <w:rFonts w:ascii="SimSun" w:hAnsi="SimSun" w:eastAsia="SimSun" w:cs="SimSun"/>
          <w:sz w:val="22"/>
          <w:szCs w:val="22"/>
          <w:spacing w:val="14"/>
        </w:rPr>
        <w:t xml:space="preserve"> </w:t>
      </w:r>
      <w:r>
        <w:rPr>
          <w:rFonts w:ascii="SimSun" w:hAnsi="SimSun" w:eastAsia="SimSun" w:cs="SimSun"/>
          <w:sz w:val="22"/>
          <w:szCs w:val="22"/>
          <w:spacing w:val="-2"/>
        </w:rPr>
        <w:t>项目的分析阶段就识别具体的应用安全要求。识别并整理出主要的隐私和安全法</w:t>
      </w:r>
      <w:r>
        <w:rPr>
          <w:rFonts w:ascii="SimSun" w:hAnsi="SimSun" w:eastAsia="SimSun" w:cs="SimSun"/>
          <w:sz w:val="22"/>
          <w:szCs w:val="22"/>
          <w:spacing w:val="6"/>
        </w:rPr>
        <w:t xml:space="preserve"> </w:t>
      </w:r>
      <w:r>
        <w:rPr>
          <w:rFonts w:ascii="SimSun" w:hAnsi="SimSun" w:eastAsia="SimSun" w:cs="SimSun"/>
          <w:sz w:val="22"/>
          <w:szCs w:val="22"/>
          <w:spacing w:val="-4"/>
        </w:rPr>
        <w:t>规清单。</w:t>
      </w:r>
    </w:p>
    <w:p>
      <w:pPr>
        <w:ind w:left="700"/>
        <w:spacing w:before="67" w:line="219" w:lineRule="auto"/>
        <w:rPr>
          <w:rFonts w:ascii="SimSun" w:hAnsi="SimSun" w:eastAsia="SimSun" w:cs="SimSun"/>
          <w:sz w:val="22"/>
          <w:szCs w:val="22"/>
        </w:rPr>
      </w:pPr>
      <w:r>
        <w:rPr>
          <w:rFonts w:ascii="SimSun" w:hAnsi="SimSun" w:eastAsia="SimSun" w:cs="SimSun"/>
          <w:sz w:val="22"/>
          <w:szCs w:val="22"/>
          <w:spacing w:val="-1"/>
        </w:rPr>
        <w:t>(2)定义数据安全策略</w:t>
      </w:r>
    </w:p>
    <w:p>
      <w:pPr>
        <w:ind w:left="229" w:right="70" w:firstLine="470"/>
        <w:spacing w:before="37" w:line="248" w:lineRule="auto"/>
        <w:rPr>
          <w:rFonts w:ascii="SimSun" w:hAnsi="SimSun" w:eastAsia="SimSun" w:cs="SimSun"/>
          <w:sz w:val="22"/>
          <w:szCs w:val="22"/>
        </w:rPr>
      </w:pPr>
      <w:r>
        <w:rPr>
          <w:rFonts w:ascii="SimSun" w:hAnsi="SimSun" w:eastAsia="SimSun" w:cs="SimSun"/>
          <w:sz w:val="22"/>
          <w:szCs w:val="22"/>
          <w:spacing w:val="-7"/>
        </w:rPr>
        <w:t>组织的安全管理人员在法律部门的协助下，基于数据安全要求定义数</w:t>
      </w:r>
      <w:r>
        <w:rPr>
          <w:rFonts w:ascii="SimSun" w:hAnsi="SimSun" w:eastAsia="SimSun" w:cs="SimSun"/>
          <w:sz w:val="22"/>
          <w:szCs w:val="22"/>
          <w:spacing w:val="-8"/>
        </w:rPr>
        <w:t>据安全策</w:t>
      </w:r>
      <w:r>
        <w:rPr>
          <w:rFonts w:ascii="SimSun" w:hAnsi="SimSun" w:eastAsia="SimSun" w:cs="SimSun"/>
          <w:sz w:val="22"/>
          <w:szCs w:val="22"/>
        </w:rPr>
        <w:t xml:space="preserve"> </w:t>
      </w:r>
      <w:r>
        <w:rPr>
          <w:rFonts w:ascii="SimSun" w:hAnsi="SimSun" w:eastAsia="SimSun" w:cs="SimSun"/>
          <w:sz w:val="22"/>
          <w:szCs w:val="22"/>
          <w:spacing w:val="-8"/>
        </w:rPr>
        <w:t>略。作为</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IT </w:t>
      </w:r>
      <w:r>
        <w:rPr>
          <w:rFonts w:ascii="SimSun" w:hAnsi="SimSun" w:eastAsia="SimSun" w:cs="SimSun"/>
          <w:sz w:val="22"/>
          <w:szCs w:val="22"/>
          <w:spacing w:val="-8"/>
        </w:rPr>
        <w:t>安全策略的一部分，数据安全策</w:t>
      </w:r>
      <w:r>
        <w:rPr>
          <w:rFonts w:ascii="SimSun" w:hAnsi="SimSun" w:eastAsia="SimSun" w:cs="SimSun"/>
          <w:sz w:val="22"/>
          <w:szCs w:val="22"/>
          <w:spacing w:val="-9"/>
        </w:rPr>
        <w:t>略应以数据为中心，且更为精细。</w:t>
      </w:r>
    </w:p>
    <w:p>
      <w:pPr>
        <w:ind w:left="700"/>
        <w:spacing w:before="40" w:line="219" w:lineRule="auto"/>
        <w:rPr>
          <w:rFonts w:ascii="SimSun" w:hAnsi="SimSun" w:eastAsia="SimSun" w:cs="SimSun"/>
          <w:sz w:val="22"/>
          <w:szCs w:val="22"/>
        </w:rPr>
      </w:pPr>
      <w:r>
        <w:rPr>
          <w:rFonts w:ascii="SimSun" w:hAnsi="SimSun" w:eastAsia="SimSun" w:cs="SimSun"/>
          <w:sz w:val="22"/>
          <w:szCs w:val="22"/>
          <w:spacing w:val="-1"/>
        </w:rPr>
        <w:t>(3)定义数据安全标准</w:t>
      </w:r>
    </w:p>
    <w:p>
      <w:pPr>
        <w:ind w:left="229" w:right="69" w:firstLine="470"/>
        <w:spacing w:before="58" w:line="230" w:lineRule="auto"/>
        <w:rPr>
          <w:rFonts w:ascii="SimSun" w:hAnsi="SimSun" w:eastAsia="SimSun" w:cs="SimSun"/>
          <w:sz w:val="22"/>
          <w:szCs w:val="22"/>
        </w:rPr>
      </w:pPr>
      <w:r>
        <w:rPr>
          <w:rFonts w:ascii="SimSun" w:hAnsi="SimSun" w:eastAsia="SimSun" w:cs="SimSun"/>
          <w:sz w:val="22"/>
          <w:szCs w:val="22"/>
          <w:spacing w:val="-7"/>
        </w:rPr>
        <w:t>定义数据加密标准和机制、互联网数据传输协议、远程访问标准、安全</w:t>
      </w:r>
      <w:r>
        <w:rPr>
          <w:rFonts w:ascii="SimSun" w:hAnsi="SimSun" w:eastAsia="SimSun" w:cs="SimSun"/>
          <w:sz w:val="22"/>
          <w:szCs w:val="22"/>
          <w:spacing w:val="-8"/>
        </w:rPr>
        <w:t>事故报</w:t>
      </w:r>
      <w:r>
        <w:rPr>
          <w:rFonts w:ascii="SimSun" w:hAnsi="SimSun" w:eastAsia="SimSun" w:cs="SimSun"/>
          <w:sz w:val="22"/>
          <w:szCs w:val="22"/>
        </w:rPr>
        <w:t xml:space="preserve"> </w:t>
      </w:r>
      <w:r>
        <w:rPr>
          <w:rFonts w:ascii="SimSun" w:hAnsi="SimSun" w:eastAsia="SimSun" w:cs="SimSun"/>
          <w:sz w:val="22"/>
          <w:szCs w:val="22"/>
          <w:spacing w:val="-13"/>
        </w:rPr>
        <w:t>告规程等数据安全标准。</w:t>
      </w:r>
    </w:p>
    <w:p>
      <w:pPr>
        <w:ind w:left="700"/>
        <w:spacing w:before="61" w:line="219" w:lineRule="auto"/>
        <w:rPr>
          <w:rFonts w:ascii="SimSun" w:hAnsi="SimSun" w:eastAsia="SimSun" w:cs="SimSun"/>
          <w:sz w:val="22"/>
          <w:szCs w:val="22"/>
        </w:rPr>
      </w:pPr>
      <w:r>
        <w:rPr>
          <w:rFonts w:ascii="SimSun" w:hAnsi="SimSun" w:eastAsia="SimSun" w:cs="SimSun"/>
          <w:sz w:val="22"/>
          <w:szCs w:val="22"/>
          <w:spacing w:val="-4"/>
        </w:rPr>
        <w:t>(4)定义数据安全控制机措施</w:t>
      </w:r>
    </w:p>
    <w:p>
      <w:pPr>
        <w:ind w:left="229" w:right="93" w:firstLine="470"/>
        <w:spacing w:before="51" w:line="245" w:lineRule="auto"/>
        <w:rPr>
          <w:rFonts w:ascii="SimSun" w:hAnsi="SimSun" w:eastAsia="SimSun" w:cs="SimSun"/>
          <w:sz w:val="22"/>
          <w:szCs w:val="22"/>
        </w:rPr>
      </w:pPr>
      <w:r>
        <w:rPr>
          <w:rFonts w:ascii="SimSun" w:hAnsi="SimSun" w:eastAsia="SimSun" w:cs="SimSun"/>
          <w:sz w:val="22"/>
          <w:szCs w:val="22"/>
          <w:spacing w:val="-8"/>
        </w:rPr>
        <w:t>设计组织自己的认证、授权、访问、审计等安全控制措施，以满足相关法律的</w:t>
      </w:r>
      <w:r>
        <w:rPr>
          <w:rFonts w:ascii="SimSun" w:hAnsi="SimSun" w:eastAsia="SimSun" w:cs="SimSun"/>
          <w:sz w:val="22"/>
          <w:szCs w:val="22"/>
          <w:spacing w:val="7"/>
        </w:rPr>
        <w:t xml:space="preserve"> </w:t>
      </w:r>
      <w:r>
        <w:rPr>
          <w:rFonts w:ascii="SimSun" w:hAnsi="SimSun" w:eastAsia="SimSun" w:cs="SimSun"/>
          <w:sz w:val="22"/>
          <w:szCs w:val="22"/>
          <w:spacing w:val="-10"/>
        </w:rPr>
        <w:t>要求。</w:t>
      </w:r>
    </w:p>
    <w:p>
      <w:pPr>
        <w:ind w:left="700"/>
        <w:spacing w:before="46" w:line="219" w:lineRule="auto"/>
        <w:rPr>
          <w:rFonts w:ascii="SimSun" w:hAnsi="SimSun" w:eastAsia="SimSun" w:cs="SimSun"/>
          <w:sz w:val="22"/>
          <w:szCs w:val="22"/>
        </w:rPr>
      </w:pPr>
      <w:r>
        <w:rPr>
          <w:rFonts w:ascii="SimSun" w:hAnsi="SimSun" w:eastAsia="SimSun" w:cs="SimSun"/>
          <w:sz w:val="22"/>
          <w:szCs w:val="22"/>
          <w:spacing w:val="-3"/>
        </w:rPr>
        <w:t>(5)管理用户、密码和用户组成员</w:t>
      </w:r>
    </w:p>
    <w:p>
      <w:pPr>
        <w:ind w:left="229" w:right="119" w:firstLine="470"/>
        <w:spacing w:before="57" w:line="247" w:lineRule="auto"/>
        <w:rPr>
          <w:rFonts w:ascii="SimSun" w:hAnsi="SimSun" w:eastAsia="SimSun" w:cs="SimSun"/>
          <w:sz w:val="22"/>
          <w:szCs w:val="22"/>
        </w:rPr>
      </w:pPr>
      <w:r>
        <w:rPr>
          <w:rFonts w:ascii="SimSun" w:hAnsi="SimSun" w:eastAsia="SimSun" w:cs="SimSun"/>
          <w:sz w:val="22"/>
          <w:szCs w:val="22"/>
          <w:spacing w:val="-2"/>
        </w:rPr>
        <w:t>由安全管理员创建、修改和删除用户帐户和用户组，并设立审批</w:t>
      </w:r>
      <w:r>
        <w:rPr>
          <w:rFonts w:ascii="SimSun" w:hAnsi="SimSun" w:eastAsia="SimSun" w:cs="SimSun"/>
          <w:sz w:val="22"/>
          <w:szCs w:val="22"/>
          <w:spacing w:val="-3"/>
        </w:rPr>
        <w:t>机制对用户</w:t>
      </w:r>
      <w:r>
        <w:rPr>
          <w:rFonts w:ascii="SimSun" w:hAnsi="SimSun" w:eastAsia="SimSun" w:cs="SimSun"/>
          <w:sz w:val="22"/>
          <w:szCs w:val="22"/>
        </w:rPr>
        <w:t xml:space="preserve"> </w:t>
      </w:r>
      <w:r>
        <w:rPr>
          <w:rFonts w:ascii="SimSun" w:hAnsi="SimSun" w:eastAsia="SimSun" w:cs="SimSun"/>
          <w:sz w:val="22"/>
          <w:szCs w:val="22"/>
          <w:spacing w:val="-2"/>
        </w:rPr>
        <w:t>权限变更进行审批。在异构环境下，建议集中管理用户身份数据，以确保数据的</w:t>
      </w:r>
      <w:r>
        <w:rPr>
          <w:rFonts w:ascii="SimSun" w:hAnsi="SimSun" w:eastAsia="SimSun" w:cs="SimSun"/>
          <w:sz w:val="22"/>
          <w:szCs w:val="22"/>
          <w:spacing w:val="16"/>
        </w:rPr>
        <w:t xml:space="preserve"> </w:t>
      </w:r>
      <w:r>
        <w:rPr>
          <w:rFonts w:ascii="SimSun" w:hAnsi="SimSun" w:eastAsia="SimSun" w:cs="SimSun"/>
          <w:sz w:val="22"/>
          <w:szCs w:val="22"/>
          <w:spacing w:val="-8"/>
        </w:rPr>
        <w:t>完整性。</w:t>
      </w:r>
    </w:p>
    <w:p>
      <w:pPr>
        <w:ind w:left="700"/>
        <w:spacing w:before="49" w:line="219" w:lineRule="auto"/>
        <w:rPr>
          <w:rFonts w:ascii="SimSun" w:hAnsi="SimSun" w:eastAsia="SimSun" w:cs="SimSun"/>
          <w:sz w:val="22"/>
          <w:szCs w:val="22"/>
        </w:rPr>
      </w:pPr>
      <w:r>
        <w:rPr>
          <w:rFonts w:ascii="SimSun" w:hAnsi="SimSun" w:eastAsia="SimSun" w:cs="SimSun"/>
          <w:sz w:val="22"/>
          <w:szCs w:val="22"/>
          <w:spacing w:val="-4"/>
        </w:rPr>
        <w:t>(6)管理数据访问视图和权限</w:t>
      </w:r>
    </w:p>
    <w:p>
      <w:pPr>
        <w:ind w:left="229" w:firstLine="470"/>
        <w:spacing w:before="38" w:line="244" w:lineRule="auto"/>
        <w:rPr>
          <w:rFonts w:ascii="SimSun" w:hAnsi="SimSun" w:eastAsia="SimSun" w:cs="SimSun"/>
          <w:sz w:val="22"/>
          <w:szCs w:val="22"/>
        </w:rPr>
      </w:pPr>
      <w:r>
        <w:rPr>
          <w:rFonts w:ascii="SimSun" w:hAnsi="SimSun" w:eastAsia="SimSun" w:cs="SimSun"/>
          <w:sz w:val="22"/>
          <w:szCs w:val="22"/>
          <w:spacing w:val="-11"/>
        </w:rPr>
        <w:t>通过授予权限控制用户对敏感数据的访问，没有权限的用户无法</w:t>
      </w:r>
      <w:r>
        <w:rPr>
          <w:rFonts w:ascii="SimSun" w:hAnsi="SimSun" w:eastAsia="SimSun" w:cs="SimSun"/>
          <w:sz w:val="22"/>
          <w:szCs w:val="22"/>
          <w:spacing w:val="-12"/>
        </w:rPr>
        <w:t>执行任何操作，</w:t>
      </w:r>
      <w:r>
        <w:rPr>
          <w:rFonts w:ascii="SimSun" w:hAnsi="SimSun" w:eastAsia="SimSun" w:cs="SimSun"/>
          <w:sz w:val="22"/>
          <w:szCs w:val="22"/>
        </w:rPr>
        <w:t xml:space="preserve"> </w:t>
      </w:r>
      <w:r>
        <w:rPr>
          <w:rFonts w:ascii="SimSun" w:hAnsi="SimSun" w:eastAsia="SimSun" w:cs="SimSun"/>
          <w:sz w:val="22"/>
          <w:szCs w:val="22"/>
          <w:spacing w:val="-14"/>
        </w:rPr>
        <w:t>以防止不适当的数据访问。</w:t>
      </w:r>
    </w:p>
    <w:p>
      <w:pPr>
        <w:ind w:left="700"/>
        <w:spacing w:before="49" w:line="219" w:lineRule="auto"/>
        <w:rPr>
          <w:rFonts w:ascii="SimSun" w:hAnsi="SimSun" w:eastAsia="SimSun" w:cs="SimSun"/>
          <w:sz w:val="22"/>
          <w:szCs w:val="22"/>
        </w:rPr>
      </w:pPr>
      <w:r>
        <w:rPr>
          <w:rFonts w:ascii="SimSun" w:hAnsi="SimSun" w:eastAsia="SimSun" w:cs="SimSun"/>
          <w:sz w:val="22"/>
          <w:szCs w:val="22"/>
          <w:spacing w:val="-3"/>
        </w:rPr>
        <w:t>(7)监控用户身份认证和访问行为</w:t>
      </w:r>
    </w:p>
    <w:p>
      <w:pPr>
        <w:ind w:left="700"/>
        <w:spacing w:before="59" w:line="219" w:lineRule="auto"/>
        <w:rPr>
          <w:rFonts w:ascii="SimSun" w:hAnsi="SimSun" w:eastAsia="SimSun" w:cs="SimSun"/>
          <w:sz w:val="22"/>
          <w:szCs w:val="22"/>
        </w:rPr>
      </w:pPr>
      <w:r>
        <w:rPr>
          <w:rFonts w:ascii="SimSun" w:hAnsi="SimSun" w:eastAsia="SimSun" w:cs="SimSun"/>
          <w:sz w:val="22"/>
          <w:szCs w:val="22"/>
          <w:spacing w:val="-10"/>
        </w:rPr>
        <w:t>通过主动或被动方式监控用户认证和访问行为，以检测异常或可疑的交易。</w:t>
      </w:r>
    </w:p>
    <w:p>
      <w:pPr>
        <w:ind w:left="700"/>
        <w:spacing w:before="49" w:line="219" w:lineRule="auto"/>
        <w:rPr>
          <w:rFonts w:ascii="SimSun" w:hAnsi="SimSun" w:eastAsia="SimSun" w:cs="SimSun"/>
          <w:sz w:val="22"/>
          <w:szCs w:val="22"/>
        </w:rPr>
      </w:pPr>
      <w:r>
        <w:rPr>
          <w:rFonts w:ascii="SimSun" w:hAnsi="SimSun" w:eastAsia="SimSun" w:cs="SimSun"/>
          <w:sz w:val="22"/>
          <w:szCs w:val="22"/>
          <w:spacing w:val="2"/>
        </w:rPr>
        <w:t>(8)划分信息密级</w:t>
      </w:r>
    </w:p>
    <w:p>
      <w:pPr>
        <w:ind w:left="229" w:right="96" w:firstLine="470"/>
        <w:spacing w:before="60" w:line="238" w:lineRule="auto"/>
        <w:rPr>
          <w:rFonts w:ascii="SimSun" w:hAnsi="SimSun" w:eastAsia="SimSun" w:cs="SimSun"/>
          <w:sz w:val="22"/>
          <w:szCs w:val="22"/>
        </w:rPr>
      </w:pPr>
      <w:r>
        <w:rPr>
          <w:rFonts w:ascii="SimSun" w:hAnsi="SimSun" w:eastAsia="SimSun" w:cs="SimSun"/>
          <w:sz w:val="22"/>
          <w:szCs w:val="22"/>
          <w:spacing w:val="-8"/>
        </w:rPr>
        <w:t>按密级分类模型，对组织数据和信息产品进行分类。安全管理员应负责数据密</w:t>
      </w:r>
      <w:r>
        <w:rPr>
          <w:rFonts w:ascii="SimSun" w:hAnsi="SimSun" w:eastAsia="SimSun" w:cs="SimSun"/>
          <w:sz w:val="22"/>
          <w:szCs w:val="22"/>
          <w:spacing w:val="4"/>
        </w:rPr>
        <w:t xml:space="preserve"> </w:t>
      </w:r>
      <w:r>
        <w:rPr>
          <w:rFonts w:ascii="SimSun" w:hAnsi="SimSun" w:eastAsia="SimSun" w:cs="SimSun"/>
          <w:sz w:val="22"/>
          <w:szCs w:val="22"/>
          <w:spacing w:val="-10"/>
        </w:rPr>
        <w:t>级的评估和确定工作。</w:t>
      </w:r>
    </w:p>
    <w:p>
      <w:pPr>
        <w:ind w:left="700"/>
        <w:spacing w:before="52" w:line="219" w:lineRule="auto"/>
        <w:rPr>
          <w:rFonts w:ascii="SimSun" w:hAnsi="SimSun" w:eastAsia="SimSun" w:cs="SimSun"/>
          <w:sz w:val="22"/>
          <w:szCs w:val="22"/>
        </w:rPr>
      </w:pPr>
      <w:r>
        <w:rPr>
          <w:rFonts w:ascii="SimSun" w:hAnsi="SimSun" w:eastAsia="SimSun" w:cs="SimSun"/>
          <w:sz w:val="22"/>
          <w:szCs w:val="22"/>
          <w:spacing w:val="2"/>
        </w:rPr>
        <w:t>(9)审计数据安全</w:t>
      </w:r>
    </w:p>
    <w:p>
      <w:pPr>
        <w:ind w:left="229" w:right="70" w:firstLine="470"/>
        <w:spacing w:before="49" w:line="236" w:lineRule="auto"/>
        <w:rPr>
          <w:rFonts w:ascii="SimSun" w:hAnsi="SimSun" w:eastAsia="SimSun" w:cs="SimSun"/>
          <w:sz w:val="22"/>
          <w:szCs w:val="22"/>
        </w:rPr>
      </w:pPr>
      <w:r>
        <w:rPr>
          <w:rFonts w:ascii="SimSun" w:hAnsi="SimSun" w:eastAsia="SimSun" w:cs="SimSun"/>
          <w:sz w:val="22"/>
          <w:szCs w:val="22"/>
          <w:spacing w:val="-7"/>
        </w:rPr>
        <w:t>数据安全审计工作是无可代替的工作，应规律、高效地持续执行数据</w:t>
      </w:r>
      <w:r>
        <w:rPr>
          <w:rFonts w:ascii="SimSun" w:hAnsi="SimSun" w:eastAsia="SimSun" w:cs="SimSun"/>
          <w:sz w:val="22"/>
          <w:szCs w:val="22"/>
          <w:spacing w:val="-8"/>
        </w:rPr>
        <w:t>安全审计</w:t>
      </w:r>
      <w:r>
        <w:rPr>
          <w:rFonts w:ascii="SimSun" w:hAnsi="SimSun" w:eastAsia="SimSun" w:cs="SimSun"/>
          <w:sz w:val="22"/>
          <w:szCs w:val="22"/>
        </w:rPr>
        <w:t xml:space="preserve"> </w:t>
      </w:r>
      <w:r>
        <w:rPr>
          <w:rFonts w:ascii="SimSun" w:hAnsi="SimSun" w:eastAsia="SimSun" w:cs="SimSun"/>
          <w:sz w:val="22"/>
          <w:szCs w:val="22"/>
          <w:spacing w:val="-10"/>
        </w:rPr>
        <w:t>工作。</w:t>
      </w:r>
    </w:p>
    <w:p>
      <w:pPr>
        <w:ind w:left="229" w:right="101" w:firstLine="470"/>
        <w:spacing w:before="45" w:line="250" w:lineRule="auto"/>
        <w:rPr>
          <w:rFonts w:ascii="SimSun" w:hAnsi="SimSun" w:eastAsia="SimSun" w:cs="SimSun"/>
          <w:sz w:val="22"/>
          <w:szCs w:val="22"/>
        </w:rPr>
      </w:pPr>
      <w:r>
        <w:rPr>
          <w:rFonts w:ascii="SimSun" w:hAnsi="SimSun" w:eastAsia="SimSun" w:cs="SimSun"/>
          <w:sz w:val="22"/>
          <w:szCs w:val="22"/>
          <w:spacing w:val="-8"/>
        </w:rPr>
        <w:t>风险管理过程域帮助组织识别云端数据面临的威胁，采取措施应对威胁，并持</w:t>
      </w:r>
      <w:r>
        <w:rPr>
          <w:rFonts w:ascii="SimSun" w:hAnsi="SimSun" w:eastAsia="SimSun" w:cs="SimSun"/>
          <w:sz w:val="22"/>
          <w:szCs w:val="22"/>
        </w:rPr>
        <w:t xml:space="preserve"> </w:t>
      </w:r>
      <w:r>
        <w:rPr>
          <w:rFonts w:ascii="SimSun" w:hAnsi="SimSun" w:eastAsia="SimSun" w:cs="SimSun"/>
          <w:sz w:val="22"/>
          <w:szCs w:val="22"/>
          <w:spacing w:val="-8"/>
        </w:rPr>
        <w:t>续监控以确保风险级别处于可接受的级别。数据安全过程域强调通过访问控制、加</w:t>
      </w:r>
      <w:r>
        <w:rPr>
          <w:rFonts w:ascii="SimSun" w:hAnsi="SimSun" w:eastAsia="SimSun" w:cs="SimSun"/>
          <w:sz w:val="22"/>
          <w:szCs w:val="22"/>
          <w:spacing w:val="13"/>
        </w:rPr>
        <w:t xml:space="preserve"> </w:t>
      </w:r>
      <w:r>
        <w:rPr>
          <w:rFonts w:ascii="SimSun" w:hAnsi="SimSun" w:eastAsia="SimSun" w:cs="SimSun"/>
          <w:sz w:val="22"/>
          <w:szCs w:val="22"/>
          <w:spacing w:val="-8"/>
        </w:rPr>
        <w:t>密技术等手段保护云端数据的安全，确保合适的人以</w:t>
      </w:r>
      <w:r>
        <w:rPr>
          <w:rFonts w:ascii="SimSun" w:hAnsi="SimSun" w:eastAsia="SimSun" w:cs="SimSun"/>
          <w:sz w:val="22"/>
          <w:szCs w:val="22"/>
          <w:spacing w:val="-9"/>
        </w:rPr>
        <w:t>正确的方式使用和更新数据，</w:t>
      </w:r>
      <w:r>
        <w:rPr>
          <w:rFonts w:ascii="SimSun" w:hAnsi="SimSun" w:eastAsia="SimSun" w:cs="SimSun"/>
          <w:sz w:val="22"/>
          <w:szCs w:val="22"/>
        </w:rPr>
        <w:t xml:space="preserve"> </w:t>
      </w:r>
      <w:r>
        <w:rPr>
          <w:rFonts w:ascii="SimSun" w:hAnsi="SimSun" w:eastAsia="SimSun" w:cs="SimSun"/>
          <w:sz w:val="22"/>
          <w:szCs w:val="22"/>
          <w:spacing w:val="-9"/>
        </w:rPr>
        <w:t>并限制所有不恰当的使用和更新数据。隐私保护过程域论述了通</w:t>
      </w:r>
      <w:r>
        <w:rPr>
          <w:rFonts w:ascii="SimSun" w:hAnsi="SimSun" w:eastAsia="SimSun" w:cs="SimSun"/>
          <w:sz w:val="22"/>
          <w:szCs w:val="22"/>
          <w:spacing w:val="-10"/>
        </w:rPr>
        <w:t>过识别政策法规，</w:t>
      </w:r>
    </w:p>
    <w:p>
      <w:pPr>
        <w:ind w:left="229" w:right="139"/>
        <w:spacing w:before="51" w:line="239" w:lineRule="auto"/>
        <w:rPr>
          <w:rFonts w:ascii="SimSun" w:hAnsi="SimSun" w:eastAsia="SimSun" w:cs="SimSun"/>
          <w:sz w:val="22"/>
          <w:szCs w:val="22"/>
        </w:rPr>
      </w:pPr>
      <w:r>
        <w:rPr>
          <w:rFonts w:ascii="SimSun" w:hAnsi="SimSun" w:eastAsia="SimSun" w:cs="SimSun"/>
          <w:sz w:val="22"/>
          <w:szCs w:val="22"/>
          <w:spacing w:val="-8"/>
        </w:rPr>
        <w:t>落实技术手段，以确保云端隐私数据不被滥用及未经授权使用。合规管理过程域强</w:t>
      </w:r>
      <w:r>
        <w:rPr>
          <w:rFonts w:ascii="SimSun" w:hAnsi="SimSun" w:eastAsia="SimSun" w:cs="SimSun"/>
          <w:sz w:val="22"/>
          <w:szCs w:val="22"/>
          <w:spacing w:val="7"/>
        </w:rPr>
        <w:t xml:space="preserve"> </w:t>
      </w:r>
      <w:r>
        <w:rPr>
          <w:rFonts w:ascii="SimSun" w:hAnsi="SimSun" w:eastAsia="SimSun" w:cs="SimSun"/>
          <w:sz w:val="22"/>
          <w:szCs w:val="22"/>
          <w:spacing w:val="-11"/>
        </w:rPr>
        <w:t>调组织应建立和维护机制，保证自身的合规性。</w:t>
      </w:r>
    </w:p>
    <w:p>
      <w:pPr>
        <w:spacing w:line="239" w:lineRule="auto"/>
        <w:sectPr>
          <w:footerReference w:type="default" r:id="rId411"/>
          <w:pgSz w:w="8870" w:h="13400"/>
          <w:pgMar w:top="400" w:right="330" w:bottom="544" w:left="529" w:header="0" w:footer="326" w:gutter="0"/>
        </w:sectPr>
        <w:rPr>
          <w:rFonts w:ascii="SimSun" w:hAnsi="SimSun" w:eastAsia="SimSun" w:cs="SimSun"/>
          <w:sz w:val="22"/>
          <w:szCs w:val="22"/>
        </w:rPr>
      </w:pPr>
    </w:p>
    <w:p>
      <w:pPr>
        <w:pStyle w:val="BodyText"/>
        <w:spacing w:line="284" w:lineRule="auto"/>
        <w:rPr/>
      </w:pPr>
      <w:r/>
    </w:p>
    <w:p>
      <w:pPr>
        <w:ind w:left="5729"/>
        <w:spacing w:before="71" w:line="219" w:lineRule="auto"/>
        <w:rPr>
          <w:rFonts w:ascii="SimSun" w:hAnsi="SimSun" w:eastAsia="SimSun" w:cs="SimSun"/>
          <w:sz w:val="22"/>
          <w:szCs w:val="22"/>
        </w:rPr>
      </w:pPr>
      <w:r>
        <w:rPr>
          <w:rFonts w:ascii="SimSun" w:hAnsi="SimSun" w:eastAsia="SimSun" w:cs="SimSun"/>
          <w:sz w:val="22"/>
          <w:szCs w:val="22"/>
          <w:spacing w:val="11"/>
        </w:rPr>
        <w:t>第9章■安全与隐私</w:t>
      </w:r>
    </w:p>
    <w:p>
      <w:pPr>
        <w:pStyle w:val="BodyText"/>
        <w:spacing w:line="311" w:lineRule="auto"/>
        <w:rPr/>
      </w:pPr>
      <w:r/>
    </w:p>
    <w:p>
      <w:pPr>
        <w:pStyle w:val="BodyText"/>
        <w:spacing w:line="312" w:lineRule="auto"/>
        <w:rPr/>
      </w:pPr>
      <w:r/>
    </w:p>
    <w:p>
      <w:pPr>
        <w:ind w:left="4"/>
        <w:spacing w:before="111" w:line="222" w:lineRule="auto"/>
        <w:outlineLvl w:val="2"/>
        <w:rPr>
          <w:rFonts w:ascii="SimHei" w:hAnsi="SimHei" w:eastAsia="SimHei" w:cs="SimHei"/>
          <w:sz w:val="34"/>
          <w:szCs w:val="34"/>
        </w:rPr>
      </w:pPr>
      <w:bookmarkStart w:name="bookmark80" w:id="75"/>
      <w:bookmarkEnd w:id="75"/>
      <w:r>
        <w:rPr>
          <w:rFonts w:ascii="SimHei" w:hAnsi="SimHei" w:eastAsia="SimHei" w:cs="SimHei"/>
          <w:sz w:val="34"/>
          <w:szCs w:val="34"/>
          <w:b/>
          <w:bCs/>
          <w:spacing w:val="-10"/>
        </w:rPr>
        <w:t>9.2</w:t>
      </w:r>
      <w:r>
        <w:rPr>
          <w:rFonts w:ascii="SimHei" w:hAnsi="SimHei" w:eastAsia="SimHei" w:cs="SimHei"/>
          <w:sz w:val="34"/>
          <w:szCs w:val="34"/>
          <w:spacing w:val="149"/>
        </w:rPr>
        <w:t xml:space="preserve"> </w:t>
      </w:r>
      <w:r>
        <w:rPr>
          <w:rFonts w:ascii="SimHei" w:hAnsi="SimHei" w:eastAsia="SimHei" w:cs="SimHei"/>
          <w:sz w:val="34"/>
          <w:szCs w:val="34"/>
          <w:b/>
          <w:bCs/>
          <w:spacing w:val="-10"/>
        </w:rPr>
        <w:t>活动及要求</w:t>
      </w:r>
    </w:p>
    <w:p>
      <w:pPr>
        <w:pStyle w:val="BodyText"/>
        <w:spacing w:line="260" w:lineRule="auto"/>
        <w:rPr/>
      </w:pPr>
      <w:r/>
    </w:p>
    <w:p>
      <w:pPr>
        <w:ind w:left="4"/>
        <w:spacing w:before="94" w:line="225" w:lineRule="auto"/>
        <w:outlineLvl w:val="3"/>
        <w:rPr>
          <w:rFonts w:ascii="YouYuan" w:hAnsi="YouYuan" w:eastAsia="YouYuan" w:cs="YouYuan"/>
          <w:sz w:val="29"/>
          <w:szCs w:val="29"/>
        </w:rPr>
      </w:pPr>
      <w:r>
        <w:rPr>
          <w:rFonts w:ascii="YouYuan" w:hAnsi="YouYuan" w:eastAsia="YouYuan" w:cs="YouYuan"/>
          <w:sz w:val="29"/>
          <w:szCs w:val="29"/>
          <w:b/>
          <w:bCs/>
          <w:spacing w:val="-6"/>
        </w:rPr>
        <w:t>9.2.1</w:t>
      </w:r>
      <w:r>
        <w:rPr>
          <w:rFonts w:ascii="YouYuan" w:hAnsi="YouYuan" w:eastAsia="YouYuan" w:cs="YouYuan"/>
          <w:sz w:val="29"/>
          <w:szCs w:val="29"/>
          <w:spacing w:val="118"/>
        </w:rPr>
        <w:t xml:space="preserve"> </w:t>
      </w:r>
      <w:r>
        <w:rPr>
          <w:rFonts w:ascii="YouYuan" w:hAnsi="YouYuan" w:eastAsia="YouYuan" w:cs="YouYuan"/>
          <w:sz w:val="29"/>
          <w:szCs w:val="29"/>
          <w:b/>
          <w:bCs/>
          <w:spacing w:val="-6"/>
        </w:rPr>
        <w:t>风险管理</w:t>
      </w:r>
    </w:p>
    <w:p>
      <w:pPr>
        <w:pStyle w:val="BodyText"/>
        <w:spacing w:line="243" w:lineRule="auto"/>
        <w:rPr/>
      </w:pPr>
      <w:r/>
    </w:p>
    <w:p>
      <w:pPr>
        <w:ind w:left="433"/>
        <w:spacing w:before="71" w:line="224" w:lineRule="auto"/>
        <w:outlineLvl w:val="4"/>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简介</w:t>
      </w:r>
    </w:p>
    <w:p>
      <w:pPr>
        <w:ind w:left="429"/>
        <w:spacing w:before="187" w:line="232" w:lineRule="auto"/>
        <w:rPr>
          <w:rFonts w:ascii="KaiTi" w:hAnsi="KaiTi" w:eastAsia="KaiTi" w:cs="KaiTi"/>
          <w:sz w:val="22"/>
          <w:szCs w:val="22"/>
        </w:rPr>
      </w:pPr>
      <w:r>
        <w:rPr>
          <w:rFonts w:ascii="KaiTi" w:hAnsi="KaiTi" w:eastAsia="KaiTi" w:cs="KaiTi"/>
          <w:sz w:val="22"/>
          <w:szCs w:val="22"/>
          <w:spacing w:val="15"/>
        </w:rPr>
        <w:t>1)目的</w:t>
      </w:r>
    </w:p>
    <w:p>
      <w:pPr>
        <w:ind w:right="242" w:firstLine="429"/>
        <w:spacing w:before="65" w:line="237" w:lineRule="auto"/>
        <w:rPr>
          <w:rFonts w:ascii="SimSun" w:hAnsi="SimSun" w:eastAsia="SimSun" w:cs="SimSun"/>
          <w:sz w:val="22"/>
          <w:szCs w:val="22"/>
        </w:rPr>
      </w:pPr>
      <w:r>
        <w:rPr>
          <w:rFonts w:ascii="SimSun" w:hAnsi="SimSun" w:eastAsia="SimSun" w:cs="SimSun"/>
          <w:sz w:val="22"/>
          <w:szCs w:val="22"/>
          <w:spacing w:val="-8"/>
        </w:rPr>
        <w:t>识别云端数据面临的威胁，采取适当的措施将云端数据的风险降至组织</w:t>
      </w:r>
      <w:r>
        <w:rPr>
          <w:rFonts w:ascii="SimSun" w:hAnsi="SimSun" w:eastAsia="SimSun" w:cs="SimSun"/>
          <w:sz w:val="22"/>
          <w:szCs w:val="22"/>
          <w:spacing w:val="-9"/>
        </w:rPr>
        <w:t>接受的</w:t>
      </w:r>
      <w:r>
        <w:rPr>
          <w:rFonts w:ascii="SimSun" w:hAnsi="SimSun" w:eastAsia="SimSun" w:cs="SimSun"/>
          <w:sz w:val="22"/>
          <w:szCs w:val="22"/>
        </w:rPr>
        <w:t xml:space="preserve"> </w:t>
      </w:r>
      <w:r>
        <w:rPr>
          <w:rFonts w:ascii="SimSun" w:hAnsi="SimSun" w:eastAsia="SimSun" w:cs="SimSun"/>
          <w:sz w:val="22"/>
          <w:szCs w:val="22"/>
          <w:spacing w:val="-16"/>
        </w:rPr>
        <w:t>范围。</w:t>
      </w:r>
    </w:p>
    <w:p>
      <w:pPr>
        <w:ind w:left="429"/>
        <w:spacing w:before="41" w:line="222" w:lineRule="auto"/>
        <w:rPr>
          <w:rFonts w:ascii="KaiTi" w:hAnsi="KaiTi" w:eastAsia="KaiTi" w:cs="KaiTi"/>
          <w:sz w:val="22"/>
          <w:szCs w:val="22"/>
        </w:rPr>
      </w:pPr>
      <w:r>
        <w:rPr>
          <w:rFonts w:ascii="KaiTi" w:hAnsi="KaiTi" w:eastAsia="KaiTi" w:cs="KaiTi"/>
          <w:sz w:val="22"/>
          <w:szCs w:val="22"/>
          <w:spacing w:val="15"/>
        </w:rPr>
        <w:t>2)介绍</w:t>
      </w:r>
    </w:p>
    <w:p>
      <w:pPr>
        <w:ind w:right="250" w:firstLine="429"/>
        <w:spacing w:before="41" w:line="250" w:lineRule="auto"/>
        <w:rPr>
          <w:rFonts w:ascii="SimSun" w:hAnsi="SimSun" w:eastAsia="SimSun" w:cs="SimSun"/>
          <w:sz w:val="22"/>
          <w:szCs w:val="22"/>
        </w:rPr>
      </w:pPr>
      <w:r>
        <w:rPr>
          <w:rFonts w:ascii="SimSun" w:hAnsi="SimSun" w:eastAsia="SimSun" w:cs="SimSun"/>
          <w:sz w:val="22"/>
          <w:szCs w:val="22"/>
          <w:spacing w:val="-9"/>
        </w:rPr>
        <w:t>风险管理是社会组织或者个人用以降低风险可能产生的消极结果的</w:t>
      </w:r>
      <w:r>
        <w:rPr>
          <w:rFonts w:ascii="SimSun" w:hAnsi="SimSun" w:eastAsia="SimSun" w:cs="SimSun"/>
          <w:sz w:val="22"/>
          <w:szCs w:val="22"/>
          <w:spacing w:val="-10"/>
        </w:rPr>
        <w:t>决策过程，</w:t>
      </w:r>
      <w:r>
        <w:rPr>
          <w:rFonts w:ascii="SimSun" w:hAnsi="SimSun" w:eastAsia="SimSun" w:cs="SimSun"/>
          <w:sz w:val="22"/>
          <w:szCs w:val="22"/>
        </w:rPr>
        <w:t xml:space="preserve"> </w:t>
      </w:r>
      <w:r>
        <w:rPr>
          <w:rFonts w:ascii="SimSun" w:hAnsi="SimSun" w:eastAsia="SimSun" w:cs="SimSun"/>
          <w:sz w:val="22"/>
          <w:szCs w:val="22"/>
          <w:spacing w:val="-8"/>
        </w:rPr>
        <w:t>通过风险识别、风险评估、风险评价，并在此基础上选择与优化组合</w:t>
      </w:r>
      <w:r>
        <w:rPr>
          <w:rFonts w:ascii="SimSun" w:hAnsi="SimSun" w:eastAsia="SimSun" w:cs="SimSun"/>
          <w:sz w:val="22"/>
          <w:szCs w:val="22"/>
          <w:spacing w:val="-9"/>
        </w:rPr>
        <w:t>各种风险管理</w:t>
      </w:r>
      <w:r>
        <w:rPr>
          <w:rFonts w:ascii="SimSun" w:hAnsi="SimSun" w:eastAsia="SimSun" w:cs="SimSun"/>
          <w:sz w:val="22"/>
          <w:szCs w:val="22"/>
        </w:rPr>
        <w:t xml:space="preserve"> </w:t>
      </w:r>
      <w:r>
        <w:rPr>
          <w:rFonts w:ascii="SimSun" w:hAnsi="SimSun" w:eastAsia="SimSun" w:cs="SimSun"/>
          <w:sz w:val="22"/>
          <w:szCs w:val="22"/>
          <w:spacing w:val="-8"/>
        </w:rPr>
        <w:t>技术，对风险实施有效控制和妥善处理风险所致损失的后果，从而以最</w:t>
      </w:r>
      <w:r>
        <w:rPr>
          <w:rFonts w:ascii="SimSun" w:hAnsi="SimSun" w:eastAsia="SimSun" w:cs="SimSun"/>
          <w:sz w:val="22"/>
          <w:szCs w:val="22"/>
          <w:spacing w:val="-9"/>
        </w:rPr>
        <w:t>小的成本收</w:t>
      </w:r>
      <w:r>
        <w:rPr>
          <w:rFonts w:ascii="SimSun" w:hAnsi="SimSun" w:eastAsia="SimSun" w:cs="SimSun"/>
          <w:sz w:val="22"/>
          <w:szCs w:val="22"/>
        </w:rPr>
        <w:t xml:space="preserve"> </w:t>
      </w:r>
      <w:r>
        <w:rPr>
          <w:rFonts w:ascii="SimSun" w:hAnsi="SimSun" w:eastAsia="SimSun" w:cs="SimSun"/>
          <w:sz w:val="22"/>
          <w:szCs w:val="22"/>
          <w:spacing w:val="-16"/>
        </w:rPr>
        <w:t>获最大的安全保障。</w:t>
      </w:r>
    </w:p>
    <w:p>
      <w:pPr>
        <w:ind w:right="247" w:firstLine="429"/>
        <w:spacing w:before="89" w:line="244" w:lineRule="auto"/>
        <w:rPr>
          <w:rFonts w:ascii="SimSun" w:hAnsi="SimSun" w:eastAsia="SimSun" w:cs="SimSun"/>
          <w:sz w:val="22"/>
          <w:szCs w:val="22"/>
        </w:rPr>
      </w:pPr>
      <w:r>
        <w:rPr>
          <w:rFonts w:ascii="SimSun" w:hAnsi="SimSun" w:eastAsia="SimSun" w:cs="SimSun"/>
          <w:sz w:val="22"/>
          <w:szCs w:val="22"/>
          <w:spacing w:val="-9"/>
        </w:rPr>
        <w:t>百分之百安全的环境是不存在的。每种环境都具有某种程度的脆弱性，都面临</w:t>
      </w:r>
      <w:r>
        <w:rPr>
          <w:rFonts w:ascii="SimSun" w:hAnsi="SimSun" w:eastAsia="SimSun" w:cs="SimSun"/>
          <w:sz w:val="22"/>
          <w:szCs w:val="22"/>
          <w:spacing w:val="11"/>
        </w:rPr>
        <w:t xml:space="preserve"> </w:t>
      </w:r>
      <w:r>
        <w:rPr>
          <w:rFonts w:ascii="SimSun" w:hAnsi="SimSun" w:eastAsia="SimSun" w:cs="SimSun"/>
          <w:sz w:val="22"/>
          <w:szCs w:val="22"/>
          <w:spacing w:val="-8"/>
        </w:rPr>
        <w:t>一定的威胁。正确的实施风险管理需要全面了解组织，了解它所面临的威胁</w:t>
      </w:r>
      <w:r>
        <w:rPr>
          <w:rFonts w:ascii="SimSun" w:hAnsi="SimSun" w:eastAsia="SimSun" w:cs="SimSun"/>
          <w:sz w:val="22"/>
          <w:szCs w:val="22"/>
          <w:spacing w:val="-9"/>
        </w:rPr>
        <w:t>并对威</w:t>
      </w:r>
      <w:r>
        <w:rPr>
          <w:rFonts w:ascii="SimSun" w:hAnsi="SimSun" w:eastAsia="SimSun" w:cs="SimSun"/>
          <w:sz w:val="22"/>
          <w:szCs w:val="22"/>
        </w:rPr>
        <w:t xml:space="preserve"> </w:t>
      </w:r>
      <w:r>
        <w:rPr>
          <w:rFonts w:ascii="SimSun" w:hAnsi="SimSun" w:eastAsia="SimSun" w:cs="SimSun"/>
          <w:sz w:val="22"/>
          <w:szCs w:val="22"/>
          <w:spacing w:val="-8"/>
        </w:rPr>
        <w:t>胁进行分类和评估，知道应该采取什么样的应对措施来处理这些威胁，并</w:t>
      </w:r>
      <w:r>
        <w:rPr>
          <w:rFonts w:ascii="SimSun" w:hAnsi="SimSun" w:eastAsia="SimSun" w:cs="SimSun"/>
          <w:sz w:val="22"/>
          <w:szCs w:val="22"/>
          <w:spacing w:val="-9"/>
        </w:rPr>
        <w:t>持续监控</w:t>
      </w:r>
      <w:r>
        <w:rPr>
          <w:rFonts w:ascii="SimSun" w:hAnsi="SimSun" w:eastAsia="SimSun" w:cs="SimSun"/>
          <w:sz w:val="22"/>
          <w:szCs w:val="22"/>
        </w:rPr>
        <w:t xml:space="preserve"> </w:t>
      </w:r>
      <w:r>
        <w:rPr>
          <w:rFonts w:ascii="SimSun" w:hAnsi="SimSun" w:eastAsia="SimSun" w:cs="SimSun"/>
          <w:sz w:val="22"/>
          <w:szCs w:val="22"/>
          <w:spacing w:val="-13"/>
        </w:rPr>
        <w:t>以确保风险级别处于可接受的范围。</w:t>
      </w:r>
    </w:p>
    <w:p>
      <w:pPr>
        <w:ind w:right="228" w:firstLine="429"/>
        <w:spacing w:before="77" w:line="246" w:lineRule="auto"/>
        <w:rPr>
          <w:rFonts w:ascii="SimSun" w:hAnsi="SimSun" w:eastAsia="SimSun" w:cs="SimSun"/>
          <w:sz w:val="22"/>
          <w:szCs w:val="22"/>
        </w:rPr>
      </w:pPr>
      <w:r>
        <w:rPr>
          <w:rFonts w:ascii="SimSun" w:hAnsi="SimSun" w:eastAsia="SimSun" w:cs="SimSun"/>
          <w:sz w:val="22"/>
          <w:szCs w:val="22"/>
          <w:spacing w:val="-8"/>
        </w:rPr>
        <w:t>在云端数据治理过程中，组织的管理层需要坚定支持风险管理，批准并发布风</w:t>
      </w:r>
      <w:r>
        <w:rPr>
          <w:rFonts w:ascii="SimSun" w:hAnsi="SimSun" w:eastAsia="SimSun" w:cs="SimSun"/>
          <w:sz w:val="22"/>
          <w:szCs w:val="22"/>
          <w:spacing w:val="11"/>
        </w:rPr>
        <w:t xml:space="preserve"> </w:t>
      </w:r>
      <w:r>
        <w:rPr>
          <w:rFonts w:ascii="SimSun" w:hAnsi="SimSun" w:eastAsia="SimSun" w:cs="SimSun"/>
          <w:sz w:val="22"/>
          <w:szCs w:val="22"/>
          <w:spacing w:val="-8"/>
        </w:rPr>
        <w:t>险管理策略。组织应有计划地开展风险评估工作，重点关注安全和隐私问</w:t>
      </w:r>
      <w:r>
        <w:rPr>
          <w:rFonts w:ascii="SimSun" w:hAnsi="SimSun" w:eastAsia="SimSun" w:cs="SimSun"/>
          <w:sz w:val="22"/>
          <w:szCs w:val="22"/>
          <w:spacing w:val="-9"/>
        </w:rPr>
        <w:t>题，防止</w:t>
      </w:r>
      <w:r>
        <w:rPr>
          <w:rFonts w:ascii="SimSun" w:hAnsi="SimSun" w:eastAsia="SimSun" w:cs="SimSun"/>
          <w:sz w:val="22"/>
          <w:szCs w:val="22"/>
        </w:rPr>
        <w:t xml:space="preserve"> </w:t>
      </w:r>
      <w:r>
        <w:rPr>
          <w:rFonts w:ascii="SimSun" w:hAnsi="SimSun" w:eastAsia="SimSun" w:cs="SimSun"/>
          <w:sz w:val="22"/>
          <w:szCs w:val="22"/>
          <w:spacing w:val="-15"/>
        </w:rPr>
        <w:t>未授权或不恰当地使用数据。</w:t>
      </w:r>
    </w:p>
    <w:p>
      <w:pPr>
        <w:ind w:left="429"/>
        <w:spacing w:before="61" w:line="219" w:lineRule="auto"/>
        <w:rPr>
          <w:rFonts w:ascii="SimSun" w:hAnsi="SimSun" w:eastAsia="SimSun" w:cs="SimSun"/>
          <w:sz w:val="22"/>
          <w:szCs w:val="22"/>
        </w:rPr>
      </w:pPr>
      <w:r>
        <w:rPr>
          <w:rFonts w:ascii="SimSun" w:hAnsi="SimSun" w:eastAsia="SimSun" w:cs="SimSun"/>
          <w:sz w:val="22"/>
          <w:szCs w:val="22"/>
          <w:spacing w:val="-7"/>
        </w:rPr>
        <w:t>(1)制订风险相关的政策和策略，将风险控制在可承受范围内；</w:t>
      </w:r>
    </w:p>
    <w:p>
      <w:pPr>
        <w:ind w:left="429"/>
        <w:spacing w:before="49" w:line="219" w:lineRule="auto"/>
        <w:rPr>
          <w:rFonts w:ascii="SimSun" w:hAnsi="SimSun" w:eastAsia="SimSun" w:cs="SimSun"/>
          <w:sz w:val="22"/>
          <w:szCs w:val="22"/>
        </w:rPr>
      </w:pPr>
      <w:r>
        <w:rPr>
          <w:rFonts w:ascii="SimSun" w:hAnsi="SimSun" w:eastAsia="SimSun" w:cs="SimSun"/>
          <w:sz w:val="22"/>
          <w:szCs w:val="22"/>
          <w:spacing w:val="-6"/>
        </w:rPr>
        <w:t>(2)监控和管理关键风险，降低其对组织的影响；</w:t>
      </w:r>
    </w:p>
    <w:p>
      <w:pPr>
        <w:ind w:left="429"/>
        <w:spacing w:before="49" w:line="219" w:lineRule="auto"/>
        <w:rPr>
          <w:rFonts w:ascii="SimSun" w:hAnsi="SimSun" w:eastAsia="SimSun" w:cs="SimSun"/>
          <w:sz w:val="22"/>
          <w:szCs w:val="22"/>
        </w:rPr>
      </w:pPr>
      <w:r>
        <w:rPr>
          <w:rFonts w:ascii="SimSun" w:hAnsi="SimSun" w:eastAsia="SimSun" w:cs="SimSun"/>
          <w:sz w:val="22"/>
          <w:szCs w:val="22"/>
          <w:spacing w:val="-7"/>
        </w:rPr>
        <w:t>(3)通过风险管理策略来审查数据应用过程中可能产生的风险；</w:t>
      </w:r>
    </w:p>
    <w:p>
      <w:pPr>
        <w:ind w:right="249" w:firstLine="429"/>
        <w:spacing w:before="38" w:line="245" w:lineRule="auto"/>
        <w:rPr>
          <w:rFonts w:ascii="SimSun" w:hAnsi="SimSun" w:eastAsia="SimSun" w:cs="SimSun"/>
          <w:sz w:val="22"/>
          <w:szCs w:val="22"/>
        </w:rPr>
      </w:pPr>
      <w:r>
        <w:rPr>
          <w:rFonts w:ascii="SimSun" w:hAnsi="SimSun" w:eastAsia="SimSun" w:cs="SimSun"/>
          <w:sz w:val="22"/>
          <w:szCs w:val="22"/>
          <w:spacing w:val="-5"/>
        </w:rPr>
        <w:t>(4)建立风险管理效果评估指标，通过指标对数据应用过程中的风险进行全面</w:t>
      </w:r>
      <w:r>
        <w:rPr>
          <w:rFonts w:ascii="SimSun" w:hAnsi="SimSun" w:eastAsia="SimSun" w:cs="SimSun"/>
          <w:sz w:val="22"/>
          <w:szCs w:val="22"/>
          <w:spacing w:val="3"/>
        </w:rPr>
        <w:t xml:space="preserve"> </w:t>
      </w:r>
      <w:r>
        <w:rPr>
          <w:rFonts w:ascii="SimSun" w:hAnsi="SimSun" w:eastAsia="SimSun" w:cs="SimSun"/>
          <w:sz w:val="22"/>
          <w:szCs w:val="22"/>
          <w:spacing w:val="-16"/>
        </w:rPr>
        <w:t>监控。</w:t>
      </w:r>
    </w:p>
    <w:p>
      <w:pPr>
        <w:ind w:left="429"/>
        <w:spacing w:before="40" w:line="229" w:lineRule="auto"/>
        <w:rPr>
          <w:rFonts w:ascii="KaiTi" w:hAnsi="KaiTi" w:eastAsia="KaiTi" w:cs="KaiTi"/>
          <w:sz w:val="22"/>
          <w:szCs w:val="22"/>
        </w:rPr>
      </w:pPr>
      <w:r>
        <w:rPr>
          <w:rFonts w:ascii="KaiTi" w:hAnsi="KaiTi" w:eastAsia="KaiTi" w:cs="KaiTi"/>
          <w:sz w:val="22"/>
          <w:szCs w:val="22"/>
          <w:spacing w:val="-2"/>
        </w:rPr>
        <w:t>3)相关过程域</w:t>
      </w:r>
    </w:p>
    <w:p>
      <w:pPr>
        <w:ind w:left="429"/>
        <w:spacing w:before="34" w:line="219" w:lineRule="auto"/>
        <w:rPr>
          <w:rFonts w:ascii="SimSun" w:hAnsi="SimSun" w:eastAsia="SimSun" w:cs="SimSun"/>
          <w:sz w:val="22"/>
          <w:szCs w:val="22"/>
        </w:rPr>
      </w:pPr>
      <w:r>
        <w:rPr>
          <w:rFonts w:ascii="SimSun" w:hAnsi="SimSun" w:eastAsia="SimSun" w:cs="SimSun"/>
          <w:sz w:val="22"/>
          <w:szCs w:val="22"/>
          <w:spacing w:val="-9"/>
        </w:rPr>
        <w:t>●参考云端数据战略过程域，了解组织风险管理的目标；</w:t>
      </w:r>
    </w:p>
    <w:p>
      <w:pPr>
        <w:ind w:left="429"/>
        <w:spacing w:before="59" w:line="219" w:lineRule="auto"/>
        <w:rPr>
          <w:rFonts w:ascii="SimSun" w:hAnsi="SimSun" w:eastAsia="SimSun" w:cs="SimSun"/>
          <w:sz w:val="22"/>
          <w:szCs w:val="22"/>
        </w:rPr>
      </w:pPr>
      <w:r>
        <w:rPr>
          <w:rFonts w:ascii="SimSun" w:hAnsi="SimSun" w:eastAsia="SimSun" w:cs="SimSun"/>
          <w:sz w:val="22"/>
          <w:szCs w:val="22"/>
          <w:spacing w:val="-9"/>
        </w:rPr>
        <w:t>●参考数据生命周期管理过程域，了解云端数据生命周期管理内的管理策略；</w:t>
      </w:r>
    </w:p>
    <w:p>
      <w:pPr>
        <w:ind w:left="729" w:right="241" w:hanging="300"/>
        <w:spacing w:before="46" w:line="245" w:lineRule="auto"/>
        <w:rPr>
          <w:rFonts w:ascii="SimSun" w:hAnsi="SimSun" w:eastAsia="SimSun" w:cs="SimSun"/>
          <w:sz w:val="22"/>
          <w:szCs w:val="22"/>
        </w:rPr>
      </w:pPr>
      <w:r>
        <w:rPr>
          <w:rFonts w:ascii="SimSun" w:hAnsi="SimSun" w:eastAsia="SimSun" w:cs="SimSun"/>
          <w:sz w:val="22"/>
          <w:szCs w:val="22"/>
          <w:spacing w:val="5"/>
        </w:rPr>
        <w:t>●参考数据质量评估过程域，了解质量目标与质量控制活动保持相符的相</w:t>
      </w:r>
      <w:r>
        <w:rPr>
          <w:rFonts w:ascii="SimSun" w:hAnsi="SimSun" w:eastAsia="SimSun" w:cs="SimSun"/>
          <w:sz w:val="22"/>
          <w:szCs w:val="22"/>
          <w:spacing w:val="6"/>
        </w:rPr>
        <w:t xml:space="preserve"> </w:t>
      </w:r>
      <w:r>
        <w:rPr>
          <w:rFonts w:ascii="SimSun" w:hAnsi="SimSun" w:eastAsia="SimSun" w:cs="SimSun"/>
          <w:sz w:val="22"/>
          <w:szCs w:val="22"/>
          <w:spacing w:val="-4"/>
        </w:rPr>
        <w:t>关信息。</w:t>
      </w:r>
    </w:p>
    <w:p>
      <w:pPr>
        <w:spacing w:line="245" w:lineRule="auto"/>
        <w:sectPr>
          <w:footerReference w:type="default" r:id="rId412"/>
          <w:pgSz w:w="8870" w:h="13400"/>
          <w:pgMar w:top="400" w:right="631" w:bottom="454" w:left="360" w:header="0" w:footer="236" w:gutter="0"/>
        </w:sectPr>
        <w:rPr>
          <w:rFonts w:ascii="SimSun" w:hAnsi="SimSun" w:eastAsia="SimSun" w:cs="SimSun"/>
          <w:sz w:val="22"/>
          <w:szCs w:val="22"/>
        </w:rPr>
      </w:pPr>
    </w:p>
    <w:p>
      <w:pPr>
        <w:ind w:left="126"/>
        <w:spacing w:before="300" w:line="776" w:lineRule="exact"/>
        <w:rPr>
          <w:rFonts w:ascii="SimSun" w:hAnsi="SimSun" w:eastAsia="SimSun" w:cs="SimSun"/>
          <w:sz w:val="23"/>
          <w:szCs w:val="23"/>
        </w:rPr>
      </w:pPr>
      <w:r>
        <mc:AlternateContent xmlns:mc="http://schemas.openxmlformats.org/markup-compatibility/2006">
          <mc:Choice Requires="wps">
            <w:drawing>
              <wp:anchor distT="0" distB="0" distL="0" distR="0" simplePos="0" relativeHeight="257265664" behindDoc="1" locked="0" layoutInCell="0" allowOverlap="1">
                <wp:simplePos x="0" y="0"/>
                <wp:positionH relativeFrom="page">
                  <wp:posOffset>5394345</wp:posOffset>
                </wp:positionH>
                <wp:positionV relativeFrom="page">
                  <wp:posOffset>7080253</wp:posOffset>
                </wp:positionV>
                <wp:extent cx="6350" cy="788034"/>
                <wp:effectExtent l="0" t="0" r="0" b="0"/>
                <wp:wrapNone/>
                <wp:docPr id="280" name="Rect 280"/>
                <wp:cNvGraphicFramePr/>
                <a:graphic>
                  <a:graphicData uri="http://schemas.microsoft.com/office/word/2010/wordprocessingShape">
                    <wps:wsp>
                      <wps:cNvPr id="280" name="Rect 280"/>
                      <wps:cNvSpPr/>
                      <wps:spPr>
                        <a:xfrm>
                          <a:off x="5394345" y="7080253"/>
                          <a:ext cx="6350" cy="788034"/>
                        </a:xfrm>
                        <a:prstGeom prst="rect">
                          <a:avLst/>
                        </a:prstGeom>
                        <a:solidFill>
                          <a:srgbClr val="000000">
                            <a:alpha val="5019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2" style="position:absolute;margin-left:424.752pt;margin-top:557.5pt;mso-position-vertical-relative:page;mso-position-horizontal-relative:page;width:0.5pt;height:62.05pt;z-index:-246050816;" o:allowincell="f" fillcolor="#000000" filled="true" stroked="false">
                <v:fill opacity="0.501961"/>
              </v:rect>
            </w:pict>
          </mc:Fallback>
        </mc:AlternateContent>
      </w:r>
      <w:r>
        <w:rPr>
          <w:rFonts w:ascii="SimSun" w:hAnsi="SimSun" w:eastAsia="SimSun" w:cs="SimSun"/>
          <w:sz w:val="23"/>
          <w:szCs w:val="23"/>
          <w:position w:val="27"/>
        </w:rPr>
        <w:drawing>
          <wp:inline distT="0" distB="0" distL="0" distR="0">
            <wp:extent cx="6308" cy="222255"/>
            <wp:effectExtent l="0" t="0" r="0" b="0"/>
            <wp:docPr id="282" name="IM 282"/>
            <wp:cNvGraphicFramePr/>
            <a:graphic>
              <a:graphicData uri="http://schemas.openxmlformats.org/drawingml/2006/picture">
                <pic:pic>
                  <pic:nvPicPr>
                    <pic:cNvPr id="282" name="IM 282"/>
                    <pic:cNvPicPr/>
                  </pic:nvPicPr>
                  <pic:blipFill>
                    <a:blip r:embed="rId414"/>
                    <a:stretch>
                      <a:fillRect/>
                    </a:stretch>
                  </pic:blipFill>
                  <pic:spPr>
                    <a:xfrm rot="0">
                      <a:off x="0" y="0"/>
                      <a:ext cx="6308" cy="222255"/>
                    </a:xfrm>
                    <a:prstGeom prst="rect">
                      <a:avLst/>
                    </a:prstGeom>
                  </pic:spPr>
                </pic:pic>
              </a:graphicData>
            </a:graphic>
          </wp:inline>
        </w:drawing>
      </w:r>
      <w:r>
        <w:rPr>
          <w:rFonts w:ascii="SimSun" w:hAnsi="SimSun" w:eastAsia="SimSun" w:cs="SimSun"/>
          <w:sz w:val="23"/>
          <w:szCs w:val="23"/>
          <w:spacing w:val="-27"/>
          <w:position w:val="36"/>
        </w:rPr>
        <w:t xml:space="preserve"> </w:t>
      </w:r>
      <w:r>
        <w:rPr>
          <w:rFonts w:ascii="SimSun" w:hAnsi="SimSun" w:eastAsia="SimSun" w:cs="SimSun"/>
          <w:sz w:val="23"/>
          <w:szCs w:val="23"/>
          <w:b/>
          <w:bCs/>
          <w:spacing w:val="-24"/>
          <w:position w:val="36"/>
        </w:rPr>
        <w:t>■云端数据治理</w:t>
      </w:r>
    </w:p>
    <w:p>
      <w:pPr>
        <w:pStyle w:val="BodyText"/>
        <w:ind w:left="686"/>
        <w:spacing w:line="223" w:lineRule="auto"/>
        <w:rPr>
          <w:rFonts w:ascii="SimHei" w:hAnsi="SimHei" w:eastAsia="SimHei" w:cs="SimHei"/>
          <w:sz w:val="23"/>
          <w:szCs w:val="23"/>
        </w:rPr>
      </w:pPr>
      <w:r>
        <w:rPr>
          <w:sz w:val="23"/>
          <w:szCs w:val="23"/>
          <w:b/>
          <w:bCs/>
          <w:spacing w:val="-2"/>
        </w:rPr>
        <w:t>2.GQM</w:t>
      </w:r>
      <w:r>
        <w:rPr>
          <w:sz w:val="23"/>
          <w:szCs w:val="23"/>
          <w:b/>
          <w:bCs/>
          <w:spacing w:val="31"/>
        </w:rPr>
        <w:t xml:space="preserve">  </w:t>
      </w:r>
      <w:r>
        <w:rPr>
          <w:rFonts w:ascii="SimHei" w:hAnsi="SimHei" w:eastAsia="SimHei" w:cs="SimHei"/>
          <w:sz w:val="23"/>
          <w:szCs w:val="23"/>
          <w:b/>
          <w:bCs/>
          <w:spacing w:val="-2"/>
        </w:rPr>
        <w:t>表</w:t>
      </w:r>
    </w:p>
    <w:p>
      <w:pPr>
        <w:spacing w:before="28"/>
        <w:rPr/>
      </w:pPr>
      <w:r/>
    </w:p>
    <w:tbl>
      <w:tblPr>
        <w:tblStyle w:val="TableNormal"/>
        <w:tblW w:w="7670" w:type="dxa"/>
        <w:tblInd w:w="28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77"/>
        <w:gridCol w:w="1738"/>
        <w:gridCol w:w="2592"/>
      </w:tblGrid>
      <w:tr>
        <w:trPr>
          <w:trHeight w:val="355" w:hRule="atLeast"/>
        </w:trPr>
        <w:tc>
          <w:tcPr>
            <w:tcW w:w="1363" w:type="dxa"/>
            <w:vAlign w:val="top"/>
          </w:tcPr>
          <w:p>
            <w:pPr>
              <w:pStyle w:val="TableText"/>
              <w:ind w:left="395"/>
              <w:spacing w:before="101" w:line="220" w:lineRule="auto"/>
              <w:rPr/>
            </w:pPr>
            <w:r>
              <w:rPr>
                <w:spacing w:val="-12"/>
              </w:rPr>
              <w:t>目    标</w:t>
            </w:r>
          </w:p>
        </w:tc>
        <w:tc>
          <w:tcPr>
            <w:tcW w:w="1977" w:type="dxa"/>
            <w:vAlign w:val="top"/>
          </w:tcPr>
          <w:p>
            <w:pPr>
              <w:pStyle w:val="TableText"/>
              <w:ind w:left="692"/>
              <w:spacing w:before="103" w:line="221" w:lineRule="auto"/>
              <w:rPr/>
            </w:pPr>
            <w:r>
              <w:rPr>
                <w:spacing w:val="-12"/>
              </w:rPr>
              <w:t>问</w:t>
            </w:r>
            <w:r>
              <w:rPr>
                <w:spacing w:val="10"/>
              </w:rPr>
              <w:t xml:space="preserve">   </w:t>
            </w:r>
            <w:r>
              <w:rPr>
                <w:spacing w:val="-12"/>
              </w:rPr>
              <w:t>题</w:t>
            </w:r>
          </w:p>
        </w:tc>
        <w:tc>
          <w:tcPr>
            <w:tcW w:w="1738" w:type="dxa"/>
            <w:vAlign w:val="top"/>
          </w:tcPr>
          <w:p>
            <w:pPr>
              <w:pStyle w:val="TableText"/>
              <w:ind w:left="495"/>
              <w:spacing w:before="101" w:line="220" w:lineRule="auto"/>
              <w:rPr/>
            </w:pPr>
            <w:r>
              <w:rPr>
                <w:spacing w:val="-4"/>
              </w:rPr>
              <w:t>度</w:t>
            </w:r>
            <w:r>
              <w:rPr>
                <w:spacing w:val="9"/>
              </w:rPr>
              <w:t xml:space="preserve">  </w:t>
            </w:r>
            <w:r>
              <w:rPr>
                <w:spacing w:val="-4"/>
              </w:rPr>
              <w:t>量</w:t>
            </w:r>
            <w:r>
              <w:rPr>
                <w:spacing w:val="10"/>
              </w:rPr>
              <w:t xml:space="preserve">  </w:t>
            </w:r>
            <w:r>
              <w:rPr>
                <w:spacing w:val="-4"/>
              </w:rPr>
              <w:t>项</w:t>
            </w:r>
          </w:p>
        </w:tc>
        <w:tc>
          <w:tcPr>
            <w:tcW w:w="2592" w:type="dxa"/>
            <w:vAlign w:val="top"/>
          </w:tcPr>
          <w:p>
            <w:pPr>
              <w:pStyle w:val="TableText"/>
              <w:ind w:left="917"/>
              <w:spacing w:before="101" w:line="219" w:lineRule="auto"/>
              <w:rPr/>
            </w:pPr>
            <w:r>
              <w:rPr>
                <w:spacing w:val="3"/>
              </w:rPr>
              <w:t>度量项说明</w:t>
            </w:r>
          </w:p>
        </w:tc>
      </w:tr>
      <w:tr>
        <w:trPr>
          <w:trHeight w:val="1168" w:hRule="atLeast"/>
        </w:trPr>
        <w:tc>
          <w:tcPr>
            <w:tcW w:w="1363" w:type="dxa"/>
            <w:vAlign w:val="top"/>
            <w:vMerge w:val="restart"/>
            <w:tcBorders>
              <w:bottom w:val="nil"/>
            </w:tcBorders>
          </w:tcPr>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pStyle w:val="TableText"/>
              <w:ind w:left="255"/>
              <w:spacing w:before="49" w:line="279" w:lineRule="exact"/>
              <w:rPr/>
            </w:pPr>
            <w:r>
              <w:rPr>
                <w:spacing w:val="-1"/>
                <w:position w:val="10"/>
              </w:rPr>
              <w:t>G1:识别组织</w:t>
            </w:r>
          </w:p>
          <w:p>
            <w:pPr>
              <w:pStyle w:val="TableText"/>
              <w:ind w:left="105"/>
              <w:spacing w:line="219" w:lineRule="auto"/>
              <w:rPr/>
            </w:pPr>
            <w:r>
              <w:rPr>
                <w:spacing w:val="-2"/>
              </w:rPr>
              <w:t>面临的风险</w:t>
            </w:r>
          </w:p>
        </w:tc>
        <w:tc>
          <w:tcPr>
            <w:tcW w:w="1977" w:type="dxa"/>
            <w:vAlign w:val="top"/>
            <w:vMerge w:val="restart"/>
            <w:tcBorders>
              <w:bottom w:val="nil"/>
            </w:tcBorders>
          </w:tcPr>
          <w:p>
            <w:pPr>
              <w:spacing w:line="301" w:lineRule="auto"/>
              <w:rPr>
                <w:rFonts w:ascii="Arial"/>
                <w:sz w:val="21"/>
              </w:rPr>
            </w:pPr>
            <w:r/>
          </w:p>
          <w:p>
            <w:pPr>
              <w:spacing w:line="301" w:lineRule="auto"/>
              <w:rPr>
                <w:rFonts w:ascii="Arial"/>
                <w:sz w:val="21"/>
              </w:rPr>
            </w:pPr>
            <w:r/>
          </w:p>
          <w:p>
            <w:pPr>
              <w:spacing w:line="301" w:lineRule="auto"/>
              <w:rPr>
                <w:rFonts w:ascii="Arial"/>
                <w:sz w:val="21"/>
              </w:rPr>
            </w:pPr>
            <w:r/>
          </w:p>
          <w:p>
            <w:pPr>
              <w:pStyle w:val="TableText"/>
              <w:ind w:left="92" w:right="294" w:firstLine="160"/>
              <w:spacing w:before="48" w:line="275" w:lineRule="auto"/>
              <w:rPr/>
            </w:pPr>
            <w:r>
              <w:rPr>
                <w:spacing w:val="-1"/>
              </w:rPr>
              <w:t>Q1:组织风险识别是否</w:t>
            </w:r>
            <w:r>
              <w:rPr>
                <w:spacing w:val="5"/>
              </w:rPr>
              <w:t xml:space="preserve"> </w:t>
            </w:r>
            <w:r>
              <w:rPr>
                <w:spacing w:val="-2"/>
              </w:rPr>
              <w:t>完整</w:t>
            </w:r>
          </w:p>
        </w:tc>
        <w:tc>
          <w:tcPr>
            <w:tcW w:w="1738" w:type="dxa"/>
            <w:vAlign w:val="top"/>
          </w:tcPr>
          <w:p>
            <w:pPr>
              <w:spacing w:line="345" w:lineRule="auto"/>
              <w:rPr>
                <w:rFonts w:ascii="Arial"/>
                <w:sz w:val="21"/>
              </w:rPr>
            </w:pPr>
            <w:r/>
          </w:p>
          <w:p>
            <w:pPr>
              <w:pStyle w:val="TableText"/>
              <w:ind w:left="105" w:right="209" w:firstLine="139"/>
              <w:spacing w:before="49" w:line="271" w:lineRule="auto"/>
              <w:rPr/>
            </w:pPr>
            <w:r>
              <w:rPr>
                <w:spacing w:val="-1"/>
              </w:rPr>
              <w:t>M1:风险识别内容完</w:t>
            </w:r>
            <w:r>
              <w:rPr>
                <w:spacing w:val="7"/>
              </w:rPr>
              <w:t xml:space="preserve"> </w:t>
            </w:r>
            <w:r>
              <w:rPr>
                <w:spacing w:val="-2"/>
              </w:rPr>
              <w:t>整性</w:t>
            </w:r>
          </w:p>
        </w:tc>
        <w:tc>
          <w:tcPr>
            <w:tcW w:w="2592" w:type="dxa"/>
            <w:vAlign w:val="top"/>
          </w:tcPr>
          <w:p>
            <w:pPr>
              <w:pStyle w:val="TableText"/>
              <w:ind w:left="237"/>
              <w:spacing w:before="116" w:line="220" w:lineRule="auto"/>
              <w:rPr/>
            </w:pPr>
            <w:r>
              <w:rPr>
                <w:spacing w:val="-1"/>
              </w:rPr>
              <w:t>风险的识别应包括识别需要保护</w:t>
            </w:r>
          </w:p>
          <w:p>
            <w:pPr>
              <w:pStyle w:val="TableText"/>
              <w:ind w:left="87" w:right="82"/>
              <w:spacing w:before="99" w:line="299" w:lineRule="auto"/>
              <w:rPr/>
            </w:pPr>
            <w:r>
              <w:rPr/>
              <w:t>的资产并赋值，识别资产存在的脆弱</w:t>
            </w:r>
            <w:r>
              <w:rPr>
                <w:spacing w:val="11"/>
              </w:rPr>
              <w:t xml:space="preserve"> </w:t>
            </w:r>
            <w:r>
              <w:rPr>
                <w:spacing w:val="-1"/>
              </w:rPr>
              <w:t>性并赋值，识别资产面临的威胁并赋</w:t>
            </w:r>
            <w:r>
              <w:rPr>
                <w:spacing w:val="7"/>
              </w:rPr>
              <w:t xml:space="preserve"> </w:t>
            </w:r>
            <w:r>
              <w:rPr>
                <w:spacing w:val="-1"/>
              </w:rPr>
              <w:t>值，确认已有的安全控制措施等内容</w:t>
            </w:r>
          </w:p>
        </w:tc>
      </w:tr>
      <w:tr>
        <w:trPr>
          <w:trHeight w:val="1139" w:hRule="atLeast"/>
        </w:trPr>
        <w:tc>
          <w:tcPr>
            <w:tcW w:w="13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1738" w:type="dxa"/>
            <w:vAlign w:val="top"/>
          </w:tcPr>
          <w:p>
            <w:pPr>
              <w:spacing w:line="328" w:lineRule="auto"/>
              <w:rPr>
                <w:rFonts w:ascii="Arial"/>
                <w:sz w:val="21"/>
              </w:rPr>
            </w:pPr>
            <w:r/>
          </w:p>
          <w:p>
            <w:pPr>
              <w:pStyle w:val="TableText"/>
              <w:ind w:left="115" w:right="219" w:firstLine="120"/>
              <w:spacing w:before="49" w:line="282" w:lineRule="auto"/>
              <w:rPr/>
            </w:pPr>
            <w:r>
              <w:rPr>
                <w:spacing w:val="-1"/>
              </w:rPr>
              <w:t>M2:风险识别和风险</w:t>
            </w:r>
            <w:r>
              <w:rPr>
                <w:spacing w:val="7"/>
              </w:rPr>
              <w:t xml:space="preserve"> </w:t>
            </w:r>
            <w:r>
              <w:rPr>
                <w:spacing w:val="-2"/>
              </w:rPr>
              <w:t>分析流程</w:t>
            </w:r>
          </w:p>
        </w:tc>
        <w:tc>
          <w:tcPr>
            <w:tcW w:w="2592" w:type="dxa"/>
            <w:vAlign w:val="top"/>
          </w:tcPr>
          <w:p>
            <w:pPr>
              <w:pStyle w:val="TableText"/>
              <w:ind w:left="87" w:right="82" w:firstLine="169"/>
              <w:spacing w:before="79" w:line="288" w:lineRule="auto"/>
              <w:rPr/>
            </w:pPr>
            <w:r>
              <w:rPr>
                <w:spacing w:val="-1"/>
              </w:rPr>
              <w:t>组织应建立方法、流程，用于在风</w:t>
            </w:r>
            <w:r>
              <w:rPr>
                <w:spacing w:val="6"/>
              </w:rPr>
              <w:t xml:space="preserve"> </w:t>
            </w:r>
            <w:r>
              <w:rPr/>
              <w:t>险事故发生之前系统地、连续地认识</w:t>
            </w:r>
          </w:p>
          <w:p>
            <w:pPr>
              <w:pStyle w:val="TableText"/>
              <w:ind w:left="117" w:right="170" w:firstLine="50"/>
              <w:spacing w:before="99" w:line="277" w:lineRule="auto"/>
              <w:rPr/>
            </w:pPr>
            <w:r>
              <w:rPr>
                <w:spacing w:val="-1"/>
              </w:rPr>
              <w:t>所面临的各种风险以及分析风险事</w:t>
            </w:r>
            <w:r>
              <w:rPr>
                <w:spacing w:val="8"/>
              </w:rPr>
              <w:t xml:space="preserve"> </w:t>
            </w:r>
            <w:r>
              <w:rPr>
                <w:spacing w:val="1"/>
              </w:rPr>
              <w:t>故发生的潜在原因</w:t>
            </w:r>
          </w:p>
        </w:tc>
      </w:tr>
      <w:tr>
        <w:trPr>
          <w:trHeight w:val="1448" w:hRule="atLeast"/>
        </w:trPr>
        <w:tc>
          <w:tcPr>
            <w:tcW w:w="1363" w:type="dxa"/>
            <w:vAlign w:val="top"/>
            <w:vMerge w:val="restart"/>
            <w:tcBorders>
              <w:bottom w:val="nil"/>
            </w:tcBorders>
          </w:tcPr>
          <w:p>
            <w:pPr>
              <w:spacing w:line="301" w:lineRule="auto"/>
              <w:rPr>
                <w:rFonts w:ascii="Arial"/>
                <w:sz w:val="21"/>
              </w:rPr>
            </w:pPr>
            <w:r/>
          </w:p>
          <w:p>
            <w:pPr>
              <w:spacing w:line="301" w:lineRule="auto"/>
              <w:rPr>
                <w:rFonts w:ascii="Arial"/>
                <w:sz w:val="21"/>
              </w:rPr>
            </w:pPr>
            <w:r/>
          </w:p>
          <w:p>
            <w:pPr>
              <w:spacing w:line="302" w:lineRule="auto"/>
              <w:rPr>
                <w:rFonts w:ascii="Arial"/>
                <w:sz w:val="21"/>
              </w:rPr>
            </w:pPr>
            <w:r/>
          </w:p>
          <w:p>
            <w:pPr>
              <w:pStyle w:val="TableText"/>
              <w:ind w:left="245"/>
              <w:spacing w:before="49" w:line="281" w:lineRule="exact"/>
              <w:rPr/>
            </w:pPr>
            <w:r>
              <w:rPr>
                <w:spacing w:val="-1"/>
                <w:position w:val="10"/>
              </w:rPr>
              <w:t>G2:管理好关</w:t>
            </w:r>
          </w:p>
          <w:p>
            <w:pPr>
              <w:pStyle w:val="TableText"/>
              <w:ind w:left="95"/>
              <w:spacing w:line="220" w:lineRule="auto"/>
              <w:rPr/>
            </w:pPr>
            <w:r>
              <w:rPr>
                <w:spacing w:val="-2"/>
              </w:rPr>
              <w:t>键风险</w:t>
            </w:r>
          </w:p>
        </w:tc>
        <w:tc>
          <w:tcPr>
            <w:tcW w:w="1977" w:type="dxa"/>
            <w:vAlign w:val="top"/>
            <w:vMerge w:val="restart"/>
            <w:tcBorders>
              <w:bottom w:val="nil"/>
            </w:tcBorders>
          </w:tcPr>
          <w:p>
            <w:pPr>
              <w:spacing w:line="304" w:lineRule="auto"/>
              <w:rPr>
                <w:rFonts w:ascii="Arial"/>
                <w:sz w:val="21"/>
              </w:rPr>
            </w:pPr>
            <w:r/>
          </w:p>
          <w:p>
            <w:pPr>
              <w:spacing w:line="304" w:lineRule="auto"/>
              <w:rPr>
                <w:rFonts w:ascii="Arial"/>
                <w:sz w:val="21"/>
              </w:rPr>
            </w:pPr>
            <w:r/>
          </w:p>
          <w:p>
            <w:pPr>
              <w:spacing w:line="305" w:lineRule="auto"/>
              <w:rPr>
                <w:rFonts w:ascii="Arial"/>
                <w:sz w:val="21"/>
              </w:rPr>
            </w:pPr>
            <w:r/>
          </w:p>
          <w:p>
            <w:pPr>
              <w:pStyle w:val="TableText"/>
              <w:ind w:left="112" w:right="284" w:firstLine="149"/>
              <w:spacing w:before="49" w:line="277" w:lineRule="auto"/>
              <w:rPr/>
            </w:pPr>
            <w:r>
              <w:rPr>
                <w:spacing w:val="-1"/>
              </w:rPr>
              <w:t>Q2:组织是如何管理关</w:t>
            </w:r>
            <w:r>
              <w:rPr>
                <w:spacing w:val="5"/>
              </w:rPr>
              <w:t xml:space="preserve"> </w:t>
            </w:r>
            <w:r>
              <w:rPr>
                <w:spacing w:val="-1"/>
              </w:rPr>
              <w:t>键风险的</w:t>
            </w:r>
          </w:p>
        </w:tc>
        <w:tc>
          <w:tcPr>
            <w:tcW w:w="1738" w:type="dxa"/>
            <w:vAlign w:val="top"/>
          </w:tcPr>
          <w:p>
            <w:pPr>
              <w:spacing w:line="298" w:lineRule="auto"/>
              <w:rPr>
                <w:rFonts w:ascii="Arial"/>
                <w:sz w:val="21"/>
              </w:rPr>
            </w:pPr>
            <w:r/>
          </w:p>
          <w:p>
            <w:pPr>
              <w:spacing w:line="299" w:lineRule="auto"/>
              <w:rPr>
                <w:rFonts w:ascii="Arial"/>
                <w:sz w:val="21"/>
              </w:rPr>
            </w:pPr>
            <w:r/>
          </w:p>
          <w:p>
            <w:pPr>
              <w:pStyle w:val="TableText"/>
              <w:ind w:left="255"/>
              <w:spacing w:before="48" w:line="220" w:lineRule="auto"/>
              <w:rPr/>
            </w:pPr>
            <w:r>
              <w:rPr>
                <w:spacing w:val="-1"/>
              </w:rPr>
              <w:t>M3:风险监控</w:t>
            </w:r>
          </w:p>
        </w:tc>
        <w:tc>
          <w:tcPr>
            <w:tcW w:w="2592" w:type="dxa"/>
            <w:vAlign w:val="top"/>
          </w:tcPr>
          <w:p>
            <w:pPr>
              <w:pStyle w:val="TableText"/>
              <w:ind w:left="197"/>
              <w:spacing w:before="99" w:line="219" w:lineRule="auto"/>
              <w:rPr/>
            </w:pPr>
            <w:r>
              <w:rPr/>
              <w:t>组织应根据风险要素识别的结果，</w:t>
            </w:r>
          </w:p>
          <w:p>
            <w:pPr>
              <w:pStyle w:val="TableText"/>
              <w:ind w:left="167"/>
              <w:spacing w:before="101" w:line="219" w:lineRule="auto"/>
              <w:rPr/>
            </w:pPr>
            <w:r>
              <w:rPr>
                <w:spacing w:val="-1"/>
              </w:rPr>
              <w:t>按照一定的计算方法计算安全事件</w:t>
            </w:r>
          </w:p>
          <w:p>
            <w:pPr>
              <w:pStyle w:val="TableText"/>
              <w:ind w:left="87" w:right="104" w:firstLine="80"/>
              <w:spacing w:before="111" w:line="303" w:lineRule="auto"/>
              <w:rPr/>
            </w:pPr>
            <w:r>
              <w:rPr/>
              <w:t>发生的可能性及安全事件造成的损 </w:t>
            </w:r>
            <w:r>
              <w:rPr>
                <w:spacing w:val="-1"/>
              </w:rPr>
              <w:t>失，并根据风险计算结果综合判定风</w:t>
            </w:r>
            <w:r>
              <w:rPr>
                <w:spacing w:val="5"/>
              </w:rPr>
              <w:t xml:space="preserve"> </w:t>
            </w:r>
            <w:r>
              <w:rPr>
                <w:spacing w:val="2"/>
              </w:rPr>
              <w:t>险等级，排好优先次序</w:t>
            </w:r>
          </w:p>
        </w:tc>
      </w:tr>
      <w:tr>
        <w:trPr>
          <w:trHeight w:val="859" w:hRule="atLeast"/>
        </w:trPr>
        <w:tc>
          <w:tcPr>
            <w:tcW w:w="13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1738" w:type="dxa"/>
            <w:vAlign w:val="top"/>
          </w:tcPr>
          <w:p>
            <w:pPr>
              <w:spacing w:line="310" w:lineRule="auto"/>
              <w:rPr>
                <w:rFonts w:ascii="Arial"/>
                <w:sz w:val="21"/>
              </w:rPr>
            </w:pPr>
            <w:r/>
          </w:p>
          <w:p>
            <w:pPr>
              <w:pStyle w:val="TableText"/>
              <w:ind w:left="245"/>
              <w:spacing w:before="49" w:line="220" w:lineRule="auto"/>
              <w:rPr/>
            </w:pPr>
            <w:r>
              <w:rPr>
                <w:spacing w:val="-1"/>
              </w:rPr>
              <w:t>M4:风险定量分析</w:t>
            </w:r>
          </w:p>
        </w:tc>
        <w:tc>
          <w:tcPr>
            <w:tcW w:w="2592" w:type="dxa"/>
            <w:vAlign w:val="top"/>
          </w:tcPr>
          <w:p>
            <w:pPr>
              <w:pStyle w:val="TableText"/>
              <w:ind w:left="87" w:right="51" w:firstLine="179"/>
              <w:spacing w:before="101" w:line="303" w:lineRule="auto"/>
              <w:jc w:val="both"/>
              <w:rPr/>
            </w:pPr>
            <w:r>
              <w:rPr/>
              <w:t>组织应建立有效的模型，通过不同</w:t>
            </w:r>
            <w:r>
              <w:rPr>
                <w:spacing w:val="12"/>
              </w:rPr>
              <w:t xml:space="preserve"> </w:t>
            </w:r>
            <w:r>
              <w:rPr>
                <w:spacing w:val="-1"/>
              </w:rPr>
              <w:t>来源的数据，使用数字化的尺度来描 </w:t>
            </w:r>
            <w:r>
              <w:rPr>
                <w:spacing w:val="2"/>
              </w:rPr>
              <w:t>述后果和可能性</w:t>
            </w:r>
          </w:p>
        </w:tc>
      </w:tr>
      <w:tr>
        <w:trPr>
          <w:trHeight w:val="1438" w:hRule="atLeast"/>
        </w:trPr>
        <w:tc>
          <w:tcPr>
            <w:tcW w:w="1363" w:type="dxa"/>
            <w:vAlign w:val="top"/>
            <w:vMerge w:val="restart"/>
            <w:tcBorders>
              <w:bottom w:val="nil"/>
            </w:tcBorders>
          </w:tcPr>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95" w:right="214" w:firstLine="149"/>
              <w:spacing w:before="48" w:line="345" w:lineRule="auto"/>
              <w:jc w:val="both"/>
              <w:rPr/>
            </w:pPr>
            <w:r>
              <w:rPr>
                <w:spacing w:val="-1"/>
              </w:rPr>
              <w:t>G3:将组织的</w:t>
            </w:r>
            <w:r>
              <w:rPr/>
              <w:t xml:space="preserve">  </w:t>
            </w:r>
            <w:r>
              <w:rPr>
                <w:spacing w:val="-1"/>
              </w:rPr>
              <w:t>风险控制在可承</w:t>
            </w:r>
          </w:p>
          <w:p>
            <w:pPr>
              <w:pStyle w:val="TableText"/>
              <w:ind w:left="125"/>
              <w:spacing w:line="219" w:lineRule="auto"/>
              <w:rPr/>
            </w:pPr>
            <w:r>
              <w:rPr>
                <w:spacing w:val="4"/>
              </w:rPr>
              <w:t>受的范围内</w:t>
            </w:r>
          </w:p>
        </w:tc>
        <w:tc>
          <w:tcPr>
            <w:tcW w:w="1977" w:type="dxa"/>
            <w:vAlign w:val="top"/>
            <w:vMerge w:val="restart"/>
            <w:tcBorders>
              <w:bottom w:val="nil"/>
            </w:tcBorders>
          </w:tcPr>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TableText"/>
              <w:ind w:left="132" w:right="284" w:firstLine="130"/>
              <w:spacing w:before="49" w:line="282" w:lineRule="auto"/>
              <w:rPr/>
            </w:pPr>
            <w:r>
              <w:rPr>
                <w:spacing w:val="-1"/>
              </w:rPr>
              <w:t>Q3:组织是否有文件化</w:t>
            </w:r>
            <w:r>
              <w:rPr>
                <w:spacing w:val="5"/>
              </w:rPr>
              <w:t xml:space="preserve"> </w:t>
            </w:r>
            <w:r>
              <w:rPr>
                <w:spacing w:val="1"/>
              </w:rPr>
              <w:t>的风险管理程序</w:t>
            </w:r>
          </w:p>
        </w:tc>
        <w:tc>
          <w:tcPr>
            <w:tcW w:w="1738" w:type="dxa"/>
            <w:vAlign w:val="top"/>
          </w:tcPr>
          <w:p>
            <w:pPr>
              <w:spacing w:line="299" w:lineRule="auto"/>
              <w:rPr>
                <w:rFonts w:ascii="Arial"/>
                <w:sz w:val="21"/>
              </w:rPr>
            </w:pPr>
            <w:r/>
          </w:p>
          <w:p>
            <w:pPr>
              <w:spacing w:line="300" w:lineRule="auto"/>
              <w:rPr>
                <w:rFonts w:ascii="Arial"/>
                <w:sz w:val="21"/>
              </w:rPr>
            </w:pPr>
            <w:r/>
          </w:p>
          <w:p>
            <w:pPr>
              <w:pStyle w:val="TableText"/>
              <w:ind w:left="255"/>
              <w:spacing w:before="49" w:line="219" w:lineRule="auto"/>
              <w:rPr/>
            </w:pPr>
            <w:r>
              <w:rPr>
                <w:spacing w:val="-1"/>
              </w:rPr>
              <w:t>M5:风险管理策略</w:t>
            </w:r>
          </w:p>
        </w:tc>
        <w:tc>
          <w:tcPr>
            <w:tcW w:w="2592" w:type="dxa"/>
            <w:vAlign w:val="top"/>
          </w:tcPr>
          <w:p>
            <w:pPr>
              <w:pStyle w:val="TableText"/>
              <w:ind w:left="237"/>
              <w:spacing w:before="102" w:line="219" w:lineRule="auto"/>
              <w:rPr/>
            </w:pPr>
            <w:r>
              <w:rPr>
                <w:spacing w:val="-1"/>
              </w:rPr>
              <w:t>组织应根据ISMS、行业特定因素</w:t>
            </w:r>
          </w:p>
          <w:p>
            <w:pPr>
              <w:pStyle w:val="TableText"/>
              <w:ind w:left="87" w:right="100"/>
              <w:spacing w:before="100" w:line="317" w:lineRule="auto"/>
              <w:rPr/>
            </w:pPr>
            <w:r>
              <w:rPr>
                <w:spacing w:val="-1"/>
              </w:rPr>
              <w:t>制订自己的风险管理办法：全面了解</w:t>
            </w:r>
            <w:r>
              <w:rPr>
                <w:spacing w:val="8"/>
              </w:rPr>
              <w:t xml:space="preserve"> </w:t>
            </w:r>
            <w:r>
              <w:rPr>
                <w:spacing w:val="-1"/>
              </w:rPr>
              <w:t>组织及其面临的威胁，采取适当的措</w:t>
            </w:r>
            <w:r>
              <w:rPr>
                <w:spacing w:val="7"/>
              </w:rPr>
              <w:t xml:space="preserve"> </w:t>
            </w:r>
            <w:r>
              <w:rPr>
                <w:spacing w:val="-1"/>
              </w:rPr>
              <w:t>施应对这些威胁，并持续监控以确保</w:t>
            </w:r>
            <w:r>
              <w:rPr>
                <w:spacing w:val="9"/>
              </w:rPr>
              <w:t xml:space="preserve"> </w:t>
            </w:r>
            <w:r>
              <w:rPr>
                <w:spacing w:val="2"/>
              </w:rPr>
              <w:t>风险级别处于可接受的级别</w:t>
            </w:r>
          </w:p>
        </w:tc>
      </w:tr>
      <w:tr>
        <w:trPr>
          <w:trHeight w:val="1433" w:hRule="atLeast"/>
        </w:trPr>
        <w:tc>
          <w:tcPr>
            <w:tcW w:w="13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1738" w:type="dxa"/>
            <w:vAlign w:val="top"/>
          </w:tcPr>
          <w:p>
            <w:pPr>
              <w:spacing w:line="295" w:lineRule="auto"/>
              <w:rPr>
                <w:rFonts w:ascii="Arial"/>
                <w:sz w:val="21"/>
              </w:rPr>
            </w:pPr>
            <w:r/>
          </w:p>
          <w:p>
            <w:pPr>
              <w:spacing w:line="296" w:lineRule="auto"/>
              <w:rPr>
                <w:rFonts w:ascii="Arial"/>
                <w:sz w:val="21"/>
              </w:rPr>
            </w:pPr>
            <w:r/>
          </w:p>
          <w:p>
            <w:pPr>
              <w:pStyle w:val="TableText"/>
              <w:ind w:left="245"/>
              <w:spacing w:before="49" w:line="219" w:lineRule="auto"/>
              <w:rPr/>
            </w:pPr>
            <w:r>
              <w:rPr>
                <w:spacing w:val="-1"/>
              </w:rPr>
              <w:t>M6:风险趋势分析</w:t>
            </w:r>
          </w:p>
        </w:tc>
        <w:tc>
          <w:tcPr>
            <w:tcW w:w="2592" w:type="dxa"/>
            <w:vAlign w:val="top"/>
          </w:tcPr>
          <w:p>
            <w:pPr>
              <w:pStyle w:val="TableText"/>
              <w:ind w:left="87" w:right="72" w:firstLine="179"/>
              <w:spacing w:before="101" w:line="320" w:lineRule="auto"/>
              <w:jc w:val="both"/>
              <w:rPr/>
            </w:pPr>
            <w:r>
              <w:rPr>
                <w:spacing w:val="-1"/>
              </w:rPr>
              <w:t>组织应建立对风险规划、识别、估</w:t>
            </w:r>
            <w:r>
              <w:rPr>
                <w:spacing w:val="6"/>
              </w:rPr>
              <w:t xml:space="preserve"> </w:t>
            </w:r>
            <w:r>
              <w:rPr>
                <w:spacing w:val="-1"/>
              </w:rPr>
              <w:t>计、评价、应对全过程的监视和控制</w:t>
            </w:r>
            <w:r>
              <w:rPr>
                <w:spacing w:val="9"/>
              </w:rPr>
              <w:t xml:space="preserve"> </w:t>
            </w:r>
            <w:r>
              <w:rPr>
                <w:spacing w:val="-1"/>
              </w:rPr>
              <w:t>机制，从而核对风险管理策略和措施</w:t>
            </w:r>
            <w:r>
              <w:rPr>
                <w:spacing w:val="9"/>
              </w:rPr>
              <w:t xml:space="preserve"> </w:t>
            </w:r>
            <w:r>
              <w:rPr/>
              <w:t>的实际效果是否与预见的相同，并寻</w:t>
            </w:r>
            <w:r>
              <w:rPr>
                <w:spacing w:val="7"/>
              </w:rPr>
              <w:t xml:space="preserve"> </w:t>
            </w:r>
            <w:r>
              <w:rPr>
                <w:spacing w:val="1"/>
              </w:rPr>
              <w:t>找机会改善和细化风险规避计划</w:t>
            </w:r>
          </w:p>
        </w:tc>
      </w:tr>
    </w:tbl>
    <w:p>
      <w:pPr>
        <w:pStyle w:val="BodyText"/>
        <w:spacing w:line="250" w:lineRule="auto"/>
        <w:rPr/>
      </w:pPr>
      <w:r/>
    </w:p>
    <w:p>
      <w:pPr>
        <w:ind w:left="749"/>
        <w:spacing w:before="75" w:line="482" w:lineRule="exact"/>
        <w:rPr>
          <w:rFonts w:ascii="YouYuan" w:hAnsi="YouYuan" w:eastAsia="YouYuan" w:cs="YouYuan"/>
          <w:sz w:val="23"/>
          <w:szCs w:val="23"/>
        </w:rPr>
      </w:pPr>
      <w:r>
        <w:rPr>
          <w:rFonts w:ascii="YouYuan" w:hAnsi="YouYuan" w:eastAsia="YouYuan" w:cs="YouYuan"/>
          <w:sz w:val="23"/>
          <w:szCs w:val="23"/>
          <w:b/>
          <w:bCs/>
          <w:spacing w:val="-10"/>
          <w:position w:val="19"/>
        </w:rPr>
        <w:t>3.</w:t>
      </w:r>
      <w:r>
        <w:rPr>
          <w:rFonts w:ascii="YouYuan" w:hAnsi="YouYuan" w:eastAsia="YouYuan" w:cs="YouYuan"/>
          <w:sz w:val="23"/>
          <w:szCs w:val="23"/>
          <w:spacing w:val="-20"/>
          <w:position w:val="19"/>
        </w:rPr>
        <w:t xml:space="preserve"> </w:t>
      </w:r>
      <w:r>
        <w:rPr>
          <w:rFonts w:ascii="YouYuan" w:hAnsi="YouYuan" w:eastAsia="YouYuan" w:cs="YouYuan"/>
          <w:sz w:val="23"/>
          <w:szCs w:val="23"/>
          <w:b/>
          <w:bCs/>
          <w:spacing w:val="-10"/>
          <w:position w:val="19"/>
        </w:rPr>
        <w:t>成熟度等级介绍</w:t>
      </w:r>
    </w:p>
    <w:p>
      <w:pPr>
        <w:ind w:left="746"/>
        <w:spacing w:before="1" w:line="220" w:lineRule="auto"/>
        <w:rPr>
          <w:rFonts w:ascii="SimHei" w:hAnsi="SimHei" w:eastAsia="SimHei" w:cs="SimHei"/>
          <w:sz w:val="23"/>
          <w:szCs w:val="23"/>
        </w:rPr>
      </w:pPr>
      <w:r>
        <w:rPr>
          <w:rFonts w:ascii="Times New Roman" w:hAnsi="Times New Roman" w:eastAsia="Times New Roman" w:cs="Times New Roman"/>
          <w:sz w:val="23"/>
          <w:szCs w:val="23"/>
          <w:b/>
          <w:bCs/>
          <w:spacing w:val="-8"/>
        </w:rPr>
        <w:t>Level</w:t>
      </w:r>
      <w:r>
        <w:rPr>
          <w:rFonts w:ascii="Times New Roman" w:hAnsi="Times New Roman" w:eastAsia="Times New Roman" w:cs="Times New Roman"/>
          <w:sz w:val="23"/>
          <w:szCs w:val="23"/>
          <w:b/>
          <w:bCs/>
          <w:spacing w:val="15"/>
        </w:rPr>
        <w:t xml:space="preserve"> </w:t>
      </w:r>
      <w:r>
        <w:rPr>
          <w:rFonts w:ascii="Times New Roman" w:hAnsi="Times New Roman" w:eastAsia="Times New Roman" w:cs="Times New Roman"/>
          <w:sz w:val="23"/>
          <w:szCs w:val="23"/>
          <w:b/>
          <w:bCs/>
          <w:spacing w:val="-8"/>
        </w:rPr>
        <w:t>1:</w:t>
      </w:r>
      <w:r>
        <w:rPr>
          <w:rFonts w:ascii="Times New Roman" w:hAnsi="Times New Roman" w:eastAsia="Times New Roman" w:cs="Times New Roman"/>
          <w:sz w:val="23"/>
          <w:szCs w:val="23"/>
          <w:b/>
          <w:bCs/>
          <w:spacing w:val="45"/>
        </w:rPr>
        <w:t xml:space="preserve"> </w:t>
      </w:r>
      <w:r>
        <w:rPr>
          <w:rFonts w:ascii="SimHei" w:hAnsi="SimHei" w:eastAsia="SimHei" w:cs="SimHei"/>
          <w:sz w:val="23"/>
          <w:szCs w:val="23"/>
          <w:b/>
          <w:bCs/>
          <w:spacing w:val="-8"/>
        </w:rPr>
        <w:t>初始级</w:t>
      </w:r>
    </w:p>
    <w:p>
      <w:pPr>
        <w:spacing w:line="116" w:lineRule="exact"/>
        <w:rPr/>
      </w:pPr>
      <w:r/>
    </w:p>
    <w:tbl>
      <w:tblPr>
        <w:tblStyle w:val="TableNormal"/>
        <w:tblW w:w="7680" w:type="dxa"/>
        <w:tblInd w:w="31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58"/>
        <w:gridCol w:w="3758"/>
      </w:tblGrid>
      <w:tr>
        <w:trPr>
          <w:trHeight w:val="352" w:hRule="atLeast"/>
        </w:trPr>
        <w:tc>
          <w:tcPr>
            <w:tcW w:w="764" w:type="dxa"/>
            <w:vAlign w:val="top"/>
          </w:tcPr>
          <w:p>
            <w:pPr>
              <w:pStyle w:val="TableText"/>
              <w:ind w:left="214"/>
              <w:spacing w:before="102" w:line="221" w:lineRule="auto"/>
              <w:rPr>
                <w:sz w:val="16"/>
                <w:szCs w:val="16"/>
              </w:rPr>
            </w:pPr>
            <w:r>
              <w:rPr>
                <w:sz w:val="16"/>
                <w:szCs w:val="16"/>
                <w:spacing w:val="-2"/>
              </w:rPr>
              <w:t>序号</w:t>
            </w:r>
          </w:p>
        </w:tc>
        <w:tc>
          <w:tcPr>
            <w:tcW w:w="3158" w:type="dxa"/>
            <w:vAlign w:val="top"/>
          </w:tcPr>
          <w:p>
            <w:pPr>
              <w:pStyle w:val="TableText"/>
              <w:ind w:left="1151"/>
              <w:spacing w:before="101" w:line="219" w:lineRule="auto"/>
              <w:rPr>
                <w:sz w:val="16"/>
                <w:szCs w:val="16"/>
              </w:rPr>
            </w:pPr>
            <w:r>
              <w:rPr>
                <w:sz w:val="16"/>
                <w:szCs w:val="16"/>
                <w:spacing w:val="-4"/>
              </w:rPr>
              <w:t>等 级 要 求</w:t>
            </w:r>
          </w:p>
        </w:tc>
        <w:tc>
          <w:tcPr>
            <w:tcW w:w="3758" w:type="dxa"/>
            <w:vAlign w:val="top"/>
            <w:tcBorders>
              <w:right w:val="nil"/>
            </w:tcBorders>
          </w:tcPr>
          <w:p>
            <w:pPr>
              <w:pStyle w:val="TableText"/>
              <w:ind w:left="1582"/>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68" w:hRule="atLeast"/>
        </w:trPr>
        <w:tc>
          <w:tcPr>
            <w:tcW w:w="764" w:type="dxa"/>
            <w:vAlign w:val="top"/>
          </w:tcPr>
          <w:p>
            <w:pPr>
              <w:spacing w:line="345" w:lineRule="auto"/>
              <w:rPr>
                <w:rFonts w:ascii="Arial"/>
                <w:sz w:val="21"/>
              </w:rPr>
            </w:pPr>
            <w:r/>
          </w:p>
          <w:p>
            <w:pPr>
              <w:pStyle w:val="TableText"/>
              <w:ind w:left="254"/>
              <w:spacing w:before="52" w:line="184" w:lineRule="auto"/>
              <w:rPr>
                <w:sz w:val="16"/>
                <w:szCs w:val="16"/>
              </w:rPr>
            </w:pPr>
            <w:r>
              <w:rPr>
                <w:sz w:val="16"/>
                <w:szCs w:val="16"/>
                <w:spacing w:val="-5"/>
              </w:rPr>
              <w:t>1.1</w:t>
            </w:r>
          </w:p>
        </w:tc>
        <w:tc>
          <w:tcPr>
            <w:tcW w:w="3158" w:type="dxa"/>
            <w:vAlign w:val="top"/>
          </w:tcPr>
          <w:p>
            <w:pPr>
              <w:spacing w:line="305" w:lineRule="auto"/>
              <w:rPr>
                <w:rFonts w:ascii="Arial"/>
                <w:sz w:val="21"/>
              </w:rPr>
            </w:pPr>
            <w:r/>
          </w:p>
          <w:p>
            <w:pPr>
              <w:pStyle w:val="TableText"/>
              <w:ind w:left="250"/>
              <w:spacing w:before="52" w:line="219" w:lineRule="auto"/>
              <w:rPr>
                <w:sz w:val="16"/>
                <w:szCs w:val="16"/>
              </w:rPr>
            </w:pPr>
            <w:r>
              <w:rPr>
                <w:sz w:val="16"/>
                <w:szCs w:val="16"/>
                <w:spacing w:val="-1"/>
              </w:rPr>
              <w:t>识别并监控风险</w:t>
            </w:r>
          </w:p>
        </w:tc>
        <w:tc>
          <w:tcPr>
            <w:tcW w:w="3758" w:type="dxa"/>
            <w:vAlign w:val="top"/>
            <w:tcBorders>
              <w:right w:val="nil"/>
            </w:tcBorders>
          </w:tcPr>
          <w:p>
            <w:pPr>
              <w:pStyle w:val="TableText"/>
              <w:ind w:left="232"/>
              <w:spacing w:before="99" w:line="219" w:lineRule="auto"/>
              <w:rPr>
                <w:sz w:val="16"/>
                <w:szCs w:val="16"/>
              </w:rPr>
            </w:pPr>
            <w:r>
              <w:rPr>
                <w:sz w:val="16"/>
                <w:szCs w:val="16"/>
                <w:spacing w:val="1"/>
              </w:rPr>
              <w:t>●数据风险列表</w:t>
            </w:r>
          </w:p>
          <w:p>
            <w:pPr>
              <w:pStyle w:val="TableText"/>
              <w:ind w:left="232"/>
              <w:spacing w:before="90" w:line="220" w:lineRule="auto"/>
              <w:rPr>
                <w:sz w:val="16"/>
                <w:szCs w:val="16"/>
              </w:rPr>
            </w:pPr>
            <w:r>
              <w:rPr>
                <w:sz w:val="16"/>
                <w:szCs w:val="16"/>
              </w:rPr>
              <w:t>●现有安全控制措施列表</w:t>
            </w:r>
          </w:p>
          <w:p>
            <w:pPr>
              <w:pStyle w:val="TableText"/>
              <w:ind w:left="232"/>
              <w:spacing w:before="87" w:line="218" w:lineRule="auto"/>
              <w:rPr>
                <w:sz w:val="16"/>
                <w:szCs w:val="16"/>
              </w:rPr>
            </w:pPr>
            <w:r>
              <w:rPr>
                <w:sz w:val="16"/>
                <w:szCs w:val="16"/>
              </w:rPr>
              <w:t>●资产重要性评估列表</w:t>
            </w:r>
          </w:p>
        </w:tc>
      </w:tr>
    </w:tbl>
    <w:p>
      <w:pPr>
        <w:pStyle w:val="BodyText"/>
        <w:rPr/>
      </w:pPr>
      <w:r/>
    </w:p>
    <w:p>
      <w:pPr>
        <w:sectPr>
          <w:footerReference w:type="default" r:id="rId413"/>
          <w:pgSz w:w="8870" w:h="13400"/>
          <w:pgMar w:top="400" w:right="364" w:bottom="432" w:left="503" w:header="0" w:footer="204" w:gutter="0"/>
        </w:sectPr>
        <w:rPr/>
      </w:pPr>
    </w:p>
    <w:p>
      <w:pPr>
        <w:ind w:left="5738"/>
        <w:spacing w:before="174" w:line="219" w:lineRule="auto"/>
        <w:rPr>
          <w:rFonts w:ascii="SimSun" w:hAnsi="SimSun" w:eastAsia="SimSun" w:cs="SimSun"/>
          <w:sz w:val="21"/>
          <w:szCs w:val="21"/>
        </w:rPr>
      </w:pPr>
      <w:r>
        <w:rPr>
          <w:rFonts w:ascii="SimSun" w:hAnsi="SimSun" w:eastAsia="SimSun" w:cs="SimSun"/>
          <w:sz w:val="21"/>
          <w:szCs w:val="21"/>
          <w:b/>
          <w:bCs/>
          <w:spacing w:val="19"/>
        </w:rPr>
        <w:t>第9章■安全与隐私</w:t>
      </w:r>
    </w:p>
    <w:p>
      <w:pPr>
        <w:ind w:left="309"/>
        <w:spacing w:before="305" w:line="219" w:lineRule="auto"/>
        <w:rPr>
          <w:rFonts w:ascii="SimSun" w:hAnsi="SimSun" w:eastAsia="SimSun" w:cs="SimSun"/>
          <w:sz w:val="21"/>
          <w:szCs w:val="21"/>
        </w:rPr>
      </w:pPr>
      <w:r>
        <w:rPr>
          <w:rFonts w:ascii="SimSun" w:hAnsi="SimSun" w:eastAsia="SimSun" w:cs="SimSun"/>
          <w:sz w:val="21"/>
          <w:szCs w:val="21"/>
        </w:rPr>
        <w:t>【成熟度等级说明】</w:t>
      </w:r>
    </w:p>
    <w:p>
      <w:pPr>
        <w:ind w:left="5" w:right="150" w:firstLine="409"/>
        <w:spacing w:before="60" w:line="246" w:lineRule="auto"/>
        <w:rPr>
          <w:rFonts w:ascii="SimSun" w:hAnsi="SimSun" w:eastAsia="SimSun" w:cs="SimSun"/>
          <w:sz w:val="21"/>
          <w:szCs w:val="21"/>
        </w:rPr>
      </w:pPr>
      <w:r>
        <w:rPr>
          <w:rFonts w:ascii="SimSun" w:hAnsi="SimSun" w:eastAsia="SimSun" w:cs="SimSun"/>
          <w:sz w:val="21"/>
          <w:szCs w:val="21"/>
          <w:spacing w:val="-2"/>
        </w:rPr>
        <w:t>风险的识别应包括识别需要保护的资产并赋值，识别资产存在的脆弱性并赋值，</w:t>
      </w:r>
      <w:r>
        <w:rPr>
          <w:rFonts w:ascii="SimSun" w:hAnsi="SimSun" w:eastAsia="SimSun" w:cs="SimSun"/>
          <w:sz w:val="21"/>
          <w:szCs w:val="21"/>
          <w:spacing w:val="13"/>
        </w:rPr>
        <w:t xml:space="preserve"> </w:t>
      </w:r>
      <w:r>
        <w:rPr>
          <w:rFonts w:ascii="SimSun" w:hAnsi="SimSun" w:eastAsia="SimSun" w:cs="SimSun"/>
          <w:sz w:val="21"/>
          <w:szCs w:val="21"/>
        </w:rPr>
        <w:t>识别资产面临的威胁并赋值，确认已有的安全控制措施等四部分内容。</w:t>
      </w:r>
    </w:p>
    <w:p>
      <w:pPr>
        <w:ind w:left="414"/>
        <w:spacing w:before="55" w:line="221" w:lineRule="auto"/>
        <w:rPr>
          <w:rFonts w:ascii="SimHei" w:hAnsi="SimHei" w:eastAsia="SimHei" w:cs="SimHei"/>
          <w:sz w:val="21"/>
          <w:szCs w:val="21"/>
        </w:rPr>
      </w:pPr>
      <w:r>
        <w:rPr>
          <w:rFonts w:ascii="Times New Roman" w:hAnsi="Times New Roman" w:eastAsia="Times New Roman" w:cs="Times New Roman"/>
          <w:sz w:val="21"/>
          <w:szCs w:val="21"/>
          <w:b/>
          <w:bCs/>
          <w:spacing w:val="-3"/>
        </w:rPr>
        <w:t>Level</w:t>
      </w:r>
      <w:r>
        <w:rPr>
          <w:rFonts w:ascii="Times New Roman" w:hAnsi="Times New Roman" w:eastAsia="Times New Roman" w:cs="Times New Roman"/>
          <w:sz w:val="21"/>
          <w:szCs w:val="21"/>
          <w:b/>
          <w:bCs/>
          <w:spacing w:val="26"/>
          <w:w w:val="101"/>
        </w:rPr>
        <w:t xml:space="preserve">  </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b/>
          <w:bCs/>
          <w:spacing w:val="13"/>
          <w:w w:val="101"/>
        </w:rPr>
        <w:t xml:space="preserve"> </w:t>
      </w:r>
      <w:r>
        <w:rPr>
          <w:rFonts w:ascii="SimHei" w:hAnsi="SimHei" w:eastAsia="SimHei" w:cs="SimHei"/>
          <w:sz w:val="21"/>
          <w:szCs w:val="21"/>
          <w:b/>
          <w:bCs/>
          <w:spacing w:val="-3"/>
        </w:rPr>
        <w:t>管理级</w:t>
      </w:r>
    </w:p>
    <w:p>
      <w:pPr>
        <w:spacing w:line="129" w:lineRule="exact"/>
        <w:rPr/>
      </w:pPr>
      <w:r/>
    </w:p>
    <w:tbl>
      <w:tblPr>
        <w:tblStyle w:val="TableNormal"/>
        <w:tblW w:w="76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5"/>
              <w:spacing w:before="260" w:line="184" w:lineRule="auto"/>
              <w:rPr>
                <w:sz w:val="16"/>
                <w:szCs w:val="16"/>
              </w:rPr>
            </w:pPr>
            <w:r>
              <w:rPr>
                <w:sz w:val="16"/>
                <w:szCs w:val="16"/>
                <w:spacing w:val="-2"/>
              </w:rPr>
              <w:t>2.1</w:t>
            </w:r>
          </w:p>
        </w:tc>
        <w:tc>
          <w:tcPr>
            <w:tcW w:w="3156" w:type="dxa"/>
            <w:vAlign w:val="top"/>
          </w:tcPr>
          <w:p>
            <w:pPr>
              <w:pStyle w:val="TableText"/>
              <w:ind w:left="101" w:right="10" w:firstLine="160"/>
              <w:spacing w:before="100" w:line="271" w:lineRule="auto"/>
              <w:rPr>
                <w:sz w:val="16"/>
                <w:szCs w:val="16"/>
              </w:rPr>
            </w:pPr>
            <w:r>
              <w:rPr>
                <w:sz w:val="16"/>
                <w:szCs w:val="16"/>
                <w:spacing w:val="-1"/>
              </w:rPr>
              <w:t>对已识别的风险进行分析、监控，并按优</w:t>
            </w:r>
            <w:r>
              <w:rPr>
                <w:sz w:val="16"/>
                <w:szCs w:val="16"/>
                <w:spacing w:val="11"/>
              </w:rPr>
              <w:t xml:space="preserve"> </w:t>
            </w:r>
            <w:r>
              <w:rPr>
                <w:sz w:val="16"/>
                <w:szCs w:val="16"/>
                <w:spacing w:val="-2"/>
              </w:rPr>
              <w:t>先级进行排序</w:t>
            </w:r>
          </w:p>
        </w:tc>
        <w:tc>
          <w:tcPr>
            <w:tcW w:w="3780" w:type="dxa"/>
            <w:vAlign w:val="top"/>
          </w:tcPr>
          <w:p>
            <w:pPr>
              <w:pStyle w:val="TableText"/>
              <w:ind w:left="265"/>
              <w:spacing w:before="100" w:line="219" w:lineRule="auto"/>
              <w:rPr>
                <w:sz w:val="16"/>
                <w:szCs w:val="16"/>
              </w:rPr>
            </w:pPr>
            <w:r>
              <w:rPr>
                <w:sz w:val="16"/>
                <w:szCs w:val="16"/>
              </w:rPr>
              <w:t>●数据风险等级列表</w:t>
            </w:r>
          </w:p>
          <w:p>
            <w:pPr>
              <w:pStyle w:val="TableText"/>
              <w:ind w:left="265"/>
              <w:spacing w:before="90" w:line="219" w:lineRule="auto"/>
              <w:rPr>
                <w:sz w:val="16"/>
                <w:szCs w:val="16"/>
              </w:rPr>
            </w:pPr>
            <w:r>
              <w:rPr>
                <w:sz w:val="16"/>
                <w:szCs w:val="16"/>
                <w:spacing w:val="1"/>
              </w:rPr>
              <w:t>●重要资产列表</w:t>
            </w:r>
          </w:p>
        </w:tc>
      </w:tr>
    </w:tbl>
    <w:p>
      <w:pPr>
        <w:ind w:left="309"/>
        <w:spacing w:before="194" w:line="219" w:lineRule="auto"/>
        <w:rPr>
          <w:rFonts w:ascii="SimSun" w:hAnsi="SimSun" w:eastAsia="SimSun" w:cs="SimSun"/>
          <w:sz w:val="21"/>
          <w:szCs w:val="21"/>
        </w:rPr>
      </w:pPr>
      <w:r>
        <w:rPr>
          <w:rFonts w:ascii="SimSun" w:hAnsi="SimSun" w:eastAsia="SimSun" w:cs="SimSun"/>
          <w:sz w:val="21"/>
          <w:szCs w:val="21"/>
        </w:rPr>
        <w:t>【成熟度等级说明】</w:t>
      </w:r>
    </w:p>
    <w:p>
      <w:pPr>
        <w:ind w:left="5" w:right="235" w:firstLine="409"/>
        <w:spacing w:before="50" w:line="246" w:lineRule="auto"/>
        <w:rPr>
          <w:rFonts w:ascii="SimSun" w:hAnsi="SimSun" w:eastAsia="SimSun" w:cs="SimSun"/>
          <w:sz w:val="21"/>
          <w:szCs w:val="21"/>
        </w:rPr>
      </w:pPr>
      <w:r>
        <w:rPr>
          <w:rFonts w:ascii="SimSun" w:hAnsi="SimSun" w:eastAsia="SimSun" w:cs="SimSun"/>
          <w:sz w:val="21"/>
          <w:szCs w:val="21"/>
          <w:spacing w:val="2"/>
        </w:rPr>
        <w:t>根据风险要素识别的结果，按照一定的计算方法，如矩阵法，计算安全事件发</w:t>
      </w:r>
      <w:r>
        <w:rPr>
          <w:rFonts w:ascii="SimSun" w:hAnsi="SimSun" w:eastAsia="SimSun" w:cs="SimSun"/>
          <w:sz w:val="21"/>
          <w:szCs w:val="21"/>
        </w:rPr>
        <w:t xml:space="preserve"> </w:t>
      </w:r>
      <w:r>
        <w:rPr>
          <w:rFonts w:ascii="SimSun" w:hAnsi="SimSun" w:eastAsia="SimSun" w:cs="SimSun"/>
          <w:sz w:val="21"/>
          <w:szCs w:val="21"/>
          <w:spacing w:val="-3"/>
        </w:rPr>
        <w:t>生的可能性及安全事件造成的损失。</w:t>
      </w:r>
    </w:p>
    <w:p>
      <w:pPr>
        <w:ind w:left="5" w:right="235" w:firstLine="409"/>
        <w:spacing w:before="62" w:line="250" w:lineRule="auto"/>
        <w:rPr>
          <w:rFonts w:ascii="SimSun" w:hAnsi="SimSun" w:eastAsia="SimSun" w:cs="SimSun"/>
          <w:sz w:val="21"/>
          <w:szCs w:val="21"/>
        </w:rPr>
      </w:pPr>
      <w:r>
        <w:rPr>
          <w:rFonts w:ascii="SimSun" w:hAnsi="SimSun" w:eastAsia="SimSun" w:cs="SimSun"/>
          <w:sz w:val="21"/>
          <w:szCs w:val="21"/>
          <w:spacing w:val="2"/>
        </w:rPr>
        <w:t>根据风险计算结果综合判定风险等级，并排好优先次序：引致最大损失及最可</w:t>
      </w:r>
      <w:r>
        <w:rPr>
          <w:rFonts w:ascii="SimSun" w:hAnsi="SimSun" w:eastAsia="SimSun" w:cs="SimSun"/>
          <w:sz w:val="21"/>
          <w:szCs w:val="21"/>
        </w:rPr>
        <w:t xml:space="preserve"> </w:t>
      </w:r>
      <w:r>
        <w:rPr>
          <w:rFonts w:ascii="SimSun" w:hAnsi="SimSun" w:eastAsia="SimSun" w:cs="SimSun"/>
          <w:sz w:val="21"/>
          <w:szCs w:val="21"/>
        </w:rPr>
        <w:t>能发生的事情优先处理、而相对风险较低的事情则次之。</w:t>
      </w:r>
    </w:p>
    <w:p>
      <w:pPr>
        <w:ind w:left="414"/>
        <w:spacing w:before="55" w:line="221" w:lineRule="auto"/>
        <w:rPr>
          <w:rFonts w:ascii="SimHei" w:hAnsi="SimHei" w:eastAsia="SimHei" w:cs="SimHei"/>
          <w:sz w:val="21"/>
          <w:szCs w:val="21"/>
        </w:rPr>
      </w:pPr>
      <w:r>
        <w:rPr>
          <w:rFonts w:ascii="Times New Roman" w:hAnsi="Times New Roman" w:eastAsia="Times New Roman" w:cs="Times New Roman"/>
          <w:sz w:val="21"/>
          <w:szCs w:val="21"/>
          <w:b/>
          <w:bCs/>
          <w:spacing w:val="-2"/>
        </w:rPr>
        <w:t>Level</w:t>
      </w:r>
      <w:r>
        <w:rPr>
          <w:rFonts w:ascii="Times New Roman" w:hAnsi="Times New Roman" w:eastAsia="Times New Roman" w:cs="Times New Roman"/>
          <w:sz w:val="21"/>
          <w:szCs w:val="21"/>
          <w:b/>
          <w:bCs/>
          <w:spacing w:val="25"/>
          <w:w w:val="101"/>
        </w:rPr>
        <w:t xml:space="preserve">  </w:t>
      </w:r>
      <w:r>
        <w:rPr>
          <w:rFonts w:ascii="Times New Roman" w:hAnsi="Times New Roman" w:eastAsia="Times New Roman" w:cs="Times New Roman"/>
          <w:sz w:val="21"/>
          <w:szCs w:val="21"/>
          <w:b/>
          <w:bCs/>
          <w:spacing w:val="-2"/>
        </w:rPr>
        <w:t>3: </w:t>
      </w:r>
      <w:r>
        <w:rPr>
          <w:rFonts w:ascii="SimHei" w:hAnsi="SimHei" w:eastAsia="SimHei" w:cs="SimHei"/>
          <w:sz w:val="21"/>
          <w:szCs w:val="21"/>
          <w:b/>
          <w:bCs/>
          <w:spacing w:val="-2"/>
        </w:rPr>
        <w:t>定义级</w:t>
      </w:r>
    </w:p>
    <w:p>
      <w:pPr>
        <w:spacing w:line="140" w:lineRule="exact"/>
        <w:rPr/>
      </w:pPr>
      <w:r/>
    </w:p>
    <w:tbl>
      <w:tblPr>
        <w:tblStyle w:val="TableNormal"/>
        <w:tblW w:w="768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6" w:type="dxa"/>
            <w:vAlign w:val="top"/>
          </w:tcPr>
          <w:p>
            <w:pPr>
              <w:pStyle w:val="TableText"/>
              <w:ind w:left="1170"/>
              <w:spacing w:before="101" w:line="219" w:lineRule="auto"/>
              <w:rPr>
                <w:sz w:val="16"/>
                <w:szCs w:val="16"/>
              </w:rPr>
            </w:pPr>
            <w:r>
              <w:rPr>
                <w:sz w:val="16"/>
                <w:szCs w:val="16"/>
                <w:spacing w:val="-6"/>
              </w:rPr>
              <w:t>等 级</w:t>
            </w:r>
            <w:r>
              <w:rPr>
                <w:sz w:val="16"/>
                <w:szCs w:val="16"/>
                <w:spacing w:val="-9"/>
              </w:rPr>
              <w:t xml:space="preserve"> </w:t>
            </w:r>
            <w:r>
              <w:rPr>
                <w:sz w:val="16"/>
                <w:szCs w:val="16"/>
                <w:spacing w:val="-6"/>
              </w:rPr>
              <w:t>要</w:t>
            </w:r>
            <w:r>
              <w:rPr>
                <w:sz w:val="16"/>
                <w:szCs w:val="16"/>
                <w:spacing w:val="-7"/>
              </w:rPr>
              <w:t xml:space="preserve"> </w:t>
            </w:r>
            <w:r>
              <w:rPr>
                <w:sz w:val="16"/>
                <w:szCs w:val="16"/>
                <w:spacing w:val="-6"/>
              </w:rPr>
              <w:t>求</w:t>
            </w:r>
          </w:p>
        </w:tc>
        <w:tc>
          <w:tcPr>
            <w:tcW w:w="378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44" w:type="dxa"/>
            <w:vAlign w:val="top"/>
          </w:tcPr>
          <w:p>
            <w:pPr>
              <w:pStyle w:val="TableText"/>
              <w:ind w:left="244"/>
              <w:spacing w:before="260" w:line="184" w:lineRule="auto"/>
              <w:rPr>
                <w:sz w:val="16"/>
                <w:szCs w:val="16"/>
              </w:rPr>
            </w:pPr>
            <w:r>
              <w:rPr>
                <w:sz w:val="16"/>
                <w:szCs w:val="16"/>
                <w:spacing w:val="-3"/>
              </w:rPr>
              <w:t>3.1</w:t>
            </w:r>
          </w:p>
        </w:tc>
        <w:tc>
          <w:tcPr>
            <w:tcW w:w="3156" w:type="dxa"/>
            <w:vAlign w:val="top"/>
          </w:tcPr>
          <w:p>
            <w:pPr>
              <w:pStyle w:val="TableText"/>
              <w:ind w:left="260"/>
              <w:spacing w:before="220" w:line="219" w:lineRule="auto"/>
              <w:rPr>
                <w:sz w:val="16"/>
                <w:szCs w:val="16"/>
              </w:rPr>
            </w:pPr>
            <w:r>
              <w:rPr>
                <w:sz w:val="16"/>
                <w:szCs w:val="16"/>
                <w:spacing w:val="-1"/>
              </w:rPr>
              <w:t>建立和维护风险管理策略</w:t>
            </w:r>
          </w:p>
        </w:tc>
        <w:tc>
          <w:tcPr>
            <w:tcW w:w="3780" w:type="dxa"/>
            <w:vAlign w:val="top"/>
          </w:tcPr>
          <w:p>
            <w:pPr>
              <w:pStyle w:val="TableText"/>
              <w:ind w:left="264"/>
              <w:spacing w:before="100" w:line="219" w:lineRule="auto"/>
              <w:rPr>
                <w:sz w:val="16"/>
                <w:szCs w:val="16"/>
              </w:rPr>
            </w:pPr>
            <w:r>
              <w:rPr>
                <w:sz w:val="16"/>
                <w:szCs w:val="16"/>
              </w:rPr>
              <w:t>●风险管理办法</w:t>
            </w:r>
          </w:p>
          <w:p>
            <w:pPr>
              <w:pStyle w:val="TableText"/>
              <w:ind w:left="264"/>
              <w:spacing w:before="80" w:line="220" w:lineRule="auto"/>
              <w:rPr>
                <w:sz w:val="16"/>
                <w:szCs w:val="16"/>
              </w:rPr>
            </w:pPr>
            <w:r>
              <w:rPr>
                <w:sz w:val="16"/>
                <w:szCs w:val="16"/>
                <w:spacing w:val="1"/>
              </w:rPr>
              <w:t>●风险处置计划</w:t>
            </w:r>
          </w:p>
        </w:tc>
      </w:tr>
    </w:tbl>
    <w:p>
      <w:pPr>
        <w:ind w:left="309"/>
        <w:spacing w:before="184" w:line="219" w:lineRule="auto"/>
        <w:rPr>
          <w:rFonts w:ascii="SimSun" w:hAnsi="SimSun" w:eastAsia="SimSun" w:cs="SimSun"/>
          <w:sz w:val="21"/>
          <w:szCs w:val="21"/>
        </w:rPr>
      </w:pPr>
      <w:r>
        <w:rPr>
          <w:rFonts w:ascii="SimSun" w:hAnsi="SimSun" w:eastAsia="SimSun" w:cs="SimSun"/>
          <w:sz w:val="21"/>
          <w:szCs w:val="21"/>
        </w:rPr>
        <w:t>【成熟度等级说明】</w:t>
      </w:r>
    </w:p>
    <w:p>
      <w:pPr>
        <w:ind w:left="5" w:right="269" w:firstLine="409"/>
        <w:spacing w:before="70" w:line="242" w:lineRule="auto"/>
        <w:rPr>
          <w:rFonts w:ascii="SimSun" w:hAnsi="SimSun" w:eastAsia="SimSun" w:cs="SimSun"/>
          <w:sz w:val="21"/>
          <w:szCs w:val="21"/>
        </w:rPr>
      </w:pPr>
      <w:r>
        <w:rPr>
          <w:rFonts w:ascii="SimSun" w:hAnsi="SimSun" w:eastAsia="SimSun" w:cs="SimSun"/>
          <w:sz w:val="21"/>
          <w:szCs w:val="21"/>
          <w:spacing w:val="1"/>
        </w:rPr>
        <w:t>安全预算有限，脆弱性的数量却很多，如何才能确定关键脆弱性的处理顺序、</w:t>
      </w:r>
      <w:r>
        <w:rPr>
          <w:rFonts w:ascii="SimSun" w:hAnsi="SimSun" w:eastAsia="SimSun" w:cs="SimSun"/>
          <w:sz w:val="21"/>
          <w:szCs w:val="21"/>
        </w:rPr>
        <w:t xml:space="preserve"> </w:t>
      </w:r>
      <w:r>
        <w:rPr>
          <w:rFonts w:ascii="SimSun" w:hAnsi="SimSun" w:eastAsia="SimSun" w:cs="SimSun"/>
          <w:sz w:val="21"/>
          <w:szCs w:val="21"/>
        </w:rPr>
        <w:t>保证组织优先解决最紧迫的问题并获得最大的投资回报，是风险管</w:t>
      </w:r>
      <w:r>
        <w:rPr>
          <w:rFonts w:ascii="SimSun" w:hAnsi="SimSun" w:eastAsia="SimSun" w:cs="SimSun"/>
          <w:sz w:val="21"/>
          <w:szCs w:val="21"/>
          <w:spacing w:val="-1"/>
        </w:rPr>
        <w:t>理的关键所在。</w:t>
      </w:r>
    </w:p>
    <w:p>
      <w:pPr>
        <w:ind w:left="5" w:right="235" w:firstLine="409"/>
        <w:spacing w:before="61" w:line="261" w:lineRule="auto"/>
        <w:rPr>
          <w:rFonts w:ascii="SimSun" w:hAnsi="SimSun" w:eastAsia="SimSun" w:cs="SimSun"/>
          <w:sz w:val="21"/>
          <w:szCs w:val="21"/>
        </w:rPr>
      </w:pPr>
      <w:r>
        <w:rPr>
          <w:rFonts w:ascii="SimSun" w:hAnsi="SimSun" w:eastAsia="SimSun" w:cs="SimSun"/>
          <w:sz w:val="21"/>
          <w:szCs w:val="21"/>
          <w:spacing w:val="-2"/>
        </w:rPr>
        <w:t>组织应根据</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ISMS</w:t>
      </w:r>
      <w:r>
        <w:rPr>
          <w:rFonts w:ascii="SimSun" w:hAnsi="SimSun" w:eastAsia="SimSun" w:cs="SimSun"/>
          <w:sz w:val="21"/>
          <w:szCs w:val="21"/>
          <w:spacing w:val="-2"/>
        </w:rPr>
        <w:t>、行业特定因素，制订自己的风险管理办法：全面了解组织及</w:t>
      </w:r>
      <w:r>
        <w:rPr>
          <w:rFonts w:ascii="SimSun" w:hAnsi="SimSun" w:eastAsia="SimSun" w:cs="SimSun"/>
          <w:sz w:val="21"/>
          <w:szCs w:val="21"/>
        </w:rPr>
        <w:t xml:space="preserve"> </w:t>
      </w:r>
      <w:r>
        <w:rPr>
          <w:rFonts w:ascii="SimSun" w:hAnsi="SimSun" w:eastAsia="SimSun" w:cs="SimSun"/>
          <w:sz w:val="21"/>
          <w:szCs w:val="21"/>
          <w:spacing w:val="2"/>
        </w:rPr>
        <w:t>其面临的威胁，采取适当的措施应对这些威胁，</w:t>
      </w:r>
      <w:r>
        <w:rPr>
          <w:rFonts w:ascii="SimSun" w:hAnsi="SimSun" w:eastAsia="SimSun" w:cs="SimSun"/>
          <w:sz w:val="21"/>
          <w:szCs w:val="21"/>
          <w:spacing w:val="1"/>
        </w:rPr>
        <w:t>并持续监控以确保风险级别处于可</w:t>
      </w:r>
      <w:r>
        <w:rPr>
          <w:rFonts w:ascii="SimSun" w:hAnsi="SimSun" w:eastAsia="SimSun" w:cs="SimSun"/>
          <w:sz w:val="21"/>
          <w:szCs w:val="21"/>
        </w:rPr>
        <w:t xml:space="preserve"> </w:t>
      </w:r>
      <w:r>
        <w:rPr>
          <w:rFonts w:ascii="SimSun" w:hAnsi="SimSun" w:eastAsia="SimSun" w:cs="SimSun"/>
          <w:sz w:val="21"/>
          <w:szCs w:val="21"/>
          <w:spacing w:val="17"/>
        </w:rPr>
        <w:t>接受的范围。</w:t>
      </w:r>
    </w:p>
    <w:p>
      <w:pPr>
        <w:ind w:left="414"/>
        <w:spacing w:before="77" w:line="219" w:lineRule="auto"/>
        <w:rPr>
          <w:rFonts w:ascii="SimSun" w:hAnsi="SimSun" w:eastAsia="SimSun" w:cs="SimSun"/>
          <w:sz w:val="21"/>
          <w:szCs w:val="21"/>
        </w:rPr>
      </w:pPr>
      <w:r>
        <w:rPr>
          <w:rFonts w:ascii="Times New Roman" w:hAnsi="Times New Roman" w:eastAsia="Times New Roman" w:cs="Times New Roman"/>
          <w:sz w:val="21"/>
          <w:szCs w:val="21"/>
          <w:spacing w:val="-1"/>
        </w:rPr>
        <w:t>NIST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推荐的信息安全风险管理指南包括下列步骤：</w:t>
      </w:r>
    </w:p>
    <w:p>
      <w:pPr>
        <w:ind w:left="414"/>
        <w:spacing w:before="50" w:line="310" w:lineRule="exact"/>
        <w:rPr>
          <w:rFonts w:ascii="SimSun" w:hAnsi="SimSun" w:eastAsia="SimSun" w:cs="SimSun"/>
          <w:sz w:val="21"/>
          <w:szCs w:val="21"/>
        </w:rPr>
      </w:pPr>
      <w:r>
        <w:rPr>
          <w:rFonts w:ascii="STXingkai" w:hAnsi="STXingkai" w:eastAsia="STXingkai" w:cs="STXingkai"/>
          <w:sz w:val="21"/>
          <w:szCs w:val="21"/>
          <w:spacing w:val="-15"/>
          <w:position w:val="2"/>
        </w:rPr>
        <w:t>●</w:t>
      </w:r>
      <w:r>
        <w:rPr>
          <w:rFonts w:ascii="STXingkai" w:hAnsi="STXingkai" w:eastAsia="STXingkai" w:cs="STXingkai"/>
          <w:sz w:val="21"/>
          <w:szCs w:val="21"/>
          <w:spacing w:val="10"/>
          <w:position w:val="2"/>
        </w:rPr>
        <w:t xml:space="preserve">  </w:t>
      </w:r>
      <w:r>
        <w:rPr>
          <w:rFonts w:ascii="SimSun" w:hAnsi="SimSun" w:eastAsia="SimSun" w:cs="SimSun"/>
          <w:sz w:val="21"/>
          <w:szCs w:val="21"/>
          <w:spacing w:val="-15"/>
          <w:position w:val="2"/>
        </w:rPr>
        <w:t>系统特征描述</w:t>
      </w:r>
    </w:p>
    <w:p>
      <w:pPr>
        <w:ind w:left="414"/>
        <w:spacing w:before="3" w:line="220" w:lineRule="auto"/>
        <w:rPr>
          <w:rFonts w:ascii="SimSun" w:hAnsi="SimSun" w:eastAsia="SimSun" w:cs="SimSun"/>
          <w:sz w:val="21"/>
          <w:szCs w:val="21"/>
        </w:rPr>
      </w:pPr>
      <w:r>
        <w:rPr>
          <w:rFonts w:ascii="SimSun" w:hAnsi="SimSun" w:eastAsia="SimSun" w:cs="SimSun"/>
          <w:sz w:val="21"/>
          <w:szCs w:val="21"/>
          <w:spacing w:val="11"/>
        </w:rPr>
        <w:t>●威胁识别</w:t>
      </w:r>
    </w:p>
    <w:p>
      <w:pPr>
        <w:ind w:left="414"/>
        <w:spacing w:before="58" w:line="219" w:lineRule="auto"/>
        <w:rPr>
          <w:rFonts w:ascii="SimSun" w:hAnsi="SimSun" w:eastAsia="SimSun" w:cs="SimSun"/>
          <w:sz w:val="21"/>
          <w:szCs w:val="21"/>
        </w:rPr>
      </w:pPr>
      <w:r>
        <w:rPr>
          <w:rFonts w:ascii="SimSun" w:hAnsi="SimSun" w:eastAsia="SimSun" w:cs="SimSun"/>
          <w:sz w:val="21"/>
          <w:szCs w:val="21"/>
          <w:spacing w:val="9"/>
        </w:rPr>
        <w:t>●脆弱性识别</w:t>
      </w:r>
    </w:p>
    <w:p>
      <w:pPr>
        <w:ind w:left="414"/>
        <w:spacing w:before="63" w:line="220" w:lineRule="auto"/>
        <w:rPr>
          <w:rFonts w:ascii="SimSun" w:hAnsi="SimSun" w:eastAsia="SimSun" w:cs="SimSun"/>
          <w:sz w:val="21"/>
          <w:szCs w:val="21"/>
        </w:rPr>
      </w:pPr>
      <w:r>
        <w:rPr>
          <w:rFonts w:ascii="SimSun" w:hAnsi="SimSun" w:eastAsia="SimSun" w:cs="SimSun"/>
          <w:sz w:val="21"/>
          <w:szCs w:val="21"/>
          <w:spacing w:val="9"/>
        </w:rPr>
        <w:t>●控制分析</w:t>
      </w:r>
    </w:p>
    <w:p>
      <w:pPr>
        <w:ind w:left="414"/>
        <w:spacing w:before="50" w:line="220" w:lineRule="auto"/>
        <w:rPr>
          <w:rFonts w:ascii="SimSun" w:hAnsi="SimSun" w:eastAsia="SimSun" w:cs="SimSun"/>
          <w:sz w:val="21"/>
          <w:szCs w:val="21"/>
        </w:rPr>
      </w:pPr>
      <w:r>
        <w:rPr>
          <w:rFonts w:ascii="SimSun" w:hAnsi="SimSun" w:eastAsia="SimSun" w:cs="SimSun"/>
          <w:sz w:val="21"/>
          <w:szCs w:val="21"/>
          <w:spacing w:val="3"/>
        </w:rPr>
        <w:t>●可能性确定</w:t>
      </w:r>
    </w:p>
    <w:p>
      <w:pPr>
        <w:ind w:left="414"/>
        <w:spacing w:before="69" w:line="220" w:lineRule="auto"/>
        <w:rPr>
          <w:rFonts w:ascii="SimSun" w:hAnsi="SimSun" w:eastAsia="SimSun" w:cs="SimSun"/>
          <w:sz w:val="21"/>
          <w:szCs w:val="21"/>
        </w:rPr>
      </w:pPr>
      <w:r>
        <w:rPr>
          <w:rFonts w:ascii="SimSun" w:hAnsi="SimSun" w:eastAsia="SimSun" w:cs="SimSun"/>
          <w:sz w:val="21"/>
          <w:szCs w:val="21"/>
          <w:spacing w:val="9"/>
        </w:rPr>
        <w:t>●影响分析</w:t>
      </w:r>
    </w:p>
    <w:p>
      <w:pPr>
        <w:ind w:left="414"/>
        <w:spacing w:before="70" w:line="220" w:lineRule="auto"/>
        <w:rPr>
          <w:rFonts w:ascii="SimSun" w:hAnsi="SimSun" w:eastAsia="SimSun" w:cs="SimSun"/>
          <w:sz w:val="21"/>
          <w:szCs w:val="21"/>
        </w:rPr>
      </w:pPr>
      <w:r>
        <w:rPr>
          <w:rFonts w:ascii="SimSun" w:hAnsi="SimSun" w:eastAsia="SimSun" w:cs="SimSun"/>
          <w:sz w:val="21"/>
          <w:szCs w:val="21"/>
          <w:spacing w:val="10"/>
        </w:rPr>
        <w:t>●风险确定</w:t>
      </w:r>
    </w:p>
    <w:p>
      <w:pPr>
        <w:ind w:left="414"/>
        <w:spacing w:before="60" w:line="220" w:lineRule="auto"/>
        <w:rPr>
          <w:rFonts w:ascii="SimSun" w:hAnsi="SimSun" w:eastAsia="SimSun" w:cs="SimSun"/>
          <w:sz w:val="21"/>
          <w:szCs w:val="21"/>
        </w:rPr>
      </w:pPr>
      <w:r>
        <w:rPr>
          <w:rFonts w:ascii="SimSun" w:hAnsi="SimSun" w:eastAsia="SimSun" w:cs="SimSun"/>
          <w:sz w:val="21"/>
          <w:szCs w:val="21"/>
          <w:spacing w:val="9"/>
        </w:rPr>
        <w:t>●控制建议</w:t>
      </w:r>
    </w:p>
    <w:p>
      <w:pPr>
        <w:ind w:left="414"/>
        <w:spacing w:before="70" w:line="220" w:lineRule="auto"/>
        <w:rPr>
          <w:rFonts w:ascii="SimSun" w:hAnsi="SimSun" w:eastAsia="SimSun" w:cs="SimSun"/>
          <w:sz w:val="21"/>
          <w:szCs w:val="21"/>
        </w:rPr>
      </w:pPr>
      <w:r>
        <w:rPr>
          <w:rFonts w:ascii="SimSun" w:hAnsi="SimSun" w:eastAsia="SimSun" w:cs="SimSun"/>
          <w:sz w:val="21"/>
          <w:szCs w:val="21"/>
          <w:spacing w:val="9"/>
        </w:rPr>
        <w:t>●结果记录</w:t>
      </w:r>
    </w:p>
    <w:p>
      <w:pPr>
        <w:spacing w:line="220" w:lineRule="auto"/>
        <w:sectPr>
          <w:footerReference w:type="default" r:id="rId415"/>
          <w:pgSz w:w="8870" w:h="13400"/>
          <w:pgMar w:top="400" w:right="635" w:bottom="637" w:left="374" w:header="0" w:footer="429" w:gutter="0"/>
        </w:sectPr>
        <w:rPr>
          <w:rFonts w:ascii="SimSun" w:hAnsi="SimSun" w:eastAsia="SimSun" w:cs="SimSun"/>
          <w:sz w:val="21"/>
          <w:szCs w:val="21"/>
        </w:rPr>
      </w:pPr>
    </w:p>
    <w:p>
      <w:pPr>
        <w:ind w:left="243"/>
        <w:spacing w:before="216" w:line="219" w:lineRule="auto"/>
        <w:rPr>
          <w:rFonts w:ascii="SimSun" w:hAnsi="SimSun" w:eastAsia="SimSun" w:cs="SimSun"/>
          <w:sz w:val="22"/>
          <w:szCs w:val="22"/>
        </w:rPr>
      </w:pPr>
      <w:r>
        <w:drawing>
          <wp:anchor distT="0" distB="0" distL="0" distR="0" simplePos="0" relativeHeight="257311744" behindDoc="0" locked="0" layoutInCell="0" allowOverlap="1">
            <wp:simplePos x="0" y="0"/>
            <wp:positionH relativeFrom="page">
              <wp:posOffset>393708</wp:posOffset>
            </wp:positionH>
            <wp:positionV relativeFrom="page">
              <wp:posOffset>336531</wp:posOffset>
            </wp:positionV>
            <wp:extent cx="6365" cy="222255"/>
            <wp:effectExtent l="0" t="0" r="0" b="0"/>
            <wp:wrapNone/>
            <wp:docPr id="284" name="IM 284"/>
            <wp:cNvGraphicFramePr/>
            <a:graphic>
              <a:graphicData uri="http://schemas.openxmlformats.org/drawingml/2006/picture">
                <pic:pic>
                  <pic:nvPicPr>
                    <pic:cNvPr id="284" name="IM 284"/>
                    <pic:cNvPicPr/>
                  </pic:nvPicPr>
                  <pic:blipFill>
                    <a:blip r:embed="rId417"/>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5"/>
        </w:rPr>
        <w:t>■云端数据治理</w:t>
      </w:r>
    </w:p>
    <w:p>
      <w:pPr>
        <w:spacing w:before="126"/>
        <w:rPr/>
      </w:pPr>
      <w:r/>
    </w:p>
    <w:tbl>
      <w:tblPr>
        <w:tblStyle w:val="TableNormal"/>
        <w:tblW w:w="768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52" w:hRule="atLeast"/>
        </w:trPr>
        <w:tc>
          <w:tcPr>
            <w:tcW w:w="75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71"/>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68" w:hRule="atLeast"/>
        </w:trPr>
        <w:tc>
          <w:tcPr>
            <w:tcW w:w="754" w:type="dxa"/>
            <w:vAlign w:val="top"/>
          </w:tcPr>
          <w:p>
            <w:pPr>
              <w:spacing w:line="346" w:lineRule="auto"/>
              <w:rPr>
                <w:rFonts w:ascii="Arial"/>
                <w:sz w:val="21"/>
              </w:rPr>
            </w:pPr>
            <w:r/>
          </w:p>
          <w:p>
            <w:pPr>
              <w:pStyle w:val="TableText"/>
              <w:ind w:left="245"/>
              <w:spacing w:before="52" w:line="183" w:lineRule="auto"/>
              <w:rPr>
                <w:sz w:val="16"/>
                <w:szCs w:val="16"/>
              </w:rPr>
            </w:pPr>
            <w:r>
              <w:rPr>
                <w:sz w:val="16"/>
                <w:szCs w:val="16"/>
                <w:spacing w:val="-3"/>
              </w:rPr>
              <w:t>3.2</w:t>
            </w:r>
          </w:p>
        </w:tc>
        <w:tc>
          <w:tcPr>
            <w:tcW w:w="3156" w:type="dxa"/>
            <w:vAlign w:val="top"/>
          </w:tcPr>
          <w:p>
            <w:pPr>
              <w:spacing w:line="306" w:lineRule="auto"/>
              <w:rPr>
                <w:rFonts w:ascii="Arial"/>
                <w:sz w:val="21"/>
              </w:rPr>
            </w:pPr>
            <w:r/>
          </w:p>
          <w:p>
            <w:pPr>
              <w:pStyle w:val="TableText"/>
              <w:ind w:left="281"/>
              <w:spacing w:before="52" w:line="220" w:lineRule="auto"/>
              <w:rPr>
                <w:sz w:val="16"/>
                <w:szCs w:val="16"/>
              </w:rPr>
            </w:pPr>
            <w:r>
              <w:rPr>
                <w:sz w:val="16"/>
                <w:szCs w:val="16"/>
                <w:spacing w:val="-1"/>
              </w:rPr>
              <w:t>建立风险识别、分析的流程</w:t>
            </w:r>
          </w:p>
        </w:tc>
        <w:tc>
          <w:tcPr>
            <w:tcW w:w="3770" w:type="dxa"/>
            <w:vAlign w:val="top"/>
          </w:tcPr>
          <w:p>
            <w:pPr>
              <w:pStyle w:val="TableText"/>
              <w:ind w:left="265"/>
              <w:spacing w:before="90" w:line="220" w:lineRule="auto"/>
              <w:rPr>
                <w:sz w:val="16"/>
                <w:szCs w:val="16"/>
              </w:rPr>
            </w:pPr>
            <w:r>
              <w:rPr>
                <w:sz w:val="16"/>
                <w:szCs w:val="16"/>
                <w:spacing w:val="1"/>
              </w:rPr>
              <w:t>●风险分析程序</w:t>
            </w:r>
          </w:p>
          <w:p>
            <w:pPr>
              <w:pStyle w:val="TableText"/>
              <w:ind w:left="265"/>
              <w:spacing w:before="99" w:line="220" w:lineRule="auto"/>
              <w:rPr>
                <w:sz w:val="16"/>
                <w:szCs w:val="16"/>
              </w:rPr>
            </w:pPr>
            <w:r>
              <w:rPr>
                <w:sz w:val="16"/>
                <w:szCs w:val="16"/>
                <w:spacing w:val="1"/>
              </w:rPr>
              <w:t>●风险分析记录</w:t>
            </w:r>
          </w:p>
          <w:p>
            <w:pPr>
              <w:pStyle w:val="TableText"/>
              <w:ind w:left="265"/>
              <w:spacing w:before="87" w:line="218" w:lineRule="auto"/>
              <w:rPr>
                <w:sz w:val="16"/>
                <w:szCs w:val="16"/>
              </w:rPr>
            </w:pPr>
            <w:r>
              <w:rPr>
                <w:sz w:val="16"/>
                <w:szCs w:val="16"/>
                <w:spacing w:val="1"/>
              </w:rPr>
              <w:t>●风险分析报告</w:t>
            </w:r>
          </w:p>
        </w:tc>
      </w:tr>
    </w:tbl>
    <w:p>
      <w:pPr>
        <w:ind w:left="610"/>
        <w:spacing w:before="20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720"/>
        <w:spacing w:before="39" w:line="220" w:lineRule="auto"/>
        <w:rPr>
          <w:rFonts w:ascii="SimSun" w:hAnsi="SimSun" w:eastAsia="SimSun" w:cs="SimSun"/>
          <w:sz w:val="22"/>
          <w:szCs w:val="22"/>
        </w:rPr>
      </w:pPr>
      <w:r>
        <w:rPr>
          <w:rFonts w:ascii="SimSun" w:hAnsi="SimSun" w:eastAsia="SimSun" w:cs="SimSun"/>
          <w:sz w:val="22"/>
          <w:szCs w:val="22"/>
          <w:spacing w:val="-13"/>
        </w:rPr>
        <w:t>风险分析有下列主要目标：</w:t>
      </w:r>
    </w:p>
    <w:p>
      <w:pPr>
        <w:ind w:left="720"/>
        <w:spacing w:before="43" w:line="242" w:lineRule="auto"/>
        <w:rPr>
          <w:rFonts w:ascii="SimSun" w:hAnsi="SimSun" w:eastAsia="SimSun" w:cs="SimSun"/>
          <w:sz w:val="22"/>
          <w:szCs w:val="22"/>
        </w:rPr>
      </w:pPr>
      <w:r>
        <w:rPr>
          <w:rFonts w:ascii="STXingkai" w:hAnsi="STXingkai" w:eastAsia="STXingkai" w:cs="STXingkai"/>
          <w:sz w:val="22"/>
          <w:szCs w:val="22"/>
          <w:spacing w:val="-15"/>
        </w:rPr>
        <w:t>●</w:t>
      </w:r>
      <w:r>
        <w:rPr>
          <w:rFonts w:ascii="STXingkai" w:hAnsi="STXingkai" w:eastAsia="STXingkai" w:cs="STXingkai"/>
          <w:sz w:val="22"/>
          <w:szCs w:val="22"/>
          <w:spacing w:val="36"/>
          <w:w w:val="101"/>
        </w:rPr>
        <w:t xml:space="preserve"> </w:t>
      </w:r>
      <w:r>
        <w:rPr>
          <w:rFonts w:ascii="SimSun" w:hAnsi="SimSun" w:eastAsia="SimSun" w:cs="SimSun"/>
          <w:sz w:val="22"/>
          <w:szCs w:val="22"/>
          <w:spacing w:val="-15"/>
        </w:rPr>
        <w:t>识别资产和它们对于组织的价值；</w:t>
      </w:r>
    </w:p>
    <w:p>
      <w:pPr>
        <w:ind w:left="720"/>
        <w:spacing w:line="218" w:lineRule="auto"/>
        <w:rPr>
          <w:rFonts w:ascii="SimSun" w:hAnsi="SimSun" w:eastAsia="SimSun" w:cs="SimSun"/>
          <w:sz w:val="22"/>
          <w:szCs w:val="22"/>
        </w:rPr>
      </w:pPr>
      <w:r>
        <w:rPr>
          <w:rFonts w:ascii="SimSun" w:hAnsi="SimSun" w:eastAsia="SimSun" w:cs="SimSun"/>
          <w:sz w:val="22"/>
          <w:szCs w:val="22"/>
          <w:spacing w:val="-10"/>
        </w:rPr>
        <w:t>●识别脆弱性和威胁；</w:t>
      </w:r>
    </w:p>
    <w:p>
      <w:pPr>
        <w:ind w:left="720"/>
        <w:spacing w:before="61" w:line="219" w:lineRule="auto"/>
        <w:rPr>
          <w:rFonts w:ascii="SimSun" w:hAnsi="SimSun" w:eastAsia="SimSun" w:cs="SimSun"/>
          <w:sz w:val="22"/>
          <w:szCs w:val="22"/>
        </w:rPr>
      </w:pPr>
      <w:r>
        <w:rPr>
          <w:rFonts w:ascii="SimSun" w:hAnsi="SimSun" w:eastAsia="SimSun" w:cs="SimSun"/>
          <w:sz w:val="22"/>
          <w:szCs w:val="22"/>
          <w:spacing w:val="-9"/>
        </w:rPr>
        <w:t>●量化潜在威胁的可能性及其对业务的影响；</w:t>
      </w:r>
    </w:p>
    <w:p>
      <w:pPr>
        <w:ind w:left="720"/>
        <w:spacing w:before="27" w:line="219" w:lineRule="auto"/>
        <w:rPr>
          <w:rFonts w:ascii="SimSun" w:hAnsi="SimSun" w:eastAsia="SimSun" w:cs="SimSun"/>
          <w:sz w:val="22"/>
          <w:szCs w:val="22"/>
        </w:rPr>
      </w:pPr>
      <w:r>
        <w:rPr>
          <w:rFonts w:ascii="SimSun" w:hAnsi="SimSun" w:eastAsia="SimSun" w:cs="SimSun"/>
          <w:sz w:val="22"/>
          <w:szCs w:val="22"/>
          <w:spacing w:val="-7"/>
        </w:rPr>
        <w:t>●在威胁的影响和对策的成本之间达到预算</w:t>
      </w:r>
      <w:r>
        <w:rPr>
          <w:rFonts w:ascii="SimSun" w:hAnsi="SimSun" w:eastAsia="SimSun" w:cs="SimSun"/>
          <w:sz w:val="22"/>
          <w:szCs w:val="22"/>
          <w:spacing w:val="-8"/>
        </w:rPr>
        <w:t>的平衡。</w:t>
      </w:r>
    </w:p>
    <w:p>
      <w:pPr>
        <w:ind w:left="240" w:right="58" w:firstLine="480"/>
        <w:spacing w:before="39" w:line="245" w:lineRule="auto"/>
        <w:rPr>
          <w:rFonts w:ascii="SimSun" w:hAnsi="SimSun" w:eastAsia="SimSun" w:cs="SimSun"/>
          <w:sz w:val="22"/>
          <w:szCs w:val="22"/>
        </w:rPr>
      </w:pPr>
      <w:r>
        <w:rPr>
          <w:rFonts w:ascii="SimSun" w:hAnsi="SimSun" w:eastAsia="SimSun" w:cs="SimSun"/>
          <w:sz w:val="22"/>
          <w:szCs w:val="22"/>
          <w:spacing w:val="-8"/>
        </w:rPr>
        <w:t>组织应建立方法、流程，用于在风险事故发生之前系统地、连续地认识所面临</w:t>
      </w:r>
      <w:r>
        <w:rPr>
          <w:rFonts w:ascii="SimSun" w:hAnsi="SimSun" w:eastAsia="SimSun" w:cs="SimSun"/>
          <w:sz w:val="22"/>
          <w:szCs w:val="22"/>
          <w:spacing w:val="7"/>
        </w:rPr>
        <w:t xml:space="preserve"> </w:t>
      </w:r>
      <w:r>
        <w:rPr>
          <w:rFonts w:ascii="SimSun" w:hAnsi="SimSun" w:eastAsia="SimSun" w:cs="SimSun"/>
          <w:sz w:val="22"/>
          <w:szCs w:val="22"/>
          <w:spacing w:val="-10"/>
        </w:rPr>
        <w:t>的各种风险以及分析风险事故发生的潜在原因。</w:t>
      </w:r>
    </w:p>
    <w:p>
      <w:pPr>
        <w:pStyle w:val="BodyText"/>
        <w:ind w:left="720"/>
        <w:spacing w:before="62" w:line="221" w:lineRule="auto"/>
        <w:rPr>
          <w:rFonts w:ascii="SimHei" w:hAnsi="SimHei" w:eastAsia="SimHei" w:cs="SimHei"/>
          <w:sz w:val="22"/>
          <w:szCs w:val="22"/>
        </w:rPr>
      </w:pPr>
      <w:r>
        <w:rPr>
          <w:sz w:val="22"/>
          <w:szCs w:val="22"/>
          <w:b/>
          <w:bCs/>
          <w:spacing w:val="-8"/>
        </w:rPr>
        <w:t>Level 4:</w:t>
      </w:r>
      <w:r>
        <w:rPr>
          <w:sz w:val="22"/>
          <w:szCs w:val="22"/>
          <w:b/>
          <w:bCs/>
          <w:spacing w:val="47"/>
        </w:rPr>
        <w:t xml:space="preserve"> </w:t>
      </w:r>
      <w:r>
        <w:rPr>
          <w:rFonts w:ascii="SimHei" w:hAnsi="SimHei" w:eastAsia="SimHei" w:cs="SimHei"/>
          <w:sz w:val="22"/>
          <w:szCs w:val="22"/>
          <w:b/>
          <w:bCs/>
          <w:spacing w:val="-8"/>
        </w:rPr>
        <w:t>量化级</w:t>
      </w:r>
    </w:p>
    <w:p>
      <w:pPr>
        <w:spacing w:line="118" w:lineRule="exact"/>
        <w:rPr/>
      </w:pPr>
      <w:r/>
    </w:p>
    <w:tbl>
      <w:tblPr>
        <w:tblStyle w:val="TableNormal"/>
        <w:tblW w:w="7680"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56"/>
        <w:gridCol w:w="3760"/>
      </w:tblGrid>
      <w:tr>
        <w:trPr>
          <w:trHeight w:val="350" w:hRule="atLeast"/>
        </w:trPr>
        <w:tc>
          <w:tcPr>
            <w:tcW w:w="764" w:type="dxa"/>
            <w:vAlign w:val="top"/>
          </w:tcPr>
          <w:p>
            <w:pPr>
              <w:pStyle w:val="TableText"/>
              <w:ind w:left="214"/>
              <w:spacing w:before="102" w:line="221" w:lineRule="auto"/>
              <w:rPr>
                <w:sz w:val="16"/>
                <w:szCs w:val="16"/>
              </w:rPr>
            </w:pPr>
            <w:r>
              <w:rPr>
                <w:sz w:val="16"/>
                <w:szCs w:val="16"/>
                <w:spacing w:val="-2"/>
              </w:rPr>
              <w:t>序号</w:t>
            </w:r>
          </w:p>
        </w:tc>
        <w:tc>
          <w:tcPr>
            <w:tcW w:w="3156" w:type="dxa"/>
            <w:vAlign w:val="top"/>
          </w:tcPr>
          <w:p>
            <w:pPr>
              <w:pStyle w:val="TableText"/>
              <w:ind w:left="1160"/>
              <w:spacing w:before="101" w:line="219" w:lineRule="auto"/>
              <w:rPr>
                <w:sz w:val="16"/>
                <w:szCs w:val="16"/>
              </w:rPr>
            </w:pPr>
            <w:r>
              <w:rPr>
                <w:sz w:val="16"/>
                <w:szCs w:val="16"/>
                <w:spacing w:val="-4"/>
              </w:rPr>
              <w:t>等 级 要 求</w:t>
            </w:r>
          </w:p>
        </w:tc>
        <w:tc>
          <w:tcPr>
            <w:tcW w:w="3760" w:type="dxa"/>
            <w:vAlign w:val="top"/>
          </w:tcPr>
          <w:p>
            <w:pPr>
              <w:pStyle w:val="TableText"/>
              <w:ind w:left="158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49" w:hRule="atLeast"/>
        </w:trPr>
        <w:tc>
          <w:tcPr>
            <w:tcW w:w="764" w:type="dxa"/>
            <w:vAlign w:val="top"/>
          </w:tcPr>
          <w:p>
            <w:pPr>
              <w:pStyle w:val="TableText"/>
              <w:ind w:left="254"/>
              <w:spacing w:before="142" w:line="184" w:lineRule="auto"/>
              <w:rPr>
                <w:sz w:val="16"/>
                <w:szCs w:val="16"/>
              </w:rPr>
            </w:pPr>
            <w:r>
              <w:rPr>
                <w:sz w:val="16"/>
                <w:szCs w:val="16"/>
                <w:spacing w:val="-2"/>
              </w:rPr>
              <w:t>4.1</w:t>
            </w:r>
          </w:p>
        </w:tc>
        <w:tc>
          <w:tcPr>
            <w:tcW w:w="3156" w:type="dxa"/>
            <w:vAlign w:val="top"/>
          </w:tcPr>
          <w:p>
            <w:pPr>
              <w:pStyle w:val="TableText"/>
              <w:ind w:left="250"/>
              <w:spacing w:before="102" w:line="220" w:lineRule="auto"/>
              <w:rPr>
                <w:sz w:val="16"/>
                <w:szCs w:val="16"/>
              </w:rPr>
            </w:pPr>
            <w:r>
              <w:rPr>
                <w:sz w:val="16"/>
                <w:szCs w:val="16"/>
                <w:spacing w:val="-1"/>
              </w:rPr>
              <w:t>对风险进行定量分析</w:t>
            </w:r>
          </w:p>
        </w:tc>
        <w:tc>
          <w:tcPr>
            <w:tcW w:w="3760" w:type="dxa"/>
            <w:vAlign w:val="top"/>
          </w:tcPr>
          <w:p>
            <w:pPr>
              <w:pStyle w:val="TableText"/>
              <w:ind w:left="254"/>
              <w:spacing w:before="101" w:line="219" w:lineRule="auto"/>
              <w:rPr>
                <w:sz w:val="16"/>
                <w:szCs w:val="16"/>
              </w:rPr>
            </w:pPr>
            <w:r>
              <w:rPr>
                <w:sz w:val="16"/>
                <w:szCs w:val="16"/>
              </w:rPr>
              <w:t>●数据风险分析记录</w:t>
            </w:r>
          </w:p>
        </w:tc>
      </w:tr>
    </w:tbl>
    <w:p>
      <w:pPr>
        <w:ind w:left="61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0" w:right="64" w:firstLine="480"/>
        <w:spacing w:before="57" w:line="247" w:lineRule="auto"/>
        <w:rPr>
          <w:rFonts w:ascii="SimSun" w:hAnsi="SimSun" w:eastAsia="SimSun" w:cs="SimSun"/>
          <w:sz w:val="22"/>
          <w:szCs w:val="22"/>
        </w:rPr>
      </w:pPr>
      <w:r>
        <w:rPr>
          <w:rFonts w:ascii="SimSun" w:hAnsi="SimSun" w:eastAsia="SimSun" w:cs="SimSun"/>
          <w:sz w:val="22"/>
          <w:szCs w:val="22"/>
          <w:spacing w:val="-8"/>
        </w:rPr>
        <w:t>建立有效的模型，通过不同来源的数据，使用数字化的尺度来描述后果和可能</w:t>
      </w:r>
      <w:r>
        <w:rPr>
          <w:rFonts w:ascii="SimSun" w:hAnsi="SimSun" w:eastAsia="SimSun" w:cs="SimSun"/>
          <w:sz w:val="22"/>
          <w:szCs w:val="22"/>
          <w:spacing w:val="1"/>
        </w:rPr>
        <w:t xml:space="preserve"> </w:t>
      </w:r>
      <w:r>
        <w:rPr>
          <w:rFonts w:ascii="SimSun" w:hAnsi="SimSun" w:eastAsia="SimSun" w:cs="SimSun"/>
          <w:sz w:val="22"/>
          <w:szCs w:val="22"/>
          <w:spacing w:val="-8"/>
        </w:rPr>
        <w:t>性(而不是定性评估中所使用的描述性尺度)。在很多情况下，定量估算使用历史的</w:t>
      </w:r>
      <w:r>
        <w:rPr>
          <w:rFonts w:ascii="SimSun" w:hAnsi="SimSun" w:eastAsia="SimSun" w:cs="SimSun"/>
          <w:sz w:val="22"/>
          <w:szCs w:val="22"/>
          <w:spacing w:val="1"/>
        </w:rPr>
        <w:t xml:space="preserve"> </w:t>
      </w:r>
      <w:r>
        <w:rPr>
          <w:rFonts w:ascii="SimSun" w:hAnsi="SimSun" w:eastAsia="SimSun" w:cs="SimSun"/>
          <w:sz w:val="22"/>
          <w:szCs w:val="22"/>
          <w:spacing w:val="-10"/>
        </w:rPr>
        <w:t>事件数据，优势是其直接与信息安全目标和组织所关心的问题相关。</w:t>
      </w:r>
    </w:p>
    <w:p>
      <w:pPr>
        <w:ind w:left="722"/>
        <w:spacing w:before="34" w:line="221" w:lineRule="auto"/>
        <w:rPr>
          <w:rFonts w:ascii="SimHei" w:hAnsi="SimHei" w:eastAsia="SimHei" w:cs="SimHei"/>
          <w:sz w:val="22"/>
          <w:szCs w:val="22"/>
        </w:rPr>
      </w:pPr>
      <w:r>
        <w:rPr>
          <w:rFonts w:ascii="SimSun" w:hAnsi="SimSun" w:eastAsia="SimSun" w:cs="SimSun"/>
          <w:sz w:val="22"/>
          <w:szCs w:val="22"/>
          <w:b/>
          <w:bCs/>
          <w:spacing w:val="-15"/>
        </w:rPr>
        <w:t>Level</w:t>
      </w:r>
      <w:r>
        <w:rPr>
          <w:rFonts w:ascii="SimSun" w:hAnsi="SimSun" w:eastAsia="SimSun" w:cs="SimSun"/>
          <w:sz w:val="22"/>
          <w:szCs w:val="22"/>
          <w:spacing w:val="-15"/>
        </w:rPr>
        <w:t xml:space="preserve"> </w:t>
      </w:r>
      <w:r>
        <w:rPr>
          <w:rFonts w:ascii="SimSun" w:hAnsi="SimSun" w:eastAsia="SimSun" w:cs="SimSun"/>
          <w:sz w:val="22"/>
          <w:szCs w:val="22"/>
          <w:b/>
          <w:bCs/>
          <w:spacing w:val="-15"/>
        </w:rPr>
        <w:t>5:</w:t>
      </w:r>
      <w:r>
        <w:rPr>
          <w:rFonts w:ascii="SimSun" w:hAnsi="SimSun" w:eastAsia="SimSun" w:cs="SimSun"/>
          <w:sz w:val="22"/>
          <w:szCs w:val="22"/>
          <w:spacing w:val="-15"/>
        </w:rPr>
        <w:t xml:space="preserve"> </w:t>
      </w:r>
      <w:r>
        <w:rPr>
          <w:rFonts w:ascii="SimHei" w:hAnsi="SimHei" w:eastAsia="SimHei" w:cs="SimHei"/>
          <w:sz w:val="22"/>
          <w:szCs w:val="22"/>
          <w:b/>
          <w:bCs/>
          <w:spacing w:val="-15"/>
        </w:rPr>
        <w:t>优化级</w:t>
      </w:r>
    </w:p>
    <w:p>
      <w:pPr>
        <w:spacing w:line="138" w:lineRule="exact"/>
        <w:rPr/>
      </w:pPr>
      <w:r/>
    </w:p>
    <w:tbl>
      <w:tblPr>
        <w:tblStyle w:val="TableNormal"/>
        <w:tblW w:w="767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60"/>
      </w:tblGrid>
      <w:tr>
        <w:trPr>
          <w:trHeight w:val="352" w:hRule="atLeast"/>
        </w:trPr>
        <w:tc>
          <w:tcPr>
            <w:tcW w:w="744" w:type="dxa"/>
            <w:vAlign w:val="top"/>
          </w:tcPr>
          <w:p>
            <w:pPr>
              <w:pStyle w:val="TableText"/>
              <w:ind w:left="215"/>
              <w:spacing w:before="102" w:line="221" w:lineRule="auto"/>
              <w:rPr/>
            </w:pPr>
            <w:r>
              <w:rPr>
                <w:spacing w:val="-2"/>
              </w:rPr>
              <w:t>序号</w:t>
            </w:r>
          </w:p>
        </w:tc>
        <w:tc>
          <w:tcPr>
            <w:tcW w:w="316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4"/>
              <w:spacing w:before="101" w:line="220" w:lineRule="auto"/>
              <w:rPr/>
            </w:pPr>
            <w:r>
              <w:rPr>
                <w:spacing w:val="-5"/>
              </w:rPr>
              <w:t>实</w:t>
            </w:r>
            <w:r>
              <w:rPr>
                <w:spacing w:val="6"/>
              </w:rPr>
              <w:t xml:space="preserve">    </w:t>
            </w:r>
            <w:r>
              <w:rPr>
                <w:spacing w:val="-5"/>
              </w:rPr>
              <w:t>例</w:t>
            </w:r>
          </w:p>
        </w:tc>
      </w:tr>
      <w:tr>
        <w:trPr>
          <w:trHeight w:val="877" w:hRule="atLeast"/>
        </w:trPr>
        <w:tc>
          <w:tcPr>
            <w:tcW w:w="744" w:type="dxa"/>
            <w:vAlign w:val="top"/>
          </w:tcPr>
          <w:p>
            <w:pPr>
              <w:spacing w:line="356" w:lineRule="auto"/>
              <w:rPr>
                <w:rFonts w:ascii="Arial"/>
                <w:sz w:val="21"/>
              </w:rPr>
            </w:pPr>
            <w:r/>
          </w:p>
          <w:p>
            <w:pPr>
              <w:pStyle w:val="TableText"/>
              <w:ind w:left="245"/>
              <w:spacing w:before="48" w:line="184" w:lineRule="auto"/>
              <w:rPr/>
            </w:pPr>
            <w:r>
              <w:rPr>
                <w:spacing w:val="-2"/>
              </w:rPr>
              <w:t>5.1</w:t>
            </w:r>
          </w:p>
        </w:tc>
        <w:tc>
          <w:tcPr>
            <w:tcW w:w="3166" w:type="dxa"/>
            <w:vAlign w:val="top"/>
          </w:tcPr>
          <w:p>
            <w:pPr>
              <w:pStyle w:val="TableText"/>
              <w:ind w:left="91" w:right="192" w:firstLine="179"/>
              <w:spacing w:before="248" w:line="277" w:lineRule="auto"/>
              <w:rPr/>
            </w:pPr>
            <w:r>
              <w:rPr>
                <w:spacing w:val="-1"/>
              </w:rPr>
              <w:t>建立风险监控机制，并对风险趋势进行分</w:t>
            </w:r>
            <w:r>
              <w:rPr>
                <w:spacing w:val="9"/>
              </w:rPr>
              <w:t xml:space="preserve"> </w:t>
            </w:r>
            <w:r>
              <w:rPr/>
              <w:t>析</w:t>
            </w:r>
          </w:p>
        </w:tc>
        <w:tc>
          <w:tcPr>
            <w:tcW w:w="3760" w:type="dxa"/>
            <w:vAlign w:val="top"/>
          </w:tcPr>
          <w:p>
            <w:pPr>
              <w:pStyle w:val="TableText"/>
              <w:ind w:left="265"/>
              <w:spacing w:before="99" w:line="219" w:lineRule="auto"/>
              <w:rPr/>
            </w:pPr>
            <w:r>
              <w:rPr/>
              <w:t>●数据风险监控管理程序</w:t>
            </w:r>
          </w:p>
          <w:p>
            <w:pPr>
              <w:pStyle w:val="TableText"/>
              <w:ind w:left="265"/>
              <w:spacing w:before="102" w:line="220" w:lineRule="auto"/>
              <w:rPr/>
            </w:pPr>
            <w:r>
              <w:rPr>
                <w:spacing w:val="1"/>
              </w:rPr>
              <w:t>●风险监控记录</w:t>
            </w:r>
          </w:p>
          <w:p>
            <w:pPr>
              <w:pStyle w:val="TableText"/>
              <w:ind w:left="265"/>
              <w:spacing w:before="90" w:line="219" w:lineRule="auto"/>
              <w:rPr/>
            </w:pPr>
            <w:r>
              <w:rPr/>
              <w:t>●风险管理策略改善记录</w:t>
            </w:r>
          </w:p>
        </w:tc>
      </w:tr>
    </w:tbl>
    <w:p>
      <w:pPr>
        <w:ind w:left="610"/>
        <w:spacing w:before="16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40" w:right="64" w:firstLine="480"/>
        <w:spacing w:before="48" w:line="256" w:lineRule="auto"/>
        <w:rPr>
          <w:rFonts w:ascii="SimSun" w:hAnsi="SimSun" w:eastAsia="SimSun" w:cs="SimSun"/>
          <w:sz w:val="22"/>
          <w:szCs w:val="22"/>
        </w:rPr>
      </w:pPr>
      <w:r>
        <w:rPr>
          <w:rFonts w:ascii="SimSun" w:hAnsi="SimSun" w:eastAsia="SimSun" w:cs="SimSun"/>
          <w:sz w:val="22"/>
          <w:szCs w:val="22"/>
          <w:spacing w:val="-11"/>
        </w:rPr>
        <w:t>风险是随着内部/外部环境的变化而变化的，它们在经营活动的推进过程中可能</w:t>
      </w:r>
      <w:r>
        <w:rPr>
          <w:rFonts w:ascii="SimSun" w:hAnsi="SimSun" w:eastAsia="SimSun" w:cs="SimSun"/>
          <w:sz w:val="22"/>
          <w:szCs w:val="22"/>
          <w:spacing w:val="4"/>
        </w:rPr>
        <w:t xml:space="preserve"> </w:t>
      </w:r>
      <w:r>
        <w:rPr>
          <w:rFonts w:ascii="SimSun" w:hAnsi="SimSun" w:eastAsia="SimSun" w:cs="SimSun"/>
          <w:sz w:val="22"/>
          <w:szCs w:val="22"/>
          <w:spacing w:val="-9"/>
        </w:rPr>
        <w:t>会增大或者衰退乃至消失，也可能由于环境的变化又生成新的风险。应建立对风险 </w:t>
      </w:r>
      <w:r>
        <w:rPr>
          <w:rFonts w:ascii="SimSun" w:hAnsi="SimSun" w:eastAsia="SimSun" w:cs="SimSun"/>
          <w:sz w:val="22"/>
          <w:szCs w:val="22"/>
          <w:spacing w:val="-9"/>
        </w:rPr>
        <w:t>规划、识别、估计、评价、应对全过程的监视和控制机制，从而核对风险管理策略 </w:t>
      </w:r>
      <w:r>
        <w:rPr>
          <w:rFonts w:ascii="SimSun" w:hAnsi="SimSun" w:eastAsia="SimSun" w:cs="SimSun"/>
          <w:sz w:val="22"/>
          <w:szCs w:val="22"/>
          <w:spacing w:val="-10"/>
        </w:rPr>
        <w:t>和措施的实际效果是否与预见的相同，并寻找机会改善和细化风险规避计划。</w:t>
      </w:r>
    </w:p>
    <w:p>
      <w:pPr>
        <w:spacing w:line="116" w:lineRule="exact"/>
        <w:rPr/>
      </w:pPr>
      <w:r/>
    </w:p>
    <w:tbl>
      <w:tblPr>
        <w:tblStyle w:val="TableNormal"/>
        <w:tblW w:w="7659" w:type="dxa"/>
        <w:tblInd w:w="3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50"/>
      </w:tblGrid>
      <w:tr>
        <w:trPr>
          <w:trHeight w:val="351"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3" w:lineRule="auto"/>
              <w:rPr/>
            </w:pPr>
            <w:r>
              <w:rPr>
                <w:spacing w:val="-2"/>
              </w:rPr>
              <w:t>5.2</w:t>
            </w:r>
          </w:p>
        </w:tc>
        <w:tc>
          <w:tcPr>
            <w:tcW w:w="3165" w:type="dxa"/>
            <w:vAlign w:val="top"/>
          </w:tcPr>
          <w:p>
            <w:pPr>
              <w:pStyle w:val="TableText"/>
              <w:ind w:left="270"/>
              <w:spacing w:before="230" w:line="219" w:lineRule="auto"/>
              <w:rPr/>
            </w:pPr>
            <w:r>
              <w:rPr>
                <w:spacing w:val="-1"/>
              </w:rPr>
              <w:t>密切关注最新风险管理理论及技术</w:t>
            </w:r>
          </w:p>
        </w:tc>
        <w:tc>
          <w:tcPr>
            <w:tcW w:w="3750" w:type="dxa"/>
            <w:vAlign w:val="top"/>
          </w:tcPr>
          <w:p>
            <w:pPr>
              <w:pStyle w:val="TableText"/>
              <w:ind w:left="265"/>
              <w:spacing w:before="99" w:line="219" w:lineRule="auto"/>
              <w:rPr/>
            </w:pPr>
            <w:r>
              <w:rPr/>
              <w:t>●最新风险管理研究成果</w:t>
            </w:r>
          </w:p>
          <w:p>
            <w:pPr>
              <w:pStyle w:val="TableText"/>
              <w:ind w:left="265"/>
              <w:spacing w:before="92" w:line="219" w:lineRule="auto"/>
              <w:rPr/>
            </w:pPr>
            <w:r>
              <w:rPr/>
              <w:t>●监控、审计机制优化方案</w:t>
            </w:r>
          </w:p>
        </w:tc>
      </w:tr>
    </w:tbl>
    <w:p>
      <w:pPr>
        <w:pStyle w:val="BodyText"/>
        <w:rPr/>
      </w:pPr>
      <w:r/>
    </w:p>
    <w:p>
      <w:pPr>
        <w:sectPr>
          <w:footerReference w:type="default" r:id="rId416"/>
          <w:pgSz w:w="8870" w:h="13400"/>
          <w:pgMar w:top="400" w:right="395" w:bottom="604" w:left="479" w:header="0" w:footer="386" w:gutter="0"/>
        </w:sectPr>
        <w:rPr/>
      </w:pPr>
    </w:p>
    <w:p>
      <w:pPr>
        <w:ind w:left="5828"/>
        <w:spacing w:before="234" w:line="219" w:lineRule="auto"/>
        <w:rPr>
          <w:rFonts w:ascii="SimSun" w:hAnsi="SimSun" w:eastAsia="SimSun" w:cs="SimSun"/>
          <w:sz w:val="21"/>
          <w:szCs w:val="21"/>
        </w:rPr>
      </w:pPr>
      <w:r>
        <w:rPr>
          <w:rFonts w:ascii="SimSun" w:hAnsi="SimSun" w:eastAsia="SimSun" w:cs="SimSun"/>
          <w:sz w:val="21"/>
          <w:szCs w:val="21"/>
          <w:b/>
          <w:bCs/>
          <w:spacing w:val="19"/>
        </w:rPr>
        <w:t>第9章■安全与隐私</w:t>
      </w:r>
    </w:p>
    <w:p>
      <w:pPr>
        <w:pStyle w:val="BodyText"/>
        <w:spacing w:line="255" w:lineRule="auto"/>
        <w:rPr/>
      </w:pPr>
      <w:r/>
    </w:p>
    <w:p>
      <w:pPr>
        <w:ind w:left="409"/>
        <w:spacing w:before="68" w:line="219" w:lineRule="auto"/>
        <w:rPr>
          <w:rFonts w:ascii="SimSun" w:hAnsi="SimSun" w:eastAsia="SimSun" w:cs="SimSun"/>
          <w:sz w:val="21"/>
          <w:szCs w:val="21"/>
        </w:rPr>
      </w:pPr>
      <w:r>
        <w:rPr>
          <w:rFonts w:ascii="SimSun" w:hAnsi="SimSun" w:eastAsia="SimSun" w:cs="SimSun"/>
          <w:sz w:val="21"/>
          <w:szCs w:val="21"/>
        </w:rPr>
        <w:t>【成熟度等级说明】</w:t>
      </w:r>
    </w:p>
    <w:p>
      <w:pPr>
        <w:ind w:left="105" w:right="254" w:firstLine="409"/>
        <w:spacing w:before="59" w:line="242" w:lineRule="auto"/>
        <w:rPr>
          <w:rFonts w:ascii="SimSun" w:hAnsi="SimSun" w:eastAsia="SimSun" w:cs="SimSun"/>
          <w:sz w:val="21"/>
          <w:szCs w:val="21"/>
        </w:rPr>
      </w:pPr>
      <w:r>
        <w:rPr>
          <w:rFonts w:ascii="SimSun" w:hAnsi="SimSun" w:eastAsia="SimSun" w:cs="SimSun"/>
          <w:sz w:val="21"/>
          <w:szCs w:val="21"/>
          <w:spacing w:val="2"/>
        </w:rPr>
        <w:t>密切关注国内外的风险管理的方法论，持续优化安全监控和审计机制。持续关</w:t>
      </w:r>
      <w:r>
        <w:rPr>
          <w:rFonts w:ascii="SimSun" w:hAnsi="SimSun" w:eastAsia="SimSun" w:cs="SimSun"/>
          <w:sz w:val="21"/>
          <w:szCs w:val="21"/>
          <w:spacing w:val="11"/>
        </w:rPr>
        <w:t xml:space="preserve"> </w:t>
      </w:r>
      <w:r>
        <w:rPr>
          <w:rFonts w:ascii="SimSun" w:hAnsi="SimSun" w:eastAsia="SimSun" w:cs="SimSun"/>
          <w:sz w:val="21"/>
          <w:szCs w:val="21"/>
        </w:rPr>
        <w:t>注国内外最新的风险管理技术方法，提升风险发现和</w:t>
      </w:r>
      <w:r>
        <w:rPr>
          <w:rFonts w:ascii="SimSun" w:hAnsi="SimSun" w:eastAsia="SimSun" w:cs="SimSun"/>
          <w:sz w:val="21"/>
          <w:szCs w:val="21"/>
          <w:spacing w:val="-1"/>
        </w:rPr>
        <w:t>跟进的能力。</w:t>
      </w:r>
    </w:p>
    <w:p>
      <w:pPr>
        <w:ind w:left="517"/>
        <w:spacing w:before="204" w:line="224" w:lineRule="auto"/>
        <w:outlineLvl w:val="4"/>
        <w:rPr>
          <w:rFonts w:ascii="YouYuan" w:hAnsi="YouYuan" w:eastAsia="YouYuan" w:cs="YouYuan"/>
          <w:sz w:val="21"/>
          <w:szCs w:val="21"/>
        </w:rPr>
      </w:pPr>
      <w:r>
        <w:rPr>
          <w:rFonts w:ascii="YouYuan" w:hAnsi="YouYuan" w:eastAsia="YouYuan" w:cs="YouYuan"/>
          <w:sz w:val="21"/>
          <w:szCs w:val="21"/>
          <w:b/>
          <w:bCs/>
          <w:spacing w:val="7"/>
        </w:rPr>
        <w:t>4.</w:t>
      </w:r>
      <w:r>
        <w:rPr>
          <w:rFonts w:ascii="YouYuan" w:hAnsi="YouYuan" w:eastAsia="YouYuan" w:cs="YouYuan"/>
          <w:sz w:val="21"/>
          <w:szCs w:val="21"/>
          <w:spacing w:val="7"/>
        </w:rPr>
        <w:t xml:space="preserve"> </w:t>
      </w:r>
      <w:r>
        <w:rPr>
          <w:rFonts w:ascii="YouYuan" w:hAnsi="YouYuan" w:eastAsia="YouYuan" w:cs="YouYuan"/>
          <w:sz w:val="21"/>
          <w:szCs w:val="21"/>
          <w:b/>
          <w:bCs/>
          <w:spacing w:val="7"/>
        </w:rPr>
        <w:t>实施案例</w:t>
      </w:r>
    </w:p>
    <w:p>
      <w:pPr>
        <w:ind w:left="514"/>
        <w:spacing w:before="250" w:line="218" w:lineRule="auto"/>
        <w:rPr>
          <w:rFonts w:ascii="SimSun" w:hAnsi="SimSun" w:eastAsia="SimSun" w:cs="SimSun"/>
          <w:sz w:val="21"/>
          <w:szCs w:val="21"/>
        </w:rPr>
      </w:pPr>
      <w:r>
        <w:rPr>
          <w:rFonts w:ascii="SimSun" w:hAnsi="SimSun" w:eastAsia="SimSun" w:cs="SimSun"/>
          <w:sz w:val="21"/>
          <w:szCs w:val="21"/>
          <w:spacing w:val="-1"/>
        </w:rPr>
        <w:t>数据风险评估是风险管理的重点内容，风险管理的实施过程包括：</w:t>
      </w:r>
    </w:p>
    <w:p>
      <w:pPr>
        <w:ind w:left="514"/>
        <w:spacing w:before="52" w:line="218" w:lineRule="auto"/>
        <w:rPr>
          <w:rFonts w:ascii="SimSun" w:hAnsi="SimSun" w:eastAsia="SimSun" w:cs="SimSun"/>
          <w:sz w:val="21"/>
          <w:szCs w:val="21"/>
        </w:rPr>
      </w:pPr>
      <w:r>
        <w:rPr>
          <w:rFonts w:ascii="SimSun" w:hAnsi="SimSun" w:eastAsia="SimSun" w:cs="SimSun"/>
          <w:sz w:val="21"/>
          <w:szCs w:val="21"/>
          <w:spacing w:val="7"/>
        </w:rPr>
        <w:t>(1)风险评估与管理培训</w:t>
      </w:r>
    </w:p>
    <w:p>
      <w:pPr>
        <w:ind w:left="105" w:right="251" w:firstLine="409"/>
        <w:spacing w:before="63" w:line="254" w:lineRule="auto"/>
        <w:rPr>
          <w:rFonts w:ascii="SimSun" w:hAnsi="SimSun" w:eastAsia="SimSun" w:cs="SimSun"/>
          <w:sz w:val="21"/>
          <w:szCs w:val="21"/>
        </w:rPr>
      </w:pPr>
      <w:r>
        <w:rPr>
          <w:rFonts w:ascii="SimSun" w:hAnsi="SimSun" w:eastAsia="SimSun" w:cs="SimSun"/>
          <w:sz w:val="21"/>
          <w:szCs w:val="21"/>
          <w:spacing w:val="2"/>
        </w:rPr>
        <w:t>公司请风险评估专家为公司进行风险评估与管理技术培训，培训对象为信息安</w:t>
      </w:r>
      <w:r>
        <w:rPr>
          <w:rFonts w:ascii="SimSun" w:hAnsi="SimSun" w:eastAsia="SimSun" w:cs="SimSun"/>
          <w:sz w:val="21"/>
          <w:szCs w:val="21"/>
          <w:spacing w:val="13"/>
        </w:rPr>
        <w:t xml:space="preserve"> </w:t>
      </w:r>
      <w:r>
        <w:rPr>
          <w:rFonts w:ascii="SimSun" w:hAnsi="SimSun" w:eastAsia="SimSun" w:cs="SimSun"/>
          <w:sz w:val="21"/>
          <w:szCs w:val="21"/>
          <w:spacing w:val="2"/>
        </w:rPr>
        <w:t>全管理小组成员及部门的信息安全员，以及数据管理员。通过培训，使</w:t>
      </w:r>
      <w:r>
        <w:rPr>
          <w:rFonts w:ascii="SimSun" w:hAnsi="SimSun" w:eastAsia="SimSun" w:cs="SimSun"/>
          <w:sz w:val="21"/>
          <w:szCs w:val="21"/>
          <w:spacing w:val="1"/>
        </w:rPr>
        <w:t>大家掌握数</w:t>
      </w:r>
      <w:r>
        <w:rPr>
          <w:rFonts w:ascii="SimSun" w:hAnsi="SimSun" w:eastAsia="SimSun" w:cs="SimSun"/>
          <w:sz w:val="21"/>
          <w:szCs w:val="21"/>
        </w:rPr>
        <w:t xml:space="preserve"> </w:t>
      </w:r>
      <w:r>
        <w:rPr>
          <w:rFonts w:ascii="SimSun" w:hAnsi="SimSun" w:eastAsia="SimSun" w:cs="SimSun"/>
          <w:sz w:val="21"/>
          <w:szCs w:val="21"/>
          <w:spacing w:val="-1"/>
        </w:rPr>
        <w:t>据资产识别和风险评估的方法、步骤、技巧。</w:t>
      </w:r>
    </w:p>
    <w:p>
      <w:pPr>
        <w:ind w:left="514"/>
        <w:spacing w:before="72" w:line="218" w:lineRule="auto"/>
        <w:rPr>
          <w:rFonts w:ascii="SimSun" w:hAnsi="SimSun" w:eastAsia="SimSun" w:cs="SimSun"/>
          <w:sz w:val="21"/>
          <w:szCs w:val="21"/>
        </w:rPr>
      </w:pPr>
      <w:r>
        <w:rPr>
          <w:rFonts w:ascii="SimSun" w:hAnsi="SimSun" w:eastAsia="SimSun" w:cs="SimSun"/>
          <w:sz w:val="21"/>
          <w:szCs w:val="21"/>
          <w:spacing w:val="14"/>
        </w:rPr>
        <w:t>(2)风险评估</w:t>
      </w:r>
    </w:p>
    <w:p>
      <w:pPr>
        <w:ind w:left="105" w:right="233" w:firstLine="409"/>
        <w:spacing w:before="61" w:line="259" w:lineRule="auto"/>
        <w:rPr>
          <w:rFonts w:ascii="SimSun" w:hAnsi="SimSun" w:eastAsia="SimSun" w:cs="SimSun"/>
          <w:sz w:val="21"/>
          <w:szCs w:val="21"/>
        </w:rPr>
      </w:pPr>
      <w:r>
        <w:rPr>
          <w:rFonts w:ascii="SimSun" w:hAnsi="SimSun" w:eastAsia="SimSun" w:cs="SimSun"/>
          <w:sz w:val="21"/>
          <w:szCs w:val="21"/>
          <w:spacing w:val="3"/>
        </w:rPr>
        <w:t>公司信息安全管理小组同部门信息安全员在所确定的体系范围内，</w:t>
      </w:r>
      <w:r>
        <w:rPr>
          <w:rFonts w:ascii="SimSun" w:hAnsi="SimSun" w:eastAsia="SimSun" w:cs="SimSun"/>
          <w:sz w:val="21"/>
          <w:szCs w:val="21"/>
          <w:spacing w:val="2"/>
        </w:rPr>
        <w:t>分析组织内</w:t>
      </w:r>
      <w:r>
        <w:rPr>
          <w:rFonts w:ascii="SimSun" w:hAnsi="SimSun" w:eastAsia="SimSun" w:cs="SimSun"/>
          <w:sz w:val="21"/>
          <w:szCs w:val="21"/>
        </w:rPr>
        <w:t xml:space="preserve"> </w:t>
      </w:r>
      <w:r>
        <w:rPr>
          <w:rFonts w:ascii="SimSun" w:hAnsi="SimSun" w:eastAsia="SimSun" w:cs="SimSun"/>
          <w:sz w:val="21"/>
          <w:szCs w:val="21"/>
          <w:spacing w:val="2"/>
        </w:rPr>
        <w:t>与云端数据安全有关的资产，对资产进行识别与评价，识别和评价所面临的</w:t>
      </w:r>
      <w:r>
        <w:rPr>
          <w:rFonts w:ascii="SimSun" w:hAnsi="SimSun" w:eastAsia="SimSun" w:cs="SimSun"/>
          <w:sz w:val="21"/>
          <w:szCs w:val="21"/>
          <w:spacing w:val="1"/>
        </w:rPr>
        <w:t>安全威</w:t>
      </w:r>
      <w:r>
        <w:rPr>
          <w:rFonts w:ascii="SimSun" w:hAnsi="SimSun" w:eastAsia="SimSun" w:cs="SimSun"/>
          <w:sz w:val="21"/>
          <w:szCs w:val="21"/>
        </w:rPr>
        <w:t xml:space="preserve"> </w:t>
      </w:r>
      <w:r>
        <w:rPr>
          <w:rFonts w:ascii="SimSun" w:hAnsi="SimSun" w:eastAsia="SimSun" w:cs="SimSun"/>
          <w:sz w:val="21"/>
          <w:szCs w:val="21"/>
          <w:spacing w:val="2"/>
        </w:rPr>
        <w:t>胁、薄弱点及其对数据安全的影响，确认已有的安全控制措施，实施风险评估。最</w:t>
      </w:r>
      <w:r>
        <w:rPr>
          <w:rFonts w:ascii="SimSun" w:hAnsi="SimSun" w:eastAsia="SimSun" w:cs="SimSun"/>
          <w:sz w:val="21"/>
          <w:szCs w:val="21"/>
          <w:spacing w:val="17"/>
        </w:rPr>
        <w:t xml:space="preserve"> </w:t>
      </w:r>
      <w:r>
        <w:rPr>
          <w:rFonts w:ascii="SimSun" w:hAnsi="SimSun" w:eastAsia="SimSun" w:cs="SimSun"/>
          <w:sz w:val="21"/>
          <w:szCs w:val="21"/>
          <w:spacing w:val="-4"/>
        </w:rPr>
        <w:t>终输出数据风险评估报告。</w:t>
      </w:r>
    </w:p>
    <w:p>
      <w:pPr>
        <w:ind w:left="514"/>
        <w:spacing w:before="75" w:line="220" w:lineRule="auto"/>
        <w:rPr>
          <w:rFonts w:ascii="SimSun" w:hAnsi="SimSun" w:eastAsia="SimSun" w:cs="SimSun"/>
          <w:sz w:val="21"/>
          <w:szCs w:val="21"/>
        </w:rPr>
      </w:pPr>
      <w:r>
        <w:rPr>
          <w:rFonts w:ascii="SimSun" w:hAnsi="SimSun" w:eastAsia="SimSun" w:cs="SimSun"/>
          <w:sz w:val="21"/>
          <w:szCs w:val="21"/>
          <w:spacing w:val="6"/>
        </w:rPr>
        <w:t>(3)风险处理计划的制订</w:t>
      </w:r>
    </w:p>
    <w:p>
      <w:pPr>
        <w:ind w:left="105" w:right="254" w:firstLine="409"/>
        <w:spacing w:before="76" w:line="238" w:lineRule="auto"/>
        <w:rPr>
          <w:rFonts w:ascii="SimSun" w:hAnsi="SimSun" w:eastAsia="SimSun" w:cs="SimSun"/>
          <w:sz w:val="21"/>
          <w:szCs w:val="21"/>
        </w:rPr>
      </w:pPr>
      <w:r>
        <w:rPr>
          <w:rFonts w:ascii="SimSun" w:hAnsi="SimSun" w:eastAsia="SimSun" w:cs="SimSun"/>
          <w:sz w:val="21"/>
          <w:szCs w:val="21"/>
          <w:spacing w:val="2"/>
        </w:rPr>
        <w:t>根据风险评估结果制订风险处理计划，计划主要列出对目前存在的风险应采取</w:t>
      </w:r>
      <w:r>
        <w:rPr>
          <w:rFonts w:ascii="SimSun" w:hAnsi="SimSun" w:eastAsia="SimSun" w:cs="SimSun"/>
          <w:sz w:val="21"/>
          <w:szCs w:val="21"/>
          <w:spacing w:val="10"/>
        </w:rPr>
        <w:t xml:space="preserve"> </w:t>
      </w:r>
      <w:r>
        <w:rPr>
          <w:rFonts w:ascii="SimSun" w:hAnsi="SimSun" w:eastAsia="SimSun" w:cs="SimSun"/>
          <w:sz w:val="21"/>
          <w:szCs w:val="21"/>
          <w:spacing w:val="-3"/>
        </w:rPr>
        <w:t>的安全控制措施、职责和优先级。</w:t>
      </w:r>
    </w:p>
    <w:p>
      <w:pPr>
        <w:ind w:left="514"/>
        <w:spacing w:before="71" w:line="219" w:lineRule="auto"/>
        <w:rPr>
          <w:rFonts w:ascii="SimSun" w:hAnsi="SimSun" w:eastAsia="SimSun" w:cs="SimSun"/>
          <w:sz w:val="21"/>
          <w:szCs w:val="21"/>
        </w:rPr>
      </w:pPr>
      <w:r>
        <w:rPr>
          <w:rFonts w:ascii="SimSun" w:hAnsi="SimSun" w:eastAsia="SimSun" w:cs="SimSun"/>
          <w:sz w:val="21"/>
          <w:szCs w:val="21"/>
          <w:spacing w:val="8"/>
        </w:rPr>
        <w:t>(4)文件的制订</w:t>
      </w:r>
    </w:p>
    <w:p>
      <w:pPr>
        <w:ind w:right="279" w:firstLine="514"/>
        <w:spacing w:before="52" w:line="253" w:lineRule="auto"/>
        <w:rPr>
          <w:rFonts w:ascii="SimSun" w:hAnsi="SimSun" w:eastAsia="SimSun" w:cs="SimSun"/>
          <w:sz w:val="21"/>
          <w:szCs w:val="21"/>
        </w:rPr>
      </w:pPr>
      <w:r>
        <w:rPr>
          <w:rFonts w:ascii="SimSun" w:hAnsi="SimSun" w:eastAsia="SimSun" w:cs="SimSun"/>
          <w:sz w:val="21"/>
          <w:szCs w:val="21"/>
          <w:spacing w:val="2"/>
        </w:rPr>
        <w:t>组织的信息安全管理小组应制订风险管理相关</w:t>
      </w:r>
      <w:r>
        <w:rPr>
          <w:rFonts w:ascii="SimSun" w:hAnsi="SimSun" w:eastAsia="SimSun" w:cs="SimSun"/>
          <w:sz w:val="21"/>
          <w:szCs w:val="21"/>
          <w:spacing w:val="1"/>
        </w:rPr>
        <w:t>的程序文件。编制的文件包括：</w:t>
      </w:r>
      <w:r>
        <w:rPr>
          <w:rFonts w:ascii="SimSun" w:hAnsi="SimSun" w:eastAsia="SimSun" w:cs="SimSun"/>
          <w:sz w:val="21"/>
          <w:szCs w:val="21"/>
        </w:rPr>
        <w:t xml:space="preserve"> </w:t>
      </w:r>
      <w:r>
        <w:rPr>
          <w:rFonts w:ascii="SimSun" w:hAnsi="SimSun" w:eastAsia="SimSun" w:cs="SimSun"/>
          <w:sz w:val="21"/>
          <w:szCs w:val="21"/>
          <w:spacing w:val="-1"/>
        </w:rPr>
        <w:t>《风险评估管理程序》等。</w:t>
      </w:r>
    </w:p>
    <w:p>
      <w:pPr>
        <w:ind w:left="514"/>
        <w:spacing w:before="52" w:line="219" w:lineRule="auto"/>
        <w:rPr>
          <w:rFonts w:ascii="SimSun" w:hAnsi="SimSun" w:eastAsia="SimSun" w:cs="SimSun"/>
          <w:sz w:val="21"/>
          <w:szCs w:val="21"/>
        </w:rPr>
      </w:pPr>
      <w:r>
        <w:rPr>
          <w:rFonts w:ascii="SimSun" w:hAnsi="SimSun" w:eastAsia="SimSun" w:cs="SimSun"/>
          <w:sz w:val="21"/>
          <w:szCs w:val="21"/>
          <w:spacing w:val="11"/>
        </w:rPr>
        <w:t>(5)文件评审和发布</w:t>
      </w:r>
    </w:p>
    <w:p>
      <w:pPr>
        <w:ind w:left="514"/>
        <w:spacing w:before="81" w:line="219" w:lineRule="auto"/>
        <w:rPr>
          <w:rFonts w:ascii="SimSun" w:hAnsi="SimSun" w:eastAsia="SimSun" w:cs="SimSun"/>
          <w:sz w:val="21"/>
          <w:szCs w:val="21"/>
        </w:rPr>
      </w:pPr>
      <w:r>
        <w:rPr>
          <w:rFonts w:ascii="SimSun" w:hAnsi="SimSun" w:eastAsia="SimSun" w:cs="SimSun"/>
          <w:sz w:val="21"/>
          <w:szCs w:val="21"/>
          <w:spacing w:val="-3"/>
        </w:rPr>
        <w:t>文件应经过管理层审批后才能发布。</w:t>
      </w:r>
    </w:p>
    <w:p>
      <w:pPr>
        <w:ind w:left="514"/>
        <w:spacing w:before="53" w:line="220" w:lineRule="auto"/>
        <w:rPr>
          <w:rFonts w:ascii="SimSun" w:hAnsi="SimSun" w:eastAsia="SimSun" w:cs="SimSun"/>
          <w:sz w:val="21"/>
          <w:szCs w:val="21"/>
        </w:rPr>
      </w:pPr>
      <w:r>
        <w:rPr>
          <w:rFonts w:ascii="SimSun" w:hAnsi="SimSun" w:eastAsia="SimSun" w:cs="SimSun"/>
          <w:sz w:val="21"/>
          <w:szCs w:val="21"/>
          <w:spacing w:val="8"/>
        </w:rPr>
        <w:t>(6)控制措施的实施</w:t>
      </w:r>
    </w:p>
    <w:p>
      <w:pPr>
        <w:ind w:left="514"/>
        <w:spacing w:before="58" w:line="219" w:lineRule="auto"/>
        <w:rPr>
          <w:rFonts w:ascii="SimSun" w:hAnsi="SimSun" w:eastAsia="SimSun" w:cs="SimSun"/>
          <w:sz w:val="21"/>
          <w:szCs w:val="21"/>
        </w:rPr>
      </w:pPr>
      <w:r>
        <w:rPr>
          <w:rFonts w:ascii="SimSun" w:hAnsi="SimSun" w:eastAsia="SimSun" w:cs="SimSun"/>
          <w:sz w:val="21"/>
          <w:szCs w:val="21"/>
          <w:spacing w:val="-1"/>
        </w:rPr>
        <w:t>组织应建立监督机制，监控控制措施的运行。</w:t>
      </w:r>
    </w:p>
    <w:p>
      <w:pPr>
        <w:ind w:left="514"/>
        <w:spacing w:before="70" w:line="218" w:lineRule="auto"/>
        <w:rPr>
          <w:rFonts w:ascii="SimSun" w:hAnsi="SimSun" w:eastAsia="SimSun" w:cs="SimSun"/>
          <w:sz w:val="21"/>
          <w:szCs w:val="21"/>
        </w:rPr>
      </w:pPr>
      <w:r>
        <w:rPr>
          <w:rFonts w:ascii="SimSun" w:hAnsi="SimSun" w:eastAsia="SimSun" w:cs="SimSun"/>
          <w:sz w:val="21"/>
          <w:szCs w:val="21"/>
          <w:spacing w:val="-5"/>
        </w:rPr>
        <w:t>与该职能域相关的程序文件主要包括《风险评估管理程序》。</w:t>
      </w:r>
    </w:p>
    <w:p>
      <w:pPr>
        <w:spacing w:line="120" w:lineRule="exact"/>
        <w:rPr/>
      </w:pPr>
      <w:r/>
    </w:p>
    <w:tbl>
      <w:tblPr>
        <w:tblStyle w:val="TableNormal"/>
        <w:tblW w:w="7680" w:type="dxa"/>
        <w:tblInd w:w="145"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2799" w:hRule="atLeast"/>
        </w:trPr>
        <w:tc>
          <w:tcPr>
            <w:tcW w:w="7680" w:type="dxa"/>
            <w:vAlign w:val="top"/>
          </w:tcPr>
          <w:p>
            <w:pPr>
              <w:pStyle w:val="TableText"/>
              <w:ind w:left="3225"/>
              <w:spacing w:before="89" w:line="218" w:lineRule="auto"/>
              <w:rPr/>
            </w:pPr>
            <w:r>
              <w:rPr>
                <w:spacing w:val="-1"/>
              </w:rPr>
              <w:t>风险评估管理程序</w:t>
            </w:r>
          </w:p>
          <w:p>
            <w:pPr>
              <w:pStyle w:val="TableText"/>
              <w:ind w:left="254"/>
              <w:spacing w:before="76" w:line="222" w:lineRule="auto"/>
              <w:rPr/>
            </w:pPr>
            <w:r>
              <w:rPr>
                <w:spacing w:val="-11"/>
              </w:rPr>
              <w:t>1</w:t>
            </w:r>
            <w:r>
              <w:rPr>
                <w:spacing w:val="26"/>
              </w:rPr>
              <w:t xml:space="preserve">  </w:t>
            </w:r>
            <w:r>
              <w:rPr>
                <w:spacing w:val="-11"/>
              </w:rPr>
              <w:t>目的</w:t>
            </w:r>
          </w:p>
          <w:p>
            <w:pPr>
              <w:pStyle w:val="TableText"/>
              <w:ind w:left="254"/>
              <w:spacing w:before="106" w:line="218" w:lineRule="auto"/>
              <w:rPr/>
            </w:pPr>
            <w:r>
              <w:rPr/>
              <w:t>为了明确公司云端数据治理体系风险评估的准则，指导风险评估的实施和风险控制措</w:t>
            </w:r>
            <w:r>
              <w:rPr>
                <w:spacing w:val="-1"/>
              </w:rPr>
              <w:t>施的改善工作。</w:t>
            </w:r>
          </w:p>
          <w:p>
            <w:pPr>
              <w:pStyle w:val="TableText"/>
              <w:ind w:left="254"/>
              <w:spacing w:before="114" w:line="220" w:lineRule="auto"/>
              <w:rPr/>
            </w:pPr>
            <w:r>
              <w:rPr>
                <w:spacing w:val="-7"/>
              </w:rPr>
              <w:t>2</w:t>
            </w:r>
            <w:r>
              <w:rPr>
                <w:spacing w:val="-19"/>
              </w:rPr>
              <w:t xml:space="preserve"> </w:t>
            </w:r>
            <w:r>
              <w:rPr>
                <w:spacing w:val="-7"/>
              </w:rPr>
              <w:t>适</w:t>
            </w:r>
            <w:r>
              <w:rPr>
                <w:spacing w:val="-21"/>
              </w:rPr>
              <w:t xml:space="preserve"> </w:t>
            </w:r>
            <w:r>
              <w:rPr>
                <w:spacing w:val="-7"/>
              </w:rPr>
              <w:t>用</w:t>
            </w:r>
            <w:r>
              <w:rPr>
                <w:spacing w:val="-19"/>
              </w:rPr>
              <w:t xml:space="preserve"> </w:t>
            </w:r>
            <w:r>
              <w:rPr>
                <w:spacing w:val="-7"/>
              </w:rPr>
              <w:t>范</w:t>
            </w:r>
            <w:r>
              <w:rPr>
                <w:spacing w:val="-9"/>
              </w:rPr>
              <w:t xml:space="preserve"> </w:t>
            </w:r>
            <w:r>
              <w:rPr>
                <w:spacing w:val="-7"/>
              </w:rPr>
              <w:t>围</w:t>
            </w:r>
          </w:p>
          <w:p>
            <w:pPr>
              <w:pStyle w:val="TableText"/>
              <w:ind w:left="254"/>
              <w:spacing w:before="99" w:line="218" w:lineRule="auto"/>
              <w:rPr/>
            </w:pPr>
            <w:r>
              <w:rPr>
                <w:spacing w:val="-1"/>
              </w:rPr>
              <w:t>适用于公司的数据资产风险评估过程。</w:t>
            </w:r>
          </w:p>
          <w:p>
            <w:pPr>
              <w:pStyle w:val="TableText"/>
              <w:ind w:left="254"/>
              <w:spacing w:before="113" w:line="219" w:lineRule="auto"/>
              <w:rPr/>
            </w:pPr>
            <w:r>
              <w:rPr>
                <w:spacing w:val="-7"/>
              </w:rPr>
              <w:t>3</w:t>
            </w:r>
            <w:r>
              <w:rPr>
                <w:spacing w:val="-24"/>
              </w:rPr>
              <w:t xml:space="preserve"> </w:t>
            </w:r>
            <w:r>
              <w:rPr>
                <w:spacing w:val="-7"/>
              </w:rPr>
              <w:t>定</w:t>
            </w:r>
            <w:r>
              <w:rPr>
                <w:spacing w:val="-29"/>
              </w:rPr>
              <w:t xml:space="preserve"> </w:t>
            </w:r>
            <w:r>
              <w:rPr>
                <w:spacing w:val="-7"/>
              </w:rPr>
              <w:t>义</w:t>
            </w:r>
            <w:r>
              <w:rPr>
                <w:spacing w:val="-29"/>
              </w:rPr>
              <w:t xml:space="preserve"> </w:t>
            </w:r>
            <w:r>
              <w:rPr>
                <w:spacing w:val="-7"/>
              </w:rPr>
              <w:t>和</w:t>
            </w:r>
            <w:r>
              <w:rPr>
                <w:spacing w:val="-30"/>
              </w:rPr>
              <w:t xml:space="preserve"> </w:t>
            </w:r>
            <w:r>
              <w:rPr>
                <w:spacing w:val="-7"/>
              </w:rPr>
              <w:t>缩</w:t>
            </w:r>
            <w:r>
              <w:rPr>
                <w:spacing w:val="-26"/>
              </w:rPr>
              <w:t xml:space="preserve"> </w:t>
            </w:r>
            <w:r>
              <w:rPr>
                <w:spacing w:val="-7"/>
              </w:rPr>
              <w:t>写</w:t>
            </w:r>
          </w:p>
          <w:p>
            <w:pPr>
              <w:pStyle w:val="TableText"/>
              <w:ind w:left="235"/>
              <w:spacing w:before="91" w:line="303" w:lineRule="exact"/>
              <w:rPr/>
            </w:pPr>
            <w:r>
              <w:rPr>
                <w:position w:val="11"/>
              </w:rPr>
              <w:t>3.1资产(asset):即信息资产(与信息相关且对企业有价值的资产),是安全策略保护</w:t>
            </w:r>
            <w:r>
              <w:rPr>
                <w:spacing w:val="-1"/>
                <w:position w:val="11"/>
              </w:rPr>
              <w:t>的对象，此处尤指数据</w:t>
            </w:r>
          </w:p>
          <w:p>
            <w:pPr>
              <w:pStyle w:val="TableText"/>
              <w:ind w:left="104"/>
              <w:spacing w:before="1" w:line="220" w:lineRule="auto"/>
              <w:rPr/>
            </w:pPr>
            <w:r>
              <w:rPr>
                <w:spacing w:val="-2"/>
              </w:rPr>
              <w:t>资源。</w:t>
            </w:r>
          </w:p>
          <w:p>
            <w:pPr>
              <w:pStyle w:val="TableText"/>
              <w:ind w:left="124" w:right="393" w:firstLine="110"/>
              <w:spacing w:before="69" w:line="282" w:lineRule="auto"/>
              <w:rPr/>
            </w:pPr>
            <w:r>
              <w:rPr/>
              <w:t>3.2资产组(Asset Team);又称资产组合，是指具有相同或相近的业务功能的资产组合</w:t>
            </w:r>
            <w:r>
              <w:rPr>
                <w:spacing w:val="-1"/>
              </w:rPr>
              <w:t>；如由硬件、软件、配</w:t>
            </w:r>
            <w:r>
              <w:rPr/>
              <w:t xml:space="preserve"> </w:t>
            </w:r>
            <w:r>
              <w:rPr/>
              <w:t>置信息等组成的应用系统资产组，由电子文件、纸质文档组成的</w:t>
            </w:r>
            <w:r>
              <w:rPr>
                <w:spacing w:val="-1"/>
              </w:rPr>
              <w:t>信息资产组。</w:t>
            </w:r>
          </w:p>
        </w:tc>
      </w:tr>
    </w:tbl>
    <w:p>
      <w:pPr>
        <w:pStyle w:val="BodyText"/>
        <w:rPr/>
      </w:pPr>
      <w:r/>
    </w:p>
    <w:p>
      <w:pPr>
        <w:sectPr>
          <w:footerReference w:type="default" r:id="rId418"/>
          <w:pgSz w:w="8870" w:h="13400"/>
          <w:pgMar w:top="400" w:right="555" w:bottom="567" w:left="325" w:header="0" w:footer="358" w:gutter="0"/>
        </w:sectPr>
        <w:rPr/>
      </w:pPr>
    </w:p>
    <w:p>
      <w:pPr>
        <w:ind w:left="223"/>
        <w:spacing w:before="295" w:line="219" w:lineRule="auto"/>
        <w:rPr>
          <w:rFonts w:ascii="SimSun" w:hAnsi="SimSun" w:eastAsia="SimSun" w:cs="SimSun"/>
          <w:sz w:val="21"/>
          <w:szCs w:val="21"/>
        </w:rPr>
      </w:pPr>
      <w:r>
        <w:pict>
          <v:rect id="_x0000_s464" style="position:absolute;margin-left:39.0014pt;margin-top:75.5023pt;mso-position-vertical-relative:page;mso-position-horizontal-relative:page;width:1pt;height:549pt;z-index:257358848;" o:allowincell="f" fillcolor="#000000" filled="true" stroked="false"/>
        </w:pict>
      </w:r>
      <w:r>
        <w:pict>
          <v:rect id="_x0000_s466" style="position:absolute;margin-left:422.5pt;margin-top:74.9998pt;mso-position-vertical-relative:page;mso-position-horizontal-relative:page;width:1pt;height:549.55pt;z-index:257357824;" o:allowincell="f" fillcolor="#000000" filled="true" stroked="false"/>
        </w:pict>
      </w:r>
      <w:r>
        <w:pict>
          <v:rect id="_x0000_s468" style="position:absolute;margin-left:39.4981pt;margin-top:623pt;mso-position-vertical-relative:page;mso-position-horizontal-relative:page;width:385.55pt;height:0.55pt;z-index:257356800;" o:allowincell="f" fillcolor="#000000" filled="true" stroked="false"/>
        </w:pict>
      </w:r>
      <w:r>
        <w:drawing>
          <wp:anchor distT="0" distB="0" distL="0" distR="0" simplePos="0" relativeHeight="257359872" behindDoc="0" locked="0" layoutInCell="0" allowOverlap="1">
            <wp:simplePos x="0" y="0"/>
            <wp:positionH relativeFrom="page">
              <wp:posOffset>393708</wp:posOffset>
            </wp:positionH>
            <wp:positionV relativeFrom="page">
              <wp:posOffset>393710</wp:posOffset>
            </wp:positionV>
            <wp:extent cx="6365" cy="222255"/>
            <wp:effectExtent l="0" t="0" r="0" b="0"/>
            <wp:wrapNone/>
            <wp:docPr id="286" name="IM 286"/>
            <wp:cNvGraphicFramePr/>
            <a:graphic>
              <a:graphicData uri="http://schemas.openxmlformats.org/drawingml/2006/picture">
                <pic:pic>
                  <pic:nvPicPr>
                    <pic:cNvPr id="286" name="IM 286"/>
                    <pic:cNvPicPr/>
                  </pic:nvPicPr>
                  <pic:blipFill>
                    <a:blip r:embed="rId420"/>
                    <a:stretch>
                      <a:fillRect/>
                    </a:stretch>
                  </pic:blipFill>
                  <pic:spPr>
                    <a:xfrm rot="0">
                      <a:off x="0" y="0"/>
                      <a:ext cx="6365" cy="222255"/>
                    </a:xfrm>
                    <a:prstGeom prst="rect">
                      <a:avLst/>
                    </a:prstGeom>
                  </pic:spPr>
                </pic:pic>
              </a:graphicData>
            </a:graphic>
          </wp:anchor>
        </w:drawing>
      </w:r>
      <w:r>
        <w:rPr>
          <w:rFonts w:ascii="SimSun" w:hAnsi="SimSun" w:eastAsia="SimSun" w:cs="SimSun"/>
          <w:sz w:val="21"/>
          <w:szCs w:val="21"/>
          <w:b/>
          <w:bCs/>
          <w:spacing w:val="-6"/>
        </w:rPr>
        <w:t>■云端数据治理</w:t>
      </w:r>
    </w:p>
    <w:p>
      <w:pPr>
        <w:pStyle w:val="BodyText"/>
        <w:spacing w:line="261" w:lineRule="auto"/>
        <w:rPr/>
      </w:pPr>
      <w:r/>
    </w:p>
    <w:p>
      <w:pPr>
        <w:ind w:left="250"/>
        <w:spacing w:before="68" w:line="223" w:lineRule="auto"/>
        <w:tabs>
          <w:tab w:val="left" w:pos="7222"/>
        </w:tabs>
        <w:rPr>
          <w:rFonts w:ascii="SimHei" w:hAnsi="SimHei" w:eastAsia="SimHei" w:cs="SimHei"/>
          <w:sz w:val="21"/>
          <w:szCs w:val="21"/>
        </w:rPr>
      </w:pPr>
      <w:r>
        <w:rPr>
          <w:rFonts w:ascii="SimHei" w:hAnsi="SimHei" w:eastAsia="SimHei" w:cs="SimHei"/>
          <w:sz w:val="21"/>
          <w:szCs w:val="21"/>
          <w:u w:val="single" w:color="auto"/>
        </w:rPr>
        <w:tab/>
      </w:r>
      <w:r>
        <w:rPr>
          <w:rFonts w:ascii="SimHei" w:hAnsi="SimHei" w:eastAsia="SimHei" w:cs="SimHei"/>
          <w:sz w:val="21"/>
          <w:szCs w:val="21"/>
          <w:b/>
          <w:bCs/>
          <w:u w:val="single" w:color="auto"/>
          <w:spacing w:val="-13"/>
          <w:w w:val="93"/>
        </w:rPr>
        <w:t>续表</w:t>
      </w:r>
      <w:r>
        <w:rPr>
          <w:rFonts w:ascii="SimHei" w:hAnsi="SimHei" w:eastAsia="SimHei" w:cs="SimHei"/>
          <w:sz w:val="21"/>
          <w:szCs w:val="21"/>
          <w:u w:val="single" w:color="auto"/>
        </w:rPr>
        <w:t xml:space="preserve">    </w:t>
      </w:r>
    </w:p>
    <w:p>
      <w:pPr>
        <w:ind w:left="379" w:right="197" w:firstLine="140"/>
        <w:spacing w:before="58" w:line="270" w:lineRule="auto"/>
        <w:rPr>
          <w:rFonts w:ascii="SimSun" w:hAnsi="SimSun" w:eastAsia="SimSun" w:cs="SimSun"/>
          <w:sz w:val="16"/>
          <w:szCs w:val="16"/>
        </w:rPr>
      </w:pPr>
      <w:r>
        <w:rPr>
          <w:rFonts w:ascii="SimSun" w:hAnsi="SimSun" w:eastAsia="SimSun" w:cs="SimSun"/>
          <w:sz w:val="16"/>
          <w:szCs w:val="16"/>
          <w:spacing w:val="-6"/>
        </w:rPr>
        <w:t>3.3</w:t>
      </w:r>
      <w:r>
        <w:rPr>
          <w:rFonts w:ascii="SimSun" w:hAnsi="SimSun" w:eastAsia="SimSun" w:cs="SimSun"/>
          <w:sz w:val="16"/>
          <w:szCs w:val="16"/>
          <w:spacing w:val="63"/>
          <w:w w:val="101"/>
        </w:rPr>
        <w:t xml:space="preserve"> </w:t>
      </w:r>
      <w:r>
        <w:rPr>
          <w:rFonts w:ascii="SimSun" w:hAnsi="SimSun" w:eastAsia="SimSun" w:cs="SimSun"/>
          <w:sz w:val="16"/>
          <w:szCs w:val="16"/>
          <w:spacing w:val="-6"/>
        </w:rPr>
        <w:t>资产价值</w:t>
      </w:r>
      <w:r>
        <w:rPr>
          <w:rFonts w:ascii="SimSun" w:hAnsi="SimSun" w:eastAsia="SimSun" w:cs="SimSun"/>
          <w:sz w:val="16"/>
          <w:szCs w:val="16"/>
          <w:spacing w:val="-27"/>
        </w:rPr>
        <w:t xml:space="preserve"> </w:t>
      </w:r>
      <w:r>
        <w:rPr>
          <w:rFonts w:ascii="Times New Roman" w:hAnsi="Times New Roman" w:eastAsia="Times New Roman" w:cs="Times New Roman"/>
          <w:sz w:val="16"/>
          <w:szCs w:val="16"/>
          <w:spacing w:val="-6"/>
        </w:rPr>
        <w:t>(asset  value):  </w:t>
      </w:r>
      <w:r>
        <w:rPr>
          <w:rFonts w:ascii="SimSun" w:hAnsi="SimSun" w:eastAsia="SimSun" w:cs="SimSun"/>
          <w:sz w:val="16"/>
          <w:szCs w:val="16"/>
          <w:spacing w:val="-6"/>
        </w:rPr>
        <w:t>资产的重要程度或敏感程度的表征。资产价值是资产的属性，也是进行资产识别</w:t>
      </w:r>
      <w:r>
        <w:rPr>
          <w:rFonts w:ascii="SimSun" w:hAnsi="SimSun" w:eastAsia="SimSun" w:cs="SimSun"/>
          <w:sz w:val="16"/>
          <w:szCs w:val="16"/>
        </w:rPr>
        <w:t xml:space="preserve"> </w:t>
      </w:r>
      <w:r>
        <w:rPr>
          <w:rFonts w:ascii="SimSun" w:hAnsi="SimSun" w:eastAsia="SimSun" w:cs="SimSun"/>
          <w:sz w:val="16"/>
          <w:szCs w:val="16"/>
          <w:spacing w:val="-6"/>
        </w:rPr>
        <w:t>的主要内容。</w:t>
      </w:r>
    </w:p>
    <w:p>
      <w:pPr>
        <w:ind w:left="379" w:right="184" w:firstLine="140"/>
        <w:spacing w:before="72" w:line="288" w:lineRule="auto"/>
        <w:rPr>
          <w:rFonts w:ascii="SimSun" w:hAnsi="SimSun" w:eastAsia="SimSun" w:cs="SimSun"/>
          <w:sz w:val="16"/>
          <w:szCs w:val="16"/>
        </w:rPr>
      </w:pPr>
      <w:r>
        <w:rPr>
          <w:rFonts w:ascii="SimSun" w:hAnsi="SimSun" w:eastAsia="SimSun" w:cs="SimSun"/>
          <w:sz w:val="16"/>
          <w:szCs w:val="16"/>
          <w:spacing w:val="-6"/>
        </w:rPr>
        <w:t>3.4</w:t>
      </w:r>
      <w:r>
        <w:rPr>
          <w:rFonts w:ascii="SimSun" w:hAnsi="SimSun" w:eastAsia="SimSun" w:cs="SimSun"/>
          <w:sz w:val="16"/>
          <w:szCs w:val="16"/>
          <w:spacing w:val="55"/>
        </w:rPr>
        <w:t xml:space="preserve"> </w:t>
      </w:r>
      <w:r>
        <w:rPr>
          <w:rFonts w:ascii="SimSun" w:hAnsi="SimSun" w:eastAsia="SimSun" w:cs="SimSun"/>
          <w:sz w:val="16"/>
          <w:szCs w:val="16"/>
          <w:spacing w:val="-6"/>
        </w:rPr>
        <w:t>机密性</w:t>
      </w:r>
      <w:r>
        <w:rPr>
          <w:rFonts w:ascii="SimSun" w:hAnsi="SimSun" w:eastAsia="SimSun" w:cs="SimSun"/>
          <w:sz w:val="16"/>
          <w:szCs w:val="16"/>
          <w:spacing w:val="-34"/>
        </w:rPr>
        <w:t xml:space="preserve"> </w:t>
      </w:r>
      <w:r>
        <w:rPr>
          <w:rFonts w:ascii="Times New Roman" w:hAnsi="Times New Roman" w:eastAsia="Times New Roman" w:cs="Times New Roman"/>
          <w:sz w:val="16"/>
          <w:szCs w:val="16"/>
          <w:spacing w:val="-6"/>
        </w:rPr>
        <w:t>(confidentiality):</w:t>
      </w:r>
      <w:r>
        <w:rPr>
          <w:rFonts w:ascii="Times New Roman" w:hAnsi="Times New Roman" w:eastAsia="Times New Roman" w:cs="Times New Roman"/>
          <w:sz w:val="16"/>
          <w:szCs w:val="16"/>
          <w:spacing w:val="12"/>
        </w:rPr>
        <w:t xml:space="preserve">  </w:t>
      </w:r>
      <w:r>
        <w:rPr>
          <w:rFonts w:ascii="SimSun" w:hAnsi="SimSun" w:eastAsia="SimSun" w:cs="SimSun"/>
          <w:sz w:val="16"/>
          <w:szCs w:val="16"/>
          <w:spacing w:val="-6"/>
        </w:rPr>
        <w:t>数据所具</w:t>
      </w:r>
      <w:r>
        <w:rPr>
          <w:rFonts w:ascii="SimSun" w:hAnsi="SimSun" w:eastAsia="SimSun" w:cs="SimSun"/>
          <w:sz w:val="16"/>
          <w:szCs w:val="16"/>
          <w:spacing w:val="-7"/>
        </w:rPr>
        <w:t>有的特性，即表示数据所达到的未提供或未泄露给未授权的个人、过程</w:t>
      </w:r>
      <w:r>
        <w:rPr>
          <w:rFonts w:ascii="SimSun" w:hAnsi="SimSun" w:eastAsia="SimSun" w:cs="SimSun"/>
          <w:sz w:val="16"/>
          <w:szCs w:val="16"/>
        </w:rPr>
        <w:t xml:space="preserve"> </w:t>
      </w:r>
      <w:r>
        <w:rPr>
          <w:rFonts w:ascii="SimSun" w:hAnsi="SimSun" w:eastAsia="SimSun" w:cs="SimSun"/>
          <w:sz w:val="16"/>
          <w:szCs w:val="16"/>
          <w:spacing w:val="-9"/>
        </w:rPr>
        <w:t>或其他实体的程度。</w:t>
      </w:r>
    </w:p>
    <w:p>
      <w:pPr>
        <w:ind w:left="520"/>
        <w:spacing w:before="90" w:line="212" w:lineRule="auto"/>
        <w:rPr>
          <w:rFonts w:ascii="SimSun" w:hAnsi="SimSun" w:eastAsia="SimSun" w:cs="SimSun"/>
          <w:sz w:val="16"/>
          <w:szCs w:val="16"/>
        </w:rPr>
      </w:pPr>
      <w:r>
        <w:rPr>
          <w:rFonts w:ascii="SimSun" w:hAnsi="SimSun" w:eastAsia="SimSun" w:cs="SimSun"/>
          <w:sz w:val="16"/>
          <w:szCs w:val="16"/>
          <w:spacing w:val="-7"/>
        </w:rPr>
        <w:t>3.5</w:t>
      </w:r>
      <w:r>
        <w:rPr>
          <w:rFonts w:ascii="SimSun" w:hAnsi="SimSun" w:eastAsia="SimSun" w:cs="SimSun"/>
          <w:sz w:val="16"/>
          <w:szCs w:val="16"/>
          <w:spacing w:val="72"/>
        </w:rPr>
        <w:t xml:space="preserve"> </w:t>
      </w:r>
      <w:r>
        <w:rPr>
          <w:rFonts w:ascii="SimSun" w:hAnsi="SimSun" w:eastAsia="SimSun" w:cs="SimSun"/>
          <w:sz w:val="16"/>
          <w:szCs w:val="16"/>
          <w:spacing w:val="-7"/>
        </w:rPr>
        <w:t>完整性</w:t>
      </w:r>
      <w:r>
        <w:rPr>
          <w:rFonts w:ascii="SimSun" w:hAnsi="SimSun" w:eastAsia="SimSun" w:cs="SimSun"/>
          <w:sz w:val="16"/>
          <w:szCs w:val="16"/>
          <w:spacing w:val="-43"/>
        </w:rPr>
        <w:t xml:space="preserve"> </w:t>
      </w:r>
      <w:r>
        <w:rPr>
          <w:rFonts w:ascii="Times New Roman" w:hAnsi="Times New Roman" w:eastAsia="Times New Roman" w:cs="Times New Roman"/>
          <w:sz w:val="16"/>
          <w:szCs w:val="16"/>
          <w:spacing w:val="-7"/>
        </w:rPr>
        <w:t>(integrity):</w:t>
      </w:r>
      <w:r>
        <w:rPr>
          <w:rFonts w:ascii="Times New Roman" w:hAnsi="Times New Roman" w:eastAsia="Times New Roman" w:cs="Times New Roman"/>
          <w:sz w:val="16"/>
          <w:szCs w:val="16"/>
          <w:spacing w:val="12"/>
          <w:w w:val="101"/>
        </w:rPr>
        <w:t xml:space="preserve">  </w:t>
      </w:r>
      <w:r>
        <w:rPr>
          <w:rFonts w:ascii="SimSun" w:hAnsi="SimSun" w:eastAsia="SimSun" w:cs="SimSun"/>
          <w:sz w:val="16"/>
          <w:szCs w:val="16"/>
          <w:spacing w:val="-7"/>
        </w:rPr>
        <w:t>保证数据及数据系统不会被非授权更改或破坏的特性，包括数据完整性</w:t>
      </w:r>
      <w:r>
        <w:rPr>
          <w:rFonts w:ascii="SimSun" w:hAnsi="SimSun" w:eastAsia="SimSun" w:cs="SimSun"/>
          <w:sz w:val="16"/>
          <w:szCs w:val="16"/>
          <w:spacing w:val="-8"/>
        </w:rPr>
        <w:t>和系统完整性。</w:t>
      </w:r>
    </w:p>
    <w:p>
      <w:pPr>
        <w:ind w:left="520"/>
        <w:spacing w:before="96" w:line="212" w:lineRule="auto"/>
        <w:rPr>
          <w:rFonts w:ascii="SimSun" w:hAnsi="SimSun" w:eastAsia="SimSun" w:cs="SimSun"/>
          <w:sz w:val="16"/>
          <w:szCs w:val="16"/>
        </w:rPr>
      </w:pPr>
      <w:r>
        <w:rPr>
          <w:rFonts w:ascii="SimSun" w:hAnsi="SimSun" w:eastAsia="SimSun" w:cs="SimSun"/>
          <w:sz w:val="16"/>
          <w:szCs w:val="16"/>
          <w:spacing w:val="-6"/>
        </w:rPr>
        <w:t>3.6</w:t>
      </w:r>
      <w:r>
        <w:rPr>
          <w:rFonts w:ascii="SimSun" w:hAnsi="SimSun" w:eastAsia="SimSun" w:cs="SimSun"/>
          <w:sz w:val="16"/>
          <w:szCs w:val="16"/>
          <w:spacing w:val="67"/>
        </w:rPr>
        <w:t xml:space="preserve"> </w:t>
      </w:r>
      <w:r>
        <w:rPr>
          <w:rFonts w:ascii="SimSun" w:hAnsi="SimSun" w:eastAsia="SimSun" w:cs="SimSun"/>
          <w:sz w:val="16"/>
          <w:szCs w:val="16"/>
          <w:spacing w:val="-6"/>
        </w:rPr>
        <w:t>可用性</w:t>
      </w:r>
      <w:r>
        <w:rPr>
          <w:rFonts w:ascii="SimSun" w:hAnsi="SimSun" w:eastAsia="SimSun" w:cs="SimSun"/>
          <w:sz w:val="16"/>
          <w:szCs w:val="16"/>
          <w:spacing w:val="-22"/>
        </w:rPr>
        <w:t xml:space="preserve"> </w:t>
      </w:r>
      <w:r>
        <w:rPr>
          <w:rFonts w:ascii="Times New Roman" w:hAnsi="Times New Roman" w:eastAsia="Times New Roman" w:cs="Times New Roman"/>
          <w:sz w:val="16"/>
          <w:szCs w:val="16"/>
          <w:spacing w:val="-6"/>
        </w:rPr>
        <w:t>(availability):   </w:t>
      </w:r>
      <w:r>
        <w:rPr>
          <w:rFonts w:ascii="SimSun" w:hAnsi="SimSun" w:eastAsia="SimSun" w:cs="SimSun"/>
          <w:sz w:val="16"/>
          <w:szCs w:val="16"/>
          <w:spacing w:val="-6"/>
        </w:rPr>
        <w:t>数据或资源的特性，被授权实体按要求能访问和使用数据或资源。</w:t>
      </w:r>
    </w:p>
    <w:p>
      <w:pPr>
        <w:ind w:left="520"/>
        <w:spacing w:before="87" w:line="212" w:lineRule="auto"/>
        <w:rPr>
          <w:rFonts w:ascii="SimSun" w:hAnsi="SimSun" w:eastAsia="SimSun" w:cs="SimSun"/>
          <w:sz w:val="16"/>
          <w:szCs w:val="16"/>
        </w:rPr>
      </w:pPr>
      <w:r>
        <w:rPr>
          <w:rFonts w:ascii="SimSun" w:hAnsi="SimSun" w:eastAsia="SimSun" w:cs="SimSun"/>
          <w:sz w:val="16"/>
          <w:szCs w:val="16"/>
          <w:spacing w:val="-4"/>
        </w:rPr>
        <w:t>3.7</w:t>
      </w:r>
      <w:r>
        <w:rPr>
          <w:rFonts w:ascii="SimSun" w:hAnsi="SimSun" w:eastAsia="SimSun" w:cs="SimSun"/>
          <w:sz w:val="16"/>
          <w:szCs w:val="16"/>
          <w:spacing w:val="52"/>
        </w:rPr>
        <w:t xml:space="preserve"> </w:t>
      </w:r>
      <w:r>
        <w:rPr>
          <w:rFonts w:ascii="SimSun" w:hAnsi="SimSun" w:eastAsia="SimSun" w:cs="SimSun"/>
          <w:sz w:val="16"/>
          <w:szCs w:val="16"/>
          <w:spacing w:val="-4"/>
        </w:rPr>
        <w:t>残余风险</w:t>
      </w:r>
      <w:r>
        <w:rPr>
          <w:rFonts w:ascii="SimSun" w:hAnsi="SimSun" w:eastAsia="SimSun" w:cs="SimSun"/>
          <w:sz w:val="16"/>
          <w:szCs w:val="16"/>
          <w:spacing w:val="-24"/>
        </w:rPr>
        <w:t xml:space="preserve"> </w:t>
      </w:r>
      <w:r>
        <w:rPr>
          <w:rFonts w:ascii="Times New Roman" w:hAnsi="Times New Roman" w:eastAsia="Times New Roman" w:cs="Times New Roman"/>
          <w:sz w:val="16"/>
          <w:szCs w:val="16"/>
          <w:spacing w:val="-4"/>
        </w:rPr>
        <w:t>(residual  risk):</w:t>
      </w:r>
      <w:r>
        <w:rPr>
          <w:rFonts w:ascii="Times New Roman" w:hAnsi="Times New Roman" w:eastAsia="Times New Roman" w:cs="Times New Roman"/>
          <w:sz w:val="16"/>
          <w:szCs w:val="16"/>
          <w:spacing w:val="17"/>
        </w:rPr>
        <w:t xml:space="preserve"> </w:t>
      </w:r>
      <w:r>
        <w:rPr>
          <w:rFonts w:ascii="SimSun" w:hAnsi="SimSun" w:eastAsia="SimSun" w:cs="SimSun"/>
          <w:sz w:val="16"/>
          <w:szCs w:val="16"/>
          <w:spacing w:val="-4"/>
        </w:rPr>
        <w:t>采取了安全</w:t>
      </w:r>
      <w:r>
        <w:rPr>
          <w:rFonts w:ascii="SimSun" w:hAnsi="SimSun" w:eastAsia="SimSun" w:cs="SimSun"/>
          <w:sz w:val="16"/>
          <w:szCs w:val="16"/>
          <w:spacing w:val="-5"/>
        </w:rPr>
        <w:t>措施后，仍然可能存在的风险。</w:t>
      </w:r>
    </w:p>
    <w:p>
      <w:pPr>
        <w:ind w:left="520"/>
        <w:spacing w:before="86" w:line="212" w:lineRule="auto"/>
        <w:rPr>
          <w:rFonts w:ascii="SimSun" w:hAnsi="SimSun" w:eastAsia="SimSun" w:cs="SimSun"/>
          <w:sz w:val="16"/>
          <w:szCs w:val="16"/>
        </w:rPr>
      </w:pPr>
      <w:r>
        <w:rPr>
          <w:rFonts w:ascii="SimSun" w:hAnsi="SimSun" w:eastAsia="SimSun" w:cs="SimSun"/>
          <w:sz w:val="16"/>
          <w:szCs w:val="16"/>
          <w:spacing w:val="-6"/>
        </w:rPr>
        <w:t>3.8</w:t>
      </w:r>
      <w:r>
        <w:rPr>
          <w:rFonts w:ascii="SimSun" w:hAnsi="SimSun" w:eastAsia="SimSun" w:cs="SimSun"/>
          <w:sz w:val="16"/>
          <w:szCs w:val="16"/>
          <w:spacing w:val="62"/>
        </w:rPr>
        <w:t xml:space="preserve"> </w:t>
      </w:r>
      <w:r>
        <w:rPr>
          <w:rFonts w:ascii="SimSun" w:hAnsi="SimSun" w:eastAsia="SimSun" w:cs="SimSun"/>
          <w:sz w:val="16"/>
          <w:szCs w:val="16"/>
          <w:spacing w:val="-6"/>
        </w:rPr>
        <w:t>威胁 </w:t>
      </w:r>
      <w:r>
        <w:rPr>
          <w:rFonts w:ascii="Times New Roman" w:hAnsi="Times New Roman" w:eastAsia="Times New Roman" w:cs="Times New Roman"/>
          <w:sz w:val="16"/>
          <w:szCs w:val="16"/>
          <w:spacing w:val="-6"/>
        </w:rPr>
        <w:t>(threat):   </w:t>
      </w:r>
      <w:r>
        <w:rPr>
          <w:rFonts w:ascii="SimSun" w:hAnsi="SimSun" w:eastAsia="SimSun" w:cs="SimSun"/>
          <w:sz w:val="16"/>
          <w:szCs w:val="16"/>
          <w:spacing w:val="-6"/>
        </w:rPr>
        <w:t>可能导致发生对系统或组织产生危害的不希望事故的潜</w:t>
      </w:r>
      <w:r>
        <w:rPr>
          <w:rFonts w:ascii="SimSun" w:hAnsi="SimSun" w:eastAsia="SimSun" w:cs="SimSun"/>
          <w:sz w:val="16"/>
          <w:szCs w:val="16"/>
          <w:spacing w:val="-7"/>
        </w:rPr>
        <w:t>在原因。</w:t>
      </w:r>
    </w:p>
    <w:p>
      <w:pPr>
        <w:ind w:left="520"/>
        <w:spacing w:before="96" w:line="212" w:lineRule="auto"/>
        <w:rPr>
          <w:rFonts w:ascii="SimSun" w:hAnsi="SimSun" w:eastAsia="SimSun" w:cs="SimSun"/>
          <w:sz w:val="16"/>
          <w:szCs w:val="16"/>
        </w:rPr>
      </w:pPr>
      <w:r>
        <w:rPr>
          <w:rFonts w:ascii="SimSun" w:hAnsi="SimSun" w:eastAsia="SimSun" w:cs="SimSun"/>
          <w:sz w:val="16"/>
          <w:szCs w:val="16"/>
          <w:spacing w:val="-6"/>
        </w:rPr>
        <w:t>3.9</w:t>
      </w:r>
      <w:r>
        <w:rPr>
          <w:rFonts w:ascii="SimSun" w:hAnsi="SimSun" w:eastAsia="SimSun" w:cs="SimSun"/>
          <w:sz w:val="16"/>
          <w:szCs w:val="16"/>
          <w:spacing w:val="73"/>
          <w:w w:val="101"/>
        </w:rPr>
        <w:t xml:space="preserve"> </w:t>
      </w:r>
      <w:r>
        <w:rPr>
          <w:rFonts w:ascii="SimSun" w:hAnsi="SimSun" w:eastAsia="SimSun" w:cs="SimSun"/>
          <w:sz w:val="16"/>
          <w:szCs w:val="16"/>
          <w:spacing w:val="-6"/>
        </w:rPr>
        <w:t>脆弱性</w:t>
      </w:r>
      <w:r>
        <w:rPr>
          <w:rFonts w:ascii="SimSun" w:hAnsi="SimSun" w:eastAsia="SimSun" w:cs="SimSun"/>
          <w:sz w:val="16"/>
          <w:szCs w:val="16"/>
          <w:spacing w:val="-34"/>
        </w:rPr>
        <w:t xml:space="preserve"> </w:t>
      </w:r>
      <w:r>
        <w:rPr>
          <w:rFonts w:ascii="Times New Roman" w:hAnsi="Times New Roman" w:eastAsia="Times New Roman" w:cs="Times New Roman"/>
          <w:sz w:val="16"/>
          <w:szCs w:val="16"/>
          <w:spacing w:val="-6"/>
        </w:rPr>
        <w:t>(vulnerability):   </w:t>
      </w:r>
      <w:r>
        <w:rPr>
          <w:rFonts w:ascii="SimSun" w:hAnsi="SimSun" w:eastAsia="SimSun" w:cs="SimSun"/>
          <w:sz w:val="16"/>
          <w:szCs w:val="16"/>
          <w:spacing w:val="-6"/>
        </w:rPr>
        <w:t>是指可能被威胁所利用的资产或若干资产的弱点，又称弱点，脆弱性和资产本身</w:t>
      </w:r>
    </w:p>
    <w:p>
      <w:pPr>
        <w:ind w:left="379"/>
        <w:spacing w:before="115" w:line="271" w:lineRule="exact"/>
        <w:rPr>
          <w:rFonts w:ascii="SimSun" w:hAnsi="SimSun" w:eastAsia="SimSun" w:cs="SimSun"/>
          <w:sz w:val="16"/>
          <w:szCs w:val="16"/>
        </w:rPr>
      </w:pPr>
      <w:r>
        <w:rPr>
          <w:rFonts w:ascii="SimSun" w:hAnsi="SimSun" w:eastAsia="SimSun" w:cs="SimSun"/>
          <w:sz w:val="16"/>
          <w:szCs w:val="16"/>
          <w:spacing w:val="-9"/>
          <w:position w:val="8"/>
        </w:rPr>
        <w:t>的特点和性能有关。</w:t>
      </w:r>
    </w:p>
    <w:p>
      <w:pPr>
        <w:ind w:left="520"/>
        <w:spacing w:before="1" w:line="220" w:lineRule="auto"/>
        <w:rPr>
          <w:rFonts w:ascii="SimSun" w:hAnsi="SimSun" w:eastAsia="SimSun" w:cs="SimSun"/>
          <w:sz w:val="16"/>
          <w:szCs w:val="16"/>
        </w:rPr>
      </w:pPr>
      <w:r>
        <w:rPr>
          <w:rFonts w:ascii="SimSun" w:hAnsi="SimSun" w:eastAsia="SimSun" w:cs="SimSun"/>
          <w:sz w:val="16"/>
          <w:szCs w:val="16"/>
          <w:spacing w:val="-4"/>
        </w:rPr>
        <w:t>4</w:t>
      </w:r>
      <w:r>
        <w:rPr>
          <w:rFonts w:ascii="SimSun" w:hAnsi="SimSun" w:eastAsia="SimSun" w:cs="SimSun"/>
          <w:sz w:val="16"/>
          <w:szCs w:val="16"/>
          <w:spacing w:val="77"/>
        </w:rPr>
        <w:t xml:space="preserve"> </w:t>
      </w:r>
      <w:r>
        <w:rPr>
          <w:rFonts w:ascii="SimSun" w:hAnsi="SimSun" w:eastAsia="SimSun" w:cs="SimSun"/>
          <w:sz w:val="16"/>
          <w:szCs w:val="16"/>
          <w:spacing w:val="-4"/>
        </w:rPr>
        <w:t>职责</w:t>
      </w:r>
    </w:p>
    <w:p>
      <w:pPr>
        <w:spacing w:line="156" w:lineRule="exact"/>
        <w:rPr/>
      </w:pPr>
      <w:r/>
    </w:p>
    <w:tbl>
      <w:tblPr>
        <w:tblStyle w:val="TableNormal"/>
        <w:tblW w:w="7159" w:type="dxa"/>
        <w:tblInd w:w="5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2"/>
        <w:gridCol w:w="5267"/>
      </w:tblGrid>
      <w:tr>
        <w:trPr>
          <w:trHeight w:val="321" w:hRule="atLeast"/>
        </w:trPr>
        <w:tc>
          <w:tcPr>
            <w:tcW w:w="1892" w:type="dxa"/>
            <w:vAlign w:val="top"/>
          </w:tcPr>
          <w:p>
            <w:pPr>
              <w:pStyle w:val="TableText"/>
              <w:ind w:left="594"/>
              <w:spacing w:before="91" w:line="219" w:lineRule="auto"/>
              <w:rPr/>
            </w:pPr>
            <w:r>
              <w:rPr>
                <w:spacing w:val="-2"/>
              </w:rPr>
              <w:t>部门/岗位</w:t>
            </w:r>
          </w:p>
        </w:tc>
        <w:tc>
          <w:tcPr>
            <w:tcW w:w="5267" w:type="dxa"/>
            <w:vAlign w:val="top"/>
          </w:tcPr>
          <w:p>
            <w:pPr>
              <w:pStyle w:val="TableText"/>
              <w:ind w:left="2223"/>
              <w:spacing w:before="91" w:line="219" w:lineRule="auto"/>
              <w:rPr/>
            </w:pPr>
            <w:r>
              <w:rPr>
                <w:spacing w:val="-9"/>
              </w:rPr>
              <w:t>过</w:t>
            </w:r>
            <w:r>
              <w:rPr>
                <w:spacing w:val="14"/>
              </w:rPr>
              <w:t xml:space="preserve"> </w:t>
            </w:r>
            <w:r>
              <w:rPr>
                <w:spacing w:val="-9"/>
              </w:rPr>
              <w:t>程</w:t>
            </w:r>
            <w:r>
              <w:rPr>
                <w:spacing w:val="33"/>
                <w:w w:val="101"/>
              </w:rPr>
              <w:t xml:space="preserve"> </w:t>
            </w:r>
            <w:r>
              <w:rPr>
                <w:spacing w:val="-9"/>
              </w:rPr>
              <w:t>内</w:t>
            </w:r>
            <w:r>
              <w:rPr>
                <w:spacing w:val="17"/>
              </w:rPr>
              <w:t xml:space="preserve"> </w:t>
            </w:r>
            <w:r>
              <w:rPr>
                <w:spacing w:val="-9"/>
              </w:rPr>
              <w:t>容</w:t>
            </w:r>
          </w:p>
        </w:tc>
      </w:tr>
      <w:tr>
        <w:trPr>
          <w:trHeight w:val="317" w:hRule="atLeast"/>
        </w:trPr>
        <w:tc>
          <w:tcPr>
            <w:tcW w:w="1892" w:type="dxa"/>
            <w:vAlign w:val="top"/>
          </w:tcPr>
          <w:p>
            <w:pPr>
              <w:pStyle w:val="TableText"/>
              <w:ind w:left="414"/>
              <w:spacing w:before="89" w:line="219" w:lineRule="auto"/>
              <w:rPr/>
            </w:pPr>
            <w:r>
              <w:rPr>
                <w:spacing w:val="-1"/>
              </w:rPr>
              <w:t>数据治理委员会</w:t>
            </w:r>
          </w:p>
        </w:tc>
        <w:tc>
          <w:tcPr>
            <w:tcW w:w="5267" w:type="dxa"/>
            <w:vAlign w:val="top"/>
          </w:tcPr>
          <w:p>
            <w:pPr>
              <w:pStyle w:val="TableText"/>
              <w:ind w:left="272"/>
              <w:spacing w:before="88" w:line="218" w:lineRule="auto"/>
              <w:rPr/>
            </w:pPr>
            <w:r>
              <w:rPr>
                <w:spacing w:val="-1"/>
              </w:rPr>
              <w:t>组织各部门的数据资产识别和风险评估工作</w:t>
            </w:r>
          </w:p>
        </w:tc>
      </w:tr>
      <w:tr>
        <w:trPr>
          <w:trHeight w:val="321" w:hRule="atLeast"/>
        </w:trPr>
        <w:tc>
          <w:tcPr>
            <w:tcW w:w="1892" w:type="dxa"/>
            <w:vAlign w:val="top"/>
          </w:tcPr>
          <w:p>
            <w:pPr>
              <w:pStyle w:val="TableText"/>
              <w:ind w:left="564"/>
              <w:spacing w:before="93" w:line="219" w:lineRule="auto"/>
              <w:rPr/>
            </w:pPr>
            <w:r>
              <w:rPr>
                <w:spacing w:val="4"/>
              </w:rPr>
              <w:t>数据管理员</w:t>
            </w:r>
          </w:p>
        </w:tc>
        <w:tc>
          <w:tcPr>
            <w:tcW w:w="5267" w:type="dxa"/>
            <w:vAlign w:val="top"/>
          </w:tcPr>
          <w:p>
            <w:pPr>
              <w:pStyle w:val="TableText"/>
              <w:ind w:left="272"/>
              <w:spacing w:before="91" w:line="218" w:lineRule="auto"/>
              <w:rPr/>
            </w:pPr>
            <w:r>
              <w:rPr>
                <w:spacing w:val="-1"/>
              </w:rPr>
              <w:t>数据资产识别和风险评估，部门的相关人员要予以协助</w:t>
            </w:r>
          </w:p>
        </w:tc>
      </w:tr>
    </w:tbl>
    <w:p>
      <w:pPr>
        <w:ind w:left="520"/>
        <w:spacing w:before="181" w:line="219" w:lineRule="auto"/>
        <w:rPr>
          <w:rFonts w:ascii="SimSun" w:hAnsi="SimSun" w:eastAsia="SimSun" w:cs="SimSun"/>
          <w:sz w:val="16"/>
          <w:szCs w:val="16"/>
        </w:rPr>
      </w:pPr>
      <w:r>
        <w:rPr>
          <w:rFonts w:ascii="SimSun" w:hAnsi="SimSun" w:eastAsia="SimSun" w:cs="SimSun"/>
          <w:sz w:val="16"/>
          <w:szCs w:val="16"/>
          <w:spacing w:val="-4"/>
        </w:rPr>
        <w:t>5</w:t>
      </w:r>
      <w:r>
        <w:rPr>
          <w:rFonts w:ascii="SimSun" w:hAnsi="SimSun" w:eastAsia="SimSun" w:cs="SimSun"/>
          <w:sz w:val="16"/>
          <w:szCs w:val="16"/>
          <w:spacing w:val="61"/>
        </w:rPr>
        <w:t xml:space="preserve"> </w:t>
      </w:r>
      <w:r>
        <w:rPr>
          <w:rFonts w:ascii="SimSun" w:hAnsi="SimSun" w:eastAsia="SimSun" w:cs="SimSun"/>
          <w:sz w:val="16"/>
          <w:szCs w:val="16"/>
          <w:spacing w:val="-4"/>
        </w:rPr>
        <w:t>管理规定</w:t>
      </w:r>
    </w:p>
    <w:p>
      <w:pPr>
        <w:ind w:left="520"/>
        <w:spacing w:before="99" w:line="218" w:lineRule="auto"/>
        <w:rPr>
          <w:rFonts w:ascii="SimSun" w:hAnsi="SimSun" w:eastAsia="SimSun" w:cs="SimSun"/>
          <w:sz w:val="16"/>
          <w:szCs w:val="16"/>
        </w:rPr>
      </w:pPr>
      <w:r>
        <w:rPr>
          <w:rFonts w:ascii="SimSun" w:hAnsi="SimSun" w:eastAsia="SimSun" w:cs="SimSun"/>
          <w:sz w:val="16"/>
          <w:szCs w:val="16"/>
          <w:spacing w:val="-6"/>
        </w:rPr>
        <w:t>本公司数据资产的风险评估分为如下9个过程，每个过程内的详细活动如下表。</w:t>
      </w:r>
    </w:p>
    <w:p>
      <w:pPr>
        <w:spacing w:line="161" w:lineRule="exact"/>
        <w:rPr/>
      </w:pPr>
      <w:r/>
    </w:p>
    <w:tbl>
      <w:tblPr>
        <w:tblStyle w:val="TableNormal"/>
        <w:tblW w:w="7150" w:type="dxa"/>
        <w:tblInd w:w="5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44"/>
        <w:gridCol w:w="1408"/>
        <w:gridCol w:w="5098"/>
      </w:tblGrid>
      <w:tr>
        <w:trPr>
          <w:trHeight w:val="314" w:hRule="atLeast"/>
        </w:trPr>
        <w:tc>
          <w:tcPr>
            <w:tcW w:w="644" w:type="dxa"/>
            <w:vAlign w:val="top"/>
          </w:tcPr>
          <w:p>
            <w:pPr>
              <w:pStyle w:val="TableText"/>
              <w:ind w:left="165"/>
              <w:spacing w:before="82" w:line="221" w:lineRule="auto"/>
              <w:rPr/>
            </w:pPr>
            <w:r>
              <w:rPr>
                <w:spacing w:val="-2"/>
              </w:rPr>
              <w:t>序号</w:t>
            </w:r>
          </w:p>
        </w:tc>
        <w:tc>
          <w:tcPr>
            <w:tcW w:w="1408" w:type="dxa"/>
            <w:vAlign w:val="top"/>
          </w:tcPr>
          <w:p>
            <w:pPr>
              <w:pStyle w:val="TableText"/>
              <w:ind w:left="270"/>
              <w:spacing w:before="81" w:line="220" w:lineRule="auto"/>
              <w:rPr/>
            </w:pPr>
            <w:r>
              <w:rPr>
                <w:spacing w:val="-5"/>
              </w:rPr>
              <w:t>过</w:t>
            </w:r>
            <w:r>
              <w:rPr>
                <w:spacing w:val="15"/>
              </w:rPr>
              <w:t xml:space="preserve"> </w:t>
            </w:r>
            <w:r>
              <w:rPr>
                <w:spacing w:val="-5"/>
              </w:rPr>
              <w:t>程</w:t>
            </w:r>
            <w:r>
              <w:rPr>
                <w:spacing w:val="18"/>
                <w:w w:val="101"/>
              </w:rPr>
              <w:t xml:space="preserve"> </w:t>
            </w:r>
            <w:r>
              <w:rPr>
                <w:spacing w:val="-5"/>
              </w:rPr>
              <w:t>活</w:t>
            </w:r>
            <w:r>
              <w:rPr>
                <w:spacing w:val="17"/>
              </w:rPr>
              <w:t xml:space="preserve"> </w:t>
            </w:r>
            <w:r>
              <w:rPr>
                <w:spacing w:val="-5"/>
              </w:rPr>
              <w:t>动</w:t>
            </w:r>
          </w:p>
        </w:tc>
        <w:tc>
          <w:tcPr>
            <w:tcW w:w="5098" w:type="dxa"/>
            <w:vAlign w:val="top"/>
          </w:tcPr>
          <w:p>
            <w:pPr>
              <w:pStyle w:val="TableText"/>
              <w:ind w:left="2133"/>
              <w:spacing w:before="81" w:line="219" w:lineRule="auto"/>
              <w:rPr/>
            </w:pPr>
            <w:r>
              <w:rPr>
                <w:spacing w:val="-9"/>
              </w:rPr>
              <w:t>过</w:t>
            </w:r>
            <w:r>
              <w:rPr>
                <w:spacing w:val="14"/>
              </w:rPr>
              <w:t xml:space="preserve"> </w:t>
            </w:r>
            <w:r>
              <w:rPr>
                <w:spacing w:val="-9"/>
              </w:rPr>
              <w:t>程</w:t>
            </w:r>
            <w:r>
              <w:rPr>
                <w:spacing w:val="33"/>
                <w:w w:val="101"/>
              </w:rPr>
              <w:t xml:space="preserve"> </w:t>
            </w:r>
            <w:r>
              <w:rPr>
                <w:spacing w:val="-9"/>
              </w:rPr>
              <w:t>内</w:t>
            </w:r>
            <w:r>
              <w:rPr>
                <w:spacing w:val="17"/>
              </w:rPr>
              <w:t xml:space="preserve"> </w:t>
            </w:r>
            <w:r>
              <w:rPr>
                <w:spacing w:val="-9"/>
              </w:rPr>
              <w:t>容</w:t>
            </w:r>
          </w:p>
        </w:tc>
      </w:tr>
      <w:tr>
        <w:trPr>
          <w:trHeight w:val="869" w:hRule="atLeast"/>
        </w:trPr>
        <w:tc>
          <w:tcPr>
            <w:tcW w:w="644" w:type="dxa"/>
            <w:vAlign w:val="top"/>
          </w:tcPr>
          <w:p>
            <w:pPr>
              <w:spacing w:line="344" w:lineRule="auto"/>
              <w:rPr>
                <w:rFonts w:ascii="Arial"/>
                <w:sz w:val="21"/>
              </w:rPr>
            </w:pPr>
            <w:r/>
          </w:p>
          <w:p>
            <w:pPr>
              <w:pStyle w:val="TableText"/>
              <w:ind w:left="275"/>
              <w:spacing w:before="48" w:line="184" w:lineRule="auto"/>
              <w:rPr/>
            </w:pPr>
            <w:r>
              <w:rPr/>
              <w:t>1</w:t>
            </w:r>
          </w:p>
        </w:tc>
        <w:tc>
          <w:tcPr>
            <w:tcW w:w="1408" w:type="dxa"/>
            <w:vAlign w:val="top"/>
          </w:tcPr>
          <w:p>
            <w:pPr>
              <w:pStyle w:val="TableText"/>
              <w:ind w:left="390" w:right="114" w:hanging="299"/>
              <w:spacing w:before="227" w:line="278" w:lineRule="auto"/>
              <w:rPr/>
            </w:pPr>
            <w:r>
              <w:rPr>
                <w:spacing w:val="-1"/>
              </w:rPr>
              <w:t>数据资产识别、分</w:t>
            </w:r>
            <w:r>
              <w:rPr/>
              <w:t xml:space="preserve"> </w:t>
            </w:r>
            <w:r>
              <w:rPr>
                <w:spacing w:val="-2"/>
              </w:rPr>
              <w:t>组与登记</w:t>
            </w:r>
          </w:p>
        </w:tc>
        <w:tc>
          <w:tcPr>
            <w:tcW w:w="5098" w:type="dxa"/>
            <w:vAlign w:val="top"/>
          </w:tcPr>
          <w:p>
            <w:pPr>
              <w:pStyle w:val="TableText"/>
              <w:ind w:left="113" w:right="160" w:firstLine="169"/>
              <w:spacing w:before="96" w:line="303" w:lineRule="auto"/>
              <w:jc w:val="both"/>
              <w:rPr/>
            </w:pPr>
            <w:r>
              <w:rPr/>
              <w:t>根据资产分类表，对评估范围内的资产进行识别、分组</w:t>
            </w:r>
            <w:r>
              <w:rPr>
                <w:spacing w:val="-1"/>
              </w:rPr>
              <w:t>和登记；与数据</w:t>
            </w:r>
            <w:r>
              <w:rPr/>
              <w:t xml:space="preserve"> </w:t>
            </w:r>
            <w:r>
              <w:rPr>
                <w:spacing w:val="-1"/>
              </w:rPr>
              <w:t>资产相关的信息资产分组一般分为系统、信息、人员、环境设施、外购服</w:t>
            </w:r>
            <w:r>
              <w:rPr>
                <w:spacing w:val="18"/>
              </w:rPr>
              <w:t xml:space="preserve"> </w:t>
            </w:r>
            <w:r>
              <w:rPr/>
              <w:t>务和无形资产6种</w:t>
            </w:r>
          </w:p>
        </w:tc>
      </w:tr>
      <w:tr>
        <w:trPr>
          <w:trHeight w:val="599" w:hRule="atLeast"/>
        </w:trPr>
        <w:tc>
          <w:tcPr>
            <w:tcW w:w="644" w:type="dxa"/>
            <w:vAlign w:val="top"/>
          </w:tcPr>
          <w:p>
            <w:pPr>
              <w:pStyle w:val="TableText"/>
              <w:ind w:left="275"/>
              <w:spacing w:before="266" w:line="183" w:lineRule="auto"/>
              <w:rPr/>
            </w:pPr>
            <w:r>
              <w:rPr/>
              <w:t>2</w:t>
            </w:r>
          </w:p>
        </w:tc>
        <w:tc>
          <w:tcPr>
            <w:tcW w:w="1408" w:type="dxa"/>
            <w:vAlign w:val="top"/>
          </w:tcPr>
          <w:p>
            <w:pPr>
              <w:pStyle w:val="TableText"/>
              <w:ind w:left="241"/>
              <w:spacing w:before="87" w:line="300" w:lineRule="exact"/>
              <w:rPr/>
            </w:pPr>
            <w:r>
              <w:rPr>
                <w:spacing w:val="-2"/>
                <w:position w:val="11"/>
              </w:rPr>
              <w:t>资产和资产组</w:t>
            </w:r>
          </w:p>
          <w:p>
            <w:pPr>
              <w:pStyle w:val="TableText"/>
              <w:ind w:left="540"/>
              <w:spacing w:line="219" w:lineRule="auto"/>
              <w:rPr/>
            </w:pPr>
            <w:r>
              <w:rPr>
                <w:spacing w:val="-2"/>
              </w:rPr>
              <w:t>赋值</w:t>
            </w:r>
          </w:p>
        </w:tc>
        <w:tc>
          <w:tcPr>
            <w:tcW w:w="5098" w:type="dxa"/>
            <w:vAlign w:val="top"/>
          </w:tcPr>
          <w:p>
            <w:pPr>
              <w:pStyle w:val="TableText"/>
              <w:ind w:left="113" w:right="182" w:firstLine="149"/>
              <w:spacing w:before="107" w:line="287" w:lineRule="auto"/>
              <w:rPr/>
            </w:pPr>
            <w:r>
              <w:rPr/>
              <w:t>从保密性、完整性和可用性三个方面对数据及其相</w:t>
            </w:r>
            <w:r>
              <w:rPr>
                <w:spacing w:val="-1"/>
              </w:rPr>
              <w:t>关资产进行赋值。根</w:t>
            </w:r>
            <w:r>
              <w:rPr/>
              <w:t xml:space="preserve"> </w:t>
            </w:r>
            <w:r>
              <w:rPr>
                <w:spacing w:val="-1"/>
              </w:rPr>
              <w:t>据组内资产价值的最高值确定整个资产组的价值</w:t>
            </w:r>
          </w:p>
        </w:tc>
      </w:tr>
      <w:tr>
        <w:trPr>
          <w:trHeight w:val="309" w:hRule="atLeast"/>
        </w:trPr>
        <w:tc>
          <w:tcPr>
            <w:tcW w:w="644" w:type="dxa"/>
            <w:vAlign w:val="top"/>
          </w:tcPr>
          <w:p>
            <w:pPr>
              <w:pStyle w:val="TableText"/>
              <w:ind w:left="275"/>
              <w:spacing w:before="117" w:line="183" w:lineRule="auto"/>
              <w:rPr/>
            </w:pPr>
            <w:r>
              <w:rPr/>
              <w:t>3</w:t>
            </w:r>
          </w:p>
        </w:tc>
        <w:tc>
          <w:tcPr>
            <w:tcW w:w="1408" w:type="dxa"/>
            <w:vAlign w:val="top"/>
          </w:tcPr>
          <w:p>
            <w:pPr>
              <w:pStyle w:val="TableText"/>
              <w:ind w:left="171"/>
              <w:spacing w:before="79" w:line="220" w:lineRule="auto"/>
              <w:rPr/>
            </w:pPr>
            <w:r>
              <w:rPr>
                <w:spacing w:val="-1"/>
              </w:rPr>
              <w:t>风险识别与分析</w:t>
            </w:r>
          </w:p>
        </w:tc>
        <w:tc>
          <w:tcPr>
            <w:tcW w:w="5098" w:type="dxa"/>
            <w:vAlign w:val="top"/>
          </w:tcPr>
          <w:p>
            <w:pPr>
              <w:pStyle w:val="TableText"/>
              <w:ind w:left="282"/>
              <w:spacing w:before="79" w:line="219" w:lineRule="auto"/>
              <w:rPr/>
            </w:pPr>
            <w:r>
              <w:rPr>
                <w:spacing w:val="-1"/>
              </w:rPr>
              <w:t>识别并登记与资产组相关的主要威胁、弱点和现有控制措施</w:t>
            </w:r>
          </w:p>
        </w:tc>
      </w:tr>
      <w:tr>
        <w:trPr>
          <w:trHeight w:val="599" w:hRule="atLeast"/>
        </w:trPr>
        <w:tc>
          <w:tcPr>
            <w:tcW w:w="644" w:type="dxa"/>
            <w:vAlign w:val="top"/>
          </w:tcPr>
          <w:p>
            <w:pPr>
              <w:pStyle w:val="TableText"/>
              <w:ind w:left="275"/>
              <w:spacing w:before="268" w:line="183" w:lineRule="auto"/>
              <w:rPr/>
            </w:pPr>
            <w:r>
              <w:rPr/>
              <w:t>4</w:t>
            </w:r>
          </w:p>
        </w:tc>
        <w:tc>
          <w:tcPr>
            <w:tcW w:w="1408" w:type="dxa"/>
            <w:vAlign w:val="top"/>
          </w:tcPr>
          <w:p>
            <w:pPr>
              <w:pStyle w:val="TableText"/>
              <w:ind w:left="391"/>
              <w:spacing w:before="228" w:line="218" w:lineRule="auto"/>
              <w:rPr/>
            </w:pPr>
            <w:r>
              <w:rPr>
                <w:spacing w:val="-2"/>
              </w:rPr>
              <w:t>风险评价</w:t>
            </w:r>
          </w:p>
        </w:tc>
        <w:tc>
          <w:tcPr>
            <w:tcW w:w="5098" w:type="dxa"/>
            <w:vAlign w:val="top"/>
          </w:tcPr>
          <w:p>
            <w:pPr>
              <w:pStyle w:val="TableText"/>
              <w:ind w:left="113" w:right="170" w:firstLine="159"/>
              <w:spacing w:before="99" w:line="287" w:lineRule="auto"/>
              <w:rPr/>
            </w:pPr>
            <w:r>
              <w:rPr/>
              <w:t>根据预先定义的赋值标准，对风险发生的可能性和风险</w:t>
            </w:r>
            <w:r>
              <w:rPr>
                <w:spacing w:val="-1"/>
              </w:rPr>
              <w:t>的影响进行赋值</w:t>
            </w:r>
            <w:r>
              <w:rPr/>
              <w:t xml:space="preserve"> </w:t>
            </w:r>
            <w:r>
              <w:rPr/>
              <w:t>并通过资产组价值、风险发生可能性和风险影响计</w:t>
            </w:r>
            <w:r>
              <w:rPr>
                <w:spacing w:val="-1"/>
              </w:rPr>
              <w:t>算出风险值-</w:t>
            </w:r>
          </w:p>
        </w:tc>
      </w:tr>
      <w:tr>
        <w:trPr>
          <w:trHeight w:val="589" w:hRule="atLeast"/>
        </w:trPr>
        <w:tc>
          <w:tcPr>
            <w:tcW w:w="644" w:type="dxa"/>
            <w:vAlign w:val="top"/>
          </w:tcPr>
          <w:p>
            <w:pPr>
              <w:pStyle w:val="TableText"/>
              <w:ind w:left="275"/>
              <w:spacing w:before="260" w:line="182" w:lineRule="auto"/>
              <w:rPr/>
            </w:pPr>
            <w:r>
              <w:rPr/>
              <w:t>5</w:t>
            </w:r>
          </w:p>
        </w:tc>
        <w:tc>
          <w:tcPr>
            <w:tcW w:w="1408" w:type="dxa"/>
            <w:vAlign w:val="top"/>
          </w:tcPr>
          <w:p>
            <w:pPr>
              <w:pStyle w:val="TableText"/>
              <w:ind w:left="540" w:right="182" w:hanging="369"/>
              <w:spacing w:before="101" w:line="270" w:lineRule="auto"/>
              <w:rPr/>
            </w:pPr>
            <w:r>
              <w:rPr>
                <w:spacing w:val="-1"/>
              </w:rPr>
              <w:t>确定风险可接受</w:t>
            </w:r>
            <w:r>
              <w:rPr/>
              <w:t xml:space="preserve"> </w:t>
            </w:r>
            <w:r>
              <w:rPr>
                <w:spacing w:val="-2"/>
              </w:rPr>
              <w:t>标准</w:t>
            </w:r>
          </w:p>
        </w:tc>
        <w:tc>
          <w:tcPr>
            <w:tcW w:w="5098" w:type="dxa"/>
            <w:vAlign w:val="top"/>
          </w:tcPr>
          <w:p>
            <w:pPr>
              <w:pStyle w:val="TableText"/>
              <w:ind w:left="113" w:right="170" w:firstLine="159"/>
              <w:spacing w:before="100" w:line="283" w:lineRule="auto"/>
              <w:rPr/>
            </w:pPr>
            <w:r>
              <w:rPr>
                <w:spacing w:val="-4"/>
              </w:rPr>
              <w:t>根据风险计算结果，确定风险级别，确定企业可接受的风险值。</w:t>
            </w:r>
            <w:r>
              <w:rPr>
                <w:spacing w:val="42"/>
              </w:rPr>
              <w:t xml:space="preserve"> </w:t>
            </w:r>
            <w:r>
              <w:rPr>
                <w:spacing w:val="-4"/>
              </w:rPr>
              <w:t>一般来</w:t>
            </w:r>
            <w:r>
              <w:rPr/>
              <w:t xml:space="preserve"> </w:t>
            </w:r>
            <w:r>
              <w:rPr>
                <w:spacing w:val="-1"/>
              </w:rPr>
              <w:t>说，风险可接受标准为中、低风险的分界线</w:t>
            </w:r>
          </w:p>
        </w:tc>
      </w:tr>
      <w:tr>
        <w:trPr>
          <w:trHeight w:val="878" w:hRule="atLeast"/>
        </w:trPr>
        <w:tc>
          <w:tcPr>
            <w:tcW w:w="644" w:type="dxa"/>
            <w:vAlign w:val="top"/>
          </w:tcPr>
          <w:p>
            <w:pPr>
              <w:spacing w:line="359" w:lineRule="auto"/>
              <w:rPr>
                <w:rFonts w:ascii="Arial"/>
                <w:sz w:val="21"/>
              </w:rPr>
            </w:pPr>
            <w:r/>
          </w:p>
          <w:p>
            <w:pPr>
              <w:pStyle w:val="TableText"/>
              <w:ind w:left="275"/>
              <w:spacing w:before="49" w:line="183" w:lineRule="auto"/>
              <w:rPr/>
            </w:pPr>
            <w:r>
              <w:rPr/>
              <w:t>6</w:t>
            </w:r>
          </w:p>
        </w:tc>
        <w:tc>
          <w:tcPr>
            <w:tcW w:w="1408" w:type="dxa"/>
            <w:vAlign w:val="top"/>
          </w:tcPr>
          <w:p>
            <w:pPr>
              <w:pStyle w:val="TableText"/>
              <w:ind w:left="320" w:right="183" w:hanging="149"/>
              <w:spacing w:before="231" w:line="289" w:lineRule="auto"/>
              <w:rPr/>
            </w:pPr>
            <w:r>
              <w:rPr>
                <w:spacing w:val="-1"/>
              </w:rPr>
              <w:t>风险控制措施的</w:t>
            </w:r>
            <w:r>
              <w:rPr/>
              <w:t xml:space="preserve"> </w:t>
            </w:r>
            <w:r>
              <w:rPr>
                <w:spacing w:val="-1"/>
              </w:rPr>
              <w:t>选择和实施</w:t>
            </w:r>
          </w:p>
        </w:tc>
        <w:tc>
          <w:tcPr>
            <w:tcW w:w="5098" w:type="dxa"/>
            <w:vAlign w:val="top"/>
          </w:tcPr>
          <w:p>
            <w:pPr>
              <w:pStyle w:val="TableText"/>
              <w:ind w:left="113" w:right="170" w:firstLine="159"/>
              <w:spacing w:before="101" w:line="303" w:lineRule="auto"/>
              <w:jc w:val="both"/>
              <w:rPr/>
            </w:pPr>
            <w:r>
              <w:rPr/>
              <w:t>对于超过风险可接受标准的风险，企业要选择和实施管</w:t>
            </w:r>
            <w:r>
              <w:rPr>
                <w:spacing w:val="-1"/>
              </w:rPr>
              <w:t>理或技术控制措</w:t>
            </w:r>
            <w:r>
              <w:rPr/>
              <w:t xml:space="preserve"> </w:t>
            </w:r>
            <w:r>
              <w:rPr/>
              <w:t>施，以降低风险发生的可能性或影响程度。选择风险控制</w:t>
            </w:r>
            <w:r>
              <w:rPr>
                <w:spacing w:val="-1"/>
              </w:rPr>
              <w:t>措施要考虑预估</w:t>
            </w:r>
            <w:r>
              <w:rPr/>
              <w:t xml:space="preserve"> </w:t>
            </w:r>
            <w:r>
              <w:rPr/>
              <w:t>的残余风险值</w:t>
            </w:r>
          </w:p>
        </w:tc>
      </w:tr>
      <w:tr>
        <w:trPr>
          <w:trHeight w:val="589" w:hRule="atLeast"/>
        </w:trPr>
        <w:tc>
          <w:tcPr>
            <w:tcW w:w="644" w:type="dxa"/>
            <w:vAlign w:val="top"/>
          </w:tcPr>
          <w:p>
            <w:pPr>
              <w:pStyle w:val="TableText"/>
              <w:ind w:left="275"/>
              <w:spacing w:before="263" w:line="182" w:lineRule="auto"/>
              <w:rPr/>
            </w:pPr>
            <w:r>
              <w:rPr/>
              <w:t>7</w:t>
            </w:r>
          </w:p>
        </w:tc>
        <w:tc>
          <w:tcPr>
            <w:tcW w:w="1408" w:type="dxa"/>
            <w:vAlign w:val="top"/>
          </w:tcPr>
          <w:p>
            <w:pPr>
              <w:pStyle w:val="TableText"/>
              <w:ind w:left="540" w:right="182" w:hanging="369"/>
              <w:spacing w:before="94" w:line="277" w:lineRule="auto"/>
              <w:rPr/>
            </w:pPr>
            <w:r>
              <w:rPr>
                <w:spacing w:val="-1"/>
              </w:rPr>
              <w:t>控制措施有效性</w:t>
            </w:r>
            <w:r>
              <w:rPr/>
              <w:t xml:space="preserve"> </w:t>
            </w:r>
            <w:r>
              <w:rPr>
                <w:spacing w:val="-2"/>
              </w:rPr>
              <w:t>测量</w:t>
            </w:r>
          </w:p>
        </w:tc>
        <w:tc>
          <w:tcPr>
            <w:tcW w:w="5098" w:type="dxa"/>
            <w:vAlign w:val="top"/>
          </w:tcPr>
          <w:p>
            <w:pPr>
              <w:pStyle w:val="TableText"/>
              <w:ind w:left="122" w:right="331" w:firstLine="140"/>
              <w:spacing w:before="93" w:line="282" w:lineRule="auto"/>
              <w:rPr/>
            </w:pPr>
            <w:r>
              <w:rPr/>
              <w:t>制订或利用一定的测量方法，对采取的全部或部分</w:t>
            </w:r>
            <w:r>
              <w:rPr>
                <w:spacing w:val="-1"/>
              </w:rPr>
              <w:t>控制措施进行测量</w:t>
            </w:r>
            <w:r>
              <w:rPr/>
              <w:t xml:space="preserve"> </w:t>
            </w:r>
            <w:r>
              <w:rPr/>
              <w:t>以判断控制措施的有效性，对无效或效果不明显的措施进行整改</w:t>
            </w:r>
          </w:p>
        </w:tc>
      </w:tr>
      <w:tr>
        <w:trPr>
          <w:trHeight w:val="309" w:hRule="atLeast"/>
        </w:trPr>
        <w:tc>
          <w:tcPr>
            <w:tcW w:w="644" w:type="dxa"/>
            <w:vAlign w:val="top"/>
          </w:tcPr>
          <w:p>
            <w:pPr>
              <w:pStyle w:val="TableText"/>
              <w:ind w:left="275"/>
              <w:spacing w:before="123" w:line="183" w:lineRule="auto"/>
              <w:rPr/>
            </w:pPr>
            <w:r>
              <w:rPr/>
              <w:t>8</w:t>
            </w:r>
          </w:p>
        </w:tc>
        <w:tc>
          <w:tcPr>
            <w:tcW w:w="1408" w:type="dxa"/>
            <w:vAlign w:val="top"/>
          </w:tcPr>
          <w:p>
            <w:pPr>
              <w:pStyle w:val="TableText"/>
              <w:ind w:left="241"/>
              <w:spacing w:before="83" w:line="218" w:lineRule="auto"/>
              <w:rPr/>
            </w:pPr>
            <w:r>
              <w:rPr>
                <w:spacing w:val="-1"/>
              </w:rPr>
              <w:t>风险评估更新</w:t>
            </w:r>
          </w:p>
        </w:tc>
        <w:tc>
          <w:tcPr>
            <w:tcW w:w="5098" w:type="dxa"/>
            <w:vAlign w:val="top"/>
          </w:tcPr>
          <w:p>
            <w:pPr>
              <w:pStyle w:val="TableText"/>
              <w:ind w:left="282"/>
              <w:spacing w:before="83" w:line="218" w:lineRule="auto"/>
              <w:rPr/>
            </w:pPr>
            <w:r>
              <w:rPr>
                <w:spacing w:val="-1"/>
              </w:rPr>
              <w:t>根据风险评估周期，周期性进行风险评估与处置</w:t>
            </w:r>
          </w:p>
        </w:tc>
      </w:tr>
      <w:tr>
        <w:trPr>
          <w:trHeight w:val="604" w:hRule="atLeast"/>
        </w:trPr>
        <w:tc>
          <w:tcPr>
            <w:tcW w:w="644" w:type="dxa"/>
            <w:vAlign w:val="top"/>
          </w:tcPr>
          <w:p>
            <w:pPr>
              <w:pStyle w:val="TableText"/>
              <w:ind w:left="275"/>
              <w:spacing w:before="274" w:line="183" w:lineRule="auto"/>
              <w:rPr/>
            </w:pPr>
            <w:r>
              <w:rPr/>
              <w:t>9</w:t>
            </w:r>
          </w:p>
        </w:tc>
        <w:tc>
          <w:tcPr>
            <w:tcW w:w="1408" w:type="dxa"/>
            <w:vAlign w:val="top"/>
          </w:tcPr>
          <w:p>
            <w:pPr>
              <w:pStyle w:val="TableText"/>
              <w:ind w:left="241"/>
              <w:spacing w:before="236" w:line="220" w:lineRule="auto"/>
              <w:rPr/>
            </w:pPr>
            <w:r>
              <w:rPr>
                <w:spacing w:val="-1"/>
              </w:rPr>
              <w:t>残余风险处置</w:t>
            </w:r>
          </w:p>
        </w:tc>
        <w:tc>
          <w:tcPr>
            <w:tcW w:w="5098" w:type="dxa"/>
            <w:vAlign w:val="top"/>
          </w:tcPr>
          <w:p>
            <w:pPr>
              <w:pStyle w:val="TableText"/>
              <w:ind w:left="122" w:right="171" w:firstLine="149"/>
              <w:spacing w:before="105" w:line="283" w:lineRule="auto"/>
              <w:rPr/>
            </w:pPr>
            <w:r>
              <w:rPr/>
              <w:t>风险评估更新后，对于仍超过可接受标准的风险可以</w:t>
            </w:r>
            <w:r>
              <w:rPr>
                <w:spacing w:val="-1"/>
              </w:rPr>
              <w:t>采取新的控制措施</w:t>
            </w:r>
            <w:r>
              <w:rPr/>
              <w:t xml:space="preserve"> </w:t>
            </w:r>
            <w:r>
              <w:rPr>
                <w:spacing w:val="-2"/>
              </w:rPr>
              <w:t>也可以接受风险</w:t>
            </w:r>
          </w:p>
        </w:tc>
      </w:tr>
    </w:tbl>
    <w:p>
      <w:pPr>
        <w:pStyle w:val="BodyText"/>
        <w:rPr/>
      </w:pPr>
      <w:r/>
    </w:p>
    <w:p>
      <w:pPr>
        <w:sectPr>
          <w:footerReference w:type="default" r:id="rId419"/>
          <w:pgSz w:w="8870" w:h="13400"/>
          <w:pgMar w:top="400" w:right="369" w:bottom="497" w:left="489" w:header="0" w:footer="289" w:gutter="0"/>
        </w:sectPr>
        <w:rPr/>
      </w:pPr>
    </w:p>
    <w:p>
      <w:pPr>
        <w:ind w:left="5773"/>
        <w:spacing w:before="220"/>
        <w:rPr>
          <w:sz w:val="21"/>
          <w:szCs w:val="21"/>
        </w:rPr>
      </w:pPr>
      <w:r>
        <w:rPr>
          <w:rFonts w:ascii="SimSun" w:hAnsi="SimSun" w:eastAsia="SimSun" w:cs="SimSun"/>
          <w:sz w:val="21"/>
          <w:szCs w:val="21"/>
          <w:b/>
          <w:bCs/>
          <w:spacing w:val="17"/>
        </w:rPr>
        <w:t>第9章■安全与隐私</w:t>
      </w:r>
      <w:r>
        <w:rPr>
          <w:rFonts w:ascii="SimSun" w:hAnsi="SimSun" w:eastAsia="SimSun" w:cs="SimSun"/>
          <w:sz w:val="21"/>
          <w:szCs w:val="21"/>
          <w:spacing w:val="-17"/>
        </w:rPr>
        <w:t xml:space="preserve"> </w:t>
      </w:r>
      <w:r>
        <w:rPr>
          <w:sz w:val="21"/>
          <w:szCs w:val="21"/>
          <w:position w:val="-9"/>
        </w:rPr>
        <w:drawing>
          <wp:inline distT="0" distB="0" distL="0" distR="0">
            <wp:extent cx="6365" cy="234933"/>
            <wp:effectExtent l="0" t="0" r="0" b="0"/>
            <wp:docPr id="288" name="IM 288"/>
            <wp:cNvGraphicFramePr/>
            <a:graphic>
              <a:graphicData uri="http://schemas.openxmlformats.org/drawingml/2006/picture">
                <pic:pic>
                  <pic:nvPicPr>
                    <pic:cNvPr id="288" name="IM 288"/>
                    <pic:cNvPicPr/>
                  </pic:nvPicPr>
                  <pic:blipFill>
                    <a:blip r:embed="rId422"/>
                    <a:stretch>
                      <a:fillRect/>
                    </a:stretch>
                  </pic:blipFill>
                  <pic:spPr>
                    <a:xfrm rot="0">
                      <a:off x="0" y="0"/>
                      <a:ext cx="6365" cy="234933"/>
                    </a:xfrm>
                    <a:prstGeom prst="rect">
                      <a:avLst/>
                    </a:prstGeom>
                  </pic:spPr>
                </pic:pic>
              </a:graphicData>
            </a:graphic>
          </wp:inline>
        </w:drawing>
      </w:r>
    </w:p>
    <w:p>
      <w:pPr>
        <w:ind w:left="6979"/>
        <w:spacing w:before="278" w:line="212" w:lineRule="auto"/>
        <w:rPr>
          <w:rFonts w:ascii="SimHei" w:hAnsi="SimHei" w:eastAsia="SimHei" w:cs="SimHei"/>
          <w:sz w:val="21"/>
          <w:szCs w:val="21"/>
        </w:rPr>
      </w:pPr>
      <w:r>
        <w:rPr>
          <w:rFonts w:ascii="SimHei" w:hAnsi="SimHei" w:eastAsia="SimHei" w:cs="SimHei"/>
          <w:sz w:val="21"/>
          <w:szCs w:val="21"/>
          <w:spacing w:val="-11"/>
        </w:rPr>
        <w:t>续表</w:t>
      </w:r>
    </w:p>
    <w:tbl>
      <w:tblPr>
        <w:tblStyle w:val="TableNormal"/>
        <w:tblW w:w="7789" w:type="dxa"/>
        <w:tblInd w:w="0" w:type="dxa"/>
        <w:tblLayout w:type="fixed"/>
        <w:tblBorders>
          <w:bottom w:val="single" w:color="000000" w:sz="2" w:space="0"/>
          <w:top w:val="single" w:color="000000" w:sz="4" w:space="0"/>
        </w:tblBorders>
      </w:tblPr>
      <w:tblGrid>
        <w:gridCol w:w="7789"/>
      </w:tblGrid>
      <w:tr>
        <w:trPr>
          <w:trHeight w:val="10864" w:hRule="atLeast"/>
        </w:trPr>
        <w:tc>
          <w:tcPr>
            <w:tcW w:w="7789" w:type="dxa"/>
            <w:vAlign w:val="top"/>
          </w:tcPr>
          <w:p>
            <w:pPr>
              <w:pStyle w:val="TableText"/>
              <w:ind w:left="289"/>
              <w:spacing w:before="76" w:line="219" w:lineRule="auto"/>
              <w:rPr>
                <w:sz w:val="16"/>
                <w:szCs w:val="16"/>
              </w:rPr>
            </w:pPr>
            <w:r>
              <w:rPr>
                <w:sz w:val="16"/>
                <w:szCs w:val="16"/>
                <w:spacing w:val="-9"/>
              </w:rPr>
              <w:t>5.1</w:t>
            </w:r>
            <w:r>
              <w:rPr>
                <w:sz w:val="16"/>
                <w:szCs w:val="16"/>
                <w:spacing w:val="61"/>
              </w:rPr>
              <w:t xml:space="preserve"> </w:t>
            </w:r>
            <w:r>
              <w:rPr>
                <w:sz w:val="16"/>
                <w:szCs w:val="16"/>
                <w:spacing w:val="-9"/>
              </w:rPr>
              <w:t>数据及其相关的信息资产识别、分组与登记</w:t>
            </w:r>
          </w:p>
          <w:p>
            <w:pPr>
              <w:pStyle w:val="TableText"/>
              <w:ind w:left="289"/>
              <w:spacing w:before="90" w:line="219" w:lineRule="auto"/>
              <w:rPr>
                <w:sz w:val="16"/>
                <w:szCs w:val="16"/>
              </w:rPr>
            </w:pPr>
            <w:r>
              <w:rPr>
                <w:sz w:val="16"/>
                <w:szCs w:val="16"/>
                <w:spacing w:val="-12"/>
              </w:rPr>
              <w:t>5.1.1  信息资产识别</w:t>
            </w:r>
          </w:p>
          <w:p>
            <w:pPr>
              <w:pStyle w:val="TableText"/>
              <w:ind w:left="289"/>
              <w:spacing w:before="98" w:line="218" w:lineRule="auto"/>
              <w:rPr>
                <w:sz w:val="16"/>
                <w:szCs w:val="16"/>
              </w:rPr>
            </w:pPr>
            <w:r>
              <w:rPr>
                <w:sz w:val="16"/>
                <w:szCs w:val="16"/>
                <w:spacing w:val="-7"/>
              </w:rPr>
              <w:t>(1)资产是公司直接赋予价值因而需要保护的有用资源，以多种形式存在；</w:t>
            </w:r>
          </w:p>
          <w:p>
            <w:pPr>
              <w:pStyle w:val="TableText"/>
              <w:ind w:left="289"/>
              <w:spacing w:before="82" w:line="219" w:lineRule="auto"/>
              <w:rPr>
                <w:sz w:val="16"/>
                <w:szCs w:val="16"/>
              </w:rPr>
            </w:pPr>
            <w:r>
              <w:rPr>
                <w:sz w:val="16"/>
                <w:szCs w:val="16"/>
                <w:spacing w:val="-7"/>
              </w:rPr>
              <w:t>(2)信息资产分为：硬件类、软件类、信息类、人员类、服务</w:t>
            </w:r>
            <w:r>
              <w:rPr>
                <w:sz w:val="16"/>
                <w:szCs w:val="16"/>
                <w:spacing w:val="-8"/>
              </w:rPr>
              <w:t>类、无形资产等六大类；</w:t>
            </w:r>
          </w:p>
          <w:p>
            <w:pPr>
              <w:pStyle w:val="TableText"/>
              <w:ind w:left="160" w:right="227" w:firstLine="129"/>
              <w:spacing w:before="89" w:line="272" w:lineRule="auto"/>
              <w:rPr>
                <w:sz w:val="16"/>
                <w:szCs w:val="16"/>
              </w:rPr>
            </w:pPr>
            <w:r>
              <w:rPr>
                <w:sz w:val="16"/>
                <w:szCs w:val="16"/>
                <w:spacing w:val="-7"/>
              </w:rPr>
              <w:t>(3)各部门的信息资产识别由信息安全管理组统一组织进行，主要工作由信息安全管理员完成，部门或机构的</w:t>
            </w:r>
            <w:r>
              <w:rPr>
                <w:sz w:val="16"/>
                <w:szCs w:val="16"/>
                <w:spacing w:val="13"/>
              </w:rPr>
              <w:t xml:space="preserve"> </w:t>
            </w:r>
            <w:r>
              <w:rPr>
                <w:sz w:val="16"/>
                <w:szCs w:val="16"/>
                <w:spacing w:val="-10"/>
              </w:rPr>
              <w:t>相关人员要予以协助。</w:t>
            </w:r>
          </w:p>
          <w:p>
            <w:pPr>
              <w:pStyle w:val="TableText"/>
              <w:ind w:left="289"/>
              <w:spacing w:before="99" w:line="219" w:lineRule="auto"/>
              <w:rPr>
                <w:sz w:val="16"/>
                <w:szCs w:val="16"/>
              </w:rPr>
            </w:pPr>
            <w:r>
              <w:rPr>
                <w:sz w:val="16"/>
                <w:szCs w:val="16"/>
                <w:spacing w:val="-12"/>
              </w:rPr>
              <w:t>5.1.2</w:t>
            </w:r>
            <w:r>
              <w:rPr>
                <w:sz w:val="16"/>
                <w:szCs w:val="16"/>
                <w:spacing w:val="53"/>
                <w:w w:val="101"/>
              </w:rPr>
              <w:t xml:space="preserve"> </w:t>
            </w:r>
            <w:r>
              <w:rPr>
                <w:sz w:val="16"/>
                <w:szCs w:val="16"/>
                <w:spacing w:val="-12"/>
              </w:rPr>
              <w:t>信息资产分组</w:t>
            </w:r>
          </w:p>
          <w:p>
            <w:pPr>
              <w:pStyle w:val="TableText"/>
              <w:ind w:left="160" w:right="212" w:firstLine="129"/>
              <w:spacing w:before="89" w:line="266" w:lineRule="auto"/>
              <w:rPr>
                <w:sz w:val="16"/>
                <w:szCs w:val="16"/>
              </w:rPr>
            </w:pPr>
            <w:r>
              <w:rPr>
                <w:sz w:val="16"/>
                <w:szCs w:val="16"/>
                <w:spacing w:val="-6"/>
              </w:rPr>
              <w:t>(1)本公司的资产组主要有六种类型：软件类资产组、信息类</w:t>
            </w:r>
            <w:r>
              <w:rPr>
                <w:sz w:val="16"/>
                <w:szCs w:val="16"/>
                <w:spacing w:val="-7"/>
              </w:rPr>
              <w:t>资产组、人员类资产组、硬件类资产组、服务类</w:t>
            </w:r>
            <w:r>
              <w:rPr>
                <w:sz w:val="16"/>
                <w:szCs w:val="16"/>
              </w:rPr>
              <w:t xml:space="preserve"> </w:t>
            </w:r>
            <w:r>
              <w:rPr>
                <w:sz w:val="16"/>
                <w:szCs w:val="16"/>
                <w:spacing w:val="-12"/>
              </w:rPr>
              <w:t>资产组、无形资产组；</w:t>
            </w:r>
          </w:p>
          <w:p>
            <w:pPr>
              <w:pStyle w:val="TableText"/>
              <w:ind w:left="289"/>
              <w:spacing w:before="99" w:line="218" w:lineRule="auto"/>
              <w:rPr>
                <w:sz w:val="16"/>
                <w:szCs w:val="16"/>
              </w:rPr>
            </w:pPr>
            <w:r>
              <w:rPr>
                <w:sz w:val="16"/>
                <w:szCs w:val="16"/>
                <w:spacing w:val="-14"/>
              </w:rPr>
              <w:t>(2)对于识别出来的信息资产，部门数据安全管理员要根据资产</w:t>
            </w:r>
            <w:r>
              <w:rPr>
                <w:sz w:val="16"/>
                <w:szCs w:val="16"/>
                <w:spacing w:val="-15"/>
              </w:rPr>
              <w:t>的不同类型和价值进行必要的组合，形成资产组。</w:t>
            </w:r>
          </w:p>
          <w:p>
            <w:pPr>
              <w:pStyle w:val="TableText"/>
              <w:ind w:left="289"/>
              <w:spacing w:before="83" w:line="219" w:lineRule="auto"/>
              <w:rPr>
                <w:sz w:val="16"/>
                <w:szCs w:val="16"/>
              </w:rPr>
            </w:pPr>
            <w:r>
              <w:rPr>
                <w:sz w:val="16"/>
                <w:szCs w:val="16"/>
                <w:spacing w:val="-10"/>
              </w:rPr>
              <w:t>5.1.3</w:t>
            </w:r>
            <w:r>
              <w:rPr>
                <w:sz w:val="16"/>
                <w:szCs w:val="16"/>
                <w:spacing w:val="33"/>
              </w:rPr>
              <w:t xml:space="preserve"> </w:t>
            </w:r>
            <w:r>
              <w:rPr>
                <w:sz w:val="16"/>
                <w:szCs w:val="16"/>
                <w:spacing w:val="-10"/>
              </w:rPr>
              <w:t>信息资产登记</w:t>
            </w:r>
          </w:p>
          <w:p>
            <w:pPr>
              <w:pStyle w:val="TableText"/>
              <w:ind w:left="289"/>
              <w:spacing w:before="90" w:line="219" w:lineRule="auto"/>
              <w:rPr>
                <w:sz w:val="16"/>
                <w:szCs w:val="16"/>
              </w:rPr>
            </w:pPr>
            <w:r>
              <w:rPr>
                <w:sz w:val="16"/>
                <w:szCs w:val="16"/>
                <w:spacing w:val="-9"/>
              </w:rPr>
              <w:t>识别出来的信息资产由数据安全管理员详细登记在《云端数据资产风险登记表》中。</w:t>
            </w:r>
          </w:p>
          <w:p>
            <w:pPr>
              <w:pStyle w:val="TableText"/>
              <w:ind w:left="289"/>
              <w:spacing w:before="100" w:line="219" w:lineRule="auto"/>
              <w:rPr>
                <w:sz w:val="16"/>
                <w:szCs w:val="16"/>
              </w:rPr>
            </w:pPr>
            <w:r>
              <w:rPr>
                <w:sz w:val="16"/>
                <w:szCs w:val="16"/>
                <w:spacing w:val="-12"/>
              </w:rPr>
              <w:t>5.1.4  资产和资产组赋值</w:t>
            </w:r>
          </w:p>
          <w:p>
            <w:pPr>
              <w:pStyle w:val="TableText"/>
              <w:ind w:left="289"/>
              <w:spacing w:before="80" w:line="219" w:lineRule="auto"/>
              <w:rPr>
                <w:sz w:val="16"/>
                <w:szCs w:val="16"/>
              </w:rPr>
            </w:pPr>
            <w:r>
              <w:rPr>
                <w:sz w:val="16"/>
                <w:szCs w:val="16"/>
                <w:spacing w:val="5"/>
              </w:rPr>
              <w:t>(1)资产赋值</w:t>
            </w:r>
          </w:p>
          <w:p>
            <w:pPr>
              <w:pStyle w:val="TableText"/>
              <w:ind w:left="160" w:right="233" w:firstLine="129"/>
              <w:spacing w:before="100" w:line="278" w:lineRule="auto"/>
              <w:rPr>
                <w:sz w:val="16"/>
                <w:szCs w:val="16"/>
              </w:rPr>
            </w:pPr>
            <w:r>
              <w:rPr>
                <w:sz w:val="16"/>
                <w:szCs w:val="16"/>
                <w:spacing w:val="-9"/>
              </w:rPr>
              <w:t>信息资产的赋值通过信息资产的机密性、完整性和可用性赋值确定，信息资产的机密性、完整性、可用性赋值</w:t>
            </w:r>
            <w:r>
              <w:rPr>
                <w:sz w:val="16"/>
                <w:szCs w:val="16"/>
                <w:spacing w:val="16"/>
              </w:rPr>
              <w:t xml:space="preserve"> </w:t>
            </w:r>
            <w:r>
              <w:rPr>
                <w:sz w:val="16"/>
                <w:szCs w:val="16"/>
                <w:spacing w:val="-6"/>
              </w:rPr>
              <w:t>如下表。</w:t>
            </w:r>
          </w:p>
          <w:p>
            <w:pPr>
              <w:spacing w:line="147" w:lineRule="exact"/>
              <w:rPr/>
            </w:pPr>
            <w:r/>
          </w:p>
          <w:tbl>
            <w:tblPr>
              <w:tblStyle w:val="TableNormal"/>
              <w:tblW w:w="7173"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54"/>
              <w:gridCol w:w="1977"/>
              <w:gridCol w:w="2257"/>
              <w:gridCol w:w="2085"/>
            </w:tblGrid>
            <w:tr>
              <w:trPr>
                <w:trHeight w:val="305" w:hRule="atLeast"/>
              </w:trPr>
              <w:tc>
                <w:tcPr>
                  <w:tcW w:w="854" w:type="dxa"/>
                  <w:vAlign w:val="top"/>
                </w:tcPr>
                <w:p>
                  <w:pPr>
                    <w:pStyle w:val="TableText"/>
                    <w:ind w:left="155"/>
                    <w:spacing w:before="81" w:line="219" w:lineRule="auto"/>
                    <w:rPr/>
                  </w:pPr>
                  <w:r>
                    <w:rPr>
                      <w:spacing w:val="-4"/>
                    </w:rPr>
                    <w:t>等</w:t>
                  </w:r>
                  <w:r>
                    <w:rPr>
                      <w:spacing w:val="2"/>
                    </w:rPr>
                    <w:t xml:space="preserve">   </w:t>
                  </w:r>
                  <w:r>
                    <w:rPr>
                      <w:spacing w:val="-4"/>
                    </w:rPr>
                    <w:t>级</w:t>
                  </w:r>
                </w:p>
              </w:tc>
              <w:tc>
                <w:tcPr>
                  <w:tcW w:w="1977" w:type="dxa"/>
                  <w:vAlign w:val="top"/>
                </w:tcPr>
                <w:p>
                  <w:pPr>
                    <w:pStyle w:val="TableText"/>
                    <w:ind w:left="681"/>
                    <w:spacing w:before="80" w:line="219" w:lineRule="auto"/>
                    <w:rPr/>
                  </w:pPr>
                  <w:r>
                    <w:rPr>
                      <w:spacing w:val="-1"/>
                    </w:rPr>
                    <w:t>C-机密性</w:t>
                  </w:r>
                </w:p>
              </w:tc>
              <w:tc>
                <w:tcPr>
                  <w:tcW w:w="2257" w:type="dxa"/>
                  <w:vAlign w:val="top"/>
                </w:tcPr>
                <w:p>
                  <w:pPr>
                    <w:pStyle w:val="TableText"/>
                    <w:ind w:left="784"/>
                    <w:spacing w:before="81" w:line="219" w:lineRule="auto"/>
                    <w:rPr/>
                  </w:pPr>
                  <w:r>
                    <w:rPr>
                      <w:spacing w:val="-4"/>
                    </w:rPr>
                    <w:t>1一完整性</w:t>
                  </w:r>
                </w:p>
              </w:tc>
              <w:tc>
                <w:tcPr>
                  <w:tcW w:w="2085" w:type="dxa"/>
                  <w:vAlign w:val="top"/>
                </w:tcPr>
                <w:p>
                  <w:pPr>
                    <w:pStyle w:val="TableText"/>
                    <w:ind w:left="687"/>
                    <w:spacing w:before="82" w:line="221" w:lineRule="auto"/>
                    <w:rPr/>
                  </w:pPr>
                  <w:r>
                    <w:rPr>
                      <w:spacing w:val="-1"/>
                    </w:rPr>
                    <w:t>A一可用性</w:t>
                  </w:r>
                </w:p>
              </w:tc>
            </w:tr>
            <w:tr>
              <w:trPr>
                <w:trHeight w:val="1378" w:hRule="atLeast"/>
              </w:trPr>
              <w:tc>
                <w:tcPr>
                  <w:tcW w:w="854" w:type="dxa"/>
                  <w:vAlign w:val="top"/>
                </w:tcPr>
                <w:p>
                  <w:pPr>
                    <w:spacing w:line="282" w:lineRule="auto"/>
                    <w:rPr>
                      <w:rFonts w:ascii="Arial"/>
                      <w:sz w:val="21"/>
                    </w:rPr>
                  </w:pPr>
                  <w:r/>
                </w:p>
                <w:p>
                  <w:pPr>
                    <w:spacing w:line="282" w:lineRule="auto"/>
                    <w:rPr>
                      <w:rFonts w:ascii="Arial"/>
                      <w:sz w:val="21"/>
                    </w:rPr>
                  </w:pPr>
                  <w:r/>
                </w:p>
                <w:p>
                  <w:pPr>
                    <w:pStyle w:val="TableText"/>
                    <w:ind w:left="155"/>
                    <w:spacing w:before="48" w:line="219" w:lineRule="auto"/>
                    <w:rPr/>
                  </w:pPr>
                  <w:r>
                    <w:rPr>
                      <w:spacing w:val="5"/>
                    </w:rPr>
                    <w:t>5(很高)</w:t>
                  </w:r>
                </w:p>
              </w:tc>
              <w:tc>
                <w:tcPr>
                  <w:tcW w:w="1977" w:type="dxa"/>
                  <w:vAlign w:val="top"/>
                </w:tcPr>
                <w:p>
                  <w:pPr>
                    <w:pStyle w:val="TableText"/>
                    <w:ind w:left="81" w:right="51" w:firstLine="189"/>
                    <w:spacing w:before="85" w:line="304" w:lineRule="auto"/>
                    <w:rPr/>
                  </w:pPr>
                  <w:r>
                    <w:rPr>
                      <w:spacing w:val="-1"/>
                    </w:rPr>
                    <w:t>包含组织最重要的秘密，</w:t>
                  </w:r>
                  <w:r>
                    <w:rPr>
                      <w:spacing w:val="4"/>
                    </w:rPr>
                    <w:t xml:space="preserve"> </w:t>
                  </w:r>
                  <w:r>
                    <w:rPr>
                      <w:spacing w:val="4"/>
                    </w:rPr>
                    <w:t>关系未来发展的前途命运  </w:t>
                  </w:r>
                  <w:r>
                    <w:rPr>
                      <w:spacing w:val="4"/>
                    </w:rPr>
                    <w:t>对组织根本利益有着决定  </w:t>
                  </w:r>
                  <w:r>
                    <w:rPr>
                      <w:spacing w:val="-1"/>
                    </w:rPr>
                    <w:t>性影响，如果泄漏会造成灾</w:t>
                  </w:r>
                </w:p>
                <w:p>
                  <w:pPr>
                    <w:pStyle w:val="TableText"/>
                    <w:ind w:left="111"/>
                    <w:spacing w:before="83" w:line="220" w:lineRule="auto"/>
                    <w:rPr/>
                  </w:pPr>
                  <w:r>
                    <w:rPr>
                      <w:spacing w:val="-1"/>
                    </w:rPr>
                    <w:t>难性的损害</w:t>
                  </w:r>
                </w:p>
              </w:tc>
              <w:tc>
                <w:tcPr>
                  <w:tcW w:w="2257" w:type="dxa"/>
                  <w:vAlign w:val="top"/>
                </w:tcPr>
                <w:p>
                  <w:pPr>
                    <w:pStyle w:val="TableText"/>
                    <w:ind w:left="124" w:right="117" w:firstLine="100"/>
                    <w:spacing w:before="74" w:line="310" w:lineRule="auto"/>
                    <w:jc w:val="both"/>
                    <w:rPr/>
                  </w:pPr>
                  <w:r>
                    <w:rPr>
                      <w:spacing w:val="-1"/>
                    </w:rPr>
                    <w:t>完整性价值非常关键，未经</w:t>
                  </w:r>
                  <w:r>
                    <w:rPr>
                      <w:spacing w:val="1"/>
                    </w:rPr>
                    <w:t xml:space="preserve">  </w:t>
                  </w:r>
                  <w:r>
                    <w:rPr>
                      <w:spacing w:val="1"/>
                    </w:rPr>
                    <w:t>授权的修改或破坏会对组织造</w:t>
                  </w:r>
                  <w:r>
                    <w:rPr/>
                    <w:t xml:space="preserve"> </w:t>
                  </w:r>
                  <w:r>
                    <w:rPr>
                      <w:spacing w:val="4"/>
                    </w:rPr>
                    <w:t>成重大的或无法接受的影响，</w:t>
                  </w:r>
                  <w:r>
                    <w:rPr>
                      <w:spacing w:val="2"/>
                    </w:rPr>
                    <w:t xml:space="preserve"> </w:t>
                  </w:r>
                  <w:r>
                    <w:rPr>
                      <w:spacing w:val="1"/>
                    </w:rPr>
                    <w:t>对业务冲击重大，并可能造成</w:t>
                  </w:r>
                  <w:r>
                    <w:rPr/>
                    <w:t xml:space="preserve"> </w:t>
                  </w:r>
                  <w:r>
                    <w:rPr>
                      <w:spacing w:val="-1"/>
                    </w:rPr>
                    <w:t>严重的业务中断，难以弥补</w:t>
                  </w:r>
                </w:p>
              </w:tc>
              <w:tc>
                <w:tcPr>
                  <w:tcW w:w="2085" w:type="dxa"/>
                  <w:vAlign w:val="top"/>
                </w:tcPr>
                <w:p>
                  <w:pPr>
                    <w:pStyle w:val="TableText"/>
                    <w:ind w:left="107" w:right="155" w:firstLine="160"/>
                    <w:spacing w:before="214" w:line="309" w:lineRule="auto"/>
                    <w:jc w:val="both"/>
                    <w:rPr/>
                  </w:pPr>
                  <w:r>
                    <w:rPr>
                      <w:spacing w:val="-1"/>
                    </w:rPr>
                    <w:t>可用性价值非常高，合法</w:t>
                  </w:r>
                  <w:r>
                    <w:rPr>
                      <w:spacing w:val="2"/>
                    </w:rPr>
                    <w:t xml:space="preserve"> </w:t>
                  </w:r>
                  <w:r>
                    <w:rPr/>
                    <w:t>使用者对信息及信息系统的</w:t>
                  </w:r>
                  <w:r>
                    <w:rPr>
                      <w:spacing w:val="2"/>
                    </w:rPr>
                    <w:t xml:space="preserve"> </w:t>
                  </w:r>
                  <w:r>
                    <w:rPr>
                      <w:spacing w:val="1"/>
                    </w:rPr>
                    <w:t>可用度在正常工作时间达到</w:t>
                  </w:r>
                  <w:r>
                    <w:rPr/>
                    <w:t xml:space="preserve"> </w:t>
                  </w:r>
                  <w:r>
                    <w:rPr>
                      <w:spacing w:val="-1"/>
                    </w:rPr>
                    <w:t>99.6%以上</w:t>
                  </w:r>
                </w:p>
              </w:tc>
            </w:tr>
            <w:tr>
              <w:trPr>
                <w:trHeight w:val="1128" w:hRule="atLeast"/>
              </w:trPr>
              <w:tc>
                <w:tcPr>
                  <w:tcW w:w="854" w:type="dxa"/>
                  <w:vAlign w:val="top"/>
                </w:tcPr>
                <w:p>
                  <w:pPr>
                    <w:spacing w:line="436" w:lineRule="auto"/>
                    <w:rPr>
                      <w:rFonts w:ascii="Arial"/>
                      <w:sz w:val="21"/>
                    </w:rPr>
                  </w:pPr>
                  <w:r/>
                </w:p>
                <w:p>
                  <w:pPr>
                    <w:pStyle w:val="TableText"/>
                    <w:ind w:left="175"/>
                    <w:spacing w:before="49" w:line="219" w:lineRule="auto"/>
                    <w:rPr/>
                  </w:pPr>
                  <w:r>
                    <w:rPr>
                      <w:spacing w:val="-12"/>
                    </w:rPr>
                    <w:t>4</w:t>
                  </w:r>
                  <w:r>
                    <w:rPr>
                      <w:spacing w:val="4"/>
                    </w:rPr>
                    <w:t xml:space="preserve"> </w:t>
                  </w:r>
                  <w:r>
                    <w:rPr>
                      <w:spacing w:val="-12"/>
                    </w:rPr>
                    <w:t>(</w:t>
                  </w:r>
                  <w:r>
                    <w:rPr>
                      <w:spacing w:val="-17"/>
                    </w:rPr>
                    <w:t xml:space="preserve"> </w:t>
                  </w:r>
                  <w:r>
                    <w:rPr>
                      <w:spacing w:val="-12"/>
                    </w:rPr>
                    <w:t>高</w:t>
                  </w:r>
                  <w:r>
                    <w:rPr>
                      <w:spacing w:val="-21"/>
                    </w:rPr>
                    <w:t xml:space="preserve"> </w:t>
                  </w:r>
                  <w:r>
                    <w:rPr>
                      <w:spacing w:val="-12"/>
                    </w:rPr>
                    <w:t>)</w:t>
                  </w:r>
                </w:p>
              </w:tc>
              <w:tc>
                <w:tcPr>
                  <w:tcW w:w="1977" w:type="dxa"/>
                  <w:vAlign w:val="top"/>
                </w:tcPr>
                <w:p>
                  <w:pPr>
                    <w:pStyle w:val="TableText"/>
                    <w:ind w:left="111" w:right="41" w:firstLine="170"/>
                    <w:spacing w:before="228" w:line="299" w:lineRule="auto"/>
                    <w:rPr/>
                  </w:pPr>
                  <w:r>
                    <w:rPr>
                      <w:spacing w:val="-1"/>
                    </w:rPr>
                    <w:t>包含组织的重要秘密，其</w:t>
                  </w:r>
                  <w:r>
                    <w:rPr>
                      <w:spacing w:val="4"/>
                    </w:rPr>
                    <w:t xml:space="preserve"> </w:t>
                  </w:r>
                  <w:r>
                    <w:rPr>
                      <w:spacing w:val="2"/>
                    </w:rPr>
                    <w:t>泄露会使组织的安全和利  </w:t>
                  </w:r>
                  <w:r>
                    <w:rPr>
                      <w:spacing w:val="-1"/>
                    </w:rPr>
                    <w:t>益遭受严重损害</w:t>
                  </w:r>
                </w:p>
              </w:tc>
              <w:tc>
                <w:tcPr>
                  <w:tcW w:w="2257" w:type="dxa"/>
                  <w:vAlign w:val="top"/>
                </w:tcPr>
                <w:p>
                  <w:pPr>
                    <w:pStyle w:val="TableText"/>
                    <w:ind w:left="124" w:right="145" w:firstLine="100"/>
                    <w:spacing w:before="86" w:line="308" w:lineRule="auto"/>
                    <w:rPr/>
                  </w:pPr>
                  <w:r>
                    <w:rPr>
                      <w:spacing w:val="-1"/>
                    </w:rPr>
                    <w:t>完整性价值较高，未经授权</w:t>
                  </w:r>
                  <w:r>
                    <w:rPr>
                      <w:spacing w:val="1"/>
                    </w:rPr>
                    <w:t xml:space="preserve">  </w:t>
                  </w:r>
                  <w:r>
                    <w:rPr>
                      <w:spacing w:val="2"/>
                    </w:rPr>
                    <w:t>的修改或破坏会对组织造成重</w:t>
                  </w:r>
                  <w:r>
                    <w:rPr/>
                    <w:t xml:space="preserve"> </w:t>
                  </w:r>
                  <w:r>
                    <w:rPr/>
                    <w:t>大影响，对业务冲击严重，比</w:t>
                  </w:r>
                  <w:r>
                    <w:rPr>
                      <w:spacing w:val="11"/>
                    </w:rPr>
                    <w:t xml:space="preserve"> </w:t>
                  </w:r>
                  <w:r>
                    <w:rPr>
                      <w:spacing w:val="-1"/>
                    </w:rPr>
                    <w:t>较难以弥补</w:t>
                  </w:r>
                </w:p>
              </w:tc>
              <w:tc>
                <w:tcPr>
                  <w:tcW w:w="2085" w:type="dxa"/>
                  <w:vAlign w:val="top"/>
                </w:tcPr>
                <w:p>
                  <w:pPr>
                    <w:pStyle w:val="TableText"/>
                    <w:ind w:left="117" w:right="154" w:firstLine="160"/>
                    <w:spacing w:before="86" w:line="304" w:lineRule="auto"/>
                    <w:rPr/>
                  </w:pPr>
                  <w:r>
                    <w:rPr>
                      <w:spacing w:val="-1"/>
                    </w:rPr>
                    <w:t>可用性价值较高，合法使</w:t>
                  </w:r>
                  <w:r>
                    <w:rPr>
                      <w:spacing w:val="2"/>
                    </w:rPr>
                    <w:t xml:space="preserve"> </w:t>
                  </w:r>
                  <w:r>
                    <w:rPr>
                      <w:spacing w:val="-1"/>
                    </w:rPr>
                    <w:t>用者对信息及信息系统的可</w:t>
                  </w:r>
                  <w:r>
                    <w:rPr>
                      <w:spacing w:val="3"/>
                    </w:rPr>
                    <w:t xml:space="preserve"> </w:t>
                  </w:r>
                  <w:r>
                    <w:rPr>
                      <w:spacing w:val="-1"/>
                    </w:rPr>
                    <w:t>用度在正常工作时间达到</w:t>
                  </w:r>
                </w:p>
                <w:p>
                  <w:pPr>
                    <w:pStyle w:val="TableText"/>
                    <w:ind w:left="117"/>
                    <w:spacing w:before="93" w:line="222" w:lineRule="auto"/>
                    <w:rPr/>
                  </w:pPr>
                  <w:r>
                    <w:rPr>
                      <w:spacing w:val="-1"/>
                    </w:rPr>
                    <w:t>90%以上</w:t>
                  </w:r>
                </w:p>
              </w:tc>
            </w:tr>
            <w:tr>
              <w:trPr>
                <w:trHeight w:val="838" w:hRule="atLeast"/>
              </w:trPr>
              <w:tc>
                <w:tcPr>
                  <w:tcW w:w="854" w:type="dxa"/>
                  <w:vAlign w:val="top"/>
                </w:tcPr>
                <w:p>
                  <w:pPr>
                    <w:spacing w:line="300" w:lineRule="auto"/>
                    <w:rPr>
                      <w:rFonts w:ascii="Arial"/>
                      <w:sz w:val="21"/>
                    </w:rPr>
                  </w:pPr>
                  <w:r/>
                </w:p>
                <w:p>
                  <w:pPr>
                    <w:pStyle w:val="TableText"/>
                    <w:ind w:left="175"/>
                    <w:spacing w:before="48" w:line="220" w:lineRule="auto"/>
                    <w:rPr/>
                  </w:pPr>
                  <w:r>
                    <w:rPr>
                      <w:spacing w:val="-16"/>
                    </w:rPr>
                    <w:t>3</w:t>
                  </w:r>
                  <w:r>
                    <w:rPr>
                      <w:spacing w:val="8"/>
                    </w:rPr>
                    <w:t xml:space="preserve"> </w:t>
                  </w:r>
                  <w:r>
                    <w:rPr>
                      <w:spacing w:val="-16"/>
                    </w:rPr>
                    <w:t>(</w:t>
                  </w:r>
                  <w:r>
                    <w:rPr>
                      <w:spacing w:val="-7"/>
                    </w:rPr>
                    <w:t xml:space="preserve"> </w:t>
                  </w:r>
                  <w:r>
                    <w:rPr>
                      <w:spacing w:val="-16"/>
                    </w:rPr>
                    <w:t>中</w:t>
                  </w:r>
                  <w:r>
                    <w:rPr>
                      <w:spacing w:val="-19"/>
                    </w:rPr>
                    <w:t xml:space="preserve"> </w:t>
                  </w:r>
                  <w:r>
                    <w:rPr>
                      <w:spacing w:val="-16"/>
                    </w:rPr>
                    <w:t>)</w:t>
                  </w:r>
                </w:p>
              </w:tc>
              <w:tc>
                <w:tcPr>
                  <w:tcW w:w="1977" w:type="dxa"/>
                  <w:vAlign w:val="top"/>
                </w:tcPr>
                <w:p>
                  <w:pPr>
                    <w:pStyle w:val="TableText"/>
                    <w:ind w:left="101" w:right="41" w:firstLine="180"/>
                    <w:spacing w:before="80" w:line="295" w:lineRule="auto"/>
                    <w:jc w:val="both"/>
                    <w:rPr/>
                  </w:pPr>
                  <w:r>
                    <w:rPr>
                      <w:spacing w:val="-1"/>
                    </w:rPr>
                    <w:t>包含组织的一般性秘密，</w:t>
                  </w:r>
                  <w:r>
                    <w:rPr>
                      <w:spacing w:val="4"/>
                    </w:rPr>
                    <w:t xml:space="preserve"> </w:t>
                  </w:r>
                  <w:r>
                    <w:rPr>
                      <w:spacing w:val="3"/>
                    </w:rPr>
                    <w:t>其泄露会使组织的安全和  </w:t>
                  </w:r>
                  <w:r>
                    <w:rPr>
                      <w:spacing w:val="-1"/>
                    </w:rPr>
                    <w:t>利益受到损害</w:t>
                  </w:r>
                </w:p>
              </w:tc>
              <w:tc>
                <w:tcPr>
                  <w:tcW w:w="2257" w:type="dxa"/>
                  <w:vAlign w:val="top"/>
                </w:tcPr>
                <w:p>
                  <w:pPr>
                    <w:pStyle w:val="TableText"/>
                    <w:ind w:left="104" w:right="38" w:firstLine="149"/>
                    <w:spacing w:before="88" w:line="291" w:lineRule="auto"/>
                    <w:jc w:val="both"/>
                    <w:rPr/>
                  </w:pPr>
                  <w:r>
                    <w:rPr>
                      <w:spacing w:val="-1"/>
                    </w:rPr>
                    <w:t>完整性价值中等，未经授权的</w:t>
                  </w:r>
                  <w:r>
                    <w:rPr>
                      <w:spacing w:val="4"/>
                    </w:rPr>
                    <w:t xml:space="preserve"> </w:t>
                  </w:r>
                  <w:r>
                    <w:rPr/>
                    <w:t>修改或破坏会对组织造成影响，</w:t>
                  </w:r>
                  <w:r>
                    <w:rPr>
                      <w:spacing w:val="3"/>
                    </w:rPr>
                    <w:t xml:space="preserve"> </w:t>
                  </w:r>
                  <w:r>
                    <w:rPr>
                      <w:spacing w:val="2"/>
                    </w:rPr>
                    <w:t>对业务冲击明显，但可以弥补</w:t>
                  </w:r>
                </w:p>
              </w:tc>
              <w:tc>
                <w:tcPr>
                  <w:tcW w:w="2085" w:type="dxa"/>
                  <w:vAlign w:val="top"/>
                </w:tcPr>
                <w:p>
                  <w:pPr>
                    <w:pStyle w:val="TableText"/>
                    <w:ind w:left="117" w:firstLine="149"/>
                    <w:spacing w:before="78" w:line="300" w:lineRule="auto"/>
                    <w:jc w:val="both"/>
                    <w:rPr/>
                  </w:pPr>
                  <w:r>
                    <w:rPr/>
                    <w:t>可用性价值中等，合法使用</w:t>
                  </w:r>
                  <w:r>
                    <w:rPr>
                      <w:spacing w:val="7"/>
                    </w:rPr>
                    <w:t xml:space="preserve"> </w:t>
                  </w:r>
                  <w:r>
                    <w:rPr>
                      <w:spacing w:val="-2"/>
                    </w:rPr>
                    <w:t>者对信息及信息系统的可用度</w:t>
                  </w:r>
                  <w:r>
                    <w:rPr>
                      <w:spacing w:val="7"/>
                    </w:rPr>
                    <w:t xml:space="preserve"> </w:t>
                  </w:r>
                  <w:r>
                    <w:rPr>
                      <w:spacing w:val="-1"/>
                    </w:rPr>
                    <w:t>在正常工作时间达到70%以上</w:t>
                  </w:r>
                </w:p>
              </w:tc>
            </w:tr>
            <w:tr>
              <w:trPr>
                <w:trHeight w:val="1118" w:hRule="atLeast"/>
              </w:trPr>
              <w:tc>
                <w:tcPr>
                  <w:tcW w:w="854" w:type="dxa"/>
                  <w:vAlign w:val="top"/>
                </w:tcPr>
                <w:p>
                  <w:pPr>
                    <w:spacing w:line="441" w:lineRule="auto"/>
                    <w:rPr>
                      <w:rFonts w:ascii="Arial"/>
                      <w:sz w:val="21"/>
                    </w:rPr>
                  </w:pPr>
                  <w:r/>
                </w:p>
                <w:p>
                  <w:pPr>
                    <w:pStyle w:val="TableText"/>
                    <w:ind w:left="175"/>
                    <w:spacing w:before="49" w:line="221" w:lineRule="auto"/>
                    <w:rPr/>
                  </w:pPr>
                  <w:r>
                    <w:rPr>
                      <w:spacing w:val="-12"/>
                    </w:rPr>
                    <w:t>2</w:t>
                  </w:r>
                  <w:r>
                    <w:rPr>
                      <w:spacing w:val="7"/>
                    </w:rPr>
                    <w:t xml:space="preserve"> </w:t>
                  </w:r>
                  <w:r>
                    <w:rPr>
                      <w:spacing w:val="-12"/>
                    </w:rPr>
                    <w:t>(</w:t>
                  </w:r>
                  <w:r>
                    <w:rPr>
                      <w:spacing w:val="-21"/>
                    </w:rPr>
                    <w:t xml:space="preserve"> </w:t>
                  </w:r>
                  <w:r>
                    <w:rPr>
                      <w:spacing w:val="-12"/>
                    </w:rPr>
                    <w:t>低</w:t>
                  </w:r>
                  <w:r>
                    <w:rPr>
                      <w:spacing w:val="-20"/>
                    </w:rPr>
                    <w:t xml:space="preserve"> </w:t>
                  </w:r>
                  <w:r>
                    <w:rPr>
                      <w:spacing w:val="-12"/>
                    </w:rPr>
                    <w:t>)</w:t>
                  </w:r>
                </w:p>
              </w:tc>
              <w:tc>
                <w:tcPr>
                  <w:tcW w:w="1977" w:type="dxa"/>
                  <w:vAlign w:val="top"/>
                </w:tcPr>
                <w:p>
                  <w:pPr>
                    <w:pStyle w:val="TableText"/>
                    <w:ind w:left="231"/>
                    <w:spacing w:before="92" w:line="219" w:lineRule="auto"/>
                    <w:rPr/>
                  </w:pPr>
                  <w:r>
                    <w:rPr>
                      <w:spacing w:val="-1"/>
                    </w:rPr>
                    <w:t>包含仅能在组织内部或</w:t>
                  </w:r>
                </w:p>
                <w:p>
                  <w:pPr>
                    <w:pStyle w:val="TableText"/>
                    <w:ind w:left="81" w:right="79" w:firstLine="69"/>
                    <w:spacing w:before="92" w:line="295" w:lineRule="auto"/>
                    <w:rPr/>
                  </w:pPr>
                  <w:r>
                    <w:rPr>
                      <w:spacing w:val="-1"/>
                    </w:rPr>
                    <w:t>在组织某一部门内部公开</w:t>
                  </w:r>
                  <w:r>
                    <w:rPr>
                      <w:spacing w:val="2"/>
                    </w:rPr>
                    <w:t xml:space="preserve">  </w:t>
                  </w:r>
                  <w:r>
                    <w:rPr/>
                    <w:t>的信息，向外扩散有可能对</w:t>
                  </w:r>
                  <w:r>
                    <w:rPr>
                      <w:spacing w:val="5"/>
                    </w:rPr>
                    <w:t xml:space="preserve"> </w:t>
                  </w:r>
                  <w:r>
                    <w:rPr>
                      <w:spacing w:val="1"/>
                    </w:rPr>
                    <w:t>组织的利益造成损害</w:t>
                  </w:r>
                </w:p>
              </w:tc>
              <w:tc>
                <w:tcPr>
                  <w:tcW w:w="2257" w:type="dxa"/>
                  <w:vAlign w:val="top"/>
                </w:tcPr>
                <w:p>
                  <w:pPr>
                    <w:pStyle w:val="TableText"/>
                    <w:ind w:left="134" w:right="147" w:firstLine="90"/>
                    <w:spacing w:before="92" w:line="307" w:lineRule="auto"/>
                    <w:rPr/>
                  </w:pPr>
                  <w:r>
                    <w:rPr>
                      <w:spacing w:val="-1"/>
                    </w:rPr>
                    <w:t>完整性价值较低，未经授权</w:t>
                  </w:r>
                  <w:r>
                    <w:rPr>
                      <w:spacing w:val="1"/>
                    </w:rPr>
                    <w:t xml:space="preserve">  </w:t>
                  </w:r>
                  <w:r>
                    <w:rPr>
                      <w:spacing w:val="1"/>
                    </w:rPr>
                    <w:t>的修改或破坏会对组织造成轻 </w:t>
                  </w:r>
                  <w:r>
                    <w:rPr/>
                    <w:t>微影响，可以忍受，对业务冲</w:t>
                  </w:r>
                  <w:r>
                    <w:rPr>
                      <w:spacing w:val="3"/>
                    </w:rPr>
                    <w:t xml:space="preserve"> </w:t>
                  </w:r>
                  <w:r>
                    <w:rPr>
                      <w:spacing w:val="-1"/>
                    </w:rPr>
                    <w:t>击轻微，容易弥补</w:t>
                  </w:r>
                </w:p>
              </w:tc>
              <w:tc>
                <w:tcPr>
                  <w:tcW w:w="2085" w:type="dxa"/>
                  <w:vAlign w:val="top"/>
                </w:tcPr>
                <w:p>
                  <w:pPr>
                    <w:pStyle w:val="TableText"/>
                    <w:ind w:left="107" w:right="164" w:firstLine="160"/>
                    <w:spacing w:before="89" w:line="296" w:lineRule="auto"/>
                    <w:rPr/>
                  </w:pPr>
                  <w:r>
                    <w:rPr>
                      <w:spacing w:val="-1"/>
                    </w:rPr>
                    <w:t>可用性价值较低，合法使</w:t>
                  </w:r>
                  <w:r>
                    <w:rPr>
                      <w:spacing w:val="2"/>
                    </w:rPr>
                    <w:t xml:space="preserve"> </w:t>
                  </w:r>
                  <w:r>
                    <w:rPr>
                      <w:spacing w:val="-1"/>
                    </w:rPr>
                    <w:t>用者对信息及信息系统的可</w:t>
                  </w:r>
                  <w:r>
                    <w:rPr>
                      <w:spacing w:val="3"/>
                    </w:rPr>
                    <w:t xml:space="preserve"> </w:t>
                  </w:r>
                  <w:r>
                    <w:rPr>
                      <w:spacing w:val="-1"/>
                    </w:rPr>
                    <w:t>用度在正常工作时间达到</w:t>
                  </w:r>
                </w:p>
                <w:p>
                  <w:pPr>
                    <w:pStyle w:val="TableText"/>
                    <w:ind w:left="107"/>
                    <w:spacing w:before="93" w:line="222" w:lineRule="auto"/>
                    <w:rPr/>
                  </w:pPr>
                  <w:r>
                    <w:rPr>
                      <w:spacing w:val="-2"/>
                    </w:rPr>
                    <w:t>25%以上</w:t>
                  </w:r>
                </w:p>
              </w:tc>
            </w:tr>
            <w:tr>
              <w:trPr>
                <w:trHeight w:val="1113" w:hRule="atLeast"/>
              </w:trPr>
              <w:tc>
                <w:tcPr>
                  <w:tcW w:w="854" w:type="dxa"/>
                  <w:vAlign w:val="top"/>
                </w:tcPr>
                <w:p>
                  <w:pPr>
                    <w:spacing w:line="433" w:lineRule="auto"/>
                    <w:rPr>
                      <w:rFonts w:ascii="Arial"/>
                      <w:sz w:val="21"/>
                    </w:rPr>
                  </w:pPr>
                  <w:r/>
                </w:p>
                <w:p>
                  <w:pPr>
                    <w:pStyle w:val="TableText"/>
                    <w:ind w:left="155"/>
                    <w:spacing w:before="49" w:line="220" w:lineRule="auto"/>
                    <w:rPr/>
                  </w:pPr>
                  <w:r>
                    <w:rPr>
                      <w:spacing w:val="5"/>
                    </w:rPr>
                    <w:t>1(很低)</w:t>
                  </w:r>
                </w:p>
              </w:tc>
              <w:tc>
                <w:tcPr>
                  <w:tcW w:w="1977" w:type="dxa"/>
                  <w:vAlign w:val="top"/>
                </w:tcPr>
                <w:p>
                  <w:pPr>
                    <w:pStyle w:val="TableText"/>
                    <w:ind w:left="231"/>
                    <w:spacing w:before="233" w:line="219" w:lineRule="auto"/>
                    <w:rPr/>
                  </w:pPr>
                  <w:r>
                    <w:rPr>
                      <w:spacing w:val="-1"/>
                    </w:rPr>
                    <w:t>包含可对社会公开的信</w:t>
                  </w:r>
                </w:p>
                <w:p>
                  <w:pPr>
                    <w:pStyle w:val="TableText"/>
                    <w:ind w:left="131" w:right="73" w:hanging="50"/>
                    <w:spacing w:before="92" w:line="270" w:lineRule="auto"/>
                    <w:rPr/>
                  </w:pPr>
                  <w:r>
                    <w:rPr>
                      <w:spacing w:val="1"/>
                    </w:rPr>
                    <w:t>息，公用的信息处理设备和</w:t>
                  </w:r>
                  <w:r>
                    <w:rPr/>
                    <w:t xml:space="preserve"> </w:t>
                  </w:r>
                  <w:r>
                    <w:rPr>
                      <w:spacing w:val="-2"/>
                    </w:rPr>
                    <w:t>系统资源等</w:t>
                  </w:r>
                </w:p>
              </w:tc>
              <w:tc>
                <w:tcPr>
                  <w:tcW w:w="2257" w:type="dxa"/>
                  <w:vAlign w:val="top"/>
                </w:tcPr>
                <w:p>
                  <w:pPr>
                    <w:pStyle w:val="TableText"/>
                    <w:ind w:left="124" w:right="158" w:firstLine="100"/>
                    <w:spacing w:before="102" w:line="299" w:lineRule="auto"/>
                    <w:jc w:val="both"/>
                    <w:rPr/>
                  </w:pPr>
                  <w:r>
                    <w:rPr>
                      <w:spacing w:val="-1"/>
                    </w:rPr>
                    <w:t>完整性价值非常低，未经授</w:t>
                  </w:r>
                  <w:r>
                    <w:rPr>
                      <w:spacing w:val="1"/>
                    </w:rPr>
                    <w:t xml:space="preserve">  </w:t>
                  </w:r>
                  <w:r>
                    <w:rPr>
                      <w:spacing w:val="1"/>
                    </w:rPr>
                    <w:t>权的修改或破坏对组织造成的</w:t>
                  </w:r>
                  <w:r>
                    <w:rPr/>
                    <w:t xml:space="preserve"> </w:t>
                  </w:r>
                  <w:r>
                    <w:rPr>
                      <w:spacing w:val="1"/>
                    </w:rPr>
                    <w:t>影响可以忽略，对业务冲击可</w:t>
                  </w:r>
                  <w:r>
                    <w:rPr/>
                    <w:t xml:space="preserve"> </w:t>
                  </w:r>
                  <w:r>
                    <w:rPr>
                      <w:spacing w:val="2"/>
                    </w:rPr>
                    <w:t>以忽略</w:t>
                  </w:r>
                </w:p>
              </w:tc>
              <w:tc>
                <w:tcPr>
                  <w:tcW w:w="2085" w:type="dxa"/>
                  <w:vAlign w:val="top"/>
                </w:tcPr>
                <w:p>
                  <w:pPr>
                    <w:pStyle w:val="TableText"/>
                    <w:ind w:left="107" w:right="148" w:firstLine="170"/>
                    <w:spacing w:before="103" w:line="300" w:lineRule="auto"/>
                    <w:jc w:val="both"/>
                    <w:rPr/>
                  </w:pPr>
                  <w:r>
                    <w:rPr>
                      <w:spacing w:val="-1"/>
                    </w:rPr>
                    <w:t>可用性价值可以忽略，合</w:t>
                  </w:r>
                  <w:r>
                    <w:rPr>
                      <w:spacing w:val="2"/>
                    </w:rPr>
                    <w:t xml:space="preserve"> </w:t>
                  </w:r>
                  <w:r>
                    <w:rPr>
                      <w:spacing w:val="-1"/>
                    </w:rPr>
                    <w:t>法使用者对信息及信息系统</w:t>
                  </w:r>
                  <w:r>
                    <w:rPr>
                      <w:spacing w:val="4"/>
                    </w:rPr>
                    <w:t xml:space="preserve"> </w:t>
                  </w:r>
                  <w:r>
                    <w:rPr>
                      <w:spacing w:val="1"/>
                    </w:rPr>
                    <w:t>的可用度在正常工作时间低</w:t>
                  </w:r>
                  <w:r>
                    <w:rPr>
                      <w:spacing w:val="6"/>
                    </w:rPr>
                    <w:t xml:space="preserve"> </w:t>
                  </w:r>
                  <w:r>
                    <w:rPr>
                      <w:spacing w:val="-4"/>
                    </w:rPr>
                    <w:t>于</w:t>
                  </w:r>
                  <w:r>
                    <w:rPr>
                      <w:spacing w:val="-29"/>
                    </w:rPr>
                    <w:t xml:space="preserve"> </w:t>
                  </w:r>
                  <w:r>
                    <w:rPr>
                      <w:spacing w:val="-4"/>
                    </w:rPr>
                    <w:t>2</w:t>
                  </w:r>
                  <w:r>
                    <w:rPr>
                      <w:spacing w:val="-27"/>
                    </w:rPr>
                    <w:t xml:space="preserve"> </w:t>
                  </w:r>
                  <w:r>
                    <w:rPr>
                      <w:spacing w:val="-4"/>
                    </w:rPr>
                    <w:t>5</w:t>
                  </w:r>
                  <w:r>
                    <w:rPr>
                      <w:spacing w:val="-34"/>
                    </w:rPr>
                    <w:t xml:space="preserve"> </w:t>
                  </w:r>
                  <w:r>
                    <w:rPr>
                      <w:spacing w:val="-4"/>
                    </w:rPr>
                    <w:t>%</w:t>
                  </w:r>
                </w:p>
              </w:tc>
            </w:tr>
          </w:tbl>
          <w:p>
            <w:pPr>
              <w:rPr>
                <w:rFonts w:ascii="Arial"/>
                <w:sz w:val="21"/>
              </w:rPr>
            </w:pPr>
            <w:r/>
          </w:p>
        </w:tc>
      </w:tr>
    </w:tbl>
    <w:p>
      <w:pPr>
        <w:pStyle w:val="BodyText"/>
        <w:rPr/>
      </w:pPr>
      <w:r/>
    </w:p>
    <w:p>
      <w:pPr>
        <w:sectPr>
          <w:footerReference w:type="default" r:id="rId421"/>
          <w:pgSz w:w="8870" w:h="13400"/>
          <w:pgMar w:top="400" w:right="695" w:bottom="477" w:left="270" w:header="0" w:footer="269" w:gutter="0"/>
        </w:sectPr>
        <w:rPr/>
      </w:pPr>
    </w:p>
    <w:p>
      <w:pPr>
        <w:pStyle w:val="BodyText"/>
        <w:spacing w:line="272" w:lineRule="auto"/>
        <w:rPr/>
      </w:pPr>
      <w:r>
        <mc:AlternateContent xmlns:mc="http://schemas.openxmlformats.org/markup-compatibility/2006">
          <mc:Choice Requires="wps">
            <w:drawing>
              <wp:anchor distT="0" distB="0" distL="0" distR="0" simplePos="0" relativeHeight="257401856" behindDoc="1" locked="0" layoutInCell="0" allowOverlap="1">
                <wp:simplePos x="0" y="0"/>
                <wp:positionH relativeFrom="page">
                  <wp:posOffset>507991</wp:posOffset>
                </wp:positionH>
                <wp:positionV relativeFrom="page">
                  <wp:posOffset>7816877</wp:posOffset>
                </wp:positionV>
                <wp:extent cx="4895850" cy="6350"/>
                <wp:effectExtent l="0" t="0" r="0" b="0"/>
                <wp:wrapNone/>
                <wp:docPr id="290" name="Rect 290"/>
                <wp:cNvGraphicFramePr/>
                <a:graphic>
                  <a:graphicData uri="http://schemas.microsoft.com/office/word/2010/wordprocessingShape">
                    <wps:wsp>
                      <wps:cNvPr id="290" name="Rect 290"/>
                      <wps:cNvSpPr/>
                      <wps:spPr>
                        <a:xfrm>
                          <a:off x="507991" y="7816877"/>
                          <a:ext cx="4895850"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0" style="position:absolute;margin-left:39.9993pt;margin-top:615.502pt;mso-position-vertical-relative:page;mso-position-horizontal-relative:page;width:385.5pt;height:0.5pt;z-index:-245914624;" o:allowincell="f" fillcolor="#000000" filled="true" stroked="false"/>
            </w:pict>
          </mc:Fallback>
        </mc:AlternateContent>
      </w:r>
      <w:r>
        <w:drawing>
          <wp:anchor distT="0" distB="0" distL="0" distR="0" simplePos="0" relativeHeight="257402880" behindDoc="0" locked="0" layoutInCell="0" allowOverlap="1">
            <wp:simplePos x="0" y="0"/>
            <wp:positionH relativeFrom="page">
              <wp:posOffset>406380</wp:posOffset>
            </wp:positionH>
            <wp:positionV relativeFrom="page">
              <wp:posOffset>431831</wp:posOffset>
            </wp:positionV>
            <wp:extent cx="6365" cy="215873"/>
            <wp:effectExtent l="0" t="0" r="0" b="0"/>
            <wp:wrapNone/>
            <wp:docPr id="292" name="IM 292"/>
            <wp:cNvGraphicFramePr/>
            <a:graphic>
              <a:graphicData uri="http://schemas.openxmlformats.org/drawingml/2006/picture">
                <pic:pic>
                  <pic:nvPicPr>
                    <pic:cNvPr id="292" name="IM 292"/>
                    <pic:cNvPicPr/>
                  </pic:nvPicPr>
                  <pic:blipFill>
                    <a:blip r:embed="rId424"/>
                    <a:stretch>
                      <a:fillRect/>
                    </a:stretch>
                  </pic:blipFill>
                  <pic:spPr>
                    <a:xfrm rot="0">
                      <a:off x="0" y="0"/>
                      <a:ext cx="6365" cy="215873"/>
                    </a:xfrm>
                    <a:prstGeom prst="rect">
                      <a:avLst/>
                    </a:prstGeom>
                  </pic:spPr>
                </pic:pic>
              </a:graphicData>
            </a:graphic>
          </wp:anchor>
        </w:drawing>
      </w:r>
      <w:r/>
    </w:p>
    <w:p>
      <w:pPr>
        <w:ind w:left="243"/>
        <w:spacing w:before="72" w:line="219" w:lineRule="auto"/>
        <w:rPr>
          <w:rFonts w:ascii="SimSun" w:hAnsi="SimSun" w:eastAsia="SimSun" w:cs="SimSun"/>
          <w:sz w:val="22"/>
          <w:szCs w:val="22"/>
        </w:rPr>
      </w:pPr>
      <w:r>
        <w:rPr>
          <w:rFonts w:ascii="SimSun" w:hAnsi="SimSun" w:eastAsia="SimSun" w:cs="SimSun"/>
          <w:sz w:val="22"/>
          <w:szCs w:val="22"/>
          <w:b/>
          <w:bCs/>
          <w:spacing w:val="-14"/>
        </w:rPr>
        <w:t>■云端数据治理</w:t>
      </w:r>
    </w:p>
    <w:p>
      <w:pPr>
        <w:ind w:left="7220"/>
        <w:spacing w:before="303" w:line="193" w:lineRule="auto"/>
        <w:rPr>
          <w:rFonts w:ascii="SimHei" w:hAnsi="SimHei" w:eastAsia="SimHei" w:cs="SimHei"/>
          <w:sz w:val="22"/>
          <w:szCs w:val="22"/>
        </w:rPr>
      </w:pPr>
      <w:r>
        <w:rPr>
          <w:rFonts w:ascii="SimHei" w:hAnsi="SimHei" w:eastAsia="SimHei" w:cs="SimHei"/>
          <w:sz w:val="22"/>
          <w:szCs w:val="22"/>
          <w:spacing w:val="-15"/>
          <w:w w:val="99"/>
        </w:rPr>
        <w:t>续表</w:t>
      </w:r>
    </w:p>
    <w:tbl>
      <w:tblPr>
        <w:tblStyle w:val="TableNormal"/>
        <w:tblW w:w="7712" w:type="dxa"/>
        <w:tblInd w:w="259" w:type="dxa"/>
        <w:tblLayout w:type="fixed"/>
        <w:tblBorders>
          <w:left w:val="single" w:color="000000" w:sz="8" w:space="0"/>
          <w:right w:val="single" w:color="000000" w:sz="6" w:space="0"/>
          <w:top w:val="single" w:color="000000" w:sz="4" w:space="0"/>
        </w:tblBorders>
      </w:tblPr>
      <w:tblGrid>
        <w:gridCol w:w="7712"/>
      </w:tblGrid>
      <w:tr>
        <w:trPr>
          <w:trHeight w:val="10779" w:hRule="atLeast"/>
        </w:trPr>
        <w:tc>
          <w:tcPr>
            <w:tcW w:w="7712" w:type="dxa"/>
            <w:vAlign w:val="top"/>
          </w:tcPr>
          <w:p>
            <w:pPr>
              <w:pStyle w:val="TableText"/>
              <w:ind w:left="260"/>
              <w:spacing w:before="85" w:line="219" w:lineRule="auto"/>
              <w:rPr>
                <w:sz w:val="16"/>
                <w:szCs w:val="16"/>
              </w:rPr>
            </w:pPr>
            <w:r>
              <w:rPr>
                <w:sz w:val="16"/>
                <w:szCs w:val="16"/>
                <w:spacing w:val="-5"/>
              </w:rPr>
              <w:t>(2)采用以下公式进行资产赋值：</w:t>
            </w:r>
          </w:p>
          <w:p>
            <w:pPr>
              <w:pStyle w:val="TableText"/>
              <w:ind w:left="260"/>
              <w:spacing w:before="72" w:line="212" w:lineRule="auto"/>
              <w:rPr>
                <w:sz w:val="16"/>
                <w:szCs w:val="16"/>
              </w:rPr>
            </w:pPr>
            <w:r>
              <w:rPr>
                <w:sz w:val="16"/>
                <w:szCs w:val="16"/>
                <w:spacing w:val="-5"/>
              </w:rPr>
              <w:t>资产赋值=</w:t>
            </w:r>
            <w:r>
              <w:rPr>
                <w:rFonts w:ascii="Times New Roman" w:hAnsi="Times New Roman" w:eastAsia="Times New Roman" w:cs="Times New Roman"/>
                <w:sz w:val="16"/>
                <w:szCs w:val="16"/>
                <w:spacing w:val="-5"/>
              </w:rPr>
              <w:t>Round({Log2[(2C+2I+2A)/3]},1);         </w:t>
            </w:r>
            <w:r>
              <w:rPr>
                <w:sz w:val="16"/>
                <w:szCs w:val="16"/>
                <w:spacing w:val="-5"/>
              </w:rPr>
              <w:t>(其中：</w:t>
            </w:r>
            <w:r>
              <w:rPr>
                <w:sz w:val="16"/>
                <w:szCs w:val="16"/>
                <w:spacing w:val="-43"/>
              </w:rPr>
              <w:t xml:space="preserve"> </w:t>
            </w:r>
            <w:r>
              <w:rPr>
                <w:rFonts w:ascii="Times New Roman" w:hAnsi="Times New Roman" w:eastAsia="Times New Roman" w:cs="Times New Roman"/>
                <w:sz w:val="16"/>
                <w:szCs w:val="16"/>
                <w:spacing w:val="-5"/>
              </w:rPr>
              <w:t>“C”   </w:t>
            </w:r>
            <w:r>
              <w:rPr>
                <w:sz w:val="16"/>
                <w:szCs w:val="16"/>
                <w:spacing w:val="-5"/>
              </w:rPr>
              <w:t>为机密性赋值；“1”为完整性赋值：</w:t>
            </w:r>
            <w:r>
              <w:rPr>
                <w:sz w:val="16"/>
                <w:szCs w:val="16"/>
                <w:spacing w:val="-20"/>
              </w:rPr>
              <w:t xml:space="preserve"> </w:t>
            </w:r>
            <w:r>
              <w:rPr>
                <w:rFonts w:ascii="Times New Roman" w:hAnsi="Times New Roman" w:eastAsia="Times New Roman" w:cs="Times New Roman"/>
                <w:sz w:val="16"/>
                <w:szCs w:val="16"/>
                <w:spacing w:val="-5"/>
              </w:rPr>
              <w:t>“A”</w:t>
            </w:r>
            <w:r>
              <w:rPr>
                <w:rFonts w:ascii="Times New Roman" w:hAnsi="Times New Roman" w:eastAsia="Times New Roman" w:cs="Times New Roman"/>
                <w:sz w:val="16"/>
                <w:szCs w:val="16"/>
                <w:spacing w:val="9"/>
              </w:rPr>
              <w:t xml:space="preserve">  </w:t>
            </w:r>
            <w:r>
              <w:rPr>
                <w:sz w:val="16"/>
                <w:szCs w:val="16"/>
                <w:spacing w:val="-5"/>
              </w:rPr>
              <w:t>为可</w:t>
            </w:r>
          </w:p>
          <w:p>
            <w:pPr>
              <w:pStyle w:val="TableText"/>
              <w:ind w:left="110"/>
              <w:spacing w:before="114" w:line="219" w:lineRule="auto"/>
              <w:rPr>
                <w:sz w:val="16"/>
                <w:szCs w:val="16"/>
              </w:rPr>
            </w:pPr>
            <w:r>
              <w:rPr>
                <w:sz w:val="16"/>
                <w:szCs w:val="16"/>
                <w:spacing w:val="-14"/>
              </w:rPr>
              <w:t>用性赋值。)</w:t>
            </w:r>
          </w:p>
          <w:p>
            <w:pPr>
              <w:pStyle w:val="TableText"/>
              <w:ind w:left="260"/>
              <w:spacing w:before="88" w:line="218" w:lineRule="auto"/>
              <w:rPr>
                <w:sz w:val="16"/>
                <w:szCs w:val="16"/>
              </w:rPr>
            </w:pPr>
            <w:r>
              <w:rPr>
                <w:sz w:val="16"/>
                <w:szCs w:val="16"/>
                <w:spacing w:val="-10"/>
              </w:rPr>
              <w:t>注：资产组的赋值取组内资产价值的最大值。</w:t>
            </w:r>
          </w:p>
          <w:p>
            <w:pPr>
              <w:pStyle w:val="TableText"/>
              <w:ind w:left="260"/>
              <w:spacing w:before="113" w:line="220" w:lineRule="auto"/>
              <w:rPr>
                <w:sz w:val="16"/>
                <w:szCs w:val="16"/>
              </w:rPr>
            </w:pPr>
            <w:r>
              <w:rPr>
                <w:rFonts w:ascii="Times New Roman" w:hAnsi="Times New Roman" w:eastAsia="Times New Roman" w:cs="Times New Roman"/>
                <w:sz w:val="16"/>
                <w:szCs w:val="16"/>
                <w:spacing w:val="-5"/>
              </w:rPr>
              <w:t>5.2</w:t>
            </w:r>
            <w:r>
              <w:rPr>
                <w:rFonts w:ascii="Times New Roman" w:hAnsi="Times New Roman" w:eastAsia="Times New Roman" w:cs="Times New Roman"/>
                <w:sz w:val="16"/>
                <w:szCs w:val="16"/>
                <w:spacing w:val="7"/>
              </w:rPr>
              <w:t xml:space="preserve">   </w:t>
            </w:r>
            <w:r>
              <w:rPr>
                <w:sz w:val="16"/>
                <w:szCs w:val="16"/>
                <w:spacing w:val="-5"/>
              </w:rPr>
              <w:t>风险识别与分析</w:t>
            </w:r>
          </w:p>
          <w:p>
            <w:pPr>
              <w:pStyle w:val="TableText"/>
              <w:ind w:left="260"/>
              <w:spacing w:before="90" w:line="220" w:lineRule="auto"/>
              <w:rPr>
                <w:sz w:val="16"/>
                <w:szCs w:val="16"/>
              </w:rPr>
            </w:pPr>
            <w:r>
              <w:rPr>
                <w:sz w:val="16"/>
                <w:szCs w:val="16"/>
                <w:spacing w:val="-12"/>
              </w:rPr>
              <w:t>5.2.1  威胁识别与分析</w:t>
            </w:r>
          </w:p>
          <w:p>
            <w:pPr>
              <w:pStyle w:val="TableText"/>
              <w:ind w:left="150" w:right="165" w:firstLine="109"/>
              <w:spacing w:before="78" w:line="277" w:lineRule="auto"/>
              <w:rPr>
                <w:sz w:val="16"/>
                <w:szCs w:val="16"/>
              </w:rPr>
            </w:pPr>
            <w:r>
              <w:rPr>
                <w:sz w:val="16"/>
                <w:szCs w:val="16"/>
                <w:spacing w:val="-8"/>
              </w:rPr>
              <w:t>应根据资产组内的每一项资产，以及每一项</w:t>
            </w:r>
            <w:r>
              <w:rPr>
                <w:sz w:val="16"/>
                <w:szCs w:val="16"/>
                <w:spacing w:val="-9"/>
              </w:rPr>
              <w:t>资产所处的环境条件、以前曾发生的安全事件等情况来进行威胁识</w:t>
            </w:r>
            <w:r>
              <w:rPr>
                <w:sz w:val="16"/>
                <w:szCs w:val="16"/>
              </w:rPr>
              <w:t xml:space="preserve"> </w:t>
            </w:r>
            <w:r>
              <w:rPr>
                <w:sz w:val="16"/>
                <w:szCs w:val="16"/>
                <w:spacing w:val="-10"/>
              </w:rPr>
              <w:t>别。</w:t>
            </w:r>
            <w:r>
              <w:rPr>
                <w:sz w:val="16"/>
                <w:szCs w:val="16"/>
                <w:spacing w:val="-35"/>
              </w:rPr>
              <w:t xml:space="preserve"> </w:t>
            </w:r>
            <w:r>
              <w:rPr>
                <w:sz w:val="16"/>
                <w:szCs w:val="16"/>
                <w:spacing w:val="-10"/>
              </w:rPr>
              <w:t>一项资产可能面临着多个威胁，同样一个威胁可能对不同的资产造成影响。可能</w:t>
            </w:r>
            <w:r>
              <w:rPr>
                <w:sz w:val="16"/>
                <w:szCs w:val="16"/>
                <w:spacing w:val="-11"/>
              </w:rPr>
              <w:t>的威胁如下表。</w:t>
            </w:r>
          </w:p>
          <w:p>
            <w:pPr>
              <w:spacing w:line="149" w:lineRule="exact"/>
              <w:rPr/>
            </w:pPr>
            <w:r/>
          </w:p>
          <w:tbl>
            <w:tblPr>
              <w:tblStyle w:val="TableNormal"/>
              <w:tblW w:w="7150"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3"/>
              <w:gridCol w:w="5707"/>
            </w:tblGrid>
            <w:tr>
              <w:trPr>
                <w:trHeight w:val="593" w:hRule="atLeast"/>
              </w:trPr>
              <w:tc>
                <w:tcPr>
                  <w:tcW w:w="1443" w:type="dxa"/>
                  <w:vAlign w:val="top"/>
                </w:tcPr>
                <w:p>
                  <w:pPr>
                    <w:pStyle w:val="TableText"/>
                    <w:ind w:left="334"/>
                    <w:spacing w:before="221" w:line="219" w:lineRule="auto"/>
                    <w:rPr/>
                  </w:pPr>
                  <w:r>
                    <w:rPr>
                      <w:spacing w:val="-2"/>
                    </w:rPr>
                    <w:t>管理不到位</w:t>
                  </w:r>
                </w:p>
              </w:tc>
              <w:tc>
                <w:tcPr>
                  <w:tcW w:w="5707" w:type="dxa"/>
                  <w:vAlign w:val="top"/>
                </w:tcPr>
                <w:p>
                  <w:pPr>
                    <w:pStyle w:val="TableText"/>
                    <w:ind w:left="252" w:right="203"/>
                    <w:spacing w:before="100" w:line="277" w:lineRule="auto"/>
                    <w:rPr/>
                  </w:pPr>
                  <w:r>
                    <w:rPr/>
                    <w:t>安全管理无法落实，不到位，造成安全管理不规范，或者</w:t>
                  </w:r>
                  <w:r>
                    <w:rPr>
                      <w:spacing w:val="-1"/>
                    </w:rPr>
                    <w:t>管理混乱，从而破坏信</w:t>
                  </w:r>
                  <w:r>
                    <w:rPr/>
                    <w:t xml:space="preserve"> </w:t>
                  </w:r>
                  <w:r>
                    <w:rPr>
                      <w:spacing w:val="-2"/>
                    </w:rPr>
                    <w:t>息系统的正常有序运行</w:t>
                  </w:r>
                </w:p>
              </w:tc>
            </w:tr>
            <w:tr>
              <w:trPr>
                <w:trHeight w:val="349" w:hRule="atLeast"/>
              </w:trPr>
              <w:tc>
                <w:tcPr>
                  <w:tcW w:w="1443" w:type="dxa"/>
                  <w:vAlign w:val="top"/>
                </w:tcPr>
                <w:p>
                  <w:pPr>
                    <w:pStyle w:val="TableText"/>
                    <w:ind w:left="184"/>
                    <w:spacing w:before="98" w:line="219" w:lineRule="auto"/>
                    <w:rPr/>
                  </w:pPr>
                  <w:r>
                    <w:rPr>
                      <w:spacing w:val="-1"/>
                    </w:rPr>
                    <w:t>恶意代码和病毒</w:t>
                  </w:r>
                </w:p>
              </w:tc>
              <w:tc>
                <w:tcPr>
                  <w:tcW w:w="5707" w:type="dxa"/>
                  <w:vAlign w:val="top"/>
                </w:tcPr>
                <w:p>
                  <w:pPr>
                    <w:pStyle w:val="TableText"/>
                    <w:ind w:left="252"/>
                    <w:spacing w:before="97" w:line="219" w:lineRule="auto"/>
                    <w:rPr/>
                  </w:pPr>
                  <w:r>
                    <w:rPr>
                      <w:spacing w:val="-1"/>
                    </w:rPr>
                    <w:t>具有自我复制、自我传播能力，对信息系统构成破坏的程序代码</w:t>
                  </w:r>
                </w:p>
              </w:tc>
            </w:tr>
            <w:tr>
              <w:trPr>
                <w:trHeight w:val="599" w:hRule="atLeast"/>
              </w:trPr>
              <w:tc>
                <w:tcPr>
                  <w:tcW w:w="1443" w:type="dxa"/>
                  <w:vAlign w:val="top"/>
                </w:tcPr>
                <w:p>
                  <w:pPr>
                    <w:pStyle w:val="TableText"/>
                    <w:ind w:left="334"/>
                    <w:spacing w:before="229" w:line="219" w:lineRule="auto"/>
                    <w:rPr/>
                  </w:pPr>
                  <w:r>
                    <w:rPr>
                      <w:spacing w:val="3"/>
                    </w:rPr>
                    <w:t>越权或滥用</w:t>
                  </w:r>
                </w:p>
              </w:tc>
              <w:tc>
                <w:tcPr>
                  <w:tcW w:w="5707" w:type="dxa"/>
                  <w:vAlign w:val="top"/>
                </w:tcPr>
                <w:p>
                  <w:pPr>
                    <w:pStyle w:val="TableText"/>
                    <w:ind w:left="262"/>
                    <w:spacing w:before="88" w:line="300" w:lineRule="exact"/>
                    <w:rPr/>
                  </w:pPr>
                  <w:r>
                    <w:rPr>
                      <w:position w:val="11"/>
                    </w:rPr>
                    <w:t>通过采用一些措施，超越自己的权限访问了本来无权访问的资源</w:t>
                  </w:r>
                  <w:r>
                    <w:rPr>
                      <w:spacing w:val="-1"/>
                      <w:position w:val="11"/>
                    </w:rPr>
                    <w:t>；滥用自己的职</w:t>
                  </w:r>
                </w:p>
                <w:p>
                  <w:pPr>
                    <w:pStyle w:val="TableText"/>
                    <w:ind w:left="252"/>
                    <w:spacing w:line="219" w:lineRule="auto"/>
                    <w:rPr/>
                  </w:pPr>
                  <w:r>
                    <w:rPr>
                      <w:spacing w:val="-1"/>
                    </w:rPr>
                    <w:t>权，做出破坏信息系统的行为</w:t>
                  </w:r>
                </w:p>
              </w:tc>
            </w:tr>
            <w:tr>
              <w:trPr>
                <w:trHeight w:val="598" w:hRule="atLeast"/>
              </w:trPr>
              <w:tc>
                <w:tcPr>
                  <w:tcW w:w="1443" w:type="dxa"/>
                  <w:vAlign w:val="top"/>
                </w:tcPr>
                <w:p>
                  <w:pPr>
                    <w:pStyle w:val="TableText"/>
                    <w:ind w:left="414"/>
                    <w:spacing w:before="230" w:line="220" w:lineRule="auto"/>
                    <w:rPr/>
                  </w:pPr>
                  <w:r>
                    <w:rPr>
                      <w:spacing w:val="-2"/>
                    </w:rPr>
                    <w:t>黑客攻击</w:t>
                  </w:r>
                </w:p>
              </w:tc>
              <w:tc>
                <w:tcPr>
                  <w:tcW w:w="5707" w:type="dxa"/>
                  <w:vAlign w:val="top"/>
                </w:tcPr>
                <w:p>
                  <w:pPr>
                    <w:pStyle w:val="TableText"/>
                    <w:ind w:left="252" w:right="119"/>
                    <w:spacing w:before="110" w:line="282" w:lineRule="auto"/>
                    <w:rPr/>
                  </w:pPr>
                  <w:r>
                    <w:rPr>
                      <w:spacing w:val="2"/>
                    </w:rPr>
                    <w:t>利用黑客工具和技术，例如侦察、密码猜测攻击、缓冲区溢出攻击、安装后门、</w:t>
                  </w:r>
                  <w:r>
                    <w:rPr>
                      <w:spacing w:val="4"/>
                    </w:rPr>
                    <w:t xml:space="preserve"> </w:t>
                  </w:r>
                  <w:r>
                    <w:rPr/>
                    <w:t>嗅探、伪造和欺骗、拒绝服务攻击等手段对信息系统进行攻击和入侵</w:t>
                  </w:r>
                </w:p>
              </w:tc>
            </w:tr>
            <w:tr>
              <w:trPr>
                <w:trHeight w:val="339" w:hRule="atLeast"/>
              </w:trPr>
              <w:tc>
                <w:tcPr>
                  <w:tcW w:w="1443" w:type="dxa"/>
                  <w:vAlign w:val="top"/>
                </w:tcPr>
                <w:p>
                  <w:pPr>
                    <w:pStyle w:val="TableText"/>
                    <w:ind w:left="414"/>
                    <w:spacing w:before="103" w:line="221" w:lineRule="auto"/>
                    <w:rPr/>
                  </w:pPr>
                  <w:r>
                    <w:rPr>
                      <w:spacing w:val="-2"/>
                    </w:rPr>
                    <w:t>物理攻击</w:t>
                  </w:r>
                </w:p>
              </w:tc>
              <w:tc>
                <w:tcPr>
                  <w:tcW w:w="5707" w:type="dxa"/>
                  <w:vAlign w:val="top"/>
                </w:tcPr>
                <w:p>
                  <w:pPr>
                    <w:pStyle w:val="TableText"/>
                    <w:ind w:left="252"/>
                    <w:spacing w:before="102" w:line="220" w:lineRule="auto"/>
                    <w:rPr/>
                  </w:pPr>
                  <w:r>
                    <w:rPr>
                      <w:spacing w:val="-1"/>
                    </w:rPr>
                    <w:t>物理接触、物理破坏、盗窃</w:t>
                  </w:r>
                </w:p>
              </w:tc>
            </w:tr>
            <w:tr>
              <w:trPr>
                <w:trHeight w:val="339" w:hRule="atLeast"/>
              </w:trPr>
              <w:tc>
                <w:tcPr>
                  <w:tcW w:w="1443" w:type="dxa"/>
                  <w:vAlign w:val="top"/>
                </w:tcPr>
                <w:p>
                  <w:pPr>
                    <w:pStyle w:val="TableText"/>
                    <w:ind w:left="564"/>
                    <w:spacing w:before="106" w:line="224" w:lineRule="auto"/>
                    <w:rPr/>
                  </w:pPr>
                  <w:r>
                    <w:rPr>
                      <w:spacing w:val="-3"/>
                    </w:rPr>
                    <w:t>泄密</w:t>
                  </w:r>
                </w:p>
              </w:tc>
              <w:tc>
                <w:tcPr>
                  <w:tcW w:w="5707" w:type="dxa"/>
                  <w:vAlign w:val="top"/>
                </w:tcPr>
                <w:p>
                  <w:pPr>
                    <w:pStyle w:val="TableText"/>
                    <w:ind w:left="252"/>
                    <w:spacing w:before="102" w:line="219" w:lineRule="auto"/>
                    <w:rPr/>
                  </w:pPr>
                  <w:r>
                    <w:rPr>
                      <w:spacing w:val="-1"/>
                    </w:rPr>
                    <w:t>机密泄漏，机密信息泄漏给他人</w:t>
                  </w:r>
                </w:p>
              </w:tc>
            </w:tr>
            <w:tr>
              <w:trPr>
                <w:trHeight w:val="339" w:hRule="atLeast"/>
              </w:trPr>
              <w:tc>
                <w:tcPr>
                  <w:tcW w:w="1443" w:type="dxa"/>
                  <w:vAlign w:val="top"/>
                </w:tcPr>
                <w:p>
                  <w:pPr>
                    <w:pStyle w:val="TableText"/>
                    <w:ind w:left="564"/>
                    <w:spacing w:before="104" w:line="219" w:lineRule="auto"/>
                    <w:rPr/>
                  </w:pPr>
                  <w:r>
                    <w:rPr>
                      <w:spacing w:val="-2"/>
                    </w:rPr>
                    <w:t>篡改</w:t>
                  </w:r>
                </w:p>
              </w:tc>
              <w:tc>
                <w:tcPr>
                  <w:tcW w:w="5707" w:type="dxa"/>
                  <w:vAlign w:val="top"/>
                </w:tcPr>
                <w:p>
                  <w:pPr>
                    <w:pStyle w:val="TableText"/>
                    <w:ind w:left="252"/>
                    <w:spacing w:before="104" w:line="219" w:lineRule="auto"/>
                    <w:rPr/>
                  </w:pPr>
                  <w:r>
                    <w:rPr>
                      <w:spacing w:val="-1"/>
                    </w:rPr>
                    <w:t>非法修改信息，破坏信息的完整性</w:t>
                  </w:r>
                </w:p>
              </w:tc>
            </w:tr>
            <w:tr>
              <w:trPr>
                <w:trHeight w:val="364" w:hRule="atLeast"/>
              </w:trPr>
              <w:tc>
                <w:tcPr>
                  <w:tcW w:w="1443" w:type="dxa"/>
                  <w:vAlign w:val="top"/>
                </w:tcPr>
                <w:p>
                  <w:pPr>
                    <w:pStyle w:val="TableText"/>
                    <w:ind w:left="564"/>
                    <w:spacing w:before="115" w:line="219" w:lineRule="auto"/>
                    <w:rPr/>
                  </w:pPr>
                  <w:r>
                    <w:rPr>
                      <w:spacing w:val="-2"/>
                    </w:rPr>
                    <w:t>抵赖</w:t>
                  </w:r>
                </w:p>
              </w:tc>
              <w:tc>
                <w:tcPr>
                  <w:tcW w:w="5707" w:type="dxa"/>
                  <w:vAlign w:val="top"/>
                </w:tcPr>
                <w:p>
                  <w:pPr>
                    <w:pStyle w:val="TableText"/>
                    <w:ind w:left="252"/>
                    <w:spacing w:before="115" w:line="219" w:lineRule="auto"/>
                    <w:rPr/>
                  </w:pPr>
                  <w:r>
                    <w:rPr/>
                    <w:t>不承认收到的信息和进行的操作和交易</w:t>
                  </w:r>
                </w:p>
              </w:tc>
            </w:tr>
          </w:tbl>
          <w:p>
            <w:pPr>
              <w:pStyle w:val="TableText"/>
              <w:ind w:left="260"/>
              <w:spacing w:before="190" w:line="219" w:lineRule="auto"/>
              <w:rPr>
                <w:sz w:val="16"/>
                <w:szCs w:val="16"/>
              </w:rPr>
            </w:pPr>
            <w:r>
              <w:rPr>
                <w:rFonts w:ascii="Times New Roman" w:hAnsi="Times New Roman" w:eastAsia="Times New Roman" w:cs="Times New Roman"/>
                <w:sz w:val="16"/>
                <w:szCs w:val="16"/>
                <w:spacing w:val="-3"/>
              </w:rPr>
              <w:t>5.2.2   </w:t>
            </w:r>
            <w:r>
              <w:rPr>
                <w:sz w:val="16"/>
                <w:szCs w:val="16"/>
                <w:spacing w:val="-3"/>
              </w:rPr>
              <w:t>脆弱性识别与分析</w:t>
            </w:r>
          </w:p>
          <w:p>
            <w:pPr>
              <w:spacing w:line="170" w:lineRule="exact"/>
              <w:rPr/>
            </w:pPr>
            <w:r/>
          </w:p>
          <w:tbl>
            <w:tblPr>
              <w:tblStyle w:val="TableNormal"/>
              <w:tblW w:w="715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3"/>
              <w:gridCol w:w="1588"/>
              <w:gridCol w:w="4668"/>
            </w:tblGrid>
            <w:tr>
              <w:trPr>
                <w:trHeight w:val="344" w:hRule="atLeast"/>
              </w:trPr>
              <w:tc>
                <w:tcPr>
                  <w:tcW w:w="903" w:type="dxa"/>
                  <w:vAlign w:val="top"/>
                </w:tcPr>
                <w:p>
                  <w:pPr>
                    <w:pStyle w:val="TableText"/>
                    <w:ind w:left="174"/>
                    <w:spacing w:before="101" w:line="219" w:lineRule="auto"/>
                    <w:rPr/>
                  </w:pPr>
                  <w:r>
                    <w:rPr>
                      <w:spacing w:val="-3"/>
                    </w:rPr>
                    <w:t>类</w:t>
                  </w:r>
                  <w:r>
                    <w:rPr>
                      <w:spacing w:val="10"/>
                    </w:rPr>
                    <w:t xml:space="preserve">   </w:t>
                  </w:r>
                  <w:r>
                    <w:rPr>
                      <w:spacing w:val="-3"/>
                    </w:rPr>
                    <w:t>型</w:t>
                  </w:r>
                </w:p>
              </w:tc>
              <w:tc>
                <w:tcPr>
                  <w:tcW w:w="1588" w:type="dxa"/>
                  <w:vAlign w:val="top"/>
                </w:tcPr>
                <w:p>
                  <w:pPr>
                    <w:pStyle w:val="TableText"/>
                    <w:ind w:left="411"/>
                    <w:spacing w:before="100" w:line="219" w:lineRule="auto"/>
                    <w:rPr/>
                  </w:pPr>
                  <w:r>
                    <w:rPr>
                      <w:spacing w:val="-1"/>
                    </w:rPr>
                    <w:t>脆弱性分类</w:t>
                  </w:r>
                </w:p>
              </w:tc>
              <w:tc>
                <w:tcPr>
                  <w:tcW w:w="4668" w:type="dxa"/>
                  <w:vAlign w:val="top"/>
                </w:tcPr>
                <w:p>
                  <w:pPr>
                    <w:pStyle w:val="TableText"/>
                    <w:ind w:left="1973"/>
                    <w:spacing w:before="100" w:line="219" w:lineRule="auto"/>
                    <w:rPr/>
                  </w:pPr>
                  <w:r>
                    <w:rPr>
                      <w:spacing w:val="-1"/>
                    </w:rPr>
                    <w:t>脆弱性示例</w:t>
                  </w:r>
                </w:p>
              </w:tc>
            </w:tr>
            <w:tr>
              <w:trPr>
                <w:trHeight w:val="868" w:hRule="atLeast"/>
              </w:trPr>
              <w:tc>
                <w:tcPr>
                  <w:tcW w:w="903" w:type="dxa"/>
                  <w:vAlign w:val="top"/>
                  <w:vMerge w:val="restart"/>
                  <w:tcBorders>
                    <w:bottom w:val="nil"/>
                  </w:tcBorders>
                </w:tcPr>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214"/>
                    <w:spacing w:before="49" w:line="271" w:lineRule="exact"/>
                    <w:rPr/>
                  </w:pPr>
                  <w:r>
                    <w:rPr>
                      <w:spacing w:val="-2"/>
                      <w:position w:val="9"/>
                    </w:rPr>
                    <w:t>技术脆</w:t>
                  </w:r>
                </w:p>
                <w:p>
                  <w:pPr>
                    <w:pStyle w:val="TableText"/>
                    <w:ind w:left="294"/>
                    <w:spacing w:line="220" w:lineRule="auto"/>
                    <w:rPr/>
                  </w:pPr>
                  <w:r>
                    <w:rPr>
                      <w:spacing w:val="-3"/>
                    </w:rPr>
                    <w:t>弱性</w:t>
                  </w:r>
                </w:p>
              </w:tc>
              <w:tc>
                <w:tcPr>
                  <w:tcW w:w="1588" w:type="dxa"/>
                  <w:vAlign w:val="top"/>
                </w:tcPr>
                <w:p>
                  <w:pPr>
                    <w:spacing w:line="307" w:lineRule="auto"/>
                    <w:rPr>
                      <w:rFonts w:ascii="Arial"/>
                      <w:sz w:val="21"/>
                    </w:rPr>
                  </w:pPr>
                  <w:r/>
                </w:p>
                <w:p>
                  <w:pPr>
                    <w:pStyle w:val="TableText"/>
                    <w:ind w:left="482"/>
                    <w:spacing w:before="48" w:line="220" w:lineRule="auto"/>
                    <w:rPr/>
                  </w:pPr>
                  <w:r>
                    <w:rPr>
                      <w:spacing w:val="-2"/>
                    </w:rPr>
                    <w:t>物理环境</w:t>
                  </w:r>
                </w:p>
              </w:tc>
              <w:tc>
                <w:tcPr>
                  <w:tcW w:w="4668" w:type="dxa"/>
                  <w:vAlign w:val="top"/>
                </w:tcPr>
                <w:p>
                  <w:pPr>
                    <w:pStyle w:val="TableText"/>
                    <w:ind w:left="124" w:right="178" w:firstLine="149"/>
                    <w:spacing w:before="96" w:line="303" w:lineRule="auto"/>
                    <w:jc w:val="both"/>
                    <w:rPr/>
                  </w:pPr>
                  <w:r>
                    <w:rPr/>
                    <w:t>从机房场地、机房防火、机房供配电、机房</w:t>
                  </w:r>
                  <w:r>
                    <w:rPr>
                      <w:spacing w:val="-1"/>
                    </w:rPr>
                    <w:t>防静电、机房接地与</w:t>
                  </w:r>
                  <w:r>
                    <w:rPr/>
                    <w:t xml:space="preserve"> </w:t>
                  </w:r>
                  <w:r>
                    <w:rPr/>
                    <w:t>防雷、电磁防护、通信线路的保护、机房区域防护、机房设备管理</w:t>
                  </w:r>
                  <w:r>
                    <w:rPr>
                      <w:spacing w:val="4"/>
                    </w:rPr>
                    <w:t xml:space="preserve"> </w:t>
                  </w:r>
                  <w:r>
                    <w:rPr>
                      <w:spacing w:val="-1"/>
                    </w:rPr>
                    <w:t>等方面进行识别</w:t>
                  </w:r>
                </w:p>
              </w:tc>
            </w:tr>
            <w:tr>
              <w:trPr>
                <w:trHeight w:val="868" w:hRule="atLeast"/>
              </w:trPr>
              <w:tc>
                <w:tcPr>
                  <w:tcW w:w="903" w:type="dxa"/>
                  <w:vAlign w:val="top"/>
                  <w:vMerge w:val="continue"/>
                  <w:tcBorders>
                    <w:top w:val="nil"/>
                    <w:bottom w:val="nil"/>
                  </w:tcBorders>
                </w:tcPr>
                <w:p>
                  <w:pPr>
                    <w:rPr>
                      <w:rFonts w:ascii="Arial"/>
                      <w:sz w:val="21"/>
                    </w:rPr>
                  </w:pPr>
                  <w:r/>
                </w:p>
              </w:tc>
              <w:tc>
                <w:tcPr>
                  <w:tcW w:w="1588" w:type="dxa"/>
                  <w:vAlign w:val="top"/>
                </w:tcPr>
                <w:p>
                  <w:pPr>
                    <w:spacing w:line="308" w:lineRule="auto"/>
                    <w:rPr>
                      <w:rFonts w:ascii="Arial"/>
                      <w:sz w:val="21"/>
                    </w:rPr>
                  </w:pPr>
                  <w:r/>
                </w:p>
                <w:p>
                  <w:pPr>
                    <w:pStyle w:val="TableText"/>
                    <w:ind w:left="111"/>
                    <w:spacing w:before="49" w:line="219" w:lineRule="auto"/>
                    <w:rPr/>
                  </w:pPr>
                  <w:r>
                    <w:rPr>
                      <w:spacing w:val="3"/>
                    </w:rPr>
                    <w:t>服务器(含操作系统)</w:t>
                  </w:r>
                </w:p>
              </w:tc>
              <w:tc>
                <w:tcPr>
                  <w:tcW w:w="4668" w:type="dxa"/>
                  <w:vAlign w:val="top"/>
                </w:tcPr>
                <w:p>
                  <w:pPr>
                    <w:pStyle w:val="TableText"/>
                    <w:ind w:left="113" w:right="166" w:firstLine="160"/>
                    <w:spacing w:before="109" w:line="299" w:lineRule="auto"/>
                    <w:jc w:val="both"/>
                    <w:rPr/>
                  </w:pPr>
                  <w:r>
                    <w:rPr/>
                    <w:t>从物理保护、用户账户、口令策略、资源共享、事件审计、访问</w:t>
                  </w:r>
                  <w:r>
                    <w:rPr>
                      <w:spacing w:val="16"/>
                    </w:rPr>
                    <w:t xml:space="preserve"> </w:t>
                  </w:r>
                  <w:r>
                    <w:rPr/>
                    <w:t>控制、新系统配置(初始化)、注册表加固、网络安全、系统管理等</w:t>
                  </w:r>
                  <w:r>
                    <w:rPr>
                      <w:spacing w:val="3"/>
                    </w:rPr>
                    <w:t xml:space="preserve"> </w:t>
                  </w:r>
                  <w:r>
                    <w:rPr>
                      <w:spacing w:val="-1"/>
                    </w:rPr>
                    <w:t>方面进行识别</w:t>
                  </w:r>
                </w:p>
              </w:tc>
            </w:tr>
            <w:tr>
              <w:trPr>
                <w:trHeight w:val="608" w:hRule="atLeast"/>
              </w:trPr>
              <w:tc>
                <w:tcPr>
                  <w:tcW w:w="903" w:type="dxa"/>
                  <w:vAlign w:val="top"/>
                  <w:vMerge w:val="continue"/>
                  <w:tcBorders>
                    <w:top w:val="nil"/>
                    <w:bottom w:val="nil"/>
                  </w:tcBorders>
                </w:tcPr>
                <w:p>
                  <w:pPr>
                    <w:rPr>
                      <w:rFonts w:ascii="Arial"/>
                      <w:sz w:val="21"/>
                    </w:rPr>
                  </w:pPr>
                  <w:r/>
                </w:p>
              </w:tc>
              <w:tc>
                <w:tcPr>
                  <w:tcW w:w="1588" w:type="dxa"/>
                  <w:vAlign w:val="top"/>
                </w:tcPr>
                <w:p>
                  <w:pPr>
                    <w:pStyle w:val="TableText"/>
                    <w:ind w:left="482"/>
                    <w:spacing w:before="231" w:line="220" w:lineRule="auto"/>
                    <w:rPr/>
                  </w:pPr>
                  <w:r>
                    <w:rPr>
                      <w:spacing w:val="2"/>
                    </w:rPr>
                    <w:t>网络结构</w:t>
                  </w:r>
                </w:p>
              </w:tc>
              <w:tc>
                <w:tcPr>
                  <w:tcW w:w="4668" w:type="dxa"/>
                  <w:vAlign w:val="top"/>
                </w:tcPr>
                <w:p>
                  <w:pPr>
                    <w:pStyle w:val="TableText"/>
                    <w:ind w:left="133" w:right="161" w:firstLine="149"/>
                    <w:spacing w:before="110" w:line="282" w:lineRule="auto"/>
                    <w:rPr/>
                  </w:pPr>
                  <w:r>
                    <w:rPr/>
                    <w:t>从网络结构设计、边界保护、外部访问控制策略、内部访问控制</w:t>
                  </w:r>
                  <w:r>
                    <w:rPr>
                      <w:spacing w:val="11"/>
                    </w:rPr>
                    <w:t xml:space="preserve"> </w:t>
                  </w:r>
                  <w:r>
                    <w:rPr>
                      <w:spacing w:val="-1"/>
                    </w:rPr>
                    <w:t>策略、网络设备安全配置等方面进行识别</w:t>
                  </w:r>
                </w:p>
              </w:tc>
            </w:tr>
            <w:tr>
              <w:trPr>
                <w:trHeight w:val="589" w:hRule="atLeast"/>
              </w:trPr>
              <w:tc>
                <w:tcPr>
                  <w:tcW w:w="903" w:type="dxa"/>
                  <w:vAlign w:val="top"/>
                  <w:vMerge w:val="continue"/>
                  <w:tcBorders>
                    <w:top w:val="nil"/>
                    <w:bottom w:val="nil"/>
                  </w:tcBorders>
                </w:tcPr>
                <w:p>
                  <w:pPr>
                    <w:rPr>
                      <w:rFonts w:ascii="Arial"/>
                      <w:sz w:val="21"/>
                    </w:rPr>
                  </w:pPr>
                  <w:r/>
                </w:p>
              </w:tc>
              <w:tc>
                <w:tcPr>
                  <w:tcW w:w="1588" w:type="dxa"/>
                  <w:vAlign w:val="top"/>
                </w:tcPr>
                <w:p>
                  <w:pPr>
                    <w:pStyle w:val="TableText"/>
                    <w:ind w:left="562"/>
                    <w:spacing w:before="223" w:line="219" w:lineRule="auto"/>
                    <w:rPr/>
                  </w:pPr>
                  <w:r>
                    <w:rPr>
                      <w:spacing w:val="-2"/>
                    </w:rPr>
                    <w:t>数据库</w:t>
                  </w:r>
                </w:p>
              </w:tc>
              <w:tc>
                <w:tcPr>
                  <w:tcW w:w="4668" w:type="dxa"/>
                  <w:vAlign w:val="top"/>
                </w:tcPr>
                <w:p>
                  <w:pPr>
                    <w:pStyle w:val="TableText"/>
                    <w:ind w:left="143" w:firstLine="138"/>
                    <w:spacing w:before="101" w:line="282" w:lineRule="auto"/>
                    <w:rPr/>
                  </w:pPr>
                  <w:r>
                    <w:rPr>
                      <w:spacing w:val="1"/>
                    </w:rPr>
                    <w:t>从补丁安装、鉴别机制、口令机制、访问控制、网络和</w:t>
                  </w:r>
                  <w:r>
                    <w:rPr/>
                    <w:t>服务设置、 </w:t>
                  </w:r>
                  <w:r>
                    <w:rPr>
                      <w:spacing w:val="-2"/>
                    </w:rPr>
                    <w:t>备份恢复机制、审计机制等方面进行识别</w:t>
                  </w:r>
                </w:p>
              </w:tc>
            </w:tr>
            <w:tr>
              <w:trPr>
                <w:trHeight w:val="613" w:hRule="atLeast"/>
              </w:trPr>
              <w:tc>
                <w:tcPr>
                  <w:tcW w:w="903" w:type="dxa"/>
                  <w:vAlign w:val="top"/>
                  <w:vMerge w:val="continue"/>
                  <w:tcBorders>
                    <w:top w:val="nil"/>
                  </w:tcBorders>
                </w:tcPr>
                <w:p>
                  <w:pPr>
                    <w:rPr>
                      <w:rFonts w:ascii="Arial"/>
                      <w:sz w:val="21"/>
                    </w:rPr>
                  </w:pPr>
                  <w:r/>
                </w:p>
              </w:tc>
              <w:tc>
                <w:tcPr>
                  <w:tcW w:w="1588" w:type="dxa"/>
                  <w:vAlign w:val="top"/>
                </w:tcPr>
                <w:p>
                  <w:pPr>
                    <w:pStyle w:val="TableText"/>
                    <w:ind w:left="482"/>
                    <w:spacing w:before="235" w:line="221" w:lineRule="auto"/>
                    <w:rPr/>
                  </w:pPr>
                  <w:r>
                    <w:rPr>
                      <w:spacing w:val="-2"/>
                    </w:rPr>
                    <w:t>应用系统</w:t>
                  </w:r>
                </w:p>
              </w:tc>
              <w:tc>
                <w:tcPr>
                  <w:tcW w:w="4668" w:type="dxa"/>
                  <w:vAlign w:val="top"/>
                </w:tcPr>
                <w:p>
                  <w:pPr>
                    <w:pStyle w:val="TableText"/>
                    <w:ind w:left="124" w:right="171" w:firstLine="149"/>
                    <w:spacing w:before="103" w:line="288" w:lineRule="auto"/>
                    <w:rPr/>
                  </w:pPr>
                  <w:r>
                    <w:rPr/>
                    <w:t>审计机制、审计存储、访问控制策略、数据完整性、通信、鉴别</w:t>
                  </w:r>
                  <w:r>
                    <w:rPr>
                      <w:spacing w:val="11"/>
                    </w:rPr>
                    <w:t xml:space="preserve"> </w:t>
                  </w:r>
                  <w:r>
                    <w:rPr>
                      <w:spacing w:val="-1"/>
                    </w:rPr>
                    <w:t>机制、密码保护等方面进行识别</w:t>
                  </w:r>
                </w:p>
              </w:tc>
            </w:tr>
          </w:tbl>
          <w:p>
            <w:pPr>
              <w:rPr>
                <w:rFonts w:ascii="Arial"/>
                <w:sz w:val="21"/>
              </w:rPr>
            </w:pPr>
            <w:r/>
          </w:p>
        </w:tc>
      </w:tr>
    </w:tbl>
    <w:p>
      <w:pPr>
        <w:pStyle w:val="BodyText"/>
        <w:rPr/>
      </w:pPr>
      <w:r/>
    </w:p>
    <w:p>
      <w:pPr>
        <w:sectPr>
          <w:footerReference w:type="default" r:id="rId423"/>
          <w:pgSz w:w="8870" w:h="13400"/>
          <w:pgMar w:top="400" w:right="360" w:bottom="434" w:left="500" w:header="0" w:footer="216" w:gutter="0"/>
        </w:sectPr>
        <w:rPr/>
      </w:pPr>
    </w:p>
    <w:p>
      <w:pPr>
        <w:ind w:left="5753"/>
        <w:spacing w:before="114" w:line="219" w:lineRule="auto"/>
        <w:rPr>
          <w:rFonts w:ascii="SimSun" w:hAnsi="SimSun" w:eastAsia="SimSun" w:cs="SimSun"/>
          <w:sz w:val="21"/>
          <w:szCs w:val="21"/>
        </w:rPr>
      </w:pPr>
      <w:r>
        <mc:AlternateContent xmlns:mc="http://schemas.openxmlformats.org/markup-compatibility/2006">
          <mc:Choice Requires="wps">
            <w:drawing>
              <wp:anchor distT="0" distB="0" distL="0" distR="0" simplePos="0" relativeHeight="257425408" behindDoc="1" locked="0" layoutInCell="0" allowOverlap="1">
                <wp:simplePos x="0" y="0"/>
                <wp:positionH relativeFrom="page">
                  <wp:posOffset>209527</wp:posOffset>
                </wp:positionH>
                <wp:positionV relativeFrom="page">
                  <wp:posOffset>7613683</wp:posOffset>
                </wp:positionV>
                <wp:extent cx="4890134" cy="6350"/>
                <wp:effectExtent l="0" t="0" r="0" b="0"/>
                <wp:wrapNone/>
                <wp:docPr id="294" name="Rect 294"/>
                <wp:cNvGraphicFramePr/>
                <a:graphic>
                  <a:graphicData uri="http://schemas.microsoft.com/office/word/2010/wordprocessingShape">
                    <wps:wsp>
                      <wps:cNvPr id="294" name="Rect 294"/>
                      <wps:cNvSpPr/>
                      <wps:spPr>
                        <a:xfrm>
                          <a:off x="209527" y="7613683"/>
                          <a:ext cx="4890134"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2" style="position:absolute;margin-left:16.4982pt;margin-top:599.503pt;mso-position-vertical-relative:page;mso-position-horizontal-relative:page;width:385.05pt;height:0.5pt;z-index:-245891072;" o:allowincell="f" fillcolor="#000000" filled="true" stroked="false"/>
            </w:pict>
          </mc:Fallback>
        </mc:AlternateContent>
      </w:r>
      <w:r>
        <w:drawing>
          <wp:anchor distT="0" distB="0" distL="0" distR="0" simplePos="0" relativeHeight="257426432" behindDoc="0" locked="0" layoutInCell="0" allowOverlap="1">
            <wp:simplePos x="0" y="0"/>
            <wp:positionH relativeFrom="page">
              <wp:posOffset>5111729</wp:posOffset>
            </wp:positionH>
            <wp:positionV relativeFrom="page">
              <wp:posOffset>273053</wp:posOffset>
            </wp:positionV>
            <wp:extent cx="6365" cy="234933"/>
            <wp:effectExtent l="0" t="0" r="0" b="0"/>
            <wp:wrapNone/>
            <wp:docPr id="296" name="IM 296"/>
            <wp:cNvGraphicFramePr/>
            <a:graphic>
              <a:graphicData uri="http://schemas.openxmlformats.org/drawingml/2006/picture">
                <pic:pic>
                  <pic:nvPicPr>
                    <pic:cNvPr id="296" name="IM 296"/>
                    <pic:cNvPicPr/>
                  </pic:nvPicPr>
                  <pic:blipFill>
                    <a:blip r:embed="rId426"/>
                    <a:stretch>
                      <a:fillRect/>
                    </a:stretch>
                  </pic:blipFill>
                  <pic:spPr>
                    <a:xfrm rot="0">
                      <a:off x="0" y="0"/>
                      <a:ext cx="6365" cy="234933"/>
                    </a:xfrm>
                    <a:prstGeom prst="rect">
                      <a:avLst/>
                    </a:prstGeom>
                  </pic:spPr>
                </pic:pic>
              </a:graphicData>
            </a:graphic>
          </wp:anchor>
        </w:drawing>
      </w:r>
      <w:r>
        <w:rPr>
          <w:rFonts w:ascii="SimSun" w:hAnsi="SimSun" w:eastAsia="SimSun" w:cs="SimSun"/>
          <w:sz w:val="21"/>
          <w:szCs w:val="21"/>
          <w:b/>
          <w:bCs/>
          <w:spacing w:val="19"/>
        </w:rPr>
        <w:t>第9章■安全与隐私</w:t>
      </w:r>
    </w:p>
    <w:p>
      <w:pPr>
        <w:pStyle w:val="BodyText"/>
        <w:spacing w:line="266" w:lineRule="auto"/>
        <w:rPr/>
      </w:pPr>
      <w:r/>
    </w:p>
    <w:p>
      <w:pPr>
        <w:ind w:left="6960"/>
        <w:spacing w:before="68" w:line="194" w:lineRule="auto"/>
        <w:rPr>
          <w:rFonts w:ascii="SimHei" w:hAnsi="SimHei" w:eastAsia="SimHei" w:cs="SimHei"/>
          <w:sz w:val="21"/>
          <w:szCs w:val="21"/>
        </w:rPr>
      </w:pPr>
      <w:r>
        <w:rPr>
          <w:rFonts w:ascii="SimHei" w:hAnsi="SimHei" w:eastAsia="SimHei" w:cs="SimHei"/>
          <w:sz w:val="21"/>
          <w:szCs w:val="21"/>
          <w:spacing w:val="-11"/>
        </w:rPr>
        <w:t>续表</w:t>
      </w:r>
    </w:p>
    <w:tbl>
      <w:tblPr>
        <w:tblStyle w:val="TableNormal"/>
        <w:tblW w:w="7722" w:type="dxa"/>
        <w:tblInd w:w="0" w:type="dxa"/>
        <w:tblLayout w:type="fixed"/>
        <w:tblBorders>
          <w:right w:val="single" w:color="000000" w:sz="6" w:space="0"/>
          <w:top w:val="single" w:color="000000" w:sz="4" w:space="0"/>
        </w:tblBorders>
      </w:tblPr>
      <w:tblGrid>
        <w:gridCol w:w="7722"/>
      </w:tblGrid>
      <w:tr>
        <w:trPr>
          <w:trHeight w:val="10689" w:hRule="atLeast"/>
        </w:trPr>
        <w:tc>
          <w:tcPr>
            <w:tcW w:w="7722" w:type="dxa"/>
            <w:vAlign w:val="top"/>
          </w:tcPr>
          <w:p>
            <w:pPr>
              <w:pStyle w:val="TableText"/>
              <w:ind w:left="6890"/>
              <w:spacing w:before="146" w:line="220" w:lineRule="auto"/>
              <w:rPr/>
            </w:pPr>
            <w:r>
              <w:rPr>
                <w:spacing w:val="-2"/>
              </w:rPr>
              <w:t>续表</w:t>
            </w:r>
          </w:p>
          <w:p>
            <w:pPr>
              <w:spacing w:line="100" w:lineRule="auto"/>
              <w:rPr>
                <w:rFonts w:ascii="Arial"/>
                <w:sz w:val="2"/>
              </w:rPr>
            </w:pPr>
            <w:r>
              <w:rPr>
                <w:rFonts w:ascii="Arial"/>
                <w:sz w:val="2"/>
              </w:rPr>
            </w:r>
          </w:p>
          <w:tbl>
            <w:tblPr>
              <w:tblStyle w:val="TableNormal"/>
              <w:tblW w:w="7160"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94"/>
              <w:gridCol w:w="1578"/>
              <w:gridCol w:w="4688"/>
            </w:tblGrid>
            <w:tr>
              <w:trPr>
                <w:trHeight w:val="352" w:hRule="atLeast"/>
              </w:trPr>
              <w:tc>
                <w:tcPr>
                  <w:tcW w:w="894" w:type="dxa"/>
                  <w:vAlign w:val="top"/>
                </w:tcPr>
                <w:p>
                  <w:pPr>
                    <w:pStyle w:val="TableText"/>
                    <w:ind w:left="175"/>
                    <w:spacing w:before="101" w:line="219" w:lineRule="auto"/>
                    <w:rPr/>
                  </w:pPr>
                  <w:r>
                    <w:rPr>
                      <w:spacing w:val="-3"/>
                    </w:rPr>
                    <w:t>类</w:t>
                  </w:r>
                  <w:r>
                    <w:rPr>
                      <w:spacing w:val="3"/>
                    </w:rPr>
                    <w:t xml:space="preserve">   </w:t>
                  </w:r>
                  <w:r>
                    <w:rPr>
                      <w:spacing w:val="-3"/>
                    </w:rPr>
                    <w:t>型</w:t>
                  </w:r>
                </w:p>
              </w:tc>
              <w:tc>
                <w:tcPr>
                  <w:tcW w:w="1578" w:type="dxa"/>
                  <w:vAlign w:val="top"/>
                </w:tcPr>
                <w:p>
                  <w:pPr>
                    <w:pStyle w:val="TableText"/>
                    <w:ind w:left="400"/>
                    <w:spacing w:before="100" w:line="219" w:lineRule="auto"/>
                    <w:rPr/>
                  </w:pPr>
                  <w:r>
                    <w:rPr>
                      <w:spacing w:val="-1"/>
                    </w:rPr>
                    <w:t>脆弱性分类</w:t>
                  </w:r>
                </w:p>
              </w:tc>
              <w:tc>
                <w:tcPr>
                  <w:tcW w:w="4688" w:type="dxa"/>
                  <w:vAlign w:val="top"/>
                </w:tcPr>
                <w:p>
                  <w:pPr>
                    <w:pStyle w:val="TableText"/>
                    <w:ind w:left="1963"/>
                    <w:spacing w:before="100" w:line="219" w:lineRule="auto"/>
                    <w:rPr/>
                  </w:pPr>
                  <w:r>
                    <w:rPr>
                      <w:spacing w:val="-1"/>
                    </w:rPr>
                    <w:t>脆弱性示例</w:t>
                  </w:r>
                </w:p>
              </w:tc>
            </w:tr>
            <w:tr>
              <w:trPr>
                <w:trHeight w:val="585" w:hRule="atLeast"/>
              </w:trPr>
              <w:tc>
                <w:tcPr>
                  <w:tcW w:w="894" w:type="dxa"/>
                  <w:vAlign w:val="top"/>
                  <w:vMerge w:val="restart"/>
                  <w:tcBorders>
                    <w:bottom w:val="nil"/>
                  </w:tcBorders>
                </w:tcPr>
                <w:p>
                  <w:pPr>
                    <w:pStyle w:val="TableText"/>
                    <w:ind w:left="214"/>
                    <w:spacing w:before="258" w:line="272" w:lineRule="exact"/>
                    <w:rPr/>
                  </w:pPr>
                  <w:r>
                    <w:rPr>
                      <w:spacing w:val="-3"/>
                      <w:position w:val="9"/>
                    </w:rPr>
                    <w:t>管理脆</w:t>
                  </w:r>
                </w:p>
                <w:p>
                  <w:pPr>
                    <w:pStyle w:val="TableText"/>
                    <w:ind w:left="285"/>
                    <w:spacing w:line="220" w:lineRule="auto"/>
                    <w:rPr/>
                  </w:pPr>
                  <w:r>
                    <w:rPr>
                      <w:spacing w:val="-3"/>
                    </w:rPr>
                    <w:t>弱性</w:t>
                  </w:r>
                </w:p>
              </w:tc>
              <w:tc>
                <w:tcPr>
                  <w:tcW w:w="1578" w:type="dxa"/>
                  <w:vAlign w:val="top"/>
                </w:tcPr>
                <w:p>
                  <w:pPr>
                    <w:pStyle w:val="TableText"/>
                    <w:ind w:left="480"/>
                    <w:spacing w:before="219" w:line="219" w:lineRule="auto"/>
                    <w:rPr/>
                  </w:pPr>
                  <w:r>
                    <w:rPr>
                      <w:spacing w:val="-2"/>
                    </w:rPr>
                    <w:t>技术管理</w:t>
                  </w:r>
                </w:p>
              </w:tc>
              <w:tc>
                <w:tcPr>
                  <w:tcW w:w="4688" w:type="dxa"/>
                  <w:vAlign w:val="top"/>
                </w:tcPr>
                <w:p>
                  <w:pPr>
                    <w:pStyle w:val="TableText"/>
                    <w:ind w:left="282" w:hanging="9"/>
                    <w:spacing w:before="98" w:line="282" w:lineRule="auto"/>
                    <w:rPr/>
                  </w:pPr>
                  <w:r>
                    <w:rPr>
                      <w:spacing w:val="2"/>
                    </w:rPr>
                    <w:t>物理和环境安全、通信与操作管理、访问控制、系统开</w:t>
                  </w:r>
                  <w:r>
                    <w:rPr>
                      <w:spacing w:val="1"/>
                    </w:rPr>
                    <w:t>发与维护、</w:t>
                  </w:r>
                  <w:r>
                    <w:rPr/>
                    <w:t xml:space="preserve"> </w:t>
                  </w:r>
                  <w:r>
                    <w:rPr>
                      <w:spacing w:val="-2"/>
                    </w:rPr>
                    <w:t>业务连续性管理</w:t>
                  </w:r>
                </w:p>
              </w:tc>
            </w:tr>
            <w:tr>
              <w:trPr>
                <w:trHeight w:val="362" w:hRule="atLeast"/>
              </w:trPr>
              <w:tc>
                <w:tcPr>
                  <w:tcW w:w="894" w:type="dxa"/>
                  <w:vAlign w:val="top"/>
                  <w:vMerge w:val="continue"/>
                  <w:tcBorders>
                    <w:top w:val="nil"/>
                  </w:tcBorders>
                </w:tcPr>
                <w:p>
                  <w:pPr>
                    <w:rPr>
                      <w:rFonts w:ascii="Arial"/>
                      <w:sz w:val="21"/>
                    </w:rPr>
                  </w:pPr>
                  <w:r/>
                </w:p>
              </w:tc>
              <w:tc>
                <w:tcPr>
                  <w:tcW w:w="1578" w:type="dxa"/>
                  <w:vAlign w:val="top"/>
                </w:tcPr>
                <w:p>
                  <w:pPr>
                    <w:pStyle w:val="TableText"/>
                    <w:ind w:left="480"/>
                    <w:spacing w:before="114" w:line="219" w:lineRule="auto"/>
                    <w:rPr/>
                  </w:pPr>
                  <w:r>
                    <w:rPr>
                      <w:spacing w:val="-2"/>
                    </w:rPr>
                    <w:t>组织管理</w:t>
                  </w:r>
                </w:p>
              </w:tc>
              <w:tc>
                <w:tcPr>
                  <w:tcW w:w="4688" w:type="dxa"/>
                  <w:vAlign w:val="top"/>
                </w:tcPr>
                <w:p>
                  <w:pPr>
                    <w:pStyle w:val="TableText"/>
                    <w:ind w:left="282"/>
                    <w:spacing w:before="114" w:line="219" w:lineRule="auto"/>
                    <w:rPr/>
                  </w:pPr>
                  <w:r>
                    <w:rPr>
                      <w:spacing w:val="-1"/>
                    </w:rPr>
                    <w:t>安全策略、组织安全、资产分类与控制、人员安全、符合性</w:t>
                  </w:r>
                </w:p>
              </w:tc>
            </w:tr>
          </w:tbl>
          <w:p>
            <w:pPr>
              <w:pStyle w:val="TableText"/>
              <w:ind w:left="140" w:right="54" w:firstLine="139"/>
              <w:spacing w:before="189" w:line="278" w:lineRule="auto"/>
              <w:rPr>
                <w:sz w:val="16"/>
                <w:szCs w:val="16"/>
              </w:rPr>
            </w:pPr>
            <w:r>
              <w:rPr>
                <w:sz w:val="16"/>
                <w:szCs w:val="16"/>
                <w:spacing w:val="-9"/>
              </w:rPr>
              <w:t>脆弱性评估将针对资产组内所有资产，找出该资产组可能被威胁利</w:t>
            </w:r>
            <w:r>
              <w:rPr>
                <w:sz w:val="16"/>
                <w:szCs w:val="16"/>
                <w:spacing w:val="-10"/>
              </w:rPr>
              <w:t>用的脆弱性，获得脆弱性可以采用问卷调查、</w:t>
            </w:r>
            <w:r>
              <w:rPr>
                <w:sz w:val="16"/>
                <w:szCs w:val="16"/>
              </w:rPr>
              <w:t xml:space="preserve"> </w:t>
            </w:r>
            <w:r>
              <w:rPr>
                <w:sz w:val="16"/>
                <w:szCs w:val="16"/>
                <w:spacing w:val="-10"/>
              </w:rPr>
              <w:t>访谈、工具扫描、手动检查、文档审查等方法。</w:t>
            </w:r>
          </w:p>
          <w:p>
            <w:pPr>
              <w:pStyle w:val="TableText"/>
              <w:ind w:left="280"/>
              <w:spacing w:before="70" w:line="220" w:lineRule="auto"/>
              <w:rPr>
                <w:sz w:val="16"/>
                <w:szCs w:val="16"/>
              </w:rPr>
            </w:pPr>
            <w:r>
              <w:rPr>
                <w:sz w:val="16"/>
                <w:szCs w:val="16"/>
                <w:spacing w:val="-12"/>
              </w:rPr>
              <w:t>5.2.3</w:t>
            </w:r>
            <w:r>
              <w:rPr>
                <w:sz w:val="16"/>
                <w:szCs w:val="16"/>
                <w:spacing w:val="75"/>
              </w:rPr>
              <w:t xml:space="preserve"> </w:t>
            </w:r>
            <w:r>
              <w:rPr>
                <w:sz w:val="16"/>
                <w:szCs w:val="16"/>
                <w:spacing w:val="-12"/>
              </w:rPr>
              <w:t>现有控制措施识别与分析</w:t>
            </w:r>
          </w:p>
          <w:p>
            <w:pPr>
              <w:pStyle w:val="TableText"/>
              <w:ind w:left="140" w:right="166" w:firstLine="139"/>
              <w:spacing w:before="88" w:line="271" w:lineRule="auto"/>
              <w:rPr>
                <w:sz w:val="16"/>
                <w:szCs w:val="16"/>
              </w:rPr>
            </w:pPr>
            <w:r>
              <w:rPr>
                <w:sz w:val="16"/>
                <w:szCs w:val="16"/>
                <w:spacing w:val="-9"/>
              </w:rPr>
              <w:t>在识别威胁和脆弱性的同时，数据安全管理员应对已采取的安全措施进行识别，对现有控制措施的有效性进行</w:t>
            </w:r>
            <w:r>
              <w:rPr>
                <w:sz w:val="16"/>
                <w:szCs w:val="16"/>
                <w:spacing w:val="18"/>
              </w:rPr>
              <w:t xml:space="preserve"> </w:t>
            </w:r>
            <w:r>
              <w:rPr>
                <w:sz w:val="16"/>
                <w:szCs w:val="16"/>
                <w:spacing w:val="-9"/>
              </w:rPr>
              <w:t>确认。在对威胁和脆弱性赋值时，需要考虑现有控制措施的有效</w:t>
            </w:r>
            <w:r>
              <w:rPr>
                <w:sz w:val="16"/>
                <w:szCs w:val="16"/>
                <w:spacing w:val="-10"/>
              </w:rPr>
              <w:t>性。</w:t>
            </w:r>
          </w:p>
          <w:p>
            <w:pPr>
              <w:pStyle w:val="TableText"/>
              <w:ind w:left="280"/>
              <w:spacing w:before="99" w:line="218" w:lineRule="auto"/>
              <w:rPr>
                <w:sz w:val="16"/>
                <w:szCs w:val="16"/>
              </w:rPr>
            </w:pPr>
            <w:r>
              <w:rPr>
                <w:rFonts w:ascii="Times New Roman" w:hAnsi="Times New Roman" w:eastAsia="Times New Roman" w:cs="Times New Roman"/>
                <w:sz w:val="16"/>
                <w:szCs w:val="16"/>
                <w:spacing w:val="-2"/>
              </w:rPr>
              <w:t>5.2.4</w:t>
            </w:r>
            <w:r>
              <w:rPr>
                <w:rFonts w:ascii="Times New Roman" w:hAnsi="Times New Roman" w:eastAsia="Times New Roman" w:cs="Times New Roman"/>
                <w:sz w:val="16"/>
                <w:szCs w:val="16"/>
                <w:spacing w:val="15"/>
                <w:w w:val="102"/>
              </w:rPr>
              <w:t xml:space="preserve">  </w:t>
            </w:r>
            <w:r>
              <w:rPr>
                <w:sz w:val="16"/>
                <w:szCs w:val="16"/>
                <w:spacing w:val="-2"/>
              </w:rPr>
              <w:t>风险评价</w:t>
            </w:r>
          </w:p>
          <w:p>
            <w:pPr>
              <w:pStyle w:val="TableText"/>
              <w:ind w:left="280"/>
              <w:spacing w:before="82" w:line="219" w:lineRule="auto"/>
              <w:rPr>
                <w:sz w:val="16"/>
                <w:szCs w:val="16"/>
              </w:rPr>
            </w:pPr>
            <w:r>
              <w:rPr>
                <w:sz w:val="16"/>
                <w:szCs w:val="16"/>
                <w:spacing w:val="-6"/>
              </w:rPr>
              <w:t>(1)本公司数据资产风险值通过风险各要素赋值相乘法来确定。</w:t>
            </w:r>
          </w:p>
          <w:p>
            <w:pPr>
              <w:pStyle w:val="TableText"/>
              <w:ind w:left="140" w:right="130" w:firstLine="139"/>
              <w:spacing w:before="73" w:line="288" w:lineRule="auto"/>
              <w:rPr>
                <w:sz w:val="16"/>
                <w:szCs w:val="16"/>
              </w:rPr>
            </w:pPr>
            <w:r>
              <w:rPr>
                <w:sz w:val="16"/>
                <w:szCs w:val="16"/>
                <w:spacing w:val="-10"/>
              </w:rPr>
              <w:t>风险值计算公式： </w:t>
            </w:r>
            <w:r>
              <w:rPr>
                <w:rFonts w:ascii="Times New Roman" w:hAnsi="Times New Roman" w:eastAsia="Times New Roman" w:cs="Times New Roman"/>
                <w:sz w:val="16"/>
                <w:szCs w:val="16"/>
                <w:spacing w:val="-10"/>
              </w:rPr>
              <w:t>R=Round(a*i*p,1)    </w:t>
            </w:r>
            <w:r>
              <w:rPr>
                <w:sz w:val="16"/>
                <w:szCs w:val="16"/>
                <w:spacing w:val="-10"/>
              </w:rPr>
              <w:t>(其中，</w:t>
            </w:r>
            <w:r>
              <w:rPr>
                <w:sz w:val="16"/>
                <w:szCs w:val="16"/>
                <w:spacing w:val="-28"/>
              </w:rPr>
              <w:t xml:space="preserve"> </w:t>
            </w:r>
            <w:r>
              <w:rPr>
                <w:rFonts w:ascii="Times New Roman" w:hAnsi="Times New Roman" w:eastAsia="Times New Roman" w:cs="Times New Roman"/>
                <w:sz w:val="16"/>
                <w:szCs w:val="16"/>
                <w:spacing w:val="-10"/>
              </w:rPr>
              <w:t>R  </w:t>
            </w:r>
            <w:r>
              <w:rPr>
                <w:sz w:val="16"/>
                <w:szCs w:val="16"/>
                <w:spacing w:val="-11"/>
              </w:rPr>
              <w:t>表示安全风险值； </w:t>
            </w:r>
            <w:r>
              <w:rPr>
                <w:rFonts w:ascii="Times New Roman" w:hAnsi="Times New Roman" w:eastAsia="Times New Roman" w:cs="Times New Roman"/>
                <w:sz w:val="16"/>
                <w:szCs w:val="16"/>
                <w:spacing w:val="-11"/>
              </w:rPr>
              <w:t>a</w:t>
            </w:r>
            <w:r>
              <w:rPr>
                <w:rFonts w:ascii="Times New Roman" w:hAnsi="Times New Roman" w:eastAsia="Times New Roman" w:cs="Times New Roman"/>
                <w:sz w:val="16"/>
                <w:szCs w:val="16"/>
                <w:spacing w:val="2"/>
              </w:rPr>
              <w:t xml:space="preserve">  </w:t>
            </w:r>
            <w:r>
              <w:rPr>
                <w:sz w:val="16"/>
                <w:szCs w:val="16"/>
                <w:spacing w:val="-11"/>
              </w:rPr>
              <w:t>表示资产组价值； </w:t>
            </w:r>
            <w:r>
              <w:rPr>
                <w:rFonts w:ascii="Times New Roman" w:hAnsi="Times New Roman" w:eastAsia="Times New Roman" w:cs="Times New Roman"/>
                <w:sz w:val="16"/>
                <w:szCs w:val="16"/>
                <w:spacing w:val="-11"/>
              </w:rPr>
              <w:t>i</w:t>
            </w:r>
            <w:r>
              <w:rPr>
                <w:rFonts w:ascii="Times New Roman" w:hAnsi="Times New Roman" w:eastAsia="Times New Roman" w:cs="Times New Roman"/>
                <w:sz w:val="16"/>
                <w:szCs w:val="16"/>
                <w:spacing w:val="11"/>
                <w:w w:val="101"/>
              </w:rPr>
              <w:t xml:space="preserve"> </w:t>
            </w:r>
            <w:r>
              <w:rPr>
                <w:sz w:val="16"/>
                <w:szCs w:val="16"/>
                <w:spacing w:val="-11"/>
              </w:rPr>
              <w:t>表示风险影响； </w:t>
            </w:r>
            <w:r>
              <w:rPr>
                <w:rFonts w:ascii="Times New Roman" w:hAnsi="Times New Roman" w:eastAsia="Times New Roman" w:cs="Times New Roman"/>
                <w:sz w:val="16"/>
                <w:szCs w:val="16"/>
                <w:spacing w:val="-11"/>
              </w:rPr>
              <w:t>p  </w:t>
            </w:r>
            <w:r>
              <w:rPr>
                <w:sz w:val="16"/>
                <w:szCs w:val="16"/>
                <w:spacing w:val="-11"/>
              </w:rPr>
              <w:t>表</w:t>
            </w:r>
            <w:r>
              <w:rPr>
                <w:sz w:val="16"/>
                <w:szCs w:val="16"/>
              </w:rPr>
              <w:t xml:space="preserve"> </w:t>
            </w:r>
            <w:r>
              <w:rPr>
                <w:sz w:val="16"/>
                <w:szCs w:val="16"/>
                <w:spacing w:val="-16"/>
              </w:rPr>
              <w:t>示风险发生可能性。);</w:t>
            </w:r>
          </w:p>
          <w:p>
            <w:pPr>
              <w:pStyle w:val="TableText"/>
              <w:ind w:left="280"/>
              <w:spacing w:before="99" w:line="219" w:lineRule="auto"/>
              <w:rPr>
                <w:sz w:val="16"/>
                <w:szCs w:val="16"/>
              </w:rPr>
            </w:pPr>
            <w:r>
              <w:rPr>
                <w:sz w:val="16"/>
                <w:szCs w:val="16"/>
                <w:spacing w:val="-3"/>
              </w:rPr>
              <w:t>(2)风险影响的赋值标准</w:t>
            </w:r>
          </w:p>
          <w:p>
            <w:pPr>
              <w:spacing w:line="148" w:lineRule="exact"/>
              <w:rPr/>
            </w:pPr>
            <w:r/>
          </w:p>
          <w:tbl>
            <w:tblPr>
              <w:tblStyle w:val="TableNormal"/>
              <w:tblW w:w="7150"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529"/>
              <w:gridCol w:w="1218"/>
              <w:gridCol w:w="1488"/>
              <w:gridCol w:w="1798"/>
              <w:gridCol w:w="1603"/>
            </w:tblGrid>
            <w:tr>
              <w:trPr>
                <w:trHeight w:val="354" w:hRule="atLeast"/>
              </w:trPr>
              <w:tc>
                <w:tcPr>
                  <w:tcW w:w="7150" w:type="dxa"/>
                  <w:vAlign w:val="top"/>
                  <w:gridSpan w:val="6"/>
                </w:tcPr>
                <w:p>
                  <w:pPr>
                    <w:pStyle w:val="TableText"/>
                    <w:ind w:left="3254"/>
                    <w:spacing w:before="101" w:line="220" w:lineRule="auto"/>
                    <w:rPr/>
                  </w:pPr>
                  <w:r>
                    <w:rPr>
                      <w:spacing w:val="-2"/>
                    </w:rPr>
                    <w:t>风险影响</w:t>
                  </w:r>
                </w:p>
              </w:tc>
            </w:tr>
            <w:tr>
              <w:trPr>
                <w:trHeight w:val="339" w:hRule="atLeast"/>
              </w:trPr>
              <w:tc>
                <w:tcPr>
                  <w:tcW w:w="514" w:type="dxa"/>
                  <w:vAlign w:val="top"/>
                  <w:vMerge w:val="restart"/>
                  <w:tcBorders>
                    <w:bottom w:val="nil"/>
                  </w:tcBorders>
                </w:tcPr>
                <w:p>
                  <w:pPr>
                    <w:pStyle w:val="TableText"/>
                    <w:ind w:left="95"/>
                    <w:spacing w:before="267" w:line="219" w:lineRule="auto"/>
                    <w:rPr/>
                  </w:pPr>
                  <w:r>
                    <w:rPr>
                      <w:spacing w:val="-2"/>
                    </w:rPr>
                    <w:t>赋值</w:t>
                  </w:r>
                </w:p>
              </w:tc>
              <w:tc>
                <w:tcPr>
                  <w:tcW w:w="529" w:type="dxa"/>
                  <w:vAlign w:val="top"/>
                  <w:vMerge w:val="restart"/>
                  <w:tcBorders>
                    <w:bottom w:val="nil"/>
                  </w:tcBorders>
                </w:tcPr>
                <w:p>
                  <w:pPr>
                    <w:pStyle w:val="TableText"/>
                    <w:ind w:left="101"/>
                    <w:spacing w:before="267" w:line="219" w:lineRule="auto"/>
                    <w:rPr/>
                  </w:pPr>
                  <w:r>
                    <w:rPr>
                      <w:spacing w:val="-2"/>
                    </w:rPr>
                    <w:t>等级</w:t>
                  </w:r>
                </w:p>
              </w:tc>
              <w:tc>
                <w:tcPr>
                  <w:tcW w:w="6107" w:type="dxa"/>
                  <w:vAlign w:val="top"/>
                  <w:gridSpan w:val="4"/>
                </w:tcPr>
                <w:p>
                  <w:pPr>
                    <w:pStyle w:val="TableText"/>
                    <w:ind w:left="2352"/>
                    <w:spacing w:before="97" w:line="220" w:lineRule="auto"/>
                    <w:rPr/>
                  </w:pPr>
                  <w:r>
                    <w:rPr>
                      <w:spacing w:val="-1"/>
                    </w:rPr>
                    <w:t>风险影响的不同维度</w:t>
                  </w:r>
                </w:p>
              </w:tc>
            </w:tr>
            <w:tr>
              <w:trPr>
                <w:trHeight w:val="339" w:hRule="atLeast"/>
              </w:trPr>
              <w:tc>
                <w:tcPr>
                  <w:tcW w:w="514" w:type="dxa"/>
                  <w:vAlign w:val="top"/>
                  <w:vMerge w:val="continue"/>
                  <w:tcBorders>
                    <w:top w:val="nil"/>
                  </w:tcBorders>
                </w:tcPr>
                <w:p>
                  <w:pPr>
                    <w:rPr>
                      <w:rFonts w:ascii="Arial"/>
                      <w:sz w:val="21"/>
                    </w:rPr>
                  </w:pPr>
                  <w:r/>
                </w:p>
              </w:tc>
              <w:tc>
                <w:tcPr>
                  <w:tcW w:w="529" w:type="dxa"/>
                  <w:vAlign w:val="top"/>
                  <w:vMerge w:val="continue"/>
                  <w:tcBorders>
                    <w:top w:val="nil"/>
                  </w:tcBorders>
                </w:tcPr>
                <w:p>
                  <w:pPr>
                    <w:rPr>
                      <w:rFonts w:ascii="Arial"/>
                      <w:sz w:val="21"/>
                    </w:rPr>
                  </w:pPr>
                  <w:r/>
                </w:p>
              </w:tc>
              <w:tc>
                <w:tcPr>
                  <w:tcW w:w="1218" w:type="dxa"/>
                  <w:vAlign w:val="top"/>
                </w:tcPr>
                <w:p>
                  <w:pPr>
                    <w:pStyle w:val="TableText"/>
                    <w:ind w:left="331"/>
                    <w:spacing w:before="98" w:line="220" w:lineRule="auto"/>
                    <w:rPr/>
                  </w:pPr>
                  <w:r>
                    <w:rPr>
                      <w:spacing w:val="-9"/>
                    </w:rPr>
                    <w:t>区</w:t>
                  </w:r>
                  <w:r>
                    <w:rPr>
                      <w:spacing w:val="11"/>
                    </w:rPr>
                    <w:t xml:space="preserve">   </w:t>
                  </w:r>
                  <w:r>
                    <w:rPr>
                      <w:spacing w:val="-9"/>
                    </w:rPr>
                    <w:t>域</w:t>
                  </w:r>
                </w:p>
              </w:tc>
              <w:tc>
                <w:tcPr>
                  <w:tcW w:w="1488" w:type="dxa"/>
                  <w:vAlign w:val="top"/>
                </w:tcPr>
                <w:p>
                  <w:pPr>
                    <w:pStyle w:val="TableText"/>
                    <w:ind w:left="373"/>
                    <w:spacing w:before="98" w:line="220" w:lineRule="auto"/>
                    <w:rPr/>
                  </w:pPr>
                  <w:r>
                    <w:rPr>
                      <w:spacing w:val="-5"/>
                    </w:rPr>
                    <w:t>相</w:t>
                  </w:r>
                  <w:r>
                    <w:rPr>
                      <w:spacing w:val="9"/>
                    </w:rPr>
                    <w:t xml:space="preserve">  </w:t>
                  </w:r>
                  <w:r>
                    <w:rPr>
                      <w:spacing w:val="-5"/>
                    </w:rPr>
                    <w:t>关</w:t>
                  </w:r>
                  <w:r>
                    <w:rPr>
                      <w:spacing w:val="9"/>
                    </w:rPr>
                    <w:t xml:space="preserve">  </w:t>
                  </w:r>
                  <w:r>
                    <w:rPr>
                      <w:spacing w:val="-5"/>
                    </w:rPr>
                    <w:t>方</w:t>
                  </w:r>
                </w:p>
              </w:tc>
              <w:tc>
                <w:tcPr>
                  <w:tcW w:w="1798" w:type="dxa"/>
                  <w:vAlign w:val="top"/>
                </w:tcPr>
                <w:p>
                  <w:pPr>
                    <w:pStyle w:val="TableText"/>
                    <w:ind w:left="606"/>
                    <w:spacing w:before="98" w:line="221" w:lineRule="auto"/>
                    <w:rPr/>
                  </w:pPr>
                  <w:r>
                    <w:rPr>
                      <w:spacing w:val="-5"/>
                    </w:rPr>
                    <w:t>系</w:t>
                  </w:r>
                  <w:r>
                    <w:rPr>
                      <w:spacing w:val="3"/>
                    </w:rPr>
                    <w:t xml:space="preserve">   </w:t>
                  </w:r>
                  <w:r>
                    <w:rPr>
                      <w:spacing w:val="-5"/>
                    </w:rPr>
                    <w:t>统</w:t>
                  </w:r>
                </w:p>
              </w:tc>
              <w:tc>
                <w:tcPr>
                  <w:tcW w:w="1603" w:type="dxa"/>
                  <w:vAlign w:val="top"/>
                </w:tcPr>
                <w:p>
                  <w:pPr>
                    <w:pStyle w:val="TableText"/>
                    <w:ind w:left="418"/>
                    <w:spacing w:before="98" w:line="219" w:lineRule="auto"/>
                    <w:rPr/>
                  </w:pPr>
                  <w:r>
                    <w:rPr>
                      <w:spacing w:val="-1"/>
                    </w:rPr>
                    <w:t>业务连续性</w:t>
                  </w:r>
                </w:p>
              </w:tc>
            </w:tr>
            <w:tr>
              <w:trPr>
                <w:trHeight w:val="878" w:hRule="atLeast"/>
              </w:trPr>
              <w:tc>
                <w:tcPr>
                  <w:tcW w:w="514" w:type="dxa"/>
                  <w:vAlign w:val="top"/>
                </w:tcPr>
                <w:p>
                  <w:pPr>
                    <w:spacing w:line="357" w:lineRule="auto"/>
                    <w:rPr>
                      <w:rFonts w:ascii="Arial"/>
                      <w:sz w:val="21"/>
                    </w:rPr>
                  </w:pPr>
                  <w:r/>
                </w:p>
                <w:p>
                  <w:pPr>
                    <w:pStyle w:val="TableText"/>
                    <w:ind w:left="205"/>
                    <w:spacing w:before="49" w:line="182" w:lineRule="auto"/>
                    <w:rPr/>
                  </w:pPr>
                  <w:r>
                    <w:rPr/>
                    <w:t>5</w:t>
                  </w:r>
                </w:p>
              </w:tc>
              <w:tc>
                <w:tcPr>
                  <w:tcW w:w="529" w:type="dxa"/>
                  <w:vAlign w:val="top"/>
                </w:tcPr>
                <w:p>
                  <w:pPr>
                    <w:spacing w:line="318" w:lineRule="auto"/>
                    <w:rPr>
                      <w:rFonts w:ascii="Arial"/>
                      <w:sz w:val="21"/>
                    </w:rPr>
                  </w:pPr>
                  <w:r/>
                </w:p>
                <w:p>
                  <w:pPr>
                    <w:pStyle w:val="TableText"/>
                    <w:ind w:left="101"/>
                    <w:spacing w:before="49" w:line="219" w:lineRule="auto"/>
                    <w:rPr/>
                  </w:pPr>
                  <w:r>
                    <w:rPr>
                      <w:spacing w:val="-2"/>
                    </w:rPr>
                    <w:t>很高</w:t>
                  </w:r>
                </w:p>
              </w:tc>
              <w:tc>
                <w:tcPr>
                  <w:tcW w:w="1218" w:type="dxa"/>
                  <w:vAlign w:val="top"/>
                </w:tcPr>
                <w:p>
                  <w:pPr>
                    <w:pStyle w:val="TableText"/>
                    <w:ind w:left="222"/>
                    <w:spacing w:before="238" w:line="270" w:lineRule="exact"/>
                    <w:rPr/>
                  </w:pPr>
                  <w:r>
                    <w:rPr>
                      <w:spacing w:val="-2"/>
                      <w:position w:val="9"/>
                    </w:rPr>
                    <w:t>整个行业或</w:t>
                  </w:r>
                </w:p>
                <w:p>
                  <w:pPr>
                    <w:pStyle w:val="TableText"/>
                    <w:ind w:left="91"/>
                    <w:spacing w:line="218" w:lineRule="auto"/>
                    <w:rPr/>
                  </w:pPr>
                  <w:r>
                    <w:rPr>
                      <w:spacing w:val="-2"/>
                    </w:rPr>
                    <w:t>社会</w:t>
                  </w:r>
                </w:p>
              </w:tc>
              <w:tc>
                <w:tcPr>
                  <w:tcW w:w="1488" w:type="dxa"/>
                  <w:vAlign w:val="top"/>
                </w:tcPr>
                <w:p>
                  <w:pPr>
                    <w:pStyle w:val="TableText"/>
                    <w:ind w:left="124" w:right="160" w:firstLine="139"/>
                    <w:spacing w:before="100" w:line="302" w:lineRule="auto"/>
                    <w:jc w:val="both"/>
                    <w:rPr/>
                  </w:pPr>
                  <w:r>
                    <w:rPr>
                      <w:spacing w:val="-1"/>
                    </w:rPr>
                    <w:t>全部或大部分客</w:t>
                  </w:r>
                  <w:r>
                    <w:rPr/>
                    <w:t xml:space="preserve"> </w:t>
                  </w:r>
                  <w:r>
                    <w:rPr>
                      <w:spacing w:val="-1"/>
                    </w:rPr>
                    <w:t>户、监管机构、甚</w:t>
                  </w:r>
                  <w:r>
                    <w:rPr/>
                    <w:t xml:space="preserve"> </w:t>
                  </w:r>
                  <w:r>
                    <w:rPr>
                      <w:spacing w:val="-2"/>
                    </w:rPr>
                    <w:t>至社会公众</w:t>
                  </w:r>
                </w:p>
              </w:tc>
              <w:tc>
                <w:tcPr>
                  <w:tcW w:w="1798" w:type="dxa"/>
                  <w:vAlign w:val="top"/>
                </w:tcPr>
                <w:p>
                  <w:pPr>
                    <w:pStyle w:val="TableText"/>
                    <w:ind w:left="106" w:right="169" w:firstLine="169"/>
                    <w:spacing w:before="239" w:line="277" w:lineRule="auto"/>
                    <w:rPr/>
                  </w:pPr>
                  <w:r>
                    <w:rPr>
                      <w:spacing w:val="-1"/>
                    </w:rPr>
                    <w:t>核心业务系统不能使</w:t>
                  </w:r>
                  <w:r>
                    <w:rPr/>
                    <w:t xml:space="preserve"> </w:t>
                  </w:r>
                  <w:r>
                    <w:rPr/>
                    <w:t>用</w:t>
                  </w:r>
                </w:p>
              </w:tc>
              <w:tc>
                <w:tcPr>
                  <w:tcW w:w="1603" w:type="dxa"/>
                  <w:vAlign w:val="top"/>
                </w:tcPr>
                <w:p>
                  <w:pPr>
                    <w:pStyle w:val="TableText"/>
                    <w:ind w:left="108" w:right="135" w:firstLine="160"/>
                    <w:spacing w:before="99" w:line="301" w:lineRule="auto"/>
                    <w:jc w:val="both"/>
                    <w:rPr/>
                  </w:pPr>
                  <w:r>
                    <w:rPr>
                      <w:spacing w:val="-2"/>
                    </w:rPr>
                    <w:t>公司大部分或全部</w:t>
                  </w:r>
                  <w:r>
                    <w:rPr>
                      <w:spacing w:val="4"/>
                    </w:rPr>
                    <w:t xml:space="preserve"> </w:t>
                  </w:r>
                  <w:r>
                    <w:rPr>
                      <w:spacing w:val="-1"/>
                    </w:rPr>
                    <w:t>核心业务受到严重影</w:t>
                  </w:r>
                  <w:r>
                    <w:rPr/>
                    <w:t xml:space="preserve"> </w:t>
                  </w:r>
                  <w:r>
                    <w:rPr/>
                    <w:t>响</w:t>
                  </w:r>
                </w:p>
              </w:tc>
            </w:tr>
            <w:tr>
              <w:trPr>
                <w:trHeight w:val="878" w:hRule="atLeast"/>
              </w:trPr>
              <w:tc>
                <w:tcPr>
                  <w:tcW w:w="514" w:type="dxa"/>
                  <w:vAlign w:val="top"/>
                </w:tcPr>
                <w:p>
                  <w:pPr>
                    <w:spacing w:line="358" w:lineRule="auto"/>
                    <w:rPr>
                      <w:rFonts w:ascii="Arial"/>
                      <w:sz w:val="21"/>
                    </w:rPr>
                  </w:pPr>
                  <w:r/>
                </w:p>
                <w:p>
                  <w:pPr>
                    <w:pStyle w:val="TableText"/>
                    <w:ind w:left="205"/>
                    <w:spacing w:before="49" w:line="183" w:lineRule="auto"/>
                    <w:rPr/>
                  </w:pPr>
                  <w:r>
                    <w:rPr/>
                    <w:t>4</w:t>
                  </w:r>
                </w:p>
              </w:tc>
              <w:tc>
                <w:tcPr>
                  <w:tcW w:w="529" w:type="dxa"/>
                  <w:vAlign w:val="top"/>
                </w:tcPr>
                <w:p>
                  <w:pPr>
                    <w:spacing w:line="320" w:lineRule="auto"/>
                    <w:rPr>
                      <w:rFonts w:ascii="Arial"/>
                      <w:sz w:val="21"/>
                    </w:rPr>
                  </w:pPr>
                  <w:r/>
                </w:p>
                <w:p>
                  <w:pPr>
                    <w:pStyle w:val="TableText"/>
                    <w:ind w:left="181"/>
                    <w:spacing w:before="49" w:line="219" w:lineRule="auto"/>
                    <w:rPr/>
                  </w:pPr>
                  <w:r>
                    <w:rPr/>
                    <w:t>高</w:t>
                  </w:r>
                </w:p>
              </w:tc>
              <w:tc>
                <w:tcPr>
                  <w:tcW w:w="1218" w:type="dxa"/>
                  <w:vAlign w:val="top"/>
                </w:tcPr>
                <w:p>
                  <w:pPr>
                    <w:pStyle w:val="TableText"/>
                    <w:ind w:left="72" w:right="92" w:firstLine="149"/>
                    <w:spacing w:before="101" w:line="303" w:lineRule="auto"/>
                    <w:rPr/>
                  </w:pPr>
                  <w:r>
                    <w:rPr>
                      <w:spacing w:val="1"/>
                    </w:rPr>
                    <w:t>公司办公区  </w:t>
                  </w:r>
                  <w:r>
                    <w:rPr>
                      <w:spacing w:val="-1"/>
                    </w:rPr>
                    <w:t>域，或整个机房</w:t>
                  </w:r>
                  <w:r>
                    <w:rPr/>
                    <w:t xml:space="preserve"> </w:t>
                  </w:r>
                  <w:r>
                    <w:rPr>
                      <w:spacing w:val="13"/>
                    </w:rPr>
                    <w:t>区域</w:t>
                  </w:r>
                </w:p>
              </w:tc>
              <w:tc>
                <w:tcPr>
                  <w:tcW w:w="1488" w:type="dxa"/>
                  <w:vAlign w:val="top"/>
                </w:tcPr>
                <w:p>
                  <w:pPr>
                    <w:pStyle w:val="TableText"/>
                    <w:ind w:left="103" w:right="180" w:firstLine="150"/>
                    <w:spacing w:before="250" w:line="277" w:lineRule="auto"/>
                    <w:rPr/>
                  </w:pPr>
                  <w:r>
                    <w:rPr>
                      <w:spacing w:val="-1"/>
                    </w:rPr>
                    <w:t>整个公司，或部</w:t>
                  </w:r>
                  <w:r>
                    <w:rPr/>
                    <w:t xml:space="preserve"> </w:t>
                  </w:r>
                  <w:r>
                    <w:rPr>
                      <w:spacing w:val="6"/>
                    </w:rPr>
                    <w:t>分客户</w:t>
                  </w:r>
                </w:p>
              </w:tc>
              <w:tc>
                <w:tcPr>
                  <w:tcW w:w="1798" w:type="dxa"/>
                  <w:vAlign w:val="top"/>
                </w:tcPr>
                <w:p>
                  <w:pPr>
                    <w:pStyle w:val="TableText"/>
                    <w:ind w:left="106" w:right="169" w:firstLine="169"/>
                    <w:spacing w:before="100" w:line="303" w:lineRule="auto"/>
                    <w:jc w:val="both"/>
                    <w:rPr/>
                  </w:pPr>
                  <w:r>
                    <w:rPr>
                      <w:spacing w:val="-1"/>
                    </w:rPr>
                    <w:t>核心业务系统访问速</w:t>
                  </w:r>
                  <w:r>
                    <w:rPr/>
                    <w:t xml:space="preserve"> </w:t>
                  </w:r>
                  <w:r>
                    <w:rPr/>
                    <w:t>度缓慢，或部分功能不</w:t>
                  </w:r>
                  <w:r>
                    <w:rPr>
                      <w:spacing w:val="3"/>
                    </w:rPr>
                    <w:t xml:space="preserve"> </w:t>
                  </w:r>
                  <w:r>
                    <w:rPr>
                      <w:spacing w:val="6"/>
                    </w:rPr>
                    <w:t>能使用</w:t>
                  </w:r>
                </w:p>
              </w:tc>
              <w:tc>
                <w:tcPr>
                  <w:tcW w:w="1603" w:type="dxa"/>
                  <w:vAlign w:val="top"/>
                </w:tcPr>
                <w:p>
                  <w:pPr>
                    <w:pStyle w:val="TableText"/>
                    <w:ind w:left="98" w:right="125" w:firstLine="179"/>
                    <w:spacing w:before="111" w:line="305" w:lineRule="auto"/>
                    <w:jc w:val="both"/>
                    <w:rPr/>
                  </w:pPr>
                  <w:r>
                    <w:rPr>
                      <w:spacing w:val="-2"/>
                    </w:rPr>
                    <w:t>公司部分核心业务</w:t>
                  </w:r>
                  <w:r>
                    <w:rPr>
                      <w:spacing w:val="4"/>
                    </w:rPr>
                    <w:t xml:space="preserve"> </w:t>
                  </w:r>
                  <w:r>
                    <w:rPr/>
                    <w:t>或日常办公活动受影</w:t>
                  </w:r>
                  <w:r>
                    <w:rPr>
                      <w:spacing w:val="1"/>
                    </w:rPr>
                    <w:t xml:space="preserve"> </w:t>
                  </w:r>
                  <w:r>
                    <w:rPr/>
                    <w:t>响</w:t>
                  </w:r>
                </w:p>
              </w:tc>
            </w:tr>
            <w:tr>
              <w:trPr>
                <w:trHeight w:val="1148" w:hRule="atLeast"/>
              </w:trPr>
              <w:tc>
                <w:tcPr>
                  <w:tcW w:w="514" w:type="dxa"/>
                  <w:vAlign w:val="top"/>
                </w:tcPr>
                <w:p>
                  <w:pPr>
                    <w:spacing w:line="245" w:lineRule="auto"/>
                    <w:rPr>
                      <w:rFonts w:ascii="Arial"/>
                      <w:sz w:val="21"/>
                    </w:rPr>
                  </w:pPr>
                  <w:r/>
                </w:p>
                <w:p>
                  <w:pPr>
                    <w:spacing w:line="245" w:lineRule="auto"/>
                    <w:rPr>
                      <w:rFonts w:ascii="Arial"/>
                      <w:sz w:val="21"/>
                    </w:rPr>
                  </w:pPr>
                  <w:r/>
                </w:p>
                <w:p>
                  <w:pPr>
                    <w:pStyle w:val="TableText"/>
                    <w:ind w:left="205"/>
                    <w:spacing w:before="48" w:line="183" w:lineRule="auto"/>
                    <w:rPr/>
                  </w:pPr>
                  <w:r>
                    <w:rPr/>
                    <w:t>3</w:t>
                  </w:r>
                </w:p>
              </w:tc>
              <w:tc>
                <w:tcPr>
                  <w:tcW w:w="529" w:type="dxa"/>
                  <w:vAlign w:val="top"/>
                </w:tcPr>
                <w:p>
                  <w:pPr>
                    <w:spacing w:line="452" w:lineRule="auto"/>
                    <w:rPr>
                      <w:rFonts w:ascii="Arial"/>
                      <w:sz w:val="21"/>
                    </w:rPr>
                  </w:pPr>
                  <w:r/>
                </w:p>
                <w:p>
                  <w:pPr>
                    <w:pStyle w:val="TableText"/>
                    <w:ind w:left="181"/>
                    <w:spacing w:before="48" w:line="220" w:lineRule="auto"/>
                    <w:rPr/>
                  </w:pPr>
                  <w:r>
                    <w:rPr/>
                    <w:t>中</w:t>
                  </w:r>
                </w:p>
              </w:tc>
              <w:tc>
                <w:tcPr>
                  <w:tcW w:w="1218" w:type="dxa"/>
                  <w:vAlign w:val="top"/>
                </w:tcPr>
                <w:p>
                  <w:pPr>
                    <w:pStyle w:val="TableText"/>
                    <w:ind w:left="72" w:right="96" w:firstLine="189"/>
                    <w:spacing w:before="92" w:line="310" w:lineRule="auto"/>
                    <w:jc w:val="both"/>
                    <w:rPr/>
                  </w:pPr>
                  <w:r>
                    <w:rPr>
                      <w:spacing w:val="-3"/>
                    </w:rPr>
                    <w:t>多个部门(或</w:t>
                  </w:r>
                  <w:r>
                    <w:rPr>
                      <w:spacing w:val="4"/>
                    </w:rPr>
                    <w:t xml:space="preserve"> </w:t>
                  </w:r>
                  <w:r>
                    <w:rPr>
                      <w:spacing w:val="4"/>
                    </w:rPr>
                    <w:t>分支机构)的办</w:t>
                  </w:r>
                  <w:r>
                    <w:rPr>
                      <w:spacing w:val="3"/>
                    </w:rPr>
                    <w:t xml:space="preserve"> </w:t>
                  </w:r>
                  <w:r>
                    <w:rPr>
                      <w:spacing w:val="-2"/>
                    </w:rPr>
                    <w:t>公区域，或部分</w:t>
                  </w:r>
                  <w:r>
                    <w:rPr>
                      <w:spacing w:val="2"/>
                    </w:rPr>
                    <w:t xml:space="preserve"> </w:t>
                  </w:r>
                  <w:r>
                    <w:rPr>
                      <w:spacing w:val="8"/>
                    </w:rPr>
                    <w:t>机房区域</w:t>
                  </w:r>
                </w:p>
              </w:tc>
              <w:tc>
                <w:tcPr>
                  <w:tcW w:w="1488" w:type="dxa"/>
                  <w:vAlign w:val="top"/>
                </w:tcPr>
                <w:p>
                  <w:pPr>
                    <w:spacing w:line="321" w:lineRule="auto"/>
                    <w:rPr>
                      <w:rFonts w:ascii="Arial"/>
                      <w:sz w:val="21"/>
                    </w:rPr>
                  </w:pPr>
                  <w:r/>
                </w:p>
                <w:p>
                  <w:pPr>
                    <w:pStyle w:val="TableText"/>
                    <w:ind w:left="113" w:right="156" w:firstLine="170"/>
                    <w:spacing w:before="49" w:line="277" w:lineRule="auto"/>
                    <w:rPr/>
                  </w:pPr>
                  <w:r>
                    <w:rPr>
                      <w:spacing w:val="-2"/>
                    </w:rPr>
                    <w:t>多个部门，或个</w:t>
                  </w:r>
                  <w:r>
                    <w:rPr/>
                    <w:t xml:space="preserve"> </w:t>
                  </w:r>
                  <w:r>
                    <w:rPr>
                      <w:spacing w:val="6"/>
                    </w:rPr>
                    <w:t>别客户</w:t>
                  </w:r>
                </w:p>
              </w:tc>
              <w:tc>
                <w:tcPr>
                  <w:tcW w:w="1798" w:type="dxa"/>
                  <w:vAlign w:val="top"/>
                </w:tcPr>
                <w:p>
                  <w:pPr>
                    <w:pStyle w:val="TableText"/>
                    <w:ind w:left="126" w:right="159" w:firstLine="160"/>
                    <w:spacing w:before="102" w:line="276" w:lineRule="auto"/>
                    <w:rPr/>
                  </w:pPr>
                  <w:r>
                    <w:rPr>
                      <w:spacing w:val="-1"/>
                    </w:rPr>
                    <w:t>核心业务系统偶尔不</w:t>
                  </w:r>
                  <w:r>
                    <w:rPr/>
                    <w:t xml:space="preserve"> </w:t>
                  </w:r>
                  <w:r>
                    <w:rPr>
                      <w:spacing w:val="-2"/>
                    </w:rPr>
                    <w:t>能访问或访问速度缓</w:t>
                  </w:r>
                </w:p>
                <w:p>
                  <w:pPr>
                    <w:pStyle w:val="TableText"/>
                    <w:ind w:left="106" w:right="167"/>
                    <w:spacing w:before="101" w:line="283" w:lineRule="auto"/>
                    <w:rPr/>
                  </w:pPr>
                  <w:r>
                    <w:rPr>
                      <w:spacing w:val="1"/>
                    </w:rPr>
                    <w:t>慢，或部分其他应用系</w:t>
                  </w:r>
                  <w:r>
                    <w:rPr>
                      <w:spacing w:val="3"/>
                    </w:rPr>
                    <w:t xml:space="preserve"> </w:t>
                  </w:r>
                  <w:r>
                    <w:rPr>
                      <w:spacing w:val="-2"/>
                    </w:rPr>
                    <w:t>统不能正常工作</w:t>
                  </w:r>
                </w:p>
              </w:tc>
              <w:tc>
                <w:tcPr>
                  <w:tcW w:w="1603" w:type="dxa"/>
                  <w:vAlign w:val="top"/>
                </w:tcPr>
                <w:p>
                  <w:pPr>
                    <w:pStyle w:val="TableText"/>
                    <w:ind w:left="108" w:right="116" w:firstLine="160"/>
                    <w:spacing w:before="242" w:line="299" w:lineRule="auto"/>
                    <w:jc w:val="both"/>
                    <w:rPr/>
                  </w:pPr>
                  <w:r>
                    <w:rPr>
                      <w:spacing w:val="-2"/>
                    </w:rPr>
                    <w:t>公司个别业务受影</w:t>
                  </w:r>
                  <w:r>
                    <w:rPr>
                      <w:spacing w:val="4"/>
                    </w:rPr>
                    <w:t xml:space="preserve"> </w:t>
                  </w:r>
                  <w:r>
                    <w:rPr>
                      <w:spacing w:val="2"/>
                    </w:rPr>
                    <w:t>响，或部分日常办公</w:t>
                  </w:r>
                  <w:r>
                    <w:rPr/>
                    <w:t xml:space="preserve"> </w:t>
                  </w:r>
                  <w:r>
                    <w:rPr>
                      <w:spacing w:val="-2"/>
                    </w:rPr>
                    <w:t>活动中断</w:t>
                  </w:r>
                </w:p>
              </w:tc>
            </w:tr>
            <w:tr>
              <w:trPr>
                <w:trHeight w:val="879" w:hRule="atLeast"/>
              </w:trPr>
              <w:tc>
                <w:tcPr>
                  <w:tcW w:w="514" w:type="dxa"/>
                  <w:vAlign w:val="top"/>
                </w:tcPr>
                <w:p>
                  <w:pPr>
                    <w:spacing w:line="362" w:lineRule="auto"/>
                    <w:rPr>
                      <w:rFonts w:ascii="Arial"/>
                      <w:sz w:val="21"/>
                    </w:rPr>
                  </w:pPr>
                  <w:r/>
                </w:p>
                <w:p>
                  <w:pPr>
                    <w:pStyle w:val="TableText"/>
                    <w:ind w:left="205"/>
                    <w:spacing w:before="49" w:line="183" w:lineRule="auto"/>
                    <w:rPr/>
                  </w:pPr>
                  <w:r>
                    <w:rPr/>
                    <w:t>2</w:t>
                  </w:r>
                </w:p>
              </w:tc>
              <w:tc>
                <w:tcPr>
                  <w:tcW w:w="529" w:type="dxa"/>
                  <w:vAlign w:val="top"/>
                </w:tcPr>
                <w:p>
                  <w:pPr>
                    <w:spacing w:line="325" w:lineRule="auto"/>
                    <w:rPr>
                      <w:rFonts w:ascii="Arial"/>
                      <w:sz w:val="21"/>
                    </w:rPr>
                  </w:pPr>
                  <w:r/>
                </w:p>
                <w:p>
                  <w:pPr>
                    <w:pStyle w:val="TableText"/>
                    <w:ind w:left="181"/>
                    <w:spacing w:before="48" w:line="221" w:lineRule="auto"/>
                    <w:rPr/>
                  </w:pPr>
                  <w:r>
                    <w:rPr/>
                    <w:t>低</w:t>
                  </w:r>
                </w:p>
              </w:tc>
              <w:tc>
                <w:tcPr>
                  <w:tcW w:w="1218" w:type="dxa"/>
                  <w:vAlign w:val="top"/>
                </w:tcPr>
                <w:p>
                  <w:pPr>
                    <w:pStyle w:val="TableText"/>
                    <w:ind w:left="122" w:right="163" w:firstLine="99"/>
                    <w:spacing w:before="95" w:line="303" w:lineRule="auto"/>
                    <w:rPr/>
                  </w:pPr>
                  <w:r>
                    <w:rPr>
                      <w:spacing w:val="-2"/>
                    </w:rPr>
                    <w:t>某个部门或</w:t>
                  </w:r>
                  <w:r>
                    <w:rPr>
                      <w:spacing w:val="1"/>
                    </w:rPr>
                    <w:t xml:space="preserve">  </w:t>
                  </w:r>
                  <w:r>
                    <w:rPr>
                      <w:spacing w:val="3"/>
                    </w:rPr>
                    <w:t>分支机构的办 </w:t>
                  </w:r>
                  <w:r>
                    <w:rPr>
                      <w:spacing w:val="-3"/>
                    </w:rPr>
                    <w:t>公区域</w:t>
                  </w:r>
                </w:p>
              </w:tc>
              <w:tc>
                <w:tcPr>
                  <w:tcW w:w="1488" w:type="dxa"/>
                  <w:vAlign w:val="top"/>
                </w:tcPr>
                <w:p>
                  <w:pPr>
                    <w:pStyle w:val="TableText"/>
                    <w:ind w:left="103" w:right="133" w:firstLine="170"/>
                    <w:spacing w:before="244" w:line="270" w:lineRule="auto"/>
                    <w:rPr/>
                  </w:pPr>
                  <w:r>
                    <w:rPr>
                      <w:spacing w:val="2"/>
                    </w:rPr>
                    <w:t>本部门或部门内</w:t>
                  </w:r>
                  <w:r>
                    <w:rPr>
                      <w:spacing w:val="5"/>
                    </w:rPr>
                    <w:t xml:space="preserve"> </w:t>
                  </w:r>
                  <w:r>
                    <w:rPr>
                      <w:spacing w:val="6"/>
                    </w:rPr>
                    <w:t>部人员</w:t>
                  </w:r>
                </w:p>
              </w:tc>
              <w:tc>
                <w:tcPr>
                  <w:tcW w:w="1798" w:type="dxa"/>
                  <w:vAlign w:val="top"/>
                </w:tcPr>
                <w:p>
                  <w:pPr>
                    <w:pStyle w:val="TableText"/>
                    <w:ind w:left="126" w:right="157" w:firstLine="160"/>
                    <w:spacing w:before="234" w:line="277" w:lineRule="auto"/>
                    <w:rPr/>
                  </w:pPr>
                  <w:r>
                    <w:rPr>
                      <w:spacing w:val="-1"/>
                    </w:rPr>
                    <w:t>个别其他应用系统不</w:t>
                  </w:r>
                  <w:r>
                    <w:rPr>
                      <w:spacing w:val="2"/>
                    </w:rPr>
                    <w:t xml:space="preserve"> </w:t>
                  </w:r>
                  <w:r>
                    <w:rPr>
                      <w:spacing w:val="1"/>
                    </w:rPr>
                    <w:t>能正常工作</w:t>
                  </w:r>
                </w:p>
              </w:tc>
              <w:tc>
                <w:tcPr>
                  <w:tcW w:w="1603" w:type="dxa"/>
                  <w:vAlign w:val="top"/>
                </w:tcPr>
                <w:p>
                  <w:pPr>
                    <w:pStyle w:val="TableText"/>
                    <w:ind w:left="268"/>
                    <w:spacing w:before="95" w:line="219" w:lineRule="auto"/>
                    <w:rPr/>
                  </w:pPr>
                  <w:r>
                    <w:rPr>
                      <w:spacing w:val="-2"/>
                    </w:rPr>
                    <w:t>公司业务不受影</w:t>
                  </w:r>
                </w:p>
                <w:p>
                  <w:pPr>
                    <w:pStyle w:val="TableText"/>
                    <w:ind w:left="108" w:right="136" w:hanging="10"/>
                    <w:spacing w:before="111" w:line="282" w:lineRule="auto"/>
                    <w:rPr/>
                  </w:pPr>
                  <w:r>
                    <w:rPr/>
                    <w:t>响，只是少部分日常</w:t>
                  </w:r>
                  <w:r>
                    <w:rPr>
                      <w:spacing w:val="7"/>
                    </w:rPr>
                    <w:t xml:space="preserve"> </w:t>
                  </w:r>
                  <w:r>
                    <w:rPr>
                      <w:spacing w:val="1"/>
                    </w:rPr>
                    <w:t>办公活动受影响</w:t>
                  </w:r>
                </w:p>
              </w:tc>
            </w:tr>
            <w:tr>
              <w:trPr>
                <w:trHeight w:val="604" w:hRule="atLeast"/>
              </w:trPr>
              <w:tc>
                <w:tcPr>
                  <w:tcW w:w="514" w:type="dxa"/>
                  <w:vAlign w:val="top"/>
                </w:tcPr>
                <w:p>
                  <w:pPr>
                    <w:pStyle w:val="TableText"/>
                    <w:ind w:left="205"/>
                    <w:spacing w:before="273" w:line="184" w:lineRule="auto"/>
                    <w:rPr/>
                  </w:pPr>
                  <w:r>
                    <w:rPr/>
                    <w:t>1</w:t>
                  </w:r>
                </w:p>
              </w:tc>
              <w:tc>
                <w:tcPr>
                  <w:tcW w:w="529" w:type="dxa"/>
                  <w:vAlign w:val="top"/>
                </w:tcPr>
                <w:p>
                  <w:pPr>
                    <w:pStyle w:val="TableText"/>
                    <w:ind w:left="101"/>
                    <w:spacing w:before="236" w:line="220" w:lineRule="auto"/>
                    <w:rPr/>
                  </w:pPr>
                  <w:r>
                    <w:rPr>
                      <w:spacing w:val="-2"/>
                    </w:rPr>
                    <w:t>很低</w:t>
                  </w:r>
                </w:p>
              </w:tc>
              <w:tc>
                <w:tcPr>
                  <w:tcW w:w="1218" w:type="dxa"/>
                  <w:vAlign w:val="top"/>
                </w:tcPr>
                <w:p>
                  <w:pPr>
                    <w:pStyle w:val="TableText"/>
                    <w:ind w:left="222"/>
                    <w:spacing w:before="95" w:line="291" w:lineRule="exact"/>
                    <w:rPr/>
                  </w:pPr>
                  <w:r>
                    <w:rPr>
                      <w:spacing w:val="-1"/>
                      <w:position w:val="10"/>
                    </w:rPr>
                    <w:t>个人办公区</w:t>
                  </w:r>
                </w:p>
                <w:p>
                  <w:pPr>
                    <w:pStyle w:val="TableText"/>
                    <w:ind w:left="112"/>
                    <w:spacing w:line="220" w:lineRule="auto"/>
                    <w:rPr/>
                  </w:pPr>
                  <w:r>
                    <w:rPr/>
                    <w:t>域</w:t>
                  </w:r>
                </w:p>
              </w:tc>
              <w:tc>
                <w:tcPr>
                  <w:tcW w:w="1488" w:type="dxa"/>
                  <w:vAlign w:val="top"/>
                </w:tcPr>
                <w:p>
                  <w:pPr>
                    <w:pStyle w:val="TableText"/>
                    <w:ind w:left="254"/>
                    <w:spacing w:before="236" w:line="219" w:lineRule="auto"/>
                    <w:rPr/>
                  </w:pPr>
                  <w:r>
                    <w:rPr>
                      <w:spacing w:val="-2"/>
                    </w:rPr>
                    <w:t>个人</w:t>
                  </w:r>
                </w:p>
              </w:tc>
              <w:tc>
                <w:tcPr>
                  <w:tcW w:w="1798" w:type="dxa"/>
                  <w:vAlign w:val="top"/>
                </w:tcPr>
                <w:p>
                  <w:pPr>
                    <w:pStyle w:val="TableText"/>
                    <w:ind w:left="275"/>
                    <w:spacing w:before="236" w:line="219" w:lineRule="auto"/>
                    <w:rPr/>
                  </w:pPr>
                  <w:r>
                    <w:rPr>
                      <w:spacing w:val="-2"/>
                    </w:rPr>
                    <w:t>个人终端</w:t>
                  </w:r>
                </w:p>
              </w:tc>
              <w:tc>
                <w:tcPr>
                  <w:tcW w:w="1603" w:type="dxa"/>
                  <w:vAlign w:val="top"/>
                </w:tcPr>
                <w:p>
                  <w:pPr>
                    <w:pStyle w:val="TableText"/>
                    <w:ind w:left="138" w:right="130" w:firstLine="130"/>
                    <w:spacing w:before="106" w:line="288" w:lineRule="auto"/>
                    <w:rPr/>
                  </w:pPr>
                  <w:r>
                    <w:rPr>
                      <w:spacing w:val="-1"/>
                    </w:rPr>
                    <w:t>基本不影响公司业</w:t>
                  </w:r>
                  <w:r>
                    <w:rPr>
                      <w:spacing w:val="1"/>
                    </w:rPr>
                    <w:t xml:space="preserve"> </w:t>
                  </w:r>
                  <w:r>
                    <w:rPr>
                      <w:spacing w:val="-1"/>
                    </w:rPr>
                    <w:t>务和日常办公活动</w:t>
                  </w:r>
                </w:p>
              </w:tc>
            </w:tr>
          </w:tbl>
          <w:p>
            <w:pPr>
              <w:rPr>
                <w:rFonts w:ascii="Arial"/>
                <w:sz w:val="21"/>
              </w:rPr>
            </w:pPr>
            <w:r/>
          </w:p>
        </w:tc>
      </w:tr>
    </w:tbl>
    <w:p>
      <w:pPr>
        <w:pStyle w:val="BodyText"/>
        <w:rPr/>
      </w:pPr>
      <w:r/>
    </w:p>
    <w:p>
      <w:pPr>
        <w:sectPr>
          <w:footerReference w:type="default" r:id="rId425"/>
          <w:pgSz w:w="8870" w:h="13400"/>
          <w:pgMar w:top="400" w:right="705" w:bottom="668" w:left="249" w:header="0" w:footer="459" w:gutter="0"/>
        </w:sectPr>
        <w:rPr/>
      </w:pPr>
    </w:p>
    <w:p>
      <w:pPr>
        <w:ind w:left="242"/>
        <w:spacing w:before="195" w:line="219" w:lineRule="auto"/>
        <w:rPr>
          <w:rFonts w:ascii="SimSun" w:hAnsi="SimSun" w:eastAsia="SimSun" w:cs="SimSun"/>
          <w:sz w:val="21"/>
          <w:szCs w:val="21"/>
        </w:rPr>
      </w:pPr>
      <w:r>
        <w:drawing>
          <wp:anchor distT="0" distB="0" distL="0" distR="0" simplePos="0" relativeHeight="257451008" behindDoc="0" locked="0" layoutInCell="0" allowOverlap="1">
            <wp:simplePos x="0" y="0"/>
            <wp:positionH relativeFrom="page">
              <wp:posOffset>387343</wp:posOffset>
            </wp:positionH>
            <wp:positionV relativeFrom="page">
              <wp:posOffset>336531</wp:posOffset>
            </wp:positionV>
            <wp:extent cx="6365" cy="228637"/>
            <wp:effectExtent l="0" t="0" r="0" b="0"/>
            <wp:wrapNone/>
            <wp:docPr id="298" name="IM 298"/>
            <wp:cNvGraphicFramePr/>
            <a:graphic>
              <a:graphicData uri="http://schemas.openxmlformats.org/drawingml/2006/picture">
                <pic:pic>
                  <pic:nvPicPr>
                    <pic:cNvPr id="298" name="IM 298"/>
                    <pic:cNvPicPr/>
                  </pic:nvPicPr>
                  <pic:blipFill>
                    <a:blip r:embed="rId428"/>
                    <a:stretch>
                      <a:fillRect/>
                    </a:stretch>
                  </pic:blipFill>
                  <pic:spPr>
                    <a:xfrm rot="0">
                      <a:off x="0" y="0"/>
                      <a:ext cx="6365" cy="228637"/>
                    </a:xfrm>
                    <a:prstGeom prst="rect">
                      <a:avLst/>
                    </a:prstGeom>
                  </pic:spPr>
                </pic:pic>
              </a:graphicData>
            </a:graphic>
          </wp:anchor>
        </w:drawing>
      </w:r>
      <w:r>
        <w:drawing>
          <wp:anchor distT="0" distB="0" distL="0" distR="0" simplePos="0" relativeHeight="257448960" behindDoc="1" locked="0" layoutInCell="0" allowOverlap="1">
            <wp:simplePos x="0" y="0"/>
            <wp:positionH relativeFrom="page">
              <wp:posOffset>488952</wp:posOffset>
            </wp:positionH>
            <wp:positionV relativeFrom="page">
              <wp:posOffset>7537442</wp:posOffset>
            </wp:positionV>
            <wp:extent cx="4895838" cy="6381"/>
            <wp:effectExtent l="0" t="0" r="0" b="0"/>
            <wp:wrapNone/>
            <wp:docPr id="300" name="IM 300"/>
            <wp:cNvGraphicFramePr/>
            <a:graphic>
              <a:graphicData uri="http://schemas.openxmlformats.org/drawingml/2006/picture">
                <pic:pic>
                  <pic:nvPicPr>
                    <pic:cNvPr id="300" name="IM 300"/>
                    <pic:cNvPicPr/>
                  </pic:nvPicPr>
                  <pic:blipFill>
                    <a:blip r:embed="rId429"/>
                    <a:stretch>
                      <a:fillRect/>
                    </a:stretch>
                  </pic:blipFill>
                  <pic:spPr>
                    <a:xfrm rot="0">
                      <a:off x="0" y="0"/>
                      <a:ext cx="4895838" cy="6381"/>
                    </a:xfrm>
                    <a:prstGeom prst="rect">
                      <a:avLst/>
                    </a:prstGeom>
                  </pic:spPr>
                </pic:pic>
              </a:graphicData>
            </a:graphic>
          </wp:anchor>
        </w:drawing>
      </w:r>
      <w:r>
        <w:pict>
          <v:shape id="_x0000_s474" style="position:absolute;margin-left:42.9996pt;margin-top:461.35pt;mso-position-vertical-relative:page;mso-position-horizontal-relative:page;width:372.9pt;height:131.55pt;z-index:257449984;" o:allowincell="f" filled="false" stroked="false" type="#_x0000_t202">
            <v:fill on="false"/>
            <v:stroke on="false"/>
            <v:path/>
            <v:imagedata o:title=""/>
            <o:lock v:ext="edit" aspectratio="false"/>
            <v:textbox inset="0mm,0mm,0mm,0mm">
              <w:txbxContent>
                <w:p>
                  <w:pPr>
                    <w:ind w:left="140"/>
                    <w:spacing w:before="20" w:line="220" w:lineRule="auto"/>
                    <w:rPr>
                      <w:rFonts w:ascii="SimSun" w:hAnsi="SimSun" w:eastAsia="SimSun" w:cs="SimSun"/>
                      <w:sz w:val="16"/>
                      <w:szCs w:val="16"/>
                    </w:rPr>
                  </w:pPr>
                  <w:r>
                    <w:rPr>
                      <w:rFonts w:ascii="Times New Roman" w:hAnsi="Times New Roman" w:eastAsia="Times New Roman" w:cs="Times New Roman"/>
                      <w:sz w:val="16"/>
                      <w:szCs w:val="16"/>
                      <w:spacing w:val="-1"/>
                    </w:rPr>
                    <w:t>5.2.6   </w:t>
                  </w:r>
                  <w:r>
                    <w:rPr>
                      <w:rFonts w:ascii="SimSun" w:hAnsi="SimSun" w:eastAsia="SimSun" w:cs="SimSun"/>
                      <w:sz w:val="16"/>
                      <w:szCs w:val="16"/>
                      <w:spacing w:val="-1"/>
                    </w:rPr>
                    <w:t>风险接受准则</w:t>
                  </w:r>
                </w:p>
                <w:p>
                  <w:pPr>
                    <w:ind w:left="20" w:right="20" w:firstLine="120"/>
                    <w:spacing w:before="107" w:line="283" w:lineRule="auto"/>
                    <w:rPr>
                      <w:rFonts w:ascii="SimSun" w:hAnsi="SimSun" w:eastAsia="SimSun" w:cs="SimSun"/>
                      <w:sz w:val="16"/>
                      <w:szCs w:val="16"/>
                    </w:rPr>
                  </w:pPr>
                  <w:r>
                    <w:rPr>
                      <w:rFonts w:ascii="SimSun" w:hAnsi="SimSun" w:eastAsia="SimSun" w:cs="SimSun"/>
                      <w:sz w:val="16"/>
                      <w:szCs w:val="16"/>
                      <w:spacing w:val="-1"/>
                    </w:rPr>
                    <w:t>(1)对于信息资产评估的结果，本公司原则上以风险值小于16 分(不包括16分</w:t>
                  </w:r>
                  <w:r>
                    <w:rPr>
                      <w:rFonts w:ascii="SimSun" w:hAnsi="SimSun" w:eastAsia="SimSun" w:cs="SimSun"/>
                      <w:sz w:val="16"/>
                      <w:szCs w:val="16"/>
                      <w:spacing w:val="-2"/>
                    </w:rPr>
                    <w:t>)的风险作为可接受风险，大</w:t>
                  </w:r>
                  <w:r>
                    <w:rPr>
                      <w:rFonts w:ascii="SimSun" w:hAnsi="SimSun" w:eastAsia="SimSun" w:cs="SimSun"/>
                      <w:sz w:val="16"/>
                      <w:szCs w:val="16"/>
                    </w:rPr>
                    <w:t xml:space="preserve"> </w:t>
                  </w:r>
                  <w:r>
                    <w:rPr>
                      <w:rFonts w:ascii="SimSun" w:hAnsi="SimSun" w:eastAsia="SimSun" w:cs="SimSun"/>
                      <w:sz w:val="16"/>
                      <w:szCs w:val="16"/>
                      <w:spacing w:val="-7"/>
                    </w:rPr>
                    <w:t>于等于16分为不可接受风险，要采取控制措施进行控</w:t>
                  </w:r>
                  <w:r>
                    <w:rPr>
                      <w:rFonts w:ascii="SimSun" w:hAnsi="SimSun" w:eastAsia="SimSun" w:cs="SimSun"/>
                      <w:sz w:val="16"/>
                      <w:szCs w:val="16"/>
                      <w:spacing w:val="-8"/>
                    </w:rPr>
                    <w:t>制；</w:t>
                  </w:r>
                </w:p>
                <w:p>
                  <w:pPr>
                    <w:ind w:left="20" w:right="40" w:firstLine="120"/>
                    <w:spacing w:before="111" w:line="282" w:lineRule="auto"/>
                    <w:rPr>
                      <w:rFonts w:ascii="SimSun" w:hAnsi="SimSun" w:eastAsia="SimSun" w:cs="SimSun"/>
                      <w:sz w:val="16"/>
                      <w:szCs w:val="16"/>
                    </w:rPr>
                  </w:pPr>
                  <w:r>
                    <w:rPr>
                      <w:rFonts w:ascii="SimSun" w:hAnsi="SimSun" w:eastAsia="SimSun" w:cs="SimSun"/>
                      <w:sz w:val="16"/>
                      <w:szCs w:val="16"/>
                      <w:spacing w:val="-6"/>
                    </w:rPr>
                    <w:t>(2)对于不可接受的风险，由于经济或技</w:t>
                  </w:r>
                  <w:r>
                    <w:rPr>
                      <w:rFonts w:ascii="SimSun" w:hAnsi="SimSun" w:eastAsia="SimSun" w:cs="SimSun"/>
                      <w:sz w:val="16"/>
                      <w:szCs w:val="16"/>
                      <w:spacing w:val="-7"/>
                    </w:rPr>
                    <w:t>术原因，经信息安全管理委员会批准后，可以暂时接受风险，待经济</w:t>
                  </w:r>
                  <w:r>
                    <w:rPr>
                      <w:rFonts w:ascii="SimSun" w:hAnsi="SimSun" w:eastAsia="SimSun" w:cs="SimSun"/>
                      <w:sz w:val="16"/>
                      <w:szCs w:val="16"/>
                    </w:rPr>
                    <w:t xml:space="preserve"> </w:t>
                  </w:r>
                  <w:r>
                    <w:rPr>
                      <w:rFonts w:ascii="SimSun" w:hAnsi="SimSun" w:eastAsia="SimSun" w:cs="SimSun"/>
                      <w:sz w:val="16"/>
                      <w:szCs w:val="16"/>
                      <w:spacing w:val="-9"/>
                    </w:rPr>
                    <w:t>或技术具有可行性时再采取适当措施降低风险。</w:t>
                  </w:r>
                </w:p>
                <w:p>
                  <w:pPr>
                    <w:ind w:left="140"/>
                    <w:spacing w:before="111" w:line="220" w:lineRule="auto"/>
                    <w:rPr>
                      <w:rFonts w:ascii="SimSun" w:hAnsi="SimSun" w:eastAsia="SimSun" w:cs="SimSun"/>
                      <w:sz w:val="16"/>
                      <w:szCs w:val="16"/>
                    </w:rPr>
                  </w:pPr>
                  <w:r>
                    <w:rPr>
                      <w:rFonts w:ascii="SimSun" w:hAnsi="SimSun" w:eastAsia="SimSun" w:cs="SimSun"/>
                      <w:sz w:val="16"/>
                      <w:szCs w:val="16"/>
                      <w:spacing w:val="-10"/>
                    </w:rPr>
                    <w:t>5.2.7</w:t>
                  </w:r>
                  <w:r>
                    <w:rPr>
                      <w:rFonts w:ascii="SimSun" w:hAnsi="SimSun" w:eastAsia="SimSun" w:cs="SimSun"/>
                      <w:sz w:val="16"/>
                      <w:szCs w:val="16"/>
                      <w:spacing w:val="53"/>
                    </w:rPr>
                    <w:t xml:space="preserve"> </w:t>
                  </w:r>
                  <w:r>
                    <w:rPr>
                      <w:rFonts w:ascii="SimSun" w:hAnsi="SimSun" w:eastAsia="SimSun" w:cs="SimSun"/>
                      <w:sz w:val="16"/>
                      <w:szCs w:val="16"/>
                      <w:spacing w:val="-10"/>
                    </w:rPr>
                    <w:t>风险控制措施的选择和实施</w:t>
                  </w:r>
                </w:p>
                <w:p>
                  <w:pPr>
                    <w:ind w:left="140"/>
                    <w:spacing w:before="119" w:line="219" w:lineRule="auto"/>
                    <w:rPr>
                      <w:rFonts w:ascii="SimSun" w:hAnsi="SimSun" w:eastAsia="SimSun" w:cs="SimSun"/>
                      <w:sz w:val="16"/>
                      <w:szCs w:val="16"/>
                    </w:rPr>
                  </w:pPr>
                  <w:r>
                    <w:rPr>
                      <w:rFonts w:ascii="SimSun" w:hAnsi="SimSun" w:eastAsia="SimSun" w:cs="SimSun"/>
                      <w:sz w:val="16"/>
                      <w:szCs w:val="16"/>
                      <w:spacing w:val="-7"/>
                    </w:rPr>
                    <w:t>(1)对于不可接受的风险，有四种风险处置方式：降低风险、转移风险、消除风险、接受</w:t>
                  </w:r>
                  <w:r>
                    <w:rPr>
                      <w:rFonts w:ascii="SimSun" w:hAnsi="SimSun" w:eastAsia="SimSun" w:cs="SimSun"/>
                      <w:sz w:val="16"/>
                      <w:szCs w:val="16"/>
                      <w:spacing w:val="-8"/>
                    </w:rPr>
                    <w:t>风险；</w:t>
                  </w:r>
                </w:p>
                <w:p>
                  <w:pPr>
                    <w:ind w:left="20" w:right="58" w:firstLine="120"/>
                    <w:spacing w:before="100" w:line="283" w:lineRule="auto"/>
                    <w:rPr>
                      <w:rFonts w:ascii="SimSun" w:hAnsi="SimSun" w:eastAsia="SimSun" w:cs="SimSun"/>
                      <w:sz w:val="16"/>
                      <w:szCs w:val="16"/>
                    </w:rPr>
                  </w:pPr>
                  <w:r>
                    <w:rPr>
                      <w:rFonts w:ascii="SimSun" w:hAnsi="SimSun" w:eastAsia="SimSun" w:cs="SimSun"/>
                      <w:sz w:val="16"/>
                      <w:szCs w:val="16"/>
                      <w:spacing w:val="-7"/>
                    </w:rPr>
                    <w:t>(2)最常见的风险处置方式是降低风险，降低风险可以选择一项或数项控制措施，也可以根据以往的经验给出</w:t>
                  </w:r>
                  <w:r>
                    <w:rPr>
                      <w:rFonts w:ascii="SimSun" w:hAnsi="SimSun" w:eastAsia="SimSun" w:cs="SimSun"/>
                      <w:sz w:val="16"/>
                      <w:szCs w:val="16"/>
                    </w:rPr>
                    <w:t xml:space="preserve"> </w:t>
                  </w:r>
                  <w:r>
                    <w:rPr>
                      <w:rFonts w:ascii="SimSun" w:hAnsi="SimSun" w:eastAsia="SimSun" w:cs="SimSun"/>
                      <w:sz w:val="16"/>
                      <w:szCs w:val="16"/>
                      <w:spacing w:val="-10"/>
                    </w:rPr>
                    <w:t>合适的控制措施。</w:t>
                  </w:r>
                </w:p>
              </w:txbxContent>
            </v:textbox>
          </v:shape>
        </w:pict>
      </w:r>
      <w:r>
        <w:rPr>
          <w:rFonts w:ascii="SimSun" w:hAnsi="SimSun" w:eastAsia="SimSun" w:cs="SimSun"/>
          <w:sz w:val="21"/>
          <w:szCs w:val="21"/>
          <w:b/>
          <w:bCs/>
          <w:spacing w:val="-27"/>
        </w:rPr>
        <w:t>■云端数据治理■</w:t>
      </w:r>
    </w:p>
    <w:p>
      <w:pPr>
        <w:pStyle w:val="BodyText"/>
        <w:spacing w:line="264" w:lineRule="auto"/>
        <w:rPr/>
      </w:pPr>
      <w:r/>
    </w:p>
    <w:p>
      <w:pPr>
        <w:ind w:left="7220"/>
        <w:spacing w:before="68" w:line="203" w:lineRule="auto"/>
        <w:rPr>
          <w:rFonts w:ascii="SimHei" w:hAnsi="SimHei" w:eastAsia="SimHei" w:cs="SimHei"/>
          <w:sz w:val="21"/>
          <w:szCs w:val="21"/>
        </w:rPr>
      </w:pPr>
      <w:r>
        <w:rPr>
          <w:rFonts w:ascii="SimHei" w:hAnsi="SimHei" w:eastAsia="SimHei" w:cs="SimHei"/>
          <w:sz w:val="21"/>
          <w:szCs w:val="21"/>
          <w:spacing w:val="-11"/>
        </w:rPr>
        <w:t>续表</w:t>
      </w:r>
    </w:p>
    <w:tbl>
      <w:tblPr>
        <w:tblStyle w:val="TableNormal"/>
        <w:tblW w:w="7710" w:type="dxa"/>
        <w:tblInd w:w="259" w:type="dxa"/>
        <w:tblLayout w:type="fixed"/>
        <w:tblBorders>
          <w:left w:val="single" w:color="000000" w:sz="8" w:space="0"/>
          <w:right w:val="single" w:color="000000" w:sz="8" w:space="0"/>
          <w:top w:val="single" w:color="000000" w:sz="2" w:space="0"/>
        </w:tblBorders>
      </w:tblPr>
      <w:tblGrid>
        <w:gridCol w:w="7710"/>
      </w:tblGrid>
      <w:tr>
        <w:trPr>
          <w:trHeight w:val="10485" w:hRule="atLeast"/>
        </w:trPr>
        <w:tc>
          <w:tcPr>
            <w:tcW w:w="7710" w:type="dxa"/>
            <w:vAlign w:val="top"/>
          </w:tcPr>
          <w:p>
            <w:pPr>
              <w:pStyle w:val="TableText"/>
              <w:ind w:left="260"/>
              <w:spacing w:before="81" w:line="219" w:lineRule="auto"/>
              <w:rPr>
                <w:sz w:val="16"/>
                <w:szCs w:val="16"/>
              </w:rPr>
            </w:pPr>
            <w:r>
              <w:rPr>
                <w:sz w:val="16"/>
                <w:szCs w:val="16"/>
                <w:spacing w:val="-3"/>
              </w:rPr>
              <w:t>(3)风险发生可能性的赋值标准</w:t>
            </w:r>
          </w:p>
          <w:p>
            <w:pPr>
              <w:spacing w:line="158" w:lineRule="exact"/>
              <w:rPr/>
            </w:pPr>
            <w:r/>
          </w:p>
          <w:tbl>
            <w:tblPr>
              <w:tblStyle w:val="TableNormal"/>
              <w:tblW w:w="7160"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54"/>
              <w:gridCol w:w="639"/>
              <w:gridCol w:w="4074"/>
              <w:gridCol w:w="1793"/>
            </w:tblGrid>
            <w:tr>
              <w:trPr>
                <w:trHeight w:val="354" w:hRule="atLeast"/>
              </w:trPr>
              <w:tc>
                <w:tcPr>
                  <w:tcW w:w="7160" w:type="dxa"/>
                  <w:vAlign w:val="top"/>
                  <w:gridSpan w:val="4"/>
                </w:tcPr>
                <w:p>
                  <w:pPr>
                    <w:pStyle w:val="TableText"/>
                    <w:ind w:left="3205"/>
                    <w:spacing w:before="101" w:line="220" w:lineRule="auto"/>
                    <w:rPr/>
                  </w:pPr>
                  <w:r>
                    <w:rPr>
                      <w:spacing w:val="-2"/>
                    </w:rPr>
                    <w:t>风险可能性</w:t>
                  </w:r>
                </w:p>
              </w:tc>
            </w:tr>
            <w:tr>
              <w:trPr>
                <w:trHeight w:val="359" w:hRule="atLeast"/>
              </w:trPr>
              <w:tc>
                <w:tcPr>
                  <w:tcW w:w="654" w:type="dxa"/>
                  <w:vAlign w:val="top"/>
                  <w:vMerge w:val="restart"/>
                  <w:tcBorders>
                    <w:bottom w:val="nil"/>
                  </w:tcBorders>
                </w:tcPr>
                <w:p>
                  <w:pPr>
                    <w:pStyle w:val="TableText"/>
                    <w:ind w:left="165"/>
                    <w:spacing w:before="287" w:line="219" w:lineRule="auto"/>
                    <w:rPr/>
                  </w:pPr>
                  <w:r>
                    <w:rPr>
                      <w:spacing w:val="-2"/>
                    </w:rPr>
                    <w:t>赋值</w:t>
                  </w:r>
                </w:p>
              </w:tc>
              <w:tc>
                <w:tcPr>
                  <w:tcW w:w="639" w:type="dxa"/>
                  <w:vAlign w:val="top"/>
                  <w:vMerge w:val="restart"/>
                  <w:tcBorders>
                    <w:bottom w:val="nil"/>
                  </w:tcBorders>
                </w:tcPr>
                <w:p>
                  <w:pPr>
                    <w:pStyle w:val="TableText"/>
                    <w:ind w:left="161"/>
                    <w:spacing w:before="287" w:line="219" w:lineRule="auto"/>
                    <w:rPr/>
                  </w:pPr>
                  <w:r>
                    <w:rPr>
                      <w:spacing w:val="-2"/>
                    </w:rPr>
                    <w:t>等级</w:t>
                  </w:r>
                </w:p>
              </w:tc>
              <w:tc>
                <w:tcPr>
                  <w:tcW w:w="5867" w:type="dxa"/>
                  <w:vAlign w:val="top"/>
                  <w:gridSpan w:val="2"/>
                </w:tcPr>
                <w:p>
                  <w:pPr>
                    <w:pStyle w:val="TableText"/>
                    <w:ind w:left="2402"/>
                    <w:spacing w:before="107" w:line="220" w:lineRule="auto"/>
                    <w:rPr/>
                  </w:pPr>
                  <w:r>
                    <w:rPr>
                      <w:spacing w:val="-1"/>
                    </w:rPr>
                    <w:t>风险发生可能性</w:t>
                  </w:r>
                </w:p>
              </w:tc>
            </w:tr>
            <w:tr>
              <w:trPr>
                <w:trHeight w:val="349" w:hRule="atLeast"/>
              </w:trPr>
              <w:tc>
                <w:tcPr>
                  <w:tcW w:w="654" w:type="dxa"/>
                  <w:vAlign w:val="top"/>
                  <w:vMerge w:val="continue"/>
                  <w:tcBorders>
                    <w:top w:val="nil"/>
                  </w:tcBorders>
                </w:tcPr>
                <w:p>
                  <w:pPr>
                    <w:rPr>
                      <w:rFonts w:ascii="Arial"/>
                      <w:sz w:val="21"/>
                    </w:rPr>
                  </w:pPr>
                  <w:r/>
                </w:p>
              </w:tc>
              <w:tc>
                <w:tcPr>
                  <w:tcW w:w="639" w:type="dxa"/>
                  <w:vAlign w:val="top"/>
                  <w:vMerge w:val="continue"/>
                  <w:tcBorders>
                    <w:top w:val="nil"/>
                  </w:tcBorders>
                </w:tcPr>
                <w:p>
                  <w:pPr>
                    <w:rPr>
                      <w:rFonts w:ascii="Arial"/>
                      <w:sz w:val="21"/>
                    </w:rPr>
                  </w:pPr>
                  <w:r/>
                </w:p>
              </w:tc>
              <w:tc>
                <w:tcPr>
                  <w:tcW w:w="4074" w:type="dxa"/>
                  <w:vAlign w:val="top"/>
                </w:tcPr>
                <w:p>
                  <w:pPr>
                    <w:pStyle w:val="TableText"/>
                    <w:ind w:left="1611"/>
                    <w:spacing w:before="98" w:line="219" w:lineRule="auto"/>
                    <w:rPr/>
                  </w:pPr>
                  <w:r>
                    <w:rPr>
                      <w:spacing w:val="-10"/>
                    </w:rPr>
                    <w:t>时</w:t>
                  </w:r>
                  <w:r>
                    <w:rPr>
                      <w:spacing w:val="31"/>
                    </w:rPr>
                    <w:t xml:space="preserve"> </w:t>
                  </w:r>
                  <w:r>
                    <w:rPr>
                      <w:spacing w:val="-10"/>
                    </w:rPr>
                    <w:t>间</w:t>
                  </w:r>
                  <w:r>
                    <w:rPr>
                      <w:spacing w:val="18"/>
                    </w:rPr>
                    <w:t xml:space="preserve"> </w:t>
                  </w:r>
                  <w:r>
                    <w:rPr>
                      <w:spacing w:val="-10"/>
                    </w:rPr>
                    <w:t>频</w:t>
                  </w:r>
                  <w:r>
                    <w:rPr>
                      <w:spacing w:val="19"/>
                    </w:rPr>
                    <w:t xml:space="preserve"> </w:t>
                  </w:r>
                  <w:r>
                    <w:rPr>
                      <w:spacing w:val="-10"/>
                    </w:rPr>
                    <w:t>率</w:t>
                  </w:r>
                </w:p>
              </w:tc>
              <w:tc>
                <w:tcPr>
                  <w:tcW w:w="1793" w:type="dxa"/>
                  <w:vAlign w:val="top"/>
                </w:tcPr>
                <w:p>
                  <w:pPr>
                    <w:pStyle w:val="TableText"/>
                    <w:ind w:left="488"/>
                    <w:spacing w:before="97" w:line="219" w:lineRule="auto"/>
                    <w:rPr/>
                  </w:pPr>
                  <w:r>
                    <w:rPr>
                      <w:spacing w:val="-6"/>
                    </w:rPr>
                    <w:t>发</w:t>
                  </w:r>
                  <w:r>
                    <w:rPr>
                      <w:spacing w:val="19"/>
                    </w:rPr>
                    <w:t xml:space="preserve"> </w:t>
                  </w:r>
                  <w:r>
                    <w:rPr>
                      <w:spacing w:val="-6"/>
                    </w:rPr>
                    <w:t>生</w:t>
                  </w:r>
                  <w:r>
                    <w:rPr>
                      <w:spacing w:val="15"/>
                    </w:rPr>
                    <w:t xml:space="preserve"> </w:t>
                  </w:r>
                  <w:r>
                    <w:rPr>
                      <w:spacing w:val="-6"/>
                    </w:rPr>
                    <w:t>机</w:t>
                  </w:r>
                  <w:r>
                    <w:rPr>
                      <w:spacing w:val="18"/>
                    </w:rPr>
                    <w:t xml:space="preserve"> </w:t>
                  </w:r>
                  <w:r>
                    <w:rPr>
                      <w:spacing w:val="-6"/>
                    </w:rPr>
                    <w:t>率</w:t>
                  </w:r>
                </w:p>
              </w:tc>
            </w:tr>
            <w:tr>
              <w:trPr>
                <w:trHeight w:val="589" w:hRule="atLeast"/>
              </w:trPr>
              <w:tc>
                <w:tcPr>
                  <w:tcW w:w="654" w:type="dxa"/>
                  <w:vAlign w:val="top"/>
                </w:tcPr>
                <w:p>
                  <w:pPr>
                    <w:pStyle w:val="TableText"/>
                    <w:ind w:left="275"/>
                    <w:spacing w:before="258" w:line="182" w:lineRule="auto"/>
                    <w:rPr/>
                  </w:pPr>
                  <w:r>
                    <w:rPr/>
                    <w:t>5</w:t>
                  </w:r>
                </w:p>
              </w:tc>
              <w:tc>
                <w:tcPr>
                  <w:tcW w:w="639" w:type="dxa"/>
                  <w:vAlign w:val="top"/>
                </w:tcPr>
                <w:p>
                  <w:pPr>
                    <w:pStyle w:val="TableText"/>
                    <w:ind w:left="161"/>
                    <w:spacing w:before="219" w:line="219" w:lineRule="auto"/>
                    <w:rPr/>
                  </w:pPr>
                  <w:r>
                    <w:rPr>
                      <w:spacing w:val="-2"/>
                    </w:rPr>
                    <w:t>很高</w:t>
                  </w:r>
                </w:p>
              </w:tc>
              <w:tc>
                <w:tcPr>
                  <w:tcW w:w="4074" w:type="dxa"/>
                  <w:vAlign w:val="top"/>
                </w:tcPr>
                <w:p>
                  <w:pPr>
                    <w:pStyle w:val="TableText"/>
                    <w:ind w:left="121" w:right="274" w:firstLine="140"/>
                    <w:spacing w:before="98" w:line="277" w:lineRule="auto"/>
                    <w:rPr/>
                  </w:pPr>
                  <w:r>
                    <w:rPr/>
                    <w:t>出现的频率很高(或≥1次/日);或在大多数情况下几乎</w:t>
                  </w:r>
                  <w:r>
                    <w:rPr>
                      <w:spacing w:val="1"/>
                    </w:rPr>
                    <w:t xml:space="preserve"> </w:t>
                  </w:r>
                  <w:r>
                    <w:rPr>
                      <w:spacing w:val="-1"/>
                    </w:rPr>
                    <w:t>不可避免；或可以证实经常发生</w:t>
                  </w:r>
                </w:p>
              </w:tc>
              <w:tc>
                <w:tcPr>
                  <w:tcW w:w="1793" w:type="dxa"/>
                  <w:vAlign w:val="top"/>
                </w:tcPr>
                <w:p>
                  <w:pPr>
                    <w:pStyle w:val="TableText"/>
                    <w:ind w:left="267"/>
                    <w:spacing w:before="219" w:line="220" w:lineRule="auto"/>
                    <w:rPr/>
                  </w:pPr>
                  <w:r>
                    <w:rPr>
                      <w:spacing w:val="2"/>
                    </w:rPr>
                    <w:t>不可避免(≥99%)</w:t>
                  </w:r>
                </w:p>
              </w:tc>
            </w:tr>
            <w:tr>
              <w:trPr>
                <w:trHeight w:val="589" w:hRule="atLeast"/>
              </w:trPr>
              <w:tc>
                <w:tcPr>
                  <w:tcW w:w="654" w:type="dxa"/>
                  <w:vAlign w:val="top"/>
                </w:tcPr>
                <w:p>
                  <w:pPr>
                    <w:pStyle w:val="TableText"/>
                    <w:ind w:left="275"/>
                    <w:spacing w:before="258" w:line="183" w:lineRule="auto"/>
                    <w:rPr/>
                  </w:pPr>
                  <w:r>
                    <w:rPr/>
                    <w:t>4</w:t>
                  </w:r>
                </w:p>
              </w:tc>
              <w:tc>
                <w:tcPr>
                  <w:tcW w:w="639" w:type="dxa"/>
                  <w:vAlign w:val="top"/>
                </w:tcPr>
                <w:p>
                  <w:pPr>
                    <w:pStyle w:val="TableText"/>
                    <w:ind w:left="231"/>
                    <w:spacing w:before="220" w:line="219" w:lineRule="auto"/>
                    <w:rPr/>
                  </w:pPr>
                  <w:r>
                    <w:rPr/>
                    <w:t>高</w:t>
                  </w:r>
                </w:p>
              </w:tc>
              <w:tc>
                <w:tcPr>
                  <w:tcW w:w="4074" w:type="dxa"/>
                  <w:vAlign w:val="top"/>
                </w:tcPr>
                <w:p>
                  <w:pPr>
                    <w:pStyle w:val="TableText"/>
                    <w:ind w:left="111" w:right="264" w:firstLine="160"/>
                    <w:spacing w:before="100" w:line="281" w:lineRule="auto"/>
                    <w:rPr/>
                  </w:pPr>
                  <w:r>
                    <w:rPr/>
                    <w:t>出现的频率较高(或≥1次/周);或在大多数情况下很有</w:t>
                  </w:r>
                  <w:r>
                    <w:rPr>
                      <w:spacing w:val="1"/>
                    </w:rPr>
                    <w:t xml:space="preserve"> </w:t>
                  </w:r>
                  <w:r>
                    <w:rPr>
                      <w:spacing w:val="-1"/>
                    </w:rPr>
                    <w:t>可能会发生；或可以证实多次发生过</w:t>
                  </w:r>
                </w:p>
              </w:tc>
              <w:tc>
                <w:tcPr>
                  <w:tcW w:w="1793" w:type="dxa"/>
                  <w:vAlign w:val="top"/>
                </w:tcPr>
                <w:p>
                  <w:pPr>
                    <w:pStyle w:val="TableText"/>
                    <w:ind w:left="88" w:right="305" w:firstLine="189"/>
                    <w:spacing w:before="101" w:line="278" w:lineRule="auto"/>
                    <w:rPr/>
                  </w:pPr>
                  <w:r>
                    <w:rPr>
                      <w:spacing w:val="7"/>
                    </w:rPr>
                    <w:t>非常有可能(90%~</w:t>
                  </w:r>
                  <w:r>
                    <w:rPr>
                      <w:spacing w:val="3"/>
                    </w:rPr>
                    <w:t xml:space="preserve"> </w:t>
                  </w:r>
                  <w:r>
                    <w:rPr>
                      <w:spacing w:val="-2"/>
                    </w:rPr>
                    <w:t>99%)</w:t>
                  </w:r>
                </w:p>
              </w:tc>
            </w:tr>
            <w:tr>
              <w:trPr>
                <w:trHeight w:val="588" w:hRule="atLeast"/>
              </w:trPr>
              <w:tc>
                <w:tcPr>
                  <w:tcW w:w="654" w:type="dxa"/>
                  <w:vAlign w:val="top"/>
                </w:tcPr>
                <w:p>
                  <w:pPr>
                    <w:pStyle w:val="TableText"/>
                    <w:ind w:left="275"/>
                    <w:spacing w:before="259" w:line="183" w:lineRule="auto"/>
                    <w:rPr/>
                  </w:pPr>
                  <w:r>
                    <w:rPr/>
                    <w:t>3</w:t>
                  </w:r>
                </w:p>
              </w:tc>
              <w:tc>
                <w:tcPr>
                  <w:tcW w:w="639" w:type="dxa"/>
                  <w:vAlign w:val="top"/>
                </w:tcPr>
                <w:p>
                  <w:pPr>
                    <w:pStyle w:val="TableText"/>
                    <w:ind w:left="231"/>
                    <w:spacing w:before="221" w:line="220" w:lineRule="auto"/>
                    <w:rPr/>
                  </w:pPr>
                  <w:r>
                    <w:rPr/>
                    <w:t>中</w:t>
                  </w:r>
                </w:p>
              </w:tc>
              <w:tc>
                <w:tcPr>
                  <w:tcW w:w="4074" w:type="dxa"/>
                  <w:vAlign w:val="top"/>
                </w:tcPr>
                <w:p>
                  <w:pPr>
                    <w:pStyle w:val="TableText"/>
                    <w:ind w:left="111" w:right="275" w:firstLine="150"/>
                    <w:spacing w:before="100" w:line="276" w:lineRule="auto"/>
                    <w:rPr/>
                  </w:pPr>
                  <w:r>
                    <w:rPr/>
                    <w:t>出现的频率中等(或≥1次/月);或在某种情况下可能会 </w:t>
                  </w:r>
                  <w:r>
                    <w:rPr>
                      <w:spacing w:val="-1"/>
                    </w:rPr>
                    <w:t>发生；或被证实曾经发生过</w:t>
                  </w:r>
                </w:p>
              </w:tc>
              <w:tc>
                <w:tcPr>
                  <w:tcW w:w="1793" w:type="dxa"/>
                  <w:vAlign w:val="top"/>
                </w:tcPr>
                <w:p>
                  <w:pPr>
                    <w:pStyle w:val="TableText"/>
                    <w:ind w:left="267"/>
                    <w:spacing w:before="222" w:line="221" w:lineRule="auto"/>
                    <w:rPr/>
                  </w:pPr>
                  <w:r>
                    <w:rPr>
                      <w:spacing w:val="2"/>
                    </w:rPr>
                    <w:t>可能(10%～90%)</w:t>
                  </w:r>
                </w:p>
              </w:tc>
            </w:tr>
            <w:tr>
              <w:trPr>
                <w:trHeight w:val="598" w:hRule="atLeast"/>
              </w:trPr>
              <w:tc>
                <w:tcPr>
                  <w:tcW w:w="654" w:type="dxa"/>
                  <w:vAlign w:val="top"/>
                </w:tcPr>
                <w:p>
                  <w:pPr>
                    <w:pStyle w:val="TableText"/>
                    <w:ind w:left="275"/>
                    <w:spacing w:before="271" w:line="183" w:lineRule="auto"/>
                    <w:rPr/>
                  </w:pPr>
                  <w:r>
                    <w:rPr/>
                    <w:t>2</w:t>
                  </w:r>
                </w:p>
              </w:tc>
              <w:tc>
                <w:tcPr>
                  <w:tcW w:w="639" w:type="dxa"/>
                  <w:vAlign w:val="top"/>
                </w:tcPr>
                <w:p>
                  <w:pPr>
                    <w:pStyle w:val="TableText"/>
                    <w:ind w:left="231"/>
                    <w:spacing w:before="234" w:line="221" w:lineRule="auto"/>
                    <w:rPr/>
                  </w:pPr>
                  <w:r>
                    <w:rPr/>
                    <w:t>低</w:t>
                  </w:r>
                </w:p>
              </w:tc>
              <w:tc>
                <w:tcPr>
                  <w:tcW w:w="4074" w:type="dxa"/>
                  <w:vAlign w:val="top"/>
                </w:tcPr>
                <w:p>
                  <w:pPr>
                    <w:pStyle w:val="TableText"/>
                    <w:ind w:left="262" w:right="206"/>
                    <w:spacing w:before="113" w:line="281" w:lineRule="auto"/>
                    <w:rPr/>
                  </w:pPr>
                  <w:r>
                    <w:rPr>
                      <w:spacing w:val="2"/>
                    </w:rPr>
                    <w:t>出现的频率较小(或≥1次/年);或一般不太可能发生；</w:t>
                  </w:r>
                  <w:r>
                    <w:rPr>
                      <w:spacing w:val="17"/>
                    </w:rPr>
                    <w:t xml:space="preserve"> </w:t>
                  </w:r>
                  <w:r>
                    <w:rPr>
                      <w:spacing w:val="-1"/>
                    </w:rPr>
                    <w:t>或在某种情况下可能会发生</w:t>
                  </w:r>
                </w:p>
              </w:tc>
              <w:tc>
                <w:tcPr>
                  <w:tcW w:w="1793" w:type="dxa"/>
                  <w:vAlign w:val="top"/>
                </w:tcPr>
                <w:p>
                  <w:pPr>
                    <w:pStyle w:val="TableText"/>
                    <w:ind w:left="278"/>
                    <w:spacing w:before="233" w:line="220" w:lineRule="auto"/>
                    <w:rPr/>
                  </w:pPr>
                  <w:r>
                    <w:rPr>
                      <w:spacing w:val="2"/>
                    </w:rPr>
                    <w:t>可能性很小(1～10%)</w:t>
                  </w:r>
                </w:p>
              </w:tc>
            </w:tr>
            <w:tr>
              <w:trPr>
                <w:trHeight w:val="604" w:hRule="atLeast"/>
              </w:trPr>
              <w:tc>
                <w:tcPr>
                  <w:tcW w:w="654" w:type="dxa"/>
                  <w:vAlign w:val="top"/>
                </w:tcPr>
                <w:p>
                  <w:pPr>
                    <w:pStyle w:val="TableText"/>
                    <w:ind w:left="275"/>
                    <w:spacing w:before="273" w:line="184" w:lineRule="auto"/>
                    <w:rPr/>
                  </w:pPr>
                  <w:r>
                    <w:rPr/>
                    <w:t>1</w:t>
                  </w:r>
                </w:p>
              </w:tc>
              <w:tc>
                <w:tcPr>
                  <w:tcW w:w="639" w:type="dxa"/>
                  <w:vAlign w:val="top"/>
                </w:tcPr>
                <w:p>
                  <w:pPr>
                    <w:pStyle w:val="TableText"/>
                    <w:ind w:left="161"/>
                    <w:spacing w:before="235" w:line="220" w:lineRule="auto"/>
                    <w:rPr/>
                  </w:pPr>
                  <w:r>
                    <w:rPr>
                      <w:spacing w:val="-2"/>
                    </w:rPr>
                    <w:t>很低</w:t>
                  </w:r>
                </w:p>
              </w:tc>
              <w:tc>
                <w:tcPr>
                  <w:tcW w:w="4074" w:type="dxa"/>
                  <w:vAlign w:val="top"/>
                </w:tcPr>
                <w:p>
                  <w:pPr>
                    <w:pStyle w:val="TableText"/>
                    <w:ind w:left="121" w:right="207" w:firstLine="140"/>
                    <w:spacing w:before="114" w:line="276" w:lineRule="auto"/>
                    <w:rPr/>
                  </w:pPr>
                  <w:r>
                    <w:rPr>
                      <w:spacing w:val="-1"/>
                    </w:rPr>
                    <w:t>威胁几乎不可能发生，仅可能在非常罕见和例外的情况</w:t>
                  </w:r>
                  <w:r>
                    <w:rPr>
                      <w:spacing w:val="17"/>
                    </w:rPr>
                    <w:t xml:space="preserve"> </w:t>
                  </w:r>
                  <w:r>
                    <w:rPr>
                      <w:spacing w:val="-1"/>
                    </w:rPr>
                    <w:t>下发生，或没有被证实发生过</w:t>
                  </w:r>
                </w:p>
              </w:tc>
              <w:tc>
                <w:tcPr>
                  <w:tcW w:w="1793" w:type="dxa"/>
                  <w:vAlign w:val="top"/>
                </w:tcPr>
                <w:p>
                  <w:pPr>
                    <w:pStyle w:val="TableText"/>
                    <w:ind w:left="267"/>
                    <w:spacing w:before="235" w:line="221" w:lineRule="auto"/>
                    <w:rPr/>
                  </w:pPr>
                  <w:r>
                    <w:rPr>
                      <w:spacing w:val="4"/>
                    </w:rPr>
                    <w:t>不可能(≤1%)</w:t>
                  </w:r>
                </w:p>
              </w:tc>
            </w:tr>
          </w:tbl>
          <w:p>
            <w:pPr>
              <w:pStyle w:val="TableText"/>
              <w:ind w:left="140" w:right="183" w:firstLine="120"/>
              <w:spacing w:before="101" w:line="277" w:lineRule="auto"/>
              <w:rPr>
                <w:sz w:val="16"/>
                <w:szCs w:val="16"/>
              </w:rPr>
            </w:pPr>
            <w:r>
              <w:rPr>
                <w:sz w:val="16"/>
                <w:szCs w:val="16"/>
                <w:spacing w:val="-9"/>
              </w:rPr>
              <w:t>注：风险的影响或发生可能性根据赋值标准，可能适用两个或以上维度，这种情况下，赋值取这两个或</w:t>
            </w:r>
            <w:r>
              <w:rPr>
                <w:sz w:val="16"/>
                <w:szCs w:val="16"/>
                <w:spacing w:val="-10"/>
              </w:rPr>
              <w:t>多个维</w:t>
            </w:r>
            <w:r>
              <w:rPr>
                <w:sz w:val="16"/>
                <w:szCs w:val="16"/>
              </w:rPr>
              <w:t xml:space="preserve"> </w:t>
            </w:r>
            <w:r>
              <w:rPr>
                <w:sz w:val="16"/>
                <w:szCs w:val="16"/>
                <w:spacing w:val="-8"/>
              </w:rPr>
              <w:t>度赋值的最大值。</w:t>
            </w:r>
          </w:p>
          <w:p>
            <w:pPr>
              <w:pStyle w:val="TableText"/>
              <w:ind w:left="260"/>
              <w:spacing w:before="110" w:line="220" w:lineRule="auto"/>
              <w:rPr>
                <w:sz w:val="16"/>
                <w:szCs w:val="16"/>
              </w:rPr>
            </w:pPr>
            <w:r>
              <w:rPr>
                <w:sz w:val="16"/>
                <w:szCs w:val="16"/>
                <w:spacing w:val="-11"/>
              </w:rPr>
              <w:t>5.2.5</w:t>
            </w:r>
            <w:r>
              <w:rPr>
                <w:sz w:val="16"/>
                <w:szCs w:val="16"/>
                <w:spacing w:val="57"/>
              </w:rPr>
              <w:t xml:space="preserve"> </w:t>
            </w:r>
            <w:r>
              <w:rPr>
                <w:sz w:val="16"/>
                <w:szCs w:val="16"/>
                <w:spacing w:val="-11"/>
              </w:rPr>
              <w:t>确定风险可接受标准</w:t>
            </w:r>
          </w:p>
          <w:p>
            <w:pPr>
              <w:pStyle w:val="TableText"/>
              <w:ind w:left="260" w:right="3669"/>
              <w:spacing w:before="87" w:line="289" w:lineRule="auto"/>
              <w:rPr>
                <w:sz w:val="16"/>
                <w:szCs w:val="16"/>
              </w:rPr>
            </w:pPr>
            <w:r>
              <w:rPr>
                <w:sz w:val="16"/>
                <w:szCs w:val="16"/>
                <w:spacing w:val="-6"/>
              </w:rPr>
              <w:t>(1)风险等级采用分值计算表示：分值越大</w:t>
            </w:r>
            <w:r>
              <w:rPr>
                <w:sz w:val="16"/>
                <w:szCs w:val="16"/>
                <w:spacing w:val="-7"/>
              </w:rPr>
              <w:t>，风险越高；</w:t>
            </w:r>
            <w:r>
              <w:rPr>
                <w:sz w:val="16"/>
                <w:szCs w:val="16"/>
              </w:rPr>
              <w:t xml:space="preserve"> </w:t>
            </w:r>
            <w:r>
              <w:rPr>
                <w:sz w:val="16"/>
                <w:szCs w:val="16"/>
              </w:rPr>
              <w:t>(2)风险等级：</w:t>
            </w:r>
          </w:p>
          <w:p>
            <w:pPr>
              <w:spacing w:line="159" w:lineRule="exact"/>
              <w:rPr/>
            </w:pPr>
            <w:r/>
          </w:p>
          <w:tbl>
            <w:tblPr>
              <w:tblStyle w:val="TableNormal"/>
              <w:tblW w:w="715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82"/>
              <w:gridCol w:w="1248"/>
              <w:gridCol w:w="4329"/>
            </w:tblGrid>
            <w:tr>
              <w:trPr>
                <w:trHeight w:val="353" w:hRule="atLeast"/>
              </w:trPr>
              <w:tc>
                <w:tcPr>
                  <w:tcW w:w="1582" w:type="dxa"/>
                  <w:vAlign w:val="top"/>
                </w:tcPr>
                <w:p>
                  <w:pPr>
                    <w:pStyle w:val="TableText"/>
                    <w:ind w:left="514"/>
                    <w:spacing w:before="101" w:line="219" w:lineRule="auto"/>
                    <w:rPr/>
                  </w:pPr>
                  <w:r>
                    <w:rPr>
                      <w:spacing w:val="-4"/>
                    </w:rPr>
                    <w:t>赋</w:t>
                  </w:r>
                  <w:r>
                    <w:rPr>
                      <w:spacing w:val="1"/>
                    </w:rPr>
                    <w:t xml:space="preserve">   </w:t>
                  </w:r>
                  <w:r>
                    <w:rPr>
                      <w:spacing w:val="-4"/>
                    </w:rPr>
                    <w:t>值</w:t>
                  </w:r>
                </w:p>
              </w:tc>
              <w:tc>
                <w:tcPr>
                  <w:tcW w:w="1248" w:type="dxa"/>
                  <w:vAlign w:val="top"/>
                </w:tcPr>
                <w:p>
                  <w:pPr>
                    <w:pStyle w:val="TableText"/>
                    <w:ind w:left="352"/>
                    <w:spacing w:before="101" w:line="220" w:lineRule="auto"/>
                    <w:rPr/>
                  </w:pPr>
                  <w:r>
                    <w:rPr>
                      <w:spacing w:val="-5"/>
                    </w:rPr>
                    <w:t>级</w:t>
                  </w:r>
                  <w:r>
                    <w:rPr>
                      <w:spacing w:val="2"/>
                    </w:rPr>
                    <w:t xml:space="preserve">   </w:t>
                  </w:r>
                  <w:r>
                    <w:rPr>
                      <w:spacing w:val="-5"/>
                    </w:rPr>
                    <w:t>别</w:t>
                  </w:r>
                </w:p>
              </w:tc>
              <w:tc>
                <w:tcPr>
                  <w:tcW w:w="4329" w:type="dxa"/>
                  <w:vAlign w:val="top"/>
                </w:tcPr>
                <w:p>
                  <w:pPr>
                    <w:pStyle w:val="TableText"/>
                    <w:ind w:left="1895"/>
                    <w:spacing w:before="103" w:line="221" w:lineRule="auto"/>
                    <w:rPr/>
                  </w:pPr>
                  <w:r>
                    <w:rPr>
                      <w:spacing w:val="-4"/>
                    </w:rPr>
                    <w:t>描</w:t>
                  </w:r>
                  <w:r>
                    <w:rPr>
                      <w:spacing w:val="1"/>
                    </w:rPr>
                    <w:t xml:space="preserve">   </w:t>
                  </w:r>
                  <w:r>
                    <w:rPr>
                      <w:spacing w:val="-4"/>
                    </w:rPr>
                    <w:t>述</w:t>
                  </w:r>
                </w:p>
              </w:tc>
            </w:tr>
            <w:tr>
              <w:trPr>
                <w:trHeight w:val="338" w:hRule="atLeast"/>
              </w:trPr>
              <w:tc>
                <w:tcPr>
                  <w:tcW w:w="1582" w:type="dxa"/>
                  <w:vAlign w:val="top"/>
                </w:tcPr>
                <w:p>
                  <w:pPr>
                    <w:pStyle w:val="TableText"/>
                    <w:ind w:left="444"/>
                    <w:spacing w:before="96" w:line="216" w:lineRule="auto"/>
                    <w:rPr/>
                  </w:pPr>
                  <w:r>
                    <w:rPr>
                      <w:spacing w:val="-3"/>
                    </w:rPr>
                    <w:t>≥36,&lt;125</w:t>
                  </w:r>
                </w:p>
              </w:tc>
              <w:tc>
                <w:tcPr>
                  <w:tcW w:w="1248" w:type="dxa"/>
                  <w:vAlign w:val="top"/>
                </w:tcPr>
                <w:p>
                  <w:pPr>
                    <w:pStyle w:val="TableText"/>
                    <w:ind w:left="542"/>
                    <w:spacing w:before="98" w:line="219" w:lineRule="auto"/>
                    <w:rPr/>
                  </w:pPr>
                  <w:r>
                    <w:rPr/>
                    <w:t>高</w:t>
                  </w:r>
                </w:p>
              </w:tc>
              <w:tc>
                <w:tcPr>
                  <w:tcW w:w="4329" w:type="dxa"/>
                  <w:vAlign w:val="top"/>
                </w:tcPr>
                <w:p>
                  <w:pPr>
                    <w:pStyle w:val="TableText"/>
                    <w:ind w:left="285"/>
                    <w:spacing w:before="98" w:line="219" w:lineRule="auto"/>
                    <w:rPr/>
                  </w:pPr>
                  <w:r>
                    <w:rPr>
                      <w:spacing w:val="-1"/>
                    </w:rPr>
                    <w:t>如果发生将使资产遭受严重破坏，组织利益受到严重损失</w:t>
                  </w:r>
                </w:p>
              </w:tc>
            </w:tr>
            <w:tr>
              <w:trPr>
                <w:trHeight w:val="347" w:hRule="atLeast"/>
              </w:trPr>
              <w:tc>
                <w:tcPr>
                  <w:tcW w:w="1582" w:type="dxa"/>
                  <w:vAlign w:val="top"/>
                </w:tcPr>
                <w:p>
                  <w:pPr>
                    <w:pStyle w:val="TableText"/>
                    <w:ind w:left="484"/>
                    <w:spacing w:before="98" w:line="216" w:lineRule="auto"/>
                    <w:rPr/>
                  </w:pPr>
                  <w:r>
                    <w:rPr>
                      <w:spacing w:val="-3"/>
                    </w:rPr>
                    <w:t>≥16,&lt;36</w:t>
                  </w:r>
                </w:p>
              </w:tc>
              <w:tc>
                <w:tcPr>
                  <w:tcW w:w="1248" w:type="dxa"/>
                  <w:vAlign w:val="top"/>
                </w:tcPr>
                <w:p>
                  <w:pPr>
                    <w:pStyle w:val="TableText"/>
                    <w:ind w:left="542"/>
                    <w:spacing w:before="100" w:line="220" w:lineRule="auto"/>
                    <w:rPr/>
                  </w:pPr>
                  <w:r>
                    <w:rPr/>
                    <w:t>中</w:t>
                  </w:r>
                </w:p>
              </w:tc>
              <w:tc>
                <w:tcPr>
                  <w:tcW w:w="4329" w:type="dxa"/>
                  <w:vAlign w:val="top"/>
                </w:tcPr>
                <w:p>
                  <w:pPr>
                    <w:pStyle w:val="TableText"/>
                    <w:ind w:left="264"/>
                    <w:spacing w:before="100" w:line="219" w:lineRule="auto"/>
                    <w:rPr/>
                  </w:pPr>
                  <w:r>
                    <w:rPr>
                      <w:spacing w:val="-1"/>
                    </w:rPr>
                    <w:t>发生后将使资产受到较重破坏，组织利益受到损失</w:t>
                  </w:r>
                </w:p>
              </w:tc>
            </w:tr>
            <w:tr>
              <w:trPr>
                <w:trHeight w:val="362" w:hRule="atLeast"/>
              </w:trPr>
              <w:tc>
                <w:tcPr>
                  <w:tcW w:w="1582" w:type="dxa"/>
                  <w:vAlign w:val="top"/>
                </w:tcPr>
                <w:p>
                  <w:pPr>
                    <w:pStyle w:val="TableText"/>
                    <w:ind w:left="664"/>
                    <w:spacing w:before="127"/>
                    <w:rPr/>
                  </w:pPr>
                  <w:r>
                    <w:rPr>
                      <w:spacing w:val="-3"/>
                    </w:rPr>
                    <w:t>&lt;16</w:t>
                  </w:r>
                </w:p>
              </w:tc>
              <w:tc>
                <w:tcPr>
                  <w:tcW w:w="1248" w:type="dxa"/>
                  <w:vAlign w:val="top"/>
                </w:tcPr>
                <w:p>
                  <w:pPr>
                    <w:pStyle w:val="TableText"/>
                    <w:ind w:left="542"/>
                    <w:spacing w:before="114" w:line="221" w:lineRule="auto"/>
                    <w:rPr/>
                  </w:pPr>
                  <w:r>
                    <w:rPr/>
                    <w:t>低</w:t>
                  </w:r>
                </w:p>
              </w:tc>
              <w:tc>
                <w:tcPr>
                  <w:tcW w:w="4329" w:type="dxa"/>
                  <w:vAlign w:val="top"/>
                </w:tcPr>
                <w:p>
                  <w:pPr>
                    <w:pStyle w:val="TableText"/>
                    <w:ind w:left="285"/>
                    <w:spacing w:before="113" w:line="219" w:lineRule="auto"/>
                    <w:rPr/>
                  </w:pPr>
                  <w:r>
                    <w:rPr>
                      <w:spacing w:val="-1"/>
                    </w:rPr>
                    <w:t>发生后将使资产受到轻微的破坏，组织利益受到轻微损失</w:t>
                  </w:r>
                </w:p>
              </w:tc>
            </w:tr>
          </w:tbl>
          <w:p>
            <w:pPr>
              <w:rPr>
                <w:rFonts w:ascii="Arial"/>
                <w:sz w:val="21"/>
              </w:rPr>
            </w:pPr>
            <w:r/>
          </w:p>
        </w:tc>
      </w:tr>
    </w:tbl>
    <w:p>
      <w:pPr>
        <w:pStyle w:val="BodyText"/>
        <w:rPr/>
      </w:pPr>
      <w:r/>
    </w:p>
    <w:p>
      <w:pPr>
        <w:sectPr>
          <w:footerReference w:type="default" r:id="rId427"/>
          <w:pgSz w:w="8870" w:h="13400"/>
          <w:pgMar w:top="400" w:right="390" w:bottom="567" w:left="470" w:header="0" w:footer="358" w:gutter="0"/>
        </w:sectPr>
        <w:rPr/>
      </w:pPr>
    </w:p>
    <w:p>
      <w:pPr>
        <w:ind w:left="5738"/>
        <w:spacing w:before="165" w:line="590" w:lineRule="exact"/>
        <w:rPr>
          <w:rFonts w:ascii="SimSun" w:hAnsi="SimSun" w:eastAsia="SimSun" w:cs="SimSun"/>
          <w:sz w:val="22"/>
          <w:szCs w:val="22"/>
        </w:rPr>
      </w:pPr>
      <w:bookmarkStart w:name="bookmark81" w:id="76"/>
      <w:bookmarkEnd w:id="76"/>
      <w:r>
        <w:rPr>
          <w:rFonts w:ascii="SimSun" w:hAnsi="SimSun" w:eastAsia="SimSun" w:cs="SimSun"/>
          <w:sz w:val="22"/>
          <w:szCs w:val="22"/>
          <w:b/>
          <w:bCs/>
          <w:spacing w:val="9"/>
          <w:position w:val="28"/>
        </w:rPr>
        <w:t>第9章■安全与隐私</w:t>
      </w:r>
    </w:p>
    <w:p>
      <w:pPr>
        <w:ind w:left="694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68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4769" w:hRule="atLeast"/>
        </w:trPr>
        <w:tc>
          <w:tcPr>
            <w:tcW w:w="7680" w:type="dxa"/>
            <w:vAlign w:val="top"/>
          </w:tcPr>
          <w:p>
            <w:pPr>
              <w:pStyle w:val="TableText"/>
              <w:ind w:left="254"/>
              <w:spacing w:before="81" w:line="220" w:lineRule="auto"/>
              <w:rPr/>
            </w:pPr>
            <w:r>
              <w:rPr>
                <w:spacing w:val="-1"/>
              </w:rPr>
              <w:t>5.2.8  控制措施有效性测量</w:t>
            </w:r>
          </w:p>
          <w:p>
            <w:pPr>
              <w:pStyle w:val="TableText"/>
              <w:ind w:left="125" w:firstLine="139"/>
              <w:spacing w:before="101" w:line="281" w:lineRule="auto"/>
              <w:rPr/>
            </w:pPr>
            <w:r>
              <w:rPr>
                <w:spacing w:val="-2"/>
              </w:rPr>
              <w:t>在风险控制措施全部或部分实施完成后，信息安全组可以组织人员对风险控制措施的有效性进行测量；可以测量全</w:t>
            </w:r>
            <w:r>
              <w:rPr>
                <w:spacing w:val="4"/>
              </w:rPr>
              <w:t xml:space="preserve"> </w:t>
            </w:r>
            <w:r>
              <w:rPr/>
              <w:t>部的控制措施，也可以测量部分的控制措施，出于时间和经济成本的考虑，建议选取主要的</w:t>
            </w:r>
            <w:r>
              <w:rPr>
                <w:spacing w:val="-1"/>
              </w:rPr>
              <w:t>控制措施进行测量。</w:t>
            </w:r>
          </w:p>
          <w:p>
            <w:pPr>
              <w:pStyle w:val="TableText"/>
              <w:ind w:left="254"/>
              <w:spacing w:before="101" w:line="218" w:lineRule="auto"/>
              <w:rPr/>
            </w:pPr>
            <w:r>
              <w:rPr>
                <w:spacing w:val="-1"/>
              </w:rPr>
              <w:t>5.2.9风险评估更新</w:t>
            </w:r>
          </w:p>
          <w:p>
            <w:pPr>
              <w:pStyle w:val="TableText"/>
              <w:ind w:left="265"/>
              <w:spacing w:before="92" w:line="218" w:lineRule="auto"/>
              <w:rPr/>
            </w:pPr>
            <w:r>
              <w:rPr/>
              <w:t>风险评估需要至少每年进行一次，重新进行风险评估时，各部门需要对本公司信息资产登记</w:t>
            </w:r>
            <w:r>
              <w:rPr>
                <w:spacing w:val="-1"/>
              </w:rPr>
              <w:t>表和风险管理表进</w:t>
            </w:r>
          </w:p>
          <w:p>
            <w:pPr>
              <w:pStyle w:val="TableText"/>
              <w:ind w:left="125"/>
              <w:spacing w:before="123" w:line="281" w:lineRule="exact"/>
              <w:rPr/>
            </w:pPr>
            <w:r>
              <w:rPr>
                <w:spacing w:val="-1"/>
                <w:position w:val="10"/>
              </w:rPr>
              <w:t>行更新。在发生以下情况时，可以增加风险评估次数。</w:t>
            </w:r>
          </w:p>
          <w:p>
            <w:pPr>
              <w:pStyle w:val="TableText"/>
              <w:ind w:left="254"/>
              <w:spacing w:line="219" w:lineRule="auto"/>
              <w:rPr/>
            </w:pPr>
            <w:r>
              <w:rPr>
                <w:spacing w:val="4"/>
              </w:rPr>
              <w:t>(1)当信息系统发生重大变更时；</w:t>
            </w:r>
          </w:p>
          <w:p>
            <w:pPr>
              <w:pStyle w:val="TableText"/>
              <w:ind w:left="254"/>
              <w:spacing w:before="92" w:line="280" w:lineRule="exact"/>
              <w:rPr/>
            </w:pPr>
            <w:r>
              <w:rPr>
                <w:spacing w:val="3"/>
                <w:position w:val="9"/>
              </w:rPr>
              <w:t>(2)当公司业务或信息资产发生重大变化时；</w:t>
            </w:r>
          </w:p>
          <w:p>
            <w:pPr>
              <w:pStyle w:val="TableText"/>
              <w:ind w:left="254"/>
              <w:spacing w:line="219" w:lineRule="auto"/>
              <w:rPr/>
            </w:pPr>
            <w:r>
              <w:rPr>
                <w:spacing w:val="4"/>
              </w:rPr>
              <w:t>(3)发生严重信息安全事件时；</w:t>
            </w:r>
          </w:p>
          <w:p>
            <w:pPr>
              <w:pStyle w:val="TableText"/>
              <w:ind w:left="254"/>
              <w:spacing w:before="103" w:line="220" w:lineRule="auto"/>
              <w:rPr/>
            </w:pPr>
            <w:r>
              <w:rPr>
                <w:spacing w:val="-1"/>
              </w:rPr>
              <w:t>(4)企业认为有必要时。</w:t>
            </w:r>
          </w:p>
          <w:p>
            <w:pPr>
              <w:pStyle w:val="TableText"/>
              <w:ind w:left="254"/>
              <w:spacing w:before="101" w:line="220" w:lineRule="auto"/>
              <w:rPr/>
            </w:pPr>
            <w:r>
              <w:rPr>
                <w:spacing w:val="-1"/>
              </w:rPr>
              <w:t>5.2.10残余风险处置</w:t>
            </w:r>
          </w:p>
          <w:p>
            <w:pPr>
              <w:pStyle w:val="TableText"/>
              <w:ind w:left="265"/>
              <w:spacing w:before="110" w:line="219" w:lineRule="auto"/>
              <w:rPr/>
            </w:pPr>
            <w:r>
              <w:rPr/>
              <w:t>(1)对于低于风险可接受标准的残余风险，本公司接受这样的风险，也可以继续采取措施，进一步减少</w:t>
            </w:r>
          </w:p>
          <w:p>
            <w:pPr>
              <w:pStyle w:val="TableText"/>
              <w:ind w:left="104"/>
              <w:spacing w:before="83" w:line="220" w:lineRule="auto"/>
              <w:rPr/>
            </w:pPr>
            <w:r>
              <w:rPr>
                <w:spacing w:val="17"/>
              </w:rPr>
              <w:t>该风险</w:t>
            </w:r>
            <w:r>
              <w:rPr>
                <w:spacing w:val="-34"/>
              </w:rPr>
              <w:t xml:space="preserve"> </w:t>
            </w:r>
            <w:r>
              <w:rPr>
                <w:spacing w:val="17"/>
              </w:rPr>
              <w:t>；</w:t>
            </w:r>
          </w:p>
          <w:p>
            <w:pPr>
              <w:pStyle w:val="TableText"/>
              <w:ind w:left="254"/>
              <w:spacing w:before="110" w:line="219" w:lineRule="auto"/>
              <w:rPr/>
            </w:pPr>
            <w:r>
              <w:rPr/>
              <w:t>(2)对于高于本公司风险可接受标准的残余风险，由于费用或技术等原因不能增加新的控制措施，经云计算安</w:t>
            </w:r>
          </w:p>
          <w:p>
            <w:pPr>
              <w:pStyle w:val="TableText"/>
              <w:ind w:left="254"/>
              <w:spacing w:before="102" w:line="219" w:lineRule="auto"/>
              <w:rPr/>
            </w:pPr>
            <w:r>
              <w:rPr/>
              <w:t>全管理委员会批准可以决定暂时接受此风险，并由云计算安全管理组组织人员积极跟踪相关技术</w:t>
            </w:r>
            <w:r>
              <w:rPr>
                <w:spacing w:val="-1"/>
              </w:rPr>
              <w:t>和产品的发展情</w:t>
            </w:r>
          </w:p>
          <w:p>
            <w:pPr>
              <w:pStyle w:val="TableText"/>
              <w:ind w:left="104" w:right="72" w:firstLine="149"/>
              <w:spacing w:before="112" w:line="283" w:lineRule="auto"/>
              <w:rPr/>
            </w:pPr>
            <w:r>
              <w:rPr/>
              <w:t>况，以尽快采取新的技术或方法，降低风险；对于可以继续实施控制措施的，由各部门继续</w:t>
            </w:r>
            <w:r>
              <w:rPr>
                <w:spacing w:val="-1"/>
              </w:rPr>
              <w:t>实施相应的信息安全</w:t>
            </w:r>
            <w:r>
              <w:rPr/>
              <w:t xml:space="preserve"> </w:t>
            </w:r>
            <w:r>
              <w:rPr>
                <w:spacing w:val="-1"/>
              </w:rPr>
              <w:t>控制措施。</w:t>
            </w:r>
          </w:p>
        </w:tc>
      </w:tr>
    </w:tbl>
    <w:p>
      <w:pPr>
        <w:pStyle w:val="BodyText"/>
        <w:spacing w:line="330" w:lineRule="auto"/>
        <w:rPr/>
      </w:pPr>
      <w:r/>
    </w:p>
    <w:p>
      <w:pPr>
        <w:ind w:left="9"/>
        <w:spacing w:before="94" w:line="225" w:lineRule="auto"/>
        <w:outlineLvl w:val="3"/>
        <w:rPr>
          <w:rFonts w:ascii="YouYuan" w:hAnsi="YouYuan" w:eastAsia="YouYuan" w:cs="YouYuan"/>
          <w:sz w:val="29"/>
          <w:szCs w:val="29"/>
        </w:rPr>
      </w:pPr>
      <w:r>
        <w:rPr>
          <w:rFonts w:ascii="YouYuan" w:hAnsi="YouYuan" w:eastAsia="YouYuan" w:cs="YouYuan"/>
          <w:sz w:val="29"/>
          <w:szCs w:val="29"/>
          <w:b/>
          <w:bCs/>
          <w:spacing w:val="-5"/>
        </w:rPr>
        <w:t>9.2.2</w:t>
      </w:r>
      <w:r>
        <w:rPr>
          <w:rFonts w:ascii="YouYuan" w:hAnsi="YouYuan" w:eastAsia="YouYuan" w:cs="YouYuan"/>
          <w:sz w:val="29"/>
          <w:szCs w:val="29"/>
          <w:spacing w:val="112"/>
        </w:rPr>
        <w:t xml:space="preserve"> </w:t>
      </w:r>
      <w:r>
        <w:rPr>
          <w:rFonts w:ascii="YouYuan" w:hAnsi="YouYuan" w:eastAsia="YouYuan" w:cs="YouYuan"/>
          <w:sz w:val="29"/>
          <w:szCs w:val="29"/>
          <w:b/>
          <w:bCs/>
          <w:spacing w:val="-5"/>
        </w:rPr>
        <w:t>数据安全</w:t>
      </w:r>
    </w:p>
    <w:p>
      <w:pPr>
        <w:ind w:left="458"/>
        <w:spacing w:before="306" w:line="224" w:lineRule="auto"/>
        <w:outlineLvl w:val="4"/>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454"/>
        <w:spacing w:before="206" w:line="232" w:lineRule="auto"/>
        <w:rPr>
          <w:rFonts w:ascii="KaiTi" w:hAnsi="KaiTi" w:eastAsia="KaiTi" w:cs="KaiTi"/>
          <w:sz w:val="22"/>
          <w:szCs w:val="22"/>
        </w:rPr>
      </w:pPr>
      <w:r>
        <w:rPr>
          <w:rFonts w:ascii="KaiTi" w:hAnsi="KaiTi" w:eastAsia="KaiTi" w:cs="KaiTi"/>
          <w:sz w:val="22"/>
          <w:szCs w:val="22"/>
          <w:spacing w:val="15"/>
        </w:rPr>
        <w:t>1)目的</w:t>
      </w:r>
    </w:p>
    <w:p>
      <w:pPr>
        <w:ind w:left="34" w:right="211" w:firstLine="419"/>
        <w:spacing w:before="57" w:line="239" w:lineRule="auto"/>
        <w:rPr>
          <w:rFonts w:ascii="SimSun" w:hAnsi="SimSun" w:eastAsia="SimSun" w:cs="SimSun"/>
          <w:sz w:val="22"/>
          <w:szCs w:val="22"/>
        </w:rPr>
      </w:pPr>
      <w:r>
        <w:rPr>
          <w:rFonts w:ascii="SimSun" w:hAnsi="SimSun" w:eastAsia="SimSun" w:cs="SimSun"/>
          <w:sz w:val="22"/>
          <w:szCs w:val="22"/>
          <w:spacing w:val="-8"/>
        </w:rPr>
        <w:t>保护云端数据的安全，确保合适的人以正确的方式使用和更新数据，并限制所</w:t>
      </w:r>
      <w:r>
        <w:rPr>
          <w:rFonts w:ascii="SimSun" w:hAnsi="SimSun" w:eastAsia="SimSun" w:cs="SimSun"/>
          <w:sz w:val="22"/>
          <w:szCs w:val="22"/>
          <w:spacing w:val="8"/>
        </w:rPr>
        <w:t xml:space="preserve"> </w:t>
      </w:r>
      <w:r>
        <w:rPr>
          <w:rFonts w:ascii="SimSun" w:hAnsi="SimSun" w:eastAsia="SimSun" w:cs="SimSun"/>
          <w:sz w:val="22"/>
          <w:szCs w:val="22"/>
          <w:spacing w:val="-14"/>
        </w:rPr>
        <w:t>有不恰当的使用和数据更新。</w:t>
      </w:r>
    </w:p>
    <w:p>
      <w:pPr>
        <w:ind w:left="454"/>
        <w:spacing w:before="45" w:line="222" w:lineRule="auto"/>
        <w:rPr>
          <w:rFonts w:ascii="KaiTi" w:hAnsi="KaiTi" w:eastAsia="KaiTi" w:cs="KaiTi"/>
          <w:sz w:val="22"/>
          <w:szCs w:val="22"/>
        </w:rPr>
      </w:pPr>
      <w:r>
        <w:rPr>
          <w:rFonts w:ascii="KaiTi" w:hAnsi="KaiTi" w:eastAsia="KaiTi" w:cs="KaiTi"/>
          <w:sz w:val="22"/>
          <w:szCs w:val="22"/>
          <w:spacing w:val="20"/>
        </w:rPr>
        <w:t>2)介绍</w:t>
      </w:r>
    </w:p>
    <w:p>
      <w:pPr>
        <w:ind w:left="34" w:right="189" w:firstLine="419"/>
        <w:spacing w:before="49" w:line="247" w:lineRule="auto"/>
        <w:rPr>
          <w:rFonts w:ascii="SimSun" w:hAnsi="SimSun" w:eastAsia="SimSun" w:cs="SimSun"/>
          <w:sz w:val="22"/>
          <w:szCs w:val="22"/>
        </w:rPr>
      </w:pPr>
      <w:r>
        <w:rPr>
          <w:rFonts w:ascii="SimSun" w:hAnsi="SimSun" w:eastAsia="SimSun" w:cs="SimSun"/>
          <w:sz w:val="22"/>
          <w:szCs w:val="22"/>
          <w:spacing w:val="-9"/>
        </w:rPr>
        <w:t>由于云计算服务模式下，虚拟化</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9"/>
        </w:rPr>
        <w:t>资源是多租户共享的，不同的云计算</w:t>
      </w:r>
      <w:r>
        <w:rPr>
          <w:rFonts w:ascii="SimSun" w:hAnsi="SimSun" w:eastAsia="SimSun" w:cs="SimSun"/>
          <w:sz w:val="22"/>
          <w:szCs w:val="22"/>
          <w:spacing w:val="-10"/>
        </w:rPr>
        <w:t>用户可</w:t>
      </w:r>
      <w:r>
        <w:rPr>
          <w:rFonts w:ascii="SimSun" w:hAnsi="SimSun" w:eastAsia="SimSun" w:cs="SimSun"/>
          <w:sz w:val="22"/>
          <w:szCs w:val="22"/>
        </w:rPr>
        <w:t xml:space="preserve"> </w:t>
      </w:r>
      <w:r>
        <w:rPr>
          <w:rFonts w:ascii="SimSun" w:hAnsi="SimSun" w:eastAsia="SimSun" w:cs="SimSun"/>
          <w:sz w:val="22"/>
          <w:szCs w:val="22"/>
          <w:spacing w:val="-8"/>
        </w:rPr>
        <w:t>以在任何地点、任何时间访问云服务。虽然企业会拥</w:t>
      </w:r>
      <w:r>
        <w:rPr>
          <w:rFonts w:ascii="SimSun" w:hAnsi="SimSun" w:eastAsia="SimSun" w:cs="SimSun"/>
          <w:sz w:val="22"/>
          <w:szCs w:val="22"/>
          <w:spacing w:val="-9"/>
        </w:rPr>
        <w:t>有一定的控制权，但不能拥有</w:t>
      </w:r>
      <w:r>
        <w:rPr>
          <w:rFonts w:ascii="SimSun" w:hAnsi="SimSun" w:eastAsia="SimSun" w:cs="SimSun"/>
          <w:sz w:val="22"/>
          <w:szCs w:val="22"/>
        </w:rPr>
        <w:t xml:space="preserve"> </w:t>
      </w:r>
      <w:r>
        <w:rPr>
          <w:rFonts w:ascii="SimSun" w:hAnsi="SimSun" w:eastAsia="SimSun" w:cs="SimSun"/>
          <w:sz w:val="22"/>
          <w:szCs w:val="22"/>
          <w:spacing w:val="-11"/>
        </w:rPr>
        <w:t>完全的控制权，云端数据面临保密性和完整性风险。</w:t>
      </w:r>
    </w:p>
    <w:p>
      <w:pPr>
        <w:ind w:left="34" w:right="188" w:firstLine="419"/>
        <w:spacing w:before="50" w:line="252" w:lineRule="auto"/>
        <w:rPr>
          <w:rFonts w:ascii="SimSun" w:hAnsi="SimSun" w:eastAsia="SimSun" w:cs="SimSun"/>
          <w:sz w:val="22"/>
          <w:szCs w:val="22"/>
        </w:rPr>
      </w:pPr>
      <w:r>
        <w:rPr>
          <w:rFonts w:ascii="SimSun" w:hAnsi="SimSun" w:eastAsia="SimSun" w:cs="SimSun"/>
          <w:sz w:val="22"/>
          <w:szCs w:val="22"/>
          <w:spacing w:val="-2"/>
        </w:rPr>
        <w:t>数据安全的目标是保护云端数据的安全，确保合适的人以正确的方式使用和</w:t>
      </w:r>
      <w:r>
        <w:rPr>
          <w:rFonts w:ascii="SimSun" w:hAnsi="SimSun" w:eastAsia="SimSun" w:cs="SimSun"/>
          <w:sz w:val="22"/>
          <w:szCs w:val="22"/>
          <w:spacing w:val="12"/>
        </w:rPr>
        <w:t xml:space="preserve"> </w:t>
      </w:r>
      <w:r>
        <w:rPr>
          <w:rFonts w:ascii="SimSun" w:hAnsi="SimSun" w:eastAsia="SimSun" w:cs="SimSun"/>
          <w:sz w:val="22"/>
          <w:szCs w:val="22"/>
          <w:spacing w:val="-1"/>
        </w:rPr>
        <w:t>数据更新，并限制所有不恰当的使用和更新数据。组织应该积极应</w:t>
      </w:r>
      <w:r>
        <w:rPr>
          <w:rFonts w:ascii="SimSun" w:hAnsi="SimSun" w:eastAsia="SimSun" w:cs="SimSun"/>
          <w:sz w:val="22"/>
          <w:szCs w:val="22"/>
          <w:spacing w:val="-2"/>
        </w:rPr>
        <w:t>用云计算技术</w:t>
      </w:r>
      <w:r>
        <w:rPr>
          <w:rFonts w:ascii="SimSun" w:hAnsi="SimSun" w:eastAsia="SimSun" w:cs="SimSun"/>
          <w:sz w:val="22"/>
          <w:szCs w:val="22"/>
        </w:rPr>
        <w:t xml:space="preserve"> </w:t>
      </w:r>
      <w:r>
        <w:rPr>
          <w:rFonts w:ascii="SimSun" w:hAnsi="SimSun" w:eastAsia="SimSun" w:cs="SimSun"/>
          <w:sz w:val="22"/>
          <w:szCs w:val="22"/>
          <w:spacing w:val="-2"/>
        </w:rPr>
        <w:t>优势的基础上，清晰自身数据面临的安全威胁，计划</w:t>
      </w:r>
      <w:r>
        <w:rPr>
          <w:rFonts w:ascii="SimSun" w:hAnsi="SimSun" w:eastAsia="SimSun" w:cs="SimSun"/>
          <w:sz w:val="22"/>
          <w:szCs w:val="22"/>
          <w:spacing w:val="-3"/>
        </w:rPr>
        <w:t>、制订、执行相关安全策略</w:t>
      </w:r>
      <w:r>
        <w:rPr>
          <w:rFonts w:ascii="SimSun" w:hAnsi="SimSun" w:eastAsia="SimSun" w:cs="SimSun"/>
          <w:sz w:val="22"/>
          <w:szCs w:val="22"/>
        </w:rPr>
        <w:t xml:space="preserve"> </w:t>
      </w:r>
      <w:r>
        <w:rPr>
          <w:rFonts w:ascii="SimSun" w:hAnsi="SimSun" w:eastAsia="SimSun" w:cs="SimSun"/>
          <w:sz w:val="22"/>
          <w:szCs w:val="22"/>
          <w:spacing w:val="-1"/>
        </w:rPr>
        <w:t>和规程，确保数据和信息资产在使用过程中有恰当的认证、授权、</w:t>
      </w:r>
      <w:r>
        <w:rPr>
          <w:rFonts w:ascii="SimSun" w:hAnsi="SimSun" w:eastAsia="SimSun" w:cs="SimSun"/>
          <w:sz w:val="22"/>
          <w:szCs w:val="22"/>
          <w:spacing w:val="-2"/>
        </w:rPr>
        <w:t>访问和审计等</w:t>
      </w:r>
      <w:r>
        <w:rPr>
          <w:rFonts w:ascii="SimSun" w:hAnsi="SimSun" w:eastAsia="SimSun" w:cs="SimSun"/>
          <w:sz w:val="22"/>
          <w:szCs w:val="22"/>
        </w:rPr>
        <w:t xml:space="preserve"> </w:t>
      </w:r>
      <w:r>
        <w:rPr>
          <w:rFonts w:ascii="SimSun" w:hAnsi="SimSun" w:eastAsia="SimSun" w:cs="SimSun"/>
          <w:sz w:val="22"/>
          <w:szCs w:val="22"/>
          <w:spacing w:val="-9"/>
        </w:rPr>
        <w:t>措施。</w:t>
      </w:r>
    </w:p>
    <w:p>
      <w:pPr>
        <w:ind w:left="454"/>
        <w:spacing w:before="76" w:line="219" w:lineRule="auto"/>
        <w:rPr>
          <w:rFonts w:ascii="SimSun" w:hAnsi="SimSun" w:eastAsia="SimSun" w:cs="SimSun"/>
          <w:sz w:val="22"/>
          <w:szCs w:val="22"/>
        </w:rPr>
      </w:pPr>
      <w:r>
        <w:rPr>
          <w:rFonts w:ascii="SimSun" w:hAnsi="SimSun" w:eastAsia="SimSun" w:cs="SimSun"/>
          <w:sz w:val="22"/>
          <w:szCs w:val="22"/>
          <w:spacing w:val="-9"/>
        </w:rPr>
        <w:t>下面是</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9"/>
        </w:rPr>
        <w:t>CSA </w:t>
      </w:r>
      <w:r>
        <w:rPr>
          <w:rFonts w:ascii="SimSun" w:hAnsi="SimSun" w:eastAsia="SimSun" w:cs="SimSun"/>
          <w:sz w:val="22"/>
          <w:szCs w:val="22"/>
          <w:spacing w:val="-9"/>
        </w:rPr>
        <w:t>给出的针对云端数据安全管理的最佳实践，</w:t>
      </w:r>
      <w:r>
        <w:rPr>
          <w:rFonts w:ascii="SimSun" w:hAnsi="SimSun" w:eastAsia="SimSun" w:cs="SimSun"/>
          <w:sz w:val="22"/>
          <w:szCs w:val="22"/>
          <w:spacing w:val="-10"/>
        </w:rPr>
        <w:t>组织可以借鉴：</w:t>
      </w:r>
    </w:p>
    <w:p>
      <w:pPr>
        <w:ind w:left="454"/>
        <w:spacing w:before="41" w:line="219" w:lineRule="auto"/>
        <w:rPr>
          <w:rFonts w:ascii="SimSun" w:hAnsi="SimSun" w:eastAsia="SimSun" w:cs="SimSun"/>
          <w:sz w:val="22"/>
          <w:szCs w:val="22"/>
        </w:rPr>
      </w:pPr>
      <w:r>
        <w:rPr>
          <w:rFonts w:ascii="SimSun" w:hAnsi="SimSun" w:eastAsia="SimSun" w:cs="SimSun"/>
          <w:sz w:val="22"/>
          <w:szCs w:val="22"/>
          <w:spacing w:val="-7"/>
        </w:rPr>
        <w:t>(1)通过加密手段保护数据；</w:t>
      </w:r>
    </w:p>
    <w:p>
      <w:pPr>
        <w:spacing w:line="219" w:lineRule="auto"/>
        <w:sectPr>
          <w:footerReference w:type="default" r:id="rId430"/>
          <w:pgSz w:w="8870" w:h="13400"/>
          <w:pgMar w:top="400" w:right="451" w:bottom="634" w:left="535" w:header="0" w:footer="416" w:gutter="0"/>
        </w:sectPr>
        <w:rPr>
          <w:rFonts w:ascii="SimSun" w:hAnsi="SimSun" w:eastAsia="SimSun" w:cs="SimSun"/>
          <w:sz w:val="22"/>
          <w:szCs w:val="22"/>
        </w:rPr>
      </w:pPr>
    </w:p>
    <w:p>
      <w:pPr>
        <w:ind w:left="109"/>
        <w:spacing w:before="110"/>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2255"/>
            <wp:effectExtent l="0" t="0" r="0" b="0"/>
            <wp:docPr id="302" name="IM 302"/>
            <wp:cNvGraphicFramePr/>
            <a:graphic>
              <a:graphicData uri="http://schemas.openxmlformats.org/drawingml/2006/picture">
                <pic:pic>
                  <pic:nvPicPr>
                    <pic:cNvPr id="302" name="IM 302"/>
                    <pic:cNvPicPr/>
                  </pic:nvPicPr>
                  <pic:blipFill>
                    <a:blip r:embed="rId43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29"/>
          <w:w w:val="97"/>
        </w:rPr>
        <w:t>■云端数据治理■</w:t>
      </w:r>
    </w:p>
    <w:p>
      <w:pPr>
        <w:ind w:left="679"/>
        <w:spacing w:before="278" w:line="321" w:lineRule="exact"/>
        <w:rPr>
          <w:rFonts w:ascii="SimSun" w:hAnsi="SimSun" w:eastAsia="SimSun" w:cs="SimSun"/>
          <w:sz w:val="22"/>
          <w:szCs w:val="22"/>
        </w:rPr>
      </w:pPr>
      <w:r>
        <w:rPr>
          <w:rFonts w:ascii="SimSun" w:hAnsi="SimSun" w:eastAsia="SimSun" w:cs="SimSun"/>
          <w:sz w:val="22"/>
          <w:szCs w:val="22"/>
          <w:spacing w:val="-6"/>
          <w:position w:val="7"/>
        </w:rPr>
        <w:t>(2)通过预定义的安全策略对文件的访问进行授权；</w:t>
      </w:r>
    </w:p>
    <w:p>
      <w:pPr>
        <w:ind w:left="679"/>
        <w:spacing w:line="220" w:lineRule="auto"/>
        <w:rPr>
          <w:rFonts w:ascii="SimSun" w:hAnsi="SimSun" w:eastAsia="SimSun" w:cs="SimSun"/>
          <w:sz w:val="22"/>
          <w:szCs w:val="22"/>
        </w:rPr>
      </w:pPr>
      <w:r>
        <w:rPr>
          <w:rFonts w:ascii="SimSun" w:hAnsi="SimSun" w:eastAsia="SimSun" w:cs="SimSun"/>
          <w:sz w:val="22"/>
          <w:szCs w:val="22"/>
          <w:spacing w:val="-5"/>
        </w:rPr>
        <w:t>(3)实现细粒度的访问控制；</w:t>
      </w:r>
    </w:p>
    <w:p>
      <w:pPr>
        <w:ind w:left="679"/>
        <w:spacing w:before="37" w:line="329" w:lineRule="exact"/>
        <w:rPr>
          <w:rFonts w:ascii="SimSun" w:hAnsi="SimSun" w:eastAsia="SimSun" w:cs="SimSun"/>
          <w:sz w:val="22"/>
          <w:szCs w:val="22"/>
        </w:rPr>
      </w:pPr>
      <w:r>
        <w:rPr>
          <w:rFonts w:ascii="SimSun" w:hAnsi="SimSun" w:eastAsia="SimSun" w:cs="SimSun"/>
          <w:sz w:val="22"/>
          <w:szCs w:val="22"/>
          <w:spacing w:val="-6"/>
          <w:position w:val="7"/>
        </w:rPr>
        <w:t>(4)尽量用加密系统实现安全策略；</w:t>
      </w:r>
    </w:p>
    <w:p>
      <w:pPr>
        <w:ind w:left="679"/>
        <w:spacing w:line="218" w:lineRule="auto"/>
        <w:rPr>
          <w:rFonts w:ascii="SimSun" w:hAnsi="SimSun" w:eastAsia="SimSun" w:cs="SimSun"/>
          <w:sz w:val="22"/>
          <w:szCs w:val="22"/>
        </w:rPr>
      </w:pPr>
      <w:r>
        <w:rPr>
          <w:rFonts w:ascii="SimSun" w:hAnsi="SimSun" w:eastAsia="SimSun" w:cs="SimSun"/>
          <w:sz w:val="22"/>
          <w:szCs w:val="22"/>
          <w:spacing w:val="-6"/>
        </w:rPr>
        <w:t>(5)考虑部分使用动态加密方案；</w:t>
      </w:r>
    </w:p>
    <w:p>
      <w:pPr>
        <w:ind w:left="679"/>
        <w:spacing w:before="50" w:line="319" w:lineRule="exact"/>
        <w:rPr>
          <w:rFonts w:ascii="SimSun" w:hAnsi="SimSun" w:eastAsia="SimSun" w:cs="SimSun"/>
          <w:sz w:val="22"/>
          <w:szCs w:val="22"/>
        </w:rPr>
      </w:pPr>
      <w:r>
        <w:rPr>
          <w:rFonts w:ascii="SimSun" w:hAnsi="SimSun" w:eastAsia="SimSun" w:cs="SimSun"/>
          <w:sz w:val="22"/>
          <w:szCs w:val="22"/>
          <w:spacing w:val="-6"/>
          <w:position w:val="7"/>
        </w:rPr>
        <w:t>(6)在终端部署防病毒软件和恶意软件防护系统；</w:t>
      </w:r>
    </w:p>
    <w:p>
      <w:pPr>
        <w:ind w:left="679"/>
        <w:spacing w:line="218" w:lineRule="auto"/>
        <w:rPr>
          <w:rFonts w:ascii="SimSun" w:hAnsi="SimSun" w:eastAsia="SimSun" w:cs="SimSun"/>
          <w:sz w:val="22"/>
          <w:szCs w:val="22"/>
        </w:rPr>
      </w:pPr>
      <w:r>
        <w:rPr>
          <w:rFonts w:ascii="SimSun" w:hAnsi="SimSun" w:eastAsia="SimSun" w:cs="SimSun"/>
          <w:sz w:val="22"/>
          <w:szCs w:val="22"/>
          <w:spacing w:val="-3"/>
        </w:rPr>
        <w:t>(7)提供及时的访问审计信息；</w:t>
      </w:r>
    </w:p>
    <w:p>
      <w:pPr>
        <w:ind w:left="679"/>
        <w:spacing w:before="49" w:line="219" w:lineRule="auto"/>
        <w:rPr>
          <w:rFonts w:ascii="SimSun" w:hAnsi="SimSun" w:eastAsia="SimSun" w:cs="SimSun"/>
          <w:sz w:val="22"/>
          <w:szCs w:val="22"/>
        </w:rPr>
      </w:pPr>
      <w:r>
        <w:rPr>
          <w:rFonts w:ascii="SimSun" w:hAnsi="SimSun" w:eastAsia="SimSun" w:cs="SimSun"/>
          <w:sz w:val="22"/>
          <w:szCs w:val="22"/>
          <w:spacing w:val="-4"/>
        </w:rPr>
        <w:t>(8)提供基础设施的认证机制；</w:t>
      </w:r>
    </w:p>
    <w:p>
      <w:pPr>
        <w:ind w:left="679"/>
        <w:spacing w:before="41" w:line="219" w:lineRule="auto"/>
        <w:rPr>
          <w:rFonts w:ascii="SimSun" w:hAnsi="SimSun" w:eastAsia="SimSun" w:cs="SimSun"/>
          <w:sz w:val="22"/>
          <w:szCs w:val="22"/>
        </w:rPr>
      </w:pPr>
      <w:r>
        <w:rPr>
          <w:rFonts w:ascii="SimSun" w:hAnsi="SimSun" w:eastAsia="SimSun" w:cs="SimSun"/>
          <w:sz w:val="22"/>
          <w:szCs w:val="22"/>
          <w:spacing w:val="4"/>
        </w:rPr>
        <w:t>(8)严格控制特权用户(系统管理员)的接入；</w:t>
      </w:r>
    </w:p>
    <w:p>
      <w:pPr>
        <w:ind w:left="679"/>
        <w:spacing w:before="48" w:line="313" w:lineRule="exact"/>
        <w:rPr>
          <w:rFonts w:ascii="SimSun" w:hAnsi="SimSun" w:eastAsia="SimSun" w:cs="SimSun"/>
          <w:sz w:val="22"/>
          <w:szCs w:val="22"/>
        </w:rPr>
      </w:pPr>
      <w:r>
        <w:rPr>
          <w:rFonts w:ascii="SimSun" w:hAnsi="SimSun" w:eastAsia="SimSun" w:cs="SimSun"/>
          <w:sz w:val="22"/>
          <w:szCs w:val="22"/>
          <w:spacing w:val="-5"/>
          <w:position w:val="6"/>
        </w:rPr>
        <w:t>(9)采用数据隔离、数据切分等方式保证数</w:t>
      </w:r>
      <w:r>
        <w:rPr>
          <w:rFonts w:ascii="SimSun" w:hAnsi="SimSun" w:eastAsia="SimSun" w:cs="SimSun"/>
          <w:sz w:val="22"/>
          <w:szCs w:val="22"/>
          <w:spacing w:val="-6"/>
          <w:position w:val="6"/>
        </w:rPr>
        <w:t>据的安全性。</w:t>
      </w:r>
    </w:p>
    <w:p>
      <w:pPr>
        <w:ind w:left="679"/>
        <w:spacing w:before="1" w:line="229" w:lineRule="auto"/>
        <w:rPr>
          <w:rFonts w:ascii="KaiTi" w:hAnsi="KaiTi" w:eastAsia="KaiTi" w:cs="KaiTi"/>
          <w:sz w:val="22"/>
          <w:szCs w:val="22"/>
        </w:rPr>
      </w:pPr>
      <w:r>
        <w:rPr>
          <w:rFonts w:ascii="KaiTi" w:hAnsi="KaiTi" w:eastAsia="KaiTi" w:cs="KaiTi"/>
          <w:sz w:val="22"/>
          <w:szCs w:val="22"/>
          <w:spacing w:val="4"/>
        </w:rPr>
        <w:t>3)相关过程域</w:t>
      </w:r>
    </w:p>
    <w:p>
      <w:pPr>
        <w:ind w:left="679"/>
        <w:spacing w:before="32" w:line="218" w:lineRule="auto"/>
        <w:rPr>
          <w:rFonts w:ascii="SimSun" w:hAnsi="SimSun" w:eastAsia="SimSun" w:cs="SimSun"/>
          <w:sz w:val="22"/>
          <w:szCs w:val="22"/>
        </w:rPr>
      </w:pPr>
      <w:r>
        <w:rPr>
          <w:rFonts w:ascii="SimSun" w:hAnsi="SimSun" w:eastAsia="SimSun" w:cs="SimSun"/>
          <w:sz w:val="22"/>
          <w:szCs w:val="22"/>
          <w:spacing w:val="-8"/>
        </w:rPr>
        <w:t>●参考风险管理过程域了解风险评估的情况；</w:t>
      </w:r>
    </w:p>
    <w:p>
      <w:pPr>
        <w:ind w:left="679"/>
        <w:spacing w:before="62" w:line="219" w:lineRule="auto"/>
        <w:rPr>
          <w:rFonts w:ascii="SimSun" w:hAnsi="SimSun" w:eastAsia="SimSun" w:cs="SimSun"/>
          <w:sz w:val="22"/>
          <w:szCs w:val="22"/>
        </w:rPr>
      </w:pPr>
      <w:r>
        <w:rPr>
          <w:rFonts w:ascii="SimSun" w:hAnsi="SimSun" w:eastAsia="SimSun" w:cs="SimSun"/>
          <w:sz w:val="22"/>
          <w:szCs w:val="22"/>
          <w:spacing w:val="-8"/>
        </w:rPr>
        <w:t>●参考数据生命周期管理过程域了解云端数据生命周</w:t>
      </w:r>
      <w:r>
        <w:rPr>
          <w:rFonts w:ascii="SimSun" w:hAnsi="SimSun" w:eastAsia="SimSun" w:cs="SimSun"/>
          <w:sz w:val="22"/>
          <w:szCs w:val="22"/>
          <w:spacing w:val="-9"/>
        </w:rPr>
        <w:t>期管理内的管理策略；</w:t>
      </w:r>
    </w:p>
    <w:p>
      <w:pPr>
        <w:ind w:right="23"/>
        <w:spacing w:before="57" w:line="218" w:lineRule="auto"/>
        <w:jc w:val="right"/>
        <w:rPr>
          <w:rFonts w:ascii="SimSun" w:hAnsi="SimSun" w:eastAsia="SimSun" w:cs="SimSun"/>
          <w:sz w:val="22"/>
          <w:szCs w:val="22"/>
        </w:rPr>
      </w:pPr>
      <w:r>
        <w:rPr>
          <w:rFonts w:ascii="SimSun" w:hAnsi="SimSun" w:eastAsia="SimSun" w:cs="SimSun"/>
          <w:sz w:val="22"/>
          <w:szCs w:val="22"/>
          <w:spacing w:val="-12"/>
        </w:rPr>
        <w:t>●参考数据质量评估过程域了解质量目标与质量控制活动</w:t>
      </w:r>
      <w:r>
        <w:rPr>
          <w:rFonts w:ascii="SimSun" w:hAnsi="SimSun" w:eastAsia="SimSun" w:cs="SimSun"/>
          <w:sz w:val="22"/>
          <w:szCs w:val="22"/>
          <w:spacing w:val="-13"/>
        </w:rPr>
        <w:t>保持相符的相关信息；</w:t>
      </w:r>
    </w:p>
    <w:p>
      <w:pPr>
        <w:ind w:left="679"/>
        <w:spacing w:before="63" w:line="219" w:lineRule="auto"/>
        <w:rPr>
          <w:rFonts w:ascii="SimSun" w:hAnsi="SimSun" w:eastAsia="SimSun" w:cs="SimSun"/>
          <w:sz w:val="22"/>
          <w:szCs w:val="22"/>
        </w:rPr>
      </w:pPr>
      <w:r>
        <w:rPr>
          <w:rFonts w:ascii="SimSun" w:hAnsi="SimSun" w:eastAsia="SimSun" w:cs="SimSun"/>
          <w:sz w:val="22"/>
          <w:szCs w:val="22"/>
          <w:spacing w:val="-7"/>
        </w:rPr>
        <w:t>●参考合规管理过程域了解组织合规管理策略。</w:t>
      </w:r>
    </w:p>
    <w:p>
      <w:pPr>
        <w:pStyle w:val="BodyText"/>
        <w:ind w:left="679"/>
        <w:spacing w:before="186" w:line="223" w:lineRule="auto"/>
        <w:outlineLvl w:val="4"/>
        <w:rPr>
          <w:rFonts w:ascii="SimHei" w:hAnsi="SimHei" w:eastAsia="SimHei" w:cs="SimHei"/>
          <w:sz w:val="22"/>
          <w:szCs w:val="22"/>
        </w:rPr>
      </w:pPr>
      <w:r>
        <w:rPr>
          <w:sz w:val="22"/>
          <w:szCs w:val="22"/>
          <w:b/>
          <w:bCs/>
          <w:spacing w:val="-2"/>
        </w:rPr>
        <w:t>2.GQM</w:t>
      </w:r>
      <w:r>
        <w:rPr>
          <w:sz w:val="22"/>
          <w:szCs w:val="22"/>
          <w:b/>
          <w:bCs/>
          <w:spacing w:val="16"/>
        </w:rPr>
        <w:t xml:space="preserve">   </w:t>
      </w:r>
      <w:r>
        <w:rPr>
          <w:rFonts w:ascii="SimHei" w:hAnsi="SimHei" w:eastAsia="SimHei" w:cs="SimHei"/>
          <w:sz w:val="22"/>
          <w:szCs w:val="22"/>
          <w:b/>
          <w:bCs/>
          <w:spacing w:val="-2"/>
        </w:rPr>
        <w:t>表</w:t>
      </w:r>
    </w:p>
    <w:p>
      <w:pPr>
        <w:spacing w:before="31"/>
        <w:rPr/>
      </w:pPr>
      <w:r/>
    </w:p>
    <w:tbl>
      <w:tblPr>
        <w:tblStyle w:val="TableNormal"/>
        <w:tblW w:w="767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3"/>
        <w:gridCol w:w="1977"/>
        <w:gridCol w:w="1788"/>
        <w:gridCol w:w="2542"/>
      </w:tblGrid>
      <w:tr>
        <w:trPr>
          <w:trHeight w:val="355" w:hRule="atLeast"/>
        </w:trPr>
        <w:tc>
          <w:tcPr>
            <w:tcW w:w="1363" w:type="dxa"/>
            <w:vAlign w:val="top"/>
          </w:tcPr>
          <w:p>
            <w:pPr>
              <w:pStyle w:val="TableText"/>
              <w:ind w:left="405"/>
              <w:spacing w:before="101" w:line="220" w:lineRule="auto"/>
              <w:rPr/>
            </w:pPr>
            <w:r>
              <w:rPr>
                <w:spacing w:val="-18"/>
              </w:rPr>
              <w:t>目</w:t>
            </w:r>
            <w:r>
              <w:rPr>
                <w:spacing w:val="17"/>
              </w:rPr>
              <w:t xml:space="preserve">   </w:t>
            </w:r>
            <w:r>
              <w:rPr>
                <w:spacing w:val="-18"/>
              </w:rPr>
              <w:t>标</w:t>
            </w:r>
          </w:p>
        </w:tc>
        <w:tc>
          <w:tcPr>
            <w:tcW w:w="1977" w:type="dxa"/>
            <w:vAlign w:val="top"/>
          </w:tcPr>
          <w:p>
            <w:pPr>
              <w:pStyle w:val="TableText"/>
              <w:ind w:left="701"/>
              <w:spacing w:before="103" w:line="221" w:lineRule="auto"/>
              <w:rPr/>
            </w:pPr>
            <w:r>
              <w:rPr>
                <w:spacing w:val="-12"/>
              </w:rPr>
              <w:t>问</w:t>
            </w:r>
            <w:r>
              <w:rPr>
                <w:spacing w:val="9"/>
              </w:rPr>
              <w:t xml:space="preserve">    </w:t>
            </w:r>
            <w:r>
              <w:rPr>
                <w:spacing w:val="-12"/>
              </w:rPr>
              <w:t>题</w:t>
            </w:r>
          </w:p>
        </w:tc>
        <w:tc>
          <w:tcPr>
            <w:tcW w:w="1788" w:type="dxa"/>
            <w:vAlign w:val="top"/>
          </w:tcPr>
          <w:p>
            <w:pPr>
              <w:pStyle w:val="TableText"/>
              <w:ind w:left="515"/>
              <w:spacing w:before="101" w:line="220" w:lineRule="auto"/>
              <w:rPr/>
            </w:pPr>
            <w:r>
              <w:rPr>
                <w:spacing w:val="-4"/>
              </w:rPr>
              <w:t>度</w:t>
            </w:r>
            <w:r>
              <w:rPr>
                <w:spacing w:val="2"/>
              </w:rPr>
              <w:t xml:space="preserve">  </w:t>
            </w:r>
            <w:r>
              <w:rPr>
                <w:spacing w:val="-4"/>
              </w:rPr>
              <w:t>量</w:t>
            </w:r>
            <w:r>
              <w:rPr>
                <w:spacing w:val="5"/>
              </w:rPr>
              <w:t xml:space="preserve">  </w:t>
            </w:r>
            <w:r>
              <w:rPr>
                <w:spacing w:val="-4"/>
              </w:rPr>
              <w:t>项</w:t>
            </w:r>
          </w:p>
        </w:tc>
        <w:tc>
          <w:tcPr>
            <w:tcW w:w="2542" w:type="dxa"/>
            <w:vAlign w:val="top"/>
          </w:tcPr>
          <w:p>
            <w:pPr>
              <w:pStyle w:val="TableText"/>
              <w:ind w:left="886"/>
              <w:spacing w:before="101" w:line="219" w:lineRule="auto"/>
              <w:rPr/>
            </w:pPr>
            <w:r>
              <w:rPr>
                <w:spacing w:val="3"/>
              </w:rPr>
              <w:t>度量项说明</w:t>
            </w:r>
          </w:p>
        </w:tc>
      </w:tr>
      <w:tr>
        <w:trPr>
          <w:trHeight w:val="879" w:hRule="atLeast"/>
        </w:trPr>
        <w:tc>
          <w:tcPr>
            <w:tcW w:w="1363" w:type="dxa"/>
            <w:vAlign w:val="top"/>
            <w:vMerge w:val="restart"/>
            <w:tcBorders>
              <w:bottom w:val="nil"/>
            </w:tcBorders>
          </w:tcPr>
          <w:p>
            <w:pPr>
              <w:spacing w:line="302" w:lineRule="auto"/>
              <w:rPr>
                <w:rFonts w:ascii="Arial"/>
                <w:sz w:val="21"/>
              </w:rPr>
            </w:pPr>
            <w:r/>
          </w:p>
          <w:p>
            <w:pPr>
              <w:spacing w:line="303" w:lineRule="auto"/>
              <w:rPr>
                <w:rFonts w:ascii="Arial"/>
                <w:sz w:val="21"/>
              </w:rPr>
            </w:pPr>
            <w:r/>
          </w:p>
          <w:p>
            <w:pPr>
              <w:pStyle w:val="TableText"/>
              <w:ind w:left="95" w:right="164" w:firstLine="159"/>
              <w:spacing w:before="49" w:line="313" w:lineRule="auto"/>
              <w:rPr/>
            </w:pPr>
            <w:r>
              <w:rPr>
                <w:spacing w:val="-1"/>
              </w:rPr>
              <w:t>G1:制订一整</w:t>
            </w:r>
            <w:r>
              <w:rPr/>
              <w:t xml:space="preserve">  </w:t>
            </w:r>
            <w:r>
              <w:rPr>
                <w:spacing w:val="6"/>
              </w:rPr>
              <w:t>套与安全需求相</w:t>
            </w:r>
            <w:r>
              <w:rPr/>
              <w:t xml:space="preserve"> </w:t>
            </w:r>
            <w:r>
              <w:rPr>
                <w:spacing w:val="5"/>
              </w:rPr>
              <w:t>一致的数据安全 </w:t>
            </w:r>
            <w:r>
              <w:rPr>
                <w:spacing w:val="-2"/>
              </w:rPr>
              <w:t>策略</w:t>
            </w:r>
          </w:p>
        </w:tc>
        <w:tc>
          <w:tcPr>
            <w:tcW w:w="1977" w:type="dxa"/>
            <w:vAlign w:val="top"/>
            <w:vMerge w:val="restart"/>
            <w:tcBorders>
              <w:bottom w:val="nil"/>
            </w:tcBorders>
          </w:tcPr>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TableText"/>
              <w:ind w:left="262"/>
              <w:spacing w:before="49" w:line="219" w:lineRule="auto"/>
              <w:rPr/>
            </w:pPr>
            <w:r>
              <w:rPr>
                <w:spacing w:val="-1"/>
              </w:rPr>
              <w:t>Q1:组织如何确定数据</w:t>
            </w:r>
          </w:p>
          <w:p>
            <w:pPr>
              <w:pStyle w:val="TableText"/>
              <w:ind w:left="121" w:right="46" w:hanging="9"/>
              <w:spacing w:before="111" w:line="283" w:lineRule="auto"/>
              <w:rPr/>
            </w:pPr>
            <w:r>
              <w:rPr/>
              <w:t>需求，以制订经批准的数据</w:t>
            </w:r>
            <w:r>
              <w:rPr>
                <w:spacing w:val="7"/>
              </w:rPr>
              <w:t xml:space="preserve"> </w:t>
            </w:r>
            <w:r>
              <w:rPr>
                <w:spacing w:val="-2"/>
              </w:rPr>
              <w:t>安全策略</w:t>
            </w:r>
          </w:p>
        </w:tc>
        <w:tc>
          <w:tcPr>
            <w:tcW w:w="1788" w:type="dxa"/>
            <w:vAlign w:val="top"/>
          </w:tcPr>
          <w:p>
            <w:pPr>
              <w:spacing w:line="315" w:lineRule="auto"/>
              <w:rPr>
                <w:rFonts w:ascii="Arial"/>
                <w:sz w:val="21"/>
              </w:rPr>
            </w:pPr>
            <w:r/>
          </w:p>
          <w:p>
            <w:pPr>
              <w:pStyle w:val="TableText"/>
              <w:ind w:left="254"/>
              <w:spacing w:before="49" w:line="219" w:lineRule="auto"/>
              <w:rPr/>
            </w:pPr>
            <w:r>
              <w:rPr>
                <w:spacing w:val="-1"/>
              </w:rPr>
              <w:t>M1:数据安全策略</w:t>
            </w:r>
          </w:p>
        </w:tc>
        <w:tc>
          <w:tcPr>
            <w:tcW w:w="2542" w:type="dxa"/>
            <w:vAlign w:val="top"/>
          </w:tcPr>
          <w:p>
            <w:pPr>
              <w:pStyle w:val="TableText"/>
              <w:ind w:left="126" w:right="70" w:firstLine="90"/>
              <w:spacing w:before="105" w:line="299" w:lineRule="auto"/>
              <w:jc w:val="both"/>
              <w:rPr/>
            </w:pPr>
            <w:r>
              <w:rPr/>
              <w:t>数据安全策略应以数据中心为中  </w:t>
            </w:r>
            <w:r>
              <w:rPr>
                <w:spacing w:val="5"/>
              </w:rPr>
              <w:t>心，定义应用程序、数据库角色、</w:t>
            </w:r>
            <w:r>
              <w:rPr>
                <w:spacing w:val="8"/>
              </w:rPr>
              <w:t xml:space="preserve"> </w:t>
            </w:r>
            <w:r>
              <w:rPr>
                <w:spacing w:val="-1"/>
              </w:rPr>
              <w:t>用户组和密码标准等</w:t>
            </w:r>
          </w:p>
        </w:tc>
      </w:tr>
      <w:tr>
        <w:trPr>
          <w:trHeight w:val="1429" w:hRule="atLeast"/>
        </w:trPr>
        <w:tc>
          <w:tcPr>
            <w:tcW w:w="13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1788" w:type="dxa"/>
            <w:vAlign w:val="top"/>
          </w:tcPr>
          <w:p>
            <w:pPr>
              <w:spacing w:line="464" w:lineRule="auto"/>
              <w:rPr>
                <w:rFonts w:ascii="Arial"/>
                <w:sz w:val="21"/>
              </w:rPr>
            </w:pPr>
            <w:r/>
          </w:p>
          <w:p>
            <w:pPr>
              <w:pStyle w:val="TableText"/>
              <w:ind w:left="95" w:right="249" w:firstLine="159"/>
              <w:spacing w:before="49" w:line="277" w:lineRule="auto"/>
              <w:rPr/>
            </w:pPr>
            <w:r>
              <w:rPr>
                <w:spacing w:val="-1"/>
              </w:rPr>
              <w:t>M2:数据密级分类制</w:t>
            </w:r>
            <w:r>
              <w:rPr>
                <w:spacing w:val="7"/>
              </w:rPr>
              <w:t xml:space="preserve"> </w:t>
            </w:r>
            <w:r>
              <w:rPr/>
              <w:t>度</w:t>
            </w:r>
          </w:p>
        </w:tc>
        <w:tc>
          <w:tcPr>
            <w:tcW w:w="2542" w:type="dxa"/>
            <w:vAlign w:val="top"/>
          </w:tcPr>
          <w:p>
            <w:pPr>
              <w:pStyle w:val="TableText"/>
              <w:ind w:left="117" w:right="70" w:firstLine="99"/>
              <w:spacing w:before="95" w:line="320" w:lineRule="auto"/>
              <w:rPr/>
            </w:pPr>
            <w:r>
              <w:rPr>
                <w:spacing w:val="-1"/>
              </w:rPr>
              <w:t>组织应制订组织数据密级管理办</w:t>
            </w:r>
            <w:r>
              <w:rPr>
                <w:spacing w:val="1"/>
              </w:rPr>
              <w:t xml:space="preserve">   </w:t>
            </w:r>
            <w:r>
              <w:rPr/>
              <w:t>法，并对云端数据划分密级。典型</w:t>
            </w:r>
            <w:r>
              <w:rPr>
                <w:spacing w:val="6"/>
              </w:rPr>
              <w:t xml:space="preserve">  </w:t>
            </w:r>
            <w:r>
              <w:rPr>
                <w:spacing w:val="6"/>
              </w:rPr>
              <w:t>的密级分类模式包括：国家秘密、</w:t>
            </w:r>
            <w:r>
              <w:rPr>
                <w:spacing w:val="3"/>
              </w:rPr>
              <w:t xml:space="preserve"> </w:t>
            </w:r>
            <w:r>
              <w:rPr>
                <w:spacing w:val="6"/>
              </w:rPr>
              <w:t>商业秘密、内部使用、受限使用、</w:t>
            </w:r>
            <w:r>
              <w:rPr>
                <w:spacing w:val="3"/>
              </w:rPr>
              <w:t xml:space="preserve"> </w:t>
            </w:r>
            <w:r>
              <w:rPr>
                <w:spacing w:val="-2"/>
              </w:rPr>
              <w:t>公众级等</w:t>
            </w:r>
          </w:p>
        </w:tc>
      </w:tr>
      <w:tr>
        <w:trPr>
          <w:trHeight w:val="1149" w:hRule="atLeast"/>
        </w:trPr>
        <w:tc>
          <w:tcPr>
            <w:tcW w:w="1363" w:type="dxa"/>
            <w:vAlign w:val="top"/>
            <w:vMerge w:val="restart"/>
            <w:tcBorders>
              <w:bottom w:val="nil"/>
            </w:tcBorders>
          </w:tcPr>
          <w:p>
            <w:pPr>
              <w:spacing w:line="339" w:lineRule="auto"/>
              <w:rPr>
                <w:rFonts w:ascii="Arial"/>
                <w:sz w:val="21"/>
              </w:rPr>
            </w:pPr>
            <w:r/>
          </w:p>
          <w:p>
            <w:pPr>
              <w:pStyle w:val="TableText"/>
              <w:ind w:left="104" w:right="164" w:firstLine="149"/>
              <w:spacing w:before="48" w:line="310" w:lineRule="auto"/>
              <w:rPr/>
            </w:pPr>
            <w:r>
              <w:rPr>
                <w:spacing w:val="-1"/>
              </w:rPr>
              <w:t>G2:实施涉及</w:t>
            </w:r>
            <w:r>
              <w:rPr/>
              <w:t xml:space="preserve">  </w:t>
            </w:r>
            <w:r>
              <w:rPr>
                <w:spacing w:val="4"/>
              </w:rPr>
              <w:t>利益相关方的可 </w:t>
            </w:r>
            <w:r>
              <w:rPr>
                <w:spacing w:val="4"/>
              </w:rPr>
              <w:t>持续的标准制订</w:t>
            </w:r>
            <w:r>
              <w:rPr>
                <w:spacing w:val="3"/>
              </w:rPr>
              <w:t xml:space="preserve"> </w:t>
            </w:r>
            <w:r>
              <w:rPr>
                <w:spacing w:val="-2"/>
              </w:rPr>
              <w:t>和维护过程</w:t>
            </w:r>
          </w:p>
        </w:tc>
        <w:tc>
          <w:tcPr>
            <w:tcW w:w="1977" w:type="dxa"/>
            <w:vAlign w:val="top"/>
            <w:vMerge w:val="restart"/>
            <w:tcBorders>
              <w:bottom w:val="nil"/>
            </w:tcBorders>
          </w:tcPr>
          <w:p>
            <w:pPr>
              <w:spacing w:line="302" w:lineRule="auto"/>
              <w:rPr>
                <w:rFonts w:ascii="Arial"/>
                <w:sz w:val="21"/>
              </w:rPr>
            </w:pPr>
            <w:r/>
          </w:p>
          <w:p>
            <w:pPr>
              <w:spacing w:line="303" w:lineRule="auto"/>
              <w:rPr>
                <w:rFonts w:ascii="Arial"/>
                <w:sz w:val="21"/>
              </w:rPr>
            </w:pPr>
            <w:r/>
          </w:p>
          <w:p>
            <w:pPr>
              <w:pStyle w:val="TableText"/>
              <w:ind w:left="121" w:right="284" w:firstLine="140"/>
              <w:spacing w:before="49" w:line="289" w:lineRule="auto"/>
              <w:rPr/>
            </w:pPr>
            <w:r>
              <w:rPr>
                <w:spacing w:val="-1"/>
              </w:rPr>
              <w:t>Q2:如何对数据安全策</w:t>
            </w:r>
            <w:r>
              <w:rPr>
                <w:spacing w:val="5"/>
              </w:rPr>
              <w:t xml:space="preserve"> </w:t>
            </w:r>
            <w:r>
              <w:rPr>
                <w:spacing w:val="1"/>
              </w:rPr>
              <w:t>略进行批准、维护</w:t>
            </w:r>
          </w:p>
        </w:tc>
        <w:tc>
          <w:tcPr>
            <w:tcW w:w="1788" w:type="dxa"/>
            <w:vAlign w:val="top"/>
          </w:tcPr>
          <w:p>
            <w:pPr>
              <w:pStyle w:val="TableText"/>
              <w:ind w:left="104" w:right="180" w:firstLine="130"/>
              <w:spacing w:before="238" w:line="299" w:lineRule="auto"/>
              <w:rPr/>
            </w:pPr>
            <w:r>
              <w:rPr>
                <w:spacing w:val="-1"/>
              </w:rPr>
              <w:t>M3:利益相关人参与</w:t>
            </w:r>
            <w:r>
              <w:rPr>
                <w:spacing w:val="3"/>
              </w:rPr>
              <w:t xml:space="preserve">  </w:t>
            </w:r>
            <w:r>
              <w:rPr>
                <w:spacing w:val="-1"/>
              </w:rPr>
              <w:t>数据安全控制措施制订</w:t>
            </w:r>
            <w:r>
              <w:rPr>
                <w:spacing w:val="1"/>
              </w:rPr>
              <w:t xml:space="preserve"> </w:t>
            </w:r>
            <w:r>
              <w:rPr>
                <w:spacing w:val="2"/>
              </w:rPr>
              <w:t>的程度</w:t>
            </w:r>
          </w:p>
        </w:tc>
        <w:tc>
          <w:tcPr>
            <w:tcW w:w="2542" w:type="dxa"/>
            <w:vAlign w:val="top"/>
          </w:tcPr>
          <w:p>
            <w:pPr>
              <w:pStyle w:val="TableText"/>
              <w:ind w:left="117" w:right="150" w:firstLine="99"/>
              <w:spacing w:before="106" w:line="308" w:lineRule="auto"/>
              <w:jc w:val="both"/>
              <w:rPr/>
            </w:pPr>
            <w:r>
              <w:rPr>
                <w:spacing w:val="-1"/>
              </w:rPr>
              <w:t>组织实施的数据安全活动应充分</w:t>
            </w:r>
            <w:r>
              <w:rPr>
                <w:spacing w:val="2"/>
              </w:rPr>
              <w:t xml:space="preserve">  </w:t>
            </w:r>
            <w:r>
              <w:rPr/>
              <w:t>考虑员工和客户等利益相关人的期</w:t>
            </w:r>
            <w:r>
              <w:rPr>
                <w:spacing w:val="13"/>
              </w:rPr>
              <w:t xml:space="preserve"> </w:t>
            </w:r>
            <w:r>
              <w:rPr/>
              <w:t>望，并邀请利益相关人参与数据安</w:t>
            </w:r>
            <w:r>
              <w:rPr>
                <w:spacing w:val="11"/>
              </w:rPr>
              <w:t xml:space="preserve"> </w:t>
            </w:r>
            <w:r>
              <w:rPr>
                <w:spacing w:val="-1"/>
              </w:rPr>
              <w:t>全措施和过程的制订</w:t>
            </w:r>
          </w:p>
        </w:tc>
      </w:tr>
      <w:tr>
        <w:trPr>
          <w:trHeight w:val="599" w:hRule="atLeast"/>
        </w:trPr>
        <w:tc>
          <w:tcPr>
            <w:tcW w:w="1363" w:type="dxa"/>
            <w:vAlign w:val="top"/>
            <w:vMerge w:val="continue"/>
            <w:tcBorders>
              <w:top w:val="nil"/>
            </w:tcBorders>
          </w:tcPr>
          <w:p>
            <w:pPr>
              <w:rPr>
                <w:rFonts w:ascii="Arial"/>
                <w:sz w:val="21"/>
              </w:rPr>
            </w:pPr>
            <w:r/>
          </w:p>
        </w:tc>
        <w:tc>
          <w:tcPr>
            <w:tcW w:w="1977" w:type="dxa"/>
            <w:vAlign w:val="top"/>
            <w:vMerge w:val="continue"/>
            <w:tcBorders>
              <w:top w:val="nil"/>
            </w:tcBorders>
          </w:tcPr>
          <w:p>
            <w:pPr>
              <w:rPr>
                <w:rFonts w:ascii="Arial"/>
                <w:sz w:val="21"/>
              </w:rPr>
            </w:pPr>
            <w:r/>
          </w:p>
        </w:tc>
        <w:tc>
          <w:tcPr>
            <w:tcW w:w="1788" w:type="dxa"/>
            <w:vAlign w:val="top"/>
          </w:tcPr>
          <w:p>
            <w:pPr>
              <w:pStyle w:val="TableText"/>
              <w:ind w:left="115" w:right="249" w:firstLine="139"/>
              <w:spacing w:before="98" w:line="279" w:lineRule="auto"/>
              <w:rPr/>
            </w:pPr>
            <w:r>
              <w:rPr>
                <w:spacing w:val="-1"/>
              </w:rPr>
              <w:t>M4:数据安全控制措</w:t>
            </w:r>
            <w:r>
              <w:rPr>
                <w:spacing w:val="7"/>
              </w:rPr>
              <w:t xml:space="preserve"> </w:t>
            </w:r>
            <w:r>
              <w:rPr/>
              <w:t>施</w:t>
            </w:r>
          </w:p>
        </w:tc>
        <w:tc>
          <w:tcPr>
            <w:tcW w:w="2542" w:type="dxa"/>
            <w:vAlign w:val="top"/>
          </w:tcPr>
          <w:p>
            <w:pPr>
              <w:pStyle w:val="TableText"/>
              <w:ind w:left="107" w:right="222" w:firstLine="109"/>
              <w:spacing w:before="99" w:line="288" w:lineRule="auto"/>
              <w:rPr/>
            </w:pPr>
            <w:r>
              <w:rPr>
                <w:spacing w:val="-1"/>
              </w:rPr>
              <w:t>组织应实施适当的控制，以满足</w:t>
            </w:r>
            <w:r>
              <w:rPr>
                <w:spacing w:val="5"/>
              </w:rPr>
              <w:t xml:space="preserve"> </w:t>
            </w:r>
            <w:r>
              <w:rPr>
                <w:spacing w:val="-1"/>
              </w:rPr>
              <w:t>数据安全策略</w:t>
            </w:r>
          </w:p>
        </w:tc>
      </w:tr>
      <w:tr>
        <w:trPr>
          <w:trHeight w:val="1444" w:hRule="atLeast"/>
        </w:trPr>
        <w:tc>
          <w:tcPr>
            <w:tcW w:w="1363" w:type="dxa"/>
            <w:vAlign w:val="top"/>
            <w:tcBorders>
              <w:bottom w:val="single" w:color="000000" w:sz="2" w:space="0"/>
            </w:tcBorders>
          </w:tcPr>
          <w:p>
            <w:pPr>
              <w:spacing w:line="330" w:lineRule="auto"/>
              <w:rPr>
                <w:rFonts w:ascii="Arial"/>
                <w:sz w:val="21"/>
              </w:rPr>
            </w:pPr>
            <w:r/>
          </w:p>
          <w:p>
            <w:pPr>
              <w:pStyle w:val="TableText"/>
              <w:ind w:left="115" w:right="163" w:firstLine="139"/>
              <w:spacing w:before="48" w:line="303" w:lineRule="auto"/>
              <w:rPr/>
            </w:pPr>
            <w:r>
              <w:rPr>
                <w:spacing w:val="-1"/>
              </w:rPr>
              <w:t>G3:建立标准</w:t>
            </w:r>
            <w:r>
              <w:rPr/>
              <w:t xml:space="preserve">  </w:t>
            </w:r>
            <w:r>
              <w:rPr>
                <w:spacing w:val="3"/>
              </w:rPr>
              <w:t>遵守的有效的治</w:t>
            </w:r>
            <w:r>
              <w:rPr>
                <w:spacing w:val="2"/>
              </w:rPr>
              <w:t xml:space="preserve"> </w:t>
            </w:r>
            <w:r>
              <w:rPr>
                <w:spacing w:val="-2"/>
              </w:rPr>
              <w:t>理和审核过程</w:t>
            </w:r>
          </w:p>
        </w:tc>
        <w:tc>
          <w:tcPr>
            <w:tcW w:w="1977" w:type="dxa"/>
            <w:vAlign w:val="top"/>
            <w:tcBorders>
              <w:bottom w:val="single" w:color="000000" w:sz="2" w:space="0"/>
            </w:tcBorders>
          </w:tcPr>
          <w:p>
            <w:pPr>
              <w:spacing w:line="477" w:lineRule="auto"/>
              <w:rPr>
                <w:rFonts w:ascii="Arial"/>
                <w:sz w:val="21"/>
              </w:rPr>
            </w:pPr>
            <w:r/>
          </w:p>
          <w:p>
            <w:pPr>
              <w:pStyle w:val="TableText"/>
              <w:ind w:left="112" w:right="284" w:firstLine="149"/>
              <w:spacing w:before="49" w:line="276" w:lineRule="auto"/>
              <w:rPr/>
            </w:pPr>
            <w:r>
              <w:rPr>
                <w:spacing w:val="-1"/>
              </w:rPr>
              <w:t>Q3:组织如何确定数据</w:t>
            </w:r>
            <w:r>
              <w:rPr>
                <w:spacing w:val="5"/>
              </w:rPr>
              <w:t xml:space="preserve"> </w:t>
            </w:r>
            <w:r>
              <w:rPr>
                <w:spacing w:val="-2"/>
              </w:rPr>
              <w:t>安全管理的效果</w:t>
            </w:r>
          </w:p>
        </w:tc>
        <w:tc>
          <w:tcPr>
            <w:tcW w:w="1788" w:type="dxa"/>
            <w:vAlign w:val="top"/>
            <w:tcBorders>
              <w:bottom w:val="single" w:color="000000" w:sz="2" w:space="0"/>
            </w:tcBorders>
          </w:tcPr>
          <w:p>
            <w:pPr>
              <w:spacing w:line="478" w:lineRule="auto"/>
              <w:rPr>
                <w:rFonts w:ascii="Arial"/>
                <w:sz w:val="21"/>
              </w:rPr>
            </w:pPr>
            <w:r/>
          </w:p>
          <w:p>
            <w:pPr>
              <w:pStyle w:val="TableText"/>
              <w:ind w:left="125" w:right="249" w:firstLine="129"/>
              <w:spacing w:before="49" w:line="275" w:lineRule="auto"/>
              <w:rPr/>
            </w:pPr>
            <w:r>
              <w:rPr>
                <w:spacing w:val="-1"/>
              </w:rPr>
              <w:t>M5:用户身份认证和</w:t>
            </w:r>
            <w:r>
              <w:rPr>
                <w:spacing w:val="7"/>
              </w:rPr>
              <w:t xml:space="preserve"> </w:t>
            </w:r>
            <w:r>
              <w:rPr>
                <w:spacing w:val="-1"/>
              </w:rPr>
              <w:t>访问行为监控机制</w:t>
            </w:r>
          </w:p>
        </w:tc>
        <w:tc>
          <w:tcPr>
            <w:tcW w:w="2542" w:type="dxa"/>
            <w:vAlign w:val="top"/>
            <w:tcBorders>
              <w:bottom w:val="single" w:color="000000" w:sz="2" w:space="0"/>
            </w:tcBorders>
          </w:tcPr>
          <w:p>
            <w:pPr>
              <w:pStyle w:val="TableText"/>
              <w:ind w:left="217" w:right="220" w:firstLine="69"/>
              <w:spacing w:before="99" w:line="313" w:lineRule="auto"/>
              <w:rPr/>
            </w:pPr>
            <w:r>
              <w:rPr>
                <w:spacing w:val="-1"/>
              </w:rPr>
              <w:t>监控认证和访问行为有助于检</w:t>
            </w:r>
            <w:r>
              <w:rPr>
                <w:spacing w:val="2"/>
              </w:rPr>
              <w:t xml:space="preserve">  </w:t>
            </w:r>
            <w:r>
              <w:rPr>
                <w:spacing w:val="-1"/>
              </w:rPr>
              <w:t>测到异常或可疑的活动，方便进</w:t>
            </w:r>
            <w:r>
              <w:rPr>
                <w:spacing w:val="6"/>
              </w:rPr>
              <w:t xml:space="preserve"> </w:t>
            </w:r>
            <w:r>
              <w:rPr>
                <w:spacing w:val="-1"/>
              </w:rPr>
              <w:t>一步调查和解决问题。组织应建</w:t>
            </w:r>
            <w:r>
              <w:rPr>
                <w:spacing w:val="4"/>
              </w:rPr>
              <w:t xml:space="preserve"> </w:t>
            </w:r>
            <w:r>
              <w:rPr>
                <w:spacing w:val="-1"/>
              </w:rPr>
              <w:t>立机制，监控用户身份认证和访</w:t>
            </w:r>
          </w:p>
          <w:p>
            <w:pPr>
              <w:pStyle w:val="TableText"/>
              <w:ind w:left="117"/>
              <w:spacing w:before="93" w:line="220" w:lineRule="auto"/>
              <w:rPr/>
            </w:pPr>
            <w:r>
              <w:rPr>
                <w:spacing w:val="2"/>
              </w:rPr>
              <w:t>问行为</w:t>
            </w:r>
          </w:p>
        </w:tc>
      </w:tr>
    </w:tbl>
    <w:p>
      <w:pPr>
        <w:pStyle w:val="BodyText"/>
        <w:rPr/>
      </w:pPr>
      <w:r/>
    </w:p>
    <w:p>
      <w:pPr>
        <w:sectPr>
          <w:footerReference w:type="default" r:id="rId431"/>
          <w:pgSz w:w="8870" w:h="13400"/>
          <w:pgMar w:top="400" w:right="474" w:bottom="614" w:left="419" w:header="0" w:footer="396" w:gutter="0"/>
        </w:sectPr>
        <w:rPr/>
      </w:pPr>
    </w:p>
    <w:p>
      <w:pPr>
        <w:ind w:left="5698"/>
        <w:spacing w:before="264" w:line="601" w:lineRule="exact"/>
        <w:rPr>
          <w:rFonts w:ascii="SimSun" w:hAnsi="SimSun" w:eastAsia="SimSun" w:cs="SimSun"/>
          <w:sz w:val="22"/>
          <w:szCs w:val="22"/>
        </w:rPr>
      </w:pPr>
      <w:r>
        <w:rPr>
          <w:rFonts w:ascii="SimSun" w:hAnsi="SimSun" w:eastAsia="SimSun" w:cs="SimSun"/>
          <w:sz w:val="22"/>
          <w:szCs w:val="22"/>
          <w:b/>
          <w:bCs/>
          <w:spacing w:val="10"/>
          <w:position w:val="29"/>
        </w:rPr>
        <w:t>第9章■安全与隐私</w:t>
      </w:r>
    </w:p>
    <w:p>
      <w:pPr>
        <w:ind w:left="687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66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1967"/>
        <w:gridCol w:w="1788"/>
        <w:gridCol w:w="2561"/>
      </w:tblGrid>
      <w:tr>
        <w:trPr>
          <w:trHeight w:val="364" w:hRule="atLeast"/>
        </w:trPr>
        <w:tc>
          <w:tcPr>
            <w:tcW w:w="1353" w:type="dxa"/>
            <w:vAlign w:val="top"/>
          </w:tcPr>
          <w:p>
            <w:pPr>
              <w:pStyle w:val="TableText"/>
              <w:ind w:left="405"/>
              <w:spacing w:before="111" w:line="220" w:lineRule="auto"/>
              <w:rPr/>
            </w:pPr>
            <w:r>
              <w:rPr>
                <w:spacing w:val="-12"/>
              </w:rPr>
              <w:t>目    标</w:t>
            </w:r>
          </w:p>
        </w:tc>
        <w:tc>
          <w:tcPr>
            <w:tcW w:w="1967" w:type="dxa"/>
            <w:vAlign w:val="top"/>
          </w:tcPr>
          <w:p>
            <w:pPr>
              <w:pStyle w:val="TableText"/>
              <w:ind w:left="671"/>
              <w:spacing w:before="113" w:line="221" w:lineRule="auto"/>
              <w:rPr/>
            </w:pPr>
            <w:r>
              <w:rPr>
                <w:spacing w:val="-12"/>
              </w:rPr>
              <w:t>问</w:t>
            </w:r>
            <w:r>
              <w:rPr>
                <w:spacing w:val="10"/>
              </w:rPr>
              <w:t xml:space="preserve">   </w:t>
            </w:r>
            <w:r>
              <w:rPr>
                <w:spacing w:val="-12"/>
              </w:rPr>
              <w:t>题</w:t>
            </w:r>
          </w:p>
        </w:tc>
        <w:tc>
          <w:tcPr>
            <w:tcW w:w="1788" w:type="dxa"/>
            <w:vAlign w:val="top"/>
          </w:tcPr>
          <w:p>
            <w:pPr>
              <w:pStyle w:val="TableText"/>
              <w:ind w:left="535"/>
              <w:spacing w:before="111" w:line="220" w:lineRule="auto"/>
              <w:rPr/>
            </w:pPr>
            <w:r>
              <w:rPr>
                <w:spacing w:val="-4"/>
              </w:rPr>
              <w:t>度</w:t>
            </w:r>
            <w:r>
              <w:rPr>
                <w:spacing w:val="2"/>
              </w:rPr>
              <w:t xml:space="preserve">  </w:t>
            </w:r>
            <w:r>
              <w:rPr>
                <w:spacing w:val="-4"/>
              </w:rPr>
              <w:t>量</w:t>
            </w:r>
            <w:r>
              <w:rPr>
                <w:spacing w:val="10"/>
              </w:rPr>
              <w:t xml:space="preserve"> </w:t>
            </w:r>
            <w:r>
              <w:rPr>
                <w:spacing w:val="-4"/>
              </w:rPr>
              <w:t>项</w:t>
            </w:r>
          </w:p>
        </w:tc>
        <w:tc>
          <w:tcPr>
            <w:tcW w:w="2561" w:type="dxa"/>
            <w:vAlign w:val="top"/>
          </w:tcPr>
          <w:p>
            <w:pPr>
              <w:pStyle w:val="TableText"/>
              <w:ind w:left="897"/>
              <w:spacing w:before="111" w:line="219" w:lineRule="auto"/>
              <w:rPr/>
            </w:pPr>
            <w:r>
              <w:rPr>
                <w:spacing w:val="3"/>
              </w:rPr>
              <w:t>度量项说明</w:t>
            </w:r>
          </w:p>
        </w:tc>
      </w:tr>
      <w:tr>
        <w:trPr>
          <w:trHeight w:val="1984" w:hRule="atLeast"/>
        </w:trPr>
        <w:tc>
          <w:tcPr>
            <w:tcW w:w="1353" w:type="dxa"/>
            <w:vAlign w:val="top"/>
            <w:vMerge w:val="restart"/>
            <w:tcBorders>
              <w:bottom w:val="nil"/>
            </w:tcBorders>
          </w:tcPr>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104" w:right="153" w:firstLine="149"/>
              <w:spacing w:before="49" w:line="303" w:lineRule="auto"/>
              <w:rPr/>
            </w:pPr>
            <w:r>
              <w:rPr>
                <w:spacing w:val="-1"/>
              </w:rPr>
              <w:t>G3:建立标准</w:t>
            </w:r>
            <w:r>
              <w:rPr/>
              <w:t xml:space="preserve">  </w:t>
            </w:r>
            <w:r>
              <w:rPr>
                <w:spacing w:val="4"/>
              </w:rPr>
              <w:t>遵守的有效的治</w:t>
            </w:r>
            <w:r>
              <w:rPr>
                <w:spacing w:val="5"/>
              </w:rPr>
              <w:t xml:space="preserve"> </w:t>
            </w:r>
            <w:r>
              <w:rPr>
                <w:spacing w:val="-2"/>
              </w:rPr>
              <w:t>理和审核过程</w:t>
            </w:r>
          </w:p>
        </w:tc>
        <w:tc>
          <w:tcPr>
            <w:tcW w:w="1967"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122" w:right="284" w:firstLine="129"/>
              <w:spacing w:before="48" w:line="282" w:lineRule="auto"/>
              <w:rPr/>
            </w:pPr>
            <w:r>
              <w:rPr>
                <w:spacing w:val="-1"/>
              </w:rPr>
              <w:t>Q3:组织如何确定数据</w:t>
            </w:r>
            <w:r>
              <w:rPr>
                <w:spacing w:val="5"/>
              </w:rPr>
              <w:t xml:space="preserve"> </w:t>
            </w:r>
            <w:r>
              <w:rPr>
                <w:spacing w:val="-2"/>
              </w:rPr>
              <w:t>安全管理的效果</w:t>
            </w:r>
          </w:p>
        </w:tc>
        <w:tc>
          <w:tcPr>
            <w:tcW w:w="1788" w:type="dxa"/>
            <w:vAlign w:val="top"/>
          </w:tcPr>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95" w:right="229" w:firstLine="179"/>
              <w:spacing w:before="49" w:line="283" w:lineRule="auto"/>
              <w:rPr/>
            </w:pPr>
            <w:r>
              <w:rPr>
                <w:spacing w:val="-1"/>
              </w:rPr>
              <w:t>M6:数据安全审计机</w:t>
            </w:r>
            <w:r>
              <w:rPr>
                <w:spacing w:val="7"/>
              </w:rPr>
              <w:t xml:space="preserve"> </w:t>
            </w:r>
            <w:r>
              <w:rPr/>
              <w:t>制</w:t>
            </w:r>
          </w:p>
        </w:tc>
        <w:tc>
          <w:tcPr>
            <w:tcW w:w="2561" w:type="dxa"/>
            <w:vAlign w:val="top"/>
          </w:tcPr>
          <w:p>
            <w:pPr>
              <w:pStyle w:val="TableText"/>
              <w:ind w:left="127" w:right="140" w:firstLine="99"/>
              <w:spacing w:before="89" w:line="328" w:lineRule="auto"/>
              <w:rPr/>
            </w:pPr>
            <w:r>
              <w:rPr>
                <w:spacing w:val="-1"/>
              </w:rPr>
              <w:t>组织应建立高效、持续的数据安</w:t>
            </w:r>
            <w:r>
              <w:rPr>
                <w:spacing w:val="2"/>
              </w:rPr>
              <w:t xml:space="preserve">  </w:t>
            </w:r>
            <w:r>
              <w:rPr/>
              <w:t>全审计机制，对数据安全策略、数</w:t>
            </w:r>
            <w:r>
              <w:rPr>
                <w:spacing w:val="13"/>
              </w:rPr>
              <w:t xml:space="preserve"> </w:t>
            </w:r>
            <w:r>
              <w:rPr/>
              <w:t>据安全标准、变更请求、访问监控</w:t>
            </w:r>
            <w:r>
              <w:rPr>
                <w:spacing w:val="13"/>
              </w:rPr>
              <w:t xml:space="preserve"> </w:t>
            </w:r>
            <w:r>
              <w:rPr>
                <w:spacing w:val="1"/>
              </w:rPr>
              <w:t>日志以及其他电子和书面记录进行</w:t>
            </w:r>
            <w:r>
              <w:rPr>
                <w:spacing w:val="11"/>
              </w:rPr>
              <w:t xml:space="preserve"> </w:t>
            </w:r>
            <w:r>
              <w:rPr/>
              <w:t>审计，以确保数据资产在使用过程</w:t>
            </w:r>
            <w:r>
              <w:rPr>
                <w:spacing w:val="5"/>
              </w:rPr>
              <w:t xml:space="preserve"> </w:t>
            </w:r>
            <w:r>
              <w:rPr>
                <w:spacing w:val="2"/>
              </w:rPr>
              <w:t>中有恰当的认证、授权、访问和审 </w:t>
            </w:r>
            <w:r>
              <w:rPr>
                <w:spacing w:val="-2"/>
              </w:rPr>
              <w:t>计等措施</w:t>
            </w:r>
          </w:p>
        </w:tc>
      </w:tr>
      <w:tr>
        <w:trPr>
          <w:trHeight w:val="1162" w:hRule="atLeast"/>
        </w:trPr>
        <w:tc>
          <w:tcPr>
            <w:tcW w:w="1353" w:type="dxa"/>
            <w:vAlign w:val="top"/>
            <w:vMerge w:val="continue"/>
            <w:tcBorders>
              <w:top w:val="nil"/>
            </w:tcBorders>
          </w:tcPr>
          <w:p>
            <w:pPr>
              <w:rPr>
                <w:rFonts w:ascii="Arial"/>
                <w:sz w:val="21"/>
              </w:rPr>
            </w:pPr>
            <w:r/>
          </w:p>
        </w:tc>
        <w:tc>
          <w:tcPr>
            <w:tcW w:w="1967" w:type="dxa"/>
            <w:vAlign w:val="top"/>
            <w:vMerge w:val="continue"/>
            <w:tcBorders>
              <w:top w:val="nil"/>
            </w:tcBorders>
          </w:tcPr>
          <w:p>
            <w:pPr>
              <w:rPr>
                <w:rFonts w:ascii="Arial"/>
                <w:sz w:val="21"/>
              </w:rPr>
            </w:pPr>
            <w:r/>
          </w:p>
        </w:tc>
        <w:tc>
          <w:tcPr>
            <w:tcW w:w="1788" w:type="dxa"/>
            <w:vAlign w:val="top"/>
          </w:tcPr>
          <w:p>
            <w:pPr>
              <w:spacing w:line="331" w:lineRule="auto"/>
              <w:rPr>
                <w:rFonts w:ascii="Arial"/>
                <w:sz w:val="21"/>
              </w:rPr>
            </w:pPr>
            <w:r/>
          </w:p>
          <w:p>
            <w:pPr>
              <w:pStyle w:val="TableText"/>
              <w:ind w:left="124" w:right="239" w:firstLine="140"/>
              <w:spacing w:before="49" w:line="283" w:lineRule="auto"/>
              <w:rPr/>
            </w:pPr>
            <w:r>
              <w:rPr>
                <w:spacing w:val="-1"/>
              </w:rPr>
              <w:t>M7:数据安全意识培</w:t>
            </w:r>
            <w:r>
              <w:rPr>
                <w:spacing w:val="7"/>
              </w:rPr>
              <w:t xml:space="preserve"> </w:t>
            </w:r>
            <w:r>
              <w:rPr/>
              <w:t>训</w:t>
            </w:r>
          </w:p>
        </w:tc>
        <w:tc>
          <w:tcPr>
            <w:tcW w:w="2561" w:type="dxa"/>
            <w:vAlign w:val="top"/>
          </w:tcPr>
          <w:p>
            <w:pPr>
              <w:pStyle w:val="TableText"/>
              <w:ind w:left="117" w:right="232" w:firstLine="109"/>
              <w:spacing w:before="102" w:line="282" w:lineRule="auto"/>
              <w:rPr/>
            </w:pPr>
            <w:r>
              <w:rPr>
                <w:spacing w:val="-1"/>
              </w:rPr>
              <w:t>企业应采用培训、绩效等方式鼓</w:t>
            </w:r>
            <w:r>
              <w:rPr>
                <w:spacing w:val="4"/>
              </w:rPr>
              <w:t xml:space="preserve"> </w:t>
            </w:r>
            <w:r>
              <w:rPr>
                <w:spacing w:val="-1"/>
              </w:rPr>
              <w:t>励员工积极参与到数据安全活动</w:t>
            </w:r>
          </w:p>
          <w:p>
            <w:pPr>
              <w:pStyle w:val="TableText"/>
              <w:ind w:left="117" w:right="148" w:firstLine="29"/>
              <w:spacing w:before="102" w:line="282" w:lineRule="auto"/>
              <w:rPr/>
            </w:pPr>
            <w:r>
              <w:rPr/>
              <w:t>中，所有利益相关者均能在日常运</w:t>
            </w:r>
            <w:r>
              <w:rPr>
                <w:spacing w:val="4"/>
              </w:rPr>
              <w:t xml:space="preserve"> </w:t>
            </w:r>
            <w:r>
              <w:rPr>
                <w:spacing w:val="-1"/>
              </w:rPr>
              <w:t>营过程中自然遵守这些制订</w:t>
            </w:r>
          </w:p>
        </w:tc>
      </w:tr>
    </w:tbl>
    <w:p>
      <w:pPr>
        <w:pStyle w:val="BodyText"/>
        <w:spacing w:line="253" w:lineRule="auto"/>
        <w:rPr/>
      </w:pPr>
      <w:r/>
    </w:p>
    <w:p>
      <w:pPr>
        <w:ind w:left="438"/>
        <w:spacing w:before="72" w:line="492" w:lineRule="exact"/>
        <w:rPr>
          <w:rFonts w:ascii="YouYuan" w:hAnsi="YouYuan" w:eastAsia="YouYuan" w:cs="YouYuan"/>
          <w:sz w:val="22"/>
          <w:szCs w:val="22"/>
        </w:rPr>
      </w:pPr>
      <w:r>
        <w:rPr>
          <w:rFonts w:ascii="YouYuan" w:hAnsi="YouYuan" w:eastAsia="YouYuan" w:cs="YouYuan"/>
          <w:sz w:val="22"/>
          <w:szCs w:val="22"/>
          <w:b/>
          <w:bCs/>
          <w:spacing w:val="-2"/>
          <w:position w:val="20"/>
        </w:rPr>
        <w:t>3.</w:t>
      </w:r>
      <w:r>
        <w:rPr>
          <w:rFonts w:ascii="YouYuan" w:hAnsi="YouYuan" w:eastAsia="YouYuan" w:cs="YouYuan"/>
          <w:sz w:val="22"/>
          <w:szCs w:val="22"/>
          <w:spacing w:val="-2"/>
          <w:position w:val="20"/>
        </w:rPr>
        <w:t xml:space="preserve"> </w:t>
      </w:r>
      <w:r>
        <w:rPr>
          <w:rFonts w:ascii="YouYuan" w:hAnsi="YouYuan" w:eastAsia="YouYuan" w:cs="YouYuan"/>
          <w:sz w:val="22"/>
          <w:szCs w:val="22"/>
          <w:b/>
          <w:bCs/>
          <w:spacing w:val="-2"/>
          <w:position w:val="20"/>
        </w:rPr>
        <w:t>成熟度等级介绍</w:t>
      </w:r>
    </w:p>
    <w:p>
      <w:pPr>
        <w:ind w:left="435"/>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44"/>
        </w:rPr>
        <w:t xml:space="preserve"> </w:t>
      </w: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6"/>
        </w:rPr>
        <w:t>初始级</w:t>
      </w:r>
    </w:p>
    <w:p>
      <w:pPr>
        <w:spacing w:line="117" w:lineRule="exact"/>
        <w:rPr/>
      </w:pPr>
      <w:r/>
    </w:p>
    <w:tbl>
      <w:tblPr>
        <w:tblStyle w:val="TableNormal"/>
        <w:tblW w:w="767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0"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5" w:type="dxa"/>
            <w:vAlign w:val="top"/>
          </w:tcPr>
          <w:p>
            <w:pPr>
              <w:pStyle w:val="TableText"/>
              <w:ind w:left="1160"/>
              <w:spacing w:before="91" w:line="219" w:lineRule="auto"/>
              <w:rPr>
                <w:sz w:val="16"/>
                <w:szCs w:val="16"/>
              </w:rPr>
            </w:pPr>
            <w:r>
              <w:rPr>
                <w:sz w:val="16"/>
                <w:szCs w:val="16"/>
                <w:spacing w:val="-4"/>
              </w:rPr>
              <w:t>等 级 要 求</w:t>
            </w:r>
          </w:p>
        </w:tc>
        <w:tc>
          <w:tcPr>
            <w:tcW w:w="3780" w:type="dxa"/>
            <w:vAlign w:val="top"/>
          </w:tcPr>
          <w:p>
            <w:pPr>
              <w:pStyle w:val="TableText"/>
              <w:ind w:left="158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4"/>
              <w:spacing w:before="141" w:line="184" w:lineRule="auto"/>
              <w:rPr>
                <w:sz w:val="16"/>
                <w:szCs w:val="16"/>
              </w:rPr>
            </w:pPr>
            <w:r>
              <w:rPr>
                <w:sz w:val="16"/>
                <w:szCs w:val="16"/>
                <w:spacing w:val="-5"/>
              </w:rPr>
              <w:t>1.1</w:t>
            </w:r>
          </w:p>
        </w:tc>
        <w:tc>
          <w:tcPr>
            <w:tcW w:w="3155" w:type="dxa"/>
            <w:vAlign w:val="top"/>
          </w:tcPr>
          <w:p>
            <w:pPr>
              <w:pStyle w:val="TableText"/>
              <w:ind w:left="280"/>
              <w:spacing w:before="101" w:line="219" w:lineRule="auto"/>
              <w:rPr>
                <w:sz w:val="16"/>
                <w:szCs w:val="16"/>
              </w:rPr>
            </w:pPr>
            <w:r>
              <w:rPr>
                <w:sz w:val="16"/>
                <w:szCs w:val="16"/>
                <w:spacing w:val="-1"/>
              </w:rPr>
              <w:t>识别具体项目的数据安全需求</w:t>
            </w:r>
          </w:p>
        </w:tc>
        <w:tc>
          <w:tcPr>
            <w:tcW w:w="3780" w:type="dxa"/>
            <w:vAlign w:val="top"/>
          </w:tcPr>
          <w:p>
            <w:pPr>
              <w:pStyle w:val="TableText"/>
              <w:ind w:left="286"/>
              <w:spacing w:before="101" w:line="219" w:lineRule="auto"/>
              <w:rPr>
                <w:sz w:val="16"/>
                <w:szCs w:val="16"/>
              </w:rPr>
            </w:pPr>
            <w:r>
              <w:rPr>
                <w:sz w:val="16"/>
                <w:szCs w:val="16"/>
              </w:rPr>
              <w:t>●项目数据安全需求列表</w:t>
            </w:r>
          </w:p>
        </w:tc>
      </w:tr>
    </w:tbl>
    <w:p>
      <w:pPr>
        <w:ind w:left="325"/>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34" w:right="148" w:firstLine="400"/>
        <w:spacing w:before="68" w:line="246" w:lineRule="auto"/>
        <w:rPr>
          <w:rFonts w:ascii="SimSun" w:hAnsi="SimSun" w:eastAsia="SimSun" w:cs="SimSun"/>
          <w:sz w:val="22"/>
          <w:szCs w:val="22"/>
        </w:rPr>
      </w:pPr>
      <w:r>
        <w:rPr>
          <w:rFonts w:ascii="SimSun" w:hAnsi="SimSun" w:eastAsia="SimSun" w:cs="SimSun"/>
          <w:sz w:val="22"/>
          <w:szCs w:val="22"/>
          <w:spacing w:val="-11"/>
        </w:rPr>
        <w:t>对业务进行透彻地了解，在系统开发项目的分析阶段识别具体的应</w:t>
      </w:r>
      <w:r>
        <w:rPr>
          <w:rFonts w:ascii="SimSun" w:hAnsi="SimSun" w:eastAsia="SimSun" w:cs="SimSun"/>
          <w:sz w:val="22"/>
          <w:szCs w:val="22"/>
          <w:spacing w:val="-12"/>
        </w:rPr>
        <w:t>用安全要求。</w:t>
      </w:r>
      <w:r>
        <w:rPr>
          <w:rFonts w:ascii="SimSun" w:hAnsi="SimSun" w:eastAsia="SimSun" w:cs="SimSun"/>
          <w:sz w:val="22"/>
          <w:szCs w:val="22"/>
        </w:rPr>
        <w:t xml:space="preserve"> </w:t>
      </w:r>
      <w:r>
        <w:rPr>
          <w:rFonts w:ascii="SimSun" w:hAnsi="SimSun" w:eastAsia="SimSun" w:cs="SimSun"/>
          <w:sz w:val="22"/>
          <w:szCs w:val="22"/>
          <w:spacing w:val="-8"/>
        </w:rPr>
        <w:t>但缺乏负责数据安全工作策略制订的团队，也未针对数据安全工作的开展制订相应</w:t>
      </w:r>
      <w:r>
        <w:rPr>
          <w:rFonts w:ascii="SimSun" w:hAnsi="SimSun" w:eastAsia="SimSun" w:cs="SimSun"/>
          <w:sz w:val="22"/>
          <w:szCs w:val="22"/>
          <w:spacing w:val="16"/>
        </w:rPr>
        <w:t xml:space="preserve"> </w:t>
      </w:r>
      <w:r>
        <w:rPr>
          <w:rFonts w:ascii="SimSun" w:hAnsi="SimSun" w:eastAsia="SimSun" w:cs="SimSun"/>
          <w:sz w:val="22"/>
          <w:szCs w:val="22"/>
          <w:spacing w:val="-10"/>
        </w:rPr>
        <w:t>的策略、制度和规范，仅在部分项目中考虑到了数据安全的风险。</w:t>
      </w:r>
    </w:p>
    <w:p>
      <w:pPr>
        <w:ind w:left="34" w:right="249" w:firstLine="400"/>
        <w:spacing w:before="51" w:line="239" w:lineRule="auto"/>
        <w:rPr>
          <w:rFonts w:ascii="SimSun" w:hAnsi="SimSun" w:eastAsia="SimSun" w:cs="SimSun"/>
          <w:sz w:val="22"/>
          <w:szCs w:val="22"/>
        </w:rPr>
      </w:pPr>
      <w:r>
        <w:rPr>
          <w:rFonts w:ascii="SimSun" w:hAnsi="SimSun" w:eastAsia="SimSun" w:cs="SimSun"/>
          <w:sz w:val="22"/>
          <w:szCs w:val="22"/>
          <w:spacing w:val="-8"/>
        </w:rPr>
        <w:t>数据安全管理的最终目标是保护信息资产，使其符合隐私及法律法规要求，并</w:t>
      </w:r>
      <w:r>
        <w:rPr>
          <w:rFonts w:ascii="SimSun" w:hAnsi="SimSun" w:eastAsia="SimSun" w:cs="SimSun"/>
          <w:sz w:val="22"/>
          <w:szCs w:val="22"/>
        </w:rPr>
        <w:t xml:space="preserve"> </w:t>
      </w:r>
      <w:r>
        <w:rPr>
          <w:rFonts w:ascii="SimSun" w:hAnsi="SimSun" w:eastAsia="SimSun" w:cs="SimSun"/>
          <w:sz w:val="22"/>
          <w:szCs w:val="22"/>
          <w:spacing w:val="-11"/>
        </w:rPr>
        <w:t>与业务要求相一致，这些要求主要依据以下四条。</w:t>
      </w:r>
    </w:p>
    <w:p>
      <w:pPr>
        <w:ind w:left="435"/>
        <w:spacing w:before="60" w:line="219" w:lineRule="auto"/>
        <w:rPr>
          <w:rFonts w:ascii="SimSun" w:hAnsi="SimSun" w:eastAsia="SimSun" w:cs="SimSun"/>
          <w:sz w:val="22"/>
          <w:szCs w:val="22"/>
        </w:rPr>
      </w:pPr>
      <w:r>
        <w:rPr>
          <w:rFonts w:ascii="SimSun" w:hAnsi="SimSun" w:eastAsia="SimSun" w:cs="SimSun"/>
          <w:sz w:val="22"/>
          <w:szCs w:val="22"/>
          <w:spacing w:val="-17"/>
        </w:rPr>
        <w:t>●利益相关者的隐私及保密需要，利益相关者包括客户</w:t>
      </w:r>
      <w:r>
        <w:rPr>
          <w:rFonts w:ascii="SimSun" w:hAnsi="SimSun" w:eastAsia="SimSun" w:cs="SimSun"/>
          <w:sz w:val="22"/>
          <w:szCs w:val="22"/>
          <w:spacing w:val="-18"/>
        </w:rPr>
        <w:t>、最终用户、合作伙伴等；</w:t>
      </w:r>
    </w:p>
    <w:p>
      <w:pPr>
        <w:ind w:left="435"/>
        <w:spacing w:before="39" w:line="219" w:lineRule="auto"/>
        <w:rPr>
          <w:rFonts w:ascii="SimSun" w:hAnsi="SimSun" w:eastAsia="SimSun" w:cs="SimSun"/>
          <w:sz w:val="22"/>
          <w:szCs w:val="22"/>
        </w:rPr>
      </w:pPr>
      <w:r>
        <w:rPr>
          <w:rFonts w:ascii="SimSun" w:hAnsi="SimSun" w:eastAsia="SimSun" w:cs="SimSun"/>
          <w:sz w:val="22"/>
          <w:szCs w:val="22"/>
          <w:spacing w:val="-8"/>
        </w:rPr>
        <w:t>●法律法规，法律法规保护利益相关者的安全利益；</w:t>
      </w:r>
    </w:p>
    <w:p>
      <w:pPr>
        <w:ind w:left="435"/>
        <w:spacing w:before="59" w:line="219" w:lineRule="auto"/>
        <w:rPr>
          <w:rFonts w:ascii="SimSun" w:hAnsi="SimSun" w:eastAsia="SimSun" w:cs="SimSun"/>
          <w:sz w:val="22"/>
          <w:szCs w:val="22"/>
        </w:rPr>
      </w:pPr>
      <w:r>
        <w:rPr>
          <w:rFonts w:ascii="SimSun" w:hAnsi="SimSun" w:eastAsia="SimSun" w:cs="SimSun"/>
          <w:sz w:val="22"/>
          <w:szCs w:val="22"/>
          <w:spacing w:val="-11"/>
        </w:rPr>
        <w:t>●特定业务关注，每个组织、部门都有自己需要保护的特定数据，如知识产权；</w:t>
      </w:r>
    </w:p>
    <w:p>
      <w:pPr>
        <w:ind w:left="435"/>
        <w:spacing w:before="50" w:line="220" w:lineRule="auto"/>
        <w:rPr>
          <w:rFonts w:ascii="SimSun" w:hAnsi="SimSun" w:eastAsia="SimSun" w:cs="SimSun"/>
          <w:sz w:val="22"/>
          <w:szCs w:val="22"/>
        </w:rPr>
      </w:pPr>
      <w:r>
        <w:rPr>
          <w:rFonts w:ascii="SimSun" w:hAnsi="SimSun" w:eastAsia="SimSun" w:cs="SimSun"/>
          <w:sz w:val="22"/>
          <w:szCs w:val="22"/>
          <w:spacing w:val="-7"/>
        </w:rPr>
        <w:t>●合法访问需求。</w:t>
      </w:r>
    </w:p>
    <w:p>
      <w:pPr>
        <w:ind w:left="435"/>
        <w:spacing w:before="32"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b/>
          <w:bCs/>
          <w:spacing w:val="39"/>
        </w:rPr>
        <w:t xml:space="preserve"> </w:t>
      </w:r>
      <w:r>
        <w:rPr>
          <w:rFonts w:ascii="SimHei" w:hAnsi="SimHei" w:eastAsia="SimHei" w:cs="SimHei"/>
          <w:sz w:val="22"/>
          <w:szCs w:val="22"/>
          <w:b/>
          <w:bCs/>
          <w:spacing w:val="-5"/>
        </w:rPr>
        <w:t>管理级</w:t>
      </w:r>
    </w:p>
    <w:p>
      <w:pPr>
        <w:spacing w:line="128" w:lineRule="exact"/>
        <w:rPr/>
      </w:pPr>
      <w:r/>
    </w:p>
    <w:tbl>
      <w:tblPr>
        <w:tblStyle w:val="TableNormal"/>
        <w:tblW w:w="7680"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6"/>
        <w:gridCol w:w="3790"/>
      </w:tblGrid>
      <w:tr>
        <w:trPr>
          <w:trHeight w:val="361"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46" w:type="dxa"/>
            <w:vAlign w:val="top"/>
          </w:tcPr>
          <w:p>
            <w:pPr>
              <w:pStyle w:val="TableText"/>
              <w:ind w:left="1141"/>
              <w:spacing w:before="101" w:line="219" w:lineRule="auto"/>
              <w:rPr>
                <w:sz w:val="16"/>
                <w:szCs w:val="16"/>
              </w:rPr>
            </w:pPr>
            <w:r>
              <w:rPr>
                <w:sz w:val="16"/>
                <w:szCs w:val="16"/>
                <w:spacing w:val="-4"/>
              </w:rPr>
              <w:t>等 级 要 求</w:t>
            </w:r>
          </w:p>
        </w:tc>
        <w:tc>
          <w:tcPr>
            <w:tcW w:w="3790" w:type="dxa"/>
            <w:vAlign w:val="top"/>
          </w:tcPr>
          <w:p>
            <w:pPr>
              <w:pStyle w:val="TableText"/>
              <w:ind w:left="159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44" w:type="dxa"/>
            <w:vAlign w:val="top"/>
          </w:tcPr>
          <w:p>
            <w:pPr>
              <w:pStyle w:val="TableText"/>
              <w:ind w:left="245"/>
              <w:spacing w:before="261" w:line="184" w:lineRule="auto"/>
              <w:rPr>
                <w:sz w:val="16"/>
                <w:szCs w:val="16"/>
              </w:rPr>
            </w:pPr>
            <w:r>
              <w:rPr>
                <w:sz w:val="16"/>
                <w:szCs w:val="16"/>
                <w:spacing w:val="-2"/>
              </w:rPr>
              <w:t>2.1</w:t>
            </w:r>
          </w:p>
        </w:tc>
        <w:tc>
          <w:tcPr>
            <w:tcW w:w="3146" w:type="dxa"/>
            <w:vAlign w:val="top"/>
          </w:tcPr>
          <w:p>
            <w:pPr>
              <w:pStyle w:val="TableText"/>
              <w:ind w:left="101" w:right="221" w:firstLine="99"/>
              <w:spacing w:before="100" w:line="271" w:lineRule="auto"/>
              <w:rPr>
                <w:sz w:val="16"/>
                <w:szCs w:val="16"/>
              </w:rPr>
            </w:pPr>
            <w:r>
              <w:rPr>
                <w:sz w:val="16"/>
                <w:szCs w:val="16"/>
                <w:spacing w:val="-1"/>
              </w:rPr>
              <w:t>基于组织数据安全需求定义数据安全策</w:t>
            </w:r>
            <w:r>
              <w:rPr>
                <w:sz w:val="16"/>
                <w:szCs w:val="16"/>
                <w:spacing w:val="9"/>
              </w:rPr>
              <w:t xml:space="preserve"> </w:t>
            </w:r>
            <w:r>
              <w:rPr>
                <w:sz w:val="16"/>
                <w:szCs w:val="16"/>
              </w:rPr>
              <w:t>略，并获得评审和批准</w:t>
            </w:r>
          </w:p>
        </w:tc>
        <w:tc>
          <w:tcPr>
            <w:tcW w:w="3790" w:type="dxa"/>
            <w:vAlign w:val="top"/>
          </w:tcPr>
          <w:p>
            <w:pPr>
              <w:pStyle w:val="TableText"/>
              <w:ind w:left="275"/>
              <w:spacing w:before="100" w:line="219" w:lineRule="auto"/>
              <w:rPr>
                <w:sz w:val="16"/>
                <w:szCs w:val="16"/>
              </w:rPr>
            </w:pPr>
            <w:r>
              <w:rPr>
                <w:sz w:val="16"/>
                <w:szCs w:val="16"/>
              </w:rPr>
              <w:t>●数据安全管理策略、程序</w:t>
            </w:r>
          </w:p>
          <w:p>
            <w:pPr>
              <w:pStyle w:val="TableText"/>
              <w:ind w:left="275"/>
              <w:spacing w:before="100" w:line="219" w:lineRule="auto"/>
              <w:rPr>
                <w:sz w:val="16"/>
                <w:szCs w:val="16"/>
              </w:rPr>
            </w:pPr>
            <w:r>
              <w:rPr>
                <w:sz w:val="16"/>
                <w:szCs w:val="16"/>
              </w:rPr>
              <w:t>●数据安全策略评审记录</w:t>
            </w:r>
          </w:p>
        </w:tc>
      </w:tr>
    </w:tbl>
    <w:p>
      <w:pPr>
        <w:ind w:left="325"/>
        <w:spacing w:before="17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35"/>
        <w:spacing w:before="49" w:line="219" w:lineRule="auto"/>
        <w:rPr>
          <w:rFonts w:ascii="SimSun" w:hAnsi="SimSun" w:eastAsia="SimSun" w:cs="SimSun"/>
          <w:sz w:val="22"/>
          <w:szCs w:val="22"/>
        </w:rPr>
      </w:pPr>
      <w:r>
        <w:rPr>
          <w:rFonts w:ascii="SimSun" w:hAnsi="SimSun" w:eastAsia="SimSun" w:cs="SimSun"/>
          <w:sz w:val="22"/>
          <w:szCs w:val="22"/>
          <w:spacing w:val="-7"/>
        </w:rPr>
        <w:t>定义数据安全策略应基于组织数据安全需求，数</w:t>
      </w:r>
      <w:r>
        <w:rPr>
          <w:rFonts w:ascii="SimSun" w:hAnsi="SimSun" w:eastAsia="SimSun" w:cs="SimSun"/>
          <w:sz w:val="22"/>
          <w:szCs w:val="22"/>
          <w:spacing w:val="-8"/>
        </w:rPr>
        <w:t>据安全策略应以数据中心为中</w:t>
      </w:r>
    </w:p>
    <w:p>
      <w:pPr>
        <w:spacing w:line="219" w:lineRule="auto"/>
        <w:sectPr>
          <w:footerReference w:type="default" r:id="rId433"/>
          <w:pgSz w:w="8870" w:h="13400"/>
          <w:pgMar w:top="400" w:right="491" w:bottom="524" w:left="484" w:header="0" w:footer="306" w:gutter="0"/>
        </w:sectPr>
        <w:rPr>
          <w:rFonts w:ascii="SimSun" w:hAnsi="SimSun" w:eastAsia="SimSun" w:cs="SimSun"/>
          <w:sz w:val="22"/>
          <w:szCs w:val="22"/>
        </w:rPr>
      </w:pPr>
    </w:p>
    <w:p>
      <w:pPr>
        <w:ind w:left="129"/>
        <w:spacing w:before="22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304" name="IM 304"/>
            <wp:cNvGraphicFramePr/>
            <a:graphic>
              <a:graphicData uri="http://schemas.openxmlformats.org/drawingml/2006/picture">
                <pic:pic>
                  <pic:nvPicPr>
                    <pic:cNvPr id="304" name="IM 304"/>
                    <pic:cNvPicPr/>
                  </pic:nvPicPr>
                  <pic:blipFill>
                    <a:blip r:embed="rId435"/>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15"/>
        </w:rPr>
        <w:t>■云端数据治理</w:t>
      </w:r>
    </w:p>
    <w:p>
      <w:pPr>
        <w:ind w:left="279" w:right="90"/>
        <w:spacing w:before="278" w:line="244" w:lineRule="auto"/>
        <w:rPr>
          <w:rFonts w:ascii="SimSun" w:hAnsi="SimSun" w:eastAsia="SimSun" w:cs="SimSun"/>
          <w:sz w:val="22"/>
          <w:szCs w:val="22"/>
        </w:rPr>
      </w:pPr>
      <w:r>
        <w:rPr>
          <w:rFonts w:ascii="SimSun" w:hAnsi="SimSun" w:eastAsia="SimSun" w:cs="SimSun"/>
          <w:sz w:val="22"/>
          <w:szCs w:val="22"/>
          <w:spacing w:val="-8"/>
        </w:rPr>
        <w:t>心，定义应用程序、数据库角色、用户组和密码标准等。定义的数据安全策</w:t>
      </w:r>
      <w:r>
        <w:rPr>
          <w:rFonts w:ascii="SimSun" w:hAnsi="SimSun" w:eastAsia="SimSun" w:cs="SimSun"/>
          <w:sz w:val="22"/>
          <w:szCs w:val="22"/>
          <w:spacing w:val="-9"/>
        </w:rPr>
        <w:t>略应当</w:t>
      </w:r>
      <w:r>
        <w:rPr>
          <w:rFonts w:ascii="SimSun" w:hAnsi="SimSun" w:eastAsia="SimSun" w:cs="SimSun"/>
          <w:sz w:val="22"/>
          <w:szCs w:val="22"/>
        </w:rPr>
        <w:t xml:space="preserve"> </w:t>
      </w:r>
      <w:r>
        <w:rPr>
          <w:rFonts w:ascii="SimSun" w:hAnsi="SimSun" w:eastAsia="SimSun" w:cs="SimSun"/>
          <w:sz w:val="22"/>
          <w:szCs w:val="22"/>
          <w:spacing w:val="-12"/>
        </w:rPr>
        <w:t>得到数据相关者的评审和批准。</w:t>
      </w:r>
    </w:p>
    <w:p>
      <w:pPr>
        <w:spacing w:line="124" w:lineRule="exact"/>
        <w:rPr/>
      </w:pPr>
      <w:r/>
    </w:p>
    <w:tbl>
      <w:tblPr>
        <w:tblStyle w:val="TableNormal"/>
        <w:tblW w:w="768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60"/>
      </w:tblGrid>
      <w:tr>
        <w:trPr>
          <w:trHeight w:val="361" w:hRule="atLeast"/>
        </w:trPr>
        <w:tc>
          <w:tcPr>
            <w:tcW w:w="754" w:type="dxa"/>
            <w:vAlign w:val="top"/>
          </w:tcPr>
          <w:p>
            <w:pPr>
              <w:pStyle w:val="TableText"/>
              <w:ind w:left="204"/>
              <w:spacing w:before="102" w:line="221" w:lineRule="auto"/>
              <w:rPr>
                <w:sz w:val="16"/>
                <w:szCs w:val="16"/>
              </w:rPr>
            </w:pPr>
            <w:r>
              <w:rPr>
                <w:sz w:val="16"/>
                <w:szCs w:val="16"/>
                <w:spacing w:val="-2"/>
              </w:rPr>
              <w:t>序号</w:t>
            </w:r>
          </w:p>
        </w:tc>
        <w:tc>
          <w:tcPr>
            <w:tcW w:w="3166" w:type="dxa"/>
            <w:vAlign w:val="top"/>
          </w:tcPr>
          <w:p>
            <w:pPr>
              <w:pStyle w:val="TableText"/>
              <w:ind w:left="1180"/>
              <w:spacing w:before="101" w:line="219" w:lineRule="auto"/>
              <w:rPr>
                <w:sz w:val="16"/>
                <w:szCs w:val="16"/>
              </w:rPr>
            </w:pPr>
            <w:r>
              <w:rPr>
                <w:sz w:val="16"/>
                <w:szCs w:val="16"/>
                <w:spacing w:val="-4"/>
              </w:rPr>
              <w:t>等 级 要 求</w:t>
            </w:r>
          </w:p>
        </w:tc>
        <w:tc>
          <w:tcPr>
            <w:tcW w:w="3760" w:type="dxa"/>
            <w:vAlign w:val="top"/>
          </w:tcPr>
          <w:p>
            <w:pPr>
              <w:pStyle w:val="TableText"/>
              <w:ind w:left="1574"/>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54" w:type="dxa"/>
            <w:vAlign w:val="top"/>
          </w:tcPr>
          <w:p>
            <w:pPr>
              <w:pStyle w:val="TableText"/>
              <w:ind w:left="244"/>
              <w:spacing w:before="262" w:line="183" w:lineRule="auto"/>
              <w:rPr>
                <w:sz w:val="16"/>
                <w:szCs w:val="16"/>
              </w:rPr>
            </w:pPr>
            <w:r>
              <w:rPr>
                <w:sz w:val="16"/>
                <w:szCs w:val="16"/>
                <w:spacing w:val="-2"/>
              </w:rPr>
              <w:t>2.2</w:t>
            </w:r>
          </w:p>
        </w:tc>
        <w:tc>
          <w:tcPr>
            <w:tcW w:w="3166" w:type="dxa"/>
            <w:vAlign w:val="top"/>
          </w:tcPr>
          <w:p>
            <w:pPr>
              <w:pStyle w:val="TableText"/>
              <w:ind w:left="100"/>
              <w:spacing w:before="220" w:line="219" w:lineRule="auto"/>
              <w:rPr>
                <w:sz w:val="16"/>
                <w:szCs w:val="16"/>
              </w:rPr>
            </w:pPr>
            <w:r>
              <w:rPr>
                <w:sz w:val="16"/>
                <w:szCs w:val="16"/>
                <w:spacing w:val="-1"/>
              </w:rPr>
              <w:t>基于数据安全维度制订数据分类分级策略</w:t>
            </w:r>
          </w:p>
        </w:tc>
        <w:tc>
          <w:tcPr>
            <w:tcW w:w="3760" w:type="dxa"/>
            <w:vAlign w:val="top"/>
          </w:tcPr>
          <w:p>
            <w:pPr>
              <w:pStyle w:val="TableText"/>
              <w:ind w:left="244"/>
              <w:spacing w:before="110" w:line="219" w:lineRule="auto"/>
              <w:rPr>
                <w:sz w:val="16"/>
                <w:szCs w:val="16"/>
              </w:rPr>
            </w:pPr>
            <w:r>
              <w:rPr>
                <w:sz w:val="16"/>
                <w:szCs w:val="16"/>
                <w:spacing w:val="1"/>
              </w:rPr>
              <w:t>●数据密级分类规定</w:t>
            </w:r>
          </w:p>
          <w:p>
            <w:pPr>
              <w:pStyle w:val="TableText"/>
              <w:ind w:left="244"/>
              <w:spacing w:before="90" w:line="219" w:lineRule="auto"/>
              <w:rPr>
                <w:sz w:val="16"/>
                <w:szCs w:val="16"/>
              </w:rPr>
            </w:pPr>
            <w:r>
              <w:rPr>
                <w:sz w:val="16"/>
                <w:szCs w:val="16"/>
              </w:rPr>
              <w:t>●数据密级分类表</w:t>
            </w:r>
          </w:p>
        </w:tc>
      </w:tr>
    </w:tbl>
    <w:p>
      <w:pPr>
        <w:ind w:left="579"/>
        <w:spacing w:before="17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100" w:firstLine="410"/>
        <w:spacing w:before="39" w:line="244" w:lineRule="auto"/>
        <w:rPr>
          <w:rFonts w:ascii="SimSun" w:hAnsi="SimSun" w:eastAsia="SimSun" w:cs="SimSun"/>
          <w:sz w:val="22"/>
          <w:szCs w:val="22"/>
        </w:rPr>
      </w:pPr>
      <w:r>
        <w:rPr>
          <w:rFonts w:ascii="SimSun" w:hAnsi="SimSun" w:eastAsia="SimSun" w:cs="SimSun"/>
          <w:sz w:val="22"/>
          <w:szCs w:val="22"/>
          <w:spacing w:val="-8"/>
        </w:rPr>
        <w:t>制订组织数据密级管理办法，并对云端数据划分密级。典型的密级分类模式包</w:t>
      </w:r>
      <w:r>
        <w:rPr>
          <w:rFonts w:ascii="SimSun" w:hAnsi="SimSun" w:eastAsia="SimSun" w:cs="SimSun"/>
          <w:sz w:val="22"/>
          <w:szCs w:val="22"/>
        </w:rPr>
        <w:t xml:space="preserve"> </w:t>
      </w:r>
      <w:r>
        <w:rPr>
          <w:rFonts w:ascii="SimSun" w:hAnsi="SimSun" w:eastAsia="SimSun" w:cs="SimSun"/>
          <w:sz w:val="22"/>
          <w:szCs w:val="22"/>
          <w:spacing w:val="-10"/>
        </w:rPr>
        <w:t>括：国家秘密、商业秘密、内部使用、受限使用、公众级等。</w:t>
      </w:r>
    </w:p>
    <w:p>
      <w:pPr>
        <w:spacing w:line="124" w:lineRule="exact"/>
        <w:rPr/>
      </w:pPr>
      <w:r/>
    </w:p>
    <w:tbl>
      <w:tblPr>
        <w:tblStyle w:val="TableNormal"/>
        <w:tblW w:w="768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31" w:hRule="atLeast"/>
        </w:trPr>
        <w:tc>
          <w:tcPr>
            <w:tcW w:w="754" w:type="dxa"/>
            <w:vAlign w:val="top"/>
          </w:tcPr>
          <w:p>
            <w:pPr>
              <w:pStyle w:val="TableText"/>
              <w:ind w:left="204"/>
              <w:spacing w:before="92" w:line="221" w:lineRule="auto"/>
              <w:rPr>
                <w:sz w:val="16"/>
                <w:szCs w:val="16"/>
              </w:rPr>
            </w:pPr>
            <w:r>
              <w:rPr>
                <w:sz w:val="16"/>
                <w:szCs w:val="16"/>
                <w:spacing w:val="-2"/>
              </w:rPr>
              <w:t>序号</w:t>
            </w:r>
          </w:p>
        </w:tc>
        <w:tc>
          <w:tcPr>
            <w:tcW w:w="3156" w:type="dxa"/>
            <w:vAlign w:val="top"/>
          </w:tcPr>
          <w:p>
            <w:pPr>
              <w:pStyle w:val="TableText"/>
              <w:ind w:left="1161"/>
              <w:spacing w:before="91" w:line="219" w:lineRule="auto"/>
              <w:rPr>
                <w:sz w:val="16"/>
                <w:szCs w:val="16"/>
              </w:rPr>
            </w:pPr>
            <w:r>
              <w:rPr>
                <w:sz w:val="16"/>
                <w:szCs w:val="16"/>
                <w:spacing w:val="-4"/>
              </w:rPr>
              <w:t>等 级 要 求</w:t>
            </w:r>
          </w:p>
        </w:tc>
        <w:tc>
          <w:tcPr>
            <w:tcW w:w="3770" w:type="dxa"/>
            <w:vAlign w:val="top"/>
          </w:tcPr>
          <w:p>
            <w:pPr>
              <w:pStyle w:val="TableText"/>
              <w:ind w:left="1574"/>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8" w:hRule="atLeast"/>
        </w:trPr>
        <w:tc>
          <w:tcPr>
            <w:tcW w:w="754" w:type="dxa"/>
            <w:vAlign w:val="top"/>
          </w:tcPr>
          <w:p>
            <w:pPr>
              <w:pStyle w:val="TableText"/>
              <w:ind w:left="244"/>
              <w:spacing w:before="271" w:line="183" w:lineRule="auto"/>
              <w:rPr>
                <w:sz w:val="16"/>
                <w:szCs w:val="16"/>
              </w:rPr>
            </w:pPr>
            <w:r>
              <w:rPr>
                <w:sz w:val="16"/>
                <w:szCs w:val="16"/>
                <w:spacing w:val="-2"/>
              </w:rPr>
              <w:t>2.3</w:t>
            </w:r>
          </w:p>
        </w:tc>
        <w:tc>
          <w:tcPr>
            <w:tcW w:w="3156" w:type="dxa"/>
            <w:vAlign w:val="top"/>
          </w:tcPr>
          <w:p>
            <w:pPr>
              <w:pStyle w:val="TableText"/>
              <w:ind w:left="100" w:firstLine="159"/>
              <w:spacing w:before="110" w:line="267" w:lineRule="auto"/>
              <w:rPr>
                <w:sz w:val="16"/>
                <w:szCs w:val="16"/>
              </w:rPr>
            </w:pPr>
            <w:r>
              <w:rPr>
                <w:sz w:val="16"/>
                <w:szCs w:val="16"/>
              </w:rPr>
              <w:t>定义了在确定的数据安全职能下的岗位和</w:t>
            </w:r>
            <w:r>
              <w:rPr>
                <w:sz w:val="16"/>
                <w:szCs w:val="16"/>
                <w:spacing w:val="4"/>
              </w:rPr>
              <w:t xml:space="preserve"> </w:t>
            </w:r>
            <w:r>
              <w:rPr>
                <w:sz w:val="16"/>
                <w:szCs w:val="16"/>
                <w:spacing w:val="-2"/>
              </w:rPr>
              <w:t>职责</w:t>
            </w:r>
          </w:p>
        </w:tc>
        <w:tc>
          <w:tcPr>
            <w:tcW w:w="3770" w:type="dxa"/>
            <w:vAlign w:val="top"/>
          </w:tcPr>
          <w:p>
            <w:pPr>
              <w:pStyle w:val="TableText"/>
              <w:ind w:left="274"/>
              <w:spacing w:before="100" w:line="219" w:lineRule="auto"/>
              <w:rPr>
                <w:sz w:val="16"/>
                <w:szCs w:val="16"/>
              </w:rPr>
            </w:pPr>
            <w:r>
              <w:rPr>
                <w:sz w:val="16"/>
                <w:szCs w:val="16"/>
                <w:spacing w:val="1"/>
              </w:rPr>
              <w:t>●数据安全职责</w:t>
            </w:r>
          </w:p>
          <w:p>
            <w:pPr>
              <w:pStyle w:val="TableText"/>
              <w:ind w:left="274"/>
              <w:spacing w:before="100" w:line="219" w:lineRule="auto"/>
              <w:rPr>
                <w:sz w:val="16"/>
                <w:szCs w:val="16"/>
              </w:rPr>
            </w:pPr>
            <w:r>
              <w:rPr>
                <w:sz w:val="16"/>
                <w:szCs w:val="16"/>
              </w:rPr>
              <w:t>●数据安全管理人员能力培训记录</w:t>
            </w:r>
          </w:p>
        </w:tc>
      </w:tr>
    </w:tbl>
    <w:p>
      <w:pPr>
        <w:ind w:left="579"/>
        <w:spacing w:before="19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firstLine="410"/>
        <w:spacing w:before="48" w:line="250" w:lineRule="auto"/>
        <w:rPr>
          <w:rFonts w:ascii="SimSun" w:hAnsi="SimSun" w:eastAsia="SimSun" w:cs="SimSun"/>
          <w:sz w:val="22"/>
          <w:szCs w:val="22"/>
        </w:rPr>
      </w:pPr>
      <w:r>
        <w:rPr>
          <w:rFonts w:ascii="SimSun" w:hAnsi="SimSun" w:eastAsia="SimSun" w:cs="SimSun"/>
          <w:sz w:val="22"/>
          <w:szCs w:val="22"/>
          <w:spacing w:val="-9"/>
        </w:rPr>
        <w:t>通过制订工作规范和流程，明确组织数据管理岗位和职责，既包括</w:t>
      </w:r>
      <w:r>
        <w:rPr>
          <w:rFonts w:ascii="SimSun" w:hAnsi="SimSun" w:eastAsia="SimSun" w:cs="SimSun"/>
          <w:sz w:val="22"/>
          <w:szCs w:val="22"/>
          <w:spacing w:val="-10"/>
        </w:rPr>
        <w:t>本地数据，</w:t>
      </w:r>
      <w:r>
        <w:rPr>
          <w:rFonts w:ascii="SimSun" w:hAnsi="SimSun" w:eastAsia="SimSun" w:cs="SimSun"/>
          <w:sz w:val="22"/>
          <w:szCs w:val="22"/>
        </w:rPr>
        <w:t xml:space="preserve">  </w:t>
      </w:r>
      <w:r>
        <w:rPr>
          <w:rFonts w:ascii="SimSun" w:hAnsi="SimSun" w:eastAsia="SimSun" w:cs="SimSun"/>
          <w:sz w:val="22"/>
          <w:szCs w:val="22"/>
          <w:spacing w:val="-8"/>
        </w:rPr>
        <w:t>也包括云端数据。针对不同的岗位特点，安排</w:t>
      </w:r>
      <w:r>
        <w:rPr>
          <w:rFonts w:ascii="SimSun" w:hAnsi="SimSun" w:eastAsia="SimSun" w:cs="SimSun"/>
          <w:sz w:val="22"/>
          <w:szCs w:val="22"/>
          <w:spacing w:val="-9"/>
        </w:rPr>
        <w:t>合适的人员负责数据安全的日常管理</w:t>
      </w:r>
      <w:r>
        <w:rPr>
          <w:rFonts w:ascii="SimSun" w:hAnsi="SimSun" w:eastAsia="SimSun" w:cs="SimSun"/>
          <w:sz w:val="22"/>
          <w:szCs w:val="22"/>
        </w:rPr>
        <w:t xml:space="preserve">  </w:t>
      </w:r>
      <w:r>
        <w:rPr>
          <w:rFonts w:ascii="SimSun" w:hAnsi="SimSun" w:eastAsia="SimSun" w:cs="SimSun"/>
          <w:sz w:val="22"/>
          <w:szCs w:val="22"/>
          <w:spacing w:val="-11"/>
        </w:rPr>
        <w:t>工作。组织也要针对数据管理人员能力制订提升计划</w:t>
      </w:r>
      <w:r>
        <w:rPr>
          <w:rFonts w:ascii="SimSun" w:hAnsi="SimSun" w:eastAsia="SimSun" w:cs="SimSun"/>
          <w:sz w:val="22"/>
          <w:szCs w:val="22"/>
          <w:spacing w:val="-12"/>
        </w:rPr>
        <w:t>，比如培训和外部学习等方式，</w:t>
      </w:r>
      <w:r>
        <w:rPr>
          <w:rFonts w:ascii="SimSun" w:hAnsi="SimSun" w:eastAsia="SimSun" w:cs="SimSun"/>
          <w:sz w:val="22"/>
          <w:szCs w:val="22"/>
        </w:rPr>
        <w:t xml:space="preserve"> </w:t>
      </w:r>
      <w:r>
        <w:rPr>
          <w:rFonts w:ascii="SimSun" w:hAnsi="SimSun" w:eastAsia="SimSun" w:cs="SimSun"/>
          <w:sz w:val="22"/>
          <w:szCs w:val="22"/>
          <w:spacing w:val="-9"/>
        </w:rPr>
        <w:t>保证负责该项过程的人员具备对组织内数据安全关键工作的判断能力。</w:t>
      </w:r>
    </w:p>
    <w:p>
      <w:pPr>
        <w:ind w:left="689"/>
        <w:spacing w:before="54" w:line="221" w:lineRule="auto"/>
        <w:rPr>
          <w:rFonts w:ascii="SimHei" w:hAnsi="SimHei" w:eastAsia="SimHei" w:cs="SimHei"/>
          <w:sz w:val="22"/>
          <w:szCs w:val="22"/>
        </w:rPr>
      </w:pPr>
      <w:r>
        <w:rPr>
          <w:rFonts w:ascii="Times New Roman" w:hAnsi="Times New Roman" w:eastAsia="Times New Roman" w:cs="Times New Roman"/>
          <w:sz w:val="22"/>
          <w:szCs w:val="22"/>
          <w:b/>
          <w:bCs/>
          <w:spacing w:val="-4"/>
        </w:rPr>
        <w:t>Level</w:t>
      </w:r>
      <w:r>
        <w:rPr>
          <w:rFonts w:ascii="Times New Roman" w:hAnsi="Times New Roman" w:eastAsia="Times New Roman" w:cs="Times New Roman"/>
          <w:sz w:val="22"/>
          <w:szCs w:val="22"/>
          <w:b/>
          <w:bCs/>
          <w:spacing w:val="12"/>
        </w:rPr>
        <w:t xml:space="preserve">  </w:t>
      </w:r>
      <w:r>
        <w:rPr>
          <w:rFonts w:ascii="Times New Roman" w:hAnsi="Times New Roman" w:eastAsia="Times New Roman" w:cs="Times New Roman"/>
          <w:sz w:val="22"/>
          <w:szCs w:val="22"/>
          <w:b/>
          <w:bCs/>
          <w:spacing w:val="-4"/>
        </w:rPr>
        <w:t>3:</w:t>
      </w:r>
      <w:r>
        <w:rPr>
          <w:rFonts w:ascii="Times New Roman" w:hAnsi="Times New Roman" w:eastAsia="Times New Roman" w:cs="Times New Roman"/>
          <w:sz w:val="22"/>
          <w:szCs w:val="22"/>
          <w:b/>
          <w:bCs/>
          <w:spacing w:val="-9"/>
        </w:rPr>
        <w:t xml:space="preserve"> </w:t>
      </w:r>
      <w:r>
        <w:rPr>
          <w:rFonts w:ascii="SimHei" w:hAnsi="SimHei" w:eastAsia="SimHei" w:cs="SimHei"/>
          <w:sz w:val="22"/>
          <w:szCs w:val="22"/>
          <w:b/>
          <w:bCs/>
          <w:spacing w:val="-4"/>
        </w:rPr>
        <w:t>定义级</w:t>
      </w:r>
    </w:p>
    <w:p>
      <w:pPr>
        <w:spacing w:line="117" w:lineRule="exact"/>
        <w:rPr/>
      </w:pPr>
      <w:r/>
    </w:p>
    <w:tbl>
      <w:tblPr>
        <w:tblStyle w:val="TableNormal"/>
        <w:tblW w:w="766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60"/>
      </w:tblGrid>
      <w:tr>
        <w:trPr>
          <w:trHeight w:val="351"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6"/>
              <w:spacing w:before="101" w:line="220" w:lineRule="auto"/>
              <w:rPr/>
            </w:pPr>
            <w:r>
              <w:rPr>
                <w:spacing w:val="-5"/>
              </w:rPr>
              <w:t>实</w:t>
            </w:r>
            <w:r>
              <w:rPr>
                <w:spacing w:val="1"/>
              </w:rPr>
              <w:t xml:space="preserve">   </w:t>
            </w:r>
            <w:r>
              <w:rPr>
                <w:spacing w:val="-5"/>
              </w:rPr>
              <w:t>例</w:t>
            </w:r>
          </w:p>
        </w:tc>
      </w:tr>
      <w:tr>
        <w:trPr>
          <w:trHeight w:val="599" w:hRule="atLeast"/>
        </w:trPr>
        <w:tc>
          <w:tcPr>
            <w:tcW w:w="744" w:type="dxa"/>
            <w:vAlign w:val="top"/>
          </w:tcPr>
          <w:p>
            <w:pPr>
              <w:pStyle w:val="TableText"/>
              <w:ind w:left="244"/>
              <w:spacing w:before="268" w:line="184" w:lineRule="auto"/>
              <w:rPr/>
            </w:pPr>
            <w:r>
              <w:rPr>
                <w:spacing w:val="-2"/>
              </w:rPr>
              <w:t>3.1</w:t>
            </w:r>
          </w:p>
        </w:tc>
        <w:tc>
          <w:tcPr>
            <w:tcW w:w="3165" w:type="dxa"/>
            <w:vAlign w:val="top"/>
          </w:tcPr>
          <w:p>
            <w:pPr>
              <w:pStyle w:val="TableText"/>
              <w:ind w:left="111" w:right="191" w:firstLine="159"/>
              <w:spacing w:before="99" w:line="283" w:lineRule="auto"/>
              <w:rPr/>
            </w:pPr>
            <w:r>
              <w:rPr>
                <w:spacing w:val="-1"/>
              </w:rPr>
              <w:t>客户和员工等利益相关人参与数据安全控</w:t>
            </w:r>
            <w:r>
              <w:rPr>
                <w:spacing w:val="9"/>
              </w:rPr>
              <w:t xml:space="preserve"> </w:t>
            </w:r>
            <w:r>
              <w:rPr>
                <w:spacing w:val="-1"/>
              </w:rPr>
              <w:t>制措施的制订</w:t>
            </w:r>
          </w:p>
        </w:tc>
        <w:tc>
          <w:tcPr>
            <w:tcW w:w="3760" w:type="dxa"/>
            <w:vAlign w:val="top"/>
          </w:tcPr>
          <w:p>
            <w:pPr>
              <w:pStyle w:val="TableText"/>
              <w:ind w:left="276"/>
              <w:spacing w:before="100" w:line="219" w:lineRule="auto"/>
              <w:rPr/>
            </w:pPr>
            <w:r>
              <w:rPr/>
              <w:t>●数据安全控制措施评审记录</w:t>
            </w:r>
          </w:p>
          <w:p>
            <w:pPr>
              <w:pStyle w:val="TableText"/>
              <w:ind w:left="276"/>
              <w:spacing w:before="102" w:line="219" w:lineRule="auto"/>
              <w:rPr/>
            </w:pPr>
            <w:r>
              <w:rPr/>
              <w:t>●数据安全利益相关人联络表</w:t>
            </w:r>
          </w:p>
        </w:tc>
      </w:tr>
    </w:tbl>
    <w:p>
      <w:pPr>
        <w:ind w:left="579"/>
        <w:spacing w:before="19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102" w:firstLine="410"/>
        <w:spacing w:before="38" w:line="249" w:lineRule="auto"/>
        <w:rPr>
          <w:rFonts w:ascii="SimSun" w:hAnsi="SimSun" w:eastAsia="SimSun" w:cs="SimSun"/>
          <w:sz w:val="22"/>
          <w:szCs w:val="22"/>
        </w:rPr>
      </w:pPr>
      <w:r>
        <w:rPr>
          <w:rFonts w:ascii="SimSun" w:hAnsi="SimSun" w:eastAsia="SimSun" w:cs="SimSun"/>
          <w:sz w:val="22"/>
          <w:szCs w:val="22"/>
          <w:spacing w:val="-8"/>
        </w:rPr>
        <w:t>实施数据安全活动却不考虑客户和员工的期望，会导致他们的不满，并增</w:t>
      </w:r>
      <w:r>
        <w:rPr>
          <w:rFonts w:ascii="SimSun" w:hAnsi="SimSun" w:eastAsia="SimSun" w:cs="SimSun"/>
          <w:sz w:val="22"/>
          <w:szCs w:val="22"/>
          <w:spacing w:val="-9"/>
        </w:rPr>
        <w:t>加组</w:t>
      </w:r>
      <w:r>
        <w:rPr>
          <w:rFonts w:ascii="SimSun" w:hAnsi="SimSun" w:eastAsia="SimSun" w:cs="SimSun"/>
          <w:sz w:val="22"/>
          <w:szCs w:val="22"/>
        </w:rPr>
        <w:t xml:space="preserve"> </w:t>
      </w:r>
      <w:r>
        <w:rPr>
          <w:rFonts w:ascii="SimSun" w:hAnsi="SimSun" w:eastAsia="SimSun" w:cs="SimSun"/>
          <w:sz w:val="22"/>
          <w:szCs w:val="22"/>
          <w:spacing w:val="-12"/>
        </w:rPr>
        <w:t>织的风险。</w:t>
      </w:r>
    </w:p>
    <w:p>
      <w:pPr>
        <w:ind w:left="279" w:right="100" w:firstLine="410"/>
        <w:spacing w:before="27" w:line="244" w:lineRule="auto"/>
        <w:rPr>
          <w:rFonts w:ascii="SimSun" w:hAnsi="SimSun" w:eastAsia="SimSun" w:cs="SimSun"/>
          <w:sz w:val="22"/>
          <w:szCs w:val="22"/>
        </w:rPr>
      </w:pPr>
      <w:r>
        <w:rPr>
          <w:rFonts w:ascii="SimSun" w:hAnsi="SimSun" w:eastAsia="SimSun" w:cs="SimSun"/>
          <w:sz w:val="22"/>
          <w:szCs w:val="22"/>
          <w:spacing w:val="-8"/>
        </w:rPr>
        <w:t>组织实施的数据安全活动应充分考虑员工和客户等利益相关人的期望，并邀请</w:t>
      </w:r>
      <w:r>
        <w:rPr>
          <w:rFonts w:ascii="SimSun" w:hAnsi="SimSun" w:eastAsia="SimSun" w:cs="SimSun"/>
          <w:sz w:val="22"/>
          <w:szCs w:val="22"/>
        </w:rPr>
        <w:t xml:space="preserve"> </w:t>
      </w:r>
      <w:r>
        <w:rPr>
          <w:rFonts w:ascii="SimSun" w:hAnsi="SimSun" w:eastAsia="SimSun" w:cs="SimSun"/>
          <w:sz w:val="22"/>
          <w:szCs w:val="22"/>
          <w:spacing w:val="-10"/>
        </w:rPr>
        <w:t>利益相关人参与数据安全措施和过程的制订。</w:t>
      </w:r>
    </w:p>
    <w:p>
      <w:pPr>
        <w:spacing w:line="124" w:lineRule="exact"/>
        <w:rPr/>
      </w:pPr>
      <w:r/>
    </w:p>
    <w:tbl>
      <w:tblPr>
        <w:tblStyle w:val="TableNormal"/>
        <w:tblW w:w="7680"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70"/>
      </w:tblGrid>
      <w:tr>
        <w:trPr>
          <w:trHeight w:val="340" w:hRule="atLeast"/>
        </w:trPr>
        <w:tc>
          <w:tcPr>
            <w:tcW w:w="754" w:type="dxa"/>
            <w:vAlign w:val="top"/>
          </w:tcPr>
          <w:p>
            <w:pPr>
              <w:pStyle w:val="TableText"/>
              <w:ind w:left="204"/>
              <w:spacing w:before="92" w:line="221" w:lineRule="auto"/>
              <w:rPr>
                <w:sz w:val="16"/>
                <w:szCs w:val="16"/>
              </w:rPr>
            </w:pPr>
            <w:r>
              <w:rPr>
                <w:sz w:val="16"/>
                <w:szCs w:val="16"/>
                <w:spacing w:val="-2"/>
              </w:rPr>
              <w:t>序号</w:t>
            </w:r>
          </w:p>
        </w:tc>
        <w:tc>
          <w:tcPr>
            <w:tcW w:w="3156" w:type="dxa"/>
            <w:vAlign w:val="top"/>
          </w:tcPr>
          <w:p>
            <w:pPr>
              <w:pStyle w:val="TableText"/>
              <w:ind w:left="1161"/>
              <w:spacing w:before="91" w:line="219" w:lineRule="auto"/>
              <w:rPr>
                <w:sz w:val="16"/>
                <w:szCs w:val="16"/>
              </w:rPr>
            </w:pPr>
            <w:r>
              <w:rPr>
                <w:sz w:val="16"/>
                <w:szCs w:val="16"/>
                <w:spacing w:val="-4"/>
              </w:rPr>
              <w:t>等 级 要 求</w:t>
            </w:r>
          </w:p>
        </w:tc>
        <w:tc>
          <w:tcPr>
            <w:tcW w:w="3770" w:type="dxa"/>
            <w:vAlign w:val="top"/>
          </w:tcPr>
          <w:p>
            <w:pPr>
              <w:pStyle w:val="TableText"/>
              <w:ind w:left="1574"/>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60" w:hRule="atLeast"/>
        </w:trPr>
        <w:tc>
          <w:tcPr>
            <w:tcW w:w="754" w:type="dxa"/>
            <w:vAlign w:val="top"/>
          </w:tcPr>
          <w:p>
            <w:pPr>
              <w:pStyle w:val="TableText"/>
              <w:ind w:left="244"/>
              <w:spacing w:before="142" w:line="183" w:lineRule="auto"/>
              <w:rPr>
                <w:sz w:val="16"/>
                <w:szCs w:val="16"/>
              </w:rPr>
            </w:pPr>
            <w:r>
              <w:rPr>
                <w:sz w:val="16"/>
                <w:szCs w:val="16"/>
                <w:spacing w:val="-3"/>
              </w:rPr>
              <w:t>3.2</w:t>
            </w:r>
          </w:p>
        </w:tc>
        <w:tc>
          <w:tcPr>
            <w:tcW w:w="3156" w:type="dxa"/>
            <w:vAlign w:val="top"/>
          </w:tcPr>
          <w:p>
            <w:pPr>
              <w:pStyle w:val="TableText"/>
              <w:ind w:left="281"/>
              <w:spacing w:before="101" w:line="219" w:lineRule="auto"/>
              <w:rPr>
                <w:sz w:val="16"/>
                <w:szCs w:val="16"/>
              </w:rPr>
            </w:pPr>
            <w:r>
              <w:rPr>
                <w:sz w:val="16"/>
                <w:szCs w:val="16"/>
                <w:spacing w:val="-1"/>
              </w:rPr>
              <w:t>设计组织自己的数据安全控制措施</w:t>
            </w:r>
          </w:p>
        </w:tc>
        <w:tc>
          <w:tcPr>
            <w:tcW w:w="3770" w:type="dxa"/>
            <w:vAlign w:val="top"/>
          </w:tcPr>
          <w:p>
            <w:pPr>
              <w:pStyle w:val="TableText"/>
              <w:ind w:left="275"/>
              <w:spacing w:before="101" w:line="219" w:lineRule="auto"/>
              <w:rPr>
                <w:sz w:val="16"/>
                <w:szCs w:val="16"/>
              </w:rPr>
            </w:pPr>
            <w:r>
              <w:rPr>
                <w:sz w:val="16"/>
                <w:szCs w:val="16"/>
                <w:spacing w:val="1"/>
              </w:rPr>
              <w:t>●数据安全控制程序</w:t>
            </w:r>
          </w:p>
        </w:tc>
      </w:tr>
    </w:tbl>
    <w:p>
      <w:pPr>
        <w:ind w:left="579"/>
        <w:spacing w:before="18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59" w:firstLine="410"/>
        <w:spacing w:before="38" w:line="250" w:lineRule="auto"/>
        <w:rPr>
          <w:rFonts w:ascii="SimSun" w:hAnsi="SimSun" w:eastAsia="SimSun" w:cs="SimSun"/>
          <w:sz w:val="22"/>
          <w:szCs w:val="22"/>
        </w:rPr>
      </w:pPr>
      <w:r>
        <w:rPr>
          <w:rFonts w:ascii="SimSun" w:hAnsi="SimSun" w:eastAsia="SimSun" w:cs="SimSun"/>
          <w:sz w:val="22"/>
          <w:szCs w:val="22"/>
          <w:spacing w:val="-13"/>
        </w:rPr>
        <w:t>组织实施适当的控制，以满足数据安全策略。例如，</w:t>
      </w:r>
      <w:r>
        <w:rPr>
          <w:rFonts w:ascii="SimSun" w:hAnsi="SimSun" w:eastAsia="SimSun" w:cs="SimSun"/>
          <w:sz w:val="22"/>
          <w:szCs w:val="22"/>
          <w:spacing w:val="61"/>
        </w:rPr>
        <w:t xml:space="preserve"> </w:t>
      </w:r>
      <w:r>
        <w:rPr>
          <w:rFonts w:ascii="SimSun" w:hAnsi="SimSun" w:eastAsia="SimSun" w:cs="SimSun"/>
          <w:sz w:val="22"/>
          <w:szCs w:val="22"/>
          <w:spacing w:val="-13"/>
        </w:rPr>
        <w:t>一个控制客体可以按月读</w:t>
      </w:r>
      <w:r>
        <w:rPr>
          <w:rFonts w:ascii="SimSun" w:hAnsi="SimSun" w:eastAsia="SimSun" w:cs="SimSun"/>
          <w:sz w:val="22"/>
          <w:szCs w:val="22"/>
        </w:rPr>
        <w:t xml:space="preserve"> </w:t>
      </w:r>
      <w:r>
        <w:rPr>
          <w:rFonts w:ascii="SimSun" w:hAnsi="SimSun" w:eastAsia="SimSun" w:cs="SimSun"/>
          <w:sz w:val="22"/>
          <w:szCs w:val="22"/>
          <w:spacing w:val="-10"/>
        </w:rPr>
        <w:t>取、评审</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0"/>
        </w:rPr>
        <w:t>DBA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0"/>
        </w:rPr>
        <w:t>和用户权限。为满足这一目标</w:t>
      </w:r>
      <w:r>
        <w:rPr>
          <w:rFonts w:ascii="SimSun" w:hAnsi="SimSun" w:eastAsia="SimSun" w:cs="SimSun"/>
          <w:sz w:val="22"/>
          <w:szCs w:val="22"/>
          <w:spacing w:val="-11"/>
        </w:rPr>
        <w:t>，组织实施一个控制流程，与负责跟踪</w:t>
      </w:r>
      <w:r>
        <w:rPr>
          <w:rFonts w:ascii="SimSun" w:hAnsi="SimSun" w:eastAsia="SimSun" w:cs="SimSun"/>
          <w:sz w:val="22"/>
          <w:szCs w:val="22"/>
        </w:rPr>
        <w:t xml:space="preserve"> </w:t>
      </w:r>
      <w:r>
        <w:rPr>
          <w:rFonts w:ascii="SimSun" w:hAnsi="SimSun" w:eastAsia="SimSun" w:cs="SimSun"/>
          <w:sz w:val="22"/>
          <w:szCs w:val="22"/>
          <w:spacing w:val="-8"/>
        </w:rPr>
        <w:t>所有用户权限请求的变更管理系统相对照，来验证分配权限。此外，组织以审批流</w:t>
      </w:r>
      <w:r>
        <w:rPr>
          <w:rFonts w:ascii="SimSun" w:hAnsi="SimSun" w:eastAsia="SimSun" w:cs="SimSun"/>
          <w:sz w:val="22"/>
          <w:szCs w:val="22"/>
          <w:spacing w:val="6"/>
        </w:rPr>
        <w:t xml:space="preserve"> </w:t>
      </w:r>
      <w:r>
        <w:rPr>
          <w:rFonts w:ascii="SimSun" w:hAnsi="SimSun" w:eastAsia="SimSun" w:cs="SimSun"/>
          <w:sz w:val="22"/>
          <w:szCs w:val="22"/>
          <w:spacing w:val="-9"/>
        </w:rPr>
        <w:t>程或签署文件的形式，记录和归档每一个请求。</w:t>
      </w:r>
    </w:p>
    <w:p>
      <w:pPr>
        <w:spacing w:line="250" w:lineRule="auto"/>
        <w:sectPr>
          <w:footerReference w:type="default" r:id="rId434"/>
          <w:pgSz w:w="8870" w:h="13400"/>
          <w:pgMar w:top="400" w:right="429" w:bottom="474" w:left="440" w:header="0" w:footer="256" w:gutter="0"/>
        </w:sectPr>
        <w:rPr>
          <w:rFonts w:ascii="SimSun" w:hAnsi="SimSun" w:eastAsia="SimSun" w:cs="SimSun"/>
          <w:sz w:val="22"/>
          <w:szCs w:val="22"/>
        </w:rPr>
      </w:pPr>
    </w:p>
    <w:p>
      <w:pPr>
        <w:ind w:left="5718"/>
        <w:spacing w:before="254" w:line="219" w:lineRule="auto"/>
        <w:rPr>
          <w:rFonts w:ascii="SimSun" w:hAnsi="SimSun" w:eastAsia="SimSun" w:cs="SimSun"/>
          <w:sz w:val="22"/>
          <w:szCs w:val="22"/>
        </w:rPr>
      </w:pPr>
      <w:r>
        <w:rPr>
          <w:rFonts w:ascii="SimSun" w:hAnsi="SimSun" w:eastAsia="SimSun" w:cs="SimSun"/>
          <w:sz w:val="22"/>
          <w:szCs w:val="22"/>
          <w:b/>
          <w:bCs/>
          <w:spacing w:val="10"/>
        </w:rPr>
        <w:t>第9章■安全与隐私</w:t>
      </w:r>
    </w:p>
    <w:p>
      <w:pPr>
        <w:spacing w:before="117"/>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5" w:type="dxa"/>
            <w:vAlign w:val="top"/>
          </w:tcPr>
          <w:p>
            <w:pPr>
              <w:pStyle w:val="TableText"/>
              <w:ind w:left="1160"/>
              <w:spacing w:before="101" w:line="219" w:lineRule="auto"/>
              <w:rPr>
                <w:sz w:val="16"/>
                <w:szCs w:val="16"/>
              </w:rPr>
            </w:pPr>
            <w:r>
              <w:rPr>
                <w:sz w:val="16"/>
                <w:szCs w:val="16"/>
                <w:spacing w:val="-4"/>
              </w:rPr>
              <w:t>等 级 要 求</w:t>
            </w:r>
          </w:p>
        </w:tc>
        <w:tc>
          <w:tcPr>
            <w:tcW w:w="378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4"/>
              <w:spacing w:before="261" w:line="183" w:lineRule="auto"/>
              <w:rPr>
                <w:sz w:val="16"/>
                <w:szCs w:val="16"/>
              </w:rPr>
            </w:pPr>
            <w:r>
              <w:rPr>
                <w:sz w:val="16"/>
                <w:szCs w:val="16"/>
                <w:spacing w:val="-3"/>
              </w:rPr>
              <w:t>3.3</w:t>
            </w:r>
          </w:p>
        </w:tc>
        <w:tc>
          <w:tcPr>
            <w:tcW w:w="3155" w:type="dxa"/>
            <w:vAlign w:val="top"/>
          </w:tcPr>
          <w:p>
            <w:pPr>
              <w:pStyle w:val="TableText"/>
              <w:ind w:left="110" w:right="14" w:firstLine="150"/>
              <w:spacing w:before="100" w:line="274" w:lineRule="auto"/>
              <w:rPr>
                <w:sz w:val="16"/>
                <w:szCs w:val="16"/>
              </w:rPr>
            </w:pPr>
            <w:r>
              <w:rPr>
                <w:sz w:val="16"/>
                <w:szCs w:val="16"/>
                <w:spacing w:val="-1"/>
              </w:rPr>
              <w:t>定义控制措施防止非授权用户对数据的访</w:t>
            </w:r>
            <w:r>
              <w:rPr>
                <w:sz w:val="16"/>
                <w:szCs w:val="16"/>
                <w:spacing w:val="6"/>
              </w:rPr>
              <w:t xml:space="preserve"> </w:t>
            </w:r>
            <w:r>
              <w:rPr>
                <w:sz w:val="16"/>
                <w:szCs w:val="16"/>
              </w:rPr>
              <w:t>问</w:t>
            </w:r>
          </w:p>
        </w:tc>
        <w:tc>
          <w:tcPr>
            <w:tcW w:w="3780" w:type="dxa"/>
            <w:vAlign w:val="top"/>
          </w:tcPr>
          <w:p>
            <w:pPr>
              <w:pStyle w:val="TableText"/>
              <w:ind w:left="265"/>
              <w:spacing w:before="100" w:line="219" w:lineRule="auto"/>
              <w:rPr>
                <w:sz w:val="16"/>
                <w:szCs w:val="16"/>
              </w:rPr>
            </w:pPr>
            <w:r>
              <w:rPr>
                <w:sz w:val="16"/>
                <w:szCs w:val="16"/>
                <w:spacing w:val="1"/>
              </w:rPr>
              <w:t>●数据访问控制程序</w:t>
            </w:r>
          </w:p>
          <w:p>
            <w:pPr>
              <w:pStyle w:val="TableText"/>
              <w:ind w:left="265"/>
              <w:spacing w:before="90" w:line="219" w:lineRule="auto"/>
              <w:rPr>
                <w:sz w:val="16"/>
                <w:szCs w:val="16"/>
              </w:rPr>
            </w:pPr>
            <w:r>
              <w:rPr>
                <w:sz w:val="16"/>
                <w:szCs w:val="16"/>
              </w:rPr>
              <w:t>●数据管理系统权限申请表</w:t>
            </w:r>
          </w:p>
        </w:tc>
      </w:tr>
    </w:tbl>
    <w:p>
      <w:pPr>
        <w:ind w:left="314"/>
        <w:spacing w:before="184" w:line="219" w:lineRule="auto"/>
        <w:rPr>
          <w:rFonts w:ascii="SimSun" w:hAnsi="SimSun" w:eastAsia="SimSun" w:cs="SimSun"/>
          <w:sz w:val="22"/>
          <w:szCs w:val="22"/>
        </w:rPr>
      </w:pPr>
      <w:r>
        <w:rPr>
          <w:rFonts w:ascii="SimSun" w:hAnsi="SimSun" w:eastAsia="SimSun" w:cs="SimSun"/>
          <w:sz w:val="22"/>
          <w:szCs w:val="22"/>
          <w:spacing w:val="-6"/>
        </w:rPr>
        <w:t>【成熟度等级说明】</w:t>
      </w:r>
    </w:p>
    <w:p>
      <w:pPr>
        <w:ind w:left="15" w:right="212" w:firstLine="409"/>
        <w:spacing w:before="57" w:line="251" w:lineRule="auto"/>
        <w:rPr>
          <w:rFonts w:ascii="SimSun" w:hAnsi="SimSun" w:eastAsia="SimSun" w:cs="SimSun"/>
          <w:sz w:val="22"/>
          <w:szCs w:val="22"/>
        </w:rPr>
      </w:pPr>
      <w:r>
        <w:rPr>
          <w:rFonts w:ascii="SimSun" w:hAnsi="SimSun" w:eastAsia="SimSun" w:cs="SimSun"/>
          <w:sz w:val="22"/>
          <w:szCs w:val="22"/>
          <w:spacing w:val="-8"/>
        </w:rPr>
        <w:t>通过数据隔离、数据加密、数据切分、数据视图等技术方式防止非授权用户对</w:t>
      </w:r>
      <w:r>
        <w:rPr>
          <w:rFonts w:ascii="SimSun" w:hAnsi="SimSun" w:eastAsia="SimSun" w:cs="SimSun"/>
          <w:sz w:val="22"/>
          <w:szCs w:val="22"/>
          <w:spacing w:val="10"/>
        </w:rPr>
        <w:t xml:space="preserve"> </w:t>
      </w:r>
      <w:r>
        <w:rPr>
          <w:rFonts w:ascii="SimSun" w:hAnsi="SimSun" w:eastAsia="SimSun" w:cs="SimSun"/>
          <w:sz w:val="22"/>
          <w:szCs w:val="22"/>
          <w:spacing w:val="-7"/>
        </w:rPr>
        <w:t>数据的访问，保证数据的安全性。例如，在数据分类分级定义的基础上，</w:t>
      </w:r>
      <w:r>
        <w:rPr>
          <w:rFonts w:ascii="SimSun" w:hAnsi="SimSun" w:eastAsia="SimSun" w:cs="SimSun"/>
          <w:sz w:val="22"/>
          <w:szCs w:val="22"/>
          <w:spacing w:val="-8"/>
        </w:rPr>
        <w:t>明确提出</w:t>
      </w:r>
      <w:r>
        <w:rPr>
          <w:rFonts w:ascii="SimSun" w:hAnsi="SimSun" w:eastAsia="SimSun" w:cs="SimSun"/>
          <w:sz w:val="22"/>
          <w:szCs w:val="22"/>
        </w:rPr>
        <w:t xml:space="preserve"> </w:t>
      </w:r>
      <w:r>
        <w:rPr>
          <w:rFonts w:ascii="SimSun" w:hAnsi="SimSun" w:eastAsia="SimSun" w:cs="SimSun"/>
          <w:sz w:val="22"/>
          <w:szCs w:val="22"/>
          <w:spacing w:val="-8"/>
        </w:rPr>
        <w:t>对各类各级别数据的加密要求，针对数据的加密要求应包含对数据加密算</w:t>
      </w:r>
      <w:r>
        <w:rPr>
          <w:rFonts w:ascii="SimSun" w:hAnsi="SimSun" w:eastAsia="SimSun" w:cs="SimSun"/>
          <w:sz w:val="22"/>
          <w:szCs w:val="22"/>
          <w:spacing w:val="-9"/>
        </w:rPr>
        <w:t>法的要求</w:t>
      </w:r>
      <w:r>
        <w:rPr>
          <w:rFonts w:ascii="SimSun" w:hAnsi="SimSun" w:eastAsia="SimSun" w:cs="SimSun"/>
          <w:sz w:val="22"/>
          <w:szCs w:val="22"/>
        </w:rPr>
        <w:t xml:space="preserve"> </w:t>
      </w:r>
      <w:r>
        <w:rPr>
          <w:rFonts w:ascii="SimSun" w:hAnsi="SimSun" w:eastAsia="SimSun" w:cs="SimSun"/>
          <w:sz w:val="22"/>
          <w:szCs w:val="22"/>
          <w:spacing w:val="-6"/>
        </w:rPr>
        <w:t>和数据加密密钥的管理要求。建立组织内部统一</w:t>
      </w:r>
      <w:r>
        <w:rPr>
          <w:rFonts w:ascii="SimSun" w:hAnsi="SimSun" w:eastAsia="SimSun" w:cs="SimSun"/>
          <w:sz w:val="22"/>
          <w:szCs w:val="22"/>
          <w:spacing w:val="-7"/>
        </w:rPr>
        <w:t>的账号管理平台(如利用 </w:t>
      </w:r>
      <w:r>
        <w:rPr>
          <w:rFonts w:ascii="Times New Roman" w:hAnsi="Times New Roman" w:eastAsia="Times New Roman" w:cs="Times New Roman"/>
          <w:sz w:val="22"/>
          <w:szCs w:val="22"/>
          <w:spacing w:val="-7"/>
        </w:rPr>
        <w:t>SSO</w:t>
      </w:r>
      <w:r>
        <w:rPr>
          <w:rFonts w:ascii="SimSun" w:hAnsi="SimSun" w:eastAsia="SimSun" w:cs="SimSun"/>
          <w:sz w:val="22"/>
          <w:szCs w:val="22"/>
          <w:spacing w:val="-7"/>
        </w:rPr>
        <w:t>、联</w:t>
      </w:r>
      <w:r>
        <w:rPr>
          <w:rFonts w:ascii="SimSun" w:hAnsi="SimSun" w:eastAsia="SimSun" w:cs="SimSun"/>
          <w:sz w:val="22"/>
          <w:szCs w:val="22"/>
        </w:rPr>
        <w:t xml:space="preserve"> </w:t>
      </w:r>
      <w:r>
        <w:rPr>
          <w:rFonts w:ascii="SimSun" w:hAnsi="SimSun" w:eastAsia="SimSun" w:cs="SimSun"/>
          <w:sz w:val="22"/>
          <w:szCs w:val="22"/>
          <w:spacing w:val="-5"/>
        </w:rPr>
        <w:t>合认证技术),实现对组织内部账号的统一管理策</w:t>
      </w:r>
      <w:r>
        <w:rPr>
          <w:rFonts w:ascii="SimSun" w:hAnsi="SimSun" w:eastAsia="SimSun" w:cs="SimSun"/>
          <w:sz w:val="22"/>
          <w:szCs w:val="22"/>
          <w:spacing w:val="-6"/>
        </w:rPr>
        <w:t>略。</w:t>
      </w:r>
    </w:p>
    <w:p>
      <w:pPr>
        <w:spacing w:line="131" w:lineRule="exact"/>
        <w:rPr/>
      </w:pPr>
      <w:r/>
    </w:p>
    <w:tbl>
      <w:tblPr>
        <w:tblStyle w:val="TableNormal"/>
        <w:tblW w:w="766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51"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55" w:type="dxa"/>
            <w:vAlign w:val="top"/>
          </w:tcPr>
          <w:p>
            <w:pPr>
              <w:pStyle w:val="TableText"/>
              <w:ind w:left="1150"/>
              <w:spacing w:before="101" w:line="219" w:lineRule="auto"/>
              <w:rPr>
                <w:sz w:val="16"/>
                <w:szCs w:val="16"/>
              </w:rPr>
            </w:pPr>
            <w:r>
              <w:rPr>
                <w:sz w:val="16"/>
                <w:szCs w:val="16"/>
                <w:spacing w:val="-4"/>
              </w:rPr>
              <w:t>等 级 要 求</w:t>
            </w:r>
          </w:p>
        </w:tc>
        <w:tc>
          <w:tcPr>
            <w:tcW w:w="3770" w:type="dxa"/>
            <w:vAlign w:val="top"/>
          </w:tcPr>
          <w:p>
            <w:pPr>
              <w:pStyle w:val="TableText"/>
              <w:ind w:left="157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44" w:type="dxa"/>
            <w:vAlign w:val="top"/>
          </w:tcPr>
          <w:p>
            <w:pPr>
              <w:pStyle w:val="TableText"/>
              <w:ind w:left="244"/>
              <w:spacing w:before="261" w:line="183" w:lineRule="auto"/>
              <w:rPr>
                <w:sz w:val="16"/>
                <w:szCs w:val="16"/>
              </w:rPr>
            </w:pPr>
            <w:r>
              <w:rPr>
                <w:sz w:val="16"/>
                <w:szCs w:val="16"/>
                <w:spacing w:val="-3"/>
              </w:rPr>
              <w:t>3.4</w:t>
            </w:r>
          </w:p>
        </w:tc>
        <w:tc>
          <w:tcPr>
            <w:tcW w:w="3155" w:type="dxa"/>
            <w:vAlign w:val="top"/>
          </w:tcPr>
          <w:p>
            <w:pPr>
              <w:pStyle w:val="TableText"/>
              <w:ind w:left="251"/>
              <w:spacing w:before="219" w:line="219" w:lineRule="auto"/>
              <w:rPr>
                <w:sz w:val="16"/>
                <w:szCs w:val="16"/>
              </w:rPr>
            </w:pPr>
            <w:r>
              <w:rPr>
                <w:sz w:val="16"/>
                <w:szCs w:val="16"/>
                <w:spacing w:val="-1"/>
              </w:rPr>
              <w:t>制订云端远程数据传输策略</w:t>
            </w:r>
          </w:p>
        </w:tc>
        <w:tc>
          <w:tcPr>
            <w:tcW w:w="3770" w:type="dxa"/>
            <w:vAlign w:val="top"/>
          </w:tcPr>
          <w:p>
            <w:pPr>
              <w:pStyle w:val="TableText"/>
              <w:ind w:left="265"/>
              <w:spacing w:before="99" w:line="219" w:lineRule="auto"/>
              <w:rPr>
                <w:sz w:val="16"/>
                <w:szCs w:val="16"/>
              </w:rPr>
            </w:pPr>
            <w:r>
              <w:rPr>
                <w:sz w:val="16"/>
                <w:szCs w:val="16"/>
              </w:rPr>
              <w:t>●数据传输通道安全策略</w:t>
            </w:r>
          </w:p>
          <w:p>
            <w:pPr>
              <w:pStyle w:val="TableText"/>
              <w:ind w:left="265"/>
              <w:spacing w:before="90" w:line="219" w:lineRule="auto"/>
              <w:rPr>
                <w:sz w:val="16"/>
                <w:szCs w:val="16"/>
              </w:rPr>
            </w:pPr>
            <w:r>
              <w:rPr>
                <w:sz w:val="16"/>
                <w:szCs w:val="16"/>
              </w:rPr>
              <w:t>●数据传输加密与解密策略</w:t>
            </w:r>
          </w:p>
        </w:tc>
      </w:tr>
    </w:tbl>
    <w:p>
      <w:pPr>
        <w:ind w:left="314"/>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24"/>
        <w:spacing w:before="67" w:line="219" w:lineRule="auto"/>
        <w:rPr>
          <w:rFonts w:ascii="SimSun" w:hAnsi="SimSun" w:eastAsia="SimSun" w:cs="SimSun"/>
          <w:sz w:val="22"/>
          <w:szCs w:val="22"/>
        </w:rPr>
      </w:pPr>
      <w:r>
        <w:rPr>
          <w:rFonts w:ascii="SimSun" w:hAnsi="SimSun" w:eastAsia="SimSun" w:cs="SimSun"/>
          <w:sz w:val="22"/>
          <w:szCs w:val="22"/>
          <w:spacing w:val="-11"/>
        </w:rPr>
        <w:t>数据远程传输一般发生在以下三个场景。</w:t>
      </w:r>
    </w:p>
    <w:p>
      <w:pPr>
        <w:ind w:left="424"/>
        <w:spacing w:before="39" w:line="219" w:lineRule="auto"/>
        <w:rPr>
          <w:rFonts w:ascii="SimSun" w:hAnsi="SimSun" w:eastAsia="SimSun" w:cs="SimSun"/>
          <w:sz w:val="22"/>
          <w:szCs w:val="22"/>
        </w:rPr>
      </w:pPr>
      <w:r>
        <w:rPr>
          <w:rFonts w:ascii="SimSun" w:hAnsi="SimSun" w:eastAsia="SimSun" w:cs="SimSun"/>
          <w:sz w:val="22"/>
          <w:szCs w:val="22"/>
          <w:spacing w:val="-11"/>
        </w:rPr>
        <w:t>第一，组织本地数据与云端数据的交互；</w:t>
      </w:r>
    </w:p>
    <w:p>
      <w:pPr>
        <w:ind w:left="424"/>
        <w:spacing w:before="41" w:line="219" w:lineRule="auto"/>
        <w:rPr>
          <w:rFonts w:ascii="SimSun" w:hAnsi="SimSun" w:eastAsia="SimSun" w:cs="SimSun"/>
          <w:sz w:val="22"/>
          <w:szCs w:val="22"/>
        </w:rPr>
      </w:pPr>
      <w:r>
        <w:rPr>
          <w:rFonts w:ascii="SimSun" w:hAnsi="SimSun" w:eastAsia="SimSun" w:cs="SimSun"/>
          <w:sz w:val="22"/>
          <w:szCs w:val="22"/>
          <w:spacing w:val="-12"/>
        </w:rPr>
        <w:t>第二，组织与外界开展的数据共享行为；</w:t>
      </w:r>
    </w:p>
    <w:p>
      <w:pPr>
        <w:ind w:left="424"/>
        <w:spacing w:before="49" w:line="219" w:lineRule="auto"/>
        <w:rPr>
          <w:rFonts w:ascii="SimSun" w:hAnsi="SimSun" w:eastAsia="SimSun" w:cs="SimSun"/>
          <w:sz w:val="22"/>
          <w:szCs w:val="22"/>
        </w:rPr>
      </w:pPr>
      <w:r>
        <w:rPr>
          <w:rFonts w:ascii="SimSun" w:hAnsi="SimSun" w:eastAsia="SimSun" w:cs="SimSun"/>
          <w:sz w:val="22"/>
          <w:szCs w:val="22"/>
          <w:spacing w:val="-11"/>
        </w:rPr>
        <w:t>第三，组织内部不同地域间的数据转移等多个场景。</w:t>
      </w:r>
    </w:p>
    <w:p>
      <w:pPr>
        <w:ind w:left="15" w:right="243" w:firstLine="409"/>
        <w:spacing w:before="57" w:line="245" w:lineRule="auto"/>
        <w:rPr>
          <w:rFonts w:ascii="SimSun" w:hAnsi="SimSun" w:eastAsia="SimSun" w:cs="SimSun"/>
          <w:sz w:val="22"/>
          <w:szCs w:val="22"/>
        </w:rPr>
      </w:pPr>
      <w:r>
        <w:rPr>
          <w:rFonts w:ascii="SimSun" w:hAnsi="SimSun" w:eastAsia="SimSun" w:cs="SimSun"/>
          <w:sz w:val="22"/>
          <w:szCs w:val="22"/>
          <w:spacing w:val="-9"/>
        </w:rPr>
        <w:t>无论哪种场景，组织都应当根据法律法规的要求以及业务开展的成本和需求，</w:t>
      </w:r>
      <w:r>
        <w:rPr>
          <w:rFonts w:ascii="SimSun" w:hAnsi="SimSun" w:eastAsia="SimSun" w:cs="SimSun"/>
          <w:sz w:val="22"/>
          <w:szCs w:val="22"/>
          <w:spacing w:val="5"/>
        </w:rPr>
        <w:t xml:space="preserve"> </w:t>
      </w:r>
      <w:r>
        <w:rPr>
          <w:rFonts w:ascii="SimSun" w:hAnsi="SimSun" w:eastAsia="SimSun" w:cs="SimSun"/>
          <w:sz w:val="22"/>
          <w:szCs w:val="22"/>
          <w:spacing w:val="-11"/>
        </w:rPr>
        <w:t>明确组织远程数据传输的策略，例如对传输通道加密的场景采用统一的部署方案(如</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4"/>
        </w:rPr>
        <w:t>HTTPS </w:t>
      </w:r>
      <w:r>
        <w:rPr>
          <w:rFonts w:ascii="SimSun" w:hAnsi="SimSun" w:eastAsia="SimSun" w:cs="SimSun"/>
          <w:sz w:val="22"/>
          <w:szCs w:val="22"/>
          <w:spacing w:val="-4"/>
        </w:rPr>
        <w:t>加密、</w:t>
      </w:r>
      <w:r>
        <w:rPr>
          <w:rFonts w:ascii="Times New Roman" w:hAnsi="Times New Roman" w:eastAsia="Times New Roman" w:cs="Times New Roman"/>
          <w:sz w:val="22"/>
          <w:szCs w:val="22"/>
          <w:spacing w:val="-4"/>
        </w:rPr>
        <w:t>VPN </w:t>
      </w:r>
      <w:r>
        <w:rPr>
          <w:rFonts w:ascii="SimSun" w:hAnsi="SimSun" w:eastAsia="SimSun" w:cs="SimSun"/>
          <w:sz w:val="22"/>
          <w:szCs w:val="22"/>
          <w:spacing w:val="-4"/>
        </w:rPr>
        <w:t>加密),以保证加</w:t>
      </w:r>
      <w:r>
        <w:rPr>
          <w:rFonts w:ascii="SimSun" w:hAnsi="SimSun" w:eastAsia="SimSun" w:cs="SimSun"/>
          <w:sz w:val="22"/>
          <w:szCs w:val="22"/>
          <w:spacing w:val="-5"/>
        </w:rPr>
        <w:t>密效果的一致性。</w:t>
      </w:r>
    </w:p>
    <w:p>
      <w:pPr>
        <w:ind w:left="427"/>
        <w:spacing w:before="61" w:line="221" w:lineRule="auto"/>
        <w:rPr>
          <w:rFonts w:ascii="SimHei" w:hAnsi="SimHei" w:eastAsia="SimHei" w:cs="SimHei"/>
          <w:sz w:val="22"/>
          <w:szCs w:val="22"/>
        </w:rPr>
      </w:pPr>
      <w:r>
        <w:rPr>
          <w:rFonts w:ascii="SimSun" w:hAnsi="SimSun" w:eastAsia="SimSun" w:cs="SimSun"/>
          <w:sz w:val="22"/>
          <w:szCs w:val="22"/>
          <w:b/>
          <w:bCs/>
          <w:spacing w:val="-14"/>
        </w:rPr>
        <w:t>Level</w:t>
      </w:r>
      <w:r>
        <w:rPr>
          <w:rFonts w:ascii="SimSun" w:hAnsi="SimSun" w:eastAsia="SimSun" w:cs="SimSun"/>
          <w:sz w:val="22"/>
          <w:szCs w:val="22"/>
          <w:spacing w:val="-14"/>
        </w:rPr>
        <w:t xml:space="preserve"> </w:t>
      </w:r>
      <w:r>
        <w:rPr>
          <w:rFonts w:ascii="SimSun" w:hAnsi="SimSun" w:eastAsia="SimSun" w:cs="SimSun"/>
          <w:sz w:val="22"/>
          <w:szCs w:val="22"/>
          <w:b/>
          <w:bCs/>
          <w:spacing w:val="-14"/>
        </w:rPr>
        <w:t>4:</w:t>
      </w:r>
      <w:r>
        <w:rPr>
          <w:rFonts w:ascii="SimSun" w:hAnsi="SimSun" w:eastAsia="SimSun" w:cs="SimSun"/>
          <w:sz w:val="22"/>
          <w:szCs w:val="22"/>
          <w:spacing w:val="-16"/>
        </w:rPr>
        <w:t xml:space="preserve"> </w:t>
      </w:r>
      <w:r>
        <w:rPr>
          <w:rFonts w:ascii="SimHei" w:hAnsi="SimHei" w:eastAsia="SimHei" w:cs="SimHei"/>
          <w:sz w:val="22"/>
          <w:szCs w:val="22"/>
          <w:b/>
          <w:bCs/>
          <w:spacing w:val="-14"/>
        </w:rPr>
        <w:t>量化级</w:t>
      </w:r>
    </w:p>
    <w:p>
      <w:pPr>
        <w:spacing w:line="127" w:lineRule="exact"/>
        <w:rPr/>
      </w:pPr>
      <w:r/>
    </w:p>
    <w:tbl>
      <w:tblPr>
        <w:tblStyle w:val="TableNormal"/>
        <w:tblW w:w="7669" w:type="dxa"/>
        <w:tblInd w:w="4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80"/>
      </w:tblGrid>
      <w:tr>
        <w:trPr>
          <w:trHeight w:val="352" w:hRule="atLeast"/>
        </w:trPr>
        <w:tc>
          <w:tcPr>
            <w:tcW w:w="744" w:type="dxa"/>
            <w:vAlign w:val="top"/>
          </w:tcPr>
          <w:p>
            <w:pPr>
              <w:pStyle w:val="TableText"/>
              <w:ind w:left="214"/>
              <w:spacing w:before="102" w:line="221" w:lineRule="auto"/>
              <w:rPr/>
            </w:pPr>
            <w:r>
              <w:rPr>
                <w:spacing w:val="-2"/>
              </w:rPr>
              <w:t>序号</w:t>
            </w:r>
          </w:p>
        </w:tc>
        <w:tc>
          <w:tcPr>
            <w:tcW w:w="3145"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75"/>
              <w:spacing w:before="101" w:line="220" w:lineRule="auto"/>
              <w:rPr/>
            </w:pPr>
            <w:r>
              <w:rPr>
                <w:spacing w:val="-5"/>
              </w:rPr>
              <w:t>实</w:t>
            </w:r>
            <w:r>
              <w:rPr>
                <w:spacing w:val="1"/>
              </w:rPr>
              <w:t xml:space="preserve">   </w:t>
            </w:r>
            <w:r>
              <w:rPr>
                <w:spacing w:val="-5"/>
              </w:rPr>
              <w:t>例</w:t>
            </w:r>
          </w:p>
        </w:tc>
      </w:tr>
      <w:tr>
        <w:trPr>
          <w:trHeight w:val="868" w:hRule="atLeast"/>
        </w:trPr>
        <w:tc>
          <w:tcPr>
            <w:tcW w:w="744" w:type="dxa"/>
            <w:vAlign w:val="top"/>
          </w:tcPr>
          <w:p>
            <w:pPr>
              <w:spacing w:line="346" w:lineRule="auto"/>
              <w:rPr>
                <w:rFonts w:ascii="Arial"/>
                <w:sz w:val="21"/>
              </w:rPr>
            </w:pPr>
            <w:r/>
          </w:p>
          <w:p>
            <w:pPr>
              <w:pStyle w:val="TableText"/>
              <w:ind w:left="244"/>
              <w:spacing w:before="49" w:line="184" w:lineRule="auto"/>
              <w:rPr/>
            </w:pPr>
            <w:r>
              <w:rPr>
                <w:spacing w:val="-2"/>
              </w:rPr>
              <w:t>4.1</w:t>
            </w:r>
          </w:p>
        </w:tc>
        <w:tc>
          <w:tcPr>
            <w:tcW w:w="3145" w:type="dxa"/>
            <w:vAlign w:val="top"/>
          </w:tcPr>
          <w:p>
            <w:pPr>
              <w:spacing w:line="307" w:lineRule="auto"/>
              <w:rPr>
                <w:rFonts w:ascii="Arial"/>
                <w:sz w:val="21"/>
              </w:rPr>
            </w:pPr>
            <w:r/>
          </w:p>
          <w:p>
            <w:pPr>
              <w:pStyle w:val="TableText"/>
              <w:ind w:left="280"/>
              <w:spacing w:before="49" w:line="219" w:lineRule="auto"/>
              <w:rPr/>
            </w:pPr>
            <w:r>
              <w:rPr>
                <w:spacing w:val="-1"/>
              </w:rPr>
              <w:t>建立机制，监控用户身份认证和访问行为</w:t>
            </w:r>
          </w:p>
        </w:tc>
        <w:tc>
          <w:tcPr>
            <w:tcW w:w="3780" w:type="dxa"/>
            <w:vAlign w:val="top"/>
          </w:tcPr>
          <w:p>
            <w:pPr>
              <w:pStyle w:val="TableText"/>
              <w:ind w:left="256"/>
              <w:spacing w:before="69" w:line="219" w:lineRule="auto"/>
              <w:rPr/>
            </w:pPr>
            <w:r>
              <w:rPr/>
              <w:t>●用户访问监控管理程序</w:t>
            </w:r>
          </w:p>
          <w:p>
            <w:pPr>
              <w:pStyle w:val="TableText"/>
              <w:ind w:left="256"/>
              <w:spacing w:before="112" w:line="219" w:lineRule="auto"/>
              <w:rPr/>
            </w:pPr>
            <w:r>
              <w:rPr/>
              <w:t>●用户异常登陆记录</w:t>
            </w:r>
          </w:p>
          <w:p>
            <w:pPr>
              <w:pStyle w:val="TableText"/>
              <w:ind w:left="256"/>
              <w:spacing w:before="112" w:line="220" w:lineRule="auto"/>
              <w:rPr/>
            </w:pPr>
            <w:r>
              <w:rPr/>
              <w:t>●用户认证和访问定期审计记录</w:t>
            </w:r>
          </w:p>
        </w:tc>
      </w:tr>
    </w:tbl>
    <w:p>
      <w:pPr>
        <w:ind w:left="314"/>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5" w:right="247" w:firstLine="409"/>
        <w:spacing w:before="49" w:line="252" w:lineRule="auto"/>
        <w:rPr>
          <w:rFonts w:ascii="SimSun" w:hAnsi="SimSun" w:eastAsia="SimSun" w:cs="SimSun"/>
          <w:sz w:val="22"/>
          <w:szCs w:val="22"/>
        </w:rPr>
      </w:pPr>
      <w:r>
        <w:rPr>
          <w:rFonts w:ascii="SimSun" w:hAnsi="SimSun" w:eastAsia="SimSun" w:cs="SimSun"/>
          <w:sz w:val="22"/>
          <w:szCs w:val="22"/>
          <w:spacing w:val="-1"/>
        </w:rPr>
        <w:t>监控认证和访问行为有助于检测到异常或可疑的活</w:t>
      </w:r>
      <w:r>
        <w:rPr>
          <w:rFonts w:ascii="SimSun" w:hAnsi="SimSun" w:eastAsia="SimSun" w:cs="SimSun"/>
          <w:sz w:val="22"/>
          <w:szCs w:val="22"/>
          <w:spacing w:val="-2"/>
        </w:rPr>
        <w:t>动，方便进一步调查和解</w:t>
      </w:r>
      <w:r>
        <w:rPr>
          <w:rFonts w:ascii="SimSun" w:hAnsi="SimSun" w:eastAsia="SimSun" w:cs="SimSun"/>
          <w:sz w:val="22"/>
          <w:szCs w:val="22"/>
        </w:rPr>
        <w:t xml:space="preserve"> </w:t>
      </w:r>
      <w:r>
        <w:rPr>
          <w:rFonts w:ascii="SimSun" w:hAnsi="SimSun" w:eastAsia="SimSun" w:cs="SimSun"/>
          <w:sz w:val="22"/>
          <w:szCs w:val="22"/>
          <w:spacing w:val="-5"/>
        </w:rPr>
        <w:t>决问题。 一般来说，自动化系统配合一定的人工检查是最佳监控方式。在身份认</w:t>
      </w:r>
      <w:r>
        <w:rPr>
          <w:rFonts w:ascii="SimSun" w:hAnsi="SimSun" w:eastAsia="SimSun" w:cs="SimSun"/>
          <w:sz w:val="22"/>
          <w:szCs w:val="22"/>
        </w:rPr>
        <w:t xml:space="preserve"> </w:t>
      </w:r>
      <w:r>
        <w:rPr>
          <w:rFonts w:ascii="SimSun" w:hAnsi="SimSun" w:eastAsia="SimSun" w:cs="SimSun"/>
          <w:sz w:val="22"/>
          <w:szCs w:val="22"/>
          <w:spacing w:val="-2"/>
        </w:rPr>
        <w:t>证层面实现唯一的用户身份标识，能够通过账号追溯到组织内外部唯一的人员或</w:t>
      </w:r>
      <w:r>
        <w:rPr>
          <w:rFonts w:ascii="SimSun" w:hAnsi="SimSun" w:eastAsia="SimSun" w:cs="SimSun"/>
          <w:sz w:val="22"/>
          <w:szCs w:val="22"/>
        </w:rPr>
        <w:t xml:space="preserve"> </w:t>
      </w:r>
      <w:r>
        <w:rPr>
          <w:rFonts w:ascii="SimSun" w:hAnsi="SimSun" w:eastAsia="SimSun" w:cs="SimSun"/>
          <w:sz w:val="22"/>
          <w:szCs w:val="22"/>
          <w:spacing w:val="-10"/>
        </w:rPr>
        <w:t>组织。</w:t>
      </w:r>
    </w:p>
    <w:p>
      <w:pPr>
        <w:spacing w:line="134" w:lineRule="exact"/>
        <w:rPr/>
      </w:pPr>
      <w:r/>
    </w:p>
    <w:tbl>
      <w:tblPr>
        <w:tblStyle w:val="TableNormal"/>
        <w:tblW w:w="7669" w:type="dxa"/>
        <w:tblInd w:w="5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70"/>
      </w:tblGrid>
      <w:tr>
        <w:trPr>
          <w:trHeight w:val="330" w:hRule="atLeast"/>
        </w:trPr>
        <w:tc>
          <w:tcPr>
            <w:tcW w:w="744" w:type="dxa"/>
            <w:vAlign w:val="top"/>
          </w:tcPr>
          <w:p>
            <w:pPr>
              <w:pStyle w:val="TableText"/>
              <w:ind w:left="204"/>
              <w:spacing w:before="92" w:line="221" w:lineRule="auto"/>
              <w:rPr>
                <w:sz w:val="16"/>
                <w:szCs w:val="16"/>
              </w:rPr>
            </w:pPr>
            <w:r>
              <w:rPr>
                <w:sz w:val="16"/>
                <w:szCs w:val="16"/>
                <w:spacing w:val="-2"/>
              </w:rPr>
              <w:t>序号</w:t>
            </w:r>
          </w:p>
        </w:tc>
        <w:tc>
          <w:tcPr>
            <w:tcW w:w="3155" w:type="dxa"/>
            <w:vAlign w:val="top"/>
          </w:tcPr>
          <w:p>
            <w:pPr>
              <w:pStyle w:val="TableText"/>
              <w:ind w:left="1160"/>
              <w:spacing w:before="91" w:line="219" w:lineRule="auto"/>
              <w:rPr>
                <w:sz w:val="16"/>
                <w:szCs w:val="16"/>
              </w:rPr>
            </w:pPr>
            <w:r>
              <w:rPr>
                <w:sz w:val="16"/>
                <w:szCs w:val="16"/>
                <w:spacing w:val="-4"/>
              </w:rPr>
              <w:t>等 级 要 求</w:t>
            </w:r>
          </w:p>
        </w:tc>
        <w:tc>
          <w:tcPr>
            <w:tcW w:w="3770" w:type="dxa"/>
            <w:vAlign w:val="top"/>
          </w:tcPr>
          <w:p>
            <w:pPr>
              <w:pStyle w:val="TableText"/>
              <w:ind w:left="1575"/>
              <w:spacing w:before="92" w:line="220" w:lineRule="auto"/>
              <w:rPr>
                <w:sz w:val="16"/>
                <w:szCs w:val="16"/>
              </w:rPr>
            </w:pPr>
            <w:r>
              <w:rPr>
                <w:sz w:val="16"/>
                <w:szCs w:val="16"/>
                <w:spacing w:val="-6"/>
              </w:rPr>
              <w:t>实</w:t>
            </w:r>
            <w:r>
              <w:rPr>
                <w:sz w:val="16"/>
                <w:szCs w:val="16"/>
                <w:spacing w:val="7"/>
              </w:rPr>
              <w:t xml:space="preserve">    </w:t>
            </w:r>
            <w:r>
              <w:rPr>
                <w:sz w:val="16"/>
                <w:szCs w:val="16"/>
                <w:spacing w:val="-6"/>
              </w:rPr>
              <w:t>例</w:t>
            </w:r>
          </w:p>
        </w:tc>
      </w:tr>
      <w:tr>
        <w:trPr>
          <w:trHeight w:val="350" w:hRule="atLeast"/>
        </w:trPr>
        <w:tc>
          <w:tcPr>
            <w:tcW w:w="744" w:type="dxa"/>
            <w:vAlign w:val="top"/>
          </w:tcPr>
          <w:p>
            <w:pPr>
              <w:pStyle w:val="TableText"/>
              <w:ind w:left="244"/>
              <w:spacing w:before="142" w:line="183" w:lineRule="auto"/>
              <w:rPr>
                <w:sz w:val="16"/>
                <w:szCs w:val="16"/>
              </w:rPr>
            </w:pPr>
            <w:r>
              <w:rPr>
                <w:sz w:val="16"/>
                <w:szCs w:val="16"/>
                <w:spacing w:val="-2"/>
              </w:rPr>
              <w:t>4.2</w:t>
            </w:r>
          </w:p>
        </w:tc>
        <w:tc>
          <w:tcPr>
            <w:tcW w:w="3155" w:type="dxa"/>
            <w:vAlign w:val="top"/>
          </w:tcPr>
          <w:p>
            <w:pPr>
              <w:pStyle w:val="TableText"/>
              <w:ind w:left="270"/>
              <w:spacing w:before="100" w:line="219" w:lineRule="auto"/>
              <w:rPr>
                <w:sz w:val="16"/>
                <w:szCs w:val="16"/>
              </w:rPr>
            </w:pPr>
            <w:r>
              <w:rPr>
                <w:sz w:val="16"/>
                <w:szCs w:val="16"/>
                <w:spacing w:val="1"/>
              </w:rPr>
              <w:t>建立数据安全审计机制</w:t>
            </w:r>
          </w:p>
        </w:tc>
        <w:tc>
          <w:tcPr>
            <w:tcW w:w="3770" w:type="dxa"/>
            <w:vAlign w:val="top"/>
          </w:tcPr>
          <w:p>
            <w:pPr>
              <w:pStyle w:val="TableText"/>
              <w:ind w:left="255"/>
              <w:spacing w:before="101" w:line="219" w:lineRule="auto"/>
              <w:rPr>
                <w:sz w:val="16"/>
                <w:szCs w:val="16"/>
              </w:rPr>
            </w:pPr>
            <w:r>
              <w:rPr>
                <w:sz w:val="16"/>
                <w:szCs w:val="16"/>
              </w:rPr>
              <w:t>●数据安全审计策略</w:t>
            </w:r>
          </w:p>
        </w:tc>
      </w:tr>
    </w:tbl>
    <w:p>
      <w:pPr>
        <w:pStyle w:val="BodyText"/>
        <w:rPr/>
      </w:pPr>
      <w:r/>
    </w:p>
    <w:p>
      <w:pPr>
        <w:sectPr>
          <w:footerReference w:type="default" r:id="rId436"/>
          <w:pgSz w:w="8870" w:h="13400"/>
          <w:pgMar w:top="400" w:right="591" w:bottom="544" w:left="385" w:header="0" w:footer="326" w:gutter="0"/>
        </w:sectPr>
        <w:rPr/>
      </w:pPr>
    </w:p>
    <w:p>
      <w:pPr>
        <w:ind w:left="130"/>
        <w:spacing w:before="229"/>
        <w:rPr>
          <w:rFonts w:ascii="SimSun" w:hAnsi="SimSun" w:eastAsia="SimSun" w:cs="SimSun"/>
          <w:sz w:val="22"/>
          <w:szCs w:val="22"/>
        </w:rPr>
      </w:pPr>
      <w:r>
        <w:rPr>
          <w:rFonts w:ascii="SimSun" w:hAnsi="SimSun" w:eastAsia="SimSun" w:cs="SimSun"/>
          <w:sz w:val="22"/>
          <w:szCs w:val="22"/>
          <w:position w:val="-10"/>
        </w:rPr>
        <w:drawing>
          <wp:inline distT="0" distB="0" distL="0" distR="0">
            <wp:extent cx="6365" cy="228637"/>
            <wp:effectExtent l="0" t="0" r="0" b="0"/>
            <wp:docPr id="306" name="IM 306"/>
            <wp:cNvGraphicFramePr/>
            <a:graphic>
              <a:graphicData uri="http://schemas.openxmlformats.org/drawingml/2006/picture">
                <pic:pic>
                  <pic:nvPicPr>
                    <pic:cNvPr id="306" name="IM 306"/>
                    <pic:cNvPicPr/>
                  </pic:nvPicPr>
                  <pic:blipFill>
                    <a:blip r:embed="rId438"/>
                    <a:stretch>
                      <a:fillRect/>
                    </a:stretch>
                  </pic:blipFill>
                  <pic:spPr>
                    <a:xfrm rot="0">
                      <a:off x="0" y="0"/>
                      <a:ext cx="6365" cy="228637"/>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590"/>
        <w:spacing w:before="279"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90" w:right="67" w:firstLine="409"/>
        <w:spacing w:before="48" w:line="252" w:lineRule="auto"/>
        <w:rPr>
          <w:rFonts w:ascii="SimSun" w:hAnsi="SimSun" w:eastAsia="SimSun" w:cs="SimSun"/>
          <w:sz w:val="22"/>
          <w:szCs w:val="22"/>
        </w:rPr>
      </w:pPr>
      <w:r>
        <w:rPr>
          <w:rFonts w:ascii="SimSun" w:hAnsi="SimSun" w:eastAsia="SimSun" w:cs="SimSun"/>
          <w:sz w:val="22"/>
          <w:szCs w:val="22"/>
          <w:spacing w:val="-8"/>
        </w:rPr>
        <w:t>建立高效、持续的数据安全审计机制，对数据安全策略、数据安全标准、变更</w:t>
      </w:r>
      <w:r>
        <w:rPr>
          <w:rFonts w:ascii="SimSun" w:hAnsi="SimSun" w:eastAsia="SimSun" w:cs="SimSun"/>
          <w:sz w:val="22"/>
          <w:szCs w:val="22"/>
          <w:spacing w:val="1"/>
        </w:rPr>
        <w:t xml:space="preserve"> </w:t>
      </w:r>
      <w:r>
        <w:rPr>
          <w:rFonts w:ascii="SimSun" w:hAnsi="SimSun" w:eastAsia="SimSun" w:cs="SimSun"/>
          <w:sz w:val="22"/>
          <w:szCs w:val="22"/>
          <w:spacing w:val="-8"/>
        </w:rPr>
        <w:t>请求、访问监控日志以及其他电子和书面记录进</w:t>
      </w:r>
      <w:r>
        <w:rPr>
          <w:rFonts w:ascii="SimSun" w:hAnsi="SimSun" w:eastAsia="SimSun" w:cs="SimSun"/>
          <w:sz w:val="22"/>
          <w:szCs w:val="22"/>
          <w:spacing w:val="-9"/>
        </w:rPr>
        <w:t>行审计，以确保数据资产在使用过</w:t>
      </w:r>
      <w:r>
        <w:rPr>
          <w:rFonts w:ascii="SimSun" w:hAnsi="SimSun" w:eastAsia="SimSun" w:cs="SimSun"/>
          <w:sz w:val="22"/>
          <w:szCs w:val="22"/>
        </w:rPr>
        <w:t xml:space="preserve"> </w:t>
      </w:r>
      <w:r>
        <w:rPr>
          <w:rFonts w:ascii="SimSun" w:hAnsi="SimSun" w:eastAsia="SimSun" w:cs="SimSun"/>
          <w:sz w:val="22"/>
          <w:szCs w:val="22"/>
          <w:spacing w:val="-8"/>
        </w:rPr>
        <w:t>程中有恰当的认证、授权、访问和审计等措施。组织内部接入安全监控和审计管理</w:t>
      </w:r>
      <w:r>
        <w:rPr>
          <w:rFonts w:ascii="SimSun" w:hAnsi="SimSun" w:eastAsia="SimSun" w:cs="SimSun"/>
          <w:sz w:val="22"/>
          <w:szCs w:val="22"/>
          <w:spacing w:val="4"/>
        </w:rPr>
        <w:t xml:space="preserve"> </w:t>
      </w:r>
      <w:r>
        <w:rPr>
          <w:rFonts w:ascii="SimSun" w:hAnsi="SimSun" w:eastAsia="SimSun" w:cs="SimSun"/>
          <w:sz w:val="22"/>
          <w:szCs w:val="22"/>
          <w:spacing w:val="-8"/>
        </w:rPr>
        <w:t>平台的信息系统的数量，同时对安全监控和审计系</w:t>
      </w:r>
      <w:r>
        <w:rPr>
          <w:rFonts w:ascii="SimSun" w:hAnsi="SimSun" w:eastAsia="SimSun" w:cs="SimSun"/>
          <w:sz w:val="22"/>
          <w:szCs w:val="22"/>
          <w:spacing w:val="-9"/>
        </w:rPr>
        <w:t>统发现的风险进行量化以持续改</w:t>
      </w:r>
      <w:r>
        <w:rPr>
          <w:rFonts w:ascii="SimSun" w:hAnsi="SimSun" w:eastAsia="SimSun" w:cs="SimSun"/>
          <w:sz w:val="22"/>
          <w:szCs w:val="22"/>
        </w:rPr>
        <w:t xml:space="preserve"> </w:t>
      </w:r>
      <w:r>
        <w:rPr>
          <w:rFonts w:ascii="SimSun" w:hAnsi="SimSun" w:eastAsia="SimSun" w:cs="SimSun"/>
          <w:sz w:val="22"/>
          <w:szCs w:val="22"/>
          <w:spacing w:val="-10"/>
        </w:rPr>
        <w:t>进风险发现和跟进的规则，实现对组织内部的安全风险的量化管理。</w:t>
      </w:r>
    </w:p>
    <w:p>
      <w:pPr>
        <w:spacing w:line="134" w:lineRule="exact"/>
        <w:rPr/>
      </w:pPr>
      <w:r/>
    </w:p>
    <w:tbl>
      <w:tblPr>
        <w:tblStyle w:val="TableNormal"/>
        <w:tblW w:w="768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56"/>
        <w:gridCol w:w="3760"/>
      </w:tblGrid>
      <w:tr>
        <w:trPr>
          <w:trHeight w:val="351" w:hRule="atLeast"/>
        </w:trPr>
        <w:tc>
          <w:tcPr>
            <w:tcW w:w="764" w:type="dxa"/>
            <w:vAlign w:val="top"/>
          </w:tcPr>
          <w:p>
            <w:pPr>
              <w:pStyle w:val="TableText"/>
              <w:ind w:left="224"/>
              <w:spacing w:before="102" w:line="221" w:lineRule="auto"/>
              <w:rPr/>
            </w:pPr>
            <w:r>
              <w:rPr>
                <w:spacing w:val="-2"/>
              </w:rPr>
              <w:t>序号</w:t>
            </w:r>
          </w:p>
        </w:tc>
        <w:tc>
          <w:tcPr>
            <w:tcW w:w="3156" w:type="dxa"/>
            <w:vAlign w:val="top"/>
          </w:tcPr>
          <w:p>
            <w:pPr>
              <w:pStyle w:val="TableText"/>
              <w:ind w:left="116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78" w:hRule="atLeast"/>
        </w:trPr>
        <w:tc>
          <w:tcPr>
            <w:tcW w:w="764" w:type="dxa"/>
            <w:vAlign w:val="top"/>
          </w:tcPr>
          <w:p>
            <w:pPr>
              <w:pStyle w:val="TableText"/>
              <w:ind w:left="255"/>
              <w:spacing w:before="258" w:line="183" w:lineRule="auto"/>
              <w:rPr/>
            </w:pPr>
            <w:r>
              <w:rPr>
                <w:spacing w:val="-2"/>
              </w:rPr>
              <w:t>4.3</w:t>
            </w:r>
          </w:p>
        </w:tc>
        <w:tc>
          <w:tcPr>
            <w:tcW w:w="3156" w:type="dxa"/>
            <w:vAlign w:val="top"/>
          </w:tcPr>
          <w:p>
            <w:pPr>
              <w:pStyle w:val="TableText"/>
              <w:ind w:left="111" w:right="180" w:firstLine="159"/>
              <w:spacing w:before="78" w:line="289" w:lineRule="auto"/>
              <w:rPr/>
            </w:pPr>
            <w:r>
              <w:rPr>
                <w:spacing w:val="-1"/>
              </w:rPr>
              <w:t>量化评估数据安全职能的运行效果，动态</w:t>
            </w:r>
            <w:r>
              <w:rPr>
                <w:spacing w:val="11"/>
              </w:rPr>
              <w:t xml:space="preserve"> </w:t>
            </w:r>
            <w:r>
              <w:rPr>
                <w:spacing w:val="-1"/>
              </w:rPr>
              <w:t>调整数据安全职能</w:t>
            </w:r>
          </w:p>
        </w:tc>
        <w:tc>
          <w:tcPr>
            <w:tcW w:w="3760" w:type="dxa"/>
            <w:vAlign w:val="top"/>
          </w:tcPr>
          <w:p>
            <w:pPr>
              <w:pStyle w:val="TableText"/>
              <w:ind w:left="275"/>
              <w:spacing w:before="78" w:line="218" w:lineRule="auto"/>
              <w:rPr/>
            </w:pPr>
            <w:r>
              <w:rPr/>
              <w:t>●数据安全职能效果统计报告</w:t>
            </w:r>
          </w:p>
          <w:p>
            <w:pPr>
              <w:pStyle w:val="TableText"/>
              <w:ind w:left="275"/>
              <w:spacing w:before="114" w:line="219" w:lineRule="auto"/>
              <w:rPr/>
            </w:pPr>
            <w:r>
              <w:rPr/>
              <w:t>●数据安全职能调整方案</w:t>
            </w:r>
          </w:p>
        </w:tc>
      </w:tr>
    </w:tbl>
    <w:p>
      <w:pPr>
        <w:ind w:left="59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90" w:right="85" w:firstLine="409"/>
        <w:spacing w:before="40" w:line="252" w:lineRule="auto"/>
        <w:rPr>
          <w:rFonts w:ascii="SimSun" w:hAnsi="SimSun" w:eastAsia="SimSun" w:cs="SimSun"/>
          <w:sz w:val="22"/>
          <w:szCs w:val="22"/>
        </w:rPr>
      </w:pPr>
      <w:r>
        <w:rPr>
          <w:rFonts w:ascii="SimSun" w:hAnsi="SimSun" w:eastAsia="SimSun" w:cs="SimSun"/>
          <w:sz w:val="22"/>
          <w:szCs w:val="22"/>
          <w:spacing w:val="-8"/>
        </w:rPr>
        <w:t>数据安全职能的运行效果可以通过量化指标进行定期统计和衡量，并根据量化</w:t>
      </w:r>
      <w:r>
        <w:rPr>
          <w:rFonts w:ascii="SimSun" w:hAnsi="SimSun" w:eastAsia="SimSun" w:cs="SimSun"/>
          <w:sz w:val="22"/>
          <w:szCs w:val="22"/>
        </w:rPr>
        <w:t xml:space="preserve"> </w:t>
      </w:r>
      <w:r>
        <w:rPr>
          <w:rFonts w:ascii="SimSun" w:hAnsi="SimSun" w:eastAsia="SimSun" w:cs="SimSun"/>
          <w:sz w:val="22"/>
          <w:szCs w:val="22"/>
          <w:spacing w:val="-9"/>
        </w:rPr>
        <w:t>的结果定期调整数据安全职能的设置。数据安全的职能框架包括</w:t>
      </w:r>
      <w:r>
        <w:rPr>
          <w:rFonts w:ascii="SimSun" w:hAnsi="SimSun" w:eastAsia="SimSun" w:cs="SimSun"/>
          <w:sz w:val="22"/>
          <w:szCs w:val="22"/>
          <w:spacing w:val="-10"/>
        </w:rPr>
        <w:t>但不限于：</w:t>
      </w:r>
    </w:p>
    <w:p>
      <w:pPr>
        <w:ind w:left="700"/>
        <w:spacing w:before="49" w:line="219" w:lineRule="auto"/>
        <w:rPr>
          <w:rFonts w:ascii="SimSun" w:hAnsi="SimSun" w:eastAsia="SimSun" w:cs="SimSun"/>
          <w:sz w:val="22"/>
          <w:szCs w:val="22"/>
        </w:rPr>
      </w:pPr>
      <w:r>
        <w:rPr>
          <w:rFonts w:ascii="SimSun" w:hAnsi="SimSun" w:eastAsia="SimSun" w:cs="SimSun"/>
          <w:sz w:val="22"/>
          <w:szCs w:val="22"/>
          <w:spacing w:val="-6"/>
        </w:rPr>
        <w:t>●数据安全规范及标准</w:t>
      </w:r>
    </w:p>
    <w:p>
      <w:pPr>
        <w:ind w:left="700"/>
        <w:spacing w:before="59" w:line="219" w:lineRule="auto"/>
        <w:rPr>
          <w:rFonts w:ascii="SimSun" w:hAnsi="SimSun" w:eastAsia="SimSun" w:cs="SimSun"/>
          <w:sz w:val="22"/>
          <w:szCs w:val="22"/>
        </w:rPr>
      </w:pPr>
      <w:r>
        <w:rPr>
          <w:rFonts w:ascii="SimSun" w:hAnsi="SimSun" w:eastAsia="SimSun" w:cs="SimSun"/>
          <w:sz w:val="22"/>
          <w:szCs w:val="22"/>
          <w:spacing w:val="-3"/>
        </w:rPr>
        <w:t>●数据安全技术及产品</w:t>
      </w:r>
    </w:p>
    <w:p>
      <w:pPr>
        <w:ind w:left="700"/>
        <w:spacing w:before="46" w:line="235" w:lineRule="auto"/>
        <w:rPr>
          <w:rFonts w:ascii="SimSun" w:hAnsi="SimSun" w:eastAsia="SimSun" w:cs="SimSun"/>
          <w:sz w:val="22"/>
          <w:szCs w:val="22"/>
        </w:rPr>
      </w:pPr>
      <w:r>
        <w:rPr>
          <w:rFonts w:ascii="STHupo" w:hAnsi="STHupo" w:eastAsia="STHupo" w:cs="STHupo"/>
          <w:sz w:val="22"/>
          <w:szCs w:val="22"/>
          <w:spacing w:val="-14"/>
        </w:rPr>
        <w:t>●  </w:t>
      </w:r>
      <w:r>
        <w:rPr>
          <w:rFonts w:ascii="SimSun" w:hAnsi="SimSun" w:eastAsia="SimSun" w:cs="SimSun"/>
          <w:sz w:val="22"/>
          <w:szCs w:val="22"/>
          <w:spacing w:val="-14"/>
        </w:rPr>
        <w:t>数据安全监控及审计</w:t>
      </w:r>
    </w:p>
    <w:p>
      <w:pPr>
        <w:ind w:left="700"/>
        <w:spacing w:before="9" w:line="238" w:lineRule="auto"/>
        <w:rPr>
          <w:rFonts w:ascii="SimSun" w:hAnsi="SimSun" w:eastAsia="SimSun" w:cs="SimSun"/>
          <w:sz w:val="22"/>
          <w:szCs w:val="22"/>
        </w:rPr>
      </w:pPr>
      <w:r>
        <w:rPr>
          <w:rFonts w:ascii="STXingkai" w:hAnsi="STXingkai" w:eastAsia="STXingkai" w:cs="STXingkai"/>
          <w:sz w:val="22"/>
          <w:szCs w:val="22"/>
          <w:spacing w:val="-14"/>
        </w:rPr>
        <w:t>●  </w:t>
      </w:r>
      <w:r>
        <w:rPr>
          <w:rFonts w:ascii="SimSun" w:hAnsi="SimSun" w:eastAsia="SimSun" w:cs="SimSun"/>
          <w:sz w:val="22"/>
          <w:szCs w:val="22"/>
          <w:spacing w:val="-14"/>
        </w:rPr>
        <w:t>数据安全宣传与促进</w:t>
      </w:r>
    </w:p>
    <w:p>
      <w:pPr>
        <w:ind w:left="702"/>
        <w:spacing w:before="1" w:line="220" w:lineRule="auto"/>
        <w:rPr>
          <w:rFonts w:ascii="SimHei" w:hAnsi="SimHei" w:eastAsia="SimHei" w:cs="SimHei"/>
          <w:sz w:val="22"/>
          <w:szCs w:val="22"/>
        </w:rPr>
      </w:pPr>
      <w:r>
        <w:rPr>
          <w:rFonts w:ascii="SimSun" w:hAnsi="SimSun" w:eastAsia="SimSun" w:cs="SimSun"/>
          <w:sz w:val="22"/>
          <w:szCs w:val="22"/>
          <w:b/>
          <w:bCs/>
          <w:spacing w:val="-14"/>
        </w:rPr>
        <w:t>Level</w:t>
      </w:r>
      <w:r>
        <w:rPr>
          <w:rFonts w:ascii="SimSun" w:hAnsi="SimSun" w:eastAsia="SimSun" w:cs="SimSun"/>
          <w:sz w:val="22"/>
          <w:szCs w:val="22"/>
          <w:spacing w:val="-14"/>
        </w:rPr>
        <w:t xml:space="preserve"> </w:t>
      </w:r>
      <w:r>
        <w:rPr>
          <w:rFonts w:ascii="SimSun" w:hAnsi="SimSun" w:eastAsia="SimSun" w:cs="SimSun"/>
          <w:sz w:val="22"/>
          <w:szCs w:val="22"/>
          <w:b/>
          <w:bCs/>
          <w:spacing w:val="-14"/>
        </w:rPr>
        <w:t>5:</w:t>
      </w:r>
      <w:r>
        <w:rPr>
          <w:rFonts w:ascii="SimSun" w:hAnsi="SimSun" w:eastAsia="SimSun" w:cs="SimSun"/>
          <w:sz w:val="22"/>
          <w:szCs w:val="22"/>
          <w:spacing w:val="-14"/>
        </w:rPr>
        <w:t xml:space="preserve"> </w:t>
      </w:r>
      <w:r>
        <w:rPr>
          <w:rFonts w:ascii="SimHei" w:hAnsi="SimHei" w:eastAsia="SimHei" w:cs="SimHei"/>
          <w:sz w:val="22"/>
          <w:szCs w:val="22"/>
          <w:b/>
          <w:bCs/>
          <w:spacing w:val="-14"/>
        </w:rPr>
        <w:t>优化级</w:t>
      </w:r>
    </w:p>
    <w:p>
      <w:pPr>
        <w:spacing w:line="107" w:lineRule="exact"/>
        <w:rPr/>
      </w:pPr>
      <w:r/>
    </w:p>
    <w:tbl>
      <w:tblPr>
        <w:tblStyle w:val="TableNormal"/>
        <w:tblW w:w="7669"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5"/>
        <w:gridCol w:w="3760"/>
      </w:tblGrid>
      <w:tr>
        <w:trPr>
          <w:trHeight w:val="341" w:hRule="atLeast"/>
        </w:trPr>
        <w:tc>
          <w:tcPr>
            <w:tcW w:w="744" w:type="dxa"/>
            <w:vAlign w:val="top"/>
          </w:tcPr>
          <w:p>
            <w:pPr>
              <w:pStyle w:val="TableText"/>
              <w:ind w:left="214"/>
              <w:spacing w:before="102" w:line="221" w:lineRule="auto"/>
              <w:rPr/>
            </w:pPr>
            <w:r>
              <w:rPr>
                <w:spacing w:val="-2"/>
              </w:rPr>
              <w:t>序号</w:t>
            </w:r>
          </w:p>
        </w:tc>
        <w:tc>
          <w:tcPr>
            <w:tcW w:w="316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65"/>
              <w:spacing w:before="101" w:line="220" w:lineRule="auto"/>
              <w:rPr/>
            </w:pPr>
            <w:r>
              <w:rPr>
                <w:spacing w:val="-5"/>
              </w:rPr>
              <w:t>实</w:t>
            </w:r>
            <w:r>
              <w:rPr>
                <w:spacing w:val="6"/>
              </w:rPr>
              <w:t xml:space="preserve">    </w:t>
            </w:r>
            <w:r>
              <w:rPr>
                <w:spacing w:val="-5"/>
              </w:rPr>
              <w:t>例</w:t>
            </w:r>
          </w:p>
        </w:tc>
      </w:tr>
      <w:tr>
        <w:trPr>
          <w:trHeight w:val="598" w:hRule="atLeast"/>
        </w:trPr>
        <w:tc>
          <w:tcPr>
            <w:tcW w:w="744" w:type="dxa"/>
            <w:vAlign w:val="top"/>
          </w:tcPr>
          <w:p>
            <w:pPr>
              <w:pStyle w:val="TableText"/>
              <w:ind w:left="244"/>
              <w:spacing w:before="268" w:line="184" w:lineRule="auto"/>
              <w:rPr/>
            </w:pPr>
            <w:r>
              <w:rPr>
                <w:spacing w:val="-2"/>
              </w:rPr>
              <w:t>5.1</w:t>
            </w:r>
          </w:p>
        </w:tc>
        <w:tc>
          <w:tcPr>
            <w:tcW w:w="3165" w:type="dxa"/>
            <w:vAlign w:val="top"/>
          </w:tcPr>
          <w:p>
            <w:pPr>
              <w:pStyle w:val="TableText"/>
              <w:ind w:left="280"/>
              <w:spacing w:before="230" w:line="219" w:lineRule="auto"/>
              <w:rPr/>
            </w:pPr>
            <w:r>
              <w:rPr>
                <w:spacing w:val="1"/>
              </w:rPr>
              <w:t>数据安全理念融入到企业文化中</w:t>
            </w:r>
          </w:p>
        </w:tc>
        <w:tc>
          <w:tcPr>
            <w:tcW w:w="3760" w:type="dxa"/>
            <w:vAlign w:val="top"/>
          </w:tcPr>
          <w:p>
            <w:pPr>
              <w:pStyle w:val="TableText"/>
              <w:ind w:left="276"/>
              <w:spacing w:before="99" w:line="219" w:lineRule="auto"/>
              <w:rPr/>
            </w:pPr>
            <w:r>
              <w:rPr/>
              <w:t>●数据安全培训演示材料</w:t>
            </w:r>
          </w:p>
          <w:p>
            <w:pPr>
              <w:pStyle w:val="TableText"/>
              <w:ind w:left="276"/>
              <w:spacing w:before="113" w:line="219" w:lineRule="auto"/>
              <w:rPr/>
            </w:pPr>
            <w:r>
              <w:rPr/>
              <w:t>●数据安全员工激励制度</w:t>
            </w:r>
          </w:p>
        </w:tc>
      </w:tr>
    </w:tbl>
    <w:p>
      <w:pPr>
        <w:ind w:left="590"/>
        <w:spacing w:before="20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90" w:right="86" w:firstLine="409"/>
        <w:spacing w:before="27" w:line="253" w:lineRule="auto"/>
        <w:rPr>
          <w:rFonts w:ascii="SimSun" w:hAnsi="SimSun" w:eastAsia="SimSun" w:cs="SimSun"/>
          <w:sz w:val="22"/>
          <w:szCs w:val="22"/>
        </w:rPr>
      </w:pPr>
      <w:r>
        <w:rPr>
          <w:rFonts w:ascii="SimSun" w:hAnsi="SimSun" w:eastAsia="SimSun" w:cs="SimSun"/>
          <w:sz w:val="22"/>
          <w:szCs w:val="22"/>
          <w:spacing w:val="-8"/>
        </w:rPr>
        <w:t>真正的数据安全管理是安全理念深深地融入到企业文化中。企业采用培训</w:t>
      </w:r>
      <w:r>
        <w:rPr>
          <w:rFonts w:ascii="SimSun" w:hAnsi="SimSun" w:eastAsia="SimSun" w:cs="SimSun"/>
          <w:sz w:val="22"/>
          <w:szCs w:val="22"/>
          <w:spacing w:val="-9"/>
        </w:rPr>
        <w:t>、绩</w:t>
      </w:r>
      <w:r>
        <w:rPr>
          <w:rFonts w:ascii="SimSun" w:hAnsi="SimSun" w:eastAsia="SimSun" w:cs="SimSun"/>
          <w:sz w:val="22"/>
          <w:szCs w:val="22"/>
        </w:rPr>
        <w:t xml:space="preserve"> </w:t>
      </w:r>
      <w:r>
        <w:rPr>
          <w:rFonts w:ascii="SimSun" w:hAnsi="SimSun" w:eastAsia="SimSun" w:cs="SimSun"/>
          <w:sz w:val="22"/>
          <w:szCs w:val="22"/>
          <w:spacing w:val="-8"/>
        </w:rPr>
        <w:t>效等方式鼓励员工积极参与到数据安全活动中，</w:t>
      </w:r>
      <w:r>
        <w:rPr>
          <w:rFonts w:ascii="SimSun" w:hAnsi="SimSun" w:eastAsia="SimSun" w:cs="SimSun"/>
          <w:sz w:val="22"/>
          <w:szCs w:val="22"/>
          <w:spacing w:val="-9"/>
        </w:rPr>
        <w:t>所有利益相关者均能在日常运营过</w:t>
      </w:r>
      <w:r>
        <w:rPr>
          <w:rFonts w:ascii="SimSun" w:hAnsi="SimSun" w:eastAsia="SimSun" w:cs="SimSun"/>
          <w:sz w:val="22"/>
          <w:szCs w:val="22"/>
        </w:rPr>
        <w:t xml:space="preserve"> </w:t>
      </w:r>
      <w:r>
        <w:rPr>
          <w:rFonts w:ascii="SimSun" w:hAnsi="SimSun" w:eastAsia="SimSun" w:cs="SimSun"/>
          <w:sz w:val="22"/>
          <w:szCs w:val="22"/>
          <w:spacing w:val="-12"/>
        </w:rPr>
        <w:t>程中自然遵守这些制订。</w:t>
      </w:r>
    </w:p>
    <w:p>
      <w:pPr>
        <w:spacing w:line="123" w:lineRule="exact"/>
        <w:rPr/>
      </w:pPr>
      <w:r/>
    </w:p>
    <w:tbl>
      <w:tblPr>
        <w:tblStyle w:val="TableNormal"/>
        <w:tblW w:w="7679"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55"/>
        <w:gridCol w:w="3760"/>
      </w:tblGrid>
      <w:tr>
        <w:trPr>
          <w:trHeight w:val="352" w:hRule="atLeast"/>
        </w:trPr>
        <w:tc>
          <w:tcPr>
            <w:tcW w:w="764" w:type="dxa"/>
            <w:vAlign w:val="top"/>
          </w:tcPr>
          <w:p>
            <w:pPr>
              <w:pStyle w:val="TableText"/>
              <w:ind w:left="224"/>
              <w:spacing w:before="102" w:line="221" w:lineRule="auto"/>
              <w:rPr/>
            </w:pPr>
            <w:r>
              <w:rPr>
                <w:spacing w:val="-2"/>
              </w:rPr>
              <w:t>序号</w:t>
            </w:r>
          </w:p>
        </w:tc>
        <w:tc>
          <w:tcPr>
            <w:tcW w:w="3155"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86"/>
              <w:spacing w:before="101" w:line="220" w:lineRule="auto"/>
              <w:rPr/>
            </w:pPr>
            <w:r>
              <w:rPr>
                <w:spacing w:val="-5"/>
              </w:rPr>
              <w:t>实</w:t>
            </w:r>
            <w:r>
              <w:rPr>
                <w:spacing w:val="6"/>
              </w:rPr>
              <w:t xml:space="preserve">    </w:t>
            </w:r>
            <w:r>
              <w:rPr>
                <w:spacing w:val="-5"/>
              </w:rPr>
              <w:t>例</w:t>
            </w:r>
          </w:p>
        </w:tc>
      </w:tr>
      <w:tr>
        <w:trPr>
          <w:trHeight w:val="877" w:hRule="atLeast"/>
        </w:trPr>
        <w:tc>
          <w:tcPr>
            <w:tcW w:w="764" w:type="dxa"/>
            <w:vAlign w:val="top"/>
          </w:tcPr>
          <w:p>
            <w:pPr>
              <w:spacing w:line="356" w:lineRule="auto"/>
              <w:rPr>
                <w:rFonts w:ascii="Arial"/>
                <w:sz w:val="21"/>
              </w:rPr>
            </w:pPr>
            <w:r/>
          </w:p>
          <w:p>
            <w:pPr>
              <w:pStyle w:val="TableText"/>
              <w:ind w:left="255"/>
              <w:spacing w:before="49" w:line="183" w:lineRule="auto"/>
              <w:rPr/>
            </w:pPr>
            <w:r>
              <w:rPr>
                <w:spacing w:val="-2"/>
              </w:rPr>
              <w:t>5.2</w:t>
            </w:r>
          </w:p>
        </w:tc>
        <w:tc>
          <w:tcPr>
            <w:tcW w:w="3155" w:type="dxa"/>
            <w:vAlign w:val="top"/>
          </w:tcPr>
          <w:p>
            <w:pPr>
              <w:pStyle w:val="TableText"/>
              <w:ind w:left="111" w:right="160" w:firstLine="109"/>
              <w:spacing w:before="97" w:line="304" w:lineRule="auto"/>
              <w:jc w:val="both"/>
              <w:rPr/>
            </w:pPr>
            <w:r>
              <w:rPr>
                <w:spacing w:val="-1"/>
              </w:rPr>
              <w:t>组织对潜在采用的创新的数据安全技术和</w:t>
            </w:r>
            <w:r>
              <w:rPr>
                <w:spacing w:val="4"/>
              </w:rPr>
              <w:t xml:space="preserve">  </w:t>
            </w:r>
            <w:r>
              <w:rPr>
                <w:spacing w:val="1"/>
              </w:rPr>
              <w:t>方法进行研究，并为采用的这些技术和方法</w:t>
            </w:r>
            <w:r>
              <w:rPr>
                <w:spacing w:val="3"/>
              </w:rPr>
              <w:t xml:space="preserve"> </w:t>
            </w:r>
            <w:r>
              <w:rPr>
                <w:spacing w:val="-1"/>
              </w:rPr>
              <w:t>制订适当的新标准</w:t>
            </w:r>
          </w:p>
        </w:tc>
        <w:tc>
          <w:tcPr>
            <w:tcW w:w="3760" w:type="dxa"/>
            <w:vAlign w:val="top"/>
          </w:tcPr>
          <w:p>
            <w:pPr>
              <w:spacing w:line="317" w:lineRule="auto"/>
              <w:rPr>
                <w:rFonts w:ascii="Arial"/>
                <w:sz w:val="21"/>
              </w:rPr>
            </w:pPr>
            <w:r/>
          </w:p>
          <w:p>
            <w:pPr>
              <w:pStyle w:val="TableText"/>
              <w:ind w:left="276"/>
              <w:spacing w:before="49" w:line="219" w:lineRule="auto"/>
              <w:rPr/>
            </w:pPr>
            <w:r>
              <w:rPr>
                <w:spacing w:val="1"/>
              </w:rPr>
              <w:t>●新兴技术的研究</w:t>
            </w:r>
          </w:p>
        </w:tc>
      </w:tr>
    </w:tbl>
    <w:p>
      <w:pPr>
        <w:ind w:left="590"/>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290" w:right="63" w:firstLine="409"/>
        <w:spacing w:before="57" w:line="247" w:lineRule="auto"/>
        <w:rPr>
          <w:rFonts w:ascii="SimSun" w:hAnsi="SimSun" w:eastAsia="SimSun" w:cs="SimSun"/>
          <w:sz w:val="22"/>
          <w:szCs w:val="22"/>
        </w:rPr>
      </w:pPr>
      <w:r>
        <w:rPr>
          <w:rFonts w:ascii="SimSun" w:hAnsi="SimSun" w:eastAsia="SimSun" w:cs="SimSun"/>
          <w:sz w:val="22"/>
          <w:szCs w:val="22"/>
          <w:spacing w:val="-2"/>
        </w:rPr>
        <w:t>组织安全管理员需要在业务工作中保持业务知识，加入数据安全管理组织，</w:t>
      </w:r>
      <w:r>
        <w:rPr>
          <w:rFonts w:ascii="SimSun" w:hAnsi="SimSun" w:eastAsia="SimSun" w:cs="SimSun"/>
          <w:sz w:val="22"/>
          <w:szCs w:val="22"/>
          <w:spacing w:val="4"/>
        </w:rPr>
        <w:t xml:space="preserve"> </w:t>
      </w:r>
      <w:r>
        <w:rPr>
          <w:rFonts w:ascii="SimSun" w:hAnsi="SimSun" w:eastAsia="SimSun" w:cs="SimSun"/>
          <w:sz w:val="22"/>
          <w:szCs w:val="22"/>
          <w:spacing w:val="-2"/>
        </w:rPr>
        <w:t>接受持续的教育，积极学习、研究新的数据安全管理技术，为组织采用新技术做</w:t>
      </w:r>
      <w:r>
        <w:rPr>
          <w:rFonts w:ascii="SimSun" w:hAnsi="SimSun" w:eastAsia="SimSun" w:cs="SimSun"/>
          <w:sz w:val="22"/>
          <w:szCs w:val="22"/>
          <w:spacing w:val="10"/>
        </w:rPr>
        <w:t xml:space="preserve"> </w:t>
      </w:r>
      <w:r>
        <w:rPr>
          <w:rFonts w:ascii="SimSun" w:hAnsi="SimSun" w:eastAsia="SimSun" w:cs="SimSun"/>
          <w:sz w:val="22"/>
          <w:szCs w:val="22"/>
          <w:spacing w:val="-8"/>
        </w:rPr>
        <w:t>好准备。</w:t>
      </w:r>
    </w:p>
    <w:p>
      <w:pPr>
        <w:spacing w:line="247" w:lineRule="auto"/>
        <w:sectPr>
          <w:footerReference w:type="default" r:id="rId437"/>
          <w:pgSz w:w="8870" w:h="13400"/>
          <w:pgMar w:top="400" w:right="395" w:bottom="484" w:left="479" w:header="0" w:footer="266" w:gutter="0"/>
        </w:sectPr>
        <w:rPr>
          <w:rFonts w:ascii="SimSun" w:hAnsi="SimSun" w:eastAsia="SimSun" w:cs="SimSun"/>
          <w:sz w:val="22"/>
          <w:szCs w:val="22"/>
        </w:rPr>
      </w:pPr>
    </w:p>
    <w:p>
      <w:pPr>
        <w:ind w:left="5728"/>
        <w:spacing w:before="154" w:line="219" w:lineRule="auto"/>
        <w:rPr>
          <w:rFonts w:ascii="SimSun" w:hAnsi="SimSun" w:eastAsia="SimSun" w:cs="SimSun"/>
          <w:sz w:val="22"/>
          <w:szCs w:val="22"/>
        </w:rPr>
      </w:pPr>
      <w:r>
        <w:rPr>
          <w:rFonts w:ascii="SimSun" w:hAnsi="SimSun" w:eastAsia="SimSun" w:cs="SimSun"/>
          <w:sz w:val="22"/>
          <w:szCs w:val="22"/>
          <w:b/>
          <w:bCs/>
          <w:spacing w:val="10"/>
        </w:rPr>
        <w:t>第9章■安全与隐私</w:t>
      </w:r>
    </w:p>
    <w:p>
      <w:pPr>
        <w:spacing w:before="18"/>
        <w:rPr/>
      </w:p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90"/>
      </w:tblGrid>
      <w:tr>
        <w:trPr>
          <w:trHeight w:val="341" w:hRule="atLeast"/>
        </w:trPr>
        <w:tc>
          <w:tcPr>
            <w:tcW w:w="744" w:type="dxa"/>
            <w:vAlign w:val="top"/>
          </w:tcPr>
          <w:p>
            <w:pPr>
              <w:pStyle w:val="TableText"/>
              <w:ind w:left="215"/>
              <w:spacing w:before="101" w:line="221" w:lineRule="auto"/>
              <w:rPr/>
            </w:pPr>
            <w:r>
              <w:rPr>
                <w:spacing w:val="-2"/>
              </w:rPr>
              <w:t>序号</w:t>
            </w:r>
          </w:p>
        </w:tc>
        <w:tc>
          <w:tcPr>
            <w:tcW w:w="3145"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90" w:type="dxa"/>
            <w:vAlign w:val="top"/>
          </w:tcPr>
          <w:p>
            <w:pPr>
              <w:pStyle w:val="TableText"/>
              <w:ind w:left="1626"/>
              <w:spacing w:before="10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5"/>
              <w:spacing w:before="268" w:line="183" w:lineRule="auto"/>
              <w:rPr/>
            </w:pPr>
            <w:r>
              <w:rPr>
                <w:spacing w:val="-2"/>
              </w:rPr>
              <w:t>5.3</w:t>
            </w:r>
          </w:p>
        </w:tc>
        <w:tc>
          <w:tcPr>
            <w:tcW w:w="3145" w:type="dxa"/>
            <w:vAlign w:val="top"/>
          </w:tcPr>
          <w:p>
            <w:pPr>
              <w:pStyle w:val="TableText"/>
              <w:ind w:left="111" w:right="181" w:firstLine="149"/>
              <w:spacing w:before="89" w:line="288" w:lineRule="auto"/>
              <w:rPr/>
            </w:pPr>
            <w:r>
              <w:rPr>
                <w:spacing w:val="-1"/>
              </w:rPr>
              <w:t>组织通过出版物、会议和白皮书分享所获</w:t>
            </w:r>
            <w:r>
              <w:rPr>
                <w:spacing w:val="9"/>
              </w:rPr>
              <w:t xml:space="preserve"> </w:t>
            </w:r>
            <w:r>
              <w:rPr/>
              <w:t>得的最佳数据安全管理实践和经验教训</w:t>
            </w:r>
          </w:p>
        </w:tc>
        <w:tc>
          <w:tcPr>
            <w:tcW w:w="3790" w:type="dxa"/>
            <w:vAlign w:val="top"/>
          </w:tcPr>
          <w:p>
            <w:pPr>
              <w:pStyle w:val="TableText"/>
              <w:ind w:left="316"/>
              <w:spacing w:before="229" w:line="219" w:lineRule="auto"/>
              <w:rPr/>
            </w:pPr>
            <w:r>
              <w:rPr/>
              <w:t>●与数据安全相关的演示材料和其他发表的作品</w:t>
            </w:r>
          </w:p>
        </w:tc>
      </w:tr>
    </w:tbl>
    <w:p>
      <w:pPr>
        <w:ind w:left="335"/>
        <w:spacing w:before="17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25" w:right="229" w:firstLine="419"/>
        <w:spacing w:before="39" w:line="248" w:lineRule="auto"/>
        <w:rPr>
          <w:rFonts w:ascii="SimSun" w:hAnsi="SimSun" w:eastAsia="SimSun" w:cs="SimSun"/>
          <w:sz w:val="22"/>
          <w:szCs w:val="22"/>
        </w:rPr>
      </w:pPr>
      <w:r>
        <w:rPr>
          <w:rFonts w:ascii="SimSun" w:hAnsi="SimSun" w:eastAsia="SimSun" w:cs="SimSun"/>
          <w:sz w:val="22"/>
          <w:szCs w:val="22"/>
          <w:spacing w:val="-8"/>
        </w:rPr>
        <w:t>组织</w:t>
      </w:r>
      <w:r>
        <w:rPr>
          <w:rFonts w:ascii="Times New Roman" w:hAnsi="Times New Roman" w:eastAsia="Times New Roman" w:cs="Times New Roman"/>
          <w:sz w:val="22"/>
          <w:szCs w:val="22"/>
          <w:spacing w:val="-8"/>
        </w:rPr>
        <w:t>IT </w:t>
      </w:r>
      <w:r>
        <w:rPr>
          <w:rFonts w:ascii="SimSun" w:hAnsi="SimSun" w:eastAsia="SimSun" w:cs="SimSun"/>
          <w:sz w:val="22"/>
          <w:szCs w:val="22"/>
          <w:spacing w:val="-8"/>
        </w:rPr>
        <w:t>安全管理专业人士应订阅专业杂志和网上各种论坛、专</w:t>
      </w:r>
      <w:r>
        <w:rPr>
          <w:rFonts w:ascii="SimSun" w:hAnsi="SimSun" w:eastAsia="SimSun" w:cs="SimSun"/>
          <w:sz w:val="22"/>
          <w:szCs w:val="22"/>
          <w:spacing w:val="-9"/>
        </w:rPr>
        <w:t>业讨论群，分享</w:t>
      </w:r>
      <w:r>
        <w:rPr>
          <w:rFonts w:ascii="SimSun" w:hAnsi="SimSun" w:eastAsia="SimSun" w:cs="SimSun"/>
          <w:sz w:val="22"/>
          <w:szCs w:val="22"/>
        </w:rPr>
        <w:t xml:space="preserve"> </w:t>
      </w:r>
      <w:r>
        <w:rPr>
          <w:rFonts w:ascii="SimSun" w:hAnsi="SimSun" w:eastAsia="SimSun" w:cs="SimSun"/>
          <w:sz w:val="22"/>
          <w:szCs w:val="22"/>
          <w:spacing w:val="-11"/>
        </w:rPr>
        <w:t>或阅读数据安全管理相关主题。</w:t>
      </w:r>
    </w:p>
    <w:p>
      <w:pPr>
        <w:ind w:left="448"/>
        <w:spacing w:before="181" w:line="224" w:lineRule="auto"/>
        <w:outlineLvl w:val="4"/>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1"/>
        </w:rPr>
        <w:t xml:space="preserve"> </w:t>
      </w:r>
      <w:r>
        <w:rPr>
          <w:rFonts w:ascii="YouYuan" w:hAnsi="YouYuan" w:eastAsia="YouYuan" w:cs="YouYuan"/>
          <w:sz w:val="22"/>
          <w:szCs w:val="22"/>
          <w:b/>
          <w:bCs/>
          <w:spacing w:val="-1"/>
        </w:rPr>
        <w:t>实施案例</w:t>
      </w:r>
    </w:p>
    <w:p>
      <w:pPr>
        <w:ind w:left="25" w:right="228" w:firstLine="419"/>
        <w:spacing w:before="229" w:line="241" w:lineRule="auto"/>
        <w:rPr>
          <w:rFonts w:ascii="SimSun" w:hAnsi="SimSun" w:eastAsia="SimSun" w:cs="SimSun"/>
          <w:sz w:val="22"/>
          <w:szCs w:val="22"/>
        </w:rPr>
      </w:pPr>
      <w:r>
        <w:rPr>
          <w:rFonts w:ascii="SimSun" w:hAnsi="SimSun" w:eastAsia="SimSun" w:cs="SimSun"/>
          <w:sz w:val="22"/>
          <w:szCs w:val="22"/>
          <w:spacing w:val="-9"/>
        </w:rPr>
        <w:t>云端数据安全管理要围绕数据生命周期变化来实施，在其数据的采集、传输、</w:t>
      </w:r>
      <w:r>
        <w:rPr>
          <w:rFonts w:ascii="SimSun" w:hAnsi="SimSun" w:eastAsia="SimSun" w:cs="SimSun"/>
          <w:sz w:val="22"/>
          <w:szCs w:val="22"/>
          <w:spacing w:val="14"/>
        </w:rPr>
        <w:t xml:space="preserve"> </w:t>
      </w:r>
      <w:r>
        <w:rPr>
          <w:rFonts w:ascii="SimSun" w:hAnsi="SimSun" w:eastAsia="SimSun" w:cs="SimSun"/>
          <w:sz w:val="22"/>
          <w:szCs w:val="22"/>
          <w:spacing w:val="-8"/>
        </w:rPr>
        <w:t>存储和使用的各个环节采取安全措施，制订覆盖数据存储、应用等环节的数据安全</w:t>
      </w:r>
      <w:r>
        <w:rPr>
          <w:rFonts w:ascii="SimSun" w:hAnsi="SimSun" w:eastAsia="SimSun" w:cs="SimSun"/>
          <w:sz w:val="22"/>
          <w:szCs w:val="22"/>
          <w:spacing w:val="17"/>
        </w:rPr>
        <w:t xml:space="preserve"> </w:t>
      </w:r>
      <w:r>
        <w:rPr>
          <w:rFonts w:ascii="SimSun" w:hAnsi="SimSun" w:eastAsia="SimSun" w:cs="SimSun"/>
          <w:sz w:val="22"/>
          <w:szCs w:val="22"/>
          <w:spacing w:val="-10"/>
        </w:rPr>
        <w:t>控制要求，提高安全防护能力。</w:t>
      </w:r>
    </w:p>
    <w:p>
      <w:pPr>
        <w:ind w:left="25" w:right="251" w:firstLine="419"/>
        <w:spacing w:before="59" w:line="248" w:lineRule="auto"/>
        <w:rPr>
          <w:rFonts w:ascii="SimSun" w:hAnsi="SimSun" w:eastAsia="SimSun" w:cs="SimSun"/>
          <w:sz w:val="22"/>
          <w:szCs w:val="22"/>
        </w:rPr>
      </w:pPr>
      <w:r>
        <w:rPr>
          <w:rFonts w:ascii="SimSun" w:hAnsi="SimSun" w:eastAsia="SimSun" w:cs="SimSun"/>
          <w:sz w:val="22"/>
          <w:szCs w:val="22"/>
          <w:spacing w:val="-8"/>
        </w:rPr>
        <w:t>以下为某电信运营商数据安全管理规范和某商业银行数据安全管理规范，</w:t>
      </w:r>
      <w:r>
        <w:rPr>
          <w:rFonts w:ascii="SimSun" w:hAnsi="SimSun" w:eastAsia="SimSun" w:cs="SimSun"/>
          <w:sz w:val="22"/>
          <w:szCs w:val="22"/>
          <w:spacing w:val="-9"/>
        </w:rPr>
        <w:t>仅供</w:t>
      </w:r>
      <w:r>
        <w:rPr>
          <w:rFonts w:ascii="SimSun" w:hAnsi="SimSun" w:eastAsia="SimSun" w:cs="SimSun"/>
          <w:sz w:val="22"/>
          <w:szCs w:val="22"/>
        </w:rPr>
        <w:t xml:space="preserve"> </w:t>
      </w:r>
      <w:r>
        <w:rPr>
          <w:rFonts w:ascii="SimSun" w:hAnsi="SimSun" w:eastAsia="SimSun" w:cs="SimSun"/>
          <w:sz w:val="22"/>
          <w:szCs w:val="22"/>
          <w:spacing w:val="-16"/>
        </w:rPr>
        <w:t>参考。</w:t>
      </w:r>
    </w:p>
    <w:p>
      <w:pPr>
        <w:spacing w:line="104" w:lineRule="exact"/>
        <w:rPr/>
      </w:pPr>
      <w:r/>
    </w:p>
    <w:tbl>
      <w:tblPr>
        <w:tblStyle w:val="TableNormal"/>
        <w:tblW w:w="7679" w:type="dxa"/>
        <w:tblInd w:w="55" w:type="dxa"/>
        <w:tblLayout w:type="fixed"/>
        <w:tblBorders>
          <w:left w:val="single" w:color="000000" w:sz="4" w:space="0"/>
          <w:bottom w:val="single" w:color="000000" w:sz="4" w:space="0"/>
          <w:right w:val="single" w:color="000000" w:sz="4" w:space="0"/>
          <w:top w:val="single" w:color="000000" w:sz="4" w:space="0"/>
        </w:tblBorders>
      </w:tblPr>
      <w:tblGrid>
        <w:gridCol w:w="7679"/>
      </w:tblGrid>
      <w:tr>
        <w:trPr>
          <w:trHeight w:val="6739" w:hRule="atLeast"/>
        </w:trPr>
        <w:tc>
          <w:tcPr>
            <w:tcW w:w="7679" w:type="dxa"/>
            <w:vAlign w:val="top"/>
          </w:tcPr>
          <w:p>
            <w:pPr>
              <w:pStyle w:val="TableText"/>
              <w:ind w:left="3244"/>
              <w:spacing w:before="81" w:line="219" w:lineRule="auto"/>
              <w:rPr/>
            </w:pPr>
            <w:r>
              <w:rPr>
                <w:spacing w:val="-1"/>
              </w:rPr>
              <w:t>数据安全管理规范</w:t>
            </w:r>
          </w:p>
          <w:p>
            <w:pPr>
              <w:pStyle w:val="TableText"/>
              <w:ind w:left="265"/>
              <w:spacing w:before="91" w:line="219" w:lineRule="auto"/>
              <w:rPr/>
            </w:pPr>
            <w:r>
              <w:rPr>
                <w:spacing w:val="-8"/>
              </w:rPr>
              <w:t>1</w:t>
            </w:r>
            <w:r>
              <w:rPr>
                <w:spacing w:val="24"/>
                <w:w w:val="101"/>
              </w:rPr>
              <w:t xml:space="preserve"> </w:t>
            </w:r>
            <w:r>
              <w:rPr>
                <w:spacing w:val="-8"/>
              </w:rPr>
              <w:t>概</w:t>
            </w:r>
            <w:r>
              <w:rPr>
                <w:spacing w:val="24"/>
                <w:w w:val="101"/>
              </w:rPr>
              <w:t xml:space="preserve"> </w:t>
            </w:r>
            <w:r>
              <w:rPr>
                <w:spacing w:val="-8"/>
              </w:rPr>
              <w:t>述</w:t>
            </w:r>
          </w:p>
          <w:p>
            <w:pPr>
              <w:pStyle w:val="TableText"/>
              <w:ind w:left="115" w:right="211" w:firstLine="149"/>
              <w:spacing w:before="110" w:line="282" w:lineRule="auto"/>
              <w:rPr/>
            </w:pPr>
            <w:r>
              <w:rPr/>
              <w:t>数据信息安全，顾名思义就是要保护数据信息免受威胁的影响，从而确保业务平台的连续</w:t>
            </w:r>
            <w:r>
              <w:rPr>
                <w:spacing w:val="-1"/>
              </w:rPr>
              <w:t>性，缩减业务平台有</w:t>
            </w:r>
            <w:r>
              <w:rPr/>
              <w:t xml:space="preserve"> </w:t>
            </w:r>
            <w:r>
              <w:rPr/>
              <w:t>可能面临的风险，为整个业务平台部门的长期正常运行提供强</w:t>
            </w:r>
            <w:r>
              <w:rPr>
                <w:spacing w:val="-1"/>
              </w:rPr>
              <w:t>有力的保障。</w:t>
            </w:r>
          </w:p>
          <w:p>
            <w:pPr>
              <w:pStyle w:val="TableText"/>
              <w:ind w:left="265"/>
              <w:spacing w:before="102" w:line="219" w:lineRule="auto"/>
              <w:rPr/>
            </w:pPr>
            <w:r>
              <w:rPr/>
              <w:t>为加强数据信息的安全管理，保证数据信息的可用性、完整性、机密性，特</w:t>
            </w:r>
            <w:r>
              <w:rPr>
                <w:spacing w:val="-1"/>
              </w:rPr>
              <w:t>制订本规范。</w:t>
            </w:r>
          </w:p>
          <w:p>
            <w:pPr>
              <w:pStyle w:val="TableText"/>
              <w:ind w:left="265"/>
              <w:spacing w:before="103" w:line="219" w:lineRule="auto"/>
              <w:rPr/>
            </w:pPr>
            <w:r>
              <w:rPr>
                <w:spacing w:val="-1"/>
              </w:rPr>
              <w:t>2数据信息安全管理制度</w:t>
            </w:r>
          </w:p>
          <w:p>
            <w:pPr>
              <w:pStyle w:val="TableText"/>
              <w:ind w:left="265"/>
              <w:spacing w:before="112" w:line="219" w:lineRule="auto"/>
              <w:rPr/>
            </w:pPr>
            <w:r>
              <w:rPr>
                <w:spacing w:val="-1"/>
              </w:rPr>
              <w:t>2.1  数据信息安全存储要求</w:t>
            </w:r>
          </w:p>
          <w:p>
            <w:pPr>
              <w:pStyle w:val="TableText"/>
              <w:ind w:left="265"/>
              <w:spacing w:before="70" w:line="218" w:lineRule="auto"/>
              <w:rPr/>
            </w:pPr>
            <w:r>
              <w:rPr/>
              <w:t>数据信息存储介质包括：纸质文档、语音或其录音、输出报告、硬盘、磁带、</w:t>
            </w:r>
            <w:r>
              <w:rPr>
                <w:spacing w:val="-1"/>
              </w:rPr>
              <w:t>光存储介质。</w:t>
            </w:r>
          </w:p>
          <w:p>
            <w:pPr>
              <w:pStyle w:val="TableText"/>
              <w:ind w:left="265"/>
              <w:spacing w:before="124" w:line="219" w:lineRule="auto"/>
              <w:rPr/>
            </w:pPr>
            <w:r>
              <w:rPr>
                <w:spacing w:val="-1"/>
              </w:rPr>
              <w:t>存储介质管理须符合以下规定。</w:t>
            </w:r>
          </w:p>
          <w:p>
            <w:pPr>
              <w:pStyle w:val="TableText"/>
              <w:ind w:left="265"/>
              <w:spacing w:before="112" w:line="219" w:lineRule="auto"/>
              <w:rPr/>
            </w:pPr>
            <w:r>
              <w:rPr/>
              <w:t>(1)包含重要、敏感或关键数据信息的移动式存储介质须专人值</w:t>
            </w:r>
            <w:r>
              <w:rPr>
                <w:spacing w:val="-1"/>
              </w:rPr>
              <w:t>守。</w:t>
            </w:r>
          </w:p>
          <w:p>
            <w:pPr>
              <w:pStyle w:val="TableText"/>
              <w:ind w:left="125" w:right="269" w:firstLine="139"/>
              <w:spacing w:before="103" w:line="282" w:lineRule="auto"/>
              <w:rPr/>
            </w:pPr>
            <w:r>
              <w:rPr/>
              <w:t>(2)删除可重复使用存储介质上的机密及绝密数据时，为了避免在可移动介质上遗留信息，应该对介质进行消</w:t>
            </w:r>
            <w:r>
              <w:rPr>
                <w:spacing w:val="8"/>
              </w:rPr>
              <w:t xml:space="preserve"> </w:t>
            </w:r>
            <w:r>
              <w:rPr/>
              <w:t>磁或彻底的格式化，或者使用专用的工具在存储区域填入无用的</w:t>
            </w:r>
            <w:r>
              <w:rPr>
                <w:spacing w:val="-1"/>
              </w:rPr>
              <w:t>信息进行覆盖。</w:t>
            </w:r>
          </w:p>
          <w:p>
            <w:pPr>
              <w:pStyle w:val="TableText"/>
              <w:ind w:left="265"/>
              <w:spacing w:before="111" w:line="219" w:lineRule="auto"/>
              <w:rPr/>
            </w:pPr>
            <w:r>
              <w:rPr/>
              <w:t>(3)任何存储媒介入库或出库须经授权，并保留相应记录，方便审计跟踪。</w:t>
            </w:r>
          </w:p>
          <w:p>
            <w:pPr>
              <w:pStyle w:val="TableText"/>
              <w:ind w:left="265"/>
              <w:spacing w:before="92" w:line="219" w:lineRule="auto"/>
              <w:rPr/>
            </w:pPr>
            <w:r>
              <w:rPr>
                <w:spacing w:val="-1"/>
              </w:rPr>
              <w:t>2.2  数据信息传输安全要求</w:t>
            </w:r>
          </w:p>
          <w:p>
            <w:pPr>
              <w:pStyle w:val="TableText"/>
              <w:ind w:left="115" w:right="277" w:firstLine="149"/>
              <w:spacing w:before="102" w:line="290" w:lineRule="auto"/>
              <w:rPr/>
            </w:pPr>
            <w:r>
              <w:rPr/>
              <w:t>(1)在对数据信息进行传输时，应该在风险评估的基础上采用合理的加密技术，选择和应用加密技术时，应符 </w:t>
            </w:r>
            <w:r>
              <w:rPr>
                <w:spacing w:val="-1"/>
              </w:rPr>
              <w:t>合以下规范。</w:t>
            </w:r>
          </w:p>
          <w:p>
            <w:pPr>
              <w:pStyle w:val="TableText"/>
              <w:ind w:left="265"/>
              <w:spacing w:before="89" w:line="219" w:lineRule="auto"/>
              <w:rPr/>
            </w:pPr>
            <w:r>
              <w:rPr>
                <w:spacing w:val="3"/>
              </w:rPr>
              <w:t>a.必须符合国家有关加密技术的法律法规；</w:t>
            </w:r>
          </w:p>
          <w:p>
            <w:pPr>
              <w:pStyle w:val="TableText"/>
              <w:ind w:left="265"/>
              <w:spacing w:before="81" w:line="218" w:lineRule="auto"/>
              <w:rPr/>
            </w:pPr>
            <w:r>
              <w:rPr>
                <w:spacing w:val="2"/>
              </w:rPr>
              <w:t>b.根据风险评估确定保护级别，并以此确定加密算法的类型、属性，以及</w:t>
            </w:r>
            <w:r>
              <w:rPr>
                <w:spacing w:val="1"/>
              </w:rPr>
              <w:t>所用密钥的长度；</w:t>
            </w:r>
          </w:p>
          <w:p>
            <w:pPr>
              <w:pStyle w:val="TableText"/>
              <w:ind w:left="265"/>
              <w:spacing w:before="123" w:line="219" w:lineRule="auto"/>
              <w:rPr/>
            </w:pPr>
            <w:r>
              <w:rPr/>
              <w:t>c.听取专家的建议，确定合适的保护级别，选择能够提供所需保护</w:t>
            </w:r>
            <w:r>
              <w:rPr>
                <w:spacing w:val="-1"/>
              </w:rPr>
              <w:t>的合适的工具。</w:t>
            </w:r>
          </w:p>
          <w:p>
            <w:pPr>
              <w:pStyle w:val="TableText"/>
              <w:ind w:left="265"/>
              <w:spacing w:before="112" w:line="219" w:lineRule="auto"/>
              <w:rPr/>
            </w:pPr>
            <w:r>
              <w:rPr/>
              <w:t>(2)机密和绝密信息在存储和传输时必须加密，加密方式可以分为：对称加密和不对称加密。</w:t>
            </w:r>
          </w:p>
          <w:p>
            <w:pPr>
              <w:pStyle w:val="TableText"/>
              <w:ind w:left="64" w:right="424" w:firstLine="200"/>
              <w:spacing w:before="103" w:line="266" w:lineRule="auto"/>
              <w:rPr/>
            </w:pPr>
            <w:r>
              <w:rPr/>
              <w:t>(3)机密和绝密数据的传输过程中必须使用数字签名以确保信息的不可否认性，使用数字签名时应符合以下</w:t>
            </w:r>
            <w:r>
              <w:rPr>
                <w:spacing w:val="3"/>
              </w:rPr>
              <w:t xml:space="preserve"> </w:t>
            </w:r>
            <w:r>
              <w:rPr>
                <w:spacing w:val="-2"/>
              </w:rPr>
              <w:t>规范。</w:t>
            </w:r>
          </w:p>
          <w:p>
            <w:pPr>
              <w:pStyle w:val="TableText"/>
              <w:ind w:left="265"/>
              <w:spacing w:before="138" w:line="270" w:lineRule="exact"/>
              <w:rPr/>
            </w:pPr>
            <w:r>
              <w:rPr>
                <w:spacing w:val="2"/>
                <w:position w:val="9"/>
              </w:rPr>
              <w:t>a.充分保护私钥的机密性，防止窃取者伪造密钥持有人的签名；</w:t>
            </w:r>
          </w:p>
          <w:p>
            <w:pPr>
              <w:pStyle w:val="TableText"/>
              <w:ind w:left="265"/>
              <w:spacing w:line="218" w:lineRule="auto"/>
              <w:rPr/>
            </w:pPr>
            <w:r>
              <w:rPr>
                <w:spacing w:val="3"/>
              </w:rPr>
              <w:t>b.采取保护公钥完整性的安全措施，例如使用</w:t>
            </w:r>
            <w:r>
              <w:rPr>
                <w:spacing w:val="2"/>
              </w:rPr>
              <w:t>公钥证书；</w:t>
            </w:r>
          </w:p>
        </w:tc>
      </w:tr>
    </w:tbl>
    <w:p>
      <w:pPr>
        <w:pStyle w:val="BodyText"/>
        <w:rPr/>
      </w:pPr>
      <w:r/>
    </w:p>
    <w:p>
      <w:pPr>
        <w:sectPr>
          <w:footerReference w:type="default" r:id="rId439"/>
          <w:pgSz w:w="8870" w:h="13400"/>
          <w:pgMar w:top="400" w:right="561" w:bottom="644" w:left="404" w:header="0" w:footer="426" w:gutter="0"/>
        </w:sectPr>
        <w:rPr/>
      </w:pPr>
    </w:p>
    <w:p>
      <w:pPr>
        <w:ind w:left="149"/>
        <w:spacing w:before="110"/>
        <w:rPr>
          <w:rFonts w:ascii="SimSun" w:hAnsi="SimSun" w:eastAsia="SimSun" w:cs="SimSun"/>
          <w:sz w:val="20"/>
          <w:szCs w:val="20"/>
        </w:rPr>
      </w:pPr>
      <w:bookmarkStart w:name="bookmark82" w:id="77"/>
      <w:bookmarkEnd w:id="77"/>
      <w:r>
        <w:rPr>
          <w:rFonts w:ascii="SimSun" w:hAnsi="SimSun" w:eastAsia="SimSun" w:cs="SimSun"/>
          <w:sz w:val="20"/>
          <w:szCs w:val="20"/>
          <w:position w:val="-8"/>
        </w:rPr>
        <w:drawing>
          <wp:inline distT="0" distB="0" distL="0" distR="0">
            <wp:extent cx="6365" cy="222255"/>
            <wp:effectExtent l="0" t="0" r="0" b="0"/>
            <wp:docPr id="308" name="IM 308"/>
            <wp:cNvGraphicFramePr/>
            <a:graphic>
              <a:graphicData uri="http://schemas.openxmlformats.org/drawingml/2006/picture">
                <pic:pic>
                  <pic:nvPicPr>
                    <pic:cNvPr id="308" name="IM 308"/>
                    <pic:cNvPicPr/>
                  </pic:nvPicPr>
                  <pic:blipFill>
                    <a:blip r:embed="rId441"/>
                    <a:stretch>
                      <a:fillRect/>
                    </a:stretch>
                  </pic:blipFill>
                  <pic:spPr>
                    <a:xfrm rot="0">
                      <a:off x="0" y="0"/>
                      <a:ext cx="6365" cy="222255"/>
                    </a:xfrm>
                    <a:prstGeom prst="rect">
                      <a:avLst/>
                    </a:prstGeom>
                  </pic:spPr>
                </pic:pic>
              </a:graphicData>
            </a:graphic>
          </wp:inline>
        </w:drawing>
      </w:r>
      <w:r>
        <w:rPr>
          <w:rFonts w:ascii="SimSun" w:hAnsi="SimSun" w:eastAsia="SimSun" w:cs="SimSun"/>
          <w:sz w:val="20"/>
          <w:szCs w:val="20"/>
          <w:spacing w:val="-3"/>
        </w:rPr>
        <w:t xml:space="preserve"> </w:t>
      </w:r>
      <w:r>
        <w:rPr>
          <w:rFonts w:ascii="SimSun" w:hAnsi="SimSun" w:eastAsia="SimSun" w:cs="SimSun"/>
          <w:sz w:val="20"/>
          <w:szCs w:val="20"/>
          <w:b/>
          <w:bCs/>
          <w:spacing w:val="3"/>
        </w:rPr>
        <w:t>■云端数据治理</w:t>
      </w:r>
    </w:p>
    <w:p>
      <w:pPr>
        <w:pStyle w:val="BodyText"/>
        <w:spacing w:line="252" w:lineRule="auto"/>
        <w:rPr/>
      </w:pPr>
      <w:r/>
    </w:p>
    <w:p>
      <w:pPr>
        <w:ind w:left="7230"/>
        <w:spacing w:before="65" w:line="195" w:lineRule="auto"/>
        <w:rPr>
          <w:rFonts w:ascii="SimHei" w:hAnsi="SimHei" w:eastAsia="SimHei" w:cs="SimHei"/>
          <w:sz w:val="20"/>
          <w:szCs w:val="20"/>
        </w:rPr>
      </w:pPr>
      <w:r>
        <w:rPr>
          <w:rFonts w:ascii="SimHei" w:hAnsi="SimHei" w:eastAsia="SimHei" w:cs="SimHei"/>
          <w:sz w:val="20"/>
          <w:szCs w:val="20"/>
          <w:spacing w:val="-9"/>
        </w:rPr>
        <w:t>续表</w:t>
      </w:r>
    </w:p>
    <w:tbl>
      <w:tblPr>
        <w:tblStyle w:val="TableNormal"/>
        <w:tblW w:w="7732" w:type="dxa"/>
        <w:tblInd w:w="269" w:type="dxa"/>
        <w:tblLayout w:type="fixed"/>
        <w:tblBorders>
          <w:left w:val="single" w:color="000000" w:sz="8" w:space="0"/>
          <w:bottom w:val="single" w:color="000000" w:sz="2" w:space="0"/>
          <w:right w:val="single" w:color="000000" w:sz="6" w:space="0"/>
          <w:top w:val="single" w:color="000000" w:sz="4" w:space="0"/>
        </w:tblBorders>
      </w:tblPr>
      <w:tblGrid>
        <w:gridCol w:w="7732"/>
      </w:tblGrid>
      <w:tr>
        <w:trPr>
          <w:trHeight w:val="10834" w:hRule="atLeast"/>
        </w:trPr>
        <w:tc>
          <w:tcPr>
            <w:tcW w:w="7732" w:type="dxa"/>
            <w:vAlign w:val="top"/>
          </w:tcPr>
          <w:p>
            <w:pPr>
              <w:pStyle w:val="TableText"/>
              <w:ind w:left="260"/>
              <w:spacing w:before="105" w:line="219" w:lineRule="auto"/>
              <w:rPr>
                <w:sz w:val="14"/>
                <w:szCs w:val="14"/>
              </w:rPr>
            </w:pPr>
            <w:r>
              <w:rPr>
                <w:rFonts w:ascii="Times New Roman" w:hAnsi="Times New Roman" w:eastAsia="Times New Roman" w:cs="Times New Roman"/>
                <w:sz w:val="14"/>
                <w:szCs w:val="14"/>
                <w:spacing w:val="9"/>
              </w:rPr>
              <w:t>c.</w:t>
            </w:r>
            <w:r>
              <w:rPr>
                <w:rFonts w:ascii="Times New Roman" w:hAnsi="Times New Roman" w:eastAsia="Times New Roman" w:cs="Times New Roman"/>
                <w:sz w:val="14"/>
                <w:szCs w:val="14"/>
                <w:spacing w:val="6"/>
              </w:rPr>
              <w:t xml:space="preserve">   </w:t>
            </w:r>
            <w:r>
              <w:rPr>
                <w:sz w:val="14"/>
                <w:szCs w:val="14"/>
                <w:spacing w:val="9"/>
              </w:rPr>
              <w:t>确定签名算法的类型、属性以及所用密钥长度；</w:t>
            </w:r>
          </w:p>
          <w:p>
            <w:pPr>
              <w:pStyle w:val="TableText"/>
              <w:ind w:left="260"/>
              <w:spacing w:before="103" w:line="219" w:lineRule="auto"/>
              <w:rPr>
                <w:sz w:val="14"/>
                <w:szCs w:val="14"/>
              </w:rPr>
            </w:pPr>
            <w:r>
              <w:rPr>
                <w:rFonts w:ascii="Times New Roman" w:hAnsi="Times New Roman" w:eastAsia="Times New Roman" w:cs="Times New Roman"/>
                <w:sz w:val="14"/>
                <w:szCs w:val="14"/>
                <w:spacing w:val="10"/>
              </w:rPr>
              <w:t>d.</w:t>
            </w:r>
            <w:r>
              <w:rPr>
                <w:rFonts w:ascii="Times New Roman" w:hAnsi="Times New Roman" w:eastAsia="Times New Roman" w:cs="Times New Roman"/>
                <w:sz w:val="14"/>
                <w:szCs w:val="14"/>
                <w:spacing w:val="2"/>
              </w:rPr>
              <w:t xml:space="preserve">   </w:t>
            </w:r>
            <w:r>
              <w:rPr>
                <w:sz w:val="14"/>
                <w:szCs w:val="14"/>
                <w:spacing w:val="10"/>
              </w:rPr>
              <w:t>用于数字签名的密钥应不同于用来加密内容的密钥。</w:t>
            </w:r>
          </w:p>
          <w:p>
            <w:pPr>
              <w:pStyle w:val="TableText"/>
              <w:ind w:left="260"/>
              <w:spacing w:before="123" w:line="219" w:lineRule="auto"/>
              <w:rPr>
                <w:sz w:val="14"/>
                <w:szCs w:val="14"/>
              </w:rPr>
            </w:pPr>
            <w:r>
              <w:rPr>
                <w:sz w:val="14"/>
                <w:szCs w:val="14"/>
                <w:spacing w:val="9"/>
              </w:rPr>
              <w:t>2.3</w:t>
            </w:r>
            <w:r>
              <w:rPr>
                <w:sz w:val="14"/>
                <w:szCs w:val="14"/>
                <w:spacing w:val="70"/>
              </w:rPr>
              <w:t xml:space="preserve"> </w:t>
            </w:r>
            <w:r>
              <w:rPr>
                <w:sz w:val="14"/>
                <w:szCs w:val="14"/>
                <w:spacing w:val="9"/>
              </w:rPr>
              <w:t>数据信息安全等级变更要求</w:t>
            </w:r>
          </w:p>
          <w:p>
            <w:pPr>
              <w:pStyle w:val="TableText"/>
              <w:ind w:left="110" w:right="164" w:firstLine="149"/>
              <w:spacing w:before="74" w:line="395" w:lineRule="auto"/>
              <w:rPr>
                <w:sz w:val="14"/>
                <w:szCs w:val="14"/>
              </w:rPr>
            </w:pPr>
            <w:r>
              <w:rPr>
                <w:sz w:val="14"/>
                <w:szCs w:val="14"/>
                <w:spacing w:val="9"/>
              </w:rPr>
              <w:t>数据信息安全等级经常需要变更。</w:t>
            </w:r>
            <w:r>
              <w:rPr>
                <w:sz w:val="14"/>
                <w:szCs w:val="14"/>
                <w:spacing w:val="40"/>
              </w:rPr>
              <w:t xml:space="preserve"> </w:t>
            </w:r>
            <w:r>
              <w:rPr>
                <w:sz w:val="14"/>
                <w:szCs w:val="14"/>
                <w:spacing w:val="9"/>
              </w:rPr>
              <w:t>一般地，数据信息安全等级变更需要由数据资产的所有者进行，改变</w:t>
            </w:r>
            <w:r>
              <w:rPr>
                <w:sz w:val="14"/>
                <w:szCs w:val="14"/>
                <w:spacing w:val="8"/>
              </w:rPr>
              <w:t>相应的</w:t>
            </w:r>
            <w:r>
              <w:rPr>
                <w:sz w:val="14"/>
                <w:szCs w:val="14"/>
              </w:rPr>
              <w:t xml:space="preserve"> </w:t>
            </w:r>
            <w:r>
              <w:rPr>
                <w:sz w:val="14"/>
                <w:szCs w:val="14"/>
                <w:spacing w:val="10"/>
              </w:rPr>
              <w:t>分类并告知信息安全负责人进行备案.。对于数据信息的安全等级，应每年进行评审，只要实际情况允许，就进行</w:t>
            </w:r>
          </w:p>
          <w:p>
            <w:pPr>
              <w:pStyle w:val="TableText"/>
              <w:ind w:left="110"/>
              <w:spacing w:before="1" w:line="218" w:lineRule="auto"/>
              <w:rPr>
                <w:sz w:val="14"/>
                <w:szCs w:val="14"/>
              </w:rPr>
            </w:pPr>
            <w:r>
              <w:rPr>
                <w:sz w:val="14"/>
                <w:szCs w:val="14"/>
                <w:spacing w:val="11"/>
              </w:rPr>
              <w:t>数据信息安全等级递减，这样可以降低数据防护的成本，并增加数</w:t>
            </w:r>
            <w:r>
              <w:rPr>
                <w:sz w:val="14"/>
                <w:szCs w:val="14"/>
                <w:spacing w:val="10"/>
              </w:rPr>
              <w:t>据访问的方便性。</w:t>
            </w:r>
          </w:p>
          <w:p>
            <w:pPr>
              <w:pStyle w:val="TableText"/>
              <w:ind w:left="260"/>
              <w:spacing w:before="125" w:line="219" w:lineRule="auto"/>
              <w:rPr>
                <w:sz w:val="14"/>
                <w:szCs w:val="14"/>
              </w:rPr>
            </w:pPr>
            <w:r>
              <w:rPr>
                <w:rFonts w:ascii="Times New Roman" w:hAnsi="Times New Roman" w:eastAsia="Times New Roman" w:cs="Times New Roman"/>
                <w:sz w:val="14"/>
                <w:szCs w:val="14"/>
                <w:spacing w:val="8"/>
              </w:rPr>
              <w:t>2.4</w:t>
            </w:r>
            <w:r>
              <w:rPr>
                <w:rFonts w:ascii="Times New Roman" w:hAnsi="Times New Roman" w:eastAsia="Times New Roman" w:cs="Times New Roman"/>
                <w:sz w:val="14"/>
                <w:szCs w:val="14"/>
                <w:spacing w:val="9"/>
                <w:w w:val="102"/>
              </w:rPr>
              <w:t xml:space="preserve">    </w:t>
            </w:r>
            <w:r>
              <w:rPr>
                <w:sz w:val="14"/>
                <w:szCs w:val="14"/>
                <w:spacing w:val="8"/>
              </w:rPr>
              <w:t>数据信息安全管理职责</w:t>
            </w:r>
          </w:p>
          <w:p>
            <w:pPr>
              <w:pStyle w:val="TableText"/>
              <w:ind w:left="260"/>
              <w:spacing w:before="104" w:line="219" w:lineRule="auto"/>
              <w:rPr>
                <w:sz w:val="14"/>
                <w:szCs w:val="14"/>
              </w:rPr>
            </w:pPr>
            <w:r>
              <w:rPr>
                <w:sz w:val="14"/>
                <w:szCs w:val="14"/>
                <w:spacing w:val="9"/>
              </w:rPr>
              <w:t>数据信息涉及各类人员的职责如下。</w:t>
            </w:r>
          </w:p>
          <w:p>
            <w:pPr>
              <w:pStyle w:val="TableText"/>
              <w:ind w:left="260"/>
              <w:spacing w:before="93" w:line="291" w:lineRule="exact"/>
              <w:rPr>
                <w:sz w:val="14"/>
                <w:szCs w:val="14"/>
              </w:rPr>
            </w:pPr>
            <w:r>
              <w:rPr>
                <w:sz w:val="14"/>
                <w:szCs w:val="14"/>
                <w:spacing w:val="12"/>
                <w:position w:val="11"/>
              </w:rPr>
              <w:t>(1)拥有者：拥有数据的所有权；拥有对数据的处置权利；对数据进行分类与分级；指定数据资产的</w:t>
            </w:r>
            <w:r>
              <w:rPr>
                <w:sz w:val="14"/>
                <w:szCs w:val="14"/>
                <w:spacing w:val="11"/>
                <w:position w:val="11"/>
              </w:rPr>
              <w:t>管理者/维</w:t>
            </w:r>
          </w:p>
          <w:p>
            <w:pPr>
              <w:pStyle w:val="TableText"/>
              <w:ind w:left="110"/>
              <w:spacing w:line="220" w:lineRule="auto"/>
              <w:rPr>
                <w:sz w:val="14"/>
                <w:szCs w:val="14"/>
              </w:rPr>
            </w:pPr>
            <w:r>
              <w:rPr>
                <w:sz w:val="14"/>
                <w:szCs w:val="14"/>
                <w:spacing w:val="6"/>
              </w:rPr>
              <w:t>护人；</w:t>
            </w:r>
          </w:p>
          <w:p>
            <w:pPr>
              <w:pStyle w:val="TableText"/>
              <w:ind w:left="260"/>
              <w:spacing w:before="123" w:line="219" w:lineRule="auto"/>
              <w:rPr>
                <w:sz w:val="14"/>
                <w:szCs w:val="14"/>
              </w:rPr>
            </w:pPr>
            <w:r>
              <w:rPr>
                <w:sz w:val="14"/>
                <w:szCs w:val="14"/>
                <w:spacing w:val="12"/>
              </w:rPr>
              <w:t>(2)管理者：被授权管理相关数据资产；负责数据的日常维护和管理；</w:t>
            </w:r>
          </w:p>
          <w:p>
            <w:pPr>
              <w:pStyle w:val="TableText"/>
              <w:ind w:left="260"/>
              <w:spacing w:before="103" w:line="219" w:lineRule="auto"/>
              <w:rPr>
                <w:sz w:val="14"/>
                <w:szCs w:val="14"/>
              </w:rPr>
            </w:pPr>
            <w:r>
              <w:rPr>
                <w:sz w:val="14"/>
                <w:szCs w:val="14"/>
                <w:spacing w:val="12"/>
              </w:rPr>
              <w:t>(3)访问者：在授权的范围内访问所需数据；确保访问对象的机密性、完整性、可用性等。</w:t>
            </w:r>
          </w:p>
          <w:p>
            <w:pPr>
              <w:pStyle w:val="TableText"/>
              <w:ind w:left="260"/>
              <w:spacing w:before="103" w:line="301" w:lineRule="exact"/>
              <w:rPr>
                <w:sz w:val="14"/>
                <w:szCs w:val="14"/>
              </w:rPr>
            </w:pPr>
            <w:r>
              <w:rPr>
                <w:sz w:val="14"/>
                <w:szCs w:val="14"/>
                <w:spacing w:val="10"/>
                <w:position w:val="12"/>
              </w:rPr>
              <w:t>3  数据信息重要性评估</w:t>
            </w:r>
          </w:p>
          <w:p>
            <w:pPr>
              <w:pStyle w:val="TableText"/>
              <w:ind w:left="260"/>
              <w:spacing w:before="1" w:line="219" w:lineRule="auto"/>
              <w:rPr>
                <w:sz w:val="14"/>
                <w:szCs w:val="14"/>
              </w:rPr>
            </w:pPr>
            <w:r>
              <w:rPr>
                <w:sz w:val="14"/>
                <w:szCs w:val="14"/>
                <w:spacing w:val="10"/>
              </w:rPr>
              <w:t>3.1</w:t>
            </w:r>
            <w:r>
              <w:rPr>
                <w:sz w:val="14"/>
                <w:szCs w:val="14"/>
                <w:spacing w:val="61"/>
              </w:rPr>
              <w:t xml:space="preserve"> </w:t>
            </w:r>
            <w:r>
              <w:rPr>
                <w:sz w:val="14"/>
                <w:szCs w:val="14"/>
                <w:spacing w:val="10"/>
              </w:rPr>
              <w:t>数据信息分级原则</w:t>
            </w:r>
          </w:p>
          <w:p>
            <w:pPr>
              <w:pStyle w:val="TableText"/>
              <w:ind w:left="260"/>
              <w:spacing w:before="114" w:line="220" w:lineRule="auto"/>
              <w:rPr>
                <w:sz w:val="14"/>
                <w:szCs w:val="14"/>
              </w:rPr>
            </w:pPr>
            <w:r>
              <w:rPr>
                <w:sz w:val="14"/>
                <w:szCs w:val="14"/>
                <w:spacing w:val="19"/>
              </w:rPr>
              <w:t>(1)分级合理性</w:t>
            </w:r>
          </w:p>
          <w:p>
            <w:pPr>
              <w:pStyle w:val="TableText"/>
              <w:ind w:left="260"/>
              <w:spacing w:before="92" w:line="310" w:lineRule="exact"/>
              <w:rPr>
                <w:sz w:val="14"/>
                <w:szCs w:val="14"/>
              </w:rPr>
            </w:pPr>
            <w:r>
              <w:rPr>
                <w:sz w:val="14"/>
                <w:szCs w:val="14"/>
                <w:spacing w:val="11"/>
                <w:position w:val="13"/>
              </w:rPr>
              <w:t>数据信息和处理数据信息分级的系统应当仔细考虑分级范畴的数量以及使用这种分级所带来的好处。过于复杂</w:t>
            </w:r>
          </w:p>
          <w:p>
            <w:pPr>
              <w:pStyle w:val="TableText"/>
              <w:ind w:left="110"/>
              <w:spacing w:before="1" w:line="219" w:lineRule="auto"/>
              <w:rPr>
                <w:sz w:val="14"/>
                <w:szCs w:val="14"/>
              </w:rPr>
            </w:pPr>
            <w:r>
              <w:rPr>
                <w:sz w:val="14"/>
                <w:szCs w:val="14"/>
                <w:spacing w:val="11"/>
              </w:rPr>
              <w:t>的分级规划可能很累赘，而且使用和执行起</w:t>
            </w:r>
            <w:r>
              <w:rPr>
                <w:sz w:val="14"/>
                <w:szCs w:val="14"/>
                <w:spacing w:val="10"/>
              </w:rPr>
              <w:t>来也不够经济实用。</w:t>
            </w:r>
          </w:p>
          <w:p>
            <w:pPr>
              <w:pStyle w:val="TableText"/>
              <w:ind w:left="260"/>
              <w:spacing w:before="104" w:line="220" w:lineRule="auto"/>
              <w:rPr>
                <w:sz w:val="14"/>
                <w:szCs w:val="14"/>
              </w:rPr>
            </w:pPr>
            <w:r>
              <w:rPr>
                <w:sz w:val="14"/>
                <w:szCs w:val="14"/>
                <w:spacing w:val="19"/>
              </w:rPr>
              <w:t>(2)分级周期性</w:t>
            </w:r>
          </w:p>
          <w:p>
            <w:pPr>
              <w:pStyle w:val="TableText"/>
              <w:ind w:left="260"/>
              <w:spacing w:before="92" w:line="290" w:lineRule="exact"/>
              <w:rPr>
                <w:sz w:val="14"/>
                <w:szCs w:val="14"/>
              </w:rPr>
            </w:pPr>
            <w:r>
              <w:rPr>
                <w:sz w:val="14"/>
                <w:szCs w:val="14"/>
                <w:spacing w:val="11"/>
                <w:position w:val="11"/>
              </w:rPr>
              <w:t>数据信息的分级具有一定的保密期限。对于任何数据信息的分级都不一定自始至终固定不变，可按照一些预定</w:t>
            </w:r>
          </w:p>
          <w:p>
            <w:pPr>
              <w:pStyle w:val="TableText"/>
              <w:ind w:left="110"/>
              <w:spacing w:before="1" w:line="218" w:lineRule="auto"/>
              <w:rPr>
                <w:sz w:val="14"/>
                <w:szCs w:val="14"/>
              </w:rPr>
            </w:pPr>
            <w:r>
              <w:rPr>
                <w:sz w:val="14"/>
                <w:szCs w:val="14"/>
                <w:spacing w:val="11"/>
              </w:rPr>
              <w:t>的策略发生改变。如果把安全保护的分级划定得过高就会导致不</w:t>
            </w:r>
            <w:r>
              <w:rPr>
                <w:sz w:val="14"/>
                <w:szCs w:val="14"/>
                <w:spacing w:val="10"/>
              </w:rPr>
              <w:t>必要的业务开支。</w:t>
            </w:r>
          </w:p>
          <w:p>
            <w:pPr>
              <w:pStyle w:val="TableText"/>
              <w:ind w:left="260"/>
              <w:spacing w:before="125" w:line="219" w:lineRule="auto"/>
              <w:rPr>
                <w:sz w:val="14"/>
                <w:szCs w:val="14"/>
              </w:rPr>
            </w:pPr>
            <w:r>
              <w:rPr>
                <w:sz w:val="14"/>
                <w:szCs w:val="14"/>
                <w:spacing w:val="8"/>
              </w:rPr>
              <w:t>3.2</w:t>
            </w:r>
            <w:r>
              <w:rPr>
                <w:sz w:val="14"/>
                <w:szCs w:val="14"/>
                <w:spacing w:val="65"/>
              </w:rPr>
              <w:t xml:space="preserve"> </w:t>
            </w:r>
            <w:r>
              <w:rPr>
                <w:sz w:val="14"/>
                <w:szCs w:val="14"/>
                <w:spacing w:val="8"/>
              </w:rPr>
              <w:t>数据信息分级</w:t>
            </w:r>
          </w:p>
          <w:p>
            <w:pPr>
              <w:pStyle w:val="TableText"/>
              <w:ind w:left="260"/>
              <w:spacing w:before="102" w:line="218" w:lineRule="auto"/>
              <w:rPr>
                <w:sz w:val="14"/>
                <w:szCs w:val="14"/>
              </w:rPr>
            </w:pPr>
            <w:r>
              <w:rPr>
                <w:sz w:val="14"/>
                <w:szCs w:val="14"/>
                <w:spacing w:val="11"/>
              </w:rPr>
              <w:t>数据信息应按照价值、法律要求及对组织的敏感程度和关键程度进</w:t>
            </w:r>
            <w:r>
              <w:rPr>
                <w:sz w:val="14"/>
                <w:szCs w:val="14"/>
                <w:spacing w:val="10"/>
              </w:rPr>
              <w:t>行分级，分级等级如下：</w:t>
            </w:r>
          </w:p>
          <w:p>
            <w:pPr>
              <w:spacing w:line="175" w:lineRule="exact"/>
              <w:rPr/>
            </w:pPr>
            <w:r/>
          </w:p>
          <w:tbl>
            <w:tblPr>
              <w:tblStyle w:val="TableNormal"/>
              <w:tblW w:w="7150"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84"/>
              <w:gridCol w:w="1038"/>
              <w:gridCol w:w="5228"/>
            </w:tblGrid>
            <w:tr>
              <w:trPr>
                <w:trHeight w:val="363" w:hRule="atLeast"/>
              </w:trPr>
              <w:tc>
                <w:tcPr>
                  <w:tcW w:w="884" w:type="dxa"/>
                  <w:vAlign w:val="top"/>
                </w:tcPr>
                <w:p>
                  <w:pPr>
                    <w:pStyle w:val="TableText"/>
                    <w:ind w:left="284"/>
                    <w:spacing w:before="111" w:line="219" w:lineRule="auto"/>
                    <w:rPr/>
                  </w:pPr>
                  <w:r>
                    <w:rPr>
                      <w:spacing w:val="-2"/>
                    </w:rPr>
                    <w:t>等级</w:t>
                  </w:r>
                </w:p>
              </w:tc>
              <w:tc>
                <w:tcPr>
                  <w:tcW w:w="1038" w:type="dxa"/>
                  <w:vAlign w:val="top"/>
                </w:tcPr>
                <w:p>
                  <w:pPr>
                    <w:pStyle w:val="TableText"/>
                    <w:ind w:left="360"/>
                    <w:spacing w:before="111" w:line="220" w:lineRule="auto"/>
                    <w:rPr/>
                  </w:pPr>
                  <w:r>
                    <w:rPr>
                      <w:spacing w:val="-2"/>
                    </w:rPr>
                    <w:t>标识</w:t>
                  </w:r>
                </w:p>
              </w:tc>
              <w:tc>
                <w:tcPr>
                  <w:tcW w:w="5228" w:type="dxa"/>
                  <w:vAlign w:val="top"/>
                </w:tcPr>
                <w:p>
                  <w:pPr>
                    <w:pStyle w:val="TableText"/>
                    <w:ind w:left="2003"/>
                    <w:spacing w:before="109" w:line="218" w:lineRule="auto"/>
                    <w:rPr/>
                  </w:pPr>
                  <w:r>
                    <w:rPr>
                      <w:spacing w:val="-1"/>
                    </w:rPr>
                    <w:t>数据信息价值定义</w:t>
                  </w:r>
                </w:p>
              </w:tc>
            </w:tr>
            <w:tr>
              <w:trPr>
                <w:trHeight w:val="338" w:hRule="atLeast"/>
              </w:trPr>
              <w:tc>
                <w:tcPr>
                  <w:tcW w:w="884" w:type="dxa"/>
                  <w:vAlign w:val="top"/>
                </w:tcPr>
                <w:p>
                  <w:pPr>
                    <w:pStyle w:val="TableText"/>
                    <w:ind w:left="394"/>
                    <w:spacing w:before="137" w:line="182" w:lineRule="auto"/>
                    <w:rPr/>
                  </w:pPr>
                  <w:r>
                    <w:rPr/>
                    <w:t>5</w:t>
                  </w:r>
                </w:p>
              </w:tc>
              <w:tc>
                <w:tcPr>
                  <w:tcW w:w="1038" w:type="dxa"/>
                  <w:vAlign w:val="top"/>
                </w:tcPr>
                <w:p>
                  <w:pPr>
                    <w:pStyle w:val="TableText"/>
                    <w:ind w:left="360"/>
                    <w:spacing w:before="98" w:line="219" w:lineRule="auto"/>
                    <w:rPr/>
                  </w:pPr>
                  <w:r>
                    <w:rPr>
                      <w:spacing w:val="-2"/>
                    </w:rPr>
                    <w:t>很高</w:t>
                  </w:r>
                </w:p>
              </w:tc>
              <w:tc>
                <w:tcPr>
                  <w:tcW w:w="5228" w:type="dxa"/>
                  <w:vAlign w:val="top"/>
                </w:tcPr>
                <w:p>
                  <w:pPr>
                    <w:pStyle w:val="TableText"/>
                    <w:ind w:left="282"/>
                    <w:spacing w:before="98" w:line="219" w:lineRule="auto"/>
                    <w:rPr/>
                  </w:pPr>
                  <w:r>
                    <w:rPr/>
                    <w:t>重要程度很高，其安全属性被破坏后可能导致系统受</w:t>
                  </w:r>
                  <w:r>
                    <w:rPr>
                      <w:spacing w:val="-1"/>
                    </w:rPr>
                    <w:t>到非常严重的影响</w:t>
                  </w:r>
                </w:p>
              </w:tc>
            </w:tr>
            <w:tr>
              <w:trPr>
                <w:trHeight w:val="339" w:hRule="atLeast"/>
              </w:trPr>
              <w:tc>
                <w:tcPr>
                  <w:tcW w:w="884" w:type="dxa"/>
                  <w:vAlign w:val="top"/>
                </w:tcPr>
                <w:p>
                  <w:pPr>
                    <w:pStyle w:val="TableText"/>
                    <w:ind w:left="394"/>
                    <w:spacing w:before="138" w:line="183" w:lineRule="auto"/>
                    <w:rPr/>
                  </w:pPr>
                  <w:r>
                    <w:rPr/>
                    <w:t>4</w:t>
                  </w:r>
                </w:p>
              </w:tc>
              <w:tc>
                <w:tcPr>
                  <w:tcW w:w="1038" w:type="dxa"/>
                  <w:vAlign w:val="top"/>
                </w:tcPr>
                <w:p>
                  <w:pPr>
                    <w:pStyle w:val="TableText"/>
                    <w:ind w:left="431"/>
                    <w:spacing w:before="100" w:line="219" w:lineRule="auto"/>
                    <w:rPr/>
                  </w:pPr>
                  <w:r>
                    <w:rPr/>
                    <w:t>高</w:t>
                  </w:r>
                </w:p>
              </w:tc>
              <w:tc>
                <w:tcPr>
                  <w:tcW w:w="5228" w:type="dxa"/>
                  <w:vAlign w:val="top"/>
                </w:tcPr>
                <w:p>
                  <w:pPr>
                    <w:pStyle w:val="TableText"/>
                    <w:ind w:left="282"/>
                    <w:spacing w:before="100" w:line="219" w:lineRule="auto"/>
                    <w:rPr/>
                  </w:pPr>
                  <w:r>
                    <w:rPr/>
                    <w:t>重要程度较高，其安全属性被破坏后可能导致系统受</w:t>
                  </w:r>
                  <w:r>
                    <w:rPr>
                      <w:spacing w:val="-1"/>
                    </w:rPr>
                    <w:t>到比较严重的影响</w:t>
                  </w:r>
                </w:p>
              </w:tc>
            </w:tr>
            <w:tr>
              <w:trPr>
                <w:trHeight w:val="349" w:hRule="atLeast"/>
              </w:trPr>
              <w:tc>
                <w:tcPr>
                  <w:tcW w:w="884" w:type="dxa"/>
                  <w:vAlign w:val="top"/>
                </w:tcPr>
                <w:p>
                  <w:pPr>
                    <w:pStyle w:val="TableText"/>
                    <w:ind w:left="394"/>
                    <w:spacing w:before="139" w:line="183" w:lineRule="auto"/>
                    <w:rPr/>
                  </w:pPr>
                  <w:r>
                    <w:rPr/>
                    <w:t>3</w:t>
                  </w:r>
                </w:p>
              </w:tc>
              <w:tc>
                <w:tcPr>
                  <w:tcW w:w="1038" w:type="dxa"/>
                  <w:vAlign w:val="top"/>
                </w:tcPr>
                <w:p>
                  <w:pPr>
                    <w:pStyle w:val="TableText"/>
                    <w:ind w:left="431"/>
                    <w:spacing w:before="101" w:line="220" w:lineRule="auto"/>
                    <w:rPr/>
                  </w:pPr>
                  <w:r>
                    <w:rPr/>
                    <w:t>中</w:t>
                  </w:r>
                </w:p>
              </w:tc>
              <w:tc>
                <w:tcPr>
                  <w:tcW w:w="5228" w:type="dxa"/>
                  <w:vAlign w:val="top"/>
                </w:tcPr>
                <w:p>
                  <w:pPr>
                    <w:pStyle w:val="TableText"/>
                    <w:ind w:left="282"/>
                    <w:spacing w:before="101" w:line="219" w:lineRule="auto"/>
                    <w:rPr/>
                  </w:pPr>
                  <w:r>
                    <w:rPr/>
                    <w:t>重要程度较高，其安全属性被破坏后可能导致系统受</w:t>
                  </w:r>
                  <w:r>
                    <w:rPr>
                      <w:spacing w:val="-1"/>
                    </w:rPr>
                    <w:t>到中等程度的影响</w:t>
                  </w:r>
                </w:p>
              </w:tc>
            </w:tr>
            <w:tr>
              <w:trPr>
                <w:trHeight w:val="339" w:hRule="atLeast"/>
              </w:trPr>
              <w:tc>
                <w:tcPr>
                  <w:tcW w:w="884" w:type="dxa"/>
                  <w:vAlign w:val="top"/>
                </w:tcPr>
                <w:p>
                  <w:pPr>
                    <w:pStyle w:val="TableText"/>
                    <w:ind w:left="394"/>
                    <w:spacing w:before="140" w:line="183" w:lineRule="auto"/>
                    <w:rPr/>
                  </w:pPr>
                  <w:r>
                    <w:rPr/>
                    <w:t>2</w:t>
                  </w:r>
                </w:p>
              </w:tc>
              <w:tc>
                <w:tcPr>
                  <w:tcW w:w="1038" w:type="dxa"/>
                  <w:vAlign w:val="top"/>
                </w:tcPr>
                <w:p>
                  <w:pPr>
                    <w:pStyle w:val="TableText"/>
                    <w:ind w:left="431"/>
                    <w:spacing w:before="102" w:line="221" w:lineRule="auto"/>
                    <w:rPr/>
                  </w:pPr>
                  <w:r>
                    <w:rPr/>
                    <w:t>低</w:t>
                  </w:r>
                </w:p>
              </w:tc>
              <w:tc>
                <w:tcPr>
                  <w:tcW w:w="5228" w:type="dxa"/>
                  <w:vAlign w:val="top"/>
                </w:tcPr>
                <w:p>
                  <w:pPr>
                    <w:pStyle w:val="TableText"/>
                    <w:ind w:left="282"/>
                    <w:spacing w:before="102" w:line="219" w:lineRule="auto"/>
                    <w:rPr/>
                  </w:pPr>
                  <w:r>
                    <w:rPr/>
                    <w:t>重要程度较低，其安全属性被破坏后可能导致系统受</w:t>
                  </w:r>
                  <w:r>
                    <w:rPr>
                      <w:spacing w:val="-1"/>
                    </w:rPr>
                    <w:t>到较低程度的影响</w:t>
                  </w:r>
                </w:p>
              </w:tc>
            </w:tr>
            <w:tr>
              <w:trPr>
                <w:trHeight w:val="602" w:hRule="atLeast"/>
              </w:trPr>
              <w:tc>
                <w:tcPr>
                  <w:tcW w:w="884" w:type="dxa"/>
                  <w:vAlign w:val="top"/>
                </w:tcPr>
                <w:p>
                  <w:pPr>
                    <w:pStyle w:val="TableText"/>
                    <w:ind w:left="394"/>
                    <w:spacing w:before="270" w:line="184" w:lineRule="auto"/>
                    <w:rPr/>
                  </w:pPr>
                  <w:r>
                    <w:rPr/>
                    <w:t>1</w:t>
                  </w:r>
                </w:p>
              </w:tc>
              <w:tc>
                <w:tcPr>
                  <w:tcW w:w="1038" w:type="dxa"/>
                  <w:vAlign w:val="top"/>
                </w:tcPr>
                <w:p>
                  <w:pPr>
                    <w:pStyle w:val="TableText"/>
                    <w:ind w:left="360"/>
                    <w:spacing w:before="233" w:line="220" w:lineRule="auto"/>
                    <w:rPr/>
                  </w:pPr>
                  <w:r>
                    <w:rPr>
                      <w:spacing w:val="-2"/>
                    </w:rPr>
                    <w:t>很低</w:t>
                  </w:r>
                </w:p>
              </w:tc>
              <w:tc>
                <w:tcPr>
                  <w:tcW w:w="5228" w:type="dxa"/>
                  <w:vAlign w:val="top"/>
                </w:tcPr>
                <w:p>
                  <w:pPr>
                    <w:pStyle w:val="TableText"/>
                    <w:ind w:left="123" w:right="291" w:firstLine="159"/>
                    <w:spacing w:before="103" w:line="283" w:lineRule="auto"/>
                    <w:rPr/>
                  </w:pPr>
                  <w:r>
                    <w:rPr/>
                    <w:t>重要程度很低，其安全属性被破坏后可能导致系统受</w:t>
                  </w:r>
                  <w:r>
                    <w:rPr>
                      <w:spacing w:val="-1"/>
                    </w:rPr>
                    <w:t>到很低程度的影响</w:t>
                  </w:r>
                  <w:r>
                    <w:rPr/>
                    <w:t xml:space="preserve"> </w:t>
                  </w:r>
                  <w:r>
                    <w:rPr>
                      <w:spacing w:val="-1"/>
                    </w:rPr>
                    <w:t>甚至忽略不计</w:t>
                  </w:r>
                </w:p>
              </w:tc>
            </w:tr>
          </w:tbl>
          <w:p>
            <w:pPr>
              <w:pStyle w:val="TableText"/>
              <w:ind w:left="260"/>
              <w:spacing w:before="201" w:line="219" w:lineRule="auto"/>
              <w:rPr>
                <w:sz w:val="14"/>
                <w:szCs w:val="14"/>
              </w:rPr>
            </w:pPr>
            <w:r>
              <w:rPr>
                <w:sz w:val="14"/>
                <w:szCs w:val="14"/>
                <w:spacing w:val="12"/>
              </w:rPr>
              <w:t>4  数据信息完整性安全规范</w:t>
            </w:r>
          </w:p>
          <w:p>
            <w:pPr>
              <w:pStyle w:val="TableText"/>
              <w:ind w:left="260"/>
              <w:spacing w:before="124" w:line="219" w:lineRule="auto"/>
              <w:rPr>
                <w:sz w:val="14"/>
                <w:szCs w:val="14"/>
              </w:rPr>
            </w:pPr>
            <w:r>
              <w:rPr>
                <w:sz w:val="14"/>
                <w:szCs w:val="14"/>
                <w:spacing w:val="8"/>
              </w:rPr>
              <w:t>数据信息完整性应符合以下规范。</w:t>
            </w:r>
          </w:p>
          <w:p>
            <w:pPr>
              <w:pStyle w:val="TableText"/>
              <w:ind w:left="260"/>
              <w:spacing w:before="113" w:line="219" w:lineRule="auto"/>
              <w:rPr>
                <w:sz w:val="14"/>
                <w:szCs w:val="14"/>
              </w:rPr>
            </w:pPr>
            <w:r>
              <w:rPr>
                <w:sz w:val="14"/>
                <w:szCs w:val="14"/>
                <w:spacing w:val="12"/>
              </w:rPr>
              <w:t>(1)确保所采取的数据信息管理和技术措施以及覆盖范围的</w:t>
            </w:r>
            <w:r>
              <w:rPr>
                <w:sz w:val="14"/>
                <w:szCs w:val="14"/>
                <w:spacing w:val="11"/>
              </w:rPr>
              <w:t>完整性；</w:t>
            </w:r>
          </w:p>
          <w:p>
            <w:pPr>
              <w:pStyle w:val="TableText"/>
              <w:ind w:left="260"/>
              <w:spacing w:before="84" w:line="310" w:lineRule="exact"/>
              <w:rPr>
                <w:sz w:val="14"/>
                <w:szCs w:val="14"/>
              </w:rPr>
            </w:pPr>
            <w:r>
              <w:rPr>
                <w:sz w:val="14"/>
                <w:szCs w:val="14"/>
                <w:spacing w:val="13"/>
                <w:position w:val="13"/>
              </w:rPr>
              <w:t>(2)应能够检测到网络设备操作系统、主机操</w:t>
            </w:r>
            <w:r>
              <w:rPr>
                <w:sz w:val="14"/>
                <w:szCs w:val="14"/>
                <w:spacing w:val="12"/>
                <w:position w:val="13"/>
              </w:rPr>
              <w:t>作系统、数据库管理系统和应用系统的系统管理数据、鉴别信息</w:t>
            </w:r>
          </w:p>
          <w:p>
            <w:pPr>
              <w:pStyle w:val="TableText"/>
              <w:ind w:left="110"/>
              <w:spacing w:before="1" w:line="218" w:lineRule="auto"/>
              <w:rPr>
                <w:sz w:val="14"/>
                <w:szCs w:val="14"/>
              </w:rPr>
            </w:pPr>
            <w:r>
              <w:rPr>
                <w:sz w:val="14"/>
                <w:szCs w:val="14"/>
                <w:spacing w:val="11"/>
              </w:rPr>
              <w:t>和重要业务数据在传输过程中完整性是否受</w:t>
            </w:r>
            <w:r>
              <w:rPr>
                <w:sz w:val="14"/>
                <w:szCs w:val="14"/>
                <w:spacing w:val="10"/>
              </w:rPr>
              <w:t>到破坏，并在检测到完整性错误时采取必要的恢复措施；</w:t>
            </w:r>
          </w:p>
          <w:p>
            <w:pPr>
              <w:pStyle w:val="TableText"/>
              <w:ind w:left="260"/>
              <w:spacing w:before="84" w:line="310" w:lineRule="exact"/>
              <w:rPr>
                <w:sz w:val="14"/>
                <w:szCs w:val="14"/>
              </w:rPr>
            </w:pPr>
            <w:r>
              <w:rPr>
                <w:sz w:val="14"/>
                <w:szCs w:val="14"/>
                <w:spacing w:val="13"/>
                <w:position w:val="13"/>
              </w:rPr>
              <w:t>(3)应能够检测到网络设备操作系统、主机操</w:t>
            </w:r>
            <w:r>
              <w:rPr>
                <w:sz w:val="14"/>
                <w:szCs w:val="14"/>
                <w:spacing w:val="12"/>
                <w:position w:val="13"/>
              </w:rPr>
              <w:t>作系统、数据库管理系统和应用系统的系统管理数据、鉴别信息</w:t>
            </w:r>
          </w:p>
          <w:p>
            <w:pPr>
              <w:pStyle w:val="TableText"/>
              <w:ind w:left="110"/>
              <w:spacing w:line="218" w:lineRule="auto"/>
              <w:rPr>
                <w:sz w:val="14"/>
                <w:szCs w:val="14"/>
              </w:rPr>
            </w:pPr>
            <w:r>
              <w:rPr>
                <w:sz w:val="14"/>
                <w:szCs w:val="14"/>
                <w:spacing w:val="11"/>
              </w:rPr>
              <w:t>和重要业务数据在存储过程中完整性是否受</w:t>
            </w:r>
            <w:r>
              <w:rPr>
                <w:sz w:val="14"/>
                <w:szCs w:val="14"/>
                <w:spacing w:val="10"/>
              </w:rPr>
              <w:t>到破坏，并在检测到完整性错误时采取必要的恢复措施；</w:t>
            </w:r>
          </w:p>
        </w:tc>
      </w:tr>
    </w:tbl>
    <w:p>
      <w:pPr>
        <w:pStyle w:val="BodyText"/>
        <w:rPr/>
      </w:pPr>
      <w:r/>
    </w:p>
    <w:p>
      <w:pPr>
        <w:sectPr>
          <w:footerReference w:type="default" r:id="rId440"/>
          <w:pgSz w:w="8870" w:h="13400"/>
          <w:pgMar w:top="400" w:right="400" w:bottom="600" w:left="459" w:header="0" w:footer="401" w:gutter="0"/>
        </w:sectPr>
        <w:rPr/>
      </w:pPr>
    </w:p>
    <w:p>
      <w:pPr>
        <w:ind w:left="5688"/>
        <w:spacing w:before="294" w:line="219" w:lineRule="auto"/>
        <w:rPr>
          <w:rFonts w:ascii="SimSun" w:hAnsi="SimSun" w:eastAsia="SimSun" w:cs="SimSun"/>
          <w:sz w:val="22"/>
          <w:szCs w:val="22"/>
        </w:rPr>
      </w:pPr>
      <w:r>
        <w:rPr>
          <w:rFonts w:ascii="SimSun" w:hAnsi="SimSun" w:eastAsia="SimSun" w:cs="SimSun"/>
          <w:sz w:val="22"/>
          <w:szCs w:val="22"/>
          <w:b/>
          <w:bCs/>
          <w:spacing w:val="10"/>
        </w:rPr>
        <w:t>第9章■安全与隐私</w:t>
      </w:r>
    </w:p>
    <w:p>
      <w:pPr>
        <w:pStyle w:val="BodyText"/>
        <w:spacing w:line="282" w:lineRule="auto"/>
        <w:rPr/>
      </w:pPr>
      <w:r/>
    </w:p>
    <w:p>
      <w:pPr>
        <w:ind w:left="6914"/>
        <w:spacing w:before="58" w:line="220" w:lineRule="auto"/>
        <w:rPr>
          <w:rFonts w:ascii="SimSun" w:hAnsi="SimSun" w:eastAsia="SimSun" w:cs="SimSun"/>
          <w:sz w:val="18"/>
          <w:szCs w:val="18"/>
        </w:rPr>
      </w:pPr>
      <w:r>
        <w:rPr>
          <w:rFonts w:ascii="SimSun" w:hAnsi="SimSun" w:eastAsia="SimSun" w:cs="SimSun"/>
          <w:sz w:val="18"/>
          <w:szCs w:val="18"/>
          <w:spacing w:val="-3"/>
        </w:rPr>
        <w:t>续表</w:t>
      </w:r>
    </w:p>
    <w:p>
      <w:pPr>
        <w:spacing w:line="26" w:lineRule="auto"/>
        <w:rPr>
          <w:rFonts w:ascii="Arial"/>
          <w:sz w:val="2"/>
        </w:rPr>
      </w:pPr>
      <w:r>
        <w:rPr>
          <w:rFonts w:ascii="Arial"/>
          <w:sz w:val="2"/>
        </w:rPr>
      </w:r>
    </w:p>
    <w:tbl>
      <w:tblPr>
        <w:tblStyle w:val="TableNormal"/>
        <w:tblW w:w="768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10660" w:hRule="atLeast"/>
        </w:trPr>
        <w:tc>
          <w:tcPr>
            <w:tcW w:w="7680" w:type="dxa"/>
            <w:vAlign w:val="top"/>
          </w:tcPr>
          <w:p>
            <w:pPr>
              <w:pStyle w:val="TableText"/>
              <w:ind w:left="265"/>
              <w:spacing w:before="91" w:line="219" w:lineRule="auto"/>
              <w:rPr/>
            </w:pPr>
            <w:r>
              <w:rPr>
                <w:spacing w:val="2"/>
              </w:rPr>
              <w:t>(4)具备完整的对用户访问、处理、删除数据信息的操作进行记录</w:t>
            </w:r>
            <w:r>
              <w:rPr>
                <w:spacing w:val="1"/>
              </w:rPr>
              <w:t>的能力，以备审计；</w:t>
            </w:r>
          </w:p>
          <w:p>
            <w:pPr>
              <w:pStyle w:val="TableText"/>
              <w:ind w:left="265"/>
              <w:spacing w:before="99" w:line="216" w:lineRule="auto"/>
              <w:rPr/>
            </w:pPr>
            <w:r>
              <w:rPr>
                <w:spacing w:val="2"/>
              </w:rPr>
              <w:t>(5)在传输数据信息时，在经过不安全网络时(例如</w:t>
            </w:r>
            <w:r>
              <w:rPr/>
              <w:t>INTERNET</w:t>
            </w:r>
            <w:r>
              <w:rPr>
                <w:spacing w:val="2"/>
              </w:rPr>
              <w:t>网),需要</w:t>
            </w:r>
            <w:r>
              <w:rPr>
                <w:spacing w:val="1"/>
              </w:rPr>
              <w:t>对传输的数据信息提供完整性校验；</w:t>
            </w:r>
          </w:p>
          <w:p>
            <w:pPr>
              <w:pStyle w:val="TableText"/>
              <w:ind w:left="265"/>
              <w:spacing w:before="96" w:line="219" w:lineRule="auto"/>
              <w:rPr/>
            </w:pPr>
            <w:r>
              <w:rPr/>
              <w:t>(6)应具备完善的权限管理策略，支持权限最小化原则、合理授</w:t>
            </w:r>
            <w:r>
              <w:rPr>
                <w:spacing w:val="-1"/>
              </w:rPr>
              <w:t>权。</w:t>
            </w:r>
          </w:p>
          <w:p>
            <w:pPr>
              <w:pStyle w:val="TableText"/>
              <w:ind w:left="265"/>
              <w:spacing w:before="112" w:line="219" w:lineRule="auto"/>
              <w:rPr/>
            </w:pPr>
            <w:r>
              <w:rPr>
                <w:spacing w:val="-1"/>
              </w:rPr>
              <w:t>5  数据信息保密性安全规范</w:t>
            </w:r>
          </w:p>
          <w:p>
            <w:pPr>
              <w:pStyle w:val="TableText"/>
              <w:ind w:left="134" w:right="212" w:firstLine="130"/>
              <w:spacing w:before="100" w:line="282" w:lineRule="auto"/>
              <w:rPr/>
            </w:pPr>
            <w:r>
              <w:rPr/>
              <w:t>数据信息保密性安全规范用于保障业务平台重要业务数据信息的安全传递与处理应用，确</w:t>
            </w:r>
            <w:r>
              <w:rPr>
                <w:spacing w:val="-1"/>
              </w:rPr>
              <w:t>保数据信息能够被安</w:t>
            </w:r>
            <w:r>
              <w:rPr/>
              <w:t xml:space="preserve"> </w:t>
            </w:r>
            <w:r>
              <w:rPr/>
              <w:t>全、方便、透明地使用。为此，业务平台应采用加密等安全措施开展数据信</w:t>
            </w:r>
            <w:r>
              <w:rPr>
                <w:spacing w:val="-1"/>
              </w:rPr>
              <w:t>息保密性工作：</w:t>
            </w:r>
          </w:p>
          <w:p>
            <w:pPr>
              <w:pStyle w:val="TableText"/>
              <w:ind w:left="265"/>
              <w:spacing w:before="112" w:line="219" w:lineRule="auto"/>
              <w:rPr/>
            </w:pPr>
            <w:r>
              <w:rPr>
                <w:spacing w:val="2"/>
              </w:rPr>
              <w:t>(1)应采用加密性措施以实现重要业务数据信息传输的保密；</w:t>
            </w:r>
          </w:p>
          <w:p>
            <w:pPr>
              <w:pStyle w:val="TableText"/>
              <w:ind w:left="265"/>
              <w:spacing w:before="92" w:line="219" w:lineRule="auto"/>
              <w:rPr/>
            </w:pPr>
            <w:r>
              <w:rPr/>
              <w:t>(2)应采用加密措施实现重要业务数据信息存储的保密</w:t>
            </w:r>
          </w:p>
          <w:p>
            <w:pPr>
              <w:pStyle w:val="TableText"/>
              <w:ind w:left="265"/>
              <w:spacing w:before="104" w:line="220" w:lineRule="auto"/>
              <w:rPr/>
            </w:pPr>
            <w:r>
              <w:rPr>
                <w:spacing w:val="-1"/>
              </w:rPr>
              <w:t>加密安全措施主要分为密码安全及密钥安全。</w:t>
            </w:r>
          </w:p>
          <w:p>
            <w:pPr>
              <w:pStyle w:val="TableText"/>
              <w:ind w:left="265"/>
              <w:spacing w:before="111" w:line="221" w:lineRule="auto"/>
              <w:rPr/>
            </w:pPr>
            <w:r>
              <w:rPr>
                <w:spacing w:val="-2"/>
              </w:rPr>
              <w:t>5.1密码安全</w:t>
            </w:r>
          </w:p>
          <w:p>
            <w:pPr>
              <w:pStyle w:val="TableText"/>
              <w:ind w:left="265"/>
              <w:spacing w:before="90" w:line="219" w:lineRule="auto"/>
              <w:rPr/>
            </w:pPr>
            <w:r>
              <w:rPr>
                <w:spacing w:val="-1"/>
              </w:rPr>
              <w:t>密码的使用应该遵循以下原则。</w:t>
            </w:r>
          </w:p>
          <w:p>
            <w:pPr>
              <w:pStyle w:val="TableText"/>
              <w:ind w:left="265"/>
              <w:spacing w:before="111" w:line="219" w:lineRule="auto"/>
              <w:rPr/>
            </w:pPr>
            <w:r>
              <w:rPr>
                <w:spacing w:val="3"/>
              </w:rPr>
              <w:t>(1)不能将密码写下来，不能通过电子邮件传输；</w:t>
            </w:r>
          </w:p>
          <w:p>
            <w:pPr>
              <w:pStyle w:val="TableText"/>
              <w:ind w:left="265"/>
              <w:spacing w:before="73" w:line="219" w:lineRule="auto"/>
              <w:rPr/>
            </w:pPr>
            <w:r>
              <w:rPr>
                <w:spacing w:val="-1"/>
              </w:rPr>
              <w:t>(2)不能使用缺省设置的密码：</w:t>
            </w:r>
          </w:p>
          <w:p>
            <w:pPr>
              <w:pStyle w:val="TableText"/>
              <w:ind w:left="265"/>
              <w:spacing w:before="121" w:line="218" w:lineRule="auto"/>
              <w:rPr/>
            </w:pPr>
            <w:r>
              <w:rPr>
                <w:spacing w:val="5"/>
              </w:rPr>
              <w:t>(3)不能将密码告诉别人；</w:t>
            </w:r>
          </w:p>
          <w:p>
            <w:pPr>
              <w:pStyle w:val="TableText"/>
              <w:ind w:left="265"/>
              <w:spacing w:before="104" w:line="219" w:lineRule="auto"/>
              <w:rPr/>
            </w:pPr>
            <w:r>
              <w:rPr>
                <w:spacing w:val="3"/>
              </w:rPr>
              <w:t>(4)如果系统的密码泄漏了，必须立即更改；</w:t>
            </w:r>
          </w:p>
          <w:p>
            <w:pPr>
              <w:pStyle w:val="TableText"/>
              <w:ind w:left="265"/>
              <w:spacing w:before="112" w:line="219" w:lineRule="auto"/>
              <w:rPr/>
            </w:pPr>
            <w:r>
              <w:rPr>
                <w:spacing w:val="2"/>
              </w:rPr>
              <w:t>(5)密码要以加密形式保存，加密算法强度要高，加密算法要不可逆；</w:t>
            </w:r>
          </w:p>
          <w:p>
            <w:pPr>
              <w:pStyle w:val="TableText"/>
              <w:ind w:left="265"/>
              <w:spacing w:before="102" w:line="219" w:lineRule="auto"/>
              <w:rPr/>
            </w:pPr>
            <w:r>
              <w:rPr>
                <w:spacing w:val="2"/>
              </w:rPr>
              <w:t>(6)系统应该强制指定密码的策略，包括密码的最短有</w:t>
            </w:r>
            <w:r>
              <w:rPr>
                <w:spacing w:val="1"/>
              </w:rPr>
              <w:t>效期、最长有效期、最短长度、复杂性等；</w:t>
            </w:r>
          </w:p>
          <w:p>
            <w:pPr>
              <w:pStyle w:val="TableText"/>
              <w:ind w:left="265"/>
              <w:spacing w:before="90" w:line="216" w:lineRule="auto"/>
              <w:rPr/>
            </w:pPr>
            <w:r>
              <w:rPr>
                <w:spacing w:val="2"/>
              </w:rPr>
              <w:t>(7)如果需要特殊用户的口令(比如说</w:t>
            </w:r>
            <w:r>
              <w:rPr/>
              <w:t>UNIX</w:t>
            </w:r>
            <w:r>
              <w:rPr>
                <w:spacing w:val="2"/>
              </w:rPr>
              <w:t>下的</w:t>
            </w:r>
            <w:r>
              <w:rPr/>
              <w:t>Oracle</w:t>
            </w:r>
            <w:r>
              <w:rPr>
                <w:spacing w:val="2"/>
              </w:rPr>
              <w:t>),要禁止通过该用户进行交互式</w:t>
            </w:r>
            <w:r>
              <w:rPr>
                <w:spacing w:val="1"/>
              </w:rPr>
              <w:t>登录；</w:t>
            </w:r>
          </w:p>
          <w:p>
            <w:pPr>
              <w:pStyle w:val="TableText"/>
              <w:ind w:left="265"/>
              <w:spacing w:before="106" w:line="219" w:lineRule="auto"/>
              <w:rPr/>
            </w:pPr>
            <w:r>
              <w:rPr>
                <w:spacing w:val="2"/>
              </w:rPr>
              <w:t>(8)在要求较高的情况下可以使用强度更高的认证机制，例如：双因素认证；</w:t>
            </w:r>
          </w:p>
          <w:p>
            <w:pPr>
              <w:pStyle w:val="TableText"/>
              <w:ind w:left="124" w:right="189" w:firstLine="150"/>
              <w:spacing w:before="101" w:line="282" w:lineRule="auto"/>
              <w:rPr/>
            </w:pPr>
            <w:r>
              <w:rPr/>
              <w:t>(9)(要定时运行密码检查器检查口令强度，对于保存机密和绝密信息的系统应该每周检查一次口令强度；其他</w:t>
            </w:r>
            <w:r>
              <w:rPr>
                <w:spacing w:val="4"/>
              </w:rPr>
              <w:t xml:space="preserve"> </w:t>
            </w:r>
            <w:r>
              <w:rPr>
                <w:spacing w:val="-1"/>
              </w:rPr>
              <w:t>系统应该每月检查一次口令强度。</w:t>
            </w:r>
          </w:p>
          <w:p>
            <w:pPr>
              <w:pStyle w:val="TableText"/>
              <w:ind w:left="265"/>
              <w:spacing w:before="104" w:line="221" w:lineRule="auto"/>
              <w:rPr/>
            </w:pPr>
            <w:r>
              <w:rPr>
                <w:spacing w:val="-2"/>
              </w:rPr>
              <w:t>5.2密钥安全</w:t>
            </w:r>
          </w:p>
          <w:p>
            <w:pPr>
              <w:pStyle w:val="TableText"/>
              <w:ind w:left="275"/>
              <w:spacing w:before="99" w:line="219" w:lineRule="auto"/>
              <w:rPr/>
            </w:pPr>
            <w:r>
              <w:rPr/>
              <w:t>密钥管理对于有效使用密码技术至关重要。密钥的丢失和泄露可能会损害数据信息的保密性、重</w:t>
            </w:r>
            <w:r>
              <w:rPr>
                <w:spacing w:val="-1"/>
              </w:rPr>
              <w:t>要性和完整性。</w:t>
            </w:r>
          </w:p>
          <w:p>
            <w:pPr>
              <w:pStyle w:val="TableText"/>
              <w:ind w:left="115" w:right="43" w:firstLine="149"/>
              <w:spacing w:before="103" w:line="275" w:lineRule="auto"/>
              <w:rPr/>
            </w:pPr>
            <w:r>
              <w:rPr/>
              <w:t>因此，应采取加密技术等措施来有效保护密钥，以免密钥被非法修改和破坏；还应对生成、存储和归档保存密钥</w:t>
            </w:r>
            <w:r>
              <w:rPr>
                <w:spacing w:val="10"/>
              </w:rPr>
              <w:t xml:space="preserve"> </w:t>
            </w:r>
            <w:r>
              <w:rPr/>
              <w:t>的设备采取物理保护。此外，必须使用经过业务平台部门批准的加密机制进行密钥分发，并记录密</w:t>
            </w:r>
            <w:r>
              <w:rPr>
                <w:spacing w:val="-1"/>
              </w:rPr>
              <w:t>钥的分发过程，</w:t>
            </w:r>
          </w:p>
          <w:p>
            <w:pPr>
              <w:pStyle w:val="TableText"/>
              <w:ind w:left="124"/>
              <w:spacing w:before="143" w:line="270" w:lineRule="exact"/>
              <w:rPr/>
            </w:pPr>
            <w:r>
              <w:rPr>
                <w:spacing w:val="-1"/>
                <w:position w:val="9"/>
              </w:rPr>
              <w:t>以便审计跟踪，统一对密钥、证书进行管理。</w:t>
            </w:r>
          </w:p>
          <w:p>
            <w:pPr>
              <w:pStyle w:val="TableText"/>
              <w:ind w:left="265"/>
              <w:spacing w:line="219" w:lineRule="auto"/>
              <w:rPr/>
            </w:pPr>
            <w:r>
              <w:rPr>
                <w:spacing w:val="-1"/>
              </w:rPr>
              <w:t>密钥的管理应该基于以下流程。</w:t>
            </w:r>
          </w:p>
          <w:p>
            <w:pPr>
              <w:pStyle w:val="TableText"/>
              <w:ind w:left="265"/>
              <w:spacing w:before="92" w:line="280" w:lineRule="exact"/>
              <w:rPr/>
            </w:pPr>
            <w:r>
              <w:rPr>
                <w:spacing w:val="2"/>
                <w:position w:val="9"/>
              </w:rPr>
              <w:t>(1)密钥产生：为不同的密码系统和不同的应用生成密钥；</w:t>
            </w:r>
          </w:p>
          <w:p>
            <w:pPr>
              <w:pStyle w:val="TableText"/>
              <w:ind w:left="265"/>
              <w:spacing w:line="218" w:lineRule="auto"/>
              <w:rPr/>
            </w:pPr>
            <w:r>
              <w:rPr>
                <w:spacing w:val="3"/>
              </w:rPr>
              <w:t>(2)密钥证书：生成并获取密钥证书；</w:t>
            </w:r>
          </w:p>
          <w:p>
            <w:pPr>
              <w:pStyle w:val="TableText"/>
              <w:ind w:left="265"/>
              <w:spacing w:before="113" w:line="219" w:lineRule="auto"/>
              <w:rPr/>
            </w:pPr>
            <w:r>
              <w:rPr>
                <w:spacing w:val="2"/>
              </w:rPr>
              <w:t>(3)密钥分发：向目标用户分发密钥，包括在收到密钥时如何将之激活；</w:t>
            </w:r>
          </w:p>
          <w:p>
            <w:pPr>
              <w:pStyle w:val="TableText"/>
              <w:ind w:left="265" w:right="1173"/>
              <w:spacing w:before="91" w:line="282" w:lineRule="auto"/>
              <w:rPr/>
            </w:pPr>
            <w:r>
              <w:rPr/>
              <w:t>(4)密钥存储：为当前或近期使用的密钥或备份密钥提供安全存储，包括授权用户如何访问密钥</w:t>
            </w:r>
            <w:r>
              <w:rPr>
                <w:spacing w:val="5"/>
              </w:rPr>
              <w:t xml:space="preserve"> </w:t>
            </w:r>
            <w:r>
              <w:rPr>
                <w:spacing w:val="2"/>
              </w:rPr>
              <w:t>(5)密钥变更：包括密钥变更时机及变更规则，处置被泄露的密钥；</w:t>
            </w:r>
          </w:p>
          <w:p>
            <w:pPr>
              <w:pStyle w:val="TableText"/>
              <w:ind w:left="104" w:right="268" w:firstLine="170"/>
              <w:spacing w:before="93" w:line="288" w:lineRule="auto"/>
              <w:rPr/>
            </w:pPr>
            <w:r>
              <w:rPr/>
              <w:t>(6)密钥撤销：包括如何收回或者激活密钥，如在密钥已被泄露或者相关运维操作员离开业务平台部门时，应 </w:t>
            </w:r>
            <w:r>
              <w:rPr>
                <w:spacing w:val="12"/>
              </w:rPr>
              <w:t>当归档密钥；</w:t>
            </w:r>
          </w:p>
          <w:p>
            <w:pPr>
              <w:pStyle w:val="TableText"/>
              <w:ind w:left="265"/>
              <w:spacing w:before="112" w:line="290" w:lineRule="exact"/>
              <w:rPr/>
            </w:pPr>
            <w:r>
              <w:rPr>
                <w:spacing w:val="2"/>
                <w:position w:val="10"/>
              </w:rPr>
              <w:t>(7)密钥恢复：作为业务平台连续性管理的一部分，对丢失或破坏的</w:t>
            </w:r>
            <w:r>
              <w:rPr>
                <w:spacing w:val="1"/>
                <w:position w:val="10"/>
              </w:rPr>
              <w:t>密钥进行恢复；</w:t>
            </w:r>
          </w:p>
          <w:p>
            <w:pPr>
              <w:pStyle w:val="TableText"/>
              <w:ind w:left="265"/>
              <w:spacing w:line="219" w:lineRule="auto"/>
              <w:rPr/>
            </w:pPr>
            <w:r>
              <w:rPr>
                <w:spacing w:val="2"/>
              </w:rPr>
              <w:t>(7)密钥归档：归档密钥，以用于归档或备份的数据信息；</w:t>
            </w:r>
          </w:p>
          <w:p>
            <w:pPr>
              <w:pStyle w:val="TableText"/>
              <w:ind w:left="124" w:right="273" w:firstLine="140"/>
              <w:spacing w:before="91" w:line="276" w:lineRule="auto"/>
              <w:rPr/>
            </w:pPr>
            <w:r>
              <w:rPr>
                <w:spacing w:val="-2"/>
              </w:rPr>
              <w:t>(9)密钥销毁：密钥销毁将删除该密钥管理下数据信息客体的所有记录，</w:t>
            </w:r>
            <w:r>
              <w:rPr>
                <w:spacing w:val="43"/>
              </w:rPr>
              <w:t xml:space="preserve"> </w:t>
            </w:r>
            <w:r>
              <w:rPr>
                <w:spacing w:val="-2"/>
              </w:rPr>
              <w:t>一</w:t>
            </w:r>
            <w:r>
              <w:rPr>
                <w:spacing w:val="-3"/>
              </w:rPr>
              <w:t>旦销毁将无法恢复。因此，在密钥</w:t>
            </w:r>
            <w:r>
              <w:rPr/>
              <w:t xml:space="preserve"> </w:t>
            </w:r>
            <w:r>
              <w:rPr>
                <w:spacing w:val="-1"/>
              </w:rPr>
              <w:t>销毁前，应确认由此密钥保护的数据信息不再需要。</w:t>
            </w:r>
          </w:p>
        </w:tc>
      </w:tr>
    </w:tbl>
    <w:p>
      <w:pPr>
        <w:pStyle w:val="BodyText"/>
        <w:rPr/>
      </w:pPr>
      <w:r/>
    </w:p>
    <w:p>
      <w:pPr>
        <w:sectPr>
          <w:footerReference w:type="default" r:id="rId442"/>
          <w:pgSz w:w="8870" w:h="13400"/>
          <w:pgMar w:top="400" w:right="571" w:bottom="505" w:left="425" w:header="0" w:footer="286" w:gutter="0"/>
        </w:sectPr>
        <w:rPr/>
      </w:pPr>
    </w:p>
    <w:p>
      <w:pPr>
        <w:pStyle w:val="BodyText"/>
        <w:rPr/>
      </w:pPr>
      <w:r>
        <w:pict>
          <v:rect id="_x0000_s476" style="position:absolute;margin-left:28.4993pt;margin-top:31.9992pt;mso-position-vertical-relative:page;mso-position-horizontal-relative:page;width:0.55pt;height:17.55pt;z-index:257675264;" o:allowincell="f" fillcolor="#000000" filled="true" stroked="false"/>
        </w:pict>
      </w:r>
      <w:r/>
    </w:p>
    <w:p>
      <w:pPr>
        <w:ind w:left="323"/>
        <w:spacing w:before="74" w:line="219" w:lineRule="auto"/>
        <w:rPr>
          <w:rFonts w:ascii="SimSun" w:hAnsi="SimSun" w:eastAsia="SimSun" w:cs="SimSun"/>
          <w:sz w:val="23"/>
          <w:szCs w:val="23"/>
        </w:rPr>
      </w:pPr>
      <w:r>
        <w:rPr>
          <w:rFonts w:ascii="SimSun" w:hAnsi="SimSun" w:eastAsia="SimSun" w:cs="SimSun"/>
          <w:sz w:val="23"/>
          <w:szCs w:val="23"/>
          <w:b/>
          <w:bCs/>
          <w:spacing w:val="-8"/>
        </w:rPr>
        <w:t>云端数据治理</w:t>
      </w:r>
    </w:p>
    <w:p>
      <w:pPr>
        <w:pStyle w:val="BodyText"/>
        <w:spacing w:line="281" w:lineRule="auto"/>
        <w:rPr/>
      </w:pPr>
      <w:r/>
    </w:p>
    <w:p>
      <w:pPr>
        <w:ind w:left="7210"/>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2" w:lineRule="auto"/>
        <w:rPr>
          <w:rFonts w:ascii="Arial"/>
          <w:sz w:val="2"/>
        </w:rPr>
      </w:pPr>
      <w:r>
        <w:rPr>
          <w:rFonts w:ascii="Arial"/>
          <w:sz w:val="2"/>
        </w:rPr>
      </w:r>
    </w:p>
    <w:tbl>
      <w:tblPr>
        <w:tblStyle w:val="TableNormal"/>
        <w:tblW w:w="7669" w:type="dxa"/>
        <w:tblInd w:w="290" w:type="dxa"/>
        <w:tblLayout w:type="fixed"/>
        <w:tblBorders>
          <w:left w:val="single" w:color="000000" w:sz="4" w:space="0"/>
          <w:bottom w:val="single" w:color="000000" w:sz="4" w:space="0"/>
          <w:right w:val="single" w:color="000000" w:sz="4" w:space="0"/>
          <w:top w:val="single" w:color="000000" w:sz="4" w:space="0"/>
        </w:tblBorders>
      </w:tblPr>
      <w:tblGrid>
        <w:gridCol w:w="7669"/>
      </w:tblGrid>
      <w:tr>
        <w:trPr>
          <w:trHeight w:val="10729" w:hRule="atLeast"/>
        </w:trPr>
        <w:tc>
          <w:tcPr>
            <w:tcW w:w="7669" w:type="dxa"/>
            <w:vAlign w:val="top"/>
          </w:tcPr>
          <w:p>
            <w:pPr>
              <w:pStyle w:val="TableText"/>
              <w:ind w:left="265"/>
              <w:spacing w:before="131" w:line="219" w:lineRule="auto"/>
              <w:rPr/>
            </w:pPr>
            <w:r>
              <w:rPr>
                <w:spacing w:val="-1"/>
              </w:rPr>
              <w:t>6数据信息备份与恢复</w:t>
            </w:r>
          </w:p>
          <w:p>
            <w:pPr>
              <w:pStyle w:val="TableText"/>
              <w:ind w:left="265"/>
              <w:spacing w:before="82" w:line="219" w:lineRule="auto"/>
              <w:rPr/>
            </w:pPr>
            <w:r>
              <w:rPr>
                <w:spacing w:val="-1"/>
              </w:rPr>
              <w:t>6.1  数据信息备份要求</w:t>
            </w:r>
          </w:p>
          <w:p>
            <w:pPr>
              <w:pStyle w:val="TableText"/>
              <w:ind w:left="265"/>
              <w:spacing w:before="122" w:line="219" w:lineRule="auto"/>
              <w:rPr/>
            </w:pPr>
            <w:r>
              <w:rPr>
                <w:spacing w:val="-1"/>
              </w:rPr>
              <w:t>6.1.1  备份要求</w:t>
            </w:r>
          </w:p>
          <w:p>
            <w:pPr>
              <w:pStyle w:val="TableText"/>
              <w:ind w:left="124" w:right="244" w:firstLine="160"/>
              <w:spacing w:before="111" w:line="282" w:lineRule="auto"/>
              <w:rPr/>
            </w:pPr>
            <w:r>
              <w:rPr/>
              <w:t>(1)数据信息备份应采用性能可靠、不宜损坏的介质，如磁带、光盘等。备份数据信息的物理介质应注明数据</w:t>
            </w:r>
            <w:r>
              <w:rPr>
                <w:spacing w:val="3"/>
              </w:rPr>
              <w:t xml:space="preserve"> </w:t>
            </w:r>
            <w:r>
              <w:rPr/>
              <w:t>信息的来源、备份日期、恢复步骤等信息，并置于</w:t>
            </w:r>
            <w:r>
              <w:rPr>
                <w:spacing w:val="-1"/>
              </w:rPr>
              <w:t>安全环境保管。</w:t>
            </w:r>
          </w:p>
          <w:p>
            <w:pPr>
              <w:pStyle w:val="TableText"/>
              <w:ind w:left="115" w:right="38" w:firstLine="159"/>
              <w:spacing w:before="91" w:line="269" w:lineRule="auto"/>
              <w:rPr/>
            </w:pPr>
            <w:r>
              <w:rPr>
                <w:spacing w:val="2"/>
              </w:rPr>
              <w:t>(2)一般情况下对服务器和网络安全设备</w:t>
            </w:r>
            <w:r>
              <w:rPr>
                <w:spacing w:val="1"/>
              </w:rPr>
              <w:t>的配置数据信息每月进行一次备份，当进行配置修改、系统版本升级、</w:t>
            </w:r>
            <w:r>
              <w:rPr/>
              <w:t xml:space="preserve"> </w:t>
            </w:r>
            <w:r>
              <w:rPr/>
              <w:t>补丁安装等操作前也要进行备份；网络设备配置文件在进行版本升级前和配置修改后</w:t>
            </w:r>
            <w:r>
              <w:rPr>
                <w:spacing w:val="-1"/>
              </w:rPr>
              <w:t>需要进行备份。</w:t>
            </w:r>
          </w:p>
          <w:p>
            <w:pPr>
              <w:pStyle w:val="TableText"/>
              <w:ind w:left="124" w:right="247" w:firstLine="160"/>
              <w:spacing w:before="122" w:line="282" w:lineRule="auto"/>
              <w:rPr/>
            </w:pPr>
            <w:r>
              <w:rPr/>
              <w:t>(3)运维操作员应确保对核心业务数据每日进行增量备份，每周做一次包括数据信息的全备份。业务系统将进 </w:t>
            </w:r>
            <w:r>
              <w:rPr/>
              <w:t>行重大系统变更时，应对核心业务数据进行数据信</w:t>
            </w:r>
            <w:r>
              <w:rPr>
                <w:spacing w:val="-1"/>
              </w:rPr>
              <w:t>息的全备份。</w:t>
            </w:r>
          </w:p>
          <w:p>
            <w:pPr>
              <w:pStyle w:val="TableText"/>
              <w:ind w:left="265"/>
              <w:spacing w:before="102" w:line="219" w:lineRule="auto"/>
              <w:rPr/>
            </w:pPr>
            <w:r>
              <w:rPr>
                <w:spacing w:val="-1"/>
              </w:rPr>
              <w:t>6.1.2  备份执行与记录</w:t>
            </w:r>
          </w:p>
          <w:p>
            <w:pPr>
              <w:pStyle w:val="TableText"/>
              <w:ind w:left="265"/>
              <w:spacing w:before="72" w:line="300" w:lineRule="exact"/>
              <w:rPr/>
            </w:pPr>
            <w:r>
              <w:rPr>
                <w:position w:val="11"/>
              </w:rPr>
              <w:t>备份执行过程应有详细的规划和记录，包括备份主体、备份时间、备份策略、备份路径、记录介</w:t>
            </w:r>
            <w:r>
              <w:rPr>
                <w:spacing w:val="-1"/>
                <w:position w:val="11"/>
              </w:rPr>
              <w:t>质(类型)等。</w:t>
            </w:r>
          </w:p>
          <w:p>
            <w:pPr>
              <w:pStyle w:val="TableText"/>
              <w:ind w:left="265"/>
              <w:spacing w:line="219" w:lineRule="auto"/>
              <w:rPr/>
            </w:pPr>
            <w:r>
              <w:rPr>
                <w:spacing w:val="-1"/>
              </w:rPr>
              <w:t>6.2备份恢复管理</w:t>
            </w:r>
          </w:p>
          <w:p>
            <w:pPr>
              <w:pStyle w:val="TableText"/>
              <w:ind w:left="265"/>
              <w:spacing w:before="111" w:line="219" w:lineRule="auto"/>
              <w:rPr/>
            </w:pPr>
            <w:r>
              <w:rPr/>
              <w:t>(1)运维操作员应根据不同业务系统实际拟定需要测试的备份数据信息以及测试的周</w:t>
            </w:r>
            <w:r>
              <w:rPr>
                <w:spacing w:val="-1"/>
              </w:rPr>
              <w:t>期。</w:t>
            </w:r>
          </w:p>
          <w:p>
            <w:pPr>
              <w:pStyle w:val="TableText"/>
              <w:ind w:left="115" w:right="268" w:firstLine="149"/>
              <w:spacing w:before="113" w:line="276" w:lineRule="auto"/>
              <w:rPr/>
            </w:pPr>
            <w:r>
              <w:rPr/>
              <w:t>(2)对于因设备故障、操作失误等造成的一般故障，需要恢复部分设备上的备份数据信息，遵循异常事件处理 </w:t>
            </w:r>
            <w:r>
              <w:rPr>
                <w:spacing w:val="-1"/>
              </w:rPr>
              <w:t>流程，由运维操作员负责恢复。</w:t>
            </w:r>
          </w:p>
          <w:p>
            <w:pPr>
              <w:pStyle w:val="TableText"/>
              <w:ind w:left="115" w:right="406" w:firstLine="159"/>
              <w:spacing w:before="111" w:line="278" w:lineRule="auto"/>
              <w:rPr/>
            </w:pPr>
            <w:r>
              <w:rPr/>
              <w:t>(3)应尽可能地定期检查和测试备份介质和备份信息，保持其可用性和完整性，并确保在规定的时间内恢复</w:t>
            </w:r>
            <w:r>
              <w:rPr>
                <w:spacing w:val="1"/>
              </w:rPr>
              <w:t xml:space="preserve"> </w:t>
            </w:r>
            <w:r>
              <w:rPr>
                <w:spacing w:val="-2"/>
              </w:rPr>
              <w:t>系统。</w:t>
            </w:r>
          </w:p>
          <w:p>
            <w:pPr>
              <w:pStyle w:val="TableText"/>
              <w:ind w:left="265"/>
              <w:spacing w:before="109" w:line="280" w:lineRule="exact"/>
              <w:rPr/>
            </w:pPr>
            <w:r>
              <w:rPr>
                <w:position w:val="9"/>
              </w:rPr>
              <w:t>(4)应确定重要业务信息的保存期以及其他需要永久保存的归档拷贝信息的保存期。</w:t>
            </w:r>
          </w:p>
          <w:p>
            <w:pPr>
              <w:pStyle w:val="TableText"/>
              <w:ind w:left="265"/>
              <w:spacing w:line="219" w:lineRule="auto"/>
              <w:rPr/>
            </w:pPr>
            <w:r>
              <w:rPr/>
              <w:t>(5)恢复程序应定期接受检查及测试，以确保在恢复操作程序所预定的时间内完成。</w:t>
            </w:r>
          </w:p>
          <w:p>
            <w:pPr>
              <w:pStyle w:val="TableText"/>
              <w:ind w:left="2944" w:right="49" w:hanging="2679"/>
              <w:spacing w:before="92" w:line="282" w:lineRule="auto"/>
              <w:rPr/>
            </w:pPr>
            <w:r>
              <w:rPr/>
              <w:t>恢复策略应该根据数据信息的重要程度和引入新数据信息的频率设定备份的频率(如每日或每周、</w:t>
            </w:r>
            <w:r>
              <w:rPr>
                <w:spacing w:val="-1"/>
              </w:rPr>
              <w:t>增量或整体)。</w:t>
            </w:r>
            <w:r>
              <w:rPr/>
              <w:t xml:space="preserve"> </w:t>
            </w:r>
            <w:r>
              <w:rPr>
                <w:spacing w:val="-1"/>
              </w:rPr>
              <w:t>商业银行数据安全管理规范</w:t>
            </w:r>
          </w:p>
          <w:p>
            <w:pPr>
              <w:pStyle w:val="TableText"/>
              <w:ind w:left="265"/>
              <w:spacing w:before="92" w:line="220" w:lineRule="auto"/>
              <w:rPr/>
            </w:pPr>
            <w:r>
              <w:rPr>
                <w:spacing w:val="-9"/>
              </w:rPr>
              <w:t>1</w:t>
            </w:r>
            <w:r>
              <w:rPr>
                <w:spacing w:val="42"/>
              </w:rPr>
              <w:t xml:space="preserve"> </w:t>
            </w:r>
            <w:r>
              <w:rPr>
                <w:spacing w:val="-9"/>
              </w:rPr>
              <w:t>总</w:t>
            </w:r>
            <w:r>
              <w:rPr>
                <w:spacing w:val="41"/>
              </w:rPr>
              <w:t xml:space="preserve"> </w:t>
            </w:r>
            <w:r>
              <w:rPr>
                <w:spacing w:val="-9"/>
              </w:rPr>
              <w:t>则</w:t>
            </w:r>
          </w:p>
          <w:p>
            <w:pPr>
              <w:pStyle w:val="TableText"/>
              <w:ind w:left="265"/>
              <w:spacing w:before="120" w:line="219" w:lineRule="auto"/>
              <w:rPr/>
            </w:pPr>
            <w:r>
              <w:rPr/>
              <w:t>1.1  本管理规范定义了××××商业银行数据安全管理方面的相关要求。</w:t>
            </w:r>
          </w:p>
          <w:p>
            <w:pPr>
              <w:pStyle w:val="TableText"/>
              <w:ind w:left="265"/>
              <w:spacing w:before="102" w:line="219" w:lineRule="auto"/>
              <w:rPr/>
            </w:pPr>
            <w:r>
              <w:rPr/>
              <w:t>1.2本规范适用范围为涉及维护××××商业银行各类数据的安全管理员、系统管理员和业务管理</w:t>
            </w:r>
            <w:r>
              <w:rPr>
                <w:spacing w:val="-1"/>
              </w:rPr>
              <w:t>员。</w:t>
            </w:r>
          </w:p>
          <w:p>
            <w:pPr>
              <w:pStyle w:val="TableText"/>
              <w:ind w:left="115" w:right="119" w:firstLine="149"/>
              <w:spacing w:before="93" w:line="288" w:lineRule="auto"/>
              <w:rPr/>
            </w:pPr>
            <w:r>
              <w:rPr/>
              <w:t>1.3××××商业银行的所有员工必须遵照数据安全管理规范，科技科加强管理，防止数据管理存在安全问</w:t>
            </w:r>
            <w:r>
              <w:rPr>
                <w:spacing w:val="-1"/>
              </w:rPr>
              <w:t>题。</w:t>
            </w:r>
            <w:r>
              <w:rPr/>
              <w:t xml:space="preserve"> </w:t>
            </w:r>
            <w:r>
              <w:rPr/>
              <w:t>如由于未遵循以上规范导致出现数据安全问题，相关部门和人</w:t>
            </w:r>
            <w:r>
              <w:rPr>
                <w:spacing w:val="-1"/>
              </w:rPr>
              <w:t>员负有责任。</w:t>
            </w:r>
          </w:p>
          <w:p>
            <w:pPr>
              <w:pStyle w:val="TableText"/>
              <w:ind w:left="94" w:right="285" w:firstLine="170"/>
              <w:spacing w:before="102" w:line="276" w:lineRule="auto"/>
              <w:rPr/>
            </w:pPr>
            <w:r>
              <w:rPr/>
              <w:t>1.4本标准由××××商业银行科技科发布，对标准具有解释、增加</w:t>
            </w:r>
            <w:r>
              <w:rPr>
                <w:spacing w:val="-1"/>
              </w:rPr>
              <w:t>和修改的权力。本规范自下发之日起正式</w:t>
            </w:r>
            <w:r>
              <w:rPr/>
              <w:t xml:space="preserve"> </w:t>
            </w:r>
            <w:r>
              <w:rPr>
                <w:spacing w:val="-2"/>
              </w:rPr>
              <w:t>执行。</w:t>
            </w:r>
          </w:p>
          <w:p>
            <w:pPr>
              <w:pStyle w:val="TableText"/>
              <w:ind w:left="265"/>
              <w:spacing w:before="112" w:line="219" w:lineRule="auto"/>
              <w:rPr/>
            </w:pPr>
            <w:r>
              <w:rPr>
                <w:spacing w:val="27"/>
              </w:rPr>
              <w:t>2系统数据安全</w:t>
            </w:r>
          </w:p>
          <w:p>
            <w:pPr>
              <w:pStyle w:val="TableText"/>
              <w:ind w:left="115" w:right="49" w:firstLine="149"/>
              <w:spacing w:before="92" w:line="288" w:lineRule="auto"/>
              <w:rPr/>
            </w:pPr>
            <w:r>
              <w:rPr>
                <w:spacing w:val="1"/>
              </w:rPr>
              <w:t>2.1  ××××商业银行系统数据指××××商业银行中设备和系统的各种配置数据，如权限设置、存储分配、</w:t>
            </w:r>
            <w:r>
              <w:rPr>
                <w:spacing w:val="17"/>
              </w:rPr>
              <w:t xml:space="preserve"> </w:t>
            </w:r>
            <w:r>
              <w:rPr>
                <w:spacing w:val="-1"/>
              </w:rPr>
              <w:t>网络地址、硬件配置及其他系统配置参数等。</w:t>
            </w:r>
          </w:p>
          <w:p>
            <w:pPr>
              <w:pStyle w:val="TableText"/>
              <w:ind w:left="264" w:right="278" w:hanging="10"/>
              <w:spacing w:before="102" w:line="281" w:lineRule="auto"/>
              <w:rPr/>
            </w:pPr>
            <w:r>
              <w:rPr/>
              <w:t>2.2应制订系统数据管理制度，对系统数据实行严格的安全与保密管理。系统数据管理制度应遵循以下原则。 </w:t>
            </w:r>
            <w:r>
              <w:rPr/>
              <w:t>(1)重要的系统数据应实施严格的安全保密管理，参见本规范“数据保密”小</w:t>
            </w:r>
            <w:r>
              <w:rPr>
                <w:spacing w:val="-1"/>
              </w:rPr>
              <w:t>节。</w:t>
            </w:r>
          </w:p>
          <w:p>
            <w:pPr>
              <w:pStyle w:val="TableText"/>
              <w:ind w:left="265"/>
              <w:spacing w:before="113" w:line="250" w:lineRule="exact"/>
              <w:rPr/>
            </w:pPr>
            <w:r>
              <w:rPr>
                <w:position w:val="7"/>
              </w:rPr>
              <w:t>(2)对系统数据的操作应经过严格的身份鉴别与权限控制，防止非授权操</w:t>
            </w:r>
            <w:r>
              <w:rPr>
                <w:spacing w:val="-1"/>
                <w:position w:val="7"/>
              </w:rPr>
              <w:t>作。</w:t>
            </w:r>
          </w:p>
          <w:p>
            <w:pPr>
              <w:pStyle w:val="TableText"/>
              <w:ind w:left="265"/>
              <w:spacing w:line="218" w:lineRule="auto"/>
              <w:rPr/>
            </w:pPr>
            <w:r>
              <w:rPr/>
              <w:t>(3)应采取有效措施防止系统数据的非法生成、变更、泄漏、丢失与破坏。</w:t>
            </w:r>
          </w:p>
          <w:p>
            <w:pPr>
              <w:pStyle w:val="TableText"/>
              <w:ind w:left="265"/>
              <w:spacing w:before="133" w:line="249" w:lineRule="exact"/>
              <w:rPr/>
            </w:pPr>
            <w:r>
              <w:rPr>
                <w:position w:val="7"/>
              </w:rPr>
              <w:t>(4)系统数据应进行核对审查，防止使用过程中产生误操作或被非法篡改。</w:t>
            </w:r>
          </w:p>
          <w:p>
            <w:pPr>
              <w:pStyle w:val="TableText"/>
              <w:ind w:left="265"/>
              <w:spacing w:before="1" w:line="218" w:lineRule="auto"/>
              <w:rPr/>
            </w:pPr>
            <w:r>
              <w:rPr/>
              <w:t>(5)系统数据的备份和恢复应符合本规范“数据备份和恢复”小节的要求。</w:t>
            </w:r>
          </w:p>
          <w:p>
            <w:pPr>
              <w:pStyle w:val="TableText"/>
              <w:ind w:left="265"/>
              <w:spacing w:before="123" w:line="219" w:lineRule="auto"/>
              <w:rPr/>
            </w:pPr>
            <w:r>
              <w:rPr/>
              <w:t>(6)对系统数据应实行专人管理。</w:t>
            </w:r>
          </w:p>
        </w:tc>
      </w:tr>
    </w:tbl>
    <w:p>
      <w:pPr>
        <w:pStyle w:val="BodyText"/>
        <w:rPr/>
      </w:pPr>
      <w:r/>
    </w:p>
    <w:p>
      <w:pPr>
        <w:sectPr>
          <w:footerReference w:type="default" r:id="rId443"/>
          <w:pgSz w:w="8870" w:h="13400"/>
          <w:pgMar w:top="400" w:right="454" w:bottom="481" w:left="449" w:header="0" w:footer="253" w:gutter="0"/>
        </w:sectPr>
        <w:rPr/>
      </w:pPr>
    </w:p>
    <w:p>
      <w:pPr>
        <w:ind w:left="5708"/>
        <w:spacing w:before="175" w:line="600" w:lineRule="exact"/>
        <w:rPr>
          <w:rFonts w:ascii="SimSun" w:hAnsi="SimSun" w:eastAsia="SimSun" w:cs="SimSun"/>
          <w:sz w:val="22"/>
          <w:szCs w:val="22"/>
        </w:rPr>
      </w:pPr>
      <w:r>
        <w:rPr>
          <w:rFonts w:ascii="SimSun" w:hAnsi="SimSun" w:eastAsia="SimSun" w:cs="SimSun"/>
          <w:sz w:val="22"/>
          <w:szCs w:val="22"/>
          <w:b/>
          <w:bCs/>
          <w:spacing w:val="11"/>
          <w:position w:val="29"/>
        </w:rPr>
        <w:t>第9章■安全与隐私</w:t>
      </w:r>
    </w:p>
    <w:p>
      <w:pPr>
        <w:ind w:left="693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70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700"/>
      </w:tblGrid>
      <w:tr>
        <w:trPr>
          <w:trHeight w:val="8680" w:hRule="atLeast"/>
        </w:trPr>
        <w:tc>
          <w:tcPr>
            <w:tcW w:w="7700" w:type="dxa"/>
            <w:vAlign w:val="top"/>
          </w:tcPr>
          <w:p>
            <w:pPr>
              <w:pStyle w:val="TableText"/>
              <w:ind w:left="245"/>
              <w:spacing w:before="91" w:line="219" w:lineRule="auto"/>
              <w:rPr/>
            </w:pPr>
            <w:r>
              <w:rPr>
                <w:spacing w:val="-2"/>
              </w:rPr>
              <w:t>3业务数据安全</w:t>
            </w:r>
          </w:p>
          <w:p>
            <w:pPr>
              <w:pStyle w:val="TableText"/>
              <w:ind w:left="245" w:right="440" w:hanging="120"/>
              <w:spacing w:before="91" w:line="270" w:lineRule="auto"/>
              <w:rPr/>
            </w:pPr>
            <w:r>
              <w:rPr/>
              <w:t>3.1  业务数据主要包括××××商业银行上各业务系统的用户数据、业务数据、统计数据及其他相关数</w:t>
            </w:r>
            <w:r>
              <w:rPr>
                <w:spacing w:val="-1"/>
              </w:rPr>
              <w:t>据。</w:t>
            </w:r>
            <w:r>
              <w:rPr/>
              <w:t xml:space="preserve"> </w:t>
            </w:r>
            <w:r>
              <w:rPr/>
              <w:t>3.2各个业务管理部门应遵循以下原则制订具体的业务数据安全管理规</w:t>
            </w:r>
            <w:r>
              <w:rPr>
                <w:spacing w:val="-1"/>
              </w:rPr>
              <w:t>定。</w:t>
            </w:r>
          </w:p>
          <w:p>
            <w:pPr>
              <w:pStyle w:val="TableText"/>
              <w:ind w:left="255"/>
              <w:spacing w:before="121" w:line="219" w:lineRule="auto"/>
              <w:rPr/>
            </w:pPr>
            <w:r>
              <w:rPr/>
              <w:t>(1)重要的业务数据应实施严格的安全保密管理，参见本规范“数据保密”小</w:t>
            </w:r>
            <w:r>
              <w:rPr>
                <w:spacing w:val="-1"/>
              </w:rPr>
              <w:t>节。</w:t>
            </w:r>
          </w:p>
          <w:p>
            <w:pPr>
              <w:pStyle w:val="TableText"/>
              <w:ind w:left="265"/>
              <w:spacing w:before="103" w:line="219" w:lineRule="auto"/>
              <w:rPr/>
            </w:pPr>
            <w:r>
              <w:rPr/>
              <w:t>(2)业务数据在系统中的保存时间应有最低限制。</w:t>
            </w:r>
          </w:p>
          <w:p>
            <w:pPr>
              <w:pStyle w:val="TableText"/>
              <w:ind w:left="255"/>
              <w:spacing w:before="102" w:line="219" w:lineRule="auto"/>
              <w:rPr/>
            </w:pPr>
            <w:r>
              <w:rPr/>
              <w:t>(3)业务数据应进行核对审查，防止使用过程中产生误操作或被非法篡改。</w:t>
            </w:r>
          </w:p>
          <w:p>
            <w:pPr>
              <w:pStyle w:val="TableText"/>
              <w:ind w:left="255"/>
              <w:spacing w:before="111" w:line="280" w:lineRule="exact"/>
              <w:rPr/>
            </w:pPr>
            <w:r>
              <w:rPr>
                <w:position w:val="9"/>
              </w:rPr>
              <w:t>(4)业务数据应及时、完整、真实、准确地转储到不可更改的介质上，并规定保存期</w:t>
            </w:r>
            <w:r>
              <w:rPr>
                <w:spacing w:val="-1"/>
                <w:position w:val="9"/>
              </w:rPr>
              <w:t>限。</w:t>
            </w:r>
          </w:p>
          <w:p>
            <w:pPr>
              <w:pStyle w:val="TableText"/>
              <w:ind w:left="265"/>
              <w:spacing w:line="218" w:lineRule="auto"/>
              <w:rPr/>
            </w:pPr>
            <w:r>
              <w:rPr/>
              <w:t>(5)业务数据的备份和恢复应符合本规范“4  数据备份和恢复”</w:t>
            </w:r>
            <w:r>
              <w:rPr>
                <w:spacing w:val="-1"/>
              </w:rPr>
              <w:t>小节的要求。</w:t>
            </w:r>
          </w:p>
          <w:p>
            <w:pPr>
              <w:pStyle w:val="TableText"/>
              <w:ind w:left="255"/>
              <w:spacing w:before="93" w:line="219" w:lineRule="auto"/>
              <w:rPr/>
            </w:pPr>
            <w:r>
              <w:rPr/>
              <w:t>(6)对业务数据应实行专人管理。</w:t>
            </w:r>
          </w:p>
          <w:p>
            <w:pPr>
              <w:pStyle w:val="TableText"/>
              <w:ind w:left="255"/>
              <w:spacing w:before="92" w:line="219" w:lineRule="auto"/>
              <w:rPr/>
            </w:pPr>
            <w:r>
              <w:rPr>
                <w:spacing w:val="-1"/>
              </w:rPr>
              <w:t>4数据备份与恢复</w:t>
            </w:r>
          </w:p>
          <w:p>
            <w:pPr>
              <w:pStyle w:val="TableText"/>
              <w:ind w:left="255"/>
              <w:spacing w:before="112" w:line="219" w:lineRule="auto"/>
              <w:rPr/>
            </w:pPr>
            <w:r>
              <w:rPr>
                <w:spacing w:val="-1"/>
              </w:rPr>
              <w:t>4.1</w:t>
            </w:r>
            <w:r>
              <w:rPr>
                <w:spacing w:val="29"/>
              </w:rPr>
              <w:t xml:space="preserve"> </w:t>
            </w:r>
            <w:r>
              <w:rPr>
                <w:spacing w:val="-1"/>
              </w:rPr>
              <w:t>××××商业银行相关数据的备份与恢</w:t>
            </w:r>
            <w:r>
              <w:rPr>
                <w:spacing w:val="-2"/>
              </w:rPr>
              <w:t>复应遵循原则。</w:t>
            </w:r>
          </w:p>
          <w:p>
            <w:pPr>
              <w:pStyle w:val="TableText"/>
              <w:ind w:left="255"/>
              <w:spacing w:before="111" w:line="219" w:lineRule="auto"/>
              <w:rPr/>
            </w:pPr>
            <w:r>
              <w:rPr/>
              <w:t>(1)数据备份媒介应采用性能可靠、不宜损坏的介质，如磁带、光盘</w:t>
            </w:r>
            <w:r>
              <w:rPr>
                <w:spacing w:val="-1"/>
              </w:rPr>
              <w:t>等。</w:t>
            </w:r>
          </w:p>
          <w:p>
            <w:pPr>
              <w:pStyle w:val="TableText"/>
              <w:ind w:left="265"/>
              <w:spacing w:before="101" w:line="219" w:lineRule="auto"/>
              <w:rPr/>
            </w:pPr>
            <w:r>
              <w:rPr/>
              <w:t>(2)××××商业银行中的网络设备和主机系统的配置信息在每次更新后应及时备份，更新前的备份按需要保</w:t>
            </w:r>
          </w:p>
          <w:p>
            <w:pPr>
              <w:pStyle w:val="TableText"/>
              <w:ind w:left="125"/>
              <w:spacing w:before="93" w:line="219" w:lineRule="auto"/>
              <w:rPr/>
            </w:pPr>
            <w:r>
              <w:rPr>
                <w:spacing w:val="-1"/>
              </w:rPr>
              <w:t>存一定时间。</w:t>
            </w:r>
          </w:p>
          <w:p>
            <w:pPr>
              <w:pStyle w:val="TableText"/>
              <w:ind w:left="265"/>
              <w:spacing w:before="112" w:line="219" w:lineRule="auto"/>
              <w:rPr/>
            </w:pPr>
            <w:r>
              <w:rPr/>
              <w:t>(3)××××商业银行中的网络设备和主机系统的数据库信息应进行备份。对重要数据应做到定期全备份和增</w:t>
            </w:r>
          </w:p>
          <w:p>
            <w:pPr>
              <w:pStyle w:val="TableText"/>
              <w:ind w:left="125"/>
              <w:spacing w:before="113" w:line="219" w:lineRule="auto"/>
              <w:rPr/>
            </w:pPr>
            <w:r>
              <w:rPr>
                <w:spacing w:val="-1"/>
              </w:rPr>
              <w:t>量备份，并配备可靠的备份设备。</w:t>
            </w:r>
          </w:p>
          <w:p>
            <w:pPr>
              <w:pStyle w:val="TableText"/>
              <w:ind w:left="265"/>
              <w:spacing w:before="92" w:line="219" w:lineRule="auto"/>
              <w:rPr/>
            </w:pPr>
            <w:r>
              <w:rPr/>
              <w:t>(4)备份数据应进行检查，以保证其有效性和可用</w:t>
            </w:r>
            <w:r>
              <w:rPr>
                <w:spacing w:val="-1"/>
              </w:rPr>
              <w:t>性。</w:t>
            </w:r>
          </w:p>
          <w:p>
            <w:pPr>
              <w:pStyle w:val="TableText"/>
              <w:ind w:left="265" w:right="1049"/>
              <w:spacing w:before="101" w:line="276" w:lineRule="auto"/>
              <w:rPr/>
            </w:pPr>
            <w:r>
              <w:rPr/>
              <w:t>(5)备份数据的物理介质应注明数据的来源、备份日期、恢复步骤等信息，并置于安全环境保管。 </w:t>
            </w:r>
            <w:r>
              <w:rPr/>
              <w:t>(6)备份数据的恢复须经主管人员签字认可后，方可进行。</w:t>
            </w:r>
          </w:p>
          <w:p>
            <w:pPr>
              <w:pStyle w:val="TableText"/>
              <w:ind w:left="265"/>
              <w:spacing w:before="112" w:line="270" w:lineRule="exact"/>
              <w:rPr/>
            </w:pPr>
            <w:r>
              <w:rPr>
                <w:position w:val="9"/>
              </w:rPr>
              <w:t>(7)过期的备份数据应经主管人员认可后，方可销</w:t>
            </w:r>
            <w:r>
              <w:rPr>
                <w:spacing w:val="-1"/>
                <w:position w:val="9"/>
              </w:rPr>
              <w:t>毁。</w:t>
            </w:r>
          </w:p>
          <w:p>
            <w:pPr>
              <w:pStyle w:val="TableText"/>
              <w:ind w:left="245"/>
              <w:spacing w:line="219" w:lineRule="auto"/>
              <w:rPr/>
            </w:pPr>
            <w:r>
              <w:rPr>
                <w:spacing w:val="-3"/>
              </w:rPr>
              <w:t>5</w:t>
            </w:r>
            <w:r>
              <w:rPr>
                <w:spacing w:val="3"/>
              </w:rPr>
              <w:t xml:space="preserve">  </w:t>
            </w:r>
            <w:r>
              <w:rPr>
                <w:spacing w:val="-3"/>
              </w:rPr>
              <w:t>数据保密</w:t>
            </w:r>
          </w:p>
          <w:p>
            <w:pPr>
              <w:pStyle w:val="TableText"/>
              <w:ind w:left="104" w:right="318" w:firstLine="150"/>
              <w:spacing w:before="102" w:line="303" w:lineRule="auto"/>
              <w:jc w:val="both"/>
              <w:rPr/>
            </w:pPr>
            <w:r>
              <w:rPr/>
              <w:t>5.1  ××××商业银行数据保密的范围包括XXXX商业银行网络组织、系统软件、业务</w:t>
            </w:r>
            <w:r>
              <w:rPr>
                <w:spacing w:val="-1"/>
              </w:rPr>
              <w:t>数据及用户数据等重要</w:t>
            </w:r>
            <w:r>
              <w:rPr/>
              <w:t xml:space="preserve"> </w:t>
            </w:r>
            <w:r>
              <w:rPr/>
              <w:t>信息，另外还包括XXXX商业银行为生产通信、科研通信、办公通信、机要通信、党政专用通信</w:t>
            </w:r>
            <w:r>
              <w:rPr>
                <w:spacing w:val="-1"/>
              </w:rPr>
              <w:t>提供的通信手段</w:t>
            </w:r>
            <w:r>
              <w:rPr/>
              <w:t xml:space="preserve">  </w:t>
            </w:r>
            <w:r>
              <w:rPr>
                <w:spacing w:val="2"/>
              </w:rPr>
              <w:t>及保障措施。</w:t>
            </w:r>
          </w:p>
          <w:p>
            <w:pPr>
              <w:pStyle w:val="TableText"/>
              <w:ind w:left="245"/>
              <w:spacing w:before="111" w:line="219" w:lineRule="auto"/>
              <w:rPr/>
            </w:pPr>
            <w:r>
              <w:rPr>
                <w:spacing w:val="-1"/>
              </w:rPr>
              <w:t>5.2</w:t>
            </w:r>
            <w:r>
              <w:rPr>
                <w:spacing w:val="37"/>
                <w:w w:val="101"/>
              </w:rPr>
              <w:t xml:space="preserve"> </w:t>
            </w:r>
            <w:r>
              <w:rPr>
                <w:spacing w:val="-1"/>
              </w:rPr>
              <w:t>××××商业银行维护和管理人员都应熟悉并严格遵守和执行本办法的以下安全保密规定。</w:t>
            </w:r>
          </w:p>
          <w:p>
            <w:pPr>
              <w:pStyle w:val="TableText"/>
              <w:ind w:left="265"/>
              <w:spacing w:before="113" w:line="219" w:lineRule="auto"/>
              <w:rPr/>
            </w:pPr>
            <w:r>
              <w:rPr/>
              <w:t>(1)保密数据应仅用于明确规定的目的，未经批准不得它用。</w:t>
            </w:r>
          </w:p>
          <w:p>
            <w:pPr>
              <w:pStyle w:val="TableText"/>
              <w:ind w:left="275"/>
              <w:spacing w:before="101" w:line="219" w:lineRule="auto"/>
              <w:rPr/>
            </w:pPr>
            <w:r>
              <w:rPr/>
              <w:t>(2)保密数据的多个副本应编号保存，防止丢失；保密数据以电子形式存在时，应尽量避免以明码形式存储和</w:t>
            </w:r>
          </w:p>
          <w:p>
            <w:pPr>
              <w:pStyle w:val="TableText"/>
              <w:ind w:left="125"/>
              <w:spacing w:before="92" w:line="219" w:lineRule="auto"/>
              <w:rPr/>
            </w:pPr>
            <w:r>
              <w:rPr>
                <w:spacing w:val="-2"/>
              </w:rPr>
              <w:t>传输。</w:t>
            </w:r>
          </w:p>
          <w:p>
            <w:pPr>
              <w:pStyle w:val="TableText"/>
              <w:ind w:left="265"/>
              <w:spacing w:before="102" w:line="219" w:lineRule="auto"/>
              <w:rPr/>
            </w:pPr>
            <w:r>
              <w:rPr/>
              <w:t>(3)机密资料不得抄录影印或对外泄露。</w:t>
            </w:r>
          </w:p>
          <w:p>
            <w:pPr>
              <w:pStyle w:val="TableText"/>
              <w:ind w:left="275"/>
              <w:spacing w:before="103" w:line="219" w:lineRule="auto"/>
              <w:rPr/>
            </w:pPr>
            <w:r>
              <w:rPr/>
              <w:t>(4)无正当理由和有关批准手续，不得查阅用户资料。经正式批件查阅数据时应登记，并由查阅人签字。</w:t>
            </w:r>
          </w:p>
          <w:p>
            <w:pPr>
              <w:pStyle w:val="TableText"/>
              <w:spacing w:before="102" w:line="219" w:lineRule="auto"/>
              <w:jc w:val="right"/>
              <w:rPr/>
            </w:pPr>
            <w:r>
              <w:rPr/>
              <w:t>(5)各级有关部门应根据数据的保密规定和用途，确定各类保密数据使用人员的存取权</w:t>
            </w:r>
            <w:r>
              <w:rPr>
                <w:spacing w:val="-1"/>
              </w:rPr>
              <w:t>限、存取方式和审批手续。</w:t>
            </w:r>
          </w:p>
        </w:tc>
      </w:tr>
    </w:tbl>
    <w:p>
      <w:pPr>
        <w:pStyle w:val="BodyText"/>
        <w:spacing w:line="324" w:lineRule="auto"/>
        <w:rPr/>
      </w:pPr>
      <w:r/>
    </w:p>
    <w:p>
      <w:pPr>
        <w:ind w:left="59"/>
        <w:spacing w:before="97" w:line="224" w:lineRule="auto"/>
        <w:outlineLvl w:val="3"/>
        <w:rPr>
          <w:rFonts w:ascii="YouYuan" w:hAnsi="YouYuan" w:eastAsia="YouYuan" w:cs="YouYuan"/>
          <w:sz w:val="30"/>
          <w:szCs w:val="30"/>
        </w:rPr>
      </w:pPr>
      <w:r>
        <w:rPr>
          <w:rFonts w:ascii="YouYuan" w:hAnsi="YouYuan" w:eastAsia="YouYuan" w:cs="YouYuan"/>
          <w:sz w:val="30"/>
          <w:szCs w:val="30"/>
          <w:b/>
          <w:bCs/>
          <w:spacing w:val="-16"/>
        </w:rPr>
        <w:t>9.2.3</w:t>
      </w:r>
      <w:r>
        <w:rPr>
          <w:rFonts w:ascii="YouYuan" w:hAnsi="YouYuan" w:eastAsia="YouYuan" w:cs="YouYuan"/>
          <w:sz w:val="30"/>
          <w:szCs w:val="30"/>
          <w:spacing w:val="128"/>
        </w:rPr>
        <w:t xml:space="preserve"> </w:t>
      </w:r>
      <w:r>
        <w:rPr>
          <w:rFonts w:ascii="YouYuan" w:hAnsi="YouYuan" w:eastAsia="YouYuan" w:cs="YouYuan"/>
          <w:sz w:val="30"/>
          <w:szCs w:val="30"/>
          <w:b/>
          <w:bCs/>
          <w:spacing w:val="-16"/>
        </w:rPr>
        <w:t>隐私保护</w:t>
      </w:r>
    </w:p>
    <w:p>
      <w:pPr>
        <w:pStyle w:val="BodyText"/>
        <w:spacing w:line="255" w:lineRule="auto"/>
        <w:rPr/>
      </w:pPr>
      <w:r/>
    </w:p>
    <w:p>
      <w:pPr>
        <w:ind w:left="478"/>
        <w:spacing w:before="72" w:line="224" w:lineRule="auto"/>
        <w:outlineLvl w:val="4"/>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简介</w:t>
      </w:r>
    </w:p>
    <w:p>
      <w:pPr>
        <w:ind w:left="475"/>
        <w:spacing w:before="186" w:line="232" w:lineRule="auto"/>
        <w:rPr>
          <w:rFonts w:ascii="KaiTi" w:hAnsi="KaiTi" w:eastAsia="KaiTi" w:cs="KaiTi"/>
          <w:sz w:val="22"/>
          <w:szCs w:val="22"/>
        </w:rPr>
      </w:pPr>
      <w:r>
        <w:rPr>
          <w:rFonts w:ascii="KaiTi" w:hAnsi="KaiTi" w:eastAsia="KaiTi" w:cs="KaiTi"/>
          <w:sz w:val="22"/>
          <w:szCs w:val="22"/>
          <w:spacing w:val="-13"/>
        </w:rPr>
        <w:t>1)</w:t>
      </w:r>
      <w:r>
        <w:rPr>
          <w:rFonts w:ascii="KaiTi" w:hAnsi="KaiTi" w:eastAsia="KaiTi" w:cs="KaiTi"/>
          <w:sz w:val="22"/>
          <w:szCs w:val="22"/>
          <w:spacing w:val="12"/>
        </w:rPr>
        <w:t xml:space="preserve"> </w:t>
      </w:r>
      <w:r>
        <w:rPr>
          <w:rFonts w:ascii="KaiTi" w:hAnsi="KaiTi" w:eastAsia="KaiTi" w:cs="KaiTi"/>
          <w:sz w:val="22"/>
          <w:szCs w:val="22"/>
          <w:spacing w:val="-13"/>
        </w:rPr>
        <w:t>目的</w:t>
      </w:r>
    </w:p>
    <w:p>
      <w:pPr>
        <w:ind w:left="475"/>
        <w:spacing w:before="57" w:line="219" w:lineRule="auto"/>
        <w:rPr>
          <w:rFonts w:ascii="SimSun" w:hAnsi="SimSun" w:eastAsia="SimSun" w:cs="SimSun"/>
          <w:sz w:val="22"/>
          <w:szCs w:val="22"/>
        </w:rPr>
      </w:pPr>
      <w:r>
        <w:rPr>
          <w:rFonts w:ascii="SimSun" w:hAnsi="SimSun" w:eastAsia="SimSun" w:cs="SimSun"/>
          <w:sz w:val="22"/>
          <w:szCs w:val="22"/>
          <w:spacing w:val="-10"/>
        </w:rPr>
        <w:t>确保云端隐私数据不被滥用及未经授权使用。</w:t>
      </w:r>
    </w:p>
    <w:p>
      <w:pPr>
        <w:spacing w:line="219" w:lineRule="auto"/>
        <w:sectPr>
          <w:footerReference w:type="default" r:id="rId444"/>
          <w:pgSz w:w="8870" w:h="13400"/>
          <w:pgMar w:top="400" w:right="571" w:bottom="624" w:left="404" w:header="0" w:footer="406" w:gutter="0"/>
        </w:sectPr>
        <w:rPr>
          <w:rFonts w:ascii="SimSun" w:hAnsi="SimSun" w:eastAsia="SimSun" w:cs="SimSun"/>
          <w:sz w:val="22"/>
          <w:szCs w:val="22"/>
        </w:rPr>
      </w:pPr>
    </w:p>
    <w:p>
      <w:pPr>
        <w:ind w:left="233"/>
        <w:spacing w:before="226" w:line="219" w:lineRule="auto"/>
        <w:rPr>
          <w:rFonts w:ascii="SimSun" w:hAnsi="SimSun" w:eastAsia="SimSun" w:cs="SimSun"/>
          <w:sz w:val="22"/>
          <w:szCs w:val="22"/>
        </w:rPr>
      </w:pPr>
      <w:r>
        <w:pict>
          <v:rect id="_x0000_s478" style="position:absolute;margin-left:31.0007pt;margin-top:27.4968pt;mso-position-vertical-relative:page;mso-position-horizontal-relative:page;width:0.55pt;height:17.55pt;z-index:257720320;" o:allowincell="f" fillcolor="#000000" filled="true" stroked="false"/>
        </w:pict>
      </w:r>
      <w:r>
        <w:rPr>
          <w:rFonts w:ascii="SimSun" w:hAnsi="SimSun" w:eastAsia="SimSun" w:cs="SimSun"/>
          <w:sz w:val="22"/>
          <w:szCs w:val="22"/>
          <w:b/>
          <w:bCs/>
          <w:spacing w:val="-15"/>
        </w:rPr>
        <w:t>■云端数据治理</w:t>
      </w:r>
    </w:p>
    <w:p>
      <w:pPr>
        <w:ind w:left="689"/>
        <w:spacing w:before="296" w:line="222" w:lineRule="auto"/>
        <w:rPr>
          <w:rFonts w:ascii="KaiTi" w:hAnsi="KaiTi" w:eastAsia="KaiTi" w:cs="KaiTi"/>
          <w:sz w:val="22"/>
          <w:szCs w:val="22"/>
        </w:rPr>
      </w:pPr>
      <w:r>
        <w:rPr>
          <w:rFonts w:ascii="KaiTi" w:hAnsi="KaiTi" w:eastAsia="KaiTi" w:cs="KaiTi"/>
          <w:sz w:val="22"/>
          <w:szCs w:val="22"/>
          <w:spacing w:val="15"/>
        </w:rPr>
        <w:t>2)介绍</w:t>
      </w:r>
    </w:p>
    <w:p>
      <w:pPr>
        <w:ind w:left="119" w:right="55" w:firstLine="569"/>
        <w:spacing w:before="40" w:line="257" w:lineRule="auto"/>
        <w:rPr>
          <w:rFonts w:ascii="SimSun" w:hAnsi="SimSun" w:eastAsia="SimSun" w:cs="SimSun"/>
          <w:sz w:val="22"/>
          <w:szCs w:val="22"/>
        </w:rPr>
      </w:pPr>
      <w:r>
        <w:rPr>
          <w:rFonts w:ascii="SimSun" w:hAnsi="SimSun" w:eastAsia="SimSun" w:cs="SimSun"/>
          <w:sz w:val="22"/>
          <w:szCs w:val="22"/>
          <w:spacing w:val="-8"/>
        </w:rPr>
        <w:t>隐私不等同于安全，尽管在概念上两者有重叠之处。</w:t>
      </w:r>
      <w:r>
        <w:rPr>
          <w:rFonts w:ascii="SimSun" w:hAnsi="SimSun" w:eastAsia="SimSun" w:cs="SimSun"/>
          <w:sz w:val="22"/>
          <w:szCs w:val="22"/>
          <w:spacing w:val="-9"/>
        </w:rPr>
        <w:t>隐私是指个人或群体控制</w:t>
      </w:r>
      <w:r>
        <w:rPr>
          <w:rFonts w:ascii="SimSun" w:hAnsi="SimSun" w:eastAsia="SimSun" w:cs="SimSun"/>
          <w:sz w:val="22"/>
          <w:szCs w:val="22"/>
        </w:rPr>
        <w:t xml:space="preserve"> </w:t>
      </w:r>
      <w:r>
        <w:rPr>
          <w:rFonts w:ascii="SimSun" w:hAnsi="SimSun" w:eastAsia="SimSun" w:cs="SimSun"/>
          <w:sz w:val="22"/>
          <w:szCs w:val="22"/>
          <w:spacing w:val="-3"/>
        </w:rPr>
        <w:t>有关自身特定信息的能力。隐私涉及一个人决定什么样的信息愿意让其他人知道、</w:t>
      </w:r>
      <w:r>
        <w:rPr>
          <w:rFonts w:ascii="SimSun" w:hAnsi="SimSun" w:eastAsia="SimSun" w:cs="SimSun"/>
          <w:sz w:val="22"/>
          <w:szCs w:val="22"/>
          <w:spacing w:val="6"/>
        </w:rPr>
        <w:t xml:space="preserve"> </w:t>
      </w:r>
      <w:r>
        <w:rPr>
          <w:rFonts w:ascii="SimSun" w:hAnsi="SimSun" w:eastAsia="SimSun" w:cs="SimSun"/>
          <w:sz w:val="22"/>
          <w:szCs w:val="22"/>
          <w:spacing w:val="2"/>
        </w:rPr>
        <w:t>哪些人可以知道以及决定哪些人什么时候可以知道的权利。隐</w:t>
      </w:r>
      <w:r>
        <w:rPr>
          <w:rFonts w:ascii="SimSun" w:hAnsi="SimSun" w:eastAsia="SimSun" w:cs="SimSun"/>
          <w:sz w:val="22"/>
          <w:szCs w:val="22"/>
          <w:spacing w:val="1"/>
        </w:rPr>
        <w:t>私权的执行须借助</w:t>
      </w:r>
      <w:r>
        <w:rPr>
          <w:rFonts w:ascii="SimSun" w:hAnsi="SimSun" w:eastAsia="SimSun" w:cs="SimSun"/>
          <w:sz w:val="22"/>
          <w:szCs w:val="22"/>
        </w:rPr>
        <w:t xml:space="preserve"> </w:t>
      </w:r>
      <w:r>
        <w:rPr>
          <w:rFonts w:ascii="SimSun" w:hAnsi="SimSun" w:eastAsia="SimSun" w:cs="SimSun"/>
          <w:sz w:val="22"/>
          <w:szCs w:val="22"/>
          <w:spacing w:val="-21"/>
        </w:rPr>
        <w:t>“安全”。</w:t>
      </w:r>
    </w:p>
    <w:p>
      <w:pPr>
        <w:ind w:left="229" w:right="15" w:firstLine="459"/>
        <w:spacing w:before="53" w:line="247" w:lineRule="auto"/>
        <w:rPr>
          <w:rFonts w:ascii="SimSun" w:hAnsi="SimSun" w:eastAsia="SimSun" w:cs="SimSun"/>
          <w:sz w:val="22"/>
          <w:szCs w:val="22"/>
        </w:rPr>
      </w:pPr>
      <w:r>
        <w:rPr>
          <w:rFonts w:ascii="SimSun" w:hAnsi="SimSun" w:eastAsia="SimSun" w:cs="SimSun"/>
          <w:sz w:val="22"/>
          <w:szCs w:val="22"/>
          <w:spacing w:val="-12"/>
        </w:rPr>
        <w:t>随着当今社会人们对科学技术的依赖越来越强，个人隐私也受到了更多的威胁。</w:t>
      </w:r>
      <w:r>
        <w:rPr>
          <w:rFonts w:ascii="SimSun" w:hAnsi="SimSun" w:eastAsia="SimSun" w:cs="SimSun"/>
          <w:sz w:val="22"/>
          <w:szCs w:val="22"/>
          <w:spacing w:val="8"/>
        </w:rPr>
        <w:t xml:space="preserve"> </w:t>
      </w:r>
      <w:r>
        <w:rPr>
          <w:rFonts w:ascii="SimSun" w:hAnsi="SimSun" w:eastAsia="SimSun" w:cs="SimSun"/>
          <w:sz w:val="22"/>
          <w:szCs w:val="22"/>
          <w:spacing w:val="1"/>
        </w:rPr>
        <w:t>根据《2015年度数据泄露调查报告》称：2015年，全球61个国家出现79790起数</w:t>
      </w:r>
      <w:r>
        <w:rPr>
          <w:rFonts w:ascii="SimSun" w:hAnsi="SimSun" w:eastAsia="SimSun" w:cs="SimSun"/>
          <w:sz w:val="22"/>
          <w:szCs w:val="22"/>
          <w:spacing w:val="8"/>
        </w:rPr>
        <w:t xml:space="preserve">  </w:t>
      </w:r>
      <w:r>
        <w:rPr>
          <w:rFonts w:ascii="SimSun" w:hAnsi="SimSun" w:eastAsia="SimSun" w:cs="SimSun"/>
          <w:sz w:val="22"/>
          <w:szCs w:val="22"/>
          <w:spacing w:val="-4"/>
        </w:rPr>
        <w:t>据泄露事件，其中2122起已经得到确认。</w:t>
      </w:r>
    </w:p>
    <w:p>
      <w:pPr>
        <w:ind w:left="229" w:right="15" w:firstLine="459"/>
        <w:spacing w:before="49" w:line="254" w:lineRule="auto"/>
        <w:rPr>
          <w:rFonts w:ascii="SimSun" w:hAnsi="SimSun" w:eastAsia="SimSun" w:cs="SimSun"/>
          <w:sz w:val="22"/>
          <w:szCs w:val="22"/>
        </w:rPr>
      </w:pPr>
      <w:r>
        <w:rPr>
          <w:rFonts w:ascii="SimSun" w:hAnsi="SimSun" w:eastAsia="SimSun" w:cs="SimSun"/>
          <w:sz w:val="22"/>
          <w:szCs w:val="22"/>
          <w:spacing w:val="-12"/>
        </w:rPr>
        <w:t>有数据统计，在个人信息保护方面，网民被泄露的个人信息涵盖范围非常广泛，</w:t>
      </w:r>
      <w:r>
        <w:rPr>
          <w:rFonts w:ascii="SimSun" w:hAnsi="SimSun" w:eastAsia="SimSun" w:cs="SimSun"/>
          <w:sz w:val="22"/>
          <w:szCs w:val="22"/>
          <w:spacing w:val="8"/>
        </w:rPr>
        <w:t xml:space="preserve"> </w:t>
      </w:r>
      <w:r>
        <w:rPr>
          <w:rFonts w:ascii="SimSun" w:hAnsi="SimSun" w:eastAsia="SimSun" w:cs="SimSun"/>
          <w:sz w:val="22"/>
          <w:szCs w:val="22"/>
          <w:spacing w:val="-5"/>
        </w:rPr>
        <w:t>其中78.2%的网民个人身份信息被泄露过，包括网民的姓名、学历、家庭住址、身</w:t>
      </w:r>
      <w:r>
        <w:rPr>
          <w:rFonts w:ascii="SimSun" w:hAnsi="SimSun" w:eastAsia="SimSun" w:cs="SimSun"/>
          <w:sz w:val="22"/>
          <w:szCs w:val="22"/>
          <w:spacing w:val="7"/>
        </w:rPr>
        <w:t xml:space="preserve">  </w:t>
      </w:r>
      <w:r>
        <w:rPr>
          <w:rFonts w:ascii="SimSun" w:hAnsi="SimSun" w:eastAsia="SimSun" w:cs="SimSun"/>
          <w:sz w:val="22"/>
          <w:szCs w:val="22"/>
          <w:spacing w:val="-5"/>
        </w:rPr>
        <w:t>份证号及工作单位等；63.4%的网民个人网上活动信息被泄露过，包括通话记录、</w:t>
      </w:r>
      <w:r>
        <w:rPr>
          <w:rFonts w:ascii="SimSun" w:hAnsi="SimSun" w:eastAsia="SimSun" w:cs="SimSun"/>
          <w:sz w:val="22"/>
          <w:szCs w:val="22"/>
          <w:spacing w:val="9"/>
        </w:rPr>
        <w:t xml:space="preserve">  </w:t>
      </w:r>
      <w:r>
        <w:rPr>
          <w:rFonts w:ascii="SimSun" w:hAnsi="SimSun" w:eastAsia="SimSun" w:cs="SimSun"/>
          <w:sz w:val="22"/>
          <w:szCs w:val="22"/>
          <w:spacing w:val="-4"/>
        </w:rPr>
        <w:t>网购记录、网站浏览痕迹、IP 地址、软件使用</w:t>
      </w:r>
      <w:r>
        <w:rPr>
          <w:rFonts w:ascii="SimSun" w:hAnsi="SimSun" w:eastAsia="SimSun" w:cs="SimSun"/>
          <w:sz w:val="22"/>
          <w:szCs w:val="22"/>
          <w:spacing w:val="-5"/>
        </w:rPr>
        <w:t>痕迹及地理位置等。在个人信息泄</w:t>
      </w:r>
      <w:r>
        <w:rPr>
          <w:rFonts w:ascii="SimSun" w:hAnsi="SimSun" w:eastAsia="SimSun" w:cs="SimSun"/>
          <w:sz w:val="22"/>
          <w:szCs w:val="22"/>
        </w:rPr>
        <w:t xml:space="preserve">  </w:t>
      </w:r>
      <w:r>
        <w:rPr>
          <w:rFonts w:ascii="SimSun" w:hAnsi="SimSun" w:eastAsia="SimSun" w:cs="SimSun"/>
          <w:sz w:val="22"/>
          <w:szCs w:val="22"/>
          <w:spacing w:val="-4"/>
        </w:rPr>
        <w:t>露带来的不良影响方面，82.3%的网民亲身感受到了个人信息</w:t>
      </w:r>
      <w:r>
        <w:rPr>
          <w:rFonts w:ascii="SimSun" w:hAnsi="SimSun" w:eastAsia="SimSun" w:cs="SimSun"/>
          <w:sz w:val="22"/>
          <w:szCs w:val="22"/>
          <w:spacing w:val="-5"/>
        </w:rPr>
        <w:t>泄露给日常生活造成</w:t>
      </w:r>
      <w:r>
        <w:rPr>
          <w:rFonts w:ascii="SimSun" w:hAnsi="SimSun" w:eastAsia="SimSun" w:cs="SimSun"/>
          <w:sz w:val="22"/>
          <w:szCs w:val="22"/>
        </w:rPr>
        <w:t xml:space="preserve">  </w:t>
      </w:r>
      <w:r>
        <w:rPr>
          <w:rFonts w:ascii="SimSun" w:hAnsi="SimSun" w:eastAsia="SimSun" w:cs="SimSun"/>
          <w:sz w:val="22"/>
          <w:szCs w:val="22"/>
          <w:spacing w:val="-11"/>
        </w:rPr>
        <w:t>的影响。</w:t>
      </w:r>
    </w:p>
    <w:p>
      <w:pPr>
        <w:ind w:left="229" w:right="114" w:firstLine="459"/>
        <w:spacing w:before="34" w:line="256" w:lineRule="auto"/>
        <w:rPr>
          <w:rFonts w:ascii="SimSun" w:hAnsi="SimSun" w:eastAsia="SimSun" w:cs="SimSun"/>
          <w:sz w:val="22"/>
          <w:szCs w:val="22"/>
        </w:rPr>
      </w:pPr>
      <w:r>
        <w:rPr>
          <w:rFonts w:ascii="SimSun" w:hAnsi="SimSun" w:eastAsia="SimSun" w:cs="SimSun"/>
          <w:sz w:val="22"/>
          <w:szCs w:val="22"/>
          <w:spacing w:val="-9"/>
        </w:rPr>
        <w:t>保护隐私的方式包括政策法规和技术手段。其中，政策法规包括通用法规和行</w:t>
      </w:r>
      <w:r>
        <w:rPr>
          <w:rFonts w:ascii="SimSun" w:hAnsi="SimSun" w:eastAsia="SimSun" w:cs="SimSun"/>
          <w:sz w:val="22"/>
          <w:szCs w:val="22"/>
          <w:spacing w:val="15"/>
        </w:rPr>
        <w:t xml:space="preserve"> </w:t>
      </w:r>
      <w:r>
        <w:rPr>
          <w:rFonts w:ascii="SimSun" w:hAnsi="SimSun" w:eastAsia="SimSun" w:cs="SimSun"/>
          <w:sz w:val="22"/>
          <w:szCs w:val="22"/>
          <w:spacing w:val="-8"/>
        </w:rPr>
        <w:t>业规章。通用法规影响所有行业，包括政府部门，行业规章则是针对特定行</w:t>
      </w:r>
      <w:r>
        <w:rPr>
          <w:rFonts w:ascii="SimSun" w:hAnsi="SimSun" w:eastAsia="SimSun" w:cs="SimSun"/>
          <w:sz w:val="22"/>
          <w:szCs w:val="22"/>
          <w:spacing w:val="-9"/>
        </w:rPr>
        <w:t>业制订</w:t>
      </w:r>
      <w:r>
        <w:rPr>
          <w:rFonts w:ascii="SimSun" w:hAnsi="SimSun" w:eastAsia="SimSun" w:cs="SimSun"/>
          <w:sz w:val="22"/>
          <w:szCs w:val="22"/>
        </w:rPr>
        <w:t xml:space="preserve"> </w:t>
      </w:r>
      <w:r>
        <w:rPr>
          <w:rFonts w:ascii="SimSun" w:hAnsi="SimSun" w:eastAsia="SimSun" w:cs="SimSun"/>
          <w:sz w:val="22"/>
          <w:szCs w:val="22"/>
          <w:spacing w:val="-8"/>
        </w:rPr>
        <w:t>要求；技术手段主要包括基于数据失真的技术(掺沙子)、基于数据加密的技术和数</w:t>
      </w:r>
      <w:r>
        <w:rPr>
          <w:rFonts w:ascii="SimSun" w:hAnsi="SimSun" w:eastAsia="SimSun" w:cs="SimSun"/>
          <w:sz w:val="22"/>
          <w:szCs w:val="22"/>
          <w:spacing w:val="4"/>
        </w:rPr>
        <w:t xml:space="preserve"> </w:t>
      </w:r>
      <w:r>
        <w:rPr>
          <w:rFonts w:ascii="SimSun" w:hAnsi="SimSun" w:eastAsia="SimSun" w:cs="SimSun"/>
          <w:sz w:val="22"/>
          <w:szCs w:val="22"/>
          <w:spacing w:val="-10"/>
        </w:rPr>
        <w:t>据脱敏的技术。</w:t>
      </w:r>
    </w:p>
    <w:p>
      <w:pPr>
        <w:ind w:left="689"/>
        <w:spacing w:before="42" w:line="229" w:lineRule="auto"/>
        <w:rPr>
          <w:rFonts w:ascii="KaiTi" w:hAnsi="KaiTi" w:eastAsia="KaiTi" w:cs="KaiTi"/>
          <w:sz w:val="22"/>
          <w:szCs w:val="22"/>
        </w:rPr>
      </w:pPr>
      <w:r>
        <w:rPr>
          <w:rFonts w:ascii="KaiTi" w:hAnsi="KaiTi" w:eastAsia="KaiTi" w:cs="KaiTi"/>
          <w:sz w:val="22"/>
          <w:szCs w:val="22"/>
          <w:spacing w:val="4"/>
        </w:rPr>
        <w:t>3)相关过程域</w:t>
      </w:r>
    </w:p>
    <w:p>
      <w:pPr>
        <w:ind w:left="689"/>
        <w:spacing w:before="32" w:line="218" w:lineRule="auto"/>
        <w:rPr>
          <w:rFonts w:ascii="SimSun" w:hAnsi="SimSun" w:eastAsia="SimSun" w:cs="SimSun"/>
          <w:sz w:val="22"/>
          <w:szCs w:val="22"/>
        </w:rPr>
      </w:pPr>
      <w:r>
        <w:rPr>
          <w:rFonts w:ascii="SimSun" w:hAnsi="SimSun" w:eastAsia="SimSun" w:cs="SimSun"/>
          <w:sz w:val="22"/>
          <w:szCs w:val="22"/>
          <w:spacing w:val="-8"/>
        </w:rPr>
        <w:t>●参考风险管理过程域了解组织风险评估的情况；</w:t>
      </w:r>
    </w:p>
    <w:p>
      <w:pPr>
        <w:ind w:left="689"/>
        <w:spacing w:before="52" w:line="219" w:lineRule="auto"/>
        <w:rPr>
          <w:rFonts w:ascii="SimSun" w:hAnsi="SimSun" w:eastAsia="SimSun" w:cs="SimSun"/>
          <w:sz w:val="22"/>
          <w:szCs w:val="22"/>
        </w:rPr>
      </w:pPr>
      <w:r>
        <w:rPr>
          <w:rFonts w:ascii="SimSun" w:hAnsi="SimSun" w:eastAsia="SimSun" w:cs="SimSun"/>
          <w:sz w:val="22"/>
          <w:szCs w:val="22"/>
          <w:spacing w:val="-9"/>
        </w:rPr>
        <w:t>●参考数据生命周期管理过程域了解云端数据生命周期管理内的管理策略；</w:t>
      </w:r>
    </w:p>
    <w:p>
      <w:pPr>
        <w:ind w:left="689"/>
        <w:spacing w:before="69" w:line="219" w:lineRule="auto"/>
        <w:rPr>
          <w:rFonts w:ascii="SimSun" w:hAnsi="SimSun" w:eastAsia="SimSun" w:cs="SimSun"/>
          <w:sz w:val="22"/>
          <w:szCs w:val="22"/>
        </w:rPr>
      </w:pPr>
      <w:r>
        <w:rPr>
          <w:rFonts w:ascii="SimSun" w:hAnsi="SimSun" w:eastAsia="SimSun" w:cs="SimSun"/>
          <w:sz w:val="22"/>
          <w:szCs w:val="22"/>
          <w:spacing w:val="-9"/>
        </w:rPr>
        <w:t>●参考数据安全过程域了解安全目标与安全控制活动保持相符的相关信息；</w:t>
      </w:r>
    </w:p>
    <w:p>
      <w:pPr>
        <w:ind w:left="689"/>
        <w:spacing w:before="38" w:line="219" w:lineRule="auto"/>
        <w:rPr>
          <w:rFonts w:ascii="SimSun" w:hAnsi="SimSun" w:eastAsia="SimSun" w:cs="SimSun"/>
          <w:sz w:val="22"/>
          <w:szCs w:val="22"/>
        </w:rPr>
      </w:pPr>
      <w:r>
        <w:rPr>
          <w:rFonts w:ascii="SimSun" w:hAnsi="SimSun" w:eastAsia="SimSun" w:cs="SimSun"/>
          <w:sz w:val="22"/>
          <w:szCs w:val="22"/>
          <w:spacing w:val="-8"/>
        </w:rPr>
        <w:t>●参考合规管理过程域了解合规控制机制与合规情况。</w:t>
      </w:r>
    </w:p>
    <w:p>
      <w:pPr>
        <w:pStyle w:val="BodyText"/>
        <w:ind w:left="689"/>
        <w:spacing w:before="197" w:line="223" w:lineRule="auto"/>
        <w:outlineLvl w:val="4"/>
        <w:rPr>
          <w:rFonts w:ascii="SimHei" w:hAnsi="SimHei" w:eastAsia="SimHei" w:cs="SimHei"/>
          <w:sz w:val="22"/>
          <w:szCs w:val="22"/>
        </w:rPr>
      </w:pPr>
      <w:r>
        <w:rPr>
          <w:sz w:val="22"/>
          <w:szCs w:val="22"/>
          <w:b/>
          <w:bCs/>
          <w:spacing w:val="-2"/>
        </w:rPr>
        <w:t>2.GOM</w:t>
      </w:r>
      <w:r>
        <w:rPr>
          <w:sz w:val="22"/>
          <w:szCs w:val="22"/>
          <w:b/>
          <w:bCs/>
          <w:spacing w:val="16"/>
        </w:rPr>
        <w:t xml:space="preserve">   </w:t>
      </w:r>
      <w:r>
        <w:rPr>
          <w:rFonts w:ascii="SimHei" w:hAnsi="SimHei" w:eastAsia="SimHei" w:cs="SimHei"/>
          <w:sz w:val="22"/>
          <w:szCs w:val="22"/>
          <w:b/>
          <w:bCs/>
          <w:spacing w:val="-2"/>
        </w:rPr>
        <w:t>表</w:t>
      </w:r>
    </w:p>
    <w:p>
      <w:pPr>
        <w:spacing w:before="42"/>
        <w:rPr/>
      </w:pPr>
      <w:r/>
    </w:p>
    <w:tbl>
      <w:tblPr>
        <w:tblStyle w:val="TableNormal"/>
        <w:tblW w:w="768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13"/>
        <w:gridCol w:w="1478"/>
        <w:gridCol w:w="1828"/>
        <w:gridCol w:w="3061"/>
      </w:tblGrid>
      <w:tr>
        <w:trPr>
          <w:trHeight w:val="353" w:hRule="atLeast"/>
        </w:trPr>
        <w:tc>
          <w:tcPr>
            <w:tcW w:w="1313" w:type="dxa"/>
            <w:vAlign w:val="top"/>
          </w:tcPr>
          <w:p>
            <w:pPr>
              <w:pStyle w:val="TableText"/>
              <w:ind w:left="345"/>
              <w:spacing w:before="101" w:line="220" w:lineRule="auto"/>
              <w:rPr/>
            </w:pPr>
            <w:r>
              <w:rPr>
                <w:spacing w:val="-18"/>
              </w:rPr>
              <w:t>目</w:t>
            </w:r>
            <w:r>
              <w:rPr>
                <w:spacing w:val="11"/>
              </w:rPr>
              <w:t xml:space="preserve">    </w:t>
            </w:r>
            <w:r>
              <w:rPr>
                <w:spacing w:val="-18"/>
              </w:rPr>
              <w:t>标</w:t>
            </w:r>
          </w:p>
        </w:tc>
        <w:tc>
          <w:tcPr>
            <w:tcW w:w="1478" w:type="dxa"/>
            <w:vAlign w:val="top"/>
          </w:tcPr>
          <w:p>
            <w:pPr>
              <w:pStyle w:val="TableText"/>
              <w:ind w:left="432"/>
              <w:spacing w:before="103" w:line="221" w:lineRule="auto"/>
              <w:rPr/>
            </w:pPr>
            <w:r>
              <w:rPr>
                <w:spacing w:val="-12"/>
              </w:rPr>
              <w:t>问</w:t>
            </w:r>
            <w:r>
              <w:rPr>
                <w:spacing w:val="9"/>
              </w:rPr>
              <w:t xml:space="preserve">    </w:t>
            </w:r>
            <w:r>
              <w:rPr>
                <w:spacing w:val="-12"/>
              </w:rPr>
              <w:t>题</w:t>
            </w:r>
          </w:p>
        </w:tc>
        <w:tc>
          <w:tcPr>
            <w:tcW w:w="1828" w:type="dxa"/>
            <w:vAlign w:val="top"/>
          </w:tcPr>
          <w:p>
            <w:pPr>
              <w:pStyle w:val="TableText"/>
              <w:ind w:left="533"/>
              <w:spacing w:before="101" w:line="220" w:lineRule="auto"/>
              <w:rPr/>
            </w:pPr>
            <w:r>
              <w:rPr>
                <w:spacing w:val="-4"/>
              </w:rPr>
              <w:t>度</w:t>
            </w:r>
            <w:r>
              <w:rPr>
                <w:spacing w:val="2"/>
              </w:rPr>
              <w:t xml:space="preserve">  </w:t>
            </w:r>
            <w:r>
              <w:rPr>
                <w:spacing w:val="-4"/>
              </w:rPr>
              <w:t>量</w:t>
            </w:r>
            <w:r>
              <w:rPr>
                <w:spacing w:val="5"/>
              </w:rPr>
              <w:t xml:space="preserve">  </w:t>
            </w:r>
            <w:r>
              <w:rPr>
                <w:spacing w:val="-4"/>
              </w:rPr>
              <w:t>项</w:t>
            </w:r>
          </w:p>
        </w:tc>
        <w:tc>
          <w:tcPr>
            <w:tcW w:w="3061" w:type="dxa"/>
            <w:vAlign w:val="top"/>
          </w:tcPr>
          <w:p>
            <w:pPr>
              <w:pStyle w:val="TableText"/>
              <w:ind w:left="1146"/>
              <w:spacing w:before="101" w:line="219" w:lineRule="auto"/>
              <w:rPr/>
            </w:pPr>
            <w:r>
              <w:rPr>
                <w:spacing w:val="3"/>
              </w:rPr>
              <w:t>度量项说明</w:t>
            </w:r>
          </w:p>
        </w:tc>
      </w:tr>
      <w:tr>
        <w:trPr>
          <w:trHeight w:val="867" w:hRule="atLeast"/>
        </w:trPr>
        <w:tc>
          <w:tcPr>
            <w:tcW w:w="1313" w:type="dxa"/>
            <w:vAlign w:val="top"/>
            <w:vMerge w:val="restart"/>
            <w:tcBorders>
              <w:bottom w:val="nil"/>
            </w:tcBorders>
          </w:tcPr>
          <w:p>
            <w:pPr>
              <w:spacing w:line="456" w:lineRule="auto"/>
              <w:rPr>
                <w:rFonts w:ascii="Arial"/>
                <w:sz w:val="21"/>
              </w:rPr>
            </w:pPr>
            <w:r/>
          </w:p>
          <w:p>
            <w:pPr>
              <w:pStyle w:val="TableText"/>
              <w:ind w:left="95" w:right="163" w:firstLine="149"/>
              <w:spacing w:before="49" w:line="282" w:lineRule="auto"/>
              <w:rPr/>
            </w:pPr>
            <w:r>
              <w:rPr>
                <w:spacing w:val="-1"/>
              </w:rPr>
              <w:t>G1:识别云端</w:t>
            </w:r>
            <w:r>
              <w:rPr/>
              <w:t xml:space="preserve">  </w:t>
            </w:r>
            <w:r>
              <w:rPr>
                <w:spacing w:val="-1"/>
              </w:rPr>
              <w:t>所有的隐私数据</w:t>
            </w:r>
          </w:p>
        </w:tc>
        <w:tc>
          <w:tcPr>
            <w:tcW w:w="1478" w:type="dxa"/>
            <w:vAlign w:val="top"/>
            <w:vMerge w:val="restart"/>
            <w:tcBorders>
              <w:bottom w:val="nil"/>
            </w:tcBorders>
          </w:tcPr>
          <w:p>
            <w:pPr>
              <w:spacing w:line="336" w:lineRule="auto"/>
              <w:rPr>
                <w:rFonts w:ascii="Arial"/>
                <w:sz w:val="21"/>
              </w:rPr>
            </w:pPr>
            <w:r/>
          </w:p>
          <w:p>
            <w:pPr>
              <w:pStyle w:val="TableText"/>
              <w:ind w:left="101" w:right="147" w:firstLine="149"/>
              <w:spacing w:before="49" w:line="295" w:lineRule="auto"/>
              <w:rPr/>
            </w:pPr>
            <w:r>
              <w:rPr>
                <w:spacing w:val="-1"/>
              </w:rPr>
              <w:t>Q1:将云端所有</w:t>
            </w:r>
            <w:r>
              <w:rPr>
                <w:spacing w:val="1"/>
              </w:rPr>
              <w:t xml:space="preserve">  </w:t>
            </w:r>
            <w:r>
              <w:rPr>
                <w:spacing w:val="2"/>
              </w:rPr>
              <w:t>隐私数据都识别出</w:t>
            </w:r>
            <w:r>
              <w:rPr>
                <w:spacing w:val="1"/>
              </w:rPr>
              <w:t xml:space="preserve"> </w:t>
            </w:r>
            <w:r>
              <w:rPr/>
              <w:t>来</w:t>
            </w:r>
          </w:p>
        </w:tc>
        <w:tc>
          <w:tcPr>
            <w:tcW w:w="1828" w:type="dxa"/>
            <w:vAlign w:val="top"/>
          </w:tcPr>
          <w:p>
            <w:pPr>
              <w:spacing w:line="307" w:lineRule="auto"/>
              <w:rPr>
                <w:rFonts w:ascii="Arial"/>
                <w:sz w:val="21"/>
              </w:rPr>
            </w:pPr>
            <w:r/>
          </w:p>
          <w:p>
            <w:pPr>
              <w:pStyle w:val="TableText"/>
              <w:ind w:left="263"/>
              <w:spacing w:before="49" w:line="220" w:lineRule="auto"/>
              <w:rPr/>
            </w:pPr>
            <w:r>
              <w:rPr>
                <w:spacing w:val="-1"/>
              </w:rPr>
              <w:t>M1:法规识别方法</w:t>
            </w:r>
          </w:p>
        </w:tc>
        <w:tc>
          <w:tcPr>
            <w:tcW w:w="3061" w:type="dxa"/>
            <w:vAlign w:val="top"/>
          </w:tcPr>
          <w:p>
            <w:pPr>
              <w:pStyle w:val="TableText"/>
              <w:ind w:left="245"/>
              <w:spacing w:before="98" w:line="219" w:lineRule="auto"/>
              <w:rPr/>
            </w:pPr>
            <w:r>
              <w:rPr>
                <w:spacing w:val="-1"/>
              </w:rPr>
              <w:t>建立规程确保由组织了解相关法律法规</w:t>
            </w:r>
          </w:p>
          <w:p>
            <w:pPr>
              <w:pStyle w:val="TableText"/>
              <w:ind w:left="124" w:right="111" w:hanging="29"/>
              <w:spacing w:before="90" w:line="283" w:lineRule="auto"/>
              <w:rPr/>
            </w:pPr>
            <w:r>
              <w:rPr>
                <w:spacing w:val="-1"/>
              </w:rPr>
              <w:t>风险的人员参与对业务场景的评估，以确保</w:t>
            </w:r>
            <w:r>
              <w:rPr>
                <w:spacing w:val="11"/>
              </w:rPr>
              <w:t xml:space="preserve"> </w:t>
            </w:r>
            <w:r>
              <w:rPr>
                <w:spacing w:val="-1"/>
              </w:rPr>
              <w:t>涉及个人数据的业务场景中均被识别</w:t>
            </w:r>
          </w:p>
        </w:tc>
      </w:tr>
      <w:tr>
        <w:trPr>
          <w:trHeight w:val="598" w:hRule="atLeast"/>
        </w:trPr>
        <w:tc>
          <w:tcPr>
            <w:tcW w:w="1313" w:type="dxa"/>
            <w:vAlign w:val="top"/>
            <w:vMerge w:val="continue"/>
            <w:tcBorders>
              <w:top w:val="nil"/>
            </w:tcBorders>
          </w:tcPr>
          <w:p>
            <w:pPr>
              <w:rPr>
                <w:rFonts w:ascii="Arial"/>
                <w:sz w:val="21"/>
              </w:rPr>
            </w:pPr>
            <w:r/>
          </w:p>
        </w:tc>
        <w:tc>
          <w:tcPr>
            <w:tcW w:w="1478" w:type="dxa"/>
            <w:vAlign w:val="top"/>
            <w:vMerge w:val="continue"/>
            <w:tcBorders>
              <w:top w:val="nil"/>
            </w:tcBorders>
          </w:tcPr>
          <w:p>
            <w:pPr>
              <w:rPr>
                <w:rFonts w:ascii="Arial"/>
                <w:sz w:val="21"/>
              </w:rPr>
            </w:pPr>
            <w:r/>
          </w:p>
        </w:tc>
        <w:tc>
          <w:tcPr>
            <w:tcW w:w="1828" w:type="dxa"/>
            <w:vAlign w:val="top"/>
          </w:tcPr>
          <w:p>
            <w:pPr>
              <w:pStyle w:val="TableText"/>
              <w:ind w:left="104" w:right="290" w:firstLine="149"/>
              <w:spacing w:before="100" w:line="283" w:lineRule="auto"/>
              <w:rPr/>
            </w:pPr>
            <w:r>
              <w:rPr>
                <w:spacing w:val="-1"/>
              </w:rPr>
              <w:t>M2:隐私数据识别与</w:t>
            </w:r>
            <w:r>
              <w:rPr>
                <w:spacing w:val="7"/>
              </w:rPr>
              <w:t xml:space="preserve"> </w:t>
            </w:r>
            <w:r>
              <w:rPr>
                <w:spacing w:val="-2"/>
              </w:rPr>
              <w:t>分析方法</w:t>
            </w:r>
          </w:p>
        </w:tc>
        <w:tc>
          <w:tcPr>
            <w:tcW w:w="3061" w:type="dxa"/>
            <w:vAlign w:val="top"/>
          </w:tcPr>
          <w:p>
            <w:pPr>
              <w:pStyle w:val="TableText"/>
              <w:ind w:left="116" w:right="246" w:firstLine="129"/>
              <w:spacing w:before="100" w:line="282" w:lineRule="auto"/>
              <w:rPr/>
            </w:pPr>
            <w:r>
              <w:rPr/>
              <w:t>隐私数据的识别应包括隐私数据定义及</w:t>
            </w:r>
            <w:r>
              <w:rPr>
                <w:spacing w:val="7"/>
              </w:rPr>
              <w:t xml:space="preserve"> </w:t>
            </w:r>
            <w:r>
              <w:rPr/>
              <w:t>隐私数据分析等内容</w:t>
            </w:r>
          </w:p>
        </w:tc>
      </w:tr>
      <w:tr>
        <w:trPr>
          <w:trHeight w:val="1151" w:hRule="atLeast"/>
        </w:trPr>
        <w:tc>
          <w:tcPr>
            <w:tcW w:w="1313" w:type="dxa"/>
            <w:vAlign w:val="top"/>
          </w:tcPr>
          <w:p>
            <w:pPr>
              <w:pStyle w:val="TableText"/>
              <w:ind w:left="95" w:right="227" w:firstLine="159"/>
              <w:spacing w:before="104" w:line="275" w:lineRule="auto"/>
              <w:rPr/>
            </w:pPr>
            <w:r>
              <w:rPr>
                <w:spacing w:val="-1"/>
              </w:rPr>
              <w:t>G2:建立有效</w:t>
            </w:r>
            <w:r>
              <w:rPr>
                <w:spacing w:val="1"/>
              </w:rPr>
              <w:t xml:space="preserve"> </w:t>
            </w:r>
            <w:r>
              <w:rPr/>
              <w:t>的隐私管理过</w:t>
            </w:r>
          </w:p>
          <w:p>
            <w:pPr>
              <w:pStyle w:val="TableText"/>
              <w:ind w:left="115" w:right="143"/>
              <w:spacing w:before="111" w:line="277" w:lineRule="auto"/>
              <w:rPr/>
            </w:pPr>
            <w:r>
              <w:rPr>
                <w:spacing w:val="-1"/>
              </w:rPr>
              <w:t>程，以满足业务</w:t>
            </w:r>
            <w:r>
              <w:rPr/>
              <w:t xml:space="preserve"> </w:t>
            </w:r>
            <w:r>
              <w:rPr>
                <w:spacing w:val="3"/>
              </w:rPr>
              <w:t>需求</w:t>
            </w:r>
          </w:p>
        </w:tc>
        <w:tc>
          <w:tcPr>
            <w:tcW w:w="1478" w:type="dxa"/>
            <w:vAlign w:val="top"/>
          </w:tcPr>
          <w:p>
            <w:pPr>
              <w:pStyle w:val="TableText"/>
              <w:ind w:left="101" w:right="163" w:firstLine="149"/>
              <w:spacing w:before="242" w:line="303" w:lineRule="auto"/>
              <w:rPr/>
            </w:pPr>
            <w:r>
              <w:rPr>
                <w:spacing w:val="-1"/>
              </w:rPr>
              <w:t>Q2:使云端所有</w:t>
            </w:r>
            <w:r>
              <w:rPr>
                <w:spacing w:val="1"/>
              </w:rPr>
              <w:t xml:space="preserve">  </w:t>
            </w:r>
            <w:r>
              <w:rPr/>
              <w:t>识别出来的隐私数</w:t>
            </w:r>
            <w:r>
              <w:rPr>
                <w:spacing w:val="1"/>
              </w:rPr>
              <w:t xml:space="preserve"> </w:t>
            </w:r>
            <w:r>
              <w:rPr>
                <w:spacing w:val="-1"/>
              </w:rPr>
              <w:t>据都受到保护</w:t>
            </w:r>
          </w:p>
        </w:tc>
        <w:tc>
          <w:tcPr>
            <w:tcW w:w="1828" w:type="dxa"/>
            <w:vAlign w:val="top"/>
          </w:tcPr>
          <w:p>
            <w:pPr>
              <w:spacing w:line="322" w:lineRule="auto"/>
              <w:rPr>
                <w:rFonts w:ascii="Arial"/>
                <w:sz w:val="21"/>
              </w:rPr>
            </w:pPr>
            <w:r/>
          </w:p>
          <w:p>
            <w:pPr>
              <w:pStyle w:val="TableText"/>
              <w:ind w:left="124" w:right="300" w:firstLine="120"/>
              <w:spacing w:before="49" w:line="288" w:lineRule="auto"/>
              <w:rPr/>
            </w:pPr>
            <w:r>
              <w:rPr>
                <w:spacing w:val="-1"/>
              </w:rPr>
              <w:t>M3:护隐私数据保护</w:t>
            </w:r>
            <w:r>
              <w:rPr>
                <w:spacing w:val="7"/>
              </w:rPr>
              <w:t xml:space="preserve"> </w:t>
            </w:r>
            <w:r>
              <w:rPr>
                <w:spacing w:val="-2"/>
              </w:rPr>
              <w:t>管理策略</w:t>
            </w:r>
          </w:p>
        </w:tc>
        <w:tc>
          <w:tcPr>
            <w:tcW w:w="3061" w:type="dxa"/>
            <w:vAlign w:val="top"/>
          </w:tcPr>
          <w:p>
            <w:pPr>
              <w:pStyle w:val="TableText"/>
              <w:ind w:left="116" w:right="70" w:firstLine="129"/>
              <w:spacing w:before="94" w:line="316" w:lineRule="auto"/>
              <w:rPr/>
            </w:pPr>
            <w:r>
              <w:rPr/>
              <w:t>隐私保护策略应该包括以下内容：在收</w:t>
            </w:r>
            <w:r>
              <w:rPr>
                <w:spacing w:val="1"/>
              </w:rPr>
              <w:t xml:space="preserve">   </w:t>
            </w:r>
            <w:r>
              <w:rPr>
                <w:spacing w:val="1"/>
              </w:rPr>
              <w:t>集、使用或披露个人信息时要获取对方同  </w:t>
            </w:r>
            <w:r>
              <w:rPr/>
              <w:t>意；在法律允许的范围内公正地收集信息：</w:t>
            </w:r>
            <w:r>
              <w:rPr>
                <w:spacing w:val="13"/>
              </w:rPr>
              <w:t xml:space="preserve"> </w:t>
            </w:r>
            <w:r>
              <w:rPr>
                <w:spacing w:val="-1"/>
              </w:rPr>
              <w:t>制订明确、易懂的个人信息保护政策</w:t>
            </w:r>
          </w:p>
        </w:tc>
      </w:tr>
    </w:tbl>
    <w:p>
      <w:pPr>
        <w:pStyle w:val="BodyText"/>
        <w:rPr/>
      </w:pPr>
      <w:r/>
    </w:p>
    <w:p>
      <w:pPr>
        <w:sectPr>
          <w:footerReference w:type="default" r:id="rId445"/>
          <w:pgSz w:w="8870" w:h="13400"/>
          <w:pgMar w:top="400" w:right="385" w:bottom="574" w:left="489" w:header="0" w:footer="356" w:gutter="0"/>
        </w:sectPr>
        <w:rPr/>
      </w:pPr>
    </w:p>
    <w:p>
      <w:pPr>
        <w:ind w:left="5738"/>
        <w:spacing w:before="165" w:line="610" w:lineRule="exact"/>
        <w:rPr>
          <w:rFonts w:ascii="SimSun" w:hAnsi="SimSun" w:eastAsia="SimSun" w:cs="SimSun"/>
          <w:sz w:val="22"/>
          <w:szCs w:val="22"/>
        </w:rPr>
      </w:pPr>
      <w:r>
        <w:rPr>
          <w:rFonts w:ascii="SimSun" w:hAnsi="SimSun" w:eastAsia="SimSun" w:cs="SimSun"/>
          <w:sz w:val="22"/>
          <w:szCs w:val="22"/>
          <w:b/>
          <w:bCs/>
          <w:spacing w:val="8"/>
          <w:position w:val="30"/>
        </w:rPr>
        <w:t>第9章■安全与隐私</w:t>
      </w:r>
    </w:p>
    <w:p>
      <w:pPr>
        <w:ind w:left="6957"/>
        <w:spacing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76" w:lineRule="auto"/>
        <w:rPr>
          <w:rFonts w:ascii="Arial"/>
          <w:sz w:val="2"/>
        </w:rPr>
      </w:pPr>
      <w:r>
        <w:rPr>
          <w:rFonts w:ascii="Arial"/>
          <w:sz w:val="2"/>
        </w:rPr>
      </w:r>
    </w:p>
    <w:tbl>
      <w:tblPr>
        <w:tblStyle w:val="TableNormal"/>
        <w:tblW w:w="76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03"/>
        <w:gridCol w:w="1478"/>
        <w:gridCol w:w="1827"/>
        <w:gridCol w:w="3071"/>
      </w:tblGrid>
      <w:tr>
        <w:trPr>
          <w:trHeight w:val="354" w:hRule="atLeast"/>
        </w:trPr>
        <w:tc>
          <w:tcPr>
            <w:tcW w:w="1303" w:type="dxa"/>
            <w:vAlign w:val="top"/>
          </w:tcPr>
          <w:p>
            <w:pPr>
              <w:pStyle w:val="TableText"/>
              <w:ind w:left="364"/>
              <w:spacing w:before="101" w:line="220" w:lineRule="auto"/>
              <w:rPr/>
            </w:pPr>
            <w:r>
              <w:rPr>
                <w:spacing w:val="-12"/>
              </w:rPr>
              <w:t>目    标</w:t>
            </w:r>
          </w:p>
        </w:tc>
        <w:tc>
          <w:tcPr>
            <w:tcW w:w="1478" w:type="dxa"/>
            <w:vAlign w:val="top"/>
          </w:tcPr>
          <w:p>
            <w:pPr>
              <w:pStyle w:val="TableText"/>
              <w:ind w:left="422"/>
              <w:spacing w:before="103" w:line="221" w:lineRule="auto"/>
              <w:rPr/>
            </w:pPr>
            <w:r>
              <w:rPr>
                <w:spacing w:val="-12"/>
              </w:rPr>
              <w:t>问</w:t>
            </w:r>
            <w:r>
              <w:rPr>
                <w:spacing w:val="10"/>
              </w:rPr>
              <w:t xml:space="preserve">   </w:t>
            </w:r>
            <w:r>
              <w:rPr>
                <w:spacing w:val="-12"/>
              </w:rPr>
              <w:t>题</w:t>
            </w:r>
          </w:p>
        </w:tc>
        <w:tc>
          <w:tcPr>
            <w:tcW w:w="1827" w:type="dxa"/>
            <w:vAlign w:val="top"/>
          </w:tcPr>
          <w:p>
            <w:pPr>
              <w:pStyle w:val="TableText"/>
              <w:ind w:left="524"/>
              <w:spacing w:before="10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3071" w:type="dxa"/>
            <w:vAlign w:val="top"/>
          </w:tcPr>
          <w:p>
            <w:pPr>
              <w:pStyle w:val="TableText"/>
              <w:ind w:left="1157"/>
              <w:spacing w:before="101" w:line="219" w:lineRule="auto"/>
              <w:rPr/>
            </w:pPr>
            <w:r>
              <w:rPr>
                <w:spacing w:val="3"/>
              </w:rPr>
              <w:t>度量项说明</w:t>
            </w:r>
          </w:p>
        </w:tc>
      </w:tr>
      <w:tr>
        <w:trPr>
          <w:trHeight w:val="1337" w:hRule="atLeast"/>
        </w:trPr>
        <w:tc>
          <w:tcPr>
            <w:tcW w:w="1303" w:type="dxa"/>
            <w:vAlign w:val="top"/>
            <w:vMerge w:val="restart"/>
            <w:tcBorders>
              <w:bottom w:val="nil"/>
            </w:tcBorders>
          </w:tcPr>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pStyle w:val="TableText"/>
              <w:ind w:left="104" w:right="227" w:firstLine="140"/>
              <w:spacing w:before="48" w:line="275" w:lineRule="auto"/>
              <w:rPr/>
            </w:pPr>
            <w:r>
              <w:rPr>
                <w:spacing w:val="-1"/>
              </w:rPr>
              <w:t>G2:建立有效</w:t>
            </w:r>
            <w:r>
              <w:rPr>
                <w:spacing w:val="1"/>
              </w:rPr>
              <w:t xml:space="preserve"> </w:t>
            </w:r>
            <w:r>
              <w:rPr/>
              <w:t>的隐私管理过</w:t>
            </w:r>
          </w:p>
          <w:p>
            <w:pPr>
              <w:pStyle w:val="TableText"/>
              <w:ind w:left="94" w:right="143" w:firstLine="10"/>
              <w:spacing w:before="82" w:line="264" w:lineRule="auto"/>
              <w:rPr/>
            </w:pPr>
            <w:r>
              <w:rPr>
                <w:spacing w:val="-1"/>
              </w:rPr>
              <w:t>程，以满足业务</w:t>
            </w:r>
            <w:r>
              <w:rPr/>
              <w:t xml:space="preserve"> </w:t>
            </w:r>
            <w:r>
              <w:rPr>
                <w:spacing w:val="3"/>
              </w:rPr>
              <w:t>需求</w:t>
            </w:r>
          </w:p>
        </w:tc>
        <w:tc>
          <w:tcPr>
            <w:tcW w:w="1478" w:type="dxa"/>
            <w:vAlign w:val="top"/>
            <w:vMerge w:val="restart"/>
            <w:tcBorders>
              <w:bottom w:val="nil"/>
            </w:tcBorders>
          </w:tcPr>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TableText"/>
              <w:ind w:left="111" w:right="143" w:firstLine="160"/>
              <w:spacing w:before="49" w:line="291" w:lineRule="auto"/>
              <w:rPr/>
            </w:pPr>
            <w:r>
              <w:rPr>
                <w:spacing w:val="-1"/>
              </w:rPr>
              <w:t>Q2:使云端所有</w:t>
            </w:r>
            <w:r>
              <w:rPr>
                <w:spacing w:val="1"/>
              </w:rPr>
              <w:t xml:space="preserve">  </w:t>
            </w:r>
            <w:r>
              <w:rPr>
                <w:spacing w:val="1"/>
              </w:rPr>
              <w:t>识别出来的隐私数</w:t>
            </w:r>
            <w:r>
              <w:rPr>
                <w:spacing w:val="3"/>
              </w:rPr>
              <w:t xml:space="preserve"> </w:t>
            </w:r>
            <w:r>
              <w:rPr>
                <w:spacing w:val="-1"/>
              </w:rPr>
              <w:t>据都受到保护</w:t>
            </w:r>
          </w:p>
        </w:tc>
        <w:tc>
          <w:tcPr>
            <w:tcW w:w="1827" w:type="dxa"/>
            <w:vAlign w:val="top"/>
          </w:tcPr>
          <w:p>
            <w:pPr>
              <w:spacing w:line="416" w:lineRule="auto"/>
              <w:rPr>
                <w:rFonts w:ascii="Arial"/>
                <w:sz w:val="21"/>
              </w:rPr>
            </w:pPr>
            <w:r/>
          </w:p>
          <w:p>
            <w:pPr>
              <w:pStyle w:val="TableText"/>
              <w:ind w:left="123" w:right="309" w:firstLine="109"/>
              <w:spacing w:before="48" w:line="264" w:lineRule="auto"/>
              <w:rPr/>
            </w:pPr>
            <w:r>
              <w:rPr>
                <w:spacing w:val="-1"/>
              </w:rPr>
              <w:t>M4:隐私数据保护过</w:t>
            </w:r>
            <w:r>
              <w:rPr>
                <w:spacing w:val="7"/>
              </w:rPr>
              <w:t xml:space="preserve"> </w:t>
            </w:r>
            <w:r>
              <w:rPr/>
              <w:t>程</w:t>
            </w:r>
          </w:p>
        </w:tc>
        <w:tc>
          <w:tcPr>
            <w:tcW w:w="3071" w:type="dxa"/>
            <w:vAlign w:val="top"/>
          </w:tcPr>
          <w:p>
            <w:pPr>
              <w:pStyle w:val="TableText"/>
              <w:ind w:left="256"/>
              <w:spacing w:before="77" w:line="219" w:lineRule="auto"/>
              <w:rPr/>
            </w:pPr>
            <w:r>
              <w:rPr/>
              <w:t>隐私保护应在法律法规要求和业务需求</w:t>
            </w:r>
          </w:p>
          <w:p>
            <w:pPr>
              <w:pStyle w:val="TableText"/>
              <w:ind w:left="106" w:right="85"/>
              <w:spacing w:before="81" w:line="295" w:lineRule="auto"/>
              <w:rPr/>
            </w:pPr>
            <w:r>
              <w:rPr>
                <w:spacing w:val="-1"/>
              </w:rPr>
              <w:t>之间找到平衡，解决隐私保护问题最好的方</w:t>
            </w:r>
            <w:r>
              <w:rPr>
                <w:spacing w:val="10"/>
              </w:rPr>
              <w:t xml:space="preserve"> </w:t>
            </w:r>
            <w:r>
              <w:rPr/>
              <w:t>法是将隐私保护规则与技术结合起来，采用</w:t>
            </w:r>
            <w:r>
              <w:rPr>
                <w:spacing w:val="17"/>
              </w:rPr>
              <w:t xml:space="preserve"> </w:t>
            </w:r>
            <w:r>
              <w:rPr>
                <w:spacing w:val="-1"/>
              </w:rPr>
              <w:t>匿名保护技术、数字水印技术、密文搜索技</w:t>
            </w:r>
            <w:r>
              <w:rPr>
                <w:spacing w:val="6"/>
              </w:rPr>
              <w:t xml:space="preserve"> </w:t>
            </w:r>
            <w:r>
              <w:rPr>
                <w:spacing w:val="2"/>
              </w:rPr>
              <w:t>术等隐私保护技术</w:t>
            </w:r>
          </w:p>
        </w:tc>
      </w:tr>
      <w:tr>
        <w:trPr>
          <w:trHeight w:val="2106" w:hRule="atLeast"/>
        </w:trPr>
        <w:tc>
          <w:tcPr>
            <w:tcW w:w="1303" w:type="dxa"/>
            <w:vAlign w:val="top"/>
            <w:vMerge w:val="continue"/>
            <w:tcBorders>
              <w:top w:val="nil"/>
            </w:tcBorders>
          </w:tcPr>
          <w:p>
            <w:pPr>
              <w:rPr>
                <w:rFonts w:ascii="Arial"/>
                <w:sz w:val="21"/>
              </w:rPr>
            </w:pPr>
            <w:r/>
          </w:p>
        </w:tc>
        <w:tc>
          <w:tcPr>
            <w:tcW w:w="1478" w:type="dxa"/>
            <w:vAlign w:val="top"/>
            <w:vMerge w:val="continue"/>
            <w:tcBorders>
              <w:top w:val="nil"/>
            </w:tcBorders>
          </w:tcPr>
          <w:p>
            <w:pPr>
              <w:rPr>
                <w:rFonts w:ascii="Arial"/>
                <w:sz w:val="21"/>
              </w:rPr>
            </w:pPr>
            <w:r/>
          </w:p>
        </w:tc>
        <w:tc>
          <w:tcPr>
            <w:tcW w:w="1827" w:type="dxa"/>
            <w:vAlign w:val="top"/>
          </w:tcPr>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23" w:right="289" w:firstLine="130"/>
              <w:spacing w:before="49" w:line="277" w:lineRule="auto"/>
              <w:rPr/>
            </w:pPr>
            <w:r>
              <w:rPr>
                <w:spacing w:val="-1"/>
              </w:rPr>
              <w:t>M5:数据分析过程中</w:t>
            </w:r>
            <w:r>
              <w:rPr>
                <w:spacing w:val="7"/>
              </w:rPr>
              <w:t xml:space="preserve"> </w:t>
            </w:r>
            <w:r>
              <w:rPr>
                <w:spacing w:val="1"/>
              </w:rPr>
              <w:t>的隐私保护规范</w:t>
            </w:r>
          </w:p>
        </w:tc>
        <w:tc>
          <w:tcPr>
            <w:tcW w:w="3071" w:type="dxa"/>
            <w:vAlign w:val="top"/>
          </w:tcPr>
          <w:p>
            <w:pPr>
              <w:pStyle w:val="TableText"/>
              <w:ind w:left="256"/>
              <w:spacing w:before="80" w:line="219" w:lineRule="auto"/>
              <w:rPr/>
            </w:pPr>
            <w:r>
              <w:rPr>
                <w:spacing w:val="-1"/>
              </w:rPr>
              <w:t>组织应制订对使用的数据所涉及的个人</w:t>
            </w:r>
          </w:p>
          <w:p>
            <w:pPr>
              <w:pStyle w:val="TableText"/>
              <w:ind w:left="106" w:right="84"/>
              <w:spacing w:before="80" w:line="304" w:lineRule="auto"/>
              <w:rPr/>
            </w:pPr>
            <w:r>
              <w:rPr>
                <w:spacing w:val="-1"/>
              </w:rPr>
              <w:t>信息进行适当处理的隐私保护规范，规范应</w:t>
            </w:r>
            <w:r>
              <w:rPr>
                <w:spacing w:val="12"/>
              </w:rPr>
              <w:t xml:space="preserve"> </w:t>
            </w:r>
            <w:r>
              <w:rPr>
                <w:spacing w:val="1"/>
              </w:rPr>
              <w:t>包括如下内容：在数据分析前执行数据匿名</w:t>
            </w:r>
            <w:r>
              <w:rPr/>
              <w:t xml:space="preserve"> </w:t>
            </w:r>
            <w:r>
              <w:rPr>
                <w:spacing w:val="-1"/>
              </w:rPr>
              <w:t>化处理，分析人员对匿名化处理后的数据进</w:t>
            </w:r>
            <w:r>
              <w:rPr>
                <w:spacing w:val="11"/>
              </w:rPr>
              <w:t xml:space="preserve"> </w:t>
            </w:r>
            <w:r>
              <w:rPr/>
              <w:t>行分析；明确数据分析过程中与个人隐私相</w:t>
            </w:r>
            <w:r>
              <w:rPr>
                <w:spacing w:val="11"/>
              </w:rPr>
              <w:t xml:space="preserve"> </w:t>
            </w:r>
            <w:r>
              <w:rPr>
                <w:spacing w:val="-1"/>
              </w:rPr>
              <w:t>关的红线，并对涉及到个人隐私的数据分析</w:t>
            </w:r>
            <w:r>
              <w:rPr>
                <w:spacing w:val="9"/>
              </w:rPr>
              <w:t xml:space="preserve"> </w:t>
            </w:r>
            <w:r>
              <w:rPr/>
              <w:t>需求进行人工审核，针对具体的数据分析场</w:t>
            </w:r>
            <w:r>
              <w:rPr>
                <w:spacing w:val="8"/>
              </w:rPr>
              <w:t xml:space="preserve"> </w:t>
            </w:r>
            <w:r>
              <w:rPr/>
              <w:t>景制订相应的隐私保护方案</w:t>
            </w:r>
          </w:p>
        </w:tc>
      </w:tr>
      <w:tr>
        <w:trPr>
          <w:trHeight w:val="1343" w:hRule="atLeast"/>
        </w:trPr>
        <w:tc>
          <w:tcPr>
            <w:tcW w:w="1303" w:type="dxa"/>
            <w:vAlign w:val="top"/>
          </w:tcPr>
          <w:p>
            <w:pPr>
              <w:spacing w:line="303" w:lineRule="auto"/>
              <w:rPr>
                <w:rFonts w:ascii="Arial"/>
                <w:sz w:val="21"/>
              </w:rPr>
            </w:pPr>
            <w:r/>
          </w:p>
          <w:p>
            <w:pPr>
              <w:pStyle w:val="TableText"/>
              <w:ind w:left="104" w:right="135" w:firstLine="149"/>
              <w:spacing w:before="48" w:line="287" w:lineRule="auto"/>
              <w:rPr/>
            </w:pPr>
            <w:r>
              <w:rPr>
                <w:spacing w:val="-1"/>
              </w:rPr>
              <w:t>G3:组织提供</w:t>
            </w:r>
            <w:r>
              <w:rPr/>
              <w:t xml:space="preserve">  </w:t>
            </w:r>
            <w:r>
              <w:rPr/>
              <w:t>可信的隐私数据</w:t>
            </w:r>
            <w:r>
              <w:rPr>
                <w:spacing w:val="1"/>
              </w:rPr>
              <w:t xml:space="preserve"> </w:t>
            </w:r>
            <w:r>
              <w:rPr>
                <w:spacing w:val="-2"/>
              </w:rPr>
              <w:t>保护</w:t>
            </w:r>
          </w:p>
        </w:tc>
        <w:tc>
          <w:tcPr>
            <w:tcW w:w="1478" w:type="dxa"/>
            <w:vAlign w:val="top"/>
          </w:tcPr>
          <w:p>
            <w:pPr>
              <w:spacing w:line="284" w:lineRule="auto"/>
              <w:rPr>
                <w:rFonts w:ascii="Arial"/>
                <w:sz w:val="21"/>
              </w:rPr>
            </w:pPr>
            <w:r/>
          </w:p>
          <w:p>
            <w:pPr>
              <w:pStyle w:val="TableText"/>
              <w:ind w:left="111" w:right="163" w:firstLine="139"/>
              <w:spacing w:before="48" w:line="299" w:lineRule="auto"/>
              <w:rPr/>
            </w:pPr>
            <w:r>
              <w:rPr>
                <w:spacing w:val="-1"/>
              </w:rPr>
              <w:t>Q3:现有的隐私</w:t>
            </w:r>
            <w:r>
              <w:rPr>
                <w:spacing w:val="1"/>
              </w:rPr>
              <w:t xml:space="preserve">  </w:t>
            </w:r>
            <w:r>
              <w:rPr>
                <w:spacing w:val="-1"/>
              </w:rPr>
              <w:t>数据保护策略是否</w:t>
            </w:r>
            <w:r>
              <w:rPr/>
              <w:t xml:space="preserve"> </w:t>
            </w:r>
            <w:r>
              <w:rPr>
                <w:spacing w:val="-2"/>
              </w:rPr>
              <w:t>有效</w:t>
            </w:r>
          </w:p>
        </w:tc>
        <w:tc>
          <w:tcPr>
            <w:tcW w:w="1827" w:type="dxa"/>
            <w:vAlign w:val="top"/>
          </w:tcPr>
          <w:p>
            <w:pPr>
              <w:spacing w:line="276" w:lineRule="auto"/>
              <w:rPr>
                <w:rFonts w:ascii="Arial"/>
                <w:sz w:val="21"/>
              </w:rPr>
            </w:pPr>
            <w:r/>
          </w:p>
          <w:p>
            <w:pPr>
              <w:spacing w:line="276" w:lineRule="auto"/>
              <w:rPr>
                <w:rFonts w:ascii="Arial"/>
                <w:sz w:val="21"/>
              </w:rPr>
            </w:pPr>
            <w:r/>
          </w:p>
          <w:p>
            <w:pPr>
              <w:pStyle w:val="TableText"/>
              <w:ind w:left="123"/>
              <w:spacing w:before="49" w:line="220" w:lineRule="auto"/>
              <w:rPr/>
            </w:pPr>
            <w:r>
              <w:rPr>
                <w:spacing w:val="-1"/>
              </w:rPr>
              <w:t>M6:首席隐私官</w:t>
            </w:r>
          </w:p>
        </w:tc>
        <w:tc>
          <w:tcPr>
            <w:tcW w:w="3071" w:type="dxa"/>
            <w:vAlign w:val="top"/>
          </w:tcPr>
          <w:p>
            <w:pPr>
              <w:pStyle w:val="TableText"/>
              <w:ind w:left="256"/>
              <w:spacing w:before="84" w:line="219" w:lineRule="auto"/>
              <w:rPr/>
            </w:pPr>
            <w:r>
              <w:rPr>
                <w:spacing w:val="-1"/>
              </w:rPr>
              <w:t>组织通过设立的首席隐私官落实梳理组</w:t>
            </w:r>
          </w:p>
          <w:p>
            <w:pPr>
              <w:pStyle w:val="TableText"/>
              <w:ind w:left="106" w:right="90"/>
              <w:spacing w:before="82" w:line="295" w:lineRule="auto"/>
              <w:rPr/>
            </w:pPr>
            <w:r>
              <w:rPr>
                <w:spacing w:val="-1"/>
              </w:rPr>
              <w:t>织所有的隐私保护要求清单，并通过定期跟</w:t>
            </w:r>
            <w:r>
              <w:rPr>
                <w:spacing w:val="9"/>
              </w:rPr>
              <w:t xml:space="preserve"> </w:t>
            </w:r>
            <w:r>
              <w:rPr>
                <w:spacing w:val="-1"/>
              </w:rPr>
              <w:t>进监管机构，更新该要求清单。定期组织对</w:t>
            </w:r>
            <w:r>
              <w:rPr>
                <w:spacing w:val="13"/>
              </w:rPr>
              <w:t xml:space="preserve"> </w:t>
            </w:r>
            <w:r>
              <w:rPr/>
              <w:t>用户信息的有关保护措施进行全面评审，以</w:t>
            </w:r>
            <w:r>
              <w:rPr>
                <w:spacing w:val="12"/>
              </w:rPr>
              <w:t xml:space="preserve"> </w:t>
            </w:r>
            <w:r>
              <w:rPr/>
              <w:t>确保措施的合规性</w:t>
            </w:r>
          </w:p>
        </w:tc>
      </w:tr>
    </w:tbl>
    <w:p>
      <w:pPr>
        <w:pStyle w:val="BodyText"/>
        <w:spacing w:line="243" w:lineRule="auto"/>
        <w:rPr/>
      </w:pPr>
      <w:r/>
    </w:p>
    <w:p>
      <w:pPr>
        <w:ind w:left="458"/>
        <w:spacing w:before="72" w:line="472" w:lineRule="exact"/>
        <w:rPr>
          <w:rFonts w:ascii="YouYuan" w:hAnsi="YouYuan" w:eastAsia="YouYuan" w:cs="YouYuan"/>
          <w:sz w:val="22"/>
          <w:szCs w:val="22"/>
        </w:rPr>
      </w:pPr>
      <w:r>
        <w:rPr>
          <w:rFonts w:ascii="YouYuan" w:hAnsi="YouYuan" w:eastAsia="YouYuan" w:cs="YouYuan"/>
          <w:sz w:val="22"/>
          <w:szCs w:val="22"/>
          <w:b/>
          <w:bCs/>
          <w:spacing w:val="-2"/>
          <w:position w:val="19"/>
        </w:rPr>
        <w:t>3.</w:t>
      </w:r>
      <w:r>
        <w:rPr>
          <w:rFonts w:ascii="YouYuan" w:hAnsi="YouYuan" w:eastAsia="YouYuan" w:cs="YouYuan"/>
          <w:sz w:val="22"/>
          <w:szCs w:val="22"/>
          <w:spacing w:val="-2"/>
          <w:position w:val="19"/>
        </w:rPr>
        <w:t xml:space="preserve"> </w:t>
      </w:r>
      <w:r>
        <w:rPr>
          <w:rFonts w:ascii="YouYuan" w:hAnsi="YouYuan" w:eastAsia="YouYuan" w:cs="YouYuan"/>
          <w:sz w:val="22"/>
          <w:szCs w:val="22"/>
          <w:b/>
          <w:bCs/>
          <w:spacing w:val="-2"/>
          <w:position w:val="19"/>
        </w:rPr>
        <w:t>成熟度等级介绍</w:t>
      </w:r>
    </w:p>
    <w:p>
      <w:pPr>
        <w:ind w:left="454"/>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47"/>
        </w:rPr>
        <w:t xml:space="preserve"> </w:t>
      </w: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6"/>
        </w:rPr>
        <w:t>初始级</w:t>
      </w:r>
    </w:p>
    <w:p>
      <w:pPr>
        <w:spacing w:line="117" w:lineRule="exact"/>
        <w:rPr/>
      </w:pPr>
      <w:r/>
    </w:p>
    <w:tbl>
      <w:tblPr>
        <w:tblStyle w:val="TableNormal"/>
        <w:tblW w:w="7670" w:type="dxa"/>
        <w:tblInd w:w="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70"/>
      </w:tblGrid>
      <w:tr>
        <w:trPr>
          <w:trHeight w:val="359" w:hRule="atLeast"/>
        </w:trPr>
        <w:tc>
          <w:tcPr>
            <w:tcW w:w="74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70"/>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60" w:hRule="atLeast"/>
        </w:trPr>
        <w:tc>
          <w:tcPr>
            <w:tcW w:w="744" w:type="dxa"/>
            <w:vAlign w:val="top"/>
          </w:tcPr>
          <w:p>
            <w:pPr>
              <w:pStyle w:val="TableText"/>
              <w:ind w:left="245"/>
              <w:spacing w:before="142" w:line="184" w:lineRule="auto"/>
              <w:rPr>
                <w:sz w:val="16"/>
                <w:szCs w:val="16"/>
              </w:rPr>
            </w:pPr>
            <w:r>
              <w:rPr>
                <w:sz w:val="16"/>
                <w:szCs w:val="16"/>
                <w:spacing w:val="-5"/>
              </w:rPr>
              <w:t>1.1</w:t>
            </w:r>
          </w:p>
        </w:tc>
        <w:tc>
          <w:tcPr>
            <w:tcW w:w="3156" w:type="dxa"/>
            <w:vAlign w:val="top"/>
          </w:tcPr>
          <w:p>
            <w:pPr>
              <w:pStyle w:val="TableText"/>
              <w:ind w:left="281"/>
              <w:spacing w:before="102" w:line="219" w:lineRule="auto"/>
              <w:rPr>
                <w:sz w:val="16"/>
                <w:szCs w:val="16"/>
              </w:rPr>
            </w:pPr>
            <w:r>
              <w:rPr>
                <w:sz w:val="16"/>
                <w:szCs w:val="16"/>
                <w:spacing w:val="-1"/>
              </w:rPr>
              <w:t>识别组织处理的隐私数据</w:t>
            </w:r>
          </w:p>
        </w:tc>
        <w:tc>
          <w:tcPr>
            <w:tcW w:w="3770" w:type="dxa"/>
            <w:vAlign w:val="top"/>
          </w:tcPr>
          <w:p>
            <w:pPr>
              <w:pStyle w:val="TableText"/>
              <w:ind w:left="275"/>
              <w:spacing w:before="102" w:line="219" w:lineRule="auto"/>
              <w:rPr>
                <w:sz w:val="16"/>
                <w:szCs w:val="16"/>
              </w:rPr>
            </w:pPr>
            <w:r>
              <w:rPr>
                <w:sz w:val="16"/>
                <w:szCs w:val="16"/>
                <w:spacing w:val="1"/>
              </w:rPr>
              <w:t>隐私数据列表</w:t>
            </w:r>
          </w:p>
        </w:tc>
      </w:tr>
    </w:tbl>
    <w:p>
      <w:pPr>
        <w:ind w:left="344"/>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45" w:right="206" w:firstLine="409"/>
        <w:spacing w:before="47" w:line="247" w:lineRule="auto"/>
        <w:rPr>
          <w:rFonts w:ascii="SimSun" w:hAnsi="SimSun" w:eastAsia="SimSun" w:cs="SimSun"/>
          <w:sz w:val="22"/>
          <w:szCs w:val="22"/>
        </w:rPr>
      </w:pPr>
      <w:r>
        <w:rPr>
          <w:rFonts w:ascii="SimSun" w:hAnsi="SimSun" w:eastAsia="SimSun" w:cs="SimSun"/>
          <w:sz w:val="22"/>
          <w:szCs w:val="22"/>
          <w:spacing w:val="-7"/>
        </w:rPr>
        <w:t>隐私不同于安全，隐私涉及一个人决定什么样的</w:t>
      </w:r>
      <w:r>
        <w:rPr>
          <w:rFonts w:ascii="SimSun" w:hAnsi="SimSun" w:eastAsia="SimSun" w:cs="SimSun"/>
          <w:sz w:val="22"/>
          <w:szCs w:val="22"/>
          <w:spacing w:val="-8"/>
        </w:rPr>
        <w:t>信息愿意让其他人知道、哪些</w:t>
      </w:r>
      <w:r>
        <w:rPr>
          <w:rFonts w:ascii="SimSun" w:hAnsi="SimSun" w:eastAsia="SimSun" w:cs="SimSun"/>
          <w:sz w:val="22"/>
          <w:szCs w:val="22"/>
        </w:rPr>
        <w:t xml:space="preserve"> </w:t>
      </w:r>
      <w:r>
        <w:rPr>
          <w:rFonts w:ascii="SimSun" w:hAnsi="SimSun" w:eastAsia="SimSun" w:cs="SimSun"/>
          <w:sz w:val="22"/>
          <w:szCs w:val="22"/>
          <w:spacing w:val="-8"/>
        </w:rPr>
        <w:t>人可以知道以及决定那些人什么时候可以知道的权利，安全则是用来执行这些隐私</w:t>
      </w:r>
      <w:r>
        <w:rPr>
          <w:rFonts w:ascii="SimSun" w:hAnsi="SimSun" w:eastAsia="SimSun" w:cs="SimSun"/>
          <w:sz w:val="22"/>
          <w:szCs w:val="22"/>
          <w:spacing w:val="9"/>
        </w:rPr>
        <w:t xml:space="preserve"> </w:t>
      </w:r>
      <w:r>
        <w:rPr>
          <w:rFonts w:ascii="SimSun" w:hAnsi="SimSun" w:eastAsia="SimSun" w:cs="SimSun"/>
          <w:sz w:val="22"/>
          <w:szCs w:val="22"/>
          <w:spacing w:val="-26"/>
        </w:rPr>
        <w:t>权的“工具”。</w:t>
      </w:r>
    </w:p>
    <w:p>
      <w:pPr>
        <w:ind w:left="45" w:right="128" w:firstLine="409"/>
        <w:spacing w:before="36" w:line="247" w:lineRule="auto"/>
        <w:rPr>
          <w:rFonts w:ascii="SimSun" w:hAnsi="SimSun" w:eastAsia="SimSun" w:cs="SimSun"/>
          <w:sz w:val="22"/>
          <w:szCs w:val="22"/>
        </w:rPr>
      </w:pPr>
      <w:r>
        <w:rPr>
          <w:rFonts w:ascii="SimSun" w:hAnsi="SimSun" w:eastAsia="SimSun" w:cs="SimSun"/>
          <w:sz w:val="22"/>
          <w:szCs w:val="22"/>
          <w:spacing w:val="-11"/>
        </w:rPr>
        <w:t>各国对隐私的定义及隐私保护的法规都有不同，组织应识别所处理</w:t>
      </w:r>
      <w:r>
        <w:rPr>
          <w:rFonts w:ascii="SimSun" w:hAnsi="SimSun" w:eastAsia="SimSun" w:cs="SimSun"/>
          <w:sz w:val="22"/>
          <w:szCs w:val="22"/>
          <w:spacing w:val="-12"/>
        </w:rPr>
        <w:t>的隐私数据。</w:t>
      </w:r>
      <w:r>
        <w:rPr>
          <w:rFonts w:ascii="SimSun" w:hAnsi="SimSun" w:eastAsia="SimSun" w:cs="SimSun"/>
          <w:sz w:val="22"/>
          <w:szCs w:val="22"/>
        </w:rPr>
        <w:t xml:space="preserve"> </w:t>
      </w:r>
      <w:r>
        <w:rPr>
          <w:rFonts w:ascii="SimSun" w:hAnsi="SimSun" w:eastAsia="SimSun" w:cs="SimSun"/>
          <w:sz w:val="22"/>
          <w:szCs w:val="22"/>
          <w:spacing w:val="-8"/>
        </w:rPr>
        <w:t>隐私数据的识别应包括隐私数据定义及隐私数据分析等内容，识别隐私数据时须注 </w:t>
      </w:r>
      <w:r>
        <w:rPr>
          <w:rFonts w:ascii="SimSun" w:hAnsi="SimSun" w:eastAsia="SimSun" w:cs="SimSun"/>
          <w:sz w:val="22"/>
          <w:szCs w:val="22"/>
          <w:spacing w:val="-10"/>
        </w:rPr>
        <w:t>意普通数据的组合等操作有可能将导致隐私数据的形成。</w:t>
      </w:r>
    </w:p>
    <w:p>
      <w:pPr>
        <w:ind w:left="454"/>
        <w:spacing w:before="74"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42"/>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39"/>
          <w:w w:val="101"/>
        </w:rPr>
        <w:t xml:space="preserve"> </w:t>
      </w:r>
      <w:r>
        <w:rPr>
          <w:rFonts w:ascii="SimHei" w:hAnsi="SimHei" w:eastAsia="SimHei" w:cs="SimHei"/>
          <w:sz w:val="22"/>
          <w:szCs w:val="22"/>
          <w:b/>
          <w:bCs/>
          <w:spacing w:val="-3"/>
        </w:rPr>
        <w:t>管理级</w:t>
      </w:r>
    </w:p>
    <w:p>
      <w:pPr>
        <w:spacing w:line="118" w:lineRule="exact"/>
        <w:rPr/>
      </w:pPr>
      <w:r/>
    </w:p>
    <w:tbl>
      <w:tblPr>
        <w:tblStyle w:val="TableNormal"/>
        <w:tblW w:w="7680" w:type="dxa"/>
        <w:tblInd w:w="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80"/>
      </w:tblGrid>
      <w:tr>
        <w:trPr>
          <w:trHeight w:val="351" w:hRule="atLeast"/>
        </w:trPr>
        <w:tc>
          <w:tcPr>
            <w:tcW w:w="744" w:type="dxa"/>
            <w:vAlign w:val="top"/>
          </w:tcPr>
          <w:p>
            <w:pPr>
              <w:pStyle w:val="TableText"/>
              <w:ind w:left="215"/>
              <w:spacing w:before="102" w:line="221" w:lineRule="auto"/>
              <w:rPr/>
            </w:pPr>
            <w:r>
              <w:rPr>
                <w:spacing w:val="-2"/>
              </w:rPr>
              <w:t>序号</w:t>
            </w:r>
          </w:p>
        </w:tc>
        <w:tc>
          <w:tcPr>
            <w:tcW w:w="315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4"/>
              <w:spacing w:before="101" w:line="220" w:lineRule="auto"/>
              <w:rPr/>
            </w:pPr>
            <w:r>
              <w:rPr>
                <w:spacing w:val="-5"/>
              </w:rPr>
              <w:t>实</w:t>
            </w:r>
            <w:r>
              <w:rPr>
                <w:spacing w:val="6"/>
              </w:rPr>
              <w:t xml:space="preserve">    </w:t>
            </w:r>
            <w:r>
              <w:rPr>
                <w:spacing w:val="-5"/>
              </w:rPr>
              <w:t>例</w:t>
            </w:r>
          </w:p>
        </w:tc>
      </w:tr>
      <w:tr>
        <w:trPr>
          <w:trHeight w:val="579" w:hRule="atLeast"/>
        </w:trPr>
        <w:tc>
          <w:tcPr>
            <w:tcW w:w="744" w:type="dxa"/>
            <w:vAlign w:val="top"/>
          </w:tcPr>
          <w:p>
            <w:pPr>
              <w:pStyle w:val="TableText"/>
              <w:ind w:left="245"/>
              <w:spacing w:before="258" w:line="184" w:lineRule="auto"/>
              <w:rPr/>
            </w:pPr>
            <w:r>
              <w:rPr>
                <w:spacing w:val="-2"/>
              </w:rPr>
              <w:t>2.1</w:t>
            </w:r>
          </w:p>
        </w:tc>
        <w:tc>
          <w:tcPr>
            <w:tcW w:w="3156" w:type="dxa"/>
            <w:vAlign w:val="top"/>
          </w:tcPr>
          <w:p>
            <w:pPr>
              <w:pStyle w:val="TableText"/>
              <w:ind w:left="90" w:right="190" w:firstLine="170"/>
              <w:spacing w:before="99" w:line="271" w:lineRule="auto"/>
              <w:rPr/>
            </w:pPr>
            <w:r>
              <w:rPr>
                <w:spacing w:val="-1"/>
              </w:rPr>
              <w:t>采取适当的措施对已识别的隐私数据进行</w:t>
            </w:r>
            <w:r>
              <w:rPr>
                <w:spacing w:val="11"/>
              </w:rPr>
              <w:t xml:space="preserve"> </w:t>
            </w:r>
            <w:r>
              <w:rPr>
                <w:spacing w:val="-2"/>
              </w:rPr>
              <w:t>保护</w:t>
            </w:r>
          </w:p>
        </w:tc>
        <w:tc>
          <w:tcPr>
            <w:tcW w:w="3780" w:type="dxa"/>
            <w:vAlign w:val="top"/>
          </w:tcPr>
          <w:p>
            <w:pPr>
              <w:pStyle w:val="TableText"/>
              <w:ind w:left="274"/>
              <w:spacing w:before="220" w:line="219" w:lineRule="auto"/>
              <w:rPr/>
            </w:pPr>
            <w:r>
              <w:rPr/>
              <w:t>●隐私数据保护技术列表</w:t>
            </w:r>
          </w:p>
        </w:tc>
      </w:tr>
    </w:tbl>
    <w:p>
      <w:pPr>
        <w:pStyle w:val="BodyText"/>
        <w:rPr/>
      </w:pPr>
      <w:r/>
    </w:p>
    <w:p>
      <w:pPr>
        <w:sectPr>
          <w:footerReference w:type="default" r:id="rId446"/>
          <w:pgSz w:w="8870" w:h="13400"/>
          <w:pgMar w:top="400" w:right="521" w:bottom="634" w:left="454" w:header="0" w:footer="416" w:gutter="0"/>
        </w:sectPr>
        <w:rPr/>
      </w:pPr>
    </w:p>
    <w:p>
      <w:pPr>
        <w:ind w:left="139"/>
        <w:spacing w:before="120"/>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310" name="IM 310"/>
            <wp:cNvGraphicFramePr/>
            <a:graphic>
              <a:graphicData uri="http://schemas.openxmlformats.org/drawingml/2006/picture">
                <pic:pic>
                  <pic:nvPicPr>
                    <pic:cNvPr id="310" name="IM 310"/>
                    <pic:cNvPicPr/>
                  </pic:nvPicPr>
                  <pic:blipFill>
                    <a:blip r:embed="rId448"/>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29"/>
          <w:w w:val="97"/>
        </w:rPr>
        <w:t>■云端数据治理■</w:t>
      </w:r>
    </w:p>
    <w:p>
      <w:pPr>
        <w:ind w:left="569"/>
        <w:spacing w:before="289"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107" w:firstLine="400"/>
        <w:spacing w:before="38" w:line="256" w:lineRule="auto"/>
        <w:rPr>
          <w:rFonts w:ascii="SimSun" w:hAnsi="SimSun" w:eastAsia="SimSun" w:cs="SimSun"/>
          <w:sz w:val="22"/>
          <w:szCs w:val="22"/>
        </w:rPr>
      </w:pPr>
      <w:r>
        <w:rPr>
          <w:rFonts w:ascii="SimSun" w:hAnsi="SimSun" w:eastAsia="SimSun" w:cs="SimSun"/>
          <w:sz w:val="22"/>
          <w:szCs w:val="22"/>
          <w:spacing w:val="-14"/>
        </w:rPr>
        <w:t>云计算环境下，个人数据的收集、挖掘、分析变得高效、可靠，但组织如不能对</w:t>
      </w:r>
      <w:r>
        <w:rPr>
          <w:rFonts w:ascii="SimSun" w:hAnsi="SimSun" w:eastAsia="SimSun" w:cs="SimSun"/>
          <w:sz w:val="22"/>
          <w:szCs w:val="22"/>
          <w:spacing w:val="7"/>
        </w:rPr>
        <w:t xml:space="preserve"> </w:t>
      </w:r>
      <w:r>
        <w:rPr>
          <w:rFonts w:ascii="SimSun" w:hAnsi="SimSun" w:eastAsia="SimSun" w:cs="SimSun"/>
          <w:sz w:val="22"/>
          <w:szCs w:val="22"/>
          <w:spacing w:val="-14"/>
        </w:rPr>
        <w:t>海量的敏感信息进行处理和保护，将面临诉讼风险。隐私保护应在法律法规要求和业</w:t>
      </w:r>
      <w:r>
        <w:rPr>
          <w:rFonts w:ascii="SimSun" w:hAnsi="SimSun" w:eastAsia="SimSun" w:cs="SimSun"/>
          <w:sz w:val="22"/>
          <w:szCs w:val="22"/>
          <w:spacing w:val="14"/>
        </w:rPr>
        <w:t xml:space="preserve"> </w:t>
      </w:r>
      <w:r>
        <w:rPr>
          <w:rFonts w:ascii="SimSun" w:hAnsi="SimSun" w:eastAsia="SimSun" w:cs="SimSun"/>
          <w:sz w:val="22"/>
          <w:szCs w:val="22"/>
          <w:spacing w:val="-14"/>
        </w:rPr>
        <w:t>务需求之间找到平衡，解决隐私保护问题最好的方法是将隐私保护规则与</w:t>
      </w:r>
      <w:r>
        <w:rPr>
          <w:rFonts w:ascii="SimSun" w:hAnsi="SimSun" w:eastAsia="SimSun" w:cs="SimSun"/>
          <w:sz w:val="22"/>
          <w:szCs w:val="22"/>
          <w:spacing w:val="-15"/>
        </w:rPr>
        <w:t>技术结合起</w:t>
      </w:r>
      <w:r>
        <w:rPr>
          <w:rFonts w:ascii="SimSun" w:hAnsi="SimSun" w:eastAsia="SimSun" w:cs="SimSun"/>
          <w:sz w:val="22"/>
          <w:szCs w:val="22"/>
        </w:rPr>
        <w:t xml:space="preserve"> </w:t>
      </w:r>
      <w:r>
        <w:rPr>
          <w:rFonts w:ascii="SimSun" w:hAnsi="SimSun" w:eastAsia="SimSun" w:cs="SimSun"/>
          <w:sz w:val="22"/>
          <w:szCs w:val="22"/>
          <w:spacing w:val="-13"/>
        </w:rPr>
        <w:t>来，可以考虑采用匿名保护技术、数字水印技术、密文搜索</w:t>
      </w:r>
      <w:r>
        <w:rPr>
          <w:rFonts w:ascii="SimSun" w:hAnsi="SimSun" w:eastAsia="SimSun" w:cs="SimSun"/>
          <w:sz w:val="22"/>
          <w:szCs w:val="22"/>
          <w:spacing w:val="-14"/>
        </w:rPr>
        <w:t>技术等隐私保护技术。</w:t>
      </w:r>
    </w:p>
    <w:p>
      <w:pPr>
        <w:spacing w:line="116" w:lineRule="exact"/>
        <w:rPr/>
      </w:pPr>
      <w:r/>
    </w:p>
    <w:tbl>
      <w:tblPr>
        <w:tblStyle w:val="TableNormal"/>
        <w:tblW w:w="7670" w:type="dxa"/>
        <w:tblInd w:w="2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60"/>
      </w:tblGrid>
      <w:tr>
        <w:trPr>
          <w:trHeight w:val="341" w:hRule="atLeast"/>
        </w:trPr>
        <w:tc>
          <w:tcPr>
            <w:tcW w:w="744" w:type="dxa"/>
            <w:vAlign w:val="top"/>
          </w:tcPr>
          <w:p>
            <w:pPr>
              <w:pStyle w:val="TableText"/>
              <w:ind w:left="215"/>
              <w:spacing w:before="101" w:line="221" w:lineRule="auto"/>
              <w:rPr/>
            </w:pPr>
            <w:r>
              <w:rPr>
                <w:spacing w:val="-2"/>
              </w:rPr>
              <w:t>序号</w:t>
            </w:r>
          </w:p>
        </w:tc>
        <w:tc>
          <w:tcPr>
            <w:tcW w:w="3166" w:type="dxa"/>
            <w:vAlign w:val="top"/>
          </w:tcPr>
          <w:p>
            <w:pPr>
              <w:pStyle w:val="TableText"/>
              <w:ind w:left="118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4"/>
              <w:spacing w:before="101" w:line="220" w:lineRule="auto"/>
              <w:rPr/>
            </w:pPr>
            <w:r>
              <w:rPr>
                <w:spacing w:val="-5"/>
              </w:rPr>
              <w:t>实</w:t>
            </w:r>
            <w:r>
              <w:rPr>
                <w:spacing w:val="6"/>
              </w:rPr>
              <w:t xml:space="preserve">    </w:t>
            </w:r>
            <w:r>
              <w:rPr>
                <w:spacing w:val="-5"/>
              </w:rPr>
              <w:t>例</w:t>
            </w:r>
          </w:p>
        </w:tc>
      </w:tr>
      <w:tr>
        <w:trPr>
          <w:trHeight w:val="598" w:hRule="atLeast"/>
        </w:trPr>
        <w:tc>
          <w:tcPr>
            <w:tcW w:w="744" w:type="dxa"/>
            <w:vAlign w:val="top"/>
          </w:tcPr>
          <w:p>
            <w:pPr>
              <w:pStyle w:val="TableText"/>
              <w:ind w:left="245"/>
              <w:spacing w:before="268" w:line="183" w:lineRule="auto"/>
              <w:rPr/>
            </w:pPr>
            <w:r>
              <w:rPr>
                <w:spacing w:val="-2"/>
              </w:rPr>
              <w:t>2.2</w:t>
            </w:r>
          </w:p>
        </w:tc>
        <w:tc>
          <w:tcPr>
            <w:tcW w:w="3166" w:type="dxa"/>
            <w:vAlign w:val="top"/>
          </w:tcPr>
          <w:p>
            <w:pPr>
              <w:pStyle w:val="TableText"/>
              <w:ind w:left="271"/>
              <w:spacing w:before="230" w:line="219" w:lineRule="auto"/>
              <w:rPr/>
            </w:pPr>
            <w:r>
              <w:rPr>
                <w:spacing w:val="-1"/>
              </w:rPr>
              <w:t>按最小够用原则收集个人数据</w:t>
            </w:r>
          </w:p>
        </w:tc>
        <w:tc>
          <w:tcPr>
            <w:tcW w:w="3760" w:type="dxa"/>
            <w:vAlign w:val="top"/>
          </w:tcPr>
          <w:p>
            <w:pPr>
              <w:pStyle w:val="TableText"/>
              <w:ind w:left="275"/>
              <w:spacing w:before="90" w:line="219" w:lineRule="auto"/>
              <w:rPr/>
            </w:pPr>
            <w:r>
              <w:rPr/>
              <w:t>●个人数据收集列表</w:t>
            </w:r>
          </w:p>
          <w:p>
            <w:pPr>
              <w:pStyle w:val="TableText"/>
              <w:ind w:left="275"/>
              <w:spacing w:before="110" w:line="218" w:lineRule="auto"/>
              <w:rPr/>
            </w:pPr>
            <w:r>
              <w:rPr/>
              <w:t>●个人数据收集评估制度</w:t>
            </w:r>
          </w:p>
        </w:tc>
      </w:tr>
    </w:tbl>
    <w:p>
      <w:pPr>
        <w:ind w:left="569"/>
        <w:spacing w:before="19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107" w:firstLine="400"/>
        <w:spacing w:before="25" w:line="253" w:lineRule="auto"/>
        <w:rPr>
          <w:rFonts w:ascii="SimSun" w:hAnsi="SimSun" w:eastAsia="SimSun" w:cs="SimSun"/>
          <w:sz w:val="22"/>
          <w:szCs w:val="22"/>
        </w:rPr>
      </w:pPr>
      <w:r>
        <w:rPr>
          <w:rFonts w:ascii="SimSun" w:hAnsi="SimSun" w:eastAsia="SimSun" w:cs="SimSun"/>
          <w:sz w:val="22"/>
          <w:szCs w:val="22"/>
          <w:spacing w:val="-8"/>
        </w:rPr>
        <w:t>在涉及个人数据收集的业务场景中建立固定的评估机制，由了解相关法律法规</w:t>
      </w:r>
      <w:r>
        <w:rPr>
          <w:rFonts w:ascii="SimSun" w:hAnsi="SimSun" w:eastAsia="SimSun" w:cs="SimSun"/>
          <w:sz w:val="22"/>
          <w:szCs w:val="22"/>
          <w:spacing w:val="10"/>
        </w:rPr>
        <w:t xml:space="preserve"> </w:t>
      </w:r>
      <w:r>
        <w:rPr>
          <w:rFonts w:ascii="SimSun" w:hAnsi="SimSun" w:eastAsia="SimSun" w:cs="SimSun"/>
          <w:sz w:val="22"/>
          <w:szCs w:val="22"/>
          <w:spacing w:val="-8"/>
        </w:rPr>
        <w:t>风险的人员参与对业务场景的评估。业务场景中对个人数据的收集不应超出业务所</w:t>
      </w:r>
      <w:r>
        <w:rPr>
          <w:rFonts w:ascii="SimSun" w:hAnsi="SimSun" w:eastAsia="SimSun" w:cs="SimSun"/>
          <w:sz w:val="22"/>
          <w:szCs w:val="22"/>
          <w:spacing w:val="4"/>
        </w:rPr>
        <w:t xml:space="preserve"> </w:t>
      </w:r>
      <w:r>
        <w:rPr>
          <w:rFonts w:ascii="SimSun" w:hAnsi="SimSun" w:eastAsia="SimSun" w:cs="SimSun"/>
          <w:sz w:val="22"/>
          <w:szCs w:val="22"/>
          <w:spacing w:val="-12"/>
        </w:rPr>
        <w:t>需的范围，应满足最小够用原则。</w:t>
      </w:r>
    </w:p>
    <w:p>
      <w:pPr>
        <w:ind w:left="679"/>
        <w:spacing w:before="53"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5"/>
        </w:rPr>
        <w:t>定义级</w:t>
      </w:r>
    </w:p>
    <w:p>
      <w:pPr>
        <w:spacing w:line="117" w:lineRule="exact"/>
        <w:rPr/>
      </w:pPr>
      <w:r/>
    </w:p>
    <w:tbl>
      <w:tblPr>
        <w:tblStyle w:val="TableNormal"/>
        <w:tblW w:w="7680"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3146"/>
        <w:gridCol w:w="3770"/>
      </w:tblGrid>
      <w:tr>
        <w:trPr>
          <w:trHeight w:val="341" w:hRule="atLeast"/>
        </w:trPr>
        <w:tc>
          <w:tcPr>
            <w:tcW w:w="764" w:type="dxa"/>
            <w:vAlign w:val="top"/>
          </w:tcPr>
          <w:p>
            <w:pPr>
              <w:pStyle w:val="TableText"/>
              <w:ind w:left="214"/>
              <w:spacing w:before="92" w:line="221" w:lineRule="auto"/>
              <w:rPr>
                <w:sz w:val="16"/>
                <w:szCs w:val="16"/>
              </w:rPr>
            </w:pPr>
            <w:r>
              <w:rPr>
                <w:sz w:val="16"/>
                <w:szCs w:val="16"/>
                <w:spacing w:val="-2"/>
              </w:rPr>
              <w:t>序号</w:t>
            </w:r>
          </w:p>
        </w:tc>
        <w:tc>
          <w:tcPr>
            <w:tcW w:w="3146" w:type="dxa"/>
            <w:vAlign w:val="top"/>
          </w:tcPr>
          <w:p>
            <w:pPr>
              <w:pStyle w:val="TableText"/>
              <w:ind w:left="1151"/>
              <w:spacing w:before="91" w:line="219" w:lineRule="auto"/>
              <w:rPr>
                <w:sz w:val="16"/>
                <w:szCs w:val="16"/>
              </w:rPr>
            </w:pPr>
            <w:r>
              <w:rPr>
                <w:sz w:val="16"/>
                <w:szCs w:val="16"/>
                <w:spacing w:val="-4"/>
              </w:rPr>
              <w:t>等 级 要 求</w:t>
            </w:r>
          </w:p>
        </w:tc>
        <w:tc>
          <w:tcPr>
            <w:tcW w:w="3770" w:type="dxa"/>
            <w:vAlign w:val="top"/>
          </w:tcPr>
          <w:p>
            <w:pPr>
              <w:pStyle w:val="TableText"/>
              <w:ind w:left="159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64" w:type="dxa"/>
            <w:vAlign w:val="top"/>
          </w:tcPr>
          <w:p>
            <w:pPr>
              <w:pStyle w:val="TableText"/>
              <w:ind w:left="254"/>
              <w:spacing w:before="271" w:line="184" w:lineRule="auto"/>
              <w:rPr>
                <w:sz w:val="16"/>
                <w:szCs w:val="16"/>
              </w:rPr>
            </w:pPr>
            <w:r>
              <w:rPr>
                <w:sz w:val="16"/>
                <w:szCs w:val="16"/>
                <w:spacing w:val="-3"/>
              </w:rPr>
              <w:t>3.1</w:t>
            </w:r>
          </w:p>
        </w:tc>
        <w:tc>
          <w:tcPr>
            <w:tcW w:w="3146" w:type="dxa"/>
            <w:vAlign w:val="top"/>
          </w:tcPr>
          <w:p>
            <w:pPr>
              <w:pStyle w:val="TableText"/>
              <w:ind w:left="271"/>
              <w:spacing w:before="230" w:line="219" w:lineRule="auto"/>
              <w:rPr>
                <w:sz w:val="16"/>
                <w:szCs w:val="16"/>
              </w:rPr>
            </w:pPr>
            <w:r>
              <w:rPr>
                <w:sz w:val="16"/>
                <w:szCs w:val="16"/>
                <w:spacing w:val="-1"/>
              </w:rPr>
              <w:t>建立和维护隐私数据保护管理策略</w:t>
            </w:r>
          </w:p>
        </w:tc>
        <w:tc>
          <w:tcPr>
            <w:tcW w:w="3770" w:type="dxa"/>
            <w:vAlign w:val="top"/>
          </w:tcPr>
          <w:p>
            <w:pPr>
              <w:pStyle w:val="TableText"/>
              <w:ind w:left="275"/>
              <w:spacing w:before="110" w:line="219" w:lineRule="auto"/>
              <w:rPr>
                <w:sz w:val="16"/>
                <w:szCs w:val="16"/>
              </w:rPr>
            </w:pPr>
            <w:r>
              <w:rPr>
                <w:sz w:val="16"/>
                <w:szCs w:val="16"/>
              </w:rPr>
              <w:t>●隐私数据保护策略</w:t>
            </w:r>
          </w:p>
          <w:p>
            <w:pPr>
              <w:pStyle w:val="TableText"/>
              <w:ind w:left="275"/>
              <w:spacing w:before="100" w:line="219" w:lineRule="auto"/>
              <w:rPr>
                <w:sz w:val="16"/>
                <w:szCs w:val="16"/>
              </w:rPr>
            </w:pPr>
            <w:r>
              <w:rPr>
                <w:sz w:val="16"/>
                <w:szCs w:val="16"/>
                <w:spacing w:val="2"/>
              </w:rPr>
              <w:t>●隐私数据技术保护操作指引</w:t>
            </w:r>
          </w:p>
        </w:tc>
      </w:tr>
    </w:tbl>
    <w:p>
      <w:pPr>
        <w:ind w:left="569"/>
        <w:spacing w:before="185"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105" w:firstLine="400"/>
        <w:spacing w:before="37" w:line="245" w:lineRule="auto"/>
        <w:rPr>
          <w:rFonts w:ascii="SimSun" w:hAnsi="SimSun" w:eastAsia="SimSun" w:cs="SimSun"/>
          <w:sz w:val="22"/>
          <w:szCs w:val="22"/>
        </w:rPr>
      </w:pPr>
      <w:r>
        <w:rPr>
          <w:rFonts w:ascii="SimSun" w:hAnsi="SimSun" w:eastAsia="SimSun" w:cs="SimSun"/>
          <w:sz w:val="22"/>
          <w:szCs w:val="22"/>
          <w:spacing w:val="-7"/>
        </w:rPr>
        <w:t>鉴于云端用户个人信息的重要敏感性，组织应建立个人信息保护规程</w:t>
      </w:r>
      <w:r>
        <w:rPr>
          <w:rFonts w:ascii="SimSun" w:hAnsi="SimSun" w:eastAsia="SimSun" w:cs="SimSun"/>
          <w:sz w:val="22"/>
          <w:szCs w:val="22"/>
          <w:spacing w:val="-8"/>
        </w:rPr>
        <w:t>。相关内</w:t>
      </w:r>
      <w:r>
        <w:rPr>
          <w:rFonts w:ascii="SimSun" w:hAnsi="SimSun" w:eastAsia="SimSun" w:cs="SimSun"/>
          <w:sz w:val="22"/>
          <w:szCs w:val="22"/>
        </w:rPr>
        <w:t xml:space="preserve"> </w:t>
      </w:r>
      <w:r>
        <w:rPr>
          <w:rFonts w:ascii="SimSun" w:hAnsi="SimSun" w:eastAsia="SimSun" w:cs="SimSun"/>
          <w:sz w:val="22"/>
          <w:szCs w:val="22"/>
          <w:spacing w:val="-10"/>
        </w:rPr>
        <w:t>容应包括：</w:t>
      </w:r>
    </w:p>
    <w:p>
      <w:pPr>
        <w:ind w:left="679"/>
        <w:spacing w:before="48" w:line="219" w:lineRule="auto"/>
        <w:rPr>
          <w:rFonts w:ascii="SimSun" w:hAnsi="SimSun" w:eastAsia="SimSun" w:cs="SimSun"/>
          <w:sz w:val="22"/>
          <w:szCs w:val="22"/>
        </w:rPr>
      </w:pPr>
      <w:r>
        <w:rPr>
          <w:rFonts w:ascii="SimSun" w:hAnsi="SimSun" w:eastAsia="SimSun" w:cs="SimSun"/>
          <w:sz w:val="22"/>
          <w:szCs w:val="22"/>
          <w:spacing w:val="-8"/>
        </w:rPr>
        <w:t>●在收集、使用或披露个人信息时要获取对方同意；</w:t>
      </w:r>
    </w:p>
    <w:p>
      <w:pPr>
        <w:ind w:left="679"/>
        <w:spacing w:before="59" w:line="219" w:lineRule="auto"/>
        <w:rPr>
          <w:rFonts w:ascii="SimSun" w:hAnsi="SimSun" w:eastAsia="SimSun" w:cs="SimSun"/>
          <w:sz w:val="22"/>
          <w:szCs w:val="22"/>
        </w:rPr>
      </w:pPr>
      <w:r>
        <w:rPr>
          <w:rFonts w:ascii="SimSun" w:hAnsi="SimSun" w:eastAsia="SimSun" w:cs="SimSun"/>
          <w:sz w:val="22"/>
          <w:szCs w:val="22"/>
          <w:spacing w:val="-8"/>
        </w:rPr>
        <w:t>●在法律允许的范围内公正的收集信息；</w:t>
      </w:r>
    </w:p>
    <w:p>
      <w:pPr>
        <w:ind w:left="679"/>
        <w:spacing w:before="59" w:line="219" w:lineRule="auto"/>
        <w:rPr>
          <w:rFonts w:ascii="SimSun" w:hAnsi="SimSun" w:eastAsia="SimSun" w:cs="SimSun"/>
          <w:sz w:val="22"/>
          <w:szCs w:val="22"/>
        </w:rPr>
      </w:pPr>
      <w:r>
        <w:rPr>
          <w:rFonts w:ascii="SimSun" w:hAnsi="SimSun" w:eastAsia="SimSun" w:cs="SimSun"/>
          <w:sz w:val="22"/>
          <w:szCs w:val="22"/>
          <w:spacing w:val="-8"/>
        </w:rPr>
        <w:t>●制订明确、易懂的个人信息保护政策。</w:t>
      </w:r>
    </w:p>
    <w:p>
      <w:pPr>
        <w:spacing w:line="115" w:lineRule="exact"/>
        <w:rPr/>
      </w:pPr>
      <w:r/>
    </w:p>
    <w:tbl>
      <w:tblPr>
        <w:tblStyle w:val="TableNormal"/>
        <w:tblW w:w="768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76"/>
        <w:gridCol w:w="3760"/>
      </w:tblGrid>
      <w:tr>
        <w:trPr>
          <w:trHeight w:val="351" w:hRule="atLeast"/>
        </w:trPr>
        <w:tc>
          <w:tcPr>
            <w:tcW w:w="744" w:type="dxa"/>
            <w:vAlign w:val="top"/>
          </w:tcPr>
          <w:p>
            <w:pPr>
              <w:pStyle w:val="TableText"/>
              <w:ind w:left="214"/>
              <w:spacing w:before="102" w:line="221" w:lineRule="auto"/>
              <w:rPr/>
            </w:pPr>
            <w:r>
              <w:rPr>
                <w:spacing w:val="-2"/>
              </w:rPr>
              <w:t>序号</w:t>
            </w:r>
          </w:p>
        </w:tc>
        <w:tc>
          <w:tcPr>
            <w:tcW w:w="317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60" w:type="dxa"/>
            <w:vAlign w:val="top"/>
          </w:tcPr>
          <w:p>
            <w:pPr>
              <w:pStyle w:val="TableText"/>
              <w:ind w:left="1574"/>
              <w:spacing w:before="101" w:line="220" w:lineRule="auto"/>
              <w:rPr/>
            </w:pPr>
            <w:r>
              <w:rPr>
                <w:spacing w:val="-5"/>
              </w:rPr>
              <w:t>实</w:t>
            </w:r>
            <w:r>
              <w:rPr>
                <w:spacing w:val="1"/>
              </w:rPr>
              <w:t xml:space="preserve">   </w:t>
            </w:r>
            <w:r>
              <w:rPr>
                <w:spacing w:val="-5"/>
              </w:rPr>
              <w:t>例</w:t>
            </w:r>
          </w:p>
        </w:tc>
      </w:tr>
      <w:tr>
        <w:trPr>
          <w:trHeight w:val="589" w:hRule="atLeast"/>
        </w:trPr>
        <w:tc>
          <w:tcPr>
            <w:tcW w:w="744" w:type="dxa"/>
            <w:vAlign w:val="top"/>
          </w:tcPr>
          <w:p>
            <w:pPr>
              <w:pStyle w:val="TableText"/>
              <w:ind w:left="244"/>
              <w:spacing w:before="258" w:line="183" w:lineRule="auto"/>
              <w:rPr/>
            </w:pPr>
            <w:r>
              <w:rPr>
                <w:spacing w:val="-2"/>
              </w:rPr>
              <w:t>3.2</w:t>
            </w:r>
          </w:p>
        </w:tc>
        <w:tc>
          <w:tcPr>
            <w:tcW w:w="3176" w:type="dxa"/>
            <w:vAlign w:val="top"/>
          </w:tcPr>
          <w:p>
            <w:pPr>
              <w:pStyle w:val="TableText"/>
              <w:ind w:left="101" w:right="190" w:firstLine="179"/>
              <w:spacing w:before="100" w:line="274" w:lineRule="auto"/>
              <w:rPr/>
            </w:pPr>
            <w:r>
              <w:rPr>
                <w:spacing w:val="-1"/>
              </w:rPr>
              <w:t>执行个人数据收集的业务场景的安全风险</w:t>
            </w:r>
            <w:r>
              <w:rPr>
                <w:spacing w:val="11"/>
              </w:rPr>
              <w:t xml:space="preserve"> </w:t>
            </w:r>
            <w:r>
              <w:rPr>
                <w:spacing w:val="-2"/>
              </w:rPr>
              <w:t>评估</w:t>
            </w:r>
          </w:p>
        </w:tc>
        <w:tc>
          <w:tcPr>
            <w:tcW w:w="3760" w:type="dxa"/>
            <w:vAlign w:val="top"/>
          </w:tcPr>
          <w:p>
            <w:pPr>
              <w:pStyle w:val="TableText"/>
              <w:ind w:left="265"/>
              <w:spacing w:before="218" w:line="218" w:lineRule="auto"/>
              <w:rPr/>
            </w:pPr>
            <w:r>
              <w:rPr/>
              <w:t>●针对个人数据收集的风险评估报告</w:t>
            </w:r>
          </w:p>
        </w:tc>
      </w:tr>
    </w:tbl>
    <w:p>
      <w:pPr>
        <w:ind w:left="569"/>
        <w:spacing w:before="184" w:line="219" w:lineRule="auto"/>
        <w:rPr>
          <w:rFonts w:ascii="SimSun" w:hAnsi="SimSun" w:eastAsia="SimSun" w:cs="SimSun"/>
          <w:sz w:val="22"/>
          <w:szCs w:val="22"/>
        </w:rPr>
      </w:pPr>
      <w:r>
        <w:rPr>
          <w:rFonts w:ascii="SimSun" w:hAnsi="SimSun" w:eastAsia="SimSun" w:cs="SimSun"/>
          <w:sz w:val="22"/>
          <w:szCs w:val="22"/>
          <w:spacing w:val="-7"/>
        </w:rPr>
        <w:t>【成熟度等级说明】</w:t>
      </w:r>
    </w:p>
    <w:p>
      <w:pPr>
        <w:ind w:left="279" w:right="99" w:firstLine="400"/>
        <w:spacing w:before="57" w:line="246" w:lineRule="auto"/>
        <w:rPr>
          <w:rFonts w:ascii="SimSun" w:hAnsi="SimSun" w:eastAsia="SimSun" w:cs="SimSun"/>
          <w:sz w:val="22"/>
          <w:szCs w:val="22"/>
        </w:rPr>
      </w:pPr>
      <w:r>
        <w:rPr>
          <w:rFonts w:ascii="SimSun" w:hAnsi="SimSun" w:eastAsia="SimSun" w:cs="SimSun"/>
          <w:sz w:val="22"/>
          <w:szCs w:val="22"/>
          <w:spacing w:val="-8"/>
        </w:rPr>
        <w:t>在进行恰当保护之前，必须先研究和评估资产面临的脆弱性及其级别，这样才</w:t>
      </w:r>
      <w:r>
        <w:rPr>
          <w:rFonts w:ascii="SimSun" w:hAnsi="SimSun" w:eastAsia="SimSun" w:cs="SimSun"/>
          <w:sz w:val="22"/>
          <w:szCs w:val="22"/>
          <w:spacing w:val="10"/>
        </w:rPr>
        <w:t xml:space="preserve"> </w:t>
      </w:r>
      <w:r>
        <w:rPr>
          <w:rFonts w:ascii="SimSun" w:hAnsi="SimSun" w:eastAsia="SimSun" w:cs="SimSun"/>
          <w:sz w:val="22"/>
          <w:szCs w:val="22"/>
          <w:spacing w:val="-8"/>
        </w:rPr>
        <w:t>能确定和实现真正有效的控制和防范措施。因此，组织应基于组织中个人数据保护</w:t>
      </w:r>
      <w:r>
        <w:rPr>
          <w:rFonts w:ascii="SimSun" w:hAnsi="SimSun" w:eastAsia="SimSun" w:cs="SimSun"/>
          <w:sz w:val="22"/>
          <w:szCs w:val="22"/>
          <w:spacing w:val="12"/>
        </w:rPr>
        <w:t xml:space="preserve"> </w:t>
      </w:r>
      <w:r>
        <w:rPr>
          <w:rFonts w:ascii="SimSun" w:hAnsi="SimSun" w:eastAsia="SimSun" w:cs="SimSun"/>
          <w:sz w:val="22"/>
          <w:szCs w:val="22"/>
          <w:spacing w:val="-10"/>
        </w:rPr>
        <w:t>原则，由个人数据保护团队执行个人数据收集的业务场景的安全风险评估。</w:t>
      </w:r>
    </w:p>
    <w:p>
      <w:pPr>
        <w:spacing w:line="128" w:lineRule="exact"/>
        <w:rPr/>
      </w:pPr>
      <w:r/>
    </w:p>
    <w:tbl>
      <w:tblPr>
        <w:tblStyle w:val="TableNormal"/>
        <w:tblW w:w="7690" w:type="dxa"/>
        <w:tblInd w:w="3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66"/>
        <w:gridCol w:w="3770"/>
      </w:tblGrid>
      <w:tr>
        <w:trPr>
          <w:trHeight w:val="351" w:hRule="atLeast"/>
        </w:trPr>
        <w:tc>
          <w:tcPr>
            <w:tcW w:w="754" w:type="dxa"/>
            <w:vAlign w:val="top"/>
          </w:tcPr>
          <w:p>
            <w:pPr>
              <w:pStyle w:val="TableText"/>
              <w:ind w:left="205"/>
              <w:spacing w:before="102" w:line="221" w:lineRule="auto"/>
              <w:rPr>
                <w:sz w:val="16"/>
                <w:szCs w:val="16"/>
              </w:rPr>
            </w:pPr>
            <w:r>
              <w:rPr>
                <w:sz w:val="16"/>
                <w:szCs w:val="16"/>
                <w:spacing w:val="-2"/>
              </w:rPr>
              <w:t>序号</w:t>
            </w:r>
          </w:p>
        </w:tc>
        <w:tc>
          <w:tcPr>
            <w:tcW w:w="3166" w:type="dxa"/>
            <w:vAlign w:val="top"/>
          </w:tcPr>
          <w:p>
            <w:pPr>
              <w:pStyle w:val="TableText"/>
              <w:ind w:left="1150"/>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9" w:hRule="atLeast"/>
        </w:trPr>
        <w:tc>
          <w:tcPr>
            <w:tcW w:w="754" w:type="dxa"/>
            <w:vAlign w:val="top"/>
          </w:tcPr>
          <w:p>
            <w:pPr>
              <w:pStyle w:val="TableText"/>
              <w:ind w:left="245"/>
              <w:spacing w:before="261" w:line="183" w:lineRule="auto"/>
              <w:rPr>
                <w:sz w:val="16"/>
                <w:szCs w:val="16"/>
              </w:rPr>
            </w:pPr>
            <w:r>
              <w:rPr>
                <w:sz w:val="16"/>
                <w:szCs w:val="16"/>
                <w:spacing w:val="-3"/>
              </w:rPr>
              <w:t>3.3</w:t>
            </w:r>
          </w:p>
        </w:tc>
        <w:tc>
          <w:tcPr>
            <w:tcW w:w="3166" w:type="dxa"/>
            <w:vAlign w:val="top"/>
          </w:tcPr>
          <w:p>
            <w:pPr>
              <w:pStyle w:val="TableText"/>
              <w:ind w:left="101" w:right="233" w:firstLine="109"/>
              <w:spacing w:before="101" w:line="273" w:lineRule="auto"/>
              <w:rPr>
                <w:sz w:val="16"/>
                <w:szCs w:val="16"/>
              </w:rPr>
            </w:pPr>
            <w:r>
              <w:rPr>
                <w:sz w:val="16"/>
                <w:szCs w:val="16"/>
                <w:spacing w:val="-1"/>
              </w:rPr>
              <w:t>组织制订了数据分析过程中的隐私保护</w:t>
            </w:r>
            <w:r>
              <w:rPr>
                <w:sz w:val="16"/>
                <w:szCs w:val="16"/>
                <w:spacing w:val="7"/>
              </w:rPr>
              <w:t xml:space="preserve"> </w:t>
            </w:r>
            <w:r>
              <w:rPr>
                <w:sz w:val="16"/>
                <w:szCs w:val="16"/>
                <w:spacing w:val="-2"/>
              </w:rPr>
              <w:t>规范</w:t>
            </w:r>
          </w:p>
        </w:tc>
        <w:tc>
          <w:tcPr>
            <w:tcW w:w="3770" w:type="dxa"/>
            <w:vAlign w:val="top"/>
          </w:tcPr>
          <w:p>
            <w:pPr>
              <w:pStyle w:val="TableText"/>
              <w:ind w:left="265"/>
              <w:spacing w:before="220" w:line="219" w:lineRule="auto"/>
              <w:rPr>
                <w:sz w:val="16"/>
                <w:szCs w:val="16"/>
              </w:rPr>
            </w:pPr>
            <w:r>
              <w:rPr>
                <w:sz w:val="16"/>
                <w:szCs w:val="16"/>
              </w:rPr>
              <w:t>●数据分析过程隐私保护规范</w:t>
            </w:r>
          </w:p>
        </w:tc>
      </w:tr>
    </w:tbl>
    <w:p>
      <w:pPr>
        <w:pStyle w:val="BodyText"/>
        <w:rPr/>
      </w:pPr>
      <w:r/>
    </w:p>
    <w:p>
      <w:pPr>
        <w:sectPr>
          <w:footerReference w:type="default" r:id="rId447"/>
          <w:pgSz w:w="8870" w:h="13400"/>
          <w:pgMar w:top="400" w:right="374" w:bottom="594" w:left="470" w:header="0" w:footer="376" w:gutter="0"/>
        </w:sectPr>
        <w:rPr/>
      </w:pPr>
    </w:p>
    <w:p>
      <w:pPr>
        <w:ind w:left="5733"/>
        <w:spacing w:before="264" w:line="219" w:lineRule="auto"/>
        <w:rPr>
          <w:rFonts w:ascii="SimSun" w:hAnsi="SimSun" w:eastAsia="SimSun" w:cs="SimSun"/>
          <w:sz w:val="22"/>
          <w:szCs w:val="22"/>
        </w:rPr>
      </w:pPr>
      <w:r>
        <w:rPr>
          <w:rFonts w:ascii="SimSun" w:hAnsi="SimSun" w:eastAsia="SimSun" w:cs="SimSun"/>
          <w:sz w:val="22"/>
          <w:szCs w:val="22"/>
          <w:b/>
          <w:bCs/>
          <w:spacing w:val="9"/>
        </w:rPr>
        <w:t>第9章■安全与隐私</w:t>
      </w:r>
    </w:p>
    <w:p>
      <w:pPr>
        <w:ind w:left="320"/>
        <w:spacing w:before="293"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46" w:firstLine="430"/>
        <w:spacing w:before="38" w:line="244" w:lineRule="auto"/>
        <w:rPr>
          <w:rFonts w:ascii="SimSun" w:hAnsi="SimSun" w:eastAsia="SimSun" w:cs="SimSun"/>
          <w:sz w:val="22"/>
          <w:szCs w:val="22"/>
        </w:rPr>
      </w:pPr>
      <w:r>
        <w:rPr>
          <w:rFonts w:ascii="SimSun" w:hAnsi="SimSun" w:eastAsia="SimSun" w:cs="SimSun"/>
          <w:sz w:val="22"/>
          <w:szCs w:val="22"/>
          <w:spacing w:val="-8"/>
        </w:rPr>
        <w:t>组织应制订对使用数据所涉及的个人信息进行适当处理的隐私保护规范，规范</w:t>
      </w:r>
      <w:r>
        <w:rPr>
          <w:rFonts w:ascii="SimSun" w:hAnsi="SimSun" w:eastAsia="SimSun" w:cs="SimSun"/>
          <w:sz w:val="22"/>
          <w:szCs w:val="22"/>
          <w:spacing w:val="13"/>
        </w:rPr>
        <w:t xml:space="preserve"> </w:t>
      </w:r>
      <w:r>
        <w:rPr>
          <w:rFonts w:ascii="SimSun" w:hAnsi="SimSun" w:eastAsia="SimSun" w:cs="SimSun"/>
          <w:sz w:val="22"/>
          <w:szCs w:val="22"/>
          <w:spacing w:val="-16"/>
        </w:rPr>
        <w:t>应包括如下内容：</w:t>
      </w:r>
    </w:p>
    <w:p>
      <w:pPr>
        <w:ind w:left="430"/>
        <w:spacing w:before="59" w:line="219" w:lineRule="auto"/>
        <w:rPr>
          <w:rFonts w:ascii="SimSun" w:hAnsi="SimSun" w:eastAsia="SimSun" w:cs="SimSun"/>
          <w:sz w:val="22"/>
          <w:szCs w:val="22"/>
        </w:rPr>
      </w:pPr>
      <w:r>
        <w:rPr>
          <w:rFonts w:ascii="SimSun" w:hAnsi="SimSun" w:eastAsia="SimSun" w:cs="SimSun"/>
          <w:sz w:val="22"/>
          <w:szCs w:val="22"/>
          <w:spacing w:val="-17"/>
        </w:rPr>
        <w:t>●在数据分析前执行数据匿名化处理，分析人员对匿名</w:t>
      </w:r>
      <w:r>
        <w:rPr>
          <w:rFonts w:ascii="SimSun" w:hAnsi="SimSun" w:eastAsia="SimSun" w:cs="SimSun"/>
          <w:sz w:val="22"/>
          <w:szCs w:val="22"/>
          <w:spacing w:val="-18"/>
        </w:rPr>
        <w:t>化处理后的数据进行分析；</w:t>
      </w:r>
    </w:p>
    <w:p>
      <w:pPr>
        <w:ind w:left="430"/>
        <w:spacing w:before="29" w:line="219" w:lineRule="auto"/>
        <w:rPr>
          <w:rFonts w:ascii="SimSun" w:hAnsi="SimSun" w:eastAsia="SimSun" w:cs="SimSun"/>
          <w:sz w:val="22"/>
          <w:szCs w:val="22"/>
        </w:rPr>
      </w:pPr>
      <w:r>
        <w:rPr>
          <w:rFonts w:ascii="SimSun" w:hAnsi="SimSun" w:eastAsia="SimSun" w:cs="SimSun"/>
          <w:sz w:val="22"/>
          <w:szCs w:val="22"/>
          <w:spacing w:val="-8"/>
        </w:rPr>
        <w:t>●明确数据分析过程中与个人隐私相关的红线，并对涉及个人隐私的数据分析</w:t>
      </w:r>
    </w:p>
    <w:p>
      <w:pPr>
        <w:ind w:left="700"/>
        <w:spacing w:before="68" w:line="219" w:lineRule="auto"/>
        <w:rPr>
          <w:rFonts w:ascii="SimSun" w:hAnsi="SimSun" w:eastAsia="SimSun" w:cs="SimSun"/>
          <w:sz w:val="22"/>
          <w:szCs w:val="22"/>
        </w:rPr>
      </w:pPr>
      <w:r>
        <w:rPr>
          <w:rFonts w:ascii="SimSun" w:hAnsi="SimSun" w:eastAsia="SimSun" w:cs="SimSun"/>
          <w:sz w:val="22"/>
          <w:szCs w:val="22"/>
          <w:spacing w:val="-10"/>
        </w:rPr>
        <w:t>需求进行人工审核，针对具体的数据分析场景制订相应的隐私保护方案。</w:t>
      </w:r>
    </w:p>
    <w:p>
      <w:pPr>
        <w:ind w:right="242" w:firstLine="430"/>
        <w:spacing w:before="39" w:line="249" w:lineRule="auto"/>
        <w:rPr>
          <w:rFonts w:ascii="SimSun" w:hAnsi="SimSun" w:eastAsia="SimSun" w:cs="SimSun"/>
          <w:sz w:val="22"/>
          <w:szCs w:val="22"/>
        </w:rPr>
      </w:pPr>
      <w:r>
        <w:rPr>
          <w:rFonts w:ascii="SimSun" w:hAnsi="SimSun" w:eastAsia="SimSun" w:cs="SimSun"/>
          <w:sz w:val="22"/>
          <w:szCs w:val="22"/>
          <w:spacing w:val="-8"/>
        </w:rPr>
        <w:t>组织应将该规范的内容在组织内部进行宣导，保证组织对相关要求内容理解的</w:t>
      </w:r>
      <w:r>
        <w:rPr>
          <w:rFonts w:ascii="SimSun" w:hAnsi="SimSun" w:eastAsia="SimSun" w:cs="SimSun"/>
          <w:sz w:val="22"/>
          <w:szCs w:val="22"/>
          <w:spacing w:val="17"/>
        </w:rPr>
        <w:t xml:space="preserve"> </w:t>
      </w:r>
      <w:r>
        <w:rPr>
          <w:rFonts w:ascii="SimSun" w:hAnsi="SimSun" w:eastAsia="SimSun" w:cs="SimSun"/>
          <w:sz w:val="22"/>
          <w:szCs w:val="22"/>
          <w:spacing w:val="-9"/>
        </w:rPr>
        <w:t>一致性。</w:t>
      </w:r>
    </w:p>
    <w:p>
      <w:pPr>
        <w:ind w:left="430"/>
        <w:spacing w:before="32" w:line="221" w:lineRule="auto"/>
        <w:rPr>
          <w:rFonts w:ascii="SimHei" w:hAnsi="SimHei" w:eastAsia="SimHei" w:cs="SimHei"/>
          <w:sz w:val="22"/>
          <w:szCs w:val="22"/>
        </w:rPr>
      </w:pPr>
      <w:r>
        <w:rPr>
          <w:rFonts w:ascii="Times New Roman" w:hAnsi="Times New Roman" w:eastAsia="Times New Roman" w:cs="Times New Roman"/>
          <w:sz w:val="22"/>
          <w:szCs w:val="22"/>
          <w:b/>
          <w:bCs/>
          <w:spacing w:val="-5"/>
        </w:rPr>
        <w:t>Level</w:t>
      </w:r>
      <w:r>
        <w:rPr>
          <w:rFonts w:ascii="Times New Roman" w:hAnsi="Times New Roman" w:eastAsia="Times New Roman" w:cs="Times New Roman"/>
          <w:sz w:val="22"/>
          <w:szCs w:val="22"/>
          <w:b/>
          <w:bCs/>
          <w:spacing w:val="34"/>
        </w:rPr>
        <w:t xml:space="preserve"> </w:t>
      </w:r>
      <w:r>
        <w:rPr>
          <w:rFonts w:ascii="Times New Roman" w:hAnsi="Times New Roman" w:eastAsia="Times New Roman" w:cs="Times New Roman"/>
          <w:sz w:val="22"/>
          <w:szCs w:val="22"/>
          <w:b/>
          <w:bCs/>
          <w:spacing w:val="-5"/>
        </w:rPr>
        <w:t>4:</w:t>
      </w:r>
      <w:r>
        <w:rPr>
          <w:rFonts w:ascii="Times New Roman" w:hAnsi="Times New Roman" w:eastAsia="Times New Roman" w:cs="Times New Roman"/>
          <w:sz w:val="22"/>
          <w:szCs w:val="22"/>
          <w:b/>
          <w:bCs/>
          <w:spacing w:val="49"/>
        </w:rPr>
        <w:t xml:space="preserve"> </w:t>
      </w:r>
      <w:r>
        <w:rPr>
          <w:rFonts w:ascii="SimHei" w:hAnsi="SimHei" w:eastAsia="SimHei" w:cs="SimHei"/>
          <w:sz w:val="22"/>
          <w:szCs w:val="22"/>
          <w:b/>
          <w:bCs/>
          <w:spacing w:val="-5"/>
        </w:rPr>
        <w:t>量化级</w:t>
      </w:r>
    </w:p>
    <w:p>
      <w:pPr>
        <w:spacing w:line="127" w:lineRule="exact"/>
        <w:rPr/>
      </w:pPr>
      <w:r/>
    </w:p>
    <w:tbl>
      <w:tblPr>
        <w:tblStyle w:val="TableNormal"/>
        <w:tblW w:w="767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1" w:hRule="atLeast"/>
        </w:trPr>
        <w:tc>
          <w:tcPr>
            <w:tcW w:w="744" w:type="dxa"/>
            <w:vAlign w:val="top"/>
          </w:tcPr>
          <w:p>
            <w:pPr>
              <w:pStyle w:val="TableText"/>
              <w:ind w:left="214"/>
              <w:spacing w:before="102" w:line="221" w:lineRule="auto"/>
              <w:rPr/>
            </w:pPr>
            <w:r>
              <w:rPr>
                <w:spacing w:val="-2"/>
              </w:rPr>
              <w:t>序号</w:t>
            </w:r>
          </w:p>
        </w:tc>
        <w:tc>
          <w:tcPr>
            <w:tcW w:w="3155"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8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5"/>
              <w:spacing w:before="268" w:line="184" w:lineRule="auto"/>
              <w:rPr/>
            </w:pPr>
            <w:r>
              <w:rPr>
                <w:spacing w:val="-2"/>
              </w:rPr>
              <w:t>4.1</w:t>
            </w:r>
          </w:p>
        </w:tc>
        <w:tc>
          <w:tcPr>
            <w:tcW w:w="3155" w:type="dxa"/>
            <w:vAlign w:val="top"/>
          </w:tcPr>
          <w:p>
            <w:pPr>
              <w:pStyle w:val="TableText"/>
              <w:ind w:left="120" w:right="172" w:firstLine="160"/>
              <w:spacing w:before="100" w:line="288" w:lineRule="auto"/>
              <w:rPr/>
            </w:pPr>
            <w:r>
              <w:rPr>
                <w:spacing w:val="-1"/>
              </w:rPr>
              <w:t>设立首席隐私官专门处理隐私问题，负责</w:t>
            </w:r>
            <w:r>
              <w:rPr>
                <w:spacing w:val="8"/>
              </w:rPr>
              <w:t xml:space="preserve"> </w:t>
            </w:r>
            <w:r>
              <w:rPr>
                <w:spacing w:val="-1"/>
              </w:rPr>
              <w:t>监督是否以合法的方式处理敏感数据</w:t>
            </w:r>
          </w:p>
        </w:tc>
        <w:tc>
          <w:tcPr>
            <w:tcW w:w="3780" w:type="dxa"/>
            <w:vAlign w:val="top"/>
          </w:tcPr>
          <w:p>
            <w:pPr>
              <w:pStyle w:val="TableText"/>
              <w:ind w:left="275"/>
              <w:spacing w:before="110" w:line="220" w:lineRule="auto"/>
              <w:rPr/>
            </w:pPr>
            <w:r>
              <w:rPr/>
              <w:t>●隐私策略评审记录</w:t>
            </w:r>
          </w:p>
          <w:p>
            <w:pPr>
              <w:pStyle w:val="TableText"/>
              <w:ind w:left="275"/>
              <w:spacing w:before="100" w:line="219" w:lineRule="auto"/>
              <w:rPr/>
            </w:pPr>
            <w:r>
              <w:rPr/>
              <w:t>●隐私保护法律法规清单</w:t>
            </w:r>
          </w:p>
        </w:tc>
      </w:tr>
    </w:tbl>
    <w:p>
      <w:pPr>
        <w:ind w:left="320"/>
        <w:spacing w:before="195"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43" w:firstLine="430"/>
        <w:spacing w:before="50" w:line="250" w:lineRule="auto"/>
        <w:rPr>
          <w:rFonts w:ascii="SimSun" w:hAnsi="SimSun" w:eastAsia="SimSun" w:cs="SimSun"/>
          <w:sz w:val="22"/>
          <w:szCs w:val="22"/>
        </w:rPr>
      </w:pPr>
      <w:r>
        <w:rPr>
          <w:rFonts w:ascii="SimSun" w:hAnsi="SimSun" w:eastAsia="SimSun" w:cs="SimSun"/>
          <w:sz w:val="22"/>
          <w:szCs w:val="22"/>
          <w:spacing w:val="-8"/>
        </w:rPr>
        <w:t>组织应持续跟进组织需符合的隐私保护法律法规要求，以保证组织业务的发展</w:t>
      </w:r>
      <w:r>
        <w:rPr>
          <w:rFonts w:ascii="SimSun" w:hAnsi="SimSun" w:eastAsia="SimSun" w:cs="SimSun"/>
          <w:sz w:val="22"/>
          <w:szCs w:val="22"/>
          <w:spacing w:val="12"/>
        </w:rPr>
        <w:t xml:space="preserve"> </w:t>
      </w:r>
      <w:r>
        <w:rPr>
          <w:rFonts w:ascii="SimSun" w:hAnsi="SimSun" w:eastAsia="SimSun" w:cs="SimSun"/>
          <w:sz w:val="22"/>
          <w:szCs w:val="22"/>
          <w:spacing w:val="-8"/>
        </w:rPr>
        <w:t>不会面临合规的风险。通过设立的首席隐私官落实梳理组织所有的隐私保护要求清</w:t>
      </w:r>
      <w:r>
        <w:rPr>
          <w:rFonts w:ascii="SimSun" w:hAnsi="SimSun" w:eastAsia="SimSun" w:cs="SimSun"/>
          <w:sz w:val="22"/>
          <w:szCs w:val="22"/>
          <w:spacing w:val="17"/>
        </w:rPr>
        <w:t xml:space="preserve"> </w:t>
      </w:r>
      <w:r>
        <w:rPr>
          <w:rFonts w:ascii="SimSun" w:hAnsi="SimSun" w:eastAsia="SimSun" w:cs="SimSun"/>
          <w:sz w:val="22"/>
          <w:szCs w:val="22"/>
          <w:spacing w:val="-7"/>
        </w:rPr>
        <w:t>单，并通过定期跟进监管机构，更新该要求清单。</w:t>
      </w:r>
      <w:r>
        <w:rPr>
          <w:rFonts w:ascii="SimSun" w:hAnsi="SimSun" w:eastAsia="SimSun" w:cs="SimSun"/>
          <w:sz w:val="22"/>
          <w:szCs w:val="22"/>
          <w:spacing w:val="-8"/>
        </w:rPr>
        <w:t>定期组织对用户信息的有关保护</w:t>
      </w:r>
      <w:r>
        <w:rPr>
          <w:rFonts w:ascii="SimSun" w:hAnsi="SimSun" w:eastAsia="SimSun" w:cs="SimSun"/>
          <w:sz w:val="22"/>
          <w:szCs w:val="22"/>
        </w:rPr>
        <w:t xml:space="preserve"> </w:t>
      </w:r>
      <w:r>
        <w:rPr>
          <w:rFonts w:ascii="SimSun" w:hAnsi="SimSun" w:eastAsia="SimSun" w:cs="SimSun"/>
          <w:sz w:val="22"/>
          <w:szCs w:val="22"/>
          <w:spacing w:val="-10"/>
        </w:rPr>
        <w:t>措施进行全面评审，以确保措施的合规性。</w:t>
      </w:r>
    </w:p>
    <w:p>
      <w:pPr>
        <w:spacing w:line="123" w:lineRule="exact"/>
        <w:rPr/>
      </w:pPr>
      <w:r/>
    </w:p>
    <w:tbl>
      <w:tblPr>
        <w:tblStyle w:val="TableNormal"/>
        <w:tblW w:w="767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80"/>
      </w:tblGrid>
      <w:tr>
        <w:trPr>
          <w:trHeight w:val="342"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55" w:type="dxa"/>
            <w:vAlign w:val="top"/>
          </w:tcPr>
          <w:p>
            <w:pPr>
              <w:pStyle w:val="TableText"/>
              <w:ind w:left="1161"/>
              <w:spacing w:before="91" w:line="219" w:lineRule="auto"/>
              <w:rPr>
                <w:sz w:val="16"/>
                <w:szCs w:val="16"/>
              </w:rPr>
            </w:pPr>
            <w:r>
              <w:rPr>
                <w:sz w:val="16"/>
                <w:szCs w:val="16"/>
                <w:spacing w:val="-4"/>
              </w:rPr>
              <w:t>等 级 要 求</w:t>
            </w:r>
          </w:p>
        </w:tc>
        <w:tc>
          <w:tcPr>
            <w:tcW w:w="3780" w:type="dxa"/>
            <w:vAlign w:val="top"/>
          </w:tcPr>
          <w:p>
            <w:pPr>
              <w:pStyle w:val="TableText"/>
              <w:ind w:left="1576"/>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887" w:hRule="atLeast"/>
        </w:trPr>
        <w:tc>
          <w:tcPr>
            <w:tcW w:w="744" w:type="dxa"/>
            <w:vAlign w:val="top"/>
          </w:tcPr>
          <w:p>
            <w:pPr>
              <w:spacing w:line="356" w:lineRule="auto"/>
              <w:rPr>
                <w:rFonts w:ascii="Arial"/>
                <w:sz w:val="21"/>
              </w:rPr>
            </w:pPr>
            <w:r/>
          </w:p>
          <w:p>
            <w:pPr>
              <w:pStyle w:val="TableText"/>
              <w:ind w:left="245"/>
              <w:spacing w:before="52" w:line="183" w:lineRule="auto"/>
              <w:rPr>
                <w:sz w:val="16"/>
                <w:szCs w:val="16"/>
              </w:rPr>
            </w:pPr>
            <w:r>
              <w:rPr>
                <w:sz w:val="16"/>
                <w:szCs w:val="16"/>
                <w:spacing w:val="-2"/>
              </w:rPr>
              <w:t>4.2</w:t>
            </w:r>
          </w:p>
        </w:tc>
        <w:tc>
          <w:tcPr>
            <w:tcW w:w="3155" w:type="dxa"/>
            <w:vAlign w:val="top"/>
          </w:tcPr>
          <w:p>
            <w:pPr>
              <w:spacing w:line="315" w:lineRule="auto"/>
              <w:rPr>
                <w:rFonts w:ascii="Arial"/>
                <w:sz w:val="21"/>
              </w:rPr>
            </w:pPr>
            <w:r/>
          </w:p>
          <w:p>
            <w:pPr>
              <w:pStyle w:val="TableText"/>
              <w:ind w:left="261"/>
              <w:spacing w:before="52" w:line="219" w:lineRule="auto"/>
              <w:rPr>
                <w:sz w:val="16"/>
                <w:szCs w:val="16"/>
              </w:rPr>
            </w:pPr>
            <w:r>
              <w:rPr>
                <w:sz w:val="16"/>
                <w:szCs w:val="16"/>
                <w:spacing w:val="2"/>
              </w:rPr>
              <w:t>隐私保护教育培训</w:t>
            </w:r>
          </w:p>
        </w:tc>
        <w:tc>
          <w:tcPr>
            <w:tcW w:w="3780" w:type="dxa"/>
            <w:vAlign w:val="top"/>
          </w:tcPr>
          <w:p>
            <w:pPr>
              <w:pStyle w:val="TableText"/>
              <w:ind w:left="256"/>
              <w:spacing w:before="88" w:line="219" w:lineRule="auto"/>
              <w:rPr>
                <w:sz w:val="16"/>
                <w:szCs w:val="16"/>
              </w:rPr>
            </w:pPr>
            <w:r>
              <w:rPr>
                <w:sz w:val="16"/>
                <w:szCs w:val="16"/>
              </w:rPr>
              <w:t>●隐私保护培训教材</w:t>
            </w:r>
          </w:p>
          <w:p>
            <w:pPr>
              <w:pStyle w:val="TableText"/>
              <w:ind w:left="256"/>
              <w:spacing w:before="101" w:line="219" w:lineRule="auto"/>
              <w:rPr>
                <w:sz w:val="16"/>
                <w:szCs w:val="16"/>
              </w:rPr>
            </w:pPr>
            <w:r>
              <w:rPr>
                <w:sz w:val="16"/>
                <w:szCs w:val="16"/>
              </w:rPr>
              <w:t>●隐私保护考试试题</w:t>
            </w:r>
          </w:p>
          <w:p>
            <w:pPr>
              <w:pStyle w:val="TableText"/>
              <w:ind w:left="256"/>
              <w:spacing w:before="90" w:line="220" w:lineRule="auto"/>
              <w:rPr>
                <w:sz w:val="16"/>
                <w:szCs w:val="16"/>
              </w:rPr>
            </w:pPr>
            <w:r>
              <w:rPr>
                <w:sz w:val="16"/>
                <w:szCs w:val="16"/>
                <w:spacing w:val="1"/>
              </w:rPr>
              <w:t>●隐私保护培训制度</w:t>
            </w:r>
          </w:p>
        </w:tc>
      </w:tr>
    </w:tbl>
    <w:p>
      <w:pPr>
        <w:ind w:left="320"/>
        <w:spacing w:before="194" w:line="219" w:lineRule="auto"/>
        <w:rPr>
          <w:rFonts w:ascii="SimSun" w:hAnsi="SimSun" w:eastAsia="SimSun" w:cs="SimSun"/>
          <w:sz w:val="22"/>
          <w:szCs w:val="22"/>
        </w:rPr>
      </w:pPr>
      <w:r>
        <w:rPr>
          <w:rFonts w:ascii="SimSun" w:hAnsi="SimSun" w:eastAsia="SimSun" w:cs="SimSun"/>
          <w:sz w:val="22"/>
          <w:szCs w:val="22"/>
          <w:spacing w:val="-6"/>
        </w:rPr>
        <w:t>【成熟度等级说明】</w:t>
      </w:r>
    </w:p>
    <w:p>
      <w:pPr>
        <w:ind w:right="168" w:firstLine="430"/>
        <w:spacing w:before="57" w:line="236" w:lineRule="auto"/>
        <w:rPr>
          <w:rFonts w:ascii="SimSun" w:hAnsi="SimSun" w:eastAsia="SimSun" w:cs="SimSun"/>
          <w:sz w:val="22"/>
          <w:szCs w:val="22"/>
        </w:rPr>
      </w:pPr>
      <w:r>
        <w:rPr>
          <w:rFonts w:ascii="SimSun" w:hAnsi="SimSun" w:eastAsia="SimSun" w:cs="SimSun"/>
          <w:sz w:val="22"/>
          <w:szCs w:val="22"/>
          <w:spacing w:val="-12"/>
        </w:rPr>
        <w:t>固化针对员工和第三方人员的入职、在职的隐私保护意识教育流程，通过培训、</w:t>
      </w:r>
      <w:r>
        <w:rPr>
          <w:rFonts w:ascii="SimSun" w:hAnsi="SimSun" w:eastAsia="SimSun" w:cs="SimSun"/>
          <w:sz w:val="22"/>
          <w:szCs w:val="22"/>
          <w:spacing w:val="18"/>
        </w:rPr>
        <w:t xml:space="preserve"> </w:t>
      </w:r>
      <w:r>
        <w:rPr>
          <w:rFonts w:ascii="SimSun" w:hAnsi="SimSun" w:eastAsia="SimSun" w:cs="SimSun"/>
          <w:sz w:val="22"/>
          <w:szCs w:val="22"/>
          <w:spacing w:val="-11"/>
        </w:rPr>
        <w:t>考试等手段提升整体的隐私保护意识水平。</w:t>
      </w:r>
    </w:p>
    <w:p>
      <w:pPr>
        <w:ind w:right="249" w:firstLine="430"/>
        <w:spacing w:before="59" w:line="241" w:lineRule="auto"/>
        <w:rPr>
          <w:rFonts w:ascii="SimSun" w:hAnsi="SimSun" w:eastAsia="SimSun" w:cs="SimSun"/>
          <w:sz w:val="22"/>
          <w:szCs w:val="22"/>
        </w:rPr>
      </w:pPr>
      <w:r>
        <w:rPr>
          <w:rFonts w:ascii="SimSun" w:hAnsi="SimSun" w:eastAsia="SimSun" w:cs="SimSun"/>
          <w:sz w:val="22"/>
          <w:szCs w:val="22"/>
          <w:spacing w:val="-8"/>
        </w:rPr>
        <w:t>基于云计算技术的“云课堂”是一种高效、便捷、实时互动的培训形式。使用</w:t>
      </w:r>
      <w:r>
        <w:rPr>
          <w:rFonts w:ascii="SimSun" w:hAnsi="SimSun" w:eastAsia="SimSun" w:cs="SimSun"/>
          <w:sz w:val="22"/>
          <w:szCs w:val="22"/>
          <w:spacing w:val="6"/>
        </w:rPr>
        <w:t xml:space="preserve"> </w:t>
      </w:r>
      <w:r>
        <w:rPr>
          <w:rFonts w:ascii="SimSun" w:hAnsi="SimSun" w:eastAsia="SimSun" w:cs="SimSun"/>
          <w:sz w:val="22"/>
          <w:szCs w:val="22"/>
          <w:spacing w:val="-8"/>
        </w:rPr>
        <w:t>者移动互联网，进行简单易用的操作，便可快速高效地与各地学生、教师同步分享</w:t>
      </w:r>
      <w:r>
        <w:rPr>
          <w:rFonts w:ascii="SimSun" w:hAnsi="SimSun" w:eastAsia="SimSun" w:cs="SimSun"/>
          <w:sz w:val="22"/>
          <w:szCs w:val="22"/>
          <w:spacing w:val="16"/>
        </w:rPr>
        <w:t xml:space="preserve"> </w:t>
      </w:r>
      <w:r>
        <w:rPr>
          <w:rFonts w:ascii="SimSun" w:hAnsi="SimSun" w:eastAsia="SimSun" w:cs="SimSun"/>
          <w:sz w:val="22"/>
          <w:szCs w:val="22"/>
          <w:spacing w:val="-14"/>
        </w:rPr>
        <w:t>语音、视频及数据文件。</w:t>
      </w:r>
    </w:p>
    <w:p>
      <w:pPr>
        <w:ind w:left="433"/>
        <w:spacing w:before="64" w:line="221" w:lineRule="auto"/>
        <w:rPr>
          <w:rFonts w:ascii="SimHei" w:hAnsi="SimHei" w:eastAsia="SimHei" w:cs="SimHei"/>
          <w:sz w:val="22"/>
          <w:szCs w:val="22"/>
        </w:rPr>
      </w:pPr>
      <w:r>
        <w:rPr>
          <w:rFonts w:ascii="SimSun" w:hAnsi="SimSun" w:eastAsia="SimSun" w:cs="SimSun"/>
          <w:sz w:val="22"/>
          <w:szCs w:val="22"/>
          <w:b/>
          <w:bCs/>
          <w:spacing w:val="-6"/>
        </w:rPr>
        <w:t>Level</w:t>
      </w:r>
      <w:r>
        <w:rPr>
          <w:rFonts w:ascii="SimSun" w:hAnsi="SimSun" w:eastAsia="SimSun" w:cs="SimSun"/>
          <w:sz w:val="22"/>
          <w:szCs w:val="22"/>
          <w:spacing w:val="-6"/>
        </w:rPr>
        <w:t xml:space="preserve"> </w:t>
      </w:r>
      <w:r>
        <w:rPr>
          <w:rFonts w:ascii="SimSun" w:hAnsi="SimSun" w:eastAsia="SimSun" w:cs="SimSun"/>
          <w:sz w:val="22"/>
          <w:szCs w:val="22"/>
          <w:b/>
          <w:bCs/>
          <w:spacing w:val="-6"/>
        </w:rPr>
        <w:t>5:</w:t>
      </w:r>
      <w:r>
        <w:rPr>
          <w:rFonts w:ascii="SimHei" w:hAnsi="SimHei" w:eastAsia="SimHei" w:cs="SimHei"/>
          <w:sz w:val="22"/>
          <w:szCs w:val="22"/>
          <w:b/>
          <w:bCs/>
          <w:spacing w:val="-6"/>
        </w:rPr>
        <w:t>优化级</w:t>
      </w:r>
    </w:p>
    <w:p>
      <w:pPr>
        <w:spacing w:line="117" w:lineRule="exact"/>
        <w:rPr/>
      </w:pPr>
      <w:r/>
    </w:p>
    <w:tbl>
      <w:tblPr>
        <w:tblStyle w:val="TableNormal"/>
        <w:tblW w:w="768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66"/>
        <w:gridCol w:w="3770"/>
      </w:tblGrid>
      <w:tr>
        <w:trPr>
          <w:trHeight w:val="351" w:hRule="atLeast"/>
        </w:trPr>
        <w:tc>
          <w:tcPr>
            <w:tcW w:w="744" w:type="dxa"/>
            <w:vAlign w:val="top"/>
          </w:tcPr>
          <w:p>
            <w:pPr>
              <w:pStyle w:val="TableText"/>
              <w:ind w:left="215"/>
              <w:spacing w:before="102" w:line="221" w:lineRule="auto"/>
              <w:rPr/>
            </w:pPr>
            <w:r>
              <w:rPr>
                <w:spacing w:val="-2"/>
              </w:rPr>
              <w:t>序号</w:t>
            </w:r>
          </w:p>
        </w:tc>
        <w:tc>
          <w:tcPr>
            <w:tcW w:w="3166" w:type="dxa"/>
            <w:vAlign w:val="top"/>
          </w:tcPr>
          <w:p>
            <w:pPr>
              <w:pStyle w:val="TableText"/>
              <w:ind w:left="118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615"/>
              <w:spacing w:before="101" w:line="220" w:lineRule="auto"/>
              <w:rPr/>
            </w:pPr>
            <w:r>
              <w:rPr>
                <w:spacing w:val="-5"/>
              </w:rPr>
              <w:t>实</w:t>
            </w:r>
            <w:r>
              <w:rPr>
                <w:spacing w:val="1"/>
              </w:rPr>
              <w:t xml:space="preserve">   </w:t>
            </w:r>
            <w:r>
              <w:rPr>
                <w:spacing w:val="-5"/>
              </w:rPr>
              <w:t>例</w:t>
            </w:r>
          </w:p>
        </w:tc>
      </w:tr>
      <w:tr>
        <w:trPr>
          <w:trHeight w:val="608" w:hRule="atLeast"/>
        </w:trPr>
        <w:tc>
          <w:tcPr>
            <w:tcW w:w="744" w:type="dxa"/>
            <w:vAlign w:val="top"/>
          </w:tcPr>
          <w:p>
            <w:pPr>
              <w:pStyle w:val="TableText"/>
              <w:ind w:left="245"/>
              <w:spacing w:before="268" w:line="184" w:lineRule="auto"/>
              <w:rPr/>
            </w:pPr>
            <w:r>
              <w:rPr>
                <w:spacing w:val="-2"/>
              </w:rPr>
              <w:t>5.1</w:t>
            </w:r>
          </w:p>
        </w:tc>
        <w:tc>
          <w:tcPr>
            <w:tcW w:w="3166" w:type="dxa"/>
            <w:vAlign w:val="top"/>
          </w:tcPr>
          <w:p>
            <w:pPr>
              <w:pStyle w:val="TableText"/>
              <w:ind w:left="121" w:right="182" w:firstLine="159"/>
              <w:spacing w:before="98" w:line="282" w:lineRule="auto"/>
              <w:rPr/>
            </w:pPr>
            <w:r>
              <w:rPr>
                <w:spacing w:val="-1"/>
              </w:rPr>
              <w:t>组织通过出版物、会议和白皮书分享所获</w:t>
            </w:r>
            <w:r>
              <w:rPr>
                <w:spacing w:val="9"/>
              </w:rPr>
              <w:t xml:space="preserve"> </w:t>
            </w:r>
            <w:r>
              <w:rPr>
                <w:spacing w:val="1"/>
              </w:rPr>
              <w:t>得的最佳标准实践和经验教训</w:t>
            </w:r>
          </w:p>
        </w:tc>
        <w:tc>
          <w:tcPr>
            <w:tcW w:w="3770" w:type="dxa"/>
            <w:vAlign w:val="top"/>
          </w:tcPr>
          <w:p>
            <w:pPr>
              <w:pStyle w:val="TableText"/>
              <w:ind w:left="304"/>
              <w:spacing w:before="229" w:line="219" w:lineRule="auto"/>
              <w:rPr/>
            </w:pPr>
            <w:r>
              <w:rPr/>
              <w:t>●与隐私保护相关的演示材料和其他发表的作品</w:t>
            </w:r>
          </w:p>
        </w:tc>
      </w:tr>
    </w:tbl>
    <w:p>
      <w:pPr>
        <w:ind w:left="320"/>
        <w:spacing w:before="175" w:line="219" w:lineRule="auto"/>
        <w:rPr>
          <w:rFonts w:ascii="SimSun" w:hAnsi="SimSun" w:eastAsia="SimSun" w:cs="SimSun"/>
          <w:sz w:val="22"/>
          <w:szCs w:val="22"/>
        </w:rPr>
      </w:pPr>
      <w:r>
        <w:rPr>
          <w:rFonts w:ascii="SimSun" w:hAnsi="SimSun" w:eastAsia="SimSun" w:cs="SimSun"/>
          <w:sz w:val="22"/>
          <w:szCs w:val="22"/>
          <w:spacing w:val="-6"/>
        </w:rPr>
        <w:t>【成熟度等级说明】</w:t>
      </w:r>
    </w:p>
    <w:p>
      <w:pPr>
        <w:ind w:left="430"/>
        <w:spacing w:before="59" w:line="219" w:lineRule="auto"/>
        <w:rPr>
          <w:rFonts w:ascii="SimSun" w:hAnsi="SimSun" w:eastAsia="SimSun" w:cs="SimSun"/>
          <w:sz w:val="22"/>
          <w:szCs w:val="22"/>
        </w:rPr>
      </w:pPr>
      <w:r>
        <w:rPr>
          <w:rFonts w:ascii="SimSun" w:hAnsi="SimSun" w:eastAsia="SimSun" w:cs="SimSun"/>
          <w:sz w:val="22"/>
          <w:szCs w:val="22"/>
          <w:spacing w:val="-8"/>
        </w:rPr>
        <w:t>组织中</w:t>
      </w:r>
      <w:r>
        <w:rPr>
          <w:rFonts w:ascii="Times New Roman" w:hAnsi="Times New Roman" w:eastAsia="Times New Roman" w:cs="Times New Roman"/>
          <w:sz w:val="22"/>
          <w:szCs w:val="22"/>
          <w:spacing w:val="-8"/>
        </w:rPr>
        <w:t>IT </w:t>
      </w:r>
      <w:r>
        <w:rPr>
          <w:rFonts w:ascii="SimSun" w:hAnsi="SimSun" w:eastAsia="SimSun" w:cs="SimSun"/>
          <w:sz w:val="22"/>
          <w:szCs w:val="22"/>
          <w:spacing w:val="-8"/>
        </w:rPr>
        <w:t>安全管理专业人士应订阅专业杂志和网上各种论坛、</w:t>
      </w:r>
      <w:r>
        <w:rPr>
          <w:rFonts w:ascii="SimSun" w:hAnsi="SimSun" w:eastAsia="SimSun" w:cs="SimSun"/>
          <w:sz w:val="22"/>
          <w:szCs w:val="22"/>
          <w:spacing w:val="-9"/>
        </w:rPr>
        <w:t>专业讨论群，分</w:t>
      </w:r>
    </w:p>
    <w:p>
      <w:pPr>
        <w:spacing w:line="219" w:lineRule="auto"/>
        <w:sectPr>
          <w:footerReference w:type="default" r:id="rId449"/>
          <w:pgSz w:w="8870" w:h="13400"/>
          <w:pgMar w:top="400" w:right="521" w:bottom="534" w:left="449" w:header="0" w:footer="316" w:gutter="0"/>
        </w:sectPr>
        <w:rPr>
          <w:rFonts w:ascii="SimSun" w:hAnsi="SimSun" w:eastAsia="SimSun" w:cs="SimSun"/>
          <w:sz w:val="22"/>
          <w:szCs w:val="22"/>
        </w:rPr>
      </w:pPr>
    </w:p>
    <w:p>
      <w:pPr>
        <w:ind w:left="212"/>
        <w:spacing w:before="296" w:line="219" w:lineRule="auto"/>
        <w:rPr>
          <w:rFonts w:ascii="SimSun" w:hAnsi="SimSun" w:eastAsia="SimSun" w:cs="SimSun"/>
          <w:sz w:val="22"/>
          <w:szCs w:val="22"/>
        </w:rPr>
      </w:pPr>
      <w:r>
        <w:pict>
          <v:rect id="_x0000_s480" style="position:absolute;margin-left:29.0005pt;margin-top:31.4967pt;mso-position-vertical-relative:page;mso-position-horizontal-relative:page;width:0.55pt;height:17.55pt;z-index:257810432;" o:allowincell="f" fillcolor="#000000" filled="true" stroked="false"/>
        </w:pict>
      </w:r>
      <w:bookmarkStart w:name="bookmark83" w:id="78"/>
      <w:bookmarkEnd w:id="78"/>
      <w:bookmarkStart w:name="bookmark84" w:id="79"/>
      <w:bookmarkEnd w:id="79"/>
      <w:r>
        <w:rPr>
          <w:rFonts w:ascii="SimSun" w:hAnsi="SimSun" w:eastAsia="SimSun" w:cs="SimSun"/>
          <w:sz w:val="22"/>
          <w:szCs w:val="22"/>
          <w:b/>
          <w:bCs/>
          <w:spacing w:val="-29"/>
          <w:w w:val="97"/>
        </w:rPr>
        <w:t>■云端数据治理■</w:t>
      </w:r>
    </w:p>
    <w:p>
      <w:pPr>
        <w:pStyle w:val="BodyText"/>
        <w:spacing w:line="249" w:lineRule="auto"/>
        <w:rPr/>
      </w:pPr>
      <w:r/>
    </w:p>
    <w:p>
      <w:pPr>
        <w:ind w:left="249"/>
        <w:spacing w:before="71" w:line="219" w:lineRule="auto"/>
        <w:rPr>
          <w:rFonts w:ascii="SimSun" w:hAnsi="SimSun" w:eastAsia="SimSun" w:cs="SimSun"/>
          <w:sz w:val="22"/>
          <w:szCs w:val="22"/>
        </w:rPr>
      </w:pPr>
      <w:r>
        <w:rPr>
          <w:rFonts w:ascii="SimSun" w:hAnsi="SimSun" w:eastAsia="SimSun" w:cs="SimSun"/>
          <w:sz w:val="22"/>
          <w:szCs w:val="22"/>
          <w:spacing w:val="-12"/>
        </w:rPr>
        <w:t>享或阅读隐私保护相关主题。</w:t>
      </w:r>
    </w:p>
    <w:p>
      <w:pPr>
        <w:ind w:left="683"/>
        <w:spacing w:before="184" w:line="222" w:lineRule="auto"/>
        <w:outlineLvl w:val="4"/>
        <w:rPr>
          <w:rFonts w:ascii="SimHei" w:hAnsi="SimHei" w:eastAsia="SimHei" w:cs="SimHei"/>
          <w:sz w:val="22"/>
          <w:szCs w:val="22"/>
        </w:rPr>
      </w:pPr>
      <w:r>
        <w:rPr>
          <w:rFonts w:ascii="SimHei" w:hAnsi="SimHei" w:eastAsia="SimHei" w:cs="SimHei"/>
          <w:sz w:val="22"/>
          <w:szCs w:val="22"/>
          <w:b/>
          <w:bCs/>
          <w:spacing w:val="-1"/>
        </w:rPr>
        <w:t>4.</w:t>
      </w:r>
      <w:r>
        <w:rPr>
          <w:rFonts w:ascii="SimHei" w:hAnsi="SimHei" w:eastAsia="SimHei" w:cs="SimHei"/>
          <w:sz w:val="22"/>
          <w:szCs w:val="22"/>
          <w:spacing w:val="-1"/>
        </w:rPr>
        <w:t xml:space="preserve"> </w:t>
      </w:r>
      <w:r>
        <w:rPr>
          <w:rFonts w:ascii="SimHei" w:hAnsi="SimHei" w:eastAsia="SimHei" w:cs="SimHei"/>
          <w:sz w:val="22"/>
          <w:szCs w:val="22"/>
          <w:b/>
          <w:bCs/>
          <w:spacing w:val="-1"/>
        </w:rPr>
        <w:t>实施案例</w:t>
      </w:r>
    </w:p>
    <w:p>
      <w:pPr>
        <w:ind w:left="249" w:right="4" w:firstLine="430"/>
        <w:spacing w:before="208" w:line="253" w:lineRule="auto"/>
        <w:rPr>
          <w:rFonts w:ascii="SimSun" w:hAnsi="SimSun" w:eastAsia="SimSun" w:cs="SimSun"/>
          <w:sz w:val="22"/>
          <w:szCs w:val="22"/>
        </w:rPr>
      </w:pPr>
      <w:r>
        <w:rPr>
          <w:rFonts w:ascii="SimSun" w:hAnsi="SimSun" w:eastAsia="SimSun" w:cs="SimSun"/>
          <w:sz w:val="22"/>
          <w:szCs w:val="22"/>
          <w:spacing w:val="-12"/>
        </w:rPr>
        <w:t>组织应依照国家相关法律法规，建立完整的个人信息保护安全策略，包括技术、</w:t>
      </w:r>
      <w:r>
        <w:rPr>
          <w:rFonts w:ascii="SimSun" w:hAnsi="SimSun" w:eastAsia="SimSun" w:cs="SimSun"/>
          <w:sz w:val="22"/>
          <w:szCs w:val="22"/>
          <w:spacing w:val="9"/>
        </w:rPr>
        <w:t xml:space="preserve"> </w:t>
      </w:r>
      <w:r>
        <w:rPr>
          <w:rFonts w:ascii="SimSun" w:hAnsi="SimSun" w:eastAsia="SimSun" w:cs="SimSun"/>
          <w:sz w:val="22"/>
          <w:szCs w:val="22"/>
          <w:spacing w:val="-7"/>
        </w:rPr>
        <w:t>管理等措施，对个人信息处理过程中可能出现的泄露、丢失、</w:t>
      </w:r>
      <w:r>
        <w:rPr>
          <w:rFonts w:ascii="SimSun" w:hAnsi="SimSun" w:eastAsia="SimSun" w:cs="SimSun"/>
          <w:sz w:val="22"/>
          <w:szCs w:val="22"/>
          <w:spacing w:val="-8"/>
        </w:rPr>
        <w:t>损坏、篡改、不当使</w:t>
      </w:r>
      <w:r>
        <w:rPr>
          <w:rFonts w:ascii="SimSun" w:hAnsi="SimSun" w:eastAsia="SimSun" w:cs="SimSun"/>
          <w:sz w:val="22"/>
          <w:szCs w:val="22"/>
        </w:rPr>
        <w:t xml:space="preserve"> </w:t>
      </w:r>
      <w:r>
        <w:rPr>
          <w:rFonts w:ascii="SimSun" w:hAnsi="SimSun" w:eastAsia="SimSun" w:cs="SimSun"/>
          <w:sz w:val="22"/>
          <w:szCs w:val="22"/>
          <w:spacing w:val="-11"/>
        </w:rPr>
        <w:t>用等事件制订预案，比如建立风险应对策略，采取风</w:t>
      </w:r>
      <w:r>
        <w:rPr>
          <w:rFonts w:ascii="SimSun" w:hAnsi="SimSun" w:eastAsia="SimSun" w:cs="SimSun"/>
          <w:sz w:val="22"/>
          <w:szCs w:val="22"/>
          <w:spacing w:val="-12"/>
        </w:rPr>
        <w:t>险控制措施，监控风险变化等，</w:t>
      </w:r>
      <w:r>
        <w:rPr>
          <w:rFonts w:ascii="SimSun" w:hAnsi="SimSun" w:eastAsia="SimSun" w:cs="SimSun"/>
          <w:sz w:val="22"/>
          <w:szCs w:val="22"/>
        </w:rPr>
        <w:t xml:space="preserve"> </w:t>
      </w:r>
      <w:r>
        <w:rPr>
          <w:rFonts w:ascii="SimSun" w:hAnsi="SimSun" w:eastAsia="SimSun" w:cs="SimSun"/>
          <w:sz w:val="22"/>
          <w:szCs w:val="22"/>
          <w:spacing w:val="-7"/>
        </w:rPr>
        <w:t>确保对云用户个人信息的有效保护，降低风险。组织应制订</w:t>
      </w:r>
      <w:r>
        <w:rPr>
          <w:rFonts w:ascii="SimSun" w:hAnsi="SimSun" w:eastAsia="SimSun" w:cs="SimSun"/>
          <w:sz w:val="22"/>
          <w:szCs w:val="22"/>
          <w:spacing w:val="-8"/>
        </w:rPr>
        <w:t>个人信息保护的教育培</w:t>
      </w:r>
      <w:r>
        <w:rPr>
          <w:rFonts w:ascii="SimSun" w:hAnsi="SimSun" w:eastAsia="SimSun" w:cs="SimSun"/>
          <w:sz w:val="22"/>
          <w:szCs w:val="22"/>
        </w:rPr>
        <w:t xml:space="preserve"> </w:t>
      </w:r>
      <w:r>
        <w:rPr>
          <w:rFonts w:ascii="SimSun" w:hAnsi="SimSun" w:eastAsia="SimSun" w:cs="SimSun"/>
          <w:sz w:val="22"/>
          <w:szCs w:val="22"/>
          <w:spacing w:val="-7"/>
        </w:rPr>
        <w:t>训计划并组织落实，其次建立个人信息保护的内控机制，定</w:t>
      </w:r>
      <w:r>
        <w:rPr>
          <w:rFonts w:ascii="SimSun" w:hAnsi="SimSun" w:eastAsia="SimSun" w:cs="SimSun"/>
          <w:sz w:val="22"/>
          <w:szCs w:val="22"/>
          <w:spacing w:val="-8"/>
        </w:rPr>
        <w:t>期开展检查，并形成检</w:t>
      </w:r>
      <w:r>
        <w:rPr>
          <w:rFonts w:ascii="SimSun" w:hAnsi="SimSun" w:eastAsia="SimSun" w:cs="SimSun"/>
          <w:sz w:val="22"/>
          <w:szCs w:val="22"/>
        </w:rPr>
        <w:t xml:space="preserve"> </w:t>
      </w:r>
      <w:r>
        <w:rPr>
          <w:rFonts w:ascii="SimSun" w:hAnsi="SimSun" w:eastAsia="SimSun" w:cs="SimSun"/>
          <w:sz w:val="22"/>
          <w:szCs w:val="22"/>
          <w:spacing w:val="-13"/>
        </w:rPr>
        <w:t>查评估报告。</w:t>
      </w:r>
    </w:p>
    <w:p>
      <w:pPr>
        <w:ind w:left="679"/>
        <w:spacing w:before="71" w:line="310" w:lineRule="exact"/>
        <w:rPr>
          <w:rFonts w:ascii="SimSun" w:hAnsi="SimSun" w:eastAsia="SimSun" w:cs="SimSun"/>
          <w:sz w:val="22"/>
          <w:szCs w:val="22"/>
        </w:rPr>
      </w:pPr>
      <w:r>
        <w:rPr>
          <w:rFonts w:ascii="SimSun" w:hAnsi="SimSun" w:eastAsia="SimSun" w:cs="SimSun"/>
          <w:sz w:val="22"/>
          <w:szCs w:val="22"/>
          <w:spacing w:val="4"/>
          <w:position w:val="6"/>
        </w:rPr>
        <w:t>(1)文件名称列表</w:t>
      </w:r>
    </w:p>
    <w:p>
      <w:pPr>
        <w:ind w:left="569"/>
        <w:spacing w:before="1" w:line="219" w:lineRule="auto"/>
        <w:rPr>
          <w:rFonts w:ascii="SimSun" w:hAnsi="SimSun" w:eastAsia="SimSun" w:cs="SimSun"/>
          <w:sz w:val="22"/>
          <w:szCs w:val="22"/>
        </w:rPr>
      </w:pPr>
      <w:r>
        <w:rPr>
          <w:rFonts w:ascii="SimSun" w:hAnsi="SimSun" w:eastAsia="SimSun" w:cs="SimSun"/>
          <w:sz w:val="22"/>
          <w:szCs w:val="22"/>
          <w:spacing w:val="-11"/>
        </w:rPr>
        <w:t>《隐私声明/政策》</w:t>
      </w:r>
    </w:p>
    <w:p>
      <w:pPr>
        <w:ind w:left="569"/>
        <w:spacing w:before="49" w:line="219" w:lineRule="auto"/>
        <w:rPr>
          <w:rFonts w:ascii="SimSun" w:hAnsi="SimSun" w:eastAsia="SimSun" w:cs="SimSun"/>
          <w:sz w:val="22"/>
          <w:szCs w:val="22"/>
        </w:rPr>
      </w:pPr>
      <w:r>
        <w:rPr>
          <w:rFonts w:ascii="SimSun" w:hAnsi="SimSun" w:eastAsia="SimSun" w:cs="SimSun"/>
          <w:sz w:val="22"/>
          <w:szCs w:val="22"/>
          <w:spacing w:val="-7"/>
        </w:rPr>
        <w:t>《隐私保护管理程序》</w:t>
      </w:r>
    </w:p>
    <w:p>
      <w:pPr>
        <w:ind w:left="569"/>
        <w:spacing w:before="59" w:line="219" w:lineRule="auto"/>
        <w:rPr>
          <w:rFonts w:ascii="SimSun" w:hAnsi="SimSun" w:eastAsia="SimSun" w:cs="SimSun"/>
          <w:sz w:val="22"/>
          <w:szCs w:val="22"/>
        </w:rPr>
      </w:pPr>
      <w:r>
        <w:rPr>
          <w:rFonts w:ascii="SimSun" w:hAnsi="SimSun" w:eastAsia="SimSun" w:cs="SimSun"/>
          <w:sz w:val="22"/>
          <w:szCs w:val="22"/>
          <w:spacing w:val="-9"/>
        </w:rPr>
        <w:t>《隐私保护操作指南》</w:t>
      </w:r>
    </w:p>
    <w:p>
      <w:pPr>
        <w:ind w:left="679"/>
        <w:spacing w:before="48" w:line="310" w:lineRule="exact"/>
        <w:rPr>
          <w:rFonts w:ascii="SimSun" w:hAnsi="SimSun" w:eastAsia="SimSun" w:cs="SimSun"/>
          <w:sz w:val="22"/>
          <w:szCs w:val="22"/>
        </w:rPr>
      </w:pPr>
      <w:r>
        <w:rPr>
          <w:rFonts w:ascii="SimSun" w:hAnsi="SimSun" w:eastAsia="SimSun" w:cs="SimSun"/>
          <w:sz w:val="22"/>
          <w:szCs w:val="22"/>
          <w:spacing w:val="-1"/>
          <w:position w:val="6"/>
        </w:rPr>
        <w:t>(2)记录性文件名称列表</w:t>
      </w:r>
    </w:p>
    <w:p>
      <w:pPr>
        <w:ind w:left="569"/>
        <w:spacing w:before="1" w:line="219" w:lineRule="auto"/>
        <w:rPr>
          <w:rFonts w:ascii="SimSun" w:hAnsi="SimSun" w:eastAsia="SimSun" w:cs="SimSun"/>
          <w:sz w:val="22"/>
          <w:szCs w:val="22"/>
        </w:rPr>
      </w:pPr>
      <w:r>
        <w:rPr>
          <w:rFonts w:ascii="SimSun" w:hAnsi="SimSun" w:eastAsia="SimSun" w:cs="SimSun"/>
          <w:sz w:val="22"/>
          <w:szCs w:val="22"/>
          <w:spacing w:val="-7"/>
        </w:rPr>
        <w:t>《隐私保护操作记录》</w:t>
      </w:r>
    </w:p>
    <w:p>
      <w:pPr>
        <w:ind w:left="679"/>
        <w:spacing w:before="59" w:line="220" w:lineRule="auto"/>
        <w:rPr>
          <w:rFonts w:ascii="SimSun" w:hAnsi="SimSun" w:eastAsia="SimSun" w:cs="SimSun"/>
          <w:sz w:val="22"/>
          <w:szCs w:val="22"/>
        </w:rPr>
      </w:pPr>
      <w:r>
        <w:rPr>
          <w:rFonts w:ascii="SimSun" w:hAnsi="SimSun" w:eastAsia="SimSun" w:cs="SimSun"/>
          <w:sz w:val="22"/>
          <w:szCs w:val="22"/>
          <w:spacing w:val="2"/>
        </w:rPr>
        <w:t>(3)实施案例</w:t>
      </w:r>
    </w:p>
    <w:p>
      <w:pPr>
        <w:spacing w:line="103" w:lineRule="exact"/>
        <w:rPr/>
      </w:pPr>
      <w:r/>
    </w:p>
    <w:tbl>
      <w:tblPr>
        <w:tblStyle w:val="TableNormal"/>
        <w:tblW w:w="7680" w:type="dxa"/>
        <w:tblInd w:w="289" w:type="dxa"/>
        <w:tblLayout w:type="fixed"/>
        <w:tblBorders>
          <w:left w:val="single" w:color="000000" w:sz="4" w:space="0"/>
          <w:bottom w:val="single" w:color="000000" w:sz="4" w:space="0"/>
          <w:right w:val="single" w:color="000000" w:sz="4" w:space="0"/>
          <w:top w:val="single" w:color="000000" w:sz="4" w:space="0"/>
        </w:tblBorders>
      </w:tblPr>
      <w:tblGrid>
        <w:gridCol w:w="7680"/>
      </w:tblGrid>
      <w:tr>
        <w:trPr>
          <w:trHeight w:val="5890" w:hRule="atLeast"/>
        </w:trPr>
        <w:tc>
          <w:tcPr>
            <w:tcW w:w="7680" w:type="dxa"/>
            <w:vAlign w:val="top"/>
          </w:tcPr>
          <w:p>
            <w:pPr>
              <w:pStyle w:val="TableText"/>
              <w:ind w:left="3375"/>
              <w:spacing w:before="91" w:line="219" w:lineRule="auto"/>
              <w:rPr/>
            </w:pPr>
            <w:r>
              <w:rPr>
                <w:spacing w:val="-2"/>
              </w:rPr>
              <w:t>隐私声明/政策</w:t>
            </w:r>
          </w:p>
          <w:p>
            <w:pPr>
              <w:pStyle w:val="TableText"/>
              <w:ind w:left="115" w:right="145" w:firstLine="149"/>
              <w:spacing w:before="100" w:line="264" w:lineRule="auto"/>
              <w:rPr/>
            </w:pPr>
            <w:r>
              <w:rPr/>
              <w:t>隐私声明/政策是个人信息控制者保证个人信息保护知情权的重要手段，</w:t>
            </w:r>
            <w:r>
              <w:rPr>
                <w:spacing w:val="-1"/>
              </w:rPr>
              <w:t>是约束自身行为和配合监督管理的重要</w:t>
            </w:r>
            <w:r>
              <w:rPr/>
              <w:t xml:space="preserve"> </w:t>
            </w:r>
            <w:r>
              <w:rPr/>
              <w:t>窗口。隐私声明/政策的内容应包括但不限于以下方</w:t>
            </w:r>
            <w:r>
              <w:rPr>
                <w:spacing w:val="-1"/>
              </w:rPr>
              <w:t>面。</w:t>
            </w:r>
          </w:p>
          <w:p>
            <w:pPr>
              <w:pStyle w:val="TableText"/>
              <w:ind w:left="95" w:right="287" w:firstLine="159"/>
              <w:spacing w:before="122" w:line="288" w:lineRule="auto"/>
              <w:rPr/>
            </w:pPr>
            <w:r>
              <w:rPr/>
              <w:t>(1)适用范围。包含隐私声明所适用的产品或服务范围、隐私声明所适用的用户类型、隐私声明生效时间、更</w:t>
            </w:r>
            <w:r>
              <w:rPr>
                <w:spacing w:val="1"/>
              </w:rPr>
              <w:t xml:space="preserve"> </w:t>
            </w:r>
            <w:r>
              <w:rPr>
                <w:spacing w:val="-1"/>
              </w:rPr>
              <w:t>新时间等。</w:t>
            </w:r>
          </w:p>
          <w:p>
            <w:pPr>
              <w:pStyle w:val="TableText"/>
              <w:ind w:left="265"/>
              <w:spacing w:before="71" w:line="310" w:lineRule="exact"/>
              <w:rPr/>
            </w:pPr>
            <w:r>
              <w:rPr>
                <w:position w:val="12"/>
              </w:rPr>
              <w:t>(2)目前遵循的个人信息保护协议和取得的认证。包含个人信息控制者目前主动遵循的国际或国内的个人信息</w:t>
            </w:r>
          </w:p>
          <w:p>
            <w:pPr>
              <w:pStyle w:val="TableText"/>
              <w:ind w:left="115"/>
              <w:spacing w:line="218" w:lineRule="auto"/>
              <w:rPr/>
            </w:pPr>
            <w:r>
              <w:rPr/>
              <w:t>保护标准、协议，以及个人信息控制者目前已取得的与个人信息保护相关的权威第三</w:t>
            </w:r>
            <w:r>
              <w:rPr>
                <w:spacing w:val="-1"/>
              </w:rPr>
              <w:t>方机构认证。</w:t>
            </w:r>
          </w:p>
          <w:p>
            <w:pPr>
              <w:pStyle w:val="TableText"/>
              <w:ind w:left="254"/>
              <w:spacing w:before="83" w:line="219" w:lineRule="auto"/>
              <w:rPr/>
            </w:pPr>
            <w:r>
              <w:rPr/>
              <w:t>(3)个人信息的收集。根据不同产品、服务类型详细列出收集的个人信息类型，并说明收集个人信息的目</w:t>
            </w:r>
            <w:r>
              <w:rPr>
                <w:spacing w:val="-1"/>
              </w:rPr>
              <w:t>的，</w:t>
            </w:r>
          </w:p>
          <w:p>
            <w:pPr>
              <w:pStyle w:val="TableText"/>
              <w:ind w:left="115" w:right="190" w:firstLine="20"/>
              <w:spacing w:before="121" w:line="282" w:lineRule="auto"/>
              <w:rPr/>
            </w:pPr>
            <w:r>
              <w:rPr/>
              <w:t>个人信息包括但不限于：个人为正常使用功能所提供的数据、使用功能时产生的数据、统计分析</w:t>
            </w:r>
            <w:r>
              <w:rPr>
                <w:spacing w:val="-1"/>
              </w:rPr>
              <w:t>得到的数据、使</w:t>
            </w:r>
            <w:r>
              <w:rPr/>
              <w:t xml:space="preserve"> </w:t>
            </w:r>
            <w:r>
              <w:rPr/>
              <w:t>用自动数据收集工具得到的数据、通过第三方获</w:t>
            </w:r>
            <w:r>
              <w:rPr>
                <w:spacing w:val="-1"/>
              </w:rPr>
              <w:t>取的数据等。</w:t>
            </w:r>
          </w:p>
          <w:p>
            <w:pPr>
              <w:pStyle w:val="TableText"/>
              <w:ind w:left="125" w:right="274" w:firstLine="129"/>
              <w:spacing w:before="82" w:line="293" w:lineRule="auto"/>
              <w:rPr/>
            </w:pPr>
            <w:r>
              <w:rPr/>
              <w:t>(4)个人信息的使用。个人信息控制者根据收集到的不同数据类型，详细说明如何使用个人信息，如实现用户</w:t>
            </w:r>
            <w:r>
              <w:rPr>
                <w:spacing w:val="14"/>
              </w:rPr>
              <w:t xml:space="preserve"> </w:t>
            </w:r>
            <w:r>
              <w:rPr/>
              <w:t>请求、提供个性化服务、支持和改进服务、商业情报、</w:t>
            </w:r>
            <w:r>
              <w:rPr>
                <w:spacing w:val="-1"/>
              </w:rPr>
              <w:t>广告支持等。</w:t>
            </w:r>
          </w:p>
          <w:p>
            <w:pPr>
              <w:pStyle w:val="TableText"/>
              <w:ind w:left="104" w:right="194" w:firstLine="160"/>
              <w:spacing w:before="82" w:line="325" w:lineRule="auto"/>
              <w:rPr/>
            </w:pPr>
            <w:r>
              <w:rPr/>
              <w:t>(5)个人信息的共享。详细说明需要共享的对象、需要共享的原因、需要共享的数据类型、对接收共享数据方  </w:t>
            </w:r>
            <w:r>
              <w:rPr/>
              <w:t>的约束和管理、共享前是否需要征求用户的同意等。此外，还需说明何种情况下个人信息控制者会不经过用户同</w:t>
            </w:r>
            <w:r>
              <w:rPr>
                <w:spacing w:val="12"/>
              </w:rPr>
              <w:t xml:space="preserve"> </w:t>
            </w:r>
            <w:r>
              <w:rPr/>
              <w:t>意共享数据，如响应执法机关和政府机构的要求、进行个人信息保护安全审计、保护用户避免遭受欺诈和严重人 </w:t>
            </w:r>
            <w:r>
              <w:rPr>
                <w:spacing w:val="1"/>
              </w:rPr>
              <w:t>身伤害、保护企业财产、权利及信息系统安</w:t>
            </w:r>
            <w:r>
              <w:rPr/>
              <w:t>全、企业的并购、出售和财产转移等，并说明如何确保个人信息在此 </w:t>
            </w:r>
            <w:r>
              <w:rPr>
                <w:spacing w:val="-1"/>
              </w:rPr>
              <w:t>过程中得到有效保护。</w:t>
            </w:r>
          </w:p>
          <w:p>
            <w:pPr>
              <w:pStyle w:val="TableText"/>
              <w:ind w:left="115" w:right="349" w:firstLine="160"/>
              <w:spacing w:before="83" w:line="319" w:lineRule="auto"/>
              <w:rPr/>
            </w:pPr>
            <w:r>
              <w:rPr>
                <w:spacing w:val="2"/>
              </w:rPr>
              <w:t>(6)用户对个人信息的控制。详细说明个人对</w:t>
            </w:r>
            <w:r>
              <w:rPr>
                <w:spacing w:val="1"/>
              </w:rPr>
              <w:t>其个人信息拥有何种控制权，内容包括但不限于：信息收集、</w:t>
            </w:r>
            <w:r>
              <w:rPr/>
              <w:t xml:space="preserve"> </w:t>
            </w:r>
            <w:r>
              <w:rPr/>
              <w:t>使用和共享时允许用户选择的数据范围，用户所具备的访问、修改、删除等控制权限，用户个人信息保护偏好</w:t>
            </w:r>
            <w:r>
              <w:rPr>
                <w:spacing w:val="2"/>
              </w:rPr>
              <w:t xml:space="preserve"> </w:t>
            </w:r>
            <w:r>
              <w:rPr/>
              <w:t>设置，用户可以选择的通信和广告偏好，用户不再使用服务后要求删除个人信息的渠道、用户进行隐私维权的 </w:t>
            </w:r>
            <w:r>
              <w:rPr>
                <w:spacing w:val="-1"/>
              </w:rPr>
              <w:t>有效渠道等。</w:t>
            </w:r>
          </w:p>
        </w:tc>
      </w:tr>
    </w:tbl>
    <w:p>
      <w:pPr>
        <w:pStyle w:val="BodyText"/>
        <w:rPr/>
      </w:pPr>
      <w:r/>
    </w:p>
    <w:p>
      <w:pPr>
        <w:sectPr>
          <w:footerReference w:type="default" r:id="rId450"/>
          <w:pgSz w:w="8870" w:h="13400"/>
          <w:pgMar w:top="400" w:right="425" w:bottom="484" w:left="470" w:header="0" w:footer="266" w:gutter="0"/>
        </w:sectPr>
        <w:rPr/>
      </w:pPr>
    </w:p>
    <w:p>
      <w:pPr>
        <w:ind w:left="5742"/>
        <w:spacing w:before="254" w:line="219" w:lineRule="auto"/>
        <w:rPr>
          <w:rFonts w:ascii="SimSun" w:hAnsi="SimSun" w:eastAsia="SimSun" w:cs="SimSun"/>
          <w:sz w:val="21"/>
          <w:szCs w:val="21"/>
        </w:rPr>
      </w:pPr>
      <w:r>
        <w:pict>
          <v:rect id="_x0000_s482" style="position:absolute;margin-left:18.0017pt;margin-top:71.9982pt;mso-position-vertical-relative:page;mso-position-horizontal-relative:page;width:1pt;height:511.55pt;z-index:257833984;" o:allowincell="f" fillcolor="#000000" filled="true" stroked="false"/>
        </w:pict>
      </w:r>
      <w:r>
        <w:pict>
          <v:rect id="_x0000_s484" style="position:absolute;margin-left:400.498pt;margin-top:72.5007pt;mso-position-vertical-relative:page;mso-position-horizontal-relative:page;width:1.05pt;height:511.05pt;z-index:257832960;" o:allowincell="f" fillcolor="#000000" filled="true" stroked="false"/>
        </w:pict>
      </w:r>
      <w:r>
        <w:pict>
          <v:rect id="_x0000_s486" style="position:absolute;margin-left:19.5007pt;margin-top:582.002pt;mso-position-vertical-relative:page;mso-position-horizontal-relative:page;width:385pt;height:0.5pt;z-index:257835008;" o:allowincell="f" fillcolor="#000000" filled="true" stroked="false"/>
        </w:pict>
      </w:r>
      <w:bookmarkStart w:name="bookmark85" w:id="80"/>
      <w:bookmarkEnd w:id="80"/>
      <w:r>
        <w:rPr>
          <w:rFonts w:ascii="SimSun" w:hAnsi="SimSun" w:eastAsia="SimSun" w:cs="SimSun"/>
          <w:sz w:val="21"/>
          <w:szCs w:val="21"/>
          <w:b/>
          <w:bCs/>
          <w:spacing w:val="19"/>
        </w:rPr>
        <w:t>第9章■安全与隐私</w:t>
      </w:r>
    </w:p>
    <w:p>
      <w:pPr>
        <w:pStyle w:val="BodyText"/>
        <w:spacing w:line="243" w:lineRule="auto"/>
        <w:rPr/>
      </w:pPr>
      <w:r/>
    </w:p>
    <w:p>
      <w:pPr>
        <w:spacing w:before="68" w:line="223" w:lineRule="auto"/>
        <w:tabs>
          <w:tab w:val="left" w:pos="6952"/>
        </w:tabs>
        <w:rPr>
          <w:rFonts w:ascii="SimHei" w:hAnsi="SimHei" w:eastAsia="SimHei" w:cs="SimHei"/>
          <w:sz w:val="21"/>
          <w:szCs w:val="21"/>
        </w:rPr>
      </w:pPr>
      <w:r>
        <w:rPr>
          <w:rFonts w:ascii="SimHei" w:hAnsi="SimHei" w:eastAsia="SimHei" w:cs="SimHei"/>
          <w:sz w:val="21"/>
          <w:szCs w:val="21"/>
          <w:u w:val="single" w:color="auto"/>
        </w:rPr>
        <w:tab/>
      </w:r>
      <w:r>
        <w:rPr>
          <w:rFonts w:ascii="SimHei" w:hAnsi="SimHei" w:eastAsia="SimHei" w:cs="SimHei"/>
          <w:sz w:val="21"/>
          <w:szCs w:val="21"/>
          <w:b/>
          <w:bCs/>
          <w:u w:val="single" w:color="auto"/>
          <w:spacing w:val="-13"/>
          <w:w w:val="93"/>
        </w:rPr>
        <w:t>续表</w:t>
      </w:r>
      <w:r>
        <w:rPr>
          <w:rFonts w:ascii="SimHei" w:hAnsi="SimHei" w:eastAsia="SimHei" w:cs="SimHei"/>
          <w:sz w:val="21"/>
          <w:szCs w:val="21"/>
          <w:u w:val="single" w:color="auto"/>
        </w:rPr>
        <w:t xml:space="preserve">    </w:t>
      </w:r>
    </w:p>
    <w:p>
      <w:pPr>
        <w:ind w:left="130" w:right="347" w:firstLine="139"/>
        <w:spacing w:before="66" w:line="288" w:lineRule="auto"/>
        <w:rPr>
          <w:rFonts w:ascii="SimSun" w:hAnsi="SimSun" w:eastAsia="SimSun" w:cs="SimSun"/>
          <w:sz w:val="16"/>
          <w:szCs w:val="16"/>
        </w:rPr>
      </w:pPr>
      <w:r>
        <w:rPr>
          <w:rFonts w:ascii="SimSun" w:hAnsi="SimSun" w:eastAsia="SimSun" w:cs="SimSun"/>
          <w:sz w:val="16"/>
          <w:szCs w:val="16"/>
          <w:spacing w:val="-7"/>
        </w:rPr>
        <w:t>(7)个人信息的安全保护。详细说明个人信息控制者对个人信息进行安全保护的措施。包括但不限于数据完整</w:t>
      </w:r>
      <w:r>
        <w:rPr>
          <w:rFonts w:ascii="SimSun" w:hAnsi="SimSun" w:eastAsia="SimSun" w:cs="SimSun"/>
          <w:sz w:val="16"/>
          <w:szCs w:val="16"/>
        </w:rPr>
        <w:t xml:space="preserve"> </w:t>
      </w:r>
      <w:r>
        <w:rPr>
          <w:rFonts w:ascii="SimSun" w:hAnsi="SimSun" w:eastAsia="SimSun" w:cs="SimSun"/>
          <w:sz w:val="16"/>
          <w:szCs w:val="16"/>
          <w:spacing w:val="-9"/>
        </w:rPr>
        <w:t>性保护措施，数据传输、存储和备份过程的加密措施，数据访问、处理的授权机制，数据的保留和删除机制，数</w:t>
      </w:r>
      <w:r>
        <w:rPr>
          <w:rFonts w:ascii="SimSun" w:hAnsi="SimSun" w:eastAsia="SimSun" w:cs="SimSun"/>
          <w:sz w:val="16"/>
          <w:szCs w:val="16"/>
          <w:spacing w:val="16"/>
        </w:rPr>
        <w:t xml:space="preserve"> </w:t>
      </w:r>
      <w:r>
        <w:rPr>
          <w:rFonts w:ascii="SimSun" w:hAnsi="SimSun" w:eastAsia="SimSun" w:cs="SimSun"/>
          <w:sz w:val="16"/>
          <w:szCs w:val="16"/>
          <w:spacing w:val="-9"/>
        </w:rPr>
        <w:t>据存储和处理的地理位置，确保第三方使用共享数据的安全保护</w:t>
      </w:r>
      <w:r>
        <w:rPr>
          <w:rFonts w:ascii="SimSun" w:hAnsi="SimSun" w:eastAsia="SimSun" w:cs="SimSun"/>
          <w:sz w:val="16"/>
          <w:szCs w:val="16"/>
          <w:spacing w:val="-10"/>
        </w:rPr>
        <w:t>机制等。</w:t>
      </w:r>
    </w:p>
    <w:p>
      <w:pPr>
        <w:ind w:left="130" w:right="368" w:firstLine="139"/>
        <w:spacing w:before="89" w:line="277" w:lineRule="auto"/>
        <w:rPr>
          <w:rFonts w:ascii="SimSun" w:hAnsi="SimSun" w:eastAsia="SimSun" w:cs="SimSun"/>
          <w:sz w:val="16"/>
          <w:szCs w:val="16"/>
        </w:rPr>
      </w:pPr>
      <w:r>
        <w:rPr>
          <w:rFonts w:ascii="SimSun" w:hAnsi="SimSun" w:eastAsia="SimSun" w:cs="SimSun"/>
          <w:sz w:val="16"/>
          <w:szCs w:val="16"/>
          <w:spacing w:val="-7"/>
        </w:rPr>
        <w:t>(8)个人信息的跨境传输。如果因业务需求、政府和司法监管要求存在跨境信息传输情况，需详细说明</w:t>
      </w:r>
      <w:r>
        <w:rPr>
          <w:rFonts w:ascii="SimSun" w:hAnsi="SimSun" w:eastAsia="SimSun" w:cs="SimSun"/>
          <w:sz w:val="16"/>
          <w:szCs w:val="16"/>
          <w:spacing w:val="-8"/>
        </w:rPr>
        <w:t>需要进</w:t>
      </w:r>
      <w:r>
        <w:rPr>
          <w:rFonts w:ascii="SimSun" w:hAnsi="SimSun" w:eastAsia="SimSun" w:cs="SimSun"/>
          <w:sz w:val="16"/>
          <w:szCs w:val="16"/>
        </w:rPr>
        <w:t xml:space="preserve"> </w:t>
      </w:r>
      <w:r>
        <w:rPr>
          <w:rFonts w:ascii="SimSun" w:hAnsi="SimSun" w:eastAsia="SimSun" w:cs="SimSun"/>
          <w:sz w:val="16"/>
          <w:szCs w:val="16"/>
          <w:spacing w:val="-7"/>
        </w:rPr>
        <w:t>行跨境传输的数据类型，以及跨境传输遵守的标准、协议和法律机制(合同等)。</w:t>
      </w:r>
    </w:p>
    <w:p>
      <w:pPr>
        <w:ind w:left="130" w:right="328" w:firstLine="139"/>
        <w:spacing w:before="71" w:line="297" w:lineRule="auto"/>
        <w:rPr>
          <w:rFonts w:ascii="SimSun" w:hAnsi="SimSun" w:eastAsia="SimSun" w:cs="SimSun"/>
          <w:sz w:val="16"/>
          <w:szCs w:val="16"/>
        </w:rPr>
      </w:pPr>
      <w:r>
        <w:rPr>
          <w:rFonts w:ascii="SimSun" w:hAnsi="SimSun" w:eastAsia="SimSun" w:cs="SimSun"/>
          <w:sz w:val="16"/>
          <w:szCs w:val="16"/>
          <w:spacing w:val="-7"/>
        </w:rPr>
        <w:t>(9)自动数据收集工具说明。如果个人信息控制者或其授权第三方使用自动数据收集工具收集个人信息，则需</w:t>
      </w:r>
      <w:r>
        <w:rPr>
          <w:rFonts w:ascii="SimSun" w:hAnsi="SimSun" w:eastAsia="SimSun" w:cs="SimSun"/>
          <w:sz w:val="16"/>
          <w:szCs w:val="16"/>
          <w:spacing w:val="1"/>
        </w:rPr>
        <w:t xml:space="preserve"> </w:t>
      </w:r>
      <w:r>
        <w:rPr>
          <w:rFonts w:ascii="SimSun" w:hAnsi="SimSun" w:eastAsia="SimSun" w:cs="SimSun"/>
          <w:sz w:val="16"/>
          <w:szCs w:val="16"/>
          <w:spacing w:val="-9"/>
        </w:rPr>
        <w:t>要对使用的技术机制做详细描述，同时，说明使用自动工具收集个人信息的目的，并向用户提供限制</w:t>
      </w:r>
      <w:r>
        <w:rPr>
          <w:rFonts w:ascii="SimSun" w:hAnsi="SimSun" w:eastAsia="SimSun" w:cs="SimSun"/>
          <w:sz w:val="16"/>
          <w:szCs w:val="16"/>
          <w:spacing w:val="-10"/>
        </w:rPr>
        <w:t>自动工具进</w:t>
      </w:r>
      <w:r>
        <w:rPr>
          <w:rFonts w:ascii="SimSun" w:hAnsi="SimSun" w:eastAsia="SimSun" w:cs="SimSun"/>
          <w:sz w:val="16"/>
          <w:szCs w:val="16"/>
        </w:rPr>
        <w:t xml:space="preserve"> </w:t>
      </w:r>
      <w:r>
        <w:rPr>
          <w:rFonts w:ascii="SimSun" w:hAnsi="SimSun" w:eastAsia="SimSun" w:cs="SimSun"/>
          <w:sz w:val="16"/>
          <w:szCs w:val="16"/>
          <w:spacing w:val="-9"/>
        </w:rPr>
        <w:t>行数据收集的方法。常见的自动数据收集工具有：</w:t>
      </w:r>
      <w:r>
        <w:rPr>
          <w:rFonts w:ascii="SimSun" w:hAnsi="SimSun" w:eastAsia="SimSun" w:cs="SimSun"/>
          <w:sz w:val="16"/>
          <w:szCs w:val="16"/>
          <w:spacing w:val="-8"/>
        </w:rPr>
        <w:t xml:space="preserve"> </w:t>
      </w:r>
      <w:r>
        <w:rPr>
          <w:rFonts w:ascii="Times New Roman" w:hAnsi="Times New Roman" w:eastAsia="Times New Roman" w:cs="Times New Roman"/>
          <w:sz w:val="16"/>
          <w:szCs w:val="16"/>
          <w:spacing w:val="-9"/>
        </w:rPr>
        <w:t>Cookie</w:t>
      </w:r>
      <w:r>
        <w:rPr>
          <w:rFonts w:ascii="SimSun" w:hAnsi="SimSun" w:eastAsia="SimSun" w:cs="SimSun"/>
          <w:sz w:val="16"/>
          <w:szCs w:val="16"/>
          <w:spacing w:val="-9"/>
        </w:rPr>
        <w:t>、脚本、</w:t>
      </w:r>
      <w:r>
        <w:rPr>
          <w:rFonts w:ascii="Times New Roman" w:hAnsi="Times New Roman" w:eastAsia="Times New Roman" w:cs="Times New Roman"/>
          <w:sz w:val="16"/>
          <w:szCs w:val="16"/>
          <w:spacing w:val="-9"/>
        </w:rPr>
        <w:t>Web</w:t>
      </w:r>
      <w:r>
        <w:rPr>
          <w:rFonts w:ascii="SimSun" w:hAnsi="SimSun" w:eastAsia="SimSun" w:cs="SimSun"/>
          <w:sz w:val="16"/>
          <w:szCs w:val="16"/>
          <w:spacing w:val="-9"/>
        </w:rPr>
        <w:t>信标、</w:t>
      </w:r>
      <w:r>
        <w:rPr>
          <w:rFonts w:ascii="Times New Roman" w:hAnsi="Times New Roman" w:eastAsia="Times New Roman" w:cs="Times New Roman"/>
          <w:sz w:val="16"/>
          <w:szCs w:val="16"/>
          <w:spacing w:val="-9"/>
        </w:rPr>
        <w:t>Flash Cookie</w:t>
      </w:r>
      <w:r>
        <w:rPr>
          <w:rFonts w:ascii="SimSun" w:hAnsi="SimSun" w:eastAsia="SimSun" w:cs="SimSun"/>
          <w:sz w:val="16"/>
          <w:szCs w:val="16"/>
          <w:spacing w:val="-9"/>
        </w:rPr>
        <w:t>、内嵌</w:t>
      </w:r>
      <w:r>
        <w:rPr>
          <w:rFonts w:ascii="SimSun" w:hAnsi="SimSun" w:eastAsia="SimSun" w:cs="SimSun"/>
          <w:sz w:val="16"/>
          <w:szCs w:val="16"/>
          <w:spacing w:val="-35"/>
        </w:rPr>
        <w:t xml:space="preserve"> </w:t>
      </w:r>
      <w:r>
        <w:rPr>
          <w:rFonts w:ascii="Times New Roman" w:hAnsi="Times New Roman" w:eastAsia="Times New Roman" w:cs="Times New Roman"/>
          <w:sz w:val="16"/>
          <w:szCs w:val="16"/>
          <w:spacing w:val="-9"/>
        </w:rPr>
        <w:t>Web </w:t>
      </w:r>
      <w:r>
        <w:rPr>
          <w:rFonts w:ascii="SimSun" w:hAnsi="SimSun" w:eastAsia="SimSun" w:cs="SimSun"/>
          <w:sz w:val="16"/>
          <w:szCs w:val="16"/>
          <w:spacing w:val="-9"/>
        </w:rPr>
        <w:t>链接、本地</w:t>
      </w:r>
      <w:r>
        <w:rPr>
          <w:rFonts w:ascii="SimSun" w:hAnsi="SimSun" w:eastAsia="SimSun" w:cs="SimSun"/>
          <w:sz w:val="16"/>
          <w:szCs w:val="16"/>
        </w:rPr>
        <w:t xml:space="preserve"> </w:t>
      </w:r>
      <w:r>
        <w:rPr>
          <w:rFonts w:ascii="SimSun" w:hAnsi="SimSun" w:eastAsia="SimSun" w:cs="SimSun"/>
          <w:sz w:val="16"/>
          <w:szCs w:val="16"/>
          <w:spacing w:val="-10"/>
        </w:rPr>
        <w:t>存储器等。</w:t>
      </w:r>
    </w:p>
    <w:p>
      <w:pPr>
        <w:ind w:left="130" w:right="325" w:firstLine="139"/>
        <w:spacing w:before="99" w:line="284" w:lineRule="auto"/>
        <w:rPr>
          <w:rFonts w:ascii="SimSun" w:hAnsi="SimSun" w:eastAsia="SimSun" w:cs="SimSun"/>
          <w:sz w:val="16"/>
          <w:szCs w:val="16"/>
        </w:rPr>
      </w:pPr>
      <w:r>
        <w:rPr>
          <w:rFonts w:ascii="SimSun" w:hAnsi="SimSun" w:eastAsia="SimSun" w:cs="SimSun"/>
          <w:sz w:val="16"/>
          <w:szCs w:val="16"/>
          <w:spacing w:val="-8"/>
        </w:rPr>
        <w:t>(10)变更通知。个人信息控制者在隐私惯例发生重大变化时，需及时更新隐私声明，并说明使用何种机制并及</w:t>
      </w:r>
      <w:r>
        <w:rPr>
          <w:rFonts w:ascii="SimSun" w:hAnsi="SimSun" w:eastAsia="SimSun" w:cs="SimSun"/>
          <w:sz w:val="16"/>
          <w:szCs w:val="16"/>
          <w:spacing w:val="17"/>
        </w:rPr>
        <w:t xml:space="preserve"> </w:t>
      </w:r>
      <w:r>
        <w:rPr>
          <w:rFonts w:ascii="SimSun" w:hAnsi="SimSun" w:eastAsia="SimSun" w:cs="SimSun"/>
          <w:sz w:val="16"/>
          <w:szCs w:val="16"/>
          <w:spacing w:val="-9"/>
        </w:rPr>
        <w:t>时通知用户。</w:t>
      </w:r>
    </w:p>
    <w:p>
      <w:pPr>
        <w:ind w:left="270"/>
        <w:spacing w:before="79" w:line="219" w:lineRule="auto"/>
        <w:rPr>
          <w:rFonts w:ascii="SimSun" w:hAnsi="SimSun" w:eastAsia="SimSun" w:cs="SimSun"/>
          <w:sz w:val="16"/>
          <w:szCs w:val="16"/>
        </w:rPr>
      </w:pPr>
      <w:r>
        <w:rPr>
          <w:rFonts w:ascii="SimSun" w:hAnsi="SimSun" w:eastAsia="SimSun" w:cs="SimSun"/>
          <w:sz w:val="16"/>
          <w:szCs w:val="16"/>
          <w:spacing w:val="-7"/>
        </w:rPr>
        <w:t>(11)法律、政策等规定的其他内容。如未成年人、老年人、残疾人使用系</w:t>
      </w:r>
      <w:r>
        <w:rPr>
          <w:rFonts w:ascii="SimSun" w:hAnsi="SimSun" w:eastAsia="SimSun" w:cs="SimSun"/>
          <w:sz w:val="16"/>
          <w:szCs w:val="16"/>
          <w:spacing w:val="-8"/>
        </w:rPr>
        <w:t>统注意事项等。</w:t>
      </w:r>
    </w:p>
    <w:p>
      <w:pPr>
        <w:ind w:left="130" w:right="347" w:firstLine="139"/>
        <w:spacing w:before="90" w:line="277" w:lineRule="auto"/>
        <w:rPr>
          <w:rFonts w:ascii="SimSun" w:hAnsi="SimSun" w:eastAsia="SimSun" w:cs="SimSun"/>
          <w:sz w:val="16"/>
          <w:szCs w:val="16"/>
        </w:rPr>
      </w:pPr>
      <w:r>
        <w:rPr>
          <w:rFonts w:ascii="SimSun" w:hAnsi="SimSun" w:eastAsia="SimSun" w:cs="SimSun"/>
          <w:sz w:val="16"/>
          <w:szCs w:val="16"/>
          <w:spacing w:val="-8"/>
        </w:rPr>
        <w:t>(12)联系方式。个人信息控制者需要明确给出处理个人信息保护相关反馈、投诉的渠道，如个人信</w:t>
      </w:r>
      <w:r>
        <w:rPr>
          <w:rFonts w:ascii="SimSun" w:hAnsi="SimSun" w:eastAsia="SimSun" w:cs="SimSun"/>
          <w:sz w:val="16"/>
          <w:szCs w:val="16"/>
          <w:spacing w:val="-9"/>
        </w:rPr>
        <w:t>息保护责任</w:t>
      </w:r>
      <w:r>
        <w:rPr>
          <w:rFonts w:ascii="SimSun" w:hAnsi="SimSun" w:eastAsia="SimSun" w:cs="SimSun"/>
          <w:sz w:val="16"/>
          <w:szCs w:val="16"/>
        </w:rPr>
        <w:t xml:space="preserve"> </w:t>
      </w:r>
      <w:r>
        <w:rPr>
          <w:rFonts w:ascii="SimSun" w:hAnsi="SimSun" w:eastAsia="SimSun" w:cs="SimSun"/>
          <w:sz w:val="16"/>
          <w:szCs w:val="16"/>
          <w:spacing w:val="-9"/>
        </w:rPr>
        <w:t>部门的联系方式、地址、电子邮箱、用户反馈问题的表单等，并</w:t>
      </w:r>
      <w:r>
        <w:rPr>
          <w:rFonts w:ascii="SimSun" w:hAnsi="SimSun" w:eastAsia="SimSun" w:cs="SimSun"/>
          <w:sz w:val="16"/>
          <w:szCs w:val="16"/>
          <w:spacing w:val="-10"/>
        </w:rPr>
        <w:t>明确用户可以收到回应的时间。</w:t>
      </w:r>
    </w:p>
    <w:p>
      <w:pPr>
        <w:ind w:left="3409"/>
        <w:spacing w:before="80" w:line="219" w:lineRule="auto"/>
        <w:rPr>
          <w:rFonts w:ascii="SimSun" w:hAnsi="SimSun" w:eastAsia="SimSun" w:cs="SimSun"/>
          <w:sz w:val="16"/>
          <w:szCs w:val="16"/>
        </w:rPr>
      </w:pPr>
      <w:r>
        <w:rPr>
          <w:rFonts w:ascii="SimSun" w:hAnsi="SimSun" w:eastAsia="SimSun" w:cs="SimSun"/>
          <w:sz w:val="16"/>
          <w:szCs w:val="16"/>
          <w:spacing w:val="-6"/>
        </w:rPr>
        <w:t>个人信息示例</w:t>
      </w:r>
    </w:p>
    <w:p>
      <w:pPr>
        <w:ind w:left="270"/>
        <w:spacing w:before="90" w:line="219" w:lineRule="auto"/>
        <w:rPr>
          <w:rFonts w:ascii="SimSun" w:hAnsi="SimSun" w:eastAsia="SimSun" w:cs="SimSun"/>
          <w:sz w:val="16"/>
          <w:szCs w:val="16"/>
        </w:rPr>
      </w:pPr>
      <w:r>
        <w:rPr>
          <w:rFonts w:ascii="SimSun" w:hAnsi="SimSun" w:eastAsia="SimSun" w:cs="SimSun"/>
          <w:sz w:val="16"/>
          <w:szCs w:val="16"/>
          <w:spacing w:val="-8"/>
        </w:rPr>
        <w:t>1</w:t>
      </w:r>
      <w:r>
        <w:rPr>
          <w:rFonts w:ascii="SimSun" w:hAnsi="SimSun" w:eastAsia="SimSun" w:cs="SimSun"/>
          <w:sz w:val="16"/>
          <w:szCs w:val="16"/>
          <w:spacing w:val="72"/>
          <w:w w:val="101"/>
        </w:rPr>
        <w:t xml:space="preserve"> </w:t>
      </w:r>
      <w:r>
        <w:rPr>
          <w:rFonts w:ascii="SimSun" w:hAnsi="SimSun" w:eastAsia="SimSun" w:cs="SimSun"/>
          <w:sz w:val="16"/>
          <w:szCs w:val="16"/>
          <w:spacing w:val="-8"/>
        </w:rPr>
        <w:t>身份关联信息</w:t>
      </w:r>
    </w:p>
    <w:p>
      <w:pPr>
        <w:ind w:left="270"/>
        <w:spacing w:before="101" w:line="219" w:lineRule="auto"/>
        <w:rPr>
          <w:rFonts w:ascii="SimSun" w:hAnsi="SimSun" w:eastAsia="SimSun" w:cs="SimSun"/>
          <w:sz w:val="16"/>
          <w:szCs w:val="16"/>
        </w:rPr>
      </w:pPr>
      <w:r>
        <w:rPr>
          <w:rFonts w:ascii="SimSun" w:hAnsi="SimSun" w:eastAsia="SimSun" w:cs="SimSun"/>
          <w:sz w:val="16"/>
          <w:szCs w:val="16"/>
          <w:spacing w:val="-10"/>
        </w:rPr>
        <w:t>身份关联信息，是指能够切实可行地单独或通过与其他信息相结合，识别出具体的个人</w:t>
      </w:r>
      <w:r>
        <w:rPr>
          <w:rFonts w:ascii="SimSun" w:hAnsi="SimSun" w:eastAsia="SimSun" w:cs="SimSun"/>
          <w:sz w:val="16"/>
          <w:szCs w:val="16"/>
          <w:spacing w:val="-11"/>
        </w:rPr>
        <w:t>信息或此等信息的集合。</w:t>
      </w:r>
    </w:p>
    <w:p>
      <w:pPr>
        <w:spacing w:line="148" w:lineRule="exact"/>
        <w:rPr/>
      </w:pPr>
      <w:r/>
    </w:p>
    <w:tbl>
      <w:tblPr>
        <w:tblStyle w:val="TableNormal"/>
        <w:tblW w:w="728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03"/>
        <w:gridCol w:w="5677"/>
      </w:tblGrid>
      <w:tr>
        <w:trPr>
          <w:trHeight w:val="354" w:hRule="atLeast"/>
        </w:trPr>
        <w:tc>
          <w:tcPr>
            <w:tcW w:w="1603" w:type="dxa"/>
            <w:vAlign w:val="top"/>
          </w:tcPr>
          <w:p>
            <w:pPr>
              <w:pStyle w:val="TableText"/>
              <w:ind w:left="374"/>
              <w:spacing w:before="101" w:line="219" w:lineRule="auto"/>
              <w:rPr/>
            </w:pPr>
            <w:r>
              <w:rPr>
                <w:spacing w:val="-7"/>
              </w:rPr>
              <w:t>信</w:t>
            </w:r>
            <w:r>
              <w:rPr>
                <w:spacing w:val="22"/>
              </w:rPr>
              <w:t xml:space="preserve"> </w:t>
            </w:r>
            <w:r>
              <w:rPr>
                <w:spacing w:val="-7"/>
              </w:rPr>
              <w:t>息</w:t>
            </w:r>
            <w:r>
              <w:rPr>
                <w:spacing w:val="17"/>
              </w:rPr>
              <w:t xml:space="preserve"> </w:t>
            </w:r>
            <w:r>
              <w:rPr>
                <w:spacing w:val="-7"/>
              </w:rPr>
              <w:t>分</w:t>
            </w:r>
            <w:r>
              <w:rPr>
                <w:spacing w:val="15"/>
              </w:rPr>
              <w:t xml:space="preserve"> </w:t>
            </w:r>
            <w:r>
              <w:rPr>
                <w:spacing w:val="-7"/>
              </w:rPr>
              <w:t>类</w:t>
            </w:r>
          </w:p>
        </w:tc>
        <w:tc>
          <w:tcPr>
            <w:tcW w:w="5677" w:type="dxa"/>
            <w:vAlign w:val="top"/>
          </w:tcPr>
          <w:p>
            <w:pPr>
              <w:pStyle w:val="TableText"/>
              <w:ind w:left="2432"/>
              <w:spacing w:before="101" w:line="219" w:lineRule="auto"/>
              <w:rPr/>
            </w:pPr>
            <w:r>
              <w:rPr>
                <w:spacing w:val="-5"/>
              </w:rPr>
              <w:t>包</w:t>
            </w:r>
            <w:r>
              <w:rPr>
                <w:spacing w:val="15"/>
              </w:rPr>
              <w:t xml:space="preserve"> </w:t>
            </w:r>
            <w:r>
              <w:rPr>
                <w:spacing w:val="-5"/>
              </w:rPr>
              <w:t>含</w:t>
            </w:r>
            <w:r>
              <w:rPr>
                <w:spacing w:val="16"/>
              </w:rPr>
              <w:t xml:space="preserve"> </w:t>
            </w:r>
            <w:r>
              <w:rPr>
                <w:spacing w:val="-5"/>
              </w:rPr>
              <w:t>成</w:t>
            </w:r>
            <w:r>
              <w:rPr>
                <w:spacing w:val="17"/>
              </w:rPr>
              <w:t xml:space="preserve"> </w:t>
            </w:r>
            <w:r>
              <w:rPr>
                <w:spacing w:val="-5"/>
              </w:rPr>
              <w:t>分</w:t>
            </w:r>
          </w:p>
        </w:tc>
      </w:tr>
      <w:tr>
        <w:trPr>
          <w:trHeight w:val="589" w:hRule="atLeast"/>
        </w:trPr>
        <w:tc>
          <w:tcPr>
            <w:tcW w:w="1603" w:type="dxa"/>
            <w:vAlign w:val="top"/>
          </w:tcPr>
          <w:p>
            <w:pPr>
              <w:pStyle w:val="TableText"/>
              <w:ind w:left="345"/>
              <w:spacing w:before="217" w:line="219" w:lineRule="auto"/>
              <w:rPr/>
            </w:pPr>
            <w:r>
              <w:rPr>
                <w:spacing w:val="-1"/>
              </w:rPr>
              <w:t>用户身份信息</w:t>
            </w:r>
          </w:p>
        </w:tc>
        <w:tc>
          <w:tcPr>
            <w:tcW w:w="5677" w:type="dxa"/>
            <w:vAlign w:val="top"/>
          </w:tcPr>
          <w:p>
            <w:pPr>
              <w:pStyle w:val="TableText"/>
              <w:ind w:left="111" w:right="79" w:firstLine="149"/>
              <w:spacing w:before="87" w:line="287" w:lineRule="auto"/>
              <w:rPr/>
            </w:pPr>
            <w:r>
              <w:rPr>
                <w:spacing w:val="2"/>
              </w:rPr>
              <w:t>指能单独、准确识别用户真实身份的影印件及其他信息。包括但不限于身份证、</w:t>
            </w:r>
            <w:r>
              <w:rPr>
                <w:spacing w:val="4"/>
              </w:rPr>
              <w:t xml:space="preserve"> </w:t>
            </w:r>
            <w:r>
              <w:rPr/>
              <w:t>军官证、护照的影印件、身份证号信息、机动车登记</w:t>
            </w:r>
            <w:r>
              <w:rPr>
                <w:spacing w:val="-1"/>
              </w:rPr>
              <w:t>号码、房产证号码等</w:t>
            </w:r>
          </w:p>
        </w:tc>
      </w:tr>
      <w:tr>
        <w:trPr>
          <w:trHeight w:val="599" w:hRule="atLeast"/>
        </w:trPr>
        <w:tc>
          <w:tcPr>
            <w:tcW w:w="1603" w:type="dxa"/>
            <w:vAlign w:val="top"/>
          </w:tcPr>
          <w:p>
            <w:pPr>
              <w:pStyle w:val="TableText"/>
              <w:ind w:left="345"/>
              <w:spacing w:before="228" w:line="219" w:lineRule="auto"/>
              <w:rPr/>
            </w:pPr>
            <w:r>
              <w:rPr>
                <w:spacing w:val="-1"/>
              </w:rPr>
              <w:t>生物识别信息</w:t>
            </w:r>
          </w:p>
        </w:tc>
        <w:tc>
          <w:tcPr>
            <w:tcW w:w="5677" w:type="dxa"/>
            <w:vAlign w:val="top"/>
          </w:tcPr>
          <w:p>
            <w:pPr>
              <w:pStyle w:val="TableText"/>
              <w:ind w:left="102" w:right="70" w:firstLine="169"/>
              <w:spacing w:before="97" w:line="282" w:lineRule="auto"/>
              <w:rPr/>
            </w:pPr>
            <w:r>
              <w:rPr>
                <w:spacing w:val="2"/>
              </w:rPr>
              <w:t>指与用户具有唯一对应关系的用户生理信息。包括但不限于指纹、声纹、虹膜、</w:t>
            </w:r>
            <w:r>
              <w:rPr>
                <w:spacing w:val="3"/>
              </w:rPr>
              <w:t xml:space="preserve"> </w:t>
            </w:r>
            <w:r>
              <w:rPr>
                <w:spacing w:val="-5"/>
              </w:rPr>
              <w:t>脸</w:t>
            </w:r>
            <w:r>
              <w:rPr>
                <w:spacing w:val="-35"/>
              </w:rPr>
              <w:t xml:space="preserve"> </w:t>
            </w:r>
            <w:r>
              <w:rPr>
                <w:spacing w:val="-5"/>
              </w:rPr>
              <w:t>谱</w:t>
            </w:r>
            <w:r>
              <w:rPr>
                <w:spacing w:val="-24"/>
              </w:rPr>
              <w:t xml:space="preserve"> </w:t>
            </w:r>
            <w:r>
              <w:rPr>
                <w:spacing w:val="-5"/>
              </w:rPr>
              <w:t>、</w:t>
            </w:r>
            <w:r>
              <w:rPr>
                <w:spacing w:val="-37"/>
              </w:rPr>
              <w:t xml:space="preserve"> </w:t>
            </w:r>
            <w:r>
              <w:rPr>
                <w:spacing w:val="-5"/>
              </w:rPr>
              <w:t>D</w:t>
            </w:r>
            <w:r>
              <w:rPr>
                <w:spacing w:val="-39"/>
              </w:rPr>
              <w:t xml:space="preserve"> </w:t>
            </w:r>
            <w:r>
              <w:rPr>
                <w:spacing w:val="-5"/>
              </w:rPr>
              <w:t>N</w:t>
            </w:r>
            <w:r>
              <w:rPr>
                <w:spacing w:val="-39"/>
              </w:rPr>
              <w:t xml:space="preserve"> </w:t>
            </w:r>
            <w:r>
              <w:rPr>
                <w:spacing w:val="-5"/>
              </w:rPr>
              <w:t>A</w:t>
            </w:r>
            <w:r>
              <w:rPr>
                <w:spacing w:val="-33"/>
              </w:rPr>
              <w:t xml:space="preserve"> </w:t>
            </w:r>
            <w:r>
              <w:rPr>
                <w:spacing w:val="-5"/>
              </w:rPr>
              <w:t>等</w:t>
            </w:r>
          </w:p>
        </w:tc>
      </w:tr>
      <w:tr>
        <w:trPr>
          <w:trHeight w:val="599" w:hRule="atLeast"/>
        </w:trPr>
        <w:tc>
          <w:tcPr>
            <w:tcW w:w="1603" w:type="dxa"/>
            <w:vAlign w:val="top"/>
          </w:tcPr>
          <w:p>
            <w:pPr>
              <w:pStyle w:val="TableText"/>
              <w:ind w:left="345"/>
              <w:spacing w:before="228" w:line="219" w:lineRule="auto"/>
              <w:rPr/>
            </w:pPr>
            <w:r>
              <w:rPr>
                <w:spacing w:val="-1"/>
              </w:rPr>
              <w:t>用户基本资料</w:t>
            </w:r>
          </w:p>
        </w:tc>
        <w:tc>
          <w:tcPr>
            <w:tcW w:w="5677" w:type="dxa"/>
            <w:vAlign w:val="top"/>
          </w:tcPr>
          <w:p>
            <w:pPr>
              <w:pStyle w:val="TableText"/>
              <w:ind w:left="122" w:right="152" w:firstLine="149"/>
              <w:spacing w:before="98" w:line="288" w:lineRule="auto"/>
              <w:rPr/>
            </w:pPr>
            <w:r>
              <w:rPr/>
              <w:t>指对于用户社会属性和自然属性进行描述的信息。包括但不</w:t>
            </w:r>
            <w:r>
              <w:rPr>
                <w:spacing w:val="-1"/>
              </w:rPr>
              <w:t>限于生日、性别、职</w:t>
            </w:r>
            <w:r>
              <w:rPr/>
              <w:t xml:space="preserve"> </w:t>
            </w:r>
            <w:r>
              <w:rPr/>
              <w:t>业、职位、民族、国籍、政党属性、邮编、姓名、宗教信仰、地</w:t>
            </w:r>
            <w:r>
              <w:rPr>
                <w:spacing w:val="-1"/>
              </w:rPr>
              <w:t>址、工作单位等</w:t>
            </w:r>
          </w:p>
        </w:tc>
      </w:tr>
      <w:tr>
        <w:trPr>
          <w:trHeight w:val="868" w:hRule="atLeast"/>
        </w:trPr>
        <w:tc>
          <w:tcPr>
            <w:tcW w:w="1603" w:type="dxa"/>
            <w:vAlign w:val="top"/>
          </w:tcPr>
          <w:p>
            <w:pPr>
              <w:spacing w:line="309" w:lineRule="auto"/>
              <w:rPr>
                <w:rFonts w:ascii="Arial"/>
                <w:sz w:val="21"/>
              </w:rPr>
            </w:pPr>
            <w:r/>
          </w:p>
          <w:p>
            <w:pPr>
              <w:pStyle w:val="TableText"/>
              <w:ind w:left="265"/>
              <w:spacing w:before="49" w:line="219" w:lineRule="auto"/>
              <w:rPr/>
            </w:pPr>
            <w:r>
              <w:rPr>
                <w:spacing w:val="-1"/>
              </w:rPr>
              <w:t>病理及健康信息</w:t>
            </w:r>
          </w:p>
        </w:tc>
        <w:tc>
          <w:tcPr>
            <w:tcW w:w="5677" w:type="dxa"/>
            <w:vAlign w:val="top"/>
          </w:tcPr>
          <w:p>
            <w:pPr>
              <w:pStyle w:val="TableText"/>
              <w:ind w:left="102" w:right="152" w:firstLine="169"/>
              <w:spacing w:before="109" w:line="299" w:lineRule="auto"/>
              <w:jc w:val="both"/>
              <w:rPr/>
            </w:pPr>
            <w:r>
              <w:rPr/>
              <w:t>指用户因生病医治而产生的相关记录或由用户身体健康状况</w:t>
            </w:r>
            <w:r>
              <w:rPr>
                <w:spacing w:val="-1"/>
              </w:rPr>
              <w:t>产生的相关信息。包</w:t>
            </w:r>
            <w:r>
              <w:rPr/>
              <w:t xml:space="preserve"> </w:t>
            </w:r>
            <w:r>
              <w:rPr/>
              <w:t>括但不限于病症、住院记录、医嘱单、检验报告、手术及麻醉记录</w:t>
            </w:r>
            <w:r>
              <w:rPr>
                <w:spacing w:val="-1"/>
              </w:rPr>
              <w:t>、护理记录、医</w:t>
            </w:r>
            <w:r>
              <w:rPr/>
              <w:t xml:space="preserve"> </w:t>
            </w:r>
            <w:r>
              <w:rPr/>
              <w:t>疗费用、用药记录等病理信息及体重、身高、肺活量</w:t>
            </w:r>
            <w:r>
              <w:rPr>
                <w:spacing w:val="-1"/>
              </w:rPr>
              <w:t>等个人健康信息</w:t>
            </w:r>
          </w:p>
        </w:tc>
      </w:tr>
      <w:tr>
        <w:trPr>
          <w:trHeight w:val="588" w:hRule="atLeast"/>
        </w:trPr>
        <w:tc>
          <w:tcPr>
            <w:tcW w:w="1603" w:type="dxa"/>
            <w:vAlign w:val="top"/>
          </w:tcPr>
          <w:p>
            <w:pPr>
              <w:pStyle w:val="TableText"/>
              <w:ind w:left="115"/>
              <w:spacing w:before="222" w:line="219" w:lineRule="auto"/>
              <w:rPr/>
            </w:pPr>
            <w:r>
              <w:rPr>
                <w:spacing w:val="1"/>
              </w:rPr>
              <w:t>身份标识和鉴权信息</w:t>
            </w:r>
          </w:p>
        </w:tc>
        <w:tc>
          <w:tcPr>
            <w:tcW w:w="5677" w:type="dxa"/>
            <w:vAlign w:val="top"/>
          </w:tcPr>
          <w:p>
            <w:pPr>
              <w:pStyle w:val="TableText"/>
              <w:ind w:left="111" w:right="162" w:firstLine="149"/>
              <w:spacing w:before="101" w:line="282" w:lineRule="auto"/>
              <w:rPr/>
            </w:pPr>
            <w:r>
              <w:rPr/>
              <w:t>指用户使用服务过程中区别于其他用户的标识信息以及对该</w:t>
            </w:r>
            <w:r>
              <w:rPr>
                <w:spacing w:val="-1"/>
              </w:rPr>
              <w:t>标识信息进行识别确</w:t>
            </w:r>
            <w:r>
              <w:rPr/>
              <w:t xml:space="preserve"> </w:t>
            </w:r>
            <w:r>
              <w:rPr/>
              <w:t>认的信息。包括交易类服务身份标识和鉴权信息及普通服务身份</w:t>
            </w:r>
            <w:r>
              <w:rPr>
                <w:spacing w:val="-1"/>
              </w:rPr>
              <w:t>标识和鉴权信息</w:t>
            </w:r>
          </w:p>
        </w:tc>
      </w:tr>
      <w:tr>
        <w:trPr>
          <w:trHeight w:val="589" w:hRule="atLeast"/>
        </w:trPr>
        <w:tc>
          <w:tcPr>
            <w:tcW w:w="1603" w:type="dxa"/>
            <w:vAlign w:val="top"/>
          </w:tcPr>
          <w:p>
            <w:pPr>
              <w:pStyle w:val="TableText"/>
              <w:ind w:left="494" w:right="133" w:hanging="379"/>
              <w:spacing w:before="103" w:line="270" w:lineRule="auto"/>
              <w:rPr/>
            </w:pPr>
            <w:r>
              <w:rPr>
                <w:spacing w:val="-1"/>
              </w:rPr>
              <w:t>普通服务身份标识和</w:t>
            </w:r>
            <w:r>
              <w:rPr>
                <w:spacing w:val="2"/>
              </w:rPr>
              <w:t xml:space="preserve"> </w:t>
            </w:r>
            <w:r>
              <w:rPr>
                <w:spacing w:val="-2"/>
              </w:rPr>
              <w:t>鉴权信息</w:t>
            </w:r>
          </w:p>
        </w:tc>
        <w:tc>
          <w:tcPr>
            <w:tcW w:w="5677" w:type="dxa"/>
            <w:vAlign w:val="top"/>
          </w:tcPr>
          <w:p>
            <w:pPr>
              <w:pStyle w:val="TableText"/>
              <w:ind w:left="142" w:right="219" w:firstLine="129"/>
              <w:spacing w:before="83" w:line="294" w:lineRule="auto"/>
              <w:rPr/>
            </w:pPr>
            <w:r>
              <w:rPr>
                <w:spacing w:val="2"/>
              </w:rPr>
              <w:t>包括电话号码，</w:t>
            </w:r>
            <w:r>
              <w:rPr/>
              <w:t>QQ</w:t>
            </w:r>
            <w:r>
              <w:rPr>
                <w:spacing w:val="2"/>
              </w:rPr>
              <w:t>等社交类软件昵称、</w:t>
            </w:r>
            <w:r>
              <w:rPr/>
              <w:t>IP</w:t>
            </w:r>
            <w:r>
              <w:rPr>
                <w:spacing w:val="2"/>
              </w:rPr>
              <w:t>地址、邮箱地址及前述有关的密码、</w:t>
            </w:r>
            <w:r>
              <w:rPr>
                <w:spacing w:val="10"/>
              </w:rPr>
              <w:t xml:space="preserve"> </w:t>
            </w:r>
            <w:r>
              <w:rPr/>
              <w:t>口令、密码保护答案等</w:t>
            </w:r>
          </w:p>
        </w:tc>
      </w:tr>
      <w:tr>
        <w:trPr>
          <w:trHeight w:val="614" w:hRule="atLeast"/>
        </w:trPr>
        <w:tc>
          <w:tcPr>
            <w:tcW w:w="1603" w:type="dxa"/>
            <w:vAlign w:val="top"/>
          </w:tcPr>
          <w:p>
            <w:pPr>
              <w:pStyle w:val="TableText"/>
              <w:ind w:left="414" w:right="136" w:hanging="299"/>
              <w:spacing w:before="105" w:line="288" w:lineRule="auto"/>
              <w:rPr/>
            </w:pPr>
            <w:r>
              <w:rPr>
                <w:spacing w:val="-1"/>
              </w:rPr>
              <w:t>交易类服务身份标识</w:t>
            </w:r>
            <w:r>
              <w:rPr/>
              <w:t xml:space="preserve"> </w:t>
            </w:r>
            <w:r>
              <w:rPr>
                <w:spacing w:val="-2"/>
              </w:rPr>
              <w:t>和鉴权信息</w:t>
            </w:r>
          </w:p>
        </w:tc>
        <w:tc>
          <w:tcPr>
            <w:tcW w:w="5677" w:type="dxa"/>
            <w:vAlign w:val="top"/>
          </w:tcPr>
          <w:p>
            <w:pPr>
              <w:pStyle w:val="TableText"/>
              <w:ind w:left="122" w:right="150" w:firstLine="149"/>
              <w:spacing w:before="104" w:line="294" w:lineRule="auto"/>
              <w:rPr/>
            </w:pPr>
            <w:r>
              <w:rPr/>
              <w:t>包括支付宝、财付通等交易类软件账号；银行卡账号；证券账号</w:t>
            </w:r>
            <w:r>
              <w:rPr>
                <w:spacing w:val="-1"/>
              </w:rPr>
              <w:t>、支付宝、财付</w:t>
            </w:r>
            <w:r>
              <w:rPr/>
              <w:t xml:space="preserve"> </w:t>
            </w:r>
            <w:r>
              <w:rPr>
                <w:spacing w:val="-1"/>
              </w:rPr>
              <w:t>通等交易类软件账号的密码、用户个人数字证书等</w:t>
            </w:r>
          </w:p>
        </w:tc>
      </w:tr>
    </w:tbl>
    <w:p>
      <w:pPr>
        <w:pStyle w:val="BodyText"/>
        <w:rPr/>
      </w:pPr>
      <w:r/>
    </w:p>
    <w:p>
      <w:pPr>
        <w:sectPr>
          <w:footerReference w:type="default" r:id="rId451"/>
          <w:pgSz w:w="8870" w:h="13400"/>
          <w:pgMar w:top="400" w:right="665" w:bottom="527" w:left="310" w:header="0" w:footer="319" w:gutter="0"/>
        </w:sectPr>
        <w:rPr/>
      </w:pPr>
    </w:p>
    <w:p>
      <w:pPr>
        <w:ind w:left="243"/>
        <w:spacing w:before="256" w:line="219" w:lineRule="auto"/>
        <w:rPr>
          <w:rFonts w:ascii="SimSun" w:hAnsi="SimSun" w:eastAsia="SimSun" w:cs="SimSun"/>
          <w:sz w:val="22"/>
          <w:szCs w:val="22"/>
        </w:rPr>
      </w:pPr>
      <w:r>
        <w:pict>
          <v:rect id="_x0000_s488" style="position:absolute;margin-left:38.5002pt;margin-top:73.499pt;mso-position-vertical-relative:page;mso-position-horizontal-relative:page;width:0.55pt;height:383pt;z-index:257856512;" o:allowincell="f" fillcolor="#000000" filled="true" stroked="false"/>
        </w:pict>
      </w:r>
      <w:r>
        <w:pict>
          <v:rect id="_x0000_s490" style="position:absolute;margin-left:421.001pt;margin-top:74.0015pt;mso-position-vertical-relative:page;mso-position-horizontal-relative:page;width:0.5pt;height:382.5pt;z-index:257857536;" o:allowincell="f" fillcolor="#000000" filled="true" stroked="false"/>
        </w:pict>
      </w:r>
      <w:r>
        <w:drawing>
          <wp:anchor distT="0" distB="0" distL="0" distR="0" simplePos="0" relativeHeight="257858560" behindDoc="0" locked="0" layoutInCell="0" allowOverlap="1">
            <wp:simplePos x="0" y="0"/>
            <wp:positionH relativeFrom="page">
              <wp:posOffset>400051</wp:posOffset>
            </wp:positionH>
            <wp:positionV relativeFrom="page">
              <wp:posOffset>374650</wp:posOffset>
            </wp:positionV>
            <wp:extent cx="6350" cy="222255"/>
            <wp:effectExtent l="0" t="0" r="0" b="0"/>
            <wp:wrapNone/>
            <wp:docPr id="312" name="IM 312"/>
            <wp:cNvGraphicFramePr/>
            <a:graphic>
              <a:graphicData uri="http://schemas.openxmlformats.org/drawingml/2006/picture">
                <pic:pic>
                  <pic:nvPicPr>
                    <pic:cNvPr id="312" name="IM 312"/>
                    <pic:cNvPicPr/>
                  </pic:nvPicPr>
                  <pic:blipFill>
                    <a:blip r:embed="rId453"/>
                    <a:stretch>
                      <a:fillRect/>
                    </a:stretch>
                  </pic:blipFill>
                  <pic:spPr>
                    <a:xfrm rot="0">
                      <a:off x="0" y="0"/>
                      <a:ext cx="6350" cy="222255"/>
                    </a:xfrm>
                    <a:prstGeom prst="rect">
                      <a:avLst/>
                    </a:prstGeom>
                  </pic:spPr>
                </pic:pic>
              </a:graphicData>
            </a:graphic>
          </wp:anchor>
        </w:drawing>
      </w:r>
      <w:r>
        <w:drawing>
          <wp:anchor distT="0" distB="0" distL="0" distR="0" simplePos="0" relativeHeight="257855488" behindDoc="0" locked="0" layoutInCell="0" allowOverlap="1">
            <wp:simplePos x="0" y="0"/>
            <wp:positionH relativeFrom="page">
              <wp:posOffset>488952</wp:posOffset>
            </wp:positionH>
            <wp:positionV relativeFrom="page">
              <wp:posOffset>5778462</wp:posOffset>
            </wp:positionV>
            <wp:extent cx="4889472" cy="6381"/>
            <wp:effectExtent l="0" t="0" r="0" b="0"/>
            <wp:wrapNone/>
            <wp:docPr id="314" name="IM 314"/>
            <wp:cNvGraphicFramePr/>
            <a:graphic>
              <a:graphicData uri="http://schemas.openxmlformats.org/drawingml/2006/picture">
                <pic:pic>
                  <pic:nvPicPr>
                    <pic:cNvPr id="314" name="IM 314"/>
                    <pic:cNvPicPr/>
                  </pic:nvPicPr>
                  <pic:blipFill>
                    <a:blip r:embed="rId454"/>
                    <a:stretch>
                      <a:fillRect/>
                    </a:stretch>
                  </pic:blipFill>
                  <pic:spPr>
                    <a:xfrm rot="0">
                      <a:off x="0" y="0"/>
                      <a:ext cx="4889472" cy="6381"/>
                    </a:xfrm>
                    <a:prstGeom prst="rect">
                      <a:avLst/>
                    </a:prstGeom>
                  </pic:spPr>
                </pic:pic>
              </a:graphicData>
            </a:graphic>
          </wp:anchor>
        </w:drawing>
      </w:r>
      <w:bookmarkStart w:name="bookmark86" w:id="81"/>
      <w:bookmarkEnd w:id="81"/>
      <w:r>
        <w:rPr>
          <w:rFonts w:ascii="SimSun" w:hAnsi="SimSun" w:eastAsia="SimSun" w:cs="SimSun"/>
          <w:sz w:val="22"/>
          <w:szCs w:val="22"/>
          <w:b/>
          <w:bCs/>
          <w:spacing w:val="-15"/>
        </w:rPr>
        <w:t>■云端数据治理</w:t>
      </w:r>
    </w:p>
    <w:p>
      <w:pPr>
        <w:pStyle w:val="BodyText"/>
        <w:spacing w:line="249" w:lineRule="auto"/>
        <w:rPr/>
      </w:pPr>
      <w:r/>
    </w:p>
    <w:p>
      <w:pPr>
        <w:ind w:left="7200"/>
        <w:spacing w:before="72" w:line="223" w:lineRule="auto"/>
        <w:rPr>
          <w:rFonts w:ascii="SimHei" w:hAnsi="SimHei" w:eastAsia="SimHei" w:cs="SimHei"/>
          <w:sz w:val="22"/>
          <w:szCs w:val="22"/>
        </w:rPr>
      </w:pPr>
      <w:r>
        <w:rPr>
          <w:rFonts w:ascii="SimHei" w:hAnsi="SimHei" w:eastAsia="SimHei" w:cs="SimHei"/>
          <w:sz w:val="22"/>
          <w:szCs w:val="22"/>
          <w:spacing w:val="-15"/>
          <w:w w:val="99"/>
        </w:rPr>
        <w:t>续表</w:t>
      </w:r>
    </w:p>
    <w:p>
      <w:pPr>
        <w:ind w:left="7209"/>
        <w:spacing w:before="60" w:line="220" w:lineRule="auto"/>
        <w:rPr>
          <w:rFonts w:ascii="SimSun" w:hAnsi="SimSun" w:eastAsia="SimSun" w:cs="SimSun"/>
          <w:sz w:val="14"/>
          <w:szCs w:val="14"/>
        </w:rPr>
      </w:pPr>
      <w:r>
        <w:rPr>
          <w:rFonts w:ascii="SimSun" w:hAnsi="SimSun" w:eastAsia="SimSun" w:cs="SimSun"/>
          <w:sz w:val="14"/>
          <w:szCs w:val="14"/>
          <w:spacing w:val="-2"/>
        </w:rPr>
        <w:t>续表</w:t>
      </w:r>
    </w:p>
    <w:p>
      <w:pPr>
        <w:spacing w:line="51" w:lineRule="exact"/>
        <w:rPr/>
      </w:pPr>
      <w:r/>
    </w:p>
    <w:tbl>
      <w:tblPr>
        <w:tblStyle w:val="TableNormal"/>
        <w:tblW w:w="7279" w:type="dxa"/>
        <w:tblInd w:w="4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02"/>
        <w:gridCol w:w="5677"/>
      </w:tblGrid>
      <w:tr>
        <w:trPr>
          <w:trHeight w:val="355" w:hRule="atLeast"/>
        </w:trPr>
        <w:tc>
          <w:tcPr>
            <w:tcW w:w="1602" w:type="dxa"/>
            <w:vAlign w:val="top"/>
          </w:tcPr>
          <w:p>
            <w:pPr>
              <w:pStyle w:val="TableText"/>
              <w:ind w:left="374"/>
              <w:spacing w:before="101" w:line="219" w:lineRule="auto"/>
              <w:rPr/>
            </w:pPr>
            <w:r>
              <w:rPr>
                <w:spacing w:val="-7"/>
              </w:rPr>
              <w:t>信</w:t>
            </w:r>
            <w:r>
              <w:rPr>
                <w:spacing w:val="22"/>
              </w:rPr>
              <w:t xml:space="preserve"> </w:t>
            </w:r>
            <w:r>
              <w:rPr>
                <w:spacing w:val="-7"/>
              </w:rPr>
              <w:t>息</w:t>
            </w:r>
            <w:r>
              <w:rPr>
                <w:spacing w:val="17"/>
              </w:rPr>
              <w:t xml:space="preserve"> </w:t>
            </w:r>
            <w:r>
              <w:rPr>
                <w:spacing w:val="-7"/>
              </w:rPr>
              <w:t>分</w:t>
            </w:r>
            <w:r>
              <w:rPr>
                <w:spacing w:val="15"/>
              </w:rPr>
              <w:t xml:space="preserve"> </w:t>
            </w:r>
            <w:r>
              <w:rPr>
                <w:spacing w:val="-7"/>
              </w:rPr>
              <w:t>类</w:t>
            </w:r>
          </w:p>
        </w:tc>
        <w:tc>
          <w:tcPr>
            <w:tcW w:w="5677" w:type="dxa"/>
            <w:vAlign w:val="top"/>
          </w:tcPr>
          <w:p>
            <w:pPr>
              <w:pStyle w:val="TableText"/>
              <w:ind w:left="2442"/>
              <w:spacing w:before="101" w:line="219" w:lineRule="auto"/>
              <w:rPr/>
            </w:pPr>
            <w:r>
              <w:rPr>
                <w:spacing w:val="-5"/>
              </w:rPr>
              <w:t>包</w:t>
            </w:r>
            <w:r>
              <w:rPr>
                <w:spacing w:val="15"/>
              </w:rPr>
              <w:t xml:space="preserve"> </w:t>
            </w:r>
            <w:r>
              <w:rPr>
                <w:spacing w:val="-5"/>
              </w:rPr>
              <w:t>含</w:t>
            </w:r>
            <w:r>
              <w:rPr>
                <w:spacing w:val="16"/>
              </w:rPr>
              <w:t xml:space="preserve"> </w:t>
            </w:r>
            <w:r>
              <w:rPr>
                <w:spacing w:val="-5"/>
              </w:rPr>
              <w:t>成</w:t>
            </w:r>
            <w:r>
              <w:rPr>
                <w:spacing w:val="17"/>
              </w:rPr>
              <w:t xml:space="preserve"> </w:t>
            </w:r>
            <w:r>
              <w:rPr>
                <w:spacing w:val="-5"/>
              </w:rPr>
              <w:t>分</w:t>
            </w:r>
          </w:p>
        </w:tc>
      </w:tr>
      <w:tr>
        <w:trPr>
          <w:trHeight w:val="1727" w:hRule="atLeast"/>
        </w:trPr>
        <w:tc>
          <w:tcPr>
            <w:tcW w:w="1602" w:type="dxa"/>
            <w:vAlign w:val="top"/>
          </w:tcPr>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TableText"/>
              <w:ind w:left="115"/>
              <w:spacing w:before="48" w:line="219" w:lineRule="auto"/>
              <w:rPr/>
            </w:pPr>
            <w:r>
              <w:rPr>
                <w:spacing w:val="3"/>
              </w:rPr>
              <w:t>财产信息(金融信息)</w:t>
            </w:r>
          </w:p>
        </w:tc>
        <w:tc>
          <w:tcPr>
            <w:tcW w:w="5677" w:type="dxa"/>
            <w:vAlign w:val="top"/>
          </w:tcPr>
          <w:p>
            <w:pPr>
              <w:pStyle w:val="TableText"/>
              <w:ind w:left="272"/>
              <w:spacing w:before="95" w:line="300" w:lineRule="exact"/>
              <w:rPr/>
            </w:pPr>
            <w:r>
              <w:rPr>
                <w:position w:val="11"/>
              </w:rPr>
              <w:t>指用户在真实生活或虚拟服务中所拥有和使用的有关财产的</w:t>
            </w:r>
            <w:r>
              <w:rPr>
                <w:spacing w:val="-1"/>
                <w:position w:val="11"/>
              </w:rPr>
              <w:t>信息，包括真实财产</w:t>
            </w:r>
          </w:p>
          <w:p>
            <w:pPr>
              <w:pStyle w:val="TableText"/>
              <w:ind w:left="112"/>
              <w:spacing w:line="218" w:lineRule="auto"/>
              <w:rPr/>
            </w:pPr>
            <w:r>
              <w:rPr>
                <w:spacing w:val="-1"/>
              </w:rPr>
              <w:t>信息和虚拟财产信息</w:t>
            </w:r>
          </w:p>
          <w:p>
            <w:pPr>
              <w:pStyle w:val="TableText"/>
              <w:ind w:left="112" w:right="141" w:firstLine="170"/>
              <w:spacing w:before="102" w:line="282" w:lineRule="auto"/>
              <w:rPr/>
            </w:pPr>
            <w:r>
              <w:rPr/>
              <w:t>真实财产信息，包括支付宝、财付通等交易类软件账号、银</w:t>
            </w:r>
            <w:r>
              <w:rPr>
                <w:spacing w:val="-1"/>
              </w:rPr>
              <w:t>行卡等账户及其各账</w:t>
            </w:r>
            <w:r>
              <w:rPr/>
              <w:t xml:space="preserve"> </w:t>
            </w:r>
            <w:r>
              <w:rPr>
                <w:spacing w:val="-1"/>
              </w:rPr>
              <w:t>户下的支付记录、交易记录、流水记录等信息</w:t>
            </w:r>
          </w:p>
          <w:p>
            <w:pPr>
              <w:pStyle w:val="TableText"/>
              <w:ind w:left="132" w:right="300" w:firstLine="140"/>
              <w:spacing w:before="102" w:line="275" w:lineRule="auto"/>
              <w:rPr/>
            </w:pPr>
            <w:r>
              <w:rPr/>
              <w:t>虚拟财产信息，包括Q币Q点、点券等虚拟货币，虚拟交易个</w:t>
            </w:r>
            <w:r>
              <w:rPr>
                <w:spacing w:val="-1"/>
              </w:rPr>
              <w:t>人信息；游戏各类</w:t>
            </w:r>
            <w:r>
              <w:rPr/>
              <w:t xml:space="preserve"> </w:t>
            </w:r>
            <w:r>
              <w:rPr/>
              <w:t>兑换码；金币等相关记录虚拟财产信息</w:t>
            </w:r>
          </w:p>
        </w:tc>
      </w:tr>
      <w:tr>
        <w:trPr>
          <w:trHeight w:val="1148" w:hRule="atLeast"/>
        </w:trPr>
        <w:tc>
          <w:tcPr>
            <w:tcW w:w="1602" w:type="dxa"/>
            <w:vAlign w:val="top"/>
          </w:tcPr>
          <w:p>
            <w:pPr>
              <w:spacing w:line="447" w:lineRule="auto"/>
              <w:rPr>
                <w:rFonts w:ascii="Arial"/>
                <w:sz w:val="21"/>
              </w:rPr>
            </w:pPr>
            <w:r/>
          </w:p>
          <w:p>
            <w:pPr>
              <w:pStyle w:val="TableText"/>
              <w:ind w:left="115"/>
              <w:spacing w:before="49" w:line="219" w:lineRule="auto"/>
              <w:rPr/>
            </w:pPr>
            <w:r>
              <w:rPr>
                <w:spacing w:val="-1"/>
              </w:rPr>
              <w:t>联系人和关系链信息</w:t>
            </w:r>
          </w:p>
        </w:tc>
        <w:tc>
          <w:tcPr>
            <w:tcW w:w="5677" w:type="dxa"/>
            <w:vAlign w:val="top"/>
          </w:tcPr>
          <w:p>
            <w:pPr>
              <w:pStyle w:val="TableText"/>
              <w:ind w:left="123" w:right="160" w:firstLine="139"/>
              <w:spacing w:before="98" w:line="276" w:lineRule="auto"/>
              <w:rPr/>
            </w:pPr>
            <w:r>
              <w:rPr/>
              <w:t>联系人信息指用户在电话、实时聊天工具、微博、邮件中的联</w:t>
            </w:r>
            <w:r>
              <w:rPr>
                <w:spacing w:val="-1"/>
              </w:rPr>
              <w:t>系人信息，包括相</w:t>
            </w:r>
            <w:r>
              <w:rPr/>
              <w:t xml:space="preserve"> </w:t>
            </w:r>
            <w:r>
              <w:rPr>
                <w:spacing w:val="-1"/>
              </w:rPr>
              <w:t>应的账号、用户名、头像、签名、用户备注等信息</w:t>
            </w:r>
          </w:p>
          <w:p>
            <w:pPr>
              <w:pStyle w:val="TableText"/>
              <w:ind w:left="123" w:right="131" w:firstLine="149"/>
              <w:spacing w:before="102" w:line="288" w:lineRule="auto"/>
              <w:rPr/>
            </w:pPr>
            <w:r>
              <w:rPr/>
              <w:t>关系链信息包括但不限于通讯录、好友列表、群列表、朋友圈列表、关注对象列</w:t>
            </w:r>
            <w:r>
              <w:rPr>
                <w:spacing w:val="11"/>
              </w:rPr>
              <w:t xml:space="preserve"> </w:t>
            </w:r>
            <w:r>
              <w:rPr>
                <w:spacing w:val="-1"/>
              </w:rPr>
              <w:t>表、备注等</w:t>
            </w:r>
          </w:p>
        </w:tc>
      </w:tr>
      <w:tr>
        <w:trPr>
          <w:trHeight w:val="359" w:hRule="atLeast"/>
        </w:trPr>
        <w:tc>
          <w:tcPr>
            <w:tcW w:w="1602" w:type="dxa"/>
            <w:vAlign w:val="top"/>
          </w:tcPr>
          <w:p>
            <w:pPr>
              <w:pStyle w:val="TableText"/>
              <w:ind w:left="495"/>
              <w:spacing w:before="111" w:line="219" w:lineRule="auto"/>
              <w:rPr/>
            </w:pPr>
            <w:r>
              <w:rPr>
                <w:spacing w:val="-2"/>
              </w:rPr>
              <w:t>位置信息</w:t>
            </w:r>
          </w:p>
        </w:tc>
        <w:tc>
          <w:tcPr>
            <w:tcW w:w="5677" w:type="dxa"/>
            <w:vAlign w:val="top"/>
          </w:tcPr>
          <w:p>
            <w:pPr>
              <w:pStyle w:val="TableText"/>
              <w:ind w:left="272"/>
              <w:spacing w:before="111" w:line="219" w:lineRule="auto"/>
              <w:rPr/>
            </w:pPr>
            <w:r>
              <w:rPr>
                <w:spacing w:val="-1"/>
              </w:rPr>
              <w:t>包括经纬度、地区代码、小区代码、基站号</w:t>
            </w:r>
          </w:p>
        </w:tc>
      </w:tr>
      <w:tr>
        <w:trPr>
          <w:trHeight w:val="869" w:hRule="atLeast"/>
        </w:trPr>
        <w:tc>
          <w:tcPr>
            <w:tcW w:w="1602" w:type="dxa"/>
            <w:vAlign w:val="top"/>
          </w:tcPr>
          <w:p>
            <w:pPr>
              <w:spacing w:line="311" w:lineRule="auto"/>
              <w:rPr>
                <w:rFonts w:ascii="Arial"/>
                <w:sz w:val="21"/>
              </w:rPr>
            </w:pPr>
            <w:r/>
          </w:p>
          <w:p>
            <w:pPr>
              <w:pStyle w:val="TableText"/>
              <w:ind w:left="495"/>
              <w:spacing w:before="49" w:line="219" w:lineRule="auto"/>
              <w:rPr/>
            </w:pPr>
            <w:r>
              <w:rPr>
                <w:spacing w:val="-2"/>
              </w:rPr>
              <w:t>服务记录</w:t>
            </w:r>
          </w:p>
        </w:tc>
        <w:tc>
          <w:tcPr>
            <w:tcW w:w="5677" w:type="dxa"/>
            <w:vAlign w:val="top"/>
          </w:tcPr>
          <w:p>
            <w:pPr>
              <w:pStyle w:val="TableText"/>
              <w:ind w:left="123" w:right="151" w:firstLine="149"/>
              <w:spacing w:before="101" w:line="303" w:lineRule="auto"/>
              <w:rPr/>
            </w:pPr>
            <w:r>
              <w:rPr/>
              <w:t>指通过Text、SML、日志等储存的用户的操作记录、服务内</w:t>
            </w:r>
            <w:r>
              <w:rPr>
                <w:spacing w:val="-1"/>
              </w:rPr>
              <w:t>容信息记录等，包括</w:t>
            </w:r>
            <w:r>
              <w:rPr/>
              <w:t xml:space="preserve">  </w:t>
            </w:r>
            <w:r>
              <w:rPr/>
              <w:t>社交信息记录、消费记录、游戏记录、视频操作流水记录、广</w:t>
            </w:r>
            <w:r>
              <w:rPr>
                <w:spacing w:val="-1"/>
              </w:rPr>
              <w:t>告曝光、点击和转化</w:t>
            </w:r>
            <w:r>
              <w:rPr/>
              <w:t xml:space="preserve"> </w:t>
            </w:r>
            <w:r>
              <w:rPr/>
              <w:t>日志、业务日志等</w:t>
            </w:r>
          </w:p>
        </w:tc>
      </w:tr>
      <w:tr>
        <w:trPr>
          <w:trHeight w:val="869" w:hRule="atLeast"/>
        </w:trPr>
        <w:tc>
          <w:tcPr>
            <w:tcW w:w="1602" w:type="dxa"/>
            <w:vAlign w:val="top"/>
          </w:tcPr>
          <w:p>
            <w:pPr>
              <w:spacing w:line="312" w:lineRule="auto"/>
              <w:rPr>
                <w:rFonts w:ascii="Arial"/>
                <w:sz w:val="21"/>
              </w:rPr>
            </w:pPr>
            <w:r/>
          </w:p>
          <w:p>
            <w:pPr>
              <w:pStyle w:val="TableText"/>
              <w:ind w:left="495"/>
              <w:spacing w:before="49" w:line="219" w:lineRule="auto"/>
              <w:rPr/>
            </w:pPr>
            <w:r>
              <w:rPr>
                <w:spacing w:val="-2"/>
              </w:rPr>
              <w:t>设备信息</w:t>
            </w:r>
          </w:p>
        </w:tc>
        <w:tc>
          <w:tcPr>
            <w:tcW w:w="5677" w:type="dxa"/>
            <w:vAlign w:val="top"/>
          </w:tcPr>
          <w:p>
            <w:pPr>
              <w:pStyle w:val="TableText"/>
              <w:ind w:left="112" w:right="749" w:firstLine="160"/>
              <w:spacing w:before="103" w:line="298" w:lineRule="auto"/>
              <w:jc w:val="both"/>
              <w:rPr/>
            </w:pPr>
            <w:r>
              <w:rPr/>
              <w:t>指包括硬件型号、设备MAC地址、操作系统(安卓、iOS</w:t>
            </w:r>
            <w:r>
              <w:rPr>
                <w:spacing w:val="-1"/>
              </w:rPr>
              <w:t>、WM等)、软件列</w:t>
            </w:r>
            <w:r>
              <w:rPr/>
              <w:t xml:space="preserve"> </w:t>
            </w:r>
            <w:r>
              <w:rPr/>
              <w:t>表唯一设备识别码(如IMEIandroidID/IDFA/OPENUDID/GUID、SIM卡IMSI信</w:t>
            </w:r>
            <w:r>
              <w:rPr>
                <w:spacing w:val="3"/>
              </w:rPr>
              <w:t xml:space="preserve"> </w:t>
            </w:r>
            <w:r>
              <w:rPr>
                <w:spacing w:val="-1"/>
              </w:rPr>
              <w:t>息)等在内的描述设备基本情况的信息</w:t>
            </w:r>
          </w:p>
        </w:tc>
      </w:tr>
      <w:tr>
        <w:trPr>
          <w:trHeight w:val="599" w:hRule="atLeast"/>
        </w:trPr>
        <w:tc>
          <w:tcPr>
            <w:tcW w:w="1602" w:type="dxa"/>
            <w:vAlign w:val="top"/>
          </w:tcPr>
          <w:p>
            <w:pPr>
              <w:pStyle w:val="TableText"/>
              <w:ind w:left="495"/>
              <w:spacing w:before="233" w:line="219" w:lineRule="auto"/>
              <w:rPr/>
            </w:pPr>
            <w:r>
              <w:rPr>
                <w:spacing w:val="-2"/>
              </w:rPr>
              <w:t>本地信息</w:t>
            </w:r>
          </w:p>
        </w:tc>
        <w:tc>
          <w:tcPr>
            <w:tcW w:w="5677" w:type="dxa"/>
            <w:vAlign w:val="top"/>
          </w:tcPr>
          <w:p>
            <w:pPr>
              <w:pStyle w:val="TableText"/>
              <w:ind w:left="112" w:right="79" w:firstLine="149"/>
              <w:spacing w:before="104" w:line="281" w:lineRule="auto"/>
              <w:rPr/>
            </w:pPr>
            <w:r>
              <w:rPr>
                <w:spacing w:val="2"/>
              </w:rPr>
              <w:t>指用户建立的、存储在移动设备上的，或通过移动设备访问的软件列表、日历、</w:t>
            </w:r>
            <w:r>
              <w:rPr>
                <w:spacing w:val="3"/>
              </w:rPr>
              <w:t xml:space="preserve"> </w:t>
            </w:r>
            <w:r>
              <w:rPr>
                <w:spacing w:val="-1"/>
              </w:rPr>
              <w:t>地址簿、电话短信记录、相册、视频等信息</w:t>
            </w:r>
          </w:p>
        </w:tc>
      </w:tr>
      <w:tr>
        <w:trPr>
          <w:trHeight w:val="604" w:hRule="atLeast"/>
        </w:trPr>
        <w:tc>
          <w:tcPr>
            <w:tcW w:w="1602" w:type="dxa"/>
            <w:vAlign w:val="top"/>
          </w:tcPr>
          <w:p>
            <w:pPr>
              <w:pStyle w:val="TableText"/>
              <w:ind w:left="345"/>
              <w:spacing w:before="235" w:line="219" w:lineRule="auto"/>
              <w:rPr/>
            </w:pPr>
            <w:r>
              <w:rPr>
                <w:spacing w:val="-1"/>
              </w:rPr>
              <w:t>其他用户信息</w:t>
            </w:r>
          </w:p>
        </w:tc>
        <w:tc>
          <w:tcPr>
            <w:tcW w:w="5677" w:type="dxa"/>
            <w:vAlign w:val="top"/>
          </w:tcPr>
          <w:p>
            <w:pPr>
              <w:pStyle w:val="TableText"/>
              <w:ind w:left="123" w:right="151" w:firstLine="149"/>
              <w:spacing w:before="105" w:line="288" w:lineRule="auto"/>
              <w:rPr/>
            </w:pPr>
            <w:r>
              <w:rPr/>
              <w:t>指其他可被信息系统所处理、与特定用户相关、能够单独或</w:t>
            </w:r>
            <w:r>
              <w:rPr>
                <w:spacing w:val="-1"/>
              </w:rPr>
              <w:t>通过与其他信息结合</w:t>
            </w:r>
            <w:r>
              <w:rPr/>
              <w:t xml:space="preserve"> </w:t>
            </w:r>
            <w:r>
              <w:rPr>
                <w:spacing w:val="-1"/>
              </w:rPr>
              <w:t>来识别特定用户的个人信息</w:t>
            </w:r>
          </w:p>
        </w:tc>
      </w:tr>
    </w:tbl>
    <w:p>
      <w:pPr>
        <w:ind w:left="560"/>
        <w:spacing w:before="181" w:line="219" w:lineRule="auto"/>
        <w:rPr>
          <w:rFonts w:ascii="SimSun" w:hAnsi="SimSun" w:eastAsia="SimSun" w:cs="SimSun"/>
          <w:sz w:val="16"/>
          <w:szCs w:val="16"/>
        </w:rPr>
      </w:pPr>
      <w:r>
        <w:rPr>
          <w:rFonts w:ascii="SimSun" w:hAnsi="SimSun" w:eastAsia="SimSun" w:cs="SimSun"/>
          <w:sz w:val="16"/>
          <w:szCs w:val="16"/>
          <w:spacing w:val="-6"/>
        </w:rPr>
        <w:t>2</w:t>
      </w:r>
      <w:r>
        <w:rPr>
          <w:rFonts w:ascii="SimSun" w:hAnsi="SimSun" w:eastAsia="SimSun" w:cs="SimSun"/>
          <w:sz w:val="16"/>
          <w:szCs w:val="16"/>
          <w:spacing w:val="73"/>
          <w:w w:val="101"/>
        </w:rPr>
        <w:t xml:space="preserve"> </w:t>
      </w:r>
      <w:r>
        <w:rPr>
          <w:rFonts w:ascii="SimSun" w:hAnsi="SimSun" w:eastAsia="SimSun" w:cs="SimSun"/>
          <w:sz w:val="16"/>
          <w:szCs w:val="16"/>
          <w:spacing w:val="-6"/>
        </w:rPr>
        <w:t>非身份关联信息</w:t>
      </w:r>
    </w:p>
    <w:p>
      <w:pPr>
        <w:ind w:left="580"/>
        <w:spacing w:before="110" w:line="219" w:lineRule="auto"/>
        <w:rPr>
          <w:rFonts w:ascii="SimSun" w:hAnsi="SimSun" w:eastAsia="SimSun" w:cs="SimSun"/>
          <w:sz w:val="16"/>
          <w:szCs w:val="16"/>
        </w:rPr>
      </w:pPr>
      <w:r>
        <w:rPr>
          <w:rFonts w:ascii="SimSun" w:hAnsi="SimSun" w:eastAsia="SimSun" w:cs="SimSun"/>
          <w:sz w:val="16"/>
          <w:szCs w:val="16"/>
          <w:spacing w:val="-9"/>
        </w:rPr>
        <w:t>非身份关联信息，是指除身份关联信息之外的、与可被识别的自然人相关的个人信息。</w:t>
      </w:r>
    </w:p>
    <w:p>
      <w:pPr>
        <w:pStyle w:val="BodyText"/>
        <w:spacing w:line="363" w:lineRule="auto"/>
        <w:rPr/>
      </w:pPr>
      <w:r/>
    </w:p>
    <w:p>
      <w:pPr>
        <w:ind w:left="304"/>
        <w:spacing w:before="95" w:line="228" w:lineRule="auto"/>
        <w:outlineLvl w:val="3"/>
        <w:rPr>
          <w:rFonts w:ascii="YouYuan" w:hAnsi="YouYuan" w:eastAsia="YouYuan" w:cs="YouYuan"/>
          <w:sz w:val="29"/>
          <w:szCs w:val="29"/>
        </w:rPr>
      </w:pPr>
      <w:r>
        <w:rPr>
          <w:rFonts w:ascii="YouYuan" w:hAnsi="YouYuan" w:eastAsia="YouYuan" w:cs="YouYuan"/>
          <w:sz w:val="29"/>
          <w:szCs w:val="29"/>
          <w:b/>
          <w:bCs/>
          <w:spacing w:val="-7"/>
        </w:rPr>
        <w:t>9.2.4</w:t>
      </w:r>
      <w:r>
        <w:rPr>
          <w:rFonts w:ascii="YouYuan" w:hAnsi="YouYuan" w:eastAsia="YouYuan" w:cs="YouYuan"/>
          <w:sz w:val="29"/>
          <w:szCs w:val="29"/>
          <w:spacing w:val="126"/>
        </w:rPr>
        <w:t xml:space="preserve"> </w:t>
      </w:r>
      <w:r>
        <w:rPr>
          <w:rFonts w:ascii="YouYuan" w:hAnsi="YouYuan" w:eastAsia="YouYuan" w:cs="YouYuan"/>
          <w:sz w:val="29"/>
          <w:szCs w:val="29"/>
          <w:b/>
          <w:bCs/>
          <w:spacing w:val="-7"/>
        </w:rPr>
        <w:t>合规管理</w:t>
      </w:r>
    </w:p>
    <w:p>
      <w:pPr>
        <w:ind w:left="733"/>
        <w:spacing w:before="297" w:line="224" w:lineRule="auto"/>
        <w:outlineLvl w:val="4"/>
        <w:rPr>
          <w:rFonts w:ascii="YouYuan" w:hAnsi="YouYuan" w:eastAsia="YouYuan" w:cs="YouYuan"/>
          <w:sz w:val="22"/>
          <w:szCs w:val="22"/>
        </w:rPr>
      </w:pPr>
      <w:r>
        <w:rPr>
          <w:rFonts w:ascii="YouYuan" w:hAnsi="YouYuan" w:eastAsia="YouYuan" w:cs="YouYuan"/>
          <w:sz w:val="22"/>
          <w:szCs w:val="22"/>
          <w:b/>
          <w:bCs/>
          <w:spacing w:val="-5"/>
        </w:rPr>
        <w:t>1.</w:t>
      </w:r>
      <w:r>
        <w:rPr>
          <w:rFonts w:ascii="YouYuan" w:hAnsi="YouYuan" w:eastAsia="YouYuan" w:cs="YouYuan"/>
          <w:sz w:val="22"/>
          <w:szCs w:val="22"/>
          <w:spacing w:val="-5"/>
        </w:rPr>
        <w:t xml:space="preserve"> </w:t>
      </w:r>
      <w:r>
        <w:rPr>
          <w:rFonts w:ascii="YouYuan" w:hAnsi="YouYuan" w:eastAsia="YouYuan" w:cs="YouYuan"/>
          <w:sz w:val="22"/>
          <w:szCs w:val="22"/>
          <w:b/>
          <w:bCs/>
          <w:spacing w:val="-5"/>
        </w:rPr>
        <w:t>简介</w:t>
      </w:r>
    </w:p>
    <w:p>
      <w:pPr>
        <w:ind w:left="730"/>
        <w:spacing w:before="227" w:line="232" w:lineRule="auto"/>
        <w:rPr>
          <w:rFonts w:ascii="KaiTi" w:hAnsi="KaiTi" w:eastAsia="KaiTi" w:cs="KaiTi"/>
          <w:sz w:val="22"/>
          <w:szCs w:val="22"/>
        </w:rPr>
      </w:pPr>
      <w:r>
        <w:rPr>
          <w:rFonts w:ascii="KaiTi" w:hAnsi="KaiTi" w:eastAsia="KaiTi" w:cs="KaiTi"/>
          <w:sz w:val="22"/>
          <w:szCs w:val="22"/>
          <w:spacing w:val="15"/>
        </w:rPr>
        <w:t>1)目的</w:t>
      </w:r>
    </w:p>
    <w:p>
      <w:pPr>
        <w:ind w:left="730"/>
        <w:spacing w:before="36" w:line="219" w:lineRule="auto"/>
        <w:rPr>
          <w:rFonts w:ascii="SimSun" w:hAnsi="SimSun" w:eastAsia="SimSun" w:cs="SimSun"/>
          <w:sz w:val="22"/>
          <w:szCs w:val="22"/>
        </w:rPr>
      </w:pPr>
      <w:r>
        <w:rPr>
          <w:rFonts w:ascii="SimSun" w:hAnsi="SimSun" w:eastAsia="SimSun" w:cs="SimSun"/>
          <w:sz w:val="22"/>
          <w:szCs w:val="22"/>
          <w:spacing w:val="-10"/>
        </w:rPr>
        <w:t>组织建立和维护机制，保证自身的合规性。</w:t>
      </w:r>
    </w:p>
    <w:p>
      <w:pPr>
        <w:ind w:left="730"/>
        <w:spacing w:before="44" w:line="222" w:lineRule="auto"/>
        <w:rPr>
          <w:rFonts w:ascii="KaiTi" w:hAnsi="KaiTi" w:eastAsia="KaiTi" w:cs="KaiTi"/>
          <w:sz w:val="22"/>
          <w:szCs w:val="22"/>
        </w:rPr>
      </w:pPr>
      <w:r>
        <w:rPr>
          <w:rFonts w:ascii="KaiTi" w:hAnsi="KaiTi" w:eastAsia="KaiTi" w:cs="KaiTi"/>
          <w:sz w:val="22"/>
          <w:szCs w:val="22"/>
          <w:spacing w:val="20"/>
        </w:rPr>
        <w:t>2)介绍</w:t>
      </w:r>
    </w:p>
    <w:p>
      <w:pPr>
        <w:ind w:left="330" w:firstLine="399"/>
        <w:spacing w:before="61"/>
        <w:rPr>
          <w:rFonts w:ascii="SimSun" w:hAnsi="SimSun" w:eastAsia="SimSun" w:cs="SimSun"/>
          <w:sz w:val="22"/>
          <w:szCs w:val="22"/>
        </w:rPr>
      </w:pPr>
      <w:r>
        <w:rPr>
          <w:rFonts w:ascii="SimSun" w:hAnsi="SimSun" w:eastAsia="SimSun" w:cs="SimSun"/>
          <w:sz w:val="22"/>
          <w:szCs w:val="22"/>
          <w:spacing w:val="-9"/>
        </w:rPr>
        <w:t>每个组织都会受到政府和行业法规的约束，在这些法规中，有许多规定了数据</w:t>
      </w:r>
      <w:r>
        <w:rPr>
          <w:rFonts w:ascii="SimSun" w:hAnsi="SimSun" w:eastAsia="SimSun" w:cs="SimSun"/>
          <w:sz w:val="22"/>
          <w:szCs w:val="22"/>
          <w:spacing w:val="8"/>
        </w:rPr>
        <w:t xml:space="preserve">  </w:t>
      </w:r>
      <w:r>
        <w:rPr>
          <w:rFonts w:ascii="SimSun" w:hAnsi="SimSun" w:eastAsia="SimSun" w:cs="SimSun"/>
          <w:sz w:val="22"/>
          <w:szCs w:val="22"/>
          <w:spacing w:val="-12"/>
        </w:rPr>
        <w:t>和信息如何进行管理。合规性管理，也称为符合性管理，就是在这些法规要求之下，</w:t>
      </w:r>
    </w:p>
    <w:p>
      <w:pPr>
        <w:sectPr>
          <w:footerReference w:type="default" r:id="rId452"/>
          <w:pgSz w:w="8870" w:h="13400"/>
          <w:pgMar w:top="400" w:right="339" w:bottom="494" w:left="489" w:header="0" w:footer="276" w:gutter="0"/>
        </w:sectPr>
        <w:rPr>
          <w:rFonts w:ascii="SimSun" w:hAnsi="SimSun" w:eastAsia="SimSun" w:cs="SimSun"/>
          <w:sz w:val="22"/>
          <w:szCs w:val="22"/>
        </w:rPr>
      </w:pPr>
    </w:p>
    <w:p>
      <w:pPr>
        <w:ind w:left="5703"/>
        <w:spacing w:before="254" w:line="219" w:lineRule="auto"/>
        <w:rPr>
          <w:rFonts w:ascii="SimSun" w:hAnsi="SimSun" w:eastAsia="SimSun" w:cs="SimSun"/>
          <w:sz w:val="21"/>
          <w:szCs w:val="21"/>
        </w:rPr>
      </w:pPr>
      <w:r>
        <w:rPr>
          <w:rFonts w:ascii="SimSun" w:hAnsi="SimSun" w:eastAsia="SimSun" w:cs="SimSun"/>
          <w:sz w:val="21"/>
          <w:szCs w:val="21"/>
          <w:b/>
          <w:bCs/>
          <w:spacing w:val="19"/>
        </w:rPr>
        <w:t>第9章■安全与隐私</w:t>
      </w:r>
    </w:p>
    <w:p>
      <w:pPr>
        <w:pStyle w:val="BodyText"/>
        <w:spacing w:line="255" w:lineRule="auto"/>
        <w:rPr/>
      </w:pPr>
      <w:r/>
    </w:p>
    <w:p>
      <w:pPr>
        <w:ind w:right="226"/>
        <w:spacing w:before="69" w:line="250" w:lineRule="auto"/>
        <w:rPr>
          <w:rFonts w:ascii="SimSun" w:hAnsi="SimSun" w:eastAsia="SimSun" w:cs="SimSun"/>
          <w:sz w:val="21"/>
          <w:szCs w:val="21"/>
        </w:rPr>
      </w:pPr>
      <w:r>
        <w:rPr>
          <w:rFonts w:ascii="SimSun" w:hAnsi="SimSun" w:eastAsia="SimSun" w:cs="SimSun"/>
          <w:sz w:val="21"/>
          <w:szCs w:val="21"/>
          <w:spacing w:val="2"/>
        </w:rPr>
        <w:t>开展的一系列达标活动的集合。应实施适当的</w:t>
      </w:r>
      <w:r>
        <w:rPr>
          <w:rFonts w:ascii="SimSun" w:hAnsi="SimSun" w:eastAsia="SimSun" w:cs="SimSun"/>
          <w:sz w:val="21"/>
          <w:szCs w:val="21"/>
          <w:spacing w:val="1"/>
        </w:rPr>
        <w:t>控制措施，以确保数据安全相关的法</w:t>
      </w:r>
      <w:r>
        <w:rPr>
          <w:rFonts w:ascii="SimSun" w:hAnsi="SimSun" w:eastAsia="SimSun" w:cs="SimSun"/>
          <w:sz w:val="21"/>
          <w:szCs w:val="21"/>
        </w:rPr>
        <w:t xml:space="preserve"> </w:t>
      </w:r>
      <w:r>
        <w:rPr>
          <w:rFonts w:ascii="SimSun" w:hAnsi="SimSun" w:eastAsia="SimSun" w:cs="SimSun"/>
          <w:sz w:val="21"/>
          <w:szCs w:val="21"/>
          <w:spacing w:val="-6"/>
        </w:rPr>
        <w:t>规得到遵从。</w:t>
      </w:r>
    </w:p>
    <w:p>
      <w:pPr>
        <w:ind w:right="206" w:firstLine="430"/>
        <w:spacing w:before="30" w:line="263" w:lineRule="auto"/>
        <w:rPr>
          <w:rFonts w:ascii="SimSun" w:hAnsi="SimSun" w:eastAsia="SimSun" w:cs="SimSun"/>
          <w:sz w:val="21"/>
          <w:szCs w:val="21"/>
        </w:rPr>
      </w:pPr>
      <w:r>
        <w:rPr>
          <w:rFonts w:ascii="SimSun" w:hAnsi="SimSun" w:eastAsia="SimSun" w:cs="SimSun"/>
          <w:sz w:val="21"/>
          <w:szCs w:val="21"/>
          <w:spacing w:val="2"/>
        </w:rPr>
        <w:t>作为数据所有者，组织面临着其用户日益复杂的外部合规要求。这些要求包括</w:t>
      </w:r>
      <w:r>
        <w:rPr>
          <w:rFonts w:ascii="SimSun" w:hAnsi="SimSun" w:eastAsia="SimSun" w:cs="SimSun"/>
          <w:sz w:val="21"/>
          <w:szCs w:val="21"/>
        </w:rPr>
        <w:t xml:space="preserve"> </w:t>
      </w:r>
      <w:r>
        <w:rPr>
          <w:rFonts w:ascii="SimSun" w:hAnsi="SimSun" w:eastAsia="SimSun" w:cs="SimSun"/>
          <w:sz w:val="21"/>
          <w:szCs w:val="21"/>
        </w:rPr>
        <w:t>行业标准、规章制度和法律法规等。组织通过机制应能完</w:t>
      </w:r>
      <w:r>
        <w:rPr>
          <w:rFonts w:ascii="SimSun" w:hAnsi="SimSun" w:eastAsia="SimSun" w:cs="SimSun"/>
          <w:sz w:val="21"/>
          <w:szCs w:val="21"/>
          <w:spacing w:val="-1"/>
        </w:rPr>
        <w:t>成以下要求。</w:t>
      </w:r>
    </w:p>
    <w:p>
      <w:pPr>
        <w:ind w:right="206" w:firstLine="430"/>
        <w:spacing w:before="32" w:line="259" w:lineRule="auto"/>
        <w:rPr>
          <w:rFonts w:ascii="SimSun" w:hAnsi="SimSun" w:eastAsia="SimSun" w:cs="SimSun"/>
          <w:sz w:val="21"/>
          <w:szCs w:val="21"/>
        </w:rPr>
      </w:pPr>
      <w:r>
        <w:rPr>
          <w:rFonts w:ascii="SimSun" w:hAnsi="SimSun" w:eastAsia="SimSun" w:cs="SimSun"/>
          <w:sz w:val="21"/>
          <w:szCs w:val="21"/>
          <w:spacing w:val="5"/>
        </w:rPr>
        <w:t>(1)组织应识别出所有相关的法律、法规、规章和合同要求，形成文件</w:t>
      </w:r>
      <w:r>
        <w:rPr>
          <w:rFonts w:ascii="SimSun" w:hAnsi="SimSun" w:eastAsia="SimSun" w:cs="SimSun"/>
          <w:sz w:val="21"/>
          <w:szCs w:val="21"/>
          <w:spacing w:val="4"/>
        </w:rPr>
        <w:t>并保持</w:t>
      </w:r>
      <w:r>
        <w:rPr>
          <w:rFonts w:ascii="SimSun" w:hAnsi="SimSun" w:eastAsia="SimSun" w:cs="SimSun"/>
          <w:sz w:val="21"/>
          <w:szCs w:val="21"/>
        </w:rPr>
        <w:t xml:space="preserve"> </w:t>
      </w:r>
      <w:r>
        <w:rPr>
          <w:rFonts w:ascii="SimSun" w:hAnsi="SimSun" w:eastAsia="SimSun" w:cs="SimSun"/>
          <w:sz w:val="21"/>
          <w:szCs w:val="21"/>
          <w:spacing w:val="-2"/>
        </w:rPr>
        <w:t>更新，例如，支付卡行业对数据安全标准的要求。</w:t>
      </w:r>
    </w:p>
    <w:p>
      <w:pPr>
        <w:ind w:right="113" w:firstLine="430"/>
        <w:spacing w:before="59" w:line="265" w:lineRule="auto"/>
        <w:rPr>
          <w:rFonts w:ascii="SimSun" w:hAnsi="SimSun" w:eastAsia="SimSun" w:cs="SimSun"/>
          <w:sz w:val="21"/>
          <w:szCs w:val="21"/>
        </w:rPr>
      </w:pPr>
      <w:r>
        <w:rPr>
          <w:rFonts w:ascii="SimSun" w:hAnsi="SimSun" w:eastAsia="SimSun" w:cs="SimSun"/>
          <w:sz w:val="21"/>
          <w:szCs w:val="21"/>
          <w:spacing w:val="4"/>
        </w:rPr>
        <w:t>(2)组织应识别出跟记录相关的法律、法规、规章、合同和业务要求。根据要</w:t>
      </w:r>
      <w:r>
        <w:rPr>
          <w:rFonts w:ascii="SimSun" w:hAnsi="SimSun" w:eastAsia="SimSun" w:cs="SimSun"/>
          <w:sz w:val="21"/>
          <w:szCs w:val="21"/>
          <w:spacing w:val="7"/>
        </w:rPr>
        <w:t xml:space="preserve">  </w:t>
      </w:r>
      <w:r>
        <w:rPr>
          <w:rFonts w:ascii="SimSun" w:hAnsi="SimSun" w:eastAsia="SimSun" w:cs="SimSun"/>
          <w:sz w:val="21"/>
          <w:szCs w:val="21"/>
          <w:spacing w:val="2"/>
        </w:rPr>
        <w:t>求对记录进行保护以防其丢失、毁坏、伪造、未授权访问和未授权发布。例如，用</w:t>
      </w:r>
      <w:r>
        <w:rPr>
          <w:rFonts w:ascii="SimSun" w:hAnsi="SimSun" w:eastAsia="SimSun" w:cs="SimSun"/>
          <w:sz w:val="21"/>
          <w:szCs w:val="21"/>
          <w:spacing w:val="1"/>
        </w:rPr>
        <w:t xml:space="preserve">  </w:t>
      </w:r>
      <w:r>
        <w:rPr>
          <w:rFonts w:ascii="SimSun" w:hAnsi="SimSun" w:eastAsia="SimSun" w:cs="SimSun"/>
          <w:sz w:val="21"/>
          <w:szCs w:val="21"/>
          <w:spacing w:val="-1"/>
        </w:rPr>
        <w:t>户的合同中包括对事务日志和审计日志的保存要求的条款。记录应根据法律</w:t>
      </w:r>
      <w:r>
        <w:rPr>
          <w:rFonts w:ascii="SimSun" w:hAnsi="SimSun" w:eastAsia="SimSun" w:cs="SimSun"/>
          <w:sz w:val="21"/>
          <w:szCs w:val="21"/>
          <w:spacing w:val="-2"/>
        </w:rPr>
        <w:t>、法规、</w:t>
      </w:r>
      <w:r>
        <w:rPr>
          <w:rFonts w:ascii="SimSun" w:hAnsi="SimSun" w:eastAsia="SimSun" w:cs="SimSun"/>
          <w:sz w:val="21"/>
          <w:szCs w:val="21"/>
        </w:rPr>
        <w:t xml:space="preserve"> </w:t>
      </w:r>
      <w:r>
        <w:rPr>
          <w:rFonts w:ascii="SimSun" w:hAnsi="SimSun" w:eastAsia="SimSun" w:cs="SimSun"/>
          <w:sz w:val="21"/>
          <w:szCs w:val="21"/>
          <w:spacing w:val="2"/>
        </w:rPr>
        <w:t>规章、合同和业务要求进行保护和保存。例如：作为</w:t>
      </w:r>
      <w:r>
        <w:rPr>
          <w:rFonts w:ascii="SimSun" w:hAnsi="SimSun" w:eastAsia="SimSun" w:cs="SimSun"/>
          <w:sz w:val="21"/>
          <w:szCs w:val="21"/>
          <w:spacing w:val="1"/>
        </w:rPr>
        <w:t>组织在法令或法规规则下运行</w:t>
      </w:r>
      <w:r>
        <w:rPr>
          <w:rFonts w:ascii="SimSun" w:hAnsi="SimSun" w:eastAsia="SimSun" w:cs="SimSun"/>
          <w:sz w:val="21"/>
          <w:szCs w:val="21"/>
        </w:rPr>
        <w:t xml:space="preserve">  </w:t>
      </w:r>
      <w:r>
        <w:rPr>
          <w:rFonts w:ascii="SimSun" w:hAnsi="SimSun" w:eastAsia="SimSun" w:cs="SimSun"/>
          <w:sz w:val="21"/>
          <w:szCs w:val="21"/>
          <w:spacing w:val="2"/>
        </w:rPr>
        <w:t>证据的记录，以确保充分防御潜在的民事或刑事</w:t>
      </w:r>
      <w:r>
        <w:rPr>
          <w:rFonts w:ascii="SimSun" w:hAnsi="SimSun" w:eastAsia="SimSun" w:cs="SimSun"/>
          <w:sz w:val="21"/>
          <w:szCs w:val="21"/>
          <w:spacing w:val="1"/>
        </w:rPr>
        <w:t>诉讼，或者和股份持有者、外部方</w:t>
      </w:r>
      <w:r>
        <w:rPr>
          <w:rFonts w:ascii="SimSun" w:hAnsi="SimSun" w:eastAsia="SimSun" w:cs="SimSun"/>
          <w:sz w:val="21"/>
          <w:szCs w:val="21"/>
        </w:rPr>
        <w:t xml:space="preserve">  </w:t>
      </w:r>
      <w:r>
        <w:rPr>
          <w:rFonts w:ascii="SimSun" w:hAnsi="SimSun" w:eastAsia="SimSun" w:cs="SimSun"/>
          <w:sz w:val="21"/>
          <w:szCs w:val="21"/>
          <w:spacing w:val="2"/>
        </w:rPr>
        <w:t>和审计员确认组织的财务状况，可以根据国家法律或规章来设置信息</w:t>
      </w:r>
      <w:r>
        <w:rPr>
          <w:rFonts w:ascii="SimSun" w:hAnsi="SimSun" w:eastAsia="SimSun" w:cs="SimSun"/>
          <w:sz w:val="21"/>
          <w:szCs w:val="21"/>
          <w:spacing w:val="1"/>
        </w:rPr>
        <w:t>保存的时间和</w:t>
      </w:r>
      <w:r>
        <w:rPr>
          <w:rFonts w:ascii="SimSun" w:hAnsi="SimSun" w:eastAsia="SimSun" w:cs="SimSun"/>
          <w:sz w:val="21"/>
          <w:szCs w:val="21"/>
        </w:rPr>
        <w:t xml:space="preserve">  </w:t>
      </w:r>
      <w:r>
        <w:rPr>
          <w:rFonts w:ascii="SimSun" w:hAnsi="SimSun" w:eastAsia="SimSun" w:cs="SimSun"/>
          <w:sz w:val="21"/>
          <w:szCs w:val="21"/>
          <w:spacing w:val="-7"/>
        </w:rPr>
        <w:t>数据内容。</w:t>
      </w:r>
    </w:p>
    <w:p>
      <w:pPr>
        <w:ind w:right="214" w:firstLine="430"/>
        <w:spacing w:before="63" w:line="263" w:lineRule="auto"/>
        <w:rPr>
          <w:rFonts w:ascii="SimSun" w:hAnsi="SimSun" w:eastAsia="SimSun" w:cs="SimSun"/>
          <w:sz w:val="21"/>
          <w:szCs w:val="21"/>
        </w:rPr>
      </w:pPr>
      <w:r>
        <w:rPr>
          <w:rFonts w:ascii="SimSun" w:hAnsi="SimSun" w:eastAsia="SimSun" w:cs="SimSun"/>
          <w:sz w:val="21"/>
          <w:szCs w:val="21"/>
          <w:spacing w:val="4"/>
        </w:rPr>
        <w:t>(3)组织应识别出针对隐私和个人可识别信息保护相关的法律、法规和合同条</w:t>
      </w:r>
      <w:r>
        <w:rPr>
          <w:rFonts w:ascii="SimSun" w:hAnsi="SimSun" w:eastAsia="SimSun" w:cs="SimSun"/>
          <w:sz w:val="21"/>
          <w:szCs w:val="21"/>
          <w:spacing w:val="13"/>
        </w:rPr>
        <w:t xml:space="preserve"> </w:t>
      </w:r>
      <w:r>
        <w:rPr>
          <w:rFonts w:ascii="SimSun" w:hAnsi="SimSun" w:eastAsia="SimSun" w:cs="SimSun"/>
          <w:sz w:val="21"/>
          <w:szCs w:val="21"/>
          <w:spacing w:val="2"/>
        </w:rPr>
        <w:t>款的要求。例如：随着电子病历的应用，服务于卫生保健业务的云计算提供</w:t>
      </w:r>
      <w:r>
        <w:rPr>
          <w:rFonts w:ascii="SimSun" w:hAnsi="SimSun" w:eastAsia="SimSun" w:cs="SimSun"/>
          <w:sz w:val="21"/>
          <w:szCs w:val="21"/>
          <w:spacing w:val="1"/>
        </w:rPr>
        <w:t>商应当</w:t>
      </w:r>
      <w:r>
        <w:rPr>
          <w:rFonts w:ascii="SimSun" w:hAnsi="SimSun" w:eastAsia="SimSun" w:cs="SimSun"/>
          <w:sz w:val="21"/>
          <w:szCs w:val="21"/>
        </w:rPr>
        <w:t xml:space="preserve"> </w:t>
      </w:r>
      <w:r>
        <w:rPr>
          <w:rFonts w:ascii="SimSun" w:hAnsi="SimSun" w:eastAsia="SimSun" w:cs="SimSun"/>
          <w:sz w:val="21"/>
          <w:szCs w:val="21"/>
          <w:spacing w:val="4"/>
        </w:rPr>
        <w:t>识别我国《医疗机构病历管理规定》(2013</w:t>
      </w:r>
      <w:r>
        <w:rPr>
          <w:rFonts w:ascii="SimSun" w:hAnsi="SimSun" w:eastAsia="SimSun" w:cs="SimSun"/>
          <w:sz w:val="21"/>
          <w:szCs w:val="21"/>
          <w:spacing w:val="30"/>
        </w:rPr>
        <w:t xml:space="preserve"> </w:t>
      </w:r>
      <w:r>
        <w:rPr>
          <w:rFonts w:ascii="SimSun" w:hAnsi="SimSun" w:eastAsia="SimSun" w:cs="SimSun"/>
          <w:sz w:val="21"/>
          <w:szCs w:val="21"/>
          <w:spacing w:val="4"/>
        </w:rPr>
        <w:t>年版)对</w:t>
      </w:r>
      <w:r>
        <w:rPr>
          <w:rFonts w:ascii="SimSun" w:hAnsi="SimSun" w:eastAsia="SimSun" w:cs="SimSun"/>
          <w:sz w:val="21"/>
          <w:szCs w:val="21"/>
          <w:spacing w:val="3"/>
        </w:rPr>
        <w:t>个人可辨识的健康信息的保护</w:t>
      </w:r>
      <w:r>
        <w:rPr>
          <w:rFonts w:ascii="SimSun" w:hAnsi="SimSun" w:eastAsia="SimSun" w:cs="SimSun"/>
          <w:sz w:val="21"/>
          <w:szCs w:val="21"/>
        </w:rPr>
        <w:t xml:space="preserve"> </w:t>
      </w:r>
      <w:r>
        <w:rPr>
          <w:rFonts w:ascii="SimSun" w:hAnsi="SimSun" w:eastAsia="SimSun" w:cs="SimSun"/>
          <w:sz w:val="21"/>
          <w:szCs w:val="21"/>
          <w:spacing w:val="-1"/>
        </w:rPr>
        <w:t>要求：“除为患者提供诊疗服务的医务人员，以及经卫生/计生行</w:t>
      </w:r>
      <w:r>
        <w:rPr>
          <w:rFonts w:ascii="SimSun" w:hAnsi="SimSun" w:eastAsia="SimSun" w:cs="SimSun"/>
          <w:sz w:val="21"/>
          <w:szCs w:val="21"/>
          <w:spacing w:val="-2"/>
        </w:rPr>
        <w:t>政部门、中医药管</w:t>
      </w:r>
      <w:r>
        <w:rPr>
          <w:rFonts w:ascii="SimSun" w:hAnsi="SimSun" w:eastAsia="SimSun" w:cs="SimSun"/>
          <w:sz w:val="21"/>
          <w:szCs w:val="21"/>
        </w:rPr>
        <w:t xml:space="preserve"> </w:t>
      </w:r>
      <w:r>
        <w:rPr>
          <w:rFonts w:ascii="SimSun" w:hAnsi="SimSun" w:eastAsia="SimSun" w:cs="SimSun"/>
          <w:sz w:val="21"/>
          <w:szCs w:val="21"/>
          <w:spacing w:val="2"/>
        </w:rPr>
        <w:t>理部门或者医疗机构授权的负责病案管理、医</w:t>
      </w:r>
      <w:r>
        <w:rPr>
          <w:rFonts w:ascii="SimSun" w:hAnsi="SimSun" w:eastAsia="SimSun" w:cs="SimSun"/>
          <w:sz w:val="21"/>
          <w:szCs w:val="21"/>
          <w:spacing w:val="1"/>
        </w:rPr>
        <w:t>疗管理的部门或者人员外，其他任何</w:t>
      </w:r>
      <w:r>
        <w:rPr>
          <w:rFonts w:ascii="SimSun" w:hAnsi="SimSun" w:eastAsia="SimSun" w:cs="SimSun"/>
          <w:sz w:val="21"/>
          <w:szCs w:val="21"/>
        </w:rPr>
        <w:t xml:space="preserve"> </w:t>
      </w:r>
      <w:r>
        <w:rPr>
          <w:rFonts w:ascii="SimSun" w:hAnsi="SimSun" w:eastAsia="SimSun" w:cs="SimSun"/>
          <w:sz w:val="21"/>
          <w:szCs w:val="21"/>
          <w:spacing w:val="3"/>
        </w:rPr>
        <w:t>机构和个人不得擅自查阅患者病历。”</w:t>
      </w:r>
    </w:p>
    <w:p>
      <w:pPr>
        <w:ind w:right="217" w:firstLine="430"/>
        <w:spacing w:before="92" w:line="246" w:lineRule="auto"/>
        <w:rPr>
          <w:rFonts w:ascii="SimSun" w:hAnsi="SimSun" w:eastAsia="SimSun" w:cs="SimSun"/>
          <w:sz w:val="21"/>
          <w:szCs w:val="21"/>
        </w:rPr>
      </w:pPr>
      <w:r>
        <w:rPr>
          <w:rFonts w:ascii="SimSun" w:hAnsi="SimSun" w:eastAsia="SimSun" w:cs="SimSun"/>
          <w:sz w:val="21"/>
          <w:szCs w:val="21"/>
          <w:spacing w:val="5"/>
        </w:rPr>
        <w:t>(4)组织应识别出针对密码控制的相关的协</w:t>
      </w:r>
      <w:r>
        <w:rPr>
          <w:rFonts w:ascii="SimSun" w:hAnsi="SimSun" w:eastAsia="SimSun" w:cs="SimSun"/>
          <w:sz w:val="21"/>
          <w:szCs w:val="21"/>
          <w:spacing w:val="4"/>
        </w:rPr>
        <w:t>议、法律和法规。例如：国家对加</w:t>
      </w:r>
      <w:r>
        <w:rPr>
          <w:rFonts w:ascii="SimSun" w:hAnsi="SimSun" w:eastAsia="SimSun" w:cs="SimSun"/>
          <w:sz w:val="21"/>
          <w:szCs w:val="21"/>
        </w:rPr>
        <w:t xml:space="preserve"> </w:t>
      </w:r>
      <w:r>
        <w:rPr>
          <w:rFonts w:ascii="SimSun" w:hAnsi="SimSun" w:eastAsia="SimSun" w:cs="SimSun"/>
          <w:sz w:val="21"/>
          <w:szCs w:val="21"/>
          <w:spacing w:val="-8"/>
        </w:rPr>
        <w:t>密技术的限制使用。</w:t>
      </w:r>
    </w:p>
    <w:p>
      <w:pPr>
        <w:ind w:right="218" w:firstLine="430"/>
        <w:spacing w:before="50" w:line="255" w:lineRule="auto"/>
        <w:rPr>
          <w:rFonts w:ascii="SimSun" w:hAnsi="SimSun" w:eastAsia="SimSun" w:cs="SimSun"/>
          <w:sz w:val="21"/>
          <w:szCs w:val="21"/>
        </w:rPr>
      </w:pPr>
      <w:r>
        <w:rPr>
          <w:rFonts w:ascii="SimSun" w:hAnsi="SimSun" w:eastAsia="SimSun" w:cs="SimSun"/>
          <w:sz w:val="21"/>
          <w:szCs w:val="21"/>
          <w:spacing w:val="2"/>
        </w:rPr>
        <w:t>识别合规性要求的机制至少每年被评审一次，确</w:t>
      </w:r>
      <w:r>
        <w:rPr>
          <w:rFonts w:ascii="SimSun" w:hAnsi="SimSun" w:eastAsia="SimSun" w:cs="SimSun"/>
          <w:sz w:val="21"/>
          <w:szCs w:val="21"/>
          <w:spacing w:val="1"/>
        </w:rPr>
        <w:t>保对自身业务流程造成影响的</w:t>
      </w:r>
      <w:r>
        <w:rPr>
          <w:rFonts w:ascii="SimSun" w:hAnsi="SimSun" w:eastAsia="SimSun" w:cs="SimSun"/>
          <w:sz w:val="21"/>
          <w:szCs w:val="21"/>
        </w:rPr>
        <w:t xml:space="preserve"> </w:t>
      </w:r>
      <w:r>
        <w:rPr>
          <w:rFonts w:ascii="SimSun" w:hAnsi="SimSun" w:eastAsia="SimSun" w:cs="SimSun"/>
          <w:sz w:val="21"/>
          <w:szCs w:val="21"/>
          <w:spacing w:val="-9"/>
        </w:rPr>
        <w:t>事项都已被识别。</w:t>
      </w:r>
    </w:p>
    <w:p>
      <w:pPr>
        <w:ind w:left="430"/>
        <w:spacing w:before="73" w:line="229" w:lineRule="auto"/>
        <w:rPr>
          <w:rFonts w:ascii="KaiTi" w:hAnsi="KaiTi" w:eastAsia="KaiTi" w:cs="KaiTi"/>
          <w:sz w:val="21"/>
          <w:szCs w:val="21"/>
        </w:rPr>
      </w:pPr>
      <w:r>
        <w:rPr>
          <w:rFonts w:ascii="KaiTi" w:hAnsi="KaiTi" w:eastAsia="KaiTi" w:cs="KaiTi"/>
          <w:sz w:val="21"/>
          <w:szCs w:val="21"/>
          <w:spacing w:val="12"/>
        </w:rPr>
        <w:t>3)相关过程域</w:t>
      </w:r>
    </w:p>
    <w:p>
      <w:pPr>
        <w:ind w:left="430"/>
        <w:spacing w:before="47" w:line="219" w:lineRule="auto"/>
        <w:rPr>
          <w:rFonts w:ascii="SimSun" w:hAnsi="SimSun" w:eastAsia="SimSun" w:cs="SimSun"/>
          <w:sz w:val="21"/>
          <w:szCs w:val="21"/>
        </w:rPr>
      </w:pPr>
      <w:r>
        <w:rPr>
          <w:rFonts w:ascii="SimSun" w:hAnsi="SimSun" w:eastAsia="SimSun" w:cs="SimSun"/>
          <w:sz w:val="21"/>
          <w:szCs w:val="21"/>
        </w:rPr>
        <w:t>●风险管理过程域帮助组织识别合规风险；</w:t>
      </w:r>
    </w:p>
    <w:p>
      <w:pPr>
        <w:ind w:left="430"/>
        <w:spacing w:before="59" w:line="219" w:lineRule="auto"/>
        <w:rPr>
          <w:rFonts w:ascii="SimSun" w:hAnsi="SimSun" w:eastAsia="SimSun" w:cs="SimSun"/>
          <w:sz w:val="21"/>
          <w:szCs w:val="21"/>
        </w:rPr>
      </w:pPr>
      <w:r>
        <w:rPr>
          <w:rFonts w:ascii="SimSun" w:hAnsi="SimSun" w:eastAsia="SimSun" w:cs="SimSun"/>
          <w:sz w:val="21"/>
          <w:szCs w:val="21"/>
        </w:rPr>
        <w:t>●隐私保护过程域提供了组织隐私保护措施及落实情况；</w:t>
      </w:r>
    </w:p>
    <w:p>
      <w:pPr>
        <w:ind w:left="430"/>
        <w:spacing w:before="71" w:line="219" w:lineRule="auto"/>
        <w:rPr>
          <w:rFonts w:ascii="SimSun" w:hAnsi="SimSun" w:eastAsia="SimSun" w:cs="SimSun"/>
          <w:sz w:val="21"/>
          <w:szCs w:val="21"/>
        </w:rPr>
      </w:pPr>
      <w:r>
        <w:rPr>
          <w:rFonts w:ascii="SimSun" w:hAnsi="SimSun" w:eastAsia="SimSun" w:cs="SimSun"/>
          <w:sz w:val="21"/>
          <w:szCs w:val="21"/>
          <w:spacing w:val="1"/>
        </w:rPr>
        <w:t>●数据安全过程域提供了组织安全目标与安全控制活动保持相符的相关信息。</w:t>
      </w:r>
    </w:p>
    <w:p>
      <w:pPr>
        <w:pStyle w:val="BodyText"/>
        <w:ind w:left="430"/>
        <w:spacing w:before="210" w:line="223" w:lineRule="auto"/>
        <w:outlineLvl w:val="4"/>
        <w:rPr>
          <w:rFonts w:ascii="SimHei" w:hAnsi="SimHei" w:eastAsia="SimHei" w:cs="SimHei"/>
        </w:rPr>
      </w:pPr>
      <w:r>
        <w:rPr>
          <w:b/>
          <w:bCs/>
          <w:spacing w:val="-2"/>
        </w:rPr>
        <w:t>2.GQM</w:t>
      </w:r>
      <w:r>
        <w:rPr>
          <w:b/>
          <w:bCs/>
          <w:spacing w:val="5"/>
        </w:rPr>
        <w:t xml:space="preserve">    </w:t>
      </w:r>
      <w:r>
        <w:rPr>
          <w:rFonts w:ascii="SimHei" w:hAnsi="SimHei" w:eastAsia="SimHei" w:cs="SimHei"/>
          <w:b/>
          <w:bCs/>
          <w:spacing w:val="-2"/>
        </w:rPr>
        <w:t>表</w:t>
      </w:r>
    </w:p>
    <w:p>
      <w:pPr>
        <w:spacing w:before="34"/>
        <w:rPr/>
      </w:pPr>
      <w:r/>
    </w:p>
    <w:tbl>
      <w:tblPr>
        <w:tblStyle w:val="TableNormal"/>
        <w:tblW w:w="7650"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13"/>
        <w:gridCol w:w="1598"/>
        <w:gridCol w:w="1947"/>
        <w:gridCol w:w="2692"/>
      </w:tblGrid>
      <w:tr>
        <w:trPr>
          <w:trHeight w:val="353" w:hRule="atLeast"/>
        </w:trPr>
        <w:tc>
          <w:tcPr>
            <w:tcW w:w="1413" w:type="dxa"/>
            <w:vAlign w:val="top"/>
          </w:tcPr>
          <w:p>
            <w:pPr>
              <w:pStyle w:val="TableText"/>
              <w:ind w:left="425"/>
              <w:spacing w:before="101" w:line="220" w:lineRule="auto"/>
              <w:rPr/>
            </w:pPr>
            <w:r>
              <w:rPr>
                <w:spacing w:val="-18"/>
              </w:rPr>
              <w:t>目</w:t>
            </w:r>
            <w:r>
              <w:rPr>
                <w:spacing w:val="11"/>
              </w:rPr>
              <w:t xml:space="preserve">    </w:t>
            </w:r>
            <w:r>
              <w:rPr>
                <w:spacing w:val="-18"/>
              </w:rPr>
              <w:t>标</w:t>
            </w:r>
          </w:p>
        </w:tc>
        <w:tc>
          <w:tcPr>
            <w:tcW w:w="1598" w:type="dxa"/>
            <w:vAlign w:val="top"/>
          </w:tcPr>
          <w:p>
            <w:pPr>
              <w:pStyle w:val="TableText"/>
              <w:ind w:left="522"/>
              <w:spacing w:before="103" w:line="221" w:lineRule="auto"/>
              <w:rPr/>
            </w:pPr>
            <w:r>
              <w:rPr>
                <w:spacing w:val="-12"/>
              </w:rPr>
              <w:t>问</w:t>
            </w:r>
            <w:r>
              <w:rPr>
                <w:spacing w:val="13"/>
              </w:rPr>
              <w:t xml:space="preserve">   </w:t>
            </w:r>
            <w:r>
              <w:rPr>
                <w:spacing w:val="-12"/>
              </w:rPr>
              <w:t>题</w:t>
            </w:r>
          </w:p>
        </w:tc>
        <w:tc>
          <w:tcPr>
            <w:tcW w:w="1947" w:type="dxa"/>
            <w:vAlign w:val="top"/>
          </w:tcPr>
          <w:p>
            <w:pPr>
              <w:pStyle w:val="TableText"/>
              <w:ind w:left="574"/>
              <w:spacing w:before="101" w:line="220" w:lineRule="auto"/>
              <w:rPr/>
            </w:pPr>
            <w:r>
              <w:rPr>
                <w:spacing w:val="-4"/>
              </w:rPr>
              <w:t>度</w:t>
            </w:r>
            <w:r>
              <w:rPr>
                <w:spacing w:val="14"/>
              </w:rPr>
              <w:t xml:space="preserve">  </w:t>
            </w:r>
            <w:r>
              <w:rPr>
                <w:spacing w:val="-4"/>
              </w:rPr>
              <w:t>量</w:t>
            </w:r>
            <w:r>
              <w:rPr>
                <w:spacing w:val="15"/>
              </w:rPr>
              <w:t xml:space="preserve">  </w:t>
            </w:r>
            <w:r>
              <w:rPr>
                <w:spacing w:val="-4"/>
              </w:rPr>
              <w:t>项</w:t>
            </w:r>
          </w:p>
        </w:tc>
        <w:tc>
          <w:tcPr>
            <w:tcW w:w="2692" w:type="dxa"/>
            <w:vAlign w:val="top"/>
          </w:tcPr>
          <w:p>
            <w:pPr>
              <w:pStyle w:val="TableText"/>
              <w:ind w:left="967"/>
              <w:spacing w:before="101" w:line="219" w:lineRule="auto"/>
              <w:rPr/>
            </w:pPr>
            <w:r>
              <w:rPr>
                <w:spacing w:val="3"/>
              </w:rPr>
              <w:t>度量项说明</w:t>
            </w:r>
          </w:p>
        </w:tc>
      </w:tr>
      <w:tr>
        <w:trPr>
          <w:trHeight w:val="1157" w:hRule="atLeast"/>
        </w:trPr>
        <w:tc>
          <w:tcPr>
            <w:tcW w:w="1413" w:type="dxa"/>
            <w:vAlign w:val="top"/>
          </w:tcPr>
          <w:p>
            <w:pPr>
              <w:spacing w:line="337" w:lineRule="auto"/>
              <w:rPr>
                <w:rFonts w:ascii="Arial"/>
                <w:sz w:val="21"/>
              </w:rPr>
            </w:pPr>
            <w:r/>
          </w:p>
          <w:p>
            <w:pPr>
              <w:pStyle w:val="TableText"/>
              <w:ind w:left="104" w:right="197" w:firstLine="130"/>
              <w:spacing w:before="48" w:line="282" w:lineRule="auto"/>
              <w:rPr/>
            </w:pPr>
            <w:r>
              <w:rPr>
                <w:spacing w:val="-1"/>
              </w:rPr>
              <w:t>G1:识别所需遵</w:t>
            </w:r>
            <w:r>
              <w:rPr>
                <w:spacing w:val="2"/>
              </w:rPr>
              <w:t xml:space="preserve"> </w:t>
            </w:r>
            <w:r>
              <w:rPr>
                <w:spacing w:val="-2"/>
              </w:rPr>
              <w:t>从的法律</w:t>
            </w:r>
          </w:p>
        </w:tc>
        <w:tc>
          <w:tcPr>
            <w:tcW w:w="1598" w:type="dxa"/>
            <w:vAlign w:val="top"/>
          </w:tcPr>
          <w:p>
            <w:pPr>
              <w:pStyle w:val="TableText"/>
              <w:ind w:left="111" w:right="132" w:firstLine="109"/>
              <w:spacing w:before="247" w:line="299" w:lineRule="auto"/>
              <w:rPr/>
            </w:pPr>
            <w:r>
              <w:rPr>
                <w:spacing w:val="-1"/>
              </w:rPr>
              <w:t>Q1:组织是否将所</w:t>
            </w:r>
            <w:r>
              <w:rPr>
                <w:spacing w:val="1"/>
              </w:rPr>
              <w:t xml:space="preserve">  </w:t>
            </w:r>
            <w:r>
              <w:rPr>
                <w:spacing w:val="-1"/>
              </w:rPr>
              <w:t>有需遵从的法律法规</w:t>
            </w:r>
            <w:r>
              <w:rPr>
                <w:spacing w:val="1"/>
              </w:rPr>
              <w:t xml:space="preserve"> </w:t>
            </w:r>
            <w:r>
              <w:rPr>
                <w:spacing w:val="4"/>
              </w:rPr>
              <w:t>都识别出来了</w:t>
            </w:r>
          </w:p>
        </w:tc>
        <w:tc>
          <w:tcPr>
            <w:tcW w:w="1947" w:type="dxa"/>
            <w:vAlign w:val="top"/>
          </w:tcPr>
          <w:p>
            <w:pPr>
              <w:pStyle w:val="TableText"/>
              <w:ind w:left="114" w:right="136" w:firstLine="139"/>
              <w:spacing w:before="247" w:line="300" w:lineRule="auto"/>
              <w:rPr/>
            </w:pPr>
            <w:r>
              <w:rPr>
                <w:spacing w:val="-1"/>
              </w:rPr>
              <w:t>M1:识别出的所有相关  </w:t>
            </w:r>
            <w:r>
              <w:rPr>
                <w:spacing w:val="3"/>
              </w:rPr>
              <w:t>的法律、法规、规章和合</w:t>
            </w:r>
            <w:r>
              <w:rPr>
                <w:spacing w:val="2"/>
              </w:rPr>
              <w:t xml:space="preserve"> </w:t>
            </w:r>
            <w:r>
              <w:rPr>
                <w:spacing w:val="2"/>
              </w:rPr>
              <w:t>同要求</w:t>
            </w:r>
          </w:p>
        </w:tc>
        <w:tc>
          <w:tcPr>
            <w:tcW w:w="2692" w:type="dxa"/>
            <w:vAlign w:val="top"/>
          </w:tcPr>
          <w:p>
            <w:pPr>
              <w:pStyle w:val="TableText"/>
              <w:ind w:left="127" w:right="150" w:firstLine="89"/>
              <w:spacing w:before="98" w:line="313" w:lineRule="auto"/>
              <w:jc w:val="both"/>
              <w:rPr/>
            </w:pPr>
            <w:r>
              <w:rPr>
                <w:spacing w:val="-1"/>
              </w:rPr>
              <w:t>组织负责合规管理的人员应具备对</w:t>
            </w:r>
            <w:r>
              <w:rPr>
                <w:spacing w:val="3"/>
              </w:rPr>
              <w:t xml:space="preserve">  </w:t>
            </w:r>
            <w:r>
              <w:rPr/>
              <w:t>合规要求解读能力和对业务情况的理</w:t>
            </w:r>
            <w:r>
              <w:rPr>
                <w:spacing w:val="2"/>
              </w:rPr>
              <w:t xml:space="preserve"> </w:t>
            </w:r>
            <w:r>
              <w:rPr/>
              <w:t>解力，相关人员应熟悉制订和采用法</w:t>
            </w:r>
            <w:r>
              <w:rPr>
                <w:spacing w:val="3"/>
              </w:rPr>
              <w:t xml:space="preserve"> </w:t>
            </w:r>
            <w:r>
              <w:rPr>
                <w:spacing w:val="-1"/>
              </w:rPr>
              <w:t>律的原因以及它们的整体目标</w:t>
            </w:r>
          </w:p>
        </w:tc>
      </w:tr>
    </w:tbl>
    <w:p>
      <w:pPr>
        <w:pStyle w:val="BodyText"/>
        <w:rPr/>
      </w:pPr>
      <w:r/>
    </w:p>
    <w:p>
      <w:pPr>
        <w:sectPr>
          <w:footerReference w:type="default" r:id="rId455"/>
          <w:pgSz w:w="8870" w:h="13400"/>
          <w:pgMar w:top="400" w:right="655" w:bottom="508" w:left="369" w:header="0" w:footer="299" w:gutter="0"/>
        </w:sectPr>
        <w:rPr/>
      </w:pPr>
    </w:p>
    <w:p>
      <w:pPr>
        <w:ind w:left="140"/>
        <w:spacing w:before="220"/>
        <w:rPr>
          <w:rFonts w:ascii="SimSun" w:hAnsi="SimSun" w:eastAsia="SimSun" w:cs="SimSun"/>
          <w:sz w:val="22"/>
          <w:szCs w:val="22"/>
        </w:rPr>
      </w:pPr>
      <w:bookmarkStart w:name="bookmark87" w:id="82"/>
      <w:bookmarkEnd w:id="82"/>
      <w:bookmarkStart w:name="bookmark88" w:id="83"/>
      <w:bookmarkEnd w:id="83"/>
      <w:bookmarkStart w:name="bookmark89" w:id="84"/>
      <w:bookmarkEnd w:id="84"/>
      <w:r>
        <w:rPr>
          <w:rFonts w:ascii="SimSun" w:hAnsi="SimSun" w:eastAsia="SimSun" w:cs="SimSun"/>
          <w:sz w:val="22"/>
          <w:szCs w:val="22"/>
          <w:position w:val="-8"/>
        </w:rPr>
        <w:drawing>
          <wp:inline distT="0" distB="0" distL="0" distR="0">
            <wp:extent cx="6365" cy="222255"/>
            <wp:effectExtent l="0" t="0" r="0" b="0"/>
            <wp:docPr id="316" name="IM 316"/>
            <wp:cNvGraphicFramePr/>
            <a:graphic>
              <a:graphicData uri="http://schemas.openxmlformats.org/drawingml/2006/picture">
                <pic:pic>
                  <pic:nvPicPr>
                    <pic:cNvPr id="316" name="IM 316"/>
                    <pic:cNvPicPr/>
                  </pic:nvPicPr>
                  <pic:blipFill>
                    <a:blip r:embed="rId457"/>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7"/>
        </w:rPr>
        <w:t xml:space="preserve"> </w:t>
      </w:r>
      <w:r>
        <w:rPr>
          <w:rFonts w:ascii="SimSun" w:hAnsi="SimSun" w:eastAsia="SimSun" w:cs="SimSun"/>
          <w:sz w:val="22"/>
          <w:szCs w:val="22"/>
          <w:b/>
          <w:bCs/>
          <w:spacing w:val="-17"/>
        </w:rPr>
        <w:t>■云端数据治理</w:t>
      </w:r>
    </w:p>
    <w:p>
      <w:pPr>
        <w:pStyle w:val="BodyText"/>
        <w:spacing w:line="278" w:lineRule="auto"/>
        <w:rPr/>
      </w:pPr>
      <w:r/>
    </w:p>
    <w:p>
      <w:pPr>
        <w:ind w:left="7202"/>
        <w:spacing w:before="55" w:line="220" w:lineRule="auto"/>
        <w:rPr>
          <w:rFonts w:ascii="SimSun" w:hAnsi="SimSun" w:eastAsia="SimSun" w:cs="SimSun"/>
          <w:sz w:val="17"/>
          <w:szCs w:val="17"/>
        </w:rPr>
      </w:pPr>
      <w:r>
        <w:rPr>
          <w:rFonts w:ascii="SimSun" w:hAnsi="SimSun" w:eastAsia="SimSun" w:cs="SimSun"/>
          <w:sz w:val="17"/>
          <w:szCs w:val="17"/>
          <w:b/>
          <w:bCs/>
          <w:spacing w:val="-4"/>
        </w:rPr>
        <w:t>续表</w:t>
      </w:r>
    </w:p>
    <w:p>
      <w:pPr>
        <w:spacing w:line="17" w:lineRule="exact"/>
        <w:rPr/>
      </w:pPr>
      <w:r/>
    </w:p>
    <w:tbl>
      <w:tblPr>
        <w:tblStyle w:val="TableNormal"/>
        <w:tblW w:w="7650"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3"/>
        <w:gridCol w:w="1598"/>
        <w:gridCol w:w="1938"/>
        <w:gridCol w:w="2681"/>
      </w:tblGrid>
      <w:tr>
        <w:trPr>
          <w:trHeight w:val="344" w:hRule="atLeast"/>
        </w:trPr>
        <w:tc>
          <w:tcPr>
            <w:tcW w:w="1433" w:type="dxa"/>
            <w:vAlign w:val="top"/>
          </w:tcPr>
          <w:p>
            <w:pPr>
              <w:pStyle w:val="TableText"/>
              <w:ind w:left="444"/>
              <w:spacing w:before="101" w:line="220" w:lineRule="auto"/>
              <w:rPr/>
            </w:pPr>
            <w:r>
              <w:rPr>
                <w:spacing w:val="-12"/>
              </w:rPr>
              <w:t>目    标</w:t>
            </w:r>
          </w:p>
        </w:tc>
        <w:tc>
          <w:tcPr>
            <w:tcW w:w="1598" w:type="dxa"/>
            <w:vAlign w:val="top"/>
          </w:tcPr>
          <w:p>
            <w:pPr>
              <w:pStyle w:val="TableText"/>
              <w:ind w:left="492"/>
              <w:spacing w:before="103" w:line="221" w:lineRule="auto"/>
              <w:rPr/>
            </w:pPr>
            <w:r>
              <w:rPr>
                <w:spacing w:val="-12"/>
              </w:rPr>
              <w:t>问</w:t>
            </w:r>
            <w:r>
              <w:rPr>
                <w:spacing w:val="10"/>
              </w:rPr>
              <w:t xml:space="preserve">   </w:t>
            </w:r>
            <w:r>
              <w:rPr>
                <w:spacing w:val="-12"/>
              </w:rPr>
              <w:t>题</w:t>
            </w:r>
          </w:p>
        </w:tc>
        <w:tc>
          <w:tcPr>
            <w:tcW w:w="1938" w:type="dxa"/>
            <w:vAlign w:val="top"/>
          </w:tcPr>
          <w:p>
            <w:pPr>
              <w:pStyle w:val="TableText"/>
              <w:ind w:left="594"/>
              <w:spacing w:before="101" w:line="220" w:lineRule="auto"/>
              <w:rPr/>
            </w:pPr>
            <w:r>
              <w:rPr>
                <w:spacing w:val="-4"/>
              </w:rPr>
              <w:t>度</w:t>
            </w:r>
            <w:r>
              <w:rPr>
                <w:spacing w:val="5"/>
              </w:rPr>
              <w:t xml:space="preserve"> </w:t>
            </w:r>
            <w:r>
              <w:rPr>
                <w:spacing w:val="-4"/>
              </w:rPr>
              <w:t>量</w:t>
            </w:r>
            <w:r>
              <w:rPr>
                <w:spacing w:val="4"/>
              </w:rPr>
              <w:t xml:space="preserve">  </w:t>
            </w:r>
            <w:r>
              <w:rPr>
                <w:spacing w:val="-4"/>
              </w:rPr>
              <w:t>项</w:t>
            </w:r>
          </w:p>
        </w:tc>
        <w:tc>
          <w:tcPr>
            <w:tcW w:w="2681" w:type="dxa"/>
            <w:vAlign w:val="top"/>
          </w:tcPr>
          <w:p>
            <w:pPr>
              <w:pStyle w:val="TableText"/>
              <w:ind w:left="956"/>
              <w:spacing w:before="101" w:line="219" w:lineRule="auto"/>
              <w:rPr/>
            </w:pPr>
            <w:r>
              <w:rPr>
                <w:spacing w:val="3"/>
              </w:rPr>
              <w:t>度量项说明</w:t>
            </w:r>
          </w:p>
        </w:tc>
      </w:tr>
      <w:tr>
        <w:trPr>
          <w:trHeight w:val="888" w:hRule="atLeast"/>
        </w:trPr>
        <w:tc>
          <w:tcPr>
            <w:tcW w:w="1433" w:type="dxa"/>
            <w:vAlign w:val="top"/>
            <w:vMerge w:val="restart"/>
            <w:tcBorders>
              <w:bottom w:val="nil"/>
            </w:tcBorders>
          </w:tcPr>
          <w:p>
            <w:pPr>
              <w:spacing w:line="312" w:lineRule="auto"/>
              <w:rPr>
                <w:rFonts w:ascii="Arial"/>
                <w:sz w:val="21"/>
              </w:rPr>
            </w:pPr>
            <w:r/>
          </w:p>
          <w:p>
            <w:pPr>
              <w:spacing w:line="312" w:lineRule="auto"/>
              <w:rPr>
                <w:rFonts w:ascii="Arial"/>
                <w:sz w:val="21"/>
              </w:rPr>
            </w:pPr>
            <w:r/>
          </w:p>
          <w:p>
            <w:pPr>
              <w:pStyle w:val="TableText"/>
              <w:ind w:left="184" w:right="180" w:firstLine="29"/>
              <w:spacing w:before="48" w:line="303" w:lineRule="auto"/>
              <w:jc w:val="both"/>
              <w:rPr/>
            </w:pPr>
            <w:r>
              <w:rPr>
                <w:spacing w:val="2"/>
              </w:rPr>
              <w:t>G2:建立有效的</w:t>
            </w:r>
            <w:r>
              <w:rPr/>
              <w:t xml:space="preserve"> </w:t>
            </w:r>
            <w:r>
              <w:rPr>
                <w:spacing w:val="-1"/>
              </w:rPr>
              <w:t>合规性管理过程</w:t>
            </w:r>
            <w:r>
              <w:rPr/>
              <w:t xml:space="preserve"> </w:t>
            </w:r>
            <w:r>
              <w:rPr>
                <w:spacing w:val="1"/>
              </w:rPr>
              <w:t>以满足业务需求</w:t>
            </w:r>
          </w:p>
        </w:tc>
        <w:tc>
          <w:tcPr>
            <w:tcW w:w="1598" w:type="dxa"/>
            <w:vAlign w:val="top"/>
            <w:vMerge w:val="restart"/>
            <w:tcBorders>
              <w:bottom w:val="nil"/>
            </w:tcBorders>
          </w:tcPr>
          <w:p>
            <w:pPr>
              <w:spacing w:line="312" w:lineRule="auto"/>
              <w:rPr>
                <w:rFonts w:ascii="Arial"/>
                <w:sz w:val="21"/>
              </w:rPr>
            </w:pPr>
            <w:r/>
          </w:p>
          <w:p>
            <w:pPr>
              <w:spacing w:line="312" w:lineRule="auto"/>
              <w:rPr>
                <w:rFonts w:ascii="Arial"/>
                <w:sz w:val="21"/>
              </w:rPr>
            </w:pPr>
            <w:r/>
          </w:p>
          <w:p>
            <w:pPr>
              <w:pStyle w:val="TableText"/>
              <w:ind w:left="121" w:right="104" w:firstLine="140"/>
              <w:spacing w:before="49" w:line="307" w:lineRule="auto"/>
              <w:rPr/>
            </w:pPr>
            <w:r>
              <w:rPr>
                <w:spacing w:val="-1"/>
              </w:rPr>
              <w:t>Q2:云端所有识别</w:t>
            </w:r>
            <w:r>
              <w:rPr>
                <w:spacing w:val="1"/>
              </w:rPr>
              <w:t xml:space="preserve">  </w:t>
            </w:r>
            <w:r>
              <w:rPr>
                <w:spacing w:val="1"/>
              </w:rPr>
              <w:t>出来的法律法规是否 </w:t>
            </w:r>
            <w:r>
              <w:rPr>
                <w:spacing w:val="3"/>
              </w:rPr>
              <w:t>都得到遵从了</w:t>
            </w:r>
          </w:p>
        </w:tc>
        <w:tc>
          <w:tcPr>
            <w:tcW w:w="1938" w:type="dxa"/>
            <w:vAlign w:val="top"/>
          </w:tcPr>
          <w:p>
            <w:pPr>
              <w:pStyle w:val="TableText"/>
              <w:ind w:left="263" w:right="250" w:hanging="10"/>
              <w:spacing w:before="247" w:line="278" w:lineRule="auto"/>
              <w:rPr/>
            </w:pPr>
            <w:r>
              <w:rPr>
                <w:spacing w:val="-1"/>
              </w:rPr>
              <w:t>M2:已识别的法规管理</w:t>
            </w:r>
            <w:r>
              <w:rPr>
                <w:spacing w:val="8"/>
              </w:rPr>
              <w:t xml:space="preserve"> </w:t>
            </w:r>
            <w:r>
              <w:rPr>
                <w:spacing w:val="-2"/>
              </w:rPr>
              <w:t>规范</w:t>
            </w:r>
          </w:p>
        </w:tc>
        <w:tc>
          <w:tcPr>
            <w:tcW w:w="2681" w:type="dxa"/>
            <w:vAlign w:val="top"/>
          </w:tcPr>
          <w:p>
            <w:pPr>
              <w:pStyle w:val="TableText"/>
              <w:ind w:left="285"/>
              <w:spacing w:before="107" w:line="219" w:lineRule="auto"/>
              <w:rPr/>
            </w:pPr>
            <w:r>
              <w:rPr>
                <w:spacing w:val="-1"/>
              </w:rPr>
              <w:t>组织通过信息安全教育培训等方</w:t>
            </w:r>
          </w:p>
          <w:p>
            <w:pPr>
              <w:pStyle w:val="TableText"/>
              <w:ind w:left="125" w:right="143" w:firstLine="10"/>
              <w:spacing w:before="102" w:line="288" w:lineRule="auto"/>
              <w:rPr/>
            </w:pPr>
            <w:r>
              <w:rPr>
                <w:spacing w:val="-1"/>
              </w:rPr>
              <w:t>式，建立和提高相关人员的法规遵从</w:t>
            </w:r>
            <w:r>
              <w:rPr>
                <w:spacing w:val="6"/>
              </w:rPr>
              <w:t xml:space="preserve"> </w:t>
            </w:r>
            <w:r>
              <w:rPr>
                <w:spacing w:val="-1"/>
              </w:rPr>
              <w:t>等信息信息安全意识及能力</w:t>
            </w:r>
          </w:p>
        </w:tc>
      </w:tr>
      <w:tr>
        <w:trPr>
          <w:trHeight w:val="1147" w:hRule="atLeast"/>
        </w:trPr>
        <w:tc>
          <w:tcPr>
            <w:tcW w:w="1433" w:type="dxa"/>
            <w:vAlign w:val="top"/>
            <w:vMerge w:val="continue"/>
            <w:tcBorders>
              <w:top w:val="nil"/>
            </w:tcBorders>
          </w:tcPr>
          <w:p>
            <w:pPr>
              <w:rPr>
                <w:rFonts w:ascii="Arial"/>
                <w:sz w:val="21"/>
              </w:rPr>
            </w:pPr>
            <w:r/>
          </w:p>
        </w:tc>
        <w:tc>
          <w:tcPr>
            <w:tcW w:w="1598" w:type="dxa"/>
            <w:vAlign w:val="top"/>
            <w:vMerge w:val="continue"/>
            <w:tcBorders>
              <w:top w:val="nil"/>
            </w:tcBorders>
          </w:tcPr>
          <w:p>
            <w:pPr>
              <w:rPr>
                <w:rFonts w:ascii="Arial"/>
                <w:sz w:val="21"/>
              </w:rPr>
            </w:pPr>
            <w:r/>
          </w:p>
        </w:tc>
        <w:tc>
          <w:tcPr>
            <w:tcW w:w="1938" w:type="dxa"/>
            <w:vAlign w:val="top"/>
          </w:tcPr>
          <w:p>
            <w:pPr>
              <w:spacing w:line="338" w:lineRule="auto"/>
              <w:rPr>
                <w:rFonts w:ascii="Arial"/>
                <w:sz w:val="21"/>
              </w:rPr>
            </w:pPr>
            <w:r/>
          </w:p>
          <w:p>
            <w:pPr>
              <w:pStyle w:val="TableText"/>
              <w:ind w:left="263" w:right="250" w:hanging="10"/>
              <w:spacing w:before="49" w:line="270" w:lineRule="auto"/>
              <w:rPr/>
            </w:pPr>
            <w:r>
              <w:rPr>
                <w:spacing w:val="-1"/>
              </w:rPr>
              <w:t>M3:法律法规识别、分</w:t>
            </w:r>
            <w:r>
              <w:rPr>
                <w:spacing w:val="8"/>
              </w:rPr>
              <w:t xml:space="preserve"> </w:t>
            </w:r>
            <w:r>
              <w:rPr>
                <w:spacing w:val="-2"/>
              </w:rPr>
              <w:t>析流程</w:t>
            </w:r>
          </w:p>
        </w:tc>
        <w:tc>
          <w:tcPr>
            <w:tcW w:w="2681" w:type="dxa"/>
            <w:vAlign w:val="top"/>
          </w:tcPr>
          <w:p>
            <w:pPr>
              <w:pStyle w:val="TableText"/>
              <w:ind w:left="116" w:right="123" w:firstLine="89"/>
              <w:spacing w:before="90" w:line="316" w:lineRule="auto"/>
              <w:rPr/>
            </w:pPr>
            <w:r>
              <w:rPr>
                <w:spacing w:val="-1"/>
              </w:rPr>
              <w:t>组织应建立法律法规识别、分析的</w:t>
            </w:r>
            <w:r>
              <w:rPr>
                <w:spacing w:val="3"/>
              </w:rPr>
              <w:t xml:space="preserve">  </w:t>
            </w:r>
            <w:r>
              <w:rPr/>
              <w:t>流程，搞清楚法规的相关性，该法规</w:t>
            </w:r>
            <w:r>
              <w:rPr>
                <w:spacing w:val="12"/>
              </w:rPr>
              <w:t xml:space="preserve"> </w:t>
            </w:r>
            <w:r>
              <w:rPr>
                <w:spacing w:val="1"/>
              </w:rPr>
              <w:t>需要什么样的企业策略和规程，我们</w:t>
            </w:r>
            <w:r>
              <w:rPr>
                <w:spacing w:val="14"/>
              </w:rPr>
              <w:t xml:space="preserve"> </w:t>
            </w:r>
            <w:r>
              <w:rPr>
                <w:spacing w:val="-1"/>
              </w:rPr>
              <w:t>应该如何遵从等问题</w:t>
            </w:r>
          </w:p>
        </w:tc>
      </w:tr>
      <w:tr>
        <w:trPr>
          <w:trHeight w:val="1148" w:hRule="atLeast"/>
        </w:trPr>
        <w:tc>
          <w:tcPr>
            <w:tcW w:w="1433" w:type="dxa"/>
            <w:vAlign w:val="top"/>
            <w:vMerge w:val="restart"/>
            <w:tcBorders>
              <w:bottom w:val="nil"/>
            </w:tcBorders>
          </w:tcPr>
          <w:p>
            <w:pPr>
              <w:spacing w:line="302" w:lineRule="auto"/>
              <w:rPr>
                <w:rFonts w:ascii="Arial"/>
                <w:sz w:val="21"/>
              </w:rPr>
            </w:pPr>
            <w:r/>
          </w:p>
          <w:p>
            <w:pPr>
              <w:spacing w:line="302" w:lineRule="auto"/>
              <w:rPr>
                <w:rFonts w:ascii="Arial"/>
                <w:sz w:val="21"/>
              </w:rPr>
            </w:pPr>
            <w:r/>
          </w:p>
          <w:p>
            <w:pPr>
              <w:spacing w:line="303" w:lineRule="auto"/>
              <w:rPr>
                <w:rFonts w:ascii="Arial"/>
                <w:sz w:val="21"/>
              </w:rPr>
            </w:pPr>
            <w:r/>
          </w:p>
          <w:p>
            <w:pPr>
              <w:pStyle w:val="TableText"/>
              <w:ind w:left="104" w:right="237" w:firstLine="109"/>
              <w:spacing w:before="49" w:line="282" w:lineRule="auto"/>
              <w:rPr/>
            </w:pPr>
            <w:r>
              <w:rPr>
                <w:spacing w:val="-1"/>
              </w:rPr>
              <w:t>G3:组织提供可</w:t>
            </w:r>
            <w:r>
              <w:rPr>
                <w:spacing w:val="2"/>
              </w:rPr>
              <w:t xml:space="preserve"> </w:t>
            </w:r>
            <w:r>
              <w:rPr>
                <w:spacing w:val="-1"/>
              </w:rPr>
              <w:t>信的合规型管理</w:t>
            </w:r>
          </w:p>
        </w:tc>
        <w:tc>
          <w:tcPr>
            <w:tcW w:w="1598" w:type="dxa"/>
            <w:vAlign w:val="top"/>
            <w:vMerge w:val="restart"/>
            <w:tcBorders>
              <w:bottom w:val="nil"/>
            </w:tcBorders>
          </w:tcPr>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pStyle w:val="TableText"/>
              <w:ind w:left="232"/>
              <w:spacing w:before="49" w:line="319" w:lineRule="exact"/>
              <w:rPr/>
            </w:pPr>
            <w:r>
              <w:rPr>
                <w:spacing w:val="-1"/>
                <w:position w:val="13"/>
              </w:rPr>
              <w:t>Q3:现有的合规性</w:t>
            </w:r>
          </w:p>
          <w:p>
            <w:pPr>
              <w:pStyle w:val="TableText"/>
              <w:ind w:left="112"/>
              <w:spacing w:line="219" w:lineRule="auto"/>
              <w:rPr/>
            </w:pPr>
            <w:r>
              <w:rPr>
                <w:spacing w:val="-2"/>
              </w:rPr>
              <w:t>管理策略是否有效</w:t>
            </w:r>
          </w:p>
        </w:tc>
        <w:tc>
          <w:tcPr>
            <w:tcW w:w="1938" w:type="dxa"/>
            <w:vAlign w:val="top"/>
          </w:tcPr>
          <w:p>
            <w:pPr>
              <w:spacing w:line="449" w:lineRule="auto"/>
              <w:rPr>
                <w:rFonts w:ascii="Arial"/>
                <w:sz w:val="21"/>
              </w:rPr>
            </w:pPr>
            <w:r/>
          </w:p>
          <w:p>
            <w:pPr>
              <w:pStyle w:val="TableText"/>
              <w:ind w:left="263"/>
              <w:spacing w:before="49" w:line="219" w:lineRule="auto"/>
              <w:rPr/>
            </w:pPr>
            <w:r>
              <w:rPr>
                <w:spacing w:val="-1"/>
              </w:rPr>
              <w:t>M4:审计机构</w:t>
            </w:r>
          </w:p>
        </w:tc>
        <w:tc>
          <w:tcPr>
            <w:tcW w:w="2681" w:type="dxa"/>
            <w:vAlign w:val="top"/>
          </w:tcPr>
          <w:p>
            <w:pPr>
              <w:pStyle w:val="TableText"/>
              <w:ind w:left="285"/>
              <w:spacing w:before="102" w:line="220" w:lineRule="auto"/>
              <w:rPr/>
            </w:pPr>
            <w:r>
              <w:rPr>
                <w:spacing w:val="-1"/>
              </w:rPr>
              <w:t>组织应定期进行独立的审计与评</w:t>
            </w:r>
          </w:p>
          <w:p>
            <w:pPr>
              <w:pStyle w:val="TableText"/>
              <w:ind w:left="106" w:right="140" w:firstLine="29"/>
              <w:spacing w:before="99" w:line="299" w:lineRule="auto"/>
              <w:rPr/>
            </w:pPr>
            <w:r>
              <w:rPr>
                <w:spacing w:val="-1"/>
              </w:rPr>
              <w:t>估，用于识别和消除任何可能违背现</w:t>
            </w:r>
            <w:r>
              <w:rPr>
                <w:spacing w:val="9"/>
              </w:rPr>
              <w:t xml:space="preserve"> </w:t>
            </w:r>
            <w:r>
              <w:rPr>
                <w:spacing w:val="1"/>
              </w:rPr>
              <w:t>有安全策略、程序，以及合同、法律</w:t>
            </w:r>
            <w:r>
              <w:rPr>
                <w:spacing w:val="6"/>
              </w:rPr>
              <w:t xml:space="preserve"> </w:t>
            </w:r>
            <w:r>
              <w:rPr>
                <w:spacing w:val="-1"/>
              </w:rPr>
              <w:t>法规的不符合项</w:t>
            </w:r>
          </w:p>
        </w:tc>
      </w:tr>
      <w:tr>
        <w:trPr>
          <w:trHeight w:val="1182" w:hRule="atLeast"/>
        </w:trPr>
        <w:tc>
          <w:tcPr>
            <w:tcW w:w="1433" w:type="dxa"/>
            <w:vAlign w:val="top"/>
            <w:vMerge w:val="continue"/>
            <w:tcBorders>
              <w:top w:val="nil"/>
            </w:tcBorders>
          </w:tcPr>
          <w:p>
            <w:pPr>
              <w:rPr>
                <w:rFonts w:ascii="Arial"/>
                <w:sz w:val="21"/>
              </w:rPr>
            </w:pPr>
            <w:r/>
          </w:p>
        </w:tc>
        <w:tc>
          <w:tcPr>
            <w:tcW w:w="1598" w:type="dxa"/>
            <w:vAlign w:val="top"/>
            <w:vMerge w:val="continue"/>
            <w:tcBorders>
              <w:top w:val="nil"/>
            </w:tcBorders>
          </w:tcPr>
          <w:p>
            <w:pPr>
              <w:rPr>
                <w:rFonts w:ascii="Arial"/>
                <w:sz w:val="21"/>
              </w:rPr>
            </w:pPr>
            <w:r/>
          </w:p>
        </w:tc>
        <w:tc>
          <w:tcPr>
            <w:tcW w:w="1938" w:type="dxa"/>
            <w:vAlign w:val="top"/>
          </w:tcPr>
          <w:p>
            <w:pPr>
              <w:spacing w:line="471" w:lineRule="auto"/>
              <w:rPr>
                <w:rFonts w:ascii="Arial"/>
                <w:sz w:val="21"/>
              </w:rPr>
            </w:pPr>
            <w:r/>
          </w:p>
          <w:p>
            <w:pPr>
              <w:pStyle w:val="TableText"/>
              <w:ind w:left="263"/>
              <w:spacing w:before="49" w:line="219" w:lineRule="auto"/>
              <w:rPr/>
            </w:pPr>
            <w:r>
              <w:rPr>
                <w:spacing w:val="-1"/>
              </w:rPr>
              <w:t>M5:合规监控机制</w:t>
            </w:r>
          </w:p>
        </w:tc>
        <w:tc>
          <w:tcPr>
            <w:tcW w:w="2681" w:type="dxa"/>
            <w:vAlign w:val="top"/>
          </w:tcPr>
          <w:p>
            <w:pPr>
              <w:pStyle w:val="TableText"/>
              <w:ind w:left="125" w:right="122" w:firstLine="80"/>
              <w:spacing w:before="113" w:line="313" w:lineRule="auto"/>
              <w:rPr/>
            </w:pPr>
            <w:r>
              <w:rPr/>
              <w:t>组织应建立对合规性识别、监视和</w:t>
            </w:r>
            <w:r>
              <w:rPr>
                <w:spacing w:val="5"/>
              </w:rPr>
              <w:t xml:space="preserve">  </w:t>
            </w:r>
            <w:r>
              <w:rPr/>
              <w:t>控制的机制，从而核对合规性管理策</w:t>
            </w:r>
            <w:r>
              <w:rPr>
                <w:spacing w:val="3"/>
              </w:rPr>
              <w:t xml:space="preserve"> </w:t>
            </w:r>
            <w:r>
              <w:rPr>
                <w:spacing w:val="1"/>
              </w:rPr>
              <w:t>略和措施的实际效果是否与预见的相</w:t>
            </w:r>
            <w:r>
              <w:rPr>
                <w:spacing w:val="5"/>
              </w:rPr>
              <w:t xml:space="preserve"> </w:t>
            </w:r>
            <w:r>
              <w:rPr/>
              <w:t>同，并寻找机会改善</w:t>
            </w:r>
          </w:p>
        </w:tc>
      </w:tr>
    </w:tbl>
    <w:p>
      <w:pPr>
        <w:pStyle w:val="BodyText"/>
        <w:spacing w:line="256" w:lineRule="auto"/>
        <w:rPr/>
      </w:pPr>
      <w:r/>
    </w:p>
    <w:p>
      <w:pPr>
        <w:ind w:left="733"/>
        <w:spacing w:before="71" w:line="460" w:lineRule="exact"/>
        <w:rPr>
          <w:rFonts w:ascii="SimHei" w:hAnsi="SimHei" w:eastAsia="SimHei" w:cs="SimHei"/>
          <w:sz w:val="22"/>
          <w:szCs w:val="22"/>
        </w:rPr>
      </w:pPr>
      <w:r>
        <w:rPr>
          <w:rFonts w:ascii="SimHei" w:hAnsi="SimHei" w:eastAsia="SimHei" w:cs="SimHei"/>
          <w:sz w:val="22"/>
          <w:szCs w:val="22"/>
          <w:b/>
          <w:bCs/>
          <w:spacing w:val="-4"/>
          <w:position w:val="18"/>
        </w:rPr>
        <w:t>3.</w:t>
      </w:r>
      <w:r>
        <w:rPr>
          <w:rFonts w:ascii="SimHei" w:hAnsi="SimHei" w:eastAsia="SimHei" w:cs="SimHei"/>
          <w:sz w:val="22"/>
          <w:szCs w:val="22"/>
          <w:spacing w:val="-22"/>
          <w:position w:val="18"/>
        </w:rPr>
        <w:t xml:space="preserve"> </w:t>
      </w:r>
      <w:r>
        <w:rPr>
          <w:rFonts w:ascii="SimHei" w:hAnsi="SimHei" w:eastAsia="SimHei" w:cs="SimHei"/>
          <w:sz w:val="22"/>
          <w:szCs w:val="22"/>
          <w:b/>
          <w:bCs/>
          <w:spacing w:val="-4"/>
          <w:position w:val="18"/>
        </w:rPr>
        <w:t>成熟度等级介绍</w:t>
      </w:r>
    </w:p>
    <w:p>
      <w:pPr>
        <w:ind w:left="730"/>
        <w:spacing w:before="1" w:line="220" w:lineRule="auto"/>
        <w:rPr>
          <w:rFonts w:ascii="SimHei" w:hAnsi="SimHei" w:eastAsia="SimHei" w:cs="SimHei"/>
          <w:sz w:val="22"/>
          <w:szCs w:val="22"/>
        </w:rPr>
      </w:pPr>
      <w:r>
        <w:rPr>
          <w:rFonts w:ascii="Times New Roman" w:hAnsi="Times New Roman" w:eastAsia="Times New Roman" w:cs="Times New Roman"/>
          <w:sz w:val="22"/>
          <w:szCs w:val="22"/>
          <w:b/>
          <w:bCs/>
          <w:spacing w:val="-6"/>
        </w:rPr>
        <w:t>Level</w:t>
      </w:r>
      <w:r>
        <w:rPr>
          <w:rFonts w:ascii="Times New Roman" w:hAnsi="Times New Roman" w:eastAsia="Times New Roman" w:cs="Times New Roman"/>
          <w:sz w:val="22"/>
          <w:szCs w:val="22"/>
          <w:b/>
          <w:bCs/>
          <w:spacing w:val="9"/>
        </w:rPr>
        <w:t xml:space="preserve">  </w:t>
      </w: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b/>
          <w:bCs/>
          <w:spacing w:val="30"/>
        </w:rPr>
        <w:t xml:space="preserve"> </w:t>
      </w:r>
      <w:r>
        <w:rPr>
          <w:rFonts w:ascii="SimHei" w:hAnsi="SimHei" w:eastAsia="SimHei" w:cs="SimHei"/>
          <w:sz w:val="22"/>
          <w:szCs w:val="22"/>
          <w:b/>
          <w:bCs/>
          <w:spacing w:val="-6"/>
        </w:rPr>
        <w:t>初始级</w:t>
      </w:r>
    </w:p>
    <w:p>
      <w:pPr>
        <w:spacing w:line="137" w:lineRule="exact"/>
        <w:rPr/>
      </w:pPr>
      <w:r/>
    </w:p>
    <w:tbl>
      <w:tblPr>
        <w:tblStyle w:val="TableNormal"/>
        <w:tblW w:w="765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56"/>
        <w:gridCol w:w="3740"/>
      </w:tblGrid>
      <w:tr>
        <w:trPr>
          <w:trHeight w:val="350" w:hRule="atLeast"/>
        </w:trPr>
        <w:tc>
          <w:tcPr>
            <w:tcW w:w="754" w:type="dxa"/>
            <w:vAlign w:val="top"/>
          </w:tcPr>
          <w:p>
            <w:pPr>
              <w:pStyle w:val="TableText"/>
              <w:ind w:left="205"/>
              <w:spacing w:before="102" w:line="221" w:lineRule="auto"/>
              <w:rPr>
                <w:sz w:val="16"/>
                <w:szCs w:val="16"/>
              </w:rPr>
            </w:pPr>
            <w:r>
              <w:rPr>
                <w:sz w:val="16"/>
                <w:szCs w:val="16"/>
                <w:spacing w:val="-2"/>
              </w:rPr>
              <w:t>序号</w:t>
            </w:r>
          </w:p>
        </w:tc>
        <w:tc>
          <w:tcPr>
            <w:tcW w:w="3156" w:type="dxa"/>
            <w:vAlign w:val="top"/>
          </w:tcPr>
          <w:p>
            <w:pPr>
              <w:pStyle w:val="TableText"/>
              <w:ind w:left="1160"/>
              <w:spacing w:before="101" w:line="219" w:lineRule="auto"/>
              <w:rPr>
                <w:sz w:val="16"/>
                <w:szCs w:val="16"/>
              </w:rPr>
            </w:pPr>
            <w:r>
              <w:rPr>
                <w:sz w:val="16"/>
                <w:szCs w:val="16"/>
                <w:spacing w:val="-4"/>
              </w:rPr>
              <w:t>等 级 要 求</w:t>
            </w:r>
          </w:p>
        </w:tc>
        <w:tc>
          <w:tcPr>
            <w:tcW w:w="3740" w:type="dxa"/>
            <w:vAlign w:val="top"/>
          </w:tcPr>
          <w:p>
            <w:pPr>
              <w:pStyle w:val="TableText"/>
              <w:ind w:left="155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9" w:hRule="atLeast"/>
        </w:trPr>
        <w:tc>
          <w:tcPr>
            <w:tcW w:w="754" w:type="dxa"/>
            <w:vAlign w:val="top"/>
          </w:tcPr>
          <w:p>
            <w:pPr>
              <w:pStyle w:val="TableText"/>
              <w:ind w:left="245"/>
              <w:spacing w:before="141" w:line="184" w:lineRule="auto"/>
              <w:rPr>
                <w:sz w:val="16"/>
                <w:szCs w:val="16"/>
              </w:rPr>
            </w:pPr>
            <w:r>
              <w:rPr>
                <w:sz w:val="16"/>
                <w:szCs w:val="16"/>
                <w:spacing w:val="-5"/>
              </w:rPr>
              <w:t>1.1</w:t>
            </w:r>
          </w:p>
        </w:tc>
        <w:tc>
          <w:tcPr>
            <w:tcW w:w="3156" w:type="dxa"/>
            <w:vAlign w:val="top"/>
          </w:tcPr>
          <w:p>
            <w:pPr>
              <w:pStyle w:val="TableText"/>
              <w:ind w:left="261"/>
              <w:spacing w:before="101" w:line="219" w:lineRule="auto"/>
              <w:rPr>
                <w:sz w:val="16"/>
                <w:szCs w:val="16"/>
              </w:rPr>
            </w:pPr>
            <w:r>
              <w:rPr>
                <w:sz w:val="16"/>
                <w:szCs w:val="16"/>
                <w:spacing w:val="-1"/>
              </w:rPr>
              <w:t>识别组织需遵从的法律法规</w:t>
            </w:r>
          </w:p>
        </w:tc>
        <w:tc>
          <w:tcPr>
            <w:tcW w:w="3740" w:type="dxa"/>
            <w:vAlign w:val="top"/>
          </w:tcPr>
          <w:p>
            <w:pPr>
              <w:pStyle w:val="TableText"/>
              <w:ind w:left="245"/>
              <w:spacing w:before="101" w:line="220" w:lineRule="auto"/>
              <w:rPr>
                <w:sz w:val="16"/>
                <w:szCs w:val="16"/>
              </w:rPr>
            </w:pPr>
            <w:r>
              <w:rPr>
                <w:sz w:val="16"/>
                <w:szCs w:val="16"/>
                <w:spacing w:val="1"/>
              </w:rPr>
              <w:t>●遵从法规列表</w:t>
            </w:r>
          </w:p>
        </w:tc>
      </w:tr>
    </w:tbl>
    <w:p>
      <w:pPr>
        <w:ind w:left="620"/>
        <w:spacing w:before="17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40" w:right="26" w:firstLine="389"/>
        <w:spacing w:before="49" w:line="252" w:lineRule="auto"/>
        <w:rPr>
          <w:rFonts w:ascii="SimSun" w:hAnsi="SimSun" w:eastAsia="SimSun" w:cs="SimSun"/>
          <w:sz w:val="22"/>
          <w:szCs w:val="22"/>
        </w:rPr>
      </w:pPr>
      <w:r>
        <w:rPr>
          <w:rFonts w:ascii="SimSun" w:hAnsi="SimSun" w:eastAsia="SimSun" w:cs="SimSun"/>
          <w:sz w:val="22"/>
          <w:szCs w:val="22"/>
          <w:spacing w:val="-8"/>
        </w:rPr>
        <w:t>负责该项过程的人员应具备对合规要求的解读能力和对业务情况</w:t>
      </w:r>
      <w:r>
        <w:rPr>
          <w:rFonts w:ascii="SimSun" w:hAnsi="SimSun" w:eastAsia="SimSun" w:cs="SimSun"/>
          <w:sz w:val="22"/>
          <w:szCs w:val="22"/>
          <w:spacing w:val="-9"/>
        </w:rPr>
        <w:t>的理解力。项</w:t>
      </w:r>
      <w:r>
        <w:rPr>
          <w:rFonts w:ascii="SimSun" w:hAnsi="SimSun" w:eastAsia="SimSun" w:cs="SimSun"/>
          <w:sz w:val="22"/>
          <w:szCs w:val="22"/>
        </w:rPr>
        <w:t xml:space="preserve"> </w:t>
      </w:r>
      <w:r>
        <w:rPr>
          <w:rFonts w:ascii="SimSun" w:hAnsi="SimSun" w:eastAsia="SimSun" w:cs="SimSun"/>
          <w:sz w:val="22"/>
          <w:szCs w:val="22"/>
          <w:spacing w:val="-9"/>
        </w:rPr>
        <w:t>目人员应熟悉制订和采用法律的原因以及它们的整体目标，必要时可以聘请或请教</w:t>
      </w:r>
      <w:r>
        <w:rPr>
          <w:rFonts w:ascii="SimSun" w:hAnsi="SimSun" w:eastAsia="SimSun" w:cs="SimSun"/>
          <w:sz w:val="22"/>
          <w:szCs w:val="22"/>
          <w:spacing w:val="11"/>
        </w:rPr>
        <w:t xml:space="preserve"> </w:t>
      </w:r>
      <w:r>
        <w:rPr>
          <w:rFonts w:ascii="SimSun" w:hAnsi="SimSun" w:eastAsia="SimSun" w:cs="SimSun"/>
          <w:sz w:val="22"/>
          <w:szCs w:val="22"/>
          <w:spacing w:val="-10"/>
        </w:rPr>
        <w:t>律师、安全专家充当组织的顾问，从他们那里获得法律帮助。</w:t>
      </w:r>
    </w:p>
    <w:p>
      <w:pPr>
        <w:ind w:left="730"/>
        <w:spacing w:before="34"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32"/>
        </w:rPr>
        <w:t xml:space="preserve"> </w:t>
      </w:r>
      <w:r>
        <w:rPr>
          <w:rFonts w:ascii="Times New Roman" w:hAnsi="Times New Roman" w:eastAsia="Times New Roman" w:cs="Times New Roman"/>
          <w:sz w:val="22"/>
          <w:szCs w:val="22"/>
          <w:b/>
          <w:bCs/>
          <w:spacing w:val="-3"/>
        </w:rPr>
        <w:t>2:</w:t>
      </w:r>
      <w:r>
        <w:rPr>
          <w:rFonts w:ascii="Times New Roman" w:hAnsi="Times New Roman" w:eastAsia="Times New Roman" w:cs="Times New Roman"/>
          <w:sz w:val="22"/>
          <w:szCs w:val="22"/>
          <w:b/>
          <w:bCs/>
          <w:spacing w:val="49"/>
          <w:w w:val="101"/>
        </w:rPr>
        <w:t xml:space="preserve"> </w:t>
      </w:r>
      <w:r>
        <w:rPr>
          <w:rFonts w:ascii="SimHei" w:hAnsi="SimHei" w:eastAsia="SimHei" w:cs="SimHei"/>
          <w:sz w:val="22"/>
          <w:szCs w:val="22"/>
          <w:b/>
          <w:bCs/>
          <w:spacing w:val="-3"/>
        </w:rPr>
        <w:t>管理级</w:t>
      </w:r>
    </w:p>
    <w:p>
      <w:pPr>
        <w:spacing w:line="127" w:lineRule="exact"/>
        <w:rPr/>
      </w:pPr>
      <w:r/>
    </w:p>
    <w:tbl>
      <w:tblPr>
        <w:tblStyle w:val="TableNormal"/>
        <w:tblW w:w="7650" w:type="dxa"/>
        <w:tblInd w:w="3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50"/>
      </w:tblGrid>
      <w:tr>
        <w:trPr>
          <w:trHeight w:val="352" w:hRule="atLeast"/>
        </w:trPr>
        <w:tc>
          <w:tcPr>
            <w:tcW w:w="744" w:type="dxa"/>
            <w:vAlign w:val="top"/>
          </w:tcPr>
          <w:p>
            <w:pPr>
              <w:pStyle w:val="TableText"/>
              <w:ind w:left="214"/>
              <w:spacing w:before="102" w:line="221" w:lineRule="auto"/>
              <w:rPr/>
            </w:pPr>
            <w:r>
              <w:rPr>
                <w:spacing w:val="-2"/>
              </w:rPr>
              <w:t>序号</w:t>
            </w:r>
          </w:p>
        </w:tc>
        <w:tc>
          <w:tcPr>
            <w:tcW w:w="3156" w:type="dxa"/>
            <w:vAlign w:val="top"/>
          </w:tcPr>
          <w:p>
            <w:pPr>
              <w:pStyle w:val="TableText"/>
              <w:ind w:left="115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584"/>
              <w:spacing w:before="101" w:line="220" w:lineRule="auto"/>
              <w:rPr/>
            </w:pPr>
            <w:r>
              <w:rPr>
                <w:spacing w:val="-5"/>
              </w:rPr>
              <w:t>实</w:t>
            </w:r>
            <w:r>
              <w:rPr>
                <w:spacing w:val="1"/>
              </w:rPr>
              <w:t xml:space="preserve">   </w:t>
            </w:r>
            <w:r>
              <w:rPr>
                <w:spacing w:val="-5"/>
              </w:rPr>
              <w:t>例</w:t>
            </w:r>
          </w:p>
        </w:tc>
      </w:tr>
      <w:tr>
        <w:trPr>
          <w:trHeight w:val="878" w:hRule="atLeast"/>
        </w:trPr>
        <w:tc>
          <w:tcPr>
            <w:tcW w:w="744" w:type="dxa"/>
            <w:vAlign w:val="top"/>
          </w:tcPr>
          <w:p>
            <w:pPr>
              <w:spacing w:line="356" w:lineRule="auto"/>
              <w:rPr>
                <w:rFonts w:ascii="Arial"/>
                <w:sz w:val="21"/>
              </w:rPr>
            </w:pPr>
            <w:r/>
          </w:p>
          <w:p>
            <w:pPr>
              <w:pStyle w:val="TableText"/>
              <w:ind w:left="245"/>
              <w:spacing w:before="48" w:line="184" w:lineRule="auto"/>
              <w:rPr/>
            </w:pPr>
            <w:r>
              <w:rPr>
                <w:spacing w:val="-2"/>
              </w:rPr>
              <w:t>2.1</w:t>
            </w:r>
          </w:p>
        </w:tc>
        <w:tc>
          <w:tcPr>
            <w:tcW w:w="3156" w:type="dxa"/>
            <w:vAlign w:val="top"/>
          </w:tcPr>
          <w:p>
            <w:pPr>
              <w:pStyle w:val="TableText"/>
              <w:ind w:left="111" w:right="161" w:firstLine="109"/>
              <w:spacing w:before="98" w:line="303" w:lineRule="auto"/>
              <w:jc w:val="both"/>
              <w:rPr/>
            </w:pPr>
            <w:r>
              <w:rPr>
                <w:spacing w:val="-1"/>
              </w:rPr>
              <w:t>对已识别的法规进行分析，确保遵守法律</w:t>
            </w:r>
            <w:r>
              <w:rPr>
                <w:spacing w:val="5"/>
              </w:rPr>
              <w:t xml:space="preserve">  </w:t>
            </w:r>
            <w:r>
              <w:rPr>
                <w:spacing w:val="1"/>
              </w:rPr>
              <w:t>法规，并采取适当的方式向利益相关者传达</w:t>
            </w:r>
            <w:r>
              <w:rPr>
                <w:spacing w:val="3"/>
              </w:rPr>
              <w:t xml:space="preserve"> </w:t>
            </w:r>
            <w:r>
              <w:rPr>
                <w:spacing w:val="-1"/>
              </w:rPr>
              <w:t>这些法律法规</w:t>
            </w:r>
          </w:p>
        </w:tc>
        <w:tc>
          <w:tcPr>
            <w:tcW w:w="3750" w:type="dxa"/>
            <w:vAlign w:val="top"/>
          </w:tcPr>
          <w:p>
            <w:pPr>
              <w:spacing w:line="317" w:lineRule="auto"/>
              <w:rPr>
                <w:rFonts w:ascii="Arial"/>
                <w:sz w:val="21"/>
              </w:rPr>
            </w:pPr>
            <w:r/>
          </w:p>
          <w:p>
            <w:pPr>
              <w:pStyle w:val="TableText"/>
              <w:ind w:left="285"/>
              <w:spacing w:before="49" w:line="219" w:lineRule="auto"/>
              <w:rPr/>
            </w:pPr>
            <w:r>
              <w:rPr/>
              <w:t>●法规遵从培训演示材料</w:t>
            </w:r>
          </w:p>
        </w:tc>
      </w:tr>
    </w:tbl>
    <w:p>
      <w:pPr>
        <w:ind w:left="620"/>
        <w:spacing w:before="185"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left="340" w:right="5" w:firstLine="389"/>
        <w:spacing w:before="48"/>
        <w:rPr>
          <w:rFonts w:ascii="SimSun" w:hAnsi="SimSun" w:eastAsia="SimSun" w:cs="SimSun"/>
          <w:sz w:val="22"/>
          <w:szCs w:val="22"/>
        </w:rPr>
      </w:pPr>
      <w:r>
        <w:rPr>
          <w:rFonts w:ascii="SimSun" w:hAnsi="SimSun" w:eastAsia="SimSun" w:cs="SimSun"/>
          <w:sz w:val="22"/>
          <w:szCs w:val="22"/>
          <w:spacing w:val="-8"/>
        </w:rPr>
        <w:t>如果个人信息保护不当，容易出现个人信息的泄露、丢失、损坏、篡改、不当</w:t>
      </w:r>
      <w:r>
        <w:rPr>
          <w:rFonts w:ascii="SimSun" w:hAnsi="SimSun" w:eastAsia="SimSun" w:cs="SimSun"/>
          <w:sz w:val="22"/>
          <w:szCs w:val="22"/>
        </w:rPr>
        <w:t xml:space="preserve"> </w:t>
      </w:r>
      <w:r>
        <w:rPr>
          <w:rFonts w:ascii="SimSun" w:hAnsi="SimSun" w:eastAsia="SimSun" w:cs="SimSun"/>
          <w:sz w:val="22"/>
          <w:szCs w:val="22"/>
          <w:spacing w:val="-8"/>
        </w:rPr>
        <w:t>使用，甚至触犯法律法规要求等。通过个人信息安全意识教育培训，可以</w:t>
      </w:r>
      <w:r>
        <w:rPr>
          <w:rFonts w:ascii="SimSun" w:hAnsi="SimSun" w:eastAsia="SimSun" w:cs="SimSun"/>
          <w:sz w:val="22"/>
          <w:szCs w:val="22"/>
          <w:spacing w:val="-9"/>
        </w:rPr>
        <w:t>建立和提</w:t>
      </w:r>
    </w:p>
    <w:p>
      <w:pPr>
        <w:sectPr>
          <w:footerReference w:type="default" r:id="rId456"/>
          <w:pgSz w:w="8870" w:h="13400"/>
          <w:pgMar w:top="400" w:right="334" w:bottom="464" w:left="559" w:header="0" w:footer="246" w:gutter="0"/>
        </w:sectPr>
        <w:rPr>
          <w:rFonts w:ascii="SimSun" w:hAnsi="SimSun" w:eastAsia="SimSun" w:cs="SimSun"/>
          <w:sz w:val="22"/>
          <w:szCs w:val="22"/>
        </w:rPr>
      </w:pPr>
    </w:p>
    <w:p>
      <w:pPr>
        <w:ind w:left="5713"/>
        <w:spacing w:before="164" w:line="219" w:lineRule="auto"/>
        <w:rPr>
          <w:rFonts w:ascii="SimSun" w:hAnsi="SimSun" w:eastAsia="SimSun" w:cs="SimSun"/>
          <w:sz w:val="22"/>
          <w:szCs w:val="22"/>
        </w:rPr>
      </w:pPr>
      <w:r>
        <w:rPr>
          <w:rFonts w:ascii="SimSun" w:hAnsi="SimSun" w:eastAsia="SimSun" w:cs="SimSun"/>
          <w:sz w:val="22"/>
          <w:szCs w:val="22"/>
          <w:b/>
          <w:bCs/>
          <w:spacing w:val="8"/>
        </w:rPr>
        <w:t>第9章■安全与隐私</w:t>
      </w:r>
    </w:p>
    <w:p>
      <w:pPr>
        <w:ind w:right="218"/>
        <w:spacing w:before="282" w:line="254" w:lineRule="auto"/>
        <w:rPr>
          <w:rFonts w:ascii="SimSun" w:hAnsi="SimSun" w:eastAsia="SimSun" w:cs="SimSun"/>
          <w:sz w:val="22"/>
          <w:szCs w:val="22"/>
        </w:rPr>
      </w:pPr>
      <w:r>
        <w:rPr>
          <w:rFonts w:ascii="SimSun" w:hAnsi="SimSun" w:eastAsia="SimSun" w:cs="SimSun"/>
          <w:sz w:val="22"/>
          <w:szCs w:val="22"/>
          <w:spacing w:val="-8"/>
        </w:rPr>
        <w:t>高相关人员的个人信息保护意识，让他们意识到自身个人信息保护的职责以</w:t>
      </w:r>
      <w:r>
        <w:rPr>
          <w:rFonts w:ascii="SimSun" w:hAnsi="SimSun" w:eastAsia="SimSun" w:cs="SimSun"/>
          <w:sz w:val="22"/>
          <w:szCs w:val="22"/>
          <w:spacing w:val="-9"/>
        </w:rPr>
        <w:t>及履行</w:t>
      </w:r>
      <w:r>
        <w:rPr>
          <w:rFonts w:ascii="SimSun" w:hAnsi="SimSun" w:eastAsia="SimSun" w:cs="SimSun"/>
          <w:sz w:val="22"/>
          <w:szCs w:val="22"/>
        </w:rPr>
        <w:t xml:space="preserve"> </w:t>
      </w:r>
      <w:r>
        <w:rPr>
          <w:rFonts w:ascii="SimSun" w:hAnsi="SimSun" w:eastAsia="SimSun" w:cs="SimSun"/>
          <w:sz w:val="22"/>
          <w:szCs w:val="22"/>
          <w:spacing w:val="-13"/>
        </w:rPr>
        <w:t>职责的方法。</w:t>
      </w:r>
    </w:p>
    <w:p>
      <w:pPr>
        <w:spacing w:line="111" w:lineRule="exact"/>
        <w:rPr/>
      </w:pPr>
      <w:r/>
    </w:p>
    <w:tbl>
      <w:tblPr>
        <w:tblStyle w:val="TableNormal"/>
        <w:tblW w:w="765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70"/>
      </w:tblGrid>
      <w:tr>
        <w:trPr>
          <w:trHeight w:val="349" w:hRule="atLeast"/>
        </w:trPr>
        <w:tc>
          <w:tcPr>
            <w:tcW w:w="744" w:type="dxa"/>
            <w:vAlign w:val="top"/>
          </w:tcPr>
          <w:p>
            <w:pPr>
              <w:pStyle w:val="TableText"/>
              <w:ind w:left="204"/>
              <w:spacing w:before="102" w:line="221" w:lineRule="auto"/>
              <w:rPr>
                <w:sz w:val="16"/>
                <w:szCs w:val="16"/>
              </w:rPr>
            </w:pPr>
            <w:r>
              <w:rPr>
                <w:sz w:val="16"/>
                <w:szCs w:val="16"/>
                <w:spacing w:val="-2"/>
              </w:rPr>
              <w:t>序号</w:t>
            </w:r>
          </w:p>
        </w:tc>
        <w:tc>
          <w:tcPr>
            <w:tcW w:w="3145" w:type="dxa"/>
            <w:vAlign w:val="top"/>
          </w:tcPr>
          <w:p>
            <w:pPr>
              <w:pStyle w:val="TableText"/>
              <w:ind w:left="1150"/>
              <w:spacing w:before="101" w:line="219" w:lineRule="auto"/>
              <w:rPr>
                <w:sz w:val="16"/>
                <w:szCs w:val="16"/>
              </w:rPr>
            </w:pPr>
            <w:r>
              <w:rPr>
                <w:sz w:val="16"/>
                <w:szCs w:val="16"/>
                <w:spacing w:val="-4"/>
              </w:rPr>
              <w:t>等 级 要 求</w:t>
            </w:r>
          </w:p>
        </w:tc>
        <w:tc>
          <w:tcPr>
            <w:tcW w:w="3770" w:type="dxa"/>
            <w:vAlign w:val="top"/>
          </w:tcPr>
          <w:p>
            <w:pPr>
              <w:pStyle w:val="TableText"/>
              <w:ind w:left="1585"/>
              <w:spacing w:before="10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350" w:hRule="atLeast"/>
        </w:trPr>
        <w:tc>
          <w:tcPr>
            <w:tcW w:w="744" w:type="dxa"/>
            <w:vAlign w:val="top"/>
          </w:tcPr>
          <w:p>
            <w:pPr>
              <w:pStyle w:val="TableText"/>
              <w:ind w:left="244"/>
              <w:spacing w:before="143" w:line="183" w:lineRule="auto"/>
              <w:rPr>
                <w:sz w:val="16"/>
                <w:szCs w:val="16"/>
              </w:rPr>
            </w:pPr>
            <w:r>
              <w:rPr>
                <w:sz w:val="16"/>
                <w:szCs w:val="16"/>
                <w:spacing w:val="-2"/>
              </w:rPr>
              <w:t>2.2</w:t>
            </w:r>
          </w:p>
        </w:tc>
        <w:tc>
          <w:tcPr>
            <w:tcW w:w="3145" w:type="dxa"/>
            <w:vAlign w:val="top"/>
          </w:tcPr>
          <w:p>
            <w:pPr>
              <w:pStyle w:val="TableText"/>
              <w:ind w:left="260"/>
              <w:spacing w:before="102" w:line="219" w:lineRule="auto"/>
              <w:rPr>
                <w:sz w:val="16"/>
                <w:szCs w:val="16"/>
              </w:rPr>
            </w:pPr>
            <w:r>
              <w:rPr>
                <w:sz w:val="16"/>
                <w:szCs w:val="16"/>
              </w:rPr>
              <w:t>项目人员有较强的合规解读能力</w:t>
            </w:r>
          </w:p>
        </w:tc>
        <w:tc>
          <w:tcPr>
            <w:tcW w:w="3770" w:type="dxa"/>
            <w:vAlign w:val="top"/>
          </w:tcPr>
          <w:p>
            <w:pPr>
              <w:pStyle w:val="TableText"/>
              <w:ind w:left="256"/>
              <w:spacing w:before="101" w:line="219" w:lineRule="auto"/>
              <w:rPr>
                <w:sz w:val="16"/>
                <w:szCs w:val="16"/>
              </w:rPr>
            </w:pPr>
            <w:r>
              <w:rPr>
                <w:sz w:val="16"/>
                <w:szCs w:val="16"/>
              </w:rPr>
              <w:t>●遵从法律解读材料</w:t>
            </w:r>
          </w:p>
        </w:tc>
      </w:tr>
    </w:tbl>
    <w:p>
      <w:pPr>
        <w:ind w:left="332"/>
        <w:spacing w:before="181" w:line="219" w:lineRule="auto"/>
        <w:rPr>
          <w:rFonts w:ascii="SimSun" w:hAnsi="SimSun" w:eastAsia="SimSun" w:cs="SimSun"/>
          <w:sz w:val="22"/>
          <w:szCs w:val="22"/>
        </w:rPr>
      </w:pPr>
      <w:r>
        <w:rPr>
          <w:rFonts w:ascii="SimSun" w:hAnsi="SimSun" w:eastAsia="SimSun" w:cs="SimSun"/>
          <w:sz w:val="22"/>
          <w:szCs w:val="22"/>
          <w:b/>
          <w:bCs/>
          <w:spacing w:val="-12"/>
        </w:rPr>
        <w:t>【成熟度等级说明】</w:t>
      </w:r>
    </w:p>
    <w:p>
      <w:pPr>
        <w:ind w:left="439" w:right="698"/>
        <w:spacing w:before="61"/>
        <w:rPr>
          <w:rFonts w:ascii="SimHei" w:hAnsi="SimHei" w:eastAsia="SimHei" w:cs="SimHei"/>
          <w:sz w:val="22"/>
          <w:szCs w:val="22"/>
        </w:rPr>
      </w:pPr>
      <w:r>
        <w:rPr>
          <w:rFonts w:ascii="SimSun" w:hAnsi="SimSun" w:eastAsia="SimSun" w:cs="SimSun"/>
          <w:sz w:val="22"/>
          <w:szCs w:val="22"/>
          <w:spacing w:val="-10"/>
        </w:rPr>
        <w:t>负责该项过程的人员应具备对合规要求解读能力</w:t>
      </w:r>
      <w:r>
        <w:rPr>
          <w:rFonts w:ascii="SimSun" w:hAnsi="SimSun" w:eastAsia="SimSun" w:cs="SimSun"/>
          <w:sz w:val="22"/>
          <w:szCs w:val="22"/>
          <w:spacing w:val="-11"/>
        </w:rPr>
        <w:t>和对业务情况的理解力。</w:t>
      </w:r>
      <w:r>
        <w:rPr>
          <w:rFonts w:ascii="SimSun" w:hAnsi="SimSun" w:eastAsia="SimSun" w:cs="SimSun"/>
          <w:sz w:val="22"/>
          <w:szCs w:val="22"/>
        </w:rPr>
        <w:t xml:space="preserve"> </w:t>
      </w:r>
      <w:r>
        <w:rPr>
          <w:rFonts w:ascii="Times New Roman" w:hAnsi="Times New Roman" w:eastAsia="Times New Roman" w:cs="Times New Roman"/>
          <w:sz w:val="22"/>
          <w:szCs w:val="22"/>
          <w:spacing w:val="-2"/>
        </w:rPr>
        <w:t>Level  3:</w:t>
      </w:r>
      <w:r>
        <w:rPr>
          <w:rFonts w:ascii="Times New Roman" w:hAnsi="Times New Roman" w:eastAsia="Times New Roman" w:cs="Times New Roman"/>
          <w:sz w:val="22"/>
          <w:szCs w:val="22"/>
          <w:spacing w:val="42"/>
        </w:rPr>
        <w:t xml:space="preserve"> </w:t>
      </w:r>
      <w:r>
        <w:rPr>
          <w:rFonts w:ascii="SimHei" w:hAnsi="SimHei" w:eastAsia="SimHei" w:cs="SimHei"/>
          <w:sz w:val="22"/>
          <w:szCs w:val="22"/>
          <w:spacing w:val="-2"/>
        </w:rPr>
        <w:t>定义级</w:t>
      </w:r>
    </w:p>
    <w:p>
      <w:pPr>
        <w:spacing w:line="114" w:lineRule="exact"/>
        <w:rPr/>
      </w:pPr>
      <w:r/>
    </w:p>
    <w:tbl>
      <w:tblPr>
        <w:tblStyle w:val="TableNormal"/>
        <w:tblW w:w="765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5"/>
        <w:gridCol w:w="3770"/>
      </w:tblGrid>
      <w:tr>
        <w:trPr>
          <w:trHeight w:val="341" w:hRule="atLeast"/>
        </w:trPr>
        <w:tc>
          <w:tcPr>
            <w:tcW w:w="744" w:type="dxa"/>
            <w:vAlign w:val="top"/>
          </w:tcPr>
          <w:p>
            <w:pPr>
              <w:pStyle w:val="TableText"/>
              <w:ind w:left="214"/>
              <w:spacing w:before="102" w:line="221" w:lineRule="auto"/>
              <w:rPr/>
            </w:pPr>
            <w:r>
              <w:rPr>
                <w:spacing w:val="-2"/>
              </w:rPr>
              <w:t>序号</w:t>
            </w:r>
          </w:p>
        </w:tc>
        <w:tc>
          <w:tcPr>
            <w:tcW w:w="3145" w:type="dxa"/>
            <w:vAlign w:val="top"/>
          </w:tcPr>
          <w:p>
            <w:pPr>
              <w:pStyle w:val="TableText"/>
              <w:ind w:left="116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85"/>
              <w:spacing w:before="10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4"/>
              <w:spacing w:before="268" w:line="184" w:lineRule="auto"/>
              <w:rPr/>
            </w:pPr>
            <w:r>
              <w:rPr>
                <w:spacing w:val="-2"/>
              </w:rPr>
              <w:t>3.1</w:t>
            </w:r>
          </w:p>
        </w:tc>
        <w:tc>
          <w:tcPr>
            <w:tcW w:w="3145" w:type="dxa"/>
            <w:vAlign w:val="top"/>
          </w:tcPr>
          <w:p>
            <w:pPr>
              <w:pStyle w:val="TableText"/>
              <w:ind w:left="110" w:right="182" w:firstLine="149"/>
              <w:spacing w:before="99" w:line="283" w:lineRule="auto"/>
              <w:rPr/>
            </w:pPr>
            <w:r>
              <w:rPr>
                <w:spacing w:val="-1"/>
              </w:rPr>
              <w:t>设立审计机构，负责法规遵从管理策略的</w:t>
            </w:r>
            <w:r>
              <w:rPr>
                <w:spacing w:val="8"/>
              </w:rPr>
              <w:t xml:space="preserve"> </w:t>
            </w:r>
            <w:r>
              <w:rPr>
                <w:spacing w:val="-2"/>
              </w:rPr>
              <w:t>设立及维护</w:t>
            </w:r>
          </w:p>
        </w:tc>
        <w:tc>
          <w:tcPr>
            <w:tcW w:w="3770" w:type="dxa"/>
            <w:vAlign w:val="top"/>
          </w:tcPr>
          <w:p>
            <w:pPr>
              <w:pStyle w:val="TableText"/>
              <w:ind w:left="275"/>
              <w:spacing w:before="100" w:line="219" w:lineRule="auto"/>
              <w:rPr/>
            </w:pPr>
            <w:r>
              <w:rPr/>
              <w:t>●法规遵从管理策略</w:t>
            </w:r>
          </w:p>
          <w:p>
            <w:pPr>
              <w:pStyle w:val="TableText"/>
              <w:ind w:left="275"/>
              <w:spacing w:before="102" w:line="220" w:lineRule="auto"/>
              <w:rPr/>
            </w:pPr>
            <w:r>
              <w:rPr/>
              <w:t>●设立法规遵从审计组织</w:t>
            </w:r>
          </w:p>
        </w:tc>
      </w:tr>
    </w:tbl>
    <w:p>
      <w:pPr>
        <w:ind w:left="329"/>
        <w:spacing w:before="19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38" w:firstLine="439"/>
        <w:spacing w:before="25" w:line="257" w:lineRule="auto"/>
        <w:rPr>
          <w:rFonts w:ascii="SimSun" w:hAnsi="SimSun" w:eastAsia="SimSun" w:cs="SimSun"/>
          <w:sz w:val="22"/>
          <w:szCs w:val="22"/>
        </w:rPr>
      </w:pPr>
      <w:r>
        <w:rPr>
          <w:rFonts w:ascii="SimSun" w:hAnsi="SimSun" w:eastAsia="SimSun" w:cs="SimSun"/>
          <w:sz w:val="22"/>
          <w:szCs w:val="22"/>
          <w:spacing w:val="-9"/>
        </w:rPr>
        <w:t>定期进行独立的审计与评估，用于识别和消除任何可能违背现有的</w:t>
      </w:r>
      <w:r>
        <w:rPr>
          <w:rFonts w:ascii="SimSun" w:hAnsi="SimSun" w:eastAsia="SimSun" w:cs="SimSun"/>
          <w:sz w:val="22"/>
          <w:szCs w:val="22"/>
          <w:spacing w:val="-10"/>
        </w:rPr>
        <w:t>安全策略、</w:t>
      </w:r>
      <w:r>
        <w:rPr>
          <w:rFonts w:ascii="SimSun" w:hAnsi="SimSun" w:eastAsia="SimSun" w:cs="SimSun"/>
          <w:sz w:val="22"/>
          <w:szCs w:val="22"/>
        </w:rPr>
        <w:t xml:space="preserve"> </w:t>
      </w:r>
      <w:r>
        <w:rPr>
          <w:rFonts w:ascii="SimSun" w:hAnsi="SimSun" w:eastAsia="SimSun" w:cs="SimSun"/>
          <w:sz w:val="22"/>
          <w:szCs w:val="22"/>
          <w:spacing w:val="-9"/>
        </w:rPr>
        <w:t>程序，以及合同、法律法规的不符合项。从事这些评审的人员应该具备适当的技能</w:t>
      </w:r>
      <w:r>
        <w:rPr>
          <w:rFonts w:ascii="SimSun" w:hAnsi="SimSun" w:eastAsia="SimSun" w:cs="SimSun"/>
          <w:sz w:val="22"/>
          <w:szCs w:val="22"/>
          <w:spacing w:val="3"/>
        </w:rPr>
        <w:t xml:space="preserve"> </w:t>
      </w:r>
      <w:r>
        <w:rPr>
          <w:rFonts w:ascii="SimSun" w:hAnsi="SimSun" w:eastAsia="SimSun" w:cs="SimSun"/>
          <w:sz w:val="22"/>
          <w:szCs w:val="22"/>
          <w:spacing w:val="-9"/>
        </w:rPr>
        <w:t>和经验，例如：内部审计人员需要经过云计算安全管理体系内审员的培训；外部审</w:t>
      </w:r>
      <w:r>
        <w:rPr>
          <w:rFonts w:ascii="SimSun" w:hAnsi="SimSun" w:eastAsia="SimSun" w:cs="SimSun"/>
          <w:sz w:val="22"/>
          <w:szCs w:val="22"/>
          <w:spacing w:val="11"/>
        </w:rPr>
        <w:t xml:space="preserve"> </w:t>
      </w:r>
      <w:r>
        <w:rPr>
          <w:rFonts w:ascii="SimSun" w:hAnsi="SimSun" w:eastAsia="SimSun" w:cs="SimSun"/>
          <w:sz w:val="22"/>
          <w:szCs w:val="22"/>
          <w:spacing w:val="-14"/>
        </w:rPr>
        <w:t>计人员需要取得专业的认证资格。</w:t>
      </w:r>
    </w:p>
    <w:p>
      <w:pPr>
        <w:spacing w:line="115" w:lineRule="exact"/>
        <w:rPr/>
      </w:pPr>
      <w:r/>
    </w:p>
    <w:tbl>
      <w:tblPr>
        <w:tblStyle w:val="TableNormal"/>
        <w:tblW w:w="765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46"/>
        <w:gridCol w:w="3760"/>
      </w:tblGrid>
      <w:tr>
        <w:trPr>
          <w:trHeight w:val="341" w:hRule="atLeast"/>
        </w:trPr>
        <w:tc>
          <w:tcPr>
            <w:tcW w:w="744" w:type="dxa"/>
            <w:vAlign w:val="top"/>
          </w:tcPr>
          <w:p>
            <w:pPr>
              <w:pStyle w:val="TableText"/>
              <w:ind w:left="205"/>
              <w:spacing w:before="92" w:line="221" w:lineRule="auto"/>
              <w:rPr>
                <w:sz w:val="16"/>
                <w:szCs w:val="16"/>
              </w:rPr>
            </w:pPr>
            <w:r>
              <w:rPr>
                <w:sz w:val="16"/>
                <w:szCs w:val="16"/>
                <w:spacing w:val="-2"/>
              </w:rPr>
              <w:t>序号</w:t>
            </w:r>
          </w:p>
        </w:tc>
        <w:tc>
          <w:tcPr>
            <w:tcW w:w="3146" w:type="dxa"/>
            <w:vAlign w:val="top"/>
          </w:tcPr>
          <w:p>
            <w:pPr>
              <w:pStyle w:val="TableText"/>
              <w:ind w:left="1170"/>
              <w:spacing w:before="91" w:line="219" w:lineRule="auto"/>
              <w:rPr>
                <w:sz w:val="16"/>
                <w:szCs w:val="16"/>
              </w:rPr>
            </w:pPr>
            <w:r>
              <w:rPr>
                <w:sz w:val="16"/>
                <w:szCs w:val="16"/>
                <w:spacing w:val="-4"/>
              </w:rPr>
              <w:t>等 级 要 求</w:t>
            </w:r>
          </w:p>
        </w:tc>
        <w:tc>
          <w:tcPr>
            <w:tcW w:w="3760" w:type="dxa"/>
            <w:vAlign w:val="top"/>
          </w:tcPr>
          <w:p>
            <w:pPr>
              <w:pStyle w:val="TableText"/>
              <w:ind w:left="1585"/>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609" w:hRule="atLeast"/>
        </w:trPr>
        <w:tc>
          <w:tcPr>
            <w:tcW w:w="744" w:type="dxa"/>
            <w:vAlign w:val="top"/>
          </w:tcPr>
          <w:p>
            <w:pPr>
              <w:pStyle w:val="TableText"/>
              <w:ind w:left="245"/>
              <w:spacing w:before="271" w:line="183" w:lineRule="auto"/>
              <w:rPr>
                <w:sz w:val="16"/>
                <w:szCs w:val="16"/>
              </w:rPr>
            </w:pPr>
            <w:r>
              <w:rPr>
                <w:sz w:val="16"/>
                <w:szCs w:val="16"/>
                <w:spacing w:val="-3"/>
              </w:rPr>
              <w:t>3.2</w:t>
            </w:r>
          </w:p>
        </w:tc>
        <w:tc>
          <w:tcPr>
            <w:tcW w:w="3146" w:type="dxa"/>
            <w:vAlign w:val="top"/>
          </w:tcPr>
          <w:p>
            <w:pPr>
              <w:pStyle w:val="TableText"/>
              <w:ind w:left="271"/>
              <w:spacing w:before="230" w:line="219" w:lineRule="auto"/>
              <w:rPr>
                <w:sz w:val="16"/>
                <w:szCs w:val="16"/>
              </w:rPr>
            </w:pPr>
            <w:r>
              <w:rPr>
                <w:sz w:val="16"/>
                <w:szCs w:val="16"/>
                <w:spacing w:val="-1"/>
              </w:rPr>
              <w:t>建立法律法规识别、分析的流程</w:t>
            </w:r>
          </w:p>
        </w:tc>
        <w:tc>
          <w:tcPr>
            <w:tcW w:w="3760" w:type="dxa"/>
            <w:vAlign w:val="top"/>
          </w:tcPr>
          <w:p>
            <w:pPr>
              <w:pStyle w:val="TableText"/>
              <w:ind w:left="275"/>
              <w:spacing w:before="100" w:line="219" w:lineRule="auto"/>
              <w:rPr>
                <w:sz w:val="16"/>
                <w:szCs w:val="16"/>
              </w:rPr>
            </w:pPr>
            <w:r>
              <w:rPr>
                <w:sz w:val="16"/>
                <w:szCs w:val="16"/>
              </w:rPr>
              <w:t>●法律法规识别、分析程序</w:t>
            </w:r>
          </w:p>
          <w:p>
            <w:pPr>
              <w:pStyle w:val="TableText"/>
              <w:ind w:left="275"/>
              <w:spacing w:before="100" w:line="219" w:lineRule="auto"/>
              <w:rPr>
                <w:sz w:val="16"/>
                <w:szCs w:val="16"/>
              </w:rPr>
            </w:pPr>
            <w:r>
              <w:rPr>
                <w:sz w:val="16"/>
                <w:szCs w:val="16"/>
              </w:rPr>
              <w:t>●具体法律法规遵从建议</w:t>
            </w:r>
          </w:p>
        </w:tc>
      </w:tr>
    </w:tbl>
    <w:p>
      <w:pPr>
        <w:ind w:left="329"/>
        <w:spacing w:before="184" w:line="219" w:lineRule="auto"/>
        <w:rPr>
          <w:rFonts w:ascii="SimSun" w:hAnsi="SimSun" w:eastAsia="SimSun" w:cs="SimSun"/>
          <w:sz w:val="22"/>
          <w:szCs w:val="22"/>
        </w:rPr>
      </w:pPr>
      <w:r>
        <w:rPr>
          <w:rFonts w:ascii="SimSun" w:hAnsi="SimSun" w:eastAsia="SimSun" w:cs="SimSun"/>
          <w:sz w:val="22"/>
          <w:szCs w:val="22"/>
          <w:spacing w:val="-9"/>
        </w:rPr>
        <w:t>【成熟度等级说明】</w:t>
      </w:r>
    </w:p>
    <w:p>
      <w:pPr>
        <w:ind w:right="213" w:firstLine="439"/>
        <w:spacing w:before="47" w:line="244" w:lineRule="auto"/>
        <w:rPr>
          <w:rFonts w:ascii="SimSun" w:hAnsi="SimSun" w:eastAsia="SimSun" w:cs="SimSun"/>
          <w:sz w:val="22"/>
          <w:szCs w:val="22"/>
        </w:rPr>
      </w:pPr>
      <w:r>
        <w:rPr>
          <w:rFonts w:ascii="SimSun" w:hAnsi="SimSun" w:eastAsia="SimSun" w:cs="SimSun"/>
          <w:sz w:val="22"/>
          <w:szCs w:val="22"/>
          <w:spacing w:val="-8"/>
        </w:rPr>
        <w:t>组织知道需要符合什么样的法律法规很重要，</w:t>
      </w:r>
      <w:r>
        <w:rPr>
          <w:rFonts w:ascii="SimSun" w:hAnsi="SimSun" w:eastAsia="SimSun" w:cs="SimSun"/>
          <w:sz w:val="22"/>
          <w:szCs w:val="22"/>
          <w:spacing w:val="-9"/>
        </w:rPr>
        <w:t>同时还要知道如何恰当确保遵守</w:t>
      </w:r>
      <w:r>
        <w:rPr>
          <w:rFonts w:ascii="SimSun" w:hAnsi="SimSun" w:eastAsia="SimSun" w:cs="SimSun"/>
          <w:sz w:val="22"/>
          <w:szCs w:val="22"/>
        </w:rPr>
        <w:t xml:space="preserve"> </w:t>
      </w:r>
      <w:r>
        <w:rPr>
          <w:rFonts w:ascii="SimSun" w:hAnsi="SimSun" w:eastAsia="SimSun" w:cs="SimSun"/>
          <w:sz w:val="22"/>
          <w:szCs w:val="22"/>
          <w:spacing w:val="-10"/>
        </w:rPr>
        <w:t>法律法规，以及如何正确地向必要的利益相</w:t>
      </w:r>
      <w:r>
        <w:rPr>
          <w:rFonts w:ascii="SimSun" w:hAnsi="SimSun" w:eastAsia="SimSun" w:cs="SimSun"/>
          <w:sz w:val="22"/>
          <w:szCs w:val="22"/>
          <w:spacing w:val="-11"/>
        </w:rPr>
        <w:t>关方传达这些法律法规。</w:t>
      </w:r>
    </w:p>
    <w:p>
      <w:pPr>
        <w:ind w:right="218" w:firstLine="439"/>
        <w:spacing w:before="51" w:line="248" w:lineRule="auto"/>
        <w:rPr>
          <w:rFonts w:ascii="SimSun" w:hAnsi="SimSun" w:eastAsia="SimSun" w:cs="SimSun"/>
          <w:sz w:val="22"/>
          <w:szCs w:val="22"/>
        </w:rPr>
      </w:pPr>
      <w:r>
        <w:rPr>
          <w:rFonts w:ascii="SimSun" w:hAnsi="SimSun" w:eastAsia="SimSun" w:cs="SimSun"/>
          <w:sz w:val="22"/>
          <w:szCs w:val="22"/>
          <w:spacing w:val="-9"/>
        </w:rPr>
        <w:t>组织应建立法律法规识别、分析的流程，搞清楚法规的相关性，如该法规需要</w:t>
      </w:r>
      <w:r>
        <w:rPr>
          <w:rFonts w:ascii="SimSun" w:hAnsi="SimSun" w:eastAsia="SimSun" w:cs="SimSun"/>
          <w:sz w:val="22"/>
          <w:szCs w:val="22"/>
          <w:spacing w:val="15"/>
        </w:rPr>
        <w:t xml:space="preserve"> </w:t>
      </w:r>
      <w:r>
        <w:rPr>
          <w:rFonts w:ascii="SimSun" w:hAnsi="SimSun" w:eastAsia="SimSun" w:cs="SimSun"/>
          <w:sz w:val="22"/>
          <w:szCs w:val="22"/>
          <w:spacing w:val="-12"/>
        </w:rPr>
        <w:t>什么样的企业策略和规程、我们应该如何遵从等问题。</w:t>
      </w:r>
    </w:p>
    <w:p>
      <w:pPr>
        <w:ind w:left="439"/>
        <w:spacing w:before="34" w:line="221" w:lineRule="auto"/>
        <w:rPr>
          <w:rFonts w:ascii="SimHei" w:hAnsi="SimHei" w:eastAsia="SimHei" w:cs="SimHei"/>
          <w:sz w:val="22"/>
          <w:szCs w:val="22"/>
        </w:rPr>
      </w:pPr>
      <w:r>
        <w:rPr>
          <w:rFonts w:ascii="Times New Roman" w:hAnsi="Times New Roman" w:eastAsia="Times New Roman" w:cs="Times New Roman"/>
          <w:sz w:val="22"/>
          <w:szCs w:val="22"/>
          <w:b/>
          <w:bCs/>
          <w:spacing w:val="-3"/>
        </w:rPr>
        <w:t>Level</w:t>
      </w:r>
      <w:r>
        <w:rPr>
          <w:rFonts w:ascii="Times New Roman" w:hAnsi="Times New Roman" w:eastAsia="Times New Roman" w:cs="Times New Roman"/>
          <w:sz w:val="22"/>
          <w:szCs w:val="22"/>
          <w:b/>
          <w:bCs/>
          <w:spacing w:val="13"/>
        </w:rPr>
        <w:t xml:space="preserve">  </w:t>
      </w:r>
      <w:r>
        <w:rPr>
          <w:rFonts w:ascii="Times New Roman" w:hAnsi="Times New Roman" w:eastAsia="Times New Roman" w:cs="Times New Roman"/>
          <w:sz w:val="22"/>
          <w:szCs w:val="22"/>
          <w:b/>
          <w:bCs/>
          <w:spacing w:val="-3"/>
        </w:rPr>
        <w:t>4:</w:t>
      </w:r>
      <w:r>
        <w:rPr>
          <w:rFonts w:ascii="Times New Roman" w:hAnsi="Times New Roman" w:eastAsia="Times New Roman" w:cs="Times New Roman"/>
          <w:sz w:val="22"/>
          <w:szCs w:val="22"/>
          <w:b/>
          <w:bCs/>
          <w:spacing w:val="-20"/>
        </w:rPr>
        <w:t xml:space="preserve"> </w:t>
      </w:r>
      <w:r>
        <w:rPr>
          <w:rFonts w:ascii="SimHei" w:hAnsi="SimHei" w:eastAsia="SimHei" w:cs="SimHei"/>
          <w:sz w:val="22"/>
          <w:szCs w:val="22"/>
          <w:b/>
          <w:bCs/>
          <w:spacing w:val="-3"/>
        </w:rPr>
        <w:t>量化级</w:t>
      </w:r>
    </w:p>
    <w:p>
      <w:pPr>
        <w:spacing w:line="117" w:lineRule="exact"/>
        <w:rPr/>
      </w:pPr>
      <w:r/>
    </w:p>
    <w:tbl>
      <w:tblPr>
        <w:tblStyle w:val="TableNormal"/>
        <w:tblW w:w="765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36"/>
        <w:gridCol w:w="3770"/>
      </w:tblGrid>
      <w:tr>
        <w:trPr>
          <w:trHeight w:val="341" w:hRule="atLeast"/>
        </w:trPr>
        <w:tc>
          <w:tcPr>
            <w:tcW w:w="744" w:type="dxa"/>
            <w:vAlign w:val="top"/>
          </w:tcPr>
          <w:p>
            <w:pPr>
              <w:pStyle w:val="TableText"/>
              <w:ind w:left="214"/>
              <w:spacing w:before="102" w:line="221" w:lineRule="auto"/>
              <w:rPr/>
            </w:pPr>
            <w:r>
              <w:rPr>
                <w:spacing w:val="-2"/>
              </w:rPr>
              <w:t>序号</w:t>
            </w:r>
          </w:p>
        </w:tc>
        <w:tc>
          <w:tcPr>
            <w:tcW w:w="3136" w:type="dxa"/>
            <w:vAlign w:val="top"/>
          </w:tcPr>
          <w:p>
            <w:pPr>
              <w:pStyle w:val="TableText"/>
              <w:ind w:left="1150"/>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70" w:type="dxa"/>
            <w:vAlign w:val="top"/>
          </w:tcPr>
          <w:p>
            <w:pPr>
              <w:pStyle w:val="TableText"/>
              <w:ind w:left="1594"/>
              <w:spacing w:before="101" w:line="220" w:lineRule="auto"/>
              <w:rPr/>
            </w:pPr>
            <w:r>
              <w:rPr>
                <w:spacing w:val="-5"/>
              </w:rPr>
              <w:t>实</w:t>
            </w:r>
            <w:r>
              <w:rPr>
                <w:spacing w:val="1"/>
              </w:rPr>
              <w:t xml:space="preserve">   </w:t>
            </w:r>
            <w:r>
              <w:rPr>
                <w:spacing w:val="-5"/>
              </w:rPr>
              <w:t>例</w:t>
            </w:r>
          </w:p>
        </w:tc>
      </w:tr>
      <w:tr>
        <w:trPr>
          <w:trHeight w:val="598" w:hRule="atLeast"/>
        </w:trPr>
        <w:tc>
          <w:tcPr>
            <w:tcW w:w="744" w:type="dxa"/>
            <w:vAlign w:val="top"/>
          </w:tcPr>
          <w:p>
            <w:pPr>
              <w:pStyle w:val="TableText"/>
              <w:ind w:left="244"/>
              <w:spacing w:before="268" w:line="184" w:lineRule="auto"/>
              <w:rPr/>
            </w:pPr>
            <w:r>
              <w:rPr>
                <w:spacing w:val="-2"/>
              </w:rPr>
              <w:t>4.1</w:t>
            </w:r>
          </w:p>
        </w:tc>
        <w:tc>
          <w:tcPr>
            <w:tcW w:w="3136" w:type="dxa"/>
            <w:vAlign w:val="top"/>
          </w:tcPr>
          <w:p>
            <w:pPr>
              <w:pStyle w:val="TableText"/>
              <w:ind w:left="260"/>
              <w:spacing w:before="229" w:line="219" w:lineRule="auto"/>
              <w:rPr/>
            </w:pPr>
            <w:r>
              <w:rPr>
                <w:spacing w:val="-1"/>
              </w:rPr>
              <w:t>制订计算机和业务道德方面的指南</w:t>
            </w:r>
          </w:p>
        </w:tc>
        <w:tc>
          <w:tcPr>
            <w:tcW w:w="3770" w:type="dxa"/>
            <w:vAlign w:val="top"/>
          </w:tcPr>
          <w:p>
            <w:pPr>
              <w:pStyle w:val="TableText"/>
              <w:ind w:left="274"/>
              <w:spacing w:before="99" w:line="219" w:lineRule="auto"/>
              <w:rPr/>
            </w:pPr>
            <w:r>
              <w:rPr/>
              <w:t>●计算机和业务道德方面指南</w:t>
            </w:r>
          </w:p>
          <w:p>
            <w:pPr>
              <w:pStyle w:val="TableText"/>
              <w:ind w:left="274"/>
              <w:spacing w:before="103" w:line="219" w:lineRule="auto"/>
              <w:rPr/>
            </w:pPr>
            <w:r>
              <w:rPr/>
              <w:t>●业务道德培训记录</w:t>
            </w:r>
          </w:p>
        </w:tc>
      </w:tr>
    </w:tbl>
    <w:p>
      <w:pPr>
        <w:ind w:left="329"/>
        <w:spacing w:before="204" w:line="219" w:lineRule="auto"/>
        <w:rPr>
          <w:rFonts w:ascii="SimSun" w:hAnsi="SimSun" w:eastAsia="SimSun" w:cs="SimSun"/>
          <w:sz w:val="22"/>
          <w:szCs w:val="22"/>
        </w:rPr>
      </w:pPr>
      <w:r>
        <w:rPr>
          <w:rFonts w:ascii="SimSun" w:hAnsi="SimSun" w:eastAsia="SimSun" w:cs="SimSun"/>
          <w:sz w:val="22"/>
          <w:szCs w:val="22"/>
          <w:spacing w:val="-5"/>
        </w:rPr>
        <w:t>【成熟度等级说明】</w:t>
      </w:r>
    </w:p>
    <w:p>
      <w:pPr>
        <w:ind w:right="216" w:firstLine="439"/>
        <w:spacing w:before="38" w:line="246" w:lineRule="auto"/>
        <w:rPr>
          <w:rFonts w:ascii="SimSun" w:hAnsi="SimSun" w:eastAsia="SimSun" w:cs="SimSun"/>
          <w:sz w:val="22"/>
          <w:szCs w:val="22"/>
        </w:rPr>
      </w:pPr>
      <w:r>
        <w:rPr>
          <w:rFonts w:ascii="SimSun" w:hAnsi="SimSun" w:eastAsia="SimSun" w:cs="SimSun"/>
          <w:sz w:val="22"/>
          <w:szCs w:val="22"/>
          <w:spacing w:val="-9"/>
        </w:rPr>
        <w:t>组织制订计算机和业务道德方面的指南，并成为员工手册的一部分。通过“云</w:t>
      </w:r>
      <w:r>
        <w:rPr>
          <w:rFonts w:ascii="SimSun" w:hAnsi="SimSun" w:eastAsia="SimSun" w:cs="SimSun"/>
          <w:sz w:val="22"/>
          <w:szCs w:val="22"/>
          <w:spacing w:val="17"/>
        </w:rPr>
        <w:t xml:space="preserve"> </w:t>
      </w:r>
      <w:r>
        <w:rPr>
          <w:rFonts w:ascii="SimSun" w:hAnsi="SimSun" w:eastAsia="SimSun" w:cs="SimSun"/>
          <w:sz w:val="22"/>
          <w:szCs w:val="22"/>
          <w:spacing w:val="-9"/>
        </w:rPr>
        <w:t>课堂”等高效、便捷、实时互动的培训形式对员工进行培训，并通过在线测试等评</w:t>
      </w:r>
      <w:r>
        <w:rPr>
          <w:rFonts w:ascii="SimSun" w:hAnsi="SimSun" w:eastAsia="SimSun" w:cs="SimSun"/>
          <w:sz w:val="22"/>
          <w:szCs w:val="22"/>
          <w:spacing w:val="1"/>
        </w:rPr>
        <w:t xml:space="preserve"> </w:t>
      </w:r>
      <w:r>
        <w:rPr>
          <w:rFonts w:ascii="SimSun" w:hAnsi="SimSun" w:eastAsia="SimSun" w:cs="SimSun"/>
          <w:sz w:val="22"/>
          <w:szCs w:val="22"/>
          <w:spacing w:val="-11"/>
        </w:rPr>
        <w:t>估方式跟踪培训情况，培训和测试均强制进行，并纳入绩效考核体系。</w:t>
      </w:r>
    </w:p>
    <w:p>
      <w:pPr>
        <w:spacing w:line="246" w:lineRule="auto"/>
        <w:sectPr>
          <w:footerReference w:type="default" r:id="rId458"/>
          <w:pgSz w:w="8870" w:h="13400"/>
          <w:pgMar w:top="400" w:right="631" w:bottom="594" w:left="390" w:header="0" w:footer="376" w:gutter="0"/>
        </w:sectPr>
        <w:rPr>
          <w:rFonts w:ascii="SimSun" w:hAnsi="SimSun" w:eastAsia="SimSun" w:cs="SimSun"/>
          <w:sz w:val="22"/>
          <w:szCs w:val="22"/>
        </w:rPr>
      </w:pPr>
    </w:p>
    <w:p>
      <w:pPr>
        <w:ind w:left="202"/>
        <w:spacing w:before="186" w:line="219" w:lineRule="auto"/>
        <w:rPr>
          <w:rFonts w:ascii="SimSun" w:hAnsi="SimSun" w:eastAsia="SimSun" w:cs="SimSun"/>
          <w:sz w:val="22"/>
          <w:szCs w:val="22"/>
        </w:rPr>
      </w:pPr>
      <w:r>
        <w:drawing>
          <wp:anchor distT="0" distB="0" distL="0" distR="0" simplePos="0" relativeHeight="257945600" behindDoc="0" locked="0" layoutInCell="0" allowOverlap="1">
            <wp:simplePos x="0" y="0"/>
            <wp:positionH relativeFrom="page">
              <wp:posOffset>412746</wp:posOffset>
            </wp:positionH>
            <wp:positionV relativeFrom="page">
              <wp:posOffset>336531</wp:posOffset>
            </wp:positionV>
            <wp:extent cx="6365" cy="215958"/>
            <wp:effectExtent l="0" t="0" r="0" b="0"/>
            <wp:wrapNone/>
            <wp:docPr id="318" name="IM 318"/>
            <wp:cNvGraphicFramePr/>
            <a:graphic>
              <a:graphicData uri="http://schemas.openxmlformats.org/drawingml/2006/picture">
                <pic:pic>
                  <pic:nvPicPr>
                    <pic:cNvPr id="318" name="IM 318"/>
                    <pic:cNvPicPr/>
                  </pic:nvPicPr>
                  <pic:blipFill>
                    <a:blip r:embed="rId460"/>
                    <a:stretch>
                      <a:fillRect/>
                    </a:stretch>
                  </pic:blipFill>
                  <pic:spPr>
                    <a:xfrm rot="0">
                      <a:off x="0" y="0"/>
                      <a:ext cx="6365" cy="215958"/>
                    </a:xfrm>
                    <a:prstGeom prst="rect">
                      <a:avLst/>
                    </a:prstGeom>
                  </pic:spPr>
                </pic:pic>
              </a:graphicData>
            </a:graphic>
          </wp:anchor>
        </w:drawing>
      </w:r>
      <w:r>
        <w:rPr>
          <w:rFonts w:ascii="SimSun" w:hAnsi="SimSun" w:eastAsia="SimSun" w:cs="SimSun"/>
          <w:sz w:val="22"/>
          <w:szCs w:val="22"/>
          <w:b/>
          <w:bCs/>
          <w:spacing w:val="-29"/>
          <w:w w:val="97"/>
        </w:rPr>
        <w:t>■云端数据治理■</w:t>
      </w:r>
    </w:p>
    <w:p>
      <w:pPr>
        <w:spacing w:before="146"/>
        <w:rPr/>
      </w:pPr>
      <w:r/>
    </w:p>
    <w:tbl>
      <w:tblPr>
        <w:tblStyle w:val="TableNormal"/>
        <w:tblW w:w="7649" w:type="dxa"/>
        <w:tblInd w:w="2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5"/>
        <w:gridCol w:w="3750"/>
      </w:tblGrid>
      <w:tr>
        <w:trPr>
          <w:trHeight w:val="341" w:hRule="atLeast"/>
        </w:trPr>
        <w:tc>
          <w:tcPr>
            <w:tcW w:w="744" w:type="dxa"/>
            <w:vAlign w:val="top"/>
          </w:tcPr>
          <w:p>
            <w:pPr>
              <w:pStyle w:val="TableText"/>
              <w:ind w:left="204"/>
              <w:spacing w:before="92" w:line="221" w:lineRule="auto"/>
              <w:rPr>
                <w:sz w:val="16"/>
                <w:szCs w:val="16"/>
              </w:rPr>
            </w:pPr>
            <w:r>
              <w:rPr>
                <w:sz w:val="16"/>
                <w:szCs w:val="16"/>
                <w:spacing w:val="-2"/>
              </w:rPr>
              <w:t>序号</w:t>
            </w:r>
          </w:p>
        </w:tc>
        <w:tc>
          <w:tcPr>
            <w:tcW w:w="3155" w:type="dxa"/>
            <w:vAlign w:val="top"/>
          </w:tcPr>
          <w:p>
            <w:pPr>
              <w:pStyle w:val="TableText"/>
              <w:ind w:left="1171"/>
              <w:spacing w:before="91" w:line="219" w:lineRule="auto"/>
              <w:rPr>
                <w:sz w:val="16"/>
                <w:szCs w:val="16"/>
              </w:rPr>
            </w:pPr>
            <w:r>
              <w:rPr>
                <w:sz w:val="16"/>
                <w:szCs w:val="16"/>
                <w:spacing w:val="-4"/>
              </w:rPr>
              <w:t>等 级 要 求</w:t>
            </w:r>
          </w:p>
        </w:tc>
        <w:tc>
          <w:tcPr>
            <w:tcW w:w="3750" w:type="dxa"/>
            <w:vAlign w:val="top"/>
          </w:tcPr>
          <w:p>
            <w:pPr>
              <w:pStyle w:val="TableText"/>
              <w:ind w:left="1575"/>
              <w:spacing w:before="91"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88" w:hRule="atLeast"/>
        </w:trPr>
        <w:tc>
          <w:tcPr>
            <w:tcW w:w="744" w:type="dxa"/>
            <w:vAlign w:val="top"/>
          </w:tcPr>
          <w:p>
            <w:pPr>
              <w:pStyle w:val="TableText"/>
              <w:ind w:left="244"/>
              <w:spacing w:before="261" w:line="183" w:lineRule="auto"/>
              <w:rPr>
                <w:sz w:val="16"/>
                <w:szCs w:val="16"/>
              </w:rPr>
            </w:pPr>
            <w:r>
              <w:rPr>
                <w:sz w:val="16"/>
                <w:szCs w:val="16"/>
                <w:spacing w:val="-2"/>
              </w:rPr>
              <w:t>4.2</w:t>
            </w:r>
          </w:p>
        </w:tc>
        <w:tc>
          <w:tcPr>
            <w:tcW w:w="3155" w:type="dxa"/>
            <w:vAlign w:val="top"/>
          </w:tcPr>
          <w:p>
            <w:pPr>
              <w:pStyle w:val="TableText"/>
              <w:ind w:left="270"/>
              <w:spacing w:before="220" w:line="220" w:lineRule="auto"/>
              <w:rPr>
                <w:sz w:val="16"/>
                <w:szCs w:val="16"/>
              </w:rPr>
            </w:pPr>
            <w:r>
              <w:rPr>
                <w:sz w:val="16"/>
                <w:szCs w:val="16"/>
                <w:spacing w:val="-2"/>
              </w:rPr>
              <w:t>定期审核合规情况</w:t>
            </w:r>
          </w:p>
        </w:tc>
        <w:tc>
          <w:tcPr>
            <w:tcW w:w="3750" w:type="dxa"/>
            <w:vAlign w:val="top"/>
          </w:tcPr>
          <w:p>
            <w:pPr>
              <w:pStyle w:val="TableText"/>
              <w:ind w:left="275"/>
              <w:spacing w:before="100" w:line="219" w:lineRule="auto"/>
              <w:rPr>
                <w:sz w:val="16"/>
                <w:szCs w:val="16"/>
              </w:rPr>
            </w:pPr>
            <w:r>
              <w:rPr>
                <w:sz w:val="16"/>
                <w:szCs w:val="16"/>
              </w:rPr>
              <w:t>●个人数据保护优化方案</w:t>
            </w:r>
          </w:p>
          <w:p>
            <w:pPr>
              <w:pStyle w:val="TableText"/>
              <w:ind w:left="275"/>
              <w:spacing w:before="89" w:line="219" w:lineRule="auto"/>
              <w:rPr>
                <w:sz w:val="16"/>
                <w:szCs w:val="16"/>
              </w:rPr>
            </w:pPr>
            <w:r>
              <w:rPr>
                <w:sz w:val="16"/>
                <w:szCs w:val="16"/>
              </w:rPr>
              <w:t>●涉及数据收集相关条款的合同模板</w:t>
            </w:r>
          </w:p>
        </w:tc>
      </w:tr>
    </w:tbl>
    <w:p>
      <w:pPr>
        <w:ind w:left="549"/>
        <w:spacing w:before="21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99" w:right="87" w:firstLine="459"/>
        <w:spacing w:before="37" w:line="247" w:lineRule="auto"/>
        <w:rPr>
          <w:rFonts w:ascii="SimSun" w:hAnsi="SimSun" w:eastAsia="SimSun" w:cs="SimSun"/>
          <w:sz w:val="22"/>
          <w:szCs w:val="22"/>
        </w:rPr>
      </w:pPr>
      <w:r>
        <w:rPr>
          <w:rFonts w:ascii="SimSun" w:hAnsi="SimSun" w:eastAsia="SimSun" w:cs="SimSun"/>
          <w:sz w:val="22"/>
          <w:szCs w:val="22"/>
          <w:spacing w:val="-9"/>
        </w:rPr>
        <w:t>定期审核个人数据收集场景的评估情况，归纳总结出恰当的</w:t>
      </w:r>
      <w:r>
        <w:rPr>
          <w:rFonts w:ascii="SimSun" w:hAnsi="SimSun" w:eastAsia="SimSun" w:cs="SimSun"/>
          <w:sz w:val="22"/>
          <w:szCs w:val="22"/>
          <w:spacing w:val="-10"/>
        </w:rPr>
        <w:t>个人数据收集的保</w:t>
      </w:r>
      <w:r>
        <w:rPr>
          <w:rFonts w:ascii="SimSun" w:hAnsi="SimSun" w:eastAsia="SimSun" w:cs="SimSun"/>
          <w:sz w:val="22"/>
          <w:szCs w:val="22"/>
        </w:rPr>
        <w:t xml:space="preserve"> </w:t>
      </w:r>
      <w:r>
        <w:rPr>
          <w:rFonts w:ascii="SimSun" w:hAnsi="SimSun" w:eastAsia="SimSun" w:cs="SimSun"/>
          <w:sz w:val="22"/>
          <w:szCs w:val="22"/>
          <w:spacing w:val="-8"/>
        </w:rPr>
        <w:t>护措施，如根据不同的数据收集场景提供适</w:t>
      </w:r>
      <w:r>
        <w:rPr>
          <w:rFonts w:ascii="SimSun" w:hAnsi="SimSun" w:eastAsia="SimSun" w:cs="SimSun"/>
          <w:sz w:val="22"/>
          <w:szCs w:val="22"/>
          <w:spacing w:val="-9"/>
        </w:rPr>
        <w:t>当的合同模板、协议模板，并将相应的</w:t>
      </w:r>
      <w:r>
        <w:rPr>
          <w:rFonts w:ascii="SimSun" w:hAnsi="SimSun" w:eastAsia="SimSun" w:cs="SimSun"/>
          <w:sz w:val="22"/>
          <w:szCs w:val="22"/>
        </w:rPr>
        <w:t xml:space="preserve"> </w:t>
      </w:r>
      <w:r>
        <w:rPr>
          <w:rFonts w:ascii="SimSun" w:hAnsi="SimSun" w:eastAsia="SimSun" w:cs="SimSun"/>
          <w:sz w:val="22"/>
          <w:szCs w:val="22"/>
          <w:spacing w:val="-12"/>
        </w:rPr>
        <w:t>保护措施及时同步给各业务团队。</w:t>
      </w:r>
    </w:p>
    <w:p>
      <w:pPr>
        <w:ind w:left="662"/>
        <w:spacing w:before="53" w:line="221" w:lineRule="auto"/>
        <w:rPr>
          <w:rFonts w:ascii="SimHei" w:hAnsi="SimHei" w:eastAsia="SimHei" w:cs="SimHei"/>
          <w:sz w:val="22"/>
          <w:szCs w:val="22"/>
        </w:rPr>
      </w:pPr>
      <w:r>
        <w:rPr>
          <w:rFonts w:ascii="SimSun" w:hAnsi="SimSun" w:eastAsia="SimSun" w:cs="SimSun"/>
          <w:sz w:val="22"/>
          <w:szCs w:val="22"/>
          <w:b/>
          <w:bCs/>
          <w:spacing w:val="-12"/>
        </w:rPr>
        <w:t>Level</w:t>
      </w:r>
      <w:r>
        <w:rPr>
          <w:rFonts w:ascii="SimSun" w:hAnsi="SimSun" w:eastAsia="SimSun" w:cs="SimSun"/>
          <w:sz w:val="22"/>
          <w:szCs w:val="22"/>
          <w:spacing w:val="-12"/>
        </w:rPr>
        <w:t xml:space="preserve"> </w:t>
      </w:r>
      <w:r>
        <w:rPr>
          <w:rFonts w:ascii="SimSun" w:hAnsi="SimSun" w:eastAsia="SimSun" w:cs="SimSun"/>
          <w:sz w:val="22"/>
          <w:szCs w:val="22"/>
          <w:b/>
          <w:bCs/>
          <w:spacing w:val="-12"/>
        </w:rPr>
        <w:t>5:</w:t>
      </w:r>
      <w:r>
        <w:rPr>
          <w:rFonts w:ascii="SimSun" w:hAnsi="SimSun" w:eastAsia="SimSun" w:cs="SimSun"/>
          <w:sz w:val="22"/>
          <w:szCs w:val="22"/>
          <w:spacing w:val="-31"/>
        </w:rPr>
        <w:t xml:space="preserve"> </w:t>
      </w:r>
      <w:r>
        <w:rPr>
          <w:rFonts w:ascii="SimHei" w:hAnsi="SimHei" w:eastAsia="SimHei" w:cs="SimHei"/>
          <w:sz w:val="22"/>
          <w:szCs w:val="22"/>
          <w:b/>
          <w:bCs/>
          <w:spacing w:val="-12"/>
        </w:rPr>
        <w:t>优化级</w:t>
      </w:r>
    </w:p>
    <w:p>
      <w:pPr>
        <w:spacing w:line="127" w:lineRule="exact"/>
        <w:rPr/>
      </w:pPr>
      <w:r/>
    </w:p>
    <w:tbl>
      <w:tblPr>
        <w:tblStyle w:val="TableNormal"/>
        <w:tblW w:w="7660" w:type="dxa"/>
        <w:tblInd w:w="2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3146"/>
        <w:gridCol w:w="3760"/>
      </w:tblGrid>
      <w:tr>
        <w:trPr>
          <w:trHeight w:val="341" w:hRule="atLeast"/>
        </w:trPr>
        <w:tc>
          <w:tcPr>
            <w:tcW w:w="754" w:type="dxa"/>
            <w:vAlign w:val="top"/>
          </w:tcPr>
          <w:p>
            <w:pPr>
              <w:pStyle w:val="TableText"/>
              <w:ind w:left="205"/>
              <w:spacing w:before="92" w:line="221" w:lineRule="auto"/>
              <w:rPr>
                <w:sz w:val="16"/>
                <w:szCs w:val="16"/>
              </w:rPr>
            </w:pPr>
            <w:r>
              <w:rPr>
                <w:sz w:val="16"/>
                <w:szCs w:val="16"/>
                <w:spacing w:val="-2"/>
              </w:rPr>
              <w:t>序号</w:t>
            </w:r>
          </w:p>
        </w:tc>
        <w:tc>
          <w:tcPr>
            <w:tcW w:w="3146" w:type="dxa"/>
            <w:vAlign w:val="top"/>
          </w:tcPr>
          <w:p>
            <w:pPr>
              <w:pStyle w:val="TableText"/>
              <w:ind w:left="1161"/>
              <w:spacing w:before="91" w:line="219" w:lineRule="auto"/>
              <w:rPr>
                <w:sz w:val="16"/>
                <w:szCs w:val="16"/>
              </w:rPr>
            </w:pPr>
            <w:r>
              <w:rPr>
                <w:sz w:val="16"/>
                <w:szCs w:val="16"/>
                <w:spacing w:val="-4"/>
              </w:rPr>
              <w:t>等 级 要 求</w:t>
            </w:r>
          </w:p>
        </w:tc>
        <w:tc>
          <w:tcPr>
            <w:tcW w:w="3760" w:type="dxa"/>
            <w:vAlign w:val="top"/>
          </w:tcPr>
          <w:p>
            <w:pPr>
              <w:pStyle w:val="TableText"/>
              <w:ind w:left="1584"/>
              <w:spacing w:before="92" w:line="220" w:lineRule="auto"/>
              <w:rPr>
                <w:sz w:val="16"/>
                <w:szCs w:val="16"/>
              </w:rPr>
            </w:pPr>
            <w:r>
              <w:rPr>
                <w:sz w:val="16"/>
                <w:szCs w:val="16"/>
                <w:spacing w:val="-6"/>
              </w:rPr>
              <w:t>实</w:t>
            </w:r>
            <w:r>
              <w:rPr>
                <w:sz w:val="16"/>
                <w:szCs w:val="16"/>
                <w:spacing w:val="10"/>
              </w:rPr>
              <w:t xml:space="preserve">   </w:t>
            </w:r>
            <w:r>
              <w:rPr>
                <w:sz w:val="16"/>
                <w:szCs w:val="16"/>
                <w:spacing w:val="-6"/>
              </w:rPr>
              <w:t>例</w:t>
            </w:r>
          </w:p>
        </w:tc>
      </w:tr>
      <w:tr>
        <w:trPr>
          <w:trHeight w:val="598" w:hRule="atLeast"/>
        </w:trPr>
        <w:tc>
          <w:tcPr>
            <w:tcW w:w="754" w:type="dxa"/>
            <w:vAlign w:val="top"/>
          </w:tcPr>
          <w:p>
            <w:pPr>
              <w:pStyle w:val="TableText"/>
              <w:ind w:left="245"/>
              <w:spacing w:before="261" w:line="184" w:lineRule="auto"/>
              <w:rPr>
                <w:sz w:val="16"/>
                <w:szCs w:val="16"/>
              </w:rPr>
            </w:pPr>
            <w:r>
              <w:rPr>
                <w:sz w:val="16"/>
                <w:szCs w:val="16"/>
                <w:spacing w:val="-3"/>
              </w:rPr>
              <w:t>5.1</w:t>
            </w:r>
          </w:p>
        </w:tc>
        <w:tc>
          <w:tcPr>
            <w:tcW w:w="3146" w:type="dxa"/>
            <w:vAlign w:val="top"/>
          </w:tcPr>
          <w:p>
            <w:pPr>
              <w:pStyle w:val="TableText"/>
              <w:ind w:left="101" w:right="3" w:firstLine="160"/>
              <w:spacing w:before="110" w:line="266" w:lineRule="auto"/>
              <w:rPr>
                <w:sz w:val="16"/>
                <w:szCs w:val="16"/>
              </w:rPr>
            </w:pPr>
            <w:r>
              <w:rPr>
                <w:sz w:val="16"/>
                <w:szCs w:val="16"/>
                <w:spacing w:val="-1"/>
              </w:rPr>
              <w:t>建立合规监控机制，并对违规趋势进行分</w:t>
            </w:r>
            <w:r>
              <w:rPr>
                <w:sz w:val="16"/>
                <w:szCs w:val="16"/>
                <w:spacing w:val="8"/>
              </w:rPr>
              <w:t xml:space="preserve"> </w:t>
            </w:r>
            <w:r>
              <w:rPr>
                <w:sz w:val="16"/>
                <w:szCs w:val="16"/>
              </w:rPr>
              <w:t>析</w:t>
            </w:r>
          </w:p>
        </w:tc>
        <w:tc>
          <w:tcPr>
            <w:tcW w:w="3760" w:type="dxa"/>
            <w:vAlign w:val="top"/>
          </w:tcPr>
          <w:p>
            <w:pPr>
              <w:pStyle w:val="TableText"/>
              <w:ind w:left="275"/>
              <w:spacing w:before="89" w:line="219" w:lineRule="auto"/>
              <w:rPr>
                <w:sz w:val="16"/>
                <w:szCs w:val="16"/>
              </w:rPr>
            </w:pPr>
            <w:r>
              <w:rPr>
                <w:sz w:val="16"/>
                <w:szCs w:val="16"/>
                <w:spacing w:val="1"/>
              </w:rPr>
              <w:t>●合规监控机制</w:t>
            </w:r>
          </w:p>
          <w:p>
            <w:pPr>
              <w:pStyle w:val="TableText"/>
              <w:ind w:left="275"/>
              <w:spacing w:before="99" w:line="218" w:lineRule="auto"/>
              <w:rPr>
                <w:sz w:val="16"/>
                <w:szCs w:val="16"/>
              </w:rPr>
            </w:pPr>
            <w:r>
              <w:rPr>
                <w:sz w:val="16"/>
                <w:szCs w:val="16"/>
                <w:spacing w:val="1"/>
              </w:rPr>
              <w:t>●违规趋势分析报告</w:t>
            </w:r>
          </w:p>
        </w:tc>
      </w:tr>
    </w:tbl>
    <w:p>
      <w:pPr>
        <w:ind w:left="549"/>
        <w:spacing w:before="184"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99" w:right="55" w:firstLine="459"/>
        <w:spacing w:before="57" w:line="244" w:lineRule="auto"/>
        <w:rPr>
          <w:rFonts w:ascii="SimSun" w:hAnsi="SimSun" w:eastAsia="SimSun" w:cs="SimSun"/>
          <w:sz w:val="22"/>
          <w:szCs w:val="22"/>
        </w:rPr>
      </w:pPr>
      <w:r>
        <w:rPr>
          <w:rFonts w:ascii="SimSun" w:hAnsi="SimSun" w:eastAsia="SimSun" w:cs="SimSun"/>
          <w:sz w:val="22"/>
          <w:szCs w:val="22"/>
          <w:spacing w:val="-8"/>
        </w:rPr>
        <w:t>建立对合规性识别监视和控制机制，从而核对合规性管</w:t>
      </w:r>
      <w:r>
        <w:rPr>
          <w:rFonts w:ascii="SimSun" w:hAnsi="SimSun" w:eastAsia="SimSun" w:cs="SimSun"/>
          <w:sz w:val="22"/>
          <w:szCs w:val="22"/>
          <w:spacing w:val="-9"/>
        </w:rPr>
        <w:t>理策略和措施的实际效</w:t>
      </w:r>
      <w:r>
        <w:rPr>
          <w:rFonts w:ascii="SimSun" w:hAnsi="SimSun" w:eastAsia="SimSun" w:cs="SimSun"/>
          <w:sz w:val="22"/>
          <w:szCs w:val="22"/>
        </w:rPr>
        <w:t xml:space="preserve"> </w:t>
      </w:r>
      <w:r>
        <w:rPr>
          <w:rFonts w:ascii="SimSun" w:hAnsi="SimSun" w:eastAsia="SimSun" w:cs="SimSun"/>
          <w:sz w:val="22"/>
          <w:szCs w:val="22"/>
          <w:spacing w:val="-12"/>
        </w:rPr>
        <w:t>果是否与预见的相同，并寻找机会改善。</w:t>
      </w:r>
    </w:p>
    <w:p>
      <w:pPr>
        <w:spacing w:line="116" w:lineRule="exact"/>
        <w:rPr/>
      </w:pPr>
      <w:r/>
    </w:p>
    <w:tbl>
      <w:tblPr>
        <w:tblStyle w:val="TableNormal"/>
        <w:tblW w:w="765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3156"/>
        <w:gridCol w:w="3750"/>
      </w:tblGrid>
      <w:tr>
        <w:trPr>
          <w:trHeight w:val="351" w:hRule="atLeast"/>
        </w:trPr>
        <w:tc>
          <w:tcPr>
            <w:tcW w:w="744" w:type="dxa"/>
            <w:vAlign w:val="top"/>
          </w:tcPr>
          <w:p>
            <w:pPr>
              <w:pStyle w:val="TableText"/>
              <w:ind w:left="214"/>
              <w:spacing w:before="102" w:line="221" w:lineRule="auto"/>
              <w:rPr/>
            </w:pPr>
            <w:r>
              <w:rPr>
                <w:spacing w:val="-2"/>
              </w:rPr>
              <w:t>序号</w:t>
            </w:r>
          </w:p>
        </w:tc>
        <w:tc>
          <w:tcPr>
            <w:tcW w:w="3156" w:type="dxa"/>
            <w:vAlign w:val="top"/>
          </w:tcPr>
          <w:p>
            <w:pPr>
              <w:pStyle w:val="TableText"/>
              <w:ind w:left="1171"/>
              <w:spacing w:before="101" w:line="219" w:lineRule="auto"/>
              <w:rPr/>
            </w:pPr>
            <w:r>
              <w:rPr>
                <w:spacing w:val="-6"/>
              </w:rPr>
              <w:t>等</w:t>
            </w:r>
            <w:r>
              <w:rPr>
                <w:spacing w:val="19"/>
              </w:rPr>
              <w:t xml:space="preserve"> </w:t>
            </w:r>
            <w:r>
              <w:rPr>
                <w:spacing w:val="-6"/>
              </w:rPr>
              <w:t>级</w:t>
            </w:r>
            <w:r>
              <w:rPr>
                <w:spacing w:val="16"/>
              </w:rPr>
              <w:t xml:space="preserve"> </w:t>
            </w:r>
            <w:r>
              <w:rPr>
                <w:spacing w:val="-6"/>
              </w:rPr>
              <w:t>要</w:t>
            </w:r>
            <w:r>
              <w:rPr>
                <w:spacing w:val="17"/>
              </w:rPr>
              <w:t xml:space="preserve"> </w:t>
            </w:r>
            <w:r>
              <w:rPr>
                <w:spacing w:val="-6"/>
              </w:rPr>
              <w:t>求</w:t>
            </w:r>
          </w:p>
        </w:tc>
        <w:tc>
          <w:tcPr>
            <w:tcW w:w="3750" w:type="dxa"/>
            <w:vAlign w:val="top"/>
          </w:tcPr>
          <w:p>
            <w:pPr>
              <w:pStyle w:val="TableText"/>
              <w:ind w:left="1604"/>
              <w:spacing w:before="101" w:line="220" w:lineRule="auto"/>
              <w:rPr/>
            </w:pPr>
            <w:r>
              <w:rPr>
                <w:spacing w:val="-5"/>
              </w:rPr>
              <w:t>实</w:t>
            </w:r>
            <w:r>
              <w:rPr>
                <w:spacing w:val="1"/>
              </w:rPr>
              <w:t xml:space="preserve">   </w:t>
            </w:r>
            <w:r>
              <w:rPr>
                <w:spacing w:val="-5"/>
              </w:rPr>
              <w:t>例</w:t>
            </w:r>
          </w:p>
        </w:tc>
      </w:tr>
      <w:tr>
        <w:trPr>
          <w:trHeight w:val="588" w:hRule="atLeast"/>
        </w:trPr>
        <w:tc>
          <w:tcPr>
            <w:tcW w:w="744" w:type="dxa"/>
            <w:vAlign w:val="top"/>
          </w:tcPr>
          <w:p>
            <w:pPr>
              <w:pStyle w:val="TableText"/>
              <w:ind w:left="244"/>
              <w:spacing w:before="258" w:line="183" w:lineRule="auto"/>
              <w:rPr/>
            </w:pPr>
            <w:r>
              <w:rPr>
                <w:spacing w:val="-2"/>
              </w:rPr>
              <w:t>5.2</w:t>
            </w:r>
          </w:p>
        </w:tc>
        <w:tc>
          <w:tcPr>
            <w:tcW w:w="3156" w:type="dxa"/>
            <w:vAlign w:val="top"/>
          </w:tcPr>
          <w:p>
            <w:pPr>
              <w:pStyle w:val="TableText"/>
              <w:ind w:left="130" w:right="192" w:firstLine="130"/>
              <w:spacing w:before="90" w:line="275" w:lineRule="auto"/>
              <w:rPr/>
            </w:pPr>
            <w:r>
              <w:rPr>
                <w:spacing w:val="-1"/>
              </w:rPr>
              <w:t>组织通过出版物、会议和白皮书分享所获</w:t>
            </w:r>
            <w:r>
              <w:rPr>
                <w:spacing w:val="9"/>
              </w:rPr>
              <w:t xml:space="preserve"> </w:t>
            </w:r>
            <w:r>
              <w:rPr>
                <w:spacing w:val="1"/>
              </w:rPr>
              <w:t>得的最佳标准实践和经验教训</w:t>
            </w:r>
          </w:p>
        </w:tc>
        <w:tc>
          <w:tcPr>
            <w:tcW w:w="3750" w:type="dxa"/>
            <w:vAlign w:val="top"/>
          </w:tcPr>
          <w:p>
            <w:pPr>
              <w:pStyle w:val="TableText"/>
              <w:ind w:left="295"/>
              <w:spacing w:before="219" w:line="219" w:lineRule="auto"/>
              <w:rPr/>
            </w:pPr>
            <w:r>
              <w:rPr/>
              <w:t>●与合规管理相关的演示材料和其他发表的作品</w:t>
            </w:r>
          </w:p>
        </w:tc>
      </w:tr>
    </w:tbl>
    <w:p>
      <w:pPr>
        <w:ind w:left="549"/>
        <w:spacing w:before="185" w:line="219" w:lineRule="auto"/>
        <w:rPr>
          <w:rFonts w:ascii="SimSun" w:hAnsi="SimSun" w:eastAsia="SimSun" w:cs="SimSun"/>
          <w:sz w:val="22"/>
          <w:szCs w:val="22"/>
        </w:rPr>
      </w:pPr>
      <w:r>
        <w:rPr>
          <w:rFonts w:ascii="SimSun" w:hAnsi="SimSun" w:eastAsia="SimSun" w:cs="SimSun"/>
          <w:sz w:val="22"/>
          <w:szCs w:val="22"/>
          <w:spacing w:val="-8"/>
        </w:rPr>
        <w:t>【成熟度等级说明】</w:t>
      </w:r>
    </w:p>
    <w:p>
      <w:pPr>
        <w:ind w:left="199" w:right="35" w:firstLine="459"/>
        <w:spacing w:before="48" w:line="244" w:lineRule="auto"/>
        <w:rPr>
          <w:rFonts w:ascii="SimSun" w:hAnsi="SimSun" w:eastAsia="SimSun" w:cs="SimSun"/>
          <w:sz w:val="22"/>
          <w:szCs w:val="22"/>
        </w:rPr>
      </w:pPr>
      <w:r>
        <w:rPr>
          <w:rFonts w:ascii="SimSun" w:hAnsi="SimSun" w:eastAsia="SimSun" w:cs="SimSun"/>
          <w:sz w:val="22"/>
          <w:szCs w:val="22"/>
          <w:spacing w:val="-10"/>
        </w:rPr>
        <w:t>组织</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0"/>
        </w:rPr>
        <w:t>安全管理专业人士应订阅专业杂志，并通过网上各种论坛、专业讨论群</w:t>
      </w:r>
      <w:r>
        <w:rPr>
          <w:rFonts w:ascii="SimSun" w:hAnsi="SimSun" w:eastAsia="SimSun" w:cs="SimSun"/>
          <w:sz w:val="22"/>
          <w:szCs w:val="22"/>
        </w:rPr>
        <w:t xml:space="preserve"> </w:t>
      </w:r>
      <w:r>
        <w:rPr>
          <w:rFonts w:ascii="SimSun" w:hAnsi="SimSun" w:eastAsia="SimSun" w:cs="SimSun"/>
          <w:sz w:val="22"/>
          <w:szCs w:val="22"/>
          <w:spacing w:val="-13"/>
        </w:rPr>
        <w:t>分享或阅读合规管理相关主题。</w:t>
      </w:r>
    </w:p>
    <w:p>
      <w:pPr>
        <w:ind w:left="663"/>
        <w:spacing w:before="201" w:line="224" w:lineRule="auto"/>
        <w:outlineLvl w:val="4"/>
        <w:rPr>
          <w:rFonts w:ascii="YouYuan" w:hAnsi="YouYuan" w:eastAsia="YouYuan" w:cs="YouYuan"/>
          <w:sz w:val="22"/>
          <w:szCs w:val="22"/>
        </w:rPr>
      </w:pPr>
      <w:r>
        <w:rPr>
          <w:rFonts w:ascii="YouYuan" w:hAnsi="YouYuan" w:eastAsia="YouYuan" w:cs="YouYuan"/>
          <w:sz w:val="22"/>
          <w:szCs w:val="22"/>
          <w:b/>
          <w:bCs/>
          <w:spacing w:val="-1"/>
        </w:rPr>
        <w:t>4.</w:t>
      </w:r>
      <w:r>
        <w:rPr>
          <w:rFonts w:ascii="YouYuan" w:hAnsi="YouYuan" w:eastAsia="YouYuan" w:cs="YouYuan"/>
          <w:sz w:val="22"/>
          <w:szCs w:val="22"/>
          <w:spacing w:val="-1"/>
        </w:rPr>
        <w:t xml:space="preserve"> </w:t>
      </w:r>
      <w:r>
        <w:rPr>
          <w:rFonts w:ascii="YouYuan" w:hAnsi="YouYuan" w:eastAsia="YouYuan" w:cs="YouYuan"/>
          <w:sz w:val="22"/>
          <w:szCs w:val="22"/>
          <w:b/>
          <w:bCs/>
          <w:spacing w:val="-1"/>
        </w:rPr>
        <w:t>实施案例</w:t>
      </w:r>
    </w:p>
    <w:p>
      <w:pPr>
        <w:ind w:left="199" w:right="5" w:firstLine="459"/>
        <w:spacing w:before="202" w:line="252" w:lineRule="auto"/>
        <w:jc w:val="both"/>
        <w:rPr>
          <w:rFonts w:ascii="SimSun" w:hAnsi="SimSun" w:eastAsia="SimSun" w:cs="SimSun"/>
          <w:sz w:val="22"/>
          <w:szCs w:val="22"/>
        </w:rPr>
      </w:pPr>
      <w:r>
        <w:rPr>
          <w:rFonts w:ascii="SimSun" w:hAnsi="SimSun" w:eastAsia="SimSun" w:cs="SimSun"/>
          <w:sz w:val="22"/>
          <w:szCs w:val="22"/>
          <w:spacing w:val="-8"/>
        </w:rPr>
        <w:t>要实现有效的合规性管理，首先应该了解组织需要符合什么样的法律</w:t>
      </w:r>
      <w:r>
        <w:rPr>
          <w:rFonts w:ascii="SimSun" w:hAnsi="SimSun" w:eastAsia="SimSun" w:cs="SimSun"/>
          <w:sz w:val="22"/>
          <w:szCs w:val="22"/>
          <w:spacing w:val="-9"/>
        </w:rPr>
        <w:t>法规，如</w:t>
      </w:r>
      <w:r>
        <w:rPr>
          <w:rFonts w:ascii="SimSun" w:hAnsi="SimSun" w:eastAsia="SimSun" w:cs="SimSun"/>
          <w:sz w:val="22"/>
          <w:szCs w:val="22"/>
        </w:rPr>
        <w:t xml:space="preserve"> </w:t>
      </w:r>
      <w:r>
        <w:rPr>
          <w:rFonts w:ascii="SimSun" w:hAnsi="SimSun" w:eastAsia="SimSun" w:cs="SimSun"/>
          <w:sz w:val="22"/>
          <w:szCs w:val="22"/>
          <w:spacing w:val="-8"/>
        </w:rPr>
        <w:t>何确保遵守法律法规，以及如何正确地向必要的利益相关者传达这些法律</w:t>
      </w:r>
      <w:r>
        <w:rPr>
          <w:rFonts w:ascii="SimSun" w:hAnsi="SimSun" w:eastAsia="SimSun" w:cs="SimSun"/>
          <w:sz w:val="22"/>
          <w:szCs w:val="22"/>
          <w:spacing w:val="-9"/>
        </w:rPr>
        <w:t>法规。其 </w:t>
      </w:r>
      <w:r>
        <w:rPr>
          <w:rFonts w:ascii="SimSun" w:hAnsi="SimSun" w:eastAsia="SimSun" w:cs="SimSun"/>
          <w:sz w:val="22"/>
          <w:szCs w:val="22"/>
          <w:spacing w:val="-12"/>
        </w:rPr>
        <w:t>次，应该制订合规性规划，明确需要部署些什么内容来满足必要的内部和外部驱动。</w:t>
      </w:r>
      <w:r>
        <w:rPr>
          <w:rFonts w:ascii="SimSun" w:hAnsi="SimSun" w:eastAsia="SimSun" w:cs="SimSun"/>
          <w:sz w:val="22"/>
          <w:szCs w:val="22"/>
          <w:spacing w:val="13"/>
        </w:rPr>
        <w:t xml:space="preserve"> </w:t>
      </w:r>
      <w:r>
        <w:rPr>
          <w:rFonts w:ascii="SimSun" w:hAnsi="SimSun" w:eastAsia="SimSun" w:cs="SimSun"/>
          <w:sz w:val="22"/>
          <w:szCs w:val="22"/>
          <w:spacing w:val="-8"/>
        </w:rPr>
        <w:t>再次，审计团队评估组织在满足需求方面做得如何。最后，将合规性审计</w:t>
      </w:r>
      <w:r>
        <w:rPr>
          <w:rFonts w:ascii="SimSun" w:hAnsi="SimSun" w:eastAsia="SimSun" w:cs="SimSun"/>
          <w:sz w:val="22"/>
          <w:szCs w:val="22"/>
          <w:spacing w:val="-9"/>
        </w:rPr>
        <w:t>活动纳入 </w:t>
      </w:r>
      <w:r>
        <w:rPr>
          <w:rFonts w:ascii="SimSun" w:hAnsi="SimSun" w:eastAsia="SimSun" w:cs="SimSun"/>
          <w:sz w:val="22"/>
          <w:szCs w:val="22"/>
          <w:spacing w:val="-14"/>
        </w:rPr>
        <w:t>到关键绩效指标中。</w:t>
      </w:r>
    </w:p>
    <w:p>
      <w:pPr>
        <w:ind w:left="659"/>
        <w:spacing w:before="77" w:line="227" w:lineRule="auto"/>
        <w:rPr>
          <w:rFonts w:ascii="KaiTi" w:hAnsi="KaiTi" w:eastAsia="KaiTi" w:cs="KaiTi"/>
          <w:sz w:val="22"/>
          <w:szCs w:val="22"/>
        </w:rPr>
      </w:pPr>
      <w:r>
        <w:rPr>
          <w:rFonts w:ascii="KaiTi" w:hAnsi="KaiTi" w:eastAsia="KaiTi" w:cs="KaiTi"/>
          <w:sz w:val="22"/>
          <w:szCs w:val="22"/>
          <w:spacing w:val="-3"/>
        </w:rPr>
        <w:t>1)文件名称列表</w:t>
      </w:r>
    </w:p>
    <w:p>
      <w:pPr>
        <w:ind w:left="549"/>
        <w:spacing w:before="40" w:line="309" w:lineRule="exact"/>
        <w:rPr>
          <w:rFonts w:ascii="SimSun" w:hAnsi="SimSun" w:eastAsia="SimSun" w:cs="SimSun"/>
          <w:sz w:val="22"/>
          <w:szCs w:val="22"/>
        </w:rPr>
      </w:pPr>
      <w:r>
        <w:rPr>
          <w:rFonts w:ascii="SimSun" w:hAnsi="SimSun" w:eastAsia="SimSun" w:cs="SimSun"/>
          <w:sz w:val="22"/>
          <w:szCs w:val="22"/>
          <w:spacing w:val="-10"/>
          <w:position w:val="6"/>
        </w:rPr>
        <w:t>《云端数据治理合规管理程序》</w:t>
      </w:r>
    </w:p>
    <w:p>
      <w:pPr>
        <w:ind w:left="659"/>
        <w:spacing w:before="1" w:line="226" w:lineRule="auto"/>
        <w:rPr>
          <w:rFonts w:ascii="KaiTi" w:hAnsi="KaiTi" w:eastAsia="KaiTi" w:cs="KaiTi"/>
          <w:sz w:val="22"/>
          <w:szCs w:val="22"/>
        </w:rPr>
      </w:pPr>
      <w:r>
        <w:rPr>
          <w:rFonts w:ascii="KaiTi" w:hAnsi="KaiTi" w:eastAsia="KaiTi" w:cs="KaiTi"/>
          <w:sz w:val="22"/>
          <w:szCs w:val="22"/>
          <w:spacing w:val="-1"/>
        </w:rPr>
        <w:t>2)记录性文件名称列表</w:t>
      </w:r>
    </w:p>
    <w:p>
      <w:pPr>
        <w:ind w:left="549"/>
        <w:spacing w:before="51" w:line="219" w:lineRule="auto"/>
        <w:rPr>
          <w:rFonts w:ascii="SimSun" w:hAnsi="SimSun" w:eastAsia="SimSun" w:cs="SimSun"/>
          <w:sz w:val="22"/>
          <w:szCs w:val="22"/>
        </w:rPr>
      </w:pPr>
      <w:r>
        <w:rPr>
          <w:rFonts w:ascii="SimSun" w:hAnsi="SimSun" w:eastAsia="SimSun" w:cs="SimSun"/>
          <w:sz w:val="22"/>
          <w:szCs w:val="22"/>
          <w:spacing w:val="-8"/>
        </w:rPr>
        <w:t>《云端数据法律法规清单》</w:t>
      </w:r>
    </w:p>
    <w:p>
      <w:pPr>
        <w:spacing w:line="219" w:lineRule="auto"/>
        <w:sectPr>
          <w:footerReference w:type="default" r:id="rId459"/>
          <w:pgSz w:w="8870" w:h="13400"/>
          <w:pgMar w:top="400" w:right="404" w:bottom="564" w:left="550" w:header="0" w:footer="346" w:gutter="0"/>
        </w:sectPr>
        <w:rPr>
          <w:rFonts w:ascii="SimSun" w:hAnsi="SimSun" w:eastAsia="SimSun" w:cs="SimSun"/>
          <w:sz w:val="22"/>
          <w:szCs w:val="22"/>
        </w:rPr>
      </w:pPr>
    </w:p>
    <w:p>
      <w:pPr>
        <w:ind w:left="5722"/>
        <w:spacing w:before="90"/>
        <w:rPr>
          <w:sz w:val="21"/>
          <w:szCs w:val="21"/>
        </w:rPr>
      </w:pPr>
      <w:bookmarkStart w:name="bookmark90" w:id="85"/>
      <w:bookmarkEnd w:id="85"/>
      <w:r>
        <w:rPr>
          <w:rFonts w:ascii="SimSun" w:hAnsi="SimSun" w:eastAsia="SimSun" w:cs="SimSun"/>
          <w:sz w:val="21"/>
          <w:szCs w:val="21"/>
          <w:b/>
          <w:bCs/>
          <w:spacing w:val="20"/>
        </w:rPr>
        <w:t>第9章■安全与隐私</w:t>
      </w:r>
      <w:r>
        <w:rPr>
          <w:rFonts w:ascii="SimSun" w:hAnsi="SimSun" w:eastAsia="SimSun" w:cs="SimSun"/>
          <w:sz w:val="21"/>
          <w:szCs w:val="21"/>
          <w:spacing w:val="-24"/>
        </w:rPr>
        <w:t xml:space="preserve"> </w:t>
      </w:r>
      <w:r>
        <w:rPr>
          <w:sz w:val="21"/>
          <w:szCs w:val="21"/>
          <w:position w:val="-8"/>
        </w:rPr>
        <w:drawing>
          <wp:inline distT="0" distB="0" distL="0" distR="0">
            <wp:extent cx="6308" cy="222255"/>
            <wp:effectExtent l="0" t="0" r="0" b="0"/>
            <wp:docPr id="320" name="IM 320"/>
            <wp:cNvGraphicFramePr/>
            <a:graphic>
              <a:graphicData uri="http://schemas.openxmlformats.org/drawingml/2006/picture">
                <pic:pic>
                  <pic:nvPicPr>
                    <pic:cNvPr id="320" name="IM 320"/>
                    <pic:cNvPicPr/>
                  </pic:nvPicPr>
                  <pic:blipFill>
                    <a:blip r:embed="rId462"/>
                    <a:stretch>
                      <a:fillRect/>
                    </a:stretch>
                  </pic:blipFill>
                  <pic:spPr>
                    <a:xfrm rot="0">
                      <a:off x="0" y="0"/>
                      <a:ext cx="6308" cy="222255"/>
                    </a:xfrm>
                    <a:prstGeom prst="rect">
                      <a:avLst/>
                    </a:prstGeom>
                  </pic:spPr>
                </pic:pic>
              </a:graphicData>
            </a:graphic>
          </wp:inline>
        </w:drawing>
      </w:r>
    </w:p>
    <w:p>
      <w:pPr>
        <w:ind w:left="449"/>
        <w:spacing w:before="289" w:line="228" w:lineRule="auto"/>
        <w:rPr>
          <w:rFonts w:ascii="KaiTi" w:hAnsi="KaiTi" w:eastAsia="KaiTi" w:cs="KaiTi"/>
          <w:sz w:val="21"/>
          <w:szCs w:val="21"/>
        </w:rPr>
      </w:pPr>
      <w:r>
        <w:rPr>
          <w:rFonts w:ascii="KaiTi" w:hAnsi="KaiTi" w:eastAsia="KaiTi" w:cs="KaiTi"/>
          <w:sz w:val="21"/>
          <w:szCs w:val="21"/>
          <w:spacing w:val="15"/>
        </w:rPr>
        <w:t>3)实施案例</w:t>
      </w:r>
    </w:p>
    <w:p>
      <w:pPr>
        <w:spacing w:line="101" w:lineRule="exact"/>
        <w:rPr/>
      </w:pPr>
      <w:r/>
    </w:p>
    <w:tbl>
      <w:tblPr>
        <w:tblStyle w:val="TableNormal"/>
        <w:tblW w:w="7739" w:type="dxa"/>
        <w:tblInd w:w="10" w:type="dxa"/>
        <w:tblLayout w:type="fixed"/>
        <w:tblBorders>
          <w:left w:val="single" w:color="000000" w:sz="8" w:space="0"/>
          <w:bottom w:val="single" w:color="000000" w:sz="4" w:space="0"/>
          <w:right w:val="single" w:color="000000" w:sz="8" w:space="0"/>
          <w:top w:val="single" w:color="000000" w:sz="4" w:space="0"/>
        </w:tblBorders>
      </w:tblPr>
      <w:tblGrid>
        <w:gridCol w:w="7739"/>
      </w:tblGrid>
      <w:tr>
        <w:trPr>
          <w:trHeight w:val="10760" w:hRule="atLeast"/>
        </w:trPr>
        <w:tc>
          <w:tcPr>
            <w:tcW w:w="7739" w:type="dxa"/>
            <w:vAlign w:val="top"/>
          </w:tcPr>
          <w:p>
            <w:pPr>
              <w:pStyle w:val="TableText"/>
              <w:ind w:left="2929"/>
              <w:spacing w:before="76" w:line="219" w:lineRule="auto"/>
              <w:rPr>
                <w:sz w:val="16"/>
                <w:szCs w:val="16"/>
              </w:rPr>
            </w:pPr>
            <w:r>
              <w:rPr>
                <w:sz w:val="16"/>
                <w:szCs w:val="16"/>
                <w:spacing w:val="-8"/>
              </w:rPr>
              <w:t>云端数据治理合规管理程序</w:t>
            </w:r>
          </w:p>
          <w:p>
            <w:pPr>
              <w:pStyle w:val="TableText"/>
              <w:ind w:left="259"/>
              <w:spacing w:before="102" w:line="222" w:lineRule="auto"/>
              <w:rPr>
                <w:sz w:val="16"/>
                <w:szCs w:val="16"/>
              </w:rPr>
            </w:pPr>
            <w:r>
              <w:rPr>
                <w:sz w:val="16"/>
                <w:szCs w:val="16"/>
                <w:spacing w:val="-8"/>
              </w:rPr>
              <w:t>1</w:t>
            </w:r>
            <w:r>
              <w:rPr>
                <w:sz w:val="16"/>
                <w:szCs w:val="16"/>
                <w:spacing w:val="79"/>
              </w:rPr>
              <w:t xml:space="preserve"> </w:t>
            </w:r>
            <w:r>
              <w:rPr>
                <w:sz w:val="16"/>
                <w:szCs w:val="16"/>
                <w:spacing w:val="-8"/>
              </w:rPr>
              <w:t>目的</w:t>
            </w:r>
          </w:p>
          <w:p>
            <w:pPr>
              <w:pStyle w:val="TableText"/>
              <w:ind w:left="259"/>
              <w:spacing w:before="94" w:line="261" w:lineRule="exact"/>
              <w:rPr>
                <w:sz w:val="16"/>
                <w:szCs w:val="16"/>
              </w:rPr>
            </w:pPr>
            <w:r>
              <w:rPr>
                <w:sz w:val="16"/>
                <w:szCs w:val="16"/>
                <w:spacing w:val="-9"/>
                <w:position w:val="7"/>
              </w:rPr>
              <w:t>为保障公司的云端数据治理活动符合国家相关法律法规、标准及</w:t>
            </w:r>
            <w:r>
              <w:rPr>
                <w:sz w:val="16"/>
                <w:szCs w:val="16"/>
                <w:spacing w:val="-10"/>
                <w:position w:val="7"/>
              </w:rPr>
              <w:t>合同中相关要求。</w:t>
            </w:r>
          </w:p>
          <w:p>
            <w:pPr>
              <w:pStyle w:val="TableText"/>
              <w:ind w:left="259"/>
              <w:spacing w:line="220" w:lineRule="auto"/>
              <w:rPr>
                <w:sz w:val="16"/>
                <w:szCs w:val="16"/>
              </w:rPr>
            </w:pPr>
            <w:r>
              <w:rPr>
                <w:sz w:val="16"/>
                <w:szCs w:val="16"/>
                <w:spacing w:val="-3"/>
              </w:rPr>
              <w:t>2</w:t>
            </w:r>
            <w:r>
              <w:rPr>
                <w:sz w:val="16"/>
                <w:szCs w:val="16"/>
                <w:spacing w:val="69"/>
              </w:rPr>
              <w:t xml:space="preserve"> </w:t>
            </w:r>
            <w:r>
              <w:rPr>
                <w:sz w:val="16"/>
                <w:szCs w:val="16"/>
                <w:spacing w:val="-3"/>
              </w:rPr>
              <w:t>适用范围</w:t>
            </w:r>
          </w:p>
          <w:p>
            <w:pPr>
              <w:pStyle w:val="TableText"/>
              <w:ind w:left="259"/>
              <w:spacing w:before="98" w:line="280" w:lineRule="exact"/>
              <w:rPr>
                <w:sz w:val="16"/>
                <w:szCs w:val="16"/>
              </w:rPr>
            </w:pPr>
            <w:r>
              <w:rPr>
                <w:sz w:val="16"/>
                <w:szCs w:val="16"/>
                <w:spacing w:val="-10"/>
                <w:position w:val="9"/>
              </w:rPr>
              <w:t>适用于公司合规性、知识产权保护和个人隐私保护等方面的管理。</w:t>
            </w:r>
          </w:p>
          <w:p>
            <w:pPr>
              <w:pStyle w:val="TableText"/>
              <w:ind w:left="259"/>
              <w:spacing w:line="219" w:lineRule="auto"/>
              <w:rPr>
                <w:sz w:val="16"/>
                <w:szCs w:val="16"/>
              </w:rPr>
            </w:pPr>
            <w:r>
              <w:rPr>
                <w:sz w:val="16"/>
                <w:szCs w:val="16"/>
                <w:spacing w:val="-6"/>
              </w:rPr>
              <w:t>3</w:t>
            </w:r>
            <w:r>
              <w:rPr>
                <w:sz w:val="16"/>
                <w:szCs w:val="16"/>
                <w:spacing w:val="69"/>
              </w:rPr>
              <w:t xml:space="preserve"> </w:t>
            </w:r>
            <w:r>
              <w:rPr>
                <w:sz w:val="16"/>
                <w:szCs w:val="16"/>
                <w:spacing w:val="-6"/>
              </w:rPr>
              <w:t>术语和定义</w:t>
            </w:r>
          </w:p>
          <w:p>
            <w:pPr>
              <w:pStyle w:val="TableText"/>
              <w:ind w:left="269" w:right="1419" w:hanging="10"/>
              <w:spacing w:before="100" w:line="274" w:lineRule="auto"/>
              <w:rPr/>
            </w:pPr>
            <w:r>
              <w:rPr>
                <w:sz w:val="16"/>
                <w:szCs w:val="16"/>
                <w:spacing w:val="-9"/>
              </w:rPr>
              <w:t>云端数据：指公司通过传输或拷贝并存储在云端的数据，以及公司从云端直接获取的数据。</w:t>
            </w:r>
            <w:r>
              <w:rPr>
                <w:sz w:val="16"/>
                <w:szCs w:val="16"/>
              </w:rPr>
              <w:t xml:space="preserve"> </w:t>
            </w:r>
            <w:r>
              <w:rPr>
                <w:spacing w:val="-2"/>
              </w:rPr>
              <w:t>4职责</w:t>
            </w:r>
          </w:p>
          <w:p>
            <w:pPr>
              <w:spacing w:line="39" w:lineRule="exact"/>
              <w:rPr/>
            </w:pPr>
            <w:r/>
          </w:p>
          <w:tbl>
            <w:tblPr>
              <w:tblStyle w:val="TableNormal"/>
              <w:tblW w:w="7139" w:type="dxa"/>
              <w:tblInd w:w="2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53"/>
              <w:gridCol w:w="5786"/>
            </w:tblGrid>
            <w:tr>
              <w:trPr>
                <w:trHeight w:val="353" w:hRule="atLeast"/>
              </w:trPr>
              <w:tc>
                <w:tcPr>
                  <w:tcW w:w="1353" w:type="dxa"/>
                  <w:vAlign w:val="top"/>
                </w:tcPr>
                <w:p>
                  <w:pPr>
                    <w:pStyle w:val="TableText"/>
                    <w:ind w:left="324"/>
                    <w:spacing w:before="101" w:line="219" w:lineRule="auto"/>
                    <w:rPr/>
                  </w:pPr>
                  <w:r>
                    <w:rPr>
                      <w:spacing w:val="-2"/>
                    </w:rPr>
                    <w:t>部门/岗位</w:t>
                  </w:r>
                </w:p>
              </w:tc>
              <w:tc>
                <w:tcPr>
                  <w:tcW w:w="5786" w:type="dxa"/>
                  <w:vAlign w:val="top"/>
                </w:tcPr>
                <w:p>
                  <w:pPr>
                    <w:pStyle w:val="TableText"/>
                    <w:ind w:left="2481"/>
                    <w:spacing w:before="102" w:line="221" w:lineRule="auto"/>
                    <w:rPr/>
                  </w:pPr>
                  <w:r>
                    <w:rPr>
                      <w:spacing w:val="-5"/>
                    </w:rPr>
                    <w:t>主</w:t>
                  </w:r>
                  <w:r>
                    <w:rPr>
                      <w:spacing w:val="17"/>
                    </w:rPr>
                    <w:t xml:space="preserve"> </w:t>
                  </w:r>
                  <w:r>
                    <w:rPr>
                      <w:spacing w:val="-5"/>
                    </w:rPr>
                    <w:t>要</w:t>
                  </w:r>
                  <w:r>
                    <w:rPr>
                      <w:spacing w:val="17"/>
                    </w:rPr>
                    <w:t xml:space="preserve"> </w:t>
                  </w:r>
                  <w:r>
                    <w:rPr>
                      <w:spacing w:val="-5"/>
                    </w:rPr>
                    <w:t>职</w:t>
                  </w:r>
                  <w:r>
                    <w:rPr>
                      <w:spacing w:val="21"/>
                    </w:rPr>
                    <w:t xml:space="preserve"> </w:t>
                  </w:r>
                  <w:r>
                    <w:rPr>
                      <w:spacing w:val="-5"/>
                    </w:rPr>
                    <w:t>责</w:t>
                  </w:r>
                </w:p>
              </w:tc>
            </w:tr>
            <w:tr>
              <w:trPr>
                <w:trHeight w:val="1144" w:hRule="atLeast"/>
              </w:trPr>
              <w:tc>
                <w:tcPr>
                  <w:tcW w:w="1353" w:type="dxa"/>
                  <w:vAlign w:val="top"/>
                </w:tcPr>
                <w:p>
                  <w:pPr>
                    <w:spacing w:line="445" w:lineRule="auto"/>
                    <w:rPr>
                      <w:rFonts w:ascii="Arial"/>
                      <w:sz w:val="21"/>
                    </w:rPr>
                  </w:pPr>
                  <w:r/>
                </w:p>
                <w:p>
                  <w:pPr>
                    <w:pStyle w:val="TableText"/>
                    <w:ind w:left="144"/>
                    <w:spacing w:before="49" w:line="219" w:lineRule="auto"/>
                    <w:rPr/>
                  </w:pPr>
                  <w:r>
                    <w:rPr>
                      <w:spacing w:val="-1"/>
                    </w:rPr>
                    <w:t>数据治理委员会</w:t>
                  </w:r>
                </w:p>
              </w:tc>
              <w:tc>
                <w:tcPr>
                  <w:tcW w:w="5786" w:type="dxa"/>
                  <w:vAlign w:val="top"/>
                </w:tcPr>
                <w:p>
                  <w:pPr>
                    <w:pStyle w:val="TableText"/>
                    <w:ind w:left="261"/>
                    <w:spacing w:before="97" w:line="219" w:lineRule="auto"/>
                    <w:rPr/>
                  </w:pPr>
                  <w:r>
                    <w:rPr/>
                    <w:t>编制和维护本程序，牵头组织落实本程序，监督、检</w:t>
                  </w:r>
                  <w:r>
                    <w:rPr>
                      <w:spacing w:val="-1"/>
                    </w:rPr>
                    <w:t>查本程序执行情况</w:t>
                  </w:r>
                </w:p>
                <w:p>
                  <w:pPr>
                    <w:pStyle w:val="TableText"/>
                    <w:ind w:left="241" w:right="217" w:firstLine="19"/>
                    <w:spacing w:before="92" w:line="303" w:lineRule="auto"/>
                    <w:jc w:val="both"/>
                    <w:rPr/>
                  </w:pPr>
                  <w:r>
                    <w:rPr/>
                    <w:t>组织人员识别出适用本公司的数据治理方面的法律法规，并</w:t>
                  </w:r>
                  <w:r>
                    <w:rPr>
                      <w:spacing w:val="-1"/>
                    </w:rPr>
                    <w:t>确定具体适用的条款 </w:t>
                  </w:r>
                  <w:r>
                    <w:rPr/>
                    <w:t>维护《云端数据治理法律法规清单》,并在管理评审会议中</w:t>
                  </w:r>
                  <w:r>
                    <w:rPr>
                      <w:spacing w:val="-1"/>
                    </w:rPr>
                    <w:t>报告有关法律法规对本</w:t>
                  </w:r>
                  <w:r>
                    <w:rPr/>
                    <w:t xml:space="preserve"> </w:t>
                  </w:r>
                  <w:r>
                    <w:rPr>
                      <w:spacing w:val="2"/>
                    </w:rPr>
                    <w:t>公司数据治理和业务的影响</w:t>
                  </w:r>
                </w:p>
              </w:tc>
            </w:tr>
            <w:tr>
              <w:trPr>
                <w:trHeight w:val="612" w:hRule="atLeast"/>
              </w:trPr>
              <w:tc>
                <w:tcPr>
                  <w:tcW w:w="1353" w:type="dxa"/>
                  <w:vAlign w:val="top"/>
                </w:tcPr>
                <w:p>
                  <w:pPr>
                    <w:pStyle w:val="TableText"/>
                    <w:ind w:left="144"/>
                    <w:spacing w:before="234" w:line="219" w:lineRule="auto"/>
                    <w:rPr/>
                  </w:pPr>
                  <w:r>
                    <w:rPr>
                      <w:spacing w:val="2"/>
                    </w:rPr>
                    <w:t>数据安全管理员</w:t>
                  </w:r>
                </w:p>
              </w:tc>
              <w:tc>
                <w:tcPr>
                  <w:tcW w:w="5786" w:type="dxa"/>
                  <w:vAlign w:val="top"/>
                </w:tcPr>
                <w:p>
                  <w:pPr>
                    <w:pStyle w:val="TableText"/>
                    <w:ind w:left="261"/>
                    <w:spacing w:before="104" w:line="219" w:lineRule="auto"/>
                    <w:rPr/>
                  </w:pPr>
                  <w:r>
                    <w:rPr>
                      <w:spacing w:val="-1"/>
                    </w:rPr>
                    <w:t>识别数据治理相关法律法规</w:t>
                  </w:r>
                </w:p>
                <w:p>
                  <w:pPr>
                    <w:pStyle w:val="TableText"/>
                    <w:ind w:left="261"/>
                    <w:spacing w:before="101" w:line="219" w:lineRule="auto"/>
                    <w:rPr/>
                  </w:pPr>
                  <w:r>
                    <w:rPr/>
                    <w:t>负责组织、实施公司技术符合性检查及检查后的整改工作</w:t>
                  </w:r>
                </w:p>
              </w:tc>
            </w:tr>
          </w:tbl>
          <w:p>
            <w:pPr>
              <w:pStyle w:val="TableText"/>
              <w:ind w:left="259"/>
              <w:spacing w:before="191" w:line="219" w:lineRule="auto"/>
              <w:rPr>
                <w:sz w:val="16"/>
                <w:szCs w:val="16"/>
              </w:rPr>
            </w:pPr>
            <w:r>
              <w:rPr>
                <w:sz w:val="16"/>
                <w:szCs w:val="16"/>
                <w:spacing w:val="-4"/>
              </w:rPr>
              <w:t>5</w:t>
            </w:r>
            <w:r>
              <w:rPr>
                <w:sz w:val="16"/>
                <w:szCs w:val="16"/>
                <w:spacing w:val="61"/>
              </w:rPr>
              <w:t xml:space="preserve"> </w:t>
            </w:r>
            <w:r>
              <w:rPr>
                <w:sz w:val="16"/>
                <w:szCs w:val="16"/>
                <w:spacing w:val="-4"/>
              </w:rPr>
              <w:t>管理规定</w:t>
            </w:r>
          </w:p>
          <w:p>
            <w:pPr>
              <w:pStyle w:val="TableText"/>
              <w:ind w:left="259"/>
              <w:spacing w:before="91" w:line="219" w:lineRule="auto"/>
              <w:rPr>
                <w:sz w:val="16"/>
                <w:szCs w:val="16"/>
              </w:rPr>
            </w:pPr>
            <w:r>
              <w:rPr>
                <w:sz w:val="16"/>
                <w:szCs w:val="16"/>
                <w:spacing w:val="-10"/>
              </w:rPr>
              <w:t>5.1</w:t>
            </w:r>
            <w:r>
              <w:rPr>
                <w:sz w:val="16"/>
                <w:szCs w:val="16"/>
                <w:spacing w:val="59"/>
              </w:rPr>
              <w:t xml:space="preserve"> </w:t>
            </w:r>
            <w:r>
              <w:rPr>
                <w:sz w:val="16"/>
                <w:szCs w:val="16"/>
                <w:spacing w:val="-10"/>
              </w:rPr>
              <w:t>云端数据治理法律法规识别</w:t>
            </w:r>
          </w:p>
          <w:p>
            <w:pPr>
              <w:pStyle w:val="TableText"/>
              <w:ind w:left="259"/>
              <w:spacing w:before="90" w:line="220" w:lineRule="auto"/>
              <w:rPr>
                <w:sz w:val="16"/>
                <w:szCs w:val="16"/>
              </w:rPr>
            </w:pPr>
            <w:r>
              <w:rPr>
                <w:sz w:val="16"/>
                <w:szCs w:val="16"/>
                <w:spacing w:val="4"/>
              </w:rPr>
              <w:t>1)识别流程</w:t>
            </w:r>
          </w:p>
          <w:p>
            <w:pPr>
              <w:pStyle w:val="TableText"/>
              <w:ind w:left="259"/>
              <w:spacing w:before="79" w:line="219" w:lineRule="auto"/>
              <w:rPr>
                <w:sz w:val="16"/>
                <w:szCs w:val="16"/>
              </w:rPr>
            </w:pPr>
            <w:r>
              <w:rPr>
                <w:sz w:val="16"/>
                <w:szCs w:val="16"/>
                <w:spacing w:val="-10"/>
              </w:rPr>
              <w:t>相关的安全法律法规的识别流程如下：</w:t>
            </w:r>
          </w:p>
          <w:p>
            <w:pPr>
              <w:pStyle w:val="TableText"/>
              <w:ind w:left="149" w:right="236" w:firstLine="109"/>
              <w:spacing w:before="90" w:line="278" w:lineRule="auto"/>
              <w:rPr>
                <w:sz w:val="16"/>
                <w:szCs w:val="16"/>
              </w:rPr>
            </w:pPr>
            <w:r>
              <w:rPr>
                <w:sz w:val="16"/>
                <w:szCs w:val="16"/>
                <w:spacing w:val="-8"/>
              </w:rPr>
              <w:t>(1)云端数据治理法律法规的识别工作由负责法律事务人员进行，各部门数据管理员在法律法规的适用性识别</w:t>
            </w:r>
            <w:r>
              <w:rPr>
                <w:sz w:val="16"/>
                <w:szCs w:val="16"/>
                <w:spacing w:val="13"/>
              </w:rPr>
              <w:t xml:space="preserve"> </w:t>
            </w:r>
            <w:r>
              <w:rPr>
                <w:sz w:val="16"/>
                <w:szCs w:val="16"/>
                <w:spacing w:val="-12"/>
              </w:rPr>
              <w:t>上予以协助；</w:t>
            </w:r>
          </w:p>
          <w:p>
            <w:pPr>
              <w:pStyle w:val="TableText"/>
              <w:ind w:left="149" w:right="235" w:firstLine="109"/>
              <w:spacing w:before="79" w:line="283" w:lineRule="auto"/>
              <w:rPr>
                <w:sz w:val="16"/>
                <w:szCs w:val="16"/>
              </w:rPr>
            </w:pPr>
            <w:r>
              <w:rPr>
                <w:sz w:val="16"/>
                <w:szCs w:val="16"/>
                <w:spacing w:val="-8"/>
              </w:rPr>
              <w:t>(2)公司的各个部门的文件管理人员负责将接收到的云端数据治理相关法律法规转发给法律事务负责人员予以</w:t>
            </w:r>
            <w:r>
              <w:rPr>
                <w:sz w:val="16"/>
                <w:szCs w:val="16"/>
                <w:spacing w:val="14"/>
              </w:rPr>
              <w:t xml:space="preserve"> </w:t>
            </w:r>
            <w:r>
              <w:rPr>
                <w:sz w:val="16"/>
                <w:szCs w:val="16"/>
                <w:spacing w:val="-10"/>
              </w:rPr>
              <w:t>识别；</w:t>
            </w:r>
          </w:p>
          <w:p>
            <w:pPr>
              <w:pStyle w:val="TableText"/>
              <w:ind w:left="149" w:right="209" w:firstLine="109"/>
              <w:spacing w:before="78" w:line="271" w:lineRule="auto"/>
              <w:rPr>
                <w:sz w:val="16"/>
                <w:szCs w:val="16"/>
              </w:rPr>
            </w:pPr>
            <w:r>
              <w:rPr>
                <w:sz w:val="16"/>
                <w:szCs w:val="16"/>
                <w:spacing w:val="-7"/>
              </w:rPr>
              <w:t>(3)负责法律事务人员识别出适用本公司的云端数据治理方面的法律法规，确定具体适用</w:t>
            </w:r>
            <w:r>
              <w:rPr>
                <w:sz w:val="16"/>
                <w:szCs w:val="16"/>
                <w:spacing w:val="-8"/>
              </w:rPr>
              <w:t>的条款，并上报数据</w:t>
            </w:r>
            <w:r>
              <w:rPr>
                <w:sz w:val="16"/>
                <w:szCs w:val="16"/>
              </w:rPr>
              <w:t xml:space="preserve"> </w:t>
            </w:r>
            <w:r>
              <w:rPr>
                <w:sz w:val="16"/>
                <w:szCs w:val="16"/>
                <w:spacing w:val="-10"/>
              </w:rPr>
              <w:t>治理委员会，数据安全管理员将识别出的法律法规登记在《云端数据法律法规清单》中；</w:t>
            </w:r>
          </w:p>
          <w:p>
            <w:pPr>
              <w:pStyle w:val="TableText"/>
              <w:ind w:left="149" w:right="241" w:firstLine="109"/>
              <w:spacing w:before="111" w:line="257" w:lineRule="auto"/>
              <w:rPr>
                <w:sz w:val="16"/>
                <w:szCs w:val="16"/>
              </w:rPr>
            </w:pPr>
            <w:r>
              <w:rPr>
                <w:sz w:val="16"/>
                <w:szCs w:val="16"/>
                <w:spacing w:val="-8"/>
              </w:rPr>
              <w:t>(4)当法律法规出现修订、合并、删减、取消时，法律事务负责人员要及时获取最新的法律法规，由数据安全</w:t>
            </w:r>
            <w:r>
              <w:rPr>
                <w:sz w:val="16"/>
                <w:szCs w:val="16"/>
                <w:spacing w:val="8"/>
              </w:rPr>
              <w:t xml:space="preserve"> </w:t>
            </w:r>
            <w:r>
              <w:rPr>
                <w:sz w:val="16"/>
                <w:szCs w:val="16"/>
                <w:spacing w:val="-10"/>
              </w:rPr>
              <w:t>管理员更新《云端数据法律法规清单》,并识别确定具体适用的条款；</w:t>
            </w:r>
          </w:p>
          <w:p>
            <w:pPr>
              <w:pStyle w:val="TableText"/>
              <w:ind w:left="149" w:right="213" w:firstLine="109"/>
              <w:spacing w:before="94" w:line="270" w:lineRule="auto"/>
              <w:rPr>
                <w:sz w:val="16"/>
                <w:szCs w:val="16"/>
              </w:rPr>
            </w:pPr>
            <w:r>
              <w:rPr>
                <w:sz w:val="16"/>
                <w:szCs w:val="16"/>
                <w:spacing w:val="-7"/>
              </w:rPr>
              <w:t>(5)数据治理委员会针对有关法律法规对本公司云端数据治理活动和业务的影响，</w:t>
            </w:r>
            <w:r>
              <w:rPr>
                <w:sz w:val="16"/>
                <w:szCs w:val="16"/>
                <w:spacing w:val="-8"/>
              </w:rPr>
              <w:t>在每年的管理评审会议上进</w:t>
            </w:r>
            <w:r>
              <w:rPr>
                <w:sz w:val="16"/>
                <w:szCs w:val="16"/>
              </w:rPr>
              <w:t xml:space="preserve"> </w:t>
            </w:r>
            <w:r>
              <w:rPr>
                <w:sz w:val="16"/>
                <w:szCs w:val="16"/>
                <w:spacing w:val="-12"/>
              </w:rPr>
              <w:t>行报告。</w:t>
            </w:r>
          </w:p>
          <w:p>
            <w:pPr>
              <w:pStyle w:val="TableText"/>
              <w:ind w:left="259"/>
              <w:spacing w:before="83" w:line="219" w:lineRule="auto"/>
              <w:rPr>
                <w:sz w:val="16"/>
                <w:szCs w:val="16"/>
              </w:rPr>
            </w:pPr>
            <w:r>
              <w:rPr>
                <w:sz w:val="16"/>
                <w:szCs w:val="16"/>
                <w:spacing w:val="4"/>
              </w:rPr>
              <w:t>2)识别内容</w:t>
            </w:r>
          </w:p>
          <w:p>
            <w:pPr>
              <w:pStyle w:val="TableText"/>
              <w:ind w:left="259"/>
              <w:spacing w:before="100" w:line="219" w:lineRule="auto"/>
              <w:rPr>
                <w:sz w:val="16"/>
                <w:szCs w:val="16"/>
              </w:rPr>
            </w:pPr>
            <w:r>
              <w:rPr>
                <w:sz w:val="16"/>
                <w:szCs w:val="16"/>
                <w:spacing w:val="-7"/>
              </w:rPr>
              <w:t>应识别的云端数据治理方面的法律法规包括但不限于以下6方面。</w:t>
            </w:r>
          </w:p>
          <w:p>
            <w:pPr>
              <w:pStyle w:val="TableText"/>
              <w:ind w:left="259"/>
              <w:spacing w:before="89" w:line="219" w:lineRule="auto"/>
              <w:rPr>
                <w:sz w:val="16"/>
                <w:szCs w:val="16"/>
              </w:rPr>
            </w:pPr>
            <w:r>
              <w:rPr>
                <w:sz w:val="16"/>
                <w:szCs w:val="16"/>
                <w:spacing w:val="-7"/>
              </w:rPr>
              <w:t>(1)全国人大及人大常委会发布的法律和法律解释；</w:t>
            </w:r>
          </w:p>
          <w:p>
            <w:pPr>
              <w:pStyle w:val="TableText"/>
              <w:ind w:left="259"/>
              <w:spacing w:before="110" w:line="219" w:lineRule="auto"/>
              <w:rPr>
                <w:sz w:val="16"/>
                <w:szCs w:val="16"/>
              </w:rPr>
            </w:pPr>
            <w:r>
              <w:rPr>
                <w:sz w:val="16"/>
                <w:szCs w:val="16"/>
                <w:spacing w:val="-8"/>
              </w:rPr>
              <w:t>(2)国务院、最高人民法院、最高人民检察院批准和颁布的法律、法规、法律解释；</w:t>
            </w:r>
          </w:p>
          <w:p>
            <w:pPr>
              <w:pStyle w:val="TableText"/>
              <w:ind w:left="259"/>
              <w:spacing w:before="81" w:line="219" w:lineRule="auto"/>
              <w:rPr>
                <w:sz w:val="16"/>
                <w:szCs w:val="16"/>
              </w:rPr>
            </w:pPr>
            <w:r>
              <w:rPr>
                <w:sz w:val="16"/>
                <w:szCs w:val="16"/>
                <w:spacing w:val="-6"/>
              </w:rPr>
              <w:t>(3)国家职能部门批准和颁布的规章制度；</w:t>
            </w:r>
          </w:p>
          <w:p>
            <w:pPr>
              <w:pStyle w:val="TableText"/>
              <w:ind w:left="259"/>
              <w:spacing w:before="90" w:line="219" w:lineRule="auto"/>
              <w:rPr>
                <w:sz w:val="16"/>
                <w:szCs w:val="16"/>
              </w:rPr>
            </w:pPr>
            <w:r>
              <w:rPr>
                <w:sz w:val="16"/>
                <w:szCs w:val="16"/>
                <w:spacing w:val="-4"/>
              </w:rPr>
              <w:t>(4)省、市等部门颁布的规章制度；</w:t>
            </w:r>
          </w:p>
          <w:p>
            <w:pPr>
              <w:pStyle w:val="TableText"/>
              <w:ind w:left="259"/>
              <w:spacing w:before="100" w:line="219" w:lineRule="auto"/>
              <w:rPr>
                <w:sz w:val="16"/>
                <w:szCs w:val="16"/>
              </w:rPr>
            </w:pPr>
            <w:r>
              <w:rPr>
                <w:sz w:val="16"/>
                <w:szCs w:val="16"/>
                <w:spacing w:val="-8"/>
              </w:rPr>
              <w:t>(5)适用于我国的国际公约、国际条约、商业惯例和规范性文件等；</w:t>
            </w:r>
          </w:p>
          <w:p>
            <w:pPr>
              <w:pStyle w:val="TableText"/>
              <w:ind w:left="259"/>
              <w:spacing w:before="81" w:line="219" w:lineRule="auto"/>
              <w:rPr>
                <w:sz w:val="16"/>
                <w:szCs w:val="16"/>
              </w:rPr>
            </w:pPr>
            <w:r>
              <w:rPr>
                <w:sz w:val="16"/>
                <w:szCs w:val="16"/>
                <w:spacing w:val="-7"/>
              </w:rPr>
              <w:t>(6)涉及国外监管要求的还要识别当地数据治理相关的法律法规等。</w:t>
            </w:r>
          </w:p>
        </w:tc>
      </w:tr>
    </w:tbl>
    <w:p>
      <w:pPr>
        <w:pStyle w:val="BodyText"/>
        <w:rPr/>
      </w:pPr>
      <w:r/>
    </w:p>
    <w:p>
      <w:pPr>
        <w:sectPr>
          <w:footerReference w:type="default" r:id="rId461"/>
          <w:pgSz w:w="8870" w:h="13400"/>
          <w:pgMar w:top="400" w:right="585" w:bottom="607" w:left="400" w:header="0" w:footer="399" w:gutter="0"/>
        </w:sectPr>
        <w:rPr/>
      </w:pPr>
    </w:p>
    <w:p>
      <w:pPr>
        <w:ind w:left="160"/>
        <w:spacing w:before="129"/>
        <w:rPr>
          <w:rFonts w:ascii="SimSun" w:hAnsi="SimSun" w:eastAsia="SimSun" w:cs="SimSun"/>
          <w:sz w:val="22"/>
          <w:szCs w:val="22"/>
        </w:rPr>
      </w:pPr>
      <w:bookmarkStart w:name="bookmark91" w:id="86"/>
      <w:bookmarkEnd w:id="86"/>
      <w:r>
        <w:rPr>
          <w:rFonts w:ascii="SimSun" w:hAnsi="SimSun" w:eastAsia="SimSun" w:cs="SimSun"/>
          <w:sz w:val="22"/>
          <w:szCs w:val="22"/>
          <w:position w:val="-9"/>
        </w:rPr>
        <w:drawing>
          <wp:inline distT="0" distB="0" distL="0" distR="0">
            <wp:extent cx="6308" cy="222255"/>
            <wp:effectExtent l="0" t="0" r="0" b="0"/>
            <wp:docPr id="322" name="IM 322"/>
            <wp:cNvGraphicFramePr/>
            <a:graphic>
              <a:graphicData uri="http://schemas.openxmlformats.org/drawingml/2006/picture">
                <pic:pic>
                  <pic:nvPicPr>
                    <pic:cNvPr id="322" name="IM 322"/>
                    <pic:cNvPicPr/>
                  </pic:nvPicPr>
                  <pic:blipFill>
                    <a:blip r:embed="rId464"/>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24"/>
        </w:rPr>
        <w:t xml:space="preserve"> </w:t>
      </w:r>
      <w:r>
        <w:rPr>
          <w:rFonts w:ascii="SimSun" w:hAnsi="SimSun" w:eastAsia="SimSun" w:cs="SimSun"/>
          <w:sz w:val="22"/>
          <w:szCs w:val="22"/>
          <w:b/>
          <w:bCs/>
          <w:spacing w:val="-15"/>
        </w:rPr>
        <w:t>■云端数据治理</w:t>
      </w:r>
    </w:p>
    <w:p>
      <w:pPr>
        <w:pStyle w:val="BodyText"/>
        <w:spacing w:line="297" w:lineRule="auto"/>
        <w:rPr/>
      </w:pPr>
      <w:r/>
    </w:p>
    <w:p>
      <w:pPr>
        <w:ind w:left="7229"/>
        <w:spacing w:before="59" w:line="220" w:lineRule="auto"/>
        <w:rPr>
          <w:rFonts w:ascii="SimSun" w:hAnsi="SimSun" w:eastAsia="SimSun" w:cs="SimSun"/>
          <w:sz w:val="18"/>
          <w:szCs w:val="18"/>
        </w:rPr>
      </w:pPr>
      <w:r>
        <w:rPr>
          <w:rFonts w:ascii="SimSun" w:hAnsi="SimSun" w:eastAsia="SimSun" w:cs="SimSun"/>
          <w:sz w:val="18"/>
          <w:szCs w:val="18"/>
          <w:spacing w:val="-3"/>
        </w:rPr>
        <w:t>续表</w:t>
      </w:r>
    </w:p>
    <w:p>
      <w:pPr>
        <w:spacing w:line="27" w:lineRule="auto"/>
        <w:rPr>
          <w:rFonts w:ascii="Arial"/>
          <w:sz w:val="2"/>
        </w:rPr>
      </w:pPr>
      <w:r>
        <w:rPr>
          <w:rFonts w:ascii="Arial"/>
          <w:sz w:val="2"/>
        </w:rPr>
      </w:r>
    </w:p>
    <w:tbl>
      <w:tblPr>
        <w:tblStyle w:val="TableNormal"/>
        <w:tblW w:w="7659" w:type="dxa"/>
        <w:tblInd w:w="310" w:type="dxa"/>
        <w:tblLayout w:type="fixed"/>
        <w:tblBorders>
          <w:left w:val="single" w:color="000000" w:sz="4" w:space="0"/>
          <w:bottom w:val="single" w:color="000000" w:sz="4" w:space="0"/>
          <w:right w:val="single" w:color="000000" w:sz="4" w:space="0"/>
          <w:top w:val="single" w:color="000000" w:sz="4" w:space="0"/>
        </w:tblBorders>
      </w:tblPr>
      <w:tblGrid>
        <w:gridCol w:w="7659"/>
      </w:tblGrid>
      <w:tr>
        <w:trPr>
          <w:trHeight w:val="3649" w:hRule="atLeast"/>
        </w:trPr>
        <w:tc>
          <w:tcPr>
            <w:tcW w:w="7659" w:type="dxa"/>
            <w:vAlign w:val="top"/>
          </w:tcPr>
          <w:p>
            <w:pPr>
              <w:pStyle w:val="TableText"/>
              <w:ind w:left="254"/>
              <w:spacing w:before="71" w:line="219" w:lineRule="auto"/>
              <w:rPr/>
            </w:pPr>
            <w:r>
              <w:rPr>
                <w:spacing w:val="-1"/>
              </w:rPr>
              <w:t>5.2数据保护和个人信息的隐私保护</w:t>
            </w:r>
          </w:p>
          <w:p>
            <w:pPr>
              <w:pStyle w:val="TableText"/>
              <w:ind w:left="265"/>
              <w:spacing w:before="101" w:line="219" w:lineRule="auto"/>
              <w:rPr/>
            </w:pPr>
            <w:r>
              <w:rPr>
                <w:spacing w:val="3"/>
              </w:rPr>
              <w:t>(1)数据保护依公司保密管理相关要求执行；</w:t>
            </w:r>
          </w:p>
          <w:p>
            <w:pPr>
              <w:pStyle w:val="TableText"/>
              <w:ind w:left="115" w:right="176" w:firstLine="139"/>
              <w:spacing w:before="83" w:line="319" w:lineRule="auto"/>
              <w:rPr/>
            </w:pPr>
            <w:r>
              <w:rPr/>
              <w:t>(2)对于因客户投资、员工入职、合作伙伴进场、第三方来访等原因获得的个人隐私信息，除当事人允许，为  </w:t>
            </w:r>
            <w:r>
              <w:rPr/>
              <w:t>当事人获取福利或权益需要(且需要当事人允许)、司法部门依法调查和法律法规要求外，公司各部门不得向无关</w:t>
            </w:r>
            <w:r>
              <w:rPr>
                <w:spacing w:val="6"/>
              </w:rPr>
              <w:t xml:space="preserve"> </w:t>
            </w:r>
            <w:r>
              <w:rPr>
                <w:spacing w:val="-1"/>
              </w:rPr>
              <w:t>的第三方泄露任何个人的隐私信息。</w:t>
            </w:r>
          </w:p>
          <w:p>
            <w:pPr>
              <w:pStyle w:val="TableText"/>
              <w:ind w:left="265"/>
              <w:spacing w:before="101" w:line="219" w:lineRule="auto"/>
              <w:rPr/>
            </w:pPr>
            <w:r>
              <w:rPr>
                <w:spacing w:val="-1"/>
              </w:rPr>
              <w:t>5.3符合安全策略和标准</w:t>
            </w:r>
          </w:p>
          <w:p>
            <w:pPr>
              <w:pStyle w:val="TableText"/>
              <w:ind w:left="115" w:right="162" w:firstLine="159"/>
              <w:spacing w:before="101" w:line="277" w:lineRule="auto"/>
              <w:rPr/>
            </w:pPr>
            <w:r>
              <w:rPr/>
              <w:t>云端数据治理团队通过以下方式确保各项数据治理活动和流程被正确地执行，进而符合相关管理标准和公司的</w:t>
            </w:r>
            <w:r>
              <w:rPr>
                <w:spacing w:val="10"/>
              </w:rPr>
              <w:t xml:space="preserve"> </w:t>
            </w:r>
            <w:r>
              <w:rPr>
                <w:spacing w:val="-1"/>
              </w:rPr>
              <w:t>各项安全制度规定。</w:t>
            </w:r>
          </w:p>
          <w:p>
            <w:pPr>
              <w:pStyle w:val="TableText"/>
              <w:ind w:left="254"/>
              <w:spacing w:before="89" w:line="219" w:lineRule="auto"/>
              <w:rPr/>
            </w:pPr>
            <w:r>
              <w:rPr>
                <w:spacing w:val="2"/>
              </w:rPr>
              <w:t>(1)云端数据治理制度和流程执行情况的督促和推进；</w:t>
            </w:r>
          </w:p>
          <w:p>
            <w:pPr>
              <w:pStyle w:val="TableText"/>
              <w:ind w:left="274"/>
              <w:spacing w:before="123" w:line="219" w:lineRule="auto"/>
              <w:rPr/>
            </w:pPr>
            <w:r>
              <w:rPr>
                <w:spacing w:val="3"/>
              </w:rPr>
              <w:t>(2)云端数据安全技术和产品的实施和应用；</w:t>
            </w:r>
          </w:p>
          <w:p>
            <w:pPr>
              <w:pStyle w:val="TableText"/>
              <w:ind w:left="284"/>
              <w:spacing w:before="101" w:line="219" w:lineRule="auto"/>
              <w:rPr/>
            </w:pPr>
            <w:r>
              <w:rPr>
                <w:spacing w:val="4"/>
              </w:rPr>
              <w:t>(3)云端数据治理培训和宣传；</w:t>
            </w:r>
          </w:p>
          <w:p>
            <w:pPr>
              <w:pStyle w:val="TableText"/>
              <w:ind w:left="274"/>
              <w:spacing w:before="103" w:line="219" w:lineRule="auto"/>
              <w:rPr/>
            </w:pPr>
            <w:r>
              <w:rPr>
                <w:spacing w:val="8"/>
              </w:rPr>
              <w:t>(4)管理评审；</w:t>
            </w:r>
          </w:p>
          <w:p>
            <w:pPr>
              <w:pStyle w:val="TableText"/>
              <w:ind w:left="274"/>
              <w:spacing w:before="103" w:line="220" w:lineRule="auto"/>
              <w:rPr/>
            </w:pPr>
            <w:r>
              <w:rPr/>
              <w:t>(5)纠正、预防措施的实施和落实效果跟进。</w:t>
            </w:r>
          </w:p>
        </w:tc>
      </w:tr>
    </w:tbl>
    <w:p>
      <w:pPr>
        <w:pStyle w:val="BodyText"/>
        <w:rPr/>
      </w:pPr>
      <w:r/>
    </w:p>
    <w:p>
      <w:pPr>
        <w:sectPr>
          <w:footerReference w:type="default" r:id="rId463"/>
          <w:pgSz w:w="8870" w:h="13400"/>
          <w:pgMar w:top="400" w:right="425" w:bottom="544" w:left="470" w:header="0" w:footer="326" w:gutter="0"/>
        </w:sectPr>
        <w:rPr/>
      </w:pPr>
    </w:p>
    <w:p>
      <w:pPr>
        <w:pStyle w:val="BodyText"/>
        <w:spacing w:line="261" w:lineRule="auto"/>
        <w:rPr/>
      </w:pPr>
      <w:r>
        <w:drawing>
          <wp:anchor distT="0" distB="0" distL="0" distR="0" simplePos="0" relativeHeight="258013184" behindDoc="0" locked="0" layoutInCell="0" allowOverlap="1">
            <wp:simplePos x="0" y="0"/>
            <wp:positionH relativeFrom="page">
              <wp:posOffset>1003308</wp:posOffset>
            </wp:positionH>
            <wp:positionV relativeFrom="page">
              <wp:posOffset>3562351</wp:posOffset>
            </wp:positionV>
            <wp:extent cx="3225816" cy="6350"/>
            <wp:effectExtent l="0" t="0" r="0" b="0"/>
            <wp:wrapNone/>
            <wp:docPr id="324" name="IM 324"/>
            <wp:cNvGraphicFramePr/>
            <a:graphic>
              <a:graphicData uri="http://schemas.openxmlformats.org/drawingml/2006/picture">
                <pic:pic>
                  <pic:nvPicPr>
                    <pic:cNvPr id="324" name="IM 324"/>
                    <pic:cNvPicPr/>
                  </pic:nvPicPr>
                  <pic:blipFill>
                    <a:blip r:embed="rId465"/>
                    <a:stretch>
                      <a:fillRect/>
                    </a:stretch>
                  </pic:blipFill>
                  <pic:spPr>
                    <a:xfrm rot="0">
                      <a:off x="0" y="0"/>
                      <a:ext cx="3225816" cy="6350"/>
                    </a:xfrm>
                    <a:prstGeom prst="rect">
                      <a:avLst/>
                    </a:prstGeom>
                  </pic:spPr>
                </pic:pic>
              </a:graphicData>
            </a:graphic>
          </wp:anchor>
        </w:drawing>
      </w:r>
      <w:r>
        <w:drawing>
          <wp:anchor distT="0" distB="0" distL="0" distR="0" simplePos="0" relativeHeight="258014208" behindDoc="0" locked="0" layoutInCell="0" allowOverlap="1">
            <wp:simplePos x="0" y="0"/>
            <wp:positionH relativeFrom="page">
              <wp:posOffset>1009672</wp:posOffset>
            </wp:positionH>
            <wp:positionV relativeFrom="page">
              <wp:posOffset>4070338</wp:posOffset>
            </wp:positionV>
            <wp:extent cx="3225760" cy="6350"/>
            <wp:effectExtent l="0" t="0" r="0" b="0"/>
            <wp:wrapNone/>
            <wp:docPr id="326" name="IM 326"/>
            <wp:cNvGraphicFramePr/>
            <a:graphic>
              <a:graphicData uri="http://schemas.openxmlformats.org/drawingml/2006/picture">
                <pic:pic>
                  <pic:nvPicPr>
                    <pic:cNvPr id="326" name="IM 326"/>
                    <pic:cNvPicPr/>
                  </pic:nvPicPr>
                  <pic:blipFill>
                    <a:blip r:embed="rId466"/>
                    <a:stretch>
                      <a:fillRect/>
                    </a:stretch>
                  </pic:blipFill>
                  <pic:spPr>
                    <a:xfrm rot="0">
                      <a:off x="0" y="0"/>
                      <a:ext cx="3225760" cy="6350"/>
                    </a:xfrm>
                    <a:prstGeom prst="rect">
                      <a:avLst/>
                    </a:prstGeom>
                  </pic:spPr>
                </pic:pic>
              </a:graphicData>
            </a:graphic>
          </wp:anchor>
        </w:drawing>
      </w: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firstLine="5359"/>
        <w:spacing w:line="740" w:lineRule="exact"/>
        <w:rPr/>
      </w:pPr>
      <w:r>
        <w:rPr>
          <w:position w:val="-14"/>
        </w:rPr>
        <w:drawing>
          <wp:inline distT="0" distB="0" distL="0" distR="0">
            <wp:extent cx="901698" cy="469867"/>
            <wp:effectExtent l="0" t="0" r="0" b="0"/>
            <wp:docPr id="328" name="IM 328"/>
            <wp:cNvGraphicFramePr/>
            <a:graphic>
              <a:graphicData uri="http://schemas.openxmlformats.org/drawingml/2006/picture">
                <pic:pic>
                  <pic:nvPicPr>
                    <pic:cNvPr id="328" name="IM 328"/>
                    <pic:cNvPicPr/>
                  </pic:nvPicPr>
                  <pic:blipFill>
                    <a:blip r:embed="rId467"/>
                    <a:stretch>
                      <a:fillRect/>
                    </a:stretch>
                  </pic:blipFill>
                  <pic:spPr>
                    <a:xfrm rot="0">
                      <a:off x="0" y="0"/>
                      <a:ext cx="901698" cy="469867"/>
                    </a:xfrm>
                    <a:prstGeom prst="rect">
                      <a:avLst/>
                    </a:prstGeom>
                  </pic:spPr>
                </pic:pic>
              </a:graphicData>
            </a:graphic>
          </wp:inline>
        </w:drawing>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1134"/>
        <w:spacing w:before="104" w:line="221" w:lineRule="auto"/>
        <w:rPr>
          <w:rFonts w:ascii="SimHei" w:hAnsi="SimHei" w:eastAsia="SimHei" w:cs="SimHei"/>
          <w:sz w:val="32"/>
          <w:szCs w:val="32"/>
        </w:rPr>
      </w:pPr>
      <w:r>
        <w:rPr>
          <w:rFonts w:ascii="SimHei" w:hAnsi="SimHei" w:eastAsia="SimHei" w:cs="SimHei"/>
          <w:sz w:val="32"/>
          <w:szCs w:val="32"/>
          <w:b/>
          <w:bCs/>
          <w:spacing w:val="-3"/>
        </w:rPr>
        <w:t>云端数据治理体系与实施</w:t>
      </w:r>
    </w:p>
    <w:p>
      <w:pPr>
        <w:spacing w:line="221" w:lineRule="auto"/>
        <w:sectPr>
          <w:footerReference w:type="default" r:id="rId14"/>
          <w:pgSz w:w="8870" w:h="13400"/>
          <w:pgMar w:top="400" w:right="759" w:bottom="400" w:left="1330" w:header="0" w:footer="0" w:gutter="0"/>
        </w:sectPr>
        <w:rPr>
          <w:rFonts w:ascii="SimHei" w:hAnsi="SimHei" w:eastAsia="SimHei" w:cs="SimHei"/>
          <w:sz w:val="32"/>
          <w:szCs w:val="32"/>
        </w:rPr>
      </w:pPr>
    </w:p>
    <w:p>
      <w:pPr>
        <w:pStyle w:val="BodyText"/>
        <w:spacing w:line="279" w:lineRule="auto"/>
        <w:rPr/>
      </w:pPr>
      <w:r/>
    </w:p>
    <w:p>
      <w:pPr>
        <w:pStyle w:val="BodyText"/>
        <w:spacing w:line="279"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545"/>
        <w:spacing w:before="130" w:line="221" w:lineRule="auto"/>
        <w:rPr>
          <w:rFonts w:ascii="SimHei" w:hAnsi="SimHei" w:eastAsia="SimHei" w:cs="SimHei"/>
          <w:sz w:val="40"/>
          <w:szCs w:val="40"/>
        </w:rPr>
      </w:pPr>
      <w:r>
        <w:rPr>
          <w:rFonts w:ascii="SimHei" w:hAnsi="SimHei" w:eastAsia="SimHei" w:cs="SimHei"/>
          <w:sz w:val="40"/>
          <w:szCs w:val="40"/>
          <w:b/>
          <w:bCs/>
          <w:spacing w:val="-8"/>
        </w:rPr>
        <w:t>第</w:t>
      </w:r>
      <w:r>
        <w:rPr>
          <w:rFonts w:ascii="SimHei" w:hAnsi="SimHei" w:eastAsia="SimHei" w:cs="SimHei"/>
          <w:sz w:val="40"/>
          <w:szCs w:val="40"/>
          <w:spacing w:val="-60"/>
        </w:rPr>
        <w:t xml:space="preserve"> </w:t>
      </w:r>
      <w:r>
        <w:rPr>
          <w:rFonts w:ascii="SimHei" w:hAnsi="SimHei" w:eastAsia="SimHei" w:cs="SimHei"/>
          <w:sz w:val="40"/>
          <w:szCs w:val="40"/>
          <w:b/>
          <w:bCs/>
          <w:spacing w:val="-8"/>
        </w:rPr>
        <w:t>1</w:t>
      </w:r>
      <w:r>
        <w:rPr>
          <w:rFonts w:ascii="SimHei" w:hAnsi="SimHei" w:eastAsia="SimHei" w:cs="SimHei"/>
          <w:sz w:val="40"/>
          <w:szCs w:val="40"/>
          <w:spacing w:val="-88"/>
        </w:rPr>
        <w:t xml:space="preserve"> </w:t>
      </w:r>
      <w:r>
        <w:rPr>
          <w:rFonts w:ascii="SimHei" w:hAnsi="SimHei" w:eastAsia="SimHei" w:cs="SimHei"/>
          <w:sz w:val="40"/>
          <w:szCs w:val="40"/>
          <w:b/>
          <w:bCs/>
          <w:spacing w:val="-8"/>
        </w:rPr>
        <w:t>0</w:t>
      </w:r>
      <w:r>
        <w:rPr>
          <w:rFonts w:ascii="SimHei" w:hAnsi="SimHei" w:eastAsia="SimHei" w:cs="SimHei"/>
          <w:sz w:val="40"/>
          <w:szCs w:val="40"/>
          <w:spacing w:val="-83"/>
        </w:rPr>
        <w:t xml:space="preserve"> </w:t>
      </w:r>
      <w:r>
        <w:rPr>
          <w:rFonts w:ascii="SimHei" w:hAnsi="SimHei" w:eastAsia="SimHei" w:cs="SimHei"/>
          <w:sz w:val="40"/>
          <w:szCs w:val="40"/>
          <w:b/>
          <w:bCs/>
          <w:spacing w:val="-8"/>
        </w:rPr>
        <w:t>章</w:t>
      </w:r>
      <w:r>
        <w:rPr>
          <w:rFonts w:ascii="SimHei" w:hAnsi="SimHei" w:eastAsia="SimHei" w:cs="SimHei"/>
          <w:sz w:val="40"/>
          <w:szCs w:val="40"/>
          <w:spacing w:val="-8"/>
        </w:rPr>
        <w:t xml:space="preserve">  </w:t>
      </w:r>
      <w:r>
        <w:rPr>
          <w:rFonts w:ascii="SimHei" w:hAnsi="SimHei" w:eastAsia="SimHei" w:cs="SimHei"/>
          <w:sz w:val="40"/>
          <w:szCs w:val="40"/>
          <w:b/>
          <w:bCs/>
          <w:spacing w:val="-8"/>
        </w:rPr>
        <w:t>云端数据治理体系</w:t>
      </w:r>
    </w:p>
    <w:p>
      <w:pPr>
        <w:pStyle w:val="BodyText"/>
        <w:spacing w:line="274" w:lineRule="auto"/>
        <w:rPr/>
      </w:pPr>
      <w:r/>
    </w:p>
    <w:p>
      <w:pPr>
        <w:pStyle w:val="BodyText"/>
        <w:spacing w:line="275" w:lineRule="auto"/>
        <w:rPr/>
      </w:pPr>
      <w:r/>
    </w:p>
    <w:p>
      <w:pPr>
        <w:ind w:left="294"/>
        <w:spacing w:before="107" w:line="221" w:lineRule="auto"/>
        <w:outlineLvl w:val="3"/>
        <w:rPr>
          <w:rFonts w:ascii="SimHei" w:hAnsi="SimHei" w:eastAsia="SimHei" w:cs="SimHei"/>
          <w:sz w:val="33"/>
          <w:szCs w:val="33"/>
        </w:rPr>
      </w:pPr>
      <w:r>
        <w:rPr>
          <w:rFonts w:ascii="SimHei" w:hAnsi="SimHei" w:eastAsia="SimHei" w:cs="SimHei"/>
          <w:sz w:val="33"/>
          <w:szCs w:val="33"/>
          <w:b/>
          <w:bCs/>
          <w:spacing w:val="-7"/>
        </w:rPr>
        <w:t>10.1</w:t>
      </w:r>
      <w:r>
        <w:rPr>
          <w:rFonts w:ascii="SimHei" w:hAnsi="SimHei" w:eastAsia="SimHei" w:cs="SimHei"/>
          <w:sz w:val="33"/>
          <w:szCs w:val="33"/>
          <w:spacing w:val="-7"/>
        </w:rPr>
        <w:t xml:space="preserve">  </w:t>
      </w:r>
      <w:r>
        <w:rPr>
          <w:rFonts w:ascii="SimHei" w:hAnsi="SimHei" w:eastAsia="SimHei" w:cs="SimHei"/>
          <w:sz w:val="33"/>
          <w:szCs w:val="33"/>
          <w:b/>
          <w:bCs/>
          <w:spacing w:val="-7"/>
        </w:rPr>
        <w:t>云端数据治理体系的必要性</w:t>
      </w:r>
    </w:p>
    <w:p>
      <w:pPr>
        <w:pStyle w:val="BodyText"/>
        <w:spacing w:line="338" w:lineRule="auto"/>
        <w:rPr/>
      </w:pPr>
      <w:r/>
    </w:p>
    <w:p>
      <w:pPr>
        <w:ind w:left="289" w:right="66" w:firstLine="440"/>
        <w:spacing w:before="68" w:line="255" w:lineRule="auto"/>
        <w:rPr>
          <w:rFonts w:ascii="SimSun" w:hAnsi="SimSun" w:eastAsia="SimSun" w:cs="SimSun"/>
          <w:sz w:val="21"/>
          <w:szCs w:val="21"/>
        </w:rPr>
      </w:pPr>
      <w:r>
        <w:rPr>
          <w:rFonts w:ascii="SimSun" w:hAnsi="SimSun" w:eastAsia="SimSun" w:cs="SimSun"/>
          <w:sz w:val="21"/>
          <w:szCs w:val="21"/>
          <w:spacing w:val="1"/>
        </w:rPr>
        <w:t>虽然云计算的发展有力地推动了云端数据治理的工作进程，但由于缺乏满足治</w:t>
      </w:r>
      <w:r>
        <w:rPr>
          <w:rFonts w:ascii="SimSun" w:hAnsi="SimSun" w:eastAsia="SimSun" w:cs="SimSun"/>
          <w:sz w:val="21"/>
          <w:szCs w:val="21"/>
          <w:spacing w:val="12"/>
        </w:rPr>
        <w:t xml:space="preserve"> </w:t>
      </w:r>
      <w:r>
        <w:rPr>
          <w:rFonts w:ascii="SimSun" w:hAnsi="SimSun" w:eastAsia="SimSun" w:cs="SimSun"/>
          <w:sz w:val="21"/>
          <w:szCs w:val="21"/>
          <w:spacing w:val="2"/>
        </w:rPr>
        <w:t>理目标和要求的管理手段，在该进程中，许多组织仍然</w:t>
      </w:r>
      <w:r>
        <w:rPr>
          <w:rFonts w:ascii="SimSun" w:hAnsi="SimSun" w:eastAsia="SimSun" w:cs="SimSun"/>
          <w:sz w:val="21"/>
          <w:szCs w:val="21"/>
          <w:spacing w:val="1"/>
        </w:rPr>
        <w:t>面临着一些问题和困扰。主</w:t>
      </w:r>
      <w:r>
        <w:rPr>
          <w:rFonts w:ascii="SimSun" w:hAnsi="SimSun" w:eastAsia="SimSun" w:cs="SimSun"/>
          <w:sz w:val="21"/>
          <w:szCs w:val="21"/>
        </w:rPr>
        <w:t xml:space="preserve"> </w:t>
      </w:r>
      <w:r>
        <w:rPr>
          <w:rFonts w:ascii="SimSun" w:hAnsi="SimSun" w:eastAsia="SimSun" w:cs="SimSun"/>
          <w:sz w:val="21"/>
          <w:szCs w:val="21"/>
          <w:spacing w:val="-4"/>
        </w:rPr>
        <w:t>要表现在以下方面。</w:t>
      </w:r>
    </w:p>
    <w:p>
      <w:pPr>
        <w:ind w:left="289" w:right="64" w:firstLine="440"/>
        <w:spacing w:before="86" w:line="262" w:lineRule="auto"/>
        <w:rPr>
          <w:rFonts w:ascii="SimSun" w:hAnsi="SimSun" w:eastAsia="SimSun" w:cs="SimSun"/>
          <w:sz w:val="21"/>
          <w:szCs w:val="21"/>
        </w:rPr>
      </w:pPr>
      <w:r>
        <w:rPr>
          <w:rFonts w:ascii="SimSun" w:hAnsi="SimSun" w:eastAsia="SimSun" w:cs="SimSun"/>
          <w:sz w:val="21"/>
          <w:szCs w:val="21"/>
          <w:spacing w:val="4"/>
        </w:rPr>
        <w:t>(1)云端数据治理方案失败，主要原因是方案没有围绕实际的业务问题定义云</w:t>
      </w:r>
      <w:r>
        <w:rPr>
          <w:rFonts w:ascii="SimSun" w:hAnsi="SimSun" w:eastAsia="SimSun" w:cs="SimSun"/>
          <w:sz w:val="21"/>
          <w:szCs w:val="21"/>
          <w:spacing w:val="6"/>
        </w:rPr>
        <w:t xml:space="preserve"> </w:t>
      </w:r>
      <w:r>
        <w:rPr>
          <w:rFonts w:ascii="SimSun" w:hAnsi="SimSun" w:eastAsia="SimSun" w:cs="SimSun"/>
          <w:sz w:val="21"/>
          <w:szCs w:val="21"/>
          <w:spacing w:val="-2"/>
        </w:rPr>
        <w:t>端数据治理的范围。对大多数组织而言， </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技</w:t>
      </w:r>
      <w:r>
        <w:rPr>
          <w:rFonts w:ascii="SimSun" w:hAnsi="SimSun" w:eastAsia="SimSun" w:cs="SimSun"/>
          <w:sz w:val="21"/>
          <w:szCs w:val="21"/>
          <w:spacing w:val="-3"/>
        </w:rPr>
        <w:t>术并不能完全配合和支撑各种业务目</w:t>
      </w:r>
      <w:r>
        <w:rPr>
          <w:rFonts w:ascii="SimSun" w:hAnsi="SimSun" w:eastAsia="SimSun" w:cs="SimSun"/>
          <w:sz w:val="21"/>
          <w:szCs w:val="21"/>
        </w:rPr>
        <w:t xml:space="preserve"> </w:t>
      </w:r>
      <w:r>
        <w:rPr>
          <w:rFonts w:ascii="SimSun" w:hAnsi="SimSun" w:eastAsia="SimSun" w:cs="SimSun"/>
          <w:sz w:val="21"/>
          <w:szCs w:val="21"/>
        </w:rPr>
        <w:t>标。为了实现组织的战略目标，首席信息官及各高级主管需要努力设法使</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技术能 </w:t>
      </w:r>
      <w:r>
        <w:rPr>
          <w:rFonts w:ascii="SimSun" w:hAnsi="SimSun" w:eastAsia="SimSun" w:cs="SimSun"/>
          <w:sz w:val="21"/>
          <w:szCs w:val="21"/>
        </w:rPr>
        <w:t>配合和支撑各种业务目标。只有云端数据治理方案开始解决已识别的业务问题时，</w:t>
      </w:r>
      <w:r>
        <w:rPr>
          <w:rFonts w:ascii="SimSun" w:hAnsi="SimSun" w:eastAsia="SimSun" w:cs="SimSun"/>
          <w:sz w:val="21"/>
          <w:szCs w:val="21"/>
          <w:spacing w:val="13"/>
        </w:rPr>
        <w:t xml:space="preserve"> </w:t>
      </w:r>
      <w:r>
        <w:rPr>
          <w:rFonts w:ascii="SimSun" w:hAnsi="SimSun" w:eastAsia="SimSun" w:cs="SimSun"/>
          <w:sz w:val="21"/>
          <w:szCs w:val="21"/>
          <w:spacing w:val="-2"/>
        </w:rPr>
        <w:t>业务职能部门才会支持它将范围扩展到更多区域。</w:t>
      </w:r>
    </w:p>
    <w:p>
      <w:pPr>
        <w:ind w:left="289" w:right="55" w:firstLine="440"/>
        <w:spacing w:before="61" w:line="259" w:lineRule="auto"/>
        <w:rPr>
          <w:rFonts w:ascii="SimSun" w:hAnsi="SimSun" w:eastAsia="SimSun" w:cs="SimSun"/>
          <w:sz w:val="21"/>
          <w:szCs w:val="21"/>
        </w:rPr>
      </w:pPr>
      <w:r>
        <w:rPr>
          <w:rFonts w:ascii="SimSun" w:hAnsi="SimSun" w:eastAsia="SimSun" w:cs="SimSun"/>
          <w:sz w:val="21"/>
          <w:szCs w:val="21"/>
          <w:spacing w:val="5"/>
        </w:rPr>
        <w:t>(2)云端数据治理方案低于预期结果，主要原因是</w:t>
      </w:r>
      <w:r>
        <w:rPr>
          <w:rFonts w:ascii="SimSun" w:hAnsi="SimSun" w:eastAsia="SimSun" w:cs="SimSun"/>
          <w:sz w:val="21"/>
          <w:szCs w:val="21"/>
          <w:spacing w:val="4"/>
        </w:rPr>
        <w:t>数据识别不完整。例如，获</w:t>
      </w:r>
      <w:r>
        <w:rPr>
          <w:rFonts w:ascii="SimSun" w:hAnsi="SimSun" w:eastAsia="SimSun" w:cs="SimSun"/>
          <w:sz w:val="21"/>
          <w:szCs w:val="21"/>
        </w:rPr>
        <w:t xml:space="preserve"> </w:t>
      </w:r>
      <w:r>
        <w:rPr>
          <w:rFonts w:ascii="SimSun" w:hAnsi="SimSun" w:eastAsia="SimSun" w:cs="SimSun"/>
          <w:sz w:val="21"/>
          <w:szCs w:val="21"/>
          <w:spacing w:val="2"/>
        </w:rPr>
        <w:t>取云端数据的类型、使用云端数据的方式方法</w:t>
      </w:r>
      <w:r>
        <w:rPr>
          <w:rFonts w:ascii="SimSun" w:hAnsi="SimSun" w:eastAsia="SimSun" w:cs="SimSun"/>
          <w:sz w:val="21"/>
          <w:szCs w:val="21"/>
          <w:spacing w:val="1"/>
        </w:rPr>
        <w:t>、要满足哪些业务目标，以及谁有权</w:t>
      </w:r>
      <w:r>
        <w:rPr>
          <w:rFonts w:ascii="SimSun" w:hAnsi="SimSun" w:eastAsia="SimSun" w:cs="SimSun"/>
          <w:sz w:val="21"/>
          <w:szCs w:val="21"/>
        </w:rPr>
        <w:t xml:space="preserve"> </w:t>
      </w:r>
      <w:r>
        <w:rPr>
          <w:rFonts w:ascii="SimSun" w:hAnsi="SimSun" w:eastAsia="SimSun" w:cs="SimSun"/>
          <w:sz w:val="21"/>
          <w:szCs w:val="21"/>
          <w:spacing w:val="2"/>
        </w:rPr>
        <w:t>拥有这些云端数据等方面并未明确界定。如果基本</w:t>
      </w:r>
      <w:r>
        <w:rPr>
          <w:rFonts w:ascii="SimSun" w:hAnsi="SimSun" w:eastAsia="SimSun" w:cs="SimSun"/>
          <w:sz w:val="21"/>
          <w:szCs w:val="21"/>
          <w:spacing w:val="1"/>
        </w:rPr>
        <w:t>的云端数据不可靠，那么大多数</w:t>
      </w:r>
      <w:r>
        <w:rPr>
          <w:rFonts w:ascii="SimSun" w:hAnsi="SimSun" w:eastAsia="SimSun" w:cs="SimSun"/>
          <w:sz w:val="21"/>
          <w:szCs w:val="21"/>
        </w:rPr>
        <w:t xml:space="preserve"> </w:t>
      </w:r>
      <w:r>
        <w:rPr>
          <w:rFonts w:ascii="SimSun" w:hAnsi="SimSun" w:eastAsia="SimSun" w:cs="SimSun"/>
          <w:sz w:val="21"/>
          <w:szCs w:val="21"/>
          <w:spacing w:val="-1"/>
        </w:rPr>
        <w:t>组织的云端数据治理方案可能会失败或者低于预期结果。</w:t>
      </w:r>
    </w:p>
    <w:p>
      <w:pPr>
        <w:ind w:left="289" w:firstLine="440"/>
        <w:spacing w:before="72" w:line="262" w:lineRule="auto"/>
        <w:rPr>
          <w:rFonts w:ascii="SimSun" w:hAnsi="SimSun" w:eastAsia="SimSun" w:cs="SimSun"/>
          <w:sz w:val="21"/>
          <w:szCs w:val="21"/>
        </w:rPr>
      </w:pPr>
      <w:r>
        <w:rPr>
          <w:rFonts w:ascii="SimSun" w:hAnsi="SimSun" w:eastAsia="SimSun" w:cs="SimSun"/>
          <w:sz w:val="21"/>
          <w:szCs w:val="21"/>
          <w:spacing w:val="5"/>
        </w:rPr>
        <w:t>(3)云端数据治理方案实施困难，主要原因是无法得</w:t>
      </w:r>
      <w:r>
        <w:rPr>
          <w:rFonts w:ascii="SimSun" w:hAnsi="SimSun" w:eastAsia="SimSun" w:cs="SimSun"/>
          <w:sz w:val="21"/>
          <w:szCs w:val="21"/>
          <w:spacing w:val="4"/>
        </w:rPr>
        <w:t>到业务部门的支持。云端</w:t>
      </w:r>
      <w:r>
        <w:rPr>
          <w:rFonts w:ascii="SimSun" w:hAnsi="SimSun" w:eastAsia="SimSun" w:cs="SimSun"/>
          <w:sz w:val="21"/>
          <w:szCs w:val="21"/>
        </w:rPr>
        <w:t xml:space="preserve"> </w:t>
      </w:r>
      <w:r>
        <w:rPr>
          <w:rFonts w:ascii="SimSun" w:hAnsi="SimSun" w:eastAsia="SimSun" w:cs="SimSun"/>
          <w:sz w:val="21"/>
          <w:szCs w:val="21"/>
          <w:spacing w:val="-3"/>
        </w:rPr>
        <w:t>数据治理方案经常是由组织内的</w:t>
      </w:r>
      <w:r>
        <w:rPr>
          <w:rFonts w:ascii="Times New Roman" w:hAnsi="Times New Roman" w:eastAsia="Times New Roman" w:cs="Times New Roman"/>
          <w:sz w:val="21"/>
          <w:szCs w:val="21"/>
          <w:spacing w:val="-3"/>
        </w:rPr>
        <w:t>IT </w:t>
      </w:r>
      <w:r>
        <w:rPr>
          <w:rFonts w:ascii="SimSun" w:hAnsi="SimSun" w:eastAsia="SimSun" w:cs="SimSun"/>
          <w:sz w:val="21"/>
          <w:szCs w:val="21"/>
          <w:spacing w:val="-3"/>
        </w:rPr>
        <w:t>部门或者数据管理员个人发起的，在实施过程中，</w:t>
      </w:r>
      <w:r>
        <w:rPr>
          <w:rFonts w:ascii="SimSun" w:hAnsi="SimSun" w:eastAsia="SimSun" w:cs="SimSun"/>
          <w:sz w:val="21"/>
          <w:szCs w:val="21"/>
        </w:rPr>
        <w:t xml:space="preserve"> </w:t>
      </w:r>
      <w:r>
        <w:rPr>
          <w:rFonts w:ascii="SimSun" w:hAnsi="SimSun" w:eastAsia="SimSun" w:cs="SimSun"/>
          <w:sz w:val="21"/>
          <w:szCs w:val="21"/>
          <w:spacing w:val="1"/>
        </w:rPr>
        <w:t>各业务部门没有给予充分的配合。为了推动云端数据治理规范的执行和落地，在建 </w:t>
      </w:r>
      <w:r>
        <w:rPr>
          <w:rFonts w:ascii="SimSun" w:hAnsi="SimSun" w:eastAsia="SimSun" w:cs="SimSun"/>
          <w:sz w:val="21"/>
          <w:szCs w:val="21"/>
          <w:spacing w:val="-4"/>
        </w:rPr>
        <w:t>立云端数据治理组织架构时，应该考虑由业务部门来主导云端数据治理活动，</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部 </w:t>
      </w:r>
      <w:r>
        <w:rPr>
          <w:rFonts w:ascii="SimSun" w:hAnsi="SimSun" w:eastAsia="SimSun" w:cs="SimSun"/>
          <w:sz w:val="21"/>
          <w:szCs w:val="21"/>
          <w:spacing w:val="-4"/>
        </w:rPr>
        <w:t>门来执行，并且引入相应的考核体系。</w:t>
      </w:r>
    </w:p>
    <w:p>
      <w:pPr>
        <w:ind w:left="289" w:firstLine="440"/>
        <w:spacing w:before="78" w:line="264" w:lineRule="auto"/>
        <w:rPr>
          <w:rFonts w:ascii="SimSun" w:hAnsi="SimSun" w:eastAsia="SimSun" w:cs="SimSun"/>
          <w:sz w:val="21"/>
          <w:szCs w:val="21"/>
        </w:rPr>
      </w:pPr>
      <w:r>
        <w:rPr>
          <w:rFonts w:ascii="SimSun" w:hAnsi="SimSun" w:eastAsia="SimSun" w:cs="SimSun"/>
          <w:sz w:val="21"/>
          <w:szCs w:val="21"/>
          <w:spacing w:val="2"/>
        </w:rPr>
        <w:t>任何云端数据治理方案都应该考虑到云端数据的各种</w:t>
      </w:r>
      <w:r>
        <w:rPr>
          <w:rFonts w:ascii="SimSun" w:hAnsi="SimSun" w:eastAsia="SimSun" w:cs="SimSun"/>
          <w:sz w:val="21"/>
          <w:szCs w:val="21"/>
          <w:spacing w:val="1"/>
        </w:rPr>
        <w:t>特点：数量体量大、种类</w:t>
      </w:r>
      <w:r>
        <w:rPr>
          <w:rFonts w:ascii="SimSun" w:hAnsi="SimSun" w:eastAsia="SimSun" w:cs="SimSun"/>
          <w:sz w:val="21"/>
          <w:szCs w:val="21"/>
        </w:rPr>
        <w:t xml:space="preserve"> </w:t>
      </w:r>
      <w:r>
        <w:rPr>
          <w:rFonts w:ascii="SimSun" w:hAnsi="SimSun" w:eastAsia="SimSun" w:cs="SimSun"/>
          <w:sz w:val="21"/>
          <w:szCs w:val="21"/>
          <w:spacing w:val="3"/>
        </w:rPr>
        <w:t>多、产生速度快、数据来源广以及数据质量不</w:t>
      </w:r>
      <w:r>
        <w:rPr>
          <w:rFonts w:ascii="SimSun" w:hAnsi="SimSun" w:eastAsia="SimSun" w:cs="SimSun"/>
          <w:sz w:val="21"/>
          <w:szCs w:val="21"/>
          <w:spacing w:val="2"/>
        </w:rPr>
        <w:t>可靠等。数据架构团队(数据分析师)</w:t>
      </w:r>
      <w:r>
        <w:rPr>
          <w:rFonts w:ascii="SimSun" w:hAnsi="SimSun" w:eastAsia="SimSun" w:cs="SimSun"/>
          <w:sz w:val="21"/>
          <w:szCs w:val="21"/>
        </w:rPr>
        <w:t xml:space="preserve"> </w:t>
      </w:r>
      <w:r>
        <w:rPr>
          <w:rFonts w:ascii="SimSun" w:hAnsi="SimSun" w:eastAsia="SimSun" w:cs="SimSun"/>
          <w:sz w:val="21"/>
          <w:szCs w:val="21"/>
          <w:spacing w:val="4"/>
        </w:rPr>
        <w:t>要完全识别、定义并分析这些云端数据，必须征询组织的相关方(包括数据及业务</w:t>
      </w:r>
      <w:r>
        <w:rPr>
          <w:rFonts w:ascii="SimSun" w:hAnsi="SimSun" w:eastAsia="SimSun" w:cs="SimSun"/>
          <w:sz w:val="21"/>
          <w:szCs w:val="21"/>
        </w:rPr>
        <w:t xml:space="preserve">  </w:t>
      </w:r>
      <w:r>
        <w:rPr>
          <w:rFonts w:ascii="SimSun" w:hAnsi="SimSun" w:eastAsia="SimSun" w:cs="SimSun"/>
          <w:sz w:val="21"/>
          <w:szCs w:val="21"/>
          <w:spacing w:val="4"/>
        </w:rPr>
        <w:t>流程拥有者)的意见。这样做能保证在方案实施的初期，让包括组织战略制订者、</w:t>
      </w:r>
      <w:r>
        <w:rPr>
          <w:rFonts w:ascii="SimSun" w:hAnsi="SimSun" w:eastAsia="SimSun" w:cs="SimSun"/>
          <w:sz w:val="21"/>
          <w:szCs w:val="21"/>
          <w:spacing w:val="2"/>
        </w:rPr>
        <w:t xml:space="preserve">  </w:t>
      </w:r>
      <w:r>
        <w:rPr>
          <w:rFonts w:ascii="SimSun" w:hAnsi="SimSun" w:eastAsia="SimSun" w:cs="SimSun"/>
          <w:sz w:val="21"/>
          <w:szCs w:val="21"/>
          <w:spacing w:val="-2"/>
        </w:rPr>
        <w:t>业务流程、数据拥有者以及 </w:t>
      </w:r>
      <w:r>
        <w:rPr>
          <w:rFonts w:ascii="Times New Roman" w:hAnsi="Times New Roman" w:eastAsia="Times New Roman" w:cs="Times New Roman"/>
          <w:sz w:val="21"/>
          <w:szCs w:val="21"/>
          <w:spacing w:val="-2"/>
        </w:rPr>
        <w:t>IT  </w:t>
      </w:r>
      <w:r>
        <w:rPr>
          <w:rFonts w:ascii="SimSun" w:hAnsi="SimSun" w:eastAsia="SimSun" w:cs="SimSun"/>
          <w:sz w:val="21"/>
          <w:szCs w:val="21"/>
          <w:spacing w:val="-2"/>
        </w:rPr>
        <w:t>架构专家在内的云端数据治理部门弥补差距和不足，</w:t>
      </w:r>
      <w:r>
        <w:rPr>
          <w:rFonts w:ascii="SimSun" w:hAnsi="SimSun" w:eastAsia="SimSun" w:cs="SimSun"/>
          <w:sz w:val="21"/>
          <w:szCs w:val="21"/>
          <w:spacing w:val="15"/>
        </w:rPr>
        <w:t xml:space="preserve"> </w:t>
      </w:r>
      <w:r>
        <w:rPr>
          <w:rFonts w:ascii="SimSun" w:hAnsi="SimSun" w:eastAsia="SimSun" w:cs="SimSun"/>
          <w:sz w:val="21"/>
          <w:szCs w:val="21"/>
          <w:spacing w:val="-3"/>
        </w:rPr>
        <w:t>从而确保云端数据治理方案的有效实施。</w:t>
      </w:r>
    </w:p>
    <w:p>
      <w:pPr>
        <w:ind w:left="289" w:right="49" w:firstLine="440"/>
        <w:spacing w:before="71" w:line="259" w:lineRule="auto"/>
        <w:rPr>
          <w:rFonts w:ascii="SimSun" w:hAnsi="SimSun" w:eastAsia="SimSun" w:cs="SimSun"/>
          <w:sz w:val="21"/>
          <w:szCs w:val="21"/>
        </w:rPr>
      </w:pPr>
      <w:r>
        <w:rPr>
          <w:rFonts w:ascii="SimSun" w:hAnsi="SimSun" w:eastAsia="SimSun" w:cs="SimSun"/>
          <w:sz w:val="21"/>
          <w:szCs w:val="21"/>
          <w:spacing w:val="2"/>
        </w:rPr>
        <w:t>总体来看，有效推动云端数据治理，亟待解决的不是技术问题，更多</w:t>
      </w:r>
      <w:r>
        <w:rPr>
          <w:rFonts w:ascii="SimSun" w:hAnsi="SimSun" w:eastAsia="SimSun" w:cs="SimSun"/>
          <w:sz w:val="21"/>
          <w:szCs w:val="21"/>
          <w:spacing w:val="1"/>
        </w:rPr>
        <w:t>的是各种</w:t>
      </w:r>
      <w:r>
        <w:rPr>
          <w:rFonts w:ascii="SimSun" w:hAnsi="SimSun" w:eastAsia="SimSun" w:cs="SimSun"/>
          <w:sz w:val="21"/>
          <w:szCs w:val="21"/>
        </w:rPr>
        <w:t xml:space="preserve"> </w:t>
      </w:r>
      <w:r>
        <w:rPr>
          <w:rFonts w:ascii="SimSun" w:hAnsi="SimSun" w:eastAsia="SimSun" w:cs="SimSun"/>
          <w:sz w:val="21"/>
          <w:szCs w:val="21"/>
          <w:spacing w:val="2"/>
        </w:rPr>
        <w:t>管理问题。云端数据治理是一套持续改善管理机</w:t>
      </w:r>
      <w:r>
        <w:rPr>
          <w:rFonts w:ascii="SimSun" w:hAnsi="SimSun" w:eastAsia="SimSun" w:cs="SimSun"/>
          <w:sz w:val="21"/>
          <w:szCs w:val="21"/>
          <w:spacing w:val="1"/>
        </w:rPr>
        <w:t>制，通常包括了数据架构组织、数</w:t>
      </w:r>
      <w:r>
        <w:rPr>
          <w:rFonts w:ascii="SimSun" w:hAnsi="SimSun" w:eastAsia="SimSun" w:cs="SimSun"/>
          <w:sz w:val="21"/>
          <w:szCs w:val="21"/>
        </w:rPr>
        <w:t xml:space="preserve"> </w:t>
      </w:r>
      <w:r>
        <w:rPr>
          <w:rFonts w:ascii="SimSun" w:hAnsi="SimSun" w:eastAsia="SimSun" w:cs="SimSun"/>
          <w:sz w:val="21"/>
          <w:szCs w:val="21"/>
          <w:spacing w:val="2"/>
        </w:rPr>
        <w:t>据模型、政策及体系制订、技术工具、数据标准、</w:t>
      </w:r>
      <w:r>
        <w:rPr>
          <w:rFonts w:ascii="SimSun" w:hAnsi="SimSun" w:eastAsia="SimSun" w:cs="SimSun"/>
          <w:sz w:val="21"/>
          <w:szCs w:val="21"/>
          <w:spacing w:val="1"/>
        </w:rPr>
        <w:t>数据质量、影响度分析、作业流</w:t>
      </w:r>
      <w:r>
        <w:rPr>
          <w:rFonts w:ascii="SimSun" w:hAnsi="SimSun" w:eastAsia="SimSun" w:cs="SimSun"/>
          <w:sz w:val="21"/>
          <w:szCs w:val="21"/>
        </w:rPr>
        <w:t xml:space="preserve"> </w:t>
      </w:r>
      <w:r>
        <w:rPr>
          <w:rFonts w:ascii="SimSun" w:hAnsi="SimSun" w:eastAsia="SimSun" w:cs="SimSun"/>
          <w:sz w:val="21"/>
          <w:szCs w:val="21"/>
          <w:spacing w:val="2"/>
        </w:rPr>
        <w:t>程、监督及考核等内容，建立云端数据治理体系是推</w:t>
      </w:r>
      <w:r>
        <w:rPr>
          <w:rFonts w:ascii="SimSun" w:hAnsi="SimSun" w:eastAsia="SimSun" w:cs="SimSun"/>
          <w:sz w:val="21"/>
          <w:szCs w:val="21"/>
          <w:spacing w:val="1"/>
        </w:rPr>
        <w:t>进云端数据治理实施的重要实</w:t>
      </w:r>
    </w:p>
    <w:p>
      <w:pPr>
        <w:spacing w:line="259" w:lineRule="auto"/>
        <w:sectPr>
          <w:footerReference w:type="default" r:id="rId468"/>
          <w:pgSz w:w="8870" w:h="13400"/>
          <w:pgMar w:top="400" w:right="295" w:bottom="517" w:left="590" w:header="0" w:footer="308" w:gutter="0"/>
        </w:sectPr>
        <w:rPr>
          <w:rFonts w:ascii="SimSun" w:hAnsi="SimSun" w:eastAsia="SimSun" w:cs="SimSun"/>
          <w:sz w:val="21"/>
          <w:szCs w:val="21"/>
        </w:rPr>
      </w:pPr>
    </w:p>
    <w:p>
      <w:pPr>
        <w:ind w:left="5013"/>
        <w:spacing w:before="184" w:line="219" w:lineRule="auto"/>
        <w:rPr>
          <w:rFonts w:ascii="SimSun" w:hAnsi="SimSun" w:eastAsia="SimSun" w:cs="SimSun"/>
          <w:sz w:val="22"/>
          <w:szCs w:val="22"/>
        </w:rPr>
      </w:pPr>
      <w:r>
        <w:rPr>
          <w:rFonts w:ascii="SimSun" w:hAnsi="SimSun" w:eastAsia="SimSun" w:cs="SimSun"/>
          <w:sz w:val="22"/>
          <w:szCs w:val="22"/>
          <w:b/>
          <w:bCs/>
          <w:spacing w:val="2"/>
        </w:rPr>
        <w:t>第10章■云端数据治理体系</w:t>
      </w:r>
    </w:p>
    <w:p>
      <w:pPr>
        <w:ind w:left="10"/>
        <w:spacing w:before="303" w:line="219" w:lineRule="auto"/>
        <w:rPr>
          <w:rFonts w:ascii="SimSun" w:hAnsi="SimSun" w:eastAsia="SimSun" w:cs="SimSun"/>
          <w:sz w:val="22"/>
          <w:szCs w:val="22"/>
        </w:rPr>
      </w:pPr>
      <w:r>
        <w:rPr>
          <w:rFonts w:ascii="SimSun" w:hAnsi="SimSun" w:eastAsia="SimSun" w:cs="SimSun"/>
          <w:sz w:val="22"/>
          <w:szCs w:val="22"/>
          <w:spacing w:val="-17"/>
        </w:rPr>
        <w:t>现途径。</w:t>
      </w:r>
    </w:p>
    <w:p>
      <w:pPr>
        <w:ind w:left="10" w:right="169" w:firstLine="459"/>
        <w:spacing w:before="45" w:line="254" w:lineRule="auto"/>
        <w:jc w:val="both"/>
        <w:rPr>
          <w:rFonts w:ascii="SimSun" w:hAnsi="SimSun" w:eastAsia="SimSun" w:cs="SimSun"/>
          <w:sz w:val="22"/>
          <w:szCs w:val="22"/>
        </w:rPr>
      </w:pPr>
      <w:r>
        <w:rPr>
          <w:rFonts w:ascii="SimSun" w:hAnsi="SimSun" w:eastAsia="SimSun" w:cs="SimSun"/>
          <w:sz w:val="22"/>
          <w:szCs w:val="22"/>
          <w:spacing w:val="-3"/>
        </w:rPr>
        <w:t>实施云端数据治理可通过建立云端数据治理的体系，即围绕云端数据治理的</w:t>
      </w:r>
      <w:r>
        <w:rPr>
          <w:rFonts w:ascii="SimSun" w:hAnsi="SimSun" w:eastAsia="SimSun" w:cs="SimSun"/>
          <w:sz w:val="22"/>
          <w:szCs w:val="22"/>
          <w:spacing w:val="15"/>
        </w:rPr>
        <w:t xml:space="preserve"> </w:t>
      </w:r>
      <w:r>
        <w:rPr>
          <w:rFonts w:ascii="SimSun" w:hAnsi="SimSun" w:eastAsia="SimSun" w:cs="SimSun"/>
          <w:sz w:val="22"/>
          <w:szCs w:val="22"/>
          <w:spacing w:val="-3"/>
        </w:rPr>
        <w:t>过程、所需的准则和方法、过程所需的资源等与实施相关的因素，建立一个完善</w:t>
      </w:r>
      <w:r>
        <w:rPr>
          <w:rFonts w:ascii="SimSun" w:hAnsi="SimSun" w:eastAsia="SimSun" w:cs="SimSun"/>
          <w:sz w:val="22"/>
          <w:szCs w:val="22"/>
          <w:spacing w:val="15"/>
        </w:rPr>
        <w:t xml:space="preserve"> </w:t>
      </w:r>
      <w:r>
        <w:rPr>
          <w:rFonts w:ascii="SimSun" w:hAnsi="SimSun" w:eastAsia="SimSun" w:cs="SimSun"/>
          <w:sz w:val="22"/>
          <w:szCs w:val="22"/>
          <w:spacing w:val="-2"/>
        </w:rPr>
        <w:t>的云端数据治理体系。这个体系包括支撑云端数</w:t>
      </w:r>
      <w:r>
        <w:rPr>
          <w:rFonts w:ascii="SimSun" w:hAnsi="SimSun" w:eastAsia="SimSun" w:cs="SimSun"/>
          <w:sz w:val="22"/>
          <w:szCs w:val="22"/>
          <w:spacing w:val="-3"/>
        </w:rPr>
        <w:t>据治理的战略、各个治理过程的</w:t>
      </w:r>
      <w:r>
        <w:rPr>
          <w:rFonts w:ascii="SimSun" w:hAnsi="SimSun" w:eastAsia="SimSun" w:cs="SimSun"/>
          <w:sz w:val="22"/>
          <w:szCs w:val="22"/>
        </w:rPr>
        <w:t xml:space="preserve"> </w:t>
      </w:r>
      <w:r>
        <w:rPr>
          <w:rFonts w:ascii="SimSun" w:hAnsi="SimSun" w:eastAsia="SimSun" w:cs="SimSun"/>
          <w:sz w:val="22"/>
          <w:szCs w:val="22"/>
          <w:spacing w:val="-3"/>
        </w:rPr>
        <w:t>目标、岗位职责和组织文化、软硬件资源以及过程管理等。实施云端数据治理的</w:t>
      </w:r>
      <w:r>
        <w:rPr>
          <w:rFonts w:ascii="SimSun" w:hAnsi="SimSun" w:eastAsia="SimSun" w:cs="SimSun"/>
          <w:sz w:val="22"/>
          <w:szCs w:val="22"/>
          <w:spacing w:val="1"/>
        </w:rPr>
        <w:t xml:space="preserve"> </w:t>
      </w:r>
      <w:r>
        <w:rPr>
          <w:rFonts w:ascii="SimSun" w:hAnsi="SimSun" w:eastAsia="SimSun" w:cs="SimSun"/>
          <w:sz w:val="22"/>
          <w:szCs w:val="22"/>
          <w:spacing w:val="-3"/>
        </w:rPr>
        <w:t>长期目标是通过云端数据治理，为组织的利益相关者带来价值，实现组织的战略</w:t>
      </w:r>
      <w:r>
        <w:rPr>
          <w:rFonts w:ascii="SimSun" w:hAnsi="SimSun" w:eastAsia="SimSun" w:cs="SimSun"/>
          <w:sz w:val="22"/>
          <w:szCs w:val="22"/>
          <w:spacing w:val="13"/>
        </w:rPr>
        <w:t xml:space="preserve"> </w:t>
      </w:r>
      <w:r>
        <w:rPr>
          <w:rFonts w:ascii="SimSun" w:hAnsi="SimSun" w:eastAsia="SimSun" w:cs="SimSun"/>
          <w:sz w:val="22"/>
          <w:szCs w:val="22"/>
          <w:spacing w:val="-13"/>
        </w:rPr>
        <w:t>发展目标。</w:t>
      </w:r>
    </w:p>
    <w:p>
      <w:pPr>
        <w:pStyle w:val="BodyText"/>
        <w:spacing w:line="404" w:lineRule="auto"/>
        <w:rPr/>
      </w:pPr>
      <w:r/>
    </w:p>
    <w:p>
      <w:pPr>
        <w:ind w:left="14"/>
        <w:spacing w:before="107" w:line="221" w:lineRule="auto"/>
        <w:outlineLvl w:val="3"/>
        <w:rPr>
          <w:rFonts w:ascii="SimHei" w:hAnsi="SimHei" w:eastAsia="SimHei" w:cs="SimHei"/>
          <w:sz w:val="33"/>
          <w:szCs w:val="33"/>
        </w:rPr>
      </w:pPr>
      <w:bookmarkStart w:name="bookmark92" w:id="87"/>
      <w:bookmarkEnd w:id="87"/>
      <w:r>
        <w:rPr>
          <w:rFonts w:ascii="SimHei" w:hAnsi="SimHei" w:eastAsia="SimHei" w:cs="SimHei"/>
          <w:sz w:val="33"/>
          <w:szCs w:val="33"/>
          <w:b/>
          <w:bCs/>
          <w:spacing w:val="-11"/>
        </w:rPr>
        <w:t>10.2</w:t>
      </w:r>
      <w:r>
        <w:rPr>
          <w:rFonts w:ascii="SimHei" w:hAnsi="SimHei" w:eastAsia="SimHei" w:cs="SimHei"/>
          <w:sz w:val="33"/>
          <w:szCs w:val="33"/>
          <w:spacing w:val="46"/>
        </w:rPr>
        <w:t xml:space="preserve">  </w:t>
      </w:r>
      <w:r>
        <w:rPr>
          <w:rFonts w:ascii="SimHei" w:hAnsi="SimHei" w:eastAsia="SimHei" w:cs="SimHei"/>
          <w:sz w:val="33"/>
          <w:szCs w:val="33"/>
          <w:b/>
          <w:bCs/>
          <w:spacing w:val="-11"/>
        </w:rPr>
        <w:t>云端数据治理体系基本框架</w:t>
      </w:r>
    </w:p>
    <w:p>
      <w:pPr>
        <w:pStyle w:val="BodyText"/>
        <w:spacing w:line="327" w:lineRule="auto"/>
        <w:rPr/>
      </w:pPr>
      <w:r/>
    </w:p>
    <w:p>
      <w:pPr>
        <w:ind w:left="10" w:right="77" w:firstLine="459"/>
        <w:spacing w:before="72" w:line="258" w:lineRule="auto"/>
        <w:rPr>
          <w:rFonts w:ascii="SimSun" w:hAnsi="SimSun" w:eastAsia="SimSun" w:cs="SimSun"/>
          <w:sz w:val="22"/>
          <w:szCs w:val="22"/>
        </w:rPr>
      </w:pPr>
      <w:r>
        <w:rPr>
          <w:rFonts w:ascii="SimSun" w:hAnsi="SimSun" w:eastAsia="SimSun" w:cs="SimSun"/>
          <w:sz w:val="22"/>
          <w:szCs w:val="22"/>
          <w:spacing w:val="-3"/>
        </w:rPr>
        <w:t>云端数据治理过程采用“策划</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3"/>
        </w:rPr>
        <w:t>(Plan)   </w:t>
      </w:r>
      <w:r>
        <w:rPr>
          <w:rFonts w:ascii="SimSun" w:hAnsi="SimSun" w:eastAsia="SimSun" w:cs="SimSun"/>
          <w:sz w:val="22"/>
          <w:szCs w:val="22"/>
          <w:spacing w:val="-3"/>
        </w:rPr>
        <w:t>一实施 </w:t>
      </w:r>
      <w:r>
        <w:rPr>
          <w:rFonts w:ascii="Times New Roman" w:hAnsi="Times New Roman" w:eastAsia="Times New Roman" w:cs="Times New Roman"/>
          <w:sz w:val="22"/>
          <w:szCs w:val="22"/>
          <w:spacing w:val="-3"/>
        </w:rPr>
        <w:t>(Do)—   </w:t>
      </w:r>
      <w:r>
        <w:rPr>
          <w:rFonts w:ascii="SimSun" w:hAnsi="SimSun" w:eastAsia="SimSun" w:cs="SimSun"/>
          <w:sz w:val="22"/>
          <w:szCs w:val="22"/>
          <w:spacing w:val="-3"/>
        </w:rPr>
        <w:t>测评 </w:t>
      </w:r>
      <w:r>
        <w:rPr>
          <w:rFonts w:ascii="Times New Roman" w:hAnsi="Times New Roman" w:eastAsia="Times New Roman" w:cs="Times New Roman"/>
          <w:sz w:val="22"/>
          <w:szCs w:val="22"/>
          <w:spacing w:val="-3"/>
        </w:rPr>
        <w:t>(Check)—   </w:t>
      </w:r>
      <w:r>
        <w:rPr>
          <w:rFonts w:ascii="SimSun" w:hAnsi="SimSun" w:eastAsia="SimSun" w:cs="SimSun"/>
          <w:sz w:val="22"/>
          <w:szCs w:val="22"/>
          <w:spacing w:val="-3"/>
        </w:rPr>
        <w:t>处置</w:t>
      </w:r>
      <w:r>
        <w:rPr>
          <w:rFonts w:ascii="SimSun" w:hAnsi="SimSun" w:eastAsia="SimSun" w:cs="SimSun"/>
          <w:sz w:val="22"/>
          <w:szCs w:val="22"/>
        </w:rPr>
        <w:t xml:space="preserve">  </w:t>
      </w:r>
      <w:r>
        <w:rPr>
          <w:rFonts w:ascii="Times New Roman" w:hAnsi="Times New Roman" w:eastAsia="Times New Roman" w:cs="Times New Roman"/>
          <w:sz w:val="22"/>
          <w:szCs w:val="22"/>
          <w:spacing w:val="-7"/>
        </w:rPr>
        <w:t>(Action)”</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的循环作用和持续改进来提高所有过程有效</w:t>
      </w:r>
      <w:r>
        <w:rPr>
          <w:rFonts w:ascii="SimSun" w:hAnsi="SimSun" w:eastAsia="SimSun" w:cs="SimSun"/>
          <w:sz w:val="22"/>
          <w:szCs w:val="22"/>
          <w:spacing w:val="-8"/>
        </w:rPr>
        <w:t>性的 </w:t>
      </w:r>
      <w:r>
        <w:rPr>
          <w:rFonts w:ascii="Times New Roman" w:hAnsi="Times New Roman" w:eastAsia="Times New Roman" w:cs="Times New Roman"/>
          <w:sz w:val="22"/>
          <w:szCs w:val="22"/>
          <w:spacing w:val="-8"/>
        </w:rPr>
        <w:t>PDCA</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方法，并结合借</w:t>
      </w:r>
      <w:r>
        <w:rPr>
          <w:rFonts w:ascii="SimSun" w:hAnsi="SimSun" w:eastAsia="SimSun" w:cs="SimSun"/>
          <w:sz w:val="22"/>
          <w:szCs w:val="22"/>
        </w:rPr>
        <w:t xml:space="preserve">  </w:t>
      </w:r>
      <w:r>
        <w:rPr>
          <w:rFonts w:ascii="SimSun" w:hAnsi="SimSun" w:eastAsia="SimSun" w:cs="SimSun"/>
          <w:sz w:val="22"/>
          <w:szCs w:val="22"/>
          <w:spacing w:val="-12"/>
        </w:rPr>
        <w:t>鉴项目管理、数据治理、</w:t>
      </w:r>
      <w:r>
        <w:rPr>
          <w:rFonts w:ascii="Times New Roman" w:hAnsi="Times New Roman" w:eastAsia="Times New Roman" w:cs="Times New Roman"/>
          <w:sz w:val="22"/>
          <w:szCs w:val="22"/>
          <w:spacing w:val="-12"/>
        </w:rPr>
        <w:t>IT </w:t>
      </w:r>
      <w:r>
        <w:rPr>
          <w:rFonts w:ascii="SimSun" w:hAnsi="SimSun" w:eastAsia="SimSun" w:cs="SimSun"/>
          <w:sz w:val="22"/>
          <w:szCs w:val="22"/>
          <w:spacing w:val="-12"/>
        </w:rPr>
        <w:t>治理等领域的实施方法论，形成云端数据治</w:t>
      </w:r>
      <w:r>
        <w:rPr>
          <w:rFonts w:ascii="SimSun" w:hAnsi="SimSun" w:eastAsia="SimSun" w:cs="SimSun"/>
          <w:sz w:val="22"/>
          <w:szCs w:val="22"/>
          <w:spacing w:val="-13"/>
        </w:rPr>
        <w:t>理管理体系。</w:t>
      </w:r>
      <w:r>
        <w:rPr>
          <w:rFonts w:ascii="SimSun" w:hAnsi="SimSun" w:eastAsia="SimSun" w:cs="SimSun"/>
          <w:sz w:val="22"/>
          <w:szCs w:val="22"/>
        </w:rPr>
        <w:t xml:space="preserve"> </w:t>
      </w:r>
      <w:r>
        <w:rPr>
          <w:rFonts w:ascii="SimSun" w:hAnsi="SimSun" w:eastAsia="SimSun" w:cs="SimSun"/>
          <w:sz w:val="22"/>
          <w:szCs w:val="22"/>
          <w:spacing w:val="-9"/>
        </w:rPr>
        <w:t>其中，</w:t>
      </w:r>
      <w:r>
        <w:rPr>
          <w:rFonts w:ascii="Times New Roman" w:hAnsi="Times New Roman" w:eastAsia="Times New Roman" w:cs="Times New Roman"/>
          <w:sz w:val="22"/>
          <w:szCs w:val="22"/>
          <w:spacing w:val="-9"/>
        </w:rPr>
        <w:t>P</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是统筹和规划，指根据云端数据治理的项目目标，对</w:t>
      </w:r>
      <w:r>
        <w:rPr>
          <w:rFonts w:ascii="SimSun" w:hAnsi="SimSun" w:eastAsia="SimSun" w:cs="SimSun"/>
          <w:sz w:val="22"/>
          <w:szCs w:val="22"/>
          <w:spacing w:val="-10"/>
        </w:rPr>
        <w:t>照业务需求，确定云</w:t>
      </w:r>
      <w:r>
        <w:rPr>
          <w:rFonts w:ascii="SimSun" w:hAnsi="SimSun" w:eastAsia="SimSun" w:cs="SimSun"/>
          <w:sz w:val="22"/>
          <w:szCs w:val="22"/>
        </w:rPr>
        <w:t xml:space="preserve">  </w:t>
      </w:r>
      <w:r>
        <w:rPr>
          <w:rFonts w:ascii="SimSun" w:hAnsi="SimSun" w:eastAsia="SimSun" w:cs="SimSun"/>
          <w:sz w:val="22"/>
          <w:szCs w:val="22"/>
          <w:spacing w:val="-11"/>
        </w:rPr>
        <w:t>端数据治理实施的范围和战略，规划实现目标并确定必要的过程；</w:t>
      </w:r>
      <w:r>
        <w:rPr>
          <w:rFonts w:ascii="Times New Roman" w:hAnsi="Times New Roman" w:eastAsia="Times New Roman" w:cs="Times New Roman"/>
          <w:sz w:val="22"/>
          <w:szCs w:val="22"/>
          <w:spacing w:val="-11"/>
        </w:rPr>
        <w:t>D </w:t>
      </w:r>
      <w:r>
        <w:rPr>
          <w:rFonts w:ascii="SimSun" w:hAnsi="SimSun" w:eastAsia="SimSun" w:cs="SimSun"/>
          <w:sz w:val="22"/>
          <w:szCs w:val="22"/>
          <w:spacing w:val="-11"/>
        </w:rPr>
        <w:t>是构建和运行，</w:t>
      </w:r>
      <w:r>
        <w:rPr>
          <w:rFonts w:ascii="SimSun" w:hAnsi="SimSun" w:eastAsia="SimSun" w:cs="SimSun"/>
          <w:sz w:val="22"/>
          <w:szCs w:val="22"/>
          <w:spacing w:val="11"/>
        </w:rPr>
        <w:t xml:space="preserve"> </w:t>
      </w:r>
      <w:r>
        <w:rPr>
          <w:rFonts w:ascii="SimSun" w:hAnsi="SimSun" w:eastAsia="SimSun" w:cs="SimSun"/>
          <w:sz w:val="22"/>
          <w:szCs w:val="22"/>
          <w:spacing w:val="-13"/>
        </w:rPr>
        <w:t>指在受控条件下，运行云端数据治理的过程；</w:t>
      </w:r>
      <w:r>
        <w:rPr>
          <w:rFonts w:ascii="SimSun" w:hAnsi="SimSun" w:eastAsia="SimSun" w:cs="SimSun"/>
          <w:sz w:val="22"/>
          <w:szCs w:val="22"/>
          <w:spacing w:val="20"/>
        </w:rPr>
        <w:t xml:space="preserve"> </w:t>
      </w:r>
      <w:r>
        <w:rPr>
          <w:rFonts w:ascii="SimSun" w:hAnsi="SimSun" w:eastAsia="SimSun" w:cs="SimSun"/>
          <w:sz w:val="22"/>
          <w:szCs w:val="22"/>
          <w:spacing w:val="-13"/>
        </w:rPr>
        <w:t>C</w:t>
      </w:r>
      <w:r>
        <w:rPr>
          <w:rFonts w:ascii="SimSun" w:hAnsi="SimSun" w:eastAsia="SimSun" w:cs="SimSun"/>
          <w:sz w:val="22"/>
          <w:szCs w:val="22"/>
          <w:spacing w:val="57"/>
        </w:rPr>
        <w:t xml:space="preserve"> </w:t>
      </w:r>
      <w:r>
        <w:rPr>
          <w:rFonts w:ascii="SimSun" w:hAnsi="SimSun" w:eastAsia="SimSun" w:cs="SimSun"/>
          <w:sz w:val="22"/>
          <w:szCs w:val="22"/>
          <w:spacing w:val="-13"/>
        </w:rPr>
        <w:t>是监</w:t>
      </w:r>
      <w:r>
        <w:rPr>
          <w:rFonts w:ascii="SimSun" w:hAnsi="SimSun" w:eastAsia="SimSun" w:cs="SimSun"/>
          <w:sz w:val="22"/>
          <w:szCs w:val="22"/>
          <w:spacing w:val="-14"/>
        </w:rPr>
        <w:t>督和评估，指对云端数据治理</w:t>
      </w:r>
      <w:r>
        <w:rPr>
          <w:rFonts w:ascii="SimSun" w:hAnsi="SimSun" w:eastAsia="SimSun" w:cs="SimSun"/>
          <w:sz w:val="22"/>
          <w:szCs w:val="22"/>
        </w:rPr>
        <w:t xml:space="preserve">  </w:t>
      </w:r>
      <w:r>
        <w:rPr>
          <w:rFonts w:ascii="SimSun" w:hAnsi="SimSun" w:eastAsia="SimSun" w:cs="SimSun"/>
          <w:sz w:val="22"/>
          <w:szCs w:val="22"/>
          <w:spacing w:val="-14"/>
        </w:rPr>
        <w:t>体系进行评估与诊断、监视与测量、审核、考核，并报告结果； A</w:t>
      </w:r>
      <w:r>
        <w:rPr>
          <w:rFonts w:ascii="SimSun" w:hAnsi="SimSun" w:eastAsia="SimSun" w:cs="SimSun"/>
          <w:sz w:val="22"/>
          <w:szCs w:val="22"/>
          <w:spacing w:val="67"/>
        </w:rPr>
        <w:t xml:space="preserve"> </w:t>
      </w:r>
      <w:r>
        <w:rPr>
          <w:rFonts w:ascii="SimSun" w:hAnsi="SimSun" w:eastAsia="SimSun" w:cs="SimSun"/>
          <w:sz w:val="22"/>
          <w:szCs w:val="22"/>
          <w:spacing w:val="-14"/>
        </w:rPr>
        <w:t>是改进和优化，</w:t>
      </w:r>
      <w:r>
        <w:rPr>
          <w:rFonts w:ascii="SimSun" w:hAnsi="SimSun" w:eastAsia="SimSun" w:cs="SimSun"/>
          <w:sz w:val="22"/>
          <w:szCs w:val="22"/>
        </w:rPr>
        <w:t xml:space="preserve">  </w:t>
      </w:r>
      <w:r>
        <w:rPr>
          <w:rFonts w:ascii="SimSun" w:hAnsi="SimSun" w:eastAsia="SimSun" w:cs="SimSun"/>
          <w:sz w:val="22"/>
          <w:szCs w:val="22"/>
          <w:spacing w:val="-8"/>
        </w:rPr>
        <w:t>指采取措施，包括治理审计、绩效考核、纠正措施和预防措施等，以</w:t>
      </w:r>
      <w:r>
        <w:rPr>
          <w:rFonts w:ascii="SimSun" w:hAnsi="SimSun" w:eastAsia="SimSun" w:cs="SimSun"/>
          <w:sz w:val="22"/>
          <w:szCs w:val="22"/>
          <w:spacing w:val="-9"/>
        </w:rPr>
        <w:t>持续改进过程</w:t>
      </w:r>
      <w:r>
        <w:rPr>
          <w:rFonts w:ascii="SimSun" w:hAnsi="SimSun" w:eastAsia="SimSun" w:cs="SimSun"/>
          <w:sz w:val="22"/>
          <w:szCs w:val="22"/>
        </w:rPr>
        <w:t xml:space="preserve">  </w:t>
      </w:r>
      <w:r>
        <w:rPr>
          <w:rFonts w:ascii="SimSun" w:hAnsi="SimSun" w:eastAsia="SimSun" w:cs="SimSun"/>
          <w:sz w:val="22"/>
          <w:szCs w:val="22"/>
          <w:spacing w:val="-7"/>
        </w:rPr>
        <w:t>绩效。组织云端数据治理体系基本框架如图10-1所示。</w:t>
      </w:r>
    </w:p>
    <w:p>
      <w:pPr>
        <w:spacing w:before="71" w:line="2950" w:lineRule="exact"/>
        <w:rPr/>
      </w:pPr>
      <w:r>
        <w:rPr>
          <w:position w:val="-59"/>
        </w:rPr>
        <w:pict>
          <v:group id="_x0000_s492" style="mso-position-vertical-relative:line;mso-position-horizontal-relative:char;width:389.05pt;height:147.55pt;" filled="false" stroked="false" coordsize="7780,2951" coordorigin="0,0">
            <v:shape id="_x0000_s494" style="position:absolute;left:0;top:0;width:7780;height:2951;" filled="false" stroked="false" type="#_x0000_t75">
              <v:imagedata o:title="" r:id="rId470"/>
            </v:shape>
            <v:shape id="_x0000_s496" style="position:absolute;left:6700;top:706;width:919;height:1508;" filled="false" stroked="false" type="#_x0000_t202">
              <v:fill on="false"/>
              <v:stroke on="false"/>
              <v:path/>
              <v:imagedata o:title=""/>
              <o:lock v:ext="edit" aspectratio="false"/>
              <v:textbox inset="0mm,0mm,0mm,0mm">
                <w:txbxContent>
                  <w:p>
                    <w:pPr>
                      <w:ind w:left="230"/>
                      <w:spacing w:before="20" w:line="219" w:lineRule="auto"/>
                      <w:rPr>
                        <w:rFonts w:ascii="SimSun" w:hAnsi="SimSun" w:eastAsia="SimSun" w:cs="SimSun"/>
                        <w:sz w:val="17"/>
                        <w:szCs w:val="17"/>
                      </w:rPr>
                    </w:pPr>
                    <w:r>
                      <w:rPr>
                        <w:rFonts w:ascii="SimSun" w:hAnsi="SimSun" w:eastAsia="SimSun" w:cs="SimSun"/>
                        <w:sz w:val="17"/>
                        <w:szCs w:val="17"/>
                        <w:spacing w:val="15"/>
                      </w:rPr>
                      <w:t>输出</w:t>
                    </w:r>
                  </w:p>
                  <w:p>
                    <w:pPr>
                      <w:ind w:left="20"/>
                      <w:spacing w:before="88" w:line="219" w:lineRule="auto"/>
                      <w:rPr>
                        <w:rFonts w:ascii="SimSun" w:hAnsi="SimSun" w:eastAsia="SimSun" w:cs="SimSun"/>
                        <w:sz w:val="17"/>
                        <w:szCs w:val="17"/>
                      </w:rPr>
                    </w:pPr>
                    <w:r>
                      <w:rPr>
                        <w:rFonts w:ascii="SimSun" w:hAnsi="SimSun" w:eastAsia="SimSun" w:cs="SimSun"/>
                        <w:sz w:val="17"/>
                        <w:szCs w:val="17"/>
                        <w:spacing w:val="-26"/>
                      </w:rPr>
                      <w:t>·数据政策</w:t>
                    </w:r>
                  </w:p>
                  <w:p>
                    <w:pPr>
                      <w:ind w:left="20"/>
                      <w:spacing w:before="8" w:line="219" w:lineRule="auto"/>
                      <w:rPr>
                        <w:rFonts w:ascii="SimSun" w:hAnsi="SimSun" w:eastAsia="SimSun" w:cs="SimSun"/>
                        <w:sz w:val="17"/>
                        <w:szCs w:val="17"/>
                      </w:rPr>
                    </w:pPr>
                    <w:r>
                      <w:rPr>
                        <w:rFonts w:ascii="SimSun" w:hAnsi="SimSun" w:eastAsia="SimSun" w:cs="SimSun"/>
                        <w:sz w:val="17"/>
                        <w:szCs w:val="17"/>
                        <w:spacing w:val="-26"/>
                      </w:rPr>
                      <w:t>·数据标准</w:t>
                    </w:r>
                  </w:p>
                  <w:p>
                    <w:pPr>
                      <w:ind w:left="20" w:right="20"/>
                      <w:spacing w:before="7" w:line="212" w:lineRule="auto"/>
                      <w:rPr>
                        <w:rFonts w:ascii="SimSun" w:hAnsi="SimSun" w:eastAsia="SimSun" w:cs="SimSun"/>
                        <w:sz w:val="17"/>
                        <w:szCs w:val="17"/>
                      </w:rPr>
                    </w:pPr>
                    <w:r>
                      <w:rPr>
                        <w:rFonts w:ascii="SimSun" w:hAnsi="SimSun" w:eastAsia="SimSun" w:cs="SimSun"/>
                        <w:sz w:val="17"/>
                        <w:szCs w:val="17"/>
                        <w:spacing w:val="-24"/>
                      </w:rPr>
                      <w:t>·已解决问题</w:t>
                    </w:r>
                    <w:r>
                      <w:rPr>
                        <w:rFonts w:ascii="SimSun" w:hAnsi="SimSun" w:eastAsia="SimSun" w:cs="SimSun"/>
                        <w:sz w:val="17"/>
                        <w:szCs w:val="17"/>
                        <w:spacing w:val="1"/>
                      </w:rPr>
                      <w:t xml:space="preserve"> </w:t>
                    </w:r>
                    <w:r>
                      <w:rPr>
                        <w:rFonts w:ascii="SimSun" w:hAnsi="SimSun" w:eastAsia="SimSun" w:cs="SimSun"/>
                        <w:sz w:val="17"/>
                        <w:szCs w:val="17"/>
                        <w:spacing w:val="-26"/>
                      </w:rPr>
                      <w:t>·数据管理</w:t>
                    </w:r>
                  </w:p>
                  <w:p>
                    <w:pPr>
                      <w:ind w:left="20"/>
                      <w:spacing w:line="215" w:lineRule="auto"/>
                      <w:rPr>
                        <w:rFonts w:ascii="SimSun" w:hAnsi="SimSun" w:eastAsia="SimSun" w:cs="SimSun"/>
                        <w:sz w:val="17"/>
                        <w:szCs w:val="17"/>
                      </w:rPr>
                    </w:pPr>
                    <w:r>
                      <w:rPr>
                        <w:rFonts w:ascii="SimSun" w:hAnsi="SimSun" w:eastAsia="SimSun" w:cs="SimSun"/>
                        <w:sz w:val="17"/>
                        <w:szCs w:val="17"/>
                        <w:spacing w:val="-25"/>
                      </w:rPr>
                      <w:t>·质量数</w:t>
                    </w:r>
                  </w:p>
                  <w:p>
                    <w:pPr>
                      <w:ind w:left="20"/>
                      <w:spacing w:before="1" w:line="217" w:lineRule="auto"/>
                      <w:rPr>
                        <w:rFonts w:ascii="SimSun" w:hAnsi="SimSun" w:eastAsia="SimSun" w:cs="SimSun"/>
                        <w:sz w:val="17"/>
                        <w:szCs w:val="17"/>
                      </w:rPr>
                    </w:pPr>
                    <w:r>
                      <w:rPr>
                        <w:rFonts w:ascii="SimSun" w:hAnsi="SimSun" w:eastAsia="SimSun" w:cs="SimSun"/>
                        <w:sz w:val="17"/>
                        <w:szCs w:val="17"/>
                        <w:spacing w:val="-31"/>
                      </w:rPr>
                      <w:t>·数据价值</w:t>
                    </w:r>
                  </w:p>
                </w:txbxContent>
              </v:textbox>
            </v:shape>
            <v:shape id="_x0000_s498" style="position:absolute;left:300;top:636;width:728;height:1690;" filled="false" stroked="false" type="#_x0000_t202">
              <v:fill on="false"/>
              <v:stroke on="false"/>
              <v:path/>
              <v:imagedata o:title=""/>
              <o:lock v:ext="edit" aspectratio="false"/>
              <v:textbox inset="0mm,0mm,0mm,0mm">
                <w:txbxContent>
                  <w:p>
                    <w:pPr>
                      <w:ind w:left="169"/>
                      <w:spacing w:before="20" w:line="219" w:lineRule="auto"/>
                      <w:rPr>
                        <w:rFonts w:ascii="SimSun" w:hAnsi="SimSun" w:eastAsia="SimSun" w:cs="SimSun"/>
                        <w:sz w:val="17"/>
                        <w:szCs w:val="17"/>
                      </w:rPr>
                    </w:pPr>
                    <w:r>
                      <w:rPr>
                        <w:rFonts w:ascii="SimSun" w:hAnsi="SimSun" w:eastAsia="SimSun" w:cs="SimSun"/>
                        <w:sz w:val="17"/>
                        <w:szCs w:val="17"/>
                        <w:spacing w:val="-2"/>
                      </w:rPr>
                      <w:t>输入</w:t>
                    </w:r>
                  </w:p>
                  <w:p>
                    <w:pPr>
                      <w:ind w:left="20" w:right="20"/>
                      <w:spacing w:before="68" w:line="219" w:lineRule="auto"/>
                      <w:jc w:val="both"/>
                      <w:rPr>
                        <w:rFonts w:ascii="SimSun" w:hAnsi="SimSun" w:eastAsia="SimSun" w:cs="SimSun"/>
                        <w:sz w:val="17"/>
                        <w:szCs w:val="17"/>
                      </w:rPr>
                    </w:pPr>
                    <w:r>
                      <w:rPr>
                        <w:rFonts w:ascii="SimSun" w:hAnsi="SimSun" w:eastAsia="SimSun" w:cs="SimSun"/>
                        <w:sz w:val="17"/>
                        <w:szCs w:val="17"/>
                        <w:spacing w:val="-34"/>
                      </w:rPr>
                      <w:t>·业务目</w:t>
                    </w:r>
                    <w:r>
                      <w:rPr>
                        <w:rFonts w:ascii="SimSun" w:hAnsi="SimSun" w:eastAsia="SimSun" w:cs="SimSun"/>
                        <w:sz w:val="17"/>
                        <w:szCs w:val="17"/>
                        <w:spacing w:val="-29"/>
                      </w:rPr>
                      <w:t>标</w:t>
                    </w:r>
                    <w:r>
                      <w:rPr>
                        <w:rFonts w:ascii="SimSun" w:hAnsi="SimSun" w:eastAsia="SimSun" w:cs="SimSun"/>
                        <w:sz w:val="17"/>
                        <w:szCs w:val="17"/>
                      </w:rPr>
                      <w:t xml:space="preserve"> </w:t>
                    </w:r>
                    <w:r>
                      <w:rPr>
                        <w:rFonts w:ascii="SimSun" w:hAnsi="SimSun" w:eastAsia="SimSun" w:cs="SimSun"/>
                        <w:sz w:val="17"/>
                        <w:szCs w:val="17"/>
                        <w:spacing w:val="-34"/>
                      </w:rPr>
                      <w:t>·业务战</w:t>
                    </w:r>
                    <w:r>
                      <w:rPr>
                        <w:rFonts w:ascii="SimSun" w:hAnsi="SimSun" w:eastAsia="SimSun" w:cs="SimSun"/>
                        <w:sz w:val="17"/>
                        <w:szCs w:val="17"/>
                        <w:spacing w:val="-29"/>
                      </w:rPr>
                      <w:t>略</w:t>
                    </w:r>
                    <w:r>
                      <w:rPr>
                        <w:rFonts w:ascii="SimSun" w:hAnsi="SimSun" w:eastAsia="SimSun" w:cs="SimSun"/>
                        <w:sz w:val="17"/>
                        <w:szCs w:val="17"/>
                      </w:rPr>
                      <w:t xml:space="preserve"> </w:t>
                    </w:r>
                    <w:r>
                      <w:rPr>
                        <w:rFonts w:ascii="SimSun" w:hAnsi="SimSun" w:eastAsia="SimSun" w:cs="SimSun"/>
                        <w:sz w:val="17"/>
                        <w:szCs w:val="17"/>
                        <w:spacing w:val="-34"/>
                      </w:rPr>
                      <w:t>·治理目</w:t>
                    </w:r>
                    <w:r>
                      <w:rPr>
                        <w:rFonts w:ascii="SimSun" w:hAnsi="SimSun" w:eastAsia="SimSun" w:cs="SimSun"/>
                        <w:sz w:val="17"/>
                        <w:szCs w:val="17"/>
                        <w:spacing w:val="-29"/>
                      </w:rPr>
                      <w:t>标</w:t>
                    </w:r>
                    <w:r>
                      <w:rPr>
                        <w:rFonts w:ascii="SimSun" w:hAnsi="SimSun" w:eastAsia="SimSun" w:cs="SimSun"/>
                        <w:sz w:val="17"/>
                        <w:szCs w:val="17"/>
                      </w:rPr>
                      <w:t xml:space="preserve"> </w:t>
                    </w:r>
                    <w:r>
                      <w:rPr>
                        <w:rFonts w:ascii="SimSun" w:hAnsi="SimSun" w:eastAsia="SimSun" w:cs="SimSun"/>
                        <w:sz w:val="17"/>
                        <w:szCs w:val="17"/>
                        <w:spacing w:val="-34"/>
                      </w:rPr>
                      <w:t>·治理战</w:t>
                    </w:r>
                    <w:r>
                      <w:rPr>
                        <w:rFonts w:ascii="SimSun" w:hAnsi="SimSun" w:eastAsia="SimSun" w:cs="SimSun"/>
                        <w:sz w:val="17"/>
                        <w:szCs w:val="17"/>
                        <w:spacing w:val="-29"/>
                      </w:rPr>
                      <w:t>略</w:t>
                    </w:r>
                    <w:r>
                      <w:rPr>
                        <w:rFonts w:ascii="SimSun" w:hAnsi="SimSun" w:eastAsia="SimSun" w:cs="SimSun"/>
                        <w:sz w:val="17"/>
                        <w:szCs w:val="17"/>
                      </w:rPr>
                      <w:t xml:space="preserve"> </w:t>
                    </w:r>
                    <w:r>
                      <w:rPr>
                        <w:rFonts w:ascii="SimSun" w:hAnsi="SimSun" w:eastAsia="SimSun" w:cs="SimSun"/>
                        <w:sz w:val="17"/>
                        <w:szCs w:val="17"/>
                        <w:spacing w:val="-34"/>
                      </w:rPr>
                      <w:t>·数据需</w:t>
                    </w:r>
                    <w:r>
                      <w:rPr>
                        <w:rFonts w:ascii="SimSun" w:hAnsi="SimSun" w:eastAsia="SimSun" w:cs="SimSun"/>
                        <w:sz w:val="17"/>
                        <w:szCs w:val="17"/>
                        <w:spacing w:val="-29"/>
                      </w:rPr>
                      <w:t>求</w:t>
                    </w:r>
                    <w:r>
                      <w:rPr>
                        <w:rFonts w:ascii="SimSun" w:hAnsi="SimSun" w:eastAsia="SimSun" w:cs="SimSun"/>
                        <w:sz w:val="17"/>
                        <w:szCs w:val="17"/>
                      </w:rPr>
                      <w:t xml:space="preserve"> </w:t>
                    </w:r>
                    <w:r>
                      <w:rPr>
                        <w:rFonts w:ascii="SimSun" w:hAnsi="SimSun" w:eastAsia="SimSun" w:cs="SimSun"/>
                        <w:sz w:val="17"/>
                        <w:szCs w:val="17"/>
                        <w:spacing w:val="-34"/>
                      </w:rPr>
                      <w:t>·数据问</w:t>
                    </w:r>
                    <w:r>
                      <w:rPr>
                        <w:rFonts w:ascii="SimSun" w:hAnsi="SimSun" w:eastAsia="SimSun" w:cs="SimSun"/>
                        <w:sz w:val="17"/>
                        <w:szCs w:val="17"/>
                        <w:spacing w:val="-29"/>
                      </w:rPr>
                      <w:t>题</w:t>
                    </w:r>
                    <w:r>
                      <w:rPr>
                        <w:rFonts w:ascii="SimSun" w:hAnsi="SimSun" w:eastAsia="SimSun" w:cs="SimSun"/>
                        <w:sz w:val="17"/>
                        <w:szCs w:val="17"/>
                        <w:spacing w:val="1"/>
                      </w:rPr>
                      <w:t xml:space="preserve"> </w:t>
                    </w:r>
                    <w:r>
                      <w:rPr>
                        <w:rFonts w:ascii="SimSun" w:hAnsi="SimSun" w:eastAsia="SimSun" w:cs="SimSun"/>
                        <w:sz w:val="17"/>
                        <w:szCs w:val="17"/>
                        <w:spacing w:val="-34"/>
                      </w:rPr>
                      <w:t>·监管需</w:t>
                    </w:r>
                    <w:r>
                      <w:rPr>
                        <w:rFonts w:ascii="SimSun" w:hAnsi="SimSun" w:eastAsia="SimSun" w:cs="SimSun"/>
                        <w:sz w:val="17"/>
                        <w:szCs w:val="17"/>
                        <w:spacing w:val="-29"/>
                      </w:rPr>
                      <w:t>求</w:t>
                    </w:r>
                  </w:p>
                </w:txbxContent>
              </v:textbox>
            </v:shape>
            <v:shape id="_x0000_s500" style="position:absolute;left:4470;top:1156;width:1088;height:809;" filled="false" stroked="false" type="#_x0000_t202">
              <v:fill on="false"/>
              <v:stroke on="false"/>
              <v:path/>
              <v:imagedata o:title=""/>
              <o:lock v:ext="edit" aspectratio="false"/>
              <v:textbox inset="0mm,0mm,0mm,0mm">
                <w:txbxContent>
                  <w:p>
                    <w:pPr>
                      <w:ind w:left="288" w:right="20" w:hanging="269"/>
                      <w:spacing w:before="20" w:line="217" w:lineRule="auto"/>
                      <w:rPr>
                        <w:rFonts w:ascii="SimSun" w:hAnsi="SimSun" w:eastAsia="SimSun" w:cs="SimSun"/>
                        <w:sz w:val="17"/>
                        <w:szCs w:val="17"/>
                      </w:rPr>
                    </w:pPr>
                    <w:r>
                      <w:rPr>
                        <w:rFonts w:ascii="Times New Roman" w:hAnsi="Times New Roman" w:eastAsia="Times New Roman" w:cs="Times New Roman"/>
                        <w:sz w:val="17"/>
                        <w:szCs w:val="17"/>
                        <w:spacing w:val="-2"/>
                      </w:rPr>
                      <w:t>A  </w:t>
                    </w:r>
                    <w:r>
                      <w:rPr>
                        <w:rFonts w:ascii="SimSun" w:hAnsi="SimSun" w:eastAsia="SimSun" w:cs="SimSun"/>
                        <w:sz w:val="17"/>
                        <w:szCs w:val="17"/>
                        <w:spacing w:val="-2"/>
                      </w:rPr>
                      <w:t>改进和优化</w:t>
                    </w:r>
                    <w:r>
                      <w:rPr>
                        <w:rFonts w:ascii="SimSun" w:hAnsi="SimSun" w:eastAsia="SimSun" w:cs="SimSun"/>
                        <w:sz w:val="17"/>
                        <w:szCs w:val="17"/>
                        <w:spacing w:val="4"/>
                      </w:rPr>
                      <w:t xml:space="preserve"> </w:t>
                    </w:r>
                    <w:r>
                      <w:rPr>
                        <w:rFonts w:ascii="SimSun" w:hAnsi="SimSun" w:eastAsia="SimSun" w:cs="SimSun"/>
                        <w:sz w:val="17"/>
                        <w:szCs w:val="17"/>
                        <w:spacing w:val="-35"/>
                      </w:rPr>
                      <w:t>·合规管理</w:t>
                    </w:r>
                    <w:r>
                      <w:rPr>
                        <w:rFonts w:ascii="SimSun" w:hAnsi="SimSun" w:eastAsia="SimSun" w:cs="SimSun"/>
                        <w:sz w:val="17"/>
                        <w:szCs w:val="17"/>
                      </w:rPr>
                      <w:t xml:space="preserve">  </w:t>
                    </w:r>
                    <w:r>
                      <w:rPr>
                        <w:rFonts w:ascii="SimSun" w:hAnsi="SimSun" w:eastAsia="SimSun" w:cs="SimSun"/>
                        <w:sz w:val="17"/>
                        <w:szCs w:val="17"/>
                        <w:spacing w:val="-31"/>
                      </w:rPr>
                      <w:t>·治理审计</w:t>
                    </w:r>
                    <w:r>
                      <w:rPr>
                        <w:rFonts w:ascii="SimSun" w:hAnsi="SimSun" w:eastAsia="SimSun" w:cs="SimSun"/>
                        <w:sz w:val="17"/>
                        <w:szCs w:val="17"/>
                      </w:rPr>
                      <w:t xml:space="preserve">  </w:t>
                    </w:r>
                    <w:r>
                      <w:rPr>
                        <w:rFonts w:ascii="SimSun" w:hAnsi="SimSun" w:eastAsia="SimSun" w:cs="SimSun"/>
                        <w:sz w:val="17"/>
                        <w:szCs w:val="17"/>
                        <w:spacing w:val="-24"/>
                      </w:rPr>
                      <w:t>·绩效评估</w:t>
                    </w:r>
                  </w:p>
                </w:txbxContent>
              </v:textbox>
            </v:shape>
            <v:shape id="_x0000_s502" style="position:absolute;left:3220;top:2095;width:1113;height:651;" filled="false" stroked="false" type="#_x0000_t202">
              <v:fill on="false"/>
              <v:stroke on="false"/>
              <v:path/>
              <v:imagedata o:title=""/>
              <o:lock v:ext="edit" aspectratio="false"/>
              <v:textbox inset="0mm,0mm,0mm,0mm">
                <w:txbxContent>
                  <w:p>
                    <w:pPr>
                      <w:ind w:left="318" w:right="20" w:hanging="299"/>
                      <w:spacing w:before="19" w:line="233" w:lineRule="auto"/>
                      <w:rPr>
                        <w:rFonts w:ascii="SimSun" w:hAnsi="SimSun" w:eastAsia="SimSun" w:cs="SimSun"/>
                        <w:sz w:val="17"/>
                        <w:szCs w:val="17"/>
                      </w:rPr>
                    </w:pPr>
                    <w:r>
                      <w:rPr>
                        <w:rFonts w:ascii="Times New Roman" w:hAnsi="Times New Roman" w:eastAsia="Times New Roman" w:cs="Times New Roman"/>
                        <w:sz w:val="17"/>
                        <w:szCs w:val="17"/>
                        <w:spacing w:val="-3"/>
                      </w:rPr>
                      <w:t>C</w:t>
                    </w:r>
                    <w:r>
                      <w:rPr>
                        <w:rFonts w:ascii="Times New Roman" w:hAnsi="Times New Roman" w:eastAsia="Times New Roman" w:cs="Times New Roman"/>
                        <w:sz w:val="17"/>
                        <w:szCs w:val="17"/>
                        <w:spacing w:val="20"/>
                        <w:w w:val="101"/>
                      </w:rPr>
                      <w:t xml:space="preserve">  </w:t>
                    </w:r>
                    <w:r>
                      <w:rPr>
                        <w:rFonts w:ascii="SimSun" w:hAnsi="SimSun" w:eastAsia="SimSun" w:cs="SimSun"/>
                        <w:sz w:val="17"/>
                        <w:szCs w:val="17"/>
                        <w:spacing w:val="-3"/>
                      </w:rPr>
                      <w:t>监督和评估</w:t>
                    </w:r>
                    <w:r>
                      <w:rPr>
                        <w:rFonts w:ascii="SimSun" w:hAnsi="SimSun" w:eastAsia="SimSun" w:cs="SimSun"/>
                        <w:sz w:val="17"/>
                        <w:szCs w:val="17"/>
                      </w:rPr>
                      <w:t xml:space="preserve"> </w:t>
                    </w:r>
                    <w:r>
                      <w:rPr>
                        <w:rFonts w:ascii="SimSun" w:hAnsi="SimSun" w:eastAsia="SimSun" w:cs="SimSun"/>
                        <w:sz w:val="17"/>
                        <w:szCs w:val="17"/>
                        <w:spacing w:val="-29"/>
                      </w:rPr>
                      <w:t>·改进措施</w:t>
                    </w:r>
                    <w:r>
                      <w:rPr>
                        <w:rFonts w:ascii="SimSun" w:hAnsi="SimSun" w:eastAsia="SimSun" w:cs="SimSun"/>
                        <w:sz w:val="17"/>
                        <w:szCs w:val="17"/>
                      </w:rPr>
                      <w:t xml:space="preserve">  </w:t>
                    </w:r>
                    <w:r>
                      <w:rPr>
                        <w:rFonts w:ascii="SimSun" w:hAnsi="SimSun" w:eastAsia="SimSun" w:cs="SimSun"/>
                        <w:sz w:val="17"/>
                        <w:szCs w:val="17"/>
                        <w:spacing w:val="-25"/>
                      </w:rPr>
                      <w:t>·改进计划</w:t>
                    </w:r>
                  </w:p>
                </w:txbxContent>
              </v:textbox>
            </v:shape>
            <v:shape id="_x0000_s504" style="position:absolute;left:2010;top:1156;width:1103;height:610;" filled="false" stroked="false" type="#_x0000_t202">
              <v:fill on="false"/>
              <v:stroke on="false"/>
              <v:path/>
              <v:imagedata o:title=""/>
              <o:lock v:ext="edit" aspectratio="false"/>
              <v:textbox inset="0mm,0mm,0mm,0mm">
                <w:txbxContent>
                  <w:p>
                    <w:pPr>
                      <w:ind w:left="238" w:right="20" w:hanging="219"/>
                      <w:spacing w:before="21" w:line="218" w:lineRule="auto"/>
                      <w:rPr>
                        <w:rFonts w:ascii="SimSun" w:hAnsi="SimSun" w:eastAsia="SimSun" w:cs="SimSun"/>
                        <w:sz w:val="17"/>
                        <w:szCs w:val="17"/>
                      </w:rPr>
                    </w:pPr>
                    <w:r>
                      <w:rPr>
                        <w:rFonts w:ascii="Times New Roman" w:hAnsi="Times New Roman" w:eastAsia="Times New Roman" w:cs="Times New Roman"/>
                        <w:sz w:val="17"/>
                        <w:szCs w:val="17"/>
                        <w:spacing w:val="1"/>
                      </w:rPr>
                      <w:t>P</w:t>
                    </w:r>
                    <w:r>
                      <w:rPr>
                        <w:rFonts w:ascii="Times New Roman" w:hAnsi="Times New Roman" w:eastAsia="Times New Roman" w:cs="Times New Roman"/>
                        <w:sz w:val="17"/>
                        <w:szCs w:val="17"/>
                        <w:spacing w:val="12"/>
                        <w:w w:val="102"/>
                      </w:rPr>
                      <w:t xml:space="preserve">  </w:t>
                    </w:r>
                    <w:r>
                      <w:rPr>
                        <w:rFonts w:ascii="SimSun" w:hAnsi="SimSun" w:eastAsia="SimSun" w:cs="SimSun"/>
                        <w:sz w:val="17"/>
                        <w:szCs w:val="17"/>
                        <w:spacing w:val="1"/>
                      </w:rPr>
                      <w:t>统筹和规划</w:t>
                    </w:r>
                    <w:r>
                      <w:rPr>
                        <w:rFonts w:ascii="SimSun" w:hAnsi="SimSun" w:eastAsia="SimSun" w:cs="SimSun"/>
                        <w:sz w:val="17"/>
                        <w:szCs w:val="17"/>
                      </w:rPr>
                      <w:t xml:space="preserve"> </w:t>
                    </w:r>
                    <w:r>
                      <w:rPr>
                        <w:rFonts w:ascii="SimSun" w:hAnsi="SimSun" w:eastAsia="SimSun" w:cs="SimSun"/>
                        <w:sz w:val="17"/>
                        <w:szCs w:val="17"/>
                        <w:spacing w:val="-27"/>
                      </w:rPr>
                      <w:t>·差距分析</w:t>
                    </w:r>
                    <w:r>
                      <w:rPr>
                        <w:rFonts w:ascii="SimSun" w:hAnsi="SimSun" w:eastAsia="SimSun" w:cs="SimSun"/>
                        <w:sz w:val="17"/>
                        <w:szCs w:val="17"/>
                      </w:rPr>
                      <w:t xml:space="preserve">  </w:t>
                    </w:r>
                    <w:r>
                      <w:rPr>
                        <w:rFonts w:ascii="SimSun" w:hAnsi="SimSun" w:eastAsia="SimSun" w:cs="SimSun"/>
                        <w:sz w:val="17"/>
                        <w:szCs w:val="17"/>
                        <w:spacing w:val="-26"/>
                      </w:rPr>
                      <w:t>·确定范围</w:t>
                    </w:r>
                  </w:p>
                </w:txbxContent>
              </v:textbox>
            </v:shape>
            <v:shape id="_x0000_s506" style="position:absolute;left:3260;top:317;width:1170;height:450;" filled="false" stroked="false" type="#_x0000_t202">
              <v:fill on="false"/>
              <v:stroke on="false"/>
              <v:path/>
              <v:imagedata o:title=""/>
              <o:lock v:ext="edit" aspectratio="false"/>
              <v:textbox inset="0mm,0mm,0mm,0mm">
                <w:txbxContent>
                  <w:p>
                    <w:pPr>
                      <w:ind w:left="140" w:right="20" w:hanging="120"/>
                      <w:spacing w:before="19"/>
                      <w:rPr>
                        <w:rFonts w:ascii="SimSun" w:hAnsi="SimSun" w:eastAsia="SimSun" w:cs="SimSun"/>
                        <w:sz w:val="17"/>
                        <w:szCs w:val="17"/>
                      </w:rPr>
                    </w:pPr>
                    <w:r>
                      <w:rPr>
                        <w:rFonts w:ascii="Times New Roman" w:hAnsi="Times New Roman" w:eastAsia="Times New Roman" w:cs="Times New Roman"/>
                        <w:sz w:val="17"/>
                        <w:szCs w:val="17"/>
                        <w:spacing w:val="4"/>
                      </w:rPr>
                      <w:t>D</w:t>
                    </w:r>
                    <w:r>
                      <w:rPr>
                        <w:rFonts w:ascii="Times New Roman" w:hAnsi="Times New Roman" w:eastAsia="Times New Roman" w:cs="Times New Roman"/>
                        <w:sz w:val="17"/>
                        <w:szCs w:val="17"/>
                        <w:spacing w:val="38"/>
                      </w:rPr>
                      <w:t xml:space="preserve"> </w:t>
                    </w:r>
                    <w:r>
                      <w:rPr>
                        <w:rFonts w:ascii="SimSun" w:hAnsi="SimSun" w:eastAsia="SimSun" w:cs="SimSun"/>
                        <w:sz w:val="17"/>
                        <w:szCs w:val="17"/>
                        <w:spacing w:val="4"/>
                      </w:rPr>
                      <w:t>构建和运行</w:t>
                    </w:r>
                    <w:r>
                      <w:rPr>
                        <w:rFonts w:ascii="SimSun" w:hAnsi="SimSun" w:eastAsia="SimSun" w:cs="SimSun"/>
                        <w:sz w:val="17"/>
                        <w:szCs w:val="17"/>
                      </w:rPr>
                      <w:t xml:space="preserve"> </w:t>
                    </w:r>
                    <w:r>
                      <w:rPr>
                        <w:rFonts w:ascii="SimSun" w:hAnsi="SimSun" w:eastAsia="SimSun" w:cs="SimSun"/>
                        <w:sz w:val="17"/>
                        <w:szCs w:val="17"/>
                        <w:spacing w:val="-26"/>
                      </w:rPr>
                      <w:t>·数据治理项目</w:t>
                    </w:r>
                  </w:p>
                </w:txbxContent>
              </v:textbox>
            </v:shape>
            <v:shape id="_x0000_s508" style="position:absolute;left:2230;top:1767;width:1178;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31"/>
                      </w:rPr>
                      <w:t>·制定目标</w:t>
                    </w:r>
                    <w:r>
                      <w:rPr>
                        <w:rFonts w:ascii="SimSun" w:hAnsi="SimSun" w:eastAsia="SimSun" w:cs="SimSun"/>
                        <w:sz w:val="17"/>
                        <w:szCs w:val="17"/>
                        <w:spacing w:val="-30"/>
                      </w:rPr>
                      <w:t>和方</w:t>
                    </w:r>
                    <w:r>
                      <w:rPr>
                        <w:rFonts w:ascii="SimSun" w:hAnsi="SimSun" w:eastAsia="SimSun" w:cs="SimSun"/>
                        <w:sz w:val="17"/>
                        <w:szCs w:val="17"/>
                        <w:spacing w:val="-9"/>
                      </w:rPr>
                      <w:t>案</w:t>
                    </w:r>
                  </w:p>
                </w:txbxContent>
              </v:textbox>
            </v:shape>
            <v:shape id="_x0000_s510" style="position:absolute;left:3710;top:1387;width:33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22"/>
                        <w:w w:val="95"/>
                      </w:rPr>
                      <w:t>领</w:t>
                    </w:r>
                    <w:r>
                      <w:rPr>
                        <w:rFonts w:ascii="SimSun" w:hAnsi="SimSun" w:eastAsia="SimSun" w:cs="SimSun"/>
                        <w:sz w:val="17"/>
                        <w:szCs w:val="17"/>
                        <w:spacing w:val="-12"/>
                        <w:w w:val="95"/>
                      </w:rPr>
                      <w:t>导</w:t>
                    </w:r>
                  </w:p>
                </w:txbxContent>
              </v:textbox>
            </v:shape>
          </v:group>
        </w:pict>
      </w:r>
    </w:p>
    <w:p>
      <w:pPr>
        <w:ind w:left="2252"/>
        <w:spacing w:before="183" w:line="221" w:lineRule="auto"/>
        <w:rPr>
          <w:rFonts w:ascii="SimHei" w:hAnsi="SimHei" w:eastAsia="SimHei" w:cs="SimHei"/>
          <w:sz w:val="17"/>
          <w:szCs w:val="17"/>
        </w:rPr>
      </w:pPr>
      <w:r>
        <w:rPr>
          <w:rFonts w:ascii="SimHei" w:hAnsi="SimHei" w:eastAsia="SimHei" w:cs="SimHei"/>
          <w:sz w:val="17"/>
          <w:szCs w:val="17"/>
          <w:b/>
          <w:bCs/>
          <w:spacing w:val="8"/>
        </w:rPr>
        <w:t>图10-</w:t>
      </w:r>
      <w:r>
        <w:rPr>
          <w:rFonts w:ascii="SimHei" w:hAnsi="SimHei" w:eastAsia="SimHei" w:cs="SimHei"/>
          <w:sz w:val="17"/>
          <w:szCs w:val="17"/>
          <w:spacing w:val="-40"/>
        </w:rPr>
        <w:t xml:space="preserve"> </w:t>
      </w:r>
      <w:r>
        <w:rPr>
          <w:rFonts w:ascii="SimHei" w:hAnsi="SimHei" w:eastAsia="SimHei" w:cs="SimHei"/>
          <w:sz w:val="17"/>
          <w:szCs w:val="17"/>
          <w:b/>
          <w:bCs/>
          <w:spacing w:val="8"/>
        </w:rPr>
        <w:t>1</w:t>
      </w:r>
      <w:r>
        <w:rPr>
          <w:rFonts w:ascii="SimHei" w:hAnsi="SimHei" w:eastAsia="SimHei" w:cs="SimHei"/>
          <w:sz w:val="17"/>
          <w:szCs w:val="17"/>
          <w:spacing w:val="76"/>
        </w:rPr>
        <w:t xml:space="preserve"> </w:t>
      </w:r>
      <w:r>
        <w:rPr>
          <w:rFonts w:ascii="SimHei" w:hAnsi="SimHei" w:eastAsia="SimHei" w:cs="SimHei"/>
          <w:sz w:val="17"/>
          <w:szCs w:val="17"/>
          <w:b/>
          <w:bCs/>
          <w:spacing w:val="8"/>
        </w:rPr>
        <w:t>组织云端数据治理体系基本框架</w:t>
      </w:r>
    </w:p>
    <w:p>
      <w:pPr>
        <w:ind w:left="10" w:right="176" w:firstLine="459"/>
        <w:spacing w:before="222" w:line="250" w:lineRule="auto"/>
        <w:jc w:val="both"/>
        <w:rPr>
          <w:rFonts w:ascii="SimSun" w:hAnsi="SimSun" w:eastAsia="SimSun" w:cs="SimSun"/>
          <w:sz w:val="22"/>
          <w:szCs w:val="22"/>
        </w:rPr>
      </w:pPr>
      <w:r>
        <w:rPr>
          <w:rFonts w:ascii="SimSun" w:hAnsi="SimSun" w:eastAsia="SimSun" w:cs="SimSun"/>
          <w:sz w:val="22"/>
          <w:szCs w:val="22"/>
          <w:spacing w:val="-9"/>
        </w:rPr>
        <w:t>为使组织的云端数据治理体系有效运行，须确定和管理众多相互</w:t>
      </w:r>
      <w:r>
        <w:rPr>
          <w:rFonts w:ascii="SimSun" w:hAnsi="SimSun" w:eastAsia="SimSun" w:cs="SimSun"/>
          <w:sz w:val="22"/>
          <w:szCs w:val="22"/>
          <w:spacing w:val="-10"/>
        </w:rPr>
        <w:t>关联的活动。</w:t>
      </w:r>
      <w:r>
        <w:rPr>
          <w:rFonts w:ascii="SimSun" w:hAnsi="SimSun" w:eastAsia="SimSun" w:cs="SimSun"/>
          <w:sz w:val="22"/>
          <w:szCs w:val="22"/>
        </w:rPr>
        <w:t xml:space="preserve"> </w:t>
      </w:r>
      <w:r>
        <w:rPr>
          <w:rFonts w:ascii="SimSun" w:hAnsi="SimSun" w:eastAsia="SimSun" w:cs="SimSun"/>
          <w:sz w:val="22"/>
          <w:szCs w:val="22"/>
          <w:spacing w:val="-8"/>
        </w:rPr>
        <w:t>通过使用资源和实施管理，将输入转化为输出的一项或一组活动，可以</w:t>
      </w:r>
      <w:r>
        <w:rPr>
          <w:rFonts w:ascii="SimSun" w:hAnsi="SimSun" w:eastAsia="SimSun" w:cs="SimSun"/>
          <w:sz w:val="22"/>
          <w:szCs w:val="22"/>
          <w:spacing w:val="-9"/>
        </w:rPr>
        <w:t>视为一个过</w:t>
      </w:r>
      <w:r>
        <w:rPr>
          <w:rFonts w:ascii="SimSun" w:hAnsi="SimSun" w:eastAsia="SimSun" w:cs="SimSun"/>
          <w:sz w:val="22"/>
          <w:szCs w:val="22"/>
        </w:rPr>
        <w:t xml:space="preserve"> </w:t>
      </w:r>
      <w:r>
        <w:rPr>
          <w:rFonts w:ascii="SimSun" w:hAnsi="SimSun" w:eastAsia="SimSun" w:cs="SimSun"/>
          <w:sz w:val="22"/>
          <w:szCs w:val="22"/>
          <w:spacing w:val="-8"/>
        </w:rPr>
        <w:t>程。图10-1反映的是以过程为基础的云端数据治理体系。该图的左侧展示了云端数</w:t>
      </w:r>
      <w:r>
        <w:rPr>
          <w:rFonts w:ascii="SimSun" w:hAnsi="SimSun" w:eastAsia="SimSun" w:cs="SimSun"/>
          <w:sz w:val="22"/>
          <w:szCs w:val="22"/>
          <w:spacing w:val="12"/>
        </w:rPr>
        <w:t xml:space="preserve"> </w:t>
      </w:r>
      <w:r>
        <w:rPr>
          <w:rFonts w:ascii="SimSun" w:hAnsi="SimSun" w:eastAsia="SimSun" w:cs="SimSun"/>
          <w:sz w:val="22"/>
          <w:szCs w:val="22"/>
          <w:spacing w:val="-9"/>
        </w:rPr>
        <w:t>据治理体系输入的具体内容，以启动相应的活动。应根据组织的</w:t>
      </w:r>
      <w:r>
        <w:rPr>
          <w:rFonts w:ascii="SimSun" w:hAnsi="SimSun" w:eastAsia="SimSun" w:cs="SimSun"/>
          <w:sz w:val="22"/>
          <w:szCs w:val="22"/>
          <w:spacing w:val="-10"/>
        </w:rPr>
        <w:t>业务战略和目标，</w:t>
      </w:r>
    </w:p>
    <w:p>
      <w:pPr>
        <w:spacing w:line="250" w:lineRule="auto"/>
        <w:sectPr>
          <w:footerReference w:type="default" r:id="rId469"/>
          <w:pgSz w:w="8870" w:h="13400"/>
          <w:pgMar w:top="400" w:right="763" w:bottom="569" w:left="289" w:header="0" w:footer="400" w:gutter="0"/>
        </w:sectPr>
        <w:rPr>
          <w:rFonts w:ascii="SimSun" w:hAnsi="SimSun" w:eastAsia="SimSun" w:cs="SimSun"/>
          <w:sz w:val="22"/>
          <w:szCs w:val="22"/>
        </w:rPr>
      </w:pPr>
    </w:p>
    <w:p>
      <w:pPr>
        <w:ind w:left="139"/>
        <w:spacing w:before="149"/>
        <w:rPr>
          <w:rFonts w:ascii="SimSun" w:hAnsi="SimSun" w:eastAsia="SimSun" w:cs="SimSun"/>
          <w:sz w:val="22"/>
          <w:szCs w:val="22"/>
        </w:rPr>
      </w:pPr>
      <w:bookmarkStart w:name="bookmark93" w:id="88"/>
      <w:bookmarkEnd w:id="88"/>
      <w:r>
        <w:rPr>
          <w:rFonts w:ascii="SimSun" w:hAnsi="SimSun" w:eastAsia="SimSun" w:cs="SimSun"/>
          <w:sz w:val="22"/>
          <w:szCs w:val="22"/>
          <w:position w:val="-9"/>
        </w:rPr>
        <w:drawing>
          <wp:inline distT="0" distB="0" distL="0" distR="0">
            <wp:extent cx="6365" cy="222255"/>
            <wp:effectExtent l="0" t="0" r="0" b="0"/>
            <wp:docPr id="330" name="IM 330"/>
            <wp:cNvGraphicFramePr/>
            <a:graphic>
              <a:graphicData uri="http://schemas.openxmlformats.org/drawingml/2006/picture">
                <pic:pic>
                  <pic:nvPicPr>
                    <pic:cNvPr id="330" name="IM 330"/>
                    <pic:cNvPicPr/>
                  </pic:nvPicPr>
                  <pic:blipFill>
                    <a:blip r:embed="rId47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6"/>
        </w:rPr>
        <w:t xml:space="preserve"> </w:t>
      </w:r>
      <w:r>
        <w:rPr>
          <w:rFonts w:ascii="SimSun" w:hAnsi="SimSun" w:eastAsia="SimSun" w:cs="SimSun"/>
          <w:sz w:val="22"/>
          <w:szCs w:val="22"/>
          <w:b/>
          <w:bCs/>
          <w:spacing w:val="-16"/>
        </w:rPr>
        <w:t>■云端数据治理</w:t>
      </w:r>
    </w:p>
    <w:p>
      <w:pPr>
        <w:ind w:left="290" w:right="49"/>
        <w:spacing w:before="288" w:line="250" w:lineRule="auto"/>
        <w:jc w:val="both"/>
        <w:rPr>
          <w:rFonts w:ascii="SimSun" w:hAnsi="SimSun" w:eastAsia="SimSun" w:cs="SimSun"/>
          <w:sz w:val="22"/>
          <w:szCs w:val="22"/>
        </w:rPr>
      </w:pPr>
      <w:r>
        <w:rPr>
          <w:rFonts w:ascii="SimSun" w:hAnsi="SimSun" w:eastAsia="SimSun" w:cs="SimSun"/>
          <w:sz w:val="22"/>
          <w:szCs w:val="22"/>
          <w:spacing w:val="-9"/>
        </w:rPr>
        <w:t>制订云端数据治理体系的战略和目标。根据业务需求，识别组织的数据需求和数据</w:t>
      </w:r>
      <w:r>
        <w:rPr>
          <w:rFonts w:ascii="SimSun" w:hAnsi="SimSun" w:eastAsia="SimSun" w:cs="SimSun"/>
          <w:sz w:val="22"/>
          <w:szCs w:val="22"/>
          <w:spacing w:val="15"/>
        </w:rPr>
        <w:t xml:space="preserve"> </w:t>
      </w:r>
      <w:r>
        <w:rPr>
          <w:rFonts w:ascii="SimSun" w:hAnsi="SimSun" w:eastAsia="SimSun" w:cs="SimSun"/>
          <w:sz w:val="22"/>
          <w:szCs w:val="22"/>
          <w:spacing w:val="-9"/>
        </w:rPr>
        <w:t>问题，同时需要考虑监管的合规性和一致性。有效的云端数据治理体系一定是与组</w:t>
      </w:r>
      <w:r>
        <w:rPr>
          <w:rFonts w:ascii="SimSun" w:hAnsi="SimSun" w:eastAsia="SimSun" w:cs="SimSun"/>
          <w:sz w:val="22"/>
          <w:szCs w:val="22"/>
          <w:spacing w:val="10"/>
        </w:rPr>
        <w:t xml:space="preserve"> </w:t>
      </w:r>
      <w:r>
        <w:rPr>
          <w:rFonts w:ascii="SimSun" w:hAnsi="SimSun" w:eastAsia="SimSun" w:cs="SimSun"/>
          <w:sz w:val="22"/>
          <w:szCs w:val="22"/>
          <w:spacing w:val="-9"/>
        </w:rPr>
        <w:t>织的业务价值紧密相连的。组织使用</w:t>
      </w:r>
      <w:r>
        <w:rPr>
          <w:rFonts w:ascii="Times New Roman" w:hAnsi="Times New Roman" w:eastAsia="Times New Roman" w:cs="Times New Roman"/>
          <w:sz w:val="22"/>
          <w:szCs w:val="22"/>
          <w:spacing w:val="-9"/>
        </w:rPr>
        <w:t>IT </w:t>
      </w:r>
      <w:r>
        <w:rPr>
          <w:rFonts w:ascii="SimSun" w:hAnsi="SimSun" w:eastAsia="SimSun" w:cs="SimSun"/>
          <w:sz w:val="22"/>
          <w:szCs w:val="22"/>
          <w:spacing w:val="-9"/>
        </w:rPr>
        <w:t>技术配合和</w:t>
      </w:r>
      <w:r>
        <w:rPr>
          <w:rFonts w:ascii="SimSun" w:hAnsi="SimSun" w:eastAsia="SimSun" w:cs="SimSun"/>
          <w:sz w:val="22"/>
          <w:szCs w:val="22"/>
          <w:spacing w:val="-10"/>
        </w:rPr>
        <w:t>支撑各种业务，目的都是为了达</w:t>
      </w:r>
      <w:r>
        <w:rPr>
          <w:rFonts w:ascii="SimSun" w:hAnsi="SimSun" w:eastAsia="SimSun" w:cs="SimSun"/>
          <w:sz w:val="22"/>
          <w:szCs w:val="22"/>
        </w:rPr>
        <w:t xml:space="preserve"> </w:t>
      </w:r>
      <w:r>
        <w:rPr>
          <w:rFonts w:ascii="SimSun" w:hAnsi="SimSun" w:eastAsia="SimSun" w:cs="SimSun"/>
          <w:sz w:val="22"/>
          <w:szCs w:val="22"/>
          <w:spacing w:val="-13"/>
        </w:rPr>
        <w:t>成业务目标和实现业务战略。</w:t>
      </w:r>
    </w:p>
    <w:p>
      <w:pPr>
        <w:ind w:left="290" w:right="32" w:firstLine="439"/>
        <w:spacing w:before="66" w:line="255" w:lineRule="auto"/>
        <w:jc w:val="both"/>
        <w:rPr>
          <w:rFonts w:ascii="SimSun" w:hAnsi="SimSun" w:eastAsia="SimSun" w:cs="SimSun"/>
          <w:sz w:val="22"/>
          <w:szCs w:val="22"/>
        </w:rPr>
      </w:pPr>
      <w:r>
        <w:rPr>
          <w:rFonts w:ascii="SimSun" w:hAnsi="SimSun" w:eastAsia="SimSun" w:cs="SimSun"/>
          <w:sz w:val="22"/>
          <w:szCs w:val="22"/>
          <w:spacing w:val="-6"/>
        </w:rPr>
        <w:t>图10-1 的右侧是云端数据治理体系的输出，也是体系的交付物。数据策略是</w:t>
      </w:r>
      <w:r>
        <w:rPr>
          <w:rFonts w:ascii="SimSun" w:hAnsi="SimSun" w:eastAsia="SimSun" w:cs="SimSun"/>
          <w:sz w:val="22"/>
          <w:szCs w:val="22"/>
          <w:spacing w:val="16"/>
        </w:rPr>
        <w:t xml:space="preserve"> </w:t>
      </w:r>
      <w:r>
        <w:rPr>
          <w:rFonts w:ascii="SimSun" w:hAnsi="SimSun" w:eastAsia="SimSun" w:cs="SimSun"/>
          <w:sz w:val="22"/>
          <w:szCs w:val="22"/>
          <w:spacing w:val="-9"/>
        </w:rPr>
        <w:t>云端数据治理的基本规则，这些策略贯穿云端数据治理体系的所有过程，描述了什</w:t>
      </w:r>
      <w:r>
        <w:rPr>
          <w:rFonts w:ascii="SimSun" w:hAnsi="SimSun" w:eastAsia="SimSun" w:cs="SimSun"/>
          <w:sz w:val="22"/>
          <w:szCs w:val="22"/>
          <w:spacing w:val="12"/>
        </w:rPr>
        <w:t xml:space="preserve"> </w:t>
      </w:r>
      <w:r>
        <w:rPr>
          <w:rFonts w:ascii="SimSun" w:hAnsi="SimSun" w:eastAsia="SimSun" w:cs="SimSun"/>
          <w:sz w:val="22"/>
          <w:szCs w:val="22"/>
          <w:spacing w:val="-9"/>
        </w:rPr>
        <w:t>么可以做，什么不该做。数据规程是云端数据治理的程序，是完成某项活动的详细</w:t>
      </w:r>
      <w:r>
        <w:rPr>
          <w:rFonts w:ascii="SimSun" w:hAnsi="SimSun" w:eastAsia="SimSun" w:cs="SimSun"/>
          <w:sz w:val="22"/>
          <w:szCs w:val="22"/>
          <w:spacing w:val="16"/>
        </w:rPr>
        <w:t xml:space="preserve"> </w:t>
      </w:r>
      <w:r>
        <w:rPr>
          <w:rFonts w:ascii="SimSun" w:hAnsi="SimSun" w:eastAsia="SimSun" w:cs="SimSun"/>
          <w:sz w:val="22"/>
          <w:szCs w:val="22"/>
          <w:spacing w:val="-9"/>
        </w:rPr>
        <w:t>步骤。云端数据治理体系是识别、管理和解决云端数据问题的有效途径，最终目标</w:t>
      </w:r>
      <w:r>
        <w:rPr>
          <w:rFonts w:ascii="SimSun" w:hAnsi="SimSun" w:eastAsia="SimSun" w:cs="SimSun"/>
          <w:sz w:val="22"/>
          <w:szCs w:val="22"/>
          <w:spacing w:val="11"/>
        </w:rPr>
        <w:t xml:space="preserve"> </w:t>
      </w:r>
      <w:r>
        <w:rPr>
          <w:rFonts w:ascii="SimSun" w:hAnsi="SimSun" w:eastAsia="SimSun" w:cs="SimSun"/>
          <w:sz w:val="22"/>
          <w:szCs w:val="22"/>
          <w:spacing w:val="-8"/>
        </w:rPr>
        <w:t>之一是为了管理并解决云端数据问题。在体系的运行过程中，云端数据治</w:t>
      </w:r>
      <w:r>
        <w:rPr>
          <w:rFonts w:ascii="SimSun" w:hAnsi="SimSun" w:eastAsia="SimSun" w:cs="SimSun"/>
          <w:sz w:val="22"/>
          <w:szCs w:val="22"/>
          <w:spacing w:val="-9"/>
        </w:rPr>
        <w:t>理专业人</w:t>
      </w:r>
      <w:r>
        <w:rPr>
          <w:rFonts w:ascii="SimSun" w:hAnsi="SimSun" w:eastAsia="SimSun" w:cs="SimSun"/>
          <w:sz w:val="22"/>
          <w:szCs w:val="22"/>
        </w:rPr>
        <w:t xml:space="preserve"> </w:t>
      </w:r>
      <w:r>
        <w:rPr>
          <w:rFonts w:ascii="SimSun" w:hAnsi="SimSun" w:eastAsia="SimSun" w:cs="SimSun"/>
          <w:sz w:val="22"/>
          <w:szCs w:val="22"/>
          <w:spacing w:val="-9"/>
        </w:rPr>
        <w:t>员应不断沟通、培训和推广数据的重要性，提高利益相关者对云端数据治理体系的</w:t>
      </w:r>
      <w:r>
        <w:rPr>
          <w:rFonts w:ascii="SimSun" w:hAnsi="SimSun" w:eastAsia="SimSun" w:cs="SimSun"/>
          <w:sz w:val="22"/>
          <w:szCs w:val="22"/>
        </w:rPr>
        <w:t xml:space="preserve"> </w:t>
      </w:r>
      <w:r>
        <w:rPr>
          <w:rFonts w:ascii="SimSun" w:hAnsi="SimSun" w:eastAsia="SimSun" w:cs="SimSun"/>
          <w:sz w:val="22"/>
          <w:szCs w:val="22"/>
          <w:spacing w:val="-9"/>
        </w:rPr>
        <w:t>认可。</w:t>
      </w:r>
    </w:p>
    <w:p>
      <w:pPr>
        <w:ind w:left="294"/>
        <w:spacing w:before="305" w:line="224" w:lineRule="auto"/>
        <w:outlineLvl w:val="4"/>
        <w:rPr>
          <w:rFonts w:ascii="YouYuan" w:hAnsi="YouYuan" w:eastAsia="YouYuan" w:cs="YouYuan"/>
          <w:sz w:val="29"/>
          <w:szCs w:val="29"/>
        </w:rPr>
      </w:pPr>
      <w:r>
        <w:rPr>
          <w:rFonts w:ascii="YouYuan" w:hAnsi="YouYuan" w:eastAsia="YouYuan" w:cs="YouYuan"/>
          <w:sz w:val="29"/>
          <w:szCs w:val="29"/>
          <w:b/>
          <w:bCs/>
          <w:spacing w:val="-10"/>
        </w:rPr>
        <w:t>10.3</w:t>
      </w:r>
      <w:r>
        <w:rPr>
          <w:rFonts w:ascii="YouYuan" w:hAnsi="YouYuan" w:eastAsia="YouYuan" w:cs="YouYuan"/>
          <w:sz w:val="29"/>
          <w:szCs w:val="29"/>
          <w:spacing w:val="-10"/>
        </w:rPr>
        <w:t xml:space="preserve">  </w:t>
      </w:r>
      <w:r>
        <w:rPr>
          <w:rFonts w:ascii="YouYuan" w:hAnsi="YouYuan" w:eastAsia="YouYuan" w:cs="YouYuan"/>
          <w:sz w:val="29"/>
          <w:szCs w:val="29"/>
          <w:b/>
          <w:bCs/>
          <w:spacing w:val="-10"/>
        </w:rPr>
        <w:t>云端数据冶理体系过程模型</w:t>
      </w:r>
    </w:p>
    <w:p>
      <w:pPr>
        <w:ind w:left="290" w:right="29" w:firstLine="439"/>
        <w:spacing w:before="293" w:line="255" w:lineRule="auto"/>
        <w:jc w:val="both"/>
        <w:rPr>
          <w:rFonts w:ascii="SimSun" w:hAnsi="SimSun" w:eastAsia="SimSun" w:cs="SimSun"/>
          <w:sz w:val="22"/>
          <w:szCs w:val="22"/>
        </w:rPr>
      </w:pPr>
      <w:r>
        <w:rPr>
          <w:rFonts w:ascii="SimSun" w:hAnsi="SimSun" w:eastAsia="SimSun" w:cs="SimSun"/>
          <w:sz w:val="22"/>
          <w:szCs w:val="22"/>
          <w:spacing w:val="-4"/>
        </w:rPr>
        <w:t>云端数据治理体系</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4"/>
        </w:rPr>
        <w:t>(Cloud</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4"/>
        </w:rPr>
        <w:t>Data</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4"/>
        </w:rPr>
        <w:t>Governance</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4"/>
        </w:rPr>
        <w:t>System,CDGS) </w:t>
      </w:r>
      <w:r>
        <w:rPr>
          <w:rFonts w:ascii="SimSun" w:hAnsi="SimSun" w:eastAsia="SimSun" w:cs="SimSun"/>
          <w:sz w:val="22"/>
          <w:szCs w:val="22"/>
          <w:spacing w:val="-4"/>
        </w:rPr>
        <w:t>过程模型是基于云</w:t>
      </w:r>
      <w:r>
        <w:rPr>
          <w:rFonts w:ascii="SimSun" w:hAnsi="SimSun" w:eastAsia="SimSun" w:cs="SimSun"/>
          <w:sz w:val="22"/>
          <w:szCs w:val="22"/>
        </w:rPr>
        <w:t xml:space="preserve"> </w:t>
      </w:r>
      <w:r>
        <w:rPr>
          <w:rFonts w:ascii="SimSun" w:hAnsi="SimSun" w:eastAsia="SimSun" w:cs="SimSun"/>
          <w:sz w:val="22"/>
          <w:szCs w:val="22"/>
          <w:spacing w:val="-10"/>
        </w:rPr>
        <w:t>端数据治理体系的基本框架，借鉴项目管理、</w:t>
      </w:r>
      <w:r>
        <w:rPr>
          <w:rFonts w:ascii="SimSun" w:hAnsi="SimSun" w:eastAsia="SimSun" w:cs="SimSun"/>
          <w:sz w:val="22"/>
          <w:szCs w:val="22"/>
          <w:spacing w:val="-11"/>
        </w:rPr>
        <w:t>数据治理、</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1"/>
        </w:rPr>
        <w:t>治理和管理体系的实施</w:t>
      </w:r>
      <w:r>
        <w:rPr>
          <w:rFonts w:ascii="SimSun" w:hAnsi="SimSun" w:eastAsia="SimSun" w:cs="SimSun"/>
          <w:sz w:val="22"/>
          <w:szCs w:val="22"/>
        </w:rPr>
        <w:t xml:space="preserve"> </w:t>
      </w:r>
      <w:r>
        <w:rPr>
          <w:rFonts w:ascii="SimSun" w:hAnsi="SimSun" w:eastAsia="SimSun" w:cs="SimSun"/>
          <w:sz w:val="22"/>
          <w:szCs w:val="22"/>
          <w:spacing w:val="-10"/>
        </w:rPr>
        <w:t>方法论，并结合云端数据治理的特征，总结过程模型。CDGS</w:t>
      </w:r>
      <w:r>
        <w:rPr>
          <w:rFonts w:ascii="SimSun" w:hAnsi="SimSun" w:eastAsia="SimSun" w:cs="SimSun"/>
          <w:sz w:val="22"/>
          <w:szCs w:val="22"/>
          <w:spacing w:val="30"/>
        </w:rPr>
        <w:t xml:space="preserve">  </w:t>
      </w:r>
      <w:r>
        <w:rPr>
          <w:rFonts w:ascii="SimSun" w:hAnsi="SimSun" w:eastAsia="SimSun" w:cs="SimSun"/>
          <w:sz w:val="22"/>
          <w:szCs w:val="22"/>
          <w:spacing w:val="-10"/>
        </w:rPr>
        <w:t>过程模型中包括了云</w:t>
      </w:r>
      <w:r>
        <w:rPr>
          <w:rFonts w:ascii="SimSun" w:hAnsi="SimSun" w:eastAsia="SimSun" w:cs="SimSun"/>
          <w:sz w:val="22"/>
          <w:szCs w:val="22"/>
          <w:spacing w:val="1"/>
        </w:rPr>
        <w:t xml:space="preserve"> </w:t>
      </w:r>
      <w:r>
        <w:rPr>
          <w:rFonts w:ascii="SimSun" w:hAnsi="SimSun" w:eastAsia="SimSun" w:cs="SimSun"/>
          <w:sz w:val="22"/>
          <w:szCs w:val="22"/>
          <w:spacing w:val="-12"/>
        </w:rPr>
        <w:t>端数据治理的核心过程。</w:t>
      </w:r>
    </w:p>
    <w:p>
      <w:pPr>
        <w:ind w:left="730"/>
        <w:spacing w:before="47" w:line="218" w:lineRule="auto"/>
        <w:rPr>
          <w:rFonts w:ascii="SimSun" w:hAnsi="SimSun" w:eastAsia="SimSun" w:cs="SimSun"/>
          <w:sz w:val="22"/>
          <w:szCs w:val="22"/>
        </w:rPr>
      </w:pPr>
      <w:r>
        <w:rPr>
          <w:rFonts w:ascii="SimSun" w:hAnsi="SimSun" w:eastAsia="SimSun" w:cs="SimSun"/>
          <w:sz w:val="22"/>
          <w:szCs w:val="22"/>
          <w:spacing w:val="-8"/>
        </w:rPr>
        <w:t>●首先就组织现状进行了解并进行差距评估分析；</w:t>
      </w:r>
    </w:p>
    <w:p>
      <w:pPr>
        <w:ind w:left="1000" w:right="29" w:hanging="270"/>
        <w:spacing w:before="52" w:line="245" w:lineRule="auto"/>
        <w:rPr>
          <w:rFonts w:ascii="SimSun" w:hAnsi="SimSun" w:eastAsia="SimSun" w:cs="SimSun"/>
          <w:sz w:val="22"/>
          <w:szCs w:val="22"/>
        </w:rPr>
      </w:pPr>
      <w:r>
        <w:rPr>
          <w:rFonts w:ascii="SimSun" w:hAnsi="SimSun" w:eastAsia="SimSun" w:cs="SimSun"/>
          <w:sz w:val="22"/>
          <w:szCs w:val="22"/>
          <w:spacing w:val="-11"/>
        </w:rPr>
        <w:t>●基于组织现有业务战略、IT</w:t>
      </w:r>
      <w:r>
        <w:rPr>
          <w:rFonts w:ascii="SimSun" w:hAnsi="SimSun" w:eastAsia="SimSun" w:cs="SimSun"/>
          <w:sz w:val="22"/>
          <w:szCs w:val="22"/>
          <w:spacing w:val="-14"/>
        </w:rPr>
        <w:t xml:space="preserve"> </w:t>
      </w:r>
      <w:r>
        <w:rPr>
          <w:rFonts w:ascii="SimSun" w:hAnsi="SimSun" w:eastAsia="SimSun" w:cs="SimSun"/>
          <w:sz w:val="22"/>
          <w:szCs w:val="22"/>
          <w:spacing w:val="-11"/>
        </w:rPr>
        <w:t>战略、规划、组织、资源的理解，进行云端数据</w:t>
      </w:r>
      <w:r>
        <w:rPr>
          <w:rFonts w:ascii="SimSun" w:hAnsi="SimSun" w:eastAsia="SimSun" w:cs="SimSun"/>
          <w:sz w:val="22"/>
          <w:szCs w:val="22"/>
        </w:rPr>
        <w:t xml:space="preserve"> </w:t>
      </w:r>
      <w:r>
        <w:rPr>
          <w:rFonts w:ascii="SimSun" w:hAnsi="SimSun" w:eastAsia="SimSun" w:cs="SimSun"/>
          <w:sz w:val="22"/>
          <w:szCs w:val="22"/>
          <w:spacing w:val="-15"/>
        </w:rPr>
        <w:t>治理及治理范围的确认；</w:t>
      </w:r>
    </w:p>
    <w:p>
      <w:pPr>
        <w:ind w:left="1000" w:hanging="270"/>
        <w:spacing w:before="37" w:line="248" w:lineRule="auto"/>
        <w:rPr>
          <w:rFonts w:ascii="SimSun" w:hAnsi="SimSun" w:eastAsia="SimSun" w:cs="SimSun"/>
          <w:sz w:val="22"/>
          <w:szCs w:val="22"/>
        </w:rPr>
      </w:pPr>
      <w:r>
        <w:rPr>
          <w:rFonts w:ascii="SimSun" w:hAnsi="SimSun" w:eastAsia="SimSun" w:cs="SimSun"/>
          <w:sz w:val="22"/>
          <w:szCs w:val="22"/>
          <w:spacing w:val="-8"/>
        </w:rPr>
        <w:t>●制订整体性框架建议，经业务部门修正后据此作为实施的基本结构，进行详</w:t>
      </w:r>
      <w:r>
        <w:rPr>
          <w:rFonts w:ascii="SimSun" w:hAnsi="SimSun" w:eastAsia="SimSun" w:cs="SimSun"/>
          <w:sz w:val="22"/>
          <w:szCs w:val="22"/>
          <w:spacing w:val="12"/>
        </w:rPr>
        <w:t xml:space="preserve"> </w:t>
      </w:r>
      <w:r>
        <w:rPr>
          <w:rFonts w:ascii="SimSun" w:hAnsi="SimSun" w:eastAsia="SimSun" w:cs="SimSun"/>
          <w:sz w:val="22"/>
          <w:szCs w:val="22"/>
          <w:spacing w:val="-14"/>
        </w:rPr>
        <w:t>细作业规划及工作任务分解；</w:t>
      </w:r>
    </w:p>
    <w:p>
      <w:pPr>
        <w:ind w:left="730"/>
        <w:spacing w:before="49" w:line="219" w:lineRule="auto"/>
        <w:rPr>
          <w:rFonts w:ascii="SimSun" w:hAnsi="SimSun" w:eastAsia="SimSun" w:cs="SimSun"/>
          <w:sz w:val="22"/>
          <w:szCs w:val="22"/>
        </w:rPr>
      </w:pPr>
      <w:r>
        <w:rPr>
          <w:rFonts w:ascii="SimSun" w:hAnsi="SimSun" w:eastAsia="SimSun" w:cs="SimSun"/>
          <w:sz w:val="22"/>
          <w:szCs w:val="22"/>
          <w:spacing w:val="-9"/>
        </w:rPr>
        <w:t>●重要关键点先进行培训以利于制度建立的符合性；</w:t>
      </w:r>
    </w:p>
    <w:p>
      <w:pPr>
        <w:ind w:left="730"/>
        <w:spacing w:before="69" w:line="219" w:lineRule="auto"/>
        <w:rPr>
          <w:rFonts w:ascii="SimSun" w:hAnsi="SimSun" w:eastAsia="SimSun" w:cs="SimSun"/>
          <w:sz w:val="22"/>
          <w:szCs w:val="22"/>
        </w:rPr>
      </w:pPr>
      <w:r>
        <w:rPr>
          <w:rFonts w:ascii="SimSun" w:hAnsi="SimSun" w:eastAsia="SimSun" w:cs="SimSun"/>
          <w:sz w:val="22"/>
          <w:szCs w:val="22"/>
          <w:spacing w:val="-9"/>
        </w:rPr>
        <w:t>●文档撰写前共同讨论撰写大纲及关键点以利于可操作性；</w:t>
      </w:r>
    </w:p>
    <w:p>
      <w:pPr>
        <w:ind w:left="730" w:right="2561"/>
        <w:spacing w:before="38" w:line="244" w:lineRule="auto"/>
        <w:rPr>
          <w:rFonts w:ascii="SimSun" w:hAnsi="SimSun" w:eastAsia="SimSun" w:cs="SimSun"/>
          <w:sz w:val="22"/>
          <w:szCs w:val="22"/>
        </w:rPr>
      </w:pPr>
      <w:r>
        <w:rPr>
          <w:rFonts w:ascii="SimSun" w:hAnsi="SimSun" w:eastAsia="SimSun" w:cs="SimSun"/>
          <w:sz w:val="22"/>
          <w:szCs w:val="22"/>
          <w:spacing w:val="-9"/>
        </w:rPr>
        <w:t>●共同讨论制度文档的可行性，并帮助文档审查。</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6"/>
        </w:rPr>
        <w:t>CDGS </w:t>
      </w:r>
      <w:r>
        <w:rPr>
          <w:rFonts w:ascii="SimSun" w:hAnsi="SimSun" w:eastAsia="SimSun" w:cs="SimSun"/>
          <w:sz w:val="22"/>
          <w:szCs w:val="22"/>
          <w:spacing w:val="-6"/>
        </w:rPr>
        <w:t>过程模型由四个阶段组成，如图</w:t>
      </w:r>
      <w:r>
        <w:rPr>
          <w:rFonts w:ascii="SimSun" w:hAnsi="SimSun" w:eastAsia="SimSun" w:cs="SimSun"/>
          <w:sz w:val="22"/>
          <w:szCs w:val="22"/>
          <w:spacing w:val="-7"/>
        </w:rPr>
        <w:t>10-2所示。</w:t>
      </w:r>
    </w:p>
    <w:p>
      <w:pPr>
        <w:ind w:left="290" w:right="32" w:firstLine="439"/>
        <w:spacing w:before="40" w:line="247" w:lineRule="auto"/>
        <w:rPr>
          <w:rFonts w:ascii="SimSun" w:hAnsi="SimSun" w:eastAsia="SimSun" w:cs="SimSun"/>
          <w:sz w:val="22"/>
          <w:szCs w:val="22"/>
        </w:rPr>
      </w:pPr>
      <w:r>
        <w:rPr>
          <w:rFonts w:ascii="SimSun" w:hAnsi="SimSun" w:eastAsia="SimSun" w:cs="SimSun"/>
          <w:sz w:val="22"/>
          <w:szCs w:val="22"/>
          <w:spacing w:val="-9"/>
        </w:rPr>
        <w:t>过程模型是云端数据治理体系开展活动所需要的最完整模型，其中部分过程可</w:t>
      </w:r>
      <w:r>
        <w:rPr>
          <w:rFonts w:ascii="SimSun" w:hAnsi="SimSun" w:eastAsia="SimSun" w:cs="SimSun"/>
          <w:sz w:val="22"/>
          <w:szCs w:val="22"/>
          <w:spacing w:val="14"/>
        </w:rPr>
        <w:t xml:space="preserve"> </w:t>
      </w:r>
      <w:r>
        <w:rPr>
          <w:rFonts w:ascii="SimSun" w:hAnsi="SimSun" w:eastAsia="SimSun" w:cs="SimSun"/>
          <w:sz w:val="22"/>
          <w:szCs w:val="22"/>
          <w:spacing w:val="-11"/>
        </w:rPr>
        <w:t>依据组织本身的范围或管理成熟度进行删减或简化。</w:t>
      </w:r>
    </w:p>
    <w:p>
      <w:pPr>
        <w:spacing w:line="247" w:lineRule="auto"/>
        <w:sectPr>
          <w:footerReference w:type="default" r:id="rId471"/>
          <w:pgSz w:w="8870" w:h="13400"/>
          <w:pgMar w:top="400" w:right="308" w:bottom="544" w:left="609" w:header="0" w:footer="326" w:gutter="0"/>
        </w:sectPr>
        <w:rPr>
          <w:rFonts w:ascii="SimSun" w:hAnsi="SimSun" w:eastAsia="SimSun" w:cs="SimSun"/>
          <w:sz w:val="22"/>
          <w:szCs w:val="22"/>
        </w:rPr>
      </w:pPr>
    </w:p>
    <w:p>
      <w:pPr>
        <w:ind w:left="4963"/>
        <w:spacing w:before="224" w:line="219" w:lineRule="auto"/>
        <w:rPr>
          <w:rFonts w:ascii="SimSun" w:hAnsi="SimSun" w:eastAsia="SimSun" w:cs="SimSun"/>
          <w:sz w:val="22"/>
          <w:szCs w:val="22"/>
        </w:rPr>
      </w:pPr>
      <w:r>
        <w:rPr>
          <w:rFonts w:ascii="SimSun" w:hAnsi="SimSun" w:eastAsia="SimSun" w:cs="SimSun"/>
          <w:sz w:val="22"/>
          <w:szCs w:val="22"/>
          <w:b/>
          <w:bCs/>
          <w:spacing w:val="1"/>
        </w:rPr>
        <w:t>第10章■云端数据治理体系</w:t>
      </w:r>
    </w:p>
    <w:p>
      <w:pPr>
        <w:pStyle w:val="BodyText"/>
        <w:spacing w:line="325" w:lineRule="auto"/>
        <w:rPr/>
      </w:pPr>
      <w:r/>
    </w:p>
    <w:p>
      <w:pPr>
        <w:ind w:left="540"/>
        <w:spacing w:before="52" w:line="234" w:lineRule="auto"/>
        <w:rPr>
          <w:rFonts w:ascii="SimSun" w:hAnsi="SimSun" w:eastAsia="SimSun" w:cs="SimSun"/>
          <w:sz w:val="16"/>
          <w:szCs w:val="16"/>
        </w:rPr>
      </w:pPr>
      <w:r>
        <w:drawing>
          <wp:anchor distT="0" distB="0" distL="0" distR="0" simplePos="0" relativeHeight="258103296" behindDoc="1" locked="0" layoutInCell="1" allowOverlap="1">
            <wp:simplePos x="0" y="0"/>
            <wp:positionH relativeFrom="column">
              <wp:posOffset>0</wp:posOffset>
            </wp:positionH>
            <wp:positionV relativeFrom="paragraph">
              <wp:posOffset>-109817</wp:posOffset>
            </wp:positionV>
            <wp:extent cx="4825995" cy="3524257"/>
            <wp:effectExtent l="0" t="0" r="0" b="0"/>
            <wp:wrapNone/>
            <wp:docPr id="332" name="IM 332"/>
            <wp:cNvGraphicFramePr/>
            <a:graphic>
              <a:graphicData uri="http://schemas.openxmlformats.org/drawingml/2006/picture">
                <pic:pic>
                  <pic:nvPicPr>
                    <pic:cNvPr id="332" name="IM 332"/>
                    <pic:cNvPicPr/>
                  </pic:nvPicPr>
                  <pic:blipFill>
                    <a:blip r:embed="rId474"/>
                    <a:stretch>
                      <a:fillRect/>
                    </a:stretch>
                  </pic:blipFill>
                  <pic:spPr>
                    <a:xfrm rot="0">
                      <a:off x="0" y="0"/>
                      <a:ext cx="4825995" cy="3524257"/>
                    </a:xfrm>
                    <a:prstGeom prst="rect">
                      <a:avLst/>
                    </a:prstGeom>
                  </pic:spPr>
                </pic:pic>
              </a:graphicData>
            </a:graphic>
          </wp:anchor>
        </w:drawing>
      </w:r>
      <w:r>
        <w:rPr>
          <w:rFonts w:ascii="SimSun" w:hAnsi="SimSun" w:eastAsia="SimSun" w:cs="SimSun"/>
          <w:sz w:val="16"/>
          <w:szCs w:val="16"/>
          <w:spacing w:val="-3"/>
        </w:rPr>
        <w:t>统筹和规划</w:t>
      </w:r>
      <w:r>
        <w:rPr>
          <w:rFonts w:ascii="SimSun" w:hAnsi="SimSun" w:eastAsia="SimSun" w:cs="SimSun"/>
          <w:sz w:val="16"/>
          <w:szCs w:val="16"/>
          <w:spacing w:val="1"/>
        </w:rPr>
        <w:t xml:space="preserve">            </w:t>
      </w:r>
      <w:r>
        <w:rPr>
          <w:rFonts w:ascii="SimSun" w:hAnsi="SimSun" w:eastAsia="SimSun" w:cs="SimSun"/>
          <w:sz w:val="16"/>
          <w:szCs w:val="16"/>
          <w:spacing w:val="-3"/>
          <w:position w:val="-1"/>
        </w:rPr>
        <w:t>构建和运行</w:t>
      </w:r>
      <w:r>
        <w:rPr>
          <w:rFonts w:ascii="SimSun" w:hAnsi="SimSun" w:eastAsia="SimSun" w:cs="SimSun"/>
          <w:sz w:val="16"/>
          <w:szCs w:val="16"/>
          <w:spacing w:val="1"/>
          <w:position w:val="-1"/>
        </w:rPr>
        <w:t xml:space="preserve">                </w:t>
      </w:r>
      <w:r>
        <w:rPr>
          <w:rFonts w:ascii="SimSun" w:hAnsi="SimSun" w:eastAsia="SimSun" w:cs="SimSun"/>
          <w:sz w:val="16"/>
          <w:szCs w:val="16"/>
          <w:spacing w:val="-3"/>
        </w:rPr>
        <w:t>监督和评估              改进和优化</w:t>
      </w:r>
    </w:p>
    <w:p>
      <w:pPr>
        <w:spacing w:before="195"/>
        <w:rPr/>
      </w:pPr>
      <w:r/>
    </w:p>
    <w:p>
      <w:pPr>
        <w:sectPr>
          <w:footerReference w:type="default" r:id="rId473"/>
          <w:pgSz w:w="8870" w:h="13400"/>
          <w:pgMar w:top="400" w:right="671" w:bottom="525" w:left="390" w:header="0" w:footer="306" w:gutter="0"/>
          <w:cols w:equalWidth="0" w:num="1">
            <w:col w:w="7809" w:space="0"/>
          </w:cols>
        </w:sectPr>
        <w:rPr/>
      </w:pPr>
    </w:p>
    <w:p>
      <w:pPr>
        <w:ind w:left="219"/>
        <w:spacing w:before="31" w:line="230" w:lineRule="exact"/>
        <w:rPr>
          <w:rFonts w:ascii="SimSun" w:hAnsi="SimSun" w:eastAsia="SimSun" w:cs="SimSun"/>
          <w:sz w:val="16"/>
          <w:szCs w:val="16"/>
        </w:rPr>
      </w:pPr>
      <w:r>
        <w:rPr>
          <w:rFonts w:ascii="Times New Roman" w:hAnsi="Times New Roman" w:eastAsia="Times New Roman" w:cs="Times New Roman"/>
          <w:sz w:val="16"/>
          <w:szCs w:val="16"/>
          <w:spacing w:val="-4"/>
          <w:position w:val="5"/>
        </w:rPr>
        <w:t>SI1  </w:t>
      </w:r>
      <w:r>
        <w:rPr>
          <w:rFonts w:ascii="SimSun" w:hAnsi="SimSun" w:eastAsia="SimSun" w:cs="SimSun"/>
          <w:sz w:val="16"/>
          <w:szCs w:val="16"/>
          <w:spacing w:val="-4"/>
          <w:position w:val="5"/>
        </w:rPr>
        <w:t>制定战略和目标</w:t>
      </w:r>
    </w:p>
    <w:p>
      <w:pPr>
        <w:ind w:left="359"/>
        <w:spacing w:line="219" w:lineRule="auto"/>
        <w:rPr>
          <w:rFonts w:ascii="SimSun" w:hAnsi="SimSun" w:eastAsia="SimSun" w:cs="SimSun"/>
          <w:sz w:val="16"/>
          <w:szCs w:val="16"/>
        </w:rPr>
      </w:pPr>
      <w:r>
        <w:rPr>
          <w:rFonts w:ascii="SimSun" w:hAnsi="SimSun" w:eastAsia="SimSun" w:cs="SimSun"/>
          <w:sz w:val="16"/>
          <w:szCs w:val="16"/>
          <w:spacing w:val="-17"/>
        </w:rPr>
        <w:t>·制定体系战略</w:t>
      </w:r>
    </w:p>
    <w:p>
      <w:pPr>
        <w:ind w:left="359"/>
        <w:spacing w:before="1" w:line="195" w:lineRule="auto"/>
        <w:rPr>
          <w:rFonts w:ascii="SimSun" w:hAnsi="SimSun" w:eastAsia="SimSun" w:cs="SimSun"/>
          <w:sz w:val="16"/>
          <w:szCs w:val="16"/>
        </w:rPr>
      </w:pPr>
      <w:r>
        <w:rPr>
          <w:rFonts w:ascii="SimSun" w:hAnsi="SimSun" w:eastAsia="SimSun" w:cs="SimSun"/>
          <w:sz w:val="16"/>
          <w:szCs w:val="16"/>
          <w:spacing w:val="-17"/>
        </w:rPr>
        <w:t>·制定体系目标</w:t>
      </w:r>
    </w:p>
    <w:p>
      <w:pPr>
        <w:ind w:left="359"/>
        <w:spacing w:line="219" w:lineRule="auto"/>
        <w:rPr>
          <w:rFonts w:ascii="SimSun" w:hAnsi="SimSun" w:eastAsia="SimSun" w:cs="SimSun"/>
          <w:sz w:val="16"/>
          <w:szCs w:val="16"/>
        </w:rPr>
      </w:pPr>
      <w:r>
        <w:rPr>
          <w:rFonts w:ascii="SimSun" w:hAnsi="SimSun" w:eastAsia="SimSun" w:cs="SimSun"/>
          <w:sz w:val="16"/>
          <w:szCs w:val="16"/>
          <w:spacing w:val="-17"/>
        </w:rPr>
        <w:t>·获取高层支持</w:t>
      </w:r>
    </w:p>
    <w:p>
      <w:pPr>
        <w:ind w:left="359"/>
        <w:spacing w:before="1" w:line="220" w:lineRule="auto"/>
        <w:rPr>
          <w:rFonts w:ascii="SimSun" w:hAnsi="SimSun" w:eastAsia="SimSun" w:cs="SimSun"/>
          <w:sz w:val="16"/>
          <w:szCs w:val="16"/>
        </w:rPr>
      </w:pPr>
      <w:r>
        <w:rPr>
          <w:rFonts w:ascii="SimSun" w:hAnsi="SimSun" w:eastAsia="SimSun" w:cs="SimSun"/>
          <w:sz w:val="16"/>
          <w:szCs w:val="16"/>
          <w:spacing w:val="-23"/>
        </w:rPr>
        <w:t>·差距分析</w:t>
      </w:r>
    </w:p>
    <w:p>
      <w:pPr>
        <w:pStyle w:val="BodyText"/>
        <w:spacing w:line="245" w:lineRule="auto"/>
        <w:rPr/>
      </w:pPr>
      <w:r/>
    </w:p>
    <w:p>
      <w:pPr>
        <w:ind w:left="320"/>
        <w:spacing w:before="53" w:line="220" w:lineRule="auto"/>
        <w:rPr>
          <w:rFonts w:ascii="SimSun" w:hAnsi="SimSun" w:eastAsia="SimSun" w:cs="SimSun"/>
          <w:sz w:val="16"/>
          <w:szCs w:val="16"/>
        </w:rPr>
      </w:pPr>
      <w:r>
        <w:rPr>
          <w:rFonts w:ascii="SimSun" w:hAnsi="SimSun" w:eastAsia="SimSun" w:cs="SimSun"/>
          <w:sz w:val="16"/>
          <w:szCs w:val="16"/>
          <w:spacing w:val="-13"/>
        </w:rPr>
        <w:t>S1.2</w:t>
      </w:r>
      <w:r>
        <w:rPr>
          <w:rFonts w:ascii="SimSun" w:hAnsi="SimSun" w:eastAsia="SimSun" w:cs="SimSun"/>
          <w:sz w:val="16"/>
          <w:szCs w:val="16"/>
          <w:spacing w:val="-23"/>
        </w:rPr>
        <w:t xml:space="preserve"> </w:t>
      </w:r>
      <w:r>
        <w:rPr>
          <w:rFonts w:ascii="SimSun" w:hAnsi="SimSun" w:eastAsia="SimSun" w:cs="SimSun"/>
          <w:sz w:val="16"/>
          <w:szCs w:val="16"/>
          <w:spacing w:val="-13"/>
        </w:rPr>
        <w:t>确定体系范围</w:t>
      </w:r>
    </w:p>
    <w:p>
      <w:pPr>
        <w:pStyle w:val="BodyText"/>
        <w:spacing w:line="274" w:lineRule="auto"/>
        <w:rPr/>
      </w:pPr>
      <w:r/>
    </w:p>
    <w:p>
      <w:pPr>
        <w:ind w:left="219"/>
        <w:spacing w:before="52" w:line="219" w:lineRule="auto"/>
        <w:rPr>
          <w:rFonts w:ascii="SimSun" w:hAnsi="SimSun" w:eastAsia="SimSun" w:cs="SimSun"/>
          <w:sz w:val="16"/>
          <w:szCs w:val="16"/>
        </w:rPr>
      </w:pPr>
      <w:r>
        <w:rPr>
          <w:rFonts w:ascii="SimSun" w:hAnsi="SimSun" w:eastAsia="SimSun" w:cs="SimSun"/>
          <w:sz w:val="16"/>
          <w:szCs w:val="16"/>
          <w:spacing w:val="-13"/>
        </w:rPr>
        <w:t>S1.3</w:t>
      </w:r>
      <w:r>
        <w:rPr>
          <w:rFonts w:ascii="SimSun" w:hAnsi="SimSun" w:eastAsia="SimSun" w:cs="SimSun"/>
          <w:sz w:val="16"/>
          <w:szCs w:val="16"/>
          <w:spacing w:val="14"/>
        </w:rPr>
        <w:t xml:space="preserve"> </w:t>
      </w:r>
      <w:r>
        <w:rPr>
          <w:rFonts w:ascii="SimSun" w:hAnsi="SimSun" w:eastAsia="SimSun" w:cs="SimSun"/>
          <w:sz w:val="16"/>
          <w:szCs w:val="16"/>
          <w:spacing w:val="-13"/>
        </w:rPr>
        <w:t>建立组织与角色</w:t>
      </w:r>
    </w:p>
    <w:p>
      <w:pPr>
        <w:ind w:left="359"/>
        <w:spacing w:before="101" w:line="207" w:lineRule="auto"/>
        <w:rPr>
          <w:rFonts w:ascii="SimSun" w:hAnsi="SimSun" w:eastAsia="SimSun" w:cs="SimSun"/>
          <w:sz w:val="16"/>
          <w:szCs w:val="16"/>
        </w:rPr>
      </w:pPr>
      <w:r>
        <w:rPr>
          <w:rFonts w:ascii="SimSun" w:hAnsi="SimSun" w:eastAsia="SimSun" w:cs="SimSun"/>
          <w:sz w:val="16"/>
          <w:szCs w:val="16"/>
          <w:spacing w:val="-16"/>
        </w:rPr>
        <w:t>·建立组织架构</w:t>
      </w:r>
    </w:p>
    <w:p>
      <w:pPr>
        <w:ind w:left="359"/>
        <w:spacing w:before="1" w:line="219" w:lineRule="auto"/>
        <w:rPr>
          <w:rFonts w:ascii="SimSun" w:hAnsi="SimSun" w:eastAsia="SimSun" w:cs="SimSun"/>
          <w:sz w:val="16"/>
          <w:szCs w:val="16"/>
        </w:rPr>
      </w:pPr>
      <w:r>
        <w:rPr>
          <w:rFonts w:ascii="SimSun" w:hAnsi="SimSun" w:eastAsia="SimSun" w:cs="SimSun"/>
          <w:sz w:val="16"/>
          <w:szCs w:val="16"/>
          <w:spacing w:val="-16"/>
        </w:rPr>
        <w:t>·任命管理者代表</w:t>
      </w:r>
    </w:p>
    <w:p>
      <w:pPr>
        <w:pStyle w:val="BodyText"/>
        <w:spacing w:line="326" w:lineRule="auto"/>
        <w:rPr/>
      </w:pPr>
      <w:r/>
    </w:p>
    <w:p>
      <w:pPr>
        <w:ind w:left="219"/>
        <w:spacing w:before="52" w:line="208" w:lineRule="auto"/>
        <w:rPr>
          <w:rFonts w:ascii="SimSun" w:hAnsi="SimSun" w:eastAsia="SimSun" w:cs="SimSun"/>
          <w:sz w:val="16"/>
          <w:szCs w:val="16"/>
        </w:rPr>
      </w:pPr>
      <w:r>
        <w:rPr>
          <w:rFonts w:ascii="SimSun" w:hAnsi="SimSun" w:eastAsia="SimSun" w:cs="SimSun"/>
          <w:sz w:val="16"/>
          <w:szCs w:val="16"/>
          <w:spacing w:val="-5"/>
        </w:rPr>
        <w:t>S1.4制订体系建设和</w:t>
      </w:r>
    </w:p>
    <w:p>
      <w:pPr>
        <w:ind w:left="219"/>
        <w:spacing w:line="220" w:lineRule="auto"/>
        <w:rPr>
          <w:rFonts w:ascii="SimSun" w:hAnsi="SimSun" w:eastAsia="SimSun" w:cs="SimSun"/>
          <w:sz w:val="16"/>
          <w:szCs w:val="16"/>
        </w:rPr>
      </w:pPr>
      <w:r>
        <w:rPr>
          <w:rFonts w:ascii="SimSun" w:hAnsi="SimSun" w:eastAsia="SimSun" w:cs="SimSun"/>
          <w:sz w:val="16"/>
          <w:szCs w:val="16"/>
          <w:spacing w:val="-2"/>
        </w:rPr>
        <w:t>运行计划</w:t>
      </w:r>
    </w:p>
    <w:p>
      <w:pPr>
        <w:pStyle w:val="BodyText"/>
        <w:spacing w:line="344" w:lineRule="auto"/>
        <w:rPr/>
      </w:pPr>
      <w:r/>
    </w:p>
    <w:p>
      <w:pPr>
        <w:ind w:left="299"/>
        <w:spacing w:before="52" w:line="240" w:lineRule="exact"/>
        <w:rPr>
          <w:rFonts w:ascii="SimSun" w:hAnsi="SimSun" w:eastAsia="SimSun" w:cs="SimSun"/>
          <w:sz w:val="16"/>
          <w:szCs w:val="16"/>
        </w:rPr>
      </w:pPr>
      <w:r>
        <w:rPr>
          <w:rFonts w:ascii="SimSun" w:hAnsi="SimSun" w:eastAsia="SimSun" w:cs="SimSun"/>
          <w:sz w:val="16"/>
          <w:szCs w:val="16"/>
          <w:spacing w:val="-7"/>
          <w:position w:val="5"/>
        </w:rPr>
        <w:t>S1.5形成体系文件</w:t>
      </w:r>
    </w:p>
    <w:p>
      <w:pPr>
        <w:ind w:left="359"/>
        <w:spacing w:before="1" w:line="207" w:lineRule="auto"/>
        <w:rPr>
          <w:rFonts w:ascii="SimSun" w:hAnsi="SimSun" w:eastAsia="SimSun" w:cs="SimSun"/>
          <w:sz w:val="16"/>
          <w:szCs w:val="16"/>
        </w:rPr>
      </w:pPr>
      <w:r>
        <w:rPr>
          <w:rFonts w:ascii="SimSun" w:hAnsi="SimSun" w:eastAsia="SimSun" w:cs="SimSun"/>
          <w:sz w:val="16"/>
          <w:szCs w:val="16"/>
          <w:spacing w:val="-17"/>
        </w:rPr>
        <w:t>·制定数据策略</w:t>
      </w:r>
    </w:p>
    <w:p>
      <w:pPr>
        <w:ind w:left="359"/>
        <w:spacing w:line="219" w:lineRule="auto"/>
        <w:rPr>
          <w:rFonts w:ascii="SimSun" w:hAnsi="SimSun" w:eastAsia="SimSun" w:cs="SimSun"/>
          <w:sz w:val="16"/>
          <w:szCs w:val="16"/>
        </w:rPr>
      </w:pPr>
      <w:r>
        <w:rPr>
          <w:rFonts w:ascii="SimSun" w:hAnsi="SimSun" w:eastAsia="SimSun" w:cs="SimSun"/>
          <w:sz w:val="16"/>
          <w:szCs w:val="16"/>
          <w:spacing w:val="-17"/>
        </w:rPr>
        <w:t>·制定数据规程</w:t>
      </w:r>
    </w:p>
    <w:p>
      <w:pPr>
        <w:ind w:left="359"/>
        <w:spacing w:before="1" w:line="220" w:lineRule="auto"/>
        <w:rPr>
          <w:rFonts w:ascii="SimSun" w:hAnsi="SimSun" w:eastAsia="SimSun" w:cs="SimSun"/>
          <w:sz w:val="16"/>
          <w:szCs w:val="16"/>
        </w:rPr>
      </w:pPr>
      <w:r>
        <w:rPr>
          <w:rFonts w:ascii="SimSun" w:hAnsi="SimSun" w:eastAsia="SimSun" w:cs="SimSun"/>
          <w:sz w:val="16"/>
          <w:szCs w:val="16"/>
          <w:spacing w:val="-17"/>
        </w:rPr>
        <w:t>·定义绩效指标</w:t>
      </w:r>
    </w:p>
    <w:p>
      <w:pPr>
        <w:ind w:left="359"/>
        <w:spacing w:before="38" w:line="184" w:lineRule="auto"/>
        <w:rPr>
          <w:rFonts w:ascii="SimSun" w:hAnsi="SimSun" w:eastAsia="SimSun" w:cs="SimSun"/>
          <w:sz w:val="16"/>
          <w:szCs w:val="16"/>
        </w:rPr>
      </w:pPr>
      <w:r>
        <w:rPr>
          <w:rFonts w:ascii="SimSun" w:hAnsi="SimSun" w:eastAsia="SimSun" w:cs="SimSun"/>
          <w:sz w:val="16"/>
          <w:szCs w:val="16"/>
          <w:spacing w:val="-16"/>
        </w:rPr>
        <w:t>·文件评审与发布</w:t>
      </w:r>
    </w:p>
    <w:p>
      <w:pPr>
        <w:pStyle w:val="BodyText"/>
        <w:spacing w:line="14" w:lineRule="auto"/>
        <w:rPr>
          <w:sz w:val="2"/>
        </w:rPr>
      </w:pPr>
      <w:r>
        <w:rPr>
          <w:sz w:val="2"/>
          <w:szCs w:val="2"/>
        </w:rPr>
        <w:br w:type="column"/>
      </w:r>
    </w:p>
    <w:p>
      <w:pPr>
        <w:ind w:left="30"/>
        <w:spacing w:before="40" w:line="220" w:lineRule="auto"/>
        <w:rPr>
          <w:rFonts w:ascii="SimSun" w:hAnsi="SimSun" w:eastAsia="SimSun" w:cs="SimSun"/>
          <w:sz w:val="16"/>
          <w:szCs w:val="16"/>
        </w:rPr>
      </w:pPr>
      <w:r>
        <w:rPr>
          <w:rFonts w:ascii="SimSun" w:hAnsi="SimSun" w:eastAsia="SimSun" w:cs="SimSun"/>
          <w:sz w:val="16"/>
          <w:szCs w:val="16"/>
          <w:spacing w:val="-9"/>
        </w:rPr>
        <w:t>S2.1</w:t>
      </w:r>
      <w:r>
        <w:rPr>
          <w:rFonts w:ascii="SimSun" w:hAnsi="SimSun" w:eastAsia="SimSun" w:cs="SimSun"/>
          <w:sz w:val="16"/>
          <w:szCs w:val="16"/>
          <w:spacing w:val="-34"/>
        </w:rPr>
        <w:t xml:space="preserve"> </w:t>
      </w:r>
      <w:r>
        <w:rPr>
          <w:rFonts w:ascii="SimSun" w:hAnsi="SimSun" w:eastAsia="SimSun" w:cs="SimSun"/>
          <w:sz w:val="16"/>
          <w:szCs w:val="16"/>
          <w:spacing w:val="-9"/>
        </w:rPr>
        <w:t>体系宣贯</w:t>
      </w:r>
    </w:p>
    <w:p>
      <w:pPr>
        <w:pStyle w:val="BodyText"/>
        <w:spacing w:line="285" w:lineRule="auto"/>
        <w:rPr/>
      </w:pPr>
      <w:r/>
    </w:p>
    <w:p>
      <w:pPr>
        <w:ind w:left="30"/>
        <w:spacing w:before="52" w:line="220" w:lineRule="auto"/>
        <w:rPr>
          <w:rFonts w:ascii="SimSun" w:hAnsi="SimSun" w:eastAsia="SimSun" w:cs="SimSun"/>
          <w:sz w:val="16"/>
          <w:szCs w:val="16"/>
        </w:rPr>
      </w:pPr>
      <w:r>
        <w:rPr>
          <w:rFonts w:ascii="SimSun" w:hAnsi="SimSun" w:eastAsia="SimSun" w:cs="SimSun"/>
          <w:sz w:val="16"/>
          <w:szCs w:val="16"/>
          <w:spacing w:val="-7"/>
        </w:rPr>
        <w:t>S2.2</w:t>
      </w:r>
      <w:r>
        <w:rPr>
          <w:rFonts w:ascii="SimSun" w:hAnsi="SimSun" w:eastAsia="SimSun" w:cs="SimSun"/>
          <w:sz w:val="16"/>
          <w:szCs w:val="16"/>
          <w:spacing w:val="-33"/>
        </w:rPr>
        <w:t xml:space="preserve"> </w:t>
      </w:r>
      <w:r>
        <w:rPr>
          <w:rFonts w:ascii="SimSun" w:hAnsi="SimSun" w:eastAsia="SimSun" w:cs="SimSun"/>
          <w:sz w:val="16"/>
          <w:szCs w:val="16"/>
          <w:spacing w:val="-7"/>
        </w:rPr>
        <w:t>实施策划</w:t>
      </w:r>
    </w:p>
    <w:p>
      <w:pPr>
        <w:pStyle w:val="BodyText"/>
        <w:spacing w:line="265" w:lineRule="auto"/>
        <w:rPr/>
      </w:pPr>
      <w:r/>
    </w:p>
    <w:p>
      <w:pPr>
        <w:ind w:left="30"/>
        <w:spacing w:before="53" w:line="220" w:lineRule="auto"/>
        <w:rPr>
          <w:rFonts w:ascii="SimSun" w:hAnsi="SimSun" w:eastAsia="SimSun" w:cs="SimSun"/>
          <w:sz w:val="16"/>
          <w:szCs w:val="16"/>
        </w:rPr>
      </w:pPr>
      <w:r>
        <w:rPr>
          <w:rFonts w:ascii="SimSun" w:hAnsi="SimSun" w:eastAsia="SimSun" w:cs="SimSun"/>
          <w:sz w:val="16"/>
          <w:szCs w:val="16"/>
          <w:spacing w:val="-3"/>
        </w:rPr>
        <w:t>S2.3项目启动</w:t>
      </w:r>
    </w:p>
    <w:p>
      <w:pPr>
        <w:ind w:left="30"/>
        <w:spacing w:before="80" w:line="196" w:lineRule="auto"/>
        <w:rPr>
          <w:rFonts w:ascii="SimSun" w:hAnsi="SimSun" w:eastAsia="SimSun" w:cs="SimSun"/>
          <w:sz w:val="16"/>
          <w:szCs w:val="16"/>
        </w:rPr>
      </w:pPr>
      <w:r>
        <w:rPr>
          <w:rFonts w:ascii="SimSun" w:hAnsi="SimSun" w:eastAsia="SimSun" w:cs="SimSun"/>
          <w:sz w:val="16"/>
          <w:szCs w:val="16"/>
          <w:spacing w:val="-21"/>
        </w:rPr>
        <w:t>·项目目标</w:t>
      </w:r>
    </w:p>
    <w:p>
      <w:pPr>
        <w:ind w:left="30"/>
        <w:spacing w:line="220" w:lineRule="auto"/>
        <w:rPr>
          <w:rFonts w:ascii="SimSun" w:hAnsi="SimSun" w:eastAsia="SimSun" w:cs="SimSun"/>
          <w:sz w:val="16"/>
          <w:szCs w:val="16"/>
        </w:rPr>
      </w:pPr>
      <w:r>
        <w:rPr>
          <w:rFonts w:ascii="SimSun" w:hAnsi="SimSun" w:eastAsia="SimSun" w:cs="SimSun"/>
          <w:sz w:val="16"/>
          <w:szCs w:val="16"/>
          <w:spacing w:val="-20"/>
        </w:rPr>
        <w:t>·项目范围</w:t>
      </w:r>
    </w:p>
    <w:p>
      <w:pPr>
        <w:ind w:left="30"/>
        <w:spacing w:before="9" w:line="220" w:lineRule="auto"/>
        <w:rPr>
          <w:rFonts w:ascii="SimSun" w:hAnsi="SimSun" w:eastAsia="SimSun" w:cs="SimSun"/>
          <w:sz w:val="16"/>
          <w:szCs w:val="16"/>
        </w:rPr>
      </w:pPr>
      <w:r>
        <w:rPr>
          <w:rFonts w:ascii="SimSun" w:hAnsi="SimSun" w:eastAsia="SimSun" w:cs="SimSun"/>
          <w:sz w:val="16"/>
          <w:szCs w:val="16"/>
          <w:spacing w:val="-16"/>
        </w:rPr>
        <w:t>·项目组织架构</w:t>
      </w:r>
    </w:p>
    <w:p>
      <w:pPr>
        <w:ind w:left="30"/>
        <w:spacing w:before="229" w:line="220" w:lineRule="auto"/>
        <w:rPr>
          <w:rFonts w:ascii="SimSun" w:hAnsi="SimSun" w:eastAsia="SimSun" w:cs="SimSun"/>
          <w:sz w:val="16"/>
          <w:szCs w:val="16"/>
        </w:rPr>
      </w:pPr>
      <w:r>
        <w:rPr>
          <w:rFonts w:ascii="Times New Roman" w:hAnsi="Times New Roman" w:eastAsia="Times New Roman" w:cs="Times New Roman"/>
          <w:sz w:val="16"/>
          <w:szCs w:val="16"/>
        </w:rPr>
        <w:t>S2.4</w:t>
      </w:r>
      <w:r>
        <w:rPr>
          <w:rFonts w:ascii="SimSun" w:hAnsi="SimSun" w:eastAsia="SimSun" w:cs="SimSun"/>
          <w:sz w:val="16"/>
          <w:szCs w:val="16"/>
        </w:rPr>
        <w:t>项目实施</w:t>
      </w:r>
    </w:p>
    <w:p>
      <w:pPr>
        <w:spacing w:before="109" w:line="208" w:lineRule="auto"/>
        <w:rPr>
          <w:rFonts w:ascii="SimSun" w:hAnsi="SimSun" w:eastAsia="SimSun" w:cs="SimSun"/>
          <w:sz w:val="16"/>
          <w:szCs w:val="16"/>
        </w:rPr>
      </w:pPr>
      <w:r>
        <w:rPr>
          <w:rFonts w:ascii="SimSun" w:hAnsi="SimSun" w:eastAsia="SimSun" w:cs="SimSun"/>
          <w:sz w:val="16"/>
          <w:szCs w:val="16"/>
          <w:spacing w:val="-17"/>
        </w:rPr>
        <w:t>·制定路线图</w:t>
      </w:r>
    </w:p>
    <w:p>
      <w:pPr>
        <w:spacing w:line="219" w:lineRule="auto"/>
        <w:rPr>
          <w:rFonts w:ascii="SimSun" w:hAnsi="SimSun" w:eastAsia="SimSun" w:cs="SimSun"/>
          <w:sz w:val="16"/>
          <w:szCs w:val="16"/>
        </w:rPr>
      </w:pPr>
      <w:r>
        <w:rPr>
          <w:rFonts w:ascii="SimSun" w:hAnsi="SimSun" w:eastAsia="SimSun" w:cs="SimSun"/>
          <w:sz w:val="16"/>
          <w:szCs w:val="16"/>
          <w:spacing w:val="-14"/>
        </w:rPr>
        <w:t>·定义业务词汇表</w:t>
      </w:r>
    </w:p>
    <w:p>
      <w:pPr>
        <w:spacing w:line="196" w:lineRule="auto"/>
        <w:rPr>
          <w:rFonts w:ascii="SimSun" w:hAnsi="SimSun" w:eastAsia="SimSun" w:cs="SimSun"/>
          <w:sz w:val="16"/>
          <w:szCs w:val="16"/>
        </w:rPr>
      </w:pPr>
      <w:r>
        <w:rPr>
          <w:rFonts w:ascii="SimSun" w:hAnsi="SimSun" w:eastAsia="SimSun" w:cs="SimSun"/>
          <w:sz w:val="16"/>
          <w:szCs w:val="16"/>
          <w:spacing w:val="-15"/>
        </w:rPr>
        <w:t>·管理元数据</w:t>
      </w:r>
    </w:p>
    <w:p>
      <w:pPr>
        <w:spacing w:line="219" w:lineRule="auto"/>
        <w:rPr>
          <w:rFonts w:ascii="SimSun" w:hAnsi="SimSun" w:eastAsia="SimSun" w:cs="SimSun"/>
          <w:sz w:val="16"/>
          <w:szCs w:val="16"/>
        </w:rPr>
      </w:pPr>
      <w:r>
        <w:rPr>
          <w:rFonts w:ascii="SimSun" w:hAnsi="SimSun" w:eastAsia="SimSun" w:cs="SimSun"/>
          <w:sz w:val="16"/>
          <w:szCs w:val="16"/>
          <w:spacing w:val="-15"/>
        </w:rPr>
        <w:t>·管理主数据</w:t>
      </w:r>
    </w:p>
    <w:p>
      <w:pPr>
        <w:ind w:left="30"/>
        <w:spacing w:line="196" w:lineRule="auto"/>
        <w:rPr>
          <w:rFonts w:ascii="SimSun" w:hAnsi="SimSun" w:eastAsia="SimSun" w:cs="SimSun"/>
          <w:sz w:val="16"/>
          <w:szCs w:val="16"/>
        </w:rPr>
      </w:pPr>
      <w:r>
        <w:rPr>
          <w:rFonts w:ascii="SimSun" w:hAnsi="SimSun" w:eastAsia="SimSun" w:cs="SimSun"/>
          <w:sz w:val="16"/>
          <w:szCs w:val="16"/>
          <w:spacing w:val="-17"/>
        </w:rPr>
        <w:t>·提高数据质量</w:t>
      </w:r>
    </w:p>
    <w:p>
      <w:pPr>
        <w:ind w:left="30"/>
        <w:spacing w:before="1" w:line="219" w:lineRule="auto"/>
        <w:rPr>
          <w:rFonts w:ascii="SimSun" w:hAnsi="SimSun" w:eastAsia="SimSun" w:cs="SimSun"/>
          <w:sz w:val="16"/>
          <w:szCs w:val="16"/>
        </w:rPr>
      </w:pPr>
      <w:r>
        <w:rPr>
          <w:rFonts w:ascii="SimSun" w:hAnsi="SimSun" w:eastAsia="SimSun" w:cs="SimSun"/>
          <w:sz w:val="16"/>
          <w:szCs w:val="16"/>
          <w:spacing w:val="-16"/>
        </w:rPr>
        <w:t>·数据生命周期管理</w:t>
      </w:r>
    </w:p>
    <w:p>
      <w:pPr>
        <w:ind w:left="30"/>
        <w:spacing w:line="219" w:lineRule="auto"/>
        <w:rPr>
          <w:rFonts w:ascii="SimSun" w:hAnsi="SimSun" w:eastAsia="SimSun" w:cs="SimSun"/>
          <w:sz w:val="16"/>
          <w:szCs w:val="16"/>
        </w:rPr>
      </w:pPr>
      <w:r>
        <w:rPr>
          <w:rFonts w:ascii="SimSun" w:hAnsi="SimSun" w:eastAsia="SimSun" w:cs="SimSun"/>
          <w:sz w:val="16"/>
          <w:szCs w:val="16"/>
          <w:spacing w:val="-17"/>
        </w:rPr>
        <w:t>·数据安全管理</w:t>
      </w:r>
    </w:p>
    <w:p>
      <w:pPr>
        <w:pStyle w:val="BodyText"/>
        <w:spacing w:line="256" w:lineRule="auto"/>
        <w:rPr/>
      </w:pPr>
      <w:r/>
    </w:p>
    <w:p>
      <w:pPr>
        <w:ind w:left="30"/>
        <w:spacing w:before="52" w:line="219" w:lineRule="auto"/>
        <w:rPr>
          <w:rFonts w:ascii="SimSun" w:hAnsi="SimSun" w:eastAsia="SimSun" w:cs="SimSun"/>
          <w:sz w:val="16"/>
          <w:szCs w:val="16"/>
        </w:rPr>
      </w:pPr>
      <w:r>
        <w:rPr>
          <w:rFonts w:ascii="SimSun" w:hAnsi="SimSun" w:eastAsia="SimSun" w:cs="SimSun"/>
          <w:sz w:val="16"/>
          <w:szCs w:val="16"/>
          <w:spacing w:val="-5"/>
        </w:rPr>
        <w:t>S2.5项目过程管理</w:t>
      </w:r>
    </w:p>
    <w:p>
      <w:pPr>
        <w:pStyle w:val="BodyText"/>
        <w:spacing w:line="14" w:lineRule="auto"/>
        <w:rPr>
          <w:sz w:val="2"/>
        </w:rPr>
      </w:pPr>
      <w:r>
        <w:rPr>
          <w:sz w:val="2"/>
          <w:szCs w:val="2"/>
        </w:rPr>
        <w:br w:type="column"/>
      </w:r>
    </w:p>
    <w:p>
      <w:pPr>
        <w:spacing w:before="48" w:line="218" w:lineRule="auto"/>
        <w:rPr>
          <w:rFonts w:ascii="SimSun" w:hAnsi="SimSun" w:eastAsia="SimSun" w:cs="SimSun"/>
          <w:sz w:val="16"/>
          <w:szCs w:val="16"/>
        </w:rPr>
      </w:pPr>
      <w:r>
        <w:rPr>
          <w:rFonts w:ascii="SimSun" w:hAnsi="SimSun" w:eastAsia="SimSun" w:cs="SimSun"/>
          <w:sz w:val="16"/>
          <w:szCs w:val="16"/>
          <w:spacing w:val="-4"/>
        </w:rPr>
        <w:t>S3.1绩效评估</w:t>
      </w:r>
    </w:p>
    <w:p>
      <w:pPr>
        <w:pStyle w:val="BodyText"/>
        <w:spacing w:line="278" w:lineRule="auto"/>
        <w:rPr/>
      </w:pPr>
      <w:r/>
    </w:p>
    <w:p>
      <w:pPr>
        <w:spacing w:before="53" w:line="219" w:lineRule="auto"/>
        <w:rPr>
          <w:rFonts w:ascii="SimSun" w:hAnsi="SimSun" w:eastAsia="SimSun" w:cs="SimSun"/>
          <w:sz w:val="16"/>
          <w:szCs w:val="16"/>
        </w:rPr>
      </w:pPr>
      <w:r>
        <w:rPr>
          <w:rFonts w:ascii="SimSun" w:hAnsi="SimSun" w:eastAsia="SimSun" w:cs="SimSun"/>
          <w:sz w:val="16"/>
          <w:szCs w:val="16"/>
          <w:spacing w:val="-4"/>
        </w:rPr>
        <w:t>S3.2内部审计</w:t>
      </w:r>
    </w:p>
    <w:p>
      <w:pPr>
        <w:pStyle w:val="BodyText"/>
        <w:spacing w:line="306" w:lineRule="auto"/>
        <w:rPr/>
      </w:pPr>
      <w:r/>
    </w:p>
    <w:p>
      <w:pPr>
        <w:spacing w:before="53" w:line="220" w:lineRule="auto"/>
        <w:rPr>
          <w:rFonts w:ascii="SimSun" w:hAnsi="SimSun" w:eastAsia="SimSun" w:cs="SimSun"/>
          <w:sz w:val="16"/>
          <w:szCs w:val="16"/>
        </w:rPr>
      </w:pPr>
      <w:r>
        <w:rPr>
          <w:rFonts w:ascii="SimSun" w:hAnsi="SimSun" w:eastAsia="SimSun" w:cs="SimSun"/>
          <w:sz w:val="16"/>
          <w:szCs w:val="16"/>
          <w:spacing w:val="-9"/>
        </w:rPr>
        <w:t>S3.3</w:t>
      </w:r>
      <w:r>
        <w:rPr>
          <w:rFonts w:ascii="SimSun" w:hAnsi="SimSun" w:eastAsia="SimSun" w:cs="SimSun"/>
          <w:sz w:val="16"/>
          <w:szCs w:val="16"/>
          <w:spacing w:val="-35"/>
        </w:rPr>
        <w:t xml:space="preserve"> </w:t>
      </w:r>
      <w:r>
        <w:rPr>
          <w:rFonts w:ascii="SimSun" w:hAnsi="SimSun" w:eastAsia="SimSun" w:cs="SimSun"/>
          <w:sz w:val="16"/>
          <w:szCs w:val="16"/>
          <w:spacing w:val="-9"/>
        </w:rPr>
        <w:t>安全审计</w:t>
      </w:r>
    </w:p>
    <w:p>
      <w:pPr>
        <w:pStyle w:val="BodyText"/>
        <w:spacing w:line="14" w:lineRule="auto"/>
        <w:rPr>
          <w:sz w:val="2"/>
        </w:rPr>
      </w:pPr>
      <w:r>
        <w:rPr>
          <w:sz w:val="2"/>
          <w:szCs w:val="2"/>
        </w:rPr>
        <w:br w:type="column"/>
      </w:r>
    </w:p>
    <w:p>
      <w:pPr>
        <w:spacing w:before="50" w:line="219" w:lineRule="auto"/>
        <w:rPr>
          <w:rFonts w:ascii="SimSun" w:hAnsi="SimSun" w:eastAsia="SimSun" w:cs="SimSun"/>
          <w:sz w:val="16"/>
          <w:szCs w:val="16"/>
        </w:rPr>
      </w:pPr>
      <w:r>
        <w:rPr>
          <w:rFonts w:ascii="SimSun" w:hAnsi="SimSun" w:eastAsia="SimSun" w:cs="SimSun"/>
          <w:sz w:val="16"/>
          <w:szCs w:val="16"/>
          <w:spacing w:val="-5"/>
        </w:rPr>
        <w:t>S4.1制订改进计划</w:t>
      </w:r>
    </w:p>
    <w:p>
      <w:pPr>
        <w:pStyle w:val="BodyText"/>
        <w:spacing w:line="276" w:lineRule="auto"/>
        <w:rPr/>
      </w:pPr>
      <w:r/>
    </w:p>
    <w:p>
      <w:pPr>
        <w:ind w:left="50"/>
        <w:spacing w:before="52" w:line="219" w:lineRule="auto"/>
        <w:rPr>
          <w:rFonts w:ascii="SimSun" w:hAnsi="SimSun" w:eastAsia="SimSun" w:cs="SimSun"/>
          <w:sz w:val="16"/>
          <w:szCs w:val="16"/>
        </w:rPr>
      </w:pPr>
      <w:r>
        <w:rPr>
          <w:rFonts w:ascii="SimSun" w:hAnsi="SimSun" w:eastAsia="SimSun" w:cs="SimSun"/>
          <w:sz w:val="16"/>
          <w:szCs w:val="16"/>
          <w:spacing w:val="-8"/>
        </w:rPr>
        <w:t>S4.2</w:t>
      </w:r>
      <w:r>
        <w:rPr>
          <w:rFonts w:ascii="SimSun" w:hAnsi="SimSun" w:eastAsia="SimSun" w:cs="SimSun"/>
          <w:sz w:val="16"/>
          <w:szCs w:val="16"/>
          <w:spacing w:val="-37"/>
        </w:rPr>
        <w:t xml:space="preserve"> </w:t>
      </w:r>
      <w:r>
        <w:rPr>
          <w:rFonts w:ascii="SimSun" w:hAnsi="SimSun" w:eastAsia="SimSun" w:cs="SimSun"/>
          <w:sz w:val="16"/>
          <w:szCs w:val="16"/>
          <w:spacing w:val="-8"/>
        </w:rPr>
        <w:t>实施改进措施</w:t>
      </w:r>
    </w:p>
    <w:p>
      <w:pPr>
        <w:spacing w:line="219" w:lineRule="auto"/>
        <w:sectPr>
          <w:type w:val="continuous"/>
          <w:pgSz w:w="8870" w:h="13400"/>
          <w:pgMar w:top="400" w:right="671" w:bottom="525" w:left="390" w:header="0" w:footer="306" w:gutter="0"/>
          <w:cols w:equalWidth="0" w:num="4">
            <w:col w:w="2180" w:space="100"/>
            <w:col w:w="1931" w:space="100"/>
            <w:col w:w="1600" w:space="100"/>
            <w:col w:w="1799" w:space="0"/>
          </w:cols>
        </w:sectPr>
        <w:rPr>
          <w:rFonts w:ascii="SimSun" w:hAnsi="SimSun" w:eastAsia="SimSun" w:cs="SimSun"/>
          <w:sz w:val="16"/>
          <w:szCs w:val="16"/>
        </w:rPr>
      </w:pPr>
    </w:p>
    <w:p>
      <w:pPr>
        <w:ind w:left="2789"/>
        <w:spacing w:before="231" w:line="187" w:lineRule="auto"/>
        <w:rPr>
          <w:rFonts w:ascii="SimHei" w:hAnsi="SimHei" w:eastAsia="SimHei" w:cs="SimHei"/>
          <w:sz w:val="16"/>
          <w:szCs w:val="16"/>
        </w:rPr>
      </w:pPr>
      <w:r>
        <w:rPr>
          <w:rFonts w:ascii="SimHei" w:hAnsi="SimHei" w:eastAsia="SimHei" w:cs="SimHei"/>
          <w:sz w:val="16"/>
          <w:szCs w:val="16"/>
          <w:spacing w:val="13"/>
        </w:rPr>
        <w:t>图10</w:t>
      </w:r>
      <w:r>
        <w:rPr>
          <w:rFonts w:ascii="SimHei" w:hAnsi="SimHei" w:eastAsia="SimHei" w:cs="SimHei"/>
          <w:sz w:val="16"/>
          <w:szCs w:val="16"/>
          <w:spacing w:val="-40"/>
        </w:rPr>
        <w:t xml:space="preserve"> </w:t>
      </w:r>
      <w:r>
        <w:rPr>
          <w:rFonts w:ascii="SimHei" w:hAnsi="SimHei" w:eastAsia="SimHei" w:cs="SimHei"/>
          <w:sz w:val="16"/>
          <w:szCs w:val="16"/>
          <w:spacing w:val="13"/>
        </w:rPr>
        <w:t>-</w:t>
      </w:r>
      <w:r>
        <w:rPr>
          <w:rFonts w:ascii="SimHei" w:hAnsi="SimHei" w:eastAsia="SimHei" w:cs="SimHei"/>
          <w:sz w:val="16"/>
          <w:szCs w:val="16"/>
          <w:spacing w:val="-46"/>
        </w:rPr>
        <w:t xml:space="preserve"> </w:t>
      </w:r>
      <w:r>
        <w:rPr>
          <w:rFonts w:ascii="SimHei" w:hAnsi="SimHei" w:eastAsia="SimHei" w:cs="SimHei"/>
          <w:sz w:val="16"/>
          <w:szCs w:val="16"/>
          <w:spacing w:val="13"/>
        </w:rPr>
        <w:t>2</w:t>
      </w:r>
      <w:r>
        <w:rPr>
          <w:rFonts w:ascii="SimHei" w:hAnsi="SimHei" w:eastAsia="SimHei" w:cs="SimHei"/>
          <w:sz w:val="16"/>
          <w:szCs w:val="16"/>
          <w:spacing w:val="69"/>
        </w:rPr>
        <w:t xml:space="preserve"> </w:t>
      </w:r>
      <w:r>
        <w:rPr>
          <w:rFonts w:ascii="Times New Roman" w:hAnsi="Times New Roman" w:eastAsia="Times New Roman" w:cs="Times New Roman"/>
          <w:sz w:val="16"/>
          <w:szCs w:val="16"/>
        </w:rPr>
        <w:t>CDGS</w:t>
      </w:r>
      <w:r>
        <w:rPr>
          <w:rFonts w:ascii="Times New Roman" w:hAnsi="Times New Roman" w:eastAsia="Times New Roman" w:cs="Times New Roman"/>
          <w:sz w:val="16"/>
          <w:szCs w:val="16"/>
          <w:spacing w:val="13"/>
        </w:rPr>
        <w:t xml:space="preserve">   </w:t>
      </w:r>
      <w:r>
        <w:rPr>
          <w:rFonts w:ascii="SimHei" w:hAnsi="SimHei" w:eastAsia="SimHei" w:cs="SimHei"/>
          <w:sz w:val="16"/>
          <w:szCs w:val="16"/>
          <w:spacing w:val="13"/>
        </w:rPr>
        <w:t>过程模型</w:t>
      </w:r>
    </w:p>
    <w:p>
      <w:pPr>
        <w:spacing w:line="187" w:lineRule="auto"/>
        <w:sectPr>
          <w:type w:val="continuous"/>
          <w:pgSz w:w="8870" w:h="13400"/>
          <w:pgMar w:top="400" w:right="671" w:bottom="525" w:left="390" w:header="0" w:footer="306" w:gutter="0"/>
          <w:cols w:equalWidth="0" w:num="1">
            <w:col w:w="7809" w:space="0"/>
          </w:cols>
        </w:sectPr>
        <w:rPr>
          <w:rFonts w:ascii="SimHei" w:hAnsi="SimHei" w:eastAsia="SimHei" w:cs="SimHei"/>
          <w:sz w:val="16"/>
          <w:szCs w:val="16"/>
        </w:rPr>
      </w:pP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155"/>
        <w:spacing w:before="130" w:line="221" w:lineRule="auto"/>
        <w:rPr>
          <w:rFonts w:ascii="SimHei" w:hAnsi="SimHei" w:eastAsia="SimHei" w:cs="SimHei"/>
          <w:sz w:val="40"/>
          <w:szCs w:val="40"/>
        </w:rPr>
      </w:pPr>
      <w:r>
        <w:rPr>
          <w:rFonts w:ascii="SimHei" w:hAnsi="SimHei" w:eastAsia="SimHei" w:cs="SimHei"/>
          <w:sz w:val="40"/>
          <w:szCs w:val="40"/>
          <w:b/>
          <w:bCs/>
          <w:spacing w:val="15"/>
        </w:rPr>
        <w:t>第11章</w:t>
      </w:r>
      <w:r>
        <w:rPr>
          <w:rFonts w:ascii="SimHei" w:hAnsi="SimHei" w:eastAsia="SimHei" w:cs="SimHei"/>
          <w:sz w:val="40"/>
          <w:szCs w:val="40"/>
          <w:spacing w:val="207"/>
        </w:rPr>
        <w:t xml:space="preserve"> </w:t>
      </w:r>
      <w:r>
        <w:rPr>
          <w:rFonts w:ascii="SimHei" w:hAnsi="SimHei" w:eastAsia="SimHei" w:cs="SimHei"/>
          <w:sz w:val="40"/>
          <w:szCs w:val="40"/>
          <w:b/>
          <w:bCs/>
          <w:spacing w:val="15"/>
        </w:rPr>
        <w:t>云端数据治理体系实施</w:t>
      </w:r>
    </w:p>
    <w:p>
      <w:pPr>
        <w:pStyle w:val="BodyText"/>
        <w:spacing w:line="268" w:lineRule="auto"/>
        <w:rPr/>
      </w:pPr>
      <w:r/>
    </w:p>
    <w:p>
      <w:pPr>
        <w:pStyle w:val="BodyText"/>
        <w:spacing w:line="268" w:lineRule="auto"/>
        <w:rPr/>
      </w:pPr>
      <w:r/>
    </w:p>
    <w:p>
      <w:pPr>
        <w:ind w:left="304"/>
        <w:spacing w:before="110" w:line="221" w:lineRule="auto"/>
        <w:outlineLvl w:val="4"/>
        <w:rPr>
          <w:rFonts w:ascii="SimHei" w:hAnsi="SimHei" w:eastAsia="SimHei" w:cs="SimHei"/>
          <w:sz w:val="34"/>
          <w:szCs w:val="34"/>
        </w:rPr>
      </w:pPr>
      <w:r>
        <w:rPr>
          <w:rFonts w:ascii="SimHei" w:hAnsi="SimHei" w:eastAsia="SimHei" w:cs="SimHei"/>
          <w:sz w:val="34"/>
          <w:szCs w:val="34"/>
          <w:b/>
          <w:bCs/>
          <w:spacing w:val="-13"/>
        </w:rPr>
        <w:t>11.1</w:t>
      </w:r>
      <w:r>
        <w:rPr>
          <w:rFonts w:ascii="SimHei" w:hAnsi="SimHei" w:eastAsia="SimHei" w:cs="SimHei"/>
          <w:sz w:val="34"/>
          <w:szCs w:val="34"/>
          <w:spacing w:val="156"/>
        </w:rPr>
        <w:t xml:space="preserve"> </w:t>
      </w:r>
      <w:r>
        <w:rPr>
          <w:rFonts w:ascii="SimHei" w:hAnsi="SimHei" w:eastAsia="SimHei" w:cs="SimHei"/>
          <w:sz w:val="34"/>
          <w:szCs w:val="34"/>
          <w:b/>
          <w:bCs/>
          <w:spacing w:val="-13"/>
        </w:rPr>
        <w:t>统筹和规划</w:t>
      </w:r>
    </w:p>
    <w:p>
      <w:pPr>
        <w:pStyle w:val="BodyText"/>
        <w:spacing w:line="342" w:lineRule="auto"/>
        <w:rPr/>
      </w:pPr>
      <w:r/>
    </w:p>
    <w:p>
      <w:pPr>
        <w:ind w:left="299" w:firstLine="419"/>
        <w:spacing w:before="71" w:line="247" w:lineRule="auto"/>
        <w:rPr>
          <w:rFonts w:ascii="SimSun" w:hAnsi="SimSun" w:eastAsia="SimSun" w:cs="SimSun"/>
          <w:sz w:val="22"/>
          <w:szCs w:val="22"/>
        </w:rPr>
      </w:pPr>
      <w:r>
        <w:rPr>
          <w:rFonts w:ascii="SimSun" w:hAnsi="SimSun" w:eastAsia="SimSun" w:cs="SimSun"/>
          <w:sz w:val="22"/>
          <w:szCs w:val="22"/>
          <w:spacing w:val="-3"/>
        </w:rPr>
        <w:t>云端数据治理体系的统筹和规划阶段目标是要统</w:t>
      </w:r>
      <w:r>
        <w:rPr>
          <w:rFonts w:ascii="SimSun" w:hAnsi="SimSun" w:eastAsia="SimSun" w:cs="SimSun"/>
          <w:sz w:val="22"/>
          <w:szCs w:val="22"/>
          <w:spacing w:val="-4"/>
        </w:rPr>
        <w:t>筹和规划体系战略和目标，</w:t>
      </w:r>
      <w:r>
        <w:rPr>
          <w:rFonts w:ascii="SimSun" w:hAnsi="SimSun" w:eastAsia="SimSun" w:cs="SimSun"/>
          <w:sz w:val="22"/>
          <w:szCs w:val="22"/>
        </w:rPr>
        <w:t xml:space="preserve"> </w:t>
      </w:r>
      <w:r>
        <w:rPr>
          <w:rFonts w:ascii="SimSun" w:hAnsi="SimSun" w:eastAsia="SimSun" w:cs="SimSun"/>
          <w:sz w:val="22"/>
          <w:szCs w:val="22"/>
          <w:spacing w:val="-2"/>
        </w:rPr>
        <w:t>谋划必要的治理环境，做好云端数据治理实施的准备。统筹和规划阶段的主</w:t>
      </w:r>
      <w:r>
        <w:rPr>
          <w:rFonts w:ascii="SimSun" w:hAnsi="SimSun" w:eastAsia="SimSun" w:cs="SimSun"/>
          <w:sz w:val="22"/>
          <w:szCs w:val="22"/>
          <w:spacing w:val="-3"/>
        </w:rPr>
        <w:t>要内</w:t>
      </w:r>
      <w:r>
        <w:rPr>
          <w:rFonts w:ascii="SimSun" w:hAnsi="SimSun" w:eastAsia="SimSun" w:cs="SimSun"/>
          <w:sz w:val="22"/>
          <w:szCs w:val="22"/>
        </w:rPr>
        <w:t xml:space="preserve"> </w:t>
      </w:r>
      <w:r>
        <w:rPr>
          <w:rFonts w:ascii="SimSun" w:hAnsi="SimSun" w:eastAsia="SimSun" w:cs="SimSun"/>
          <w:sz w:val="22"/>
          <w:szCs w:val="22"/>
          <w:spacing w:val="-12"/>
        </w:rPr>
        <w:t>容包括：</w:t>
      </w:r>
    </w:p>
    <w:p>
      <w:pPr>
        <w:ind w:right="21"/>
        <w:spacing w:before="57" w:line="219" w:lineRule="auto"/>
        <w:jc w:val="right"/>
        <w:rPr>
          <w:rFonts w:ascii="SimSun" w:hAnsi="SimSun" w:eastAsia="SimSun" w:cs="SimSun"/>
          <w:sz w:val="22"/>
          <w:szCs w:val="22"/>
        </w:rPr>
      </w:pPr>
      <w:r>
        <w:rPr>
          <w:rFonts w:ascii="SimSun" w:hAnsi="SimSun" w:eastAsia="SimSun" w:cs="SimSun"/>
          <w:sz w:val="22"/>
          <w:szCs w:val="22"/>
          <w:spacing w:val="-9"/>
        </w:rPr>
        <w:t>●制订云端数据治理体系战略，规划云端数据治理体系的目标、范围和方法；</w:t>
      </w:r>
    </w:p>
    <w:p>
      <w:pPr>
        <w:ind w:left="978" w:right="21" w:hanging="259"/>
        <w:spacing w:before="36" w:line="244" w:lineRule="auto"/>
        <w:rPr>
          <w:rFonts w:ascii="SimSun" w:hAnsi="SimSun" w:eastAsia="SimSun" w:cs="SimSun"/>
          <w:sz w:val="22"/>
          <w:szCs w:val="22"/>
        </w:rPr>
      </w:pPr>
      <w:r>
        <w:rPr>
          <w:rFonts w:ascii="SimSun" w:hAnsi="SimSun" w:eastAsia="SimSun" w:cs="SimSun"/>
          <w:sz w:val="22"/>
          <w:szCs w:val="22"/>
          <w:spacing w:val="-9"/>
        </w:rPr>
        <w:t>●明确云端数据治理体系的组织机构、治理主体、职责分工，以及利益相关方</w:t>
      </w:r>
      <w:r>
        <w:rPr>
          <w:rFonts w:ascii="SimSun" w:hAnsi="SimSun" w:eastAsia="SimSun" w:cs="SimSun"/>
          <w:sz w:val="22"/>
          <w:szCs w:val="22"/>
          <w:spacing w:val="13"/>
        </w:rPr>
        <w:t xml:space="preserve"> </w:t>
      </w:r>
      <w:r>
        <w:rPr>
          <w:rFonts w:ascii="SimSun" w:hAnsi="SimSun" w:eastAsia="SimSun" w:cs="SimSun"/>
          <w:sz w:val="22"/>
          <w:szCs w:val="22"/>
          <w:spacing w:val="-14"/>
        </w:rPr>
        <w:t>的沟通机制；</w:t>
      </w:r>
    </w:p>
    <w:p>
      <w:pPr>
        <w:ind w:left="978" w:right="29" w:hanging="259"/>
        <w:spacing w:before="48"/>
        <w:rPr>
          <w:rFonts w:ascii="SimSun" w:hAnsi="SimSun" w:eastAsia="SimSun" w:cs="SimSun"/>
          <w:sz w:val="22"/>
          <w:szCs w:val="22"/>
        </w:rPr>
      </w:pPr>
      <w:r>
        <w:rPr>
          <w:rFonts w:ascii="SimSun" w:hAnsi="SimSun" w:eastAsia="SimSun" w:cs="SimSun"/>
          <w:sz w:val="22"/>
          <w:szCs w:val="22"/>
          <w:spacing w:val="-9"/>
        </w:rPr>
        <w:t>●统筹规划资源，制订体系建设和运行计划，明确构建和运行、监督和评估、</w:t>
      </w:r>
      <w:r>
        <w:rPr>
          <w:rFonts w:ascii="SimSun" w:hAnsi="SimSun" w:eastAsia="SimSun" w:cs="SimSun"/>
          <w:sz w:val="22"/>
          <w:szCs w:val="22"/>
          <w:spacing w:val="5"/>
        </w:rPr>
        <w:t xml:space="preserve"> </w:t>
      </w:r>
      <w:r>
        <w:rPr>
          <w:rFonts w:ascii="SimSun" w:hAnsi="SimSun" w:eastAsia="SimSun" w:cs="SimSun"/>
          <w:sz w:val="22"/>
          <w:szCs w:val="22"/>
          <w:spacing w:val="-12"/>
        </w:rPr>
        <w:t>改进和优化阶段的内容、程序和机制；</w:t>
      </w:r>
    </w:p>
    <w:p>
      <w:pPr>
        <w:ind w:left="978" w:right="15" w:hanging="259"/>
        <w:spacing w:before="81" w:line="231" w:lineRule="auto"/>
        <w:rPr>
          <w:rFonts w:ascii="SimSun" w:hAnsi="SimSun" w:eastAsia="SimSun" w:cs="SimSun"/>
          <w:sz w:val="22"/>
          <w:szCs w:val="22"/>
        </w:rPr>
      </w:pPr>
      <w:r>
        <w:rPr>
          <w:rFonts w:ascii="SimSun" w:hAnsi="SimSun" w:eastAsia="SimSun" w:cs="SimSun"/>
          <w:sz w:val="22"/>
          <w:szCs w:val="22"/>
          <w:spacing w:val="-8"/>
        </w:rPr>
        <w:t>●根据体系战略、业务要求和利益相关方期</w:t>
      </w:r>
      <w:r>
        <w:rPr>
          <w:rFonts w:ascii="SimSun" w:hAnsi="SimSun" w:eastAsia="SimSun" w:cs="SimSun"/>
          <w:sz w:val="22"/>
          <w:szCs w:val="22"/>
          <w:spacing w:val="-9"/>
        </w:rPr>
        <w:t>望，制订云端数据策略和规程，定</w:t>
      </w:r>
      <w:r>
        <w:rPr>
          <w:rFonts w:ascii="SimSun" w:hAnsi="SimSun" w:eastAsia="SimSun" w:cs="SimSun"/>
          <w:sz w:val="22"/>
          <w:szCs w:val="22"/>
        </w:rPr>
        <w:t xml:space="preserve"> </w:t>
      </w:r>
      <w:r>
        <w:rPr>
          <w:rFonts w:ascii="SimSun" w:hAnsi="SimSun" w:eastAsia="SimSun" w:cs="SimSun"/>
          <w:sz w:val="22"/>
          <w:szCs w:val="22"/>
          <w:spacing w:val="-11"/>
        </w:rPr>
        <w:t>义绩效指标，并形成云端数据治理体系文件。</w:t>
      </w:r>
    </w:p>
    <w:p>
      <w:pPr>
        <w:ind w:left="303"/>
        <w:spacing w:before="288" w:line="222" w:lineRule="auto"/>
        <w:outlineLvl w:val="5"/>
        <w:rPr>
          <w:rFonts w:ascii="YouYuan" w:hAnsi="YouYuan" w:eastAsia="YouYuan" w:cs="YouYuan"/>
          <w:sz w:val="29"/>
          <w:szCs w:val="29"/>
        </w:rPr>
      </w:pPr>
      <w:r>
        <w:rPr>
          <w:rFonts w:ascii="YouYuan" w:hAnsi="YouYuan" w:eastAsia="YouYuan" w:cs="YouYuan"/>
          <w:sz w:val="29"/>
          <w:szCs w:val="29"/>
          <w:b/>
          <w:bCs/>
          <w:spacing w:val="-11"/>
        </w:rPr>
        <w:t>11.1.1</w:t>
      </w:r>
      <w:r>
        <w:rPr>
          <w:rFonts w:ascii="YouYuan" w:hAnsi="YouYuan" w:eastAsia="YouYuan" w:cs="YouYuan"/>
          <w:sz w:val="29"/>
          <w:szCs w:val="29"/>
          <w:spacing w:val="-11"/>
        </w:rPr>
        <w:t xml:space="preserve">  </w:t>
      </w:r>
      <w:r>
        <w:rPr>
          <w:rFonts w:ascii="YouYuan" w:hAnsi="YouYuan" w:eastAsia="YouYuan" w:cs="YouYuan"/>
          <w:sz w:val="29"/>
          <w:szCs w:val="29"/>
          <w:b/>
          <w:bCs/>
          <w:spacing w:val="-11"/>
        </w:rPr>
        <w:t>制订战略与目标</w:t>
      </w:r>
    </w:p>
    <w:p>
      <w:pPr>
        <w:pStyle w:val="BodyText"/>
        <w:spacing w:line="252" w:lineRule="auto"/>
        <w:rPr/>
      </w:pPr>
      <w:r/>
    </w:p>
    <w:p>
      <w:pPr>
        <w:ind w:left="723"/>
        <w:spacing w:before="71" w:line="224" w:lineRule="auto"/>
        <w:outlineLvl w:val="6"/>
        <w:rPr>
          <w:rFonts w:ascii="YouYuan" w:hAnsi="YouYuan" w:eastAsia="YouYuan" w:cs="YouYuan"/>
          <w:sz w:val="22"/>
          <w:szCs w:val="22"/>
        </w:rPr>
      </w:pPr>
      <w:r>
        <w:rPr>
          <w:rFonts w:ascii="YouYuan" w:hAnsi="YouYuan" w:eastAsia="YouYuan" w:cs="YouYuan"/>
          <w:sz w:val="22"/>
          <w:szCs w:val="22"/>
          <w:b/>
          <w:bCs/>
          <w:spacing w:val="-6"/>
        </w:rPr>
        <w:t>1.</w:t>
      </w:r>
      <w:r>
        <w:rPr>
          <w:rFonts w:ascii="YouYuan" w:hAnsi="YouYuan" w:eastAsia="YouYuan" w:cs="YouYuan"/>
          <w:sz w:val="22"/>
          <w:szCs w:val="22"/>
          <w:spacing w:val="-6"/>
        </w:rPr>
        <w:t xml:space="preserve"> </w:t>
      </w:r>
      <w:r>
        <w:rPr>
          <w:rFonts w:ascii="YouYuan" w:hAnsi="YouYuan" w:eastAsia="YouYuan" w:cs="YouYuan"/>
          <w:sz w:val="22"/>
          <w:szCs w:val="22"/>
          <w:b/>
          <w:bCs/>
          <w:spacing w:val="-6"/>
        </w:rPr>
        <w:t>制订体系战略</w:t>
      </w:r>
    </w:p>
    <w:p>
      <w:pPr>
        <w:ind w:left="299" w:right="9" w:firstLine="419"/>
        <w:spacing w:before="210" w:line="253" w:lineRule="auto"/>
        <w:rPr>
          <w:rFonts w:ascii="SimSun" w:hAnsi="SimSun" w:eastAsia="SimSun" w:cs="SimSun"/>
          <w:sz w:val="22"/>
          <w:szCs w:val="22"/>
        </w:rPr>
      </w:pPr>
      <w:r>
        <w:rPr>
          <w:rFonts w:ascii="SimSun" w:hAnsi="SimSun" w:eastAsia="SimSun" w:cs="SimSun"/>
          <w:sz w:val="22"/>
          <w:szCs w:val="22"/>
          <w:spacing w:val="-8"/>
        </w:rPr>
        <w:t>云端数据治理体系战略是对云端数据治理活动的</w:t>
      </w:r>
      <w:r>
        <w:rPr>
          <w:rFonts w:ascii="SimSun" w:hAnsi="SimSun" w:eastAsia="SimSun" w:cs="SimSun"/>
          <w:sz w:val="22"/>
          <w:szCs w:val="22"/>
          <w:spacing w:val="-9"/>
        </w:rPr>
        <w:t>顶层设计和远程规划，其目的</w:t>
      </w:r>
      <w:r>
        <w:rPr>
          <w:rFonts w:ascii="SimSun" w:hAnsi="SimSun" w:eastAsia="SimSun" w:cs="SimSun"/>
          <w:sz w:val="22"/>
          <w:szCs w:val="22"/>
        </w:rPr>
        <w:t xml:space="preserve"> </w:t>
      </w:r>
      <w:r>
        <w:rPr>
          <w:rFonts w:ascii="SimSun" w:hAnsi="SimSun" w:eastAsia="SimSun" w:cs="SimSun"/>
          <w:sz w:val="22"/>
          <w:szCs w:val="22"/>
          <w:spacing w:val="-8"/>
        </w:rPr>
        <w:t>是在云端数据治理活动得到数据治理相关者的理解和</w:t>
      </w:r>
      <w:r>
        <w:rPr>
          <w:rFonts w:ascii="SimSun" w:hAnsi="SimSun" w:eastAsia="SimSun" w:cs="SimSun"/>
          <w:sz w:val="22"/>
          <w:szCs w:val="22"/>
          <w:spacing w:val="-9"/>
        </w:rPr>
        <w:t>认同前提下，对未来一段时间</w:t>
      </w:r>
      <w:r>
        <w:rPr>
          <w:rFonts w:ascii="SimSun" w:hAnsi="SimSun" w:eastAsia="SimSun" w:cs="SimSun"/>
          <w:sz w:val="22"/>
          <w:szCs w:val="22"/>
        </w:rPr>
        <w:t xml:space="preserve"> </w:t>
      </w:r>
      <w:r>
        <w:rPr>
          <w:rFonts w:ascii="SimSun" w:hAnsi="SimSun" w:eastAsia="SimSun" w:cs="SimSun"/>
          <w:sz w:val="22"/>
          <w:szCs w:val="22"/>
          <w:spacing w:val="-8"/>
        </w:rPr>
        <w:t>内数据治理活动进行规划。为了获得云端数据利</w:t>
      </w:r>
      <w:r>
        <w:rPr>
          <w:rFonts w:ascii="SimSun" w:hAnsi="SimSun" w:eastAsia="SimSun" w:cs="SimSun"/>
          <w:sz w:val="22"/>
          <w:szCs w:val="22"/>
          <w:spacing w:val="-9"/>
        </w:rPr>
        <w:t>益相关者支持和认可，云端数据治</w:t>
      </w:r>
      <w:r>
        <w:rPr>
          <w:rFonts w:ascii="SimSun" w:hAnsi="SimSun" w:eastAsia="SimSun" w:cs="SimSun"/>
          <w:sz w:val="22"/>
          <w:szCs w:val="22"/>
        </w:rPr>
        <w:t xml:space="preserve"> </w:t>
      </w:r>
      <w:r>
        <w:rPr>
          <w:rFonts w:ascii="SimSun" w:hAnsi="SimSun" w:eastAsia="SimSun" w:cs="SimSun"/>
          <w:sz w:val="22"/>
          <w:szCs w:val="22"/>
          <w:spacing w:val="-9"/>
        </w:rPr>
        <w:t>理战略必须能够准确地反映云端数据提供者和数据消费者的业务期望，并考虑云端</w:t>
      </w:r>
      <w:r>
        <w:rPr>
          <w:rFonts w:ascii="SimSun" w:hAnsi="SimSun" w:eastAsia="SimSun" w:cs="SimSun"/>
          <w:sz w:val="22"/>
          <w:szCs w:val="22"/>
          <w:spacing w:val="13"/>
        </w:rPr>
        <w:t xml:space="preserve"> </w:t>
      </w:r>
      <w:r>
        <w:rPr>
          <w:rFonts w:ascii="SimSun" w:hAnsi="SimSun" w:eastAsia="SimSun" w:cs="SimSun"/>
          <w:sz w:val="22"/>
          <w:szCs w:val="22"/>
          <w:spacing w:val="-8"/>
        </w:rPr>
        <w:t>数据价值链上的所有相关参与者的利益，从</w:t>
      </w:r>
      <w:r>
        <w:rPr>
          <w:rFonts w:ascii="SimSun" w:hAnsi="SimSun" w:eastAsia="SimSun" w:cs="SimSun"/>
          <w:sz w:val="22"/>
          <w:szCs w:val="22"/>
          <w:spacing w:val="-9"/>
        </w:rPr>
        <w:t>而让利益相关者相信，云端数据治理的</w:t>
      </w:r>
      <w:r>
        <w:rPr>
          <w:rFonts w:ascii="SimSun" w:hAnsi="SimSun" w:eastAsia="SimSun" w:cs="SimSun"/>
          <w:sz w:val="22"/>
          <w:szCs w:val="22"/>
        </w:rPr>
        <w:t xml:space="preserve"> </w:t>
      </w:r>
      <w:r>
        <w:rPr>
          <w:rFonts w:ascii="SimSun" w:hAnsi="SimSun" w:eastAsia="SimSun" w:cs="SimSun"/>
          <w:sz w:val="22"/>
          <w:szCs w:val="22"/>
          <w:spacing w:val="-10"/>
        </w:rPr>
        <w:t>方案是有价值的。体系战略的制订一般包括以下三个阶段。</w:t>
      </w:r>
    </w:p>
    <w:p>
      <w:pPr>
        <w:ind w:left="719"/>
        <w:spacing w:before="80" w:line="226" w:lineRule="auto"/>
        <w:rPr>
          <w:rFonts w:ascii="KaiTi" w:hAnsi="KaiTi" w:eastAsia="KaiTi" w:cs="KaiTi"/>
          <w:sz w:val="22"/>
          <w:szCs w:val="22"/>
        </w:rPr>
      </w:pPr>
      <w:r>
        <w:rPr>
          <w:rFonts w:ascii="KaiTi" w:hAnsi="KaiTi" w:eastAsia="KaiTi" w:cs="KaiTi"/>
          <w:sz w:val="22"/>
          <w:szCs w:val="22"/>
          <w:spacing w:val="3"/>
        </w:rPr>
        <w:t>1)战略分析</w:t>
      </w:r>
    </w:p>
    <w:p>
      <w:pPr>
        <w:ind w:left="299" w:right="20" w:firstLine="419"/>
        <w:spacing w:before="32" w:line="244" w:lineRule="auto"/>
        <w:rPr>
          <w:rFonts w:ascii="SimSun" w:hAnsi="SimSun" w:eastAsia="SimSun" w:cs="SimSun"/>
          <w:sz w:val="22"/>
          <w:szCs w:val="22"/>
        </w:rPr>
      </w:pPr>
      <w:r>
        <w:rPr>
          <w:rFonts w:ascii="SimSun" w:hAnsi="SimSun" w:eastAsia="SimSun" w:cs="SimSun"/>
          <w:sz w:val="22"/>
          <w:szCs w:val="22"/>
          <w:spacing w:val="-9"/>
        </w:rPr>
        <w:t>总结影响组织云端数据治理体系的关键因素，并确定在战略选择步骤中的具体</w:t>
      </w:r>
      <w:r>
        <w:rPr>
          <w:rFonts w:ascii="SimSun" w:hAnsi="SimSun" w:eastAsia="SimSun" w:cs="SimSun"/>
          <w:sz w:val="22"/>
          <w:szCs w:val="22"/>
          <w:spacing w:val="14"/>
        </w:rPr>
        <w:t xml:space="preserve"> </w:t>
      </w:r>
      <w:r>
        <w:rPr>
          <w:rFonts w:ascii="SimSun" w:hAnsi="SimSun" w:eastAsia="SimSun" w:cs="SimSun"/>
          <w:sz w:val="22"/>
          <w:szCs w:val="22"/>
          <w:spacing w:val="-11"/>
        </w:rPr>
        <w:t>影响因素，它包括以下三个主要方面。</w:t>
      </w:r>
    </w:p>
    <w:p>
      <w:pPr>
        <w:ind w:left="299" w:firstLine="419"/>
        <w:spacing w:before="48" w:line="248" w:lineRule="auto"/>
        <w:rPr>
          <w:rFonts w:ascii="SimSun" w:hAnsi="SimSun" w:eastAsia="SimSun" w:cs="SimSun"/>
          <w:sz w:val="22"/>
          <w:szCs w:val="22"/>
        </w:rPr>
      </w:pPr>
      <w:r>
        <w:rPr>
          <w:rFonts w:ascii="SimSun" w:hAnsi="SimSun" w:eastAsia="SimSun" w:cs="SimSun"/>
          <w:sz w:val="22"/>
          <w:szCs w:val="22"/>
          <w:spacing w:val="-5"/>
        </w:rPr>
        <w:t>(1)分析组织的业务战略和目标，作为制订和评估组织云端数据治理体系战略</w:t>
      </w:r>
      <w:r>
        <w:rPr>
          <w:rFonts w:ascii="SimSun" w:hAnsi="SimSun" w:eastAsia="SimSun" w:cs="SimSun"/>
          <w:sz w:val="22"/>
          <w:szCs w:val="22"/>
          <w:spacing w:val="13"/>
        </w:rPr>
        <w:t xml:space="preserve"> </w:t>
      </w:r>
      <w:r>
        <w:rPr>
          <w:rFonts w:ascii="SimSun" w:hAnsi="SimSun" w:eastAsia="SimSun" w:cs="SimSun"/>
          <w:sz w:val="22"/>
          <w:szCs w:val="22"/>
          <w:spacing w:val="-15"/>
        </w:rPr>
        <w:t>的依据；</w:t>
      </w:r>
    </w:p>
    <w:p>
      <w:pPr>
        <w:ind w:left="299" w:firstLine="419"/>
        <w:spacing w:before="30" w:line="239" w:lineRule="auto"/>
        <w:rPr>
          <w:rFonts w:ascii="SimSun" w:hAnsi="SimSun" w:eastAsia="SimSun" w:cs="SimSun"/>
          <w:sz w:val="22"/>
          <w:szCs w:val="22"/>
        </w:rPr>
      </w:pPr>
      <w:r>
        <w:rPr>
          <w:rFonts w:ascii="SimSun" w:hAnsi="SimSun" w:eastAsia="SimSun" w:cs="SimSun"/>
          <w:sz w:val="22"/>
          <w:szCs w:val="22"/>
          <w:spacing w:val="-5"/>
        </w:rPr>
        <w:t>(2)对外部环境进行分析，包括国际、国内、地区和当地的各种法律法规、技</w:t>
      </w:r>
      <w:r>
        <w:rPr>
          <w:rFonts w:ascii="SimSun" w:hAnsi="SimSun" w:eastAsia="SimSun" w:cs="SimSun"/>
          <w:sz w:val="22"/>
          <w:szCs w:val="22"/>
          <w:spacing w:val="13"/>
        </w:rPr>
        <w:t xml:space="preserve"> </w:t>
      </w:r>
      <w:r>
        <w:rPr>
          <w:rFonts w:ascii="SimSun" w:hAnsi="SimSun" w:eastAsia="SimSun" w:cs="SimSun"/>
          <w:sz w:val="22"/>
          <w:szCs w:val="22"/>
          <w:spacing w:val="-11"/>
        </w:rPr>
        <w:t>术、竞争、市场、文化、社会和经济因素，有助于理解外部环境；</w:t>
      </w:r>
    </w:p>
    <w:p>
      <w:pPr>
        <w:spacing w:line="239" w:lineRule="auto"/>
        <w:sectPr>
          <w:footerReference w:type="default" r:id="rId475"/>
          <w:pgSz w:w="8870" w:h="13400"/>
          <w:pgMar w:top="400" w:right="390" w:bottom="444" w:left="550" w:header="0" w:footer="226" w:gutter="0"/>
        </w:sectPr>
        <w:rPr>
          <w:rFonts w:ascii="SimSun" w:hAnsi="SimSun" w:eastAsia="SimSun" w:cs="SimSun"/>
          <w:sz w:val="22"/>
          <w:szCs w:val="22"/>
        </w:rPr>
      </w:pPr>
    </w:p>
    <w:p>
      <w:pPr>
        <w:ind w:left="4562"/>
        <w:spacing w:before="214" w:line="219" w:lineRule="auto"/>
        <w:rPr>
          <w:rFonts w:ascii="SimSun" w:hAnsi="SimSun" w:eastAsia="SimSun" w:cs="SimSun"/>
          <w:sz w:val="21"/>
          <w:szCs w:val="21"/>
        </w:rPr>
      </w:pPr>
      <w:bookmarkStart w:name="bookmark96" w:id="89"/>
      <w:bookmarkEnd w:id="89"/>
      <w:bookmarkStart w:name="bookmark94" w:id="90"/>
      <w:bookmarkEnd w:id="90"/>
      <w:bookmarkStart w:name="bookmark95" w:id="91"/>
      <w:bookmarkEnd w:id="91"/>
      <w:r>
        <w:rPr>
          <w:rFonts w:ascii="SimSun" w:hAnsi="SimSun" w:eastAsia="SimSun" w:cs="SimSun"/>
          <w:sz w:val="21"/>
          <w:szCs w:val="21"/>
          <w:b/>
          <w:bCs/>
          <w:spacing w:val="8"/>
        </w:rPr>
        <w:t>第11章■云端数据治理体系实施</w:t>
      </w:r>
    </w:p>
    <w:p>
      <w:pPr>
        <w:pStyle w:val="BodyText"/>
        <w:spacing w:line="255" w:lineRule="auto"/>
        <w:rPr/>
      </w:pPr>
      <w:r/>
    </w:p>
    <w:p>
      <w:pPr>
        <w:ind w:right="224" w:firstLine="419"/>
        <w:spacing w:before="68" w:line="248" w:lineRule="auto"/>
        <w:rPr>
          <w:rFonts w:ascii="SimSun" w:hAnsi="SimSun" w:eastAsia="SimSun" w:cs="SimSun"/>
          <w:sz w:val="21"/>
          <w:szCs w:val="21"/>
        </w:rPr>
      </w:pPr>
      <w:r>
        <w:rPr>
          <w:rFonts w:ascii="SimSun" w:hAnsi="SimSun" w:eastAsia="SimSun" w:cs="SimSun"/>
          <w:sz w:val="21"/>
          <w:szCs w:val="21"/>
          <w:spacing w:val="4"/>
        </w:rPr>
        <w:t>(3)对内部因素进行分析，要了解组织自身所处的相对地位，具有哪些资源、</w:t>
      </w:r>
      <w:r>
        <w:rPr>
          <w:rFonts w:ascii="SimSun" w:hAnsi="SimSun" w:eastAsia="SimSun" w:cs="SimSun"/>
          <w:sz w:val="21"/>
          <w:szCs w:val="21"/>
          <w:spacing w:val="9"/>
        </w:rPr>
        <w:t xml:space="preserve"> </w:t>
      </w:r>
      <w:r>
        <w:rPr>
          <w:rFonts w:ascii="SimSun" w:hAnsi="SimSun" w:eastAsia="SimSun" w:cs="SimSun"/>
          <w:sz w:val="21"/>
          <w:szCs w:val="21"/>
          <w:spacing w:val="1"/>
        </w:rPr>
        <w:t>关键成功因素及已识别的风险；了解与云端数据治理体系有关的利益相关者的利益</w:t>
      </w:r>
      <w:r>
        <w:rPr>
          <w:rFonts w:ascii="SimSun" w:hAnsi="SimSun" w:eastAsia="SimSun" w:cs="SimSun"/>
          <w:sz w:val="21"/>
          <w:szCs w:val="21"/>
          <w:spacing w:val="13"/>
        </w:rPr>
        <w:t xml:space="preserve"> </w:t>
      </w:r>
      <w:r>
        <w:rPr>
          <w:rFonts w:ascii="SimSun" w:hAnsi="SimSun" w:eastAsia="SimSun" w:cs="SimSun"/>
          <w:sz w:val="21"/>
          <w:szCs w:val="21"/>
        </w:rPr>
        <w:t>期望，以及在战略制订、评价和实施过程中，这些利益相关者会</w:t>
      </w:r>
      <w:r>
        <w:rPr>
          <w:rFonts w:ascii="SimSun" w:hAnsi="SimSun" w:eastAsia="SimSun" w:cs="SimSun"/>
          <w:sz w:val="21"/>
          <w:szCs w:val="21"/>
          <w:spacing w:val="-1"/>
        </w:rPr>
        <w:t>有哪些反应。</w:t>
      </w:r>
    </w:p>
    <w:p>
      <w:pPr>
        <w:ind w:left="419"/>
        <w:spacing w:before="62" w:line="227" w:lineRule="auto"/>
        <w:rPr>
          <w:rFonts w:ascii="KaiTi" w:hAnsi="KaiTi" w:eastAsia="KaiTi" w:cs="KaiTi"/>
          <w:sz w:val="21"/>
          <w:szCs w:val="21"/>
        </w:rPr>
      </w:pPr>
      <w:r>
        <w:rPr>
          <w:rFonts w:ascii="KaiTi" w:hAnsi="KaiTi" w:eastAsia="KaiTi" w:cs="KaiTi"/>
          <w:sz w:val="21"/>
          <w:szCs w:val="21"/>
          <w:spacing w:val="10"/>
        </w:rPr>
        <w:t>2)战略选择</w:t>
      </w:r>
    </w:p>
    <w:p>
      <w:pPr>
        <w:ind w:right="225" w:firstLine="419"/>
        <w:spacing w:before="63" w:line="254" w:lineRule="auto"/>
        <w:rPr>
          <w:rFonts w:ascii="SimSun" w:hAnsi="SimSun" w:eastAsia="SimSun" w:cs="SimSun"/>
          <w:sz w:val="21"/>
          <w:szCs w:val="21"/>
        </w:rPr>
      </w:pPr>
      <w:r>
        <w:rPr>
          <w:rFonts w:ascii="SimSun" w:hAnsi="SimSun" w:eastAsia="SimSun" w:cs="SimSun"/>
          <w:sz w:val="21"/>
          <w:szCs w:val="21"/>
          <w:spacing w:val="1"/>
        </w:rPr>
        <w:t>战略选择阶段体现的是云端数据治理体系的发展方向。体系战略的制订一般经</w:t>
      </w:r>
      <w:r>
        <w:rPr>
          <w:rFonts w:ascii="SimSun" w:hAnsi="SimSun" w:eastAsia="SimSun" w:cs="SimSun"/>
          <w:sz w:val="21"/>
          <w:szCs w:val="21"/>
          <w:spacing w:val="14"/>
        </w:rPr>
        <w:t xml:space="preserve"> </w:t>
      </w:r>
      <w:r>
        <w:rPr>
          <w:rFonts w:ascii="SimSun" w:hAnsi="SimSun" w:eastAsia="SimSun" w:cs="SimSun"/>
          <w:sz w:val="21"/>
          <w:szCs w:val="21"/>
          <w:spacing w:val="-2"/>
        </w:rPr>
        <w:t>过首席数据官的指导和授权，由组织级数据治理委员会制订。</w:t>
      </w:r>
    </w:p>
    <w:p>
      <w:pPr>
        <w:ind w:left="419"/>
        <w:spacing w:before="62" w:line="219" w:lineRule="auto"/>
        <w:rPr>
          <w:rFonts w:ascii="SimSun" w:hAnsi="SimSun" w:eastAsia="SimSun" w:cs="SimSun"/>
          <w:sz w:val="21"/>
          <w:szCs w:val="21"/>
        </w:rPr>
      </w:pPr>
      <w:r>
        <w:rPr>
          <w:rFonts w:ascii="SimSun" w:hAnsi="SimSun" w:eastAsia="SimSun" w:cs="SimSun"/>
          <w:sz w:val="21"/>
          <w:szCs w:val="21"/>
          <w:spacing w:val="-2"/>
        </w:rPr>
        <w:t>云端数据治理体系的战略至少应包括以下内</w:t>
      </w:r>
      <w:r>
        <w:rPr>
          <w:rFonts w:ascii="SimSun" w:hAnsi="SimSun" w:eastAsia="SimSun" w:cs="SimSun"/>
          <w:sz w:val="21"/>
          <w:szCs w:val="21"/>
          <w:spacing w:val="-3"/>
        </w:rPr>
        <w:t>容。</w:t>
      </w:r>
    </w:p>
    <w:p>
      <w:pPr>
        <w:ind w:left="419"/>
        <w:spacing w:before="70" w:line="219" w:lineRule="auto"/>
        <w:rPr>
          <w:rFonts w:ascii="SimSun" w:hAnsi="SimSun" w:eastAsia="SimSun" w:cs="SimSun"/>
          <w:sz w:val="21"/>
          <w:szCs w:val="21"/>
        </w:rPr>
      </w:pPr>
      <w:r>
        <w:rPr>
          <w:rFonts w:ascii="SimSun" w:hAnsi="SimSun" w:eastAsia="SimSun" w:cs="SimSun"/>
          <w:sz w:val="21"/>
          <w:szCs w:val="21"/>
          <w:spacing w:val="2"/>
        </w:rPr>
        <w:t>(1)云端数据治理体系的愿景；</w:t>
      </w:r>
    </w:p>
    <w:p>
      <w:pPr>
        <w:ind w:left="419"/>
        <w:spacing w:before="49" w:line="218" w:lineRule="auto"/>
        <w:rPr>
          <w:rFonts w:ascii="SimSun" w:hAnsi="SimSun" w:eastAsia="SimSun" w:cs="SimSun"/>
          <w:sz w:val="21"/>
          <w:szCs w:val="21"/>
        </w:rPr>
      </w:pPr>
      <w:r>
        <w:rPr>
          <w:rFonts w:ascii="SimSun" w:hAnsi="SimSun" w:eastAsia="SimSun" w:cs="SimSun"/>
          <w:sz w:val="21"/>
          <w:szCs w:val="21"/>
          <w:spacing w:val="2"/>
        </w:rPr>
        <w:t>(2)指导原则、价值观和管理愿景；</w:t>
      </w:r>
    </w:p>
    <w:p>
      <w:pPr>
        <w:ind w:left="419"/>
        <w:spacing w:before="74" w:line="219" w:lineRule="auto"/>
        <w:rPr>
          <w:rFonts w:ascii="SimSun" w:hAnsi="SimSun" w:eastAsia="SimSun" w:cs="SimSun"/>
          <w:sz w:val="21"/>
          <w:szCs w:val="21"/>
        </w:rPr>
      </w:pPr>
      <w:r>
        <w:rPr>
          <w:rFonts w:ascii="SimSun" w:hAnsi="SimSun" w:eastAsia="SimSun" w:cs="SimSun"/>
          <w:sz w:val="21"/>
          <w:szCs w:val="21"/>
          <w:spacing w:val="2"/>
        </w:rPr>
        <w:t>(3)云端数据治理的长远目标；</w:t>
      </w:r>
    </w:p>
    <w:p>
      <w:pPr>
        <w:ind w:left="419"/>
        <w:spacing w:before="51" w:line="219" w:lineRule="auto"/>
        <w:rPr>
          <w:rFonts w:ascii="SimSun" w:hAnsi="SimSun" w:eastAsia="SimSun" w:cs="SimSun"/>
          <w:sz w:val="21"/>
          <w:szCs w:val="21"/>
        </w:rPr>
      </w:pPr>
      <w:r>
        <w:rPr>
          <w:rFonts w:ascii="SimSun" w:hAnsi="SimSun" w:eastAsia="SimSun" w:cs="SimSun"/>
          <w:sz w:val="21"/>
          <w:szCs w:val="21"/>
          <w:spacing w:val="3"/>
        </w:rPr>
        <w:t>(4)云端数据治理体系的成功衡量标准或者关键的成功因素。</w:t>
      </w:r>
    </w:p>
    <w:p>
      <w:pPr>
        <w:ind w:right="217" w:firstLine="419"/>
        <w:spacing w:before="58" w:line="261" w:lineRule="auto"/>
        <w:rPr>
          <w:rFonts w:ascii="SimSun" w:hAnsi="SimSun" w:eastAsia="SimSun" w:cs="SimSun"/>
          <w:sz w:val="21"/>
          <w:szCs w:val="21"/>
        </w:rPr>
      </w:pPr>
      <w:r>
        <w:rPr>
          <w:rFonts w:ascii="SimSun" w:hAnsi="SimSun" w:eastAsia="SimSun" w:cs="SimSun"/>
          <w:sz w:val="21"/>
          <w:szCs w:val="21"/>
          <w:spacing w:val="-3"/>
        </w:rPr>
        <w:t>通常从以下两方面评估战略备选方案：</w:t>
      </w:r>
      <w:r>
        <w:rPr>
          <w:rFonts w:ascii="SimSun" w:hAnsi="SimSun" w:eastAsia="SimSun" w:cs="SimSun"/>
          <w:sz w:val="21"/>
          <w:szCs w:val="21"/>
          <w:spacing w:val="62"/>
        </w:rPr>
        <w:t xml:space="preserve"> </w:t>
      </w:r>
      <w:r>
        <w:rPr>
          <w:rFonts w:ascii="SimSun" w:hAnsi="SimSun" w:eastAsia="SimSun" w:cs="SimSun"/>
          <w:sz w:val="21"/>
          <w:szCs w:val="21"/>
          <w:spacing w:val="-3"/>
        </w:rPr>
        <w:t>一是考虑选择的</w:t>
      </w:r>
      <w:r>
        <w:rPr>
          <w:rFonts w:ascii="SimSun" w:hAnsi="SimSun" w:eastAsia="SimSun" w:cs="SimSun"/>
          <w:sz w:val="21"/>
          <w:szCs w:val="21"/>
          <w:spacing w:val="-4"/>
        </w:rPr>
        <w:t>战略是否发挥了组织的</w:t>
      </w:r>
      <w:r>
        <w:rPr>
          <w:rFonts w:ascii="SimSun" w:hAnsi="SimSun" w:eastAsia="SimSun" w:cs="SimSun"/>
          <w:sz w:val="21"/>
          <w:szCs w:val="21"/>
        </w:rPr>
        <w:t xml:space="preserve"> </w:t>
      </w:r>
      <w:r>
        <w:rPr>
          <w:rFonts w:ascii="SimSun" w:hAnsi="SimSun" w:eastAsia="SimSun" w:cs="SimSun"/>
          <w:sz w:val="21"/>
          <w:szCs w:val="21"/>
          <w:spacing w:val="1"/>
        </w:rPr>
        <w:t>关键成功因素，并克服了劣势，是否利用了机会，将风险削弱到最低程度；二是考</w:t>
      </w:r>
      <w:r>
        <w:rPr>
          <w:rFonts w:ascii="SimSun" w:hAnsi="SimSun" w:eastAsia="SimSun" w:cs="SimSun"/>
          <w:sz w:val="21"/>
          <w:szCs w:val="21"/>
          <w:spacing w:val="10"/>
        </w:rPr>
        <w:t xml:space="preserve"> </w:t>
      </w:r>
      <w:r>
        <w:rPr>
          <w:rFonts w:ascii="SimSun" w:hAnsi="SimSun" w:eastAsia="SimSun" w:cs="SimSun"/>
          <w:sz w:val="21"/>
          <w:szCs w:val="21"/>
          <w:spacing w:val="-2"/>
        </w:rPr>
        <w:t>虑选择的战略能否被组织利益相关者所接受。</w:t>
      </w:r>
    </w:p>
    <w:p>
      <w:pPr>
        <w:ind w:left="419"/>
        <w:spacing w:before="65" w:line="229" w:lineRule="auto"/>
        <w:rPr>
          <w:rFonts w:ascii="KaiTi" w:hAnsi="KaiTi" w:eastAsia="KaiTi" w:cs="KaiTi"/>
          <w:sz w:val="21"/>
          <w:szCs w:val="21"/>
        </w:rPr>
      </w:pPr>
      <w:r>
        <w:rPr>
          <w:rFonts w:ascii="KaiTi" w:hAnsi="KaiTi" w:eastAsia="KaiTi" w:cs="KaiTi"/>
          <w:sz w:val="21"/>
          <w:szCs w:val="21"/>
          <w:spacing w:val="11"/>
        </w:rPr>
        <w:t>3)战略实施和控制</w:t>
      </w:r>
    </w:p>
    <w:p>
      <w:pPr>
        <w:ind w:left="419"/>
        <w:spacing w:before="47" w:line="219" w:lineRule="auto"/>
        <w:rPr>
          <w:rFonts w:ascii="SimSun" w:hAnsi="SimSun" w:eastAsia="SimSun" w:cs="SimSun"/>
          <w:sz w:val="21"/>
          <w:szCs w:val="21"/>
        </w:rPr>
      </w:pPr>
      <w:r>
        <w:rPr>
          <w:rFonts w:ascii="SimSun" w:hAnsi="SimSun" w:eastAsia="SimSun" w:cs="SimSun"/>
          <w:sz w:val="21"/>
          <w:szCs w:val="21"/>
          <w:spacing w:val="-1"/>
        </w:rPr>
        <w:t>战略实施和控制就是将战略转化为行动，主要包括以下内容。</w:t>
      </w:r>
    </w:p>
    <w:p>
      <w:pPr>
        <w:ind w:right="223" w:firstLine="419"/>
        <w:spacing w:before="70" w:line="243" w:lineRule="auto"/>
        <w:rPr>
          <w:rFonts w:ascii="SimSun" w:hAnsi="SimSun" w:eastAsia="SimSun" w:cs="SimSun"/>
          <w:sz w:val="21"/>
          <w:szCs w:val="21"/>
        </w:rPr>
      </w:pPr>
      <w:r>
        <w:rPr>
          <w:rFonts w:ascii="SimSun" w:hAnsi="SimSun" w:eastAsia="SimSun" w:cs="SimSun"/>
          <w:sz w:val="21"/>
          <w:szCs w:val="21"/>
          <w:spacing w:val="11"/>
        </w:rPr>
        <w:t>(1)为了实现云端数据治理体系目标，需要获得哪些资</w:t>
      </w:r>
      <w:r>
        <w:rPr>
          <w:rFonts w:ascii="SimSun" w:hAnsi="SimSun" w:eastAsia="SimSun" w:cs="SimSun"/>
          <w:sz w:val="21"/>
          <w:szCs w:val="21"/>
          <w:spacing w:val="10"/>
        </w:rPr>
        <w:t>源以及如何使用这些</w:t>
      </w:r>
      <w:r>
        <w:rPr>
          <w:rFonts w:ascii="SimSun" w:hAnsi="SimSun" w:eastAsia="SimSun" w:cs="SimSun"/>
          <w:sz w:val="21"/>
          <w:szCs w:val="21"/>
        </w:rPr>
        <w:t xml:space="preserve"> </w:t>
      </w:r>
      <w:r>
        <w:rPr>
          <w:rFonts w:ascii="SimSun" w:hAnsi="SimSun" w:eastAsia="SimSun" w:cs="SimSun"/>
          <w:sz w:val="21"/>
          <w:szCs w:val="21"/>
          <w:spacing w:val="-11"/>
        </w:rPr>
        <w:t>资源；</w:t>
      </w:r>
    </w:p>
    <w:p>
      <w:pPr>
        <w:ind w:left="419"/>
        <w:spacing w:before="58" w:line="219" w:lineRule="auto"/>
        <w:rPr>
          <w:rFonts w:ascii="SimSun" w:hAnsi="SimSun" w:eastAsia="SimSun" w:cs="SimSun"/>
          <w:sz w:val="21"/>
          <w:szCs w:val="21"/>
        </w:rPr>
      </w:pPr>
      <w:r>
        <w:rPr>
          <w:rFonts w:ascii="SimSun" w:hAnsi="SimSun" w:eastAsia="SimSun" w:cs="SimSun"/>
          <w:sz w:val="21"/>
          <w:szCs w:val="21"/>
          <w:spacing w:val="2"/>
        </w:rPr>
        <w:t>(2)为了实现既定的战略目标，需要对组织结构做哪些调整；</w:t>
      </w:r>
    </w:p>
    <w:p>
      <w:pPr>
        <w:ind w:left="419"/>
        <w:spacing w:before="81" w:line="219" w:lineRule="auto"/>
        <w:rPr>
          <w:rFonts w:ascii="SimSun" w:hAnsi="SimSun" w:eastAsia="SimSun" w:cs="SimSun"/>
          <w:sz w:val="21"/>
          <w:szCs w:val="21"/>
        </w:rPr>
      </w:pPr>
      <w:r>
        <w:rPr>
          <w:rFonts w:ascii="SimSun" w:hAnsi="SimSun" w:eastAsia="SimSun" w:cs="SimSun"/>
          <w:sz w:val="21"/>
          <w:szCs w:val="21"/>
          <w:spacing w:val="2"/>
        </w:rPr>
        <w:t>(3)如何通过对组织的文化管理来保证云端数据治理体系战略的成功实施。</w:t>
      </w:r>
    </w:p>
    <w:p>
      <w:pPr>
        <w:ind w:left="422"/>
        <w:spacing w:before="208" w:line="224"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31"/>
        </w:rPr>
        <w:t xml:space="preserve"> </w:t>
      </w:r>
      <w:r>
        <w:rPr>
          <w:rFonts w:ascii="SimHei" w:hAnsi="SimHei" w:eastAsia="SimHei" w:cs="SimHei"/>
          <w:sz w:val="21"/>
          <w:szCs w:val="21"/>
          <w:b/>
          <w:bCs/>
          <w:spacing w:val="2"/>
        </w:rPr>
        <w:t>制订体系目标</w:t>
      </w:r>
    </w:p>
    <w:p>
      <w:pPr>
        <w:ind w:right="223" w:firstLine="419"/>
        <w:spacing w:before="217" w:line="262" w:lineRule="auto"/>
        <w:rPr>
          <w:rFonts w:ascii="SimSun" w:hAnsi="SimSun" w:eastAsia="SimSun" w:cs="SimSun"/>
          <w:sz w:val="21"/>
          <w:szCs w:val="21"/>
        </w:rPr>
      </w:pPr>
      <w:r>
        <w:rPr>
          <w:rFonts w:ascii="SimSun" w:hAnsi="SimSun" w:eastAsia="SimSun" w:cs="SimSun"/>
          <w:sz w:val="21"/>
          <w:szCs w:val="21"/>
          <w:spacing w:val="1"/>
        </w:rPr>
        <w:t>云端数据治理体系的目标由组织级数据治理委员会制订，能科学</w:t>
      </w:r>
      <w:r>
        <w:rPr>
          <w:rFonts w:ascii="SimSun" w:hAnsi="SimSun" w:eastAsia="SimSun" w:cs="SimSun"/>
          <w:sz w:val="21"/>
          <w:szCs w:val="21"/>
        </w:rPr>
        <w:t>、全面地反映 </w:t>
      </w:r>
      <w:r>
        <w:rPr>
          <w:rFonts w:ascii="SimSun" w:hAnsi="SimSun" w:eastAsia="SimSun" w:cs="SimSun"/>
          <w:sz w:val="21"/>
          <w:szCs w:val="21"/>
          <w:spacing w:val="1"/>
        </w:rPr>
        <w:t>组织的云端数据治理关键业绩指标。云端数据治理体系的目标按照作用的不同分为</w:t>
      </w:r>
      <w:r>
        <w:rPr>
          <w:rFonts w:ascii="SimSun" w:hAnsi="SimSun" w:eastAsia="SimSun" w:cs="SimSun"/>
          <w:sz w:val="21"/>
          <w:szCs w:val="21"/>
          <w:spacing w:val="13"/>
        </w:rPr>
        <w:t xml:space="preserve"> </w:t>
      </w:r>
      <w:r>
        <w:rPr>
          <w:rFonts w:ascii="SimSun" w:hAnsi="SimSun" w:eastAsia="SimSun" w:cs="SimSun"/>
          <w:sz w:val="21"/>
          <w:szCs w:val="21"/>
          <w:spacing w:val="1"/>
        </w:rPr>
        <w:t>管理目标和过程目标，管理目标包含云端数据治理成本、数据治理达成的目标、人</w:t>
      </w:r>
      <w:r>
        <w:rPr>
          <w:rFonts w:ascii="SimSun" w:hAnsi="SimSun" w:eastAsia="SimSun" w:cs="SimSun"/>
          <w:sz w:val="21"/>
          <w:szCs w:val="21"/>
          <w:spacing w:val="12"/>
        </w:rPr>
        <w:t xml:space="preserve"> </w:t>
      </w:r>
      <w:r>
        <w:rPr>
          <w:rFonts w:ascii="SimSun" w:hAnsi="SimSun" w:eastAsia="SimSun" w:cs="SimSun"/>
          <w:sz w:val="21"/>
          <w:szCs w:val="21"/>
          <w:spacing w:val="1"/>
        </w:rPr>
        <w:t>员变现、数据专业人士数量等；过程目标包含项目目标、主数据和元数据质量、数</w:t>
      </w:r>
      <w:r>
        <w:rPr>
          <w:rFonts w:ascii="SimSun" w:hAnsi="SimSun" w:eastAsia="SimSun" w:cs="SimSun"/>
          <w:sz w:val="21"/>
          <w:szCs w:val="21"/>
          <w:spacing w:val="11"/>
        </w:rPr>
        <w:t xml:space="preserve"> </w:t>
      </w:r>
      <w:r>
        <w:rPr>
          <w:rFonts w:ascii="SimSun" w:hAnsi="SimSun" w:eastAsia="SimSun" w:cs="SimSun"/>
          <w:sz w:val="21"/>
          <w:szCs w:val="21"/>
          <w:spacing w:val="-4"/>
        </w:rPr>
        <w:t>据操作性能等指标。</w:t>
      </w:r>
    </w:p>
    <w:p>
      <w:pPr>
        <w:ind w:left="419"/>
        <w:spacing w:before="47" w:line="212" w:lineRule="auto"/>
        <w:rPr>
          <w:rFonts w:ascii="SimSun" w:hAnsi="SimSun" w:eastAsia="SimSun" w:cs="SimSun"/>
          <w:sz w:val="21"/>
          <w:szCs w:val="21"/>
        </w:rPr>
      </w:pPr>
      <w:r>
        <w:rPr>
          <w:rFonts w:ascii="SimSun" w:hAnsi="SimSun" w:eastAsia="SimSun" w:cs="SimSun"/>
          <w:sz w:val="21"/>
          <w:szCs w:val="21"/>
          <w:spacing w:val="3"/>
        </w:rPr>
        <w:t>云端数据治理体系的目标应该遵循</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SMART</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rPr>
        <w:t>Specific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rPr>
        <w:t>Measurable</w:t>
      </w:r>
      <w:r>
        <w:rPr>
          <w:rFonts w:ascii="SimSun" w:hAnsi="SimSun" w:eastAsia="SimSun" w:cs="SimSun"/>
          <w:sz w:val="21"/>
          <w:szCs w:val="21"/>
          <w:spacing w:val="3"/>
        </w:rPr>
        <w:t>、</w:t>
      </w:r>
    </w:p>
    <w:p>
      <w:pPr>
        <w:ind w:right="129"/>
        <w:spacing w:before="67" w:line="262" w:lineRule="auto"/>
        <w:rPr>
          <w:rFonts w:ascii="SimSun" w:hAnsi="SimSun" w:eastAsia="SimSun" w:cs="SimSun"/>
          <w:sz w:val="21"/>
          <w:szCs w:val="21"/>
        </w:rPr>
      </w:pPr>
      <w:r>
        <w:rPr>
          <w:rFonts w:ascii="Times New Roman" w:hAnsi="Times New Roman" w:eastAsia="Times New Roman" w:cs="Times New Roman"/>
          <w:sz w:val="21"/>
          <w:szCs w:val="21"/>
          <w:spacing w:val="-2"/>
        </w:rPr>
        <w:t>A=Achievable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R=Relevant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T=Time-based)</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原则，即该目标应是具</w:t>
      </w:r>
      <w:r>
        <w:rPr>
          <w:rFonts w:ascii="SimSun" w:hAnsi="SimSun" w:eastAsia="SimSun" w:cs="SimSun"/>
          <w:sz w:val="21"/>
          <w:szCs w:val="21"/>
          <w:spacing w:val="-3"/>
        </w:rPr>
        <w:t>体的、可测量的、</w:t>
      </w:r>
      <w:r>
        <w:rPr>
          <w:rFonts w:ascii="SimSun" w:hAnsi="SimSun" w:eastAsia="SimSun" w:cs="SimSun"/>
          <w:sz w:val="21"/>
          <w:szCs w:val="21"/>
        </w:rPr>
        <w:t xml:space="preserve"> </w:t>
      </w:r>
      <w:r>
        <w:rPr>
          <w:rFonts w:ascii="SimSun" w:hAnsi="SimSun" w:eastAsia="SimSun" w:cs="SimSun"/>
          <w:sz w:val="21"/>
          <w:szCs w:val="21"/>
          <w:spacing w:val="2"/>
        </w:rPr>
        <w:t>可实现的、现实的、就制订的目标时间范围来说</w:t>
      </w:r>
      <w:r>
        <w:rPr>
          <w:rFonts w:ascii="SimSun" w:hAnsi="SimSun" w:eastAsia="SimSun" w:cs="SimSun"/>
          <w:sz w:val="21"/>
          <w:szCs w:val="21"/>
          <w:spacing w:val="1"/>
        </w:rPr>
        <w:t>是及时的，并与云端数据治理体系 </w:t>
      </w:r>
      <w:r>
        <w:rPr>
          <w:rFonts w:ascii="SimSun" w:hAnsi="SimSun" w:eastAsia="SimSun" w:cs="SimSun"/>
          <w:sz w:val="21"/>
          <w:szCs w:val="21"/>
        </w:rPr>
        <w:t>的战略一致。云端数据治理体系的目标管理一般包括以下四个阶段。</w:t>
      </w:r>
    </w:p>
    <w:p>
      <w:pPr>
        <w:ind w:left="419"/>
        <w:spacing w:before="88" w:line="224" w:lineRule="auto"/>
        <w:rPr>
          <w:rFonts w:ascii="KaiTi" w:hAnsi="KaiTi" w:eastAsia="KaiTi" w:cs="KaiTi"/>
          <w:sz w:val="21"/>
          <w:szCs w:val="21"/>
        </w:rPr>
      </w:pPr>
      <w:r>
        <w:rPr>
          <w:rFonts w:ascii="KaiTi" w:hAnsi="KaiTi" w:eastAsia="KaiTi" w:cs="KaiTi"/>
          <w:sz w:val="21"/>
          <w:szCs w:val="21"/>
          <w:spacing w:val="4"/>
        </w:rPr>
        <w:t>1)确定目标责任和责任人</w:t>
      </w:r>
    </w:p>
    <w:p>
      <w:pPr>
        <w:ind w:right="205" w:firstLine="419"/>
        <w:spacing w:before="58" w:line="259" w:lineRule="auto"/>
        <w:rPr>
          <w:rFonts w:ascii="SimSun" w:hAnsi="SimSun" w:eastAsia="SimSun" w:cs="SimSun"/>
          <w:sz w:val="21"/>
          <w:szCs w:val="21"/>
        </w:rPr>
      </w:pPr>
      <w:r>
        <w:rPr>
          <w:rFonts w:ascii="SimSun" w:hAnsi="SimSun" w:eastAsia="SimSun" w:cs="SimSun"/>
          <w:sz w:val="21"/>
          <w:szCs w:val="21"/>
          <w:spacing w:val="-5"/>
        </w:rPr>
        <w:t>根据体系的战略确定目标责任和目标责任人，目标责任就是对目标达成与否的功</w:t>
      </w:r>
      <w:r>
        <w:rPr>
          <w:rFonts w:ascii="SimSun" w:hAnsi="SimSun" w:eastAsia="SimSun" w:cs="SimSun"/>
          <w:sz w:val="21"/>
          <w:szCs w:val="21"/>
          <w:spacing w:val="17"/>
        </w:rPr>
        <w:t xml:space="preserve"> </w:t>
      </w:r>
      <w:r>
        <w:rPr>
          <w:rFonts w:ascii="SimSun" w:hAnsi="SimSun" w:eastAsia="SimSun" w:cs="SimSun"/>
          <w:sz w:val="21"/>
          <w:szCs w:val="21"/>
          <w:spacing w:val="-4"/>
        </w:rPr>
        <w:t>过承载，责任人就是承载这种功过的具体人。云端数据治</w:t>
      </w:r>
      <w:r>
        <w:rPr>
          <w:rFonts w:ascii="SimSun" w:hAnsi="SimSun" w:eastAsia="SimSun" w:cs="SimSun"/>
          <w:sz w:val="21"/>
          <w:szCs w:val="21"/>
          <w:spacing w:val="-5"/>
        </w:rPr>
        <w:t>理体系管理目标的责任人一</w:t>
      </w:r>
      <w:r>
        <w:rPr>
          <w:rFonts w:ascii="SimSun" w:hAnsi="SimSun" w:eastAsia="SimSun" w:cs="SimSun"/>
          <w:sz w:val="21"/>
          <w:szCs w:val="21"/>
        </w:rPr>
        <w:t xml:space="preserve"> </w:t>
      </w:r>
      <w:r>
        <w:rPr>
          <w:rFonts w:ascii="SimSun" w:hAnsi="SimSun" w:eastAsia="SimSun" w:cs="SimSun"/>
          <w:sz w:val="21"/>
          <w:szCs w:val="21"/>
          <w:spacing w:val="2"/>
        </w:rPr>
        <w:t>般为组织的决策层和管理层的管理人员，可能包括组织级和部门级的数</w:t>
      </w:r>
      <w:r>
        <w:rPr>
          <w:rFonts w:ascii="SimSun" w:hAnsi="SimSun" w:eastAsia="SimSun" w:cs="SimSun"/>
          <w:sz w:val="21"/>
          <w:szCs w:val="21"/>
          <w:spacing w:val="1"/>
        </w:rPr>
        <w:t>据治理委员</w:t>
      </w:r>
      <w:r>
        <w:rPr>
          <w:rFonts w:ascii="SimSun" w:hAnsi="SimSun" w:eastAsia="SimSun" w:cs="SimSun"/>
          <w:sz w:val="21"/>
          <w:szCs w:val="21"/>
        </w:rPr>
        <w:t xml:space="preserve"> </w:t>
      </w:r>
      <w:r>
        <w:rPr>
          <w:rFonts w:ascii="SimSun" w:hAnsi="SimSun" w:eastAsia="SimSun" w:cs="SimSun"/>
          <w:sz w:val="21"/>
          <w:szCs w:val="21"/>
          <w:spacing w:val="-4"/>
        </w:rPr>
        <w:t>会。过程目标的责任人一般为组织的执行层的人员，可能包括各类数据管理人员。</w:t>
      </w:r>
    </w:p>
    <w:p>
      <w:pPr>
        <w:spacing w:line="259" w:lineRule="auto"/>
        <w:sectPr>
          <w:footerReference w:type="default" r:id="rId476"/>
          <w:pgSz w:w="8870" w:h="13400"/>
          <w:pgMar w:top="400" w:right="725" w:bottom="547" w:left="310" w:header="0" w:footer="338" w:gutter="0"/>
        </w:sectPr>
        <w:rPr>
          <w:rFonts w:ascii="SimSun" w:hAnsi="SimSun" w:eastAsia="SimSun" w:cs="SimSun"/>
          <w:sz w:val="21"/>
          <w:szCs w:val="21"/>
        </w:rPr>
      </w:pPr>
    </w:p>
    <w:p>
      <w:pPr>
        <w:ind w:left="222"/>
        <w:spacing w:before="275" w:line="219" w:lineRule="auto"/>
        <w:rPr>
          <w:rFonts w:ascii="SimSun" w:hAnsi="SimSun" w:eastAsia="SimSun" w:cs="SimSun"/>
          <w:sz w:val="21"/>
          <w:szCs w:val="21"/>
        </w:rPr>
      </w:pPr>
      <w:r>
        <w:pict>
          <v:rect id="_x0000_s512" style="position:absolute;margin-left:37.0012pt;margin-top:30.0025pt;mso-position-vertical-relative:page;mso-position-horizontal-relative:page;width:0.5pt;height:17.55pt;z-index:258171904;" o:allowincell="f" fillcolor="#000000" filled="true" stroked="false"/>
        </w:pict>
      </w:r>
      <w:bookmarkStart w:name="bookmark97" w:id="92"/>
      <w:bookmarkEnd w:id="92"/>
      <w:r>
        <w:rPr>
          <w:rFonts w:ascii="SimSun" w:hAnsi="SimSun" w:eastAsia="SimSun" w:cs="SimSun"/>
          <w:sz w:val="21"/>
          <w:szCs w:val="21"/>
          <w:b/>
          <w:bCs/>
          <w:spacing w:val="-25"/>
        </w:rPr>
        <w:t>■云端数据治理■</w:t>
      </w:r>
    </w:p>
    <w:p>
      <w:pPr>
        <w:pStyle w:val="BodyText"/>
        <w:spacing w:line="246" w:lineRule="auto"/>
        <w:rPr/>
      </w:pPr>
      <w:r/>
    </w:p>
    <w:p>
      <w:pPr>
        <w:ind w:left="689"/>
        <w:spacing w:before="68" w:line="229" w:lineRule="auto"/>
        <w:rPr>
          <w:rFonts w:ascii="KaiTi" w:hAnsi="KaiTi" w:eastAsia="KaiTi" w:cs="KaiTi"/>
          <w:sz w:val="21"/>
          <w:szCs w:val="21"/>
        </w:rPr>
      </w:pPr>
      <w:r>
        <w:rPr>
          <w:rFonts w:ascii="KaiTi" w:hAnsi="KaiTi" w:eastAsia="KaiTi" w:cs="KaiTi"/>
          <w:sz w:val="21"/>
          <w:szCs w:val="21"/>
          <w:spacing w:val="11"/>
        </w:rPr>
        <w:t>2)设立和实施目标</w:t>
      </w:r>
    </w:p>
    <w:p>
      <w:pPr>
        <w:ind w:left="219" w:right="19" w:firstLine="470"/>
        <w:spacing w:before="77" w:line="259" w:lineRule="auto"/>
        <w:rPr>
          <w:rFonts w:ascii="SimSun" w:hAnsi="SimSun" w:eastAsia="SimSun" w:cs="SimSun"/>
          <w:sz w:val="21"/>
          <w:szCs w:val="21"/>
        </w:rPr>
      </w:pPr>
      <w:r>
        <w:rPr>
          <w:rFonts w:ascii="SimSun" w:hAnsi="SimSun" w:eastAsia="SimSun" w:cs="SimSun"/>
          <w:sz w:val="21"/>
          <w:szCs w:val="21"/>
        </w:rPr>
        <w:t>根据 </w:t>
      </w:r>
      <w:r>
        <w:rPr>
          <w:rFonts w:ascii="Times New Roman" w:hAnsi="Times New Roman" w:eastAsia="Times New Roman" w:cs="Times New Roman"/>
          <w:sz w:val="21"/>
          <w:szCs w:val="21"/>
        </w:rPr>
        <w:t>SMART</w:t>
      </w:r>
      <w:r>
        <w:rPr>
          <w:rFonts w:ascii="Times New Roman" w:hAnsi="Times New Roman" w:eastAsia="Times New Roman" w:cs="Times New Roman"/>
          <w:sz w:val="21"/>
          <w:szCs w:val="21"/>
          <w:spacing w:val="48"/>
        </w:rPr>
        <w:t xml:space="preserve"> </w:t>
      </w:r>
      <w:r>
        <w:rPr>
          <w:rFonts w:ascii="SimSun" w:hAnsi="SimSun" w:eastAsia="SimSun" w:cs="SimSun"/>
          <w:sz w:val="21"/>
          <w:szCs w:val="21"/>
        </w:rPr>
        <w:t>原则，将目标责任量化成可操</w:t>
      </w:r>
      <w:r>
        <w:rPr>
          <w:rFonts w:ascii="SimSun" w:hAnsi="SimSun" w:eastAsia="SimSun" w:cs="SimSun"/>
          <w:sz w:val="21"/>
          <w:szCs w:val="21"/>
          <w:spacing w:val="-1"/>
        </w:rPr>
        <w:t>作、可实现、可考量的具体目标，</w:t>
      </w:r>
      <w:r>
        <w:rPr>
          <w:rFonts w:ascii="SimSun" w:hAnsi="SimSun" w:eastAsia="SimSun" w:cs="SimSun"/>
          <w:sz w:val="21"/>
          <w:szCs w:val="21"/>
        </w:rPr>
        <w:t xml:space="preserve"> </w:t>
      </w:r>
      <w:r>
        <w:rPr>
          <w:rFonts w:ascii="SimSun" w:hAnsi="SimSun" w:eastAsia="SimSun" w:cs="SimSun"/>
          <w:sz w:val="21"/>
          <w:szCs w:val="21"/>
          <w:spacing w:val="1"/>
        </w:rPr>
        <w:t>并落实到目标责任人。例如，云端数据质量管理的目</w:t>
      </w:r>
      <w:r>
        <w:rPr>
          <w:rFonts w:ascii="SimSun" w:hAnsi="SimSun" w:eastAsia="SimSun" w:cs="SimSun"/>
          <w:sz w:val="21"/>
          <w:szCs w:val="21"/>
        </w:rPr>
        <w:t>标可以量化为数据价值统计、  </w:t>
      </w:r>
      <w:r>
        <w:rPr>
          <w:rFonts w:ascii="SimSun" w:hAnsi="SimSun" w:eastAsia="SimSun" w:cs="SimSun"/>
          <w:sz w:val="21"/>
          <w:szCs w:val="21"/>
          <w:spacing w:val="-2"/>
        </w:rPr>
        <w:t>错误/需求违规、期望满足程度等。目标责任人可能包括数据质量分析师、数据管理 </w:t>
      </w:r>
      <w:r>
        <w:rPr>
          <w:rFonts w:ascii="SimSun" w:hAnsi="SimSun" w:eastAsia="SimSun" w:cs="SimSun"/>
          <w:sz w:val="21"/>
          <w:szCs w:val="21"/>
          <w:spacing w:val="-6"/>
        </w:rPr>
        <w:t>人员和数据分析师等。</w:t>
      </w:r>
    </w:p>
    <w:p>
      <w:pPr>
        <w:ind w:left="689"/>
        <w:spacing w:before="55" w:line="223" w:lineRule="auto"/>
        <w:rPr>
          <w:rFonts w:ascii="KaiTi" w:hAnsi="KaiTi" w:eastAsia="KaiTi" w:cs="KaiTi"/>
          <w:sz w:val="21"/>
          <w:szCs w:val="21"/>
        </w:rPr>
      </w:pPr>
      <w:r>
        <w:rPr>
          <w:rFonts w:ascii="KaiTi" w:hAnsi="KaiTi" w:eastAsia="KaiTi" w:cs="KaiTi"/>
          <w:sz w:val="21"/>
          <w:szCs w:val="21"/>
          <w:spacing w:val="7"/>
        </w:rPr>
        <w:t>3)监督和评价目标实现过程</w:t>
      </w:r>
    </w:p>
    <w:p>
      <w:pPr>
        <w:ind w:left="219" w:right="42" w:firstLine="470"/>
        <w:spacing w:before="64" w:line="258" w:lineRule="auto"/>
        <w:rPr>
          <w:rFonts w:ascii="SimSun" w:hAnsi="SimSun" w:eastAsia="SimSun" w:cs="SimSun"/>
          <w:sz w:val="21"/>
          <w:szCs w:val="21"/>
        </w:rPr>
      </w:pPr>
      <w:r>
        <w:rPr>
          <w:rFonts w:ascii="SimSun" w:hAnsi="SimSun" w:eastAsia="SimSun" w:cs="SimSun"/>
          <w:sz w:val="21"/>
          <w:szCs w:val="21"/>
          <w:spacing w:val="1"/>
        </w:rPr>
        <w:t>在目标实施中，为了确保目标的达成，还必须对目标实现过程进行监督。监督</w:t>
      </w:r>
      <w:r>
        <w:rPr>
          <w:rFonts w:ascii="SimSun" w:hAnsi="SimSun" w:eastAsia="SimSun" w:cs="SimSun"/>
          <w:sz w:val="21"/>
          <w:szCs w:val="21"/>
          <w:spacing w:val="17"/>
        </w:rPr>
        <w:t xml:space="preserve"> </w:t>
      </w:r>
      <w:r>
        <w:rPr>
          <w:rFonts w:ascii="SimSun" w:hAnsi="SimSun" w:eastAsia="SimSun" w:cs="SimSun"/>
          <w:sz w:val="21"/>
          <w:szCs w:val="21"/>
          <w:spacing w:val="1"/>
        </w:rPr>
        <w:t>的目的在于强化对体系目标管理的执行力度。对各级目标的完成情况，要事先规定</w:t>
      </w:r>
      <w:r>
        <w:rPr>
          <w:rFonts w:ascii="SimSun" w:hAnsi="SimSun" w:eastAsia="SimSun" w:cs="SimSun"/>
          <w:sz w:val="21"/>
          <w:szCs w:val="21"/>
          <w:spacing w:val="16"/>
        </w:rPr>
        <w:t xml:space="preserve"> </w:t>
      </w:r>
      <w:r>
        <w:rPr>
          <w:rFonts w:ascii="SimSun" w:hAnsi="SimSun" w:eastAsia="SimSun" w:cs="SimSun"/>
          <w:sz w:val="21"/>
          <w:szCs w:val="21"/>
          <w:spacing w:val="1"/>
        </w:rPr>
        <w:t>出期限，依据已经设立的目标，定期进行统计和分析。对于最终结果，应当根据体</w:t>
      </w:r>
      <w:r>
        <w:rPr>
          <w:rFonts w:ascii="SimSun" w:hAnsi="SimSun" w:eastAsia="SimSun" w:cs="SimSun"/>
          <w:sz w:val="21"/>
          <w:szCs w:val="21"/>
          <w:spacing w:val="12"/>
        </w:rPr>
        <w:t xml:space="preserve"> </w:t>
      </w:r>
      <w:r>
        <w:rPr>
          <w:rFonts w:ascii="SimSun" w:hAnsi="SimSun" w:eastAsia="SimSun" w:cs="SimSun"/>
          <w:sz w:val="21"/>
          <w:szCs w:val="21"/>
          <w:spacing w:val="-1"/>
        </w:rPr>
        <w:t>系目标进行评价，并根据评价结果采取措施持续</w:t>
      </w:r>
      <w:r>
        <w:rPr>
          <w:rFonts w:ascii="SimSun" w:hAnsi="SimSun" w:eastAsia="SimSun" w:cs="SimSun"/>
          <w:sz w:val="21"/>
          <w:szCs w:val="21"/>
          <w:spacing w:val="-2"/>
        </w:rPr>
        <w:t>改进云端数据治理体系。</w:t>
      </w:r>
    </w:p>
    <w:p>
      <w:pPr>
        <w:ind w:left="689"/>
        <w:spacing w:before="49" w:line="223" w:lineRule="auto"/>
        <w:rPr>
          <w:rFonts w:ascii="KaiTi" w:hAnsi="KaiTi" w:eastAsia="KaiTi" w:cs="KaiTi"/>
          <w:sz w:val="21"/>
          <w:szCs w:val="21"/>
        </w:rPr>
      </w:pPr>
      <w:r>
        <w:rPr>
          <w:rFonts w:ascii="KaiTi" w:hAnsi="KaiTi" w:eastAsia="KaiTi" w:cs="KaiTi"/>
          <w:sz w:val="21"/>
          <w:szCs w:val="21"/>
          <w:spacing w:val="10"/>
        </w:rPr>
        <w:t>4)评审目标的适宜性</w:t>
      </w:r>
    </w:p>
    <w:p>
      <w:pPr>
        <w:ind w:left="219" w:firstLine="470"/>
        <w:spacing w:before="80" w:line="266" w:lineRule="auto"/>
        <w:rPr>
          <w:rFonts w:ascii="SimSun" w:hAnsi="SimSun" w:eastAsia="SimSun" w:cs="SimSun"/>
          <w:sz w:val="21"/>
          <w:szCs w:val="21"/>
        </w:rPr>
      </w:pPr>
      <w:r>
        <w:rPr>
          <w:rFonts w:ascii="SimSun" w:hAnsi="SimSun" w:eastAsia="SimSun" w:cs="SimSun"/>
          <w:sz w:val="21"/>
          <w:szCs w:val="21"/>
          <w:spacing w:val="-3"/>
        </w:rPr>
        <w:t>可以从以下三方面评审目标是否适合云端数据治理体系：</w:t>
      </w:r>
      <w:r>
        <w:rPr>
          <w:rFonts w:ascii="SimSun" w:hAnsi="SimSun" w:eastAsia="SimSun" w:cs="SimSun"/>
          <w:sz w:val="21"/>
          <w:szCs w:val="21"/>
          <w:spacing w:val="75"/>
        </w:rPr>
        <w:t xml:space="preserve"> </w:t>
      </w:r>
      <w:r>
        <w:rPr>
          <w:rFonts w:ascii="SimSun" w:hAnsi="SimSun" w:eastAsia="SimSun" w:cs="SimSun"/>
          <w:sz w:val="21"/>
          <w:szCs w:val="21"/>
          <w:spacing w:val="-3"/>
        </w:rPr>
        <w:t>一是评价实现体系目</w:t>
      </w:r>
      <w:r>
        <w:rPr>
          <w:rFonts w:ascii="SimSun" w:hAnsi="SimSun" w:eastAsia="SimSun" w:cs="SimSun"/>
          <w:sz w:val="21"/>
          <w:szCs w:val="21"/>
        </w:rPr>
        <w:t xml:space="preserve"> </w:t>
      </w:r>
      <w:r>
        <w:rPr>
          <w:rFonts w:ascii="SimSun" w:hAnsi="SimSun" w:eastAsia="SimSun" w:cs="SimSun"/>
          <w:sz w:val="21"/>
          <w:szCs w:val="21"/>
          <w:spacing w:val="-2"/>
        </w:rPr>
        <w:t>标的各种资源使用情况；二是实现的目标是否还有弹性空间，如是否可以当作基准、</w:t>
      </w:r>
      <w:r>
        <w:rPr>
          <w:rFonts w:ascii="SimSun" w:hAnsi="SimSun" w:eastAsia="SimSun" w:cs="SimSun"/>
          <w:sz w:val="21"/>
          <w:szCs w:val="21"/>
          <w:spacing w:val="7"/>
        </w:rPr>
        <w:t xml:space="preserve"> </w:t>
      </w:r>
      <w:r>
        <w:rPr>
          <w:rFonts w:ascii="SimSun" w:hAnsi="SimSun" w:eastAsia="SimSun" w:cs="SimSun"/>
          <w:sz w:val="21"/>
          <w:szCs w:val="21"/>
          <w:spacing w:val="1"/>
        </w:rPr>
        <w:t>是否需要变更、是否可以保持相对稳定等；三是所实现的目标是否能促进实现组织</w:t>
      </w:r>
      <w:r>
        <w:rPr>
          <w:rFonts w:ascii="SimSun" w:hAnsi="SimSun" w:eastAsia="SimSun" w:cs="SimSun"/>
          <w:sz w:val="21"/>
          <w:szCs w:val="21"/>
          <w:spacing w:val="7"/>
        </w:rPr>
        <w:t xml:space="preserve">  </w:t>
      </w:r>
      <w:r>
        <w:rPr>
          <w:rFonts w:ascii="SimSun" w:hAnsi="SimSun" w:eastAsia="SimSun" w:cs="SimSun"/>
          <w:sz w:val="21"/>
          <w:szCs w:val="21"/>
          <w:spacing w:val="-3"/>
        </w:rPr>
        <w:t>的战略。根据评审的结果修订体系的目标。</w:t>
      </w:r>
    </w:p>
    <w:p>
      <w:pPr>
        <w:ind w:left="693"/>
        <w:spacing w:before="206" w:line="221" w:lineRule="auto"/>
        <w:outlineLvl w:val="6"/>
        <w:rPr>
          <w:rFonts w:ascii="SimHei" w:hAnsi="SimHei" w:eastAsia="SimHei" w:cs="SimHei"/>
          <w:sz w:val="21"/>
          <w:szCs w:val="21"/>
        </w:rPr>
      </w:pPr>
      <w:r>
        <w:rPr>
          <w:rFonts w:ascii="SimHei" w:hAnsi="SimHei" w:eastAsia="SimHei" w:cs="SimHei"/>
          <w:sz w:val="21"/>
          <w:szCs w:val="21"/>
          <w:b/>
          <w:bCs/>
          <w:spacing w:val="7"/>
        </w:rPr>
        <w:t>3.</w:t>
      </w:r>
      <w:r>
        <w:rPr>
          <w:rFonts w:ascii="SimHei" w:hAnsi="SimHei" w:eastAsia="SimHei" w:cs="SimHei"/>
          <w:sz w:val="21"/>
          <w:szCs w:val="21"/>
          <w:spacing w:val="7"/>
        </w:rPr>
        <w:t xml:space="preserve"> </w:t>
      </w:r>
      <w:r>
        <w:rPr>
          <w:rFonts w:ascii="SimHei" w:hAnsi="SimHei" w:eastAsia="SimHei" w:cs="SimHei"/>
          <w:sz w:val="21"/>
          <w:szCs w:val="21"/>
          <w:b/>
          <w:bCs/>
          <w:spacing w:val="7"/>
        </w:rPr>
        <w:t>获取高层支持</w:t>
      </w:r>
    </w:p>
    <w:p>
      <w:pPr>
        <w:ind w:left="219" w:right="43" w:firstLine="470"/>
        <w:spacing w:before="214" w:line="250" w:lineRule="auto"/>
        <w:rPr>
          <w:rFonts w:ascii="SimSun" w:hAnsi="SimSun" w:eastAsia="SimSun" w:cs="SimSun"/>
          <w:sz w:val="21"/>
          <w:szCs w:val="21"/>
        </w:rPr>
      </w:pPr>
      <w:r>
        <w:rPr>
          <w:rFonts w:ascii="SimSun" w:hAnsi="SimSun" w:eastAsia="SimSun" w:cs="SimSun"/>
          <w:sz w:val="21"/>
          <w:szCs w:val="21"/>
          <w:spacing w:val="1"/>
        </w:rPr>
        <w:t>云端数据治理体系的形成离不开高层管理者的广泛参与，体系的有效运行离不</w:t>
      </w:r>
      <w:r>
        <w:rPr>
          <w:rFonts w:ascii="SimSun" w:hAnsi="SimSun" w:eastAsia="SimSun" w:cs="SimSun"/>
          <w:sz w:val="21"/>
          <w:szCs w:val="21"/>
          <w:spacing w:val="16"/>
        </w:rPr>
        <w:t xml:space="preserve"> </w:t>
      </w:r>
      <w:r>
        <w:rPr>
          <w:rFonts w:ascii="SimSun" w:hAnsi="SimSun" w:eastAsia="SimSun" w:cs="SimSun"/>
          <w:sz w:val="21"/>
          <w:szCs w:val="21"/>
        </w:rPr>
        <w:t>开高层管理者的大力推进与协调。可以通过以下途径获取高层</w:t>
      </w:r>
      <w:r>
        <w:rPr>
          <w:rFonts w:ascii="SimSun" w:hAnsi="SimSun" w:eastAsia="SimSun" w:cs="SimSun"/>
          <w:sz w:val="21"/>
          <w:szCs w:val="21"/>
          <w:spacing w:val="-1"/>
        </w:rPr>
        <w:t>对体系的支持。</w:t>
      </w:r>
    </w:p>
    <w:p>
      <w:pPr>
        <w:ind w:left="689"/>
        <w:spacing w:before="61" w:line="227" w:lineRule="auto"/>
        <w:rPr>
          <w:rFonts w:ascii="KaiTi" w:hAnsi="KaiTi" w:eastAsia="KaiTi" w:cs="KaiTi"/>
          <w:sz w:val="21"/>
          <w:szCs w:val="21"/>
        </w:rPr>
      </w:pPr>
      <w:r>
        <w:rPr>
          <w:rFonts w:ascii="KaiTi" w:hAnsi="KaiTi" w:eastAsia="KaiTi" w:cs="KaiTi"/>
          <w:sz w:val="21"/>
          <w:szCs w:val="21"/>
          <w:spacing w:val="5"/>
        </w:rPr>
        <w:t>1)创建虚拟云端数据治理小组</w:t>
      </w:r>
    </w:p>
    <w:p>
      <w:pPr>
        <w:ind w:left="219" w:right="8" w:firstLine="470"/>
        <w:spacing w:before="54" w:line="263" w:lineRule="auto"/>
        <w:rPr>
          <w:rFonts w:ascii="SimSun" w:hAnsi="SimSun" w:eastAsia="SimSun" w:cs="SimSun"/>
          <w:sz w:val="21"/>
          <w:szCs w:val="21"/>
        </w:rPr>
      </w:pPr>
      <w:r>
        <w:rPr>
          <w:rFonts w:ascii="SimSun" w:hAnsi="SimSun" w:eastAsia="SimSun" w:cs="SimSun"/>
          <w:sz w:val="21"/>
          <w:szCs w:val="21"/>
          <w:spacing w:val="1"/>
        </w:rPr>
        <w:t>云端数据治理需求经常由不同的数据管理团队提出，例如数据架构团队希望能</w:t>
      </w:r>
      <w:r>
        <w:rPr>
          <w:rFonts w:ascii="SimSun" w:hAnsi="SimSun" w:eastAsia="SimSun" w:cs="SimSun"/>
          <w:sz w:val="21"/>
          <w:szCs w:val="21"/>
          <w:spacing w:val="15"/>
        </w:rPr>
        <w:t xml:space="preserve"> </w:t>
      </w:r>
      <w:r>
        <w:rPr>
          <w:rFonts w:ascii="SimSun" w:hAnsi="SimSun" w:eastAsia="SimSun" w:cs="SimSun"/>
          <w:sz w:val="21"/>
          <w:szCs w:val="21"/>
          <w:spacing w:val="-1"/>
        </w:rPr>
        <w:t>将</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IT </w:t>
      </w:r>
      <w:r>
        <w:rPr>
          <w:rFonts w:ascii="SimSun" w:hAnsi="SimSun" w:eastAsia="SimSun" w:cs="SimSun"/>
          <w:sz w:val="21"/>
          <w:szCs w:val="21"/>
          <w:spacing w:val="-1"/>
        </w:rPr>
        <w:t>技术更好地融合至业务中；风险管理团队希望优化数据隐私策</w:t>
      </w:r>
      <w:r>
        <w:rPr>
          <w:rFonts w:ascii="SimSun" w:hAnsi="SimSun" w:eastAsia="SimSun" w:cs="SimSun"/>
          <w:sz w:val="21"/>
          <w:szCs w:val="21"/>
          <w:spacing w:val="-2"/>
        </w:rPr>
        <w:t>略；记录管理团 </w:t>
      </w:r>
      <w:r>
        <w:rPr>
          <w:rFonts w:ascii="SimSun" w:hAnsi="SimSun" w:eastAsia="SimSun" w:cs="SimSun"/>
          <w:sz w:val="21"/>
          <w:szCs w:val="21"/>
          <w:spacing w:val="-2"/>
        </w:rPr>
        <w:t>队希望建立电子文档保留策略；数据库管理团队希望能优化对分类数据的受控访问；</w:t>
      </w:r>
      <w:r>
        <w:rPr>
          <w:rFonts w:ascii="SimSun" w:hAnsi="SimSun" w:eastAsia="SimSun" w:cs="SimSun"/>
          <w:sz w:val="21"/>
          <w:szCs w:val="21"/>
        </w:rPr>
        <w:t xml:space="preserve"> </w:t>
      </w:r>
      <w:r>
        <w:rPr>
          <w:rFonts w:ascii="SimSun" w:hAnsi="SimSun" w:eastAsia="SimSun" w:cs="SimSun"/>
          <w:sz w:val="21"/>
          <w:szCs w:val="21"/>
          <w:spacing w:val="1"/>
        </w:rPr>
        <w:t>首席数据官希望业务部门管理者支持数据治理活动。这些团队向组织的不同部门报</w:t>
      </w:r>
      <w:r>
        <w:rPr>
          <w:rFonts w:ascii="SimSun" w:hAnsi="SimSun" w:eastAsia="SimSun" w:cs="SimSun"/>
          <w:sz w:val="21"/>
          <w:szCs w:val="21"/>
          <w:spacing w:val="6"/>
        </w:rPr>
        <w:t xml:space="preserve">  </w:t>
      </w:r>
      <w:r>
        <w:rPr>
          <w:rFonts w:ascii="SimSun" w:hAnsi="SimSun" w:eastAsia="SimSun" w:cs="SimSun"/>
          <w:sz w:val="21"/>
          <w:szCs w:val="21"/>
          <w:spacing w:val="-3"/>
        </w:rPr>
        <w:t>告，但他们都在尽力解决类似的数据问题。因此，通过成立虚拟云端数据治理小组，</w:t>
      </w:r>
      <w:r>
        <w:rPr>
          <w:rFonts w:ascii="SimSun" w:hAnsi="SimSun" w:eastAsia="SimSun" w:cs="SimSun"/>
          <w:sz w:val="21"/>
          <w:szCs w:val="21"/>
          <w:spacing w:val="4"/>
        </w:rPr>
        <w:t xml:space="preserve"> </w:t>
      </w:r>
      <w:r>
        <w:rPr>
          <w:rFonts w:ascii="SimSun" w:hAnsi="SimSun" w:eastAsia="SimSun" w:cs="SimSun"/>
          <w:sz w:val="21"/>
          <w:szCs w:val="21"/>
          <w:spacing w:val="-1"/>
        </w:rPr>
        <w:t>定期召开会议，协调解决数据问题，可以促进云端数据</w:t>
      </w:r>
      <w:r>
        <w:rPr>
          <w:rFonts w:ascii="SimSun" w:hAnsi="SimSun" w:eastAsia="SimSun" w:cs="SimSun"/>
          <w:sz w:val="21"/>
          <w:szCs w:val="21"/>
          <w:spacing w:val="-2"/>
        </w:rPr>
        <w:t>治理体系的有效运行。</w:t>
      </w:r>
    </w:p>
    <w:p>
      <w:pPr>
        <w:ind w:left="689"/>
        <w:spacing w:before="78" w:line="223" w:lineRule="auto"/>
        <w:rPr>
          <w:rFonts w:ascii="KaiTi" w:hAnsi="KaiTi" w:eastAsia="KaiTi" w:cs="KaiTi"/>
          <w:sz w:val="21"/>
          <w:szCs w:val="21"/>
        </w:rPr>
      </w:pPr>
      <w:r>
        <w:rPr>
          <w:rFonts w:ascii="KaiTi" w:hAnsi="KaiTi" w:eastAsia="KaiTi" w:cs="KaiTi"/>
          <w:sz w:val="21"/>
          <w:szCs w:val="21"/>
          <w:spacing w:val="6"/>
        </w:rPr>
        <w:t>2)获取</w:t>
      </w:r>
      <w:r>
        <w:rPr>
          <w:rFonts w:ascii="KaiTi" w:hAnsi="KaiTi" w:eastAsia="KaiTi" w:cs="KaiTi"/>
          <w:sz w:val="21"/>
          <w:szCs w:val="21"/>
          <w:spacing w:val="-4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6"/>
        </w:rPr>
        <w:t xml:space="preserve"> </w:t>
      </w:r>
      <w:r>
        <w:rPr>
          <w:rFonts w:ascii="KaiTi" w:hAnsi="KaiTi" w:eastAsia="KaiTi" w:cs="KaiTi"/>
          <w:sz w:val="21"/>
          <w:szCs w:val="21"/>
          <w:spacing w:val="6"/>
        </w:rPr>
        <w:t>和业务部门内高级管理人员的支持</w:t>
      </w:r>
    </w:p>
    <w:p>
      <w:pPr>
        <w:ind w:left="219" w:right="17" w:firstLine="470"/>
        <w:spacing w:before="59" w:line="262" w:lineRule="auto"/>
        <w:rPr>
          <w:rFonts w:ascii="SimSun" w:hAnsi="SimSun" w:eastAsia="SimSun" w:cs="SimSun"/>
          <w:sz w:val="21"/>
          <w:szCs w:val="21"/>
        </w:rPr>
      </w:pPr>
      <w:r>
        <w:rPr>
          <w:rFonts w:ascii="SimSun" w:hAnsi="SimSun" w:eastAsia="SimSun" w:cs="SimSun"/>
          <w:sz w:val="21"/>
          <w:szCs w:val="21"/>
          <w:spacing w:val="2"/>
        </w:rPr>
        <w:t>对一个企业来说，主要利益相关人士包括股东、管理人员和理事。其他利益相</w:t>
      </w:r>
      <w:r>
        <w:rPr>
          <w:rFonts w:ascii="SimSun" w:hAnsi="SimSun" w:eastAsia="SimSun" w:cs="SimSun"/>
          <w:sz w:val="21"/>
          <w:szCs w:val="21"/>
          <w:spacing w:val="8"/>
        </w:rPr>
        <w:t xml:space="preserve"> </w:t>
      </w:r>
      <w:r>
        <w:rPr>
          <w:rFonts w:ascii="SimSun" w:hAnsi="SimSun" w:eastAsia="SimSun" w:cs="SimSun"/>
          <w:sz w:val="21"/>
          <w:szCs w:val="21"/>
          <w:spacing w:val="2"/>
        </w:rPr>
        <w:t>关人士包括雇员、供应商、顾客、银行和其他贷款人、政府政策管理者、环境和整</w:t>
      </w:r>
      <w:r>
        <w:rPr>
          <w:rFonts w:ascii="SimSun" w:hAnsi="SimSun" w:eastAsia="SimSun" w:cs="SimSun"/>
          <w:sz w:val="21"/>
          <w:szCs w:val="21"/>
          <w:spacing w:val="7"/>
        </w:rPr>
        <w:t xml:space="preserve"> </w:t>
      </w:r>
      <w:r>
        <w:rPr>
          <w:rFonts w:ascii="SimSun" w:hAnsi="SimSun" w:eastAsia="SimSun" w:cs="SimSun"/>
          <w:sz w:val="21"/>
          <w:szCs w:val="21"/>
          <w:spacing w:val="1"/>
        </w:rPr>
        <w:t>个社区。企业治理的顶点是董事会，它代表着主要利益相关人的利益。董事会负责 </w:t>
      </w:r>
      <w:r>
        <w:rPr>
          <w:rFonts w:ascii="SimSun" w:hAnsi="SimSun" w:eastAsia="SimSun" w:cs="SimSun"/>
          <w:sz w:val="21"/>
          <w:szCs w:val="21"/>
          <w:spacing w:val="1"/>
        </w:rPr>
        <w:t>设置策略来确保企业高层官员执行合适的数据治理。因此数据治理只有在其流程吸 </w:t>
      </w:r>
      <w:r>
        <w:rPr>
          <w:rFonts w:ascii="SimSun" w:hAnsi="SimSun" w:eastAsia="SimSun" w:cs="SimSun"/>
          <w:sz w:val="21"/>
          <w:szCs w:val="21"/>
          <w:spacing w:val="-4"/>
        </w:rPr>
        <w:t>引企业的利益相关者时才会成功。</w:t>
      </w:r>
    </w:p>
    <w:p>
      <w:pPr>
        <w:ind w:left="219" w:right="37" w:firstLine="470"/>
        <w:spacing w:before="62" w:line="265" w:lineRule="auto"/>
        <w:rPr>
          <w:rFonts w:ascii="SimSun" w:hAnsi="SimSun" w:eastAsia="SimSun" w:cs="SimSun"/>
          <w:sz w:val="21"/>
          <w:szCs w:val="21"/>
        </w:rPr>
      </w:pPr>
      <w:r>
        <w:rPr>
          <w:rFonts w:ascii="SimSun" w:hAnsi="SimSun" w:eastAsia="SimSun" w:cs="SimSun"/>
          <w:sz w:val="21"/>
          <w:szCs w:val="21"/>
          <w:spacing w:val="2"/>
        </w:rPr>
        <w:t>在云端数据治理体系中，任何依靠数据来获得收益</w:t>
      </w:r>
      <w:r>
        <w:rPr>
          <w:rFonts w:ascii="SimSun" w:hAnsi="SimSun" w:eastAsia="SimSun" w:cs="SimSun"/>
          <w:sz w:val="21"/>
          <w:szCs w:val="21"/>
          <w:spacing w:val="1"/>
        </w:rPr>
        <w:t>的职能部门人员都是利益相</w:t>
      </w:r>
      <w:r>
        <w:rPr>
          <w:rFonts w:ascii="SimSun" w:hAnsi="SimSun" w:eastAsia="SimSun" w:cs="SimSun"/>
          <w:sz w:val="21"/>
          <w:szCs w:val="21"/>
        </w:rPr>
        <w:t xml:space="preserve"> </w:t>
      </w:r>
      <w:r>
        <w:rPr>
          <w:rFonts w:ascii="SimSun" w:hAnsi="SimSun" w:eastAsia="SimSun" w:cs="SimSun"/>
          <w:sz w:val="21"/>
          <w:szCs w:val="21"/>
          <w:spacing w:val="1"/>
        </w:rPr>
        <w:t>关者。各级数据管理人员应不断地沟通并推广数据价值的重要性，汇报数据管理部</w:t>
      </w:r>
      <w:r>
        <w:rPr>
          <w:rFonts w:ascii="SimSun" w:hAnsi="SimSun" w:eastAsia="SimSun" w:cs="SimSun"/>
          <w:sz w:val="21"/>
          <w:szCs w:val="21"/>
          <w:spacing w:val="14"/>
        </w:rPr>
        <w:t xml:space="preserve"> </w:t>
      </w:r>
      <w:r>
        <w:rPr>
          <w:rFonts w:ascii="SimSun" w:hAnsi="SimSun" w:eastAsia="SimSun" w:cs="SimSun"/>
          <w:sz w:val="21"/>
          <w:szCs w:val="21"/>
          <w:spacing w:val="1"/>
        </w:rPr>
        <w:t>门的工作成绩，提高利益相关人士对数据治理及效益的重视和认可程度。组织应指</w:t>
      </w:r>
      <w:r>
        <w:rPr>
          <w:rFonts w:ascii="SimSun" w:hAnsi="SimSun" w:eastAsia="SimSun" w:cs="SimSun"/>
          <w:sz w:val="21"/>
          <w:szCs w:val="21"/>
          <w:spacing w:val="17"/>
        </w:rPr>
        <w:t xml:space="preserve"> </w:t>
      </w:r>
      <w:r>
        <w:rPr>
          <w:rFonts w:ascii="SimSun" w:hAnsi="SimSun" w:eastAsia="SimSun" w:cs="SimSun"/>
          <w:sz w:val="21"/>
          <w:szCs w:val="21"/>
          <w:spacing w:val="1"/>
        </w:rPr>
        <w:t>定专人负责与利益相关者进行沟通，可通过公告、电子邮件、</w:t>
      </w:r>
      <w:r>
        <w:rPr>
          <w:rFonts w:ascii="SimSun" w:hAnsi="SimSun" w:eastAsia="SimSun" w:cs="SimSun"/>
          <w:sz w:val="21"/>
          <w:szCs w:val="21"/>
        </w:rPr>
        <w:t>纸质文档、培训等方</w:t>
      </w:r>
    </w:p>
    <w:p>
      <w:pPr>
        <w:spacing w:line="265" w:lineRule="auto"/>
        <w:sectPr>
          <w:footerReference w:type="default" r:id="rId477"/>
          <w:pgSz w:w="8870" w:h="13400"/>
          <w:pgMar w:top="400" w:right="325" w:bottom="467" w:left="620" w:header="0" w:footer="259" w:gutter="0"/>
        </w:sectPr>
        <w:rPr>
          <w:rFonts w:ascii="SimSun" w:hAnsi="SimSun" w:eastAsia="SimSun" w:cs="SimSun"/>
          <w:sz w:val="21"/>
          <w:szCs w:val="21"/>
        </w:rPr>
      </w:pPr>
    </w:p>
    <w:p>
      <w:pPr>
        <w:ind w:left="4592"/>
        <w:spacing w:before="18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43" w:lineRule="auto"/>
        <w:rPr/>
      </w:pPr>
      <w:r/>
    </w:p>
    <w:p>
      <w:pPr>
        <w:ind w:right="231"/>
        <w:spacing w:before="68" w:line="251" w:lineRule="auto"/>
        <w:rPr>
          <w:rFonts w:ascii="SimSun" w:hAnsi="SimSun" w:eastAsia="SimSun" w:cs="SimSun"/>
          <w:sz w:val="21"/>
          <w:szCs w:val="21"/>
        </w:rPr>
      </w:pPr>
      <w:r>
        <w:rPr>
          <w:rFonts w:ascii="SimSun" w:hAnsi="SimSun" w:eastAsia="SimSun" w:cs="SimSun"/>
          <w:sz w:val="21"/>
          <w:szCs w:val="21"/>
          <w:spacing w:val="2"/>
        </w:rPr>
        <w:t>式为利益相关者介绍云端数据治理体系的战略、效益、目标、原则、以及重要数据</w:t>
      </w:r>
      <w:r>
        <w:rPr>
          <w:rFonts w:ascii="SimSun" w:hAnsi="SimSun" w:eastAsia="SimSun" w:cs="SimSun"/>
          <w:sz w:val="21"/>
          <w:szCs w:val="21"/>
        </w:rPr>
        <w:t xml:space="preserve"> </w:t>
      </w:r>
      <w:r>
        <w:rPr>
          <w:rFonts w:ascii="SimSun" w:hAnsi="SimSun" w:eastAsia="SimSun" w:cs="SimSun"/>
          <w:sz w:val="21"/>
          <w:szCs w:val="21"/>
          <w:spacing w:val="-4"/>
        </w:rPr>
        <w:t>管理问题的执行信息等。</w:t>
      </w:r>
    </w:p>
    <w:p>
      <w:pPr>
        <w:ind w:left="442"/>
        <w:spacing w:before="189" w:line="219" w:lineRule="auto"/>
        <w:outlineLvl w:val="6"/>
        <w:rPr>
          <w:rFonts w:ascii="YouYuan" w:hAnsi="YouYuan" w:eastAsia="YouYuan" w:cs="YouYuan"/>
          <w:sz w:val="21"/>
          <w:szCs w:val="21"/>
        </w:rPr>
      </w:pPr>
      <w:r>
        <w:rPr>
          <w:rFonts w:ascii="YouYuan" w:hAnsi="YouYuan" w:eastAsia="YouYuan" w:cs="YouYuan"/>
          <w:sz w:val="21"/>
          <w:szCs w:val="21"/>
          <w:b/>
          <w:bCs/>
          <w:spacing w:val="6"/>
        </w:rPr>
        <w:t>4.</w:t>
      </w:r>
      <w:r>
        <w:rPr>
          <w:rFonts w:ascii="YouYuan" w:hAnsi="YouYuan" w:eastAsia="YouYuan" w:cs="YouYuan"/>
          <w:sz w:val="21"/>
          <w:szCs w:val="21"/>
          <w:spacing w:val="6"/>
        </w:rPr>
        <w:t xml:space="preserve"> </w:t>
      </w:r>
      <w:r>
        <w:rPr>
          <w:rFonts w:ascii="YouYuan" w:hAnsi="YouYuan" w:eastAsia="YouYuan" w:cs="YouYuan"/>
          <w:sz w:val="21"/>
          <w:szCs w:val="21"/>
          <w:b/>
          <w:bCs/>
          <w:spacing w:val="6"/>
        </w:rPr>
        <w:t>执行差距分析</w:t>
      </w:r>
    </w:p>
    <w:p>
      <w:pPr>
        <w:ind w:right="233" w:firstLine="439"/>
        <w:spacing w:before="240" w:line="250" w:lineRule="auto"/>
        <w:rPr>
          <w:rFonts w:ascii="SimSun" w:hAnsi="SimSun" w:eastAsia="SimSun" w:cs="SimSun"/>
          <w:sz w:val="21"/>
          <w:szCs w:val="21"/>
        </w:rPr>
      </w:pPr>
      <w:r>
        <w:rPr>
          <w:rFonts w:ascii="SimSun" w:hAnsi="SimSun" w:eastAsia="SimSun" w:cs="SimSun"/>
          <w:sz w:val="21"/>
          <w:szCs w:val="21"/>
          <w:spacing w:val="1"/>
        </w:rPr>
        <w:t>差距分析是指在战略实施的过程中，将数据治理现状与数据治理战略目标进行</w:t>
      </w:r>
      <w:r>
        <w:rPr>
          <w:rFonts w:ascii="SimSun" w:hAnsi="SimSun" w:eastAsia="SimSun" w:cs="SimSun"/>
          <w:sz w:val="21"/>
          <w:szCs w:val="21"/>
          <w:spacing w:val="15"/>
        </w:rPr>
        <w:t xml:space="preserve"> </w:t>
      </w:r>
      <w:r>
        <w:rPr>
          <w:rFonts w:ascii="SimSun" w:hAnsi="SimSun" w:eastAsia="SimSun" w:cs="SimSun"/>
          <w:sz w:val="21"/>
          <w:szCs w:val="21"/>
          <w:spacing w:val="-2"/>
        </w:rPr>
        <w:t>对比分析，为策划数据治理项目提供依据。</w:t>
      </w:r>
    </w:p>
    <w:p>
      <w:pPr>
        <w:ind w:right="231" w:firstLine="439"/>
        <w:spacing w:before="61" w:line="261" w:lineRule="auto"/>
        <w:rPr>
          <w:rFonts w:ascii="SimSun" w:hAnsi="SimSun" w:eastAsia="SimSun" w:cs="SimSun"/>
          <w:sz w:val="21"/>
          <w:szCs w:val="21"/>
        </w:rPr>
      </w:pPr>
      <w:r>
        <w:rPr>
          <w:rFonts w:ascii="SimSun" w:hAnsi="SimSun" w:eastAsia="SimSun" w:cs="SimSun"/>
          <w:sz w:val="21"/>
          <w:szCs w:val="21"/>
          <w:spacing w:val="1"/>
        </w:rPr>
        <w:t>组织可以通过现场调研、人员访谈、文件审阅及现场查看等方式，了解组织云</w:t>
      </w:r>
      <w:r>
        <w:rPr>
          <w:rFonts w:ascii="SimSun" w:hAnsi="SimSun" w:eastAsia="SimSun" w:cs="SimSun"/>
          <w:sz w:val="21"/>
          <w:szCs w:val="21"/>
          <w:spacing w:val="17"/>
        </w:rPr>
        <w:t xml:space="preserve"> </w:t>
      </w:r>
      <w:r>
        <w:rPr>
          <w:rFonts w:ascii="SimSun" w:hAnsi="SimSun" w:eastAsia="SimSun" w:cs="SimSun"/>
          <w:sz w:val="21"/>
          <w:szCs w:val="21"/>
          <w:spacing w:val="2"/>
        </w:rPr>
        <w:t>端数据治理体系现状，然后与云端数据治理成熟度模型进行对比分析，发现组</w:t>
      </w:r>
      <w:r>
        <w:rPr>
          <w:rFonts w:ascii="SimSun" w:hAnsi="SimSun" w:eastAsia="SimSun" w:cs="SimSun"/>
          <w:sz w:val="21"/>
          <w:szCs w:val="21"/>
          <w:spacing w:val="1"/>
        </w:rPr>
        <w:t>织在</w:t>
      </w:r>
      <w:r>
        <w:rPr>
          <w:rFonts w:ascii="SimSun" w:hAnsi="SimSun" w:eastAsia="SimSun" w:cs="SimSun"/>
          <w:sz w:val="21"/>
          <w:szCs w:val="21"/>
        </w:rPr>
        <w:t xml:space="preserve"> </w:t>
      </w:r>
      <w:r>
        <w:rPr>
          <w:rFonts w:ascii="SimSun" w:hAnsi="SimSun" w:eastAsia="SimSun" w:cs="SimSun"/>
          <w:sz w:val="21"/>
          <w:szCs w:val="21"/>
          <w:spacing w:val="-1"/>
        </w:rPr>
        <w:t>云端数据治理体系中存在的差距。执行差距分析的过程可以包括以下环节。</w:t>
      </w:r>
    </w:p>
    <w:p>
      <w:pPr>
        <w:ind w:left="439"/>
        <w:spacing w:before="26" w:line="223" w:lineRule="auto"/>
        <w:rPr>
          <w:rFonts w:ascii="KaiTi" w:hAnsi="KaiTi" w:eastAsia="KaiTi" w:cs="KaiTi"/>
          <w:sz w:val="21"/>
          <w:szCs w:val="21"/>
        </w:rPr>
      </w:pPr>
      <w:r>
        <w:rPr>
          <w:rFonts w:ascii="KaiTi" w:hAnsi="KaiTi" w:eastAsia="KaiTi" w:cs="KaiTi"/>
          <w:sz w:val="21"/>
          <w:szCs w:val="21"/>
          <w:spacing w:val="8"/>
        </w:rPr>
        <w:t>1)定义评估的组织范围</w:t>
      </w:r>
    </w:p>
    <w:p>
      <w:pPr>
        <w:ind w:right="215" w:firstLine="439"/>
        <w:spacing w:before="80" w:line="265" w:lineRule="auto"/>
        <w:rPr>
          <w:rFonts w:ascii="SimSun" w:hAnsi="SimSun" w:eastAsia="SimSun" w:cs="SimSun"/>
          <w:sz w:val="21"/>
          <w:szCs w:val="21"/>
        </w:rPr>
      </w:pPr>
      <w:r>
        <w:rPr>
          <w:rFonts w:ascii="SimSun" w:hAnsi="SimSun" w:eastAsia="SimSun" w:cs="SimSun"/>
          <w:sz w:val="21"/>
          <w:szCs w:val="21"/>
          <w:spacing w:val="2"/>
        </w:rPr>
        <w:t>数据治理活动的参与范围是有边界的，不同规模和性质的组织参与到数据</w:t>
      </w:r>
      <w:r>
        <w:rPr>
          <w:rFonts w:ascii="SimSun" w:hAnsi="SimSun" w:eastAsia="SimSun" w:cs="SimSun"/>
          <w:sz w:val="21"/>
          <w:szCs w:val="21"/>
          <w:spacing w:val="1"/>
        </w:rPr>
        <w:t>治理</w:t>
      </w:r>
      <w:r>
        <w:rPr>
          <w:rFonts w:ascii="SimSun" w:hAnsi="SimSun" w:eastAsia="SimSun" w:cs="SimSun"/>
          <w:sz w:val="21"/>
          <w:szCs w:val="21"/>
        </w:rPr>
        <w:t xml:space="preserve"> </w:t>
      </w:r>
      <w:r>
        <w:rPr>
          <w:rFonts w:ascii="SimSun" w:hAnsi="SimSun" w:eastAsia="SimSun" w:cs="SimSun"/>
          <w:sz w:val="21"/>
          <w:szCs w:val="21"/>
          <w:spacing w:val="2"/>
        </w:rPr>
        <w:t>的部门和人员数量存在较大差距。对于小型组织，数据治理可能就是面向整个</w:t>
      </w:r>
      <w:r>
        <w:rPr>
          <w:rFonts w:ascii="SimSun" w:hAnsi="SimSun" w:eastAsia="SimSun" w:cs="SimSun"/>
          <w:sz w:val="21"/>
          <w:szCs w:val="21"/>
          <w:spacing w:val="1"/>
        </w:rPr>
        <w:t>组织</w:t>
      </w:r>
      <w:r>
        <w:rPr>
          <w:rFonts w:ascii="SimSun" w:hAnsi="SimSun" w:eastAsia="SimSun" w:cs="SimSun"/>
          <w:sz w:val="21"/>
          <w:szCs w:val="21"/>
        </w:rPr>
        <w:t xml:space="preserve"> </w:t>
      </w:r>
      <w:r>
        <w:rPr>
          <w:rFonts w:ascii="SimSun" w:hAnsi="SimSun" w:eastAsia="SimSun" w:cs="SimSun"/>
          <w:sz w:val="21"/>
          <w:szCs w:val="21"/>
          <w:spacing w:val="2"/>
        </w:rPr>
        <w:t>的，而对于大型的、跨地域的组织，数据治理可能是多个部门开展</w:t>
      </w:r>
      <w:r>
        <w:rPr>
          <w:rFonts w:ascii="SimSun" w:hAnsi="SimSun" w:eastAsia="SimSun" w:cs="SimSun"/>
          <w:sz w:val="21"/>
          <w:szCs w:val="21"/>
          <w:spacing w:val="1"/>
        </w:rPr>
        <w:t>小范围数据治理</w:t>
      </w:r>
      <w:r>
        <w:rPr>
          <w:rFonts w:ascii="SimSun" w:hAnsi="SimSun" w:eastAsia="SimSun" w:cs="SimSun"/>
          <w:sz w:val="21"/>
          <w:szCs w:val="21"/>
        </w:rPr>
        <w:t xml:space="preserve"> </w:t>
      </w:r>
      <w:r>
        <w:rPr>
          <w:rFonts w:ascii="SimSun" w:hAnsi="SimSun" w:eastAsia="SimSun" w:cs="SimSun"/>
          <w:sz w:val="21"/>
          <w:szCs w:val="21"/>
          <w:spacing w:val="2"/>
        </w:rPr>
        <w:t>活动的集合。评估范围选择太大，会导致差距分析工作复杂；范围选择太小，会影</w:t>
      </w:r>
      <w:r>
        <w:rPr>
          <w:rFonts w:ascii="SimSun" w:hAnsi="SimSun" w:eastAsia="SimSun" w:cs="SimSun"/>
          <w:sz w:val="21"/>
          <w:szCs w:val="21"/>
          <w:spacing w:val="16"/>
        </w:rPr>
        <w:t xml:space="preserve"> </w:t>
      </w:r>
      <w:r>
        <w:rPr>
          <w:rFonts w:ascii="SimSun" w:hAnsi="SimSun" w:eastAsia="SimSun" w:cs="SimSun"/>
          <w:sz w:val="21"/>
          <w:szCs w:val="21"/>
          <w:spacing w:val="2"/>
        </w:rPr>
        <w:t>响评估结果的客观性。因此，执行差距分析时的评估范围应当采取适中原则</w:t>
      </w:r>
      <w:r>
        <w:rPr>
          <w:rFonts w:ascii="SimSun" w:hAnsi="SimSun" w:eastAsia="SimSun" w:cs="SimSun"/>
          <w:sz w:val="21"/>
          <w:szCs w:val="21"/>
          <w:spacing w:val="1"/>
        </w:rPr>
        <w:t>，选取</w:t>
      </w:r>
      <w:r>
        <w:rPr>
          <w:rFonts w:ascii="SimSun" w:hAnsi="SimSun" w:eastAsia="SimSun" w:cs="SimSun"/>
          <w:sz w:val="21"/>
          <w:szCs w:val="21"/>
        </w:rPr>
        <w:t xml:space="preserve"> </w:t>
      </w:r>
      <w:r>
        <w:rPr>
          <w:rFonts w:ascii="SimSun" w:hAnsi="SimSun" w:eastAsia="SimSun" w:cs="SimSun"/>
          <w:sz w:val="21"/>
          <w:szCs w:val="21"/>
          <w:spacing w:val="2"/>
        </w:rPr>
        <w:t>参与程度较高的部门、与数据流程接触较为</w:t>
      </w:r>
      <w:r>
        <w:rPr>
          <w:rFonts w:ascii="SimSun" w:hAnsi="SimSun" w:eastAsia="SimSun" w:cs="SimSun"/>
          <w:sz w:val="21"/>
          <w:szCs w:val="21"/>
          <w:spacing w:val="1"/>
        </w:rPr>
        <w:t>紧密的人员、与组织业务目标最贴近的</w:t>
      </w:r>
      <w:r>
        <w:rPr>
          <w:rFonts w:ascii="SimSun" w:hAnsi="SimSun" w:eastAsia="SimSun" w:cs="SimSun"/>
          <w:sz w:val="21"/>
          <w:szCs w:val="21"/>
        </w:rPr>
        <w:t xml:space="preserve"> </w:t>
      </w:r>
      <w:r>
        <w:rPr>
          <w:rFonts w:ascii="SimSun" w:hAnsi="SimSun" w:eastAsia="SimSun" w:cs="SimSun"/>
          <w:sz w:val="21"/>
          <w:szCs w:val="21"/>
          <w:spacing w:val="-9"/>
        </w:rPr>
        <w:t>数据。</w:t>
      </w:r>
    </w:p>
    <w:p>
      <w:pPr>
        <w:ind w:left="439"/>
        <w:spacing w:before="66" w:line="223" w:lineRule="auto"/>
        <w:rPr>
          <w:rFonts w:ascii="KaiTi" w:hAnsi="KaiTi" w:eastAsia="KaiTi" w:cs="KaiTi"/>
          <w:sz w:val="21"/>
          <w:szCs w:val="21"/>
        </w:rPr>
      </w:pPr>
      <w:r>
        <w:rPr>
          <w:rFonts w:ascii="KaiTi" w:hAnsi="KaiTi" w:eastAsia="KaiTi" w:cs="KaiTi"/>
          <w:sz w:val="21"/>
          <w:szCs w:val="21"/>
          <w:spacing w:val="11"/>
        </w:rPr>
        <w:t>2)确定评估的时间范围</w:t>
      </w:r>
    </w:p>
    <w:p>
      <w:pPr>
        <w:ind w:right="232" w:firstLine="439"/>
        <w:spacing w:before="68" w:line="260" w:lineRule="auto"/>
        <w:rPr>
          <w:rFonts w:ascii="SimSun" w:hAnsi="SimSun" w:eastAsia="SimSun" w:cs="SimSun"/>
          <w:sz w:val="21"/>
          <w:szCs w:val="21"/>
        </w:rPr>
      </w:pPr>
      <w:r>
        <w:rPr>
          <w:rFonts w:ascii="SimSun" w:hAnsi="SimSun" w:eastAsia="SimSun" w:cs="SimSun"/>
          <w:sz w:val="21"/>
          <w:szCs w:val="21"/>
          <w:spacing w:val="1"/>
        </w:rPr>
        <w:t>执行差距分析的目的是为后续数据治理活动的改进提供参考依据，评估时间过</w:t>
      </w:r>
      <w:r>
        <w:rPr>
          <w:rFonts w:ascii="SimSun" w:hAnsi="SimSun" w:eastAsia="SimSun" w:cs="SimSun"/>
          <w:sz w:val="21"/>
          <w:szCs w:val="21"/>
          <w:spacing w:val="12"/>
        </w:rPr>
        <w:t xml:space="preserve"> </w:t>
      </w:r>
      <w:r>
        <w:rPr>
          <w:rFonts w:ascii="SimSun" w:hAnsi="SimSun" w:eastAsia="SimSun" w:cs="SimSun"/>
          <w:sz w:val="21"/>
          <w:szCs w:val="21"/>
          <w:spacing w:val="2"/>
        </w:rPr>
        <w:t>长会贻误数据治理整体进度，时间过短则难以实现评估有效性。差距分析的评估时</w:t>
      </w:r>
      <w:r>
        <w:rPr>
          <w:rFonts w:ascii="SimSun" w:hAnsi="SimSun" w:eastAsia="SimSun" w:cs="SimSun"/>
          <w:sz w:val="21"/>
          <w:szCs w:val="21"/>
        </w:rPr>
        <w:t xml:space="preserve"> </w:t>
      </w:r>
      <w:r>
        <w:rPr>
          <w:rFonts w:ascii="SimSun" w:hAnsi="SimSun" w:eastAsia="SimSun" w:cs="SimSun"/>
          <w:sz w:val="21"/>
          <w:szCs w:val="21"/>
          <w:spacing w:val="2"/>
        </w:rPr>
        <w:t>间没有一个固定的长度，与组织数据治理的复杂性存在诸多关联，鉴于数</w:t>
      </w:r>
      <w:r>
        <w:rPr>
          <w:rFonts w:ascii="SimSun" w:hAnsi="SimSun" w:eastAsia="SimSun" w:cs="SimSun"/>
          <w:sz w:val="21"/>
          <w:szCs w:val="21"/>
          <w:spacing w:val="1"/>
        </w:rPr>
        <w:t>据治理体</w:t>
      </w:r>
      <w:r>
        <w:rPr>
          <w:rFonts w:ascii="SimSun" w:hAnsi="SimSun" w:eastAsia="SimSun" w:cs="SimSun"/>
          <w:sz w:val="21"/>
          <w:szCs w:val="21"/>
        </w:rPr>
        <w:t xml:space="preserve"> </w:t>
      </w:r>
      <w:r>
        <w:rPr>
          <w:rFonts w:ascii="SimSun" w:hAnsi="SimSun" w:eastAsia="SimSun" w:cs="SimSun"/>
          <w:sz w:val="21"/>
          <w:szCs w:val="21"/>
          <w:spacing w:val="-2"/>
        </w:rPr>
        <w:t>系的持续性，差距分析也可以是一个持续的、动态的过程。</w:t>
      </w:r>
    </w:p>
    <w:p>
      <w:pPr>
        <w:ind w:left="439"/>
        <w:spacing w:before="65" w:line="223" w:lineRule="auto"/>
        <w:rPr>
          <w:rFonts w:ascii="KaiTi" w:hAnsi="KaiTi" w:eastAsia="KaiTi" w:cs="KaiTi"/>
          <w:sz w:val="21"/>
          <w:szCs w:val="21"/>
        </w:rPr>
      </w:pPr>
      <w:r>
        <w:rPr>
          <w:rFonts w:ascii="KaiTi" w:hAnsi="KaiTi" w:eastAsia="KaiTi" w:cs="KaiTi"/>
          <w:sz w:val="21"/>
          <w:szCs w:val="21"/>
          <w:spacing w:val="6"/>
        </w:rPr>
        <w:t>3)选取合适的成熟度评价指标体系</w:t>
      </w:r>
    </w:p>
    <w:p>
      <w:pPr>
        <w:ind w:right="215" w:firstLine="439"/>
        <w:spacing w:before="68" w:line="264" w:lineRule="auto"/>
        <w:rPr>
          <w:rFonts w:ascii="SimSun" w:hAnsi="SimSun" w:eastAsia="SimSun" w:cs="SimSun"/>
          <w:sz w:val="21"/>
          <w:szCs w:val="21"/>
        </w:rPr>
      </w:pPr>
      <w:r>
        <w:rPr>
          <w:rFonts w:ascii="SimSun" w:hAnsi="SimSun" w:eastAsia="SimSun" w:cs="SimSun"/>
          <w:sz w:val="21"/>
          <w:szCs w:val="21"/>
          <w:spacing w:val="5"/>
        </w:rPr>
        <w:t>本书的第2篇系统地介绍了云端数据治理过程域的成熟度等级评价依据，对数</w:t>
      </w:r>
      <w:r>
        <w:rPr>
          <w:rFonts w:ascii="SimSun" w:hAnsi="SimSun" w:eastAsia="SimSun" w:cs="SimSun"/>
          <w:sz w:val="21"/>
          <w:szCs w:val="21"/>
          <w:spacing w:val="2"/>
        </w:rPr>
        <w:t xml:space="preserve"> </w:t>
      </w:r>
      <w:r>
        <w:rPr>
          <w:rFonts w:ascii="SimSun" w:hAnsi="SimSun" w:eastAsia="SimSun" w:cs="SimSun"/>
          <w:sz w:val="21"/>
          <w:szCs w:val="21"/>
          <w:spacing w:val="5"/>
        </w:rPr>
        <w:t>据战略、数据管理、数据质量、数据操作、数据架构、安全与隐</w:t>
      </w:r>
      <w:r>
        <w:rPr>
          <w:rFonts w:ascii="SimSun" w:hAnsi="SimSun" w:eastAsia="SimSun" w:cs="SimSun"/>
          <w:sz w:val="21"/>
          <w:szCs w:val="21"/>
          <w:spacing w:val="4"/>
        </w:rPr>
        <w:t>私等6个职能域提</w:t>
      </w:r>
      <w:r>
        <w:rPr>
          <w:rFonts w:ascii="SimSun" w:hAnsi="SimSun" w:eastAsia="SimSun" w:cs="SimSun"/>
          <w:sz w:val="21"/>
          <w:szCs w:val="21"/>
        </w:rPr>
        <w:t xml:space="preserve"> </w:t>
      </w:r>
      <w:r>
        <w:rPr>
          <w:rFonts w:ascii="SimSun" w:hAnsi="SimSun" w:eastAsia="SimSun" w:cs="SimSun"/>
          <w:sz w:val="21"/>
          <w:szCs w:val="21"/>
          <w:spacing w:val="2"/>
        </w:rPr>
        <w:t>出了很多具体的评估依据。组织应当根据定义的评估组织范围等因素，选择合适的</w:t>
      </w:r>
      <w:r>
        <w:rPr>
          <w:rFonts w:ascii="SimSun" w:hAnsi="SimSun" w:eastAsia="SimSun" w:cs="SimSun"/>
          <w:sz w:val="21"/>
          <w:szCs w:val="21"/>
          <w:spacing w:val="3"/>
        </w:rPr>
        <w:t xml:space="preserve"> </w:t>
      </w:r>
      <w:r>
        <w:rPr>
          <w:rFonts w:ascii="SimSun" w:hAnsi="SimSun" w:eastAsia="SimSun" w:cs="SimSun"/>
          <w:sz w:val="21"/>
          <w:szCs w:val="21"/>
          <w:spacing w:val="-2"/>
        </w:rPr>
        <w:t>指标体系对数据治理活动进行评价。当定义的</w:t>
      </w:r>
      <w:r>
        <w:rPr>
          <w:rFonts w:ascii="SimSun" w:hAnsi="SimSun" w:eastAsia="SimSun" w:cs="SimSun"/>
          <w:sz w:val="21"/>
          <w:szCs w:val="21"/>
          <w:spacing w:val="-3"/>
        </w:rPr>
        <w:t>评估组织范围较小时，</w:t>
      </w:r>
      <w:r>
        <w:rPr>
          <w:rFonts w:ascii="SimSun" w:hAnsi="SimSun" w:eastAsia="SimSun" w:cs="SimSun"/>
          <w:sz w:val="21"/>
          <w:szCs w:val="21"/>
          <w:spacing w:val="61"/>
        </w:rPr>
        <w:t xml:space="preserve"> </w:t>
      </w:r>
      <w:r>
        <w:rPr>
          <w:rFonts w:ascii="SimSun" w:hAnsi="SimSun" w:eastAsia="SimSun" w:cs="SimSun"/>
          <w:sz w:val="21"/>
          <w:szCs w:val="21"/>
          <w:spacing w:val="-3"/>
        </w:rPr>
        <w:t>一些指标体系</w:t>
      </w:r>
      <w:r>
        <w:rPr>
          <w:rFonts w:ascii="SimSun" w:hAnsi="SimSun" w:eastAsia="SimSun" w:cs="SimSun"/>
          <w:sz w:val="21"/>
          <w:szCs w:val="21"/>
        </w:rPr>
        <w:t xml:space="preserve"> </w:t>
      </w:r>
      <w:r>
        <w:rPr>
          <w:rFonts w:ascii="SimSun" w:hAnsi="SimSun" w:eastAsia="SimSun" w:cs="SimSun"/>
          <w:sz w:val="21"/>
          <w:szCs w:val="21"/>
          <w:spacing w:val="2"/>
        </w:rPr>
        <w:t>就可以不用纳入进去，例如对于部门级的数据治理评估，数据安全隐私职能域可以</w:t>
      </w:r>
      <w:r>
        <w:rPr>
          <w:rFonts w:ascii="SimSun" w:hAnsi="SimSun" w:eastAsia="SimSun" w:cs="SimSun"/>
          <w:sz w:val="21"/>
          <w:szCs w:val="21"/>
          <w:spacing w:val="6"/>
        </w:rPr>
        <w:t xml:space="preserve"> </w:t>
      </w:r>
      <w:r>
        <w:rPr>
          <w:rFonts w:ascii="SimSun" w:hAnsi="SimSun" w:eastAsia="SimSun" w:cs="SimSun"/>
          <w:sz w:val="21"/>
          <w:szCs w:val="21"/>
          <w:spacing w:val="-2"/>
        </w:rPr>
        <w:t>不用选取，因为这是组织层面上应该考虑的问题。</w:t>
      </w:r>
    </w:p>
    <w:p>
      <w:pPr>
        <w:ind w:left="4"/>
        <w:spacing w:before="329" w:line="222" w:lineRule="auto"/>
        <w:outlineLvl w:val="5"/>
        <w:rPr>
          <w:rFonts w:ascii="SimHei" w:hAnsi="SimHei" w:eastAsia="SimHei" w:cs="SimHei"/>
          <w:sz w:val="29"/>
          <w:szCs w:val="29"/>
        </w:rPr>
      </w:pPr>
      <w:r>
        <w:rPr>
          <w:rFonts w:ascii="SimHei" w:hAnsi="SimHei" w:eastAsia="SimHei" w:cs="SimHei"/>
          <w:sz w:val="29"/>
          <w:szCs w:val="29"/>
          <w:b/>
          <w:bCs/>
          <w:spacing w:val="-6"/>
        </w:rPr>
        <w:t>11.1.2</w:t>
      </w:r>
      <w:r>
        <w:rPr>
          <w:rFonts w:ascii="SimHei" w:hAnsi="SimHei" w:eastAsia="SimHei" w:cs="SimHei"/>
          <w:sz w:val="29"/>
          <w:szCs w:val="29"/>
          <w:spacing w:val="101"/>
        </w:rPr>
        <w:t xml:space="preserve"> </w:t>
      </w:r>
      <w:r>
        <w:rPr>
          <w:rFonts w:ascii="SimHei" w:hAnsi="SimHei" w:eastAsia="SimHei" w:cs="SimHei"/>
          <w:sz w:val="29"/>
          <w:szCs w:val="29"/>
          <w:b/>
          <w:bCs/>
          <w:spacing w:val="-6"/>
        </w:rPr>
        <w:t>确定体系范围</w:t>
      </w:r>
    </w:p>
    <w:p>
      <w:pPr>
        <w:pStyle w:val="BodyText"/>
        <w:spacing w:line="254" w:lineRule="auto"/>
        <w:rPr/>
      </w:pPr>
      <w:r/>
    </w:p>
    <w:p>
      <w:pPr>
        <w:ind w:right="227" w:firstLine="439"/>
        <w:spacing w:before="70" w:line="259" w:lineRule="auto"/>
        <w:jc w:val="both"/>
        <w:rPr>
          <w:rFonts w:ascii="SimSun" w:hAnsi="SimSun" w:eastAsia="SimSun" w:cs="SimSun"/>
          <w:sz w:val="21"/>
          <w:szCs w:val="21"/>
        </w:rPr>
      </w:pPr>
      <w:r>
        <w:rPr>
          <w:rFonts w:ascii="SimSun" w:hAnsi="SimSun" w:eastAsia="SimSun" w:cs="SimSun"/>
          <w:sz w:val="21"/>
          <w:szCs w:val="21"/>
          <w:spacing w:val="1"/>
        </w:rPr>
        <w:t>云端数据治理体系可以覆盖组织的全部或者部分数据管理活动。无论是全部还</w:t>
      </w:r>
      <w:r>
        <w:rPr>
          <w:rFonts w:ascii="SimSun" w:hAnsi="SimSun" w:eastAsia="SimSun" w:cs="SimSun"/>
          <w:sz w:val="21"/>
          <w:szCs w:val="21"/>
          <w:spacing w:val="13"/>
        </w:rPr>
        <w:t xml:space="preserve"> </w:t>
      </w:r>
      <w:r>
        <w:rPr>
          <w:rFonts w:ascii="SimSun" w:hAnsi="SimSun" w:eastAsia="SimSun" w:cs="SimSun"/>
          <w:sz w:val="21"/>
          <w:szCs w:val="21"/>
          <w:spacing w:val="1"/>
        </w:rPr>
        <w:t>是部分，组织都必须明确界定体系的范围，如果体系仅涵盖组织的一部分数据管理</w:t>
      </w:r>
      <w:r>
        <w:rPr>
          <w:rFonts w:ascii="SimSun" w:hAnsi="SimSun" w:eastAsia="SimSun" w:cs="SimSun"/>
          <w:sz w:val="21"/>
          <w:szCs w:val="21"/>
          <w:spacing w:val="10"/>
        </w:rPr>
        <w:t xml:space="preserve"> </w:t>
      </w:r>
      <w:r>
        <w:rPr>
          <w:rFonts w:ascii="SimSun" w:hAnsi="SimSun" w:eastAsia="SimSun" w:cs="SimSun"/>
          <w:sz w:val="21"/>
          <w:szCs w:val="21"/>
          <w:spacing w:val="2"/>
        </w:rPr>
        <w:t>活动，这就变得更重要了。云端数据治理活动失败的根源之一是缺乏与业务价值的</w:t>
      </w:r>
      <w:r>
        <w:rPr>
          <w:rFonts w:ascii="SimSun" w:hAnsi="SimSun" w:eastAsia="SimSun" w:cs="SimSun"/>
          <w:sz w:val="21"/>
          <w:szCs w:val="21"/>
          <w:spacing w:val="3"/>
        </w:rPr>
        <w:t xml:space="preserve"> </w:t>
      </w:r>
      <w:r>
        <w:rPr>
          <w:rFonts w:ascii="SimSun" w:hAnsi="SimSun" w:eastAsia="SimSun" w:cs="SimSun"/>
          <w:sz w:val="21"/>
          <w:szCs w:val="21"/>
          <w:spacing w:val="-3"/>
        </w:rPr>
        <w:t>链接。例如， </w:t>
      </w:r>
      <w:r>
        <w:rPr>
          <w:rFonts w:ascii="Times New Roman" w:hAnsi="Times New Roman" w:eastAsia="Times New Roman" w:cs="Times New Roman"/>
          <w:sz w:val="21"/>
          <w:szCs w:val="21"/>
          <w:spacing w:val="-3"/>
        </w:rPr>
        <w:t>IT  </w:t>
      </w:r>
      <w:r>
        <w:rPr>
          <w:rFonts w:ascii="SimSun" w:hAnsi="SimSun" w:eastAsia="SimSun" w:cs="SimSun"/>
          <w:sz w:val="21"/>
          <w:szCs w:val="21"/>
          <w:spacing w:val="-3"/>
        </w:rPr>
        <w:t>部门独自实施项目，没有和相关业务部门</w:t>
      </w:r>
      <w:r>
        <w:rPr>
          <w:rFonts w:ascii="SimSun" w:hAnsi="SimSun" w:eastAsia="SimSun" w:cs="SimSun"/>
          <w:sz w:val="21"/>
          <w:szCs w:val="21"/>
          <w:spacing w:val="-4"/>
        </w:rPr>
        <w:t>进行联动，由于在没有合</w:t>
      </w:r>
    </w:p>
    <w:p>
      <w:pPr>
        <w:spacing w:line="259" w:lineRule="auto"/>
        <w:sectPr>
          <w:footerReference w:type="default" r:id="rId478"/>
          <w:pgSz w:w="8870" w:h="13400"/>
          <w:pgMar w:top="400" w:right="685" w:bottom="587" w:left="320" w:header="0" w:footer="379" w:gutter="0"/>
        </w:sectPr>
        <w:rPr>
          <w:rFonts w:ascii="SimSun" w:hAnsi="SimSun" w:eastAsia="SimSun" w:cs="SimSun"/>
          <w:sz w:val="21"/>
          <w:szCs w:val="21"/>
        </w:rPr>
      </w:pPr>
    </w:p>
    <w:p>
      <w:pPr>
        <w:ind w:left="232"/>
        <w:spacing w:before="236" w:line="219" w:lineRule="auto"/>
        <w:rPr>
          <w:rFonts w:ascii="SimSun" w:hAnsi="SimSun" w:eastAsia="SimSun" w:cs="SimSun"/>
          <w:sz w:val="22"/>
          <w:szCs w:val="22"/>
        </w:rPr>
      </w:pPr>
      <w:r>
        <w:pict>
          <v:rect id="_x0000_s514" style="position:absolute;margin-left:31.9985pt;margin-top:28.5018pt;mso-position-vertical-relative:page;mso-position-horizontal-relative:page;width:0.55pt;height:17.55pt;z-index:258216960;" o:allowincell="f" fillcolor="#000000" filled="true" stroked="false"/>
        </w:pict>
      </w:r>
      <w:r>
        <w:rPr>
          <w:rFonts w:ascii="SimSun" w:hAnsi="SimSun" w:eastAsia="SimSun" w:cs="SimSun"/>
          <w:sz w:val="22"/>
          <w:szCs w:val="22"/>
          <w:b/>
          <w:bCs/>
          <w:spacing w:val="-29"/>
          <w:w w:val="97"/>
        </w:rPr>
        <w:t>■云端数据治理■</w:t>
      </w:r>
    </w:p>
    <w:p>
      <w:pPr>
        <w:pStyle w:val="BodyText"/>
        <w:spacing w:line="248" w:lineRule="auto"/>
        <w:rPr/>
      </w:pPr>
      <w:r/>
    </w:p>
    <w:p>
      <w:pPr>
        <w:ind w:left="229" w:right="49"/>
        <w:spacing w:before="72" w:line="252" w:lineRule="auto"/>
        <w:jc w:val="both"/>
        <w:rPr>
          <w:rFonts w:ascii="SimSun" w:hAnsi="SimSun" w:eastAsia="SimSun" w:cs="SimSun"/>
          <w:sz w:val="22"/>
          <w:szCs w:val="22"/>
        </w:rPr>
      </w:pPr>
      <w:r>
        <w:rPr>
          <w:rFonts w:ascii="SimSun" w:hAnsi="SimSun" w:eastAsia="SimSun" w:cs="SimSun"/>
          <w:sz w:val="22"/>
          <w:szCs w:val="22"/>
          <w:spacing w:val="-11"/>
        </w:rPr>
        <w:t>适的业务支持的情况下治理数据，造成了组织不能从</w:t>
      </w:r>
      <w:r>
        <w:rPr>
          <w:rFonts w:ascii="SimSun" w:hAnsi="SimSun" w:eastAsia="SimSun" w:cs="SimSun"/>
          <w:sz w:val="22"/>
          <w:szCs w:val="22"/>
          <w:spacing w:val="-12"/>
        </w:rPr>
        <w:t>云端数据治理中获得任何价值。</w:t>
      </w:r>
      <w:r>
        <w:rPr>
          <w:rFonts w:ascii="SimSun" w:hAnsi="SimSun" w:eastAsia="SimSun" w:cs="SimSun"/>
          <w:sz w:val="22"/>
          <w:szCs w:val="22"/>
        </w:rPr>
        <w:t xml:space="preserve"> </w:t>
      </w:r>
      <w:r>
        <w:rPr>
          <w:rFonts w:ascii="SimSun" w:hAnsi="SimSun" w:eastAsia="SimSun" w:cs="SimSun"/>
          <w:sz w:val="22"/>
          <w:szCs w:val="22"/>
          <w:spacing w:val="-2"/>
        </w:rPr>
        <w:t>因此，云端数据治理需要从业务角度(而不是从技术角度)定义数</w:t>
      </w:r>
      <w:r>
        <w:rPr>
          <w:rFonts w:ascii="SimSun" w:hAnsi="SimSun" w:eastAsia="SimSun" w:cs="SimSun"/>
          <w:sz w:val="22"/>
          <w:szCs w:val="22"/>
          <w:spacing w:val="-3"/>
        </w:rPr>
        <w:t>据治理体系的范</w:t>
      </w:r>
      <w:r>
        <w:rPr>
          <w:rFonts w:ascii="SimSun" w:hAnsi="SimSun" w:eastAsia="SimSun" w:cs="SimSun"/>
          <w:sz w:val="22"/>
          <w:szCs w:val="22"/>
        </w:rPr>
        <w:t xml:space="preserve">  </w:t>
      </w:r>
      <w:r>
        <w:rPr>
          <w:rFonts w:ascii="SimSun" w:hAnsi="SimSun" w:eastAsia="SimSun" w:cs="SimSun"/>
          <w:sz w:val="22"/>
          <w:szCs w:val="22"/>
          <w:spacing w:val="-8"/>
        </w:rPr>
        <w:t>围，吸引相关业务领域高层领导的支持，从而保证</w:t>
      </w:r>
      <w:r>
        <w:rPr>
          <w:rFonts w:ascii="SimSun" w:hAnsi="SimSun" w:eastAsia="SimSun" w:cs="SimSun"/>
          <w:sz w:val="22"/>
          <w:szCs w:val="22"/>
          <w:spacing w:val="-9"/>
        </w:rPr>
        <w:t>云端数据治理体系可以获得更高</w:t>
      </w:r>
      <w:r>
        <w:rPr>
          <w:rFonts w:ascii="SimSun" w:hAnsi="SimSun" w:eastAsia="SimSun" w:cs="SimSun"/>
          <w:sz w:val="22"/>
          <w:szCs w:val="22"/>
        </w:rPr>
        <w:t xml:space="preserve">  </w:t>
      </w:r>
      <w:r>
        <w:rPr>
          <w:rFonts w:ascii="SimSun" w:hAnsi="SimSun" w:eastAsia="SimSun" w:cs="SimSun"/>
          <w:sz w:val="22"/>
          <w:szCs w:val="22"/>
          <w:spacing w:val="-8"/>
        </w:rPr>
        <w:t>的业务收益。组织可围绕一个新的业务或者根据对</w:t>
      </w:r>
      <w:r>
        <w:rPr>
          <w:rFonts w:ascii="SimSun" w:hAnsi="SimSun" w:eastAsia="SimSun" w:cs="SimSun"/>
          <w:sz w:val="22"/>
          <w:szCs w:val="22"/>
          <w:spacing w:val="-9"/>
        </w:rPr>
        <w:t>旧业务的变更改造来定义云端数</w:t>
      </w:r>
      <w:r>
        <w:rPr>
          <w:rFonts w:ascii="SimSun" w:hAnsi="SimSun" w:eastAsia="SimSun" w:cs="SimSun"/>
          <w:sz w:val="22"/>
          <w:szCs w:val="22"/>
        </w:rPr>
        <w:t xml:space="preserve">  </w:t>
      </w:r>
      <w:r>
        <w:rPr>
          <w:rFonts w:ascii="SimSun" w:hAnsi="SimSun" w:eastAsia="SimSun" w:cs="SimSun"/>
          <w:sz w:val="22"/>
          <w:szCs w:val="22"/>
          <w:spacing w:val="-13"/>
        </w:rPr>
        <w:t>据治理体系的范围。</w:t>
      </w:r>
    </w:p>
    <w:p>
      <w:pPr>
        <w:ind w:left="229" w:right="79" w:firstLine="489"/>
        <w:spacing w:before="58" w:line="255" w:lineRule="auto"/>
        <w:jc w:val="both"/>
        <w:rPr>
          <w:rFonts w:ascii="SimSun" w:hAnsi="SimSun" w:eastAsia="SimSun" w:cs="SimSun"/>
          <w:sz w:val="22"/>
          <w:szCs w:val="22"/>
        </w:rPr>
      </w:pPr>
      <w:r>
        <w:rPr>
          <w:rFonts w:ascii="SimSun" w:hAnsi="SimSun" w:eastAsia="SimSun" w:cs="SimSun"/>
          <w:sz w:val="22"/>
          <w:szCs w:val="22"/>
          <w:spacing w:val="-11"/>
        </w:rPr>
        <w:t>例如， 一家保险公司的业务是提供人寿保险服务，因为企业的</w:t>
      </w:r>
      <w:r>
        <w:rPr>
          <w:rFonts w:ascii="SimSun" w:hAnsi="SimSun" w:eastAsia="SimSun" w:cs="SimSun"/>
          <w:sz w:val="22"/>
          <w:szCs w:val="22"/>
          <w:spacing w:val="-12"/>
        </w:rPr>
        <w:t>发展原因，业务</w:t>
      </w:r>
      <w:r>
        <w:rPr>
          <w:rFonts w:ascii="SimSun" w:hAnsi="SimSun" w:eastAsia="SimSun" w:cs="SimSun"/>
          <w:sz w:val="22"/>
          <w:szCs w:val="22"/>
        </w:rPr>
        <w:t xml:space="preserve"> </w:t>
      </w:r>
      <w:r>
        <w:rPr>
          <w:rFonts w:ascii="SimSun" w:hAnsi="SimSun" w:eastAsia="SimSun" w:cs="SimSun"/>
          <w:sz w:val="22"/>
          <w:szCs w:val="22"/>
          <w:spacing w:val="-14"/>
        </w:rPr>
        <w:t>部门提出“要增加汽车保险业务”。目前企业的所有系统和数据都在云环境中，为了</w:t>
      </w:r>
      <w:r>
        <w:rPr>
          <w:rFonts w:ascii="SimSun" w:hAnsi="SimSun" w:eastAsia="SimSun" w:cs="SimSun"/>
          <w:sz w:val="22"/>
          <w:szCs w:val="22"/>
          <w:spacing w:val="14"/>
        </w:rPr>
        <w:t xml:space="preserve"> </w:t>
      </w:r>
      <w:r>
        <w:rPr>
          <w:rFonts w:ascii="SimSun" w:hAnsi="SimSun" w:eastAsia="SimSun" w:cs="SimSun"/>
          <w:sz w:val="22"/>
          <w:szCs w:val="22"/>
          <w:spacing w:val="-9"/>
        </w:rPr>
        <w:t>能向已购买人寿保险的客户销售汽车保险，企业需要围绕这个新的业务来开展治理 </w:t>
      </w:r>
      <w:r>
        <w:rPr>
          <w:rFonts w:ascii="SimSun" w:hAnsi="SimSun" w:eastAsia="SimSun" w:cs="SimSun"/>
          <w:sz w:val="22"/>
          <w:szCs w:val="22"/>
          <w:spacing w:val="-8"/>
        </w:rPr>
        <w:t>工作。因此企业的云端数据治理体系的范围可以定义为“</w:t>
      </w:r>
      <w:r>
        <w:rPr>
          <w:rFonts w:ascii="SimSun" w:hAnsi="SimSun" w:eastAsia="SimSun" w:cs="SimSun"/>
          <w:sz w:val="22"/>
          <w:szCs w:val="22"/>
          <w:spacing w:val="-9"/>
        </w:rPr>
        <w:t>汽车保险业务相关的数据</w:t>
      </w:r>
      <w:r>
        <w:rPr>
          <w:rFonts w:ascii="SimSun" w:hAnsi="SimSun" w:eastAsia="SimSun" w:cs="SimSun"/>
          <w:sz w:val="22"/>
          <w:szCs w:val="22"/>
        </w:rPr>
        <w:t xml:space="preserve"> </w:t>
      </w:r>
      <w:r>
        <w:rPr>
          <w:rFonts w:ascii="SimSun" w:hAnsi="SimSun" w:eastAsia="SimSun" w:cs="SimSun"/>
          <w:sz w:val="22"/>
          <w:szCs w:val="22"/>
          <w:spacing w:val="-14"/>
        </w:rPr>
        <w:t>治理”。如果监管要求发生了变化，业务部门则会提出“寿险业务的安全与隐私条例</w:t>
      </w:r>
      <w:r>
        <w:rPr>
          <w:rFonts w:ascii="SimSun" w:hAnsi="SimSun" w:eastAsia="SimSun" w:cs="SimSun"/>
          <w:sz w:val="22"/>
          <w:szCs w:val="22"/>
          <w:spacing w:val="3"/>
        </w:rPr>
        <w:t xml:space="preserve"> </w:t>
      </w:r>
      <w:r>
        <w:rPr>
          <w:rFonts w:ascii="SimSun" w:hAnsi="SimSun" w:eastAsia="SimSun" w:cs="SimSun"/>
          <w:sz w:val="22"/>
          <w:szCs w:val="22"/>
          <w:spacing w:val="-14"/>
        </w:rPr>
        <w:t>发生了变化”。为了满足新的需求，企业要围绕这个旧的业务进</w:t>
      </w:r>
      <w:r>
        <w:rPr>
          <w:rFonts w:ascii="SimSun" w:hAnsi="SimSun" w:eastAsia="SimSun" w:cs="SimSun"/>
          <w:sz w:val="22"/>
          <w:szCs w:val="22"/>
          <w:spacing w:val="-15"/>
        </w:rPr>
        <w:t>行相关的云端数据治 </w:t>
      </w:r>
      <w:r>
        <w:rPr>
          <w:rFonts w:ascii="SimSun" w:hAnsi="SimSun" w:eastAsia="SimSun" w:cs="SimSun"/>
          <w:sz w:val="22"/>
          <w:szCs w:val="22"/>
          <w:spacing w:val="-9"/>
        </w:rPr>
        <w:t>理工作。因此企业的云端数据治理体系的范围可以定义为“人寿保险业务变更有关 </w:t>
      </w:r>
      <w:r>
        <w:rPr>
          <w:rFonts w:ascii="SimSun" w:hAnsi="SimSun" w:eastAsia="SimSun" w:cs="SimSun"/>
          <w:sz w:val="22"/>
          <w:szCs w:val="22"/>
          <w:spacing w:val="-24"/>
        </w:rPr>
        <w:t>的数据治理”。</w:t>
      </w:r>
    </w:p>
    <w:p>
      <w:pPr>
        <w:ind w:left="234"/>
        <w:spacing w:before="321" w:line="225" w:lineRule="auto"/>
        <w:outlineLvl w:val="5"/>
        <w:rPr>
          <w:rFonts w:ascii="YouYuan" w:hAnsi="YouYuan" w:eastAsia="YouYuan" w:cs="YouYuan"/>
          <w:sz w:val="29"/>
          <w:szCs w:val="29"/>
        </w:rPr>
      </w:pPr>
      <w:r>
        <w:rPr>
          <w:rFonts w:ascii="YouYuan" w:hAnsi="YouYuan" w:eastAsia="YouYuan" w:cs="YouYuan"/>
          <w:sz w:val="29"/>
          <w:szCs w:val="29"/>
          <w:b/>
          <w:bCs/>
          <w:spacing w:val="-9"/>
        </w:rPr>
        <w:t>11.1.3</w:t>
      </w:r>
      <w:r>
        <w:rPr>
          <w:rFonts w:ascii="YouYuan" w:hAnsi="YouYuan" w:eastAsia="YouYuan" w:cs="YouYuan"/>
          <w:sz w:val="29"/>
          <w:szCs w:val="29"/>
          <w:spacing w:val="119"/>
        </w:rPr>
        <w:t xml:space="preserve"> </w:t>
      </w:r>
      <w:r>
        <w:rPr>
          <w:rFonts w:ascii="YouYuan" w:hAnsi="YouYuan" w:eastAsia="YouYuan" w:cs="YouYuan"/>
          <w:sz w:val="29"/>
          <w:szCs w:val="29"/>
          <w:b/>
          <w:bCs/>
          <w:spacing w:val="-9"/>
        </w:rPr>
        <w:t>建立组织与角色</w:t>
      </w:r>
    </w:p>
    <w:p>
      <w:pPr>
        <w:ind w:left="723"/>
        <w:spacing w:before="306" w:line="224" w:lineRule="auto"/>
        <w:outlineLvl w:val="6"/>
        <w:rPr>
          <w:rFonts w:ascii="YouYuan" w:hAnsi="YouYuan" w:eastAsia="YouYuan" w:cs="YouYuan"/>
          <w:sz w:val="22"/>
          <w:szCs w:val="22"/>
        </w:rPr>
      </w:pPr>
      <w:r>
        <w:rPr>
          <w:rFonts w:ascii="YouYuan" w:hAnsi="YouYuan" w:eastAsia="YouYuan" w:cs="YouYuan"/>
          <w:sz w:val="22"/>
          <w:szCs w:val="22"/>
          <w:b/>
          <w:bCs/>
          <w:spacing w:val="-3"/>
        </w:rPr>
        <w:t>1.</w:t>
      </w:r>
      <w:r>
        <w:rPr>
          <w:rFonts w:ascii="YouYuan" w:hAnsi="YouYuan" w:eastAsia="YouYuan" w:cs="YouYuan"/>
          <w:sz w:val="22"/>
          <w:szCs w:val="22"/>
          <w:spacing w:val="-3"/>
        </w:rPr>
        <w:t xml:space="preserve"> </w:t>
      </w:r>
      <w:r>
        <w:rPr>
          <w:rFonts w:ascii="YouYuan" w:hAnsi="YouYuan" w:eastAsia="YouYuan" w:cs="YouYuan"/>
          <w:sz w:val="22"/>
          <w:szCs w:val="22"/>
          <w:b/>
          <w:bCs/>
          <w:spacing w:val="-3"/>
        </w:rPr>
        <w:t>建立组织架构</w:t>
      </w:r>
    </w:p>
    <w:p>
      <w:pPr>
        <w:ind w:left="229" w:right="80" w:firstLine="489"/>
        <w:spacing w:before="210" w:line="247" w:lineRule="auto"/>
        <w:jc w:val="both"/>
        <w:rPr>
          <w:rFonts w:ascii="SimSun" w:hAnsi="SimSun" w:eastAsia="SimSun" w:cs="SimSun"/>
          <w:sz w:val="22"/>
          <w:szCs w:val="22"/>
        </w:rPr>
      </w:pPr>
      <w:r>
        <w:rPr>
          <w:rFonts w:ascii="SimSun" w:hAnsi="SimSun" w:eastAsia="SimSun" w:cs="SimSun"/>
          <w:sz w:val="22"/>
          <w:szCs w:val="22"/>
          <w:spacing w:val="-8"/>
        </w:rPr>
        <w:t>组织需要组建具有足够权限的云端数据治理组织架构以</w:t>
      </w:r>
      <w:r>
        <w:rPr>
          <w:rFonts w:ascii="SimSun" w:hAnsi="SimSun" w:eastAsia="SimSun" w:cs="SimSun"/>
          <w:sz w:val="22"/>
          <w:szCs w:val="22"/>
          <w:spacing w:val="-9"/>
        </w:rPr>
        <w:t>便可以贯穿组织的各个</w:t>
      </w:r>
      <w:r>
        <w:rPr>
          <w:rFonts w:ascii="SimSun" w:hAnsi="SimSun" w:eastAsia="SimSun" w:cs="SimSun"/>
          <w:sz w:val="22"/>
          <w:szCs w:val="22"/>
        </w:rPr>
        <w:t xml:space="preserve"> </w:t>
      </w:r>
      <w:r>
        <w:rPr>
          <w:rFonts w:ascii="SimSun" w:hAnsi="SimSun" w:eastAsia="SimSun" w:cs="SimSun"/>
          <w:sz w:val="22"/>
          <w:szCs w:val="22"/>
          <w:spacing w:val="-9"/>
        </w:rPr>
        <w:t>云端业务、技术和管理部门，从而对整个信息供应链进行治理，实现云端数据治理 </w:t>
      </w:r>
      <w:r>
        <w:rPr>
          <w:rFonts w:ascii="SimSun" w:hAnsi="SimSun" w:eastAsia="SimSun" w:cs="SimSun"/>
          <w:sz w:val="22"/>
          <w:szCs w:val="22"/>
          <w:spacing w:val="-12"/>
        </w:rPr>
        <w:t>体系目标。</w:t>
      </w:r>
    </w:p>
    <w:p>
      <w:pPr>
        <w:ind w:left="229" w:firstLine="489"/>
        <w:spacing w:before="47" w:line="252" w:lineRule="auto"/>
        <w:jc w:val="both"/>
        <w:rPr>
          <w:rFonts w:ascii="SimSun" w:hAnsi="SimSun" w:eastAsia="SimSun" w:cs="SimSun"/>
          <w:sz w:val="22"/>
          <w:szCs w:val="22"/>
        </w:rPr>
      </w:pPr>
      <w:r>
        <w:rPr>
          <w:rFonts w:ascii="SimSun" w:hAnsi="SimSun" w:eastAsia="SimSun" w:cs="SimSun"/>
          <w:sz w:val="22"/>
          <w:szCs w:val="22"/>
          <w:spacing w:val="-12"/>
        </w:rPr>
        <w:t>组织架构包括三层：顶层为决策层，包括首席数据官和组织级数据治理委员</w:t>
      </w:r>
      <w:r>
        <w:rPr>
          <w:rFonts w:ascii="SimSun" w:hAnsi="SimSun" w:eastAsia="SimSun" w:cs="SimSun"/>
          <w:sz w:val="22"/>
          <w:szCs w:val="22"/>
          <w:spacing w:val="-13"/>
        </w:rPr>
        <w:t>会；</w:t>
      </w:r>
      <w:r>
        <w:rPr>
          <w:rFonts w:ascii="SimSun" w:hAnsi="SimSun" w:eastAsia="SimSun" w:cs="SimSun"/>
          <w:sz w:val="22"/>
          <w:szCs w:val="22"/>
        </w:rPr>
        <w:t xml:space="preserve"> </w:t>
      </w:r>
      <w:r>
        <w:rPr>
          <w:rFonts w:ascii="SimSun" w:hAnsi="SimSun" w:eastAsia="SimSun" w:cs="SimSun"/>
          <w:sz w:val="22"/>
          <w:szCs w:val="22"/>
          <w:spacing w:val="-8"/>
        </w:rPr>
        <w:t>中间层是管理层，包括部门治理委员会和项目指导</w:t>
      </w:r>
      <w:r>
        <w:rPr>
          <w:rFonts w:ascii="SimSun" w:hAnsi="SimSun" w:eastAsia="SimSun" w:cs="SimSun"/>
          <w:sz w:val="22"/>
          <w:szCs w:val="22"/>
          <w:spacing w:val="-9"/>
        </w:rPr>
        <w:t>委员会；底层是执行层，包括数</w:t>
      </w:r>
      <w:r>
        <w:rPr>
          <w:rFonts w:ascii="SimSun" w:hAnsi="SimSun" w:eastAsia="SimSun" w:cs="SimSun"/>
          <w:sz w:val="22"/>
          <w:szCs w:val="22"/>
        </w:rPr>
        <w:t xml:space="preserve">  </w:t>
      </w:r>
      <w:r>
        <w:rPr>
          <w:rFonts w:ascii="SimSun" w:hAnsi="SimSun" w:eastAsia="SimSun" w:cs="SimSun"/>
          <w:sz w:val="22"/>
          <w:szCs w:val="22"/>
          <w:spacing w:val="-8"/>
        </w:rPr>
        <w:t>据管理专员和业务数据管理专员，如图11</w:t>
      </w:r>
      <w:r>
        <w:rPr>
          <w:rFonts w:ascii="SimSun" w:hAnsi="SimSun" w:eastAsia="SimSun" w:cs="SimSun"/>
          <w:sz w:val="22"/>
          <w:szCs w:val="22"/>
          <w:spacing w:val="-9"/>
        </w:rPr>
        <w:t>-1</w:t>
      </w:r>
      <w:r>
        <w:rPr>
          <w:rFonts w:ascii="SimSun" w:hAnsi="SimSun" w:eastAsia="SimSun" w:cs="SimSun"/>
          <w:sz w:val="22"/>
          <w:szCs w:val="22"/>
          <w:spacing w:val="-51"/>
        </w:rPr>
        <w:t xml:space="preserve"> </w:t>
      </w:r>
      <w:r>
        <w:rPr>
          <w:rFonts w:ascii="SimSun" w:hAnsi="SimSun" w:eastAsia="SimSun" w:cs="SimSun"/>
          <w:sz w:val="22"/>
          <w:szCs w:val="22"/>
          <w:spacing w:val="-9"/>
        </w:rPr>
        <w:t>所示。</w:t>
      </w:r>
    </w:p>
    <w:p>
      <w:pPr>
        <w:ind w:left="719"/>
        <w:spacing w:before="49" w:line="219" w:lineRule="auto"/>
        <w:rPr>
          <w:rFonts w:ascii="SimSun" w:hAnsi="SimSun" w:eastAsia="SimSun" w:cs="SimSun"/>
          <w:sz w:val="22"/>
          <w:szCs w:val="22"/>
        </w:rPr>
      </w:pPr>
      <w:r>
        <w:rPr>
          <w:rFonts w:ascii="SimSun" w:hAnsi="SimSun" w:eastAsia="SimSun" w:cs="SimSun"/>
          <w:sz w:val="22"/>
          <w:szCs w:val="22"/>
          <w:spacing w:val="-10"/>
        </w:rPr>
        <w:t>云端数据治理组织架构各组成部分的职责描述如下。</w:t>
      </w:r>
    </w:p>
    <w:p>
      <w:pPr>
        <w:ind w:left="719"/>
        <w:spacing w:before="68" w:line="219" w:lineRule="auto"/>
        <w:rPr>
          <w:rFonts w:ascii="SimSun" w:hAnsi="SimSun" w:eastAsia="SimSun" w:cs="SimSun"/>
          <w:sz w:val="22"/>
          <w:szCs w:val="22"/>
        </w:rPr>
      </w:pPr>
      <w:r>
        <w:rPr>
          <w:rFonts w:ascii="SimSun" w:hAnsi="SimSun" w:eastAsia="SimSun" w:cs="SimSun"/>
          <w:sz w:val="22"/>
          <w:szCs w:val="22"/>
          <w:spacing w:val="-7"/>
        </w:rPr>
        <w:t>(1)首席数据官指导和促进云端数据治理体系的实施，职责包括：</w:t>
      </w:r>
    </w:p>
    <w:p>
      <w:pPr>
        <w:ind w:left="719"/>
        <w:spacing w:before="49" w:line="219" w:lineRule="auto"/>
        <w:rPr>
          <w:rFonts w:ascii="SimSun" w:hAnsi="SimSun" w:eastAsia="SimSun" w:cs="SimSun"/>
          <w:sz w:val="22"/>
          <w:szCs w:val="22"/>
        </w:rPr>
      </w:pPr>
      <w:r>
        <w:rPr>
          <w:rFonts w:ascii="SimSun" w:hAnsi="SimSun" w:eastAsia="SimSun" w:cs="SimSun"/>
          <w:sz w:val="22"/>
          <w:szCs w:val="22"/>
          <w:spacing w:val="-9"/>
        </w:rPr>
        <w:t>●向全员传达建立云端数据治理体系的重要性和必要性；</w:t>
      </w:r>
    </w:p>
    <w:p>
      <w:pPr>
        <w:ind w:left="1029" w:right="71" w:hanging="310"/>
        <w:spacing w:before="40" w:line="241" w:lineRule="auto"/>
        <w:rPr>
          <w:rFonts w:ascii="SimSun" w:hAnsi="SimSun" w:eastAsia="SimSun" w:cs="SimSun"/>
          <w:sz w:val="22"/>
          <w:szCs w:val="22"/>
        </w:rPr>
      </w:pPr>
      <w:r>
        <w:rPr>
          <w:rFonts w:ascii="SimSun" w:hAnsi="SimSun" w:eastAsia="SimSun" w:cs="SimSun"/>
          <w:sz w:val="22"/>
          <w:szCs w:val="22"/>
          <w:spacing w:val="-8"/>
        </w:rPr>
        <w:t>●制订云端数据治理体系的愿景和目标，并协调组织内各部门掌控云端数据治</w:t>
      </w:r>
      <w:r>
        <w:rPr>
          <w:rFonts w:ascii="SimSun" w:hAnsi="SimSun" w:eastAsia="SimSun" w:cs="SimSun"/>
          <w:sz w:val="22"/>
          <w:szCs w:val="22"/>
        </w:rPr>
        <w:t xml:space="preserve"> </w:t>
      </w:r>
      <w:r>
        <w:rPr>
          <w:rFonts w:ascii="SimSun" w:hAnsi="SimSun" w:eastAsia="SimSun" w:cs="SimSun"/>
          <w:sz w:val="22"/>
          <w:szCs w:val="22"/>
          <w:spacing w:val="-16"/>
        </w:rPr>
        <w:t>理体系的总方向；</w:t>
      </w:r>
    </w:p>
    <w:p>
      <w:pPr>
        <w:ind w:left="719"/>
        <w:spacing w:before="45" w:line="219" w:lineRule="auto"/>
        <w:rPr>
          <w:rFonts w:ascii="SimSun" w:hAnsi="SimSun" w:eastAsia="SimSun" w:cs="SimSun"/>
          <w:sz w:val="22"/>
          <w:szCs w:val="22"/>
        </w:rPr>
      </w:pPr>
      <w:r>
        <w:rPr>
          <w:rFonts w:ascii="SimSun" w:hAnsi="SimSun" w:eastAsia="SimSun" w:cs="SimSun"/>
          <w:sz w:val="22"/>
          <w:szCs w:val="22"/>
          <w:spacing w:val="-10"/>
        </w:rPr>
        <w:t>●为体系实施提供内部资源保障；</w:t>
      </w:r>
    </w:p>
    <w:p>
      <w:pPr>
        <w:ind w:left="719" w:right="3527"/>
        <w:spacing w:before="69" w:line="235" w:lineRule="auto"/>
        <w:rPr>
          <w:rFonts w:ascii="SimSun" w:hAnsi="SimSun" w:eastAsia="SimSun" w:cs="SimSun"/>
          <w:sz w:val="22"/>
          <w:szCs w:val="22"/>
        </w:rPr>
      </w:pPr>
      <w:r>
        <w:rPr>
          <w:rFonts w:ascii="SimSun" w:hAnsi="SimSun" w:eastAsia="SimSun" w:cs="SimSun"/>
          <w:sz w:val="22"/>
          <w:szCs w:val="22"/>
          <w:spacing w:val="-10"/>
        </w:rPr>
        <w:t>●参与体系的重大决策，并做出决定。  </w:t>
      </w:r>
      <w:r>
        <w:rPr>
          <w:rFonts w:ascii="SimSun" w:hAnsi="SimSun" w:eastAsia="SimSun" w:cs="SimSun"/>
          <w:sz w:val="22"/>
          <w:szCs w:val="22"/>
          <w:spacing w:val="-6"/>
        </w:rPr>
        <w:t>(2)组织级数据治理委员会，职责包括：</w:t>
      </w:r>
    </w:p>
    <w:p>
      <w:pPr>
        <w:ind w:left="719"/>
        <w:spacing w:before="51" w:line="219" w:lineRule="auto"/>
        <w:rPr>
          <w:rFonts w:ascii="SimSun" w:hAnsi="SimSun" w:eastAsia="SimSun" w:cs="SimSun"/>
          <w:sz w:val="22"/>
          <w:szCs w:val="22"/>
        </w:rPr>
      </w:pPr>
      <w:r>
        <w:rPr>
          <w:rFonts w:ascii="SimSun" w:hAnsi="SimSun" w:eastAsia="SimSun" w:cs="SimSun"/>
          <w:sz w:val="22"/>
          <w:szCs w:val="22"/>
          <w:spacing w:val="-8"/>
        </w:rPr>
        <w:t>●关注云端数据治理体系进展状态，在体系建设重</w:t>
      </w:r>
      <w:r>
        <w:rPr>
          <w:rFonts w:ascii="SimSun" w:hAnsi="SimSun" w:eastAsia="SimSun" w:cs="SimSun"/>
          <w:sz w:val="22"/>
          <w:szCs w:val="22"/>
          <w:spacing w:val="-9"/>
        </w:rPr>
        <w:t>要里程碑处审查体系状态；</w:t>
      </w:r>
    </w:p>
    <w:p>
      <w:pPr>
        <w:ind w:left="719"/>
        <w:spacing w:before="50" w:line="220" w:lineRule="auto"/>
        <w:rPr>
          <w:rFonts w:ascii="SimSun" w:hAnsi="SimSun" w:eastAsia="SimSun" w:cs="SimSun"/>
          <w:sz w:val="22"/>
          <w:szCs w:val="22"/>
        </w:rPr>
      </w:pPr>
      <w:r>
        <w:rPr>
          <w:rFonts w:ascii="SimSun" w:hAnsi="SimSun" w:eastAsia="SimSun" w:cs="SimSun"/>
          <w:sz w:val="22"/>
          <w:szCs w:val="22"/>
          <w:spacing w:val="-8"/>
        </w:rPr>
        <w:t>●批准影响到体系策划的主要变更；</w:t>
      </w:r>
    </w:p>
    <w:p>
      <w:pPr>
        <w:ind w:left="719"/>
        <w:spacing w:before="57" w:line="219" w:lineRule="auto"/>
        <w:rPr>
          <w:rFonts w:ascii="SimSun" w:hAnsi="SimSun" w:eastAsia="SimSun" w:cs="SimSun"/>
          <w:sz w:val="22"/>
          <w:szCs w:val="22"/>
        </w:rPr>
      </w:pPr>
      <w:r>
        <w:rPr>
          <w:rFonts w:ascii="SimSun" w:hAnsi="SimSun" w:eastAsia="SimSun" w:cs="SimSun"/>
          <w:sz w:val="22"/>
          <w:szCs w:val="22"/>
          <w:spacing w:val="-10"/>
        </w:rPr>
        <w:t>●协调解决体系实施的重大问题；</w:t>
      </w:r>
    </w:p>
    <w:p>
      <w:pPr>
        <w:ind w:left="719"/>
        <w:spacing w:before="59" w:line="219" w:lineRule="auto"/>
        <w:rPr>
          <w:rFonts w:ascii="SimSun" w:hAnsi="SimSun" w:eastAsia="SimSun" w:cs="SimSun"/>
          <w:sz w:val="22"/>
          <w:szCs w:val="22"/>
        </w:rPr>
      </w:pPr>
      <w:r>
        <w:rPr>
          <w:rFonts w:ascii="SimSun" w:hAnsi="SimSun" w:eastAsia="SimSun" w:cs="SimSun"/>
          <w:sz w:val="22"/>
          <w:szCs w:val="22"/>
          <w:spacing w:val="-9"/>
        </w:rPr>
        <w:t>●推动、监管体系运作，确保体系能运作成功；</w:t>
      </w:r>
    </w:p>
    <w:p>
      <w:pPr>
        <w:spacing w:line="219" w:lineRule="auto"/>
        <w:sectPr>
          <w:footerReference w:type="default" r:id="rId479"/>
          <w:pgSz w:w="8870" w:h="13400"/>
          <w:pgMar w:top="400" w:right="360" w:bottom="504" w:left="510" w:header="0" w:footer="286" w:gutter="0"/>
        </w:sectPr>
        <w:rPr>
          <w:rFonts w:ascii="SimSun" w:hAnsi="SimSun" w:eastAsia="SimSun" w:cs="SimSun"/>
          <w:sz w:val="22"/>
          <w:szCs w:val="22"/>
        </w:rPr>
      </w:pPr>
    </w:p>
    <w:p>
      <w:pPr>
        <w:ind w:left="4373"/>
        <w:spacing w:before="184" w:line="219" w:lineRule="auto"/>
        <w:rPr>
          <w:rFonts w:ascii="SimSun" w:hAnsi="SimSun" w:eastAsia="SimSun" w:cs="SimSun"/>
          <w:sz w:val="21"/>
          <w:szCs w:val="21"/>
        </w:rPr>
      </w:pPr>
      <w:r>
        <w:pict>
          <v:shape id="_x0000_s516" style="position:absolute;margin-left:42.4771pt;margin-top:133.758pt;mso-position-vertical-relative:page;mso-position-horizontal-relative:page;width:8.05pt;height:37.15pt;z-index:25824563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rPr>
                    <w:t>數  据  治  理</w:t>
                  </w:r>
                </w:p>
              </w:txbxContent>
            </v:textbox>
          </v:shape>
        </w:pict>
      </w:r>
      <w:r>
        <w:pict>
          <v:shape id="_x0000_s518" style="position:absolute;margin-left:42.0681pt;margin-top:260.164pt;mso-position-vertical-relative:page;mso-position-horizontal-relative:page;width:10.45pt;height:71.1pt;z-index:25824153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32"/>
                    </w:rPr>
                    <w:t>云端数据治理体系</w:t>
                  </w:r>
                </w:p>
              </w:txbxContent>
            </v:textbox>
          </v:shape>
        </w:pict>
      </w:r>
      <w:r>
        <w:drawing>
          <wp:anchor distT="0" distB="0" distL="0" distR="0" simplePos="0" relativeHeight="258239488" behindDoc="1" locked="0" layoutInCell="1" allowOverlap="1">
            <wp:simplePos x="0" y="0"/>
            <wp:positionH relativeFrom="column">
              <wp:posOffset>0</wp:posOffset>
            </wp:positionH>
            <wp:positionV relativeFrom="paragraph">
              <wp:posOffset>698217</wp:posOffset>
            </wp:positionV>
            <wp:extent cx="4705347" cy="4400514"/>
            <wp:effectExtent l="0" t="0" r="0" b="0"/>
            <wp:wrapNone/>
            <wp:docPr id="334" name="IM 334"/>
            <wp:cNvGraphicFramePr/>
            <a:graphic>
              <a:graphicData uri="http://schemas.openxmlformats.org/drawingml/2006/picture">
                <pic:pic>
                  <pic:nvPicPr>
                    <pic:cNvPr id="334" name="IM 334"/>
                    <pic:cNvPicPr/>
                  </pic:nvPicPr>
                  <pic:blipFill>
                    <a:blip r:embed="rId481"/>
                    <a:stretch>
                      <a:fillRect/>
                    </a:stretch>
                  </pic:blipFill>
                  <pic:spPr>
                    <a:xfrm rot="0">
                      <a:off x="0" y="0"/>
                      <a:ext cx="4705347" cy="4400514"/>
                    </a:xfrm>
                    <a:prstGeom prst="rect">
                      <a:avLst/>
                    </a:prstGeom>
                  </pic:spPr>
                </pic:pic>
              </a:graphicData>
            </a:graphic>
          </wp:anchor>
        </w:drawing>
      </w:r>
      <w:r>
        <w:pict>
          <v:shape id="_x0000_s520" style="position:absolute;margin-left:116pt;margin-top:314.823pt;mso-position-vertical-relative:page;mso-position-horizontal-relative:page;width:40.4pt;height:29.05pt;z-index:258240512;" o:allowincell="f" filled="false" stroked="false" type="#_x0000_t202">
            <v:fill on="false"/>
            <v:stroke on="false"/>
            <v:path/>
            <v:imagedata o:title=""/>
            <o:lock v:ext="edit" aspectratio="false"/>
            <v:textbox inset="0mm,0mm,0mm,0mm">
              <w:txbxContent>
                <w:p>
                  <w:pPr>
                    <w:ind w:left="20" w:right="20"/>
                    <w:spacing w:before="19" w:line="208" w:lineRule="auto"/>
                    <w:jc w:val="both"/>
                    <w:rPr>
                      <w:rFonts w:ascii="SimSun" w:hAnsi="SimSun" w:eastAsia="SimSun" w:cs="SimSun"/>
                      <w:sz w:val="16"/>
                      <w:szCs w:val="16"/>
                    </w:rPr>
                  </w:pPr>
                  <w:r>
                    <w:rPr>
                      <w:rFonts w:ascii="SimSun" w:hAnsi="SimSun" w:eastAsia="SimSun" w:cs="SimSun"/>
                      <w:sz w:val="16"/>
                      <w:szCs w:val="16"/>
                      <w:spacing w:val="-7"/>
                    </w:rPr>
                    <w:t>数据架构师</w:t>
                  </w:r>
                  <w:r>
                    <w:rPr>
                      <w:rFonts w:ascii="SimSun" w:hAnsi="SimSun" w:eastAsia="SimSun" w:cs="SimSun"/>
                      <w:sz w:val="16"/>
                      <w:szCs w:val="16"/>
                      <w:spacing w:val="1"/>
                    </w:rPr>
                    <w:t xml:space="preserve"> </w:t>
                  </w:r>
                  <w:r>
                    <w:rPr>
                      <w:rFonts w:ascii="SimSun" w:hAnsi="SimSun" w:eastAsia="SimSun" w:cs="SimSun"/>
                      <w:sz w:val="16"/>
                      <w:szCs w:val="16"/>
                      <w:spacing w:val="-7"/>
                    </w:rPr>
                    <w:t>数据分析师</w:t>
                  </w:r>
                  <w:r>
                    <w:rPr>
                      <w:rFonts w:ascii="SimSun" w:hAnsi="SimSun" w:eastAsia="SimSun" w:cs="SimSun"/>
                      <w:sz w:val="16"/>
                      <w:szCs w:val="16"/>
                      <w:spacing w:val="1"/>
                    </w:rPr>
                    <w:t xml:space="preserve"> </w:t>
                  </w:r>
                  <w:r>
                    <w:rPr>
                      <w:rFonts w:ascii="SimSun" w:hAnsi="SimSun" w:eastAsia="SimSun" w:cs="SimSun"/>
                      <w:sz w:val="16"/>
                      <w:szCs w:val="16"/>
                      <w:spacing w:val="-7"/>
                    </w:rPr>
                    <w:t>数据建模师</w:t>
                  </w:r>
                </w:p>
              </w:txbxContent>
            </v:textbox>
          </v:shape>
        </w:pict>
      </w:r>
      <w:r>
        <w:pict>
          <v:shape id="_x0000_s522" style="position:absolute;margin-left:72.0001pt;margin-top:317.298pt;mso-position-vertical-relative:page;mso-position-horizontal-relative:page;width:25.7pt;height:11.5pt;z-index:258242560;" o:allowincell="f"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本地级</w:t>
                  </w:r>
                </w:p>
              </w:txbxContent>
            </v:textbox>
          </v:shape>
        </w:pict>
      </w:r>
      <w:bookmarkStart w:name="bookmark98" w:id="93"/>
      <w:bookmarkEnd w:id="93"/>
      <w:r>
        <w:rPr>
          <w:rFonts w:ascii="SimSun" w:hAnsi="SimSun" w:eastAsia="SimSun" w:cs="SimSun"/>
          <w:sz w:val="21"/>
          <w:szCs w:val="21"/>
          <w:b/>
          <w:bCs/>
          <w:spacing w:val="16"/>
        </w:rPr>
        <w:t>第11章=云端数据治理体系实施</w:t>
      </w:r>
    </w:p>
    <w:p>
      <w:pPr>
        <w:pStyle w:val="BodyText"/>
        <w:spacing w:line="246" w:lineRule="auto"/>
        <w:rPr/>
      </w:pPr>
      <w:r/>
    </w:p>
    <w:p>
      <w:pPr>
        <w:ind w:left="3410" w:right="2809" w:hanging="3170"/>
        <w:spacing w:before="68" w:line="293" w:lineRule="auto"/>
        <w:rPr>
          <w:rFonts w:ascii="SimSun" w:hAnsi="SimSun" w:eastAsia="SimSun" w:cs="SimSun"/>
          <w:sz w:val="16"/>
          <w:szCs w:val="16"/>
        </w:rPr>
      </w:pPr>
      <w:r>
        <w:rPr>
          <w:rFonts w:ascii="SimSun" w:hAnsi="SimSun" w:eastAsia="SimSun" w:cs="SimSun"/>
          <w:sz w:val="21"/>
          <w:szCs w:val="21"/>
          <w:spacing w:val="-1"/>
        </w:rPr>
        <w:t>●协调数据管理、数据管理制度和数据治理工作。</w:t>
      </w:r>
      <w:r>
        <w:rPr>
          <w:rFonts w:ascii="SimSun" w:hAnsi="SimSun" w:eastAsia="SimSun" w:cs="SimSun"/>
          <w:sz w:val="21"/>
          <w:szCs w:val="21"/>
          <w:spacing w:val="15"/>
        </w:rPr>
        <w:t xml:space="preserve"> </w:t>
      </w:r>
      <w:r>
        <w:rPr>
          <w:rFonts w:ascii="SimSun" w:hAnsi="SimSun" w:eastAsia="SimSun" w:cs="SimSun"/>
          <w:sz w:val="16"/>
          <w:szCs w:val="16"/>
          <w:spacing w:val="-7"/>
        </w:rPr>
        <w:t>组织最高管理者</w:t>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3690"/>
        <w:spacing w:before="52" w:line="219" w:lineRule="auto"/>
        <w:rPr>
          <w:rFonts w:ascii="SimSun" w:hAnsi="SimSun" w:eastAsia="SimSun" w:cs="SimSun"/>
          <w:sz w:val="16"/>
          <w:szCs w:val="16"/>
        </w:rPr>
      </w:pPr>
      <w:r>
        <w:rPr>
          <w:rFonts w:ascii="SimSun" w:hAnsi="SimSun" w:eastAsia="SimSun" w:cs="SimSun"/>
          <w:sz w:val="16"/>
          <w:szCs w:val="16"/>
          <w:spacing w:val="-5"/>
        </w:rPr>
        <w:t>首席数据官</w:t>
      </w:r>
    </w:p>
    <w:p>
      <w:pPr>
        <w:pStyle w:val="BodyText"/>
        <w:spacing w:line="424" w:lineRule="auto"/>
        <w:rPr/>
      </w:pPr>
      <w:r/>
    </w:p>
    <w:p>
      <w:pPr>
        <w:ind w:left="3569"/>
        <w:spacing w:before="52" w:line="219" w:lineRule="auto"/>
        <w:rPr>
          <w:rFonts w:ascii="SimSun" w:hAnsi="SimSun" w:eastAsia="SimSun" w:cs="SimSun"/>
          <w:sz w:val="16"/>
          <w:szCs w:val="16"/>
        </w:rPr>
      </w:pPr>
      <w:r>
        <w:pict>
          <v:shape id="_x0000_s524" style="position:absolute;margin-left:105.502pt;margin-top:0.745735pt;mso-position-vertical-relative:text;mso-position-horizontal-relative:text;width:25.6pt;height:11.6pt;z-index:258244608;"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6"/>
                      <w:szCs w:val="16"/>
                    </w:rPr>
                  </w:pPr>
                  <w:r>
                    <w:rPr>
                      <w:rFonts w:ascii="SimSun" w:hAnsi="SimSun" w:eastAsia="SimSun" w:cs="SimSun"/>
                      <w:sz w:val="16"/>
                      <w:szCs w:val="16"/>
                      <w:spacing w:val="-2"/>
                    </w:rPr>
                    <w:t>组织级</w:t>
                  </w:r>
                </w:p>
              </w:txbxContent>
            </v:textbox>
          </v:shape>
        </w:pict>
      </w:r>
      <w:r>
        <w:rPr>
          <w:rFonts w:ascii="SimSun" w:hAnsi="SimSun" w:eastAsia="SimSun" w:cs="SimSun"/>
          <w:sz w:val="16"/>
          <w:szCs w:val="16"/>
          <w:spacing w:val="-6"/>
        </w:rPr>
        <w:t>数据治理委员会</w:t>
      </w:r>
    </w:p>
    <w:p>
      <w:pPr>
        <w:pStyle w:val="BodyText"/>
        <w:spacing w:line="426" w:lineRule="auto"/>
        <w:rPr/>
      </w:pPr>
      <w:r/>
    </w:p>
    <w:p>
      <w:pPr>
        <w:ind w:left="3410"/>
        <w:spacing w:before="52" w:line="219" w:lineRule="auto"/>
        <w:rPr>
          <w:rFonts w:ascii="SimSun" w:hAnsi="SimSun" w:eastAsia="SimSun" w:cs="SimSun"/>
          <w:sz w:val="16"/>
          <w:szCs w:val="16"/>
        </w:rPr>
      </w:pPr>
      <w:r>
        <w:rPr>
          <w:rFonts w:ascii="SimSun" w:hAnsi="SimSun" w:eastAsia="SimSun" w:cs="SimSun"/>
          <w:sz w:val="16"/>
          <w:szCs w:val="16"/>
          <w:spacing w:val="-7"/>
        </w:rPr>
        <w:t>高级数据管理人员</w:t>
      </w:r>
    </w:p>
    <w:p>
      <w:pPr>
        <w:pStyle w:val="BodyText"/>
        <w:spacing w:line="266" w:lineRule="auto"/>
        <w:rPr/>
      </w:pPr>
      <w:r/>
    </w:p>
    <w:p>
      <w:pPr>
        <w:pStyle w:val="BodyText"/>
        <w:spacing w:line="267" w:lineRule="auto"/>
        <w:rPr/>
      </w:pPr>
      <w:r/>
    </w:p>
    <w:p>
      <w:pPr>
        <w:ind w:left="2630"/>
        <w:spacing w:before="53" w:line="219" w:lineRule="auto"/>
        <w:rPr>
          <w:rFonts w:ascii="SimSun" w:hAnsi="SimSun" w:eastAsia="SimSun" w:cs="SimSun"/>
          <w:sz w:val="16"/>
          <w:szCs w:val="16"/>
        </w:rPr>
      </w:pPr>
      <w:r>
        <w:pict>
          <v:shape id="_x0000_s526" style="position:absolute;margin-left:77.5039pt;margin-top:-0.338172pt;mso-position-vertical-relative:text;mso-position-horizontal-relative:text;width:25.6pt;height:11.55pt;z-index:2582435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部门级</w:t>
                  </w:r>
                </w:p>
              </w:txbxContent>
            </v:textbox>
          </v:shape>
        </w:pict>
      </w:r>
      <w:r>
        <w:rPr>
          <w:rFonts w:ascii="SimSun" w:hAnsi="SimSun" w:eastAsia="SimSun" w:cs="SimSun"/>
          <w:sz w:val="16"/>
          <w:szCs w:val="16"/>
          <w:spacing w:val="-6"/>
        </w:rPr>
        <w:t>部门治理委员会         子项目指导委员会</w:t>
      </w:r>
    </w:p>
    <w:p>
      <w:pPr>
        <w:pStyle w:val="BodyText"/>
        <w:spacing w:line="406" w:lineRule="auto"/>
        <w:rPr/>
      </w:pPr>
      <w:r/>
    </w:p>
    <w:p>
      <w:pPr>
        <w:ind w:left="3410"/>
        <w:spacing w:before="53" w:line="219" w:lineRule="auto"/>
        <w:rPr>
          <w:rFonts w:ascii="SimSun" w:hAnsi="SimSun" w:eastAsia="SimSun" w:cs="SimSun"/>
          <w:sz w:val="16"/>
          <w:szCs w:val="16"/>
        </w:rPr>
      </w:pPr>
      <w:r>
        <w:rPr>
          <w:rFonts w:ascii="SimSun" w:hAnsi="SimSun" w:eastAsia="SimSun" w:cs="SimSun"/>
          <w:sz w:val="16"/>
          <w:szCs w:val="16"/>
          <w:spacing w:val="-8"/>
        </w:rPr>
        <w:t>协调型数据管理专员</w:t>
      </w:r>
    </w:p>
    <w:p>
      <w:pPr>
        <w:spacing w:before="216"/>
        <w:rPr/>
      </w:pPr>
      <w:r/>
    </w:p>
    <w:p>
      <w:pPr>
        <w:sectPr>
          <w:footerReference w:type="default" r:id="rId480"/>
          <w:pgSz w:w="8870" w:h="13400"/>
          <w:pgMar w:top="400" w:right="645" w:bottom="557" w:left="559" w:header="0" w:footer="349" w:gutter="0"/>
          <w:cols w:equalWidth="0" w:num="1">
            <w:col w:w="7665" w:space="0"/>
          </w:cols>
        </w:sectPr>
        <w:rPr/>
      </w:pPr>
    </w:p>
    <w:p>
      <w:pPr>
        <w:ind w:left="2790" w:right="78"/>
        <w:spacing w:before="32" w:line="204" w:lineRule="auto"/>
        <w:jc w:val="right"/>
        <w:rPr>
          <w:rFonts w:ascii="SimSun" w:hAnsi="SimSun" w:eastAsia="SimSun" w:cs="SimSun"/>
          <w:sz w:val="16"/>
          <w:szCs w:val="16"/>
        </w:rPr>
      </w:pPr>
      <w:r>
        <w:rPr>
          <w:rFonts w:ascii="SimSun" w:hAnsi="SimSun" w:eastAsia="SimSun" w:cs="SimSun"/>
          <w:sz w:val="16"/>
          <w:szCs w:val="16"/>
          <w:spacing w:val="-8"/>
        </w:rPr>
        <w:t>数据质量分析师</w:t>
      </w:r>
      <w:r>
        <w:rPr>
          <w:rFonts w:ascii="SimSun" w:hAnsi="SimSun" w:eastAsia="SimSun" w:cs="SimSun"/>
          <w:sz w:val="16"/>
          <w:szCs w:val="16"/>
          <w:spacing w:val="2"/>
        </w:rPr>
        <w:t xml:space="preserve"> </w:t>
      </w:r>
      <w:r>
        <w:rPr>
          <w:rFonts w:ascii="SimSun" w:hAnsi="SimSun" w:eastAsia="SimSun" w:cs="SimSun"/>
          <w:sz w:val="16"/>
          <w:szCs w:val="16"/>
          <w:spacing w:val="8"/>
        </w:rPr>
        <w:t>数据库管理员</w:t>
      </w:r>
      <w:r>
        <w:rPr>
          <w:rFonts w:ascii="SimSun" w:hAnsi="SimSun" w:eastAsia="SimSun" w:cs="SimSun"/>
          <w:sz w:val="16"/>
          <w:szCs w:val="16"/>
          <w:spacing w:val="1"/>
        </w:rPr>
        <w:t xml:space="preserve">  </w:t>
      </w:r>
      <w:r>
        <w:rPr>
          <w:rFonts w:ascii="SimSun" w:hAnsi="SimSun" w:eastAsia="SimSun" w:cs="SimSun"/>
          <w:sz w:val="16"/>
          <w:szCs w:val="16"/>
          <w:spacing w:val="-6"/>
        </w:rPr>
        <w:t>数据安全管理员</w:t>
      </w:r>
    </w:p>
    <w:p>
      <w:pPr>
        <w:pStyle w:val="BodyText"/>
        <w:spacing w:line="14" w:lineRule="auto"/>
        <w:rPr>
          <w:sz w:val="2"/>
        </w:rPr>
      </w:pPr>
      <w:r>
        <w:rPr>
          <w:sz w:val="2"/>
          <w:szCs w:val="2"/>
        </w:rPr>
        <w:br w:type="column"/>
      </w:r>
    </w:p>
    <w:p>
      <w:pPr>
        <w:ind w:right="78" w:firstLine="80"/>
        <w:spacing w:before="41" w:line="200" w:lineRule="auto"/>
        <w:jc w:val="both"/>
        <w:rPr>
          <w:rFonts w:ascii="SimSun" w:hAnsi="SimSun" w:eastAsia="SimSun" w:cs="SimSun"/>
          <w:sz w:val="16"/>
          <w:szCs w:val="16"/>
        </w:rPr>
      </w:pPr>
      <w:r>
        <w:rPr>
          <w:rFonts w:ascii="SimSun" w:hAnsi="SimSun" w:eastAsia="SimSun" w:cs="SimSun"/>
          <w:sz w:val="16"/>
          <w:szCs w:val="16"/>
          <w:spacing w:val="-5"/>
        </w:rPr>
        <w:t>元数据管理员</w:t>
      </w:r>
      <w:r>
        <w:rPr>
          <w:rFonts w:ascii="SimSun" w:hAnsi="SimSun" w:eastAsia="SimSun" w:cs="SimSun"/>
          <w:sz w:val="16"/>
          <w:szCs w:val="16"/>
        </w:rPr>
        <w:t xml:space="preserve">  </w:t>
      </w:r>
      <w:r>
        <w:rPr>
          <w:rFonts w:ascii="SimSun" w:hAnsi="SimSun" w:eastAsia="SimSun" w:cs="SimSun"/>
          <w:sz w:val="16"/>
          <w:szCs w:val="16"/>
          <w:spacing w:val="-6"/>
        </w:rPr>
        <w:t>数据模型管理员</w:t>
      </w:r>
      <w:r>
        <w:rPr>
          <w:rFonts w:ascii="SimSun" w:hAnsi="SimSun" w:eastAsia="SimSun" w:cs="SimSun"/>
          <w:sz w:val="16"/>
          <w:szCs w:val="16"/>
          <w:spacing w:val="2"/>
        </w:rPr>
        <w:t xml:space="preserve"> </w:t>
      </w:r>
      <w:r>
        <w:rPr>
          <w:rFonts w:ascii="SimSun" w:hAnsi="SimSun" w:eastAsia="SimSun" w:cs="SimSun"/>
          <w:sz w:val="16"/>
          <w:szCs w:val="16"/>
          <w:spacing w:val="-7"/>
        </w:rPr>
        <w:t>数据整合架构师</w:t>
      </w:r>
    </w:p>
    <w:p>
      <w:pPr>
        <w:pStyle w:val="BodyText"/>
        <w:spacing w:line="14" w:lineRule="auto"/>
        <w:rPr>
          <w:sz w:val="2"/>
        </w:rPr>
      </w:pPr>
      <w:r>
        <w:rPr>
          <w:sz w:val="2"/>
          <w:szCs w:val="2"/>
        </w:rPr>
        <w:br w:type="column"/>
      </w:r>
    </w:p>
    <w:p>
      <w:pPr>
        <w:spacing w:before="61" w:line="190" w:lineRule="auto"/>
        <w:rPr>
          <w:rFonts w:ascii="SimSun" w:hAnsi="SimSun" w:eastAsia="SimSun" w:cs="SimSun"/>
          <w:sz w:val="16"/>
          <w:szCs w:val="16"/>
        </w:rPr>
      </w:pPr>
      <w:r>
        <w:rPr>
          <w:rFonts w:ascii="SimSun" w:hAnsi="SimSun" w:eastAsia="SimSun" w:cs="SimSun"/>
          <w:sz w:val="16"/>
          <w:szCs w:val="16"/>
          <w:spacing w:val="-6"/>
        </w:rPr>
        <w:t>数据仓库架构师</w:t>
      </w:r>
    </w:p>
    <w:p>
      <w:pPr>
        <w:spacing w:line="190" w:lineRule="auto"/>
        <w:rPr>
          <w:rFonts w:ascii="SimSun" w:hAnsi="SimSun" w:eastAsia="SimSun" w:cs="SimSun"/>
          <w:sz w:val="16"/>
          <w:szCs w:val="16"/>
        </w:rPr>
      </w:pPr>
      <w:r>
        <w:rPr>
          <w:rFonts w:ascii="SimSun" w:hAnsi="SimSun" w:eastAsia="SimSun" w:cs="SimSun"/>
          <w:sz w:val="16"/>
          <w:szCs w:val="16"/>
          <w:spacing w:val="-6"/>
        </w:rPr>
        <w:t>数据整合架构师</w:t>
      </w:r>
    </w:p>
    <w:p>
      <w:pPr>
        <w:spacing w:line="196" w:lineRule="auto"/>
        <w:rPr>
          <w:rFonts w:ascii="SimSun" w:hAnsi="SimSun" w:eastAsia="SimSun" w:cs="SimSun"/>
          <w:sz w:val="16"/>
          <w:szCs w:val="16"/>
        </w:rPr>
      </w:pPr>
      <w:r>
        <w:rPr>
          <w:rFonts w:ascii="SimSun" w:hAnsi="SimSun" w:eastAsia="SimSun" w:cs="SimSun"/>
          <w:sz w:val="16"/>
          <w:szCs w:val="16"/>
          <w:spacing w:val="-6"/>
        </w:rPr>
        <w:t>商业情报分析师</w:t>
      </w:r>
    </w:p>
    <w:p>
      <w:pPr>
        <w:spacing w:line="196" w:lineRule="auto"/>
        <w:sectPr>
          <w:type w:val="continuous"/>
          <w:pgSz w:w="8870" w:h="13400"/>
          <w:pgMar w:top="400" w:right="645" w:bottom="557" w:left="559" w:header="0" w:footer="349" w:gutter="0"/>
          <w:cols w:equalWidth="0" w:num="3">
            <w:col w:w="3951" w:space="100"/>
            <w:col w:w="1160" w:space="100"/>
            <w:col w:w="2355" w:space="0"/>
          </w:cols>
        </w:sectPr>
        <w:rPr>
          <w:rFonts w:ascii="SimSun" w:hAnsi="SimSun" w:eastAsia="SimSun" w:cs="SimSun"/>
          <w:sz w:val="16"/>
          <w:szCs w:val="16"/>
        </w:rPr>
      </w:pPr>
    </w:p>
    <w:p>
      <w:pPr>
        <w:pStyle w:val="BodyText"/>
        <w:spacing w:line="415" w:lineRule="auto"/>
        <w:rPr/>
      </w:pPr>
      <w:r/>
    </w:p>
    <w:p>
      <w:pPr>
        <w:ind w:left="2290"/>
        <w:spacing w:before="52" w:line="219" w:lineRule="auto"/>
        <w:rPr>
          <w:rFonts w:ascii="SimSun" w:hAnsi="SimSun" w:eastAsia="SimSun" w:cs="SimSun"/>
          <w:sz w:val="16"/>
          <w:szCs w:val="16"/>
        </w:rPr>
      </w:pPr>
      <w:r>
        <w:rPr>
          <w:rFonts w:ascii="SimSun" w:hAnsi="SimSun" w:eastAsia="SimSun" w:cs="SimSun"/>
          <w:sz w:val="16"/>
          <w:szCs w:val="16"/>
          <w:spacing w:val="-9"/>
        </w:rPr>
        <w:t>数据治理体系的业务数据管理专员、其他业务主体域专家</w:t>
      </w:r>
    </w:p>
    <w:p>
      <w:pPr>
        <w:pStyle w:val="BodyText"/>
        <w:spacing w:line="247" w:lineRule="auto"/>
        <w:rPr/>
      </w:pPr>
      <w:r/>
    </w:p>
    <w:p>
      <w:pPr>
        <w:pStyle w:val="BodyText"/>
        <w:spacing w:line="248" w:lineRule="auto"/>
        <w:rPr/>
      </w:pPr>
      <w:r/>
    </w:p>
    <w:p>
      <w:pPr>
        <w:ind w:left="1950"/>
        <w:spacing w:before="52" w:line="219" w:lineRule="auto"/>
        <w:rPr>
          <w:rFonts w:ascii="SimSun" w:hAnsi="SimSun" w:eastAsia="SimSun" w:cs="SimSun"/>
          <w:sz w:val="16"/>
          <w:szCs w:val="16"/>
        </w:rPr>
      </w:pPr>
      <w:r>
        <w:rPr>
          <w:rFonts w:ascii="SimSun" w:hAnsi="SimSun" w:eastAsia="SimSun" w:cs="SimSun"/>
          <w:sz w:val="16"/>
          <w:szCs w:val="16"/>
          <w:spacing w:val="-9"/>
        </w:rPr>
        <w:t>数据战略、数据管理、数据质量、数据操作、数据架构、安全与隐私</w:t>
      </w:r>
    </w:p>
    <w:p>
      <w:pPr>
        <w:pStyle w:val="BodyText"/>
        <w:spacing w:line="257" w:lineRule="auto"/>
        <w:rPr/>
      </w:pPr>
      <w:r/>
    </w:p>
    <w:p>
      <w:pPr>
        <w:ind w:left="2302"/>
        <w:spacing w:before="69" w:line="221" w:lineRule="auto"/>
        <w:rPr>
          <w:rFonts w:ascii="SimHei" w:hAnsi="SimHei" w:eastAsia="SimHei" w:cs="SimHei"/>
          <w:sz w:val="21"/>
          <w:szCs w:val="21"/>
        </w:rPr>
      </w:pPr>
      <w:r>
        <w:rPr>
          <w:rFonts w:ascii="SimHei" w:hAnsi="SimHei" w:eastAsia="SimHei" w:cs="SimHei"/>
          <w:sz w:val="21"/>
          <w:szCs w:val="21"/>
          <w:b/>
          <w:bCs/>
          <w:spacing w:val="-24"/>
        </w:rPr>
        <w:t>图11-1</w:t>
      </w:r>
      <w:r>
        <w:rPr>
          <w:rFonts w:ascii="SimHei" w:hAnsi="SimHei" w:eastAsia="SimHei" w:cs="SimHei"/>
          <w:sz w:val="21"/>
          <w:szCs w:val="21"/>
          <w:spacing w:val="62"/>
        </w:rPr>
        <w:t xml:space="preserve"> </w:t>
      </w:r>
      <w:r>
        <w:rPr>
          <w:rFonts w:ascii="SimHei" w:hAnsi="SimHei" w:eastAsia="SimHei" w:cs="SimHei"/>
          <w:sz w:val="21"/>
          <w:szCs w:val="21"/>
          <w:b/>
          <w:bCs/>
          <w:spacing w:val="-24"/>
        </w:rPr>
        <w:t>云端数据治理组织架构图</w:t>
      </w:r>
    </w:p>
    <w:p>
      <w:pPr>
        <w:ind w:left="240"/>
        <w:spacing w:before="212" w:line="219" w:lineRule="auto"/>
        <w:rPr>
          <w:rFonts w:ascii="SimSun" w:hAnsi="SimSun" w:eastAsia="SimSun" w:cs="SimSun"/>
          <w:sz w:val="21"/>
          <w:szCs w:val="21"/>
        </w:rPr>
      </w:pPr>
      <w:r>
        <w:rPr>
          <w:rFonts w:ascii="SimSun" w:hAnsi="SimSun" w:eastAsia="SimSun" w:cs="SimSun"/>
          <w:sz w:val="21"/>
          <w:szCs w:val="21"/>
          <w:spacing w:val="3"/>
        </w:rPr>
        <w:t>(3)部门治理委员会和项目指导委员会，职责包括：</w:t>
      </w:r>
    </w:p>
    <w:p>
      <w:pPr>
        <w:ind w:left="240"/>
        <w:spacing w:before="61" w:line="219" w:lineRule="auto"/>
        <w:rPr>
          <w:rFonts w:ascii="SimSun" w:hAnsi="SimSun" w:eastAsia="SimSun" w:cs="SimSun"/>
          <w:sz w:val="21"/>
          <w:szCs w:val="21"/>
        </w:rPr>
      </w:pPr>
      <w:r>
        <w:rPr>
          <w:rFonts w:ascii="SimSun" w:hAnsi="SimSun" w:eastAsia="SimSun" w:cs="SimSun"/>
          <w:sz w:val="21"/>
          <w:szCs w:val="21"/>
          <w:spacing w:val="-2"/>
        </w:rPr>
        <w:t>●实施组织级数据治理委员会的决策；</w:t>
      </w:r>
    </w:p>
    <w:p>
      <w:pPr>
        <w:ind w:left="240"/>
        <w:spacing w:before="61" w:line="219" w:lineRule="auto"/>
        <w:rPr>
          <w:rFonts w:ascii="SimSun" w:hAnsi="SimSun" w:eastAsia="SimSun" w:cs="SimSun"/>
          <w:sz w:val="21"/>
          <w:szCs w:val="21"/>
        </w:rPr>
      </w:pPr>
      <w:r>
        <w:rPr>
          <w:rFonts w:ascii="SimSun" w:hAnsi="SimSun" w:eastAsia="SimSun" w:cs="SimSun"/>
          <w:sz w:val="21"/>
          <w:szCs w:val="21"/>
          <w:spacing w:val="-2"/>
        </w:rPr>
        <w:t>●负责体系在本部门的组织协调工作；</w:t>
      </w:r>
    </w:p>
    <w:p>
      <w:pPr>
        <w:ind w:left="240"/>
        <w:spacing w:before="71" w:line="218" w:lineRule="auto"/>
        <w:rPr>
          <w:rFonts w:ascii="SimSun" w:hAnsi="SimSun" w:eastAsia="SimSun" w:cs="SimSun"/>
          <w:sz w:val="21"/>
          <w:szCs w:val="21"/>
        </w:rPr>
      </w:pPr>
      <w:r>
        <w:rPr>
          <w:rFonts w:ascii="SimSun" w:hAnsi="SimSun" w:eastAsia="SimSun" w:cs="SimSun"/>
          <w:sz w:val="21"/>
          <w:szCs w:val="21"/>
          <w:spacing w:val="1"/>
        </w:rPr>
        <w:t>●对云端数据治理进行现状调研、评估、差距分析与规划；</w:t>
      </w:r>
    </w:p>
    <w:p>
      <w:pPr>
        <w:ind w:left="240"/>
        <w:spacing w:before="60" w:line="311" w:lineRule="exact"/>
        <w:rPr>
          <w:rFonts w:ascii="SimSun" w:hAnsi="SimSun" w:eastAsia="SimSun" w:cs="SimSun"/>
          <w:sz w:val="21"/>
          <w:szCs w:val="21"/>
        </w:rPr>
      </w:pPr>
      <w:r>
        <w:rPr>
          <w:rFonts w:ascii="STXingkai" w:hAnsi="STXingkai" w:eastAsia="STXingkai" w:cs="STXingkai"/>
          <w:sz w:val="21"/>
          <w:szCs w:val="21"/>
          <w:spacing w:val="-11"/>
          <w:position w:val="2"/>
        </w:rPr>
        <w:t>●</w:t>
      </w:r>
      <w:r>
        <w:rPr>
          <w:rFonts w:ascii="STXingkai" w:hAnsi="STXingkai" w:eastAsia="STXingkai" w:cs="STXingkai"/>
          <w:sz w:val="21"/>
          <w:szCs w:val="21"/>
          <w:spacing w:val="36"/>
          <w:position w:val="2"/>
        </w:rPr>
        <w:t xml:space="preserve"> </w:t>
      </w:r>
      <w:r>
        <w:rPr>
          <w:rFonts w:ascii="SimSun" w:hAnsi="SimSun" w:eastAsia="SimSun" w:cs="SimSun"/>
          <w:sz w:val="21"/>
          <w:szCs w:val="21"/>
          <w:spacing w:val="-11"/>
          <w:position w:val="2"/>
        </w:rPr>
        <w:t>流程梳理和设计；</w:t>
      </w:r>
    </w:p>
    <w:p>
      <w:pPr>
        <w:ind w:left="240"/>
        <w:spacing w:before="11" w:line="219" w:lineRule="auto"/>
        <w:rPr>
          <w:rFonts w:ascii="SimSun" w:hAnsi="SimSun" w:eastAsia="SimSun" w:cs="SimSun"/>
          <w:sz w:val="21"/>
          <w:szCs w:val="21"/>
        </w:rPr>
      </w:pPr>
      <w:r>
        <w:rPr>
          <w:rFonts w:ascii="SimSun" w:hAnsi="SimSun" w:eastAsia="SimSun" w:cs="SimSun"/>
          <w:sz w:val="21"/>
          <w:szCs w:val="21"/>
          <w:spacing w:val="1"/>
        </w:rPr>
        <w:t>●制订最佳治理流程规程和管理规范，及有关的技术方案；</w:t>
      </w:r>
    </w:p>
    <w:p>
      <w:pPr>
        <w:ind w:left="240"/>
        <w:spacing w:before="63" w:line="220" w:lineRule="auto"/>
        <w:rPr>
          <w:rFonts w:ascii="SimSun" w:hAnsi="SimSun" w:eastAsia="SimSun" w:cs="SimSun"/>
          <w:sz w:val="21"/>
          <w:szCs w:val="21"/>
        </w:rPr>
      </w:pPr>
      <w:r>
        <w:rPr>
          <w:rFonts w:ascii="SimSun" w:hAnsi="SimSun" w:eastAsia="SimSun" w:cs="SimSun"/>
          <w:sz w:val="21"/>
          <w:szCs w:val="21"/>
        </w:rPr>
        <w:t>●组织相关人员建立和维护体系过程；</w:t>
      </w:r>
    </w:p>
    <w:p>
      <w:pPr>
        <w:ind w:left="240"/>
        <w:spacing w:before="78" w:line="219" w:lineRule="auto"/>
        <w:rPr>
          <w:rFonts w:ascii="SimSun" w:hAnsi="SimSun" w:eastAsia="SimSun" w:cs="SimSun"/>
          <w:sz w:val="21"/>
          <w:szCs w:val="21"/>
        </w:rPr>
      </w:pPr>
      <w:r>
        <w:rPr>
          <w:rFonts w:ascii="SimSun" w:hAnsi="SimSun" w:eastAsia="SimSun" w:cs="SimSun"/>
          <w:sz w:val="21"/>
          <w:szCs w:val="21"/>
        </w:rPr>
        <w:t>●推动组织体系的实施，对相关过程提供过程培训和辅导；</w:t>
      </w:r>
    </w:p>
    <w:p>
      <w:pPr>
        <w:ind w:left="240"/>
        <w:spacing w:before="52" w:line="219" w:lineRule="auto"/>
        <w:rPr>
          <w:rFonts w:ascii="SimSun" w:hAnsi="SimSun" w:eastAsia="SimSun" w:cs="SimSun"/>
          <w:sz w:val="21"/>
          <w:szCs w:val="21"/>
        </w:rPr>
      </w:pPr>
      <w:r>
        <w:rPr>
          <w:rFonts w:ascii="SimSun" w:hAnsi="SimSun" w:eastAsia="SimSun" w:cs="SimSun"/>
          <w:sz w:val="21"/>
          <w:szCs w:val="21"/>
          <w:spacing w:val="-1"/>
        </w:rPr>
        <w:t>●策划并监督体系的内部实施活动；</w:t>
      </w:r>
    </w:p>
    <w:p>
      <w:pPr>
        <w:ind w:left="240"/>
        <w:spacing w:before="60" w:line="219" w:lineRule="auto"/>
        <w:rPr>
          <w:rFonts w:ascii="SimSun" w:hAnsi="SimSun" w:eastAsia="SimSun" w:cs="SimSun"/>
          <w:sz w:val="21"/>
          <w:szCs w:val="21"/>
        </w:rPr>
      </w:pPr>
      <w:r>
        <w:rPr>
          <w:rFonts w:ascii="SimSun" w:hAnsi="SimSun" w:eastAsia="SimSun" w:cs="SimSun"/>
          <w:sz w:val="21"/>
          <w:szCs w:val="21"/>
          <w:spacing w:val="-2"/>
        </w:rPr>
        <w:t>●促进组织过程持续不断改进；</w:t>
      </w:r>
    </w:p>
    <w:p>
      <w:pPr>
        <w:ind w:left="240"/>
        <w:spacing w:before="62" w:line="184" w:lineRule="auto"/>
        <w:rPr>
          <w:rFonts w:ascii="SimSun" w:hAnsi="SimSun" w:eastAsia="SimSun" w:cs="SimSun"/>
          <w:sz w:val="21"/>
          <w:szCs w:val="21"/>
        </w:rPr>
      </w:pPr>
      <w:r>
        <w:rPr>
          <w:rFonts w:ascii="SimSun" w:hAnsi="SimSun" w:eastAsia="SimSun" w:cs="SimSun"/>
          <w:sz w:val="21"/>
          <w:szCs w:val="21"/>
          <w:spacing w:val="-1"/>
        </w:rPr>
        <w:t>●数据管理专业人员的招募和配备；</w:t>
      </w:r>
    </w:p>
    <w:p>
      <w:pPr>
        <w:spacing w:line="184" w:lineRule="auto"/>
        <w:sectPr>
          <w:type w:val="continuous"/>
          <w:pgSz w:w="8870" w:h="13400"/>
          <w:pgMar w:top="400" w:right="645" w:bottom="557" w:left="559" w:header="0" w:footer="349" w:gutter="0"/>
          <w:cols w:equalWidth="0" w:num="1">
            <w:col w:w="7665" w:space="0"/>
          </w:cols>
        </w:sectPr>
        <w:rPr>
          <w:rFonts w:ascii="SimSun" w:hAnsi="SimSun" w:eastAsia="SimSun" w:cs="SimSun"/>
          <w:sz w:val="21"/>
          <w:szCs w:val="21"/>
        </w:rPr>
      </w:pPr>
    </w:p>
    <w:p>
      <w:pPr>
        <w:ind w:left="130"/>
        <w:spacing w:before="170"/>
        <w:rPr>
          <w:rFonts w:ascii="SimSun" w:hAnsi="SimSun" w:eastAsia="SimSun" w:cs="SimSun"/>
          <w:sz w:val="22"/>
          <w:szCs w:val="22"/>
        </w:rPr>
      </w:pPr>
      <w:r>
        <w:rPr>
          <w:rFonts w:ascii="SimSun" w:hAnsi="SimSun" w:eastAsia="SimSun" w:cs="SimSun"/>
          <w:sz w:val="22"/>
          <w:szCs w:val="22"/>
          <w:position w:val="-9"/>
        </w:rPr>
        <w:drawing>
          <wp:inline distT="0" distB="0" distL="0" distR="0">
            <wp:extent cx="6308" cy="222255"/>
            <wp:effectExtent l="0" t="0" r="0" b="0"/>
            <wp:docPr id="336" name="IM 336"/>
            <wp:cNvGraphicFramePr/>
            <a:graphic>
              <a:graphicData uri="http://schemas.openxmlformats.org/drawingml/2006/picture">
                <pic:pic>
                  <pic:nvPicPr>
                    <pic:cNvPr id="336" name="IM 336"/>
                    <pic:cNvPicPr/>
                  </pic:nvPicPr>
                  <pic:blipFill>
                    <a:blip r:embed="rId483"/>
                    <a:stretch>
                      <a:fillRect/>
                    </a:stretch>
                  </pic:blipFill>
                  <pic:spPr>
                    <a:xfrm rot="0">
                      <a:off x="0" y="0"/>
                      <a:ext cx="6308" cy="222255"/>
                    </a:xfrm>
                    <a:prstGeom prst="rect">
                      <a:avLst/>
                    </a:prstGeom>
                  </pic:spPr>
                </pic:pic>
              </a:graphicData>
            </a:graphic>
          </wp:inline>
        </w:drawing>
      </w:r>
      <w:r>
        <w:rPr>
          <w:rFonts w:ascii="SimSun" w:hAnsi="SimSun" w:eastAsia="SimSun" w:cs="SimSun"/>
          <w:sz w:val="22"/>
          <w:szCs w:val="22"/>
          <w:spacing w:val="15"/>
        </w:rPr>
        <w:t xml:space="preserve"> </w:t>
      </w:r>
      <w:r>
        <w:rPr>
          <w:rFonts w:ascii="SimSun" w:hAnsi="SimSun" w:eastAsia="SimSun" w:cs="SimSun"/>
          <w:sz w:val="22"/>
          <w:szCs w:val="22"/>
          <w:b/>
          <w:bCs/>
          <w:spacing w:val="-29"/>
          <w:w w:val="96"/>
        </w:rPr>
        <w:t>■云端数据治理■</w:t>
      </w:r>
    </w:p>
    <w:p>
      <w:pPr>
        <w:ind w:left="709"/>
        <w:spacing w:before="289" w:line="219" w:lineRule="auto"/>
        <w:rPr>
          <w:rFonts w:ascii="SimSun" w:hAnsi="SimSun" w:eastAsia="SimSun" w:cs="SimSun"/>
          <w:sz w:val="22"/>
          <w:szCs w:val="22"/>
        </w:rPr>
      </w:pPr>
      <w:r>
        <w:rPr>
          <w:rFonts w:ascii="SimSun" w:hAnsi="SimSun" w:eastAsia="SimSun" w:cs="SimSun"/>
          <w:sz w:val="22"/>
          <w:szCs w:val="22"/>
          <w:spacing w:val="-10"/>
        </w:rPr>
        <w:t>●数据管理技能开发；</w:t>
      </w:r>
    </w:p>
    <w:p>
      <w:pPr>
        <w:ind w:left="709"/>
        <w:spacing w:before="48" w:line="219" w:lineRule="auto"/>
        <w:rPr>
          <w:rFonts w:ascii="SimSun" w:hAnsi="SimSun" w:eastAsia="SimSun" w:cs="SimSun"/>
          <w:sz w:val="22"/>
          <w:szCs w:val="22"/>
        </w:rPr>
      </w:pPr>
      <w:r>
        <w:rPr>
          <w:rFonts w:ascii="SimSun" w:hAnsi="SimSun" w:eastAsia="SimSun" w:cs="SimSun"/>
          <w:sz w:val="22"/>
          <w:szCs w:val="22"/>
          <w:spacing w:val="-11"/>
        </w:rPr>
        <w:t>●承包商管理；</w:t>
      </w:r>
    </w:p>
    <w:p>
      <w:pPr>
        <w:ind w:left="709"/>
        <w:spacing w:before="49" w:line="219" w:lineRule="auto"/>
        <w:rPr>
          <w:rFonts w:ascii="SimSun" w:hAnsi="SimSun" w:eastAsia="SimSun" w:cs="SimSun"/>
          <w:sz w:val="22"/>
          <w:szCs w:val="22"/>
        </w:rPr>
      </w:pPr>
      <w:r>
        <w:rPr>
          <w:rFonts w:ascii="SimSun" w:hAnsi="SimSun" w:eastAsia="SimSun" w:cs="SimSun"/>
          <w:sz w:val="22"/>
          <w:szCs w:val="22"/>
          <w:spacing w:val="-11"/>
        </w:rPr>
        <w:t>●预算和资源分配；</w:t>
      </w:r>
    </w:p>
    <w:p>
      <w:pPr>
        <w:ind w:left="709"/>
        <w:spacing w:before="66" w:line="218" w:lineRule="auto"/>
        <w:rPr>
          <w:rFonts w:ascii="SimSun" w:hAnsi="SimSun" w:eastAsia="SimSun" w:cs="SimSun"/>
          <w:sz w:val="22"/>
          <w:szCs w:val="22"/>
        </w:rPr>
      </w:pPr>
      <w:r>
        <w:rPr>
          <w:rFonts w:ascii="SimSun" w:hAnsi="SimSun" w:eastAsia="SimSun" w:cs="SimSun"/>
          <w:sz w:val="22"/>
          <w:szCs w:val="22"/>
          <w:spacing w:val="-10"/>
        </w:rPr>
        <w:t>●管理度量指标的制订、监督和评价；</w:t>
      </w:r>
    </w:p>
    <w:p>
      <w:pPr>
        <w:ind w:left="709"/>
        <w:spacing w:before="52" w:line="219" w:lineRule="auto"/>
        <w:rPr>
          <w:rFonts w:ascii="SimSun" w:hAnsi="SimSun" w:eastAsia="SimSun" w:cs="SimSun"/>
          <w:sz w:val="22"/>
          <w:szCs w:val="22"/>
        </w:rPr>
      </w:pPr>
      <w:r>
        <w:rPr>
          <w:rFonts w:ascii="SimSun" w:hAnsi="SimSun" w:eastAsia="SimSun" w:cs="SimSun"/>
          <w:sz w:val="22"/>
          <w:szCs w:val="22"/>
          <w:spacing w:val="-6"/>
        </w:rPr>
        <w:t>●跨业务和IT</w:t>
      </w:r>
      <w:r>
        <w:rPr>
          <w:rFonts w:ascii="SimSun" w:hAnsi="SimSun" w:eastAsia="SimSun" w:cs="SimSun"/>
          <w:sz w:val="22"/>
          <w:szCs w:val="22"/>
          <w:spacing w:val="-38"/>
        </w:rPr>
        <w:t xml:space="preserve"> </w:t>
      </w:r>
      <w:r>
        <w:rPr>
          <w:rFonts w:ascii="SimSun" w:hAnsi="SimSun" w:eastAsia="SimSun" w:cs="SimSun"/>
          <w:sz w:val="22"/>
          <w:szCs w:val="22"/>
          <w:spacing w:val="-6"/>
        </w:rPr>
        <w:t>组织的协作；</w:t>
      </w:r>
    </w:p>
    <w:p>
      <w:pPr>
        <w:ind w:left="709"/>
        <w:spacing w:before="49" w:line="219" w:lineRule="auto"/>
        <w:rPr>
          <w:rFonts w:ascii="SimSun" w:hAnsi="SimSun" w:eastAsia="SimSun" w:cs="SimSun"/>
          <w:sz w:val="22"/>
          <w:szCs w:val="22"/>
        </w:rPr>
      </w:pPr>
      <w:r>
        <w:rPr>
          <w:rFonts w:ascii="SimSun" w:hAnsi="SimSun" w:eastAsia="SimSun" w:cs="SimSun"/>
          <w:sz w:val="22"/>
          <w:szCs w:val="22"/>
          <w:spacing w:val="-8"/>
        </w:rPr>
        <w:t>●支持云端数据治理体系所需的组织和文化变革。</w:t>
      </w:r>
    </w:p>
    <w:p>
      <w:pPr>
        <w:ind w:right="37"/>
        <w:spacing w:before="49" w:line="219" w:lineRule="auto"/>
        <w:jc w:val="right"/>
        <w:rPr>
          <w:rFonts w:ascii="SimSun" w:hAnsi="SimSun" w:eastAsia="SimSun" w:cs="SimSun"/>
          <w:sz w:val="22"/>
          <w:szCs w:val="22"/>
        </w:rPr>
      </w:pPr>
      <w:r>
        <w:rPr>
          <w:rFonts w:ascii="SimSun" w:hAnsi="SimSun" w:eastAsia="SimSun" w:cs="SimSun"/>
          <w:sz w:val="22"/>
          <w:szCs w:val="22"/>
          <w:spacing w:val="-5"/>
        </w:rPr>
        <w:t>(4)数据管理是业务数据管理专员和数据管理专员的共同职责。业务数据管理</w:t>
      </w:r>
    </w:p>
    <w:p>
      <w:pPr>
        <w:ind w:left="708" w:right="770" w:hanging="459"/>
        <w:spacing w:before="48"/>
        <w:rPr>
          <w:rFonts w:ascii="SimSun" w:hAnsi="SimSun" w:eastAsia="SimSun" w:cs="SimSun"/>
          <w:sz w:val="22"/>
          <w:szCs w:val="22"/>
        </w:rPr>
      </w:pPr>
      <w:r>
        <w:rPr>
          <w:rFonts w:ascii="SimSun" w:hAnsi="SimSun" w:eastAsia="SimSun" w:cs="SimSun"/>
          <w:sz w:val="22"/>
          <w:szCs w:val="22"/>
          <w:spacing w:val="-10"/>
        </w:rPr>
        <w:t>专员是组织数据资产的受托人，数据管理专员是这些资产的专家型保管人。</w:t>
      </w:r>
      <w:r>
        <w:rPr>
          <w:rFonts w:ascii="SimSun" w:hAnsi="SimSun" w:eastAsia="SimSun" w:cs="SimSun"/>
          <w:sz w:val="22"/>
          <w:szCs w:val="22"/>
        </w:rPr>
        <w:t xml:space="preserve"> </w:t>
      </w:r>
      <w:r>
        <w:rPr>
          <w:rFonts w:ascii="SimSun" w:hAnsi="SimSun" w:eastAsia="SimSun" w:cs="SimSun"/>
          <w:sz w:val="22"/>
          <w:szCs w:val="22"/>
          <w:spacing w:val="-14"/>
        </w:rPr>
        <w:t>业务数据管理专员，职责包括：</w:t>
      </w:r>
    </w:p>
    <w:p>
      <w:pPr>
        <w:ind w:left="709"/>
        <w:spacing w:before="48" w:line="219" w:lineRule="auto"/>
        <w:rPr>
          <w:rFonts w:ascii="SimSun" w:hAnsi="SimSun" w:eastAsia="SimSun" w:cs="SimSun"/>
          <w:sz w:val="22"/>
          <w:szCs w:val="22"/>
        </w:rPr>
      </w:pPr>
      <w:r>
        <w:rPr>
          <w:rFonts w:ascii="SimSun" w:hAnsi="SimSun" w:eastAsia="SimSun" w:cs="SimSun"/>
          <w:sz w:val="22"/>
          <w:szCs w:val="22"/>
          <w:spacing w:val="-8"/>
        </w:rPr>
        <w:t>●具有业务专家和兼职的云端治理管理体系</w:t>
      </w:r>
      <w:r>
        <w:rPr>
          <w:rFonts w:ascii="SimSun" w:hAnsi="SimSun" w:eastAsia="SimSun" w:cs="SimSun"/>
          <w:sz w:val="22"/>
          <w:szCs w:val="22"/>
          <w:spacing w:val="-9"/>
        </w:rPr>
        <w:t>职责的双重角色；</w:t>
      </w:r>
    </w:p>
    <w:p>
      <w:pPr>
        <w:ind w:left="709"/>
        <w:spacing w:before="69" w:line="219" w:lineRule="auto"/>
        <w:rPr>
          <w:rFonts w:ascii="SimSun" w:hAnsi="SimSun" w:eastAsia="SimSun" w:cs="SimSun"/>
          <w:sz w:val="22"/>
          <w:szCs w:val="22"/>
        </w:rPr>
      </w:pPr>
      <w:r>
        <w:rPr>
          <w:rFonts w:ascii="SimSun" w:hAnsi="SimSun" w:eastAsia="SimSun" w:cs="SimSun"/>
          <w:sz w:val="22"/>
          <w:szCs w:val="22"/>
          <w:spacing w:val="-10"/>
        </w:rPr>
        <w:t>●识别和定义本领域的组织信息需求；</w:t>
      </w:r>
    </w:p>
    <w:p>
      <w:pPr>
        <w:ind w:left="709" w:right="2380"/>
        <w:spacing w:before="49"/>
        <w:rPr>
          <w:rFonts w:ascii="SimSun" w:hAnsi="SimSun" w:eastAsia="SimSun" w:cs="SimSun"/>
          <w:sz w:val="22"/>
          <w:szCs w:val="22"/>
        </w:rPr>
      </w:pPr>
      <w:r>
        <w:rPr>
          <w:rFonts w:ascii="SimSun" w:hAnsi="SimSun" w:eastAsia="SimSun" w:cs="SimSun"/>
          <w:sz w:val="22"/>
          <w:szCs w:val="22"/>
          <w:spacing w:val="-9"/>
        </w:rPr>
        <w:t>●进行其所负责的业务领域内的云端数据治理工作；</w:t>
      </w:r>
      <w:r>
        <w:rPr>
          <w:rFonts w:ascii="SimSun" w:hAnsi="SimSun" w:eastAsia="SimSun" w:cs="SimSun"/>
          <w:sz w:val="22"/>
          <w:szCs w:val="22"/>
          <w:spacing w:val="6"/>
        </w:rPr>
        <w:t xml:space="preserve"> </w:t>
      </w:r>
      <w:r>
        <w:rPr>
          <w:rFonts w:ascii="SimSun" w:hAnsi="SimSun" w:eastAsia="SimSun" w:cs="SimSun"/>
          <w:sz w:val="22"/>
          <w:szCs w:val="22"/>
          <w:spacing w:val="-12"/>
        </w:rPr>
        <w:t>数据管理专员，职责包括：</w:t>
      </w:r>
    </w:p>
    <w:p>
      <w:pPr>
        <w:ind w:left="709"/>
        <w:spacing w:before="49" w:line="219" w:lineRule="auto"/>
        <w:rPr>
          <w:rFonts w:ascii="SimSun" w:hAnsi="SimSun" w:eastAsia="SimSun" w:cs="SimSun"/>
          <w:sz w:val="22"/>
          <w:szCs w:val="22"/>
        </w:rPr>
      </w:pPr>
      <w:r>
        <w:rPr>
          <w:rFonts w:ascii="SimSun" w:hAnsi="SimSun" w:eastAsia="SimSun" w:cs="SimSun"/>
          <w:sz w:val="22"/>
          <w:szCs w:val="22"/>
          <w:spacing w:val="-9"/>
        </w:rPr>
        <w:t>●负责管理、监控和执行数据政策、标准和规程；</w:t>
      </w:r>
    </w:p>
    <w:p>
      <w:pPr>
        <w:ind w:left="709"/>
        <w:spacing w:before="59" w:line="219" w:lineRule="auto"/>
        <w:rPr>
          <w:rFonts w:ascii="SimSun" w:hAnsi="SimSun" w:eastAsia="SimSun" w:cs="SimSun"/>
          <w:sz w:val="22"/>
          <w:szCs w:val="22"/>
        </w:rPr>
      </w:pPr>
      <w:r>
        <w:rPr>
          <w:rFonts w:ascii="SimSun" w:hAnsi="SimSun" w:eastAsia="SimSun" w:cs="SimSun"/>
          <w:sz w:val="22"/>
          <w:szCs w:val="22"/>
          <w:spacing w:val="-10"/>
        </w:rPr>
        <w:t>●协调、维护和实施数据架构；</w:t>
      </w:r>
    </w:p>
    <w:p>
      <w:pPr>
        <w:ind w:left="709"/>
        <w:spacing w:before="48" w:line="219" w:lineRule="auto"/>
        <w:rPr>
          <w:rFonts w:ascii="SimSun" w:hAnsi="SimSun" w:eastAsia="SimSun" w:cs="SimSun"/>
          <w:sz w:val="22"/>
          <w:szCs w:val="22"/>
        </w:rPr>
      </w:pPr>
      <w:r>
        <w:rPr>
          <w:rFonts w:ascii="SimSun" w:hAnsi="SimSun" w:eastAsia="SimSun" w:cs="SimSun"/>
          <w:sz w:val="22"/>
          <w:szCs w:val="22"/>
          <w:spacing w:val="-12"/>
        </w:rPr>
        <w:t>●提供数据管理服务；</w:t>
      </w:r>
    </w:p>
    <w:p>
      <w:pPr>
        <w:ind w:left="709"/>
        <w:spacing w:before="70" w:line="219" w:lineRule="auto"/>
        <w:rPr>
          <w:rFonts w:ascii="SimSun" w:hAnsi="SimSun" w:eastAsia="SimSun" w:cs="SimSun"/>
          <w:sz w:val="22"/>
          <w:szCs w:val="22"/>
        </w:rPr>
      </w:pPr>
      <w:r>
        <w:rPr>
          <w:rFonts w:ascii="SimSun" w:hAnsi="SimSun" w:eastAsia="SimSun" w:cs="SimSun"/>
          <w:sz w:val="22"/>
          <w:szCs w:val="22"/>
          <w:spacing w:val="-9"/>
        </w:rPr>
        <w:t>●通过实施数据库和应用程序推动数据交付；</w:t>
      </w:r>
    </w:p>
    <w:p>
      <w:pPr>
        <w:ind w:left="709"/>
        <w:spacing w:before="39" w:line="219" w:lineRule="auto"/>
        <w:rPr>
          <w:rFonts w:ascii="SimSun" w:hAnsi="SimSun" w:eastAsia="SimSun" w:cs="SimSun"/>
          <w:sz w:val="22"/>
          <w:szCs w:val="22"/>
        </w:rPr>
      </w:pPr>
      <w:r>
        <w:rPr>
          <w:rFonts w:ascii="SimSun" w:hAnsi="SimSun" w:eastAsia="SimSun" w:cs="SimSun"/>
          <w:sz w:val="22"/>
          <w:szCs w:val="22"/>
          <w:spacing w:val="-10"/>
        </w:rPr>
        <w:t>●获取和保护数据资产；</w:t>
      </w:r>
    </w:p>
    <w:p>
      <w:pPr>
        <w:ind w:left="709"/>
        <w:spacing w:before="39" w:line="219" w:lineRule="auto"/>
        <w:rPr>
          <w:rFonts w:ascii="SimSun" w:hAnsi="SimSun" w:eastAsia="SimSun" w:cs="SimSun"/>
          <w:sz w:val="22"/>
          <w:szCs w:val="22"/>
        </w:rPr>
      </w:pPr>
      <w:r>
        <w:rPr>
          <w:rFonts w:ascii="SimSun" w:hAnsi="SimSun" w:eastAsia="SimSun" w:cs="SimSun"/>
          <w:sz w:val="22"/>
          <w:szCs w:val="22"/>
          <w:spacing w:val="-9"/>
        </w:rPr>
        <w:t>●监控数据质量；</w:t>
      </w:r>
    </w:p>
    <w:p>
      <w:pPr>
        <w:ind w:left="709"/>
        <w:spacing w:before="49" w:line="219" w:lineRule="auto"/>
        <w:rPr>
          <w:rFonts w:ascii="SimSun" w:hAnsi="SimSun" w:eastAsia="SimSun" w:cs="SimSun"/>
          <w:sz w:val="22"/>
          <w:szCs w:val="22"/>
        </w:rPr>
      </w:pPr>
      <w:r>
        <w:rPr>
          <w:rFonts w:ascii="SimSun" w:hAnsi="SimSun" w:eastAsia="SimSun" w:cs="SimSun"/>
          <w:sz w:val="22"/>
          <w:szCs w:val="22"/>
          <w:spacing w:val="-8"/>
        </w:rPr>
        <w:t>●审计数据质量和安全性。</w:t>
      </w:r>
    </w:p>
    <w:p>
      <w:pPr>
        <w:ind w:left="249" w:right="59" w:firstLine="459"/>
        <w:spacing w:before="70" w:line="250" w:lineRule="auto"/>
        <w:rPr>
          <w:rFonts w:ascii="SimSun" w:hAnsi="SimSun" w:eastAsia="SimSun" w:cs="SimSun"/>
          <w:sz w:val="22"/>
          <w:szCs w:val="22"/>
        </w:rPr>
      </w:pPr>
      <w:r>
        <w:rPr>
          <w:rFonts w:ascii="SimSun" w:hAnsi="SimSun" w:eastAsia="SimSun" w:cs="SimSun"/>
          <w:sz w:val="22"/>
          <w:szCs w:val="22"/>
          <w:spacing w:val="-3"/>
        </w:rPr>
        <w:t>数据管理专员可能包括数据架构师、数据分析师、数据建模师、数据质量分</w:t>
      </w:r>
      <w:r>
        <w:rPr>
          <w:rFonts w:ascii="SimSun" w:hAnsi="SimSun" w:eastAsia="SimSun" w:cs="SimSun"/>
          <w:sz w:val="22"/>
          <w:szCs w:val="22"/>
          <w:spacing w:val="17"/>
        </w:rPr>
        <w:t xml:space="preserve"> </w:t>
      </w:r>
      <w:r>
        <w:rPr>
          <w:rFonts w:ascii="SimSun" w:hAnsi="SimSun" w:eastAsia="SimSun" w:cs="SimSun"/>
          <w:sz w:val="22"/>
          <w:szCs w:val="22"/>
          <w:spacing w:val="-3"/>
        </w:rPr>
        <w:t>析师、数据库管理员、数据安全管理员、元数据管理员、数据模型管理员、数据</w:t>
      </w:r>
      <w:r>
        <w:rPr>
          <w:rFonts w:ascii="SimSun" w:hAnsi="SimSun" w:eastAsia="SimSun" w:cs="SimSun"/>
          <w:sz w:val="22"/>
          <w:szCs w:val="22"/>
          <w:spacing w:val="6"/>
        </w:rPr>
        <w:t xml:space="preserve"> </w:t>
      </w:r>
      <w:r>
        <w:rPr>
          <w:rFonts w:ascii="SimSun" w:hAnsi="SimSun" w:eastAsia="SimSun" w:cs="SimSun"/>
          <w:sz w:val="22"/>
          <w:szCs w:val="22"/>
          <w:spacing w:val="-2"/>
        </w:rPr>
        <w:t>仓库架构师、数据整合架构师、商业情报分析师、数据整合开发人员和分析报表</w:t>
      </w:r>
      <w:r>
        <w:rPr>
          <w:rFonts w:ascii="SimSun" w:hAnsi="SimSun" w:eastAsia="SimSun" w:cs="SimSun"/>
          <w:sz w:val="22"/>
          <w:szCs w:val="22"/>
          <w:spacing w:val="9"/>
        </w:rPr>
        <w:t xml:space="preserve"> </w:t>
      </w:r>
      <w:r>
        <w:rPr>
          <w:rFonts w:ascii="SimSun" w:hAnsi="SimSun" w:eastAsia="SimSun" w:cs="SimSun"/>
          <w:sz w:val="22"/>
          <w:szCs w:val="22"/>
          <w:spacing w:val="-7"/>
        </w:rPr>
        <w:t>开发人员。</w:t>
      </w:r>
    </w:p>
    <w:p>
      <w:pPr>
        <w:ind w:left="249" w:firstLine="459"/>
        <w:spacing w:before="57" w:line="252" w:lineRule="auto"/>
        <w:rPr>
          <w:rFonts w:ascii="SimSun" w:hAnsi="SimSun" w:eastAsia="SimSun" w:cs="SimSun"/>
          <w:sz w:val="22"/>
          <w:szCs w:val="22"/>
        </w:rPr>
      </w:pPr>
      <w:r>
        <w:rPr>
          <w:rFonts w:ascii="SimSun" w:hAnsi="SimSun" w:eastAsia="SimSun" w:cs="SimSun"/>
          <w:sz w:val="22"/>
          <w:szCs w:val="22"/>
          <w:spacing w:val="-9"/>
        </w:rPr>
        <w:t>一些组织配备高级数据管理专员、协调型数</w:t>
      </w:r>
      <w:r>
        <w:rPr>
          <w:rFonts w:ascii="SimSun" w:hAnsi="SimSun" w:eastAsia="SimSun" w:cs="SimSun"/>
          <w:sz w:val="22"/>
          <w:szCs w:val="22"/>
          <w:spacing w:val="-10"/>
        </w:rPr>
        <w:t>据管理专员和业务数据管理专员。 </w:t>
      </w:r>
      <w:r>
        <w:rPr>
          <w:rFonts w:ascii="SimSun" w:hAnsi="SimSun" w:eastAsia="SimSun" w:cs="SimSun"/>
          <w:sz w:val="22"/>
          <w:szCs w:val="22"/>
          <w:spacing w:val="-8"/>
        </w:rPr>
        <w:t>高级数据管理专员通常是组织级和部门级委员会中的高级管理人员；协调型数据管</w:t>
      </w:r>
      <w:r>
        <w:rPr>
          <w:rFonts w:ascii="SimSun" w:hAnsi="SimSun" w:eastAsia="SimSun" w:cs="SimSun"/>
          <w:sz w:val="22"/>
          <w:szCs w:val="22"/>
          <w:spacing w:val="8"/>
        </w:rPr>
        <w:t xml:space="preserve"> </w:t>
      </w:r>
      <w:r>
        <w:rPr>
          <w:rFonts w:ascii="SimSun" w:hAnsi="SimSun" w:eastAsia="SimSun" w:cs="SimSun"/>
          <w:sz w:val="22"/>
          <w:szCs w:val="22"/>
          <w:spacing w:val="-7"/>
        </w:rPr>
        <w:t>理专员在跨团队讨论和同高级数据管理专员讨论时，领导并</w:t>
      </w:r>
      <w:r>
        <w:rPr>
          <w:rFonts w:ascii="SimSun" w:hAnsi="SimSun" w:eastAsia="SimSun" w:cs="SimSun"/>
          <w:sz w:val="22"/>
          <w:szCs w:val="22"/>
          <w:spacing w:val="-8"/>
        </w:rPr>
        <w:t>代表业务数据管理专员</w:t>
      </w:r>
      <w:r>
        <w:rPr>
          <w:rFonts w:ascii="SimSun" w:hAnsi="SimSun" w:eastAsia="SimSun" w:cs="SimSun"/>
          <w:sz w:val="22"/>
          <w:szCs w:val="22"/>
        </w:rPr>
        <w:t xml:space="preserve"> </w:t>
      </w:r>
      <w:r>
        <w:rPr>
          <w:rFonts w:ascii="SimSun" w:hAnsi="SimSun" w:eastAsia="SimSun" w:cs="SimSun"/>
          <w:sz w:val="22"/>
          <w:szCs w:val="22"/>
          <w:spacing w:val="-12"/>
        </w:rPr>
        <w:t>团队；业务数据管理专员是受认可的业务领域专家，与数据管理专业人员一同工作，</w:t>
      </w:r>
      <w:r>
        <w:rPr>
          <w:rFonts w:ascii="SimSun" w:hAnsi="SimSun" w:eastAsia="SimSun" w:cs="SimSun"/>
          <w:sz w:val="22"/>
          <w:szCs w:val="22"/>
          <w:spacing w:val="3"/>
        </w:rPr>
        <w:t xml:space="preserve"> </w:t>
      </w:r>
      <w:r>
        <w:rPr>
          <w:rFonts w:ascii="SimSun" w:hAnsi="SimSun" w:eastAsia="SimSun" w:cs="SimSun"/>
          <w:sz w:val="22"/>
          <w:szCs w:val="22"/>
          <w:spacing w:val="-13"/>
        </w:rPr>
        <w:t>持续定义和控制数据。</w:t>
      </w:r>
    </w:p>
    <w:p>
      <w:pPr>
        <w:ind w:left="713"/>
        <w:spacing w:before="198" w:line="212" w:lineRule="auto"/>
        <w:outlineLvl w:val="6"/>
        <w:rPr>
          <w:rFonts w:ascii="YouYuan" w:hAnsi="YouYuan" w:eastAsia="YouYuan" w:cs="YouYuan"/>
          <w:sz w:val="22"/>
          <w:szCs w:val="22"/>
        </w:rPr>
      </w:pPr>
      <w:r>
        <w:rPr>
          <w:rFonts w:ascii="YouYuan" w:hAnsi="YouYuan" w:eastAsia="YouYuan" w:cs="YouYuan"/>
          <w:sz w:val="22"/>
          <w:szCs w:val="22"/>
          <w:b/>
          <w:bCs/>
          <w:spacing w:val="-2"/>
        </w:rPr>
        <w:t>2.</w:t>
      </w:r>
      <w:r>
        <w:rPr>
          <w:rFonts w:ascii="YouYuan" w:hAnsi="YouYuan" w:eastAsia="YouYuan" w:cs="YouYuan"/>
          <w:sz w:val="22"/>
          <w:szCs w:val="22"/>
          <w:spacing w:val="-2"/>
        </w:rPr>
        <w:t xml:space="preserve"> </w:t>
      </w:r>
      <w:r>
        <w:rPr>
          <w:rFonts w:ascii="YouYuan" w:hAnsi="YouYuan" w:eastAsia="YouYuan" w:cs="YouYuan"/>
          <w:sz w:val="22"/>
          <w:szCs w:val="22"/>
          <w:b/>
          <w:bCs/>
          <w:spacing w:val="-2"/>
        </w:rPr>
        <w:t>任命管理者代表</w:t>
      </w:r>
    </w:p>
    <w:p>
      <w:pPr>
        <w:ind w:left="249" w:right="41" w:firstLine="459"/>
        <w:spacing w:before="229" w:line="252" w:lineRule="auto"/>
        <w:jc w:val="both"/>
        <w:rPr>
          <w:rFonts w:ascii="SimSun" w:hAnsi="SimSun" w:eastAsia="SimSun" w:cs="SimSun"/>
          <w:sz w:val="22"/>
          <w:szCs w:val="22"/>
        </w:rPr>
      </w:pPr>
      <w:r>
        <w:rPr>
          <w:rFonts w:ascii="SimSun" w:hAnsi="SimSun" w:eastAsia="SimSun" w:cs="SimSun"/>
          <w:sz w:val="22"/>
          <w:szCs w:val="22"/>
          <w:spacing w:val="1"/>
        </w:rPr>
        <w:t>云端数据治理体系管理者代表应是组织级数据治理委员会中的一员(可以兼</w:t>
      </w:r>
      <w:r>
        <w:rPr>
          <w:rFonts w:ascii="SimSun" w:hAnsi="SimSun" w:eastAsia="SimSun" w:cs="SimSun"/>
          <w:sz w:val="22"/>
          <w:szCs w:val="22"/>
          <w:spacing w:val="14"/>
        </w:rPr>
        <w:t xml:space="preserve"> </w:t>
      </w:r>
      <w:r>
        <w:rPr>
          <w:rFonts w:ascii="SimSun" w:hAnsi="SimSun" w:eastAsia="SimSun" w:cs="SimSun"/>
          <w:sz w:val="22"/>
          <w:szCs w:val="22"/>
          <w:spacing w:val="-10"/>
        </w:rPr>
        <w:t>职)。管理者代表由首席数据官任命，在云</w:t>
      </w:r>
      <w:r>
        <w:rPr>
          <w:rFonts w:ascii="SimSun" w:hAnsi="SimSun" w:eastAsia="SimSun" w:cs="SimSun"/>
          <w:sz w:val="22"/>
          <w:szCs w:val="22"/>
          <w:spacing w:val="-11"/>
        </w:rPr>
        <w:t>端数据治理体系范围内，可直接代表首席</w:t>
      </w:r>
      <w:r>
        <w:rPr>
          <w:rFonts w:ascii="SimSun" w:hAnsi="SimSun" w:eastAsia="SimSun" w:cs="SimSun"/>
          <w:sz w:val="22"/>
          <w:szCs w:val="22"/>
        </w:rPr>
        <w:t xml:space="preserve"> </w:t>
      </w:r>
      <w:r>
        <w:rPr>
          <w:rFonts w:ascii="SimSun" w:hAnsi="SimSun" w:eastAsia="SimSun" w:cs="SimSun"/>
          <w:sz w:val="22"/>
          <w:szCs w:val="22"/>
          <w:spacing w:val="-13"/>
        </w:rPr>
        <w:t>数据官协调、指导工作。</w:t>
      </w:r>
    </w:p>
    <w:p>
      <w:pPr>
        <w:ind w:left="709"/>
        <w:spacing w:before="59" w:line="219" w:lineRule="auto"/>
        <w:rPr>
          <w:rFonts w:ascii="SimSun" w:hAnsi="SimSun" w:eastAsia="SimSun" w:cs="SimSun"/>
          <w:sz w:val="22"/>
          <w:szCs w:val="22"/>
        </w:rPr>
      </w:pPr>
      <w:r>
        <w:rPr>
          <w:rFonts w:ascii="SimSun" w:hAnsi="SimSun" w:eastAsia="SimSun" w:cs="SimSun"/>
          <w:sz w:val="22"/>
          <w:szCs w:val="22"/>
          <w:spacing w:val="-11"/>
        </w:rPr>
        <w:t>云端数据治理体系管理者代表的职责包括：</w:t>
      </w:r>
    </w:p>
    <w:p>
      <w:pPr>
        <w:ind w:left="709"/>
        <w:spacing w:before="39" w:line="219" w:lineRule="auto"/>
        <w:rPr>
          <w:rFonts w:ascii="SimSun" w:hAnsi="SimSun" w:eastAsia="SimSun" w:cs="SimSun"/>
          <w:sz w:val="22"/>
          <w:szCs w:val="22"/>
        </w:rPr>
      </w:pPr>
      <w:r>
        <w:rPr>
          <w:rFonts w:ascii="SimSun" w:hAnsi="SimSun" w:eastAsia="SimSun" w:cs="SimSun"/>
          <w:sz w:val="22"/>
          <w:szCs w:val="22"/>
          <w:spacing w:val="-9"/>
        </w:rPr>
        <w:t>●建立、完善和推行云端数据治理体系，组织编制、修订、审核云端数据治理</w:t>
      </w:r>
    </w:p>
    <w:p>
      <w:pPr>
        <w:spacing w:line="219" w:lineRule="auto"/>
        <w:sectPr>
          <w:footerReference w:type="default" r:id="rId482"/>
          <w:pgSz w:w="8870" w:h="13400"/>
          <w:pgMar w:top="400" w:right="419" w:bottom="494" w:left="500" w:header="0" w:footer="276" w:gutter="0"/>
        </w:sectPr>
        <w:rPr>
          <w:rFonts w:ascii="SimSun" w:hAnsi="SimSun" w:eastAsia="SimSun" w:cs="SimSun"/>
          <w:sz w:val="22"/>
          <w:szCs w:val="22"/>
        </w:rPr>
      </w:pPr>
    </w:p>
    <w:p>
      <w:pPr>
        <w:ind w:left="4578"/>
        <w:spacing w:before="23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45" w:lineRule="auto"/>
        <w:rPr/>
      </w:pPr>
      <w:r/>
    </w:p>
    <w:p>
      <w:pPr>
        <w:ind w:left="665"/>
        <w:spacing w:before="68" w:line="219" w:lineRule="auto"/>
        <w:rPr>
          <w:rFonts w:ascii="SimSun" w:hAnsi="SimSun" w:eastAsia="SimSun" w:cs="SimSun"/>
          <w:sz w:val="21"/>
          <w:szCs w:val="21"/>
        </w:rPr>
      </w:pPr>
      <w:r>
        <w:rPr>
          <w:rFonts w:ascii="SimSun" w:hAnsi="SimSun" w:eastAsia="SimSun" w:cs="SimSun"/>
          <w:sz w:val="21"/>
          <w:szCs w:val="21"/>
          <w:spacing w:val="-2"/>
        </w:rPr>
        <w:t>体系文件、开展实施纠正、预防措施活动；</w:t>
      </w:r>
    </w:p>
    <w:p>
      <w:pPr>
        <w:ind w:left="664" w:right="177" w:hanging="240"/>
        <w:spacing w:before="58" w:line="247" w:lineRule="auto"/>
        <w:rPr>
          <w:rFonts w:ascii="SimSun" w:hAnsi="SimSun" w:eastAsia="SimSun" w:cs="SimSun"/>
          <w:sz w:val="21"/>
          <w:szCs w:val="21"/>
        </w:rPr>
      </w:pPr>
      <w:r>
        <w:rPr>
          <w:rFonts w:ascii="SimSun" w:hAnsi="SimSun" w:eastAsia="SimSun" w:cs="SimSun"/>
          <w:sz w:val="21"/>
          <w:szCs w:val="21"/>
          <w:spacing w:val="9"/>
        </w:rPr>
        <w:t>●向首席数据官和组织级数据治理委员会报告组</w:t>
      </w:r>
      <w:r>
        <w:rPr>
          <w:rFonts w:ascii="SimSun" w:hAnsi="SimSun" w:eastAsia="SimSun" w:cs="SimSun"/>
          <w:sz w:val="21"/>
          <w:szCs w:val="21"/>
          <w:spacing w:val="8"/>
        </w:rPr>
        <w:t>织目标的实现业绩及体系的</w:t>
      </w:r>
      <w:r>
        <w:rPr>
          <w:rFonts w:ascii="SimSun" w:hAnsi="SimSun" w:eastAsia="SimSun" w:cs="SimSun"/>
          <w:sz w:val="21"/>
          <w:szCs w:val="21"/>
        </w:rPr>
        <w:t xml:space="preserve"> </w:t>
      </w:r>
      <w:r>
        <w:rPr>
          <w:rFonts w:ascii="SimSun" w:hAnsi="SimSun" w:eastAsia="SimSun" w:cs="SimSun"/>
          <w:sz w:val="21"/>
          <w:szCs w:val="21"/>
          <w:spacing w:val="-2"/>
        </w:rPr>
        <w:t>运作情况，作为云端数据治理活动改进的基础；</w:t>
      </w:r>
    </w:p>
    <w:p>
      <w:pPr>
        <w:ind w:left="424"/>
        <w:spacing w:before="57" w:line="311" w:lineRule="exact"/>
        <w:rPr>
          <w:rFonts w:ascii="SimSun" w:hAnsi="SimSun" w:eastAsia="SimSun" w:cs="SimSun"/>
          <w:sz w:val="21"/>
          <w:szCs w:val="21"/>
        </w:rPr>
      </w:pPr>
      <w:r>
        <w:rPr>
          <w:rFonts w:ascii="STXingkai" w:hAnsi="STXingkai" w:eastAsia="STXingkai" w:cs="STXingkai"/>
          <w:sz w:val="21"/>
          <w:szCs w:val="21"/>
          <w:spacing w:val="-9"/>
          <w:position w:val="2"/>
        </w:rPr>
        <w:t>●</w:t>
      </w:r>
      <w:r>
        <w:rPr>
          <w:rFonts w:ascii="STXingkai" w:hAnsi="STXingkai" w:eastAsia="STXingkai" w:cs="STXingkai"/>
          <w:sz w:val="21"/>
          <w:szCs w:val="21"/>
          <w:spacing w:val="16"/>
          <w:position w:val="2"/>
        </w:rPr>
        <w:t xml:space="preserve">  </w:t>
      </w:r>
      <w:r>
        <w:rPr>
          <w:rFonts w:ascii="SimSun" w:hAnsi="SimSun" w:eastAsia="SimSun" w:cs="SimSun"/>
          <w:sz w:val="21"/>
          <w:szCs w:val="21"/>
          <w:spacing w:val="-9"/>
          <w:position w:val="2"/>
        </w:rPr>
        <w:t>帮助理解业务信息需求；</w:t>
      </w:r>
    </w:p>
    <w:p>
      <w:pPr>
        <w:ind w:left="424"/>
        <w:spacing w:before="2" w:line="219" w:lineRule="auto"/>
        <w:rPr>
          <w:rFonts w:ascii="SimSun" w:hAnsi="SimSun" w:eastAsia="SimSun" w:cs="SimSun"/>
          <w:sz w:val="21"/>
          <w:szCs w:val="21"/>
        </w:rPr>
      </w:pPr>
      <w:r>
        <w:rPr>
          <w:rFonts w:ascii="SimSun" w:hAnsi="SimSun" w:eastAsia="SimSun" w:cs="SimSun"/>
          <w:sz w:val="21"/>
          <w:szCs w:val="21"/>
          <w:spacing w:val="-1"/>
        </w:rPr>
        <w:t>●帮助部门管理者识别和任命业务数据管理员；</w:t>
      </w:r>
    </w:p>
    <w:p>
      <w:pPr>
        <w:ind w:left="424"/>
        <w:spacing w:before="80" w:line="219" w:lineRule="auto"/>
        <w:rPr>
          <w:rFonts w:ascii="SimSun" w:hAnsi="SimSun" w:eastAsia="SimSun" w:cs="SimSun"/>
          <w:sz w:val="21"/>
          <w:szCs w:val="21"/>
        </w:rPr>
      </w:pPr>
      <w:r>
        <w:rPr>
          <w:rFonts w:ascii="SimSun" w:hAnsi="SimSun" w:eastAsia="SimSun" w:cs="SimSun"/>
          <w:sz w:val="21"/>
          <w:szCs w:val="21"/>
        </w:rPr>
        <w:t>●管理和协调解决云端数据治理活动，例如云端数据质量问题；</w:t>
      </w:r>
    </w:p>
    <w:p>
      <w:pPr>
        <w:ind w:left="424"/>
        <w:spacing w:before="59" w:line="218" w:lineRule="auto"/>
        <w:rPr>
          <w:rFonts w:ascii="SimSun" w:hAnsi="SimSun" w:eastAsia="SimSun" w:cs="SimSun"/>
          <w:sz w:val="21"/>
          <w:szCs w:val="21"/>
        </w:rPr>
      </w:pPr>
      <w:r>
        <w:rPr>
          <w:rFonts w:ascii="SimSun" w:hAnsi="SimSun" w:eastAsia="SimSun" w:cs="SimSun"/>
          <w:sz w:val="21"/>
          <w:szCs w:val="21"/>
          <w:spacing w:val="-8"/>
        </w:rPr>
        <w:t>●向业务部门或多个职能区域报告数据治理情况，确保体系的各个角色的一致性；</w:t>
      </w:r>
    </w:p>
    <w:p>
      <w:pPr>
        <w:ind w:left="424"/>
        <w:spacing w:before="74" w:line="219" w:lineRule="auto"/>
        <w:rPr>
          <w:rFonts w:ascii="SimSun" w:hAnsi="SimSun" w:eastAsia="SimSun" w:cs="SimSun"/>
          <w:sz w:val="21"/>
          <w:szCs w:val="21"/>
        </w:rPr>
      </w:pPr>
      <w:r>
        <w:rPr>
          <w:rFonts w:ascii="SimSun" w:hAnsi="SimSun" w:eastAsia="SimSun" w:cs="SimSun"/>
          <w:sz w:val="21"/>
          <w:szCs w:val="21"/>
          <w:spacing w:val="1"/>
        </w:rPr>
        <w:t>●组织各级人员培训，使全体员工意识到云端数据治</w:t>
      </w:r>
      <w:r>
        <w:rPr>
          <w:rFonts w:ascii="SimSun" w:hAnsi="SimSun" w:eastAsia="SimSun" w:cs="SimSun"/>
          <w:sz w:val="21"/>
          <w:szCs w:val="21"/>
        </w:rPr>
        <w:t>理体系的重要性；</w:t>
      </w:r>
    </w:p>
    <w:p>
      <w:pPr>
        <w:ind w:left="424"/>
        <w:spacing w:before="48" w:line="311" w:lineRule="exact"/>
        <w:rPr>
          <w:rFonts w:ascii="SimSun" w:hAnsi="SimSun" w:eastAsia="SimSun" w:cs="SimSun"/>
          <w:sz w:val="21"/>
          <w:szCs w:val="21"/>
        </w:rPr>
      </w:pPr>
      <w:r>
        <w:rPr>
          <w:rFonts w:ascii="STXingkai" w:hAnsi="STXingkai" w:eastAsia="STXingkai" w:cs="STXingkai"/>
          <w:sz w:val="21"/>
          <w:szCs w:val="21"/>
          <w:spacing w:val="-6"/>
          <w:position w:val="2"/>
        </w:rPr>
        <w:t>●</w:t>
      </w:r>
      <w:r>
        <w:rPr>
          <w:rFonts w:ascii="STXingkai" w:hAnsi="STXingkai" w:eastAsia="STXingkai" w:cs="STXingkai"/>
          <w:sz w:val="21"/>
          <w:szCs w:val="21"/>
          <w:spacing w:val="21"/>
          <w:position w:val="2"/>
        </w:rPr>
        <w:t xml:space="preserve">  </w:t>
      </w:r>
      <w:r>
        <w:rPr>
          <w:rFonts w:ascii="SimSun" w:hAnsi="SimSun" w:eastAsia="SimSun" w:cs="SimSun"/>
          <w:sz w:val="21"/>
          <w:szCs w:val="21"/>
          <w:spacing w:val="-6"/>
          <w:position w:val="2"/>
        </w:rPr>
        <w:t>与云端数据治理体系有关事宜的外部联络。</w:t>
      </w:r>
    </w:p>
    <w:p>
      <w:pPr>
        <w:ind w:left="19"/>
        <w:spacing w:before="269" w:line="222" w:lineRule="auto"/>
        <w:outlineLvl w:val="5"/>
        <w:rPr>
          <w:rFonts w:ascii="SimHei" w:hAnsi="SimHei" w:eastAsia="SimHei" w:cs="SimHei"/>
          <w:sz w:val="29"/>
          <w:szCs w:val="29"/>
        </w:rPr>
      </w:pPr>
      <w:r>
        <w:rPr>
          <w:rFonts w:ascii="SimHei" w:hAnsi="SimHei" w:eastAsia="SimHei" w:cs="SimHei"/>
          <w:sz w:val="29"/>
          <w:szCs w:val="29"/>
          <w:b/>
          <w:bCs/>
          <w:spacing w:val="-8"/>
        </w:rPr>
        <w:t>11.1.4</w:t>
      </w:r>
      <w:r>
        <w:rPr>
          <w:rFonts w:ascii="SimHei" w:hAnsi="SimHei" w:eastAsia="SimHei" w:cs="SimHei"/>
          <w:sz w:val="29"/>
          <w:szCs w:val="29"/>
          <w:spacing w:val="111"/>
        </w:rPr>
        <w:t xml:space="preserve"> </w:t>
      </w:r>
      <w:r>
        <w:rPr>
          <w:rFonts w:ascii="SimHei" w:hAnsi="SimHei" w:eastAsia="SimHei" w:cs="SimHei"/>
          <w:sz w:val="29"/>
          <w:szCs w:val="29"/>
          <w:b/>
          <w:bCs/>
          <w:spacing w:val="-8"/>
        </w:rPr>
        <w:t>制订体系建设和运行计划</w:t>
      </w:r>
    </w:p>
    <w:p>
      <w:pPr>
        <w:pStyle w:val="BodyText"/>
        <w:spacing w:line="244" w:lineRule="auto"/>
        <w:rPr/>
      </w:pPr>
      <w:r/>
    </w:p>
    <w:p>
      <w:pPr>
        <w:ind w:left="424"/>
        <w:spacing w:before="69" w:line="219" w:lineRule="auto"/>
        <w:rPr>
          <w:rFonts w:ascii="SimSun" w:hAnsi="SimSun" w:eastAsia="SimSun" w:cs="SimSun"/>
          <w:sz w:val="21"/>
          <w:szCs w:val="21"/>
        </w:rPr>
      </w:pPr>
      <w:r>
        <w:rPr>
          <w:rFonts w:ascii="SimSun" w:hAnsi="SimSun" w:eastAsia="SimSun" w:cs="SimSun"/>
          <w:sz w:val="21"/>
          <w:szCs w:val="21"/>
          <w:spacing w:val="-1"/>
        </w:rPr>
        <w:t>云端数据治理体系的建立和运行推进计划见表11-1。</w:t>
      </w:r>
    </w:p>
    <w:p>
      <w:pPr>
        <w:ind w:left="1997"/>
        <w:spacing w:before="96" w:line="221" w:lineRule="auto"/>
        <w:rPr>
          <w:rFonts w:ascii="SimHei" w:hAnsi="SimHei" w:eastAsia="SimHei" w:cs="SimHei"/>
          <w:sz w:val="21"/>
          <w:szCs w:val="21"/>
        </w:rPr>
      </w:pPr>
      <w:r>
        <w:rPr>
          <w:rFonts w:ascii="SimHei" w:hAnsi="SimHei" w:eastAsia="SimHei" w:cs="SimHei"/>
          <w:sz w:val="21"/>
          <w:szCs w:val="21"/>
          <w:b/>
          <w:bCs/>
          <w:spacing w:val="-18"/>
          <w:w w:val="96"/>
        </w:rPr>
        <w:t>表11-1</w:t>
      </w:r>
      <w:r>
        <w:rPr>
          <w:rFonts w:ascii="SimHei" w:hAnsi="SimHei" w:eastAsia="SimHei" w:cs="SimHei"/>
          <w:sz w:val="21"/>
          <w:szCs w:val="21"/>
          <w:spacing w:val="65"/>
        </w:rPr>
        <w:t xml:space="preserve"> </w:t>
      </w:r>
      <w:r>
        <w:rPr>
          <w:rFonts w:ascii="SimHei" w:hAnsi="SimHei" w:eastAsia="SimHei" w:cs="SimHei"/>
          <w:sz w:val="21"/>
          <w:szCs w:val="21"/>
          <w:b/>
          <w:bCs/>
          <w:spacing w:val="-18"/>
          <w:w w:val="96"/>
        </w:rPr>
        <w:t>云端数据治理体系建设和运行计划表</w:t>
      </w:r>
    </w:p>
    <w:p>
      <w:pPr>
        <w:spacing w:line="100" w:lineRule="exact"/>
        <w:rPr/>
      </w:pPr>
      <w:r/>
    </w:p>
    <w:tbl>
      <w:tblPr>
        <w:tblStyle w:val="TableNormal"/>
        <w:tblW w:w="76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34"/>
        <w:gridCol w:w="1468"/>
        <w:gridCol w:w="3645"/>
        <w:gridCol w:w="819"/>
        <w:gridCol w:w="684"/>
      </w:tblGrid>
      <w:tr>
        <w:trPr>
          <w:trHeight w:val="344" w:hRule="atLeast"/>
        </w:trPr>
        <w:tc>
          <w:tcPr>
            <w:tcW w:w="1034" w:type="dxa"/>
            <w:vAlign w:val="top"/>
          </w:tcPr>
          <w:p>
            <w:pPr>
              <w:pStyle w:val="TableText"/>
              <w:ind w:left="205"/>
              <w:spacing w:before="101" w:line="220" w:lineRule="auto"/>
              <w:rPr/>
            </w:pPr>
            <w:r>
              <w:rPr>
                <w:spacing w:val="-3"/>
              </w:rPr>
              <w:t>阶段目标</w:t>
            </w:r>
          </w:p>
        </w:tc>
        <w:tc>
          <w:tcPr>
            <w:tcW w:w="1468" w:type="dxa"/>
            <w:vAlign w:val="top"/>
          </w:tcPr>
          <w:p>
            <w:pPr>
              <w:pStyle w:val="TableText"/>
              <w:ind w:left="461"/>
              <w:spacing w:before="101" w:line="220" w:lineRule="auto"/>
              <w:rPr/>
            </w:pPr>
            <w:r>
              <w:rPr>
                <w:spacing w:val="-5"/>
              </w:rPr>
              <w:t>项</w:t>
            </w:r>
            <w:r>
              <w:rPr>
                <w:spacing w:val="22"/>
              </w:rPr>
              <w:t xml:space="preserve">   </w:t>
            </w:r>
            <w:r>
              <w:rPr>
                <w:spacing w:val="-5"/>
              </w:rPr>
              <w:t>目</w:t>
            </w:r>
          </w:p>
        </w:tc>
        <w:tc>
          <w:tcPr>
            <w:tcW w:w="3645" w:type="dxa"/>
            <w:vAlign w:val="top"/>
          </w:tcPr>
          <w:p>
            <w:pPr>
              <w:pStyle w:val="TableText"/>
              <w:ind w:left="1403"/>
              <w:spacing w:before="101" w:line="219" w:lineRule="auto"/>
              <w:rPr/>
            </w:pPr>
            <w:r>
              <w:rPr>
                <w:spacing w:val="-10"/>
              </w:rPr>
              <w:t>工</w:t>
            </w:r>
            <w:r>
              <w:rPr>
                <w:spacing w:val="17"/>
              </w:rPr>
              <w:t xml:space="preserve"> </w:t>
            </w:r>
            <w:r>
              <w:rPr>
                <w:spacing w:val="-10"/>
              </w:rPr>
              <w:t>作</w:t>
            </w:r>
            <w:r>
              <w:rPr>
                <w:spacing w:val="34"/>
              </w:rPr>
              <w:t xml:space="preserve"> </w:t>
            </w:r>
            <w:r>
              <w:rPr>
                <w:spacing w:val="-10"/>
              </w:rPr>
              <w:t>内</w:t>
            </w:r>
            <w:r>
              <w:rPr>
                <w:spacing w:val="18"/>
              </w:rPr>
              <w:t xml:space="preserve"> </w:t>
            </w:r>
            <w:r>
              <w:rPr>
                <w:spacing w:val="-10"/>
              </w:rPr>
              <w:t>容</w:t>
            </w:r>
          </w:p>
        </w:tc>
        <w:tc>
          <w:tcPr>
            <w:tcW w:w="819" w:type="dxa"/>
            <w:vAlign w:val="top"/>
          </w:tcPr>
          <w:p>
            <w:pPr>
              <w:pStyle w:val="TableText"/>
              <w:ind w:left="188"/>
              <w:spacing w:before="101" w:line="219" w:lineRule="auto"/>
              <w:rPr/>
            </w:pPr>
            <w:r>
              <w:rPr>
                <w:spacing w:val="-3"/>
              </w:rPr>
              <w:t>负责人</w:t>
            </w:r>
          </w:p>
        </w:tc>
        <w:tc>
          <w:tcPr>
            <w:tcW w:w="684" w:type="dxa"/>
            <w:vAlign w:val="top"/>
          </w:tcPr>
          <w:p>
            <w:pPr>
              <w:pStyle w:val="TableText"/>
              <w:ind w:left="189"/>
              <w:spacing w:before="101" w:line="220" w:lineRule="auto"/>
              <w:rPr/>
            </w:pPr>
            <w:r>
              <w:rPr>
                <w:spacing w:val="8"/>
              </w:rPr>
              <w:t>日期</w:t>
            </w:r>
          </w:p>
        </w:tc>
      </w:tr>
      <w:tr>
        <w:trPr>
          <w:trHeight w:val="879" w:hRule="atLeast"/>
        </w:trPr>
        <w:tc>
          <w:tcPr>
            <w:tcW w:w="1034" w:type="dxa"/>
            <w:vAlign w:val="top"/>
            <w:vMerge w:val="restart"/>
            <w:tcBorders>
              <w:bottom w:val="nil"/>
            </w:tcBorders>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135" w:right="145" w:firstLine="69"/>
              <w:spacing w:before="49" w:line="295" w:lineRule="auto"/>
              <w:rPr/>
            </w:pPr>
            <w:r>
              <w:rPr>
                <w:spacing w:val="-2"/>
              </w:rPr>
              <w:t>建立云端</w:t>
            </w:r>
            <w:r>
              <w:rPr/>
              <w:t xml:space="preserve">  </w:t>
            </w:r>
            <w:r>
              <w:rPr>
                <w:spacing w:val="-2"/>
              </w:rPr>
              <w:t>数据治理体</w:t>
            </w:r>
            <w:r>
              <w:rPr>
                <w:spacing w:val="1"/>
              </w:rPr>
              <w:t xml:space="preserve"> </w:t>
            </w:r>
            <w:r>
              <w:rPr>
                <w:spacing w:val="-2"/>
              </w:rPr>
              <w:t>系体系文件</w:t>
            </w:r>
          </w:p>
        </w:tc>
        <w:tc>
          <w:tcPr>
            <w:tcW w:w="1468" w:type="dxa"/>
            <w:vAlign w:val="top"/>
            <w:vMerge w:val="restart"/>
            <w:tcBorders>
              <w:bottom w:val="nil"/>
            </w:tcBorders>
          </w:tcPr>
          <w:p>
            <w:pPr>
              <w:spacing w:line="336" w:lineRule="auto"/>
              <w:rPr>
                <w:rFonts w:ascii="Arial"/>
                <w:sz w:val="21"/>
              </w:rPr>
            </w:pPr>
            <w:r/>
          </w:p>
          <w:p>
            <w:pPr>
              <w:spacing w:line="337" w:lineRule="auto"/>
              <w:rPr>
                <w:rFonts w:ascii="Arial"/>
                <w:sz w:val="21"/>
              </w:rPr>
            </w:pPr>
            <w:r/>
          </w:p>
          <w:p>
            <w:pPr>
              <w:pStyle w:val="TableText"/>
              <w:ind w:left="101" w:right="144" w:firstLine="99"/>
              <w:spacing w:before="49" w:line="310" w:lineRule="auto"/>
              <w:jc w:val="both"/>
              <w:rPr/>
            </w:pPr>
            <w:r>
              <w:rPr/>
              <w:t>学习云端数据治 </w:t>
            </w:r>
            <w:r>
              <w:rPr>
                <w:spacing w:val="1"/>
              </w:rPr>
              <w:t>理相关知识，统一</w:t>
            </w:r>
            <w:r>
              <w:rPr>
                <w:spacing w:val="3"/>
              </w:rPr>
              <w:t xml:space="preserve"> </w:t>
            </w:r>
            <w:r>
              <w:rPr>
                <w:spacing w:val="1"/>
              </w:rPr>
              <w:t>意识，建立组织架 </w:t>
            </w:r>
            <w:r>
              <w:rPr>
                <w:spacing w:val="-2"/>
              </w:rPr>
              <w:t>构，提供资源</w:t>
            </w:r>
          </w:p>
        </w:tc>
        <w:tc>
          <w:tcPr>
            <w:tcW w:w="3645" w:type="dxa"/>
            <w:vAlign w:val="top"/>
          </w:tcPr>
          <w:p>
            <w:pPr>
              <w:pStyle w:val="TableText"/>
              <w:ind w:left="102" w:right="69" w:firstLine="160"/>
              <w:spacing w:before="106" w:line="282" w:lineRule="auto"/>
              <w:rPr/>
            </w:pPr>
            <w:r>
              <w:rPr>
                <w:spacing w:val="-1"/>
              </w:rPr>
              <w:t>组织各部门负责人学习云端数据治理相关知识，统</w:t>
            </w:r>
            <w:r>
              <w:rPr>
                <w:spacing w:val="13"/>
              </w:rPr>
              <w:t xml:space="preserve"> </w:t>
            </w:r>
            <w:r>
              <w:rPr/>
              <w:t>一意识，明确公司导入云端数据治理体系的意义和必</w:t>
            </w:r>
          </w:p>
          <w:p>
            <w:pPr>
              <w:pStyle w:val="TableText"/>
              <w:ind w:left="283"/>
              <w:spacing w:before="112" w:line="221" w:lineRule="auto"/>
              <w:rPr/>
            </w:pPr>
            <w:r>
              <w:rPr>
                <w:spacing w:val="-2"/>
              </w:rPr>
              <w:t>要性</w:t>
            </w:r>
          </w:p>
        </w:tc>
        <w:tc>
          <w:tcPr>
            <w:tcW w:w="819" w:type="dxa"/>
            <w:vAlign w:val="top"/>
          </w:tcPr>
          <w:p>
            <w:pPr>
              <w:rPr>
                <w:rFonts w:ascii="Arial"/>
                <w:sz w:val="21"/>
              </w:rPr>
            </w:pPr>
            <w:r/>
          </w:p>
        </w:tc>
        <w:tc>
          <w:tcPr>
            <w:tcW w:w="684" w:type="dxa"/>
            <w:vAlign w:val="top"/>
          </w:tcPr>
          <w:p>
            <w:pPr>
              <w:rPr>
                <w:rFonts w:ascii="Arial"/>
                <w:sz w:val="21"/>
              </w:rPr>
            </w:pPr>
            <w:r/>
          </w:p>
        </w:tc>
      </w:tr>
      <w:tr>
        <w:trPr>
          <w:trHeight w:val="33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98" w:line="219" w:lineRule="auto"/>
              <w:rPr/>
            </w:pPr>
            <w:r>
              <w:rPr>
                <w:spacing w:val="-1"/>
              </w:rPr>
              <w:t>批准《云端数据治理体系建立、运行推进计划》</w:t>
            </w:r>
          </w:p>
        </w:tc>
        <w:tc>
          <w:tcPr>
            <w:tcW w:w="819" w:type="dxa"/>
            <w:vAlign w:val="top"/>
          </w:tcPr>
          <w:p>
            <w:pPr>
              <w:rPr>
                <w:rFonts w:ascii="Arial"/>
                <w:sz w:val="21"/>
              </w:rPr>
            </w:pPr>
            <w:r/>
          </w:p>
        </w:tc>
        <w:tc>
          <w:tcPr>
            <w:tcW w:w="684" w:type="dxa"/>
            <w:vAlign w:val="top"/>
          </w:tcPr>
          <w:p>
            <w:pPr>
              <w:rPr>
                <w:rFonts w:ascii="Arial"/>
                <w:sz w:val="21"/>
              </w:rPr>
            </w:pPr>
            <w:r/>
          </w:p>
        </w:tc>
      </w:tr>
      <w:tr>
        <w:trPr>
          <w:trHeight w:val="59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right="60" w:hanging="20"/>
              <w:spacing w:before="109" w:line="274" w:lineRule="auto"/>
              <w:rPr/>
            </w:pPr>
            <w:r>
              <w:rPr/>
              <w:t>管理《云端数据治理体系建立、运行推进计划》的</w:t>
            </w:r>
            <w:r>
              <w:rPr>
                <w:spacing w:val="10"/>
              </w:rPr>
              <w:t xml:space="preserve"> </w:t>
            </w:r>
            <w:r>
              <w:rPr>
                <w:spacing w:val="-1"/>
              </w:rPr>
              <w:t>实施过程，评价计划的实施结果</w:t>
            </w:r>
          </w:p>
        </w:tc>
        <w:tc>
          <w:tcPr>
            <w:tcW w:w="819" w:type="dxa"/>
            <w:vAlign w:val="top"/>
          </w:tcPr>
          <w:p>
            <w:pPr>
              <w:rPr>
                <w:rFonts w:ascii="Arial"/>
                <w:sz w:val="21"/>
              </w:rPr>
            </w:pPr>
            <w:r/>
          </w:p>
        </w:tc>
        <w:tc>
          <w:tcPr>
            <w:tcW w:w="684" w:type="dxa"/>
            <w:vAlign w:val="top"/>
          </w:tcPr>
          <w:p>
            <w:pPr>
              <w:rPr>
                <w:rFonts w:ascii="Arial"/>
                <w:sz w:val="21"/>
              </w:rPr>
            </w:pPr>
            <w:r/>
          </w:p>
        </w:tc>
      </w:tr>
      <w:tr>
        <w:trPr>
          <w:trHeight w:val="60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tcBorders>
          </w:tcPr>
          <w:p>
            <w:pPr>
              <w:rPr>
                <w:rFonts w:ascii="Arial"/>
                <w:sz w:val="21"/>
              </w:rPr>
            </w:pPr>
            <w:r/>
          </w:p>
        </w:tc>
        <w:tc>
          <w:tcPr>
            <w:tcW w:w="3645" w:type="dxa"/>
            <w:vAlign w:val="top"/>
          </w:tcPr>
          <w:p>
            <w:pPr>
              <w:pStyle w:val="TableText"/>
              <w:ind w:left="102" w:firstLine="139"/>
              <w:spacing w:before="100" w:line="279" w:lineRule="auto"/>
              <w:rPr/>
            </w:pPr>
            <w:r>
              <w:rPr>
                <w:spacing w:val="-3"/>
              </w:rPr>
              <w:t>建立公司云端数据治理组织架构，批准《云端数据治</w:t>
            </w:r>
            <w:r>
              <w:rPr>
                <w:spacing w:val="10"/>
              </w:rPr>
              <w:t xml:space="preserve"> </w:t>
            </w:r>
            <w:r>
              <w:rPr>
                <w:spacing w:val="-1"/>
              </w:rPr>
              <w:t>理体系组织架构图》,提供体系建立、运行的各项资源</w:t>
            </w:r>
          </w:p>
        </w:tc>
        <w:tc>
          <w:tcPr>
            <w:tcW w:w="819" w:type="dxa"/>
            <w:vAlign w:val="top"/>
          </w:tcPr>
          <w:p>
            <w:pPr>
              <w:rPr>
                <w:rFonts w:ascii="Arial"/>
                <w:sz w:val="21"/>
              </w:rPr>
            </w:pPr>
            <w:r/>
          </w:p>
        </w:tc>
        <w:tc>
          <w:tcPr>
            <w:tcW w:w="684" w:type="dxa"/>
            <w:vAlign w:val="top"/>
          </w:tcPr>
          <w:p>
            <w:pPr>
              <w:rPr>
                <w:rFonts w:ascii="Arial"/>
                <w:sz w:val="21"/>
              </w:rPr>
            </w:pPr>
            <w:r/>
          </w:p>
        </w:tc>
      </w:tr>
      <w:tr>
        <w:trPr>
          <w:trHeight w:val="339" w:hRule="atLeast"/>
        </w:trPr>
        <w:tc>
          <w:tcPr>
            <w:tcW w:w="1034" w:type="dxa"/>
            <w:vAlign w:val="top"/>
            <w:vMerge w:val="continue"/>
            <w:tcBorders>
              <w:top w:val="nil"/>
              <w:bottom w:val="nil"/>
            </w:tcBorders>
          </w:tcPr>
          <w:p>
            <w:pPr>
              <w:rPr>
                <w:rFonts w:ascii="Arial"/>
                <w:sz w:val="21"/>
              </w:rPr>
            </w:pPr>
            <w:r/>
          </w:p>
        </w:tc>
        <w:tc>
          <w:tcPr>
            <w:tcW w:w="1468" w:type="dxa"/>
            <w:vAlign w:val="top"/>
            <w:vMerge w:val="restart"/>
            <w:tcBorders>
              <w:bottom w:val="nil"/>
            </w:tcBorders>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121" w:right="144" w:firstLine="80"/>
              <w:spacing w:before="48" w:line="282" w:lineRule="auto"/>
              <w:rPr/>
            </w:pPr>
            <w:r>
              <w:rPr>
                <w:spacing w:val="-2"/>
              </w:rPr>
              <w:t>编制、审核云端</w:t>
            </w:r>
            <w:r>
              <w:rPr>
                <w:spacing w:val="2"/>
              </w:rPr>
              <w:t xml:space="preserve">  </w:t>
            </w:r>
            <w:r>
              <w:rPr>
                <w:spacing w:val="-1"/>
              </w:rPr>
              <w:t>数据治理体系文件</w:t>
            </w:r>
          </w:p>
        </w:tc>
        <w:tc>
          <w:tcPr>
            <w:tcW w:w="3645" w:type="dxa"/>
            <w:vAlign w:val="top"/>
          </w:tcPr>
          <w:p>
            <w:pPr>
              <w:pStyle w:val="TableText"/>
              <w:ind w:left="283"/>
              <w:spacing w:before="101" w:line="219" w:lineRule="auto"/>
              <w:rPr/>
            </w:pPr>
            <w:r>
              <w:rPr>
                <w:spacing w:val="-1"/>
              </w:rPr>
              <w:t>制订、批准公司的云端数据治理战略和目标</w:t>
            </w:r>
          </w:p>
        </w:tc>
        <w:tc>
          <w:tcPr>
            <w:tcW w:w="819" w:type="dxa"/>
            <w:vAlign w:val="top"/>
          </w:tcPr>
          <w:p>
            <w:pPr>
              <w:rPr>
                <w:rFonts w:ascii="Arial"/>
                <w:sz w:val="21"/>
              </w:rPr>
            </w:pPr>
            <w:r/>
          </w:p>
        </w:tc>
        <w:tc>
          <w:tcPr>
            <w:tcW w:w="684" w:type="dxa"/>
            <w:vAlign w:val="top"/>
          </w:tcPr>
          <w:p>
            <w:pPr>
              <w:rPr>
                <w:rFonts w:ascii="Arial"/>
                <w:sz w:val="21"/>
              </w:rPr>
            </w:pPr>
            <w:r/>
          </w:p>
        </w:tc>
      </w:tr>
      <w:tr>
        <w:trPr>
          <w:trHeight w:val="57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right="64" w:hanging="20"/>
              <w:spacing w:before="101" w:line="276" w:lineRule="auto"/>
              <w:rPr/>
            </w:pPr>
            <w:r>
              <w:rPr/>
              <w:t>明确公司所有职能机构的职责和权限，确定《云端</w:t>
            </w:r>
            <w:r>
              <w:rPr>
                <w:spacing w:val="6"/>
              </w:rPr>
              <w:t xml:space="preserve"> </w:t>
            </w:r>
            <w:r>
              <w:rPr>
                <w:spacing w:val="-2"/>
              </w:rPr>
              <w:t>数据治理体系组织架构》</w:t>
            </w:r>
          </w:p>
        </w:tc>
        <w:tc>
          <w:tcPr>
            <w:tcW w:w="819" w:type="dxa"/>
            <w:vAlign w:val="top"/>
          </w:tcPr>
          <w:p>
            <w:pPr>
              <w:rPr>
                <w:rFonts w:ascii="Arial"/>
                <w:sz w:val="21"/>
              </w:rPr>
            </w:pPr>
            <w:r/>
          </w:p>
        </w:tc>
        <w:tc>
          <w:tcPr>
            <w:tcW w:w="684" w:type="dxa"/>
            <w:vAlign w:val="top"/>
          </w:tcPr>
          <w:p>
            <w:pPr>
              <w:rPr>
                <w:rFonts w:ascii="Arial"/>
                <w:sz w:val="21"/>
              </w:rPr>
            </w:pPr>
            <w:r/>
          </w:p>
        </w:tc>
      </w:tr>
      <w:tr>
        <w:trPr>
          <w:trHeight w:val="350"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3" w:line="219" w:lineRule="auto"/>
              <w:rPr/>
            </w:pPr>
            <w:r>
              <w:rPr/>
              <w:t>审核公司云端数据治理战略、目标、组织架构</w:t>
            </w:r>
          </w:p>
        </w:tc>
        <w:tc>
          <w:tcPr>
            <w:tcW w:w="819" w:type="dxa"/>
            <w:vAlign w:val="top"/>
          </w:tcPr>
          <w:p>
            <w:pPr>
              <w:rPr>
                <w:rFonts w:ascii="Arial"/>
                <w:sz w:val="21"/>
              </w:rPr>
            </w:pPr>
            <w:r/>
          </w:p>
        </w:tc>
        <w:tc>
          <w:tcPr>
            <w:tcW w:w="684" w:type="dxa"/>
            <w:vAlign w:val="top"/>
          </w:tcPr>
          <w:p>
            <w:pPr>
              <w:rPr>
                <w:rFonts w:ascii="Arial"/>
                <w:sz w:val="21"/>
              </w:rPr>
            </w:pPr>
            <w:r/>
          </w:p>
        </w:tc>
      </w:tr>
      <w:tr>
        <w:trPr>
          <w:trHeight w:val="34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3" w:line="219" w:lineRule="auto"/>
              <w:rPr/>
            </w:pPr>
            <w:r>
              <w:rPr>
                <w:spacing w:val="-1"/>
              </w:rPr>
              <w:t>批准公司云端数据治理战略、目标、组织架构</w:t>
            </w:r>
          </w:p>
        </w:tc>
        <w:tc>
          <w:tcPr>
            <w:tcW w:w="819" w:type="dxa"/>
            <w:vAlign w:val="top"/>
          </w:tcPr>
          <w:p>
            <w:pPr>
              <w:rPr>
                <w:rFonts w:ascii="Arial"/>
                <w:sz w:val="21"/>
              </w:rPr>
            </w:pPr>
            <w:r/>
          </w:p>
        </w:tc>
        <w:tc>
          <w:tcPr>
            <w:tcW w:w="684" w:type="dxa"/>
            <w:vAlign w:val="top"/>
          </w:tcPr>
          <w:p>
            <w:pPr>
              <w:rPr>
                <w:rFonts w:ascii="Arial"/>
                <w:sz w:val="21"/>
              </w:rPr>
            </w:pPr>
            <w:r/>
          </w:p>
        </w:tc>
      </w:tr>
      <w:tr>
        <w:trPr>
          <w:trHeight w:val="33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3" w:line="219" w:lineRule="auto"/>
              <w:rPr/>
            </w:pPr>
            <w:r>
              <w:rPr>
                <w:spacing w:val="-1"/>
              </w:rPr>
              <w:t>颁布公司云端数据治理战略、目标、组织架构</w:t>
            </w:r>
          </w:p>
        </w:tc>
        <w:tc>
          <w:tcPr>
            <w:tcW w:w="819" w:type="dxa"/>
            <w:vAlign w:val="top"/>
          </w:tcPr>
          <w:p>
            <w:pPr>
              <w:rPr>
                <w:rFonts w:ascii="Arial"/>
                <w:sz w:val="21"/>
              </w:rPr>
            </w:pPr>
            <w:r/>
          </w:p>
        </w:tc>
        <w:tc>
          <w:tcPr>
            <w:tcW w:w="684" w:type="dxa"/>
            <w:vAlign w:val="top"/>
          </w:tcPr>
          <w:p>
            <w:pPr>
              <w:rPr>
                <w:rFonts w:ascii="Arial"/>
                <w:sz w:val="21"/>
              </w:rPr>
            </w:pPr>
            <w:r/>
          </w:p>
        </w:tc>
      </w:tr>
      <w:tr>
        <w:trPr>
          <w:trHeight w:val="350"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5" w:line="219" w:lineRule="auto"/>
              <w:rPr/>
            </w:pPr>
            <w:r>
              <w:rPr>
                <w:spacing w:val="-1"/>
              </w:rPr>
              <w:t>组织学习培训公司云端数据治理战略、目标</w:t>
            </w:r>
          </w:p>
        </w:tc>
        <w:tc>
          <w:tcPr>
            <w:tcW w:w="819" w:type="dxa"/>
            <w:vAlign w:val="top"/>
          </w:tcPr>
          <w:p>
            <w:pPr>
              <w:rPr>
                <w:rFonts w:ascii="Arial"/>
                <w:sz w:val="21"/>
              </w:rPr>
            </w:pPr>
            <w:r/>
          </w:p>
        </w:tc>
        <w:tc>
          <w:tcPr>
            <w:tcW w:w="684" w:type="dxa"/>
            <w:vAlign w:val="top"/>
          </w:tcPr>
          <w:p>
            <w:pPr>
              <w:rPr>
                <w:rFonts w:ascii="Arial"/>
                <w:sz w:val="21"/>
              </w:rPr>
            </w:pPr>
            <w:r/>
          </w:p>
        </w:tc>
      </w:tr>
      <w:tr>
        <w:trPr>
          <w:trHeight w:val="359"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15" w:line="219" w:lineRule="auto"/>
              <w:rPr/>
            </w:pPr>
            <w:r>
              <w:rPr>
                <w:spacing w:val="-1"/>
              </w:rPr>
              <w:t>编制云端数据治理策略</w:t>
            </w:r>
          </w:p>
        </w:tc>
        <w:tc>
          <w:tcPr>
            <w:tcW w:w="819" w:type="dxa"/>
            <w:vAlign w:val="top"/>
          </w:tcPr>
          <w:p>
            <w:pPr>
              <w:rPr>
                <w:rFonts w:ascii="Arial"/>
                <w:sz w:val="21"/>
              </w:rPr>
            </w:pPr>
            <w:r/>
          </w:p>
        </w:tc>
        <w:tc>
          <w:tcPr>
            <w:tcW w:w="684" w:type="dxa"/>
            <w:vAlign w:val="top"/>
          </w:tcPr>
          <w:p>
            <w:pPr>
              <w:rPr>
                <w:rFonts w:ascii="Arial"/>
                <w:sz w:val="21"/>
              </w:rPr>
            </w:pPr>
            <w:r/>
          </w:p>
        </w:tc>
      </w:tr>
      <w:tr>
        <w:trPr>
          <w:trHeight w:val="350"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6" w:line="219" w:lineRule="auto"/>
              <w:rPr/>
            </w:pPr>
            <w:r>
              <w:rPr>
                <w:spacing w:val="-2"/>
              </w:rPr>
              <w:t>审核公司云端数据治理策略</w:t>
            </w:r>
          </w:p>
        </w:tc>
        <w:tc>
          <w:tcPr>
            <w:tcW w:w="819" w:type="dxa"/>
            <w:vAlign w:val="top"/>
          </w:tcPr>
          <w:p>
            <w:pPr>
              <w:rPr>
                <w:rFonts w:ascii="Arial"/>
                <w:sz w:val="21"/>
              </w:rPr>
            </w:pPr>
            <w:r/>
          </w:p>
        </w:tc>
        <w:tc>
          <w:tcPr>
            <w:tcW w:w="684" w:type="dxa"/>
            <w:vAlign w:val="top"/>
          </w:tcPr>
          <w:p>
            <w:pPr>
              <w:rPr>
                <w:rFonts w:ascii="Arial"/>
                <w:sz w:val="21"/>
              </w:rPr>
            </w:pPr>
            <w:r/>
          </w:p>
        </w:tc>
      </w:tr>
      <w:tr>
        <w:trPr>
          <w:trHeight w:val="340" w:hRule="atLeast"/>
        </w:trPr>
        <w:tc>
          <w:tcPr>
            <w:tcW w:w="1034" w:type="dxa"/>
            <w:vAlign w:val="top"/>
            <w:vMerge w:val="continue"/>
            <w:tcBorders>
              <w:top w:val="nil"/>
              <w:bottom w:val="nil"/>
            </w:tcBorders>
          </w:tcPr>
          <w:p>
            <w:pPr>
              <w:rPr>
                <w:rFonts w:ascii="Arial"/>
                <w:sz w:val="21"/>
              </w:rPr>
            </w:pPr>
            <w:r/>
          </w:p>
        </w:tc>
        <w:tc>
          <w:tcPr>
            <w:tcW w:w="1468" w:type="dxa"/>
            <w:vAlign w:val="top"/>
            <w:vMerge w:val="continue"/>
            <w:tcBorders>
              <w:top w:val="nil"/>
              <w:bottom w:val="nil"/>
            </w:tcBorders>
          </w:tcPr>
          <w:p>
            <w:pPr>
              <w:rPr>
                <w:rFonts w:ascii="Arial"/>
                <w:sz w:val="21"/>
              </w:rPr>
            </w:pPr>
            <w:r/>
          </w:p>
        </w:tc>
        <w:tc>
          <w:tcPr>
            <w:tcW w:w="3645" w:type="dxa"/>
            <w:vAlign w:val="top"/>
          </w:tcPr>
          <w:p>
            <w:pPr>
              <w:pStyle w:val="TableText"/>
              <w:ind w:left="283"/>
              <w:spacing w:before="106" w:line="219" w:lineRule="auto"/>
              <w:rPr/>
            </w:pPr>
            <w:r>
              <w:rPr>
                <w:spacing w:val="-1"/>
              </w:rPr>
              <w:t>批准公司云端数据治理策略</w:t>
            </w:r>
          </w:p>
        </w:tc>
        <w:tc>
          <w:tcPr>
            <w:tcW w:w="819" w:type="dxa"/>
            <w:vAlign w:val="top"/>
          </w:tcPr>
          <w:p>
            <w:pPr>
              <w:rPr>
                <w:rFonts w:ascii="Arial"/>
                <w:sz w:val="21"/>
              </w:rPr>
            </w:pPr>
            <w:r/>
          </w:p>
        </w:tc>
        <w:tc>
          <w:tcPr>
            <w:tcW w:w="684" w:type="dxa"/>
            <w:vAlign w:val="top"/>
          </w:tcPr>
          <w:p>
            <w:pPr>
              <w:rPr>
                <w:rFonts w:ascii="Arial"/>
                <w:sz w:val="21"/>
              </w:rPr>
            </w:pPr>
            <w:r/>
          </w:p>
        </w:tc>
      </w:tr>
      <w:tr>
        <w:trPr>
          <w:trHeight w:val="354" w:hRule="atLeast"/>
        </w:trPr>
        <w:tc>
          <w:tcPr>
            <w:tcW w:w="1034" w:type="dxa"/>
            <w:vAlign w:val="top"/>
            <w:vMerge w:val="continue"/>
            <w:tcBorders>
              <w:top w:val="nil"/>
            </w:tcBorders>
          </w:tcPr>
          <w:p>
            <w:pPr>
              <w:rPr>
                <w:rFonts w:ascii="Arial"/>
                <w:sz w:val="21"/>
              </w:rPr>
            </w:pPr>
            <w:r/>
          </w:p>
        </w:tc>
        <w:tc>
          <w:tcPr>
            <w:tcW w:w="1468" w:type="dxa"/>
            <w:vAlign w:val="top"/>
            <w:vMerge w:val="continue"/>
            <w:tcBorders>
              <w:top w:val="nil"/>
            </w:tcBorders>
          </w:tcPr>
          <w:p>
            <w:pPr>
              <w:rPr>
                <w:rFonts w:ascii="Arial"/>
                <w:sz w:val="21"/>
              </w:rPr>
            </w:pPr>
            <w:r/>
          </w:p>
        </w:tc>
        <w:tc>
          <w:tcPr>
            <w:tcW w:w="3645" w:type="dxa"/>
            <w:vAlign w:val="top"/>
          </w:tcPr>
          <w:p>
            <w:pPr>
              <w:pStyle w:val="TableText"/>
              <w:ind w:left="283"/>
              <w:spacing w:before="105" w:line="219" w:lineRule="auto"/>
              <w:rPr/>
            </w:pPr>
            <w:r>
              <w:rPr>
                <w:spacing w:val="-1"/>
              </w:rPr>
              <w:t>颁布公司云端数据治理策略</w:t>
            </w:r>
          </w:p>
        </w:tc>
        <w:tc>
          <w:tcPr>
            <w:tcW w:w="819" w:type="dxa"/>
            <w:vAlign w:val="top"/>
          </w:tcPr>
          <w:p>
            <w:pPr>
              <w:rPr>
                <w:rFonts w:ascii="Arial"/>
                <w:sz w:val="21"/>
              </w:rPr>
            </w:pPr>
            <w:r/>
          </w:p>
        </w:tc>
        <w:tc>
          <w:tcPr>
            <w:tcW w:w="684" w:type="dxa"/>
            <w:vAlign w:val="top"/>
          </w:tcPr>
          <w:p>
            <w:pPr>
              <w:rPr>
                <w:rFonts w:ascii="Arial"/>
                <w:sz w:val="21"/>
              </w:rPr>
            </w:pPr>
            <w:r/>
          </w:p>
        </w:tc>
      </w:tr>
    </w:tbl>
    <w:p>
      <w:pPr>
        <w:pStyle w:val="BodyText"/>
        <w:rPr/>
      </w:pPr>
      <w:r/>
    </w:p>
    <w:p>
      <w:pPr>
        <w:sectPr>
          <w:footerReference w:type="default" r:id="rId484"/>
          <w:pgSz w:w="8870" w:h="13400"/>
          <w:pgMar w:top="400" w:right="685" w:bottom="527" w:left="364" w:header="0" w:footer="319" w:gutter="0"/>
        </w:sectPr>
        <w:rPr/>
      </w:pPr>
    </w:p>
    <w:p>
      <w:pPr>
        <w:ind w:left="109"/>
        <w:spacing w:before="170"/>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338" name="IM 338"/>
            <wp:cNvGraphicFramePr/>
            <a:graphic>
              <a:graphicData uri="http://schemas.openxmlformats.org/drawingml/2006/picture">
                <pic:pic>
                  <pic:nvPicPr>
                    <pic:cNvPr id="338" name="IM 338"/>
                    <pic:cNvPicPr/>
                  </pic:nvPicPr>
                  <pic:blipFill>
                    <a:blip r:embed="rId486"/>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4"/>
        </w:rPr>
        <w:t xml:space="preserve"> </w:t>
      </w:r>
      <w:r>
        <w:rPr>
          <w:rFonts w:ascii="SimSun" w:hAnsi="SimSun" w:eastAsia="SimSun" w:cs="SimSun"/>
          <w:sz w:val="22"/>
          <w:szCs w:val="22"/>
          <w:b/>
          <w:bCs/>
          <w:spacing w:val="-29"/>
          <w:w w:val="97"/>
        </w:rPr>
        <w:t>■云端数据治理■</w:t>
      </w:r>
    </w:p>
    <w:p>
      <w:pPr>
        <w:pStyle w:val="BodyText"/>
        <w:spacing w:line="283" w:lineRule="auto"/>
        <w:rPr/>
      </w:pPr>
      <w:r/>
    </w:p>
    <w:p>
      <w:pPr>
        <w:ind w:left="7179"/>
        <w:spacing w:before="52" w:line="220" w:lineRule="auto"/>
        <w:rPr>
          <w:rFonts w:ascii="SimSun" w:hAnsi="SimSun" w:eastAsia="SimSun" w:cs="SimSun"/>
          <w:sz w:val="16"/>
          <w:szCs w:val="16"/>
        </w:rPr>
      </w:pPr>
      <w:r>
        <w:rPr>
          <w:rFonts w:ascii="SimSun" w:hAnsi="SimSun" w:eastAsia="SimSun" w:cs="SimSun"/>
          <w:sz w:val="16"/>
          <w:szCs w:val="16"/>
          <w:spacing w:val="-3"/>
        </w:rPr>
        <w:t>续表</w:t>
      </w:r>
    </w:p>
    <w:p>
      <w:pPr>
        <w:spacing w:line="27" w:lineRule="exact"/>
        <w:rPr/>
      </w:pPr>
      <w:r/>
    </w:p>
    <w:tbl>
      <w:tblPr>
        <w:tblStyle w:val="TableNormal"/>
        <w:tblW w:w="7650"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44"/>
        <w:gridCol w:w="1458"/>
        <w:gridCol w:w="3665"/>
        <w:gridCol w:w="819"/>
        <w:gridCol w:w="664"/>
      </w:tblGrid>
      <w:tr>
        <w:trPr>
          <w:trHeight w:val="345" w:hRule="atLeast"/>
        </w:trPr>
        <w:tc>
          <w:tcPr>
            <w:tcW w:w="1044" w:type="dxa"/>
            <w:vAlign w:val="top"/>
          </w:tcPr>
          <w:p>
            <w:pPr>
              <w:pStyle w:val="TableText"/>
              <w:ind w:left="214"/>
              <w:spacing w:before="101" w:line="220" w:lineRule="auto"/>
              <w:rPr/>
            </w:pPr>
            <w:r>
              <w:rPr>
                <w:spacing w:val="-3"/>
              </w:rPr>
              <w:t>阶段目标</w:t>
            </w:r>
          </w:p>
        </w:tc>
        <w:tc>
          <w:tcPr>
            <w:tcW w:w="1458" w:type="dxa"/>
            <w:vAlign w:val="top"/>
          </w:tcPr>
          <w:p>
            <w:pPr>
              <w:pStyle w:val="TableText"/>
              <w:ind w:left="421"/>
              <w:spacing w:before="101" w:line="220" w:lineRule="auto"/>
              <w:rPr/>
            </w:pPr>
            <w:r>
              <w:rPr>
                <w:spacing w:val="-5"/>
              </w:rPr>
              <w:t>项</w:t>
            </w:r>
            <w:r>
              <w:rPr>
                <w:spacing w:val="18"/>
              </w:rPr>
              <w:t xml:space="preserve">    </w:t>
            </w:r>
            <w:r>
              <w:rPr>
                <w:spacing w:val="-5"/>
              </w:rPr>
              <w:t>目</w:t>
            </w:r>
          </w:p>
        </w:tc>
        <w:tc>
          <w:tcPr>
            <w:tcW w:w="3665" w:type="dxa"/>
            <w:vAlign w:val="top"/>
          </w:tcPr>
          <w:p>
            <w:pPr>
              <w:pStyle w:val="TableText"/>
              <w:ind w:left="1423"/>
              <w:spacing w:before="101" w:line="219" w:lineRule="auto"/>
              <w:rPr/>
            </w:pPr>
            <w:r>
              <w:rPr>
                <w:spacing w:val="-10"/>
              </w:rPr>
              <w:t>工</w:t>
            </w:r>
            <w:r>
              <w:rPr>
                <w:spacing w:val="17"/>
              </w:rPr>
              <w:t xml:space="preserve"> </w:t>
            </w:r>
            <w:r>
              <w:rPr>
                <w:spacing w:val="-10"/>
              </w:rPr>
              <w:t>作</w:t>
            </w:r>
            <w:r>
              <w:rPr>
                <w:spacing w:val="34"/>
              </w:rPr>
              <w:t xml:space="preserve"> </w:t>
            </w:r>
            <w:r>
              <w:rPr>
                <w:spacing w:val="-10"/>
              </w:rPr>
              <w:t>内</w:t>
            </w:r>
            <w:r>
              <w:rPr>
                <w:spacing w:val="18"/>
              </w:rPr>
              <w:t xml:space="preserve"> </w:t>
            </w:r>
            <w:r>
              <w:rPr>
                <w:spacing w:val="-10"/>
              </w:rPr>
              <w:t>容</w:t>
            </w:r>
          </w:p>
        </w:tc>
        <w:tc>
          <w:tcPr>
            <w:tcW w:w="819" w:type="dxa"/>
            <w:vAlign w:val="top"/>
          </w:tcPr>
          <w:p>
            <w:pPr>
              <w:pStyle w:val="TableText"/>
              <w:ind w:left="178"/>
              <w:spacing w:before="101" w:line="219" w:lineRule="auto"/>
              <w:rPr/>
            </w:pPr>
            <w:r>
              <w:rPr>
                <w:spacing w:val="-3"/>
              </w:rPr>
              <w:t>负责人</w:t>
            </w:r>
          </w:p>
        </w:tc>
        <w:tc>
          <w:tcPr>
            <w:tcW w:w="664" w:type="dxa"/>
            <w:vAlign w:val="top"/>
          </w:tcPr>
          <w:p>
            <w:pPr>
              <w:pStyle w:val="TableText"/>
              <w:ind w:left="178"/>
              <w:spacing w:before="101" w:line="220" w:lineRule="auto"/>
              <w:rPr/>
            </w:pPr>
            <w:r>
              <w:rPr>
                <w:spacing w:val="8"/>
              </w:rPr>
              <w:t>日期</w:t>
            </w:r>
          </w:p>
        </w:tc>
      </w:tr>
      <w:tr>
        <w:trPr>
          <w:trHeight w:val="349" w:hRule="atLeast"/>
        </w:trPr>
        <w:tc>
          <w:tcPr>
            <w:tcW w:w="1044"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04" w:right="157" w:firstLine="160"/>
              <w:spacing w:before="49" w:line="295" w:lineRule="auto"/>
              <w:jc w:val="both"/>
              <w:rPr/>
            </w:pPr>
            <w:r>
              <w:rPr>
                <w:spacing w:val="-3"/>
              </w:rPr>
              <w:t>云端数据</w:t>
            </w:r>
            <w:r>
              <w:rPr>
                <w:spacing w:val="1"/>
              </w:rPr>
              <w:t xml:space="preserve"> </w:t>
            </w:r>
            <w:r>
              <w:rPr>
                <w:spacing w:val="4"/>
              </w:rPr>
              <w:t>治理体系的</w:t>
            </w:r>
            <w:r>
              <w:rPr/>
              <w:t xml:space="preserve"> </w:t>
            </w:r>
            <w:r>
              <w:rPr>
                <w:spacing w:val="-2"/>
              </w:rPr>
              <w:t>运行</w:t>
            </w:r>
          </w:p>
        </w:tc>
        <w:tc>
          <w:tcPr>
            <w:tcW w:w="1458" w:type="dxa"/>
            <w:vAlign w:val="top"/>
            <w:vMerge w:val="restart"/>
            <w:tcBorders>
              <w:bottom w:val="nil"/>
            </w:tcBorders>
          </w:tcPr>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20" w:right="216" w:firstLine="70"/>
              <w:spacing w:before="49" w:line="283" w:lineRule="auto"/>
              <w:rPr/>
            </w:pPr>
            <w:r>
              <w:rPr>
                <w:spacing w:val="-2"/>
              </w:rPr>
              <w:t>云端数据治理体</w:t>
            </w:r>
            <w:r>
              <w:rPr>
                <w:spacing w:val="3"/>
              </w:rPr>
              <w:t xml:space="preserve"> </w:t>
            </w:r>
            <w:r>
              <w:rPr>
                <w:spacing w:val="-2"/>
              </w:rPr>
              <w:t>系的运行</w:t>
            </w:r>
          </w:p>
        </w:tc>
        <w:tc>
          <w:tcPr>
            <w:tcW w:w="3665" w:type="dxa"/>
            <w:vAlign w:val="top"/>
          </w:tcPr>
          <w:p>
            <w:pPr>
              <w:pStyle w:val="TableText"/>
              <w:ind w:left="263"/>
              <w:spacing w:before="96" w:line="219" w:lineRule="auto"/>
              <w:rPr/>
            </w:pPr>
            <w:r>
              <w:rPr>
                <w:spacing w:val="-1"/>
              </w:rPr>
              <w:t>组织培训学习公司云端数据治理策略</w:t>
            </w:r>
          </w:p>
        </w:tc>
        <w:tc>
          <w:tcPr>
            <w:tcW w:w="819" w:type="dxa"/>
            <w:vAlign w:val="top"/>
          </w:tcPr>
          <w:p>
            <w:pPr>
              <w:rPr>
                <w:rFonts w:ascii="Arial"/>
                <w:sz w:val="21"/>
              </w:rPr>
            </w:pPr>
            <w:r/>
          </w:p>
        </w:tc>
        <w:tc>
          <w:tcPr>
            <w:tcW w:w="664" w:type="dxa"/>
            <w:vAlign w:val="top"/>
          </w:tcPr>
          <w:p>
            <w:pPr>
              <w:rPr>
                <w:rFonts w:ascii="Arial"/>
                <w:sz w:val="21"/>
              </w:rPr>
            </w:pPr>
            <w:r/>
          </w:p>
        </w:tc>
      </w:tr>
      <w:tr>
        <w:trPr>
          <w:trHeight w:val="350"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97" w:line="219" w:lineRule="auto"/>
              <w:rPr/>
            </w:pPr>
            <w:r>
              <w:rPr>
                <w:spacing w:val="-1"/>
              </w:rPr>
              <w:t>选择业务问题进行云端数据治理试点</w:t>
            </w:r>
          </w:p>
        </w:tc>
        <w:tc>
          <w:tcPr>
            <w:tcW w:w="819" w:type="dxa"/>
            <w:vAlign w:val="top"/>
          </w:tcPr>
          <w:p>
            <w:pPr>
              <w:rPr>
                <w:rFonts w:ascii="Arial"/>
                <w:sz w:val="21"/>
              </w:rPr>
            </w:pPr>
            <w:r/>
          </w:p>
        </w:tc>
        <w:tc>
          <w:tcPr>
            <w:tcW w:w="664" w:type="dxa"/>
            <w:vAlign w:val="top"/>
          </w:tcPr>
          <w:p>
            <w:pPr>
              <w:rPr>
                <w:rFonts w:ascii="Arial"/>
                <w:sz w:val="21"/>
              </w:rPr>
            </w:pPr>
            <w:r/>
          </w:p>
        </w:tc>
      </w:tr>
      <w:tr>
        <w:trPr>
          <w:trHeight w:val="879"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96" w:line="219" w:lineRule="auto"/>
              <w:rPr/>
            </w:pPr>
            <w:r>
              <w:rPr>
                <w:spacing w:val="-1"/>
              </w:rPr>
              <w:t>覆盖公司所选试点相关的职能机构和云端数据资</w:t>
            </w:r>
          </w:p>
          <w:p>
            <w:pPr>
              <w:pStyle w:val="TableText"/>
              <w:ind w:left="113"/>
              <w:spacing w:before="103" w:line="219" w:lineRule="auto"/>
              <w:rPr/>
            </w:pPr>
            <w:r>
              <w:rPr>
                <w:spacing w:val="-1"/>
              </w:rPr>
              <w:t>产，识别云端数据治理所需要的过程，并明确过程的</w:t>
            </w:r>
          </w:p>
          <w:p>
            <w:pPr>
              <w:pStyle w:val="TableText"/>
              <w:ind w:left="263"/>
              <w:spacing w:before="112" w:line="219" w:lineRule="auto"/>
              <w:rPr/>
            </w:pPr>
            <w:r>
              <w:rPr>
                <w:spacing w:val="-1"/>
              </w:rPr>
              <w:t>顺序和相互作用，确定《云端数据治理路线图》</w:t>
            </w:r>
          </w:p>
        </w:tc>
        <w:tc>
          <w:tcPr>
            <w:tcW w:w="819" w:type="dxa"/>
            <w:vAlign w:val="top"/>
          </w:tcPr>
          <w:p>
            <w:pPr>
              <w:rPr>
                <w:rFonts w:ascii="Arial"/>
                <w:sz w:val="21"/>
              </w:rPr>
            </w:pPr>
            <w:r/>
          </w:p>
        </w:tc>
        <w:tc>
          <w:tcPr>
            <w:tcW w:w="664" w:type="dxa"/>
            <w:vAlign w:val="top"/>
          </w:tcPr>
          <w:p>
            <w:pPr>
              <w:rPr>
                <w:rFonts w:ascii="Arial"/>
                <w:sz w:val="21"/>
              </w:rPr>
            </w:pPr>
            <w:r/>
          </w:p>
        </w:tc>
      </w:tr>
      <w:tr>
        <w:trPr>
          <w:trHeight w:val="859"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102" w:right="175" w:firstLine="149"/>
              <w:spacing w:before="97" w:line="276" w:lineRule="auto"/>
              <w:rPr/>
            </w:pPr>
            <w:r>
              <w:rPr>
                <w:spacing w:val="-1"/>
              </w:rPr>
              <w:t>制订和修订云端数据治理文件，包括策略和规程</w:t>
            </w:r>
            <w:r>
              <w:rPr>
                <w:spacing w:val="6"/>
              </w:rPr>
              <w:t xml:space="preserve">  </w:t>
            </w:r>
            <w:r>
              <w:rPr/>
              <w:t>(例如，数据需求管理制度、元数据管理制度、元数</w:t>
            </w:r>
          </w:p>
          <w:p>
            <w:pPr>
              <w:pStyle w:val="TableText"/>
              <w:ind w:left="263"/>
              <w:spacing w:before="102" w:line="219" w:lineRule="auto"/>
              <w:rPr/>
            </w:pPr>
            <w:r>
              <w:rPr>
                <w:spacing w:val="1"/>
              </w:rPr>
              <w:t>据管理流程、数据质量管理制度)</w:t>
            </w:r>
          </w:p>
        </w:tc>
        <w:tc>
          <w:tcPr>
            <w:tcW w:w="819" w:type="dxa"/>
            <w:vAlign w:val="top"/>
          </w:tcPr>
          <w:p>
            <w:pPr>
              <w:rPr>
                <w:rFonts w:ascii="Arial"/>
                <w:sz w:val="21"/>
              </w:rPr>
            </w:pPr>
            <w:r/>
          </w:p>
        </w:tc>
        <w:tc>
          <w:tcPr>
            <w:tcW w:w="664" w:type="dxa"/>
            <w:vAlign w:val="top"/>
          </w:tcPr>
          <w:p>
            <w:pPr>
              <w:rPr>
                <w:rFonts w:ascii="Arial"/>
                <w:sz w:val="21"/>
              </w:rPr>
            </w:pPr>
            <w:r/>
          </w:p>
        </w:tc>
      </w:tr>
      <w:tr>
        <w:trPr>
          <w:trHeight w:val="350"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99" w:line="219" w:lineRule="auto"/>
              <w:rPr/>
            </w:pPr>
            <w:r>
              <w:rPr>
                <w:spacing w:val="-1"/>
              </w:rPr>
              <w:t>审核公司云端数据治理策略和规程</w:t>
            </w:r>
          </w:p>
        </w:tc>
        <w:tc>
          <w:tcPr>
            <w:tcW w:w="819" w:type="dxa"/>
            <w:vAlign w:val="top"/>
          </w:tcPr>
          <w:p>
            <w:pPr>
              <w:rPr>
                <w:rFonts w:ascii="Arial"/>
                <w:sz w:val="21"/>
              </w:rPr>
            </w:pPr>
            <w:r/>
          </w:p>
        </w:tc>
        <w:tc>
          <w:tcPr>
            <w:tcW w:w="664" w:type="dxa"/>
            <w:vAlign w:val="top"/>
          </w:tcPr>
          <w:p>
            <w:pPr>
              <w:rPr>
                <w:rFonts w:ascii="Arial"/>
                <w:sz w:val="21"/>
              </w:rPr>
            </w:pPr>
            <w:r/>
          </w:p>
        </w:tc>
      </w:tr>
      <w:tr>
        <w:trPr>
          <w:trHeight w:val="349"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99" w:line="219" w:lineRule="auto"/>
              <w:rPr/>
            </w:pPr>
            <w:r>
              <w:rPr>
                <w:spacing w:val="-1"/>
              </w:rPr>
              <w:t>批准公司云端数据治理策略和规程</w:t>
            </w:r>
          </w:p>
        </w:tc>
        <w:tc>
          <w:tcPr>
            <w:tcW w:w="819" w:type="dxa"/>
            <w:vAlign w:val="top"/>
          </w:tcPr>
          <w:p>
            <w:pPr>
              <w:rPr>
                <w:rFonts w:ascii="Arial"/>
                <w:sz w:val="21"/>
              </w:rPr>
            </w:pPr>
            <w:r/>
          </w:p>
        </w:tc>
        <w:tc>
          <w:tcPr>
            <w:tcW w:w="664" w:type="dxa"/>
            <w:vAlign w:val="top"/>
          </w:tcPr>
          <w:p>
            <w:pPr>
              <w:rPr>
                <w:rFonts w:ascii="Arial"/>
                <w:sz w:val="21"/>
              </w:rPr>
            </w:pPr>
            <w:r/>
          </w:p>
        </w:tc>
      </w:tr>
      <w:tr>
        <w:trPr>
          <w:trHeight w:val="360"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109" w:line="219" w:lineRule="auto"/>
              <w:rPr/>
            </w:pPr>
            <w:r>
              <w:rPr>
                <w:spacing w:val="-1"/>
              </w:rPr>
              <w:t>颁布公司云端数据治理策略和规程</w:t>
            </w:r>
          </w:p>
        </w:tc>
        <w:tc>
          <w:tcPr>
            <w:tcW w:w="819" w:type="dxa"/>
            <w:vAlign w:val="top"/>
          </w:tcPr>
          <w:p>
            <w:pPr>
              <w:rPr>
                <w:rFonts w:ascii="Arial"/>
                <w:sz w:val="21"/>
              </w:rPr>
            </w:pPr>
            <w:r/>
          </w:p>
        </w:tc>
        <w:tc>
          <w:tcPr>
            <w:tcW w:w="664" w:type="dxa"/>
            <w:vAlign w:val="top"/>
          </w:tcPr>
          <w:p>
            <w:pPr>
              <w:rPr>
                <w:rFonts w:ascii="Arial"/>
                <w:sz w:val="21"/>
              </w:rPr>
            </w:pPr>
            <w:r/>
          </w:p>
        </w:tc>
      </w:tr>
      <w:tr>
        <w:trPr>
          <w:trHeight w:val="349"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bottom w:val="nil"/>
            </w:tcBorders>
          </w:tcPr>
          <w:p>
            <w:pPr>
              <w:rPr>
                <w:rFonts w:ascii="Arial"/>
                <w:sz w:val="21"/>
              </w:rPr>
            </w:pPr>
            <w:r/>
          </w:p>
        </w:tc>
        <w:tc>
          <w:tcPr>
            <w:tcW w:w="3665" w:type="dxa"/>
            <w:vAlign w:val="top"/>
          </w:tcPr>
          <w:p>
            <w:pPr>
              <w:pStyle w:val="TableText"/>
              <w:ind w:left="263"/>
              <w:spacing w:before="100" w:line="219" w:lineRule="auto"/>
              <w:rPr/>
            </w:pPr>
            <w:r>
              <w:rPr>
                <w:spacing w:val="-1"/>
              </w:rPr>
              <w:t>组织培训学习公司云端数据治理策略和规程</w:t>
            </w:r>
          </w:p>
        </w:tc>
        <w:tc>
          <w:tcPr>
            <w:tcW w:w="819" w:type="dxa"/>
            <w:vAlign w:val="top"/>
          </w:tcPr>
          <w:p>
            <w:pPr>
              <w:rPr>
                <w:rFonts w:ascii="Arial"/>
                <w:sz w:val="21"/>
              </w:rPr>
            </w:pPr>
            <w:r/>
          </w:p>
        </w:tc>
        <w:tc>
          <w:tcPr>
            <w:tcW w:w="664" w:type="dxa"/>
            <w:vAlign w:val="top"/>
          </w:tcPr>
          <w:p>
            <w:pPr>
              <w:rPr>
                <w:rFonts w:ascii="Arial"/>
                <w:sz w:val="21"/>
              </w:rPr>
            </w:pPr>
            <w:r/>
          </w:p>
        </w:tc>
      </w:tr>
      <w:tr>
        <w:trPr>
          <w:trHeight w:val="340" w:hRule="atLeast"/>
        </w:trPr>
        <w:tc>
          <w:tcPr>
            <w:tcW w:w="1044" w:type="dxa"/>
            <w:vAlign w:val="top"/>
            <w:vMerge w:val="continue"/>
            <w:tcBorders>
              <w:top w:val="nil"/>
              <w:bottom w:val="nil"/>
            </w:tcBorders>
          </w:tcPr>
          <w:p>
            <w:pPr>
              <w:rPr>
                <w:rFonts w:ascii="Arial"/>
                <w:sz w:val="21"/>
              </w:rPr>
            </w:pPr>
            <w:r/>
          </w:p>
        </w:tc>
        <w:tc>
          <w:tcPr>
            <w:tcW w:w="1458" w:type="dxa"/>
            <w:vAlign w:val="top"/>
            <w:vMerge w:val="continue"/>
            <w:tcBorders>
              <w:top w:val="nil"/>
            </w:tcBorders>
          </w:tcPr>
          <w:p>
            <w:pPr>
              <w:rPr>
                <w:rFonts w:ascii="Arial"/>
                <w:sz w:val="21"/>
              </w:rPr>
            </w:pPr>
            <w:r/>
          </w:p>
        </w:tc>
        <w:tc>
          <w:tcPr>
            <w:tcW w:w="3665" w:type="dxa"/>
            <w:vAlign w:val="top"/>
          </w:tcPr>
          <w:p>
            <w:pPr>
              <w:pStyle w:val="TableText"/>
              <w:ind w:left="263"/>
              <w:spacing w:before="101" w:line="219" w:lineRule="auto"/>
              <w:rPr/>
            </w:pPr>
            <w:r>
              <w:rPr>
                <w:spacing w:val="-2"/>
              </w:rPr>
              <w:t>实施云端数据治理</w:t>
            </w:r>
          </w:p>
        </w:tc>
        <w:tc>
          <w:tcPr>
            <w:tcW w:w="819" w:type="dxa"/>
            <w:vAlign w:val="top"/>
          </w:tcPr>
          <w:p>
            <w:pPr>
              <w:rPr>
                <w:rFonts w:ascii="Arial"/>
                <w:sz w:val="21"/>
              </w:rPr>
            </w:pPr>
            <w:r/>
          </w:p>
        </w:tc>
        <w:tc>
          <w:tcPr>
            <w:tcW w:w="664" w:type="dxa"/>
            <w:vAlign w:val="top"/>
          </w:tcPr>
          <w:p>
            <w:pPr>
              <w:rPr>
                <w:rFonts w:ascii="Arial"/>
                <w:sz w:val="21"/>
              </w:rPr>
            </w:pPr>
            <w:r/>
          </w:p>
        </w:tc>
      </w:tr>
      <w:tr>
        <w:trPr>
          <w:trHeight w:val="869" w:hRule="atLeast"/>
        </w:trPr>
        <w:tc>
          <w:tcPr>
            <w:tcW w:w="1044" w:type="dxa"/>
            <w:vAlign w:val="top"/>
            <w:vMerge w:val="continue"/>
            <w:tcBorders>
              <w:top w:val="nil"/>
              <w:bottom w:val="nil"/>
            </w:tcBorders>
          </w:tcPr>
          <w:p>
            <w:pPr>
              <w:rPr>
                <w:rFonts w:ascii="Arial"/>
                <w:sz w:val="21"/>
              </w:rPr>
            </w:pPr>
            <w:r/>
          </w:p>
        </w:tc>
        <w:tc>
          <w:tcPr>
            <w:tcW w:w="1458" w:type="dxa"/>
            <w:vAlign w:val="top"/>
          </w:tcPr>
          <w:p>
            <w:pPr>
              <w:pStyle w:val="TableText"/>
              <w:ind w:left="111" w:right="212" w:firstLine="80"/>
              <w:spacing w:before="240" w:line="282" w:lineRule="auto"/>
              <w:rPr/>
            </w:pPr>
            <w:r>
              <w:rPr>
                <w:spacing w:val="-1"/>
              </w:rPr>
              <w:t>记录、修订、完</w:t>
            </w:r>
            <w:r>
              <w:rPr/>
              <w:t xml:space="preserve"> </w:t>
            </w:r>
            <w:r>
              <w:rPr>
                <w:spacing w:val="-2"/>
              </w:rPr>
              <w:t>善体系文件</w:t>
            </w:r>
          </w:p>
        </w:tc>
        <w:tc>
          <w:tcPr>
            <w:tcW w:w="3665" w:type="dxa"/>
            <w:vAlign w:val="top"/>
          </w:tcPr>
          <w:p>
            <w:pPr>
              <w:pStyle w:val="TableText"/>
              <w:ind w:left="263"/>
              <w:spacing w:before="111" w:line="219" w:lineRule="auto"/>
              <w:rPr/>
            </w:pPr>
            <w:r>
              <w:rPr>
                <w:spacing w:val="-1"/>
              </w:rPr>
              <w:t>在云端数据治理体系运行过程中发现云端数据治</w:t>
            </w:r>
          </w:p>
          <w:p>
            <w:pPr>
              <w:pStyle w:val="TableText"/>
              <w:ind w:left="113"/>
              <w:spacing w:before="112" w:line="219" w:lineRule="auto"/>
              <w:rPr/>
            </w:pPr>
            <w:r>
              <w:rPr>
                <w:spacing w:val="-1"/>
              </w:rPr>
              <w:t>理体系文件存在的不足时，由相关部门记录，汇报项</w:t>
            </w:r>
          </w:p>
          <w:p>
            <w:pPr>
              <w:pStyle w:val="TableText"/>
              <w:ind w:left="263"/>
              <w:spacing w:before="91" w:line="219" w:lineRule="auto"/>
              <w:rPr/>
            </w:pPr>
            <w:r>
              <w:rPr/>
              <w:t>目数据治理委员会，组织修订和完善</w:t>
            </w:r>
          </w:p>
        </w:tc>
        <w:tc>
          <w:tcPr>
            <w:tcW w:w="819" w:type="dxa"/>
            <w:vAlign w:val="top"/>
          </w:tcPr>
          <w:p>
            <w:pPr>
              <w:rPr>
                <w:rFonts w:ascii="Arial"/>
                <w:sz w:val="21"/>
              </w:rPr>
            </w:pPr>
            <w:r/>
          </w:p>
        </w:tc>
        <w:tc>
          <w:tcPr>
            <w:tcW w:w="664" w:type="dxa"/>
            <w:vAlign w:val="top"/>
          </w:tcPr>
          <w:p>
            <w:pPr>
              <w:rPr>
                <w:rFonts w:ascii="Arial"/>
                <w:sz w:val="21"/>
              </w:rPr>
            </w:pPr>
            <w:r/>
          </w:p>
        </w:tc>
      </w:tr>
      <w:tr>
        <w:trPr>
          <w:trHeight w:val="589" w:hRule="atLeast"/>
        </w:trPr>
        <w:tc>
          <w:tcPr>
            <w:tcW w:w="1044" w:type="dxa"/>
            <w:vAlign w:val="top"/>
            <w:vMerge w:val="continue"/>
            <w:tcBorders>
              <w:top w:val="nil"/>
            </w:tcBorders>
          </w:tcPr>
          <w:p>
            <w:pPr>
              <w:rPr>
                <w:rFonts w:ascii="Arial"/>
                <w:sz w:val="21"/>
              </w:rPr>
            </w:pPr>
            <w:r/>
          </w:p>
        </w:tc>
        <w:tc>
          <w:tcPr>
            <w:tcW w:w="1458" w:type="dxa"/>
            <w:vAlign w:val="top"/>
          </w:tcPr>
          <w:p>
            <w:pPr>
              <w:pStyle w:val="TableText"/>
              <w:ind w:left="111" w:right="212" w:firstLine="80"/>
              <w:spacing w:before="92" w:line="288" w:lineRule="auto"/>
              <w:rPr/>
            </w:pPr>
            <w:r>
              <w:rPr>
                <w:spacing w:val="-1"/>
              </w:rPr>
              <w:t>检查体系运行的</w:t>
            </w:r>
            <w:r>
              <w:rPr/>
              <w:t xml:space="preserve"> </w:t>
            </w:r>
            <w:r>
              <w:rPr>
                <w:spacing w:val="-2"/>
              </w:rPr>
              <w:t>状况</w:t>
            </w:r>
          </w:p>
        </w:tc>
        <w:tc>
          <w:tcPr>
            <w:tcW w:w="3665" w:type="dxa"/>
            <w:vAlign w:val="top"/>
          </w:tcPr>
          <w:p>
            <w:pPr>
              <w:pStyle w:val="TableText"/>
              <w:ind w:left="263" w:right="86" w:firstLine="10"/>
              <w:spacing w:before="101" w:line="283" w:lineRule="auto"/>
              <w:rPr/>
            </w:pPr>
            <w:r>
              <w:rPr>
                <w:spacing w:val="3"/>
              </w:rPr>
              <w:t>对云端数据治理体系的运行(实施效果、符合性、 </w:t>
            </w:r>
            <w:r>
              <w:rPr>
                <w:spacing w:val="-1"/>
              </w:rPr>
              <w:t>有效性)进行一般性监视和测量</w:t>
            </w:r>
          </w:p>
        </w:tc>
        <w:tc>
          <w:tcPr>
            <w:tcW w:w="819" w:type="dxa"/>
            <w:vAlign w:val="top"/>
          </w:tcPr>
          <w:p>
            <w:pPr>
              <w:rPr>
                <w:rFonts w:ascii="Arial"/>
                <w:sz w:val="21"/>
              </w:rPr>
            </w:pPr>
            <w:r/>
          </w:p>
        </w:tc>
        <w:tc>
          <w:tcPr>
            <w:tcW w:w="664" w:type="dxa"/>
            <w:vAlign w:val="top"/>
          </w:tcPr>
          <w:p>
            <w:pPr>
              <w:rPr>
                <w:rFonts w:ascii="Arial"/>
                <w:sz w:val="21"/>
              </w:rPr>
            </w:pPr>
            <w:r/>
          </w:p>
        </w:tc>
      </w:tr>
      <w:tr>
        <w:trPr>
          <w:trHeight w:val="599" w:hRule="atLeast"/>
        </w:trPr>
        <w:tc>
          <w:tcPr>
            <w:tcW w:w="1044" w:type="dxa"/>
            <w:vAlign w:val="top"/>
            <w:vMerge w:val="restart"/>
            <w:tcBorders>
              <w:bottom w:val="nil"/>
            </w:tcBorders>
          </w:tcPr>
          <w:p>
            <w:pPr>
              <w:spacing w:line="245" w:lineRule="auto"/>
              <w:rPr>
                <w:rFonts w:ascii="Arial"/>
                <w:sz w:val="21"/>
              </w:rPr>
            </w:pPr>
            <w:r/>
          </w:p>
          <w:p>
            <w:pPr>
              <w:spacing w:line="245" w:lineRule="auto"/>
              <w:rPr>
                <w:rFonts w:ascii="Arial"/>
                <w:sz w:val="21"/>
              </w:rPr>
            </w:pPr>
            <w:r/>
          </w:p>
          <w:p>
            <w:pPr>
              <w:pStyle w:val="TableText"/>
              <w:ind w:left="115" w:right="156" w:firstLine="160"/>
              <w:spacing w:before="49" w:line="319" w:lineRule="auto"/>
              <w:jc w:val="both"/>
              <w:rPr/>
            </w:pPr>
            <w:r>
              <w:rPr>
                <w:spacing w:val="-3"/>
              </w:rPr>
              <w:t>云端数据</w:t>
            </w:r>
            <w:r>
              <w:rPr>
                <w:spacing w:val="1"/>
              </w:rPr>
              <w:t xml:space="preserve"> </w:t>
            </w:r>
            <w:r>
              <w:rPr>
                <w:spacing w:val="-2"/>
              </w:rPr>
              <w:t>治理体系运</w:t>
            </w:r>
            <w:r>
              <w:rPr/>
              <w:t xml:space="preserve"> </w:t>
            </w:r>
            <w:r>
              <w:rPr>
                <w:spacing w:val="2"/>
              </w:rPr>
              <w:t>行的监督和</w:t>
            </w:r>
            <w:r>
              <w:rPr>
                <w:spacing w:val="1"/>
              </w:rPr>
              <w:t xml:space="preserve"> </w:t>
            </w:r>
            <w:r>
              <w:rPr>
                <w:spacing w:val="-2"/>
              </w:rPr>
              <w:t>评估</w:t>
            </w:r>
          </w:p>
        </w:tc>
        <w:tc>
          <w:tcPr>
            <w:tcW w:w="1458" w:type="dxa"/>
            <w:vAlign w:val="top"/>
          </w:tcPr>
          <w:p>
            <w:pPr>
              <w:pStyle w:val="TableText"/>
              <w:ind w:left="421"/>
              <w:spacing w:before="231" w:line="218" w:lineRule="auto"/>
              <w:rPr/>
            </w:pPr>
            <w:r>
              <w:rPr>
                <w:spacing w:val="-2"/>
              </w:rPr>
              <w:t>绩效评估</w:t>
            </w:r>
          </w:p>
        </w:tc>
        <w:tc>
          <w:tcPr>
            <w:tcW w:w="3665" w:type="dxa"/>
            <w:vAlign w:val="top"/>
          </w:tcPr>
          <w:p>
            <w:pPr>
              <w:pStyle w:val="TableText"/>
              <w:ind w:left="263" w:right="89" w:firstLine="10"/>
              <w:spacing w:before="112" w:line="282" w:lineRule="auto"/>
              <w:rPr/>
            </w:pPr>
            <w:r>
              <w:rPr>
                <w:spacing w:val="-1"/>
              </w:rPr>
              <w:t>依据云端数据治理策略和规程要求，对公司的工作</w:t>
            </w:r>
            <w:r>
              <w:rPr>
                <w:spacing w:val="13"/>
              </w:rPr>
              <w:t xml:space="preserve"> </w:t>
            </w:r>
            <w:r>
              <w:rPr>
                <w:spacing w:val="-1"/>
              </w:rPr>
              <w:t>流程和云端数据治理过程绩效进行统计和分析</w:t>
            </w:r>
          </w:p>
        </w:tc>
        <w:tc>
          <w:tcPr>
            <w:tcW w:w="819" w:type="dxa"/>
            <w:vAlign w:val="top"/>
          </w:tcPr>
          <w:p>
            <w:pPr>
              <w:rPr>
                <w:rFonts w:ascii="Arial"/>
                <w:sz w:val="21"/>
              </w:rPr>
            </w:pPr>
            <w:r/>
          </w:p>
        </w:tc>
        <w:tc>
          <w:tcPr>
            <w:tcW w:w="664" w:type="dxa"/>
            <w:vAlign w:val="top"/>
          </w:tcPr>
          <w:p>
            <w:pPr>
              <w:rPr>
                <w:rFonts w:ascii="Arial"/>
                <w:sz w:val="21"/>
              </w:rPr>
            </w:pPr>
            <w:r/>
          </w:p>
        </w:tc>
      </w:tr>
      <w:tr>
        <w:trPr>
          <w:trHeight w:val="879" w:hRule="atLeast"/>
        </w:trPr>
        <w:tc>
          <w:tcPr>
            <w:tcW w:w="1044" w:type="dxa"/>
            <w:vAlign w:val="top"/>
            <w:vMerge w:val="continue"/>
            <w:tcBorders>
              <w:top w:val="nil"/>
              <w:bottom w:val="nil"/>
            </w:tcBorders>
          </w:tcPr>
          <w:p>
            <w:pPr>
              <w:rPr>
                <w:rFonts w:ascii="Arial"/>
                <w:sz w:val="21"/>
              </w:rPr>
            </w:pPr>
            <w:r/>
          </w:p>
        </w:tc>
        <w:tc>
          <w:tcPr>
            <w:tcW w:w="1458" w:type="dxa"/>
            <w:vAlign w:val="top"/>
          </w:tcPr>
          <w:p>
            <w:pPr>
              <w:spacing w:line="323" w:lineRule="auto"/>
              <w:rPr>
                <w:rFonts w:ascii="Arial"/>
                <w:sz w:val="21"/>
              </w:rPr>
            </w:pPr>
            <w:r/>
          </w:p>
          <w:p>
            <w:pPr>
              <w:pStyle w:val="TableText"/>
              <w:ind w:left="421"/>
              <w:spacing w:before="49" w:line="219" w:lineRule="auto"/>
              <w:rPr/>
            </w:pPr>
            <w:r>
              <w:rPr>
                <w:spacing w:val="1"/>
              </w:rPr>
              <w:t>内部审计</w:t>
            </w:r>
          </w:p>
        </w:tc>
        <w:tc>
          <w:tcPr>
            <w:tcW w:w="3665" w:type="dxa"/>
            <w:vAlign w:val="top"/>
          </w:tcPr>
          <w:p>
            <w:pPr>
              <w:pStyle w:val="TableText"/>
              <w:ind w:left="113" w:right="79" w:firstLine="169"/>
              <w:spacing w:before="104" w:line="288" w:lineRule="auto"/>
              <w:rPr/>
            </w:pPr>
            <w:r>
              <w:rPr>
                <w:spacing w:val="-1"/>
              </w:rPr>
              <w:t>依据相关的体系文件、云端数据治理制度、法律法</w:t>
            </w:r>
            <w:r>
              <w:rPr>
                <w:spacing w:val="13"/>
              </w:rPr>
              <w:t xml:space="preserve"> </w:t>
            </w:r>
            <w:r>
              <w:rPr>
                <w:spacing w:val="-1"/>
              </w:rPr>
              <w:t>规等，验证公司云端数据治理体系的适宜性、充分性</w:t>
            </w:r>
          </w:p>
          <w:p>
            <w:pPr>
              <w:pStyle w:val="TableText"/>
              <w:ind w:left="263"/>
              <w:spacing w:before="92" w:line="220" w:lineRule="auto"/>
              <w:rPr/>
            </w:pPr>
            <w:r>
              <w:rPr>
                <w:spacing w:val="-2"/>
              </w:rPr>
              <w:t>和有效性</w:t>
            </w:r>
          </w:p>
        </w:tc>
        <w:tc>
          <w:tcPr>
            <w:tcW w:w="819" w:type="dxa"/>
            <w:vAlign w:val="top"/>
          </w:tcPr>
          <w:p>
            <w:pPr>
              <w:rPr>
                <w:rFonts w:ascii="Arial"/>
                <w:sz w:val="21"/>
              </w:rPr>
            </w:pPr>
            <w:r/>
          </w:p>
        </w:tc>
        <w:tc>
          <w:tcPr>
            <w:tcW w:w="664" w:type="dxa"/>
            <w:vAlign w:val="top"/>
          </w:tcPr>
          <w:p>
            <w:pPr>
              <w:rPr>
                <w:rFonts w:ascii="Arial"/>
                <w:sz w:val="21"/>
              </w:rPr>
            </w:pPr>
            <w:r/>
          </w:p>
        </w:tc>
      </w:tr>
      <w:tr>
        <w:trPr>
          <w:trHeight w:val="599" w:hRule="atLeast"/>
        </w:trPr>
        <w:tc>
          <w:tcPr>
            <w:tcW w:w="1044" w:type="dxa"/>
            <w:vAlign w:val="top"/>
            <w:vMerge w:val="continue"/>
            <w:tcBorders>
              <w:top w:val="nil"/>
            </w:tcBorders>
          </w:tcPr>
          <w:p>
            <w:pPr>
              <w:rPr>
                <w:rFonts w:ascii="Arial"/>
                <w:sz w:val="21"/>
              </w:rPr>
            </w:pPr>
            <w:r/>
          </w:p>
        </w:tc>
        <w:tc>
          <w:tcPr>
            <w:tcW w:w="1458" w:type="dxa"/>
            <w:vAlign w:val="top"/>
          </w:tcPr>
          <w:p>
            <w:pPr>
              <w:pStyle w:val="TableText"/>
              <w:ind w:left="421"/>
              <w:spacing w:before="235" w:line="220" w:lineRule="auto"/>
              <w:rPr/>
            </w:pPr>
            <w:r>
              <w:rPr>
                <w:spacing w:val="-2"/>
              </w:rPr>
              <w:t>安全审计</w:t>
            </w:r>
          </w:p>
        </w:tc>
        <w:tc>
          <w:tcPr>
            <w:tcW w:w="3665" w:type="dxa"/>
            <w:vAlign w:val="top"/>
          </w:tcPr>
          <w:p>
            <w:pPr>
              <w:pStyle w:val="TableText"/>
              <w:ind w:left="263" w:right="79" w:firstLine="19"/>
              <w:spacing w:before="105" w:line="288" w:lineRule="auto"/>
              <w:rPr/>
            </w:pPr>
            <w:r>
              <w:rPr>
                <w:spacing w:val="-1"/>
              </w:rPr>
              <w:t>依据安全策略和规程要求，验证云端数据和信息资</w:t>
            </w:r>
            <w:r>
              <w:rPr>
                <w:spacing w:val="13"/>
              </w:rPr>
              <w:t xml:space="preserve"> </w:t>
            </w:r>
            <w:r>
              <w:rPr>
                <w:spacing w:val="-1"/>
              </w:rPr>
              <w:t>产的认证、授权和访问等过程的符合性</w:t>
            </w:r>
          </w:p>
        </w:tc>
        <w:tc>
          <w:tcPr>
            <w:tcW w:w="819" w:type="dxa"/>
            <w:vAlign w:val="top"/>
          </w:tcPr>
          <w:p>
            <w:pPr>
              <w:rPr>
                <w:rFonts w:ascii="Arial"/>
                <w:sz w:val="21"/>
              </w:rPr>
            </w:pPr>
            <w:r/>
          </w:p>
        </w:tc>
        <w:tc>
          <w:tcPr>
            <w:tcW w:w="664" w:type="dxa"/>
            <w:vAlign w:val="top"/>
          </w:tcPr>
          <w:p>
            <w:pPr>
              <w:rPr>
                <w:rFonts w:ascii="Arial"/>
                <w:sz w:val="21"/>
              </w:rPr>
            </w:pPr>
            <w:r/>
          </w:p>
        </w:tc>
      </w:tr>
      <w:tr>
        <w:trPr>
          <w:trHeight w:val="340" w:hRule="atLeast"/>
        </w:trPr>
        <w:tc>
          <w:tcPr>
            <w:tcW w:w="1044" w:type="dxa"/>
            <w:vAlign w:val="top"/>
            <w:vMerge w:val="restart"/>
            <w:tcBorders>
              <w:bottom w:val="nil"/>
            </w:tcBorders>
          </w:tcPr>
          <w:p>
            <w:pPr>
              <w:pStyle w:val="TableText"/>
              <w:ind w:left="104" w:right="168" w:firstLine="170"/>
              <w:spacing w:before="125" w:line="299" w:lineRule="auto"/>
              <w:jc w:val="both"/>
              <w:rPr/>
            </w:pPr>
            <w:r>
              <w:rPr>
                <w:spacing w:val="-3"/>
              </w:rPr>
              <w:t>云端数据</w:t>
            </w:r>
            <w:r>
              <w:rPr>
                <w:spacing w:val="1"/>
              </w:rPr>
              <w:t xml:space="preserve"> </w:t>
            </w:r>
            <w:r>
              <w:rPr/>
              <w:t>治理体系运 </w:t>
            </w:r>
            <w:r>
              <w:rPr>
                <w:spacing w:val="-2"/>
              </w:rPr>
              <w:t>行的改进</w:t>
            </w:r>
          </w:p>
        </w:tc>
        <w:tc>
          <w:tcPr>
            <w:tcW w:w="1458" w:type="dxa"/>
            <w:vAlign w:val="top"/>
          </w:tcPr>
          <w:p>
            <w:pPr>
              <w:pStyle w:val="TableText"/>
              <w:ind w:left="421"/>
              <w:spacing w:before="106" w:line="219" w:lineRule="auto"/>
              <w:rPr/>
            </w:pPr>
            <w:r>
              <w:rPr>
                <w:spacing w:val="2"/>
              </w:rPr>
              <w:t>改进计划</w:t>
            </w:r>
          </w:p>
        </w:tc>
        <w:tc>
          <w:tcPr>
            <w:tcW w:w="3665" w:type="dxa"/>
            <w:vAlign w:val="top"/>
          </w:tcPr>
          <w:p>
            <w:pPr>
              <w:pStyle w:val="TableText"/>
              <w:ind w:left="263"/>
              <w:spacing w:before="106" w:line="219" w:lineRule="auto"/>
              <w:rPr/>
            </w:pPr>
            <w:r>
              <w:rPr>
                <w:spacing w:val="-1"/>
              </w:rPr>
              <w:t>制订体系的改进计划</w:t>
            </w:r>
          </w:p>
        </w:tc>
        <w:tc>
          <w:tcPr>
            <w:tcW w:w="819" w:type="dxa"/>
            <w:vAlign w:val="top"/>
          </w:tcPr>
          <w:p>
            <w:pPr>
              <w:rPr>
                <w:rFonts w:ascii="Arial"/>
                <w:sz w:val="21"/>
              </w:rPr>
            </w:pPr>
            <w:r/>
          </w:p>
        </w:tc>
        <w:tc>
          <w:tcPr>
            <w:tcW w:w="664" w:type="dxa"/>
            <w:vAlign w:val="top"/>
          </w:tcPr>
          <w:p>
            <w:pPr>
              <w:rPr>
                <w:rFonts w:ascii="Arial"/>
                <w:sz w:val="21"/>
              </w:rPr>
            </w:pPr>
            <w:r/>
          </w:p>
        </w:tc>
      </w:tr>
      <w:tr>
        <w:trPr>
          <w:trHeight w:val="614" w:hRule="atLeast"/>
        </w:trPr>
        <w:tc>
          <w:tcPr>
            <w:tcW w:w="1044" w:type="dxa"/>
            <w:vAlign w:val="top"/>
            <w:vMerge w:val="continue"/>
            <w:tcBorders>
              <w:top w:val="nil"/>
            </w:tcBorders>
          </w:tcPr>
          <w:p>
            <w:pPr>
              <w:rPr>
                <w:rFonts w:ascii="Arial"/>
                <w:sz w:val="21"/>
              </w:rPr>
            </w:pPr>
            <w:r/>
          </w:p>
        </w:tc>
        <w:tc>
          <w:tcPr>
            <w:tcW w:w="1458" w:type="dxa"/>
            <w:vAlign w:val="top"/>
          </w:tcPr>
          <w:p>
            <w:pPr>
              <w:pStyle w:val="TableText"/>
              <w:ind w:left="191"/>
              <w:spacing w:before="236" w:line="219" w:lineRule="auto"/>
              <w:rPr/>
            </w:pPr>
            <w:r>
              <w:rPr>
                <w:spacing w:val="-2"/>
              </w:rPr>
              <w:t>改进计划的实施</w:t>
            </w:r>
          </w:p>
        </w:tc>
        <w:tc>
          <w:tcPr>
            <w:tcW w:w="3665" w:type="dxa"/>
            <w:vAlign w:val="top"/>
          </w:tcPr>
          <w:p>
            <w:pPr>
              <w:pStyle w:val="TableText"/>
              <w:ind w:left="263" w:right="247"/>
              <w:spacing w:before="104" w:line="289" w:lineRule="auto"/>
              <w:rPr/>
            </w:pPr>
            <w:r>
              <w:rPr>
                <w:spacing w:val="-1"/>
              </w:rPr>
              <w:t>对于绩效评估和审计活动所发现的问题提出改善</w:t>
            </w:r>
            <w:r>
              <w:rPr>
                <w:spacing w:val="14"/>
              </w:rPr>
              <w:t xml:space="preserve"> </w:t>
            </w:r>
            <w:r>
              <w:rPr>
                <w:spacing w:val="-1"/>
              </w:rPr>
              <w:t>意见，制订对策，持续改善</w:t>
            </w:r>
          </w:p>
        </w:tc>
        <w:tc>
          <w:tcPr>
            <w:tcW w:w="819" w:type="dxa"/>
            <w:vAlign w:val="top"/>
          </w:tcPr>
          <w:p>
            <w:pPr>
              <w:rPr>
                <w:rFonts w:ascii="Arial"/>
                <w:sz w:val="21"/>
              </w:rPr>
            </w:pPr>
            <w:r/>
          </w:p>
        </w:tc>
        <w:tc>
          <w:tcPr>
            <w:tcW w:w="664" w:type="dxa"/>
            <w:vAlign w:val="top"/>
          </w:tcPr>
          <w:p>
            <w:pPr>
              <w:rPr>
                <w:rFonts w:ascii="Arial"/>
                <w:sz w:val="21"/>
              </w:rPr>
            </w:pPr>
            <w:r/>
          </w:p>
        </w:tc>
      </w:tr>
    </w:tbl>
    <w:p>
      <w:pPr>
        <w:pStyle w:val="BodyText"/>
        <w:spacing w:line="337" w:lineRule="auto"/>
        <w:rPr/>
      </w:pPr>
      <w:r/>
    </w:p>
    <w:p>
      <w:pPr>
        <w:ind w:left="324"/>
        <w:spacing w:before="94" w:line="224" w:lineRule="auto"/>
        <w:outlineLvl w:val="6"/>
        <w:rPr>
          <w:rFonts w:ascii="YouYuan" w:hAnsi="YouYuan" w:eastAsia="YouYuan" w:cs="YouYuan"/>
          <w:sz w:val="29"/>
          <w:szCs w:val="29"/>
        </w:rPr>
      </w:pPr>
      <w:r>
        <w:rPr>
          <w:rFonts w:ascii="YouYuan" w:hAnsi="YouYuan" w:eastAsia="YouYuan" w:cs="YouYuan"/>
          <w:sz w:val="29"/>
          <w:szCs w:val="29"/>
          <w:b/>
          <w:bCs/>
          <w:spacing w:val="-9"/>
        </w:rPr>
        <w:t>11.1.5</w:t>
      </w:r>
      <w:r>
        <w:rPr>
          <w:rFonts w:ascii="YouYuan" w:hAnsi="YouYuan" w:eastAsia="YouYuan" w:cs="YouYuan"/>
          <w:sz w:val="29"/>
          <w:szCs w:val="29"/>
          <w:spacing w:val="119"/>
        </w:rPr>
        <w:t xml:space="preserve"> </w:t>
      </w:r>
      <w:r>
        <w:rPr>
          <w:rFonts w:ascii="YouYuan" w:hAnsi="YouYuan" w:eastAsia="YouYuan" w:cs="YouYuan"/>
          <w:sz w:val="29"/>
          <w:szCs w:val="29"/>
          <w:b/>
          <w:bCs/>
          <w:spacing w:val="-9"/>
        </w:rPr>
        <w:t>形成体系文件</w:t>
      </w:r>
    </w:p>
    <w:p>
      <w:pPr>
        <w:pStyle w:val="BodyText"/>
        <w:spacing w:line="245" w:lineRule="auto"/>
        <w:rPr/>
      </w:pPr>
      <w:r/>
    </w:p>
    <w:p>
      <w:pPr>
        <w:ind w:left="339" w:firstLine="400"/>
        <w:spacing w:before="72" w:line="245" w:lineRule="auto"/>
        <w:rPr>
          <w:rFonts w:ascii="SimSun" w:hAnsi="SimSun" w:eastAsia="SimSun" w:cs="SimSun"/>
          <w:sz w:val="22"/>
          <w:szCs w:val="22"/>
        </w:rPr>
      </w:pPr>
      <w:r>
        <w:rPr>
          <w:rFonts w:ascii="SimSun" w:hAnsi="SimSun" w:eastAsia="SimSun" w:cs="SimSun"/>
          <w:sz w:val="22"/>
          <w:szCs w:val="22"/>
          <w:spacing w:val="-8"/>
        </w:rPr>
        <w:t>组织需要制订适用于数据治理所有过程的数据策略，这些策略需要涉及云端数</w:t>
      </w:r>
      <w:r>
        <w:rPr>
          <w:rFonts w:ascii="SimSun" w:hAnsi="SimSun" w:eastAsia="SimSun" w:cs="SimSun"/>
          <w:sz w:val="22"/>
          <w:szCs w:val="22"/>
          <w:spacing w:val="10"/>
        </w:rPr>
        <w:t xml:space="preserve"> </w:t>
      </w:r>
      <w:r>
        <w:rPr>
          <w:rFonts w:ascii="SimSun" w:hAnsi="SimSun" w:eastAsia="SimSun" w:cs="SimSun"/>
          <w:sz w:val="22"/>
          <w:szCs w:val="22"/>
          <w:spacing w:val="-12"/>
        </w:rPr>
        <w:t>据治</w:t>
      </w:r>
      <w:r>
        <w:rPr>
          <w:rFonts w:ascii="SimSun" w:hAnsi="SimSun" w:eastAsia="SimSun" w:cs="SimSun"/>
          <w:sz w:val="22"/>
          <w:szCs w:val="22"/>
          <w:spacing w:val="-11"/>
        </w:rPr>
        <w:t>理的各个方面，让各部门“有法可循”,从而帮助组织建立完善</w:t>
      </w:r>
      <w:r>
        <w:rPr>
          <w:rFonts w:ascii="SimSun" w:hAnsi="SimSun" w:eastAsia="SimSun" w:cs="SimSun"/>
          <w:sz w:val="22"/>
          <w:szCs w:val="22"/>
          <w:spacing w:val="-12"/>
        </w:rPr>
        <w:t>的云端数据治</w:t>
      </w:r>
      <w:r>
        <w:rPr>
          <w:rFonts w:ascii="SimSun" w:hAnsi="SimSun" w:eastAsia="SimSun" w:cs="SimSun"/>
          <w:sz w:val="22"/>
          <w:szCs w:val="22"/>
          <w:spacing w:val="-10"/>
        </w:rPr>
        <w:t>理</w:t>
      </w:r>
    </w:p>
    <w:p>
      <w:pPr>
        <w:spacing w:line="245" w:lineRule="auto"/>
        <w:sectPr>
          <w:footerReference w:type="default" r:id="rId485"/>
          <w:pgSz w:w="8870" w:h="13400"/>
          <w:pgMar w:top="400" w:right="410" w:bottom="494" w:left="500" w:header="0" w:footer="276" w:gutter="0"/>
        </w:sectPr>
        <w:rPr>
          <w:rFonts w:ascii="SimSun" w:hAnsi="SimSun" w:eastAsia="SimSun" w:cs="SimSun"/>
          <w:sz w:val="22"/>
          <w:szCs w:val="22"/>
        </w:rPr>
      </w:pPr>
    </w:p>
    <w:p>
      <w:pPr>
        <w:ind w:left="4602"/>
        <w:spacing w:before="21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55" w:lineRule="auto"/>
        <w:rPr/>
      </w:pPr>
      <w:r/>
    </w:p>
    <w:p>
      <w:pPr>
        <w:ind w:right="242"/>
        <w:spacing w:before="68" w:line="249" w:lineRule="auto"/>
        <w:jc w:val="both"/>
        <w:rPr>
          <w:rFonts w:ascii="SimSun" w:hAnsi="SimSun" w:eastAsia="SimSun" w:cs="SimSun"/>
          <w:sz w:val="21"/>
          <w:szCs w:val="21"/>
        </w:rPr>
      </w:pPr>
      <w:r>
        <w:rPr>
          <w:rFonts w:ascii="SimSun" w:hAnsi="SimSun" w:eastAsia="SimSun" w:cs="SimSun"/>
          <w:sz w:val="21"/>
          <w:szCs w:val="21"/>
          <w:spacing w:val="2"/>
        </w:rPr>
        <w:t>机制。在流程方面，组织需要制订云端数据治理的一般流程，规范从云端数据需求</w:t>
      </w:r>
      <w:r>
        <w:rPr>
          <w:rFonts w:ascii="SimSun" w:hAnsi="SimSun" w:eastAsia="SimSun" w:cs="SimSun"/>
          <w:sz w:val="21"/>
          <w:szCs w:val="21"/>
          <w:spacing w:val="16"/>
        </w:rPr>
        <w:t xml:space="preserve"> </w:t>
      </w:r>
      <w:r>
        <w:rPr>
          <w:rFonts w:ascii="SimSun" w:hAnsi="SimSun" w:eastAsia="SimSun" w:cs="SimSun"/>
          <w:sz w:val="21"/>
          <w:szCs w:val="21"/>
          <w:spacing w:val="1"/>
        </w:rPr>
        <w:t>定义到云端数据质量检测和评估的一系列流程的具体操作。基于策划的结果，再结</w:t>
      </w:r>
      <w:r>
        <w:rPr>
          <w:rFonts w:ascii="SimSun" w:hAnsi="SimSun" w:eastAsia="SimSun" w:cs="SimSun"/>
          <w:sz w:val="21"/>
          <w:szCs w:val="21"/>
          <w:spacing w:val="15"/>
        </w:rPr>
        <w:t xml:space="preserve"> </w:t>
      </w:r>
      <w:r>
        <w:rPr>
          <w:rFonts w:ascii="SimSun" w:hAnsi="SimSun" w:eastAsia="SimSun" w:cs="SimSun"/>
          <w:sz w:val="21"/>
          <w:szCs w:val="21"/>
          <w:spacing w:val="-1"/>
        </w:rPr>
        <w:t>合组织已有的管理文件或其他管理体系，形成组织的云端数据治理体系文件。</w:t>
      </w:r>
    </w:p>
    <w:p>
      <w:pPr>
        <w:ind w:right="243" w:firstLine="449"/>
        <w:spacing w:before="89" w:line="255" w:lineRule="auto"/>
        <w:jc w:val="both"/>
        <w:rPr>
          <w:rFonts w:ascii="SimSun" w:hAnsi="SimSun" w:eastAsia="SimSun" w:cs="SimSun"/>
          <w:sz w:val="21"/>
          <w:szCs w:val="21"/>
        </w:rPr>
      </w:pPr>
      <w:r>
        <w:rPr>
          <w:rFonts w:ascii="SimSun" w:hAnsi="SimSun" w:eastAsia="SimSun" w:cs="SimSun"/>
          <w:sz w:val="21"/>
          <w:szCs w:val="21"/>
          <w:spacing w:val="2"/>
        </w:rPr>
        <w:t>组织应对文件清单进行评审，并确定每个文件后期编写</w:t>
      </w:r>
      <w:r>
        <w:rPr>
          <w:rFonts w:ascii="SimSun" w:hAnsi="SimSun" w:eastAsia="SimSun" w:cs="SimSun"/>
          <w:sz w:val="21"/>
          <w:szCs w:val="21"/>
          <w:spacing w:val="1"/>
        </w:rPr>
        <w:t>和维护的责任方。文件</w:t>
      </w:r>
      <w:r>
        <w:rPr>
          <w:rFonts w:ascii="SimSun" w:hAnsi="SimSun" w:eastAsia="SimSun" w:cs="SimSun"/>
          <w:sz w:val="21"/>
          <w:szCs w:val="21"/>
        </w:rPr>
        <w:t xml:space="preserve"> </w:t>
      </w:r>
      <w:r>
        <w:rPr>
          <w:rFonts w:ascii="SimSun" w:hAnsi="SimSun" w:eastAsia="SimSun" w:cs="SimSun"/>
          <w:sz w:val="21"/>
          <w:szCs w:val="21"/>
          <w:spacing w:val="2"/>
        </w:rPr>
        <w:t>正式开展编写前，应对所有文件的责任方开</w:t>
      </w:r>
      <w:r>
        <w:rPr>
          <w:rFonts w:ascii="SimSun" w:hAnsi="SimSun" w:eastAsia="SimSun" w:cs="SimSun"/>
          <w:sz w:val="21"/>
          <w:szCs w:val="21"/>
          <w:spacing w:val="1"/>
        </w:rPr>
        <w:t>展文件编写的培训，介绍体系文件的知</w:t>
      </w:r>
      <w:r>
        <w:rPr>
          <w:rFonts w:ascii="SimSun" w:hAnsi="SimSun" w:eastAsia="SimSun" w:cs="SimSun"/>
          <w:sz w:val="21"/>
          <w:szCs w:val="21"/>
        </w:rPr>
        <w:t xml:space="preserve"> </w:t>
      </w:r>
      <w:r>
        <w:rPr>
          <w:rFonts w:ascii="SimSun" w:hAnsi="SimSun" w:eastAsia="SimSun" w:cs="SimSun"/>
          <w:sz w:val="21"/>
          <w:szCs w:val="21"/>
          <w:spacing w:val="-2"/>
        </w:rPr>
        <w:t>识及如何编写文件。体系文件的编写主要包括以下内容。</w:t>
      </w:r>
    </w:p>
    <w:p>
      <w:pPr>
        <w:ind w:left="452"/>
        <w:spacing w:before="194" w:line="224" w:lineRule="auto"/>
        <w:outlineLvl w:val="6"/>
        <w:rPr>
          <w:rFonts w:ascii="YouYuan" w:hAnsi="YouYuan" w:eastAsia="YouYuan" w:cs="YouYuan"/>
          <w:sz w:val="21"/>
          <w:szCs w:val="21"/>
        </w:rPr>
      </w:pPr>
      <w:r>
        <w:rPr>
          <w:rFonts w:ascii="YouYuan" w:hAnsi="YouYuan" w:eastAsia="YouYuan" w:cs="YouYuan"/>
          <w:sz w:val="21"/>
          <w:szCs w:val="21"/>
          <w:b/>
          <w:bCs/>
          <w:spacing w:val="3"/>
        </w:rPr>
        <w:t>1.</w:t>
      </w:r>
      <w:r>
        <w:rPr>
          <w:rFonts w:ascii="YouYuan" w:hAnsi="YouYuan" w:eastAsia="YouYuan" w:cs="YouYuan"/>
          <w:sz w:val="21"/>
          <w:szCs w:val="21"/>
          <w:spacing w:val="3"/>
        </w:rPr>
        <w:t xml:space="preserve"> </w:t>
      </w:r>
      <w:r>
        <w:rPr>
          <w:rFonts w:ascii="YouYuan" w:hAnsi="YouYuan" w:eastAsia="YouYuan" w:cs="YouYuan"/>
          <w:sz w:val="21"/>
          <w:szCs w:val="21"/>
          <w:b/>
          <w:bCs/>
          <w:spacing w:val="3"/>
        </w:rPr>
        <w:t>制订数据策略</w:t>
      </w:r>
    </w:p>
    <w:p>
      <w:pPr>
        <w:ind w:right="240" w:firstLine="449"/>
        <w:spacing w:before="249" w:line="253" w:lineRule="auto"/>
        <w:rPr>
          <w:rFonts w:ascii="SimSun" w:hAnsi="SimSun" w:eastAsia="SimSun" w:cs="SimSun"/>
          <w:sz w:val="21"/>
          <w:szCs w:val="21"/>
        </w:rPr>
      </w:pPr>
      <w:r>
        <w:rPr>
          <w:rFonts w:ascii="SimSun" w:hAnsi="SimSun" w:eastAsia="SimSun" w:cs="SimSun"/>
          <w:sz w:val="21"/>
          <w:szCs w:val="21"/>
          <w:spacing w:val="2"/>
        </w:rPr>
        <w:t>数据策略是云端数据治理的基本法规和行动准则，</w:t>
      </w:r>
      <w:r>
        <w:rPr>
          <w:rFonts w:ascii="SimSun" w:hAnsi="SimSun" w:eastAsia="SimSun" w:cs="SimSun"/>
          <w:sz w:val="21"/>
          <w:szCs w:val="21"/>
          <w:spacing w:val="1"/>
        </w:rPr>
        <w:t>这些策略贯穿云端数据治理</w:t>
      </w:r>
      <w:r>
        <w:rPr>
          <w:rFonts w:ascii="SimSun" w:hAnsi="SimSun" w:eastAsia="SimSun" w:cs="SimSun"/>
          <w:sz w:val="21"/>
          <w:szCs w:val="21"/>
        </w:rPr>
        <w:t xml:space="preserve"> </w:t>
      </w:r>
      <w:r>
        <w:rPr>
          <w:rFonts w:ascii="SimSun" w:hAnsi="SimSun" w:eastAsia="SimSun" w:cs="SimSun"/>
          <w:sz w:val="21"/>
          <w:szCs w:val="21"/>
          <w:spacing w:val="1"/>
        </w:rPr>
        <w:t>体系的所有过程，描述了什么可以做，什么不该做。数据策略不仅为协调云端数据</w:t>
      </w:r>
      <w:r>
        <w:rPr>
          <w:rFonts w:ascii="SimSun" w:hAnsi="SimSun" w:eastAsia="SimSun" w:cs="SimSun"/>
          <w:sz w:val="21"/>
          <w:szCs w:val="21"/>
          <w:spacing w:val="15"/>
        </w:rPr>
        <w:t xml:space="preserve"> </w:t>
      </w:r>
      <w:r>
        <w:rPr>
          <w:rFonts w:ascii="SimSun" w:hAnsi="SimSun" w:eastAsia="SimSun" w:cs="SimSun"/>
          <w:sz w:val="21"/>
          <w:szCs w:val="21"/>
          <w:spacing w:val="3"/>
        </w:rPr>
        <w:t>治理体系有效运行提供了有效手段，也为云</w:t>
      </w:r>
      <w:r>
        <w:rPr>
          <w:rFonts w:ascii="SimSun" w:hAnsi="SimSun" w:eastAsia="SimSun" w:cs="SimSun"/>
          <w:sz w:val="21"/>
          <w:szCs w:val="21"/>
          <w:spacing w:val="2"/>
        </w:rPr>
        <w:t>端数据治理体系的评价和审计提供了依</w:t>
      </w:r>
      <w:r>
        <w:rPr>
          <w:rFonts w:ascii="SimSun" w:hAnsi="SimSun" w:eastAsia="SimSun" w:cs="SimSun"/>
          <w:sz w:val="21"/>
          <w:szCs w:val="21"/>
        </w:rPr>
        <w:t xml:space="preserve"> </w:t>
      </w:r>
      <w:r>
        <w:rPr>
          <w:rFonts w:ascii="SimSun" w:hAnsi="SimSun" w:eastAsia="SimSun" w:cs="SimSun"/>
          <w:sz w:val="21"/>
          <w:szCs w:val="21"/>
        </w:rPr>
        <w:t>据。数据策略的制订一般包括以下内容。</w:t>
      </w:r>
    </w:p>
    <w:p>
      <w:pPr>
        <w:ind w:left="449"/>
        <w:spacing w:before="71" w:line="219" w:lineRule="auto"/>
        <w:rPr>
          <w:rFonts w:ascii="SimSun" w:hAnsi="SimSun" w:eastAsia="SimSun" w:cs="SimSun"/>
          <w:sz w:val="21"/>
          <w:szCs w:val="21"/>
        </w:rPr>
      </w:pPr>
      <w:r>
        <w:rPr>
          <w:rFonts w:ascii="SimSun" w:hAnsi="SimSun" w:eastAsia="SimSun" w:cs="SimSun"/>
          <w:sz w:val="21"/>
          <w:szCs w:val="21"/>
          <w:spacing w:val="6"/>
        </w:rPr>
        <w:t>(1)从组织的自身需要出发制订数据策略</w:t>
      </w:r>
    </w:p>
    <w:p>
      <w:pPr>
        <w:ind w:right="222" w:firstLine="449"/>
        <w:spacing w:before="61" w:line="266" w:lineRule="auto"/>
        <w:rPr>
          <w:rFonts w:ascii="SimSun" w:hAnsi="SimSun" w:eastAsia="SimSun" w:cs="SimSun"/>
          <w:sz w:val="21"/>
          <w:szCs w:val="21"/>
        </w:rPr>
      </w:pPr>
      <w:r>
        <w:rPr>
          <w:rFonts w:ascii="SimSun" w:hAnsi="SimSun" w:eastAsia="SimSun" w:cs="SimSun"/>
          <w:sz w:val="21"/>
          <w:szCs w:val="21"/>
        </w:rPr>
        <w:t>不同的组织由于服务类型、</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rPr>
        <w:t>技术、组织规范、机构设置、管理方式、用户要 </w:t>
      </w:r>
      <w:r>
        <w:rPr>
          <w:rFonts w:ascii="SimSun" w:hAnsi="SimSun" w:eastAsia="SimSun" w:cs="SimSun"/>
          <w:sz w:val="21"/>
          <w:szCs w:val="21"/>
          <w:spacing w:val="3"/>
        </w:rPr>
        <w:t>求和组织文化等的不同，云端数据治理体系存在着</w:t>
      </w:r>
      <w:r>
        <w:rPr>
          <w:rFonts w:ascii="SimSun" w:hAnsi="SimSun" w:eastAsia="SimSun" w:cs="SimSun"/>
          <w:sz w:val="21"/>
          <w:szCs w:val="21"/>
          <w:spacing w:val="2"/>
        </w:rPr>
        <w:t>比较大的差异。数据策略应当如</w:t>
      </w:r>
      <w:r>
        <w:rPr>
          <w:rFonts w:ascii="SimSun" w:hAnsi="SimSun" w:eastAsia="SimSun" w:cs="SimSun"/>
          <w:sz w:val="21"/>
          <w:szCs w:val="21"/>
        </w:rPr>
        <w:t xml:space="preserve"> </w:t>
      </w:r>
      <w:r>
        <w:rPr>
          <w:rFonts w:ascii="SimSun" w:hAnsi="SimSun" w:eastAsia="SimSun" w:cs="SimSun"/>
          <w:sz w:val="21"/>
          <w:szCs w:val="21"/>
          <w:spacing w:val="2"/>
        </w:rPr>
        <w:t>实反映组织的特点，能够反映出组织对影响因素做出的系统的控制安排，并明确控</w:t>
      </w:r>
      <w:r>
        <w:rPr>
          <w:rFonts w:ascii="SimSun" w:hAnsi="SimSun" w:eastAsia="SimSun" w:cs="SimSun"/>
          <w:sz w:val="21"/>
          <w:szCs w:val="21"/>
          <w:spacing w:val="15"/>
        </w:rPr>
        <w:t xml:space="preserve"> </w:t>
      </w:r>
      <w:r>
        <w:rPr>
          <w:rFonts w:ascii="SimSun" w:hAnsi="SimSun" w:eastAsia="SimSun" w:cs="SimSun"/>
          <w:sz w:val="21"/>
          <w:szCs w:val="21"/>
          <w:spacing w:val="-5"/>
        </w:rPr>
        <w:t>制的重点所在。</w:t>
      </w:r>
    </w:p>
    <w:p>
      <w:pPr>
        <w:ind w:left="449"/>
        <w:spacing w:before="48" w:line="219" w:lineRule="auto"/>
        <w:rPr>
          <w:rFonts w:ascii="SimSun" w:hAnsi="SimSun" w:eastAsia="SimSun" w:cs="SimSun"/>
          <w:sz w:val="21"/>
          <w:szCs w:val="21"/>
        </w:rPr>
      </w:pPr>
      <w:r>
        <w:rPr>
          <w:rFonts w:ascii="SimSun" w:hAnsi="SimSun" w:eastAsia="SimSun" w:cs="SimSun"/>
          <w:sz w:val="21"/>
          <w:szCs w:val="21"/>
          <w:spacing w:val="5"/>
        </w:rPr>
        <w:t>(2)从总结组织在云端数据治理经验的角度出</w:t>
      </w:r>
      <w:r>
        <w:rPr>
          <w:rFonts w:ascii="SimSun" w:hAnsi="SimSun" w:eastAsia="SimSun" w:cs="SimSun"/>
          <w:sz w:val="21"/>
          <w:szCs w:val="21"/>
          <w:spacing w:val="4"/>
        </w:rPr>
        <w:t>发制订数据策略</w:t>
      </w:r>
    </w:p>
    <w:p>
      <w:pPr>
        <w:ind w:right="220" w:firstLine="449"/>
        <w:spacing w:before="61" w:line="261" w:lineRule="auto"/>
        <w:rPr>
          <w:rFonts w:ascii="SimSun" w:hAnsi="SimSun" w:eastAsia="SimSun" w:cs="SimSun"/>
          <w:sz w:val="21"/>
          <w:szCs w:val="21"/>
        </w:rPr>
      </w:pPr>
      <w:r>
        <w:rPr>
          <w:rFonts w:ascii="SimSun" w:hAnsi="SimSun" w:eastAsia="SimSun" w:cs="SimSun"/>
          <w:sz w:val="21"/>
          <w:szCs w:val="21"/>
          <w:spacing w:val="2"/>
        </w:rPr>
        <w:t>既然制订数据策略的目的在于提高云端数据治理水</w:t>
      </w:r>
      <w:r>
        <w:rPr>
          <w:rFonts w:ascii="SimSun" w:hAnsi="SimSun" w:eastAsia="SimSun" w:cs="SimSun"/>
          <w:sz w:val="21"/>
          <w:szCs w:val="21"/>
          <w:spacing w:val="1"/>
        </w:rPr>
        <w:t>平，那么在制订数据策略过</w:t>
      </w:r>
      <w:r>
        <w:rPr>
          <w:rFonts w:ascii="SimSun" w:hAnsi="SimSun" w:eastAsia="SimSun" w:cs="SimSun"/>
          <w:sz w:val="21"/>
          <w:szCs w:val="21"/>
        </w:rPr>
        <w:t xml:space="preserve"> </w:t>
      </w:r>
      <w:r>
        <w:rPr>
          <w:rFonts w:ascii="SimSun" w:hAnsi="SimSun" w:eastAsia="SimSun" w:cs="SimSun"/>
          <w:sz w:val="21"/>
          <w:szCs w:val="21"/>
          <w:spacing w:val="3"/>
        </w:rPr>
        <w:t>程中就应对以往云端数据管理工作加以总结，把以往先进的、成功的经验有机地结 </w:t>
      </w:r>
      <w:r>
        <w:rPr>
          <w:rFonts w:ascii="SimSun" w:hAnsi="SimSun" w:eastAsia="SimSun" w:cs="SimSun"/>
          <w:sz w:val="21"/>
          <w:szCs w:val="21"/>
          <w:spacing w:val="-13"/>
        </w:rPr>
        <w:t>合起来。</w:t>
      </w:r>
    </w:p>
    <w:p>
      <w:pPr>
        <w:ind w:left="449"/>
        <w:spacing w:before="49" w:line="219" w:lineRule="auto"/>
        <w:rPr>
          <w:rFonts w:ascii="SimSun" w:hAnsi="SimSun" w:eastAsia="SimSun" w:cs="SimSun"/>
          <w:sz w:val="21"/>
          <w:szCs w:val="21"/>
        </w:rPr>
      </w:pPr>
      <w:r>
        <w:rPr>
          <w:rFonts w:ascii="SimSun" w:hAnsi="SimSun" w:eastAsia="SimSun" w:cs="SimSun"/>
          <w:sz w:val="21"/>
          <w:szCs w:val="21"/>
          <w:spacing w:val="4"/>
        </w:rPr>
        <w:t>(3)从利用现有管理标准和工作标准角度出发制</w:t>
      </w:r>
      <w:r>
        <w:rPr>
          <w:rFonts w:ascii="SimSun" w:hAnsi="SimSun" w:eastAsia="SimSun" w:cs="SimSun"/>
          <w:sz w:val="21"/>
          <w:szCs w:val="21"/>
          <w:spacing w:val="3"/>
        </w:rPr>
        <w:t>订数据策略</w:t>
      </w:r>
    </w:p>
    <w:p>
      <w:pPr>
        <w:ind w:right="243" w:firstLine="449"/>
        <w:spacing w:before="71" w:line="255" w:lineRule="auto"/>
        <w:rPr>
          <w:rFonts w:ascii="SimSun" w:hAnsi="SimSun" w:eastAsia="SimSun" w:cs="SimSun"/>
          <w:sz w:val="21"/>
          <w:szCs w:val="21"/>
        </w:rPr>
      </w:pPr>
      <w:r>
        <w:rPr>
          <w:rFonts w:ascii="SimSun" w:hAnsi="SimSun" w:eastAsia="SimSun" w:cs="SimSun"/>
          <w:sz w:val="21"/>
          <w:szCs w:val="21"/>
          <w:spacing w:val="2"/>
        </w:rPr>
        <w:t>数据策略的制订是以数据规程文件为基础的，但数据</w:t>
      </w:r>
      <w:r>
        <w:rPr>
          <w:rFonts w:ascii="SimSun" w:hAnsi="SimSun" w:eastAsia="SimSun" w:cs="SimSun"/>
          <w:sz w:val="21"/>
          <w:szCs w:val="21"/>
          <w:spacing w:val="1"/>
        </w:rPr>
        <w:t>策略不可能包罗一切。数</w:t>
      </w:r>
      <w:r>
        <w:rPr>
          <w:rFonts w:ascii="SimSun" w:hAnsi="SimSun" w:eastAsia="SimSun" w:cs="SimSun"/>
          <w:sz w:val="21"/>
          <w:szCs w:val="21"/>
        </w:rPr>
        <w:t xml:space="preserve"> </w:t>
      </w:r>
      <w:r>
        <w:rPr>
          <w:rFonts w:ascii="SimSun" w:hAnsi="SimSun" w:eastAsia="SimSun" w:cs="SimSun"/>
          <w:sz w:val="21"/>
          <w:szCs w:val="21"/>
          <w:spacing w:val="-2"/>
        </w:rPr>
        <w:t>据策略常常涉及到所有方面，但是具体细节在规程文件中规定。</w:t>
      </w:r>
    </w:p>
    <w:p>
      <w:pPr>
        <w:ind w:left="449"/>
        <w:spacing w:before="60" w:line="219" w:lineRule="auto"/>
        <w:rPr>
          <w:rFonts w:ascii="SimSun" w:hAnsi="SimSun" w:eastAsia="SimSun" w:cs="SimSun"/>
          <w:sz w:val="21"/>
          <w:szCs w:val="21"/>
        </w:rPr>
      </w:pPr>
      <w:r>
        <w:rPr>
          <w:rFonts w:ascii="SimSun" w:hAnsi="SimSun" w:eastAsia="SimSun" w:cs="SimSun"/>
          <w:sz w:val="21"/>
          <w:szCs w:val="21"/>
          <w:spacing w:val="4"/>
        </w:rPr>
        <w:t>(4)从让数据管理专员积极参与的角度出发制订数据策略</w:t>
      </w:r>
    </w:p>
    <w:p>
      <w:pPr>
        <w:ind w:right="245" w:firstLine="449"/>
        <w:spacing w:before="73" w:line="249" w:lineRule="auto"/>
        <w:rPr>
          <w:rFonts w:ascii="SimSun" w:hAnsi="SimSun" w:eastAsia="SimSun" w:cs="SimSun"/>
          <w:sz w:val="21"/>
          <w:szCs w:val="21"/>
        </w:rPr>
      </w:pPr>
      <w:r>
        <w:rPr>
          <w:rFonts w:ascii="SimSun" w:hAnsi="SimSun" w:eastAsia="SimSun" w:cs="SimSun"/>
          <w:sz w:val="21"/>
          <w:szCs w:val="21"/>
          <w:spacing w:val="2"/>
        </w:rPr>
        <w:t>制订数据策略最重要的事是便于实施，而数据策略</w:t>
      </w:r>
      <w:r>
        <w:rPr>
          <w:rFonts w:ascii="SimSun" w:hAnsi="SimSun" w:eastAsia="SimSun" w:cs="SimSun"/>
          <w:sz w:val="21"/>
          <w:szCs w:val="21"/>
          <w:spacing w:val="1"/>
        </w:rPr>
        <w:t>是由数据管理专员实施。所</w:t>
      </w:r>
      <w:r>
        <w:rPr>
          <w:rFonts w:ascii="SimSun" w:hAnsi="SimSun" w:eastAsia="SimSun" w:cs="SimSun"/>
          <w:sz w:val="21"/>
          <w:szCs w:val="21"/>
        </w:rPr>
        <w:t xml:space="preserve"> </w:t>
      </w:r>
      <w:r>
        <w:rPr>
          <w:rFonts w:ascii="SimSun" w:hAnsi="SimSun" w:eastAsia="SimSun" w:cs="SimSun"/>
          <w:sz w:val="21"/>
          <w:szCs w:val="21"/>
          <w:spacing w:val="2"/>
        </w:rPr>
        <w:t>以在制订数据策略过程中应倾听组织内部全体数据管理专员的意见，并</w:t>
      </w:r>
      <w:r>
        <w:rPr>
          <w:rFonts w:ascii="SimSun" w:hAnsi="SimSun" w:eastAsia="SimSun" w:cs="SimSun"/>
          <w:sz w:val="21"/>
          <w:szCs w:val="21"/>
          <w:spacing w:val="1"/>
        </w:rPr>
        <w:t>充分发挥其</w:t>
      </w:r>
      <w:r>
        <w:rPr>
          <w:rFonts w:ascii="SimSun" w:hAnsi="SimSun" w:eastAsia="SimSun" w:cs="SimSun"/>
          <w:sz w:val="21"/>
          <w:szCs w:val="21"/>
        </w:rPr>
        <w:t xml:space="preserve"> </w:t>
      </w:r>
      <w:r>
        <w:rPr>
          <w:rFonts w:ascii="SimSun" w:hAnsi="SimSun" w:eastAsia="SimSun" w:cs="SimSun"/>
          <w:sz w:val="21"/>
          <w:szCs w:val="21"/>
          <w:spacing w:val="-7"/>
        </w:rPr>
        <w:t>积极性和创造性，</w:t>
      </w:r>
    </w:p>
    <w:p>
      <w:pPr>
        <w:ind w:left="452"/>
        <w:spacing w:before="203" w:line="224" w:lineRule="auto"/>
        <w:outlineLvl w:val="6"/>
        <w:rPr>
          <w:rFonts w:ascii="YouYuan" w:hAnsi="YouYuan" w:eastAsia="YouYuan" w:cs="YouYuan"/>
          <w:sz w:val="21"/>
          <w:szCs w:val="21"/>
        </w:rPr>
      </w:pPr>
      <w:r>
        <w:rPr>
          <w:rFonts w:ascii="YouYuan" w:hAnsi="YouYuan" w:eastAsia="YouYuan" w:cs="YouYuan"/>
          <w:sz w:val="21"/>
          <w:szCs w:val="21"/>
          <w:b/>
          <w:bCs/>
          <w:spacing w:val="7"/>
        </w:rPr>
        <w:t>2.</w:t>
      </w:r>
      <w:r>
        <w:rPr>
          <w:rFonts w:ascii="YouYuan" w:hAnsi="YouYuan" w:eastAsia="YouYuan" w:cs="YouYuan"/>
          <w:sz w:val="21"/>
          <w:szCs w:val="21"/>
          <w:spacing w:val="7"/>
        </w:rPr>
        <w:t xml:space="preserve"> </w:t>
      </w:r>
      <w:r>
        <w:rPr>
          <w:rFonts w:ascii="YouYuan" w:hAnsi="YouYuan" w:eastAsia="YouYuan" w:cs="YouYuan"/>
          <w:sz w:val="21"/>
          <w:szCs w:val="21"/>
          <w:b/>
          <w:bCs/>
          <w:spacing w:val="7"/>
        </w:rPr>
        <w:t>制订数据规程</w:t>
      </w:r>
    </w:p>
    <w:p>
      <w:pPr>
        <w:ind w:right="168" w:firstLine="449"/>
        <w:spacing w:before="201" w:line="269" w:lineRule="auto"/>
        <w:rPr>
          <w:rFonts w:ascii="SimSun" w:hAnsi="SimSun" w:eastAsia="SimSun" w:cs="SimSun"/>
          <w:sz w:val="21"/>
          <w:szCs w:val="21"/>
        </w:rPr>
      </w:pPr>
      <w:r>
        <w:rPr>
          <w:rFonts w:ascii="SimSun" w:hAnsi="SimSun" w:eastAsia="SimSun" w:cs="SimSun"/>
          <w:sz w:val="21"/>
          <w:szCs w:val="21"/>
          <w:spacing w:val="1"/>
        </w:rPr>
        <w:t>规程文件提供了一个完成任务的基本平台，将日后成功的经验与失败的教训、 </w:t>
      </w:r>
      <w:r>
        <w:rPr>
          <w:rFonts w:ascii="SimSun" w:hAnsi="SimSun" w:eastAsia="SimSun" w:cs="SimSun"/>
          <w:sz w:val="21"/>
          <w:szCs w:val="21"/>
          <w:spacing w:val="-1"/>
        </w:rPr>
        <w:t>改进发现平台中的弱点和缺点的方法、新的创新技术融入规程</w:t>
      </w:r>
      <w:r>
        <w:rPr>
          <w:rFonts w:ascii="SimSun" w:hAnsi="SimSun" w:eastAsia="SimSun" w:cs="SimSun"/>
          <w:sz w:val="21"/>
          <w:szCs w:val="21"/>
          <w:spacing w:val="-2"/>
        </w:rPr>
        <w:t>文件中，并不断改进。</w:t>
      </w:r>
      <w:r>
        <w:rPr>
          <w:rFonts w:ascii="SimSun" w:hAnsi="SimSun" w:eastAsia="SimSun" w:cs="SimSun"/>
          <w:sz w:val="21"/>
          <w:szCs w:val="21"/>
        </w:rPr>
        <w:t xml:space="preserve"> </w:t>
      </w:r>
      <w:r>
        <w:rPr>
          <w:rFonts w:ascii="SimSun" w:hAnsi="SimSun" w:eastAsia="SimSun" w:cs="SimSun"/>
          <w:sz w:val="21"/>
          <w:szCs w:val="21"/>
          <w:spacing w:val="2"/>
        </w:rPr>
        <w:t>编写规程文件的目的是指导数据管理专员高效、高速、高质完成任务。每一项数据</w:t>
      </w:r>
      <w:r>
        <w:rPr>
          <w:rFonts w:ascii="SimSun" w:hAnsi="SimSun" w:eastAsia="SimSun" w:cs="SimSun"/>
          <w:sz w:val="21"/>
          <w:szCs w:val="21"/>
        </w:rPr>
        <w:t xml:space="preserve">  </w:t>
      </w:r>
      <w:r>
        <w:rPr>
          <w:rFonts w:ascii="SimSun" w:hAnsi="SimSun" w:eastAsia="SimSun" w:cs="SimSun"/>
          <w:sz w:val="21"/>
          <w:szCs w:val="21"/>
          <w:spacing w:val="2"/>
        </w:rPr>
        <w:t>治理任务是许多活动或过程的组合，它的数据流、信息流、人流、资</w:t>
      </w:r>
      <w:r>
        <w:rPr>
          <w:rFonts w:ascii="SimSun" w:hAnsi="SimSun" w:eastAsia="SimSun" w:cs="SimSun"/>
          <w:sz w:val="21"/>
          <w:szCs w:val="21"/>
          <w:spacing w:val="1"/>
        </w:rPr>
        <w:t>金流需要经过</w:t>
      </w:r>
      <w:r>
        <w:rPr>
          <w:rFonts w:ascii="SimSun" w:hAnsi="SimSun" w:eastAsia="SimSun" w:cs="SimSun"/>
          <w:sz w:val="21"/>
          <w:szCs w:val="21"/>
        </w:rPr>
        <w:t xml:space="preserve">  </w:t>
      </w:r>
      <w:r>
        <w:rPr>
          <w:rFonts w:ascii="SimSun" w:hAnsi="SimSun" w:eastAsia="SimSun" w:cs="SimSun"/>
          <w:sz w:val="21"/>
          <w:szCs w:val="21"/>
          <w:spacing w:val="-10"/>
        </w:rPr>
        <w:t>多个职能部门。</w:t>
      </w:r>
    </w:p>
    <w:p>
      <w:pPr>
        <w:ind w:left="449"/>
        <w:spacing w:before="71" w:line="219" w:lineRule="auto"/>
        <w:rPr>
          <w:rFonts w:ascii="SimSun" w:hAnsi="SimSun" w:eastAsia="SimSun" w:cs="SimSun"/>
          <w:sz w:val="21"/>
          <w:szCs w:val="21"/>
        </w:rPr>
      </w:pPr>
      <w:r>
        <w:rPr>
          <w:rFonts w:ascii="SimSun" w:hAnsi="SimSun" w:eastAsia="SimSun" w:cs="SimSun"/>
          <w:sz w:val="21"/>
          <w:szCs w:val="21"/>
          <w:spacing w:val="8"/>
        </w:rPr>
        <w:t>在云端数据治理体系中，数据规程是云端数据治理的程序，是完成某项具体</w:t>
      </w:r>
    </w:p>
    <w:p>
      <w:pPr>
        <w:spacing w:line="219" w:lineRule="auto"/>
        <w:sectPr>
          <w:footerReference w:type="default" r:id="rId487"/>
          <w:pgSz w:w="8870" w:h="13400"/>
          <w:pgMar w:top="400" w:right="677" w:bottom="568" w:left="299" w:header="0" w:footer="358" w:gutter="0"/>
        </w:sectPr>
        <w:rPr>
          <w:rFonts w:ascii="SimSun" w:hAnsi="SimSun" w:eastAsia="SimSun" w:cs="SimSun"/>
          <w:sz w:val="21"/>
          <w:szCs w:val="21"/>
        </w:rPr>
      </w:pPr>
    </w:p>
    <w:p>
      <w:pPr>
        <w:ind w:left="242"/>
        <w:spacing w:before="226" w:line="219" w:lineRule="auto"/>
        <w:rPr>
          <w:rFonts w:ascii="SimSun" w:hAnsi="SimSun" w:eastAsia="SimSun" w:cs="SimSun"/>
          <w:sz w:val="22"/>
          <w:szCs w:val="22"/>
        </w:rPr>
      </w:pPr>
      <w:r>
        <w:pict>
          <v:rect id="_x0000_s528" style="position:absolute;margin-left:33.0008pt;margin-top:27.9993pt;mso-position-vertical-relative:page;mso-position-horizontal-relative:page;width:0.55pt;height:17.55pt;z-index:258354176;" o:allowincell="f" fillcolor="#000000" filled="true" stroked="false"/>
        </w:pict>
      </w:r>
      <w:r>
        <w:rPr>
          <w:rFonts w:ascii="SimSun" w:hAnsi="SimSun" w:eastAsia="SimSun" w:cs="SimSun"/>
          <w:sz w:val="22"/>
          <w:szCs w:val="22"/>
          <w:b/>
          <w:bCs/>
          <w:spacing w:val="-14"/>
        </w:rPr>
        <w:t>■云端数据治理</w:t>
      </w:r>
    </w:p>
    <w:p>
      <w:pPr>
        <w:ind w:left="239" w:right="73"/>
        <w:spacing w:before="311" w:line="250" w:lineRule="auto"/>
        <w:rPr>
          <w:rFonts w:ascii="SimSun" w:hAnsi="SimSun" w:eastAsia="SimSun" w:cs="SimSun"/>
          <w:sz w:val="22"/>
          <w:szCs w:val="22"/>
        </w:rPr>
      </w:pPr>
      <w:r>
        <w:rPr>
          <w:rFonts w:ascii="SimSun" w:hAnsi="SimSun" w:eastAsia="SimSun" w:cs="SimSun"/>
          <w:sz w:val="22"/>
          <w:szCs w:val="22"/>
          <w:spacing w:val="-2"/>
        </w:rPr>
        <w:t>治理活动的详细步骤。编写数据规程文件应由过程中技术含</w:t>
      </w:r>
      <w:r>
        <w:rPr>
          <w:rFonts w:ascii="SimSun" w:hAnsi="SimSun" w:eastAsia="SimSun" w:cs="SimSun"/>
          <w:sz w:val="22"/>
          <w:szCs w:val="22"/>
          <w:spacing w:val="-3"/>
        </w:rPr>
        <w:t>量高、实施复杂、工</w:t>
      </w:r>
      <w:r>
        <w:rPr>
          <w:rFonts w:ascii="SimSun" w:hAnsi="SimSun" w:eastAsia="SimSun" w:cs="SimSun"/>
          <w:sz w:val="22"/>
          <w:szCs w:val="22"/>
        </w:rPr>
        <w:t xml:space="preserve"> </w:t>
      </w:r>
      <w:r>
        <w:rPr>
          <w:rFonts w:ascii="SimSun" w:hAnsi="SimSun" w:eastAsia="SimSun" w:cs="SimSun"/>
          <w:sz w:val="22"/>
          <w:szCs w:val="22"/>
          <w:spacing w:val="-2"/>
        </w:rPr>
        <w:t>作量多的职能部门主管主导，由部门人员协助，以过程</w:t>
      </w:r>
      <w:r>
        <w:rPr>
          <w:rFonts w:ascii="SimSun" w:hAnsi="SimSun" w:eastAsia="SimSun" w:cs="SimSun"/>
          <w:sz w:val="22"/>
          <w:szCs w:val="22"/>
          <w:spacing w:val="-3"/>
        </w:rPr>
        <w:t>为主线，编写规程文件。</w:t>
      </w:r>
      <w:r>
        <w:rPr>
          <w:rFonts w:ascii="SimSun" w:hAnsi="SimSun" w:eastAsia="SimSun" w:cs="SimSun"/>
          <w:sz w:val="22"/>
          <w:szCs w:val="22"/>
        </w:rPr>
        <w:t xml:space="preserve"> </w:t>
      </w:r>
      <w:r>
        <w:rPr>
          <w:rFonts w:ascii="SimSun" w:hAnsi="SimSun" w:eastAsia="SimSun" w:cs="SimSun"/>
          <w:sz w:val="22"/>
          <w:szCs w:val="22"/>
          <w:spacing w:val="-2"/>
        </w:rPr>
        <w:t>编写数据规程文件应从组织整体的视角出发，解决过</w:t>
      </w:r>
      <w:r>
        <w:rPr>
          <w:rFonts w:ascii="SimSun" w:hAnsi="SimSun" w:eastAsia="SimSun" w:cs="SimSun"/>
          <w:sz w:val="22"/>
          <w:szCs w:val="22"/>
          <w:spacing w:val="-3"/>
        </w:rPr>
        <w:t>程与职能之间的矛盾，理顺</w:t>
      </w:r>
      <w:r>
        <w:rPr>
          <w:rFonts w:ascii="SimSun" w:hAnsi="SimSun" w:eastAsia="SimSun" w:cs="SimSun"/>
          <w:sz w:val="22"/>
          <w:szCs w:val="22"/>
        </w:rPr>
        <w:t xml:space="preserve"> </w:t>
      </w:r>
      <w:r>
        <w:rPr>
          <w:rFonts w:ascii="SimSun" w:hAnsi="SimSun" w:eastAsia="SimSun" w:cs="SimSun"/>
          <w:sz w:val="22"/>
          <w:szCs w:val="22"/>
        </w:rPr>
        <w:t>过程中各个活动之间的流通节点。数据规程制订步骤如图11-2所示。</w:t>
      </w:r>
    </w:p>
    <w:p>
      <w:pPr>
        <w:spacing w:before="54"/>
        <w:rPr/>
      </w:pPr>
      <w:r/>
    </w:p>
    <w:p>
      <w:pPr>
        <w:spacing w:before="54"/>
        <w:rPr/>
      </w:pPr>
      <w:r/>
    </w:p>
    <w:p>
      <w:pPr>
        <w:spacing w:before="54"/>
        <w:rPr/>
      </w:pPr>
      <w:r/>
    </w:p>
    <w:p>
      <w:pPr>
        <w:spacing w:before="54"/>
        <w:rPr/>
      </w:pPr>
      <w:r/>
    </w:p>
    <w:p>
      <w:pPr>
        <w:sectPr>
          <w:footerReference w:type="default" r:id="rId488"/>
          <w:pgSz w:w="8870" w:h="13400"/>
          <w:pgMar w:top="400" w:right="424" w:bottom="499" w:left="510" w:header="0" w:footer="330" w:gutter="0"/>
          <w:cols w:equalWidth="0" w:num="1">
            <w:col w:w="7936" w:space="0"/>
          </w:cols>
        </w:sectPr>
        <w:rPr/>
      </w:pPr>
    </w:p>
    <w:p>
      <w:pPr>
        <w:ind w:left="1599" w:right="172"/>
        <w:spacing w:before="122" w:line="208" w:lineRule="auto"/>
        <w:jc w:val="both"/>
        <w:rPr>
          <w:rFonts w:ascii="SimSun" w:hAnsi="SimSun" w:eastAsia="SimSun" w:cs="SimSun"/>
          <w:sz w:val="17"/>
          <w:szCs w:val="17"/>
        </w:rPr>
      </w:pPr>
      <w:r>
        <w:drawing>
          <wp:anchor distT="0" distB="0" distL="0" distR="0" simplePos="0" relativeHeight="258353152" behindDoc="1" locked="0" layoutInCell="1" allowOverlap="1">
            <wp:simplePos x="0" y="0"/>
            <wp:positionH relativeFrom="column">
              <wp:posOffset>908007</wp:posOffset>
            </wp:positionH>
            <wp:positionV relativeFrom="paragraph">
              <wp:posOffset>-682030</wp:posOffset>
            </wp:positionV>
            <wp:extent cx="3581449" cy="1885934"/>
            <wp:effectExtent l="0" t="0" r="0" b="0"/>
            <wp:wrapNone/>
            <wp:docPr id="340" name="IM 340"/>
            <wp:cNvGraphicFramePr/>
            <a:graphic>
              <a:graphicData uri="http://schemas.openxmlformats.org/drawingml/2006/picture">
                <pic:pic>
                  <pic:nvPicPr>
                    <pic:cNvPr id="340" name="IM 340"/>
                    <pic:cNvPicPr/>
                  </pic:nvPicPr>
                  <pic:blipFill>
                    <a:blip r:embed="rId489"/>
                    <a:stretch>
                      <a:fillRect/>
                    </a:stretch>
                  </pic:blipFill>
                  <pic:spPr>
                    <a:xfrm rot="0">
                      <a:off x="0" y="0"/>
                      <a:ext cx="3581449" cy="1885934"/>
                    </a:xfrm>
                    <a:prstGeom prst="rect">
                      <a:avLst/>
                    </a:prstGeom>
                  </pic:spPr>
                </pic:pic>
              </a:graphicData>
            </a:graphic>
          </wp:anchor>
        </w:drawing>
      </w:r>
      <w:r>
        <w:rPr>
          <w:rFonts w:ascii="SimSun" w:hAnsi="SimSun" w:eastAsia="SimSun" w:cs="SimSun"/>
          <w:sz w:val="17"/>
          <w:szCs w:val="17"/>
          <w:spacing w:val="-15"/>
        </w:rPr>
        <w:t>识别完成数</w:t>
      </w:r>
      <w:r>
        <w:rPr>
          <w:rFonts w:ascii="SimSun" w:hAnsi="SimSun" w:eastAsia="SimSun" w:cs="SimSun"/>
          <w:sz w:val="17"/>
          <w:szCs w:val="17"/>
        </w:rPr>
        <w:t xml:space="preserve"> </w:t>
      </w:r>
      <w:r>
        <w:rPr>
          <w:rFonts w:ascii="SimSun" w:hAnsi="SimSun" w:eastAsia="SimSun" w:cs="SimSun"/>
          <w:sz w:val="17"/>
          <w:szCs w:val="17"/>
          <w:spacing w:val="-15"/>
        </w:rPr>
        <w:t>据治理任务</w:t>
      </w:r>
      <w:r>
        <w:rPr>
          <w:rFonts w:ascii="SimSun" w:hAnsi="SimSun" w:eastAsia="SimSun" w:cs="SimSun"/>
          <w:sz w:val="17"/>
          <w:szCs w:val="17"/>
          <w:spacing w:val="1"/>
        </w:rPr>
        <w:t xml:space="preserve"> </w:t>
      </w:r>
      <w:r>
        <w:rPr>
          <w:rFonts w:ascii="SimSun" w:hAnsi="SimSun" w:eastAsia="SimSun" w:cs="SimSun"/>
          <w:sz w:val="17"/>
          <w:szCs w:val="17"/>
          <w:spacing w:val="-15"/>
        </w:rPr>
        <w:t>需要的过程</w:t>
      </w:r>
    </w:p>
    <w:p>
      <w:pPr>
        <w:pStyle w:val="BodyText"/>
        <w:spacing w:line="14" w:lineRule="auto"/>
        <w:rPr>
          <w:sz w:val="2"/>
        </w:rPr>
      </w:pPr>
      <w:r>
        <w:rPr>
          <w:sz w:val="2"/>
          <w:szCs w:val="2"/>
        </w:rPr>
        <w:br w:type="column"/>
      </w:r>
    </w:p>
    <w:p>
      <w:pPr>
        <w:spacing w:before="32" w:line="196" w:lineRule="auto"/>
        <w:rPr>
          <w:rFonts w:ascii="SimSun" w:hAnsi="SimSun" w:eastAsia="SimSun" w:cs="SimSun"/>
          <w:sz w:val="17"/>
          <w:szCs w:val="17"/>
        </w:rPr>
      </w:pPr>
      <w:r>
        <w:rPr>
          <w:rFonts w:ascii="SimSun" w:hAnsi="SimSun" w:eastAsia="SimSun" w:cs="SimSun"/>
          <w:sz w:val="17"/>
          <w:szCs w:val="17"/>
          <w:spacing w:val="-13"/>
        </w:rPr>
        <w:t>确定数据治</w:t>
      </w:r>
    </w:p>
    <w:p>
      <w:pPr>
        <w:spacing w:line="196" w:lineRule="auto"/>
        <w:rPr>
          <w:rFonts w:ascii="SimSun" w:hAnsi="SimSun" w:eastAsia="SimSun" w:cs="SimSun"/>
          <w:sz w:val="17"/>
          <w:szCs w:val="17"/>
        </w:rPr>
      </w:pPr>
      <w:r>
        <w:rPr>
          <w:rFonts w:ascii="SimSun" w:hAnsi="SimSun" w:eastAsia="SimSun" w:cs="SimSun"/>
          <w:sz w:val="17"/>
          <w:szCs w:val="17"/>
          <w:spacing w:val="-13"/>
          <w:w w:val="96"/>
        </w:rPr>
        <w:t>理所需过程</w:t>
      </w:r>
    </w:p>
    <w:p>
      <w:pPr>
        <w:spacing w:line="205" w:lineRule="auto"/>
        <w:rPr>
          <w:rFonts w:ascii="SimSun" w:hAnsi="SimSun" w:eastAsia="SimSun" w:cs="SimSun"/>
          <w:sz w:val="17"/>
          <w:szCs w:val="17"/>
        </w:rPr>
      </w:pPr>
      <w:r>
        <w:rPr>
          <w:rFonts w:ascii="SimSun" w:hAnsi="SimSun" w:eastAsia="SimSun" w:cs="SimSun"/>
          <w:sz w:val="17"/>
          <w:szCs w:val="17"/>
          <w:spacing w:val="-8"/>
        </w:rPr>
        <w:t>的排序及相</w:t>
      </w:r>
    </w:p>
    <w:p>
      <w:pPr>
        <w:ind w:left="169"/>
        <w:spacing w:before="1" w:line="184" w:lineRule="auto"/>
        <w:rPr>
          <w:rFonts w:ascii="SimSun" w:hAnsi="SimSun" w:eastAsia="SimSun" w:cs="SimSun"/>
          <w:sz w:val="17"/>
          <w:szCs w:val="17"/>
        </w:rPr>
      </w:pPr>
      <w:r>
        <w:rPr>
          <w:rFonts w:ascii="SimSun" w:hAnsi="SimSun" w:eastAsia="SimSun" w:cs="SimSun"/>
          <w:sz w:val="17"/>
          <w:szCs w:val="17"/>
          <w:spacing w:val="-12"/>
        </w:rPr>
        <w:t>互作用</w:t>
      </w:r>
    </w:p>
    <w:p>
      <w:pPr>
        <w:pStyle w:val="BodyText"/>
        <w:spacing w:line="14" w:lineRule="auto"/>
        <w:rPr>
          <w:sz w:val="2"/>
        </w:rPr>
      </w:pPr>
      <w:r>
        <w:rPr>
          <w:sz w:val="2"/>
          <w:szCs w:val="2"/>
        </w:rPr>
        <w:br w:type="column"/>
      </w:r>
    </w:p>
    <w:p>
      <w:pPr>
        <w:spacing w:before="33" w:line="206" w:lineRule="auto"/>
        <w:rPr>
          <w:rFonts w:ascii="SimSun" w:hAnsi="SimSun" w:eastAsia="SimSun" w:cs="SimSun"/>
          <w:sz w:val="17"/>
          <w:szCs w:val="17"/>
        </w:rPr>
      </w:pPr>
      <w:r>
        <w:rPr>
          <w:rFonts w:ascii="SimSun" w:hAnsi="SimSun" w:eastAsia="SimSun" w:cs="SimSun"/>
          <w:sz w:val="17"/>
          <w:szCs w:val="17"/>
          <w:spacing w:val="-13"/>
          <w:w w:val="99"/>
        </w:rPr>
        <w:t>确保过程有</w:t>
      </w:r>
    </w:p>
    <w:p>
      <w:pPr>
        <w:spacing w:line="184" w:lineRule="auto"/>
        <w:rPr>
          <w:rFonts w:ascii="SimSun" w:hAnsi="SimSun" w:eastAsia="SimSun" w:cs="SimSun"/>
          <w:sz w:val="17"/>
          <w:szCs w:val="17"/>
        </w:rPr>
      </w:pPr>
      <w:r>
        <w:rPr>
          <w:rFonts w:ascii="SimSun" w:hAnsi="SimSun" w:eastAsia="SimSun" w:cs="SimSun"/>
          <w:sz w:val="17"/>
          <w:szCs w:val="17"/>
          <w:spacing w:val="-14"/>
        </w:rPr>
        <w:t>效运行和控</w:t>
      </w:r>
    </w:p>
    <w:p>
      <w:pPr>
        <w:spacing w:line="195" w:lineRule="auto"/>
        <w:rPr>
          <w:rFonts w:ascii="SimSun" w:hAnsi="SimSun" w:eastAsia="SimSun" w:cs="SimSun"/>
          <w:sz w:val="17"/>
          <w:szCs w:val="17"/>
        </w:rPr>
      </w:pPr>
      <w:r>
        <w:rPr>
          <w:rFonts w:ascii="SimSun" w:hAnsi="SimSun" w:eastAsia="SimSun" w:cs="SimSun"/>
          <w:sz w:val="17"/>
          <w:szCs w:val="17"/>
          <w:spacing w:val="-14"/>
        </w:rPr>
        <w:t>制所需的准</w:t>
      </w:r>
    </w:p>
    <w:p>
      <w:pPr>
        <w:ind w:left="69"/>
        <w:spacing w:before="1" w:line="195" w:lineRule="auto"/>
        <w:rPr>
          <w:rFonts w:ascii="SimSun" w:hAnsi="SimSun" w:eastAsia="SimSun" w:cs="SimSun"/>
          <w:sz w:val="17"/>
          <w:szCs w:val="17"/>
        </w:rPr>
      </w:pPr>
      <w:r>
        <w:rPr>
          <w:rFonts w:ascii="SimSun" w:hAnsi="SimSun" w:eastAsia="SimSun" w:cs="SimSun"/>
          <w:sz w:val="17"/>
          <w:szCs w:val="17"/>
          <w:spacing w:val="-11"/>
        </w:rPr>
        <w:t>则和方法</w:t>
      </w:r>
    </w:p>
    <w:p>
      <w:pPr>
        <w:pStyle w:val="BodyText"/>
        <w:spacing w:line="14" w:lineRule="auto"/>
        <w:rPr>
          <w:sz w:val="2"/>
        </w:rPr>
      </w:pPr>
      <w:r>
        <w:rPr>
          <w:sz w:val="2"/>
          <w:szCs w:val="2"/>
        </w:rPr>
        <w:br w:type="column"/>
      </w:r>
    </w:p>
    <w:p>
      <w:pPr>
        <w:ind w:right="183"/>
        <w:spacing w:before="143" w:line="196" w:lineRule="auto"/>
        <w:jc w:val="both"/>
        <w:rPr>
          <w:rFonts w:ascii="SimSun" w:hAnsi="SimSun" w:eastAsia="SimSun" w:cs="SimSun"/>
          <w:sz w:val="17"/>
          <w:szCs w:val="17"/>
        </w:rPr>
      </w:pPr>
      <w:r>
        <w:rPr>
          <w:rFonts w:ascii="SimSun" w:hAnsi="SimSun" w:eastAsia="SimSun" w:cs="SimSun"/>
          <w:sz w:val="17"/>
          <w:szCs w:val="17"/>
          <w:spacing w:val="-13"/>
        </w:rPr>
        <w:t>确定可以获</w:t>
      </w:r>
      <w:r>
        <w:rPr>
          <w:rFonts w:ascii="SimSun" w:hAnsi="SimSun" w:eastAsia="SimSun" w:cs="SimSun"/>
          <w:sz w:val="17"/>
          <w:szCs w:val="17"/>
        </w:rPr>
        <w:t xml:space="preserve"> </w:t>
      </w:r>
      <w:r>
        <w:rPr>
          <w:rFonts w:ascii="SimSun" w:hAnsi="SimSun" w:eastAsia="SimSun" w:cs="SimSun"/>
          <w:sz w:val="17"/>
          <w:szCs w:val="17"/>
          <w:spacing w:val="-16"/>
        </w:rPr>
        <w:t>得的必要资</w:t>
      </w:r>
      <w:r>
        <w:rPr>
          <w:rFonts w:ascii="SimSun" w:hAnsi="SimSun" w:eastAsia="SimSun" w:cs="SimSun"/>
          <w:sz w:val="17"/>
          <w:szCs w:val="17"/>
        </w:rPr>
        <w:t xml:space="preserve"> </w:t>
      </w:r>
      <w:r>
        <w:rPr>
          <w:rFonts w:ascii="SimSun" w:hAnsi="SimSun" w:eastAsia="SimSun" w:cs="SimSun"/>
          <w:sz w:val="17"/>
          <w:szCs w:val="17"/>
          <w:spacing w:val="5"/>
        </w:rPr>
        <w:t>源和信息</w:t>
      </w:r>
    </w:p>
    <w:p>
      <w:pPr>
        <w:pStyle w:val="BodyText"/>
        <w:spacing w:line="14" w:lineRule="auto"/>
        <w:rPr>
          <w:sz w:val="2"/>
        </w:rPr>
      </w:pPr>
      <w:r>
        <w:rPr>
          <w:sz w:val="2"/>
          <w:szCs w:val="2"/>
        </w:rPr>
        <w:br w:type="column"/>
      </w:r>
    </w:p>
    <w:p>
      <w:pPr>
        <w:spacing w:before="133" w:line="185" w:lineRule="auto"/>
        <w:rPr>
          <w:rFonts w:ascii="SimSun" w:hAnsi="SimSun" w:eastAsia="SimSun" w:cs="SimSun"/>
          <w:sz w:val="17"/>
          <w:szCs w:val="17"/>
        </w:rPr>
      </w:pPr>
      <w:r>
        <w:rPr>
          <w:rFonts w:ascii="SimSun" w:hAnsi="SimSun" w:eastAsia="SimSun" w:cs="SimSun"/>
          <w:sz w:val="17"/>
          <w:szCs w:val="17"/>
          <w:spacing w:val="-11"/>
        </w:rPr>
        <w:t>监控、测量</w:t>
      </w:r>
    </w:p>
    <w:p>
      <w:pPr>
        <w:spacing w:line="195" w:lineRule="auto"/>
        <w:rPr>
          <w:rFonts w:ascii="SimSun" w:hAnsi="SimSun" w:eastAsia="SimSun" w:cs="SimSun"/>
          <w:sz w:val="17"/>
          <w:szCs w:val="17"/>
        </w:rPr>
      </w:pPr>
      <w:r>
        <w:rPr>
          <w:rFonts w:ascii="SimSun" w:hAnsi="SimSun" w:eastAsia="SimSun" w:cs="SimSun"/>
          <w:sz w:val="17"/>
          <w:szCs w:val="17"/>
          <w:spacing w:val="-10"/>
        </w:rPr>
        <w:t>和分析数据</w:t>
      </w:r>
    </w:p>
    <w:p>
      <w:pPr>
        <w:ind w:left="59"/>
        <w:spacing w:line="220" w:lineRule="auto"/>
        <w:rPr>
          <w:rFonts w:ascii="SimSun" w:hAnsi="SimSun" w:eastAsia="SimSun" w:cs="SimSun"/>
          <w:sz w:val="17"/>
          <w:szCs w:val="17"/>
        </w:rPr>
      </w:pPr>
      <w:r>
        <w:rPr>
          <w:rFonts w:ascii="SimSun" w:hAnsi="SimSun" w:eastAsia="SimSun" w:cs="SimSun"/>
          <w:sz w:val="17"/>
          <w:szCs w:val="17"/>
          <w:spacing w:val="-11"/>
        </w:rPr>
        <w:t>治理过程</w:t>
      </w:r>
    </w:p>
    <w:p>
      <w:pPr>
        <w:spacing w:line="220" w:lineRule="auto"/>
        <w:sectPr>
          <w:type w:val="continuous"/>
          <w:pgSz w:w="8870" w:h="13400"/>
          <w:pgMar w:top="400" w:right="424" w:bottom="499" w:left="510" w:header="0" w:footer="330" w:gutter="0"/>
          <w:cols w:equalWidth="0" w:num="5">
            <w:col w:w="2551" w:space="100"/>
            <w:col w:w="981" w:space="100"/>
            <w:col w:w="970" w:space="100"/>
            <w:col w:w="970" w:space="100"/>
            <w:col w:w="2066" w:space="0"/>
          </w:cols>
        </w:sectPr>
        <w:rPr>
          <w:rFonts w:ascii="SimSun" w:hAnsi="SimSun" w:eastAsia="SimSun" w:cs="SimSun"/>
          <w:sz w:val="17"/>
          <w:szCs w:val="17"/>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3042"/>
        <w:spacing w:before="55" w:line="221" w:lineRule="auto"/>
        <w:rPr>
          <w:rFonts w:ascii="SimHei" w:hAnsi="SimHei" w:eastAsia="SimHei" w:cs="SimHei"/>
          <w:sz w:val="17"/>
          <w:szCs w:val="17"/>
        </w:rPr>
      </w:pPr>
      <w:r>
        <w:rPr>
          <w:rFonts w:ascii="SimHei" w:hAnsi="SimHei" w:eastAsia="SimHei" w:cs="SimHei"/>
          <w:sz w:val="17"/>
          <w:szCs w:val="17"/>
          <w:b/>
          <w:bCs/>
          <w:spacing w:val="10"/>
        </w:rPr>
        <w:t>图11-2</w:t>
      </w:r>
      <w:r>
        <w:rPr>
          <w:rFonts w:ascii="SimHei" w:hAnsi="SimHei" w:eastAsia="SimHei" w:cs="SimHei"/>
          <w:sz w:val="17"/>
          <w:szCs w:val="17"/>
          <w:spacing w:val="81"/>
        </w:rPr>
        <w:t xml:space="preserve"> </w:t>
      </w:r>
      <w:r>
        <w:rPr>
          <w:rFonts w:ascii="SimHei" w:hAnsi="SimHei" w:eastAsia="SimHei" w:cs="SimHei"/>
          <w:sz w:val="17"/>
          <w:szCs w:val="17"/>
          <w:b/>
          <w:bCs/>
          <w:spacing w:val="10"/>
        </w:rPr>
        <w:t>数据规程制订步骤</w:t>
      </w:r>
    </w:p>
    <w:p>
      <w:pPr>
        <w:ind w:left="239" w:right="14" w:firstLine="480"/>
        <w:spacing w:before="271" w:line="246" w:lineRule="auto"/>
        <w:rPr>
          <w:rFonts w:ascii="SimSun" w:hAnsi="SimSun" w:eastAsia="SimSun" w:cs="SimSun"/>
          <w:sz w:val="22"/>
          <w:szCs w:val="22"/>
        </w:rPr>
      </w:pPr>
      <w:r>
        <w:rPr>
          <w:rFonts w:ascii="SimSun" w:hAnsi="SimSun" w:eastAsia="SimSun" w:cs="SimSun"/>
          <w:sz w:val="17"/>
          <w:szCs w:val="17"/>
          <w:spacing w:val="35"/>
        </w:rPr>
        <w:t>云端数据治理体系的数据规程包括数据安全规程</w:t>
      </w:r>
      <w:r>
        <w:rPr>
          <w:rFonts w:ascii="SimSun" w:hAnsi="SimSun" w:eastAsia="SimSun" w:cs="SimSun"/>
          <w:sz w:val="17"/>
          <w:szCs w:val="17"/>
          <w:spacing w:val="-21"/>
        </w:rPr>
        <w:t xml:space="preserve"> </w:t>
      </w:r>
      <w:r>
        <w:rPr>
          <w:rFonts w:ascii="SimSun" w:hAnsi="SimSun" w:eastAsia="SimSun" w:cs="SimSun"/>
          <w:sz w:val="17"/>
          <w:szCs w:val="17"/>
          <w:spacing w:val="35"/>
        </w:rPr>
        <w:t>、</w:t>
      </w:r>
      <w:r>
        <w:rPr>
          <w:rFonts w:ascii="SimSun" w:hAnsi="SimSun" w:eastAsia="SimSun" w:cs="SimSun"/>
          <w:sz w:val="17"/>
          <w:szCs w:val="17"/>
          <w:spacing w:val="-34"/>
        </w:rPr>
        <w:t xml:space="preserve"> </w:t>
      </w:r>
      <w:r>
        <w:rPr>
          <w:rFonts w:ascii="SimSun" w:hAnsi="SimSun" w:eastAsia="SimSun" w:cs="SimSun"/>
          <w:sz w:val="17"/>
          <w:szCs w:val="17"/>
          <w:spacing w:val="35"/>
        </w:rPr>
        <w:t>数据管理控制规程</w:t>
      </w:r>
      <w:r>
        <w:rPr>
          <w:rFonts w:ascii="SimSun" w:hAnsi="SimSun" w:eastAsia="SimSun" w:cs="SimSun"/>
          <w:sz w:val="17"/>
          <w:szCs w:val="17"/>
          <w:spacing w:val="-23"/>
        </w:rPr>
        <w:t xml:space="preserve"> </w:t>
      </w:r>
      <w:r>
        <w:rPr>
          <w:rFonts w:ascii="SimSun" w:hAnsi="SimSun" w:eastAsia="SimSun" w:cs="SimSun"/>
          <w:sz w:val="17"/>
          <w:szCs w:val="17"/>
          <w:spacing w:val="35"/>
        </w:rPr>
        <w:t>、</w:t>
      </w:r>
      <w:r>
        <w:rPr>
          <w:rFonts w:ascii="SimSun" w:hAnsi="SimSun" w:eastAsia="SimSun" w:cs="SimSun"/>
          <w:sz w:val="17"/>
          <w:szCs w:val="17"/>
          <w:spacing w:val="-33"/>
        </w:rPr>
        <w:t xml:space="preserve"> </w:t>
      </w:r>
      <w:r>
        <w:rPr>
          <w:rFonts w:ascii="SimSun" w:hAnsi="SimSun" w:eastAsia="SimSun" w:cs="SimSun"/>
          <w:sz w:val="17"/>
          <w:szCs w:val="17"/>
          <w:spacing w:val="35"/>
        </w:rPr>
        <w:t>元数据</w:t>
      </w:r>
      <w:r>
        <w:rPr>
          <w:rFonts w:ascii="SimSun" w:hAnsi="SimSun" w:eastAsia="SimSun" w:cs="SimSun"/>
          <w:sz w:val="17"/>
          <w:szCs w:val="17"/>
        </w:rPr>
        <w:t xml:space="preserve"> </w:t>
      </w:r>
      <w:r>
        <w:rPr>
          <w:rFonts w:ascii="SimSun" w:hAnsi="SimSun" w:eastAsia="SimSun" w:cs="SimSun"/>
          <w:sz w:val="22"/>
          <w:szCs w:val="22"/>
          <w:spacing w:val="-11"/>
        </w:rPr>
        <w:t>整合和使用规程、数据模型管理规程、数据质量评估规程等。</w:t>
      </w:r>
    </w:p>
    <w:p>
      <w:pPr>
        <w:ind w:left="723"/>
        <w:spacing w:before="184" w:line="222" w:lineRule="auto"/>
        <w:outlineLvl w:val="6"/>
        <w:rPr>
          <w:rFonts w:ascii="YouYuan" w:hAnsi="YouYuan" w:eastAsia="YouYuan" w:cs="YouYuan"/>
          <w:sz w:val="22"/>
          <w:szCs w:val="22"/>
        </w:rPr>
      </w:pPr>
      <w:r>
        <w:rPr>
          <w:rFonts w:ascii="YouYuan" w:hAnsi="YouYuan" w:eastAsia="YouYuan" w:cs="YouYuan"/>
          <w:sz w:val="22"/>
          <w:szCs w:val="22"/>
          <w:b/>
          <w:bCs/>
          <w:spacing w:val="-1"/>
        </w:rPr>
        <w:t>3.</w:t>
      </w:r>
      <w:r>
        <w:rPr>
          <w:rFonts w:ascii="YouYuan" w:hAnsi="YouYuan" w:eastAsia="YouYuan" w:cs="YouYuan"/>
          <w:sz w:val="22"/>
          <w:szCs w:val="22"/>
          <w:spacing w:val="-13"/>
        </w:rPr>
        <w:t xml:space="preserve"> </w:t>
      </w:r>
      <w:r>
        <w:rPr>
          <w:rFonts w:ascii="YouYuan" w:hAnsi="YouYuan" w:eastAsia="YouYuan" w:cs="YouYuan"/>
          <w:sz w:val="22"/>
          <w:szCs w:val="22"/>
          <w:b/>
          <w:bCs/>
          <w:spacing w:val="-1"/>
        </w:rPr>
        <w:t>定义绩效指标</w:t>
      </w:r>
    </w:p>
    <w:p>
      <w:pPr>
        <w:ind w:left="239" w:firstLine="480"/>
        <w:spacing w:before="238" w:line="262" w:lineRule="auto"/>
        <w:rPr>
          <w:rFonts w:ascii="SimSun" w:hAnsi="SimSun" w:eastAsia="SimSun" w:cs="SimSun"/>
          <w:sz w:val="22"/>
          <w:szCs w:val="22"/>
        </w:rPr>
      </w:pPr>
      <w:r>
        <w:rPr>
          <w:rFonts w:ascii="SimSun" w:hAnsi="SimSun" w:eastAsia="SimSun" w:cs="SimSun"/>
          <w:sz w:val="22"/>
          <w:szCs w:val="22"/>
          <w:spacing w:val="-8"/>
        </w:rPr>
        <w:t>绩效指标必须与组织的云端数据治理体系战略和目</w:t>
      </w:r>
      <w:r>
        <w:rPr>
          <w:rFonts w:ascii="SimSun" w:hAnsi="SimSun" w:eastAsia="SimSun" w:cs="SimSun"/>
          <w:sz w:val="22"/>
          <w:szCs w:val="22"/>
          <w:spacing w:val="-9"/>
        </w:rPr>
        <w:t>标紧密联系。云端数据治理</w:t>
      </w:r>
      <w:r>
        <w:rPr>
          <w:rFonts w:ascii="SimSun" w:hAnsi="SimSun" w:eastAsia="SimSun" w:cs="SimSun"/>
          <w:sz w:val="22"/>
          <w:szCs w:val="22"/>
        </w:rPr>
        <w:t xml:space="preserve"> </w:t>
      </w:r>
      <w:r>
        <w:rPr>
          <w:rFonts w:ascii="SimSun" w:hAnsi="SimSun" w:eastAsia="SimSun" w:cs="SimSun"/>
          <w:sz w:val="22"/>
          <w:szCs w:val="22"/>
          <w:spacing w:val="-9"/>
        </w:rPr>
        <w:t>体系的关键绩效指标主要分为两类：业绩指标和行为指标。业绩指标是对云端数据 </w:t>
      </w:r>
      <w:r>
        <w:rPr>
          <w:rFonts w:ascii="SimSun" w:hAnsi="SimSun" w:eastAsia="SimSun" w:cs="SimSun"/>
          <w:sz w:val="22"/>
          <w:szCs w:val="22"/>
          <w:spacing w:val="-9"/>
        </w:rPr>
        <w:t>治理效果的综合评价。业绩指标可量化，属于定量性指标。行为指标是影响云端数 </w:t>
      </w:r>
      <w:r>
        <w:rPr>
          <w:rFonts w:ascii="SimSun" w:hAnsi="SimSun" w:eastAsia="SimSun" w:cs="SimSun"/>
          <w:sz w:val="22"/>
          <w:szCs w:val="22"/>
          <w:spacing w:val="-8"/>
        </w:rPr>
        <w:t>据治理效果和基本职能的因素。行为指标侧重于管理行为的过程控制，</w:t>
      </w:r>
      <w:r>
        <w:rPr>
          <w:rFonts w:ascii="SimSun" w:hAnsi="SimSun" w:eastAsia="SimSun" w:cs="SimSun"/>
          <w:sz w:val="22"/>
          <w:szCs w:val="22"/>
          <w:spacing w:val="-9"/>
        </w:rPr>
        <w:t>行为指标属</w:t>
      </w:r>
      <w:r>
        <w:rPr>
          <w:rFonts w:ascii="SimSun" w:hAnsi="SimSun" w:eastAsia="SimSun" w:cs="SimSun"/>
          <w:sz w:val="22"/>
          <w:szCs w:val="22"/>
        </w:rPr>
        <w:t xml:space="preserve"> </w:t>
      </w:r>
      <w:r>
        <w:rPr>
          <w:rFonts w:ascii="SimSun" w:hAnsi="SimSun" w:eastAsia="SimSun" w:cs="SimSun"/>
          <w:sz w:val="22"/>
          <w:szCs w:val="22"/>
          <w:spacing w:val="-9"/>
        </w:rPr>
        <w:t>于定性指标。业绩指标和行为指标相结合能够较完整反映评价对象</w:t>
      </w:r>
      <w:r>
        <w:rPr>
          <w:rFonts w:ascii="SimSun" w:hAnsi="SimSun" w:eastAsia="SimSun" w:cs="SimSun"/>
          <w:sz w:val="22"/>
          <w:szCs w:val="22"/>
          <w:spacing w:val="-10"/>
        </w:rPr>
        <w:t>的全貌。例如，</w:t>
      </w:r>
      <w:r>
        <w:rPr>
          <w:rFonts w:ascii="SimSun" w:hAnsi="SimSun" w:eastAsia="SimSun" w:cs="SimSun"/>
          <w:sz w:val="22"/>
          <w:szCs w:val="22"/>
        </w:rPr>
        <w:t xml:space="preserve">  </w:t>
      </w:r>
      <w:r>
        <w:rPr>
          <w:rFonts w:ascii="SimSun" w:hAnsi="SimSun" w:eastAsia="SimSun" w:cs="SimSun"/>
          <w:sz w:val="17"/>
          <w:szCs w:val="17"/>
          <w:spacing w:val="31"/>
        </w:rPr>
        <w:t>元数据管理的业绩指标包括元数据质量</w:t>
      </w:r>
      <w:r>
        <w:rPr>
          <w:rFonts w:ascii="SimSun" w:hAnsi="SimSun" w:eastAsia="SimSun" w:cs="SimSun"/>
          <w:sz w:val="17"/>
          <w:szCs w:val="17"/>
          <w:spacing w:val="-23"/>
        </w:rPr>
        <w:t xml:space="preserve"> </w:t>
      </w:r>
      <w:r>
        <w:rPr>
          <w:rFonts w:ascii="SimSun" w:hAnsi="SimSun" w:eastAsia="SimSun" w:cs="SimSun"/>
          <w:sz w:val="17"/>
          <w:szCs w:val="17"/>
          <w:spacing w:val="31"/>
        </w:rPr>
        <w:t>、</w:t>
      </w:r>
      <w:r>
        <w:rPr>
          <w:rFonts w:ascii="SimSun" w:hAnsi="SimSun" w:eastAsia="SimSun" w:cs="SimSun"/>
          <w:sz w:val="17"/>
          <w:szCs w:val="17"/>
          <w:spacing w:val="-37"/>
        </w:rPr>
        <w:t xml:space="preserve"> </w:t>
      </w:r>
      <w:r>
        <w:rPr>
          <w:rFonts w:ascii="SimSun" w:hAnsi="SimSun" w:eastAsia="SimSun" w:cs="SimSun"/>
          <w:sz w:val="17"/>
          <w:szCs w:val="17"/>
          <w:spacing w:val="31"/>
        </w:rPr>
        <w:t>主数据服务数据合规性</w:t>
      </w:r>
      <w:r>
        <w:rPr>
          <w:rFonts w:ascii="SimSun" w:hAnsi="SimSun" w:eastAsia="SimSun" w:cs="SimSun"/>
          <w:sz w:val="17"/>
          <w:szCs w:val="17"/>
          <w:spacing w:val="-26"/>
        </w:rPr>
        <w:t xml:space="preserve"> </w:t>
      </w:r>
      <w:r>
        <w:rPr>
          <w:rFonts w:ascii="SimSun" w:hAnsi="SimSun" w:eastAsia="SimSun" w:cs="SimSun"/>
          <w:sz w:val="17"/>
          <w:szCs w:val="17"/>
          <w:spacing w:val="31"/>
        </w:rPr>
        <w:t>、</w:t>
      </w:r>
      <w:r>
        <w:rPr>
          <w:rFonts w:ascii="SimSun" w:hAnsi="SimSun" w:eastAsia="SimSun" w:cs="SimSun"/>
          <w:sz w:val="17"/>
          <w:szCs w:val="17"/>
          <w:spacing w:val="-37"/>
        </w:rPr>
        <w:t xml:space="preserve"> </w:t>
      </w:r>
      <w:r>
        <w:rPr>
          <w:rFonts w:ascii="SimSun" w:hAnsi="SimSun" w:eastAsia="SimSun" w:cs="SimSun"/>
          <w:sz w:val="17"/>
          <w:szCs w:val="17"/>
          <w:spacing w:val="31"/>
        </w:rPr>
        <w:t>元数据文档质量</w:t>
      </w:r>
      <w:r>
        <w:rPr>
          <w:rFonts w:ascii="SimSun" w:hAnsi="SimSun" w:eastAsia="SimSun" w:cs="SimSun"/>
          <w:sz w:val="17"/>
          <w:szCs w:val="17"/>
          <w:spacing w:val="-45"/>
        </w:rPr>
        <w:t xml:space="preserve"> </w:t>
      </w:r>
      <w:r>
        <w:rPr>
          <w:rFonts w:ascii="SimSun" w:hAnsi="SimSun" w:eastAsia="SimSun" w:cs="SimSun"/>
          <w:sz w:val="17"/>
          <w:szCs w:val="17"/>
          <w:spacing w:val="31"/>
        </w:rPr>
        <w:t>、</w:t>
      </w:r>
      <w:r>
        <w:rPr>
          <w:rFonts w:ascii="SimSun" w:hAnsi="SimSun" w:eastAsia="SimSun" w:cs="SimSun"/>
          <w:sz w:val="17"/>
          <w:szCs w:val="17"/>
        </w:rPr>
        <w:t xml:space="preserve"> </w:t>
      </w:r>
      <w:r>
        <w:rPr>
          <w:rFonts w:ascii="SimSun" w:hAnsi="SimSun" w:eastAsia="SimSun" w:cs="SimSun"/>
          <w:sz w:val="22"/>
          <w:szCs w:val="22"/>
          <w:spacing w:val="-9"/>
        </w:rPr>
        <w:t>元数据管理成熟度、元数据存储库可用性等。数据管理专员的行为指标包括云端数 </w:t>
      </w:r>
      <w:r>
        <w:rPr>
          <w:rFonts w:ascii="SimSun" w:hAnsi="SimSun" w:eastAsia="SimSun" w:cs="SimSun"/>
          <w:sz w:val="22"/>
          <w:szCs w:val="22"/>
          <w:spacing w:val="-12"/>
        </w:rPr>
        <w:t>据策略和数据规程的符合性等。</w:t>
      </w:r>
    </w:p>
    <w:p>
      <w:pPr>
        <w:ind w:left="723"/>
        <w:spacing w:before="212" w:line="224" w:lineRule="auto"/>
        <w:outlineLvl w:val="6"/>
        <w:rPr>
          <w:rFonts w:ascii="YouYuan" w:hAnsi="YouYuan" w:eastAsia="YouYuan" w:cs="YouYuan"/>
          <w:sz w:val="22"/>
          <w:szCs w:val="22"/>
        </w:rPr>
      </w:pPr>
      <w:r>
        <w:rPr>
          <w:rFonts w:ascii="YouYuan" w:hAnsi="YouYuan" w:eastAsia="YouYuan" w:cs="YouYuan"/>
          <w:sz w:val="22"/>
          <w:szCs w:val="22"/>
          <w:b/>
          <w:bCs/>
          <w:spacing w:val="-3"/>
        </w:rPr>
        <w:t>4.</w:t>
      </w:r>
      <w:r>
        <w:rPr>
          <w:rFonts w:ascii="YouYuan" w:hAnsi="YouYuan" w:eastAsia="YouYuan" w:cs="YouYuan"/>
          <w:sz w:val="22"/>
          <w:szCs w:val="22"/>
          <w:spacing w:val="-3"/>
        </w:rPr>
        <w:t xml:space="preserve"> </w:t>
      </w:r>
      <w:r>
        <w:rPr>
          <w:rFonts w:ascii="YouYuan" w:hAnsi="YouYuan" w:eastAsia="YouYuan" w:cs="YouYuan"/>
          <w:sz w:val="22"/>
          <w:szCs w:val="22"/>
          <w:b/>
          <w:bCs/>
          <w:spacing w:val="-3"/>
        </w:rPr>
        <w:t>文件评审与发布</w:t>
      </w:r>
    </w:p>
    <w:p>
      <w:pPr>
        <w:ind w:left="239" w:right="13" w:firstLine="480"/>
        <w:spacing w:before="219" w:line="250" w:lineRule="auto"/>
        <w:rPr>
          <w:rFonts w:ascii="SimSun" w:hAnsi="SimSun" w:eastAsia="SimSun" w:cs="SimSun"/>
          <w:sz w:val="17"/>
          <w:szCs w:val="17"/>
        </w:rPr>
      </w:pPr>
      <w:r>
        <w:rPr>
          <w:rFonts w:ascii="SimSun" w:hAnsi="SimSun" w:eastAsia="SimSun" w:cs="SimSun"/>
          <w:sz w:val="22"/>
          <w:szCs w:val="22"/>
          <w:spacing w:val="-8"/>
        </w:rPr>
        <w:t>组织体系文件在经过修改和评审后，如达到发布标准，可以</w:t>
      </w:r>
      <w:r>
        <w:rPr>
          <w:rFonts w:ascii="SimSun" w:hAnsi="SimSun" w:eastAsia="SimSun" w:cs="SimSun"/>
          <w:sz w:val="22"/>
          <w:szCs w:val="22"/>
          <w:spacing w:val="-9"/>
        </w:rPr>
        <w:t>根据组织本身的文</w:t>
      </w:r>
      <w:r>
        <w:rPr>
          <w:rFonts w:ascii="SimSun" w:hAnsi="SimSun" w:eastAsia="SimSun" w:cs="SimSun"/>
          <w:sz w:val="22"/>
          <w:szCs w:val="22"/>
        </w:rPr>
        <w:t xml:space="preserve"> </w:t>
      </w:r>
      <w:r>
        <w:rPr>
          <w:rFonts w:ascii="SimSun" w:hAnsi="SimSun" w:eastAsia="SimSun" w:cs="SimSun"/>
          <w:sz w:val="17"/>
          <w:szCs w:val="17"/>
          <w:spacing w:val="22"/>
        </w:rPr>
        <w:t>件管理程序</w:t>
      </w:r>
      <w:r>
        <w:rPr>
          <w:rFonts w:ascii="SimSun" w:hAnsi="SimSun" w:eastAsia="SimSun" w:cs="SimSun"/>
          <w:sz w:val="17"/>
          <w:szCs w:val="17"/>
          <w:spacing w:val="-20"/>
        </w:rPr>
        <w:t xml:space="preserve"> </w:t>
      </w:r>
      <w:r>
        <w:rPr>
          <w:rFonts w:ascii="SimSun" w:hAnsi="SimSun" w:eastAsia="SimSun" w:cs="SimSun"/>
          <w:sz w:val="17"/>
          <w:szCs w:val="17"/>
          <w:spacing w:val="22"/>
        </w:rPr>
        <w:t>，</w:t>
      </w:r>
      <w:r>
        <w:rPr>
          <w:rFonts w:ascii="SimSun" w:hAnsi="SimSun" w:eastAsia="SimSun" w:cs="SimSun"/>
          <w:sz w:val="17"/>
          <w:szCs w:val="17"/>
          <w:spacing w:val="-34"/>
        </w:rPr>
        <w:t xml:space="preserve"> </w:t>
      </w:r>
      <w:r>
        <w:rPr>
          <w:rFonts w:ascii="SimSun" w:hAnsi="SimSun" w:eastAsia="SimSun" w:cs="SimSun"/>
          <w:sz w:val="17"/>
          <w:szCs w:val="17"/>
          <w:spacing w:val="22"/>
        </w:rPr>
        <w:t>正式发布</w:t>
      </w:r>
      <w:r>
        <w:rPr>
          <w:rFonts w:ascii="SimSun" w:hAnsi="SimSun" w:eastAsia="SimSun" w:cs="SimSun"/>
          <w:sz w:val="17"/>
          <w:szCs w:val="17"/>
          <w:spacing w:val="-45"/>
        </w:rPr>
        <w:t xml:space="preserve"> </w:t>
      </w:r>
      <w:r>
        <w:rPr>
          <w:rFonts w:ascii="SimSun" w:hAnsi="SimSun" w:eastAsia="SimSun" w:cs="SimSun"/>
          <w:sz w:val="17"/>
          <w:szCs w:val="17"/>
          <w:spacing w:val="22"/>
        </w:rPr>
        <w:t>。</w:t>
      </w:r>
    </w:p>
    <w:p>
      <w:pPr>
        <w:spacing w:line="250" w:lineRule="auto"/>
        <w:sectPr>
          <w:type w:val="continuous"/>
          <w:pgSz w:w="8870" w:h="13400"/>
          <w:pgMar w:top="400" w:right="424" w:bottom="499" w:left="510" w:header="0" w:footer="330" w:gutter="0"/>
          <w:cols w:equalWidth="0" w:num="1">
            <w:col w:w="7936" w:space="0"/>
          </w:cols>
        </w:sectPr>
        <w:rPr>
          <w:rFonts w:ascii="SimSun" w:hAnsi="SimSun" w:eastAsia="SimSun" w:cs="SimSun"/>
          <w:sz w:val="17"/>
          <w:szCs w:val="17"/>
        </w:rPr>
      </w:pPr>
    </w:p>
    <w:p>
      <w:pPr>
        <w:ind w:left="4573"/>
        <w:spacing w:before="164" w:line="219" w:lineRule="auto"/>
        <w:rPr>
          <w:rFonts w:ascii="SimSun" w:hAnsi="SimSun" w:eastAsia="SimSun" w:cs="SimSun"/>
          <w:sz w:val="22"/>
          <w:szCs w:val="22"/>
        </w:rPr>
      </w:pPr>
      <w:r>
        <w:rPr>
          <w:rFonts w:ascii="SimSun" w:hAnsi="SimSun" w:eastAsia="SimSun" w:cs="SimSun"/>
          <w:sz w:val="22"/>
          <w:szCs w:val="22"/>
          <w:b/>
          <w:bCs/>
          <w:spacing w:val="-2"/>
        </w:rPr>
        <w:t>第11章■云端数据治理体系实施</w:t>
      </w:r>
    </w:p>
    <w:p>
      <w:pPr>
        <w:pStyle w:val="BodyText"/>
        <w:spacing w:line="324" w:lineRule="auto"/>
        <w:rPr/>
      </w:pPr>
      <w:r/>
    </w:p>
    <w:p>
      <w:pPr>
        <w:pStyle w:val="BodyText"/>
        <w:spacing w:line="325" w:lineRule="auto"/>
        <w:rPr/>
      </w:pPr>
      <w:r/>
    </w:p>
    <w:p>
      <w:pPr>
        <w:ind w:left="4"/>
        <w:spacing w:before="108" w:line="222" w:lineRule="auto"/>
        <w:outlineLvl w:val="6"/>
        <w:rPr>
          <w:rFonts w:ascii="SimHei" w:hAnsi="SimHei" w:eastAsia="SimHei" w:cs="SimHei"/>
          <w:sz w:val="33"/>
          <w:szCs w:val="33"/>
        </w:rPr>
      </w:pPr>
      <w:r>
        <w:rPr>
          <w:rFonts w:ascii="SimHei" w:hAnsi="SimHei" w:eastAsia="SimHei" w:cs="SimHei"/>
          <w:sz w:val="33"/>
          <w:szCs w:val="33"/>
          <w:b/>
          <w:bCs/>
          <w:spacing w:val="-8"/>
        </w:rPr>
        <w:t>11.2</w:t>
      </w:r>
      <w:r>
        <w:rPr>
          <w:rFonts w:ascii="SimHei" w:hAnsi="SimHei" w:eastAsia="SimHei" w:cs="SimHei"/>
          <w:sz w:val="33"/>
          <w:szCs w:val="33"/>
          <w:spacing w:val="11"/>
        </w:rPr>
        <w:t xml:space="preserve">  </w:t>
      </w:r>
      <w:r>
        <w:rPr>
          <w:rFonts w:ascii="SimHei" w:hAnsi="SimHei" w:eastAsia="SimHei" w:cs="SimHei"/>
          <w:sz w:val="33"/>
          <w:szCs w:val="33"/>
          <w:b/>
          <w:bCs/>
          <w:spacing w:val="-8"/>
        </w:rPr>
        <w:t>构建和运行</w:t>
      </w:r>
    </w:p>
    <w:p>
      <w:pPr>
        <w:pStyle w:val="BodyText"/>
        <w:spacing w:line="249" w:lineRule="auto"/>
        <w:rPr/>
      </w:pPr>
      <w:r/>
    </w:p>
    <w:p>
      <w:pPr>
        <w:ind w:left="4"/>
        <w:spacing w:before="94" w:line="224" w:lineRule="auto"/>
        <w:outlineLvl w:val="6"/>
        <w:rPr>
          <w:rFonts w:ascii="YouYuan" w:hAnsi="YouYuan" w:eastAsia="YouYuan" w:cs="YouYuan"/>
          <w:sz w:val="29"/>
          <w:szCs w:val="29"/>
        </w:rPr>
      </w:pPr>
      <w:r>
        <w:rPr>
          <w:rFonts w:ascii="YouYuan" w:hAnsi="YouYuan" w:eastAsia="YouYuan" w:cs="YouYuan"/>
          <w:sz w:val="29"/>
          <w:szCs w:val="29"/>
          <w:b/>
          <w:bCs/>
          <w:spacing w:val="-10"/>
        </w:rPr>
        <w:t>11.2.1</w:t>
      </w:r>
      <w:r>
        <w:rPr>
          <w:rFonts w:ascii="YouYuan" w:hAnsi="YouYuan" w:eastAsia="YouYuan" w:cs="YouYuan"/>
          <w:sz w:val="29"/>
          <w:szCs w:val="29"/>
          <w:spacing w:val="-10"/>
        </w:rPr>
        <w:t xml:space="preserve">  </w:t>
      </w:r>
      <w:r>
        <w:rPr>
          <w:rFonts w:ascii="YouYuan" w:hAnsi="YouYuan" w:eastAsia="YouYuan" w:cs="YouYuan"/>
          <w:sz w:val="29"/>
          <w:szCs w:val="29"/>
          <w:b/>
          <w:bCs/>
          <w:spacing w:val="-10"/>
        </w:rPr>
        <w:t>体系宣贯</w:t>
      </w:r>
    </w:p>
    <w:p>
      <w:pPr>
        <w:pStyle w:val="BodyText"/>
        <w:spacing w:line="253" w:lineRule="auto"/>
        <w:rPr/>
      </w:pPr>
      <w:r/>
    </w:p>
    <w:p>
      <w:pPr>
        <w:ind w:right="247" w:firstLine="429"/>
        <w:spacing w:before="72" w:line="252" w:lineRule="auto"/>
        <w:jc w:val="both"/>
        <w:rPr>
          <w:rFonts w:ascii="SimSun" w:hAnsi="SimSun" w:eastAsia="SimSun" w:cs="SimSun"/>
          <w:sz w:val="22"/>
          <w:szCs w:val="22"/>
        </w:rPr>
      </w:pPr>
      <w:r>
        <w:rPr>
          <w:rFonts w:ascii="SimSun" w:hAnsi="SimSun" w:eastAsia="SimSun" w:cs="SimSun"/>
          <w:sz w:val="22"/>
          <w:szCs w:val="22"/>
          <w:spacing w:val="-9"/>
        </w:rPr>
        <w:t>体系文件生效后，文件编制负责人必须不断地进行沟通、教育和推广云端数据</w:t>
      </w:r>
      <w:r>
        <w:rPr>
          <w:rFonts w:ascii="SimSun" w:hAnsi="SimSun" w:eastAsia="SimSun" w:cs="SimSun"/>
          <w:sz w:val="22"/>
          <w:szCs w:val="22"/>
          <w:spacing w:val="7"/>
        </w:rPr>
        <w:t xml:space="preserve"> </w:t>
      </w:r>
      <w:r>
        <w:rPr>
          <w:rFonts w:ascii="SimSun" w:hAnsi="SimSun" w:eastAsia="SimSun" w:cs="SimSun"/>
          <w:sz w:val="22"/>
          <w:szCs w:val="22"/>
          <w:spacing w:val="-8"/>
        </w:rPr>
        <w:t>治理体系的重要性以及数据治理的业务贡献，提高</w:t>
      </w:r>
      <w:r>
        <w:rPr>
          <w:rFonts w:ascii="SimSun" w:hAnsi="SimSun" w:eastAsia="SimSun" w:cs="SimSun"/>
          <w:sz w:val="22"/>
          <w:szCs w:val="22"/>
          <w:spacing w:val="-9"/>
        </w:rPr>
        <w:t>利益相关者对云端数据治理体系</w:t>
      </w:r>
      <w:r>
        <w:rPr>
          <w:rFonts w:ascii="SimSun" w:hAnsi="SimSun" w:eastAsia="SimSun" w:cs="SimSun"/>
          <w:sz w:val="22"/>
          <w:szCs w:val="22"/>
        </w:rPr>
        <w:t xml:space="preserve"> </w:t>
      </w:r>
      <w:r>
        <w:rPr>
          <w:rFonts w:ascii="SimSun" w:hAnsi="SimSun" w:eastAsia="SimSun" w:cs="SimSun"/>
          <w:sz w:val="22"/>
          <w:szCs w:val="22"/>
          <w:spacing w:val="-10"/>
        </w:rPr>
        <w:t>的效益意识和认可度。可通过以下三种方法对云端数据治理体系进行宣传贯彻。</w:t>
      </w:r>
    </w:p>
    <w:p>
      <w:pPr>
        <w:ind w:left="429"/>
        <w:spacing w:before="28" w:line="332" w:lineRule="exact"/>
        <w:rPr>
          <w:rFonts w:ascii="SimSun" w:hAnsi="SimSun" w:eastAsia="SimSun" w:cs="SimSun"/>
          <w:sz w:val="22"/>
          <w:szCs w:val="22"/>
        </w:rPr>
      </w:pPr>
      <w:r>
        <w:rPr>
          <w:rFonts w:ascii="SimSun" w:hAnsi="SimSun" w:eastAsia="SimSun" w:cs="SimSun"/>
          <w:sz w:val="22"/>
          <w:szCs w:val="22"/>
          <w:spacing w:val="-6"/>
          <w:position w:val="8"/>
        </w:rPr>
        <w:t>(1)在内部网站或者公告栏发布公告；</w:t>
      </w:r>
    </w:p>
    <w:p>
      <w:pPr>
        <w:ind w:left="429"/>
        <w:spacing w:line="219" w:lineRule="auto"/>
        <w:rPr>
          <w:rFonts w:ascii="SimSun" w:hAnsi="SimSun" w:eastAsia="SimSun" w:cs="SimSun"/>
          <w:sz w:val="22"/>
          <w:szCs w:val="22"/>
        </w:rPr>
      </w:pPr>
      <w:r>
        <w:rPr>
          <w:rFonts w:ascii="SimSun" w:hAnsi="SimSun" w:eastAsia="SimSun" w:cs="SimSun"/>
          <w:sz w:val="22"/>
          <w:szCs w:val="22"/>
          <w:spacing w:val="-6"/>
        </w:rPr>
        <w:t>(2)通过邮件或者信息分发相关信息；</w:t>
      </w:r>
    </w:p>
    <w:p>
      <w:pPr>
        <w:ind w:left="429"/>
        <w:spacing w:before="39" w:line="219" w:lineRule="auto"/>
        <w:rPr>
          <w:rFonts w:ascii="SimSun" w:hAnsi="SimSun" w:eastAsia="SimSun" w:cs="SimSun"/>
          <w:sz w:val="22"/>
          <w:szCs w:val="22"/>
        </w:rPr>
      </w:pPr>
      <w:r>
        <w:rPr>
          <w:rFonts w:ascii="SimSun" w:hAnsi="SimSun" w:eastAsia="SimSun" w:cs="SimSun"/>
          <w:sz w:val="22"/>
          <w:szCs w:val="22"/>
          <w:spacing w:val="-5"/>
        </w:rPr>
        <w:t>(3)对体系内所有人员进行培训。</w:t>
      </w:r>
    </w:p>
    <w:p>
      <w:pPr>
        <w:ind w:left="429"/>
        <w:spacing w:before="59" w:line="219" w:lineRule="auto"/>
        <w:rPr>
          <w:rFonts w:ascii="SimSun" w:hAnsi="SimSun" w:eastAsia="SimSun" w:cs="SimSun"/>
          <w:sz w:val="22"/>
          <w:szCs w:val="22"/>
        </w:rPr>
      </w:pPr>
      <w:r>
        <w:rPr>
          <w:rFonts w:ascii="SimSun" w:hAnsi="SimSun" w:eastAsia="SimSun" w:cs="SimSun"/>
          <w:sz w:val="22"/>
          <w:szCs w:val="22"/>
          <w:spacing w:val="-10"/>
        </w:rPr>
        <w:t>培训要取得成效，重点要把握以下要点。</w:t>
      </w:r>
    </w:p>
    <w:p>
      <w:pPr>
        <w:ind w:right="224" w:firstLine="429"/>
        <w:spacing w:before="49" w:line="252" w:lineRule="auto"/>
        <w:rPr>
          <w:rFonts w:ascii="SimSun" w:hAnsi="SimSun" w:eastAsia="SimSun" w:cs="SimSun"/>
          <w:sz w:val="22"/>
          <w:szCs w:val="22"/>
        </w:rPr>
      </w:pPr>
      <w:r>
        <w:rPr>
          <w:rFonts w:ascii="SimSun" w:hAnsi="SimSun" w:eastAsia="SimSun" w:cs="SimSun"/>
          <w:sz w:val="22"/>
          <w:szCs w:val="22"/>
          <w:spacing w:val="-5"/>
        </w:rPr>
        <w:t>(1)制订适宜的培训计划。体系内的所有员工必须进行云端数据治理体系知识</w:t>
      </w:r>
      <w:r>
        <w:rPr>
          <w:rFonts w:ascii="SimSun" w:hAnsi="SimSun" w:eastAsia="SimSun" w:cs="SimSun"/>
          <w:sz w:val="22"/>
          <w:szCs w:val="22"/>
          <w:spacing w:val="16"/>
        </w:rPr>
        <w:t xml:space="preserve"> </w:t>
      </w:r>
      <w:r>
        <w:rPr>
          <w:rFonts w:ascii="SimSun" w:hAnsi="SimSun" w:eastAsia="SimSun" w:cs="SimSun"/>
          <w:sz w:val="22"/>
          <w:szCs w:val="22"/>
          <w:spacing w:val="-9"/>
        </w:rPr>
        <w:t>及数据治理意识普及教育，内容主要包括战略、目标和云端数据策略。根据云端数</w:t>
      </w:r>
      <w:r>
        <w:rPr>
          <w:rFonts w:ascii="SimSun" w:hAnsi="SimSun" w:eastAsia="SimSun" w:cs="SimSun"/>
          <w:sz w:val="22"/>
          <w:szCs w:val="22"/>
          <w:spacing w:val="12"/>
        </w:rPr>
        <w:t xml:space="preserve"> </w:t>
      </w:r>
      <w:r>
        <w:rPr>
          <w:rFonts w:ascii="SimSun" w:hAnsi="SimSun" w:eastAsia="SimSun" w:cs="SimSun"/>
          <w:sz w:val="22"/>
          <w:szCs w:val="22"/>
          <w:spacing w:val="-10"/>
        </w:rPr>
        <w:t>据规程的要求，对影响规程执行的有效性的员工进行重点培训。</w:t>
      </w:r>
    </w:p>
    <w:p>
      <w:pPr>
        <w:ind w:right="243" w:firstLine="429"/>
        <w:spacing w:before="47" w:line="242" w:lineRule="auto"/>
        <w:rPr>
          <w:rFonts w:ascii="SimSun" w:hAnsi="SimSun" w:eastAsia="SimSun" w:cs="SimSun"/>
          <w:sz w:val="22"/>
          <w:szCs w:val="22"/>
        </w:rPr>
      </w:pPr>
      <w:r>
        <w:rPr>
          <w:rFonts w:ascii="SimSun" w:hAnsi="SimSun" w:eastAsia="SimSun" w:cs="SimSun"/>
          <w:sz w:val="22"/>
          <w:szCs w:val="22"/>
          <w:spacing w:val="-5"/>
        </w:rPr>
        <w:t>(2)与被培训员工不断沟通，收集培训反馈信息。每次培训结束后可评</w:t>
      </w:r>
      <w:r>
        <w:rPr>
          <w:rFonts w:ascii="SimSun" w:hAnsi="SimSun" w:eastAsia="SimSun" w:cs="SimSun"/>
          <w:sz w:val="22"/>
          <w:szCs w:val="22"/>
          <w:spacing w:val="-6"/>
        </w:rPr>
        <w:t>估培训</w:t>
      </w:r>
      <w:r>
        <w:rPr>
          <w:rFonts w:ascii="SimSun" w:hAnsi="SimSun" w:eastAsia="SimSun" w:cs="SimSun"/>
          <w:sz w:val="22"/>
          <w:szCs w:val="22"/>
        </w:rPr>
        <w:t xml:space="preserve"> </w:t>
      </w:r>
      <w:r>
        <w:rPr>
          <w:rFonts w:ascii="SimSun" w:hAnsi="SimSun" w:eastAsia="SimSun" w:cs="SimSun"/>
          <w:sz w:val="22"/>
          <w:szCs w:val="22"/>
          <w:spacing w:val="-10"/>
        </w:rPr>
        <w:t>效果，对培训内容本身的可实践性、对员工工作绩效的影响程度进行全面的评价，</w:t>
      </w:r>
      <w:r>
        <w:rPr>
          <w:rFonts w:ascii="SimSun" w:hAnsi="SimSun" w:eastAsia="SimSun" w:cs="SimSun"/>
          <w:sz w:val="22"/>
          <w:szCs w:val="22"/>
          <w:spacing w:val="18"/>
        </w:rPr>
        <w:t xml:space="preserve"> </w:t>
      </w:r>
      <w:r>
        <w:rPr>
          <w:rFonts w:ascii="SimSun" w:hAnsi="SimSun" w:eastAsia="SimSun" w:cs="SimSun"/>
          <w:sz w:val="22"/>
          <w:szCs w:val="22"/>
          <w:spacing w:val="-15"/>
        </w:rPr>
        <w:t>为以后的培训奠定基础。</w:t>
      </w:r>
    </w:p>
    <w:p>
      <w:pPr>
        <w:ind w:left="429"/>
        <w:spacing w:before="67" w:line="219" w:lineRule="auto"/>
        <w:rPr>
          <w:rFonts w:ascii="SimSun" w:hAnsi="SimSun" w:eastAsia="SimSun" w:cs="SimSun"/>
          <w:sz w:val="22"/>
          <w:szCs w:val="22"/>
        </w:rPr>
      </w:pPr>
      <w:r>
        <w:rPr>
          <w:rFonts w:ascii="SimSun" w:hAnsi="SimSun" w:eastAsia="SimSun" w:cs="SimSun"/>
          <w:sz w:val="22"/>
          <w:szCs w:val="22"/>
          <w:spacing w:val="-7"/>
        </w:rPr>
        <w:t>(3)形成培训的相关记录，利用记录分析和归纳培训的有效性。</w:t>
      </w:r>
    </w:p>
    <w:p>
      <w:pPr>
        <w:ind w:left="4"/>
        <w:spacing w:before="290" w:line="218" w:lineRule="auto"/>
        <w:outlineLvl w:val="6"/>
        <w:rPr>
          <w:rFonts w:ascii="YouYuan" w:hAnsi="YouYuan" w:eastAsia="YouYuan" w:cs="YouYuan"/>
          <w:sz w:val="29"/>
          <w:szCs w:val="29"/>
        </w:rPr>
      </w:pPr>
      <w:r>
        <w:rPr>
          <w:rFonts w:ascii="YouYuan" w:hAnsi="YouYuan" w:eastAsia="YouYuan" w:cs="YouYuan"/>
          <w:sz w:val="29"/>
          <w:szCs w:val="29"/>
          <w:b/>
          <w:bCs/>
          <w:spacing w:val="-6"/>
        </w:rPr>
        <w:t>11.2.2</w:t>
      </w:r>
      <w:r>
        <w:rPr>
          <w:rFonts w:ascii="YouYuan" w:hAnsi="YouYuan" w:eastAsia="YouYuan" w:cs="YouYuan"/>
          <w:sz w:val="29"/>
          <w:szCs w:val="29"/>
          <w:spacing w:val="-6"/>
        </w:rPr>
        <w:t xml:space="preserve">  </w:t>
      </w:r>
      <w:r>
        <w:rPr>
          <w:rFonts w:ascii="YouYuan" w:hAnsi="YouYuan" w:eastAsia="YouYuan" w:cs="YouYuan"/>
          <w:sz w:val="29"/>
          <w:szCs w:val="29"/>
          <w:b/>
          <w:bCs/>
          <w:spacing w:val="-6"/>
        </w:rPr>
        <w:t>实施策划</w:t>
      </w:r>
    </w:p>
    <w:p>
      <w:pPr>
        <w:pStyle w:val="BodyText"/>
        <w:spacing w:line="271" w:lineRule="auto"/>
        <w:rPr/>
      </w:pPr>
      <w:r/>
    </w:p>
    <w:p>
      <w:pPr>
        <w:ind w:right="177" w:firstLine="429"/>
        <w:spacing w:before="72" w:line="252" w:lineRule="auto"/>
        <w:rPr>
          <w:rFonts w:ascii="SimSun" w:hAnsi="SimSun" w:eastAsia="SimSun" w:cs="SimSun"/>
          <w:sz w:val="22"/>
          <w:szCs w:val="22"/>
        </w:rPr>
      </w:pPr>
      <w:r>
        <w:rPr>
          <w:rFonts w:ascii="SimSun" w:hAnsi="SimSun" w:eastAsia="SimSun" w:cs="SimSun"/>
          <w:sz w:val="22"/>
          <w:szCs w:val="22"/>
          <w:spacing w:val="-9"/>
        </w:rPr>
        <w:t>云端数据治理体系是识别、管理和解决云端数据相关问题的一种手段。组织可 </w:t>
      </w:r>
      <w:r>
        <w:rPr>
          <w:rFonts w:ascii="SimSun" w:hAnsi="SimSun" w:eastAsia="SimSun" w:cs="SimSun"/>
          <w:sz w:val="22"/>
          <w:szCs w:val="22"/>
          <w:spacing w:val="-9"/>
        </w:rPr>
        <w:t>以从对特定问题或领域进行数据治理的紧迫程度以及数据治理能够带来的价值来综 </w:t>
      </w:r>
      <w:r>
        <w:rPr>
          <w:rFonts w:ascii="SimSun" w:hAnsi="SimSun" w:eastAsia="SimSun" w:cs="SimSun"/>
          <w:sz w:val="22"/>
          <w:szCs w:val="22"/>
          <w:spacing w:val="-9"/>
        </w:rPr>
        <w:t>合衡量，对排名靠前的问题或领域优先进行试点云端数据治理体系验证。这样能充 </w:t>
      </w:r>
      <w:r>
        <w:rPr>
          <w:rFonts w:ascii="SimSun" w:hAnsi="SimSun" w:eastAsia="SimSun" w:cs="SimSun"/>
          <w:sz w:val="22"/>
          <w:szCs w:val="22"/>
          <w:spacing w:val="-11"/>
        </w:rPr>
        <w:t>分获得业务职能部门以及 </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1"/>
        </w:rPr>
        <w:t>部门的支持，从而保证云端数据治</w:t>
      </w:r>
      <w:r>
        <w:rPr>
          <w:rFonts w:ascii="SimSun" w:hAnsi="SimSun" w:eastAsia="SimSun" w:cs="SimSun"/>
          <w:sz w:val="22"/>
          <w:szCs w:val="22"/>
          <w:spacing w:val="-12"/>
        </w:rPr>
        <w:t>理体系的成功实施，</w:t>
      </w:r>
      <w:r>
        <w:rPr>
          <w:rFonts w:ascii="SimSun" w:hAnsi="SimSun" w:eastAsia="SimSun" w:cs="SimSun"/>
          <w:sz w:val="22"/>
          <w:szCs w:val="22"/>
        </w:rPr>
        <w:t xml:space="preserve"> </w:t>
      </w:r>
      <w:r>
        <w:rPr>
          <w:rFonts w:ascii="SimSun" w:hAnsi="SimSun" w:eastAsia="SimSun" w:cs="SimSun"/>
          <w:sz w:val="22"/>
          <w:szCs w:val="22"/>
          <w:spacing w:val="-13"/>
        </w:rPr>
        <w:t>等成功后再考虑扩展至其他领域。</w:t>
      </w:r>
    </w:p>
    <w:p>
      <w:pPr>
        <w:ind w:right="256" w:firstLine="429"/>
        <w:spacing w:before="51" w:line="249" w:lineRule="auto"/>
        <w:rPr>
          <w:rFonts w:ascii="SimSun" w:hAnsi="SimSun" w:eastAsia="SimSun" w:cs="SimSun"/>
          <w:sz w:val="22"/>
          <w:szCs w:val="22"/>
        </w:rPr>
      </w:pPr>
      <w:r>
        <w:rPr>
          <w:rFonts w:ascii="SimSun" w:hAnsi="SimSun" w:eastAsia="SimSun" w:cs="SimSun"/>
          <w:sz w:val="22"/>
          <w:szCs w:val="22"/>
          <w:spacing w:val="-9"/>
        </w:rPr>
        <w:t>云端数据治理的试点实施可以借鉴项目管理方法论，在有限的资源约束下，运</w:t>
      </w:r>
      <w:r>
        <w:rPr>
          <w:rFonts w:ascii="SimSun" w:hAnsi="SimSun" w:eastAsia="SimSun" w:cs="SimSun"/>
          <w:sz w:val="22"/>
          <w:szCs w:val="22"/>
          <w:spacing w:val="3"/>
        </w:rPr>
        <w:t xml:space="preserve"> </w:t>
      </w:r>
      <w:r>
        <w:rPr>
          <w:rFonts w:ascii="SimSun" w:hAnsi="SimSun" w:eastAsia="SimSun" w:cs="SimSun"/>
          <w:sz w:val="22"/>
          <w:szCs w:val="22"/>
          <w:spacing w:val="-9"/>
        </w:rPr>
        <w:t>用系统的观点、方法和理论，对试点领域涉及的云端数据治理体系全部工作进行有</w:t>
      </w:r>
      <w:r>
        <w:rPr>
          <w:rFonts w:ascii="SimSun" w:hAnsi="SimSun" w:eastAsia="SimSun" w:cs="SimSun"/>
          <w:sz w:val="22"/>
          <w:szCs w:val="22"/>
          <w:spacing w:val="13"/>
        </w:rPr>
        <w:t xml:space="preserve"> </w:t>
      </w:r>
      <w:r>
        <w:rPr>
          <w:rFonts w:ascii="SimSun" w:hAnsi="SimSun" w:eastAsia="SimSun" w:cs="SimSun"/>
          <w:sz w:val="22"/>
          <w:szCs w:val="22"/>
          <w:spacing w:val="-9"/>
        </w:rPr>
        <w:t>效的管理。即从项目的投资决策开始到项目结束的全过程进行计划、组织、指挥、</w:t>
      </w:r>
      <w:r>
        <w:rPr>
          <w:rFonts w:ascii="SimSun" w:hAnsi="SimSun" w:eastAsia="SimSun" w:cs="SimSun"/>
          <w:sz w:val="22"/>
          <w:szCs w:val="22"/>
          <w:spacing w:val="12"/>
        </w:rPr>
        <w:t xml:space="preserve"> </w:t>
      </w:r>
      <w:r>
        <w:rPr>
          <w:rFonts w:ascii="SimSun" w:hAnsi="SimSun" w:eastAsia="SimSun" w:cs="SimSun"/>
          <w:sz w:val="22"/>
          <w:szCs w:val="22"/>
          <w:spacing w:val="-13"/>
        </w:rPr>
        <w:t>协调、控制和评价，以实现项目的目标。</w:t>
      </w:r>
    </w:p>
    <w:p>
      <w:pPr>
        <w:ind w:right="248" w:firstLine="429"/>
        <w:spacing w:before="72" w:line="250" w:lineRule="auto"/>
        <w:rPr>
          <w:rFonts w:ascii="SimSun" w:hAnsi="SimSun" w:eastAsia="SimSun" w:cs="SimSun"/>
          <w:sz w:val="22"/>
          <w:szCs w:val="22"/>
        </w:rPr>
      </w:pPr>
      <w:r>
        <w:rPr>
          <w:rFonts w:ascii="SimSun" w:hAnsi="SimSun" w:eastAsia="SimSun" w:cs="SimSun"/>
          <w:sz w:val="22"/>
          <w:szCs w:val="22"/>
          <w:spacing w:val="-9"/>
        </w:rPr>
        <w:t>云端数据治理实施项目包含筹建云端数据治理制度，以及不断优化云端数据治</w:t>
      </w:r>
      <w:r>
        <w:rPr>
          <w:rFonts w:ascii="SimSun" w:hAnsi="SimSun" w:eastAsia="SimSun" w:cs="SimSun"/>
          <w:sz w:val="22"/>
          <w:szCs w:val="22"/>
          <w:spacing w:val="13"/>
        </w:rPr>
        <w:t xml:space="preserve"> </w:t>
      </w:r>
      <w:r>
        <w:rPr>
          <w:rFonts w:ascii="SimSun" w:hAnsi="SimSun" w:eastAsia="SimSun" w:cs="SimSun"/>
          <w:sz w:val="22"/>
          <w:szCs w:val="22"/>
          <w:spacing w:val="-13"/>
        </w:rPr>
        <w:t>理制度的过程。因此云端数据治理实施的过程包含了两个层面</w:t>
      </w:r>
      <w:r>
        <w:rPr>
          <w:rFonts w:ascii="SimSun" w:hAnsi="SimSun" w:eastAsia="SimSun" w:cs="SimSun"/>
          <w:sz w:val="22"/>
          <w:szCs w:val="22"/>
          <w:spacing w:val="-14"/>
        </w:rPr>
        <w:t>的工作：</w:t>
      </w:r>
      <w:r>
        <w:rPr>
          <w:rFonts w:ascii="SimSun" w:hAnsi="SimSun" w:eastAsia="SimSun" w:cs="SimSun"/>
          <w:sz w:val="22"/>
          <w:szCs w:val="22"/>
          <w:spacing w:val="56"/>
        </w:rPr>
        <w:t xml:space="preserve"> </w:t>
      </w:r>
      <w:r>
        <w:rPr>
          <w:rFonts w:ascii="SimSun" w:hAnsi="SimSun" w:eastAsia="SimSun" w:cs="SimSun"/>
          <w:sz w:val="22"/>
          <w:szCs w:val="22"/>
          <w:spacing w:val="-14"/>
        </w:rPr>
        <w:t>一个层面是</w:t>
      </w:r>
      <w:r>
        <w:rPr>
          <w:rFonts w:ascii="SimSun" w:hAnsi="SimSun" w:eastAsia="SimSun" w:cs="SimSun"/>
          <w:sz w:val="22"/>
          <w:szCs w:val="22"/>
        </w:rPr>
        <w:t xml:space="preserve"> </w:t>
      </w:r>
      <w:r>
        <w:rPr>
          <w:rFonts w:ascii="SimSun" w:hAnsi="SimSun" w:eastAsia="SimSun" w:cs="SimSun"/>
          <w:sz w:val="22"/>
          <w:szCs w:val="22"/>
          <w:spacing w:val="-9"/>
        </w:rPr>
        <w:t>具体的云端数据治理体系文件的实施过程；另一个层面是把成功实施的制度转化为</w:t>
      </w:r>
      <w:r>
        <w:rPr>
          <w:rFonts w:ascii="SimSun" w:hAnsi="SimSun" w:eastAsia="SimSun" w:cs="SimSun"/>
          <w:sz w:val="22"/>
          <w:szCs w:val="22"/>
          <w:spacing w:val="13"/>
        </w:rPr>
        <w:t xml:space="preserve"> </w:t>
      </w:r>
      <w:r>
        <w:rPr>
          <w:rFonts w:ascii="SimSun" w:hAnsi="SimSun" w:eastAsia="SimSun" w:cs="SimSun"/>
          <w:sz w:val="22"/>
          <w:szCs w:val="22"/>
          <w:spacing w:val="-12"/>
        </w:rPr>
        <w:t>日常工作，并且进行持续改进的过程。</w:t>
      </w:r>
    </w:p>
    <w:p>
      <w:pPr>
        <w:spacing w:line="250" w:lineRule="auto"/>
        <w:sectPr>
          <w:footerReference w:type="default" r:id="rId490"/>
          <w:pgSz w:w="8870" w:h="13400"/>
          <w:pgMar w:top="400" w:right="602" w:bottom="594" w:left="400" w:header="0" w:footer="376" w:gutter="0"/>
        </w:sectPr>
        <w:rPr>
          <w:rFonts w:ascii="SimSun" w:hAnsi="SimSun" w:eastAsia="SimSun" w:cs="SimSun"/>
          <w:sz w:val="22"/>
          <w:szCs w:val="22"/>
        </w:rPr>
      </w:pPr>
    </w:p>
    <w:p>
      <w:pPr>
        <w:ind w:left="130"/>
        <w:spacing w:before="159"/>
        <w:rPr>
          <w:rFonts w:ascii="SimSun" w:hAnsi="SimSun" w:eastAsia="SimSun" w:cs="SimSun"/>
          <w:sz w:val="21"/>
          <w:szCs w:val="21"/>
        </w:rPr>
      </w:pPr>
      <w:r>
        <w:rPr>
          <w:rFonts w:ascii="SimSun" w:hAnsi="SimSun" w:eastAsia="SimSun" w:cs="SimSun"/>
          <w:sz w:val="21"/>
          <w:szCs w:val="21"/>
          <w:position w:val="-10"/>
        </w:rPr>
        <w:drawing>
          <wp:inline distT="0" distB="0" distL="0" distR="0">
            <wp:extent cx="6308" cy="228637"/>
            <wp:effectExtent l="0" t="0" r="0" b="0"/>
            <wp:docPr id="342" name="IM 342"/>
            <wp:cNvGraphicFramePr/>
            <a:graphic>
              <a:graphicData uri="http://schemas.openxmlformats.org/drawingml/2006/picture">
                <pic:pic>
                  <pic:nvPicPr>
                    <pic:cNvPr id="342" name="IM 342"/>
                    <pic:cNvPicPr/>
                  </pic:nvPicPr>
                  <pic:blipFill>
                    <a:blip r:embed="rId492"/>
                    <a:stretch>
                      <a:fillRect/>
                    </a:stretch>
                  </pic:blipFill>
                  <pic:spPr>
                    <a:xfrm rot="0">
                      <a:off x="0" y="0"/>
                      <a:ext cx="6308" cy="228637"/>
                    </a:xfrm>
                    <a:prstGeom prst="rect">
                      <a:avLst/>
                    </a:prstGeom>
                  </pic:spPr>
                </pic:pic>
              </a:graphicData>
            </a:graphic>
          </wp:inline>
        </w:drawing>
      </w:r>
      <w:r>
        <w:rPr>
          <w:rFonts w:ascii="SimSun" w:hAnsi="SimSun" w:eastAsia="SimSun" w:cs="SimSun"/>
          <w:sz w:val="21"/>
          <w:szCs w:val="21"/>
          <w:spacing w:val="-13"/>
        </w:rPr>
        <w:t xml:space="preserve"> </w:t>
      </w:r>
      <w:r>
        <w:rPr>
          <w:rFonts w:ascii="SimSun" w:hAnsi="SimSun" w:eastAsia="SimSun" w:cs="SimSun"/>
          <w:sz w:val="21"/>
          <w:szCs w:val="21"/>
          <w:b/>
          <w:bCs/>
          <w:spacing w:val="-25"/>
        </w:rPr>
        <w:t>■云端数据治理■</w:t>
      </w:r>
    </w:p>
    <w:p>
      <w:pPr>
        <w:ind w:left="229" w:right="58" w:firstLine="479"/>
        <w:spacing w:before="289" w:line="249" w:lineRule="auto"/>
        <w:jc w:val="both"/>
        <w:rPr>
          <w:rFonts w:ascii="SimSun" w:hAnsi="SimSun" w:eastAsia="SimSun" w:cs="SimSun"/>
          <w:sz w:val="21"/>
          <w:szCs w:val="21"/>
        </w:rPr>
      </w:pPr>
      <w:r>
        <w:rPr>
          <w:rFonts w:ascii="SimSun" w:hAnsi="SimSun" w:eastAsia="SimSun" w:cs="SimSun"/>
          <w:sz w:val="21"/>
          <w:szCs w:val="21"/>
          <w:spacing w:val="5"/>
        </w:rPr>
        <w:t>组织在实施云端数据治理项目时，须同步调查各阶层员工(如数据管理人员和</w:t>
      </w:r>
      <w:r>
        <w:rPr>
          <w:rFonts w:ascii="SimSun" w:hAnsi="SimSun" w:eastAsia="SimSun" w:cs="SimSun"/>
          <w:sz w:val="21"/>
          <w:szCs w:val="21"/>
          <w:spacing w:val="1"/>
        </w:rPr>
        <w:t xml:space="preserve"> </w:t>
      </w:r>
      <w:r>
        <w:rPr>
          <w:rFonts w:ascii="SimSun" w:hAnsi="SimSun" w:eastAsia="SimSun" w:cs="SimSun"/>
          <w:sz w:val="21"/>
          <w:szCs w:val="21"/>
          <w:spacing w:val="5"/>
        </w:rPr>
        <w:t>业务部门利益相关者)对云端数据治理体系</w:t>
      </w:r>
      <w:r>
        <w:rPr>
          <w:rFonts w:ascii="SimSun" w:hAnsi="SimSun" w:eastAsia="SimSun" w:cs="SimSun"/>
          <w:sz w:val="21"/>
          <w:szCs w:val="21"/>
          <w:spacing w:val="4"/>
        </w:rPr>
        <w:t>的了解及掌握程度，查看公司内部审计</w:t>
      </w:r>
      <w:r>
        <w:rPr>
          <w:rFonts w:ascii="SimSun" w:hAnsi="SimSun" w:eastAsia="SimSun" w:cs="SimSun"/>
          <w:sz w:val="21"/>
          <w:szCs w:val="21"/>
        </w:rPr>
        <w:t xml:space="preserve"> </w:t>
      </w:r>
      <w:r>
        <w:rPr>
          <w:rFonts w:ascii="SimSun" w:hAnsi="SimSun" w:eastAsia="SimSun" w:cs="SimSun"/>
          <w:sz w:val="21"/>
          <w:szCs w:val="21"/>
          <w:spacing w:val="-4"/>
        </w:rPr>
        <w:t>资源能否达到公司发展需求。</w:t>
      </w:r>
    </w:p>
    <w:p>
      <w:pPr>
        <w:ind w:left="234"/>
        <w:spacing w:before="328" w:line="222" w:lineRule="auto"/>
        <w:outlineLvl w:val="6"/>
        <w:rPr>
          <w:rFonts w:ascii="YouYuan" w:hAnsi="YouYuan" w:eastAsia="YouYuan" w:cs="YouYuan"/>
          <w:sz w:val="29"/>
          <w:szCs w:val="29"/>
        </w:rPr>
      </w:pPr>
      <w:r>
        <w:rPr>
          <w:rFonts w:ascii="YouYuan" w:hAnsi="YouYuan" w:eastAsia="YouYuan" w:cs="YouYuan"/>
          <w:sz w:val="29"/>
          <w:szCs w:val="29"/>
          <w:b/>
          <w:bCs/>
          <w:spacing w:val="-9"/>
        </w:rPr>
        <w:t>11.2.3</w:t>
      </w:r>
      <w:r>
        <w:rPr>
          <w:rFonts w:ascii="YouYuan" w:hAnsi="YouYuan" w:eastAsia="YouYuan" w:cs="YouYuan"/>
          <w:sz w:val="29"/>
          <w:szCs w:val="29"/>
          <w:spacing w:val="127"/>
        </w:rPr>
        <w:t xml:space="preserve"> </w:t>
      </w:r>
      <w:r>
        <w:rPr>
          <w:rFonts w:ascii="YouYuan" w:hAnsi="YouYuan" w:eastAsia="YouYuan" w:cs="YouYuan"/>
          <w:sz w:val="29"/>
          <w:szCs w:val="29"/>
          <w:b/>
          <w:bCs/>
          <w:spacing w:val="-9"/>
        </w:rPr>
        <w:t>项目启动</w:t>
      </w:r>
    </w:p>
    <w:p>
      <w:pPr>
        <w:pStyle w:val="BodyText"/>
        <w:spacing w:line="283" w:lineRule="auto"/>
        <w:rPr/>
      </w:pPr>
      <w:r/>
    </w:p>
    <w:p>
      <w:pPr>
        <w:ind w:left="229" w:right="90" w:firstLine="479"/>
        <w:spacing w:before="69" w:line="253" w:lineRule="auto"/>
        <w:jc w:val="both"/>
        <w:rPr>
          <w:rFonts w:ascii="SimSun" w:hAnsi="SimSun" w:eastAsia="SimSun" w:cs="SimSun"/>
          <w:sz w:val="21"/>
          <w:szCs w:val="21"/>
        </w:rPr>
      </w:pPr>
      <w:r>
        <w:rPr>
          <w:rFonts w:ascii="SimSun" w:hAnsi="SimSun" w:eastAsia="SimSun" w:cs="SimSun"/>
          <w:sz w:val="21"/>
          <w:szCs w:val="21"/>
          <w:spacing w:val="1"/>
        </w:rPr>
        <w:t>在项目启动阶段，组织应基于过程模型，确定云端数据治理项目目标、范围、</w:t>
      </w:r>
      <w:r>
        <w:rPr>
          <w:rFonts w:ascii="SimSun" w:hAnsi="SimSun" w:eastAsia="SimSun" w:cs="SimSun"/>
          <w:sz w:val="21"/>
          <w:szCs w:val="21"/>
        </w:rPr>
        <w:t xml:space="preserve"> </w:t>
      </w:r>
      <w:r>
        <w:rPr>
          <w:rFonts w:ascii="SimSun" w:hAnsi="SimSun" w:eastAsia="SimSun" w:cs="SimSun"/>
          <w:sz w:val="21"/>
          <w:szCs w:val="21"/>
          <w:spacing w:val="2"/>
        </w:rPr>
        <w:t>进度和质量要求，并制订项目总体计划。同时</w:t>
      </w:r>
      <w:r>
        <w:rPr>
          <w:rFonts w:ascii="SimSun" w:hAnsi="SimSun" w:eastAsia="SimSun" w:cs="SimSun"/>
          <w:sz w:val="21"/>
          <w:szCs w:val="21"/>
          <w:spacing w:val="1"/>
        </w:rPr>
        <w:t>，基于项目要求，挑选合适的项目组</w:t>
      </w:r>
      <w:r>
        <w:rPr>
          <w:rFonts w:ascii="SimSun" w:hAnsi="SimSun" w:eastAsia="SimSun" w:cs="SimSun"/>
          <w:sz w:val="21"/>
          <w:szCs w:val="21"/>
        </w:rPr>
        <w:t xml:space="preserve"> </w:t>
      </w:r>
      <w:r>
        <w:rPr>
          <w:rFonts w:ascii="SimSun" w:hAnsi="SimSun" w:eastAsia="SimSun" w:cs="SimSun"/>
          <w:sz w:val="21"/>
          <w:szCs w:val="21"/>
          <w:spacing w:val="2"/>
        </w:rPr>
        <w:t>成员，成立项目组。组织可召开项目启动会，正式启</w:t>
      </w:r>
      <w:r>
        <w:rPr>
          <w:rFonts w:ascii="SimSun" w:hAnsi="SimSun" w:eastAsia="SimSun" w:cs="SimSun"/>
          <w:sz w:val="21"/>
          <w:szCs w:val="21"/>
          <w:spacing w:val="1"/>
        </w:rPr>
        <w:t>动项目，向相关领导介绍实施</w:t>
      </w:r>
      <w:r>
        <w:rPr>
          <w:rFonts w:ascii="SimSun" w:hAnsi="SimSun" w:eastAsia="SimSun" w:cs="SimSun"/>
          <w:sz w:val="21"/>
          <w:szCs w:val="21"/>
        </w:rPr>
        <w:t xml:space="preserve"> </w:t>
      </w:r>
      <w:r>
        <w:rPr>
          <w:rFonts w:ascii="SimSun" w:hAnsi="SimSun" w:eastAsia="SimSun" w:cs="SimSun"/>
          <w:sz w:val="21"/>
          <w:szCs w:val="21"/>
          <w:spacing w:val="-5"/>
        </w:rPr>
        <w:t>方法及总体计划。</w:t>
      </w:r>
    </w:p>
    <w:p>
      <w:pPr>
        <w:ind w:left="712"/>
        <w:spacing w:before="209" w:line="222" w:lineRule="auto"/>
        <w:outlineLvl w:val="6"/>
        <w:rPr>
          <w:rFonts w:ascii="YouYuan" w:hAnsi="YouYuan" w:eastAsia="YouYuan" w:cs="YouYuan"/>
          <w:sz w:val="21"/>
          <w:szCs w:val="21"/>
        </w:rPr>
      </w:pPr>
      <w:r>
        <w:rPr>
          <w:rFonts w:ascii="YouYuan" w:hAnsi="YouYuan" w:eastAsia="YouYuan" w:cs="YouYuan"/>
          <w:sz w:val="21"/>
          <w:szCs w:val="21"/>
          <w:b/>
          <w:bCs/>
          <w:spacing w:val="5"/>
        </w:rPr>
        <w:t>1.</w:t>
      </w:r>
      <w:r>
        <w:rPr>
          <w:rFonts w:ascii="YouYuan" w:hAnsi="YouYuan" w:eastAsia="YouYuan" w:cs="YouYuan"/>
          <w:sz w:val="21"/>
          <w:szCs w:val="21"/>
          <w:spacing w:val="5"/>
        </w:rPr>
        <w:t xml:space="preserve"> </w:t>
      </w:r>
      <w:r>
        <w:rPr>
          <w:rFonts w:ascii="YouYuan" w:hAnsi="YouYuan" w:eastAsia="YouYuan" w:cs="YouYuan"/>
          <w:sz w:val="21"/>
          <w:szCs w:val="21"/>
          <w:b/>
          <w:bCs/>
          <w:spacing w:val="5"/>
        </w:rPr>
        <w:t>确定项目目标</w:t>
      </w:r>
    </w:p>
    <w:p>
      <w:pPr>
        <w:ind w:left="229" w:right="96" w:firstLine="479"/>
        <w:spacing w:before="245" w:line="246" w:lineRule="auto"/>
        <w:rPr>
          <w:rFonts w:ascii="SimSun" w:hAnsi="SimSun" w:eastAsia="SimSun" w:cs="SimSun"/>
          <w:sz w:val="21"/>
          <w:szCs w:val="21"/>
        </w:rPr>
      </w:pPr>
      <w:r>
        <w:rPr>
          <w:rFonts w:ascii="SimSun" w:hAnsi="SimSun" w:eastAsia="SimSun" w:cs="SimSun"/>
          <w:sz w:val="21"/>
          <w:szCs w:val="21"/>
          <w:spacing w:val="1"/>
        </w:rPr>
        <w:t>实施云端数据治理项目的目标是验证云端数据治理体系的统筹和</w:t>
      </w:r>
      <w:r>
        <w:rPr>
          <w:rFonts w:ascii="SimSun" w:hAnsi="SimSun" w:eastAsia="SimSun" w:cs="SimSun"/>
          <w:sz w:val="21"/>
          <w:szCs w:val="21"/>
        </w:rPr>
        <w:t>规划，包括体 </w:t>
      </w:r>
      <w:r>
        <w:rPr>
          <w:rFonts w:ascii="SimSun" w:hAnsi="SimSun" w:eastAsia="SimSun" w:cs="SimSun"/>
          <w:sz w:val="21"/>
          <w:szCs w:val="21"/>
          <w:spacing w:val="-1"/>
        </w:rPr>
        <w:t>系目标、云端数据策略和规程等策划的适宜性、充分性和有效性。</w:t>
      </w:r>
    </w:p>
    <w:p>
      <w:pPr>
        <w:ind w:left="709"/>
        <w:spacing w:before="81" w:line="219" w:lineRule="auto"/>
        <w:rPr>
          <w:rFonts w:ascii="SimSun" w:hAnsi="SimSun" w:eastAsia="SimSun" w:cs="SimSun"/>
          <w:sz w:val="21"/>
          <w:szCs w:val="21"/>
        </w:rPr>
      </w:pPr>
      <w:r>
        <w:rPr>
          <w:rFonts w:ascii="SimSun" w:hAnsi="SimSun" w:eastAsia="SimSun" w:cs="SimSun"/>
          <w:sz w:val="21"/>
          <w:szCs w:val="21"/>
          <w:spacing w:val="-1"/>
        </w:rPr>
        <w:t>例如，某组织的云端数据治理项目目标包括以下内容。</w:t>
      </w:r>
    </w:p>
    <w:p>
      <w:pPr>
        <w:ind w:left="229" w:firstLine="479"/>
        <w:spacing w:before="69" w:line="242" w:lineRule="auto"/>
        <w:rPr>
          <w:rFonts w:ascii="SimSun" w:hAnsi="SimSun" w:eastAsia="SimSun" w:cs="SimSun"/>
          <w:sz w:val="21"/>
          <w:szCs w:val="21"/>
        </w:rPr>
      </w:pPr>
      <w:r>
        <w:rPr>
          <w:rFonts w:ascii="SimSun" w:hAnsi="SimSun" w:eastAsia="SimSun" w:cs="SimSun"/>
          <w:sz w:val="21"/>
          <w:szCs w:val="21"/>
          <w:spacing w:val="1"/>
        </w:rPr>
        <w:t>(1)数据质量：整合数据源、创建一致的</w:t>
      </w:r>
      <w:r>
        <w:rPr>
          <w:rFonts w:ascii="SimSun" w:hAnsi="SimSun" w:eastAsia="SimSun" w:cs="SimSun"/>
          <w:sz w:val="21"/>
          <w:szCs w:val="21"/>
        </w:rPr>
        <w:t>数据副本、交互提供数据或整合数据、 </w:t>
      </w:r>
      <w:r>
        <w:rPr>
          <w:rFonts w:ascii="SimSun" w:hAnsi="SimSun" w:eastAsia="SimSun" w:cs="SimSun"/>
          <w:sz w:val="21"/>
          <w:szCs w:val="21"/>
          <w:spacing w:val="-2"/>
        </w:rPr>
        <w:t>实现可定义的数据质量检查和维度分析及问题跟踪。</w:t>
      </w:r>
    </w:p>
    <w:p>
      <w:pPr>
        <w:ind w:left="229" w:right="66" w:firstLine="479"/>
        <w:spacing w:before="80" w:line="233" w:lineRule="auto"/>
        <w:rPr>
          <w:rFonts w:ascii="SimSun" w:hAnsi="SimSun" w:eastAsia="SimSun" w:cs="SimSun"/>
          <w:sz w:val="21"/>
          <w:szCs w:val="21"/>
        </w:rPr>
      </w:pPr>
      <w:r>
        <w:rPr>
          <w:rFonts w:ascii="SimSun" w:hAnsi="SimSun" w:eastAsia="SimSun" w:cs="SimSun"/>
          <w:sz w:val="21"/>
          <w:szCs w:val="21"/>
          <w:spacing w:val="5"/>
        </w:rPr>
        <w:t>(2)数据架构：消除数据的不一致性，定义标准的</w:t>
      </w:r>
      <w:r>
        <w:rPr>
          <w:rFonts w:ascii="SimSun" w:hAnsi="SimSun" w:eastAsia="SimSun" w:cs="SimSun"/>
          <w:sz w:val="21"/>
          <w:szCs w:val="21"/>
          <w:spacing w:val="4"/>
        </w:rPr>
        <w:t>业务数据词汇表，有利于数</w:t>
      </w:r>
      <w:r>
        <w:rPr>
          <w:rFonts w:ascii="SimSun" w:hAnsi="SimSun" w:eastAsia="SimSun" w:cs="SimSun"/>
          <w:sz w:val="21"/>
          <w:szCs w:val="21"/>
        </w:rPr>
        <w:t xml:space="preserve"> </w:t>
      </w:r>
      <w:r>
        <w:rPr>
          <w:rFonts w:ascii="SimSun" w:hAnsi="SimSun" w:eastAsia="SimSun" w:cs="SimSun"/>
          <w:sz w:val="21"/>
          <w:szCs w:val="21"/>
          <w:spacing w:val="-8"/>
        </w:rPr>
        <w:t>据共享。</w:t>
      </w:r>
    </w:p>
    <w:p>
      <w:pPr>
        <w:ind w:left="709"/>
        <w:spacing w:before="61" w:line="219" w:lineRule="auto"/>
        <w:rPr>
          <w:rFonts w:ascii="SimSun" w:hAnsi="SimSun" w:eastAsia="SimSun" w:cs="SimSun"/>
          <w:sz w:val="21"/>
          <w:szCs w:val="21"/>
        </w:rPr>
      </w:pPr>
      <w:r>
        <w:rPr>
          <w:rFonts w:ascii="SimSun" w:hAnsi="SimSun" w:eastAsia="SimSun" w:cs="SimSun"/>
          <w:sz w:val="21"/>
          <w:szCs w:val="21"/>
          <w:spacing w:val="3"/>
        </w:rPr>
        <w:t>(3)数据安全：定义数据安全标准、制订数据</w:t>
      </w:r>
      <w:r>
        <w:rPr>
          <w:rFonts w:ascii="SimSun" w:hAnsi="SimSun" w:eastAsia="SimSun" w:cs="SimSun"/>
          <w:sz w:val="21"/>
          <w:szCs w:val="21"/>
          <w:spacing w:val="2"/>
        </w:rPr>
        <w:t>安全措施、管理访问权限等。</w:t>
      </w:r>
    </w:p>
    <w:p>
      <w:pPr>
        <w:ind w:left="712"/>
        <w:spacing w:before="214" w:line="224" w:lineRule="auto"/>
        <w:outlineLvl w:val="6"/>
        <w:rPr>
          <w:rFonts w:ascii="YouYuan" w:hAnsi="YouYuan" w:eastAsia="YouYuan" w:cs="YouYuan"/>
          <w:sz w:val="21"/>
          <w:szCs w:val="21"/>
        </w:rPr>
      </w:pPr>
      <w:r>
        <w:rPr>
          <w:rFonts w:ascii="YouYuan" w:hAnsi="YouYuan" w:eastAsia="YouYuan" w:cs="YouYuan"/>
          <w:sz w:val="21"/>
          <w:szCs w:val="21"/>
          <w:b/>
          <w:bCs/>
          <w:spacing w:val="8"/>
        </w:rPr>
        <w:t>2.</w:t>
      </w:r>
      <w:r>
        <w:rPr>
          <w:rFonts w:ascii="YouYuan" w:hAnsi="YouYuan" w:eastAsia="YouYuan" w:cs="YouYuan"/>
          <w:sz w:val="21"/>
          <w:szCs w:val="21"/>
          <w:spacing w:val="8"/>
        </w:rPr>
        <w:t xml:space="preserve"> </w:t>
      </w:r>
      <w:r>
        <w:rPr>
          <w:rFonts w:ascii="YouYuan" w:hAnsi="YouYuan" w:eastAsia="YouYuan" w:cs="YouYuan"/>
          <w:sz w:val="21"/>
          <w:szCs w:val="21"/>
          <w:b/>
          <w:bCs/>
          <w:spacing w:val="8"/>
        </w:rPr>
        <w:t>确定项目范围</w:t>
      </w:r>
    </w:p>
    <w:p>
      <w:pPr>
        <w:ind w:left="229" w:right="96" w:firstLine="479"/>
        <w:spacing w:before="230" w:line="261" w:lineRule="auto"/>
        <w:jc w:val="both"/>
        <w:rPr>
          <w:rFonts w:ascii="SimSun" w:hAnsi="SimSun" w:eastAsia="SimSun" w:cs="SimSun"/>
          <w:sz w:val="21"/>
          <w:szCs w:val="21"/>
        </w:rPr>
      </w:pPr>
      <w:r>
        <w:rPr>
          <w:rFonts w:ascii="SimSun" w:hAnsi="SimSun" w:eastAsia="SimSun" w:cs="SimSun"/>
          <w:sz w:val="21"/>
          <w:szCs w:val="21"/>
          <w:spacing w:val="7"/>
        </w:rPr>
        <w:t>云端数据治理的核心是为业务提供持续的、可度量的价值。组织可围绕一个</w:t>
      </w:r>
      <w:r>
        <w:rPr>
          <w:rFonts w:ascii="SimSun" w:hAnsi="SimSun" w:eastAsia="SimSun" w:cs="SimSun"/>
          <w:sz w:val="21"/>
          <w:szCs w:val="21"/>
          <w:spacing w:val="6"/>
        </w:rPr>
        <w:t xml:space="preserve"> </w:t>
      </w:r>
      <w:r>
        <w:rPr>
          <w:rFonts w:ascii="SimSun" w:hAnsi="SimSun" w:eastAsia="SimSun" w:cs="SimSun"/>
          <w:sz w:val="21"/>
          <w:szCs w:val="21"/>
          <w:spacing w:val="8"/>
        </w:rPr>
        <w:t>特定的业务问题定义云端数据治理的范围，对业务问题的识别和管理过程</w:t>
      </w:r>
      <w:r>
        <w:rPr>
          <w:rFonts w:ascii="SimSun" w:hAnsi="SimSun" w:eastAsia="SimSun" w:cs="SimSun"/>
          <w:sz w:val="21"/>
          <w:szCs w:val="21"/>
          <w:spacing w:val="7"/>
        </w:rPr>
        <w:t>包括以</w:t>
      </w:r>
      <w:r>
        <w:rPr>
          <w:rFonts w:ascii="SimSun" w:hAnsi="SimSun" w:eastAsia="SimSun" w:cs="SimSun"/>
          <w:sz w:val="21"/>
          <w:szCs w:val="21"/>
        </w:rPr>
        <w:t xml:space="preserve"> </w:t>
      </w:r>
      <w:r>
        <w:rPr>
          <w:rFonts w:ascii="SimSun" w:hAnsi="SimSun" w:eastAsia="SimSun" w:cs="SimSun"/>
          <w:sz w:val="21"/>
          <w:szCs w:val="21"/>
          <w:spacing w:val="-3"/>
        </w:rPr>
        <w:t>下内容。</w:t>
      </w:r>
    </w:p>
    <w:p>
      <w:pPr>
        <w:ind w:left="709"/>
        <w:spacing w:before="48" w:line="311" w:lineRule="exact"/>
        <w:rPr>
          <w:rFonts w:ascii="SimSun" w:hAnsi="SimSun" w:eastAsia="SimSun" w:cs="SimSun"/>
          <w:sz w:val="21"/>
          <w:szCs w:val="21"/>
        </w:rPr>
      </w:pPr>
      <w:r>
        <w:rPr>
          <w:rFonts w:ascii="STXingkai" w:hAnsi="STXingkai" w:eastAsia="STXingkai" w:cs="STXingkai"/>
          <w:sz w:val="21"/>
          <w:szCs w:val="21"/>
          <w:spacing w:val="-7"/>
          <w:position w:val="2"/>
        </w:rPr>
        <w:t>●</w:t>
      </w:r>
      <w:r>
        <w:rPr>
          <w:rFonts w:ascii="STXingkai" w:hAnsi="STXingkai" w:eastAsia="STXingkai" w:cs="STXingkai"/>
          <w:sz w:val="21"/>
          <w:szCs w:val="21"/>
          <w:spacing w:val="52"/>
          <w:w w:val="101"/>
          <w:position w:val="2"/>
        </w:rPr>
        <w:t xml:space="preserve"> </w:t>
      </w:r>
      <w:r>
        <w:rPr>
          <w:rFonts w:ascii="SimSun" w:hAnsi="SimSun" w:eastAsia="SimSun" w:cs="SimSun"/>
          <w:sz w:val="21"/>
          <w:szCs w:val="21"/>
          <w:spacing w:val="-7"/>
          <w:position w:val="2"/>
        </w:rPr>
        <w:t>识别、采集和记录业务问题；</w:t>
      </w:r>
    </w:p>
    <w:p>
      <w:pPr>
        <w:ind w:left="709"/>
        <w:spacing w:before="1" w:line="219" w:lineRule="auto"/>
        <w:rPr>
          <w:rFonts w:ascii="SimSun" w:hAnsi="SimSun" w:eastAsia="SimSun" w:cs="SimSun"/>
          <w:sz w:val="21"/>
          <w:szCs w:val="21"/>
        </w:rPr>
      </w:pPr>
      <w:r>
        <w:rPr>
          <w:rFonts w:ascii="SimSun" w:hAnsi="SimSun" w:eastAsia="SimSun" w:cs="SimSun"/>
          <w:sz w:val="21"/>
          <w:szCs w:val="21"/>
          <w:spacing w:val="-1"/>
        </w:rPr>
        <w:t>●跟踪问题，寻找问题的根本原因；</w:t>
      </w:r>
    </w:p>
    <w:p>
      <w:pPr>
        <w:ind w:left="709"/>
        <w:spacing w:before="73" w:line="220" w:lineRule="auto"/>
        <w:rPr>
          <w:rFonts w:ascii="SimSun" w:hAnsi="SimSun" w:eastAsia="SimSun" w:cs="SimSun"/>
          <w:sz w:val="21"/>
          <w:szCs w:val="21"/>
        </w:rPr>
      </w:pPr>
      <w:r>
        <w:rPr>
          <w:rFonts w:ascii="SimSun" w:hAnsi="SimSun" w:eastAsia="SimSun" w:cs="SimSun"/>
          <w:sz w:val="21"/>
          <w:szCs w:val="21"/>
          <w:spacing w:val="1"/>
        </w:rPr>
        <w:t>●记录利益相关者的观点；</w:t>
      </w:r>
    </w:p>
    <w:p>
      <w:pPr>
        <w:ind w:left="709"/>
        <w:spacing w:before="48" w:line="219" w:lineRule="auto"/>
        <w:rPr>
          <w:rFonts w:ascii="SimSun" w:hAnsi="SimSun" w:eastAsia="SimSun" w:cs="SimSun"/>
          <w:sz w:val="21"/>
          <w:szCs w:val="21"/>
        </w:rPr>
      </w:pPr>
      <w:r>
        <w:rPr>
          <w:rFonts w:ascii="SimSun" w:hAnsi="SimSun" w:eastAsia="SimSun" w:cs="SimSun"/>
          <w:sz w:val="21"/>
          <w:szCs w:val="21"/>
        </w:rPr>
        <w:t>●获得云端数据治理委员会对方案的授权；</w:t>
      </w:r>
    </w:p>
    <w:p>
      <w:pPr>
        <w:ind w:left="709"/>
        <w:spacing w:before="69" w:line="310" w:lineRule="exact"/>
        <w:rPr>
          <w:rFonts w:ascii="SimSun" w:hAnsi="SimSun" w:eastAsia="SimSun" w:cs="SimSun"/>
          <w:sz w:val="21"/>
          <w:szCs w:val="21"/>
        </w:rPr>
      </w:pPr>
      <w:r>
        <w:rPr>
          <w:rFonts w:ascii="STXingkai" w:hAnsi="STXingkai" w:eastAsia="STXingkai" w:cs="STXingkai"/>
          <w:sz w:val="21"/>
          <w:szCs w:val="21"/>
          <w:spacing w:val="-8"/>
          <w:position w:val="2"/>
        </w:rPr>
        <w:t>●</w:t>
      </w:r>
      <w:r>
        <w:rPr>
          <w:rFonts w:ascii="STXingkai" w:hAnsi="STXingkai" w:eastAsia="STXingkai" w:cs="STXingkai"/>
          <w:sz w:val="21"/>
          <w:szCs w:val="21"/>
          <w:spacing w:val="42"/>
          <w:position w:val="2"/>
        </w:rPr>
        <w:t xml:space="preserve"> </w:t>
      </w:r>
      <w:r>
        <w:rPr>
          <w:rFonts w:ascii="SimSun" w:hAnsi="SimSun" w:eastAsia="SimSun" w:cs="SimSun"/>
          <w:sz w:val="21"/>
          <w:szCs w:val="21"/>
          <w:spacing w:val="-8"/>
          <w:position w:val="2"/>
        </w:rPr>
        <w:t>保留所有的相关记录。</w:t>
      </w:r>
    </w:p>
    <w:p>
      <w:pPr>
        <w:ind w:left="229" w:right="110" w:firstLine="479"/>
        <w:spacing w:before="32" w:line="249" w:lineRule="auto"/>
        <w:rPr>
          <w:rFonts w:ascii="SimSun" w:hAnsi="SimSun" w:eastAsia="SimSun" w:cs="SimSun"/>
          <w:sz w:val="21"/>
          <w:szCs w:val="21"/>
        </w:rPr>
      </w:pPr>
      <w:r>
        <w:rPr>
          <w:rFonts w:ascii="SimSun" w:hAnsi="SimSun" w:eastAsia="SimSun" w:cs="SimSun"/>
          <w:sz w:val="21"/>
          <w:szCs w:val="21"/>
        </w:rPr>
        <w:t>云端数据问题可能包括数据质量问题、业务规则冲突、数据命名和定义冲突、</w:t>
      </w:r>
      <w:r>
        <w:rPr>
          <w:rFonts w:ascii="SimSun" w:hAnsi="SimSun" w:eastAsia="SimSun" w:cs="SimSun"/>
          <w:sz w:val="21"/>
          <w:szCs w:val="21"/>
          <w:spacing w:val="14"/>
        </w:rPr>
        <w:t xml:space="preserve"> </w:t>
      </w:r>
      <w:r>
        <w:rPr>
          <w:rFonts w:ascii="SimSun" w:hAnsi="SimSun" w:eastAsia="SimSun" w:cs="SimSun"/>
          <w:sz w:val="21"/>
          <w:szCs w:val="21"/>
          <w:spacing w:val="2"/>
        </w:rPr>
        <w:t>数据安全问题、合规性问题等。当数据治理实施开始解</w:t>
      </w:r>
      <w:r>
        <w:rPr>
          <w:rFonts w:ascii="SimSun" w:hAnsi="SimSun" w:eastAsia="SimSun" w:cs="SimSun"/>
          <w:sz w:val="21"/>
          <w:szCs w:val="21"/>
          <w:spacing w:val="1"/>
        </w:rPr>
        <w:t>决已识别的问题时，业务职</w:t>
      </w:r>
      <w:r>
        <w:rPr>
          <w:rFonts w:ascii="SimSun" w:hAnsi="SimSun" w:eastAsia="SimSun" w:cs="SimSun"/>
          <w:sz w:val="21"/>
          <w:szCs w:val="21"/>
        </w:rPr>
        <w:t xml:space="preserve"> </w:t>
      </w:r>
      <w:r>
        <w:rPr>
          <w:rFonts w:ascii="SimSun" w:hAnsi="SimSun" w:eastAsia="SimSun" w:cs="SimSun"/>
          <w:sz w:val="21"/>
          <w:szCs w:val="21"/>
          <w:spacing w:val="-2"/>
        </w:rPr>
        <w:t>能部门便可以将数据治理范围扩展到更多区域。</w:t>
      </w:r>
    </w:p>
    <w:p>
      <w:pPr>
        <w:ind w:left="229" w:right="81" w:firstLine="479"/>
        <w:spacing w:before="79" w:line="249" w:lineRule="auto"/>
        <w:rPr>
          <w:rFonts w:ascii="SimSun" w:hAnsi="SimSun" w:eastAsia="SimSun" w:cs="SimSun"/>
          <w:sz w:val="21"/>
          <w:szCs w:val="21"/>
        </w:rPr>
      </w:pPr>
      <w:r>
        <w:rPr>
          <w:rFonts w:ascii="SimSun" w:hAnsi="SimSun" w:eastAsia="SimSun" w:cs="SimSun"/>
          <w:sz w:val="21"/>
          <w:szCs w:val="21"/>
          <w:spacing w:val="1"/>
        </w:rPr>
        <w:t>例如，某银行的客户服务成本超出预算，需要对主数据进行整合。银行的呼叫</w:t>
      </w:r>
      <w:r>
        <w:rPr>
          <w:rFonts w:ascii="SimSun" w:hAnsi="SimSun" w:eastAsia="SimSun" w:cs="SimSun"/>
          <w:sz w:val="21"/>
          <w:szCs w:val="21"/>
          <w:spacing w:val="8"/>
        </w:rPr>
        <w:t xml:space="preserve"> </w:t>
      </w:r>
      <w:r>
        <w:rPr>
          <w:rFonts w:ascii="SimSun" w:hAnsi="SimSun" w:eastAsia="SimSun" w:cs="SimSun"/>
          <w:sz w:val="21"/>
          <w:szCs w:val="21"/>
          <w:spacing w:val="1"/>
        </w:rPr>
        <w:t>中心希望通过客服人员平均处理时间、自助服务和电话首问负责制等机制来降低运</w:t>
      </w:r>
      <w:r>
        <w:rPr>
          <w:rFonts w:ascii="SimSun" w:hAnsi="SimSun" w:eastAsia="SimSun" w:cs="SimSun"/>
          <w:sz w:val="21"/>
          <w:szCs w:val="21"/>
        </w:rPr>
        <w:t xml:space="preserve"> </w:t>
      </w:r>
      <w:r>
        <w:rPr>
          <w:rFonts w:ascii="SimSun" w:hAnsi="SimSun" w:eastAsia="SimSun" w:cs="SimSun"/>
          <w:sz w:val="21"/>
          <w:szCs w:val="21"/>
          <w:spacing w:val="2"/>
        </w:rPr>
        <w:t>营成本。数据治理部门可以对呼叫客服人员的呼</w:t>
      </w:r>
      <w:r>
        <w:rPr>
          <w:rFonts w:ascii="SimSun" w:hAnsi="SimSun" w:eastAsia="SimSun" w:cs="SimSun"/>
          <w:sz w:val="21"/>
          <w:szCs w:val="21"/>
          <w:spacing w:val="1"/>
        </w:rPr>
        <w:t>叫记录和工作记录进行分析，获得</w:t>
      </w:r>
    </w:p>
    <w:p>
      <w:pPr>
        <w:spacing w:line="249" w:lineRule="auto"/>
        <w:sectPr>
          <w:footerReference w:type="default" r:id="rId491"/>
          <w:pgSz w:w="8870" w:h="13400"/>
          <w:pgMar w:top="400" w:right="354" w:bottom="517" w:left="540" w:header="0" w:footer="308" w:gutter="0"/>
        </w:sectPr>
        <w:rPr>
          <w:rFonts w:ascii="SimSun" w:hAnsi="SimSun" w:eastAsia="SimSun" w:cs="SimSun"/>
          <w:sz w:val="21"/>
          <w:szCs w:val="21"/>
        </w:rPr>
      </w:pPr>
    </w:p>
    <w:p>
      <w:pPr>
        <w:ind w:left="4632"/>
        <w:spacing w:before="154" w:line="219" w:lineRule="auto"/>
        <w:rPr>
          <w:rFonts w:ascii="SimSun" w:hAnsi="SimSun" w:eastAsia="SimSun" w:cs="SimSun"/>
          <w:sz w:val="20"/>
          <w:szCs w:val="20"/>
        </w:rPr>
      </w:pPr>
      <w:r>
        <w:rPr>
          <w:rFonts w:ascii="SimSun" w:hAnsi="SimSun" w:eastAsia="SimSun" w:cs="SimSun"/>
          <w:sz w:val="20"/>
          <w:szCs w:val="20"/>
          <w:b/>
          <w:bCs/>
          <w:spacing w:val="14"/>
        </w:rPr>
        <w:t>第11章■云端数据治理体系实施</w:t>
      </w:r>
    </w:p>
    <w:p>
      <w:pPr>
        <w:pStyle w:val="BodyText"/>
        <w:spacing w:line="269" w:lineRule="auto"/>
        <w:rPr/>
      </w:pPr>
      <w:r/>
    </w:p>
    <w:p>
      <w:pPr>
        <w:ind w:left="50" w:right="177"/>
        <w:spacing w:before="65" w:line="253" w:lineRule="auto"/>
        <w:rPr>
          <w:rFonts w:ascii="SimSun" w:hAnsi="SimSun" w:eastAsia="SimSun" w:cs="SimSun"/>
          <w:sz w:val="20"/>
          <w:szCs w:val="20"/>
        </w:rPr>
      </w:pPr>
      <w:r>
        <w:rPr>
          <w:rFonts w:ascii="SimSun" w:hAnsi="SimSun" w:eastAsia="SimSun" w:cs="SimSun"/>
          <w:sz w:val="20"/>
          <w:szCs w:val="20"/>
          <w:spacing w:val="12"/>
        </w:rPr>
        <w:t>趋势数据，如与投诉相关的高比例呼入电话，并将它与客户主数据进行整合，从而</w:t>
      </w:r>
      <w:r>
        <w:rPr>
          <w:rFonts w:ascii="SimSun" w:hAnsi="SimSun" w:eastAsia="SimSun" w:cs="SimSun"/>
          <w:sz w:val="20"/>
          <w:szCs w:val="20"/>
          <w:spacing w:val="7"/>
        </w:rPr>
        <w:t xml:space="preserve"> </w:t>
      </w:r>
      <w:r>
        <w:rPr>
          <w:rFonts w:ascii="SimSun" w:hAnsi="SimSun" w:eastAsia="SimSun" w:cs="SimSun"/>
          <w:sz w:val="20"/>
          <w:szCs w:val="20"/>
          <w:spacing w:val="1"/>
        </w:rPr>
        <w:t>获得呼叫者的属性。</w:t>
      </w:r>
    </w:p>
    <w:p>
      <w:pPr>
        <w:ind w:left="470"/>
        <w:spacing w:before="72" w:line="219" w:lineRule="auto"/>
        <w:rPr>
          <w:rFonts w:ascii="SimSun" w:hAnsi="SimSun" w:eastAsia="SimSun" w:cs="SimSun"/>
          <w:sz w:val="20"/>
          <w:szCs w:val="20"/>
        </w:rPr>
      </w:pPr>
      <w:r>
        <w:rPr>
          <w:rFonts w:ascii="SimSun" w:hAnsi="SimSun" w:eastAsia="SimSun" w:cs="SimSun"/>
          <w:sz w:val="20"/>
          <w:szCs w:val="20"/>
          <w:spacing w:val="11"/>
        </w:rPr>
        <w:t>例如，某收费系统的云端数据治理项目中识别的业务问题，如图1</w:t>
      </w:r>
      <w:r>
        <w:rPr>
          <w:rFonts w:ascii="SimSun" w:hAnsi="SimSun" w:eastAsia="SimSun" w:cs="SimSun"/>
          <w:sz w:val="20"/>
          <w:szCs w:val="20"/>
          <w:spacing w:val="10"/>
        </w:rPr>
        <w:t>1-3所示。</w:t>
      </w:r>
    </w:p>
    <w:p>
      <w:pPr>
        <w:pStyle w:val="BodyText"/>
        <w:spacing w:before="104" w:line="3490" w:lineRule="exact"/>
        <w:rPr/>
      </w:pPr>
      <w:r>
        <w:rPr>
          <w:position w:val="-69"/>
        </w:rPr>
        <w:pict>
          <v:group id="_x0000_s530" style="mso-position-vertical-relative:line;mso-position-horizontal-relative:char;width:390.05pt;height:174.55pt;" filled="false" stroked="false" coordsize="7800,3491" coordorigin="0,0">
            <v:shape id="_x0000_s532" style="position:absolute;left:0;top:0;width:7800;height:3491;" filled="false" stroked="false" type="#_x0000_t75">
              <v:imagedata o:title="" r:id="rId494"/>
            </v:shape>
            <v:shape id="_x0000_s534" style="position:absolute;left:2640;top:26;width:5100;height:3200;" filled="false" stroked="false" type="#_x0000_t202">
              <v:fill on="false"/>
              <v:stroke on="false"/>
              <v:path/>
              <v:imagedata o:title=""/>
              <o:lock v:ext="edit" aspectratio="false"/>
              <v:textbox inset="0mm,0mm,0mm,0mm">
                <w:txbxContent>
                  <w:p>
                    <w:pPr>
                      <w:ind w:left="3239" w:right="117"/>
                      <w:spacing w:before="20" w:line="220" w:lineRule="auto"/>
                      <w:rPr>
                        <w:rFonts w:ascii="SimSun" w:hAnsi="SimSun" w:eastAsia="SimSun" w:cs="SimSun"/>
                        <w:sz w:val="15"/>
                        <w:szCs w:val="15"/>
                      </w:rPr>
                    </w:pPr>
                    <w:r>
                      <w:rPr>
                        <w:rFonts w:ascii="SimSun" w:hAnsi="SimSun" w:eastAsia="SimSun" w:cs="SimSun"/>
                        <w:sz w:val="15"/>
                        <w:szCs w:val="15"/>
                        <w:spacing w:val="-5"/>
                      </w:rPr>
                      <w:t>·缺少可控的数据管理系统</w:t>
                    </w:r>
                    <w:r>
                      <w:rPr>
                        <w:rFonts w:ascii="SimSun" w:hAnsi="SimSun" w:eastAsia="SimSun" w:cs="SimSun"/>
                        <w:sz w:val="15"/>
                        <w:szCs w:val="15"/>
                        <w:spacing w:val="1"/>
                      </w:rPr>
                      <w:t xml:space="preserve"> </w:t>
                    </w:r>
                    <w:r>
                      <w:rPr>
                        <w:rFonts w:ascii="SimSun" w:hAnsi="SimSun" w:eastAsia="SimSun" w:cs="SimSun"/>
                        <w:sz w:val="15"/>
                        <w:szCs w:val="15"/>
                        <w:spacing w:val="-5"/>
                      </w:rPr>
                      <w:t>·未建立数据管理操作指南</w:t>
                    </w:r>
                  </w:p>
                  <w:p>
                    <w:pPr>
                      <w:ind w:left="2520"/>
                      <w:spacing w:before="72" w:line="235" w:lineRule="auto"/>
                      <w:rPr>
                        <w:rFonts w:ascii="SimSun" w:hAnsi="SimSun" w:eastAsia="SimSun" w:cs="SimSun"/>
                        <w:sz w:val="15"/>
                        <w:szCs w:val="15"/>
                      </w:rPr>
                    </w:pPr>
                    <w:r>
                      <w:rPr>
                        <w:rFonts w:ascii="SimSun" w:hAnsi="SimSun" w:eastAsia="SimSun" w:cs="SimSun"/>
                        <w:sz w:val="15"/>
                        <w:szCs w:val="15"/>
                        <w:spacing w:val="-2"/>
                      </w:rPr>
                      <w:t>数据管理基</w:t>
                    </w:r>
                  </w:p>
                  <w:p>
                    <w:pPr>
                      <w:ind w:left="2509"/>
                      <w:spacing w:line="220" w:lineRule="auto"/>
                      <w:rPr>
                        <w:rFonts w:ascii="SimSun" w:hAnsi="SimSun" w:eastAsia="SimSun" w:cs="SimSun"/>
                        <w:sz w:val="15"/>
                        <w:szCs w:val="15"/>
                      </w:rPr>
                    </w:pPr>
                    <w:r>
                      <w:rPr>
                        <w:rFonts w:ascii="SimSun" w:hAnsi="SimSun" w:eastAsia="SimSun" w:cs="SimSun"/>
                        <w:sz w:val="15"/>
                        <w:szCs w:val="15"/>
                        <w:spacing w:val="3"/>
                      </w:rPr>
                      <w:t>础设施不足</w:t>
                    </w:r>
                  </w:p>
                  <w:p>
                    <w:pPr>
                      <w:spacing w:line="388" w:lineRule="auto"/>
                      <w:rPr>
                        <w:rFonts w:ascii="Arial"/>
                        <w:sz w:val="21"/>
                      </w:rPr>
                    </w:pPr>
                    <w:r/>
                  </w:p>
                  <w:p>
                    <w:pPr>
                      <w:ind w:left="3170"/>
                      <w:spacing w:before="49" w:line="221" w:lineRule="auto"/>
                      <w:rPr>
                        <w:rFonts w:ascii="SimSun" w:hAnsi="SimSun" w:eastAsia="SimSun" w:cs="SimSun"/>
                        <w:sz w:val="15"/>
                        <w:szCs w:val="15"/>
                      </w:rPr>
                    </w:pPr>
                    <w:r>
                      <w:rPr>
                        <w:rFonts w:ascii="SimSun" w:hAnsi="SimSun" w:eastAsia="SimSun" w:cs="SimSun"/>
                        <w:sz w:val="15"/>
                        <w:szCs w:val="15"/>
                        <w:spacing w:val="4"/>
                      </w:rPr>
                      <w:t>管理对象</w:t>
                    </w:r>
                  </w:p>
                  <w:p>
                    <w:pPr>
                      <w:ind w:left="3170"/>
                      <w:spacing w:line="219" w:lineRule="auto"/>
                      <w:rPr>
                        <w:rFonts w:ascii="SimSun" w:hAnsi="SimSun" w:eastAsia="SimSun" w:cs="SimSun"/>
                        <w:sz w:val="15"/>
                        <w:szCs w:val="15"/>
                      </w:rPr>
                    </w:pPr>
                    <w:r>
                      <w:rPr>
                        <w:rFonts w:ascii="SimSun" w:hAnsi="SimSun" w:eastAsia="SimSun" w:cs="SimSun"/>
                        <w:sz w:val="15"/>
                        <w:szCs w:val="15"/>
                        <w:spacing w:val="-5"/>
                      </w:rPr>
                      <w:t>内容不足</w:t>
                    </w:r>
                  </w:p>
                  <w:p>
                    <w:pPr>
                      <w:ind w:left="3648" w:right="20" w:hanging="59"/>
                      <w:spacing w:before="250" w:line="223" w:lineRule="auto"/>
                      <w:jc w:val="both"/>
                      <w:rPr>
                        <w:rFonts w:ascii="SimSun" w:hAnsi="SimSun" w:eastAsia="SimSun" w:cs="SimSun"/>
                        <w:sz w:val="15"/>
                        <w:szCs w:val="15"/>
                      </w:rPr>
                    </w:pPr>
                    <w:r>
                      <w:rPr>
                        <w:rFonts w:ascii="SimSun" w:hAnsi="SimSun" w:eastAsia="SimSun" w:cs="SimSun"/>
                        <w:sz w:val="14"/>
                        <w:szCs w:val="14"/>
                        <w:spacing w:val="15"/>
                      </w:rPr>
                      <w:t>/缺乏详细的物理模型</w:t>
                    </w:r>
                    <w:r>
                      <w:rPr>
                        <w:rFonts w:ascii="SimSun" w:hAnsi="SimSun" w:eastAsia="SimSun" w:cs="SimSun"/>
                        <w:sz w:val="14"/>
                        <w:szCs w:val="14"/>
                        <w:spacing w:val="8"/>
                      </w:rPr>
                      <w:t xml:space="preserve"> </w:t>
                    </w:r>
                    <w:r>
                      <w:rPr>
                        <w:rFonts w:ascii="SimSun" w:hAnsi="SimSun" w:eastAsia="SimSun" w:cs="SimSun"/>
                        <w:sz w:val="14"/>
                        <w:szCs w:val="14"/>
                        <w:spacing w:val="2"/>
                      </w:rPr>
                      <w:t>·缺乏真正的逻辑模型</w:t>
                    </w:r>
                    <w:r>
                      <w:rPr>
                        <w:rFonts w:ascii="SimSun" w:hAnsi="SimSun" w:eastAsia="SimSun" w:cs="SimSun"/>
                        <w:sz w:val="14"/>
                        <w:szCs w:val="14"/>
                        <w:spacing w:val="8"/>
                      </w:rPr>
                      <w:t xml:space="preserve"> </w:t>
                    </w:r>
                    <w:r>
                      <w:rPr>
                        <w:rFonts w:ascii="SimSun" w:hAnsi="SimSun" w:eastAsia="SimSun" w:cs="SimSun"/>
                        <w:sz w:val="15"/>
                        <w:szCs w:val="15"/>
                        <w:spacing w:val="-8"/>
                      </w:rPr>
                      <w:t>·缺乏当前的数据架构</w:t>
                    </w:r>
                  </w:p>
                  <w:p>
                    <w:pPr>
                      <w:spacing w:line="294" w:lineRule="auto"/>
                      <w:rPr>
                        <w:rFonts w:ascii="Arial"/>
                        <w:sz w:val="21"/>
                      </w:rPr>
                    </w:pPr>
                    <w:r/>
                  </w:p>
                  <w:p>
                    <w:pPr>
                      <w:spacing w:line="295" w:lineRule="auto"/>
                      <w:rPr>
                        <w:rFonts w:ascii="Arial"/>
                        <w:sz w:val="21"/>
                      </w:rPr>
                    </w:pPr>
                    <w:r/>
                  </w:p>
                  <w:p>
                    <w:pPr>
                      <w:ind w:left="20"/>
                      <w:spacing w:before="50" w:line="219" w:lineRule="auto"/>
                      <w:rPr>
                        <w:rFonts w:ascii="SimSun" w:hAnsi="SimSun" w:eastAsia="SimSun" w:cs="SimSun"/>
                        <w:sz w:val="15"/>
                        <w:szCs w:val="15"/>
                      </w:rPr>
                    </w:pPr>
                    <w:r>
                      <w:rPr>
                        <w:rFonts w:ascii="SimSun" w:hAnsi="SimSun" w:eastAsia="SimSun" w:cs="SimSun"/>
                        <w:sz w:val="15"/>
                        <w:szCs w:val="15"/>
                        <w:spacing w:val="1"/>
                      </w:rPr>
                      <w:t>复杂的数据结构导致系统效率和质量低下</w:t>
                    </w:r>
                  </w:p>
                </w:txbxContent>
              </v:textbox>
            </v:shape>
            <v:shape id="_x0000_s536" style="position:absolute;left:3860;top:1746;width:1318;height:530;" filled="false" stroked="false" type="#_x0000_t202">
              <v:fill on="false"/>
              <v:stroke on="false"/>
              <v:path/>
              <v:imagedata o:title=""/>
              <o:lock v:ext="edit" aspectratio="false"/>
              <v:textbox inset="0mm,0mm,0mm,0mm">
                <w:txbxContent>
                  <w:p>
                    <w:pPr>
                      <w:ind w:left="20" w:right="20" w:firstLine="59"/>
                      <w:spacing w:before="20" w:line="213" w:lineRule="auto"/>
                      <w:jc w:val="both"/>
                      <w:rPr>
                        <w:rFonts w:ascii="SimSun" w:hAnsi="SimSun" w:eastAsia="SimSun" w:cs="SimSun"/>
                        <w:sz w:val="15"/>
                        <w:szCs w:val="15"/>
                      </w:rPr>
                    </w:pPr>
                    <w:r>
                      <w:rPr>
                        <w:rFonts w:ascii="SimSun" w:hAnsi="SimSun" w:eastAsia="SimSun" w:cs="SimSun"/>
                        <w:sz w:val="15"/>
                        <w:szCs w:val="15"/>
                        <w:spacing w:val="-15"/>
                      </w:rPr>
                      <w:t>·缺少数据管理组织</w:t>
                    </w:r>
                    <w:r>
                      <w:rPr>
                        <w:rFonts w:ascii="SimSun" w:hAnsi="SimSun" w:eastAsia="SimSun" w:cs="SimSun"/>
                        <w:sz w:val="15"/>
                        <w:szCs w:val="15"/>
                        <w:spacing w:val="1"/>
                      </w:rPr>
                      <w:t xml:space="preserve"> </w:t>
                    </w:r>
                    <w:r>
                      <w:rPr>
                        <w:rFonts w:ascii="SimSun" w:hAnsi="SimSun" w:eastAsia="SimSun" w:cs="SimSun"/>
                        <w:sz w:val="15"/>
                        <w:szCs w:val="15"/>
                        <w:spacing w:val="-14"/>
                      </w:rPr>
                      <w:t>·没有培养专业人才</w:t>
                    </w:r>
                    <w:r>
                      <w:rPr>
                        <w:rFonts w:ascii="SimSun" w:hAnsi="SimSun" w:eastAsia="SimSun" w:cs="SimSun"/>
                        <w:sz w:val="15"/>
                        <w:szCs w:val="15"/>
                        <w:spacing w:val="1"/>
                      </w:rPr>
                      <w:t xml:space="preserve"> </w:t>
                    </w:r>
                    <w:r>
                      <w:rPr>
                        <w:rFonts w:ascii="SimSun" w:hAnsi="SimSun" w:eastAsia="SimSun" w:cs="SimSun"/>
                        <w:sz w:val="15"/>
                        <w:szCs w:val="15"/>
                        <w:spacing w:val="-8"/>
                      </w:rPr>
                      <w:t>·沟通协调不畅通</w:t>
                    </w:r>
                  </w:p>
                </w:txbxContent>
              </v:textbox>
            </v:shape>
            <v:shape id="_x0000_s538" style="position:absolute;left:1389;top:1766;width:1311;height:530;" filled="false" stroked="false" type="#_x0000_t202">
              <v:fill on="false"/>
              <v:stroke on="false"/>
              <v:path/>
              <v:imagedata o:title=""/>
              <o:lock v:ext="edit" aspectratio="false"/>
              <v:textbox inset="0mm,0mm,0mm,0mm">
                <w:txbxContent>
                  <w:p>
                    <w:pPr>
                      <w:ind w:left="20" w:right="20"/>
                      <w:spacing w:before="18" w:line="213" w:lineRule="auto"/>
                      <w:jc w:val="both"/>
                      <w:rPr>
                        <w:rFonts w:ascii="SimSun" w:hAnsi="SimSun" w:eastAsia="SimSun" w:cs="SimSun"/>
                        <w:sz w:val="15"/>
                        <w:szCs w:val="15"/>
                      </w:rPr>
                    </w:pPr>
                    <w:r>
                      <w:rPr>
                        <w:rFonts w:ascii="SimSun" w:hAnsi="SimSun" w:eastAsia="SimSun" w:cs="SimSun"/>
                        <w:sz w:val="15"/>
                        <w:szCs w:val="15"/>
                        <w:spacing w:val="-2"/>
                      </w:rPr>
                      <w:t>.缺少数据智能专家</w:t>
                    </w:r>
                    <w:r>
                      <w:rPr>
                        <w:rFonts w:ascii="SimSun" w:hAnsi="SimSun" w:eastAsia="SimSun" w:cs="SimSun"/>
                        <w:sz w:val="15"/>
                        <w:szCs w:val="15"/>
                        <w:spacing w:val="7"/>
                      </w:rPr>
                      <w:t xml:space="preserve"> </w:t>
                    </w:r>
                    <w:r>
                      <w:rPr>
                        <w:rFonts w:ascii="SimSun" w:hAnsi="SimSun" w:eastAsia="SimSun" w:cs="SimSun"/>
                        <w:sz w:val="15"/>
                        <w:szCs w:val="15"/>
                        <w:spacing w:val="-9"/>
                      </w:rPr>
                      <w:t>·缺少数据建模人员</w:t>
                    </w:r>
                    <w:r>
                      <w:rPr>
                        <w:rFonts w:ascii="SimSun" w:hAnsi="SimSun" w:eastAsia="SimSun" w:cs="SimSun"/>
                        <w:sz w:val="15"/>
                        <w:szCs w:val="15"/>
                      </w:rPr>
                      <w:t xml:space="preserve"> </w:t>
                    </w:r>
                    <w:r>
                      <w:rPr>
                        <w:rFonts w:ascii="SimSun" w:hAnsi="SimSun" w:eastAsia="SimSun" w:cs="SimSun"/>
                        <w:sz w:val="15"/>
                        <w:szCs w:val="15"/>
                        <w:spacing w:val="-10"/>
                      </w:rPr>
                      <w:t>·缺少数据管理专家</w:t>
                    </w:r>
                  </w:p>
                </w:txbxContent>
              </v:textbox>
            </v:shape>
            <v:shape id="_x0000_s540" style="position:absolute;left:880;top:65;width:1450;height:360;" filled="false" stroked="false" type="#_x0000_t202">
              <v:fill on="false"/>
              <v:stroke on="false"/>
              <v:path/>
              <v:imagedata o:title=""/>
              <o:lock v:ext="edit" aspectratio="false"/>
              <v:textbox inset="0mm,0mm,0mm,0mm">
                <w:txbxContent>
                  <w:p>
                    <w:pPr>
                      <w:ind w:left="20" w:right="20"/>
                      <w:spacing w:before="19" w:line="215" w:lineRule="auto"/>
                      <w:rPr>
                        <w:rFonts w:ascii="SimSun" w:hAnsi="SimSun" w:eastAsia="SimSun" w:cs="SimSun"/>
                        <w:sz w:val="15"/>
                        <w:szCs w:val="15"/>
                      </w:rPr>
                    </w:pPr>
                    <w:r>
                      <w:rPr>
                        <w:rFonts w:ascii="SimSun" w:hAnsi="SimSun" w:eastAsia="SimSun" w:cs="SimSun"/>
                        <w:sz w:val="15"/>
                        <w:szCs w:val="15"/>
                        <w:spacing w:val="-10"/>
                      </w:rPr>
                      <w:t>·未使用购机标准模型</w:t>
                    </w:r>
                    <w:r>
                      <w:rPr>
                        <w:rFonts w:ascii="SimSun" w:hAnsi="SimSun" w:eastAsia="SimSun" w:cs="SimSun"/>
                        <w:sz w:val="15"/>
                        <w:szCs w:val="15"/>
                        <w:spacing w:val="8"/>
                      </w:rPr>
                      <w:t xml:space="preserve"> </w:t>
                    </w:r>
                    <w:r>
                      <w:rPr>
                        <w:rFonts w:ascii="SimSun" w:hAnsi="SimSun" w:eastAsia="SimSun" w:cs="SimSun"/>
                        <w:sz w:val="15"/>
                        <w:szCs w:val="15"/>
                        <w:spacing w:val="-10"/>
                      </w:rPr>
                      <w:t>·模型拓展性能差</w:t>
                    </w:r>
                  </w:p>
                </w:txbxContent>
              </v:textbox>
            </v:shape>
            <v:shape id="_x0000_s542" style="position:absolute;left:3459;top:56;width:1183;height:360;" filled="false" stroked="false" type="#_x0000_t202">
              <v:fill on="false"/>
              <v:stroke on="false"/>
              <v:path/>
              <v:imagedata o:title=""/>
              <o:lock v:ext="edit" aspectratio="false"/>
              <v:textbox inset="0mm,0mm,0mm,0mm">
                <w:txbxContent>
                  <w:p>
                    <w:pPr>
                      <w:ind w:left="20" w:right="20"/>
                      <w:spacing w:before="20" w:line="214" w:lineRule="auto"/>
                      <w:rPr>
                        <w:rFonts w:ascii="SimSun" w:hAnsi="SimSun" w:eastAsia="SimSun" w:cs="SimSun"/>
                        <w:sz w:val="15"/>
                        <w:szCs w:val="15"/>
                      </w:rPr>
                    </w:pPr>
                    <w:r>
                      <w:rPr>
                        <w:rFonts w:ascii="SimSun" w:hAnsi="SimSun" w:eastAsia="SimSun" w:cs="SimSun"/>
                        <w:sz w:val="15"/>
                        <w:szCs w:val="15"/>
                        <w:spacing w:val="-8"/>
                      </w:rPr>
                      <w:t>·缺少数据标准化</w:t>
                    </w:r>
                    <w:r>
                      <w:rPr>
                        <w:rFonts w:ascii="SimSun" w:hAnsi="SimSun" w:eastAsia="SimSun" w:cs="SimSun"/>
                        <w:sz w:val="15"/>
                        <w:szCs w:val="15"/>
                        <w:spacing w:val="5"/>
                      </w:rPr>
                      <w:t xml:space="preserve"> </w:t>
                    </w:r>
                    <w:r>
                      <w:rPr>
                        <w:rFonts w:ascii="SimSun" w:hAnsi="SimSun" w:eastAsia="SimSun" w:cs="SimSun"/>
                        <w:sz w:val="15"/>
                        <w:szCs w:val="15"/>
                        <w:spacing w:val="-8"/>
                      </w:rPr>
                      <w:t>·消极的管理心态</w:t>
                    </w:r>
                  </w:p>
                </w:txbxContent>
              </v:textbox>
            </v:shape>
            <v:shape id="_x0000_s544" style="position:absolute;left:3339;top:1136;width:665;height:532;" filled="false" stroked="false" type="#_x0000_t202">
              <v:fill on="false"/>
              <v:stroke on="false"/>
              <v:path/>
              <v:imagedata o:title=""/>
              <o:lock v:ext="edit" aspectratio="false"/>
              <v:textbox inset="0mm,0mm,0mm,0mm">
                <w:txbxContent>
                  <w:p>
                    <w:pPr>
                      <w:ind w:left="20" w:right="20"/>
                      <w:spacing w:before="20" w:line="215" w:lineRule="auto"/>
                      <w:jc w:val="both"/>
                      <w:rPr>
                        <w:rFonts w:ascii="SimSun" w:hAnsi="SimSun" w:eastAsia="SimSun" w:cs="SimSun"/>
                        <w:sz w:val="15"/>
                        <w:szCs w:val="15"/>
                      </w:rPr>
                    </w:pPr>
                    <w:r>
                      <w:rPr>
                        <w:rFonts w:ascii="SimSun" w:hAnsi="SimSun" w:eastAsia="SimSun" w:cs="SimSun"/>
                        <w:sz w:val="15"/>
                        <w:szCs w:val="15"/>
                        <w:spacing w:val="6"/>
                      </w:rPr>
                      <w:t>缺少专业</w:t>
                    </w:r>
                    <w:r>
                      <w:rPr>
                        <w:rFonts w:ascii="SimSun" w:hAnsi="SimSun" w:eastAsia="SimSun" w:cs="SimSun"/>
                        <w:sz w:val="15"/>
                        <w:szCs w:val="15"/>
                      </w:rPr>
                      <w:t xml:space="preserve"> </w:t>
                    </w:r>
                    <w:r>
                      <w:rPr>
                        <w:rFonts w:ascii="SimSun" w:hAnsi="SimSun" w:eastAsia="SimSun" w:cs="SimSun"/>
                        <w:sz w:val="15"/>
                        <w:szCs w:val="15"/>
                        <w:spacing w:val="2"/>
                      </w:rPr>
                      <w:t>的数据管</w:t>
                    </w:r>
                    <w:r>
                      <w:rPr>
                        <w:rFonts w:ascii="SimSun" w:hAnsi="SimSun" w:eastAsia="SimSun" w:cs="SimSun"/>
                        <w:sz w:val="15"/>
                        <w:szCs w:val="15"/>
                      </w:rPr>
                      <w:t xml:space="preserve"> </w:t>
                    </w:r>
                    <w:r>
                      <w:rPr>
                        <w:rFonts w:ascii="SimSun" w:hAnsi="SimSun" w:eastAsia="SimSun" w:cs="SimSun"/>
                        <w:sz w:val="15"/>
                        <w:szCs w:val="15"/>
                        <w:spacing w:val="32"/>
                      </w:rPr>
                      <w:t>理组织</w:t>
                    </w:r>
                  </w:p>
                </w:txbxContent>
              </v:textbox>
            </v:shape>
            <v:shape id="_x0000_s546" style="position:absolute;left:199;top:505;width:783;height:360;" filled="false" stroked="false" type="#_x0000_t202">
              <v:fill on="false"/>
              <v:stroke on="false"/>
              <v:path/>
              <v:imagedata o:title=""/>
              <o:lock v:ext="edit" aspectratio="false"/>
              <v:textbox inset="0mm,0mm,0mm,0mm">
                <w:txbxContent>
                  <w:p>
                    <w:pPr>
                      <w:ind w:left="80" w:right="20" w:hanging="60"/>
                      <w:spacing w:before="19" w:line="214" w:lineRule="auto"/>
                      <w:rPr>
                        <w:rFonts w:ascii="SimSun" w:hAnsi="SimSun" w:eastAsia="SimSun" w:cs="SimSun"/>
                        <w:sz w:val="15"/>
                        <w:szCs w:val="15"/>
                      </w:rPr>
                    </w:pPr>
                    <w:r>
                      <w:rPr>
                        <w:rFonts w:ascii="SimSun" w:hAnsi="SimSun" w:eastAsia="SimSun" w:cs="SimSun"/>
                        <w:sz w:val="15"/>
                        <w:szCs w:val="15"/>
                        <w:spacing w:val="-2"/>
                      </w:rPr>
                      <w:t>核心模型的</w:t>
                    </w:r>
                    <w:r>
                      <w:rPr>
                        <w:rFonts w:ascii="SimSun" w:hAnsi="SimSun" w:eastAsia="SimSun" w:cs="SimSun"/>
                        <w:sz w:val="15"/>
                        <w:szCs w:val="15"/>
                        <w:spacing w:val="1"/>
                      </w:rPr>
                      <w:t xml:space="preserve"> </w:t>
                    </w:r>
                    <w:r>
                      <w:rPr>
                        <w:rFonts w:ascii="SimSun" w:hAnsi="SimSun" w:eastAsia="SimSun" w:cs="SimSun"/>
                        <w:sz w:val="15"/>
                        <w:szCs w:val="15"/>
                        <w:spacing w:val="8"/>
                      </w:rPr>
                      <w:t>质量不佳</w:t>
                    </w:r>
                  </w:p>
                </w:txbxContent>
              </v:textbox>
            </v:shape>
            <v:shape id="_x0000_s548" style="position:absolute;left:2739;top:436;width:665;height:370;"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5"/>
                        <w:szCs w:val="15"/>
                      </w:rPr>
                    </w:pPr>
                    <w:r>
                      <w:rPr>
                        <w:rFonts w:ascii="SimSun" w:hAnsi="SimSun" w:eastAsia="SimSun" w:cs="SimSun"/>
                        <w:sz w:val="15"/>
                        <w:szCs w:val="15"/>
                        <w:spacing w:val="4"/>
                      </w:rPr>
                      <w:t>欠缺数据</w:t>
                    </w:r>
                    <w:r>
                      <w:rPr>
                        <w:rFonts w:ascii="SimSun" w:hAnsi="SimSun" w:eastAsia="SimSun" w:cs="SimSun"/>
                        <w:sz w:val="15"/>
                        <w:szCs w:val="15"/>
                        <w:spacing w:val="1"/>
                      </w:rPr>
                      <w:t xml:space="preserve"> </w:t>
                    </w:r>
                    <w:r>
                      <w:rPr>
                        <w:rFonts w:ascii="SimSun" w:hAnsi="SimSun" w:eastAsia="SimSun" w:cs="SimSun"/>
                        <w:sz w:val="15"/>
                        <w:szCs w:val="15"/>
                        <w:spacing w:val="6"/>
                      </w:rPr>
                      <w:t>管理体系</w:t>
                    </w:r>
                  </w:p>
                </w:txbxContent>
              </v:textbox>
            </v:shape>
            <v:shape id="_x0000_s550" style="position:absolute;left:880;top:1255;width:635;height:370;"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5"/>
                        <w:szCs w:val="15"/>
                      </w:rPr>
                    </w:pPr>
                    <w:r>
                      <w:rPr>
                        <w:rFonts w:ascii="SimSun" w:hAnsi="SimSun" w:eastAsia="SimSun" w:cs="SimSun"/>
                        <w:sz w:val="15"/>
                        <w:szCs w:val="15"/>
                        <w:spacing w:val="-2"/>
                      </w:rPr>
                      <w:t>缺少数据</w:t>
                    </w:r>
                    <w:r>
                      <w:rPr>
                        <w:rFonts w:ascii="SimSun" w:hAnsi="SimSun" w:eastAsia="SimSun" w:cs="SimSun"/>
                        <w:sz w:val="15"/>
                        <w:szCs w:val="15"/>
                        <w:spacing w:val="1"/>
                      </w:rPr>
                      <w:t xml:space="preserve"> </w:t>
                    </w:r>
                    <w:r>
                      <w:rPr>
                        <w:rFonts w:ascii="SimSun" w:hAnsi="SimSun" w:eastAsia="SimSun" w:cs="SimSun"/>
                        <w:sz w:val="15"/>
                        <w:szCs w:val="15"/>
                        <w:spacing w:val="-2"/>
                      </w:rPr>
                      <w:t>相关技术</w:t>
                    </w:r>
                  </w:p>
                </w:txbxContent>
              </v:textbox>
            </v:shape>
          </v:group>
        </w:pict>
      </w:r>
    </w:p>
    <w:p>
      <w:pPr>
        <w:ind w:left="2612"/>
        <w:spacing w:before="202" w:line="410" w:lineRule="exact"/>
        <w:rPr>
          <w:rFonts w:ascii="SimHei" w:hAnsi="SimHei" w:eastAsia="SimHei" w:cs="SimHei"/>
          <w:sz w:val="15"/>
          <w:szCs w:val="15"/>
        </w:rPr>
      </w:pPr>
      <w:r>
        <w:rPr>
          <w:rFonts w:ascii="SimHei" w:hAnsi="SimHei" w:eastAsia="SimHei" w:cs="SimHei"/>
          <w:sz w:val="15"/>
          <w:szCs w:val="15"/>
          <w:b/>
          <w:bCs/>
          <w:spacing w:val="15"/>
          <w:position w:val="20"/>
        </w:rPr>
        <w:t>图</w:t>
      </w:r>
      <w:r>
        <w:rPr>
          <w:rFonts w:ascii="SimHei" w:hAnsi="SimHei" w:eastAsia="SimHei" w:cs="SimHei"/>
          <w:sz w:val="15"/>
          <w:szCs w:val="15"/>
          <w:spacing w:val="-25"/>
          <w:position w:val="20"/>
        </w:rPr>
        <w:t xml:space="preserve"> </w:t>
      </w:r>
      <w:r>
        <w:rPr>
          <w:rFonts w:ascii="SimHei" w:hAnsi="SimHei" w:eastAsia="SimHei" w:cs="SimHei"/>
          <w:sz w:val="15"/>
          <w:szCs w:val="15"/>
          <w:b/>
          <w:bCs/>
          <w:spacing w:val="15"/>
          <w:position w:val="20"/>
        </w:rPr>
        <w:t>1</w:t>
      </w:r>
      <w:r>
        <w:rPr>
          <w:rFonts w:ascii="SimHei" w:hAnsi="SimHei" w:eastAsia="SimHei" w:cs="SimHei"/>
          <w:sz w:val="15"/>
          <w:szCs w:val="15"/>
          <w:spacing w:val="-27"/>
          <w:position w:val="20"/>
        </w:rPr>
        <w:t xml:space="preserve"> </w:t>
      </w:r>
      <w:r>
        <w:rPr>
          <w:rFonts w:ascii="SimHei" w:hAnsi="SimHei" w:eastAsia="SimHei" w:cs="SimHei"/>
          <w:sz w:val="15"/>
          <w:szCs w:val="15"/>
          <w:b/>
          <w:bCs/>
          <w:spacing w:val="15"/>
          <w:position w:val="20"/>
        </w:rPr>
        <w:t>1</w:t>
      </w:r>
      <w:r>
        <w:rPr>
          <w:rFonts w:ascii="SimHei" w:hAnsi="SimHei" w:eastAsia="SimHei" w:cs="SimHei"/>
          <w:sz w:val="15"/>
          <w:szCs w:val="15"/>
          <w:spacing w:val="-37"/>
          <w:position w:val="20"/>
        </w:rPr>
        <w:t xml:space="preserve"> </w:t>
      </w:r>
      <w:r>
        <w:rPr>
          <w:rFonts w:ascii="SimHei" w:hAnsi="SimHei" w:eastAsia="SimHei" w:cs="SimHei"/>
          <w:sz w:val="15"/>
          <w:szCs w:val="15"/>
          <w:b/>
          <w:bCs/>
          <w:spacing w:val="15"/>
          <w:position w:val="20"/>
        </w:rPr>
        <w:t>-</w:t>
      </w:r>
      <w:r>
        <w:rPr>
          <w:rFonts w:ascii="SimHei" w:hAnsi="SimHei" w:eastAsia="SimHei" w:cs="SimHei"/>
          <w:sz w:val="15"/>
          <w:szCs w:val="15"/>
          <w:spacing w:val="-35"/>
          <w:position w:val="20"/>
        </w:rPr>
        <w:t xml:space="preserve"> </w:t>
      </w:r>
      <w:r>
        <w:rPr>
          <w:rFonts w:ascii="SimHei" w:hAnsi="SimHei" w:eastAsia="SimHei" w:cs="SimHei"/>
          <w:sz w:val="15"/>
          <w:szCs w:val="15"/>
          <w:b/>
          <w:bCs/>
          <w:spacing w:val="15"/>
          <w:position w:val="20"/>
        </w:rPr>
        <w:t>3</w:t>
      </w:r>
      <w:r>
        <w:rPr>
          <w:rFonts w:ascii="SimHei" w:hAnsi="SimHei" w:eastAsia="SimHei" w:cs="SimHei"/>
          <w:sz w:val="15"/>
          <w:szCs w:val="15"/>
          <w:spacing w:val="8"/>
          <w:position w:val="20"/>
        </w:rPr>
        <w:t xml:space="preserve">  </w:t>
      </w:r>
      <w:r>
        <w:rPr>
          <w:rFonts w:ascii="SimHei" w:hAnsi="SimHei" w:eastAsia="SimHei" w:cs="SimHei"/>
          <w:sz w:val="15"/>
          <w:szCs w:val="15"/>
          <w:b/>
          <w:bCs/>
          <w:spacing w:val="15"/>
          <w:position w:val="20"/>
        </w:rPr>
        <w:t>某系统识别的业务问题</w:t>
      </w:r>
    </w:p>
    <w:p>
      <w:pPr>
        <w:ind w:left="472"/>
        <w:spacing w:before="1" w:line="223" w:lineRule="auto"/>
        <w:rPr>
          <w:rFonts w:ascii="YouYuan" w:hAnsi="YouYuan" w:eastAsia="YouYuan" w:cs="YouYuan"/>
          <w:sz w:val="20"/>
          <w:szCs w:val="20"/>
        </w:rPr>
      </w:pPr>
      <w:r>
        <w:rPr>
          <w:rFonts w:ascii="YouYuan" w:hAnsi="YouYuan" w:eastAsia="YouYuan" w:cs="YouYuan"/>
          <w:sz w:val="20"/>
          <w:szCs w:val="20"/>
          <w:b/>
          <w:bCs/>
          <w:spacing w:val="13"/>
        </w:rPr>
        <w:t>3.</w:t>
      </w:r>
      <w:r>
        <w:rPr>
          <w:rFonts w:ascii="YouYuan" w:hAnsi="YouYuan" w:eastAsia="YouYuan" w:cs="YouYuan"/>
          <w:sz w:val="20"/>
          <w:szCs w:val="20"/>
          <w:spacing w:val="13"/>
        </w:rPr>
        <w:t xml:space="preserve"> </w:t>
      </w:r>
      <w:r>
        <w:rPr>
          <w:rFonts w:ascii="YouYuan" w:hAnsi="YouYuan" w:eastAsia="YouYuan" w:cs="YouYuan"/>
          <w:sz w:val="20"/>
          <w:szCs w:val="20"/>
          <w:b/>
          <w:bCs/>
          <w:spacing w:val="13"/>
        </w:rPr>
        <w:t>构建项目组织架构</w:t>
      </w:r>
    </w:p>
    <w:p>
      <w:pPr>
        <w:ind w:left="50" w:right="128" w:firstLine="419"/>
        <w:spacing w:before="216" w:line="276" w:lineRule="auto"/>
        <w:jc w:val="both"/>
        <w:rPr>
          <w:rFonts w:ascii="SimSun" w:hAnsi="SimSun" w:eastAsia="SimSun" w:cs="SimSun"/>
          <w:sz w:val="20"/>
          <w:szCs w:val="20"/>
        </w:rPr>
      </w:pPr>
      <w:r>
        <w:rPr>
          <w:rFonts w:ascii="SimSun" w:hAnsi="SimSun" w:eastAsia="SimSun" w:cs="SimSun"/>
          <w:sz w:val="20"/>
          <w:szCs w:val="20"/>
          <w:spacing w:val="8"/>
        </w:rPr>
        <w:t>在项目管理中“人”的因素极为重要，因为项目中所有</w:t>
      </w:r>
      <w:r>
        <w:rPr>
          <w:rFonts w:ascii="SimSun" w:hAnsi="SimSun" w:eastAsia="SimSun" w:cs="SimSun"/>
          <w:sz w:val="20"/>
          <w:szCs w:val="20"/>
          <w:spacing w:val="7"/>
        </w:rPr>
        <w:t>活动均是由人来完成的。</w:t>
      </w:r>
      <w:r>
        <w:rPr>
          <w:rFonts w:ascii="SimSun" w:hAnsi="SimSun" w:eastAsia="SimSun" w:cs="SimSun"/>
          <w:sz w:val="20"/>
          <w:szCs w:val="20"/>
        </w:rPr>
        <w:t xml:space="preserve"> </w:t>
      </w:r>
      <w:r>
        <w:rPr>
          <w:rFonts w:ascii="SimSun" w:hAnsi="SimSun" w:eastAsia="SimSun" w:cs="SimSun"/>
          <w:sz w:val="20"/>
          <w:szCs w:val="20"/>
          <w:spacing w:val="11"/>
        </w:rPr>
        <w:t>如何充分发挥“人”的作用，对于项目的成败起着至关重要的作用。建立适宜有效</w:t>
      </w:r>
      <w:r>
        <w:rPr>
          <w:rFonts w:ascii="SimSun" w:hAnsi="SimSun" w:eastAsia="SimSun" w:cs="SimSun"/>
          <w:sz w:val="20"/>
          <w:szCs w:val="20"/>
        </w:rPr>
        <w:t xml:space="preserve">  </w:t>
      </w:r>
      <w:r>
        <w:rPr>
          <w:rFonts w:ascii="SimSun" w:hAnsi="SimSun" w:eastAsia="SimSun" w:cs="SimSun"/>
          <w:sz w:val="20"/>
          <w:szCs w:val="20"/>
          <w:spacing w:val="11"/>
        </w:rPr>
        <w:t>的项目组织架构，是为了有效发挥每位参与项目人员的作用，让项目的所有相关人</w:t>
      </w:r>
      <w:r>
        <w:rPr>
          <w:rFonts w:ascii="SimSun" w:hAnsi="SimSun" w:eastAsia="SimSun" w:cs="SimSun"/>
          <w:sz w:val="20"/>
          <w:szCs w:val="20"/>
        </w:rPr>
        <w:t xml:space="preserve">  </w:t>
      </w:r>
      <w:r>
        <w:rPr>
          <w:rFonts w:ascii="SimSun" w:hAnsi="SimSun" w:eastAsia="SimSun" w:cs="SimSun"/>
          <w:sz w:val="20"/>
          <w:szCs w:val="20"/>
          <w:spacing w:val="11"/>
        </w:rPr>
        <w:t>员能够在可控状态下有条不紊地进行项目相关活动。云端数据治理体系是确保对数</w:t>
      </w:r>
      <w:r>
        <w:rPr>
          <w:rFonts w:ascii="SimSun" w:hAnsi="SimSun" w:eastAsia="SimSun" w:cs="SimSun"/>
          <w:sz w:val="20"/>
          <w:szCs w:val="20"/>
        </w:rPr>
        <w:t xml:space="preserve">  </w:t>
      </w:r>
      <w:r>
        <w:rPr>
          <w:rFonts w:ascii="SimSun" w:hAnsi="SimSun" w:eastAsia="SimSun" w:cs="SimSun"/>
          <w:sz w:val="20"/>
          <w:szCs w:val="20"/>
          <w:spacing w:val="11"/>
        </w:rPr>
        <w:t>据资产进行有效控制和使用的管理体系。虽然数据管理专员可以在各自的业务领域 </w:t>
      </w:r>
      <w:r>
        <w:rPr>
          <w:rFonts w:ascii="SimSun" w:hAnsi="SimSun" w:eastAsia="SimSun" w:cs="SimSun"/>
          <w:sz w:val="20"/>
          <w:szCs w:val="20"/>
          <w:spacing w:val="11"/>
        </w:rPr>
        <w:t>保护和管理数据资产，但是建立项目组织架构，可以确保数据管理专员以整个组织</w:t>
      </w:r>
      <w:r>
        <w:rPr>
          <w:rFonts w:ascii="SimSun" w:hAnsi="SimSun" w:eastAsia="SimSun" w:cs="SimSun"/>
          <w:sz w:val="20"/>
          <w:szCs w:val="20"/>
          <w:spacing w:val="1"/>
        </w:rPr>
        <w:t xml:space="preserve">  </w:t>
      </w:r>
      <w:r>
        <w:rPr>
          <w:rFonts w:ascii="SimSun" w:hAnsi="SimSun" w:eastAsia="SimSun" w:cs="SimSun"/>
          <w:sz w:val="20"/>
          <w:szCs w:val="20"/>
          <w:spacing w:val="7"/>
        </w:rPr>
        <w:t>的视角来保证组织数据质量及其有效利用。</w:t>
      </w:r>
    </w:p>
    <w:p>
      <w:pPr>
        <w:ind w:left="470"/>
        <w:spacing w:before="124" w:line="219" w:lineRule="auto"/>
        <w:rPr>
          <w:rFonts w:ascii="SimSun" w:hAnsi="SimSun" w:eastAsia="SimSun" w:cs="SimSun"/>
          <w:sz w:val="20"/>
          <w:szCs w:val="20"/>
        </w:rPr>
      </w:pPr>
      <w:r>
        <w:rPr>
          <w:rFonts w:ascii="SimSun" w:hAnsi="SimSun" w:eastAsia="SimSun" w:cs="SimSun"/>
          <w:sz w:val="20"/>
          <w:szCs w:val="20"/>
          <w:spacing w:val="2"/>
        </w:rPr>
        <w:t>结合组织云端治理管理体系的管理架构，项目组织架构包括三层，如图11-4</w:t>
      </w:r>
      <w:r>
        <w:rPr>
          <w:rFonts w:ascii="SimSun" w:hAnsi="SimSun" w:eastAsia="SimSun" w:cs="SimSun"/>
          <w:sz w:val="20"/>
          <w:szCs w:val="20"/>
          <w:spacing w:val="1"/>
        </w:rPr>
        <w:t>所示。</w:t>
      </w:r>
    </w:p>
    <w:p>
      <w:pPr>
        <w:pStyle w:val="BodyText"/>
        <w:ind w:firstLine="1700"/>
        <w:spacing w:before="94" w:line="1900" w:lineRule="exact"/>
        <w:rPr/>
      </w:pPr>
      <w:r>
        <w:rPr>
          <w:position w:val="-37"/>
        </w:rPr>
        <w:pict>
          <v:group id="_x0000_s552" style="mso-position-vertical-relative:line;mso-position-horizontal-relative:char;width:220.5pt;height:95pt;" filled="false" stroked="false" coordsize="4410,1900" coordorigin="0,0">
            <v:shape id="_x0000_s554" style="position:absolute;left:0;top:0;width:4410;height:1900;" filled="false" stroked="false" type="#_x0000_t75">
              <v:imagedata o:title="" r:id="rId495"/>
            </v:shape>
            <v:shape id="_x0000_s556" style="position:absolute;left:1639;top:145;width:1106;height:160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2"/>
                      </w:rPr>
                      <w:t>项目指导委员会</w:t>
                    </w:r>
                  </w:p>
                  <w:p>
                    <w:pPr>
                      <w:spacing w:line="295" w:lineRule="auto"/>
                      <w:rPr>
                        <w:rFonts w:ascii="Arial"/>
                        <w:sz w:val="21"/>
                      </w:rPr>
                    </w:pPr>
                    <w:r/>
                  </w:p>
                  <w:p>
                    <w:pPr>
                      <w:spacing w:line="295"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项目执行负责人</w:t>
                    </w:r>
                  </w:p>
                  <w:p>
                    <w:pPr>
                      <w:spacing w:line="361" w:lineRule="auto"/>
                      <w:rPr>
                        <w:rFonts w:ascii="Arial"/>
                        <w:sz w:val="21"/>
                      </w:rPr>
                    </w:pPr>
                    <w:r/>
                  </w:p>
                  <w:p>
                    <w:pPr>
                      <w:ind w:left="140"/>
                      <w:spacing w:before="49" w:line="220" w:lineRule="auto"/>
                      <w:rPr>
                        <w:rFonts w:ascii="SimSun" w:hAnsi="SimSun" w:eastAsia="SimSun" w:cs="SimSun"/>
                        <w:sz w:val="15"/>
                        <w:szCs w:val="15"/>
                      </w:rPr>
                    </w:pPr>
                    <w:r>
                      <w:rPr>
                        <w:rFonts w:ascii="SimSun" w:hAnsi="SimSun" w:eastAsia="SimSun" w:cs="SimSun"/>
                        <w:sz w:val="15"/>
                        <w:szCs w:val="15"/>
                        <w:spacing w:val="3"/>
                      </w:rPr>
                      <w:t>项目实施团队</w:t>
                    </w:r>
                  </w:p>
                </w:txbxContent>
              </v:textbox>
            </v:shape>
            <v:shape id="_x0000_s558" style="position:absolute;left:3210;top:966;width:96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4"/>
                      </w:rPr>
                      <w:t>项目质量管理</w:t>
                    </w:r>
                  </w:p>
                </w:txbxContent>
              </v:textbox>
            </v:shape>
            <v:shape id="_x0000_s560" style="position:absolute;left:419;top:975;width:65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4"/>
                      </w:rPr>
                      <w:t>技术专家</w:t>
                    </w:r>
                  </w:p>
                </w:txbxContent>
              </v:textbox>
            </v:shape>
          </v:group>
        </w:pict>
      </w:r>
    </w:p>
    <w:p>
      <w:pPr>
        <w:ind w:left="2892"/>
        <w:spacing w:before="193" w:line="222" w:lineRule="auto"/>
        <w:rPr>
          <w:rFonts w:ascii="SimHei" w:hAnsi="SimHei" w:eastAsia="SimHei" w:cs="SimHei"/>
          <w:sz w:val="15"/>
          <w:szCs w:val="15"/>
        </w:rPr>
      </w:pPr>
      <w:r>
        <w:rPr>
          <w:rFonts w:ascii="SimHei" w:hAnsi="SimHei" w:eastAsia="SimHei" w:cs="SimHei"/>
          <w:sz w:val="15"/>
          <w:szCs w:val="15"/>
          <w:b/>
          <w:bCs/>
          <w:spacing w:val="-11"/>
        </w:rPr>
        <w:t>图</w:t>
      </w:r>
      <w:r>
        <w:rPr>
          <w:rFonts w:ascii="SimHei" w:hAnsi="SimHei" w:eastAsia="SimHei" w:cs="SimHei"/>
          <w:sz w:val="15"/>
          <w:szCs w:val="15"/>
          <w:spacing w:val="-14"/>
        </w:rPr>
        <w:t xml:space="preserve"> </w:t>
      </w:r>
      <w:r>
        <w:rPr>
          <w:rFonts w:ascii="SimHei" w:hAnsi="SimHei" w:eastAsia="SimHei" w:cs="SimHei"/>
          <w:sz w:val="15"/>
          <w:szCs w:val="15"/>
          <w:b/>
          <w:bCs/>
          <w:spacing w:val="-11"/>
        </w:rPr>
        <w:t>1</w:t>
      </w:r>
      <w:r>
        <w:rPr>
          <w:rFonts w:ascii="SimHei" w:hAnsi="SimHei" w:eastAsia="SimHei" w:cs="SimHei"/>
          <w:sz w:val="15"/>
          <w:szCs w:val="15"/>
          <w:spacing w:val="-23"/>
        </w:rPr>
        <w:t xml:space="preserve"> </w:t>
      </w:r>
      <w:r>
        <w:rPr>
          <w:rFonts w:ascii="SimHei" w:hAnsi="SimHei" w:eastAsia="SimHei" w:cs="SimHei"/>
          <w:sz w:val="15"/>
          <w:szCs w:val="15"/>
          <w:b/>
          <w:bCs/>
          <w:spacing w:val="-11"/>
        </w:rPr>
        <w:t>1</w:t>
      </w:r>
      <w:r>
        <w:rPr>
          <w:rFonts w:ascii="SimHei" w:hAnsi="SimHei" w:eastAsia="SimHei" w:cs="SimHei"/>
          <w:sz w:val="15"/>
          <w:szCs w:val="15"/>
          <w:spacing w:val="-34"/>
        </w:rPr>
        <w:t xml:space="preserve"> </w:t>
      </w:r>
      <w:r>
        <w:rPr>
          <w:rFonts w:ascii="SimHei" w:hAnsi="SimHei" w:eastAsia="SimHei" w:cs="SimHei"/>
          <w:sz w:val="15"/>
          <w:szCs w:val="15"/>
          <w:b/>
          <w:bCs/>
          <w:spacing w:val="-11"/>
        </w:rPr>
        <w:t>-</w:t>
      </w:r>
      <w:r>
        <w:rPr>
          <w:rFonts w:ascii="SimHei" w:hAnsi="SimHei" w:eastAsia="SimHei" w:cs="SimHei"/>
          <w:sz w:val="15"/>
          <w:szCs w:val="15"/>
          <w:spacing w:val="-35"/>
        </w:rPr>
        <w:t xml:space="preserve"> </w:t>
      </w:r>
      <w:r>
        <w:rPr>
          <w:rFonts w:ascii="SimHei" w:hAnsi="SimHei" w:eastAsia="SimHei" w:cs="SimHei"/>
          <w:sz w:val="15"/>
          <w:szCs w:val="15"/>
          <w:b/>
          <w:bCs/>
          <w:spacing w:val="-11"/>
        </w:rPr>
        <w:t>4</w:t>
      </w:r>
      <w:r>
        <w:rPr>
          <w:rFonts w:ascii="SimHei" w:hAnsi="SimHei" w:eastAsia="SimHei" w:cs="SimHei"/>
          <w:sz w:val="15"/>
          <w:szCs w:val="15"/>
          <w:spacing w:val="5"/>
        </w:rPr>
        <w:t xml:space="preserve">  </w:t>
      </w:r>
      <w:r>
        <w:rPr>
          <w:rFonts w:ascii="SimHei" w:hAnsi="SimHei" w:eastAsia="SimHei" w:cs="SimHei"/>
          <w:sz w:val="15"/>
          <w:szCs w:val="15"/>
          <w:b/>
          <w:bCs/>
          <w:spacing w:val="-11"/>
        </w:rPr>
        <w:t>项</w:t>
      </w:r>
      <w:r>
        <w:rPr>
          <w:rFonts w:ascii="SimHei" w:hAnsi="SimHei" w:eastAsia="SimHei" w:cs="SimHei"/>
          <w:sz w:val="15"/>
          <w:szCs w:val="15"/>
          <w:spacing w:val="-11"/>
        </w:rPr>
        <w:t xml:space="preserve"> </w:t>
      </w:r>
      <w:r>
        <w:rPr>
          <w:rFonts w:ascii="SimHei" w:hAnsi="SimHei" w:eastAsia="SimHei" w:cs="SimHei"/>
          <w:sz w:val="15"/>
          <w:szCs w:val="15"/>
          <w:b/>
          <w:bCs/>
          <w:spacing w:val="-11"/>
        </w:rPr>
        <w:t>目</w:t>
      </w:r>
      <w:r>
        <w:rPr>
          <w:rFonts w:ascii="SimHei" w:hAnsi="SimHei" w:eastAsia="SimHei" w:cs="SimHei"/>
          <w:sz w:val="15"/>
          <w:szCs w:val="15"/>
          <w:spacing w:val="-31"/>
        </w:rPr>
        <w:t xml:space="preserve"> </w:t>
      </w:r>
      <w:r>
        <w:rPr>
          <w:rFonts w:ascii="SimHei" w:hAnsi="SimHei" w:eastAsia="SimHei" w:cs="SimHei"/>
          <w:sz w:val="15"/>
          <w:szCs w:val="15"/>
          <w:b/>
          <w:bCs/>
          <w:spacing w:val="-11"/>
        </w:rPr>
        <w:t>组</w:t>
      </w:r>
      <w:r>
        <w:rPr>
          <w:rFonts w:ascii="SimHei" w:hAnsi="SimHei" w:eastAsia="SimHei" w:cs="SimHei"/>
          <w:sz w:val="15"/>
          <w:szCs w:val="15"/>
          <w:spacing w:val="-30"/>
        </w:rPr>
        <w:t xml:space="preserve"> </w:t>
      </w:r>
      <w:r>
        <w:rPr>
          <w:rFonts w:ascii="SimHei" w:hAnsi="SimHei" w:eastAsia="SimHei" w:cs="SimHei"/>
          <w:sz w:val="15"/>
          <w:szCs w:val="15"/>
          <w:b/>
          <w:bCs/>
          <w:spacing w:val="-11"/>
        </w:rPr>
        <w:t>织</w:t>
      </w:r>
      <w:r>
        <w:rPr>
          <w:rFonts w:ascii="SimHei" w:hAnsi="SimHei" w:eastAsia="SimHei" w:cs="SimHei"/>
          <w:sz w:val="15"/>
          <w:szCs w:val="15"/>
          <w:spacing w:val="-30"/>
        </w:rPr>
        <w:t xml:space="preserve"> </w:t>
      </w:r>
      <w:r>
        <w:rPr>
          <w:rFonts w:ascii="SimHei" w:hAnsi="SimHei" w:eastAsia="SimHei" w:cs="SimHei"/>
          <w:sz w:val="15"/>
          <w:szCs w:val="15"/>
          <w:b/>
          <w:bCs/>
          <w:spacing w:val="-11"/>
        </w:rPr>
        <w:t>架</w:t>
      </w:r>
      <w:r>
        <w:rPr>
          <w:rFonts w:ascii="SimHei" w:hAnsi="SimHei" w:eastAsia="SimHei" w:cs="SimHei"/>
          <w:sz w:val="15"/>
          <w:szCs w:val="15"/>
          <w:spacing w:val="-33"/>
        </w:rPr>
        <w:t xml:space="preserve"> </w:t>
      </w:r>
      <w:r>
        <w:rPr>
          <w:rFonts w:ascii="SimHei" w:hAnsi="SimHei" w:eastAsia="SimHei" w:cs="SimHei"/>
          <w:sz w:val="15"/>
          <w:szCs w:val="15"/>
          <w:b/>
          <w:bCs/>
          <w:spacing w:val="-11"/>
        </w:rPr>
        <w:t>构</w:t>
      </w:r>
      <w:r>
        <w:rPr>
          <w:rFonts w:ascii="SimHei" w:hAnsi="SimHei" w:eastAsia="SimHei" w:cs="SimHei"/>
          <w:sz w:val="15"/>
          <w:szCs w:val="15"/>
          <w:spacing w:val="-23"/>
        </w:rPr>
        <w:t xml:space="preserve"> </w:t>
      </w:r>
      <w:r>
        <w:rPr>
          <w:rFonts w:ascii="SimHei" w:hAnsi="SimHei" w:eastAsia="SimHei" w:cs="SimHei"/>
          <w:sz w:val="15"/>
          <w:szCs w:val="15"/>
          <w:b/>
          <w:bCs/>
          <w:spacing w:val="-11"/>
        </w:rPr>
        <w:t>图</w:t>
      </w:r>
    </w:p>
    <w:p>
      <w:pPr>
        <w:ind w:left="470"/>
        <w:spacing w:before="234" w:line="219" w:lineRule="auto"/>
        <w:rPr>
          <w:rFonts w:ascii="SimSun" w:hAnsi="SimSun" w:eastAsia="SimSun" w:cs="SimSun"/>
          <w:sz w:val="20"/>
          <w:szCs w:val="20"/>
        </w:rPr>
      </w:pPr>
      <w:r>
        <w:rPr>
          <w:rFonts w:ascii="SimSun" w:hAnsi="SimSun" w:eastAsia="SimSun" w:cs="SimSun"/>
          <w:sz w:val="20"/>
          <w:szCs w:val="20"/>
          <w:spacing w:val="11"/>
        </w:rPr>
        <w:t>(1)项目指导委员会，职责包括：</w:t>
      </w:r>
    </w:p>
    <w:p>
      <w:pPr>
        <w:ind w:left="470"/>
        <w:spacing w:before="73" w:line="219" w:lineRule="auto"/>
        <w:rPr>
          <w:rFonts w:ascii="SimSun" w:hAnsi="SimSun" w:eastAsia="SimSun" w:cs="SimSun"/>
          <w:sz w:val="20"/>
          <w:szCs w:val="20"/>
        </w:rPr>
      </w:pPr>
      <w:r>
        <w:rPr>
          <w:rFonts w:ascii="SimSun" w:hAnsi="SimSun" w:eastAsia="SimSun" w:cs="SimSun"/>
          <w:sz w:val="20"/>
          <w:szCs w:val="20"/>
          <w:spacing w:val="10"/>
        </w:rPr>
        <w:t>●实施数据治理委员会的决策；</w:t>
      </w:r>
    </w:p>
    <w:p>
      <w:pPr>
        <w:spacing w:line="219" w:lineRule="auto"/>
        <w:sectPr>
          <w:footerReference w:type="default" r:id="rId493"/>
          <w:pgSz w:w="8870" w:h="13400"/>
          <w:pgMar w:top="400" w:right="731" w:bottom="580" w:left="270" w:header="0" w:footer="381" w:gutter="0"/>
        </w:sectPr>
        <w:rPr>
          <w:rFonts w:ascii="SimSun" w:hAnsi="SimSun" w:eastAsia="SimSun" w:cs="SimSun"/>
          <w:sz w:val="20"/>
          <w:szCs w:val="20"/>
        </w:rPr>
      </w:pPr>
    </w:p>
    <w:p>
      <w:pPr>
        <w:ind w:left="109"/>
        <w:spacing w:before="159"/>
        <w:rPr>
          <w:rFonts w:ascii="SimSun" w:hAnsi="SimSun" w:eastAsia="SimSun" w:cs="SimSun"/>
          <w:sz w:val="22"/>
          <w:szCs w:val="22"/>
        </w:rPr>
      </w:pPr>
      <w:r>
        <w:rPr>
          <w:rFonts w:ascii="SimSun" w:hAnsi="SimSun" w:eastAsia="SimSun" w:cs="SimSun"/>
          <w:sz w:val="22"/>
          <w:szCs w:val="22"/>
          <w:position w:val="-9"/>
        </w:rPr>
        <w:drawing>
          <wp:inline distT="0" distB="0" distL="0" distR="0">
            <wp:extent cx="6365" cy="222255"/>
            <wp:effectExtent l="0" t="0" r="0" b="0"/>
            <wp:docPr id="344" name="IM 344"/>
            <wp:cNvGraphicFramePr/>
            <a:graphic>
              <a:graphicData uri="http://schemas.openxmlformats.org/drawingml/2006/picture">
                <pic:pic>
                  <pic:nvPicPr>
                    <pic:cNvPr id="344" name="IM 344"/>
                    <pic:cNvPicPr/>
                  </pic:nvPicPr>
                  <pic:blipFill>
                    <a:blip r:embed="rId497"/>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7"/>
        </w:rPr>
        <w:t xml:space="preserve"> </w:t>
      </w:r>
      <w:r>
        <w:rPr>
          <w:rFonts w:ascii="SimSun" w:hAnsi="SimSun" w:eastAsia="SimSun" w:cs="SimSun"/>
          <w:sz w:val="22"/>
          <w:szCs w:val="22"/>
          <w:b/>
          <w:bCs/>
          <w:spacing w:val="-17"/>
        </w:rPr>
        <w:t>■云端数据治理</w:t>
      </w:r>
    </w:p>
    <w:p>
      <w:pPr>
        <w:ind w:left="669"/>
        <w:spacing w:before="289" w:line="219" w:lineRule="auto"/>
        <w:rPr>
          <w:rFonts w:ascii="SimSun" w:hAnsi="SimSun" w:eastAsia="SimSun" w:cs="SimSun"/>
          <w:sz w:val="22"/>
          <w:szCs w:val="22"/>
        </w:rPr>
      </w:pPr>
      <w:r>
        <w:rPr>
          <w:rFonts w:ascii="SimSun" w:hAnsi="SimSun" w:eastAsia="SimSun" w:cs="SimSun"/>
          <w:sz w:val="22"/>
          <w:szCs w:val="22"/>
          <w:spacing w:val="-9"/>
        </w:rPr>
        <w:t>●关注项目进展，在项目重要里程碑处审查项目状态；</w:t>
      </w:r>
    </w:p>
    <w:p>
      <w:pPr>
        <w:ind w:left="669"/>
        <w:spacing w:before="49" w:line="220" w:lineRule="auto"/>
        <w:rPr>
          <w:rFonts w:ascii="SimSun" w:hAnsi="SimSun" w:eastAsia="SimSun" w:cs="SimSun"/>
          <w:sz w:val="22"/>
          <w:szCs w:val="22"/>
        </w:rPr>
      </w:pPr>
      <w:r>
        <w:rPr>
          <w:rFonts w:ascii="SimSun" w:hAnsi="SimSun" w:eastAsia="SimSun" w:cs="SimSun"/>
          <w:sz w:val="22"/>
          <w:szCs w:val="22"/>
          <w:spacing w:val="-10"/>
        </w:rPr>
        <w:t>●批准影响到项目计划的主要变更；</w:t>
      </w:r>
    </w:p>
    <w:p>
      <w:pPr>
        <w:ind w:left="669"/>
        <w:spacing w:before="45" w:line="219" w:lineRule="auto"/>
        <w:rPr>
          <w:rFonts w:ascii="SimSun" w:hAnsi="SimSun" w:eastAsia="SimSun" w:cs="SimSun"/>
          <w:sz w:val="22"/>
          <w:szCs w:val="22"/>
        </w:rPr>
      </w:pPr>
      <w:r>
        <w:rPr>
          <w:rFonts w:ascii="SimSun" w:hAnsi="SimSun" w:eastAsia="SimSun" w:cs="SimSun"/>
          <w:sz w:val="22"/>
          <w:szCs w:val="22"/>
          <w:spacing w:val="-11"/>
        </w:rPr>
        <w:t>●协调解决本项目的重大问题；</w:t>
      </w:r>
    </w:p>
    <w:p>
      <w:pPr>
        <w:ind w:left="669"/>
        <w:spacing w:before="67" w:line="234" w:lineRule="auto"/>
        <w:rPr>
          <w:rFonts w:ascii="SimSun" w:hAnsi="SimSun" w:eastAsia="SimSun" w:cs="SimSun"/>
          <w:sz w:val="22"/>
          <w:szCs w:val="22"/>
        </w:rPr>
      </w:pPr>
      <w:r>
        <w:rPr>
          <w:rFonts w:ascii="STXingkai" w:hAnsi="STXingkai" w:eastAsia="STXingkai" w:cs="STXingkai"/>
          <w:sz w:val="22"/>
          <w:szCs w:val="22"/>
          <w:spacing w:val="-14"/>
        </w:rPr>
        <w:t>●</w:t>
      </w:r>
      <w:r>
        <w:rPr>
          <w:rFonts w:ascii="STXingkai" w:hAnsi="STXingkai" w:eastAsia="STXingkai" w:cs="STXingkai"/>
          <w:sz w:val="22"/>
          <w:szCs w:val="22"/>
          <w:spacing w:val="49"/>
          <w:w w:val="101"/>
        </w:rPr>
        <w:t xml:space="preserve"> </w:t>
      </w:r>
      <w:r>
        <w:rPr>
          <w:rFonts w:ascii="SimSun" w:hAnsi="SimSun" w:eastAsia="SimSun" w:cs="SimSun"/>
          <w:sz w:val="22"/>
          <w:szCs w:val="22"/>
          <w:spacing w:val="-14"/>
        </w:rPr>
        <w:t>推动、监管项目运作，确保项目能运作成功；</w:t>
      </w:r>
    </w:p>
    <w:p>
      <w:pPr>
        <w:ind w:left="669"/>
        <w:spacing w:before="1" w:line="219" w:lineRule="auto"/>
        <w:rPr>
          <w:rFonts w:ascii="SimSun" w:hAnsi="SimSun" w:eastAsia="SimSun" w:cs="SimSun"/>
          <w:sz w:val="22"/>
          <w:szCs w:val="22"/>
        </w:rPr>
      </w:pPr>
      <w:r>
        <w:rPr>
          <w:rFonts w:ascii="SimSun" w:hAnsi="SimSun" w:eastAsia="SimSun" w:cs="SimSun"/>
          <w:sz w:val="22"/>
          <w:szCs w:val="22"/>
          <w:spacing w:val="-8"/>
        </w:rPr>
        <w:t>●协调数据管理、数据管理制度和数据治理工作；</w:t>
      </w:r>
    </w:p>
    <w:p>
      <w:pPr>
        <w:ind w:left="669"/>
        <w:spacing w:before="49" w:line="219" w:lineRule="auto"/>
        <w:rPr>
          <w:rFonts w:ascii="SimSun" w:hAnsi="SimSun" w:eastAsia="SimSun" w:cs="SimSun"/>
          <w:sz w:val="22"/>
          <w:szCs w:val="22"/>
        </w:rPr>
      </w:pPr>
      <w:r>
        <w:rPr>
          <w:rFonts w:ascii="SimSun" w:hAnsi="SimSun" w:eastAsia="SimSun" w:cs="SimSun"/>
          <w:sz w:val="22"/>
          <w:szCs w:val="22"/>
          <w:spacing w:val="-11"/>
        </w:rPr>
        <w:t>●预算和资源分配；</w:t>
      </w:r>
    </w:p>
    <w:p>
      <w:pPr>
        <w:ind w:left="669" w:right="3649"/>
        <w:spacing w:before="67" w:line="232" w:lineRule="auto"/>
        <w:rPr>
          <w:rFonts w:ascii="SimSun" w:hAnsi="SimSun" w:eastAsia="SimSun" w:cs="SimSun"/>
          <w:sz w:val="22"/>
          <w:szCs w:val="22"/>
        </w:rPr>
      </w:pPr>
      <w:r>
        <w:rPr>
          <w:rFonts w:ascii="SimSun" w:hAnsi="SimSun" w:eastAsia="SimSun" w:cs="SimSun"/>
          <w:sz w:val="22"/>
          <w:szCs w:val="22"/>
          <w:spacing w:val="-8"/>
        </w:rPr>
        <w:t>●项目度量指标的制订、监督和评价。</w:t>
      </w:r>
      <w:r>
        <w:rPr>
          <w:rFonts w:ascii="SimSun" w:hAnsi="SimSun" w:eastAsia="SimSun" w:cs="SimSun"/>
          <w:sz w:val="22"/>
          <w:szCs w:val="22"/>
          <w:spacing w:val="15"/>
        </w:rPr>
        <w:t xml:space="preserve"> </w:t>
      </w:r>
      <w:r>
        <w:rPr>
          <w:rFonts w:ascii="SimSun" w:hAnsi="SimSun" w:eastAsia="SimSun" w:cs="SimSun"/>
          <w:sz w:val="22"/>
          <w:szCs w:val="22"/>
          <w:spacing w:val="-6"/>
        </w:rPr>
        <w:t>(2)项目执行负责人，职责包括：</w:t>
      </w:r>
    </w:p>
    <w:p>
      <w:pPr>
        <w:ind w:left="669"/>
        <w:spacing w:before="67" w:line="218" w:lineRule="auto"/>
        <w:rPr>
          <w:rFonts w:ascii="SimSun" w:hAnsi="SimSun" w:eastAsia="SimSun" w:cs="SimSun"/>
          <w:sz w:val="22"/>
          <w:szCs w:val="22"/>
        </w:rPr>
      </w:pPr>
      <w:r>
        <w:rPr>
          <w:rFonts w:ascii="SimSun" w:hAnsi="SimSun" w:eastAsia="SimSun" w:cs="SimSun"/>
          <w:sz w:val="22"/>
          <w:szCs w:val="22"/>
          <w:spacing w:val="-8"/>
        </w:rPr>
        <w:t>●对项目进行现状调研、评估、差距分析与规划；</w:t>
      </w:r>
    </w:p>
    <w:p>
      <w:pPr>
        <w:ind w:left="669"/>
        <w:spacing w:before="31" w:line="219" w:lineRule="auto"/>
        <w:rPr>
          <w:rFonts w:ascii="SimSun" w:hAnsi="SimSun" w:eastAsia="SimSun" w:cs="SimSun"/>
          <w:sz w:val="22"/>
          <w:szCs w:val="22"/>
        </w:rPr>
      </w:pPr>
      <w:r>
        <w:rPr>
          <w:rFonts w:ascii="SimSun" w:hAnsi="SimSun" w:eastAsia="SimSun" w:cs="SimSun"/>
          <w:sz w:val="22"/>
          <w:szCs w:val="22"/>
          <w:spacing w:val="-9"/>
        </w:rPr>
        <w:t>●制订最佳治理流程规程和管理规范，及有关的技术方案；</w:t>
      </w:r>
    </w:p>
    <w:p>
      <w:pPr>
        <w:ind w:left="669"/>
        <w:spacing w:before="71" w:line="220" w:lineRule="auto"/>
        <w:rPr>
          <w:rFonts w:ascii="SimSun" w:hAnsi="SimSun" w:eastAsia="SimSun" w:cs="SimSun"/>
          <w:sz w:val="22"/>
          <w:szCs w:val="22"/>
        </w:rPr>
      </w:pPr>
      <w:r>
        <w:rPr>
          <w:rFonts w:ascii="SimSun" w:hAnsi="SimSun" w:eastAsia="SimSun" w:cs="SimSun"/>
          <w:sz w:val="22"/>
          <w:szCs w:val="22"/>
          <w:spacing w:val="-10"/>
        </w:rPr>
        <w:t>●制订项目进度计划，监控项目进展；</w:t>
      </w:r>
    </w:p>
    <w:p>
      <w:pPr>
        <w:ind w:left="669"/>
        <w:spacing w:before="34" w:line="325" w:lineRule="exact"/>
        <w:rPr>
          <w:rFonts w:ascii="SimSun" w:hAnsi="SimSun" w:eastAsia="SimSun" w:cs="SimSun"/>
          <w:sz w:val="22"/>
          <w:szCs w:val="22"/>
        </w:rPr>
      </w:pPr>
      <w:r>
        <w:rPr>
          <w:rFonts w:ascii="STXingkai" w:hAnsi="STXingkai" w:eastAsia="STXingkai" w:cs="STXingkai"/>
          <w:sz w:val="22"/>
          <w:szCs w:val="22"/>
          <w:spacing w:val="-15"/>
          <w:position w:val="2"/>
        </w:rPr>
        <w:t>●</w:t>
      </w:r>
      <w:r>
        <w:rPr>
          <w:rFonts w:ascii="STXingkai" w:hAnsi="STXingkai" w:eastAsia="STXingkai" w:cs="STXingkai"/>
          <w:sz w:val="22"/>
          <w:szCs w:val="22"/>
          <w:spacing w:val="35"/>
          <w:position w:val="2"/>
        </w:rPr>
        <w:t xml:space="preserve"> </w:t>
      </w:r>
      <w:r>
        <w:rPr>
          <w:rFonts w:ascii="SimSun" w:hAnsi="SimSun" w:eastAsia="SimSun" w:cs="SimSun"/>
          <w:sz w:val="22"/>
          <w:szCs w:val="22"/>
          <w:spacing w:val="-15"/>
          <w:position w:val="2"/>
        </w:rPr>
        <w:t>领导项目成员达到目标；</w:t>
      </w:r>
    </w:p>
    <w:p>
      <w:pPr>
        <w:ind w:left="669"/>
        <w:spacing w:before="6" w:line="219" w:lineRule="auto"/>
        <w:rPr>
          <w:rFonts w:ascii="SimSun" w:hAnsi="SimSun" w:eastAsia="SimSun" w:cs="SimSun"/>
          <w:sz w:val="22"/>
          <w:szCs w:val="22"/>
        </w:rPr>
      </w:pPr>
      <w:r>
        <w:rPr>
          <w:rFonts w:ascii="SimSun" w:hAnsi="SimSun" w:eastAsia="SimSun" w:cs="SimSun"/>
          <w:sz w:val="22"/>
          <w:szCs w:val="22"/>
          <w:spacing w:val="-9"/>
        </w:rPr>
        <w:t>●识别并控制本项目实施过程中的风险；</w:t>
      </w:r>
    </w:p>
    <w:p>
      <w:pPr>
        <w:ind w:left="669"/>
        <w:spacing w:before="51" w:line="219" w:lineRule="auto"/>
        <w:rPr>
          <w:rFonts w:ascii="SimSun" w:hAnsi="SimSun" w:eastAsia="SimSun" w:cs="SimSun"/>
          <w:sz w:val="22"/>
          <w:szCs w:val="22"/>
        </w:rPr>
      </w:pPr>
      <w:r>
        <w:rPr>
          <w:rFonts w:ascii="SimSun" w:hAnsi="SimSun" w:eastAsia="SimSun" w:cs="SimSun"/>
          <w:sz w:val="22"/>
          <w:szCs w:val="22"/>
          <w:spacing w:val="-11"/>
        </w:rPr>
        <w:t>●管理项目范围和变更控制处理；</w:t>
      </w:r>
    </w:p>
    <w:p>
      <w:pPr>
        <w:ind w:left="669"/>
        <w:spacing w:before="49" w:line="219" w:lineRule="auto"/>
        <w:rPr>
          <w:rFonts w:ascii="SimSun" w:hAnsi="SimSun" w:eastAsia="SimSun" w:cs="SimSun"/>
          <w:sz w:val="22"/>
          <w:szCs w:val="22"/>
        </w:rPr>
      </w:pPr>
      <w:r>
        <w:rPr>
          <w:rFonts w:ascii="SimSun" w:hAnsi="SimSun" w:eastAsia="SimSun" w:cs="SimSun"/>
          <w:sz w:val="22"/>
          <w:szCs w:val="22"/>
          <w:spacing w:val="-11"/>
        </w:rPr>
        <w:t>●制订并执行项目沟通计划；</w:t>
      </w:r>
    </w:p>
    <w:p>
      <w:pPr>
        <w:ind w:left="669"/>
        <w:spacing w:before="58" w:line="219" w:lineRule="auto"/>
        <w:rPr>
          <w:rFonts w:ascii="SimSun" w:hAnsi="SimSun" w:eastAsia="SimSun" w:cs="SimSun"/>
          <w:sz w:val="22"/>
          <w:szCs w:val="22"/>
        </w:rPr>
      </w:pPr>
      <w:r>
        <w:rPr>
          <w:rFonts w:ascii="SimSun" w:hAnsi="SimSun" w:eastAsia="SimSun" w:cs="SimSun"/>
          <w:sz w:val="22"/>
          <w:szCs w:val="22"/>
          <w:spacing w:val="-9"/>
        </w:rPr>
        <w:t>●提供变更材料；</w:t>
      </w:r>
    </w:p>
    <w:p>
      <w:pPr>
        <w:ind w:left="669" w:right="3909"/>
        <w:spacing w:before="49" w:line="236" w:lineRule="auto"/>
        <w:rPr>
          <w:rFonts w:ascii="SimSun" w:hAnsi="SimSun" w:eastAsia="SimSun" w:cs="SimSun"/>
          <w:sz w:val="22"/>
          <w:szCs w:val="22"/>
        </w:rPr>
      </w:pPr>
      <w:r>
        <w:rPr>
          <w:rFonts w:ascii="SimSun" w:hAnsi="SimSun" w:eastAsia="SimSun" w:cs="SimSun"/>
          <w:sz w:val="22"/>
          <w:szCs w:val="22"/>
          <w:spacing w:val="-10"/>
        </w:rPr>
        <w:t>●数据管理专业人员的招募和配备。</w:t>
      </w:r>
      <w:r>
        <w:rPr>
          <w:rFonts w:ascii="SimSun" w:hAnsi="SimSun" w:eastAsia="SimSun" w:cs="SimSun"/>
          <w:sz w:val="22"/>
          <w:szCs w:val="22"/>
        </w:rPr>
        <w:t xml:space="preserve"> </w:t>
      </w:r>
      <w:r>
        <w:rPr>
          <w:rFonts w:ascii="SimSun" w:hAnsi="SimSun" w:eastAsia="SimSun" w:cs="SimSun"/>
          <w:sz w:val="22"/>
          <w:szCs w:val="22"/>
          <w:spacing w:val="-5"/>
        </w:rPr>
        <w:t>(3)项目质量管理，职责包括：</w:t>
      </w:r>
    </w:p>
    <w:p>
      <w:pPr>
        <w:ind w:left="669"/>
        <w:spacing w:before="47" w:line="219" w:lineRule="auto"/>
        <w:rPr>
          <w:rFonts w:ascii="SimSun" w:hAnsi="SimSun" w:eastAsia="SimSun" w:cs="SimSun"/>
          <w:sz w:val="22"/>
          <w:szCs w:val="22"/>
        </w:rPr>
      </w:pPr>
      <w:r>
        <w:rPr>
          <w:rFonts w:ascii="SimSun" w:hAnsi="SimSun" w:eastAsia="SimSun" w:cs="SimSun"/>
          <w:sz w:val="22"/>
          <w:szCs w:val="22"/>
          <w:spacing w:val="-8"/>
        </w:rPr>
        <w:t>●监督检查本项目的实施过程；</w:t>
      </w:r>
    </w:p>
    <w:p>
      <w:pPr>
        <w:ind w:left="669"/>
        <w:spacing w:before="59" w:line="219" w:lineRule="auto"/>
        <w:rPr>
          <w:rFonts w:ascii="SimSun" w:hAnsi="SimSun" w:eastAsia="SimSun" w:cs="SimSun"/>
          <w:sz w:val="22"/>
          <w:szCs w:val="22"/>
        </w:rPr>
      </w:pPr>
      <w:r>
        <w:rPr>
          <w:rFonts w:ascii="SimSun" w:hAnsi="SimSun" w:eastAsia="SimSun" w:cs="SimSun"/>
          <w:sz w:val="22"/>
          <w:szCs w:val="22"/>
          <w:spacing w:val="-10"/>
        </w:rPr>
        <w:t>●对发现的实施中的问题，提出改进建议并督促问题的解决；</w:t>
      </w:r>
    </w:p>
    <w:p>
      <w:pPr>
        <w:ind w:left="669"/>
        <w:spacing w:before="49" w:line="219" w:lineRule="auto"/>
        <w:rPr>
          <w:rFonts w:ascii="SimSun" w:hAnsi="SimSun" w:eastAsia="SimSun" w:cs="SimSun"/>
          <w:sz w:val="22"/>
          <w:szCs w:val="22"/>
        </w:rPr>
      </w:pPr>
      <w:r>
        <w:rPr>
          <w:rFonts w:ascii="SimSun" w:hAnsi="SimSun" w:eastAsia="SimSun" w:cs="SimSun"/>
          <w:sz w:val="22"/>
          <w:szCs w:val="22"/>
          <w:spacing w:val="-9"/>
        </w:rPr>
        <w:t>●必要时，向项目指导委员会汇报工作开展的问题；</w:t>
      </w:r>
    </w:p>
    <w:p>
      <w:pPr>
        <w:ind w:left="669"/>
        <w:spacing w:before="59" w:line="219" w:lineRule="auto"/>
        <w:rPr>
          <w:rFonts w:ascii="SimSun" w:hAnsi="SimSun" w:eastAsia="SimSun" w:cs="SimSun"/>
          <w:sz w:val="22"/>
          <w:szCs w:val="22"/>
        </w:rPr>
      </w:pPr>
      <w:r>
        <w:rPr>
          <w:rFonts w:ascii="SimSun" w:hAnsi="SimSun" w:eastAsia="SimSun" w:cs="SimSun"/>
          <w:sz w:val="22"/>
          <w:szCs w:val="22"/>
          <w:spacing w:val="-8"/>
        </w:rPr>
        <w:t>●向项目实施组提供实施过程中的问题汇总分析结果。</w:t>
      </w:r>
    </w:p>
    <w:p>
      <w:pPr>
        <w:ind w:left="669"/>
        <w:spacing w:before="61" w:line="219" w:lineRule="auto"/>
        <w:rPr>
          <w:rFonts w:ascii="SimSun" w:hAnsi="SimSun" w:eastAsia="SimSun" w:cs="SimSun"/>
          <w:sz w:val="22"/>
          <w:szCs w:val="22"/>
        </w:rPr>
      </w:pPr>
      <w:r>
        <w:rPr>
          <w:rFonts w:ascii="SimSun" w:hAnsi="SimSun" w:eastAsia="SimSun" w:cs="SimSun"/>
          <w:sz w:val="22"/>
          <w:szCs w:val="22"/>
          <w:spacing w:val="-7"/>
        </w:rPr>
        <w:t>(4)技术专家可以是外聘的或者组织内的高层数据管理专员，职责包括：</w:t>
      </w:r>
    </w:p>
    <w:p>
      <w:pPr>
        <w:ind w:left="669"/>
        <w:spacing w:before="47" w:line="219" w:lineRule="auto"/>
        <w:rPr>
          <w:rFonts w:ascii="SimSun" w:hAnsi="SimSun" w:eastAsia="SimSun" w:cs="SimSun"/>
          <w:sz w:val="22"/>
          <w:szCs w:val="22"/>
        </w:rPr>
      </w:pPr>
      <w:r>
        <w:rPr>
          <w:rFonts w:ascii="SimSun" w:hAnsi="SimSun" w:eastAsia="SimSun" w:cs="SimSun"/>
          <w:sz w:val="22"/>
          <w:szCs w:val="22"/>
          <w:spacing w:val="-11"/>
        </w:rPr>
        <w:t>●为项目组提供行业和技术支持；</w:t>
      </w:r>
    </w:p>
    <w:p>
      <w:pPr>
        <w:ind w:left="669" w:right="4319"/>
        <w:spacing w:before="50" w:line="245" w:lineRule="auto"/>
        <w:rPr>
          <w:rFonts w:ascii="SimSun" w:hAnsi="SimSun" w:eastAsia="SimSun" w:cs="SimSun"/>
          <w:sz w:val="22"/>
          <w:szCs w:val="22"/>
        </w:rPr>
      </w:pPr>
      <w:r>
        <w:rPr>
          <w:rFonts w:ascii="SimSun" w:hAnsi="SimSun" w:eastAsia="SimSun" w:cs="SimSun"/>
          <w:sz w:val="22"/>
          <w:szCs w:val="22"/>
          <w:spacing w:val="-10"/>
        </w:rPr>
        <w:t>●对项目执行提出指导性意见。</w:t>
      </w:r>
      <w:r>
        <w:rPr>
          <w:rFonts w:ascii="SimSun" w:hAnsi="SimSun" w:eastAsia="SimSun" w:cs="SimSun"/>
          <w:sz w:val="22"/>
          <w:szCs w:val="22"/>
          <w:spacing w:val="9"/>
        </w:rPr>
        <w:t xml:space="preserve"> </w:t>
      </w:r>
      <w:r>
        <w:rPr>
          <w:rFonts w:ascii="SimSun" w:hAnsi="SimSun" w:eastAsia="SimSun" w:cs="SimSun"/>
          <w:sz w:val="22"/>
          <w:szCs w:val="22"/>
          <w:spacing w:val="-4"/>
        </w:rPr>
        <w:t>(5)项目实施团队的职责包括：</w:t>
      </w:r>
    </w:p>
    <w:p>
      <w:pPr>
        <w:ind w:left="669"/>
        <w:spacing w:before="45" w:line="219" w:lineRule="auto"/>
        <w:rPr>
          <w:rFonts w:ascii="SimSun" w:hAnsi="SimSun" w:eastAsia="SimSun" w:cs="SimSun"/>
          <w:sz w:val="22"/>
          <w:szCs w:val="22"/>
        </w:rPr>
      </w:pPr>
      <w:r>
        <w:rPr>
          <w:rFonts w:ascii="SimSun" w:hAnsi="SimSun" w:eastAsia="SimSun" w:cs="SimSun"/>
          <w:sz w:val="22"/>
          <w:szCs w:val="22"/>
          <w:spacing w:val="-9"/>
        </w:rPr>
        <w:t>●负责项目在本部门的组织协调工作；</w:t>
      </w:r>
    </w:p>
    <w:p>
      <w:pPr>
        <w:ind w:left="669"/>
        <w:spacing w:before="41" w:line="219" w:lineRule="auto"/>
        <w:rPr>
          <w:rFonts w:ascii="SimSun" w:hAnsi="SimSun" w:eastAsia="SimSun" w:cs="SimSun"/>
          <w:sz w:val="22"/>
          <w:szCs w:val="22"/>
        </w:rPr>
      </w:pPr>
      <w:r>
        <w:rPr>
          <w:rFonts w:ascii="SimSun" w:hAnsi="SimSun" w:eastAsia="SimSun" w:cs="SimSun"/>
          <w:sz w:val="22"/>
          <w:szCs w:val="22"/>
          <w:spacing w:val="-9"/>
        </w:rPr>
        <w:t>●组织相关人员建立和维护组织数据策略和数据规程等文件要求；</w:t>
      </w:r>
    </w:p>
    <w:p>
      <w:pPr>
        <w:ind w:left="669"/>
        <w:spacing w:before="57" w:line="219" w:lineRule="auto"/>
        <w:rPr>
          <w:rFonts w:ascii="SimSun" w:hAnsi="SimSun" w:eastAsia="SimSun" w:cs="SimSun"/>
          <w:sz w:val="22"/>
          <w:szCs w:val="22"/>
        </w:rPr>
      </w:pPr>
      <w:r>
        <w:rPr>
          <w:rFonts w:ascii="SimSun" w:hAnsi="SimSun" w:eastAsia="SimSun" w:cs="SimSun"/>
          <w:sz w:val="22"/>
          <w:szCs w:val="22"/>
          <w:spacing w:val="-8"/>
        </w:rPr>
        <w:t>●推动组织数据治理的实施，对相关过程提供过程培训和辅导；</w:t>
      </w:r>
    </w:p>
    <w:p>
      <w:pPr>
        <w:ind w:left="669"/>
        <w:spacing w:before="69" w:line="219" w:lineRule="auto"/>
        <w:rPr>
          <w:rFonts w:ascii="SimSun" w:hAnsi="SimSun" w:eastAsia="SimSun" w:cs="SimSun"/>
          <w:sz w:val="22"/>
          <w:szCs w:val="22"/>
        </w:rPr>
      </w:pPr>
      <w:r>
        <w:rPr>
          <w:rFonts w:ascii="SimSun" w:hAnsi="SimSun" w:eastAsia="SimSun" w:cs="SimSun"/>
          <w:sz w:val="22"/>
          <w:szCs w:val="22"/>
          <w:spacing w:val="-10"/>
        </w:rPr>
        <w:t>●策划并监督本项目的内部实施活动；</w:t>
      </w:r>
    </w:p>
    <w:p>
      <w:pPr>
        <w:ind w:left="669"/>
        <w:spacing w:before="49" w:line="219" w:lineRule="auto"/>
        <w:rPr>
          <w:rFonts w:ascii="SimSun" w:hAnsi="SimSun" w:eastAsia="SimSun" w:cs="SimSun"/>
          <w:sz w:val="22"/>
          <w:szCs w:val="22"/>
        </w:rPr>
      </w:pPr>
      <w:r>
        <w:rPr>
          <w:rFonts w:ascii="SimSun" w:hAnsi="SimSun" w:eastAsia="SimSun" w:cs="SimSun"/>
          <w:sz w:val="22"/>
          <w:szCs w:val="22"/>
          <w:spacing w:val="-9"/>
        </w:rPr>
        <w:t>●识别并控制本项目实施过程中的风险；</w:t>
      </w:r>
    </w:p>
    <w:p>
      <w:pPr>
        <w:ind w:left="669"/>
        <w:spacing w:before="39" w:line="219" w:lineRule="auto"/>
        <w:rPr>
          <w:rFonts w:ascii="SimSun" w:hAnsi="SimSun" w:eastAsia="SimSun" w:cs="SimSun"/>
          <w:sz w:val="22"/>
          <w:szCs w:val="22"/>
        </w:rPr>
      </w:pPr>
      <w:r>
        <w:rPr>
          <w:rFonts w:ascii="SimSun" w:hAnsi="SimSun" w:eastAsia="SimSun" w:cs="SimSun"/>
          <w:sz w:val="22"/>
          <w:szCs w:val="22"/>
          <w:spacing w:val="-9"/>
        </w:rPr>
        <w:t>●促进数据治理过程持续不断的改进。</w:t>
      </w:r>
    </w:p>
    <w:p>
      <w:pPr>
        <w:ind w:left="299" w:firstLine="369"/>
        <w:spacing w:before="70" w:line="243" w:lineRule="auto"/>
        <w:jc w:val="both"/>
        <w:rPr>
          <w:rFonts w:ascii="SimSun" w:hAnsi="SimSun" w:eastAsia="SimSun" w:cs="SimSun"/>
          <w:sz w:val="22"/>
          <w:szCs w:val="22"/>
        </w:rPr>
      </w:pPr>
      <w:r>
        <w:rPr>
          <w:rFonts w:ascii="SimSun" w:hAnsi="SimSun" w:eastAsia="SimSun" w:cs="SimSun"/>
          <w:sz w:val="22"/>
          <w:szCs w:val="22"/>
          <w:spacing w:val="-9"/>
        </w:rPr>
        <w:t>项目实施团队，建议由参与云端数据治理体系的部门，如体</w:t>
      </w:r>
      <w:r>
        <w:rPr>
          <w:rFonts w:ascii="SimSun" w:hAnsi="SimSun" w:eastAsia="SimSun" w:cs="SimSun"/>
          <w:sz w:val="22"/>
          <w:szCs w:val="22"/>
          <w:spacing w:val="-10"/>
        </w:rPr>
        <w:t>系管理部门、</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部 </w:t>
      </w:r>
      <w:r>
        <w:rPr>
          <w:rFonts w:ascii="SimSun" w:hAnsi="SimSun" w:eastAsia="SimSun" w:cs="SimSun"/>
          <w:sz w:val="22"/>
          <w:szCs w:val="22"/>
          <w:spacing w:val="-8"/>
        </w:rPr>
        <w:t>门、财务部、销售部、营销部、风险部等相关人员组成。典型的 </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参与者可能包</w:t>
      </w:r>
      <w:r>
        <w:rPr>
          <w:rFonts w:ascii="SimSun" w:hAnsi="SimSun" w:eastAsia="SimSun" w:cs="SimSun"/>
          <w:sz w:val="22"/>
          <w:szCs w:val="22"/>
        </w:rPr>
        <w:t xml:space="preserve"> </w:t>
      </w:r>
      <w:r>
        <w:rPr>
          <w:rFonts w:ascii="SimSun" w:hAnsi="SimSun" w:eastAsia="SimSun" w:cs="SimSun"/>
          <w:sz w:val="22"/>
          <w:szCs w:val="22"/>
          <w:spacing w:val="-8"/>
        </w:rPr>
        <w:t>括信息管理团队、组织数据架构师、记录管理团队以及安全和隐私专业人员。业务</w:t>
      </w:r>
      <w:r>
        <w:rPr>
          <w:rFonts w:ascii="SimSun" w:hAnsi="SimSun" w:eastAsia="SimSun" w:cs="SimSun"/>
          <w:sz w:val="22"/>
          <w:szCs w:val="22"/>
          <w:spacing w:val="6"/>
        </w:rPr>
        <w:t xml:space="preserve"> </w:t>
      </w:r>
      <w:r>
        <w:rPr>
          <w:rFonts w:ascii="SimSun" w:hAnsi="SimSun" w:eastAsia="SimSun" w:cs="SimSun"/>
          <w:sz w:val="22"/>
          <w:szCs w:val="22"/>
          <w:spacing w:val="-8"/>
        </w:rPr>
        <w:t>参与者可能包括来自需要使用云端数据来制订业务策略、性能分析、生成报告、开</w:t>
      </w:r>
    </w:p>
    <w:p>
      <w:pPr>
        <w:spacing w:line="243" w:lineRule="auto"/>
        <w:sectPr>
          <w:footerReference w:type="default" r:id="rId496"/>
          <w:pgSz w:w="8870" w:h="13400"/>
          <w:pgMar w:top="400" w:right="390" w:bottom="524" w:left="540" w:header="0" w:footer="306" w:gutter="0"/>
        </w:sectPr>
        <w:rPr>
          <w:rFonts w:ascii="SimSun" w:hAnsi="SimSun" w:eastAsia="SimSun" w:cs="SimSun"/>
          <w:sz w:val="22"/>
          <w:szCs w:val="22"/>
        </w:rPr>
      </w:pPr>
    </w:p>
    <w:p>
      <w:pPr>
        <w:ind w:left="4573"/>
        <w:spacing w:before="14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4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发模型、设计业务流程和管理数据的部门代表。</w:t>
      </w:r>
    </w:p>
    <w:p>
      <w:pPr>
        <w:ind w:left="4"/>
        <w:spacing w:before="318" w:line="228" w:lineRule="auto"/>
        <w:outlineLvl w:val="6"/>
        <w:rPr>
          <w:rFonts w:ascii="YouYuan" w:hAnsi="YouYuan" w:eastAsia="YouYuan" w:cs="YouYuan"/>
          <w:sz w:val="29"/>
          <w:szCs w:val="29"/>
        </w:rPr>
      </w:pPr>
      <w:r>
        <w:rPr>
          <w:rFonts w:ascii="YouYuan" w:hAnsi="YouYuan" w:eastAsia="YouYuan" w:cs="YouYuan"/>
          <w:sz w:val="29"/>
          <w:szCs w:val="29"/>
          <w:b/>
          <w:bCs/>
          <w:spacing w:val="-9"/>
        </w:rPr>
        <w:t>11.2.4</w:t>
      </w:r>
      <w:r>
        <w:rPr>
          <w:rFonts w:ascii="YouYuan" w:hAnsi="YouYuan" w:eastAsia="YouYuan" w:cs="YouYuan"/>
          <w:sz w:val="29"/>
          <w:szCs w:val="29"/>
          <w:spacing w:val="118"/>
        </w:rPr>
        <w:t xml:space="preserve"> </w:t>
      </w:r>
      <w:r>
        <w:rPr>
          <w:rFonts w:ascii="YouYuan" w:hAnsi="YouYuan" w:eastAsia="YouYuan" w:cs="YouYuan"/>
          <w:sz w:val="29"/>
          <w:szCs w:val="29"/>
          <w:b/>
          <w:bCs/>
          <w:spacing w:val="-9"/>
        </w:rPr>
        <w:t>项目实施</w:t>
      </w:r>
    </w:p>
    <w:p>
      <w:pPr>
        <w:ind w:left="422"/>
        <w:spacing w:before="287" w:line="224" w:lineRule="auto"/>
        <w:outlineLvl w:val="6"/>
        <w:rPr>
          <w:rFonts w:ascii="YouYuan" w:hAnsi="YouYuan" w:eastAsia="YouYuan" w:cs="YouYuan"/>
          <w:sz w:val="21"/>
          <w:szCs w:val="21"/>
        </w:rPr>
      </w:pPr>
      <w:r>
        <w:rPr>
          <w:rFonts w:ascii="YouYuan" w:hAnsi="YouYuan" w:eastAsia="YouYuan" w:cs="YouYuan"/>
          <w:sz w:val="21"/>
          <w:szCs w:val="21"/>
          <w:b/>
          <w:bCs/>
          <w:spacing w:val="3"/>
        </w:rPr>
        <w:t>1.</w:t>
      </w:r>
      <w:r>
        <w:rPr>
          <w:rFonts w:ascii="YouYuan" w:hAnsi="YouYuan" w:eastAsia="YouYuan" w:cs="YouYuan"/>
          <w:sz w:val="21"/>
          <w:szCs w:val="21"/>
          <w:spacing w:val="3"/>
        </w:rPr>
        <w:t xml:space="preserve"> </w:t>
      </w:r>
      <w:r>
        <w:rPr>
          <w:rFonts w:ascii="YouYuan" w:hAnsi="YouYuan" w:eastAsia="YouYuan" w:cs="YouYuan"/>
          <w:sz w:val="21"/>
          <w:szCs w:val="21"/>
          <w:b/>
          <w:bCs/>
          <w:spacing w:val="3"/>
        </w:rPr>
        <w:t>制订路线路</w:t>
      </w:r>
    </w:p>
    <w:p>
      <w:pPr>
        <w:ind w:right="167" w:firstLine="419"/>
        <w:spacing w:before="227" w:line="265" w:lineRule="auto"/>
        <w:jc w:val="both"/>
        <w:rPr>
          <w:rFonts w:ascii="SimSun" w:hAnsi="SimSun" w:eastAsia="SimSun" w:cs="SimSun"/>
          <w:sz w:val="21"/>
          <w:szCs w:val="21"/>
        </w:rPr>
      </w:pPr>
      <w:r>
        <w:rPr>
          <w:rFonts w:ascii="SimSun" w:hAnsi="SimSun" w:eastAsia="SimSun" w:cs="SimSun"/>
          <w:sz w:val="21"/>
          <w:szCs w:val="21"/>
          <w:spacing w:val="2"/>
        </w:rPr>
        <w:t>技术路线图作为一种云端数据治理项目规划工具可以帮助组织</w:t>
      </w:r>
      <w:r>
        <w:rPr>
          <w:rFonts w:ascii="SimSun" w:hAnsi="SimSun" w:eastAsia="SimSun" w:cs="SimSun"/>
          <w:sz w:val="21"/>
          <w:szCs w:val="21"/>
          <w:spacing w:val="1"/>
        </w:rPr>
        <w:t>确定数据治理项</w:t>
      </w:r>
      <w:r>
        <w:rPr>
          <w:rFonts w:ascii="SimSun" w:hAnsi="SimSun" w:eastAsia="SimSun" w:cs="SimSun"/>
          <w:sz w:val="21"/>
          <w:szCs w:val="21"/>
        </w:rPr>
        <w:t xml:space="preserve"> </w:t>
      </w:r>
      <w:r>
        <w:rPr>
          <w:rFonts w:ascii="SimSun" w:hAnsi="SimSun" w:eastAsia="SimSun" w:cs="SimSun"/>
          <w:sz w:val="21"/>
          <w:szCs w:val="21"/>
          <w:spacing w:val="1"/>
        </w:rPr>
        <w:t>目需要的技术能力和资源需求，制订项目实施计划，从而确保技</w:t>
      </w:r>
      <w:r>
        <w:rPr>
          <w:rFonts w:ascii="SimSun" w:hAnsi="SimSun" w:eastAsia="SimSun" w:cs="SimSun"/>
          <w:sz w:val="21"/>
          <w:szCs w:val="21"/>
        </w:rPr>
        <w:t>术和资源在需要时 </w:t>
      </w:r>
      <w:r>
        <w:rPr>
          <w:rFonts w:ascii="SimSun" w:hAnsi="SimSun" w:eastAsia="SimSun" w:cs="SimSun"/>
          <w:sz w:val="21"/>
          <w:szCs w:val="21"/>
          <w:spacing w:val="1"/>
        </w:rPr>
        <w:t>可以及时获得。技术路线图通常以时间规划的方式将项目规划、项</w:t>
      </w:r>
      <w:r>
        <w:rPr>
          <w:rFonts w:ascii="SimSun" w:hAnsi="SimSun" w:eastAsia="SimSun" w:cs="SimSun"/>
          <w:sz w:val="21"/>
          <w:szCs w:val="21"/>
        </w:rPr>
        <w:t>目实施、资源利 </w:t>
      </w:r>
      <w:r>
        <w:rPr>
          <w:rFonts w:ascii="SimSun" w:hAnsi="SimSun" w:eastAsia="SimSun" w:cs="SimSun"/>
          <w:sz w:val="21"/>
          <w:szCs w:val="21"/>
          <w:spacing w:val="2"/>
        </w:rPr>
        <w:t>用等结合起来，标明并重点关注最困难的治理问题以便及时展开有针对性的增强活</w:t>
      </w:r>
      <w:r>
        <w:rPr>
          <w:rFonts w:ascii="SimSun" w:hAnsi="SimSun" w:eastAsia="SimSun" w:cs="SimSun"/>
          <w:sz w:val="21"/>
          <w:szCs w:val="21"/>
          <w:spacing w:val="15"/>
        </w:rPr>
        <w:t xml:space="preserve"> </w:t>
      </w:r>
      <w:r>
        <w:rPr>
          <w:rFonts w:ascii="SimSun" w:hAnsi="SimSun" w:eastAsia="SimSun" w:cs="SimSun"/>
          <w:sz w:val="21"/>
          <w:szCs w:val="21"/>
          <w:spacing w:val="1"/>
        </w:rPr>
        <w:t>动，检查并解决项目中最需要解决的问题。对于云端数据治理，</w:t>
      </w:r>
      <w:r>
        <w:rPr>
          <w:rFonts w:ascii="SimSun" w:hAnsi="SimSun" w:eastAsia="SimSun" w:cs="SimSun"/>
          <w:sz w:val="21"/>
          <w:szCs w:val="21"/>
        </w:rPr>
        <w:t>路线图就是关于人 </w:t>
      </w:r>
      <w:r>
        <w:rPr>
          <w:rFonts w:ascii="SimSun" w:hAnsi="SimSun" w:eastAsia="SimSun" w:cs="SimSun"/>
          <w:sz w:val="21"/>
          <w:szCs w:val="21"/>
          <w:spacing w:val="1"/>
        </w:rPr>
        <w:t>员、过程、技术方案和工具的短期和中长期计划，人员、过程、技</w:t>
      </w:r>
      <w:r>
        <w:rPr>
          <w:rFonts w:ascii="SimSun" w:hAnsi="SimSun" w:eastAsia="SimSun" w:cs="SimSun"/>
          <w:sz w:val="21"/>
          <w:szCs w:val="21"/>
        </w:rPr>
        <w:t>术方案和工具的 </w:t>
      </w:r>
      <w:r>
        <w:rPr>
          <w:rFonts w:ascii="SimSun" w:hAnsi="SimSun" w:eastAsia="SimSun" w:cs="SimSun"/>
          <w:sz w:val="21"/>
          <w:szCs w:val="21"/>
          <w:spacing w:val="-2"/>
        </w:rPr>
        <w:t>确定依据正是执行差距分析的结果。图11-5</w:t>
      </w:r>
      <w:r>
        <w:rPr>
          <w:rFonts w:ascii="SimSun" w:hAnsi="SimSun" w:eastAsia="SimSun" w:cs="SimSun"/>
          <w:sz w:val="21"/>
          <w:szCs w:val="21"/>
          <w:spacing w:val="-3"/>
        </w:rPr>
        <w:t>所示为数据治理差距分析报告部分结果。</w:t>
      </w:r>
    </w:p>
    <w:p>
      <w:pPr>
        <w:pStyle w:val="BodyText"/>
        <w:ind w:firstLine="660"/>
        <w:spacing w:before="116" w:line="3370" w:lineRule="exact"/>
        <w:rPr/>
      </w:pPr>
      <w:r>
        <w:rPr>
          <w:position w:val="-67"/>
        </w:rPr>
        <w:pict>
          <v:group id="_x0000_s562" style="mso-position-vertical-relative:line;mso-position-horizontal-relative:char;width:318pt;height:168.55pt;" filled="false" stroked="false" coordsize="6360,3371" coordorigin="0,0">
            <v:shape id="_x0000_s564" style="position:absolute;left:0;top:0;width:6360;height:3371;" filled="false" stroked="false" type="#_x0000_t75">
              <v:imagedata o:title="" r:id="rId499"/>
            </v:shape>
            <v:shape id="_x0000_s566" style="position:absolute;left:2250;top:286;width:3987;height:28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数据治理差距分析部分结果</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1549"/>
                      <w:spacing w:before="52" w:line="219" w:lineRule="auto"/>
                      <w:rPr>
                        <w:rFonts w:ascii="SimSun" w:hAnsi="SimSun" w:eastAsia="SimSun" w:cs="SimSun"/>
                        <w:sz w:val="16"/>
                        <w:szCs w:val="16"/>
                      </w:rPr>
                    </w:pPr>
                    <w:r>
                      <w:rPr>
                        <w:rFonts w:ascii="SimSun" w:hAnsi="SimSun" w:eastAsia="SimSun" w:cs="SimSun"/>
                        <w:sz w:val="16"/>
                        <w:szCs w:val="16"/>
                        <w:spacing w:val="8"/>
                      </w:rPr>
                      <w:t>技术</w:t>
                    </w:r>
                  </w:p>
                  <w:p>
                    <w:pPr>
                      <w:ind w:left="2739" w:right="60" w:hanging="99"/>
                      <w:spacing w:before="250" w:line="213" w:lineRule="auto"/>
                      <w:rPr>
                        <w:rFonts w:ascii="SimSun" w:hAnsi="SimSun" w:eastAsia="SimSun" w:cs="SimSun"/>
                        <w:sz w:val="16"/>
                        <w:szCs w:val="16"/>
                      </w:rPr>
                    </w:pPr>
                    <w:r>
                      <w:rPr>
                        <w:rFonts w:ascii="SimSun" w:hAnsi="SimSun" w:eastAsia="SimSun" w:cs="SimSun"/>
                        <w:sz w:val="16"/>
                        <w:szCs w:val="16"/>
                        <w:spacing w:val="-17"/>
                      </w:rPr>
                      <w:t>·数据管理平台功能</w:t>
                    </w:r>
                    <w:r>
                      <w:rPr>
                        <w:rFonts w:ascii="SimSun" w:hAnsi="SimSun" w:eastAsia="SimSun" w:cs="SimSun"/>
                        <w:sz w:val="16"/>
                        <w:szCs w:val="16"/>
                      </w:rPr>
                      <w:t xml:space="preserve"> </w:t>
                    </w:r>
                    <w:r>
                      <w:rPr>
                        <w:rFonts w:ascii="SimSun" w:hAnsi="SimSun" w:eastAsia="SimSun" w:cs="SimSun"/>
                        <w:sz w:val="16"/>
                        <w:szCs w:val="16"/>
                        <w:spacing w:val="-2"/>
                      </w:rPr>
                      <w:t>存在缺陷</w:t>
                    </w:r>
                  </w:p>
                  <w:p>
                    <w:pPr>
                      <w:ind w:left="2640" w:right="20"/>
                      <w:spacing w:before="1" w:line="208" w:lineRule="auto"/>
                      <w:rPr>
                        <w:rFonts w:ascii="SimSun" w:hAnsi="SimSun" w:eastAsia="SimSun" w:cs="SimSun"/>
                        <w:sz w:val="16"/>
                        <w:szCs w:val="16"/>
                      </w:rPr>
                    </w:pPr>
                    <w:r>
                      <w:rPr>
                        <w:rFonts w:ascii="SimSun" w:hAnsi="SimSun" w:eastAsia="SimSun" w:cs="SimSun"/>
                        <w:sz w:val="16"/>
                        <w:szCs w:val="16"/>
                        <w:spacing w:val="-13"/>
                      </w:rPr>
                      <w:t>·数据加密设备陈旧</w:t>
                    </w:r>
                    <w:r>
                      <w:rPr>
                        <w:rFonts w:ascii="SimSun" w:hAnsi="SimSun" w:eastAsia="SimSun" w:cs="SimSun"/>
                        <w:sz w:val="16"/>
                        <w:szCs w:val="16"/>
                        <w:spacing w:val="3"/>
                      </w:rPr>
                      <w:t xml:space="preserve"> </w:t>
                    </w:r>
                    <w:r>
                      <w:rPr>
                        <w:rFonts w:ascii="SimSun" w:hAnsi="SimSun" w:eastAsia="SimSun" w:cs="SimSun"/>
                        <w:sz w:val="16"/>
                        <w:szCs w:val="16"/>
                        <w:spacing w:val="-13"/>
                      </w:rPr>
                      <w:t>·数据清洗工具效率</w:t>
                    </w:r>
                  </w:p>
                  <w:p>
                    <w:pPr>
                      <w:ind w:left="2739"/>
                      <w:spacing w:line="217" w:lineRule="auto"/>
                      <w:rPr>
                        <w:rFonts w:ascii="SimSun" w:hAnsi="SimSun" w:eastAsia="SimSun" w:cs="SimSun"/>
                        <w:sz w:val="16"/>
                        <w:szCs w:val="16"/>
                      </w:rPr>
                    </w:pPr>
                    <w:r>
                      <w:rPr>
                        <w:rFonts w:ascii="SimSun" w:hAnsi="SimSun" w:eastAsia="SimSun" w:cs="SimSun"/>
                        <w:sz w:val="16"/>
                        <w:szCs w:val="16"/>
                        <w:spacing w:val="-5"/>
                      </w:rPr>
                      <w:t>低下，易出错</w:t>
                    </w:r>
                  </w:p>
                  <w:p>
                    <w:pPr>
                      <w:ind w:left="2640"/>
                      <w:spacing w:line="207" w:lineRule="auto"/>
                      <w:rPr>
                        <w:rFonts w:ascii="SimSun" w:hAnsi="SimSun" w:eastAsia="SimSun" w:cs="SimSun"/>
                        <w:sz w:val="16"/>
                        <w:szCs w:val="16"/>
                      </w:rPr>
                    </w:pPr>
                    <w:r>
                      <w:rPr>
                        <w:rFonts w:ascii="SimSun" w:hAnsi="SimSun" w:eastAsia="SimSun" w:cs="SimSun"/>
                        <w:sz w:val="16"/>
                        <w:szCs w:val="16"/>
                        <w:spacing w:val="-16"/>
                      </w:rPr>
                      <w:t>·网络带宽不足</w:t>
                    </w:r>
                  </w:p>
                  <w:p>
                    <w:pPr>
                      <w:ind w:right="24"/>
                      <w:spacing w:line="196" w:lineRule="auto"/>
                      <w:jc w:val="right"/>
                      <w:rPr>
                        <w:rFonts w:ascii="SimSun" w:hAnsi="SimSun" w:eastAsia="SimSun" w:cs="SimSun"/>
                        <w:sz w:val="16"/>
                        <w:szCs w:val="16"/>
                      </w:rPr>
                    </w:pPr>
                    <w:r>
                      <w:rPr>
                        <w:rFonts w:ascii="SimSun" w:hAnsi="SimSun" w:eastAsia="SimSun" w:cs="SimSun"/>
                        <w:sz w:val="16"/>
                        <w:szCs w:val="16"/>
                        <w:spacing w:val="-13"/>
                      </w:rPr>
                      <w:t>·存储设备老化，存</w:t>
                    </w:r>
                  </w:p>
                  <w:p>
                    <w:pPr>
                      <w:ind w:left="2739"/>
                      <w:spacing w:before="1" w:line="219" w:lineRule="auto"/>
                      <w:rPr>
                        <w:rFonts w:ascii="SimSun" w:hAnsi="SimSun" w:eastAsia="SimSun" w:cs="SimSun"/>
                        <w:sz w:val="16"/>
                        <w:szCs w:val="16"/>
                      </w:rPr>
                    </w:pPr>
                    <w:r>
                      <w:rPr>
                        <w:rFonts w:ascii="SimSun" w:hAnsi="SimSun" w:eastAsia="SimSun" w:cs="SimSun"/>
                        <w:sz w:val="16"/>
                        <w:szCs w:val="16"/>
                        <w:spacing w:val="-7"/>
                      </w:rPr>
                      <w:t>在数据丢失现象</w:t>
                    </w:r>
                  </w:p>
                </w:txbxContent>
              </v:textbox>
            </v:shape>
            <v:shape id="_x0000_s568" style="position:absolute;left:3269;top:1716;width:1363;height:1470;" filled="false" stroked="false" type="#_x0000_t202">
              <v:fill on="false"/>
              <v:stroke on="false"/>
              <v:path/>
              <v:imagedata o:title=""/>
              <o:lock v:ext="edit" aspectratio="false"/>
              <v:textbox inset="0mm,0mm,0mm,0mm">
                <w:txbxContent>
                  <w:p>
                    <w:pPr>
                      <w:ind w:left="20"/>
                      <w:spacing w:before="19" w:line="208" w:lineRule="auto"/>
                      <w:rPr>
                        <w:rFonts w:ascii="SimSun" w:hAnsi="SimSun" w:eastAsia="SimSun" w:cs="SimSun"/>
                        <w:sz w:val="16"/>
                        <w:szCs w:val="16"/>
                      </w:rPr>
                    </w:pPr>
                    <w:r>
                      <w:rPr>
                        <w:rFonts w:ascii="SimSun" w:hAnsi="SimSun" w:eastAsia="SimSun" w:cs="SimSun"/>
                        <w:sz w:val="16"/>
                        <w:szCs w:val="16"/>
                        <w:spacing w:val="-13"/>
                      </w:rPr>
                      <w:t>·数据清洗能力不足</w:t>
                    </w:r>
                  </w:p>
                  <w:p>
                    <w:pPr>
                      <w:ind w:left="110" w:right="23" w:hanging="90"/>
                      <w:spacing w:before="1" w:line="201" w:lineRule="auto"/>
                      <w:rPr>
                        <w:rFonts w:ascii="SimSun" w:hAnsi="SimSun" w:eastAsia="SimSun" w:cs="SimSun"/>
                        <w:sz w:val="16"/>
                        <w:szCs w:val="16"/>
                      </w:rPr>
                    </w:pPr>
                    <w:r>
                      <w:rPr>
                        <w:rFonts w:ascii="SimSun" w:hAnsi="SimSun" w:eastAsia="SimSun" w:cs="SimSun"/>
                        <w:sz w:val="16"/>
                        <w:szCs w:val="16"/>
                        <w:spacing w:val="-14"/>
                      </w:rPr>
                      <w:t>·数据安全管理知识</w:t>
                    </w:r>
                    <w:r>
                      <w:rPr>
                        <w:rFonts w:ascii="SimSun" w:hAnsi="SimSun" w:eastAsia="SimSun" w:cs="SimSun"/>
                        <w:sz w:val="16"/>
                        <w:szCs w:val="16"/>
                        <w:spacing w:val="4"/>
                      </w:rPr>
                      <w:t xml:space="preserve"> </w:t>
                    </w:r>
                    <w:r>
                      <w:rPr>
                        <w:rFonts w:ascii="SimSun" w:hAnsi="SimSun" w:eastAsia="SimSun" w:cs="SimSun"/>
                        <w:sz w:val="16"/>
                        <w:szCs w:val="16"/>
                        <w:spacing w:val="-2"/>
                      </w:rPr>
                      <w:t>有限</w:t>
                    </w:r>
                  </w:p>
                  <w:p>
                    <w:pPr>
                      <w:ind w:left="20"/>
                      <w:spacing w:line="207" w:lineRule="auto"/>
                      <w:rPr>
                        <w:rFonts w:ascii="SimSun" w:hAnsi="SimSun" w:eastAsia="SimSun" w:cs="SimSun"/>
                        <w:sz w:val="16"/>
                        <w:szCs w:val="16"/>
                      </w:rPr>
                    </w:pPr>
                    <w:r>
                      <w:rPr>
                        <w:rFonts w:ascii="SimSun" w:hAnsi="SimSun" w:eastAsia="SimSun" w:cs="SimSun"/>
                        <w:sz w:val="16"/>
                        <w:szCs w:val="16"/>
                        <w:spacing w:val="-19"/>
                      </w:rPr>
                      <w:t>·数据标准缺乏</w:t>
                    </w:r>
                  </w:p>
                  <w:p>
                    <w:pPr>
                      <w:ind w:left="110" w:right="22" w:hanging="90"/>
                      <w:spacing w:line="213" w:lineRule="auto"/>
                      <w:rPr>
                        <w:rFonts w:ascii="SimSun" w:hAnsi="SimSun" w:eastAsia="SimSun" w:cs="SimSun"/>
                        <w:sz w:val="16"/>
                        <w:szCs w:val="16"/>
                      </w:rPr>
                    </w:pPr>
                    <w:r>
                      <w:rPr>
                        <w:rFonts w:ascii="SimSun" w:hAnsi="SimSun" w:eastAsia="SimSun" w:cs="SimSun"/>
                        <w:sz w:val="16"/>
                        <w:szCs w:val="16"/>
                        <w:spacing w:val="-14"/>
                      </w:rPr>
                      <w:t>·数据管理平台操作</w:t>
                    </w:r>
                    <w:r>
                      <w:rPr>
                        <w:rFonts w:ascii="SimSun" w:hAnsi="SimSun" w:eastAsia="SimSun" w:cs="SimSun"/>
                        <w:sz w:val="16"/>
                        <w:szCs w:val="16"/>
                        <w:spacing w:val="5"/>
                      </w:rPr>
                      <w:t xml:space="preserve"> </w:t>
                    </w:r>
                    <w:r>
                      <w:rPr>
                        <w:rFonts w:ascii="SimSun" w:hAnsi="SimSun" w:eastAsia="SimSun" w:cs="SimSun"/>
                        <w:sz w:val="16"/>
                        <w:szCs w:val="16"/>
                        <w:spacing w:val="-2"/>
                      </w:rPr>
                      <w:t>不熟练</w:t>
                    </w:r>
                  </w:p>
                  <w:p>
                    <w:pPr>
                      <w:ind w:left="110" w:right="20" w:hanging="90"/>
                      <w:spacing w:before="1" w:line="219" w:lineRule="auto"/>
                      <w:rPr>
                        <w:rFonts w:ascii="SimSun" w:hAnsi="SimSun" w:eastAsia="SimSun" w:cs="SimSun"/>
                        <w:sz w:val="16"/>
                        <w:szCs w:val="16"/>
                      </w:rPr>
                    </w:pPr>
                    <w:r>
                      <w:rPr>
                        <w:rFonts w:ascii="SimSun" w:hAnsi="SimSun" w:eastAsia="SimSun" w:cs="SimSun"/>
                        <w:sz w:val="16"/>
                        <w:szCs w:val="16"/>
                        <w:spacing w:val="-14"/>
                      </w:rPr>
                      <w:t>·主数据管理能力和</w:t>
                    </w:r>
                    <w:r>
                      <w:rPr>
                        <w:rFonts w:ascii="SimSun" w:hAnsi="SimSun" w:eastAsia="SimSun" w:cs="SimSun"/>
                        <w:sz w:val="16"/>
                        <w:szCs w:val="16"/>
                        <w:spacing w:val="7"/>
                      </w:rPr>
                      <w:t xml:space="preserve"> </w:t>
                    </w:r>
                    <w:r>
                      <w:rPr>
                        <w:rFonts w:ascii="SimSun" w:hAnsi="SimSun" w:eastAsia="SimSun" w:cs="SimSun"/>
                        <w:sz w:val="16"/>
                        <w:szCs w:val="16"/>
                        <w:spacing w:val="-2"/>
                      </w:rPr>
                      <w:t>技术不足</w:t>
                    </w:r>
                  </w:p>
                </w:txbxContent>
              </v:textbox>
            </v:shape>
            <v:shape id="_x0000_s570" style="position:absolute;left:70;top:1715;width:1358;height:1471;" filled="false" stroked="false" type="#_x0000_t202">
              <v:fill on="false"/>
              <v:stroke on="false"/>
              <v:path/>
              <v:imagedata o:title=""/>
              <o:lock v:ext="edit" aspectratio="false"/>
              <v:textbox inset="0mm,0mm,0mm,0mm">
                <w:txbxContent>
                  <w:p>
                    <w:pPr>
                      <w:ind w:left="118" w:right="20" w:hanging="99"/>
                      <w:spacing w:before="19" w:line="208" w:lineRule="auto"/>
                      <w:rPr>
                        <w:rFonts w:ascii="SimSun" w:hAnsi="SimSun" w:eastAsia="SimSun" w:cs="SimSun"/>
                        <w:sz w:val="16"/>
                        <w:szCs w:val="16"/>
                      </w:rPr>
                    </w:pPr>
                    <w:r>
                      <w:rPr>
                        <w:rFonts w:ascii="SimSun" w:hAnsi="SimSun" w:eastAsia="SimSun" w:cs="SimSun"/>
                        <w:sz w:val="16"/>
                        <w:szCs w:val="16"/>
                        <w:spacing w:val="-14"/>
                      </w:rPr>
                      <w:t>·数据治理委员会不</w:t>
                    </w:r>
                    <w:r>
                      <w:rPr>
                        <w:rFonts w:ascii="SimSun" w:hAnsi="SimSun" w:eastAsia="SimSun" w:cs="SimSun"/>
                        <w:sz w:val="16"/>
                        <w:szCs w:val="16"/>
                        <w:spacing w:val="3"/>
                      </w:rPr>
                      <w:t xml:space="preserve"> </w:t>
                    </w:r>
                    <w:r>
                      <w:rPr>
                        <w:rFonts w:ascii="SimSun" w:hAnsi="SimSun" w:eastAsia="SimSun" w:cs="SimSun"/>
                        <w:sz w:val="16"/>
                        <w:szCs w:val="16"/>
                        <w:spacing w:val="-2"/>
                      </w:rPr>
                      <w:t>完善</w:t>
                    </w:r>
                  </w:p>
                  <w:p>
                    <w:pPr>
                      <w:ind w:left="119" w:right="21" w:hanging="99"/>
                      <w:spacing w:before="1" w:line="207" w:lineRule="auto"/>
                      <w:rPr>
                        <w:rFonts w:ascii="SimSun" w:hAnsi="SimSun" w:eastAsia="SimSun" w:cs="SimSun"/>
                        <w:sz w:val="16"/>
                        <w:szCs w:val="16"/>
                      </w:rPr>
                    </w:pPr>
                    <w:r>
                      <w:rPr>
                        <w:rFonts w:ascii="SimSun" w:hAnsi="SimSun" w:eastAsia="SimSun" w:cs="SimSun"/>
                        <w:sz w:val="16"/>
                        <w:szCs w:val="16"/>
                        <w:spacing w:val="-14"/>
                      </w:rPr>
                      <w:t>·数据安全管理员能</w:t>
                    </w:r>
                    <w:r>
                      <w:rPr>
                        <w:rFonts w:ascii="SimSun" w:hAnsi="SimSun" w:eastAsia="SimSun" w:cs="SimSun"/>
                        <w:sz w:val="16"/>
                        <w:szCs w:val="16"/>
                        <w:spacing w:val="2"/>
                      </w:rPr>
                      <w:t xml:space="preserve"> </w:t>
                    </w:r>
                    <w:r>
                      <w:rPr>
                        <w:rFonts w:ascii="SimSun" w:hAnsi="SimSun" w:eastAsia="SimSun" w:cs="SimSun"/>
                        <w:sz w:val="16"/>
                        <w:szCs w:val="16"/>
                        <w:spacing w:val="-9"/>
                      </w:rPr>
                      <w:t>力需要提升</w:t>
                    </w:r>
                  </w:p>
                  <w:p>
                    <w:pPr>
                      <w:ind w:left="119" w:right="20" w:hanging="99"/>
                      <w:spacing w:line="219" w:lineRule="auto"/>
                      <w:rPr>
                        <w:rFonts w:ascii="SimSun" w:hAnsi="SimSun" w:eastAsia="SimSun" w:cs="SimSun"/>
                        <w:sz w:val="16"/>
                        <w:szCs w:val="16"/>
                      </w:rPr>
                    </w:pPr>
                    <w:r>
                      <w:rPr>
                        <w:rFonts w:ascii="SimSun" w:hAnsi="SimSun" w:eastAsia="SimSun" w:cs="SimSun"/>
                        <w:sz w:val="16"/>
                        <w:szCs w:val="16"/>
                        <w:spacing w:val="-14"/>
                      </w:rPr>
                      <w:t>·需要任命新的数据</w:t>
                    </w:r>
                    <w:r>
                      <w:rPr>
                        <w:rFonts w:ascii="SimSun" w:hAnsi="SimSun" w:eastAsia="SimSun" w:cs="SimSun"/>
                        <w:sz w:val="16"/>
                        <w:szCs w:val="16"/>
                        <w:spacing w:val="3"/>
                      </w:rPr>
                      <w:t xml:space="preserve"> </w:t>
                    </w:r>
                    <w:r>
                      <w:rPr>
                        <w:rFonts w:ascii="SimSun" w:hAnsi="SimSun" w:eastAsia="SimSun" w:cs="SimSun"/>
                        <w:sz w:val="16"/>
                        <w:szCs w:val="16"/>
                        <w:spacing w:val="-2"/>
                      </w:rPr>
                      <w:t>主管</w:t>
                    </w:r>
                  </w:p>
                  <w:p>
                    <w:pPr>
                      <w:ind w:left="118" w:right="23" w:hanging="99"/>
                      <w:spacing w:line="208" w:lineRule="auto"/>
                      <w:rPr>
                        <w:rFonts w:ascii="SimSun" w:hAnsi="SimSun" w:eastAsia="SimSun" w:cs="SimSun"/>
                        <w:sz w:val="16"/>
                        <w:szCs w:val="16"/>
                      </w:rPr>
                    </w:pPr>
                    <w:r>
                      <w:rPr>
                        <w:rFonts w:ascii="SimSun" w:hAnsi="SimSun" w:eastAsia="SimSun" w:cs="SimSun"/>
                        <w:sz w:val="16"/>
                        <w:szCs w:val="16"/>
                        <w:spacing w:val="-14"/>
                      </w:rPr>
                      <w:t>·部分人员数据治理</w:t>
                    </w:r>
                    <w:r>
                      <w:rPr>
                        <w:rFonts w:ascii="SimSun" w:hAnsi="SimSun" w:eastAsia="SimSun" w:cs="SimSun"/>
                        <w:sz w:val="16"/>
                        <w:szCs w:val="16"/>
                      </w:rPr>
                      <w:t xml:space="preserve"> </w:t>
                    </w:r>
                    <w:r>
                      <w:rPr>
                        <w:rFonts w:ascii="SimSun" w:hAnsi="SimSun" w:eastAsia="SimSun" w:cs="SimSun"/>
                        <w:sz w:val="16"/>
                        <w:szCs w:val="16"/>
                        <w:spacing w:val="-12"/>
                      </w:rPr>
                      <w:t>意识缺乏</w:t>
                    </w:r>
                  </w:p>
                </w:txbxContent>
              </v:textbox>
            </v:shape>
            <v:shape id="_x0000_s572" style="position:absolute;left:1689;top:1716;width:1358;height:1281;" filled="false" stroked="false" type="#_x0000_t202">
              <v:fill on="false"/>
              <v:stroke on="false"/>
              <v:path/>
              <v:imagedata o:title=""/>
              <o:lock v:ext="edit" aspectratio="false"/>
              <v:textbox inset="0mm,0mm,0mm,0mm">
                <w:txbxContent>
                  <w:p>
                    <w:pPr>
                      <w:ind w:left="120" w:right="20" w:hanging="100"/>
                      <w:spacing w:before="19" w:line="208" w:lineRule="auto"/>
                      <w:rPr>
                        <w:rFonts w:ascii="SimSun" w:hAnsi="SimSun" w:eastAsia="SimSun" w:cs="SimSun"/>
                        <w:sz w:val="16"/>
                        <w:szCs w:val="16"/>
                      </w:rPr>
                    </w:pPr>
                    <w:r>
                      <w:rPr>
                        <w:rFonts w:ascii="SimSun" w:hAnsi="SimSun" w:eastAsia="SimSun" w:cs="SimSun"/>
                        <w:sz w:val="16"/>
                        <w:szCs w:val="16"/>
                        <w:spacing w:val="-14"/>
                      </w:rPr>
                      <w:t>·数据治理策略尚不</w:t>
                    </w:r>
                    <w:r>
                      <w:rPr>
                        <w:rFonts w:ascii="SimSun" w:hAnsi="SimSun" w:eastAsia="SimSun" w:cs="SimSun"/>
                        <w:sz w:val="16"/>
                        <w:szCs w:val="16"/>
                        <w:spacing w:val="3"/>
                      </w:rPr>
                      <w:t xml:space="preserve"> </w:t>
                    </w:r>
                    <w:r>
                      <w:rPr>
                        <w:rFonts w:ascii="SimSun" w:hAnsi="SimSun" w:eastAsia="SimSun" w:cs="SimSun"/>
                        <w:sz w:val="16"/>
                        <w:szCs w:val="16"/>
                        <w:spacing w:val="-2"/>
                      </w:rPr>
                      <w:t>完整</w:t>
                    </w:r>
                  </w:p>
                  <w:p>
                    <w:pPr>
                      <w:ind w:left="20" w:right="21"/>
                      <w:spacing w:before="1" w:line="201" w:lineRule="auto"/>
                      <w:rPr>
                        <w:rFonts w:ascii="SimSun" w:hAnsi="SimSun" w:eastAsia="SimSun" w:cs="SimSun"/>
                        <w:sz w:val="16"/>
                        <w:szCs w:val="16"/>
                      </w:rPr>
                    </w:pPr>
                    <w:r>
                      <w:rPr>
                        <w:rFonts w:ascii="SimSun" w:hAnsi="SimSun" w:eastAsia="SimSun" w:cs="SimSun"/>
                        <w:sz w:val="16"/>
                        <w:szCs w:val="16"/>
                        <w:spacing w:val="-14"/>
                      </w:rPr>
                      <w:t>·业务案例不够细化</w:t>
                    </w:r>
                    <w:r>
                      <w:rPr>
                        <w:rFonts w:ascii="SimSun" w:hAnsi="SimSun" w:eastAsia="SimSun" w:cs="SimSun"/>
                        <w:sz w:val="16"/>
                        <w:szCs w:val="16"/>
                        <w:spacing w:val="1"/>
                      </w:rPr>
                      <w:t xml:space="preserve"> </w:t>
                    </w:r>
                    <w:r>
                      <w:rPr>
                        <w:rFonts w:ascii="SimSun" w:hAnsi="SimSun" w:eastAsia="SimSun" w:cs="SimSun"/>
                        <w:sz w:val="16"/>
                        <w:szCs w:val="16"/>
                        <w:spacing w:val="-14"/>
                      </w:rPr>
                      <w:t>·数据治理绩效指标</w:t>
                    </w:r>
                  </w:p>
                  <w:p>
                    <w:pPr>
                      <w:ind w:left="120"/>
                      <w:spacing w:line="207" w:lineRule="auto"/>
                      <w:rPr>
                        <w:rFonts w:ascii="SimSun" w:hAnsi="SimSun" w:eastAsia="SimSun" w:cs="SimSun"/>
                        <w:sz w:val="16"/>
                        <w:szCs w:val="16"/>
                      </w:rPr>
                    </w:pPr>
                    <w:r>
                      <w:rPr>
                        <w:rFonts w:ascii="SimSun" w:hAnsi="SimSun" w:eastAsia="SimSun" w:cs="SimSun"/>
                        <w:sz w:val="16"/>
                        <w:szCs w:val="16"/>
                        <w:spacing w:val="-2"/>
                      </w:rPr>
                      <w:t>不够明确</w:t>
                    </w:r>
                  </w:p>
                  <w:p>
                    <w:pPr>
                      <w:ind w:left="20" w:right="20"/>
                      <w:spacing w:before="1" w:line="219" w:lineRule="auto"/>
                      <w:rPr>
                        <w:rFonts w:ascii="SimSun" w:hAnsi="SimSun" w:eastAsia="SimSun" w:cs="SimSun"/>
                        <w:sz w:val="16"/>
                        <w:szCs w:val="16"/>
                      </w:rPr>
                    </w:pPr>
                    <w:r>
                      <w:rPr>
                        <w:rFonts w:ascii="SimSun" w:hAnsi="SimSun" w:eastAsia="SimSun" w:cs="SimSun"/>
                        <w:sz w:val="16"/>
                        <w:szCs w:val="16"/>
                        <w:spacing w:val="-14"/>
                      </w:rPr>
                      <w:t>·缺少数据治理持续</w:t>
                    </w:r>
                    <w:r>
                      <w:rPr>
                        <w:rFonts w:ascii="SimSun" w:hAnsi="SimSun" w:eastAsia="SimSun" w:cs="SimSun"/>
                        <w:sz w:val="16"/>
                        <w:szCs w:val="16"/>
                        <w:spacing w:val="2"/>
                      </w:rPr>
                      <w:t xml:space="preserve"> </w:t>
                    </w:r>
                    <w:r>
                      <w:rPr>
                        <w:rFonts w:ascii="SimSun" w:hAnsi="SimSun" w:eastAsia="SimSun" w:cs="SimSun"/>
                        <w:sz w:val="16"/>
                        <w:szCs w:val="16"/>
                        <w:spacing w:val="-5"/>
                      </w:rPr>
                      <w:t>提升的计划</w:t>
                    </w:r>
                  </w:p>
                </w:txbxContent>
              </v:textbox>
            </v:shape>
            <v:shape id="_x0000_s574" style="position:absolute;left:2189;top:125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过程</w:t>
                    </w:r>
                  </w:p>
                </w:txbxContent>
              </v:textbox>
            </v:shape>
            <v:shape id="_x0000_s576" style="position:absolute;left:600;top:1257;width:352;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人员</w:t>
                    </w:r>
                  </w:p>
                </w:txbxContent>
              </v:textbox>
            </v:shape>
            <v:shape id="_x0000_s578" style="position:absolute;left:5400;top:1237;width:352;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3"/>
                      </w:rPr>
                      <w:t>工具</w:t>
                    </w:r>
                  </w:p>
                </w:txbxContent>
              </v:textbox>
            </v:shape>
          </v:group>
        </w:pict>
      </w:r>
    </w:p>
    <w:p>
      <w:pPr>
        <w:ind w:left="2212"/>
        <w:spacing w:before="134" w:line="222" w:lineRule="auto"/>
        <w:rPr>
          <w:rFonts w:ascii="SimHei" w:hAnsi="SimHei" w:eastAsia="SimHei" w:cs="SimHei"/>
          <w:sz w:val="21"/>
          <w:szCs w:val="21"/>
        </w:rPr>
      </w:pPr>
      <w:r>
        <w:rPr>
          <w:rFonts w:ascii="SimHei" w:hAnsi="SimHei" w:eastAsia="SimHei" w:cs="SimHei"/>
          <w:sz w:val="21"/>
          <w:szCs w:val="21"/>
          <w:b/>
          <w:bCs/>
          <w:spacing w:val="-18"/>
          <w:w w:val="97"/>
        </w:rPr>
        <w:t>图11-5</w:t>
      </w:r>
      <w:r>
        <w:rPr>
          <w:rFonts w:ascii="SimHei" w:hAnsi="SimHei" w:eastAsia="SimHei" w:cs="SimHei"/>
          <w:sz w:val="21"/>
          <w:szCs w:val="21"/>
          <w:spacing w:val="33"/>
        </w:rPr>
        <w:t xml:space="preserve"> </w:t>
      </w:r>
      <w:r>
        <w:rPr>
          <w:rFonts w:ascii="SimHei" w:hAnsi="SimHei" w:eastAsia="SimHei" w:cs="SimHei"/>
          <w:sz w:val="21"/>
          <w:szCs w:val="21"/>
          <w:b/>
          <w:bCs/>
          <w:spacing w:val="-18"/>
          <w:w w:val="97"/>
        </w:rPr>
        <w:t>数据治理差距分析报告部分结果</w:t>
      </w:r>
    </w:p>
    <w:p>
      <w:pPr>
        <w:ind w:right="147" w:firstLine="419"/>
        <w:spacing w:before="189" w:line="264" w:lineRule="auto"/>
        <w:rPr>
          <w:rFonts w:ascii="SimSun" w:hAnsi="SimSun" w:eastAsia="SimSun" w:cs="SimSun"/>
          <w:sz w:val="21"/>
          <w:szCs w:val="21"/>
        </w:rPr>
      </w:pPr>
      <w:r>
        <w:rPr>
          <w:rFonts w:ascii="SimSun" w:hAnsi="SimSun" w:eastAsia="SimSun" w:cs="SimSun"/>
          <w:sz w:val="21"/>
          <w:szCs w:val="21"/>
          <w:spacing w:val="1"/>
        </w:rPr>
        <w:t>图11-5中，组织的云端数据治理体系存在一些不足。例如，在人员上，存在数 </w:t>
      </w:r>
      <w:r>
        <w:rPr>
          <w:rFonts w:ascii="SimSun" w:hAnsi="SimSun" w:eastAsia="SimSun" w:cs="SimSun"/>
          <w:sz w:val="21"/>
          <w:szCs w:val="21"/>
          <w:spacing w:val="1"/>
        </w:rPr>
        <w:t>据治理委员会缺少必需的成员、数据治理人员能力需要提升等问题；在过程上，数</w:t>
      </w:r>
      <w:r>
        <w:rPr>
          <w:rFonts w:ascii="SimSun" w:hAnsi="SimSun" w:eastAsia="SimSun" w:cs="SimSun"/>
          <w:sz w:val="21"/>
          <w:szCs w:val="21"/>
        </w:rPr>
        <w:t xml:space="preserve">  </w:t>
      </w:r>
      <w:r>
        <w:rPr>
          <w:rFonts w:ascii="SimSun" w:hAnsi="SimSun" w:eastAsia="SimSun" w:cs="SimSun"/>
          <w:sz w:val="21"/>
          <w:szCs w:val="21"/>
          <w:spacing w:val="1"/>
        </w:rPr>
        <w:t>据治理策略不完整会导致部分数据治理活动没有可以遵循的规则、绩效指标不明确</w:t>
      </w:r>
      <w:r>
        <w:rPr>
          <w:rFonts w:ascii="SimSun" w:hAnsi="SimSun" w:eastAsia="SimSun" w:cs="SimSun"/>
          <w:sz w:val="21"/>
          <w:szCs w:val="21"/>
          <w:spacing w:val="4"/>
        </w:rPr>
        <w:t xml:space="preserve">  </w:t>
      </w:r>
      <w:r>
        <w:rPr>
          <w:rFonts w:ascii="SimSun" w:hAnsi="SimSun" w:eastAsia="SimSun" w:cs="SimSun"/>
          <w:sz w:val="21"/>
          <w:szCs w:val="21"/>
          <w:spacing w:val="-2"/>
        </w:rPr>
        <w:t>难以支撑数据治理绩效评估等问题；在技术上，存在缺少必要的数据质量提升</w:t>
      </w:r>
      <w:r>
        <w:rPr>
          <w:rFonts w:ascii="SimSun" w:hAnsi="SimSun" w:eastAsia="SimSun" w:cs="SimSun"/>
          <w:sz w:val="21"/>
          <w:szCs w:val="21"/>
          <w:spacing w:val="-3"/>
        </w:rPr>
        <w:t>能力、</w:t>
      </w:r>
      <w:r>
        <w:rPr>
          <w:rFonts w:ascii="SimSun" w:hAnsi="SimSun" w:eastAsia="SimSun" w:cs="SimSun"/>
          <w:sz w:val="21"/>
          <w:szCs w:val="21"/>
        </w:rPr>
        <w:t xml:space="preserve"> </w:t>
      </w:r>
      <w:r>
        <w:rPr>
          <w:rFonts w:ascii="SimSun" w:hAnsi="SimSun" w:eastAsia="SimSun" w:cs="SimSun"/>
          <w:sz w:val="21"/>
          <w:szCs w:val="21"/>
          <w:spacing w:val="1"/>
        </w:rPr>
        <w:t>数据安全管理知识不够等问题；在工具上，缺少一些数据治理活动所需的工具和资</w:t>
      </w:r>
      <w:r>
        <w:rPr>
          <w:rFonts w:ascii="SimSun" w:hAnsi="SimSun" w:eastAsia="SimSun" w:cs="SimSun"/>
          <w:sz w:val="21"/>
          <w:szCs w:val="21"/>
          <w:spacing w:val="4"/>
        </w:rPr>
        <w:t xml:space="preserve">  </w:t>
      </w:r>
      <w:r>
        <w:rPr>
          <w:rFonts w:ascii="SimSun" w:hAnsi="SimSun" w:eastAsia="SimSun" w:cs="SimSun"/>
          <w:sz w:val="21"/>
          <w:szCs w:val="21"/>
          <w:spacing w:val="-7"/>
        </w:rPr>
        <w:t>源等问题。</w:t>
      </w:r>
    </w:p>
    <w:p>
      <w:pPr>
        <w:ind w:right="235" w:firstLine="419"/>
        <w:spacing w:before="60" w:line="266" w:lineRule="auto"/>
        <w:rPr>
          <w:rFonts w:ascii="SimSun" w:hAnsi="SimSun" w:eastAsia="SimSun" w:cs="SimSun"/>
          <w:sz w:val="21"/>
          <w:szCs w:val="21"/>
        </w:rPr>
      </w:pPr>
      <w:r>
        <w:rPr>
          <w:rFonts w:ascii="SimSun" w:hAnsi="SimSun" w:eastAsia="SimSun" w:cs="SimSun"/>
          <w:sz w:val="21"/>
          <w:szCs w:val="21"/>
          <w:spacing w:val="1"/>
        </w:rPr>
        <w:t>针对以上问题，组织建立的路线图必须能够覆盖解决</w:t>
      </w:r>
      <w:r>
        <w:rPr>
          <w:rFonts w:ascii="SimSun" w:hAnsi="SimSun" w:eastAsia="SimSun" w:cs="SimSun"/>
          <w:sz w:val="21"/>
          <w:szCs w:val="21"/>
        </w:rPr>
        <w:t>上述问题的流程，例如， </w:t>
      </w:r>
      <w:r>
        <w:rPr>
          <w:rFonts w:ascii="SimSun" w:hAnsi="SimSun" w:eastAsia="SimSun" w:cs="SimSun"/>
          <w:sz w:val="21"/>
          <w:szCs w:val="21"/>
          <w:spacing w:val="1"/>
        </w:rPr>
        <w:t>组建云端数据治理工作组，选择合适的职位和角色组成数据治理委员会，然后在数 </w:t>
      </w:r>
      <w:r>
        <w:rPr>
          <w:rFonts w:ascii="SimSun" w:hAnsi="SimSun" w:eastAsia="SimSun" w:cs="SimSun"/>
          <w:sz w:val="21"/>
          <w:szCs w:val="21"/>
          <w:spacing w:val="1"/>
        </w:rPr>
        <w:t>据治理委员会领导下开展后续工作。图11-6所示为了一个云端数据治理项目实施的</w:t>
      </w:r>
      <w:r>
        <w:rPr>
          <w:rFonts w:ascii="SimSun" w:hAnsi="SimSun" w:eastAsia="SimSun" w:cs="SimSun"/>
          <w:sz w:val="21"/>
          <w:szCs w:val="21"/>
          <w:spacing w:val="7"/>
        </w:rPr>
        <w:t xml:space="preserve"> </w:t>
      </w:r>
      <w:r>
        <w:rPr>
          <w:rFonts w:ascii="SimSun" w:hAnsi="SimSun" w:eastAsia="SimSun" w:cs="SimSun"/>
          <w:sz w:val="21"/>
          <w:szCs w:val="21"/>
          <w:spacing w:val="-8"/>
        </w:rPr>
        <w:t>技术路线图示例。</w:t>
      </w:r>
    </w:p>
    <w:p>
      <w:pPr>
        <w:spacing w:line="266" w:lineRule="auto"/>
        <w:sectPr>
          <w:footerReference w:type="default" r:id="rId498"/>
          <w:pgSz w:w="8870" w:h="13400"/>
          <w:pgMar w:top="400" w:right="877" w:bottom="617" w:left="149" w:header="0" w:footer="408" w:gutter="0"/>
        </w:sectPr>
        <w:rPr>
          <w:rFonts w:ascii="SimSun" w:hAnsi="SimSun" w:eastAsia="SimSun" w:cs="SimSun"/>
          <w:sz w:val="21"/>
          <w:szCs w:val="21"/>
        </w:rPr>
      </w:pPr>
    </w:p>
    <w:p>
      <w:pPr>
        <w:ind w:left="212"/>
        <w:spacing w:before="205" w:line="219" w:lineRule="auto"/>
        <w:rPr>
          <w:rFonts w:ascii="SimSun" w:hAnsi="SimSun" w:eastAsia="SimSun" w:cs="SimSun"/>
          <w:sz w:val="22"/>
          <w:szCs w:val="22"/>
        </w:rPr>
      </w:pPr>
      <w:r>
        <w:drawing>
          <wp:anchor distT="0" distB="0" distL="0" distR="0" simplePos="0" relativeHeight="258489344" behindDoc="0" locked="0" layoutInCell="0" allowOverlap="1">
            <wp:simplePos x="0" y="0"/>
            <wp:positionH relativeFrom="page">
              <wp:posOffset>463550</wp:posOffset>
            </wp:positionH>
            <wp:positionV relativeFrom="page">
              <wp:posOffset>336531</wp:posOffset>
            </wp:positionV>
            <wp:extent cx="6365" cy="222255"/>
            <wp:effectExtent l="0" t="0" r="0" b="0"/>
            <wp:wrapNone/>
            <wp:docPr id="346" name="IM 346"/>
            <wp:cNvGraphicFramePr/>
            <a:graphic>
              <a:graphicData uri="http://schemas.openxmlformats.org/drawingml/2006/picture">
                <pic:pic>
                  <pic:nvPicPr>
                    <pic:cNvPr id="346" name="IM 346"/>
                    <pic:cNvPicPr/>
                  </pic:nvPicPr>
                  <pic:blipFill>
                    <a:blip r:embed="rId501"/>
                    <a:stretch>
                      <a:fillRect/>
                    </a:stretch>
                  </pic:blipFill>
                  <pic:spPr>
                    <a:xfrm rot="0">
                      <a:off x="0" y="0"/>
                      <a:ext cx="6365" cy="222255"/>
                    </a:xfrm>
                    <a:prstGeom prst="rect">
                      <a:avLst/>
                    </a:prstGeom>
                  </pic:spPr>
                </pic:pic>
              </a:graphicData>
            </a:graphic>
          </wp:anchor>
        </w:drawing>
      </w:r>
      <w:r>
        <w:rPr>
          <w:rFonts w:ascii="SimSun" w:hAnsi="SimSun" w:eastAsia="SimSun" w:cs="SimSun"/>
          <w:sz w:val="22"/>
          <w:szCs w:val="22"/>
          <w:b/>
          <w:bCs/>
          <w:spacing w:val="-17"/>
        </w:rPr>
        <w:t>■云端数据治理</w:t>
      </w:r>
    </w:p>
    <w:p>
      <w:pPr>
        <w:pStyle w:val="BodyText"/>
        <w:ind w:firstLine="209"/>
        <w:spacing w:before="192" w:line="4171" w:lineRule="exact"/>
        <w:rPr/>
      </w:pPr>
      <w:r>
        <w:rPr>
          <w:position w:val="-83"/>
        </w:rPr>
        <w:pict>
          <v:group id="_x0000_s580" style="mso-position-vertical-relative:line;mso-position-horizontal-relative:char;width:389.55pt;height:208.55pt;" filled="false" stroked="false" coordsize="7790,4171" coordorigin="0,0">
            <v:shape id="_x0000_s582" style="position:absolute;left:0;top:0;width:7790;height:4171;" filled="false" stroked="false" type="#_x0000_t75">
              <v:imagedata o:title="" r:id="rId502"/>
            </v:shape>
            <v:shape id="_x0000_s584" style="position:absolute;left:150;top:276;width:6847;height:3690;" filled="false" stroked="false" type="#_x0000_t202">
              <v:fill on="false"/>
              <v:stroke on="false"/>
              <v:path/>
              <v:imagedata o:title=""/>
              <o:lock v:ext="edit" aspectratio="false"/>
              <v:textbox inset="0mm,0mm,0mm,0mm">
                <w:txbxContent>
                  <w:p>
                    <w:pPr>
                      <w:ind w:left="20"/>
                      <w:spacing w:before="19" w:line="231" w:lineRule="auto"/>
                      <w:rPr>
                        <w:rFonts w:ascii="SimSun" w:hAnsi="SimSun" w:eastAsia="SimSun" w:cs="SimSun"/>
                        <w:sz w:val="16"/>
                        <w:szCs w:val="16"/>
                      </w:rPr>
                    </w:pPr>
                    <w:r>
                      <w:rPr>
                        <w:rFonts w:ascii="SimSun" w:hAnsi="SimSun" w:eastAsia="SimSun" w:cs="SimSun"/>
                        <w:sz w:val="16"/>
                        <w:szCs w:val="16"/>
                        <w:spacing w:val="-6"/>
                      </w:rPr>
                      <w:t>路线图    第一个月</w:t>
                    </w:r>
                    <w:r>
                      <w:rPr>
                        <w:rFonts w:ascii="SimSun" w:hAnsi="SimSun" w:eastAsia="SimSun" w:cs="SimSun"/>
                        <w:sz w:val="16"/>
                        <w:szCs w:val="16"/>
                        <w:spacing w:val="20"/>
                      </w:rPr>
                      <w:t xml:space="preserve">   </w:t>
                    </w:r>
                    <w:r>
                      <w:rPr>
                        <w:rFonts w:ascii="SimSun" w:hAnsi="SimSun" w:eastAsia="SimSun" w:cs="SimSun"/>
                        <w:sz w:val="16"/>
                        <w:szCs w:val="16"/>
                        <w:spacing w:val="-6"/>
                      </w:rPr>
                      <w:t>第二个月     第三个月</w:t>
                    </w:r>
                    <w:r>
                      <w:rPr>
                        <w:rFonts w:ascii="SimSun" w:hAnsi="SimSun" w:eastAsia="SimSun" w:cs="SimSun"/>
                        <w:sz w:val="16"/>
                        <w:szCs w:val="16"/>
                        <w:spacing w:val="19"/>
                      </w:rPr>
                      <w:t xml:space="preserve">    </w:t>
                    </w:r>
                    <w:r>
                      <w:rPr>
                        <w:rFonts w:ascii="SimSun" w:hAnsi="SimSun" w:eastAsia="SimSun" w:cs="SimSun"/>
                        <w:sz w:val="16"/>
                        <w:szCs w:val="16"/>
                        <w:spacing w:val="-6"/>
                      </w:rPr>
                      <w:t>第四个月     第五个月      第六个月</w:t>
                    </w:r>
                  </w:p>
                  <w:p>
                    <w:pPr>
                      <w:ind w:left="779"/>
                      <w:spacing w:before="199" w:line="219" w:lineRule="auto"/>
                      <w:rPr>
                        <w:rFonts w:ascii="SimSun" w:hAnsi="SimSun" w:eastAsia="SimSun" w:cs="SimSun"/>
                        <w:sz w:val="16"/>
                        <w:szCs w:val="16"/>
                      </w:rPr>
                    </w:pPr>
                    <w:r>
                      <w:rPr>
                        <w:rFonts w:ascii="SimSun" w:hAnsi="SimSun" w:eastAsia="SimSun" w:cs="SimSun"/>
                        <w:sz w:val="16"/>
                        <w:szCs w:val="16"/>
                        <w:spacing w:val="-8"/>
                      </w:rPr>
                      <w:t>完善数据治理委员会</w:t>
                    </w:r>
                  </w:p>
                  <w:p>
                    <w:pPr>
                      <w:ind w:left="5550"/>
                      <w:spacing w:before="181" w:line="219" w:lineRule="auto"/>
                      <w:rPr>
                        <w:rFonts w:ascii="SimSun" w:hAnsi="SimSun" w:eastAsia="SimSun" w:cs="SimSun"/>
                        <w:sz w:val="16"/>
                        <w:szCs w:val="16"/>
                      </w:rPr>
                    </w:pPr>
                    <w:r>
                      <w:rPr>
                        <w:rFonts w:ascii="SimSun" w:hAnsi="SimSun" w:eastAsia="SimSun" w:cs="SimSun"/>
                        <w:sz w:val="16"/>
                        <w:szCs w:val="16"/>
                        <w:spacing w:val="-8"/>
                      </w:rPr>
                      <w:t>人员能力培训</w:t>
                    </w:r>
                  </w:p>
                  <w:p>
                    <w:pPr>
                      <w:spacing w:line="296" w:lineRule="auto"/>
                      <w:rPr>
                        <w:rFonts w:ascii="Arial"/>
                        <w:sz w:val="21"/>
                      </w:rPr>
                    </w:pPr>
                    <w:r/>
                  </w:p>
                  <w:p>
                    <w:pPr>
                      <w:ind w:left="4990"/>
                      <w:spacing w:before="52" w:line="219" w:lineRule="auto"/>
                      <w:rPr>
                        <w:rFonts w:ascii="SimSun" w:hAnsi="SimSun" w:eastAsia="SimSun" w:cs="SimSun"/>
                        <w:sz w:val="16"/>
                        <w:szCs w:val="16"/>
                      </w:rPr>
                    </w:pPr>
                    <w:r>
                      <w:rPr>
                        <w:rFonts w:ascii="SimSun" w:hAnsi="SimSun" w:eastAsia="SimSun" w:cs="SimSun"/>
                        <w:sz w:val="16"/>
                        <w:szCs w:val="16"/>
                        <w:spacing w:val="-7"/>
                      </w:rPr>
                      <w:t>数据治理活动</w:t>
                    </w:r>
                  </w:p>
                  <w:p>
                    <w:pPr>
                      <w:ind w:right="10"/>
                      <w:spacing w:before="208" w:line="218" w:lineRule="auto"/>
                      <w:jc w:val="right"/>
                      <w:rPr>
                        <w:rFonts w:ascii="SimSun" w:hAnsi="SimSun" w:eastAsia="SimSun" w:cs="SimSun"/>
                        <w:sz w:val="16"/>
                        <w:szCs w:val="16"/>
                      </w:rPr>
                    </w:pPr>
                    <w:r>
                      <w:rPr>
                        <w:rFonts w:ascii="SimSun" w:hAnsi="SimSun" w:eastAsia="SimSun" w:cs="SimSun"/>
                        <w:sz w:val="16"/>
                        <w:szCs w:val="16"/>
                        <w:spacing w:val="-9"/>
                      </w:rPr>
                      <w:t>数据治理活动测量和评估</w:t>
                    </w:r>
                  </w:p>
                  <w:p>
                    <w:pPr>
                      <w:spacing w:line="278" w:lineRule="auto"/>
                      <w:rPr>
                        <w:rFonts w:ascii="Arial"/>
                        <w:sz w:val="21"/>
                      </w:rPr>
                    </w:pPr>
                    <w:r/>
                  </w:p>
                  <w:p>
                    <w:pPr>
                      <w:ind w:left="3980"/>
                      <w:spacing w:before="53" w:line="219" w:lineRule="auto"/>
                      <w:rPr>
                        <w:rFonts w:ascii="SimSun" w:hAnsi="SimSun" w:eastAsia="SimSun" w:cs="SimSun"/>
                        <w:sz w:val="16"/>
                        <w:szCs w:val="16"/>
                      </w:rPr>
                    </w:pPr>
                    <w:r>
                      <w:rPr>
                        <w:rFonts w:ascii="SimSun" w:hAnsi="SimSun" w:eastAsia="SimSun" w:cs="SimSun"/>
                        <w:sz w:val="16"/>
                        <w:szCs w:val="16"/>
                        <w:spacing w:val="-7"/>
                      </w:rPr>
                      <w:t>数据清洗技术培训</w:t>
                    </w:r>
                  </w:p>
                  <w:p>
                    <w:pPr>
                      <w:ind w:left="3929"/>
                      <w:spacing w:before="160" w:line="219" w:lineRule="auto"/>
                      <w:rPr>
                        <w:rFonts w:ascii="SimSun" w:hAnsi="SimSun" w:eastAsia="SimSun" w:cs="SimSun"/>
                        <w:sz w:val="16"/>
                        <w:szCs w:val="16"/>
                      </w:rPr>
                    </w:pPr>
                    <w:r>
                      <w:rPr>
                        <w:rFonts w:ascii="SimSun" w:hAnsi="SimSun" w:eastAsia="SimSun" w:cs="SimSun"/>
                        <w:sz w:val="16"/>
                        <w:szCs w:val="16"/>
                        <w:spacing w:val="-7"/>
                      </w:rPr>
                      <w:t>数据安全管理知识培训</w:t>
                    </w:r>
                  </w:p>
                  <w:p>
                    <w:pPr>
                      <w:spacing w:line="256" w:lineRule="auto"/>
                      <w:rPr>
                        <w:rFonts w:ascii="Arial"/>
                        <w:sz w:val="21"/>
                      </w:rPr>
                    </w:pPr>
                    <w:r/>
                  </w:p>
                  <w:p>
                    <w:pPr>
                      <w:ind w:left="2330"/>
                      <w:spacing w:before="53" w:line="219" w:lineRule="auto"/>
                      <w:rPr>
                        <w:rFonts w:ascii="SimSun" w:hAnsi="SimSun" w:eastAsia="SimSun" w:cs="SimSun"/>
                        <w:sz w:val="16"/>
                        <w:szCs w:val="16"/>
                      </w:rPr>
                    </w:pPr>
                    <w:r>
                      <w:rPr>
                        <w:rFonts w:ascii="SimSun" w:hAnsi="SimSun" w:eastAsia="SimSun" w:cs="SimSun"/>
                        <w:sz w:val="16"/>
                        <w:szCs w:val="16"/>
                        <w:spacing w:val="-6"/>
                      </w:rPr>
                      <w:t>升级数据管理平台</w:t>
                    </w:r>
                  </w:p>
                  <w:p>
                    <w:pPr>
                      <w:ind w:left="2919"/>
                      <w:spacing w:before="220" w:line="219" w:lineRule="auto"/>
                      <w:rPr>
                        <w:rFonts w:ascii="SimSun" w:hAnsi="SimSun" w:eastAsia="SimSun" w:cs="SimSun"/>
                        <w:sz w:val="16"/>
                        <w:szCs w:val="16"/>
                      </w:rPr>
                    </w:pPr>
                    <w:r>
                      <w:rPr>
                        <w:rFonts w:ascii="SimSun" w:hAnsi="SimSun" w:eastAsia="SimSun" w:cs="SimSun"/>
                        <w:sz w:val="16"/>
                        <w:szCs w:val="16"/>
                        <w:spacing w:val="-9"/>
                      </w:rPr>
                      <w:t>数据相关设备更新</w:t>
                    </w:r>
                  </w:p>
                </w:txbxContent>
              </v:textbox>
            </v:shape>
            <v:shape id="_x0000_s586" style="position:absolute;left:1819;top:1586;width:1363;height:6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完善数据治理策略</w:t>
                    </w:r>
                  </w:p>
                  <w:p>
                    <w:pPr>
                      <w:ind w:right="13"/>
                      <w:spacing w:before="210" w:line="219" w:lineRule="auto"/>
                      <w:jc w:val="right"/>
                      <w:rPr>
                        <w:rFonts w:ascii="SimSun" w:hAnsi="SimSun" w:eastAsia="SimSun" w:cs="SimSun"/>
                        <w:sz w:val="16"/>
                        <w:szCs w:val="16"/>
                      </w:rPr>
                    </w:pPr>
                    <w:r>
                      <w:rPr>
                        <w:rFonts w:ascii="SimSun" w:hAnsi="SimSun" w:eastAsia="SimSun" w:cs="SimSun"/>
                        <w:sz w:val="16"/>
                        <w:szCs w:val="16"/>
                        <w:spacing w:val="-6"/>
                      </w:rPr>
                      <w:t>制定业务案例</w:t>
                    </w:r>
                  </w:p>
                </w:txbxContent>
              </v:textbox>
            </v:shape>
            <v:shape id="_x0000_s588" style="position:absolute;left:2049;top:1036;width:126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数据治理培训活动</w:t>
                    </w:r>
                  </w:p>
                </w:txbxContent>
              </v:textbox>
            </v:shape>
            <v:shape id="_x0000_s590" style="position:absolute;left:4230;top:675;width:938;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9"/>
                      </w:rPr>
                      <w:t>人员能力评估</w:t>
                    </w:r>
                  </w:p>
                </w:txbxContent>
              </v:textbox>
            </v:shape>
            <v:shape id="_x0000_s592" style="position:absolute;left:364;top:841;width:181;height:38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4"/>
                        <w:szCs w:val="14"/>
                      </w:rPr>
                    </w:pPr>
                    <w:r>
                      <w:rPr>
                        <w:rFonts w:ascii="SimSun" w:hAnsi="SimSun" w:eastAsia="SimSun" w:cs="SimSun"/>
                        <w:sz w:val="14"/>
                        <w:szCs w:val="14"/>
                      </w:rPr>
                      <w:t>人</w:t>
                    </w:r>
                    <w:r>
                      <w:rPr>
                        <w:rFonts w:ascii="SimSun" w:hAnsi="SimSun" w:eastAsia="SimSun" w:cs="SimSun"/>
                        <w:sz w:val="14"/>
                        <w:szCs w:val="14"/>
                        <w:spacing w:val="-8"/>
                      </w:rPr>
                      <w:t xml:space="preserve"> </w:t>
                    </w:r>
                    <w:r>
                      <w:rPr>
                        <w:rFonts w:ascii="SimSun" w:hAnsi="SimSun" w:eastAsia="SimSun" w:cs="SimSun"/>
                        <w:sz w:val="14"/>
                        <w:szCs w:val="14"/>
                      </w:rPr>
                      <w:t>员</w:t>
                    </w:r>
                  </w:p>
                </w:txbxContent>
              </v:textbox>
            </v:shape>
            <v:shape id="_x0000_s594" style="position:absolute;left:364;top:2563;width:181;height:37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技</w:t>
                    </w:r>
                    <w:r>
                      <w:rPr>
                        <w:rFonts w:ascii="SimSun" w:hAnsi="SimSun" w:eastAsia="SimSun" w:cs="SimSun"/>
                        <w:sz w:val="14"/>
                        <w:szCs w:val="14"/>
                        <w:spacing w:val="-21"/>
                      </w:rPr>
                      <w:t xml:space="preserve"> </w:t>
                    </w:r>
                    <w:r>
                      <w:rPr>
                        <w:rFonts w:ascii="SimSun" w:hAnsi="SimSun" w:eastAsia="SimSun" w:cs="SimSun"/>
                        <w:sz w:val="14"/>
                        <w:szCs w:val="14"/>
                      </w:rPr>
                      <w:t>术</w:t>
                    </w:r>
                  </w:p>
                </w:txbxContent>
              </v:textbox>
            </v:shape>
            <v:shape id="_x0000_s596" style="position:absolute;left:374;top:3421;width:181;height:36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4"/>
                        <w:szCs w:val="14"/>
                      </w:rPr>
                    </w:pPr>
                    <w:r>
                      <w:rPr>
                        <w:rFonts w:ascii="SimSun" w:hAnsi="SimSun" w:eastAsia="SimSun" w:cs="SimSun"/>
                        <w:sz w:val="14"/>
                        <w:szCs w:val="14"/>
                      </w:rPr>
                      <w:t>工</w:t>
                    </w:r>
                    <w:r>
                      <w:rPr>
                        <w:rFonts w:ascii="SimSun" w:hAnsi="SimSun" w:eastAsia="SimSun" w:cs="SimSun"/>
                        <w:sz w:val="14"/>
                        <w:szCs w:val="14"/>
                        <w:spacing w:val="-28"/>
                      </w:rPr>
                      <w:t xml:space="preserve"> </w:t>
                    </w:r>
                    <w:r>
                      <w:rPr>
                        <w:rFonts w:ascii="SimSun" w:hAnsi="SimSun" w:eastAsia="SimSun" w:cs="SimSun"/>
                        <w:sz w:val="14"/>
                        <w:szCs w:val="14"/>
                      </w:rPr>
                      <w:t>具</w:t>
                    </w:r>
                  </w:p>
                </w:txbxContent>
              </v:textbox>
            </v:shape>
            <v:shape id="_x0000_s598" style="position:absolute;left:379;top:1683;width:181;height:36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19"/>
                      </w:rPr>
                      <w:t>过程</w:t>
                    </w:r>
                  </w:p>
                </w:txbxContent>
              </v:textbox>
            </v:shape>
          </v:group>
        </w:pict>
      </w:r>
    </w:p>
    <w:p>
      <w:pPr>
        <w:ind w:left="2049"/>
        <w:spacing w:before="155" w:line="219" w:lineRule="auto"/>
        <w:rPr>
          <w:rFonts w:ascii="SimHei" w:hAnsi="SimHei" w:eastAsia="SimHei" w:cs="SimHei"/>
          <w:sz w:val="19"/>
          <w:szCs w:val="19"/>
        </w:rPr>
      </w:pPr>
      <w:r>
        <w:rPr>
          <w:rFonts w:ascii="SimHei" w:hAnsi="SimHei" w:eastAsia="SimHei" w:cs="SimHei"/>
          <w:sz w:val="19"/>
          <w:szCs w:val="19"/>
          <w:spacing w:val="-6"/>
        </w:rPr>
        <w:t>图11-6</w:t>
      </w:r>
      <w:r>
        <w:rPr>
          <w:rFonts w:ascii="SimHei" w:hAnsi="SimHei" w:eastAsia="SimHei" w:cs="SimHei"/>
          <w:sz w:val="19"/>
          <w:szCs w:val="19"/>
          <w:spacing w:val="72"/>
          <w:w w:val="101"/>
        </w:rPr>
        <w:t xml:space="preserve"> </w:t>
      </w:r>
      <w:r>
        <w:rPr>
          <w:rFonts w:ascii="SimHei" w:hAnsi="SimHei" w:eastAsia="SimHei" w:cs="SimHei"/>
          <w:sz w:val="19"/>
          <w:szCs w:val="19"/>
          <w:spacing w:val="-6"/>
        </w:rPr>
        <w:t>云端数据治理项目实施的技术路线图示例</w:t>
      </w:r>
    </w:p>
    <w:p>
      <w:pPr>
        <w:ind w:left="383"/>
        <w:spacing w:before="213" w:line="221" w:lineRule="auto"/>
        <w:outlineLvl w:val="6"/>
        <w:rPr>
          <w:rFonts w:ascii="SimHei" w:hAnsi="SimHei" w:eastAsia="SimHei" w:cs="SimHei"/>
          <w:sz w:val="22"/>
          <w:szCs w:val="22"/>
        </w:rPr>
      </w:pPr>
      <w:r>
        <w:rPr>
          <w:rFonts w:ascii="SimHei" w:hAnsi="SimHei" w:eastAsia="SimHei" w:cs="SimHei"/>
          <w:sz w:val="22"/>
          <w:szCs w:val="22"/>
          <w:b/>
          <w:bCs/>
          <w:spacing w:val="-1"/>
        </w:rPr>
        <w:t>2.</w:t>
      </w:r>
      <w:r>
        <w:rPr>
          <w:rFonts w:ascii="SimHei" w:hAnsi="SimHei" w:eastAsia="SimHei" w:cs="SimHei"/>
          <w:sz w:val="22"/>
          <w:szCs w:val="22"/>
          <w:spacing w:val="-1"/>
        </w:rPr>
        <w:t xml:space="preserve"> </w:t>
      </w:r>
      <w:r>
        <w:rPr>
          <w:rFonts w:ascii="SimHei" w:hAnsi="SimHei" w:eastAsia="SimHei" w:cs="SimHei"/>
          <w:sz w:val="22"/>
          <w:szCs w:val="22"/>
          <w:b/>
          <w:bCs/>
          <w:spacing w:val="-1"/>
        </w:rPr>
        <w:t>定义业务词汇表</w:t>
      </w:r>
    </w:p>
    <w:p>
      <w:pPr>
        <w:ind w:left="379"/>
        <w:spacing w:before="161" w:line="219" w:lineRule="auto"/>
        <w:rPr>
          <w:rFonts w:ascii="SimSun" w:hAnsi="SimSun" w:eastAsia="SimSun" w:cs="SimSun"/>
          <w:sz w:val="22"/>
          <w:szCs w:val="22"/>
        </w:rPr>
      </w:pPr>
      <w:r>
        <w:rPr>
          <w:rFonts w:ascii="SimSun" w:hAnsi="SimSun" w:eastAsia="SimSun" w:cs="SimSun"/>
          <w:sz w:val="22"/>
          <w:szCs w:val="22"/>
          <w:spacing w:val="-9"/>
        </w:rPr>
        <w:t>业务词汇表是组织数据基础的核心，是组织开展云端数据治理的基础支撑，是</w:t>
      </w:r>
    </w:p>
    <w:p>
      <w:pPr>
        <w:ind w:left="289" w:right="110"/>
        <w:spacing w:before="59" w:line="252" w:lineRule="auto"/>
        <w:rPr>
          <w:rFonts w:ascii="SimSun" w:hAnsi="SimSun" w:eastAsia="SimSun" w:cs="SimSun"/>
          <w:sz w:val="22"/>
          <w:szCs w:val="22"/>
        </w:rPr>
      </w:pPr>
      <w:r>
        <w:rPr>
          <w:rFonts w:ascii="SimSun" w:hAnsi="SimSun" w:eastAsia="SimSun" w:cs="SimSun"/>
          <w:sz w:val="22"/>
          <w:szCs w:val="22"/>
          <w:spacing w:val="-9"/>
        </w:rPr>
        <w:t>组织对同一基础词汇的共同认识。业务词汇表的作用是服务组织的数据治理活动，</w:t>
      </w:r>
      <w:r>
        <w:rPr>
          <w:rFonts w:ascii="SimSun" w:hAnsi="SimSun" w:eastAsia="SimSun" w:cs="SimSun"/>
          <w:sz w:val="22"/>
          <w:szCs w:val="22"/>
          <w:spacing w:val="3"/>
        </w:rPr>
        <w:t xml:space="preserve"> </w:t>
      </w:r>
      <w:r>
        <w:rPr>
          <w:rFonts w:ascii="SimSun" w:hAnsi="SimSun" w:eastAsia="SimSun" w:cs="SimSun"/>
          <w:sz w:val="22"/>
          <w:szCs w:val="22"/>
          <w:spacing w:val="-9"/>
        </w:rPr>
        <w:t>因此其虽然来源广泛，但应当与组织业务和数据治理活动紧密相连，有时是业务关</w:t>
      </w:r>
      <w:r>
        <w:rPr>
          <w:rFonts w:ascii="SimSun" w:hAnsi="SimSun" w:eastAsia="SimSun" w:cs="SimSun"/>
          <w:sz w:val="22"/>
          <w:szCs w:val="22"/>
          <w:spacing w:val="3"/>
        </w:rPr>
        <w:t xml:space="preserve"> </w:t>
      </w:r>
      <w:r>
        <w:rPr>
          <w:rFonts w:ascii="SimSun" w:hAnsi="SimSun" w:eastAsia="SimSun" w:cs="SimSun"/>
          <w:sz w:val="22"/>
          <w:szCs w:val="22"/>
          <w:spacing w:val="-7"/>
        </w:rPr>
        <w:t>键元数据的逆向抽取结果。业务词汇表的定义和管理过程如图11-7所示。</w:t>
      </w:r>
    </w:p>
    <w:p>
      <w:pPr>
        <w:pStyle w:val="BodyText"/>
        <w:ind w:firstLine="1230"/>
        <w:spacing w:before="10" w:line="4540" w:lineRule="exact"/>
        <w:rPr/>
      </w:pPr>
      <w:r>
        <w:rPr>
          <w:position w:val="-90"/>
        </w:rPr>
        <w:pict>
          <v:group id="_x0000_s600" style="mso-position-vertical-relative:line;mso-position-horizontal-relative:char;width:289.5pt;height:227pt;" filled="false" stroked="false" coordsize="5790,4540" coordorigin="0,0">
            <v:shape id="_x0000_s602" style="position:absolute;left:0;top:0;width:5790;height:4540;" filled="false" stroked="false" type="#_x0000_t75">
              <v:imagedata o:title="" r:id="rId503"/>
            </v:shape>
            <v:shape id="_x0000_s604" style="position:absolute;left:2440;top:176;width:3212;height:4188;" filled="false" stroked="false" type="#_x0000_t202">
              <v:fill on="false"/>
              <v:stroke on="false"/>
              <v:path/>
              <v:imagedata o:title=""/>
              <o:lock v:ext="edit" aspectratio="false"/>
              <v:textbox inset="0mm,0mm,0mm,0mm">
                <w:txbxContent>
                  <w:p>
                    <w:pPr>
                      <w:ind w:left="20" w:right="24"/>
                      <w:spacing w:before="20" w:line="213" w:lineRule="auto"/>
                      <w:rPr>
                        <w:rFonts w:ascii="SimSun" w:hAnsi="SimSun" w:eastAsia="SimSun" w:cs="SimSun"/>
                        <w:sz w:val="16"/>
                        <w:szCs w:val="16"/>
                      </w:rPr>
                    </w:pPr>
                    <w:r>
                      <w:rPr>
                        <w:rFonts w:ascii="SimSun" w:hAnsi="SimSun" w:eastAsia="SimSun" w:cs="SimSun"/>
                        <w:sz w:val="16"/>
                        <w:szCs w:val="16"/>
                        <w:spacing w:val="-10"/>
                      </w:rPr>
                      <w:t>确定数据治理的范围，有针对性地发起业务词汇</w:t>
                    </w:r>
                    <w:r>
                      <w:rPr>
                        <w:rFonts w:ascii="SimSun" w:hAnsi="SimSun" w:eastAsia="SimSun" w:cs="SimSun"/>
                        <w:sz w:val="16"/>
                        <w:szCs w:val="16"/>
                        <w:spacing w:val="16"/>
                      </w:rPr>
                      <w:t xml:space="preserve"> </w:t>
                    </w:r>
                    <w:r>
                      <w:rPr>
                        <w:rFonts w:ascii="SimSun" w:hAnsi="SimSun" w:eastAsia="SimSun" w:cs="SimSun"/>
                        <w:sz w:val="16"/>
                        <w:szCs w:val="16"/>
                        <w:spacing w:val="-9"/>
                      </w:rPr>
                      <w:t>表制定，例如业务部门、财务、风险等</w:t>
                    </w:r>
                  </w:p>
                  <w:p>
                    <w:pPr>
                      <w:spacing w:line="262" w:lineRule="auto"/>
                      <w:rPr>
                        <w:rFonts w:ascii="Arial"/>
                        <w:sz w:val="21"/>
                      </w:rPr>
                    </w:pPr>
                    <w:r/>
                  </w:p>
                  <w:p>
                    <w:pPr>
                      <w:spacing w:line="262" w:lineRule="auto"/>
                      <w:rPr>
                        <w:rFonts w:ascii="Arial"/>
                        <w:sz w:val="21"/>
                      </w:rPr>
                    </w:pPr>
                    <w:r/>
                  </w:p>
                  <w:p>
                    <w:pPr>
                      <w:ind w:left="20" w:right="24"/>
                      <w:spacing w:before="52" w:line="208" w:lineRule="auto"/>
                      <w:rPr>
                        <w:rFonts w:ascii="SimSun" w:hAnsi="SimSun" w:eastAsia="SimSun" w:cs="SimSun"/>
                        <w:sz w:val="16"/>
                        <w:szCs w:val="16"/>
                      </w:rPr>
                    </w:pPr>
                    <w:r>
                      <w:rPr>
                        <w:rFonts w:ascii="SimSun" w:hAnsi="SimSun" w:eastAsia="SimSun" w:cs="SimSun"/>
                        <w:sz w:val="16"/>
                        <w:szCs w:val="16"/>
                        <w:spacing w:val="-10"/>
                      </w:rPr>
                      <w:t>安排专人负责组织业务词汇表的修订工作，以及</w:t>
                    </w:r>
                    <w:r>
                      <w:rPr>
                        <w:rFonts w:ascii="SimSun" w:hAnsi="SimSun" w:eastAsia="SimSun" w:cs="SimSun"/>
                        <w:sz w:val="16"/>
                        <w:szCs w:val="16"/>
                        <w:spacing w:val="17"/>
                      </w:rPr>
                      <w:t xml:space="preserve"> </w:t>
                    </w:r>
                    <w:r>
                      <w:rPr>
                        <w:rFonts w:ascii="SimSun" w:hAnsi="SimSun" w:eastAsia="SimSun" w:cs="SimSun"/>
                        <w:sz w:val="16"/>
                        <w:szCs w:val="16"/>
                        <w:spacing w:val="-10"/>
                      </w:rPr>
                      <w:t>日常管理工作</w:t>
                    </w:r>
                  </w:p>
                  <w:p>
                    <w:pPr>
                      <w:spacing w:line="444" w:lineRule="auto"/>
                      <w:rPr>
                        <w:rFonts w:ascii="Arial"/>
                        <w:sz w:val="21"/>
                      </w:rPr>
                    </w:pPr>
                    <w:r/>
                  </w:p>
                  <w:p>
                    <w:pPr>
                      <w:ind w:left="20" w:right="25"/>
                      <w:spacing w:before="52" w:line="204" w:lineRule="auto"/>
                      <w:jc w:val="both"/>
                      <w:rPr>
                        <w:rFonts w:ascii="SimSun" w:hAnsi="SimSun" w:eastAsia="SimSun" w:cs="SimSun"/>
                        <w:sz w:val="16"/>
                        <w:szCs w:val="16"/>
                      </w:rPr>
                    </w:pPr>
                    <w:r>
                      <w:rPr>
                        <w:rFonts w:ascii="SimSun" w:hAnsi="SimSun" w:eastAsia="SimSun" w:cs="SimSun"/>
                        <w:sz w:val="16"/>
                        <w:szCs w:val="16"/>
                        <w:spacing w:val="-10"/>
                      </w:rPr>
                      <w:t>对业务数据定义的范围进行确定，例如业绩的统</w:t>
                    </w:r>
                    <w:r>
                      <w:rPr>
                        <w:rFonts w:ascii="SimSun" w:hAnsi="SimSun" w:eastAsia="SimSun" w:cs="SimSun"/>
                        <w:sz w:val="16"/>
                        <w:szCs w:val="16"/>
                        <w:spacing w:val="16"/>
                      </w:rPr>
                      <w:t xml:space="preserve"> </w:t>
                    </w:r>
                    <w:r>
                      <w:rPr>
                        <w:rFonts w:ascii="SimSun" w:hAnsi="SimSun" w:eastAsia="SimSun" w:cs="SimSun"/>
                        <w:sz w:val="16"/>
                        <w:szCs w:val="16"/>
                        <w:spacing w:val="-10"/>
                      </w:rPr>
                      <w:t>计时间截止日、合同采购金额大中小的定义、客</w:t>
                    </w:r>
                    <w:r>
                      <w:rPr>
                        <w:rFonts w:ascii="SimSun" w:hAnsi="SimSun" w:eastAsia="SimSun" w:cs="SimSun"/>
                        <w:sz w:val="16"/>
                        <w:szCs w:val="16"/>
                        <w:spacing w:val="16"/>
                      </w:rPr>
                      <w:t xml:space="preserve"> </w:t>
                    </w:r>
                    <w:r>
                      <w:rPr>
                        <w:rFonts w:ascii="SimSun" w:hAnsi="SimSun" w:eastAsia="SimSun" w:cs="SimSun"/>
                        <w:sz w:val="16"/>
                        <w:szCs w:val="16"/>
                        <w:spacing w:val="-11"/>
                      </w:rPr>
                      <w:t>户类型的定义</w:t>
                    </w:r>
                  </w:p>
                  <w:p>
                    <w:pPr>
                      <w:spacing w:line="375" w:lineRule="auto"/>
                      <w:rPr>
                        <w:rFonts w:ascii="Arial"/>
                        <w:sz w:val="21"/>
                      </w:rPr>
                    </w:pPr>
                    <w:r/>
                  </w:p>
                  <w:p>
                    <w:pPr>
                      <w:ind w:left="20" w:right="20"/>
                      <w:spacing w:before="52" w:line="205" w:lineRule="auto"/>
                      <w:jc w:val="both"/>
                      <w:rPr>
                        <w:rFonts w:ascii="SimSun" w:hAnsi="SimSun" w:eastAsia="SimSun" w:cs="SimSun"/>
                        <w:sz w:val="16"/>
                        <w:szCs w:val="16"/>
                      </w:rPr>
                    </w:pPr>
                    <w:r>
                      <w:rPr>
                        <w:rFonts w:ascii="SimSun" w:hAnsi="SimSun" w:eastAsia="SimSun" w:cs="SimSun"/>
                        <w:sz w:val="16"/>
                        <w:szCs w:val="16"/>
                        <w:spacing w:val="-10"/>
                      </w:rPr>
                      <w:t>建立业务词汇表对元数据创立的支撑作用，使元</w:t>
                    </w:r>
                    <w:r>
                      <w:rPr>
                        <w:rFonts w:ascii="SimSun" w:hAnsi="SimSun" w:eastAsia="SimSun" w:cs="SimSun"/>
                        <w:sz w:val="16"/>
                        <w:szCs w:val="16"/>
                        <w:spacing w:val="15"/>
                      </w:rPr>
                      <w:t xml:space="preserve"> </w:t>
                    </w:r>
                    <w:r>
                      <w:rPr>
                        <w:rFonts w:ascii="SimSun" w:hAnsi="SimSun" w:eastAsia="SimSun" w:cs="SimSun"/>
                        <w:sz w:val="16"/>
                        <w:szCs w:val="16"/>
                        <w:spacing w:val="-9"/>
                      </w:rPr>
                      <w:t>数据、主数据、数据治理、业务目标等以业务词</w:t>
                    </w:r>
                    <w:r>
                      <w:rPr>
                        <w:rFonts w:ascii="SimSun" w:hAnsi="SimSun" w:eastAsia="SimSun" w:cs="SimSun"/>
                        <w:sz w:val="16"/>
                        <w:szCs w:val="16"/>
                      </w:rPr>
                      <w:t xml:space="preserve"> </w:t>
                    </w:r>
                    <w:r>
                      <w:rPr>
                        <w:rFonts w:ascii="SimSun" w:hAnsi="SimSun" w:eastAsia="SimSun" w:cs="SimSun"/>
                        <w:sz w:val="16"/>
                        <w:szCs w:val="16"/>
                        <w:spacing w:val="-6"/>
                      </w:rPr>
                      <w:t>汇表为基础</w:t>
                    </w:r>
                  </w:p>
                  <w:p>
                    <w:pPr>
                      <w:spacing w:line="442" w:lineRule="auto"/>
                      <w:rPr>
                        <w:rFonts w:ascii="Arial"/>
                        <w:sz w:val="21"/>
                      </w:rPr>
                    </w:pPr>
                    <w:r/>
                  </w:p>
                  <w:p>
                    <w:pPr>
                      <w:ind w:left="20" w:right="23"/>
                      <w:spacing w:before="52" w:line="218" w:lineRule="auto"/>
                      <w:rPr>
                        <w:rFonts w:ascii="SimSun" w:hAnsi="SimSun" w:eastAsia="SimSun" w:cs="SimSun"/>
                        <w:sz w:val="16"/>
                        <w:szCs w:val="16"/>
                      </w:rPr>
                    </w:pPr>
                    <w:r>
                      <w:rPr>
                        <w:rFonts w:ascii="SimSun" w:hAnsi="SimSun" w:eastAsia="SimSun" w:cs="SimSun"/>
                        <w:sz w:val="16"/>
                        <w:szCs w:val="16"/>
                        <w:spacing w:val="-10"/>
                      </w:rPr>
                      <w:t>依据云端数据治理成熟度模型中业务词汇表成熟</w:t>
                    </w:r>
                    <w:r>
                      <w:rPr>
                        <w:rFonts w:ascii="SimSun" w:hAnsi="SimSun" w:eastAsia="SimSun" w:cs="SimSun"/>
                        <w:sz w:val="16"/>
                        <w:szCs w:val="16"/>
                        <w:spacing w:val="17"/>
                      </w:rPr>
                      <w:t xml:space="preserve"> </w:t>
                    </w:r>
                    <w:r>
                      <w:rPr>
                        <w:rFonts w:ascii="SimSun" w:hAnsi="SimSun" w:eastAsia="SimSun" w:cs="SimSun"/>
                        <w:sz w:val="16"/>
                        <w:szCs w:val="16"/>
                        <w:spacing w:val="-9"/>
                      </w:rPr>
                      <w:t>度等级要求对业务词汇表管理进行评估</w:t>
                    </w:r>
                  </w:p>
                </w:txbxContent>
              </v:textbox>
            </v:shape>
            <v:shape id="_x0000_s606" style="position:absolute;left:149;top:3036;width:1856;height:360;" filled="false" stroked="false" type="#_x0000_t202">
              <v:fill on="false"/>
              <v:stroke on="false"/>
              <v:path/>
              <v:imagedata o:title=""/>
              <o:lock v:ext="edit" aspectratio="false"/>
              <v:textbox inset="0mm,0mm,0mm,0mm">
                <w:txbxContent>
                  <w:p>
                    <w:pPr>
                      <w:ind w:left="610" w:right="20" w:hanging="590"/>
                      <w:spacing w:before="19" w:line="202" w:lineRule="auto"/>
                      <w:rPr>
                        <w:rFonts w:ascii="SimSun" w:hAnsi="SimSun" w:eastAsia="SimSun" w:cs="SimSun"/>
                        <w:sz w:val="16"/>
                        <w:szCs w:val="16"/>
                      </w:rPr>
                    </w:pPr>
                    <w:r>
                      <w:rPr>
                        <w:rFonts w:ascii="SimSun" w:hAnsi="SimSun" w:eastAsia="SimSun" w:cs="SimSun"/>
                        <w:sz w:val="16"/>
                        <w:szCs w:val="16"/>
                        <w:spacing w:val="-9"/>
                      </w:rPr>
                      <w:t>建立业务词汇表与组织元数</w:t>
                    </w:r>
                    <w:r>
                      <w:rPr>
                        <w:rFonts w:ascii="SimSun" w:hAnsi="SimSun" w:eastAsia="SimSun" w:cs="SimSun"/>
                        <w:sz w:val="16"/>
                        <w:szCs w:val="16"/>
                        <w:spacing w:val="3"/>
                      </w:rPr>
                      <w:t xml:space="preserve"> </w:t>
                    </w:r>
                    <w:r>
                      <w:rPr>
                        <w:rFonts w:ascii="SimSun" w:hAnsi="SimSun" w:eastAsia="SimSun" w:cs="SimSun"/>
                        <w:sz w:val="16"/>
                        <w:szCs w:val="16"/>
                        <w:spacing w:val="-2"/>
                      </w:rPr>
                      <w:t>据的映射</w:t>
                    </w:r>
                  </w:p>
                </w:txbxContent>
              </v:textbox>
            </v:shape>
            <v:shape id="_x0000_s608" style="position:absolute;left:159;top:1206;width:184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确定业务词汇表管理负责人</w:t>
                    </w:r>
                  </w:p>
                </w:txbxContent>
              </v:textbox>
            </v:shape>
            <v:shape id="_x0000_s610" style="position:absolute;left:459;top:2146;width:1258;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识别关键数据元素</w:t>
                    </w:r>
                  </w:p>
                </w:txbxContent>
              </v:textbox>
            </v:shape>
            <v:shape id="_x0000_s612" style="position:absolute;left:539;top:4055;width:1108;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7"/>
                      </w:rPr>
                      <w:t>执行成熟度评估</w:t>
                    </w:r>
                  </w:p>
                </w:txbxContent>
              </v:textbox>
            </v:shape>
            <v:shape id="_x0000_s614" style="position:absolute;left:600;top:276;width:95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选择数据领域</w:t>
                    </w:r>
                  </w:p>
                </w:txbxContent>
              </v:textbox>
            </v:shape>
          </v:group>
        </w:pict>
      </w:r>
    </w:p>
    <w:p>
      <w:pPr>
        <w:ind w:left="2612"/>
        <w:spacing w:before="143" w:line="221" w:lineRule="auto"/>
        <w:rPr>
          <w:rFonts w:ascii="SimHei" w:hAnsi="SimHei" w:eastAsia="SimHei" w:cs="SimHei"/>
          <w:sz w:val="19"/>
          <w:szCs w:val="19"/>
        </w:rPr>
      </w:pPr>
      <w:r>
        <w:rPr>
          <w:rFonts w:ascii="SimHei" w:hAnsi="SimHei" w:eastAsia="SimHei" w:cs="SimHei"/>
          <w:sz w:val="19"/>
          <w:szCs w:val="19"/>
          <w:b/>
          <w:bCs/>
          <w:spacing w:val="-9"/>
        </w:rPr>
        <w:t>图11-7</w:t>
      </w:r>
      <w:r>
        <w:rPr>
          <w:rFonts w:ascii="SimHei" w:hAnsi="SimHei" w:eastAsia="SimHei" w:cs="SimHei"/>
          <w:sz w:val="19"/>
          <w:szCs w:val="19"/>
          <w:spacing w:val="-9"/>
        </w:rPr>
        <w:t xml:space="preserve">  </w:t>
      </w:r>
      <w:r>
        <w:rPr>
          <w:rFonts w:ascii="SimHei" w:hAnsi="SimHei" w:eastAsia="SimHei" w:cs="SimHei"/>
          <w:sz w:val="19"/>
          <w:szCs w:val="19"/>
          <w:b/>
          <w:bCs/>
          <w:spacing w:val="-9"/>
        </w:rPr>
        <w:t>业务词汇表的定义和管理过程</w:t>
      </w:r>
    </w:p>
    <w:p>
      <w:pPr>
        <w:spacing w:line="221" w:lineRule="auto"/>
        <w:sectPr>
          <w:footerReference w:type="default" r:id="rId500"/>
          <w:pgSz w:w="8870" w:h="13400"/>
          <w:pgMar w:top="400" w:right="249" w:bottom="544" w:left="620" w:header="0" w:footer="326" w:gutter="0"/>
        </w:sectPr>
        <w:rPr>
          <w:rFonts w:ascii="SimHei" w:hAnsi="SimHei" w:eastAsia="SimHei" w:cs="SimHei"/>
          <w:sz w:val="19"/>
          <w:szCs w:val="19"/>
        </w:rPr>
      </w:pPr>
    </w:p>
    <w:p>
      <w:pPr>
        <w:ind w:left="4553"/>
        <w:spacing w:before="184" w:line="219" w:lineRule="auto"/>
        <w:rPr>
          <w:rFonts w:ascii="SimSun" w:hAnsi="SimSun" w:eastAsia="SimSun" w:cs="SimSun"/>
          <w:sz w:val="21"/>
          <w:szCs w:val="21"/>
        </w:rPr>
      </w:pPr>
      <w:r>
        <w:rPr>
          <w:rFonts w:ascii="SimSun" w:hAnsi="SimSun" w:eastAsia="SimSun" w:cs="SimSun"/>
          <w:sz w:val="21"/>
          <w:szCs w:val="21"/>
          <w:b/>
          <w:bCs/>
          <w:spacing w:val="3"/>
        </w:rPr>
        <w:t>第11章=云端数据治理体系实施■</w:t>
      </w:r>
    </w:p>
    <w:p>
      <w:pPr>
        <w:pStyle w:val="BodyText"/>
        <w:spacing w:line="255" w:lineRule="auto"/>
        <w:rPr/>
      </w:pPr>
      <w:r/>
    </w:p>
    <w:p>
      <w:pPr>
        <w:ind w:left="409"/>
        <w:spacing w:before="68" w:line="219" w:lineRule="auto"/>
        <w:rPr>
          <w:rFonts w:ascii="SimSun" w:hAnsi="SimSun" w:eastAsia="SimSun" w:cs="SimSun"/>
          <w:sz w:val="21"/>
          <w:szCs w:val="21"/>
        </w:rPr>
      </w:pPr>
      <w:r>
        <w:rPr>
          <w:rFonts w:ascii="SimSun" w:hAnsi="SimSun" w:eastAsia="SimSun" w:cs="SimSun"/>
          <w:sz w:val="21"/>
          <w:szCs w:val="21"/>
          <w:spacing w:val="-1"/>
        </w:rPr>
        <w:t>定义和管理业务词汇表的过程包括以下五个环节。</w:t>
      </w:r>
    </w:p>
    <w:p>
      <w:pPr>
        <w:ind w:left="409"/>
        <w:spacing w:before="70" w:line="219" w:lineRule="auto"/>
        <w:rPr>
          <w:rFonts w:ascii="SimSun" w:hAnsi="SimSun" w:eastAsia="SimSun" w:cs="SimSun"/>
          <w:sz w:val="21"/>
          <w:szCs w:val="21"/>
        </w:rPr>
      </w:pPr>
      <w:r>
        <w:rPr>
          <w:rFonts w:ascii="SimSun" w:hAnsi="SimSun" w:eastAsia="SimSun" w:cs="SimSun"/>
          <w:sz w:val="21"/>
          <w:szCs w:val="21"/>
          <w:spacing w:val="10"/>
        </w:rPr>
        <w:t>(1)选择数据领域</w:t>
      </w:r>
    </w:p>
    <w:p>
      <w:pPr>
        <w:ind w:right="233" w:firstLine="409"/>
        <w:spacing w:before="61" w:line="259" w:lineRule="auto"/>
        <w:rPr>
          <w:rFonts w:ascii="SimSun" w:hAnsi="SimSun" w:eastAsia="SimSun" w:cs="SimSun"/>
          <w:sz w:val="21"/>
          <w:szCs w:val="21"/>
        </w:rPr>
      </w:pPr>
      <w:r>
        <w:rPr>
          <w:rFonts w:ascii="SimSun" w:hAnsi="SimSun" w:eastAsia="SimSun" w:cs="SimSun"/>
          <w:sz w:val="21"/>
          <w:szCs w:val="21"/>
        </w:rPr>
        <w:t>业务词汇表是组织数据基础的核心，是组织开展云端数据治理的最基础支撑，</w:t>
      </w:r>
      <w:r>
        <w:rPr>
          <w:rFonts w:ascii="SimSun" w:hAnsi="SimSun" w:eastAsia="SimSun" w:cs="SimSun"/>
          <w:sz w:val="21"/>
          <w:szCs w:val="21"/>
          <w:spacing w:val="14"/>
        </w:rPr>
        <w:t xml:space="preserve"> </w:t>
      </w:r>
      <w:r>
        <w:rPr>
          <w:rFonts w:ascii="SimSun" w:hAnsi="SimSun" w:eastAsia="SimSun" w:cs="SimSun"/>
          <w:sz w:val="21"/>
          <w:szCs w:val="21"/>
          <w:spacing w:val="2"/>
        </w:rPr>
        <w:t>因此业务词汇来源于组织需求。定义业务词汇首先应该选择一类对数据治</w:t>
      </w:r>
      <w:r>
        <w:rPr>
          <w:rFonts w:ascii="SimSun" w:hAnsi="SimSun" w:eastAsia="SimSun" w:cs="SimSun"/>
          <w:sz w:val="21"/>
          <w:szCs w:val="21"/>
          <w:spacing w:val="1"/>
        </w:rPr>
        <w:t>理需求较</w:t>
      </w:r>
      <w:r>
        <w:rPr>
          <w:rFonts w:ascii="SimSun" w:hAnsi="SimSun" w:eastAsia="SimSun" w:cs="SimSun"/>
          <w:sz w:val="21"/>
          <w:szCs w:val="21"/>
        </w:rPr>
        <w:t xml:space="preserve"> </w:t>
      </w:r>
      <w:r>
        <w:rPr>
          <w:rFonts w:ascii="SimSun" w:hAnsi="SimSun" w:eastAsia="SimSun" w:cs="SimSun"/>
          <w:sz w:val="21"/>
          <w:szCs w:val="21"/>
          <w:spacing w:val="1"/>
        </w:rPr>
        <w:t>大的业务数据或者其相关部门，在确定一个业务范围或部门内业务词汇后再将业务</w:t>
      </w:r>
      <w:r>
        <w:rPr>
          <w:rFonts w:ascii="SimSun" w:hAnsi="SimSun" w:eastAsia="SimSun" w:cs="SimSun"/>
          <w:sz w:val="21"/>
          <w:szCs w:val="21"/>
          <w:spacing w:val="13"/>
        </w:rPr>
        <w:t xml:space="preserve"> </w:t>
      </w:r>
      <w:r>
        <w:rPr>
          <w:rFonts w:ascii="SimSun" w:hAnsi="SimSun" w:eastAsia="SimSun" w:cs="SimSun"/>
          <w:sz w:val="21"/>
          <w:szCs w:val="21"/>
        </w:rPr>
        <w:t>词汇来源扩展到整个与数据治理相关的环境，包括组织内部</w:t>
      </w:r>
      <w:r>
        <w:rPr>
          <w:rFonts w:ascii="SimSun" w:hAnsi="SimSun" w:eastAsia="SimSun" w:cs="SimSun"/>
          <w:sz w:val="21"/>
          <w:szCs w:val="21"/>
          <w:spacing w:val="-1"/>
        </w:rPr>
        <w:t>和组织外部。</w:t>
      </w:r>
    </w:p>
    <w:p>
      <w:pPr>
        <w:ind w:left="409"/>
        <w:spacing w:before="71" w:line="219" w:lineRule="auto"/>
        <w:rPr>
          <w:rFonts w:ascii="SimSun" w:hAnsi="SimSun" w:eastAsia="SimSun" w:cs="SimSun"/>
          <w:sz w:val="21"/>
          <w:szCs w:val="21"/>
        </w:rPr>
      </w:pPr>
      <w:r>
        <w:rPr>
          <w:rFonts w:ascii="SimSun" w:hAnsi="SimSun" w:eastAsia="SimSun" w:cs="SimSun"/>
          <w:sz w:val="21"/>
          <w:szCs w:val="21"/>
          <w:spacing w:val="4"/>
        </w:rPr>
        <w:t>(2)确定业务词汇表管理负责人</w:t>
      </w:r>
    </w:p>
    <w:p>
      <w:pPr>
        <w:ind w:right="157" w:firstLine="409"/>
        <w:spacing w:before="52" w:line="261" w:lineRule="auto"/>
        <w:rPr>
          <w:rFonts w:ascii="SimSun" w:hAnsi="SimSun" w:eastAsia="SimSun" w:cs="SimSun"/>
          <w:sz w:val="21"/>
          <w:szCs w:val="21"/>
        </w:rPr>
      </w:pPr>
      <w:r>
        <w:rPr>
          <w:rFonts w:ascii="SimSun" w:hAnsi="SimSun" w:eastAsia="SimSun" w:cs="SimSun"/>
          <w:sz w:val="21"/>
          <w:szCs w:val="21"/>
          <w:spacing w:val="2"/>
        </w:rPr>
        <w:t>业务词汇表的定义不是一个自动化的过程，是需要有人负责收集相关需求并发 </w:t>
      </w:r>
      <w:r>
        <w:rPr>
          <w:rFonts w:ascii="SimSun" w:hAnsi="SimSun" w:eastAsia="SimSun" w:cs="SimSun"/>
          <w:sz w:val="21"/>
          <w:szCs w:val="21"/>
          <w:spacing w:val="-2"/>
        </w:rPr>
        <w:t>起定义的活动，因此组织需要确定业务词汇表管理负责人来定义和管理业务词汇表。</w:t>
      </w:r>
      <w:r>
        <w:rPr>
          <w:rFonts w:ascii="SimSun" w:hAnsi="SimSun" w:eastAsia="SimSun" w:cs="SimSun"/>
          <w:sz w:val="21"/>
          <w:szCs w:val="21"/>
          <w:spacing w:val="7"/>
        </w:rPr>
        <w:t xml:space="preserve"> </w:t>
      </w:r>
      <w:r>
        <w:rPr>
          <w:rFonts w:ascii="SimSun" w:hAnsi="SimSun" w:eastAsia="SimSun" w:cs="SimSun"/>
          <w:sz w:val="21"/>
          <w:szCs w:val="21"/>
          <w:spacing w:val="1"/>
        </w:rPr>
        <w:t>业务词汇表管理负责人的主要职责包括：识别业务词汇定义需求；确定数据定义范</w:t>
      </w:r>
      <w:r>
        <w:rPr>
          <w:rFonts w:ascii="SimSun" w:hAnsi="SimSun" w:eastAsia="SimSun" w:cs="SimSun"/>
          <w:sz w:val="21"/>
          <w:szCs w:val="21"/>
          <w:spacing w:val="7"/>
        </w:rPr>
        <w:t xml:space="preserve">  </w:t>
      </w:r>
      <w:r>
        <w:rPr>
          <w:rFonts w:ascii="SimSun" w:hAnsi="SimSun" w:eastAsia="SimSun" w:cs="SimSun"/>
          <w:sz w:val="21"/>
          <w:szCs w:val="21"/>
          <w:spacing w:val="2"/>
        </w:rPr>
        <w:t>围；发起业务词汇定义活动；汇总编制业务</w:t>
      </w:r>
      <w:r>
        <w:rPr>
          <w:rFonts w:ascii="SimSun" w:hAnsi="SimSun" w:eastAsia="SimSun" w:cs="SimSun"/>
          <w:sz w:val="21"/>
          <w:szCs w:val="21"/>
          <w:spacing w:val="1"/>
        </w:rPr>
        <w:t>词汇表；分发业务词汇表；更新业务词</w:t>
      </w:r>
      <w:r>
        <w:rPr>
          <w:rFonts w:ascii="SimSun" w:hAnsi="SimSun" w:eastAsia="SimSun" w:cs="SimSun"/>
          <w:sz w:val="21"/>
          <w:szCs w:val="21"/>
        </w:rPr>
        <w:t xml:space="preserve">  </w:t>
      </w:r>
      <w:r>
        <w:rPr>
          <w:rFonts w:ascii="SimSun" w:hAnsi="SimSun" w:eastAsia="SimSun" w:cs="SimSun"/>
          <w:sz w:val="21"/>
          <w:szCs w:val="21"/>
        </w:rPr>
        <w:t>汇表；建立业务词汇表与元数据映射；执行业务词汇表管理成熟度评估等。</w:t>
      </w:r>
    </w:p>
    <w:p>
      <w:pPr>
        <w:ind w:left="409"/>
        <w:spacing w:before="94" w:line="219" w:lineRule="auto"/>
        <w:rPr>
          <w:rFonts w:ascii="SimSun" w:hAnsi="SimSun" w:eastAsia="SimSun" w:cs="SimSun"/>
          <w:sz w:val="21"/>
          <w:szCs w:val="21"/>
        </w:rPr>
      </w:pPr>
      <w:r>
        <w:rPr>
          <w:rFonts w:ascii="SimSun" w:hAnsi="SimSun" w:eastAsia="SimSun" w:cs="SimSun"/>
          <w:sz w:val="21"/>
          <w:szCs w:val="21"/>
          <w:spacing w:val="9"/>
        </w:rPr>
        <w:t>(3)识别关键数据元素</w:t>
      </w:r>
    </w:p>
    <w:p>
      <w:pPr>
        <w:ind w:right="157" w:firstLine="409"/>
        <w:spacing w:before="61" w:line="259" w:lineRule="auto"/>
        <w:rPr>
          <w:rFonts w:ascii="SimSun" w:hAnsi="SimSun" w:eastAsia="SimSun" w:cs="SimSun"/>
          <w:sz w:val="21"/>
          <w:szCs w:val="21"/>
        </w:rPr>
      </w:pPr>
      <w:r>
        <w:rPr>
          <w:rFonts w:ascii="SimSun" w:hAnsi="SimSun" w:eastAsia="SimSun" w:cs="SimSun"/>
          <w:sz w:val="21"/>
          <w:szCs w:val="21"/>
          <w:spacing w:val="1"/>
        </w:rPr>
        <w:t>数据领域确定了业务词汇的来源范围，但无法确定哪些内容应该定义为业务词</w:t>
      </w:r>
      <w:r>
        <w:rPr>
          <w:rFonts w:ascii="SimSun" w:hAnsi="SimSun" w:eastAsia="SimSun" w:cs="SimSun"/>
          <w:sz w:val="21"/>
          <w:szCs w:val="21"/>
          <w:spacing w:val="6"/>
        </w:rPr>
        <w:t xml:space="preserve">  </w:t>
      </w:r>
      <w:r>
        <w:rPr>
          <w:rFonts w:ascii="SimSun" w:hAnsi="SimSun" w:eastAsia="SimSun" w:cs="SimSun"/>
          <w:sz w:val="21"/>
          <w:szCs w:val="21"/>
          <w:spacing w:val="-2"/>
        </w:rPr>
        <w:t>汇，识别关键数据元素就是解决这个问题。例如一份合同中，合同名称、合同金额、</w:t>
      </w:r>
      <w:r>
        <w:rPr>
          <w:rFonts w:ascii="SimSun" w:hAnsi="SimSun" w:eastAsia="SimSun" w:cs="SimSun"/>
          <w:sz w:val="21"/>
          <w:szCs w:val="21"/>
          <w:spacing w:val="7"/>
        </w:rPr>
        <w:t xml:space="preserve"> </w:t>
      </w:r>
      <w:r>
        <w:rPr>
          <w:rFonts w:ascii="SimSun" w:hAnsi="SimSun" w:eastAsia="SimSun" w:cs="SimSun"/>
          <w:sz w:val="21"/>
          <w:szCs w:val="21"/>
          <w:spacing w:val="1"/>
        </w:rPr>
        <w:t>起止时间等都需要明确定义以免引起误解。再例如组织的财务报表，哪种数据应该</w:t>
      </w:r>
      <w:r>
        <w:rPr>
          <w:rFonts w:ascii="SimSun" w:hAnsi="SimSun" w:eastAsia="SimSun" w:cs="SimSun"/>
          <w:sz w:val="21"/>
          <w:szCs w:val="21"/>
          <w:spacing w:val="6"/>
        </w:rPr>
        <w:t xml:space="preserve">  </w:t>
      </w:r>
      <w:r>
        <w:rPr>
          <w:rFonts w:ascii="SimSun" w:hAnsi="SimSun" w:eastAsia="SimSun" w:cs="SimSun"/>
          <w:sz w:val="21"/>
          <w:szCs w:val="21"/>
          <w:spacing w:val="-2"/>
        </w:rPr>
        <w:t>会被统计，哪个时间段的数据应该被统计进去等。</w:t>
      </w:r>
    </w:p>
    <w:p>
      <w:pPr>
        <w:ind w:left="409"/>
        <w:spacing w:before="72" w:line="219" w:lineRule="auto"/>
        <w:rPr>
          <w:rFonts w:ascii="SimSun" w:hAnsi="SimSun" w:eastAsia="SimSun" w:cs="SimSun"/>
          <w:sz w:val="21"/>
          <w:szCs w:val="21"/>
        </w:rPr>
      </w:pPr>
      <w:r>
        <w:rPr>
          <w:rFonts w:ascii="SimSun" w:hAnsi="SimSun" w:eastAsia="SimSun" w:cs="SimSun"/>
          <w:sz w:val="21"/>
          <w:szCs w:val="21"/>
          <w:spacing w:val="5"/>
        </w:rPr>
        <w:t>(4)建立业务词汇表与组织元数据的映射</w:t>
      </w:r>
    </w:p>
    <w:p>
      <w:pPr>
        <w:ind w:right="234" w:firstLine="409"/>
        <w:spacing w:before="61" w:line="260" w:lineRule="auto"/>
        <w:rPr>
          <w:rFonts w:ascii="SimSun" w:hAnsi="SimSun" w:eastAsia="SimSun" w:cs="SimSun"/>
          <w:sz w:val="21"/>
          <w:szCs w:val="21"/>
        </w:rPr>
      </w:pPr>
      <w:r>
        <w:rPr>
          <w:rFonts w:ascii="SimSun" w:hAnsi="SimSun" w:eastAsia="SimSun" w:cs="SimSun"/>
          <w:sz w:val="21"/>
          <w:szCs w:val="21"/>
          <w:spacing w:val="2"/>
        </w:rPr>
        <w:t>业务词汇表的建立主要目的是服务于元数据管理和主数</w:t>
      </w:r>
      <w:r>
        <w:rPr>
          <w:rFonts w:ascii="SimSun" w:hAnsi="SimSun" w:eastAsia="SimSun" w:cs="SimSun"/>
          <w:sz w:val="21"/>
          <w:szCs w:val="21"/>
          <w:spacing w:val="1"/>
        </w:rPr>
        <w:t>据管理等，因此要保证</w:t>
      </w:r>
      <w:r>
        <w:rPr>
          <w:rFonts w:ascii="SimSun" w:hAnsi="SimSun" w:eastAsia="SimSun" w:cs="SimSun"/>
          <w:sz w:val="21"/>
          <w:szCs w:val="21"/>
        </w:rPr>
        <w:t xml:space="preserve"> </w:t>
      </w:r>
      <w:r>
        <w:rPr>
          <w:rFonts w:ascii="SimSun" w:hAnsi="SimSun" w:eastAsia="SimSun" w:cs="SimSun"/>
          <w:sz w:val="21"/>
          <w:szCs w:val="21"/>
          <w:spacing w:val="2"/>
        </w:rPr>
        <w:t>业务词汇表对元数据创立的支撑作用，即定义的业务词汇不能是没有价</w:t>
      </w:r>
      <w:r>
        <w:rPr>
          <w:rFonts w:ascii="SimSun" w:hAnsi="SimSun" w:eastAsia="SimSun" w:cs="SimSun"/>
          <w:sz w:val="21"/>
          <w:szCs w:val="21"/>
          <w:spacing w:val="1"/>
        </w:rPr>
        <w:t>值的或者从</w:t>
      </w:r>
      <w:r>
        <w:rPr>
          <w:rFonts w:ascii="SimSun" w:hAnsi="SimSun" w:eastAsia="SimSun" w:cs="SimSun"/>
          <w:sz w:val="21"/>
          <w:szCs w:val="21"/>
        </w:rPr>
        <w:t xml:space="preserve"> </w:t>
      </w:r>
      <w:r>
        <w:rPr>
          <w:rFonts w:ascii="SimSun" w:hAnsi="SimSun" w:eastAsia="SimSun" w:cs="SimSun"/>
          <w:sz w:val="21"/>
          <w:szCs w:val="21"/>
          <w:spacing w:val="-2"/>
        </w:rPr>
        <w:t>来不会使用的，所以定义的业务词汇表要与组织元数据建立映射。</w:t>
      </w:r>
    </w:p>
    <w:p>
      <w:pPr>
        <w:ind w:left="409"/>
        <w:spacing w:before="50" w:line="218" w:lineRule="auto"/>
        <w:rPr>
          <w:rFonts w:ascii="SimSun" w:hAnsi="SimSun" w:eastAsia="SimSun" w:cs="SimSun"/>
          <w:sz w:val="21"/>
          <w:szCs w:val="21"/>
        </w:rPr>
      </w:pPr>
      <w:r>
        <w:rPr>
          <w:rFonts w:ascii="SimSun" w:hAnsi="SimSun" w:eastAsia="SimSun" w:cs="SimSun"/>
          <w:sz w:val="21"/>
          <w:szCs w:val="21"/>
          <w:spacing w:val="8"/>
        </w:rPr>
        <w:t>(5)执行成熟度评估</w:t>
      </w:r>
    </w:p>
    <w:p>
      <w:pPr>
        <w:ind w:right="255" w:firstLine="409"/>
        <w:spacing w:before="54" w:line="262" w:lineRule="auto"/>
        <w:rPr>
          <w:rFonts w:ascii="SimSun" w:hAnsi="SimSun" w:eastAsia="SimSun" w:cs="SimSun"/>
          <w:sz w:val="21"/>
          <w:szCs w:val="21"/>
        </w:rPr>
      </w:pPr>
      <w:r>
        <w:rPr>
          <w:rFonts w:ascii="SimSun" w:hAnsi="SimSun" w:eastAsia="SimSun" w:cs="SimSun"/>
          <w:sz w:val="21"/>
          <w:szCs w:val="21"/>
          <w:spacing w:val="2"/>
        </w:rPr>
        <w:t>依据云端数据治理成熟度模型中业务词汇表成熟度</w:t>
      </w:r>
      <w:r>
        <w:rPr>
          <w:rFonts w:ascii="SimSun" w:hAnsi="SimSun" w:eastAsia="SimSun" w:cs="SimSun"/>
          <w:sz w:val="21"/>
          <w:szCs w:val="21"/>
          <w:spacing w:val="1"/>
        </w:rPr>
        <w:t>等级要求对业务词汇表管理</w:t>
      </w:r>
      <w:r>
        <w:rPr>
          <w:rFonts w:ascii="SimSun" w:hAnsi="SimSun" w:eastAsia="SimSun" w:cs="SimSun"/>
          <w:sz w:val="21"/>
          <w:szCs w:val="21"/>
        </w:rPr>
        <w:t xml:space="preserve"> </w:t>
      </w:r>
      <w:r>
        <w:rPr>
          <w:rFonts w:ascii="SimSun" w:hAnsi="SimSun" w:eastAsia="SimSun" w:cs="SimSun"/>
          <w:sz w:val="21"/>
          <w:szCs w:val="21"/>
          <w:spacing w:val="-3"/>
        </w:rPr>
        <w:t>进行评估，以便及时改进业务词汇表。</w:t>
      </w:r>
    </w:p>
    <w:p>
      <w:pPr>
        <w:ind w:left="409"/>
        <w:spacing w:before="54" w:line="219" w:lineRule="auto"/>
        <w:rPr>
          <w:rFonts w:ascii="SimSun" w:hAnsi="SimSun" w:eastAsia="SimSun" w:cs="SimSun"/>
          <w:sz w:val="21"/>
          <w:szCs w:val="21"/>
        </w:rPr>
      </w:pPr>
      <w:r>
        <w:rPr>
          <w:rFonts w:ascii="SimSun" w:hAnsi="SimSun" w:eastAsia="SimSun" w:cs="SimSun"/>
          <w:sz w:val="21"/>
          <w:szCs w:val="21"/>
          <w:spacing w:val="1"/>
        </w:rPr>
        <w:t>表11-2展示了某电子收费系统在数据治理项目中制订的业务词汇表。</w:t>
      </w:r>
    </w:p>
    <w:p>
      <w:pPr>
        <w:ind w:left="2412"/>
        <w:spacing w:before="108" w:line="219" w:lineRule="auto"/>
        <w:rPr>
          <w:rFonts w:ascii="SimSun" w:hAnsi="SimSun" w:eastAsia="SimSun" w:cs="SimSun"/>
          <w:sz w:val="21"/>
          <w:szCs w:val="21"/>
        </w:rPr>
      </w:pPr>
      <w:r>
        <w:rPr>
          <w:rFonts w:ascii="SimSun" w:hAnsi="SimSun" w:eastAsia="SimSun" w:cs="SimSun"/>
          <w:sz w:val="21"/>
          <w:szCs w:val="21"/>
          <w:b/>
          <w:bCs/>
          <w:spacing w:val="-20"/>
          <w:w w:val="97"/>
        </w:rPr>
        <w:t>表11-2</w:t>
      </w:r>
      <w:r>
        <w:rPr>
          <w:rFonts w:ascii="SimSun" w:hAnsi="SimSun" w:eastAsia="SimSun" w:cs="SimSun"/>
          <w:sz w:val="21"/>
          <w:szCs w:val="21"/>
          <w:spacing w:val="72"/>
        </w:rPr>
        <w:t xml:space="preserve"> </w:t>
      </w:r>
      <w:r>
        <w:rPr>
          <w:rFonts w:ascii="SimSun" w:hAnsi="SimSun" w:eastAsia="SimSun" w:cs="SimSun"/>
          <w:sz w:val="21"/>
          <w:szCs w:val="21"/>
          <w:b/>
          <w:bCs/>
          <w:spacing w:val="-20"/>
          <w:w w:val="97"/>
        </w:rPr>
        <w:t>某电子收费系统业务词汇表</w:t>
      </w:r>
    </w:p>
    <w:p>
      <w:pPr>
        <w:spacing w:line="80" w:lineRule="exact"/>
        <w:rPr/>
      </w:pPr>
      <w:r/>
    </w:p>
    <w:tbl>
      <w:tblPr>
        <w:tblStyle w:val="TableNormal"/>
        <w:tblW w:w="765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4"/>
        <w:gridCol w:w="1188"/>
        <w:gridCol w:w="1758"/>
        <w:gridCol w:w="4020"/>
      </w:tblGrid>
      <w:tr>
        <w:trPr>
          <w:trHeight w:val="353" w:hRule="atLeast"/>
        </w:trPr>
        <w:tc>
          <w:tcPr>
            <w:tcW w:w="684" w:type="dxa"/>
            <w:vAlign w:val="top"/>
          </w:tcPr>
          <w:p>
            <w:pPr>
              <w:pStyle w:val="TableText"/>
              <w:ind w:left="144"/>
              <w:spacing w:before="102" w:line="221" w:lineRule="auto"/>
              <w:rPr/>
            </w:pPr>
            <w:r>
              <w:rPr>
                <w:spacing w:val="-3"/>
              </w:rPr>
              <w:t>序</w:t>
            </w:r>
            <w:r>
              <w:rPr>
                <w:spacing w:val="9"/>
              </w:rPr>
              <w:t xml:space="preserve"> </w:t>
            </w:r>
            <w:r>
              <w:rPr>
                <w:spacing w:val="-3"/>
              </w:rPr>
              <w:t>号</w:t>
            </w:r>
          </w:p>
        </w:tc>
        <w:tc>
          <w:tcPr>
            <w:tcW w:w="1188" w:type="dxa"/>
            <w:vAlign w:val="top"/>
          </w:tcPr>
          <w:p>
            <w:pPr>
              <w:pStyle w:val="TableText"/>
              <w:ind w:left="321"/>
              <w:spacing w:before="101" w:line="219" w:lineRule="auto"/>
              <w:rPr/>
            </w:pPr>
            <w:r>
              <w:rPr>
                <w:spacing w:val="-4"/>
              </w:rPr>
              <w:t>来</w:t>
            </w:r>
            <w:r>
              <w:rPr>
                <w:spacing w:val="1"/>
              </w:rPr>
              <w:t xml:space="preserve">   </w:t>
            </w:r>
            <w:r>
              <w:rPr>
                <w:spacing w:val="-4"/>
              </w:rPr>
              <w:t>源</w:t>
            </w:r>
          </w:p>
        </w:tc>
        <w:tc>
          <w:tcPr>
            <w:tcW w:w="1758" w:type="dxa"/>
            <w:vAlign w:val="top"/>
          </w:tcPr>
          <w:p>
            <w:pPr>
              <w:pStyle w:val="TableText"/>
              <w:ind w:left="603"/>
              <w:spacing w:before="101" w:line="219" w:lineRule="auto"/>
              <w:rPr/>
            </w:pPr>
            <w:r>
              <w:rPr>
                <w:spacing w:val="-4"/>
              </w:rPr>
              <w:t>术</w:t>
            </w:r>
            <w:r>
              <w:rPr>
                <w:spacing w:val="1"/>
              </w:rPr>
              <w:t xml:space="preserve">   </w:t>
            </w:r>
            <w:r>
              <w:rPr>
                <w:spacing w:val="-4"/>
              </w:rPr>
              <w:t>语</w:t>
            </w:r>
          </w:p>
        </w:tc>
        <w:tc>
          <w:tcPr>
            <w:tcW w:w="4020" w:type="dxa"/>
            <w:vAlign w:val="top"/>
          </w:tcPr>
          <w:p>
            <w:pPr>
              <w:pStyle w:val="TableText"/>
              <w:ind w:left="1694"/>
              <w:spacing w:before="103" w:line="221" w:lineRule="auto"/>
              <w:rPr/>
            </w:pPr>
            <w:r>
              <w:rPr>
                <w:spacing w:val="-4"/>
              </w:rPr>
              <w:t>描</w:t>
            </w:r>
            <w:r>
              <w:rPr>
                <w:spacing w:val="1"/>
              </w:rPr>
              <w:t xml:space="preserve">   </w:t>
            </w:r>
            <w:r>
              <w:rPr>
                <w:spacing w:val="-4"/>
              </w:rPr>
              <w:t>述</w:t>
            </w:r>
          </w:p>
        </w:tc>
      </w:tr>
      <w:tr>
        <w:trPr>
          <w:trHeight w:val="339" w:hRule="atLeast"/>
        </w:trPr>
        <w:tc>
          <w:tcPr>
            <w:tcW w:w="684" w:type="dxa"/>
            <w:vAlign w:val="top"/>
          </w:tcPr>
          <w:p>
            <w:pPr>
              <w:pStyle w:val="TableText"/>
              <w:ind w:left="294"/>
              <w:spacing w:before="136" w:line="184" w:lineRule="auto"/>
              <w:rPr/>
            </w:pPr>
            <w:r>
              <w:rPr/>
              <w:t>1</w:t>
            </w:r>
          </w:p>
        </w:tc>
        <w:tc>
          <w:tcPr>
            <w:tcW w:w="1188" w:type="dxa"/>
            <w:vAlign w:val="top"/>
          </w:tcPr>
          <w:p>
            <w:pPr>
              <w:pStyle w:val="TableText"/>
              <w:ind w:left="281"/>
              <w:spacing w:before="98" w:line="220" w:lineRule="auto"/>
              <w:rPr/>
            </w:pPr>
            <w:r>
              <w:rPr>
                <w:spacing w:val="-2"/>
              </w:rPr>
              <w:t>处理标志</w:t>
            </w:r>
          </w:p>
        </w:tc>
        <w:tc>
          <w:tcPr>
            <w:tcW w:w="1758" w:type="dxa"/>
            <w:vAlign w:val="top"/>
          </w:tcPr>
          <w:p>
            <w:pPr>
              <w:pStyle w:val="TableText"/>
              <w:ind w:left="123"/>
              <w:spacing w:before="98" w:line="219" w:lineRule="auto"/>
              <w:rPr/>
            </w:pPr>
            <w:r>
              <w:rPr>
                <w:spacing w:val="-1"/>
              </w:rPr>
              <w:t>消息接收处理标注编码</w:t>
            </w:r>
          </w:p>
        </w:tc>
        <w:tc>
          <w:tcPr>
            <w:tcW w:w="4020" w:type="dxa"/>
            <w:vAlign w:val="top"/>
          </w:tcPr>
          <w:p>
            <w:pPr>
              <w:pStyle w:val="TableText"/>
              <w:ind w:left="265"/>
              <w:spacing w:before="98" w:line="219" w:lineRule="auto"/>
              <w:rPr/>
            </w:pPr>
            <w:r>
              <w:rPr>
                <w:spacing w:val="-1"/>
              </w:rPr>
              <w:t>对于接收到的消息包含0正常入库处理</w:t>
            </w:r>
          </w:p>
        </w:tc>
      </w:tr>
      <w:tr>
        <w:trPr>
          <w:trHeight w:val="348" w:hRule="atLeast"/>
        </w:trPr>
        <w:tc>
          <w:tcPr>
            <w:tcW w:w="684" w:type="dxa"/>
            <w:vAlign w:val="top"/>
          </w:tcPr>
          <w:p>
            <w:pPr>
              <w:pStyle w:val="TableText"/>
              <w:ind w:left="294"/>
              <w:spacing w:before="137" w:line="183" w:lineRule="auto"/>
              <w:rPr/>
            </w:pPr>
            <w:r>
              <w:rPr/>
              <w:t>2</w:t>
            </w:r>
          </w:p>
        </w:tc>
        <w:tc>
          <w:tcPr>
            <w:tcW w:w="1188" w:type="dxa"/>
            <w:vAlign w:val="top"/>
          </w:tcPr>
          <w:p>
            <w:pPr>
              <w:pStyle w:val="TableText"/>
              <w:ind w:left="281"/>
              <w:spacing w:before="100" w:line="221" w:lineRule="auto"/>
              <w:rPr/>
            </w:pPr>
            <w:r>
              <w:rPr>
                <w:spacing w:val="3"/>
              </w:rPr>
              <w:t>注册时间</w:t>
            </w:r>
          </w:p>
        </w:tc>
        <w:tc>
          <w:tcPr>
            <w:tcW w:w="1758" w:type="dxa"/>
            <w:vAlign w:val="top"/>
          </w:tcPr>
          <w:p>
            <w:pPr>
              <w:pStyle w:val="TableText"/>
              <w:ind w:left="253"/>
              <w:spacing w:before="100" w:line="221" w:lineRule="auto"/>
              <w:rPr/>
            </w:pPr>
            <w:r>
              <w:rPr>
                <w:spacing w:val="14"/>
              </w:rPr>
              <w:t>注册TIMES</w:t>
            </w:r>
            <w:r>
              <w:rPr>
                <w:spacing w:val="40"/>
                <w:w w:val="101"/>
              </w:rPr>
              <w:t xml:space="preserve"> </w:t>
            </w:r>
            <w:r>
              <w:rPr>
                <w:spacing w:val="14"/>
              </w:rPr>
              <w:t>TEMP</w:t>
            </w:r>
          </w:p>
        </w:tc>
        <w:tc>
          <w:tcPr>
            <w:tcW w:w="4020" w:type="dxa"/>
            <w:vAlign w:val="top"/>
          </w:tcPr>
          <w:p>
            <w:pPr>
              <w:pStyle w:val="TableText"/>
              <w:ind w:left="190"/>
              <w:spacing w:before="97" w:line="216" w:lineRule="auto"/>
              <w:rPr/>
            </w:pPr>
            <w:r>
              <w:rPr>
                <w:spacing w:val="4"/>
              </w:rPr>
              <w:t>“</w:t>
            </w:r>
            <w:r>
              <w:rPr/>
              <w:t>YYYY</w:t>
            </w:r>
            <w:r>
              <w:rPr>
                <w:spacing w:val="4"/>
              </w:rPr>
              <w:t>-</w:t>
            </w:r>
            <w:r>
              <w:rPr/>
              <w:t>MM</w:t>
            </w:r>
            <w:r>
              <w:rPr>
                <w:spacing w:val="4"/>
              </w:rPr>
              <w:t>-</w:t>
            </w:r>
            <w:r>
              <w:rPr/>
              <w:t>DD</w:t>
            </w:r>
            <w:r>
              <w:rPr>
                <w:spacing w:val="4"/>
              </w:rPr>
              <w:t xml:space="preserve"> </w:t>
            </w:r>
            <w:r>
              <w:rPr/>
              <w:t>HHmm</w:t>
            </w:r>
            <w:r>
              <w:rPr>
                <w:spacing w:val="4"/>
              </w:rPr>
              <w:t>:</w:t>
            </w:r>
            <w:r>
              <w:rPr/>
              <w:t>ss</w:t>
            </w:r>
            <w:r>
              <w:rPr>
                <w:spacing w:val="4"/>
              </w:rPr>
              <w:t>”,注册时间，实际长度19</w:t>
            </w:r>
          </w:p>
        </w:tc>
      </w:tr>
      <w:tr>
        <w:trPr>
          <w:trHeight w:val="339" w:hRule="atLeast"/>
        </w:trPr>
        <w:tc>
          <w:tcPr>
            <w:tcW w:w="684" w:type="dxa"/>
            <w:vAlign w:val="top"/>
          </w:tcPr>
          <w:p>
            <w:pPr>
              <w:pStyle w:val="TableText"/>
              <w:ind w:left="294"/>
              <w:spacing w:before="139" w:line="183" w:lineRule="auto"/>
              <w:rPr/>
            </w:pPr>
            <w:r>
              <w:rPr/>
              <w:t>3</w:t>
            </w:r>
          </w:p>
        </w:tc>
        <w:tc>
          <w:tcPr>
            <w:tcW w:w="1188" w:type="dxa"/>
            <w:vAlign w:val="top"/>
          </w:tcPr>
          <w:p>
            <w:pPr>
              <w:pStyle w:val="TableText"/>
              <w:ind w:left="211"/>
              <w:spacing w:before="101" w:line="219" w:lineRule="auto"/>
              <w:rPr/>
            </w:pPr>
            <w:r>
              <w:rPr>
                <w:spacing w:val="-1"/>
              </w:rPr>
              <w:t>通行券类型</w:t>
            </w:r>
          </w:p>
        </w:tc>
        <w:tc>
          <w:tcPr>
            <w:tcW w:w="1758" w:type="dxa"/>
            <w:vAlign w:val="top"/>
          </w:tcPr>
          <w:p>
            <w:pPr>
              <w:pStyle w:val="TableText"/>
              <w:ind w:left="342"/>
              <w:spacing w:before="101" w:line="219" w:lineRule="auto"/>
              <w:rPr/>
            </w:pPr>
            <w:r>
              <w:rPr>
                <w:spacing w:val="-1"/>
              </w:rPr>
              <w:t>通行券类型编码</w:t>
            </w:r>
          </w:p>
        </w:tc>
        <w:tc>
          <w:tcPr>
            <w:tcW w:w="4020" w:type="dxa"/>
            <w:vAlign w:val="top"/>
          </w:tcPr>
          <w:p>
            <w:pPr>
              <w:pStyle w:val="TableText"/>
              <w:ind w:left="265"/>
              <w:spacing w:before="101" w:line="219" w:lineRule="auto"/>
              <w:rPr/>
            </w:pPr>
            <w:r>
              <w:rPr>
                <w:spacing w:val="-1"/>
              </w:rPr>
              <w:t>0手撕票，1二维条码，2国标IC卡，3一卡通IC卡</w:t>
            </w:r>
          </w:p>
        </w:tc>
      </w:tr>
      <w:tr>
        <w:trPr>
          <w:trHeight w:val="359" w:hRule="atLeast"/>
        </w:trPr>
        <w:tc>
          <w:tcPr>
            <w:tcW w:w="684" w:type="dxa"/>
            <w:vAlign w:val="top"/>
          </w:tcPr>
          <w:p>
            <w:pPr>
              <w:pStyle w:val="TableText"/>
              <w:ind w:left="294"/>
              <w:spacing w:before="150" w:line="183" w:lineRule="auto"/>
              <w:rPr/>
            </w:pPr>
            <w:r>
              <w:rPr/>
              <w:t>4</w:t>
            </w:r>
          </w:p>
        </w:tc>
        <w:tc>
          <w:tcPr>
            <w:tcW w:w="1188" w:type="dxa"/>
            <w:vAlign w:val="top"/>
          </w:tcPr>
          <w:p>
            <w:pPr>
              <w:pStyle w:val="TableText"/>
              <w:ind w:left="131"/>
              <w:spacing w:before="112" w:line="219" w:lineRule="auto"/>
              <w:rPr/>
            </w:pPr>
            <w:r>
              <w:rPr>
                <w:spacing w:val="-2"/>
              </w:rPr>
              <w:t>争议处理结果</w:t>
            </w:r>
          </w:p>
        </w:tc>
        <w:tc>
          <w:tcPr>
            <w:tcW w:w="1758" w:type="dxa"/>
            <w:vAlign w:val="top"/>
          </w:tcPr>
          <w:p>
            <w:pPr>
              <w:pStyle w:val="TableText"/>
              <w:ind w:left="273"/>
              <w:spacing w:before="112" w:line="219" w:lineRule="auto"/>
              <w:rPr/>
            </w:pPr>
            <w:r>
              <w:rPr>
                <w:spacing w:val="-1"/>
              </w:rPr>
              <w:t>争议处理结果编码</w:t>
            </w:r>
          </w:p>
        </w:tc>
        <w:tc>
          <w:tcPr>
            <w:tcW w:w="4020" w:type="dxa"/>
            <w:vAlign w:val="top"/>
          </w:tcPr>
          <w:p>
            <w:pPr>
              <w:pStyle w:val="TableText"/>
              <w:ind w:left="265"/>
              <w:spacing w:before="112" w:line="219" w:lineRule="auto"/>
              <w:rPr/>
            </w:pPr>
            <w:r>
              <w:rPr>
                <w:spacing w:val="-1"/>
              </w:rPr>
              <w:t>0争议应对，1争议拒付</w:t>
            </w:r>
          </w:p>
        </w:tc>
      </w:tr>
      <w:tr>
        <w:trPr>
          <w:trHeight w:val="339" w:hRule="atLeast"/>
        </w:trPr>
        <w:tc>
          <w:tcPr>
            <w:tcW w:w="684" w:type="dxa"/>
            <w:vAlign w:val="top"/>
          </w:tcPr>
          <w:p>
            <w:pPr>
              <w:pStyle w:val="TableText"/>
              <w:ind w:left="294"/>
              <w:spacing w:before="142" w:line="182" w:lineRule="auto"/>
              <w:rPr/>
            </w:pPr>
            <w:r>
              <w:rPr/>
              <w:t>5</w:t>
            </w:r>
          </w:p>
        </w:tc>
        <w:tc>
          <w:tcPr>
            <w:tcW w:w="1188" w:type="dxa"/>
            <w:vAlign w:val="top"/>
          </w:tcPr>
          <w:p>
            <w:pPr>
              <w:pStyle w:val="TableText"/>
              <w:ind w:left="361"/>
              <w:spacing w:before="103" w:line="219" w:lineRule="auto"/>
              <w:rPr/>
            </w:pPr>
            <w:r>
              <w:rPr>
                <w:spacing w:val="-2"/>
              </w:rPr>
              <w:t>卡类型</w:t>
            </w:r>
          </w:p>
        </w:tc>
        <w:tc>
          <w:tcPr>
            <w:tcW w:w="1758" w:type="dxa"/>
            <w:vAlign w:val="top"/>
          </w:tcPr>
          <w:p>
            <w:pPr>
              <w:pStyle w:val="TableText"/>
              <w:ind w:left="492"/>
              <w:spacing w:before="103" w:line="219" w:lineRule="auto"/>
              <w:rPr/>
            </w:pPr>
            <w:r>
              <w:rPr>
                <w:spacing w:val="-2"/>
              </w:rPr>
              <w:t>卡类型编码</w:t>
            </w:r>
          </w:p>
        </w:tc>
        <w:tc>
          <w:tcPr>
            <w:tcW w:w="4020" w:type="dxa"/>
            <w:vAlign w:val="top"/>
          </w:tcPr>
          <w:p>
            <w:pPr>
              <w:pStyle w:val="TableText"/>
              <w:ind w:left="265"/>
              <w:spacing w:before="103" w:line="220" w:lineRule="auto"/>
              <w:rPr/>
            </w:pPr>
            <w:r>
              <w:rPr>
                <w:spacing w:val="-1"/>
              </w:rPr>
              <w:t>0国标卡，1一卡通，2电子标签</w:t>
            </w:r>
          </w:p>
        </w:tc>
      </w:tr>
      <w:tr>
        <w:trPr>
          <w:trHeight w:val="363" w:hRule="atLeast"/>
        </w:trPr>
        <w:tc>
          <w:tcPr>
            <w:tcW w:w="684" w:type="dxa"/>
            <w:vAlign w:val="top"/>
          </w:tcPr>
          <w:p>
            <w:pPr>
              <w:pStyle w:val="TableText"/>
              <w:ind w:left="294"/>
              <w:spacing w:before="152" w:line="183" w:lineRule="auto"/>
              <w:rPr/>
            </w:pPr>
            <w:r>
              <w:rPr/>
              <w:t>6</w:t>
            </w:r>
          </w:p>
        </w:tc>
        <w:tc>
          <w:tcPr>
            <w:tcW w:w="1188" w:type="dxa"/>
            <w:vAlign w:val="top"/>
          </w:tcPr>
          <w:p>
            <w:pPr>
              <w:pStyle w:val="TableText"/>
              <w:ind w:left="281"/>
              <w:spacing w:before="114" w:line="219" w:lineRule="auto"/>
              <w:rPr/>
            </w:pPr>
            <w:r>
              <w:rPr>
                <w:spacing w:val="-2"/>
              </w:rPr>
              <w:t>状态标志</w:t>
            </w:r>
          </w:p>
        </w:tc>
        <w:tc>
          <w:tcPr>
            <w:tcW w:w="1758" w:type="dxa"/>
            <w:vAlign w:val="top"/>
          </w:tcPr>
          <w:p>
            <w:pPr>
              <w:pStyle w:val="TableText"/>
              <w:ind w:left="273"/>
              <w:spacing w:before="114" w:line="219" w:lineRule="auto"/>
              <w:rPr/>
            </w:pPr>
            <w:r>
              <w:rPr>
                <w:spacing w:val="-2"/>
              </w:rPr>
              <w:t>允许状态标志编码</w:t>
            </w:r>
          </w:p>
        </w:tc>
        <w:tc>
          <w:tcPr>
            <w:tcW w:w="4020" w:type="dxa"/>
            <w:vAlign w:val="top"/>
          </w:tcPr>
          <w:p>
            <w:pPr>
              <w:pStyle w:val="TableText"/>
              <w:ind w:left="265"/>
              <w:spacing w:before="114" w:line="219" w:lineRule="auto"/>
              <w:rPr/>
            </w:pPr>
            <w:r>
              <w:rPr>
                <w:spacing w:val="-1"/>
              </w:rPr>
              <w:t>0禁止，1允许</w:t>
            </w:r>
          </w:p>
        </w:tc>
      </w:tr>
    </w:tbl>
    <w:p>
      <w:pPr>
        <w:pStyle w:val="BodyText"/>
        <w:rPr/>
      </w:pPr>
      <w:r/>
    </w:p>
    <w:p>
      <w:pPr>
        <w:sectPr>
          <w:footerReference w:type="default" r:id="rId504"/>
          <w:pgSz w:w="8870" w:h="13400"/>
          <w:pgMar w:top="400" w:right="667" w:bottom="567" w:left="339" w:header="0" w:footer="358" w:gutter="0"/>
        </w:sectPr>
        <w:rPr/>
      </w:pPr>
    </w:p>
    <w:p>
      <w:pPr>
        <w:ind w:left="120"/>
        <w:spacing w:before="200"/>
        <w:rPr>
          <w:rFonts w:ascii="SimSun" w:hAnsi="SimSun" w:eastAsia="SimSun" w:cs="SimSun"/>
          <w:sz w:val="21"/>
          <w:szCs w:val="21"/>
        </w:rPr>
      </w:pPr>
      <w:r>
        <w:rPr>
          <w:rFonts w:ascii="SimSun" w:hAnsi="SimSun" w:eastAsia="SimSun" w:cs="SimSun"/>
          <w:sz w:val="21"/>
          <w:szCs w:val="21"/>
          <w:position w:val="-10"/>
        </w:rPr>
        <w:drawing>
          <wp:inline distT="0" distB="0" distL="0" distR="0">
            <wp:extent cx="6365" cy="215873"/>
            <wp:effectExtent l="0" t="0" r="0" b="0"/>
            <wp:docPr id="348" name="IM 348"/>
            <wp:cNvGraphicFramePr/>
            <a:graphic>
              <a:graphicData uri="http://schemas.openxmlformats.org/drawingml/2006/picture">
                <pic:pic>
                  <pic:nvPicPr>
                    <pic:cNvPr id="348" name="IM 348"/>
                    <pic:cNvPicPr/>
                  </pic:nvPicPr>
                  <pic:blipFill>
                    <a:blip r:embed="rId506"/>
                    <a:stretch>
                      <a:fillRect/>
                    </a:stretch>
                  </pic:blipFill>
                  <pic:spPr>
                    <a:xfrm rot="0">
                      <a:off x="0" y="0"/>
                      <a:ext cx="6365" cy="215873"/>
                    </a:xfrm>
                    <a:prstGeom prst="rect">
                      <a:avLst/>
                    </a:prstGeom>
                  </pic:spPr>
                </pic:pic>
              </a:graphicData>
            </a:graphic>
          </wp:inline>
        </w:drawing>
      </w:r>
      <w:r>
        <w:rPr>
          <w:rFonts w:ascii="SimSun" w:hAnsi="SimSun" w:eastAsia="SimSun" w:cs="SimSun"/>
          <w:sz w:val="21"/>
          <w:szCs w:val="21"/>
          <w:spacing w:val="-13"/>
        </w:rPr>
        <w:t xml:space="preserve"> </w:t>
      </w:r>
      <w:r>
        <w:rPr>
          <w:rFonts w:ascii="SimSun" w:hAnsi="SimSun" w:eastAsia="SimSun" w:cs="SimSun"/>
          <w:sz w:val="21"/>
          <w:szCs w:val="21"/>
          <w:b/>
          <w:bCs/>
          <w:spacing w:val="-25"/>
        </w:rPr>
        <w:t>■云端数据治理■</w:t>
      </w:r>
    </w:p>
    <w:p>
      <w:pPr>
        <w:pStyle w:val="BodyText"/>
        <w:spacing w:line="290" w:lineRule="auto"/>
        <w:rPr/>
      </w:pPr>
      <w:r/>
    </w:p>
    <w:p>
      <w:pPr>
        <w:ind w:left="7200"/>
        <w:spacing w:before="56" w:line="214" w:lineRule="auto"/>
        <w:rPr>
          <w:rFonts w:ascii="SimSun" w:hAnsi="SimSun" w:eastAsia="SimSun" w:cs="SimSun"/>
          <w:sz w:val="17"/>
          <w:szCs w:val="17"/>
        </w:rPr>
      </w:pPr>
      <w:r>
        <w:rPr>
          <w:rFonts w:ascii="SimSun" w:hAnsi="SimSun" w:eastAsia="SimSun" w:cs="SimSun"/>
          <w:sz w:val="17"/>
          <w:szCs w:val="17"/>
          <w:spacing w:val="-3"/>
        </w:rPr>
        <w:t>续表</w:t>
      </w:r>
    </w:p>
    <w:tbl>
      <w:tblPr>
        <w:tblStyle w:val="TableNormal"/>
        <w:tblW w:w="7660" w:type="dxa"/>
        <w:tblInd w:w="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4"/>
        <w:gridCol w:w="1188"/>
        <w:gridCol w:w="1768"/>
        <w:gridCol w:w="4020"/>
      </w:tblGrid>
      <w:tr>
        <w:trPr>
          <w:trHeight w:val="354" w:hRule="atLeast"/>
        </w:trPr>
        <w:tc>
          <w:tcPr>
            <w:tcW w:w="684" w:type="dxa"/>
            <w:vAlign w:val="top"/>
          </w:tcPr>
          <w:p>
            <w:pPr>
              <w:pStyle w:val="TableText"/>
              <w:ind w:left="105"/>
              <w:spacing w:before="102" w:line="221" w:lineRule="auto"/>
              <w:rPr/>
            </w:pPr>
            <w:r>
              <w:rPr>
                <w:spacing w:val="-3"/>
              </w:rPr>
              <w:t>序</w:t>
            </w:r>
            <w:r>
              <w:rPr>
                <w:spacing w:val="4"/>
              </w:rPr>
              <w:t xml:space="preserve">  </w:t>
            </w:r>
            <w:r>
              <w:rPr>
                <w:spacing w:val="-3"/>
              </w:rPr>
              <w:t>号</w:t>
            </w:r>
          </w:p>
        </w:tc>
        <w:tc>
          <w:tcPr>
            <w:tcW w:w="1188" w:type="dxa"/>
            <w:vAlign w:val="top"/>
          </w:tcPr>
          <w:p>
            <w:pPr>
              <w:pStyle w:val="TableText"/>
              <w:ind w:left="321"/>
              <w:spacing w:before="101" w:line="219" w:lineRule="auto"/>
              <w:rPr/>
            </w:pPr>
            <w:r>
              <w:rPr>
                <w:spacing w:val="-4"/>
              </w:rPr>
              <w:t>来</w:t>
            </w:r>
            <w:r>
              <w:rPr>
                <w:spacing w:val="1"/>
              </w:rPr>
              <w:t xml:space="preserve">   </w:t>
            </w:r>
            <w:r>
              <w:rPr>
                <w:spacing w:val="-4"/>
              </w:rPr>
              <w:t>源</w:t>
            </w:r>
          </w:p>
        </w:tc>
        <w:tc>
          <w:tcPr>
            <w:tcW w:w="1768" w:type="dxa"/>
            <w:vAlign w:val="top"/>
          </w:tcPr>
          <w:p>
            <w:pPr>
              <w:pStyle w:val="TableText"/>
              <w:ind w:left="613"/>
              <w:spacing w:before="101" w:line="219" w:lineRule="auto"/>
              <w:rPr/>
            </w:pPr>
            <w:r>
              <w:rPr>
                <w:spacing w:val="-4"/>
              </w:rPr>
              <w:t>术</w:t>
            </w:r>
            <w:r>
              <w:rPr>
                <w:spacing w:val="1"/>
              </w:rPr>
              <w:t xml:space="preserve">   </w:t>
            </w:r>
            <w:r>
              <w:rPr>
                <w:spacing w:val="-4"/>
              </w:rPr>
              <w:t>语</w:t>
            </w:r>
          </w:p>
        </w:tc>
        <w:tc>
          <w:tcPr>
            <w:tcW w:w="4020" w:type="dxa"/>
            <w:vAlign w:val="top"/>
          </w:tcPr>
          <w:p>
            <w:pPr>
              <w:pStyle w:val="TableText"/>
              <w:ind w:left="1715"/>
              <w:spacing w:before="103" w:line="221" w:lineRule="auto"/>
              <w:rPr/>
            </w:pPr>
            <w:r>
              <w:rPr>
                <w:spacing w:val="-4"/>
              </w:rPr>
              <w:t>描</w:t>
            </w:r>
            <w:r>
              <w:rPr>
                <w:spacing w:val="1"/>
              </w:rPr>
              <w:t xml:space="preserve">   </w:t>
            </w:r>
            <w:r>
              <w:rPr>
                <w:spacing w:val="-4"/>
              </w:rPr>
              <w:t>述</w:t>
            </w:r>
          </w:p>
        </w:tc>
      </w:tr>
      <w:tr>
        <w:trPr>
          <w:trHeight w:val="609" w:hRule="atLeast"/>
        </w:trPr>
        <w:tc>
          <w:tcPr>
            <w:tcW w:w="684" w:type="dxa"/>
            <w:vAlign w:val="top"/>
          </w:tcPr>
          <w:p>
            <w:pPr>
              <w:pStyle w:val="TableText"/>
              <w:ind w:left="295"/>
              <w:spacing w:before="266" w:line="182" w:lineRule="auto"/>
              <w:rPr/>
            </w:pPr>
            <w:r>
              <w:rPr/>
              <w:t>7</w:t>
            </w:r>
          </w:p>
        </w:tc>
        <w:tc>
          <w:tcPr>
            <w:tcW w:w="1188" w:type="dxa"/>
            <w:vAlign w:val="top"/>
          </w:tcPr>
          <w:p>
            <w:pPr>
              <w:pStyle w:val="TableText"/>
              <w:ind w:left="281"/>
              <w:spacing w:before="227" w:line="219" w:lineRule="auto"/>
              <w:rPr/>
            </w:pPr>
            <w:r>
              <w:rPr>
                <w:spacing w:val="-2"/>
              </w:rPr>
              <w:t>客户类型</w:t>
            </w:r>
          </w:p>
        </w:tc>
        <w:tc>
          <w:tcPr>
            <w:tcW w:w="1768" w:type="dxa"/>
            <w:vAlign w:val="top"/>
          </w:tcPr>
          <w:p>
            <w:pPr>
              <w:pStyle w:val="TableText"/>
              <w:ind w:left="423"/>
              <w:spacing w:before="227" w:line="219" w:lineRule="auto"/>
              <w:rPr/>
            </w:pPr>
            <w:r>
              <w:rPr>
                <w:spacing w:val="-1"/>
              </w:rPr>
              <w:t>客户类型编码</w:t>
            </w:r>
          </w:p>
        </w:tc>
        <w:tc>
          <w:tcPr>
            <w:tcW w:w="4020" w:type="dxa"/>
            <w:vAlign w:val="top"/>
          </w:tcPr>
          <w:p>
            <w:pPr>
              <w:pStyle w:val="TableText"/>
              <w:ind w:left="135"/>
              <w:spacing w:before="107" w:line="219" w:lineRule="auto"/>
              <w:rPr/>
            </w:pPr>
            <w:r>
              <w:rPr>
                <w:spacing w:val="-1"/>
              </w:rPr>
              <w:t>0单位用户，客户编码对应单位用户的客户编码</w:t>
            </w:r>
          </w:p>
          <w:p>
            <w:pPr>
              <w:pStyle w:val="TableText"/>
              <w:ind w:left="135"/>
              <w:spacing w:before="102" w:line="219" w:lineRule="auto"/>
              <w:rPr/>
            </w:pPr>
            <w:r>
              <w:rPr>
                <w:spacing w:val="-1"/>
              </w:rPr>
              <w:t>1个人用户，客户编码对应个人用户表的客户编码</w:t>
            </w:r>
          </w:p>
        </w:tc>
      </w:tr>
      <w:tr>
        <w:trPr>
          <w:trHeight w:val="589" w:hRule="atLeast"/>
        </w:trPr>
        <w:tc>
          <w:tcPr>
            <w:tcW w:w="684" w:type="dxa"/>
            <w:vAlign w:val="top"/>
          </w:tcPr>
          <w:p>
            <w:pPr>
              <w:pStyle w:val="TableText"/>
              <w:ind w:left="295"/>
              <w:spacing w:before="256" w:line="183" w:lineRule="auto"/>
              <w:rPr/>
            </w:pPr>
            <w:r>
              <w:rPr/>
              <w:t>8</w:t>
            </w:r>
          </w:p>
        </w:tc>
        <w:tc>
          <w:tcPr>
            <w:tcW w:w="1188" w:type="dxa"/>
            <w:vAlign w:val="top"/>
          </w:tcPr>
          <w:p>
            <w:pPr>
              <w:pStyle w:val="TableText"/>
              <w:ind w:left="281"/>
              <w:spacing w:before="218" w:line="219" w:lineRule="auto"/>
              <w:rPr/>
            </w:pPr>
            <w:r>
              <w:rPr>
                <w:spacing w:val="1"/>
              </w:rPr>
              <w:t>回收状态</w:t>
            </w:r>
          </w:p>
        </w:tc>
        <w:tc>
          <w:tcPr>
            <w:tcW w:w="1768" w:type="dxa"/>
            <w:vAlign w:val="top"/>
          </w:tcPr>
          <w:p>
            <w:pPr>
              <w:pStyle w:val="TableText"/>
              <w:ind w:left="423"/>
              <w:spacing w:before="218" w:line="219" w:lineRule="auto"/>
              <w:rPr/>
            </w:pPr>
            <w:r>
              <w:rPr>
                <w:spacing w:val="1"/>
              </w:rPr>
              <w:t>回收状态编码</w:t>
            </w:r>
          </w:p>
        </w:tc>
        <w:tc>
          <w:tcPr>
            <w:tcW w:w="4020" w:type="dxa"/>
            <w:vAlign w:val="top"/>
          </w:tcPr>
          <w:p>
            <w:pPr>
              <w:pStyle w:val="TableText"/>
              <w:ind w:left="135" w:right="118" w:firstLine="139"/>
              <w:spacing w:before="98" w:line="276" w:lineRule="auto"/>
              <w:rPr/>
            </w:pPr>
            <w:r>
              <w:rPr/>
              <w:t>0当天回收，可以继续发行；1注销回收，必须退库到中</w:t>
            </w:r>
            <w:r>
              <w:rPr>
                <w:spacing w:val="15"/>
              </w:rPr>
              <w:t xml:space="preserve"> </w:t>
            </w:r>
            <w:r>
              <w:rPr>
                <w:spacing w:val="-2"/>
              </w:rPr>
              <w:t>心；2其他</w:t>
            </w:r>
          </w:p>
        </w:tc>
      </w:tr>
      <w:tr>
        <w:trPr>
          <w:trHeight w:val="1138" w:hRule="atLeast"/>
        </w:trPr>
        <w:tc>
          <w:tcPr>
            <w:tcW w:w="684" w:type="dxa"/>
            <w:vAlign w:val="top"/>
          </w:tcPr>
          <w:p>
            <w:pPr>
              <w:spacing w:line="243" w:lineRule="auto"/>
              <w:rPr>
                <w:rFonts w:ascii="Arial"/>
                <w:sz w:val="21"/>
              </w:rPr>
            </w:pPr>
            <w:r/>
          </w:p>
          <w:p>
            <w:pPr>
              <w:spacing w:line="243" w:lineRule="auto"/>
              <w:rPr>
                <w:rFonts w:ascii="Arial"/>
                <w:sz w:val="21"/>
              </w:rPr>
            </w:pPr>
            <w:r/>
          </w:p>
          <w:p>
            <w:pPr>
              <w:pStyle w:val="TableText"/>
              <w:ind w:left="295"/>
              <w:spacing w:before="48" w:line="183" w:lineRule="auto"/>
              <w:rPr/>
            </w:pPr>
            <w:r>
              <w:rPr/>
              <w:t>9</w:t>
            </w:r>
          </w:p>
        </w:tc>
        <w:tc>
          <w:tcPr>
            <w:tcW w:w="1188" w:type="dxa"/>
            <w:vAlign w:val="top"/>
          </w:tcPr>
          <w:p>
            <w:pPr>
              <w:spacing w:line="447" w:lineRule="auto"/>
              <w:rPr>
                <w:rFonts w:ascii="Arial"/>
                <w:sz w:val="21"/>
              </w:rPr>
            </w:pPr>
            <w:r/>
          </w:p>
          <w:p>
            <w:pPr>
              <w:pStyle w:val="TableText"/>
              <w:ind w:left="281"/>
              <w:spacing w:before="49" w:line="219" w:lineRule="auto"/>
              <w:rPr/>
            </w:pPr>
            <w:r>
              <w:rPr>
                <w:spacing w:val="-2"/>
              </w:rPr>
              <w:t>服务类型</w:t>
            </w:r>
          </w:p>
        </w:tc>
        <w:tc>
          <w:tcPr>
            <w:tcW w:w="1768" w:type="dxa"/>
            <w:vAlign w:val="top"/>
          </w:tcPr>
          <w:p>
            <w:pPr>
              <w:spacing w:line="447" w:lineRule="auto"/>
              <w:rPr>
                <w:rFonts w:ascii="Arial"/>
                <w:sz w:val="21"/>
              </w:rPr>
            </w:pPr>
            <w:r/>
          </w:p>
          <w:p>
            <w:pPr>
              <w:pStyle w:val="TableText"/>
              <w:ind w:left="423"/>
              <w:spacing w:before="49" w:line="219" w:lineRule="auto"/>
              <w:rPr/>
            </w:pPr>
            <w:r>
              <w:rPr>
                <w:spacing w:val="-1"/>
              </w:rPr>
              <w:t>服务类型编码</w:t>
            </w:r>
          </w:p>
        </w:tc>
        <w:tc>
          <w:tcPr>
            <w:tcW w:w="4020" w:type="dxa"/>
            <w:vAlign w:val="top"/>
          </w:tcPr>
          <w:p>
            <w:pPr>
              <w:pStyle w:val="TableText"/>
              <w:ind w:left="125" w:right="139" w:firstLine="140"/>
              <w:spacing w:before="100" w:line="313" w:lineRule="auto"/>
              <w:rPr/>
            </w:pPr>
            <w:r>
              <w:rPr>
                <w:spacing w:val="-1"/>
              </w:rPr>
              <w:t>0服务费，1退卡购置费入账户，3服务费扣除，9购置</w:t>
            </w:r>
            <w:r>
              <w:rPr>
                <w:spacing w:val="5"/>
              </w:rPr>
              <w:t xml:space="preserve">   </w:t>
            </w:r>
            <w:r>
              <w:rPr/>
              <w:t>费，10记账卡押金，11挂失费，12挂失费冲正，13挂失</w:t>
            </w:r>
            <w:r>
              <w:rPr>
                <w:spacing w:val="2"/>
              </w:rPr>
              <w:t xml:space="preserve">   </w:t>
            </w:r>
            <w:r>
              <w:rPr/>
              <w:t>费被冲正，14更换费，15更换费冲正，16更</w:t>
            </w:r>
            <w:r>
              <w:rPr>
                <w:spacing w:val="-1"/>
              </w:rPr>
              <w:t>换费被冲正，</w:t>
            </w:r>
            <w:r>
              <w:rPr/>
              <w:t xml:space="preserve"> </w:t>
            </w:r>
            <w:r>
              <w:rPr>
                <w:spacing w:val="2"/>
              </w:rPr>
              <w:t>99修改充值信息，不更新账户</w:t>
            </w:r>
          </w:p>
        </w:tc>
      </w:tr>
      <w:tr>
        <w:trPr>
          <w:trHeight w:val="599" w:hRule="atLeast"/>
        </w:trPr>
        <w:tc>
          <w:tcPr>
            <w:tcW w:w="684" w:type="dxa"/>
            <w:vAlign w:val="top"/>
          </w:tcPr>
          <w:p>
            <w:pPr>
              <w:pStyle w:val="TableText"/>
              <w:ind w:left="255"/>
              <w:spacing w:before="269" w:line="184" w:lineRule="auto"/>
              <w:rPr/>
            </w:pPr>
            <w:r>
              <w:rPr>
                <w:spacing w:val="-5"/>
              </w:rPr>
              <w:t>10</w:t>
            </w:r>
          </w:p>
        </w:tc>
        <w:tc>
          <w:tcPr>
            <w:tcW w:w="1188" w:type="dxa"/>
            <w:vAlign w:val="top"/>
          </w:tcPr>
          <w:p>
            <w:pPr>
              <w:pStyle w:val="TableText"/>
              <w:ind w:left="281"/>
              <w:spacing w:before="231" w:line="220" w:lineRule="auto"/>
              <w:rPr/>
            </w:pPr>
            <w:r>
              <w:rPr>
                <w:spacing w:val="-2"/>
              </w:rPr>
              <w:t>绑定标志</w:t>
            </w:r>
          </w:p>
        </w:tc>
        <w:tc>
          <w:tcPr>
            <w:tcW w:w="1768" w:type="dxa"/>
            <w:vAlign w:val="top"/>
          </w:tcPr>
          <w:p>
            <w:pPr>
              <w:rPr>
                <w:rFonts w:ascii="Arial"/>
                <w:sz w:val="21"/>
              </w:rPr>
            </w:pPr>
            <w:r/>
          </w:p>
        </w:tc>
        <w:tc>
          <w:tcPr>
            <w:tcW w:w="4020" w:type="dxa"/>
            <w:vAlign w:val="top"/>
          </w:tcPr>
          <w:p>
            <w:pPr>
              <w:pStyle w:val="TableText"/>
              <w:ind w:left="135" w:right="301" w:firstLine="130"/>
              <w:spacing w:before="111" w:line="279" w:lineRule="auto"/>
              <w:rPr/>
            </w:pPr>
            <w:r>
              <w:rPr>
                <w:spacing w:val="-1"/>
              </w:rPr>
              <w:t>0不绑定，1绑定，如果绑定，在0016文件的证件类型</w:t>
            </w:r>
            <w:r>
              <w:rPr>
                <w:spacing w:val="17"/>
              </w:rPr>
              <w:t xml:space="preserve"> </w:t>
            </w:r>
            <w:r>
              <w:rPr>
                <w:spacing w:val="-1"/>
              </w:rPr>
              <w:t>是22,证件号是车牌号</w:t>
            </w:r>
          </w:p>
        </w:tc>
      </w:tr>
      <w:tr>
        <w:trPr>
          <w:trHeight w:val="359" w:hRule="atLeast"/>
        </w:trPr>
        <w:tc>
          <w:tcPr>
            <w:tcW w:w="684" w:type="dxa"/>
            <w:vAlign w:val="top"/>
          </w:tcPr>
          <w:p>
            <w:pPr>
              <w:pStyle w:val="TableText"/>
              <w:ind w:left="255"/>
              <w:spacing w:before="150" w:line="184" w:lineRule="auto"/>
              <w:rPr/>
            </w:pPr>
            <w:r>
              <w:rPr>
                <w:spacing w:val="-5"/>
              </w:rPr>
              <w:t>11</w:t>
            </w:r>
          </w:p>
        </w:tc>
        <w:tc>
          <w:tcPr>
            <w:tcW w:w="1188" w:type="dxa"/>
            <w:vAlign w:val="top"/>
          </w:tcPr>
          <w:p>
            <w:pPr>
              <w:pStyle w:val="TableText"/>
              <w:ind w:left="281"/>
              <w:spacing w:before="112" w:line="219" w:lineRule="auto"/>
              <w:rPr/>
            </w:pPr>
            <w:r>
              <w:rPr>
                <w:spacing w:val="-1"/>
              </w:rPr>
              <w:t>模块授权</w:t>
            </w:r>
          </w:p>
        </w:tc>
        <w:tc>
          <w:tcPr>
            <w:tcW w:w="1768" w:type="dxa"/>
            <w:vAlign w:val="top"/>
          </w:tcPr>
          <w:p>
            <w:pPr>
              <w:rPr>
                <w:rFonts w:ascii="Arial"/>
                <w:sz w:val="21"/>
              </w:rPr>
            </w:pPr>
            <w:r/>
          </w:p>
        </w:tc>
        <w:tc>
          <w:tcPr>
            <w:tcW w:w="4020" w:type="dxa"/>
            <w:vAlign w:val="top"/>
          </w:tcPr>
          <w:p>
            <w:pPr>
              <w:pStyle w:val="TableText"/>
              <w:ind w:left="135"/>
              <w:spacing w:before="112" w:line="219" w:lineRule="auto"/>
              <w:rPr/>
            </w:pPr>
            <w:r>
              <w:rPr>
                <w:spacing w:val="-1"/>
              </w:rPr>
              <w:t>0不需要授权，1任务模块需要授权，2功能模块</w:t>
            </w:r>
          </w:p>
        </w:tc>
      </w:tr>
      <w:tr>
        <w:trPr>
          <w:trHeight w:val="349" w:hRule="atLeast"/>
        </w:trPr>
        <w:tc>
          <w:tcPr>
            <w:tcW w:w="684" w:type="dxa"/>
            <w:vAlign w:val="top"/>
          </w:tcPr>
          <w:p>
            <w:pPr>
              <w:pStyle w:val="TableText"/>
              <w:ind w:left="255"/>
              <w:spacing w:before="141" w:line="184" w:lineRule="auto"/>
              <w:rPr/>
            </w:pPr>
            <w:r>
              <w:rPr>
                <w:spacing w:val="-5"/>
              </w:rPr>
              <w:t>12</w:t>
            </w:r>
          </w:p>
        </w:tc>
        <w:tc>
          <w:tcPr>
            <w:tcW w:w="1188" w:type="dxa"/>
            <w:vAlign w:val="top"/>
          </w:tcPr>
          <w:p>
            <w:pPr>
              <w:pStyle w:val="TableText"/>
              <w:ind w:left="281"/>
              <w:spacing w:before="103" w:line="220" w:lineRule="auto"/>
              <w:rPr/>
            </w:pPr>
            <w:r>
              <w:rPr>
                <w:spacing w:val="-2"/>
              </w:rPr>
              <w:t>主卡标识</w:t>
            </w:r>
          </w:p>
        </w:tc>
        <w:tc>
          <w:tcPr>
            <w:tcW w:w="1768" w:type="dxa"/>
            <w:vAlign w:val="top"/>
          </w:tcPr>
          <w:p>
            <w:pPr>
              <w:rPr>
                <w:rFonts w:ascii="Arial"/>
                <w:sz w:val="21"/>
              </w:rPr>
            </w:pPr>
            <w:r/>
          </w:p>
        </w:tc>
        <w:tc>
          <w:tcPr>
            <w:tcW w:w="4020" w:type="dxa"/>
            <w:vAlign w:val="top"/>
          </w:tcPr>
          <w:p>
            <w:pPr>
              <w:pStyle w:val="TableText"/>
              <w:ind w:left="135"/>
              <w:spacing w:before="103" w:line="219" w:lineRule="auto"/>
              <w:rPr/>
            </w:pPr>
            <w:r>
              <w:rPr>
                <w:spacing w:val="-1"/>
              </w:rPr>
              <w:t>0副卡，1主卡</w:t>
            </w:r>
          </w:p>
        </w:tc>
      </w:tr>
      <w:tr>
        <w:trPr>
          <w:trHeight w:val="339" w:hRule="atLeast"/>
        </w:trPr>
        <w:tc>
          <w:tcPr>
            <w:tcW w:w="684" w:type="dxa"/>
            <w:vAlign w:val="top"/>
          </w:tcPr>
          <w:p>
            <w:pPr>
              <w:pStyle w:val="TableText"/>
              <w:ind w:left="255"/>
              <w:spacing w:before="142" w:line="184" w:lineRule="auto"/>
              <w:rPr/>
            </w:pPr>
            <w:r>
              <w:rPr>
                <w:spacing w:val="-5"/>
              </w:rPr>
              <w:t>13</w:t>
            </w:r>
          </w:p>
        </w:tc>
        <w:tc>
          <w:tcPr>
            <w:tcW w:w="1188" w:type="dxa"/>
            <w:vAlign w:val="top"/>
          </w:tcPr>
          <w:p>
            <w:pPr>
              <w:pStyle w:val="TableText"/>
              <w:ind w:left="281"/>
              <w:spacing w:before="104" w:line="220" w:lineRule="auto"/>
              <w:rPr/>
            </w:pPr>
            <w:r>
              <w:rPr>
                <w:spacing w:val="-2"/>
              </w:rPr>
              <w:t>所属标志</w:t>
            </w:r>
          </w:p>
        </w:tc>
        <w:tc>
          <w:tcPr>
            <w:tcW w:w="1768" w:type="dxa"/>
            <w:vAlign w:val="top"/>
          </w:tcPr>
          <w:p>
            <w:pPr>
              <w:rPr>
                <w:rFonts w:ascii="Arial"/>
                <w:sz w:val="21"/>
              </w:rPr>
            </w:pPr>
            <w:r/>
          </w:p>
        </w:tc>
        <w:tc>
          <w:tcPr>
            <w:tcW w:w="4020" w:type="dxa"/>
            <w:vAlign w:val="top"/>
          </w:tcPr>
          <w:p>
            <w:pPr>
              <w:pStyle w:val="TableText"/>
              <w:ind w:left="135"/>
              <w:spacing w:before="103" w:line="219" w:lineRule="auto"/>
              <w:rPr/>
            </w:pPr>
            <w:r>
              <w:rPr>
                <w:spacing w:val="-1"/>
              </w:rPr>
              <w:t>0非系统职工，1本系统职工</w:t>
            </w:r>
          </w:p>
        </w:tc>
      </w:tr>
      <w:tr>
        <w:trPr>
          <w:trHeight w:val="364" w:hRule="atLeast"/>
        </w:trPr>
        <w:tc>
          <w:tcPr>
            <w:tcW w:w="684" w:type="dxa"/>
            <w:vAlign w:val="top"/>
          </w:tcPr>
          <w:p>
            <w:pPr>
              <w:pStyle w:val="TableText"/>
              <w:ind w:left="255"/>
              <w:spacing w:before="153" w:line="184" w:lineRule="auto"/>
              <w:rPr/>
            </w:pPr>
            <w:r>
              <w:rPr>
                <w:spacing w:val="-5"/>
              </w:rPr>
              <w:t>14</w:t>
            </w:r>
          </w:p>
        </w:tc>
        <w:tc>
          <w:tcPr>
            <w:tcW w:w="1188" w:type="dxa"/>
            <w:vAlign w:val="top"/>
          </w:tcPr>
          <w:p>
            <w:pPr>
              <w:pStyle w:val="TableText"/>
              <w:ind w:left="281"/>
              <w:spacing w:before="115" w:line="219" w:lineRule="auto"/>
              <w:rPr/>
            </w:pPr>
            <w:r>
              <w:rPr>
                <w:spacing w:val="-1"/>
              </w:rPr>
              <w:t>存储类型</w:t>
            </w:r>
          </w:p>
        </w:tc>
        <w:tc>
          <w:tcPr>
            <w:tcW w:w="1768" w:type="dxa"/>
            <w:vAlign w:val="top"/>
          </w:tcPr>
          <w:p>
            <w:pPr>
              <w:rPr>
                <w:rFonts w:ascii="Arial"/>
                <w:sz w:val="21"/>
              </w:rPr>
            </w:pPr>
            <w:r/>
          </w:p>
        </w:tc>
        <w:tc>
          <w:tcPr>
            <w:tcW w:w="4020" w:type="dxa"/>
            <w:vAlign w:val="top"/>
          </w:tcPr>
          <w:p>
            <w:pPr>
              <w:pStyle w:val="TableText"/>
              <w:ind w:left="135"/>
              <w:spacing w:before="115" w:line="219" w:lineRule="auto"/>
              <w:rPr/>
            </w:pPr>
            <w:r>
              <w:rPr>
                <w:spacing w:val="-1"/>
              </w:rPr>
              <w:t>0预付费，1后付费</w:t>
            </w:r>
          </w:p>
        </w:tc>
      </w:tr>
    </w:tbl>
    <w:p>
      <w:pPr>
        <w:pStyle w:val="BodyText"/>
        <w:spacing w:line="259" w:lineRule="auto"/>
        <w:rPr/>
      </w:pPr>
      <w:r/>
    </w:p>
    <w:p>
      <w:pPr>
        <w:ind w:left="713"/>
        <w:spacing w:before="68" w:line="225" w:lineRule="auto"/>
        <w:outlineLvl w:val="6"/>
        <w:rPr>
          <w:rFonts w:ascii="YouYuan" w:hAnsi="YouYuan" w:eastAsia="YouYuan" w:cs="YouYuan"/>
          <w:sz w:val="21"/>
          <w:szCs w:val="21"/>
        </w:rPr>
      </w:pPr>
      <w:r>
        <w:rPr>
          <w:rFonts w:ascii="YouYuan" w:hAnsi="YouYuan" w:eastAsia="YouYuan" w:cs="YouYuan"/>
          <w:sz w:val="21"/>
          <w:szCs w:val="21"/>
          <w:b/>
          <w:bCs/>
          <w:spacing w:val="8"/>
        </w:rPr>
        <w:t>3.</w:t>
      </w:r>
      <w:r>
        <w:rPr>
          <w:rFonts w:ascii="YouYuan" w:hAnsi="YouYuan" w:eastAsia="YouYuan" w:cs="YouYuan"/>
          <w:sz w:val="21"/>
          <w:szCs w:val="21"/>
          <w:spacing w:val="8"/>
        </w:rPr>
        <w:t xml:space="preserve"> </w:t>
      </w:r>
      <w:r>
        <w:rPr>
          <w:rFonts w:ascii="YouYuan" w:hAnsi="YouYuan" w:eastAsia="YouYuan" w:cs="YouYuan"/>
          <w:sz w:val="21"/>
          <w:szCs w:val="21"/>
          <w:b/>
          <w:bCs/>
          <w:spacing w:val="8"/>
        </w:rPr>
        <w:t>管理元数据</w:t>
      </w:r>
    </w:p>
    <w:p>
      <w:pPr>
        <w:ind w:left="310" w:right="45" w:firstLine="400"/>
        <w:spacing w:before="241" w:line="263" w:lineRule="auto"/>
        <w:rPr>
          <w:rFonts w:ascii="SimSun" w:hAnsi="SimSun" w:eastAsia="SimSun" w:cs="SimSun"/>
          <w:sz w:val="21"/>
          <w:szCs w:val="21"/>
        </w:rPr>
      </w:pPr>
      <w:r>
        <w:rPr>
          <w:rFonts w:ascii="SimSun" w:hAnsi="SimSun" w:eastAsia="SimSun" w:cs="SimSun"/>
          <w:sz w:val="21"/>
          <w:szCs w:val="21"/>
          <w:spacing w:val="-4"/>
        </w:rPr>
        <w:t>元数据是关于数据的数据，是最小的数据单位。元数据可以为数据说明其元</w:t>
      </w:r>
      <w:r>
        <w:rPr>
          <w:rFonts w:ascii="SimSun" w:hAnsi="SimSun" w:eastAsia="SimSun" w:cs="SimSun"/>
          <w:sz w:val="21"/>
          <w:szCs w:val="21"/>
          <w:spacing w:val="-5"/>
        </w:rPr>
        <w:t>素或</w:t>
      </w:r>
      <w:r>
        <w:rPr>
          <w:rFonts w:ascii="SimSun" w:hAnsi="SimSun" w:eastAsia="SimSun" w:cs="SimSun"/>
          <w:sz w:val="21"/>
          <w:szCs w:val="21"/>
        </w:rPr>
        <w:t xml:space="preserve"> </w:t>
      </w:r>
      <w:r>
        <w:rPr>
          <w:rFonts w:ascii="SimSun" w:hAnsi="SimSun" w:eastAsia="SimSun" w:cs="SimSun"/>
          <w:sz w:val="21"/>
          <w:szCs w:val="21"/>
          <w:spacing w:val="7"/>
        </w:rPr>
        <w:t>属性(名称、大小、数据类型等),或其结构(长度、字段、数据列),或</w:t>
      </w:r>
      <w:r>
        <w:rPr>
          <w:rFonts w:ascii="SimSun" w:hAnsi="SimSun" w:eastAsia="SimSun" w:cs="SimSun"/>
          <w:sz w:val="21"/>
          <w:szCs w:val="21"/>
          <w:spacing w:val="6"/>
        </w:rPr>
        <w:t>其相关数据</w:t>
      </w:r>
      <w:r>
        <w:rPr>
          <w:rFonts w:ascii="SimSun" w:hAnsi="SimSun" w:eastAsia="SimSun" w:cs="SimSun"/>
          <w:sz w:val="21"/>
          <w:szCs w:val="21"/>
        </w:rPr>
        <w:t xml:space="preserve"> </w:t>
      </w:r>
      <w:r>
        <w:rPr>
          <w:rFonts w:ascii="SimSun" w:hAnsi="SimSun" w:eastAsia="SimSun" w:cs="SimSun"/>
          <w:sz w:val="21"/>
          <w:szCs w:val="21"/>
          <w:spacing w:val="-1"/>
        </w:rPr>
        <w:t>(位于何处、如何联系、拥有者),其作用类似于图书馆的书籍目</w:t>
      </w:r>
      <w:r>
        <w:rPr>
          <w:rFonts w:ascii="SimSun" w:hAnsi="SimSun" w:eastAsia="SimSun" w:cs="SimSun"/>
          <w:sz w:val="21"/>
          <w:szCs w:val="21"/>
          <w:spacing w:val="-2"/>
        </w:rPr>
        <w:t>录或中图分类号。图</w:t>
      </w:r>
      <w:r>
        <w:rPr>
          <w:rFonts w:ascii="SimSun" w:hAnsi="SimSun" w:eastAsia="SimSun" w:cs="SimSun"/>
          <w:sz w:val="21"/>
          <w:szCs w:val="21"/>
        </w:rPr>
        <w:t xml:space="preserve"> </w:t>
      </w:r>
      <w:r>
        <w:rPr>
          <w:rFonts w:ascii="SimSun" w:hAnsi="SimSun" w:eastAsia="SimSun" w:cs="SimSun"/>
          <w:sz w:val="21"/>
          <w:szCs w:val="21"/>
          <w:spacing w:val="-4"/>
        </w:rPr>
        <w:t>书馆藏书上百万套，如果没有一个数据系统能够指引读者快速定位到</w:t>
      </w:r>
      <w:r>
        <w:rPr>
          <w:rFonts w:ascii="SimSun" w:hAnsi="SimSun" w:eastAsia="SimSun" w:cs="SimSun"/>
          <w:sz w:val="21"/>
          <w:szCs w:val="21"/>
          <w:spacing w:val="-5"/>
        </w:rPr>
        <w:t>读者所需书籍的</w:t>
      </w:r>
      <w:r>
        <w:rPr>
          <w:rFonts w:ascii="SimSun" w:hAnsi="SimSun" w:eastAsia="SimSun" w:cs="SimSun"/>
          <w:sz w:val="21"/>
          <w:szCs w:val="21"/>
        </w:rPr>
        <w:t xml:space="preserve"> </w:t>
      </w:r>
      <w:r>
        <w:rPr>
          <w:rFonts w:ascii="SimSun" w:hAnsi="SimSun" w:eastAsia="SimSun" w:cs="SimSun"/>
          <w:sz w:val="21"/>
          <w:szCs w:val="21"/>
          <w:spacing w:val="-4"/>
        </w:rPr>
        <w:t>大致位置，读者是无法从百万级书籍中找到自己想要的那</w:t>
      </w:r>
      <w:r>
        <w:rPr>
          <w:rFonts w:ascii="SimSun" w:hAnsi="SimSun" w:eastAsia="SimSun" w:cs="SimSun"/>
          <w:sz w:val="21"/>
          <w:szCs w:val="21"/>
          <w:spacing w:val="-5"/>
        </w:rPr>
        <w:t>本的。图书标识码基于统一</w:t>
      </w:r>
      <w:r>
        <w:rPr>
          <w:rFonts w:ascii="SimSun" w:hAnsi="SimSun" w:eastAsia="SimSun" w:cs="SimSun"/>
          <w:sz w:val="21"/>
          <w:szCs w:val="21"/>
        </w:rPr>
        <w:t xml:space="preserve"> </w:t>
      </w:r>
      <w:r>
        <w:rPr>
          <w:rFonts w:ascii="SimSun" w:hAnsi="SimSun" w:eastAsia="SimSun" w:cs="SimSun"/>
          <w:sz w:val="21"/>
          <w:szCs w:val="21"/>
          <w:spacing w:val="-4"/>
        </w:rPr>
        <w:t>的分类原则，将图书进行分类，采用二级目录便能够快速定位其所在位置。</w:t>
      </w:r>
    </w:p>
    <w:p>
      <w:pPr>
        <w:ind w:left="310" w:right="56" w:firstLine="400"/>
        <w:spacing w:before="71" w:line="246" w:lineRule="auto"/>
        <w:rPr>
          <w:rFonts w:ascii="SimSun" w:hAnsi="SimSun" w:eastAsia="SimSun" w:cs="SimSun"/>
          <w:sz w:val="21"/>
          <w:szCs w:val="21"/>
        </w:rPr>
      </w:pPr>
      <w:r>
        <w:rPr>
          <w:rFonts w:ascii="SimSun" w:hAnsi="SimSun" w:eastAsia="SimSun" w:cs="SimSun"/>
          <w:sz w:val="21"/>
          <w:szCs w:val="21"/>
          <w:spacing w:val="2"/>
        </w:rPr>
        <w:t>元数据管理是关于元数据的创建、存储、整合与控制等一整套流程的集合，通</w:t>
      </w:r>
      <w:r>
        <w:rPr>
          <w:rFonts w:ascii="SimSun" w:hAnsi="SimSun" w:eastAsia="SimSun" w:cs="SimSun"/>
          <w:sz w:val="21"/>
          <w:szCs w:val="21"/>
        </w:rPr>
        <w:t xml:space="preserve"> </w:t>
      </w:r>
      <w:r>
        <w:rPr>
          <w:rFonts w:ascii="SimSun" w:hAnsi="SimSun" w:eastAsia="SimSun" w:cs="SimSun"/>
          <w:sz w:val="21"/>
          <w:szCs w:val="21"/>
        </w:rPr>
        <w:t>过计划、实施和控制活动以实现轻松访问高质量的整合的元数据。</w:t>
      </w:r>
    </w:p>
    <w:p>
      <w:pPr>
        <w:ind w:left="310" w:right="78" w:firstLine="400"/>
        <w:spacing w:before="59" w:line="255" w:lineRule="auto"/>
        <w:rPr>
          <w:rFonts w:ascii="SimSun" w:hAnsi="SimSun" w:eastAsia="SimSun" w:cs="SimSun"/>
          <w:sz w:val="21"/>
          <w:szCs w:val="21"/>
        </w:rPr>
      </w:pPr>
      <w:r>
        <w:rPr>
          <w:rFonts w:ascii="SimSun" w:hAnsi="SimSun" w:eastAsia="SimSun" w:cs="SimSun"/>
          <w:sz w:val="21"/>
          <w:szCs w:val="21"/>
          <w:spacing w:val="1"/>
        </w:rPr>
        <w:t>元数据可以分为五类，业务元数据、技术元数据、操作元数据、流程元数据和</w:t>
      </w:r>
      <w:r>
        <w:rPr>
          <w:rFonts w:ascii="SimSun" w:hAnsi="SimSun" w:eastAsia="SimSun" w:cs="SimSun"/>
          <w:sz w:val="21"/>
          <w:szCs w:val="21"/>
          <w:spacing w:val="11"/>
        </w:rPr>
        <w:t xml:space="preserve"> </w:t>
      </w:r>
      <w:r>
        <w:rPr>
          <w:rFonts w:ascii="SimSun" w:hAnsi="SimSun" w:eastAsia="SimSun" w:cs="SimSun"/>
          <w:sz w:val="21"/>
          <w:szCs w:val="21"/>
          <w:spacing w:val="1"/>
        </w:rPr>
        <w:t>数据管理制度元数据，表11-3列出了这五种元数据的定义和示例。</w:t>
      </w:r>
    </w:p>
    <w:p>
      <w:pPr>
        <w:ind w:left="2962"/>
        <w:spacing w:before="97" w:line="222" w:lineRule="auto"/>
        <w:rPr>
          <w:rFonts w:ascii="SimHei" w:hAnsi="SimHei" w:eastAsia="SimHei" w:cs="SimHei"/>
          <w:sz w:val="21"/>
          <w:szCs w:val="21"/>
        </w:rPr>
      </w:pPr>
      <w:r>
        <w:rPr>
          <w:rFonts w:ascii="SimHei" w:hAnsi="SimHei" w:eastAsia="SimHei" w:cs="SimHei"/>
          <w:sz w:val="21"/>
          <w:szCs w:val="21"/>
          <w:b/>
          <w:bCs/>
          <w:spacing w:val="-23"/>
        </w:rPr>
        <w:t>表11-3</w:t>
      </w:r>
      <w:r>
        <w:rPr>
          <w:rFonts w:ascii="SimHei" w:hAnsi="SimHei" w:eastAsia="SimHei" w:cs="SimHei"/>
          <w:sz w:val="21"/>
          <w:szCs w:val="21"/>
          <w:spacing w:val="70"/>
        </w:rPr>
        <w:t xml:space="preserve"> </w:t>
      </w:r>
      <w:r>
        <w:rPr>
          <w:rFonts w:ascii="SimHei" w:hAnsi="SimHei" w:eastAsia="SimHei" w:cs="SimHei"/>
          <w:sz w:val="21"/>
          <w:szCs w:val="21"/>
          <w:b/>
          <w:bCs/>
          <w:spacing w:val="-23"/>
        </w:rPr>
        <w:t>元数据的定义和示例</w:t>
      </w:r>
    </w:p>
    <w:p>
      <w:pPr>
        <w:spacing w:line="98" w:lineRule="exact"/>
        <w:rPr/>
      </w:pPr>
      <w:r/>
    </w:p>
    <w:tbl>
      <w:tblPr>
        <w:tblStyle w:val="TableNormal"/>
        <w:tblW w:w="7660" w:type="dxa"/>
        <w:tblInd w:w="3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3"/>
        <w:gridCol w:w="2177"/>
        <w:gridCol w:w="3780"/>
      </w:tblGrid>
      <w:tr>
        <w:trPr>
          <w:trHeight w:val="353" w:hRule="atLeast"/>
        </w:trPr>
        <w:tc>
          <w:tcPr>
            <w:tcW w:w="1703" w:type="dxa"/>
            <w:vAlign w:val="top"/>
          </w:tcPr>
          <w:p>
            <w:pPr>
              <w:pStyle w:val="TableText"/>
              <w:ind w:left="575"/>
              <w:spacing w:before="101" w:line="219" w:lineRule="auto"/>
              <w:rPr/>
            </w:pPr>
            <w:r>
              <w:rPr>
                <w:spacing w:val="-3"/>
              </w:rPr>
              <w:t>类</w:t>
            </w:r>
            <w:r>
              <w:rPr>
                <w:spacing w:val="10"/>
              </w:rPr>
              <w:t xml:space="preserve">   </w:t>
            </w:r>
            <w:r>
              <w:rPr>
                <w:spacing w:val="-3"/>
              </w:rPr>
              <w:t>型</w:t>
            </w:r>
          </w:p>
        </w:tc>
        <w:tc>
          <w:tcPr>
            <w:tcW w:w="2177" w:type="dxa"/>
            <w:vAlign w:val="top"/>
          </w:tcPr>
          <w:p>
            <w:pPr>
              <w:pStyle w:val="TableText"/>
              <w:ind w:left="712"/>
              <w:spacing w:before="101" w:line="220" w:lineRule="auto"/>
              <w:rPr/>
            </w:pPr>
            <w:r>
              <w:rPr>
                <w:spacing w:val="3"/>
              </w:rPr>
              <w:t>定义或作用</w:t>
            </w:r>
          </w:p>
        </w:tc>
        <w:tc>
          <w:tcPr>
            <w:tcW w:w="3780" w:type="dxa"/>
            <w:vAlign w:val="top"/>
          </w:tcPr>
          <w:p>
            <w:pPr>
              <w:pStyle w:val="TableText"/>
              <w:ind w:left="1594"/>
              <w:spacing w:before="102" w:line="221" w:lineRule="auto"/>
              <w:rPr/>
            </w:pPr>
            <w:r>
              <w:rPr>
                <w:spacing w:val="-4"/>
              </w:rPr>
              <w:t>示</w:t>
            </w:r>
            <w:r>
              <w:rPr>
                <w:spacing w:val="1"/>
              </w:rPr>
              <w:t xml:space="preserve">    </w:t>
            </w:r>
            <w:r>
              <w:rPr>
                <w:spacing w:val="-4"/>
              </w:rPr>
              <w:t>例</w:t>
            </w:r>
          </w:p>
        </w:tc>
      </w:tr>
      <w:tr>
        <w:trPr>
          <w:trHeight w:val="597" w:hRule="atLeast"/>
        </w:trPr>
        <w:tc>
          <w:tcPr>
            <w:tcW w:w="1703" w:type="dxa"/>
            <w:vAlign w:val="top"/>
          </w:tcPr>
          <w:p>
            <w:pPr>
              <w:pStyle w:val="TableText"/>
              <w:ind w:left="465"/>
              <w:spacing w:before="228" w:line="219" w:lineRule="auto"/>
              <w:rPr/>
            </w:pPr>
            <w:r>
              <w:rPr>
                <w:spacing w:val="-1"/>
              </w:rPr>
              <w:t>业务元数据</w:t>
            </w:r>
          </w:p>
        </w:tc>
        <w:tc>
          <w:tcPr>
            <w:tcW w:w="2177" w:type="dxa"/>
            <w:vAlign w:val="top"/>
          </w:tcPr>
          <w:p>
            <w:pPr>
              <w:pStyle w:val="TableText"/>
              <w:ind w:left="112" w:right="122" w:firstLine="139"/>
              <w:spacing w:before="88" w:line="282" w:lineRule="auto"/>
              <w:rPr/>
            </w:pPr>
            <w:r>
              <w:rPr>
                <w:spacing w:val="-1"/>
              </w:rPr>
              <w:t>从业务角度描述了数据仓库</w:t>
            </w:r>
            <w:r>
              <w:rPr>
                <w:spacing w:val="3"/>
              </w:rPr>
              <w:t xml:space="preserve"> </w:t>
            </w:r>
            <w:r>
              <w:rPr>
                <w:spacing w:val="2"/>
              </w:rPr>
              <w:t>中的数据</w:t>
            </w:r>
          </w:p>
        </w:tc>
        <w:tc>
          <w:tcPr>
            <w:tcW w:w="3780" w:type="dxa"/>
            <w:vAlign w:val="top"/>
          </w:tcPr>
          <w:p>
            <w:pPr>
              <w:pStyle w:val="TableText"/>
              <w:ind w:left="125" w:firstLine="146"/>
              <w:spacing w:before="88" w:line="288" w:lineRule="auto"/>
              <w:rPr/>
            </w:pPr>
            <w:r>
              <w:rPr>
                <w:spacing w:val="-5"/>
              </w:rPr>
              <w:t>业务数据定义、业务规则、数据模型、数据质量描述、</w:t>
            </w:r>
            <w:r>
              <w:rPr>
                <w:spacing w:val="17"/>
              </w:rPr>
              <w:t xml:space="preserve"> </w:t>
            </w:r>
            <w:r>
              <w:rPr>
                <w:spacing w:val="-4"/>
              </w:rPr>
              <w:t>数据更新周期、历史数据可用性、监管或合同约束</w:t>
            </w:r>
          </w:p>
        </w:tc>
      </w:tr>
      <w:tr>
        <w:trPr>
          <w:trHeight w:val="870" w:hRule="atLeast"/>
        </w:trPr>
        <w:tc>
          <w:tcPr>
            <w:tcW w:w="1703" w:type="dxa"/>
            <w:vAlign w:val="top"/>
          </w:tcPr>
          <w:p>
            <w:pPr>
              <w:spacing w:line="310" w:lineRule="auto"/>
              <w:rPr>
                <w:rFonts w:ascii="Arial"/>
                <w:sz w:val="21"/>
              </w:rPr>
            </w:pPr>
            <w:r/>
          </w:p>
          <w:p>
            <w:pPr>
              <w:pStyle w:val="TableText"/>
              <w:ind w:left="465"/>
              <w:spacing w:before="49" w:line="219" w:lineRule="auto"/>
              <w:rPr/>
            </w:pPr>
            <w:r>
              <w:rPr>
                <w:spacing w:val="-2"/>
              </w:rPr>
              <w:t>技术元数据</w:t>
            </w:r>
          </w:p>
        </w:tc>
        <w:tc>
          <w:tcPr>
            <w:tcW w:w="2177" w:type="dxa"/>
            <w:vAlign w:val="top"/>
          </w:tcPr>
          <w:p>
            <w:pPr>
              <w:pStyle w:val="TableText"/>
              <w:ind w:left="112" w:right="89" w:firstLine="139"/>
              <w:spacing w:before="101" w:line="303" w:lineRule="auto"/>
              <w:jc w:val="both"/>
              <w:rPr/>
            </w:pPr>
            <w:r>
              <w:rPr>
                <w:spacing w:val="-1"/>
              </w:rPr>
              <w:t>物理数据层的数据资产实例</w:t>
            </w:r>
            <w:r>
              <w:rPr>
                <w:spacing w:val="5"/>
              </w:rPr>
              <w:t xml:space="preserve"> </w:t>
            </w:r>
            <w:r>
              <w:rPr>
                <w:spacing w:val="1"/>
              </w:rPr>
              <w:t>以及他们通过自动化过程所进 </w:t>
            </w:r>
            <w:r>
              <w:rPr>
                <w:spacing w:val="-2"/>
              </w:rPr>
              <w:t>行的转换</w:t>
            </w:r>
          </w:p>
        </w:tc>
        <w:tc>
          <w:tcPr>
            <w:tcW w:w="3780" w:type="dxa"/>
            <w:vAlign w:val="top"/>
          </w:tcPr>
          <w:p>
            <w:pPr>
              <w:pStyle w:val="TableText"/>
              <w:ind w:left="104" w:right="200" w:firstLine="170"/>
              <w:spacing w:before="240" w:line="276" w:lineRule="auto"/>
              <w:rPr/>
            </w:pPr>
            <w:r>
              <w:rPr>
                <w:spacing w:val="-1"/>
              </w:rPr>
              <w:t>物理数据库表名和制度名、字段属性、数据库存储</w:t>
            </w:r>
            <w:r>
              <w:rPr>
                <w:spacing w:val="15"/>
              </w:rPr>
              <w:t xml:space="preserve"> </w:t>
            </w:r>
            <w:r>
              <w:rPr>
                <w:spacing w:val="-2"/>
              </w:rPr>
              <w:t>特性</w:t>
            </w:r>
          </w:p>
        </w:tc>
      </w:tr>
    </w:tbl>
    <w:p>
      <w:pPr>
        <w:pStyle w:val="BodyText"/>
        <w:rPr/>
      </w:pPr>
      <w:r/>
    </w:p>
    <w:p>
      <w:pPr>
        <w:sectPr>
          <w:footerReference w:type="default" r:id="rId505"/>
          <w:pgSz w:w="8870" w:h="13400"/>
          <w:pgMar w:top="400" w:right="404" w:bottom="478" w:left="489" w:header="0" w:footer="269" w:gutter="0"/>
        </w:sectPr>
        <w:rPr/>
      </w:pPr>
    </w:p>
    <w:p>
      <w:pPr>
        <w:ind w:left="4578"/>
        <w:spacing w:before="214" w:line="219" w:lineRule="auto"/>
        <w:rPr>
          <w:rFonts w:ascii="SimSun" w:hAnsi="SimSun" w:eastAsia="SimSun" w:cs="SimSun"/>
          <w:sz w:val="21"/>
          <w:szCs w:val="21"/>
        </w:rPr>
      </w:pPr>
      <w:r>
        <w:rPr>
          <w:rFonts w:ascii="SimSun" w:hAnsi="SimSun" w:eastAsia="SimSun" w:cs="SimSun"/>
          <w:sz w:val="21"/>
          <w:szCs w:val="21"/>
          <w:b/>
          <w:bCs/>
          <w:spacing w:val="9"/>
        </w:rPr>
        <w:t>第11章■云端数据治理体系实施</w:t>
      </w:r>
    </w:p>
    <w:p>
      <w:pPr>
        <w:pStyle w:val="BodyText"/>
        <w:spacing w:line="326" w:lineRule="auto"/>
        <w:rPr/>
      </w:pPr>
      <w:r/>
    </w:p>
    <w:p>
      <w:pPr>
        <w:ind w:left="6925"/>
        <w:spacing w:before="55" w:line="215" w:lineRule="auto"/>
        <w:rPr>
          <w:rFonts w:ascii="SimSun" w:hAnsi="SimSun" w:eastAsia="SimSun" w:cs="SimSun"/>
          <w:sz w:val="17"/>
          <w:szCs w:val="17"/>
        </w:rPr>
      </w:pPr>
      <w:r>
        <w:rPr>
          <w:rFonts w:ascii="SimSun" w:hAnsi="SimSun" w:eastAsia="SimSun" w:cs="SimSun"/>
          <w:sz w:val="17"/>
          <w:szCs w:val="17"/>
          <w:spacing w:val="-3"/>
        </w:rPr>
        <w:t>续表</w:t>
      </w:r>
    </w:p>
    <w:tbl>
      <w:tblPr>
        <w:tblStyle w:val="TableNormal"/>
        <w:tblW w:w="765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82"/>
        <w:gridCol w:w="2197"/>
        <w:gridCol w:w="3780"/>
      </w:tblGrid>
      <w:tr>
        <w:trPr>
          <w:trHeight w:val="353" w:hRule="atLeast"/>
        </w:trPr>
        <w:tc>
          <w:tcPr>
            <w:tcW w:w="1682" w:type="dxa"/>
            <w:vAlign w:val="top"/>
          </w:tcPr>
          <w:p>
            <w:pPr>
              <w:pStyle w:val="TableText"/>
              <w:ind w:left="564"/>
              <w:spacing w:before="101" w:line="219" w:lineRule="auto"/>
              <w:rPr/>
            </w:pPr>
            <w:r>
              <w:rPr>
                <w:spacing w:val="-3"/>
              </w:rPr>
              <w:t>类</w:t>
            </w:r>
            <w:r>
              <w:rPr>
                <w:spacing w:val="10"/>
              </w:rPr>
              <w:t xml:space="preserve">   </w:t>
            </w:r>
            <w:r>
              <w:rPr>
                <w:spacing w:val="-3"/>
              </w:rPr>
              <w:t>型</w:t>
            </w:r>
          </w:p>
        </w:tc>
        <w:tc>
          <w:tcPr>
            <w:tcW w:w="2197" w:type="dxa"/>
            <w:vAlign w:val="top"/>
          </w:tcPr>
          <w:p>
            <w:pPr>
              <w:pStyle w:val="TableText"/>
              <w:ind w:left="722"/>
              <w:spacing w:before="101" w:line="220" w:lineRule="auto"/>
              <w:rPr/>
            </w:pPr>
            <w:r>
              <w:rPr>
                <w:spacing w:val="3"/>
              </w:rPr>
              <w:t>定义或作用</w:t>
            </w:r>
          </w:p>
        </w:tc>
        <w:tc>
          <w:tcPr>
            <w:tcW w:w="3780" w:type="dxa"/>
            <w:vAlign w:val="top"/>
          </w:tcPr>
          <w:p>
            <w:pPr>
              <w:pStyle w:val="TableText"/>
              <w:ind w:left="1595"/>
              <w:spacing w:before="102" w:line="221" w:lineRule="auto"/>
              <w:rPr/>
            </w:pPr>
            <w:r>
              <w:rPr>
                <w:spacing w:val="-4"/>
              </w:rPr>
              <w:t>示</w:t>
            </w:r>
            <w:r>
              <w:rPr>
                <w:spacing w:val="2"/>
              </w:rPr>
              <w:t xml:space="preserve">   </w:t>
            </w:r>
            <w:r>
              <w:rPr>
                <w:spacing w:val="-4"/>
              </w:rPr>
              <w:t>例</w:t>
            </w:r>
          </w:p>
        </w:tc>
      </w:tr>
      <w:tr>
        <w:trPr>
          <w:trHeight w:val="588" w:hRule="atLeast"/>
        </w:trPr>
        <w:tc>
          <w:tcPr>
            <w:tcW w:w="1682" w:type="dxa"/>
            <w:vAlign w:val="top"/>
          </w:tcPr>
          <w:p>
            <w:pPr>
              <w:pStyle w:val="TableText"/>
              <w:ind w:left="454"/>
              <w:spacing w:before="218" w:line="219" w:lineRule="auto"/>
              <w:rPr/>
            </w:pPr>
            <w:r>
              <w:rPr>
                <w:spacing w:val="-1"/>
              </w:rPr>
              <w:t>操作元数据</w:t>
            </w:r>
          </w:p>
        </w:tc>
        <w:tc>
          <w:tcPr>
            <w:tcW w:w="2197" w:type="dxa"/>
            <w:vAlign w:val="top"/>
          </w:tcPr>
          <w:p>
            <w:pPr>
              <w:pStyle w:val="TableText"/>
              <w:ind w:left="102" w:right="270" w:firstLine="170"/>
              <w:spacing w:before="97" w:line="282" w:lineRule="auto"/>
              <w:rPr/>
            </w:pPr>
            <w:r>
              <w:rPr>
                <w:spacing w:val="-1"/>
              </w:rPr>
              <w:t>提供管理信息以管理数据</w:t>
            </w:r>
            <w:r>
              <w:rPr>
                <w:spacing w:val="3"/>
              </w:rPr>
              <w:t xml:space="preserve"> </w:t>
            </w:r>
            <w:r>
              <w:rPr>
                <w:spacing w:val="4"/>
              </w:rPr>
              <w:t>资产</w:t>
            </w:r>
          </w:p>
        </w:tc>
        <w:tc>
          <w:tcPr>
            <w:tcW w:w="3780" w:type="dxa"/>
            <w:vAlign w:val="top"/>
          </w:tcPr>
          <w:p>
            <w:pPr>
              <w:pStyle w:val="TableText"/>
              <w:ind w:left="105" w:right="31" w:firstLine="170"/>
              <w:spacing w:before="87" w:line="282" w:lineRule="auto"/>
              <w:rPr/>
            </w:pPr>
            <w:r>
              <w:rPr/>
              <w:t>审计控制、数据归档和保留规则、清洗规则、备份和</w:t>
            </w:r>
            <w:r>
              <w:rPr>
                <w:spacing w:val="11"/>
              </w:rPr>
              <w:t xml:space="preserve"> </w:t>
            </w:r>
            <w:r>
              <w:rPr>
                <w:spacing w:val="-1"/>
              </w:rPr>
              <w:t>恢复规则、物理数据模型、抽取的历史和结果</w:t>
            </w:r>
          </w:p>
        </w:tc>
      </w:tr>
      <w:tr>
        <w:trPr>
          <w:trHeight w:val="598" w:hRule="atLeast"/>
        </w:trPr>
        <w:tc>
          <w:tcPr>
            <w:tcW w:w="1682" w:type="dxa"/>
            <w:vAlign w:val="top"/>
          </w:tcPr>
          <w:p>
            <w:pPr>
              <w:pStyle w:val="TableText"/>
              <w:ind w:left="454"/>
              <w:spacing w:before="230" w:line="219" w:lineRule="auto"/>
              <w:rPr/>
            </w:pPr>
            <w:r>
              <w:rPr>
                <w:spacing w:val="-2"/>
              </w:rPr>
              <w:t>流程元数据</w:t>
            </w:r>
          </w:p>
        </w:tc>
        <w:tc>
          <w:tcPr>
            <w:tcW w:w="2197" w:type="dxa"/>
            <w:vAlign w:val="top"/>
          </w:tcPr>
          <w:p>
            <w:pPr>
              <w:pStyle w:val="TableText"/>
              <w:ind w:left="92" w:right="112" w:firstLine="170"/>
              <w:spacing w:before="99" w:line="282" w:lineRule="auto"/>
              <w:rPr/>
            </w:pPr>
            <w:r>
              <w:rPr/>
              <w:t>定义和描述数据治理过程的</w:t>
            </w:r>
            <w:r>
              <w:rPr>
                <w:spacing w:val="10"/>
              </w:rPr>
              <w:t xml:space="preserve"> </w:t>
            </w:r>
            <w:r>
              <w:rPr>
                <w:spacing w:val="-2"/>
              </w:rPr>
              <w:t>数据</w:t>
            </w:r>
          </w:p>
        </w:tc>
        <w:tc>
          <w:tcPr>
            <w:tcW w:w="3780" w:type="dxa"/>
            <w:vAlign w:val="top"/>
          </w:tcPr>
          <w:p>
            <w:pPr>
              <w:pStyle w:val="TableText"/>
              <w:ind w:left="116" w:right="35" w:firstLine="149"/>
              <w:spacing w:before="99" w:line="282" w:lineRule="auto"/>
              <w:rPr/>
            </w:pPr>
            <w:r>
              <w:rPr/>
              <w:t>监管机构、数据利益相关者、数据治理组织架构与角</w:t>
            </w:r>
            <w:r>
              <w:rPr>
                <w:spacing w:val="17"/>
              </w:rPr>
              <w:t xml:space="preserve"> </w:t>
            </w:r>
            <w:r>
              <w:rPr>
                <w:spacing w:val="-1"/>
              </w:rPr>
              <w:t>色、流程反馈文档、流程名称、流程顺序</w:t>
            </w:r>
          </w:p>
        </w:tc>
      </w:tr>
      <w:tr>
        <w:trPr>
          <w:trHeight w:val="891" w:hRule="atLeast"/>
        </w:trPr>
        <w:tc>
          <w:tcPr>
            <w:tcW w:w="1682" w:type="dxa"/>
            <w:vAlign w:val="top"/>
          </w:tcPr>
          <w:p>
            <w:pPr>
              <w:spacing w:line="321" w:lineRule="auto"/>
              <w:rPr>
                <w:rFonts w:ascii="Arial"/>
                <w:sz w:val="21"/>
              </w:rPr>
            </w:pPr>
            <w:r/>
          </w:p>
          <w:p>
            <w:pPr>
              <w:pStyle w:val="TableText"/>
              <w:ind w:left="155"/>
              <w:spacing w:before="49" w:line="219" w:lineRule="auto"/>
              <w:rPr/>
            </w:pPr>
            <w:r>
              <w:rPr>
                <w:spacing w:val="-1"/>
              </w:rPr>
              <w:t>数据管理制度元数据</w:t>
            </w:r>
          </w:p>
        </w:tc>
        <w:tc>
          <w:tcPr>
            <w:tcW w:w="2197" w:type="dxa"/>
            <w:vAlign w:val="top"/>
          </w:tcPr>
          <w:p>
            <w:pPr>
              <w:pStyle w:val="TableText"/>
              <w:ind w:left="123" w:right="111" w:firstLine="139"/>
              <w:spacing w:before="251" w:line="282" w:lineRule="auto"/>
              <w:rPr/>
            </w:pPr>
            <w:r>
              <w:rPr>
                <w:spacing w:val="1"/>
              </w:rPr>
              <w:t>关于数据管理专员、监督制</w:t>
            </w:r>
            <w:r>
              <w:rPr/>
              <w:t xml:space="preserve"> </w:t>
            </w:r>
            <w:r>
              <w:rPr>
                <w:spacing w:val="-1"/>
              </w:rPr>
              <w:t>度流程和责任分配的数据</w:t>
            </w:r>
          </w:p>
        </w:tc>
        <w:tc>
          <w:tcPr>
            <w:tcW w:w="3780" w:type="dxa"/>
            <w:vAlign w:val="top"/>
          </w:tcPr>
          <w:p>
            <w:pPr>
              <w:pStyle w:val="TableText"/>
              <w:ind w:left="116" w:right="59" w:firstLine="149"/>
              <w:spacing w:before="110" w:line="304" w:lineRule="auto"/>
              <w:jc w:val="both"/>
              <w:rPr/>
            </w:pPr>
            <w:r>
              <w:rPr>
                <w:spacing w:val="-1"/>
              </w:rPr>
              <w:t>业务目标、数据增删改减规则、数据管理专员、角色</w:t>
            </w:r>
            <w:r>
              <w:rPr>
                <w:spacing w:val="16"/>
              </w:rPr>
              <w:t xml:space="preserve"> </w:t>
            </w:r>
            <w:r>
              <w:rPr>
                <w:spacing w:val="-1"/>
              </w:rPr>
              <w:t>与职责、数据共享协议、管理与监管机构、治理组织架</w:t>
            </w:r>
            <w:r>
              <w:rPr>
                <w:spacing w:val="14"/>
              </w:rPr>
              <w:t xml:space="preserve"> </w:t>
            </w:r>
            <w:r>
              <w:rPr>
                <w:spacing w:val="-2"/>
              </w:rPr>
              <w:t>构和职责</w:t>
            </w:r>
          </w:p>
        </w:tc>
      </w:tr>
    </w:tbl>
    <w:p>
      <w:pPr>
        <w:ind w:left="15" w:right="210" w:firstLine="439"/>
        <w:spacing w:before="184" w:line="255" w:lineRule="auto"/>
        <w:rPr>
          <w:rFonts w:ascii="SimSun" w:hAnsi="SimSun" w:eastAsia="SimSun" w:cs="SimSun"/>
          <w:sz w:val="21"/>
          <w:szCs w:val="21"/>
        </w:rPr>
      </w:pPr>
      <w:r>
        <w:rPr>
          <w:rFonts w:ascii="SimSun" w:hAnsi="SimSun" w:eastAsia="SimSun" w:cs="SimSun"/>
          <w:sz w:val="21"/>
          <w:szCs w:val="21"/>
          <w:spacing w:val="1"/>
        </w:rPr>
        <w:t>元数据管理的流程包括理解元数据需求、定义元数据架</w:t>
      </w:r>
      <w:r>
        <w:rPr>
          <w:rFonts w:ascii="SimSun" w:hAnsi="SimSun" w:eastAsia="SimSun" w:cs="SimSun"/>
          <w:sz w:val="21"/>
          <w:szCs w:val="21"/>
        </w:rPr>
        <w:t>构、开发元数据标准、 </w:t>
      </w:r>
      <w:r>
        <w:rPr>
          <w:rFonts w:ascii="SimSun" w:hAnsi="SimSun" w:eastAsia="SimSun" w:cs="SimSun"/>
          <w:sz w:val="21"/>
          <w:szCs w:val="21"/>
          <w:spacing w:val="3"/>
        </w:rPr>
        <w:t>构建元数据环境、创建整合元数据、交付元数据和维护元</w:t>
      </w:r>
      <w:r>
        <w:rPr>
          <w:rFonts w:ascii="SimSun" w:hAnsi="SimSun" w:eastAsia="SimSun" w:cs="SimSun"/>
          <w:sz w:val="21"/>
          <w:szCs w:val="21"/>
          <w:spacing w:val="2"/>
        </w:rPr>
        <w:t>数据库等环节，如图11-8</w:t>
      </w:r>
      <w:r>
        <w:rPr>
          <w:rFonts w:ascii="SimSun" w:hAnsi="SimSun" w:eastAsia="SimSun" w:cs="SimSun"/>
          <w:sz w:val="21"/>
          <w:szCs w:val="21"/>
        </w:rPr>
        <w:t xml:space="preserve"> </w:t>
      </w:r>
      <w:r>
        <w:rPr>
          <w:rFonts w:ascii="SimSun" w:hAnsi="SimSun" w:eastAsia="SimSun" w:cs="SimSun"/>
          <w:sz w:val="21"/>
          <w:szCs w:val="21"/>
          <w:spacing w:val="-9"/>
        </w:rPr>
        <w:t>所示。</w:t>
      </w:r>
    </w:p>
    <w:p>
      <w:pPr>
        <w:pStyle w:val="BodyText"/>
        <w:ind w:firstLine="1634"/>
        <w:spacing w:before="80" w:line="2990" w:lineRule="exact"/>
        <w:rPr/>
      </w:pPr>
      <w:r>
        <w:rPr>
          <w:position w:val="-59"/>
        </w:rPr>
        <w:pict>
          <v:group id="_x0000_s616" style="mso-position-vertical-relative:line;mso-position-horizontal-relative:char;width:222.05pt;height:149.55pt;" filled="false" stroked="false" coordsize="4441,2991" coordorigin="0,0">
            <v:shape id="_x0000_s618" style="position:absolute;left:0;top:0;width:4441;height:2991;" filled="false" stroked="false" type="#_x0000_t75">
              <v:imagedata o:title="" r:id="rId508"/>
            </v:shape>
            <v:shape id="_x0000_s620" style="position:absolute;left:399;top:126;width:3750;height:2630;" filled="false" stroked="false" type="#_x0000_t202">
              <v:fill on="false"/>
              <v:stroke on="false"/>
              <v:path/>
              <v:imagedata o:title=""/>
              <o:lock v:ext="edit" aspectratio="false"/>
              <v:textbox inset="0mm,0mm,0mm,0mm">
                <w:txbxContent>
                  <w:p>
                    <w:pPr>
                      <w:ind w:left="2729" w:right="103" w:hanging="149"/>
                      <w:spacing w:before="20" w:line="212" w:lineRule="auto"/>
                      <w:rPr>
                        <w:rFonts w:ascii="SimSun" w:hAnsi="SimSun" w:eastAsia="SimSun" w:cs="SimSun"/>
                        <w:sz w:val="16"/>
                        <w:szCs w:val="16"/>
                      </w:rPr>
                    </w:pPr>
                    <w:r>
                      <w:rPr>
                        <w:rFonts w:ascii="SimSun" w:hAnsi="SimSun" w:eastAsia="SimSun" w:cs="SimSun"/>
                        <w:sz w:val="16"/>
                        <w:szCs w:val="16"/>
                        <w:spacing w:val="-8"/>
                      </w:rPr>
                      <w:t>执行元数据管理</w:t>
                    </w:r>
                    <w:r>
                      <w:rPr>
                        <w:rFonts w:ascii="SimSun" w:hAnsi="SimSun" w:eastAsia="SimSun" w:cs="SimSun"/>
                        <w:sz w:val="16"/>
                        <w:szCs w:val="16"/>
                      </w:rPr>
                      <w:t xml:space="preserve"> </w:t>
                    </w:r>
                    <w:r>
                      <w:rPr>
                        <w:rFonts w:ascii="SimSun" w:hAnsi="SimSun" w:eastAsia="SimSun" w:cs="SimSun"/>
                        <w:sz w:val="16"/>
                        <w:szCs w:val="16"/>
                        <w:spacing w:val="-6"/>
                      </w:rPr>
                      <w:t>成熟度评估</w:t>
                    </w:r>
                  </w:p>
                  <w:p>
                    <w:pPr>
                      <w:spacing w:line="427" w:lineRule="auto"/>
                      <w:rPr>
                        <w:rFonts w:ascii="Arial"/>
                        <w:sz w:val="21"/>
                      </w:rPr>
                    </w:pPr>
                    <w:r/>
                  </w:p>
                  <w:p>
                    <w:pPr>
                      <w:ind w:left="20"/>
                      <w:spacing w:before="52" w:line="231" w:lineRule="auto"/>
                      <w:rPr>
                        <w:rFonts w:ascii="SimSun" w:hAnsi="SimSun" w:eastAsia="SimSun" w:cs="SimSun"/>
                        <w:sz w:val="16"/>
                        <w:szCs w:val="16"/>
                      </w:rPr>
                    </w:pPr>
                    <w:r>
                      <w:rPr>
                        <w:rFonts w:ascii="SimSun" w:hAnsi="SimSun" w:eastAsia="SimSun" w:cs="SimSun"/>
                        <w:sz w:val="16"/>
                        <w:szCs w:val="16"/>
                        <w:spacing w:val="-4"/>
                        <w:position w:val="-1"/>
                      </w:rPr>
                      <w:t>定义元数据架构                     </w:t>
                    </w:r>
                    <w:r>
                      <w:rPr>
                        <w:rFonts w:ascii="SimSun" w:hAnsi="SimSun" w:eastAsia="SimSun" w:cs="SimSun"/>
                        <w:sz w:val="16"/>
                        <w:szCs w:val="16"/>
                        <w:spacing w:val="-4"/>
                        <w:position w:val="2"/>
                      </w:rPr>
                      <w:t>维护元数据库</w:t>
                    </w:r>
                  </w:p>
                  <w:p>
                    <w:pPr>
                      <w:spacing w:line="257" w:lineRule="auto"/>
                      <w:rPr>
                        <w:rFonts w:ascii="Arial"/>
                        <w:sz w:val="21"/>
                      </w:rPr>
                    </w:pPr>
                    <w:r/>
                  </w:p>
                  <w:p>
                    <w:pPr>
                      <w:spacing w:line="25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7"/>
                      </w:rPr>
                      <w:t>开发元数据标准</w:t>
                    </w:r>
                  </w:p>
                  <w:p>
                    <w:pPr>
                      <w:spacing w:line="267" w:lineRule="auto"/>
                      <w:rPr>
                        <w:rFonts w:ascii="Arial"/>
                        <w:sz w:val="21"/>
                      </w:rPr>
                    </w:pPr>
                    <w:r/>
                  </w:p>
                  <w:p>
                    <w:pPr>
                      <w:spacing w:line="267" w:lineRule="auto"/>
                      <w:rPr>
                        <w:rFonts w:ascii="Arial"/>
                        <w:sz w:val="21"/>
                      </w:rPr>
                    </w:pPr>
                    <w:r/>
                  </w:p>
                  <w:p>
                    <w:pPr>
                      <w:ind w:right="12"/>
                      <w:spacing w:before="52" w:line="219" w:lineRule="auto"/>
                      <w:jc w:val="right"/>
                      <w:rPr>
                        <w:rFonts w:ascii="SimSun" w:hAnsi="SimSun" w:eastAsia="SimSun" w:cs="SimSun"/>
                        <w:sz w:val="16"/>
                        <w:szCs w:val="16"/>
                      </w:rPr>
                    </w:pPr>
                    <w:r>
                      <w:rPr>
                        <w:rFonts w:ascii="SimSun" w:hAnsi="SimSun" w:eastAsia="SimSun" w:cs="SimSun"/>
                        <w:sz w:val="16"/>
                        <w:szCs w:val="16"/>
                        <w:spacing w:val="-7"/>
                      </w:rPr>
                      <w:t>创建整合元数据</w:t>
                    </w:r>
                  </w:p>
                </w:txbxContent>
              </v:textbox>
            </v:shape>
            <v:shape id="_x0000_s622" style="position:absolute;left:359;top:216;width:1118;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理解元数据需求</w:t>
                    </w:r>
                  </w:p>
                </w:txbxContent>
              </v:textbox>
            </v:shape>
            <v:shape id="_x0000_s624" style="position:absolute;left:399;top:2566;width:11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构建元数据环境</w:t>
                    </w:r>
                  </w:p>
                </w:txbxContent>
              </v:textbox>
            </v:shape>
            <v:shape id="_x0000_s626" style="position:absolute;left:3110;top:1756;width:81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交付元数据</w:t>
                    </w:r>
                  </w:p>
                </w:txbxContent>
              </v:textbox>
            </v:shape>
          </v:group>
        </w:pict>
      </w:r>
    </w:p>
    <w:p>
      <w:pPr>
        <w:ind w:left="2324"/>
        <w:spacing w:before="136" w:line="221" w:lineRule="auto"/>
        <w:rPr>
          <w:rFonts w:ascii="SimHei" w:hAnsi="SimHei" w:eastAsia="SimHei" w:cs="SimHei"/>
          <w:sz w:val="21"/>
          <w:szCs w:val="21"/>
        </w:rPr>
      </w:pPr>
      <w:r>
        <w:rPr>
          <w:rFonts w:ascii="SimHei" w:hAnsi="SimHei" w:eastAsia="SimHei" w:cs="SimHei"/>
          <w:sz w:val="21"/>
          <w:szCs w:val="21"/>
          <w:spacing w:val="-21"/>
          <w:w w:val="99"/>
        </w:rPr>
        <w:t>图11-8</w:t>
      </w:r>
      <w:r>
        <w:rPr>
          <w:rFonts w:ascii="SimHei" w:hAnsi="SimHei" w:eastAsia="SimHei" w:cs="SimHei"/>
          <w:sz w:val="21"/>
          <w:szCs w:val="21"/>
          <w:spacing w:val="70"/>
        </w:rPr>
        <w:t xml:space="preserve"> </w:t>
      </w:r>
      <w:r>
        <w:rPr>
          <w:rFonts w:ascii="SimHei" w:hAnsi="SimHei" w:eastAsia="SimHei" w:cs="SimHei"/>
          <w:sz w:val="21"/>
          <w:szCs w:val="21"/>
          <w:spacing w:val="-21"/>
          <w:w w:val="99"/>
        </w:rPr>
        <w:t>业务词汇表的定义和管理过程</w:t>
      </w:r>
    </w:p>
    <w:p>
      <w:pPr>
        <w:ind w:left="454"/>
        <w:spacing w:before="231" w:line="219" w:lineRule="auto"/>
        <w:rPr>
          <w:rFonts w:ascii="SimSun" w:hAnsi="SimSun" w:eastAsia="SimSun" w:cs="SimSun"/>
          <w:sz w:val="21"/>
          <w:szCs w:val="21"/>
        </w:rPr>
      </w:pPr>
      <w:r>
        <w:rPr>
          <w:rFonts w:ascii="SimSun" w:hAnsi="SimSun" w:eastAsia="SimSun" w:cs="SimSun"/>
          <w:sz w:val="21"/>
          <w:szCs w:val="21"/>
          <w:spacing w:val="-6"/>
        </w:rPr>
        <w:t>具体的元数据管理流程如下。</w:t>
      </w:r>
    </w:p>
    <w:p>
      <w:pPr>
        <w:ind w:left="454"/>
        <w:spacing w:before="60" w:line="219" w:lineRule="auto"/>
        <w:rPr>
          <w:rFonts w:ascii="SimSun" w:hAnsi="SimSun" w:eastAsia="SimSun" w:cs="SimSun"/>
          <w:sz w:val="21"/>
          <w:szCs w:val="21"/>
        </w:rPr>
      </w:pPr>
      <w:r>
        <w:rPr>
          <w:rFonts w:ascii="SimSun" w:hAnsi="SimSun" w:eastAsia="SimSun" w:cs="SimSun"/>
          <w:sz w:val="21"/>
          <w:szCs w:val="21"/>
          <w:spacing w:val="8"/>
        </w:rPr>
        <w:t>(1)理解元数据需求</w:t>
      </w:r>
    </w:p>
    <w:p>
      <w:pPr>
        <w:ind w:left="74" w:right="117" w:firstLine="379"/>
        <w:spacing w:before="63" w:line="267" w:lineRule="auto"/>
        <w:rPr>
          <w:rFonts w:ascii="SimSun" w:hAnsi="SimSun" w:eastAsia="SimSun" w:cs="SimSun"/>
          <w:sz w:val="21"/>
          <w:szCs w:val="21"/>
        </w:rPr>
      </w:pPr>
      <w:r>
        <w:rPr>
          <w:rFonts w:ascii="SimSun" w:hAnsi="SimSun" w:eastAsia="SimSun" w:cs="SimSun"/>
          <w:sz w:val="21"/>
          <w:szCs w:val="21"/>
          <w:spacing w:val="1"/>
        </w:rPr>
        <w:t>元数据管理的需求来源于组织业务目标，元数据管理战略必须能够反映对组织</w:t>
      </w:r>
      <w:r>
        <w:rPr>
          <w:rFonts w:ascii="SimSun" w:hAnsi="SimSun" w:eastAsia="SimSun" w:cs="SimSun"/>
          <w:sz w:val="21"/>
          <w:szCs w:val="21"/>
          <w:spacing w:val="8"/>
        </w:rPr>
        <w:t xml:space="preserve">  </w:t>
      </w:r>
      <w:r>
        <w:rPr>
          <w:rFonts w:ascii="SimSun" w:hAnsi="SimSun" w:eastAsia="SimSun" w:cs="SimSun"/>
          <w:sz w:val="21"/>
          <w:szCs w:val="21"/>
          <w:spacing w:val="1"/>
        </w:rPr>
        <w:t>元数据需求的理解，收集需求的目的包括：确认组织元数据管理环境；设定范围和</w:t>
      </w:r>
      <w:r>
        <w:rPr>
          <w:rFonts w:ascii="SimSun" w:hAnsi="SimSun" w:eastAsia="SimSun" w:cs="SimSun"/>
          <w:sz w:val="21"/>
          <w:szCs w:val="21"/>
          <w:spacing w:val="5"/>
        </w:rPr>
        <w:t xml:space="preserve">  </w:t>
      </w:r>
      <w:r>
        <w:rPr>
          <w:rFonts w:ascii="SimSun" w:hAnsi="SimSun" w:eastAsia="SimSun" w:cs="SimSun"/>
          <w:sz w:val="21"/>
          <w:szCs w:val="21"/>
          <w:spacing w:val="1"/>
        </w:rPr>
        <w:t>优先级；教育和沟通；指导工具评估和实施；指导元数据建模；指导元数据内部标</w:t>
      </w:r>
      <w:r>
        <w:rPr>
          <w:rFonts w:ascii="SimSun" w:hAnsi="SimSun" w:eastAsia="SimSun" w:cs="SimSun"/>
          <w:sz w:val="21"/>
          <w:szCs w:val="21"/>
        </w:rPr>
        <w:t xml:space="preserve">  </w:t>
      </w:r>
      <w:r>
        <w:rPr>
          <w:rFonts w:ascii="SimSun" w:hAnsi="SimSun" w:eastAsia="SimSun" w:cs="SimSun"/>
          <w:sz w:val="21"/>
          <w:szCs w:val="21"/>
          <w:spacing w:val="1"/>
        </w:rPr>
        <w:t>准；指导提供基于元数据的服务，以及预估和验证人员需求。元数据需求一般来源  </w:t>
      </w:r>
      <w:r>
        <w:rPr>
          <w:rFonts w:ascii="SimSun" w:hAnsi="SimSun" w:eastAsia="SimSun" w:cs="SimSun"/>
          <w:sz w:val="21"/>
          <w:szCs w:val="21"/>
          <w:spacing w:val="-4"/>
        </w:rPr>
        <w:t>于两个方面：</w:t>
      </w:r>
      <w:r>
        <w:rPr>
          <w:rFonts w:ascii="SimSun" w:hAnsi="SimSun" w:eastAsia="SimSun" w:cs="SimSun"/>
          <w:sz w:val="21"/>
          <w:szCs w:val="21"/>
          <w:spacing w:val="77"/>
        </w:rPr>
        <w:t xml:space="preserve"> </w:t>
      </w:r>
      <w:r>
        <w:rPr>
          <w:rFonts w:ascii="SimSun" w:hAnsi="SimSun" w:eastAsia="SimSun" w:cs="SimSun"/>
          <w:sz w:val="21"/>
          <w:szCs w:val="21"/>
          <w:spacing w:val="-4"/>
        </w:rPr>
        <w:t>一是业务用户需求，二是技术用户需求。业务用户在与组织发生业务</w:t>
      </w:r>
      <w:r>
        <w:rPr>
          <w:rFonts w:ascii="SimSun" w:hAnsi="SimSun" w:eastAsia="SimSun" w:cs="SimSun"/>
          <w:sz w:val="21"/>
          <w:szCs w:val="21"/>
        </w:rPr>
        <w:t xml:space="preserve">  </w:t>
      </w:r>
      <w:r>
        <w:rPr>
          <w:rFonts w:ascii="SimSun" w:hAnsi="SimSun" w:eastAsia="SimSun" w:cs="SimSun"/>
          <w:sz w:val="21"/>
          <w:szCs w:val="21"/>
          <w:spacing w:val="1"/>
        </w:rPr>
        <w:t>交互时，需要理解组织提供的业务及其背景解释，例如签订的业务合同和服务水平  </w:t>
      </w:r>
      <w:r>
        <w:rPr>
          <w:rFonts w:ascii="SimSun" w:hAnsi="SimSun" w:eastAsia="SimSun" w:cs="SimSun"/>
          <w:sz w:val="21"/>
          <w:szCs w:val="21"/>
          <w:spacing w:val="1"/>
        </w:rPr>
        <w:t>协议等文件中会涉及一些需要双方都能认可的条款，条款中涉及的专有词汇需要在</w:t>
      </w:r>
      <w:r>
        <w:rPr>
          <w:rFonts w:ascii="SimSun" w:hAnsi="SimSun" w:eastAsia="SimSun" w:cs="SimSun"/>
          <w:sz w:val="21"/>
          <w:szCs w:val="21"/>
          <w:spacing w:val="2"/>
        </w:rPr>
        <w:t xml:space="preserve">  </w:t>
      </w:r>
      <w:r>
        <w:rPr>
          <w:rFonts w:ascii="SimSun" w:hAnsi="SimSun" w:eastAsia="SimSun" w:cs="SimSun"/>
          <w:sz w:val="21"/>
          <w:szCs w:val="21"/>
          <w:spacing w:val="-2"/>
        </w:rPr>
        <w:t>业务合同和服务水平协议中清晰地定义。技术用户包括数据库管理员、元数据</w:t>
      </w:r>
      <w:r>
        <w:rPr>
          <w:rFonts w:ascii="SimSun" w:hAnsi="SimSun" w:eastAsia="SimSun" w:cs="SimSun"/>
          <w:sz w:val="21"/>
          <w:szCs w:val="21"/>
          <w:spacing w:val="-3"/>
        </w:rPr>
        <w:t>专家、</w:t>
      </w:r>
      <w:r>
        <w:rPr>
          <w:rFonts w:ascii="SimSun" w:hAnsi="SimSun" w:eastAsia="SimSun" w:cs="SimSun"/>
          <w:sz w:val="21"/>
          <w:szCs w:val="21"/>
        </w:rPr>
        <w:t xml:space="preserve"> </w:t>
      </w:r>
      <w:r>
        <w:rPr>
          <w:rFonts w:ascii="SimSun" w:hAnsi="SimSun" w:eastAsia="SimSun" w:cs="SimSun"/>
          <w:sz w:val="21"/>
          <w:szCs w:val="21"/>
          <w:spacing w:val="4"/>
        </w:rPr>
        <w:t>架构师、</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支持人员和开发人员等，通常这些人是组织信息资产的</w:t>
      </w:r>
      <w:r>
        <w:rPr>
          <w:rFonts w:ascii="SimSun" w:hAnsi="SimSun" w:eastAsia="SimSun" w:cs="SimSun"/>
          <w:sz w:val="21"/>
          <w:szCs w:val="21"/>
          <w:spacing w:val="3"/>
        </w:rPr>
        <w:t>监管人，他们 </w:t>
      </w:r>
      <w:r>
        <w:rPr>
          <w:rFonts w:ascii="SimSun" w:hAnsi="SimSun" w:eastAsia="SimSun" w:cs="SimSun"/>
          <w:sz w:val="21"/>
          <w:szCs w:val="21"/>
          <w:spacing w:val="1"/>
        </w:rPr>
        <w:t>必须完整地理解数据的技术实现方式，由此产生一些技术用户需求。技术需求一般</w:t>
      </w:r>
    </w:p>
    <w:p>
      <w:pPr>
        <w:spacing w:line="267" w:lineRule="auto"/>
        <w:sectPr>
          <w:footerReference w:type="default" r:id="rId507"/>
          <w:pgSz w:w="8870" w:h="13400"/>
          <w:pgMar w:top="400" w:right="597" w:bottom="558" w:left="385" w:header="0" w:footer="349" w:gutter="0"/>
        </w:sectPr>
        <w:rPr>
          <w:rFonts w:ascii="SimSun" w:hAnsi="SimSun" w:eastAsia="SimSun" w:cs="SimSun"/>
          <w:sz w:val="21"/>
          <w:szCs w:val="21"/>
        </w:rPr>
      </w:pPr>
    </w:p>
    <w:p>
      <w:pPr>
        <w:ind w:left="213"/>
        <w:spacing w:before="236" w:line="219" w:lineRule="auto"/>
        <w:rPr>
          <w:rFonts w:ascii="SimSun" w:hAnsi="SimSun" w:eastAsia="SimSun" w:cs="SimSun"/>
          <w:sz w:val="22"/>
          <w:szCs w:val="22"/>
        </w:rPr>
      </w:pPr>
      <w:r>
        <w:pict>
          <v:rect id="_x0000_s628" style="position:absolute;margin-left:31.9985pt;margin-top:29.5001pt;mso-position-vertical-relative:page;mso-position-horizontal-relative:page;width:0.55pt;height:17pt;z-index:258579456;" o:allowincell="f" fillcolor="#000000" filled="true" stroked="false"/>
        </w:pict>
      </w:r>
      <w:r>
        <w:rPr>
          <w:rFonts w:ascii="SimSun" w:hAnsi="SimSun" w:eastAsia="SimSun" w:cs="SimSun"/>
          <w:sz w:val="22"/>
          <w:szCs w:val="22"/>
          <w:b/>
          <w:bCs/>
          <w:spacing w:val="-12"/>
        </w:rPr>
        <w:t>■云端数据治理</w:t>
      </w:r>
    </w:p>
    <w:p>
      <w:pPr>
        <w:pStyle w:val="BodyText"/>
        <w:spacing w:line="248" w:lineRule="auto"/>
        <w:rPr/>
      </w:pPr>
      <w:r/>
    </w:p>
    <w:p>
      <w:pPr>
        <w:ind w:left="250" w:right="116"/>
        <w:spacing w:before="71"/>
        <w:rPr>
          <w:rFonts w:ascii="SimSun" w:hAnsi="SimSun" w:eastAsia="SimSun" w:cs="SimSun"/>
          <w:sz w:val="22"/>
          <w:szCs w:val="22"/>
        </w:rPr>
      </w:pPr>
      <w:r>
        <w:rPr>
          <w:rFonts w:ascii="SimSun" w:hAnsi="SimSun" w:eastAsia="SimSun" w:cs="SimSun"/>
          <w:sz w:val="22"/>
          <w:szCs w:val="22"/>
          <w:spacing w:val="-9"/>
        </w:rPr>
        <w:t>包括每日数据流量、已知和未知的数据源、物理与逻辑架构流程、非标准元数据需</w:t>
      </w:r>
      <w:r>
        <w:rPr>
          <w:rFonts w:ascii="SimSun" w:hAnsi="SimSun" w:eastAsia="SimSun" w:cs="SimSun"/>
          <w:sz w:val="22"/>
          <w:szCs w:val="22"/>
          <w:spacing w:val="16"/>
        </w:rPr>
        <w:t xml:space="preserve"> </w:t>
      </w:r>
      <w:r>
        <w:rPr>
          <w:rFonts w:ascii="SimSun" w:hAnsi="SimSun" w:eastAsia="SimSun" w:cs="SimSun"/>
          <w:sz w:val="22"/>
          <w:szCs w:val="22"/>
          <w:spacing w:val="-10"/>
        </w:rPr>
        <w:t>求等。</w:t>
      </w:r>
    </w:p>
    <w:p>
      <w:pPr>
        <w:ind w:left="700"/>
        <w:spacing w:before="59" w:line="219" w:lineRule="auto"/>
        <w:rPr>
          <w:rFonts w:ascii="SimSun" w:hAnsi="SimSun" w:eastAsia="SimSun" w:cs="SimSun"/>
          <w:sz w:val="22"/>
          <w:szCs w:val="22"/>
        </w:rPr>
      </w:pPr>
      <w:r>
        <w:rPr>
          <w:rFonts w:ascii="SimSun" w:hAnsi="SimSun" w:eastAsia="SimSun" w:cs="SimSun"/>
          <w:sz w:val="22"/>
          <w:szCs w:val="22"/>
        </w:rPr>
        <w:t>(2)定义元数据架构</w:t>
      </w:r>
    </w:p>
    <w:p>
      <w:pPr>
        <w:ind w:left="250" w:right="20" w:firstLine="449"/>
        <w:spacing w:before="50" w:line="257" w:lineRule="auto"/>
        <w:rPr>
          <w:rFonts w:ascii="SimSun" w:hAnsi="SimSun" w:eastAsia="SimSun" w:cs="SimSun"/>
          <w:sz w:val="22"/>
          <w:szCs w:val="22"/>
        </w:rPr>
      </w:pPr>
      <w:r>
        <w:rPr>
          <w:rFonts w:ascii="SimSun" w:hAnsi="SimSun" w:eastAsia="SimSun" w:cs="SimSun"/>
          <w:sz w:val="22"/>
          <w:szCs w:val="22"/>
          <w:spacing w:val="-9"/>
        </w:rPr>
        <w:t>元数据架构定义了组织元数据管理的主要流程和层级，元数据架构应该具备能 </w:t>
      </w:r>
      <w:r>
        <w:rPr>
          <w:rFonts w:ascii="SimSun" w:hAnsi="SimSun" w:eastAsia="SimSun" w:cs="SimSun"/>
          <w:sz w:val="22"/>
          <w:szCs w:val="22"/>
          <w:spacing w:val="-9"/>
        </w:rPr>
        <w:t>够从多个元数据来源定期更新元数据存储库的能力，以支撑元数据管理，进而实现</w:t>
      </w:r>
      <w:r>
        <w:rPr>
          <w:rFonts w:ascii="SimSun" w:hAnsi="SimSun" w:eastAsia="SimSun" w:cs="SimSun"/>
          <w:sz w:val="22"/>
          <w:szCs w:val="22"/>
          <w:spacing w:val="5"/>
        </w:rPr>
        <w:t xml:space="preserve">  </w:t>
      </w:r>
      <w:r>
        <w:rPr>
          <w:rFonts w:ascii="SimSun" w:hAnsi="SimSun" w:eastAsia="SimSun" w:cs="SimSun"/>
          <w:sz w:val="22"/>
          <w:szCs w:val="22"/>
          <w:spacing w:val="-9"/>
        </w:rPr>
        <w:t>从多种元数据来源抽取元数据的目的。元数据存储库一般有三种技术架构方法：集</w:t>
      </w:r>
      <w:r>
        <w:rPr>
          <w:rFonts w:ascii="SimSun" w:hAnsi="SimSun" w:eastAsia="SimSun" w:cs="SimSun"/>
          <w:sz w:val="22"/>
          <w:szCs w:val="22"/>
          <w:spacing w:val="5"/>
        </w:rPr>
        <w:t xml:space="preserve">  </w:t>
      </w:r>
      <w:r>
        <w:rPr>
          <w:rFonts w:ascii="SimSun" w:hAnsi="SimSun" w:eastAsia="SimSun" w:cs="SimSun"/>
          <w:sz w:val="22"/>
          <w:szCs w:val="22"/>
          <w:spacing w:val="-9"/>
        </w:rPr>
        <w:t>中式、分布式和混合式。集中式架构是指采用单独的元数据存储库保存来自各个元</w:t>
      </w:r>
      <w:r>
        <w:rPr>
          <w:rFonts w:ascii="SimSun" w:hAnsi="SimSun" w:eastAsia="SimSun" w:cs="SimSun"/>
          <w:sz w:val="22"/>
          <w:szCs w:val="22"/>
          <w:spacing w:val="6"/>
        </w:rPr>
        <w:t xml:space="preserve">  </w:t>
      </w:r>
      <w:r>
        <w:rPr>
          <w:rFonts w:ascii="SimSun" w:hAnsi="SimSun" w:eastAsia="SimSun" w:cs="SimSun"/>
          <w:sz w:val="22"/>
          <w:szCs w:val="22"/>
          <w:spacing w:val="-10"/>
        </w:rPr>
        <w:t>数据来源的最新元数据的副本，这种架构方式比较占用资源，对</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10"/>
        </w:rPr>
        <w:t>资源有限的组织</w:t>
      </w:r>
      <w:r>
        <w:rPr>
          <w:rFonts w:ascii="SimSun" w:hAnsi="SimSun" w:eastAsia="SimSun" w:cs="SimSun"/>
          <w:sz w:val="22"/>
          <w:szCs w:val="22"/>
        </w:rPr>
        <w:t xml:space="preserve">  </w:t>
      </w:r>
      <w:r>
        <w:rPr>
          <w:rFonts w:ascii="SimSun" w:hAnsi="SimSun" w:eastAsia="SimSun" w:cs="SimSun"/>
          <w:sz w:val="22"/>
          <w:szCs w:val="22"/>
          <w:spacing w:val="-12"/>
        </w:rPr>
        <w:t>来说不是很合算，但其优点在于能够帮助组织实现元数据存储库的统一性和一致性。</w:t>
      </w:r>
      <w:r>
        <w:rPr>
          <w:rFonts w:ascii="SimSun" w:hAnsi="SimSun" w:eastAsia="SimSun" w:cs="SimSun"/>
          <w:sz w:val="22"/>
          <w:szCs w:val="22"/>
          <w:spacing w:val="12"/>
        </w:rPr>
        <w:t xml:space="preserve"> </w:t>
      </w:r>
      <w:r>
        <w:rPr>
          <w:rFonts w:ascii="SimSun" w:hAnsi="SimSun" w:eastAsia="SimSun" w:cs="SimSun"/>
          <w:sz w:val="22"/>
          <w:szCs w:val="22"/>
          <w:spacing w:val="-9"/>
        </w:rPr>
        <w:t>分布式元数据架构不需要永久的元数据库，只需要维护一个单一访问点，利用引擎</w:t>
      </w:r>
      <w:r>
        <w:rPr>
          <w:rFonts w:ascii="SimSun" w:hAnsi="SimSun" w:eastAsia="SimSun" w:cs="SimSun"/>
          <w:sz w:val="22"/>
          <w:szCs w:val="22"/>
          <w:spacing w:val="6"/>
        </w:rPr>
        <w:t xml:space="preserve">  </w:t>
      </w:r>
      <w:r>
        <w:rPr>
          <w:rFonts w:ascii="SimSun" w:hAnsi="SimSun" w:eastAsia="SimSun" w:cs="SimSun"/>
          <w:sz w:val="22"/>
          <w:szCs w:val="22"/>
          <w:spacing w:val="-8"/>
        </w:rPr>
        <w:t>收集用户需求，这种架构可以保证元数据始终是最新且有效的。混合式</w:t>
      </w:r>
      <w:r>
        <w:rPr>
          <w:rFonts w:ascii="SimSun" w:hAnsi="SimSun" w:eastAsia="SimSun" w:cs="SimSun"/>
          <w:sz w:val="22"/>
          <w:szCs w:val="22"/>
          <w:spacing w:val="-9"/>
        </w:rPr>
        <w:t>元数据架构 </w:t>
      </w:r>
      <w:r>
        <w:rPr>
          <w:rFonts w:ascii="SimSun" w:hAnsi="SimSun" w:eastAsia="SimSun" w:cs="SimSun"/>
          <w:sz w:val="22"/>
          <w:szCs w:val="22"/>
          <w:spacing w:val="-8"/>
        </w:rPr>
        <w:t>是一种折中的架构，云数据依然从元数据来源系统进入数据库，但存储</w:t>
      </w:r>
      <w:r>
        <w:rPr>
          <w:rFonts w:ascii="SimSun" w:hAnsi="SimSun" w:eastAsia="SimSun" w:cs="SimSun"/>
          <w:sz w:val="22"/>
          <w:szCs w:val="22"/>
          <w:spacing w:val="-9"/>
        </w:rPr>
        <w:t>库的设计只 </w:t>
      </w:r>
      <w:r>
        <w:rPr>
          <w:rFonts w:ascii="SimSun" w:hAnsi="SimSun" w:eastAsia="SimSun" w:cs="SimSun"/>
          <w:sz w:val="22"/>
          <w:szCs w:val="22"/>
          <w:spacing w:val="-9"/>
        </w:rPr>
        <w:t>考虑用户增加的元数据、高标准化的元数据以及手工获取的元数据，优势之处在于</w:t>
      </w:r>
      <w:r>
        <w:rPr>
          <w:rFonts w:ascii="SimSun" w:hAnsi="SimSun" w:eastAsia="SimSun" w:cs="SimSun"/>
          <w:sz w:val="22"/>
          <w:szCs w:val="22"/>
          <w:spacing w:val="7"/>
        </w:rPr>
        <w:t xml:space="preserve">  </w:t>
      </w:r>
      <w:r>
        <w:rPr>
          <w:rFonts w:ascii="SimSun" w:hAnsi="SimSun" w:eastAsia="SimSun" w:cs="SimSun"/>
          <w:sz w:val="22"/>
          <w:szCs w:val="22"/>
          <w:spacing w:val="-9"/>
        </w:rPr>
        <w:t>可以实现准时地获取元数据，以及提供更加完善的元数据信息以更好地满足元数据</w:t>
      </w:r>
      <w:r>
        <w:rPr>
          <w:rFonts w:ascii="SimSun" w:hAnsi="SimSun" w:eastAsia="SimSun" w:cs="SimSun"/>
          <w:sz w:val="22"/>
          <w:szCs w:val="22"/>
          <w:spacing w:val="7"/>
        </w:rPr>
        <w:t xml:space="preserve">  </w:t>
      </w:r>
      <w:r>
        <w:rPr>
          <w:rFonts w:ascii="SimSun" w:hAnsi="SimSun" w:eastAsia="SimSun" w:cs="SimSun"/>
          <w:sz w:val="22"/>
          <w:szCs w:val="22"/>
          <w:spacing w:val="-9"/>
        </w:rPr>
        <w:t>用户的需求。混合式元数据架构能够减少定制化系统开发时间，并能满足用户使用</w:t>
      </w:r>
      <w:r>
        <w:rPr>
          <w:rFonts w:ascii="SimSun" w:hAnsi="SimSun" w:eastAsia="SimSun" w:cs="SimSun"/>
          <w:sz w:val="22"/>
          <w:szCs w:val="22"/>
          <w:spacing w:val="4"/>
        </w:rPr>
        <w:t xml:space="preserve">  </w:t>
      </w:r>
      <w:r>
        <w:rPr>
          <w:rFonts w:ascii="SimSun" w:hAnsi="SimSun" w:eastAsia="SimSun" w:cs="SimSun"/>
          <w:sz w:val="22"/>
          <w:szCs w:val="22"/>
          <w:spacing w:val="-10"/>
        </w:rPr>
        <w:t>时效性，但混合架构无法提升系统可用性。</w:t>
      </w:r>
    </w:p>
    <w:p>
      <w:pPr>
        <w:ind w:left="700"/>
        <w:spacing w:before="87" w:line="219" w:lineRule="auto"/>
        <w:rPr>
          <w:rFonts w:ascii="SimSun" w:hAnsi="SimSun" w:eastAsia="SimSun" w:cs="SimSun"/>
          <w:sz w:val="22"/>
          <w:szCs w:val="22"/>
        </w:rPr>
      </w:pPr>
      <w:r>
        <w:rPr>
          <w:rFonts w:ascii="SimSun" w:hAnsi="SimSun" w:eastAsia="SimSun" w:cs="SimSun"/>
          <w:sz w:val="22"/>
          <w:szCs w:val="22"/>
        </w:rPr>
        <w:t>(3)开发元数据标准</w:t>
      </w:r>
    </w:p>
    <w:p>
      <w:pPr>
        <w:ind w:left="250" w:right="20" w:firstLine="449"/>
        <w:spacing w:before="48" w:line="252" w:lineRule="auto"/>
        <w:rPr>
          <w:rFonts w:ascii="SimSun" w:hAnsi="SimSun" w:eastAsia="SimSun" w:cs="SimSun"/>
          <w:sz w:val="22"/>
          <w:szCs w:val="22"/>
        </w:rPr>
      </w:pPr>
      <w:r>
        <w:rPr>
          <w:rFonts w:ascii="SimSun" w:hAnsi="SimSun" w:eastAsia="SimSun" w:cs="SimSun"/>
          <w:sz w:val="22"/>
          <w:szCs w:val="22"/>
          <w:spacing w:val="-8"/>
        </w:rPr>
        <w:t>元数据标准是指导组织制订元数据的依据。随着技术和产品的更新迭代</w:t>
      </w:r>
      <w:r>
        <w:rPr>
          <w:rFonts w:ascii="SimSun" w:hAnsi="SimSun" w:eastAsia="SimSun" w:cs="SimSun"/>
          <w:sz w:val="22"/>
          <w:szCs w:val="22"/>
          <w:spacing w:val="-9"/>
        </w:rPr>
        <w:t>频次加</w:t>
      </w:r>
      <w:r>
        <w:rPr>
          <w:rFonts w:ascii="SimSun" w:hAnsi="SimSun" w:eastAsia="SimSun" w:cs="SimSun"/>
          <w:sz w:val="22"/>
          <w:szCs w:val="22"/>
        </w:rPr>
        <w:t xml:space="preserve"> </w:t>
      </w:r>
      <w:r>
        <w:rPr>
          <w:rFonts w:ascii="SimSun" w:hAnsi="SimSun" w:eastAsia="SimSun" w:cs="SimSun"/>
          <w:sz w:val="22"/>
          <w:szCs w:val="22"/>
          <w:spacing w:val="-12"/>
        </w:rPr>
        <w:t>快，以及数据交换共享更加频繁，数据间共同的语言——元数据管理变得非常重要。</w:t>
      </w:r>
      <w:r>
        <w:rPr>
          <w:rFonts w:ascii="SimSun" w:hAnsi="SimSun" w:eastAsia="SimSun" w:cs="SimSun"/>
          <w:sz w:val="22"/>
          <w:szCs w:val="22"/>
          <w:spacing w:val="12"/>
        </w:rPr>
        <w:t xml:space="preserve"> </w:t>
      </w:r>
      <w:r>
        <w:rPr>
          <w:rFonts w:ascii="SimSun" w:hAnsi="SimSun" w:eastAsia="SimSun" w:cs="SimSun"/>
          <w:sz w:val="22"/>
          <w:szCs w:val="22"/>
          <w:spacing w:val="-8"/>
        </w:rPr>
        <w:t>元数据标准能够使数据生产者和用户一起着</w:t>
      </w:r>
      <w:r>
        <w:rPr>
          <w:rFonts w:ascii="SimSun" w:hAnsi="SimSun" w:eastAsia="SimSun" w:cs="SimSun"/>
          <w:sz w:val="22"/>
          <w:szCs w:val="22"/>
          <w:spacing w:val="-9"/>
        </w:rPr>
        <w:t>手处理有关元数据交换、共享和管理的</w:t>
      </w:r>
      <w:r>
        <w:rPr>
          <w:rFonts w:ascii="SimSun" w:hAnsi="SimSun" w:eastAsia="SimSun" w:cs="SimSun"/>
          <w:sz w:val="22"/>
          <w:szCs w:val="22"/>
        </w:rPr>
        <w:t xml:space="preserve">  </w:t>
      </w:r>
      <w:r>
        <w:rPr>
          <w:rFonts w:ascii="SimSun" w:hAnsi="SimSun" w:eastAsia="SimSun" w:cs="SimSun"/>
          <w:sz w:val="22"/>
          <w:szCs w:val="22"/>
          <w:spacing w:val="-13"/>
        </w:rPr>
        <w:t>问题。组织制订的元数据标准应当遵循两个最基本的原则：</w:t>
      </w:r>
      <w:r>
        <w:rPr>
          <w:rFonts w:ascii="SimSun" w:hAnsi="SimSun" w:eastAsia="SimSun" w:cs="SimSun"/>
          <w:sz w:val="22"/>
          <w:szCs w:val="22"/>
          <w:spacing w:val="56"/>
        </w:rPr>
        <w:t xml:space="preserve"> </w:t>
      </w:r>
      <w:r>
        <w:rPr>
          <w:rFonts w:ascii="SimSun" w:hAnsi="SimSun" w:eastAsia="SimSun" w:cs="SimSun"/>
          <w:sz w:val="22"/>
          <w:szCs w:val="22"/>
          <w:spacing w:val="-14"/>
        </w:rPr>
        <w:t>一是标准的制订需要参</w:t>
      </w:r>
      <w:r>
        <w:rPr>
          <w:rFonts w:ascii="SimSun" w:hAnsi="SimSun" w:eastAsia="SimSun" w:cs="SimSun"/>
          <w:sz w:val="22"/>
          <w:szCs w:val="22"/>
        </w:rPr>
        <w:t xml:space="preserve">  </w:t>
      </w:r>
      <w:r>
        <w:rPr>
          <w:rFonts w:ascii="SimSun" w:hAnsi="SimSun" w:eastAsia="SimSun" w:cs="SimSun"/>
          <w:sz w:val="22"/>
          <w:szCs w:val="22"/>
          <w:spacing w:val="-10"/>
        </w:rPr>
        <w:t>照通用元数据标准和行业元数据标准，二是元数据标准需要满足业务需求。</w:t>
      </w:r>
    </w:p>
    <w:p>
      <w:pPr>
        <w:ind w:left="250" w:right="72" w:firstLine="449"/>
        <w:spacing w:before="58" w:line="255" w:lineRule="auto"/>
        <w:rPr>
          <w:rFonts w:ascii="SimSun" w:hAnsi="SimSun" w:eastAsia="SimSun" w:cs="SimSun"/>
          <w:sz w:val="22"/>
          <w:szCs w:val="22"/>
        </w:rPr>
      </w:pPr>
      <w:r>
        <w:rPr>
          <w:rFonts w:ascii="SimSun" w:hAnsi="SimSun" w:eastAsia="SimSun" w:cs="SimSun"/>
          <w:sz w:val="22"/>
          <w:szCs w:val="22"/>
          <w:spacing w:val="-8"/>
        </w:rPr>
        <w:t>成熟的元数据标准包括通用元数据标准和行业元数据标准。通用元数据标</w:t>
      </w:r>
      <w:r>
        <w:rPr>
          <w:rFonts w:ascii="SimSun" w:hAnsi="SimSun" w:eastAsia="SimSun" w:cs="SimSun"/>
          <w:sz w:val="22"/>
          <w:szCs w:val="22"/>
          <w:spacing w:val="-9"/>
        </w:rPr>
        <w:t>准例</w:t>
      </w:r>
      <w:r>
        <w:rPr>
          <w:rFonts w:ascii="SimSun" w:hAnsi="SimSun" w:eastAsia="SimSun" w:cs="SimSun"/>
          <w:sz w:val="22"/>
          <w:szCs w:val="22"/>
        </w:rPr>
        <w:t xml:space="preserve"> </w:t>
      </w:r>
      <w:r>
        <w:rPr>
          <w:rFonts w:ascii="SimSun" w:hAnsi="SimSun" w:eastAsia="SimSun" w:cs="SimSun"/>
          <w:sz w:val="22"/>
          <w:szCs w:val="22"/>
          <w:spacing w:val="-7"/>
        </w:rPr>
        <w:t>如</w:t>
      </w:r>
      <w:r>
        <w:rPr>
          <w:rFonts w:ascii="Times New Roman" w:hAnsi="Times New Roman" w:eastAsia="Times New Roman" w:cs="Times New Roman"/>
          <w:sz w:val="22"/>
          <w:szCs w:val="22"/>
          <w:spacing w:val="-7"/>
        </w:rPr>
        <w:t>ISO</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7"/>
        </w:rPr>
        <w:t>发布的</w:t>
      </w:r>
      <w:r>
        <w:rPr>
          <w:rFonts w:ascii="Times New Roman" w:hAnsi="Times New Roman" w:eastAsia="Times New Roman" w:cs="Times New Roman"/>
          <w:sz w:val="22"/>
          <w:szCs w:val="22"/>
          <w:spacing w:val="-7"/>
        </w:rPr>
        <w:t>ISO/IEC11179 </w:t>
      </w:r>
      <w:r>
        <w:rPr>
          <w:rFonts w:ascii="SimSun" w:hAnsi="SimSun" w:eastAsia="SimSun" w:cs="SimSun"/>
          <w:sz w:val="22"/>
          <w:szCs w:val="22"/>
          <w:spacing w:val="-7"/>
        </w:rPr>
        <w:t>系列标准、GB/T18391.1</w:t>
      </w:r>
      <w:r>
        <w:rPr>
          <w:rFonts w:ascii="SimSun" w:hAnsi="SimSun" w:eastAsia="SimSun" w:cs="SimSun"/>
          <w:sz w:val="22"/>
          <w:szCs w:val="22"/>
          <w:spacing w:val="-44"/>
        </w:rPr>
        <w:t xml:space="preserve"> </w:t>
      </w:r>
      <w:r>
        <w:rPr>
          <w:rFonts w:ascii="SimSun" w:hAnsi="SimSun" w:eastAsia="SimSun" w:cs="SimSun"/>
          <w:sz w:val="22"/>
          <w:szCs w:val="22"/>
          <w:spacing w:val="-7"/>
        </w:rPr>
        <w:t>系列标准、《GB</w:t>
      </w:r>
      <w:r>
        <w:rPr>
          <w:rFonts w:ascii="SimSun" w:hAnsi="SimSun" w:eastAsia="SimSun" w:cs="SimSun"/>
          <w:sz w:val="22"/>
          <w:szCs w:val="22"/>
          <w:spacing w:val="-8"/>
        </w:rPr>
        <w:t>/T30522—2014</w:t>
      </w:r>
      <w:r>
        <w:rPr>
          <w:rFonts w:ascii="SimSun" w:hAnsi="SimSun" w:eastAsia="SimSun" w:cs="SimSun"/>
          <w:sz w:val="22"/>
          <w:szCs w:val="22"/>
        </w:rPr>
        <w:t xml:space="preserve"> </w:t>
      </w:r>
      <w:r>
        <w:rPr>
          <w:rFonts w:ascii="SimSun" w:hAnsi="SimSun" w:eastAsia="SimSun" w:cs="SimSun"/>
          <w:sz w:val="22"/>
          <w:szCs w:val="22"/>
          <w:spacing w:val="-8"/>
        </w:rPr>
        <w:t>科技平台元数据标准化基本原则与方法》等。行业</w:t>
      </w:r>
      <w:r>
        <w:rPr>
          <w:rFonts w:ascii="SimSun" w:hAnsi="SimSun" w:eastAsia="SimSun" w:cs="SimSun"/>
          <w:sz w:val="22"/>
          <w:szCs w:val="22"/>
          <w:spacing w:val="-9"/>
        </w:rPr>
        <w:t>元数据标准是根据各个行业特点</w:t>
      </w:r>
      <w:r>
        <w:rPr>
          <w:rFonts w:ascii="SimSun" w:hAnsi="SimSun" w:eastAsia="SimSun" w:cs="SimSun"/>
          <w:sz w:val="22"/>
          <w:szCs w:val="22"/>
        </w:rPr>
        <w:t xml:space="preserve"> </w:t>
      </w:r>
      <w:r>
        <w:rPr>
          <w:rFonts w:ascii="SimSun" w:hAnsi="SimSun" w:eastAsia="SimSun" w:cs="SimSun"/>
          <w:sz w:val="22"/>
          <w:szCs w:val="22"/>
          <w:spacing w:val="-2"/>
        </w:rPr>
        <w:t>制订的元数据标准化指导规范，例如</w:t>
      </w:r>
      <w:r>
        <w:rPr>
          <w:rFonts w:ascii="Times New Roman" w:hAnsi="Times New Roman" w:eastAsia="Times New Roman" w:cs="Times New Roman"/>
          <w:sz w:val="22"/>
          <w:szCs w:val="22"/>
          <w:spacing w:val="-2"/>
        </w:rPr>
        <w:t>CWM(Com</w:t>
      </w:r>
      <w:r>
        <w:rPr>
          <w:rFonts w:ascii="Times New Roman" w:hAnsi="Times New Roman" w:eastAsia="Times New Roman" w:cs="Times New Roman"/>
          <w:sz w:val="22"/>
          <w:szCs w:val="22"/>
          <w:spacing w:val="-3"/>
        </w:rPr>
        <w:t>mon  Warehouse  Metamodel,  </w:t>
      </w:r>
      <w:r>
        <w:rPr>
          <w:rFonts w:ascii="SimSun" w:hAnsi="SimSun" w:eastAsia="SimSun" w:cs="SimSun"/>
          <w:sz w:val="22"/>
          <w:szCs w:val="22"/>
          <w:spacing w:val="-3"/>
        </w:rPr>
        <w:t>公共</w:t>
      </w:r>
      <w:r>
        <w:rPr>
          <w:rFonts w:ascii="SimSun" w:hAnsi="SimSun" w:eastAsia="SimSun" w:cs="SimSun"/>
          <w:sz w:val="22"/>
          <w:szCs w:val="22"/>
        </w:rPr>
        <w:t xml:space="preserve"> </w:t>
      </w:r>
      <w:r>
        <w:rPr>
          <w:rFonts w:ascii="SimSun" w:hAnsi="SimSun" w:eastAsia="SimSun" w:cs="SimSun"/>
          <w:sz w:val="22"/>
          <w:szCs w:val="22"/>
          <w:spacing w:val="-4"/>
        </w:rPr>
        <w:t>仓库元模型)、</w:t>
      </w:r>
      <w:r>
        <w:rPr>
          <w:rFonts w:ascii="Times New Roman" w:hAnsi="Times New Roman" w:eastAsia="Times New Roman" w:cs="Times New Roman"/>
          <w:sz w:val="22"/>
          <w:szCs w:val="22"/>
          <w:spacing w:val="-4"/>
        </w:rPr>
        <w:t>OIM(Open   Information   Model,</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4"/>
        </w:rPr>
        <w:t>开放信息模型)、</w:t>
      </w:r>
      <w:r>
        <w:rPr>
          <w:rFonts w:ascii="Times New Roman" w:hAnsi="Times New Roman" w:eastAsia="Times New Roman" w:cs="Times New Roman"/>
          <w:sz w:val="22"/>
          <w:szCs w:val="22"/>
          <w:spacing w:val="-4"/>
        </w:rPr>
        <w:t>MDIS  (Meta  Data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Interchange</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5"/>
        </w:rPr>
        <w:t>Specification,</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5"/>
        </w:rPr>
        <w:t>元数据交换标准)、《GB/T19710-2005 地理信息元</w:t>
      </w:r>
      <w:r>
        <w:rPr>
          <w:rFonts w:ascii="SimSun" w:hAnsi="SimSun" w:eastAsia="SimSun" w:cs="SimSun"/>
          <w:sz w:val="22"/>
          <w:szCs w:val="22"/>
          <w:spacing w:val="-6"/>
        </w:rPr>
        <w:t>数据》</w:t>
      </w:r>
      <w:r>
        <w:rPr>
          <w:rFonts w:ascii="SimSun" w:hAnsi="SimSun" w:eastAsia="SimSun" w:cs="SimSun"/>
          <w:sz w:val="22"/>
          <w:szCs w:val="22"/>
        </w:rPr>
        <w:t xml:space="preserve"> </w:t>
      </w:r>
      <w:r>
        <w:rPr>
          <w:rFonts w:ascii="SimSun" w:hAnsi="SimSun" w:eastAsia="SimSun" w:cs="SimSun"/>
          <w:sz w:val="22"/>
          <w:szCs w:val="22"/>
          <w:spacing w:val="-8"/>
        </w:rPr>
        <w:t>等。组织在制订数据元数据标准时应当采用</w:t>
      </w:r>
      <w:r>
        <w:rPr>
          <w:rFonts w:ascii="SimSun" w:hAnsi="SimSun" w:eastAsia="SimSun" w:cs="SimSun"/>
          <w:sz w:val="22"/>
          <w:szCs w:val="22"/>
          <w:spacing w:val="-9"/>
        </w:rPr>
        <w:t>已经被业界认可、面向行业特定需要的</w:t>
      </w:r>
      <w:r>
        <w:rPr>
          <w:rFonts w:ascii="SimSun" w:hAnsi="SimSun" w:eastAsia="SimSun" w:cs="SimSun"/>
          <w:sz w:val="22"/>
          <w:szCs w:val="22"/>
        </w:rPr>
        <w:t xml:space="preserve"> </w:t>
      </w:r>
      <w:r>
        <w:rPr>
          <w:rFonts w:ascii="SimSun" w:hAnsi="SimSun" w:eastAsia="SimSun" w:cs="SimSun"/>
          <w:sz w:val="22"/>
          <w:szCs w:val="22"/>
          <w:spacing w:val="-10"/>
        </w:rPr>
        <w:t>元数据标准，并作为所有元数据管理新技术的原则。</w:t>
      </w:r>
    </w:p>
    <w:p>
      <w:pPr>
        <w:ind w:left="250" w:firstLine="449"/>
        <w:spacing w:before="100" w:line="235" w:lineRule="auto"/>
        <w:rPr>
          <w:rFonts w:ascii="SimSun" w:hAnsi="SimSun" w:eastAsia="SimSun" w:cs="SimSun"/>
          <w:sz w:val="22"/>
          <w:szCs w:val="22"/>
        </w:rPr>
      </w:pPr>
      <w:r>
        <w:rPr>
          <w:rFonts w:ascii="SimSun" w:hAnsi="SimSun" w:eastAsia="SimSun" w:cs="SimSun"/>
          <w:sz w:val="22"/>
          <w:szCs w:val="22"/>
          <w:spacing w:val="-12"/>
        </w:rPr>
        <w:t>组织制订的元数据库应该是面向组织需求的，尤其是业务元数据和操作元数据，</w:t>
      </w:r>
      <w:r>
        <w:rPr>
          <w:rFonts w:ascii="SimSun" w:hAnsi="SimSun" w:eastAsia="SimSun" w:cs="SimSun"/>
          <w:sz w:val="22"/>
          <w:szCs w:val="22"/>
        </w:rPr>
        <w:t xml:space="preserve"> </w:t>
      </w:r>
      <w:r>
        <w:rPr>
          <w:rFonts w:ascii="SimSun" w:hAnsi="SimSun" w:eastAsia="SimSun" w:cs="SimSun"/>
          <w:sz w:val="22"/>
          <w:szCs w:val="22"/>
          <w:spacing w:val="-10"/>
        </w:rPr>
        <w:t>应该紧密围绕组织的信息治理战略，能够覆盖数据治理体系所有环节的需求。</w:t>
      </w:r>
    </w:p>
    <w:p>
      <w:pPr>
        <w:ind w:left="700"/>
        <w:spacing w:before="39" w:line="219" w:lineRule="auto"/>
        <w:rPr>
          <w:rFonts w:ascii="SimSun" w:hAnsi="SimSun" w:eastAsia="SimSun" w:cs="SimSun"/>
          <w:sz w:val="22"/>
          <w:szCs w:val="22"/>
        </w:rPr>
      </w:pPr>
      <w:r>
        <w:rPr>
          <w:rFonts w:ascii="SimSun" w:hAnsi="SimSun" w:eastAsia="SimSun" w:cs="SimSun"/>
          <w:sz w:val="22"/>
          <w:szCs w:val="22"/>
          <w:spacing w:val="-1"/>
        </w:rPr>
        <w:t>(4)构建元数据环境</w:t>
      </w:r>
    </w:p>
    <w:p>
      <w:pPr>
        <w:ind w:left="250" w:right="100" w:firstLine="449"/>
        <w:spacing w:before="71"/>
        <w:rPr>
          <w:rFonts w:ascii="SimSun" w:hAnsi="SimSun" w:eastAsia="SimSun" w:cs="SimSun"/>
          <w:sz w:val="22"/>
          <w:szCs w:val="22"/>
        </w:rPr>
      </w:pPr>
      <w:r>
        <w:rPr>
          <w:rFonts w:ascii="SimSun" w:hAnsi="SimSun" w:eastAsia="SimSun" w:cs="SimSun"/>
          <w:sz w:val="22"/>
          <w:szCs w:val="22"/>
          <w:spacing w:val="-9"/>
        </w:rPr>
        <w:t>元数据环境是指组织足够重视元数据的管理，在策略、操作指南、人员意识等</w:t>
      </w:r>
      <w:r>
        <w:rPr>
          <w:rFonts w:ascii="SimSun" w:hAnsi="SimSun" w:eastAsia="SimSun" w:cs="SimSun"/>
          <w:sz w:val="22"/>
          <w:szCs w:val="22"/>
          <w:spacing w:val="4"/>
        </w:rPr>
        <w:t xml:space="preserve"> </w:t>
      </w:r>
      <w:r>
        <w:rPr>
          <w:rFonts w:ascii="SimSun" w:hAnsi="SimSun" w:eastAsia="SimSun" w:cs="SimSun"/>
          <w:sz w:val="22"/>
          <w:szCs w:val="22"/>
          <w:spacing w:val="-9"/>
        </w:rPr>
        <w:t>各个层级支持元数据管理。组织的数据治理战略应当包括元数据管理目标，并相应</w:t>
      </w:r>
      <w:r>
        <w:rPr>
          <w:rFonts w:ascii="SimSun" w:hAnsi="SimSun" w:eastAsia="SimSun" w:cs="SimSun"/>
          <w:sz w:val="22"/>
          <w:szCs w:val="22"/>
          <w:spacing w:val="12"/>
        </w:rPr>
        <w:t xml:space="preserve"> </w:t>
      </w:r>
      <w:r>
        <w:rPr>
          <w:rFonts w:ascii="SimSun" w:hAnsi="SimSun" w:eastAsia="SimSun" w:cs="SimSun"/>
          <w:sz w:val="22"/>
          <w:szCs w:val="22"/>
          <w:spacing w:val="-10"/>
        </w:rPr>
        <w:t>地制订元数据管理指南，经过高层管理者批准后传达给数据治理相关者。</w:t>
      </w:r>
    </w:p>
    <w:p>
      <w:pPr>
        <w:sectPr>
          <w:footerReference w:type="default" r:id="rId509"/>
          <w:pgSz w:w="8870" w:h="13400"/>
          <w:pgMar w:top="400" w:right="369" w:bottom="505" w:left="519" w:header="0" w:footer="286" w:gutter="0"/>
        </w:sectPr>
        <w:rPr>
          <w:rFonts w:ascii="SimSun" w:hAnsi="SimSun" w:eastAsia="SimSun" w:cs="SimSun"/>
          <w:sz w:val="22"/>
          <w:szCs w:val="22"/>
        </w:rPr>
      </w:pPr>
    </w:p>
    <w:p>
      <w:pPr>
        <w:ind w:left="4553"/>
        <w:spacing w:before="214" w:line="219" w:lineRule="auto"/>
        <w:rPr>
          <w:rFonts w:ascii="SimSun" w:hAnsi="SimSun" w:eastAsia="SimSun" w:cs="SimSun"/>
          <w:sz w:val="21"/>
          <w:szCs w:val="21"/>
        </w:rPr>
      </w:pPr>
      <w:bookmarkStart w:name="bookmark99" w:id="94"/>
      <w:bookmarkEnd w:id="94"/>
      <w:r>
        <w:rPr>
          <w:rFonts w:ascii="SimSun" w:hAnsi="SimSun" w:eastAsia="SimSun" w:cs="SimSun"/>
          <w:sz w:val="21"/>
          <w:szCs w:val="21"/>
          <w:b/>
          <w:bCs/>
          <w:spacing w:val="8"/>
        </w:rPr>
        <w:t>第11章■云端数据治理体系实施</w:t>
      </w:r>
    </w:p>
    <w:p>
      <w:pPr>
        <w:pStyle w:val="BodyText"/>
        <w:spacing w:line="255"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7"/>
        </w:rPr>
        <w:t>(5)创建整合元数据</w:t>
      </w:r>
    </w:p>
    <w:p>
      <w:pPr>
        <w:ind w:right="233" w:firstLine="410"/>
        <w:spacing w:before="61" w:line="259" w:lineRule="auto"/>
        <w:rPr>
          <w:rFonts w:ascii="SimSun" w:hAnsi="SimSun" w:eastAsia="SimSun" w:cs="SimSun"/>
          <w:sz w:val="21"/>
          <w:szCs w:val="21"/>
        </w:rPr>
      </w:pPr>
      <w:r>
        <w:rPr>
          <w:rFonts w:ascii="SimSun" w:hAnsi="SimSun" w:eastAsia="SimSun" w:cs="SimSun"/>
          <w:sz w:val="21"/>
          <w:szCs w:val="21"/>
          <w:spacing w:val="1"/>
        </w:rPr>
        <w:t>根据业务和数据治理需要，依据元数据标准创建元数据，做到元数据源于数据</w:t>
      </w:r>
      <w:r>
        <w:rPr>
          <w:rFonts w:ascii="SimSun" w:hAnsi="SimSun" w:eastAsia="SimSun" w:cs="SimSun"/>
          <w:sz w:val="21"/>
          <w:szCs w:val="21"/>
          <w:spacing w:val="17"/>
        </w:rPr>
        <w:t xml:space="preserve"> </w:t>
      </w:r>
      <w:r>
        <w:rPr>
          <w:rFonts w:ascii="SimSun" w:hAnsi="SimSun" w:eastAsia="SimSun" w:cs="SimSun"/>
          <w:sz w:val="21"/>
          <w:szCs w:val="21"/>
        </w:rPr>
        <w:t>治理并服务于数据治理。添加元数据等操作可以授予用户和程序以手工方式完成，</w:t>
      </w:r>
      <w:r>
        <w:rPr>
          <w:rFonts w:ascii="SimSun" w:hAnsi="SimSun" w:eastAsia="SimSun" w:cs="SimSun"/>
          <w:sz w:val="21"/>
          <w:szCs w:val="21"/>
          <w:spacing w:val="13"/>
        </w:rPr>
        <w:t xml:space="preserve"> </w:t>
      </w:r>
      <w:r>
        <w:rPr>
          <w:rFonts w:ascii="SimSun" w:hAnsi="SimSun" w:eastAsia="SimSun" w:cs="SimSun"/>
          <w:sz w:val="21"/>
          <w:szCs w:val="21"/>
          <w:spacing w:val="1"/>
        </w:rPr>
        <w:t>也可以通过元数据创建和更新工具定期扫描和更新元数据库。整合元数据是将不同</w:t>
      </w:r>
      <w:r>
        <w:rPr>
          <w:rFonts w:ascii="SimSun" w:hAnsi="SimSun" w:eastAsia="SimSun" w:cs="SimSun"/>
          <w:sz w:val="21"/>
          <w:szCs w:val="21"/>
          <w:spacing w:val="12"/>
        </w:rPr>
        <w:t xml:space="preserve"> </w:t>
      </w:r>
      <w:r>
        <w:rPr>
          <w:rFonts w:ascii="SimSun" w:hAnsi="SimSun" w:eastAsia="SimSun" w:cs="SimSun"/>
          <w:sz w:val="21"/>
          <w:szCs w:val="21"/>
          <w:spacing w:val="-1"/>
        </w:rPr>
        <w:t>来源的元数据进行汇总存储，元数据来自数据内部，也可能</w:t>
      </w:r>
      <w:r>
        <w:rPr>
          <w:rFonts w:ascii="SimSun" w:hAnsi="SimSun" w:eastAsia="SimSun" w:cs="SimSun"/>
          <w:sz w:val="21"/>
          <w:szCs w:val="21"/>
          <w:spacing w:val="-2"/>
        </w:rPr>
        <w:t>来自组织外部。</w:t>
      </w:r>
    </w:p>
    <w:p>
      <w:pPr>
        <w:ind w:left="410"/>
        <w:spacing w:before="70" w:line="219" w:lineRule="auto"/>
        <w:rPr>
          <w:rFonts w:ascii="SimSun" w:hAnsi="SimSun" w:eastAsia="SimSun" w:cs="SimSun"/>
          <w:sz w:val="21"/>
          <w:szCs w:val="21"/>
        </w:rPr>
      </w:pPr>
      <w:r>
        <w:rPr>
          <w:rFonts w:ascii="SimSun" w:hAnsi="SimSun" w:eastAsia="SimSun" w:cs="SimSun"/>
          <w:sz w:val="21"/>
          <w:szCs w:val="21"/>
          <w:spacing w:val="10"/>
        </w:rPr>
        <w:t>(6)交付元数据</w:t>
      </w:r>
    </w:p>
    <w:p>
      <w:pPr>
        <w:ind w:right="240" w:firstLine="410"/>
        <w:spacing w:before="41" w:line="254" w:lineRule="auto"/>
        <w:rPr>
          <w:rFonts w:ascii="SimSun" w:hAnsi="SimSun" w:eastAsia="SimSun" w:cs="SimSun"/>
          <w:sz w:val="21"/>
          <w:szCs w:val="21"/>
        </w:rPr>
      </w:pPr>
      <w:r>
        <w:rPr>
          <w:rFonts w:ascii="SimSun" w:hAnsi="SimSun" w:eastAsia="SimSun" w:cs="SimSun"/>
          <w:sz w:val="21"/>
          <w:szCs w:val="21"/>
          <w:spacing w:val="1"/>
        </w:rPr>
        <w:t>交付元数据负责将创建的元数据从元数据库中分发给数据治理组织使用，同时</w:t>
      </w:r>
      <w:r>
        <w:rPr>
          <w:rFonts w:ascii="SimSun" w:hAnsi="SimSun" w:eastAsia="SimSun" w:cs="SimSun"/>
          <w:sz w:val="21"/>
          <w:szCs w:val="21"/>
          <w:spacing w:val="17"/>
        </w:rPr>
        <w:t xml:space="preserve"> </w:t>
      </w:r>
      <w:r>
        <w:rPr>
          <w:rFonts w:ascii="SimSun" w:hAnsi="SimSun" w:eastAsia="SimSun" w:cs="SimSun"/>
          <w:sz w:val="21"/>
          <w:szCs w:val="21"/>
          <w:spacing w:val="-2"/>
        </w:rPr>
        <w:t>建立元数据使用反馈机制，及时调整元数据管理策略。</w:t>
      </w:r>
    </w:p>
    <w:p>
      <w:pPr>
        <w:ind w:left="410"/>
        <w:spacing w:before="82" w:line="219" w:lineRule="auto"/>
        <w:rPr>
          <w:rFonts w:ascii="SimSun" w:hAnsi="SimSun" w:eastAsia="SimSun" w:cs="SimSun"/>
          <w:sz w:val="21"/>
          <w:szCs w:val="21"/>
        </w:rPr>
      </w:pPr>
      <w:r>
        <w:rPr>
          <w:rFonts w:ascii="SimSun" w:hAnsi="SimSun" w:eastAsia="SimSun" w:cs="SimSun"/>
          <w:sz w:val="21"/>
          <w:szCs w:val="21"/>
          <w:spacing w:val="10"/>
        </w:rPr>
        <w:t>(7)维护元数据</w:t>
      </w:r>
    </w:p>
    <w:p>
      <w:pPr>
        <w:ind w:right="235" w:firstLine="410"/>
        <w:spacing w:before="49" w:line="259" w:lineRule="auto"/>
        <w:rPr>
          <w:rFonts w:ascii="SimSun" w:hAnsi="SimSun" w:eastAsia="SimSun" w:cs="SimSun"/>
          <w:sz w:val="21"/>
          <w:szCs w:val="21"/>
        </w:rPr>
      </w:pPr>
      <w:r>
        <w:rPr>
          <w:rFonts w:ascii="SimSun" w:hAnsi="SimSun" w:eastAsia="SimSun" w:cs="SimSun"/>
          <w:sz w:val="21"/>
          <w:szCs w:val="21"/>
          <w:spacing w:val="1"/>
        </w:rPr>
        <w:t>元数据管理是一个持续的过程，组织要根据数据治理的内外部环境变化，调整</w:t>
      </w:r>
      <w:r>
        <w:rPr>
          <w:rFonts w:ascii="SimSun" w:hAnsi="SimSun" w:eastAsia="SimSun" w:cs="SimSun"/>
          <w:sz w:val="21"/>
          <w:szCs w:val="21"/>
          <w:spacing w:val="15"/>
        </w:rPr>
        <w:t xml:space="preserve"> </w:t>
      </w:r>
      <w:r>
        <w:rPr>
          <w:rFonts w:ascii="SimSun" w:hAnsi="SimSun" w:eastAsia="SimSun" w:cs="SimSun"/>
          <w:sz w:val="21"/>
          <w:szCs w:val="21"/>
          <w:spacing w:val="1"/>
        </w:rPr>
        <w:t>元数据管理策略，及时更新元数据库，尤其是当新业务和新技术出现后，更新元数</w:t>
      </w:r>
      <w:r>
        <w:rPr>
          <w:rFonts w:ascii="SimSun" w:hAnsi="SimSun" w:eastAsia="SimSun" w:cs="SimSun"/>
          <w:sz w:val="21"/>
          <w:szCs w:val="21"/>
          <w:spacing w:val="2"/>
        </w:rPr>
        <w:t xml:space="preserve"> </w:t>
      </w:r>
      <w:r>
        <w:rPr>
          <w:rFonts w:ascii="SimSun" w:hAnsi="SimSun" w:eastAsia="SimSun" w:cs="SimSun"/>
          <w:sz w:val="21"/>
          <w:szCs w:val="21"/>
          <w:spacing w:val="1"/>
        </w:rPr>
        <w:t>据以支持数据治理。元数据是数据治理的一个基础，组织保证其正确性、可用性和</w:t>
      </w:r>
      <w:r>
        <w:rPr>
          <w:rFonts w:ascii="SimSun" w:hAnsi="SimSun" w:eastAsia="SimSun" w:cs="SimSun"/>
          <w:sz w:val="21"/>
          <w:szCs w:val="21"/>
          <w:spacing w:val="10"/>
        </w:rPr>
        <w:t xml:space="preserve"> </w:t>
      </w:r>
      <w:r>
        <w:rPr>
          <w:rFonts w:ascii="SimSun" w:hAnsi="SimSun" w:eastAsia="SimSun" w:cs="SimSun"/>
          <w:sz w:val="21"/>
          <w:szCs w:val="21"/>
          <w:spacing w:val="-1"/>
        </w:rPr>
        <w:t>安全，元数据的更新应当采用变更管理机制，在变更前评估因此可</w:t>
      </w:r>
      <w:r>
        <w:rPr>
          <w:rFonts w:ascii="SimSun" w:hAnsi="SimSun" w:eastAsia="SimSun" w:cs="SimSun"/>
          <w:sz w:val="21"/>
          <w:szCs w:val="21"/>
          <w:spacing w:val="-2"/>
        </w:rPr>
        <w:t>能带来的影响。</w:t>
      </w:r>
    </w:p>
    <w:p>
      <w:pPr>
        <w:ind w:left="410"/>
        <w:spacing w:before="62" w:line="218" w:lineRule="auto"/>
        <w:rPr>
          <w:rFonts w:ascii="SimSun" w:hAnsi="SimSun" w:eastAsia="SimSun" w:cs="SimSun"/>
          <w:sz w:val="21"/>
          <w:szCs w:val="21"/>
        </w:rPr>
      </w:pPr>
      <w:r>
        <w:rPr>
          <w:rFonts w:ascii="SimSun" w:hAnsi="SimSun" w:eastAsia="SimSun" w:cs="SimSun"/>
          <w:sz w:val="21"/>
          <w:szCs w:val="21"/>
          <w:spacing w:val="5"/>
        </w:rPr>
        <w:t>(8)执行元数据管理成熟度评估</w:t>
      </w:r>
    </w:p>
    <w:p>
      <w:pPr>
        <w:ind w:right="241" w:firstLine="410"/>
        <w:spacing w:before="63" w:line="249" w:lineRule="auto"/>
        <w:rPr>
          <w:rFonts w:ascii="SimSun" w:hAnsi="SimSun" w:eastAsia="SimSun" w:cs="SimSun"/>
          <w:sz w:val="21"/>
          <w:szCs w:val="21"/>
        </w:rPr>
      </w:pPr>
      <w:r>
        <w:rPr>
          <w:rFonts w:ascii="SimSun" w:hAnsi="SimSun" w:eastAsia="SimSun" w:cs="SimSun"/>
          <w:sz w:val="21"/>
          <w:szCs w:val="21"/>
          <w:spacing w:val="1"/>
        </w:rPr>
        <w:t>依据云端数据治理成熟度模型中元数据管理成熟度等级要求对元数据管理进行</w:t>
      </w:r>
      <w:r>
        <w:rPr>
          <w:rFonts w:ascii="SimSun" w:hAnsi="SimSun" w:eastAsia="SimSun" w:cs="SimSun"/>
          <w:sz w:val="21"/>
          <w:szCs w:val="21"/>
          <w:spacing w:val="15"/>
        </w:rPr>
        <w:t xml:space="preserve"> </w:t>
      </w:r>
      <w:r>
        <w:rPr>
          <w:rFonts w:ascii="SimSun" w:hAnsi="SimSun" w:eastAsia="SimSun" w:cs="SimSun"/>
          <w:sz w:val="21"/>
          <w:szCs w:val="21"/>
          <w:spacing w:val="-1"/>
        </w:rPr>
        <w:t>评估，以便改进元数据管理策略和管理流程。</w:t>
      </w:r>
    </w:p>
    <w:p>
      <w:pPr>
        <w:ind w:left="413"/>
        <w:spacing w:before="209" w:line="225" w:lineRule="auto"/>
        <w:outlineLvl w:val="6"/>
        <w:rPr>
          <w:rFonts w:ascii="YouYuan" w:hAnsi="YouYuan" w:eastAsia="YouYuan" w:cs="YouYuan"/>
          <w:sz w:val="21"/>
          <w:szCs w:val="21"/>
        </w:rPr>
      </w:pPr>
      <w:r>
        <w:rPr>
          <w:rFonts w:ascii="YouYuan" w:hAnsi="YouYuan" w:eastAsia="YouYuan" w:cs="YouYuan"/>
          <w:sz w:val="21"/>
          <w:szCs w:val="21"/>
          <w:b/>
          <w:bCs/>
          <w:spacing w:val="5"/>
        </w:rPr>
        <w:t>4.</w:t>
      </w:r>
      <w:r>
        <w:rPr>
          <w:rFonts w:ascii="YouYuan" w:hAnsi="YouYuan" w:eastAsia="YouYuan" w:cs="YouYuan"/>
          <w:sz w:val="21"/>
          <w:szCs w:val="21"/>
          <w:spacing w:val="5"/>
        </w:rPr>
        <w:t xml:space="preserve"> </w:t>
      </w:r>
      <w:r>
        <w:rPr>
          <w:rFonts w:ascii="YouYuan" w:hAnsi="YouYuan" w:eastAsia="YouYuan" w:cs="YouYuan"/>
          <w:sz w:val="21"/>
          <w:szCs w:val="21"/>
          <w:b/>
          <w:bCs/>
          <w:spacing w:val="5"/>
        </w:rPr>
        <w:t>管理主数据</w:t>
      </w:r>
    </w:p>
    <w:p>
      <w:pPr>
        <w:ind w:right="220" w:firstLine="410"/>
        <w:spacing w:before="221" w:line="267" w:lineRule="auto"/>
        <w:rPr>
          <w:rFonts w:ascii="SimSun" w:hAnsi="SimSun" w:eastAsia="SimSun" w:cs="SimSun"/>
          <w:sz w:val="21"/>
          <w:szCs w:val="21"/>
        </w:rPr>
      </w:pPr>
      <w:r>
        <w:rPr>
          <w:rFonts w:ascii="SimSun" w:hAnsi="SimSun" w:eastAsia="SimSun" w:cs="SimSun"/>
          <w:sz w:val="21"/>
          <w:szCs w:val="21"/>
          <w:spacing w:val="1"/>
        </w:rPr>
        <w:t>主数据是用来描述组织核心业务实体的数据，例如客户</w:t>
      </w:r>
      <w:r>
        <w:rPr>
          <w:rFonts w:ascii="SimSun" w:hAnsi="SimSun" w:eastAsia="SimSun" w:cs="SimSun"/>
          <w:sz w:val="21"/>
          <w:szCs w:val="21"/>
        </w:rPr>
        <w:t>、合作伙伴、供应商、 </w:t>
      </w:r>
      <w:r>
        <w:rPr>
          <w:rFonts w:ascii="SimSun" w:hAnsi="SimSun" w:eastAsia="SimSun" w:cs="SimSun"/>
          <w:sz w:val="21"/>
          <w:szCs w:val="21"/>
          <w:spacing w:val="2"/>
        </w:rPr>
        <w:t>地点、员工、产品、库存、物料单、账户等；它是具有</w:t>
      </w:r>
      <w:r>
        <w:rPr>
          <w:rFonts w:ascii="SimSun" w:hAnsi="SimSun" w:eastAsia="SimSun" w:cs="SimSun"/>
          <w:sz w:val="21"/>
          <w:szCs w:val="21"/>
          <w:spacing w:val="1"/>
        </w:rPr>
        <w:t>高业务价值的、可以在组织</w:t>
      </w:r>
      <w:r>
        <w:rPr>
          <w:rFonts w:ascii="SimSun" w:hAnsi="SimSun" w:eastAsia="SimSun" w:cs="SimSun"/>
          <w:sz w:val="21"/>
          <w:szCs w:val="21"/>
        </w:rPr>
        <w:t xml:space="preserve"> </w:t>
      </w:r>
      <w:r>
        <w:rPr>
          <w:rFonts w:ascii="SimSun" w:hAnsi="SimSun" w:eastAsia="SimSun" w:cs="SimSun"/>
          <w:sz w:val="21"/>
          <w:szCs w:val="21"/>
          <w:spacing w:val="1"/>
        </w:rPr>
        <w:t>内跨越各个业务部门被重复使用的数据，并且存在于多个异构的应用系统中。所以</w:t>
      </w:r>
      <w:r>
        <w:rPr>
          <w:rFonts w:ascii="SimSun" w:hAnsi="SimSun" w:eastAsia="SimSun" w:cs="SimSun"/>
          <w:sz w:val="21"/>
          <w:szCs w:val="21"/>
          <w:spacing w:val="11"/>
        </w:rPr>
        <w:t xml:space="preserve"> </w:t>
      </w:r>
      <w:r>
        <w:rPr>
          <w:rFonts w:ascii="SimSun" w:hAnsi="SimSun" w:eastAsia="SimSun" w:cs="SimSun"/>
          <w:sz w:val="21"/>
          <w:szCs w:val="21"/>
          <w:spacing w:val="1"/>
        </w:rPr>
        <w:t>主数据是在进行组织业务架构分析中发现的核心业务对象，或者认为主数据是组织</w:t>
      </w:r>
      <w:r>
        <w:rPr>
          <w:rFonts w:ascii="SimSun" w:hAnsi="SimSun" w:eastAsia="SimSun" w:cs="SimSun"/>
          <w:sz w:val="21"/>
          <w:szCs w:val="21"/>
          <w:spacing w:val="4"/>
        </w:rPr>
        <w:t xml:space="preserve"> </w:t>
      </w:r>
      <w:r>
        <w:rPr>
          <w:rFonts w:ascii="SimSun" w:hAnsi="SimSun" w:eastAsia="SimSun" w:cs="SimSun"/>
          <w:sz w:val="21"/>
          <w:szCs w:val="21"/>
          <w:spacing w:val="-1"/>
        </w:rPr>
        <w:t>已经存在的涉及到价值链核心业务流程的各个</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系统的基础数据。不同行业的组织</w:t>
      </w:r>
      <w:r>
        <w:rPr>
          <w:rFonts w:ascii="SimSun" w:hAnsi="SimSun" w:eastAsia="SimSun" w:cs="SimSun"/>
          <w:sz w:val="21"/>
          <w:szCs w:val="21"/>
        </w:rPr>
        <w:t xml:space="preserve"> </w:t>
      </w:r>
      <w:r>
        <w:rPr>
          <w:rFonts w:ascii="SimSun" w:hAnsi="SimSun" w:eastAsia="SimSun" w:cs="SimSun"/>
          <w:sz w:val="21"/>
          <w:szCs w:val="21"/>
          <w:spacing w:val="1"/>
        </w:rPr>
        <w:t>拥有不同类型的主数据，例如对于电信行业组织，电信运营商提供的各种服务可以</w:t>
      </w:r>
      <w:r>
        <w:rPr>
          <w:rFonts w:ascii="SimSun" w:hAnsi="SimSun" w:eastAsia="SimSun" w:cs="SimSun"/>
          <w:sz w:val="21"/>
          <w:szCs w:val="21"/>
          <w:spacing w:val="12"/>
        </w:rPr>
        <w:t xml:space="preserve"> </w:t>
      </w:r>
      <w:r>
        <w:rPr>
          <w:rFonts w:ascii="SimSun" w:hAnsi="SimSun" w:eastAsia="SimSun" w:cs="SimSun"/>
          <w:sz w:val="21"/>
          <w:szCs w:val="21"/>
          <w:spacing w:val="2"/>
        </w:rPr>
        <w:t>形成其产品主数据；对于航空业组织而言，航线、航</w:t>
      </w:r>
      <w:r>
        <w:rPr>
          <w:rFonts w:ascii="SimSun" w:hAnsi="SimSun" w:eastAsia="SimSun" w:cs="SimSun"/>
          <w:sz w:val="21"/>
          <w:szCs w:val="21"/>
          <w:spacing w:val="1"/>
        </w:rPr>
        <w:t>班是其主数据的一种。对于某</w:t>
      </w:r>
      <w:r>
        <w:rPr>
          <w:rFonts w:ascii="SimSun" w:hAnsi="SimSun" w:eastAsia="SimSun" w:cs="SimSun"/>
          <w:sz w:val="21"/>
          <w:szCs w:val="21"/>
        </w:rPr>
        <w:t xml:space="preserve"> </w:t>
      </w:r>
      <w:r>
        <w:rPr>
          <w:rFonts w:ascii="SimSun" w:hAnsi="SimSun" w:eastAsia="SimSun" w:cs="SimSun"/>
          <w:sz w:val="21"/>
          <w:szCs w:val="21"/>
          <w:spacing w:val="1"/>
        </w:rPr>
        <w:t>一个组织的不同业务部门，其主数据也不同，例如市场销售部门关心客户信息，产</w:t>
      </w:r>
      <w:r>
        <w:rPr>
          <w:rFonts w:ascii="SimSun" w:hAnsi="SimSun" w:eastAsia="SimSun" w:cs="SimSun"/>
          <w:sz w:val="21"/>
          <w:szCs w:val="21"/>
          <w:spacing w:val="6"/>
        </w:rPr>
        <w:t xml:space="preserve"> </w:t>
      </w:r>
      <w:r>
        <w:rPr>
          <w:rFonts w:ascii="SimSun" w:hAnsi="SimSun" w:eastAsia="SimSun" w:cs="SimSun"/>
          <w:sz w:val="21"/>
          <w:szCs w:val="21"/>
          <w:spacing w:val="1"/>
        </w:rPr>
        <w:t>品研发部门关心产品编号、产品分类等产品信息，人事部门关心员工机构、部门层</w:t>
      </w:r>
      <w:r>
        <w:rPr>
          <w:rFonts w:ascii="SimSun" w:hAnsi="SimSun" w:eastAsia="SimSun" w:cs="SimSun"/>
          <w:sz w:val="21"/>
          <w:szCs w:val="21"/>
          <w:spacing w:val="5"/>
        </w:rPr>
        <w:t xml:space="preserve"> </w:t>
      </w:r>
      <w:r>
        <w:rPr>
          <w:rFonts w:ascii="SimSun" w:hAnsi="SimSun" w:eastAsia="SimSun" w:cs="SimSun"/>
          <w:sz w:val="21"/>
          <w:szCs w:val="21"/>
          <w:spacing w:val="-6"/>
        </w:rPr>
        <w:t>次关系等信息。</w:t>
      </w:r>
    </w:p>
    <w:p>
      <w:pPr>
        <w:ind w:right="235" w:firstLine="410"/>
        <w:spacing w:before="91" w:line="261" w:lineRule="auto"/>
        <w:rPr>
          <w:rFonts w:ascii="SimSun" w:hAnsi="SimSun" w:eastAsia="SimSun" w:cs="SimSun"/>
          <w:sz w:val="21"/>
          <w:szCs w:val="21"/>
        </w:rPr>
      </w:pPr>
      <w:r>
        <w:rPr>
          <w:rFonts w:ascii="SimSun" w:hAnsi="SimSun" w:eastAsia="SimSun" w:cs="SimSun"/>
          <w:sz w:val="21"/>
          <w:szCs w:val="21"/>
          <w:spacing w:val="7"/>
        </w:rPr>
        <w:t>主数据管理是一套关于如何在组织内创建、整合、维护并使用主数据的活动</w:t>
      </w:r>
      <w:r>
        <w:rPr>
          <w:rFonts w:ascii="SimSun" w:hAnsi="SimSun" w:eastAsia="SimSun" w:cs="SimSun"/>
          <w:sz w:val="21"/>
          <w:szCs w:val="21"/>
          <w:spacing w:val="12"/>
        </w:rPr>
        <w:t xml:space="preserve"> </w:t>
      </w:r>
      <w:r>
        <w:rPr>
          <w:rFonts w:ascii="SimSun" w:hAnsi="SimSun" w:eastAsia="SimSun" w:cs="SimSun"/>
          <w:sz w:val="21"/>
          <w:szCs w:val="21"/>
          <w:spacing w:val="3"/>
        </w:rPr>
        <w:t>集合，通过制订主数据的规范、技术和方案，以保证主数据的完整性、</w:t>
      </w:r>
      <w:r>
        <w:rPr>
          <w:rFonts w:ascii="SimSun" w:hAnsi="SimSun" w:eastAsia="SimSun" w:cs="SimSun"/>
          <w:sz w:val="21"/>
          <w:szCs w:val="21"/>
          <w:spacing w:val="50"/>
        </w:rPr>
        <w:t xml:space="preserve"> </w:t>
      </w:r>
      <w:r>
        <w:rPr>
          <w:rFonts w:ascii="SimSun" w:hAnsi="SimSun" w:eastAsia="SimSun" w:cs="SimSun"/>
          <w:sz w:val="21"/>
          <w:szCs w:val="21"/>
          <w:spacing w:val="2"/>
        </w:rPr>
        <w:t>一致性和</w:t>
      </w:r>
      <w:r>
        <w:rPr>
          <w:rFonts w:ascii="SimSun" w:hAnsi="SimSun" w:eastAsia="SimSun" w:cs="SimSun"/>
          <w:sz w:val="21"/>
          <w:szCs w:val="21"/>
        </w:rPr>
        <w:t xml:space="preserve"> </w:t>
      </w:r>
      <w:r>
        <w:rPr>
          <w:rFonts w:ascii="SimSun" w:hAnsi="SimSun" w:eastAsia="SimSun" w:cs="SimSun"/>
          <w:sz w:val="21"/>
          <w:szCs w:val="21"/>
          <w:spacing w:val="-8"/>
        </w:rPr>
        <w:t>准确性。</w:t>
      </w:r>
    </w:p>
    <w:p>
      <w:pPr>
        <w:ind w:left="410"/>
        <w:spacing w:before="69" w:line="219" w:lineRule="auto"/>
        <w:rPr>
          <w:rFonts w:ascii="SimSun" w:hAnsi="SimSun" w:eastAsia="SimSun" w:cs="SimSun"/>
          <w:sz w:val="21"/>
          <w:szCs w:val="21"/>
        </w:rPr>
      </w:pPr>
      <w:r>
        <w:rPr>
          <w:rFonts w:ascii="SimSun" w:hAnsi="SimSun" w:eastAsia="SimSun" w:cs="SimSun"/>
          <w:sz w:val="21"/>
          <w:szCs w:val="21"/>
          <w:spacing w:val="-4"/>
        </w:rPr>
        <w:t>主数据管理的目标至少包括以下三点。</w:t>
      </w:r>
    </w:p>
    <w:p>
      <w:pPr>
        <w:ind w:right="243" w:firstLine="410"/>
        <w:spacing w:before="50" w:line="255" w:lineRule="auto"/>
        <w:rPr>
          <w:rFonts w:ascii="SimSun" w:hAnsi="SimSun" w:eastAsia="SimSun" w:cs="SimSun"/>
          <w:sz w:val="21"/>
          <w:szCs w:val="21"/>
        </w:rPr>
      </w:pPr>
      <w:r>
        <w:rPr>
          <w:rFonts w:ascii="SimSun" w:hAnsi="SimSun" w:eastAsia="SimSun" w:cs="SimSun"/>
          <w:sz w:val="21"/>
          <w:szCs w:val="21"/>
          <w:spacing w:val="4"/>
        </w:rPr>
        <w:t>(1)建立集中统一的组织主数据编码规范和管理维护流程，实现主数据全生命</w:t>
      </w:r>
      <w:r>
        <w:rPr>
          <w:rFonts w:ascii="SimSun" w:hAnsi="SimSun" w:eastAsia="SimSun" w:cs="SimSun"/>
          <w:sz w:val="21"/>
          <w:szCs w:val="21"/>
          <w:spacing w:val="13"/>
        </w:rPr>
        <w:t xml:space="preserve"> </w:t>
      </w:r>
      <w:r>
        <w:rPr>
          <w:rFonts w:ascii="SimSun" w:hAnsi="SimSun" w:eastAsia="SimSun" w:cs="SimSun"/>
          <w:sz w:val="21"/>
          <w:szCs w:val="21"/>
          <w:spacing w:val="-7"/>
        </w:rPr>
        <w:t>周期的过程管理；</w:t>
      </w:r>
    </w:p>
    <w:p>
      <w:pPr>
        <w:ind w:right="240" w:firstLine="410"/>
        <w:spacing w:before="41" w:line="250" w:lineRule="auto"/>
        <w:rPr>
          <w:rFonts w:ascii="SimSun" w:hAnsi="SimSun" w:eastAsia="SimSun" w:cs="SimSun"/>
          <w:sz w:val="21"/>
          <w:szCs w:val="21"/>
        </w:rPr>
      </w:pPr>
      <w:r>
        <w:rPr>
          <w:rFonts w:ascii="SimSun" w:hAnsi="SimSun" w:eastAsia="SimSun" w:cs="SimSun"/>
          <w:sz w:val="21"/>
          <w:szCs w:val="21"/>
          <w:spacing w:val="4"/>
        </w:rPr>
        <w:t>(2)建立支撑主数据管理规范和管理维护流程的主数据管理平台，集中统一管</w:t>
      </w:r>
      <w:r>
        <w:rPr>
          <w:rFonts w:ascii="SimSun" w:hAnsi="SimSun" w:eastAsia="SimSun" w:cs="SimSun"/>
          <w:sz w:val="21"/>
          <w:szCs w:val="21"/>
          <w:spacing w:val="15"/>
        </w:rPr>
        <w:t xml:space="preserve"> </w:t>
      </w:r>
      <w:r>
        <w:rPr>
          <w:rFonts w:ascii="SimSun" w:hAnsi="SimSun" w:eastAsia="SimSun" w:cs="SimSun"/>
          <w:sz w:val="21"/>
          <w:szCs w:val="21"/>
          <w:spacing w:val="-6"/>
        </w:rPr>
        <w:t>理主数据编码数据库；</w:t>
      </w:r>
    </w:p>
    <w:p>
      <w:pPr>
        <w:spacing w:line="250" w:lineRule="auto"/>
        <w:sectPr>
          <w:footerReference w:type="default" r:id="rId510"/>
          <w:pgSz w:w="8870" w:h="13400"/>
          <w:pgMar w:top="400" w:right="617" w:bottom="568" w:left="409" w:header="0" w:footer="358" w:gutter="0"/>
        </w:sectPr>
        <w:rPr>
          <w:rFonts w:ascii="SimSun" w:hAnsi="SimSun" w:eastAsia="SimSun" w:cs="SimSun"/>
          <w:sz w:val="21"/>
          <w:szCs w:val="21"/>
        </w:rPr>
      </w:pPr>
    </w:p>
    <w:p>
      <w:pPr>
        <w:ind w:left="140"/>
        <w:spacing w:before="159"/>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350" name="IM 350"/>
            <wp:cNvGraphicFramePr/>
            <a:graphic>
              <a:graphicData uri="http://schemas.openxmlformats.org/drawingml/2006/picture">
                <pic:pic>
                  <pic:nvPicPr>
                    <pic:cNvPr id="350" name="IM 350"/>
                    <pic:cNvPicPr/>
                  </pic:nvPicPr>
                  <pic:blipFill>
                    <a:blip r:embed="rId512"/>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13"/>
        </w:rPr>
        <w:t xml:space="preserve"> </w:t>
      </w:r>
      <w:r>
        <w:rPr>
          <w:rFonts w:ascii="SimSun" w:hAnsi="SimSun" w:eastAsia="SimSun" w:cs="SimSun"/>
          <w:sz w:val="22"/>
          <w:szCs w:val="22"/>
          <w:b/>
          <w:bCs/>
          <w:spacing w:val="-14"/>
        </w:rPr>
        <w:t>■云端数据治理</w:t>
      </w:r>
    </w:p>
    <w:p>
      <w:pPr>
        <w:ind w:left="240" w:right="80" w:firstLine="470"/>
        <w:spacing w:before="297" w:line="236" w:lineRule="auto"/>
        <w:rPr>
          <w:rFonts w:ascii="SimSun" w:hAnsi="SimSun" w:eastAsia="SimSun" w:cs="SimSun"/>
          <w:sz w:val="22"/>
          <w:szCs w:val="22"/>
        </w:rPr>
      </w:pPr>
      <w:r>
        <w:rPr>
          <w:rFonts w:ascii="SimSun" w:hAnsi="SimSun" w:eastAsia="SimSun" w:cs="SimSun"/>
          <w:sz w:val="22"/>
          <w:szCs w:val="22"/>
          <w:spacing w:val="-6"/>
        </w:rPr>
        <w:t>(3)为组织和各级单位提供集成、全面、准确和及时的主数据服务和信息化基</w:t>
      </w:r>
      <w:r>
        <w:rPr>
          <w:rFonts w:ascii="SimSun" w:hAnsi="SimSun" w:eastAsia="SimSun" w:cs="SimSun"/>
          <w:sz w:val="22"/>
          <w:szCs w:val="22"/>
          <w:spacing w:val="18"/>
        </w:rPr>
        <w:t xml:space="preserve"> </w:t>
      </w:r>
      <w:r>
        <w:rPr>
          <w:rFonts w:ascii="SimSun" w:hAnsi="SimSun" w:eastAsia="SimSun" w:cs="SimSun"/>
          <w:sz w:val="22"/>
          <w:szCs w:val="22"/>
          <w:spacing w:val="-15"/>
        </w:rPr>
        <w:t>础工作的支持。</w:t>
      </w:r>
    </w:p>
    <w:p>
      <w:pPr>
        <w:ind w:left="240" w:firstLine="470"/>
        <w:spacing w:before="57" w:line="243" w:lineRule="auto"/>
        <w:rPr>
          <w:rFonts w:ascii="SimSun" w:hAnsi="SimSun" w:eastAsia="SimSun" w:cs="SimSun"/>
          <w:sz w:val="22"/>
          <w:szCs w:val="22"/>
        </w:rPr>
      </w:pPr>
      <w:r>
        <w:rPr>
          <w:rFonts w:ascii="SimSun" w:hAnsi="SimSun" w:eastAsia="SimSun" w:cs="SimSun"/>
          <w:sz w:val="22"/>
          <w:szCs w:val="22"/>
          <w:spacing w:val="-12"/>
        </w:rPr>
        <w:t>图11-9所示为主数据管理的大致过程，包括汇集主数据、定义主数据整合架构、</w:t>
      </w:r>
      <w:r>
        <w:rPr>
          <w:rFonts w:ascii="SimSun" w:hAnsi="SimSun" w:eastAsia="SimSun" w:cs="SimSun"/>
          <w:sz w:val="22"/>
          <w:szCs w:val="22"/>
          <w:spacing w:val="2"/>
        </w:rPr>
        <w:t xml:space="preserve"> </w:t>
      </w:r>
      <w:r>
        <w:rPr>
          <w:rFonts w:ascii="SimSun" w:hAnsi="SimSun" w:eastAsia="SimSun" w:cs="SimSun"/>
          <w:sz w:val="22"/>
          <w:szCs w:val="22"/>
          <w:spacing w:val="-11"/>
        </w:rPr>
        <w:t>选择主数据管理工具和执行主数据管理成熟度评估。</w:t>
      </w:r>
    </w:p>
    <w:p>
      <w:pPr>
        <w:spacing w:before="84"/>
        <w:rPr/>
      </w:pPr>
      <w:r/>
    </w:p>
    <w:p>
      <w:pPr>
        <w:sectPr>
          <w:footerReference w:type="default" r:id="rId511"/>
          <w:pgSz w:w="8870" w:h="13400"/>
          <w:pgMar w:top="400" w:right="380" w:bottom="525" w:left="519" w:header="0" w:footer="306" w:gutter="0"/>
          <w:cols w:equalWidth="0" w:num="1">
            <w:col w:w="7971" w:space="0"/>
          </w:cols>
        </w:sectPr>
        <w:rPr/>
      </w:pPr>
    </w:p>
    <w:p>
      <w:pPr>
        <w:ind w:left="1830"/>
        <w:spacing w:before="165" w:line="206" w:lineRule="auto"/>
        <w:rPr>
          <w:rFonts w:ascii="SimSun" w:hAnsi="SimSun" w:eastAsia="SimSun" w:cs="SimSun"/>
          <w:sz w:val="17"/>
          <w:szCs w:val="17"/>
        </w:rPr>
      </w:pPr>
      <w:r>
        <w:drawing>
          <wp:anchor distT="0" distB="0" distL="0" distR="0" simplePos="0" relativeHeight="258624512" behindDoc="1" locked="0" layoutInCell="1" allowOverlap="1">
            <wp:simplePos x="0" y="0"/>
            <wp:positionH relativeFrom="column">
              <wp:posOffset>1041440</wp:posOffset>
            </wp:positionH>
            <wp:positionV relativeFrom="paragraph">
              <wp:posOffset>-141353</wp:posOffset>
            </wp:positionV>
            <wp:extent cx="3143244" cy="749302"/>
            <wp:effectExtent l="0" t="0" r="0" b="0"/>
            <wp:wrapNone/>
            <wp:docPr id="352" name="IM 352"/>
            <wp:cNvGraphicFramePr/>
            <a:graphic>
              <a:graphicData uri="http://schemas.openxmlformats.org/drawingml/2006/picture">
                <pic:pic>
                  <pic:nvPicPr>
                    <pic:cNvPr id="352" name="IM 352"/>
                    <pic:cNvPicPr/>
                  </pic:nvPicPr>
                  <pic:blipFill>
                    <a:blip r:embed="rId513"/>
                    <a:stretch>
                      <a:fillRect/>
                    </a:stretch>
                  </pic:blipFill>
                  <pic:spPr>
                    <a:xfrm rot="0">
                      <a:off x="0" y="0"/>
                      <a:ext cx="3143244" cy="749302"/>
                    </a:xfrm>
                    <a:prstGeom prst="rect">
                      <a:avLst/>
                    </a:prstGeom>
                  </pic:spPr>
                </pic:pic>
              </a:graphicData>
            </a:graphic>
          </wp:anchor>
        </w:drawing>
      </w:r>
      <w:r>
        <w:rPr>
          <w:rFonts w:ascii="SimSun" w:hAnsi="SimSun" w:eastAsia="SimSun" w:cs="SimSun"/>
          <w:sz w:val="17"/>
          <w:szCs w:val="17"/>
          <w:spacing w:val="-10"/>
        </w:rPr>
        <w:t>汇集主</w:t>
      </w:r>
    </w:p>
    <w:p>
      <w:pPr>
        <w:ind w:left="1890"/>
        <w:spacing w:line="219" w:lineRule="auto"/>
        <w:rPr>
          <w:rFonts w:ascii="SimSun" w:hAnsi="SimSun" w:eastAsia="SimSun" w:cs="SimSun"/>
          <w:sz w:val="17"/>
          <w:szCs w:val="17"/>
        </w:rPr>
      </w:pPr>
      <w:r>
        <w:rPr>
          <w:rFonts w:ascii="SimSun" w:hAnsi="SimSun" w:eastAsia="SimSun" w:cs="SimSun"/>
          <w:sz w:val="17"/>
          <w:szCs w:val="17"/>
          <w:spacing w:val="-2"/>
        </w:rPr>
        <w:t>数据</w:t>
      </w:r>
    </w:p>
    <w:p>
      <w:pPr>
        <w:pStyle w:val="BodyText"/>
        <w:spacing w:line="14" w:lineRule="auto"/>
        <w:rPr>
          <w:sz w:val="2"/>
        </w:rPr>
      </w:pPr>
      <w:r>
        <w:rPr>
          <w:sz w:val="2"/>
          <w:szCs w:val="2"/>
        </w:rPr>
        <w:br w:type="column"/>
      </w:r>
    </w:p>
    <w:p>
      <w:pPr>
        <w:spacing w:before="73" w:line="217" w:lineRule="auto"/>
        <w:rPr>
          <w:rFonts w:ascii="SimSun" w:hAnsi="SimSun" w:eastAsia="SimSun" w:cs="SimSun"/>
          <w:sz w:val="17"/>
          <w:szCs w:val="17"/>
        </w:rPr>
      </w:pPr>
      <w:r>
        <w:rPr>
          <w:rFonts w:ascii="SimSun" w:hAnsi="SimSun" w:eastAsia="SimSun" w:cs="SimSun"/>
          <w:sz w:val="17"/>
          <w:szCs w:val="17"/>
          <w:spacing w:val="-10"/>
        </w:rPr>
        <w:t>定义主</w:t>
      </w:r>
    </w:p>
    <w:p>
      <w:pPr>
        <w:spacing w:line="196" w:lineRule="auto"/>
        <w:rPr>
          <w:rFonts w:ascii="SimSun" w:hAnsi="SimSun" w:eastAsia="SimSun" w:cs="SimSun"/>
          <w:sz w:val="17"/>
          <w:szCs w:val="17"/>
        </w:rPr>
      </w:pPr>
      <w:r>
        <w:rPr>
          <w:rFonts w:ascii="SimSun" w:hAnsi="SimSun" w:eastAsia="SimSun" w:cs="SimSun"/>
          <w:sz w:val="17"/>
          <w:szCs w:val="17"/>
          <w:spacing w:val="-10"/>
        </w:rPr>
        <w:t>数据整</w:t>
      </w:r>
    </w:p>
    <w:p>
      <w:pPr>
        <w:spacing w:line="220" w:lineRule="auto"/>
        <w:rPr>
          <w:rFonts w:ascii="SimSun" w:hAnsi="SimSun" w:eastAsia="SimSun" w:cs="SimSun"/>
          <w:sz w:val="17"/>
          <w:szCs w:val="17"/>
        </w:rPr>
      </w:pPr>
      <w:r>
        <w:rPr>
          <w:rFonts w:ascii="SimSun" w:hAnsi="SimSun" w:eastAsia="SimSun" w:cs="SimSun"/>
          <w:sz w:val="17"/>
          <w:szCs w:val="17"/>
          <w:spacing w:val="-9"/>
        </w:rPr>
        <w:t>合架构</w:t>
      </w:r>
    </w:p>
    <w:p>
      <w:pPr>
        <w:pStyle w:val="BodyText"/>
        <w:spacing w:line="14" w:lineRule="auto"/>
        <w:rPr>
          <w:sz w:val="2"/>
        </w:rPr>
      </w:pPr>
      <w:r>
        <w:rPr>
          <w:sz w:val="2"/>
          <w:szCs w:val="2"/>
        </w:rPr>
        <w:br w:type="column"/>
      </w:r>
    </w:p>
    <w:p>
      <w:pPr>
        <w:spacing w:before="94" w:line="194" w:lineRule="auto"/>
        <w:rPr>
          <w:rFonts w:ascii="SimSun" w:hAnsi="SimSun" w:eastAsia="SimSun" w:cs="SimSun"/>
          <w:sz w:val="17"/>
          <w:szCs w:val="17"/>
        </w:rPr>
      </w:pPr>
      <w:r>
        <w:rPr>
          <w:rFonts w:ascii="SimSun" w:hAnsi="SimSun" w:eastAsia="SimSun" w:cs="SimSun"/>
          <w:sz w:val="17"/>
          <w:szCs w:val="17"/>
          <w:spacing w:val="-12"/>
        </w:rPr>
        <w:t>选择主</w:t>
      </w:r>
    </w:p>
    <w:p>
      <w:pPr>
        <w:spacing w:line="189" w:lineRule="auto"/>
        <w:rPr>
          <w:rFonts w:ascii="SimSun" w:hAnsi="SimSun" w:eastAsia="SimSun" w:cs="SimSun"/>
          <w:sz w:val="17"/>
          <w:szCs w:val="17"/>
        </w:rPr>
      </w:pPr>
      <w:r>
        <w:rPr>
          <w:rFonts w:ascii="SimSun" w:hAnsi="SimSun" w:eastAsia="SimSun" w:cs="SimSun"/>
          <w:sz w:val="17"/>
          <w:szCs w:val="17"/>
          <w:spacing w:val="-12"/>
        </w:rPr>
        <w:t>数据管</w:t>
      </w:r>
    </w:p>
    <w:p>
      <w:pPr>
        <w:spacing w:before="1" w:line="206" w:lineRule="auto"/>
        <w:rPr>
          <w:rFonts w:ascii="SimSun" w:hAnsi="SimSun" w:eastAsia="SimSun" w:cs="SimSun"/>
          <w:sz w:val="17"/>
          <w:szCs w:val="17"/>
        </w:rPr>
      </w:pPr>
      <w:r>
        <w:rPr>
          <w:rFonts w:ascii="SimSun" w:hAnsi="SimSun" w:eastAsia="SimSun" w:cs="SimSun"/>
          <w:sz w:val="17"/>
          <w:szCs w:val="17"/>
          <w:spacing w:val="-12"/>
        </w:rPr>
        <w:t>理工具</w:t>
      </w:r>
    </w:p>
    <w:p>
      <w:pPr>
        <w:pStyle w:val="BodyText"/>
        <w:spacing w:line="14" w:lineRule="auto"/>
        <w:rPr>
          <w:sz w:val="2"/>
        </w:rPr>
      </w:pPr>
      <w:r>
        <w:rPr>
          <w:sz w:val="2"/>
          <w:szCs w:val="2"/>
        </w:rPr>
        <w:br w:type="column"/>
      </w:r>
    </w:p>
    <w:p>
      <w:pPr>
        <w:spacing w:before="32" w:line="185" w:lineRule="auto"/>
        <w:rPr>
          <w:rFonts w:ascii="SimSun" w:hAnsi="SimSun" w:eastAsia="SimSun" w:cs="SimSun"/>
          <w:sz w:val="17"/>
          <w:szCs w:val="17"/>
        </w:rPr>
      </w:pPr>
      <w:r>
        <w:rPr>
          <w:rFonts w:ascii="SimSun" w:hAnsi="SimSun" w:eastAsia="SimSun" w:cs="SimSun"/>
          <w:sz w:val="17"/>
          <w:szCs w:val="17"/>
          <w:spacing w:val="-10"/>
        </w:rPr>
        <w:t>执行主</w:t>
      </w:r>
    </w:p>
    <w:p>
      <w:pPr>
        <w:spacing w:line="197" w:lineRule="auto"/>
        <w:rPr>
          <w:rFonts w:ascii="SimSun" w:hAnsi="SimSun" w:eastAsia="SimSun" w:cs="SimSun"/>
          <w:sz w:val="17"/>
          <w:szCs w:val="17"/>
        </w:rPr>
      </w:pPr>
      <w:r>
        <w:rPr>
          <w:rFonts w:ascii="SimSun" w:hAnsi="SimSun" w:eastAsia="SimSun" w:cs="SimSun"/>
          <w:sz w:val="17"/>
          <w:szCs w:val="17"/>
          <w:spacing w:val="-10"/>
        </w:rPr>
        <w:t>数据管</w:t>
      </w:r>
    </w:p>
    <w:p>
      <w:pPr>
        <w:spacing w:before="1" w:line="203" w:lineRule="auto"/>
        <w:rPr>
          <w:rFonts w:ascii="SimSun" w:hAnsi="SimSun" w:eastAsia="SimSun" w:cs="SimSun"/>
          <w:sz w:val="17"/>
          <w:szCs w:val="17"/>
        </w:rPr>
      </w:pPr>
      <w:r>
        <w:rPr>
          <w:rFonts w:ascii="SimSun" w:hAnsi="SimSun" w:eastAsia="SimSun" w:cs="SimSun"/>
          <w:sz w:val="17"/>
          <w:szCs w:val="17"/>
          <w:spacing w:val="-10"/>
        </w:rPr>
        <w:t>理成熟</w:t>
      </w:r>
    </w:p>
    <w:p>
      <w:pPr>
        <w:spacing w:line="184" w:lineRule="auto"/>
        <w:rPr>
          <w:rFonts w:ascii="SimSun" w:hAnsi="SimSun" w:eastAsia="SimSun" w:cs="SimSun"/>
          <w:sz w:val="17"/>
          <w:szCs w:val="17"/>
        </w:rPr>
      </w:pPr>
      <w:r>
        <w:rPr>
          <w:rFonts w:ascii="SimSun" w:hAnsi="SimSun" w:eastAsia="SimSun" w:cs="SimSun"/>
          <w:sz w:val="17"/>
          <w:szCs w:val="17"/>
          <w:spacing w:val="-10"/>
        </w:rPr>
        <w:t>度评估</w:t>
      </w:r>
    </w:p>
    <w:p>
      <w:pPr>
        <w:spacing w:line="184" w:lineRule="auto"/>
        <w:sectPr>
          <w:type w:val="continuous"/>
          <w:pgSz w:w="8870" w:h="13400"/>
          <w:pgMar w:top="400" w:right="380" w:bottom="525" w:left="519" w:header="0" w:footer="306" w:gutter="0"/>
          <w:cols w:equalWidth="0" w:num="4">
            <w:col w:w="3101" w:space="100"/>
            <w:col w:w="1301" w:space="100"/>
            <w:col w:w="1240" w:space="100"/>
            <w:col w:w="2030" w:space="0"/>
          </w:cols>
        </w:sectPr>
        <w:rPr>
          <w:rFonts w:ascii="SimSun" w:hAnsi="SimSun" w:eastAsia="SimSun" w:cs="SimSun"/>
          <w:sz w:val="17"/>
          <w:szCs w:val="17"/>
        </w:rPr>
      </w:pPr>
    </w:p>
    <w:p>
      <w:pPr>
        <w:pStyle w:val="BodyText"/>
        <w:spacing w:line="330" w:lineRule="auto"/>
        <w:rPr/>
      </w:pPr>
      <w:r/>
    </w:p>
    <w:p>
      <w:pPr>
        <w:ind w:left="2922"/>
        <w:spacing w:before="56" w:line="222" w:lineRule="auto"/>
        <w:rPr>
          <w:rFonts w:ascii="SimHei" w:hAnsi="SimHei" w:eastAsia="SimHei" w:cs="SimHei"/>
          <w:sz w:val="17"/>
          <w:szCs w:val="17"/>
        </w:rPr>
      </w:pPr>
      <w:r>
        <w:rPr>
          <w:rFonts w:ascii="SimHei" w:hAnsi="SimHei" w:eastAsia="SimHei" w:cs="SimHei"/>
          <w:sz w:val="17"/>
          <w:szCs w:val="17"/>
          <w:b/>
          <w:bCs/>
          <w:spacing w:val="9"/>
        </w:rPr>
        <w:t>图11-9</w:t>
      </w:r>
      <w:r>
        <w:rPr>
          <w:rFonts w:ascii="SimHei" w:hAnsi="SimHei" w:eastAsia="SimHei" w:cs="SimHei"/>
          <w:sz w:val="17"/>
          <w:szCs w:val="17"/>
          <w:spacing w:val="4"/>
        </w:rPr>
        <w:t xml:space="preserve">  </w:t>
      </w:r>
      <w:r>
        <w:rPr>
          <w:rFonts w:ascii="SimHei" w:hAnsi="SimHei" w:eastAsia="SimHei" w:cs="SimHei"/>
          <w:sz w:val="17"/>
          <w:szCs w:val="17"/>
          <w:b/>
          <w:bCs/>
          <w:spacing w:val="9"/>
        </w:rPr>
        <w:t>主数据管理主要过程</w:t>
      </w:r>
    </w:p>
    <w:p>
      <w:pPr>
        <w:ind w:left="710"/>
        <w:spacing w:before="211" w:line="219" w:lineRule="auto"/>
        <w:rPr>
          <w:rFonts w:ascii="SimSun" w:hAnsi="SimSun" w:eastAsia="SimSun" w:cs="SimSun"/>
          <w:sz w:val="22"/>
          <w:szCs w:val="22"/>
        </w:rPr>
      </w:pPr>
      <w:r>
        <w:rPr>
          <w:rFonts w:ascii="SimSun" w:hAnsi="SimSun" w:eastAsia="SimSun" w:cs="SimSun"/>
          <w:sz w:val="22"/>
          <w:szCs w:val="22"/>
          <w:spacing w:val="1"/>
        </w:rPr>
        <w:t>(1)汇集主数据</w:t>
      </w:r>
    </w:p>
    <w:p>
      <w:pPr>
        <w:ind w:left="240" w:right="50" w:firstLine="470"/>
        <w:spacing w:before="61" w:line="254" w:lineRule="auto"/>
        <w:rPr>
          <w:rFonts w:ascii="SimSun" w:hAnsi="SimSun" w:eastAsia="SimSun" w:cs="SimSun"/>
          <w:sz w:val="22"/>
          <w:szCs w:val="22"/>
        </w:rPr>
      </w:pPr>
      <w:r>
        <w:rPr>
          <w:rFonts w:ascii="SimSun" w:hAnsi="SimSun" w:eastAsia="SimSun" w:cs="SimSun"/>
          <w:sz w:val="22"/>
          <w:szCs w:val="22"/>
          <w:spacing w:val="-9"/>
        </w:rPr>
        <w:t>数据的价值不是靠单个数据就能完全体现的，而是多个关联数据或者看似毫不</w:t>
      </w:r>
      <w:r>
        <w:rPr>
          <w:rFonts w:ascii="SimSun" w:hAnsi="SimSun" w:eastAsia="SimSun" w:cs="SimSun"/>
          <w:sz w:val="22"/>
          <w:szCs w:val="22"/>
          <w:spacing w:val="6"/>
        </w:rPr>
        <w:t xml:space="preserve"> </w:t>
      </w:r>
      <w:r>
        <w:rPr>
          <w:rFonts w:ascii="SimSun" w:hAnsi="SimSun" w:eastAsia="SimSun" w:cs="SimSun"/>
          <w:sz w:val="22"/>
          <w:szCs w:val="22"/>
          <w:spacing w:val="-9"/>
        </w:rPr>
        <w:t>相关的数据共同呈现的，主数据汇集就是把处在不同环节、不同部门之间的数据汇 </w:t>
      </w:r>
      <w:r>
        <w:rPr>
          <w:rFonts w:ascii="SimSun" w:hAnsi="SimSun" w:eastAsia="SimSun" w:cs="SimSun"/>
          <w:sz w:val="22"/>
          <w:szCs w:val="22"/>
          <w:spacing w:val="-9"/>
        </w:rPr>
        <w:t>集的过程。以客户主数据为例，对于大多数</w:t>
      </w:r>
      <w:r>
        <w:rPr>
          <w:rFonts w:ascii="SimSun" w:hAnsi="SimSun" w:eastAsia="SimSun" w:cs="SimSun"/>
          <w:sz w:val="22"/>
          <w:szCs w:val="22"/>
          <w:spacing w:val="-10"/>
        </w:rPr>
        <w:t>组织，客户信息通常分散于 </w:t>
      </w:r>
      <w:r>
        <w:rPr>
          <w:rFonts w:ascii="Times New Roman" w:hAnsi="Times New Roman" w:eastAsia="Times New Roman" w:cs="Times New Roman"/>
          <w:sz w:val="22"/>
          <w:szCs w:val="22"/>
          <w:spacing w:val="-10"/>
        </w:rPr>
        <w:t>CRM  </w:t>
      </w:r>
      <w:r>
        <w:rPr>
          <w:rFonts w:ascii="SimSun" w:hAnsi="SimSun" w:eastAsia="SimSun" w:cs="SimSun"/>
          <w:sz w:val="22"/>
          <w:szCs w:val="22"/>
          <w:spacing w:val="-10"/>
        </w:rPr>
        <w:t>等各 </w:t>
      </w:r>
      <w:r>
        <w:rPr>
          <w:rFonts w:ascii="SimSun" w:hAnsi="SimSun" w:eastAsia="SimSun" w:cs="SimSun"/>
          <w:sz w:val="22"/>
          <w:szCs w:val="22"/>
          <w:spacing w:val="-10"/>
        </w:rPr>
        <w:t>个业务系统中，而每个业务系统中都只有客户信息的片断，即不完整的客户信息，</w:t>
      </w:r>
      <w:r>
        <w:rPr>
          <w:rFonts w:ascii="SimSun" w:hAnsi="SimSun" w:eastAsia="SimSun" w:cs="SimSun"/>
          <w:sz w:val="22"/>
          <w:szCs w:val="22"/>
          <w:spacing w:val="4"/>
        </w:rPr>
        <w:t xml:space="preserve">  </w:t>
      </w:r>
      <w:r>
        <w:rPr>
          <w:rFonts w:ascii="SimSun" w:hAnsi="SimSun" w:eastAsia="SimSun" w:cs="SimSun"/>
          <w:sz w:val="22"/>
          <w:szCs w:val="22"/>
          <w:spacing w:val="-12"/>
        </w:rPr>
        <w:t>缺乏组织级的完整、统一的单一的客户视图</w:t>
      </w:r>
      <w:r>
        <w:rPr>
          <w:rFonts w:ascii="SimSun" w:hAnsi="SimSun" w:eastAsia="SimSun" w:cs="SimSun"/>
          <w:sz w:val="22"/>
          <w:szCs w:val="22"/>
          <w:spacing w:val="-13"/>
        </w:rPr>
        <w:t>。因此，组织要对客户主数据进行汇集，</w:t>
      </w:r>
      <w:r>
        <w:rPr>
          <w:rFonts w:ascii="SimSun" w:hAnsi="SimSun" w:eastAsia="SimSun" w:cs="SimSun"/>
          <w:sz w:val="22"/>
          <w:szCs w:val="22"/>
        </w:rPr>
        <w:t xml:space="preserve"> </w:t>
      </w:r>
      <w:r>
        <w:rPr>
          <w:rFonts w:ascii="SimSun" w:hAnsi="SimSun" w:eastAsia="SimSun" w:cs="SimSun"/>
          <w:sz w:val="22"/>
          <w:szCs w:val="22"/>
          <w:spacing w:val="-9"/>
        </w:rPr>
        <w:t>统一视角，通过数据关联对客户进行全面了解，协调统一的市场行为，提升客户满 </w:t>
      </w:r>
      <w:r>
        <w:rPr>
          <w:rFonts w:ascii="SimSun" w:hAnsi="SimSun" w:eastAsia="SimSun" w:cs="SimSun"/>
          <w:sz w:val="22"/>
          <w:szCs w:val="22"/>
          <w:spacing w:val="-10"/>
        </w:rPr>
        <w:t>意度，扩大市场份额。</w:t>
      </w:r>
    </w:p>
    <w:p>
      <w:pPr>
        <w:ind w:left="710"/>
        <w:spacing w:before="69" w:line="219" w:lineRule="auto"/>
        <w:rPr>
          <w:rFonts w:ascii="SimSun" w:hAnsi="SimSun" w:eastAsia="SimSun" w:cs="SimSun"/>
          <w:sz w:val="22"/>
          <w:szCs w:val="22"/>
        </w:rPr>
      </w:pPr>
      <w:r>
        <w:rPr>
          <w:rFonts w:ascii="SimSun" w:hAnsi="SimSun" w:eastAsia="SimSun" w:cs="SimSun"/>
          <w:sz w:val="22"/>
          <w:szCs w:val="22"/>
          <w:spacing w:val="-2"/>
        </w:rPr>
        <w:t>(2)定义数据整合架构</w:t>
      </w:r>
    </w:p>
    <w:p>
      <w:pPr>
        <w:ind w:left="240" w:right="79" w:firstLine="470"/>
        <w:spacing w:before="59" w:line="265" w:lineRule="auto"/>
        <w:rPr>
          <w:rFonts w:ascii="SimSun" w:hAnsi="SimSun" w:eastAsia="SimSun" w:cs="SimSun"/>
          <w:sz w:val="22"/>
          <w:szCs w:val="22"/>
        </w:rPr>
      </w:pPr>
      <w:r>
        <w:rPr>
          <w:rFonts w:ascii="SimSun" w:hAnsi="SimSun" w:eastAsia="SimSun" w:cs="SimSun"/>
          <w:sz w:val="22"/>
          <w:szCs w:val="22"/>
          <w:spacing w:val="-10"/>
        </w:rPr>
        <w:t>数据架构是组织</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0"/>
        </w:rPr>
        <w:t>架构的核心，因为信息系统支撑下的组织业</w:t>
      </w:r>
      <w:r>
        <w:rPr>
          <w:rFonts w:ascii="SimSun" w:hAnsi="SimSun" w:eastAsia="SimSun" w:cs="SimSun"/>
          <w:sz w:val="22"/>
          <w:szCs w:val="22"/>
          <w:spacing w:val="-11"/>
        </w:rPr>
        <w:t>务运作状况，是</w:t>
      </w:r>
      <w:r>
        <w:rPr>
          <w:rFonts w:ascii="SimSun" w:hAnsi="SimSun" w:eastAsia="SimSun" w:cs="SimSun"/>
          <w:sz w:val="22"/>
          <w:szCs w:val="22"/>
        </w:rPr>
        <w:t xml:space="preserve"> </w:t>
      </w:r>
      <w:r>
        <w:rPr>
          <w:rFonts w:ascii="SimSun" w:hAnsi="SimSun" w:eastAsia="SimSun" w:cs="SimSun"/>
          <w:sz w:val="22"/>
          <w:szCs w:val="22"/>
          <w:spacing w:val="-9"/>
        </w:rPr>
        <w:t>通过信息系统中的数据反映出来的，数据是信息系统管理的重要资源。有效的数据</w:t>
      </w:r>
      <w:r>
        <w:rPr>
          <w:rFonts w:ascii="SimSun" w:hAnsi="SimSun" w:eastAsia="SimSun" w:cs="SimSun"/>
          <w:sz w:val="22"/>
          <w:szCs w:val="22"/>
          <w:spacing w:val="5"/>
        </w:rPr>
        <w:t xml:space="preserve"> </w:t>
      </w:r>
      <w:r>
        <w:rPr>
          <w:rFonts w:ascii="SimSun" w:hAnsi="SimSun" w:eastAsia="SimSun" w:cs="SimSun"/>
          <w:sz w:val="17"/>
          <w:szCs w:val="17"/>
          <w:spacing w:val="32"/>
        </w:rPr>
        <w:t>整合架构能够确保数据质量和数据一致性</w:t>
      </w:r>
      <w:r>
        <w:rPr>
          <w:rFonts w:ascii="SimSun" w:hAnsi="SimSun" w:eastAsia="SimSun" w:cs="SimSun"/>
          <w:sz w:val="17"/>
          <w:szCs w:val="17"/>
          <w:spacing w:val="-22"/>
        </w:rPr>
        <w:t xml:space="preserve"> </w:t>
      </w:r>
      <w:r>
        <w:rPr>
          <w:rFonts w:ascii="SimSun" w:hAnsi="SimSun" w:eastAsia="SimSun" w:cs="SimSun"/>
          <w:sz w:val="17"/>
          <w:szCs w:val="17"/>
          <w:spacing w:val="32"/>
        </w:rPr>
        <w:t>，</w:t>
      </w:r>
      <w:r>
        <w:rPr>
          <w:rFonts w:ascii="SimSun" w:hAnsi="SimSun" w:eastAsia="SimSun" w:cs="SimSun"/>
          <w:sz w:val="17"/>
          <w:szCs w:val="17"/>
          <w:spacing w:val="-36"/>
        </w:rPr>
        <w:t xml:space="preserve"> </w:t>
      </w:r>
      <w:r>
        <w:rPr>
          <w:rFonts w:ascii="SimSun" w:hAnsi="SimSun" w:eastAsia="SimSun" w:cs="SimSun"/>
          <w:sz w:val="17"/>
          <w:szCs w:val="17"/>
          <w:spacing w:val="32"/>
        </w:rPr>
        <w:t>相反</w:t>
      </w:r>
      <w:r>
        <w:rPr>
          <w:rFonts w:ascii="SimSun" w:hAnsi="SimSun" w:eastAsia="SimSun" w:cs="SimSun"/>
          <w:sz w:val="17"/>
          <w:szCs w:val="17"/>
          <w:spacing w:val="-21"/>
        </w:rPr>
        <w:t xml:space="preserve"> </w:t>
      </w:r>
      <w:r>
        <w:rPr>
          <w:rFonts w:ascii="SimSun" w:hAnsi="SimSun" w:eastAsia="SimSun" w:cs="SimSun"/>
          <w:sz w:val="17"/>
          <w:szCs w:val="17"/>
          <w:spacing w:val="32"/>
        </w:rPr>
        <w:t>，</w:t>
      </w:r>
      <w:r>
        <w:rPr>
          <w:rFonts w:ascii="SimSun" w:hAnsi="SimSun" w:eastAsia="SimSun" w:cs="SimSun"/>
          <w:sz w:val="17"/>
          <w:szCs w:val="17"/>
          <w:spacing w:val="-33"/>
        </w:rPr>
        <w:t xml:space="preserve"> </w:t>
      </w:r>
      <w:r>
        <w:rPr>
          <w:rFonts w:ascii="SimSun" w:hAnsi="SimSun" w:eastAsia="SimSun" w:cs="SimSun"/>
          <w:sz w:val="17"/>
          <w:szCs w:val="17"/>
          <w:spacing w:val="32"/>
        </w:rPr>
        <w:t>如果没有</w:t>
      </w:r>
      <w:r>
        <w:rPr>
          <w:rFonts w:ascii="SimSun" w:hAnsi="SimSun" w:eastAsia="SimSun" w:cs="SimSun"/>
          <w:sz w:val="17"/>
          <w:szCs w:val="17"/>
          <w:spacing w:val="31"/>
        </w:rPr>
        <w:t>数据整合架构</w:t>
      </w:r>
      <w:r>
        <w:rPr>
          <w:rFonts w:ascii="SimSun" w:hAnsi="SimSun" w:eastAsia="SimSun" w:cs="SimSun"/>
          <w:sz w:val="17"/>
          <w:szCs w:val="17"/>
          <w:spacing w:val="-22"/>
        </w:rPr>
        <w:t xml:space="preserve"> </w:t>
      </w:r>
      <w:r>
        <w:rPr>
          <w:rFonts w:ascii="SimSun" w:hAnsi="SimSun" w:eastAsia="SimSun" w:cs="SimSun"/>
          <w:sz w:val="17"/>
          <w:szCs w:val="17"/>
          <w:spacing w:val="31"/>
        </w:rPr>
        <w:t>，</w:t>
      </w:r>
      <w:r>
        <w:rPr>
          <w:rFonts w:ascii="SimSun" w:hAnsi="SimSun" w:eastAsia="SimSun" w:cs="SimSun"/>
          <w:sz w:val="17"/>
          <w:szCs w:val="17"/>
          <w:spacing w:val="-34"/>
        </w:rPr>
        <w:t xml:space="preserve"> </w:t>
      </w:r>
      <w:r>
        <w:rPr>
          <w:rFonts w:ascii="SimSun" w:hAnsi="SimSun" w:eastAsia="SimSun" w:cs="SimSun"/>
          <w:sz w:val="17"/>
          <w:szCs w:val="17"/>
          <w:spacing w:val="31"/>
        </w:rPr>
        <w:t>数据则</w:t>
      </w:r>
      <w:r>
        <w:rPr>
          <w:rFonts w:ascii="SimSun" w:hAnsi="SimSun" w:eastAsia="SimSun" w:cs="SimSun"/>
          <w:sz w:val="17"/>
          <w:szCs w:val="17"/>
        </w:rPr>
        <w:t xml:space="preserve"> </w:t>
      </w:r>
      <w:r>
        <w:rPr>
          <w:rFonts w:ascii="SimSun" w:hAnsi="SimSun" w:eastAsia="SimSun" w:cs="SimSun"/>
          <w:sz w:val="22"/>
          <w:szCs w:val="22"/>
          <w:spacing w:val="-8"/>
        </w:rPr>
        <w:t>是分散的、孤立的。图11-10所示为一个主数据管理架构示例。</w:t>
      </w:r>
    </w:p>
    <w:p>
      <w:pPr>
        <w:pStyle w:val="BodyText"/>
        <w:ind w:firstLine="700"/>
        <w:spacing w:before="90" w:line="3610" w:lineRule="exact"/>
        <w:rPr/>
      </w:pPr>
      <w:r>
        <w:rPr>
          <w:position w:val="-72"/>
        </w:rPr>
        <w:pict>
          <v:group id="_x0000_s630" style="mso-position-vertical-relative:line;mso-position-horizontal-relative:char;width:346.05pt;height:180.5pt;" filled="false" stroked="false" coordsize="6920,3610" coordorigin="0,0">
            <v:shape id="_x0000_s632" style="position:absolute;left:0;top:0;width:6920;height:3610;" filled="false" stroked="false" type="#_x0000_t75">
              <v:imagedata o:title="" r:id="rId514"/>
            </v:shape>
            <v:shape id="_x0000_s634" style="position:absolute;left:-9;top:147;width:5230;height:3150;" filled="false" stroked="false" type="#_x0000_t202">
              <v:fill on="false"/>
              <v:stroke on="false"/>
              <v:path/>
              <v:imagedata o:title=""/>
              <o:lock v:ext="edit" aspectratio="false"/>
              <v:textbox inset="0mm,0mm,0mm,0mm">
                <w:txbxContent>
                  <w:p>
                    <w:pPr>
                      <w:ind w:left="3838" w:right="624" w:hanging="149"/>
                      <w:spacing w:before="19" w:line="202" w:lineRule="auto"/>
                      <w:rPr>
                        <w:rFonts w:ascii="SimSun" w:hAnsi="SimSun" w:eastAsia="SimSun" w:cs="SimSun"/>
                        <w:sz w:val="17"/>
                        <w:szCs w:val="17"/>
                      </w:rPr>
                    </w:pPr>
                    <w:r>
                      <w:rPr>
                        <w:rFonts w:ascii="SimSun" w:hAnsi="SimSun" w:eastAsia="SimSun" w:cs="SimSun"/>
                        <w:sz w:val="17"/>
                        <w:szCs w:val="17"/>
                        <w:spacing w:val="-12"/>
                        <w:w w:val="96"/>
                      </w:rPr>
                      <w:t>其他事物处理</w:t>
                    </w:r>
                    <w:r>
                      <w:rPr>
                        <w:rFonts w:ascii="SimSun" w:hAnsi="SimSun" w:eastAsia="SimSun" w:cs="SimSun"/>
                        <w:sz w:val="17"/>
                        <w:szCs w:val="17"/>
                        <w:spacing w:val="7"/>
                      </w:rPr>
                      <w:t xml:space="preserve"> </w:t>
                    </w:r>
                    <w:r>
                      <w:rPr>
                        <w:rFonts w:ascii="SimSun" w:hAnsi="SimSun" w:eastAsia="SimSun" w:cs="SimSun"/>
                        <w:sz w:val="17"/>
                        <w:szCs w:val="17"/>
                        <w:spacing w:val="-12"/>
                      </w:rPr>
                      <w:t>数据系统</w:t>
                    </w:r>
                  </w:p>
                  <w:p>
                    <w:pPr>
                      <w:spacing w:line="411" w:lineRule="auto"/>
                      <w:rPr>
                        <w:rFonts w:ascii="Arial"/>
                        <w:sz w:val="21"/>
                      </w:rPr>
                    </w:pPr>
                    <w:r/>
                  </w:p>
                  <w:p>
                    <w:pPr>
                      <w:ind w:left="1279"/>
                      <w:spacing w:before="55" w:line="158" w:lineRule="auto"/>
                      <w:rPr>
                        <w:rFonts w:ascii="SimSun" w:hAnsi="SimSun" w:eastAsia="SimSun" w:cs="SimSun"/>
                        <w:sz w:val="17"/>
                        <w:szCs w:val="17"/>
                      </w:rPr>
                    </w:pPr>
                    <w:r>
                      <w:rPr>
                        <w:rFonts w:ascii="SimSun" w:hAnsi="SimSun" w:eastAsia="SimSun" w:cs="SimSun"/>
                        <w:sz w:val="17"/>
                        <w:szCs w:val="17"/>
                        <w:spacing w:val="-20"/>
                      </w:rPr>
                      <w:t>订阅更新</w:t>
                    </w:r>
                  </w:p>
                  <w:p>
                    <w:pPr>
                      <w:ind w:left="2950"/>
                      <w:spacing w:line="172" w:lineRule="auto"/>
                      <w:rPr>
                        <w:rFonts w:ascii="SimSun" w:hAnsi="SimSun" w:eastAsia="SimSun" w:cs="SimSun"/>
                        <w:sz w:val="17"/>
                        <w:szCs w:val="17"/>
                      </w:rPr>
                    </w:pPr>
                    <w:r>
                      <w:rPr>
                        <w:rFonts w:ascii="SimSun" w:hAnsi="SimSun" w:eastAsia="SimSun" w:cs="SimSun"/>
                        <w:sz w:val="17"/>
                        <w:szCs w:val="17"/>
                        <w:spacing w:val="-2"/>
                      </w:rPr>
                      <w:t>记录</w:t>
                    </w:r>
                  </w:p>
                  <w:p>
                    <w:pPr>
                      <w:ind w:left="2859"/>
                      <w:spacing w:line="203" w:lineRule="auto"/>
                      <w:rPr>
                        <w:rFonts w:ascii="SimSun" w:hAnsi="SimSun" w:eastAsia="SimSun" w:cs="SimSun"/>
                        <w:sz w:val="17"/>
                        <w:szCs w:val="17"/>
                      </w:rPr>
                    </w:pPr>
                    <w:r>
                      <w:rPr>
                        <w:rFonts w:ascii="SimSun" w:hAnsi="SimSun" w:eastAsia="SimSun" w:cs="SimSun"/>
                        <w:sz w:val="17"/>
                        <w:szCs w:val="17"/>
                        <w:spacing w:val="-9"/>
                      </w:rPr>
                      <w:t>数据库</w:t>
                    </w:r>
                  </w:p>
                  <w:p>
                    <w:pPr>
                      <w:ind w:left="4139" w:right="20" w:hanging="20"/>
                      <w:spacing w:before="47" w:line="197" w:lineRule="auto"/>
                      <w:rPr>
                        <w:rFonts w:ascii="SimSun" w:hAnsi="SimSun" w:eastAsia="SimSun" w:cs="SimSun"/>
                        <w:sz w:val="17"/>
                        <w:szCs w:val="17"/>
                      </w:rPr>
                    </w:pPr>
                    <w:r>
                      <w:rPr>
                        <w:rFonts w:ascii="SimSun" w:hAnsi="SimSun" w:eastAsia="SimSun" w:cs="SimSun"/>
                        <w:sz w:val="17"/>
                        <w:szCs w:val="17"/>
                        <w:spacing w:val="-14"/>
                        <w:w w:val="97"/>
                      </w:rPr>
                      <w:t>近实时更新联机</w:t>
                    </w:r>
                    <w:r>
                      <w:rPr>
                        <w:rFonts w:ascii="SimSun" w:hAnsi="SimSun" w:eastAsia="SimSun" w:cs="SimSun"/>
                        <w:sz w:val="17"/>
                        <w:szCs w:val="17"/>
                        <w:spacing w:val="8"/>
                      </w:rPr>
                      <w:t xml:space="preserve"> </w:t>
                    </w:r>
                    <w:r>
                      <w:rPr>
                        <w:rFonts w:ascii="SimSun" w:hAnsi="SimSun" w:eastAsia="SimSun" w:cs="SimSun"/>
                        <w:sz w:val="17"/>
                        <w:szCs w:val="17"/>
                        <w:spacing w:val="-12"/>
                        <w:w w:val="96"/>
                      </w:rPr>
                      <w:t>事物处理数据库</w:t>
                    </w:r>
                  </w:p>
                  <w:p>
                    <w:pPr>
                      <w:ind w:left="2450"/>
                      <w:spacing w:before="28" w:line="220" w:lineRule="auto"/>
                      <w:rPr>
                        <w:rFonts w:ascii="SimSun" w:hAnsi="SimSun" w:eastAsia="SimSun" w:cs="SimSun"/>
                        <w:sz w:val="17"/>
                        <w:szCs w:val="17"/>
                      </w:rPr>
                    </w:pPr>
                    <w:r>
                      <w:rPr>
                        <w:rFonts w:ascii="SimSun" w:hAnsi="SimSun" w:eastAsia="SimSun" w:cs="SimSun"/>
                        <w:sz w:val="17"/>
                        <w:szCs w:val="17"/>
                        <w:spacing w:val="-12"/>
                      </w:rPr>
                      <w:t>受控更新</w:t>
                    </w:r>
                  </w:p>
                  <w:p>
                    <w:pPr>
                      <w:ind w:left="3389"/>
                      <w:spacing w:before="126" w:line="219" w:lineRule="auto"/>
                      <w:rPr>
                        <w:rFonts w:ascii="SimSun" w:hAnsi="SimSun" w:eastAsia="SimSun" w:cs="SimSun"/>
                        <w:sz w:val="17"/>
                        <w:szCs w:val="17"/>
                      </w:rPr>
                    </w:pPr>
                    <w:r>
                      <w:rPr>
                        <w:rFonts w:ascii="SimSun" w:hAnsi="SimSun" w:eastAsia="SimSun" w:cs="SimSun"/>
                        <w:sz w:val="17"/>
                        <w:szCs w:val="17"/>
                        <w:spacing w:val="-12"/>
                      </w:rPr>
                      <w:t>夜间抽取</w:t>
                    </w:r>
                  </w:p>
                  <w:p>
                    <w:pPr>
                      <w:spacing w:line="409" w:lineRule="auto"/>
                      <w:rPr>
                        <w:rFonts w:ascii="Arial"/>
                        <w:sz w:val="21"/>
                      </w:rPr>
                    </w:pPr>
                    <w:r/>
                  </w:p>
                  <w:p>
                    <w:pPr>
                      <w:ind w:left="20"/>
                      <w:spacing w:before="56" w:line="185" w:lineRule="auto"/>
                      <w:rPr>
                        <w:rFonts w:ascii="SimSun" w:hAnsi="SimSun" w:eastAsia="SimSun" w:cs="SimSun"/>
                        <w:sz w:val="17"/>
                        <w:szCs w:val="17"/>
                      </w:rPr>
                    </w:pPr>
                    <w:r>
                      <w:rPr>
                        <w:rFonts w:ascii="SimSun" w:hAnsi="SimSun" w:eastAsia="SimSun" w:cs="SimSun"/>
                        <w:sz w:val="17"/>
                        <w:szCs w:val="17"/>
                        <w:spacing w:val="-14"/>
                      </w:rPr>
                      <w:t>业务数据</w:t>
                    </w:r>
                  </w:p>
                  <w:p>
                    <w:pPr>
                      <w:ind w:left="20"/>
                      <w:spacing w:before="1" w:line="219" w:lineRule="auto"/>
                      <w:rPr>
                        <w:rFonts w:ascii="SimSun" w:hAnsi="SimSun" w:eastAsia="SimSun" w:cs="SimSun"/>
                        <w:sz w:val="17"/>
                        <w:szCs w:val="17"/>
                      </w:rPr>
                    </w:pPr>
                    <w:r>
                      <w:rPr>
                        <w:rFonts w:ascii="SimSun" w:hAnsi="SimSun" w:eastAsia="SimSun" w:cs="SimSun"/>
                        <w:sz w:val="17"/>
                        <w:szCs w:val="17"/>
                        <w:spacing w:val="-11"/>
                      </w:rPr>
                      <w:t>管理专员</w:t>
                    </w:r>
                  </w:p>
                </w:txbxContent>
              </v:textbox>
            </v:shape>
            <v:shape id="_x0000_s636" style="position:absolute;left:5920;top:2036;width:945;height:380;" filled="false" stroked="false" type="#_x0000_t202">
              <v:fill on="false"/>
              <v:stroke on="false"/>
              <v:path/>
              <v:imagedata o:title=""/>
              <o:lock v:ext="edit" aspectratio="false"/>
              <v:textbox inset="0mm,0mm,0mm,0mm">
                <w:txbxContent>
                  <w:p>
                    <w:pPr>
                      <w:ind w:left="238" w:right="20" w:hanging="219"/>
                      <w:spacing w:before="20" w:line="202" w:lineRule="auto"/>
                      <w:rPr>
                        <w:rFonts w:ascii="SimSun" w:hAnsi="SimSun" w:eastAsia="SimSun" w:cs="SimSun"/>
                        <w:sz w:val="17"/>
                        <w:szCs w:val="17"/>
                      </w:rPr>
                    </w:pPr>
                    <w:r>
                      <w:rPr>
                        <w:rFonts w:ascii="SimSun" w:hAnsi="SimSun" w:eastAsia="SimSun" w:cs="SimSun"/>
                        <w:sz w:val="17"/>
                        <w:szCs w:val="17"/>
                        <w:spacing w:val="-12"/>
                        <w:w w:val="95"/>
                      </w:rPr>
                      <w:t>联机事物处理</w:t>
                    </w:r>
                    <w:r>
                      <w:rPr>
                        <w:rFonts w:ascii="SimSun" w:hAnsi="SimSun" w:eastAsia="SimSun" w:cs="SimSun"/>
                        <w:sz w:val="17"/>
                        <w:szCs w:val="17"/>
                        <w:spacing w:val="7"/>
                      </w:rPr>
                      <w:t xml:space="preserve"> </w:t>
                    </w:r>
                    <w:r>
                      <w:rPr>
                        <w:rFonts w:ascii="SimSun" w:hAnsi="SimSun" w:eastAsia="SimSun" w:cs="SimSun"/>
                        <w:sz w:val="17"/>
                        <w:szCs w:val="17"/>
                        <w:spacing w:val="-7"/>
                      </w:rPr>
                      <w:t>数据库</w:t>
                    </w:r>
                  </w:p>
                </w:txbxContent>
              </v:textbox>
            </v:shape>
            <v:shape id="_x0000_s638" style="position:absolute;left:5920;top:336;width:658;height:392;" filled="false" stroked="false" type="#_x0000_t202">
              <v:fill on="false"/>
              <v:stroke on="false"/>
              <v:path/>
              <v:imagedata o:title=""/>
              <o:lock v:ext="edit" aspectratio="false"/>
              <v:textbox inset="0mm,0mm,0mm,0mm">
                <w:txbxContent>
                  <w:p>
                    <w:pPr>
                      <w:ind w:left="20" w:right="20"/>
                      <w:spacing w:before="20" w:line="209" w:lineRule="auto"/>
                      <w:rPr>
                        <w:rFonts w:ascii="SimSun" w:hAnsi="SimSun" w:eastAsia="SimSun" w:cs="SimSun"/>
                        <w:sz w:val="17"/>
                        <w:szCs w:val="17"/>
                      </w:rPr>
                    </w:pPr>
                    <w:r>
                      <w:rPr>
                        <w:rFonts w:ascii="SimSun" w:hAnsi="SimSun" w:eastAsia="SimSun" w:cs="SimSun"/>
                        <w:sz w:val="17"/>
                        <w:szCs w:val="17"/>
                        <w:spacing w:val="-12"/>
                        <w:w w:val="97"/>
                      </w:rPr>
                      <w:t>联机事物</w:t>
                    </w:r>
                    <w:r>
                      <w:rPr>
                        <w:rFonts w:ascii="SimSun" w:hAnsi="SimSun" w:eastAsia="SimSun" w:cs="SimSun"/>
                        <w:sz w:val="17"/>
                        <w:szCs w:val="17"/>
                        <w:spacing w:val="5"/>
                      </w:rPr>
                      <w:t xml:space="preserve"> </w:t>
                    </w:r>
                    <w:r>
                      <w:rPr>
                        <w:rFonts w:ascii="SimSun" w:hAnsi="SimSun" w:eastAsia="SimSun" w:cs="SimSun"/>
                        <w:sz w:val="17"/>
                        <w:szCs w:val="17"/>
                        <w:spacing w:val="-15"/>
                        <w:w w:val="99"/>
                      </w:rPr>
                      <w:t>处理系统</w:t>
                    </w:r>
                  </w:p>
                </w:txbxContent>
              </v:textbox>
            </v:shape>
            <v:shape id="_x0000_s640" style="position:absolute;left:6020;top:2996;width:537;height:400;" filled="false" stroked="false" type="#_x0000_t202">
              <v:fill on="false"/>
              <v:stroke on="false"/>
              <v:path/>
              <v:imagedata o:title=""/>
              <o:lock v:ext="edit" aspectratio="false"/>
              <v:textbox inset="0mm,0mm,0mm,0mm">
                <w:txbxContent>
                  <w:p>
                    <w:pPr>
                      <w:ind w:left="20" w:right="20" w:firstLine="29"/>
                      <w:spacing w:before="19" w:line="213" w:lineRule="auto"/>
                      <w:rPr>
                        <w:rFonts w:ascii="SimSun" w:hAnsi="SimSun" w:eastAsia="SimSun" w:cs="SimSun"/>
                        <w:sz w:val="17"/>
                        <w:szCs w:val="17"/>
                      </w:rPr>
                    </w:pPr>
                    <w:r>
                      <w:rPr>
                        <w:rFonts w:ascii="SimSun" w:hAnsi="SimSun" w:eastAsia="SimSun" w:cs="SimSun"/>
                        <w:sz w:val="17"/>
                        <w:szCs w:val="17"/>
                        <w:spacing w:val="-15"/>
                      </w:rPr>
                      <w:t>多维数</w:t>
                    </w:r>
                    <w:r>
                      <w:rPr>
                        <w:rFonts w:ascii="SimSun" w:hAnsi="SimSun" w:eastAsia="SimSun" w:cs="SimSun"/>
                        <w:sz w:val="17"/>
                        <w:szCs w:val="17"/>
                      </w:rPr>
                      <w:t xml:space="preserve"> </w:t>
                    </w:r>
                    <w:r>
                      <w:rPr>
                        <w:rFonts w:ascii="SimSun" w:hAnsi="SimSun" w:eastAsia="SimSun" w:cs="SimSun"/>
                        <w:sz w:val="17"/>
                        <w:szCs w:val="17"/>
                        <w:spacing w:val="-10"/>
                      </w:rPr>
                      <w:t>据集市</w:t>
                    </w:r>
                  </w:p>
                </w:txbxContent>
              </v:textbox>
            </v:shape>
            <v:shape id="_x0000_s642" style="position:absolute;left:1070;top:2186;width:958;height:21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7"/>
                        <w:szCs w:val="17"/>
                      </w:rPr>
                    </w:pPr>
                    <w:r>
                      <w:rPr>
                        <w:rFonts w:ascii="SimSun" w:hAnsi="SimSun" w:eastAsia="SimSun" w:cs="SimSun"/>
                        <w:sz w:val="17"/>
                        <w:szCs w:val="17"/>
                        <w:spacing w:val="-16"/>
                      </w:rPr>
                      <w:t>代码管理</w:t>
                    </w:r>
                    <w:r>
                      <w:rPr>
                        <w:rFonts w:ascii="SimSun" w:hAnsi="SimSun" w:eastAsia="SimSun" w:cs="SimSun"/>
                        <w:sz w:val="17"/>
                        <w:szCs w:val="17"/>
                        <w:spacing w:val="-15"/>
                      </w:rPr>
                      <w:t>系</w:t>
                    </w:r>
                    <w:r>
                      <w:rPr>
                        <w:rFonts w:ascii="SimSun" w:hAnsi="SimSun" w:eastAsia="SimSun" w:cs="SimSun"/>
                        <w:sz w:val="17"/>
                        <w:szCs w:val="17"/>
                        <w:spacing w:val="-11"/>
                      </w:rPr>
                      <w:t>统</w:t>
                    </w:r>
                  </w:p>
                </w:txbxContent>
              </v:textbox>
            </v:shape>
            <v:shape id="_x0000_s644" style="position:absolute;left:4340;top:3066;width:66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数据仓库</w:t>
                    </w:r>
                  </w:p>
                </w:txbxContent>
              </v:textbox>
            </v:shape>
          </v:group>
        </w:pict>
      </w:r>
    </w:p>
    <w:p>
      <w:pPr>
        <w:ind w:left="2910"/>
        <w:spacing w:before="166" w:line="187" w:lineRule="auto"/>
        <w:rPr>
          <w:rFonts w:ascii="SimHei" w:hAnsi="SimHei" w:eastAsia="SimHei" w:cs="SimHei"/>
          <w:sz w:val="17"/>
          <w:szCs w:val="17"/>
        </w:rPr>
      </w:pPr>
      <w:r>
        <w:rPr>
          <w:rFonts w:ascii="SimHei" w:hAnsi="SimHei" w:eastAsia="SimHei" w:cs="SimHei"/>
          <w:sz w:val="17"/>
          <w:szCs w:val="17"/>
          <w:spacing w:val="13"/>
        </w:rPr>
        <w:t>图11-10</w:t>
      </w:r>
      <w:r>
        <w:rPr>
          <w:rFonts w:ascii="SimHei" w:hAnsi="SimHei" w:eastAsia="SimHei" w:cs="SimHei"/>
          <w:sz w:val="17"/>
          <w:szCs w:val="17"/>
          <w:spacing w:val="85"/>
        </w:rPr>
        <w:t xml:space="preserve"> </w:t>
      </w:r>
      <w:r>
        <w:rPr>
          <w:rFonts w:ascii="SimHei" w:hAnsi="SimHei" w:eastAsia="SimHei" w:cs="SimHei"/>
          <w:sz w:val="17"/>
          <w:szCs w:val="17"/>
          <w:spacing w:val="13"/>
        </w:rPr>
        <w:t>主数据管理架构示例</w:t>
      </w:r>
    </w:p>
    <w:p>
      <w:pPr>
        <w:spacing w:line="187" w:lineRule="auto"/>
        <w:sectPr>
          <w:type w:val="continuous"/>
          <w:pgSz w:w="8870" w:h="13400"/>
          <w:pgMar w:top="400" w:right="380" w:bottom="525" w:left="519" w:header="0" w:footer="306" w:gutter="0"/>
          <w:cols w:equalWidth="0" w:num="1">
            <w:col w:w="7971" w:space="0"/>
          </w:cols>
        </w:sectPr>
        <w:rPr>
          <w:rFonts w:ascii="SimHei" w:hAnsi="SimHei" w:eastAsia="SimHei" w:cs="SimHei"/>
          <w:sz w:val="17"/>
          <w:szCs w:val="17"/>
        </w:rPr>
      </w:pPr>
    </w:p>
    <w:p>
      <w:pPr>
        <w:ind w:left="4573"/>
        <w:spacing w:before="26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45" w:lineRule="auto"/>
        <w:rPr/>
      </w:pPr>
      <w:r/>
    </w:p>
    <w:p>
      <w:pPr>
        <w:ind w:left="400"/>
        <w:spacing w:before="68" w:line="219" w:lineRule="auto"/>
        <w:rPr>
          <w:rFonts w:ascii="SimSun" w:hAnsi="SimSun" w:eastAsia="SimSun" w:cs="SimSun"/>
          <w:sz w:val="21"/>
          <w:szCs w:val="21"/>
        </w:rPr>
      </w:pPr>
      <w:r>
        <w:rPr>
          <w:rFonts w:ascii="SimSun" w:hAnsi="SimSun" w:eastAsia="SimSun" w:cs="SimSun"/>
          <w:sz w:val="21"/>
          <w:szCs w:val="21"/>
          <w:spacing w:val="6"/>
        </w:rPr>
        <w:t>(3)选择主数据管理工具</w:t>
      </w:r>
    </w:p>
    <w:p>
      <w:pPr>
        <w:ind w:right="212" w:firstLine="400"/>
        <w:spacing w:before="49" w:line="255" w:lineRule="auto"/>
        <w:rPr>
          <w:rFonts w:ascii="SimSun" w:hAnsi="SimSun" w:eastAsia="SimSun" w:cs="SimSun"/>
          <w:sz w:val="21"/>
          <w:szCs w:val="21"/>
        </w:rPr>
      </w:pPr>
      <w:r>
        <w:rPr>
          <w:rFonts w:ascii="SimSun" w:hAnsi="SimSun" w:eastAsia="SimSun" w:cs="SimSun"/>
          <w:sz w:val="21"/>
          <w:szCs w:val="21"/>
          <w:spacing w:val="1"/>
        </w:rPr>
        <w:t>主数据的体量是很大的，尤其是新信息技术在组织业务过程中的应用，管理主</w:t>
      </w:r>
      <w:r>
        <w:rPr>
          <w:rFonts w:ascii="SimSun" w:hAnsi="SimSun" w:eastAsia="SimSun" w:cs="SimSun"/>
          <w:sz w:val="21"/>
          <w:szCs w:val="21"/>
          <w:spacing w:val="6"/>
        </w:rPr>
        <w:t xml:space="preserve"> </w:t>
      </w:r>
      <w:r>
        <w:rPr>
          <w:rFonts w:ascii="SimSun" w:hAnsi="SimSun" w:eastAsia="SimSun" w:cs="SimSun"/>
          <w:sz w:val="21"/>
          <w:szCs w:val="21"/>
          <w:spacing w:val="1"/>
        </w:rPr>
        <w:t>数据不能仅仅依靠人工处理。市场上主数据管理工具众多，组织应当选择适合业务</w:t>
      </w:r>
      <w:r>
        <w:rPr>
          <w:rFonts w:ascii="SimSun" w:hAnsi="SimSun" w:eastAsia="SimSun" w:cs="SimSun"/>
          <w:sz w:val="21"/>
          <w:szCs w:val="21"/>
          <w:spacing w:val="12"/>
        </w:rPr>
        <w:t xml:space="preserve"> </w:t>
      </w:r>
      <w:r>
        <w:rPr>
          <w:rFonts w:ascii="SimSun" w:hAnsi="SimSun" w:eastAsia="SimSun" w:cs="SimSun"/>
          <w:sz w:val="21"/>
          <w:szCs w:val="21"/>
          <w:spacing w:val="-3"/>
        </w:rPr>
        <w:t>需要的主数据管理工具，并加以维护。</w:t>
      </w:r>
    </w:p>
    <w:p>
      <w:pPr>
        <w:ind w:left="400"/>
        <w:spacing w:before="68" w:line="218" w:lineRule="auto"/>
        <w:rPr>
          <w:rFonts w:ascii="SimSun" w:hAnsi="SimSun" w:eastAsia="SimSun" w:cs="SimSun"/>
          <w:sz w:val="21"/>
          <w:szCs w:val="21"/>
        </w:rPr>
      </w:pPr>
      <w:r>
        <w:rPr>
          <w:rFonts w:ascii="SimSun" w:hAnsi="SimSun" w:eastAsia="SimSun" w:cs="SimSun"/>
          <w:sz w:val="21"/>
          <w:szCs w:val="21"/>
          <w:spacing w:val="4"/>
        </w:rPr>
        <w:t>(4)执行主数据管理成熟度评估</w:t>
      </w:r>
    </w:p>
    <w:p>
      <w:pPr>
        <w:ind w:right="192" w:firstLine="400"/>
        <w:spacing w:before="53" w:line="258" w:lineRule="auto"/>
        <w:rPr>
          <w:rFonts w:ascii="SimSun" w:hAnsi="SimSun" w:eastAsia="SimSun" w:cs="SimSun"/>
          <w:sz w:val="21"/>
          <w:szCs w:val="21"/>
        </w:rPr>
      </w:pPr>
      <w:r>
        <w:rPr>
          <w:rFonts w:ascii="SimSun" w:hAnsi="SimSun" w:eastAsia="SimSun" w:cs="SimSun"/>
          <w:sz w:val="21"/>
          <w:szCs w:val="21"/>
          <w:spacing w:val="3"/>
        </w:rPr>
        <w:t>依据云端数据治理成熟度模型中主数据管理成熟</w:t>
      </w:r>
      <w:r>
        <w:rPr>
          <w:rFonts w:ascii="SimSun" w:hAnsi="SimSun" w:eastAsia="SimSun" w:cs="SimSun"/>
          <w:sz w:val="21"/>
          <w:szCs w:val="21"/>
          <w:spacing w:val="2"/>
        </w:rPr>
        <w:t>度等级要求对主数据管理进行</w:t>
      </w:r>
      <w:r>
        <w:rPr>
          <w:rFonts w:ascii="SimSun" w:hAnsi="SimSun" w:eastAsia="SimSun" w:cs="SimSun"/>
          <w:sz w:val="21"/>
          <w:szCs w:val="21"/>
        </w:rPr>
        <w:t xml:space="preserve"> </w:t>
      </w:r>
      <w:r>
        <w:rPr>
          <w:rFonts w:ascii="SimSun" w:hAnsi="SimSun" w:eastAsia="SimSun" w:cs="SimSun"/>
          <w:sz w:val="21"/>
          <w:szCs w:val="21"/>
          <w:spacing w:val="-2"/>
        </w:rPr>
        <w:t>评估，以便改进主数据管理策略和管理流程。</w:t>
      </w:r>
    </w:p>
    <w:p>
      <w:pPr>
        <w:ind w:left="403"/>
        <w:spacing w:before="213" w:line="219" w:lineRule="auto"/>
        <w:outlineLvl w:val="6"/>
        <w:rPr>
          <w:rFonts w:ascii="YouYuan" w:hAnsi="YouYuan" w:eastAsia="YouYuan" w:cs="YouYuan"/>
          <w:sz w:val="21"/>
          <w:szCs w:val="21"/>
        </w:rPr>
      </w:pPr>
      <w:r>
        <w:rPr>
          <w:rFonts w:ascii="YouYuan" w:hAnsi="YouYuan" w:eastAsia="YouYuan" w:cs="YouYuan"/>
          <w:sz w:val="21"/>
          <w:szCs w:val="21"/>
          <w:b/>
          <w:bCs/>
          <w:spacing w:val="1"/>
        </w:rPr>
        <w:t>5.</w:t>
      </w:r>
      <w:r>
        <w:rPr>
          <w:rFonts w:ascii="YouYuan" w:hAnsi="YouYuan" w:eastAsia="YouYuan" w:cs="YouYuan"/>
          <w:sz w:val="21"/>
          <w:szCs w:val="21"/>
          <w:spacing w:val="28"/>
        </w:rPr>
        <w:t xml:space="preserve"> </w:t>
      </w:r>
      <w:r>
        <w:rPr>
          <w:rFonts w:ascii="YouYuan" w:hAnsi="YouYuan" w:eastAsia="YouYuan" w:cs="YouYuan"/>
          <w:sz w:val="21"/>
          <w:szCs w:val="21"/>
          <w:b/>
          <w:bCs/>
          <w:spacing w:val="1"/>
        </w:rPr>
        <w:t>提高数据质量</w:t>
      </w:r>
    </w:p>
    <w:p>
      <w:pPr>
        <w:ind w:right="220" w:firstLine="400"/>
        <w:spacing w:before="211" w:line="260" w:lineRule="auto"/>
        <w:jc w:val="both"/>
        <w:rPr>
          <w:rFonts w:ascii="SimSun" w:hAnsi="SimSun" w:eastAsia="SimSun" w:cs="SimSun"/>
          <w:sz w:val="21"/>
          <w:szCs w:val="21"/>
        </w:rPr>
      </w:pPr>
      <w:r>
        <w:rPr>
          <w:rFonts w:ascii="SimSun" w:hAnsi="SimSun" w:eastAsia="SimSun" w:cs="SimSun"/>
          <w:sz w:val="21"/>
          <w:szCs w:val="21"/>
          <w:spacing w:val="1"/>
        </w:rPr>
        <w:t>数据质量管理是数据治理项目中一项关键的支撑流程，决定了数据决策的准确</w:t>
      </w:r>
      <w:r>
        <w:rPr>
          <w:rFonts w:ascii="SimSun" w:hAnsi="SimSun" w:eastAsia="SimSun" w:cs="SimSun"/>
          <w:sz w:val="21"/>
          <w:szCs w:val="21"/>
          <w:spacing w:val="11"/>
        </w:rPr>
        <w:t xml:space="preserve"> </w:t>
      </w:r>
      <w:r>
        <w:rPr>
          <w:rFonts w:ascii="SimSun" w:hAnsi="SimSun" w:eastAsia="SimSun" w:cs="SimSun"/>
          <w:sz w:val="21"/>
          <w:szCs w:val="21"/>
          <w:spacing w:val="1"/>
        </w:rPr>
        <w:t>性和预见性，数据质量管理循环过程如图11-11 所示。数据质量管理的终极目标是 </w:t>
      </w:r>
      <w:r>
        <w:rPr>
          <w:rFonts w:ascii="SimSun" w:hAnsi="SimSun" w:eastAsia="SimSun" w:cs="SimSun"/>
          <w:sz w:val="21"/>
          <w:szCs w:val="21"/>
          <w:spacing w:val="-1"/>
        </w:rPr>
        <w:t>通过可靠的数据管理提升数据在使用中的价值，并最终为组织赢得收益。</w:t>
      </w:r>
    </w:p>
    <w:p>
      <w:pPr>
        <w:spacing w:before="6"/>
        <w:rPr/>
      </w:pPr>
      <w:r/>
    </w:p>
    <w:p>
      <w:pPr>
        <w:spacing w:before="6"/>
        <w:rPr/>
      </w:pPr>
      <w:r/>
    </w:p>
    <w:p>
      <w:pPr>
        <w:spacing w:before="5"/>
        <w:rPr/>
      </w:pPr>
      <w:r/>
    </w:p>
    <w:p>
      <w:pPr>
        <w:sectPr>
          <w:footerReference w:type="default" r:id="rId515"/>
          <w:pgSz w:w="8870" w:h="13400"/>
          <w:pgMar w:top="400" w:right="627" w:bottom="508" w:left="419" w:header="0" w:footer="299" w:gutter="0"/>
          <w:cols w:equalWidth="0" w:num="1">
            <w:col w:w="7823" w:space="0"/>
          </w:cols>
        </w:sectPr>
        <w:rPr/>
      </w:pPr>
    </w:p>
    <w:p>
      <w:pPr>
        <w:ind w:left="2839"/>
        <w:spacing w:before="34" w:line="224" w:lineRule="auto"/>
        <w:rPr>
          <w:rFonts w:ascii="Times New Roman" w:hAnsi="Times New Roman" w:eastAsia="Times New Roman" w:cs="Times New Roman"/>
          <w:sz w:val="16"/>
          <w:szCs w:val="16"/>
        </w:rPr>
      </w:pPr>
      <w:r>
        <w:drawing>
          <wp:anchor distT="0" distB="0" distL="0" distR="0" simplePos="0" relativeHeight="258648064" behindDoc="1" locked="0" layoutInCell="1" allowOverlap="1">
            <wp:simplePos x="0" y="0"/>
            <wp:positionH relativeFrom="column">
              <wp:posOffset>1231929</wp:posOffset>
            </wp:positionH>
            <wp:positionV relativeFrom="paragraph">
              <wp:posOffset>-422889</wp:posOffset>
            </wp:positionV>
            <wp:extent cx="2393903" cy="2330444"/>
            <wp:effectExtent l="0" t="0" r="0" b="0"/>
            <wp:wrapNone/>
            <wp:docPr id="354" name="IM 354"/>
            <wp:cNvGraphicFramePr/>
            <a:graphic>
              <a:graphicData uri="http://schemas.openxmlformats.org/drawingml/2006/picture">
                <pic:pic>
                  <pic:nvPicPr>
                    <pic:cNvPr id="354" name="IM 354"/>
                    <pic:cNvPicPr/>
                  </pic:nvPicPr>
                  <pic:blipFill>
                    <a:blip r:embed="rId516"/>
                    <a:stretch>
                      <a:fillRect/>
                    </a:stretch>
                  </pic:blipFill>
                  <pic:spPr>
                    <a:xfrm rot="0">
                      <a:off x="0" y="0"/>
                      <a:ext cx="2393903" cy="2330444"/>
                    </a:xfrm>
                    <a:prstGeom prst="rect">
                      <a:avLst/>
                    </a:prstGeom>
                  </pic:spPr>
                </pic:pic>
              </a:graphicData>
            </a:graphic>
          </wp:anchor>
        </w:drawing>
      </w:r>
      <w:r>
        <w:rPr>
          <w:rFonts w:ascii="SimSun" w:hAnsi="SimSun" w:eastAsia="SimSun" w:cs="SimSun"/>
          <w:sz w:val="16"/>
          <w:szCs w:val="16"/>
          <w:spacing w:val="-6"/>
        </w:rPr>
        <w:t>处理</w:t>
      </w:r>
      <w:r>
        <w:rPr>
          <w:rFonts w:ascii="Times New Roman" w:hAnsi="Times New Roman" w:eastAsia="Times New Roman" w:cs="Times New Roman"/>
          <w:sz w:val="16"/>
          <w:szCs w:val="16"/>
          <w:spacing w:val="-6"/>
        </w:rPr>
        <w:t>Act</w:t>
      </w:r>
    </w:p>
    <w:p>
      <w:pPr>
        <w:ind w:left="2479"/>
        <w:spacing w:before="72" w:line="196" w:lineRule="auto"/>
        <w:rPr>
          <w:rFonts w:ascii="SimSun" w:hAnsi="SimSun" w:eastAsia="SimSun" w:cs="SimSun"/>
          <w:sz w:val="16"/>
          <w:szCs w:val="16"/>
        </w:rPr>
      </w:pPr>
      <w:r>
        <w:rPr>
          <w:rFonts w:ascii="SimSun" w:hAnsi="SimSun" w:eastAsia="SimSun" w:cs="SimSun"/>
          <w:sz w:val="16"/>
          <w:szCs w:val="16"/>
          <w:spacing w:val="-20"/>
        </w:rPr>
        <w:t>·数据质量修复</w:t>
      </w:r>
    </w:p>
    <w:p>
      <w:pPr>
        <w:ind w:left="2529" w:right="42" w:hanging="50"/>
        <w:spacing w:before="2" w:line="230" w:lineRule="auto"/>
        <w:rPr>
          <w:rFonts w:ascii="SimSun" w:hAnsi="SimSun" w:eastAsia="SimSun" w:cs="SimSun"/>
          <w:sz w:val="16"/>
          <w:szCs w:val="16"/>
        </w:rPr>
      </w:pPr>
      <w:r>
        <w:rPr>
          <w:rFonts w:ascii="SimSun" w:hAnsi="SimSun" w:eastAsia="SimSun" w:cs="SimSun"/>
          <w:sz w:val="16"/>
          <w:szCs w:val="16"/>
          <w:spacing w:val="-20"/>
        </w:rPr>
        <w:t>·数据质量管理方案</w:t>
      </w:r>
      <w:r>
        <w:rPr>
          <w:rFonts w:ascii="SimSun" w:hAnsi="SimSun" w:eastAsia="SimSun" w:cs="SimSun"/>
          <w:sz w:val="16"/>
          <w:szCs w:val="16"/>
          <w:spacing w:val="6"/>
        </w:rPr>
        <w:t xml:space="preserve"> </w:t>
      </w:r>
      <w:r>
        <w:rPr>
          <w:rFonts w:ascii="SimSun" w:hAnsi="SimSun" w:eastAsia="SimSun" w:cs="SimSun"/>
          <w:sz w:val="16"/>
          <w:szCs w:val="16"/>
          <w:spacing w:val="8"/>
        </w:rPr>
        <w:t>优化</w:t>
      </w:r>
    </w:p>
    <w:p>
      <w:pPr>
        <w:pStyle w:val="BodyText"/>
        <w:spacing w:line="415" w:lineRule="auto"/>
        <w:rPr/>
      </w:pPr>
      <w:r/>
    </w:p>
    <w:p>
      <w:pPr>
        <w:ind w:left="2770"/>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7"/>
        </w:rPr>
        <w:t>检查</w:t>
      </w:r>
      <w:r>
        <w:rPr>
          <w:rFonts w:ascii="Times New Roman" w:hAnsi="Times New Roman" w:eastAsia="Times New Roman" w:cs="Times New Roman"/>
          <w:sz w:val="16"/>
          <w:szCs w:val="16"/>
          <w:spacing w:val="-7"/>
        </w:rPr>
        <w:t>Check</w:t>
      </w:r>
    </w:p>
    <w:p>
      <w:pPr>
        <w:ind w:left="2479" w:right="43"/>
        <w:spacing w:before="61" w:line="213" w:lineRule="auto"/>
        <w:rPr>
          <w:rFonts w:ascii="SimSun" w:hAnsi="SimSun" w:eastAsia="SimSun" w:cs="SimSun"/>
          <w:sz w:val="16"/>
          <w:szCs w:val="16"/>
        </w:rPr>
      </w:pPr>
      <w:r>
        <w:rPr>
          <w:rFonts w:ascii="SimSun" w:hAnsi="SimSun" w:eastAsia="SimSun" w:cs="SimSun"/>
          <w:sz w:val="16"/>
          <w:szCs w:val="16"/>
          <w:spacing w:val="-20"/>
        </w:rPr>
        <w:t>·数据质量操作监控</w:t>
      </w:r>
      <w:r>
        <w:rPr>
          <w:rFonts w:ascii="SimSun" w:hAnsi="SimSun" w:eastAsia="SimSun" w:cs="SimSun"/>
          <w:sz w:val="16"/>
          <w:szCs w:val="16"/>
          <w:spacing w:val="5"/>
        </w:rPr>
        <w:t xml:space="preserve"> </w:t>
      </w:r>
      <w:r>
        <w:rPr>
          <w:rFonts w:ascii="SimSun" w:hAnsi="SimSun" w:eastAsia="SimSun" w:cs="SimSun"/>
          <w:sz w:val="16"/>
          <w:szCs w:val="16"/>
          <w:spacing w:val="-20"/>
        </w:rPr>
        <w:t>·数据质量指标符合</w:t>
      </w:r>
    </w:p>
    <w:p>
      <w:pPr>
        <w:ind w:left="2540"/>
        <w:spacing w:line="207" w:lineRule="auto"/>
        <w:rPr>
          <w:rFonts w:ascii="SimSun" w:hAnsi="SimSun" w:eastAsia="SimSun" w:cs="SimSun"/>
          <w:sz w:val="16"/>
          <w:szCs w:val="16"/>
        </w:rPr>
      </w:pPr>
      <w:r>
        <w:rPr>
          <w:rFonts w:ascii="SimSun" w:hAnsi="SimSun" w:eastAsia="SimSun" w:cs="SimSun"/>
          <w:sz w:val="16"/>
          <w:szCs w:val="16"/>
          <w:spacing w:val="-2"/>
        </w:rPr>
        <w:t>性检查</w:t>
      </w:r>
    </w:p>
    <w:p>
      <w:pPr>
        <w:pStyle w:val="BodyText"/>
        <w:spacing w:line="14" w:lineRule="auto"/>
        <w:rPr>
          <w:sz w:val="2"/>
        </w:rPr>
      </w:pPr>
      <w:r>
        <w:rPr>
          <w:sz w:val="2"/>
          <w:szCs w:val="2"/>
        </w:rPr>
        <w:br w:type="column"/>
      </w:r>
    </w:p>
    <w:p>
      <w:pPr>
        <w:ind w:left="229"/>
        <w:spacing w:before="30" w:line="221" w:lineRule="auto"/>
        <w:rPr>
          <w:rFonts w:ascii="Times New Roman" w:hAnsi="Times New Roman" w:eastAsia="Times New Roman" w:cs="Times New Roman"/>
          <w:sz w:val="16"/>
          <w:szCs w:val="16"/>
        </w:rPr>
      </w:pPr>
      <w:r>
        <w:rPr>
          <w:rFonts w:ascii="SimSun" w:hAnsi="SimSun" w:eastAsia="SimSun" w:cs="SimSun"/>
          <w:sz w:val="16"/>
          <w:szCs w:val="16"/>
          <w:spacing w:val="-5"/>
        </w:rPr>
        <w:t>计划</w:t>
      </w:r>
      <w:r>
        <w:rPr>
          <w:rFonts w:ascii="Times New Roman" w:hAnsi="Times New Roman" w:eastAsia="Times New Roman" w:cs="Times New Roman"/>
          <w:sz w:val="16"/>
          <w:szCs w:val="16"/>
          <w:spacing w:val="-5"/>
        </w:rPr>
        <w:t>Plan</w:t>
      </w:r>
    </w:p>
    <w:p>
      <w:pPr>
        <w:spacing w:before="127" w:line="208" w:lineRule="auto"/>
        <w:rPr>
          <w:rFonts w:ascii="SimSun" w:hAnsi="SimSun" w:eastAsia="SimSun" w:cs="SimSun"/>
          <w:sz w:val="16"/>
          <w:szCs w:val="16"/>
        </w:rPr>
      </w:pPr>
      <w:r>
        <w:rPr>
          <w:rFonts w:ascii="SimSun" w:hAnsi="SimSun" w:eastAsia="SimSun" w:cs="SimSun"/>
          <w:sz w:val="16"/>
          <w:szCs w:val="16"/>
          <w:spacing w:val="-16"/>
        </w:rPr>
        <w:t>·识别数据治理需求</w:t>
      </w:r>
    </w:p>
    <w:p>
      <w:pPr>
        <w:spacing w:line="195" w:lineRule="auto"/>
        <w:rPr>
          <w:rFonts w:ascii="SimSun" w:hAnsi="SimSun" w:eastAsia="SimSun" w:cs="SimSun"/>
          <w:sz w:val="16"/>
          <w:szCs w:val="16"/>
        </w:rPr>
      </w:pPr>
      <w:r>
        <w:rPr>
          <w:rFonts w:ascii="SimSun" w:hAnsi="SimSun" w:eastAsia="SimSun" w:cs="SimSun"/>
          <w:sz w:val="16"/>
          <w:szCs w:val="16"/>
          <w:spacing w:val="-16"/>
        </w:rPr>
        <w:t>·制定数据质量管理</w:t>
      </w:r>
    </w:p>
    <w:p>
      <w:pPr>
        <w:ind w:left="69"/>
        <w:spacing w:before="22" w:line="195" w:lineRule="auto"/>
        <w:rPr>
          <w:rFonts w:ascii="SimSun" w:hAnsi="SimSun" w:eastAsia="SimSun" w:cs="SimSun"/>
          <w:sz w:val="16"/>
          <w:szCs w:val="16"/>
        </w:rPr>
      </w:pPr>
      <w:r>
        <w:rPr>
          <w:rFonts w:ascii="SimSun" w:hAnsi="SimSun" w:eastAsia="SimSun" w:cs="SimSun"/>
          <w:sz w:val="16"/>
          <w:szCs w:val="16"/>
          <w:spacing w:val="9"/>
        </w:rPr>
        <w:t>方案</w:t>
      </w:r>
    </w:p>
    <w:p>
      <w:pPr>
        <w:spacing w:line="219" w:lineRule="auto"/>
        <w:rPr>
          <w:rFonts w:ascii="SimSun" w:hAnsi="SimSun" w:eastAsia="SimSun" w:cs="SimSun"/>
          <w:sz w:val="16"/>
          <w:szCs w:val="16"/>
        </w:rPr>
      </w:pPr>
      <w:r>
        <w:rPr>
          <w:rFonts w:ascii="SimSun" w:hAnsi="SimSun" w:eastAsia="SimSun" w:cs="SimSun"/>
          <w:sz w:val="16"/>
          <w:szCs w:val="16"/>
          <w:spacing w:val="-13"/>
        </w:rPr>
        <w:t>·定义数据质量指标</w:t>
      </w:r>
    </w:p>
    <w:p>
      <w:pPr>
        <w:ind w:left="319"/>
        <w:spacing w:before="261" w:line="220" w:lineRule="auto"/>
        <w:rPr>
          <w:rFonts w:ascii="Times New Roman" w:hAnsi="Times New Roman" w:eastAsia="Times New Roman" w:cs="Times New Roman"/>
          <w:sz w:val="16"/>
          <w:szCs w:val="16"/>
        </w:rPr>
      </w:pPr>
      <w:r>
        <w:rPr>
          <w:rFonts w:ascii="SimSun" w:hAnsi="SimSun" w:eastAsia="SimSun" w:cs="SimSun"/>
          <w:sz w:val="16"/>
          <w:szCs w:val="16"/>
          <w:spacing w:val="-3"/>
        </w:rPr>
        <w:t>实施</w:t>
      </w:r>
      <w:r>
        <w:rPr>
          <w:rFonts w:ascii="Times New Roman" w:hAnsi="Times New Roman" w:eastAsia="Times New Roman" w:cs="Times New Roman"/>
          <w:sz w:val="16"/>
          <w:szCs w:val="16"/>
          <w:spacing w:val="-3"/>
        </w:rPr>
        <w:t>Do</w:t>
      </w:r>
    </w:p>
    <w:p>
      <w:pPr>
        <w:spacing w:before="67" w:line="209" w:lineRule="auto"/>
        <w:rPr>
          <w:rFonts w:ascii="SimSun" w:hAnsi="SimSun" w:eastAsia="SimSun" w:cs="SimSun"/>
          <w:sz w:val="16"/>
          <w:szCs w:val="16"/>
        </w:rPr>
      </w:pPr>
      <w:r>
        <w:rPr>
          <w:rFonts w:ascii="SimSun" w:hAnsi="SimSun" w:eastAsia="SimSun" w:cs="SimSun"/>
          <w:sz w:val="16"/>
          <w:szCs w:val="16"/>
          <w:spacing w:val="-16"/>
        </w:rPr>
        <w:t>·评估数据质量问题</w:t>
      </w:r>
    </w:p>
    <w:p>
      <w:pPr>
        <w:ind w:left="19"/>
        <w:spacing w:before="1" w:line="219" w:lineRule="auto"/>
        <w:rPr>
          <w:rFonts w:ascii="SimSun" w:hAnsi="SimSun" w:eastAsia="SimSun" w:cs="SimSun"/>
          <w:sz w:val="16"/>
          <w:szCs w:val="16"/>
        </w:rPr>
      </w:pPr>
      <w:r>
        <w:rPr>
          <w:rFonts w:ascii="SimSun" w:hAnsi="SimSun" w:eastAsia="SimSun" w:cs="SimSun"/>
          <w:sz w:val="16"/>
          <w:szCs w:val="16"/>
          <w:spacing w:val="-17"/>
        </w:rPr>
        <w:t>·执行数据清洗</w:t>
      </w:r>
    </w:p>
    <w:p>
      <w:pPr>
        <w:spacing w:before="10" w:line="184" w:lineRule="auto"/>
        <w:rPr>
          <w:rFonts w:ascii="SimSun" w:hAnsi="SimSun" w:eastAsia="SimSun" w:cs="SimSun"/>
          <w:sz w:val="16"/>
          <w:szCs w:val="16"/>
        </w:rPr>
      </w:pPr>
      <w:r>
        <w:rPr>
          <w:rFonts w:ascii="SimSun" w:hAnsi="SimSun" w:eastAsia="SimSun" w:cs="SimSun"/>
          <w:sz w:val="16"/>
          <w:szCs w:val="16"/>
          <w:spacing w:val="-17"/>
        </w:rPr>
        <w:t>·修复数据质量</w:t>
      </w:r>
    </w:p>
    <w:p>
      <w:pPr>
        <w:spacing w:line="184" w:lineRule="auto"/>
        <w:sectPr>
          <w:type w:val="continuous"/>
          <w:pgSz w:w="8870" w:h="13400"/>
          <w:pgMar w:top="400" w:right="627" w:bottom="508" w:left="419" w:header="0" w:footer="299" w:gutter="0"/>
          <w:cols w:equalWidth="0" w:num="2">
            <w:col w:w="3791" w:space="100"/>
            <w:col w:w="3933" w:space="0"/>
          </w:cols>
        </w:sectPr>
        <w:rPr>
          <w:rFonts w:ascii="SimSun" w:hAnsi="SimSun" w:eastAsia="SimSun" w:cs="SimSun"/>
          <w:sz w:val="16"/>
          <w:szCs w:val="16"/>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482"/>
        <w:spacing w:before="53" w:line="222" w:lineRule="auto"/>
        <w:rPr>
          <w:rFonts w:ascii="SimHei" w:hAnsi="SimHei" w:eastAsia="SimHei" w:cs="SimHei"/>
          <w:sz w:val="16"/>
          <w:szCs w:val="16"/>
        </w:rPr>
      </w:pPr>
      <w:r>
        <w:rPr>
          <w:rFonts w:ascii="SimHei" w:hAnsi="SimHei" w:eastAsia="SimHei" w:cs="SimHei"/>
          <w:sz w:val="16"/>
          <w:szCs w:val="16"/>
          <w:b/>
          <w:bCs/>
          <w:spacing w:val="14"/>
        </w:rPr>
        <w:t>图11-</w:t>
      </w:r>
      <w:r>
        <w:rPr>
          <w:rFonts w:ascii="SimHei" w:hAnsi="SimHei" w:eastAsia="SimHei" w:cs="SimHei"/>
          <w:sz w:val="16"/>
          <w:szCs w:val="16"/>
          <w:spacing w:val="-39"/>
        </w:rPr>
        <w:t xml:space="preserve"> </w:t>
      </w:r>
      <w:r>
        <w:rPr>
          <w:rFonts w:ascii="SimHei" w:hAnsi="SimHei" w:eastAsia="SimHei" w:cs="SimHei"/>
          <w:sz w:val="16"/>
          <w:szCs w:val="16"/>
          <w:b/>
          <w:bCs/>
          <w:spacing w:val="14"/>
        </w:rPr>
        <w:t>11</w:t>
      </w:r>
      <w:r>
        <w:rPr>
          <w:rFonts w:ascii="SimHei" w:hAnsi="SimHei" w:eastAsia="SimHei" w:cs="SimHei"/>
          <w:sz w:val="16"/>
          <w:szCs w:val="16"/>
          <w:spacing w:val="14"/>
        </w:rPr>
        <w:t xml:space="preserve">  </w:t>
      </w:r>
      <w:r>
        <w:rPr>
          <w:rFonts w:ascii="SimHei" w:hAnsi="SimHei" w:eastAsia="SimHei" w:cs="SimHei"/>
          <w:sz w:val="16"/>
          <w:szCs w:val="16"/>
          <w:b/>
          <w:bCs/>
          <w:spacing w:val="14"/>
        </w:rPr>
        <w:t>数据质量管理循环过程</w:t>
      </w:r>
    </w:p>
    <w:p>
      <w:pPr>
        <w:ind w:left="400"/>
        <w:spacing w:before="223" w:line="219" w:lineRule="auto"/>
        <w:rPr>
          <w:rFonts w:ascii="SimSun" w:hAnsi="SimSun" w:eastAsia="SimSun" w:cs="SimSun"/>
          <w:sz w:val="21"/>
          <w:szCs w:val="21"/>
        </w:rPr>
      </w:pPr>
      <w:r>
        <w:rPr>
          <w:rFonts w:ascii="SimSun" w:hAnsi="SimSun" w:eastAsia="SimSun" w:cs="SimSun"/>
          <w:sz w:val="21"/>
          <w:szCs w:val="21"/>
          <w:spacing w:val="-2"/>
        </w:rPr>
        <w:t>影响数据质量的因素主要来源于以下四个方面。</w:t>
      </w:r>
    </w:p>
    <w:p>
      <w:pPr>
        <w:ind w:right="213" w:firstLine="400"/>
        <w:spacing w:before="61" w:line="254" w:lineRule="auto"/>
        <w:rPr>
          <w:rFonts w:ascii="SimSun" w:hAnsi="SimSun" w:eastAsia="SimSun" w:cs="SimSun"/>
          <w:sz w:val="21"/>
          <w:szCs w:val="21"/>
        </w:rPr>
      </w:pPr>
      <w:r>
        <w:rPr>
          <w:rFonts w:ascii="SimSun" w:hAnsi="SimSun" w:eastAsia="SimSun" w:cs="SimSun"/>
          <w:sz w:val="21"/>
          <w:szCs w:val="21"/>
          <w:spacing w:val="8"/>
        </w:rPr>
        <w:t>(1)信息因素。例如元数据描述及理解错误、数据度量的各种性质(如数</w:t>
      </w:r>
      <w:r>
        <w:rPr>
          <w:rFonts w:ascii="SimSun" w:hAnsi="SimSun" w:eastAsia="SimSun" w:cs="SimSun"/>
          <w:sz w:val="21"/>
          <w:szCs w:val="21"/>
          <w:spacing w:val="7"/>
        </w:rPr>
        <w:t>据源</w:t>
      </w:r>
      <w:r>
        <w:rPr>
          <w:rFonts w:ascii="SimSun" w:hAnsi="SimSun" w:eastAsia="SimSun" w:cs="SimSun"/>
          <w:sz w:val="21"/>
          <w:szCs w:val="21"/>
        </w:rPr>
        <w:t xml:space="preserve"> </w:t>
      </w:r>
      <w:r>
        <w:rPr>
          <w:rFonts w:ascii="SimSun" w:hAnsi="SimSun" w:eastAsia="SimSun" w:cs="SimSun"/>
          <w:sz w:val="21"/>
          <w:szCs w:val="21"/>
          <w:spacing w:val="3"/>
        </w:rPr>
        <w:t>规格不统一)得不到保证和变化频度不恰当等。</w:t>
      </w:r>
    </w:p>
    <w:p>
      <w:pPr>
        <w:ind w:right="209" w:firstLine="400"/>
        <w:spacing w:before="41" w:line="261" w:lineRule="auto"/>
        <w:rPr>
          <w:rFonts w:ascii="SimSun" w:hAnsi="SimSun" w:eastAsia="SimSun" w:cs="SimSun"/>
          <w:sz w:val="21"/>
          <w:szCs w:val="21"/>
        </w:rPr>
      </w:pPr>
      <w:r>
        <w:rPr>
          <w:rFonts w:ascii="SimSun" w:hAnsi="SimSun" w:eastAsia="SimSun" w:cs="SimSun"/>
          <w:sz w:val="21"/>
          <w:szCs w:val="21"/>
          <w:spacing w:val="4"/>
        </w:rPr>
        <w:t>(2)技术因素。主要是指由于具体数据处理的各技术环节的异常造成的数据质</w:t>
      </w:r>
      <w:r>
        <w:rPr>
          <w:rFonts w:ascii="SimSun" w:hAnsi="SimSun" w:eastAsia="SimSun" w:cs="SimSun"/>
          <w:sz w:val="21"/>
          <w:szCs w:val="21"/>
          <w:spacing w:val="17"/>
        </w:rPr>
        <w:t xml:space="preserve"> </w:t>
      </w:r>
      <w:r>
        <w:rPr>
          <w:rFonts w:ascii="SimSun" w:hAnsi="SimSun" w:eastAsia="SimSun" w:cs="SimSun"/>
          <w:sz w:val="21"/>
          <w:szCs w:val="21"/>
          <w:spacing w:val="1"/>
        </w:rPr>
        <w:t>量问题。数据质量问题的产生环节主要包括数据创建、数据获取、数据传输、数据</w:t>
      </w:r>
      <w:r>
        <w:rPr>
          <w:rFonts w:ascii="SimSun" w:hAnsi="SimSun" w:eastAsia="SimSun" w:cs="SimSun"/>
          <w:sz w:val="21"/>
          <w:szCs w:val="21"/>
          <w:spacing w:val="15"/>
        </w:rPr>
        <w:t xml:space="preserve"> </w:t>
      </w:r>
      <w:r>
        <w:rPr>
          <w:rFonts w:ascii="SimSun" w:hAnsi="SimSun" w:eastAsia="SimSun" w:cs="SimSun"/>
          <w:sz w:val="21"/>
          <w:szCs w:val="21"/>
          <w:spacing w:val="-4"/>
        </w:rPr>
        <w:t>装载、数据使用、数据维护等方面。</w:t>
      </w:r>
    </w:p>
    <w:p>
      <w:pPr>
        <w:ind w:right="186" w:firstLine="400"/>
        <w:spacing w:before="49" w:line="261" w:lineRule="auto"/>
        <w:rPr>
          <w:rFonts w:ascii="SimSun" w:hAnsi="SimSun" w:eastAsia="SimSun" w:cs="SimSun"/>
          <w:sz w:val="21"/>
          <w:szCs w:val="21"/>
        </w:rPr>
      </w:pPr>
      <w:r>
        <w:rPr>
          <w:rFonts w:ascii="SimSun" w:hAnsi="SimSun" w:eastAsia="SimSun" w:cs="SimSun"/>
          <w:sz w:val="21"/>
          <w:szCs w:val="21"/>
          <w:spacing w:val="5"/>
        </w:rPr>
        <w:t>(3)流程因素。是指由于系统作业流程和人工操作流程设置不当造成的数据质</w:t>
      </w:r>
      <w:r>
        <w:rPr>
          <w:rFonts w:ascii="SimSun" w:hAnsi="SimSun" w:eastAsia="SimSun" w:cs="SimSun"/>
          <w:sz w:val="21"/>
          <w:szCs w:val="21"/>
          <w:spacing w:val="12"/>
        </w:rPr>
        <w:t xml:space="preserve"> </w:t>
      </w:r>
      <w:r>
        <w:rPr>
          <w:rFonts w:ascii="SimSun" w:hAnsi="SimSun" w:eastAsia="SimSun" w:cs="SimSun"/>
          <w:sz w:val="21"/>
          <w:szCs w:val="21"/>
          <w:spacing w:val="2"/>
        </w:rPr>
        <w:t>量问题，主要来源于系统数据的创建流程、传递流程、装载流程、使用流程、维护 </w:t>
      </w:r>
      <w:r>
        <w:rPr>
          <w:rFonts w:ascii="SimSun" w:hAnsi="SimSun" w:eastAsia="SimSun" w:cs="SimSun"/>
          <w:sz w:val="21"/>
          <w:szCs w:val="21"/>
          <w:spacing w:val="-4"/>
        </w:rPr>
        <w:t>流程和稽核流程等各环节。</w:t>
      </w:r>
    </w:p>
    <w:p>
      <w:pPr>
        <w:ind w:left="400"/>
        <w:spacing w:before="70" w:line="184" w:lineRule="auto"/>
        <w:rPr>
          <w:rFonts w:ascii="SimSun" w:hAnsi="SimSun" w:eastAsia="SimSun" w:cs="SimSun"/>
          <w:sz w:val="21"/>
          <w:szCs w:val="21"/>
        </w:rPr>
      </w:pPr>
      <w:r>
        <w:rPr>
          <w:rFonts w:ascii="SimSun" w:hAnsi="SimSun" w:eastAsia="SimSun" w:cs="SimSun"/>
          <w:sz w:val="21"/>
          <w:szCs w:val="21"/>
          <w:spacing w:val="1"/>
        </w:rPr>
        <w:t>(4)管理因素。是指由于人员素质及管理机制方面的原因造成的</w:t>
      </w:r>
      <w:r>
        <w:rPr>
          <w:rFonts w:ascii="SimSun" w:hAnsi="SimSun" w:eastAsia="SimSun" w:cs="SimSun"/>
          <w:sz w:val="21"/>
          <w:szCs w:val="21"/>
        </w:rPr>
        <w:t>数据质量问题。</w:t>
      </w:r>
    </w:p>
    <w:p>
      <w:pPr>
        <w:spacing w:line="184" w:lineRule="auto"/>
        <w:sectPr>
          <w:type w:val="continuous"/>
          <w:pgSz w:w="8870" w:h="13400"/>
          <w:pgMar w:top="400" w:right="627" w:bottom="508" w:left="419" w:header="0" w:footer="299" w:gutter="0"/>
          <w:cols w:equalWidth="0" w:num="1">
            <w:col w:w="7823" w:space="0"/>
          </w:cols>
        </w:sectPr>
        <w:rPr>
          <w:rFonts w:ascii="SimSun" w:hAnsi="SimSun" w:eastAsia="SimSun" w:cs="SimSun"/>
          <w:sz w:val="21"/>
          <w:szCs w:val="21"/>
        </w:rPr>
      </w:pPr>
    </w:p>
    <w:p>
      <w:pPr>
        <w:ind w:left="110"/>
        <w:spacing w:before="209"/>
        <w:rPr>
          <w:rFonts w:ascii="SimSun" w:hAnsi="SimSun" w:eastAsia="SimSun" w:cs="SimSun"/>
          <w:sz w:val="21"/>
          <w:szCs w:val="21"/>
        </w:rPr>
      </w:pPr>
      <w:bookmarkStart w:name="bookmark100" w:id="95"/>
      <w:bookmarkEnd w:id="95"/>
      <w:bookmarkStart w:name="bookmark101" w:id="96"/>
      <w:bookmarkEnd w:id="96"/>
      <w:r>
        <w:rPr>
          <w:rFonts w:ascii="SimSun" w:hAnsi="SimSun" w:eastAsia="SimSun" w:cs="SimSun"/>
          <w:sz w:val="21"/>
          <w:szCs w:val="21"/>
          <w:position w:val="-8"/>
        </w:rPr>
        <w:drawing>
          <wp:inline distT="0" distB="0" distL="0" distR="0">
            <wp:extent cx="6308" cy="222255"/>
            <wp:effectExtent l="0" t="0" r="0" b="0"/>
            <wp:docPr id="356" name="IM 356"/>
            <wp:cNvGraphicFramePr/>
            <a:graphic>
              <a:graphicData uri="http://schemas.openxmlformats.org/drawingml/2006/picture">
                <pic:pic>
                  <pic:nvPicPr>
                    <pic:cNvPr id="356" name="IM 356"/>
                    <pic:cNvPicPr/>
                  </pic:nvPicPr>
                  <pic:blipFill>
                    <a:blip r:embed="rId518"/>
                    <a:stretch>
                      <a:fillRect/>
                    </a:stretch>
                  </pic:blipFill>
                  <pic:spPr>
                    <a:xfrm rot="0">
                      <a:off x="0" y="0"/>
                      <a:ext cx="6308" cy="222255"/>
                    </a:xfrm>
                    <a:prstGeom prst="rect">
                      <a:avLst/>
                    </a:prstGeom>
                  </pic:spPr>
                </pic:pic>
              </a:graphicData>
            </a:graphic>
          </wp:inline>
        </w:drawing>
      </w:r>
      <w:r>
        <w:rPr>
          <w:rFonts w:ascii="SimSun" w:hAnsi="SimSun" w:eastAsia="SimSun" w:cs="SimSun"/>
          <w:sz w:val="21"/>
          <w:szCs w:val="21"/>
          <w:spacing w:val="-16"/>
        </w:rPr>
        <w:t xml:space="preserve"> </w:t>
      </w:r>
      <w:r>
        <w:rPr>
          <w:rFonts w:ascii="SimSun" w:hAnsi="SimSun" w:eastAsia="SimSun" w:cs="SimSun"/>
          <w:sz w:val="21"/>
          <w:szCs w:val="21"/>
          <w:b/>
          <w:bCs/>
          <w:spacing w:val="-27"/>
        </w:rPr>
        <w:t>■云端数据治理■</w:t>
      </w:r>
    </w:p>
    <w:p>
      <w:pPr>
        <w:ind w:left="250"/>
        <w:spacing w:before="268" w:line="219" w:lineRule="auto"/>
        <w:rPr>
          <w:rFonts w:ascii="SimSun" w:hAnsi="SimSun" w:eastAsia="SimSun" w:cs="SimSun"/>
          <w:sz w:val="21"/>
          <w:szCs w:val="21"/>
        </w:rPr>
      </w:pPr>
      <w:r>
        <w:rPr>
          <w:rFonts w:ascii="SimSun" w:hAnsi="SimSun" w:eastAsia="SimSun" w:cs="SimSun"/>
          <w:sz w:val="21"/>
          <w:szCs w:val="21"/>
        </w:rPr>
        <w:t>如人员培训、人员管理、培训或者由于奖惩措</w:t>
      </w:r>
      <w:r>
        <w:rPr>
          <w:rFonts w:ascii="SimSun" w:hAnsi="SimSun" w:eastAsia="SimSun" w:cs="SimSun"/>
          <w:sz w:val="21"/>
          <w:szCs w:val="21"/>
          <w:spacing w:val="-1"/>
        </w:rPr>
        <w:t>施不当导致的管理缺失或管理缺陷。</w:t>
      </w:r>
    </w:p>
    <w:p>
      <w:pPr>
        <w:ind w:left="250" w:right="96" w:firstLine="430"/>
        <w:spacing w:before="80" w:line="267" w:lineRule="auto"/>
        <w:jc w:val="both"/>
        <w:rPr>
          <w:rFonts w:ascii="SimSun" w:hAnsi="SimSun" w:eastAsia="SimSun" w:cs="SimSun"/>
          <w:sz w:val="21"/>
          <w:szCs w:val="21"/>
        </w:rPr>
      </w:pPr>
      <w:r>
        <w:rPr>
          <w:rFonts w:ascii="SimSun" w:hAnsi="SimSun" w:eastAsia="SimSun" w:cs="SimSun"/>
          <w:sz w:val="21"/>
          <w:szCs w:val="21"/>
          <w:spacing w:val="2"/>
        </w:rPr>
        <w:t>六西格玛是一种改善质量流程管理的技术，通过定义</w:t>
      </w:r>
      <w:r>
        <w:rPr>
          <w:rFonts w:ascii="SimSun" w:hAnsi="SimSun" w:eastAsia="SimSun" w:cs="SimSun"/>
          <w:sz w:val="21"/>
          <w:szCs w:val="21"/>
          <w:spacing w:val="1"/>
        </w:rPr>
        <w:t>、测量、分析、改进和控</w:t>
      </w:r>
      <w:r>
        <w:rPr>
          <w:rFonts w:ascii="SimSun" w:hAnsi="SimSun" w:eastAsia="SimSun" w:cs="SimSun"/>
          <w:sz w:val="21"/>
          <w:szCs w:val="21"/>
        </w:rPr>
        <w:t xml:space="preserve"> </w:t>
      </w:r>
      <w:r>
        <w:rPr>
          <w:rFonts w:ascii="SimSun" w:hAnsi="SimSun" w:eastAsia="SimSun" w:cs="SimSun"/>
          <w:sz w:val="21"/>
          <w:szCs w:val="21"/>
          <w:spacing w:val="1"/>
        </w:rPr>
        <w:t>制过程对质量管理进行持续改进。图11-12 所示为六西格玛管理方法在数据质量管</w:t>
      </w:r>
      <w:r>
        <w:rPr>
          <w:rFonts w:ascii="SimSun" w:hAnsi="SimSun" w:eastAsia="SimSun" w:cs="SimSun"/>
          <w:sz w:val="21"/>
          <w:szCs w:val="21"/>
          <w:spacing w:val="11"/>
        </w:rPr>
        <w:t xml:space="preserve"> </w:t>
      </w:r>
      <w:r>
        <w:rPr>
          <w:rFonts w:ascii="SimSun" w:hAnsi="SimSun" w:eastAsia="SimSun" w:cs="SimSun"/>
          <w:sz w:val="21"/>
          <w:szCs w:val="21"/>
          <w:spacing w:val="-6"/>
        </w:rPr>
        <w:t>理中的应用。</w:t>
      </w:r>
    </w:p>
    <w:p>
      <w:pPr>
        <w:pStyle w:val="BodyText"/>
        <w:ind w:firstLine="220"/>
        <w:spacing w:before="70" w:line="3410" w:lineRule="exact"/>
        <w:rPr/>
      </w:pPr>
      <w:r>
        <w:rPr>
          <w:position w:val="-68"/>
        </w:rPr>
        <w:pict>
          <v:group id="_x0000_s646" style="mso-position-vertical-relative:line;mso-position-horizontal-relative:char;width:386.5pt;height:170.55pt;" filled="false" stroked="false" coordsize="7730,3411" coordorigin="0,0">
            <v:shape id="_x0000_s648" style="position:absolute;left:0;top:0;width:7730;height:3411;" filled="false" stroked="false" type="#_x0000_t75">
              <v:imagedata o:title="" r:id="rId519"/>
            </v:shape>
            <v:shape id="_x0000_s650" style="position:absolute;left:189;top:408;width:7364;height:2857;"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6"/>
                        <w:szCs w:val="16"/>
                      </w:rPr>
                    </w:pPr>
                    <w:r>
                      <w:rPr>
                        <w:rFonts w:ascii="SimSun" w:hAnsi="SimSun" w:eastAsia="SimSun" w:cs="SimSun"/>
                        <w:sz w:val="16"/>
                        <w:szCs w:val="16"/>
                        <w:spacing w:val="-3"/>
                      </w:rPr>
                      <w:t>定义</w:t>
                    </w:r>
                    <w:r>
                      <w:rPr>
                        <w:rFonts w:ascii="Times New Roman" w:hAnsi="Times New Roman" w:eastAsia="Times New Roman" w:cs="Times New Roman"/>
                        <w:sz w:val="16"/>
                        <w:szCs w:val="16"/>
                        <w:spacing w:val="-3"/>
                      </w:rPr>
                      <w:t>Define                      </w:t>
                    </w:r>
                    <w:r>
                      <w:rPr>
                        <w:rFonts w:ascii="SimSun" w:hAnsi="SimSun" w:eastAsia="SimSun" w:cs="SimSun"/>
                        <w:sz w:val="16"/>
                        <w:szCs w:val="16"/>
                        <w:spacing w:val="-3"/>
                      </w:rPr>
                      <w:t>度量</w:t>
                    </w:r>
                    <w:r>
                      <w:rPr>
                        <w:rFonts w:ascii="Times New Roman" w:hAnsi="Times New Roman" w:eastAsia="Times New Roman" w:cs="Times New Roman"/>
                        <w:sz w:val="16"/>
                        <w:szCs w:val="16"/>
                        <w:spacing w:val="-3"/>
                      </w:rPr>
                      <w:t>Measure                               </w:t>
                    </w:r>
                    <w:r>
                      <w:rPr>
                        <w:rFonts w:ascii="SimSun" w:hAnsi="SimSun" w:eastAsia="SimSun" w:cs="SimSun"/>
                        <w:sz w:val="16"/>
                        <w:szCs w:val="16"/>
                        <w:spacing w:val="-3"/>
                        <w:position w:val="1"/>
                      </w:rPr>
                      <w:t>分析</w:t>
                    </w:r>
                    <w:r>
                      <w:rPr>
                        <w:rFonts w:ascii="Times New Roman" w:hAnsi="Times New Roman" w:eastAsia="Times New Roman" w:cs="Times New Roman"/>
                        <w:sz w:val="16"/>
                        <w:szCs w:val="16"/>
                        <w:spacing w:val="-3"/>
                        <w:position w:val="1"/>
                      </w:rPr>
                      <w:t>Analyze                 </w:t>
                    </w:r>
                    <w:r>
                      <w:rPr>
                        <w:rFonts w:ascii="SimSun" w:hAnsi="SimSun" w:eastAsia="SimSun" w:cs="SimSun"/>
                        <w:sz w:val="16"/>
                        <w:szCs w:val="16"/>
                        <w:spacing w:val="-3"/>
                      </w:rPr>
                      <w:t>改进</w:t>
                    </w:r>
                    <w:r>
                      <w:rPr>
                        <w:rFonts w:ascii="Times New Roman" w:hAnsi="Times New Roman" w:eastAsia="Times New Roman" w:cs="Times New Roman"/>
                        <w:sz w:val="16"/>
                        <w:szCs w:val="16"/>
                        <w:spacing w:val="-3"/>
                      </w:rPr>
                      <w:t>Improve                   </w:t>
                    </w:r>
                    <w:r>
                      <w:rPr>
                        <w:rFonts w:ascii="SimSun" w:hAnsi="SimSun" w:eastAsia="SimSun" w:cs="SimSun"/>
                        <w:sz w:val="16"/>
                        <w:szCs w:val="16"/>
                        <w:spacing w:val="-3"/>
                      </w:rPr>
                      <w:t>控制</w:t>
                    </w:r>
                    <w:r>
                      <w:rPr>
                        <w:rFonts w:ascii="Times New Roman" w:hAnsi="Times New Roman" w:eastAsia="Times New Roman" w:cs="Times New Roman"/>
                        <w:sz w:val="16"/>
                        <w:szCs w:val="16"/>
                        <w:spacing w:val="-3"/>
                      </w:rPr>
                      <w:t>Control</w:t>
                    </w:r>
                  </w:p>
                  <w:p>
                    <w:pPr>
                      <w:spacing w:line="249" w:lineRule="auto"/>
                      <w:rPr>
                        <w:rFonts w:ascii="Arial"/>
                        <w:sz w:val="21"/>
                      </w:rPr>
                    </w:pPr>
                    <w:r/>
                  </w:p>
                  <w:p>
                    <w:pPr>
                      <w:spacing w:line="249" w:lineRule="auto"/>
                      <w:rPr>
                        <w:rFonts w:ascii="Arial"/>
                        <w:sz w:val="21"/>
                      </w:rPr>
                    </w:pPr>
                    <w:r/>
                  </w:p>
                  <w:p>
                    <w:pPr>
                      <w:ind w:left="2319"/>
                      <w:spacing w:before="52" w:line="197" w:lineRule="auto"/>
                      <w:rPr>
                        <w:rFonts w:ascii="SimSun" w:hAnsi="SimSun" w:eastAsia="SimSun" w:cs="SimSun"/>
                        <w:sz w:val="16"/>
                        <w:szCs w:val="16"/>
                      </w:rPr>
                    </w:pPr>
                    <w:r>
                      <w:rPr>
                        <w:rFonts w:ascii="SimSun" w:hAnsi="SimSun" w:eastAsia="SimSun" w:cs="SimSun"/>
                        <w:sz w:val="16"/>
                        <w:szCs w:val="16"/>
                        <w:spacing w:val="-2"/>
                      </w:rPr>
                      <w:t>定义数据</w:t>
                    </w:r>
                  </w:p>
                  <w:p>
                    <w:pPr>
                      <w:ind w:left="2319"/>
                      <w:spacing w:line="220" w:lineRule="auto"/>
                      <w:rPr>
                        <w:rFonts w:ascii="SimSun" w:hAnsi="SimSun" w:eastAsia="SimSun" w:cs="SimSun"/>
                        <w:sz w:val="16"/>
                        <w:szCs w:val="16"/>
                      </w:rPr>
                    </w:pPr>
                    <w:r>
                      <w:rPr>
                        <w:rFonts w:ascii="SimSun" w:hAnsi="SimSun" w:eastAsia="SimSun" w:cs="SimSun"/>
                        <w:sz w:val="16"/>
                        <w:szCs w:val="16"/>
                        <w:spacing w:val="-2"/>
                      </w:rPr>
                      <w:t>质量指标</w:t>
                    </w:r>
                  </w:p>
                  <w:p>
                    <w:pPr>
                      <w:ind w:left="1220"/>
                      <w:spacing w:before="188" w:line="185" w:lineRule="auto"/>
                      <w:rPr>
                        <w:rFonts w:ascii="SimSun" w:hAnsi="SimSun" w:eastAsia="SimSun" w:cs="SimSun"/>
                        <w:sz w:val="16"/>
                        <w:szCs w:val="16"/>
                      </w:rPr>
                    </w:pPr>
                    <w:r>
                      <w:rPr>
                        <w:rFonts w:ascii="SimSun" w:hAnsi="SimSun" w:eastAsia="SimSun" w:cs="SimSun"/>
                        <w:sz w:val="16"/>
                        <w:szCs w:val="16"/>
                        <w:spacing w:val="-2"/>
                      </w:rPr>
                      <w:t>数据概</w:t>
                    </w:r>
                  </w:p>
                  <w:p>
                    <w:pPr>
                      <w:ind w:left="1220"/>
                      <w:spacing w:line="220" w:lineRule="auto"/>
                      <w:rPr>
                        <w:rFonts w:ascii="SimSun" w:hAnsi="SimSun" w:eastAsia="SimSun" w:cs="SimSun"/>
                        <w:sz w:val="16"/>
                        <w:szCs w:val="16"/>
                      </w:rPr>
                    </w:pPr>
                    <w:r>
                      <w:rPr>
                        <w:rFonts w:ascii="SimSun" w:hAnsi="SimSun" w:eastAsia="SimSun" w:cs="SimSun"/>
                        <w:sz w:val="16"/>
                        <w:szCs w:val="16"/>
                        <w:spacing w:val="-2"/>
                      </w:rPr>
                      <w:t>要分析</w:t>
                    </w:r>
                  </w:p>
                  <w:p>
                    <w:pPr>
                      <w:ind w:left="2319"/>
                      <w:spacing w:before="238" w:line="220" w:lineRule="auto"/>
                      <w:rPr>
                        <w:rFonts w:ascii="SimSun" w:hAnsi="SimSun" w:eastAsia="SimSun" w:cs="SimSun"/>
                        <w:sz w:val="16"/>
                        <w:szCs w:val="16"/>
                      </w:rPr>
                    </w:pPr>
                    <w:r>
                      <w:rPr>
                        <w:rFonts w:ascii="SimSun" w:hAnsi="SimSun" w:eastAsia="SimSun" w:cs="SimSun"/>
                        <w:sz w:val="16"/>
                        <w:szCs w:val="16"/>
                        <w:spacing w:val="-2"/>
                      </w:rPr>
                      <w:t>定义数据</w:t>
                    </w:r>
                  </w:p>
                  <w:p>
                    <w:pPr>
                      <w:ind w:left="2319"/>
                      <w:spacing w:before="1" w:line="220" w:lineRule="auto"/>
                      <w:rPr>
                        <w:rFonts w:ascii="SimSun" w:hAnsi="SimSun" w:eastAsia="SimSun" w:cs="SimSun"/>
                        <w:sz w:val="16"/>
                        <w:szCs w:val="16"/>
                      </w:rPr>
                    </w:pPr>
                    <w:r>
                      <w:rPr>
                        <w:rFonts w:ascii="SimSun" w:hAnsi="SimSun" w:eastAsia="SimSun" w:cs="SimSun"/>
                        <w:sz w:val="16"/>
                        <w:szCs w:val="16"/>
                        <w:spacing w:val="-2"/>
                      </w:rPr>
                      <w:t>质量规则</w:t>
                    </w:r>
                  </w:p>
                  <w:p>
                    <w:pPr>
                      <w:spacing w:line="333" w:lineRule="auto"/>
                      <w:rPr>
                        <w:rFonts w:ascii="Arial"/>
                        <w:sz w:val="21"/>
                      </w:rPr>
                    </w:pPr>
                    <w:r/>
                  </w:p>
                  <w:p>
                    <w:pPr>
                      <w:ind w:left="2239"/>
                      <w:spacing w:before="52" w:line="218" w:lineRule="auto"/>
                      <w:rPr>
                        <w:rFonts w:ascii="SimSun" w:hAnsi="SimSun" w:eastAsia="SimSun" w:cs="SimSun"/>
                        <w:sz w:val="16"/>
                        <w:szCs w:val="16"/>
                      </w:rPr>
                    </w:pPr>
                    <w:r>
                      <w:rPr>
                        <w:rFonts w:ascii="SimSun" w:hAnsi="SimSun" w:eastAsia="SimSun" w:cs="SimSun"/>
                        <w:sz w:val="16"/>
                        <w:szCs w:val="16"/>
                        <w:spacing w:val="-9"/>
                      </w:rPr>
                      <w:t>沟通行动和结果，循环评估组织管理流程</w:t>
                    </w:r>
                  </w:p>
                </w:txbxContent>
              </v:textbox>
            </v:shape>
            <v:shape id="_x0000_s652" style="position:absolute;left:5239;top:2286;width:829;height:390;" filled="false" stroked="false" type="#_x0000_t202">
              <v:fill on="false"/>
              <v:stroke on="false"/>
              <v:path/>
              <v:imagedata o:title=""/>
              <o:lock v:ext="edit" aspectratio="false"/>
              <v:textbox inset="0mm,0mm,0mm,0mm">
                <w:txbxContent>
                  <w:p>
                    <w:pPr>
                      <w:ind w:left="20" w:right="20"/>
                      <w:spacing w:before="20" w:line="219" w:lineRule="auto"/>
                      <w:rPr>
                        <w:rFonts w:ascii="SimSun" w:hAnsi="SimSun" w:eastAsia="SimSun" w:cs="SimSun"/>
                        <w:sz w:val="16"/>
                        <w:szCs w:val="16"/>
                      </w:rPr>
                    </w:pPr>
                    <w:r>
                      <w:rPr>
                        <w:rFonts w:ascii="SimSun" w:hAnsi="SimSun" w:eastAsia="SimSun" w:cs="SimSun"/>
                        <w:sz w:val="16"/>
                        <w:szCs w:val="16"/>
                        <w:spacing w:val="-3"/>
                      </w:rPr>
                      <w:t>改进数据质</w:t>
                    </w:r>
                    <w:r>
                      <w:rPr>
                        <w:rFonts w:ascii="SimSun" w:hAnsi="SimSun" w:eastAsia="SimSun" w:cs="SimSun"/>
                        <w:sz w:val="16"/>
                        <w:szCs w:val="16"/>
                        <w:spacing w:val="2"/>
                      </w:rPr>
                      <w:t xml:space="preserve"> </w:t>
                    </w:r>
                    <w:r>
                      <w:rPr>
                        <w:rFonts w:ascii="SimSun" w:hAnsi="SimSun" w:eastAsia="SimSun" w:cs="SimSun"/>
                        <w:sz w:val="16"/>
                        <w:szCs w:val="16"/>
                        <w:spacing w:val="-6"/>
                      </w:rPr>
                      <w:t>量管理流程</w:t>
                    </w:r>
                  </w:p>
                </w:txbxContent>
              </v:textbox>
            </v:shape>
            <v:shape id="_x0000_s654" style="position:absolute;left:169;top:1696;width:830;height:380;" filled="false" stroked="false" type="#_x0000_t202">
              <v:fill on="false"/>
              <v:stroke on="false"/>
              <v:path/>
              <v:imagedata o:title=""/>
              <o:lock v:ext="edit" aspectratio="false"/>
              <v:textbox inset="0mm,0mm,0mm,0mm">
                <w:txbxContent>
                  <w:p>
                    <w:pPr>
                      <w:ind w:left="168" w:right="20" w:hanging="149"/>
                      <w:spacing w:before="20" w:line="214" w:lineRule="auto"/>
                      <w:rPr>
                        <w:rFonts w:ascii="SimSun" w:hAnsi="SimSun" w:eastAsia="SimSun" w:cs="SimSun"/>
                        <w:sz w:val="16"/>
                        <w:szCs w:val="16"/>
                      </w:rPr>
                    </w:pPr>
                    <w:r>
                      <w:rPr>
                        <w:rFonts w:ascii="SimSun" w:hAnsi="SimSun" w:eastAsia="SimSun" w:cs="SimSun"/>
                        <w:sz w:val="16"/>
                        <w:szCs w:val="16"/>
                        <w:spacing w:val="-3"/>
                      </w:rPr>
                      <w:t>定义数据质</w:t>
                    </w:r>
                    <w:r>
                      <w:rPr>
                        <w:rFonts w:ascii="SimSun" w:hAnsi="SimSun" w:eastAsia="SimSun" w:cs="SimSun"/>
                        <w:sz w:val="16"/>
                        <w:szCs w:val="16"/>
                        <w:spacing w:val="3"/>
                      </w:rPr>
                      <w:t xml:space="preserve"> </w:t>
                    </w:r>
                    <w:r>
                      <w:rPr>
                        <w:rFonts w:ascii="SimSun" w:hAnsi="SimSun" w:eastAsia="SimSun" w:cs="SimSun"/>
                        <w:sz w:val="16"/>
                        <w:szCs w:val="16"/>
                        <w:spacing w:val="-2"/>
                      </w:rPr>
                      <w:t>量需求</w:t>
                    </w:r>
                  </w:p>
                </w:txbxContent>
              </v:textbox>
            </v:shape>
            <v:shape id="_x0000_s656" style="position:absolute;left:6759;top:1716;width:799;height:369;" filled="false" stroked="false" type="#_x0000_t202">
              <v:fill on="false"/>
              <v:stroke on="false"/>
              <v:path/>
              <v:imagedata o:title=""/>
              <o:lock v:ext="edit" aspectratio="false"/>
              <v:textbox inset="0mm,0mm,0mm,0mm">
                <w:txbxContent>
                  <w:p>
                    <w:pPr>
                      <w:ind w:left="20" w:right="20"/>
                      <w:spacing w:before="20" w:line="206" w:lineRule="auto"/>
                      <w:rPr>
                        <w:rFonts w:ascii="SimSun" w:hAnsi="SimSun" w:eastAsia="SimSun" w:cs="SimSun"/>
                        <w:sz w:val="16"/>
                        <w:szCs w:val="16"/>
                      </w:rPr>
                    </w:pPr>
                    <w:r>
                      <w:rPr>
                        <w:rFonts w:ascii="SimSun" w:hAnsi="SimSun" w:eastAsia="SimSun" w:cs="SimSun"/>
                        <w:sz w:val="16"/>
                        <w:szCs w:val="16"/>
                        <w:spacing w:val="-9"/>
                      </w:rPr>
                      <w:t>数据质量管</w:t>
                    </w:r>
                    <w:r>
                      <w:rPr>
                        <w:rFonts w:ascii="SimSun" w:hAnsi="SimSun" w:eastAsia="SimSun" w:cs="SimSun"/>
                        <w:sz w:val="16"/>
                        <w:szCs w:val="16"/>
                        <w:spacing w:val="2"/>
                      </w:rPr>
                      <w:t xml:space="preserve"> </w:t>
                    </w:r>
                    <w:r>
                      <w:rPr>
                        <w:rFonts w:ascii="SimSun" w:hAnsi="SimSun" w:eastAsia="SimSun" w:cs="SimSun"/>
                        <w:sz w:val="16"/>
                        <w:szCs w:val="16"/>
                        <w:spacing w:val="-9"/>
                      </w:rPr>
                      <w:t>理成熟评估</w:t>
                    </w:r>
                  </w:p>
                </w:txbxContent>
              </v:textbox>
            </v:shape>
            <v:shape id="_x0000_s658" style="position:absolute;left:5239;top:1176;width:806;height:360;" filled="false" stroked="false" type="#_x0000_t202">
              <v:fill on="false"/>
              <v:stroke on="false"/>
              <v:path/>
              <v:imagedata o:title=""/>
              <o:lock v:ext="edit" aspectratio="false"/>
              <v:textbox inset="0mm,0mm,0mm,0mm">
                <w:txbxContent>
                  <w:p>
                    <w:pPr>
                      <w:ind w:left="208" w:right="20" w:hanging="189"/>
                      <w:spacing w:before="19" w:line="203" w:lineRule="auto"/>
                      <w:rPr>
                        <w:rFonts w:ascii="SimSun" w:hAnsi="SimSun" w:eastAsia="SimSun" w:cs="SimSun"/>
                        <w:sz w:val="16"/>
                        <w:szCs w:val="16"/>
                      </w:rPr>
                    </w:pPr>
                    <w:r>
                      <w:rPr>
                        <w:rFonts w:ascii="SimSun" w:hAnsi="SimSun" w:eastAsia="SimSun" w:cs="SimSun"/>
                        <w:sz w:val="16"/>
                        <w:szCs w:val="16"/>
                        <w:spacing w:val="-7"/>
                      </w:rPr>
                      <w:t>数据质量修</w:t>
                    </w:r>
                    <w:r>
                      <w:rPr>
                        <w:rFonts w:ascii="SimSun" w:hAnsi="SimSun" w:eastAsia="SimSun" w:cs="SimSun"/>
                        <w:sz w:val="16"/>
                        <w:szCs w:val="16"/>
                      </w:rPr>
                      <w:t xml:space="preserve"> </w:t>
                    </w:r>
                    <w:r>
                      <w:rPr>
                        <w:rFonts w:ascii="SimSun" w:hAnsi="SimSun" w:eastAsia="SimSun" w:cs="SimSun"/>
                        <w:sz w:val="16"/>
                        <w:szCs w:val="16"/>
                        <w:spacing w:val="-3"/>
                      </w:rPr>
                      <w:t>复方案</w:t>
                    </w:r>
                  </w:p>
                </w:txbxContent>
              </v:textbox>
            </v:shape>
            <v:shape id="_x0000_s660" style="position:absolute;left:3889;top:2286;width:646;height:390;"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6"/>
                        <w:szCs w:val="16"/>
                      </w:rPr>
                    </w:pPr>
                    <w:r>
                      <w:rPr>
                        <w:rFonts w:ascii="SimSun" w:hAnsi="SimSun" w:eastAsia="SimSun" w:cs="SimSun"/>
                        <w:sz w:val="16"/>
                        <w:szCs w:val="16"/>
                        <w:spacing w:val="-13"/>
                        <w:w w:val="99"/>
                      </w:rPr>
                      <w:t>数据质量</w:t>
                    </w:r>
                    <w:r>
                      <w:rPr>
                        <w:rFonts w:ascii="SimSun" w:hAnsi="SimSun" w:eastAsia="SimSun" w:cs="SimSun"/>
                        <w:sz w:val="16"/>
                        <w:szCs w:val="16"/>
                        <w:spacing w:val="3"/>
                      </w:rPr>
                      <w:t xml:space="preserve"> </w:t>
                    </w:r>
                    <w:r>
                      <w:rPr>
                        <w:rFonts w:ascii="SimSun" w:hAnsi="SimSun" w:eastAsia="SimSun" w:cs="SimSun"/>
                        <w:sz w:val="16"/>
                        <w:szCs w:val="16"/>
                        <w:spacing w:val="-9"/>
                      </w:rPr>
                      <w:t>指标验证</w:t>
                    </w:r>
                  </w:p>
                </w:txbxContent>
              </v:textbox>
            </v:shape>
            <v:shape id="_x0000_s662" style="position:absolute;left:3889;top:1216;width:64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数据清洗</w:t>
                    </w:r>
                  </w:p>
                </w:txbxContent>
              </v:textbox>
            </v:shape>
          </v:group>
        </w:pict>
      </w:r>
    </w:p>
    <w:p>
      <w:pPr>
        <w:ind w:left="1972"/>
        <w:spacing w:before="124" w:line="221" w:lineRule="auto"/>
        <w:rPr>
          <w:rFonts w:ascii="SimHei" w:hAnsi="SimHei" w:eastAsia="SimHei" w:cs="SimHei"/>
          <w:sz w:val="21"/>
          <w:szCs w:val="21"/>
        </w:rPr>
      </w:pPr>
      <w:r>
        <w:rPr>
          <w:rFonts w:ascii="SimHei" w:hAnsi="SimHei" w:eastAsia="SimHei" w:cs="SimHei"/>
          <w:sz w:val="21"/>
          <w:szCs w:val="21"/>
          <w:b/>
          <w:bCs/>
          <w:spacing w:val="-24"/>
        </w:rPr>
        <w:t>图11-12</w:t>
      </w:r>
      <w:r>
        <w:rPr>
          <w:rFonts w:ascii="SimHei" w:hAnsi="SimHei" w:eastAsia="SimHei" w:cs="SimHei"/>
          <w:sz w:val="21"/>
          <w:szCs w:val="21"/>
          <w:spacing w:val="51"/>
        </w:rPr>
        <w:t xml:space="preserve"> </w:t>
      </w:r>
      <w:r>
        <w:rPr>
          <w:rFonts w:ascii="SimHei" w:hAnsi="SimHei" w:eastAsia="SimHei" w:cs="SimHei"/>
          <w:sz w:val="21"/>
          <w:szCs w:val="21"/>
          <w:b/>
          <w:bCs/>
          <w:spacing w:val="-24"/>
        </w:rPr>
        <w:t>六西格玛管理方法在数据质量管理中的应用</w:t>
      </w:r>
    </w:p>
    <w:p>
      <w:pPr>
        <w:ind w:left="680"/>
        <w:spacing w:before="224" w:line="219" w:lineRule="auto"/>
        <w:rPr>
          <w:rFonts w:ascii="SimSun" w:hAnsi="SimSun" w:eastAsia="SimSun" w:cs="SimSun"/>
          <w:sz w:val="21"/>
          <w:szCs w:val="21"/>
        </w:rPr>
      </w:pPr>
      <w:r>
        <w:rPr>
          <w:rFonts w:ascii="SimSun" w:hAnsi="SimSun" w:eastAsia="SimSun" w:cs="SimSun"/>
          <w:sz w:val="21"/>
          <w:szCs w:val="21"/>
          <w:spacing w:val="7"/>
        </w:rPr>
        <w:t>(1)定义数据质量需求</w:t>
      </w:r>
    </w:p>
    <w:p>
      <w:pPr>
        <w:ind w:left="300" w:right="45" w:firstLine="379"/>
        <w:spacing w:before="51" w:line="261" w:lineRule="auto"/>
        <w:rPr>
          <w:rFonts w:ascii="SimSun" w:hAnsi="SimSun" w:eastAsia="SimSun" w:cs="SimSun"/>
          <w:sz w:val="21"/>
          <w:szCs w:val="21"/>
        </w:rPr>
      </w:pPr>
      <w:r>
        <w:rPr>
          <w:rFonts w:ascii="SimSun" w:hAnsi="SimSun" w:eastAsia="SimSun" w:cs="SimSun"/>
          <w:sz w:val="21"/>
          <w:szCs w:val="21"/>
          <w:spacing w:val="2"/>
        </w:rPr>
        <w:t>数据质量需求一般来源于组织的业务需要。例如在电</w:t>
      </w:r>
      <w:r>
        <w:rPr>
          <w:rFonts w:ascii="SimSun" w:hAnsi="SimSun" w:eastAsia="SimSun" w:cs="SimSun"/>
          <w:sz w:val="21"/>
          <w:szCs w:val="21"/>
          <w:spacing w:val="1"/>
        </w:rPr>
        <w:t>信实名制过程中，电信运</w:t>
      </w:r>
      <w:r>
        <w:rPr>
          <w:rFonts w:ascii="SimSun" w:hAnsi="SimSun" w:eastAsia="SimSun" w:cs="SimSun"/>
          <w:sz w:val="21"/>
          <w:szCs w:val="21"/>
        </w:rPr>
        <w:t xml:space="preserve"> </w:t>
      </w:r>
      <w:r>
        <w:rPr>
          <w:rFonts w:ascii="SimSun" w:hAnsi="SimSun" w:eastAsia="SimSun" w:cs="SimSun"/>
          <w:sz w:val="21"/>
          <w:szCs w:val="21"/>
          <w:spacing w:val="2"/>
        </w:rPr>
        <w:t>营商发现很多客户信息是不完整的，有些是重复的，缺少关联，因此某业</w:t>
      </w:r>
      <w:r>
        <w:rPr>
          <w:rFonts w:ascii="SimSun" w:hAnsi="SimSun" w:eastAsia="SimSun" w:cs="SimSun"/>
          <w:sz w:val="21"/>
          <w:szCs w:val="21"/>
          <w:spacing w:val="1"/>
        </w:rPr>
        <w:t>务部门可</w:t>
      </w:r>
      <w:r>
        <w:rPr>
          <w:rFonts w:ascii="SimSun" w:hAnsi="SimSun" w:eastAsia="SimSun" w:cs="SimSun"/>
          <w:sz w:val="21"/>
          <w:szCs w:val="21"/>
        </w:rPr>
        <w:t xml:space="preserve"> </w:t>
      </w:r>
      <w:r>
        <w:rPr>
          <w:rFonts w:ascii="SimSun" w:hAnsi="SimSun" w:eastAsia="SimSun" w:cs="SimSun"/>
          <w:sz w:val="21"/>
          <w:szCs w:val="21"/>
          <w:spacing w:val="-3"/>
        </w:rPr>
        <w:t>以提出如下质量需求。</w:t>
      </w:r>
    </w:p>
    <w:p>
      <w:pPr>
        <w:ind w:left="680"/>
        <w:spacing w:before="69" w:line="219" w:lineRule="auto"/>
        <w:rPr>
          <w:rFonts w:ascii="SimSun" w:hAnsi="SimSun" w:eastAsia="SimSun" w:cs="SimSun"/>
          <w:sz w:val="21"/>
          <w:szCs w:val="21"/>
        </w:rPr>
      </w:pPr>
      <w:r>
        <w:rPr>
          <w:rFonts w:ascii="SimSun" w:hAnsi="SimSun" w:eastAsia="SimSun" w:cs="SimSun"/>
          <w:sz w:val="21"/>
          <w:szCs w:val="21"/>
          <w:spacing w:val="2"/>
        </w:rPr>
        <w:t>●客户信息需要包括姓名、身份证号码、性</w:t>
      </w:r>
      <w:r>
        <w:rPr>
          <w:rFonts w:ascii="SimSun" w:hAnsi="SimSun" w:eastAsia="SimSun" w:cs="SimSun"/>
          <w:sz w:val="21"/>
          <w:szCs w:val="21"/>
          <w:spacing w:val="1"/>
        </w:rPr>
        <w:t>别、住址等；</w:t>
      </w:r>
    </w:p>
    <w:p>
      <w:pPr>
        <w:ind w:left="680"/>
        <w:spacing w:before="51" w:line="219" w:lineRule="auto"/>
        <w:rPr>
          <w:rFonts w:ascii="SimSun" w:hAnsi="SimSun" w:eastAsia="SimSun" w:cs="SimSun"/>
          <w:sz w:val="21"/>
          <w:szCs w:val="21"/>
        </w:rPr>
      </w:pPr>
      <w:r>
        <w:rPr>
          <w:rFonts w:ascii="SimSun" w:hAnsi="SimSun" w:eastAsia="SimSun" w:cs="SimSun"/>
          <w:sz w:val="21"/>
          <w:szCs w:val="21"/>
        </w:rPr>
        <w:t>●同一身份证下通话卡的数量、是否在用；</w:t>
      </w:r>
    </w:p>
    <w:p>
      <w:pPr>
        <w:ind w:left="680" w:right="4310"/>
        <w:spacing w:before="62" w:line="254" w:lineRule="auto"/>
        <w:rPr>
          <w:rFonts w:ascii="SimSun" w:hAnsi="SimSun" w:eastAsia="SimSun" w:cs="SimSun"/>
          <w:sz w:val="21"/>
          <w:szCs w:val="21"/>
        </w:rPr>
      </w:pPr>
      <w:r>
        <w:rPr>
          <w:rFonts w:ascii="SimSun" w:hAnsi="SimSun" w:eastAsia="SimSun" w:cs="SimSun"/>
          <w:sz w:val="21"/>
          <w:szCs w:val="21"/>
          <w:spacing w:val="3"/>
        </w:rPr>
        <w:t>●用户实名制登记时间、地点。</w:t>
      </w:r>
      <w:r>
        <w:rPr>
          <w:rFonts w:ascii="SimSun" w:hAnsi="SimSun" w:eastAsia="SimSun" w:cs="SimSun"/>
          <w:sz w:val="21"/>
          <w:szCs w:val="21"/>
          <w:spacing w:val="1"/>
        </w:rPr>
        <w:t xml:space="preserve"> </w:t>
      </w:r>
      <w:r>
        <w:rPr>
          <w:rFonts w:ascii="SimSun" w:hAnsi="SimSun" w:eastAsia="SimSun" w:cs="SimSun"/>
          <w:sz w:val="21"/>
          <w:szCs w:val="21"/>
          <w:spacing w:val="9"/>
        </w:rPr>
        <w:t>(2)数据概要分析</w:t>
      </w:r>
    </w:p>
    <w:p>
      <w:pPr>
        <w:ind w:left="680"/>
        <w:spacing w:before="50" w:line="246" w:lineRule="auto"/>
        <w:rPr>
          <w:rFonts w:ascii="SimSun" w:hAnsi="SimSun" w:eastAsia="SimSun" w:cs="SimSun"/>
          <w:sz w:val="21"/>
          <w:szCs w:val="21"/>
        </w:rPr>
      </w:pPr>
      <w:r>
        <w:rPr>
          <w:rFonts w:ascii="SimSun" w:hAnsi="SimSun" w:eastAsia="SimSun" w:cs="SimSun"/>
          <w:sz w:val="21"/>
          <w:szCs w:val="21"/>
          <w:spacing w:val="-7"/>
        </w:rPr>
        <w:t>数据概要分析可以参考第6章图6-1所示的分析维度，选择工具对数据进行预处理。</w:t>
      </w:r>
      <w:r>
        <w:rPr>
          <w:rFonts w:ascii="SimSun" w:hAnsi="SimSun" w:eastAsia="SimSun" w:cs="SimSun"/>
          <w:sz w:val="21"/>
          <w:szCs w:val="21"/>
        </w:rPr>
        <w:t xml:space="preserve"> </w:t>
      </w:r>
      <w:r>
        <w:rPr>
          <w:rFonts w:ascii="SimSun" w:hAnsi="SimSun" w:eastAsia="SimSun" w:cs="SimSun"/>
          <w:sz w:val="21"/>
          <w:szCs w:val="21"/>
          <w:spacing w:val="7"/>
        </w:rPr>
        <w:t>(3)定义数据质量指标</w:t>
      </w:r>
    </w:p>
    <w:p>
      <w:pPr>
        <w:ind w:left="680"/>
        <w:spacing w:before="71" w:line="219" w:lineRule="auto"/>
        <w:rPr>
          <w:rFonts w:ascii="SimSun" w:hAnsi="SimSun" w:eastAsia="SimSun" w:cs="SimSun"/>
          <w:sz w:val="21"/>
          <w:szCs w:val="21"/>
        </w:rPr>
      </w:pPr>
      <w:r>
        <w:rPr>
          <w:rFonts w:ascii="SimSun" w:hAnsi="SimSun" w:eastAsia="SimSun" w:cs="SimSun"/>
          <w:sz w:val="21"/>
          <w:szCs w:val="21"/>
          <w:spacing w:val="-4"/>
        </w:rPr>
        <w:t>数据质量指标主要包括四个方面：完整性、</w:t>
      </w:r>
      <w:r>
        <w:rPr>
          <w:rFonts w:ascii="SimSun" w:hAnsi="SimSun" w:eastAsia="SimSun" w:cs="SimSun"/>
          <w:sz w:val="21"/>
          <w:szCs w:val="21"/>
          <w:spacing w:val="44"/>
        </w:rPr>
        <w:t xml:space="preserve"> </w:t>
      </w:r>
      <w:r>
        <w:rPr>
          <w:rFonts w:ascii="SimSun" w:hAnsi="SimSun" w:eastAsia="SimSun" w:cs="SimSun"/>
          <w:sz w:val="21"/>
          <w:szCs w:val="21"/>
          <w:spacing w:val="-4"/>
        </w:rPr>
        <w:t>一</w:t>
      </w:r>
      <w:r>
        <w:rPr>
          <w:rFonts w:ascii="SimSun" w:hAnsi="SimSun" w:eastAsia="SimSun" w:cs="SimSun"/>
          <w:sz w:val="21"/>
          <w:szCs w:val="21"/>
          <w:spacing w:val="-5"/>
        </w:rPr>
        <w:t>致性、准确性、及时性。</w:t>
      </w:r>
    </w:p>
    <w:p>
      <w:pPr>
        <w:ind w:left="990" w:right="92" w:hanging="310"/>
        <w:spacing w:before="50" w:line="255" w:lineRule="auto"/>
        <w:rPr>
          <w:rFonts w:ascii="SimSun" w:hAnsi="SimSun" w:eastAsia="SimSun" w:cs="SimSun"/>
          <w:sz w:val="21"/>
          <w:szCs w:val="21"/>
        </w:rPr>
      </w:pPr>
      <w:r>
        <w:rPr>
          <w:rFonts w:ascii="SimSun" w:hAnsi="SimSun" w:eastAsia="SimSun" w:cs="SimSun"/>
          <w:sz w:val="21"/>
          <w:szCs w:val="21"/>
          <w:spacing w:val="2"/>
        </w:rPr>
        <w:t>●完整性是指数据信息是否存在缺失的状况，数据缺失的情况</w:t>
      </w:r>
      <w:r>
        <w:rPr>
          <w:rFonts w:ascii="SimSun" w:hAnsi="SimSun" w:eastAsia="SimSun" w:cs="SimSun"/>
          <w:sz w:val="21"/>
          <w:szCs w:val="21"/>
          <w:spacing w:val="1"/>
        </w:rPr>
        <w:t>可能是整个数据</w:t>
      </w:r>
      <w:r>
        <w:rPr>
          <w:rFonts w:ascii="SimSun" w:hAnsi="SimSun" w:eastAsia="SimSun" w:cs="SimSun"/>
          <w:sz w:val="21"/>
          <w:szCs w:val="21"/>
        </w:rPr>
        <w:t xml:space="preserve"> </w:t>
      </w:r>
      <w:r>
        <w:rPr>
          <w:rFonts w:ascii="SimSun" w:hAnsi="SimSun" w:eastAsia="SimSun" w:cs="SimSun"/>
          <w:sz w:val="21"/>
          <w:szCs w:val="21"/>
          <w:spacing w:val="-1"/>
        </w:rPr>
        <w:t>记录缺失，也可能是数据中某个字段信息的记录缺失；</w:t>
      </w:r>
    </w:p>
    <w:p>
      <w:pPr>
        <w:ind w:left="680"/>
        <w:spacing w:before="71" w:line="219" w:lineRule="auto"/>
        <w:rPr>
          <w:rFonts w:ascii="SimSun" w:hAnsi="SimSun" w:eastAsia="SimSun" w:cs="SimSun"/>
          <w:sz w:val="21"/>
          <w:szCs w:val="21"/>
        </w:rPr>
      </w:pPr>
      <w:r>
        <w:rPr>
          <w:rFonts w:ascii="SimSun" w:hAnsi="SimSun" w:eastAsia="SimSun" w:cs="SimSun"/>
          <w:sz w:val="21"/>
          <w:szCs w:val="21"/>
          <w:spacing w:val="1"/>
        </w:rPr>
        <w:t>●一致性是指数据是否遵循了统一的规范，数据集合</w:t>
      </w:r>
      <w:r>
        <w:rPr>
          <w:rFonts w:ascii="SimSun" w:hAnsi="SimSun" w:eastAsia="SimSun" w:cs="SimSun"/>
          <w:sz w:val="21"/>
          <w:szCs w:val="21"/>
        </w:rPr>
        <w:t>是否保持了统一的格式；</w:t>
      </w:r>
    </w:p>
    <w:p>
      <w:pPr>
        <w:ind w:left="680"/>
        <w:spacing w:before="51" w:line="219" w:lineRule="auto"/>
        <w:rPr>
          <w:rFonts w:ascii="SimSun" w:hAnsi="SimSun" w:eastAsia="SimSun" w:cs="SimSun"/>
          <w:sz w:val="21"/>
          <w:szCs w:val="21"/>
        </w:rPr>
      </w:pPr>
      <w:r>
        <w:rPr>
          <w:rFonts w:ascii="SimSun" w:hAnsi="SimSun" w:eastAsia="SimSun" w:cs="SimSun"/>
          <w:sz w:val="21"/>
          <w:szCs w:val="21"/>
          <w:spacing w:val="8"/>
        </w:rPr>
        <w:t>●准确性是指数据记录的信息是否存在异常或错误；</w:t>
      </w:r>
    </w:p>
    <w:p>
      <w:pPr>
        <w:ind w:left="999" w:right="34" w:hanging="319"/>
        <w:spacing w:before="79" w:line="249" w:lineRule="auto"/>
        <w:rPr>
          <w:rFonts w:ascii="SimSun" w:hAnsi="SimSun" w:eastAsia="SimSun" w:cs="SimSun"/>
          <w:sz w:val="21"/>
          <w:szCs w:val="21"/>
        </w:rPr>
      </w:pPr>
      <w:r>
        <w:rPr>
          <w:rFonts w:ascii="SimSun" w:hAnsi="SimSun" w:eastAsia="SimSun" w:cs="SimSun"/>
          <w:sz w:val="21"/>
          <w:szCs w:val="21"/>
          <w:spacing w:val="1"/>
        </w:rPr>
        <w:t>●及时性是指数据从产生到可以查看的时间间隔，也叫数据的延时时长。及时 </w:t>
      </w:r>
      <w:r>
        <w:rPr>
          <w:rFonts w:ascii="SimSun" w:hAnsi="SimSun" w:eastAsia="SimSun" w:cs="SimSun"/>
          <w:sz w:val="21"/>
          <w:szCs w:val="21"/>
        </w:rPr>
        <w:t>性对于数据分析本身要求并不高，但如果数据分析周期加上数据建立的时间</w:t>
      </w:r>
      <w:r>
        <w:rPr>
          <w:rFonts w:ascii="SimSun" w:hAnsi="SimSun" w:eastAsia="SimSun" w:cs="SimSun"/>
          <w:sz w:val="21"/>
          <w:szCs w:val="21"/>
          <w:spacing w:val="9"/>
        </w:rPr>
        <w:t xml:space="preserve"> </w:t>
      </w:r>
      <w:r>
        <w:rPr>
          <w:rFonts w:ascii="SimSun" w:hAnsi="SimSun" w:eastAsia="SimSun" w:cs="SimSun"/>
          <w:sz w:val="21"/>
          <w:szCs w:val="21"/>
          <w:spacing w:val="1"/>
        </w:rPr>
        <w:t>过长，就可能导致分析得出的结论失去了借鉴意义。</w:t>
      </w:r>
    </w:p>
    <w:p>
      <w:pPr>
        <w:ind w:left="680"/>
        <w:spacing w:before="72" w:line="219" w:lineRule="auto"/>
        <w:rPr>
          <w:rFonts w:ascii="SimSun" w:hAnsi="SimSun" w:eastAsia="SimSun" w:cs="SimSun"/>
          <w:sz w:val="21"/>
          <w:szCs w:val="21"/>
        </w:rPr>
      </w:pPr>
      <w:r>
        <w:rPr>
          <w:rFonts w:ascii="SimSun" w:hAnsi="SimSun" w:eastAsia="SimSun" w:cs="SimSun"/>
          <w:sz w:val="21"/>
          <w:szCs w:val="21"/>
          <w:spacing w:val="-2"/>
        </w:rPr>
        <w:t>组织针对不同业务数据，可以细化上述指标，使其具有可操作性。</w:t>
      </w:r>
    </w:p>
    <w:p>
      <w:pPr>
        <w:spacing w:line="219" w:lineRule="auto"/>
        <w:sectPr>
          <w:footerReference w:type="default" r:id="rId517"/>
          <w:pgSz w:w="8870" w:h="13400"/>
          <w:pgMar w:top="400" w:right="414" w:bottom="457" w:left="479" w:header="0" w:footer="248" w:gutter="0"/>
        </w:sectPr>
        <w:rPr>
          <w:rFonts w:ascii="SimSun" w:hAnsi="SimSun" w:eastAsia="SimSun" w:cs="SimSun"/>
          <w:sz w:val="21"/>
          <w:szCs w:val="21"/>
        </w:rPr>
      </w:pPr>
    </w:p>
    <w:p>
      <w:pPr>
        <w:ind w:left="4592"/>
        <w:spacing w:before="234" w:line="219" w:lineRule="auto"/>
        <w:rPr>
          <w:rFonts w:ascii="SimSun" w:hAnsi="SimSun" w:eastAsia="SimSun" w:cs="SimSun"/>
          <w:sz w:val="21"/>
          <w:szCs w:val="21"/>
        </w:rPr>
      </w:pPr>
      <w:bookmarkStart w:name="bookmark102" w:id="97"/>
      <w:bookmarkEnd w:id="97"/>
      <w:r>
        <w:rPr>
          <w:rFonts w:ascii="SimSun" w:hAnsi="SimSun" w:eastAsia="SimSun" w:cs="SimSun"/>
          <w:sz w:val="21"/>
          <w:szCs w:val="21"/>
          <w:b/>
          <w:bCs/>
          <w:spacing w:val="8"/>
        </w:rPr>
        <w:t>第11章■云端数据治理体系实施</w:t>
      </w:r>
    </w:p>
    <w:p>
      <w:pPr>
        <w:pStyle w:val="BodyText"/>
        <w:spacing w:line="255"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7"/>
        </w:rPr>
        <w:t>(4)定义数据质量规则</w:t>
      </w:r>
    </w:p>
    <w:p>
      <w:pPr>
        <w:ind w:right="239" w:firstLine="419"/>
        <w:spacing w:before="41" w:line="254" w:lineRule="auto"/>
        <w:rPr>
          <w:rFonts w:ascii="SimSun" w:hAnsi="SimSun" w:eastAsia="SimSun" w:cs="SimSun"/>
          <w:sz w:val="21"/>
          <w:szCs w:val="21"/>
        </w:rPr>
      </w:pPr>
      <w:r>
        <w:rPr>
          <w:rFonts w:ascii="SimSun" w:hAnsi="SimSun" w:eastAsia="SimSun" w:cs="SimSun"/>
          <w:sz w:val="21"/>
          <w:szCs w:val="21"/>
          <w:spacing w:val="2"/>
        </w:rPr>
        <w:t>数据质量规则是指导数据质量提高的具体指南，例如数据质量管理的目标、需</w:t>
      </w:r>
      <w:r>
        <w:rPr>
          <w:rFonts w:ascii="SimSun" w:hAnsi="SimSun" w:eastAsia="SimSun" w:cs="SimSun"/>
          <w:sz w:val="21"/>
          <w:szCs w:val="21"/>
          <w:spacing w:val="14"/>
        </w:rPr>
        <w:t xml:space="preserve"> </w:t>
      </w:r>
      <w:r>
        <w:rPr>
          <w:rFonts w:ascii="SimSun" w:hAnsi="SimSun" w:eastAsia="SimSun" w:cs="SimSun"/>
          <w:sz w:val="21"/>
          <w:szCs w:val="21"/>
          <w:spacing w:val="1"/>
        </w:rPr>
        <w:t>求、范围、方法、管理维度、测量基准、计算规则、测量工具等。数据质量预警机</w:t>
      </w:r>
      <w:r>
        <w:rPr>
          <w:rFonts w:ascii="SimSun" w:hAnsi="SimSun" w:eastAsia="SimSun" w:cs="SimSun"/>
          <w:sz w:val="21"/>
          <w:szCs w:val="21"/>
          <w:spacing w:val="11"/>
        </w:rPr>
        <w:t xml:space="preserve"> </w:t>
      </w:r>
      <w:r>
        <w:rPr>
          <w:rFonts w:ascii="SimSun" w:hAnsi="SimSun" w:eastAsia="SimSun" w:cs="SimSun"/>
          <w:sz w:val="21"/>
          <w:szCs w:val="21"/>
        </w:rPr>
        <w:t>制是数据质量规则一项内容，预警信息的产生和发布需要明确定义的流程，例如，</w:t>
      </w:r>
    </w:p>
    <w:p>
      <w:pPr>
        <w:ind w:left="419"/>
        <w:spacing w:before="92" w:line="219" w:lineRule="auto"/>
        <w:rPr>
          <w:rFonts w:ascii="SimSun" w:hAnsi="SimSun" w:eastAsia="SimSun" w:cs="SimSun"/>
          <w:sz w:val="21"/>
          <w:szCs w:val="21"/>
        </w:rPr>
      </w:pPr>
      <w:r>
        <w:rPr>
          <w:rFonts w:ascii="SimSun" w:hAnsi="SimSun" w:eastAsia="SimSun" w:cs="SimSun"/>
          <w:sz w:val="21"/>
          <w:szCs w:val="21"/>
          <w:spacing w:val="1"/>
        </w:rPr>
        <w:t>●将满足和不满足业务需求的数据值全部记录下来；</w:t>
      </w:r>
    </w:p>
    <w:p>
      <w:pPr>
        <w:ind w:left="419"/>
        <w:spacing w:before="59" w:line="219" w:lineRule="auto"/>
        <w:rPr>
          <w:rFonts w:ascii="SimSun" w:hAnsi="SimSun" w:eastAsia="SimSun" w:cs="SimSun"/>
          <w:sz w:val="21"/>
          <w:szCs w:val="21"/>
        </w:rPr>
      </w:pPr>
      <w:r>
        <w:rPr>
          <w:rFonts w:ascii="SimSun" w:hAnsi="SimSun" w:eastAsia="SimSun" w:cs="SimSun"/>
          <w:sz w:val="21"/>
          <w:szCs w:val="21"/>
        </w:rPr>
        <w:t>●简要分析满足和不满足业务需求数据比例</w:t>
      </w:r>
      <w:r>
        <w:rPr>
          <w:rFonts w:ascii="SimSun" w:hAnsi="SimSun" w:eastAsia="SimSun" w:cs="SimSun"/>
          <w:sz w:val="21"/>
          <w:szCs w:val="21"/>
          <w:spacing w:val="-1"/>
        </w:rPr>
        <w:t>和主要问题；</w:t>
      </w:r>
    </w:p>
    <w:p>
      <w:pPr>
        <w:ind w:left="419"/>
        <w:spacing w:before="72" w:line="219" w:lineRule="auto"/>
        <w:rPr>
          <w:rFonts w:ascii="SimSun" w:hAnsi="SimSun" w:eastAsia="SimSun" w:cs="SimSun"/>
          <w:sz w:val="21"/>
          <w:szCs w:val="21"/>
        </w:rPr>
      </w:pPr>
      <w:r>
        <w:rPr>
          <w:rFonts w:ascii="SimSun" w:hAnsi="SimSun" w:eastAsia="SimSun" w:cs="SimSun"/>
          <w:sz w:val="21"/>
          <w:szCs w:val="21"/>
        </w:rPr>
        <w:t>●生成通知事件，及时向数据资产管理员警示潜在的数据质量问题；</w:t>
      </w:r>
    </w:p>
    <w:p>
      <w:pPr>
        <w:ind w:left="419" w:right="3027"/>
        <w:spacing w:before="70" w:line="242" w:lineRule="auto"/>
        <w:rPr>
          <w:rFonts w:ascii="SimSun" w:hAnsi="SimSun" w:eastAsia="SimSun" w:cs="SimSun"/>
          <w:sz w:val="21"/>
          <w:szCs w:val="21"/>
        </w:rPr>
      </w:pPr>
      <w:r>
        <w:rPr>
          <w:rFonts w:ascii="SimSun" w:hAnsi="SimSun" w:eastAsia="SimSun" w:cs="SimSun"/>
          <w:sz w:val="21"/>
          <w:szCs w:val="21"/>
          <w:spacing w:val="1"/>
        </w:rPr>
        <w:t>●发布预警通知，告知业务部门数据质量缺陷。</w:t>
      </w:r>
      <w:r>
        <w:rPr>
          <w:rFonts w:ascii="SimSun" w:hAnsi="SimSun" w:eastAsia="SimSun" w:cs="SimSun"/>
          <w:sz w:val="21"/>
          <w:szCs w:val="21"/>
          <w:spacing w:val="2"/>
        </w:rPr>
        <w:t xml:space="preserve"> </w:t>
      </w:r>
      <w:r>
        <w:rPr>
          <w:rFonts w:ascii="SimSun" w:hAnsi="SimSun" w:eastAsia="SimSun" w:cs="SimSun"/>
          <w:sz w:val="21"/>
          <w:szCs w:val="21"/>
          <w:spacing w:val="10"/>
        </w:rPr>
        <w:t>(5)数据清洗</w:t>
      </w:r>
    </w:p>
    <w:p>
      <w:pPr>
        <w:ind w:right="239" w:firstLine="419"/>
        <w:spacing w:before="60" w:line="255" w:lineRule="auto"/>
        <w:jc w:val="both"/>
        <w:rPr>
          <w:rFonts w:ascii="SimSun" w:hAnsi="SimSun" w:eastAsia="SimSun" w:cs="SimSun"/>
          <w:sz w:val="21"/>
          <w:szCs w:val="21"/>
        </w:rPr>
      </w:pPr>
      <w:r>
        <w:rPr>
          <w:rFonts w:ascii="SimSun" w:hAnsi="SimSun" w:eastAsia="SimSun" w:cs="SimSun"/>
          <w:sz w:val="21"/>
          <w:szCs w:val="21"/>
          <w:spacing w:val="1"/>
        </w:rPr>
        <w:t>数据清洗是指发现并纠正数据文件中可识别的错误的最后一道程序，包括检查</w:t>
      </w:r>
      <w:r>
        <w:rPr>
          <w:rFonts w:ascii="SimSun" w:hAnsi="SimSun" w:eastAsia="SimSun" w:cs="SimSun"/>
          <w:sz w:val="21"/>
          <w:szCs w:val="21"/>
          <w:spacing w:val="15"/>
        </w:rPr>
        <w:t xml:space="preserve"> </w:t>
      </w:r>
      <w:r>
        <w:rPr>
          <w:rFonts w:ascii="SimSun" w:hAnsi="SimSun" w:eastAsia="SimSun" w:cs="SimSun"/>
          <w:sz w:val="21"/>
          <w:szCs w:val="21"/>
          <w:spacing w:val="5"/>
        </w:rPr>
        <w:t>数据一致性，处理无效值和缺失值等。组织可以选用数据清洗工具，参考图1</w:t>
      </w:r>
      <w:r>
        <w:rPr>
          <w:rFonts w:ascii="SimSun" w:hAnsi="SimSun" w:eastAsia="SimSun" w:cs="SimSun"/>
          <w:sz w:val="21"/>
          <w:szCs w:val="21"/>
          <w:spacing w:val="4"/>
        </w:rPr>
        <w:t>1-13</w:t>
      </w:r>
      <w:r>
        <w:rPr>
          <w:rFonts w:ascii="SimSun" w:hAnsi="SimSun" w:eastAsia="SimSun" w:cs="SimSun"/>
          <w:sz w:val="21"/>
          <w:szCs w:val="21"/>
        </w:rPr>
        <w:t xml:space="preserve"> </w:t>
      </w:r>
      <w:r>
        <w:rPr>
          <w:rFonts w:ascii="SimSun" w:hAnsi="SimSun" w:eastAsia="SimSun" w:cs="SimSun"/>
          <w:sz w:val="21"/>
          <w:szCs w:val="21"/>
          <w:spacing w:val="-1"/>
        </w:rPr>
        <w:t>所示的数据清洗流程进行数据清洗工作。</w:t>
      </w:r>
    </w:p>
    <w:p>
      <w:pPr>
        <w:pStyle w:val="BodyText"/>
        <w:ind w:firstLine="2409"/>
        <w:spacing w:before="102" w:line="4020" w:lineRule="exact"/>
        <w:rPr/>
      </w:pPr>
      <w:r>
        <w:rPr>
          <w:position w:val="-80"/>
        </w:rPr>
        <w:pict>
          <v:group id="_x0000_s664" style="mso-position-vertical-relative:line;mso-position-horizontal-relative:char;width:147.05pt;height:201pt;" filled="false" stroked="false" coordsize="2941,4020" coordorigin="0,0">
            <v:shape id="_x0000_s666" style="position:absolute;left:0;top:0;width:2941;height:4020;" filled="false" stroked="false" type="#_x0000_t75">
              <v:imagedata o:title="" r:id="rId521"/>
            </v:shape>
            <v:shape id="_x0000_s668" style="position:absolute;left:1440;top:166;width:1264;height:3670;" filled="false" stroked="false" type="#_x0000_t202">
              <v:fill on="false"/>
              <v:stroke on="false"/>
              <v:path/>
              <v:imagedata o:title=""/>
              <o:lock v:ext="edit" aspectratio="false"/>
              <v:textbox inset="0mm,0mm,0mm,0mm">
                <w:txbxContent>
                  <w:p>
                    <w:pPr>
                      <w:ind w:left="270"/>
                      <w:spacing w:before="20" w:line="219" w:lineRule="auto"/>
                      <w:rPr>
                        <w:rFonts w:ascii="SimSun" w:hAnsi="SimSun" w:eastAsia="SimSun" w:cs="SimSun"/>
                        <w:sz w:val="16"/>
                        <w:szCs w:val="16"/>
                      </w:rPr>
                    </w:pPr>
                    <w:r>
                      <w:rPr>
                        <w:rFonts w:ascii="SimSun" w:hAnsi="SimSun" w:eastAsia="SimSun" w:cs="SimSun"/>
                        <w:sz w:val="16"/>
                        <w:szCs w:val="16"/>
                        <w:spacing w:val="-2"/>
                      </w:rPr>
                      <w:t>原始数据</w:t>
                    </w:r>
                  </w:p>
                  <w:p>
                    <w:pPr>
                      <w:spacing w:line="445" w:lineRule="auto"/>
                      <w:rPr>
                        <w:rFonts w:ascii="Arial"/>
                        <w:sz w:val="21"/>
                      </w:rPr>
                    </w:pPr>
                    <w:r/>
                  </w:p>
                  <w:p>
                    <w:pPr>
                      <w:ind w:left="129"/>
                      <w:spacing w:before="52" w:line="219" w:lineRule="auto"/>
                      <w:rPr>
                        <w:rFonts w:ascii="SimSun" w:hAnsi="SimSun" w:eastAsia="SimSun" w:cs="SimSun"/>
                        <w:sz w:val="16"/>
                        <w:szCs w:val="16"/>
                      </w:rPr>
                    </w:pPr>
                    <w:r>
                      <w:rPr>
                        <w:rFonts w:ascii="SimSun" w:hAnsi="SimSun" w:eastAsia="SimSun" w:cs="SimSun"/>
                        <w:sz w:val="16"/>
                        <w:szCs w:val="16"/>
                        <w:spacing w:val="-8"/>
                      </w:rPr>
                      <w:t>数据概要分析</w:t>
                    </w:r>
                  </w:p>
                  <w:p>
                    <w:pPr>
                      <w:spacing w:line="406"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7"/>
                      </w:rPr>
                      <w:t>定义清洗转换规则</w:t>
                    </w:r>
                  </w:p>
                  <w:p>
                    <w:pPr>
                      <w:spacing w:line="384" w:lineRule="auto"/>
                      <w:rPr>
                        <w:rFonts w:ascii="Arial"/>
                        <w:sz w:val="21"/>
                      </w:rPr>
                    </w:pPr>
                    <w:r/>
                  </w:p>
                  <w:p>
                    <w:pPr>
                      <w:ind w:left="330"/>
                      <w:spacing w:before="52" w:line="219" w:lineRule="auto"/>
                      <w:rPr>
                        <w:rFonts w:ascii="SimSun" w:hAnsi="SimSun" w:eastAsia="SimSun" w:cs="SimSun"/>
                        <w:sz w:val="16"/>
                        <w:szCs w:val="16"/>
                      </w:rPr>
                    </w:pPr>
                    <w:r>
                      <w:rPr>
                        <w:rFonts w:ascii="SimSun" w:hAnsi="SimSun" w:eastAsia="SimSun" w:cs="SimSun"/>
                        <w:sz w:val="16"/>
                        <w:szCs w:val="16"/>
                        <w:spacing w:val="-2"/>
                      </w:rPr>
                      <w:t>满足清</w:t>
                    </w:r>
                  </w:p>
                  <w:p>
                    <w:pPr>
                      <w:ind w:left="330"/>
                      <w:spacing w:before="50" w:line="222" w:lineRule="exact"/>
                      <w:rPr>
                        <w:rFonts w:ascii="SimSun" w:hAnsi="SimSun" w:eastAsia="SimSun" w:cs="SimSun"/>
                        <w:sz w:val="16"/>
                        <w:szCs w:val="16"/>
                      </w:rPr>
                    </w:pPr>
                    <w:r>
                      <w:rPr>
                        <w:rFonts w:ascii="SimSun" w:hAnsi="SimSun" w:eastAsia="SimSun" w:cs="SimSun"/>
                        <w:sz w:val="16"/>
                        <w:szCs w:val="16"/>
                        <w:spacing w:val="-2"/>
                        <w:position w:val="4"/>
                      </w:rPr>
                      <w:t>洗规则之</w:t>
                    </w:r>
                  </w:p>
                  <w:p>
                    <w:pPr>
                      <w:ind w:left="629"/>
                      <w:spacing w:before="1" w:line="222" w:lineRule="auto"/>
                      <w:rPr>
                        <w:rFonts w:ascii="SimSun" w:hAnsi="SimSun" w:eastAsia="SimSun" w:cs="SimSun"/>
                        <w:sz w:val="16"/>
                        <w:szCs w:val="16"/>
                      </w:rPr>
                    </w:pPr>
                    <w:r>
                      <w:rPr>
                        <w:rFonts w:ascii="SimSun" w:hAnsi="SimSun" w:eastAsia="SimSun" w:cs="SimSun"/>
                        <w:sz w:val="16"/>
                        <w:szCs w:val="16"/>
                      </w:rPr>
                      <w:t>是</w:t>
                    </w:r>
                  </w:p>
                  <w:p>
                    <w:pPr>
                      <w:ind w:left="290"/>
                      <w:spacing w:before="164" w:line="219" w:lineRule="auto"/>
                      <w:rPr>
                        <w:rFonts w:ascii="SimSun" w:hAnsi="SimSun" w:eastAsia="SimSun" w:cs="SimSun"/>
                        <w:sz w:val="16"/>
                        <w:szCs w:val="16"/>
                      </w:rPr>
                    </w:pPr>
                    <w:r>
                      <w:rPr>
                        <w:rFonts w:ascii="SimSun" w:hAnsi="SimSun" w:eastAsia="SimSun" w:cs="SimSun"/>
                        <w:sz w:val="16"/>
                        <w:szCs w:val="16"/>
                        <w:spacing w:val="-2"/>
                      </w:rPr>
                      <w:t>数据清洗</w:t>
                    </w:r>
                  </w:p>
                  <w:p>
                    <w:pPr>
                      <w:spacing w:line="435" w:lineRule="auto"/>
                      <w:rPr>
                        <w:rFonts w:ascii="Arial"/>
                        <w:sz w:val="21"/>
                      </w:rPr>
                    </w:pPr>
                    <w:r/>
                  </w:p>
                  <w:p>
                    <w:pPr>
                      <w:ind w:left="239"/>
                      <w:spacing w:before="52" w:line="219" w:lineRule="auto"/>
                      <w:rPr>
                        <w:rFonts w:ascii="SimSun" w:hAnsi="SimSun" w:eastAsia="SimSun" w:cs="SimSun"/>
                        <w:sz w:val="16"/>
                        <w:szCs w:val="16"/>
                      </w:rPr>
                    </w:pPr>
                    <w:r>
                      <w:rPr>
                        <w:rFonts w:ascii="SimSun" w:hAnsi="SimSun" w:eastAsia="SimSun" w:cs="SimSun"/>
                        <w:sz w:val="16"/>
                        <w:szCs w:val="16"/>
                        <w:spacing w:val="-6"/>
                      </w:rPr>
                      <w:t>目标数据源</w:t>
                    </w:r>
                  </w:p>
                </w:txbxContent>
              </v:textbox>
            </v:shape>
            <v:shape id="_x0000_s670" style="position:absolute;left:220;top:297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特殊处理</w:t>
                    </w:r>
                  </w:p>
                </w:txbxContent>
              </v:textbox>
            </v:shape>
            <v:shape id="_x0000_s672" style="position:absolute;left:809;top:2119;width:236;height:2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1"/>
                        <w:szCs w:val="21"/>
                      </w:rPr>
                    </w:pPr>
                    <w:r>
                      <w:rPr>
                        <w:rFonts w:ascii="SimSun" w:hAnsi="SimSun" w:eastAsia="SimSun" w:cs="SimSun"/>
                        <w:sz w:val="21"/>
                        <w:szCs w:val="21"/>
                      </w:rPr>
                      <w:t>否</w:t>
                    </w:r>
                  </w:p>
                </w:txbxContent>
              </v:textbox>
            </v:shape>
          </v:group>
        </w:pict>
      </w:r>
    </w:p>
    <w:p>
      <w:pPr>
        <w:ind w:left="2912"/>
        <w:spacing w:before="124" w:line="221" w:lineRule="auto"/>
        <w:rPr>
          <w:rFonts w:ascii="SimHei" w:hAnsi="SimHei" w:eastAsia="SimHei" w:cs="SimHei"/>
          <w:sz w:val="21"/>
          <w:szCs w:val="21"/>
        </w:rPr>
      </w:pPr>
      <w:r>
        <w:rPr>
          <w:rFonts w:ascii="SimHei" w:hAnsi="SimHei" w:eastAsia="SimHei" w:cs="SimHei"/>
          <w:sz w:val="21"/>
          <w:szCs w:val="21"/>
          <w:b/>
          <w:bCs/>
          <w:spacing w:val="-21"/>
        </w:rPr>
        <w:t>图11-13</w:t>
      </w:r>
      <w:r>
        <w:rPr>
          <w:rFonts w:ascii="SimHei" w:hAnsi="SimHei" w:eastAsia="SimHei" w:cs="SimHei"/>
          <w:sz w:val="21"/>
          <w:szCs w:val="21"/>
          <w:spacing w:val="75"/>
        </w:rPr>
        <w:t xml:space="preserve"> </w:t>
      </w:r>
      <w:r>
        <w:rPr>
          <w:rFonts w:ascii="SimHei" w:hAnsi="SimHei" w:eastAsia="SimHei" w:cs="SimHei"/>
          <w:sz w:val="21"/>
          <w:szCs w:val="21"/>
          <w:b/>
          <w:bCs/>
          <w:spacing w:val="-21"/>
        </w:rPr>
        <w:t>数据清洗流程</w:t>
      </w:r>
    </w:p>
    <w:p>
      <w:pPr>
        <w:ind w:left="419"/>
        <w:spacing w:before="223" w:line="219" w:lineRule="auto"/>
        <w:rPr>
          <w:rFonts w:ascii="SimSun" w:hAnsi="SimSun" w:eastAsia="SimSun" w:cs="SimSun"/>
          <w:sz w:val="21"/>
          <w:szCs w:val="21"/>
        </w:rPr>
      </w:pPr>
      <w:r>
        <w:rPr>
          <w:rFonts w:ascii="SimSun" w:hAnsi="SimSun" w:eastAsia="SimSun" w:cs="SimSun"/>
          <w:sz w:val="21"/>
          <w:szCs w:val="21"/>
          <w:spacing w:val="6"/>
        </w:rPr>
        <w:t>(6)数据质量指标验证</w:t>
      </w:r>
    </w:p>
    <w:p>
      <w:pPr>
        <w:ind w:right="229" w:firstLine="419"/>
        <w:spacing w:before="60" w:line="255" w:lineRule="auto"/>
        <w:rPr>
          <w:rFonts w:ascii="SimSun" w:hAnsi="SimSun" w:eastAsia="SimSun" w:cs="SimSun"/>
          <w:sz w:val="21"/>
          <w:szCs w:val="21"/>
        </w:rPr>
      </w:pPr>
      <w:r>
        <w:rPr>
          <w:rFonts w:ascii="SimSun" w:hAnsi="SimSun" w:eastAsia="SimSun" w:cs="SimSun"/>
          <w:sz w:val="21"/>
          <w:szCs w:val="21"/>
          <w:spacing w:val="8"/>
        </w:rPr>
        <w:t>数据质量指标验证是数据清洗结果与定义的数据质量指标进</w:t>
      </w:r>
      <w:r>
        <w:rPr>
          <w:rFonts w:ascii="SimSun" w:hAnsi="SimSun" w:eastAsia="SimSun" w:cs="SimSun"/>
          <w:sz w:val="21"/>
          <w:szCs w:val="21"/>
          <w:spacing w:val="7"/>
        </w:rPr>
        <w:t>行对比分析的过</w:t>
      </w:r>
      <w:r>
        <w:rPr>
          <w:rFonts w:ascii="SimSun" w:hAnsi="SimSun" w:eastAsia="SimSun" w:cs="SimSun"/>
          <w:sz w:val="21"/>
          <w:szCs w:val="21"/>
        </w:rPr>
        <w:t xml:space="preserve"> </w:t>
      </w:r>
      <w:r>
        <w:rPr>
          <w:rFonts w:ascii="SimSun" w:hAnsi="SimSun" w:eastAsia="SimSun" w:cs="SimSun"/>
          <w:sz w:val="21"/>
          <w:szCs w:val="21"/>
          <w:spacing w:val="-2"/>
        </w:rPr>
        <w:t>程，该过程主要有两个目的：</w:t>
      </w:r>
      <w:r>
        <w:rPr>
          <w:rFonts w:ascii="SimSun" w:hAnsi="SimSun" w:eastAsia="SimSun" w:cs="SimSun"/>
          <w:sz w:val="21"/>
          <w:szCs w:val="21"/>
          <w:spacing w:val="63"/>
        </w:rPr>
        <w:t xml:space="preserve"> </w:t>
      </w:r>
      <w:r>
        <w:rPr>
          <w:rFonts w:ascii="SimSun" w:hAnsi="SimSun" w:eastAsia="SimSun" w:cs="SimSun"/>
          <w:sz w:val="21"/>
          <w:szCs w:val="21"/>
          <w:spacing w:val="-2"/>
        </w:rPr>
        <w:t>一是确定清洗后的数据质量是否满足了定义</w:t>
      </w:r>
      <w:r>
        <w:rPr>
          <w:rFonts w:ascii="SimSun" w:hAnsi="SimSun" w:eastAsia="SimSun" w:cs="SimSun"/>
          <w:sz w:val="21"/>
          <w:szCs w:val="21"/>
          <w:spacing w:val="-3"/>
        </w:rPr>
        <w:t>的数据质</w:t>
      </w:r>
      <w:r>
        <w:rPr>
          <w:rFonts w:ascii="SimSun" w:hAnsi="SimSun" w:eastAsia="SimSun" w:cs="SimSun"/>
          <w:sz w:val="21"/>
          <w:szCs w:val="21"/>
        </w:rPr>
        <w:t xml:space="preserve"> </w:t>
      </w:r>
      <w:r>
        <w:rPr>
          <w:rFonts w:ascii="SimSun" w:hAnsi="SimSun" w:eastAsia="SimSun" w:cs="SimSun"/>
          <w:sz w:val="21"/>
          <w:szCs w:val="21"/>
          <w:spacing w:val="-2"/>
        </w:rPr>
        <w:t>量目标；二是对定义的数据质量指标合理性进行调整。</w:t>
      </w:r>
    </w:p>
    <w:p>
      <w:pPr>
        <w:ind w:left="419"/>
        <w:spacing w:before="81" w:line="219" w:lineRule="auto"/>
        <w:rPr>
          <w:rFonts w:ascii="SimSun" w:hAnsi="SimSun" w:eastAsia="SimSun" w:cs="SimSun"/>
          <w:sz w:val="21"/>
          <w:szCs w:val="21"/>
        </w:rPr>
      </w:pPr>
      <w:r>
        <w:rPr>
          <w:rFonts w:ascii="SimSun" w:hAnsi="SimSun" w:eastAsia="SimSun" w:cs="SimSun"/>
          <w:sz w:val="21"/>
          <w:szCs w:val="21"/>
          <w:spacing w:val="11"/>
        </w:rPr>
        <w:t>(7)数据修复方案</w:t>
      </w:r>
    </w:p>
    <w:p>
      <w:pPr>
        <w:ind w:right="236" w:firstLine="419"/>
        <w:spacing w:before="60" w:line="255" w:lineRule="auto"/>
        <w:rPr>
          <w:rFonts w:ascii="SimSun" w:hAnsi="SimSun" w:eastAsia="SimSun" w:cs="SimSun"/>
          <w:sz w:val="21"/>
          <w:szCs w:val="21"/>
        </w:rPr>
      </w:pPr>
      <w:r>
        <w:rPr>
          <w:rFonts w:ascii="SimSun" w:hAnsi="SimSun" w:eastAsia="SimSun" w:cs="SimSun"/>
          <w:sz w:val="21"/>
          <w:szCs w:val="21"/>
          <w:spacing w:val="2"/>
        </w:rPr>
        <w:t>数据符不符合数据质量指标不是衡量数据价值的唯一依据，只能说明数据暂时</w:t>
      </w:r>
      <w:r>
        <w:rPr>
          <w:rFonts w:ascii="SimSun" w:hAnsi="SimSun" w:eastAsia="SimSun" w:cs="SimSun"/>
          <w:sz w:val="21"/>
          <w:szCs w:val="21"/>
          <w:spacing w:val="13"/>
        </w:rPr>
        <w:t xml:space="preserve"> </w:t>
      </w:r>
      <w:r>
        <w:rPr>
          <w:rFonts w:ascii="SimSun" w:hAnsi="SimSun" w:eastAsia="SimSun" w:cs="SimSun"/>
          <w:sz w:val="21"/>
          <w:szCs w:val="21"/>
          <w:spacing w:val="2"/>
        </w:rPr>
        <w:t>不符合特定指标的期望。数据修复方案主要就是针对不符合数据，提出数据修正的</w:t>
      </w:r>
      <w:r>
        <w:rPr>
          <w:rFonts w:ascii="SimSun" w:hAnsi="SimSun" w:eastAsia="SimSun" w:cs="SimSun"/>
          <w:sz w:val="21"/>
          <w:szCs w:val="21"/>
          <w:spacing w:val="13"/>
        </w:rPr>
        <w:t xml:space="preserve"> </w:t>
      </w:r>
      <w:r>
        <w:rPr>
          <w:rFonts w:ascii="SimSun" w:hAnsi="SimSun" w:eastAsia="SimSun" w:cs="SimSun"/>
          <w:sz w:val="21"/>
          <w:szCs w:val="21"/>
          <w:spacing w:val="-1"/>
        </w:rPr>
        <w:t>计划、措施和流程。针对不同的数据质量问题，制订</w:t>
      </w:r>
      <w:r>
        <w:rPr>
          <w:rFonts w:ascii="SimSun" w:hAnsi="SimSun" w:eastAsia="SimSun" w:cs="SimSun"/>
          <w:sz w:val="21"/>
          <w:szCs w:val="21"/>
          <w:spacing w:val="-2"/>
        </w:rPr>
        <w:t>相应的修复方案。</w:t>
      </w:r>
    </w:p>
    <w:p>
      <w:pPr>
        <w:spacing w:line="255" w:lineRule="auto"/>
        <w:sectPr>
          <w:footerReference w:type="default" r:id="rId520"/>
          <w:pgSz w:w="8870" w:h="13400"/>
          <w:pgMar w:top="400" w:right="597" w:bottom="537" w:left="390" w:header="0" w:footer="328" w:gutter="0"/>
        </w:sectPr>
        <w:rPr>
          <w:rFonts w:ascii="SimSun" w:hAnsi="SimSun" w:eastAsia="SimSun" w:cs="SimSun"/>
          <w:sz w:val="21"/>
          <w:szCs w:val="21"/>
        </w:rPr>
      </w:pPr>
    </w:p>
    <w:p>
      <w:pPr>
        <w:ind w:left="192"/>
        <w:spacing w:before="276" w:line="219" w:lineRule="auto"/>
        <w:rPr>
          <w:rFonts w:ascii="SimSun" w:hAnsi="SimSun" w:eastAsia="SimSun" w:cs="SimSun"/>
          <w:sz w:val="22"/>
          <w:szCs w:val="22"/>
        </w:rPr>
      </w:pPr>
      <w:r>
        <w:pict>
          <v:rect id="_x0000_s674" style="position:absolute;margin-left:29.5016pt;margin-top:30.4984pt;mso-position-vertical-relative:page;mso-position-horizontal-relative:page;width:0.5pt;height:17.55pt;z-index:258716672;" o:allowincell="f" fillcolor="#000000" filled="true" stroked="false"/>
        </w:pict>
      </w:r>
      <w:r>
        <w:rPr>
          <w:rFonts w:ascii="SimSun" w:hAnsi="SimSun" w:eastAsia="SimSun" w:cs="SimSun"/>
          <w:sz w:val="22"/>
          <w:szCs w:val="22"/>
          <w:b/>
          <w:bCs/>
          <w:spacing w:val="-29"/>
          <w:w w:val="97"/>
        </w:rPr>
        <w:t>■云端数据治理■</w:t>
      </w:r>
    </w:p>
    <w:p>
      <w:pPr>
        <w:ind w:left="670"/>
        <w:spacing w:before="312" w:line="219" w:lineRule="auto"/>
        <w:rPr>
          <w:rFonts w:ascii="SimSun" w:hAnsi="SimSun" w:eastAsia="SimSun" w:cs="SimSun"/>
          <w:sz w:val="22"/>
          <w:szCs w:val="22"/>
        </w:rPr>
      </w:pPr>
      <w:r>
        <w:rPr>
          <w:rFonts w:ascii="SimSun" w:hAnsi="SimSun" w:eastAsia="SimSun" w:cs="SimSun"/>
          <w:sz w:val="22"/>
          <w:szCs w:val="22"/>
          <w:spacing w:val="-4"/>
        </w:rPr>
        <w:t>(8)改进数据质量管理流程</w:t>
      </w:r>
    </w:p>
    <w:p>
      <w:pPr>
        <w:ind w:left="189" w:right="50" w:firstLine="480"/>
        <w:spacing w:before="56" w:line="247" w:lineRule="auto"/>
        <w:rPr>
          <w:rFonts w:ascii="SimSun" w:hAnsi="SimSun" w:eastAsia="SimSun" w:cs="SimSun"/>
          <w:sz w:val="22"/>
          <w:szCs w:val="22"/>
        </w:rPr>
      </w:pPr>
      <w:r>
        <w:rPr>
          <w:rFonts w:ascii="SimSun" w:hAnsi="SimSun" w:eastAsia="SimSun" w:cs="SimSun"/>
          <w:sz w:val="22"/>
          <w:szCs w:val="22"/>
          <w:spacing w:val="-9"/>
        </w:rPr>
        <w:t>通过对数据质量进行指标验证，发现数据质量问题原因，可能来自数据标准、</w:t>
      </w:r>
      <w:r>
        <w:rPr>
          <w:rFonts w:ascii="SimSun" w:hAnsi="SimSun" w:eastAsia="SimSun" w:cs="SimSun"/>
          <w:sz w:val="22"/>
          <w:szCs w:val="22"/>
          <w:spacing w:val="4"/>
        </w:rPr>
        <w:t xml:space="preserve"> </w:t>
      </w:r>
      <w:r>
        <w:rPr>
          <w:rFonts w:ascii="SimSun" w:hAnsi="SimSun" w:eastAsia="SimSun" w:cs="SimSun"/>
          <w:sz w:val="22"/>
          <w:szCs w:val="22"/>
          <w:spacing w:val="-8"/>
        </w:rPr>
        <w:t>组织与人员、管理流程、技术等环节，制订针对性改进方案</w:t>
      </w:r>
      <w:r>
        <w:rPr>
          <w:rFonts w:ascii="SimSun" w:hAnsi="SimSun" w:eastAsia="SimSun" w:cs="SimSun"/>
          <w:sz w:val="22"/>
          <w:szCs w:val="22"/>
          <w:spacing w:val="-9"/>
        </w:rPr>
        <w:t>，尤其是要改进数据质</w:t>
      </w:r>
      <w:r>
        <w:rPr>
          <w:rFonts w:ascii="SimSun" w:hAnsi="SimSun" w:eastAsia="SimSun" w:cs="SimSun"/>
          <w:sz w:val="22"/>
          <w:szCs w:val="22"/>
        </w:rPr>
        <w:t xml:space="preserve"> </w:t>
      </w:r>
      <w:r>
        <w:rPr>
          <w:rFonts w:ascii="SimSun" w:hAnsi="SimSun" w:eastAsia="SimSun" w:cs="SimSun"/>
          <w:sz w:val="22"/>
          <w:szCs w:val="22"/>
          <w:spacing w:val="-13"/>
        </w:rPr>
        <w:t>量管理流程。</w:t>
      </w:r>
    </w:p>
    <w:p>
      <w:pPr>
        <w:ind w:left="670"/>
        <w:spacing w:before="57" w:line="218" w:lineRule="auto"/>
        <w:rPr>
          <w:rFonts w:ascii="SimSun" w:hAnsi="SimSun" w:eastAsia="SimSun" w:cs="SimSun"/>
          <w:sz w:val="22"/>
          <w:szCs w:val="22"/>
        </w:rPr>
      </w:pPr>
      <w:r>
        <w:rPr>
          <w:rFonts w:ascii="SimSun" w:hAnsi="SimSun" w:eastAsia="SimSun" w:cs="SimSun"/>
          <w:sz w:val="22"/>
          <w:szCs w:val="22"/>
          <w:spacing w:val="-2"/>
        </w:rPr>
        <w:t>(9)数据质量成熟度评估</w:t>
      </w:r>
    </w:p>
    <w:p>
      <w:pPr>
        <w:ind w:left="189" w:right="31" w:firstLine="480"/>
        <w:spacing w:before="40" w:line="243" w:lineRule="auto"/>
        <w:rPr>
          <w:rFonts w:ascii="SimSun" w:hAnsi="SimSun" w:eastAsia="SimSun" w:cs="SimSun"/>
          <w:sz w:val="22"/>
          <w:szCs w:val="22"/>
        </w:rPr>
      </w:pPr>
      <w:r>
        <w:rPr>
          <w:rFonts w:ascii="SimSun" w:hAnsi="SimSun" w:eastAsia="SimSun" w:cs="SimSun"/>
          <w:sz w:val="22"/>
          <w:szCs w:val="22"/>
          <w:spacing w:val="-8"/>
        </w:rPr>
        <w:t>依据云端数据治理成熟度模型中的数据质量管理成熟</w:t>
      </w:r>
      <w:r>
        <w:rPr>
          <w:rFonts w:ascii="SimSun" w:hAnsi="SimSun" w:eastAsia="SimSun" w:cs="SimSun"/>
          <w:sz w:val="22"/>
          <w:szCs w:val="22"/>
          <w:spacing w:val="-9"/>
        </w:rPr>
        <w:t>度等级要求对数据管理进</w:t>
      </w:r>
      <w:r>
        <w:rPr>
          <w:rFonts w:ascii="SimSun" w:hAnsi="SimSun" w:eastAsia="SimSun" w:cs="SimSun"/>
          <w:sz w:val="22"/>
          <w:szCs w:val="22"/>
        </w:rPr>
        <w:t xml:space="preserve"> </w:t>
      </w:r>
      <w:r>
        <w:rPr>
          <w:rFonts w:ascii="SimSun" w:hAnsi="SimSun" w:eastAsia="SimSun" w:cs="SimSun"/>
          <w:sz w:val="22"/>
          <w:szCs w:val="22"/>
          <w:spacing w:val="-10"/>
        </w:rPr>
        <w:t>行评估，以便改进数据管理策略和管理流程。</w:t>
      </w:r>
    </w:p>
    <w:p>
      <w:pPr>
        <w:ind w:left="670"/>
        <w:spacing w:before="60" w:line="218" w:lineRule="auto"/>
        <w:rPr>
          <w:rFonts w:ascii="SimSun" w:hAnsi="SimSun" w:eastAsia="SimSun" w:cs="SimSun"/>
          <w:sz w:val="22"/>
          <w:szCs w:val="22"/>
        </w:rPr>
      </w:pPr>
      <w:r>
        <w:rPr>
          <w:rFonts w:ascii="SimSun" w:hAnsi="SimSun" w:eastAsia="SimSun" w:cs="SimSun"/>
          <w:sz w:val="22"/>
          <w:szCs w:val="22"/>
          <w:spacing w:val="-4"/>
        </w:rPr>
        <w:t>(10)沟通行动和结果，循环评估组织管理流程</w:t>
      </w:r>
    </w:p>
    <w:p>
      <w:pPr>
        <w:ind w:left="189" w:right="28" w:firstLine="480"/>
        <w:spacing w:before="41" w:line="250" w:lineRule="auto"/>
        <w:rPr>
          <w:rFonts w:ascii="SimSun" w:hAnsi="SimSun" w:eastAsia="SimSun" w:cs="SimSun"/>
          <w:sz w:val="22"/>
          <w:szCs w:val="22"/>
        </w:rPr>
      </w:pPr>
      <w:r>
        <w:rPr>
          <w:rFonts w:ascii="SimSun" w:hAnsi="SimSun" w:eastAsia="SimSun" w:cs="SimSun"/>
          <w:sz w:val="22"/>
          <w:szCs w:val="22"/>
          <w:spacing w:val="-8"/>
        </w:rPr>
        <w:t>保持数据利益相关者持续地参与到数据质量管理的过程中，</w:t>
      </w:r>
      <w:r>
        <w:rPr>
          <w:rFonts w:ascii="SimSun" w:hAnsi="SimSun" w:eastAsia="SimSun" w:cs="SimSun"/>
          <w:sz w:val="22"/>
          <w:szCs w:val="22"/>
          <w:spacing w:val="-9"/>
        </w:rPr>
        <w:t>例如，数据质量管</w:t>
      </w:r>
      <w:r>
        <w:rPr>
          <w:rFonts w:ascii="SimSun" w:hAnsi="SimSun" w:eastAsia="SimSun" w:cs="SimSun"/>
          <w:sz w:val="22"/>
          <w:szCs w:val="22"/>
        </w:rPr>
        <w:t xml:space="preserve"> </w:t>
      </w:r>
      <w:r>
        <w:rPr>
          <w:rFonts w:ascii="SimSun" w:hAnsi="SimSun" w:eastAsia="SimSun" w:cs="SimSun"/>
          <w:sz w:val="22"/>
          <w:szCs w:val="22"/>
          <w:spacing w:val="-9"/>
        </w:rPr>
        <w:t>理策略和流程的制订需要听取利益相关者的意见和建议，并得到批准，数据质量需 </w:t>
      </w:r>
      <w:r>
        <w:rPr>
          <w:rFonts w:ascii="SimSun" w:hAnsi="SimSun" w:eastAsia="SimSun" w:cs="SimSun"/>
          <w:sz w:val="22"/>
          <w:szCs w:val="22"/>
          <w:spacing w:val="-8"/>
        </w:rPr>
        <w:t>求应当包含利益相关者的诉求。数据质量操作过程应当被记</w:t>
      </w:r>
      <w:r>
        <w:rPr>
          <w:rFonts w:ascii="SimSun" w:hAnsi="SimSun" w:eastAsia="SimSun" w:cs="SimSun"/>
          <w:sz w:val="22"/>
          <w:szCs w:val="22"/>
          <w:spacing w:val="-9"/>
        </w:rPr>
        <w:t>录，并作为改进数据质</w:t>
      </w:r>
      <w:r>
        <w:rPr>
          <w:rFonts w:ascii="SimSun" w:hAnsi="SimSun" w:eastAsia="SimSun" w:cs="SimSun"/>
          <w:sz w:val="22"/>
          <w:szCs w:val="22"/>
        </w:rPr>
        <w:t xml:space="preserve"> </w:t>
      </w:r>
      <w:r>
        <w:rPr>
          <w:rFonts w:ascii="SimSun" w:hAnsi="SimSun" w:eastAsia="SimSun" w:cs="SimSun"/>
          <w:sz w:val="22"/>
          <w:szCs w:val="22"/>
          <w:spacing w:val="-12"/>
        </w:rPr>
        <w:t>量管理策略和流程的输入。</w:t>
      </w:r>
    </w:p>
    <w:p>
      <w:pPr>
        <w:ind w:left="673"/>
        <w:spacing w:before="214" w:line="225" w:lineRule="auto"/>
        <w:outlineLvl w:val="6"/>
        <w:rPr>
          <w:rFonts w:ascii="YouYuan" w:hAnsi="YouYuan" w:eastAsia="YouYuan" w:cs="YouYuan"/>
          <w:sz w:val="22"/>
          <w:szCs w:val="22"/>
        </w:rPr>
      </w:pPr>
      <w:r>
        <w:rPr>
          <w:rFonts w:ascii="YouYuan" w:hAnsi="YouYuan" w:eastAsia="YouYuan" w:cs="YouYuan"/>
          <w:sz w:val="22"/>
          <w:szCs w:val="22"/>
          <w:b/>
          <w:bCs/>
          <w:spacing w:val="-5"/>
        </w:rPr>
        <w:t>6.</w:t>
      </w:r>
      <w:r>
        <w:rPr>
          <w:rFonts w:ascii="YouYuan" w:hAnsi="YouYuan" w:eastAsia="YouYuan" w:cs="YouYuan"/>
          <w:sz w:val="22"/>
          <w:szCs w:val="22"/>
          <w:spacing w:val="-5"/>
        </w:rPr>
        <w:t xml:space="preserve"> </w:t>
      </w:r>
      <w:r>
        <w:rPr>
          <w:rFonts w:ascii="YouYuan" w:hAnsi="YouYuan" w:eastAsia="YouYuan" w:cs="YouYuan"/>
          <w:sz w:val="22"/>
          <w:szCs w:val="22"/>
          <w:b/>
          <w:bCs/>
          <w:spacing w:val="-5"/>
        </w:rPr>
        <w:t>数据生命周期管理</w:t>
      </w:r>
    </w:p>
    <w:p>
      <w:pPr>
        <w:ind w:left="189" w:right="31" w:firstLine="480"/>
        <w:spacing w:before="182" w:line="250" w:lineRule="auto"/>
        <w:rPr>
          <w:rFonts w:ascii="SimSun" w:hAnsi="SimSun" w:eastAsia="SimSun" w:cs="SimSun"/>
          <w:sz w:val="22"/>
          <w:szCs w:val="22"/>
        </w:rPr>
      </w:pPr>
      <w:r>
        <w:rPr>
          <w:rFonts w:ascii="SimSun" w:hAnsi="SimSun" w:eastAsia="SimSun" w:cs="SimSun"/>
          <w:sz w:val="22"/>
          <w:szCs w:val="22"/>
          <w:spacing w:val="-3"/>
        </w:rPr>
        <w:t>数据生命周期管理</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3"/>
        </w:rPr>
        <w:t>(Data  Life  Cycle  Management,DLM)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是一种基于</w:t>
      </w:r>
      <w:r>
        <w:rPr>
          <w:rFonts w:ascii="SimSun" w:hAnsi="SimSun" w:eastAsia="SimSun" w:cs="SimSun"/>
          <w:sz w:val="22"/>
          <w:szCs w:val="22"/>
          <w:spacing w:val="-4"/>
        </w:rPr>
        <w:t>策略的方</w:t>
      </w:r>
      <w:r>
        <w:rPr>
          <w:rFonts w:ascii="SimSun" w:hAnsi="SimSun" w:eastAsia="SimSun" w:cs="SimSun"/>
          <w:sz w:val="22"/>
          <w:szCs w:val="22"/>
        </w:rPr>
        <w:t xml:space="preserve"> </w:t>
      </w:r>
      <w:r>
        <w:rPr>
          <w:rFonts w:ascii="SimSun" w:hAnsi="SimSun" w:eastAsia="SimSun" w:cs="SimSun"/>
          <w:sz w:val="22"/>
          <w:szCs w:val="22"/>
          <w:spacing w:val="-9"/>
        </w:rPr>
        <w:t>法，用于管理信息系统的数据在整个生命周期内的流动，从数据</w:t>
      </w:r>
      <w:r>
        <w:rPr>
          <w:rFonts w:ascii="SimSun" w:hAnsi="SimSun" w:eastAsia="SimSun" w:cs="SimSun"/>
          <w:sz w:val="22"/>
          <w:szCs w:val="22"/>
          <w:spacing w:val="-10"/>
        </w:rPr>
        <w:t>创建和初始存储，</w:t>
      </w:r>
    </w:p>
    <w:p>
      <w:pPr>
        <w:ind w:left="189" w:right="19"/>
        <w:spacing w:before="43" w:line="255" w:lineRule="auto"/>
        <w:rPr>
          <w:rFonts w:ascii="SimSun" w:hAnsi="SimSun" w:eastAsia="SimSun" w:cs="SimSun"/>
          <w:sz w:val="22"/>
          <w:szCs w:val="22"/>
        </w:rPr>
      </w:pPr>
      <w:r>
        <w:rPr>
          <w:rFonts w:ascii="SimSun" w:hAnsi="SimSun" w:eastAsia="SimSun" w:cs="SimSun"/>
          <w:sz w:val="22"/>
          <w:szCs w:val="22"/>
          <w:spacing w:val="-12"/>
        </w:rPr>
        <w:t>到数据过时被删除。传统数据生命周期管理以成本节约为导向，保存</w:t>
      </w:r>
      <w:r>
        <w:rPr>
          <w:rFonts w:ascii="SimSun" w:hAnsi="SimSun" w:eastAsia="SimSun" w:cs="SimSun"/>
          <w:sz w:val="22"/>
          <w:szCs w:val="22"/>
          <w:spacing w:val="-13"/>
        </w:rPr>
        <w:t>有价值的数据，</w:t>
      </w:r>
      <w:r>
        <w:rPr>
          <w:rFonts w:ascii="SimSun" w:hAnsi="SimSun" w:eastAsia="SimSun" w:cs="SimSun"/>
          <w:sz w:val="22"/>
          <w:szCs w:val="22"/>
        </w:rPr>
        <w:t xml:space="preserve"> </w:t>
      </w:r>
      <w:r>
        <w:rPr>
          <w:rFonts w:ascii="SimSun" w:hAnsi="SimSun" w:eastAsia="SimSun" w:cs="SimSun"/>
          <w:sz w:val="22"/>
          <w:szCs w:val="22"/>
          <w:spacing w:val="-9"/>
        </w:rPr>
        <w:t>而云端数据生命周期管理的目的是以数据的价值和安全为导向，基于云端数据价值 </w:t>
      </w:r>
      <w:r>
        <w:rPr>
          <w:rFonts w:ascii="SimSun" w:hAnsi="SimSun" w:eastAsia="SimSun" w:cs="SimSun"/>
          <w:sz w:val="22"/>
          <w:szCs w:val="22"/>
          <w:spacing w:val="-9"/>
        </w:rPr>
        <w:t>和面临的环境所出发。随着本地数据向云端迁移，加上信息化的普及让云端数据产 </w:t>
      </w:r>
      <w:r>
        <w:rPr>
          <w:rFonts w:ascii="SimSun" w:hAnsi="SimSun" w:eastAsia="SimSun" w:cs="SimSun"/>
          <w:sz w:val="22"/>
          <w:szCs w:val="22"/>
          <w:spacing w:val="-9"/>
        </w:rPr>
        <w:t>生速度更快，云端积累的数据体量越来越大。数据的处理会直接在云端开展，因此 </w:t>
      </w:r>
      <w:r>
        <w:rPr>
          <w:rFonts w:ascii="SimSun" w:hAnsi="SimSun" w:eastAsia="SimSun" w:cs="SimSun"/>
          <w:sz w:val="22"/>
          <w:szCs w:val="22"/>
          <w:spacing w:val="-9"/>
        </w:rPr>
        <w:t>云端数据的全生命周期管理都会与云计算紧密相关，加强数据生命周期管理是必然 </w:t>
      </w:r>
      <w:r>
        <w:rPr>
          <w:rFonts w:ascii="SimSun" w:hAnsi="SimSun" w:eastAsia="SimSun" w:cs="SimSun"/>
          <w:sz w:val="22"/>
          <w:szCs w:val="22"/>
          <w:spacing w:val="-10"/>
        </w:rPr>
        <w:t>的选择。由于云计算载体和云端数据自身的特点，云端数据面临的安全威胁更大，</w:t>
      </w:r>
      <w:r>
        <w:rPr>
          <w:rFonts w:ascii="SimSun" w:hAnsi="SimSun" w:eastAsia="SimSun" w:cs="SimSun"/>
          <w:sz w:val="22"/>
          <w:szCs w:val="22"/>
          <w:spacing w:val="9"/>
        </w:rPr>
        <w:t xml:space="preserve">  </w:t>
      </w:r>
      <w:r>
        <w:rPr>
          <w:rFonts w:ascii="SimSun" w:hAnsi="SimSun" w:eastAsia="SimSun" w:cs="SimSun"/>
          <w:sz w:val="22"/>
          <w:szCs w:val="22"/>
          <w:spacing w:val="-11"/>
        </w:rPr>
        <w:t>保证云端数据安全是利用云端数据的前提。</w:t>
      </w:r>
    </w:p>
    <w:p>
      <w:pPr>
        <w:ind w:left="189" w:firstLine="480"/>
        <w:spacing w:before="77" w:line="250" w:lineRule="auto"/>
        <w:rPr>
          <w:rFonts w:ascii="SimSun" w:hAnsi="SimSun" w:eastAsia="SimSun" w:cs="SimSun"/>
          <w:sz w:val="22"/>
          <w:szCs w:val="22"/>
        </w:rPr>
      </w:pPr>
      <w:r>
        <w:rPr>
          <w:rFonts w:ascii="SimSun" w:hAnsi="SimSun" w:eastAsia="SimSun" w:cs="SimSun"/>
          <w:sz w:val="22"/>
          <w:szCs w:val="22"/>
          <w:spacing w:val="-3"/>
        </w:rPr>
        <w:t>云端数据的生命周期与传统数据的生命周期并没有太大差别，仍然可以将数</w:t>
      </w:r>
      <w:r>
        <w:rPr>
          <w:rFonts w:ascii="SimSun" w:hAnsi="SimSun" w:eastAsia="SimSun" w:cs="SimSun"/>
          <w:sz w:val="22"/>
          <w:szCs w:val="22"/>
          <w:spacing w:val="17"/>
        </w:rPr>
        <w:t xml:space="preserve"> </w:t>
      </w:r>
      <w:r>
        <w:rPr>
          <w:rFonts w:ascii="SimSun" w:hAnsi="SimSun" w:eastAsia="SimSun" w:cs="SimSun"/>
          <w:sz w:val="22"/>
          <w:szCs w:val="22"/>
          <w:spacing w:val="4"/>
        </w:rPr>
        <w:t>据生命周期划分为六个主要阶段，即收集(对于数据生命</w:t>
      </w:r>
      <w:r>
        <w:rPr>
          <w:rFonts w:ascii="SimSun" w:hAnsi="SimSun" w:eastAsia="SimSun" w:cs="SimSun"/>
          <w:sz w:val="22"/>
          <w:szCs w:val="22"/>
          <w:spacing w:val="3"/>
        </w:rPr>
        <w:t>周期管理)、存储、传</w:t>
      </w:r>
      <w:r>
        <w:rPr>
          <w:rFonts w:ascii="SimSun" w:hAnsi="SimSun" w:eastAsia="SimSun" w:cs="SimSun"/>
          <w:sz w:val="22"/>
          <w:szCs w:val="22"/>
        </w:rPr>
        <w:t xml:space="preserve">  </w:t>
      </w:r>
      <w:r>
        <w:rPr>
          <w:rFonts w:ascii="SimSun" w:hAnsi="SimSun" w:eastAsia="SimSun" w:cs="SimSun"/>
          <w:sz w:val="22"/>
          <w:szCs w:val="22"/>
          <w:spacing w:val="-3"/>
        </w:rPr>
        <w:t>输、使用、共享和销毁，如图11-14所示。在整个生命过程中，数据可能被分析、</w:t>
      </w:r>
      <w:r>
        <w:rPr>
          <w:rFonts w:ascii="SimSun" w:hAnsi="SimSun" w:eastAsia="SimSun" w:cs="SimSun"/>
          <w:sz w:val="22"/>
          <w:szCs w:val="22"/>
          <w:spacing w:val="12"/>
        </w:rPr>
        <w:t xml:space="preserve"> </w:t>
      </w:r>
      <w:r>
        <w:rPr>
          <w:rFonts w:ascii="SimSun" w:hAnsi="SimSun" w:eastAsia="SimSun" w:cs="SimSun"/>
          <w:sz w:val="22"/>
          <w:szCs w:val="22"/>
          <w:spacing w:val="-2"/>
        </w:rPr>
        <w:t>存储、更新、使用、转换、整合、传输、归档、共享和评审，最后被销毁。</w:t>
      </w:r>
    </w:p>
    <w:p>
      <w:pPr>
        <w:ind w:left="189" w:right="52" w:firstLine="480"/>
        <w:spacing w:before="69" w:line="247" w:lineRule="auto"/>
        <w:rPr>
          <w:rFonts w:ascii="SimSun" w:hAnsi="SimSun" w:eastAsia="SimSun" w:cs="SimSun"/>
          <w:sz w:val="22"/>
          <w:szCs w:val="22"/>
        </w:rPr>
      </w:pPr>
      <w:r>
        <w:rPr>
          <w:rFonts w:ascii="SimSun" w:hAnsi="SimSun" w:eastAsia="SimSun" w:cs="SimSun"/>
          <w:sz w:val="22"/>
          <w:szCs w:val="22"/>
          <w:spacing w:val="-9"/>
        </w:rPr>
        <w:t>云端数据生命周期管理应当围绕数据所处的不同生命周期阶段制订相应的管理</w:t>
      </w:r>
      <w:r>
        <w:rPr>
          <w:rFonts w:ascii="SimSun" w:hAnsi="SimSun" w:eastAsia="SimSun" w:cs="SimSun"/>
          <w:sz w:val="22"/>
          <w:szCs w:val="22"/>
          <w:spacing w:val="2"/>
        </w:rPr>
        <w:t xml:space="preserve"> </w:t>
      </w:r>
      <w:r>
        <w:rPr>
          <w:rFonts w:ascii="SimSun" w:hAnsi="SimSun" w:eastAsia="SimSun" w:cs="SimSun"/>
          <w:sz w:val="22"/>
          <w:szCs w:val="22"/>
          <w:spacing w:val="-9"/>
        </w:rPr>
        <w:t>策略，确保数据从产生到销毁整个过程被正确地管理，并发挥其价值。下面对数据</w:t>
      </w:r>
      <w:r>
        <w:rPr>
          <w:rFonts w:ascii="SimSun" w:hAnsi="SimSun" w:eastAsia="SimSun" w:cs="SimSun"/>
          <w:sz w:val="22"/>
          <w:szCs w:val="22"/>
          <w:spacing w:val="15"/>
        </w:rPr>
        <w:t xml:space="preserve"> </w:t>
      </w:r>
      <w:r>
        <w:rPr>
          <w:rFonts w:ascii="SimSun" w:hAnsi="SimSun" w:eastAsia="SimSun" w:cs="SimSun"/>
          <w:sz w:val="22"/>
          <w:szCs w:val="22"/>
          <w:spacing w:val="-11"/>
        </w:rPr>
        <w:t>生命周期的六个重要阶段进行展开说明。</w:t>
      </w:r>
    </w:p>
    <w:p>
      <w:pPr>
        <w:ind w:left="670"/>
        <w:spacing w:before="46" w:line="226" w:lineRule="auto"/>
        <w:rPr>
          <w:rFonts w:ascii="KaiTi" w:hAnsi="KaiTi" w:eastAsia="KaiTi" w:cs="KaiTi"/>
          <w:sz w:val="22"/>
          <w:szCs w:val="22"/>
        </w:rPr>
      </w:pPr>
      <w:r>
        <w:rPr>
          <w:rFonts w:ascii="KaiTi" w:hAnsi="KaiTi" w:eastAsia="KaiTi" w:cs="KaiTi"/>
          <w:sz w:val="22"/>
          <w:szCs w:val="22"/>
          <w:spacing w:val="6"/>
        </w:rPr>
        <w:t>1)收集</w:t>
      </w:r>
    </w:p>
    <w:p>
      <w:pPr>
        <w:ind w:left="189" w:right="20" w:firstLine="480"/>
        <w:spacing w:before="31" w:line="253" w:lineRule="auto"/>
        <w:rPr>
          <w:rFonts w:ascii="SimSun" w:hAnsi="SimSun" w:eastAsia="SimSun" w:cs="SimSun"/>
          <w:sz w:val="22"/>
          <w:szCs w:val="22"/>
        </w:rPr>
      </w:pPr>
      <w:r>
        <w:rPr>
          <w:rFonts w:ascii="SimSun" w:hAnsi="SimSun" w:eastAsia="SimSun" w:cs="SimSun"/>
          <w:sz w:val="22"/>
          <w:szCs w:val="22"/>
          <w:spacing w:val="-8"/>
        </w:rPr>
        <w:t>数据采集阶段组织需要关注包括数据采集策略、数据采集规范、数据采集范围</w:t>
      </w:r>
      <w:r>
        <w:rPr>
          <w:rFonts w:ascii="SimSun" w:hAnsi="SimSun" w:eastAsia="SimSun" w:cs="SimSun"/>
          <w:sz w:val="22"/>
          <w:szCs w:val="22"/>
        </w:rPr>
        <w:t xml:space="preserve"> </w:t>
      </w:r>
      <w:r>
        <w:rPr>
          <w:rFonts w:ascii="SimSun" w:hAnsi="SimSun" w:eastAsia="SimSun" w:cs="SimSun"/>
          <w:sz w:val="22"/>
          <w:szCs w:val="22"/>
          <w:spacing w:val="-7"/>
        </w:rPr>
        <w:t>和安全与隐私等方面的内容，如图11-15所示。</w:t>
      </w:r>
    </w:p>
    <w:p>
      <w:pPr>
        <w:spacing w:line="253" w:lineRule="auto"/>
        <w:sectPr>
          <w:footerReference w:type="default" r:id="rId522"/>
          <w:pgSz w:w="8870" w:h="13400"/>
          <w:pgMar w:top="400" w:right="470" w:bottom="465" w:left="500" w:header="0" w:footer="246" w:gutter="0"/>
        </w:sectPr>
        <w:rPr>
          <w:rFonts w:ascii="SimSun" w:hAnsi="SimSun" w:eastAsia="SimSun" w:cs="SimSun"/>
          <w:sz w:val="22"/>
          <w:szCs w:val="22"/>
        </w:rPr>
      </w:pPr>
    </w:p>
    <w:p>
      <w:pPr>
        <w:ind w:left="4523"/>
        <w:spacing w:before="174" w:line="219" w:lineRule="auto"/>
        <w:rPr>
          <w:rFonts w:ascii="SimSun" w:hAnsi="SimSun" w:eastAsia="SimSun" w:cs="SimSun"/>
          <w:sz w:val="22"/>
          <w:szCs w:val="22"/>
        </w:rPr>
      </w:pPr>
      <w:bookmarkStart w:name="bookmark103" w:id="98"/>
      <w:bookmarkEnd w:id="98"/>
      <w:r>
        <w:rPr>
          <w:rFonts w:ascii="SimSun" w:hAnsi="SimSun" w:eastAsia="SimSun" w:cs="SimSun"/>
          <w:sz w:val="22"/>
          <w:szCs w:val="22"/>
          <w:b/>
          <w:bCs/>
          <w:spacing w:val="-2"/>
        </w:rPr>
        <w:t>第11章■云端数据治理体系实施</w:t>
      </w:r>
    </w:p>
    <w:p>
      <w:pPr>
        <w:pStyle w:val="BodyText"/>
        <w:spacing w:line="322" w:lineRule="auto"/>
        <w:rPr/>
      </w:pPr>
      <w:r/>
    </w:p>
    <w:p>
      <w:pPr>
        <w:pStyle w:val="BodyText"/>
        <w:ind w:firstLine="1139"/>
        <w:spacing w:line="2960" w:lineRule="exact"/>
        <w:rPr/>
      </w:pPr>
      <w:r>
        <w:rPr>
          <w:position w:val="-59"/>
        </w:rPr>
        <w:pict>
          <v:group id="_x0000_s676" style="mso-position-vertical-relative:line;mso-position-horizontal-relative:char;width:266.05pt;height:148pt;" filled="false" stroked="false" coordsize="5320,2960" coordorigin="0,0">
            <v:shape id="_x0000_s678" style="position:absolute;left:0;top:0;width:5320;height:2960;" filled="false" stroked="false" type="#_x0000_t75">
              <v:imagedata o:title="" r:id="rId524"/>
            </v:shape>
            <v:shape id="_x0000_s680" style="position:absolute;left:209;top:177;width:3972;height:2630;" filled="false" stroked="false" type="#_x0000_t202">
              <v:fill on="false"/>
              <v:stroke on="false"/>
              <v:path/>
              <v:imagedata o:title=""/>
              <o:lock v:ext="edit" aspectratio="false"/>
              <v:textbox inset="0mm,0mm,0mm,0mm">
                <w:txbxContent>
                  <w:p>
                    <w:pPr>
                      <w:ind w:left="2250"/>
                      <w:spacing w:before="20" w:line="179" w:lineRule="auto"/>
                      <w:rPr>
                        <w:rFonts w:ascii="SimSun" w:hAnsi="SimSun" w:eastAsia="SimSun" w:cs="SimSun"/>
                        <w:sz w:val="18"/>
                        <w:szCs w:val="18"/>
                      </w:rPr>
                    </w:pPr>
                    <w:r>
                      <w:rPr>
                        <w:rFonts w:ascii="SimSun" w:hAnsi="SimSun" w:eastAsia="SimSun" w:cs="SimSun"/>
                        <w:sz w:val="18"/>
                        <w:szCs w:val="18"/>
                        <w:spacing w:val="-11"/>
                      </w:rPr>
                      <w:t>更新</w:t>
                    </w:r>
                  </w:p>
                  <w:p>
                    <w:pPr>
                      <w:ind w:left="3110"/>
                      <w:spacing w:line="213" w:lineRule="auto"/>
                      <w:rPr>
                        <w:rFonts w:ascii="SimSun" w:hAnsi="SimSun" w:eastAsia="SimSun" w:cs="SimSun"/>
                        <w:sz w:val="18"/>
                        <w:szCs w:val="18"/>
                      </w:rPr>
                    </w:pPr>
                    <w:r>
                      <w:rPr>
                        <w:rFonts w:ascii="SimSun" w:hAnsi="SimSun" w:eastAsia="SimSun" w:cs="SimSun"/>
                        <w:sz w:val="18"/>
                        <w:szCs w:val="18"/>
                        <w:spacing w:val="-11"/>
                      </w:rPr>
                      <w:t>使用</w:t>
                    </w:r>
                  </w:p>
                  <w:p>
                    <w:pPr>
                      <w:spacing w:line="346" w:lineRule="auto"/>
                      <w:rPr>
                        <w:rFonts w:ascii="Arial"/>
                        <w:sz w:val="21"/>
                      </w:rPr>
                    </w:pPr>
                    <w:r/>
                  </w:p>
                  <w:p>
                    <w:pPr>
                      <w:ind w:right="16"/>
                      <w:spacing w:before="58" w:line="220" w:lineRule="auto"/>
                      <w:jc w:val="right"/>
                      <w:rPr>
                        <w:rFonts w:ascii="SimSun" w:hAnsi="SimSun" w:eastAsia="SimSun" w:cs="SimSun"/>
                        <w:sz w:val="18"/>
                        <w:szCs w:val="18"/>
                      </w:rPr>
                    </w:pPr>
                    <w:r>
                      <w:rPr>
                        <w:rFonts w:ascii="SimSun" w:hAnsi="SimSun" w:eastAsia="SimSun" w:cs="SimSun"/>
                        <w:sz w:val="18"/>
                        <w:szCs w:val="18"/>
                        <w:spacing w:val="-2"/>
                      </w:rPr>
                      <w:t>转换</w:t>
                    </w:r>
                  </w:p>
                  <w:p>
                    <w:pPr>
                      <w:ind w:left="20"/>
                      <w:spacing w:before="205" w:line="219" w:lineRule="auto"/>
                      <w:rPr>
                        <w:rFonts w:ascii="SimSun" w:hAnsi="SimSun" w:eastAsia="SimSun" w:cs="SimSun"/>
                        <w:sz w:val="18"/>
                        <w:szCs w:val="18"/>
                      </w:rPr>
                    </w:pPr>
                    <w:r>
                      <w:rPr>
                        <w:rFonts w:ascii="SimSun" w:hAnsi="SimSun" w:eastAsia="SimSun" w:cs="SimSun"/>
                        <w:sz w:val="18"/>
                        <w:szCs w:val="18"/>
                        <w:spacing w:val="-4"/>
                      </w:rPr>
                      <w:t>收集</w:t>
                    </w:r>
                  </w:p>
                  <w:p>
                    <w:pPr>
                      <w:ind w:left="3589"/>
                      <w:spacing w:before="206" w:line="220" w:lineRule="auto"/>
                      <w:rPr>
                        <w:rFonts w:ascii="SimSun" w:hAnsi="SimSun" w:eastAsia="SimSun" w:cs="SimSun"/>
                        <w:sz w:val="18"/>
                        <w:szCs w:val="18"/>
                      </w:rPr>
                    </w:pPr>
                    <w:r>
                      <w:rPr>
                        <w:rFonts w:ascii="SimSun" w:hAnsi="SimSun" w:eastAsia="SimSun" w:cs="SimSun"/>
                        <w:sz w:val="18"/>
                        <w:szCs w:val="18"/>
                        <w:spacing w:val="-15"/>
                      </w:rPr>
                      <w:t>评审</w:t>
                    </w:r>
                  </w:p>
                  <w:p>
                    <w:pPr>
                      <w:spacing w:line="354" w:lineRule="auto"/>
                      <w:rPr>
                        <w:rFonts w:ascii="Arial"/>
                        <w:sz w:val="21"/>
                      </w:rPr>
                    </w:pPr>
                    <w:r/>
                  </w:p>
                  <w:p>
                    <w:pPr>
                      <w:ind w:left="3140"/>
                      <w:spacing w:before="59" w:line="169" w:lineRule="auto"/>
                      <w:rPr>
                        <w:rFonts w:ascii="SimSun" w:hAnsi="SimSun" w:eastAsia="SimSun" w:cs="SimSun"/>
                        <w:sz w:val="18"/>
                        <w:szCs w:val="18"/>
                      </w:rPr>
                    </w:pPr>
                    <w:r>
                      <w:rPr>
                        <w:rFonts w:ascii="SimSun" w:hAnsi="SimSun" w:eastAsia="SimSun" w:cs="SimSun"/>
                        <w:sz w:val="18"/>
                        <w:szCs w:val="18"/>
                        <w:spacing w:val="-9"/>
                      </w:rPr>
                      <w:t>共享</w:t>
                    </w:r>
                  </w:p>
                  <w:p>
                    <w:pPr>
                      <w:ind w:left="2260"/>
                      <w:spacing w:line="204" w:lineRule="auto"/>
                      <w:rPr>
                        <w:rFonts w:ascii="SimSun" w:hAnsi="SimSun" w:eastAsia="SimSun" w:cs="SimSun"/>
                        <w:sz w:val="18"/>
                        <w:szCs w:val="18"/>
                      </w:rPr>
                    </w:pPr>
                    <w:r>
                      <w:rPr>
                        <w:rFonts w:ascii="SimSun" w:hAnsi="SimSun" w:eastAsia="SimSun" w:cs="SimSun"/>
                        <w:sz w:val="18"/>
                        <w:szCs w:val="18"/>
                        <w:spacing w:val="-13"/>
                      </w:rPr>
                      <w:t>归档</w:t>
                    </w:r>
                  </w:p>
                </w:txbxContent>
              </v:textbox>
            </v:shape>
            <v:shape id="_x0000_s682" style="position:absolute;left:1570;top:347;width:394;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存储</w:t>
                    </w:r>
                  </w:p>
                </w:txbxContent>
              </v:textbox>
            </v:shape>
            <v:shape id="_x0000_s684" style="position:absolute;left:4710;top:1390;width:365;height:222;" filled="false" stroked="false" type="#_x0000_t202">
              <v:fill on="false"/>
              <v:stroke on="false"/>
              <v:path/>
              <v:imagedata o:title=""/>
              <o:lock v:ext="edit" aspectratio="false"/>
              <v:textbox inset="0mm,0mm,0mm,0mm">
                <w:txbxContent>
                  <w:p>
                    <w:pPr>
                      <w:ind w:right="2"/>
                      <w:spacing w:before="20" w:line="225" w:lineRule="auto"/>
                      <w:jc w:val="right"/>
                      <w:rPr>
                        <w:rFonts w:ascii="SimHei" w:hAnsi="SimHei" w:eastAsia="SimHei" w:cs="SimHei"/>
                        <w:sz w:val="18"/>
                        <w:szCs w:val="18"/>
                      </w:rPr>
                    </w:pPr>
                    <w:r>
                      <w:rPr>
                        <w:rFonts w:ascii="SimHei" w:hAnsi="SimHei" w:eastAsia="SimHei" w:cs="SimHei"/>
                        <w:sz w:val="18"/>
                        <w:szCs w:val="18"/>
                        <w:spacing w:val="-9"/>
                      </w:rPr>
                      <w:t>销毁</w:t>
                    </w:r>
                  </w:p>
                </w:txbxContent>
              </v:textbox>
            </v:shape>
            <v:shape id="_x0000_s686" style="position:absolute;left:1580;top:2436;width:367;height:220;" filled="false" stroked="false" type="#_x0000_t202">
              <v:fill on="false"/>
              <v:stroke on="false"/>
              <v:path/>
              <v:imagedata o:title=""/>
              <o:lock v:ext="edit" aspectratio="false"/>
              <v:textbox inset="0mm,0mm,0mm,0mm">
                <w:txbxContent>
                  <w:p>
                    <w:pPr>
                      <w:ind w:right="3"/>
                      <w:spacing w:before="19" w:line="219" w:lineRule="auto"/>
                      <w:jc w:val="right"/>
                      <w:rPr>
                        <w:rFonts w:ascii="SimSun" w:hAnsi="SimSun" w:eastAsia="SimSun" w:cs="SimSun"/>
                        <w:sz w:val="18"/>
                        <w:szCs w:val="18"/>
                      </w:rPr>
                    </w:pPr>
                    <w:r>
                      <w:rPr>
                        <w:rFonts w:ascii="SimSun" w:hAnsi="SimSun" w:eastAsia="SimSun" w:cs="SimSun"/>
                        <w:sz w:val="18"/>
                        <w:szCs w:val="18"/>
                        <w:spacing w:val="-9"/>
                      </w:rPr>
                      <w:t>传输</w:t>
                    </w:r>
                  </w:p>
                </w:txbxContent>
              </v:textbox>
            </v:shape>
            <v:shape id="_x0000_s688" style="position:absolute;left:1020;top:957;width:357;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20"/>
                        <w:w w:val="95"/>
                      </w:rPr>
                      <w:t>分</w:t>
                    </w:r>
                    <w:r>
                      <w:rPr>
                        <w:rFonts w:ascii="SimSun" w:hAnsi="SimSun" w:eastAsia="SimSun" w:cs="SimSun"/>
                        <w:sz w:val="18"/>
                        <w:szCs w:val="18"/>
                        <w:spacing w:val="-8"/>
                        <w:w w:val="95"/>
                      </w:rPr>
                      <w:t>析</w:t>
                    </w:r>
                  </w:p>
                </w:txbxContent>
              </v:textbox>
            </v:shape>
            <v:shape id="_x0000_s690" style="position:absolute;left:1020;top:1880;width:357;height:22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18"/>
                        <w:szCs w:val="18"/>
                      </w:rPr>
                    </w:pPr>
                    <w:r>
                      <w:rPr>
                        <w:rFonts w:ascii="SimSun" w:hAnsi="SimSun" w:eastAsia="SimSun" w:cs="SimSun"/>
                        <w:sz w:val="18"/>
                        <w:szCs w:val="18"/>
                        <w:spacing w:val="-20"/>
                        <w:w w:val="95"/>
                      </w:rPr>
                      <w:t>整</w:t>
                    </w:r>
                    <w:r>
                      <w:rPr>
                        <w:rFonts w:ascii="SimSun" w:hAnsi="SimSun" w:eastAsia="SimSun" w:cs="SimSun"/>
                        <w:sz w:val="18"/>
                        <w:szCs w:val="18"/>
                        <w:spacing w:val="-8"/>
                        <w:w w:val="95"/>
                      </w:rPr>
                      <w:t>合</w:t>
                    </w:r>
                  </w:p>
                </w:txbxContent>
              </v:textbox>
            </v:shape>
          </v:group>
        </w:pict>
      </w:r>
    </w:p>
    <w:p>
      <w:pPr>
        <w:ind w:left="2650"/>
        <w:spacing w:before="186" w:line="222" w:lineRule="auto"/>
        <w:rPr>
          <w:rFonts w:ascii="SimHei" w:hAnsi="SimHei" w:eastAsia="SimHei" w:cs="SimHei"/>
          <w:sz w:val="18"/>
          <w:szCs w:val="18"/>
        </w:rPr>
      </w:pPr>
      <w:r>
        <w:rPr>
          <w:rFonts w:ascii="SimHei" w:hAnsi="SimHei" w:eastAsia="SimHei" w:cs="SimHei"/>
          <w:sz w:val="18"/>
          <w:szCs w:val="18"/>
          <w:spacing w:val="4"/>
        </w:rPr>
        <w:t>图11-14</w:t>
      </w:r>
      <w:r>
        <w:rPr>
          <w:rFonts w:ascii="SimHei" w:hAnsi="SimHei" w:eastAsia="SimHei" w:cs="SimHei"/>
          <w:sz w:val="18"/>
          <w:szCs w:val="18"/>
          <w:spacing w:val="85"/>
        </w:rPr>
        <w:t xml:space="preserve"> </w:t>
      </w:r>
      <w:r>
        <w:rPr>
          <w:rFonts w:ascii="SimHei" w:hAnsi="SimHei" w:eastAsia="SimHei" w:cs="SimHei"/>
          <w:sz w:val="18"/>
          <w:szCs w:val="18"/>
          <w:spacing w:val="4"/>
        </w:rPr>
        <w:t>云端数据生命周期</w:t>
      </w:r>
    </w:p>
    <w:p>
      <w:pPr>
        <w:pStyle w:val="BodyText"/>
        <w:spacing w:line="345" w:lineRule="auto"/>
        <w:rPr/>
      </w:pPr>
      <w:r/>
    </w:p>
    <w:p>
      <w:pPr>
        <w:pStyle w:val="BodyText"/>
        <w:spacing w:line="346" w:lineRule="auto"/>
        <w:rPr/>
      </w:pPr>
      <w:r/>
    </w:p>
    <w:p>
      <w:pPr>
        <w:ind w:left="3500"/>
        <w:spacing w:before="58" w:line="186" w:lineRule="auto"/>
        <w:rPr>
          <w:rFonts w:ascii="SimSun" w:hAnsi="SimSun" w:eastAsia="SimSun" w:cs="SimSun"/>
          <w:sz w:val="18"/>
          <w:szCs w:val="18"/>
        </w:rPr>
      </w:pPr>
      <w:r>
        <w:drawing>
          <wp:anchor distT="0" distB="0" distL="0" distR="0" simplePos="0" relativeHeight="258739200" behindDoc="1" locked="0" layoutInCell="1" allowOverlap="1">
            <wp:simplePos x="0" y="0"/>
            <wp:positionH relativeFrom="column">
              <wp:posOffset>1289042</wp:posOffset>
            </wp:positionH>
            <wp:positionV relativeFrom="paragraph">
              <wp:posOffset>-379656</wp:posOffset>
            </wp:positionV>
            <wp:extent cx="2273313" cy="2216083"/>
            <wp:effectExtent l="0" t="0" r="0" b="0"/>
            <wp:wrapNone/>
            <wp:docPr id="358" name="IM 358"/>
            <wp:cNvGraphicFramePr/>
            <a:graphic>
              <a:graphicData uri="http://schemas.openxmlformats.org/drawingml/2006/picture">
                <pic:pic>
                  <pic:nvPicPr>
                    <pic:cNvPr id="358" name="IM 358"/>
                    <pic:cNvPicPr/>
                  </pic:nvPicPr>
                  <pic:blipFill>
                    <a:blip r:embed="rId525"/>
                    <a:stretch>
                      <a:fillRect/>
                    </a:stretch>
                  </pic:blipFill>
                  <pic:spPr>
                    <a:xfrm rot="0">
                      <a:off x="0" y="0"/>
                      <a:ext cx="2273313" cy="2216083"/>
                    </a:xfrm>
                    <a:prstGeom prst="rect">
                      <a:avLst/>
                    </a:prstGeom>
                  </pic:spPr>
                </pic:pic>
              </a:graphicData>
            </a:graphic>
          </wp:anchor>
        </w:drawing>
      </w:r>
      <w:r>
        <w:rPr>
          <w:rFonts w:ascii="SimSun" w:hAnsi="SimSun" w:eastAsia="SimSun" w:cs="SimSun"/>
          <w:sz w:val="18"/>
          <w:szCs w:val="18"/>
          <w:spacing w:val="-7"/>
        </w:rPr>
        <w:t>数据采集’</w:t>
      </w:r>
    </w:p>
    <w:p>
      <w:pPr>
        <w:ind w:left="3650"/>
        <w:spacing w:line="220" w:lineRule="auto"/>
        <w:rPr>
          <w:rFonts w:ascii="SimSun" w:hAnsi="SimSun" w:eastAsia="SimSun" w:cs="SimSun"/>
          <w:sz w:val="18"/>
          <w:szCs w:val="18"/>
        </w:rPr>
      </w:pPr>
      <w:r>
        <w:rPr>
          <w:rFonts w:ascii="SimSun" w:hAnsi="SimSun" w:eastAsia="SimSun" w:cs="SimSun"/>
          <w:sz w:val="18"/>
          <w:szCs w:val="18"/>
          <w:spacing w:val="-11"/>
        </w:rPr>
        <w:t>策略</w:t>
      </w:r>
    </w:p>
    <w:p>
      <w:pPr>
        <w:ind w:left="3500"/>
        <w:spacing w:before="213" w:line="198" w:lineRule="auto"/>
        <w:rPr>
          <w:rFonts w:ascii="SimSun" w:hAnsi="SimSun" w:eastAsia="SimSun" w:cs="SimSun"/>
          <w:sz w:val="18"/>
          <w:szCs w:val="18"/>
        </w:rPr>
      </w:pPr>
      <w:r>
        <w:rPr>
          <w:rFonts w:ascii="SimSun" w:hAnsi="SimSun" w:eastAsia="SimSun" w:cs="SimSun"/>
          <w:sz w:val="18"/>
          <w:szCs w:val="18"/>
          <w:spacing w:val="-12"/>
          <w:w w:val="95"/>
        </w:rPr>
        <w:t>数据采集</w:t>
      </w:r>
    </w:p>
    <w:p>
      <w:pPr>
        <w:ind w:left="3669"/>
        <w:spacing w:before="1" w:line="221" w:lineRule="auto"/>
        <w:rPr>
          <w:rFonts w:ascii="SimSun" w:hAnsi="SimSun" w:eastAsia="SimSun" w:cs="SimSun"/>
          <w:sz w:val="18"/>
          <w:szCs w:val="18"/>
        </w:rPr>
      </w:pPr>
      <w:r>
        <w:rPr>
          <w:rFonts w:ascii="SimSun" w:hAnsi="SimSun" w:eastAsia="SimSun" w:cs="SimSun"/>
          <w:sz w:val="18"/>
          <w:szCs w:val="18"/>
          <w:spacing w:val="-11"/>
        </w:rPr>
        <w:t>规范</w:t>
      </w:r>
    </w:p>
    <w:p>
      <w:pPr>
        <w:ind w:left="3360"/>
        <w:spacing w:before="231" w:line="219" w:lineRule="auto"/>
        <w:rPr>
          <w:rFonts w:ascii="SimSun" w:hAnsi="SimSun" w:eastAsia="SimSun" w:cs="SimSun"/>
          <w:sz w:val="18"/>
          <w:szCs w:val="18"/>
        </w:rPr>
      </w:pPr>
      <w:r>
        <w:rPr>
          <w:rFonts w:ascii="SimSun" w:hAnsi="SimSun" w:eastAsia="SimSun" w:cs="SimSun"/>
          <w:sz w:val="18"/>
          <w:szCs w:val="18"/>
          <w:spacing w:val="-17"/>
          <w:w w:val="97"/>
        </w:rPr>
        <w:t>数据采集范围</w:t>
      </w:r>
    </w:p>
    <w:p>
      <w:pPr>
        <w:ind w:left="2890"/>
        <w:spacing w:before="207" w:line="185" w:lineRule="auto"/>
        <w:rPr>
          <w:rFonts w:ascii="SimSun" w:hAnsi="SimSun" w:eastAsia="SimSun" w:cs="SimSun"/>
          <w:sz w:val="18"/>
          <w:szCs w:val="18"/>
        </w:rPr>
      </w:pPr>
      <w:r>
        <w:pict>
          <v:shape id="_x0000_s692" style="position:absolute;margin-left:205.999pt;margin-top:9.88295pt;mso-position-vertical-relative:text;mso-position-horizontal-relative:text;width:32.4pt;height:21.2pt;z-index:258740224;" filled="false" stroked="false" type="#_x0000_t202">
            <v:fill on="false"/>
            <v:stroke on="false"/>
            <v:path/>
            <v:imagedata o:title=""/>
            <o:lock v:ext="edit" aspectratio="false"/>
            <v:textbox inset="0mm,0mm,0mm,0mm">
              <w:txbxContent>
                <w:p>
                  <w:pPr>
                    <w:ind w:left="20" w:right="20"/>
                    <w:spacing w:before="19" w:line="197" w:lineRule="auto"/>
                    <w:rPr>
                      <w:rFonts w:ascii="SimSun" w:hAnsi="SimSun" w:eastAsia="SimSun" w:cs="SimSun"/>
                      <w:sz w:val="18"/>
                      <w:szCs w:val="18"/>
                    </w:rPr>
                  </w:pPr>
                  <w:r>
                    <w:rPr>
                      <w:rFonts w:ascii="SimSun" w:hAnsi="SimSun" w:eastAsia="SimSun" w:cs="SimSun"/>
                      <w:sz w:val="18"/>
                      <w:szCs w:val="18"/>
                      <w:spacing w:val="-12"/>
                      <w:w w:val="90"/>
                    </w:rPr>
                    <w:t>数据直接</w:t>
                  </w:r>
                  <w:r>
                    <w:rPr>
                      <w:rFonts w:ascii="SimSun" w:hAnsi="SimSun" w:eastAsia="SimSun" w:cs="SimSun"/>
                      <w:sz w:val="18"/>
                      <w:szCs w:val="18"/>
                      <w:spacing w:val="5"/>
                    </w:rPr>
                    <w:t xml:space="preserve"> </w:t>
                  </w:r>
                  <w:r>
                    <w:rPr>
                      <w:rFonts w:ascii="SimSun" w:hAnsi="SimSun" w:eastAsia="SimSun" w:cs="SimSun"/>
                      <w:sz w:val="18"/>
                      <w:szCs w:val="18"/>
                      <w:spacing w:val="-15"/>
                      <w:w w:val="92"/>
                    </w:rPr>
                    <w:t>云端产生</w:t>
                  </w:r>
                </w:p>
              </w:txbxContent>
            </v:textbox>
          </v:shape>
        </w:pict>
      </w:r>
      <w:r>
        <w:rPr>
          <w:rFonts w:ascii="SimSun" w:hAnsi="SimSun" w:eastAsia="SimSun" w:cs="SimSun"/>
          <w:sz w:val="18"/>
          <w:szCs w:val="18"/>
          <w:spacing w:val="-13"/>
          <w:w w:val="93"/>
        </w:rPr>
        <w:t>本地数据</w:t>
      </w:r>
    </w:p>
    <w:p>
      <w:pPr>
        <w:ind w:left="2879"/>
        <w:spacing w:line="219" w:lineRule="auto"/>
        <w:rPr>
          <w:rFonts w:ascii="SimSun" w:hAnsi="SimSun" w:eastAsia="SimSun" w:cs="SimSun"/>
          <w:sz w:val="18"/>
          <w:szCs w:val="18"/>
        </w:rPr>
      </w:pPr>
      <w:r>
        <w:rPr>
          <w:rFonts w:ascii="SimSun" w:hAnsi="SimSun" w:eastAsia="SimSun" w:cs="SimSun"/>
          <w:sz w:val="18"/>
          <w:szCs w:val="18"/>
          <w:spacing w:val="-15"/>
          <w:w w:val="95"/>
        </w:rPr>
        <w:t>云端迁移</w:t>
      </w:r>
    </w:p>
    <w:p>
      <w:pPr>
        <w:pStyle w:val="BodyText"/>
        <w:spacing w:line="346" w:lineRule="auto"/>
        <w:rPr/>
      </w:pPr>
      <w:r/>
    </w:p>
    <w:p>
      <w:pPr>
        <w:ind w:left="3439"/>
        <w:spacing w:before="59" w:line="220" w:lineRule="auto"/>
        <w:rPr>
          <w:rFonts w:ascii="SimSun" w:hAnsi="SimSun" w:eastAsia="SimSun" w:cs="SimSun"/>
          <w:sz w:val="18"/>
          <w:szCs w:val="18"/>
        </w:rPr>
      </w:pPr>
      <w:r>
        <w:rPr>
          <w:rFonts w:ascii="SimSun" w:hAnsi="SimSun" w:eastAsia="SimSun" w:cs="SimSun"/>
          <w:sz w:val="18"/>
          <w:szCs w:val="18"/>
          <w:spacing w:val="-17"/>
          <w:w w:val="97"/>
        </w:rPr>
        <w:t>安全与隐私</w:t>
      </w:r>
    </w:p>
    <w:p>
      <w:pPr>
        <w:pStyle w:val="BodyText"/>
        <w:spacing w:line="261" w:lineRule="auto"/>
        <w:rPr/>
      </w:pPr>
      <w:r/>
    </w:p>
    <w:p>
      <w:pPr>
        <w:ind w:left="2682"/>
        <w:spacing w:before="58" w:line="222" w:lineRule="auto"/>
        <w:rPr>
          <w:rFonts w:ascii="SimHei" w:hAnsi="SimHei" w:eastAsia="SimHei" w:cs="SimHei"/>
          <w:sz w:val="18"/>
          <w:szCs w:val="18"/>
        </w:rPr>
      </w:pPr>
      <w:r>
        <w:rPr>
          <w:rFonts w:ascii="SimHei" w:hAnsi="SimHei" w:eastAsia="SimHei" w:cs="SimHei"/>
          <w:sz w:val="18"/>
          <w:szCs w:val="18"/>
          <w:b/>
          <w:bCs/>
        </w:rPr>
        <w:t>图11-15</w:t>
      </w:r>
      <w:r>
        <w:rPr>
          <w:rFonts w:ascii="SimHei" w:hAnsi="SimHei" w:eastAsia="SimHei" w:cs="SimHei"/>
          <w:sz w:val="18"/>
          <w:szCs w:val="18"/>
          <w:spacing w:val="95"/>
        </w:rPr>
        <w:t xml:space="preserve"> </w:t>
      </w:r>
      <w:r>
        <w:rPr>
          <w:rFonts w:ascii="SimHei" w:hAnsi="SimHei" w:eastAsia="SimHei" w:cs="SimHei"/>
          <w:sz w:val="18"/>
          <w:szCs w:val="18"/>
          <w:b/>
          <w:bCs/>
        </w:rPr>
        <w:t>数据采集管理策略</w:t>
      </w:r>
    </w:p>
    <w:p>
      <w:pPr>
        <w:ind w:right="136" w:firstLine="440"/>
        <w:spacing w:before="260" w:line="273" w:lineRule="auto"/>
        <w:rPr>
          <w:rFonts w:ascii="SimSun" w:hAnsi="SimSun" w:eastAsia="SimSun" w:cs="SimSun"/>
          <w:sz w:val="18"/>
          <w:szCs w:val="18"/>
        </w:rPr>
      </w:pPr>
      <w:r>
        <w:rPr>
          <w:rFonts w:ascii="SimSun" w:hAnsi="SimSun" w:eastAsia="SimSun" w:cs="SimSun"/>
          <w:sz w:val="18"/>
          <w:szCs w:val="18"/>
          <w:spacing w:val="27"/>
        </w:rPr>
        <w:t>数据采集策略是指导数据采集活动的高级纲领，涵盖了对采集原则、采集要求、</w:t>
      </w:r>
      <w:r>
        <w:rPr>
          <w:rFonts w:ascii="SimSun" w:hAnsi="SimSun" w:eastAsia="SimSun" w:cs="SimSun"/>
          <w:sz w:val="18"/>
          <w:szCs w:val="18"/>
          <w:spacing w:val="14"/>
        </w:rPr>
        <w:t xml:space="preserve"> </w:t>
      </w:r>
      <w:r>
        <w:rPr>
          <w:rFonts w:ascii="SimSun" w:hAnsi="SimSun" w:eastAsia="SimSun" w:cs="SimSun"/>
          <w:sz w:val="18"/>
          <w:szCs w:val="18"/>
          <w:spacing w:val="19"/>
        </w:rPr>
        <w:t>采集目的、采集目标、采集权限等规定。例如采集原则，</w:t>
      </w:r>
      <w:r>
        <w:rPr>
          <w:rFonts w:ascii="SimSun" w:hAnsi="SimSun" w:eastAsia="SimSun" w:cs="SimSun"/>
          <w:sz w:val="18"/>
          <w:szCs w:val="18"/>
          <w:spacing w:val="92"/>
        </w:rPr>
        <w:t xml:space="preserve"> </w:t>
      </w:r>
      <w:r>
        <w:rPr>
          <w:rFonts w:ascii="SimSun" w:hAnsi="SimSun" w:eastAsia="SimSun" w:cs="SimSun"/>
          <w:sz w:val="18"/>
          <w:szCs w:val="18"/>
          <w:spacing w:val="19"/>
        </w:rPr>
        <w:t>一</w:t>
      </w:r>
      <w:r>
        <w:rPr>
          <w:rFonts w:ascii="SimSun" w:hAnsi="SimSun" w:eastAsia="SimSun" w:cs="SimSun"/>
          <w:sz w:val="18"/>
          <w:szCs w:val="18"/>
          <w:spacing w:val="-52"/>
        </w:rPr>
        <w:t xml:space="preserve"> </w:t>
      </w:r>
      <w:r>
        <w:rPr>
          <w:rFonts w:ascii="SimSun" w:hAnsi="SimSun" w:eastAsia="SimSun" w:cs="SimSun"/>
          <w:sz w:val="18"/>
          <w:szCs w:val="18"/>
          <w:spacing w:val="19"/>
        </w:rPr>
        <w:t>般有两个方向：</w:t>
      </w:r>
      <w:r>
        <w:rPr>
          <w:rFonts w:ascii="SimSun" w:hAnsi="SimSun" w:eastAsia="SimSun" w:cs="SimSun"/>
          <w:sz w:val="18"/>
          <w:szCs w:val="18"/>
          <w:spacing w:val="84"/>
        </w:rPr>
        <w:t xml:space="preserve"> </w:t>
      </w:r>
      <w:r>
        <w:rPr>
          <w:rFonts w:ascii="SimSun" w:hAnsi="SimSun" w:eastAsia="SimSun" w:cs="SimSun"/>
          <w:sz w:val="18"/>
          <w:szCs w:val="18"/>
          <w:spacing w:val="19"/>
        </w:rPr>
        <w:t>一</w:t>
      </w:r>
      <w:r>
        <w:rPr>
          <w:rFonts w:ascii="SimSun" w:hAnsi="SimSun" w:eastAsia="SimSun" w:cs="SimSun"/>
          <w:sz w:val="18"/>
          <w:szCs w:val="18"/>
          <w:spacing w:val="-48"/>
        </w:rPr>
        <w:t xml:space="preserve"> </w:t>
      </w:r>
      <w:r>
        <w:rPr>
          <w:rFonts w:ascii="SimSun" w:hAnsi="SimSun" w:eastAsia="SimSun" w:cs="SimSun"/>
          <w:sz w:val="18"/>
          <w:szCs w:val="18"/>
          <w:spacing w:val="19"/>
        </w:rPr>
        <w:t>是尽</w:t>
      </w:r>
      <w:r>
        <w:rPr>
          <w:rFonts w:ascii="SimSun" w:hAnsi="SimSun" w:eastAsia="SimSun" w:cs="SimSun"/>
          <w:sz w:val="18"/>
          <w:szCs w:val="18"/>
        </w:rPr>
        <w:t xml:space="preserve">  </w:t>
      </w:r>
      <w:r>
        <w:rPr>
          <w:rFonts w:ascii="SimSun" w:hAnsi="SimSun" w:eastAsia="SimSun" w:cs="SimSun"/>
          <w:sz w:val="22"/>
          <w:szCs w:val="22"/>
          <w:spacing w:val="-8"/>
        </w:rPr>
        <w:t>可能多地采集数据，通过处理发现有价值数据；二</w:t>
      </w:r>
      <w:r>
        <w:rPr>
          <w:rFonts w:ascii="SimSun" w:hAnsi="SimSun" w:eastAsia="SimSun" w:cs="SimSun"/>
          <w:sz w:val="22"/>
          <w:szCs w:val="22"/>
          <w:spacing w:val="-9"/>
        </w:rPr>
        <w:t>是依据业务需求进行目的性较强 </w:t>
      </w:r>
      <w:r>
        <w:rPr>
          <w:rFonts w:ascii="SimSun" w:hAnsi="SimSun" w:eastAsia="SimSun" w:cs="SimSun"/>
          <w:sz w:val="22"/>
          <w:szCs w:val="22"/>
          <w:spacing w:val="-10"/>
        </w:rPr>
        <w:t>的采集。前者认为只要与组织相关的数据，都尽可能地采集到云端数据管理平台，</w:t>
      </w:r>
      <w:r>
        <w:rPr>
          <w:rFonts w:ascii="SimSun" w:hAnsi="SimSun" w:eastAsia="SimSun" w:cs="SimSun"/>
          <w:sz w:val="22"/>
          <w:szCs w:val="22"/>
          <w:spacing w:val="4"/>
        </w:rPr>
        <w:t xml:space="preserve">  </w:t>
      </w:r>
      <w:r>
        <w:rPr>
          <w:rFonts w:ascii="SimSun" w:hAnsi="SimSun" w:eastAsia="SimSun" w:cs="SimSun"/>
          <w:sz w:val="18"/>
          <w:szCs w:val="18"/>
          <w:spacing w:val="30"/>
        </w:rPr>
        <w:t>该原则的主要优点是无论如何总能发现对组织有价值的</w:t>
      </w:r>
      <w:r>
        <w:rPr>
          <w:rFonts w:ascii="SimSun" w:hAnsi="SimSun" w:eastAsia="SimSun" w:cs="SimSun"/>
          <w:sz w:val="18"/>
          <w:szCs w:val="18"/>
          <w:spacing w:val="29"/>
        </w:rPr>
        <w:t>数据，但会消耗过多成本，</w:t>
      </w:r>
    </w:p>
    <w:p>
      <w:pPr>
        <w:ind w:right="187"/>
        <w:spacing w:before="58" w:line="260" w:lineRule="auto"/>
        <w:rPr>
          <w:rFonts w:ascii="SimSun" w:hAnsi="SimSun" w:eastAsia="SimSun" w:cs="SimSun"/>
          <w:sz w:val="18"/>
          <w:szCs w:val="18"/>
        </w:rPr>
      </w:pPr>
      <w:r>
        <w:rPr>
          <w:rFonts w:ascii="SimSun" w:hAnsi="SimSun" w:eastAsia="SimSun" w:cs="SimSun"/>
          <w:sz w:val="22"/>
          <w:szCs w:val="22"/>
          <w:spacing w:val="-8"/>
        </w:rPr>
        <w:t>同时对数据处理能力提出了很高的要求。后者以需求为导</w:t>
      </w:r>
      <w:r>
        <w:rPr>
          <w:rFonts w:ascii="SimSun" w:hAnsi="SimSun" w:eastAsia="SimSun" w:cs="SimSun"/>
          <w:sz w:val="22"/>
          <w:szCs w:val="22"/>
          <w:spacing w:val="-9"/>
        </w:rPr>
        <w:t>向，只有当业务发出数据</w:t>
      </w:r>
      <w:r>
        <w:rPr>
          <w:rFonts w:ascii="SimSun" w:hAnsi="SimSun" w:eastAsia="SimSun" w:cs="SimSun"/>
          <w:sz w:val="22"/>
          <w:szCs w:val="22"/>
        </w:rPr>
        <w:t xml:space="preserve"> </w:t>
      </w:r>
      <w:r>
        <w:rPr>
          <w:rFonts w:ascii="SimSun" w:hAnsi="SimSun" w:eastAsia="SimSun" w:cs="SimSun"/>
          <w:sz w:val="22"/>
          <w:szCs w:val="22"/>
          <w:spacing w:val="-8"/>
        </w:rPr>
        <w:t>需求时，才会有针对性地对数据进行采集，能够很</w:t>
      </w:r>
      <w:r>
        <w:rPr>
          <w:rFonts w:ascii="SimSun" w:hAnsi="SimSun" w:eastAsia="SimSun" w:cs="SimSun"/>
          <w:sz w:val="22"/>
          <w:szCs w:val="22"/>
          <w:spacing w:val="-9"/>
        </w:rPr>
        <w:t>大程度上节约成本。由于云端数</w:t>
      </w:r>
      <w:r>
        <w:rPr>
          <w:rFonts w:ascii="SimSun" w:hAnsi="SimSun" w:eastAsia="SimSun" w:cs="SimSun"/>
          <w:sz w:val="22"/>
          <w:szCs w:val="22"/>
        </w:rPr>
        <w:t xml:space="preserve"> </w:t>
      </w:r>
      <w:r>
        <w:rPr>
          <w:rFonts w:ascii="SimSun" w:hAnsi="SimSun" w:eastAsia="SimSun" w:cs="SimSun"/>
          <w:sz w:val="22"/>
          <w:szCs w:val="22"/>
          <w:spacing w:val="-8"/>
        </w:rPr>
        <w:t>据采集的便利化，数据无时不刻不在包围着组织，因此组织应当更为积极地采用数</w:t>
      </w:r>
      <w:r>
        <w:rPr>
          <w:rFonts w:ascii="SimSun" w:hAnsi="SimSun" w:eastAsia="SimSun" w:cs="SimSun"/>
          <w:sz w:val="22"/>
          <w:szCs w:val="22"/>
          <w:spacing w:val="16"/>
        </w:rPr>
        <w:t xml:space="preserve"> </w:t>
      </w:r>
      <w:r>
        <w:rPr>
          <w:rFonts w:ascii="SimSun" w:hAnsi="SimSun" w:eastAsia="SimSun" w:cs="SimSun"/>
          <w:sz w:val="18"/>
          <w:szCs w:val="18"/>
          <w:spacing w:val="25"/>
        </w:rPr>
        <w:t>据采集策略，更多地收集数据。</w:t>
      </w:r>
    </w:p>
    <w:p>
      <w:pPr>
        <w:ind w:right="137" w:firstLine="459"/>
        <w:spacing w:before="128" w:line="273" w:lineRule="auto"/>
        <w:rPr>
          <w:rFonts w:ascii="SimSun" w:hAnsi="SimSun" w:eastAsia="SimSun" w:cs="SimSun"/>
          <w:sz w:val="18"/>
          <w:szCs w:val="18"/>
        </w:rPr>
      </w:pPr>
      <w:r>
        <w:rPr>
          <w:rFonts w:ascii="SimSun" w:hAnsi="SimSun" w:eastAsia="SimSun" w:cs="SimSun"/>
          <w:sz w:val="18"/>
          <w:szCs w:val="18"/>
          <w:spacing w:val="31"/>
        </w:rPr>
        <w:t>为确保数据采集活动有序地进行，保障不同数据采集源之间的互操作，组织需</w:t>
      </w:r>
      <w:r>
        <w:rPr>
          <w:rFonts w:ascii="SimSun" w:hAnsi="SimSun" w:eastAsia="SimSun" w:cs="SimSun"/>
          <w:sz w:val="18"/>
          <w:szCs w:val="18"/>
          <w:spacing w:val="16"/>
        </w:rPr>
        <w:t xml:space="preserve"> </w:t>
      </w:r>
      <w:r>
        <w:rPr>
          <w:rFonts w:ascii="SimSun" w:hAnsi="SimSun" w:eastAsia="SimSun" w:cs="SimSun"/>
          <w:sz w:val="18"/>
          <w:szCs w:val="18"/>
          <w:spacing w:val="28"/>
        </w:rPr>
        <w:t>要根据数据采集策略制订相应的数据采集规范，包括数据采集方式、数据采集工具、</w:t>
      </w:r>
    </w:p>
    <w:p>
      <w:pPr>
        <w:spacing w:line="273" w:lineRule="auto"/>
        <w:sectPr>
          <w:footerReference w:type="default" r:id="rId523"/>
          <w:pgSz w:w="8870" w:h="13400"/>
          <w:pgMar w:top="400" w:right="572" w:bottom="575" w:left="459" w:header="0" w:footer="356" w:gutter="0"/>
        </w:sectPr>
        <w:rPr>
          <w:rFonts w:ascii="SimSun" w:hAnsi="SimSun" w:eastAsia="SimSun" w:cs="SimSun"/>
          <w:sz w:val="18"/>
          <w:szCs w:val="18"/>
        </w:rPr>
      </w:pPr>
    </w:p>
    <w:p>
      <w:pPr>
        <w:ind w:left="242"/>
        <w:spacing w:before="246" w:line="219" w:lineRule="auto"/>
        <w:rPr>
          <w:rFonts w:ascii="SimSun" w:hAnsi="SimSun" w:eastAsia="SimSun" w:cs="SimSun"/>
          <w:sz w:val="23"/>
          <w:szCs w:val="23"/>
        </w:rPr>
      </w:pPr>
      <w:r>
        <w:pict>
          <v:rect id="_x0000_s694" style="position:absolute;margin-left:27.5014pt;margin-top:28.9976pt;mso-position-vertical-relative:page;mso-position-horizontal-relative:page;width:0.5pt;height:17.55pt;z-index:258762752;" o:allowincell="f" fillcolor="#000000" filled="true" stroked="false"/>
        </w:pict>
      </w:r>
      <w:bookmarkStart w:name="bookmark104" w:id="99"/>
      <w:bookmarkEnd w:id="99"/>
      <w:bookmarkStart w:name="bookmark105" w:id="100"/>
      <w:bookmarkEnd w:id="100"/>
      <w:r>
        <w:rPr>
          <w:rFonts w:ascii="SimSun" w:hAnsi="SimSun" w:eastAsia="SimSun" w:cs="SimSun"/>
          <w:sz w:val="23"/>
          <w:szCs w:val="23"/>
          <w:b/>
          <w:bCs/>
          <w:spacing w:val="-26"/>
        </w:rPr>
        <w:t>■云端数据治理</w:t>
      </w:r>
    </w:p>
    <w:p>
      <w:pPr>
        <w:ind w:left="240"/>
        <w:spacing w:before="308" w:line="219" w:lineRule="auto"/>
        <w:rPr>
          <w:rFonts w:ascii="SimSun" w:hAnsi="SimSun" w:eastAsia="SimSun" w:cs="SimSun"/>
          <w:sz w:val="21"/>
          <w:szCs w:val="21"/>
        </w:rPr>
      </w:pPr>
      <w:r>
        <w:rPr>
          <w:rFonts w:ascii="SimSun" w:hAnsi="SimSun" w:eastAsia="SimSun" w:cs="SimSun"/>
          <w:sz w:val="21"/>
          <w:szCs w:val="21"/>
          <w:spacing w:val="-3"/>
        </w:rPr>
        <w:t>数据采集内容、数据采集依据标准等。</w:t>
      </w:r>
    </w:p>
    <w:p>
      <w:pPr>
        <w:ind w:left="240" w:firstLine="449"/>
        <w:spacing w:before="71" w:line="250" w:lineRule="auto"/>
        <w:rPr>
          <w:rFonts w:ascii="SimSun" w:hAnsi="SimSun" w:eastAsia="SimSun" w:cs="SimSun"/>
          <w:sz w:val="21"/>
          <w:szCs w:val="21"/>
        </w:rPr>
      </w:pPr>
      <w:r>
        <w:rPr>
          <w:rFonts w:ascii="SimSun" w:hAnsi="SimSun" w:eastAsia="SimSun" w:cs="SimSun"/>
          <w:sz w:val="21"/>
          <w:szCs w:val="21"/>
          <w:spacing w:val="2"/>
        </w:rPr>
        <w:t>组织为满足业务需求，会广泛地采集数据，对于云端而言，数据可能来自两部 </w:t>
      </w:r>
      <w:r>
        <w:rPr>
          <w:rFonts w:ascii="SimSun" w:hAnsi="SimSun" w:eastAsia="SimSun" w:cs="SimSun"/>
          <w:sz w:val="21"/>
          <w:szCs w:val="21"/>
          <w:spacing w:val="-3"/>
        </w:rPr>
        <w:t>分：</w:t>
      </w:r>
      <w:r>
        <w:rPr>
          <w:rFonts w:ascii="SimSun" w:hAnsi="SimSun" w:eastAsia="SimSun" w:cs="SimSun"/>
          <w:sz w:val="21"/>
          <w:szCs w:val="21"/>
          <w:spacing w:val="-17"/>
        </w:rPr>
        <w:t xml:space="preserve"> </w:t>
      </w:r>
      <w:r>
        <w:rPr>
          <w:rFonts w:ascii="SimSun" w:hAnsi="SimSun" w:eastAsia="SimSun" w:cs="SimSun"/>
          <w:sz w:val="21"/>
          <w:szCs w:val="21"/>
          <w:spacing w:val="-3"/>
        </w:rPr>
        <w:t>一是本地化采集的数据迁移到云端的，二是组织直接在云端采集到的数据。</w:t>
      </w:r>
    </w:p>
    <w:p>
      <w:pPr>
        <w:ind w:left="240" w:right="36" w:firstLine="449"/>
        <w:spacing w:before="61" w:line="264" w:lineRule="auto"/>
        <w:rPr>
          <w:rFonts w:ascii="SimSun" w:hAnsi="SimSun" w:eastAsia="SimSun" w:cs="SimSun"/>
          <w:sz w:val="21"/>
          <w:szCs w:val="21"/>
        </w:rPr>
      </w:pPr>
      <w:r>
        <w:rPr>
          <w:rFonts w:ascii="SimSun" w:hAnsi="SimSun" w:eastAsia="SimSun" w:cs="SimSun"/>
          <w:sz w:val="21"/>
          <w:szCs w:val="21"/>
          <w:spacing w:val="1"/>
        </w:rPr>
        <w:t>数据采集过程是与客户信息关联最紧密的活动，涉及客户与用户</w:t>
      </w:r>
      <w:r>
        <w:rPr>
          <w:rFonts w:ascii="SimSun" w:hAnsi="SimSun" w:eastAsia="SimSun" w:cs="SimSun"/>
          <w:sz w:val="21"/>
          <w:szCs w:val="21"/>
        </w:rPr>
        <w:t>的隐私。传统 </w:t>
      </w:r>
      <w:r>
        <w:rPr>
          <w:rFonts w:ascii="SimSun" w:hAnsi="SimSun" w:eastAsia="SimSun" w:cs="SimSun"/>
          <w:sz w:val="21"/>
          <w:szCs w:val="21"/>
          <w:spacing w:val="2"/>
        </w:rPr>
        <w:t>数据采集活动中泄露的用户隐私多是用户比较直观的信息，例如</w:t>
      </w:r>
      <w:r>
        <w:rPr>
          <w:rFonts w:ascii="SimSun" w:hAnsi="SimSun" w:eastAsia="SimSun" w:cs="SimSun"/>
          <w:sz w:val="21"/>
          <w:szCs w:val="21"/>
          <w:spacing w:val="1"/>
        </w:rPr>
        <w:t>采集到的用户的身</w:t>
      </w:r>
      <w:r>
        <w:rPr>
          <w:rFonts w:ascii="SimSun" w:hAnsi="SimSun" w:eastAsia="SimSun" w:cs="SimSun"/>
          <w:sz w:val="21"/>
          <w:szCs w:val="21"/>
        </w:rPr>
        <w:t xml:space="preserve"> </w:t>
      </w:r>
      <w:r>
        <w:rPr>
          <w:rFonts w:ascii="SimSun" w:hAnsi="SimSun" w:eastAsia="SimSun" w:cs="SimSun"/>
          <w:sz w:val="21"/>
          <w:szCs w:val="21"/>
          <w:spacing w:val="-3"/>
        </w:rPr>
        <w:t>份信息、财务信息等，</w:t>
      </w:r>
      <w:r>
        <w:rPr>
          <w:rFonts w:ascii="SimSun" w:hAnsi="SimSun" w:eastAsia="SimSun" w:cs="SimSun"/>
          <w:sz w:val="21"/>
          <w:szCs w:val="21"/>
          <w:spacing w:val="61"/>
        </w:rPr>
        <w:t xml:space="preserve"> </w:t>
      </w:r>
      <w:r>
        <w:rPr>
          <w:rFonts w:ascii="SimSun" w:hAnsi="SimSun" w:eastAsia="SimSun" w:cs="SimSun"/>
          <w:sz w:val="21"/>
          <w:szCs w:val="21"/>
          <w:spacing w:val="-3"/>
        </w:rPr>
        <w:t>一般不需要进一步处理即可清楚地获知信息。然而由于大数</w:t>
      </w:r>
      <w:r>
        <w:rPr>
          <w:rFonts w:ascii="SimSun" w:hAnsi="SimSun" w:eastAsia="SimSun" w:cs="SimSun"/>
          <w:sz w:val="21"/>
          <w:szCs w:val="21"/>
        </w:rPr>
        <w:t xml:space="preserve"> </w:t>
      </w:r>
      <w:r>
        <w:rPr>
          <w:rFonts w:ascii="SimSun" w:hAnsi="SimSun" w:eastAsia="SimSun" w:cs="SimSun"/>
          <w:sz w:val="21"/>
          <w:szCs w:val="21"/>
          <w:spacing w:val="2"/>
        </w:rPr>
        <w:t>据的出现，数据关联分析效力体现更明显，原本采</w:t>
      </w:r>
      <w:r>
        <w:rPr>
          <w:rFonts w:ascii="SimSun" w:hAnsi="SimSun" w:eastAsia="SimSun" w:cs="SimSun"/>
          <w:sz w:val="21"/>
          <w:szCs w:val="21"/>
          <w:spacing w:val="1"/>
        </w:rPr>
        <w:t>集的没有直接涉及用户信息的数</w:t>
      </w:r>
      <w:r>
        <w:rPr>
          <w:rFonts w:ascii="SimSun" w:hAnsi="SimSun" w:eastAsia="SimSun" w:cs="SimSun"/>
          <w:sz w:val="21"/>
          <w:szCs w:val="21"/>
        </w:rPr>
        <w:t xml:space="preserve"> </w:t>
      </w:r>
      <w:r>
        <w:rPr>
          <w:rFonts w:ascii="SimSun" w:hAnsi="SimSun" w:eastAsia="SimSun" w:cs="SimSun"/>
          <w:sz w:val="21"/>
          <w:szCs w:val="21"/>
          <w:spacing w:val="2"/>
        </w:rPr>
        <w:t>据，可能会因为它们之间的关联推理出用户隐私，</w:t>
      </w:r>
      <w:r>
        <w:rPr>
          <w:rFonts w:ascii="SimSun" w:hAnsi="SimSun" w:eastAsia="SimSun" w:cs="SimSun"/>
          <w:sz w:val="21"/>
          <w:szCs w:val="21"/>
          <w:spacing w:val="1"/>
        </w:rPr>
        <w:t>因此云端数据采集必须更加注重</w:t>
      </w:r>
      <w:r>
        <w:rPr>
          <w:rFonts w:ascii="SimSun" w:hAnsi="SimSun" w:eastAsia="SimSun" w:cs="SimSun"/>
          <w:sz w:val="21"/>
          <w:szCs w:val="21"/>
        </w:rPr>
        <w:t xml:space="preserve"> </w:t>
      </w:r>
      <w:r>
        <w:rPr>
          <w:rFonts w:ascii="SimSun" w:hAnsi="SimSun" w:eastAsia="SimSun" w:cs="SimSun"/>
          <w:sz w:val="21"/>
          <w:szCs w:val="21"/>
          <w:spacing w:val="-5"/>
        </w:rPr>
        <w:t>用户隐私的保护。</w:t>
      </w:r>
    </w:p>
    <w:p>
      <w:pPr>
        <w:ind w:left="689"/>
        <w:spacing w:before="38" w:line="227" w:lineRule="auto"/>
        <w:rPr>
          <w:rFonts w:ascii="KaiTi" w:hAnsi="KaiTi" w:eastAsia="KaiTi" w:cs="KaiTi"/>
          <w:sz w:val="23"/>
          <w:szCs w:val="23"/>
        </w:rPr>
      </w:pPr>
      <w:r>
        <w:rPr>
          <w:rFonts w:ascii="KaiTi" w:hAnsi="KaiTi" w:eastAsia="KaiTi" w:cs="KaiTi"/>
          <w:sz w:val="23"/>
          <w:szCs w:val="23"/>
          <w:spacing w:val="10"/>
        </w:rPr>
        <w:t>2)存储</w:t>
      </w:r>
    </w:p>
    <w:p>
      <w:pPr>
        <w:ind w:left="240" w:right="3" w:firstLine="449"/>
        <w:spacing w:before="58" w:line="262" w:lineRule="auto"/>
        <w:rPr>
          <w:rFonts w:ascii="SimSun" w:hAnsi="SimSun" w:eastAsia="SimSun" w:cs="SimSun"/>
          <w:sz w:val="21"/>
          <w:szCs w:val="21"/>
        </w:rPr>
      </w:pPr>
      <w:r>
        <w:rPr>
          <w:rFonts w:ascii="SimSun" w:hAnsi="SimSun" w:eastAsia="SimSun" w:cs="SimSun"/>
          <w:sz w:val="21"/>
          <w:szCs w:val="21"/>
          <w:spacing w:val="2"/>
        </w:rPr>
        <w:t>随着云计算和云存储概念和技术的不断成熟，组织数据中心正经历着从传统数</w:t>
      </w:r>
      <w:r>
        <w:rPr>
          <w:rFonts w:ascii="SimSun" w:hAnsi="SimSun" w:eastAsia="SimSun" w:cs="SimSun"/>
          <w:sz w:val="21"/>
          <w:szCs w:val="21"/>
        </w:rPr>
        <w:t xml:space="preserve"> </w:t>
      </w:r>
      <w:r>
        <w:rPr>
          <w:rFonts w:ascii="SimSun" w:hAnsi="SimSun" w:eastAsia="SimSun" w:cs="SimSun"/>
          <w:sz w:val="21"/>
          <w:szCs w:val="21"/>
        </w:rPr>
        <w:t>据中心向云数据中心转变的新的变革，小型组织通过将数据中心向云存储端转移， </w:t>
      </w:r>
      <w:r>
        <w:rPr>
          <w:rFonts w:ascii="SimSun" w:hAnsi="SimSun" w:eastAsia="SimSun" w:cs="SimSun"/>
          <w:sz w:val="21"/>
          <w:szCs w:val="21"/>
          <w:spacing w:val="2"/>
        </w:rPr>
        <w:t>可以很好地控制数据中心成本，而大型组织使用</w:t>
      </w:r>
      <w:r>
        <w:rPr>
          <w:rFonts w:ascii="SimSun" w:hAnsi="SimSun" w:eastAsia="SimSun" w:cs="SimSun"/>
          <w:sz w:val="21"/>
          <w:szCs w:val="21"/>
          <w:spacing w:val="1"/>
        </w:rPr>
        <w:t>云端进行数据存储能够更好地满足</w:t>
      </w:r>
      <w:r>
        <w:rPr>
          <w:rFonts w:ascii="SimSun" w:hAnsi="SimSun" w:eastAsia="SimSun" w:cs="SimSun"/>
          <w:sz w:val="21"/>
          <w:szCs w:val="21"/>
        </w:rPr>
        <w:t xml:space="preserve"> </w:t>
      </w:r>
      <w:r>
        <w:rPr>
          <w:rFonts w:ascii="SimSun" w:hAnsi="SimSun" w:eastAsia="SimSun" w:cs="SimSun"/>
          <w:sz w:val="21"/>
          <w:szCs w:val="21"/>
          <w:spacing w:val="2"/>
        </w:rPr>
        <w:t>跨区域业务需求和合规要求。云端数据存储管理需要注重安全、成本</w:t>
      </w:r>
      <w:r>
        <w:rPr>
          <w:rFonts w:ascii="SimSun" w:hAnsi="SimSun" w:eastAsia="SimSun" w:cs="SimSun"/>
          <w:sz w:val="21"/>
          <w:szCs w:val="21"/>
          <w:spacing w:val="1"/>
        </w:rPr>
        <w:t>和可靠三项原</w:t>
      </w:r>
      <w:r>
        <w:rPr>
          <w:rFonts w:ascii="SimSun" w:hAnsi="SimSun" w:eastAsia="SimSun" w:cs="SimSun"/>
          <w:sz w:val="21"/>
          <w:szCs w:val="21"/>
        </w:rPr>
        <w:t xml:space="preserve"> </w:t>
      </w:r>
      <w:r>
        <w:rPr>
          <w:rFonts w:ascii="SimSun" w:hAnsi="SimSun" w:eastAsia="SimSun" w:cs="SimSun"/>
          <w:sz w:val="21"/>
          <w:szCs w:val="21"/>
          <w:spacing w:val="1"/>
        </w:rPr>
        <w:t>则，如图11-16所示。</w:t>
      </w:r>
    </w:p>
    <w:p>
      <w:pPr>
        <w:pStyle w:val="BodyText"/>
        <w:ind w:firstLine="3120"/>
        <w:spacing w:before="120" w:line="2100" w:lineRule="exact"/>
        <w:rPr/>
      </w:pPr>
      <w:r>
        <w:rPr>
          <w:position w:val="-42"/>
        </w:rPr>
        <w:pict>
          <v:group id="_x0000_s696" style="mso-position-vertical-relative:line;mso-position-horizontal-relative:char;width:101pt;height:105.05pt;" filled="false" stroked="false" coordsize="2020,2101" coordorigin="0,0">
            <v:shape id="_x0000_s698" style="position:absolute;left:0;top:0;width:2020;height:2101;" filled="false" stroked="false" type="#_x0000_t75">
              <v:imagedata o:title="" r:id="rId527"/>
            </v:shape>
            <v:shape id="_x0000_s700" style="position:absolute;left:-20;top:-20;width:2060;height:2141;" filled="false" stroked="false" type="#_x0000_t202">
              <v:fill on="false"/>
              <v:stroke on="false"/>
              <v:path/>
              <v:imagedata o:title=""/>
              <o:lock v:ext="edit" aspectratio="false"/>
              <v:textbox inset="0mm,0mm,0mm,0mm">
                <w:txbxContent>
                  <w:p>
                    <w:pPr>
                      <w:ind w:left="859"/>
                      <w:spacing w:before="279" w:line="221" w:lineRule="auto"/>
                      <w:rPr>
                        <w:rFonts w:ascii="SimSun" w:hAnsi="SimSun" w:eastAsia="SimSun" w:cs="SimSun"/>
                        <w:sz w:val="21"/>
                        <w:szCs w:val="21"/>
                      </w:rPr>
                    </w:pPr>
                    <w:r>
                      <w:rPr>
                        <w:rFonts w:ascii="SimSun" w:hAnsi="SimSun" w:eastAsia="SimSun" w:cs="SimSun"/>
                        <w:sz w:val="21"/>
                        <w:szCs w:val="21"/>
                        <w:spacing w:val="-19"/>
                        <w:w w:val="96"/>
                      </w:rPr>
                      <w:t>安全</w:t>
                    </w:r>
                  </w:p>
                  <w:p>
                    <w:pPr>
                      <w:spacing w:line="466" w:lineRule="auto"/>
                      <w:rPr>
                        <w:rFonts w:ascii="Arial"/>
                        <w:sz w:val="21"/>
                      </w:rPr>
                    </w:pPr>
                    <w:r/>
                  </w:p>
                  <w:p>
                    <w:pPr>
                      <w:ind w:left="699"/>
                      <w:spacing w:before="68" w:line="193" w:lineRule="auto"/>
                      <w:rPr>
                        <w:rFonts w:ascii="SimSun" w:hAnsi="SimSun" w:eastAsia="SimSun" w:cs="SimSun"/>
                        <w:sz w:val="21"/>
                        <w:szCs w:val="21"/>
                      </w:rPr>
                    </w:pPr>
                    <w:r>
                      <w:rPr>
                        <w:rFonts w:ascii="SimSun" w:hAnsi="SimSun" w:eastAsia="SimSun" w:cs="SimSun"/>
                        <w:sz w:val="21"/>
                        <w:szCs w:val="21"/>
                        <w:spacing w:val="-16"/>
                        <w:w w:val="87"/>
                      </w:rPr>
                      <w:t>云端数据</w:t>
                    </w:r>
                  </w:p>
                  <w:p>
                    <w:pPr>
                      <w:ind w:left="839"/>
                      <w:spacing w:line="193" w:lineRule="auto"/>
                      <w:rPr>
                        <w:rFonts w:ascii="SimSun" w:hAnsi="SimSun" w:eastAsia="SimSun" w:cs="SimSun"/>
                        <w:sz w:val="21"/>
                        <w:szCs w:val="21"/>
                      </w:rPr>
                    </w:pPr>
                    <w:r>
                      <w:rPr>
                        <w:rFonts w:ascii="SimSun" w:hAnsi="SimSun" w:eastAsia="SimSun" w:cs="SimSun"/>
                        <w:sz w:val="21"/>
                        <w:szCs w:val="21"/>
                        <w:spacing w:val="-13"/>
                        <w:w w:val="92"/>
                      </w:rPr>
                      <w:t>存储</w:t>
                    </w:r>
                  </w:p>
                  <w:p>
                    <w:pPr>
                      <w:ind w:left="219"/>
                      <w:spacing w:before="112" w:line="225" w:lineRule="auto"/>
                      <w:rPr>
                        <w:rFonts w:ascii="SimSun" w:hAnsi="SimSun" w:eastAsia="SimSun" w:cs="SimSun"/>
                        <w:sz w:val="21"/>
                        <w:szCs w:val="21"/>
                      </w:rPr>
                    </w:pPr>
                    <w:r>
                      <w:rPr>
                        <w:rFonts w:ascii="SimSun" w:hAnsi="SimSun" w:eastAsia="SimSun" w:cs="SimSun"/>
                        <w:sz w:val="21"/>
                        <w:szCs w:val="21"/>
                        <w:spacing w:val="-16"/>
                        <w:w w:val="92"/>
                      </w:rPr>
                      <w:t>成本</w:t>
                    </w:r>
                    <w:r>
                      <w:rPr>
                        <w:rFonts w:ascii="SimSun" w:hAnsi="SimSun" w:eastAsia="SimSun" w:cs="SimSun"/>
                        <w:sz w:val="21"/>
                        <w:szCs w:val="21"/>
                        <w:spacing w:val="11"/>
                      </w:rPr>
                      <w:t xml:space="preserve">        </w:t>
                    </w:r>
                    <w:r>
                      <w:rPr>
                        <w:rFonts w:ascii="SimSun" w:hAnsi="SimSun" w:eastAsia="SimSun" w:cs="SimSun"/>
                        <w:sz w:val="21"/>
                        <w:szCs w:val="21"/>
                        <w:spacing w:val="-16"/>
                        <w:w w:val="92"/>
                      </w:rPr>
                      <w:t>可靠</w:t>
                    </w:r>
                  </w:p>
                </w:txbxContent>
              </v:textbox>
            </v:shape>
          </v:group>
        </w:pict>
      </w:r>
    </w:p>
    <w:p>
      <w:pPr>
        <w:ind w:left="2902"/>
        <w:spacing w:before="154" w:line="221" w:lineRule="auto"/>
        <w:rPr>
          <w:rFonts w:ascii="SimHei" w:hAnsi="SimHei" w:eastAsia="SimHei" w:cs="SimHei"/>
          <w:sz w:val="21"/>
          <w:szCs w:val="21"/>
        </w:rPr>
      </w:pPr>
      <w:r>
        <w:rPr>
          <w:rFonts w:ascii="SimHei" w:hAnsi="SimHei" w:eastAsia="SimHei" w:cs="SimHei"/>
          <w:sz w:val="21"/>
          <w:szCs w:val="21"/>
          <w:b/>
          <w:bCs/>
          <w:spacing w:val="-21"/>
        </w:rPr>
        <w:t>图11-16</w:t>
      </w:r>
      <w:r>
        <w:rPr>
          <w:rFonts w:ascii="SimHei" w:hAnsi="SimHei" w:eastAsia="SimHei" w:cs="SimHei"/>
          <w:sz w:val="21"/>
          <w:szCs w:val="21"/>
          <w:spacing w:val="59"/>
        </w:rPr>
        <w:t xml:space="preserve"> </w:t>
      </w:r>
      <w:r>
        <w:rPr>
          <w:rFonts w:ascii="SimHei" w:hAnsi="SimHei" w:eastAsia="SimHei" w:cs="SimHei"/>
          <w:sz w:val="21"/>
          <w:szCs w:val="21"/>
          <w:b/>
          <w:bCs/>
          <w:spacing w:val="-21"/>
        </w:rPr>
        <w:t>云端数据存储三原则</w:t>
      </w:r>
    </w:p>
    <w:p>
      <w:pPr>
        <w:ind w:left="689"/>
        <w:spacing w:before="234" w:line="220" w:lineRule="auto"/>
        <w:rPr>
          <w:rFonts w:ascii="SimSun" w:hAnsi="SimSun" w:eastAsia="SimSun" w:cs="SimSun"/>
          <w:sz w:val="21"/>
          <w:szCs w:val="21"/>
        </w:rPr>
      </w:pPr>
      <w:r>
        <w:rPr>
          <w:rFonts w:ascii="SimSun" w:hAnsi="SimSun" w:eastAsia="SimSun" w:cs="SimSun"/>
          <w:sz w:val="21"/>
          <w:szCs w:val="21"/>
          <w:spacing w:val="14"/>
        </w:rPr>
        <w:t>(1)安全原则</w:t>
      </w:r>
    </w:p>
    <w:p>
      <w:pPr>
        <w:ind w:left="240" w:firstLine="449"/>
        <w:spacing w:before="58" w:line="266" w:lineRule="auto"/>
        <w:rPr>
          <w:rFonts w:ascii="SimSun" w:hAnsi="SimSun" w:eastAsia="SimSun" w:cs="SimSun"/>
          <w:sz w:val="21"/>
          <w:szCs w:val="21"/>
        </w:rPr>
      </w:pPr>
      <w:r>
        <w:rPr>
          <w:rFonts w:ascii="SimSun" w:hAnsi="SimSun" w:eastAsia="SimSun" w:cs="SimSun"/>
          <w:sz w:val="21"/>
          <w:szCs w:val="21"/>
          <w:spacing w:val="2"/>
        </w:rPr>
        <w:t>云计算架构更加开放，多租户和泛在访问等特点使云计算应用更加方便，但也</w:t>
      </w:r>
      <w:r>
        <w:rPr>
          <w:rFonts w:ascii="SimSun" w:hAnsi="SimSun" w:eastAsia="SimSun" w:cs="SimSun"/>
          <w:sz w:val="21"/>
          <w:szCs w:val="21"/>
          <w:spacing w:val="3"/>
        </w:rPr>
        <w:t xml:space="preserve"> </w:t>
      </w:r>
      <w:r>
        <w:rPr>
          <w:rFonts w:ascii="SimSun" w:hAnsi="SimSun" w:eastAsia="SimSun" w:cs="SimSun"/>
          <w:sz w:val="21"/>
          <w:szCs w:val="21"/>
          <w:spacing w:val="2"/>
        </w:rPr>
        <w:t>给云计算安全带来了新的威胁点。那么存储在云端的数据</w:t>
      </w:r>
      <w:r>
        <w:rPr>
          <w:rFonts w:ascii="SimSun" w:hAnsi="SimSun" w:eastAsia="SimSun" w:cs="SimSun"/>
          <w:sz w:val="21"/>
          <w:szCs w:val="21"/>
          <w:spacing w:val="1"/>
        </w:rPr>
        <w:t>安全就成了利用云计算时</w:t>
      </w:r>
      <w:r>
        <w:rPr>
          <w:rFonts w:ascii="SimSun" w:hAnsi="SimSun" w:eastAsia="SimSun" w:cs="SimSun"/>
          <w:sz w:val="21"/>
          <w:szCs w:val="21"/>
        </w:rPr>
        <w:t xml:space="preserve"> </w:t>
      </w:r>
      <w:r>
        <w:rPr>
          <w:rFonts w:ascii="SimSun" w:hAnsi="SimSun" w:eastAsia="SimSun" w:cs="SimSun"/>
          <w:sz w:val="21"/>
          <w:szCs w:val="21"/>
          <w:spacing w:val="2"/>
        </w:rPr>
        <w:t>需要重点关注的内容。数据是组织的一项重要资</w:t>
      </w:r>
      <w:r>
        <w:rPr>
          <w:rFonts w:ascii="SimSun" w:hAnsi="SimSun" w:eastAsia="SimSun" w:cs="SimSun"/>
          <w:sz w:val="21"/>
          <w:szCs w:val="21"/>
          <w:spacing w:val="1"/>
        </w:rPr>
        <w:t>产，在将数据迁往云端时，组织应</w:t>
      </w:r>
      <w:r>
        <w:rPr>
          <w:rFonts w:ascii="SimSun" w:hAnsi="SimSun" w:eastAsia="SimSun" w:cs="SimSun"/>
          <w:sz w:val="21"/>
          <w:szCs w:val="21"/>
        </w:rPr>
        <w:t xml:space="preserve"> </w:t>
      </w:r>
      <w:r>
        <w:rPr>
          <w:rFonts w:ascii="SimSun" w:hAnsi="SimSun" w:eastAsia="SimSun" w:cs="SimSun"/>
          <w:sz w:val="21"/>
          <w:szCs w:val="21"/>
          <w:spacing w:val="1"/>
        </w:rPr>
        <w:t>当选择安全性高的云服务提供商，例如通过专业安全认证的服务商。除此之外，组</w:t>
      </w:r>
      <w:r>
        <w:rPr>
          <w:rFonts w:ascii="SimSun" w:hAnsi="SimSun" w:eastAsia="SimSun" w:cs="SimSun"/>
          <w:sz w:val="21"/>
          <w:szCs w:val="21"/>
        </w:rPr>
        <w:t xml:space="preserve"> </w:t>
      </w:r>
      <w:r>
        <w:rPr>
          <w:rFonts w:ascii="SimSun" w:hAnsi="SimSun" w:eastAsia="SimSun" w:cs="SimSun"/>
          <w:sz w:val="21"/>
          <w:szCs w:val="21"/>
          <w:spacing w:val="2"/>
        </w:rPr>
        <w:t>织要在安全平台上做好自身数据的安全管理，例如</w:t>
      </w:r>
      <w:r>
        <w:rPr>
          <w:rFonts w:ascii="SimSun" w:hAnsi="SimSun" w:eastAsia="SimSun" w:cs="SimSun"/>
          <w:sz w:val="21"/>
          <w:szCs w:val="21"/>
          <w:spacing w:val="1"/>
        </w:rPr>
        <w:t>访问控制、法规要求等。云端数</w:t>
      </w:r>
      <w:r>
        <w:rPr>
          <w:rFonts w:ascii="SimSun" w:hAnsi="SimSun" w:eastAsia="SimSun" w:cs="SimSun"/>
          <w:sz w:val="21"/>
          <w:szCs w:val="21"/>
        </w:rPr>
        <w:t xml:space="preserve"> </w:t>
      </w:r>
      <w:r>
        <w:rPr>
          <w:rFonts w:ascii="SimSun" w:hAnsi="SimSun" w:eastAsia="SimSun" w:cs="SimSun"/>
          <w:sz w:val="21"/>
          <w:szCs w:val="21"/>
          <w:spacing w:val="2"/>
        </w:rPr>
        <w:t>据的管理权和所有权是分离的，比如公有云服务</w:t>
      </w:r>
      <w:r>
        <w:rPr>
          <w:rFonts w:ascii="SimSun" w:hAnsi="SimSun" w:eastAsia="SimSun" w:cs="SimSun"/>
          <w:sz w:val="21"/>
          <w:szCs w:val="21"/>
          <w:spacing w:val="1"/>
        </w:rPr>
        <w:t>方面，是否给供应商提供一些高权</w:t>
      </w:r>
      <w:r>
        <w:rPr>
          <w:rFonts w:ascii="SimSun" w:hAnsi="SimSun" w:eastAsia="SimSun" w:cs="SimSun"/>
          <w:sz w:val="21"/>
          <w:szCs w:val="21"/>
        </w:rPr>
        <w:t xml:space="preserve"> </w:t>
      </w:r>
      <w:r>
        <w:rPr>
          <w:rFonts w:ascii="SimSun" w:hAnsi="SimSun" w:eastAsia="SimSun" w:cs="SimSun"/>
          <w:sz w:val="21"/>
          <w:szCs w:val="21"/>
          <w:spacing w:val="1"/>
        </w:rPr>
        <w:t>限的管理。在法律风险方面主要是地域性的问题，云计算应用引发了地域性弱、信</w:t>
      </w:r>
      <w:r>
        <w:rPr>
          <w:rFonts w:ascii="SimSun" w:hAnsi="SimSun" w:eastAsia="SimSun" w:cs="SimSun"/>
          <w:sz w:val="21"/>
          <w:szCs w:val="21"/>
          <w:spacing w:val="8"/>
        </w:rPr>
        <w:t xml:space="preserve"> </w:t>
      </w:r>
      <w:r>
        <w:rPr>
          <w:rFonts w:ascii="SimSun" w:hAnsi="SimSun" w:eastAsia="SimSun" w:cs="SimSun"/>
          <w:sz w:val="21"/>
          <w:szCs w:val="21"/>
          <w:spacing w:val="-1"/>
        </w:rPr>
        <w:t>息流动性大的特点，在信息安全监管、隐私保护等方面可能存在法律风险。</w:t>
      </w:r>
    </w:p>
    <w:p>
      <w:pPr>
        <w:ind w:left="689"/>
        <w:spacing w:before="79" w:line="219" w:lineRule="auto"/>
        <w:rPr>
          <w:rFonts w:ascii="SimSun" w:hAnsi="SimSun" w:eastAsia="SimSun" w:cs="SimSun"/>
          <w:sz w:val="21"/>
          <w:szCs w:val="21"/>
        </w:rPr>
      </w:pPr>
      <w:r>
        <w:rPr>
          <w:rFonts w:ascii="SimSun" w:hAnsi="SimSun" w:eastAsia="SimSun" w:cs="SimSun"/>
          <w:sz w:val="21"/>
          <w:szCs w:val="21"/>
          <w:spacing w:val="13"/>
        </w:rPr>
        <w:t>(2)成本可控</w:t>
      </w:r>
    </w:p>
    <w:p>
      <w:pPr>
        <w:ind w:left="240" w:right="27" w:firstLine="449"/>
        <w:spacing w:before="82" w:line="241" w:lineRule="auto"/>
        <w:rPr>
          <w:rFonts w:ascii="SimSun" w:hAnsi="SimSun" w:eastAsia="SimSun" w:cs="SimSun"/>
          <w:sz w:val="21"/>
          <w:szCs w:val="21"/>
        </w:rPr>
      </w:pPr>
      <w:r>
        <w:rPr>
          <w:rFonts w:ascii="SimSun" w:hAnsi="SimSun" w:eastAsia="SimSun" w:cs="SimSun"/>
          <w:sz w:val="21"/>
          <w:szCs w:val="21"/>
          <w:spacing w:val="1"/>
        </w:rPr>
        <w:t>随着数据体量的增加，尤其是依赖数据进行服务的组织，因数据存储需要支出</w:t>
      </w:r>
      <w:r>
        <w:rPr>
          <w:rFonts w:ascii="SimSun" w:hAnsi="SimSun" w:eastAsia="SimSun" w:cs="SimSun"/>
          <w:sz w:val="21"/>
          <w:szCs w:val="21"/>
          <w:spacing w:val="10"/>
        </w:rPr>
        <w:t xml:space="preserve"> </w:t>
      </w:r>
      <w:r>
        <w:rPr>
          <w:rFonts w:ascii="SimSun" w:hAnsi="SimSun" w:eastAsia="SimSun" w:cs="SimSun"/>
          <w:sz w:val="21"/>
          <w:szCs w:val="21"/>
          <w:spacing w:val="2"/>
        </w:rPr>
        <w:t>的成本在集聚增加，通过自建数据中心解决所有问</w:t>
      </w:r>
      <w:r>
        <w:rPr>
          <w:rFonts w:ascii="SimSun" w:hAnsi="SimSun" w:eastAsia="SimSun" w:cs="SimSun"/>
          <w:sz w:val="21"/>
          <w:szCs w:val="21"/>
          <w:spacing w:val="1"/>
        </w:rPr>
        <w:t>题已不现实，云端存储是降低成</w:t>
      </w:r>
    </w:p>
    <w:p>
      <w:pPr>
        <w:spacing w:line="241" w:lineRule="auto"/>
        <w:sectPr>
          <w:footerReference w:type="default" r:id="rId526"/>
          <w:pgSz w:w="8870" w:h="13400"/>
          <w:pgMar w:top="400" w:right="537" w:bottom="477" w:left="430" w:header="0" w:footer="269" w:gutter="0"/>
        </w:sectPr>
        <w:rPr>
          <w:rFonts w:ascii="SimSun" w:hAnsi="SimSun" w:eastAsia="SimSun" w:cs="SimSun"/>
          <w:sz w:val="21"/>
          <w:szCs w:val="21"/>
        </w:rPr>
      </w:pPr>
    </w:p>
    <w:p>
      <w:pPr>
        <w:ind w:left="4562"/>
        <w:spacing w:before="23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72" w:lineRule="auto"/>
        <w:rPr/>
      </w:pPr>
      <w:r/>
    </w:p>
    <w:p>
      <w:pPr>
        <w:ind w:right="225"/>
        <w:spacing w:before="68" w:line="264" w:lineRule="auto"/>
        <w:jc w:val="both"/>
        <w:rPr>
          <w:rFonts w:ascii="SimSun" w:hAnsi="SimSun" w:eastAsia="SimSun" w:cs="SimSun"/>
          <w:sz w:val="21"/>
          <w:szCs w:val="21"/>
        </w:rPr>
      </w:pPr>
      <w:r>
        <w:rPr>
          <w:rFonts w:ascii="SimSun" w:hAnsi="SimSun" w:eastAsia="SimSun" w:cs="SimSun"/>
          <w:sz w:val="21"/>
          <w:szCs w:val="21"/>
          <w:spacing w:val="1"/>
        </w:rPr>
        <w:t>本的一个重要途径。成本与服务等级是对应的，在组织选择高质量服务时必须支付</w:t>
      </w:r>
      <w:r>
        <w:rPr>
          <w:rFonts w:ascii="SimSun" w:hAnsi="SimSun" w:eastAsia="SimSun" w:cs="SimSun"/>
          <w:sz w:val="21"/>
          <w:szCs w:val="21"/>
          <w:spacing w:val="11"/>
        </w:rPr>
        <w:t xml:space="preserve"> </w:t>
      </w:r>
      <w:r>
        <w:rPr>
          <w:rFonts w:ascii="SimSun" w:hAnsi="SimSun" w:eastAsia="SimSun" w:cs="SimSun"/>
          <w:sz w:val="21"/>
          <w:szCs w:val="21"/>
          <w:spacing w:val="2"/>
        </w:rPr>
        <w:t>更多的成本，而为了降低成本选择服务质量没那么好的产品时则可能要面临安全和</w:t>
      </w:r>
      <w:r>
        <w:rPr>
          <w:rFonts w:ascii="SimSun" w:hAnsi="SimSun" w:eastAsia="SimSun" w:cs="SimSun"/>
          <w:sz w:val="21"/>
          <w:szCs w:val="21"/>
          <w:spacing w:val="4"/>
        </w:rPr>
        <w:t xml:space="preserve"> </w:t>
      </w:r>
      <w:r>
        <w:rPr>
          <w:rFonts w:ascii="SimSun" w:hAnsi="SimSun" w:eastAsia="SimSun" w:cs="SimSun"/>
          <w:sz w:val="21"/>
          <w:szCs w:val="21"/>
          <w:spacing w:val="1"/>
        </w:rPr>
        <w:t>性能上的折扣，因此组织需要根据业务需求制订对应的数据云端存储方案。降低成</w:t>
      </w:r>
      <w:r>
        <w:rPr>
          <w:rFonts w:ascii="SimSun" w:hAnsi="SimSun" w:eastAsia="SimSun" w:cs="SimSun"/>
          <w:sz w:val="21"/>
          <w:szCs w:val="21"/>
          <w:spacing w:val="13"/>
        </w:rPr>
        <w:t xml:space="preserve"> </w:t>
      </w:r>
      <w:r>
        <w:rPr>
          <w:rFonts w:ascii="SimSun" w:hAnsi="SimSun" w:eastAsia="SimSun" w:cs="SimSun"/>
          <w:sz w:val="21"/>
          <w:szCs w:val="21"/>
          <w:spacing w:val="2"/>
        </w:rPr>
        <w:t>本的一个重要途径是根据数据的活跃周期，为数据存储选择对应的服务级别，对于</w:t>
      </w:r>
      <w:r>
        <w:rPr>
          <w:rFonts w:ascii="SimSun" w:hAnsi="SimSun" w:eastAsia="SimSun" w:cs="SimSun"/>
          <w:sz w:val="21"/>
          <w:szCs w:val="21"/>
        </w:rPr>
        <w:t xml:space="preserve"> </w:t>
      </w:r>
      <w:r>
        <w:rPr>
          <w:rFonts w:ascii="SimSun" w:hAnsi="SimSun" w:eastAsia="SimSun" w:cs="SimSun"/>
          <w:sz w:val="21"/>
          <w:szCs w:val="21"/>
          <w:spacing w:val="2"/>
        </w:rPr>
        <w:t>活跃数据选择高质量的存储服务，对于处在生命周期后端的冷数据选择成本较低的</w:t>
      </w:r>
      <w:r>
        <w:rPr>
          <w:rFonts w:ascii="SimSun" w:hAnsi="SimSun" w:eastAsia="SimSun" w:cs="SimSun"/>
          <w:sz w:val="21"/>
          <w:szCs w:val="21"/>
          <w:spacing w:val="3"/>
        </w:rPr>
        <w:t xml:space="preserve"> </w:t>
      </w:r>
      <w:r>
        <w:rPr>
          <w:rFonts w:ascii="SimSun" w:hAnsi="SimSun" w:eastAsia="SimSun" w:cs="SimSun"/>
          <w:sz w:val="21"/>
          <w:szCs w:val="21"/>
          <w:spacing w:val="-7"/>
        </w:rPr>
        <w:t>存储方案。</w:t>
      </w:r>
    </w:p>
    <w:p>
      <w:pPr>
        <w:ind w:left="449"/>
        <w:spacing w:before="71" w:line="221" w:lineRule="auto"/>
        <w:rPr>
          <w:rFonts w:ascii="SimSun" w:hAnsi="SimSun" w:eastAsia="SimSun" w:cs="SimSun"/>
          <w:sz w:val="21"/>
          <w:szCs w:val="21"/>
        </w:rPr>
      </w:pPr>
      <w:r>
        <w:rPr>
          <w:rFonts w:ascii="SimSun" w:hAnsi="SimSun" w:eastAsia="SimSun" w:cs="SimSun"/>
          <w:sz w:val="21"/>
          <w:szCs w:val="21"/>
          <w:spacing w:val="13"/>
        </w:rPr>
        <w:t>(3)性能可靠</w:t>
      </w:r>
    </w:p>
    <w:p>
      <w:pPr>
        <w:ind w:right="214" w:firstLine="449"/>
        <w:spacing w:before="45" w:line="255" w:lineRule="auto"/>
        <w:rPr>
          <w:rFonts w:ascii="SimSun" w:hAnsi="SimSun" w:eastAsia="SimSun" w:cs="SimSun"/>
          <w:sz w:val="21"/>
          <w:szCs w:val="21"/>
        </w:rPr>
      </w:pPr>
      <w:r>
        <w:rPr>
          <w:rFonts w:ascii="SimSun" w:hAnsi="SimSun" w:eastAsia="SimSun" w:cs="SimSun"/>
          <w:sz w:val="21"/>
          <w:szCs w:val="21"/>
          <w:spacing w:val="-1"/>
        </w:rPr>
        <w:t>数据云端存储，可能会让组织面临几个困扰：数据</w:t>
      </w:r>
      <w:r>
        <w:rPr>
          <w:rFonts w:ascii="SimSun" w:hAnsi="SimSun" w:eastAsia="SimSun" w:cs="SimSun"/>
          <w:sz w:val="21"/>
          <w:szCs w:val="21"/>
          <w:spacing w:val="-2"/>
        </w:rPr>
        <w:t>完整性如何保障、数据上传/</w:t>
      </w:r>
      <w:r>
        <w:rPr>
          <w:rFonts w:ascii="SimSun" w:hAnsi="SimSun" w:eastAsia="SimSun" w:cs="SimSun"/>
          <w:sz w:val="21"/>
          <w:szCs w:val="21"/>
        </w:rPr>
        <w:t xml:space="preserve"> </w:t>
      </w:r>
      <w:r>
        <w:rPr>
          <w:rFonts w:ascii="SimSun" w:hAnsi="SimSun" w:eastAsia="SimSun" w:cs="SimSun"/>
          <w:sz w:val="21"/>
          <w:szCs w:val="21"/>
          <w:spacing w:val="1"/>
        </w:rPr>
        <w:t>下载能否满足需求、云服务器宕机时组织业务如何对数据进行调取等，因此云端数</w:t>
      </w:r>
      <w:r>
        <w:rPr>
          <w:rFonts w:ascii="SimSun" w:hAnsi="SimSun" w:eastAsia="SimSun" w:cs="SimSun"/>
          <w:sz w:val="21"/>
          <w:szCs w:val="21"/>
          <w:spacing w:val="11"/>
        </w:rPr>
        <w:t xml:space="preserve"> </w:t>
      </w:r>
      <w:r>
        <w:rPr>
          <w:rFonts w:ascii="SimSun" w:hAnsi="SimSun" w:eastAsia="SimSun" w:cs="SimSun"/>
          <w:sz w:val="21"/>
          <w:szCs w:val="21"/>
          <w:spacing w:val="-2"/>
        </w:rPr>
        <w:t>据存储的可靠性是部署云数据中心时组织要重点考虑的原则。</w:t>
      </w:r>
    </w:p>
    <w:p>
      <w:pPr>
        <w:ind w:right="213" w:firstLine="449"/>
        <w:spacing w:before="71" w:line="250" w:lineRule="auto"/>
        <w:rPr>
          <w:rFonts w:ascii="SimSun" w:hAnsi="SimSun" w:eastAsia="SimSun" w:cs="SimSun"/>
          <w:sz w:val="21"/>
          <w:szCs w:val="21"/>
        </w:rPr>
      </w:pPr>
      <w:r>
        <w:rPr>
          <w:rFonts w:ascii="SimSun" w:hAnsi="SimSun" w:eastAsia="SimSun" w:cs="SimSun"/>
          <w:sz w:val="21"/>
          <w:szCs w:val="21"/>
          <w:spacing w:val="2"/>
        </w:rPr>
        <w:t>为保证云端数据的可靠性，云平台需要采取冗余方式防</w:t>
      </w:r>
      <w:r>
        <w:rPr>
          <w:rFonts w:ascii="SimSun" w:hAnsi="SimSun" w:eastAsia="SimSun" w:cs="SimSun"/>
          <w:sz w:val="21"/>
          <w:szCs w:val="21"/>
          <w:spacing w:val="1"/>
        </w:rPr>
        <w:t>止数据丢失，并根据数</w:t>
      </w:r>
      <w:r>
        <w:rPr>
          <w:rFonts w:ascii="SimSun" w:hAnsi="SimSun" w:eastAsia="SimSun" w:cs="SimSun"/>
          <w:sz w:val="21"/>
          <w:szCs w:val="21"/>
        </w:rPr>
        <w:t xml:space="preserve"> </w:t>
      </w:r>
      <w:r>
        <w:rPr>
          <w:rFonts w:ascii="SimSun" w:hAnsi="SimSun" w:eastAsia="SimSun" w:cs="SimSun"/>
          <w:sz w:val="21"/>
          <w:szCs w:val="21"/>
          <w:spacing w:val="-1"/>
        </w:rPr>
        <w:t>据等级，采取不同的备份方式，例如可参照国际标准</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SHARE78</w:t>
      </w:r>
      <w:r>
        <w:rPr>
          <w:rFonts w:ascii="SimSun" w:hAnsi="SimSun" w:eastAsia="SimSun" w:cs="SimSun"/>
          <w:sz w:val="21"/>
          <w:szCs w:val="21"/>
          <w:spacing w:val="-1"/>
        </w:rPr>
        <w:t>。</w:t>
      </w:r>
    </w:p>
    <w:p>
      <w:pPr>
        <w:ind w:left="449"/>
        <w:spacing w:before="66" w:line="230" w:lineRule="auto"/>
        <w:rPr>
          <w:rFonts w:ascii="KaiTi" w:hAnsi="KaiTi" w:eastAsia="KaiTi" w:cs="KaiTi"/>
          <w:sz w:val="21"/>
          <w:szCs w:val="21"/>
        </w:rPr>
      </w:pPr>
      <w:r>
        <w:rPr>
          <w:rFonts w:ascii="KaiTi" w:hAnsi="KaiTi" w:eastAsia="KaiTi" w:cs="KaiTi"/>
          <w:sz w:val="21"/>
          <w:szCs w:val="21"/>
          <w:spacing w:val="17"/>
        </w:rPr>
        <w:t>3)传输</w:t>
      </w:r>
    </w:p>
    <w:p>
      <w:pPr>
        <w:ind w:right="177" w:firstLine="449"/>
        <w:spacing w:before="32" w:line="262" w:lineRule="auto"/>
        <w:rPr>
          <w:rFonts w:ascii="SimSun" w:hAnsi="SimSun" w:eastAsia="SimSun" w:cs="SimSun"/>
          <w:sz w:val="21"/>
          <w:szCs w:val="21"/>
        </w:rPr>
      </w:pPr>
      <w:r>
        <w:rPr>
          <w:rFonts w:ascii="SimSun" w:hAnsi="SimSun" w:eastAsia="SimSun" w:cs="SimSun"/>
          <w:sz w:val="21"/>
          <w:szCs w:val="21"/>
          <w:spacing w:val="2"/>
        </w:rPr>
        <w:t>传输是数据生命周期过程中必不可少的过程。从传输的范围来分，可以分为处</w:t>
      </w:r>
      <w:r>
        <w:rPr>
          <w:rFonts w:ascii="SimSun" w:hAnsi="SimSun" w:eastAsia="SimSun" w:cs="SimSun"/>
          <w:sz w:val="21"/>
          <w:szCs w:val="21"/>
          <w:spacing w:val="10"/>
        </w:rPr>
        <w:t xml:space="preserve"> </w:t>
      </w:r>
      <w:r>
        <w:rPr>
          <w:rFonts w:ascii="SimSun" w:hAnsi="SimSun" w:eastAsia="SimSun" w:cs="SimSun"/>
          <w:sz w:val="21"/>
          <w:szCs w:val="21"/>
          <w:spacing w:val="-2"/>
        </w:rPr>
        <w:t>理系统内部传输和跨系统传输，其中跨系统传输可能包</w:t>
      </w:r>
      <w:r>
        <w:rPr>
          <w:rFonts w:ascii="SimSun" w:hAnsi="SimSun" w:eastAsia="SimSun" w:cs="SimSun"/>
          <w:sz w:val="21"/>
          <w:szCs w:val="21"/>
          <w:spacing w:val="-3"/>
        </w:rPr>
        <w:t>括跨组织内部部门之间传输、</w:t>
      </w:r>
      <w:r>
        <w:rPr>
          <w:rFonts w:ascii="SimSun" w:hAnsi="SimSun" w:eastAsia="SimSun" w:cs="SimSun"/>
          <w:sz w:val="21"/>
          <w:szCs w:val="21"/>
        </w:rPr>
        <w:t xml:space="preserve"> </w:t>
      </w:r>
      <w:r>
        <w:rPr>
          <w:rFonts w:ascii="SimSun" w:hAnsi="SimSun" w:eastAsia="SimSun" w:cs="SimSun"/>
          <w:sz w:val="21"/>
          <w:szCs w:val="21"/>
          <w:spacing w:val="1"/>
        </w:rPr>
        <w:t>跨组织间传输、跨地域传输等。对于大型组织，数据跨组织传输也可能是跨地域传 </w:t>
      </w:r>
      <w:r>
        <w:rPr>
          <w:rFonts w:ascii="SimSun" w:hAnsi="SimSun" w:eastAsia="SimSun" w:cs="SimSun"/>
          <w:sz w:val="21"/>
          <w:szCs w:val="21"/>
          <w:spacing w:val="1"/>
        </w:rPr>
        <w:t>输。数据传输涉及传输信道、传输方式、传输设备、传输协议、传输性能等要求， </w:t>
      </w:r>
      <w:r>
        <w:rPr>
          <w:rFonts w:ascii="SimSun" w:hAnsi="SimSun" w:eastAsia="SimSun" w:cs="SimSun"/>
          <w:sz w:val="21"/>
          <w:szCs w:val="21"/>
          <w:spacing w:val="-1"/>
        </w:rPr>
        <w:t>不同场景下，组织进行数据传输需要采取相应的策略。</w:t>
      </w:r>
    </w:p>
    <w:p>
      <w:pPr>
        <w:ind w:left="449"/>
        <w:spacing w:before="73" w:line="228" w:lineRule="auto"/>
        <w:rPr>
          <w:rFonts w:ascii="KaiTi" w:hAnsi="KaiTi" w:eastAsia="KaiTi" w:cs="KaiTi"/>
          <w:sz w:val="21"/>
          <w:szCs w:val="21"/>
        </w:rPr>
      </w:pPr>
      <w:r>
        <w:rPr>
          <w:rFonts w:ascii="KaiTi" w:hAnsi="KaiTi" w:eastAsia="KaiTi" w:cs="KaiTi"/>
          <w:sz w:val="21"/>
          <w:szCs w:val="21"/>
          <w:spacing w:val="25"/>
        </w:rPr>
        <w:t>4)使用</w:t>
      </w:r>
    </w:p>
    <w:p>
      <w:pPr>
        <w:ind w:right="207" w:firstLine="449"/>
        <w:spacing w:before="48" w:line="262" w:lineRule="auto"/>
        <w:rPr>
          <w:rFonts w:ascii="SimSun" w:hAnsi="SimSun" w:eastAsia="SimSun" w:cs="SimSun"/>
          <w:sz w:val="21"/>
          <w:szCs w:val="21"/>
        </w:rPr>
      </w:pPr>
      <w:r>
        <w:rPr>
          <w:rFonts w:ascii="SimSun" w:hAnsi="SimSun" w:eastAsia="SimSun" w:cs="SimSun"/>
          <w:sz w:val="21"/>
          <w:szCs w:val="21"/>
          <w:spacing w:val="-4"/>
        </w:rPr>
        <w:t>数据使用应当遵循“合法”、“合理”原则，所谓合法是指数据的</w:t>
      </w:r>
      <w:r>
        <w:rPr>
          <w:rFonts w:ascii="SimSun" w:hAnsi="SimSun" w:eastAsia="SimSun" w:cs="SimSun"/>
          <w:sz w:val="21"/>
          <w:szCs w:val="21"/>
          <w:spacing w:val="-5"/>
        </w:rPr>
        <w:t>使用必须遵守</w:t>
      </w:r>
      <w:r>
        <w:rPr>
          <w:rFonts w:ascii="SimSun" w:hAnsi="SimSun" w:eastAsia="SimSun" w:cs="SimSun"/>
          <w:sz w:val="21"/>
          <w:szCs w:val="21"/>
        </w:rPr>
        <w:t xml:space="preserve"> </w:t>
      </w:r>
      <w:r>
        <w:rPr>
          <w:rFonts w:ascii="SimSun" w:hAnsi="SimSun" w:eastAsia="SimSun" w:cs="SimSun"/>
          <w:sz w:val="21"/>
          <w:szCs w:val="21"/>
          <w:spacing w:val="1"/>
        </w:rPr>
        <w:t>外部的法律法规制度以及组织内部制订的有关数据使用规则，如数据使用审批、数</w:t>
      </w:r>
      <w:r>
        <w:rPr>
          <w:rFonts w:ascii="SimSun" w:hAnsi="SimSun" w:eastAsia="SimSun" w:cs="SimSun"/>
          <w:sz w:val="21"/>
          <w:szCs w:val="21"/>
          <w:spacing w:val="12"/>
        </w:rPr>
        <w:t xml:space="preserve"> </w:t>
      </w:r>
      <w:r>
        <w:rPr>
          <w:rFonts w:ascii="SimSun" w:hAnsi="SimSun" w:eastAsia="SimSun" w:cs="SimSun"/>
          <w:sz w:val="21"/>
          <w:szCs w:val="21"/>
          <w:spacing w:val="2"/>
        </w:rPr>
        <w:t>据使用过程有记录、数据使用完毕后处理等。所谓合理是指数据使用要</w:t>
      </w:r>
      <w:r>
        <w:rPr>
          <w:rFonts w:ascii="SimSun" w:hAnsi="SimSun" w:eastAsia="SimSun" w:cs="SimSun"/>
          <w:sz w:val="21"/>
          <w:szCs w:val="21"/>
          <w:spacing w:val="1"/>
        </w:rPr>
        <w:t>根据需要进</w:t>
      </w:r>
      <w:r>
        <w:rPr>
          <w:rFonts w:ascii="SimSun" w:hAnsi="SimSun" w:eastAsia="SimSun" w:cs="SimSun"/>
          <w:sz w:val="21"/>
          <w:szCs w:val="21"/>
        </w:rPr>
        <w:t xml:space="preserve"> </w:t>
      </w:r>
      <w:r>
        <w:rPr>
          <w:rFonts w:ascii="SimSun" w:hAnsi="SimSun" w:eastAsia="SimSun" w:cs="SimSun"/>
          <w:sz w:val="21"/>
          <w:szCs w:val="21"/>
          <w:spacing w:val="1"/>
        </w:rPr>
        <w:t>行，不能浪费数据价值，也不能过分使用数据，尤其是当数据涉及敏感信息时，应</w:t>
      </w:r>
      <w:r>
        <w:rPr>
          <w:rFonts w:ascii="SimSun" w:hAnsi="SimSun" w:eastAsia="SimSun" w:cs="SimSun"/>
          <w:sz w:val="21"/>
          <w:szCs w:val="21"/>
          <w:spacing w:val="12"/>
        </w:rPr>
        <w:t xml:space="preserve"> </w:t>
      </w:r>
      <w:r>
        <w:rPr>
          <w:rFonts w:ascii="SimSun" w:hAnsi="SimSun" w:eastAsia="SimSun" w:cs="SimSun"/>
          <w:sz w:val="21"/>
          <w:szCs w:val="21"/>
          <w:spacing w:val="-5"/>
        </w:rPr>
        <w:t>该采取最小权限和最小使用原则。</w:t>
      </w:r>
    </w:p>
    <w:p>
      <w:pPr>
        <w:ind w:left="449"/>
        <w:spacing w:before="107" w:line="224" w:lineRule="auto"/>
        <w:rPr>
          <w:rFonts w:ascii="KaiTi" w:hAnsi="KaiTi" w:eastAsia="KaiTi" w:cs="KaiTi"/>
          <w:sz w:val="21"/>
          <w:szCs w:val="21"/>
        </w:rPr>
      </w:pPr>
      <w:r>
        <w:rPr>
          <w:rFonts w:ascii="KaiTi" w:hAnsi="KaiTi" w:eastAsia="KaiTi" w:cs="KaiTi"/>
          <w:sz w:val="21"/>
          <w:szCs w:val="21"/>
          <w:spacing w:val="20"/>
        </w:rPr>
        <w:t>5)共享</w:t>
      </w:r>
    </w:p>
    <w:p>
      <w:pPr>
        <w:ind w:right="151" w:firstLine="449"/>
        <w:spacing w:before="51" w:line="267" w:lineRule="auto"/>
        <w:rPr>
          <w:rFonts w:ascii="SimSun" w:hAnsi="SimSun" w:eastAsia="SimSun" w:cs="SimSun"/>
          <w:sz w:val="21"/>
          <w:szCs w:val="21"/>
        </w:rPr>
      </w:pPr>
      <w:r>
        <w:rPr>
          <w:rFonts w:ascii="SimSun" w:hAnsi="SimSun" w:eastAsia="SimSun" w:cs="SimSun"/>
          <w:sz w:val="21"/>
          <w:szCs w:val="21"/>
          <w:spacing w:val="1"/>
        </w:rPr>
        <w:t>共享是数据的基本特性特征之一。数据作为一种极具价值的资产，可以重复使 </w:t>
      </w:r>
      <w:r>
        <w:rPr>
          <w:rFonts w:ascii="SimSun" w:hAnsi="SimSun" w:eastAsia="SimSun" w:cs="SimSun"/>
          <w:sz w:val="21"/>
          <w:szCs w:val="21"/>
          <w:spacing w:val="2"/>
        </w:rPr>
        <w:t>用，但价值体现必须在数据在传输、流通和共</w:t>
      </w:r>
      <w:r>
        <w:rPr>
          <w:rFonts w:ascii="SimSun" w:hAnsi="SimSun" w:eastAsia="SimSun" w:cs="SimSun"/>
          <w:sz w:val="21"/>
          <w:szCs w:val="21"/>
          <w:spacing w:val="1"/>
        </w:rPr>
        <w:t>享中实现。数据共享遵循几个基本原</w:t>
      </w:r>
      <w:r>
        <w:rPr>
          <w:rFonts w:ascii="SimSun" w:hAnsi="SimSun" w:eastAsia="SimSun" w:cs="SimSun"/>
          <w:sz w:val="21"/>
          <w:szCs w:val="21"/>
        </w:rPr>
        <w:t xml:space="preserve">  </w:t>
      </w:r>
      <w:r>
        <w:rPr>
          <w:rFonts w:ascii="SimSun" w:hAnsi="SimSun" w:eastAsia="SimSun" w:cs="SimSun"/>
          <w:sz w:val="21"/>
          <w:szCs w:val="21"/>
          <w:spacing w:val="-2"/>
        </w:rPr>
        <w:t>则，包括科学性、统一性、扩展性、安全性等。科学性是指数据共享的方式要科学，</w:t>
      </w:r>
      <w:r>
        <w:rPr>
          <w:rFonts w:ascii="SimSun" w:hAnsi="SimSun" w:eastAsia="SimSun" w:cs="SimSun"/>
          <w:sz w:val="21"/>
          <w:szCs w:val="21"/>
          <w:spacing w:val="13"/>
        </w:rPr>
        <w:t xml:space="preserve"> </w:t>
      </w:r>
      <w:r>
        <w:rPr>
          <w:rFonts w:ascii="SimSun" w:hAnsi="SimSun" w:eastAsia="SimSun" w:cs="SimSun"/>
          <w:sz w:val="21"/>
          <w:szCs w:val="21"/>
          <w:spacing w:val="1"/>
        </w:rPr>
        <w:t>例如数据共享格式、共享途径、共享时效等，这些会影响到数据能否满足使用方应</w:t>
      </w:r>
      <w:r>
        <w:rPr>
          <w:rFonts w:ascii="SimSun" w:hAnsi="SimSun" w:eastAsia="SimSun" w:cs="SimSun"/>
          <w:sz w:val="21"/>
          <w:szCs w:val="21"/>
          <w:spacing w:val="6"/>
        </w:rPr>
        <w:t xml:space="preserve">  </w:t>
      </w:r>
      <w:r>
        <w:rPr>
          <w:rFonts w:ascii="SimSun" w:hAnsi="SimSun" w:eastAsia="SimSun" w:cs="SimSun"/>
          <w:sz w:val="21"/>
          <w:szCs w:val="21"/>
          <w:spacing w:val="1"/>
        </w:rPr>
        <w:t>用需求；统一性是指数据分享的方式要统一，例如数据单位应当采用国际或行业公  </w:t>
      </w:r>
      <w:r>
        <w:rPr>
          <w:rFonts w:ascii="SimSun" w:hAnsi="SimSun" w:eastAsia="SimSun" w:cs="SimSun"/>
          <w:sz w:val="21"/>
          <w:szCs w:val="21"/>
        </w:rPr>
        <w:t>认的格式；扩展性是指数据共享设计时需要充分考虑数据扩充、时间增量等问题；</w:t>
      </w:r>
      <w:r>
        <w:rPr>
          <w:rFonts w:ascii="SimSun" w:hAnsi="SimSun" w:eastAsia="SimSun" w:cs="SimSun"/>
          <w:sz w:val="21"/>
          <w:szCs w:val="21"/>
          <w:spacing w:val="1"/>
        </w:rPr>
        <w:t xml:space="preserve">  </w:t>
      </w:r>
      <w:r>
        <w:rPr>
          <w:rFonts w:ascii="SimSun" w:hAnsi="SimSun" w:eastAsia="SimSun" w:cs="SimSun"/>
          <w:sz w:val="21"/>
          <w:szCs w:val="21"/>
          <w:spacing w:val="1"/>
        </w:rPr>
        <w:t>安全性是数据共享的又一个最基本的原则，数据只有在安全使用的前提下才可以共</w:t>
      </w:r>
      <w:r>
        <w:rPr>
          <w:rFonts w:ascii="SimSun" w:hAnsi="SimSun" w:eastAsia="SimSun" w:cs="SimSun"/>
          <w:sz w:val="21"/>
          <w:szCs w:val="21"/>
          <w:spacing w:val="6"/>
        </w:rPr>
        <w:t xml:space="preserve">  </w:t>
      </w:r>
      <w:r>
        <w:rPr>
          <w:rFonts w:ascii="SimSun" w:hAnsi="SimSun" w:eastAsia="SimSun" w:cs="SimSun"/>
          <w:sz w:val="21"/>
          <w:szCs w:val="21"/>
          <w:spacing w:val="2"/>
        </w:rPr>
        <w:t>享。云计算的特点给数据流通带来了更加便</w:t>
      </w:r>
      <w:r>
        <w:rPr>
          <w:rFonts w:ascii="SimSun" w:hAnsi="SimSun" w:eastAsia="SimSun" w:cs="SimSun"/>
          <w:sz w:val="21"/>
          <w:szCs w:val="21"/>
          <w:spacing w:val="1"/>
        </w:rPr>
        <w:t>捷的条件，相对开放的云环境，也更加</w:t>
      </w:r>
      <w:r>
        <w:rPr>
          <w:rFonts w:ascii="SimSun" w:hAnsi="SimSun" w:eastAsia="SimSun" w:cs="SimSun"/>
          <w:sz w:val="21"/>
          <w:szCs w:val="21"/>
        </w:rPr>
        <w:t xml:space="preserve">  </w:t>
      </w:r>
      <w:r>
        <w:rPr>
          <w:rFonts w:ascii="SimSun" w:hAnsi="SimSun" w:eastAsia="SimSun" w:cs="SimSun"/>
          <w:sz w:val="21"/>
          <w:szCs w:val="21"/>
          <w:spacing w:val="2"/>
        </w:rPr>
        <w:t>强调数据流通的必要性。但与此同时，在数据流通过程中，如</w:t>
      </w:r>
      <w:r>
        <w:rPr>
          <w:rFonts w:ascii="SimSun" w:hAnsi="SimSun" w:eastAsia="SimSun" w:cs="SimSun"/>
          <w:sz w:val="21"/>
          <w:szCs w:val="21"/>
          <w:spacing w:val="1"/>
        </w:rPr>
        <w:t>何保障数据共享的效 </w:t>
      </w:r>
      <w:r>
        <w:rPr>
          <w:rFonts w:ascii="SimSun" w:hAnsi="SimSun" w:eastAsia="SimSun" w:cs="SimSun"/>
          <w:sz w:val="21"/>
          <w:szCs w:val="21"/>
          <w:spacing w:val="-2"/>
        </w:rPr>
        <w:t>率、安全是组织云端数据治理必须要考虑的话题。</w:t>
      </w:r>
    </w:p>
    <w:p>
      <w:pPr>
        <w:spacing w:line="267" w:lineRule="auto"/>
        <w:sectPr>
          <w:footerReference w:type="default" r:id="rId528"/>
          <w:pgSz w:w="8870" w:h="13400"/>
          <w:pgMar w:top="400" w:right="607" w:bottom="528" w:left="400" w:header="0" w:footer="319" w:gutter="0"/>
        </w:sectPr>
        <w:rPr>
          <w:rFonts w:ascii="SimSun" w:hAnsi="SimSun" w:eastAsia="SimSun" w:cs="SimSun"/>
          <w:sz w:val="21"/>
          <w:szCs w:val="21"/>
        </w:rPr>
      </w:pPr>
    </w:p>
    <w:p>
      <w:pPr>
        <w:ind w:left="233"/>
        <w:spacing w:before="306" w:line="219" w:lineRule="auto"/>
        <w:rPr>
          <w:rFonts w:ascii="SimSun" w:hAnsi="SimSun" w:eastAsia="SimSun" w:cs="SimSun"/>
          <w:sz w:val="22"/>
          <w:szCs w:val="22"/>
        </w:rPr>
      </w:pPr>
      <w:r>
        <w:pict>
          <v:rect id="_x0000_s702" style="position:absolute;margin-left:28.4993pt;margin-top:31.4967pt;mso-position-vertical-relative:page;mso-position-horizontal-relative:page;width:0.55pt;height:17.55pt;z-index:258807808;" o:allowincell="f" fillcolor="#000000" filled="true" stroked="false"/>
        </w:pict>
      </w:r>
      <w:r>
        <w:rPr>
          <w:rFonts w:ascii="SimSun" w:hAnsi="SimSun" w:eastAsia="SimSun" w:cs="SimSun"/>
          <w:sz w:val="22"/>
          <w:szCs w:val="22"/>
          <w:b/>
          <w:bCs/>
          <w:spacing w:val="-12"/>
        </w:rPr>
        <w:t>云端数据治理■</w:t>
      </w:r>
    </w:p>
    <w:p>
      <w:pPr>
        <w:ind w:left="699"/>
        <w:spacing w:before="283" w:line="229" w:lineRule="auto"/>
        <w:rPr>
          <w:rFonts w:ascii="KaiTi" w:hAnsi="KaiTi" w:eastAsia="KaiTi" w:cs="KaiTi"/>
          <w:sz w:val="22"/>
          <w:szCs w:val="22"/>
        </w:rPr>
      </w:pPr>
      <w:r>
        <w:rPr>
          <w:rFonts w:ascii="KaiTi" w:hAnsi="KaiTi" w:eastAsia="KaiTi" w:cs="KaiTi"/>
          <w:sz w:val="22"/>
          <w:szCs w:val="22"/>
          <w:spacing w:val="15"/>
        </w:rPr>
        <w:t>6)销毁</w:t>
      </w:r>
    </w:p>
    <w:p>
      <w:pPr>
        <w:ind w:left="229" w:right="19" w:firstLine="469"/>
        <w:spacing w:before="51" w:line="256" w:lineRule="auto"/>
        <w:rPr>
          <w:rFonts w:ascii="SimSun" w:hAnsi="SimSun" w:eastAsia="SimSun" w:cs="SimSun"/>
          <w:sz w:val="22"/>
          <w:szCs w:val="22"/>
        </w:rPr>
      </w:pPr>
      <w:r>
        <w:rPr>
          <w:rFonts w:ascii="SimSun" w:hAnsi="SimSun" w:eastAsia="SimSun" w:cs="SimSun"/>
          <w:sz w:val="22"/>
          <w:szCs w:val="22"/>
          <w:spacing w:val="-9"/>
        </w:rPr>
        <w:t>销毁是数据生命周期的最后一个阶段，是指通过物理或者技术手段使数据永久</w:t>
      </w:r>
      <w:r>
        <w:rPr>
          <w:rFonts w:ascii="SimSun" w:hAnsi="SimSun" w:eastAsia="SimSun" w:cs="SimSun"/>
          <w:sz w:val="22"/>
          <w:szCs w:val="22"/>
          <w:spacing w:val="6"/>
        </w:rPr>
        <w:t xml:space="preserve"> </w:t>
      </w:r>
      <w:r>
        <w:rPr>
          <w:rFonts w:ascii="SimSun" w:hAnsi="SimSun" w:eastAsia="SimSun" w:cs="SimSun"/>
          <w:sz w:val="22"/>
          <w:szCs w:val="22"/>
          <w:spacing w:val="-9"/>
        </w:rPr>
        <w:t>或临时不可用的过程。对传统的数据本地化储存，数据销毁往往通过技术处理后直 </w:t>
      </w:r>
      <w:r>
        <w:rPr>
          <w:rFonts w:ascii="SimSun" w:hAnsi="SimSun" w:eastAsia="SimSun" w:cs="SimSun"/>
          <w:sz w:val="22"/>
          <w:szCs w:val="22"/>
          <w:spacing w:val="-9"/>
        </w:rPr>
        <w:t>接销毁存储设施即可完成，是非常彻底的数据销毁方式。但在云计算环境下，数据 </w:t>
      </w:r>
      <w:r>
        <w:rPr>
          <w:rFonts w:ascii="SimSun" w:hAnsi="SimSun" w:eastAsia="SimSun" w:cs="SimSun"/>
          <w:sz w:val="22"/>
          <w:szCs w:val="22"/>
          <w:spacing w:val="-9"/>
        </w:rPr>
        <w:t>能否彻底删除是很多云服务使用者比较担忧的一个焦点。云端空间是可移动的，并 </w:t>
      </w:r>
      <w:r>
        <w:rPr>
          <w:rFonts w:ascii="SimSun" w:hAnsi="SimSun" w:eastAsia="SimSun" w:cs="SimSun"/>
          <w:sz w:val="22"/>
          <w:szCs w:val="22"/>
          <w:spacing w:val="-9"/>
        </w:rPr>
        <w:t>会频繁创建快照，还会定期进行备份，而且数据会在好几个数据中心间共享，这样 </w:t>
      </w:r>
      <w:r>
        <w:rPr>
          <w:rFonts w:ascii="SimSun" w:hAnsi="SimSun" w:eastAsia="SimSun" w:cs="SimSun"/>
          <w:sz w:val="22"/>
          <w:szCs w:val="22"/>
          <w:spacing w:val="-9"/>
        </w:rPr>
        <w:t>可以节约成本，提高可用性。数据可能会被数据所有者移动，或者是在公共云里被 </w:t>
      </w:r>
      <w:r>
        <w:rPr>
          <w:rFonts w:ascii="SimSun" w:hAnsi="SimSun" w:eastAsia="SimSun" w:cs="SimSun"/>
          <w:sz w:val="22"/>
          <w:szCs w:val="22"/>
          <w:spacing w:val="-12"/>
        </w:rPr>
        <w:t>服务供应商移动，这样才能在多租户环境中优化资源的使用情况。</w:t>
      </w:r>
      <w:r>
        <w:rPr>
          <w:rFonts w:ascii="SimSun" w:hAnsi="SimSun" w:eastAsia="SimSun" w:cs="SimSun"/>
          <w:sz w:val="22"/>
          <w:szCs w:val="22"/>
          <w:spacing w:val="-13"/>
        </w:rPr>
        <w:t>当数据被移动时，</w:t>
      </w:r>
      <w:r>
        <w:rPr>
          <w:rFonts w:ascii="SimSun" w:hAnsi="SimSun" w:eastAsia="SimSun" w:cs="SimSun"/>
          <w:sz w:val="22"/>
          <w:szCs w:val="22"/>
        </w:rPr>
        <w:t xml:space="preserve"> </w:t>
      </w:r>
      <w:r>
        <w:rPr>
          <w:rFonts w:ascii="SimSun" w:hAnsi="SimSun" w:eastAsia="SimSun" w:cs="SimSun"/>
          <w:sz w:val="22"/>
          <w:szCs w:val="22"/>
          <w:spacing w:val="-9"/>
        </w:rPr>
        <w:t>原本位置的数据应该要销毁。如果有任何数据残留，就有可能产生安全问题，也可 </w:t>
      </w:r>
      <w:r>
        <w:rPr>
          <w:rFonts w:ascii="SimSun" w:hAnsi="SimSun" w:eastAsia="SimSun" w:cs="SimSun"/>
          <w:sz w:val="22"/>
          <w:szCs w:val="22"/>
          <w:spacing w:val="-9"/>
        </w:rPr>
        <w:t>能出现未经授权访问残留数据的问题。组织存储在自建云服务器上的数据，自己负 </w:t>
      </w:r>
      <w:r>
        <w:rPr>
          <w:rFonts w:ascii="SimSun" w:hAnsi="SimSun" w:eastAsia="SimSun" w:cs="SimSun"/>
          <w:sz w:val="22"/>
          <w:szCs w:val="22"/>
          <w:spacing w:val="-9"/>
        </w:rPr>
        <w:t>责数据的销毁，对于租用云服务，组织应当在服务等级协议中明确云服务商在数据 </w:t>
      </w:r>
      <w:r>
        <w:rPr>
          <w:rFonts w:ascii="SimSun" w:hAnsi="SimSun" w:eastAsia="SimSun" w:cs="SimSun"/>
          <w:sz w:val="22"/>
          <w:szCs w:val="22"/>
          <w:spacing w:val="-10"/>
        </w:rPr>
        <w:t>销毁阶段的责任，并在必要时，明确对于残留数据管理的主体责任。</w:t>
      </w:r>
    </w:p>
    <w:p>
      <w:pPr>
        <w:ind w:left="703"/>
        <w:spacing w:before="243" w:line="225" w:lineRule="auto"/>
        <w:outlineLvl w:val="6"/>
        <w:rPr>
          <w:rFonts w:ascii="YouYuan" w:hAnsi="YouYuan" w:eastAsia="YouYuan" w:cs="YouYuan"/>
          <w:sz w:val="22"/>
          <w:szCs w:val="22"/>
        </w:rPr>
      </w:pPr>
      <w:r>
        <w:rPr>
          <w:rFonts w:ascii="YouYuan" w:hAnsi="YouYuan" w:eastAsia="YouYuan" w:cs="YouYuan"/>
          <w:sz w:val="22"/>
          <w:szCs w:val="22"/>
          <w:b/>
          <w:bCs/>
          <w:spacing w:val="-2"/>
        </w:rPr>
        <w:t>7.</w:t>
      </w:r>
      <w:r>
        <w:rPr>
          <w:rFonts w:ascii="YouYuan" w:hAnsi="YouYuan" w:eastAsia="YouYuan" w:cs="YouYuan"/>
          <w:sz w:val="22"/>
          <w:szCs w:val="22"/>
          <w:spacing w:val="-2"/>
        </w:rPr>
        <w:t xml:space="preserve"> </w:t>
      </w:r>
      <w:r>
        <w:rPr>
          <w:rFonts w:ascii="YouYuan" w:hAnsi="YouYuan" w:eastAsia="YouYuan" w:cs="YouYuan"/>
          <w:sz w:val="22"/>
          <w:szCs w:val="22"/>
          <w:b/>
          <w:bCs/>
          <w:spacing w:val="-2"/>
        </w:rPr>
        <w:t>数据安全管理</w:t>
      </w:r>
    </w:p>
    <w:p>
      <w:pPr>
        <w:ind w:left="229" w:right="49" w:firstLine="469"/>
        <w:spacing w:before="199" w:line="254" w:lineRule="auto"/>
        <w:jc w:val="both"/>
        <w:rPr>
          <w:rFonts w:ascii="SimSun" w:hAnsi="SimSun" w:eastAsia="SimSun" w:cs="SimSun"/>
          <w:sz w:val="22"/>
          <w:szCs w:val="22"/>
        </w:rPr>
      </w:pPr>
      <w:r>
        <w:rPr>
          <w:rFonts w:ascii="SimSun" w:hAnsi="SimSun" w:eastAsia="SimSun" w:cs="SimSun"/>
          <w:sz w:val="22"/>
          <w:szCs w:val="22"/>
          <w:spacing w:val="-9"/>
        </w:rPr>
        <w:t>数据已经成为组织甚至全社会的重要资源，因此也成为了被“关注”的显著目</w:t>
      </w:r>
      <w:r>
        <w:rPr>
          <w:rFonts w:ascii="SimSun" w:hAnsi="SimSun" w:eastAsia="SimSun" w:cs="SimSun"/>
          <w:sz w:val="22"/>
          <w:szCs w:val="22"/>
          <w:spacing w:val="15"/>
        </w:rPr>
        <w:t xml:space="preserve"> </w:t>
      </w:r>
      <w:r>
        <w:rPr>
          <w:rFonts w:ascii="SimSun" w:hAnsi="SimSun" w:eastAsia="SimSun" w:cs="SimSun"/>
          <w:sz w:val="22"/>
          <w:szCs w:val="22"/>
          <w:spacing w:val="-9"/>
        </w:rPr>
        <w:t>标，尤其是大数据的到来，数据所蕴含的价值已经超过了其自身的价值。虽然作为</w:t>
      </w:r>
      <w:r>
        <w:rPr>
          <w:rFonts w:ascii="SimSun" w:hAnsi="SimSun" w:eastAsia="SimSun" w:cs="SimSun"/>
          <w:sz w:val="22"/>
          <w:szCs w:val="22"/>
          <w:spacing w:val="13"/>
        </w:rPr>
        <w:t xml:space="preserve"> </w:t>
      </w:r>
      <w:r>
        <w:rPr>
          <w:rFonts w:ascii="SimSun" w:hAnsi="SimSun" w:eastAsia="SimSun" w:cs="SimSun"/>
          <w:sz w:val="22"/>
          <w:szCs w:val="22"/>
          <w:spacing w:val="-9"/>
        </w:rPr>
        <w:t>一种新的技术，云计算给数据处理能力带来了巨大的变化，但云计算特点，如泛在</w:t>
      </w:r>
      <w:r>
        <w:rPr>
          <w:rFonts w:ascii="SimSun" w:hAnsi="SimSun" w:eastAsia="SimSun" w:cs="SimSun"/>
          <w:sz w:val="22"/>
          <w:szCs w:val="22"/>
          <w:spacing w:val="14"/>
        </w:rPr>
        <w:t xml:space="preserve"> </w:t>
      </w:r>
      <w:r>
        <w:rPr>
          <w:rFonts w:ascii="SimSun" w:hAnsi="SimSun" w:eastAsia="SimSun" w:cs="SimSun"/>
          <w:sz w:val="22"/>
          <w:szCs w:val="22"/>
          <w:spacing w:val="-9"/>
        </w:rPr>
        <w:t>网络访问、快速伸缩弹性、多租户等，也给承载在云平台上的数据带来了新的安全</w:t>
      </w:r>
      <w:r>
        <w:rPr>
          <w:rFonts w:ascii="SimSun" w:hAnsi="SimSun" w:eastAsia="SimSun" w:cs="SimSun"/>
          <w:sz w:val="22"/>
          <w:szCs w:val="22"/>
          <w:spacing w:val="12"/>
        </w:rPr>
        <w:t xml:space="preserve"> </w:t>
      </w:r>
      <w:r>
        <w:rPr>
          <w:rFonts w:ascii="SimSun" w:hAnsi="SimSun" w:eastAsia="SimSun" w:cs="SimSun"/>
          <w:sz w:val="22"/>
          <w:szCs w:val="22"/>
          <w:spacing w:val="-9"/>
        </w:rPr>
        <w:t>威胁和漏洞，因此加强云计算环境下数据安全管理是云端数据治理相对于传统数据</w:t>
      </w:r>
      <w:r>
        <w:rPr>
          <w:rFonts w:ascii="SimSun" w:hAnsi="SimSun" w:eastAsia="SimSun" w:cs="SimSun"/>
          <w:sz w:val="22"/>
          <w:szCs w:val="22"/>
          <w:spacing w:val="15"/>
        </w:rPr>
        <w:t xml:space="preserve"> </w:t>
      </w:r>
      <w:r>
        <w:rPr>
          <w:rFonts w:ascii="SimSun" w:hAnsi="SimSun" w:eastAsia="SimSun" w:cs="SimSun"/>
          <w:sz w:val="22"/>
          <w:szCs w:val="22"/>
          <w:spacing w:val="-9"/>
        </w:rPr>
        <w:t>治理的一个很大区别点。数据安全管理是围绕数据整个生命周期而实施的一系列措</w:t>
      </w:r>
      <w:r>
        <w:rPr>
          <w:rFonts w:ascii="SimSun" w:hAnsi="SimSun" w:eastAsia="SimSun" w:cs="SimSun"/>
          <w:sz w:val="22"/>
          <w:szCs w:val="22"/>
          <w:spacing w:val="14"/>
        </w:rPr>
        <w:t xml:space="preserve"> </w:t>
      </w:r>
      <w:r>
        <w:rPr>
          <w:rFonts w:ascii="SimSun" w:hAnsi="SimSun" w:eastAsia="SimSun" w:cs="SimSun"/>
          <w:sz w:val="22"/>
          <w:szCs w:val="22"/>
          <w:spacing w:val="-10"/>
        </w:rPr>
        <w:t>施，包括技术上和管理上的手段。</w:t>
      </w:r>
    </w:p>
    <w:p>
      <w:pPr>
        <w:ind w:left="229" w:right="40" w:firstLine="469"/>
        <w:spacing w:before="96" w:line="250" w:lineRule="auto"/>
        <w:rPr>
          <w:rFonts w:ascii="SimSun" w:hAnsi="SimSun" w:eastAsia="SimSun" w:cs="SimSun"/>
          <w:sz w:val="22"/>
          <w:szCs w:val="22"/>
        </w:rPr>
      </w:pPr>
      <w:r>
        <w:rPr>
          <w:rFonts w:ascii="SimSun" w:hAnsi="SimSun" w:eastAsia="SimSun" w:cs="SimSun"/>
          <w:sz w:val="22"/>
          <w:szCs w:val="22"/>
          <w:spacing w:val="-8"/>
        </w:rPr>
        <w:t>在云端数据治理体系中，数据安全管理是每个环节都必</w:t>
      </w:r>
      <w:r>
        <w:rPr>
          <w:rFonts w:ascii="SimSun" w:hAnsi="SimSun" w:eastAsia="SimSun" w:cs="SimSun"/>
          <w:sz w:val="22"/>
          <w:szCs w:val="22"/>
          <w:spacing w:val="-9"/>
        </w:rPr>
        <w:t>须要考虑的。在制订数</w:t>
      </w:r>
      <w:r>
        <w:rPr>
          <w:rFonts w:ascii="SimSun" w:hAnsi="SimSun" w:eastAsia="SimSun" w:cs="SimSun"/>
          <w:sz w:val="22"/>
          <w:szCs w:val="22"/>
        </w:rPr>
        <w:t xml:space="preserve"> </w:t>
      </w:r>
      <w:r>
        <w:rPr>
          <w:rFonts w:ascii="SimSun" w:hAnsi="SimSun" w:eastAsia="SimSun" w:cs="SimSun"/>
          <w:sz w:val="22"/>
          <w:szCs w:val="22"/>
          <w:spacing w:val="-9"/>
        </w:rPr>
        <w:t>据战略时，数据安全应该是一个重要部分，并在数据治理组织与角色中任命数据安</w:t>
      </w:r>
      <w:r>
        <w:rPr>
          <w:rFonts w:ascii="SimSun" w:hAnsi="SimSun" w:eastAsia="SimSun" w:cs="SimSun"/>
          <w:sz w:val="22"/>
          <w:szCs w:val="22"/>
          <w:spacing w:val="15"/>
        </w:rPr>
        <w:t xml:space="preserve"> </w:t>
      </w:r>
      <w:r>
        <w:rPr>
          <w:rFonts w:ascii="SimSun" w:hAnsi="SimSun" w:eastAsia="SimSun" w:cs="SimSun"/>
          <w:sz w:val="22"/>
          <w:szCs w:val="22"/>
          <w:spacing w:val="-9"/>
        </w:rPr>
        <w:t>全管理负责人和数据安全管理专员。在日常的数据生命周期管理过程中，组织需要</w:t>
      </w:r>
      <w:r>
        <w:rPr>
          <w:rFonts w:ascii="SimSun" w:hAnsi="SimSun" w:eastAsia="SimSun" w:cs="SimSun"/>
          <w:sz w:val="22"/>
          <w:szCs w:val="22"/>
          <w:spacing w:val="13"/>
        </w:rPr>
        <w:t xml:space="preserve"> </w:t>
      </w:r>
      <w:r>
        <w:rPr>
          <w:rFonts w:ascii="SimSun" w:hAnsi="SimSun" w:eastAsia="SimSun" w:cs="SimSun"/>
          <w:sz w:val="22"/>
          <w:szCs w:val="22"/>
          <w:spacing w:val="-12"/>
        </w:rPr>
        <w:t>采取相应的措施保证数据安全。</w:t>
      </w:r>
    </w:p>
    <w:p>
      <w:pPr>
        <w:ind w:left="229" w:right="45" w:firstLine="469"/>
        <w:spacing w:before="60" w:line="252" w:lineRule="auto"/>
        <w:rPr>
          <w:rFonts w:ascii="SimSun" w:hAnsi="SimSun" w:eastAsia="SimSun" w:cs="SimSun"/>
          <w:sz w:val="22"/>
          <w:szCs w:val="22"/>
        </w:rPr>
      </w:pPr>
      <w:r>
        <w:rPr>
          <w:rFonts w:ascii="SimSun" w:hAnsi="SimSun" w:eastAsia="SimSun" w:cs="SimSun"/>
          <w:sz w:val="22"/>
          <w:szCs w:val="22"/>
          <w:spacing w:val="-8"/>
        </w:rPr>
        <w:t>在数据收集阶段，组织需要特别关注数据分</w:t>
      </w:r>
      <w:r>
        <w:rPr>
          <w:rFonts w:ascii="SimSun" w:hAnsi="SimSun" w:eastAsia="SimSun" w:cs="SimSun"/>
          <w:sz w:val="22"/>
          <w:szCs w:val="22"/>
          <w:spacing w:val="-9"/>
        </w:rPr>
        <w:t>类、数据采集、数据清洗、数据质</w:t>
      </w:r>
      <w:r>
        <w:rPr>
          <w:rFonts w:ascii="SimSun" w:hAnsi="SimSun" w:eastAsia="SimSun" w:cs="SimSun"/>
          <w:sz w:val="22"/>
          <w:szCs w:val="22"/>
        </w:rPr>
        <w:t xml:space="preserve"> </w:t>
      </w:r>
      <w:r>
        <w:rPr>
          <w:rFonts w:ascii="SimSun" w:hAnsi="SimSun" w:eastAsia="SimSun" w:cs="SimSun"/>
          <w:sz w:val="22"/>
          <w:szCs w:val="22"/>
          <w:spacing w:val="-8"/>
        </w:rPr>
        <w:t>量等环节中的安全管理需求。例如，组织应对不同</w:t>
      </w:r>
      <w:r>
        <w:rPr>
          <w:rFonts w:ascii="SimSun" w:hAnsi="SimSun" w:eastAsia="SimSun" w:cs="SimSun"/>
          <w:sz w:val="22"/>
          <w:szCs w:val="22"/>
          <w:spacing w:val="-9"/>
        </w:rPr>
        <w:t>类别和级别的收集数据实施不同</w:t>
      </w:r>
      <w:r>
        <w:rPr>
          <w:rFonts w:ascii="SimSun" w:hAnsi="SimSun" w:eastAsia="SimSun" w:cs="SimSun"/>
          <w:sz w:val="22"/>
          <w:szCs w:val="22"/>
        </w:rPr>
        <w:t xml:space="preserve"> </w:t>
      </w:r>
      <w:r>
        <w:rPr>
          <w:rFonts w:ascii="SimSun" w:hAnsi="SimSun" w:eastAsia="SimSun" w:cs="SimSun"/>
          <w:sz w:val="22"/>
          <w:szCs w:val="22"/>
          <w:spacing w:val="-9"/>
        </w:rPr>
        <w:t>的安全管理策略和相应的保障措施，并对数据分级分类变更的操作记录进行审计。</w:t>
      </w:r>
      <w:r>
        <w:rPr>
          <w:rFonts w:ascii="SimSun" w:hAnsi="SimSun" w:eastAsia="SimSun" w:cs="SimSun"/>
          <w:sz w:val="22"/>
          <w:szCs w:val="22"/>
          <w:spacing w:val="12"/>
        </w:rPr>
        <w:t xml:space="preserve"> </w:t>
      </w:r>
      <w:r>
        <w:rPr>
          <w:rFonts w:ascii="SimSun" w:hAnsi="SimSun" w:eastAsia="SimSun" w:cs="SimSun"/>
          <w:sz w:val="22"/>
          <w:szCs w:val="22"/>
          <w:spacing w:val="-8"/>
        </w:rPr>
        <w:t>在数据收集时，定义采集数据的目的和用途，明确数据采集源和采集数据范围，以</w:t>
      </w:r>
      <w:r>
        <w:rPr>
          <w:rFonts w:ascii="SimSun" w:hAnsi="SimSun" w:eastAsia="SimSun" w:cs="SimSun"/>
          <w:sz w:val="22"/>
          <w:szCs w:val="22"/>
          <w:spacing w:val="6"/>
        </w:rPr>
        <w:t xml:space="preserve"> </w:t>
      </w:r>
      <w:r>
        <w:rPr>
          <w:rFonts w:ascii="SimSun" w:hAnsi="SimSun" w:eastAsia="SimSun" w:cs="SimSun"/>
          <w:sz w:val="22"/>
          <w:szCs w:val="22"/>
          <w:spacing w:val="-10"/>
        </w:rPr>
        <w:t>满足合规要求。</w:t>
      </w:r>
    </w:p>
    <w:p>
      <w:pPr>
        <w:ind w:left="229" w:firstLine="469"/>
        <w:spacing w:before="61" w:line="253" w:lineRule="auto"/>
        <w:rPr>
          <w:rFonts w:ascii="SimSun" w:hAnsi="SimSun" w:eastAsia="SimSun" w:cs="SimSun"/>
          <w:sz w:val="22"/>
          <w:szCs w:val="22"/>
        </w:rPr>
      </w:pPr>
      <w:r>
        <w:rPr>
          <w:rFonts w:ascii="SimSun" w:hAnsi="SimSun" w:eastAsia="SimSun" w:cs="SimSun"/>
          <w:sz w:val="22"/>
          <w:szCs w:val="22"/>
          <w:spacing w:val="-9"/>
        </w:rPr>
        <w:t>在数据存储阶段，组织需要重点关注数据中心安全和数据自身安全。对于自建</w:t>
      </w:r>
      <w:r>
        <w:rPr>
          <w:rFonts w:ascii="SimSun" w:hAnsi="SimSun" w:eastAsia="SimSun" w:cs="SimSun"/>
          <w:sz w:val="22"/>
          <w:szCs w:val="22"/>
          <w:spacing w:val="4"/>
        </w:rPr>
        <w:t xml:space="preserve"> </w:t>
      </w:r>
      <w:r>
        <w:rPr>
          <w:rFonts w:ascii="SimSun" w:hAnsi="SimSun" w:eastAsia="SimSun" w:cs="SimSun"/>
          <w:sz w:val="22"/>
          <w:szCs w:val="22"/>
          <w:spacing w:val="-9"/>
        </w:rPr>
        <w:t>数据中心，要关注数据中心的物理安全、支撑性资源安全和系统安全。物理安全是</w:t>
      </w:r>
      <w:r>
        <w:rPr>
          <w:rFonts w:ascii="SimSun" w:hAnsi="SimSun" w:eastAsia="SimSun" w:cs="SimSun"/>
          <w:sz w:val="22"/>
          <w:szCs w:val="22"/>
          <w:spacing w:val="6"/>
        </w:rPr>
        <w:t xml:space="preserve">  </w:t>
      </w:r>
      <w:r>
        <w:rPr>
          <w:rFonts w:ascii="SimSun" w:hAnsi="SimSun" w:eastAsia="SimSun" w:cs="SimSun"/>
          <w:sz w:val="22"/>
          <w:szCs w:val="22"/>
          <w:spacing w:val="-12"/>
        </w:rPr>
        <w:t>数据安全的基础，主要包括物理位置的选择、防火、防水、防雷击、防盗、防破坏、</w:t>
      </w:r>
      <w:r>
        <w:rPr>
          <w:rFonts w:ascii="SimSun" w:hAnsi="SimSun" w:eastAsia="SimSun" w:cs="SimSun"/>
          <w:sz w:val="22"/>
          <w:szCs w:val="22"/>
          <w:spacing w:val="12"/>
        </w:rPr>
        <w:t xml:space="preserve"> </w:t>
      </w:r>
      <w:r>
        <w:rPr>
          <w:rFonts w:ascii="SimSun" w:hAnsi="SimSun" w:eastAsia="SimSun" w:cs="SimSun"/>
          <w:sz w:val="22"/>
          <w:szCs w:val="22"/>
          <w:spacing w:val="-9"/>
        </w:rPr>
        <w:t>电磁防护等。支撑性资源安全主要包括水、电、通信等基础设施安全</w:t>
      </w:r>
      <w:r>
        <w:rPr>
          <w:rFonts w:ascii="SimSun" w:hAnsi="SimSun" w:eastAsia="SimSun" w:cs="SimSun"/>
          <w:sz w:val="22"/>
          <w:szCs w:val="22"/>
          <w:spacing w:val="-10"/>
        </w:rPr>
        <w:t>。系统安全主</w:t>
      </w:r>
      <w:r>
        <w:rPr>
          <w:rFonts w:ascii="SimSun" w:hAnsi="SimSun" w:eastAsia="SimSun" w:cs="SimSun"/>
          <w:sz w:val="22"/>
          <w:szCs w:val="22"/>
        </w:rPr>
        <w:t xml:space="preserve">  </w:t>
      </w:r>
      <w:r>
        <w:rPr>
          <w:rFonts w:ascii="SimSun" w:hAnsi="SimSun" w:eastAsia="SimSun" w:cs="SimSun"/>
          <w:sz w:val="22"/>
          <w:szCs w:val="22"/>
          <w:spacing w:val="-8"/>
        </w:rPr>
        <w:t>要指存储系统的安全，可以采取用户身份鉴别、资</w:t>
      </w:r>
      <w:r>
        <w:rPr>
          <w:rFonts w:ascii="SimSun" w:hAnsi="SimSun" w:eastAsia="SimSun" w:cs="SimSun"/>
          <w:sz w:val="22"/>
          <w:szCs w:val="22"/>
          <w:spacing w:val="-9"/>
        </w:rPr>
        <w:t>源访问授权等方式控制对存储系</w:t>
      </w:r>
      <w:r>
        <w:rPr>
          <w:rFonts w:ascii="SimSun" w:hAnsi="SimSun" w:eastAsia="SimSun" w:cs="SimSun"/>
          <w:sz w:val="22"/>
          <w:szCs w:val="22"/>
        </w:rPr>
        <w:t xml:space="preserve">  </w:t>
      </w:r>
      <w:r>
        <w:rPr>
          <w:rFonts w:ascii="SimSun" w:hAnsi="SimSun" w:eastAsia="SimSun" w:cs="SimSun"/>
          <w:sz w:val="22"/>
          <w:szCs w:val="22"/>
          <w:spacing w:val="-9"/>
        </w:rPr>
        <w:t>统造成的潜在威胁。对于租用其他云服务，组织需要在服务协议</w:t>
      </w:r>
      <w:r>
        <w:rPr>
          <w:rFonts w:ascii="SimSun" w:hAnsi="SimSun" w:eastAsia="SimSun" w:cs="SimSun"/>
          <w:sz w:val="22"/>
          <w:szCs w:val="22"/>
          <w:spacing w:val="-10"/>
        </w:rPr>
        <w:t>中明确各方责任，</w:t>
      </w:r>
    </w:p>
    <w:p>
      <w:pPr>
        <w:spacing w:line="253" w:lineRule="auto"/>
        <w:sectPr>
          <w:footerReference w:type="default" r:id="rId529"/>
          <w:pgSz w:w="8870" w:h="13400"/>
          <w:pgMar w:top="400" w:right="490" w:bottom="454" w:left="440" w:header="0" w:footer="236" w:gutter="0"/>
        </w:sectPr>
        <w:rPr>
          <w:rFonts w:ascii="SimSun" w:hAnsi="SimSun" w:eastAsia="SimSun" w:cs="SimSun"/>
          <w:sz w:val="22"/>
          <w:szCs w:val="22"/>
        </w:rPr>
      </w:pPr>
    </w:p>
    <w:p>
      <w:pPr>
        <w:ind w:left="4582"/>
        <w:spacing w:before="274" w:line="219" w:lineRule="auto"/>
        <w:rPr>
          <w:rFonts w:ascii="SimSun" w:hAnsi="SimSun" w:eastAsia="SimSun" w:cs="SimSun"/>
          <w:sz w:val="21"/>
          <w:szCs w:val="21"/>
        </w:rPr>
      </w:pPr>
      <w:bookmarkStart w:name="bookmark106" w:id="101"/>
      <w:bookmarkEnd w:id="101"/>
      <w:r>
        <w:rPr>
          <w:rFonts w:ascii="SimSun" w:hAnsi="SimSun" w:eastAsia="SimSun" w:cs="SimSun"/>
          <w:sz w:val="21"/>
          <w:szCs w:val="21"/>
          <w:b/>
          <w:bCs/>
          <w:spacing w:val="15"/>
        </w:rPr>
        <w:t>第11章*云端数据治理体系实施</w:t>
      </w:r>
    </w:p>
    <w:p>
      <w:pPr>
        <w:pStyle w:val="BodyText"/>
        <w:spacing w:line="243" w:lineRule="auto"/>
        <w:rPr/>
      </w:pPr>
      <w:r/>
    </w:p>
    <w:p>
      <w:pPr>
        <w:ind w:right="215"/>
        <w:spacing w:before="68" w:line="251" w:lineRule="auto"/>
        <w:rPr>
          <w:rFonts w:ascii="SimSun" w:hAnsi="SimSun" w:eastAsia="SimSun" w:cs="SimSun"/>
          <w:sz w:val="21"/>
          <w:szCs w:val="21"/>
        </w:rPr>
      </w:pPr>
      <w:r>
        <w:rPr>
          <w:rFonts w:ascii="SimSun" w:hAnsi="SimSun" w:eastAsia="SimSun" w:cs="SimSun"/>
          <w:sz w:val="21"/>
          <w:szCs w:val="21"/>
          <w:spacing w:val="2"/>
        </w:rPr>
        <w:t>告知组织对云端数据安全的关切。除此之外，</w:t>
      </w:r>
      <w:r>
        <w:rPr>
          <w:rFonts w:ascii="SimSun" w:hAnsi="SimSun" w:eastAsia="SimSun" w:cs="SimSun"/>
          <w:sz w:val="21"/>
          <w:szCs w:val="21"/>
          <w:spacing w:val="1"/>
        </w:rPr>
        <w:t>组织自身仍然需要采取必要的措施保</w:t>
      </w:r>
      <w:r>
        <w:rPr>
          <w:rFonts w:ascii="SimSun" w:hAnsi="SimSun" w:eastAsia="SimSun" w:cs="SimSun"/>
          <w:sz w:val="21"/>
          <w:szCs w:val="21"/>
        </w:rPr>
        <w:t xml:space="preserve"> </w:t>
      </w:r>
      <w:r>
        <w:rPr>
          <w:rFonts w:ascii="SimSun" w:hAnsi="SimSun" w:eastAsia="SimSun" w:cs="SimSun"/>
          <w:sz w:val="21"/>
          <w:szCs w:val="21"/>
          <w:spacing w:val="-2"/>
        </w:rPr>
        <w:t>护数据的安全，如数据加密、数据备份等。</w:t>
      </w:r>
    </w:p>
    <w:p>
      <w:pPr>
        <w:ind w:right="167" w:firstLine="419"/>
        <w:spacing w:before="43" w:line="268" w:lineRule="auto"/>
        <w:rPr>
          <w:rFonts w:ascii="SimSun" w:hAnsi="SimSun" w:eastAsia="SimSun" w:cs="SimSun"/>
          <w:sz w:val="21"/>
          <w:szCs w:val="21"/>
        </w:rPr>
      </w:pPr>
      <w:r>
        <w:rPr>
          <w:rFonts w:ascii="SimSun" w:hAnsi="SimSun" w:eastAsia="SimSun" w:cs="SimSun"/>
          <w:sz w:val="21"/>
          <w:szCs w:val="21"/>
          <w:spacing w:val="2"/>
        </w:rPr>
        <w:t>在数据传输阶段，组织要保证数据在传输过程中的</w:t>
      </w:r>
      <w:r>
        <w:rPr>
          <w:rFonts w:ascii="SimSun" w:hAnsi="SimSun" w:eastAsia="SimSun" w:cs="SimSun"/>
          <w:sz w:val="21"/>
          <w:szCs w:val="21"/>
          <w:spacing w:val="1"/>
        </w:rPr>
        <w:t>安全，涉及的主要措施包括</w:t>
      </w:r>
      <w:r>
        <w:rPr>
          <w:rFonts w:ascii="SimSun" w:hAnsi="SimSun" w:eastAsia="SimSun" w:cs="SimSun"/>
          <w:sz w:val="21"/>
          <w:szCs w:val="21"/>
        </w:rPr>
        <w:t xml:space="preserve"> </w:t>
      </w:r>
      <w:r>
        <w:rPr>
          <w:rFonts w:ascii="SimSun" w:hAnsi="SimSun" w:eastAsia="SimSun" w:cs="SimSun"/>
          <w:sz w:val="21"/>
          <w:szCs w:val="21"/>
          <w:spacing w:val="1"/>
        </w:rPr>
        <w:t>数据的加密和数据网络安全控制等。数据加密包括硬件加密和软件加密，硬件加密</w:t>
      </w:r>
      <w:r>
        <w:rPr>
          <w:rFonts w:ascii="SimSun" w:hAnsi="SimSun" w:eastAsia="SimSun" w:cs="SimSun"/>
          <w:sz w:val="21"/>
          <w:szCs w:val="21"/>
          <w:spacing w:val="6"/>
        </w:rPr>
        <w:t xml:space="preserve"> </w:t>
      </w:r>
      <w:r>
        <w:rPr>
          <w:rFonts w:ascii="SimSun" w:hAnsi="SimSun" w:eastAsia="SimSun" w:cs="SimSun"/>
          <w:sz w:val="21"/>
          <w:szCs w:val="21"/>
        </w:rPr>
        <w:t>是通过专用加密芯片或独立的处理芯片等实现</w:t>
      </w:r>
      <w:r>
        <w:rPr>
          <w:rFonts w:ascii="SimSun" w:hAnsi="SimSun" w:eastAsia="SimSun" w:cs="SimSun"/>
          <w:sz w:val="21"/>
          <w:szCs w:val="21"/>
          <w:spacing w:val="-1"/>
        </w:rPr>
        <w:t>密码运算，例如采用</w:t>
      </w:r>
      <w:r>
        <w:rPr>
          <w:rFonts w:ascii="Times New Roman" w:hAnsi="Times New Roman" w:eastAsia="Times New Roman" w:cs="Times New Roman"/>
          <w:sz w:val="21"/>
          <w:szCs w:val="21"/>
          <w:spacing w:val="-1"/>
        </w:rPr>
        <w:t>AES128  </w:t>
      </w:r>
      <w:r>
        <w:rPr>
          <w:rFonts w:ascii="SimSun" w:hAnsi="SimSun" w:eastAsia="SimSun" w:cs="SimSun"/>
          <w:sz w:val="21"/>
          <w:szCs w:val="21"/>
          <w:spacing w:val="-1"/>
        </w:rPr>
        <w:t>位或256</w:t>
      </w:r>
      <w:r>
        <w:rPr>
          <w:rFonts w:ascii="SimSun" w:hAnsi="SimSun" w:eastAsia="SimSun" w:cs="SimSun"/>
          <w:sz w:val="21"/>
          <w:szCs w:val="21"/>
        </w:rPr>
        <w:t xml:space="preserve"> </w:t>
      </w:r>
      <w:r>
        <w:rPr>
          <w:rFonts w:ascii="SimSun" w:hAnsi="SimSun" w:eastAsia="SimSun" w:cs="SimSun"/>
          <w:sz w:val="21"/>
          <w:szCs w:val="21"/>
          <w:spacing w:val="2"/>
        </w:rPr>
        <w:t>位硬件数据加密技术对产品硬件进行加密，具备防</w:t>
      </w:r>
      <w:r>
        <w:rPr>
          <w:rFonts w:ascii="SimSun" w:hAnsi="SimSun" w:eastAsia="SimSun" w:cs="SimSun"/>
          <w:sz w:val="21"/>
          <w:szCs w:val="21"/>
          <w:spacing w:val="1"/>
        </w:rPr>
        <w:t>止暴力破解、密码猜测、数据恢</w:t>
      </w:r>
      <w:r>
        <w:rPr>
          <w:rFonts w:ascii="SimSun" w:hAnsi="SimSun" w:eastAsia="SimSun" w:cs="SimSun"/>
          <w:sz w:val="21"/>
          <w:szCs w:val="21"/>
        </w:rPr>
        <w:t xml:space="preserve"> </w:t>
      </w:r>
      <w:r>
        <w:rPr>
          <w:rFonts w:ascii="SimSun" w:hAnsi="SimSun" w:eastAsia="SimSun" w:cs="SimSun"/>
          <w:sz w:val="21"/>
          <w:szCs w:val="21"/>
          <w:spacing w:val="-3"/>
        </w:rPr>
        <w:t>复等功能。软件加密就是用户在发送信息前，先调用信息安全模块对信息进行加密，</w:t>
      </w:r>
      <w:r>
        <w:rPr>
          <w:rFonts w:ascii="SimSun" w:hAnsi="SimSun" w:eastAsia="SimSun" w:cs="SimSun"/>
          <w:sz w:val="21"/>
          <w:szCs w:val="21"/>
          <w:spacing w:val="4"/>
        </w:rPr>
        <w:t xml:space="preserve"> </w:t>
      </w:r>
      <w:r>
        <w:rPr>
          <w:rFonts w:ascii="SimSun" w:hAnsi="SimSun" w:eastAsia="SimSun" w:cs="SimSun"/>
          <w:sz w:val="21"/>
          <w:szCs w:val="21"/>
          <w:spacing w:val="2"/>
        </w:rPr>
        <w:t>然后发送，到达接收方后，由用户使用相应的解密</w:t>
      </w:r>
      <w:r>
        <w:rPr>
          <w:rFonts w:ascii="SimSun" w:hAnsi="SimSun" w:eastAsia="SimSun" w:cs="SimSun"/>
          <w:sz w:val="21"/>
          <w:szCs w:val="21"/>
          <w:spacing w:val="1"/>
        </w:rPr>
        <w:t>软件进行解密并还原。数据网络</w:t>
      </w:r>
      <w:r>
        <w:rPr>
          <w:rFonts w:ascii="SimSun" w:hAnsi="SimSun" w:eastAsia="SimSun" w:cs="SimSun"/>
          <w:sz w:val="21"/>
          <w:szCs w:val="21"/>
        </w:rPr>
        <w:t xml:space="preserve"> </w:t>
      </w:r>
      <w:r>
        <w:rPr>
          <w:rFonts w:ascii="SimSun" w:hAnsi="SimSun" w:eastAsia="SimSun" w:cs="SimSun"/>
          <w:sz w:val="21"/>
          <w:szCs w:val="21"/>
        </w:rPr>
        <w:t>安全控制是对数据传输的通道进行安全防护，主要的安全措施包括网络结构安全、 </w:t>
      </w:r>
      <w:r>
        <w:rPr>
          <w:rFonts w:ascii="SimSun" w:hAnsi="SimSun" w:eastAsia="SimSun" w:cs="SimSun"/>
          <w:sz w:val="21"/>
          <w:szCs w:val="21"/>
          <w:spacing w:val="2"/>
        </w:rPr>
        <w:t>网络访问控制、网络设备防护等。网络结构安全指组织内部的网络安</w:t>
      </w:r>
      <w:r>
        <w:rPr>
          <w:rFonts w:ascii="SimSun" w:hAnsi="SimSun" w:eastAsia="SimSun" w:cs="SimSun"/>
          <w:sz w:val="21"/>
          <w:szCs w:val="21"/>
          <w:spacing w:val="1"/>
        </w:rPr>
        <w:t>全架构设计和</w:t>
      </w:r>
      <w:r>
        <w:rPr>
          <w:rFonts w:ascii="SimSun" w:hAnsi="SimSun" w:eastAsia="SimSun" w:cs="SimSun"/>
          <w:sz w:val="21"/>
          <w:szCs w:val="21"/>
        </w:rPr>
        <w:t xml:space="preserve"> </w:t>
      </w:r>
      <w:r>
        <w:rPr>
          <w:rFonts w:ascii="SimSun" w:hAnsi="SimSun" w:eastAsia="SimSun" w:cs="SimSun"/>
          <w:sz w:val="21"/>
          <w:szCs w:val="21"/>
          <w:spacing w:val="2"/>
        </w:rPr>
        <w:t>组织内网与公网的连接段网络架构。网络访问</w:t>
      </w:r>
      <w:r>
        <w:rPr>
          <w:rFonts w:ascii="SimSun" w:hAnsi="SimSun" w:eastAsia="SimSun" w:cs="SimSun"/>
          <w:sz w:val="21"/>
          <w:szCs w:val="21"/>
          <w:spacing w:val="1"/>
        </w:rPr>
        <w:t>控制通过控制方法对未授权的访问进</w:t>
      </w:r>
      <w:r>
        <w:rPr>
          <w:rFonts w:ascii="SimSun" w:hAnsi="SimSun" w:eastAsia="SimSun" w:cs="SimSun"/>
          <w:sz w:val="21"/>
          <w:szCs w:val="21"/>
        </w:rPr>
        <w:t xml:space="preserve"> </w:t>
      </w:r>
      <w:r>
        <w:rPr>
          <w:rFonts w:ascii="SimSun" w:hAnsi="SimSun" w:eastAsia="SimSun" w:cs="SimSun"/>
          <w:sz w:val="21"/>
          <w:szCs w:val="21"/>
        </w:rPr>
        <w:t>行隔离，如</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MAC  </w:t>
      </w:r>
      <w:r>
        <w:rPr>
          <w:rFonts w:ascii="SimSun" w:hAnsi="SimSun" w:eastAsia="SimSun" w:cs="SimSun"/>
          <w:sz w:val="21"/>
          <w:szCs w:val="21"/>
        </w:rPr>
        <w:t>地址过滤、</w:t>
      </w:r>
      <w:r>
        <w:rPr>
          <w:rFonts w:ascii="Times New Roman" w:hAnsi="Times New Roman" w:eastAsia="Times New Roman" w:cs="Times New Roman"/>
          <w:sz w:val="21"/>
          <w:szCs w:val="21"/>
        </w:rPr>
        <w:t>VLAN  </w:t>
      </w:r>
      <w:r>
        <w:rPr>
          <w:rFonts w:ascii="SimSun" w:hAnsi="SimSun" w:eastAsia="SimSun" w:cs="SimSun"/>
          <w:sz w:val="21"/>
          <w:szCs w:val="21"/>
        </w:rPr>
        <w:t>隔离、访问</w:t>
      </w:r>
      <w:r>
        <w:rPr>
          <w:rFonts w:ascii="SimSun" w:hAnsi="SimSun" w:eastAsia="SimSun" w:cs="SimSun"/>
          <w:sz w:val="21"/>
          <w:szCs w:val="21"/>
          <w:spacing w:val="-1"/>
        </w:rPr>
        <w:t>控制列表和防火墙控制等。网络设</w:t>
      </w:r>
      <w:r>
        <w:rPr>
          <w:rFonts w:ascii="SimSun" w:hAnsi="SimSun" w:eastAsia="SimSun" w:cs="SimSun"/>
          <w:sz w:val="21"/>
          <w:szCs w:val="21"/>
        </w:rPr>
        <w:t xml:space="preserve"> </w:t>
      </w:r>
      <w:r>
        <w:rPr>
          <w:rFonts w:ascii="SimSun" w:hAnsi="SimSun" w:eastAsia="SimSun" w:cs="SimSun"/>
          <w:sz w:val="21"/>
          <w:szCs w:val="21"/>
          <w:spacing w:val="2"/>
        </w:rPr>
        <w:t>备防护是保护实现网络结构设计和网络访问控制的支</w:t>
      </w:r>
      <w:r>
        <w:rPr>
          <w:rFonts w:ascii="SimSun" w:hAnsi="SimSun" w:eastAsia="SimSun" w:cs="SimSun"/>
          <w:sz w:val="21"/>
          <w:szCs w:val="21"/>
          <w:spacing w:val="1"/>
        </w:rPr>
        <w:t>持设施，避免这些设施失效而</w:t>
      </w:r>
      <w:r>
        <w:rPr>
          <w:rFonts w:ascii="SimSun" w:hAnsi="SimSun" w:eastAsia="SimSun" w:cs="SimSun"/>
          <w:sz w:val="21"/>
          <w:szCs w:val="21"/>
        </w:rPr>
        <w:t xml:space="preserve"> </w:t>
      </w:r>
      <w:r>
        <w:rPr>
          <w:rFonts w:ascii="SimSun" w:hAnsi="SimSun" w:eastAsia="SimSun" w:cs="SimSun"/>
          <w:sz w:val="21"/>
          <w:szCs w:val="21"/>
          <w:spacing w:val="-4"/>
        </w:rPr>
        <w:t>影响网络安全控制措施。</w:t>
      </w:r>
    </w:p>
    <w:p>
      <w:pPr>
        <w:ind w:right="212" w:firstLine="419"/>
        <w:spacing w:before="89" w:line="260" w:lineRule="auto"/>
        <w:rPr>
          <w:rFonts w:ascii="SimSun" w:hAnsi="SimSun" w:eastAsia="SimSun" w:cs="SimSun"/>
          <w:sz w:val="21"/>
          <w:szCs w:val="21"/>
        </w:rPr>
      </w:pPr>
      <w:r>
        <w:rPr>
          <w:rFonts w:ascii="SimSun" w:hAnsi="SimSun" w:eastAsia="SimSun" w:cs="SimSun"/>
          <w:sz w:val="21"/>
          <w:szCs w:val="21"/>
          <w:spacing w:val="2"/>
        </w:rPr>
        <w:t>在数据使用阶段，组织要保证数据正确、合理地使</w:t>
      </w:r>
      <w:r>
        <w:rPr>
          <w:rFonts w:ascii="SimSun" w:hAnsi="SimSun" w:eastAsia="SimSun" w:cs="SimSun"/>
          <w:sz w:val="21"/>
          <w:szCs w:val="21"/>
          <w:spacing w:val="1"/>
        </w:rPr>
        <w:t>用，要防止数据的泄露和过</w:t>
      </w:r>
      <w:r>
        <w:rPr>
          <w:rFonts w:ascii="SimSun" w:hAnsi="SimSun" w:eastAsia="SimSun" w:cs="SimSun"/>
          <w:sz w:val="21"/>
          <w:szCs w:val="21"/>
        </w:rPr>
        <w:t xml:space="preserve"> </w:t>
      </w:r>
      <w:r>
        <w:rPr>
          <w:rFonts w:ascii="SimSun" w:hAnsi="SimSun" w:eastAsia="SimSun" w:cs="SimSun"/>
          <w:sz w:val="21"/>
          <w:szCs w:val="21"/>
          <w:spacing w:val="2"/>
        </w:rPr>
        <w:t>度使用。在数据使用阶段，数据安全管理需要更多地</w:t>
      </w:r>
      <w:r>
        <w:rPr>
          <w:rFonts w:ascii="SimSun" w:hAnsi="SimSun" w:eastAsia="SimSun" w:cs="SimSun"/>
          <w:sz w:val="21"/>
          <w:szCs w:val="21"/>
          <w:spacing w:val="1"/>
        </w:rPr>
        <w:t>依赖管理手段，所以建立完善</w:t>
      </w:r>
      <w:r>
        <w:rPr>
          <w:rFonts w:ascii="SimSun" w:hAnsi="SimSun" w:eastAsia="SimSun" w:cs="SimSun"/>
          <w:sz w:val="21"/>
          <w:szCs w:val="21"/>
        </w:rPr>
        <w:t xml:space="preserve"> </w:t>
      </w:r>
      <w:r>
        <w:rPr>
          <w:rFonts w:ascii="SimSun" w:hAnsi="SimSun" w:eastAsia="SimSun" w:cs="SimSun"/>
          <w:sz w:val="21"/>
          <w:szCs w:val="21"/>
          <w:spacing w:val="-1"/>
        </w:rPr>
        <w:t>的数据安全管理体系是促进数据安全使用的有效途径。</w:t>
      </w:r>
    </w:p>
    <w:p>
      <w:pPr>
        <w:ind w:left="4"/>
        <w:spacing w:before="305" w:line="225" w:lineRule="auto"/>
        <w:outlineLvl w:val="6"/>
        <w:rPr>
          <w:rFonts w:ascii="YouYuan" w:hAnsi="YouYuan" w:eastAsia="YouYuan" w:cs="YouYuan"/>
          <w:sz w:val="29"/>
          <w:szCs w:val="29"/>
        </w:rPr>
      </w:pPr>
      <w:r>
        <w:rPr>
          <w:rFonts w:ascii="YouYuan" w:hAnsi="YouYuan" w:eastAsia="YouYuan" w:cs="YouYuan"/>
          <w:sz w:val="29"/>
          <w:szCs w:val="29"/>
          <w:b/>
          <w:bCs/>
          <w:spacing w:val="-9"/>
        </w:rPr>
        <w:t>11.2.5</w:t>
      </w:r>
      <w:r>
        <w:rPr>
          <w:rFonts w:ascii="YouYuan" w:hAnsi="YouYuan" w:eastAsia="YouYuan" w:cs="YouYuan"/>
          <w:sz w:val="29"/>
          <w:szCs w:val="29"/>
          <w:spacing w:val="147"/>
        </w:rPr>
        <w:t xml:space="preserve"> </w:t>
      </w:r>
      <w:r>
        <w:rPr>
          <w:rFonts w:ascii="YouYuan" w:hAnsi="YouYuan" w:eastAsia="YouYuan" w:cs="YouYuan"/>
          <w:sz w:val="29"/>
          <w:szCs w:val="29"/>
          <w:b/>
          <w:bCs/>
          <w:spacing w:val="-9"/>
        </w:rPr>
        <w:t>项目过程管理</w:t>
      </w:r>
    </w:p>
    <w:p>
      <w:pPr>
        <w:pStyle w:val="BodyText"/>
        <w:spacing w:line="242" w:lineRule="auto"/>
        <w:rPr/>
      </w:pPr>
      <w:r/>
    </w:p>
    <w:p>
      <w:pPr>
        <w:ind w:left="422"/>
        <w:spacing w:before="69" w:line="228" w:lineRule="auto"/>
        <w:outlineLvl w:val="6"/>
        <w:rPr>
          <w:rFonts w:ascii="YouYuan" w:hAnsi="YouYuan" w:eastAsia="YouYuan" w:cs="YouYuan"/>
          <w:sz w:val="21"/>
          <w:szCs w:val="21"/>
        </w:rPr>
      </w:pPr>
      <w:r>
        <w:rPr>
          <w:rFonts w:ascii="YouYuan" w:hAnsi="YouYuan" w:eastAsia="YouYuan" w:cs="YouYuan"/>
          <w:sz w:val="21"/>
          <w:szCs w:val="21"/>
          <w:b/>
          <w:bCs/>
          <w:spacing w:val="4"/>
        </w:rPr>
        <w:t>1.</w:t>
      </w:r>
      <w:r>
        <w:rPr>
          <w:rFonts w:ascii="YouYuan" w:hAnsi="YouYuan" w:eastAsia="YouYuan" w:cs="YouYuan"/>
          <w:sz w:val="21"/>
          <w:szCs w:val="21"/>
          <w:spacing w:val="4"/>
        </w:rPr>
        <w:t xml:space="preserve"> </w:t>
      </w:r>
      <w:r>
        <w:rPr>
          <w:rFonts w:ascii="YouYuan" w:hAnsi="YouYuan" w:eastAsia="YouYuan" w:cs="YouYuan"/>
          <w:sz w:val="21"/>
          <w:szCs w:val="21"/>
          <w:b/>
          <w:bCs/>
          <w:spacing w:val="4"/>
        </w:rPr>
        <w:t>项目质量管理</w:t>
      </w:r>
    </w:p>
    <w:p>
      <w:pPr>
        <w:ind w:right="213" w:firstLine="419"/>
        <w:spacing w:before="232" w:line="250" w:lineRule="auto"/>
        <w:rPr>
          <w:rFonts w:ascii="SimSun" w:hAnsi="SimSun" w:eastAsia="SimSun" w:cs="SimSun"/>
          <w:sz w:val="21"/>
          <w:szCs w:val="21"/>
        </w:rPr>
      </w:pPr>
      <w:r>
        <w:rPr>
          <w:rFonts w:ascii="SimSun" w:hAnsi="SimSun" w:eastAsia="SimSun" w:cs="SimSun"/>
          <w:sz w:val="21"/>
          <w:szCs w:val="21"/>
          <w:spacing w:val="2"/>
        </w:rPr>
        <w:t>项目质量控制的目的是确保项目工作按照计划进行，并</w:t>
      </w:r>
      <w:r>
        <w:rPr>
          <w:rFonts w:ascii="SimSun" w:hAnsi="SimSun" w:eastAsia="SimSun" w:cs="SimSun"/>
          <w:sz w:val="21"/>
          <w:szCs w:val="21"/>
          <w:spacing w:val="1"/>
        </w:rPr>
        <w:t>达到预定的目标；最终</w:t>
      </w:r>
      <w:r>
        <w:rPr>
          <w:rFonts w:ascii="SimSun" w:hAnsi="SimSun" w:eastAsia="SimSun" w:cs="SimSun"/>
          <w:sz w:val="21"/>
          <w:szCs w:val="21"/>
        </w:rPr>
        <w:t xml:space="preserve"> </w:t>
      </w:r>
      <w:r>
        <w:rPr>
          <w:rFonts w:ascii="SimSun" w:hAnsi="SimSun" w:eastAsia="SimSun" w:cs="SimSun"/>
          <w:sz w:val="21"/>
          <w:szCs w:val="21"/>
        </w:rPr>
        <w:t>的体系文件是符合云端数据治理成熟度模型的</w:t>
      </w:r>
      <w:r>
        <w:rPr>
          <w:rFonts w:ascii="SimSun" w:hAnsi="SimSun" w:eastAsia="SimSun" w:cs="SimSun"/>
          <w:sz w:val="21"/>
          <w:szCs w:val="21"/>
          <w:spacing w:val="-1"/>
        </w:rPr>
        <w:t>要求；确保项目能按预定计划完成。</w:t>
      </w:r>
    </w:p>
    <w:p>
      <w:pPr>
        <w:ind w:left="419"/>
        <w:spacing w:before="70" w:line="219" w:lineRule="auto"/>
        <w:rPr>
          <w:rFonts w:ascii="SimSun" w:hAnsi="SimSun" w:eastAsia="SimSun" w:cs="SimSun"/>
          <w:sz w:val="21"/>
          <w:szCs w:val="21"/>
        </w:rPr>
      </w:pPr>
      <w:r>
        <w:rPr>
          <w:rFonts w:ascii="SimSun" w:hAnsi="SimSun" w:eastAsia="SimSun" w:cs="SimSun"/>
          <w:sz w:val="21"/>
          <w:szCs w:val="21"/>
          <w:spacing w:val="-1"/>
        </w:rPr>
        <w:t>因此，在项目进行中，需要设立若干控制点，主要包</w:t>
      </w:r>
      <w:r>
        <w:rPr>
          <w:rFonts w:ascii="SimSun" w:hAnsi="SimSun" w:eastAsia="SimSun" w:cs="SimSun"/>
          <w:sz w:val="21"/>
          <w:szCs w:val="21"/>
          <w:spacing w:val="-2"/>
        </w:rPr>
        <w:t>括以下六类。</w:t>
      </w:r>
    </w:p>
    <w:p>
      <w:pPr>
        <w:ind w:left="419"/>
        <w:spacing w:before="53" w:line="220" w:lineRule="auto"/>
        <w:rPr>
          <w:rFonts w:ascii="SimSun" w:hAnsi="SimSun" w:eastAsia="SimSun" w:cs="SimSun"/>
          <w:sz w:val="21"/>
          <w:szCs w:val="21"/>
        </w:rPr>
      </w:pPr>
      <w:r>
        <w:rPr>
          <w:rFonts w:ascii="SimSun" w:hAnsi="SimSun" w:eastAsia="SimSun" w:cs="SimSun"/>
          <w:sz w:val="21"/>
          <w:szCs w:val="21"/>
        </w:rPr>
        <w:t>●体系方案质量控制；</w:t>
      </w:r>
    </w:p>
    <w:p>
      <w:pPr>
        <w:ind w:left="419"/>
        <w:spacing w:before="59" w:line="219" w:lineRule="auto"/>
        <w:rPr>
          <w:rFonts w:ascii="SimSun" w:hAnsi="SimSun" w:eastAsia="SimSun" w:cs="SimSun"/>
          <w:sz w:val="21"/>
          <w:szCs w:val="21"/>
        </w:rPr>
      </w:pPr>
      <w:r>
        <w:rPr>
          <w:rFonts w:ascii="SimSun" w:hAnsi="SimSun" w:eastAsia="SimSun" w:cs="SimSun"/>
          <w:sz w:val="21"/>
          <w:szCs w:val="21"/>
          <w:spacing w:val="-2"/>
        </w:rPr>
        <w:t>●业务质量控制；</w:t>
      </w:r>
    </w:p>
    <w:p>
      <w:pPr>
        <w:ind w:left="419"/>
        <w:spacing w:before="51" w:line="219" w:lineRule="auto"/>
        <w:rPr>
          <w:rFonts w:ascii="SimSun" w:hAnsi="SimSun" w:eastAsia="SimSun" w:cs="SimSun"/>
          <w:sz w:val="21"/>
          <w:szCs w:val="21"/>
        </w:rPr>
      </w:pPr>
      <w:r>
        <w:rPr>
          <w:rFonts w:ascii="SimSun" w:hAnsi="SimSun" w:eastAsia="SimSun" w:cs="SimSun"/>
          <w:sz w:val="21"/>
          <w:szCs w:val="21"/>
          <w:spacing w:val="1"/>
        </w:rPr>
        <w:t>●交付物质量控制；</w:t>
      </w:r>
    </w:p>
    <w:p>
      <w:pPr>
        <w:ind w:left="419"/>
        <w:spacing w:before="71" w:line="220" w:lineRule="auto"/>
        <w:rPr>
          <w:rFonts w:ascii="SimSun" w:hAnsi="SimSun" w:eastAsia="SimSun" w:cs="SimSun"/>
          <w:sz w:val="21"/>
          <w:szCs w:val="21"/>
        </w:rPr>
      </w:pPr>
      <w:r>
        <w:rPr>
          <w:rFonts w:ascii="SimSun" w:hAnsi="SimSun" w:eastAsia="SimSun" w:cs="SimSun"/>
          <w:sz w:val="21"/>
          <w:szCs w:val="21"/>
          <w:spacing w:val="-1"/>
        </w:rPr>
        <w:t>●项目初始阶段质量控制；</w:t>
      </w:r>
    </w:p>
    <w:p>
      <w:pPr>
        <w:ind w:left="419"/>
        <w:spacing w:before="56" w:line="311" w:lineRule="exact"/>
        <w:rPr>
          <w:rFonts w:ascii="SimSun" w:hAnsi="SimSun" w:eastAsia="SimSun" w:cs="SimSun"/>
          <w:sz w:val="21"/>
          <w:szCs w:val="21"/>
        </w:rPr>
      </w:pPr>
      <w:r>
        <w:rPr>
          <w:rFonts w:ascii="STXingkai" w:hAnsi="STXingkai" w:eastAsia="STXingkai" w:cs="STXingkai"/>
          <w:sz w:val="21"/>
          <w:szCs w:val="21"/>
          <w:spacing w:val="-9"/>
          <w:position w:val="2"/>
        </w:rPr>
        <w:t>●</w:t>
      </w:r>
      <w:r>
        <w:rPr>
          <w:rFonts w:ascii="STXingkai" w:hAnsi="STXingkai" w:eastAsia="STXingkai" w:cs="STXingkai"/>
          <w:sz w:val="21"/>
          <w:szCs w:val="21"/>
          <w:spacing w:val="35"/>
          <w:position w:val="2"/>
        </w:rPr>
        <w:t xml:space="preserve"> </w:t>
      </w:r>
      <w:r>
        <w:rPr>
          <w:rFonts w:ascii="SimSun" w:hAnsi="SimSun" w:eastAsia="SimSun" w:cs="SimSun"/>
          <w:sz w:val="21"/>
          <w:szCs w:val="21"/>
          <w:spacing w:val="-9"/>
          <w:position w:val="2"/>
        </w:rPr>
        <w:t>项目进行中质量控制；</w:t>
      </w:r>
    </w:p>
    <w:p>
      <w:pPr>
        <w:ind w:left="419"/>
        <w:spacing w:before="2" w:line="219" w:lineRule="auto"/>
        <w:rPr>
          <w:rFonts w:ascii="SimSun" w:hAnsi="SimSun" w:eastAsia="SimSun" w:cs="SimSun"/>
          <w:sz w:val="21"/>
          <w:szCs w:val="21"/>
        </w:rPr>
      </w:pPr>
      <w:r>
        <w:rPr>
          <w:rFonts w:ascii="SimSun" w:hAnsi="SimSun" w:eastAsia="SimSun" w:cs="SimSun"/>
          <w:sz w:val="21"/>
          <w:szCs w:val="21"/>
          <w:spacing w:val="-1"/>
        </w:rPr>
        <w:t>●项目结束阶段质量控制。</w:t>
      </w:r>
    </w:p>
    <w:p>
      <w:pPr>
        <w:ind w:right="193" w:firstLine="419"/>
        <w:spacing w:before="50" w:line="261" w:lineRule="auto"/>
        <w:jc w:val="both"/>
        <w:rPr>
          <w:rFonts w:ascii="SimSun" w:hAnsi="SimSun" w:eastAsia="SimSun" w:cs="SimSun"/>
          <w:sz w:val="21"/>
          <w:szCs w:val="21"/>
        </w:rPr>
      </w:pPr>
      <w:r>
        <w:rPr>
          <w:rFonts w:ascii="SimSun" w:hAnsi="SimSun" w:eastAsia="SimSun" w:cs="SimSun"/>
          <w:sz w:val="21"/>
          <w:szCs w:val="21"/>
          <w:spacing w:val="2"/>
        </w:rPr>
        <w:t>质量管理人员是独立于项目组的，作为项目成功的重要因素和保障，在项目执</w:t>
      </w:r>
      <w:r>
        <w:rPr>
          <w:rFonts w:ascii="SimSun" w:hAnsi="SimSun" w:eastAsia="SimSun" w:cs="SimSun"/>
          <w:sz w:val="21"/>
          <w:szCs w:val="21"/>
          <w:spacing w:val="9"/>
        </w:rPr>
        <w:t xml:space="preserve"> </w:t>
      </w:r>
      <w:r>
        <w:rPr>
          <w:rFonts w:ascii="SimSun" w:hAnsi="SimSun" w:eastAsia="SimSun" w:cs="SimSun"/>
          <w:sz w:val="21"/>
          <w:szCs w:val="21"/>
          <w:spacing w:val="1"/>
        </w:rPr>
        <w:t>行过程中始终与项目组保持密切联系。从另一个角度观察项目的开展，帮助项目组</w:t>
      </w:r>
      <w:r>
        <w:rPr>
          <w:rFonts w:ascii="SimSun" w:hAnsi="SimSun" w:eastAsia="SimSun" w:cs="SimSun"/>
          <w:sz w:val="21"/>
          <w:szCs w:val="21"/>
        </w:rPr>
        <w:t xml:space="preserve"> </w:t>
      </w:r>
      <w:r>
        <w:rPr>
          <w:rFonts w:ascii="SimSun" w:hAnsi="SimSun" w:eastAsia="SimSun" w:cs="SimSun"/>
          <w:sz w:val="21"/>
          <w:szCs w:val="21"/>
          <w:spacing w:val="-2"/>
        </w:rPr>
        <w:t>发现和解决项目执行中的问题，确保项目的成功。</w:t>
      </w:r>
    </w:p>
    <w:p>
      <w:pPr>
        <w:ind w:right="202" w:firstLine="419"/>
        <w:spacing w:before="80" w:line="246" w:lineRule="auto"/>
        <w:rPr>
          <w:rFonts w:ascii="SimSun" w:hAnsi="SimSun" w:eastAsia="SimSun" w:cs="SimSun"/>
          <w:sz w:val="21"/>
          <w:szCs w:val="21"/>
        </w:rPr>
      </w:pPr>
      <w:r>
        <w:rPr>
          <w:rFonts w:ascii="SimSun" w:hAnsi="SimSun" w:eastAsia="SimSun" w:cs="SimSun"/>
          <w:sz w:val="21"/>
          <w:szCs w:val="21"/>
          <w:spacing w:val="2"/>
        </w:rPr>
        <w:t>在项目实施阶段，项目管理与其他子过程并行执行，它从项目开始持续到项目</w:t>
      </w:r>
      <w:r>
        <w:rPr>
          <w:rFonts w:ascii="SimSun" w:hAnsi="SimSun" w:eastAsia="SimSun" w:cs="SimSun"/>
          <w:sz w:val="21"/>
          <w:szCs w:val="21"/>
        </w:rPr>
        <w:t xml:space="preserve"> </w:t>
      </w:r>
      <w:r>
        <w:rPr>
          <w:rFonts w:ascii="SimSun" w:hAnsi="SimSun" w:eastAsia="SimSun" w:cs="SimSun"/>
          <w:sz w:val="21"/>
          <w:szCs w:val="21"/>
          <w:spacing w:val="2"/>
        </w:rPr>
        <w:t>完成。它的步骤和任务侧重于项目小组的管理工</w:t>
      </w:r>
      <w:r>
        <w:rPr>
          <w:rFonts w:ascii="SimSun" w:hAnsi="SimSun" w:eastAsia="SimSun" w:cs="SimSun"/>
          <w:sz w:val="21"/>
          <w:szCs w:val="21"/>
          <w:spacing w:val="1"/>
        </w:rPr>
        <w:t>作。项目管理是一个不断重复的过</w:t>
      </w:r>
    </w:p>
    <w:p>
      <w:pPr>
        <w:spacing w:line="246" w:lineRule="auto"/>
        <w:sectPr>
          <w:footerReference w:type="default" r:id="rId530"/>
          <w:pgSz w:w="8870" w:h="13400"/>
          <w:pgMar w:top="400" w:right="567" w:bottom="487" w:left="470" w:header="0" w:footer="278" w:gutter="0"/>
        </w:sectPr>
        <w:rPr>
          <w:rFonts w:ascii="SimSun" w:hAnsi="SimSun" w:eastAsia="SimSun" w:cs="SimSun"/>
          <w:sz w:val="21"/>
          <w:szCs w:val="21"/>
        </w:rPr>
      </w:pPr>
    </w:p>
    <w:p>
      <w:pPr>
        <w:ind w:left="232"/>
        <w:spacing w:before="305" w:line="219" w:lineRule="auto"/>
        <w:rPr>
          <w:rFonts w:ascii="SimSun" w:hAnsi="SimSun" w:eastAsia="SimSun" w:cs="SimSun"/>
          <w:sz w:val="21"/>
          <w:szCs w:val="21"/>
        </w:rPr>
      </w:pPr>
      <w:r>
        <w:pict>
          <v:rect id="_x0000_s704" style="position:absolute;margin-left:25.0001pt;margin-top:31.0009pt;mso-position-vertical-relative:page;mso-position-horizontal-relative:page;width:0.55pt;height:17.55pt;z-index:258852864;" o:allowincell="f" fillcolor="#000000" filled="true" stroked="false"/>
        </w:pict>
      </w:r>
      <w:bookmarkStart w:name="bookmark107" w:id="102"/>
      <w:bookmarkEnd w:id="102"/>
      <w:r>
        <w:rPr>
          <w:rFonts w:ascii="SimSun" w:hAnsi="SimSun" w:eastAsia="SimSun" w:cs="SimSun"/>
          <w:sz w:val="21"/>
          <w:szCs w:val="21"/>
          <w:b/>
          <w:bCs/>
          <w:spacing w:val="-27"/>
        </w:rPr>
        <w:t>■云端数据治理■</w:t>
      </w:r>
    </w:p>
    <w:p>
      <w:pPr>
        <w:pStyle w:val="BodyText"/>
        <w:spacing w:line="243" w:lineRule="auto"/>
        <w:rPr/>
      </w:pPr>
      <w:r/>
    </w:p>
    <w:p>
      <w:pPr>
        <w:ind w:left="229" w:right="114"/>
        <w:spacing w:before="68" w:line="246" w:lineRule="auto"/>
        <w:rPr>
          <w:rFonts w:ascii="SimSun" w:hAnsi="SimSun" w:eastAsia="SimSun" w:cs="SimSun"/>
          <w:sz w:val="21"/>
          <w:szCs w:val="21"/>
        </w:rPr>
      </w:pPr>
      <w:r>
        <w:rPr>
          <w:rFonts w:ascii="SimSun" w:hAnsi="SimSun" w:eastAsia="SimSun" w:cs="SimSun"/>
          <w:sz w:val="21"/>
          <w:szCs w:val="21"/>
          <w:spacing w:val="2"/>
        </w:rPr>
        <w:t>程，许多任务例如“过程控制”要贯穿于项目的始终，而另外一些任务会因为突发</w:t>
      </w:r>
      <w:r>
        <w:rPr>
          <w:rFonts w:ascii="SimSun" w:hAnsi="SimSun" w:eastAsia="SimSun" w:cs="SimSun"/>
          <w:sz w:val="21"/>
          <w:szCs w:val="21"/>
          <w:spacing w:val="16"/>
        </w:rPr>
        <w:t xml:space="preserve"> </w:t>
      </w:r>
      <w:r>
        <w:rPr>
          <w:rFonts w:ascii="SimSun" w:hAnsi="SimSun" w:eastAsia="SimSun" w:cs="SimSun"/>
          <w:sz w:val="21"/>
          <w:szCs w:val="21"/>
          <w:spacing w:val="-9"/>
        </w:rPr>
        <w:t>事件而启动，例如：</w:t>
      </w:r>
    </w:p>
    <w:p>
      <w:pPr>
        <w:ind w:left="699"/>
        <w:spacing w:before="67" w:line="311" w:lineRule="exact"/>
        <w:rPr>
          <w:rFonts w:ascii="SimSun" w:hAnsi="SimSun" w:eastAsia="SimSun" w:cs="SimSun"/>
          <w:sz w:val="21"/>
          <w:szCs w:val="21"/>
        </w:rPr>
      </w:pPr>
      <w:r>
        <w:rPr>
          <w:rFonts w:ascii="STXingkai" w:hAnsi="STXingkai" w:eastAsia="STXingkai" w:cs="STXingkai"/>
          <w:sz w:val="21"/>
          <w:szCs w:val="21"/>
          <w:spacing w:val="-15"/>
          <w:position w:val="2"/>
        </w:rPr>
        <w:t>●</w:t>
      </w:r>
      <w:r>
        <w:rPr>
          <w:rFonts w:ascii="STXingkai" w:hAnsi="STXingkai" w:eastAsia="STXingkai" w:cs="STXingkai"/>
          <w:sz w:val="21"/>
          <w:szCs w:val="21"/>
          <w:spacing w:val="37"/>
          <w:position w:val="2"/>
        </w:rPr>
        <w:t xml:space="preserve"> </w:t>
      </w:r>
      <w:r>
        <w:rPr>
          <w:rFonts w:ascii="SimSun" w:hAnsi="SimSun" w:eastAsia="SimSun" w:cs="SimSun"/>
          <w:sz w:val="21"/>
          <w:szCs w:val="21"/>
          <w:spacing w:val="-15"/>
          <w:position w:val="2"/>
        </w:rPr>
        <w:t>用户改变需求；</w:t>
      </w:r>
    </w:p>
    <w:p>
      <w:pPr>
        <w:ind w:left="699"/>
        <w:spacing w:before="22" w:line="220" w:lineRule="auto"/>
        <w:rPr>
          <w:rFonts w:ascii="SimSun" w:hAnsi="SimSun" w:eastAsia="SimSun" w:cs="SimSun"/>
          <w:sz w:val="21"/>
          <w:szCs w:val="21"/>
        </w:rPr>
      </w:pPr>
      <w:r>
        <w:rPr>
          <w:rFonts w:ascii="SimSun" w:hAnsi="SimSun" w:eastAsia="SimSun" w:cs="SimSun"/>
          <w:sz w:val="21"/>
          <w:szCs w:val="21"/>
          <w:spacing w:val="1"/>
        </w:rPr>
        <w:t>●提前实现需求；</w:t>
      </w:r>
    </w:p>
    <w:p>
      <w:pPr>
        <w:ind w:left="699"/>
        <w:spacing w:before="47" w:line="310" w:lineRule="exact"/>
        <w:rPr>
          <w:rFonts w:ascii="SimSun" w:hAnsi="SimSun" w:eastAsia="SimSun" w:cs="SimSun"/>
          <w:sz w:val="21"/>
          <w:szCs w:val="21"/>
        </w:rPr>
      </w:pPr>
      <w:r>
        <w:rPr>
          <w:rFonts w:ascii="STXingkai" w:hAnsi="STXingkai" w:eastAsia="STXingkai" w:cs="STXingkai"/>
          <w:sz w:val="21"/>
          <w:szCs w:val="21"/>
          <w:spacing w:val="-3"/>
          <w:position w:val="2"/>
        </w:rPr>
        <w:t>● </w:t>
      </w:r>
      <w:r>
        <w:rPr>
          <w:rFonts w:ascii="SimSun" w:hAnsi="SimSun" w:eastAsia="SimSun" w:cs="SimSun"/>
          <w:sz w:val="21"/>
          <w:szCs w:val="21"/>
          <w:spacing w:val="-3"/>
          <w:position w:val="2"/>
        </w:rPr>
        <w:t>用户处于紧急关头；</w:t>
      </w:r>
    </w:p>
    <w:p>
      <w:pPr>
        <w:ind w:left="699"/>
        <w:spacing w:before="3" w:line="219" w:lineRule="auto"/>
        <w:rPr>
          <w:rFonts w:ascii="SimSun" w:hAnsi="SimSun" w:eastAsia="SimSun" w:cs="SimSun"/>
          <w:sz w:val="21"/>
          <w:szCs w:val="21"/>
        </w:rPr>
      </w:pPr>
      <w:r>
        <w:rPr>
          <w:rFonts w:ascii="SimSun" w:hAnsi="SimSun" w:eastAsia="SimSun" w:cs="SimSun"/>
          <w:sz w:val="21"/>
          <w:szCs w:val="21"/>
          <w:spacing w:val="-1"/>
        </w:rPr>
        <w:t>●实际过程与计划过程有差异；</w:t>
      </w:r>
    </w:p>
    <w:p>
      <w:pPr>
        <w:ind w:left="699"/>
        <w:spacing w:before="71" w:line="220" w:lineRule="auto"/>
        <w:rPr>
          <w:rFonts w:ascii="SimSun" w:hAnsi="SimSun" w:eastAsia="SimSun" w:cs="SimSun"/>
          <w:sz w:val="21"/>
          <w:szCs w:val="21"/>
        </w:rPr>
      </w:pPr>
      <w:r>
        <w:rPr>
          <w:rFonts w:ascii="SimSun" w:hAnsi="SimSun" w:eastAsia="SimSun" w:cs="SimSun"/>
          <w:sz w:val="21"/>
          <w:szCs w:val="21"/>
          <w:spacing w:val="-1"/>
        </w:rPr>
        <w:t>●标识新的风险。</w:t>
      </w:r>
    </w:p>
    <w:p>
      <w:pPr>
        <w:ind w:left="229" w:right="74" w:firstLine="469"/>
        <w:spacing w:before="59" w:line="243" w:lineRule="auto"/>
        <w:rPr>
          <w:rFonts w:ascii="SimSun" w:hAnsi="SimSun" w:eastAsia="SimSun" w:cs="SimSun"/>
          <w:sz w:val="21"/>
          <w:szCs w:val="21"/>
        </w:rPr>
      </w:pPr>
      <w:r>
        <w:rPr>
          <w:rFonts w:ascii="SimSun" w:hAnsi="SimSun" w:eastAsia="SimSun" w:cs="SimSun"/>
          <w:sz w:val="21"/>
          <w:szCs w:val="21"/>
          <w:spacing w:val="2"/>
        </w:rPr>
        <w:t>此过程在项目启动和项目结束之间与“实施方案”过程并行进行。它们是两个</w:t>
      </w:r>
      <w:r>
        <w:rPr>
          <w:rFonts w:ascii="SimSun" w:hAnsi="SimSun" w:eastAsia="SimSun" w:cs="SimSun"/>
          <w:sz w:val="21"/>
          <w:szCs w:val="21"/>
          <w:spacing w:val="10"/>
        </w:rPr>
        <w:t xml:space="preserve"> </w:t>
      </w:r>
      <w:r>
        <w:rPr>
          <w:rFonts w:ascii="SimSun" w:hAnsi="SimSun" w:eastAsia="SimSun" w:cs="SimSun"/>
          <w:sz w:val="21"/>
          <w:szCs w:val="21"/>
          <w:spacing w:val="-6"/>
        </w:rPr>
        <w:t>不同的方面。</w:t>
      </w:r>
    </w:p>
    <w:p>
      <w:pPr>
        <w:ind w:left="229" w:right="111" w:firstLine="469"/>
        <w:spacing w:before="67" w:line="255" w:lineRule="auto"/>
        <w:rPr>
          <w:rFonts w:ascii="SimSun" w:hAnsi="SimSun" w:eastAsia="SimSun" w:cs="SimSun"/>
          <w:sz w:val="21"/>
          <w:szCs w:val="21"/>
        </w:rPr>
      </w:pPr>
      <w:r>
        <w:rPr>
          <w:rFonts w:ascii="SimSun" w:hAnsi="SimSun" w:eastAsia="SimSun" w:cs="SimSun"/>
          <w:sz w:val="21"/>
          <w:szCs w:val="21"/>
          <w:spacing w:val="1"/>
        </w:rPr>
        <w:t>项目管理过程侧重于管理项目计划中定义的步骤，确保实现所有的承诺，及时</w:t>
      </w:r>
      <w:r>
        <w:rPr>
          <w:rFonts w:ascii="SimSun" w:hAnsi="SimSun" w:eastAsia="SimSun" w:cs="SimSun"/>
          <w:sz w:val="21"/>
          <w:szCs w:val="21"/>
          <w:spacing w:val="7"/>
        </w:rPr>
        <w:t xml:space="preserve"> </w:t>
      </w:r>
      <w:r>
        <w:rPr>
          <w:rFonts w:ascii="SimSun" w:hAnsi="SimSun" w:eastAsia="SimSun" w:cs="SimSun"/>
          <w:sz w:val="21"/>
          <w:szCs w:val="21"/>
          <w:spacing w:val="1"/>
        </w:rPr>
        <w:t>向组织业务部门或者高层管理反馈情况，保证项目质量。其中最关键的工作是对计 </w:t>
      </w:r>
      <w:r>
        <w:rPr>
          <w:rFonts w:ascii="SimSun" w:hAnsi="SimSun" w:eastAsia="SimSun" w:cs="SimSun"/>
          <w:sz w:val="21"/>
          <w:szCs w:val="21"/>
          <w:spacing w:val="3"/>
        </w:rPr>
        <w:t>划外事件的管理(变更、风险等)。</w:t>
      </w:r>
    </w:p>
    <w:p>
      <w:pPr>
        <w:ind w:left="702"/>
        <w:spacing w:before="216" w:line="225" w:lineRule="auto"/>
        <w:outlineLvl w:val="6"/>
        <w:rPr>
          <w:rFonts w:ascii="YouYuan" w:hAnsi="YouYuan" w:eastAsia="YouYuan" w:cs="YouYuan"/>
          <w:sz w:val="21"/>
          <w:szCs w:val="21"/>
        </w:rPr>
      </w:pPr>
      <w:r>
        <w:rPr>
          <w:rFonts w:ascii="YouYuan" w:hAnsi="YouYuan" w:eastAsia="YouYuan" w:cs="YouYuan"/>
          <w:sz w:val="21"/>
          <w:szCs w:val="21"/>
          <w:b/>
          <w:bCs/>
          <w:spacing w:val="7"/>
        </w:rPr>
        <w:t>2.</w:t>
      </w:r>
      <w:r>
        <w:rPr>
          <w:rFonts w:ascii="YouYuan" w:hAnsi="YouYuan" w:eastAsia="YouYuan" w:cs="YouYuan"/>
          <w:sz w:val="21"/>
          <w:szCs w:val="21"/>
          <w:spacing w:val="7"/>
        </w:rPr>
        <w:t xml:space="preserve"> </w:t>
      </w:r>
      <w:r>
        <w:rPr>
          <w:rFonts w:ascii="YouYuan" w:hAnsi="YouYuan" w:eastAsia="YouYuan" w:cs="YouYuan"/>
          <w:sz w:val="21"/>
          <w:szCs w:val="21"/>
          <w:b/>
          <w:bCs/>
          <w:spacing w:val="7"/>
        </w:rPr>
        <w:t>项目风险管理</w:t>
      </w:r>
    </w:p>
    <w:p>
      <w:pPr>
        <w:ind w:left="229" w:firstLine="469"/>
        <w:spacing w:before="226" w:line="262" w:lineRule="auto"/>
        <w:jc w:val="both"/>
        <w:rPr>
          <w:rFonts w:ascii="SimSun" w:hAnsi="SimSun" w:eastAsia="SimSun" w:cs="SimSun"/>
          <w:sz w:val="21"/>
          <w:szCs w:val="21"/>
        </w:rPr>
      </w:pPr>
      <w:r>
        <w:rPr>
          <w:rFonts w:ascii="SimSun" w:hAnsi="SimSun" w:eastAsia="SimSun" w:cs="SimSun"/>
          <w:sz w:val="21"/>
          <w:szCs w:val="21"/>
          <w:spacing w:val="-2"/>
        </w:rPr>
        <w:t>风险，多指对项目“不利”的不确定因素。这些不利的风险存在于任何项目中，</w:t>
      </w:r>
      <w:r>
        <w:rPr>
          <w:rFonts w:ascii="SimSun" w:hAnsi="SimSun" w:eastAsia="SimSun" w:cs="SimSun"/>
          <w:sz w:val="21"/>
          <w:szCs w:val="21"/>
          <w:spacing w:val="13"/>
        </w:rPr>
        <w:t xml:space="preserve"> </w:t>
      </w:r>
      <w:r>
        <w:rPr>
          <w:rFonts w:ascii="SimSun" w:hAnsi="SimSun" w:eastAsia="SimSun" w:cs="SimSun"/>
          <w:sz w:val="21"/>
          <w:szCs w:val="21"/>
          <w:spacing w:val="1"/>
        </w:rPr>
        <w:t>并往往会给项目的推进和项目的成功带来负面影响。风险一旦发生，它的影响是多</w:t>
      </w:r>
      <w:r>
        <w:rPr>
          <w:rFonts w:ascii="SimSun" w:hAnsi="SimSun" w:eastAsia="SimSun" w:cs="SimSun"/>
          <w:sz w:val="21"/>
          <w:szCs w:val="21"/>
          <w:spacing w:val="6"/>
        </w:rPr>
        <w:t xml:space="preserve">  </w:t>
      </w:r>
      <w:r>
        <w:rPr>
          <w:rFonts w:ascii="SimSun" w:hAnsi="SimSun" w:eastAsia="SimSun" w:cs="SimSun"/>
          <w:sz w:val="21"/>
          <w:szCs w:val="21"/>
        </w:rPr>
        <w:t>方面的，如导致项目服务的功能无法满足客户的需要、项目费用超出预算、项目计  </w:t>
      </w:r>
      <w:r>
        <w:rPr>
          <w:rFonts w:ascii="SimSun" w:hAnsi="SimSun" w:eastAsia="SimSun" w:cs="SimSun"/>
          <w:sz w:val="21"/>
          <w:szCs w:val="21"/>
          <w:spacing w:val="2"/>
        </w:rPr>
        <w:t>划拖延或被迫取消等，其最终体现为客户满意度的降低。因此，识别风险、评估风</w:t>
      </w:r>
      <w:r>
        <w:rPr>
          <w:rFonts w:ascii="SimSun" w:hAnsi="SimSun" w:eastAsia="SimSun" w:cs="SimSun"/>
          <w:sz w:val="21"/>
          <w:szCs w:val="21"/>
          <w:spacing w:val="8"/>
        </w:rPr>
        <w:t xml:space="preserve">  </w:t>
      </w:r>
      <w:r>
        <w:rPr>
          <w:rFonts w:ascii="SimSun" w:hAnsi="SimSun" w:eastAsia="SimSun" w:cs="SimSun"/>
          <w:sz w:val="21"/>
          <w:szCs w:val="21"/>
          <w:spacing w:val="7"/>
        </w:rPr>
        <w:t>险并采取措施应对风险(即风险管理)有着十分</w:t>
      </w:r>
      <w:r>
        <w:rPr>
          <w:rFonts w:ascii="SimSun" w:hAnsi="SimSun" w:eastAsia="SimSun" w:cs="SimSun"/>
          <w:sz w:val="21"/>
          <w:szCs w:val="21"/>
          <w:spacing w:val="6"/>
        </w:rPr>
        <w:t>重要的意义。</w:t>
      </w:r>
    </w:p>
    <w:p>
      <w:pPr>
        <w:ind w:left="699"/>
        <w:spacing w:before="71" w:line="219" w:lineRule="auto"/>
        <w:rPr>
          <w:rFonts w:ascii="SimSun" w:hAnsi="SimSun" w:eastAsia="SimSun" w:cs="SimSun"/>
          <w:sz w:val="21"/>
          <w:szCs w:val="21"/>
        </w:rPr>
      </w:pPr>
      <w:r>
        <w:rPr>
          <w:rFonts w:ascii="SimSun" w:hAnsi="SimSun" w:eastAsia="SimSun" w:cs="SimSun"/>
          <w:sz w:val="21"/>
          <w:szCs w:val="21"/>
          <w:spacing w:val="1"/>
        </w:rPr>
        <w:t>项目组将采用图11-17所示的风险管理过程对项目过程中的分析进行管理。</w:t>
      </w:r>
    </w:p>
    <w:p>
      <w:pPr>
        <w:pStyle w:val="BodyText"/>
        <w:ind w:firstLine="969"/>
        <w:spacing w:before="13" w:line="2600" w:lineRule="exact"/>
        <w:rPr/>
      </w:pPr>
      <w:r>
        <w:rPr>
          <w:position w:val="-52"/>
        </w:rPr>
        <w:pict>
          <v:group id="_x0000_s706" style="mso-position-vertical-relative:line;mso-position-horizontal-relative:char;width:314.55pt;height:130.05pt;" filled="false" stroked="false" coordsize="6290,2601" coordorigin="0,0">
            <v:shape id="_x0000_s708" style="position:absolute;left:0;top:0;width:6290;height:2601;" filled="false" stroked="false" type="#_x0000_t75">
              <v:imagedata o:title="" r:id="rId532"/>
            </v:shape>
            <v:shape id="_x0000_s710" style="position:absolute;left:180;top:157;width:6027;height:225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9"/>
                      </w:rPr>
                      <w:t>风险识别/记录</w:t>
                    </w:r>
                  </w:p>
                  <w:p>
                    <w:pPr>
                      <w:spacing w:line="324" w:lineRule="auto"/>
                      <w:rPr>
                        <w:rFonts w:ascii="Arial"/>
                        <w:sz w:val="21"/>
                      </w:rPr>
                    </w:pPr>
                    <w:r/>
                  </w:p>
                  <w:p>
                    <w:pPr>
                      <w:ind w:left="1380"/>
                      <w:spacing w:before="52" w:line="219" w:lineRule="auto"/>
                      <w:rPr>
                        <w:rFonts w:ascii="SimSun" w:hAnsi="SimSun" w:eastAsia="SimSun" w:cs="SimSun"/>
                        <w:sz w:val="16"/>
                        <w:szCs w:val="16"/>
                      </w:rPr>
                    </w:pPr>
                    <w:r>
                      <w:rPr>
                        <w:rFonts w:ascii="SimSun" w:hAnsi="SimSun" w:eastAsia="SimSun" w:cs="SimSun"/>
                        <w:sz w:val="16"/>
                        <w:szCs w:val="16"/>
                        <w:spacing w:val="-10"/>
                      </w:rPr>
                      <w:t>定性/定量分享分析</w:t>
                    </w:r>
                  </w:p>
                  <w:p>
                    <w:pPr>
                      <w:spacing w:line="455" w:lineRule="auto"/>
                      <w:rPr>
                        <w:rFonts w:ascii="Arial"/>
                        <w:sz w:val="21"/>
                      </w:rPr>
                    </w:pPr>
                    <w:r/>
                  </w:p>
                  <w:p>
                    <w:pPr>
                      <w:ind w:left="2140"/>
                      <w:spacing w:before="52" w:line="219" w:lineRule="auto"/>
                      <w:rPr>
                        <w:rFonts w:ascii="SimSun" w:hAnsi="SimSun" w:eastAsia="SimSun" w:cs="SimSun"/>
                        <w:sz w:val="16"/>
                        <w:szCs w:val="16"/>
                      </w:rPr>
                    </w:pPr>
                    <w:r>
                      <w:rPr>
                        <w:rFonts w:ascii="SimSun" w:hAnsi="SimSun" w:eastAsia="SimSun" w:cs="SimSun"/>
                        <w:sz w:val="16"/>
                        <w:szCs w:val="16"/>
                        <w:spacing w:val="-6"/>
                      </w:rPr>
                      <w:t>风险计划编制</w:t>
                    </w:r>
                  </w:p>
                  <w:p>
                    <w:pPr>
                      <w:ind w:right="12"/>
                      <w:spacing w:before="280" w:line="220" w:lineRule="auto"/>
                      <w:jc w:val="right"/>
                      <w:rPr>
                        <w:rFonts w:ascii="SimSun" w:hAnsi="SimSun" w:eastAsia="SimSun" w:cs="SimSun"/>
                        <w:sz w:val="16"/>
                        <w:szCs w:val="16"/>
                      </w:rPr>
                    </w:pPr>
                    <w:r>
                      <w:rPr>
                        <w:rFonts w:ascii="SimSun" w:hAnsi="SimSun" w:eastAsia="SimSun" w:cs="SimSun"/>
                        <w:sz w:val="16"/>
                        <w:szCs w:val="16"/>
                        <w:spacing w:val="-6"/>
                      </w:rPr>
                      <w:t>风险计划落实</w:t>
                    </w:r>
                  </w:p>
                  <w:p>
                    <w:pPr>
                      <w:ind w:left="2389"/>
                      <w:spacing w:before="127" w:line="218" w:lineRule="auto"/>
                      <w:rPr>
                        <w:rFonts w:ascii="SimSun" w:hAnsi="SimSun" w:eastAsia="SimSun" w:cs="SimSun"/>
                        <w:sz w:val="16"/>
                        <w:szCs w:val="16"/>
                      </w:rPr>
                    </w:pPr>
                    <w:r>
                      <w:rPr>
                        <w:rFonts w:ascii="SimSun" w:hAnsi="SimSun" w:eastAsia="SimSun" w:cs="SimSun"/>
                        <w:sz w:val="16"/>
                        <w:szCs w:val="16"/>
                        <w:spacing w:val="-5"/>
                      </w:rPr>
                      <w:t>风险重新评估</w:t>
                    </w:r>
                  </w:p>
                </w:txbxContent>
              </v:textbox>
            </v:shape>
            <v:shape id="_x0000_s712" style="position:absolute;left:4020;top:1437;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风险监控</w:t>
                    </w:r>
                  </w:p>
                </w:txbxContent>
              </v:textbox>
            </v:shape>
            <v:shape id="_x0000_s714" style="position:absolute;left:4030;top:2237;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风险注销</w:t>
                    </w:r>
                  </w:p>
                </w:txbxContent>
              </v:textbox>
            </v:shape>
          </v:group>
        </w:pict>
      </w:r>
    </w:p>
    <w:p>
      <w:pPr>
        <w:ind w:left="3190"/>
        <w:spacing w:before="68" w:line="222" w:lineRule="auto"/>
        <w:rPr>
          <w:rFonts w:ascii="SimHei" w:hAnsi="SimHei" w:eastAsia="SimHei" w:cs="SimHei"/>
          <w:sz w:val="21"/>
          <w:szCs w:val="21"/>
        </w:rPr>
      </w:pPr>
      <w:r>
        <w:rPr>
          <w:rFonts w:ascii="SimHei" w:hAnsi="SimHei" w:eastAsia="SimHei" w:cs="SimHei"/>
          <w:sz w:val="21"/>
          <w:szCs w:val="21"/>
          <w:spacing w:val="-17"/>
        </w:rPr>
        <w:t>图11-17</w:t>
      </w:r>
      <w:r>
        <w:rPr>
          <w:rFonts w:ascii="SimHei" w:hAnsi="SimHei" w:eastAsia="SimHei" w:cs="SimHei"/>
          <w:sz w:val="21"/>
          <w:szCs w:val="21"/>
          <w:spacing w:val="65"/>
        </w:rPr>
        <w:t xml:space="preserve"> </w:t>
      </w:r>
      <w:r>
        <w:rPr>
          <w:rFonts w:ascii="SimHei" w:hAnsi="SimHei" w:eastAsia="SimHei" w:cs="SimHei"/>
          <w:sz w:val="21"/>
          <w:szCs w:val="21"/>
          <w:spacing w:val="-17"/>
        </w:rPr>
        <w:t>风险管理过程</w:t>
      </w:r>
    </w:p>
    <w:p>
      <w:pPr>
        <w:ind w:left="229" w:right="113" w:firstLine="469"/>
        <w:spacing w:before="167" w:line="242" w:lineRule="auto"/>
        <w:rPr>
          <w:rFonts w:ascii="SimSun" w:hAnsi="SimSun" w:eastAsia="SimSun" w:cs="SimSun"/>
          <w:sz w:val="21"/>
          <w:szCs w:val="21"/>
        </w:rPr>
      </w:pPr>
      <w:r>
        <w:rPr>
          <w:rFonts w:ascii="SimSun" w:hAnsi="SimSun" w:eastAsia="SimSun" w:cs="SimSun"/>
          <w:sz w:val="21"/>
          <w:szCs w:val="21"/>
          <w:spacing w:val="1"/>
        </w:rPr>
        <w:t>具体到本项目，我们可以以项目计划为线索，识别项目在各方面的风险。在实</w:t>
      </w:r>
      <w:r>
        <w:rPr>
          <w:rFonts w:ascii="SimSun" w:hAnsi="SimSun" w:eastAsia="SimSun" w:cs="SimSun"/>
          <w:sz w:val="21"/>
          <w:szCs w:val="21"/>
          <w:spacing w:val="6"/>
        </w:rPr>
        <w:t xml:space="preserve"> </w:t>
      </w:r>
      <w:r>
        <w:rPr>
          <w:rFonts w:ascii="SimSun" w:hAnsi="SimSun" w:eastAsia="SimSun" w:cs="SimSun"/>
          <w:sz w:val="21"/>
          <w:szCs w:val="21"/>
          <w:spacing w:val="-2"/>
        </w:rPr>
        <w:t>施过程中，应特别关注以下三方面的风险。</w:t>
      </w:r>
    </w:p>
    <w:p>
      <w:pPr>
        <w:ind w:left="699"/>
        <w:spacing w:before="52" w:line="220" w:lineRule="auto"/>
        <w:rPr>
          <w:rFonts w:ascii="SimSun" w:hAnsi="SimSun" w:eastAsia="SimSun" w:cs="SimSun"/>
          <w:sz w:val="21"/>
          <w:szCs w:val="21"/>
        </w:rPr>
      </w:pPr>
      <w:r>
        <w:rPr>
          <w:rFonts w:ascii="SimSun" w:hAnsi="SimSun" w:eastAsia="SimSun" w:cs="SimSun"/>
          <w:sz w:val="21"/>
          <w:szCs w:val="21"/>
          <w:spacing w:val="8"/>
        </w:rPr>
        <w:t>(1)项目范围的风险</w:t>
      </w:r>
    </w:p>
    <w:p>
      <w:pPr>
        <w:ind w:left="229" w:right="115" w:firstLine="469"/>
        <w:spacing w:before="77" w:line="237" w:lineRule="auto"/>
        <w:rPr>
          <w:rFonts w:ascii="SimSun" w:hAnsi="SimSun" w:eastAsia="SimSun" w:cs="SimSun"/>
          <w:sz w:val="21"/>
          <w:szCs w:val="21"/>
        </w:rPr>
      </w:pPr>
      <w:r>
        <w:rPr>
          <w:rFonts w:ascii="SimSun" w:hAnsi="SimSun" w:eastAsia="SimSun" w:cs="SimSun"/>
          <w:sz w:val="21"/>
          <w:szCs w:val="21"/>
          <w:spacing w:val="1"/>
        </w:rPr>
        <w:t>若项目范围定义不清晰，可能导致各部门对项目范围的认知产生分歧。若双方</w:t>
      </w:r>
      <w:r>
        <w:rPr>
          <w:rFonts w:ascii="SimSun" w:hAnsi="SimSun" w:eastAsia="SimSun" w:cs="SimSun"/>
          <w:sz w:val="21"/>
          <w:szCs w:val="21"/>
          <w:spacing w:val="3"/>
        </w:rPr>
        <w:t xml:space="preserve"> </w:t>
      </w:r>
      <w:r>
        <w:rPr>
          <w:rFonts w:ascii="SimSun" w:hAnsi="SimSun" w:eastAsia="SimSun" w:cs="SimSun"/>
          <w:sz w:val="21"/>
          <w:szCs w:val="21"/>
          <w:spacing w:val="-1"/>
        </w:rPr>
        <w:t>的分歧较大，不能达成一致，则必然会造成效率低下，相互推脱。</w:t>
      </w:r>
    </w:p>
    <w:p>
      <w:pPr>
        <w:ind w:left="699"/>
        <w:spacing w:before="63" w:line="219" w:lineRule="auto"/>
        <w:rPr>
          <w:rFonts w:ascii="SimSun" w:hAnsi="SimSun" w:eastAsia="SimSun" w:cs="SimSun"/>
          <w:sz w:val="21"/>
          <w:szCs w:val="21"/>
        </w:rPr>
      </w:pPr>
      <w:r>
        <w:rPr>
          <w:rFonts w:ascii="SimSun" w:hAnsi="SimSun" w:eastAsia="SimSun" w:cs="SimSun"/>
          <w:sz w:val="21"/>
          <w:szCs w:val="21"/>
          <w:spacing w:val="1"/>
        </w:rPr>
        <w:t>因此，应对项目的实施范围做尽可能清晰的界定，前期多花一些时间在项目实</w:t>
      </w:r>
    </w:p>
    <w:p>
      <w:pPr>
        <w:spacing w:line="219" w:lineRule="auto"/>
        <w:sectPr>
          <w:footerReference w:type="default" r:id="rId531"/>
          <w:pgSz w:w="8870" w:h="13400"/>
          <w:pgMar w:top="400" w:right="515" w:bottom="447" w:left="360" w:header="0" w:footer="239" w:gutter="0"/>
        </w:sectPr>
        <w:rPr>
          <w:rFonts w:ascii="SimSun" w:hAnsi="SimSun" w:eastAsia="SimSun" w:cs="SimSun"/>
          <w:sz w:val="21"/>
          <w:szCs w:val="21"/>
        </w:rPr>
      </w:pPr>
    </w:p>
    <w:p>
      <w:pPr>
        <w:ind w:left="4582"/>
        <w:spacing w:before="224" w:line="219" w:lineRule="auto"/>
        <w:rPr>
          <w:rFonts w:ascii="SimSun" w:hAnsi="SimSun" w:eastAsia="SimSun" w:cs="SimSun"/>
          <w:sz w:val="21"/>
          <w:szCs w:val="21"/>
        </w:rPr>
      </w:pPr>
      <w:r>
        <w:rPr>
          <w:rFonts w:ascii="SimSun" w:hAnsi="SimSun" w:eastAsia="SimSun" w:cs="SimSun"/>
          <w:sz w:val="21"/>
          <w:szCs w:val="21"/>
          <w:b/>
          <w:bCs/>
          <w:spacing w:val="-5"/>
        </w:rPr>
        <w:t>第11章■云端数据治理体系实施■</w:t>
      </w:r>
    </w:p>
    <w:p>
      <w:pPr>
        <w:pStyle w:val="BodyText"/>
        <w:spacing w:line="246" w:lineRule="auto"/>
        <w:rPr/>
      </w:pPr>
      <w:r/>
    </w:p>
    <w:p>
      <w:pPr>
        <w:spacing w:before="68" w:line="320" w:lineRule="exact"/>
        <w:rPr>
          <w:rFonts w:ascii="SimSun" w:hAnsi="SimSun" w:eastAsia="SimSun" w:cs="SimSun"/>
          <w:sz w:val="21"/>
          <w:szCs w:val="21"/>
        </w:rPr>
      </w:pPr>
      <w:r>
        <w:rPr>
          <w:rFonts w:ascii="SimSun" w:hAnsi="SimSun" w:eastAsia="SimSun" w:cs="SimSun"/>
          <w:sz w:val="21"/>
          <w:szCs w:val="21"/>
          <w:spacing w:val="-6"/>
          <w:position w:val="7"/>
        </w:rPr>
        <w:t>施前的范围界定工作上。</w:t>
      </w:r>
    </w:p>
    <w:p>
      <w:pPr>
        <w:ind w:left="409"/>
        <w:spacing w:line="220" w:lineRule="auto"/>
        <w:rPr>
          <w:rFonts w:ascii="SimSun" w:hAnsi="SimSun" w:eastAsia="SimSun" w:cs="SimSun"/>
          <w:sz w:val="21"/>
          <w:szCs w:val="21"/>
        </w:rPr>
      </w:pPr>
      <w:r>
        <w:rPr>
          <w:rFonts w:ascii="SimSun" w:hAnsi="SimSun" w:eastAsia="SimSun" w:cs="SimSun"/>
          <w:sz w:val="21"/>
          <w:szCs w:val="21"/>
          <w:spacing w:val="7"/>
        </w:rPr>
        <w:t>(2)项目进度的风险</w:t>
      </w:r>
    </w:p>
    <w:p>
      <w:pPr>
        <w:ind w:right="207" w:firstLine="409"/>
        <w:spacing w:before="47" w:line="261" w:lineRule="auto"/>
        <w:rPr>
          <w:rFonts w:ascii="SimSun" w:hAnsi="SimSun" w:eastAsia="SimSun" w:cs="SimSun"/>
          <w:sz w:val="21"/>
          <w:szCs w:val="21"/>
        </w:rPr>
      </w:pPr>
      <w:r>
        <w:rPr>
          <w:rFonts w:ascii="SimSun" w:hAnsi="SimSun" w:eastAsia="SimSun" w:cs="SimSun"/>
          <w:sz w:val="21"/>
          <w:szCs w:val="21"/>
          <w:spacing w:val="-10"/>
        </w:rPr>
        <w:t>关于项目实施的周期，目前有时间进度上的紧迫性。但项目进度的</w:t>
      </w:r>
      <w:r>
        <w:rPr>
          <w:rFonts w:ascii="SimSun" w:hAnsi="SimSun" w:eastAsia="SimSun" w:cs="SimSun"/>
          <w:sz w:val="21"/>
          <w:szCs w:val="21"/>
          <w:spacing w:val="-11"/>
        </w:rPr>
        <w:t>控制绝非易事，</w:t>
      </w:r>
      <w:r>
        <w:rPr>
          <w:rFonts w:ascii="SimSun" w:hAnsi="SimSun" w:eastAsia="SimSun" w:cs="SimSun"/>
          <w:sz w:val="21"/>
          <w:szCs w:val="21"/>
        </w:rPr>
        <w:t xml:space="preserve"> </w:t>
      </w:r>
      <w:r>
        <w:rPr>
          <w:rFonts w:ascii="SimSun" w:hAnsi="SimSun" w:eastAsia="SimSun" w:cs="SimSun"/>
          <w:sz w:val="21"/>
          <w:szCs w:val="21"/>
          <w:spacing w:val="-9"/>
        </w:rPr>
        <w:t>不仅取决于项目组的能力，同时也在很大程度上受到各个部门的配合、对范</w:t>
      </w:r>
      <w:r>
        <w:rPr>
          <w:rFonts w:ascii="SimSun" w:hAnsi="SimSun" w:eastAsia="SimSun" w:cs="SimSun"/>
          <w:sz w:val="21"/>
          <w:szCs w:val="21"/>
          <w:spacing w:val="-10"/>
        </w:rPr>
        <w:t>围控制是否</w:t>
      </w:r>
      <w:r>
        <w:rPr>
          <w:rFonts w:ascii="SimSun" w:hAnsi="SimSun" w:eastAsia="SimSun" w:cs="SimSun"/>
          <w:sz w:val="21"/>
          <w:szCs w:val="21"/>
        </w:rPr>
        <w:t xml:space="preserve"> </w:t>
      </w:r>
      <w:r>
        <w:rPr>
          <w:rFonts w:ascii="SimSun" w:hAnsi="SimSun" w:eastAsia="SimSun" w:cs="SimSun"/>
          <w:sz w:val="21"/>
          <w:szCs w:val="21"/>
          <w:spacing w:val="-6"/>
        </w:rPr>
        <w:t>有效、对项目投入(包括人员时间的投入和资金等的投入)是否足</w:t>
      </w:r>
      <w:r>
        <w:rPr>
          <w:rFonts w:ascii="SimSun" w:hAnsi="SimSun" w:eastAsia="SimSun" w:cs="SimSun"/>
          <w:sz w:val="21"/>
          <w:szCs w:val="21"/>
          <w:spacing w:val="-7"/>
        </w:rPr>
        <w:t>够等方面的影响。</w:t>
      </w:r>
    </w:p>
    <w:p>
      <w:pPr>
        <w:ind w:left="409"/>
        <w:spacing w:before="50" w:line="219" w:lineRule="auto"/>
        <w:rPr>
          <w:rFonts w:ascii="SimSun" w:hAnsi="SimSun" w:eastAsia="SimSun" w:cs="SimSun"/>
          <w:sz w:val="21"/>
          <w:szCs w:val="21"/>
        </w:rPr>
      </w:pPr>
      <w:r>
        <w:rPr>
          <w:rFonts w:ascii="SimSun" w:hAnsi="SimSun" w:eastAsia="SimSun" w:cs="SimSun"/>
          <w:sz w:val="21"/>
          <w:szCs w:val="21"/>
          <w:spacing w:val="20"/>
        </w:rPr>
        <w:t>(3)项目人力资源的风险</w:t>
      </w:r>
    </w:p>
    <w:p>
      <w:pPr>
        <w:ind w:right="223" w:firstLine="409"/>
        <w:spacing w:before="68" w:line="260" w:lineRule="auto"/>
        <w:rPr>
          <w:rFonts w:ascii="SimSun" w:hAnsi="SimSun" w:eastAsia="SimSun" w:cs="SimSun"/>
          <w:sz w:val="21"/>
          <w:szCs w:val="21"/>
        </w:rPr>
      </w:pPr>
      <w:r>
        <w:rPr>
          <w:rFonts w:ascii="SimSun" w:hAnsi="SimSun" w:eastAsia="SimSun" w:cs="SimSun"/>
          <w:sz w:val="21"/>
          <w:szCs w:val="21"/>
          <w:spacing w:val="1"/>
        </w:rPr>
        <w:t>人力资源是本项目实施过程中关键的资源。要降低项目的人力资源风险，就要</w:t>
      </w:r>
      <w:r>
        <w:rPr>
          <w:rFonts w:ascii="SimSun" w:hAnsi="SimSun" w:eastAsia="SimSun" w:cs="SimSun"/>
          <w:sz w:val="21"/>
          <w:szCs w:val="21"/>
          <w:spacing w:val="15"/>
        </w:rPr>
        <w:t xml:space="preserve"> </w:t>
      </w:r>
      <w:r>
        <w:rPr>
          <w:rFonts w:ascii="SimSun" w:hAnsi="SimSun" w:eastAsia="SimSun" w:cs="SimSun"/>
          <w:sz w:val="21"/>
          <w:szCs w:val="21"/>
          <w:spacing w:val="1"/>
        </w:rPr>
        <w:t>保证进入到项目中并承担角色的各类项目者满足项目要求。因此，实施方应对参与</w:t>
      </w:r>
      <w:r>
        <w:rPr>
          <w:rFonts w:ascii="SimSun" w:hAnsi="SimSun" w:eastAsia="SimSun" w:cs="SimSun"/>
          <w:sz w:val="21"/>
          <w:szCs w:val="21"/>
          <w:spacing w:val="9"/>
        </w:rPr>
        <w:t xml:space="preserve"> </w:t>
      </w:r>
      <w:r>
        <w:rPr>
          <w:rFonts w:ascii="SimSun" w:hAnsi="SimSun" w:eastAsia="SimSun" w:cs="SimSun"/>
          <w:sz w:val="21"/>
          <w:szCs w:val="21"/>
          <w:spacing w:val="2"/>
        </w:rPr>
        <w:t>人员进行认真的评估，包括项目组和贯标部门人</w:t>
      </w:r>
      <w:r>
        <w:rPr>
          <w:rFonts w:ascii="SimSun" w:hAnsi="SimSun" w:eastAsia="SimSun" w:cs="SimSun"/>
          <w:sz w:val="21"/>
          <w:szCs w:val="21"/>
          <w:spacing w:val="1"/>
        </w:rPr>
        <w:t>员的评估。同时，应保证项目人员</w:t>
      </w:r>
      <w:r>
        <w:rPr>
          <w:rFonts w:ascii="SimSun" w:hAnsi="SimSun" w:eastAsia="SimSun" w:cs="SimSun"/>
          <w:sz w:val="21"/>
          <w:szCs w:val="21"/>
        </w:rPr>
        <w:t xml:space="preserve"> </w:t>
      </w:r>
      <w:r>
        <w:rPr>
          <w:rFonts w:ascii="SimSun" w:hAnsi="SimSun" w:eastAsia="SimSun" w:cs="SimSun"/>
          <w:sz w:val="21"/>
          <w:szCs w:val="21"/>
          <w:spacing w:val="-4"/>
        </w:rPr>
        <w:t>对项目的投入程度。</w:t>
      </w:r>
    </w:p>
    <w:p>
      <w:pPr>
        <w:ind w:left="412"/>
        <w:spacing w:before="208" w:line="228" w:lineRule="auto"/>
        <w:outlineLvl w:val="6"/>
        <w:rPr>
          <w:rFonts w:ascii="YouYuan" w:hAnsi="YouYuan" w:eastAsia="YouYuan" w:cs="YouYuan"/>
          <w:sz w:val="21"/>
          <w:szCs w:val="21"/>
        </w:rPr>
      </w:pPr>
      <w:r>
        <w:rPr>
          <w:rFonts w:ascii="YouYuan" w:hAnsi="YouYuan" w:eastAsia="YouYuan" w:cs="YouYuan"/>
          <w:sz w:val="21"/>
          <w:szCs w:val="21"/>
          <w:b/>
          <w:bCs/>
          <w:spacing w:val="4"/>
        </w:rPr>
        <w:t>3.</w:t>
      </w:r>
      <w:r>
        <w:rPr>
          <w:rFonts w:ascii="YouYuan" w:hAnsi="YouYuan" w:eastAsia="YouYuan" w:cs="YouYuan"/>
          <w:sz w:val="21"/>
          <w:szCs w:val="21"/>
          <w:spacing w:val="4"/>
        </w:rPr>
        <w:t xml:space="preserve"> </w:t>
      </w:r>
      <w:r>
        <w:rPr>
          <w:rFonts w:ascii="YouYuan" w:hAnsi="YouYuan" w:eastAsia="YouYuan" w:cs="YouYuan"/>
          <w:sz w:val="21"/>
          <w:szCs w:val="21"/>
          <w:b/>
          <w:bCs/>
          <w:spacing w:val="4"/>
        </w:rPr>
        <w:t>项目沟通管理</w:t>
      </w:r>
    </w:p>
    <w:p>
      <w:pPr>
        <w:ind w:left="409"/>
        <w:spacing w:before="223" w:line="220" w:lineRule="auto"/>
        <w:rPr>
          <w:rFonts w:ascii="SimSun" w:hAnsi="SimSun" w:eastAsia="SimSun" w:cs="SimSun"/>
          <w:sz w:val="21"/>
          <w:szCs w:val="21"/>
        </w:rPr>
      </w:pPr>
      <w:r>
        <w:rPr>
          <w:rFonts w:ascii="SimSun" w:hAnsi="SimSun" w:eastAsia="SimSun" w:cs="SimSun"/>
          <w:sz w:val="21"/>
          <w:szCs w:val="21"/>
          <w:spacing w:val="-5"/>
        </w:rPr>
        <w:t>沟通要求如下。</w:t>
      </w:r>
    </w:p>
    <w:p>
      <w:pPr>
        <w:ind w:left="409"/>
        <w:spacing w:before="59" w:line="219" w:lineRule="auto"/>
        <w:rPr>
          <w:rFonts w:ascii="SimSun" w:hAnsi="SimSun" w:eastAsia="SimSun" w:cs="SimSun"/>
          <w:sz w:val="21"/>
          <w:szCs w:val="21"/>
        </w:rPr>
      </w:pPr>
      <w:r>
        <w:rPr>
          <w:rFonts w:ascii="SimSun" w:hAnsi="SimSun" w:eastAsia="SimSun" w:cs="SimSun"/>
          <w:sz w:val="21"/>
          <w:szCs w:val="21"/>
          <w:spacing w:val="1"/>
        </w:rPr>
        <w:t>●项目实施团队将治理具体计划和需准备内容提交给</w:t>
      </w:r>
      <w:r>
        <w:rPr>
          <w:rFonts w:ascii="SimSun" w:hAnsi="SimSun" w:eastAsia="SimSun" w:cs="SimSun"/>
          <w:sz w:val="21"/>
          <w:szCs w:val="21"/>
        </w:rPr>
        <w:t>项目执行负责人；</w:t>
      </w:r>
    </w:p>
    <w:p>
      <w:pPr>
        <w:ind w:left="409"/>
        <w:spacing w:before="70" w:line="219" w:lineRule="auto"/>
        <w:rPr>
          <w:rFonts w:ascii="SimSun" w:hAnsi="SimSun" w:eastAsia="SimSun" w:cs="SimSun"/>
          <w:sz w:val="21"/>
          <w:szCs w:val="21"/>
        </w:rPr>
      </w:pPr>
      <w:r>
        <w:rPr>
          <w:rFonts w:ascii="SimSun" w:hAnsi="SimSun" w:eastAsia="SimSun" w:cs="SimSun"/>
          <w:sz w:val="21"/>
          <w:szCs w:val="21"/>
          <w:spacing w:val="2"/>
        </w:rPr>
        <w:t>●项目执行负责人在项目关键里程碑处向项目领导委员会汇报项目进展情况，</w:t>
      </w:r>
    </w:p>
    <w:p>
      <w:pPr>
        <w:ind w:left="409"/>
        <w:spacing w:before="70" w:line="219" w:lineRule="auto"/>
        <w:rPr>
          <w:rFonts w:ascii="SimSun" w:hAnsi="SimSun" w:eastAsia="SimSun" w:cs="SimSun"/>
          <w:sz w:val="21"/>
          <w:szCs w:val="21"/>
        </w:rPr>
      </w:pPr>
      <w:r>
        <w:rPr>
          <w:rFonts w:ascii="SimSun" w:hAnsi="SimSun" w:eastAsia="SimSun" w:cs="SimSun"/>
          <w:sz w:val="21"/>
          <w:szCs w:val="21"/>
        </w:rPr>
        <w:t>●项目重大变更应得到项目领导委员会的同意。</w:t>
      </w:r>
    </w:p>
    <w:p>
      <w:pPr>
        <w:ind w:left="412"/>
        <w:spacing w:before="211" w:line="228" w:lineRule="auto"/>
        <w:outlineLvl w:val="6"/>
        <w:rPr>
          <w:rFonts w:ascii="YouYuan" w:hAnsi="YouYuan" w:eastAsia="YouYuan" w:cs="YouYuan"/>
          <w:sz w:val="21"/>
          <w:szCs w:val="21"/>
        </w:rPr>
      </w:pPr>
      <w:r>
        <w:rPr>
          <w:rFonts w:ascii="YouYuan" w:hAnsi="YouYuan" w:eastAsia="YouYuan" w:cs="YouYuan"/>
          <w:sz w:val="21"/>
          <w:szCs w:val="21"/>
          <w:b/>
          <w:bCs/>
          <w:spacing w:val="4"/>
        </w:rPr>
        <w:t>4.</w:t>
      </w:r>
      <w:r>
        <w:rPr>
          <w:rFonts w:ascii="YouYuan" w:hAnsi="YouYuan" w:eastAsia="YouYuan" w:cs="YouYuan"/>
          <w:sz w:val="21"/>
          <w:szCs w:val="21"/>
          <w:spacing w:val="4"/>
        </w:rPr>
        <w:t xml:space="preserve"> </w:t>
      </w:r>
      <w:r>
        <w:rPr>
          <w:rFonts w:ascii="YouYuan" w:hAnsi="YouYuan" w:eastAsia="YouYuan" w:cs="YouYuan"/>
          <w:sz w:val="21"/>
          <w:szCs w:val="21"/>
          <w:b/>
          <w:bCs/>
          <w:spacing w:val="4"/>
        </w:rPr>
        <w:t>项目变更管理</w:t>
      </w:r>
    </w:p>
    <w:p>
      <w:pPr>
        <w:ind w:left="409"/>
        <w:spacing w:before="222" w:line="212" w:lineRule="auto"/>
        <w:rPr>
          <w:rFonts w:ascii="SimSun" w:hAnsi="SimSun" w:eastAsia="SimSun" w:cs="SimSun"/>
          <w:sz w:val="21"/>
          <w:szCs w:val="21"/>
        </w:rPr>
      </w:pPr>
      <w:r>
        <w:rPr>
          <w:rFonts w:ascii="SimSun" w:hAnsi="SimSun" w:eastAsia="SimSun" w:cs="SimSun"/>
          <w:sz w:val="21"/>
          <w:szCs w:val="21"/>
          <w:spacing w:val="1"/>
        </w:rPr>
        <w:t>项目变更管理控制过程如图11-18所示。</w:t>
      </w:r>
    </w:p>
    <w:p>
      <w:pPr>
        <w:pStyle w:val="BodyText"/>
        <w:ind w:firstLine="1230"/>
        <w:spacing w:line="3090" w:lineRule="exact"/>
        <w:rPr/>
      </w:pPr>
      <w:r>
        <w:rPr>
          <w:position w:val="-61"/>
        </w:rPr>
        <w:pict>
          <v:group id="_x0000_s716" style="mso-position-vertical-relative:line;mso-position-horizontal-relative:char;width:253.5pt;height:154.55pt;" filled="false" stroked="false" coordsize="5070,3091" coordorigin="0,0">
            <v:shape id="_x0000_s718" style="position:absolute;left:0;top:0;width:5070;height:3091;" filled="false" stroked="false" type="#_x0000_t75">
              <v:imagedata o:title="" r:id="rId534"/>
            </v:shape>
            <v:shape id="_x0000_s720" style="position:absolute;left:839;top:217;width:3895;height:2690;" filled="false" stroked="false" type="#_x0000_t202">
              <v:fill on="false"/>
              <v:stroke on="false"/>
              <v:path/>
              <v:imagedata o:title=""/>
              <o:lock v:ext="edit" aspectratio="false"/>
              <v:textbox inset="0mm,0mm,0mm,0mm">
                <w:txbxContent>
                  <w:p>
                    <w:pPr>
                      <w:ind w:left="20"/>
                      <w:spacing w:before="20" w:line="232" w:lineRule="auto"/>
                      <w:rPr>
                        <w:rFonts w:ascii="SimSun" w:hAnsi="SimSun" w:eastAsia="SimSun" w:cs="SimSun"/>
                        <w:sz w:val="16"/>
                        <w:szCs w:val="16"/>
                      </w:rPr>
                    </w:pPr>
                    <w:r>
                      <w:rPr>
                        <w:rFonts w:ascii="SimSun" w:hAnsi="SimSun" w:eastAsia="SimSun" w:cs="SimSun"/>
                        <w:sz w:val="16"/>
                        <w:szCs w:val="16"/>
                        <w:spacing w:val="-5"/>
                      </w:rPr>
                      <w:t>项目计划</w:t>
                    </w:r>
                    <w:r>
                      <w:rPr>
                        <w:rFonts w:ascii="SimSun" w:hAnsi="SimSun" w:eastAsia="SimSun" w:cs="SimSun"/>
                        <w:sz w:val="16"/>
                        <w:szCs w:val="16"/>
                        <w:spacing w:val="6"/>
                      </w:rPr>
                      <w:t xml:space="preserve">            </w:t>
                    </w:r>
                    <w:r>
                      <w:rPr>
                        <w:rFonts w:ascii="SimSun" w:hAnsi="SimSun" w:eastAsia="SimSun" w:cs="SimSun"/>
                        <w:sz w:val="16"/>
                        <w:szCs w:val="16"/>
                        <w:spacing w:val="-5"/>
                      </w:rPr>
                      <w:t>建立基准计划</w:t>
                    </w:r>
                  </w:p>
                  <w:p>
                    <w:pPr>
                      <w:spacing w:line="443" w:lineRule="auto"/>
                      <w:rPr>
                        <w:rFonts w:ascii="Arial"/>
                        <w:sz w:val="21"/>
                      </w:rPr>
                    </w:pPr>
                    <w:r/>
                  </w:p>
                  <w:p>
                    <w:pPr>
                      <w:ind w:left="1589"/>
                      <w:spacing w:before="52" w:line="208" w:lineRule="auto"/>
                      <w:rPr>
                        <w:rFonts w:ascii="SimSun" w:hAnsi="SimSun" w:eastAsia="SimSun" w:cs="SimSun"/>
                        <w:sz w:val="16"/>
                        <w:szCs w:val="16"/>
                      </w:rPr>
                    </w:pPr>
                    <w:r>
                      <w:rPr>
                        <w:rFonts w:ascii="SimSun" w:hAnsi="SimSun" w:eastAsia="SimSun" w:cs="SimSun"/>
                        <w:sz w:val="16"/>
                        <w:szCs w:val="16"/>
                        <w:spacing w:val="-5"/>
                      </w:rPr>
                      <w:t>评审项目状态和</w:t>
                    </w:r>
                  </w:p>
                  <w:p>
                    <w:pPr>
                      <w:ind w:left="1800"/>
                      <w:spacing w:line="220" w:lineRule="auto"/>
                      <w:rPr>
                        <w:rFonts w:ascii="SimSun" w:hAnsi="SimSun" w:eastAsia="SimSun" w:cs="SimSun"/>
                        <w:sz w:val="16"/>
                        <w:szCs w:val="16"/>
                      </w:rPr>
                    </w:pPr>
                    <w:r>
                      <w:rPr>
                        <w:rFonts w:ascii="SimSun" w:hAnsi="SimSun" w:eastAsia="SimSun" w:cs="SimSun"/>
                        <w:sz w:val="16"/>
                        <w:szCs w:val="16"/>
                        <w:spacing w:val="-7"/>
                      </w:rPr>
                      <w:t>进展情况</w:t>
                    </w:r>
                  </w:p>
                  <w:p>
                    <w:pPr>
                      <w:spacing w:line="375" w:lineRule="auto"/>
                      <w:rPr>
                        <w:rFonts w:ascii="Arial"/>
                        <w:sz w:val="21"/>
                      </w:rPr>
                    </w:pPr>
                    <w:r/>
                  </w:p>
                  <w:p>
                    <w:pPr>
                      <w:ind w:left="1600"/>
                      <w:spacing w:before="52" w:line="195" w:lineRule="auto"/>
                      <w:rPr>
                        <w:rFonts w:ascii="SimSun" w:hAnsi="SimSun" w:eastAsia="SimSun" w:cs="SimSun"/>
                        <w:sz w:val="16"/>
                        <w:szCs w:val="16"/>
                      </w:rPr>
                    </w:pPr>
                    <w:r>
                      <w:rPr>
                        <w:rFonts w:ascii="SimSun" w:hAnsi="SimSun" w:eastAsia="SimSun" w:cs="SimSun"/>
                        <w:sz w:val="16"/>
                        <w:szCs w:val="16"/>
                        <w:spacing w:val="-7"/>
                      </w:rPr>
                      <w:t>确认变更的发生</w:t>
                    </w:r>
                  </w:p>
                  <w:p>
                    <w:pPr>
                      <w:ind w:left="1750"/>
                      <w:spacing w:line="219" w:lineRule="auto"/>
                      <w:rPr>
                        <w:rFonts w:ascii="SimSun" w:hAnsi="SimSun" w:eastAsia="SimSun" w:cs="SimSun"/>
                        <w:sz w:val="16"/>
                        <w:szCs w:val="16"/>
                      </w:rPr>
                    </w:pPr>
                    <w:r>
                      <w:rPr>
                        <w:rFonts w:ascii="SimSun" w:hAnsi="SimSun" w:eastAsia="SimSun" w:cs="SimSun"/>
                        <w:sz w:val="16"/>
                        <w:szCs w:val="16"/>
                        <w:spacing w:val="-2"/>
                      </w:rPr>
                      <w:t>或将要发生</w:t>
                    </w:r>
                  </w:p>
                  <w:p>
                    <w:pPr>
                      <w:spacing w:line="286" w:lineRule="auto"/>
                      <w:rPr>
                        <w:rFonts w:ascii="Arial"/>
                        <w:sz w:val="21"/>
                      </w:rPr>
                    </w:pPr>
                    <w:r/>
                  </w:p>
                  <w:p>
                    <w:pPr>
                      <w:spacing w:line="287" w:lineRule="auto"/>
                      <w:rPr>
                        <w:rFonts w:ascii="Arial"/>
                        <w:sz w:val="21"/>
                      </w:rPr>
                    </w:pPr>
                    <w:r/>
                  </w:p>
                  <w:p>
                    <w:pPr>
                      <w:ind w:right="18"/>
                      <w:spacing w:before="52" w:line="220" w:lineRule="auto"/>
                      <w:jc w:val="right"/>
                      <w:rPr>
                        <w:rFonts w:ascii="SimSun" w:hAnsi="SimSun" w:eastAsia="SimSun" w:cs="SimSun"/>
                        <w:sz w:val="16"/>
                        <w:szCs w:val="16"/>
                      </w:rPr>
                    </w:pPr>
                    <w:r>
                      <w:rPr>
                        <w:rFonts w:ascii="SimSun" w:hAnsi="SimSun" w:eastAsia="SimSun" w:cs="SimSun"/>
                        <w:sz w:val="16"/>
                        <w:szCs w:val="16"/>
                        <w:spacing w:val="-6"/>
                      </w:rPr>
                      <w:t>更新项目计划</w:t>
                    </w:r>
                    <w:r>
                      <w:rPr>
                        <w:rFonts w:ascii="SimSun" w:hAnsi="SimSun" w:eastAsia="SimSun" w:cs="SimSun"/>
                        <w:sz w:val="16"/>
                        <w:szCs w:val="16"/>
                        <w:spacing w:val="8"/>
                      </w:rPr>
                      <w:t xml:space="preserve">      </w:t>
                    </w:r>
                    <w:r>
                      <w:rPr>
                        <w:rFonts w:ascii="SimSun" w:hAnsi="SimSun" w:eastAsia="SimSun" w:cs="SimSun"/>
                        <w:sz w:val="16"/>
                        <w:szCs w:val="16"/>
                        <w:spacing w:val="-6"/>
                      </w:rPr>
                      <w:t>采取纠正措施        共享教训</w:t>
                    </w:r>
                  </w:p>
                </w:txbxContent>
              </v:textbox>
            </v:shape>
            <v:shape id="_x0000_s722" style="position:absolute;left:699;top:1005;width:950;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7"/>
                      </w:rPr>
                      <w:t>执行绩效报告</w:t>
                    </w:r>
                  </w:p>
                </w:txbxContent>
              </v:textbox>
            </v:shape>
            <v:shape id="_x0000_s724" style="position:absolute;left:849;top:1807;width:648;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7"/>
                      </w:rPr>
                      <w:t>变更请求</w:t>
                    </w:r>
                  </w:p>
                </w:txbxContent>
              </v:textbox>
            </v:shape>
          </v:group>
        </w:pict>
      </w:r>
    </w:p>
    <w:p>
      <w:pPr>
        <w:ind w:left="2529"/>
        <w:spacing w:before="68" w:line="222" w:lineRule="auto"/>
        <w:rPr>
          <w:rFonts w:ascii="SimHei" w:hAnsi="SimHei" w:eastAsia="SimHei" w:cs="SimHei"/>
          <w:sz w:val="21"/>
          <w:szCs w:val="21"/>
        </w:rPr>
      </w:pPr>
      <w:r>
        <w:rPr>
          <w:rFonts w:ascii="SimHei" w:hAnsi="SimHei" w:eastAsia="SimHei" w:cs="SimHei"/>
          <w:sz w:val="21"/>
          <w:szCs w:val="21"/>
          <w:spacing w:val="-19"/>
        </w:rPr>
        <w:t>图11-18</w:t>
      </w:r>
      <w:r>
        <w:rPr>
          <w:rFonts w:ascii="SimHei" w:hAnsi="SimHei" w:eastAsia="SimHei" w:cs="SimHei"/>
          <w:sz w:val="21"/>
          <w:szCs w:val="21"/>
          <w:spacing w:val="66"/>
        </w:rPr>
        <w:t xml:space="preserve"> </w:t>
      </w:r>
      <w:r>
        <w:rPr>
          <w:rFonts w:ascii="SimHei" w:hAnsi="SimHei" w:eastAsia="SimHei" w:cs="SimHei"/>
          <w:sz w:val="21"/>
          <w:szCs w:val="21"/>
          <w:spacing w:val="-19"/>
        </w:rPr>
        <w:t>项目变更管理控制过程</w:t>
      </w:r>
    </w:p>
    <w:p>
      <w:pPr>
        <w:ind w:left="409"/>
        <w:spacing w:before="139" w:line="220" w:lineRule="auto"/>
        <w:rPr>
          <w:rFonts w:ascii="SimSun" w:hAnsi="SimSun" w:eastAsia="SimSun" w:cs="SimSun"/>
          <w:sz w:val="21"/>
          <w:szCs w:val="21"/>
        </w:rPr>
      </w:pPr>
      <w:r>
        <w:rPr>
          <w:rFonts w:ascii="SimSun" w:hAnsi="SimSun" w:eastAsia="SimSun" w:cs="SimSun"/>
          <w:sz w:val="21"/>
          <w:szCs w:val="21"/>
          <w:spacing w:val="-4"/>
        </w:rPr>
        <w:t>项目变更审批流程如下。</w:t>
      </w:r>
    </w:p>
    <w:p>
      <w:pPr>
        <w:ind w:left="409"/>
        <w:spacing w:before="76" w:line="216" w:lineRule="auto"/>
        <w:rPr>
          <w:rFonts w:ascii="SimSun" w:hAnsi="SimSun" w:eastAsia="SimSun" w:cs="SimSun"/>
          <w:sz w:val="21"/>
          <w:szCs w:val="21"/>
        </w:rPr>
      </w:pPr>
      <w:r>
        <w:rPr>
          <w:rFonts w:ascii="SimSun" w:hAnsi="SimSun" w:eastAsia="SimSun" w:cs="SimSun"/>
          <w:sz w:val="21"/>
          <w:szCs w:val="21"/>
          <w:spacing w:val="-3"/>
        </w:rPr>
        <w:t>●提出修改方将首先填写变更申请表(REQUES   FOR    CHANGE</w:t>
      </w:r>
      <w:r>
        <w:rPr>
          <w:rFonts w:ascii="SimSun" w:hAnsi="SimSun" w:eastAsia="SimSun" w:cs="SimSun"/>
          <w:sz w:val="21"/>
          <w:szCs w:val="21"/>
          <w:spacing w:val="-4"/>
        </w:rPr>
        <w:t>,以下简称RFC)。</w:t>
      </w:r>
    </w:p>
    <w:p>
      <w:pPr>
        <w:ind w:left="748" w:right="258" w:hanging="339"/>
        <w:spacing w:before="66" w:line="245" w:lineRule="auto"/>
        <w:rPr>
          <w:rFonts w:ascii="SimSun" w:hAnsi="SimSun" w:eastAsia="SimSun" w:cs="SimSun"/>
          <w:sz w:val="21"/>
          <w:szCs w:val="21"/>
        </w:rPr>
      </w:pPr>
      <w:r>
        <w:rPr>
          <w:rFonts w:ascii="Times New Roman" w:hAnsi="Times New Roman" w:eastAsia="Times New Roman" w:cs="Times New Roman"/>
          <w:sz w:val="21"/>
          <w:szCs w:val="21"/>
          <w:spacing w:val="-1"/>
        </w:rPr>
        <w:t>●RFC    </w:t>
      </w:r>
      <w:r>
        <w:rPr>
          <w:rFonts w:ascii="SimSun" w:hAnsi="SimSun" w:eastAsia="SimSun" w:cs="SimSun"/>
          <w:sz w:val="21"/>
          <w:szCs w:val="21"/>
          <w:spacing w:val="-1"/>
        </w:rPr>
        <w:t>须提交评审小组确认。评审小组将就</w:t>
      </w:r>
      <w:r>
        <w:rPr>
          <w:rFonts w:ascii="SimSun" w:hAnsi="SimSun" w:eastAsia="SimSun" w:cs="SimSun"/>
          <w:sz w:val="21"/>
          <w:szCs w:val="21"/>
          <w:spacing w:val="-13"/>
        </w:rPr>
        <w:t xml:space="preserve"> </w:t>
      </w:r>
      <w:r>
        <w:rPr>
          <w:rFonts w:ascii="SimSun" w:hAnsi="SimSun" w:eastAsia="SimSun" w:cs="SimSun"/>
          <w:sz w:val="21"/>
          <w:szCs w:val="21"/>
          <w:spacing w:val="-1"/>
        </w:rPr>
        <w:t>RFC</w:t>
      </w:r>
      <w:r>
        <w:rPr>
          <w:rFonts w:ascii="SimSun" w:hAnsi="SimSun" w:eastAsia="SimSun" w:cs="SimSun"/>
          <w:sz w:val="21"/>
          <w:szCs w:val="21"/>
          <w:spacing w:val="86"/>
        </w:rPr>
        <w:t xml:space="preserve"> </w:t>
      </w:r>
      <w:r>
        <w:rPr>
          <w:rFonts w:ascii="SimSun" w:hAnsi="SimSun" w:eastAsia="SimSun" w:cs="SimSun"/>
          <w:sz w:val="21"/>
          <w:szCs w:val="21"/>
          <w:spacing w:val="-1"/>
        </w:rPr>
        <w:t>的技术可靠性以及对整个项</w:t>
      </w:r>
      <w:r>
        <w:rPr>
          <w:rFonts w:ascii="SimSun" w:hAnsi="SimSun" w:eastAsia="SimSun" w:cs="SimSun"/>
          <w:sz w:val="21"/>
          <w:szCs w:val="21"/>
        </w:rPr>
        <w:t xml:space="preserve"> </w:t>
      </w:r>
      <w:r>
        <w:rPr>
          <w:rFonts w:ascii="SimSun" w:hAnsi="SimSun" w:eastAsia="SimSun" w:cs="SimSun"/>
          <w:sz w:val="21"/>
          <w:szCs w:val="21"/>
          <w:spacing w:val="-1"/>
        </w:rPr>
        <w:t>目的影响作出评估。评审小组主席由组织数据治理委员会指定。</w:t>
      </w:r>
    </w:p>
    <w:p>
      <w:pPr>
        <w:ind w:left="409"/>
        <w:spacing w:before="74" w:line="219" w:lineRule="auto"/>
        <w:rPr>
          <w:rFonts w:ascii="SimSun" w:hAnsi="SimSun" w:eastAsia="SimSun" w:cs="SimSun"/>
          <w:sz w:val="21"/>
          <w:szCs w:val="21"/>
        </w:rPr>
      </w:pPr>
      <w:r>
        <w:rPr>
          <w:rFonts w:ascii="SimSun" w:hAnsi="SimSun" w:eastAsia="SimSun" w:cs="SimSun"/>
          <w:sz w:val="21"/>
          <w:szCs w:val="21"/>
          <w:spacing w:val="1"/>
        </w:rPr>
        <w:t>●评审通过后，授权并发放实施通知单。</w:t>
      </w:r>
    </w:p>
    <w:p>
      <w:pPr>
        <w:ind w:left="409"/>
        <w:spacing w:before="51" w:line="219" w:lineRule="auto"/>
        <w:rPr>
          <w:rFonts w:ascii="SimSun" w:hAnsi="SimSun" w:eastAsia="SimSun" w:cs="SimSun"/>
          <w:sz w:val="21"/>
          <w:szCs w:val="21"/>
        </w:rPr>
      </w:pPr>
      <w:r>
        <w:rPr>
          <w:rFonts w:ascii="SimSun" w:hAnsi="SimSun" w:eastAsia="SimSun" w:cs="SimSun"/>
          <w:sz w:val="21"/>
          <w:szCs w:val="21"/>
          <w:spacing w:val="-1"/>
        </w:rPr>
        <w:t>●数据管理专员予以实施变更。</w:t>
      </w:r>
    </w:p>
    <w:p>
      <w:pPr>
        <w:spacing w:line="219" w:lineRule="auto"/>
        <w:sectPr>
          <w:footerReference w:type="default" r:id="rId533"/>
          <w:pgSz w:w="8870" w:h="13400"/>
          <w:pgMar w:top="400" w:right="587" w:bottom="537" w:left="440" w:header="0" w:footer="328" w:gutter="0"/>
        </w:sectPr>
        <w:rPr>
          <w:rFonts w:ascii="SimSun" w:hAnsi="SimSun" w:eastAsia="SimSun" w:cs="SimSun"/>
          <w:sz w:val="21"/>
          <w:szCs w:val="21"/>
        </w:rPr>
      </w:pPr>
    </w:p>
    <w:p>
      <w:pPr>
        <w:ind w:left="202"/>
        <w:spacing w:before="275" w:line="219" w:lineRule="auto"/>
        <w:rPr>
          <w:rFonts w:ascii="SimSun" w:hAnsi="SimSun" w:eastAsia="SimSun" w:cs="SimSun"/>
          <w:sz w:val="21"/>
          <w:szCs w:val="21"/>
        </w:rPr>
      </w:pPr>
      <w:r>
        <w:drawing>
          <wp:anchor distT="0" distB="0" distL="0" distR="0" simplePos="0" relativeHeight="258897920" behindDoc="0" locked="0" layoutInCell="0" allowOverlap="1">
            <wp:simplePos x="0" y="0"/>
            <wp:positionH relativeFrom="page">
              <wp:posOffset>368306</wp:posOffset>
            </wp:positionH>
            <wp:positionV relativeFrom="page">
              <wp:posOffset>374650</wp:posOffset>
            </wp:positionV>
            <wp:extent cx="6365" cy="222255"/>
            <wp:effectExtent l="0" t="0" r="0" b="0"/>
            <wp:wrapNone/>
            <wp:docPr id="360" name="IM 360"/>
            <wp:cNvGraphicFramePr/>
            <a:graphic>
              <a:graphicData uri="http://schemas.openxmlformats.org/drawingml/2006/picture">
                <pic:pic>
                  <pic:nvPicPr>
                    <pic:cNvPr id="360" name="IM 360"/>
                    <pic:cNvPicPr/>
                  </pic:nvPicPr>
                  <pic:blipFill>
                    <a:blip r:embed="rId536"/>
                    <a:stretch>
                      <a:fillRect/>
                    </a:stretch>
                  </pic:blipFill>
                  <pic:spPr>
                    <a:xfrm rot="0">
                      <a:off x="0" y="0"/>
                      <a:ext cx="6365" cy="222255"/>
                    </a:xfrm>
                    <a:prstGeom prst="rect">
                      <a:avLst/>
                    </a:prstGeom>
                  </pic:spPr>
                </pic:pic>
              </a:graphicData>
            </a:graphic>
          </wp:anchor>
        </w:drawing>
      </w:r>
      <w:r>
        <w:rPr>
          <w:rFonts w:ascii="SimSun" w:hAnsi="SimSun" w:eastAsia="SimSun" w:cs="SimSun"/>
          <w:sz w:val="21"/>
          <w:szCs w:val="21"/>
          <w:b/>
          <w:bCs/>
          <w:spacing w:val="-27"/>
        </w:rPr>
        <w:t>■云端数据治理■</w:t>
      </w:r>
    </w:p>
    <w:p>
      <w:pPr>
        <w:pStyle w:val="BodyText"/>
        <w:spacing w:line="342" w:lineRule="auto"/>
        <w:rPr/>
      </w:pPr>
      <w:r/>
    </w:p>
    <w:p>
      <w:pPr>
        <w:pStyle w:val="BodyText"/>
        <w:spacing w:line="343" w:lineRule="auto"/>
        <w:rPr/>
      </w:pPr>
      <w:r/>
    </w:p>
    <w:p>
      <w:pPr>
        <w:ind w:left="264"/>
        <w:spacing w:before="101" w:line="221" w:lineRule="auto"/>
        <w:outlineLvl w:val="6"/>
        <w:rPr>
          <w:rFonts w:ascii="SimHei" w:hAnsi="SimHei" w:eastAsia="SimHei" w:cs="SimHei"/>
          <w:sz w:val="31"/>
          <w:szCs w:val="31"/>
        </w:rPr>
      </w:pPr>
      <w:r>
        <w:rPr>
          <w:rFonts w:ascii="SimHei" w:hAnsi="SimHei" w:eastAsia="SimHei" w:cs="SimHei"/>
          <w:sz w:val="31"/>
          <w:szCs w:val="31"/>
          <w:b/>
          <w:bCs/>
          <w:spacing w:val="2"/>
        </w:rPr>
        <w:t>11.3</w:t>
      </w:r>
      <w:r>
        <w:rPr>
          <w:rFonts w:ascii="SimHei" w:hAnsi="SimHei" w:eastAsia="SimHei" w:cs="SimHei"/>
          <w:sz w:val="31"/>
          <w:szCs w:val="31"/>
          <w:spacing w:val="46"/>
        </w:rPr>
        <w:t xml:space="preserve">  </w:t>
      </w:r>
      <w:r>
        <w:rPr>
          <w:rFonts w:ascii="SimHei" w:hAnsi="SimHei" w:eastAsia="SimHei" w:cs="SimHei"/>
          <w:sz w:val="31"/>
          <w:szCs w:val="31"/>
          <w:b/>
          <w:bCs/>
          <w:spacing w:val="2"/>
        </w:rPr>
        <w:t>监督和评估</w:t>
      </w:r>
    </w:p>
    <w:p>
      <w:pPr>
        <w:pStyle w:val="BodyText"/>
        <w:spacing w:line="349" w:lineRule="auto"/>
        <w:rPr/>
      </w:pPr>
      <w:r/>
    </w:p>
    <w:p>
      <w:pPr>
        <w:ind w:left="259" w:right="77" w:firstLine="430"/>
        <w:spacing w:before="68" w:line="259" w:lineRule="auto"/>
        <w:jc w:val="both"/>
        <w:rPr>
          <w:rFonts w:ascii="SimSun" w:hAnsi="SimSun" w:eastAsia="SimSun" w:cs="SimSun"/>
          <w:sz w:val="21"/>
          <w:szCs w:val="21"/>
        </w:rPr>
      </w:pPr>
      <w:r>
        <w:rPr>
          <w:rFonts w:ascii="SimSun" w:hAnsi="SimSun" w:eastAsia="SimSun" w:cs="SimSun"/>
          <w:sz w:val="21"/>
          <w:szCs w:val="21"/>
          <w:spacing w:val="2"/>
        </w:rPr>
        <w:t>组织应在云端数据治理体系统筹和规划阶段考虑监</w:t>
      </w:r>
      <w:r>
        <w:rPr>
          <w:rFonts w:ascii="SimSun" w:hAnsi="SimSun" w:eastAsia="SimSun" w:cs="SimSun"/>
          <w:sz w:val="21"/>
          <w:szCs w:val="21"/>
          <w:spacing w:val="1"/>
        </w:rPr>
        <w:t>督和评估的需求。监督和评</w:t>
      </w:r>
      <w:r>
        <w:rPr>
          <w:rFonts w:ascii="SimSun" w:hAnsi="SimSun" w:eastAsia="SimSun" w:cs="SimSun"/>
          <w:sz w:val="21"/>
          <w:szCs w:val="21"/>
        </w:rPr>
        <w:t xml:space="preserve"> </w:t>
      </w:r>
      <w:r>
        <w:rPr>
          <w:rFonts w:ascii="SimSun" w:hAnsi="SimSun" w:eastAsia="SimSun" w:cs="SimSun"/>
          <w:sz w:val="21"/>
          <w:szCs w:val="21"/>
          <w:spacing w:val="1"/>
        </w:rPr>
        <w:t>估的关键指标应涵盖与云端数据治理目标和实施框架相关的职能和层次，以及技术</w:t>
      </w:r>
      <w:r>
        <w:rPr>
          <w:rFonts w:ascii="SimSun" w:hAnsi="SimSun" w:eastAsia="SimSun" w:cs="SimSun"/>
          <w:sz w:val="21"/>
          <w:szCs w:val="21"/>
          <w:spacing w:val="12"/>
        </w:rPr>
        <w:t xml:space="preserve"> </w:t>
      </w:r>
      <w:r>
        <w:rPr>
          <w:rFonts w:ascii="SimSun" w:hAnsi="SimSun" w:eastAsia="SimSun" w:cs="SimSun"/>
          <w:sz w:val="21"/>
          <w:szCs w:val="21"/>
          <w:spacing w:val="1"/>
        </w:rPr>
        <w:t>和业务流程等相关方面。组织可通过绩效评估、内部审计和安全审计方式对云端数</w:t>
      </w:r>
      <w:r>
        <w:rPr>
          <w:rFonts w:ascii="SimSun" w:hAnsi="SimSun" w:eastAsia="SimSun" w:cs="SimSun"/>
          <w:sz w:val="21"/>
          <w:szCs w:val="21"/>
          <w:spacing w:val="12"/>
        </w:rPr>
        <w:t xml:space="preserve"> </w:t>
      </w:r>
      <w:r>
        <w:rPr>
          <w:rFonts w:ascii="SimSun" w:hAnsi="SimSun" w:eastAsia="SimSun" w:cs="SimSun"/>
          <w:sz w:val="21"/>
          <w:szCs w:val="21"/>
          <w:spacing w:val="-3"/>
        </w:rPr>
        <w:t>据治理体系过程进行监督和评估。</w:t>
      </w:r>
    </w:p>
    <w:p>
      <w:pPr>
        <w:ind w:left="264"/>
        <w:spacing w:before="310" w:line="221" w:lineRule="auto"/>
        <w:outlineLvl w:val="6"/>
        <w:rPr>
          <w:rFonts w:ascii="SimHei" w:hAnsi="SimHei" w:eastAsia="SimHei" w:cs="SimHei"/>
          <w:sz w:val="31"/>
          <w:szCs w:val="31"/>
        </w:rPr>
      </w:pPr>
      <w:r>
        <w:rPr>
          <w:rFonts w:ascii="SimHei" w:hAnsi="SimHei" w:eastAsia="SimHei" w:cs="SimHei"/>
          <w:sz w:val="31"/>
          <w:szCs w:val="31"/>
          <w:b/>
          <w:bCs/>
          <w:spacing w:val="-18"/>
        </w:rPr>
        <w:t>11.3.1</w:t>
      </w:r>
      <w:r>
        <w:rPr>
          <w:rFonts w:ascii="SimHei" w:hAnsi="SimHei" w:eastAsia="SimHei" w:cs="SimHei"/>
          <w:sz w:val="31"/>
          <w:szCs w:val="31"/>
          <w:spacing w:val="103"/>
        </w:rPr>
        <w:t xml:space="preserve"> </w:t>
      </w:r>
      <w:r>
        <w:rPr>
          <w:rFonts w:ascii="SimHei" w:hAnsi="SimHei" w:eastAsia="SimHei" w:cs="SimHei"/>
          <w:sz w:val="31"/>
          <w:szCs w:val="31"/>
          <w:b/>
          <w:bCs/>
          <w:spacing w:val="-18"/>
        </w:rPr>
        <w:t>绩效评估</w:t>
      </w:r>
    </w:p>
    <w:p>
      <w:pPr>
        <w:pStyle w:val="BodyText"/>
        <w:spacing w:line="243" w:lineRule="auto"/>
        <w:rPr/>
      </w:pPr>
      <w:r/>
    </w:p>
    <w:p>
      <w:pPr>
        <w:ind w:left="259" w:right="73" w:firstLine="430"/>
        <w:spacing w:before="69" w:line="261" w:lineRule="auto"/>
        <w:rPr>
          <w:rFonts w:ascii="SimSun" w:hAnsi="SimSun" w:eastAsia="SimSun" w:cs="SimSun"/>
          <w:sz w:val="21"/>
          <w:szCs w:val="21"/>
        </w:rPr>
      </w:pPr>
      <w:r>
        <w:rPr>
          <w:rFonts w:ascii="SimSun" w:hAnsi="SimSun" w:eastAsia="SimSun" w:cs="SimSun"/>
          <w:sz w:val="21"/>
          <w:szCs w:val="21"/>
          <w:spacing w:val="2"/>
        </w:rPr>
        <w:t>云端数据治理过程要素包括人员和流程，二者都是无形的。</w:t>
      </w:r>
      <w:r>
        <w:rPr>
          <w:rFonts w:ascii="SimSun" w:hAnsi="SimSun" w:eastAsia="SimSun" w:cs="SimSun"/>
          <w:sz w:val="21"/>
          <w:szCs w:val="21"/>
          <w:spacing w:val="1"/>
        </w:rPr>
        <w:t>因此，拥有协商一</w:t>
      </w:r>
      <w:r>
        <w:rPr>
          <w:rFonts w:ascii="SimSun" w:hAnsi="SimSun" w:eastAsia="SimSun" w:cs="SimSun"/>
          <w:sz w:val="21"/>
          <w:szCs w:val="21"/>
        </w:rPr>
        <w:t xml:space="preserve"> </w:t>
      </w:r>
      <w:r>
        <w:rPr>
          <w:rFonts w:ascii="SimSun" w:hAnsi="SimSun" w:eastAsia="SimSun" w:cs="SimSun"/>
          <w:sz w:val="21"/>
          <w:szCs w:val="21"/>
          <w:spacing w:val="2"/>
        </w:rPr>
        <w:t>致的关键绩效指标</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2"/>
        </w:rPr>
        <w:t>)   </w:t>
      </w:r>
      <w:r>
        <w:rPr>
          <w:rFonts w:ascii="SimSun" w:hAnsi="SimSun" w:eastAsia="SimSun" w:cs="SimSun"/>
          <w:sz w:val="21"/>
          <w:szCs w:val="21"/>
          <w:spacing w:val="2"/>
        </w:rPr>
        <w:t>集对于监督和评估数据治理体系</w:t>
      </w:r>
      <w:r>
        <w:rPr>
          <w:rFonts w:ascii="SimSun" w:hAnsi="SimSun" w:eastAsia="SimSun" w:cs="SimSun"/>
          <w:sz w:val="21"/>
          <w:szCs w:val="21"/>
          <w:spacing w:val="1"/>
        </w:rPr>
        <w:t>的运行很重要。组织应根</w:t>
      </w:r>
      <w:r>
        <w:rPr>
          <w:rFonts w:ascii="SimSun" w:hAnsi="SimSun" w:eastAsia="SimSun" w:cs="SimSun"/>
          <w:sz w:val="21"/>
          <w:szCs w:val="21"/>
        </w:rPr>
        <w:t xml:space="preserve"> </w:t>
      </w:r>
      <w:r>
        <w:rPr>
          <w:rFonts w:ascii="SimSun" w:hAnsi="SimSun" w:eastAsia="SimSun" w:cs="SimSun"/>
          <w:sz w:val="21"/>
          <w:szCs w:val="21"/>
          <w:spacing w:val="1"/>
        </w:rPr>
        <w:t>据云端数据治理关键成功因素和职责确定部门和岗位的绩效指标。绩效评估的结果</w:t>
      </w:r>
      <w:r>
        <w:rPr>
          <w:rFonts w:ascii="SimSun" w:hAnsi="SimSun" w:eastAsia="SimSun" w:cs="SimSun"/>
          <w:sz w:val="21"/>
          <w:szCs w:val="21"/>
          <w:spacing w:val="15"/>
        </w:rPr>
        <w:t xml:space="preserve"> </w:t>
      </w:r>
      <w:r>
        <w:rPr>
          <w:rFonts w:ascii="SimSun" w:hAnsi="SimSun" w:eastAsia="SimSun" w:cs="SimSun"/>
          <w:sz w:val="21"/>
          <w:szCs w:val="21"/>
          <w:spacing w:val="2"/>
        </w:rPr>
        <w:t>应定期传达给数据治理委员会和高层管理人</w:t>
      </w:r>
      <w:r>
        <w:rPr>
          <w:rFonts w:ascii="SimSun" w:hAnsi="SimSun" w:eastAsia="SimSun" w:cs="SimSun"/>
          <w:sz w:val="21"/>
          <w:szCs w:val="21"/>
          <w:spacing w:val="1"/>
        </w:rPr>
        <w:t>员，从而获得利益相关者的持续支持和</w:t>
      </w:r>
      <w:r>
        <w:rPr>
          <w:rFonts w:ascii="SimSun" w:hAnsi="SimSun" w:eastAsia="SimSun" w:cs="SimSun"/>
          <w:sz w:val="21"/>
          <w:szCs w:val="21"/>
        </w:rPr>
        <w:t xml:space="preserve"> </w:t>
      </w:r>
      <w:r>
        <w:rPr>
          <w:rFonts w:ascii="SimSun" w:hAnsi="SimSun" w:eastAsia="SimSun" w:cs="SimSun"/>
          <w:sz w:val="21"/>
          <w:szCs w:val="21"/>
          <w:spacing w:val="-2"/>
        </w:rPr>
        <w:t>资金支助。绩效评估指标的建立和考核主要包括以下内容：</w:t>
      </w:r>
    </w:p>
    <w:p>
      <w:pPr>
        <w:ind w:left="689"/>
        <w:spacing w:before="84" w:line="219" w:lineRule="auto"/>
        <w:rPr>
          <w:rFonts w:ascii="SimSun" w:hAnsi="SimSun" w:eastAsia="SimSun" w:cs="SimSun"/>
          <w:sz w:val="21"/>
          <w:szCs w:val="21"/>
        </w:rPr>
      </w:pPr>
      <w:r>
        <w:rPr>
          <w:rFonts w:ascii="SimSun" w:hAnsi="SimSun" w:eastAsia="SimSun" w:cs="SimSun"/>
          <w:sz w:val="21"/>
          <w:szCs w:val="21"/>
          <w:spacing w:val="7"/>
        </w:rPr>
        <w:t>(1)分析业务整体绩效指标</w:t>
      </w:r>
    </w:p>
    <w:p>
      <w:pPr>
        <w:ind w:left="259" w:right="69" w:firstLine="430"/>
        <w:spacing w:before="60" w:line="255" w:lineRule="auto"/>
        <w:rPr>
          <w:rFonts w:ascii="SimSun" w:hAnsi="SimSun" w:eastAsia="SimSun" w:cs="SimSun"/>
          <w:sz w:val="21"/>
          <w:szCs w:val="21"/>
        </w:rPr>
      </w:pPr>
      <w:r>
        <w:rPr>
          <w:rFonts w:ascii="SimSun" w:hAnsi="SimSun" w:eastAsia="SimSun" w:cs="SimSun"/>
          <w:sz w:val="21"/>
          <w:szCs w:val="21"/>
          <w:spacing w:val="2"/>
        </w:rPr>
        <w:t>每个业务部门都有一个</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KPI  </w:t>
      </w:r>
      <w:r>
        <w:rPr>
          <w:rFonts w:ascii="SimSun" w:hAnsi="SimSun" w:eastAsia="SimSun" w:cs="SimSun"/>
          <w:sz w:val="21"/>
          <w:szCs w:val="21"/>
          <w:spacing w:val="2"/>
        </w:rPr>
        <w:t>层次结构来运行其业务。可以用工作职能(比如销</w:t>
      </w:r>
      <w:r>
        <w:rPr>
          <w:rFonts w:ascii="SimSun" w:hAnsi="SimSun" w:eastAsia="SimSun" w:cs="SimSun"/>
          <w:sz w:val="21"/>
          <w:szCs w:val="21"/>
          <w:spacing w:val="1"/>
        </w:rPr>
        <w:t xml:space="preserve"> </w:t>
      </w:r>
      <w:r>
        <w:rPr>
          <w:rFonts w:ascii="SimSun" w:hAnsi="SimSun" w:eastAsia="SimSun" w:cs="SimSun"/>
          <w:sz w:val="21"/>
          <w:szCs w:val="21"/>
          <w:spacing w:val="4"/>
        </w:rPr>
        <w:t>售、营销、财务和风险)来进行描述。理解这些度量指标很重要，因为云端数据治</w:t>
      </w:r>
      <w:r>
        <w:rPr>
          <w:rFonts w:ascii="SimSun" w:hAnsi="SimSun" w:eastAsia="SimSun" w:cs="SimSun"/>
          <w:sz w:val="21"/>
          <w:szCs w:val="21"/>
          <w:spacing w:val="18"/>
        </w:rPr>
        <w:t xml:space="preserve"> </w:t>
      </w:r>
      <w:r>
        <w:rPr>
          <w:rFonts w:ascii="SimSun" w:hAnsi="SimSun" w:eastAsia="SimSun" w:cs="SimSun"/>
          <w:sz w:val="21"/>
          <w:szCs w:val="21"/>
          <w:spacing w:val="1"/>
        </w:rPr>
        <w:t>理的重要目标是使各部门的</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提高。</w:t>
      </w:r>
    </w:p>
    <w:p>
      <w:pPr>
        <w:ind w:left="689"/>
        <w:spacing w:before="71" w:line="219" w:lineRule="auto"/>
        <w:rPr>
          <w:rFonts w:ascii="SimSun" w:hAnsi="SimSun" w:eastAsia="SimSun" w:cs="SimSun"/>
          <w:sz w:val="21"/>
          <w:szCs w:val="21"/>
        </w:rPr>
      </w:pPr>
      <w:r>
        <w:rPr>
          <w:rFonts w:ascii="SimSun" w:hAnsi="SimSun" w:eastAsia="SimSun" w:cs="SimSun"/>
          <w:sz w:val="21"/>
          <w:szCs w:val="21"/>
          <w:spacing w:val="6"/>
        </w:rPr>
        <w:t>(2)定义数据治理的业务驱动绩效指标</w:t>
      </w:r>
    </w:p>
    <w:p>
      <w:pPr>
        <w:ind w:left="259" w:right="95" w:firstLine="430"/>
        <w:spacing w:before="65" w:line="264" w:lineRule="auto"/>
        <w:rPr>
          <w:rFonts w:ascii="SimSun" w:hAnsi="SimSun" w:eastAsia="SimSun" w:cs="SimSun"/>
          <w:sz w:val="21"/>
          <w:szCs w:val="21"/>
        </w:rPr>
      </w:pPr>
      <w:r>
        <w:rPr>
          <w:rFonts w:ascii="SimSun" w:hAnsi="SimSun" w:eastAsia="SimSun" w:cs="SimSun"/>
          <w:sz w:val="21"/>
          <w:szCs w:val="21"/>
        </w:rPr>
        <w:t>云端治理项目需要制订可操作、可实现、可考量的具体 </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rPr>
        <w:t>以提高业务的绩 </w:t>
      </w:r>
      <w:r>
        <w:rPr>
          <w:rFonts w:ascii="SimSun" w:hAnsi="SimSun" w:eastAsia="SimSun" w:cs="SimSun"/>
          <w:sz w:val="21"/>
          <w:szCs w:val="21"/>
          <w:spacing w:val="1"/>
        </w:rPr>
        <w:t>效指标。例如，某家银行的系统在全行范围内无法推广，各个系统对数据标准管理</w:t>
      </w:r>
      <w:r>
        <w:rPr>
          <w:rFonts w:ascii="SimSun" w:hAnsi="SimSun" w:eastAsia="SimSun" w:cs="SimSun"/>
          <w:sz w:val="21"/>
          <w:szCs w:val="21"/>
          <w:spacing w:val="10"/>
        </w:rPr>
        <w:t xml:space="preserve"> </w:t>
      </w:r>
      <w:r>
        <w:rPr>
          <w:rFonts w:ascii="SimSun" w:hAnsi="SimSun" w:eastAsia="SimSun" w:cs="SimSun"/>
          <w:sz w:val="21"/>
          <w:szCs w:val="21"/>
          <w:spacing w:val="1"/>
        </w:rPr>
        <w:t>要求不一致，业务分析人员不能快速找到正确的信息，银行的总体风险是一个业务</w:t>
      </w:r>
      <w:r>
        <w:rPr>
          <w:rFonts w:ascii="SimSun" w:hAnsi="SimSun" w:eastAsia="SimSun" w:cs="SimSun"/>
          <w:sz w:val="21"/>
          <w:szCs w:val="21"/>
          <w:spacing w:val="12"/>
        </w:rPr>
        <w:t xml:space="preserve"> </w:t>
      </w:r>
      <w:r>
        <w:rPr>
          <w:rFonts w:ascii="SimSun" w:hAnsi="SimSun" w:eastAsia="SimSun" w:cs="SimSun"/>
          <w:sz w:val="21"/>
          <w:szCs w:val="21"/>
        </w:rPr>
        <w:t>整体</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KPI</w:t>
      </w:r>
      <w:r>
        <w:rPr>
          <w:rFonts w:ascii="SimSun" w:hAnsi="SimSun" w:eastAsia="SimSun" w:cs="SimSun"/>
          <w:sz w:val="21"/>
          <w:szCs w:val="21"/>
        </w:rPr>
        <w:t>。数据治理的业务驱动</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KPI </w:t>
      </w:r>
      <w:r>
        <w:rPr>
          <w:rFonts w:ascii="SimSun" w:hAnsi="SimSun" w:eastAsia="SimSun" w:cs="SimSun"/>
          <w:sz w:val="21"/>
          <w:szCs w:val="21"/>
        </w:rPr>
        <w:t>是元数据管理成熟度。云端数据治理项目组应 </w:t>
      </w:r>
      <w:r>
        <w:rPr>
          <w:rFonts w:ascii="SimSun" w:hAnsi="SimSun" w:eastAsia="SimSun" w:cs="SimSun"/>
          <w:sz w:val="21"/>
          <w:szCs w:val="21"/>
          <w:spacing w:val="-2"/>
        </w:rPr>
        <w:t>该使用此</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KPI </w:t>
      </w:r>
      <w:r>
        <w:rPr>
          <w:rFonts w:ascii="SimSun" w:hAnsi="SimSun" w:eastAsia="SimSun" w:cs="SimSun"/>
          <w:sz w:val="21"/>
          <w:szCs w:val="21"/>
          <w:spacing w:val="-2"/>
        </w:rPr>
        <w:t>每月跟踪绩效并向风险团队报告进度。</w:t>
      </w:r>
    </w:p>
    <w:p>
      <w:pPr>
        <w:ind w:left="689"/>
        <w:spacing w:before="64" w:line="219" w:lineRule="auto"/>
        <w:rPr>
          <w:rFonts w:ascii="SimSun" w:hAnsi="SimSun" w:eastAsia="SimSun" w:cs="SimSun"/>
          <w:sz w:val="21"/>
          <w:szCs w:val="21"/>
        </w:rPr>
      </w:pPr>
      <w:r>
        <w:rPr>
          <w:rFonts w:ascii="SimSun" w:hAnsi="SimSun" w:eastAsia="SimSun" w:cs="SimSun"/>
          <w:sz w:val="21"/>
          <w:szCs w:val="21"/>
          <w:spacing w:val="5"/>
        </w:rPr>
        <w:t>(3)定义数据治理的技术绩效指标</w:t>
      </w:r>
    </w:p>
    <w:p>
      <w:pPr>
        <w:ind w:left="259" w:right="86" w:firstLine="430"/>
        <w:spacing w:before="58" w:line="247" w:lineRule="auto"/>
        <w:rPr>
          <w:rFonts w:ascii="SimSun" w:hAnsi="SimSun" w:eastAsia="SimSun" w:cs="SimSun"/>
          <w:sz w:val="21"/>
          <w:szCs w:val="21"/>
        </w:rPr>
      </w:pPr>
      <w:r>
        <w:rPr>
          <w:rFonts w:ascii="SimSun" w:hAnsi="SimSun" w:eastAsia="SimSun" w:cs="SimSun"/>
          <w:sz w:val="21"/>
          <w:szCs w:val="21"/>
          <w:spacing w:val="2"/>
        </w:rPr>
        <w:t>技术</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评估和测量云端数据治理在技术方面的绩效</w:t>
      </w:r>
      <w:r>
        <w:rPr>
          <w:rFonts w:ascii="SimSun" w:hAnsi="SimSun" w:eastAsia="SimSun" w:cs="SimSun"/>
          <w:sz w:val="21"/>
          <w:szCs w:val="21"/>
          <w:spacing w:val="1"/>
        </w:rPr>
        <w:t>。可围绕以下云端数据治</w:t>
      </w:r>
      <w:r>
        <w:rPr>
          <w:rFonts w:ascii="SimSun" w:hAnsi="SimSun" w:eastAsia="SimSun" w:cs="SimSun"/>
          <w:sz w:val="21"/>
          <w:szCs w:val="21"/>
        </w:rPr>
        <w:t xml:space="preserve"> </w:t>
      </w:r>
      <w:r>
        <w:rPr>
          <w:rFonts w:ascii="SimSun" w:hAnsi="SimSun" w:eastAsia="SimSun" w:cs="SimSun"/>
          <w:sz w:val="21"/>
          <w:szCs w:val="21"/>
          <w:spacing w:val="-4"/>
        </w:rPr>
        <w:t>理职能建立技术绩效指标。</w:t>
      </w:r>
    </w:p>
    <w:p>
      <w:pPr>
        <w:ind w:left="999" w:hanging="310"/>
        <w:spacing w:before="70" w:line="255" w:lineRule="auto"/>
        <w:rPr>
          <w:rFonts w:ascii="SimSun" w:hAnsi="SimSun" w:eastAsia="SimSun" w:cs="SimSun"/>
          <w:sz w:val="21"/>
          <w:szCs w:val="21"/>
        </w:rPr>
      </w:pPr>
      <w:r>
        <w:rPr>
          <w:rFonts w:ascii="SimSun" w:hAnsi="SimSun" w:eastAsia="SimSun" w:cs="SimSun"/>
          <w:sz w:val="21"/>
          <w:szCs w:val="21"/>
          <w:spacing w:val="1"/>
        </w:rPr>
        <w:t>●云端数据管理——主数据和元数据质量、主数据服务数据合规性、元数据存</w:t>
      </w:r>
      <w:r>
        <w:rPr>
          <w:rFonts w:ascii="SimSun" w:hAnsi="SimSun" w:eastAsia="SimSun" w:cs="SimSun"/>
          <w:sz w:val="21"/>
          <w:szCs w:val="21"/>
          <w:spacing w:val="2"/>
        </w:rPr>
        <w:t xml:space="preserve">  </w:t>
      </w:r>
      <w:r>
        <w:rPr>
          <w:rFonts w:ascii="SimSun" w:hAnsi="SimSun" w:eastAsia="SimSun" w:cs="SimSun"/>
          <w:sz w:val="21"/>
          <w:szCs w:val="21"/>
          <w:spacing w:val="-2"/>
        </w:rPr>
        <w:t>储库分布、元数据文档质量、管理专员代表和覆盖范围、元数据使用</w:t>
      </w:r>
      <w:r>
        <w:rPr>
          <w:rFonts w:ascii="SimSun" w:hAnsi="SimSun" w:eastAsia="SimSun" w:cs="SimSun"/>
          <w:sz w:val="21"/>
          <w:szCs w:val="21"/>
          <w:spacing w:val="-3"/>
        </w:rPr>
        <w:t>/引用、</w:t>
      </w:r>
      <w:r>
        <w:rPr>
          <w:rFonts w:ascii="SimSun" w:hAnsi="SimSun" w:eastAsia="SimSun" w:cs="SimSun"/>
          <w:sz w:val="21"/>
          <w:szCs w:val="21"/>
        </w:rPr>
        <w:t xml:space="preserve"> </w:t>
      </w:r>
      <w:r>
        <w:rPr>
          <w:rFonts w:ascii="SimSun" w:hAnsi="SimSun" w:eastAsia="SimSun" w:cs="SimSun"/>
          <w:sz w:val="21"/>
          <w:szCs w:val="21"/>
          <w:spacing w:val="-5"/>
        </w:rPr>
        <w:t>元数据存储库可用性；</w:t>
      </w:r>
    </w:p>
    <w:p>
      <w:pPr>
        <w:ind w:left="689"/>
        <w:spacing w:before="81" w:line="219" w:lineRule="auto"/>
        <w:rPr>
          <w:rFonts w:ascii="SimSun" w:hAnsi="SimSun" w:eastAsia="SimSun" w:cs="SimSun"/>
          <w:sz w:val="21"/>
          <w:szCs w:val="21"/>
        </w:rPr>
      </w:pPr>
      <w:r>
        <w:rPr>
          <w:rFonts w:ascii="SimSun" w:hAnsi="SimSun" w:eastAsia="SimSun" w:cs="SimSun"/>
          <w:sz w:val="21"/>
          <w:szCs w:val="21"/>
        </w:rPr>
        <w:t>●文档和内容管理——完整性、可用性、访问控制；</w:t>
      </w:r>
    </w:p>
    <w:p>
      <w:pPr>
        <w:ind w:left="689"/>
        <w:spacing w:before="59" w:line="218" w:lineRule="auto"/>
        <w:rPr>
          <w:rFonts w:ascii="SimSun" w:hAnsi="SimSun" w:eastAsia="SimSun" w:cs="SimSun"/>
          <w:sz w:val="21"/>
          <w:szCs w:val="21"/>
        </w:rPr>
      </w:pPr>
      <w:r>
        <w:rPr>
          <w:rFonts w:ascii="SimSun" w:hAnsi="SimSun" w:eastAsia="SimSun" w:cs="SimSun"/>
          <w:sz w:val="21"/>
          <w:szCs w:val="21"/>
          <w:spacing w:val="6"/>
        </w:rPr>
        <w:t>●数据架构管理——数据架构标准(如数据库、报告工具、分析工具等);</w:t>
      </w:r>
    </w:p>
    <w:p>
      <w:pPr>
        <w:ind w:left="689"/>
        <w:spacing w:before="54" w:line="219" w:lineRule="auto"/>
        <w:rPr>
          <w:rFonts w:ascii="SimSun" w:hAnsi="SimSun" w:eastAsia="SimSun" w:cs="SimSun"/>
          <w:sz w:val="21"/>
          <w:szCs w:val="21"/>
        </w:rPr>
      </w:pPr>
      <w:r>
        <w:rPr>
          <w:rFonts w:ascii="SimSun" w:hAnsi="SimSun" w:eastAsia="SimSun" w:cs="SimSun"/>
          <w:sz w:val="21"/>
          <w:szCs w:val="21"/>
          <w:spacing w:val="-1"/>
        </w:rPr>
        <w:t>●数据操作管理——可用性、性能；</w:t>
      </w:r>
    </w:p>
    <w:p>
      <w:pPr>
        <w:ind w:left="689"/>
        <w:spacing w:before="71" w:line="219" w:lineRule="auto"/>
        <w:rPr>
          <w:rFonts w:ascii="SimSun" w:hAnsi="SimSun" w:eastAsia="SimSun" w:cs="SimSun"/>
          <w:sz w:val="21"/>
          <w:szCs w:val="21"/>
        </w:rPr>
      </w:pPr>
      <w:r>
        <w:rPr>
          <w:rFonts w:ascii="SimSun" w:hAnsi="SimSun" w:eastAsia="SimSun" w:cs="SimSun"/>
          <w:sz w:val="21"/>
          <w:szCs w:val="21"/>
        </w:rPr>
        <w:t>●数据安全管理——数据库漏洞、数据库的</w:t>
      </w:r>
      <w:r>
        <w:rPr>
          <w:rFonts w:ascii="SimSun" w:hAnsi="SimSun" w:eastAsia="SimSun" w:cs="SimSun"/>
          <w:sz w:val="21"/>
          <w:szCs w:val="21"/>
          <w:spacing w:val="-31"/>
        </w:rPr>
        <w:t xml:space="preserve"> </w:t>
      </w:r>
      <w:r>
        <w:rPr>
          <w:rFonts w:ascii="SimSun" w:hAnsi="SimSun" w:eastAsia="SimSun" w:cs="SimSun"/>
          <w:sz w:val="21"/>
          <w:szCs w:val="21"/>
        </w:rPr>
        <w:t>SQL</w:t>
      </w:r>
      <w:r>
        <w:rPr>
          <w:rFonts w:ascii="SimSun" w:hAnsi="SimSun" w:eastAsia="SimSun" w:cs="SimSun"/>
          <w:sz w:val="21"/>
          <w:szCs w:val="21"/>
          <w:spacing w:val="39"/>
        </w:rPr>
        <w:t xml:space="preserve"> </w:t>
      </w:r>
      <w:r>
        <w:rPr>
          <w:rFonts w:ascii="SimSun" w:hAnsi="SimSun" w:eastAsia="SimSun" w:cs="SimSun"/>
          <w:sz w:val="21"/>
          <w:szCs w:val="21"/>
        </w:rPr>
        <w:t>错误数量、未授权统计。</w:t>
      </w:r>
    </w:p>
    <w:p>
      <w:pPr>
        <w:spacing w:line="219" w:lineRule="auto"/>
        <w:sectPr>
          <w:footerReference w:type="default" r:id="rId535"/>
          <w:pgSz w:w="8870" w:h="13400"/>
          <w:pgMar w:top="400" w:right="435" w:bottom="467" w:left="470" w:header="0" w:footer="259" w:gutter="0"/>
        </w:sectPr>
        <w:rPr>
          <w:rFonts w:ascii="SimSun" w:hAnsi="SimSun" w:eastAsia="SimSun" w:cs="SimSun"/>
          <w:sz w:val="21"/>
          <w:szCs w:val="21"/>
        </w:rPr>
      </w:pPr>
    </w:p>
    <w:p>
      <w:pPr>
        <w:ind w:left="4562"/>
        <w:spacing w:before="22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245" w:lineRule="auto"/>
        <w:rPr/>
      </w:pPr>
      <w:r/>
    </w:p>
    <w:p>
      <w:pPr>
        <w:ind w:left="419"/>
        <w:spacing w:before="68" w:line="318" w:lineRule="exact"/>
        <w:rPr>
          <w:rFonts w:ascii="SimSun" w:hAnsi="SimSun" w:eastAsia="SimSun" w:cs="SimSun"/>
          <w:sz w:val="21"/>
          <w:szCs w:val="21"/>
        </w:rPr>
      </w:pPr>
      <w:r>
        <w:rPr>
          <w:rFonts w:ascii="SimSun" w:hAnsi="SimSun" w:eastAsia="SimSun" w:cs="SimSun"/>
          <w:sz w:val="21"/>
          <w:szCs w:val="21"/>
          <w:spacing w:val="13"/>
          <w:position w:val="7"/>
        </w:rPr>
        <w:t>(4)指标考核</w:t>
      </w:r>
    </w:p>
    <w:p>
      <w:pPr>
        <w:ind w:left="419"/>
        <w:spacing w:line="217" w:lineRule="auto"/>
        <w:rPr>
          <w:rFonts w:ascii="SimSun" w:hAnsi="SimSun" w:eastAsia="SimSun" w:cs="SimSun"/>
          <w:sz w:val="21"/>
          <w:szCs w:val="21"/>
        </w:rPr>
      </w:pPr>
      <w:r>
        <w:rPr>
          <w:rFonts w:ascii="SimSun" w:hAnsi="SimSun" w:eastAsia="SimSun" w:cs="SimSun"/>
          <w:sz w:val="21"/>
          <w:szCs w:val="21"/>
          <w:spacing w:val="-4"/>
        </w:rPr>
        <w:t>① 考核流程</w:t>
      </w:r>
    </w:p>
    <w:p>
      <w:pPr>
        <w:ind w:right="245" w:firstLine="419"/>
        <w:spacing w:before="40" w:line="251" w:lineRule="auto"/>
        <w:rPr>
          <w:rFonts w:ascii="SimSun" w:hAnsi="SimSun" w:eastAsia="SimSun" w:cs="SimSun"/>
          <w:sz w:val="21"/>
          <w:szCs w:val="21"/>
        </w:rPr>
      </w:pPr>
      <w:r>
        <w:rPr>
          <w:rFonts w:ascii="SimSun" w:hAnsi="SimSun" w:eastAsia="SimSun" w:cs="SimSun"/>
          <w:sz w:val="21"/>
          <w:szCs w:val="21"/>
          <w:spacing w:val="1"/>
        </w:rPr>
        <w:t>组织应定期考核这些 </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并向数据治理委员会和高级管理人员报告</w:t>
      </w:r>
      <w:r>
        <w:rPr>
          <w:rFonts w:ascii="SimSun" w:hAnsi="SimSun" w:eastAsia="SimSun" w:cs="SimSun"/>
          <w:sz w:val="21"/>
          <w:szCs w:val="21"/>
        </w:rPr>
        <w:t>结果。业 </w:t>
      </w:r>
      <w:r>
        <w:rPr>
          <w:rFonts w:ascii="SimSun" w:hAnsi="SimSun" w:eastAsia="SimSun" w:cs="SimSun"/>
          <w:sz w:val="21"/>
          <w:szCs w:val="21"/>
          <w:spacing w:val="4"/>
        </w:rPr>
        <w:t>务驱动和技术数据治理</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建议每1～3个月评估和统计一次。</w:t>
      </w:r>
    </w:p>
    <w:p>
      <w:pPr>
        <w:ind w:left="419"/>
        <w:spacing w:before="71" w:line="217" w:lineRule="auto"/>
        <w:rPr>
          <w:rFonts w:ascii="SimSun" w:hAnsi="SimSun" w:eastAsia="SimSun" w:cs="SimSun"/>
          <w:sz w:val="21"/>
          <w:szCs w:val="21"/>
        </w:rPr>
      </w:pPr>
      <w:r>
        <w:rPr>
          <w:rFonts w:ascii="SimSun" w:hAnsi="SimSun" w:eastAsia="SimSun" w:cs="SimSun"/>
          <w:sz w:val="21"/>
          <w:szCs w:val="21"/>
          <w:spacing w:val="-2"/>
        </w:rPr>
        <w:t>② 考核信息反馈</w:t>
      </w:r>
    </w:p>
    <w:p>
      <w:pPr>
        <w:ind w:left="678" w:right="208" w:hanging="259"/>
        <w:spacing w:before="66" w:line="255" w:lineRule="auto"/>
        <w:rPr>
          <w:rFonts w:ascii="SimSun" w:hAnsi="SimSun" w:eastAsia="SimSun" w:cs="SimSun"/>
          <w:sz w:val="21"/>
          <w:szCs w:val="21"/>
        </w:rPr>
      </w:pPr>
      <w:r>
        <w:rPr>
          <w:rFonts w:ascii="SimSun" w:hAnsi="SimSun" w:eastAsia="SimSun" w:cs="SimSun"/>
          <w:sz w:val="21"/>
          <w:szCs w:val="21"/>
          <w:spacing w:val="2"/>
        </w:rPr>
        <w:t>●对考评结果要做到全面剖析，对未达标的工作部分</w:t>
      </w:r>
      <w:r>
        <w:rPr>
          <w:rFonts w:ascii="SimSun" w:hAnsi="SimSun" w:eastAsia="SimSun" w:cs="SimSun"/>
          <w:sz w:val="21"/>
          <w:szCs w:val="21"/>
          <w:spacing w:val="1"/>
        </w:rPr>
        <w:t>要加以分析，找出原因并</w:t>
      </w:r>
      <w:r>
        <w:rPr>
          <w:rFonts w:ascii="SimSun" w:hAnsi="SimSun" w:eastAsia="SimSun" w:cs="SimSun"/>
          <w:sz w:val="21"/>
          <w:szCs w:val="21"/>
        </w:rPr>
        <w:t xml:space="preserve"> </w:t>
      </w:r>
      <w:r>
        <w:rPr>
          <w:rFonts w:ascii="SimSun" w:hAnsi="SimSun" w:eastAsia="SimSun" w:cs="SimSun"/>
          <w:sz w:val="21"/>
          <w:szCs w:val="21"/>
          <w:spacing w:val="1"/>
        </w:rPr>
        <w:t>采取措施进行改进。如果绩效指标不适宜，应调整绩效指标和细化工作职责</w:t>
      </w:r>
      <w:r>
        <w:rPr>
          <w:rFonts w:ascii="SimSun" w:hAnsi="SimSun" w:eastAsia="SimSun" w:cs="SimSun"/>
          <w:sz w:val="21"/>
          <w:szCs w:val="21"/>
          <w:spacing w:val="9"/>
        </w:rPr>
        <w:t xml:space="preserve"> </w:t>
      </w:r>
      <w:r>
        <w:rPr>
          <w:rFonts w:ascii="SimSun" w:hAnsi="SimSun" w:eastAsia="SimSun" w:cs="SimSun"/>
          <w:sz w:val="21"/>
          <w:szCs w:val="21"/>
          <w:spacing w:val="-9"/>
        </w:rPr>
        <w:t>标准。</w:t>
      </w:r>
    </w:p>
    <w:p>
      <w:pPr>
        <w:ind w:left="678" w:right="233" w:hanging="259"/>
        <w:spacing w:before="80" w:line="249" w:lineRule="auto"/>
        <w:rPr>
          <w:rFonts w:ascii="SimSun" w:hAnsi="SimSun" w:eastAsia="SimSun" w:cs="SimSun"/>
          <w:sz w:val="21"/>
          <w:szCs w:val="21"/>
        </w:rPr>
      </w:pPr>
      <w:r>
        <w:rPr>
          <w:rFonts w:ascii="SimSun" w:hAnsi="SimSun" w:eastAsia="SimSun" w:cs="SimSun"/>
          <w:sz w:val="21"/>
          <w:szCs w:val="21"/>
          <w:spacing w:val="8"/>
        </w:rPr>
        <w:t>●对考核成果要进行充分利用，要及时通过管理人员对有关的责任人进行沟</w:t>
      </w:r>
      <w:r>
        <w:rPr>
          <w:rFonts w:ascii="SimSun" w:hAnsi="SimSun" w:eastAsia="SimSun" w:cs="SimSun"/>
          <w:sz w:val="21"/>
          <w:szCs w:val="21"/>
          <w:spacing w:val="11"/>
        </w:rPr>
        <w:t xml:space="preserve"> </w:t>
      </w:r>
      <w:r>
        <w:rPr>
          <w:rFonts w:ascii="SimSun" w:hAnsi="SimSun" w:eastAsia="SimSun" w:cs="SimSun"/>
          <w:sz w:val="21"/>
          <w:szCs w:val="21"/>
        </w:rPr>
        <w:t>通。对于考核者存在的不足，应提出具体的建议要求及改进工作的途径，以</w:t>
      </w:r>
      <w:r>
        <w:rPr>
          <w:rFonts w:ascii="SimSun" w:hAnsi="SimSun" w:eastAsia="SimSun" w:cs="SimSun"/>
          <w:sz w:val="21"/>
          <w:szCs w:val="21"/>
          <w:spacing w:val="17"/>
        </w:rPr>
        <w:t xml:space="preserve"> </w:t>
      </w:r>
      <w:r>
        <w:rPr>
          <w:rFonts w:ascii="SimSun" w:hAnsi="SimSun" w:eastAsia="SimSun" w:cs="SimSun"/>
          <w:sz w:val="21"/>
          <w:szCs w:val="21"/>
          <w:spacing w:val="-4"/>
        </w:rPr>
        <w:t>保证体系的有效运行。</w:t>
      </w:r>
    </w:p>
    <w:p>
      <w:pPr>
        <w:ind w:left="4"/>
        <w:spacing w:before="307" w:line="222" w:lineRule="auto"/>
        <w:outlineLvl w:val="6"/>
        <w:rPr>
          <w:rFonts w:ascii="YouYuan" w:hAnsi="YouYuan" w:eastAsia="YouYuan" w:cs="YouYuan"/>
          <w:sz w:val="30"/>
          <w:szCs w:val="30"/>
        </w:rPr>
      </w:pPr>
      <w:r>
        <w:rPr>
          <w:rFonts w:ascii="YouYuan" w:hAnsi="YouYuan" w:eastAsia="YouYuan" w:cs="YouYuan"/>
          <w:sz w:val="30"/>
          <w:szCs w:val="30"/>
          <w:b/>
          <w:bCs/>
          <w:spacing w:val="-16"/>
        </w:rPr>
        <w:t>11.3.2</w:t>
      </w:r>
      <w:r>
        <w:rPr>
          <w:rFonts w:ascii="YouYuan" w:hAnsi="YouYuan" w:eastAsia="YouYuan" w:cs="YouYuan"/>
          <w:sz w:val="30"/>
          <w:szCs w:val="30"/>
          <w:spacing w:val="123"/>
        </w:rPr>
        <w:t xml:space="preserve"> </w:t>
      </w:r>
      <w:r>
        <w:rPr>
          <w:rFonts w:ascii="YouYuan" w:hAnsi="YouYuan" w:eastAsia="YouYuan" w:cs="YouYuan"/>
          <w:sz w:val="30"/>
          <w:szCs w:val="30"/>
          <w:b/>
          <w:bCs/>
          <w:spacing w:val="-16"/>
        </w:rPr>
        <w:t>内部审计</w:t>
      </w:r>
    </w:p>
    <w:p>
      <w:pPr>
        <w:pStyle w:val="BodyText"/>
        <w:spacing w:line="261" w:lineRule="auto"/>
        <w:rPr/>
      </w:pPr>
      <w:r/>
    </w:p>
    <w:p>
      <w:pPr>
        <w:ind w:right="242" w:firstLine="419"/>
        <w:spacing w:before="69" w:line="255" w:lineRule="auto"/>
        <w:jc w:val="both"/>
        <w:rPr>
          <w:rFonts w:ascii="SimSun" w:hAnsi="SimSun" w:eastAsia="SimSun" w:cs="SimSun"/>
          <w:sz w:val="21"/>
          <w:szCs w:val="21"/>
        </w:rPr>
      </w:pPr>
      <w:r>
        <w:rPr>
          <w:rFonts w:ascii="SimSun" w:hAnsi="SimSun" w:eastAsia="SimSun" w:cs="SimSun"/>
          <w:sz w:val="21"/>
          <w:szCs w:val="21"/>
          <w:spacing w:val="2"/>
        </w:rPr>
        <w:t>组织应对云端数据治理体系进行内部审计，验证体系是</w:t>
      </w:r>
      <w:r>
        <w:rPr>
          <w:rFonts w:ascii="SimSun" w:hAnsi="SimSun" w:eastAsia="SimSun" w:cs="SimSun"/>
          <w:sz w:val="21"/>
          <w:szCs w:val="21"/>
          <w:spacing w:val="1"/>
        </w:rPr>
        <w:t>否持续满足规定的要求</w:t>
      </w:r>
      <w:r>
        <w:rPr>
          <w:rFonts w:ascii="SimSun" w:hAnsi="SimSun" w:eastAsia="SimSun" w:cs="SimSun"/>
          <w:sz w:val="21"/>
          <w:szCs w:val="21"/>
        </w:rPr>
        <w:t xml:space="preserve"> </w:t>
      </w:r>
      <w:r>
        <w:rPr>
          <w:rFonts w:ascii="SimSun" w:hAnsi="SimSun" w:eastAsia="SimSun" w:cs="SimSun"/>
          <w:sz w:val="21"/>
          <w:szCs w:val="21"/>
          <w:spacing w:val="2"/>
        </w:rPr>
        <w:t>并且正在运行。在许多情况下，尤其在小型组织内</w:t>
      </w:r>
      <w:r>
        <w:rPr>
          <w:rFonts w:ascii="SimSun" w:hAnsi="SimSun" w:eastAsia="SimSun" w:cs="SimSun"/>
          <w:sz w:val="21"/>
          <w:szCs w:val="21"/>
          <w:spacing w:val="1"/>
        </w:rPr>
        <w:t>，应该由与受审核活动无责任关</w:t>
      </w:r>
      <w:r>
        <w:rPr>
          <w:rFonts w:ascii="SimSun" w:hAnsi="SimSun" w:eastAsia="SimSun" w:cs="SimSun"/>
          <w:sz w:val="21"/>
          <w:szCs w:val="21"/>
        </w:rPr>
        <w:t xml:space="preserve"> </w:t>
      </w:r>
      <w:r>
        <w:rPr>
          <w:rFonts w:ascii="SimSun" w:hAnsi="SimSun" w:eastAsia="SimSun" w:cs="SimSun"/>
          <w:sz w:val="21"/>
          <w:szCs w:val="21"/>
          <w:spacing w:val="-5"/>
        </w:rPr>
        <w:t>系的人员进行，以证实其独立性。</w:t>
      </w:r>
    </w:p>
    <w:p>
      <w:pPr>
        <w:ind w:right="223" w:firstLine="419"/>
        <w:spacing w:before="69" w:line="265" w:lineRule="auto"/>
        <w:jc w:val="both"/>
        <w:rPr>
          <w:rFonts w:ascii="SimSun" w:hAnsi="SimSun" w:eastAsia="SimSun" w:cs="SimSun"/>
          <w:sz w:val="21"/>
          <w:szCs w:val="21"/>
        </w:rPr>
      </w:pPr>
      <w:r>
        <w:rPr>
          <w:rFonts w:ascii="SimSun" w:hAnsi="SimSun" w:eastAsia="SimSun" w:cs="SimSun"/>
          <w:sz w:val="21"/>
          <w:szCs w:val="21"/>
          <w:spacing w:val="2"/>
        </w:rPr>
        <w:t>组织应制订内部审计规程文件。内部审计规程文件的内容包括目</w:t>
      </w:r>
      <w:r>
        <w:rPr>
          <w:rFonts w:ascii="SimSun" w:hAnsi="SimSun" w:eastAsia="SimSun" w:cs="SimSun"/>
          <w:sz w:val="21"/>
          <w:szCs w:val="21"/>
          <w:spacing w:val="1"/>
        </w:rPr>
        <w:t>的、范围、定</w:t>
      </w:r>
      <w:r>
        <w:rPr>
          <w:rFonts w:ascii="SimSun" w:hAnsi="SimSun" w:eastAsia="SimSun" w:cs="SimSun"/>
          <w:sz w:val="21"/>
          <w:szCs w:val="21"/>
        </w:rPr>
        <w:t xml:space="preserve"> </w:t>
      </w:r>
      <w:r>
        <w:rPr>
          <w:rFonts w:ascii="SimSun" w:hAnsi="SimSun" w:eastAsia="SimSun" w:cs="SimSun"/>
          <w:sz w:val="21"/>
          <w:szCs w:val="21"/>
          <w:spacing w:val="1"/>
        </w:rPr>
        <w:t>义、审计的基本要求、审计人员的确定与责任、审计计划、审计的基本步骤、方法</w:t>
      </w:r>
      <w:r>
        <w:rPr>
          <w:rFonts w:ascii="SimSun" w:hAnsi="SimSun" w:eastAsia="SimSun" w:cs="SimSun"/>
          <w:sz w:val="21"/>
          <w:szCs w:val="21"/>
        </w:rPr>
        <w:t xml:space="preserve"> </w:t>
      </w:r>
      <w:r>
        <w:rPr>
          <w:rFonts w:ascii="SimSun" w:hAnsi="SimSun" w:eastAsia="SimSun" w:cs="SimSun"/>
          <w:sz w:val="21"/>
          <w:szCs w:val="21"/>
          <w:spacing w:val="2"/>
        </w:rPr>
        <w:t>及要求、审计的分析与记录、审计结果的跟踪</w:t>
      </w:r>
      <w:r>
        <w:rPr>
          <w:rFonts w:ascii="SimSun" w:hAnsi="SimSun" w:eastAsia="SimSun" w:cs="SimSun"/>
          <w:sz w:val="21"/>
          <w:szCs w:val="21"/>
          <w:spacing w:val="1"/>
        </w:rPr>
        <w:t>验证要求等。内部审计规程文件是组</w:t>
      </w:r>
      <w:r>
        <w:rPr>
          <w:rFonts w:ascii="SimSun" w:hAnsi="SimSun" w:eastAsia="SimSun" w:cs="SimSun"/>
          <w:sz w:val="21"/>
          <w:szCs w:val="21"/>
        </w:rPr>
        <w:t xml:space="preserve"> </w:t>
      </w:r>
      <w:r>
        <w:rPr>
          <w:rFonts w:ascii="SimSun" w:hAnsi="SimSun" w:eastAsia="SimSun" w:cs="SimSun"/>
          <w:sz w:val="21"/>
          <w:szCs w:val="21"/>
          <w:spacing w:val="2"/>
        </w:rPr>
        <w:t>织内部审计各项活动的总指导和规定，可包含体系管理和数据治理过程的审计。内</w:t>
      </w:r>
      <w:r>
        <w:rPr>
          <w:rFonts w:ascii="SimSun" w:hAnsi="SimSun" w:eastAsia="SimSun" w:cs="SimSun"/>
          <w:sz w:val="21"/>
          <w:szCs w:val="21"/>
          <w:spacing w:val="5"/>
        </w:rPr>
        <w:t xml:space="preserve"> </w:t>
      </w:r>
      <w:r>
        <w:rPr>
          <w:rFonts w:ascii="SimSun" w:hAnsi="SimSun" w:eastAsia="SimSun" w:cs="SimSun"/>
          <w:sz w:val="21"/>
          <w:szCs w:val="21"/>
          <w:spacing w:val="10"/>
        </w:rPr>
        <w:t>部审计应对所有过程和部门进行，在规定时间内(通常为一年)覆</w:t>
      </w:r>
      <w:r>
        <w:rPr>
          <w:rFonts w:ascii="SimSun" w:hAnsi="SimSun" w:eastAsia="SimSun" w:cs="SimSun"/>
          <w:sz w:val="21"/>
          <w:szCs w:val="21"/>
          <w:spacing w:val="9"/>
        </w:rPr>
        <w:t>盖100%;应对所</w:t>
      </w:r>
      <w:r>
        <w:rPr>
          <w:rFonts w:ascii="SimSun" w:hAnsi="SimSun" w:eastAsia="SimSun" w:cs="SimSun"/>
          <w:sz w:val="21"/>
          <w:szCs w:val="21"/>
        </w:rPr>
        <w:t xml:space="preserve"> </w:t>
      </w:r>
      <w:r>
        <w:rPr>
          <w:rFonts w:ascii="SimSun" w:hAnsi="SimSun" w:eastAsia="SimSun" w:cs="SimSun"/>
          <w:sz w:val="21"/>
          <w:szCs w:val="21"/>
          <w:spacing w:val="2"/>
        </w:rPr>
        <w:t>有云端数据治理过程和因素进行审计，确保数</w:t>
      </w:r>
      <w:r>
        <w:rPr>
          <w:rFonts w:ascii="SimSun" w:hAnsi="SimSun" w:eastAsia="SimSun" w:cs="SimSun"/>
          <w:sz w:val="21"/>
          <w:szCs w:val="21"/>
          <w:spacing w:val="1"/>
        </w:rPr>
        <w:t>据治理过程符合数据策略和数据规程</w:t>
      </w:r>
      <w:r>
        <w:rPr>
          <w:rFonts w:ascii="SimSun" w:hAnsi="SimSun" w:eastAsia="SimSun" w:cs="SimSun"/>
          <w:sz w:val="21"/>
          <w:szCs w:val="21"/>
        </w:rPr>
        <w:t xml:space="preserve"> </w:t>
      </w:r>
      <w:r>
        <w:rPr>
          <w:rFonts w:ascii="SimSun" w:hAnsi="SimSun" w:eastAsia="SimSun" w:cs="SimSun"/>
          <w:sz w:val="21"/>
          <w:szCs w:val="21"/>
          <w:spacing w:val="-6"/>
        </w:rPr>
        <w:t>文件的要求。</w:t>
      </w:r>
    </w:p>
    <w:p>
      <w:pPr>
        <w:ind w:left="419"/>
        <w:spacing w:before="99" w:line="219" w:lineRule="auto"/>
        <w:rPr>
          <w:rFonts w:ascii="SimSun" w:hAnsi="SimSun" w:eastAsia="SimSun" w:cs="SimSun"/>
          <w:sz w:val="21"/>
          <w:szCs w:val="21"/>
        </w:rPr>
      </w:pPr>
      <w:r>
        <w:rPr>
          <w:rFonts w:ascii="SimSun" w:hAnsi="SimSun" w:eastAsia="SimSun" w:cs="SimSun"/>
          <w:sz w:val="21"/>
          <w:szCs w:val="21"/>
        </w:rPr>
        <w:t>云端数据治理体系数据战略过程域的内部审计检查表参考模板见表11-4。</w:t>
      </w:r>
    </w:p>
    <w:p>
      <w:pPr>
        <w:ind w:left="2232"/>
        <w:spacing w:before="98" w:line="222" w:lineRule="auto"/>
        <w:rPr>
          <w:rFonts w:ascii="SimHei" w:hAnsi="SimHei" w:eastAsia="SimHei" w:cs="SimHei"/>
          <w:sz w:val="21"/>
          <w:szCs w:val="21"/>
        </w:rPr>
      </w:pPr>
      <w:r>
        <w:rPr>
          <w:rFonts w:ascii="SimHei" w:hAnsi="SimHei" w:eastAsia="SimHei" w:cs="SimHei"/>
          <w:sz w:val="21"/>
          <w:szCs w:val="21"/>
          <w:b/>
          <w:bCs/>
          <w:spacing w:val="-18"/>
          <w:w w:val="95"/>
        </w:rPr>
        <w:t>表11-4</w:t>
      </w:r>
      <w:r>
        <w:rPr>
          <w:rFonts w:ascii="SimHei" w:hAnsi="SimHei" w:eastAsia="SimHei" w:cs="SimHei"/>
          <w:sz w:val="21"/>
          <w:szCs w:val="21"/>
          <w:spacing w:val="92"/>
        </w:rPr>
        <w:t xml:space="preserve"> </w:t>
      </w:r>
      <w:r>
        <w:rPr>
          <w:rFonts w:ascii="SimHei" w:hAnsi="SimHei" w:eastAsia="SimHei" w:cs="SimHei"/>
          <w:sz w:val="21"/>
          <w:szCs w:val="21"/>
          <w:b/>
          <w:bCs/>
          <w:spacing w:val="-18"/>
          <w:w w:val="95"/>
        </w:rPr>
        <w:t>数据战略过程域内部审计检查表</w:t>
      </w:r>
    </w:p>
    <w:p>
      <w:pPr>
        <w:spacing w:line="88" w:lineRule="exact"/>
        <w:rPr/>
      </w:pPr>
      <w:r/>
    </w:p>
    <w:tbl>
      <w:tblPr>
        <w:tblStyle w:val="TableNormal"/>
        <w:tblW w:w="7549"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4"/>
        <w:gridCol w:w="669"/>
        <w:gridCol w:w="689"/>
        <w:gridCol w:w="2327"/>
        <w:gridCol w:w="579"/>
        <w:gridCol w:w="549"/>
        <w:gridCol w:w="579"/>
        <w:gridCol w:w="589"/>
        <w:gridCol w:w="539"/>
        <w:gridCol w:w="505"/>
      </w:tblGrid>
      <w:tr>
        <w:trPr>
          <w:trHeight w:val="583" w:hRule="atLeast"/>
        </w:trPr>
        <w:tc>
          <w:tcPr>
            <w:tcW w:w="524" w:type="dxa"/>
            <w:vAlign w:val="top"/>
          </w:tcPr>
          <w:p>
            <w:pPr>
              <w:pStyle w:val="TableText"/>
              <w:ind w:left="104"/>
              <w:spacing w:before="221" w:line="221" w:lineRule="auto"/>
              <w:rPr/>
            </w:pPr>
            <w:r>
              <w:rPr>
                <w:spacing w:val="-2"/>
              </w:rPr>
              <w:t>序号</w:t>
            </w:r>
          </w:p>
        </w:tc>
        <w:tc>
          <w:tcPr>
            <w:tcW w:w="669" w:type="dxa"/>
            <w:vAlign w:val="top"/>
          </w:tcPr>
          <w:p>
            <w:pPr>
              <w:pStyle w:val="TableText"/>
              <w:ind w:left="101"/>
              <w:spacing w:before="221" w:line="220" w:lineRule="auto"/>
              <w:rPr/>
            </w:pPr>
            <w:r>
              <w:rPr>
                <w:spacing w:val="-2"/>
              </w:rPr>
              <w:t>职能域</w:t>
            </w:r>
          </w:p>
        </w:tc>
        <w:tc>
          <w:tcPr>
            <w:tcW w:w="689" w:type="dxa"/>
            <w:vAlign w:val="top"/>
          </w:tcPr>
          <w:p>
            <w:pPr>
              <w:pStyle w:val="TableText"/>
              <w:ind w:left="112"/>
              <w:spacing w:before="221" w:line="220" w:lineRule="auto"/>
              <w:rPr/>
            </w:pPr>
            <w:r>
              <w:rPr>
                <w:spacing w:val="-2"/>
              </w:rPr>
              <w:t>过程域</w:t>
            </w:r>
          </w:p>
        </w:tc>
        <w:tc>
          <w:tcPr>
            <w:tcW w:w="2327" w:type="dxa"/>
            <w:vAlign w:val="top"/>
          </w:tcPr>
          <w:p>
            <w:pPr>
              <w:pStyle w:val="TableText"/>
              <w:ind w:left="912"/>
              <w:spacing w:before="221" w:line="219" w:lineRule="auto"/>
              <w:rPr/>
            </w:pPr>
            <w:r>
              <w:rPr>
                <w:spacing w:val="-2"/>
              </w:rPr>
              <w:t>检查项</w:t>
            </w:r>
          </w:p>
        </w:tc>
        <w:tc>
          <w:tcPr>
            <w:tcW w:w="579" w:type="dxa"/>
            <w:vAlign w:val="top"/>
          </w:tcPr>
          <w:p>
            <w:pPr>
              <w:pStyle w:val="TableText"/>
              <w:ind w:left="56"/>
              <w:spacing w:before="235"/>
              <w:rPr/>
            </w:pPr>
            <w:r>
              <w:rPr>
                <w:spacing w:val="-1"/>
              </w:rPr>
              <w:t>Levell</w:t>
            </w:r>
          </w:p>
        </w:tc>
        <w:tc>
          <w:tcPr>
            <w:tcW w:w="549" w:type="dxa"/>
            <w:vAlign w:val="top"/>
          </w:tcPr>
          <w:p>
            <w:pPr>
              <w:pStyle w:val="TableText"/>
              <w:ind w:left="57"/>
              <w:spacing w:before="235"/>
              <w:rPr/>
            </w:pPr>
            <w:r>
              <w:rPr>
                <w:spacing w:val="-1"/>
              </w:rPr>
              <w:t>Level2</w:t>
            </w:r>
          </w:p>
        </w:tc>
        <w:tc>
          <w:tcPr>
            <w:tcW w:w="579" w:type="dxa"/>
            <w:vAlign w:val="top"/>
          </w:tcPr>
          <w:p>
            <w:pPr>
              <w:pStyle w:val="TableText"/>
              <w:ind w:left="67"/>
              <w:spacing w:before="235"/>
              <w:rPr/>
            </w:pPr>
            <w:r>
              <w:rPr>
                <w:spacing w:val="-1"/>
              </w:rPr>
              <w:t>Level3</w:t>
            </w:r>
          </w:p>
        </w:tc>
        <w:tc>
          <w:tcPr>
            <w:tcW w:w="589" w:type="dxa"/>
            <w:vAlign w:val="top"/>
          </w:tcPr>
          <w:p>
            <w:pPr>
              <w:pStyle w:val="TableText"/>
              <w:ind w:left="58"/>
              <w:spacing w:before="235"/>
              <w:rPr/>
            </w:pPr>
            <w:r>
              <w:rPr>
                <w:spacing w:val="-1"/>
              </w:rPr>
              <w:t>Level4</w:t>
            </w:r>
          </w:p>
        </w:tc>
        <w:tc>
          <w:tcPr>
            <w:tcW w:w="539" w:type="dxa"/>
            <w:vAlign w:val="top"/>
          </w:tcPr>
          <w:p>
            <w:pPr>
              <w:pStyle w:val="TableText"/>
              <w:ind w:left="30"/>
              <w:spacing w:before="235"/>
              <w:rPr/>
            </w:pPr>
            <w:r>
              <w:rPr>
                <w:spacing w:val="-1"/>
              </w:rPr>
              <w:t>Level5</w:t>
            </w:r>
          </w:p>
        </w:tc>
        <w:tc>
          <w:tcPr>
            <w:tcW w:w="505" w:type="dxa"/>
            <w:vAlign w:val="top"/>
          </w:tcPr>
          <w:p>
            <w:pPr>
              <w:pStyle w:val="TableText"/>
              <w:ind w:left="101"/>
              <w:spacing w:before="81" w:line="270" w:lineRule="exact"/>
              <w:rPr/>
            </w:pPr>
            <w:r>
              <w:rPr>
                <w:spacing w:val="-4"/>
                <w:position w:val="9"/>
              </w:rPr>
              <w:t>审计</w:t>
            </w:r>
          </w:p>
          <w:p>
            <w:pPr>
              <w:pStyle w:val="TableText"/>
              <w:ind w:left="101"/>
              <w:spacing w:line="220" w:lineRule="auto"/>
              <w:rPr/>
            </w:pPr>
            <w:r>
              <w:rPr>
                <w:spacing w:val="-3"/>
              </w:rPr>
              <w:t>结果</w:t>
            </w:r>
          </w:p>
        </w:tc>
      </w:tr>
      <w:tr>
        <w:trPr>
          <w:trHeight w:val="338" w:hRule="atLeast"/>
        </w:trPr>
        <w:tc>
          <w:tcPr>
            <w:tcW w:w="524" w:type="dxa"/>
            <w:vAlign w:val="top"/>
            <w:vMerge w:val="restart"/>
            <w:tcBorders>
              <w:bottom w:val="nil"/>
            </w:tcBorders>
          </w:tcPr>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214"/>
              <w:spacing w:before="48" w:line="184" w:lineRule="auto"/>
              <w:rPr/>
            </w:pPr>
            <w:r>
              <w:rPr/>
              <w:t>1</w:t>
            </w:r>
          </w:p>
        </w:tc>
        <w:tc>
          <w:tcPr>
            <w:tcW w:w="669" w:type="dxa"/>
            <w:vAlign w:val="top"/>
            <w:vMerge w:val="restart"/>
            <w:tcBorders>
              <w:bottom w:val="nil"/>
            </w:tcBorders>
          </w:tcPr>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71"/>
              <w:spacing w:before="49" w:line="300" w:lineRule="exact"/>
              <w:rPr/>
            </w:pPr>
            <w:r>
              <w:rPr>
                <w:spacing w:val="-2"/>
                <w:position w:val="11"/>
              </w:rPr>
              <w:t>数据</w:t>
            </w:r>
          </w:p>
          <w:p>
            <w:pPr>
              <w:pStyle w:val="TableText"/>
              <w:ind w:left="171"/>
              <w:spacing w:line="220" w:lineRule="auto"/>
              <w:rPr/>
            </w:pPr>
            <w:r>
              <w:rPr>
                <w:spacing w:val="-4"/>
              </w:rPr>
              <w:t>战略</w:t>
            </w:r>
          </w:p>
        </w:tc>
        <w:tc>
          <w:tcPr>
            <w:tcW w:w="689" w:type="dxa"/>
            <w:vAlign w:val="top"/>
            <w:vMerge w:val="restart"/>
            <w:tcBorders>
              <w:bottom w:val="nil"/>
            </w:tcBorders>
          </w:tcPr>
          <w:p>
            <w:pPr>
              <w:spacing w:line="317" w:lineRule="auto"/>
              <w:rPr>
                <w:rFonts w:ascii="Arial"/>
                <w:sz w:val="21"/>
              </w:rPr>
            </w:pPr>
            <w:r/>
          </w:p>
          <w:p>
            <w:pPr>
              <w:spacing w:line="318" w:lineRule="auto"/>
              <w:rPr>
                <w:rFonts w:ascii="Arial"/>
                <w:sz w:val="21"/>
              </w:rPr>
            </w:pPr>
            <w:r/>
          </w:p>
          <w:p>
            <w:pPr>
              <w:spacing w:line="318" w:lineRule="auto"/>
              <w:rPr>
                <w:rFonts w:ascii="Arial"/>
                <w:sz w:val="21"/>
              </w:rPr>
            </w:pPr>
            <w:r/>
          </w:p>
          <w:p>
            <w:pPr>
              <w:pStyle w:val="TableText"/>
              <w:ind w:left="181"/>
              <w:spacing w:before="49" w:line="220" w:lineRule="auto"/>
              <w:rPr/>
            </w:pPr>
            <w:r>
              <w:rPr>
                <w:spacing w:val="-4"/>
              </w:rPr>
              <w:t>战略</w:t>
            </w:r>
          </w:p>
        </w:tc>
        <w:tc>
          <w:tcPr>
            <w:tcW w:w="2327" w:type="dxa"/>
            <w:vAlign w:val="top"/>
          </w:tcPr>
          <w:p>
            <w:pPr>
              <w:pStyle w:val="TableText"/>
              <w:ind w:left="193"/>
              <w:spacing w:before="98" w:line="219" w:lineRule="auto"/>
              <w:rPr/>
            </w:pPr>
            <w:r>
              <w:rPr>
                <w:spacing w:val="-1"/>
              </w:rPr>
              <w:t>Q1:数据治理战略是否完整</w:t>
            </w:r>
          </w:p>
        </w:tc>
        <w:tc>
          <w:tcPr>
            <w:tcW w:w="57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39" w:type="dxa"/>
            <w:vAlign w:val="top"/>
            <w:vMerge w:val="restart"/>
            <w:tcBorders>
              <w:bottom w:val="nil"/>
            </w:tcBorders>
          </w:tcPr>
          <w:p>
            <w:pPr>
              <w:rPr>
                <w:rFonts w:ascii="Arial"/>
                <w:sz w:val="21"/>
              </w:rPr>
            </w:pPr>
            <w:r/>
          </w:p>
        </w:tc>
        <w:tc>
          <w:tcPr>
            <w:tcW w:w="505" w:type="dxa"/>
            <w:vAlign w:val="top"/>
            <w:vMerge w:val="restart"/>
            <w:tcBorders>
              <w:bottom w:val="nil"/>
            </w:tcBorders>
          </w:tcPr>
          <w:p>
            <w:pPr>
              <w:rPr>
                <w:rFonts w:ascii="Arial"/>
                <w:sz w:val="21"/>
              </w:rPr>
            </w:pPr>
            <w:r/>
          </w:p>
        </w:tc>
      </w:tr>
      <w:tr>
        <w:trPr>
          <w:trHeight w:val="587" w:hRule="atLeast"/>
        </w:trPr>
        <w:tc>
          <w:tcPr>
            <w:tcW w:w="524" w:type="dxa"/>
            <w:vAlign w:val="top"/>
            <w:vMerge w:val="continue"/>
            <w:tcBorders>
              <w:top w:val="nil"/>
              <w:bottom w:val="nil"/>
            </w:tcBorders>
          </w:tcPr>
          <w:p>
            <w:pPr>
              <w:rPr>
                <w:rFonts w:ascii="Arial"/>
                <w:sz w:val="21"/>
              </w:rPr>
            </w:pPr>
            <w:r/>
          </w:p>
        </w:tc>
        <w:tc>
          <w:tcPr>
            <w:tcW w:w="66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27" w:type="dxa"/>
            <w:vAlign w:val="top"/>
          </w:tcPr>
          <w:p>
            <w:pPr>
              <w:pStyle w:val="TableText"/>
              <w:ind w:left="43" w:right="93" w:firstLine="160"/>
              <w:spacing w:before="99" w:line="283" w:lineRule="auto"/>
              <w:rPr/>
            </w:pPr>
            <w:r>
              <w:rPr>
                <w:spacing w:val="-1"/>
              </w:rPr>
              <w:t>Q2:数据治理战略是否得到数据</w:t>
            </w:r>
            <w:r>
              <w:rPr>
                <w:spacing w:val="9"/>
              </w:rPr>
              <w:t xml:space="preserve"> </w:t>
            </w:r>
            <w:r>
              <w:rPr>
                <w:spacing w:val="-1"/>
              </w:rPr>
              <w:t>利益相关者认可</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505" w:type="dxa"/>
            <w:vAlign w:val="top"/>
            <w:vMerge w:val="continue"/>
            <w:tcBorders>
              <w:top w:val="nil"/>
              <w:bottom w:val="nil"/>
            </w:tcBorders>
          </w:tcPr>
          <w:p>
            <w:pPr>
              <w:rPr>
                <w:rFonts w:ascii="Arial"/>
                <w:sz w:val="21"/>
              </w:rPr>
            </w:pPr>
            <w:r/>
          </w:p>
        </w:tc>
      </w:tr>
      <w:tr>
        <w:trPr>
          <w:trHeight w:val="598" w:hRule="atLeast"/>
        </w:trPr>
        <w:tc>
          <w:tcPr>
            <w:tcW w:w="524" w:type="dxa"/>
            <w:vAlign w:val="top"/>
            <w:vMerge w:val="continue"/>
            <w:tcBorders>
              <w:top w:val="nil"/>
              <w:bottom w:val="nil"/>
            </w:tcBorders>
          </w:tcPr>
          <w:p>
            <w:pPr>
              <w:rPr>
                <w:rFonts w:ascii="Arial"/>
                <w:sz w:val="21"/>
              </w:rPr>
            </w:pPr>
            <w:r/>
          </w:p>
        </w:tc>
        <w:tc>
          <w:tcPr>
            <w:tcW w:w="66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27" w:type="dxa"/>
            <w:vAlign w:val="top"/>
          </w:tcPr>
          <w:p>
            <w:pPr>
              <w:pStyle w:val="TableText"/>
              <w:ind w:left="22" w:right="93" w:firstLine="180"/>
              <w:spacing w:before="112" w:line="283" w:lineRule="auto"/>
              <w:rPr/>
            </w:pPr>
            <w:r>
              <w:rPr>
                <w:spacing w:val="-1"/>
              </w:rPr>
              <w:t>Q3:数据治理战略与组织其他战</w:t>
            </w:r>
            <w:r>
              <w:rPr>
                <w:spacing w:val="9"/>
              </w:rPr>
              <w:t xml:space="preserve"> </w:t>
            </w:r>
            <w:r>
              <w:rPr>
                <w:spacing w:val="-3"/>
              </w:rPr>
              <w:t>略的一致性</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505" w:type="dxa"/>
            <w:vAlign w:val="top"/>
            <w:vMerge w:val="continue"/>
            <w:tcBorders>
              <w:top w:val="nil"/>
              <w:bottom w:val="nil"/>
            </w:tcBorders>
          </w:tcPr>
          <w:p>
            <w:pPr>
              <w:rPr>
                <w:rFonts w:ascii="Arial"/>
                <w:sz w:val="21"/>
              </w:rPr>
            </w:pPr>
            <w:r/>
          </w:p>
        </w:tc>
      </w:tr>
      <w:tr>
        <w:trPr>
          <w:trHeight w:val="603" w:hRule="atLeast"/>
        </w:trPr>
        <w:tc>
          <w:tcPr>
            <w:tcW w:w="524" w:type="dxa"/>
            <w:vAlign w:val="top"/>
            <w:vMerge w:val="continue"/>
            <w:tcBorders>
              <w:top w:val="nil"/>
            </w:tcBorders>
          </w:tcPr>
          <w:p>
            <w:pPr>
              <w:rPr>
                <w:rFonts w:ascii="Arial"/>
                <w:sz w:val="21"/>
              </w:rPr>
            </w:pPr>
            <w:r/>
          </w:p>
        </w:tc>
        <w:tc>
          <w:tcPr>
            <w:tcW w:w="669" w:type="dxa"/>
            <w:vAlign w:val="top"/>
            <w:vMerge w:val="continue"/>
            <w:tcBorders>
              <w:top w:val="nil"/>
            </w:tcBorders>
          </w:tcPr>
          <w:p>
            <w:pPr>
              <w:rPr>
                <w:rFonts w:ascii="Arial"/>
                <w:sz w:val="21"/>
              </w:rPr>
            </w:pPr>
            <w:r/>
          </w:p>
        </w:tc>
        <w:tc>
          <w:tcPr>
            <w:tcW w:w="689" w:type="dxa"/>
            <w:vAlign w:val="top"/>
            <w:vMerge w:val="continue"/>
            <w:tcBorders>
              <w:top w:val="nil"/>
            </w:tcBorders>
          </w:tcPr>
          <w:p>
            <w:pPr>
              <w:rPr>
                <w:rFonts w:ascii="Arial"/>
                <w:sz w:val="21"/>
              </w:rPr>
            </w:pPr>
            <w:r/>
          </w:p>
        </w:tc>
        <w:tc>
          <w:tcPr>
            <w:tcW w:w="2327" w:type="dxa"/>
            <w:vAlign w:val="top"/>
          </w:tcPr>
          <w:p>
            <w:pPr>
              <w:pStyle w:val="TableText"/>
              <w:ind w:left="52" w:right="93" w:firstLine="150"/>
              <w:spacing w:before="114" w:line="282" w:lineRule="auto"/>
              <w:rPr/>
            </w:pPr>
            <w:r>
              <w:rPr>
                <w:spacing w:val="-1"/>
              </w:rPr>
              <w:t>Q4:数据治理战略是否能够指导</w:t>
            </w:r>
            <w:r>
              <w:rPr>
                <w:spacing w:val="9"/>
              </w:rPr>
              <w:t xml:space="preserve"> </w:t>
            </w:r>
            <w:r>
              <w:rPr>
                <w:spacing w:val="-1"/>
              </w:rPr>
              <w:t>数据治理活动的开展</w:t>
            </w:r>
          </w:p>
        </w:tc>
        <w:tc>
          <w:tcPr>
            <w:tcW w:w="57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39" w:type="dxa"/>
            <w:vAlign w:val="top"/>
            <w:vMerge w:val="continue"/>
            <w:tcBorders>
              <w:top w:val="nil"/>
            </w:tcBorders>
          </w:tcPr>
          <w:p>
            <w:pPr>
              <w:rPr>
                <w:rFonts w:ascii="Arial"/>
                <w:sz w:val="21"/>
              </w:rPr>
            </w:pPr>
            <w:r/>
          </w:p>
        </w:tc>
        <w:tc>
          <w:tcPr>
            <w:tcW w:w="505" w:type="dxa"/>
            <w:vAlign w:val="top"/>
            <w:vMerge w:val="continue"/>
            <w:tcBorders>
              <w:top w:val="nil"/>
            </w:tcBorders>
          </w:tcPr>
          <w:p>
            <w:pPr>
              <w:rPr>
                <w:rFonts w:ascii="Arial"/>
                <w:sz w:val="21"/>
              </w:rPr>
            </w:pPr>
            <w:r/>
          </w:p>
        </w:tc>
      </w:tr>
    </w:tbl>
    <w:p>
      <w:pPr>
        <w:pStyle w:val="BodyText"/>
        <w:rPr/>
      </w:pPr>
      <w:r/>
    </w:p>
    <w:p>
      <w:pPr>
        <w:sectPr>
          <w:footerReference w:type="default" r:id="rId537"/>
          <w:pgSz w:w="8870" w:h="13400"/>
          <w:pgMar w:top="400" w:right="577" w:bottom="547" w:left="430" w:header="0" w:footer="338" w:gutter="0"/>
        </w:sectPr>
        <w:rPr/>
      </w:pPr>
    </w:p>
    <w:p>
      <w:pPr>
        <w:ind w:left="139"/>
        <w:spacing w:before="200"/>
        <w:rPr>
          <w:rFonts w:ascii="SimSun" w:hAnsi="SimSun" w:eastAsia="SimSun" w:cs="SimSun"/>
          <w:sz w:val="22"/>
          <w:szCs w:val="22"/>
        </w:rPr>
      </w:pPr>
      <w:r>
        <w:rPr>
          <w:rFonts w:ascii="SimSun" w:hAnsi="SimSun" w:eastAsia="SimSun" w:cs="SimSun"/>
          <w:sz w:val="22"/>
          <w:szCs w:val="22"/>
          <w:position w:val="-8"/>
        </w:rPr>
        <w:drawing>
          <wp:inline distT="0" distB="0" distL="0" distR="0">
            <wp:extent cx="6365" cy="222255"/>
            <wp:effectExtent l="0" t="0" r="0" b="0"/>
            <wp:docPr id="362" name="IM 362"/>
            <wp:cNvGraphicFramePr/>
            <a:graphic>
              <a:graphicData uri="http://schemas.openxmlformats.org/drawingml/2006/picture">
                <pic:pic>
                  <pic:nvPicPr>
                    <pic:cNvPr id="362" name="IM 362"/>
                    <pic:cNvPicPr/>
                  </pic:nvPicPr>
                  <pic:blipFill>
                    <a:blip r:embed="rId539"/>
                    <a:stretch>
                      <a:fillRect/>
                    </a:stretch>
                  </pic:blipFill>
                  <pic:spPr>
                    <a:xfrm rot="0">
                      <a:off x="0" y="0"/>
                      <a:ext cx="6365" cy="222255"/>
                    </a:xfrm>
                    <a:prstGeom prst="rect">
                      <a:avLst/>
                    </a:prstGeom>
                  </pic:spPr>
                </pic:pic>
              </a:graphicData>
            </a:graphic>
          </wp:inline>
        </w:drawing>
      </w:r>
      <w:r>
        <w:rPr>
          <w:rFonts w:ascii="SimSun" w:hAnsi="SimSun" w:eastAsia="SimSun" w:cs="SimSun"/>
          <w:sz w:val="22"/>
          <w:szCs w:val="22"/>
          <w:spacing w:val="4"/>
        </w:rPr>
        <w:t xml:space="preserve"> </w:t>
      </w:r>
      <w:r>
        <w:rPr>
          <w:rFonts w:ascii="SimSun" w:hAnsi="SimSun" w:eastAsia="SimSun" w:cs="SimSun"/>
          <w:sz w:val="22"/>
          <w:szCs w:val="22"/>
          <w:b/>
          <w:bCs/>
          <w:spacing w:val="-16"/>
        </w:rPr>
        <w:t>■云端数据治理</w:t>
      </w:r>
    </w:p>
    <w:p>
      <w:pPr>
        <w:pStyle w:val="BodyText"/>
        <w:spacing w:line="290" w:lineRule="auto"/>
        <w:rPr/>
      </w:pPr>
      <w:r/>
    </w:p>
    <w:p>
      <w:pPr>
        <w:ind w:left="7209"/>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50" w:lineRule="auto"/>
        <w:rPr>
          <w:rFonts w:ascii="Arial"/>
          <w:sz w:val="2"/>
        </w:rPr>
      </w:pPr>
      <w:r>
        <w:rPr>
          <w:rFonts w:ascii="Arial"/>
          <w:sz w:val="2"/>
        </w:rPr>
      </w:r>
    </w:p>
    <w:tbl>
      <w:tblPr>
        <w:tblStyle w:val="TableNormal"/>
        <w:tblW w:w="7539"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659"/>
        <w:gridCol w:w="679"/>
        <w:gridCol w:w="2337"/>
        <w:gridCol w:w="579"/>
        <w:gridCol w:w="549"/>
        <w:gridCol w:w="579"/>
        <w:gridCol w:w="589"/>
        <w:gridCol w:w="539"/>
        <w:gridCol w:w="495"/>
      </w:tblGrid>
      <w:tr>
        <w:trPr>
          <w:trHeight w:val="594" w:hRule="atLeast"/>
        </w:trPr>
        <w:tc>
          <w:tcPr>
            <w:tcW w:w="534" w:type="dxa"/>
            <w:vAlign w:val="top"/>
          </w:tcPr>
          <w:p>
            <w:pPr>
              <w:pStyle w:val="TableText"/>
              <w:ind w:left="94"/>
              <w:spacing w:before="222" w:line="221" w:lineRule="auto"/>
              <w:rPr>
                <w:sz w:val="16"/>
                <w:szCs w:val="16"/>
              </w:rPr>
            </w:pPr>
            <w:r>
              <w:rPr>
                <w:sz w:val="16"/>
                <w:szCs w:val="16"/>
                <w:spacing w:val="-2"/>
              </w:rPr>
              <w:t>序号</w:t>
            </w:r>
          </w:p>
        </w:tc>
        <w:tc>
          <w:tcPr>
            <w:tcW w:w="659" w:type="dxa"/>
            <w:vAlign w:val="top"/>
          </w:tcPr>
          <w:p>
            <w:pPr>
              <w:pStyle w:val="TableText"/>
              <w:ind w:left="81"/>
              <w:spacing w:before="221" w:line="220" w:lineRule="auto"/>
              <w:rPr>
                <w:sz w:val="16"/>
                <w:szCs w:val="16"/>
              </w:rPr>
            </w:pPr>
            <w:r>
              <w:rPr>
                <w:sz w:val="16"/>
                <w:szCs w:val="16"/>
                <w:spacing w:val="-2"/>
              </w:rPr>
              <w:t>职能域</w:t>
            </w:r>
          </w:p>
        </w:tc>
        <w:tc>
          <w:tcPr>
            <w:tcW w:w="679" w:type="dxa"/>
            <w:vAlign w:val="top"/>
          </w:tcPr>
          <w:p>
            <w:pPr>
              <w:pStyle w:val="TableText"/>
              <w:ind w:left="91"/>
              <w:spacing w:before="221" w:line="220" w:lineRule="auto"/>
              <w:rPr>
                <w:sz w:val="16"/>
                <w:szCs w:val="16"/>
              </w:rPr>
            </w:pPr>
            <w:r>
              <w:rPr>
                <w:sz w:val="16"/>
                <w:szCs w:val="16"/>
                <w:spacing w:val="-2"/>
              </w:rPr>
              <w:t>过程域</w:t>
            </w:r>
          </w:p>
        </w:tc>
        <w:tc>
          <w:tcPr>
            <w:tcW w:w="2337" w:type="dxa"/>
            <w:vAlign w:val="top"/>
          </w:tcPr>
          <w:p>
            <w:pPr>
              <w:pStyle w:val="TableText"/>
              <w:ind w:left="942"/>
              <w:spacing w:before="221" w:line="219" w:lineRule="auto"/>
              <w:rPr>
                <w:sz w:val="16"/>
                <w:szCs w:val="16"/>
              </w:rPr>
            </w:pPr>
            <w:r>
              <w:rPr>
                <w:sz w:val="16"/>
                <w:szCs w:val="16"/>
                <w:spacing w:val="-2"/>
              </w:rPr>
              <w:t>检查项</w:t>
            </w:r>
          </w:p>
        </w:tc>
        <w:tc>
          <w:tcPr>
            <w:tcW w:w="579" w:type="dxa"/>
            <w:vAlign w:val="top"/>
          </w:tcPr>
          <w:p>
            <w:pPr>
              <w:pStyle w:val="TableText"/>
              <w:spacing w:before="237"/>
              <w:jc w:val="right"/>
              <w:rPr>
                <w:sz w:val="16"/>
                <w:szCs w:val="16"/>
              </w:rPr>
            </w:pPr>
            <w:r>
              <w:rPr>
                <w:sz w:val="16"/>
                <w:szCs w:val="16"/>
                <w:spacing w:val="-2"/>
              </w:rPr>
              <w:t>Levell</w:t>
            </w:r>
          </w:p>
        </w:tc>
        <w:tc>
          <w:tcPr>
            <w:tcW w:w="549" w:type="dxa"/>
            <w:vAlign w:val="top"/>
          </w:tcPr>
          <w:p>
            <w:pPr>
              <w:pStyle w:val="TableText"/>
              <w:ind w:right="6"/>
              <w:spacing w:before="237"/>
              <w:jc w:val="right"/>
              <w:rPr>
                <w:sz w:val="16"/>
                <w:szCs w:val="16"/>
              </w:rPr>
            </w:pPr>
            <w:r>
              <w:rPr>
                <w:sz w:val="16"/>
                <w:szCs w:val="16"/>
                <w:spacing w:val="-1"/>
              </w:rPr>
              <w:t>Level2</w:t>
            </w:r>
          </w:p>
        </w:tc>
        <w:tc>
          <w:tcPr>
            <w:tcW w:w="579" w:type="dxa"/>
            <w:vAlign w:val="top"/>
          </w:tcPr>
          <w:p>
            <w:pPr>
              <w:pStyle w:val="TableText"/>
              <w:ind w:left="78"/>
              <w:spacing w:before="237"/>
              <w:rPr>
                <w:sz w:val="16"/>
                <w:szCs w:val="16"/>
              </w:rPr>
            </w:pPr>
            <w:r>
              <w:rPr>
                <w:sz w:val="16"/>
                <w:szCs w:val="16"/>
                <w:spacing w:val="-1"/>
              </w:rPr>
              <w:t>Level3</w:t>
            </w:r>
          </w:p>
        </w:tc>
        <w:tc>
          <w:tcPr>
            <w:tcW w:w="589" w:type="dxa"/>
            <w:vAlign w:val="top"/>
          </w:tcPr>
          <w:p>
            <w:pPr>
              <w:pStyle w:val="TableText"/>
              <w:ind w:left="78"/>
              <w:spacing w:before="237"/>
              <w:rPr>
                <w:sz w:val="16"/>
                <w:szCs w:val="16"/>
              </w:rPr>
            </w:pPr>
            <w:r>
              <w:rPr>
                <w:sz w:val="16"/>
                <w:szCs w:val="16"/>
                <w:spacing w:val="-1"/>
              </w:rPr>
              <w:t>Level4</w:t>
            </w:r>
          </w:p>
        </w:tc>
        <w:tc>
          <w:tcPr>
            <w:tcW w:w="539" w:type="dxa"/>
            <w:vAlign w:val="top"/>
          </w:tcPr>
          <w:p>
            <w:pPr>
              <w:pStyle w:val="TableText"/>
              <w:spacing w:before="237"/>
              <w:jc w:val="right"/>
              <w:rPr>
                <w:sz w:val="16"/>
                <w:szCs w:val="16"/>
              </w:rPr>
            </w:pPr>
            <w:r>
              <w:rPr>
                <w:sz w:val="16"/>
                <w:szCs w:val="16"/>
                <w:spacing w:val="-2"/>
              </w:rPr>
              <w:t>Level5</w:t>
            </w:r>
          </w:p>
        </w:tc>
        <w:tc>
          <w:tcPr>
            <w:tcW w:w="495" w:type="dxa"/>
            <w:vAlign w:val="top"/>
          </w:tcPr>
          <w:p>
            <w:pPr>
              <w:pStyle w:val="TableText"/>
              <w:ind w:left="80" w:right="77"/>
              <w:spacing w:before="91" w:line="272" w:lineRule="auto"/>
              <w:rPr>
                <w:sz w:val="16"/>
                <w:szCs w:val="16"/>
              </w:rPr>
            </w:pPr>
            <w:r>
              <w:rPr>
                <w:sz w:val="16"/>
                <w:szCs w:val="16"/>
                <w:spacing w:val="3"/>
              </w:rPr>
              <w:t>审计</w:t>
            </w:r>
            <w:r>
              <w:rPr>
                <w:sz w:val="16"/>
                <w:szCs w:val="16"/>
              </w:rPr>
              <w:t xml:space="preserve"> </w:t>
            </w:r>
            <w:r>
              <w:rPr>
                <w:sz w:val="16"/>
                <w:szCs w:val="16"/>
                <w:spacing w:val="-3"/>
              </w:rPr>
              <w:t>结果</w:t>
            </w:r>
          </w:p>
        </w:tc>
      </w:tr>
      <w:tr>
        <w:trPr>
          <w:trHeight w:val="360" w:hRule="atLeast"/>
        </w:trPr>
        <w:tc>
          <w:tcPr>
            <w:tcW w:w="534" w:type="dxa"/>
            <w:vAlign w:val="top"/>
            <w:vMerge w:val="restart"/>
            <w:tcBorders>
              <w:bottom w:val="nil"/>
            </w:tcBorders>
          </w:tcPr>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TableText"/>
              <w:ind w:left="214"/>
              <w:spacing w:before="52" w:line="184" w:lineRule="auto"/>
              <w:rPr>
                <w:sz w:val="16"/>
                <w:szCs w:val="16"/>
              </w:rPr>
            </w:pPr>
            <w:r>
              <w:rPr>
                <w:sz w:val="16"/>
                <w:szCs w:val="16"/>
              </w:rPr>
              <w:t>1</w:t>
            </w:r>
          </w:p>
        </w:tc>
        <w:tc>
          <w:tcPr>
            <w:tcW w:w="659"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160"/>
              <w:spacing w:before="52" w:line="271" w:lineRule="exact"/>
              <w:rPr>
                <w:sz w:val="16"/>
                <w:szCs w:val="16"/>
              </w:rPr>
            </w:pPr>
            <w:r>
              <w:rPr>
                <w:sz w:val="16"/>
                <w:szCs w:val="16"/>
                <w:spacing w:val="-2"/>
                <w:position w:val="8"/>
              </w:rPr>
              <w:t>数据</w:t>
            </w:r>
          </w:p>
          <w:p>
            <w:pPr>
              <w:pStyle w:val="TableText"/>
              <w:ind w:left="160"/>
              <w:spacing w:line="220" w:lineRule="auto"/>
              <w:rPr>
                <w:sz w:val="16"/>
                <w:szCs w:val="16"/>
              </w:rPr>
            </w:pPr>
            <w:r>
              <w:rPr>
                <w:sz w:val="16"/>
                <w:szCs w:val="16"/>
                <w:spacing w:val="3"/>
              </w:rPr>
              <w:t>战略</w:t>
            </w:r>
          </w:p>
        </w:tc>
        <w:tc>
          <w:tcPr>
            <w:tcW w:w="679" w:type="dxa"/>
            <w:vAlign w:val="top"/>
            <w:vMerge w:val="restart"/>
            <w:tcBorders>
              <w:bottom w:val="nil"/>
            </w:tcBorders>
          </w:tcPr>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TableText"/>
              <w:ind w:left="171"/>
              <w:spacing w:before="52" w:line="220" w:lineRule="auto"/>
              <w:rPr>
                <w:sz w:val="16"/>
                <w:szCs w:val="16"/>
              </w:rPr>
            </w:pPr>
            <w:r>
              <w:rPr>
                <w:sz w:val="16"/>
                <w:szCs w:val="16"/>
                <w:spacing w:val="3"/>
              </w:rPr>
              <w:t>战略</w:t>
            </w:r>
          </w:p>
        </w:tc>
        <w:tc>
          <w:tcPr>
            <w:tcW w:w="2337" w:type="dxa"/>
            <w:vAlign w:val="top"/>
          </w:tcPr>
          <w:p>
            <w:pPr>
              <w:pStyle w:val="TableText"/>
              <w:ind w:left="212"/>
              <w:spacing w:before="98" w:line="220" w:lineRule="auto"/>
              <w:rPr>
                <w:sz w:val="16"/>
                <w:szCs w:val="16"/>
              </w:rPr>
            </w:pPr>
            <w:r>
              <w:rPr>
                <w:sz w:val="16"/>
                <w:szCs w:val="16"/>
                <w:spacing w:val="1"/>
              </w:rPr>
              <w:t>Q5:组织是否具备必要的人员</w:t>
            </w:r>
          </w:p>
        </w:tc>
        <w:tc>
          <w:tcPr>
            <w:tcW w:w="57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39" w:type="dxa"/>
            <w:vAlign w:val="top"/>
            <w:vMerge w:val="restart"/>
            <w:tcBorders>
              <w:bottom w:val="nil"/>
            </w:tcBorders>
          </w:tcPr>
          <w:p>
            <w:pPr>
              <w:rPr>
                <w:rFonts w:ascii="Arial"/>
                <w:sz w:val="21"/>
              </w:rPr>
            </w:pPr>
            <w:r/>
          </w:p>
        </w:tc>
        <w:tc>
          <w:tcPr>
            <w:tcW w:w="495" w:type="dxa"/>
            <w:vAlign w:val="top"/>
            <w:vMerge w:val="restart"/>
            <w:tcBorders>
              <w:bottom w:val="nil"/>
            </w:tcBorders>
          </w:tcPr>
          <w:p>
            <w:pPr>
              <w:rPr>
                <w:rFonts w:ascii="Arial"/>
                <w:sz w:val="21"/>
              </w:rPr>
            </w:pPr>
            <w:r/>
          </w:p>
        </w:tc>
      </w:tr>
      <w:tr>
        <w:trPr>
          <w:trHeight w:val="340"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212"/>
              <w:spacing w:before="88" w:line="220" w:lineRule="auto"/>
              <w:rPr>
                <w:sz w:val="16"/>
                <w:szCs w:val="16"/>
              </w:rPr>
            </w:pPr>
            <w:r>
              <w:rPr>
                <w:sz w:val="16"/>
                <w:szCs w:val="16"/>
                <w:spacing w:val="-1"/>
              </w:rPr>
              <w:t>Q6:组织是否具备必要的资金</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7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12" w:firstLine="199"/>
              <w:spacing w:before="98" w:line="260" w:lineRule="auto"/>
              <w:rPr>
                <w:sz w:val="16"/>
                <w:szCs w:val="16"/>
              </w:rPr>
            </w:pPr>
            <w:r>
              <w:rPr>
                <w:sz w:val="16"/>
                <w:szCs w:val="16"/>
                <w:spacing w:val="-4"/>
              </w:rPr>
              <w:t>Q7:是否制订了对战略进行测量</w:t>
            </w:r>
            <w:r>
              <w:rPr>
                <w:sz w:val="16"/>
                <w:szCs w:val="16"/>
                <w:spacing w:val="13"/>
              </w:rPr>
              <w:t xml:space="preserve"> </w:t>
            </w:r>
            <w:r>
              <w:rPr>
                <w:sz w:val="16"/>
                <w:szCs w:val="16"/>
                <w:spacing w:val="2"/>
              </w:rPr>
              <w:t>评审的指标体系</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90" w:hRule="atLeast"/>
        </w:trPr>
        <w:tc>
          <w:tcPr>
            <w:tcW w:w="534" w:type="dxa"/>
            <w:vAlign w:val="top"/>
            <w:vMerge w:val="continue"/>
            <w:tcBorders>
              <w:top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tcBorders>
          </w:tcPr>
          <w:p>
            <w:pPr>
              <w:rPr>
                <w:rFonts w:ascii="Arial"/>
                <w:sz w:val="21"/>
              </w:rPr>
            </w:pPr>
            <w:r/>
          </w:p>
        </w:tc>
        <w:tc>
          <w:tcPr>
            <w:tcW w:w="2337" w:type="dxa"/>
            <w:vAlign w:val="top"/>
          </w:tcPr>
          <w:p>
            <w:pPr>
              <w:pStyle w:val="TableText"/>
              <w:ind w:left="32" w:firstLine="179"/>
              <w:spacing w:before="108" w:line="271" w:lineRule="auto"/>
              <w:rPr>
                <w:sz w:val="16"/>
                <w:szCs w:val="16"/>
              </w:rPr>
            </w:pPr>
            <w:r>
              <w:rPr>
                <w:sz w:val="16"/>
                <w:szCs w:val="16"/>
                <w:spacing w:val="-4"/>
              </w:rPr>
              <w:t>Q8:是否实施了战略的评审与改</w:t>
            </w:r>
            <w:r>
              <w:rPr>
                <w:sz w:val="16"/>
                <w:szCs w:val="16"/>
                <w:spacing w:val="13"/>
              </w:rPr>
              <w:t xml:space="preserve"> </w:t>
            </w:r>
            <w:r>
              <w:rPr>
                <w:sz w:val="16"/>
                <w:szCs w:val="16"/>
              </w:rPr>
              <w:t>进</w:t>
            </w:r>
          </w:p>
        </w:tc>
        <w:tc>
          <w:tcPr>
            <w:tcW w:w="57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39" w:type="dxa"/>
            <w:vAlign w:val="top"/>
            <w:vMerge w:val="continue"/>
            <w:tcBorders>
              <w:top w:val="nil"/>
            </w:tcBorders>
          </w:tcPr>
          <w:p>
            <w:pPr>
              <w:rPr>
                <w:rFonts w:ascii="Arial"/>
                <w:sz w:val="21"/>
              </w:rPr>
            </w:pPr>
            <w:r/>
          </w:p>
        </w:tc>
        <w:tc>
          <w:tcPr>
            <w:tcW w:w="495" w:type="dxa"/>
            <w:vAlign w:val="top"/>
            <w:vMerge w:val="continue"/>
            <w:tcBorders>
              <w:top w:val="nil"/>
            </w:tcBorders>
          </w:tcPr>
          <w:p>
            <w:pPr>
              <w:rPr>
                <w:rFonts w:ascii="Arial"/>
                <w:sz w:val="21"/>
              </w:rPr>
            </w:pPr>
            <w:r/>
          </w:p>
        </w:tc>
      </w:tr>
      <w:tr>
        <w:trPr>
          <w:trHeight w:val="590" w:hRule="atLeast"/>
        </w:trPr>
        <w:tc>
          <w:tcPr>
            <w:tcW w:w="534" w:type="dxa"/>
            <w:vAlign w:val="top"/>
            <w:vMerge w:val="restart"/>
            <w:tcBorders>
              <w:bottom w:val="nil"/>
            </w:tcBorders>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TableText"/>
              <w:ind w:left="214"/>
              <w:spacing w:before="52" w:line="183" w:lineRule="auto"/>
              <w:rPr>
                <w:sz w:val="16"/>
                <w:szCs w:val="16"/>
              </w:rPr>
            </w:pPr>
            <w:r>
              <w:rPr>
                <w:sz w:val="16"/>
                <w:szCs w:val="16"/>
              </w:rPr>
              <w:t>2</w:t>
            </w:r>
          </w:p>
        </w:tc>
        <w:tc>
          <w:tcPr>
            <w:tcW w:w="659" w:type="dxa"/>
            <w:vAlign w:val="top"/>
            <w:vMerge w:val="continue"/>
            <w:tcBorders>
              <w:top w:val="nil"/>
              <w:bottom w:val="nil"/>
            </w:tcBorders>
          </w:tcPr>
          <w:p>
            <w:pPr>
              <w:rPr>
                <w:rFonts w:ascii="Arial"/>
                <w:sz w:val="21"/>
              </w:rPr>
            </w:pPr>
            <w:r/>
          </w:p>
        </w:tc>
        <w:tc>
          <w:tcPr>
            <w:tcW w:w="679" w:type="dxa"/>
            <w:vAlign w:val="top"/>
            <w:vMerge w:val="restart"/>
            <w:tcBorders>
              <w:bottom w:val="nil"/>
            </w:tcBorders>
          </w:tcPr>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171" w:right="83" w:hanging="80"/>
              <w:spacing w:before="52" w:line="264" w:lineRule="auto"/>
              <w:rPr>
                <w:sz w:val="16"/>
                <w:szCs w:val="16"/>
              </w:rPr>
            </w:pPr>
            <w:r>
              <w:rPr>
                <w:sz w:val="16"/>
                <w:szCs w:val="16"/>
                <w:spacing w:val="4"/>
              </w:rPr>
              <w:t>组织与</w:t>
            </w:r>
            <w:r>
              <w:rPr>
                <w:sz w:val="16"/>
                <w:szCs w:val="16"/>
              </w:rPr>
              <w:t xml:space="preserve"> </w:t>
            </w:r>
            <w:r>
              <w:rPr>
                <w:sz w:val="16"/>
                <w:szCs w:val="16"/>
                <w:spacing w:val="-3"/>
              </w:rPr>
              <w:t>角色</w:t>
            </w:r>
          </w:p>
        </w:tc>
        <w:tc>
          <w:tcPr>
            <w:tcW w:w="2337" w:type="dxa"/>
            <w:vAlign w:val="top"/>
          </w:tcPr>
          <w:p>
            <w:pPr>
              <w:pStyle w:val="TableText"/>
              <w:ind w:left="42" w:firstLine="159"/>
              <w:spacing w:before="88" w:line="271" w:lineRule="auto"/>
              <w:rPr>
                <w:sz w:val="16"/>
                <w:szCs w:val="16"/>
              </w:rPr>
            </w:pPr>
            <w:r>
              <w:rPr>
                <w:sz w:val="16"/>
                <w:szCs w:val="16"/>
                <w:spacing w:val="-3"/>
              </w:rPr>
              <w:t>Q1:组建的数据治理组织是否能</w:t>
            </w:r>
            <w:r>
              <w:rPr>
                <w:sz w:val="16"/>
                <w:szCs w:val="16"/>
                <w:spacing w:val="8"/>
              </w:rPr>
              <w:t xml:space="preserve"> </w:t>
            </w:r>
            <w:r>
              <w:rPr>
                <w:sz w:val="16"/>
                <w:szCs w:val="16"/>
                <w:spacing w:val="-8"/>
              </w:rPr>
              <w:t>够支撑数据治理目标和愿景的实现</w:t>
            </w:r>
          </w:p>
        </w:tc>
        <w:tc>
          <w:tcPr>
            <w:tcW w:w="57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39" w:type="dxa"/>
            <w:vAlign w:val="top"/>
            <w:vMerge w:val="restart"/>
            <w:tcBorders>
              <w:bottom w:val="nil"/>
            </w:tcBorders>
          </w:tcPr>
          <w:p>
            <w:pPr>
              <w:rPr>
                <w:rFonts w:ascii="Arial"/>
                <w:sz w:val="21"/>
              </w:rPr>
            </w:pPr>
            <w:r/>
          </w:p>
        </w:tc>
        <w:tc>
          <w:tcPr>
            <w:tcW w:w="495" w:type="dxa"/>
            <w:vAlign w:val="top"/>
            <w:vMerge w:val="restart"/>
            <w:tcBorders>
              <w:bottom w:val="nil"/>
            </w:tcBorders>
          </w:tcPr>
          <w:p>
            <w:pPr>
              <w:rPr>
                <w:rFonts w:ascii="Arial"/>
                <w:sz w:val="21"/>
              </w:rPr>
            </w:pPr>
            <w:r/>
          </w:p>
        </w:tc>
      </w:tr>
      <w:tr>
        <w:trPr>
          <w:trHeight w:val="59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52" w:firstLine="169"/>
              <w:spacing w:before="87" w:line="283" w:lineRule="auto"/>
              <w:rPr>
                <w:sz w:val="16"/>
                <w:szCs w:val="16"/>
              </w:rPr>
            </w:pPr>
            <w:r>
              <w:rPr>
                <w:sz w:val="16"/>
                <w:szCs w:val="16"/>
                <w:spacing w:val="-4"/>
              </w:rPr>
              <w:t>Q2:数据治理组织与角色是否符</w:t>
            </w:r>
            <w:r>
              <w:rPr>
                <w:sz w:val="16"/>
                <w:szCs w:val="16"/>
                <w:spacing w:val="3"/>
              </w:rPr>
              <w:t xml:space="preserve"> </w:t>
            </w:r>
            <w:r>
              <w:rPr>
                <w:sz w:val="16"/>
                <w:szCs w:val="16"/>
                <w:spacing w:val="-1"/>
              </w:rPr>
              <w:t>合数据治理战略的要求</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7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52" w:firstLine="169"/>
              <w:spacing w:before="99" w:line="266" w:lineRule="auto"/>
              <w:rPr>
                <w:sz w:val="16"/>
                <w:szCs w:val="16"/>
              </w:rPr>
            </w:pPr>
            <w:r>
              <w:rPr>
                <w:sz w:val="16"/>
                <w:szCs w:val="16"/>
                <w:spacing w:val="-4"/>
              </w:rPr>
              <w:t>Q3:组织与角色是否得到数据利</w:t>
            </w:r>
            <w:r>
              <w:rPr>
                <w:sz w:val="16"/>
                <w:szCs w:val="16"/>
                <w:spacing w:val="3"/>
              </w:rPr>
              <w:t xml:space="preserve"> </w:t>
            </w:r>
            <w:r>
              <w:rPr>
                <w:sz w:val="16"/>
                <w:szCs w:val="16"/>
                <w:spacing w:val="-2"/>
              </w:rPr>
              <w:t>益相关者认可</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9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62" w:firstLine="149"/>
              <w:spacing w:before="110" w:line="271" w:lineRule="auto"/>
              <w:rPr>
                <w:sz w:val="16"/>
                <w:szCs w:val="16"/>
              </w:rPr>
            </w:pPr>
            <w:r>
              <w:rPr>
                <w:sz w:val="16"/>
                <w:szCs w:val="16"/>
                <w:spacing w:val="-4"/>
              </w:rPr>
              <w:t>Q4:数据治理组织与角色能否指</w:t>
            </w:r>
            <w:r>
              <w:rPr>
                <w:sz w:val="16"/>
                <w:szCs w:val="16"/>
                <w:spacing w:val="13"/>
              </w:rPr>
              <w:t xml:space="preserve"> </w:t>
            </w:r>
            <w:r>
              <w:rPr>
                <w:sz w:val="16"/>
                <w:szCs w:val="16"/>
              </w:rPr>
              <w:t>导数据治理活动开展的所有工作</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90"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32" w:firstLine="179"/>
              <w:spacing w:before="101" w:line="261" w:lineRule="auto"/>
              <w:rPr>
                <w:sz w:val="16"/>
                <w:szCs w:val="16"/>
              </w:rPr>
            </w:pPr>
            <w:r>
              <w:rPr>
                <w:sz w:val="16"/>
                <w:szCs w:val="16"/>
                <w:spacing w:val="-4"/>
              </w:rPr>
              <w:t>Q5:数据治理角色是否配备了合</w:t>
            </w:r>
            <w:r>
              <w:rPr>
                <w:sz w:val="16"/>
                <w:szCs w:val="16"/>
                <w:spacing w:val="13"/>
              </w:rPr>
              <w:t xml:space="preserve"> </w:t>
            </w:r>
            <w:r>
              <w:rPr>
                <w:sz w:val="16"/>
                <w:szCs w:val="16"/>
                <w:spacing w:val="-2"/>
              </w:rPr>
              <w:t>适的职责</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9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32" w:firstLine="158"/>
              <w:spacing w:before="80" w:line="283" w:lineRule="auto"/>
              <w:rPr>
                <w:sz w:val="16"/>
                <w:szCs w:val="16"/>
              </w:rPr>
            </w:pPr>
            <w:r>
              <w:rPr>
                <w:sz w:val="16"/>
                <w:szCs w:val="16"/>
                <w:spacing w:val="-2"/>
              </w:rPr>
              <w:t>Q6:数据治理组织内的角色是否</w:t>
            </w:r>
            <w:r>
              <w:rPr>
                <w:sz w:val="16"/>
                <w:szCs w:val="16"/>
                <w:spacing w:val="4"/>
              </w:rPr>
              <w:t xml:space="preserve"> </w:t>
            </w:r>
            <w:r>
              <w:rPr>
                <w:sz w:val="16"/>
                <w:szCs w:val="16"/>
                <w:spacing w:val="-3"/>
              </w:rPr>
              <w:t>具有代表性</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340" w:hRule="atLeast"/>
        </w:trPr>
        <w:tc>
          <w:tcPr>
            <w:tcW w:w="534" w:type="dxa"/>
            <w:vAlign w:val="top"/>
            <w:vMerge w:val="continue"/>
            <w:tcBorders>
              <w:top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tcBorders>
          </w:tcPr>
          <w:p>
            <w:pPr>
              <w:rPr>
                <w:rFonts w:ascii="Arial"/>
                <w:sz w:val="21"/>
              </w:rPr>
            </w:pPr>
            <w:r/>
          </w:p>
        </w:tc>
        <w:tc>
          <w:tcPr>
            <w:tcW w:w="2337" w:type="dxa"/>
            <w:vAlign w:val="top"/>
          </w:tcPr>
          <w:p>
            <w:pPr>
              <w:pStyle w:val="TableText"/>
              <w:ind w:left="212"/>
              <w:spacing w:before="91" w:line="219" w:lineRule="auto"/>
              <w:rPr>
                <w:sz w:val="16"/>
                <w:szCs w:val="16"/>
              </w:rPr>
            </w:pPr>
            <w:r>
              <w:rPr>
                <w:sz w:val="16"/>
                <w:szCs w:val="16"/>
                <w:spacing w:val="-1"/>
              </w:rPr>
              <w:t>Q7:数据治理角色是否安全</w:t>
            </w:r>
          </w:p>
        </w:tc>
        <w:tc>
          <w:tcPr>
            <w:tcW w:w="57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39" w:type="dxa"/>
            <w:vAlign w:val="top"/>
            <w:vMerge w:val="continue"/>
            <w:tcBorders>
              <w:top w:val="nil"/>
            </w:tcBorders>
          </w:tcPr>
          <w:p>
            <w:pPr>
              <w:rPr>
                <w:rFonts w:ascii="Arial"/>
                <w:sz w:val="21"/>
              </w:rPr>
            </w:pPr>
            <w:r/>
          </w:p>
        </w:tc>
        <w:tc>
          <w:tcPr>
            <w:tcW w:w="495" w:type="dxa"/>
            <w:vAlign w:val="top"/>
            <w:vMerge w:val="continue"/>
            <w:tcBorders>
              <w:top w:val="nil"/>
            </w:tcBorders>
          </w:tcPr>
          <w:p>
            <w:pPr>
              <w:rPr>
                <w:rFonts w:ascii="Arial"/>
                <w:sz w:val="21"/>
              </w:rPr>
            </w:pPr>
            <w:r/>
          </w:p>
        </w:tc>
      </w:tr>
      <w:tr>
        <w:trPr>
          <w:trHeight w:val="579" w:hRule="atLeast"/>
        </w:trPr>
        <w:tc>
          <w:tcPr>
            <w:tcW w:w="534" w:type="dxa"/>
            <w:vAlign w:val="top"/>
            <w:vMerge w:val="restart"/>
            <w:tcBorders>
              <w:bottom w:val="nil"/>
            </w:tcBorders>
          </w:tcPr>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214"/>
              <w:spacing w:before="52" w:line="183" w:lineRule="auto"/>
              <w:rPr>
                <w:sz w:val="16"/>
                <w:szCs w:val="16"/>
              </w:rPr>
            </w:pPr>
            <w:r>
              <w:rPr>
                <w:sz w:val="16"/>
                <w:szCs w:val="16"/>
              </w:rPr>
              <w:t>3</w:t>
            </w:r>
          </w:p>
        </w:tc>
        <w:tc>
          <w:tcPr>
            <w:tcW w:w="659" w:type="dxa"/>
            <w:vAlign w:val="top"/>
            <w:vMerge w:val="continue"/>
            <w:tcBorders>
              <w:top w:val="nil"/>
              <w:bottom w:val="nil"/>
            </w:tcBorders>
          </w:tcPr>
          <w:p>
            <w:pPr>
              <w:rPr>
                <w:rFonts w:ascii="Arial"/>
                <w:sz w:val="21"/>
              </w:rPr>
            </w:pPr>
            <w:r/>
          </w:p>
        </w:tc>
        <w:tc>
          <w:tcPr>
            <w:tcW w:w="679"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171"/>
              <w:spacing w:before="52" w:line="290" w:lineRule="exact"/>
              <w:rPr>
                <w:sz w:val="16"/>
                <w:szCs w:val="16"/>
              </w:rPr>
            </w:pPr>
            <w:r>
              <w:rPr>
                <w:sz w:val="16"/>
                <w:szCs w:val="16"/>
                <w:spacing w:val="-2"/>
                <w:position w:val="9"/>
              </w:rPr>
              <w:t>业务</w:t>
            </w:r>
          </w:p>
          <w:p>
            <w:pPr>
              <w:pStyle w:val="TableText"/>
              <w:ind w:left="171"/>
              <w:spacing w:line="220" w:lineRule="auto"/>
              <w:rPr>
                <w:sz w:val="16"/>
                <w:szCs w:val="16"/>
              </w:rPr>
            </w:pPr>
            <w:r>
              <w:rPr>
                <w:sz w:val="16"/>
                <w:szCs w:val="16"/>
                <w:spacing w:val="6"/>
              </w:rPr>
              <w:t>案例</w:t>
            </w:r>
          </w:p>
        </w:tc>
        <w:tc>
          <w:tcPr>
            <w:tcW w:w="2337" w:type="dxa"/>
            <w:vAlign w:val="top"/>
          </w:tcPr>
          <w:p>
            <w:pPr>
              <w:pStyle w:val="TableText"/>
              <w:ind w:left="32" w:firstLine="169"/>
              <w:spacing w:before="113" w:line="263" w:lineRule="auto"/>
              <w:rPr>
                <w:sz w:val="16"/>
                <w:szCs w:val="16"/>
              </w:rPr>
            </w:pPr>
            <w:r>
              <w:rPr>
                <w:sz w:val="16"/>
                <w:szCs w:val="16"/>
                <w:spacing w:val="-3"/>
              </w:rPr>
              <w:t>Q1:组织如何决定数据治理方案</w:t>
            </w:r>
            <w:r>
              <w:rPr>
                <w:sz w:val="16"/>
                <w:szCs w:val="16"/>
                <w:spacing w:val="8"/>
              </w:rPr>
              <w:t xml:space="preserve"> </w:t>
            </w:r>
            <w:r>
              <w:rPr>
                <w:sz w:val="16"/>
                <w:szCs w:val="16"/>
                <w:spacing w:val="-1"/>
              </w:rPr>
              <w:t>所要求的投资水平</w:t>
            </w:r>
          </w:p>
        </w:tc>
        <w:tc>
          <w:tcPr>
            <w:tcW w:w="57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39" w:type="dxa"/>
            <w:vAlign w:val="top"/>
            <w:vMerge w:val="restart"/>
            <w:tcBorders>
              <w:bottom w:val="nil"/>
            </w:tcBorders>
          </w:tcPr>
          <w:p>
            <w:pPr>
              <w:rPr>
                <w:rFonts w:ascii="Arial"/>
                <w:sz w:val="21"/>
              </w:rPr>
            </w:pPr>
            <w:r/>
          </w:p>
        </w:tc>
        <w:tc>
          <w:tcPr>
            <w:tcW w:w="495" w:type="dxa"/>
            <w:vAlign w:val="top"/>
            <w:vMerge w:val="restart"/>
            <w:tcBorders>
              <w:bottom w:val="nil"/>
            </w:tcBorders>
          </w:tcPr>
          <w:p>
            <w:pPr>
              <w:rPr>
                <w:rFonts w:ascii="Arial"/>
                <w:sz w:val="21"/>
              </w:rPr>
            </w:pPr>
            <w:r/>
          </w:p>
        </w:tc>
      </w:tr>
      <w:tr>
        <w:trPr>
          <w:trHeight w:val="86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62" w:firstLine="149"/>
              <w:spacing w:before="123" w:line="283" w:lineRule="auto"/>
              <w:jc w:val="both"/>
              <w:rPr>
                <w:sz w:val="16"/>
                <w:szCs w:val="16"/>
              </w:rPr>
            </w:pPr>
            <w:r>
              <w:rPr>
                <w:sz w:val="16"/>
                <w:szCs w:val="16"/>
                <w:spacing w:val="-4"/>
              </w:rPr>
              <w:t>Q2:组织如何决定是要开发一个</w:t>
            </w:r>
            <w:r>
              <w:rPr>
                <w:sz w:val="16"/>
                <w:szCs w:val="16"/>
                <w:spacing w:val="13"/>
              </w:rPr>
              <w:t xml:space="preserve"> </w:t>
            </w:r>
            <w:r>
              <w:rPr>
                <w:sz w:val="16"/>
                <w:szCs w:val="16"/>
                <w:spacing w:val="-1"/>
              </w:rPr>
              <w:t>总体的业务案例还是多个相互联</w:t>
            </w:r>
            <w:r>
              <w:rPr>
                <w:sz w:val="16"/>
                <w:szCs w:val="16"/>
              </w:rPr>
              <w:t xml:space="preserve"> </w:t>
            </w:r>
            <w:r>
              <w:rPr>
                <w:sz w:val="16"/>
                <w:szCs w:val="16"/>
                <w:spacing w:val="2"/>
              </w:rPr>
              <w:t>系的业务案例</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360"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203"/>
              <w:spacing w:before="103" w:line="218" w:lineRule="auto"/>
              <w:rPr>
                <w:sz w:val="16"/>
                <w:szCs w:val="16"/>
              </w:rPr>
            </w:pPr>
            <w:r>
              <w:rPr>
                <w:sz w:val="16"/>
                <w:szCs w:val="16"/>
                <w:spacing w:val="-1"/>
              </w:rPr>
              <w:t>Q3:如何评价业务案例</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90"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22" w:firstLine="189"/>
              <w:spacing w:before="105" w:line="272" w:lineRule="auto"/>
              <w:rPr>
                <w:sz w:val="16"/>
                <w:szCs w:val="16"/>
              </w:rPr>
            </w:pPr>
            <w:r>
              <w:rPr>
                <w:sz w:val="16"/>
                <w:szCs w:val="16"/>
                <w:spacing w:val="-4"/>
              </w:rPr>
              <w:t>Q4:需要谁参与其中，需要谁批</w:t>
            </w:r>
            <w:r>
              <w:rPr>
                <w:sz w:val="16"/>
                <w:szCs w:val="16"/>
                <w:spacing w:val="13"/>
              </w:rPr>
              <w:t xml:space="preserve"> </w:t>
            </w:r>
            <w:r>
              <w:rPr>
                <w:sz w:val="16"/>
                <w:szCs w:val="16"/>
              </w:rPr>
              <w:t>准</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8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52" w:firstLine="149"/>
              <w:spacing w:before="115" w:line="265" w:lineRule="auto"/>
              <w:rPr>
                <w:sz w:val="16"/>
                <w:szCs w:val="16"/>
              </w:rPr>
            </w:pPr>
            <w:r>
              <w:rPr>
                <w:sz w:val="16"/>
                <w:szCs w:val="16"/>
                <w:spacing w:val="-3"/>
              </w:rPr>
              <w:t>Q5:业务案例是否反映数据管理</w:t>
            </w:r>
            <w:r>
              <w:rPr>
                <w:sz w:val="16"/>
                <w:szCs w:val="16"/>
                <w:spacing w:val="8"/>
              </w:rPr>
              <w:t xml:space="preserve"> </w:t>
            </w:r>
            <w:r>
              <w:rPr>
                <w:sz w:val="16"/>
                <w:szCs w:val="16"/>
              </w:rPr>
              <w:t>战略的目标和优先事项</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89" w:hRule="atLeast"/>
        </w:trPr>
        <w:tc>
          <w:tcPr>
            <w:tcW w:w="53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79" w:type="dxa"/>
            <w:vAlign w:val="top"/>
            <w:vMerge w:val="continue"/>
            <w:tcBorders>
              <w:top w:val="nil"/>
              <w:bottom w:val="nil"/>
            </w:tcBorders>
          </w:tcPr>
          <w:p>
            <w:pPr>
              <w:rPr>
                <w:rFonts w:ascii="Arial"/>
                <w:sz w:val="21"/>
              </w:rPr>
            </w:pPr>
            <w:r/>
          </w:p>
        </w:tc>
        <w:tc>
          <w:tcPr>
            <w:tcW w:w="2337" w:type="dxa"/>
            <w:vAlign w:val="top"/>
          </w:tcPr>
          <w:p>
            <w:pPr>
              <w:pStyle w:val="TableText"/>
              <w:ind w:left="22" w:firstLine="179"/>
              <w:spacing w:before="115" w:line="266" w:lineRule="auto"/>
              <w:rPr>
                <w:sz w:val="16"/>
                <w:szCs w:val="16"/>
              </w:rPr>
            </w:pPr>
            <w:r>
              <w:rPr>
                <w:sz w:val="16"/>
                <w:szCs w:val="16"/>
                <w:spacing w:val="-3"/>
              </w:rPr>
              <w:t>Q6:业务案例是否反映数据治理</w:t>
            </w:r>
            <w:r>
              <w:rPr>
                <w:sz w:val="16"/>
                <w:szCs w:val="16"/>
                <w:spacing w:val="8"/>
              </w:rPr>
              <w:t xml:space="preserve"> </w:t>
            </w:r>
            <w:r>
              <w:rPr>
                <w:sz w:val="16"/>
                <w:szCs w:val="16"/>
                <w:spacing w:val="-2"/>
              </w:rPr>
              <w:t>顺序规划</w:t>
            </w:r>
          </w:p>
        </w:tc>
        <w:tc>
          <w:tcPr>
            <w:tcW w:w="57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3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604" w:hRule="atLeast"/>
        </w:trPr>
        <w:tc>
          <w:tcPr>
            <w:tcW w:w="534" w:type="dxa"/>
            <w:vAlign w:val="top"/>
            <w:vMerge w:val="continue"/>
            <w:tcBorders>
              <w:top w:val="nil"/>
            </w:tcBorders>
          </w:tcPr>
          <w:p>
            <w:pPr>
              <w:rPr>
                <w:rFonts w:ascii="Arial"/>
                <w:sz w:val="21"/>
              </w:rPr>
            </w:pPr>
            <w:r/>
          </w:p>
        </w:tc>
        <w:tc>
          <w:tcPr>
            <w:tcW w:w="659" w:type="dxa"/>
            <w:vAlign w:val="top"/>
            <w:vMerge w:val="continue"/>
            <w:tcBorders>
              <w:top w:val="nil"/>
            </w:tcBorders>
          </w:tcPr>
          <w:p>
            <w:pPr>
              <w:rPr>
                <w:rFonts w:ascii="Arial"/>
                <w:sz w:val="21"/>
              </w:rPr>
            </w:pPr>
            <w:r/>
          </w:p>
        </w:tc>
        <w:tc>
          <w:tcPr>
            <w:tcW w:w="679" w:type="dxa"/>
            <w:vAlign w:val="top"/>
            <w:vMerge w:val="continue"/>
            <w:tcBorders>
              <w:top w:val="nil"/>
            </w:tcBorders>
          </w:tcPr>
          <w:p>
            <w:pPr>
              <w:rPr>
                <w:rFonts w:ascii="Arial"/>
                <w:sz w:val="21"/>
              </w:rPr>
            </w:pPr>
            <w:r/>
          </w:p>
        </w:tc>
        <w:tc>
          <w:tcPr>
            <w:tcW w:w="2337" w:type="dxa"/>
            <w:vAlign w:val="top"/>
          </w:tcPr>
          <w:p>
            <w:pPr>
              <w:pStyle w:val="TableText"/>
              <w:ind w:left="43" w:firstLine="169"/>
              <w:spacing w:before="115" w:line="266" w:lineRule="auto"/>
              <w:rPr>
                <w:sz w:val="16"/>
                <w:szCs w:val="16"/>
              </w:rPr>
            </w:pPr>
            <w:r>
              <w:rPr>
                <w:sz w:val="16"/>
                <w:szCs w:val="16"/>
                <w:spacing w:val="-4"/>
              </w:rPr>
              <w:t>Q7:业务案例制订是否考虑到资</w:t>
            </w:r>
            <w:r>
              <w:rPr>
                <w:sz w:val="16"/>
                <w:szCs w:val="16"/>
                <w:spacing w:val="13"/>
              </w:rPr>
              <w:t xml:space="preserve"> </w:t>
            </w:r>
            <w:r>
              <w:rPr>
                <w:sz w:val="16"/>
                <w:szCs w:val="16"/>
                <w:spacing w:val="-2"/>
              </w:rPr>
              <w:t>源保障的能力</w:t>
            </w:r>
          </w:p>
        </w:tc>
        <w:tc>
          <w:tcPr>
            <w:tcW w:w="57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39" w:type="dxa"/>
            <w:vAlign w:val="top"/>
            <w:vMerge w:val="continue"/>
            <w:tcBorders>
              <w:top w:val="nil"/>
            </w:tcBorders>
          </w:tcPr>
          <w:p>
            <w:pPr>
              <w:rPr>
                <w:rFonts w:ascii="Arial"/>
                <w:sz w:val="21"/>
              </w:rPr>
            </w:pPr>
            <w:r/>
          </w:p>
        </w:tc>
        <w:tc>
          <w:tcPr>
            <w:tcW w:w="495" w:type="dxa"/>
            <w:vAlign w:val="top"/>
            <w:vMerge w:val="continue"/>
            <w:tcBorders>
              <w:top w:val="nil"/>
            </w:tcBorders>
          </w:tcPr>
          <w:p>
            <w:pPr>
              <w:rPr>
                <w:rFonts w:ascii="Arial"/>
                <w:sz w:val="21"/>
              </w:rPr>
            </w:pPr>
            <w:r/>
          </w:p>
        </w:tc>
      </w:tr>
    </w:tbl>
    <w:p>
      <w:pPr>
        <w:pStyle w:val="BodyText"/>
        <w:rPr/>
      </w:pPr>
      <w:r/>
    </w:p>
    <w:p>
      <w:pPr>
        <w:sectPr>
          <w:footerReference w:type="default" r:id="rId538"/>
          <w:pgSz w:w="8870" w:h="13400"/>
          <w:pgMar w:top="400" w:right="545" w:bottom="474" w:left="419" w:header="0" w:footer="256" w:gutter="0"/>
        </w:sectPr>
        <w:rPr/>
      </w:pPr>
    </w:p>
    <w:p>
      <w:pPr>
        <w:ind w:left="4542"/>
        <w:spacing w:before="254" w:line="219" w:lineRule="auto"/>
        <w:rPr>
          <w:rFonts w:ascii="SimSun" w:hAnsi="SimSun" w:eastAsia="SimSun" w:cs="SimSun"/>
          <w:sz w:val="21"/>
          <w:szCs w:val="21"/>
        </w:rPr>
      </w:pPr>
      <w:r>
        <w:rPr>
          <w:rFonts w:ascii="SimSun" w:hAnsi="SimSun" w:eastAsia="SimSun" w:cs="SimSun"/>
          <w:sz w:val="21"/>
          <w:szCs w:val="21"/>
          <w:b/>
          <w:bCs/>
          <w:spacing w:val="8"/>
        </w:rPr>
        <w:t>第11章■云端数据治理体系实施</w:t>
      </w:r>
    </w:p>
    <w:p>
      <w:pPr>
        <w:pStyle w:val="BodyText"/>
        <w:spacing w:line="309" w:lineRule="auto"/>
        <w:rPr/>
      </w:pPr>
      <w:r/>
    </w:p>
    <w:p>
      <w:pPr>
        <w:ind w:left="6869"/>
        <w:spacing w:before="52" w:line="220" w:lineRule="auto"/>
        <w:rPr>
          <w:rFonts w:ascii="SimSun" w:hAnsi="SimSun" w:eastAsia="SimSun" w:cs="SimSun"/>
          <w:sz w:val="16"/>
          <w:szCs w:val="16"/>
        </w:rPr>
      </w:pPr>
      <w:r>
        <w:rPr>
          <w:rFonts w:ascii="SimSun" w:hAnsi="SimSun" w:eastAsia="SimSun" w:cs="SimSun"/>
          <w:sz w:val="16"/>
          <w:szCs w:val="16"/>
          <w:spacing w:val="-3"/>
        </w:rPr>
        <w:t>续表</w:t>
      </w:r>
    </w:p>
    <w:p>
      <w:pPr>
        <w:spacing w:line="17" w:lineRule="exact"/>
        <w:rPr/>
      </w:pPr>
      <w:r/>
    </w:p>
    <w:tbl>
      <w:tblPr>
        <w:tblStyle w:val="TableNormal"/>
        <w:tblW w:w="754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4"/>
        <w:gridCol w:w="659"/>
        <w:gridCol w:w="689"/>
        <w:gridCol w:w="2337"/>
        <w:gridCol w:w="570"/>
        <w:gridCol w:w="549"/>
        <w:gridCol w:w="579"/>
        <w:gridCol w:w="589"/>
        <w:gridCol w:w="549"/>
        <w:gridCol w:w="495"/>
      </w:tblGrid>
      <w:tr>
        <w:trPr>
          <w:trHeight w:val="594" w:hRule="atLeast"/>
        </w:trPr>
        <w:tc>
          <w:tcPr>
            <w:tcW w:w="524" w:type="dxa"/>
            <w:vAlign w:val="top"/>
          </w:tcPr>
          <w:p>
            <w:pPr>
              <w:pStyle w:val="TableText"/>
              <w:ind w:left="104"/>
              <w:spacing w:before="221" w:line="221" w:lineRule="auto"/>
              <w:rPr/>
            </w:pPr>
            <w:r>
              <w:rPr>
                <w:spacing w:val="-2"/>
              </w:rPr>
              <w:t>序号</w:t>
            </w:r>
          </w:p>
        </w:tc>
        <w:tc>
          <w:tcPr>
            <w:tcW w:w="659" w:type="dxa"/>
            <w:vAlign w:val="top"/>
          </w:tcPr>
          <w:p>
            <w:pPr>
              <w:pStyle w:val="TableText"/>
              <w:ind w:left="91"/>
              <w:spacing w:before="221" w:line="220" w:lineRule="auto"/>
              <w:rPr/>
            </w:pPr>
            <w:r>
              <w:rPr>
                <w:spacing w:val="-2"/>
              </w:rPr>
              <w:t>职能域</w:t>
            </w:r>
          </w:p>
        </w:tc>
        <w:tc>
          <w:tcPr>
            <w:tcW w:w="689" w:type="dxa"/>
            <w:vAlign w:val="top"/>
          </w:tcPr>
          <w:p>
            <w:pPr>
              <w:pStyle w:val="TableText"/>
              <w:ind w:left="111"/>
              <w:spacing w:before="221" w:line="220" w:lineRule="auto"/>
              <w:rPr/>
            </w:pPr>
            <w:r>
              <w:rPr>
                <w:spacing w:val="-2"/>
              </w:rPr>
              <w:t>过程域</w:t>
            </w:r>
          </w:p>
        </w:tc>
        <w:tc>
          <w:tcPr>
            <w:tcW w:w="2337" w:type="dxa"/>
            <w:vAlign w:val="top"/>
          </w:tcPr>
          <w:p>
            <w:pPr>
              <w:pStyle w:val="TableText"/>
              <w:ind w:left="922"/>
              <w:spacing w:before="221" w:line="219" w:lineRule="auto"/>
              <w:rPr/>
            </w:pPr>
            <w:r>
              <w:rPr>
                <w:spacing w:val="-2"/>
              </w:rPr>
              <w:t>检查项</w:t>
            </w:r>
          </w:p>
        </w:tc>
        <w:tc>
          <w:tcPr>
            <w:tcW w:w="570" w:type="dxa"/>
            <w:vAlign w:val="top"/>
          </w:tcPr>
          <w:p>
            <w:pPr>
              <w:pStyle w:val="TableText"/>
              <w:ind w:left="66"/>
              <w:spacing w:before="235"/>
              <w:rPr/>
            </w:pPr>
            <w:r>
              <w:rPr>
                <w:spacing w:val="-1"/>
              </w:rPr>
              <w:t>Levell</w:t>
            </w:r>
          </w:p>
        </w:tc>
        <w:tc>
          <w:tcPr>
            <w:tcW w:w="549" w:type="dxa"/>
            <w:vAlign w:val="top"/>
          </w:tcPr>
          <w:p>
            <w:pPr>
              <w:pStyle w:val="TableText"/>
              <w:ind w:left="35"/>
              <w:spacing w:before="235"/>
              <w:rPr/>
            </w:pPr>
            <w:r>
              <w:rPr>
                <w:spacing w:val="-1"/>
              </w:rPr>
              <w:t>Level2</w:t>
            </w:r>
          </w:p>
        </w:tc>
        <w:tc>
          <w:tcPr>
            <w:tcW w:w="579" w:type="dxa"/>
            <w:vAlign w:val="top"/>
          </w:tcPr>
          <w:p>
            <w:pPr>
              <w:pStyle w:val="TableText"/>
              <w:ind w:left="66"/>
              <w:spacing w:before="235"/>
              <w:rPr/>
            </w:pPr>
            <w:r>
              <w:rPr>
                <w:spacing w:val="-1"/>
              </w:rPr>
              <w:t>Level3</w:t>
            </w:r>
          </w:p>
        </w:tc>
        <w:tc>
          <w:tcPr>
            <w:tcW w:w="589" w:type="dxa"/>
            <w:vAlign w:val="top"/>
          </w:tcPr>
          <w:p>
            <w:pPr>
              <w:pStyle w:val="TableText"/>
              <w:ind w:left="77"/>
              <w:spacing w:before="235"/>
              <w:rPr/>
            </w:pPr>
            <w:r>
              <w:rPr>
                <w:spacing w:val="-1"/>
              </w:rPr>
              <w:t>Level4</w:t>
            </w:r>
          </w:p>
        </w:tc>
        <w:tc>
          <w:tcPr>
            <w:tcW w:w="549" w:type="dxa"/>
            <w:vAlign w:val="top"/>
          </w:tcPr>
          <w:p>
            <w:pPr>
              <w:pStyle w:val="TableText"/>
              <w:ind w:left="58"/>
              <w:spacing w:before="235"/>
              <w:rPr/>
            </w:pPr>
            <w:r>
              <w:rPr>
                <w:spacing w:val="-1"/>
              </w:rPr>
              <w:t>Level5</w:t>
            </w:r>
          </w:p>
        </w:tc>
        <w:tc>
          <w:tcPr>
            <w:tcW w:w="495" w:type="dxa"/>
            <w:vAlign w:val="top"/>
          </w:tcPr>
          <w:p>
            <w:pPr>
              <w:pStyle w:val="TableText"/>
              <w:ind w:left="89"/>
              <w:spacing w:before="81" w:line="280" w:lineRule="exact"/>
              <w:rPr/>
            </w:pPr>
            <w:r>
              <w:rPr>
                <w:spacing w:val="-4"/>
                <w:position w:val="10"/>
              </w:rPr>
              <w:t>审计</w:t>
            </w:r>
          </w:p>
          <w:p>
            <w:pPr>
              <w:pStyle w:val="TableText"/>
              <w:ind w:left="89"/>
              <w:spacing w:line="220" w:lineRule="auto"/>
              <w:rPr/>
            </w:pPr>
            <w:r>
              <w:rPr>
                <w:spacing w:val="-3"/>
              </w:rPr>
              <w:t>结果</w:t>
            </w:r>
          </w:p>
        </w:tc>
      </w:tr>
      <w:tr>
        <w:trPr>
          <w:trHeight w:val="579" w:hRule="atLeast"/>
        </w:trPr>
        <w:tc>
          <w:tcPr>
            <w:tcW w:w="524" w:type="dxa"/>
            <w:vAlign w:val="top"/>
            <w:vMerge w:val="restart"/>
            <w:tcBorders>
              <w:bottom w:val="nil"/>
            </w:tcBorders>
          </w:tcPr>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pStyle w:val="TableText"/>
              <w:ind w:left="214"/>
              <w:spacing w:before="49" w:line="183" w:lineRule="auto"/>
              <w:rPr/>
            </w:pPr>
            <w:r>
              <w:rPr/>
              <w:t>4</w:t>
            </w:r>
          </w:p>
        </w:tc>
        <w:tc>
          <w:tcPr>
            <w:tcW w:w="659" w:type="dxa"/>
            <w:vAlign w:val="top"/>
            <w:vMerge w:val="restart"/>
            <w:tcBorders>
              <w:bottom w:val="nil"/>
            </w:tcBorders>
          </w:tcPr>
          <w:p>
            <w:pPr>
              <w:rPr>
                <w:rFonts w:ascii="Arial"/>
                <w:sz w:val="21"/>
              </w:rPr>
            </w:pPr>
            <w:r/>
          </w:p>
        </w:tc>
        <w:tc>
          <w:tcPr>
            <w:tcW w:w="689" w:type="dxa"/>
            <w:vAlign w:val="top"/>
            <w:vMerge w:val="restart"/>
            <w:tcBorders>
              <w:bottom w:val="nil"/>
            </w:tcBorders>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TableText"/>
              <w:ind w:left="181"/>
              <w:spacing w:before="48" w:line="299" w:lineRule="exact"/>
              <w:rPr/>
            </w:pPr>
            <w:r>
              <w:rPr>
                <w:spacing w:val="-4"/>
                <w:position w:val="11"/>
              </w:rPr>
              <w:t>资源</w:t>
            </w:r>
          </w:p>
          <w:p>
            <w:pPr>
              <w:pStyle w:val="TableText"/>
              <w:ind w:left="181"/>
              <w:spacing w:line="219" w:lineRule="auto"/>
              <w:rPr/>
            </w:pPr>
            <w:r>
              <w:rPr>
                <w:spacing w:val="-2"/>
              </w:rPr>
              <w:t>保障</w:t>
            </w:r>
          </w:p>
        </w:tc>
        <w:tc>
          <w:tcPr>
            <w:tcW w:w="2337" w:type="dxa"/>
            <w:vAlign w:val="top"/>
          </w:tcPr>
          <w:p>
            <w:pPr>
              <w:pStyle w:val="TableText"/>
              <w:ind w:left="43" w:right="113" w:firstLine="149"/>
              <w:spacing w:before="86" w:line="283" w:lineRule="auto"/>
              <w:rPr/>
            </w:pPr>
            <w:r>
              <w:rPr>
                <w:spacing w:val="-1"/>
              </w:rPr>
              <w:t>Q1:是否有一套经批准的数据治</w:t>
            </w:r>
            <w:r>
              <w:rPr>
                <w:spacing w:val="9"/>
              </w:rPr>
              <w:t xml:space="preserve"> </w:t>
            </w:r>
            <w:r>
              <w:rPr>
                <w:spacing w:val="1"/>
              </w:rPr>
              <w:t>理投资准则和重点</w:t>
            </w:r>
          </w:p>
        </w:tc>
        <w:tc>
          <w:tcPr>
            <w:tcW w:w="570"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495" w:type="dxa"/>
            <w:vAlign w:val="top"/>
            <w:vMerge w:val="restart"/>
            <w:tcBorders>
              <w:bottom w:val="nil"/>
            </w:tcBorders>
          </w:tcPr>
          <w:p>
            <w:pPr>
              <w:rPr>
                <w:rFonts w:ascii="Arial"/>
                <w:sz w:val="21"/>
              </w:rPr>
            </w:pPr>
            <w:r/>
          </w:p>
        </w:tc>
      </w:tr>
      <w:tr>
        <w:trPr>
          <w:trHeight w:val="599"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213"/>
              <w:spacing w:before="87" w:line="300" w:lineRule="exact"/>
              <w:rPr/>
            </w:pPr>
            <w:r>
              <w:rPr>
                <w:spacing w:val="-1"/>
                <w:position w:val="11"/>
              </w:rPr>
              <w:t>Q2:是否能提供稳定充足的资金</w:t>
            </w:r>
          </w:p>
          <w:p>
            <w:pPr>
              <w:pStyle w:val="TableText"/>
              <w:ind w:left="43"/>
              <w:spacing w:line="219" w:lineRule="auto"/>
              <w:rPr/>
            </w:pPr>
            <w:r>
              <w:rPr>
                <w:spacing w:val="-2"/>
              </w:rPr>
              <w:t>保障</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89"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53" w:right="93" w:firstLine="160"/>
              <w:spacing w:before="88" w:line="287" w:lineRule="auto"/>
              <w:rPr/>
            </w:pPr>
            <w:r>
              <w:rPr>
                <w:spacing w:val="-1"/>
              </w:rPr>
              <w:t>Q3:资源保障策略是否由数据利</w:t>
            </w:r>
            <w:r>
              <w:rPr>
                <w:spacing w:val="9"/>
              </w:rPr>
              <w:t xml:space="preserve"> </w:t>
            </w:r>
            <w:r>
              <w:rPr>
                <w:spacing w:val="-1"/>
              </w:rPr>
              <w:t>益相关者制订、评价和批准</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89"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43" w:right="93" w:firstLine="170"/>
              <w:spacing w:before="90" w:line="288" w:lineRule="auto"/>
              <w:rPr/>
            </w:pPr>
            <w:r>
              <w:rPr>
                <w:spacing w:val="-1"/>
              </w:rPr>
              <w:t>Q4:资源保障策略是否具备动态</w:t>
            </w:r>
            <w:r>
              <w:rPr>
                <w:spacing w:val="9"/>
              </w:rPr>
              <w:t xml:space="preserve"> </w:t>
            </w:r>
            <w:r>
              <w:rPr>
                <w:spacing w:val="-2"/>
              </w:rPr>
              <w:t>调整的能力</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869" w:hRule="atLeast"/>
        </w:trPr>
        <w:tc>
          <w:tcPr>
            <w:tcW w:w="524" w:type="dxa"/>
            <w:vAlign w:val="top"/>
            <w:vMerge w:val="continue"/>
            <w:tcBorders>
              <w:top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tcBorders>
          </w:tcPr>
          <w:p>
            <w:pPr>
              <w:rPr>
                <w:rFonts w:ascii="Arial"/>
                <w:sz w:val="21"/>
              </w:rPr>
            </w:pPr>
            <w:r/>
          </w:p>
        </w:tc>
        <w:tc>
          <w:tcPr>
            <w:tcW w:w="2337" w:type="dxa"/>
            <w:vAlign w:val="top"/>
          </w:tcPr>
          <w:p>
            <w:pPr>
              <w:pStyle w:val="TableText"/>
              <w:ind w:left="43" w:right="42" w:firstLine="170"/>
              <w:spacing w:before="101" w:line="299" w:lineRule="auto"/>
              <w:jc w:val="both"/>
              <w:rPr/>
            </w:pPr>
            <w:r>
              <w:rPr>
                <w:spacing w:val="-1"/>
              </w:rPr>
              <w:t>Q5:资源保障策略是否反映了组 </w:t>
            </w:r>
            <w:r>
              <w:rPr>
                <w:spacing w:val="-1"/>
              </w:rPr>
              <w:t>织的业务模型、优先事项和财务决</w:t>
            </w:r>
            <w:r>
              <w:rPr>
                <w:spacing w:val="5"/>
              </w:rPr>
              <w:t xml:space="preserve"> </w:t>
            </w:r>
            <w:r>
              <w:rPr>
                <w:spacing w:val="-2"/>
              </w:rPr>
              <w:t>策过程</w:t>
            </w:r>
          </w:p>
        </w:tc>
        <w:tc>
          <w:tcPr>
            <w:tcW w:w="570"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495" w:type="dxa"/>
            <w:vAlign w:val="top"/>
            <w:vMerge w:val="continue"/>
            <w:tcBorders>
              <w:top w:val="nil"/>
            </w:tcBorders>
          </w:tcPr>
          <w:p>
            <w:pPr>
              <w:rPr>
                <w:rFonts w:ascii="Arial"/>
                <w:sz w:val="21"/>
              </w:rPr>
            </w:pPr>
            <w:r/>
          </w:p>
        </w:tc>
      </w:tr>
      <w:tr>
        <w:trPr>
          <w:trHeight w:val="599" w:hRule="atLeast"/>
        </w:trPr>
        <w:tc>
          <w:tcPr>
            <w:tcW w:w="524" w:type="dxa"/>
            <w:vAlign w:val="top"/>
            <w:vMerge w:val="restart"/>
            <w:tcBorders>
              <w:bottom w:val="nil"/>
            </w:tcBorders>
          </w:tcPr>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pStyle w:val="TableText"/>
              <w:ind w:left="214"/>
              <w:spacing w:before="48" w:line="182" w:lineRule="auto"/>
              <w:rPr/>
            </w:pPr>
            <w:r>
              <w:rPr/>
              <w:t>5</w:t>
            </w:r>
          </w:p>
        </w:tc>
        <w:tc>
          <w:tcPr>
            <w:tcW w:w="659" w:type="dxa"/>
            <w:vAlign w:val="top"/>
            <w:vMerge w:val="continue"/>
            <w:tcBorders>
              <w:top w:val="nil"/>
              <w:bottom w:val="nil"/>
            </w:tcBorders>
          </w:tcPr>
          <w:p>
            <w:pPr>
              <w:rPr>
                <w:rFonts w:ascii="Arial"/>
                <w:sz w:val="21"/>
              </w:rPr>
            </w:pPr>
            <w:r/>
          </w:p>
        </w:tc>
        <w:tc>
          <w:tcPr>
            <w:tcW w:w="689" w:type="dxa"/>
            <w:vAlign w:val="top"/>
            <w:vMerge w:val="restart"/>
            <w:tcBorders>
              <w:bottom w:val="nil"/>
            </w:tcBorders>
          </w:tcPr>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pStyle w:val="TableText"/>
              <w:ind w:left="181"/>
              <w:spacing w:before="49" w:line="220" w:lineRule="auto"/>
              <w:rPr/>
            </w:pPr>
            <w:r>
              <w:rPr>
                <w:spacing w:val="-2"/>
              </w:rPr>
              <w:t>沟通</w:t>
            </w:r>
          </w:p>
        </w:tc>
        <w:tc>
          <w:tcPr>
            <w:tcW w:w="2337" w:type="dxa"/>
            <w:vAlign w:val="top"/>
          </w:tcPr>
          <w:p>
            <w:pPr>
              <w:pStyle w:val="TableText"/>
              <w:ind w:left="32" w:right="19" w:firstLine="180"/>
              <w:spacing w:before="101" w:line="283" w:lineRule="auto"/>
              <w:rPr/>
            </w:pPr>
            <w:r>
              <w:rPr>
                <w:spacing w:val="4"/>
              </w:rPr>
              <w:t>Q1:如何公告数据治理的政策、</w:t>
            </w:r>
            <w:r>
              <w:rPr>
                <w:spacing w:val="8"/>
              </w:rPr>
              <w:t xml:space="preserve"> </w:t>
            </w:r>
            <w:r>
              <w:rPr>
                <w:spacing w:val="-2"/>
              </w:rPr>
              <w:t>标准和过程</w:t>
            </w:r>
          </w:p>
        </w:tc>
        <w:tc>
          <w:tcPr>
            <w:tcW w:w="570"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579" w:type="dxa"/>
            <w:vAlign w:val="top"/>
            <w:vMerge w:val="restart"/>
            <w:tcBorders>
              <w:bottom w:val="nil"/>
            </w:tcBorders>
          </w:tcPr>
          <w:p>
            <w:pPr>
              <w:rPr>
                <w:rFonts w:ascii="Arial"/>
                <w:sz w:val="21"/>
              </w:rPr>
            </w:pPr>
            <w:r/>
          </w:p>
        </w:tc>
        <w:tc>
          <w:tcPr>
            <w:tcW w:w="589" w:type="dxa"/>
            <w:vAlign w:val="top"/>
            <w:vMerge w:val="restart"/>
            <w:tcBorders>
              <w:bottom w:val="nil"/>
            </w:tcBorders>
          </w:tcPr>
          <w:p>
            <w:pPr>
              <w:rPr>
                <w:rFonts w:ascii="Arial"/>
                <w:sz w:val="21"/>
              </w:rPr>
            </w:pPr>
            <w:r/>
          </w:p>
        </w:tc>
        <w:tc>
          <w:tcPr>
            <w:tcW w:w="549" w:type="dxa"/>
            <w:vAlign w:val="top"/>
            <w:vMerge w:val="restart"/>
            <w:tcBorders>
              <w:bottom w:val="nil"/>
            </w:tcBorders>
          </w:tcPr>
          <w:p>
            <w:pPr>
              <w:rPr>
                <w:rFonts w:ascii="Arial"/>
                <w:sz w:val="21"/>
              </w:rPr>
            </w:pPr>
            <w:r/>
          </w:p>
        </w:tc>
        <w:tc>
          <w:tcPr>
            <w:tcW w:w="495" w:type="dxa"/>
            <w:vAlign w:val="top"/>
            <w:vMerge w:val="restart"/>
            <w:tcBorders>
              <w:bottom w:val="nil"/>
            </w:tcBorders>
          </w:tcPr>
          <w:p>
            <w:pPr>
              <w:rPr>
                <w:rFonts w:ascii="Arial"/>
                <w:sz w:val="21"/>
              </w:rPr>
            </w:pPr>
            <w:r/>
          </w:p>
        </w:tc>
      </w:tr>
      <w:tr>
        <w:trPr>
          <w:trHeight w:val="579"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32" w:right="93" w:firstLine="180"/>
              <w:spacing w:before="102" w:line="282" w:lineRule="auto"/>
              <w:rPr/>
            </w:pPr>
            <w:r>
              <w:rPr>
                <w:spacing w:val="-1"/>
              </w:rPr>
              <w:t>Q2:组织如何向利益相关者通知</w:t>
            </w:r>
            <w:r>
              <w:rPr>
                <w:spacing w:val="9"/>
              </w:rPr>
              <w:t xml:space="preserve"> </w:t>
            </w:r>
            <w:r>
              <w:rPr>
                <w:spacing w:val="-1"/>
              </w:rPr>
              <w:t>有关数据治理计划和项目的消息</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589"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23" w:right="93" w:firstLine="189"/>
              <w:spacing w:before="103" w:line="277" w:lineRule="auto"/>
              <w:rPr/>
            </w:pPr>
            <w:r>
              <w:rPr>
                <w:spacing w:val="-1"/>
              </w:rPr>
              <w:t>Q3:沟通战略是否得到数据利益</w:t>
            </w:r>
            <w:r>
              <w:rPr>
                <w:spacing w:val="9"/>
              </w:rPr>
              <w:t xml:space="preserve"> </w:t>
            </w:r>
            <w:r>
              <w:rPr>
                <w:spacing w:val="-1"/>
              </w:rPr>
              <w:t>相关者认可</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340" w:hRule="atLeast"/>
        </w:trPr>
        <w:tc>
          <w:tcPr>
            <w:tcW w:w="524" w:type="dxa"/>
            <w:vAlign w:val="top"/>
            <w:vMerge w:val="continue"/>
            <w:tcBorders>
              <w:top w:val="nil"/>
              <w:bottom w:val="nil"/>
            </w:tcBorders>
          </w:tcPr>
          <w:p>
            <w:pPr>
              <w:rPr>
                <w:rFonts w:ascii="Arial"/>
                <w:sz w:val="21"/>
              </w:rPr>
            </w:pPr>
            <w:r/>
          </w:p>
        </w:tc>
        <w:tc>
          <w:tcPr>
            <w:tcW w:w="659" w:type="dxa"/>
            <w:vAlign w:val="top"/>
            <w:vMerge w:val="continue"/>
            <w:tcBorders>
              <w:top w:val="nil"/>
              <w:bottom w:val="nil"/>
            </w:tcBorders>
          </w:tcPr>
          <w:p>
            <w:pPr>
              <w:rPr>
                <w:rFonts w:ascii="Arial"/>
                <w:sz w:val="21"/>
              </w:rPr>
            </w:pPr>
            <w:r/>
          </w:p>
        </w:tc>
        <w:tc>
          <w:tcPr>
            <w:tcW w:w="689" w:type="dxa"/>
            <w:vAlign w:val="top"/>
            <w:vMerge w:val="continue"/>
            <w:tcBorders>
              <w:top w:val="nil"/>
              <w:bottom w:val="nil"/>
            </w:tcBorders>
          </w:tcPr>
          <w:p>
            <w:pPr>
              <w:rPr>
                <w:rFonts w:ascii="Arial"/>
                <w:sz w:val="21"/>
              </w:rPr>
            </w:pPr>
            <w:r/>
          </w:p>
        </w:tc>
        <w:tc>
          <w:tcPr>
            <w:tcW w:w="2337" w:type="dxa"/>
            <w:vAlign w:val="top"/>
          </w:tcPr>
          <w:p>
            <w:pPr>
              <w:pStyle w:val="TableText"/>
              <w:ind w:left="213"/>
              <w:spacing w:before="105" w:line="220" w:lineRule="auto"/>
              <w:rPr/>
            </w:pPr>
            <w:r>
              <w:rPr>
                <w:spacing w:val="-1"/>
              </w:rPr>
              <w:t>Q4:沟通的有效性怎么评判</w:t>
            </w:r>
          </w:p>
        </w:tc>
        <w:tc>
          <w:tcPr>
            <w:tcW w:w="570"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579" w:type="dxa"/>
            <w:vAlign w:val="top"/>
            <w:vMerge w:val="continue"/>
            <w:tcBorders>
              <w:top w:val="nil"/>
              <w:bottom w:val="nil"/>
            </w:tcBorders>
          </w:tcPr>
          <w:p>
            <w:pPr>
              <w:rPr>
                <w:rFonts w:ascii="Arial"/>
                <w:sz w:val="21"/>
              </w:rPr>
            </w:pPr>
            <w:r/>
          </w:p>
        </w:tc>
        <w:tc>
          <w:tcPr>
            <w:tcW w:w="589" w:type="dxa"/>
            <w:vAlign w:val="top"/>
            <w:vMerge w:val="continue"/>
            <w:tcBorders>
              <w:top w:val="nil"/>
              <w:bottom w:val="nil"/>
            </w:tcBorders>
          </w:tcPr>
          <w:p>
            <w:pPr>
              <w:rPr>
                <w:rFonts w:ascii="Arial"/>
                <w:sz w:val="21"/>
              </w:rPr>
            </w:pPr>
            <w:r/>
          </w:p>
        </w:tc>
        <w:tc>
          <w:tcPr>
            <w:tcW w:w="549" w:type="dxa"/>
            <w:vAlign w:val="top"/>
            <w:vMerge w:val="continue"/>
            <w:tcBorders>
              <w:top w:val="nil"/>
              <w:bottom w:val="nil"/>
            </w:tcBorders>
          </w:tcPr>
          <w:p>
            <w:pPr>
              <w:rPr>
                <w:rFonts w:ascii="Arial"/>
                <w:sz w:val="21"/>
              </w:rPr>
            </w:pPr>
            <w:r/>
          </w:p>
        </w:tc>
        <w:tc>
          <w:tcPr>
            <w:tcW w:w="495" w:type="dxa"/>
            <w:vAlign w:val="top"/>
            <w:vMerge w:val="continue"/>
            <w:tcBorders>
              <w:top w:val="nil"/>
              <w:bottom w:val="nil"/>
            </w:tcBorders>
          </w:tcPr>
          <w:p>
            <w:pPr>
              <w:rPr>
                <w:rFonts w:ascii="Arial"/>
                <w:sz w:val="21"/>
              </w:rPr>
            </w:pPr>
            <w:r/>
          </w:p>
        </w:tc>
      </w:tr>
      <w:tr>
        <w:trPr>
          <w:trHeight w:val="884" w:hRule="atLeast"/>
        </w:trPr>
        <w:tc>
          <w:tcPr>
            <w:tcW w:w="524" w:type="dxa"/>
            <w:vAlign w:val="top"/>
            <w:vMerge w:val="continue"/>
            <w:tcBorders>
              <w:top w:val="nil"/>
            </w:tcBorders>
          </w:tcPr>
          <w:p>
            <w:pPr>
              <w:rPr>
                <w:rFonts w:ascii="Arial"/>
                <w:sz w:val="21"/>
              </w:rPr>
            </w:pPr>
            <w:r/>
          </w:p>
        </w:tc>
        <w:tc>
          <w:tcPr>
            <w:tcW w:w="659" w:type="dxa"/>
            <w:vAlign w:val="top"/>
            <w:vMerge w:val="continue"/>
            <w:tcBorders>
              <w:top w:val="nil"/>
            </w:tcBorders>
          </w:tcPr>
          <w:p>
            <w:pPr>
              <w:rPr>
                <w:rFonts w:ascii="Arial"/>
                <w:sz w:val="21"/>
              </w:rPr>
            </w:pPr>
            <w:r/>
          </w:p>
        </w:tc>
        <w:tc>
          <w:tcPr>
            <w:tcW w:w="689" w:type="dxa"/>
            <w:vAlign w:val="top"/>
            <w:vMerge w:val="continue"/>
            <w:tcBorders>
              <w:top w:val="nil"/>
            </w:tcBorders>
          </w:tcPr>
          <w:p>
            <w:pPr>
              <w:rPr>
                <w:rFonts w:ascii="Arial"/>
                <w:sz w:val="21"/>
              </w:rPr>
            </w:pPr>
            <w:r/>
          </w:p>
        </w:tc>
        <w:tc>
          <w:tcPr>
            <w:tcW w:w="2337" w:type="dxa"/>
            <w:vAlign w:val="top"/>
          </w:tcPr>
          <w:p>
            <w:pPr>
              <w:pStyle w:val="TableText"/>
              <w:ind w:left="62" w:right="93" w:firstLine="150"/>
              <w:spacing w:before="104" w:line="303" w:lineRule="auto"/>
              <w:rPr/>
            </w:pPr>
            <w:r>
              <w:rPr>
                <w:spacing w:val="-1"/>
              </w:rPr>
              <w:t>Q5:如何在业务、IT、数据治理</w:t>
            </w:r>
            <w:r>
              <w:rPr>
                <w:spacing w:val="10"/>
              </w:rPr>
              <w:t xml:space="preserve"> </w:t>
            </w:r>
            <w:r>
              <w:rPr>
                <w:spacing w:val="-1"/>
              </w:rPr>
              <w:t>和高管之中实现数据治理优先事</w:t>
            </w:r>
            <w:r>
              <w:rPr>
                <w:spacing w:val="3"/>
              </w:rPr>
              <w:t xml:space="preserve">  </w:t>
            </w:r>
            <w:r>
              <w:rPr>
                <w:spacing w:val="-1"/>
              </w:rPr>
              <w:t>项、方式和工作输出的双向沟通</w:t>
            </w:r>
          </w:p>
        </w:tc>
        <w:tc>
          <w:tcPr>
            <w:tcW w:w="570"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579" w:type="dxa"/>
            <w:vAlign w:val="top"/>
            <w:vMerge w:val="continue"/>
            <w:tcBorders>
              <w:top w:val="nil"/>
            </w:tcBorders>
          </w:tcPr>
          <w:p>
            <w:pPr>
              <w:rPr>
                <w:rFonts w:ascii="Arial"/>
                <w:sz w:val="21"/>
              </w:rPr>
            </w:pPr>
            <w:r/>
          </w:p>
        </w:tc>
        <w:tc>
          <w:tcPr>
            <w:tcW w:w="589" w:type="dxa"/>
            <w:vAlign w:val="top"/>
            <w:vMerge w:val="continue"/>
            <w:tcBorders>
              <w:top w:val="nil"/>
            </w:tcBorders>
          </w:tcPr>
          <w:p>
            <w:pPr>
              <w:rPr>
                <w:rFonts w:ascii="Arial"/>
                <w:sz w:val="21"/>
              </w:rPr>
            </w:pPr>
            <w:r/>
          </w:p>
        </w:tc>
        <w:tc>
          <w:tcPr>
            <w:tcW w:w="549" w:type="dxa"/>
            <w:vAlign w:val="top"/>
            <w:vMerge w:val="continue"/>
            <w:tcBorders>
              <w:top w:val="nil"/>
            </w:tcBorders>
          </w:tcPr>
          <w:p>
            <w:pPr>
              <w:rPr>
                <w:rFonts w:ascii="Arial"/>
                <w:sz w:val="21"/>
              </w:rPr>
            </w:pPr>
            <w:r/>
          </w:p>
        </w:tc>
        <w:tc>
          <w:tcPr>
            <w:tcW w:w="495" w:type="dxa"/>
            <w:vAlign w:val="top"/>
            <w:vMerge w:val="continue"/>
            <w:tcBorders>
              <w:top w:val="nil"/>
            </w:tcBorders>
          </w:tcPr>
          <w:p>
            <w:pPr>
              <w:rPr>
                <w:rFonts w:ascii="Arial"/>
                <w:sz w:val="21"/>
              </w:rPr>
            </w:pPr>
            <w:r/>
          </w:p>
        </w:tc>
      </w:tr>
    </w:tbl>
    <w:p>
      <w:pPr>
        <w:pStyle w:val="BodyText"/>
        <w:spacing w:line="365" w:lineRule="auto"/>
        <w:rPr/>
      </w:pPr>
      <w:r/>
    </w:p>
    <w:p>
      <w:pPr>
        <w:ind w:left="4"/>
        <w:spacing w:before="95" w:line="222" w:lineRule="auto"/>
        <w:outlineLvl w:val="6"/>
        <w:rPr>
          <w:rFonts w:ascii="YouYuan" w:hAnsi="YouYuan" w:eastAsia="YouYuan" w:cs="YouYuan"/>
          <w:sz w:val="29"/>
          <w:szCs w:val="29"/>
        </w:rPr>
      </w:pPr>
      <w:r>
        <w:rPr>
          <w:rFonts w:ascii="YouYuan" w:hAnsi="YouYuan" w:eastAsia="YouYuan" w:cs="YouYuan"/>
          <w:sz w:val="29"/>
          <w:szCs w:val="29"/>
          <w:b/>
          <w:bCs/>
          <w:spacing w:val="-7"/>
        </w:rPr>
        <w:t>11.3.3</w:t>
      </w:r>
      <w:r>
        <w:rPr>
          <w:rFonts w:ascii="YouYuan" w:hAnsi="YouYuan" w:eastAsia="YouYuan" w:cs="YouYuan"/>
          <w:sz w:val="29"/>
          <w:szCs w:val="29"/>
          <w:spacing w:val="121"/>
        </w:rPr>
        <w:t xml:space="preserve"> </w:t>
      </w:r>
      <w:r>
        <w:rPr>
          <w:rFonts w:ascii="YouYuan" w:hAnsi="YouYuan" w:eastAsia="YouYuan" w:cs="YouYuan"/>
          <w:sz w:val="29"/>
          <w:szCs w:val="29"/>
          <w:b/>
          <w:bCs/>
          <w:spacing w:val="-7"/>
        </w:rPr>
        <w:t>安全审计</w:t>
      </w:r>
    </w:p>
    <w:p>
      <w:pPr>
        <w:pStyle w:val="BodyText"/>
        <w:spacing w:line="243" w:lineRule="auto"/>
        <w:rPr/>
      </w:pPr>
      <w:r/>
    </w:p>
    <w:p>
      <w:pPr>
        <w:ind w:right="195" w:firstLine="449"/>
        <w:spacing w:before="68" w:line="250" w:lineRule="auto"/>
        <w:rPr>
          <w:rFonts w:ascii="SimSun" w:hAnsi="SimSun" w:eastAsia="SimSun" w:cs="SimSun"/>
          <w:sz w:val="21"/>
          <w:szCs w:val="21"/>
        </w:rPr>
      </w:pPr>
      <w:r>
        <w:rPr>
          <w:rFonts w:ascii="SimSun" w:hAnsi="SimSun" w:eastAsia="SimSun" w:cs="SimSun"/>
          <w:sz w:val="21"/>
          <w:szCs w:val="21"/>
          <w:spacing w:val="1"/>
        </w:rPr>
        <w:t>云端数据治理体系安全审计的目的是确保云端数据和信息资产的认证、授权和 </w:t>
      </w:r>
      <w:r>
        <w:rPr>
          <w:rFonts w:ascii="SimSun" w:hAnsi="SimSun" w:eastAsia="SimSun" w:cs="SimSun"/>
          <w:sz w:val="21"/>
          <w:szCs w:val="21"/>
          <w:spacing w:val="-2"/>
        </w:rPr>
        <w:t>访问等过程符合体系的相关安全策略和规程等策划要求。</w:t>
      </w:r>
    </w:p>
    <w:p>
      <w:pPr>
        <w:ind w:right="185" w:firstLine="449"/>
        <w:spacing w:before="51" w:line="263" w:lineRule="auto"/>
        <w:rPr>
          <w:rFonts w:ascii="SimSun" w:hAnsi="SimSun" w:eastAsia="SimSun" w:cs="SimSun"/>
          <w:sz w:val="21"/>
          <w:szCs w:val="21"/>
        </w:rPr>
      </w:pPr>
      <w:r>
        <w:rPr>
          <w:rFonts w:ascii="SimSun" w:hAnsi="SimSun" w:eastAsia="SimSun" w:cs="SimSun"/>
          <w:sz w:val="21"/>
          <w:szCs w:val="21"/>
          <w:spacing w:val="1"/>
        </w:rPr>
        <w:t>安全审计包括四个基本要素：控制目标、安全漏洞、控制措施和</w:t>
      </w:r>
      <w:r>
        <w:rPr>
          <w:rFonts w:ascii="SimSun" w:hAnsi="SimSun" w:eastAsia="SimSun" w:cs="SimSun"/>
          <w:sz w:val="21"/>
          <w:szCs w:val="21"/>
        </w:rPr>
        <w:t>控制测试。其 </w:t>
      </w:r>
      <w:r>
        <w:rPr>
          <w:rFonts w:ascii="SimSun" w:hAnsi="SimSun" w:eastAsia="SimSun" w:cs="SimSun"/>
          <w:sz w:val="21"/>
          <w:szCs w:val="21"/>
          <w:spacing w:val="2"/>
        </w:rPr>
        <w:t>中控制目标是指组织根据云端数据治理体系的要求，结合实际的云端数据治理过程</w:t>
      </w:r>
      <w:r>
        <w:rPr>
          <w:rFonts w:ascii="SimSun" w:hAnsi="SimSun" w:eastAsia="SimSun" w:cs="SimSun"/>
          <w:sz w:val="21"/>
          <w:szCs w:val="21"/>
          <w:spacing w:val="4"/>
        </w:rPr>
        <w:t xml:space="preserve"> </w:t>
      </w:r>
      <w:r>
        <w:rPr>
          <w:rFonts w:ascii="SimSun" w:hAnsi="SimSun" w:eastAsia="SimSun" w:cs="SimSun"/>
          <w:sz w:val="21"/>
          <w:szCs w:val="21"/>
          <w:spacing w:val="2"/>
        </w:rPr>
        <w:t>而制订的安全控制要求。安全漏洞是指系统的安全薄弱环节，容易</w:t>
      </w:r>
      <w:r>
        <w:rPr>
          <w:rFonts w:ascii="SimSun" w:hAnsi="SimSun" w:eastAsia="SimSun" w:cs="SimSun"/>
          <w:sz w:val="21"/>
          <w:szCs w:val="21"/>
          <w:spacing w:val="1"/>
        </w:rPr>
        <w:t>被干扰或破坏的</w:t>
      </w:r>
      <w:r>
        <w:rPr>
          <w:rFonts w:ascii="SimSun" w:hAnsi="SimSun" w:eastAsia="SimSun" w:cs="SimSun"/>
          <w:sz w:val="21"/>
          <w:szCs w:val="21"/>
        </w:rPr>
        <w:t xml:space="preserve"> </w:t>
      </w:r>
      <w:r>
        <w:rPr>
          <w:rFonts w:ascii="SimSun" w:hAnsi="SimSun" w:eastAsia="SimSun" w:cs="SimSun"/>
          <w:sz w:val="21"/>
          <w:szCs w:val="21"/>
          <w:spacing w:val="2"/>
        </w:rPr>
        <w:t>地方。控制措施是指组织为实现安全控制目标所制订的数</w:t>
      </w:r>
      <w:r>
        <w:rPr>
          <w:rFonts w:ascii="SimSun" w:hAnsi="SimSun" w:eastAsia="SimSun" w:cs="SimSun"/>
          <w:sz w:val="21"/>
          <w:szCs w:val="21"/>
          <w:spacing w:val="1"/>
        </w:rPr>
        <w:t>据策略、数据规程、数据</w:t>
      </w:r>
      <w:r>
        <w:rPr>
          <w:rFonts w:ascii="SimSun" w:hAnsi="SimSun" w:eastAsia="SimSun" w:cs="SimSun"/>
          <w:sz w:val="21"/>
          <w:szCs w:val="21"/>
        </w:rPr>
        <w:t xml:space="preserve"> </w:t>
      </w:r>
      <w:r>
        <w:rPr>
          <w:rFonts w:ascii="SimSun" w:hAnsi="SimSun" w:eastAsia="SimSun" w:cs="SimSun"/>
          <w:sz w:val="21"/>
          <w:szCs w:val="21"/>
        </w:rPr>
        <w:t>隐私要求及</w:t>
      </w:r>
      <w:r>
        <w:rPr>
          <w:rFonts w:ascii="Times New Roman" w:hAnsi="Times New Roman" w:eastAsia="Times New Roman" w:cs="Times New Roman"/>
          <w:sz w:val="21"/>
          <w:szCs w:val="21"/>
        </w:rPr>
        <w:t>IT </w:t>
      </w:r>
      <w:r>
        <w:rPr>
          <w:rFonts w:ascii="SimSun" w:hAnsi="SimSun" w:eastAsia="SimSun" w:cs="SimSun"/>
          <w:sz w:val="21"/>
          <w:szCs w:val="21"/>
        </w:rPr>
        <w:t>策略要求等。控制测试是将组织的各种安全控制措施与策划的安全标</w:t>
      </w:r>
      <w:r>
        <w:rPr>
          <w:rFonts w:ascii="SimSun" w:hAnsi="SimSun" w:eastAsia="SimSun" w:cs="SimSun"/>
          <w:sz w:val="21"/>
          <w:szCs w:val="21"/>
          <w:spacing w:val="8"/>
        </w:rPr>
        <w:t xml:space="preserve"> </w:t>
      </w:r>
      <w:r>
        <w:rPr>
          <w:rFonts w:ascii="SimSun" w:hAnsi="SimSun" w:eastAsia="SimSun" w:cs="SimSun"/>
          <w:sz w:val="21"/>
          <w:szCs w:val="21"/>
          <w:spacing w:val="-1"/>
        </w:rPr>
        <w:t>准进行一致性比较，评价组织安全措施的适宜性、充分性和有效性。</w:t>
      </w:r>
    </w:p>
    <w:p>
      <w:pPr>
        <w:ind w:left="449"/>
        <w:spacing w:before="84" w:line="219" w:lineRule="auto"/>
        <w:rPr>
          <w:rFonts w:ascii="SimSun" w:hAnsi="SimSun" w:eastAsia="SimSun" w:cs="SimSun"/>
          <w:sz w:val="21"/>
          <w:szCs w:val="21"/>
        </w:rPr>
      </w:pPr>
      <w:r>
        <w:rPr>
          <w:rFonts w:ascii="SimSun" w:hAnsi="SimSun" w:eastAsia="SimSun" w:cs="SimSun"/>
          <w:sz w:val="21"/>
          <w:szCs w:val="21"/>
          <w:spacing w:val="1"/>
        </w:rPr>
        <w:t>安全审计是一个专门的审计项目，组织可根据自身的需求不定期开展。安全审</w:t>
      </w:r>
    </w:p>
    <w:p>
      <w:pPr>
        <w:spacing w:line="219" w:lineRule="auto"/>
        <w:sectPr>
          <w:footerReference w:type="default" r:id="rId540"/>
          <w:pgSz w:w="8870" w:h="13400"/>
          <w:pgMar w:top="400" w:right="607" w:bottom="517" w:left="440" w:header="0" w:footer="308" w:gutter="0"/>
        </w:sectPr>
        <w:rPr>
          <w:rFonts w:ascii="SimSun" w:hAnsi="SimSun" w:eastAsia="SimSun" w:cs="SimSun"/>
          <w:sz w:val="21"/>
          <w:szCs w:val="21"/>
        </w:rPr>
      </w:pPr>
    </w:p>
    <w:p>
      <w:pPr>
        <w:ind w:left="130"/>
        <w:spacing w:before="239"/>
        <w:rPr>
          <w:rFonts w:ascii="SimSun" w:hAnsi="SimSun" w:eastAsia="SimSun" w:cs="SimSun"/>
          <w:sz w:val="21"/>
          <w:szCs w:val="21"/>
        </w:rPr>
      </w:pPr>
      <w:r>
        <w:rPr>
          <w:rFonts w:ascii="SimSun" w:hAnsi="SimSun" w:eastAsia="SimSun" w:cs="SimSun"/>
          <w:sz w:val="21"/>
          <w:szCs w:val="21"/>
          <w:position w:val="-9"/>
        </w:rPr>
        <w:drawing>
          <wp:inline distT="0" distB="0" distL="0" distR="0">
            <wp:extent cx="6308" cy="222255"/>
            <wp:effectExtent l="0" t="0" r="0" b="0"/>
            <wp:docPr id="364" name="IM 364"/>
            <wp:cNvGraphicFramePr/>
            <a:graphic>
              <a:graphicData uri="http://schemas.openxmlformats.org/drawingml/2006/picture">
                <pic:pic>
                  <pic:nvPicPr>
                    <pic:cNvPr id="364" name="IM 364"/>
                    <pic:cNvPicPr/>
                  </pic:nvPicPr>
                  <pic:blipFill>
                    <a:blip r:embed="rId542"/>
                    <a:stretch>
                      <a:fillRect/>
                    </a:stretch>
                  </pic:blipFill>
                  <pic:spPr>
                    <a:xfrm rot="0">
                      <a:off x="0" y="0"/>
                      <a:ext cx="6308" cy="222255"/>
                    </a:xfrm>
                    <a:prstGeom prst="rect">
                      <a:avLst/>
                    </a:prstGeom>
                  </pic:spPr>
                </pic:pic>
              </a:graphicData>
            </a:graphic>
          </wp:inline>
        </w:drawing>
      </w:r>
      <w:r>
        <w:rPr>
          <w:rFonts w:ascii="SimSun" w:hAnsi="SimSun" w:eastAsia="SimSun" w:cs="SimSun"/>
          <w:sz w:val="21"/>
          <w:szCs w:val="21"/>
          <w:spacing w:val="-22"/>
        </w:rPr>
        <w:t xml:space="preserve"> </w:t>
      </w:r>
      <w:r>
        <w:rPr>
          <w:rFonts w:ascii="SimSun" w:hAnsi="SimSun" w:eastAsia="SimSun" w:cs="SimSun"/>
          <w:sz w:val="21"/>
          <w:szCs w:val="21"/>
          <w:b/>
          <w:bCs/>
          <w:spacing w:val="-6"/>
        </w:rPr>
        <w:t>■云端数据治理</w:t>
      </w:r>
    </w:p>
    <w:p>
      <w:pPr>
        <w:ind w:left="290"/>
        <w:spacing w:before="298" w:line="219" w:lineRule="auto"/>
        <w:rPr>
          <w:rFonts w:ascii="SimSun" w:hAnsi="SimSun" w:eastAsia="SimSun" w:cs="SimSun"/>
          <w:sz w:val="21"/>
          <w:szCs w:val="21"/>
        </w:rPr>
      </w:pPr>
      <w:r>
        <w:rPr>
          <w:rFonts w:ascii="SimSun" w:hAnsi="SimSun" w:eastAsia="SimSun" w:cs="SimSun"/>
          <w:sz w:val="21"/>
          <w:szCs w:val="21"/>
          <w:spacing w:val="-7"/>
        </w:rPr>
        <w:t>计的内容可包括：</w:t>
      </w:r>
    </w:p>
    <w:p>
      <w:pPr>
        <w:ind w:left="959" w:right="66" w:hanging="280"/>
        <w:spacing w:before="80" w:line="246" w:lineRule="auto"/>
        <w:rPr>
          <w:rFonts w:ascii="SimSun" w:hAnsi="SimSun" w:eastAsia="SimSun" w:cs="SimSun"/>
          <w:sz w:val="21"/>
          <w:szCs w:val="21"/>
        </w:rPr>
      </w:pPr>
      <w:r>
        <w:rPr>
          <w:rFonts w:ascii="SimSun" w:hAnsi="SimSun" w:eastAsia="SimSun" w:cs="SimSun"/>
          <w:sz w:val="21"/>
          <w:szCs w:val="21"/>
          <w:spacing w:val="2"/>
        </w:rPr>
        <w:t>●访问权限审计——身份认证和访问行为、数据访问权限、特权用户行为、敏</w:t>
      </w:r>
      <w:r>
        <w:rPr>
          <w:rFonts w:ascii="SimSun" w:hAnsi="SimSun" w:eastAsia="SimSun" w:cs="SimSun"/>
          <w:sz w:val="21"/>
          <w:szCs w:val="21"/>
        </w:rPr>
        <w:t xml:space="preserve"> </w:t>
      </w:r>
      <w:r>
        <w:rPr>
          <w:rFonts w:ascii="SimSun" w:hAnsi="SimSun" w:eastAsia="SimSun" w:cs="SimSun"/>
          <w:sz w:val="21"/>
          <w:szCs w:val="21"/>
          <w:spacing w:val="-5"/>
        </w:rPr>
        <w:t>感数据访问、密码标准等；</w:t>
      </w:r>
    </w:p>
    <w:p>
      <w:pPr>
        <w:ind w:left="679"/>
        <w:spacing w:before="71" w:line="219" w:lineRule="auto"/>
        <w:rPr>
          <w:rFonts w:ascii="SimSun" w:hAnsi="SimSun" w:eastAsia="SimSun" w:cs="SimSun"/>
          <w:sz w:val="21"/>
          <w:szCs w:val="21"/>
        </w:rPr>
      </w:pPr>
      <w:r>
        <w:rPr>
          <w:rFonts w:ascii="SimSun" w:hAnsi="SimSun" w:eastAsia="SimSun" w:cs="SimSun"/>
          <w:sz w:val="21"/>
          <w:szCs w:val="21"/>
          <w:spacing w:val="1"/>
        </w:rPr>
        <w:t>●变更控制审计——关键的数据库结构和数据值的变更是否授权等；</w:t>
      </w:r>
    </w:p>
    <w:p>
      <w:pPr>
        <w:ind w:left="979" w:right="66" w:hanging="300"/>
        <w:spacing w:before="58" w:line="251" w:lineRule="auto"/>
        <w:rPr>
          <w:rFonts w:ascii="SimSun" w:hAnsi="SimSun" w:eastAsia="SimSun" w:cs="SimSun"/>
          <w:sz w:val="21"/>
          <w:szCs w:val="21"/>
        </w:rPr>
      </w:pPr>
      <w:r>
        <w:rPr>
          <w:rFonts w:ascii="SimSun" w:hAnsi="SimSun" w:eastAsia="SimSun" w:cs="SimSun"/>
          <w:sz w:val="21"/>
          <w:szCs w:val="21"/>
          <w:spacing w:val="2"/>
        </w:rPr>
        <w:t>●数据安全审计——评估现有标准和规程与业务要求和技术要求是否一致、检</w:t>
      </w:r>
      <w:r>
        <w:rPr>
          <w:rFonts w:ascii="SimSun" w:hAnsi="SimSun" w:eastAsia="SimSun" w:cs="SimSun"/>
          <w:sz w:val="21"/>
          <w:szCs w:val="21"/>
        </w:rPr>
        <w:t xml:space="preserve"> </w:t>
      </w:r>
      <w:r>
        <w:rPr>
          <w:rFonts w:ascii="SimSun" w:hAnsi="SimSun" w:eastAsia="SimSun" w:cs="SimSun"/>
          <w:sz w:val="21"/>
          <w:szCs w:val="21"/>
          <w:spacing w:val="-2"/>
        </w:rPr>
        <w:t>查安全审计数据的可靠性和准确性、外包项目数据安全等。</w:t>
      </w:r>
    </w:p>
    <w:p>
      <w:pPr>
        <w:pStyle w:val="BodyText"/>
        <w:spacing w:line="366" w:lineRule="auto"/>
        <w:rPr/>
      </w:pPr>
      <w:r/>
    </w:p>
    <w:p>
      <w:pPr>
        <w:ind w:left="294"/>
        <w:spacing w:before="111" w:line="222" w:lineRule="auto"/>
        <w:outlineLvl w:val="6"/>
        <w:rPr>
          <w:rFonts w:ascii="SimHei" w:hAnsi="SimHei" w:eastAsia="SimHei" w:cs="SimHei"/>
          <w:sz w:val="34"/>
          <w:szCs w:val="34"/>
        </w:rPr>
      </w:pPr>
      <w:r>
        <w:rPr>
          <w:rFonts w:ascii="SimHei" w:hAnsi="SimHei" w:eastAsia="SimHei" w:cs="SimHei"/>
          <w:sz w:val="34"/>
          <w:szCs w:val="34"/>
          <w:b/>
          <w:bCs/>
          <w:spacing w:val="-10"/>
        </w:rPr>
        <w:t>11.4</w:t>
      </w:r>
      <w:r>
        <w:rPr>
          <w:rFonts w:ascii="SimHei" w:hAnsi="SimHei" w:eastAsia="SimHei" w:cs="SimHei"/>
          <w:sz w:val="34"/>
          <w:szCs w:val="34"/>
          <w:spacing w:val="-10"/>
        </w:rPr>
        <w:t xml:space="preserve">  </w:t>
      </w:r>
      <w:r>
        <w:rPr>
          <w:rFonts w:ascii="SimHei" w:hAnsi="SimHei" w:eastAsia="SimHei" w:cs="SimHei"/>
          <w:sz w:val="34"/>
          <w:szCs w:val="34"/>
          <w:b/>
          <w:bCs/>
          <w:spacing w:val="-10"/>
        </w:rPr>
        <w:t>改进和优化</w:t>
      </w:r>
    </w:p>
    <w:p>
      <w:pPr>
        <w:pStyle w:val="BodyText"/>
        <w:spacing w:line="248" w:lineRule="auto"/>
        <w:rPr/>
      </w:pPr>
      <w:r/>
    </w:p>
    <w:p>
      <w:pPr>
        <w:ind w:left="294"/>
        <w:spacing w:before="95" w:line="218" w:lineRule="auto"/>
        <w:outlineLvl w:val="6"/>
        <w:rPr>
          <w:rFonts w:ascii="YouYuan" w:hAnsi="YouYuan" w:eastAsia="YouYuan" w:cs="YouYuan"/>
          <w:sz w:val="29"/>
          <w:szCs w:val="29"/>
        </w:rPr>
      </w:pPr>
      <w:r>
        <w:rPr>
          <w:rFonts w:ascii="YouYuan" w:hAnsi="YouYuan" w:eastAsia="YouYuan" w:cs="YouYuan"/>
          <w:sz w:val="29"/>
          <w:szCs w:val="29"/>
          <w:b/>
          <w:bCs/>
          <w:spacing w:val="-7"/>
        </w:rPr>
        <w:t>11.4.1</w:t>
      </w:r>
      <w:r>
        <w:rPr>
          <w:rFonts w:ascii="YouYuan" w:hAnsi="YouYuan" w:eastAsia="YouYuan" w:cs="YouYuan"/>
          <w:sz w:val="29"/>
          <w:szCs w:val="29"/>
          <w:spacing w:val="127"/>
        </w:rPr>
        <w:t xml:space="preserve"> </w:t>
      </w:r>
      <w:r>
        <w:rPr>
          <w:rFonts w:ascii="YouYuan" w:hAnsi="YouYuan" w:eastAsia="YouYuan" w:cs="YouYuan"/>
          <w:sz w:val="29"/>
          <w:szCs w:val="29"/>
          <w:b/>
          <w:bCs/>
          <w:spacing w:val="-7"/>
        </w:rPr>
        <w:t>制订改进计划</w:t>
      </w:r>
    </w:p>
    <w:p>
      <w:pPr>
        <w:pStyle w:val="BodyText"/>
        <w:spacing w:line="293" w:lineRule="auto"/>
        <w:rPr/>
      </w:pPr>
      <w:r/>
    </w:p>
    <w:p>
      <w:pPr>
        <w:ind w:left="290" w:right="45" w:firstLine="389"/>
        <w:spacing w:before="69" w:line="249" w:lineRule="auto"/>
        <w:jc w:val="both"/>
        <w:rPr>
          <w:rFonts w:ascii="SimSun" w:hAnsi="SimSun" w:eastAsia="SimSun" w:cs="SimSun"/>
          <w:sz w:val="21"/>
          <w:szCs w:val="21"/>
        </w:rPr>
      </w:pPr>
      <w:r>
        <w:rPr>
          <w:rFonts w:ascii="SimSun" w:hAnsi="SimSun" w:eastAsia="SimSun" w:cs="SimSun"/>
          <w:sz w:val="21"/>
          <w:szCs w:val="21"/>
          <w:spacing w:val="2"/>
        </w:rPr>
        <w:t>持续改进是为了不断提升组织云端数据治理能力，并致力于实现云端数据</w:t>
      </w:r>
      <w:r>
        <w:rPr>
          <w:rFonts w:ascii="SimSun" w:hAnsi="SimSun" w:eastAsia="SimSun" w:cs="SimSun"/>
          <w:sz w:val="21"/>
          <w:szCs w:val="21"/>
          <w:spacing w:val="1"/>
        </w:rPr>
        <w:t>治理</w:t>
      </w:r>
      <w:r>
        <w:rPr>
          <w:rFonts w:ascii="SimSun" w:hAnsi="SimSun" w:eastAsia="SimSun" w:cs="SimSun"/>
          <w:sz w:val="21"/>
          <w:szCs w:val="21"/>
        </w:rPr>
        <w:t xml:space="preserve"> </w:t>
      </w:r>
      <w:r>
        <w:rPr>
          <w:rFonts w:ascii="SimSun" w:hAnsi="SimSun" w:eastAsia="SimSun" w:cs="SimSun"/>
          <w:sz w:val="21"/>
          <w:szCs w:val="21"/>
          <w:spacing w:val="2"/>
        </w:rPr>
        <w:t>体系战略和目标所采取的循环活动。组织可制订云</w:t>
      </w:r>
      <w:r>
        <w:rPr>
          <w:rFonts w:ascii="SimSun" w:hAnsi="SimSun" w:eastAsia="SimSun" w:cs="SimSun"/>
          <w:sz w:val="21"/>
          <w:szCs w:val="21"/>
          <w:spacing w:val="1"/>
        </w:rPr>
        <w:t>端治理体系的改进计划，实施对</w:t>
      </w:r>
      <w:r>
        <w:rPr>
          <w:rFonts w:ascii="SimSun" w:hAnsi="SimSun" w:eastAsia="SimSun" w:cs="SimSun"/>
          <w:sz w:val="21"/>
          <w:szCs w:val="21"/>
        </w:rPr>
        <w:t xml:space="preserve"> </w:t>
      </w:r>
      <w:r>
        <w:rPr>
          <w:rFonts w:ascii="SimSun" w:hAnsi="SimSun" w:eastAsia="SimSun" w:cs="SimSun"/>
          <w:sz w:val="21"/>
          <w:szCs w:val="21"/>
          <w:spacing w:val="-3"/>
        </w:rPr>
        <w:t>体系的改进和优化。改进计划参考模板如下：</w:t>
      </w:r>
    </w:p>
    <w:p>
      <w:pPr>
        <w:spacing w:line="139" w:lineRule="exact"/>
        <w:rPr/>
      </w:pPr>
      <w:r/>
    </w:p>
    <w:tbl>
      <w:tblPr>
        <w:tblStyle w:val="TableNormal"/>
        <w:tblW w:w="7650" w:type="dxa"/>
        <w:tblInd w:w="299"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6169" w:hRule="atLeast"/>
        </w:trPr>
        <w:tc>
          <w:tcPr>
            <w:tcW w:w="7650" w:type="dxa"/>
            <w:vAlign w:val="top"/>
          </w:tcPr>
          <w:p>
            <w:pPr>
              <w:pStyle w:val="TableText"/>
              <w:ind w:left="2944"/>
              <w:spacing w:before="81" w:line="219" w:lineRule="auto"/>
              <w:rPr/>
            </w:pPr>
            <w:r>
              <w:rPr/>
              <w:t>云端数据治理体系改进计划</w:t>
            </w:r>
          </w:p>
          <w:p>
            <w:pPr>
              <w:pStyle w:val="TableText"/>
              <w:ind w:left="245"/>
              <w:spacing w:before="102" w:line="219" w:lineRule="auto"/>
              <w:rPr/>
            </w:pPr>
            <w:r>
              <w:rPr>
                <w:spacing w:val="-2"/>
              </w:rPr>
              <w:t>1  改进的背景和总体目标</w:t>
            </w:r>
          </w:p>
          <w:p>
            <w:pPr>
              <w:pStyle w:val="TableText"/>
              <w:ind w:left="275"/>
              <w:spacing w:before="90" w:line="218" w:lineRule="auto"/>
              <w:rPr/>
            </w:pPr>
            <w:r>
              <w:rPr/>
              <w:t>云端数据治理已经在试点评估项目中得到成功实施，提高了公司的云端数据治理能力</w:t>
            </w:r>
            <w:r>
              <w:rPr>
                <w:spacing w:val="-1"/>
              </w:rPr>
              <w:t>。基于自身能力提高的需</w:t>
            </w:r>
          </w:p>
          <w:p>
            <w:pPr>
              <w:pStyle w:val="TableText"/>
              <w:ind w:left="115" w:right="51" w:firstLine="130"/>
              <w:spacing w:before="113" w:line="276" w:lineRule="auto"/>
              <w:rPr/>
            </w:pPr>
            <w:r>
              <w:rPr/>
              <w:t>要和公司长期云端数据治理战略，公司计划在原有试点项目的基础上扩大云端数据的治理范围</w:t>
            </w:r>
            <w:r>
              <w:rPr>
                <w:spacing w:val="-1"/>
              </w:rPr>
              <w:t>，提高公司云端数</w:t>
            </w:r>
            <w:r>
              <w:rPr/>
              <w:t xml:space="preserve"> </w:t>
            </w:r>
            <w:r>
              <w:rPr/>
              <w:t>据治理效率，保证其他系统治理项目能够有序进行。过程改进范围涉及公司五大部门，计划周</w:t>
            </w:r>
            <w:r>
              <w:rPr>
                <w:spacing w:val="-1"/>
              </w:rPr>
              <w:t>期为12个月。</w:t>
            </w:r>
          </w:p>
          <w:p>
            <w:pPr>
              <w:pStyle w:val="TableText"/>
              <w:ind w:left="245"/>
              <w:spacing w:before="102" w:line="220" w:lineRule="auto"/>
              <w:rPr/>
            </w:pPr>
            <w:r>
              <w:rPr>
                <w:spacing w:val="-7"/>
              </w:rPr>
              <w:t>2</w:t>
            </w:r>
            <w:r>
              <w:rPr>
                <w:spacing w:val="-19"/>
              </w:rPr>
              <w:t xml:space="preserve"> </w:t>
            </w:r>
            <w:r>
              <w:rPr>
                <w:spacing w:val="-7"/>
              </w:rPr>
              <w:t>工</w:t>
            </w:r>
            <w:r>
              <w:rPr>
                <w:spacing w:val="-22"/>
              </w:rPr>
              <w:t xml:space="preserve"> </w:t>
            </w:r>
            <w:r>
              <w:rPr>
                <w:spacing w:val="-7"/>
              </w:rPr>
              <w:t>作</w:t>
            </w:r>
            <w:r>
              <w:rPr>
                <w:spacing w:val="-19"/>
              </w:rPr>
              <w:t xml:space="preserve"> </w:t>
            </w:r>
            <w:r>
              <w:rPr>
                <w:spacing w:val="-7"/>
              </w:rPr>
              <w:t>原</w:t>
            </w:r>
            <w:r>
              <w:rPr>
                <w:spacing w:val="-19"/>
              </w:rPr>
              <w:t xml:space="preserve"> </w:t>
            </w:r>
            <w:r>
              <w:rPr>
                <w:spacing w:val="-7"/>
              </w:rPr>
              <w:t>则</w:t>
            </w:r>
          </w:p>
          <w:p>
            <w:pPr>
              <w:pStyle w:val="TableText"/>
              <w:ind w:left="245"/>
              <w:spacing w:before="111" w:line="219" w:lineRule="auto"/>
              <w:rPr/>
            </w:pPr>
            <w:r>
              <w:rPr>
                <w:spacing w:val="3"/>
              </w:rPr>
              <w:t>1)过程改进的工作要为实现过程改进目标服务；</w:t>
            </w:r>
          </w:p>
          <w:p>
            <w:pPr>
              <w:pStyle w:val="TableText"/>
              <w:ind w:left="245"/>
              <w:spacing w:before="102" w:line="219" w:lineRule="auto"/>
              <w:rPr/>
            </w:pPr>
            <w:r>
              <w:rPr>
                <w:spacing w:val="-1"/>
              </w:rPr>
              <w:t>2)过程改进要能解决公司的实际问题</w:t>
            </w:r>
          </w:p>
          <w:p>
            <w:pPr>
              <w:pStyle w:val="TableText"/>
              <w:ind w:left="245"/>
              <w:spacing w:before="112" w:line="219" w:lineRule="auto"/>
              <w:rPr/>
            </w:pPr>
            <w:r>
              <w:rPr>
                <w:spacing w:val="3"/>
              </w:rPr>
              <w:t>3)改进工作小组首先要自己了解过程改进的意义；</w:t>
            </w:r>
          </w:p>
          <w:p>
            <w:pPr>
              <w:pStyle w:val="TableText"/>
              <w:ind w:left="245"/>
              <w:spacing w:before="91" w:line="219" w:lineRule="auto"/>
              <w:rPr/>
            </w:pPr>
            <w:r>
              <w:rPr>
                <w:spacing w:val="-1"/>
              </w:rPr>
              <w:t>4)过程要简洁、明了，具有可操作性。</w:t>
            </w:r>
          </w:p>
          <w:p>
            <w:pPr>
              <w:pStyle w:val="TableText"/>
              <w:ind w:left="245"/>
              <w:spacing w:before="103" w:line="219" w:lineRule="auto"/>
              <w:rPr/>
            </w:pPr>
            <w:r>
              <w:rPr>
                <w:spacing w:val="-12"/>
              </w:rPr>
              <w:t>3</w:t>
            </w:r>
            <w:r>
              <w:rPr>
                <w:spacing w:val="-19"/>
              </w:rPr>
              <w:t xml:space="preserve"> </w:t>
            </w:r>
            <w:r>
              <w:rPr>
                <w:spacing w:val="-12"/>
              </w:rPr>
              <w:t>改</w:t>
            </w:r>
            <w:r>
              <w:rPr>
                <w:spacing w:val="-26"/>
              </w:rPr>
              <w:t xml:space="preserve"> </w:t>
            </w:r>
            <w:r>
              <w:rPr>
                <w:spacing w:val="-12"/>
              </w:rPr>
              <w:t>进</w:t>
            </w:r>
            <w:r>
              <w:rPr>
                <w:spacing w:val="4"/>
              </w:rPr>
              <w:t xml:space="preserve"> </w:t>
            </w:r>
            <w:r>
              <w:rPr>
                <w:spacing w:val="-12"/>
              </w:rPr>
              <w:t>目</w:t>
            </w:r>
            <w:r>
              <w:rPr>
                <w:spacing w:val="-23"/>
              </w:rPr>
              <w:t xml:space="preserve"> </w:t>
            </w:r>
            <w:r>
              <w:rPr>
                <w:spacing w:val="-12"/>
              </w:rPr>
              <w:t>标</w:t>
            </w:r>
          </w:p>
          <w:p>
            <w:pPr>
              <w:pStyle w:val="TableText"/>
              <w:ind w:left="245"/>
              <w:spacing w:before="101" w:line="219" w:lineRule="auto"/>
              <w:rPr/>
            </w:pPr>
            <w:r>
              <w:rPr/>
              <w:t>通过过程改进项目，在本公司建立符合云端数据治理管理体系要求的云端数据过程框架，并在</w:t>
            </w:r>
            <w:r>
              <w:rPr>
                <w:spacing w:val="-1"/>
              </w:rPr>
              <w:t>本公司所有云端</w:t>
            </w:r>
          </w:p>
          <w:p>
            <w:pPr>
              <w:pStyle w:val="TableText"/>
              <w:ind w:left="125" w:right="52" w:firstLine="120"/>
              <w:spacing w:before="103" w:line="287" w:lineRule="auto"/>
              <w:rPr/>
            </w:pPr>
            <w:r>
              <w:rPr/>
              <w:t>数据治理项目中应用；能够根据组织建立的云端数据治理战略，对过程进行不断完善和改进</w:t>
            </w:r>
            <w:r>
              <w:rPr>
                <w:spacing w:val="-1"/>
              </w:rPr>
              <w:t>；最终目的是规范化</w:t>
            </w:r>
            <w:r>
              <w:rPr/>
              <w:t xml:space="preserve"> </w:t>
            </w:r>
            <w:r>
              <w:rPr>
                <w:spacing w:val="-1"/>
              </w:rPr>
              <w:t>本公司云端数据治理过程，从而提高开发效率。</w:t>
            </w:r>
          </w:p>
          <w:p>
            <w:pPr>
              <w:pStyle w:val="TableText"/>
              <w:ind w:left="245"/>
              <w:spacing w:before="94" w:line="219" w:lineRule="auto"/>
              <w:rPr/>
            </w:pPr>
            <w:r>
              <w:rPr>
                <w:spacing w:val="-1"/>
              </w:rPr>
              <w:t>包括以下内容：</w:t>
            </w:r>
          </w:p>
          <w:p>
            <w:pPr>
              <w:pStyle w:val="TableText"/>
              <w:ind w:left="245"/>
              <w:spacing w:before="112" w:line="219" w:lineRule="auto"/>
              <w:rPr/>
            </w:pPr>
            <w:r>
              <w:rPr>
                <w:spacing w:val="1"/>
              </w:rPr>
              <w:t>1)差距分析与项目启动阶段(2个月)</w:t>
            </w:r>
          </w:p>
          <w:p>
            <w:pPr>
              <w:pStyle w:val="TableText"/>
              <w:ind w:left="245"/>
              <w:spacing w:before="101" w:line="219" w:lineRule="auto"/>
              <w:rPr/>
            </w:pPr>
            <w:r>
              <w:rPr/>
              <w:t>主要内容：组建工作组、差距分析访谈、项目启</w:t>
            </w:r>
            <w:r>
              <w:rPr>
                <w:spacing w:val="-1"/>
              </w:rPr>
              <w:t>动会议召开。</w:t>
            </w:r>
          </w:p>
          <w:p>
            <w:pPr>
              <w:pStyle w:val="TableText"/>
              <w:ind w:left="245"/>
              <w:spacing w:before="103" w:line="219" w:lineRule="auto"/>
              <w:rPr/>
            </w:pPr>
            <w:r>
              <w:rPr>
                <w:spacing w:val="2"/>
              </w:rPr>
              <w:t>2)改进策划阶段(4个月)</w:t>
            </w:r>
          </w:p>
          <w:p>
            <w:pPr>
              <w:pStyle w:val="TableText"/>
              <w:ind w:left="245"/>
              <w:spacing w:before="102" w:line="219" w:lineRule="auto"/>
              <w:rPr/>
            </w:pPr>
            <w:r>
              <w:rPr>
                <w:spacing w:val="-1"/>
              </w:rPr>
              <w:t>主要内容：体系培训、制订项目实施计划。</w:t>
            </w:r>
          </w:p>
          <w:p>
            <w:pPr>
              <w:pStyle w:val="TableText"/>
              <w:ind w:left="245"/>
              <w:spacing w:before="102" w:line="219" w:lineRule="auto"/>
              <w:rPr/>
            </w:pPr>
            <w:r>
              <w:rPr>
                <w:spacing w:val="24"/>
              </w:rPr>
              <w:t>3)试点阶段(4月)</w:t>
            </w:r>
          </w:p>
          <w:p>
            <w:pPr>
              <w:pStyle w:val="TableText"/>
              <w:ind w:left="95" w:right="172" w:firstLine="179"/>
              <w:spacing w:before="101" w:line="276" w:lineRule="auto"/>
              <w:rPr/>
            </w:pPr>
            <w:r>
              <w:rPr/>
              <w:t>主要内容：云端数据治理试运行项目过程管理、文件制度化并正式发布、体系文件推广与</w:t>
            </w:r>
            <w:r>
              <w:rPr>
                <w:spacing w:val="-1"/>
              </w:rPr>
              <w:t>内部培训、运行数据</w:t>
            </w:r>
            <w:r>
              <w:rPr/>
              <w:t xml:space="preserve"> </w:t>
            </w:r>
            <w:r>
              <w:rPr>
                <w:spacing w:val="-2"/>
              </w:rPr>
              <w:t>收集。</w:t>
            </w:r>
          </w:p>
        </w:tc>
      </w:tr>
    </w:tbl>
    <w:p>
      <w:pPr>
        <w:pStyle w:val="BodyText"/>
        <w:rPr/>
      </w:pPr>
      <w:r/>
    </w:p>
    <w:p>
      <w:pPr>
        <w:sectPr>
          <w:footerReference w:type="default" r:id="rId541"/>
          <w:pgSz w:w="8870" w:h="13400"/>
          <w:pgMar w:top="400" w:right="495" w:bottom="437" w:left="419" w:header="0" w:footer="228" w:gutter="0"/>
        </w:sectPr>
        <w:rPr/>
      </w:pPr>
    </w:p>
    <w:p>
      <w:pPr>
        <w:ind w:left="4588"/>
        <w:spacing w:before="184" w:line="219" w:lineRule="auto"/>
        <w:rPr>
          <w:rFonts w:ascii="SimSun" w:hAnsi="SimSun" w:eastAsia="SimSun" w:cs="SimSun"/>
          <w:sz w:val="22"/>
          <w:szCs w:val="22"/>
        </w:rPr>
      </w:pPr>
      <w:r>
        <w:rPr>
          <w:rFonts w:ascii="SimSun" w:hAnsi="SimSun" w:eastAsia="SimSun" w:cs="SimSun"/>
          <w:sz w:val="22"/>
          <w:szCs w:val="22"/>
          <w:b/>
          <w:bCs/>
          <w:spacing w:val="-2"/>
        </w:rPr>
        <w:t>第11章■云端数据治理体系实施</w:t>
      </w:r>
    </w:p>
    <w:p>
      <w:pPr>
        <w:pStyle w:val="BodyText"/>
        <w:spacing w:line="315" w:lineRule="auto"/>
        <w:rPr/>
      </w:pPr>
      <w:r/>
    </w:p>
    <w:p>
      <w:pPr>
        <w:ind w:left="6914"/>
        <w:spacing w:before="55" w:line="214" w:lineRule="auto"/>
        <w:rPr>
          <w:rFonts w:ascii="SimSun" w:hAnsi="SimSun" w:eastAsia="SimSun" w:cs="SimSun"/>
          <w:sz w:val="17"/>
          <w:szCs w:val="17"/>
        </w:rPr>
      </w:pPr>
      <w:r>
        <w:rPr>
          <w:rFonts w:ascii="SimSun" w:hAnsi="SimSun" w:eastAsia="SimSun" w:cs="SimSun"/>
          <w:sz w:val="17"/>
          <w:szCs w:val="17"/>
          <w:spacing w:val="-3"/>
        </w:rPr>
        <w:t>续表</w:t>
      </w:r>
    </w:p>
    <w:tbl>
      <w:tblPr>
        <w:tblStyle w:val="TableNormal"/>
        <w:tblW w:w="7650" w:type="dxa"/>
        <w:tblInd w:w="5" w:type="dxa"/>
        <w:tblLayout w:type="fixed"/>
        <w:tblBorders>
          <w:left w:val="single" w:color="000000" w:sz="4" w:space="0"/>
          <w:bottom w:val="single" w:color="000000" w:sz="4" w:space="0"/>
          <w:right w:val="single" w:color="000000" w:sz="4" w:space="0"/>
          <w:top w:val="single" w:color="000000" w:sz="4" w:space="0"/>
        </w:tblBorders>
      </w:tblPr>
      <w:tblGrid>
        <w:gridCol w:w="7650"/>
      </w:tblGrid>
      <w:tr>
        <w:trPr>
          <w:trHeight w:val="10679" w:hRule="atLeast"/>
        </w:trPr>
        <w:tc>
          <w:tcPr>
            <w:tcW w:w="7650" w:type="dxa"/>
            <w:vAlign w:val="top"/>
          </w:tcPr>
          <w:p>
            <w:pPr>
              <w:pStyle w:val="TableText"/>
              <w:ind w:left="285"/>
              <w:spacing w:before="79" w:line="218" w:lineRule="auto"/>
              <w:rPr/>
            </w:pPr>
            <w:r>
              <w:rPr>
                <w:spacing w:val="2"/>
              </w:rPr>
              <w:t>4)评估阶段(2个月)</w:t>
            </w:r>
          </w:p>
          <w:p>
            <w:pPr>
              <w:pStyle w:val="TableText"/>
              <w:ind w:left="285"/>
              <w:spacing w:before="114" w:line="269" w:lineRule="exact"/>
              <w:rPr/>
            </w:pPr>
            <w:r>
              <w:rPr>
                <w:spacing w:val="-1"/>
                <w:position w:val="9"/>
              </w:rPr>
              <w:t>主要内容：试点项目过程数据整理、总结。</w:t>
            </w:r>
          </w:p>
          <w:p>
            <w:pPr>
              <w:pStyle w:val="TableText"/>
              <w:ind w:left="285"/>
              <w:spacing w:line="218" w:lineRule="auto"/>
              <w:rPr/>
            </w:pPr>
            <w:r>
              <w:rPr>
                <w:spacing w:val="-1"/>
              </w:rPr>
              <w:t>4改进机构与职责</w:t>
            </w:r>
          </w:p>
          <w:p>
            <w:pPr>
              <w:pStyle w:val="TableText"/>
              <w:ind w:left="285"/>
              <w:spacing w:before="101" w:line="219" w:lineRule="auto"/>
              <w:rPr/>
            </w:pPr>
            <w:r>
              <w:rPr>
                <w:spacing w:val="-1"/>
              </w:rPr>
              <w:t>本次过程改进的项目组的组织架构如下。</w:t>
            </w:r>
          </w:p>
          <w:p>
            <w:pPr>
              <w:spacing w:line="271" w:lineRule="auto"/>
              <w:rPr>
                <w:rFonts w:ascii="Arial"/>
                <w:sz w:val="21"/>
              </w:rPr>
            </w:pPr>
            <w:r/>
          </w:p>
          <w:p>
            <w:pPr>
              <w:pStyle w:val="TableText"/>
              <w:ind w:left="3294"/>
              <w:spacing w:before="50" w:line="219" w:lineRule="auto"/>
              <w:rPr/>
            </w:pPr>
            <w:r>
              <w:drawing>
                <wp:anchor distT="0" distB="0" distL="0" distR="0" simplePos="0" relativeHeight="259010560" behindDoc="1" locked="0" layoutInCell="1" allowOverlap="1">
                  <wp:simplePos x="0" y="0"/>
                  <wp:positionH relativeFrom="column">
                    <wp:posOffset>974730</wp:posOffset>
                  </wp:positionH>
                  <wp:positionV relativeFrom="paragraph">
                    <wp:posOffset>-111871</wp:posOffset>
                  </wp:positionV>
                  <wp:extent cx="2908315" cy="1409685"/>
                  <wp:effectExtent l="0" t="0" r="0" b="0"/>
                  <wp:wrapNone/>
                  <wp:docPr id="366" name="IM 366"/>
                  <wp:cNvGraphicFramePr/>
                  <a:graphic>
                    <a:graphicData uri="http://schemas.openxmlformats.org/drawingml/2006/picture">
                      <pic:pic>
                        <pic:nvPicPr>
                          <pic:cNvPr id="366" name="IM 366"/>
                          <pic:cNvPicPr/>
                        </pic:nvPicPr>
                        <pic:blipFill>
                          <a:blip r:embed="rId544"/>
                          <a:stretch>
                            <a:fillRect/>
                          </a:stretch>
                        </pic:blipFill>
                        <pic:spPr>
                          <a:xfrm rot="0">
                            <a:off x="0" y="0"/>
                            <a:ext cx="2908315" cy="1409685"/>
                          </a:xfrm>
                          <a:prstGeom prst="rect">
                            <a:avLst/>
                          </a:prstGeom>
                        </pic:spPr>
                      </pic:pic>
                    </a:graphicData>
                  </a:graphic>
                </wp:anchor>
              </w:drawing>
            </w:r>
            <w:r>
              <w:rPr>
                <w:spacing w:val="-2"/>
              </w:rPr>
              <w:t>项目指导委员会</w:t>
            </w:r>
          </w:p>
          <w:p>
            <w:pPr>
              <w:spacing w:line="310" w:lineRule="auto"/>
              <w:rPr>
                <w:rFonts w:ascii="Arial"/>
                <w:sz w:val="21"/>
              </w:rPr>
            </w:pPr>
            <w:r/>
          </w:p>
          <w:p>
            <w:pPr>
              <w:spacing w:line="310" w:lineRule="auto"/>
              <w:rPr>
                <w:rFonts w:ascii="Arial"/>
                <w:sz w:val="21"/>
              </w:rPr>
            </w:pPr>
            <w:r/>
          </w:p>
          <w:p>
            <w:pPr>
              <w:pStyle w:val="TableText"/>
              <w:ind w:left="3305"/>
              <w:spacing w:before="49" w:line="220" w:lineRule="auto"/>
              <w:rPr/>
            </w:pPr>
            <w:r>
              <w:rPr>
                <w:spacing w:val="1"/>
              </w:rPr>
              <w:t>项目执行负责人</w:t>
            </w:r>
            <w:r>
              <w:rPr>
                <w:spacing w:val="8"/>
              </w:rPr>
              <w:t xml:space="preserve">        </w:t>
            </w:r>
            <w:r>
              <w:rPr>
                <w:spacing w:val="1"/>
              </w:rPr>
              <w:t>质量控制员</w:t>
            </w:r>
          </w:p>
          <w:p>
            <w:pPr>
              <w:spacing w:line="294" w:lineRule="auto"/>
              <w:rPr>
                <w:rFonts w:ascii="Arial"/>
                <w:sz w:val="21"/>
              </w:rPr>
            </w:pPr>
            <w:r/>
          </w:p>
          <w:p>
            <w:pPr>
              <w:spacing w:line="295" w:lineRule="auto"/>
              <w:rPr>
                <w:rFonts w:ascii="Arial"/>
                <w:sz w:val="21"/>
              </w:rPr>
            </w:pPr>
            <w:r/>
          </w:p>
          <w:p>
            <w:pPr>
              <w:pStyle w:val="TableText"/>
              <w:ind w:left="1995"/>
              <w:spacing w:before="49" w:line="232" w:lineRule="auto"/>
              <w:rPr/>
            </w:pPr>
            <w:r>
              <w:rPr>
                <w:spacing w:val="-2"/>
              </w:rPr>
              <w:t>工作组1</w:t>
            </w:r>
            <w:r>
              <w:rPr/>
              <w:t xml:space="preserve">              </w:t>
            </w:r>
            <w:r>
              <w:rPr>
                <w:spacing w:val="-2"/>
              </w:rPr>
              <w:t>工作组2</w:t>
            </w:r>
            <w:r>
              <w:rPr>
                <w:spacing w:val="2"/>
              </w:rPr>
              <w:t xml:space="preserve">              </w:t>
            </w:r>
            <w:r>
              <w:rPr>
                <w:spacing w:val="-2"/>
              </w:rPr>
              <w:t>工作组3</w:t>
            </w:r>
          </w:p>
          <w:p>
            <w:pPr>
              <w:pStyle w:val="TableText"/>
              <w:ind w:left="285"/>
              <w:spacing w:before="181" w:line="270" w:lineRule="exact"/>
              <w:rPr/>
            </w:pPr>
            <w:r>
              <w:rPr>
                <w:spacing w:val="-1"/>
                <w:position w:val="9"/>
              </w:rPr>
              <w:t>各部分的职责如下：</w:t>
            </w:r>
          </w:p>
          <w:p>
            <w:pPr>
              <w:pStyle w:val="TableText"/>
              <w:ind w:left="285"/>
              <w:spacing w:line="218" w:lineRule="auto"/>
              <w:rPr/>
            </w:pPr>
            <w:r>
              <w:rPr>
                <w:spacing w:val="-1"/>
              </w:rPr>
              <w:t>项目指导委员会：</w:t>
            </w:r>
          </w:p>
          <w:p>
            <w:pPr>
              <w:pStyle w:val="TableText"/>
              <w:ind w:left="285"/>
              <w:spacing w:before="113" w:line="280" w:lineRule="exact"/>
              <w:rPr/>
            </w:pPr>
            <w:r>
              <w:rPr>
                <w:spacing w:val="4"/>
                <w:position w:val="10"/>
              </w:rPr>
              <w:t>1)从最上层开始推动过程改进活动；</w:t>
            </w:r>
          </w:p>
          <w:p>
            <w:pPr>
              <w:pStyle w:val="TableText"/>
              <w:ind w:left="285"/>
              <w:spacing w:line="219" w:lineRule="auto"/>
              <w:rPr/>
            </w:pPr>
            <w:r>
              <w:rPr>
                <w:spacing w:val="-1"/>
              </w:rPr>
              <w:t>2)支持过程改进：</w:t>
            </w:r>
          </w:p>
          <w:p>
            <w:pPr>
              <w:pStyle w:val="TableText"/>
              <w:ind w:left="425"/>
              <w:spacing w:before="101" w:line="219" w:lineRule="auto"/>
              <w:rPr/>
            </w:pPr>
            <w:r>
              <w:rPr>
                <w:spacing w:val="7"/>
              </w:rPr>
              <w:t>——提供足够的资源；</w:t>
            </w:r>
          </w:p>
          <w:p>
            <w:pPr>
              <w:pStyle w:val="TableText"/>
              <w:ind w:left="425"/>
              <w:spacing w:before="113" w:line="219" w:lineRule="auto"/>
              <w:rPr/>
            </w:pPr>
            <w:r>
              <w:rPr>
                <w:spacing w:val="5"/>
              </w:rPr>
              <w:t>——允许项目计划作适当调整；</w:t>
            </w:r>
          </w:p>
          <w:p>
            <w:pPr>
              <w:pStyle w:val="TableText"/>
              <w:ind w:left="414"/>
              <w:spacing w:before="92" w:line="290" w:lineRule="exact"/>
              <w:rPr/>
            </w:pPr>
            <w:r>
              <w:rPr>
                <w:spacing w:val="3"/>
                <w:position w:val="10"/>
              </w:rPr>
              <w:t>——对过程改进执行较好的工作组给予奖励；</w:t>
            </w:r>
          </w:p>
          <w:p>
            <w:pPr>
              <w:pStyle w:val="TableText"/>
              <w:ind w:left="285"/>
              <w:spacing w:line="219" w:lineRule="auto"/>
              <w:rPr/>
            </w:pPr>
            <w:r>
              <w:rPr>
                <w:spacing w:val="8"/>
              </w:rPr>
              <w:t>3)帮助解决冲突；</w:t>
            </w:r>
          </w:p>
          <w:p>
            <w:pPr>
              <w:pStyle w:val="TableText"/>
              <w:ind w:left="285"/>
              <w:spacing w:before="91" w:line="281" w:lineRule="exact"/>
              <w:rPr/>
            </w:pPr>
            <w:r>
              <w:rPr>
                <w:spacing w:val="-1"/>
                <w:position w:val="10"/>
              </w:rPr>
              <w:t>4)审批过程改进计划、过程评估报告。</w:t>
            </w:r>
          </w:p>
          <w:p>
            <w:pPr>
              <w:pStyle w:val="TableText"/>
              <w:ind w:left="285"/>
              <w:spacing w:line="219" w:lineRule="auto"/>
              <w:rPr/>
            </w:pPr>
            <w:r>
              <w:rPr>
                <w:spacing w:val="-1"/>
              </w:rPr>
              <w:t>项目执行负责人：</w:t>
            </w:r>
          </w:p>
          <w:p>
            <w:pPr>
              <w:pStyle w:val="TableText"/>
              <w:ind w:left="285"/>
              <w:spacing w:before="112" w:line="270" w:lineRule="exact"/>
              <w:rPr/>
            </w:pPr>
            <w:r>
              <w:rPr>
                <w:spacing w:val="3"/>
                <w:position w:val="9"/>
              </w:rPr>
              <w:t>1)制订过程改进计划，并实施过程改进计划；</w:t>
            </w:r>
          </w:p>
          <w:p>
            <w:pPr>
              <w:pStyle w:val="TableText"/>
              <w:ind w:left="285"/>
              <w:spacing w:line="219" w:lineRule="auto"/>
              <w:rPr/>
            </w:pPr>
            <w:r>
              <w:rPr>
                <w:spacing w:val="1"/>
              </w:rPr>
              <w:t>2)组织</w:t>
            </w:r>
            <w:r>
              <w:rPr/>
              <w:t>EPG</w:t>
            </w:r>
            <w:r>
              <w:rPr>
                <w:spacing w:val="1"/>
              </w:rPr>
              <w:t>工作，制订公司标准过程集</w:t>
            </w:r>
            <w:r>
              <w:rPr/>
              <w:t>ZDSSP</w:t>
            </w:r>
            <w:r>
              <w:rPr>
                <w:spacing w:val="1"/>
              </w:rPr>
              <w:t>;</w:t>
            </w:r>
          </w:p>
          <w:p>
            <w:pPr>
              <w:pStyle w:val="TableText"/>
              <w:ind w:left="285"/>
              <w:spacing w:before="101" w:line="218" w:lineRule="auto"/>
              <w:rPr/>
            </w:pPr>
            <w:r>
              <w:rPr>
                <w:spacing w:val="4"/>
              </w:rPr>
              <w:t>3)新过程试用、评估，推动</w:t>
            </w:r>
            <w:r>
              <w:rPr/>
              <w:t>ZDSSP</w:t>
            </w:r>
            <w:r>
              <w:rPr>
                <w:spacing w:val="4"/>
              </w:rPr>
              <w:t>的实施；</w:t>
            </w:r>
          </w:p>
          <w:p>
            <w:pPr>
              <w:pStyle w:val="TableText"/>
              <w:ind w:left="285"/>
              <w:spacing w:before="124" w:line="280" w:lineRule="exact"/>
              <w:rPr/>
            </w:pPr>
            <w:r>
              <w:rPr>
                <w:spacing w:val="5"/>
                <w:position w:val="10"/>
              </w:rPr>
              <w:t>4)为工作组提供培训和支持；</w:t>
            </w:r>
          </w:p>
          <w:p>
            <w:pPr>
              <w:pStyle w:val="TableText"/>
              <w:ind w:left="285"/>
              <w:spacing w:line="219" w:lineRule="auto"/>
              <w:rPr/>
            </w:pPr>
            <w:r>
              <w:rPr>
                <w:spacing w:val="7"/>
              </w:rPr>
              <w:t>5)维护过程数据库；</w:t>
            </w:r>
          </w:p>
          <w:p>
            <w:pPr>
              <w:pStyle w:val="TableText"/>
              <w:ind w:left="285" w:right="1060"/>
              <w:spacing w:before="101" w:line="277" w:lineRule="auto"/>
              <w:rPr/>
            </w:pPr>
            <w:r>
              <w:rPr/>
              <w:t>6)阶段性评估过程改进状态，每月进行工作总结，并向最高管理者、管理者代表</w:t>
            </w:r>
            <w:r>
              <w:rPr>
                <w:spacing w:val="-1"/>
              </w:rPr>
              <w:t>汇报工作进展。</w:t>
            </w:r>
            <w:r>
              <w:rPr/>
              <w:t xml:space="preserve"> </w:t>
            </w:r>
            <w:r>
              <w:rPr>
                <w:spacing w:val="-1"/>
              </w:rPr>
              <w:t>质量控制员：</w:t>
            </w:r>
          </w:p>
          <w:p>
            <w:pPr>
              <w:pStyle w:val="TableText"/>
              <w:ind w:left="285"/>
              <w:spacing w:before="111" w:line="219" w:lineRule="auto"/>
              <w:rPr/>
            </w:pPr>
            <w:r>
              <w:rPr>
                <w:spacing w:val="5"/>
              </w:rPr>
              <w:t>1)编制组织级质量保证计划；</w:t>
            </w:r>
          </w:p>
          <w:p>
            <w:pPr>
              <w:pStyle w:val="TableText"/>
              <w:ind w:left="285" w:right="910"/>
              <w:spacing w:before="92" w:line="288" w:lineRule="auto"/>
              <w:rPr/>
            </w:pPr>
            <w:r>
              <w:rPr/>
              <w:t>2)实施组织级质量保证计划，主要对组织云端数据治理活动、组织培训及相关工作</w:t>
            </w:r>
            <w:r>
              <w:rPr>
                <w:spacing w:val="-1"/>
              </w:rPr>
              <w:t>输出进行检查：</w:t>
            </w:r>
            <w:r>
              <w:rPr/>
              <w:t xml:space="preserve"> </w:t>
            </w:r>
            <w:r>
              <w:rPr>
                <w:spacing w:val="4"/>
              </w:rPr>
              <w:t>3)通过监控过程来保证工作质量；</w:t>
            </w:r>
          </w:p>
          <w:p>
            <w:pPr>
              <w:pStyle w:val="TableText"/>
              <w:ind w:left="285"/>
              <w:spacing w:before="102" w:line="219" w:lineRule="auto"/>
              <w:rPr/>
            </w:pPr>
            <w:r>
              <w:rPr>
                <w:spacing w:val="3"/>
              </w:rPr>
              <w:t>4)保证云端数据治理过程符合相应标准与规程；</w:t>
            </w:r>
          </w:p>
          <w:p>
            <w:pPr>
              <w:pStyle w:val="TableText"/>
              <w:ind w:left="285" w:right="979"/>
              <w:spacing w:before="92" w:line="276" w:lineRule="auto"/>
              <w:rPr/>
            </w:pPr>
            <w:r>
              <w:rPr>
                <w:spacing w:val="2"/>
              </w:rPr>
              <w:t>5)保证云端数据治理过程中存在的不符合问题得到处理，必要时将问</w:t>
            </w:r>
            <w:r>
              <w:rPr>
                <w:spacing w:val="1"/>
              </w:rPr>
              <w:t>题反映给项目执行负责人；</w:t>
            </w:r>
            <w:r>
              <w:rPr/>
              <w:t xml:space="preserve"> </w:t>
            </w:r>
            <w:r>
              <w:rPr/>
              <w:t>6)确保项目组制订的计划、标准和规程适合项目组需要，同时满</w:t>
            </w:r>
            <w:r>
              <w:rPr>
                <w:spacing w:val="-1"/>
              </w:rPr>
              <w:t>足评审需要。</w:t>
            </w:r>
          </w:p>
          <w:p>
            <w:pPr>
              <w:pStyle w:val="TableText"/>
              <w:ind w:left="285"/>
              <w:spacing w:before="132" w:line="220" w:lineRule="auto"/>
              <w:rPr/>
            </w:pPr>
            <w:r>
              <w:rPr>
                <w:spacing w:val="-1"/>
              </w:rPr>
              <w:t>工作组成员：</w:t>
            </w:r>
          </w:p>
          <w:p>
            <w:pPr>
              <w:pStyle w:val="TableText"/>
              <w:ind w:left="285"/>
              <w:spacing w:before="90" w:line="219" w:lineRule="auto"/>
              <w:rPr/>
            </w:pPr>
            <w:r>
              <w:rPr/>
              <w:t>要对自己负责的部分有较深入的研究，与项目执行负责人共同完成该部分过程文件的撰</w:t>
            </w:r>
            <w:r>
              <w:rPr>
                <w:spacing w:val="-1"/>
              </w:rPr>
              <w:t>写和推动工作。</w:t>
            </w:r>
          </w:p>
        </w:tc>
      </w:tr>
    </w:tbl>
    <w:p>
      <w:pPr>
        <w:pStyle w:val="BodyText"/>
        <w:rPr/>
      </w:pPr>
      <w:r/>
    </w:p>
    <w:p>
      <w:pPr>
        <w:sectPr>
          <w:footerReference w:type="default" r:id="rId543"/>
          <w:pgSz w:w="8870" w:h="13400"/>
          <w:pgMar w:top="400" w:right="623" w:bottom="575" w:left="404" w:header="0" w:footer="356" w:gutter="0"/>
        </w:sectPr>
        <w:rPr/>
      </w:pPr>
    </w:p>
    <w:p>
      <w:pPr>
        <w:ind w:left="223"/>
        <w:spacing w:before="216" w:line="219" w:lineRule="auto"/>
        <w:rPr>
          <w:rFonts w:ascii="SimSun" w:hAnsi="SimSun" w:eastAsia="SimSun" w:cs="SimSun"/>
          <w:sz w:val="23"/>
          <w:szCs w:val="23"/>
        </w:rPr>
      </w:pPr>
      <w:r>
        <w:pict>
          <v:rect id="_x0000_s726" style="position:absolute;margin-left:410.249pt;margin-top:534.499pt;mso-position-vertical-relative:page;mso-position-horizontal-relative:page;width:0.5pt;height:78.05pt;z-index:259053568;" o:allowincell="f" fillcolor="#000000" filled="true" stroked="false"/>
        </w:pict>
      </w:r>
      <w:r>
        <w:pict>
          <v:rect id="_x0000_s728" style="position:absolute;margin-left:421.001pt;margin-top:71.9982pt;mso-position-vertical-relative:page;mso-position-horizontal-relative:page;width:1pt;height:545.55pt;z-index:259041280;" o:allowincell="f" fillcolor="#000000" filled="true" stroked="false"/>
        </w:pict>
      </w:r>
      <w:r>
        <w:drawing>
          <wp:anchor distT="0" distB="0" distL="0" distR="0" simplePos="0" relativeHeight="259055616" behindDoc="0" locked="0" layoutInCell="0" allowOverlap="1">
            <wp:simplePos x="0" y="0"/>
            <wp:positionH relativeFrom="page">
              <wp:posOffset>387343</wp:posOffset>
            </wp:positionH>
            <wp:positionV relativeFrom="page">
              <wp:posOffset>355591</wp:posOffset>
            </wp:positionV>
            <wp:extent cx="6365" cy="222255"/>
            <wp:effectExtent l="0" t="0" r="0" b="0"/>
            <wp:wrapNone/>
            <wp:docPr id="368" name="IM 368"/>
            <wp:cNvGraphicFramePr/>
            <a:graphic>
              <a:graphicData uri="http://schemas.openxmlformats.org/drawingml/2006/picture">
                <pic:pic>
                  <pic:nvPicPr>
                    <pic:cNvPr id="368" name="IM 368"/>
                    <pic:cNvPicPr/>
                  </pic:nvPicPr>
                  <pic:blipFill>
                    <a:blip r:embed="rId546"/>
                    <a:stretch>
                      <a:fillRect/>
                    </a:stretch>
                  </pic:blipFill>
                  <pic:spPr>
                    <a:xfrm rot="0">
                      <a:off x="0" y="0"/>
                      <a:ext cx="6365" cy="222255"/>
                    </a:xfrm>
                    <a:prstGeom prst="rect">
                      <a:avLst/>
                    </a:prstGeom>
                  </pic:spPr>
                </pic:pic>
              </a:graphicData>
            </a:graphic>
          </wp:anchor>
        </w:drawing>
      </w:r>
      <w:r>
        <w:rPr>
          <w:rFonts w:ascii="SimSun" w:hAnsi="SimSun" w:eastAsia="SimSun" w:cs="SimSun"/>
          <w:sz w:val="23"/>
          <w:szCs w:val="23"/>
          <w:b/>
          <w:bCs/>
          <w:spacing w:val="-25"/>
        </w:rPr>
        <w:t>■云端数据治理</w:t>
      </w:r>
    </w:p>
    <w:p>
      <w:pPr>
        <w:pStyle w:val="BodyText"/>
        <w:spacing w:line="262" w:lineRule="auto"/>
        <w:rPr/>
      </w:pPr>
      <w:r/>
    </w:p>
    <w:p>
      <w:pPr>
        <w:ind w:left="7179"/>
        <w:spacing w:before="65" w:line="223" w:lineRule="auto"/>
        <w:rPr>
          <w:rFonts w:ascii="SimHei" w:hAnsi="SimHei" w:eastAsia="SimHei" w:cs="SimHei"/>
          <w:sz w:val="20"/>
          <w:szCs w:val="20"/>
        </w:rPr>
      </w:pPr>
      <w:r>
        <w:rPr>
          <w:rFonts w:ascii="SimHei" w:hAnsi="SimHei" w:eastAsia="SimHei" w:cs="SimHei"/>
          <w:sz w:val="20"/>
          <w:szCs w:val="20"/>
          <w:spacing w:val="-9"/>
        </w:rPr>
        <w:t>续表</w:t>
      </w:r>
    </w:p>
    <w:p>
      <w:pPr>
        <w:ind w:left="520"/>
        <w:spacing w:before="146" w:line="220" w:lineRule="auto"/>
        <w:rPr>
          <w:rFonts w:ascii="SimSun" w:hAnsi="SimSun" w:eastAsia="SimSun" w:cs="SimSun"/>
          <w:sz w:val="16"/>
          <w:szCs w:val="16"/>
        </w:rPr>
      </w:pPr>
      <w:r>
        <w:drawing>
          <wp:anchor distT="0" distB="0" distL="0" distR="0" simplePos="0" relativeHeight="259034112" behindDoc="1" locked="0" layoutInCell="1" allowOverlap="1">
            <wp:simplePos x="0" y="0"/>
            <wp:positionH relativeFrom="column">
              <wp:posOffset>146049</wp:posOffset>
            </wp:positionH>
            <wp:positionV relativeFrom="paragraph">
              <wp:posOffset>-6527</wp:posOffset>
            </wp:positionV>
            <wp:extent cx="4889529" cy="6934155"/>
            <wp:effectExtent l="0" t="0" r="0" b="0"/>
            <wp:wrapNone/>
            <wp:docPr id="370" name="IM 370"/>
            <wp:cNvGraphicFramePr/>
            <a:graphic>
              <a:graphicData uri="http://schemas.openxmlformats.org/drawingml/2006/picture">
                <pic:pic>
                  <pic:nvPicPr>
                    <pic:cNvPr id="370" name="IM 370"/>
                    <pic:cNvPicPr/>
                  </pic:nvPicPr>
                  <pic:blipFill>
                    <a:blip r:embed="rId547"/>
                    <a:stretch>
                      <a:fillRect/>
                    </a:stretch>
                  </pic:blipFill>
                  <pic:spPr>
                    <a:xfrm rot="0">
                      <a:off x="0" y="0"/>
                      <a:ext cx="4889529" cy="6934155"/>
                    </a:xfrm>
                    <a:prstGeom prst="rect">
                      <a:avLst/>
                    </a:prstGeom>
                  </pic:spPr>
                </pic:pic>
              </a:graphicData>
            </a:graphic>
          </wp:anchor>
        </w:drawing>
      </w:r>
      <w:r>
        <w:rPr>
          <w:rFonts w:ascii="SimSun" w:hAnsi="SimSun" w:eastAsia="SimSun" w:cs="SimSun"/>
          <w:sz w:val="16"/>
          <w:szCs w:val="16"/>
          <w:spacing w:val="-3"/>
        </w:rPr>
        <w:t>5</w:t>
      </w:r>
      <w:r>
        <w:rPr>
          <w:rFonts w:ascii="SimSun" w:hAnsi="SimSun" w:eastAsia="SimSun" w:cs="SimSun"/>
          <w:sz w:val="16"/>
          <w:szCs w:val="16"/>
          <w:spacing w:val="60"/>
        </w:rPr>
        <w:t xml:space="preserve"> </w:t>
      </w:r>
      <w:r>
        <w:rPr>
          <w:rFonts w:ascii="SimSun" w:hAnsi="SimSun" w:eastAsia="SimSun" w:cs="SimSun"/>
          <w:sz w:val="16"/>
          <w:szCs w:val="16"/>
          <w:spacing w:val="-3"/>
        </w:rPr>
        <w:t>进度计划</w:t>
      </w:r>
    </w:p>
    <w:p>
      <w:pPr>
        <w:ind w:left="2740"/>
        <w:spacing w:before="268" w:line="219" w:lineRule="auto"/>
        <w:rPr>
          <w:rFonts w:ascii="SimSun" w:hAnsi="SimSun" w:eastAsia="SimSun" w:cs="SimSun"/>
          <w:sz w:val="15"/>
          <w:szCs w:val="15"/>
        </w:rPr>
      </w:pPr>
      <w:r>
        <w:pict>
          <v:shape id="_x0000_s730" style="position:absolute;margin-left:278.999pt;margin-top:12.4311pt;mso-position-vertical-relative:text;mso-position-horizontal-relative:text;width:39.1pt;height:10.95pt;z-index:2590494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关键产出物</w:t>
                  </w:r>
                </w:p>
              </w:txbxContent>
            </v:textbox>
          </v:shape>
        </w:pict>
      </w:r>
      <w:r>
        <w:pict>
          <v:shape id="_x0000_s732" style="position:absolute;margin-left:37.5002pt;margin-top:12.4611pt;mso-position-vertical-relative:text;mso-position-horizontal-relative:text;width:44.3pt;height:10.95pt;z-index:2590464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4"/>
                    </w:rPr>
                    <w:t>项</w:t>
                  </w:r>
                  <w:r>
                    <w:rPr>
                      <w:rFonts w:ascii="SimSun" w:hAnsi="SimSun" w:eastAsia="SimSun" w:cs="SimSun"/>
                      <w:sz w:val="15"/>
                      <w:szCs w:val="15"/>
                      <w:spacing w:val="44"/>
                    </w:rPr>
                    <w:t xml:space="preserve"> </w:t>
                  </w:r>
                  <w:r>
                    <w:rPr>
                      <w:rFonts w:ascii="SimSun" w:hAnsi="SimSun" w:eastAsia="SimSun" w:cs="SimSun"/>
                      <w:sz w:val="15"/>
                      <w:szCs w:val="15"/>
                      <w:spacing w:val="-14"/>
                    </w:rPr>
                    <w:t>目</w:t>
                  </w:r>
                  <w:r>
                    <w:rPr>
                      <w:rFonts w:ascii="SimSun" w:hAnsi="SimSun" w:eastAsia="SimSun" w:cs="SimSun"/>
                      <w:sz w:val="15"/>
                      <w:szCs w:val="15"/>
                      <w:spacing w:val="22"/>
                    </w:rPr>
                    <w:t xml:space="preserve"> </w:t>
                  </w:r>
                  <w:r>
                    <w:rPr>
                      <w:rFonts w:ascii="SimSun" w:hAnsi="SimSun" w:eastAsia="SimSun" w:cs="SimSun"/>
                      <w:sz w:val="15"/>
                      <w:szCs w:val="15"/>
                      <w:spacing w:val="-14"/>
                    </w:rPr>
                    <w:t>阶</w:t>
                  </w:r>
                  <w:r>
                    <w:rPr>
                      <w:rFonts w:ascii="SimSun" w:hAnsi="SimSun" w:eastAsia="SimSun" w:cs="SimSun"/>
                      <w:sz w:val="15"/>
                      <w:szCs w:val="15"/>
                      <w:spacing w:val="16"/>
                    </w:rPr>
                    <w:t xml:space="preserve"> </w:t>
                  </w:r>
                  <w:r>
                    <w:rPr>
                      <w:rFonts w:ascii="SimSun" w:hAnsi="SimSun" w:eastAsia="SimSun" w:cs="SimSun"/>
                      <w:sz w:val="15"/>
                      <w:szCs w:val="15"/>
                      <w:spacing w:val="-14"/>
                    </w:rPr>
                    <w:t>段</w:t>
                  </w:r>
                </w:p>
              </w:txbxContent>
            </v:textbox>
          </v:shape>
        </w:pict>
      </w:r>
      <w:r>
        <w:rPr>
          <w:rFonts w:ascii="SimSun" w:hAnsi="SimSun" w:eastAsia="SimSun" w:cs="SimSun"/>
          <w:sz w:val="15"/>
          <w:szCs w:val="15"/>
          <w:spacing w:val="-3"/>
        </w:rPr>
        <w:t>任</w:t>
      </w:r>
      <w:r>
        <w:rPr>
          <w:rFonts w:ascii="SimSun" w:hAnsi="SimSun" w:eastAsia="SimSun" w:cs="SimSun"/>
          <w:sz w:val="15"/>
          <w:szCs w:val="15"/>
          <w:spacing w:val="1"/>
        </w:rPr>
        <w:t xml:space="preserve">    </w:t>
      </w:r>
      <w:r>
        <w:rPr>
          <w:rFonts w:ascii="SimSun" w:hAnsi="SimSun" w:eastAsia="SimSun" w:cs="SimSun"/>
          <w:sz w:val="15"/>
          <w:szCs w:val="15"/>
          <w:spacing w:val="-3"/>
        </w:rPr>
        <w:t>务</w:t>
      </w:r>
    </w:p>
    <w:p>
      <w:pPr>
        <w:ind w:left="2090"/>
        <w:spacing w:before="193" w:line="220" w:lineRule="auto"/>
        <w:rPr>
          <w:rFonts w:ascii="SimSun" w:hAnsi="SimSun" w:eastAsia="SimSun" w:cs="SimSun"/>
          <w:sz w:val="15"/>
          <w:szCs w:val="15"/>
        </w:rPr>
      </w:pPr>
      <w:r>
        <w:pict>
          <v:shape id="_x0000_s734" style="position:absolute;margin-left:224.502pt;margin-top:8.53803pt;mso-position-vertical-relative:text;mso-position-horizontal-relative:text;width:91.55pt;height:28.45pt;z-index:259037184;"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5"/>
                      <w:szCs w:val="15"/>
                    </w:rPr>
                  </w:pPr>
                  <w:r>
                    <w:rPr>
                      <w:rFonts w:ascii="SimSun" w:hAnsi="SimSun" w:eastAsia="SimSun" w:cs="SimSun"/>
                      <w:sz w:val="15"/>
                      <w:szCs w:val="15"/>
                      <w:spacing w:val="-2"/>
                    </w:rPr>
                    <w:t>差距分析报告</w:t>
                  </w:r>
                </w:p>
                <w:p>
                  <w:pPr>
                    <w:ind w:left="20"/>
                    <w:spacing w:before="173" w:line="219" w:lineRule="auto"/>
                    <w:rPr>
                      <w:rFonts w:ascii="SimSun" w:hAnsi="SimSun" w:eastAsia="SimSun" w:cs="SimSun"/>
                      <w:sz w:val="15"/>
                      <w:szCs w:val="15"/>
                    </w:rPr>
                  </w:pPr>
                  <w:r>
                    <w:rPr>
                      <w:rFonts w:ascii="SimSun" w:hAnsi="SimSun" w:eastAsia="SimSun" w:cs="SimSun"/>
                      <w:sz w:val="15"/>
                      <w:szCs w:val="15"/>
                      <w:spacing w:val="-1"/>
                    </w:rPr>
                    <w:t>云端数据治理基础培训教材</w:t>
                  </w:r>
                </w:p>
              </w:txbxContent>
            </v:textbox>
          </v:shape>
        </w:pict>
      </w:r>
      <w:r>
        <w:rPr>
          <w:rFonts w:ascii="SimSun" w:hAnsi="SimSun" w:eastAsia="SimSun" w:cs="SimSun"/>
          <w:sz w:val="15"/>
          <w:szCs w:val="15"/>
          <w:spacing w:val="-2"/>
        </w:rPr>
        <w:t>差距分析</w:t>
      </w:r>
    </w:p>
    <w:p>
      <w:pPr>
        <w:ind w:left="890"/>
        <w:spacing w:before="1" w:line="209" w:lineRule="auto"/>
        <w:rPr>
          <w:rFonts w:ascii="SimSun" w:hAnsi="SimSun" w:eastAsia="SimSun" w:cs="SimSun"/>
          <w:sz w:val="15"/>
          <w:szCs w:val="15"/>
        </w:rPr>
      </w:pPr>
      <w:r>
        <w:rPr>
          <w:rFonts w:ascii="SimSun" w:hAnsi="SimSun" w:eastAsia="SimSun" w:cs="SimSun"/>
          <w:sz w:val="15"/>
          <w:szCs w:val="15"/>
          <w:spacing w:val="-2"/>
        </w:rPr>
        <w:t>准备阶段</w:t>
      </w:r>
    </w:p>
    <w:p>
      <w:pPr>
        <w:ind w:left="2090"/>
        <w:spacing w:line="220" w:lineRule="auto"/>
        <w:rPr>
          <w:rFonts w:ascii="SimSun" w:hAnsi="SimSun" w:eastAsia="SimSun" w:cs="SimSun"/>
          <w:sz w:val="15"/>
          <w:szCs w:val="15"/>
        </w:rPr>
      </w:pPr>
      <w:r>
        <w:rPr>
          <w:rFonts w:ascii="SimSun" w:hAnsi="SimSun" w:eastAsia="SimSun" w:cs="SimSun"/>
          <w:sz w:val="15"/>
          <w:szCs w:val="15"/>
          <w:spacing w:val="4"/>
        </w:rPr>
        <w:t>基础培训</w:t>
      </w:r>
    </w:p>
    <w:p>
      <w:pPr>
        <w:ind w:left="4510"/>
        <w:spacing w:before="181" w:line="166" w:lineRule="auto"/>
        <w:rPr>
          <w:rFonts w:ascii="SimSun" w:hAnsi="SimSun" w:eastAsia="SimSun" w:cs="SimSun"/>
          <w:sz w:val="15"/>
          <w:szCs w:val="15"/>
        </w:rPr>
      </w:pPr>
      <w:r>
        <w:rPr>
          <w:rFonts w:ascii="SimSun" w:hAnsi="SimSun" w:eastAsia="SimSun" w:cs="SimSun"/>
          <w:sz w:val="15"/>
          <w:szCs w:val="15"/>
        </w:rPr>
        <w:t>云端数据治理项目实施计划</w:t>
      </w:r>
    </w:p>
    <w:p>
      <w:pPr>
        <w:ind w:left="2090"/>
        <w:spacing w:line="166" w:lineRule="auto"/>
        <w:rPr>
          <w:rFonts w:ascii="SimSun" w:hAnsi="SimSun" w:eastAsia="SimSun" w:cs="SimSun"/>
          <w:sz w:val="15"/>
          <w:szCs w:val="15"/>
        </w:rPr>
      </w:pPr>
      <w:r>
        <w:rPr>
          <w:rFonts w:ascii="SimSun" w:hAnsi="SimSun" w:eastAsia="SimSun" w:cs="SimSun"/>
          <w:sz w:val="15"/>
          <w:szCs w:val="15"/>
          <w:spacing w:val="-1"/>
        </w:rPr>
        <w:t>制订实施计划</w:t>
      </w:r>
    </w:p>
    <w:p>
      <w:pPr>
        <w:ind w:left="4510"/>
        <w:spacing w:line="219" w:lineRule="auto"/>
        <w:rPr>
          <w:rFonts w:ascii="SimSun" w:hAnsi="SimSun" w:eastAsia="SimSun" w:cs="SimSun"/>
          <w:sz w:val="15"/>
          <w:szCs w:val="15"/>
        </w:rPr>
      </w:pPr>
      <w:r>
        <w:rPr>
          <w:rFonts w:ascii="SimSun" w:hAnsi="SimSun" w:eastAsia="SimSun" w:cs="SimSun"/>
          <w:sz w:val="15"/>
          <w:szCs w:val="15"/>
          <w:spacing w:val="-1"/>
        </w:rPr>
        <w:t>云端数据治理项目实施进度安排</w:t>
      </w:r>
    </w:p>
    <w:p>
      <w:pPr>
        <w:ind w:left="2090"/>
        <w:spacing w:before="151" w:line="219" w:lineRule="auto"/>
        <w:rPr>
          <w:rFonts w:ascii="SimSun" w:hAnsi="SimSun" w:eastAsia="SimSun" w:cs="SimSun"/>
          <w:sz w:val="15"/>
          <w:szCs w:val="15"/>
        </w:rPr>
      </w:pPr>
      <w:r>
        <w:pict>
          <v:shape id="_x0000_s736" style="position:absolute;margin-left:224.502pt;margin-top:6.55344pt;mso-position-vertical-relative:text;mso-position-horizontal-relative:text;width:46.7pt;height:10.9pt;z-index:25904435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
                    </w:rPr>
                    <w:t>专题培训教材</w:t>
                  </w:r>
                </w:p>
              </w:txbxContent>
            </v:textbox>
          </v:shape>
        </w:pict>
      </w:r>
      <w:r>
        <w:rPr>
          <w:rFonts w:ascii="SimSun" w:hAnsi="SimSun" w:eastAsia="SimSun" w:cs="SimSun"/>
          <w:sz w:val="15"/>
          <w:szCs w:val="15"/>
          <w:spacing w:val="-1"/>
        </w:rPr>
        <w:t>制订专题培训教材</w:t>
      </w:r>
    </w:p>
    <w:p>
      <w:pPr>
        <w:ind w:left="4510"/>
        <w:spacing w:before="174" w:line="220" w:lineRule="auto"/>
        <w:rPr>
          <w:rFonts w:ascii="SimSun" w:hAnsi="SimSun" w:eastAsia="SimSun" w:cs="SimSun"/>
          <w:sz w:val="15"/>
          <w:szCs w:val="15"/>
        </w:rPr>
      </w:pPr>
      <w:r>
        <w:pict>
          <v:shape id="_x0000_s738" style="position:absolute;margin-left:36.0012pt;margin-top:6.64569pt;mso-position-vertical-relative:text;mso-position-horizontal-relative:text;width:46.45pt;height:10.95pt;z-index:2590453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改进策划阶段</w:t>
                  </w:r>
                </w:p>
              </w:txbxContent>
            </v:textbox>
          </v:shape>
        </w:pict>
      </w:r>
      <w:r>
        <w:rPr>
          <w:rFonts w:ascii="SimSun" w:hAnsi="SimSun" w:eastAsia="SimSun" w:cs="SimSun"/>
          <w:sz w:val="15"/>
          <w:szCs w:val="15"/>
          <w:spacing w:val="-2"/>
        </w:rPr>
        <w:t>培训计划</w:t>
      </w:r>
    </w:p>
    <w:p>
      <w:pPr>
        <w:ind w:left="2090"/>
        <w:spacing w:before="91" w:line="220" w:lineRule="auto"/>
        <w:rPr>
          <w:rFonts w:ascii="SimSun" w:hAnsi="SimSun" w:eastAsia="SimSun" w:cs="SimSun"/>
          <w:sz w:val="15"/>
          <w:szCs w:val="15"/>
        </w:rPr>
      </w:pPr>
      <w:r>
        <w:pict>
          <v:shape id="_x0000_s740" style="position:absolute;margin-left:224.502pt;margin-top:4.05881pt;mso-position-vertical-relative:text;mso-position-horizontal-relative:text;width:39.2pt;height:10.95pt;z-index:25904742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培训签到表</w:t>
                  </w:r>
                </w:p>
              </w:txbxContent>
            </v:textbox>
          </v:shape>
        </w:pict>
      </w:r>
      <w:r>
        <w:rPr>
          <w:rFonts w:ascii="SimSun" w:hAnsi="SimSun" w:eastAsia="SimSun" w:cs="SimSun"/>
          <w:sz w:val="15"/>
          <w:szCs w:val="15"/>
          <w:spacing w:val="4"/>
        </w:rPr>
        <w:t>专题培训</w:t>
      </w:r>
    </w:p>
    <w:p>
      <w:pPr>
        <w:ind w:left="4510"/>
        <w:spacing w:before="111" w:line="220" w:lineRule="auto"/>
        <w:rPr>
          <w:rFonts w:ascii="SimSun" w:hAnsi="SimSun" w:eastAsia="SimSun" w:cs="SimSun"/>
          <w:sz w:val="15"/>
          <w:szCs w:val="15"/>
        </w:rPr>
      </w:pPr>
      <w:r>
        <w:rPr>
          <w:rFonts w:ascii="SimSun" w:hAnsi="SimSun" w:eastAsia="SimSun" w:cs="SimSun"/>
          <w:sz w:val="15"/>
          <w:szCs w:val="15"/>
          <w:spacing w:val="-2"/>
        </w:rPr>
        <w:t>培训总结</w:t>
      </w:r>
    </w:p>
    <w:p>
      <w:pPr>
        <w:ind w:left="4510"/>
        <w:spacing w:before="161" w:line="219" w:lineRule="auto"/>
        <w:rPr>
          <w:rFonts w:ascii="SimSun" w:hAnsi="SimSun" w:eastAsia="SimSun" w:cs="SimSun"/>
          <w:sz w:val="15"/>
          <w:szCs w:val="15"/>
        </w:rPr>
      </w:pPr>
      <w:r>
        <w:pict>
          <v:shape id="_x0000_s742" style="position:absolute;margin-left:103.502pt;margin-top:7.04175pt;mso-position-vertical-relative:text;mso-position-horizontal-relative:text;width:109.3pt;height:100pt;z-index:25903513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制订/修改云端数据治理实施流程</w:t>
                  </w:r>
                </w:p>
                <w:p>
                  <w:pPr>
                    <w:ind w:left="20"/>
                    <w:spacing w:before="182" w:line="219" w:lineRule="auto"/>
                    <w:rPr>
                      <w:rFonts w:ascii="SimSun" w:hAnsi="SimSun" w:eastAsia="SimSun" w:cs="SimSun"/>
                      <w:sz w:val="15"/>
                      <w:szCs w:val="15"/>
                    </w:rPr>
                  </w:pPr>
                  <w:r>
                    <w:rPr>
                      <w:rFonts w:ascii="SimSun" w:hAnsi="SimSun" w:eastAsia="SimSun" w:cs="SimSun"/>
                      <w:sz w:val="15"/>
                      <w:szCs w:val="15"/>
                      <w:spacing w:val="2"/>
                    </w:rPr>
                    <w:t>确定云端数据治理试点项目</w:t>
                  </w:r>
                </w:p>
                <w:p>
                  <w:pPr>
                    <w:ind w:left="20"/>
                    <w:spacing w:before="172" w:line="220" w:lineRule="auto"/>
                    <w:rPr>
                      <w:rFonts w:ascii="SimSun" w:hAnsi="SimSun" w:eastAsia="SimSun" w:cs="SimSun"/>
                      <w:sz w:val="15"/>
                      <w:szCs w:val="15"/>
                    </w:rPr>
                  </w:pPr>
                  <w:r>
                    <w:rPr>
                      <w:rFonts w:ascii="SimSun" w:hAnsi="SimSun" w:eastAsia="SimSun" w:cs="SimSun"/>
                      <w:sz w:val="15"/>
                      <w:szCs w:val="15"/>
                      <w:spacing w:val="-2"/>
                    </w:rPr>
                    <w:t>试点实施</w:t>
                  </w:r>
                </w:p>
                <w:p>
                  <w:pPr>
                    <w:ind w:left="20"/>
                    <w:spacing w:before="180" w:line="219" w:lineRule="auto"/>
                    <w:rPr>
                      <w:rFonts w:ascii="SimSun" w:hAnsi="SimSun" w:eastAsia="SimSun" w:cs="SimSun"/>
                      <w:sz w:val="15"/>
                      <w:szCs w:val="15"/>
                    </w:rPr>
                  </w:pPr>
                  <w:r>
                    <w:rPr>
                      <w:rFonts w:ascii="SimSun" w:hAnsi="SimSun" w:eastAsia="SimSun" w:cs="SimSun"/>
                      <w:sz w:val="15"/>
                      <w:szCs w:val="15"/>
                      <w:spacing w:val="-1"/>
                    </w:rPr>
                    <w:t>试点持续支持</w:t>
                  </w:r>
                </w:p>
                <w:p>
                  <w:pPr>
                    <w:ind w:left="20"/>
                    <w:spacing w:before="172" w:line="221" w:lineRule="auto"/>
                    <w:rPr>
                      <w:rFonts w:ascii="SimSun" w:hAnsi="SimSun" w:eastAsia="SimSun" w:cs="SimSun"/>
                      <w:sz w:val="15"/>
                      <w:szCs w:val="15"/>
                    </w:rPr>
                  </w:pPr>
                  <w:r>
                    <w:rPr>
                      <w:rFonts w:ascii="SimSun" w:hAnsi="SimSun" w:eastAsia="SimSun" w:cs="SimSun"/>
                      <w:sz w:val="15"/>
                      <w:szCs w:val="15"/>
                      <w:spacing w:val="-2"/>
                    </w:rPr>
                    <w:t>试点总结</w:t>
                  </w:r>
                </w:p>
                <w:p>
                  <w:pPr>
                    <w:ind w:left="20"/>
                    <w:spacing w:before="180" w:line="220" w:lineRule="auto"/>
                    <w:rPr>
                      <w:rFonts w:ascii="SimSun" w:hAnsi="SimSun" w:eastAsia="SimSun" w:cs="SimSun"/>
                      <w:sz w:val="15"/>
                      <w:szCs w:val="15"/>
                    </w:rPr>
                  </w:pPr>
                  <w:r>
                    <w:rPr>
                      <w:rFonts w:ascii="SimSun" w:hAnsi="SimSun" w:eastAsia="SimSun" w:cs="SimSun"/>
                      <w:sz w:val="15"/>
                      <w:szCs w:val="15"/>
                      <w:spacing w:val="-2"/>
                    </w:rPr>
                    <w:t>试点评审</w:t>
                  </w:r>
                </w:p>
              </w:txbxContent>
            </v:textbox>
          </v:shape>
        </w:pict>
      </w:r>
      <w:r>
        <w:rPr>
          <w:rFonts w:ascii="SimSun" w:hAnsi="SimSun" w:eastAsia="SimSun" w:cs="SimSun"/>
          <w:sz w:val="15"/>
          <w:szCs w:val="15"/>
          <w:spacing w:val="-1"/>
        </w:rPr>
        <w:t>云端数据治理实施流程文件</w:t>
      </w:r>
    </w:p>
    <w:p>
      <w:pPr>
        <w:ind w:left="4510"/>
        <w:spacing w:before="182" w:line="220" w:lineRule="auto"/>
        <w:rPr>
          <w:rFonts w:ascii="SimSun" w:hAnsi="SimSun" w:eastAsia="SimSun" w:cs="SimSun"/>
          <w:sz w:val="15"/>
          <w:szCs w:val="15"/>
        </w:rPr>
      </w:pPr>
      <w:r>
        <w:rPr>
          <w:rFonts w:ascii="SimSun" w:hAnsi="SimSun" w:eastAsia="SimSun" w:cs="SimSun"/>
          <w:sz w:val="15"/>
          <w:szCs w:val="15"/>
          <w:spacing w:val="-1"/>
        </w:rPr>
        <w:t>试点项目列表</w:t>
      </w:r>
    </w:p>
    <w:p>
      <w:pPr>
        <w:ind w:left="4510"/>
        <w:spacing w:before="172" w:line="220" w:lineRule="auto"/>
        <w:rPr>
          <w:rFonts w:ascii="SimSun" w:hAnsi="SimSun" w:eastAsia="SimSun" w:cs="SimSun"/>
          <w:sz w:val="15"/>
          <w:szCs w:val="15"/>
        </w:rPr>
      </w:pPr>
      <w:r>
        <w:rPr>
          <w:rFonts w:ascii="SimSun" w:hAnsi="SimSun" w:eastAsia="SimSun" w:cs="SimSun"/>
          <w:sz w:val="15"/>
          <w:szCs w:val="15"/>
          <w:spacing w:val="-1"/>
        </w:rPr>
        <w:t>试点问题跟踪表</w:t>
      </w:r>
    </w:p>
    <w:p>
      <w:pPr>
        <w:ind w:left="4510"/>
        <w:spacing w:before="180" w:line="219" w:lineRule="auto"/>
        <w:rPr>
          <w:rFonts w:ascii="SimSun" w:hAnsi="SimSun" w:eastAsia="SimSun" w:cs="SimSun"/>
          <w:sz w:val="15"/>
          <w:szCs w:val="15"/>
        </w:rPr>
      </w:pPr>
      <w:r>
        <w:rPr>
          <w:rFonts w:ascii="SimSun" w:hAnsi="SimSun" w:eastAsia="SimSun" w:cs="SimSun"/>
          <w:sz w:val="15"/>
          <w:szCs w:val="15"/>
          <w:spacing w:val="-1"/>
        </w:rPr>
        <w:t>持续支持工作纪要</w:t>
      </w:r>
    </w:p>
    <w:p>
      <w:pPr>
        <w:ind w:left="4510"/>
        <w:spacing w:before="171" w:line="218" w:lineRule="auto"/>
        <w:rPr>
          <w:rFonts w:ascii="SimSun" w:hAnsi="SimSun" w:eastAsia="SimSun" w:cs="SimSun"/>
          <w:sz w:val="15"/>
          <w:szCs w:val="15"/>
        </w:rPr>
      </w:pPr>
      <w:r>
        <w:pict>
          <v:shape id="_x0000_s744" style="position:absolute;margin-left:43.5008pt;margin-top:12.6438pt;mso-position-vertical-relative:text;mso-position-horizontal-relative:text;width:31.75pt;height:11pt;z-index:2590515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试点阶段</w:t>
                  </w:r>
                </w:p>
              </w:txbxContent>
            </v:textbox>
          </v:shape>
        </w:pict>
      </w:r>
      <w:r>
        <w:rPr>
          <w:rFonts w:ascii="SimSun" w:hAnsi="SimSun" w:eastAsia="SimSun" w:cs="SimSun"/>
          <w:sz w:val="15"/>
          <w:szCs w:val="15"/>
          <w:spacing w:val="-1"/>
        </w:rPr>
        <w:t>试点总结报告</w:t>
      </w:r>
    </w:p>
    <w:p>
      <w:pPr>
        <w:ind w:left="4510"/>
        <w:spacing w:before="185" w:line="220" w:lineRule="auto"/>
        <w:rPr>
          <w:rFonts w:ascii="SimSun" w:hAnsi="SimSun" w:eastAsia="SimSun" w:cs="SimSun"/>
          <w:sz w:val="15"/>
          <w:szCs w:val="15"/>
        </w:rPr>
      </w:pPr>
      <w:r>
        <w:rPr>
          <w:rFonts w:ascii="SimSun" w:hAnsi="SimSun" w:eastAsia="SimSun" w:cs="SimSun"/>
          <w:sz w:val="15"/>
          <w:szCs w:val="15"/>
          <w:spacing w:val="-1"/>
        </w:rPr>
        <w:t>试点评审问题清单</w:t>
      </w:r>
    </w:p>
    <w:p>
      <w:pPr>
        <w:ind w:left="4510"/>
        <w:spacing w:before="181" w:line="219" w:lineRule="auto"/>
        <w:rPr>
          <w:rFonts w:ascii="SimSun" w:hAnsi="SimSun" w:eastAsia="SimSun" w:cs="SimSun"/>
          <w:sz w:val="15"/>
          <w:szCs w:val="15"/>
        </w:rPr>
      </w:pPr>
      <w:r>
        <w:rPr>
          <w:rFonts w:ascii="SimSun" w:hAnsi="SimSun" w:eastAsia="SimSun" w:cs="SimSun"/>
          <w:sz w:val="15"/>
          <w:szCs w:val="15"/>
          <w:spacing w:val="-1"/>
        </w:rPr>
        <w:t>过程改进计划</w:t>
      </w:r>
    </w:p>
    <w:p>
      <w:pPr>
        <w:ind w:left="4510"/>
        <w:spacing w:before="90" w:line="218" w:lineRule="auto"/>
        <w:rPr>
          <w:rFonts w:ascii="SimSun" w:hAnsi="SimSun" w:eastAsia="SimSun" w:cs="SimSun"/>
          <w:sz w:val="15"/>
          <w:szCs w:val="15"/>
        </w:rPr>
      </w:pPr>
      <w:r>
        <w:pict>
          <v:shape id="_x0000_s746" style="position:absolute;margin-left:103.502pt;margin-top:3.58564pt;mso-position-vertical-relative:text;mso-position-horizontal-relative:text;width:71.15pt;height:10.95pt;z-index:2590423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修订体系文件(如需)</w:t>
                  </w:r>
                </w:p>
              </w:txbxContent>
            </v:textbox>
          </v:shape>
        </w:pict>
      </w:r>
      <w:r>
        <w:rPr>
          <w:rFonts w:ascii="SimSun" w:hAnsi="SimSun" w:eastAsia="SimSun" w:cs="SimSun"/>
          <w:sz w:val="15"/>
          <w:szCs w:val="15"/>
          <w:spacing w:val="-1"/>
        </w:rPr>
        <w:t>过程改进报告</w:t>
      </w:r>
    </w:p>
    <w:p>
      <w:pPr>
        <w:ind w:left="4510"/>
        <w:spacing w:before="115" w:line="219" w:lineRule="auto"/>
        <w:rPr>
          <w:rFonts w:ascii="SimSun" w:hAnsi="SimSun" w:eastAsia="SimSun" w:cs="SimSun"/>
          <w:sz w:val="15"/>
          <w:szCs w:val="15"/>
        </w:rPr>
      </w:pPr>
      <w:r>
        <w:rPr>
          <w:rFonts w:ascii="SimSun" w:hAnsi="SimSun" w:eastAsia="SimSun" w:cs="SimSun"/>
          <w:sz w:val="15"/>
          <w:szCs w:val="15"/>
          <w:spacing w:val="-1"/>
        </w:rPr>
        <w:t>修订后的体系文件</w:t>
      </w:r>
    </w:p>
    <w:p>
      <w:pPr>
        <w:ind w:left="4510"/>
        <w:spacing w:before="132" w:line="220" w:lineRule="auto"/>
        <w:rPr>
          <w:rFonts w:ascii="SimSun" w:hAnsi="SimSun" w:eastAsia="SimSun" w:cs="SimSun"/>
          <w:sz w:val="15"/>
          <w:szCs w:val="15"/>
        </w:rPr>
      </w:pPr>
      <w:r>
        <w:rPr>
          <w:rFonts w:ascii="SimSun" w:hAnsi="SimSun" w:eastAsia="SimSun" w:cs="SimSun"/>
          <w:sz w:val="15"/>
          <w:szCs w:val="15"/>
          <w:spacing w:val="-2"/>
        </w:rPr>
        <w:t>培训通知</w:t>
      </w:r>
    </w:p>
    <w:p>
      <w:pPr>
        <w:ind w:left="4510"/>
        <w:spacing w:before="120" w:line="219" w:lineRule="auto"/>
        <w:rPr>
          <w:rFonts w:ascii="SimSun" w:hAnsi="SimSun" w:eastAsia="SimSun" w:cs="SimSun"/>
          <w:sz w:val="15"/>
          <w:szCs w:val="15"/>
        </w:rPr>
      </w:pPr>
      <w:r>
        <w:pict>
          <v:shape id="_x0000_s748" style="position:absolute;margin-left:103.502pt;margin-top:4.01084pt;mso-position-vertical-relative:text;mso-position-horizontal-relative:text;width:77.85pt;height:10.95pt;z-index:25904025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云端数据治理知识培训</w:t>
                  </w:r>
                </w:p>
              </w:txbxContent>
            </v:textbox>
          </v:shape>
        </w:pict>
      </w:r>
      <w:r>
        <w:rPr>
          <w:rFonts w:ascii="SimSun" w:hAnsi="SimSun" w:eastAsia="SimSun" w:cs="SimSun"/>
          <w:sz w:val="15"/>
          <w:szCs w:val="15"/>
          <w:spacing w:val="-2"/>
        </w:rPr>
        <w:t>培训教材</w:t>
      </w:r>
    </w:p>
    <w:p>
      <w:pPr>
        <w:ind w:left="4510"/>
        <w:spacing w:before="92" w:line="219" w:lineRule="auto"/>
        <w:rPr>
          <w:rFonts w:ascii="SimSun" w:hAnsi="SimSun" w:eastAsia="SimSun" w:cs="SimSun"/>
          <w:sz w:val="15"/>
          <w:szCs w:val="15"/>
        </w:rPr>
      </w:pPr>
      <w:r>
        <w:rPr>
          <w:rFonts w:ascii="SimSun" w:hAnsi="SimSun" w:eastAsia="SimSun" w:cs="SimSun"/>
          <w:sz w:val="15"/>
          <w:szCs w:val="15"/>
          <w:spacing w:val="-1"/>
        </w:rPr>
        <w:t>培训合格证书</w:t>
      </w:r>
    </w:p>
    <w:p>
      <w:pPr>
        <w:ind w:left="4510"/>
        <w:spacing w:before="152" w:line="166" w:lineRule="auto"/>
        <w:rPr>
          <w:rFonts w:ascii="SimSun" w:hAnsi="SimSun" w:eastAsia="SimSun" w:cs="SimSun"/>
          <w:sz w:val="15"/>
          <w:szCs w:val="15"/>
        </w:rPr>
      </w:pPr>
      <w:r>
        <w:pict>
          <v:shape id="_x0000_s750" style="position:absolute;margin-left:43.5008pt;margin-top:8.59164pt;mso-position-vertical-relative:text;mso-position-horizontal-relative:text;width:31.75pt;height:10.9pt;z-index:259050496;"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5"/>
                      <w:szCs w:val="15"/>
                    </w:rPr>
                  </w:pPr>
                  <w:r>
                    <w:rPr>
                      <w:rFonts w:ascii="SimSun" w:hAnsi="SimSun" w:eastAsia="SimSun" w:cs="SimSun"/>
                      <w:sz w:val="15"/>
                      <w:szCs w:val="15"/>
                      <w:spacing w:val="-1"/>
                    </w:rPr>
                    <w:t>评估阶段</w:t>
                  </w:r>
                </w:p>
              </w:txbxContent>
            </v:textbox>
          </v:shape>
        </w:pict>
      </w:r>
      <w:r>
        <w:rPr>
          <w:rFonts w:ascii="SimSun" w:hAnsi="SimSun" w:eastAsia="SimSun" w:cs="SimSun"/>
          <w:sz w:val="15"/>
          <w:szCs w:val="15"/>
          <w:spacing w:val="-1"/>
        </w:rPr>
        <w:t>评估计划</w:t>
      </w:r>
    </w:p>
    <w:p>
      <w:pPr>
        <w:ind w:left="2090"/>
        <w:spacing w:line="178" w:lineRule="auto"/>
        <w:rPr>
          <w:rFonts w:ascii="SimSun" w:hAnsi="SimSun" w:eastAsia="SimSun" w:cs="SimSun"/>
          <w:sz w:val="15"/>
          <w:szCs w:val="15"/>
        </w:rPr>
      </w:pPr>
      <w:r>
        <w:rPr>
          <w:rFonts w:ascii="SimSun" w:hAnsi="SimSun" w:eastAsia="SimSun" w:cs="SimSun"/>
          <w:sz w:val="15"/>
          <w:szCs w:val="15"/>
          <w:spacing w:val="-2"/>
        </w:rPr>
        <w:t>项目评估</w:t>
      </w:r>
    </w:p>
    <w:p>
      <w:pPr>
        <w:ind w:left="4510"/>
        <w:spacing w:before="1" w:line="217" w:lineRule="auto"/>
        <w:rPr>
          <w:rFonts w:ascii="SimSun" w:hAnsi="SimSun" w:eastAsia="SimSun" w:cs="SimSun"/>
          <w:sz w:val="15"/>
          <w:szCs w:val="15"/>
        </w:rPr>
      </w:pPr>
      <w:r>
        <w:rPr>
          <w:rFonts w:ascii="SimSun" w:hAnsi="SimSun" w:eastAsia="SimSun" w:cs="SimSun"/>
          <w:sz w:val="15"/>
          <w:szCs w:val="15"/>
          <w:spacing w:val="-1"/>
        </w:rPr>
        <w:t>评估问题列表</w:t>
      </w:r>
    </w:p>
    <w:p>
      <w:pPr>
        <w:ind w:left="4510"/>
        <w:spacing w:before="144" w:line="219" w:lineRule="auto"/>
        <w:rPr>
          <w:rFonts w:ascii="SimSun" w:hAnsi="SimSun" w:eastAsia="SimSun" w:cs="SimSun"/>
          <w:sz w:val="15"/>
          <w:szCs w:val="15"/>
        </w:rPr>
      </w:pPr>
      <w:r>
        <w:pict>
          <v:shape id="_x0000_s752" style="position:absolute;margin-left:103.502pt;margin-top:6.21381pt;mso-position-vertical-relative:text;mso-position-horizontal-relative:text;width:54.25pt;height:28.95pt;z-index:2590382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指导问题解决</w:t>
                  </w:r>
                </w:p>
                <w:p>
                  <w:pPr>
                    <w:ind w:left="20"/>
                    <w:spacing w:before="181" w:line="219" w:lineRule="auto"/>
                    <w:rPr>
                      <w:rFonts w:ascii="SimSun" w:hAnsi="SimSun" w:eastAsia="SimSun" w:cs="SimSun"/>
                      <w:sz w:val="15"/>
                      <w:szCs w:val="15"/>
                    </w:rPr>
                  </w:pPr>
                  <w:r>
                    <w:rPr>
                      <w:rFonts w:ascii="SimSun" w:hAnsi="SimSun" w:eastAsia="SimSun" w:cs="SimSun"/>
                      <w:sz w:val="15"/>
                      <w:szCs w:val="15"/>
                      <w:spacing w:val="-1"/>
                    </w:rPr>
                    <w:t>解决发现的问题</w:t>
                  </w:r>
                </w:p>
              </w:txbxContent>
            </v:textbox>
          </v:shape>
        </w:pict>
      </w:r>
      <w:r>
        <w:rPr>
          <w:rFonts w:ascii="SimSun" w:hAnsi="SimSun" w:eastAsia="SimSun" w:cs="SimSun"/>
          <w:sz w:val="15"/>
          <w:szCs w:val="15"/>
          <w:spacing w:val="-2"/>
        </w:rPr>
        <w:t>持续支持纪要</w:t>
      </w:r>
    </w:p>
    <w:p>
      <w:pPr>
        <w:ind w:left="4510"/>
        <w:spacing w:before="181" w:line="218" w:lineRule="auto"/>
        <w:rPr>
          <w:rFonts w:ascii="SimSun" w:hAnsi="SimSun" w:eastAsia="SimSun" w:cs="SimSun"/>
          <w:sz w:val="15"/>
          <w:szCs w:val="15"/>
        </w:rPr>
      </w:pPr>
      <w:r>
        <w:rPr>
          <w:rFonts w:ascii="SimSun" w:hAnsi="SimSun" w:eastAsia="SimSun" w:cs="SimSun"/>
          <w:sz w:val="15"/>
          <w:szCs w:val="15"/>
          <w:spacing w:val="1"/>
        </w:rPr>
        <w:t>问题解决情况报告</w:t>
      </w:r>
    </w:p>
    <w:p>
      <w:pPr>
        <w:ind w:left="569"/>
        <w:spacing w:before="285" w:line="220" w:lineRule="auto"/>
        <w:rPr>
          <w:rFonts w:ascii="SimSun" w:hAnsi="SimSun" w:eastAsia="SimSun" w:cs="SimSun"/>
          <w:sz w:val="16"/>
          <w:szCs w:val="16"/>
        </w:rPr>
      </w:pPr>
      <w:r>
        <w:rPr>
          <w:rFonts w:ascii="SimSun" w:hAnsi="SimSun" w:eastAsia="SimSun" w:cs="SimSun"/>
          <w:sz w:val="16"/>
          <w:szCs w:val="16"/>
          <w:spacing w:val="-3"/>
        </w:rPr>
        <w:t>6</w:t>
      </w:r>
      <w:r>
        <w:rPr>
          <w:rFonts w:ascii="SimSun" w:hAnsi="SimSun" w:eastAsia="SimSun" w:cs="SimSun"/>
          <w:sz w:val="16"/>
          <w:szCs w:val="16"/>
          <w:spacing w:val="59"/>
        </w:rPr>
        <w:t xml:space="preserve"> </w:t>
      </w:r>
      <w:r>
        <w:rPr>
          <w:rFonts w:ascii="SimSun" w:hAnsi="SimSun" w:eastAsia="SimSun" w:cs="SimSun"/>
          <w:sz w:val="16"/>
          <w:szCs w:val="16"/>
          <w:spacing w:val="-3"/>
        </w:rPr>
        <w:t>沟通计划</w:t>
      </w:r>
    </w:p>
    <w:p>
      <w:pPr>
        <w:ind w:left="5900"/>
        <w:spacing w:before="279" w:line="221" w:lineRule="auto"/>
        <w:rPr>
          <w:rFonts w:ascii="SimSun" w:hAnsi="SimSun" w:eastAsia="SimSun" w:cs="SimSun"/>
          <w:sz w:val="15"/>
          <w:szCs w:val="15"/>
        </w:rPr>
      </w:pPr>
      <w:r>
        <w:pict>
          <v:shape id="_x0000_s754" style="position:absolute;margin-left:185.501pt;margin-top:12.8818pt;mso-position-vertical-relative:text;mso-position-horizontal-relative:text;width:54.25pt;height:10.9pt;z-index:25904332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
                    </w:rPr>
                    <w:t>沟通频率和时机</w:t>
                  </w:r>
                </w:p>
              </w:txbxContent>
            </v:textbox>
          </v:shape>
        </w:pict>
      </w:r>
      <w:r>
        <w:pict>
          <v:shape id="_x0000_s756" style="position:absolute;margin-left:35.5001pt;margin-top:12.9643pt;mso-position-vertical-relative:text;mso-position-horizontal-relative:text;width:16.75pt;height:11pt;z-index:25905254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序号</w:t>
                  </w:r>
                </w:p>
              </w:txbxContent>
            </v:textbox>
          </v:shape>
        </w:pict>
      </w:r>
      <w:r>
        <w:pict>
          <v:shape id="_x0000_s758" style="position:absolute;margin-left:72.5013pt;margin-top:12.9043pt;mso-position-vertical-relative:text;mso-position-horizontal-relative:text;width:99.55pt;height:42.05pt;z-index:259036160;" filled="false" stroked="false" type="#_x0000_t202">
            <v:fill on="false"/>
            <v:stroke on="false"/>
            <v:path/>
            <v:imagedata o:title=""/>
            <o:lock v:ext="edit" aspectratio="false"/>
            <v:textbox inset="0mm,0mm,0mm,0mm">
              <w:txbxContent>
                <w:p>
                  <w:pPr>
                    <w:ind w:left="530"/>
                    <w:spacing w:before="20" w:line="219" w:lineRule="auto"/>
                    <w:rPr>
                      <w:rFonts w:ascii="SimSun" w:hAnsi="SimSun" w:eastAsia="SimSun" w:cs="SimSun"/>
                      <w:sz w:val="15"/>
                      <w:szCs w:val="15"/>
                    </w:rPr>
                  </w:pPr>
                  <w:r>
                    <w:rPr>
                      <w:rFonts w:ascii="SimSun" w:hAnsi="SimSun" w:eastAsia="SimSun" w:cs="SimSun"/>
                      <w:sz w:val="15"/>
                      <w:szCs w:val="15"/>
                      <w:spacing w:val="-5"/>
                    </w:rPr>
                    <w:t>沟</w:t>
                  </w:r>
                  <w:r>
                    <w:rPr>
                      <w:rFonts w:ascii="SimSun" w:hAnsi="SimSun" w:eastAsia="SimSun" w:cs="SimSun"/>
                      <w:sz w:val="15"/>
                      <w:szCs w:val="15"/>
                      <w:spacing w:val="17"/>
                    </w:rPr>
                    <w:t xml:space="preserve"> </w:t>
                  </w:r>
                  <w:r>
                    <w:rPr>
                      <w:rFonts w:ascii="SimSun" w:hAnsi="SimSun" w:eastAsia="SimSun" w:cs="SimSun"/>
                      <w:sz w:val="15"/>
                      <w:szCs w:val="15"/>
                      <w:spacing w:val="-5"/>
                    </w:rPr>
                    <w:t>通</w:t>
                  </w:r>
                  <w:r>
                    <w:rPr>
                      <w:rFonts w:ascii="SimSun" w:hAnsi="SimSun" w:eastAsia="SimSun" w:cs="SimSun"/>
                      <w:sz w:val="15"/>
                      <w:szCs w:val="15"/>
                      <w:spacing w:val="14"/>
                    </w:rPr>
                    <w:t xml:space="preserve"> </w:t>
                  </w:r>
                  <w:r>
                    <w:rPr>
                      <w:rFonts w:ascii="SimSun" w:hAnsi="SimSun" w:eastAsia="SimSun" w:cs="SimSun"/>
                      <w:sz w:val="15"/>
                      <w:szCs w:val="15"/>
                      <w:spacing w:val="-5"/>
                    </w:rPr>
                    <w:t>任</w:t>
                  </w:r>
                  <w:r>
                    <w:rPr>
                      <w:rFonts w:ascii="SimSun" w:hAnsi="SimSun" w:eastAsia="SimSun" w:cs="SimSun"/>
                      <w:sz w:val="15"/>
                      <w:szCs w:val="15"/>
                      <w:spacing w:val="17"/>
                    </w:rPr>
                    <w:t xml:space="preserve"> </w:t>
                  </w:r>
                  <w:r>
                    <w:rPr>
                      <w:rFonts w:ascii="SimSun" w:hAnsi="SimSun" w:eastAsia="SimSun" w:cs="SimSun"/>
                      <w:sz w:val="15"/>
                      <w:szCs w:val="15"/>
                      <w:spacing w:val="-5"/>
                    </w:rPr>
                    <w:t>务</w:t>
                  </w:r>
                </w:p>
                <w:p>
                  <w:pPr>
                    <w:ind w:left="30"/>
                    <w:spacing w:before="172" w:line="219" w:lineRule="auto"/>
                    <w:rPr>
                      <w:rFonts w:ascii="SimSun" w:hAnsi="SimSun" w:eastAsia="SimSun" w:cs="SimSun"/>
                      <w:sz w:val="15"/>
                      <w:szCs w:val="15"/>
                    </w:rPr>
                  </w:pPr>
                  <w:r>
                    <w:rPr>
                      <w:rFonts w:ascii="SimSun" w:hAnsi="SimSun" w:eastAsia="SimSun" w:cs="SimSun"/>
                      <w:sz w:val="15"/>
                      <w:szCs w:val="15"/>
                      <w:spacing w:val="-1"/>
                    </w:rPr>
                    <w:t>云端数据治理基础培训，过程</w:t>
                  </w:r>
                </w:p>
                <w:p>
                  <w:pPr>
                    <w:ind w:left="20"/>
                    <w:spacing w:before="92" w:line="221" w:lineRule="auto"/>
                    <w:rPr>
                      <w:rFonts w:ascii="SimSun" w:hAnsi="SimSun" w:eastAsia="SimSun" w:cs="SimSun"/>
                      <w:sz w:val="15"/>
                      <w:szCs w:val="15"/>
                    </w:rPr>
                  </w:pPr>
                  <w:r>
                    <w:rPr>
                      <w:rFonts w:ascii="SimSun" w:hAnsi="SimSun" w:eastAsia="SimSun" w:cs="SimSun"/>
                      <w:sz w:val="15"/>
                      <w:szCs w:val="15"/>
                      <w:spacing w:val="3"/>
                    </w:rPr>
                    <w:t>比对</w:t>
                  </w:r>
                </w:p>
              </w:txbxContent>
            </v:textbox>
          </v:shape>
        </w:pict>
      </w:r>
      <w:r>
        <w:rPr>
          <w:rFonts w:ascii="SimSun" w:hAnsi="SimSun" w:eastAsia="SimSun" w:cs="SimSun"/>
          <w:sz w:val="15"/>
          <w:szCs w:val="15"/>
          <w:spacing w:val="-7"/>
        </w:rPr>
        <w:t>参</w:t>
      </w:r>
      <w:r>
        <w:rPr>
          <w:rFonts w:ascii="SimSun" w:hAnsi="SimSun" w:eastAsia="SimSun" w:cs="SimSun"/>
          <w:sz w:val="15"/>
          <w:szCs w:val="15"/>
          <w:spacing w:val="-10"/>
        </w:rPr>
        <w:t xml:space="preserve"> </w:t>
      </w:r>
      <w:r>
        <w:rPr>
          <w:rFonts w:ascii="SimSun" w:hAnsi="SimSun" w:eastAsia="SimSun" w:cs="SimSun"/>
          <w:sz w:val="15"/>
          <w:szCs w:val="15"/>
          <w:spacing w:val="-7"/>
        </w:rPr>
        <w:t>与</w:t>
      </w:r>
      <w:r>
        <w:rPr>
          <w:rFonts w:ascii="SimSun" w:hAnsi="SimSun" w:eastAsia="SimSun" w:cs="SimSun"/>
          <w:sz w:val="15"/>
          <w:szCs w:val="15"/>
          <w:spacing w:val="-12"/>
        </w:rPr>
        <w:t xml:space="preserve"> </w:t>
      </w:r>
      <w:r>
        <w:rPr>
          <w:rFonts w:ascii="SimSun" w:hAnsi="SimSun" w:eastAsia="SimSun" w:cs="SimSun"/>
          <w:sz w:val="15"/>
          <w:szCs w:val="15"/>
          <w:spacing w:val="-7"/>
        </w:rPr>
        <w:t>人 员</w:t>
      </w:r>
      <w:r>
        <w:rPr>
          <w:rFonts w:ascii="SimSun" w:hAnsi="SimSun" w:eastAsia="SimSun" w:cs="SimSun"/>
          <w:sz w:val="15"/>
          <w:szCs w:val="15"/>
          <w:spacing w:val="-11"/>
        </w:rPr>
        <w:t xml:space="preserve"> </w:t>
      </w:r>
      <w:r>
        <w:rPr>
          <w:rFonts w:ascii="SimSun" w:hAnsi="SimSun" w:eastAsia="SimSun" w:cs="SimSun"/>
          <w:sz w:val="15"/>
          <w:szCs w:val="15"/>
          <w:spacing w:val="-7"/>
        </w:rPr>
        <w:t>一</w:t>
      </w:r>
    </w:p>
    <w:p>
      <w:pPr>
        <w:ind w:left="5170"/>
        <w:spacing w:before="169" w:line="173" w:lineRule="auto"/>
        <w:rPr>
          <w:rFonts w:ascii="SimSun" w:hAnsi="SimSun" w:eastAsia="SimSun" w:cs="SimSun"/>
          <w:sz w:val="15"/>
          <w:szCs w:val="15"/>
        </w:rPr>
      </w:pPr>
      <w:r>
        <w:rPr>
          <w:rFonts w:ascii="SimSun" w:hAnsi="SimSun" w:eastAsia="SimSun" w:cs="SimSun"/>
          <w:sz w:val="15"/>
          <w:szCs w:val="15"/>
          <w:spacing w:val="-1"/>
        </w:rPr>
        <w:t>项目执行负责人、质量控制员、工作</w:t>
      </w:r>
    </w:p>
    <w:p>
      <w:pPr>
        <w:ind w:left="3880"/>
        <w:spacing w:before="1" w:line="173" w:lineRule="auto"/>
        <w:rPr>
          <w:rFonts w:ascii="SimSun" w:hAnsi="SimSun" w:eastAsia="SimSun" w:cs="SimSun"/>
          <w:sz w:val="15"/>
          <w:szCs w:val="15"/>
        </w:rPr>
      </w:pPr>
      <w:r>
        <w:pict>
          <v:shape id="_x0000_s760" style="position:absolute;margin-left:40.9995pt;margin-top:0.418164pt;mso-position-vertical-relative:text;mso-position-horizontal-relative:text;width:4.95pt;height:9.5pt;z-index:259054592;" filled="false" stroked="false" type="#_x0000_t202">
            <v:fill on="false"/>
            <v:stroke on="false"/>
            <v:path/>
            <v:imagedata o:title=""/>
            <o:lock v:ext="edit" aspectratio="false"/>
            <v:textbox inset="0mm,0mm,0mm,0mm">
              <w:txbxContent>
                <w:p>
                  <w:pPr>
                    <w:ind w:right="3"/>
                    <w:spacing w:before="19" w:line="184" w:lineRule="auto"/>
                    <w:jc w:val="right"/>
                    <w:rPr>
                      <w:rFonts w:ascii="SimSun" w:hAnsi="SimSun" w:eastAsia="SimSun" w:cs="SimSun"/>
                      <w:sz w:val="15"/>
                      <w:szCs w:val="15"/>
                    </w:rPr>
                  </w:pPr>
                  <w:r>
                    <w:rPr>
                      <w:rFonts w:ascii="SimSun" w:hAnsi="SimSun" w:eastAsia="SimSun" w:cs="SimSun"/>
                      <w:sz w:val="15"/>
                      <w:szCs w:val="15"/>
                    </w:rPr>
                    <w:t>1</w:t>
                  </w:r>
                </w:p>
              </w:txbxContent>
            </v:textbox>
          </v:shape>
        </w:pict>
      </w:r>
      <w:r>
        <w:rPr>
          <w:rFonts w:ascii="SimSun" w:hAnsi="SimSun" w:eastAsia="SimSun" w:cs="SimSun"/>
          <w:sz w:val="15"/>
          <w:szCs w:val="15"/>
          <w:spacing w:val="-2"/>
        </w:rPr>
        <w:t>项目启动时</w:t>
      </w:r>
    </w:p>
    <w:p>
      <w:pPr>
        <w:ind w:left="5010"/>
        <w:spacing w:line="220" w:lineRule="auto"/>
        <w:rPr>
          <w:rFonts w:ascii="SimSun" w:hAnsi="SimSun" w:eastAsia="SimSun" w:cs="SimSun"/>
          <w:sz w:val="15"/>
          <w:szCs w:val="15"/>
        </w:rPr>
      </w:pPr>
      <w:r>
        <w:rPr>
          <w:rFonts w:ascii="SimSun" w:hAnsi="SimSun" w:eastAsia="SimSun" w:cs="SimSun"/>
          <w:sz w:val="15"/>
          <w:szCs w:val="15"/>
          <w:spacing w:val="6"/>
        </w:rPr>
        <w:t>组成员</w:t>
      </w:r>
    </w:p>
    <w:p>
      <w:pPr>
        <w:ind w:left="5000" w:right="388" w:firstLine="170"/>
        <w:spacing w:before="160" w:line="265" w:lineRule="auto"/>
        <w:rPr>
          <w:rFonts w:ascii="SimSun" w:hAnsi="SimSun" w:eastAsia="SimSun" w:cs="SimSun"/>
          <w:sz w:val="15"/>
          <w:szCs w:val="15"/>
        </w:rPr>
      </w:pPr>
      <w:r>
        <w:pict>
          <v:shape id="_x0000_s762" style="position:absolute;margin-left:40.9995pt;margin-top:12.4629pt;mso-position-vertical-relative:text;mso-position-horizontal-relative:text;width:108.2pt;height:11.45pt;z-index:2590392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position w:val="-1"/>
                    </w:rPr>
                    <w:t>2</w:t>
                  </w:r>
                  <w:r>
                    <w:rPr>
                      <w:rFonts w:ascii="SimSun" w:hAnsi="SimSun" w:eastAsia="SimSun" w:cs="SimSun"/>
                      <w:sz w:val="15"/>
                      <w:szCs w:val="15"/>
                      <w:spacing w:val="6"/>
                      <w:position w:val="-1"/>
                    </w:rPr>
                    <w:t xml:space="preserve">       </w:t>
                  </w:r>
                  <w:r>
                    <w:rPr>
                      <w:rFonts w:ascii="SimSun" w:hAnsi="SimSun" w:eastAsia="SimSun" w:cs="SimSun"/>
                      <w:sz w:val="15"/>
                      <w:szCs w:val="15"/>
                      <w:spacing w:val="-2"/>
                    </w:rPr>
                    <w:t>过程改进实施计划制订</w:t>
                  </w:r>
                </w:p>
              </w:txbxContent>
            </v:textbox>
          </v:shape>
        </w:pict>
      </w:r>
      <w:r>
        <w:pict>
          <v:shape id="_x0000_s764" style="position:absolute;margin-left:193pt;margin-top:12.4928pt;mso-position-vertical-relative:text;mso-position-horizontal-relative:text;width:39.1pt;height:10.95pt;z-index:25904844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项目启动时</w:t>
                  </w:r>
                </w:p>
              </w:txbxContent>
            </v:textbox>
          </v:shape>
        </w:pict>
      </w:r>
      <w:r>
        <w:rPr>
          <w:rFonts w:ascii="SimSun" w:hAnsi="SimSun" w:eastAsia="SimSun" w:cs="SimSun"/>
          <w:sz w:val="15"/>
          <w:szCs w:val="15"/>
          <w:spacing w:val="-1"/>
        </w:rPr>
        <w:t>项目执行负责人、质量控制员、工作</w:t>
      </w:r>
      <w:r>
        <w:rPr>
          <w:rFonts w:ascii="SimSun" w:hAnsi="SimSun" w:eastAsia="SimSun" w:cs="SimSun"/>
          <w:sz w:val="15"/>
          <w:szCs w:val="15"/>
          <w:spacing w:val="6"/>
        </w:rPr>
        <w:t xml:space="preserve"> </w:t>
      </w:r>
      <w:r>
        <w:rPr>
          <w:rFonts w:ascii="SimSun" w:hAnsi="SimSun" w:eastAsia="SimSun" w:cs="SimSun"/>
          <w:sz w:val="15"/>
          <w:szCs w:val="15"/>
          <w:spacing w:val="6"/>
        </w:rPr>
        <w:t>组成员</w:t>
      </w:r>
    </w:p>
    <w:p>
      <w:pPr>
        <w:spacing w:line="265" w:lineRule="auto"/>
        <w:sectPr>
          <w:footerReference w:type="default" r:id="rId545"/>
          <w:pgSz w:w="8870" w:h="13400"/>
          <w:pgMar w:top="400" w:right="430" w:bottom="521" w:left="489" w:header="0" w:footer="293" w:gutter="0"/>
        </w:sectPr>
        <w:rPr>
          <w:rFonts w:ascii="SimSun" w:hAnsi="SimSun" w:eastAsia="SimSun" w:cs="SimSun"/>
          <w:sz w:val="15"/>
          <w:szCs w:val="15"/>
        </w:rPr>
      </w:pPr>
    </w:p>
    <w:p>
      <w:pPr>
        <w:ind w:left="4612"/>
        <w:spacing w:before="234" w:line="219" w:lineRule="auto"/>
        <w:rPr>
          <w:rFonts w:ascii="SimSun" w:hAnsi="SimSun" w:eastAsia="SimSun" w:cs="SimSun"/>
          <w:sz w:val="20"/>
          <w:szCs w:val="20"/>
        </w:rPr>
      </w:pPr>
      <w:r>
        <w:rPr>
          <w:rFonts w:ascii="SimSun" w:hAnsi="SimSun" w:eastAsia="SimSun" w:cs="SimSun"/>
          <w:sz w:val="20"/>
          <w:szCs w:val="20"/>
          <w:b/>
          <w:bCs/>
          <w:spacing w:val="5"/>
        </w:rPr>
        <w:t>第11章■云端数据治理体系实施■</w:t>
      </w:r>
    </w:p>
    <w:p>
      <w:pPr>
        <w:pStyle w:val="BodyText"/>
        <w:spacing w:line="261" w:lineRule="auto"/>
        <w:rPr/>
      </w:pPr>
      <w:r/>
    </w:p>
    <w:p>
      <w:pPr>
        <w:ind w:left="6960"/>
        <w:spacing w:before="65" w:line="204" w:lineRule="auto"/>
        <w:rPr>
          <w:rFonts w:ascii="SimHei" w:hAnsi="SimHei" w:eastAsia="SimHei" w:cs="SimHei"/>
          <w:sz w:val="20"/>
          <w:szCs w:val="20"/>
        </w:rPr>
      </w:pPr>
      <w:r>
        <w:rPr>
          <w:rFonts w:ascii="SimHei" w:hAnsi="SimHei" w:eastAsia="SimHei" w:cs="SimHei"/>
          <w:sz w:val="20"/>
          <w:szCs w:val="20"/>
          <w:spacing w:val="-2"/>
        </w:rPr>
        <w:t>续表</w:t>
      </w:r>
    </w:p>
    <w:tbl>
      <w:tblPr>
        <w:tblStyle w:val="TableNormal"/>
        <w:tblW w:w="7722" w:type="dxa"/>
        <w:tblInd w:w="5" w:type="dxa"/>
        <w:tblLayout w:type="fixed"/>
        <w:tblBorders>
          <w:left w:val="single" w:color="000000" w:sz="4" w:space="0"/>
          <w:bottom w:val="single" w:color="000000" w:sz="4" w:space="0"/>
          <w:right w:val="single" w:color="000000" w:sz="2" w:space="0"/>
          <w:top w:val="single" w:color="000000" w:sz="2" w:space="0"/>
        </w:tblBorders>
      </w:tblPr>
      <w:tblGrid>
        <w:gridCol w:w="7722"/>
      </w:tblGrid>
      <w:tr>
        <w:trPr>
          <w:trHeight w:val="3084" w:hRule="atLeast"/>
        </w:trPr>
        <w:tc>
          <w:tcPr>
            <w:tcW w:w="7722" w:type="dxa"/>
            <w:vAlign w:val="top"/>
          </w:tcPr>
          <w:p>
            <w:pPr>
              <w:spacing w:line="241" w:lineRule="auto"/>
              <w:rPr>
                <w:rFonts w:ascii="Arial"/>
                <w:sz w:val="21"/>
              </w:rPr>
            </w:pPr>
            <w:r/>
          </w:p>
          <w:p>
            <w:pPr>
              <w:pStyle w:val="TableText"/>
              <w:ind w:left="6899"/>
              <w:spacing w:before="49" w:line="220" w:lineRule="auto"/>
              <w:rPr/>
            </w:pPr>
            <w:r>
              <w:rPr>
                <w:spacing w:val="-2"/>
              </w:rPr>
              <w:t>续表</w:t>
            </w:r>
          </w:p>
          <w:p>
            <w:pPr>
              <w:spacing w:line="100" w:lineRule="auto"/>
              <w:rPr>
                <w:rFonts w:ascii="Arial"/>
                <w:sz w:val="2"/>
              </w:rPr>
            </w:pPr>
            <w:r>
              <w:rPr>
                <w:rFonts w:ascii="Arial"/>
                <w:sz w:val="2"/>
              </w:rPr>
            </w:r>
          </w:p>
          <w:tbl>
            <w:tblPr>
              <w:tblStyle w:val="TableNormal"/>
              <w:tblW w:w="713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14"/>
              <w:gridCol w:w="2416"/>
              <w:gridCol w:w="1278"/>
              <w:gridCol w:w="2831"/>
            </w:tblGrid>
            <w:tr>
              <w:trPr>
                <w:trHeight w:val="592" w:hRule="atLeast"/>
              </w:trPr>
              <w:tc>
                <w:tcPr>
                  <w:tcW w:w="614" w:type="dxa"/>
                  <w:vAlign w:val="top"/>
                </w:tcPr>
                <w:p>
                  <w:pPr>
                    <w:pStyle w:val="TableText"/>
                    <w:ind w:left="254"/>
                    <w:spacing w:before="259" w:line="183" w:lineRule="auto"/>
                    <w:rPr/>
                  </w:pPr>
                  <w:r>
                    <w:rPr/>
                    <w:t>3</w:t>
                  </w:r>
                </w:p>
              </w:tc>
              <w:tc>
                <w:tcPr>
                  <w:tcW w:w="2416" w:type="dxa"/>
                  <w:vAlign w:val="top"/>
                </w:tcPr>
                <w:p>
                  <w:pPr>
                    <w:pStyle w:val="TableText"/>
                    <w:ind w:left="250"/>
                    <w:spacing w:before="221" w:line="219" w:lineRule="auto"/>
                    <w:rPr/>
                  </w:pPr>
                  <w:r>
                    <w:rPr>
                      <w:spacing w:val="-1"/>
                    </w:rPr>
                    <w:t>工作完成情况及遇到的问题</w:t>
                  </w:r>
                </w:p>
              </w:tc>
              <w:tc>
                <w:tcPr>
                  <w:tcW w:w="1278" w:type="dxa"/>
                  <w:vAlign w:val="top"/>
                </w:tcPr>
                <w:p>
                  <w:pPr>
                    <w:pStyle w:val="TableText"/>
                    <w:ind w:left="484"/>
                    <w:spacing w:before="221" w:line="219" w:lineRule="auto"/>
                    <w:rPr/>
                  </w:pPr>
                  <w:r>
                    <w:rPr>
                      <w:spacing w:val="8"/>
                    </w:rPr>
                    <w:t>每周</w:t>
                  </w:r>
                </w:p>
              </w:tc>
              <w:tc>
                <w:tcPr>
                  <w:tcW w:w="2831" w:type="dxa"/>
                  <w:vAlign w:val="top"/>
                </w:tcPr>
                <w:p>
                  <w:pPr>
                    <w:pStyle w:val="TableText"/>
                    <w:ind w:left="107" w:right="162" w:firstLine="160"/>
                    <w:spacing w:before="80" w:line="290" w:lineRule="auto"/>
                    <w:rPr/>
                  </w:pPr>
                  <w:r>
                    <w:rPr>
                      <w:spacing w:val="-1"/>
                    </w:rPr>
                    <w:t>项目执行负责人、质量控制员、工作</w:t>
                  </w:r>
                  <w:r>
                    <w:rPr>
                      <w:spacing w:val="6"/>
                    </w:rPr>
                    <w:t xml:space="preserve"> </w:t>
                  </w:r>
                  <w:r>
                    <w:rPr>
                      <w:spacing w:val="6"/>
                    </w:rPr>
                    <w:t>组成员</w:t>
                  </w:r>
                </w:p>
              </w:tc>
            </w:tr>
            <w:tr>
              <w:trPr>
                <w:trHeight w:val="598" w:hRule="atLeast"/>
              </w:trPr>
              <w:tc>
                <w:tcPr>
                  <w:tcW w:w="614" w:type="dxa"/>
                  <w:vAlign w:val="top"/>
                </w:tcPr>
                <w:p>
                  <w:pPr>
                    <w:pStyle w:val="TableText"/>
                    <w:ind w:left="254"/>
                    <w:spacing w:before="267" w:line="183" w:lineRule="auto"/>
                    <w:rPr/>
                  </w:pPr>
                  <w:r>
                    <w:rPr/>
                    <w:t>3</w:t>
                  </w:r>
                </w:p>
              </w:tc>
              <w:tc>
                <w:tcPr>
                  <w:tcW w:w="2416" w:type="dxa"/>
                  <w:vAlign w:val="top"/>
                </w:tcPr>
                <w:p>
                  <w:pPr>
                    <w:pStyle w:val="TableText"/>
                    <w:ind w:left="250" w:right="174" w:firstLine="20"/>
                    <w:spacing w:before="98" w:line="277" w:lineRule="auto"/>
                    <w:rPr/>
                  </w:pPr>
                  <w:r>
                    <w:rPr/>
                    <w:t>云端数据治理过程改进中遇到</w:t>
                  </w:r>
                  <w:r>
                    <w:rPr>
                      <w:spacing w:val="9"/>
                    </w:rPr>
                    <w:t xml:space="preserve"> </w:t>
                  </w:r>
                  <w:r>
                    <w:rPr>
                      <w:spacing w:val="1"/>
                    </w:rPr>
                    <w:t>的疑难问题</w:t>
                  </w:r>
                </w:p>
              </w:tc>
              <w:tc>
                <w:tcPr>
                  <w:tcW w:w="1278" w:type="dxa"/>
                  <w:vAlign w:val="top"/>
                </w:tcPr>
                <w:p>
                  <w:pPr>
                    <w:pStyle w:val="TableText"/>
                    <w:ind w:left="484"/>
                    <w:spacing w:before="229" w:line="219" w:lineRule="auto"/>
                    <w:rPr/>
                  </w:pPr>
                  <w:r>
                    <w:rPr>
                      <w:spacing w:val="19"/>
                    </w:rPr>
                    <w:t>每月</w:t>
                  </w:r>
                </w:p>
              </w:tc>
              <w:tc>
                <w:tcPr>
                  <w:tcW w:w="2831" w:type="dxa"/>
                  <w:vAlign w:val="top"/>
                </w:tcPr>
                <w:p>
                  <w:pPr>
                    <w:pStyle w:val="TableText"/>
                    <w:ind w:left="107" w:right="162" w:firstLine="160"/>
                    <w:spacing w:before="99" w:line="277" w:lineRule="auto"/>
                    <w:rPr/>
                  </w:pPr>
                  <w:r>
                    <w:rPr>
                      <w:spacing w:val="-1"/>
                    </w:rPr>
                    <w:t>项目执行负责人、质量控制员、工作</w:t>
                  </w:r>
                  <w:r>
                    <w:rPr>
                      <w:spacing w:val="6"/>
                    </w:rPr>
                    <w:t xml:space="preserve"> </w:t>
                  </w:r>
                  <w:r>
                    <w:rPr>
                      <w:spacing w:val="6"/>
                    </w:rPr>
                    <w:t>组成员</w:t>
                  </w:r>
                </w:p>
              </w:tc>
            </w:tr>
            <w:tr>
              <w:trPr>
                <w:trHeight w:val="607" w:hRule="atLeast"/>
              </w:trPr>
              <w:tc>
                <w:tcPr>
                  <w:tcW w:w="614" w:type="dxa"/>
                  <w:vAlign w:val="top"/>
                </w:tcPr>
                <w:p>
                  <w:pPr>
                    <w:pStyle w:val="TableText"/>
                    <w:ind w:left="254"/>
                    <w:spacing w:before="270" w:line="182" w:lineRule="auto"/>
                    <w:rPr/>
                  </w:pPr>
                  <w:r>
                    <w:rPr/>
                    <w:t>5</w:t>
                  </w:r>
                </w:p>
              </w:tc>
              <w:tc>
                <w:tcPr>
                  <w:tcW w:w="2416" w:type="dxa"/>
                  <w:vAlign w:val="top"/>
                </w:tcPr>
                <w:p>
                  <w:pPr>
                    <w:pStyle w:val="TableText"/>
                    <w:ind w:left="250"/>
                    <w:spacing w:before="229" w:line="218" w:lineRule="auto"/>
                    <w:rPr/>
                  </w:pPr>
                  <w:r>
                    <w:rPr>
                      <w:spacing w:val="-2"/>
                    </w:rPr>
                    <w:t>阶段评估工作准备</w:t>
                  </w:r>
                </w:p>
              </w:tc>
              <w:tc>
                <w:tcPr>
                  <w:tcW w:w="1278" w:type="dxa"/>
                  <w:vAlign w:val="top"/>
                </w:tcPr>
                <w:p>
                  <w:pPr>
                    <w:pStyle w:val="TableText"/>
                    <w:ind w:left="104"/>
                    <w:spacing w:before="229" w:line="218" w:lineRule="auto"/>
                    <w:rPr/>
                  </w:pPr>
                  <w:r>
                    <w:rPr>
                      <w:spacing w:val="-1"/>
                    </w:rPr>
                    <w:t>每次阶段评估前</w:t>
                  </w:r>
                </w:p>
              </w:tc>
              <w:tc>
                <w:tcPr>
                  <w:tcW w:w="2831" w:type="dxa"/>
                  <w:vAlign w:val="top"/>
                </w:tcPr>
                <w:p>
                  <w:pPr>
                    <w:pStyle w:val="TableText"/>
                    <w:ind w:left="107" w:right="142" w:firstLine="179"/>
                    <w:spacing w:before="111" w:line="283" w:lineRule="auto"/>
                    <w:rPr/>
                  </w:pPr>
                  <w:r>
                    <w:rPr>
                      <w:spacing w:val="-1"/>
                    </w:rPr>
                    <w:t>项目执行负责人、质量控制员、工作</w:t>
                  </w:r>
                  <w:r>
                    <w:rPr>
                      <w:spacing w:val="6"/>
                    </w:rPr>
                    <w:t xml:space="preserve"> </w:t>
                  </w:r>
                  <w:r>
                    <w:rPr>
                      <w:spacing w:val="6"/>
                    </w:rPr>
                    <w:t>组成员</w:t>
                  </w:r>
                </w:p>
              </w:tc>
            </w:tr>
            <w:tr>
              <w:trPr>
                <w:trHeight w:val="582" w:hRule="atLeast"/>
              </w:trPr>
              <w:tc>
                <w:tcPr>
                  <w:tcW w:w="614" w:type="dxa"/>
                  <w:vAlign w:val="top"/>
                </w:tcPr>
                <w:p>
                  <w:pPr>
                    <w:pStyle w:val="TableText"/>
                    <w:ind w:left="254"/>
                    <w:spacing w:before="262" w:line="183" w:lineRule="auto"/>
                    <w:rPr/>
                  </w:pPr>
                  <w:r>
                    <w:rPr/>
                    <w:t>6</w:t>
                  </w:r>
                </w:p>
              </w:tc>
              <w:tc>
                <w:tcPr>
                  <w:tcW w:w="2416" w:type="dxa"/>
                  <w:vAlign w:val="top"/>
                </w:tcPr>
                <w:p>
                  <w:pPr>
                    <w:pStyle w:val="TableText"/>
                    <w:ind w:left="250"/>
                    <w:spacing w:before="224" w:line="220" w:lineRule="auto"/>
                    <w:rPr/>
                  </w:pPr>
                  <w:r>
                    <w:rPr>
                      <w:spacing w:val="-2"/>
                    </w:rPr>
                    <w:t>项目总结</w:t>
                  </w:r>
                </w:p>
              </w:tc>
              <w:tc>
                <w:tcPr>
                  <w:tcW w:w="1278" w:type="dxa"/>
                  <w:vAlign w:val="top"/>
                </w:tcPr>
                <w:p>
                  <w:pPr>
                    <w:pStyle w:val="TableText"/>
                    <w:ind w:left="254"/>
                    <w:spacing w:before="224" w:line="219" w:lineRule="auto"/>
                    <w:rPr/>
                  </w:pPr>
                  <w:r>
                    <w:rPr>
                      <w:spacing w:val="-2"/>
                    </w:rPr>
                    <w:t>项目结束时</w:t>
                  </w:r>
                </w:p>
              </w:tc>
              <w:tc>
                <w:tcPr>
                  <w:tcW w:w="2831" w:type="dxa"/>
                  <w:vAlign w:val="top"/>
                </w:tcPr>
                <w:p>
                  <w:pPr>
                    <w:pStyle w:val="TableText"/>
                    <w:ind w:left="107" w:right="68" w:firstLine="170"/>
                    <w:spacing w:before="93" w:line="283" w:lineRule="auto"/>
                    <w:rPr/>
                  </w:pPr>
                  <w:r>
                    <w:rPr>
                      <w:spacing w:val="4"/>
                    </w:rPr>
                    <w:t>项目指导委员会、项目执行负责人、</w:t>
                  </w:r>
                  <w:r>
                    <w:rPr>
                      <w:spacing w:val="9"/>
                    </w:rPr>
                    <w:t xml:space="preserve"> </w:t>
                  </w:r>
                  <w:r>
                    <w:rPr>
                      <w:spacing w:val="-1"/>
                    </w:rPr>
                    <w:t>质量控制员、工作组成员。</w:t>
                  </w:r>
                </w:p>
              </w:tc>
            </w:tr>
          </w:tbl>
          <w:p>
            <w:pPr>
              <w:spacing w:line="164" w:lineRule="exact"/>
              <w:rPr>
                <w:rFonts w:ascii="Arial"/>
                <w:sz w:val="14"/>
              </w:rPr>
            </w:pPr>
            <w:r/>
          </w:p>
        </w:tc>
      </w:tr>
    </w:tbl>
    <w:p>
      <w:pPr>
        <w:pStyle w:val="BodyText"/>
        <w:spacing w:line="343" w:lineRule="auto"/>
        <w:rPr/>
      </w:pPr>
      <w:r/>
    </w:p>
    <w:p>
      <w:pPr>
        <w:ind w:left="63"/>
        <w:spacing w:before="91" w:line="228" w:lineRule="auto"/>
        <w:outlineLvl w:val="6"/>
        <w:rPr>
          <w:rFonts w:ascii="YouYuan" w:hAnsi="YouYuan" w:eastAsia="YouYuan" w:cs="YouYuan"/>
          <w:sz w:val="28"/>
          <w:szCs w:val="28"/>
        </w:rPr>
      </w:pPr>
      <w:r>
        <w:rPr>
          <w:rFonts w:ascii="YouYuan" w:hAnsi="YouYuan" w:eastAsia="YouYuan" w:cs="YouYuan"/>
          <w:sz w:val="28"/>
          <w:szCs w:val="28"/>
          <w:b/>
          <w:bCs/>
          <w:spacing w:val="-3"/>
        </w:rPr>
        <w:t>11.4.2</w:t>
      </w:r>
      <w:r>
        <w:rPr>
          <w:rFonts w:ascii="YouYuan" w:hAnsi="YouYuan" w:eastAsia="YouYuan" w:cs="YouYuan"/>
          <w:sz w:val="28"/>
          <w:szCs w:val="28"/>
          <w:spacing w:val="-3"/>
        </w:rPr>
        <w:t xml:space="preserve">  </w:t>
      </w:r>
      <w:r>
        <w:rPr>
          <w:rFonts w:ascii="YouYuan" w:hAnsi="YouYuan" w:eastAsia="YouYuan" w:cs="YouYuan"/>
          <w:sz w:val="28"/>
          <w:szCs w:val="28"/>
          <w:b/>
          <w:bCs/>
          <w:spacing w:val="-3"/>
        </w:rPr>
        <w:t>实施改进措施</w:t>
      </w:r>
    </w:p>
    <w:p>
      <w:pPr>
        <w:pStyle w:val="BodyText"/>
        <w:spacing w:line="249" w:lineRule="auto"/>
        <w:rPr/>
      </w:pPr>
      <w:r/>
    </w:p>
    <w:p>
      <w:pPr>
        <w:ind w:left="59" w:right="183" w:firstLine="430"/>
        <w:spacing w:before="65" w:line="270" w:lineRule="auto"/>
        <w:jc w:val="both"/>
        <w:rPr>
          <w:rFonts w:ascii="SimSun" w:hAnsi="SimSun" w:eastAsia="SimSun" w:cs="SimSun"/>
          <w:sz w:val="20"/>
          <w:szCs w:val="20"/>
        </w:rPr>
      </w:pPr>
      <w:r>
        <w:rPr>
          <w:rFonts w:ascii="SimSun" w:hAnsi="SimSun" w:eastAsia="SimSun" w:cs="SimSun"/>
          <w:sz w:val="20"/>
          <w:szCs w:val="20"/>
          <w:spacing w:val="12"/>
        </w:rPr>
        <w:t>组织也可通过绩效评估和审计等机制发现已经</w:t>
      </w:r>
      <w:r>
        <w:rPr>
          <w:rFonts w:ascii="SimSun" w:hAnsi="SimSun" w:eastAsia="SimSun" w:cs="SimSun"/>
          <w:sz w:val="20"/>
          <w:szCs w:val="20"/>
          <w:spacing w:val="11"/>
        </w:rPr>
        <w:t>发生的或潜在发生的问题，然后</w:t>
      </w:r>
      <w:r>
        <w:rPr>
          <w:rFonts w:ascii="SimSun" w:hAnsi="SimSun" w:eastAsia="SimSun" w:cs="SimSun"/>
          <w:sz w:val="20"/>
          <w:szCs w:val="20"/>
        </w:rPr>
        <w:t xml:space="preserve"> </w:t>
      </w:r>
      <w:r>
        <w:rPr>
          <w:rFonts w:ascii="SimSun" w:hAnsi="SimSun" w:eastAsia="SimSun" w:cs="SimSun"/>
          <w:sz w:val="20"/>
          <w:szCs w:val="20"/>
          <w:spacing w:val="12"/>
        </w:rPr>
        <w:t>对问题的原因进行分析，并依托当前的资源针对</w:t>
      </w:r>
      <w:r>
        <w:rPr>
          <w:rFonts w:ascii="SimSun" w:hAnsi="SimSun" w:eastAsia="SimSun" w:cs="SimSun"/>
          <w:sz w:val="20"/>
          <w:szCs w:val="20"/>
          <w:spacing w:val="11"/>
        </w:rPr>
        <w:t>导致问题的原因采取纠正措施或预</w:t>
      </w:r>
      <w:r>
        <w:rPr>
          <w:rFonts w:ascii="SimSun" w:hAnsi="SimSun" w:eastAsia="SimSun" w:cs="SimSun"/>
          <w:sz w:val="20"/>
          <w:szCs w:val="20"/>
        </w:rPr>
        <w:t xml:space="preserve"> </w:t>
      </w:r>
      <w:r>
        <w:rPr>
          <w:rFonts w:ascii="SimSun" w:hAnsi="SimSun" w:eastAsia="SimSun" w:cs="SimSun"/>
          <w:sz w:val="20"/>
          <w:szCs w:val="20"/>
          <w:spacing w:val="8"/>
        </w:rPr>
        <w:t>防措施，从管理体系的规定和执行两方面实施持续改进。</w:t>
      </w:r>
    </w:p>
    <w:p>
      <w:pPr>
        <w:spacing w:line="270" w:lineRule="auto"/>
        <w:sectPr>
          <w:footerReference w:type="default" r:id="rId548"/>
          <w:pgSz w:w="8870" w:h="13400"/>
          <w:pgMar w:top="400" w:right="651" w:bottom="560" w:left="350" w:header="0" w:footer="361" w:gutter="0"/>
        </w:sectPr>
        <w:rPr>
          <w:rFonts w:ascii="SimSun" w:hAnsi="SimSun" w:eastAsia="SimSun" w:cs="SimSun"/>
          <w:sz w:val="20"/>
          <w:szCs w:val="20"/>
        </w:rPr>
      </w:pPr>
    </w:p>
    <w:p>
      <w:pPr>
        <w:pStyle w:val="BodyText"/>
        <w:spacing w:line="285" w:lineRule="auto"/>
        <w:rPr/>
      </w:pPr>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6" w:lineRule="auto"/>
        <w:rPr/>
      </w:pPr>
      <w:r/>
    </w:p>
    <w:p>
      <w:pPr>
        <w:ind w:left="3305"/>
        <w:spacing w:before="130" w:line="222" w:lineRule="auto"/>
        <w:rPr>
          <w:rFonts w:ascii="SimHei" w:hAnsi="SimHei" w:eastAsia="SimHei" w:cs="SimHei"/>
          <w:sz w:val="40"/>
          <w:szCs w:val="40"/>
        </w:rPr>
      </w:pPr>
      <w:r>
        <w:rPr>
          <w:rFonts w:ascii="SimHei" w:hAnsi="SimHei" w:eastAsia="SimHei" w:cs="SimHei"/>
          <w:sz w:val="40"/>
          <w:szCs w:val="40"/>
          <w:b/>
          <w:bCs/>
          <w:spacing w:val="-8"/>
        </w:rPr>
        <w:t>参考文献</w:t>
      </w:r>
    </w:p>
    <w:p>
      <w:pPr>
        <w:pStyle w:val="BodyText"/>
        <w:spacing w:line="292" w:lineRule="auto"/>
        <w:rPr/>
      </w:pPr>
      <w:r/>
    </w:p>
    <w:p>
      <w:pPr>
        <w:pStyle w:val="BodyText"/>
        <w:spacing w:line="293" w:lineRule="auto"/>
        <w:rPr/>
      </w:pPr>
      <w:r/>
    </w:p>
    <w:p>
      <w:pPr>
        <w:ind w:left="259" w:right="65" w:firstLine="440"/>
        <w:spacing w:before="69" w:line="251" w:lineRule="auto"/>
        <w:rPr>
          <w:rFonts w:ascii="SimSun" w:hAnsi="SimSun" w:eastAsia="SimSun" w:cs="SimSun"/>
          <w:sz w:val="21"/>
          <w:szCs w:val="21"/>
        </w:rPr>
      </w:pPr>
      <w:r>
        <w:rPr>
          <w:rFonts w:ascii="SimSun" w:hAnsi="SimSun" w:eastAsia="SimSun" w:cs="SimSun"/>
          <w:sz w:val="21"/>
          <w:szCs w:val="21"/>
          <w:spacing w:val="-6"/>
        </w:rPr>
        <w:t>[1]马欢，刘晨，译.</w:t>
      </w:r>
      <w:r>
        <w:rPr>
          <w:rFonts w:ascii="Times New Roman" w:hAnsi="Times New Roman" w:eastAsia="Times New Roman" w:cs="Times New Roman"/>
          <w:sz w:val="21"/>
          <w:szCs w:val="21"/>
          <w:spacing w:val="-6"/>
        </w:rPr>
        <w:t>DAMA  </w:t>
      </w:r>
      <w:r>
        <w:rPr>
          <w:rFonts w:ascii="SimSun" w:hAnsi="SimSun" w:eastAsia="SimSun" w:cs="SimSun"/>
          <w:sz w:val="21"/>
          <w:szCs w:val="21"/>
          <w:spacing w:val="-6"/>
        </w:rPr>
        <w:t>国际.</w:t>
      </w:r>
      <w:r>
        <w:rPr>
          <w:rFonts w:ascii="Times New Roman" w:hAnsi="Times New Roman" w:eastAsia="Times New Roman" w:cs="Times New Roman"/>
          <w:sz w:val="21"/>
          <w:szCs w:val="21"/>
          <w:spacing w:val="-6"/>
        </w:rPr>
        <w:t>DAMA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数据知识管理知识体系指南</w:t>
      </w:r>
      <w:r>
        <w:rPr>
          <w:rFonts w:ascii="Times New Roman" w:hAnsi="Times New Roman" w:eastAsia="Times New Roman" w:cs="Times New Roman"/>
          <w:sz w:val="21"/>
          <w:szCs w:val="21"/>
          <w:spacing w:val="-6"/>
        </w:rPr>
        <w:t>[M].  </w:t>
      </w:r>
      <w:r>
        <w:rPr>
          <w:rFonts w:ascii="SimSun" w:hAnsi="SimSun" w:eastAsia="SimSun" w:cs="SimSun"/>
          <w:sz w:val="21"/>
          <w:szCs w:val="21"/>
          <w:spacing w:val="-6"/>
        </w:rPr>
        <w:t>北京：</w:t>
      </w:r>
      <w:r>
        <w:rPr>
          <w:rFonts w:ascii="SimSun" w:hAnsi="SimSun" w:eastAsia="SimSun" w:cs="SimSun"/>
          <w:sz w:val="21"/>
          <w:szCs w:val="21"/>
        </w:rPr>
        <w:t xml:space="preserve"> </w:t>
      </w:r>
      <w:r>
        <w:rPr>
          <w:rFonts w:ascii="SimSun" w:hAnsi="SimSun" w:eastAsia="SimSun" w:cs="SimSun"/>
          <w:sz w:val="21"/>
          <w:szCs w:val="21"/>
          <w:spacing w:val="2"/>
        </w:rPr>
        <w:t>清华大学出版社，2012.</w:t>
      </w:r>
    </w:p>
    <w:p>
      <w:pPr>
        <w:ind w:left="700"/>
        <w:spacing w:before="47" w:line="212" w:lineRule="auto"/>
        <w:rPr>
          <w:rFonts w:ascii="Times New Roman" w:hAnsi="Times New Roman" w:eastAsia="Times New Roman" w:cs="Times New Roman"/>
          <w:sz w:val="21"/>
          <w:szCs w:val="21"/>
        </w:rPr>
      </w:pPr>
      <w:r>
        <w:rPr>
          <w:rFonts w:ascii="SimSun" w:hAnsi="SimSun" w:eastAsia="SimSun" w:cs="SimSun"/>
          <w:sz w:val="21"/>
          <w:szCs w:val="21"/>
          <w:spacing w:val="4"/>
        </w:rPr>
        <w:t>[2]百度百科</w:t>
      </w:r>
      <w:r>
        <w:rPr>
          <w:rFonts w:ascii="SimSun" w:hAnsi="SimSun" w:eastAsia="SimSun" w:cs="SimSun"/>
          <w:sz w:val="21"/>
          <w:szCs w:val="21"/>
          <w:spacing w:val="-43"/>
        </w:rPr>
        <w:t xml:space="preserve"> </w:t>
      </w:r>
      <w:r>
        <w:rPr>
          <w:rFonts w:ascii="SimSun" w:hAnsi="SimSun" w:eastAsia="SimSun" w:cs="SimSun"/>
          <w:sz w:val="21"/>
          <w:szCs w:val="21"/>
          <w:spacing w:val="4"/>
        </w:rPr>
        <w:t>.</w:t>
      </w:r>
      <w:r>
        <w:rPr>
          <w:rFonts w:ascii="SimSun" w:hAnsi="SimSun" w:eastAsia="SimSun" w:cs="SimSun"/>
          <w:sz w:val="21"/>
          <w:szCs w:val="21"/>
          <w:spacing w:val="-62"/>
        </w:rPr>
        <w:t xml:space="preserve"> </w:t>
      </w:r>
      <w:r>
        <w:rPr>
          <w:rFonts w:ascii="SimSun" w:hAnsi="SimSun" w:eastAsia="SimSun" w:cs="SimSun"/>
          <w:sz w:val="21"/>
          <w:szCs w:val="21"/>
          <w:spacing w:val="4"/>
        </w:rPr>
        <w:t>知识</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w:t>
      </w:r>
      <w:hyperlink w:history="true" r:id="rId550">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baike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url</w:t>
        </w:r>
        <w:r>
          <w:rPr>
            <w:rFonts w:ascii="Times New Roman" w:hAnsi="Times New Roman" w:eastAsia="Times New Roman" w:cs="Times New Roman"/>
            <w:sz w:val="21"/>
            <w:szCs w:val="21"/>
            <w:spacing w:val="4"/>
          </w:rPr>
          <w:t>=J-1</w:t>
        </w:r>
        <w:r>
          <w:rPr>
            <w:rFonts w:ascii="Times New Roman" w:hAnsi="Times New Roman" w:eastAsia="Times New Roman" w:cs="Times New Roman"/>
            <w:sz w:val="21"/>
            <w:szCs w:val="21"/>
          </w:rPr>
          <w:t>FZ</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YcEAI</w:t>
        </w:r>
        <w:r>
          <w:rPr>
            <w:rFonts w:ascii="Times New Roman" w:hAnsi="Times New Roman" w:eastAsia="Times New Roman" w:cs="Times New Roman"/>
            <w:sz w:val="21"/>
            <w:szCs w:val="21"/>
            <w:spacing w:val="4"/>
          </w:rPr>
          <w:t>0d</w:t>
        </w:r>
      </w:hyperlink>
    </w:p>
    <w:p>
      <w:pPr>
        <w:ind w:left="259" w:right="260"/>
        <w:spacing w:before="110"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ZqI6hKvX68atuJTJ1-mrG0Kmqocrlm4hum2VnlIJOd_ufYxyvPFqX3KgVVde-</w:t>
      </w:r>
      <w:r>
        <w:rPr>
          <w:rFonts w:ascii="Times New Roman" w:hAnsi="Times New Roman" w:eastAsia="Times New Roman" w:cs="Times New Roman"/>
          <w:sz w:val="21"/>
          <w:szCs w:val="21"/>
          <w:spacing w:val="-1"/>
        </w:rPr>
        <w:t>HzfodBn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Y62uyX7YiP5zIF44B2McQz</w:t>
      </w:r>
      <w:r>
        <w:rPr>
          <w:rFonts w:ascii="Times New Roman" w:hAnsi="Times New Roman" w:eastAsia="Times New Roman" w:cs="Times New Roman"/>
          <w:sz w:val="21"/>
          <w:szCs w:val="21"/>
          <w:spacing w:val="-1"/>
        </w:rPr>
        <w:t>35Su.</w:t>
      </w:r>
    </w:p>
    <w:p>
      <w:pPr>
        <w:ind w:left="700"/>
        <w:spacing w:before="5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[3]CIO  </w:t>
      </w:r>
      <w:r>
        <w:rPr>
          <w:rFonts w:ascii="SimSun" w:hAnsi="SimSun" w:eastAsia="SimSun" w:cs="SimSun"/>
          <w:sz w:val="21"/>
          <w:szCs w:val="21"/>
          <w:spacing w:val="-2"/>
        </w:rPr>
        <w:t>时代.</w:t>
      </w:r>
      <w:r>
        <w:rPr>
          <w:rFonts w:ascii="Times New Roman" w:hAnsi="Times New Roman" w:eastAsia="Times New Roman" w:cs="Times New Roman"/>
          <w:sz w:val="21"/>
          <w:szCs w:val="21"/>
          <w:spacing w:val="-2"/>
        </w:rPr>
        <w:t>DIKW:</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数据、信息、知识、智慧的金字塔层次体系</w:t>
      </w:r>
      <w:r>
        <w:rPr>
          <w:rFonts w:ascii="Times New Roman" w:hAnsi="Times New Roman" w:eastAsia="Times New Roman" w:cs="Times New Roman"/>
          <w:sz w:val="21"/>
          <w:szCs w:val="21"/>
          <w:spacing w:val="-2"/>
        </w:rPr>
        <w:t>[EB/OL].http://</w:t>
      </w:r>
    </w:p>
    <w:p>
      <w:pPr>
        <w:ind w:left="259"/>
        <w:spacing w:before="17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www.ciotimes.com/ProCase/85417</w:t>
      </w:r>
      <w:r>
        <w:rPr>
          <w:rFonts w:ascii="Times New Roman" w:hAnsi="Times New Roman" w:eastAsia="Times New Roman" w:cs="Times New Roman"/>
          <w:sz w:val="21"/>
          <w:szCs w:val="21"/>
          <w:spacing w:val="-1"/>
        </w:rPr>
        <w:t>.html.</w:t>
      </w:r>
    </w:p>
    <w:p>
      <w:pPr>
        <w:ind w:left="259" w:right="235" w:firstLine="440"/>
        <w:spacing w:before="42" w:line="281" w:lineRule="auto"/>
        <w:rPr>
          <w:rFonts w:ascii="Times New Roman" w:hAnsi="Times New Roman" w:eastAsia="Times New Roman" w:cs="Times New Roman"/>
          <w:sz w:val="21"/>
          <w:szCs w:val="21"/>
        </w:rPr>
      </w:pPr>
      <w:r>
        <w:rPr>
          <w:rFonts w:ascii="SimSun" w:hAnsi="SimSun" w:eastAsia="SimSun" w:cs="SimSun"/>
          <w:sz w:val="21"/>
          <w:szCs w:val="21"/>
          <w:spacing w:val="8"/>
        </w:rPr>
        <w:t>[4]百度百科</w:t>
      </w:r>
      <w:r>
        <w:rPr>
          <w:rFonts w:ascii="SimSun" w:hAnsi="SimSun" w:eastAsia="SimSun" w:cs="SimSun"/>
          <w:sz w:val="21"/>
          <w:szCs w:val="21"/>
          <w:spacing w:val="-41"/>
        </w:rPr>
        <w:t xml:space="preserve"> </w:t>
      </w:r>
      <w:r>
        <w:rPr>
          <w:rFonts w:ascii="SimSun" w:hAnsi="SimSun" w:eastAsia="SimSun" w:cs="SimSun"/>
          <w:sz w:val="21"/>
          <w:szCs w:val="21"/>
          <w:spacing w:val="8"/>
        </w:rPr>
        <w:t>.</w:t>
      </w:r>
      <w:r>
        <w:rPr>
          <w:rFonts w:ascii="SimSun" w:hAnsi="SimSun" w:eastAsia="SimSun" w:cs="SimSun"/>
          <w:sz w:val="21"/>
          <w:szCs w:val="21"/>
          <w:spacing w:val="-62"/>
        </w:rPr>
        <w:t xml:space="preserve"> </w:t>
      </w:r>
      <w:r>
        <w:rPr>
          <w:rFonts w:ascii="SimSun" w:hAnsi="SimSun" w:eastAsia="SimSun" w:cs="SimSun"/>
          <w:sz w:val="21"/>
          <w:szCs w:val="21"/>
          <w:spacing w:val="8"/>
        </w:rPr>
        <w:t>数据治理</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8"/>
        </w:rPr>
        <w:t>].</w:t>
      </w:r>
      <w:hyperlink w:history="true" r:id="rId551">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baike</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url</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decS</w:t>
        </w:r>
        <w:r>
          <w:rPr>
            <w:rFonts w:ascii="Times New Roman" w:hAnsi="Times New Roman" w:eastAsia="Times New Roman" w:cs="Times New Roman"/>
            <w:sz w:val="21"/>
            <w:szCs w:val="21"/>
            <w:spacing w:val="8"/>
          </w:rPr>
          <w:t>5</w:t>
        </w:r>
        <w:r>
          <w:rPr>
            <w:rFonts w:ascii="Times New Roman" w:hAnsi="Times New Roman" w:eastAsia="Times New Roman" w:cs="Times New Roman"/>
            <w:sz w:val="21"/>
            <w:szCs w:val="21"/>
          </w:rPr>
          <w:t>NfcXA</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AivvRQPXnVehb5yqVMcYB-SbYUdm8Dmrfy_evPpwCqkFYmfkPeuah53TAq</w:t>
      </w:r>
      <w:r>
        <w:rPr>
          <w:rFonts w:ascii="Times New Roman" w:hAnsi="Times New Roman" w:eastAsia="Times New Roman" w:cs="Times New Roman"/>
          <w:sz w:val="21"/>
          <w:szCs w:val="21"/>
          <w:spacing w:val="-1"/>
        </w:rPr>
        <w:t>764Do9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wkCocH7Q_70JX5tG4CaafebBRWtocOZaUX6q9ytpAQegBm2f</w:t>
      </w:r>
      <w:r>
        <w:rPr>
          <w:rFonts w:ascii="Times New Roman" w:hAnsi="Times New Roman" w:eastAsia="Times New Roman" w:cs="Times New Roman"/>
          <w:sz w:val="21"/>
          <w:szCs w:val="21"/>
          <w:spacing w:val="-1"/>
        </w:rPr>
        <w:t>bfkHOw.</w:t>
      </w:r>
    </w:p>
    <w:p>
      <w:pPr>
        <w:ind w:left="259" w:right="85" w:firstLine="440"/>
        <w:spacing w:before="117" w:line="24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[5]DAMA</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International.The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DAMA</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Guide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Body</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Knowledge  1st  Edition  [M].</w:t>
      </w:r>
      <w:r>
        <w:rPr>
          <w:rFonts w:ascii="Times New Roman" w:hAnsi="Times New Roman" w:eastAsia="Times New Roman" w:cs="Times New Roman"/>
          <w:sz w:val="21"/>
          <w:szCs w:val="21"/>
          <w:spacing w:val="-1"/>
        </w:rPr>
        <w:t>USA:Technics  Publications,2009.</w:t>
      </w:r>
    </w:p>
    <w:p>
      <w:pPr>
        <w:ind w:left="259" w:right="105" w:firstLine="440"/>
        <w:spacing w:before="128" w:line="2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[6]ISACA.COBIT5:A  Business  Framework  for  the</w:t>
      </w:r>
      <w:r>
        <w:rPr>
          <w:rFonts w:ascii="Times New Roman" w:hAnsi="Times New Roman" w:eastAsia="Times New Roman" w:cs="Times New Roman"/>
          <w:sz w:val="21"/>
          <w:szCs w:val="21"/>
          <w:spacing w:val="-1"/>
        </w:rPr>
        <w:t xml:space="preserve">  Governance  and  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 Enterprise</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[S].2012.</w:t>
      </w:r>
    </w:p>
    <w:p>
      <w:pPr>
        <w:ind w:left="700"/>
        <w:spacing w:before="14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[7]Data</w:t>
      </w:r>
      <w:r>
        <w:rPr>
          <w:rFonts w:ascii="Times New Roman" w:hAnsi="Times New Roman" w:eastAsia="Times New Roman" w:cs="Times New Roman"/>
          <w:sz w:val="21"/>
          <w:szCs w:val="21"/>
          <w:spacing w:val="52"/>
        </w:rPr>
        <w:t xml:space="preserve"> </w:t>
      </w:r>
      <w:r>
        <w:rPr>
          <w:rFonts w:ascii="Times New Roman" w:hAnsi="Times New Roman" w:eastAsia="Times New Roman" w:cs="Times New Roman"/>
          <w:sz w:val="21"/>
          <w:szCs w:val="21"/>
          <w:spacing w:val="-1"/>
        </w:rPr>
        <w:t>Governance</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Institute.The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DGI</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Governance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1"/>
        </w:rPr>
        <w:t>Framework</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[R].2009.</w:t>
      </w:r>
    </w:p>
    <w:p>
      <w:pPr>
        <w:ind w:left="259" w:right="105" w:firstLine="440"/>
        <w:spacing w:before="114" w:line="2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[8]IBM</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Corporation.IBM  Data   Governance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Council  Maturity</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Model:Building   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Roadmap</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Effective</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Governance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[R].2007.</w:t>
      </w:r>
    </w:p>
    <w:p>
      <w:pPr>
        <w:ind w:left="259" w:right="105" w:firstLine="440"/>
        <w:spacing w:before="9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[9]CMMI      Institute.Data       Management       Maturity    </w:t>
      </w:r>
      <w:r>
        <w:rPr>
          <w:rFonts w:ascii="Times New Roman" w:hAnsi="Times New Roman" w:eastAsia="Times New Roman" w:cs="Times New Roman"/>
          <w:sz w:val="21"/>
          <w:szCs w:val="21"/>
          <w:spacing w:val="-1"/>
        </w:rPr>
        <w:t xml:space="preserve">   (DMM).[EB/OL].http://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cmmiinstitute.com/data-manage</w:t>
      </w:r>
      <w:r>
        <w:rPr>
          <w:rFonts w:ascii="Times New Roman" w:hAnsi="Times New Roman" w:eastAsia="Times New Roman" w:cs="Times New Roman"/>
          <w:sz w:val="21"/>
          <w:szCs w:val="21"/>
          <w:spacing w:val="-1"/>
        </w:rPr>
        <w:t>ment-maturity</w:t>
      </w:r>
    </w:p>
    <w:p>
      <w:pPr>
        <w:ind w:left="259" w:firstLine="440"/>
        <w:spacing w:before="97" w:line="249" w:lineRule="auto"/>
        <w:rPr>
          <w:rFonts w:ascii="Times New Roman" w:hAnsi="Times New Roman" w:eastAsia="Times New Roman" w:cs="Times New Roman"/>
          <w:sz w:val="21"/>
          <w:szCs w:val="21"/>
        </w:rPr>
      </w:pPr>
      <w:r>
        <w:rPr>
          <w:rFonts w:ascii="SimSun" w:hAnsi="SimSun" w:eastAsia="SimSun" w:cs="SimSun"/>
          <w:sz w:val="21"/>
          <w:szCs w:val="21"/>
          <w:spacing w:val="21"/>
        </w:rPr>
        <w:t>[10]商业银行数据治理能力成熟度评估</w:t>
      </w:r>
      <w:r>
        <w:rPr>
          <w:rFonts w:ascii="SimSun" w:hAnsi="SimSun" w:eastAsia="SimSun" w:cs="SimSun"/>
          <w:sz w:val="21"/>
          <w:szCs w:val="21"/>
          <w:spacing w:val="20"/>
        </w:rPr>
        <w:t>应用研究.北京：北京理工大学，</w:t>
      </w:r>
      <w:r>
        <w:rPr>
          <w:rFonts w:ascii="SimSun" w:hAnsi="SimSun" w:eastAsia="SimSun" w:cs="SimSun"/>
          <w:sz w:val="21"/>
          <w:szCs w:val="21"/>
        </w:rPr>
        <w:t xml:space="preserve"> </w:t>
      </w:r>
      <w:r>
        <w:rPr>
          <w:rFonts w:ascii="Times New Roman" w:hAnsi="Times New Roman" w:eastAsia="Times New Roman" w:cs="Times New Roman"/>
          <w:sz w:val="21"/>
          <w:szCs w:val="21"/>
        </w:rPr>
        <w:t>[EB/OL].</w:t>
      </w:r>
      <w:hyperlink w:history="true" r:id="rId552">
        <w:r>
          <w:rPr>
            <w:rFonts w:ascii="Times New Roman" w:hAnsi="Times New Roman" w:eastAsia="Times New Roman" w:cs="Times New Roman"/>
            <w:sz w:val="21"/>
            <w:szCs w:val="21"/>
          </w:rPr>
          <w:t>http://max.book118.com/html/</w:t>
        </w:r>
        <w:r>
          <w:rPr>
            <w:rFonts w:ascii="Times New Roman" w:hAnsi="Times New Roman" w:eastAsia="Times New Roman" w:cs="Times New Roman"/>
            <w:sz w:val="21"/>
            <w:szCs w:val="21"/>
            <w:spacing w:val="-1"/>
          </w:rPr>
          <w:t>2014/1101/10050845.shtm</w:t>
        </w:r>
      </w:hyperlink>
    </w:p>
    <w:p>
      <w:pPr>
        <w:ind w:left="700"/>
        <w:spacing w:before="1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[11]Gartner</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Group.Big</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data[EB/OL].</w:t>
      </w:r>
      <w:hyperlink w:history="true" r:id="rId553">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
          </w:rPr>
          <w:t>/www.Gartner.com/it-glossary/big-data</w:t>
        </w:r>
      </w:hyperlink>
      <w:r>
        <w:rPr>
          <w:rFonts w:ascii="Times New Roman" w:hAnsi="Times New Roman" w:eastAsia="Times New Roman" w:cs="Times New Roman"/>
          <w:sz w:val="21"/>
          <w:szCs w:val="21"/>
          <w:spacing w:val="-1"/>
        </w:rPr>
        <w:t>.</w:t>
      </w:r>
    </w:p>
    <w:p>
      <w:pPr>
        <w:ind w:left="700"/>
        <w:spacing w:before="109" w:line="219" w:lineRule="auto"/>
        <w:rPr>
          <w:rFonts w:ascii="SimSun" w:hAnsi="SimSun" w:eastAsia="SimSun" w:cs="SimSun"/>
          <w:sz w:val="21"/>
          <w:szCs w:val="21"/>
        </w:rPr>
      </w:pPr>
      <w:r>
        <w:rPr>
          <w:rFonts w:ascii="SimSun" w:hAnsi="SimSun" w:eastAsia="SimSun" w:cs="SimSun"/>
          <w:sz w:val="21"/>
          <w:szCs w:val="21"/>
          <w:spacing w:val="2"/>
        </w:rPr>
        <w:t>[12]桑尼尔·索雷斯.大数据治理[M]. 匡斌，译.北京：清华大学出版社.2014</w:t>
      </w:r>
    </w:p>
    <w:p>
      <w:pPr>
        <w:ind w:left="259" w:right="96" w:firstLine="440"/>
        <w:spacing w:before="41" w:line="242" w:lineRule="auto"/>
        <w:rPr>
          <w:rFonts w:ascii="SimSun" w:hAnsi="SimSun" w:eastAsia="SimSun" w:cs="SimSun"/>
          <w:sz w:val="21"/>
          <w:szCs w:val="21"/>
        </w:rPr>
      </w:pPr>
      <w:r>
        <w:rPr>
          <w:rFonts w:ascii="SimSun" w:hAnsi="SimSun" w:eastAsia="SimSun" w:cs="SimSun"/>
          <w:sz w:val="21"/>
          <w:szCs w:val="21"/>
          <w:spacing w:val="2"/>
        </w:rPr>
        <w:t>[13]张明英，潘蓉.</w:t>
      </w:r>
      <w:r>
        <w:rPr>
          <w:rFonts w:ascii="SimSun" w:hAnsi="SimSun" w:eastAsia="SimSun" w:cs="SimSun"/>
          <w:sz w:val="21"/>
          <w:szCs w:val="21"/>
          <w:spacing w:val="28"/>
        </w:rPr>
        <w:t xml:space="preserve"> </w:t>
      </w:r>
      <w:r>
        <w:rPr>
          <w:rFonts w:ascii="SimSun" w:hAnsi="SimSun" w:eastAsia="SimSun" w:cs="SimSun"/>
          <w:sz w:val="21"/>
          <w:szCs w:val="21"/>
          <w:spacing w:val="2"/>
        </w:rPr>
        <w:t>《数据治理白皮书》国际标准</w:t>
      </w:r>
      <w:r>
        <w:rPr>
          <w:rFonts w:ascii="SimSun" w:hAnsi="SimSun" w:eastAsia="SimSun" w:cs="SimSun"/>
          <w:sz w:val="21"/>
          <w:szCs w:val="21"/>
          <w:spacing w:val="1"/>
        </w:rPr>
        <w:t>研究报告要点解读</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国际</w:t>
      </w:r>
      <w:r>
        <w:rPr>
          <w:rFonts w:ascii="SimSun" w:hAnsi="SimSun" w:eastAsia="SimSun" w:cs="SimSun"/>
          <w:sz w:val="21"/>
          <w:szCs w:val="21"/>
        </w:rPr>
        <w:t xml:space="preserve"> </w:t>
      </w:r>
      <w:r>
        <w:rPr>
          <w:rFonts w:ascii="SimSun" w:hAnsi="SimSun" w:eastAsia="SimSun" w:cs="SimSun"/>
          <w:sz w:val="21"/>
          <w:szCs w:val="21"/>
          <w:spacing w:val="8"/>
        </w:rPr>
        <w:t>提案，2015(6):54-57.</w:t>
      </w:r>
    </w:p>
    <w:p>
      <w:pPr>
        <w:ind w:left="259" w:right="63" w:firstLine="440"/>
        <w:spacing w:before="48" w:line="250" w:lineRule="auto"/>
        <w:rPr>
          <w:rFonts w:ascii="SimSun" w:hAnsi="SimSun" w:eastAsia="SimSun" w:cs="SimSun"/>
          <w:sz w:val="21"/>
          <w:szCs w:val="21"/>
        </w:rPr>
      </w:pPr>
      <w:r>
        <w:rPr>
          <w:rFonts w:ascii="SimSun" w:hAnsi="SimSun" w:eastAsia="SimSun" w:cs="SimSun"/>
          <w:sz w:val="21"/>
          <w:szCs w:val="21"/>
          <w:spacing w:val="1"/>
        </w:rPr>
        <w:t>[14]张绍华，潘蓉，宗宇伟.大数据技术与应用.大数据治理与服务</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60"/>
        </w:rPr>
        <w:t xml:space="preserve"> </w:t>
      </w:r>
      <w:r>
        <w:rPr>
          <w:rFonts w:ascii="SimSun" w:hAnsi="SimSun" w:eastAsia="SimSun" w:cs="SimSun"/>
          <w:sz w:val="21"/>
          <w:szCs w:val="21"/>
          <w:spacing w:val="1"/>
        </w:rPr>
        <w:t>上海：</w:t>
      </w:r>
      <w:r>
        <w:rPr>
          <w:rFonts w:ascii="SimSun" w:hAnsi="SimSun" w:eastAsia="SimSun" w:cs="SimSun"/>
          <w:sz w:val="21"/>
          <w:szCs w:val="21"/>
        </w:rPr>
        <w:t xml:space="preserve"> </w:t>
      </w:r>
      <w:r>
        <w:rPr>
          <w:rFonts w:ascii="SimSun" w:hAnsi="SimSun" w:eastAsia="SimSun" w:cs="SimSun"/>
          <w:sz w:val="21"/>
          <w:szCs w:val="21"/>
          <w:spacing w:val="-2"/>
        </w:rPr>
        <w:t>上海科学技术出版社，2016.</w:t>
      </w:r>
    </w:p>
    <w:p>
      <w:pPr>
        <w:ind w:left="259" w:right="156" w:firstLine="440"/>
        <w:spacing w:before="67" w:line="275" w:lineRule="auto"/>
        <w:rPr>
          <w:rFonts w:ascii="Times New Roman" w:hAnsi="Times New Roman" w:eastAsia="Times New Roman" w:cs="Times New Roman"/>
          <w:sz w:val="21"/>
          <w:szCs w:val="21"/>
        </w:rPr>
      </w:pPr>
      <w:r>
        <w:rPr>
          <w:rFonts w:ascii="SimSun" w:hAnsi="SimSun" w:eastAsia="SimSun" w:cs="SimSun"/>
          <w:sz w:val="21"/>
          <w:szCs w:val="21"/>
        </w:rPr>
        <w:t>[15]百度百科.5·28 携程网瘫痪事件 </w:t>
      </w:r>
      <w:r>
        <w:rPr>
          <w:rFonts w:ascii="Times New Roman" w:hAnsi="Times New Roman" w:eastAsia="Times New Roman" w:cs="Times New Roman"/>
          <w:sz w:val="21"/>
          <w:szCs w:val="21"/>
        </w:rPr>
        <w:t>[EB/OL].</w:t>
      </w:r>
      <w:hyperlink w:history="true" r:id="rId554">
        <w:r>
          <w:rPr>
            <w:rFonts w:ascii="Times New Roman" w:hAnsi="Times New Roman" w:eastAsia="Times New Roman" w:cs="Times New Roman"/>
            <w:sz w:val="21"/>
            <w:szCs w:val="21"/>
          </w:rPr>
          <w:t>http://ba</w:t>
        </w:r>
        <w:r>
          <w:rPr>
            <w:rFonts w:ascii="Times New Roman" w:hAnsi="Times New Roman" w:eastAsia="Times New Roman" w:cs="Times New Roman"/>
            <w:sz w:val="21"/>
            <w:szCs w:val="21"/>
            <w:spacing w:val="-1"/>
          </w:rPr>
          <w:t>ike.baidu.com/link?url=</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POW46wYrjm8tUk56dLPiqakk12989Ft2p-gYhg6LsOTYh5COOURCM-dX</w:t>
      </w:r>
      <w:r>
        <w:rPr>
          <w:rFonts w:ascii="Times New Roman" w:hAnsi="Times New Roman" w:eastAsia="Times New Roman" w:cs="Times New Roman"/>
          <w:sz w:val="21"/>
          <w:szCs w:val="21"/>
          <w:spacing w:val="-1"/>
        </w:rPr>
        <w:t>_mTnAj_YE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3gHqZO8HPPQ1TyWLp-hgrVv3Pmk⁷IitZE4jhDUQf8aUZ3Uov6tQ4v</w:t>
      </w:r>
      <w:r>
        <w:rPr>
          <w:rFonts w:ascii="Times New Roman" w:hAnsi="Times New Roman" w:eastAsia="Times New Roman" w:cs="Times New Roman"/>
          <w:sz w:val="21"/>
          <w:szCs w:val="21"/>
          <w:spacing w:val="-1"/>
        </w:rPr>
        <w:t>K4Ba3YyjCeZiox</w:t>
      </w:r>
    </w:p>
    <w:p>
      <w:pPr>
        <w:spacing w:line="275" w:lineRule="auto"/>
        <w:sectPr>
          <w:footerReference w:type="default" r:id="rId549"/>
          <w:pgSz w:w="8870" w:h="13400"/>
          <w:pgMar w:top="400" w:right="364" w:bottom="487" w:left="489" w:header="0" w:footer="278" w:gutter="0"/>
        </w:sectPr>
        <w:rPr>
          <w:rFonts w:ascii="Times New Roman" w:hAnsi="Times New Roman" w:eastAsia="Times New Roman" w:cs="Times New Roman"/>
          <w:sz w:val="21"/>
          <w:szCs w:val="21"/>
        </w:rPr>
      </w:pPr>
    </w:p>
    <w:p>
      <w:pPr>
        <w:ind w:left="6632"/>
        <w:spacing w:before="216" w:line="219" w:lineRule="auto"/>
        <w:rPr>
          <w:rFonts w:ascii="SimSun" w:hAnsi="SimSun" w:eastAsia="SimSun" w:cs="SimSun"/>
          <w:sz w:val="22"/>
          <w:szCs w:val="22"/>
        </w:rPr>
      </w:pPr>
      <w:r>
        <w:rPr>
          <w:rFonts w:ascii="SimSun" w:hAnsi="SimSun" w:eastAsia="SimSun" w:cs="SimSun"/>
          <w:sz w:val="22"/>
          <w:szCs w:val="22"/>
          <w:b/>
          <w:bCs/>
          <w:spacing w:val="-31"/>
          <w:w w:val="95"/>
        </w:rPr>
        <w:t>■参考文献■</w:t>
      </w:r>
    </w:p>
    <w:p>
      <w:pPr>
        <w:pStyle w:val="BodyText"/>
        <w:spacing w:line="295" w:lineRule="auto"/>
        <w:rPr/>
      </w:pPr>
      <w:r/>
    </w:p>
    <w:p>
      <w:pPr>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ZhlnAgQ6iOq7CaQkrYq3_q4</w:t>
      </w:r>
      <w:r>
        <w:rPr>
          <w:rFonts w:ascii="Times New Roman" w:hAnsi="Times New Roman" w:eastAsia="Times New Roman" w:cs="Times New Roman"/>
          <w:sz w:val="22"/>
          <w:szCs w:val="22"/>
          <w:spacing w:val="-6"/>
        </w:rPr>
        <w:t>JsyD41lmsvpaGt5q</w:t>
      </w:r>
    </w:p>
    <w:p>
      <w:pPr>
        <w:ind w:right="149" w:firstLine="430"/>
        <w:spacing w:before="63" w:line="250" w:lineRule="auto"/>
        <w:rPr>
          <w:rFonts w:ascii="Times New Roman" w:hAnsi="Times New Roman" w:eastAsia="Times New Roman" w:cs="Times New Roman"/>
          <w:sz w:val="22"/>
          <w:szCs w:val="22"/>
        </w:rPr>
      </w:pPr>
      <w:r>
        <w:rPr>
          <w:rFonts w:ascii="SimSun" w:hAnsi="SimSun" w:eastAsia="SimSun" w:cs="SimSun"/>
          <w:sz w:val="22"/>
          <w:szCs w:val="22"/>
          <w:spacing w:val="4"/>
        </w:rPr>
        <w:t>[16]</w:t>
      </w:r>
      <w:r>
        <w:rPr>
          <w:rFonts w:ascii="SimSun" w:hAnsi="SimSun" w:eastAsia="SimSun" w:cs="SimSun"/>
          <w:sz w:val="22"/>
          <w:szCs w:val="22"/>
        </w:rPr>
        <w:t>TechWeb</w:t>
      </w:r>
      <w:r>
        <w:rPr>
          <w:rFonts w:ascii="SimSun" w:hAnsi="SimSun" w:eastAsia="SimSun" w:cs="SimSun"/>
          <w:sz w:val="22"/>
          <w:szCs w:val="22"/>
          <w:spacing w:val="4"/>
        </w:rPr>
        <w:t>.携程瘫痪背后：国内企业数据管理混乱[</w:t>
      </w:r>
      <w:r>
        <w:rPr>
          <w:rFonts w:ascii="SimSun" w:hAnsi="SimSun" w:eastAsia="SimSun" w:cs="SimSun"/>
          <w:sz w:val="22"/>
          <w:szCs w:val="22"/>
        </w:rPr>
        <w:t>EB</w:t>
      </w:r>
      <w:r>
        <w:rPr>
          <w:rFonts w:ascii="SimSun" w:hAnsi="SimSun" w:eastAsia="SimSun" w:cs="SimSun"/>
          <w:sz w:val="22"/>
          <w:szCs w:val="22"/>
          <w:spacing w:val="4"/>
        </w:rPr>
        <w:t>/</w:t>
      </w:r>
      <w:r>
        <w:rPr>
          <w:rFonts w:ascii="SimSun" w:hAnsi="SimSun" w:eastAsia="SimSun" w:cs="SimSun"/>
          <w:sz w:val="22"/>
          <w:szCs w:val="22"/>
        </w:rPr>
        <w:t>OL</w:t>
      </w:r>
      <w:r>
        <w:rPr>
          <w:rFonts w:ascii="SimSun" w:hAnsi="SimSun" w:eastAsia="SimSun" w:cs="SimSun"/>
          <w:sz w:val="22"/>
          <w:szCs w:val="22"/>
          <w:spacing w:val="4"/>
        </w:rPr>
        <w:t>].</w:t>
      </w:r>
      <w:r>
        <w:rPr>
          <w:rFonts w:ascii="SimSun" w:hAnsi="SimSun" w:eastAsia="SimSun" w:cs="SimSun"/>
          <w:sz w:val="22"/>
          <w:szCs w:val="22"/>
        </w:rPr>
        <w:t>http</w:t>
      </w:r>
      <w:r>
        <w:rPr>
          <w:rFonts w:ascii="SimSun" w:hAnsi="SimSun" w:eastAsia="SimSun" w:cs="SimSun"/>
          <w:sz w:val="22"/>
          <w:szCs w:val="22"/>
          <w:spacing w:val="3"/>
        </w:rPr>
        <w:t>://</w:t>
      </w:r>
      <w:r>
        <w:rPr>
          <w:rFonts w:ascii="SimSun" w:hAnsi="SimSun" w:eastAsia="SimSun" w:cs="SimSun"/>
          <w:sz w:val="22"/>
          <w:szCs w:val="22"/>
        </w:rPr>
        <w:t>www</w:t>
      </w:r>
      <w:r>
        <w:rPr>
          <w:rFonts w:ascii="SimSun" w:hAnsi="SimSun" w:eastAsia="SimSun" w:cs="SimSun"/>
          <w:sz w:val="22"/>
          <w:szCs w:val="22"/>
          <w:spacing w:val="3"/>
        </w:rPr>
        <w:t>.</w:t>
      </w:r>
      <w:r>
        <w:rPr>
          <w:rFonts w:ascii="SimSun" w:hAnsi="SimSun" w:eastAsia="SimSun" w:cs="SimSun"/>
          <w:sz w:val="22"/>
          <w:szCs w:val="22"/>
        </w:rPr>
        <w:t xml:space="preserve"> </w:t>
      </w:r>
      <w:r>
        <w:rPr>
          <w:rFonts w:ascii="Times New Roman" w:hAnsi="Times New Roman" w:eastAsia="Times New Roman" w:cs="Times New Roman"/>
          <w:sz w:val="22"/>
          <w:szCs w:val="22"/>
          <w:spacing w:val="-4"/>
        </w:rPr>
        <w:t>techweb.com.cn/business/2015-05-29/2158525.sht</w:t>
      </w:r>
      <w:r>
        <w:rPr>
          <w:rFonts w:ascii="Times New Roman" w:hAnsi="Times New Roman" w:eastAsia="Times New Roman" w:cs="Times New Roman"/>
          <w:sz w:val="22"/>
          <w:szCs w:val="22"/>
          <w:spacing w:val="-5"/>
        </w:rPr>
        <w:t>ml</w:t>
      </w:r>
    </w:p>
    <w:p>
      <w:pPr>
        <w:ind w:right="192" w:firstLine="430"/>
        <w:spacing w:before="39" w:line="251" w:lineRule="auto"/>
        <w:rPr>
          <w:rFonts w:ascii="SimSun" w:hAnsi="SimSun" w:eastAsia="SimSun" w:cs="SimSun"/>
          <w:sz w:val="22"/>
          <w:szCs w:val="22"/>
        </w:rPr>
      </w:pPr>
      <w:r>
        <w:rPr>
          <w:rFonts w:ascii="SimSun" w:hAnsi="SimSun" w:eastAsia="SimSun" w:cs="SimSun"/>
          <w:sz w:val="22"/>
          <w:szCs w:val="22"/>
          <w:spacing w:val="-4"/>
        </w:rPr>
        <w:t>[17]潘蓉.由“徐玉玉”事件引发的数据治理体系化思考.</w:t>
      </w:r>
      <w:r>
        <w:rPr>
          <w:rFonts w:ascii="Times New Roman" w:hAnsi="Times New Roman" w:eastAsia="Times New Roman" w:cs="Times New Roman"/>
          <w:sz w:val="22"/>
          <w:szCs w:val="22"/>
          <w:spacing w:val="-4"/>
        </w:rPr>
        <w:t>[EB/OL].http://www.</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1"/>
        </w:rPr>
        <w:t>360doc.com/content/16/0831/23/312670895874014</w:t>
      </w:r>
      <w:r>
        <w:rPr>
          <w:rFonts w:ascii="SimSun" w:hAnsi="SimSun" w:eastAsia="SimSun" w:cs="SimSun"/>
          <w:sz w:val="22"/>
          <w:szCs w:val="22"/>
          <w:spacing w:val="-12"/>
        </w:rPr>
        <w:t>78.shtml</w:t>
      </w:r>
    </w:p>
    <w:p>
      <w:pPr>
        <w:ind w:right="198" w:firstLine="430"/>
        <w:spacing w:before="34" w:line="2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[18]DOIT.  </w:t>
      </w:r>
      <w:r>
        <w:rPr>
          <w:rFonts w:ascii="SimSun" w:hAnsi="SimSun" w:eastAsia="SimSun" w:cs="SimSun"/>
          <w:sz w:val="22"/>
          <w:szCs w:val="22"/>
          <w:spacing w:val="-4"/>
        </w:rPr>
        <w:t>金雅拓发布《2016年上半年数据泄露水平指数调查报告》</w:t>
      </w:r>
      <w:r>
        <w:rPr>
          <w:rFonts w:ascii="Times New Roman" w:hAnsi="Times New Roman" w:eastAsia="Times New Roman" w:cs="Times New Roman"/>
          <w:sz w:val="22"/>
          <w:szCs w:val="22"/>
          <w:spacing w:val="-4"/>
        </w:rPr>
        <w:t>[EB/OL].</w:t>
      </w:r>
      <w:r>
        <w:rPr>
          <w:rFonts w:ascii="Times New Roman" w:hAnsi="Times New Roman" w:eastAsia="Times New Roman" w:cs="Times New Roman"/>
          <w:sz w:val="22"/>
          <w:szCs w:val="22"/>
          <w:spacing w:val="7"/>
        </w:rPr>
        <w:t xml:space="preserve"> </w:t>
      </w:r>
      <w:hyperlink w:history="true" r:id="rId556">
        <w:r>
          <w:rPr>
            <w:rFonts w:ascii="Times New Roman" w:hAnsi="Times New Roman" w:eastAsia="Times New Roman" w:cs="Times New Roman"/>
            <w:sz w:val="22"/>
            <w:szCs w:val="22"/>
            <w:spacing w:val="-5"/>
          </w:rPr>
          <w:t>http://www.doit.com.cn/p/256787.html</w:t>
        </w:r>
      </w:hyperlink>
    </w:p>
    <w:p>
      <w:pPr>
        <w:ind w:left="430"/>
        <w:spacing w:before="88" w:line="219" w:lineRule="auto"/>
        <w:rPr>
          <w:rFonts w:ascii="SimSun" w:hAnsi="SimSun" w:eastAsia="SimSun" w:cs="SimSun"/>
          <w:sz w:val="22"/>
          <w:szCs w:val="22"/>
        </w:rPr>
      </w:pPr>
      <w:r>
        <w:rPr>
          <w:rFonts w:ascii="SimSun" w:hAnsi="SimSun" w:eastAsia="SimSun" w:cs="SimSun"/>
          <w:sz w:val="22"/>
          <w:szCs w:val="22"/>
          <w:spacing w:val="2"/>
        </w:rPr>
        <w:t>[19]宋秀明.住房公积金基础数据标准.中国建设信息，2</w:t>
      </w:r>
      <w:r>
        <w:rPr>
          <w:rFonts w:ascii="SimSun" w:hAnsi="SimSun" w:eastAsia="SimSun" w:cs="SimSun"/>
          <w:sz w:val="22"/>
          <w:szCs w:val="22"/>
          <w:spacing w:val="1"/>
        </w:rPr>
        <w:t>014年21期</w:t>
      </w:r>
    </w:p>
    <w:p>
      <w:pPr>
        <w:ind w:right="201" w:firstLine="430"/>
        <w:spacing w:before="27" w:line="255" w:lineRule="auto"/>
        <w:rPr>
          <w:rFonts w:ascii="Times New Roman" w:hAnsi="Times New Roman" w:eastAsia="Times New Roman" w:cs="Times New Roman"/>
          <w:sz w:val="22"/>
          <w:szCs w:val="22"/>
        </w:rPr>
      </w:pPr>
      <w:r>
        <w:rPr>
          <w:rFonts w:ascii="SimSun" w:hAnsi="SimSun" w:eastAsia="SimSun" w:cs="SimSun"/>
          <w:sz w:val="22"/>
          <w:szCs w:val="22"/>
          <w:spacing w:val="12"/>
        </w:rPr>
        <w:t>[20]新华网 </w:t>
      </w:r>
      <w:r>
        <w:rPr>
          <w:rFonts w:ascii="Times New Roman" w:hAnsi="Times New Roman" w:eastAsia="Times New Roman" w:cs="Times New Roman"/>
          <w:sz w:val="22"/>
          <w:szCs w:val="22"/>
        </w:rPr>
        <w:t>NEWS</w:t>
      </w:r>
      <w:r>
        <w:rPr>
          <w:rFonts w:ascii="Times New Roman" w:hAnsi="Times New Roman" w:eastAsia="Times New Roman" w:cs="Times New Roman"/>
          <w:sz w:val="22"/>
          <w:szCs w:val="22"/>
          <w:spacing w:val="12"/>
        </w:rPr>
        <w:t>.</w:t>
      </w:r>
      <w:r>
        <w:rPr>
          <w:rFonts w:ascii="SimSun" w:hAnsi="SimSun" w:eastAsia="SimSun" w:cs="SimSun"/>
          <w:sz w:val="22"/>
          <w:szCs w:val="22"/>
          <w:spacing w:val="12"/>
        </w:rPr>
        <w:t>英媒称谷歌流感预测连续三年“不靠谱”</w:t>
      </w:r>
      <w:r>
        <w:rPr>
          <w:rFonts w:ascii="SimSun" w:hAnsi="SimSun" w:eastAsia="SimSun" w:cs="SimSun"/>
          <w:sz w:val="22"/>
          <w:szCs w:val="22"/>
          <w:spacing w:val="-72"/>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OL</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 xml:space="preserve"> </w:t>
      </w:r>
      <w:hyperlink w:history="true" r:id="rId557">
        <w:r>
          <w:rPr>
            <w:rFonts w:ascii="Times New Roman" w:hAnsi="Times New Roman" w:eastAsia="Times New Roman" w:cs="Times New Roman"/>
            <w:sz w:val="22"/>
            <w:szCs w:val="22"/>
            <w:spacing w:val="-4"/>
          </w:rPr>
          <w:t>http://news.xinhuanet.com/ca</w:t>
        </w:r>
        <w:r>
          <w:rPr>
            <w:rFonts w:ascii="Times New Roman" w:hAnsi="Times New Roman" w:eastAsia="Times New Roman" w:cs="Times New Roman"/>
            <w:sz w:val="22"/>
            <w:szCs w:val="22"/>
            <w:spacing w:val="-5"/>
          </w:rPr>
          <w:t>nkao/2014-03/15/c</w:t>
        </w:r>
      </w:hyperlink>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5"/>
        </w:rPr>
        <w:t>133188416.htm.</w:t>
      </w:r>
    </w:p>
    <w:p>
      <w:pPr>
        <w:ind w:right="336" w:firstLine="430"/>
        <w:spacing w:before="65" w:line="252" w:lineRule="auto"/>
        <w:rPr>
          <w:rFonts w:ascii="Times New Roman" w:hAnsi="Times New Roman" w:eastAsia="Times New Roman" w:cs="Times New Roman"/>
          <w:sz w:val="22"/>
          <w:szCs w:val="22"/>
        </w:rPr>
      </w:pPr>
      <w:r>
        <w:rPr>
          <w:rFonts w:ascii="SimSun" w:hAnsi="SimSun" w:eastAsia="SimSun" w:cs="SimSun"/>
          <w:sz w:val="22"/>
          <w:szCs w:val="22"/>
          <w:spacing w:val="9"/>
        </w:rPr>
        <w:t>[21]人民网.美使领馆发布 </w:t>
      </w:r>
      <w:r>
        <w:rPr>
          <w:rFonts w:ascii="Times New Roman" w:hAnsi="Times New Roman" w:eastAsia="Times New Roman" w:cs="Times New Roman"/>
          <w:sz w:val="22"/>
          <w:szCs w:val="22"/>
        </w:rPr>
        <w:t>PM</w:t>
      </w:r>
      <w:r>
        <w:rPr>
          <w:rFonts w:ascii="Times New Roman" w:hAnsi="Times New Roman" w:eastAsia="Times New Roman" w:cs="Times New Roman"/>
          <w:sz w:val="22"/>
          <w:szCs w:val="22"/>
          <w:spacing w:val="9"/>
        </w:rPr>
        <w:t>2.5</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9"/>
        </w:rPr>
        <w:t>不合法规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OL</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htp</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paper</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people</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com.cn/rmrbhwb/html/</w:t>
      </w:r>
      <w:r>
        <w:rPr>
          <w:rFonts w:ascii="Times New Roman" w:hAnsi="Times New Roman" w:eastAsia="Times New Roman" w:cs="Times New Roman"/>
          <w:sz w:val="22"/>
          <w:szCs w:val="22"/>
          <w:spacing w:val="-5"/>
        </w:rPr>
        <w:t>2012-06/06/content_</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5"/>
        </w:rPr>
        <w:t>1063104.htm?div=-1</w:t>
      </w:r>
    </w:p>
    <w:p>
      <w:pPr>
        <w:ind w:left="430"/>
        <w:spacing w:before="67" w:line="219" w:lineRule="auto"/>
        <w:rPr>
          <w:rFonts w:ascii="SimSun" w:hAnsi="SimSun" w:eastAsia="SimSun" w:cs="SimSun"/>
          <w:sz w:val="22"/>
          <w:szCs w:val="22"/>
        </w:rPr>
      </w:pPr>
      <w:r>
        <w:rPr>
          <w:rFonts w:ascii="SimSun" w:hAnsi="SimSun" w:eastAsia="SimSun" w:cs="SimSun"/>
          <w:sz w:val="22"/>
          <w:szCs w:val="22"/>
          <w:spacing w:val="-2"/>
        </w:rPr>
        <w:t>[22]财政部.企业内部控制基本规范.2008</w:t>
      </w:r>
    </w:p>
    <w:p>
      <w:pPr>
        <w:ind w:right="188" w:firstLine="430"/>
        <w:spacing w:before="79" w:line="24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[23]BS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ISO/IEC   17788-2014</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Information</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T</w:t>
      </w:r>
      <w:r>
        <w:rPr>
          <w:rFonts w:ascii="Times New Roman" w:hAnsi="Times New Roman" w:eastAsia="Times New Roman" w:cs="Times New Roman"/>
          <w:sz w:val="22"/>
          <w:szCs w:val="22"/>
          <w:spacing w:val="-2"/>
        </w:rPr>
        <w:t>echnology</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-Cloud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Computing</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Overview And Vocabulary</w:t>
      </w:r>
    </w:p>
    <w:p>
      <w:pPr>
        <w:ind w:right="202" w:firstLine="430"/>
        <w:spacing w:before="68"/>
        <w:rPr>
          <w:rFonts w:ascii="SimSun" w:hAnsi="SimSun" w:eastAsia="SimSun" w:cs="SimSun"/>
          <w:sz w:val="22"/>
          <w:szCs w:val="22"/>
        </w:rPr>
      </w:pPr>
      <w:r>
        <w:rPr>
          <w:rFonts w:ascii="SimSun" w:hAnsi="SimSun" w:eastAsia="SimSun" w:cs="SimSun"/>
          <w:sz w:val="22"/>
          <w:szCs w:val="22"/>
          <w:spacing w:val="-8"/>
        </w:rPr>
        <w:t>[24]赵国祥，刘小茵，李尧.云计算信息安全管理—</w:t>
      </w:r>
      <w:r>
        <w:rPr>
          <w:rFonts w:ascii="Times New Roman" w:hAnsi="Times New Roman" w:eastAsia="Times New Roman" w:cs="Times New Roman"/>
          <w:sz w:val="22"/>
          <w:szCs w:val="22"/>
          <w:spacing w:val="-8"/>
        </w:rPr>
        <w:t>CSAC-STAR  </w:t>
      </w:r>
      <w:r>
        <w:rPr>
          <w:rFonts w:ascii="SimSun" w:hAnsi="SimSun" w:eastAsia="SimSun" w:cs="SimSun"/>
          <w:sz w:val="22"/>
          <w:szCs w:val="22"/>
          <w:spacing w:val="-8"/>
        </w:rPr>
        <w:t>实施指南</w:t>
      </w:r>
      <w:r>
        <w:rPr>
          <w:rFonts w:ascii="Times New Roman" w:hAnsi="Times New Roman" w:eastAsia="Times New Roman" w:cs="Times New Roman"/>
          <w:sz w:val="22"/>
          <w:szCs w:val="22"/>
          <w:spacing w:val="-8"/>
        </w:rPr>
        <w:t>[M].</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9"/>
        </w:rPr>
        <w:t>北京：电子工业出版社，2015</w:t>
      </w:r>
    </w:p>
    <w:p>
      <w:pPr>
        <w:ind w:left="430"/>
        <w:spacing w:before="1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[25]McKinsey.Big    data:The    next    frontier    for    inno</w:t>
      </w:r>
      <w:r>
        <w:rPr>
          <w:rFonts w:ascii="Times New Roman" w:hAnsi="Times New Roman" w:eastAsia="Times New Roman" w:cs="Times New Roman"/>
          <w:sz w:val="22"/>
          <w:szCs w:val="22"/>
          <w:spacing w:val="-1"/>
        </w:rPr>
        <w:t>vation,competition,and</w:t>
      </w:r>
    </w:p>
    <w:p>
      <w:pPr>
        <w:spacing w:before="6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productivity.2015</w:t>
      </w:r>
    </w:p>
    <w:p>
      <w:pPr>
        <w:ind w:left="430"/>
        <w:spacing w:before="1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[26]NIST.NIST Big Data Interoperability Framew</w:t>
      </w:r>
      <w:r>
        <w:rPr>
          <w:rFonts w:ascii="Times New Roman" w:hAnsi="Times New Roman" w:eastAsia="Times New Roman" w:cs="Times New Roman"/>
          <w:sz w:val="22"/>
          <w:szCs w:val="22"/>
          <w:spacing w:val="-1"/>
        </w:rPr>
        <w:t>ork:Volume</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1"/>
        </w:rPr>
        <w:t>1,Definitions.2015</w:t>
      </w:r>
    </w:p>
    <w:p>
      <w:pPr>
        <w:ind w:left="430" w:right="982"/>
        <w:spacing w:before="54" w:line="241" w:lineRule="auto"/>
        <w:rPr>
          <w:rFonts w:ascii="SimSun" w:hAnsi="SimSun" w:eastAsia="SimSun" w:cs="SimSun"/>
          <w:sz w:val="22"/>
          <w:szCs w:val="22"/>
        </w:rPr>
      </w:pPr>
      <w:r>
        <w:rPr>
          <w:rFonts w:ascii="SimSun" w:hAnsi="SimSun" w:eastAsia="SimSun" w:cs="SimSun"/>
          <w:sz w:val="22"/>
          <w:szCs w:val="22"/>
          <w:spacing w:val="-3"/>
        </w:rPr>
        <w:t>[27]大数据的特征.</w:t>
      </w:r>
      <w:r>
        <w:rPr>
          <w:rFonts w:ascii="Times New Roman" w:hAnsi="Times New Roman" w:eastAsia="Times New Roman" w:cs="Times New Roman"/>
          <w:sz w:val="22"/>
          <w:szCs w:val="22"/>
          <w:spacing w:val="-3"/>
        </w:rPr>
        <w:t>CDA</w:t>
      </w:r>
      <w:r>
        <w:rPr>
          <w:rFonts w:ascii="SimSun" w:hAnsi="SimSun" w:eastAsia="SimSun" w:cs="SimSun"/>
          <w:sz w:val="22"/>
          <w:szCs w:val="22"/>
          <w:spacing w:val="-3"/>
        </w:rPr>
        <w:t>数据分析师</w:t>
      </w:r>
      <w:hyperlink w:history="true" r:id="rId558">
        <w:r>
          <w:rPr>
            <w:rFonts w:ascii="Times New Roman" w:hAnsi="Times New Roman" w:eastAsia="Times New Roman" w:cs="Times New Roman"/>
            <w:sz w:val="22"/>
            <w:szCs w:val="22"/>
            <w:spacing w:val="-3"/>
          </w:rPr>
          <w:t>http://cda.p</w:t>
        </w:r>
        <w:r>
          <w:rPr>
            <w:rFonts w:ascii="Times New Roman" w:hAnsi="Times New Roman" w:eastAsia="Times New Roman" w:cs="Times New Roman"/>
            <w:sz w:val="22"/>
            <w:szCs w:val="22"/>
            <w:spacing w:val="-4"/>
          </w:rPr>
          <w:t>inggu.org/view/453.html</w:t>
        </w:r>
      </w:hyperlink>
      <w:r>
        <w:rPr>
          <w:rFonts w:ascii="Times New Roman" w:hAnsi="Times New Roman" w:eastAsia="Times New Roman" w:cs="Times New Roman"/>
          <w:sz w:val="22"/>
          <w:szCs w:val="22"/>
        </w:rPr>
        <w:t xml:space="preserve"> </w:t>
      </w:r>
      <w:r>
        <w:rPr>
          <w:rFonts w:ascii="SimSun" w:hAnsi="SimSun" w:eastAsia="SimSun" w:cs="SimSun"/>
          <w:sz w:val="22"/>
          <w:szCs w:val="22"/>
          <w:spacing w:val="-11"/>
        </w:rPr>
        <w:t>[28]大数据时代.百度百科.</w:t>
      </w:r>
    </w:p>
    <w:p>
      <w:pPr>
        <w:ind w:right="309" w:firstLine="430"/>
        <w:spacing w:before="110" w:line="260" w:lineRule="auto"/>
        <w:jc w:val="both"/>
        <w:rPr>
          <w:rFonts w:ascii="Times New Roman" w:hAnsi="Times New Roman" w:eastAsia="Times New Roman" w:cs="Times New Roman"/>
          <w:sz w:val="22"/>
          <w:szCs w:val="22"/>
        </w:rPr>
      </w:pPr>
      <w:hyperlink w:history="true" r:id="rId559">
        <w:r>
          <w:rPr>
            <w:rFonts w:ascii="Times New Roman" w:hAnsi="Times New Roman" w:eastAsia="Times New Roman" w:cs="Times New Roman"/>
            <w:sz w:val="22"/>
            <w:szCs w:val="22"/>
            <w:spacing w:val="-4"/>
          </w:rPr>
          <w:t>http://baike.baidu.com/</w:t>
        </w:r>
        <w:r>
          <w:rPr>
            <w:rFonts w:ascii="Times New Roman" w:hAnsi="Times New Roman" w:eastAsia="Times New Roman" w:cs="Times New Roman"/>
            <w:sz w:val="22"/>
            <w:szCs w:val="22"/>
            <w:spacing w:val="-5"/>
          </w:rPr>
          <w:t>link?url=ADU2VFT</w:t>
        </w:r>
      </w:hyperlink>
      <w:r>
        <w:rPr>
          <w:rFonts w:ascii="Times New Roman" w:hAnsi="Times New Roman" w:eastAsia="Times New Roman" w:cs="Times New Roman"/>
          <w:sz w:val="22"/>
          <w:szCs w:val="22"/>
          <w:spacing w:val="-5"/>
        </w:rPr>
        <w:t>_85opWM34nGACT4E7Nr7K0bQPCZ</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O8IGWeLUiAZtZo_PJ32EWxUG_jG542U</w:t>
      </w:r>
      <w:r>
        <w:rPr>
          <w:rFonts w:ascii="Times New Roman" w:hAnsi="Times New Roman" w:eastAsia="Times New Roman" w:cs="Times New Roman"/>
          <w:sz w:val="22"/>
          <w:szCs w:val="22"/>
          <w:spacing w:val="-6"/>
        </w:rPr>
        <w:t>GYZEXsXkFRLqVg3QbKbn4ijIAmimDfR0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R4ZaCSBOuFkj7Imle4dJ3senFZtZwTVELSSNzo6QviDHXQii9hkCa</w:t>
      </w:r>
    </w:p>
    <w:p>
      <w:pPr>
        <w:ind w:right="221" w:firstLine="430"/>
        <w:spacing w:before="42" w:line="259" w:lineRule="auto"/>
        <w:rPr>
          <w:rFonts w:ascii="Times New Roman" w:hAnsi="Times New Roman" w:eastAsia="Times New Roman" w:cs="Times New Roman"/>
          <w:sz w:val="22"/>
          <w:szCs w:val="22"/>
        </w:rPr>
      </w:pPr>
      <w:r>
        <w:rPr>
          <w:rFonts w:ascii="SimSun" w:hAnsi="SimSun" w:eastAsia="SimSun" w:cs="SimSun"/>
          <w:sz w:val="22"/>
          <w:szCs w:val="22"/>
          <w:spacing w:val="10"/>
        </w:rPr>
        <w:t>[29]专访：大数据时代  人人都有洞察力.3</w:t>
      </w:r>
      <w:r>
        <w:rPr>
          <w:rFonts w:ascii="SimSun" w:hAnsi="SimSun" w:eastAsia="SimSun" w:cs="SimSun"/>
          <w:sz w:val="22"/>
          <w:szCs w:val="22"/>
          <w:spacing w:val="9"/>
        </w:rPr>
        <w:t>6</w:t>
      </w:r>
      <w:r>
        <w:rPr>
          <w:rFonts w:ascii="SimSun" w:hAnsi="SimSun" w:eastAsia="SimSun" w:cs="SimSun"/>
          <w:sz w:val="22"/>
          <w:szCs w:val="22"/>
          <w:spacing w:val="48"/>
        </w:rPr>
        <w:t xml:space="preserve"> </w:t>
      </w:r>
      <w:r>
        <w:rPr>
          <w:rFonts w:ascii="SimSun" w:hAnsi="SimSun" w:eastAsia="SimSun" w:cs="SimSun"/>
          <w:sz w:val="22"/>
          <w:szCs w:val="22"/>
          <w:spacing w:val="9"/>
        </w:rPr>
        <w:t>大数据</w:t>
      </w:r>
      <w:r>
        <w:rPr>
          <w:rFonts w:ascii="SimSun" w:hAnsi="SimSun" w:eastAsia="SimSun" w:cs="SimSun"/>
          <w:sz w:val="22"/>
          <w:szCs w:val="22"/>
          <w:spacing w:val="-61"/>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www</w:t>
      </w:r>
      <w:r>
        <w:rPr>
          <w:rFonts w:ascii="Times New Roman" w:hAnsi="Times New Roman" w:eastAsia="Times New Roman" w:cs="Times New Roman"/>
          <w:sz w:val="22"/>
          <w:szCs w:val="22"/>
          <w:spacing w:val="9"/>
        </w:rPr>
        <w:t>.36</w:t>
      </w:r>
      <w:r>
        <w:rPr>
          <w:rFonts w:ascii="Times New Roman" w:hAnsi="Times New Roman" w:eastAsia="Times New Roman" w:cs="Times New Roman"/>
          <w:sz w:val="22"/>
          <w:szCs w:val="22"/>
        </w:rPr>
        <w:t>dsj</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com/archives/1777</w:t>
      </w:r>
    </w:p>
    <w:p>
      <w:pPr>
        <w:ind w:right="225" w:firstLine="430"/>
        <w:spacing w:before="73" w:line="232" w:lineRule="auto"/>
        <w:rPr>
          <w:rFonts w:ascii="SimSun" w:hAnsi="SimSun" w:eastAsia="SimSun" w:cs="SimSun"/>
          <w:sz w:val="22"/>
          <w:szCs w:val="22"/>
        </w:rPr>
      </w:pPr>
      <w:r>
        <w:rPr>
          <w:rFonts w:ascii="SimSun" w:hAnsi="SimSun" w:eastAsia="SimSun" w:cs="SimSun"/>
          <w:sz w:val="22"/>
          <w:szCs w:val="22"/>
          <w:spacing w:val="-6"/>
        </w:rPr>
        <w:t>[30]赵国栋，易欢欢，糜万军等.大数据时代的历史机遇</w:t>
      </w:r>
      <w:r>
        <w:rPr>
          <w:rFonts w:ascii="Times New Roman" w:hAnsi="Times New Roman" w:eastAsia="Times New Roman" w:cs="Times New Roman"/>
          <w:sz w:val="22"/>
          <w:szCs w:val="22"/>
          <w:spacing w:val="-6"/>
        </w:rPr>
        <w:t>[M].</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6"/>
        </w:rPr>
        <w:t>北京：清华大学</w:t>
      </w:r>
      <w:r>
        <w:rPr>
          <w:rFonts w:ascii="SimSun" w:hAnsi="SimSun" w:eastAsia="SimSun" w:cs="SimSun"/>
          <w:sz w:val="22"/>
          <w:szCs w:val="22"/>
        </w:rPr>
        <w:t xml:space="preserve"> </w:t>
      </w:r>
      <w:r>
        <w:rPr>
          <w:rFonts w:ascii="SimSun" w:hAnsi="SimSun" w:eastAsia="SimSun" w:cs="SimSun"/>
          <w:sz w:val="22"/>
          <w:szCs w:val="22"/>
          <w:spacing w:val="-10"/>
        </w:rPr>
        <w:t>出版社，2013.</w:t>
      </w:r>
    </w:p>
    <w:p>
      <w:pPr>
        <w:ind w:left="430" w:right="147"/>
        <w:spacing w:before="54" w:line="248" w:lineRule="auto"/>
        <w:rPr>
          <w:rFonts w:ascii="Times New Roman" w:hAnsi="Times New Roman" w:eastAsia="Times New Roman" w:cs="Times New Roman"/>
          <w:sz w:val="22"/>
          <w:szCs w:val="22"/>
        </w:rPr>
      </w:pPr>
      <w:r>
        <w:rPr>
          <w:rFonts w:ascii="SimSun" w:hAnsi="SimSun" w:eastAsia="SimSun" w:cs="SimSun"/>
          <w:sz w:val="22"/>
          <w:szCs w:val="22"/>
          <w:spacing w:val="-4"/>
        </w:rPr>
        <w:t>[31]“云数据中心”发展现状及趋势.</w:t>
      </w:r>
      <w:r>
        <w:rPr>
          <w:rFonts w:ascii="Times New Roman" w:hAnsi="Times New Roman" w:eastAsia="Times New Roman" w:cs="Times New Roman"/>
          <w:sz w:val="22"/>
          <w:szCs w:val="22"/>
          <w:spacing w:val="-4"/>
        </w:rPr>
        <w:t>doit.</w:t>
      </w:r>
      <w:hyperlink w:history="true" r:id="rId560">
        <w:r>
          <w:rPr>
            <w:rFonts w:ascii="Times New Roman" w:hAnsi="Times New Roman" w:eastAsia="Times New Roman" w:cs="Times New Roman"/>
            <w:sz w:val="22"/>
            <w:szCs w:val="22"/>
            <w:spacing w:val="-4"/>
          </w:rPr>
          <w:t>http:</w:t>
        </w:r>
        <w:r>
          <w:rPr>
            <w:rFonts w:ascii="Times New Roman" w:hAnsi="Times New Roman" w:eastAsia="Times New Roman" w:cs="Times New Roman"/>
            <w:sz w:val="22"/>
            <w:szCs w:val="22"/>
            <w:spacing w:val="-5"/>
          </w:rPr>
          <w:t>//www.doit.com.cn/p/227504.html</w:t>
        </w:r>
      </w:hyperlink>
      <w:r>
        <w:rPr>
          <w:rFonts w:ascii="Times New Roman" w:hAnsi="Times New Roman" w:eastAsia="Times New Roman" w:cs="Times New Roman"/>
          <w:sz w:val="22"/>
          <w:szCs w:val="22"/>
        </w:rPr>
        <w:t xml:space="preserve">  </w:t>
      </w:r>
      <w:r>
        <w:rPr>
          <w:rFonts w:ascii="SimSun" w:hAnsi="SimSun" w:eastAsia="SimSun" w:cs="SimSun"/>
          <w:sz w:val="22"/>
          <w:szCs w:val="22"/>
          <w:spacing w:val="-1"/>
        </w:rPr>
        <w:t>[32]徐玉.全球数据中心发展趋势和特点</w:t>
      </w:r>
      <w:r>
        <w:rPr>
          <w:rFonts w:ascii="Times New Roman" w:hAnsi="Times New Roman" w:eastAsia="Times New Roman" w:cs="Times New Roman"/>
          <w:sz w:val="22"/>
          <w:szCs w:val="22"/>
          <w:spacing w:val="-1"/>
        </w:rPr>
        <w:t>[J].  </w:t>
      </w:r>
      <w:r>
        <w:rPr>
          <w:rFonts w:ascii="SimSun" w:hAnsi="SimSun" w:eastAsia="SimSun" w:cs="SimSun"/>
          <w:sz w:val="22"/>
          <w:szCs w:val="22"/>
          <w:spacing w:val="-1"/>
        </w:rPr>
        <w:t>电信科学，2011,27(</w:t>
      </w:r>
      <w:r>
        <w:rPr>
          <w:rFonts w:ascii="SimSun" w:hAnsi="SimSun" w:eastAsia="SimSun" w:cs="SimSun"/>
          <w:sz w:val="22"/>
          <w:szCs w:val="22"/>
          <w:spacing w:val="-2"/>
        </w:rPr>
        <w:t>12):62-66.</w:t>
      </w:r>
      <w:r>
        <w:rPr>
          <w:rFonts w:ascii="SimSun" w:hAnsi="SimSun" w:eastAsia="SimSun" w:cs="SimSun"/>
          <w:sz w:val="22"/>
          <w:szCs w:val="22"/>
        </w:rPr>
        <w:t xml:space="preserve"> </w:t>
      </w:r>
      <w:r>
        <w:rPr>
          <w:rFonts w:ascii="SimSun" w:hAnsi="SimSun" w:eastAsia="SimSun" w:cs="SimSun"/>
          <w:sz w:val="22"/>
          <w:szCs w:val="22"/>
          <w:spacing w:val="-7"/>
        </w:rPr>
        <w:t>[33]  </w:t>
      </w:r>
      <w:r>
        <w:rPr>
          <w:rFonts w:ascii="Times New Roman" w:hAnsi="Times New Roman" w:eastAsia="Times New Roman" w:cs="Times New Roman"/>
          <w:sz w:val="22"/>
          <w:szCs w:val="22"/>
          <w:spacing w:val="-7"/>
        </w:rPr>
        <w:t>Gartner.</w:t>
      </w:r>
      <w:r>
        <w:rPr>
          <w:rFonts w:ascii="SimSun" w:hAnsi="SimSun" w:eastAsia="SimSun" w:cs="SimSun"/>
          <w:sz w:val="22"/>
          <w:szCs w:val="22"/>
          <w:spacing w:val="-7"/>
        </w:rPr>
        <w:t>大数据观察.</w:t>
      </w:r>
      <w:hyperlink w:history="true" r:id="rId561">
        <w:r>
          <w:rPr>
            <w:rFonts w:ascii="Times New Roman" w:hAnsi="Times New Roman" w:eastAsia="Times New Roman" w:cs="Times New Roman"/>
            <w:sz w:val="22"/>
            <w:szCs w:val="22"/>
            <w:spacing w:val="-7"/>
          </w:rPr>
          <w:t>http://www.shuju.net/article/MDAwMD</w:t>
        </w:r>
        <w:r>
          <w:rPr>
            <w:rFonts w:ascii="Times New Roman" w:hAnsi="Times New Roman" w:eastAsia="Times New Roman" w:cs="Times New Roman"/>
            <w:sz w:val="22"/>
            <w:szCs w:val="22"/>
            <w:spacing w:val="-8"/>
          </w:rPr>
          <w:t>I5M2DUy:html</w:t>
        </w:r>
      </w:hyperlink>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[34]</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Rocky.</w:t>
      </w:r>
      <w:r>
        <w:rPr>
          <w:rFonts w:ascii="SimSun" w:hAnsi="SimSun" w:eastAsia="SimSun" w:cs="SimSun"/>
          <w:sz w:val="22"/>
          <w:szCs w:val="22"/>
          <w:spacing w:val="-6"/>
        </w:rPr>
        <w:t>搜狐.</w:t>
      </w:r>
      <w:hyperlink w:history="true" r:id="rId562">
        <w:r>
          <w:rPr>
            <w:rFonts w:ascii="Times New Roman" w:hAnsi="Times New Roman" w:eastAsia="Times New Roman" w:cs="Times New Roman"/>
            <w:sz w:val="22"/>
            <w:szCs w:val="22"/>
            <w:spacing w:val="-6"/>
          </w:rPr>
          <w:t>http://it.sohu.com/20141212/n406884557.shtml</w:t>
        </w:r>
      </w:hyperlink>
    </w:p>
    <w:p>
      <w:pPr>
        <w:ind w:left="430" w:right="1072"/>
        <w:spacing w:before="57" w:line="250" w:lineRule="auto"/>
        <w:rPr>
          <w:rFonts w:ascii="SimSun" w:hAnsi="SimSun" w:eastAsia="SimSun" w:cs="SimSun"/>
          <w:sz w:val="22"/>
          <w:szCs w:val="22"/>
        </w:rPr>
      </w:pPr>
      <w:r>
        <w:rPr>
          <w:rFonts w:ascii="SimSun" w:hAnsi="SimSun" w:eastAsia="SimSun" w:cs="SimSun"/>
          <w:sz w:val="22"/>
          <w:szCs w:val="22"/>
          <w:spacing w:val="-4"/>
        </w:rPr>
        <w:t>[35]  </w:t>
      </w:r>
      <w:r>
        <w:rPr>
          <w:rFonts w:ascii="Times New Roman" w:hAnsi="Times New Roman" w:eastAsia="Times New Roman" w:cs="Times New Roman"/>
          <w:sz w:val="22"/>
          <w:szCs w:val="22"/>
          <w:spacing w:val="-4"/>
        </w:rPr>
        <w:t>ISACA.IT</w:t>
      </w:r>
      <w:r>
        <w:rPr>
          <w:rFonts w:ascii="SimSun" w:hAnsi="SimSun" w:eastAsia="SimSun" w:cs="SimSun"/>
          <w:sz w:val="22"/>
          <w:szCs w:val="22"/>
          <w:spacing w:val="-4"/>
        </w:rPr>
        <w:t>专家网.</w:t>
      </w:r>
      <w:hyperlink w:history="true" r:id="rId563">
        <w:r>
          <w:rPr>
            <w:rFonts w:ascii="Times New Roman" w:hAnsi="Times New Roman" w:eastAsia="Times New Roman" w:cs="Times New Roman"/>
            <w:sz w:val="22"/>
            <w:szCs w:val="22"/>
            <w:spacing w:val="-4"/>
          </w:rPr>
          <w:t>http://security.ctoc</w:t>
        </w:r>
        <w:r>
          <w:rPr>
            <w:rFonts w:ascii="Times New Roman" w:hAnsi="Times New Roman" w:eastAsia="Times New Roman" w:cs="Times New Roman"/>
            <w:sz w:val="22"/>
            <w:szCs w:val="22"/>
            <w:spacing w:val="-5"/>
          </w:rPr>
          <w:t>io.com.cn/310/9407810.shtml</w:t>
        </w:r>
      </w:hyperlink>
      <w:r>
        <w:rPr>
          <w:rFonts w:ascii="Times New Roman" w:hAnsi="Times New Roman" w:eastAsia="Times New Roman" w:cs="Times New Roman"/>
          <w:sz w:val="22"/>
          <w:szCs w:val="22"/>
        </w:rPr>
        <w:t xml:space="preserve"> </w:t>
      </w:r>
      <w:r>
        <w:rPr>
          <w:rFonts w:ascii="SimSun" w:hAnsi="SimSun" w:eastAsia="SimSun" w:cs="SimSun"/>
          <w:sz w:val="22"/>
          <w:szCs w:val="22"/>
          <w:spacing w:val="-3"/>
        </w:rPr>
        <w:t>[36]中华人民共和国国务院令第664号，地图管理条例</w:t>
      </w:r>
    </w:p>
    <w:p>
      <w:pPr>
        <w:ind w:left="430"/>
        <w:spacing w:before="29" w:line="212" w:lineRule="auto"/>
        <w:rPr>
          <w:rFonts w:ascii="SimSun" w:hAnsi="SimSun" w:eastAsia="SimSun" w:cs="SimSun"/>
          <w:sz w:val="22"/>
          <w:szCs w:val="22"/>
        </w:rPr>
      </w:pPr>
      <w:r>
        <w:rPr>
          <w:rFonts w:ascii="SimSun" w:hAnsi="SimSun" w:eastAsia="SimSun" w:cs="SimSun"/>
          <w:sz w:val="22"/>
          <w:szCs w:val="22"/>
          <w:spacing w:val="3"/>
        </w:rPr>
        <w:t>[37]程广明.大数据治理模型与治理成熟度</w:t>
      </w:r>
      <w:r>
        <w:rPr>
          <w:rFonts w:ascii="SimSun" w:hAnsi="SimSun" w:eastAsia="SimSun" w:cs="SimSun"/>
          <w:sz w:val="22"/>
          <w:szCs w:val="22"/>
          <w:spacing w:val="2"/>
        </w:rPr>
        <w:t>评估研究</w:t>
      </w:r>
      <w:r>
        <w:rPr>
          <w:rFonts w:ascii="Times New Roman" w:hAnsi="Times New Roman" w:eastAsia="Times New Roman" w:cs="Times New Roman"/>
          <w:sz w:val="22"/>
          <w:szCs w:val="22"/>
          <w:spacing w:val="2"/>
        </w:rPr>
        <w:t>[J].  </w:t>
      </w:r>
      <w:r>
        <w:rPr>
          <w:rFonts w:ascii="SimSun" w:hAnsi="SimSun" w:eastAsia="SimSun" w:cs="SimSun"/>
          <w:sz w:val="22"/>
          <w:szCs w:val="22"/>
          <w:spacing w:val="2"/>
        </w:rPr>
        <w:t>科技与创新，2016</w:t>
      </w:r>
    </w:p>
    <w:p>
      <w:pPr>
        <w:spacing w:line="212" w:lineRule="auto"/>
        <w:sectPr>
          <w:footerReference w:type="default" r:id="rId555"/>
          <w:pgSz w:w="8870" w:h="13400"/>
          <w:pgMar w:top="400" w:right="632" w:bottom="544" w:left="390" w:header="0" w:footer="326" w:gutter="0"/>
        </w:sectPr>
        <w:rPr>
          <w:rFonts w:ascii="SimSun" w:hAnsi="SimSun" w:eastAsia="SimSun" w:cs="SimSun"/>
          <w:sz w:val="22"/>
          <w:szCs w:val="22"/>
        </w:rPr>
      </w:pPr>
    </w:p>
    <w:p>
      <w:pPr>
        <w:ind w:left="192"/>
        <w:spacing w:before="265" w:line="219" w:lineRule="auto"/>
        <w:rPr>
          <w:rFonts w:ascii="SimSun" w:hAnsi="SimSun" w:eastAsia="SimSun" w:cs="SimSun"/>
          <w:sz w:val="20"/>
          <w:szCs w:val="20"/>
        </w:rPr>
      </w:pPr>
      <w:r>
        <w:pict>
          <v:rect id="_x0000_s766" style="position:absolute;margin-left:31.5018pt;margin-top:29.5001pt;mso-position-vertical-relative:page;mso-position-horizontal-relative:page;width:0.5pt;height:17.55pt;z-index:259125248;" o:allowincell="f" fillcolor="#000000" filled="true" stroked="false"/>
        </w:pict>
      </w:r>
      <w:r>
        <w:rPr>
          <w:rFonts w:ascii="SimSun" w:hAnsi="SimSun" w:eastAsia="SimSun" w:cs="SimSun"/>
          <w:sz w:val="20"/>
          <w:szCs w:val="20"/>
          <w:b/>
          <w:bCs/>
          <w:spacing w:val="8"/>
        </w:rPr>
        <w:t>■云端数据治理</w:t>
      </w:r>
    </w:p>
    <w:p>
      <w:pPr>
        <w:pStyle w:val="BodyText"/>
        <w:spacing w:line="252" w:lineRule="auto"/>
        <w:rPr/>
      </w:pPr>
      <w:r/>
    </w:p>
    <w:p>
      <w:pPr>
        <w:ind w:left="189"/>
        <w:spacing w:before="65" w:line="222" w:lineRule="auto"/>
        <w:rPr>
          <w:rFonts w:ascii="SimSun" w:hAnsi="SimSun" w:eastAsia="SimSun" w:cs="SimSun"/>
          <w:sz w:val="20"/>
          <w:szCs w:val="20"/>
        </w:rPr>
      </w:pPr>
      <w:r>
        <w:rPr>
          <w:rFonts w:ascii="SimSun" w:hAnsi="SimSun" w:eastAsia="SimSun" w:cs="SimSun"/>
          <w:sz w:val="20"/>
          <w:szCs w:val="20"/>
          <w:spacing w:val="-4"/>
        </w:rPr>
        <w:t>(9):6-7.</w:t>
      </w:r>
    </w:p>
    <w:p>
      <w:pPr>
        <w:ind w:left="189" w:right="216" w:firstLine="470"/>
        <w:spacing w:before="82" w:line="244" w:lineRule="auto"/>
        <w:rPr>
          <w:rFonts w:ascii="Times New Roman" w:hAnsi="Times New Roman" w:eastAsia="Times New Roman" w:cs="Times New Roman"/>
          <w:sz w:val="25"/>
          <w:szCs w:val="25"/>
        </w:rPr>
      </w:pPr>
      <w:r>
        <w:rPr>
          <w:rFonts w:ascii="SimSun" w:hAnsi="SimSun" w:eastAsia="SimSun" w:cs="SimSun"/>
          <w:sz w:val="20"/>
          <w:szCs w:val="20"/>
          <w:spacing w:val="3"/>
        </w:rPr>
        <w:t>[38]良好的数据质量才能实现更好的业务成果，阿里云，</w:t>
      </w:r>
      <w:hyperlink w:history="true" r:id="rId565">
        <w:r>
          <w:rPr>
            <w:rFonts w:ascii="Times New Roman" w:hAnsi="Times New Roman" w:eastAsia="Times New Roman" w:cs="Times New Roman"/>
            <w:sz w:val="20"/>
            <w:szCs w:val="20"/>
          </w:rPr>
          <w:t>https</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aliyun</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2"/>
          </w:rPr>
          <w:t>/</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5"/>
          <w:szCs w:val="25"/>
          <w:spacing w:val="-8"/>
        </w:rPr>
        <w:t>zixun/content/211158</w:t>
      </w:r>
      <w:r>
        <w:rPr>
          <w:rFonts w:ascii="Times New Roman" w:hAnsi="Times New Roman" w:eastAsia="Times New Roman" w:cs="Times New Roman"/>
          <w:sz w:val="25"/>
          <w:szCs w:val="25"/>
          <w:spacing w:val="-9"/>
        </w:rPr>
        <w:t>76.html</w:t>
      </w:r>
    </w:p>
    <w:p>
      <w:pPr>
        <w:ind w:left="189" w:right="262" w:firstLine="470"/>
        <w:spacing w:before="64" w:line="273" w:lineRule="auto"/>
        <w:rPr>
          <w:rFonts w:ascii="SimSun" w:hAnsi="SimSun" w:eastAsia="SimSun" w:cs="SimSun"/>
          <w:sz w:val="20"/>
          <w:szCs w:val="20"/>
        </w:rPr>
      </w:pPr>
      <w:r>
        <w:rPr>
          <w:rFonts w:ascii="SimSun" w:hAnsi="SimSun" w:eastAsia="SimSun" w:cs="SimSun"/>
          <w:sz w:val="20"/>
          <w:szCs w:val="20"/>
          <w:spacing w:val="11"/>
        </w:rPr>
        <w:t>[39]数据分析前提：数据质量的基本要素，</w:t>
      </w:r>
      <w:r>
        <w:rPr>
          <w:rFonts w:ascii="SimSun" w:hAnsi="SimSun" w:eastAsia="SimSun" w:cs="SimSun"/>
          <w:sz w:val="20"/>
          <w:szCs w:val="20"/>
          <w:spacing w:val="-46"/>
        </w:rPr>
        <w:t xml:space="preserve"> </w:t>
      </w:r>
      <w:hyperlink w:history="true" r:id="rId566">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1"/>
          </w:rPr>
          <w:t>.68</w:t>
        </w:r>
        <w:r>
          <w:rPr>
            <w:rFonts w:ascii="Times New Roman" w:hAnsi="Times New Roman" w:eastAsia="Times New Roman" w:cs="Times New Roman"/>
            <w:sz w:val="20"/>
            <w:szCs w:val="20"/>
          </w:rPr>
          <w:t>dl</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bigdata</w:t>
        </w:r>
      </w:hyperlink>
      <w:r>
        <w:rPr>
          <w:rFonts w:ascii="Times New Roman" w:hAnsi="Times New Roman" w:eastAsia="Times New Roman" w:cs="Times New Roman"/>
          <w:sz w:val="20"/>
          <w:szCs w:val="20"/>
          <w:spacing w:val="11"/>
        </w:rPr>
        <w:t>_</w:t>
      </w: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 xml:space="preserve"> </w:t>
      </w:r>
      <w:r>
        <w:rPr>
          <w:rFonts w:ascii="SimSun" w:hAnsi="SimSun" w:eastAsia="SimSun" w:cs="SimSun"/>
          <w:sz w:val="20"/>
          <w:szCs w:val="20"/>
          <w:spacing w:val="-1"/>
        </w:rPr>
        <w:t>2014/1020/13289</w:t>
      </w:r>
    </w:p>
    <w:p>
      <w:pPr>
        <w:ind w:left="660"/>
        <w:spacing w:before="32" w:line="212" w:lineRule="auto"/>
        <w:rPr>
          <w:rFonts w:ascii="SimSun" w:hAnsi="SimSun" w:eastAsia="SimSun" w:cs="SimSun"/>
          <w:sz w:val="20"/>
          <w:szCs w:val="20"/>
        </w:rPr>
      </w:pPr>
      <w:r>
        <w:rPr>
          <w:rFonts w:ascii="SimSun" w:hAnsi="SimSun" w:eastAsia="SimSun" w:cs="SimSun"/>
          <w:sz w:val="20"/>
          <w:szCs w:val="20"/>
          <w:spacing w:val="6"/>
        </w:rPr>
        <w:t>[40]李武，姚瑁.数据库原理及应用</w:t>
      </w:r>
      <w:r>
        <w:rPr>
          <w:rFonts w:ascii="Times New Roman" w:hAnsi="Times New Roman" w:eastAsia="Times New Roman" w:cs="Times New Roman"/>
          <w:sz w:val="20"/>
          <w:szCs w:val="20"/>
          <w:spacing w:val="6"/>
        </w:rPr>
        <w:t>[M].</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6"/>
        </w:rPr>
        <w:t>哈尔滨：哈尔滨工程大学出版社，2010</w:t>
      </w:r>
    </w:p>
    <w:p>
      <w:pPr>
        <w:ind w:left="189" w:right="76" w:firstLine="470"/>
        <w:spacing w:before="116" w:line="264" w:lineRule="auto"/>
        <w:rPr>
          <w:rFonts w:ascii="Times New Roman" w:hAnsi="Times New Roman" w:eastAsia="Times New Roman" w:cs="Times New Roman"/>
          <w:sz w:val="20"/>
          <w:szCs w:val="20"/>
        </w:rPr>
      </w:pPr>
      <w:r>
        <w:rPr>
          <w:rFonts w:ascii="SimSun" w:hAnsi="SimSun" w:eastAsia="SimSun" w:cs="SimSun"/>
          <w:sz w:val="20"/>
          <w:szCs w:val="20"/>
          <w:spacing w:val="5"/>
        </w:rPr>
        <w:t>[41]张淼，杨杭，李小军，等.一种搜索数据质量统计方法：</w:t>
      </w:r>
      <w:r>
        <w:rPr>
          <w:rFonts w:ascii="SimSun" w:hAnsi="SimSun" w:eastAsia="SimSun" w:cs="SimSun"/>
          <w:sz w:val="20"/>
          <w:szCs w:val="20"/>
        </w:rPr>
        <w:t>CN</w:t>
      </w:r>
      <w:r>
        <w:rPr>
          <w:rFonts w:ascii="SimSun" w:hAnsi="SimSun" w:eastAsia="SimSun" w:cs="SimSun"/>
          <w:sz w:val="20"/>
          <w:szCs w:val="20"/>
          <w:spacing w:val="5"/>
        </w:rPr>
        <w:t>,</w:t>
      </w:r>
      <w:r>
        <w:rPr>
          <w:rFonts w:ascii="SimSun" w:hAnsi="SimSun" w:eastAsia="SimSun" w:cs="SimSun"/>
          <w:sz w:val="20"/>
          <w:szCs w:val="20"/>
        </w:rPr>
        <w:t>CN</w:t>
      </w:r>
      <w:r>
        <w:rPr>
          <w:rFonts w:ascii="SimSun" w:hAnsi="SimSun" w:eastAsia="SimSun" w:cs="SimSun"/>
          <w:sz w:val="20"/>
          <w:szCs w:val="20"/>
          <w:spacing w:val="5"/>
        </w:rPr>
        <w:t xml:space="preserve">   103544314</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1"/>
        </w:rPr>
        <w:t>A[P].2014.</w:t>
      </w:r>
    </w:p>
    <w:p>
      <w:pPr>
        <w:ind w:left="189" w:right="123" w:firstLine="470"/>
        <w:spacing w:before="75" w:line="245" w:lineRule="auto"/>
        <w:rPr>
          <w:rFonts w:ascii="SimSun" w:hAnsi="SimSun" w:eastAsia="SimSun" w:cs="SimSun"/>
          <w:sz w:val="20"/>
          <w:szCs w:val="20"/>
        </w:rPr>
      </w:pPr>
      <w:r>
        <w:rPr>
          <w:rFonts w:ascii="SimSun" w:hAnsi="SimSun" w:eastAsia="SimSun" w:cs="SimSun"/>
          <w:sz w:val="20"/>
          <w:szCs w:val="20"/>
          <w:spacing w:val="13"/>
        </w:rPr>
        <w:t>[42]刘洪，黄燕.基于经典计量模型的统计数据质量评估方法</w:t>
      </w:r>
      <w:r>
        <w:rPr>
          <w:rFonts w:ascii="Times New Roman" w:hAnsi="Times New Roman" w:eastAsia="Times New Roman" w:cs="Times New Roman"/>
          <w:sz w:val="20"/>
          <w:szCs w:val="20"/>
          <w:spacing w:val="13"/>
        </w:rPr>
        <w:t>[J].  </w:t>
      </w:r>
      <w:r>
        <w:rPr>
          <w:rFonts w:ascii="SimSun" w:hAnsi="SimSun" w:eastAsia="SimSun" w:cs="SimSun"/>
          <w:sz w:val="20"/>
          <w:szCs w:val="20"/>
          <w:spacing w:val="13"/>
        </w:rPr>
        <w:t>统计</w:t>
      </w:r>
      <w:r>
        <w:rPr>
          <w:rFonts w:ascii="SimSun" w:hAnsi="SimSun" w:eastAsia="SimSun" w:cs="SimSun"/>
          <w:sz w:val="20"/>
          <w:szCs w:val="20"/>
          <w:spacing w:val="12"/>
        </w:rPr>
        <w:t>研究，</w:t>
      </w:r>
      <w:r>
        <w:rPr>
          <w:rFonts w:ascii="SimSun" w:hAnsi="SimSun" w:eastAsia="SimSun" w:cs="SimSun"/>
          <w:sz w:val="20"/>
          <w:szCs w:val="20"/>
        </w:rPr>
        <w:t xml:space="preserve"> </w:t>
      </w:r>
      <w:r>
        <w:rPr>
          <w:rFonts w:ascii="SimSun" w:hAnsi="SimSun" w:eastAsia="SimSun" w:cs="SimSun"/>
          <w:sz w:val="20"/>
          <w:szCs w:val="20"/>
          <w:spacing w:val="-1"/>
        </w:rPr>
        <w:t>2009,26(3):91-96</w:t>
      </w:r>
    </w:p>
    <w:p>
      <w:pPr>
        <w:ind w:left="189" w:right="89" w:firstLine="470"/>
        <w:spacing w:before="58" w:line="271" w:lineRule="auto"/>
        <w:rPr>
          <w:rFonts w:ascii="SimSun" w:hAnsi="SimSun" w:eastAsia="SimSun" w:cs="SimSun"/>
          <w:sz w:val="20"/>
          <w:szCs w:val="20"/>
        </w:rPr>
      </w:pPr>
      <w:r>
        <w:rPr>
          <w:rFonts w:ascii="SimSun" w:hAnsi="SimSun" w:eastAsia="SimSun" w:cs="SimSun"/>
          <w:sz w:val="20"/>
          <w:szCs w:val="20"/>
          <w:spacing w:val="17"/>
        </w:rPr>
        <w:t>[43]祝君仪.大数据时代背景下统计数据质量的评估方法及适用性分析</w:t>
      </w:r>
      <w:r>
        <w:rPr>
          <w:rFonts w:ascii="Times New Roman" w:hAnsi="Times New Roman" w:eastAsia="Times New Roman" w:cs="Times New Roman"/>
          <w:sz w:val="20"/>
          <w:szCs w:val="20"/>
          <w:spacing w:val="17"/>
        </w:rPr>
        <w:t>[J].</w:t>
      </w:r>
      <w:r>
        <w:rPr>
          <w:rFonts w:ascii="SimSun" w:hAnsi="SimSun" w:eastAsia="SimSun" w:cs="SimSun"/>
          <w:sz w:val="20"/>
          <w:szCs w:val="20"/>
          <w:spacing w:val="17"/>
        </w:rPr>
        <w:t>中</w:t>
      </w:r>
      <w:r>
        <w:rPr>
          <w:rFonts w:ascii="SimSun" w:hAnsi="SimSun" w:eastAsia="SimSun" w:cs="SimSun"/>
          <w:sz w:val="20"/>
          <w:szCs w:val="20"/>
          <w:spacing w:val="5"/>
        </w:rPr>
        <w:t xml:space="preserve"> </w:t>
      </w:r>
      <w:r>
        <w:rPr>
          <w:rFonts w:ascii="SimSun" w:hAnsi="SimSun" w:eastAsia="SimSun" w:cs="SimSun"/>
          <w:sz w:val="20"/>
          <w:szCs w:val="20"/>
          <w:spacing w:val="14"/>
        </w:rPr>
        <w:t>国市场，2015(29):41-42.</w:t>
      </w:r>
    </w:p>
    <w:p>
      <w:pPr>
        <w:ind w:left="189" w:right="123" w:firstLine="470"/>
        <w:spacing w:before="83" w:line="246" w:lineRule="auto"/>
        <w:rPr>
          <w:rFonts w:ascii="SimSun" w:hAnsi="SimSun" w:eastAsia="SimSun" w:cs="SimSun"/>
          <w:sz w:val="20"/>
          <w:szCs w:val="20"/>
        </w:rPr>
      </w:pPr>
      <w:r>
        <w:rPr>
          <w:rFonts w:ascii="SimSun" w:hAnsi="SimSun" w:eastAsia="SimSun" w:cs="SimSun"/>
          <w:sz w:val="20"/>
          <w:szCs w:val="20"/>
          <w:spacing w:val="13"/>
        </w:rPr>
        <w:t>[44]张亮亮，辛金国.大数据背景下统计数据质量内涵探索</w:t>
      </w:r>
      <w:r>
        <w:rPr>
          <w:rFonts w:ascii="Times New Roman" w:hAnsi="Times New Roman" w:eastAsia="Times New Roman" w:cs="Times New Roman"/>
          <w:sz w:val="20"/>
          <w:szCs w:val="20"/>
          <w:spacing w:val="13"/>
        </w:rPr>
        <w:t>[J].  </w:t>
      </w:r>
      <w:r>
        <w:rPr>
          <w:rFonts w:ascii="SimSun" w:hAnsi="SimSun" w:eastAsia="SimSun" w:cs="SimSun"/>
          <w:sz w:val="20"/>
          <w:szCs w:val="20"/>
          <w:spacing w:val="13"/>
        </w:rPr>
        <w:t>统计与咨</w:t>
      </w:r>
      <w:r>
        <w:rPr>
          <w:rFonts w:ascii="SimSun" w:hAnsi="SimSun" w:eastAsia="SimSun" w:cs="SimSun"/>
          <w:sz w:val="20"/>
          <w:szCs w:val="20"/>
          <w:spacing w:val="12"/>
        </w:rPr>
        <w:t>询，</w:t>
      </w:r>
      <w:r>
        <w:rPr>
          <w:rFonts w:ascii="SimSun" w:hAnsi="SimSun" w:eastAsia="SimSun" w:cs="SimSun"/>
          <w:sz w:val="20"/>
          <w:szCs w:val="20"/>
        </w:rPr>
        <w:t xml:space="preserve"> </w:t>
      </w:r>
      <w:r>
        <w:rPr>
          <w:rFonts w:ascii="SimSun" w:hAnsi="SimSun" w:eastAsia="SimSun" w:cs="SimSun"/>
          <w:sz w:val="20"/>
          <w:szCs w:val="20"/>
          <w:spacing w:val="-1"/>
        </w:rPr>
        <w:t>2016(2):6-9</w:t>
      </w:r>
    </w:p>
    <w:p>
      <w:pPr>
        <w:ind w:left="189" w:right="74" w:firstLine="470"/>
        <w:spacing w:before="74" w:line="255" w:lineRule="auto"/>
        <w:rPr>
          <w:rFonts w:ascii="SimSun" w:hAnsi="SimSun" w:eastAsia="SimSun" w:cs="SimSun"/>
          <w:sz w:val="20"/>
          <w:szCs w:val="20"/>
        </w:rPr>
      </w:pPr>
      <w:r>
        <w:rPr>
          <w:rFonts w:ascii="SimSun" w:hAnsi="SimSun" w:eastAsia="SimSun" w:cs="SimSun"/>
          <w:sz w:val="20"/>
          <w:szCs w:val="20"/>
          <w:spacing w:val="11"/>
        </w:rPr>
        <w:t>[45]许鑫，冯诗惠.大数据领域的主题分析——基于</w:t>
      </w:r>
      <w:r>
        <w:rPr>
          <w:rFonts w:ascii="Times New Roman" w:hAnsi="Times New Roman" w:eastAsia="Times New Roman" w:cs="Times New Roman"/>
          <w:sz w:val="20"/>
          <w:szCs w:val="20"/>
        </w:rPr>
        <w:t>WOS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和</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Wikipedia</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的互证</w:t>
      </w:r>
      <w:r>
        <w:rPr>
          <w:rFonts w:ascii="SimSun" w:hAnsi="SimSun" w:eastAsia="SimSun" w:cs="SimSun"/>
          <w:sz w:val="20"/>
          <w:szCs w:val="20"/>
        </w:rPr>
        <w:t xml:space="preserve"> </w:t>
      </w:r>
      <w:r>
        <w:rPr>
          <w:rFonts w:ascii="SimSun" w:hAnsi="SimSun" w:eastAsia="SimSun" w:cs="SimSun"/>
          <w:sz w:val="20"/>
          <w:szCs w:val="20"/>
          <w:spacing w:val="10"/>
        </w:rPr>
        <w:t>研究</w:t>
      </w:r>
      <w:r>
        <w:rPr>
          <w:rFonts w:ascii="Times New Roman" w:hAnsi="Times New Roman" w:eastAsia="Times New Roman" w:cs="Times New Roman"/>
          <w:sz w:val="20"/>
          <w:szCs w:val="20"/>
          <w:spacing w:val="10"/>
        </w:rPr>
        <w:t>[J].  </w:t>
      </w:r>
      <w:r>
        <w:rPr>
          <w:rFonts w:ascii="SimSun" w:hAnsi="SimSun" w:eastAsia="SimSun" w:cs="SimSun"/>
          <w:sz w:val="20"/>
          <w:szCs w:val="20"/>
          <w:spacing w:val="10"/>
        </w:rPr>
        <w:t>情报杂志，2014(11):124-130</w:t>
      </w:r>
    </w:p>
    <w:p>
      <w:pPr>
        <w:ind w:left="660"/>
        <w:spacing w:before="71" w:line="212" w:lineRule="auto"/>
        <w:rPr>
          <w:rFonts w:ascii="SimSun" w:hAnsi="SimSun" w:eastAsia="SimSun" w:cs="SimSun"/>
          <w:sz w:val="20"/>
          <w:szCs w:val="20"/>
        </w:rPr>
      </w:pPr>
      <w:r>
        <w:rPr>
          <w:rFonts w:ascii="SimSun" w:hAnsi="SimSun" w:eastAsia="SimSun" w:cs="SimSun"/>
          <w:sz w:val="20"/>
          <w:szCs w:val="20"/>
          <w:spacing w:val="12"/>
        </w:rPr>
        <w:t>[46]刘益江.数据仓库的数据质量分析与评价</w:t>
      </w:r>
      <w:r>
        <w:rPr>
          <w:rFonts w:ascii="Times New Roman" w:hAnsi="Times New Roman" w:eastAsia="Times New Roman" w:cs="Times New Roman"/>
          <w:sz w:val="20"/>
          <w:szCs w:val="20"/>
          <w:spacing w:val="12"/>
        </w:rPr>
        <w:t>[D].  </w:t>
      </w:r>
      <w:r>
        <w:rPr>
          <w:rFonts w:ascii="SimSun" w:hAnsi="SimSun" w:eastAsia="SimSun" w:cs="SimSun"/>
          <w:sz w:val="20"/>
          <w:szCs w:val="20"/>
          <w:spacing w:val="12"/>
        </w:rPr>
        <w:t>广东工业大学，2012.</w:t>
      </w:r>
    </w:p>
    <w:p>
      <w:pPr>
        <w:ind w:left="660"/>
        <w:spacing w:before="87" w:line="212" w:lineRule="auto"/>
        <w:rPr>
          <w:rFonts w:ascii="SimSun" w:hAnsi="SimSun" w:eastAsia="SimSun" w:cs="SimSun"/>
          <w:sz w:val="20"/>
          <w:szCs w:val="20"/>
        </w:rPr>
      </w:pPr>
      <w:r>
        <w:rPr>
          <w:rFonts w:ascii="SimSun" w:hAnsi="SimSun" w:eastAsia="SimSun" w:cs="SimSun"/>
          <w:sz w:val="20"/>
          <w:szCs w:val="20"/>
          <w:spacing w:val="10"/>
        </w:rPr>
        <w:t>[47]金翰伟.基于</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Spark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的大数据清洗框架设计与实现</w:t>
      </w:r>
      <w:r>
        <w:rPr>
          <w:rFonts w:ascii="Times New Roman" w:hAnsi="Times New Roman" w:eastAsia="Times New Roman" w:cs="Times New Roman"/>
          <w:sz w:val="20"/>
          <w:szCs w:val="20"/>
          <w:spacing w:val="10"/>
        </w:rPr>
        <w:t>[D].  </w:t>
      </w:r>
      <w:r>
        <w:rPr>
          <w:rFonts w:ascii="SimSun" w:hAnsi="SimSun" w:eastAsia="SimSun" w:cs="SimSun"/>
          <w:sz w:val="20"/>
          <w:szCs w:val="20"/>
          <w:spacing w:val="10"/>
        </w:rPr>
        <w:t>浙江大学，2016.</w:t>
      </w:r>
    </w:p>
    <w:p>
      <w:pPr>
        <w:ind w:left="189" w:right="74" w:firstLine="470"/>
        <w:spacing w:before="92" w:line="253" w:lineRule="auto"/>
        <w:rPr>
          <w:rFonts w:ascii="SimSun" w:hAnsi="SimSun" w:eastAsia="SimSun" w:cs="SimSun"/>
          <w:sz w:val="20"/>
          <w:szCs w:val="20"/>
        </w:rPr>
      </w:pPr>
      <w:r>
        <w:rPr>
          <w:rFonts w:ascii="SimSun" w:hAnsi="SimSun" w:eastAsia="SimSun" w:cs="SimSun"/>
          <w:sz w:val="20"/>
          <w:szCs w:val="20"/>
          <w:spacing w:val="8"/>
        </w:rPr>
        <w:t>[48]丁小欧，王宏志，张笑影，等.数据质量多种性质的关联关系研究</w:t>
      </w:r>
      <w:r>
        <w:rPr>
          <w:rFonts w:ascii="Times New Roman" w:hAnsi="Times New Roman" w:eastAsia="Times New Roman" w:cs="Times New Roman"/>
          <w:sz w:val="20"/>
          <w:szCs w:val="20"/>
          <w:spacing w:val="8"/>
        </w:rPr>
        <w:t>[J].</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软件</w:t>
      </w:r>
      <w:r>
        <w:rPr>
          <w:rFonts w:ascii="SimSun" w:hAnsi="SimSun" w:eastAsia="SimSun" w:cs="SimSun"/>
          <w:sz w:val="20"/>
          <w:szCs w:val="20"/>
          <w:spacing w:val="1"/>
        </w:rPr>
        <w:t xml:space="preserve"> </w:t>
      </w:r>
      <w:r>
        <w:rPr>
          <w:rFonts w:ascii="SimSun" w:hAnsi="SimSun" w:eastAsia="SimSun" w:cs="SimSun"/>
          <w:sz w:val="20"/>
          <w:szCs w:val="20"/>
          <w:spacing w:val="21"/>
        </w:rPr>
        <w:t>学报，2016(7)</w:t>
      </w:r>
      <w:r>
        <w:rPr>
          <w:rFonts w:ascii="SimSun" w:hAnsi="SimSun" w:eastAsia="SimSun" w:cs="SimSun"/>
          <w:sz w:val="20"/>
          <w:szCs w:val="20"/>
          <w:spacing w:val="-56"/>
        </w:rPr>
        <w:t xml:space="preserve"> </w:t>
      </w:r>
      <w:r>
        <w:rPr>
          <w:rFonts w:ascii="SimSun" w:hAnsi="SimSun" w:eastAsia="SimSun" w:cs="SimSun"/>
          <w:sz w:val="20"/>
          <w:szCs w:val="20"/>
          <w:spacing w:val="21"/>
        </w:rPr>
        <w:t>.</w:t>
      </w:r>
    </w:p>
    <w:p>
      <w:pPr>
        <w:ind w:left="660"/>
        <w:spacing w:before="63" w:line="212" w:lineRule="auto"/>
        <w:rPr>
          <w:rFonts w:ascii="SimSun" w:hAnsi="SimSun" w:eastAsia="SimSun" w:cs="SimSun"/>
          <w:sz w:val="20"/>
          <w:szCs w:val="20"/>
        </w:rPr>
      </w:pPr>
      <w:r>
        <w:rPr>
          <w:rFonts w:ascii="Times New Roman" w:hAnsi="Times New Roman" w:eastAsia="Times New Roman" w:cs="Times New Roman"/>
          <w:sz w:val="20"/>
          <w:szCs w:val="20"/>
          <w:spacing w:val="7"/>
        </w:rPr>
        <w:t>[49]</w:t>
      </w:r>
      <w:r>
        <w:rPr>
          <w:rFonts w:ascii="Times New Roman" w:hAnsi="Times New Roman" w:eastAsia="Times New Roman" w:cs="Times New Roman"/>
          <w:sz w:val="20"/>
          <w:szCs w:val="20"/>
        </w:rPr>
        <w:t>Inmon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W</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H</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7"/>
        </w:rPr>
        <w:t>数据仓库</w:t>
      </w:r>
      <w:r>
        <w:rPr>
          <w:rFonts w:ascii="Times New Roman" w:hAnsi="Times New Roman" w:eastAsia="Times New Roman" w:cs="Times New Roman"/>
          <w:sz w:val="20"/>
          <w:szCs w:val="20"/>
          <w:spacing w:val="7"/>
        </w:rPr>
        <w:t>[M].    </w:t>
      </w:r>
      <w:r>
        <w:rPr>
          <w:rFonts w:ascii="SimSun" w:hAnsi="SimSun" w:eastAsia="SimSun" w:cs="SimSun"/>
          <w:sz w:val="20"/>
          <w:szCs w:val="20"/>
          <w:spacing w:val="7"/>
        </w:rPr>
        <w:t>王志海，译.北京：机</w:t>
      </w:r>
      <w:r>
        <w:rPr>
          <w:rFonts w:ascii="SimSun" w:hAnsi="SimSun" w:eastAsia="SimSun" w:cs="SimSun"/>
          <w:sz w:val="20"/>
          <w:szCs w:val="20"/>
          <w:spacing w:val="6"/>
        </w:rPr>
        <w:t>械工业出版社，2000:5</w:t>
      </w:r>
    </w:p>
    <w:p>
      <w:pPr>
        <w:ind w:left="660"/>
        <w:spacing w:before="77" w:line="212" w:lineRule="auto"/>
        <w:rPr>
          <w:rFonts w:ascii="Times New Roman" w:hAnsi="Times New Roman" w:eastAsia="Times New Roman" w:cs="Times New Roman"/>
          <w:sz w:val="20"/>
          <w:szCs w:val="20"/>
        </w:rPr>
      </w:pPr>
      <w:r>
        <w:rPr>
          <w:rFonts w:ascii="SimSun" w:hAnsi="SimSun" w:eastAsia="SimSun" w:cs="SimSun"/>
          <w:sz w:val="20"/>
          <w:szCs w:val="20"/>
          <w:spacing w:val="3"/>
        </w:rPr>
        <w:t>[50]普元信息.</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EB</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OL</w:t>
      </w:r>
      <w:r>
        <w:rPr>
          <w:rFonts w:ascii="Times New Roman" w:hAnsi="Times New Roman" w:eastAsia="Times New Roman" w:cs="Times New Roman"/>
          <w:sz w:val="20"/>
          <w:szCs w:val="20"/>
          <w:spacing w:val="3"/>
        </w:rPr>
        <w:t>]</w:t>
      </w:r>
      <w:hyperlink w:history="true" r:id="rId567">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primeton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read</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php</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
          </w:rPr>
          <w:t>=2180&amp;</w:t>
        </w:r>
        <w:r>
          <w:rPr>
            <w:rFonts w:ascii="Times New Roman" w:hAnsi="Times New Roman" w:eastAsia="Times New Roman" w:cs="Times New Roman"/>
            <w:sz w:val="20"/>
            <w:szCs w:val="20"/>
          </w:rPr>
          <w:t>his</w:t>
        </w:r>
        <w:r>
          <w:rPr>
            <w:rFonts w:ascii="Times New Roman" w:hAnsi="Times New Roman" w:eastAsia="Times New Roman" w:cs="Times New Roman"/>
            <w:sz w:val="20"/>
            <w:szCs w:val="20"/>
            <w:spacing w:val="3"/>
          </w:rPr>
          <w:t>=1</w:t>
        </w:r>
      </w:hyperlink>
      <w:r>
        <w:rPr>
          <w:rFonts w:ascii="Times New Roman" w:hAnsi="Times New Roman" w:eastAsia="Times New Roman" w:cs="Times New Roman"/>
          <w:sz w:val="20"/>
          <w:szCs w:val="20"/>
          <w:spacing w:val="3"/>
        </w:rPr>
        <w:t>.</w:t>
      </w:r>
    </w:p>
    <w:p>
      <w:pPr>
        <w:ind w:left="189" w:firstLine="470"/>
        <w:spacing w:before="83" w:line="262" w:lineRule="auto"/>
        <w:rPr>
          <w:rFonts w:ascii="SimSun" w:hAnsi="SimSun" w:eastAsia="SimSun" w:cs="SimSun"/>
          <w:sz w:val="20"/>
          <w:szCs w:val="20"/>
        </w:rPr>
      </w:pPr>
      <w:r>
        <w:rPr>
          <w:rFonts w:ascii="Times New Roman" w:hAnsi="Times New Roman" w:eastAsia="Times New Roman" w:cs="Times New Roman"/>
          <w:sz w:val="20"/>
          <w:szCs w:val="20"/>
          <w:spacing w:val="9"/>
        </w:rPr>
        <w:t>[51]</w:t>
      </w:r>
      <w:r>
        <w:rPr>
          <w:rFonts w:ascii="Times New Roman" w:hAnsi="Times New Roman" w:eastAsia="Times New Roman" w:cs="Times New Roman"/>
          <w:sz w:val="20"/>
          <w:szCs w:val="20"/>
        </w:rPr>
        <w:t>Shon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Harris</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CISSP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认证考试指南(第六版)</w:t>
      </w:r>
      <w:r>
        <w:rPr>
          <w:rFonts w:ascii="Times New Roman" w:hAnsi="Times New Roman" w:eastAsia="Times New Roman" w:cs="Times New Roman"/>
          <w:sz w:val="20"/>
          <w:szCs w:val="20"/>
          <w:spacing w:val="9"/>
        </w:rPr>
        <w:t>[M].   </w:t>
      </w:r>
      <w:r>
        <w:rPr>
          <w:rFonts w:ascii="SimSun" w:hAnsi="SimSun" w:eastAsia="SimSun" w:cs="SimSun"/>
          <w:sz w:val="20"/>
          <w:szCs w:val="20"/>
          <w:spacing w:val="9"/>
        </w:rPr>
        <w:t>张胜生，张博</w:t>
      </w:r>
      <w:r>
        <w:rPr>
          <w:rFonts w:ascii="SimSun" w:hAnsi="SimSun" w:eastAsia="SimSun" w:cs="SimSun"/>
          <w:sz w:val="20"/>
          <w:szCs w:val="20"/>
          <w:spacing w:val="8"/>
        </w:rPr>
        <w:t>，付业辉译.</w:t>
      </w:r>
      <w:r>
        <w:rPr>
          <w:rFonts w:ascii="SimSun" w:hAnsi="SimSun" w:eastAsia="SimSun" w:cs="SimSun"/>
          <w:sz w:val="20"/>
          <w:szCs w:val="20"/>
        </w:rPr>
        <w:t xml:space="preserve"> </w:t>
      </w:r>
      <w:r>
        <w:rPr>
          <w:rFonts w:ascii="SimSun" w:hAnsi="SimSun" w:eastAsia="SimSun" w:cs="SimSun"/>
          <w:sz w:val="20"/>
          <w:szCs w:val="20"/>
          <w:spacing w:val="7"/>
        </w:rPr>
        <w:t>北京：清华大学出版社</w:t>
      </w:r>
    </w:p>
    <w:p>
      <w:pPr>
        <w:ind w:left="189" w:right="94" w:firstLine="470"/>
        <w:spacing w:before="74" w:line="262" w:lineRule="auto"/>
        <w:rPr>
          <w:rFonts w:ascii="SimSun" w:hAnsi="SimSun" w:eastAsia="SimSun" w:cs="SimSun"/>
          <w:sz w:val="20"/>
          <w:szCs w:val="20"/>
        </w:rPr>
      </w:pPr>
      <w:r>
        <w:rPr>
          <w:rFonts w:ascii="SimSun" w:hAnsi="SimSun" w:eastAsia="SimSun" w:cs="SimSun"/>
          <w:sz w:val="20"/>
          <w:szCs w:val="20"/>
          <w:spacing w:val="10"/>
        </w:rPr>
        <w:t>[52]卢海红.基于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0"/>
        </w:rPr>
        <w:t>数据仓库历史数据归档与管理策</w:t>
      </w:r>
      <w:r>
        <w:rPr>
          <w:rFonts w:ascii="SimSun" w:hAnsi="SimSun" w:eastAsia="SimSun" w:cs="SimSun"/>
          <w:sz w:val="20"/>
          <w:szCs w:val="20"/>
          <w:spacing w:val="9"/>
        </w:rPr>
        <w:t>略的研究</w:t>
      </w:r>
      <w:r>
        <w:rPr>
          <w:rFonts w:ascii="Times New Roman" w:hAnsi="Times New Roman" w:eastAsia="Times New Roman" w:cs="Times New Roman"/>
          <w:sz w:val="20"/>
          <w:szCs w:val="20"/>
          <w:spacing w:val="9"/>
        </w:rPr>
        <w:t>[D].</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9"/>
        </w:rPr>
        <w:t>哈尔滨</w:t>
      </w:r>
      <w:r>
        <w:rPr>
          <w:rFonts w:ascii="SimSun" w:hAnsi="SimSun" w:eastAsia="SimSun" w:cs="SimSun"/>
          <w:sz w:val="20"/>
          <w:szCs w:val="20"/>
        </w:rPr>
        <w:t xml:space="preserve"> </w:t>
      </w:r>
      <w:r>
        <w:rPr>
          <w:rFonts w:ascii="SimSun" w:hAnsi="SimSun" w:eastAsia="SimSun" w:cs="SimSun"/>
          <w:sz w:val="20"/>
          <w:szCs w:val="20"/>
          <w:spacing w:val="9"/>
        </w:rPr>
        <w:t>工程大学，2007</w:t>
      </w:r>
    </w:p>
    <w:p>
      <w:pPr>
        <w:ind w:left="660"/>
        <w:spacing w:before="52" w:line="212" w:lineRule="auto"/>
        <w:rPr>
          <w:rFonts w:ascii="SimSun" w:hAnsi="SimSun" w:eastAsia="SimSun" w:cs="SimSun"/>
          <w:sz w:val="20"/>
          <w:szCs w:val="20"/>
        </w:rPr>
      </w:pPr>
      <w:r>
        <w:rPr>
          <w:rFonts w:ascii="Times New Roman" w:hAnsi="Times New Roman" w:eastAsia="Times New Roman" w:cs="Times New Roman"/>
          <w:sz w:val="20"/>
          <w:szCs w:val="20"/>
          <w:spacing w:val="7"/>
        </w:rPr>
        <w:t>[53]</w:t>
      </w:r>
      <w:r>
        <w:rPr>
          <w:rFonts w:ascii="Times New Roman" w:hAnsi="Times New Roman" w:eastAsia="Times New Roman" w:cs="Times New Roman"/>
          <w:sz w:val="20"/>
          <w:szCs w:val="20"/>
        </w:rPr>
        <w:t>Informatica</w:t>
      </w:r>
      <w:r>
        <w:rPr>
          <w:rFonts w:ascii="Times New Roman" w:hAnsi="Times New Roman" w:eastAsia="Times New Roman" w:cs="Times New Roman"/>
          <w:sz w:val="20"/>
          <w:szCs w:val="20"/>
          <w:spacing w:val="7"/>
        </w:rPr>
        <w:t>.     </w:t>
      </w:r>
      <w:r>
        <w:rPr>
          <w:rFonts w:ascii="SimSun" w:hAnsi="SimSun" w:eastAsia="SimSun" w:cs="SimSun"/>
          <w:sz w:val="20"/>
          <w:szCs w:val="20"/>
          <w:spacing w:val="7"/>
        </w:rPr>
        <w:t>用于全局数据治理的元数</w:t>
      </w:r>
      <w:r>
        <w:rPr>
          <w:rFonts w:ascii="SimSun" w:hAnsi="SimSun" w:eastAsia="SimSun" w:cs="SimSun"/>
          <w:sz w:val="20"/>
          <w:szCs w:val="20"/>
          <w:spacing w:val="6"/>
        </w:rPr>
        <w:t>据管理，2012</w:t>
      </w:r>
    </w:p>
    <w:p>
      <w:pPr>
        <w:ind w:left="660"/>
        <w:spacing w:before="107" w:line="216" w:lineRule="auto"/>
        <w:rPr>
          <w:rFonts w:ascii="SimSun" w:hAnsi="SimSun" w:eastAsia="SimSun" w:cs="SimSun"/>
          <w:sz w:val="20"/>
          <w:szCs w:val="20"/>
        </w:rPr>
      </w:pPr>
      <w:r>
        <w:rPr>
          <w:rFonts w:ascii="SimSun" w:hAnsi="SimSun" w:eastAsia="SimSun" w:cs="SimSun"/>
          <w:sz w:val="20"/>
          <w:szCs w:val="20"/>
          <w:spacing w:val="17"/>
        </w:rPr>
        <w:t>[54]中国联通.</w:t>
      </w:r>
      <w:r>
        <w:rPr>
          <w:rFonts w:ascii="SimSun" w:hAnsi="SimSun" w:eastAsia="SimSun" w:cs="SimSun"/>
          <w:sz w:val="20"/>
          <w:szCs w:val="20"/>
          <w:spacing w:val="-43"/>
        </w:rPr>
        <w:t xml:space="preserve"> </w:t>
      </w:r>
      <w:r>
        <w:rPr>
          <w:rFonts w:ascii="SimSun" w:hAnsi="SimSun" w:eastAsia="SimSun" w:cs="SimSun"/>
          <w:sz w:val="20"/>
          <w:szCs w:val="20"/>
          <w:spacing w:val="17"/>
        </w:rPr>
        <w:t>中国联通供应商主数据管理办法(试行),2013</w:t>
      </w:r>
    </w:p>
    <w:p>
      <w:pPr>
        <w:spacing w:line="216" w:lineRule="auto"/>
        <w:sectPr>
          <w:footerReference w:type="default" r:id="rId564"/>
          <w:pgSz w:w="8870" w:h="13400"/>
          <w:pgMar w:top="400" w:right="376" w:bottom="480" w:left="529" w:header="0" w:footer="281" w:gutter="0"/>
        </w:sectPr>
        <w:rPr>
          <w:rFonts w:ascii="SimSun" w:hAnsi="SimSun" w:eastAsia="SimSun" w:cs="SimSun"/>
          <w:sz w:val="20"/>
          <w:szCs w:val="20"/>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left="2615"/>
        <w:spacing w:before="117" w:line="221" w:lineRule="auto"/>
        <w:rPr>
          <w:rFonts w:ascii="SimHei" w:hAnsi="SimHei" w:eastAsia="SimHei" w:cs="SimHei"/>
          <w:sz w:val="36"/>
          <w:szCs w:val="36"/>
        </w:rPr>
      </w:pPr>
      <w:r>
        <w:rPr>
          <w:rFonts w:ascii="SimHei" w:hAnsi="SimHei" w:eastAsia="SimHei" w:cs="SimHei"/>
          <w:sz w:val="36"/>
          <w:szCs w:val="36"/>
          <w:b/>
          <w:bCs/>
          <w:spacing w:val="-6"/>
        </w:rPr>
        <w:t>反侵权盗版声明</w:t>
      </w:r>
    </w:p>
    <w:p>
      <w:pPr>
        <w:pStyle w:val="BodyText"/>
        <w:spacing w:line="300" w:lineRule="auto"/>
        <w:rPr/>
      </w:pPr>
      <w:r/>
    </w:p>
    <w:p>
      <w:pPr>
        <w:ind w:firstLine="439"/>
        <w:spacing w:before="68" w:line="259" w:lineRule="auto"/>
        <w:jc w:val="both"/>
        <w:rPr>
          <w:rFonts w:ascii="SimSun" w:hAnsi="SimSun" w:eastAsia="SimSun" w:cs="SimSun"/>
          <w:sz w:val="21"/>
          <w:szCs w:val="21"/>
        </w:rPr>
      </w:pPr>
      <w:r>
        <w:rPr>
          <w:rFonts w:ascii="SimSun" w:hAnsi="SimSun" w:eastAsia="SimSun" w:cs="SimSun"/>
          <w:sz w:val="21"/>
          <w:szCs w:val="21"/>
          <w:spacing w:val="3"/>
        </w:rPr>
        <w:t>电子工业出版社依法对本作品享有专有出版权。任何未经权利人书面</w:t>
      </w:r>
      <w:r>
        <w:rPr>
          <w:rFonts w:ascii="SimSun" w:hAnsi="SimSun" w:eastAsia="SimSun" w:cs="SimSun"/>
          <w:sz w:val="21"/>
          <w:szCs w:val="21"/>
          <w:spacing w:val="2"/>
        </w:rPr>
        <w:t>许可，复</w:t>
      </w:r>
      <w:r>
        <w:rPr>
          <w:rFonts w:ascii="SimSun" w:hAnsi="SimSun" w:eastAsia="SimSun" w:cs="SimSun"/>
          <w:sz w:val="21"/>
          <w:szCs w:val="21"/>
        </w:rPr>
        <w:t xml:space="preserve"> </w:t>
      </w:r>
      <w:r>
        <w:rPr>
          <w:rFonts w:ascii="SimSun" w:hAnsi="SimSun" w:eastAsia="SimSun" w:cs="SimSun"/>
          <w:sz w:val="21"/>
          <w:szCs w:val="21"/>
          <w:spacing w:val="4"/>
        </w:rPr>
        <w:t>制、销售或通过信息网络传播本作品的行为，歪曲、篡改、剽窃本作品的行为</w:t>
      </w:r>
      <w:r>
        <w:rPr>
          <w:rFonts w:ascii="SimSun" w:hAnsi="SimSun" w:eastAsia="SimSun" w:cs="SimSun"/>
          <w:sz w:val="21"/>
          <w:szCs w:val="21"/>
          <w:spacing w:val="3"/>
        </w:rPr>
        <w:t>，均</w:t>
      </w:r>
      <w:r>
        <w:rPr>
          <w:rFonts w:ascii="SimSun" w:hAnsi="SimSun" w:eastAsia="SimSun" w:cs="SimSun"/>
          <w:sz w:val="21"/>
          <w:szCs w:val="21"/>
        </w:rPr>
        <w:t xml:space="preserve"> </w:t>
      </w:r>
      <w:r>
        <w:rPr>
          <w:rFonts w:ascii="SimSun" w:hAnsi="SimSun" w:eastAsia="SimSun" w:cs="SimSun"/>
          <w:sz w:val="21"/>
          <w:szCs w:val="21"/>
        </w:rPr>
        <w:t>违反《中华人民共和国著作权法》,其行为人应承担相应的民事责任和行政责任，构</w:t>
      </w:r>
      <w:r>
        <w:rPr>
          <w:rFonts w:ascii="SimSun" w:hAnsi="SimSun" w:eastAsia="SimSun" w:cs="SimSun"/>
          <w:sz w:val="21"/>
          <w:szCs w:val="21"/>
          <w:spacing w:val="18"/>
        </w:rPr>
        <w:t xml:space="preserve"> </w:t>
      </w:r>
      <w:r>
        <w:rPr>
          <w:rFonts w:ascii="SimSun" w:hAnsi="SimSun" w:eastAsia="SimSun" w:cs="SimSun"/>
          <w:sz w:val="21"/>
          <w:szCs w:val="21"/>
          <w:spacing w:val="-3"/>
        </w:rPr>
        <w:t>成犯罪的，将被依法追究刑事责任。</w:t>
      </w:r>
    </w:p>
    <w:p>
      <w:pPr>
        <w:ind w:right="24" w:firstLine="439"/>
        <w:spacing w:before="72" w:line="260" w:lineRule="auto"/>
        <w:jc w:val="both"/>
        <w:rPr>
          <w:rFonts w:ascii="SimSun" w:hAnsi="SimSun" w:eastAsia="SimSun" w:cs="SimSun"/>
          <w:sz w:val="21"/>
          <w:szCs w:val="21"/>
        </w:rPr>
      </w:pPr>
      <w:r>
        <w:rPr>
          <w:rFonts w:ascii="SimSun" w:hAnsi="SimSun" w:eastAsia="SimSun" w:cs="SimSun"/>
          <w:sz w:val="21"/>
          <w:szCs w:val="21"/>
          <w:spacing w:val="3"/>
        </w:rPr>
        <w:t>为了维护市场秩序，保护权利人的合法权益，我社将依法查处和打</w:t>
      </w:r>
      <w:r>
        <w:rPr>
          <w:rFonts w:ascii="SimSun" w:hAnsi="SimSun" w:eastAsia="SimSun" w:cs="SimSun"/>
          <w:sz w:val="21"/>
          <w:szCs w:val="21"/>
          <w:spacing w:val="2"/>
        </w:rPr>
        <w:t>击侵权盗版</w:t>
      </w:r>
      <w:r>
        <w:rPr>
          <w:rFonts w:ascii="SimSun" w:hAnsi="SimSun" w:eastAsia="SimSun" w:cs="SimSun"/>
          <w:sz w:val="21"/>
          <w:szCs w:val="21"/>
        </w:rPr>
        <w:t xml:space="preserve"> </w:t>
      </w:r>
      <w:r>
        <w:rPr>
          <w:rFonts w:ascii="SimSun" w:hAnsi="SimSun" w:eastAsia="SimSun" w:cs="SimSun"/>
          <w:sz w:val="21"/>
          <w:szCs w:val="21"/>
          <w:spacing w:val="3"/>
        </w:rPr>
        <w:t>的单位和个人。欢迎社会各界人士积极举报侵权盗版行为，本社将奖励举报有功人</w:t>
      </w:r>
      <w:r>
        <w:rPr>
          <w:rFonts w:ascii="SimSun" w:hAnsi="SimSun" w:eastAsia="SimSun" w:cs="SimSun"/>
          <w:sz w:val="21"/>
          <w:szCs w:val="21"/>
          <w:spacing w:val="9"/>
        </w:rPr>
        <w:t xml:space="preserve"> </w:t>
      </w:r>
      <w:r>
        <w:rPr>
          <w:rFonts w:ascii="SimSun" w:hAnsi="SimSun" w:eastAsia="SimSun" w:cs="SimSun"/>
          <w:sz w:val="21"/>
          <w:szCs w:val="21"/>
        </w:rPr>
        <w:t>员，并保证举报人的信息不被泄露。</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439"/>
        <w:spacing w:before="68" w:line="330" w:lineRule="exact"/>
        <w:rPr>
          <w:rFonts w:ascii="SimSun" w:hAnsi="SimSun" w:eastAsia="SimSun" w:cs="SimSun"/>
          <w:sz w:val="21"/>
          <w:szCs w:val="21"/>
        </w:rPr>
      </w:pPr>
      <w:r>
        <w:rPr>
          <w:rFonts w:ascii="SimSun" w:hAnsi="SimSun" w:eastAsia="SimSun" w:cs="SimSun"/>
          <w:sz w:val="21"/>
          <w:szCs w:val="21"/>
          <w:spacing w:val="10"/>
          <w:position w:val="8"/>
        </w:rPr>
        <w:t>举报电话：(010)88254396;(010)88258888</w:t>
      </w:r>
    </w:p>
    <w:p>
      <w:pPr>
        <w:ind w:left="439"/>
        <w:spacing w:before="1" w:line="218" w:lineRule="auto"/>
        <w:rPr>
          <w:rFonts w:ascii="SimSun" w:hAnsi="SimSun" w:eastAsia="SimSun" w:cs="SimSun"/>
          <w:sz w:val="21"/>
          <w:szCs w:val="21"/>
        </w:rPr>
      </w:pPr>
      <w:r>
        <w:rPr>
          <w:rFonts w:ascii="SimSun" w:hAnsi="SimSun" w:eastAsia="SimSun" w:cs="SimSun"/>
          <w:sz w:val="21"/>
          <w:szCs w:val="21"/>
          <w:spacing w:val="8"/>
        </w:rPr>
        <w:t>传</w:t>
      </w:r>
      <w:r>
        <w:rPr>
          <w:rFonts w:ascii="SimSun" w:hAnsi="SimSun" w:eastAsia="SimSun" w:cs="SimSun"/>
          <w:sz w:val="21"/>
          <w:szCs w:val="21"/>
          <w:spacing w:val="34"/>
        </w:rPr>
        <w:t xml:space="preserve">   </w:t>
      </w:r>
      <w:r>
        <w:rPr>
          <w:rFonts w:ascii="SimSun" w:hAnsi="SimSun" w:eastAsia="SimSun" w:cs="SimSun"/>
          <w:sz w:val="21"/>
          <w:szCs w:val="21"/>
          <w:spacing w:val="8"/>
        </w:rPr>
        <w:t>真：(010)88254397</w:t>
      </w:r>
    </w:p>
    <w:p>
      <w:pPr>
        <w:ind w:left="439"/>
        <w:spacing w:before="9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E-mail: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dbqq@phei.com.cn</w:t>
      </w:r>
    </w:p>
    <w:p>
      <w:pPr>
        <w:ind w:left="439"/>
        <w:spacing w:before="69" w:line="330" w:lineRule="exact"/>
        <w:rPr>
          <w:rFonts w:ascii="SimSun" w:hAnsi="SimSun" w:eastAsia="SimSun" w:cs="SimSun"/>
          <w:sz w:val="21"/>
          <w:szCs w:val="21"/>
        </w:rPr>
      </w:pPr>
      <w:r>
        <w:rPr>
          <w:rFonts w:ascii="SimSun" w:hAnsi="SimSun" w:eastAsia="SimSun" w:cs="SimSun"/>
          <w:sz w:val="21"/>
          <w:szCs w:val="21"/>
          <w:spacing w:val="5"/>
          <w:position w:val="8"/>
        </w:rPr>
        <w:t>通信地址：北京市海淀区万寿路173信箱</w:t>
      </w:r>
    </w:p>
    <w:p>
      <w:pPr>
        <w:ind w:left="1540"/>
        <w:spacing w:line="219" w:lineRule="auto"/>
        <w:rPr>
          <w:rFonts w:ascii="SimSun" w:hAnsi="SimSun" w:eastAsia="SimSun" w:cs="SimSun"/>
          <w:sz w:val="21"/>
          <w:szCs w:val="21"/>
        </w:rPr>
      </w:pPr>
      <w:r>
        <w:rPr>
          <w:rFonts w:ascii="SimSun" w:hAnsi="SimSun" w:eastAsia="SimSun" w:cs="SimSun"/>
          <w:sz w:val="21"/>
          <w:szCs w:val="21"/>
          <w:spacing w:val="-3"/>
        </w:rPr>
        <w:t>电子工业出版社总编办公室</w:t>
      </w:r>
    </w:p>
    <w:p>
      <w:pPr>
        <w:ind w:left="439"/>
        <w:spacing w:before="23" w:line="219" w:lineRule="auto"/>
        <w:rPr>
          <w:rFonts w:ascii="SimSun" w:hAnsi="SimSun" w:eastAsia="SimSun" w:cs="SimSun"/>
          <w:sz w:val="25"/>
          <w:szCs w:val="25"/>
        </w:rPr>
      </w:pPr>
      <w:r>
        <w:rPr>
          <w:rFonts w:ascii="SimSun" w:hAnsi="SimSun" w:eastAsia="SimSun" w:cs="SimSun"/>
          <w:sz w:val="25"/>
          <w:szCs w:val="25"/>
          <w:spacing w:val="-20"/>
        </w:rPr>
        <w:t>邮</w:t>
      </w:r>
      <w:r>
        <w:rPr>
          <w:rFonts w:ascii="SimSun" w:hAnsi="SimSun" w:eastAsia="SimSun" w:cs="SimSun"/>
          <w:sz w:val="25"/>
          <w:szCs w:val="25"/>
          <w:spacing w:val="7"/>
        </w:rPr>
        <w:t xml:space="preserve">   </w:t>
      </w:r>
      <w:r>
        <w:rPr>
          <w:rFonts w:ascii="SimSun" w:hAnsi="SimSun" w:eastAsia="SimSun" w:cs="SimSun"/>
          <w:sz w:val="25"/>
          <w:szCs w:val="25"/>
          <w:spacing w:val="-20"/>
        </w:rPr>
        <w:t>编：100036</w:t>
      </w:r>
    </w:p>
    <w:p>
      <w:pPr>
        <w:spacing w:line="219" w:lineRule="auto"/>
        <w:sectPr>
          <w:footerReference w:type="default" r:id="rId14"/>
          <w:pgSz w:w="8870" w:h="13400"/>
          <w:pgMar w:top="400" w:right="816" w:bottom="400" w:left="350" w:header="0" w:footer="0" w:gutter="0"/>
        </w:sectPr>
        <w:rPr>
          <w:rFonts w:ascii="SimSun" w:hAnsi="SimSun" w:eastAsia="SimSun" w:cs="SimSun"/>
          <w:sz w:val="25"/>
          <w:szCs w:val="25"/>
        </w:rPr>
      </w:pPr>
    </w:p>
    <w:p>
      <w:pPr>
        <w:pStyle w:val="BodyText"/>
        <w:spacing w:line="252" w:lineRule="auto"/>
        <w:rPr/>
      </w:pPr>
      <w:r>
        <w:drawing>
          <wp:anchor distT="0" distB="0" distL="0" distR="0" simplePos="0" relativeHeight="259175424" behindDoc="0" locked="0" layoutInCell="0" allowOverlap="1">
            <wp:simplePos x="0" y="0"/>
            <wp:positionH relativeFrom="page">
              <wp:posOffset>177799</wp:posOffset>
            </wp:positionH>
            <wp:positionV relativeFrom="page">
              <wp:posOffset>7099331</wp:posOffset>
            </wp:positionV>
            <wp:extent cx="330199" cy="330181"/>
            <wp:effectExtent l="0" t="0" r="0" b="0"/>
            <wp:wrapNone/>
            <wp:docPr id="372" name="IM 372"/>
            <wp:cNvGraphicFramePr/>
            <a:graphic>
              <a:graphicData uri="http://schemas.openxmlformats.org/drawingml/2006/picture">
                <pic:pic>
                  <pic:nvPicPr>
                    <pic:cNvPr id="372" name="IM 372"/>
                    <pic:cNvPicPr/>
                  </pic:nvPicPr>
                  <pic:blipFill>
                    <a:blip r:embed="rId568"/>
                    <a:stretch>
                      <a:fillRect/>
                    </a:stretch>
                  </pic:blipFill>
                  <pic:spPr>
                    <a:xfrm rot="0">
                      <a:off x="0" y="0"/>
                      <a:ext cx="330199" cy="330181"/>
                    </a:xfrm>
                    <a:prstGeom prst="rect">
                      <a:avLst/>
                    </a:prstGeom>
                  </pic:spPr>
                </pic:pic>
              </a:graphicData>
            </a:graphic>
          </wp:anchor>
        </w:drawing>
      </w:r>
      <w:r>
        <w:drawing>
          <wp:anchor distT="0" distB="0" distL="0" distR="0" simplePos="0" relativeHeight="259173376" behindDoc="0" locked="0" layoutInCell="0" allowOverlap="1">
            <wp:simplePos x="0" y="0"/>
            <wp:positionH relativeFrom="page">
              <wp:posOffset>2425721</wp:posOffset>
            </wp:positionH>
            <wp:positionV relativeFrom="page">
              <wp:posOffset>7378696</wp:posOffset>
            </wp:positionV>
            <wp:extent cx="698470" cy="704817"/>
            <wp:effectExtent l="0" t="0" r="0" b="0"/>
            <wp:wrapNone/>
            <wp:docPr id="374" name="IM 374"/>
            <wp:cNvGraphicFramePr/>
            <a:graphic>
              <a:graphicData uri="http://schemas.openxmlformats.org/drawingml/2006/picture">
                <pic:pic>
                  <pic:nvPicPr>
                    <pic:cNvPr id="374" name="IM 374"/>
                    <pic:cNvPicPr/>
                  </pic:nvPicPr>
                  <pic:blipFill>
                    <a:blip r:embed="rId569"/>
                    <a:stretch>
                      <a:fillRect/>
                    </a:stretch>
                  </pic:blipFill>
                  <pic:spPr>
                    <a:xfrm rot="0">
                      <a:off x="0" y="0"/>
                      <a:ext cx="698470" cy="704817"/>
                    </a:xfrm>
                    <a:prstGeom prst="rect">
                      <a:avLst/>
                    </a:prstGeom>
                  </pic:spPr>
                </pic:pic>
              </a:graphicData>
            </a:graphic>
          </wp:anchor>
        </w:drawing>
      </w:r>
      <w:r>
        <w:drawing>
          <wp:anchor distT="0" distB="0" distL="0" distR="0" simplePos="0" relativeHeight="259171328" behindDoc="0" locked="0" layoutInCell="0" allowOverlap="1">
            <wp:simplePos x="0" y="0"/>
            <wp:positionH relativeFrom="page">
              <wp:posOffset>3930654</wp:posOffset>
            </wp:positionH>
            <wp:positionV relativeFrom="page">
              <wp:posOffset>7137422</wp:posOffset>
            </wp:positionV>
            <wp:extent cx="1282668" cy="1022358"/>
            <wp:effectExtent l="0" t="0" r="0" b="0"/>
            <wp:wrapNone/>
            <wp:docPr id="376" name="IM 376"/>
            <wp:cNvGraphicFramePr/>
            <a:graphic>
              <a:graphicData uri="http://schemas.openxmlformats.org/drawingml/2006/picture">
                <pic:pic>
                  <pic:nvPicPr>
                    <pic:cNvPr id="376" name="IM 376"/>
                    <pic:cNvPicPr/>
                  </pic:nvPicPr>
                  <pic:blipFill>
                    <a:blip r:embed="rId570"/>
                    <a:stretch>
                      <a:fillRect/>
                    </a:stretch>
                  </pic:blipFill>
                  <pic:spPr>
                    <a:xfrm rot="0">
                      <a:off x="0" y="0"/>
                      <a:ext cx="1282668" cy="1022358"/>
                    </a:xfrm>
                    <a:prstGeom prst="rect">
                      <a:avLst/>
                    </a:prstGeom>
                  </pic:spPr>
                </pic:pic>
              </a:graphicData>
            </a:graphic>
          </wp:anchor>
        </w:drawing>
      </w:r>
      <w:r>
        <w:drawing>
          <wp:anchor distT="0" distB="0" distL="0" distR="0" simplePos="0" relativeHeight="259174400" behindDoc="0" locked="0" layoutInCell="0" allowOverlap="1">
            <wp:simplePos x="0" y="0"/>
            <wp:positionH relativeFrom="page">
              <wp:posOffset>184135</wp:posOffset>
            </wp:positionH>
            <wp:positionV relativeFrom="page">
              <wp:posOffset>7791422</wp:posOffset>
            </wp:positionV>
            <wp:extent cx="419126" cy="419089"/>
            <wp:effectExtent l="0" t="0" r="0" b="0"/>
            <wp:wrapNone/>
            <wp:docPr id="378" name="IM 378"/>
            <wp:cNvGraphicFramePr/>
            <a:graphic>
              <a:graphicData uri="http://schemas.openxmlformats.org/drawingml/2006/picture">
                <pic:pic>
                  <pic:nvPicPr>
                    <pic:cNvPr id="378" name="IM 378"/>
                    <pic:cNvPicPr/>
                  </pic:nvPicPr>
                  <pic:blipFill>
                    <a:blip r:embed="rId571"/>
                    <a:stretch>
                      <a:fillRect/>
                    </a:stretch>
                  </pic:blipFill>
                  <pic:spPr>
                    <a:xfrm rot="0">
                      <a:off x="0" y="0"/>
                      <a:ext cx="419126" cy="419089"/>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187"/>
        <w:spacing w:before="179" w:line="221" w:lineRule="auto"/>
        <w:rPr>
          <w:rFonts w:ascii="SimHei" w:hAnsi="SimHei" w:eastAsia="SimHei" w:cs="SimHei"/>
          <w:sz w:val="55"/>
          <w:szCs w:val="55"/>
        </w:rPr>
      </w:pPr>
      <w:r>
        <w:drawing>
          <wp:anchor distT="0" distB="0" distL="0" distR="0" simplePos="0" relativeHeight="259170304" behindDoc="1" locked="0" layoutInCell="1" allowOverlap="1">
            <wp:simplePos x="0" y="0"/>
            <wp:positionH relativeFrom="column">
              <wp:posOffset>0</wp:posOffset>
            </wp:positionH>
            <wp:positionV relativeFrom="paragraph">
              <wp:posOffset>-2026000</wp:posOffset>
            </wp:positionV>
            <wp:extent cx="5607050" cy="8483600"/>
            <wp:effectExtent l="0" t="0" r="0" b="0"/>
            <wp:wrapNone/>
            <wp:docPr id="380" name="IM 380"/>
            <wp:cNvGraphicFramePr/>
            <a:graphic>
              <a:graphicData uri="http://schemas.openxmlformats.org/drawingml/2006/picture">
                <pic:pic>
                  <pic:nvPicPr>
                    <pic:cNvPr id="380" name="IM 380"/>
                    <pic:cNvPicPr/>
                  </pic:nvPicPr>
                  <pic:blipFill>
                    <a:blip r:embed="rId572"/>
                    <a:stretch>
                      <a:fillRect/>
                    </a:stretch>
                  </pic:blipFill>
                  <pic:spPr>
                    <a:xfrm rot="0">
                      <a:off x="0" y="0"/>
                      <a:ext cx="5607050" cy="8483600"/>
                    </a:xfrm>
                    <a:prstGeom prst="rect">
                      <a:avLst/>
                    </a:prstGeom>
                  </pic:spPr>
                </pic:pic>
              </a:graphicData>
            </a:graphic>
          </wp:anchor>
        </w:drawing>
      </w:r>
      <w:r>
        <w:rPr>
          <w:rFonts w:ascii="SimHei" w:hAnsi="SimHei" w:eastAsia="SimHei" w:cs="SimHei"/>
          <w:sz w:val="55"/>
          <w:szCs w:val="55"/>
          <w:b/>
          <w:bCs/>
          <w:color w:val="0076D1"/>
          <w:spacing w:val="13"/>
        </w:rPr>
        <w:t>云端</w:t>
      </w:r>
      <w:r>
        <w:rPr>
          <w:rFonts w:ascii="SimHei" w:hAnsi="SimHei" w:eastAsia="SimHei" w:cs="SimHei"/>
          <w:sz w:val="55"/>
          <w:szCs w:val="55"/>
          <w:b/>
          <w:bCs/>
          <w:color w:val="FFFFFF"/>
          <w:spacing w:val="13"/>
        </w:rPr>
        <w:t>数据治理</w:t>
      </w:r>
    </w:p>
    <w:p>
      <w:pPr>
        <w:pStyle w:val="BodyText"/>
        <w:spacing w:line="304" w:lineRule="auto"/>
        <w:rPr/>
      </w:pPr>
      <w:r/>
    </w:p>
    <w:p>
      <w:pPr>
        <w:pStyle w:val="BodyText"/>
        <w:spacing w:line="304" w:lineRule="auto"/>
        <w:rPr/>
      </w:pPr>
      <w:r/>
    </w:p>
    <w:p>
      <w:pPr>
        <w:ind w:left="590" w:right="1301"/>
        <w:spacing w:before="65" w:line="267" w:lineRule="auto"/>
        <w:rPr>
          <w:rFonts w:ascii="SimSun" w:hAnsi="SimSun" w:eastAsia="SimSun" w:cs="SimSun"/>
          <w:sz w:val="20"/>
          <w:szCs w:val="20"/>
        </w:rPr>
      </w:pPr>
      <w:r>
        <w:rPr>
          <w:rFonts w:ascii="SimSun" w:hAnsi="SimSun" w:eastAsia="SimSun" w:cs="SimSun"/>
          <w:sz w:val="20"/>
          <w:szCs w:val="20"/>
          <w:color w:val="FFFFFF"/>
          <w:spacing w:val="9"/>
        </w:rPr>
        <w:t>本书的编写团队结合最新的科研成果以及多年来在成熟度评估方面的实战经</w:t>
      </w:r>
      <w:r>
        <w:rPr>
          <w:rFonts w:ascii="SimSun" w:hAnsi="SimSun" w:eastAsia="SimSun" w:cs="SimSun"/>
          <w:sz w:val="20"/>
          <w:szCs w:val="20"/>
          <w:color w:val="FFFFFF"/>
        </w:rPr>
        <w:t xml:space="preserve"> </w:t>
      </w:r>
      <w:r>
        <w:rPr>
          <w:rFonts w:ascii="SimSun" w:hAnsi="SimSun" w:eastAsia="SimSun" w:cs="SimSun"/>
          <w:sz w:val="20"/>
          <w:szCs w:val="20"/>
          <w:color w:val="FFFFFF"/>
          <w:spacing w:val="10"/>
        </w:rPr>
        <w:t>验，在借鉴国际先进数据治理理论和方法的基础上，针对云端数据特点，开</w:t>
      </w:r>
    </w:p>
    <w:p>
      <w:pPr>
        <w:ind w:left="590"/>
        <w:spacing w:before="152" w:line="219" w:lineRule="auto"/>
        <w:rPr>
          <w:rFonts w:ascii="SimSun" w:hAnsi="SimSun" w:eastAsia="SimSun" w:cs="SimSun"/>
          <w:sz w:val="20"/>
          <w:szCs w:val="20"/>
        </w:rPr>
      </w:pPr>
      <w:r>
        <w:rPr>
          <w:rFonts w:ascii="SimSun" w:hAnsi="SimSun" w:eastAsia="SimSun" w:cs="SimSun"/>
          <w:sz w:val="20"/>
          <w:szCs w:val="20"/>
          <w:color w:val="FFFFFF"/>
          <w:spacing w:val="8"/>
        </w:rPr>
        <w:t>发了云端数据治理模型，构成了本书的主要内容。</w:t>
      </w:r>
    </w:p>
    <w:p>
      <w:pPr>
        <w:ind w:left="590"/>
        <w:spacing w:before="212" w:line="219" w:lineRule="auto"/>
        <w:rPr>
          <w:rFonts w:ascii="SimSun" w:hAnsi="SimSun" w:eastAsia="SimSun" w:cs="SimSun"/>
          <w:sz w:val="20"/>
          <w:szCs w:val="20"/>
        </w:rPr>
      </w:pPr>
      <w:r>
        <w:rPr>
          <w:rFonts w:ascii="SimSun" w:hAnsi="SimSun" w:eastAsia="SimSun" w:cs="SimSun"/>
          <w:sz w:val="20"/>
          <w:szCs w:val="20"/>
          <w:color w:val="FFFFFF"/>
          <w:spacing w:val="9"/>
        </w:rPr>
        <w:t>本书旨在帮助读者和有数据治理需求的组织了解云计算环境下的数据治理方</w:t>
      </w:r>
    </w:p>
    <w:p>
      <w:pPr>
        <w:ind w:left="590"/>
        <w:spacing w:before="133" w:line="219" w:lineRule="auto"/>
        <w:rPr>
          <w:rFonts w:ascii="SimSun" w:hAnsi="SimSun" w:eastAsia="SimSun" w:cs="SimSun"/>
          <w:sz w:val="20"/>
          <w:szCs w:val="20"/>
        </w:rPr>
      </w:pPr>
      <w:r>
        <w:rPr>
          <w:rFonts w:ascii="SimSun" w:hAnsi="SimSun" w:eastAsia="SimSun" w:cs="SimSun"/>
          <w:sz w:val="20"/>
          <w:szCs w:val="20"/>
          <w:color w:val="FFFFFF"/>
          <w:spacing w:val="9"/>
        </w:rPr>
        <w:t>法，为建立云端数据治理体系和云端数据治理实施提供指导。</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862"/>
        <w:spacing w:before="65" w:line="198" w:lineRule="auto"/>
        <w:rPr>
          <w:rFonts w:ascii="SimSun" w:hAnsi="SimSun" w:eastAsia="SimSun" w:cs="SimSun"/>
          <w:sz w:val="20"/>
          <w:szCs w:val="20"/>
        </w:rPr>
      </w:pPr>
      <w:r>
        <w:rPr>
          <w:rFonts w:ascii="SimSun" w:hAnsi="SimSun" w:eastAsia="SimSun" w:cs="SimSun"/>
          <w:sz w:val="20"/>
          <w:szCs w:val="20"/>
          <w:b/>
          <w:bCs/>
          <w:color w:val="FFFFFF"/>
          <w:spacing w:val="-14"/>
        </w:rPr>
        <w:t>电</w:t>
      </w:r>
      <w:r>
        <w:rPr>
          <w:rFonts w:ascii="SimSun" w:hAnsi="SimSun" w:eastAsia="SimSun" w:cs="SimSun"/>
          <w:sz w:val="20"/>
          <w:szCs w:val="20"/>
          <w:color w:val="FFFFFF"/>
          <w:spacing w:val="-18"/>
        </w:rPr>
        <w:t xml:space="preserve"> </w:t>
      </w:r>
      <w:r>
        <w:rPr>
          <w:rFonts w:ascii="SimSun" w:hAnsi="SimSun" w:eastAsia="SimSun" w:cs="SimSun"/>
          <w:sz w:val="20"/>
          <w:szCs w:val="20"/>
          <w:b/>
          <w:bCs/>
          <w:color w:val="FFFFFF"/>
          <w:spacing w:val="-14"/>
        </w:rPr>
        <w:t>子</w:t>
      </w:r>
      <w:r>
        <w:rPr>
          <w:rFonts w:ascii="SimSun" w:hAnsi="SimSun" w:eastAsia="SimSun" w:cs="SimSun"/>
          <w:sz w:val="20"/>
          <w:szCs w:val="20"/>
          <w:color w:val="FFFFFF"/>
          <w:spacing w:val="-22"/>
        </w:rPr>
        <w:t xml:space="preserve"> </w:t>
      </w:r>
      <w:r>
        <w:rPr>
          <w:rFonts w:ascii="SimSun" w:hAnsi="SimSun" w:eastAsia="SimSun" w:cs="SimSun"/>
          <w:sz w:val="20"/>
          <w:szCs w:val="20"/>
          <w:b/>
          <w:bCs/>
          <w:color w:val="FFFFFF"/>
          <w:spacing w:val="-14"/>
        </w:rPr>
        <w:t>信</w:t>
      </w:r>
      <w:r>
        <w:rPr>
          <w:rFonts w:ascii="SimSun" w:hAnsi="SimSun" w:eastAsia="SimSun" w:cs="SimSun"/>
          <w:sz w:val="20"/>
          <w:szCs w:val="20"/>
          <w:color w:val="FFFFFF"/>
          <w:spacing w:val="-14"/>
        </w:rPr>
        <w:t xml:space="preserve"> </w:t>
      </w:r>
      <w:r>
        <w:rPr>
          <w:rFonts w:ascii="SimSun" w:hAnsi="SimSun" w:eastAsia="SimSun" w:cs="SimSun"/>
          <w:sz w:val="20"/>
          <w:szCs w:val="20"/>
          <w:b/>
          <w:bCs/>
          <w:color w:val="FFFFFF"/>
          <w:spacing w:val="-14"/>
        </w:rPr>
        <w:t>息</w:t>
      </w:r>
      <w:r>
        <w:rPr>
          <w:rFonts w:ascii="SimSun" w:hAnsi="SimSun" w:eastAsia="SimSun" w:cs="SimSun"/>
          <w:sz w:val="20"/>
          <w:szCs w:val="20"/>
          <w:color w:val="FFFFFF"/>
          <w:spacing w:val="-14"/>
        </w:rPr>
        <w:t xml:space="preserve"> </w:t>
      </w:r>
      <w:r>
        <w:rPr>
          <w:rFonts w:ascii="SimSun" w:hAnsi="SimSun" w:eastAsia="SimSun" w:cs="SimSun"/>
          <w:sz w:val="20"/>
          <w:szCs w:val="20"/>
          <w:b/>
          <w:bCs/>
          <w:color w:val="FFFFFF"/>
          <w:spacing w:val="-14"/>
        </w:rPr>
        <w:t>出</w:t>
      </w:r>
      <w:r>
        <w:rPr>
          <w:rFonts w:ascii="SimSun" w:hAnsi="SimSun" w:eastAsia="SimSun" w:cs="SimSun"/>
          <w:sz w:val="20"/>
          <w:szCs w:val="20"/>
          <w:color w:val="FFFFFF"/>
          <w:spacing w:val="-21"/>
        </w:rPr>
        <w:t xml:space="preserve"> </w:t>
      </w:r>
      <w:r>
        <w:rPr>
          <w:rFonts w:ascii="SimSun" w:hAnsi="SimSun" w:eastAsia="SimSun" w:cs="SimSun"/>
          <w:sz w:val="20"/>
          <w:szCs w:val="20"/>
          <w:b/>
          <w:bCs/>
          <w:color w:val="FFFFFF"/>
          <w:spacing w:val="-14"/>
        </w:rPr>
        <w:t>版</w:t>
      </w:r>
      <w:r>
        <w:rPr>
          <w:rFonts w:ascii="SimSun" w:hAnsi="SimSun" w:eastAsia="SimSun" w:cs="SimSun"/>
          <w:sz w:val="20"/>
          <w:szCs w:val="20"/>
          <w:color w:val="FFFFFF"/>
          <w:spacing w:val="-20"/>
        </w:rPr>
        <w:t xml:space="preserve"> </w:t>
      </w:r>
      <w:r>
        <w:rPr>
          <w:rFonts w:ascii="SimSun" w:hAnsi="SimSun" w:eastAsia="SimSun" w:cs="SimSun"/>
          <w:sz w:val="20"/>
          <w:szCs w:val="20"/>
          <w:b/>
          <w:bCs/>
          <w:color w:val="FFFFFF"/>
          <w:spacing w:val="-14"/>
        </w:rPr>
        <w:t>分</w:t>
      </w:r>
      <w:r>
        <w:rPr>
          <w:rFonts w:ascii="SimSun" w:hAnsi="SimSun" w:eastAsia="SimSun" w:cs="SimSun"/>
          <w:sz w:val="20"/>
          <w:szCs w:val="20"/>
          <w:color w:val="FFFFFF"/>
          <w:spacing w:val="-20"/>
        </w:rPr>
        <w:t xml:space="preserve"> </w:t>
      </w:r>
      <w:r>
        <w:rPr>
          <w:rFonts w:ascii="SimSun" w:hAnsi="SimSun" w:eastAsia="SimSun" w:cs="SimSun"/>
          <w:sz w:val="20"/>
          <w:szCs w:val="20"/>
          <w:b/>
          <w:bCs/>
          <w:color w:val="FFFFFF"/>
          <w:spacing w:val="-14"/>
        </w:rPr>
        <w:t>社</w:t>
      </w:r>
      <w:r>
        <w:rPr>
          <w:rFonts w:ascii="SimSun" w:hAnsi="SimSun" w:eastAsia="SimSun" w:cs="SimSun"/>
          <w:sz w:val="20"/>
          <w:szCs w:val="20"/>
          <w:color w:val="FFFFFF"/>
          <w:spacing w:val="-22"/>
        </w:rPr>
        <w:t xml:space="preserve"> </w:t>
      </w:r>
      <w:r>
        <w:rPr>
          <w:rFonts w:ascii="SimSun" w:hAnsi="SimSun" w:eastAsia="SimSun" w:cs="SimSun"/>
          <w:sz w:val="20"/>
          <w:szCs w:val="20"/>
          <w:b/>
          <w:bCs/>
          <w:color w:val="FFFFFF"/>
          <w:spacing w:val="-14"/>
        </w:rPr>
        <w:t>微</w:t>
      </w:r>
      <w:r>
        <w:rPr>
          <w:rFonts w:ascii="SimSun" w:hAnsi="SimSun" w:eastAsia="SimSun" w:cs="SimSun"/>
          <w:sz w:val="20"/>
          <w:szCs w:val="20"/>
          <w:color w:val="FFFFFF"/>
          <w:spacing w:val="-21"/>
        </w:rPr>
        <w:t xml:space="preserve"> </w:t>
      </w:r>
      <w:r>
        <w:rPr>
          <w:rFonts w:ascii="SimSun" w:hAnsi="SimSun" w:eastAsia="SimSun" w:cs="SimSun"/>
          <w:sz w:val="20"/>
          <w:szCs w:val="20"/>
          <w:b/>
          <w:bCs/>
          <w:color w:val="FFFFFF"/>
          <w:spacing w:val="-14"/>
        </w:rPr>
        <w:t>博</w:t>
      </w:r>
    </w:p>
    <w:p>
      <w:pPr>
        <w:pStyle w:val="BodyText"/>
        <w:ind w:left="870"/>
        <w:spacing w:line="237" w:lineRule="exact"/>
        <w:rPr>
          <w:sz w:val="20"/>
          <w:szCs w:val="20"/>
        </w:rPr>
      </w:pPr>
      <w:hyperlink w:history="true" r:id="rId573">
        <w:r>
          <w:rPr>
            <w:sz w:val="20"/>
            <w:szCs w:val="20"/>
            <w:b/>
            <w:bCs/>
            <w:color w:val="FFFFFF"/>
            <w:spacing w:val="-1"/>
            <w:position w:val="2"/>
          </w:rPr>
          <w:t>http://weibo.com/etpublish</w:t>
        </w:r>
      </w:hyperlink>
    </w:p>
    <w:p>
      <w:pPr>
        <w:pStyle w:val="BodyText"/>
        <w:spacing w:line="244" w:lineRule="auto"/>
        <w:rPr/>
      </w:pPr>
      <w:r/>
    </w:p>
    <w:p>
      <w:pPr>
        <w:pStyle w:val="BodyText"/>
        <w:spacing w:line="245" w:lineRule="auto"/>
        <w:rPr/>
      </w:pPr>
      <w:r/>
    </w:p>
    <w:p>
      <w:pPr>
        <w:ind w:left="1522"/>
        <w:spacing w:before="65" w:line="221" w:lineRule="auto"/>
        <w:rPr>
          <w:rFonts w:ascii="SimHei" w:hAnsi="SimHei" w:eastAsia="SimHei" w:cs="SimHei"/>
          <w:sz w:val="20"/>
          <w:szCs w:val="20"/>
        </w:rPr>
      </w:pPr>
      <w:r>
        <w:rPr>
          <w:rFonts w:ascii="SimHei" w:hAnsi="SimHei" w:eastAsia="SimHei" w:cs="SimHei"/>
          <w:sz w:val="20"/>
          <w:szCs w:val="20"/>
          <w:b/>
          <w:bCs/>
          <w:color w:val="FFFFFF"/>
          <w:spacing w:val="-18"/>
        </w:rPr>
        <w:t>策划编辑：牛平月</w:t>
      </w:r>
    </w:p>
    <w:p>
      <w:pPr>
        <w:ind w:left="1522"/>
        <w:spacing w:before="21" w:line="204" w:lineRule="auto"/>
        <w:rPr>
          <w:rFonts w:ascii="SimHei" w:hAnsi="SimHei" w:eastAsia="SimHei" w:cs="SimHei"/>
          <w:sz w:val="20"/>
          <w:szCs w:val="20"/>
        </w:rPr>
      </w:pPr>
      <w:r>
        <w:rPr>
          <w:rFonts w:ascii="SimHei" w:hAnsi="SimHei" w:eastAsia="SimHei" w:cs="SimHei"/>
          <w:sz w:val="20"/>
          <w:szCs w:val="20"/>
          <w:b/>
          <w:bCs/>
          <w:color w:val="FFFFFF"/>
          <w:spacing w:val="-19"/>
        </w:rPr>
        <w:t>责任编辑：王敬栋</w:t>
      </w:r>
    </w:p>
    <w:p>
      <w:pPr>
        <w:ind w:left="1522"/>
        <w:spacing w:line="217" w:lineRule="auto"/>
        <w:rPr>
          <w:rFonts w:ascii="SimHei" w:hAnsi="SimHei" w:eastAsia="SimHei" w:cs="SimHei"/>
          <w:sz w:val="20"/>
          <w:szCs w:val="20"/>
        </w:rPr>
      </w:pPr>
      <w:r>
        <w:pict>
          <v:shape id="_x0000_s768" style="position:absolute;margin-left:193.498pt;margin-top:-1.88193pt;mso-position-vertical-relative:text;mso-position-horizontal-relative:text;width:52.1pt;height:14pt;z-index:25917235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0"/>
                      <w:szCs w:val="20"/>
                    </w:rPr>
                  </w:pPr>
                  <w:r>
                    <w:rPr>
                      <w:rFonts w:ascii="SimHei" w:hAnsi="SimHei" w:eastAsia="SimHei" w:cs="SimHei"/>
                      <w:sz w:val="20"/>
                      <w:szCs w:val="20"/>
                      <w:spacing w:val="-23"/>
                      <w:w w:val="93"/>
                    </w:rPr>
                    <w:t>官</w:t>
                  </w:r>
                  <w:r>
                    <w:rPr>
                      <w:rFonts w:ascii="SimHei" w:hAnsi="SimHei" w:eastAsia="SimHei" w:cs="SimHei"/>
                      <w:sz w:val="20"/>
                      <w:szCs w:val="20"/>
                      <w:spacing w:val="-22"/>
                      <w:w w:val="93"/>
                    </w:rPr>
                    <w:t>方微信平</w:t>
                  </w:r>
                  <w:r>
                    <w:rPr>
                      <w:rFonts w:ascii="SimHei" w:hAnsi="SimHei" w:eastAsia="SimHei" w:cs="SimHei"/>
                      <w:sz w:val="20"/>
                      <w:szCs w:val="20"/>
                      <w:spacing w:val="-15"/>
                      <w:w w:val="93"/>
                    </w:rPr>
                    <w:t>台</w:t>
                  </w:r>
                </w:p>
              </w:txbxContent>
            </v:textbox>
          </v:shape>
        </w:pict>
      </w:r>
      <w:r>
        <w:rPr>
          <w:rFonts w:ascii="SimHei" w:hAnsi="SimHei" w:eastAsia="SimHei" w:cs="SimHei"/>
          <w:sz w:val="20"/>
          <w:szCs w:val="20"/>
          <w:b/>
          <w:bCs/>
          <w:color w:val="FFFFFF"/>
          <w:spacing w:val="-20"/>
        </w:rPr>
        <w:t>封面设计：汇众智捷</w:t>
      </w:r>
    </w:p>
    <w:sectPr>
      <w:pgSz w:w="8830" w:h="13360"/>
      <w:pgMar w:top="400" w:right="0"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2" w:lineRule="auto"/>
      <w:jc w:val="right"/>
      <w:rPr>
        <w:rFonts w:ascii="SimSun" w:hAnsi="SimSun" w:eastAsia="SimSun" w:cs="SimSun"/>
        <w:sz w:val="21"/>
        <w:szCs w:val="21"/>
      </w:rPr>
    </w:pPr>
    <w:r>
      <w:rPr>
        <w:rFonts w:ascii="SimSun" w:hAnsi="SimSun" w:eastAsia="SimSun" w:cs="SimSun"/>
        <w:sz w:val="21"/>
        <w:szCs w:val="21"/>
        <w:spacing w:val="-13"/>
      </w:rPr>
      <w:t>5</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98</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99</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100</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101</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102</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103</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104</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105</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106</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107</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rPr>
      <w:t>6</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108</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109</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110</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111</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112</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113</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114</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115</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116</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117</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20"/>
        <w:szCs w:val="20"/>
      </w:rPr>
    </w:pPr>
    <w:r>
      <w:rPr>
        <w:rFonts w:ascii="SimSun" w:hAnsi="SimSun" w:eastAsia="SimSun" w:cs="SimSun"/>
        <w:sz w:val="20"/>
        <w:szCs w:val="20"/>
        <w:spacing w:val="-13"/>
      </w:rPr>
      <w:t>7</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118</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119</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120</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121</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122</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123</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124</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125</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126</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127</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rPr>
      <w:t>8</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128</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8"/>
      </w:rPr>
      <w:t>129</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130</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131</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132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133</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134</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135</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136</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137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0"/>
      </w:rPr>
      <w:t>9</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138</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139</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140</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141</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142</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143</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144</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145</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146</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147</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779" w:hanging="49"/>
      <w:spacing w:line="191" w:lineRule="auto"/>
      <w:rPr>
        <w:rFonts w:ascii="Times New Roman" w:hAnsi="Times New Roman" w:eastAsia="Times New Roman" w:cs="Times New Roman"/>
        <w:sz w:val="8"/>
        <w:szCs w:val="8"/>
      </w:rPr>
    </w:pPr>
    <w:r>
      <w:rPr>
        <w:rFonts w:ascii="SimSun" w:hAnsi="SimSun" w:eastAsia="SimSun" w:cs="SimSun"/>
        <w:sz w:val="8"/>
        <w:szCs w:val="8"/>
        <w:spacing w:val="-5"/>
      </w:rPr>
      <w:t>14</w:t>
    </w:r>
    <w:r>
      <w:rPr>
        <w:rFonts w:ascii="SimSun" w:hAnsi="SimSun" w:eastAsia="SimSun" w:cs="SimSun"/>
        <w:sz w:val="8"/>
        <w:szCs w:val="8"/>
      </w:rPr>
      <w:t xml:space="preserve"> </w:t>
    </w:r>
    <w:r>
      <w:rPr>
        <w:rFonts w:ascii="Times New Roman" w:hAnsi="Times New Roman" w:eastAsia="Times New Roman" w:cs="Times New Roman"/>
        <w:sz w:val="8"/>
        <w:szCs w:val="8"/>
        <w:spacing w:val="-6"/>
      </w:rPr>
      <w:t>|</w:t>
    </w:r>
    <w:r>
      <w:rPr>
        <w:rFonts w:ascii="Times New Roman" w:hAnsi="Times New Roman" w:eastAsia="Times New Roman" w:cs="Times New Roman"/>
        <w:sz w:val="8"/>
        <w:szCs w:val="8"/>
        <w:spacing w:val="-2"/>
      </w:rPr>
      <w:t>l</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148</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149</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150</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151</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b/>
        <w:bCs/>
        <w:spacing w:val="-8"/>
      </w:rPr>
      <w:t>152</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153</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154</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155</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156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157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12</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b/>
        <w:bCs/>
        <w:spacing w:val="-8"/>
      </w:rPr>
      <w:t>158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159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160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161</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162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163</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164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b/>
        <w:bCs/>
        <w:spacing w:val="-11"/>
      </w:rPr>
      <w:t>165</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166</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167</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3"/>
      </w:rPr>
      <w:t>13</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6"/>
      </w:rPr>
      <w:t>168</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169</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170</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171</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172</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173</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174</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175</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176</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177</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7"/>
      </w:rPr>
      <w:t>14</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178</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179</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180</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181</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182</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183</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184</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185</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186</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3"/>
        <w:szCs w:val="23"/>
      </w:rPr>
    </w:pPr>
    <w:r>
      <w:rPr>
        <w:rFonts w:ascii="SimSun" w:hAnsi="SimSun" w:eastAsia="SimSun" w:cs="SimSun"/>
        <w:sz w:val="23"/>
        <w:szCs w:val="23"/>
        <w:spacing w:val="-9"/>
      </w:rPr>
      <w:t>187</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10"/>
      </w:rPr>
      <w:t>15</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188</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189</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190</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191</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6"/>
      </w:rPr>
      <w:t>192</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193</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194</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195</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196</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197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V</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7"/>
      </w:rPr>
      <w:t>16</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6"/>
      </w:rPr>
      <w:t>198</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9"/>
      </w:rPr>
      <w:t>199</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3"/>
      </w:rPr>
      <w:t>200</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201</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202</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203</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204</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205</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3"/>
      </w:rPr>
      <w:t>206</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207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2"/>
      </w:rPr>
      <w:t>17</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3"/>
      </w:rPr>
      <w:t>208</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0"/>
        <w:szCs w:val="20"/>
      </w:rPr>
    </w:pPr>
    <w:r>
      <w:rPr>
        <w:rFonts w:ascii="SimSun" w:hAnsi="SimSun" w:eastAsia="SimSun" w:cs="SimSun"/>
        <w:sz w:val="20"/>
        <w:szCs w:val="20"/>
        <w:spacing w:val="-4"/>
      </w:rPr>
      <w:t>209</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3"/>
      </w:rPr>
      <w:t>210</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9"/>
        <w:szCs w:val="19"/>
      </w:rPr>
    </w:pPr>
    <w:r>
      <w:rPr>
        <w:rFonts w:ascii="SimSun" w:hAnsi="SimSun" w:eastAsia="SimSun" w:cs="SimSun"/>
        <w:sz w:val="19"/>
        <w:szCs w:val="19"/>
        <w:spacing w:val="-4"/>
      </w:rPr>
      <w:t>211</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212</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3"/>
        <w:szCs w:val="23"/>
      </w:rPr>
    </w:pPr>
    <w:r>
      <w:rPr>
        <w:rFonts w:ascii="SimSun" w:hAnsi="SimSun" w:eastAsia="SimSun" w:cs="SimSun"/>
        <w:sz w:val="23"/>
        <w:szCs w:val="23"/>
        <w:spacing w:val="-4"/>
      </w:rPr>
      <w:t>213</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214</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215</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216</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217</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6"/>
      </w:rPr>
      <w:t>18</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218</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219</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220</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4"/>
      </w:rPr>
      <w:t>221</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222</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223</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224</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225</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226</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227</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3"/>
      </w:rPr>
      <w:t>19</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228</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229</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230</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4"/>
      </w:rPr>
      <w:t>231</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232</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0"/>
        <w:szCs w:val="20"/>
      </w:rPr>
    </w:pPr>
    <w:r>
      <w:rPr>
        <w:rFonts w:ascii="SimSun" w:hAnsi="SimSun" w:eastAsia="SimSun" w:cs="SimSun"/>
        <w:sz w:val="20"/>
        <w:szCs w:val="20"/>
        <w:spacing w:val="-4"/>
      </w:rPr>
      <w:t>233</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234</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235</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236</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237</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20</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238</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239</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240</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4"/>
      </w:rPr>
      <w:t>241</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242</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243</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244</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245</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246</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247</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6"/>
      </w:rPr>
      <w:t>21</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248</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249</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3"/>
      </w:rPr>
      <w:t>250</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4"/>
      </w:rPr>
      <w:t>251</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252</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253</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b/>
        <w:bCs/>
        <w:spacing w:val="-6"/>
      </w:rPr>
      <w:t>254</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255</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256</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257</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22</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258</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259</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260</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261</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262</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263</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264</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265</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266</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267</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6"/>
      </w:rPr>
      <w:t>23</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268</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269</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3"/>
      </w:rPr>
      <w:t>270</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4"/>
      </w:rPr>
      <w:t>271</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3"/>
      </w:rPr>
      <w:t>272</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273</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274</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275</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276</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277</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24</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278</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279</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280</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281</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282</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283</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284</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285</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286</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288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6"/>
      </w:rPr>
      <w:t>25</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3"/>
      </w:rPr>
      <w:t>289</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290</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4"/>
      </w:rPr>
      <w:t>291</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292</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293</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294</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295</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296</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297</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298</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9" w:lineRule="auto"/>
      <w:jc w:val="right"/>
      <w:rPr>
        <w:sz w:val="31"/>
        <w:szCs w:val="31"/>
      </w:rPr>
    </w:pPr>
    <w:r>
      <w:rPr>
        <w:sz w:val="31"/>
        <w:szCs w:val="31"/>
        <w:spacing w:val="-1"/>
      </w:rPr>
      <w:t>VI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26</w:t>
    </w:r>
  </w:p>
</w:ftr>
</file>

<file path=word/footer3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299</w:t>
    </w:r>
  </w:p>
</w:ftr>
</file>

<file path=word/footer3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300</w:t>
    </w:r>
  </w:p>
</w:ftr>
</file>

<file path=word/footer3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301</w:t>
    </w:r>
  </w:p>
</w:ftr>
</file>

<file path=word/footer3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3"/>
      </w:rPr>
      <w:t>302</w:t>
    </w:r>
  </w:p>
</w:ftr>
</file>

<file path=word/footer3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5"/>
      </w:rPr>
      <w:t>303</w:t>
    </w:r>
  </w:p>
</w:ftr>
</file>

<file path=word/footer3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304</w:t>
    </w:r>
  </w:p>
</w:ftr>
</file>

<file path=word/footer3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0"/>
        <w:szCs w:val="20"/>
      </w:rPr>
    </w:pPr>
    <w:r>
      <w:rPr>
        <w:rFonts w:ascii="SimSun" w:hAnsi="SimSun" w:eastAsia="SimSun" w:cs="SimSun"/>
        <w:sz w:val="20"/>
        <w:szCs w:val="20"/>
        <w:spacing w:val="-4"/>
      </w:rPr>
      <w:t>305</w:t>
    </w:r>
  </w:p>
</w:ftr>
</file>

<file path=word/footer3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306</w:t>
    </w:r>
  </w:p>
</w:ftr>
</file>

<file path=word/footer3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307</w:t>
    </w:r>
  </w:p>
</w:ftr>
</file>

<file path=word/footer3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308</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6"/>
      </w:rPr>
      <w:t>27</w:t>
    </w:r>
  </w:p>
</w:ftr>
</file>

<file path=word/footer3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309</w:t>
    </w:r>
  </w:p>
</w:ftr>
</file>

<file path=word/footer3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3"/>
      </w:rPr>
      <w:t>310</w:t>
    </w:r>
  </w:p>
</w:ftr>
</file>

<file path=word/footer3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311</w:t>
    </w:r>
  </w:p>
</w:ftr>
</file>

<file path=word/footer3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312</w:t>
    </w:r>
  </w:p>
</w:ftr>
</file>

<file path=word/footer3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313</w:t>
    </w:r>
  </w:p>
</w:ftr>
</file>

<file path=word/footer3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314</w:t>
    </w:r>
  </w:p>
</w:ftr>
</file>

<file path=word/footer3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315</w:t>
    </w:r>
  </w:p>
</w:ftr>
</file>

<file path=word/footer3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3"/>
      </w:rPr>
      <w:t>316</w:t>
    </w:r>
  </w:p>
</w:ftr>
</file>

<file path=word/footer3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317</w:t>
    </w:r>
  </w:p>
</w:ftr>
</file>

<file path=word/footer3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3"/>
      </w:rPr>
      <w:t>318</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28</w:t>
    </w:r>
  </w:p>
</w:ftr>
</file>

<file path=word/footer3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5"/>
      </w:rPr>
      <w:t>319</w:t>
    </w:r>
  </w:p>
</w:ftr>
</file>

<file path=word/footer3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320</w:t>
    </w:r>
  </w:p>
</w:ftr>
</file>

<file path=word/footer3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321</w:t>
    </w:r>
  </w:p>
</w:ftr>
</file>

<file path=word/footer3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322</w:t>
    </w:r>
  </w:p>
</w:ftr>
</file>

<file path=word/footer3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323</w:t>
    </w:r>
  </w:p>
</w:ftr>
</file>

<file path=word/footer3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324</w:t>
    </w:r>
  </w:p>
</w:ftr>
</file>

<file path=word/footer3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325</w:t>
    </w:r>
  </w:p>
</w:ftr>
</file>

<file path=word/footer3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326</w:t>
    </w:r>
  </w:p>
</w:ftr>
</file>

<file path=word/footer3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327</w:t>
    </w:r>
  </w:p>
</w:ftr>
</file>

<file path=word/footer3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328</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5"/>
      </w:rPr>
      <w:t>29</w:t>
    </w:r>
  </w:p>
</w:ftr>
</file>

<file path=word/footer3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329</w:t>
    </w:r>
  </w:p>
</w:ftr>
</file>

<file path=word/footer3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330</w:t>
    </w:r>
  </w:p>
</w:ftr>
</file>

<file path=word/footer3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5"/>
      </w:rPr>
      <w:t>331</w:t>
    </w:r>
  </w:p>
</w:ftr>
</file>

<file path=word/footer3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4"/>
      </w:rPr>
      <w:t>332</w:t>
    </w:r>
  </w:p>
</w:ftr>
</file>

<file path=word/footer3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0"/>
        <w:szCs w:val="20"/>
      </w:rPr>
    </w:pPr>
    <w:r>
      <w:rPr>
        <w:rFonts w:ascii="SimSun" w:hAnsi="SimSun" w:eastAsia="SimSun" w:cs="SimSun"/>
        <w:sz w:val="20"/>
        <w:szCs w:val="20"/>
        <w:spacing w:val="-4"/>
      </w:rPr>
      <w:t>333</w:t>
    </w:r>
  </w:p>
</w:ftr>
</file>

<file path=word/footer3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334</w:t>
    </w:r>
  </w:p>
</w:ftr>
</file>

<file path=word/footer3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5"/>
      </w:rPr>
      <w:t>335</w:t>
    </w:r>
  </w:p>
</w:ftr>
</file>

<file path=word/footer3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3"/>
      </w:rPr>
      <w:t>336</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30</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7"/>
      </w:rPr>
      <w:t>31</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32</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33</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4"/>
      </w:rPr>
      <w:t>34</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35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1" w:line="188" w:lineRule="auto"/>
      <w:rPr>
        <w:sz w:val="29"/>
        <w:szCs w:val="29"/>
      </w:rPr>
    </w:pPr>
    <w:r>
      <w:rPr>
        <w:sz w:val="29"/>
        <w:szCs w:val="29"/>
        <w:spacing w:val="-1"/>
      </w:rPr>
      <w:t>VI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4"/>
      </w:rPr>
      <w:t>36</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37</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38</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39</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2"/>
      </w:rPr>
      <w:t>40</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4"/>
      </w:rPr>
      <w:t>41</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b/>
        <w:bCs/>
        <w:spacing w:val="-5"/>
      </w:rPr>
      <w:t>42</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43</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2"/>
      </w:rPr>
      <w:t>44</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30" w:lineRule="auto"/>
      <w:jc w:val="right"/>
      <w:rPr>
        <w:rFonts w:ascii="SimSun" w:hAnsi="SimSun" w:eastAsia="SimSun" w:cs="SimSun"/>
        <w:sz w:val="21"/>
        <w:szCs w:val="21"/>
      </w:rPr>
    </w:pPr>
    <w:r>
      <w:rPr>
        <w:rFonts w:ascii="SimSun" w:hAnsi="SimSun" w:eastAsia="SimSun" w:cs="SimSun"/>
        <w:sz w:val="21"/>
        <w:szCs w:val="21"/>
        <w:spacing w:val="-3"/>
      </w:rPr>
      <w:t>45■</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9" w:lineRule="auto"/>
      <w:jc w:val="right"/>
      <w:rPr>
        <w:rFonts w:ascii="Times New Roman" w:hAnsi="Times New Roman" w:eastAsia="Times New Roman" w:cs="Times New Roman"/>
        <w:sz w:val="33"/>
        <w:szCs w:val="33"/>
      </w:rPr>
    </w:pPr>
    <w:r>
      <w:rPr>
        <w:rFonts w:ascii="Times New Roman" w:hAnsi="Times New Roman" w:eastAsia="Times New Roman" w:cs="Times New Roman"/>
        <w:sz w:val="33"/>
        <w:szCs w:val="33"/>
        <w:spacing w:val="-12"/>
        <w:w w:val="74"/>
      </w:rPr>
      <w:t>I</w:t>
    </w:r>
    <w:r>
      <w:rPr>
        <w:rFonts w:ascii="Times New Roman" w:hAnsi="Times New Roman" w:eastAsia="Times New Roman" w:cs="Times New Roman"/>
        <w:sz w:val="33"/>
        <w:szCs w:val="33"/>
        <w:spacing w:val="-4"/>
        <w:w w:val="74"/>
      </w:rPr>
      <w:t>X</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2"/>
      </w:rPr>
      <w:t>46</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4"/>
      </w:rPr>
      <w:t>47</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2"/>
      </w:rPr>
      <w:t>48</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4"/>
      </w:rPr>
      <w:t>49</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5"/>
        <w:szCs w:val="25"/>
      </w:rPr>
    </w:pPr>
    <w:r>
      <w:rPr>
        <w:rFonts w:ascii="SimSun" w:hAnsi="SimSun" w:eastAsia="SimSun" w:cs="SimSun"/>
        <w:sz w:val="25"/>
        <w:szCs w:val="25"/>
        <w:spacing w:val="-4"/>
      </w:rPr>
      <w:t>50</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7"/>
      </w:rPr>
      <w:t>51</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52</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54</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2"/>
        <w:szCs w:val="22"/>
      </w:rPr>
    </w:pPr>
    <w:r>
      <w:rPr>
        <w:rFonts w:ascii="SimSun" w:hAnsi="SimSun" w:eastAsia="SimSun" w:cs="SimSun"/>
        <w:sz w:val="22"/>
        <w:szCs w:val="22"/>
        <w:spacing w:val="-7"/>
      </w:rPr>
      <w:t>55</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4"/>
      </w:rPr>
      <w:t>56</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8"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X</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2" w:lineRule="auto"/>
      <w:jc w:val="right"/>
      <w:rPr>
        <w:rFonts w:ascii="SimSun" w:hAnsi="SimSun" w:eastAsia="SimSun" w:cs="SimSun"/>
        <w:sz w:val="21"/>
        <w:szCs w:val="21"/>
      </w:rPr>
    </w:pPr>
    <w:r>
      <w:rPr>
        <w:rFonts w:ascii="SimSun" w:hAnsi="SimSun" w:eastAsia="SimSun" w:cs="SimSun"/>
        <w:sz w:val="21"/>
        <w:szCs w:val="21"/>
        <w:spacing w:val="-7"/>
      </w:rPr>
      <w:t>57</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58</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59</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60</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6"/>
      </w:rPr>
      <w:t>61</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62</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63</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64</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65</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66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6"/>
      </w:rPr>
      <w:t>67</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68</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69</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70</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4"/>
      </w:rPr>
      <w:t>72</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7"/>
      </w:rPr>
      <w:t>73</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4"/>
      </w:rPr>
      <w:t>74</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2"/>
        <w:szCs w:val="22"/>
      </w:rPr>
    </w:pPr>
    <w:r>
      <w:rPr>
        <w:rFonts w:ascii="SimSun" w:hAnsi="SimSun" w:eastAsia="SimSun" w:cs="SimSun"/>
        <w:sz w:val="22"/>
        <w:szCs w:val="22"/>
        <w:spacing w:val="-7"/>
      </w:rPr>
      <w:t>75</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4"/>
      </w:rPr>
      <w:t>76</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2" w:lineRule="auto"/>
      <w:jc w:val="right"/>
      <w:rPr>
        <w:rFonts w:ascii="SimSun" w:hAnsi="SimSun" w:eastAsia="SimSun" w:cs="SimSun"/>
        <w:sz w:val="21"/>
        <w:szCs w:val="21"/>
      </w:rPr>
    </w:pPr>
    <w:r>
      <w:rPr>
        <w:rFonts w:ascii="SimSun" w:hAnsi="SimSun" w:eastAsia="SimSun" w:cs="SimSun"/>
        <w:sz w:val="21"/>
        <w:szCs w:val="21"/>
        <w:spacing w:val="-7"/>
      </w:rPr>
      <w:t>77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rPr>
      <w:t>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4"/>
      </w:rPr>
      <w:t>78</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7"/>
      </w:rPr>
      <w:t>79</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3"/>
        <w:szCs w:val="23"/>
      </w:rPr>
    </w:pPr>
    <w:r>
      <w:rPr>
        <w:rFonts w:ascii="SimSun" w:hAnsi="SimSun" w:eastAsia="SimSun" w:cs="SimSun"/>
        <w:sz w:val="23"/>
        <w:szCs w:val="23"/>
        <w:spacing w:val="-3"/>
      </w:rPr>
      <w:t>80</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5"/>
      </w:rPr>
      <w:t>81</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82</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83</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84</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85</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86</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5"/>
      </w:rPr>
      <w:t>87</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3"/>
      </w:rPr>
      <w:t>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88</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89</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90</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5"/>
      </w:rPr>
      <w:t>91</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92</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93</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94</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5"/>
      </w:rPr>
      <w:t>95</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3"/>
      </w:rPr>
      <w:t>96</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97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5"/>
      <w:szCs w:val="1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footer" Target="footer34.xml"/><Relationship Id="rId97" Type="http://schemas.openxmlformats.org/officeDocument/2006/relationships/image" Target="media/image62.jpeg"/><Relationship Id="rId96" Type="http://schemas.openxmlformats.org/officeDocument/2006/relationships/footer" Target="footer33.xml"/><Relationship Id="rId95" Type="http://schemas.openxmlformats.org/officeDocument/2006/relationships/footer" Target="footer32.xml"/><Relationship Id="rId94" Type="http://schemas.openxmlformats.org/officeDocument/2006/relationships/footer" Target="footer31.xml"/><Relationship Id="rId93" Type="http://schemas.openxmlformats.org/officeDocument/2006/relationships/image" Target="media/image61.jpeg"/><Relationship Id="rId92" Type="http://schemas.openxmlformats.org/officeDocument/2006/relationships/image" Target="media/image60.jpeg"/><Relationship Id="rId91" Type="http://schemas.openxmlformats.org/officeDocument/2006/relationships/footer" Target="footer30.xml"/><Relationship Id="rId90" Type="http://schemas.openxmlformats.org/officeDocument/2006/relationships/footer" Target="footer29.xml"/><Relationship Id="rId9" Type="http://schemas.openxmlformats.org/officeDocument/2006/relationships/footer" Target="footer3.xml"/><Relationship Id="rId89" Type="http://schemas.openxmlformats.org/officeDocument/2006/relationships/footer" Target="footer28.xml"/><Relationship Id="rId88" Type="http://schemas.openxmlformats.org/officeDocument/2006/relationships/footer" Target="footer27.xml"/><Relationship Id="rId87" Type="http://schemas.openxmlformats.org/officeDocument/2006/relationships/footer" Target="footer26.xml"/><Relationship Id="rId86" Type="http://schemas.openxmlformats.org/officeDocument/2006/relationships/footer" Target="footer25.xml"/><Relationship Id="rId85" Type="http://schemas.openxmlformats.org/officeDocument/2006/relationships/footer" Target="footer24.xml"/><Relationship Id="rId84" Type="http://schemas.openxmlformats.org/officeDocument/2006/relationships/footer" Target="footer23.xml"/><Relationship Id="rId83" Type="http://schemas.openxmlformats.org/officeDocument/2006/relationships/image" Target="media/image59.jpeg"/><Relationship Id="rId82" Type="http://schemas.openxmlformats.org/officeDocument/2006/relationships/image" Target="media/image58.jpeg"/><Relationship Id="rId81" Type="http://schemas.openxmlformats.org/officeDocument/2006/relationships/image" Target="media/image57.jpeg"/><Relationship Id="rId80" Type="http://schemas.openxmlformats.org/officeDocument/2006/relationships/image" Target="media/image56.jpeg"/><Relationship Id="rId8" Type="http://schemas.openxmlformats.org/officeDocument/2006/relationships/footer" Target="footer2.xml"/><Relationship Id="rId79" Type="http://schemas.openxmlformats.org/officeDocument/2006/relationships/image" Target="media/image55.png"/><Relationship Id="rId78" Type="http://schemas.openxmlformats.org/officeDocument/2006/relationships/image" Target="media/image54.jpeg"/><Relationship Id="rId77" Type="http://schemas.openxmlformats.org/officeDocument/2006/relationships/image" Target="media/image53.png"/><Relationship Id="rId76" Type="http://schemas.openxmlformats.org/officeDocument/2006/relationships/footer" Target="footer22.xml"/><Relationship Id="rId75" Type="http://schemas.openxmlformats.org/officeDocument/2006/relationships/image" Target="media/image52.jpeg"/><Relationship Id="rId74" Type="http://schemas.openxmlformats.org/officeDocument/2006/relationships/footer" Target="footer21.xml"/><Relationship Id="rId73" Type="http://schemas.openxmlformats.org/officeDocument/2006/relationships/footer" Target="footer20.xml"/><Relationship Id="rId72" Type="http://schemas.openxmlformats.org/officeDocument/2006/relationships/image" Target="media/image51.jpeg"/><Relationship Id="rId71" Type="http://schemas.openxmlformats.org/officeDocument/2006/relationships/image" Target="media/image50.jpeg"/><Relationship Id="rId70" Type="http://schemas.openxmlformats.org/officeDocument/2006/relationships/image" Target="media/image49.jpeg"/><Relationship Id="rId7" Type="http://schemas.openxmlformats.org/officeDocument/2006/relationships/footer" Target="footer1.xml"/><Relationship Id="rId69" Type="http://schemas.openxmlformats.org/officeDocument/2006/relationships/footer" Target="footer19.xml"/><Relationship Id="rId68" Type="http://schemas.openxmlformats.org/officeDocument/2006/relationships/image" Target="media/image48.jpeg"/><Relationship Id="rId67" Type="http://schemas.openxmlformats.org/officeDocument/2006/relationships/image" Target="media/image47.jpeg"/><Relationship Id="rId66" Type="http://schemas.openxmlformats.org/officeDocument/2006/relationships/footer" Target="footer18.xml"/><Relationship Id="rId65" Type="http://schemas.openxmlformats.org/officeDocument/2006/relationships/footer" Target="footer17.xml"/><Relationship Id="rId64" Type="http://schemas.openxmlformats.org/officeDocument/2006/relationships/image" Target="media/image46.jpeg"/><Relationship Id="rId63" Type="http://schemas.openxmlformats.org/officeDocument/2006/relationships/footer" Target="footer16.xml"/><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footer" Target="footer15.xml"/><Relationship Id="rId6" Type="http://schemas.openxmlformats.org/officeDocument/2006/relationships/image" Target="media/image4.jpeg"/><Relationship Id="rId59" Type="http://schemas.openxmlformats.org/officeDocument/2006/relationships/image" Target="media/image43.jpeg"/><Relationship Id="rId58" Type="http://schemas.openxmlformats.org/officeDocument/2006/relationships/image" Target="media/image42.png"/><Relationship Id="rId576" Type="http://schemas.openxmlformats.org/officeDocument/2006/relationships/fontTable" Target="fontTable.xml"/><Relationship Id="rId575" Type="http://schemas.openxmlformats.org/officeDocument/2006/relationships/styles" Target="styles.xml"/><Relationship Id="rId574" Type="http://schemas.openxmlformats.org/officeDocument/2006/relationships/settings" Target="settings.xml"/><Relationship Id="rId573" Type="http://schemas.openxmlformats.org/officeDocument/2006/relationships/hyperlink" Target="http://weibo.com/etpublish" TargetMode="External"/><Relationship Id="rId572" Type="http://schemas.openxmlformats.org/officeDocument/2006/relationships/image" Target="media/image217.jpeg"/><Relationship Id="rId571" Type="http://schemas.openxmlformats.org/officeDocument/2006/relationships/image" Target="media/image216.jpeg"/><Relationship Id="rId570" Type="http://schemas.openxmlformats.org/officeDocument/2006/relationships/image" Target="media/image215.jpeg"/><Relationship Id="rId57" Type="http://schemas.openxmlformats.org/officeDocument/2006/relationships/footer" Target="footer14.xml"/><Relationship Id="rId569" Type="http://schemas.openxmlformats.org/officeDocument/2006/relationships/image" Target="media/image214.jpeg"/><Relationship Id="rId568" Type="http://schemas.openxmlformats.org/officeDocument/2006/relationships/image" Target="media/image213.jpeg"/><Relationship Id="rId567" Type="http://schemas.openxmlformats.org/officeDocument/2006/relationships/hyperlink" Target="http://www.primeton.com/read.php?id=2180&amp;his=1" TargetMode="External"/><Relationship Id="rId566" Type="http://schemas.openxmlformats.org/officeDocument/2006/relationships/hyperlink" Target="http://www.68dl.com/bigdata" TargetMode="External"/><Relationship Id="rId565" Type="http://schemas.openxmlformats.org/officeDocument/2006/relationships/hyperlink" Target="https://www.aliyun.com/" TargetMode="External"/><Relationship Id="rId564" Type="http://schemas.openxmlformats.org/officeDocument/2006/relationships/footer" Target="footer337.xml"/><Relationship Id="rId563" Type="http://schemas.openxmlformats.org/officeDocument/2006/relationships/hyperlink" Target="http://security.ctocio.com.cn/310/9407810.shtml" TargetMode="External"/><Relationship Id="rId562" Type="http://schemas.openxmlformats.org/officeDocument/2006/relationships/hyperlink" Target="http://it.sohu.com/20141212/n406884557.shtml" TargetMode="External"/><Relationship Id="rId561" Type="http://schemas.openxmlformats.org/officeDocument/2006/relationships/hyperlink" Target="http://www.shuju.net/article/MDAwMDI5M2DUy:html" TargetMode="External"/><Relationship Id="rId560" Type="http://schemas.openxmlformats.org/officeDocument/2006/relationships/hyperlink" Target="http://www.doit.com.cn/p/227504.html" TargetMode="External"/><Relationship Id="rId56" Type="http://schemas.openxmlformats.org/officeDocument/2006/relationships/image" Target="media/image41.png"/><Relationship Id="rId559" Type="http://schemas.openxmlformats.org/officeDocument/2006/relationships/hyperlink" Target="http://baike.baidu.com/link?url=ADU2VFT" TargetMode="External"/><Relationship Id="rId558" Type="http://schemas.openxmlformats.org/officeDocument/2006/relationships/hyperlink" Target="http://cda.pinggu.org/view/453.html" TargetMode="External"/><Relationship Id="rId557" Type="http://schemas.openxmlformats.org/officeDocument/2006/relationships/hyperlink" Target="http://news.xinhuanet.com/cankao/2014-03/15/c" TargetMode="External"/><Relationship Id="rId556" Type="http://schemas.openxmlformats.org/officeDocument/2006/relationships/hyperlink" Target="http://www.doit.com.cn/p/256787.html" TargetMode="External"/><Relationship Id="rId555" Type="http://schemas.openxmlformats.org/officeDocument/2006/relationships/footer" Target="footer336.xml"/><Relationship Id="rId554" Type="http://schemas.openxmlformats.org/officeDocument/2006/relationships/hyperlink" Target="http://baike.baidu.com/link?url=" TargetMode="External"/><Relationship Id="rId553" Type="http://schemas.openxmlformats.org/officeDocument/2006/relationships/hyperlink" Target="http://www.Gartner.com/it-glossary/big-data" TargetMode="External"/><Relationship Id="rId552" Type="http://schemas.openxmlformats.org/officeDocument/2006/relationships/hyperlink" Target="http://max.book118.com/html/2014/1101/10050845.shtm" TargetMode="External"/><Relationship Id="rId551" Type="http://schemas.openxmlformats.org/officeDocument/2006/relationships/hyperlink" Target="http://baike.baidu.com/link?url=decS5NfcXA" TargetMode="External"/><Relationship Id="rId550" Type="http://schemas.openxmlformats.org/officeDocument/2006/relationships/hyperlink" Target="http://baike.baidu.com/link?url=J-1FZ-YcEAI0d" TargetMode="External"/><Relationship Id="rId55" Type="http://schemas.openxmlformats.org/officeDocument/2006/relationships/image" Target="media/image40.jpeg"/><Relationship Id="rId549" Type="http://schemas.openxmlformats.org/officeDocument/2006/relationships/footer" Target="footer335.xml"/><Relationship Id="rId548" Type="http://schemas.openxmlformats.org/officeDocument/2006/relationships/footer" Target="footer334.xml"/><Relationship Id="rId547" Type="http://schemas.openxmlformats.org/officeDocument/2006/relationships/image" Target="media/image212.png"/><Relationship Id="rId546" Type="http://schemas.openxmlformats.org/officeDocument/2006/relationships/image" Target="media/image211.png"/><Relationship Id="rId545" Type="http://schemas.openxmlformats.org/officeDocument/2006/relationships/footer" Target="footer333.xml"/><Relationship Id="rId544" Type="http://schemas.openxmlformats.org/officeDocument/2006/relationships/image" Target="media/image210.png"/><Relationship Id="rId543" Type="http://schemas.openxmlformats.org/officeDocument/2006/relationships/footer" Target="footer332.xml"/><Relationship Id="rId542" Type="http://schemas.openxmlformats.org/officeDocument/2006/relationships/image" Target="media/image209.jpeg"/><Relationship Id="rId541" Type="http://schemas.openxmlformats.org/officeDocument/2006/relationships/footer" Target="footer331.xml"/><Relationship Id="rId540" Type="http://schemas.openxmlformats.org/officeDocument/2006/relationships/footer" Target="footer330.xml"/><Relationship Id="rId54" Type="http://schemas.openxmlformats.org/officeDocument/2006/relationships/image" Target="media/image39.jpeg"/><Relationship Id="rId539" Type="http://schemas.openxmlformats.org/officeDocument/2006/relationships/image" Target="media/image208.jpeg"/><Relationship Id="rId538" Type="http://schemas.openxmlformats.org/officeDocument/2006/relationships/footer" Target="footer329.xml"/><Relationship Id="rId537" Type="http://schemas.openxmlformats.org/officeDocument/2006/relationships/footer" Target="footer328.xml"/><Relationship Id="rId536" Type="http://schemas.openxmlformats.org/officeDocument/2006/relationships/image" Target="media/image207.jpeg"/><Relationship Id="rId535" Type="http://schemas.openxmlformats.org/officeDocument/2006/relationships/footer" Target="footer327.xml"/><Relationship Id="rId534" Type="http://schemas.openxmlformats.org/officeDocument/2006/relationships/image" Target="media/image206.jpeg"/><Relationship Id="rId533" Type="http://schemas.openxmlformats.org/officeDocument/2006/relationships/footer" Target="footer326.xml"/><Relationship Id="rId532" Type="http://schemas.openxmlformats.org/officeDocument/2006/relationships/image" Target="media/image205.jpeg"/><Relationship Id="rId531" Type="http://schemas.openxmlformats.org/officeDocument/2006/relationships/footer" Target="footer325.xml"/><Relationship Id="rId530" Type="http://schemas.openxmlformats.org/officeDocument/2006/relationships/footer" Target="footer324.xml"/><Relationship Id="rId53" Type="http://schemas.openxmlformats.org/officeDocument/2006/relationships/image" Target="media/image38.png"/><Relationship Id="rId529" Type="http://schemas.openxmlformats.org/officeDocument/2006/relationships/footer" Target="footer323.xml"/><Relationship Id="rId528" Type="http://schemas.openxmlformats.org/officeDocument/2006/relationships/footer" Target="footer322.xml"/><Relationship Id="rId527" Type="http://schemas.openxmlformats.org/officeDocument/2006/relationships/image" Target="media/image204.jpeg"/><Relationship Id="rId526" Type="http://schemas.openxmlformats.org/officeDocument/2006/relationships/footer" Target="footer321.xml"/><Relationship Id="rId525" Type="http://schemas.openxmlformats.org/officeDocument/2006/relationships/image" Target="media/image203.jpeg"/><Relationship Id="rId524" Type="http://schemas.openxmlformats.org/officeDocument/2006/relationships/image" Target="media/image202.jpeg"/><Relationship Id="rId523" Type="http://schemas.openxmlformats.org/officeDocument/2006/relationships/footer" Target="footer320.xml"/><Relationship Id="rId522" Type="http://schemas.openxmlformats.org/officeDocument/2006/relationships/footer" Target="footer319.xml"/><Relationship Id="rId521" Type="http://schemas.openxmlformats.org/officeDocument/2006/relationships/image" Target="media/image201.jpeg"/><Relationship Id="rId520" Type="http://schemas.openxmlformats.org/officeDocument/2006/relationships/footer" Target="footer318.xml"/><Relationship Id="rId52" Type="http://schemas.openxmlformats.org/officeDocument/2006/relationships/image" Target="media/image37.png"/><Relationship Id="rId519" Type="http://schemas.openxmlformats.org/officeDocument/2006/relationships/image" Target="media/image200.jpeg"/><Relationship Id="rId518" Type="http://schemas.openxmlformats.org/officeDocument/2006/relationships/image" Target="media/image199.jpeg"/><Relationship Id="rId517" Type="http://schemas.openxmlformats.org/officeDocument/2006/relationships/footer" Target="footer317.xml"/><Relationship Id="rId516" Type="http://schemas.openxmlformats.org/officeDocument/2006/relationships/image" Target="media/image198.jpeg"/><Relationship Id="rId515" Type="http://schemas.openxmlformats.org/officeDocument/2006/relationships/footer" Target="footer316.xml"/><Relationship Id="rId514" Type="http://schemas.openxmlformats.org/officeDocument/2006/relationships/image" Target="media/image197.jpeg"/><Relationship Id="rId513" Type="http://schemas.openxmlformats.org/officeDocument/2006/relationships/image" Target="media/image196.jpeg"/><Relationship Id="rId512" Type="http://schemas.openxmlformats.org/officeDocument/2006/relationships/image" Target="media/image195.jpeg"/><Relationship Id="rId511" Type="http://schemas.openxmlformats.org/officeDocument/2006/relationships/footer" Target="footer315.xml"/><Relationship Id="rId510" Type="http://schemas.openxmlformats.org/officeDocument/2006/relationships/footer" Target="footer314.xml"/><Relationship Id="rId51" Type="http://schemas.openxmlformats.org/officeDocument/2006/relationships/image" Target="media/image36.jpeg"/><Relationship Id="rId509" Type="http://schemas.openxmlformats.org/officeDocument/2006/relationships/footer" Target="footer313.xml"/><Relationship Id="rId508" Type="http://schemas.openxmlformats.org/officeDocument/2006/relationships/image" Target="media/image194.jpeg"/><Relationship Id="rId507" Type="http://schemas.openxmlformats.org/officeDocument/2006/relationships/footer" Target="footer312.xml"/><Relationship Id="rId506" Type="http://schemas.openxmlformats.org/officeDocument/2006/relationships/image" Target="media/image193.png"/><Relationship Id="rId505" Type="http://schemas.openxmlformats.org/officeDocument/2006/relationships/footer" Target="footer311.xml"/><Relationship Id="rId504" Type="http://schemas.openxmlformats.org/officeDocument/2006/relationships/footer" Target="footer310.xml"/><Relationship Id="rId503" Type="http://schemas.openxmlformats.org/officeDocument/2006/relationships/image" Target="media/image192.jpeg"/><Relationship Id="rId502" Type="http://schemas.openxmlformats.org/officeDocument/2006/relationships/image" Target="media/image191.jpeg"/><Relationship Id="rId501" Type="http://schemas.openxmlformats.org/officeDocument/2006/relationships/image" Target="media/image190.jpeg"/><Relationship Id="rId500" Type="http://schemas.openxmlformats.org/officeDocument/2006/relationships/footer" Target="footer309.xml"/><Relationship Id="rId50" Type="http://schemas.openxmlformats.org/officeDocument/2006/relationships/image" Target="media/image35.jpeg"/><Relationship Id="rId5" Type="http://schemas.openxmlformats.org/officeDocument/2006/relationships/header" Target="header2.xml"/><Relationship Id="rId499" Type="http://schemas.openxmlformats.org/officeDocument/2006/relationships/image" Target="media/image189.jpeg"/><Relationship Id="rId498" Type="http://schemas.openxmlformats.org/officeDocument/2006/relationships/footer" Target="footer308.xml"/><Relationship Id="rId497" Type="http://schemas.openxmlformats.org/officeDocument/2006/relationships/image" Target="media/image188.png"/><Relationship Id="rId496" Type="http://schemas.openxmlformats.org/officeDocument/2006/relationships/footer" Target="footer307.xml"/><Relationship Id="rId495" Type="http://schemas.openxmlformats.org/officeDocument/2006/relationships/image" Target="media/image187.jpeg"/><Relationship Id="rId494" Type="http://schemas.openxmlformats.org/officeDocument/2006/relationships/image" Target="media/image186.jpeg"/><Relationship Id="rId493" Type="http://schemas.openxmlformats.org/officeDocument/2006/relationships/footer" Target="footer306.xml"/><Relationship Id="rId492" Type="http://schemas.openxmlformats.org/officeDocument/2006/relationships/image" Target="media/image185.jpeg"/><Relationship Id="rId491" Type="http://schemas.openxmlformats.org/officeDocument/2006/relationships/footer" Target="footer305.xml"/><Relationship Id="rId490" Type="http://schemas.openxmlformats.org/officeDocument/2006/relationships/footer" Target="footer304.xml"/><Relationship Id="rId49" Type="http://schemas.openxmlformats.org/officeDocument/2006/relationships/image" Target="media/image34.jpeg"/><Relationship Id="rId489" Type="http://schemas.openxmlformats.org/officeDocument/2006/relationships/image" Target="media/image184.jpeg"/><Relationship Id="rId488" Type="http://schemas.openxmlformats.org/officeDocument/2006/relationships/footer" Target="footer303.xml"/><Relationship Id="rId487" Type="http://schemas.openxmlformats.org/officeDocument/2006/relationships/footer" Target="footer302.xml"/><Relationship Id="rId486" Type="http://schemas.openxmlformats.org/officeDocument/2006/relationships/image" Target="media/image183.png"/><Relationship Id="rId485" Type="http://schemas.openxmlformats.org/officeDocument/2006/relationships/footer" Target="footer301.xml"/><Relationship Id="rId484" Type="http://schemas.openxmlformats.org/officeDocument/2006/relationships/footer" Target="footer300.xml"/><Relationship Id="rId483" Type="http://schemas.openxmlformats.org/officeDocument/2006/relationships/image" Target="media/image182.jpeg"/><Relationship Id="rId482" Type="http://schemas.openxmlformats.org/officeDocument/2006/relationships/footer" Target="footer299.xml"/><Relationship Id="rId481" Type="http://schemas.openxmlformats.org/officeDocument/2006/relationships/image" Target="media/image181.jpeg"/><Relationship Id="rId480" Type="http://schemas.openxmlformats.org/officeDocument/2006/relationships/footer" Target="footer298.xml"/><Relationship Id="rId48" Type="http://schemas.openxmlformats.org/officeDocument/2006/relationships/footer" Target="footer13.xml"/><Relationship Id="rId479" Type="http://schemas.openxmlformats.org/officeDocument/2006/relationships/footer" Target="footer297.xml"/><Relationship Id="rId478" Type="http://schemas.openxmlformats.org/officeDocument/2006/relationships/footer" Target="footer296.xml"/><Relationship Id="rId477" Type="http://schemas.openxmlformats.org/officeDocument/2006/relationships/footer" Target="footer295.xml"/><Relationship Id="rId476" Type="http://schemas.openxmlformats.org/officeDocument/2006/relationships/footer" Target="footer294.xml"/><Relationship Id="rId475" Type="http://schemas.openxmlformats.org/officeDocument/2006/relationships/footer" Target="footer293.xml"/><Relationship Id="rId474" Type="http://schemas.openxmlformats.org/officeDocument/2006/relationships/image" Target="media/image180.jpeg"/><Relationship Id="rId473" Type="http://schemas.openxmlformats.org/officeDocument/2006/relationships/footer" Target="footer292.xml"/><Relationship Id="rId472" Type="http://schemas.openxmlformats.org/officeDocument/2006/relationships/image" Target="media/image179.jpeg"/><Relationship Id="rId471" Type="http://schemas.openxmlformats.org/officeDocument/2006/relationships/footer" Target="footer291.xml"/><Relationship Id="rId470" Type="http://schemas.openxmlformats.org/officeDocument/2006/relationships/image" Target="media/image178.jpeg"/><Relationship Id="rId47" Type="http://schemas.openxmlformats.org/officeDocument/2006/relationships/image" Target="media/image33.jpeg"/><Relationship Id="rId469" Type="http://schemas.openxmlformats.org/officeDocument/2006/relationships/footer" Target="footer290.xml"/><Relationship Id="rId468" Type="http://schemas.openxmlformats.org/officeDocument/2006/relationships/footer" Target="footer289.xml"/><Relationship Id="rId467" Type="http://schemas.openxmlformats.org/officeDocument/2006/relationships/image" Target="media/image177.jpeg"/><Relationship Id="rId466" Type="http://schemas.openxmlformats.org/officeDocument/2006/relationships/image" Target="media/image176.jpeg"/><Relationship Id="rId465" Type="http://schemas.openxmlformats.org/officeDocument/2006/relationships/image" Target="media/image175.jpeg"/><Relationship Id="rId464" Type="http://schemas.openxmlformats.org/officeDocument/2006/relationships/image" Target="media/image174.jpeg"/><Relationship Id="rId463" Type="http://schemas.openxmlformats.org/officeDocument/2006/relationships/footer" Target="footer288.xml"/><Relationship Id="rId462" Type="http://schemas.openxmlformats.org/officeDocument/2006/relationships/image" Target="media/image173.jpeg"/><Relationship Id="rId461" Type="http://schemas.openxmlformats.org/officeDocument/2006/relationships/footer" Target="footer287.xml"/><Relationship Id="rId460" Type="http://schemas.openxmlformats.org/officeDocument/2006/relationships/image" Target="media/image172.png"/><Relationship Id="rId46" Type="http://schemas.openxmlformats.org/officeDocument/2006/relationships/image" Target="media/image32.png"/><Relationship Id="rId459" Type="http://schemas.openxmlformats.org/officeDocument/2006/relationships/footer" Target="footer286.xml"/><Relationship Id="rId458" Type="http://schemas.openxmlformats.org/officeDocument/2006/relationships/footer" Target="footer285.xml"/><Relationship Id="rId457" Type="http://schemas.openxmlformats.org/officeDocument/2006/relationships/image" Target="media/image171.jpeg"/><Relationship Id="rId456" Type="http://schemas.openxmlformats.org/officeDocument/2006/relationships/footer" Target="footer284.xml"/><Relationship Id="rId455" Type="http://schemas.openxmlformats.org/officeDocument/2006/relationships/footer" Target="footer283.xml"/><Relationship Id="rId454" Type="http://schemas.openxmlformats.org/officeDocument/2006/relationships/image" Target="media/image170.jpeg"/><Relationship Id="rId453" Type="http://schemas.openxmlformats.org/officeDocument/2006/relationships/image" Target="media/image169.jpeg"/><Relationship Id="rId452" Type="http://schemas.openxmlformats.org/officeDocument/2006/relationships/footer" Target="footer282.xml"/><Relationship Id="rId451" Type="http://schemas.openxmlformats.org/officeDocument/2006/relationships/footer" Target="footer281.xml"/><Relationship Id="rId450" Type="http://schemas.openxmlformats.org/officeDocument/2006/relationships/footer" Target="footer280.xml"/><Relationship Id="rId45" Type="http://schemas.openxmlformats.org/officeDocument/2006/relationships/image" Target="media/image31.jpeg"/><Relationship Id="rId449" Type="http://schemas.openxmlformats.org/officeDocument/2006/relationships/footer" Target="footer279.xml"/><Relationship Id="rId448" Type="http://schemas.openxmlformats.org/officeDocument/2006/relationships/image" Target="media/image168.png"/><Relationship Id="rId447" Type="http://schemas.openxmlformats.org/officeDocument/2006/relationships/footer" Target="footer278.xml"/><Relationship Id="rId446" Type="http://schemas.openxmlformats.org/officeDocument/2006/relationships/footer" Target="footer277.xml"/><Relationship Id="rId445" Type="http://schemas.openxmlformats.org/officeDocument/2006/relationships/footer" Target="footer276.xml"/><Relationship Id="rId444" Type="http://schemas.openxmlformats.org/officeDocument/2006/relationships/footer" Target="footer275.xml"/><Relationship Id="rId443" Type="http://schemas.openxmlformats.org/officeDocument/2006/relationships/footer" Target="footer274.xml"/><Relationship Id="rId442" Type="http://schemas.openxmlformats.org/officeDocument/2006/relationships/footer" Target="footer273.xml"/><Relationship Id="rId441" Type="http://schemas.openxmlformats.org/officeDocument/2006/relationships/image" Target="media/image167.png"/><Relationship Id="rId440" Type="http://schemas.openxmlformats.org/officeDocument/2006/relationships/footer" Target="footer272.xml"/><Relationship Id="rId44" Type="http://schemas.openxmlformats.org/officeDocument/2006/relationships/image" Target="media/image30.png"/><Relationship Id="rId439" Type="http://schemas.openxmlformats.org/officeDocument/2006/relationships/footer" Target="footer271.xml"/><Relationship Id="rId438" Type="http://schemas.openxmlformats.org/officeDocument/2006/relationships/image" Target="media/image166.png"/><Relationship Id="rId437" Type="http://schemas.openxmlformats.org/officeDocument/2006/relationships/footer" Target="footer270.xml"/><Relationship Id="rId436" Type="http://schemas.openxmlformats.org/officeDocument/2006/relationships/footer" Target="footer269.xml"/><Relationship Id="rId435" Type="http://schemas.openxmlformats.org/officeDocument/2006/relationships/image" Target="media/image165.png"/><Relationship Id="rId434" Type="http://schemas.openxmlformats.org/officeDocument/2006/relationships/footer" Target="footer268.xml"/><Relationship Id="rId433" Type="http://schemas.openxmlformats.org/officeDocument/2006/relationships/footer" Target="footer267.xml"/><Relationship Id="rId432" Type="http://schemas.openxmlformats.org/officeDocument/2006/relationships/image" Target="media/image164.png"/><Relationship Id="rId431" Type="http://schemas.openxmlformats.org/officeDocument/2006/relationships/footer" Target="footer266.xml"/><Relationship Id="rId430" Type="http://schemas.openxmlformats.org/officeDocument/2006/relationships/footer" Target="footer265.xml"/><Relationship Id="rId43" Type="http://schemas.openxmlformats.org/officeDocument/2006/relationships/image" Target="media/image29.jpeg"/><Relationship Id="rId429" Type="http://schemas.openxmlformats.org/officeDocument/2006/relationships/image" Target="media/image163.png"/><Relationship Id="rId428" Type="http://schemas.openxmlformats.org/officeDocument/2006/relationships/image" Target="media/image162.png"/><Relationship Id="rId427" Type="http://schemas.openxmlformats.org/officeDocument/2006/relationships/footer" Target="footer264.xml"/><Relationship Id="rId426" Type="http://schemas.openxmlformats.org/officeDocument/2006/relationships/image" Target="media/image161.jpeg"/><Relationship Id="rId425" Type="http://schemas.openxmlformats.org/officeDocument/2006/relationships/footer" Target="footer263.xml"/><Relationship Id="rId424" Type="http://schemas.openxmlformats.org/officeDocument/2006/relationships/image" Target="media/image160.jpeg"/><Relationship Id="rId423" Type="http://schemas.openxmlformats.org/officeDocument/2006/relationships/footer" Target="footer262.xml"/><Relationship Id="rId422" Type="http://schemas.openxmlformats.org/officeDocument/2006/relationships/image" Target="media/image159.jpeg"/><Relationship Id="rId421" Type="http://schemas.openxmlformats.org/officeDocument/2006/relationships/footer" Target="footer261.xml"/><Relationship Id="rId420" Type="http://schemas.openxmlformats.org/officeDocument/2006/relationships/image" Target="media/image158.jpeg"/><Relationship Id="rId42" Type="http://schemas.openxmlformats.org/officeDocument/2006/relationships/image" Target="media/image28.jpeg"/><Relationship Id="rId419" Type="http://schemas.openxmlformats.org/officeDocument/2006/relationships/footer" Target="footer260.xml"/><Relationship Id="rId418" Type="http://schemas.openxmlformats.org/officeDocument/2006/relationships/footer" Target="footer259.xml"/><Relationship Id="rId417" Type="http://schemas.openxmlformats.org/officeDocument/2006/relationships/image" Target="media/image157.jpeg"/><Relationship Id="rId416" Type="http://schemas.openxmlformats.org/officeDocument/2006/relationships/footer" Target="footer258.xml"/><Relationship Id="rId415" Type="http://schemas.openxmlformats.org/officeDocument/2006/relationships/footer" Target="footer257.xml"/><Relationship Id="rId414" Type="http://schemas.openxmlformats.org/officeDocument/2006/relationships/image" Target="media/image156.jpeg"/><Relationship Id="rId413" Type="http://schemas.openxmlformats.org/officeDocument/2006/relationships/footer" Target="footer256.xml"/><Relationship Id="rId412" Type="http://schemas.openxmlformats.org/officeDocument/2006/relationships/footer" Target="footer255.xml"/><Relationship Id="rId411" Type="http://schemas.openxmlformats.org/officeDocument/2006/relationships/footer" Target="footer254.xml"/><Relationship Id="rId410" Type="http://schemas.openxmlformats.org/officeDocument/2006/relationships/footer" Target="footer253.xml"/><Relationship Id="rId41" Type="http://schemas.openxmlformats.org/officeDocument/2006/relationships/image" Target="media/image27.jpeg"/><Relationship Id="rId409" Type="http://schemas.openxmlformats.org/officeDocument/2006/relationships/image" Target="media/image155.jpeg"/><Relationship Id="rId408" Type="http://schemas.openxmlformats.org/officeDocument/2006/relationships/footer" Target="footer252.xml"/><Relationship Id="rId407" Type="http://schemas.openxmlformats.org/officeDocument/2006/relationships/footer" Target="footer251.xml"/><Relationship Id="rId406" Type="http://schemas.openxmlformats.org/officeDocument/2006/relationships/image" Target="media/image154.jpeg"/><Relationship Id="rId405" Type="http://schemas.openxmlformats.org/officeDocument/2006/relationships/footer" Target="footer250.xml"/><Relationship Id="rId404" Type="http://schemas.openxmlformats.org/officeDocument/2006/relationships/footer" Target="footer249.xml"/><Relationship Id="rId403" Type="http://schemas.openxmlformats.org/officeDocument/2006/relationships/image" Target="media/image153.jpeg"/><Relationship Id="rId402" Type="http://schemas.openxmlformats.org/officeDocument/2006/relationships/footer" Target="footer248.xml"/><Relationship Id="rId401" Type="http://schemas.openxmlformats.org/officeDocument/2006/relationships/footer" Target="footer247.xml"/><Relationship Id="rId400" Type="http://schemas.openxmlformats.org/officeDocument/2006/relationships/image" Target="media/image152.jpeg"/><Relationship Id="rId40" Type="http://schemas.openxmlformats.org/officeDocument/2006/relationships/image" Target="media/image26.jpeg"/><Relationship Id="rId4" Type="http://schemas.openxmlformats.org/officeDocument/2006/relationships/image" Target="media/image3.jpeg"/><Relationship Id="rId399" Type="http://schemas.openxmlformats.org/officeDocument/2006/relationships/footer" Target="footer246.xml"/><Relationship Id="rId398" Type="http://schemas.openxmlformats.org/officeDocument/2006/relationships/footer" Target="footer245.xml"/><Relationship Id="rId397" Type="http://schemas.openxmlformats.org/officeDocument/2006/relationships/image" Target="media/image151.png"/><Relationship Id="rId396" Type="http://schemas.openxmlformats.org/officeDocument/2006/relationships/footer" Target="footer244.xml"/><Relationship Id="rId395" Type="http://schemas.openxmlformats.org/officeDocument/2006/relationships/footer" Target="footer243.xml"/><Relationship Id="rId394" Type="http://schemas.openxmlformats.org/officeDocument/2006/relationships/image" Target="media/image150.png"/><Relationship Id="rId393" Type="http://schemas.openxmlformats.org/officeDocument/2006/relationships/footer" Target="footer242.xml"/><Relationship Id="rId392" Type="http://schemas.openxmlformats.org/officeDocument/2006/relationships/footer" Target="footer241.xml"/><Relationship Id="rId391" Type="http://schemas.openxmlformats.org/officeDocument/2006/relationships/image" Target="media/image149.jpeg"/><Relationship Id="rId390" Type="http://schemas.openxmlformats.org/officeDocument/2006/relationships/footer" Target="footer240.xml"/><Relationship Id="rId39" Type="http://schemas.openxmlformats.org/officeDocument/2006/relationships/image" Target="media/image25.jpeg"/><Relationship Id="rId389" Type="http://schemas.openxmlformats.org/officeDocument/2006/relationships/footer" Target="footer239.xml"/><Relationship Id="rId388" Type="http://schemas.openxmlformats.org/officeDocument/2006/relationships/image" Target="media/image148.jpeg"/><Relationship Id="rId387" Type="http://schemas.openxmlformats.org/officeDocument/2006/relationships/footer" Target="footer238.xml"/><Relationship Id="rId386" Type="http://schemas.openxmlformats.org/officeDocument/2006/relationships/footer" Target="footer237.xml"/><Relationship Id="rId385" Type="http://schemas.openxmlformats.org/officeDocument/2006/relationships/image" Target="media/image147.jpeg"/><Relationship Id="rId384" Type="http://schemas.openxmlformats.org/officeDocument/2006/relationships/footer" Target="footer236.xml"/><Relationship Id="rId383" Type="http://schemas.openxmlformats.org/officeDocument/2006/relationships/image" Target="media/image146.png"/><Relationship Id="rId382" Type="http://schemas.openxmlformats.org/officeDocument/2006/relationships/footer" Target="footer235.xml"/><Relationship Id="rId381" Type="http://schemas.openxmlformats.org/officeDocument/2006/relationships/image" Target="media/image145.jpeg"/><Relationship Id="rId380" Type="http://schemas.openxmlformats.org/officeDocument/2006/relationships/footer" Target="footer234.xml"/><Relationship Id="rId38" Type="http://schemas.openxmlformats.org/officeDocument/2006/relationships/image" Target="media/image24.png"/><Relationship Id="rId379" Type="http://schemas.openxmlformats.org/officeDocument/2006/relationships/footer" Target="footer233.xml"/><Relationship Id="rId378" Type="http://schemas.openxmlformats.org/officeDocument/2006/relationships/image" Target="media/image144.png"/><Relationship Id="rId377" Type="http://schemas.openxmlformats.org/officeDocument/2006/relationships/image" Target="media/image143.jpeg"/><Relationship Id="rId376" Type="http://schemas.openxmlformats.org/officeDocument/2006/relationships/footer" Target="footer232.xml"/><Relationship Id="rId375" Type="http://schemas.openxmlformats.org/officeDocument/2006/relationships/footer" Target="footer231.xml"/><Relationship Id="rId374" Type="http://schemas.openxmlformats.org/officeDocument/2006/relationships/image" Target="media/image142.png"/><Relationship Id="rId373" Type="http://schemas.openxmlformats.org/officeDocument/2006/relationships/footer" Target="footer230.xml"/><Relationship Id="rId372" Type="http://schemas.openxmlformats.org/officeDocument/2006/relationships/footer" Target="footer229.xml"/><Relationship Id="rId371" Type="http://schemas.openxmlformats.org/officeDocument/2006/relationships/image" Target="media/image141.png"/><Relationship Id="rId370" Type="http://schemas.openxmlformats.org/officeDocument/2006/relationships/footer" Target="footer228.xml"/><Relationship Id="rId37" Type="http://schemas.openxmlformats.org/officeDocument/2006/relationships/image" Target="media/image23.jpeg"/><Relationship Id="rId369" Type="http://schemas.openxmlformats.org/officeDocument/2006/relationships/footer" Target="footer227.xml"/><Relationship Id="rId368" Type="http://schemas.openxmlformats.org/officeDocument/2006/relationships/image" Target="media/image140.jpeg"/><Relationship Id="rId367" Type="http://schemas.openxmlformats.org/officeDocument/2006/relationships/footer" Target="footer226.xml"/><Relationship Id="rId366" Type="http://schemas.openxmlformats.org/officeDocument/2006/relationships/footer" Target="footer225.xml"/><Relationship Id="rId365" Type="http://schemas.openxmlformats.org/officeDocument/2006/relationships/image" Target="media/image139.jpeg"/><Relationship Id="rId364" Type="http://schemas.openxmlformats.org/officeDocument/2006/relationships/footer" Target="footer224.xml"/><Relationship Id="rId363" Type="http://schemas.openxmlformats.org/officeDocument/2006/relationships/footer" Target="footer223.xml"/><Relationship Id="rId362" Type="http://schemas.openxmlformats.org/officeDocument/2006/relationships/image" Target="media/image138.jpeg"/><Relationship Id="rId361" Type="http://schemas.openxmlformats.org/officeDocument/2006/relationships/footer" Target="footer222.xml"/><Relationship Id="rId360" Type="http://schemas.openxmlformats.org/officeDocument/2006/relationships/footer" Target="footer221.xml"/><Relationship Id="rId36" Type="http://schemas.openxmlformats.org/officeDocument/2006/relationships/image" Target="media/image22.jpeg"/><Relationship Id="rId359" Type="http://schemas.openxmlformats.org/officeDocument/2006/relationships/footer" Target="footer220.xml"/><Relationship Id="rId358" Type="http://schemas.openxmlformats.org/officeDocument/2006/relationships/footer" Target="footer219.xml"/><Relationship Id="rId357" Type="http://schemas.openxmlformats.org/officeDocument/2006/relationships/footer" Target="footer218.xml"/><Relationship Id="rId356" Type="http://schemas.openxmlformats.org/officeDocument/2006/relationships/footer" Target="footer217.xml"/><Relationship Id="rId355" Type="http://schemas.openxmlformats.org/officeDocument/2006/relationships/image" Target="media/image137.png"/><Relationship Id="rId354" Type="http://schemas.openxmlformats.org/officeDocument/2006/relationships/footer" Target="footer216.xml"/><Relationship Id="rId353" Type="http://schemas.openxmlformats.org/officeDocument/2006/relationships/footer" Target="footer215.xml"/><Relationship Id="rId352" Type="http://schemas.openxmlformats.org/officeDocument/2006/relationships/image" Target="media/image136.png"/><Relationship Id="rId351" Type="http://schemas.openxmlformats.org/officeDocument/2006/relationships/footer" Target="footer214.xml"/><Relationship Id="rId350" Type="http://schemas.openxmlformats.org/officeDocument/2006/relationships/footer" Target="footer213.xml"/><Relationship Id="rId35" Type="http://schemas.openxmlformats.org/officeDocument/2006/relationships/image" Target="media/image21.jpeg"/><Relationship Id="rId349" Type="http://schemas.openxmlformats.org/officeDocument/2006/relationships/footer" Target="footer212.xml"/><Relationship Id="rId348" Type="http://schemas.openxmlformats.org/officeDocument/2006/relationships/footer" Target="footer211.xml"/><Relationship Id="rId347" Type="http://schemas.openxmlformats.org/officeDocument/2006/relationships/image" Target="media/image135.png"/><Relationship Id="rId346" Type="http://schemas.openxmlformats.org/officeDocument/2006/relationships/image" Target="media/image134.png"/><Relationship Id="rId345" Type="http://schemas.openxmlformats.org/officeDocument/2006/relationships/footer" Target="footer210.xml"/><Relationship Id="rId344" Type="http://schemas.openxmlformats.org/officeDocument/2006/relationships/footer" Target="footer209.xml"/><Relationship Id="rId343" Type="http://schemas.openxmlformats.org/officeDocument/2006/relationships/image" Target="media/image133.png"/><Relationship Id="rId342" Type="http://schemas.openxmlformats.org/officeDocument/2006/relationships/footer" Target="footer208.xml"/><Relationship Id="rId341" Type="http://schemas.openxmlformats.org/officeDocument/2006/relationships/footer" Target="footer207.xml"/><Relationship Id="rId340" Type="http://schemas.openxmlformats.org/officeDocument/2006/relationships/footer" Target="footer206.xml"/><Relationship Id="rId34" Type="http://schemas.openxmlformats.org/officeDocument/2006/relationships/image" Target="media/image20.jpeg"/><Relationship Id="rId339" Type="http://schemas.openxmlformats.org/officeDocument/2006/relationships/footer" Target="footer205.xml"/><Relationship Id="rId338" Type="http://schemas.openxmlformats.org/officeDocument/2006/relationships/image" Target="media/image132.jpeg"/><Relationship Id="rId337" Type="http://schemas.openxmlformats.org/officeDocument/2006/relationships/footer" Target="footer204.xml"/><Relationship Id="rId336" Type="http://schemas.openxmlformats.org/officeDocument/2006/relationships/footer" Target="footer203.xml"/><Relationship Id="rId335" Type="http://schemas.openxmlformats.org/officeDocument/2006/relationships/image" Target="media/image131.png"/><Relationship Id="rId334" Type="http://schemas.openxmlformats.org/officeDocument/2006/relationships/footer" Target="footer202.xml"/><Relationship Id="rId333" Type="http://schemas.openxmlformats.org/officeDocument/2006/relationships/footer" Target="footer201.xml"/><Relationship Id="rId332" Type="http://schemas.openxmlformats.org/officeDocument/2006/relationships/image" Target="media/image130.jpeg"/><Relationship Id="rId331" Type="http://schemas.openxmlformats.org/officeDocument/2006/relationships/footer" Target="footer200.xml"/><Relationship Id="rId330" Type="http://schemas.openxmlformats.org/officeDocument/2006/relationships/image" Target="media/image129.png"/><Relationship Id="rId33" Type="http://schemas.openxmlformats.org/officeDocument/2006/relationships/image" Target="media/image19.jpeg"/><Relationship Id="rId329" Type="http://schemas.openxmlformats.org/officeDocument/2006/relationships/footer" Target="footer199.xml"/><Relationship Id="rId328" Type="http://schemas.openxmlformats.org/officeDocument/2006/relationships/image" Target="media/image128.jpeg"/><Relationship Id="rId327" Type="http://schemas.openxmlformats.org/officeDocument/2006/relationships/footer" Target="footer198.xml"/><Relationship Id="rId326" Type="http://schemas.openxmlformats.org/officeDocument/2006/relationships/footer" Target="footer197.xml"/><Relationship Id="rId325" Type="http://schemas.openxmlformats.org/officeDocument/2006/relationships/image" Target="media/image127.jpeg"/><Relationship Id="rId324" Type="http://schemas.openxmlformats.org/officeDocument/2006/relationships/footer" Target="footer196.xml"/><Relationship Id="rId323" Type="http://schemas.openxmlformats.org/officeDocument/2006/relationships/footer" Target="footer195.xml"/><Relationship Id="rId322" Type="http://schemas.openxmlformats.org/officeDocument/2006/relationships/image" Target="media/image126.png"/><Relationship Id="rId321" Type="http://schemas.openxmlformats.org/officeDocument/2006/relationships/footer" Target="footer194.xml"/><Relationship Id="rId320" Type="http://schemas.openxmlformats.org/officeDocument/2006/relationships/footer" Target="footer193.xml"/><Relationship Id="rId32" Type="http://schemas.openxmlformats.org/officeDocument/2006/relationships/image" Target="media/image18.png"/><Relationship Id="rId319" Type="http://schemas.openxmlformats.org/officeDocument/2006/relationships/image" Target="media/image125.jpeg"/><Relationship Id="rId318" Type="http://schemas.openxmlformats.org/officeDocument/2006/relationships/footer" Target="footer192.xml"/><Relationship Id="rId317" Type="http://schemas.openxmlformats.org/officeDocument/2006/relationships/footer" Target="footer191.xml"/><Relationship Id="rId316" Type="http://schemas.openxmlformats.org/officeDocument/2006/relationships/image" Target="media/image124.jpeg"/><Relationship Id="rId315" Type="http://schemas.openxmlformats.org/officeDocument/2006/relationships/footer" Target="footer190.xml"/><Relationship Id="rId314" Type="http://schemas.openxmlformats.org/officeDocument/2006/relationships/footer" Target="footer189.xml"/><Relationship Id="rId313" Type="http://schemas.openxmlformats.org/officeDocument/2006/relationships/image" Target="media/image123.jpeg"/><Relationship Id="rId312" Type="http://schemas.openxmlformats.org/officeDocument/2006/relationships/footer" Target="footer188.xml"/><Relationship Id="rId311" Type="http://schemas.openxmlformats.org/officeDocument/2006/relationships/footer" Target="footer187.xml"/><Relationship Id="rId310" Type="http://schemas.openxmlformats.org/officeDocument/2006/relationships/image" Target="media/image122.png"/><Relationship Id="rId31" Type="http://schemas.openxmlformats.org/officeDocument/2006/relationships/image" Target="media/image17.jpeg"/><Relationship Id="rId309" Type="http://schemas.openxmlformats.org/officeDocument/2006/relationships/footer" Target="footer186.xml"/><Relationship Id="rId308" Type="http://schemas.openxmlformats.org/officeDocument/2006/relationships/footer" Target="footer185.xml"/><Relationship Id="rId307" Type="http://schemas.openxmlformats.org/officeDocument/2006/relationships/image" Target="media/image121.jpeg"/><Relationship Id="rId306" Type="http://schemas.openxmlformats.org/officeDocument/2006/relationships/footer" Target="footer184.xml"/><Relationship Id="rId305" Type="http://schemas.openxmlformats.org/officeDocument/2006/relationships/footer" Target="footer183.xml"/><Relationship Id="rId304" Type="http://schemas.openxmlformats.org/officeDocument/2006/relationships/image" Target="media/image120.jpeg"/><Relationship Id="rId303" Type="http://schemas.openxmlformats.org/officeDocument/2006/relationships/footer" Target="footer182.xml"/><Relationship Id="rId302" Type="http://schemas.openxmlformats.org/officeDocument/2006/relationships/footer" Target="footer181.xml"/><Relationship Id="rId301" Type="http://schemas.openxmlformats.org/officeDocument/2006/relationships/footer" Target="footer180.xml"/><Relationship Id="rId300" Type="http://schemas.openxmlformats.org/officeDocument/2006/relationships/footer" Target="footer179.xml"/><Relationship Id="rId30" Type="http://schemas.openxmlformats.org/officeDocument/2006/relationships/image" Target="media/image16.jpeg"/><Relationship Id="rId3" Type="http://schemas.openxmlformats.org/officeDocument/2006/relationships/image" Target="media/image2.jpeg"/><Relationship Id="rId299" Type="http://schemas.openxmlformats.org/officeDocument/2006/relationships/footer" Target="footer178.xml"/><Relationship Id="rId298" Type="http://schemas.openxmlformats.org/officeDocument/2006/relationships/footer" Target="footer177.xml"/><Relationship Id="rId297" Type="http://schemas.openxmlformats.org/officeDocument/2006/relationships/footer" Target="footer176.xml"/><Relationship Id="rId296" Type="http://schemas.openxmlformats.org/officeDocument/2006/relationships/footer" Target="footer175.xml"/><Relationship Id="rId295" Type="http://schemas.openxmlformats.org/officeDocument/2006/relationships/image" Target="media/image119.png"/><Relationship Id="rId294" Type="http://schemas.openxmlformats.org/officeDocument/2006/relationships/footer" Target="footer174.xml"/><Relationship Id="rId293" Type="http://schemas.openxmlformats.org/officeDocument/2006/relationships/footer" Target="footer173.xml"/><Relationship Id="rId292" Type="http://schemas.openxmlformats.org/officeDocument/2006/relationships/image" Target="media/image118.jpeg"/><Relationship Id="rId291" Type="http://schemas.openxmlformats.org/officeDocument/2006/relationships/footer" Target="footer172.xml"/><Relationship Id="rId290" Type="http://schemas.openxmlformats.org/officeDocument/2006/relationships/footer" Target="footer171.xml"/><Relationship Id="rId29" Type="http://schemas.openxmlformats.org/officeDocument/2006/relationships/image" Target="media/image15.jpeg"/><Relationship Id="rId289" Type="http://schemas.openxmlformats.org/officeDocument/2006/relationships/image" Target="media/image117.jpeg"/><Relationship Id="rId288" Type="http://schemas.openxmlformats.org/officeDocument/2006/relationships/footer" Target="footer170.xml"/><Relationship Id="rId287" Type="http://schemas.openxmlformats.org/officeDocument/2006/relationships/footer" Target="footer169.xml"/><Relationship Id="rId286" Type="http://schemas.openxmlformats.org/officeDocument/2006/relationships/footer" Target="footer168.xml"/><Relationship Id="rId285" Type="http://schemas.openxmlformats.org/officeDocument/2006/relationships/footer" Target="footer167.xml"/><Relationship Id="rId284" Type="http://schemas.openxmlformats.org/officeDocument/2006/relationships/image" Target="media/image116.jpeg"/><Relationship Id="rId283" Type="http://schemas.openxmlformats.org/officeDocument/2006/relationships/footer" Target="footer166.xml"/><Relationship Id="rId282" Type="http://schemas.openxmlformats.org/officeDocument/2006/relationships/footer" Target="footer165.xml"/><Relationship Id="rId281" Type="http://schemas.openxmlformats.org/officeDocument/2006/relationships/image" Target="media/image115.png"/><Relationship Id="rId280" Type="http://schemas.openxmlformats.org/officeDocument/2006/relationships/footer" Target="footer164.xml"/><Relationship Id="rId28" Type="http://schemas.openxmlformats.org/officeDocument/2006/relationships/image" Target="media/image14.jpeg"/><Relationship Id="rId279" Type="http://schemas.openxmlformats.org/officeDocument/2006/relationships/footer" Target="footer163.xml"/><Relationship Id="rId278" Type="http://schemas.openxmlformats.org/officeDocument/2006/relationships/footer" Target="footer162.xml"/><Relationship Id="rId277" Type="http://schemas.openxmlformats.org/officeDocument/2006/relationships/footer" Target="footer161.xml"/><Relationship Id="rId276" Type="http://schemas.openxmlformats.org/officeDocument/2006/relationships/image" Target="media/image114.jpeg"/><Relationship Id="rId275" Type="http://schemas.openxmlformats.org/officeDocument/2006/relationships/footer" Target="footer160.xml"/><Relationship Id="rId274" Type="http://schemas.openxmlformats.org/officeDocument/2006/relationships/footer" Target="footer159.xml"/><Relationship Id="rId273" Type="http://schemas.openxmlformats.org/officeDocument/2006/relationships/footer" Target="footer158.xml"/><Relationship Id="rId272" Type="http://schemas.openxmlformats.org/officeDocument/2006/relationships/footer" Target="footer157.xml"/><Relationship Id="rId271" Type="http://schemas.openxmlformats.org/officeDocument/2006/relationships/image" Target="media/image113.jpeg"/><Relationship Id="rId270" Type="http://schemas.openxmlformats.org/officeDocument/2006/relationships/footer" Target="footer156.xml"/><Relationship Id="rId27" Type="http://schemas.openxmlformats.org/officeDocument/2006/relationships/image" Target="media/image13.png"/><Relationship Id="rId269" Type="http://schemas.openxmlformats.org/officeDocument/2006/relationships/footer" Target="footer155.xml"/><Relationship Id="rId268" Type="http://schemas.openxmlformats.org/officeDocument/2006/relationships/footer" Target="footer154.xml"/><Relationship Id="rId267" Type="http://schemas.openxmlformats.org/officeDocument/2006/relationships/footer" Target="footer153.xml"/><Relationship Id="rId266" Type="http://schemas.openxmlformats.org/officeDocument/2006/relationships/footer" Target="footer152.xml"/><Relationship Id="rId265" Type="http://schemas.openxmlformats.org/officeDocument/2006/relationships/footer" Target="footer151.xml"/><Relationship Id="rId264" Type="http://schemas.openxmlformats.org/officeDocument/2006/relationships/image" Target="media/image112.png"/><Relationship Id="rId263" Type="http://schemas.openxmlformats.org/officeDocument/2006/relationships/footer" Target="footer150.xml"/><Relationship Id="rId262" Type="http://schemas.openxmlformats.org/officeDocument/2006/relationships/footer" Target="footer149.xml"/><Relationship Id="rId261" Type="http://schemas.openxmlformats.org/officeDocument/2006/relationships/image" Target="media/image111.jpeg"/><Relationship Id="rId260" Type="http://schemas.openxmlformats.org/officeDocument/2006/relationships/footer" Target="footer148.xml"/><Relationship Id="rId26" Type="http://schemas.openxmlformats.org/officeDocument/2006/relationships/image" Target="media/image12.jpeg"/><Relationship Id="rId259" Type="http://schemas.openxmlformats.org/officeDocument/2006/relationships/image" Target="media/image110.jpeg"/><Relationship Id="rId258" Type="http://schemas.openxmlformats.org/officeDocument/2006/relationships/footer" Target="footer147.xml"/><Relationship Id="rId257" Type="http://schemas.openxmlformats.org/officeDocument/2006/relationships/footer" Target="footer146.xml"/><Relationship Id="rId256" Type="http://schemas.openxmlformats.org/officeDocument/2006/relationships/footer" Target="footer145.xml"/><Relationship Id="rId255" Type="http://schemas.openxmlformats.org/officeDocument/2006/relationships/image" Target="media/image109.png"/><Relationship Id="rId254" Type="http://schemas.openxmlformats.org/officeDocument/2006/relationships/footer" Target="footer144.xml"/><Relationship Id="rId253" Type="http://schemas.openxmlformats.org/officeDocument/2006/relationships/footer" Target="footer143.xml"/><Relationship Id="rId252" Type="http://schemas.openxmlformats.org/officeDocument/2006/relationships/image" Target="media/image108.jpeg"/><Relationship Id="rId251" Type="http://schemas.openxmlformats.org/officeDocument/2006/relationships/footer" Target="footer142.xml"/><Relationship Id="rId250" Type="http://schemas.openxmlformats.org/officeDocument/2006/relationships/footer" Target="footer141.xml"/><Relationship Id="rId25" Type="http://schemas.openxmlformats.org/officeDocument/2006/relationships/image" Target="media/image11.png"/><Relationship Id="rId249" Type="http://schemas.openxmlformats.org/officeDocument/2006/relationships/image" Target="media/image107.jpeg"/><Relationship Id="rId248" Type="http://schemas.openxmlformats.org/officeDocument/2006/relationships/footer" Target="footer140.xml"/><Relationship Id="rId247" Type="http://schemas.openxmlformats.org/officeDocument/2006/relationships/footer" Target="footer139.xml"/><Relationship Id="rId246" Type="http://schemas.openxmlformats.org/officeDocument/2006/relationships/image" Target="media/image106.jpeg"/><Relationship Id="rId245" Type="http://schemas.openxmlformats.org/officeDocument/2006/relationships/footer" Target="footer138.xml"/><Relationship Id="rId244" Type="http://schemas.openxmlformats.org/officeDocument/2006/relationships/footer" Target="footer137.xml"/><Relationship Id="rId243" Type="http://schemas.openxmlformats.org/officeDocument/2006/relationships/footer" Target="footer136.xml"/><Relationship Id="rId242" Type="http://schemas.openxmlformats.org/officeDocument/2006/relationships/footer" Target="footer135.xml"/><Relationship Id="rId241" Type="http://schemas.openxmlformats.org/officeDocument/2006/relationships/footer" Target="footer134.xml"/><Relationship Id="rId240" Type="http://schemas.openxmlformats.org/officeDocument/2006/relationships/footer" Target="footer133.xml"/><Relationship Id="rId24" Type="http://schemas.openxmlformats.org/officeDocument/2006/relationships/footer" Target="footer12.xml"/><Relationship Id="rId239" Type="http://schemas.openxmlformats.org/officeDocument/2006/relationships/image" Target="media/image105.png"/><Relationship Id="rId238" Type="http://schemas.openxmlformats.org/officeDocument/2006/relationships/footer" Target="footer132.xml"/><Relationship Id="rId237" Type="http://schemas.openxmlformats.org/officeDocument/2006/relationships/footer" Target="footer131.xml"/><Relationship Id="rId236" Type="http://schemas.openxmlformats.org/officeDocument/2006/relationships/image" Target="media/image104.png"/><Relationship Id="rId235" Type="http://schemas.openxmlformats.org/officeDocument/2006/relationships/image" Target="media/image103.jpeg"/><Relationship Id="rId234" Type="http://schemas.openxmlformats.org/officeDocument/2006/relationships/footer" Target="footer130.xml"/><Relationship Id="rId233" Type="http://schemas.openxmlformats.org/officeDocument/2006/relationships/footer" Target="footer129.xml"/><Relationship Id="rId232" Type="http://schemas.openxmlformats.org/officeDocument/2006/relationships/footer" Target="footer128.xml"/><Relationship Id="rId231" Type="http://schemas.openxmlformats.org/officeDocument/2006/relationships/footer" Target="footer127.xml"/><Relationship Id="rId230" Type="http://schemas.openxmlformats.org/officeDocument/2006/relationships/footer" Target="footer126.xml"/><Relationship Id="rId23" Type="http://schemas.openxmlformats.org/officeDocument/2006/relationships/footer" Target="footer11.xml"/><Relationship Id="rId229" Type="http://schemas.openxmlformats.org/officeDocument/2006/relationships/footer" Target="footer125.xml"/><Relationship Id="rId228" Type="http://schemas.openxmlformats.org/officeDocument/2006/relationships/image" Target="media/image102.jpeg"/><Relationship Id="rId227" Type="http://schemas.openxmlformats.org/officeDocument/2006/relationships/footer" Target="footer124.xml"/><Relationship Id="rId226" Type="http://schemas.openxmlformats.org/officeDocument/2006/relationships/footer" Target="footer123.xml"/><Relationship Id="rId225" Type="http://schemas.openxmlformats.org/officeDocument/2006/relationships/footer" Target="footer122.xml"/><Relationship Id="rId224" Type="http://schemas.openxmlformats.org/officeDocument/2006/relationships/footer" Target="footer121.xml"/><Relationship Id="rId223" Type="http://schemas.openxmlformats.org/officeDocument/2006/relationships/image" Target="media/image101.png"/><Relationship Id="rId222" Type="http://schemas.openxmlformats.org/officeDocument/2006/relationships/footer" Target="footer120.xml"/><Relationship Id="rId221" Type="http://schemas.openxmlformats.org/officeDocument/2006/relationships/footer" Target="footer119.xml"/><Relationship Id="rId220" Type="http://schemas.openxmlformats.org/officeDocument/2006/relationships/image" Target="media/image100.jpeg"/><Relationship Id="rId22" Type="http://schemas.openxmlformats.org/officeDocument/2006/relationships/footer" Target="footer10.xml"/><Relationship Id="rId219" Type="http://schemas.openxmlformats.org/officeDocument/2006/relationships/footer" Target="footer118.xml"/><Relationship Id="rId218" Type="http://schemas.openxmlformats.org/officeDocument/2006/relationships/footer" Target="footer117.xml"/><Relationship Id="rId217" Type="http://schemas.openxmlformats.org/officeDocument/2006/relationships/footer" Target="footer116.xml"/><Relationship Id="rId216" Type="http://schemas.openxmlformats.org/officeDocument/2006/relationships/footer" Target="footer115.xml"/><Relationship Id="rId215" Type="http://schemas.openxmlformats.org/officeDocument/2006/relationships/image" Target="media/image99.jpeg"/><Relationship Id="rId214" Type="http://schemas.openxmlformats.org/officeDocument/2006/relationships/footer" Target="footer114.xml"/><Relationship Id="rId213" Type="http://schemas.openxmlformats.org/officeDocument/2006/relationships/footer" Target="footer113.xml"/><Relationship Id="rId212" Type="http://schemas.openxmlformats.org/officeDocument/2006/relationships/image" Target="media/image98.jpeg"/><Relationship Id="rId211" Type="http://schemas.openxmlformats.org/officeDocument/2006/relationships/footer" Target="footer112.xml"/><Relationship Id="rId210" Type="http://schemas.openxmlformats.org/officeDocument/2006/relationships/footer" Target="footer111.xml"/><Relationship Id="rId21" Type="http://schemas.openxmlformats.org/officeDocument/2006/relationships/image" Target="media/image10.jpeg"/><Relationship Id="rId209" Type="http://schemas.openxmlformats.org/officeDocument/2006/relationships/image" Target="media/image97.png"/><Relationship Id="rId208" Type="http://schemas.openxmlformats.org/officeDocument/2006/relationships/footer" Target="footer110.xml"/><Relationship Id="rId207" Type="http://schemas.openxmlformats.org/officeDocument/2006/relationships/footer" Target="footer109.xml"/><Relationship Id="rId206" Type="http://schemas.openxmlformats.org/officeDocument/2006/relationships/footer" Target="footer108.xml"/><Relationship Id="rId205" Type="http://schemas.openxmlformats.org/officeDocument/2006/relationships/footer" Target="footer107.xml"/><Relationship Id="rId204" Type="http://schemas.openxmlformats.org/officeDocument/2006/relationships/image" Target="media/image96.png"/><Relationship Id="rId203" Type="http://schemas.openxmlformats.org/officeDocument/2006/relationships/footer" Target="footer106.xml"/><Relationship Id="rId202" Type="http://schemas.openxmlformats.org/officeDocument/2006/relationships/footer" Target="footer105.xml"/><Relationship Id="rId201" Type="http://schemas.openxmlformats.org/officeDocument/2006/relationships/image" Target="media/image95.png"/><Relationship Id="rId200" Type="http://schemas.openxmlformats.org/officeDocument/2006/relationships/footer" Target="footer104.xml"/><Relationship Id="rId20" Type="http://schemas.openxmlformats.org/officeDocument/2006/relationships/image" Target="media/image9.png"/><Relationship Id="rId2" Type="http://schemas.openxmlformats.org/officeDocument/2006/relationships/image" Target="media/image1.jpeg"/><Relationship Id="rId199" Type="http://schemas.openxmlformats.org/officeDocument/2006/relationships/footer" Target="footer103.xml"/><Relationship Id="rId198" Type="http://schemas.openxmlformats.org/officeDocument/2006/relationships/footer" Target="footer102.xml"/><Relationship Id="rId197" Type="http://schemas.openxmlformats.org/officeDocument/2006/relationships/footer" Target="footer101.xml"/><Relationship Id="rId196" Type="http://schemas.openxmlformats.org/officeDocument/2006/relationships/image" Target="media/image94.png"/><Relationship Id="rId195" Type="http://schemas.openxmlformats.org/officeDocument/2006/relationships/footer" Target="footer100.xml"/><Relationship Id="rId194" Type="http://schemas.openxmlformats.org/officeDocument/2006/relationships/footer" Target="footer99.xml"/><Relationship Id="rId193" Type="http://schemas.openxmlformats.org/officeDocument/2006/relationships/footer" Target="footer98.xml"/><Relationship Id="rId192" Type="http://schemas.openxmlformats.org/officeDocument/2006/relationships/footer" Target="footer97.xml"/><Relationship Id="rId191" Type="http://schemas.openxmlformats.org/officeDocument/2006/relationships/footer" Target="footer96.xml"/><Relationship Id="rId190" Type="http://schemas.openxmlformats.org/officeDocument/2006/relationships/footer" Target="footer95.xml"/><Relationship Id="rId19" Type="http://schemas.openxmlformats.org/officeDocument/2006/relationships/footer" Target="footer9.xml"/><Relationship Id="rId189" Type="http://schemas.openxmlformats.org/officeDocument/2006/relationships/image" Target="media/image93.jpeg"/><Relationship Id="rId188" Type="http://schemas.openxmlformats.org/officeDocument/2006/relationships/footer" Target="footer94.xml"/><Relationship Id="rId187" Type="http://schemas.openxmlformats.org/officeDocument/2006/relationships/footer" Target="footer93.xml"/><Relationship Id="rId186" Type="http://schemas.openxmlformats.org/officeDocument/2006/relationships/image" Target="media/image92.png"/><Relationship Id="rId185" Type="http://schemas.openxmlformats.org/officeDocument/2006/relationships/footer" Target="footer92.xml"/><Relationship Id="rId184" Type="http://schemas.openxmlformats.org/officeDocument/2006/relationships/footer" Target="footer91.xml"/><Relationship Id="rId183" Type="http://schemas.openxmlformats.org/officeDocument/2006/relationships/footer" Target="footer90.xml"/><Relationship Id="rId182" Type="http://schemas.openxmlformats.org/officeDocument/2006/relationships/footer" Target="footer89.xml"/><Relationship Id="rId181" Type="http://schemas.openxmlformats.org/officeDocument/2006/relationships/footer" Target="footer88.xml"/><Relationship Id="rId180" Type="http://schemas.openxmlformats.org/officeDocument/2006/relationships/footer" Target="footer87.xml"/><Relationship Id="rId18" Type="http://schemas.openxmlformats.org/officeDocument/2006/relationships/footer" Target="footer8.xml"/><Relationship Id="rId179" Type="http://schemas.openxmlformats.org/officeDocument/2006/relationships/footer" Target="footer86.xml"/><Relationship Id="rId178" Type="http://schemas.openxmlformats.org/officeDocument/2006/relationships/footer" Target="footer85.xml"/><Relationship Id="rId177" Type="http://schemas.openxmlformats.org/officeDocument/2006/relationships/image" Target="media/image91.jpeg"/><Relationship Id="rId176" Type="http://schemas.openxmlformats.org/officeDocument/2006/relationships/footer" Target="footer84.xml"/><Relationship Id="rId175" Type="http://schemas.openxmlformats.org/officeDocument/2006/relationships/footer" Target="footer83.xml"/><Relationship Id="rId174" Type="http://schemas.openxmlformats.org/officeDocument/2006/relationships/image" Target="media/image90.png"/><Relationship Id="rId173" Type="http://schemas.openxmlformats.org/officeDocument/2006/relationships/footer" Target="footer82.xml"/><Relationship Id="rId172" Type="http://schemas.openxmlformats.org/officeDocument/2006/relationships/footer" Target="footer81.xml"/><Relationship Id="rId171" Type="http://schemas.openxmlformats.org/officeDocument/2006/relationships/image" Target="media/image89.png"/><Relationship Id="rId170" Type="http://schemas.openxmlformats.org/officeDocument/2006/relationships/footer" Target="footer80.xml"/><Relationship Id="rId17" Type="http://schemas.openxmlformats.org/officeDocument/2006/relationships/image" Target="media/image8.jpeg"/><Relationship Id="rId169" Type="http://schemas.openxmlformats.org/officeDocument/2006/relationships/footer" Target="footer79.xml"/><Relationship Id="rId168" Type="http://schemas.openxmlformats.org/officeDocument/2006/relationships/image" Target="media/image88.jpeg"/><Relationship Id="rId167" Type="http://schemas.openxmlformats.org/officeDocument/2006/relationships/footer" Target="footer78.xml"/><Relationship Id="rId166" Type="http://schemas.openxmlformats.org/officeDocument/2006/relationships/footer" Target="footer77.xml"/><Relationship Id="rId165" Type="http://schemas.openxmlformats.org/officeDocument/2006/relationships/footer" Target="footer76.xml"/><Relationship Id="rId164" Type="http://schemas.openxmlformats.org/officeDocument/2006/relationships/footer" Target="footer75.xml"/><Relationship Id="rId163" Type="http://schemas.openxmlformats.org/officeDocument/2006/relationships/image" Target="media/image87.png"/><Relationship Id="rId162" Type="http://schemas.openxmlformats.org/officeDocument/2006/relationships/footer" Target="footer74.xml"/><Relationship Id="rId161" Type="http://schemas.openxmlformats.org/officeDocument/2006/relationships/image" Target="media/image86.jpeg"/><Relationship Id="rId160" Type="http://schemas.openxmlformats.org/officeDocument/2006/relationships/image" Target="media/image85.png"/><Relationship Id="rId16" Type="http://schemas.openxmlformats.org/officeDocument/2006/relationships/image" Target="media/image7.png"/><Relationship Id="rId159" Type="http://schemas.openxmlformats.org/officeDocument/2006/relationships/image" Target="media/image84.png"/><Relationship Id="rId158" Type="http://schemas.openxmlformats.org/officeDocument/2006/relationships/image" Target="media/image83.jpeg"/><Relationship Id="rId157" Type="http://schemas.openxmlformats.org/officeDocument/2006/relationships/image" Target="media/image82.jpeg"/><Relationship Id="rId156" Type="http://schemas.openxmlformats.org/officeDocument/2006/relationships/footer" Target="footer73.xml"/><Relationship Id="rId155" Type="http://schemas.openxmlformats.org/officeDocument/2006/relationships/footer" Target="footer72.xml"/><Relationship Id="rId154" Type="http://schemas.openxmlformats.org/officeDocument/2006/relationships/image" Target="media/image81.jpeg"/><Relationship Id="rId153" Type="http://schemas.openxmlformats.org/officeDocument/2006/relationships/footer" Target="footer71.xml"/><Relationship Id="rId152" Type="http://schemas.openxmlformats.org/officeDocument/2006/relationships/footer" Target="footer70.xml"/><Relationship Id="rId151" Type="http://schemas.openxmlformats.org/officeDocument/2006/relationships/footer" Target="footer69.xml"/><Relationship Id="rId150" Type="http://schemas.openxmlformats.org/officeDocument/2006/relationships/image" Target="media/image80.jpeg"/><Relationship Id="rId15" Type="http://schemas.openxmlformats.org/officeDocument/2006/relationships/image" Target="media/image6.jpeg"/><Relationship Id="rId149" Type="http://schemas.openxmlformats.org/officeDocument/2006/relationships/footer" Target="footer68.xml"/><Relationship Id="rId148" Type="http://schemas.openxmlformats.org/officeDocument/2006/relationships/footer" Target="footer67.xml"/><Relationship Id="rId147" Type="http://schemas.openxmlformats.org/officeDocument/2006/relationships/footer" Target="footer66.xml"/><Relationship Id="rId146" Type="http://schemas.openxmlformats.org/officeDocument/2006/relationships/image" Target="media/image79.png"/><Relationship Id="rId145" Type="http://schemas.openxmlformats.org/officeDocument/2006/relationships/footer" Target="footer65.xml"/><Relationship Id="rId144" Type="http://schemas.openxmlformats.org/officeDocument/2006/relationships/footer" Target="footer64.xml"/><Relationship Id="rId143" Type="http://schemas.openxmlformats.org/officeDocument/2006/relationships/image" Target="media/image78.jpeg"/><Relationship Id="rId142" Type="http://schemas.openxmlformats.org/officeDocument/2006/relationships/footer" Target="footer63.xml"/><Relationship Id="rId141" Type="http://schemas.openxmlformats.org/officeDocument/2006/relationships/footer" Target="footer62.xml"/><Relationship Id="rId140" Type="http://schemas.openxmlformats.org/officeDocument/2006/relationships/image" Target="media/image77.png"/><Relationship Id="rId14" Type="http://schemas.openxmlformats.org/officeDocument/2006/relationships/footer" Target="footer7.xml"/><Relationship Id="rId139" Type="http://schemas.openxmlformats.org/officeDocument/2006/relationships/footer" Target="footer61.xml"/><Relationship Id="rId138" Type="http://schemas.openxmlformats.org/officeDocument/2006/relationships/footer" Target="footer60.xml"/><Relationship Id="rId137" Type="http://schemas.openxmlformats.org/officeDocument/2006/relationships/image" Target="media/image76.jpeg"/><Relationship Id="rId136" Type="http://schemas.openxmlformats.org/officeDocument/2006/relationships/footer" Target="footer59.xml"/><Relationship Id="rId135" Type="http://schemas.openxmlformats.org/officeDocument/2006/relationships/footer" Target="footer58.xml"/><Relationship Id="rId134" Type="http://schemas.openxmlformats.org/officeDocument/2006/relationships/footer" Target="footer57.xml"/><Relationship Id="rId133" Type="http://schemas.openxmlformats.org/officeDocument/2006/relationships/image" Target="media/image75.jpeg"/><Relationship Id="rId132" Type="http://schemas.openxmlformats.org/officeDocument/2006/relationships/image" Target="media/image74.jpeg"/><Relationship Id="rId131" Type="http://schemas.openxmlformats.org/officeDocument/2006/relationships/image" Target="media/image73.jpeg"/><Relationship Id="rId130" Type="http://schemas.openxmlformats.org/officeDocument/2006/relationships/image" Target="media/image72.jpeg"/><Relationship Id="rId13" Type="http://schemas.openxmlformats.org/officeDocument/2006/relationships/footer" Target="footer6.xml"/><Relationship Id="rId129" Type="http://schemas.openxmlformats.org/officeDocument/2006/relationships/image" Target="media/image71.jpeg"/><Relationship Id="rId128" Type="http://schemas.openxmlformats.org/officeDocument/2006/relationships/image" Target="media/image70.png"/><Relationship Id="rId127" Type="http://schemas.openxmlformats.org/officeDocument/2006/relationships/footer" Target="footer56.xml"/><Relationship Id="rId126" Type="http://schemas.openxmlformats.org/officeDocument/2006/relationships/footer" Target="footer55.xml"/><Relationship Id="rId125" Type="http://schemas.openxmlformats.org/officeDocument/2006/relationships/footer" Target="footer54.xml"/><Relationship Id="rId124" Type="http://schemas.openxmlformats.org/officeDocument/2006/relationships/footer" Target="footer53.xml"/><Relationship Id="rId123" Type="http://schemas.openxmlformats.org/officeDocument/2006/relationships/image" Target="media/image69.png"/><Relationship Id="rId122" Type="http://schemas.openxmlformats.org/officeDocument/2006/relationships/footer" Target="footer52.xml"/><Relationship Id="rId121" Type="http://schemas.openxmlformats.org/officeDocument/2006/relationships/image" Target="media/image68.jpeg"/><Relationship Id="rId120" Type="http://schemas.openxmlformats.org/officeDocument/2006/relationships/footer" Target="footer51.xml"/><Relationship Id="rId12" Type="http://schemas.openxmlformats.org/officeDocument/2006/relationships/footer" Target="footer5.xml"/><Relationship Id="rId119" Type="http://schemas.openxmlformats.org/officeDocument/2006/relationships/footer" Target="footer50.xml"/><Relationship Id="rId118" Type="http://schemas.openxmlformats.org/officeDocument/2006/relationships/footer" Target="footer49.xml"/><Relationship Id="rId117" Type="http://schemas.openxmlformats.org/officeDocument/2006/relationships/image" Target="media/image67.jpeg"/><Relationship Id="rId116" Type="http://schemas.openxmlformats.org/officeDocument/2006/relationships/footer" Target="footer48.xml"/><Relationship Id="rId115" Type="http://schemas.openxmlformats.org/officeDocument/2006/relationships/footer" Target="footer47.xml"/><Relationship Id="rId114" Type="http://schemas.openxmlformats.org/officeDocument/2006/relationships/footer" Target="footer46.xml"/><Relationship Id="rId113" Type="http://schemas.openxmlformats.org/officeDocument/2006/relationships/footer" Target="footer45.xml"/><Relationship Id="rId112" Type="http://schemas.openxmlformats.org/officeDocument/2006/relationships/image" Target="media/image66.jpeg"/><Relationship Id="rId111" Type="http://schemas.openxmlformats.org/officeDocument/2006/relationships/footer" Target="footer44.xml"/><Relationship Id="rId110" Type="http://schemas.openxmlformats.org/officeDocument/2006/relationships/footer" Target="footer43.xml"/><Relationship Id="rId11" Type="http://schemas.openxmlformats.org/officeDocument/2006/relationships/footer" Target="footer4.xml"/><Relationship Id="rId109" Type="http://schemas.openxmlformats.org/officeDocument/2006/relationships/footer" Target="footer42.xml"/><Relationship Id="rId108" Type="http://schemas.openxmlformats.org/officeDocument/2006/relationships/footer" Target="footer41.xml"/><Relationship Id="rId107" Type="http://schemas.openxmlformats.org/officeDocument/2006/relationships/image" Target="media/image65.jpeg"/><Relationship Id="rId106" Type="http://schemas.openxmlformats.org/officeDocument/2006/relationships/footer" Target="footer40.xml"/><Relationship Id="rId105" Type="http://schemas.openxmlformats.org/officeDocument/2006/relationships/footer" Target="footer39.xml"/><Relationship Id="rId104" Type="http://schemas.openxmlformats.org/officeDocument/2006/relationships/footer" Target="footer38.xml"/><Relationship Id="rId103" Type="http://schemas.openxmlformats.org/officeDocument/2006/relationships/footer" Target="footer37.xml"/><Relationship Id="rId102" Type="http://schemas.openxmlformats.org/officeDocument/2006/relationships/footer" Target="footer36.xml"/><Relationship Id="rId101" Type="http://schemas.openxmlformats.org/officeDocument/2006/relationships/footer" Target="footer35.xml"/><Relationship Id="rId100" Type="http://schemas.openxmlformats.org/officeDocument/2006/relationships/image" Target="media/image64.jpeg"/><Relationship Id="rId10" Type="http://schemas.openxmlformats.org/officeDocument/2006/relationships/image" Target="media/image5.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2023-11-14T17:01:57Z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2023-11-14T17:03:00</vt:filetime>
  </property>
  <property fmtid="{D5CDD505-2E9C-101B-9397-08002B2CF9AE}" pid="4" name="UsrData">
    <vt:lpwstr>65533750611b13001ff7652dwl</vt:lpwstr>
  </property>
</Properties>
</file>